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C2" w:rsidRDefault="00390FC2" w:rsidP="00C260F0">
      <w:pPr>
        <w:pStyle w:val="Title"/>
        <w:tabs>
          <w:tab w:val="clear" w:pos="360"/>
          <w:tab w:val="left" w:pos="0"/>
        </w:tabs>
      </w:pPr>
      <w:r>
        <w:t>BEFORE THE</w:t>
      </w:r>
    </w:p>
    <w:p w:rsidR="00390FC2" w:rsidRDefault="00390FC2" w:rsidP="00C260F0">
      <w:pPr>
        <w:tabs>
          <w:tab w:val="left" w:pos="0"/>
        </w:tabs>
        <w:spacing w:line="233" w:lineRule="auto"/>
        <w:jc w:val="center"/>
        <w:rPr>
          <w:b/>
          <w:sz w:val="24"/>
        </w:rPr>
      </w:pPr>
      <w:r>
        <w:rPr>
          <w:b/>
          <w:sz w:val="24"/>
        </w:rPr>
        <w:t>PENNSYLVANIA PUBLIC UTILITY COMMISSION</w:t>
      </w:r>
    </w:p>
    <w:p w:rsidR="005B2AC6" w:rsidRDefault="005B2AC6" w:rsidP="00C260F0">
      <w:pPr>
        <w:tabs>
          <w:tab w:val="left" w:pos="0"/>
        </w:tabs>
        <w:spacing w:line="233" w:lineRule="auto"/>
        <w:jc w:val="center"/>
        <w:rPr>
          <w:b/>
          <w:sz w:val="24"/>
        </w:rPr>
      </w:pPr>
    </w:p>
    <w:p w:rsidR="00390FC2" w:rsidRPr="00C7211E" w:rsidRDefault="00390FC2" w:rsidP="00C260F0">
      <w:pPr>
        <w:tabs>
          <w:tab w:val="left" w:pos="0"/>
        </w:tabs>
        <w:spacing w:line="233" w:lineRule="auto"/>
        <w:jc w:val="both"/>
        <w:rPr>
          <w:b/>
          <w:sz w:val="24"/>
          <w:szCs w:val="24"/>
        </w:rPr>
      </w:pPr>
    </w:p>
    <w:p w:rsidR="00D37C22" w:rsidRPr="00C7211E" w:rsidRDefault="00D37C22" w:rsidP="00C260F0">
      <w:pPr>
        <w:rPr>
          <w:sz w:val="24"/>
          <w:szCs w:val="24"/>
        </w:rPr>
      </w:pPr>
    </w:p>
    <w:p w:rsidR="00D37C22" w:rsidRPr="00C7211E" w:rsidRDefault="004156F8" w:rsidP="00C260F0">
      <w:pPr>
        <w:rPr>
          <w:sz w:val="24"/>
          <w:szCs w:val="24"/>
        </w:rPr>
      </w:pPr>
      <w:r>
        <w:rPr>
          <w:sz w:val="24"/>
          <w:szCs w:val="24"/>
        </w:rPr>
        <w:t>Frank R. Taylor</w:t>
      </w:r>
      <w:r w:rsidR="00D36CD3" w:rsidRPr="00C7211E">
        <w:rPr>
          <w:sz w:val="24"/>
          <w:szCs w:val="24"/>
        </w:rPr>
        <w:tab/>
      </w:r>
      <w:r w:rsidR="00D37C22" w:rsidRPr="00C7211E">
        <w:rPr>
          <w:sz w:val="24"/>
          <w:szCs w:val="24"/>
        </w:rPr>
        <w:tab/>
      </w:r>
      <w:r w:rsidR="00D37C22" w:rsidRPr="00C7211E">
        <w:rPr>
          <w:sz w:val="24"/>
          <w:szCs w:val="24"/>
        </w:rPr>
        <w:tab/>
      </w:r>
      <w:r w:rsidR="00D37C22" w:rsidRPr="00C7211E">
        <w:rPr>
          <w:sz w:val="24"/>
          <w:szCs w:val="24"/>
        </w:rPr>
        <w:tab/>
      </w:r>
      <w:r w:rsidR="00D37C22" w:rsidRPr="00C7211E">
        <w:rPr>
          <w:sz w:val="24"/>
          <w:szCs w:val="24"/>
        </w:rPr>
        <w:tab/>
        <w:t>:</w:t>
      </w:r>
    </w:p>
    <w:p w:rsidR="00D37C22" w:rsidRPr="00C7211E" w:rsidRDefault="00D37C22" w:rsidP="00C260F0">
      <w:pPr>
        <w:rPr>
          <w:sz w:val="24"/>
          <w:szCs w:val="24"/>
        </w:rPr>
      </w:pPr>
      <w:r w:rsidRPr="00C7211E">
        <w:rPr>
          <w:sz w:val="24"/>
          <w:szCs w:val="24"/>
        </w:rPr>
        <w:tab/>
      </w:r>
      <w:r w:rsidRPr="00C7211E">
        <w:rPr>
          <w:sz w:val="24"/>
          <w:szCs w:val="24"/>
        </w:rPr>
        <w:tab/>
      </w:r>
      <w:r w:rsidRPr="00C7211E">
        <w:rPr>
          <w:b/>
          <w:sz w:val="24"/>
          <w:szCs w:val="24"/>
        </w:rPr>
        <w:tab/>
      </w:r>
      <w:r w:rsidRPr="00C7211E">
        <w:rPr>
          <w:sz w:val="24"/>
          <w:szCs w:val="24"/>
        </w:rPr>
        <w:tab/>
      </w:r>
      <w:r w:rsidRPr="00C7211E">
        <w:rPr>
          <w:sz w:val="24"/>
          <w:szCs w:val="24"/>
        </w:rPr>
        <w:tab/>
      </w:r>
      <w:r w:rsidRPr="00C7211E">
        <w:rPr>
          <w:sz w:val="24"/>
          <w:szCs w:val="24"/>
        </w:rPr>
        <w:tab/>
      </w:r>
      <w:r w:rsidRPr="00C7211E">
        <w:rPr>
          <w:sz w:val="24"/>
          <w:szCs w:val="24"/>
        </w:rPr>
        <w:tab/>
        <w:t>:</w:t>
      </w:r>
    </w:p>
    <w:p w:rsidR="00D37C22" w:rsidRPr="00C7211E" w:rsidRDefault="00D37C22" w:rsidP="00C260F0">
      <w:pPr>
        <w:ind w:firstLine="720"/>
        <w:rPr>
          <w:sz w:val="24"/>
          <w:szCs w:val="24"/>
        </w:rPr>
      </w:pPr>
      <w:r w:rsidRPr="00C7211E">
        <w:rPr>
          <w:sz w:val="24"/>
          <w:szCs w:val="24"/>
        </w:rPr>
        <w:t>v.</w:t>
      </w:r>
      <w:r w:rsidRPr="00C7211E">
        <w:rPr>
          <w:sz w:val="24"/>
          <w:szCs w:val="24"/>
        </w:rPr>
        <w:tab/>
      </w:r>
      <w:r w:rsidRPr="00C7211E">
        <w:rPr>
          <w:sz w:val="24"/>
          <w:szCs w:val="24"/>
        </w:rPr>
        <w:tab/>
      </w:r>
      <w:r w:rsidRPr="00C7211E">
        <w:rPr>
          <w:sz w:val="24"/>
          <w:szCs w:val="24"/>
        </w:rPr>
        <w:tab/>
      </w:r>
      <w:r w:rsidRPr="00C7211E">
        <w:rPr>
          <w:sz w:val="24"/>
          <w:szCs w:val="24"/>
        </w:rPr>
        <w:tab/>
      </w:r>
      <w:r w:rsidRPr="00C7211E">
        <w:rPr>
          <w:sz w:val="24"/>
          <w:szCs w:val="24"/>
        </w:rPr>
        <w:tab/>
      </w:r>
      <w:r w:rsidRPr="00C7211E">
        <w:rPr>
          <w:sz w:val="24"/>
          <w:szCs w:val="24"/>
        </w:rPr>
        <w:tab/>
        <w:t>:</w:t>
      </w:r>
      <w:r w:rsidRPr="00C7211E">
        <w:rPr>
          <w:sz w:val="24"/>
          <w:szCs w:val="24"/>
        </w:rPr>
        <w:tab/>
      </w:r>
      <w:r w:rsidRPr="00C7211E">
        <w:rPr>
          <w:sz w:val="24"/>
          <w:szCs w:val="24"/>
        </w:rPr>
        <w:tab/>
      </w:r>
      <w:r w:rsidR="004156F8">
        <w:rPr>
          <w:sz w:val="24"/>
          <w:szCs w:val="24"/>
        </w:rPr>
        <w:t>F</w:t>
      </w:r>
      <w:r w:rsidRPr="00C7211E">
        <w:rPr>
          <w:sz w:val="24"/>
          <w:szCs w:val="24"/>
        </w:rPr>
        <w:t>-201</w:t>
      </w:r>
      <w:r w:rsidR="004156F8">
        <w:rPr>
          <w:sz w:val="24"/>
          <w:szCs w:val="24"/>
        </w:rPr>
        <w:t>4</w:t>
      </w:r>
      <w:r w:rsidRPr="00C7211E">
        <w:rPr>
          <w:sz w:val="24"/>
          <w:szCs w:val="24"/>
        </w:rPr>
        <w:t>-2</w:t>
      </w:r>
      <w:r w:rsidR="004156F8">
        <w:rPr>
          <w:sz w:val="24"/>
          <w:szCs w:val="24"/>
        </w:rPr>
        <w:t>4</w:t>
      </w:r>
      <w:r w:rsidR="00D36CD3" w:rsidRPr="00C7211E">
        <w:rPr>
          <w:sz w:val="24"/>
          <w:szCs w:val="24"/>
        </w:rPr>
        <w:t>6</w:t>
      </w:r>
      <w:r w:rsidR="004156F8">
        <w:rPr>
          <w:sz w:val="24"/>
          <w:szCs w:val="24"/>
        </w:rPr>
        <w:t>0340</w:t>
      </w:r>
    </w:p>
    <w:p w:rsidR="00D37C22" w:rsidRPr="00C7211E" w:rsidRDefault="00D37C22" w:rsidP="00C260F0">
      <w:pPr>
        <w:ind w:firstLine="5040"/>
        <w:rPr>
          <w:sz w:val="24"/>
          <w:szCs w:val="24"/>
        </w:rPr>
      </w:pPr>
      <w:r w:rsidRPr="00C7211E">
        <w:rPr>
          <w:sz w:val="24"/>
          <w:szCs w:val="24"/>
        </w:rPr>
        <w:t>:</w:t>
      </w:r>
    </w:p>
    <w:p w:rsidR="00D37C22" w:rsidRPr="00C7211E" w:rsidRDefault="00D37C22" w:rsidP="00C260F0">
      <w:pPr>
        <w:rPr>
          <w:sz w:val="24"/>
          <w:szCs w:val="24"/>
        </w:rPr>
      </w:pPr>
      <w:r w:rsidRPr="00C7211E">
        <w:rPr>
          <w:sz w:val="24"/>
          <w:szCs w:val="24"/>
        </w:rPr>
        <w:t>P</w:t>
      </w:r>
      <w:r w:rsidR="004156F8">
        <w:rPr>
          <w:sz w:val="24"/>
          <w:szCs w:val="24"/>
        </w:rPr>
        <w:t xml:space="preserve">ECO </w:t>
      </w:r>
      <w:r w:rsidR="00D36CD3" w:rsidRPr="00C7211E">
        <w:rPr>
          <w:sz w:val="24"/>
          <w:szCs w:val="24"/>
        </w:rPr>
        <w:t>E</w:t>
      </w:r>
      <w:r w:rsidR="00922AB2">
        <w:rPr>
          <w:sz w:val="24"/>
          <w:szCs w:val="24"/>
        </w:rPr>
        <w:t>nergy</w:t>
      </w:r>
      <w:r w:rsidR="00D36CD3" w:rsidRPr="00C7211E">
        <w:rPr>
          <w:sz w:val="24"/>
          <w:szCs w:val="24"/>
        </w:rPr>
        <w:t xml:space="preserve"> Company </w:t>
      </w:r>
      <w:r w:rsidR="00922AB2">
        <w:rPr>
          <w:sz w:val="24"/>
          <w:szCs w:val="24"/>
        </w:rPr>
        <w:tab/>
      </w:r>
      <w:r w:rsidRPr="00C7211E">
        <w:rPr>
          <w:sz w:val="24"/>
          <w:szCs w:val="24"/>
        </w:rPr>
        <w:tab/>
      </w:r>
      <w:r w:rsidRPr="00C7211E">
        <w:rPr>
          <w:sz w:val="24"/>
          <w:szCs w:val="24"/>
        </w:rPr>
        <w:tab/>
      </w:r>
      <w:r w:rsidRPr="00C7211E">
        <w:rPr>
          <w:sz w:val="24"/>
          <w:szCs w:val="24"/>
        </w:rPr>
        <w:tab/>
        <w:t>:</w:t>
      </w:r>
    </w:p>
    <w:p w:rsidR="00D37C22" w:rsidRPr="00C7211E" w:rsidRDefault="00D37C22" w:rsidP="00C260F0">
      <w:pPr>
        <w:rPr>
          <w:sz w:val="24"/>
          <w:szCs w:val="24"/>
        </w:rPr>
      </w:pPr>
    </w:p>
    <w:p w:rsidR="00D37C22" w:rsidRPr="00C7211E" w:rsidRDefault="00D37C22" w:rsidP="00C260F0">
      <w:pPr>
        <w:rPr>
          <w:sz w:val="24"/>
          <w:szCs w:val="24"/>
        </w:rPr>
      </w:pPr>
    </w:p>
    <w:p w:rsidR="00D37C22" w:rsidRPr="00C7211E" w:rsidRDefault="00D37C22" w:rsidP="00C260F0">
      <w:pPr>
        <w:rPr>
          <w:sz w:val="24"/>
          <w:szCs w:val="24"/>
        </w:rPr>
      </w:pPr>
    </w:p>
    <w:p w:rsidR="00D37C22" w:rsidRPr="00C7211E" w:rsidRDefault="00D37C22" w:rsidP="00C260F0">
      <w:pPr>
        <w:tabs>
          <w:tab w:val="center" w:pos="4680"/>
        </w:tabs>
        <w:jc w:val="center"/>
        <w:rPr>
          <w:b/>
          <w:sz w:val="24"/>
          <w:szCs w:val="24"/>
          <w:u w:val="single"/>
        </w:rPr>
      </w:pPr>
      <w:r w:rsidRPr="00C7211E">
        <w:rPr>
          <w:b/>
          <w:sz w:val="24"/>
          <w:szCs w:val="24"/>
          <w:u w:val="single"/>
        </w:rPr>
        <w:t>INITIAL DECISION</w:t>
      </w:r>
    </w:p>
    <w:p w:rsidR="00D37C22" w:rsidRPr="00C7211E" w:rsidRDefault="00D37C22" w:rsidP="00C260F0">
      <w:pPr>
        <w:tabs>
          <w:tab w:val="center" w:pos="4680"/>
        </w:tabs>
        <w:jc w:val="center"/>
        <w:rPr>
          <w:sz w:val="24"/>
          <w:szCs w:val="24"/>
        </w:rPr>
      </w:pPr>
    </w:p>
    <w:p w:rsidR="00D37C22" w:rsidRPr="00C7211E" w:rsidRDefault="00D37C22" w:rsidP="00C260F0">
      <w:pPr>
        <w:jc w:val="center"/>
        <w:rPr>
          <w:sz w:val="24"/>
          <w:szCs w:val="24"/>
        </w:rPr>
      </w:pPr>
    </w:p>
    <w:p w:rsidR="00D37C22" w:rsidRPr="00C7211E" w:rsidRDefault="00D37C22" w:rsidP="00C260F0">
      <w:pPr>
        <w:tabs>
          <w:tab w:val="center" w:pos="4680"/>
        </w:tabs>
        <w:jc w:val="center"/>
        <w:rPr>
          <w:sz w:val="24"/>
          <w:szCs w:val="24"/>
        </w:rPr>
      </w:pPr>
      <w:r w:rsidRPr="00C7211E">
        <w:rPr>
          <w:sz w:val="24"/>
          <w:szCs w:val="24"/>
        </w:rPr>
        <w:t>Before</w:t>
      </w:r>
    </w:p>
    <w:p w:rsidR="00D37C22" w:rsidRPr="00C7211E" w:rsidRDefault="00D37C22" w:rsidP="00C260F0">
      <w:pPr>
        <w:tabs>
          <w:tab w:val="center" w:pos="4680"/>
        </w:tabs>
        <w:jc w:val="center"/>
        <w:rPr>
          <w:sz w:val="24"/>
          <w:szCs w:val="24"/>
        </w:rPr>
      </w:pPr>
      <w:r w:rsidRPr="00C7211E">
        <w:rPr>
          <w:sz w:val="24"/>
          <w:szCs w:val="24"/>
        </w:rPr>
        <w:t>Conrad A. Johnson</w:t>
      </w:r>
    </w:p>
    <w:p w:rsidR="00D37C22" w:rsidRPr="00C7211E" w:rsidRDefault="00D37C22" w:rsidP="00C260F0">
      <w:pPr>
        <w:tabs>
          <w:tab w:val="center" w:pos="4680"/>
        </w:tabs>
        <w:jc w:val="center"/>
        <w:rPr>
          <w:sz w:val="24"/>
          <w:szCs w:val="24"/>
        </w:rPr>
      </w:pPr>
      <w:r w:rsidRPr="00C7211E">
        <w:rPr>
          <w:sz w:val="24"/>
          <w:szCs w:val="24"/>
        </w:rPr>
        <w:t>Administrative Law Judge</w:t>
      </w:r>
    </w:p>
    <w:p w:rsidR="00D37C22" w:rsidRPr="00C7211E" w:rsidRDefault="00D37C22" w:rsidP="00203642">
      <w:pPr>
        <w:tabs>
          <w:tab w:val="center" w:pos="4680"/>
        </w:tabs>
        <w:rPr>
          <w:sz w:val="24"/>
          <w:szCs w:val="24"/>
        </w:rPr>
      </w:pPr>
    </w:p>
    <w:p w:rsidR="00D37C22" w:rsidRPr="00C7211E" w:rsidRDefault="00D37C22" w:rsidP="00203642">
      <w:pPr>
        <w:ind w:firstLine="1440"/>
        <w:rPr>
          <w:sz w:val="24"/>
          <w:szCs w:val="24"/>
        </w:rPr>
      </w:pPr>
    </w:p>
    <w:p w:rsidR="00170D53" w:rsidRDefault="00170D53" w:rsidP="00170D53">
      <w:pPr>
        <w:spacing w:line="360" w:lineRule="auto"/>
        <w:rPr>
          <w:sz w:val="24"/>
          <w:szCs w:val="24"/>
        </w:rPr>
      </w:pPr>
      <w:r>
        <w:rPr>
          <w:sz w:val="24"/>
          <w:szCs w:val="24"/>
        </w:rPr>
        <w:tab/>
      </w:r>
      <w:r>
        <w:rPr>
          <w:sz w:val="24"/>
          <w:szCs w:val="24"/>
        </w:rPr>
        <w:tab/>
        <w:t>This decision sustains the Complaint and grants Complainant’s request for a payment arrangement.</w:t>
      </w:r>
    </w:p>
    <w:p w:rsidR="00170D53" w:rsidRDefault="00170D53" w:rsidP="00C260F0">
      <w:pPr>
        <w:spacing w:line="360" w:lineRule="auto"/>
        <w:jc w:val="center"/>
        <w:rPr>
          <w:sz w:val="24"/>
          <w:szCs w:val="24"/>
          <w:u w:val="single"/>
        </w:rPr>
      </w:pPr>
    </w:p>
    <w:p w:rsidR="00D37C22" w:rsidRPr="00C7211E" w:rsidRDefault="00D37C22" w:rsidP="00C260F0">
      <w:pPr>
        <w:spacing w:line="360" w:lineRule="auto"/>
        <w:jc w:val="center"/>
        <w:rPr>
          <w:sz w:val="24"/>
          <w:szCs w:val="24"/>
          <w:u w:val="single"/>
        </w:rPr>
      </w:pPr>
      <w:r w:rsidRPr="00C7211E">
        <w:rPr>
          <w:sz w:val="24"/>
          <w:szCs w:val="24"/>
          <w:u w:val="single"/>
        </w:rPr>
        <w:t>HISTORY OF THE PROCEEDING</w:t>
      </w:r>
    </w:p>
    <w:p w:rsidR="004156F8" w:rsidRDefault="004156F8" w:rsidP="004156F8">
      <w:pPr>
        <w:spacing w:line="360" w:lineRule="auto"/>
        <w:rPr>
          <w:sz w:val="24"/>
          <w:szCs w:val="24"/>
        </w:rPr>
      </w:pPr>
    </w:p>
    <w:p w:rsidR="00C7211E" w:rsidRPr="003C0388" w:rsidRDefault="00C7211E" w:rsidP="00C260F0">
      <w:pPr>
        <w:spacing w:line="360" w:lineRule="auto"/>
        <w:rPr>
          <w:sz w:val="24"/>
          <w:szCs w:val="24"/>
        </w:rPr>
      </w:pPr>
      <w:r w:rsidRPr="003C0388">
        <w:rPr>
          <w:sz w:val="24"/>
          <w:szCs w:val="24"/>
          <w:u w:val="single"/>
        </w:rPr>
        <w:t>The Filings</w:t>
      </w:r>
    </w:p>
    <w:p w:rsidR="00C7211E" w:rsidRDefault="00C7211E" w:rsidP="00C260F0">
      <w:pPr>
        <w:spacing w:line="360" w:lineRule="auto"/>
        <w:rPr>
          <w:sz w:val="24"/>
          <w:szCs w:val="24"/>
        </w:rPr>
      </w:pPr>
    </w:p>
    <w:p w:rsidR="002E3387" w:rsidRDefault="00D36CD3" w:rsidP="00C260F0">
      <w:pPr>
        <w:spacing w:line="360" w:lineRule="auto"/>
        <w:ind w:firstLine="1440"/>
        <w:rPr>
          <w:sz w:val="24"/>
          <w:szCs w:val="24"/>
        </w:rPr>
      </w:pPr>
      <w:r w:rsidRPr="00C7211E">
        <w:rPr>
          <w:sz w:val="24"/>
          <w:szCs w:val="24"/>
        </w:rPr>
        <w:t xml:space="preserve">On </w:t>
      </w:r>
      <w:r w:rsidR="002E3387">
        <w:rPr>
          <w:sz w:val="24"/>
          <w:szCs w:val="24"/>
        </w:rPr>
        <w:t>December 12, 2014</w:t>
      </w:r>
      <w:r w:rsidR="00D37C22" w:rsidRPr="00C7211E">
        <w:rPr>
          <w:sz w:val="24"/>
          <w:szCs w:val="24"/>
        </w:rPr>
        <w:t xml:space="preserve">, </w:t>
      </w:r>
      <w:r w:rsidR="002E3387">
        <w:rPr>
          <w:sz w:val="24"/>
          <w:szCs w:val="24"/>
        </w:rPr>
        <w:t>Frank R. Taylor (Mr. Taylor</w:t>
      </w:r>
      <w:r w:rsidRPr="00C7211E">
        <w:rPr>
          <w:sz w:val="24"/>
          <w:szCs w:val="24"/>
        </w:rPr>
        <w:t xml:space="preserve"> </w:t>
      </w:r>
      <w:r w:rsidR="00D37C22" w:rsidRPr="00C7211E">
        <w:rPr>
          <w:sz w:val="24"/>
          <w:szCs w:val="24"/>
        </w:rPr>
        <w:t xml:space="preserve">or Complainant) </w:t>
      </w:r>
      <w:r w:rsidRPr="00C7211E">
        <w:rPr>
          <w:sz w:val="24"/>
          <w:szCs w:val="24"/>
        </w:rPr>
        <w:t>filed a Complaint</w:t>
      </w:r>
      <w:r w:rsidR="00F622D5">
        <w:rPr>
          <w:sz w:val="24"/>
          <w:szCs w:val="24"/>
        </w:rPr>
        <w:t xml:space="preserve"> </w:t>
      </w:r>
      <w:r w:rsidRPr="00C7211E">
        <w:rPr>
          <w:sz w:val="24"/>
          <w:szCs w:val="24"/>
        </w:rPr>
        <w:t>against P</w:t>
      </w:r>
      <w:r w:rsidR="002E3387">
        <w:rPr>
          <w:sz w:val="24"/>
          <w:szCs w:val="24"/>
        </w:rPr>
        <w:t>ECO</w:t>
      </w:r>
      <w:r w:rsidRPr="00C7211E">
        <w:rPr>
          <w:sz w:val="24"/>
          <w:szCs w:val="24"/>
        </w:rPr>
        <w:t xml:space="preserve"> E</w:t>
      </w:r>
      <w:r w:rsidR="002E3387">
        <w:rPr>
          <w:sz w:val="24"/>
          <w:szCs w:val="24"/>
        </w:rPr>
        <w:t>nergy</w:t>
      </w:r>
      <w:r w:rsidRPr="00C7211E">
        <w:rPr>
          <w:sz w:val="24"/>
          <w:szCs w:val="24"/>
        </w:rPr>
        <w:t xml:space="preserve"> Company </w:t>
      </w:r>
      <w:r w:rsidR="00D37C22" w:rsidRPr="00C7211E">
        <w:rPr>
          <w:sz w:val="24"/>
          <w:szCs w:val="24"/>
        </w:rPr>
        <w:t>(</w:t>
      </w:r>
      <w:r w:rsidRPr="00C7211E">
        <w:rPr>
          <w:sz w:val="24"/>
          <w:szCs w:val="24"/>
        </w:rPr>
        <w:t>P</w:t>
      </w:r>
      <w:r w:rsidR="002E3387">
        <w:rPr>
          <w:sz w:val="24"/>
          <w:szCs w:val="24"/>
        </w:rPr>
        <w:t>ECO</w:t>
      </w:r>
      <w:r w:rsidR="008D18C1" w:rsidRPr="00C7211E">
        <w:rPr>
          <w:sz w:val="24"/>
          <w:szCs w:val="24"/>
        </w:rPr>
        <w:t>, Company</w:t>
      </w:r>
      <w:r w:rsidRPr="00C7211E">
        <w:rPr>
          <w:sz w:val="24"/>
          <w:szCs w:val="24"/>
        </w:rPr>
        <w:t xml:space="preserve"> </w:t>
      </w:r>
      <w:r w:rsidR="00D37C22" w:rsidRPr="00C7211E">
        <w:rPr>
          <w:sz w:val="24"/>
          <w:szCs w:val="24"/>
        </w:rPr>
        <w:t>or Respondent) with the Pennsylvania Public Utility Commission (</w:t>
      </w:r>
      <w:r w:rsidR="0001558A">
        <w:rPr>
          <w:sz w:val="24"/>
          <w:szCs w:val="24"/>
        </w:rPr>
        <w:t xml:space="preserve">PUC or </w:t>
      </w:r>
      <w:r w:rsidR="00D37C22" w:rsidRPr="00C7211E">
        <w:rPr>
          <w:sz w:val="24"/>
          <w:szCs w:val="24"/>
        </w:rPr>
        <w:t xml:space="preserve">Commission) at Docket No. </w:t>
      </w:r>
      <w:proofErr w:type="gramStart"/>
      <w:r w:rsidR="002E3387">
        <w:rPr>
          <w:sz w:val="24"/>
          <w:szCs w:val="24"/>
        </w:rPr>
        <w:t>F</w:t>
      </w:r>
      <w:r w:rsidR="00D37C22" w:rsidRPr="00C7211E">
        <w:rPr>
          <w:sz w:val="24"/>
          <w:szCs w:val="24"/>
        </w:rPr>
        <w:t>-201</w:t>
      </w:r>
      <w:r w:rsidR="002E3387">
        <w:rPr>
          <w:sz w:val="24"/>
          <w:szCs w:val="24"/>
        </w:rPr>
        <w:t>4</w:t>
      </w:r>
      <w:r w:rsidR="00D37C22" w:rsidRPr="00C7211E">
        <w:rPr>
          <w:sz w:val="24"/>
          <w:szCs w:val="24"/>
        </w:rPr>
        <w:t>-</w:t>
      </w:r>
      <w:r w:rsidR="002E3387">
        <w:rPr>
          <w:sz w:val="24"/>
          <w:szCs w:val="24"/>
        </w:rPr>
        <w:t>2460340</w:t>
      </w:r>
      <w:r w:rsidR="00F75DBE">
        <w:rPr>
          <w:sz w:val="24"/>
          <w:szCs w:val="24"/>
        </w:rPr>
        <w:t>.</w:t>
      </w:r>
      <w:proofErr w:type="gramEnd"/>
      <w:r w:rsidR="00D835B0" w:rsidRPr="00C7211E">
        <w:rPr>
          <w:sz w:val="24"/>
          <w:szCs w:val="24"/>
        </w:rPr>
        <w:t xml:space="preserve">  Complainant alleged</w:t>
      </w:r>
      <w:r w:rsidR="002E3387">
        <w:rPr>
          <w:sz w:val="24"/>
          <w:szCs w:val="24"/>
        </w:rPr>
        <w:t>, “I would like a payment agreement.”</w:t>
      </w:r>
      <w:r w:rsidR="00EE05C9">
        <w:rPr>
          <w:rStyle w:val="FootnoteReference"/>
          <w:sz w:val="24"/>
          <w:szCs w:val="24"/>
        </w:rPr>
        <w:footnoteReference w:id="1"/>
      </w:r>
      <w:r w:rsidR="00D835B0" w:rsidRPr="00C7211E">
        <w:rPr>
          <w:sz w:val="24"/>
          <w:szCs w:val="24"/>
        </w:rPr>
        <w:t xml:space="preserve"> </w:t>
      </w:r>
      <w:r w:rsidR="00203642">
        <w:rPr>
          <w:sz w:val="24"/>
          <w:szCs w:val="24"/>
        </w:rPr>
        <w:t xml:space="preserve"> </w:t>
      </w:r>
      <w:proofErr w:type="gramStart"/>
      <w:r w:rsidR="002E3387">
        <w:rPr>
          <w:sz w:val="24"/>
          <w:szCs w:val="24"/>
        </w:rPr>
        <w:t>(Complaint ¶ 4.)</w:t>
      </w:r>
      <w:proofErr w:type="gramEnd"/>
    </w:p>
    <w:p w:rsidR="002E3387" w:rsidRDefault="002E3387" w:rsidP="00C260F0">
      <w:pPr>
        <w:spacing w:line="360" w:lineRule="auto"/>
        <w:ind w:firstLine="1440"/>
        <w:rPr>
          <w:sz w:val="24"/>
          <w:szCs w:val="24"/>
        </w:rPr>
      </w:pPr>
    </w:p>
    <w:p w:rsidR="001F292E" w:rsidRDefault="00D835B0" w:rsidP="00C260F0">
      <w:pPr>
        <w:spacing w:line="360" w:lineRule="auto"/>
        <w:ind w:firstLine="1440"/>
        <w:rPr>
          <w:sz w:val="24"/>
          <w:szCs w:val="24"/>
        </w:rPr>
      </w:pPr>
      <w:r w:rsidRPr="00C7211E">
        <w:rPr>
          <w:sz w:val="24"/>
          <w:szCs w:val="24"/>
        </w:rPr>
        <w:t xml:space="preserve">On </w:t>
      </w:r>
      <w:r w:rsidR="002E3387">
        <w:rPr>
          <w:sz w:val="24"/>
          <w:szCs w:val="24"/>
        </w:rPr>
        <w:t>January 9, 2015, Respondent file</w:t>
      </w:r>
      <w:r w:rsidR="001F292E" w:rsidRPr="00C7211E">
        <w:rPr>
          <w:sz w:val="24"/>
          <w:szCs w:val="24"/>
        </w:rPr>
        <w:t>d an Answer</w:t>
      </w:r>
      <w:r w:rsidR="007F2D52">
        <w:rPr>
          <w:sz w:val="24"/>
          <w:szCs w:val="24"/>
        </w:rPr>
        <w:t>, admitting that Complainant was requesting a payment agreement</w:t>
      </w:r>
      <w:r w:rsidR="002E3387">
        <w:rPr>
          <w:sz w:val="24"/>
          <w:szCs w:val="24"/>
        </w:rPr>
        <w:t xml:space="preserve">.  Respondent alleged, in part, that Complainant has not had a </w:t>
      </w:r>
      <w:r w:rsidR="008D45F3">
        <w:rPr>
          <w:sz w:val="24"/>
          <w:szCs w:val="24"/>
        </w:rPr>
        <w:lastRenderedPageBreak/>
        <w:t xml:space="preserve">recent </w:t>
      </w:r>
      <w:r w:rsidR="002E3387">
        <w:rPr>
          <w:sz w:val="24"/>
          <w:szCs w:val="24"/>
        </w:rPr>
        <w:t>Commission issued agreement.</w:t>
      </w:r>
      <w:r w:rsidR="00203642">
        <w:rPr>
          <w:sz w:val="24"/>
          <w:szCs w:val="24"/>
        </w:rPr>
        <w:t xml:space="preserve"> </w:t>
      </w:r>
      <w:r w:rsidR="002E3387">
        <w:rPr>
          <w:sz w:val="24"/>
          <w:szCs w:val="24"/>
        </w:rPr>
        <w:t xml:space="preserve"> “However he has</w:t>
      </w:r>
      <w:r w:rsidR="00170D53">
        <w:rPr>
          <w:sz w:val="24"/>
          <w:szCs w:val="24"/>
        </w:rPr>
        <w:t xml:space="preserve"> </w:t>
      </w:r>
      <w:r w:rsidR="002E3387">
        <w:rPr>
          <w:sz w:val="24"/>
          <w:szCs w:val="24"/>
        </w:rPr>
        <w:t xml:space="preserve">defaulted on two company-issued agreements,” </w:t>
      </w:r>
      <w:r w:rsidR="003F445E">
        <w:rPr>
          <w:sz w:val="24"/>
          <w:szCs w:val="24"/>
        </w:rPr>
        <w:t>Respondent</w:t>
      </w:r>
      <w:r w:rsidR="00170D53">
        <w:rPr>
          <w:sz w:val="24"/>
          <w:szCs w:val="24"/>
        </w:rPr>
        <w:t xml:space="preserve"> </w:t>
      </w:r>
      <w:r w:rsidR="007F2D52">
        <w:rPr>
          <w:sz w:val="24"/>
          <w:szCs w:val="24"/>
        </w:rPr>
        <w:t>averred</w:t>
      </w:r>
      <w:r w:rsidR="00B14282">
        <w:rPr>
          <w:sz w:val="24"/>
          <w:szCs w:val="24"/>
        </w:rPr>
        <w:t>.</w:t>
      </w:r>
      <w:r w:rsidR="00B14282">
        <w:rPr>
          <w:rStyle w:val="FootnoteReference"/>
          <w:sz w:val="24"/>
          <w:szCs w:val="24"/>
        </w:rPr>
        <w:footnoteReference w:id="2"/>
      </w:r>
      <w:r w:rsidR="007F2D52">
        <w:rPr>
          <w:sz w:val="24"/>
          <w:szCs w:val="24"/>
        </w:rPr>
        <w:t xml:space="preserve">  As relief, Respondent requested dismissal of the Complaint.</w:t>
      </w:r>
    </w:p>
    <w:p w:rsidR="00170D53" w:rsidRPr="00C7211E" w:rsidRDefault="00170D53" w:rsidP="00C260F0">
      <w:pPr>
        <w:spacing w:line="360" w:lineRule="auto"/>
        <w:ind w:firstLine="1440"/>
        <w:rPr>
          <w:sz w:val="24"/>
          <w:szCs w:val="24"/>
        </w:rPr>
      </w:pPr>
    </w:p>
    <w:p w:rsidR="00F75DBE" w:rsidRDefault="00D37C22" w:rsidP="00C260F0">
      <w:pPr>
        <w:spacing w:line="360" w:lineRule="auto"/>
        <w:ind w:firstLine="1440"/>
        <w:rPr>
          <w:sz w:val="24"/>
          <w:szCs w:val="24"/>
        </w:rPr>
      </w:pPr>
      <w:r w:rsidRPr="00C7211E">
        <w:rPr>
          <w:sz w:val="24"/>
          <w:szCs w:val="24"/>
        </w:rPr>
        <w:t xml:space="preserve">By </w:t>
      </w:r>
      <w:r w:rsidR="00EE05C9">
        <w:rPr>
          <w:sz w:val="24"/>
          <w:szCs w:val="24"/>
        </w:rPr>
        <w:t xml:space="preserve">Hearing </w:t>
      </w:r>
      <w:r w:rsidR="0068316A">
        <w:rPr>
          <w:sz w:val="24"/>
          <w:szCs w:val="24"/>
        </w:rPr>
        <w:t>N</w:t>
      </w:r>
      <w:r w:rsidRPr="00C7211E">
        <w:rPr>
          <w:sz w:val="24"/>
          <w:szCs w:val="24"/>
        </w:rPr>
        <w:t>otice dated</w:t>
      </w:r>
      <w:r w:rsidR="0068316A">
        <w:rPr>
          <w:sz w:val="24"/>
          <w:szCs w:val="24"/>
        </w:rPr>
        <w:t xml:space="preserve"> </w:t>
      </w:r>
      <w:r w:rsidR="007327C1">
        <w:rPr>
          <w:sz w:val="24"/>
          <w:szCs w:val="24"/>
        </w:rPr>
        <w:t>March 3, 2015</w:t>
      </w:r>
      <w:r w:rsidRPr="00C7211E">
        <w:rPr>
          <w:sz w:val="24"/>
          <w:szCs w:val="24"/>
        </w:rPr>
        <w:t xml:space="preserve">, the Commission informed the parties that a telephonic hearing on the </w:t>
      </w:r>
      <w:r w:rsidR="0068316A">
        <w:rPr>
          <w:sz w:val="24"/>
          <w:szCs w:val="24"/>
        </w:rPr>
        <w:t>C</w:t>
      </w:r>
      <w:r w:rsidRPr="00C7211E">
        <w:rPr>
          <w:sz w:val="24"/>
          <w:szCs w:val="24"/>
        </w:rPr>
        <w:t xml:space="preserve">omplaint and </w:t>
      </w:r>
      <w:r w:rsidR="0068316A">
        <w:rPr>
          <w:sz w:val="24"/>
          <w:szCs w:val="24"/>
        </w:rPr>
        <w:t>A</w:t>
      </w:r>
      <w:r w:rsidRPr="00C7211E">
        <w:rPr>
          <w:sz w:val="24"/>
          <w:szCs w:val="24"/>
        </w:rPr>
        <w:t xml:space="preserve">nswer </w:t>
      </w:r>
      <w:r w:rsidR="0068316A">
        <w:rPr>
          <w:sz w:val="24"/>
          <w:szCs w:val="24"/>
        </w:rPr>
        <w:t xml:space="preserve">thereto </w:t>
      </w:r>
      <w:r w:rsidR="00A07AC9">
        <w:rPr>
          <w:sz w:val="24"/>
          <w:szCs w:val="24"/>
        </w:rPr>
        <w:t xml:space="preserve">would be </w:t>
      </w:r>
      <w:r w:rsidR="005867EF">
        <w:rPr>
          <w:sz w:val="24"/>
          <w:szCs w:val="24"/>
        </w:rPr>
        <w:t xml:space="preserve">conducted by me </w:t>
      </w:r>
      <w:r w:rsidR="00A07AC9">
        <w:rPr>
          <w:sz w:val="24"/>
          <w:szCs w:val="24"/>
        </w:rPr>
        <w:t>at 10:00 a.m.</w:t>
      </w:r>
      <w:r w:rsidRPr="00C7211E">
        <w:rPr>
          <w:sz w:val="24"/>
          <w:szCs w:val="24"/>
        </w:rPr>
        <w:t xml:space="preserve"> on </w:t>
      </w:r>
      <w:r w:rsidR="007327C1">
        <w:rPr>
          <w:sz w:val="24"/>
          <w:szCs w:val="24"/>
        </w:rPr>
        <w:t>April 10, 2015</w:t>
      </w:r>
      <w:r w:rsidRPr="00C7211E">
        <w:rPr>
          <w:sz w:val="24"/>
          <w:szCs w:val="24"/>
        </w:rPr>
        <w:t>,</w:t>
      </w:r>
      <w:r w:rsidR="008B34B4">
        <w:rPr>
          <w:sz w:val="24"/>
          <w:szCs w:val="24"/>
        </w:rPr>
        <w:t xml:space="preserve"> at Piatt Place, Suite 220, 301 </w:t>
      </w:r>
      <w:r w:rsidRPr="00C7211E">
        <w:rPr>
          <w:sz w:val="24"/>
          <w:szCs w:val="24"/>
        </w:rPr>
        <w:t>5</w:t>
      </w:r>
      <w:r w:rsidRPr="00C7211E">
        <w:rPr>
          <w:sz w:val="24"/>
          <w:szCs w:val="24"/>
          <w:vertAlign w:val="superscript"/>
        </w:rPr>
        <w:t>th</w:t>
      </w:r>
      <w:r w:rsidRPr="00C7211E">
        <w:rPr>
          <w:sz w:val="24"/>
          <w:szCs w:val="24"/>
        </w:rPr>
        <w:t xml:space="preserve"> Avenue, Pittsburgh, P</w:t>
      </w:r>
      <w:r w:rsidR="00C260F0">
        <w:rPr>
          <w:sz w:val="24"/>
          <w:szCs w:val="24"/>
        </w:rPr>
        <w:t>A</w:t>
      </w:r>
      <w:r w:rsidRPr="00C7211E">
        <w:rPr>
          <w:sz w:val="24"/>
          <w:szCs w:val="24"/>
        </w:rPr>
        <w:t xml:space="preserve"> 15222.  </w:t>
      </w:r>
      <w:r w:rsidR="0068316A">
        <w:rPr>
          <w:sz w:val="24"/>
          <w:szCs w:val="24"/>
        </w:rPr>
        <w:t xml:space="preserve">The </w:t>
      </w:r>
      <w:r w:rsidR="007327C1">
        <w:rPr>
          <w:sz w:val="24"/>
          <w:szCs w:val="24"/>
        </w:rPr>
        <w:t>March 3</w:t>
      </w:r>
      <w:r w:rsidR="0068316A">
        <w:rPr>
          <w:sz w:val="24"/>
          <w:szCs w:val="24"/>
        </w:rPr>
        <w:t>, 201</w:t>
      </w:r>
      <w:r w:rsidR="007327C1">
        <w:rPr>
          <w:sz w:val="24"/>
          <w:szCs w:val="24"/>
        </w:rPr>
        <w:t>5</w:t>
      </w:r>
      <w:r w:rsidR="0068316A">
        <w:rPr>
          <w:sz w:val="24"/>
          <w:szCs w:val="24"/>
        </w:rPr>
        <w:t xml:space="preserve"> </w:t>
      </w:r>
      <w:r w:rsidRPr="00C7211E">
        <w:rPr>
          <w:sz w:val="24"/>
          <w:szCs w:val="24"/>
        </w:rPr>
        <w:t xml:space="preserve">Prehearing Order issued in this case </w:t>
      </w:r>
      <w:r w:rsidR="0068316A">
        <w:rPr>
          <w:sz w:val="24"/>
          <w:szCs w:val="24"/>
        </w:rPr>
        <w:t>advised the parties of the applicable procedural rules.</w:t>
      </w:r>
    </w:p>
    <w:p w:rsidR="00C260F0" w:rsidRDefault="00C260F0">
      <w:pPr>
        <w:rPr>
          <w:sz w:val="24"/>
          <w:szCs w:val="24"/>
        </w:rPr>
      </w:pPr>
    </w:p>
    <w:p w:rsidR="00C83184" w:rsidRPr="00C83184" w:rsidRDefault="00C83184" w:rsidP="00203642">
      <w:pPr>
        <w:spacing w:line="360" w:lineRule="auto"/>
        <w:rPr>
          <w:sz w:val="24"/>
          <w:szCs w:val="24"/>
          <w:u w:val="single"/>
        </w:rPr>
      </w:pPr>
      <w:r w:rsidRPr="00C83184">
        <w:rPr>
          <w:sz w:val="24"/>
          <w:szCs w:val="24"/>
          <w:u w:val="single"/>
        </w:rPr>
        <w:t>T</w:t>
      </w:r>
      <w:r>
        <w:rPr>
          <w:sz w:val="24"/>
          <w:szCs w:val="24"/>
          <w:u w:val="single"/>
        </w:rPr>
        <w:t>he Hearings</w:t>
      </w:r>
    </w:p>
    <w:p w:rsidR="00C83184" w:rsidRDefault="00C83184" w:rsidP="00203642">
      <w:pPr>
        <w:spacing w:line="360" w:lineRule="auto"/>
        <w:rPr>
          <w:sz w:val="24"/>
          <w:szCs w:val="24"/>
        </w:rPr>
      </w:pPr>
    </w:p>
    <w:p w:rsidR="001A540B" w:rsidRPr="001A540B" w:rsidRDefault="00F75DBE" w:rsidP="001A540B">
      <w:pPr>
        <w:spacing w:line="360" w:lineRule="auto"/>
        <w:ind w:firstLine="1440"/>
        <w:rPr>
          <w:snapToGrid w:val="0"/>
          <w:sz w:val="24"/>
          <w:szCs w:val="24"/>
        </w:rPr>
      </w:pPr>
      <w:r>
        <w:rPr>
          <w:sz w:val="24"/>
          <w:szCs w:val="24"/>
        </w:rPr>
        <w:t>O</w:t>
      </w:r>
      <w:r w:rsidR="001F292E" w:rsidRPr="00C7211E">
        <w:rPr>
          <w:sz w:val="24"/>
          <w:szCs w:val="24"/>
        </w:rPr>
        <w:t xml:space="preserve">n </w:t>
      </w:r>
      <w:r w:rsidR="00FC4182">
        <w:rPr>
          <w:sz w:val="24"/>
          <w:szCs w:val="24"/>
        </w:rPr>
        <w:t>April 10, 2015</w:t>
      </w:r>
      <w:r w:rsidR="001A540B">
        <w:rPr>
          <w:sz w:val="24"/>
          <w:szCs w:val="24"/>
        </w:rPr>
        <w:t xml:space="preserve"> at 10:01 a.m., </w:t>
      </w:r>
      <w:r w:rsidR="005867EF">
        <w:rPr>
          <w:sz w:val="24"/>
          <w:szCs w:val="24"/>
        </w:rPr>
        <w:t>I convened the</w:t>
      </w:r>
      <w:r w:rsidR="001A540B">
        <w:rPr>
          <w:sz w:val="24"/>
          <w:szCs w:val="24"/>
        </w:rPr>
        <w:t xml:space="preserve"> hearing</w:t>
      </w:r>
      <w:r w:rsidR="001F292E" w:rsidRPr="00C7211E">
        <w:rPr>
          <w:sz w:val="24"/>
          <w:szCs w:val="24"/>
        </w:rPr>
        <w:t xml:space="preserve">. </w:t>
      </w:r>
      <w:r w:rsidR="00C260F0">
        <w:rPr>
          <w:sz w:val="24"/>
          <w:szCs w:val="24"/>
        </w:rPr>
        <w:t xml:space="preserve"> </w:t>
      </w:r>
      <w:r w:rsidR="00755690">
        <w:rPr>
          <w:sz w:val="24"/>
          <w:szCs w:val="24"/>
        </w:rPr>
        <w:t xml:space="preserve">Respondent was represented by </w:t>
      </w:r>
      <w:r w:rsidR="00FC4182">
        <w:rPr>
          <w:sz w:val="24"/>
          <w:szCs w:val="24"/>
        </w:rPr>
        <w:t>Shawane L. Lee</w:t>
      </w:r>
      <w:r w:rsidR="00755690">
        <w:rPr>
          <w:sz w:val="24"/>
          <w:szCs w:val="24"/>
        </w:rPr>
        <w:t>, Esquire</w:t>
      </w:r>
      <w:r w:rsidR="004A26C7">
        <w:rPr>
          <w:sz w:val="24"/>
          <w:szCs w:val="24"/>
        </w:rPr>
        <w:t xml:space="preserve">.  Respondent’s </w:t>
      </w:r>
      <w:r w:rsidR="003C0388">
        <w:rPr>
          <w:sz w:val="24"/>
          <w:szCs w:val="24"/>
        </w:rPr>
        <w:t xml:space="preserve">witness, </w:t>
      </w:r>
      <w:r w:rsidR="00FC4182">
        <w:rPr>
          <w:sz w:val="24"/>
          <w:szCs w:val="24"/>
        </w:rPr>
        <w:t xml:space="preserve">Regulatory Assessor Dana McCollum and the court reporter were also present in the telephone hearing. </w:t>
      </w:r>
      <w:r w:rsidR="008B34B4">
        <w:rPr>
          <w:sz w:val="24"/>
          <w:szCs w:val="24"/>
        </w:rPr>
        <w:t xml:space="preserve"> </w:t>
      </w:r>
      <w:r w:rsidR="00FC4182">
        <w:rPr>
          <w:sz w:val="24"/>
          <w:szCs w:val="24"/>
        </w:rPr>
        <w:t>However, Mr.</w:t>
      </w:r>
      <w:r w:rsidR="00203642">
        <w:rPr>
          <w:sz w:val="24"/>
          <w:szCs w:val="24"/>
        </w:rPr>
        <w:t> </w:t>
      </w:r>
      <w:r w:rsidR="00FC4182">
        <w:rPr>
          <w:sz w:val="24"/>
          <w:szCs w:val="24"/>
        </w:rPr>
        <w:t xml:space="preserve">Taylor had not dialed into the hearing.  </w:t>
      </w:r>
      <w:r w:rsidR="001A540B" w:rsidRPr="001A540B">
        <w:rPr>
          <w:snapToGrid w:val="0"/>
          <w:sz w:val="24"/>
          <w:szCs w:val="24"/>
        </w:rPr>
        <w:t xml:space="preserve">Thereupon, I recessed the hearing to permit additional time for Complainant to appear or to contact the Office of Administrative Law Judge (OALJ) in order to explain </w:t>
      </w:r>
      <w:r w:rsidR="001A540B">
        <w:rPr>
          <w:snapToGrid w:val="0"/>
          <w:sz w:val="24"/>
          <w:szCs w:val="24"/>
        </w:rPr>
        <w:t>his</w:t>
      </w:r>
      <w:r w:rsidR="001A540B" w:rsidRPr="001A540B">
        <w:rPr>
          <w:snapToGrid w:val="0"/>
          <w:sz w:val="24"/>
          <w:szCs w:val="24"/>
        </w:rPr>
        <w:t xml:space="preserve"> absence.  The proceeding remained open with counsel for Respondent and the court reporter in the telephonic hearing.  I then left the hearing room to determine whether Complainant had called into the OALJ.  Complainant had not called into the OALJ.</w:t>
      </w:r>
    </w:p>
    <w:p w:rsidR="001A540B" w:rsidRDefault="001A540B" w:rsidP="001A540B">
      <w:pPr>
        <w:spacing w:line="360" w:lineRule="auto"/>
        <w:ind w:firstLine="1440"/>
        <w:rPr>
          <w:snapToGrid w:val="0"/>
        </w:rPr>
      </w:pPr>
    </w:p>
    <w:p w:rsidR="001A540B" w:rsidRDefault="001A540B" w:rsidP="001A540B">
      <w:pPr>
        <w:spacing w:line="360" w:lineRule="auto"/>
        <w:ind w:firstLine="1440"/>
        <w:rPr>
          <w:snapToGrid w:val="0"/>
          <w:sz w:val="24"/>
          <w:szCs w:val="24"/>
        </w:rPr>
      </w:pPr>
      <w:r w:rsidRPr="001A540B">
        <w:rPr>
          <w:snapToGrid w:val="0"/>
          <w:sz w:val="24"/>
          <w:szCs w:val="24"/>
        </w:rPr>
        <w:t>I returned to the hearing room at 10:</w:t>
      </w:r>
      <w:r>
        <w:rPr>
          <w:snapToGrid w:val="0"/>
          <w:sz w:val="24"/>
          <w:szCs w:val="24"/>
        </w:rPr>
        <w:t>1</w:t>
      </w:r>
      <w:r w:rsidRPr="001A540B">
        <w:rPr>
          <w:snapToGrid w:val="0"/>
          <w:sz w:val="24"/>
          <w:szCs w:val="24"/>
        </w:rPr>
        <w:t xml:space="preserve">7 a.m., and Complainant had not called into the telephonic hearing.  Accordingly, the hearing proceeded in Complainant’s absence.  No testimony or evidence was offered by Respondent.  Counsel for Respondent moved for dismissal of the </w:t>
      </w:r>
      <w:r>
        <w:rPr>
          <w:snapToGrid w:val="0"/>
          <w:sz w:val="24"/>
          <w:szCs w:val="24"/>
        </w:rPr>
        <w:t>C</w:t>
      </w:r>
      <w:r w:rsidRPr="001A540B">
        <w:rPr>
          <w:snapToGrid w:val="0"/>
          <w:sz w:val="24"/>
          <w:szCs w:val="24"/>
        </w:rPr>
        <w:t>omplaint for lack of prosecution.  I informed counsel that the motion would be taken under advisement</w:t>
      </w:r>
      <w:r>
        <w:rPr>
          <w:snapToGrid w:val="0"/>
          <w:sz w:val="24"/>
          <w:szCs w:val="24"/>
        </w:rPr>
        <w:t>.</w:t>
      </w:r>
      <w:r w:rsidRPr="001A540B">
        <w:rPr>
          <w:snapToGrid w:val="0"/>
          <w:sz w:val="24"/>
          <w:szCs w:val="24"/>
        </w:rPr>
        <w:t xml:space="preserve">  The hearing was adjourned at 10:</w:t>
      </w:r>
      <w:r>
        <w:rPr>
          <w:snapToGrid w:val="0"/>
          <w:sz w:val="24"/>
          <w:szCs w:val="24"/>
        </w:rPr>
        <w:t>21</w:t>
      </w:r>
      <w:r w:rsidRPr="001A540B">
        <w:rPr>
          <w:snapToGrid w:val="0"/>
          <w:sz w:val="24"/>
          <w:szCs w:val="24"/>
        </w:rPr>
        <w:t xml:space="preserve"> a.m.</w:t>
      </w:r>
    </w:p>
    <w:p w:rsidR="001A540B" w:rsidRDefault="001A540B" w:rsidP="001A540B">
      <w:pPr>
        <w:spacing w:line="360" w:lineRule="auto"/>
        <w:ind w:firstLine="1440"/>
        <w:rPr>
          <w:snapToGrid w:val="0"/>
          <w:sz w:val="24"/>
          <w:szCs w:val="24"/>
        </w:rPr>
      </w:pPr>
    </w:p>
    <w:p w:rsidR="005867EF" w:rsidRDefault="005867EF" w:rsidP="005867EF">
      <w:pPr>
        <w:tabs>
          <w:tab w:val="left" w:pos="-720"/>
        </w:tabs>
        <w:suppressAutoHyphens/>
        <w:spacing w:line="360" w:lineRule="auto"/>
        <w:rPr>
          <w:sz w:val="24"/>
          <w:szCs w:val="24"/>
        </w:rPr>
      </w:pPr>
      <w:r>
        <w:rPr>
          <w:snapToGrid w:val="0"/>
          <w:sz w:val="24"/>
          <w:szCs w:val="24"/>
        </w:rPr>
        <w:lastRenderedPageBreak/>
        <w:tab/>
      </w:r>
      <w:r>
        <w:rPr>
          <w:snapToGrid w:val="0"/>
          <w:sz w:val="24"/>
          <w:szCs w:val="24"/>
        </w:rPr>
        <w:tab/>
      </w:r>
      <w:r w:rsidR="00AD6699">
        <w:rPr>
          <w:snapToGrid w:val="0"/>
          <w:sz w:val="24"/>
          <w:szCs w:val="24"/>
        </w:rPr>
        <w:t xml:space="preserve">At 10:30 a.m. on April 10, 2015, Mr. Taylor telephoned the Pittsburgh OALJ’s administrative staff, and he explained that he missed the hearing because he had overslept.  He asked for the hearing to be reopened so he could present his case.  </w:t>
      </w:r>
      <w:r>
        <w:rPr>
          <w:snapToGrid w:val="0"/>
          <w:sz w:val="24"/>
          <w:szCs w:val="24"/>
        </w:rPr>
        <w:t>By telephone response at 10:42 a.m. on April 10, 2015, counsel for PECO indicated the PECO did not object to reopening the hearing.  As a result, by Hearing Notice dated April 14, 2015, the parties were informed that I would conduct a f</w:t>
      </w:r>
      <w:r w:rsidRPr="005867EF">
        <w:rPr>
          <w:sz w:val="24"/>
          <w:szCs w:val="24"/>
        </w:rPr>
        <w:t xml:space="preserve">urther </w:t>
      </w:r>
      <w:r>
        <w:rPr>
          <w:sz w:val="24"/>
          <w:szCs w:val="24"/>
        </w:rPr>
        <w:t xml:space="preserve">telephone hearing on June </w:t>
      </w:r>
      <w:r w:rsidR="00A15E71">
        <w:rPr>
          <w:sz w:val="24"/>
          <w:szCs w:val="24"/>
        </w:rPr>
        <w:t xml:space="preserve">9, 2015 at 10:00 a.m.  </w:t>
      </w:r>
    </w:p>
    <w:p w:rsidR="00A15E71" w:rsidRDefault="00A15E71" w:rsidP="005867EF">
      <w:pPr>
        <w:tabs>
          <w:tab w:val="left" w:pos="-720"/>
        </w:tabs>
        <w:suppressAutoHyphens/>
        <w:spacing w:line="360" w:lineRule="auto"/>
        <w:rPr>
          <w:sz w:val="24"/>
          <w:szCs w:val="24"/>
        </w:rPr>
      </w:pPr>
    </w:p>
    <w:p w:rsidR="00A15E71" w:rsidRDefault="00A15E71" w:rsidP="00A15E71">
      <w:pPr>
        <w:tabs>
          <w:tab w:val="left" w:pos="-720"/>
        </w:tabs>
        <w:suppressAutoHyphens/>
        <w:spacing w:line="360" w:lineRule="auto"/>
        <w:rPr>
          <w:sz w:val="24"/>
          <w:szCs w:val="24"/>
        </w:rPr>
      </w:pPr>
      <w:r>
        <w:rPr>
          <w:sz w:val="24"/>
          <w:szCs w:val="24"/>
        </w:rPr>
        <w:tab/>
      </w:r>
      <w:r>
        <w:rPr>
          <w:sz w:val="24"/>
          <w:szCs w:val="24"/>
        </w:rPr>
        <w:tab/>
        <w:t xml:space="preserve">The further telephone hearing convened as scheduled.  Complainant, </w:t>
      </w:r>
      <w:r w:rsidR="00EF3B3C">
        <w:rPr>
          <w:sz w:val="24"/>
          <w:szCs w:val="24"/>
        </w:rPr>
        <w:t>R</w:t>
      </w:r>
      <w:r>
        <w:rPr>
          <w:sz w:val="24"/>
          <w:szCs w:val="24"/>
        </w:rPr>
        <w:t xml:space="preserve">espondent’s new counsel, Margaret A. Morris, Esquire, and Witness McCollum, were present for the hearing.  </w:t>
      </w:r>
    </w:p>
    <w:p w:rsidR="0068316A" w:rsidRDefault="00755690" w:rsidP="00A15E71">
      <w:pPr>
        <w:tabs>
          <w:tab w:val="left" w:pos="-720"/>
        </w:tabs>
        <w:suppressAutoHyphens/>
        <w:spacing w:line="360" w:lineRule="auto"/>
        <w:rPr>
          <w:sz w:val="24"/>
          <w:szCs w:val="24"/>
        </w:rPr>
      </w:pPr>
      <w:r>
        <w:rPr>
          <w:sz w:val="24"/>
          <w:szCs w:val="24"/>
        </w:rPr>
        <w:t xml:space="preserve"> </w:t>
      </w:r>
    </w:p>
    <w:p w:rsidR="00C83184" w:rsidRDefault="001F292E" w:rsidP="00C260F0">
      <w:pPr>
        <w:spacing w:line="360" w:lineRule="auto"/>
        <w:ind w:firstLine="1440"/>
        <w:rPr>
          <w:sz w:val="24"/>
          <w:szCs w:val="24"/>
        </w:rPr>
      </w:pPr>
      <w:r w:rsidRPr="00C7211E">
        <w:rPr>
          <w:sz w:val="24"/>
          <w:szCs w:val="24"/>
        </w:rPr>
        <w:t xml:space="preserve">Prior to the receipt of any testimony </w:t>
      </w:r>
      <w:r w:rsidR="0016380D">
        <w:rPr>
          <w:sz w:val="24"/>
          <w:szCs w:val="24"/>
        </w:rPr>
        <w:t>or</w:t>
      </w:r>
      <w:r w:rsidRPr="00C7211E">
        <w:rPr>
          <w:sz w:val="24"/>
          <w:szCs w:val="24"/>
        </w:rPr>
        <w:t xml:space="preserve"> evidence</w:t>
      </w:r>
      <w:r w:rsidR="0068316A">
        <w:rPr>
          <w:sz w:val="24"/>
          <w:szCs w:val="24"/>
        </w:rPr>
        <w:t xml:space="preserve"> in this proceeding</w:t>
      </w:r>
      <w:r w:rsidRPr="00C7211E">
        <w:rPr>
          <w:sz w:val="24"/>
          <w:szCs w:val="24"/>
        </w:rPr>
        <w:t>, Complainant and Responden</w:t>
      </w:r>
      <w:r w:rsidR="00A15E71">
        <w:rPr>
          <w:sz w:val="24"/>
          <w:szCs w:val="24"/>
        </w:rPr>
        <w:t xml:space="preserve">t’s counsel </w:t>
      </w:r>
      <w:r w:rsidRPr="00C7211E">
        <w:rPr>
          <w:sz w:val="24"/>
          <w:szCs w:val="24"/>
        </w:rPr>
        <w:t xml:space="preserve">engaged in </w:t>
      </w:r>
      <w:r w:rsidR="00A15E71">
        <w:rPr>
          <w:sz w:val="24"/>
          <w:szCs w:val="24"/>
        </w:rPr>
        <w:t>d</w:t>
      </w:r>
      <w:r w:rsidRPr="00C7211E">
        <w:rPr>
          <w:sz w:val="24"/>
          <w:szCs w:val="24"/>
        </w:rPr>
        <w:t xml:space="preserve">iscussions </w:t>
      </w:r>
      <w:r w:rsidR="008B34B4">
        <w:rPr>
          <w:sz w:val="24"/>
          <w:szCs w:val="24"/>
        </w:rPr>
        <w:t xml:space="preserve">and stipulated to facts </w:t>
      </w:r>
      <w:r w:rsidR="00A15E71">
        <w:rPr>
          <w:sz w:val="24"/>
          <w:szCs w:val="24"/>
        </w:rPr>
        <w:t>more fully set forth below.  Complainant briefly testified</w:t>
      </w:r>
      <w:r w:rsidR="0016380D">
        <w:rPr>
          <w:sz w:val="24"/>
          <w:szCs w:val="24"/>
        </w:rPr>
        <w:t>,</w:t>
      </w:r>
      <w:r w:rsidR="00A15E71">
        <w:rPr>
          <w:sz w:val="24"/>
          <w:szCs w:val="24"/>
        </w:rPr>
        <w:t xml:space="preserve"> but </w:t>
      </w:r>
      <w:r w:rsidR="0016380D">
        <w:rPr>
          <w:sz w:val="24"/>
          <w:szCs w:val="24"/>
        </w:rPr>
        <w:t xml:space="preserve">he </w:t>
      </w:r>
      <w:r w:rsidR="00A15E71">
        <w:rPr>
          <w:sz w:val="24"/>
          <w:szCs w:val="24"/>
        </w:rPr>
        <w:t xml:space="preserve">did not sponsor any exhibits.  Respondent through Witness McCollum sponsored </w:t>
      </w:r>
      <w:r w:rsidR="008B34B4">
        <w:rPr>
          <w:sz w:val="24"/>
          <w:szCs w:val="24"/>
        </w:rPr>
        <w:t xml:space="preserve">pre-marked </w:t>
      </w:r>
      <w:r w:rsidR="00A15E71">
        <w:rPr>
          <w:sz w:val="24"/>
          <w:szCs w:val="24"/>
        </w:rPr>
        <w:t>Exhibits 1-R, 3, 4, 5, and 6, all of which were admitted into the record.</w:t>
      </w:r>
      <w:r w:rsidR="0080299B">
        <w:rPr>
          <w:sz w:val="24"/>
          <w:szCs w:val="24"/>
        </w:rPr>
        <w:t xml:space="preserve"> </w:t>
      </w:r>
      <w:r w:rsidR="00C260F0">
        <w:rPr>
          <w:sz w:val="24"/>
          <w:szCs w:val="24"/>
        </w:rPr>
        <w:t xml:space="preserve"> </w:t>
      </w:r>
      <w:r w:rsidR="00C83184">
        <w:rPr>
          <w:sz w:val="24"/>
          <w:szCs w:val="24"/>
        </w:rPr>
        <w:t>I received the transcript of the further hearing on July 6, 2015, and the record was closed by an interim order entered on July 7, 2015.</w:t>
      </w:r>
    </w:p>
    <w:p w:rsidR="0080299B" w:rsidRDefault="00C83184" w:rsidP="00C260F0">
      <w:pPr>
        <w:spacing w:line="360" w:lineRule="auto"/>
        <w:ind w:firstLine="1440"/>
        <w:rPr>
          <w:sz w:val="24"/>
          <w:szCs w:val="24"/>
        </w:rPr>
      </w:pPr>
      <w:r>
        <w:rPr>
          <w:sz w:val="24"/>
          <w:szCs w:val="24"/>
        </w:rPr>
        <w:t xml:space="preserve"> </w:t>
      </w:r>
    </w:p>
    <w:p w:rsidR="0080299B" w:rsidRPr="003C0388" w:rsidRDefault="0080299B" w:rsidP="00C260F0">
      <w:pPr>
        <w:spacing w:line="360" w:lineRule="auto"/>
        <w:rPr>
          <w:sz w:val="24"/>
          <w:szCs w:val="24"/>
        </w:rPr>
      </w:pPr>
      <w:r w:rsidRPr="003C0388">
        <w:rPr>
          <w:sz w:val="24"/>
          <w:szCs w:val="24"/>
          <w:u w:val="single"/>
        </w:rPr>
        <w:t>The Record</w:t>
      </w:r>
    </w:p>
    <w:p w:rsidR="00755690" w:rsidRDefault="00755690" w:rsidP="00C260F0">
      <w:pPr>
        <w:spacing w:line="360" w:lineRule="auto"/>
        <w:rPr>
          <w:sz w:val="24"/>
          <w:szCs w:val="24"/>
        </w:rPr>
      </w:pPr>
    </w:p>
    <w:p w:rsidR="0080299B" w:rsidRDefault="00755690" w:rsidP="00C260F0">
      <w:pPr>
        <w:spacing w:line="360" w:lineRule="auto"/>
        <w:ind w:firstLine="1440"/>
        <w:rPr>
          <w:sz w:val="24"/>
          <w:szCs w:val="24"/>
        </w:rPr>
      </w:pPr>
      <w:r>
        <w:rPr>
          <w:sz w:val="24"/>
          <w:szCs w:val="24"/>
        </w:rPr>
        <w:t xml:space="preserve">The record in this proceeding </w:t>
      </w:r>
      <w:r w:rsidR="003C0388">
        <w:rPr>
          <w:sz w:val="24"/>
          <w:szCs w:val="24"/>
        </w:rPr>
        <w:t xml:space="preserve">includes </w:t>
      </w:r>
      <w:r w:rsidR="008C6FEF">
        <w:rPr>
          <w:sz w:val="24"/>
          <w:szCs w:val="24"/>
        </w:rPr>
        <w:t xml:space="preserve">the Complaint and Answer, </w:t>
      </w:r>
      <w:r w:rsidR="00381BFA">
        <w:rPr>
          <w:sz w:val="24"/>
          <w:szCs w:val="24"/>
        </w:rPr>
        <w:t>a</w:t>
      </w:r>
      <w:r w:rsidR="008B34B4">
        <w:rPr>
          <w:sz w:val="24"/>
          <w:szCs w:val="24"/>
        </w:rPr>
        <w:t>n</w:t>
      </w:r>
      <w:r w:rsidR="00381BFA">
        <w:rPr>
          <w:sz w:val="24"/>
          <w:szCs w:val="24"/>
        </w:rPr>
        <w:t xml:space="preserve"> </w:t>
      </w:r>
      <w:r>
        <w:rPr>
          <w:sz w:val="24"/>
          <w:szCs w:val="24"/>
        </w:rPr>
        <w:t>1</w:t>
      </w:r>
      <w:r w:rsidR="00C83184">
        <w:rPr>
          <w:sz w:val="24"/>
          <w:szCs w:val="24"/>
        </w:rPr>
        <w:t>1</w:t>
      </w:r>
      <w:r>
        <w:rPr>
          <w:sz w:val="24"/>
          <w:szCs w:val="24"/>
        </w:rPr>
        <w:t xml:space="preserve">-page transcript of the </w:t>
      </w:r>
      <w:r w:rsidR="00C83184">
        <w:rPr>
          <w:sz w:val="24"/>
          <w:szCs w:val="24"/>
        </w:rPr>
        <w:t>April 10, 2015</w:t>
      </w:r>
      <w:r>
        <w:rPr>
          <w:sz w:val="24"/>
          <w:szCs w:val="24"/>
        </w:rPr>
        <w:t xml:space="preserve"> telephonic hearing, </w:t>
      </w:r>
      <w:r w:rsidR="00C83184">
        <w:rPr>
          <w:sz w:val="24"/>
          <w:szCs w:val="24"/>
        </w:rPr>
        <w:t xml:space="preserve">the 47-page transcript of the June 9, 2015 further </w:t>
      </w:r>
      <w:r w:rsidR="008B34B4">
        <w:rPr>
          <w:sz w:val="24"/>
          <w:szCs w:val="24"/>
        </w:rPr>
        <w:t xml:space="preserve">telephonic </w:t>
      </w:r>
      <w:r w:rsidR="00C83184">
        <w:rPr>
          <w:sz w:val="24"/>
          <w:szCs w:val="24"/>
        </w:rPr>
        <w:t xml:space="preserve">hearing, Respondent’s exhibits, and the Parties’ stipulations. </w:t>
      </w:r>
      <w:r w:rsidR="00BE2C14">
        <w:rPr>
          <w:sz w:val="24"/>
          <w:szCs w:val="24"/>
        </w:rPr>
        <w:t xml:space="preserve"> </w:t>
      </w:r>
      <w:r w:rsidR="003D1B0F">
        <w:rPr>
          <w:sz w:val="24"/>
          <w:szCs w:val="24"/>
        </w:rPr>
        <w:t>This case is procedurally ready for ruling.</w:t>
      </w:r>
    </w:p>
    <w:p w:rsidR="008B1581" w:rsidRDefault="008B1581" w:rsidP="00C260F0">
      <w:pPr>
        <w:spacing w:line="360" w:lineRule="auto"/>
        <w:ind w:firstLine="1440"/>
        <w:rPr>
          <w:sz w:val="24"/>
          <w:szCs w:val="24"/>
        </w:rPr>
      </w:pPr>
    </w:p>
    <w:p w:rsidR="008B1581" w:rsidRDefault="008B1581" w:rsidP="00C260F0">
      <w:pPr>
        <w:spacing w:line="360" w:lineRule="auto"/>
        <w:ind w:firstLine="1440"/>
        <w:rPr>
          <w:sz w:val="24"/>
          <w:szCs w:val="24"/>
        </w:rPr>
      </w:pPr>
    </w:p>
    <w:p w:rsidR="008B1581" w:rsidRDefault="008B1581" w:rsidP="00C260F0">
      <w:pPr>
        <w:spacing w:line="360" w:lineRule="auto"/>
        <w:ind w:firstLine="1440"/>
        <w:rPr>
          <w:sz w:val="24"/>
          <w:szCs w:val="24"/>
        </w:rPr>
      </w:pPr>
    </w:p>
    <w:p w:rsidR="008B1581" w:rsidRDefault="008B1581" w:rsidP="00C260F0">
      <w:pPr>
        <w:spacing w:line="360" w:lineRule="auto"/>
        <w:ind w:firstLine="1440"/>
        <w:rPr>
          <w:sz w:val="24"/>
          <w:szCs w:val="24"/>
        </w:rPr>
      </w:pPr>
    </w:p>
    <w:p w:rsidR="008B1581" w:rsidRDefault="008B1581" w:rsidP="00C260F0">
      <w:pPr>
        <w:spacing w:line="360" w:lineRule="auto"/>
        <w:ind w:firstLine="1440"/>
        <w:rPr>
          <w:sz w:val="24"/>
          <w:szCs w:val="24"/>
        </w:rPr>
      </w:pPr>
    </w:p>
    <w:p w:rsidR="008B1581" w:rsidRDefault="008B1581" w:rsidP="00C260F0">
      <w:pPr>
        <w:spacing w:line="360" w:lineRule="auto"/>
        <w:ind w:firstLine="1440"/>
        <w:rPr>
          <w:sz w:val="24"/>
          <w:szCs w:val="24"/>
        </w:rPr>
      </w:pPr>
    </w:p>
    <w:p w:rsidR="003D1B0F" w:rsidRDefault="003D1B0F" w:rsidP="00C260F0">
      <w:pPr>
        <w:spacing w:line="360" w:lineRule="auto"/>
        <w:ind w:firstLine="1440"/>
        <w:rPr>
          <w:sz w:val="24"/>
          <w:szCs w:val="24"/>
        </w:rPr>
      </w:pPr>
    </w:p>
    <w:p w:rsidR="003D1B0F" w:rsidRDefault="003D1B0F" w:rsidP="003D1B0F">
      <w:pPr>
        <w:spacing w:line="360" w:lineRule="auto"/>
        <w:jc w:val="center"/>
        <w:rPr>
          <w:sz w:val="24"/>
          <w:szCs w:val="24"/>
        </w:rPr>
      </w:pPr>
      <w:r>
        <w:rPr>
          <w:sz w:val="24"/>
          <w:szCs w:val="24"/>
          <w:u w:val="single"/>
        </w:rPr>
        <w:lastRenderedPageBreak/>
        <w:t>FINDINGS OF FACT</w:t>
      </w:r>
    </w:p>
    <w:p w:rsidR="003D1B0F" w:rsidRDefault="003D1B0F" w:rsidP="003D1B0F">
      <w:pPr>
        <w:spacing w:line="360" w:lineRule="auto"/>
        <w:rPr>
          <w:sz w:val="24"/>
          <w:szCs w:val="24"/>
        </w:rPr>
      </w:pPr>
    </w:p>
    <w:p w:rsidR="003D1B0F" w:rsidRDefault="003D1B0F" w:rsidP="003D1B0F">
      <w:pPr>
        <w:spacing w:line="360" w:lineRule="auto"/>
        <w:rPr>
          <w:sz w:val="24"/>
          <w:szCs w:val="24"/>
        </w:rPr>
      </w:pPr>
      <w:r>
        <w:rPr>
          <w:sz w:val="24"/>
          <w:szCs w:val="24"/>
          <w:u w:val="single"/>
        </w:rPr>
        <w:t>The Parties</w:t>
      </w:r>
      <w:r w:rsidR="00BF52D5">
        <w:rPr>
          <w:sz w:val="24"/>
          <w:szCs w:val="24"/>
          <w:u w:val="single"/>
        </w:rPr>
        <w:t xml:space="preserve"> and </w:t>
      </w:r>
      <w:r w:rsidR="00A15652">
        <w:rPr>
          <w:sz w:val="24"/>
          <w:szCs w:val="24"/>
          <w:u w:val="single"/>
        </w:rPr>
        <w:t xml:space="preserve">Their Prior </w:t>
      </w:r>
      <w:r w:rsidR="00BF52D5">
        <w:rPr>
          <w:sz w:val="24"/>
          <w:szCs w:val="24"/>
          <w:u w:val="single"/>
        </w:rPr>
        <w:t>Payment Arrangement</w:t>
      </w:r>
    </w:p>
    <w:p w:rsidR="003D1B0F" w:rsidRPr="003D1B0F" w:rsidRDefault="003D1B0F" w:rsidP="003D1B0F">
      <w:pPr>
        <w:spacing w:line="360" w:lineRule="auto"/>
        <w:rPr>
          <w:sz w:val="24"/>
          <w:szCs w:val="24"/>
        </w:rPr>
      </w:pPr>
    </w:p>
    <w:p w:rsidR="003D1B0F" w:rsidRDefault="003D1B0F" w:rsidP="003D1B0F">
      <w:pPr>
        <w:spacing w:line="360" w:lineRule="auto"/>
        <w:rPr>
          <w:sz w:val="24"/>
          <w:szCs w:val="24"/>
        </w:rPr>
      </w:pPr>
      <w:r>
        <w:rPr>
          <w:sz w:val="24"/>
          <w:szCs w:val="24"/>
        </w:rPr>
        <w:tab/>
      </w:r>
      <w:r>
        <w:rPr>
          <w:sz w:val="24"/>
          <w:szCs w:val="24"/>
        </w:rPr>
        <w:tab/>
        <w:t>1.</w:t>
      </w:r>
      <w:r>
        <w:rPr>
          <w:sz w:val="24"/>
          <w:szCs w:val="24"/>
        </w:rPr>
        <w:tab/>
        <w:t xml:space="preserve">Complainant Frank R. Taylor receives electric service from Respondent PECO Energy Company at 6228 Roosevelt Boulevard, </w:t>
      </w:r>
      <w:r w:rsidR="00BE2C14">
        <w:rPr>
          <w:sz w:val="24"/>
          <w:szCs w:val="24"/>
        </w:rPr>
        <w:t>A</w:t>
      </w:r>
      <w:r>
        <w:rPr>
          <w:sz w:val="24"/>
          <w:szCs w:val="24"/>
        </w:rPr>
        <w:t xml:space="preserve">partment B, </w:t>
      </w:r>
      <w:proofErr w:type="gramStart"/>
      <w:r>
        <w:rPr>
          <w:sz w:val="24"/>
          <w:szCs w:val="24"/>
        </w:rPr>
        <w:t>Philadelphia</w:t>
      </w:r>
      <w:proofErr w:type="gramEnd"/>
      <w:r>
        <w:rPr>
          <w:sz w:val="24"/>
          <w:szCs w:val="24"/>
        </w:rPr>
        <w:t xml:space="preserve"> PA 19149.  (Tr. 5.)</w:t>
      </w:r>
    </w:p>
    <w:p w:rsidR="003D1B0F" w:rsidRDefault="003D1B0F" w:rsidP="003D1B0F">
      <w:pPr>
        <w:spacing w:line="360" w:lineRule="auto"/>
        <w:rPr>
          <w:sz w:val="24"/>
          <w:szCs w:val="24"/>
        </w:rPr>
      </w:pPr>
    </w:p>
    <w:p w:rsidR="00162760" w:rsidRDefault="003D1B0F" w:rsidP="003D1B0F">
      <w:pPr>
        <w:spacing w:line="360" w:lineRule="auto"/>
        <w:rPr>
          <w:sz w:val="24"/>
          <w:szCs w:val="24"/>
        </w:rPr>
      </w:pPr>
      <w:r>
        <w:rPr>
          <w:sz w:val="24"/>
          <w:szCs w:val="24"/>
        </w:rPr>
        <w:tab/>
      </w:r>
      <w:r>
        <w:rPr>
          <w:sz w:val="24"/>
          <w:szCs w:val="24"/>
        </w:rPr>
        <w:tab/>
        <w:t>2.</w:t>
      </w:r>
      <w:r>
        <w:rPr>
          <w:sz w:val="24"/>
          <w:szCs w:val="24"/>
        </w:rPr>
        <w:tab/>
        <w:t xml:space="preserve">Respondent PECO Energy Company is a jurisdictional public utility </w:t>
      </w:r>
    </w:p>
    <w:p w:rsidR="003D1B0F" w:rsidRDefault="003D1B0F" w:rsidP="003D1B0F">
      <w:pPr>
        <w:spacing w:line="360" w:lineRule="auto"/>
        <w:rPr>
          <w:sz w:val="24"/>
          <w:szCs w:val="24"/>
        </w:rPr>
      </w:pPr>
      <w:r>
        <w:rPr>
          <w:sz w:val="24"/>
          <w:szCs w:val="24"/>
        </w:rPr>
        <w:t>providing electric service to Pennsylvania customers.</w:t>
      </w:r>
    </w:p>
    <w:p w:rsidR="008C6FEF" w:rsidRDefault="008C6FEF" w:rsidP="003D1B0F">
      <w:pPr>
        <w:spacing w:line="360" w:lineRule="auto"/>
        <w:rPr>
          <w:sz w:val="24"/>
          <w:szCs w:val="24"/>
        </w:rPr>
      </w:pPr>
    </w:p>
    <w:p w:rsidR="00BF52D5" w:rsidRDefault="00BF52D5" w:rsidP="003D1B0F">
      <w:pPr>
        <w:spacing w:line="360" w:lineRule="auto"/>
        <w:rPr>
          <w:sz w:val="24"/>
          <w:szCs w:val="24"/>
        </w:rPr>
      </w:pPr>
      <w:r>
        <w:rPr>
          <w:sz w:val="24"/>
          <w:szCs w:val="24"/>
        </w:rPr>
        <w:tab/>
      </w:r>
      <w:r>
        <w:rPr>
          <w:sz w:val="24"/>
          <w:szCs w:val="24"/>
        </w:rPr>
        <w:tab/>
        <w:t>3.</w:t>
      </w:r>
      <w:r>
        <w:rPr>
          <w:sz w:val="24"/>
          <w:szCs w:val="24"/>
        </w:rPr>
        <w:tab/>
        <w:t>On August 5, 2014, Respondent issued Mr. Taylor a payment arrangement on his account balance of $1,207.37 with a monthly payment of $210.37 for six months.  (Tr. 31-32.)</w:t>
      </w:r>
    </w:p>
    <w:p w:rsidR="00BF52D5" w:rsidRDefault="00BF52D5" w:rsidP="003D1B0F">
      <w:pPr>
        <w:spacing w:line="360" w:lineRule="auto"/>
        <w:rPr>
          <w:sz w:val="24"/>
          <w:szCs w:val="24"/>
        </w:rPr>
      </w:pPr>
    </w:p>
    <w:p w:rsidR="00BF52D5" w:rsidRDefault="00BF52D5" w:rsidP="003D1B0F">
      <w:pPr>
        <w:spacing w:line="360" w:lineRule="auto"/>
        <w:rPr>
          <w:sz w:val="24"/>
          <w:szCs w:val="24"/>
        </w:rPr>
      </w:pPr>
      <w:r>
        <w:rPr>
          <w:sz w:val="24"/>
          <w:szCs w:val="24"/>
        </w:rPr>
        <w:tab/>
      </w:r>
      <w:r>
        <w:rPr>
          <w:sz w:val="24"/>
          <w:szCs w:val="24"/>
        </w:rPr>
        <w:tab/>
        <w:t>4.</w:t>
      </w:r>
      <w:r>
        <w:rPr>
          <w:sz w:val="24"/>
          <w:szCs w:val="24"/>
        </w:rPr>
        <w:tab/>
        <w:t>Mr. Taylor defaulted on the August 5, 2014 payment arrangement</w:t>
      </w:r>
      <w:r w:rsidR="0074022D">
        <w:rPr>
          <w:sz w:val="24"/>
          <w:szCs w:val="24"/>
        </w:rPr>
        <w:t xml:space="preserve"> because of matters related to his job</w:t>
      </w:r>
      <w:r>
        <w:rPr>
          <w:sz w:val="24"/>
          <w:szCs w:val="24"/>
        </w:rPr>
        <w:t>.  (Tr.</w:t>
      </w:r>
      <w:r w:rsidR="00AA2305">
        <w:rPr>
          <w:sz w:val="24"/>
          <w:szCs w:val="24"/>
        </w:rPr>
        <w:t xml:space="preserve"> 10, </w:t>
      </w:r>
      <w:r>
        <w:rPr>
          <w:sz w:val="24"/>
          <w:szCs w:val="24"/>
        </w:rPr>
        <w:t>32; Exhibit 1-R.)</w:t>
      </w:r>
    </w:p>
    <w:p w:rsidR="00BF52D5" w:rsidRDefault="00BF52D5" w:rsidP="003D1B0F">
      <w:pPr>
        <w:spacing w:line="360" w:lineRule="auto"/>
        <w:rPr>
          <w:sz w:val="24"/>
          <w:szCs w:val="24"/>
        </w:rPr>
      </w:pPr>
    </w:p>
    <w:p w:rsidR="003D1B0F" w:rsidRDefault="003D1B0F" w:rsidP="003D1B0F">
      <w:pPr>
        <w:spacing w:line="360" w:lineRule="auto"/>
        <w:rPr>
          <w:sz w:val="24"/>
          <w:szCs w:val="24"/>
        </w:rPr>
      </w:pPr>
      <w:r>
        <w:rPr>
          <w:sz w:val="24"/>
          <w:szCs w:val="24"/>
        </w:rPr>
        <w:tab/>
      </w:r>
      <w:r>
        <w:rPr>
          <w:sz w:val="24"/>
          <w:szCs w:val="24"/>
        </w:rPr>
        <w:tab/>
      </w:r>
      <w:r w:rsidR="00A15652">
        <w:rPr>
          <w:sz w:val="24"/>
          <w:szCs w:val="24"/>
        </w:rPr>
        <w:t>5</w:t>
      </w:r>
      <w:r>
        <w:rPr>
          <w:sz w:val="24"/>
          <w:szCs w:val="24"/>
        </w:rPr>
        <w:t>.</w:t>
      </w:r>
      <w:r>
        <w:rPr>
          <w:sz w:val="24"/>
          <w:szCs w:val="24"/>
        </w:rPr>
        <w:tab/>
      </w:r>
      <w:r w:rsidR="008C6FEF">
        <w:rPr>
          <w:sz w:val="24"/>
          <w:szCs w:val="24"/>
        </w:rPr>
        <w:t>On December 14, 2014, Complainant filed a Complaint with the Commission against Respondent seeking a payment arrangement.  (Complaint ¶ 4.)</w:t>
      </w:r>
    </w:p>
    <w:p w:rsidR="008C6FEF" w:rsidRDefault="008C6FEF" w:rsidP="003D1B0F">
      <w:pPr>
        <w:spacing w:line="360" w:lineRule="auto"/>
        <w:rPr>
          <w:sz w:val="24"/>
          <w:szCs w:val="24"/>
        </w:rPr>
      </w:pPr>
    </w:p>
    <w:p w:rsidR="008C6FEF" w:rsidRPr="003D1B0F" w:rsidRDefault="008C6FEF" w:rsidP="003D1B0F">
      <w:pPr>
        <w:spacing w:line="360" w:lineRule="auto"/>
        <w:rPr>
          <w:sz w:val="24"/>
          <w:szCs w:val="24"/>
        </w:rPr>
      </w:pPr>
      <w:r>
        <w:rPr>
          <w:sz w:val="24"/>
          <w:szCs w:val="24"/>
        </w:rPr>
        <w:tab/>
      </w:r>
      <w:r>
        <w:rPr>
          <w:sz w:val="24"/>
          <w:szCs w:val="24"/>
        </w:rPr>
        <w:tab/>
      </w:r>
      <w:r w:rsidR="00A15652">
        <w:rPr>
          <w:sz w:val="24"/>
          <w:szCs w:val="24"/>
        </w:rPr>
        <w:t>6</w:t>
      </w:r>
      <w:r>
        <w:rPr>
          <w:sz w:val="24"/>
          <w:szCs w:val="24"/>
        </w:rPr>
        <w:t>.</w:t>
      </w:r>
      <w:r>
        <w:rPr>
          <w:sz w:val="24"/>
          <w:szCs w:val="24"/>
        </w:rPr>
        <w:tab/>
        <w:t>On January 9, 2015, Respondent filed an Answer admitting that Complain</w:t>
      </w:r>
      <w:r w:rsidR="00892297">
        <w:rPr>
          <w:sz w:val="24"/>
          <w:szCs w:val="24"/>
        </w:rPr>
        <w:t>ant</w:t>
      </w:r>
      <w:r>
        <w:rPr>
          <w:sz w:val="24"/>
          <w:szCs w:val="24"/>
        </w:rPr>
        <w:t xml:space="preserve"> was seeking a Commission</w:t>
      </w:r>
      <w:r w:rsidR="00823F8B">
        <w:rPr>
          <w:sz w:val="24"/>
          <w:szCs w:val="24"/>
        </w:rPr>
        <w:t>-</w:t>
      </w:r>
      <w:r>
        <w:rPr>
          <w:sz w:val="24"/>
          <w:szCs w:val="24"/>
        </w:rPr>
        <w:t>ordered payment arrangement.  (Answer ¶ 4).</w:t>
      </w:r>
    </w:p>
    <w:p w:rsidR="00C83184" w:rsidRDefault="00C83184" w:rsidP="00C260F0">
      <w:pPr>
        <w:spacing w:line="360" w:lineRule="auto"/>
        <w:ind w:firstLine="1440"/>
        <w:rPr>
          <w:sz w:val="24"/>
          <w:szCs w:val="24"/>
        </w:rPr>
      </w:pPr>
    </w:p>
    <w:p w:rsidR="00CE5002" w:rsidRDefault="008C6FEF" w:rsidP="008C6FEF">
      <w:pPr>
        <w:spacing w:line="360" w:lineRule="auto"/>
        <w:rPr>
          <w:sz w:val="24"/>
          <w:szCs w:val="24"/>
          <w:u w:val="single"/>
        </w:rPr>
      </w:pPr>
      <w:r>
        <w:rPr>
          <w:sz w:val="24"/>
          <w:szCs w:val="24"/>
          <w:u w:val="single"/>
        </w:rPr>
        <w:softHyphen/>
        <w:t>Stipulations of the Parties</w:t>
      </w:r>
    </w:p>
    <w:p w:rsidR="003D1B0F" w:rsidRDefault="003D1B0F" w:rsidP="00C260F0">
      <w:pPr>
        <w:spacing w:line="360" w:lineRule="auto"/>
        <w:rPr>
          <w:sz w:val="24"/>
          <w:szCs w:val="24"/>
          <w:u w:val="single"/>
        </w:rPr>
      </w:pPr>
    </w:p>
    <w:p w:rsidR="0001558A" w:rsidRDefault="00C83184" w:rsidP="008C6FEF">
      <w:pPr>
        <w:spacing w:line="360" w:lineRule="auto"/>
        <w:rPr>
          <w:sz w:val="24"/>
          <w:szCs w:val="24"/>
        </w:rPr>
      </w:pPr>
      <w:r>
        <w:rPr>
          <w:sz w:val="24"/>
          <w:szCs w:val="24"/>
        </w:rPr>
        <w:tab/>
      </w:r>
      <w:r>
        <w:rPr>
          <w:sz w:val="24"/>
          <w:szCs w:val="24"/>
        </w:rPr>
        <w:tab/>
      </w:r>
      <w:r w:rsidR="00A15652">
        <w:rPr>
          <w:sz w:val="24"/>
          <w:szCs w:val="24"/>
        </w:rPr>
        <w:t>7</w:t>
      </w:r>
      <w:r w:rsidR="008C6FEF">
        <w:rPr>
          <w:sz w:val="24"/>
          <w:szCs w:val="24"/>
        </w:rPr>
        <w:t>.</w:t>
      </w:r>
      <w:r w:rsidR="008C6FEF">
        <w:rPr>
          <w:sz w:val="24"/>
          <w:szCs w:val="24"/>
        </w:rPr>
        <w:tab/>
        <w:t xml:space="preserve">Mr. Taylor </w:t>
      </w:r>
      <w:r>
        <w:rPr>
          <w:sz w:val="24"/>
          <w:szCs w:val="24"/>
        </w:rPr>
        <w:t xml:space="preserve">has never </w:t>
      </w:r>
      <w:r w:rsidR="008C6FEF">
        <w:rPr>
          <w:sz w:val="24"/>
          <w:szCs w:val="24"/>
        </w:rPr>
        <w:t xml:space="preserve">had </w:t>
      </w:r>
      <w:r w:rsidR="0001558A">
        <w:rPr>
          <w:sz w:val="24"/>
          <w:szCs w:val="24"/>
        </w:rPr>
        <w:t>a</w:t>
      </w:r>
      <w:r>
        <w:rPr>
          <w:sz w:val="24"/>
          <w:szCs w:val="24"/>
        </w:rPr>
        <w:t xml:space="preserve"> </w:t>
      </w:r>
      <w:r w:rsidR="0001558A">
        <w:rPr>
          <w:sz w:val="24"/>
          <w:szCs w:val="24"/>
        </w:rPr>
        <w:t>payment arrangement issued either by BCS or a C</w:t>
      </w:r>
      <w:r>
        <w:rPr>
          <w:sz w:val="24"/>
          <w:szCs w:val="24"/>
        </w:rPr>
        <w:t>o</w:t>
      </w:r>
      <w:r w:rsidR="0001558A">
        <w:rPr>
          <w:sz w:val="24"/>
          <w:szCs w:val="24"/>
        </w:rPr>
        <w:t>mmission order.  (Tr. 17</w:t>
      </w:r>
      <w:r w:rsidR="0045586C">
        <w:rPr>
          <w:sz w:val="24"/>
          <w:szCs w:val="24"/>
        </w:rPr>
        <w:t>, 20</w:t>
      </w:r>
      <w:r w:rsidR="0001558A">
        <w:rPr>
          <w:sz w:val="24"/>
          <w:szCs w:val="24"/>
        </w:rPr>
        <w:t>.)</w:t>
      </w:r>
    </w:p>
    <w:p w:rsidR="0001558A" w:rsidRPr="0001558A" w:rsidRDefault="0001558A" w:rsidP="0001558A">
      <w:pPr>
        <w:spacing w:line="360" w:lineRule="auto"/>
        <w:rPr>
          <w:sz w:val="24"/>
          <w:szCs w:val="24"/>
        </w:rPr>
      </w:pPr>
    </w:p>
    <w:p w:rsidR="001719E4" w:rsidRDefault="0001558A" w:rsidP="00A15652">
      <w:pPr>
        <w:pStyle w:val="ListParagraph"/>
        <w:numPr>
          <w:ilvl w:val="0"/>
          <w:numId w:val="5"/>
        </w:numPr>
        <w:spacing w:line="360" w:lineRule="auto"/>
        <w:ind w:left="0" w:firstLine="1440"/>
        <w:rPr>
          <w:sz w:val="24"/>
          <w:szCs w:val="24"/>
        </w:rPr>
      </w:pPr>
      <w:r w:rsidRPr="0001558A">
        <w:rPr>
          <w:sz w:val="24"/>
          <w:szCs w:val="24"/>
        </w:rPr>
        <w:t xml:space="preserve">PECO does not oppose Mr. Taylor’s request for a </w:t>
      </w:r>
      <w:r w:rsidR="008C6FEF">
        <w:rPr>
          <w:sz w:val="24"/>
          <w:szCs w:val="24"/>
        </w:rPr>
        <w:t>Commission</w:t>
      </w:r>
      <w:r w:rsidR="00823F8B">
        <w:rPr>
          <w:sz w:val="24"/>
          <w:szCs w:val="24"/>
        </w:rPr>
        <w:t>-</w:t>
      </w:r>
      <w:r w:rsidR="008C6FEF">
        <w:rPr>
          <w:sz w:val="24"/>
          <w:szCs w:val="24"/>
        </w:rPr>
        <w:t>ordered</w:t>
      </w:r>
      <w:r w:rsidRPr="0001558A">
        <w:rPr>
          <w:sz w:val="24"/>
          <w:szCs w:val="24"/>
        </w:rPr>
        <w:t xml:space="preserve"> payment arrangement.  </w:t>
      </w:r>
      <w:r>
        <w:rPr>
          <w:sz w:val="24"/>
          <w:szCs w:val="24"/>
        </w:rPr>
        <w:t>(Id.)</w:t>
      </w:r>
    </w:p>
    <w:p w:rsidR="0001558A" w:rsidRDefault="00354C2F" w:rsidP="00C260F0">
      <w:pPr>
        <w:pStyle w:val="ListParagraph"/>
        <w:numPr>
          <w:ilvl w:val="0"/>
          <w:numId w:val="5"/>
        </w:numPr>
        <w:spacing w:line="360" w:lineRule="auto"/>
        <w:ind w:left="0" w:firstLine="1440"/>
        <w:rPr>
          <w:sz w:val="24"/>
          <w:szCs w:val="24"/>
        </w:rPr>
      </w:pPr>
      <w:r>
        <w:rPr>
          <w:sz w:val="24"/>
          <w:szCs w:val="24"/>
        </w:rPr>
        <w:lastRenderedPageBreak/>
        <w:t>As of June 9, 2015, t</w:t>
      </w:r>
      <w:r w:rsidR="0001558A">
        <w:rPr>
          <w:sz w:val="24"/>
          <w:szCs w:val="24"/>
        </w:rPr>
        <w:t>he balance of Mr. Taylor’s service account with PECO is $2,071.00</w:t>
      </w:r>
      <w:r w:rsidR="00097271">
        <w:rPr>
          <w:sz w:val="24"/>
          <w:szCs w:val="24"/>
        </w:rPr>
        <w:t xml:space="preserve"> plus deferred charges of $46.39</w:t>
      </w:r>
      <w:r w:rsidR="0073713C">
        <w:rPr>
          <w:sz w:val="24"/>
          <w:szCs w:val="24"/>
        </w:rPr>
        <w:t xml:space="preserve"> for a total balance of $2,117.3</w:t>
      </w:r>
      <w:r w:rsidR="00097271">
        <w:rPr>
          <w:sz w:val="24"/>
          <w:szCs w:val="24"/>
        </w:rPr>
        <w:t>9</w:t>
      </w:r>
      <w:r w:rsidR="0001558A">
        <w:rPr>
          <w:sz w:val="24"/>
          <w:szCs w:val="24"/>
        </w:rPr>
        <w:t>.  (Id.)</w:t>
      </w:r>
    </w:p>
    <w:p w:rsidR="0001558A" w:rsidRPr="0001558A" w:rsidRDefault="0001558A" w:rsidP="0001558A">
      <w:pPr>
        <w:spacing w:line="360" w:lineRule="auto"/>
        <w:rPr>
          <w:sz w:val="24"/>
          <w:szCs w:val="24"/>
        </w:rPr>
      </w:pPr>
    </w:p>
    <w:p w:rsidR="0001558A" w:rsidRDefault="0001558A" w:rsidP="00C260F0">
      <w:pPr>
        <w:pStyle w:val="ListParagraph"/>
        <w:numPr>
          <w:ilvl w:val="0"/>
          <w:numId w:val="5"/>
        </w:numPr>
        <w:spacing w:line="360" w:lineRule="auto"/>
        <w:ind w:left="0" w:firstLine="1440"/>
        <w:rPr>
          <w:sz w:val="24"/>
          <w:szCs w:val="24"/>
        </w:rPr>
      </w:pPr>
      <w:r>
        <w:rPr>
          <w:sz w:val="24"/>
          <w:szCs w:val="24"/>
        </w:rPr>
        <w:t>Complainant has a bi-</w:t>
      </w:r>
      <w:r w:rsidR="00A15114">
        <w:rPr>
          <w:sz w:val="24"/>
          <w:szCs w:val="24"/>
        </w:rPr>
        <w:t>weekly</w:t>
      </w:r>
      <w:r>
        <w:rPr>
          <w:sz w:val="24"/>
          <w:szCs w:val="24"/>
        </w:rPr>
        <w:t xml:space="preserve"> income of $2,142.00, which equates to $4,641.00 monthly.  (Id.)</w:t>
      </w:r>
    </w:p>
    <w:p w:rsidR="0001558A" w:rsidRPr="0001558A" w:rsidRDefault="0001558A" w:rsidP="0001558A">
      <w:pPr>
        <w:spacing w:line="360" w:lineRule="auto"/>
        <w:rPr>
          <w:sz w:val="24"/>
          <w:szCs w:val="24"/>
        </w:rPr>
      </w:pPr>
    </w:p>
    <w:p w:rsidR="0001558A" w:rsidRDefault="0001558A" w:rsidP="00C260F0">
      <w:pPr>
        <w:pStyle w:val="ListParagraph"/>
        <w:numPr>
          <w:ilvl w:val="0"/>
          <w:numId w:val="5"/>
        </w:numPr>
        <w:spacing w:line="360" w:lineRule="auto"/>
        <w:ind w:left="0" w:firstLine="1440"/>
        <w:rPr>
          <w:sz w:val="24"/>
          <w:szCs w:val="24"/>
        </w:rPr>
      </w:pPr>
      <w:r>
        <w:rPr>
          <w:sz w:val="24"/>
          <w:szCs w:val="24"/>
        </w:rPr>
        <w:t xml:space="preserve">Complainant’s household </w:t>
      </w:r>
      <w:r w:rsidR="00097271">
        <w:rPr>
          <w:sz w:val="24"/>
          <w:szCs w:val="24"/>
        </w:rPr>
        <w:t xml:space="preserve">size </w:t>
      </w:r>
      <w:r>
        <w:rPr>
          <w:sz w:val="24"/>
          <w:szCs w:val="24"/>
        </w:rPr>
        <w:t>consists of one adult and one minor child.  (Tr. 17</w:t>
      </w:r>
      <w:r w:rsidR="0045586C">
        <w:rPr>
          <w:sz w:val="24"/>
          <w:szCs w:val="24"/>
        </w:rPr>
        <w:t>, 20</w:t>
      </w:r>
      <w:r>
        <w:rPr>
          <w:sz w:val="24"/>
          <w:szCs w:val="24"/>
        </w:rPr>
        <w:t>; Exhibit 4.)</w:t>
      </w:r>
    </w:p>
    <w:p w:rsidR="002A6E8D" w:rsidRDefault="002A6E8D" w:rsidP="002A6E8D">
      <w:pPr>
        <w:pStyle w:val="ListParagraph"/>
        <w:spacing w:line="360" w:lineRule="auto"/>
        <w:ind w:left="1440"/>
        <w:rPr>
          <w:sz w:val="24"/>
          <w:szCs w:val="24"/>
        </w:rPr>
      </w:pPr>
    </w:p>
    <w:p w:rsidR="00097271" w:rsidRDefault="0001558A" w:rsidP="00C260F0">
      <w:pPr>
        <w:pStyle w:val="ListParagraph"/>
        <w:numPr>
          <w:ilvl w:val="0"/>
          <w:numId w:val="5"/>
        </w:numPr>
        <w:spacing w:line="360" w:lineRule="auto"/>
        <w:ind w:left="0" w:firstLine="1440"/>
        <w:rPr>
          <w:sz w:val="24"/>
          <w:szCs w:val="24"/>
        </w:rPr>
      </w:pPr>
      <w:r>
        <w:rPr>
          <w:sz w:val="24"/>
          <w:szCs w:val="24"/>
        </w:rPr>
        <w:t xml:space="preserve"> </w:t>
      </w:r>
      <w:r w:rsidR="00097271">
        <w:rPr>
          <w:sz w:val="24"/>
          <w:szCs w:val="24"/>
        </w:rPr>
        <w:t>Complainant’s monthly gross income and household size places his household at 336 percent of the Federal Poverty Guidelines for 2015, which places the household at a Level 4 income.   (Tr. 17, 20.)</w:t>
      </w:r>
    </w:p>
    <w:p w:rsidR="00097271" w:rsidRPr="00097271" w:rsidRDefault="00097271" w:rsidP="00097271">
      <w:pPr>
        <w:spacing w:line="360" w:lineRule="auto"/>
        <w:rPr>
          <w:sz w:val="24"/>
          <w:szCs w:val="24"/>
        </w:rPr>
      </w:pPr>
    </w:p>
    <w:p w:rsidR="00097271" w:rsidRPr="00B72D63" w:rsidRDefault="00B72D63" w:rsidP="008C6FEF">
      <w:pPr>
        <w:pStyle w:val="ListParagraph"/>
        <w:numPr>
          <w:ilvl w:val="0"/>
          <w:numId w:val="5"/>
        </w:numPr>
        <w:spacing w:line="360" w:lineRule="auto"/>
        <w:ind w:left="0" w:firstLine="1440"/>
        <w:rPr>
          <w:sz w:val="24"/>
          <w:szCs w:val="24"/>
        </w:rPr>
      </w:pPr>
      <w:r w:rsidRPr="00B72D63">
        <w:rPr>
          <w:sz w:val="24"/>
          <w:szCs w:val="24"/>
        </w:rPr>
        <w:t xml:space="preserve">Complainant’s </w:t>
      </w:r>
      <w:r w:rsidR="00097271" w:rsidRPr="00B72D63">
        <w:rPr>
          <w:sz w:val="24"/>
          <w:szCs w:val="24"/>
        </w:rPr>
        <w:t>arrears</w:t>
      </w:r>
      <w:r>
        <w:rPr>
          <w:sz w:val="24"/>
          <w:szCs w:val="24"/>
        </w:rPr>
        <w:t xml:space="preserve"> in the amount </w:t>
      </w:r>
      <w:r w:rsidR="00097271" w:rsidRPr="00B72D63">
        <w:rPr>
          <w:sz w:val="24"/>
          <w:szCs w:val="24"/>
        </w:rPr>
        <w:t>of $2,117.49 is to be paid back in six months.  (Tr. 17.)</w:t>
      </w:r>
    </w:p>
    <w:p w:rsidR="00097271" w:rsidRPr="00097271" w:rsidRDefault="00097271" w:rsidP="002A6E8D">
      <w:pPr>
        <w:spacing w:line="360" w:lineRule="auto"/>
        <w:rPr>
          <w:sz w:val="24"/>
          <w:szCs w:val="24"/>
        </w:rPr>
      </w:pPr>
    </w:p>
    <w:p w:rsidR="0045586C" w:rsidRDefault="0033535E" w:rsidP="002A6E8D">
      <w:pPr>
        <w:pStyle w:val="ListParagraph"/>
        <w:numPr>
          <w:ilvl w:val="0"/>
          <w:numId w:val="5"/>
        </w:numPr>
        <w:spacing w:line="360" w:lineRule="auto"/>
        <w:ind w:left="0" w:firstLine="1440"/>
        <w:rPr>
          <w:sz w:val="24"/>
          <w:szCs w:val="24"/>
        </w:rPr>
      </w:pPr>
      <w:r>
        <w:rPr>
          <w:sz w:val="24"/>
          <w:szCs w:val="24"/>
        </w:rPr>
        <w:t>Current bill charges issued on June 5, 2015 in the amount of $124.64 are payment arrangement charges due and payable on June 29, 2015.  (Tr. 20.)</w:t>
      </w:r>
      <w:r w:rsidR="00097271">
        <w:rPr>
          <w:sz w:val="24"/>
          <w:szCs w:val="24"/>
        </w:rPr>
        <w:t xml:space="preserve"> </w:t>
      </w:r>
    </w:p>
    <w:p w:rsidR="0033535E" w:rsidRPr="0033535E" w:rsidRDefault="0033535E" w:rsidP="002A6E8D">
      <w:pPr>
        <w:spacing w:line="360" w:lineRule="auto"/>
        <w:rPr>
          <w:sz w:val="24"/>
          <w:szCs w:val="24"/>
        </w:rPr>
      </w:pPr>
    </w:p>
    <w:p w:rsidR="0045586C" w:rsidRDefault="0033535E" w:rsidP="002A6E8D">
      <w:pPr>
        <w:pStyle w:val="ListParagraph"/>
        <w:numPr>
          <w:ilvl w:val="0"/>
          <w:numId w:val="5"/>
        </w:numPr>
        <w:spacing w:line="360" w:lineRule="auto"/>
        <w:ind w:left="0" w:firstLine="1440"/>
        <w:rPr>
          <w:sz w:val="24"/>
          <w:szCs w:val="24"/>
        </w:rPr>
      </w:pPr>
      <w:r>
        <w:rPr>
          <w:sz w:val="24"/>
          <w:szCs w:val="24"/>
        </w:rPr>
        <w:t>Complainant agrees to make the payment of $124.64 on or before June 29, 2015, thereby reducing the outstanding balance to be placed on the payment arrangement for six month</w:t>
      </w:r>
      <w:r w:rsidR="00E80040">
        <w:rPr>
          <w:sz w:val="24"/>
          <w:szCs w:val="24"/>
        </w:rPr>
        <w:t>s</w:t>
      </w:r>
      <w:r>
        <w:rPr>
          <w:sz w:val="24"/>
          <w:szCs w:val="24"/>
        </w:rPr>
        <w:t xml:space="preserve"> to $1,946.46.  (Tr. 21.)</w:t>
      </w:r>
    </w:p>
    <w:p w:rsidR="0033535E" w:rsidRPr="0033535E" w:rsidRDefault="0033535E" w:rsidP="002A6E8D">
      <w:pPr>
        <w:spacing w:line="360" w:lineRule="auto"/>
        <w:rPr>
          <w:sz w:val="24"/>
          <w:szCs w:val="24"/>
        </w:rPr>
      </w:pPr>
    </w:p>
    <w:p w:rsidR="0045586C" w:rsidRDefault="0033535E" w:rsidP="002A6E8D">
      <w:pPr>
        <w:pStyle w:val="ListParagraph"/>
        <w:numPr>
          <w:ilvl w:val="0"/>
          <w:numId w:val="5"/>
        </w:numPr>
        <w:spacing w:line="360" w:lineRule="auto"/>
        <w:ind w:left="0" w:firstLine="1440"/>
        <w:rPr>
          <w:sz w:val="24"/>
          <w:szCs w:val="24"/>
        </w:rPr>
      </w:pPr>
      <w:r>
        <w:rPr>
          <w:sz w:val="24"/>
          <w:szCs w:val="24"/>
        </w:rPr>
        <w:t xml:space="preserve">Beginning with the July 2015 billing, Mr. Taylor agrees to begin paying under the payment arrangement </w:t>
      </w:r>
      <w:r w:rsidR="009F365D">
        <w:rPr>
          <w:sz w:val="24"/>
          <w:szCs w:val="24"/>
        </w:rPr>
        <w:t xml:space="preserve">the budget amount, which is currently $120.00, stated in the July 2015 billing, plus $324.41 on or before the due date set forth in the July 2015 billing.  (Tr. 21.) </w:t>
      </w:r>
    </w:p>
    <w:p w:rsidR="0045586C" w:rsidRPr="009F365D" w:rsidRDefault="0045586C" w:rsidP="002A6E8D">
      <w:pPr>
        <w:spacing w:line="360" w:lineRule="auto"/>
        <w:rPr>
          <w:sz w:val="24"/>
          <w:szCs w:val="24"/>
        </w:rPr>
      </w:pPr>
    </w:p>
    <w:p w:rsidR="009F365D" w:rsidRDefault="00A15114" w:rsidP="002A6E8D">
      <w:pPr>
        <w:pStyle w:val="ListParagraph"/>
        <w:numPr>
          <w:ilvl w:val="0"/>
          <w:numId w:val="5"/>
        </w:numPr>
        <w:spacing w:line="360" w:lineRule="auto"/>
        <w:ind w:left="0" w:firstLine="1440"/>
        <w:rPr>
          <w:sz w:val="24"/>
          <w:szCs w:val="24"/>
        </w:rPr>
      </w:pPr>
      <w:r>
        <w:rPr>
          <w:sz w:val="24"/>
          <w:szCs w:val="24"/>
        </w:rPr>
        <w:t>“</w:t>
      </w:r>
      <w:r w:rsidR="009F365D">
        <w:rPr>
          <w:sz w:val="24"/>
          <w:szCs w:val="24"/>
        </w:rPr>
        <w:t xml:space="preserve">The Parties </w:t>
      </w:r>
      <w:r>
        <w:rPr>
          <w:sz w:val="24"/>
          <w:szCs w:val="24"/>
        </w:rPr>
        <w:t>also stipulate</w:t>
      </w:r>
      <w:r w:rsidR="009F365D">
        <w:rPr>
          <w:sz w:val="24"/>
          <w:szCs w:val="24"/>
        </w:rPr>
        <w:t xml:space="preserve"> and understand that the budget amount is reduce</w:t>
      </w:r>
      <w:r w:rsidR="00E80040">
        <w:rPr>
          <w:sz w:val="24"/>
          <w:szCs w:val="24"/>
        </w:rPr>
        <w:t>d</w:t>
      </w:r>
      <w:r w:rsidR="009F365D">
        <w:rPr>
          <w:sz w:val="24"/>
          <w:szCs w:val="24"/>
        </w:rPr>
        <w:t xml:space="preserve"> quarterly and is subject to revision based on the usage for the service location where c</w:t>
      </w:r>
      <w:r w:rsidR="00EE62D5">
        <w:rPr>
          <w:sz w:val="24"/>
          <w:szCs w:val="24"/>
        </w:rPr>
        <w:t>urrently the budget is $120.00.</w:t>
      </w:r>
      <w:r>
        <w:rPr>
          <w:sz w:val="24"/>
          <w:szCs w:val="24"/>
        </w:rPr>
        <w:t>”</w:t>
      </w:r>
      <w:r w:rsidR="00EE62D5">
        <w:rPr>
          <w:sz w:val="24"/>
          <w:szCs w:val="24"/>
        </w:rPr>
        <w:t xml:space="preserve">  (Tr. 21.)</w:t>
      </w:r>
    </w:p>
    <w:p w:rsidR="001D174C" w:rsidRPr="001D174C" w:rsidRDefault="001D174C" w:rsidP="001D174C">
      <w:pPr>
        <w:spacing w:line="360" w:lineRule="auto"/>
        <w:rPr>
          <w:sz w:val="24"/>
          <w:szCs w:val="24"/>
        </w:rPr>
      </w:pPr>
    </w:p>
    <w:p w:rsidR="00A15652" w:rsidRDefault="00A15652" w:rsidP="002A6E8D">
      <w:pPr>
        <w:spacing w:line="360" w:lineRule="auto"/>
        <w:jc w:val="center"/>
        <w:rPr>
          <w:sz w:val="24"/>
          <w:szCs w:val="24"/>
          <w:u w:val="single"/>
        </w:rPr>
      </w:pPr>
      <w:r>
        <w:rPr>
          <w:sz w:val="24"/>
          <w:szCs w:val="24"/>
          <w:u w:val="single"/>
        </w:rPr>
        <w:lastRenderedPageBreak/>
        <w:t>DISCUSSION</w:t>
      </w:r>
    </w:p>
    <w:p w:rsidR="00A15652" w:rsidRPr="00A15652" w:rsidRDefault="00A15652" w:rsidP="002A6E8D">
      <w:pPr>
        <w:spacing w:line="360" w:lineRule="auto"/>
        <w:rPr>
          <w:sz w:val="24"/>
          <w:szCs w:val="24"/>
          <w:u w:val="single"/>
        </w:rPr>
      </w:pPr>
    </w:p>
    <w:p w:rsidR="00504281" w:rsidRDefault="00B94E46" w:rsidP="002A6E8D">
      <w:pPr>
        <w:spacing w:line="360" w:lineRule="auto"/>
        <w:rPr>
          <w:sz w:val="24"/>
          <w:szCs w:val="24"/>
          <w:u w:val="single"/>
        </w:rPr>
      </w:pPr>
      <w:r>
        <w:rPr>
          <w:sz w:val="24"/>
          <w:szCs w:val="24"/>
          <w:u w:val="single"/>
        </w:rPr>
        <w:t>Burden of Proof</w:t>
      </w:r>
    </w:p>
    <w:p w:rsidR="00504281" w:rsidRPr="00AA58DB" w:rsidRDefault="00504281" w:rsidP="002A6E8D">
      <w:pPr>
        <w:spacing w:line="360" w:lineRule="auto"/>
        <w:rPr>
          <w:sz w:val="24"/>
          <w:szCs w:val="24"/>
          <w:u w:val="single"/>
        </w:rPr>
      </w:pPr>
    </w:p>
    <w:p w:rsidR="00AA58DB" w:rsidRPr="00AA58DB" w:rsidRDefault="00ED39A6" w:rsidP="002A6E8D">
      <w:pPr>
        <w:overflowPunct w:val="0"/>
        <w:autoSpaceDE w:val="0"/>
        <w:autoSpaceDN w:val="0"/>
        <w:adjustRightInd w:val="0"/>
        <w:spacing w:line="360" w:lineRule="auto"/>
        <w:textAlignment w:val="baseline"/>
        <w:rPr>
          <w:sz w:val="24"/>
          <w:szCs w:val="24"/>
        </w:rPr>
      </w:pPr>
      <w:r w:rsidRPr="00ED39A6">
        <w:rPr>
          <w:sz w:val="24"/>
          <w:szCs w:val="24"/>
        </w:rPr>
        <w:tab/>
      </w:r>
      <w:r w:rsidRPr="00ED39A6">
        <w:rPr>
          <w:sz w:val="24"/>
          <w:szCs w:val="24"/>
        </w:rPr>
        <w:tab/>
      </w:r>
      <w:r w:rsidR="00E32890">
        <w:rPr>
          <w:sz w:val="24"/>
          <w:szCs w:val="24"/>
        </w:rPr>
        <w:t>Under</w:t>
      </w:r>
      <w:r w:rsidRPr="00ED39A6">
        <w:rPr>
          <w:sz w:val="24"/>
          <w:szCs w:val="24"/>
        </w:rPr>
        <w:t xml:space="preserve"> Section 332(a) of the Code, </w:t>
      </w:r>
      <w:proofErr w:type="gramStart"/>
      <w:r w:rsidRPr="00ED39A6">
        <w:rPr>
          <w:sz w:val="24"/>
          <w:szCs w:val="24"/>
        </w:rPr>
        <w:t>66 Pa.C.S</w:t>
      </w:r>
      <w:proofErr w:type="gramEnd"/>
      <w:r w:rsidRPr="00ED39A6">
        <w:rPr>
          <w:sz w:val="24"/>
          <w:szCs w:val="24"/>
        </w:rPr>
        <w:t xml:space="preserve">. § 332(a), the party seeking a rule or order from the Commission has the burden of proof in that proceeding.  It is axiomatic that “[a] litigant’s burden of proof before administrative tribunals as well as before most civil proceedings is satisfied by establishing a preponderance of evidence which is substantial and legally credible.”  </w:t>
      </w:r>
      <w:r w:rsidRPr="00ED39A6">
        <w:rPr>
          <w:i/>
          <w:iCs/>
          <w:sz w:val="24"/>
          <w:szCs w:val="24"/>
        </w:rPr>
        <w:t xml:space="preserve">Samuel J. Lansberry, Inc. v. Pa. </w:t>
      </w:r>
      <w:r w:rsidR="0002203C">
        <w:rPr>
          <w:i/>
          <w:iCs/>
          <w:sz w:val="24"/>
          <w:szCs w:val="24"/>
        </w:rPr>
        <w:t>Pub. Util. Comm’n</w:t>
      </w:r>
      <w:r w:rsidR="007A4420">
        <w:rPr>
          <w:i/>
          <w:iCs/>
          <w:sz w:val="24"/>
          <w:szCs w:val="24"/>
        </w:rPr>
        <w:t>,</w:t>
      </w:r>
      <w:r w:rsidRPr="00ED39A6">
        <w:rPr>
          <w:sz w:val="24"/>
          <w:szCs w:val="24"/>
        </w:rPr>
        <w:t xml:space="preserve"> 578 A.2d 600, 602 (Pa.Cmwlth. 1990).</w:t>
      </w:r>
      <w:r>
        <w:rPr>
          <w:sz w:val="24"/>
          <w:szCs w:val="24"/>
        </w:rPr>
        <w:t xml:space="preserve">  </w:t>
      </w:r>
      <w:r w:rsidR="00B94E46">
        <w:rPr>
          <w:sz w:val="24"/>
          <w:szCs w:val="24"/>
        </w:rPr>
        <w:t>In this proceeding, Mr. Taylor is the party seeking affirmative relief</w:t>
      </w:r>
      <w:r w:rsidR="00E32890">
        <w:rPr>
          <w:sz w:val="24"/>
          <w:szCs w:val="24"/>
        </w:rPr>
        <w:t xml:space="preserve"> from the Commission</w:t>
      </w:r>
      <w:r w:rsidR="00B94E46">
        <w:rPr>
          <w:sz w:val="24"/>
          <w:szCs w:val="24"/>
        </w:rPr>
        <w:t xml:space="preserve">.  </w:t>
      </w:r>
      <w:r w:rsidR="00E32890">
        <w:rPr>
          <w:sz w:val="24"/>
          <w:szCs w:val="24"/>
        </w:rPr>
        <w:t>A</w:t>
      </w:r>
      <w:r w:rsidR="00B94E46">
        <w:rPr>
          <w:sz w:val="24"/>
          <w:szCs w:val="24"/>
        </w:rPr>
        <w:t>ccordingly, he carries the burden of proof.</w:t>
      </w:r>
    </w:p>
    <w:p w:rsidR="00E80040" w:rsidRDefault="00E80040" w:rsidP="00C260F0">
      <w:pPr>
        <w:spacing w:line="360" w:lineRule="auto"/>
        <w:rPr>
          <w:sz w:val="24"/>
          <w:szCs w:val="24"/>
        </w:rPr>
      </w:pPr>
    </w:p>
    <w:p w:rsidR="00A15652" w:rsidRPr="00A15652" w:rsidRDefault="00A15652" w:rsidP="00C260F0">
      <w:pPr>
        <w:spacing w:line="360" w:lineRule="auto"/>
        <w:rPr>
          <w:sz w:val="24"/>
          <w:szCs w:val="24"/>
          <w:u w:val="single"/>
        </w:rPr>
      </w:pPr>
      <w:r>
        <w:rPr>
          <w:sz w:val="24"/>
          <w:szCs w:val="24"/>
          <w:u w:val="single"/>
        </w:rPr>
        <w:t>Payment Arrangements</w:t>
      </w:r>
    </w:p>
    <w:p w:rsidR="00A15652" w:rsidRPr="000C339E" w:rsidRDefault="00A15652" w:rsidP="000C339E">
      <w:pPr>
        <w:spacing w:line="360" w:lineRule="auto"/>
        <w:rPr>
          <w:sz w:val="24"/>
          <w:szCs w:val="24"/>
          <w:u w:val="single"/>
        </w:rPr>
      </w:pPr>
    </w:p>
    <w:p w:rsidR="00A15652" w:rsidRPr="000C339E" w:rsidRDefault="000C339E" w:rsidP="000C339E">
      <w:pPr>
        <w:autoSpaceDE w:val="0"/>
        <w:autoSpaceDN w:val="0"/>
        <w:spacing w:line="360" w:lineRule="auto"/>
        <w:rPr>
          <w:color w:val="FF0000"/>
          <w:sz w:val="24"/>
          <w:szCs w:val="24"/>
        </w:rPr>
      </w:pPr>
      <w:r>
        <w:rPr>
          <w:sz w:val="24"/>
          <w:szCs w:val="24"/>
        </w:rPr>
        <w:tab/>
      </w:r>
      <w:r w:rsidR="00A15652" w:rsidRPr="000C339E">
        <w:rPr>
          <w:sz w:val="24"/>
          <w:szCs w:val="24"/>
        </w:rPr>
        <w:tab/>
        <w:t>Here, M</w:t>
      </w:r>
      <w:r>
        <w:rPr>
          <w:sz w:val="24"/>
          <w:szCs w:val="24"/>
        </w:rPr>
        <w:t>r</w:t>
      </w:r>
      <w:r w:rsidR="00A15652" w:rsidRPr="000C339E">
        <w:rPr>
          <w:sz w:val="24"/>
          <w:szCs w:val="24"/>
        </w:rPr>
        <w:t xml:space="preserve">. </w:t>
      </w:r>
      <w:r>
        <w:rPr>
          <w:sz w:val="24"/>
          <w:szCs w:val="24"/>
        </w:rPr>
        <w:t xml:space="preserve">Taylor </w:t>
      </w:r>
      <w:r w:rsidR="00A15652" w:rsidRPr="000C339E">
        <w:rPr>
          <w:sz w:val="24"/>
          <w:szCs w:val="24"/>
        </w:rPr>
        <w:t>seeks an affordable payment a</w:t>
      </w:r>
      <w:r w:rsidR="00EF3B3C">
        <w:rPr>
          <w:sz w:val="24"/>
          <w:szCs w:val="24"/>
        </w:rPr>
        <w:t>rrange</w:t>
      </w:r>
      <w:r w:rsidR="00A15652" w:rsidRPr="000C339E">
        <w:rPr>
          <w:sz w:val="24"/>
          <w:szCs w:val="24"/>
        </w:rPr>
        <w:t xml:space="preserve">ment from the Commission. </w:t>
      </w:r>
    </w:p>
    <w:p w:rsidR="00A15652" w:rsidRPr="000C339E" w:rsidRDefault="00A15652" w:rsidP="000C339E">
      <w:pPr>
        <w:autoSpaceDE w:val="0"/>
        <w:autoSpaceDN w:val="0"/>
        <w:spacing w:line="360" w:lineRule="auto"/>
        <w:rPr>
          <w:color w:val="000000"/>
          <w:sz w:val="24"/>
          <w:szCs w:val="24"/>
        </w:rPr>
      </w:pPr>
      <w:r w:rsidRPr="000C339E">
        <w:rPr>
          <w:sz w:val="24"/>
          <w:szCs w:val="24"/>
        </w:rPr>
        <w:t>Thus,</w:t>
      </w:r>
      <w:r w:rsidRPr="000C339E">
        <w:rPr>
          <w:color w:val="FF0000"/>
          <w:sz w:val="24"/>
          <w:szCs w:val="24"/>
        </w:rPr>
        <w:t xml:space="preserve"> </w:t>
      </w:r>
      <w:r w:rsidRPr="000C339E">
        <w:rPr>
          <w:color w:val="000000"/>
          <w:sz w:val="24"/>
          <w:szCs w:val="24"/>
        </w:rPr>
        <w:t xml:space="preserve">Chapter 14 of the Code, </w:t>
      </w:r>
      <w:proofErr w:type="gramStart"/>
      <w:r w:rsidRPr="000C339E">
        <w:rPr>
          <w:color w:val="000000"/>
          <w:sz w:val="24"/>
          <w:szCs w:val="24"/>
        </w:rPr>
        <w:t>66 Pa.C.S</w:t>
      </w:r>
      <w:proofErr w:type="gramEnd"/>
      <w:r w:rsidRPr="000C339E">
        <w:rPr>
          <w:color w:val="000000"/>
          <w:sz w:val="24"/>
          <w:szCs w:val="24"/>
        </w:rPr>
        <w:t xml:space="preserve">. § 1401, </w:t>
      </w:r>
      <w:r w:rsidRPr="0002203C">
        <w:rPr>
          <w:i/>
          <w:color w:val="000000"/>
          <w:sz w:val="24"/>
          <w:szCs w:val="24"/>
        </w:rPr>
        <w:t>et seq</w:t>
      </w:r>
      <w:r w:rsidR="000C339E">
        <w:rPr>
          <w:color w:val="000000"/>
          <w:sz w:val="24"/>
          <w:szCs w:val="24"/>
        </w:rPr>
        <w:t xml:space="preserve">., </w:t>
      </w:r>
      <w:r w:rsidRPr="000C339E">
        <w:rPr>
          <w:color w:val="000000"/>
          <w:sz w:val="24"/>
          <w:szCs w:val="24"/>
        </w:rPr>
        <w:t>applies to this proceeding.  Section 1405 of the statute provides</w:t>
      </w:r>
      <w:r w:rsidR="000C339E">
        <w:rPr>
          <w:color w:val="000000"/>
          <w:sz w:val="24"/>
          <w:szCs w:val="24"/>
        </w:rPr>
        <w:t>, in relevant part,</w:t>
      </w:r>
      <w:r w:rsidRPr="000C339E">
        <w:rPr>
          <w:color w:val="000000"/>
          <w:sz w:val="24"/>
          <w:szCs w:val="24"/>
        </w:rPr>
        <w:t xml:space="preserve"> as follows:</w:t>
      </w:r>
    </w:p>
    <w:p w:rsidR="00A15652" w:rsidRPr="000C339E" w:rsidRDefault="00A15652" w:rsidP="00DC6129">
      <w:pPr>
        <w:autoSpaceDE w:val="0"/>
        <w:autoSpaceDN w:val="0"/>
        <w:rPr>
          <w:color w:val="000000"/>
          <w:sz w:val="24"/>
          <w:szCs w:val="24"/>
        </w:rPr>
      </w:pPr>
    </w:p>
    <w:p w:rsidR="00A15652" w:rsidRPr="000C339E" w:rsidRDefault="00A15652" w:rsidP="000C339E">
      <w:pPr>
        <w:ind w:left="1440" w:right="1440"/>
        <w:rPr>
          <w:rFonts w:eastAsiaTheme="minorHAnsi"/>
          <w:sz w:val="24"/>
          <w:szCs w:val="24"/>
        </w:rPr>
      </w:pPr>
      <w:r w:rsidRPr="000C339E">
        <w:rPr>
          <w:rFonts w:eastAsiaTheme="minorHAnsi"/>
          <w:b/>
          <w:bCs/>
          <w:sz w:val="24"/>
          <w:szCs w:val="24"/>
        </w:rPr>
        <w:t>§ 1405.  Payment a</w:t>
      </w:r>
      <w:r w:rsidR="00EF3B3C">
        <w:rPr>
          <w:rFonts w:eastAsiaTheme="minorHAnsi"/>
          <w:b/>
          <w:bCs/>
          <w:sz w:val="24"/>
          <w:szCs w:val="24"/>
        </w:rPr>
        <w:t>rrangements</w:t>
      </w:r>
      <w:r w:rsidRPr="000C339E">
        <w:rPr>
          <w:rFonts w:eastAsiaTheme="minorHAnsi"/>
          <w:b/>
          <w:bCs/>
          <w:sz w:val="24"/>
          <w:szCs w:val="24"/>
        </w:rPr>
        <w:t>.</w:t>
      </w:r>
      <w:r w:rsidRPr="000C339E">
        <w:rPr>
          <w:rFonts w:eastAsiaTheme="minorHAnsi"/>
          <w:sz w:val="24"/>
          <w:szCs w:val="24"/>
        </w:rPr>
        <w:t xml:space="preserve"> </w:t>
      </w:r>
    </w:p>
    <w:p w:rsidR="00A15652" w:rsidRPr="000C339E" w:rsidRDefault="00A15652" w:rsidP="000C339E">
      <w:pPr>
        <w:ind w:left="1440" w:right="1440"/>
        <w:rPr>
          <w:rFonts w:eastAsiaTheme="minorHAnsi"/>
          <w:sz w:val="24"/>
          <w:szCs w:val="24"/>
        </w:rPr>
      </w:pPr>
    </w:p>
    <w:p w:rsidR="00A15652" w:rsidRPr="000C339E" w:rsidRDefault="00A15652" w:rsidP="000C339E">
      <w:pPr>
        <w:tabs>
          <w:tab w:val="left" w:pos="1800"/>
        </w:tabs>
        <w:ind w:left="1440" w:right="1440" w:firstLine="360"/>
        <w:rPr>
          <w:rFonts w:eastAsiaTheme="minorHAnsi"/>
          <w:sz w:val="24"/>
          <w:szCs w:val="24"/>
        </w:rPr>
      </w:pPr>
      <w:r w:rsidRPr="000C339E">
        <w:rPr>
          <w:rFonts w:eastAsiaTheme="minorHAnsi"/>
          <w:b/>
          <w:bCs/>
          <w:sz w:val="24"/>
          <w:szCs w:val="24"/>
        </w:rPr>
        <w:t xml:space="preserve">(a)  General </w:t>
      </w:r>
      <w:proofErr w:type="gramStart"/>
      <w:r w:rsidRPr="000C339E">
        <w:rPr>
          <w:rFonts w:eastAsiaTheme="minorHAnsi"/>
          <w:b/>
          <w:bCs/>
          <w:sz w:val="24"/>
          <w:szCs w:val="24"/>
        </w:rPr>
        <w:t>rule</w:t>
      </w:r>
      <w:proofErr w:type="gramEnd"/>
      <w:r w:rsidRPr="000C339E">
        <w:rPr>
          <w:rFonts w:eastAsiaTheme="minorHAnsi"/>
          <w:b/>
          <w:bCs/>
          <w:sz w:val="24"/>
          <w:szCs w:val="24"/>
        </w:rPr>
        <w:t>.–</w:t>
      </w:r>
      <w:r w:rsidRPr="000C339E">
        <w:rPr>
          <w:rFonts w:eastAsiaTheme="minorHAnsi"/>
          <w:sz w:val="24"/>
          <w:szCs w:val="24"/>
        </w:rPr>
        <w:t xml:space="preserve">The commission is authorized to investigate complaints regarding payment disputes between a public utility, applicants and customers. </w:t>
      </w:r>
      <w:r w:rsidR="002C3A15">
        <w:rPr>
          <w:rFonts w:eastAsiaTheme="minorHAnsi"/>
          <w:sz w:val="24"/>
          <w:szCs w:val="24"/>
        </w:rPr>
        <w:t xml:space="preserve"> </w:t>
      </w:r>
      <w:r w:rsidRPr="000C339E">
        <w:rPr>
          <w:rFonts w:eastAsiaTheme="minorHAnsi"/>
          <w:sz w:val="24"/>
          <w:szCs w:val="24"/>
        </w:rPr>
        <w:t>The commission is authorized to establish payment agreements between a public utility, customers and applicants within the limits established by this chapter.</w:t>
      </w:r>
    </w:p>
    <w:p w:rsidR="00A15652" w:rsidRPr="000C339E" w:rsidRDefault="00A15652" w:rsidP="000C339E">
      <w:pPr>
        <w:tabs>
          <w:tab w:val="left" w:pos="1800"/>
        </w:tabs>
        <w:ind w:left="1440" w:right="1440" w:firstLine="360"/>
        <w:rPr>
          <w:rFonts w:eastAsiaTheme="minorHAnsi"/>
          <w:sz w:val="24"/>
          <w:szCs w:val="24"/>
        </w:rPr>
      </w:pPr>
    </w:p>
    <w:p w:rsidR="00A15652" w:rsidRPr="000C339E" w:rsidRDefault="00A15652" w:rsidP="000C339E">
      <w:pPr>
        <w:ind w:left="1440" w:right="1440" w:firstLine="360"/>
        <w:rPr>
          <w:rFonts w:eastAsiaTheme="minorHAnsi"/>
          <w:sz w:val="24"/>
          <w:szCs w:val="24"/>
        </w:rPr>
      </w:pPr>
      <w:r w:rsidRPr="000C339E">
        <w:rPr>
          <w:rFonts w:eastAsiaTheme="minorHAnsi"/>
          <w:b/>
          <w:bCs/>
          <w:sz w:val="24"/>
          <w:szCs w:val="24"/>
        </w:rPr>
        <w:t>(b)  Length of payment a</w:t>
      </w:r>
      <w:r w:rsidR="00F82051">
        <w:rPr>
          <w:rFonts w:eastAsiaTheme="minorHAnsi"/>
          <w:b/>
          <w:bCs/>
          <w:sz w:val="24"/>
          <w:szCs w:val="24"/>
        </w:rPr>
        <w:t>rrange</w:t>
      </w:r>
      <w:r w:rsidRPr="000C339E">
        <w:rPr>
          <w:rFonts w:eastAsiaTheme="minorHAnsi"/>
          <w:b/>
          <w:bCs/>
          <w:sz w:val="24"/>
          <w:szCs w:val="24"/>
        </w:rPr>
        <w:t>ments.–</w:t>
      </w:r>
      <w:r w:rsidRPr="000C339E">
        <w:rPr>
          <w:rFonts w:eastAsiaTheme="minorHAnsi"/>
          <w:sz w:val="24"/>
          <w:szCs w:val="24"/>
        </w:rPr>
        <w:t>The length of time for a customer to resolve an unpaid balance on an account that is subject to a payment agreement that is investigated by the commission and is entered into by a public utility and a customer shall not extend beyond:</w:t>
      </w:r>
    </w:p>
    <w:p w:rsidR="00A15652" w:rsidRPr="000C339E" w:rsidRDefault="00A15652" w:rsidP="000C339E">
      <w:pPr>
        <w:ind w:left="1800" w:right="1440" w:firstLine="360"/>
        <w:rPr>
          <w:rFonts w:eastAsiaTheme="minorHAnsi"/>
          <w:sz w:val="24"/>
          <w:szCs w:val="24"/>
        </w:rPr>
      </w:pPr>
    </w:p>
    <w:p w:rsidR="000C339E" w:rsidRDefault="000C339E" w:rsidP="000C339E">
      <w:pPr>
        <w:ind w:left="1800" w:right="1440" w:firstLine="360"/>
        <w:rPr>
          <w:rFonts w:eastAsiaTheme="minorHAnsi"/>
          <w:sz w:val="24"/>
          <w:szCs w:val="24"/>
        </w:rPr>
      </w:pPr>
      <w:r>
        <w:rPr>
          <w:rFonts w:eastAsiaTheme="minorHAnsi"/>
          <w:sz w:val="24"/>
          <w:szCs w:val="24"/>
        </w:rPr>
        <w:t xml:space="preserve"> . . . .</w:t>
      </w:r>
    </w:p>
    <w:p w:rsidR="00A15652" w:rsidRPr="000C339E" w:rsidRDefault="00A15652" w:rsidP="000C339E">
      <w:pPr>
        <w:ind w:left="1800" w:right="1080" w:firstLine="360"/>
        <w:rPr>
          <w:rFonts w:eastAsiaTheme="minorHAnsi"/>
          <w:sz w:val="24"/>
          <w:szCs w:val="24"/>
        </w:rPr>
      </w:pPr>
    </w:p>
    <w:p w:rsidR="00A15652" w:rsidRPr="000C339E" w:rsidRDefault="00A15652" w:rsidP="000C339E">
      <w:pPr>
        <w:ind w:left="1800" w:right="1080" w:firstLine="360"/>
        <w:rPr>
          <w:rFonts w:eastAsiaTheme="minorHAnsi"/>
          <w:sz w:val="24"/>
          <w:szCs w:val="24"/>
        </w:rPr>
      </w:pPr>
      <w:r w:rsidRPr="000C339E">
        <w:rPr>
          <w:rFonts w:eastAsiaTheme="minorHAnsi"/>
          <w:sz w:val="24"/>
          <w:szCs w:val="24"/>
        </w:rPr>
        <w:t>(4)  Six months for customers with a gross monthly household income level exceeding 300% of the Federal poverty level.</w:t>
      </w:r>
    </w:p>
    <w:p w:rsidR="00EF728F" w:rsidRDefault="00EF728F" w:rsidP="000C339E">
      <w:pPr>
        <w:ind w:left="1440" w:right="1080" w:firstLine="360"/>
        <w:rPr>
          <w:rFonts w:eastAsiaTheme="minorHAnsi"/>
          <w:sz w:val="24"/>
          <w:szCs w:val="24"/>
        </w:rPr>
      </w:pPr>
      <w:r>
        <w:rPr>
          <w:rFonts w:eastAsiaTheme="minorHAnsi"/>
          <w:sz w:val="24"/>
          <w:szCs w:val="24"/>
        </w:rPr>
        <w:tab/>
        <w:t>. . . .</w:t>
      </w:r>
    </w:p>
    <w:p w:rsidR="00EF728F" w:rsidRPr="000C339E" w:rsidRDefault="00EF728F" w:rsidP="000C339E">
      <w:pPr>
        <w:ind w:left="1440" w:right="1080" w:firstLine="360"/>
        <w:rPr>
          <w:rFonts w:eastAsiaTheme="minorHAnsi"/>
          <w:sz w:val="24"/>
          <w:szCs w:val="24"/>
        </w:rPr>
      </w:pPr>
    </w:p>
    <w:p w:rsidR="00135965" w:rsidRDefault="00A15652" w:rsidP="00135965">
      <w:pPr>
        <w:ind w:left="1440" w:right="1080" w:firstLine="360"/>
        <w:rPr>
          <w:rFonts w:eastAsiaTheme="minorHAnsi"/>
          <w:sz w:val="24"/>
          <w:szCs w:val="24"/>
        </w:rPr>
      </w:pPr>
      <w:r w:rsidRPr="000C339E">
        <w:rPr>
          <w:rFonts w:eastAsiaTheme="minorHAnsi"/>
          <w:b/>
          <w:bCs/>
          <w:sz w:val="24"/>
          <w:szCs w:val="24"/>
        </w:rPr>
        <w:lastRenderedPageBreak/>
        <w:t>(d)  Number of payment agreements.–</w:t>
      </w:r>
      <w:r w:rsidRPr="000C339E">
        <w:rPr>
          <w:rFonts w:eastAsiaTheme="minorHAnsi"/>
          <w:sz w:val="24"/>
          <w:szCs w:val="24"/>
        </w:rPr>
        <w:t>Absent a change in income, the commission shall not establish or order a public utility to establish a second or subsequent payment agreement if a customer has defaulted on a previous payment agreement.  A public utility may, at its discretion, enter into a second or subsequent payment agreement with a customer.</w:t>
      </w:r>
      <w:r w:rsidR="00135965" w:rsidRPr="00135965">
        <w:rPr>
          <w:rFonts w:eastAsiaTheme="minorHAnsi"/>
          <w:sz w:val="24"/>
          <w:szCs w:val="24"/>
        </w:rPr>
        <w:t>).</w:t>
      </w:r>
      <w:r w:rsidR="00135965" w:rsidRPr="00135965">
        <w:rPr>
          <w:rFonts w:eastAsiaTheme="minorHAnsi"/>
          <w:sz w:val="24"/>
          <w:szCs w:val="24"/>
          <w:vertAlign w:val="superscript"/>
        </w:rPr>
        <w:footnoteReference w:id="3"/>
      </w:r>
    </w:p>
    <w:p w:rsidR="00A15652" w:rsidRPr="00135965" w:rsidRDefault="00A15652" w:rsidP="002A6E8D">
      <w:pPr>
        <w:spacing w:line="360" w:lineRule="auto"/>
        <w:ind w:left="1440" w:right="1080" w:firstLine="360"/>
        <w:rPr>
          <w:rFonts w:eastAsiaTheme="minorHAnsi"/>
          <w:sz w:val="24"/>
          <w:szCs w:val="24"/>
          <w:u w:val="single"/>
        </w:rPr>
      </w:pPr>
    </w:p>
    <w:p w:rsidR="00A15652" w:rsidRDefault="001D174C" w:rsidP="002A6E8D">
      <w:pPr>
        <w:spacing w:line="360" w:lineRule="auto"/>
        <w:rPr>
          <w:sz w:val="24"/>
          <w:szCs w:val="24"/>
        </w:rPr>
      </w:pPr>
      <w:r>
        <w:rPr>
          <w:sz w:val="24"/>
          <w:szCs w:val="24"/>
          <w:u w:val="single"/>
        </w:rPr>
        <w:t>Stipulations</w:t>
      </w:r>
    </w:p>
    <w:p w:rsidR="00135965" w:rsidRPr="00135965" w:rsidRDefault="00135965" w:rsidP="002A6E8D">
      <w:pPr>
        <w:spacing w:line="360" w:lineRule="auto"/>
        <w:rPr>
          <w:sz w:val="24"/>
          <w:szCs w:val="24"/>
        </w:rPr>
      </w:pPr>
    </w:p>
    <w:p w:rsidR="000C5D51" w:rsidRDefault="000C5D51" w:rsidP="00C260F0">
      <w:pPr>
        <w:autoSpaceDE w:val="0"/>
        <w:autoSpaceDN w:val="0"/>
        <w:spacing w:line="360" w:lineRule="auto"/>
        <w:rPr>
          <w:sz w:val="24"/>
          <w:szCs w:val="24"/>
        </w:rPr>
      </w:pPr>
      <w:r>
        <w:rPr>
          <w:sz w:val="24"/>
          <w:szCs w:val="24"/>
        </w:rPr>
        <w:tab/>
      </w:r>
      <w:r>
        <w:rPr>
          <w:sz w:val="24"/>
          <w:szCs w:val="24"/>
        </w:rPr>
        <w:tab/>
        <w:t>In the present proceeding, the Parties’ stipulations</w:t>
      </w:r>
      <w:r>
        <w:rPr>
          <w:rStyle w:val="FootnoteReference"/>
          <w:sz w:val="24"/>
          <w:szCs w:val="24"/>
        </w:rPr>
        <w:footnoteReference w:id="4"/>
      </w:r>
      <w:r>
        <w:rPr>
          <w:sz w:val="24"/>
          <w:szCs w:val="24"/>
        </w:rPr>
        <w:t xml:space="preserve"> </w:t>
      </w:r>
      <w:r w:rsidR="001D174C">
        <w:rPr>
          <w:sz w:val="24"/>
          <w:szCs w:val="24"/>
        </w:rPr>
        <w:t xml:space="preserve">were received into </w:t>
      </w:r>
      <w:r w:rsidR="00354C2F">
        <w:rPr>
          <w:sz w:val="24"/>
          <w:szCs w:val="24"/>
        </w:rPr>
        <w:t xml:space="preserve">evidence </w:t>
      </w:r>
      <w:r w:rsidR="001D174C">
        <w:rPr>
          <w:sz w:val="24"/>
          <w:szCs w:val="24"/>
        </w:rPr>
        <w:t xml:space="preserve">as matters of fact, </w:t>
      </w:r>
      <w:r w:rsidR="001400B4">
        <w:rPr>
          <w:sz w:val="24"/>
          <w:szCs w:val="24"/>
        </w:rPr>
        <w:t>as provided for under Section 5.23</w:t>
      </w:r>
      <w:r w:rsidR="001D174C">
        <w:rPr>
          <w:sz w:val="24"/>
          <w:szCs w:val="24"/>
        </w:rPr>
        <w:t>4(a)</w:t>
      </w:r>
      <w:r w:rsidR="001400B4">
        <w:rPr>
          <w:sz w:val="24"/>
          <w:szCs w:val="24"/>
        </w:rPr>
        <w:t xml:space="preserve"> of the Commission’s regulations.</w:t>
      </w:r>
      <w:r w:rsidR="00123A7D">
        <w:rPr>
          <w:sz w:val="24"/>
          <w:szCs w:val="24"/>
        </w:rPr>
        <w:t xml:space="preserve"> </w:t>
      </w:r>
      <w:r w:rsidR="001400B4">
        <w:rPr>
          <w:sz w:val="24"/>
          <w:szCs w:val="24"/>
        </w:rPr>
        <w:t xml:space="preserve"> See 52</w:t>
      </w:r>
      <w:r w:rsidR="00354C2F">
        <w:rPr>
          <w:sz w:val="24"/>
          <w:szCs w:val="24"/>
        </w:rPr>
        <w:t> </w:t>
      </w:r>
      <w:proofErr w:type="spellStart"/>
      <w:r w:rsidR="001400B4">
        <w:rPr>
          <w:sz w:val="24"/>
          <w:szCs w:val="24"/>
        </w:rPr>
        <w:t>Pa.Code</w:t>
      </w:r>
      <w:proofErr w:type="spellEnd"/>
      <w:r w:rsidR="001400B4">
        <w:rPr>
          <w:sz w:val="24"/>
          <w:szCs w:val="24"/>
        </w:rPr>
        <w:t xml:space="preserve"> § 5.232</w:t>
      </w:r>
      <w:r>
        <w:rPr>
          <w:sz w:val="24"/>
          <w:szCs w:val="24"/>
        </w:rPr>
        <w:t>.</w:t>
      </w:r>
      <w:r w:rsidR="007D7A77">
        <w:rPr>
          <w:rStyle w:val="FootnoteReference"/>
          <w:sz w:val="24"/>
          <w:szCs w:val="24"/>
        </w:rPr>
        <w:footnoteReference w:id="5"/>
      </w:r>
      <w:r>
        <w:rPr>
          <w:sz w:val="24"/>
          <w:szCs w:val="24"/>
        </w:rPr>
        <w:t xml:space="preserve"> </w:t>
      </w:r>
    </w:p>
    <w:p w:rsidR="007D7A77" w:rsidRDefault="007D7A77" w:rsidP="00C260F0">
      <w:pPr>
        <w:autoSpaceDE w:val="0"/>
        <w:autoSpaceDN w:val="0"/>
        <w:spacing w:line="360" w:lineRule="auto"/>
        <w:rPr>
          <w:sz w:val="24"/>
          <w:szCs w:val="24"/>
        </w:rPr>
      </w:pPr>
    </w:p>
    <w:p w:rsidR="0095384A" w:rsidRDefault="007A0F98" w:rsidP="002A6E8D">
      <w:pPr>
        <w:autoSpaceDE w:val="0"/>
        <w:autoSpaceDN w:val="0"/>
        <w:adjustRightInd w:val="0"/>
        <w:spacing w:line="360" w:lineRule="auto"/>
        <w:rPr>
          <w:snapToGrid w:val="0"/>
          <w:sz w:val="24"/>
          <w:szCs w:val="24"/>
          <w:u w:val="single"/>
        </w:rPr>
      </w:pPr>
      <w:r>
        <w:rPr>
          <w:snapToGrid w:val="0"/>
          <w:sz w:val="24"/>
          <w:szCs w:val="24"/>
          <w:u w:val="single"/>
        </w:rPr>
        <w:t>Analysis</w:t>
      </w:r>
    </w:p>
    <w:p w:rsidR="00932016" w:rsidRPr="007D7A77" w:rsidRDefault="00932016" w:rsidP="002A6E8D">
      <w:pPr>
        <w:autoSpaceDE w:val="0"/>
        <w:autoSpaceDN w:val="0"/>
        <w:adjustRightInd w:val="0"/>
        <w:spacing w:line="360" w:lineRule="auto"/>
        <w:rPr>
          <w:snapToGrid w:val="0"/>
          <w:sz w:val="24"/>
          <w:szCs w:val="24"/>
          <w:u w:val="single"/>
        </w:rPr>
      </w:pPr>
    </w:p>
    <w:p w:rsidR="007D7A77" w:rsidRPr="007D7A77" w:rsidRDefault="007D7A77" w:rsidP="007D7A77">
      <w:pPr>
        <w:autoSpaceDE w:val="0"/>
        <w:autoSpaceDN w:val="0"/>
        <w:adjustRightInd w:val="0"/>
        <w:spacing w:line="360" w:lineRule="auto"/>
        <w:ind w:firstLine="1440"/>
        <w:rPr>
          <w:kern w:val="26"/>
          <w:sz w:val="24"/>
          <w:szCs w:val="24"/>
        </w:rPr>
      </w:pPr>
      <w:r w:rsidRPr="007D7A77">
        <w:rPr>
          <w:snapToGrid w:val="0"/>
          <w:sz w:val="24"/>
          <w:szCs w:val="24"/>
        </w:rPr>
        <w:t xml:space="preserve">In this proceeding, Mr. Taylor is seeking a Commission-ordered payment arrangement. </w:t>
      </w:r>
      <w:r w:rsidR="00965E2E">
        <w:rPr>
          <w:snapToGrid w:val="0"/>
          <w:sz w:val="24"/>
          <w:szCs w:val="24"/>
        </w:rPr>
        <w:t xml:space="preserve"> </w:t>
      </w:r>
      <w:r w:rsidR="00965E2E" w:rsidRPr="007D7A77">
        <w:rPr>
          <w:snapToGrid w:val="0"/>
          <w:sz w:val="24"/>
          <w:szCs w:val="24"/>
        </w:rPr>
        <w:t>“In</w:t>
      </w:r>
      <w:r w:rsidRPr="007D7A77">
        <w:rPr>
          <w:kern w:val="26"/>
          <w:sz w:val="24"/>
          <w:szCs w:val="24"/>
        </w:rPr>
        <w:t xml:space="preserve"> </w:t>
      </w:r>
      <w:r w:rsidRPr="007D7A77">
        <w:rPr>
          <w:i/>
          <w:kern w:val="26"/>
          <w:sz w:val="24"/>
          <w:szCs w:val="24"/>
        </w:rPr>
        <w:t>George Crawford v. National Fuel Gas Distribution Corp</w:t>
      </w:r>
      <w:r w:rsidRPr="007D7A77">
        <w:rPr>
          <w:kern w:val="26"/>
          <w:sz w:val="24"/>
          <w:szCs w:val="24"/>
        </w:rPr>
        <w:t>., C-20066348 (entered December 6, 2007), [the Commission] clarified that Subsection 1405(a) of the Code, 66</w:t>
      </w:r>
      <w:r w:rsidR="001E7C16">
        <w:rPr>
          <w:kern w:val="26"/>
          <w:sz w:val="24"/>
          <w:szCs w:val="24"/>
        </w:rPr>
        <w:t> </w:t>
      </w:r>
      <w:proofErr w:type="spellStart"/>
      <w:r w:rsidRPr="007D7A77">
        <w:rPr>
          <w:kern w:val="26"/>
          <w:sz w:val="24"/>
          <w:szCs w:val="24"/>
        </w:rPr>
        <w:t>Pa.C.S</w:t>
      </w:r>
      <w:proofErr w:type="spellEnd"/>
      <w:r w:rsidRPr="007D7A77">
        <w:rPr>
          <w:kern w:val="26"/>
          <w:sz w:val="24"/>
          <w:szCs w:val="24"/>
        </w:rPr>
        <w:t xml:space="preserve">. § 1405(a), gives the Commission the authority, generally, to establish payment agreements between public utilities, customers </w:t>
      </w:r>
      <w:r w:rsidRPr="007D7A77">
        <w:rPr>
          <w:b/>
          <w:kern w:val="26"/>
          <w:sz w:val="24"/>
          <w:szCs w:val="24"/>
        </w:rPr>
        <w:t>and applicants</w:t>
      </w:r>
      <w:r w:rsidRPr="007D7A77">
        <w:rPr>
          <w:kern w:val="26"/>
          <w:sz w:val="24"/>
          <w:szCs w:val="24"/>
        </w:rPr>
        <w:t xml:space="preserve">.”  </w:t>
      </w:r>
      <w:r w:rsidRPr="007D7A77">
        <w:rPr>
          <w:i/>
          <w:kern w:val="26"/>
          <w:sz w:val="24"/>
          <w:szCs w:val="24"/>
        </w:rPr>
        <w:t>Courtney L. Gagnon UGI Utilities, Inc.,</w:t>
      </w:r>
      <w:r w:rsidRPr="007D7A77">
        <w:rPr>
          <w:kern w:val="26"/>
          <w:sz w:val="24"/>
          <w:szCs w:val="24"/>
        </w:rPr>
        <w:t xml:space="preserve"> F-2225589 (Opinion and Order entered January 16, 2009) at 4.  </w:t>
      </w:r>
      <w:proofErr w:type="gramStart"/>
      <w:r w:rsidRPr="007D7A77">
        <w:rPr>
          <w:kern w:val="26"/>
          <w:sz w:val="24"/>
          <w:szCs w:val="24"/>
        </w:rPr>
        <w:t>(Emphasis in original.)</w:t>
      </w:r>
      <w:proofErr w:type="gramEnd"/>
      <w:r w:rsidRPr="007D7A77">
        <w:rPr>
          <w:kern w:val="26"/>
          <w:sz w:val="24"/>
          <w:szCs w:val="24"/>
        </w:rPr>
        <w:t xml:space="preserve">  Here the evidence establishes that Mr. Taylor has not received a prior payment arrangement from the Commission.  Under such circumstances, the Commission has interpreted </w:t>
      </w:r>
      <w:r w:rsidRPr="007D7A77">
        <w:rPr>
          <w:kern w:val="26"/>
          <w:sz w:val="24"/>
          <w:szCs w:val="24"/>
        </w:rPr>
        <w:lastRenderedPageBreak/>
        <w:t>Section 1405(a) as authorizing the Commission to issue at least one payment arrangement to Mr.</w:t>
      </w:r>
      <w:r>
        <w:rPr>
          <w:kern w:val="26"/>
          <w:sz w:val="24"/>
          <w:szCs w:val="24"/>
        </w:rPr>
        <w:t> </w:t>
      </w:r>
      <w:r w:rsidRPr="007D7A77">
        <w:rPr>
          <w:kern w:val="26"/>
          <w:sz w:val="24"/>
          <w:szCs w:val="24"/>
        </w:rPr>
        <w:t>Taylor.</w:t>
      </w:r>
      <w:r w:rsidR="00354C2F">
        <w:rPr>
          <w:kern w:val="26"/>
          <w:sz w:val="24"/>
          <w:szCs w:val="24"/>
        </w:rPr>
        <w:t xml:space="preserve"> </w:t>
      </w:r>
      <w:r w:rsidRPr="007D7A77">
        <w:rPr>
          <w:kern w:val="26"/>
          <w:sz w:val="24"/>
          <w:szCs w:val="24"/>
        </w:rPr>
        <w:t xml:space="preserve"> (Id. at 4.)  </w:t>
      </w:r>
    </w:p>
    <w:p w:rsidR="007D7A77" w:rsidRPr="007D7A77" w:rsidRDefault="007D7A77" w:rsidP="007D7A77">
      <w:pPr>
        <w:autoSpaceDE w:val="0"/>
        <w:autoSpaceDN w:val="0"/>
        <w:adjustRightInd w:val="0"/>
        <w:spacing w:line="360" w:lineRule="auto"/>
        <w:ind w:firstLine="1440"/>
        <w:rPr>
          <w:snapToGrid w:val="0"/>
          <w:color w:val="365F91" w:themeColor="accent1" w:themeShade="BF"/>
          <w:sz w:val="24"/>
          <w:szCs w:val="24"/>
        </w:rPr>
      </w:pPr>
    </w:p>
    <w:p w:rsidR="007D7A77" w:rsidRPr="007D7A77" w:rsidRDefault="007D7A77" w:rsidP="007D7A77">
      <w:pPr>
        <w:autoSpaceDE w:val="0"/>
        <w:autoSpaceDN w:val="0"/>
        <w:adjustRightInd w:val="0"/>
        <w:spacing w:line="360" w:lineRule="auto"/>
        <w:ind w:firstLine="1440"/>
        <w:rPr>
          <w:snapToGrid w:val="0"/>
          <w:sz w:val="24"/>
          <w:szCs w:val="24"/>
        </w:rPr>
      </w:pPr>
      <w:r w:rsidRPr="007D7A77">
        <w:rPr>
          <w:snapToGrid w:val="0"/>
          <w:sz w:val="24"/>
          <w:szCs w:val="24"/>
        </w:rPr>
        <w:t xml:space="preserve">The evidence further establishes that Mr. Taylor has a bi-weekly income of $2,142.00, which equates to $4,641.00 monthly.  Based upon his monthly gross income and two-member house size, this places his household at 336 percent of the Federal Poverty Guidelines, which is a Level 4 income.  Thus his account balance may be paid back in six months in accordance with the Commission’s guidelines for payment arrangements.  See </w:t>
      </w:r>
      <w:proofErr w:type="gramStart"/>
      <w:r w:rsidRPr="007D7A77">
        <w:rPr>
          <w:snapToGrid w:val="0"/>
          <w:sz w:val="24"/>
          <w:szCs w:val="24"/>
        </w:rPr>
        <w:t xml:space="preserve">66 </w:t>
      </w:r>
      <w:proofErr w:type="spellStart"/>
      <w:r w:rsidRPr="007D7A77">
        <w:rPr>
          <w:snapToGrid w:val="0"/>
          <w:sz w:val="24"/>
          <w:szCs w:val="24"/>
        </w:rPr>
        <w:t>Pa.C.S</w:t>
      </w:r>
      <w:proofErr w:type="spellEnd"/>
      <w:proofErr w:type="gramEnd"/>
      <w:r w:rsidRPr="007D7A77">
        <w:rPr>
          <w:snapToGrid w:val="0"/>
          <w:sz w:val="24"/>
          <w:szCs w:val="24"/>
        </w:rPr>
        <w:t>. §</w:t>
      </w:r>
      <w:r w:rsidR="00850384">
        <w:rPr>
          <w:snapToGrid w:val="0"/>
          <w:sz w:val="24"/>
          <w:szCs w:val="24"/>
        </w:rPr>
        <w:t> </w:t>
      </w:r>
      <w:r w:rsidRPr="007D7A77">
        <w:rPr>
          <w:snapToGrid w:val="0"/>
          <w:sz w:val="24"/>
          <w:szCs w:val="24"/>
        </w:rPr>
        <w:t>1405(b</w:t>
      </w:r>
      <w:proofErr w:type="gramStart"/>
      <w:r w:rsidRPr="007D7A77">
        <w:rPr>
          <w:snapToGrid w:val="0"/>
          <w:sz w:val="24"/>
          <w:szCs w:val="24"/>
        </w:rPr>
        <w:t>)(</w:t>
      </w:r>
      <w:proofErr w:type="gramEnd"/>
      <w:r w:rsidRPr="007D7A77">
        <w:rPr>
          <w:snapToGrid w:val="0"/>
          <w:sz w:val="24"/>
          <w:szCs w:val="24"/>
        </w:rPr>
        <w:t xml:space="preserve">4) cited above. </w:t>
      </w:r>
      <w:r w:rsidR="00354C2F">
        <w:rPr>
          <w:snapToGrid w:val="0"/>
          <w:sz w:val="24"/>
          <w:szCs w:val="24"/>
        </w:rPr>
        <w:t xml:space="preserve"> </w:t>
      </w:r>
      <w:r w:rsidRPr="007D7A77">
        <w:rPr>
          <w:snapToGrid w:val="0"/>
          <w:sz w:val="24"/>
          <w:szCs w:val="24"/>
        </w:rPr>
        <w:t>Accordingly in the ordering paragraphs below, the Complaint will be sustained, and Complainant’s requested relief will be granted.</w:t>
      </w:r>
    </w:p>
    <w:p w:rsidR="00504281" w:rsidRPr="00A96DF0" w:rsidRDefault="00504281" w:rsidP="00E02327">
      <w:pPr>
        <w:spacing w:line="360" w:lineRule="auto"/>
        <w:rPr>
          <w:sz w:val="24"/>
          <w:szCs w:val="24"/>
          <w:u w:val="single"/>
        </w:rPr>
      </w:pPr>
    </w:p>
    <w:p w:rsidR="00A00D4C" w:rsidRPr="00A96DF0" w:rsidRDefault="00A00D4C" w:rsidP="002A6E8D">
      <w:pPr>
        <w:spacing w:line="360" w:lineRule="auto"/>
        <w:jc w:val="center"/>
        <w:rPr>
          <w:sz w:val="24"/>
          <w:szCs w:val="24"/>
        </w:rPr>
      </w:pPr>
      <w:r w:rsidRPr="00A96DF0">
        <w:rPr>
          <w:sz w:val="24"/>
          <w:szCs w:val="24"/>
          <w:u w:val="single"/>
        </w:rPr>
        <w:t>CONCLUSIONS OF LAW</w:t>
      </w:r>
    </w:p>
    <w:p w:rsidR="00A00D4C" w:rsidRPr="00A96DF0" w:rsidRDefault="00A00D4C" w:rsidP="002A6E8D">
      <w:pPr>
        <w:spacing w:line="360" w:lineRule="auto"/>
        <w:ind w:firstLine="1440"/>
        <w:rPr>
          <w:b/>
          <w:sz w:val="24"/>
          <w:szCs w:val="24"/>
        </w:rPr>
      </w:pPr>
    </w:p>
    <w:p w:rsidR="007A45F0" w:rsidRPr="007A45F0" w:rsidRDefault="007A45F0" w:rsidP="002A6E8D">
      <w:pPr>
        <w:numPr>
          <w:ilvl w:val="0"/>
          <w:numId w:val="2"/>
        </w:numPr>
        <w:spacing w:line="360" w:lineRule="auto"/>
        <w:ind w:left="0" w:firstLine="1440"/>
        <w:rPr>
          <w:snapToGrid w:val="0"/>
          <w:sz w:val="24"/>
          <w:szCs w:val="24"/>
        </w:rPr>
      </w:pPr>
      <w:r w:rsidRPr="007A45F0">
        <w:rPr>
          <w:snapToGrid w:val="0"/>
          <w:sz w:val="24"/>
          <w:szCs w:val="24"/>
        </w:rPr>
        <w:t>The Commission has jurisdiction over the parties and the subject matter of this proceeding.  66 Pa.C.S. §701.</w:t>
      </w:r>
    </w:p>
    <w:p w:rsidR="00D0371A" w:rsidRDefault="00D0371A" w:rsidP="002A6E8D">
      <w:pPr>
        <w:spacing w:line="360" w:lineRule="auto"/>
        <w:ind w:firstLine="1440"/>
        <w:rPr>
          <w:snapToGrid w:val="0"/>
          <w:sz w:val="24"/>
          <w:szCs w:val="24"/>
        </w:rPr>
      </w:pPr>
    </w:p>
    <w:p w:rsidR="00D0371A" w:rsidRDefault="00D0371A" w:rsidP="002A6E8D">
      <w:pPr>
        <w:spacing w:line="360" w:lineRule="auto"/>
        <w:ind w:firstLine="1440"/>
        <w:rPr>
          <w:sz w:val="24"/>
          <w:szCs w:val="24"/>
        </w:rPr>
      </w:pPr>
      <w:r>
        <w:rPr>
          <w:snapToGrid w:val="0"/>
          <w:sz w:val="24"/>
          <w:szCs w:val="24"/>
        </w:rPr>
        <w:t>2.</w:t>
      </w:r>
      <w:r>
        <w:rPr>
          <w:snapToGrid w:val="0"/>
          <w:sz w:val="24"/>
          <w:szCs w:val="24"/>
        </w:rPr>
        <w:tab/>
      </w:r>
      <w:r w:rsidRPr="00ED39A6">
        <w:rPr>
          <w:sz w:val="24"/>
          <w:szCs w:val="24"/>
        </w:rPr>
        <w:t>As the proponent of a rule or order, Complainant in this proceeding bears the burden of proof pursuant to Section 332(a) of the Code, 66 Pa.C.S. § 332(a</w:t>
      </w:r>
      <w:r>
        <w:rPr>
          <w:sz w:val="24"/>
          <w:szCs w:val="24"/>
        </w:rPr>
        <w:t>).</w:t>
      </w:r>
    </w:p>
    <w:p w:rsidR="00D0371A" w:rsidRDefault="00D0371A" w:rsidP="002A6E8D">
      <w:pPr>
        <w:spacing w:line="360" w:lineRule="auto"/>
        <w:rPr>
          <w:snapToGrid w:val="0"/>
          <w:sz w:val="24"/>
          <w:szCs w:val="24"/>
        </w:rPr>
      </w:pPr>
    </w:p>
    <w:p w:rsidR="007A45F0" w:rsidRPr="007A45F0" w:rsidRDefault="007A45F0" w:rsidP="002A6E8D">
      <w:pPr>
        <w:spacing w:line="360" w:lineRule="auto"/>
        <w:rPr>
          <w:snapToGrid w:val="0"/>
          <w:sz w:val="24"/>
          <w:szCs w:val="24"/>
        </w:rPr>
      </w:pPr>
      <w:r w:rsidRPr="007A45F0">
        <w:rPr>
          <w:snapToGrid w:val="0"/>
          <w:sz w:val="24"/>
          <w:szCs w:val="24"/>
        </w:rPr>
        <w:tab/>
      </w:r>
      <w:r w:rsidRPr="007A45F0">
        <w:rPr>
          <w:snapToGrid w:val="0"/>
          <w:sz w:val="24"/>
          <w:szCs w:val="24"/>
        </w:rPr>
        <w:tab/>
      </w:r>
      <w:r w:rsidR="00D0371A">
        <w:rPr>
          <w:snapToGrid w:val="0"/>
          <w:sz w:val="24"/>
          <w:szCs w:val="24"/>
        </w:rPr>
        <w:t>3</w:t>
      </w:r>
      <w:r w:rsidRPr="007A45F0">
        <w:rPr>
          <w:snapToGrid w:val="0"/>
          <w:sz w:val="24"/>
          <w:szCs w:val="24"/>
        </w:rPr>
        <w:t>.</w:t>
      </w:r>
      <w:r w:rsidRPr="007A45F0">
        <w:rPr>
          <w:snapToGrid w:val="0"/>
          <w:sz w:val="24"/>
          <w:szCs w:val="24"/>
        </w:rPr>
        <w:tab/>
      </w:r>
      <w:r w:rsidRPr="007A45F0">
        <w:rPr>
          <w:snapToGrid w:val="0"/>
          <w:sz w:val="24"/>
        </w:rPr>
        <w:t>The Commission</w:t>
      </w:r>
      <w:r w:rsidR="00947EA4">
        <w:rPr>
          <w:snapToGrid w:val="0"/>
          <w:sz w:val="24"/>
        </w:rPr>
        <w:t xml:space="preserve">’s regulations permit Parties to stipulate to relevant matters of fact.  </w:t>
      </w:r>
      <w:proofErr w:type="gramStart"/>
      <w:r w:rsidRPr="007A45F0">
        <w:rPr>
          <w:snapToGrid w:val="0"/>
          <w:sz w:val="24"/>
        </w:rPr>
        <w:t xml:space="preserve">52 </w:t>
      </w:r>
      <w:proofErr w:type="spellStart"/>
      <w:r w:rsidRPr="007A45F0">
        <w:rPr>
          <w:snapToGrid w:val="0"/>
          <w:sz w:val="24"/>
        </w:rPr>
        <w:t>Pa.Code</w:t>
      </w:r>
      <w:proofErr w:type="spellEnd"/>
      <w:r w:rsidRPr="007A45F0">
        <w:rPr>
          <w:snapToGrid w:val="0"/>
          <w:sz w:val="24"/>
        </w:rPr>
        <w:t xml:space="preserve"> §</w:t>
      </w:r>
      <w:r w:rsidR="00A97D25">
        <w:rPr>
          <w:snapToGrid w:val="0"/>
          <w:sz w:val="24"/>
        </w:rPr>
        <w:t xml:space="preserve"> </w:t>
      </w:r>
      <w:r w:rsidRPr="007A45F0">
        <w:rPr>
          <w:snapToGrid w:val="0"/>
          <w:sz w:val="24"/>
        </w:rPr>
        <w:t>5.23</w:t>
      </w:r>
      <w:r w:rsidR="00947EA4">
        <w:rPr>
          <w:snapToGrid w:val="0"/>
          <w:sz w:val="24"/>
        </w:rPr>
        <w:t>4</w:t>
      </w:r>
      <w:r w:rsidRPr="007A45F0">
        <w:rPr>
          <w:snapToGrid w:val="0"/>
          <w:sz w:val="24"/>
        </w:rPr>
        <w:t>.</w:t>
      </w:r>
      <w:proofErr w:type="gramEnd"/>
      <w:r w:rsidRPr="007A45F0">
        <w:rPr>
          <w:snapToGrid w:val="0"/>
          <w:sz w:val="24"/>
        </w:rPr>
        <w:t xml:space="preserve">  </w:t>
      </w:r>
    </w:p>
    <w:p w:rsidR="00D0371A" w:rsidRDefault="00D0371A" w:rsidP="002A6E8D">
      <w:pPr>
        <w:spacing w:line="360" w:lineRule="auto"/>
        <w:rPr>
          <w:sz w:val="24"/>
          <w:szCs w:val="24"/>
        </w:rPr>
      </w:pPr>
    </w:p>
    <w:p w:rsidR="00CE1993" w:rsidRPr="00665F43" w:rsidRDefault="00D0371A" w:rsidP="002A6E8D">
      <w:pPr>
        <w:spacing w:line="360" w:lineRule="auto"/>
        <w:ind w:firstLine="1440"/>
        <w:rPr>
          <w:sz w:val="24"/>
          <w:szCs w:val="24"/>
        </w:rPr>
      </w:pPr>
      <w:r>
        <w:rPr>
          <w:sz w:val="24"/>
          <w:szCs w:val="24"/>
        </w:rPr>
        <w:t>4</w:t>
      </w:r>
      <w:r w:rsidR="00CE1993" w:rsidRPr="00665F43">
        <w:rPr>
          <w:sz w:val="24"/>
          <w:szCs w:val="24"/>
        </w:rPr>
        <w:t>.</w:t>
      </w:r>
      <w:r w:rsidR="00CE1993" w:rsidRPr="00665F43">
        <w:rPr>
          <w:sz w:val="24"/>
          <w:szCs w:val="24"/>
        </w:rPr>
        <w:tab/>
        <w:t xml:space="preserve">The Responsible Utility Customer Protection Act, </w:t>
      </w:r>
      <w:proofErr w:type="gramStart"/>
      <w:r w:rsidR="00CE1993" w:rsidRPr="00665F43">
        <w:rPr>
          <w:sz w:val="24"/>
          <w:szCs w:val="24"/>
        </w:rPr>
        <w:t>66 Pa.C.S.A</w:t>
      </w:r>
      <w:proofErr w:type="gramEnd"/>
      <w:r w:rsidR="00CE1993" w:rsidRPr="00665F43">
        <w:rPr>
          <w:sz w:val="24"/>
          <w:szCs w:val="24"/>
        </w:rPr>
        <w:t xml:space="preserve">. § 1401, </w:t>
      </w:r>
      <w:r w:rsidR="00CE1993" w:rsidRPr="00665F43">
        <w:rPr>
          <w:i/>
          <w:sz w:val="24"/>
          <w:szCs w:val="24"/>
        </w:rPr>
        <w:t>et</w:t>
      </w:r>
      <w:r w:rsidR="00F80284">
        <w:rPr>
          <w:i/>
          <w:sz w:val="24"/>
          <w:szCs w:val="24"/>
        </w:rPr>
        <w:t> </w:t>
      </w:r>
      <w:r w:rsidR="00CE1993" w:rsidRPr="00665F43">
        <w:rPr>
          <w:i/>
          <w:sz w:val="24"/>
          <w:szCs w:val="24"/>
        </w:rPr>
        <w:t>seq.</w:t>
      </w:r>
      <w:r w:rsidR="00CE1993" w:rsidRPr="00665F43">
        <w:rPr>
          <w:sz w:val="24"/>
          <w:szCs w:val="24"/>
        </w:rPr>
        <w:t>, applies to this proceeding.</w:t>
      </w:r>
    </w:p>
    <w:p w:rsidR="00CE1993" w:rsidRPr="00665F43" w:rsidRDefault="00CE1993" w:rsidP="002A6E8D">
      <w:pPr>
        <w:spacing w:line="360" w:lineRule="auto"/>
        <w:ind w:firstLine="1440"/>
        <w:rPr>
          <w:sz w:val="24"/>
          <w:szCs w:val="24"/>
        </w:rPr>
      </w:pPr>
    </w:p>
    <w:p w:rsidR="00CE1993" w:rsidRDefault="00D0371A" w:rsidP="002A6E8D">
      <w:pPr>
        <w:spacing w:line="360" w:lineRule="auto"/>
        <w:ind w:firstLine="1440"/>
        <w:rPr>
          <w:sz w:val="24"/>
          <w:szCs w:val="24"/>
        </w:rPr>
      </w:pPr>
      <w:r>
        <w:rPr>
          <w:sz w:val="24"/>
          <w:szCs w:val="24"/>
        </w:rPr>
        <w:t>5</w:t>
      </w:r>
      <w:r w:rsidR="00CE1993" w:rsidRPr="00665F43">
        <w:rPr>
          <w:sz w:val="24"/>
          <w:szCs w:val="24"/>
        </w:rPr>
        <w:t>.</w:t>
      </w:r>
      <w:r w:rsidR="00CE1993" w:rsidRPr="00665F43">
        <w:rPr>
          <w:sz w:val="24"/>
          <w:szCs w:val="24"/>
        </w:rPr>
        <w:tab/>
        <w:t xml:space="preserve">The Commission has the authority to establish one payment arrangement for a customer even if that customer has defaulted on a payment arrangement negotiated with the utility.  </w:t>
      </w:r>
      <w:r w:rsidR="00CE1993" w:rsidRPr="00D0371A">
        <w:rPr>
          <w:i/>
          <w:sz w:val="24"/>
          <w:szCs w:val="24"/>
        </w:rPr>
        <w:t>Reconsideration of Implementation Order</w:t>
      </w:r>
      <w:r w:rsidR="00CE1993" w:rsidRPr="00665F43">
        <w:rPr>
          <w:sz w:val="24"/>
          <w:szCs w:val="24"/>
        </w:rPr>
        <w:t xml:space="preserve">, Order entered October 31, 2005 at Docket No. </w:t>
      </w:r>
      <w:proofErr w:type="gramStart"/>
      <w:r w:rsidR="00CE1993" w:rsidRPr="00665F43">
        <w:rPr>
          <w:sz w:val="24"/>
          <w:szCs w:val="24"/>
        </w:rPr>
        <w:t>M-00041802F0002.</w:t>
      </w:r>
      <w:proofErr w:type="gramEnd"/>
      <w:r w:rsidR="00CE1993" w:rsidRPr="00665F43">
        <w:rPr>
          <w:sz w:val="24"/>
          <w:szCs w:val="24"/>
        </w:rPr>
        <w:t xml:space="preserve">  </w:t>
      </w:r>
    </w:p>
    <w:p w:rsidR="00BD0B75" w:rsidRPr="00665F43" w:rsidRDefault="00BD0B75" w:rsidP="002A6E8D">
      <w:pPr>
        <w:spacing w:line="360" w:lineRule="auto"/>
        <w:ind w:firstLine="1440"/>
        <w:rPr>
          <w:sz w:val="24"/>
          <w:szCs w:val="24"/>
        </w:rPr>
      </w:pPr>
    </w:p>
    <w:p w:rsidR="00CE1993" w:rsidRPr="00665F43" w:rsidRDefault="00D0371A" w:rsidP="002A6E8D">
      <w:pPr>
        <w:spacing w:line="360" w:lineRule="auto"/>
        <w:ind w:firstLine="1440"/>
        <w:rPr>
          <w:sz w:val="24"/>
          <w:szCs w:val="24"/>
        </w:rPr>
      </w:pPr>
      <w:r>
        <w:rPr>
          <w:sz w:val="24"/>
          <w:szCs w:val="24"/>
        </w:rPr>
        <w:lastRenderedPageBreak/>
        <w:t>6</w:t>
      </w:r>
      <w:r w:rsidR="00CE1993" w:rsidRPr="00665F43">
        <w:rPr>
          <w:sz w:val="24"/>
          <w:szCs w:val="24"/>
        </w:rPr>
        <w:t>.</w:t>
      </w:r>
      <w:r w:rsidR="00CE1993" w:rsidRPr="00665F43">
        <w:rPr>
          <w:sz w:val="24"/>
          <w:szCs w:val="24"/>
        </w:rPr>
        <w:tab/>
      </w:r>
      <w:r w:rsidR="002419C3">
        <w:rPr>
          <w:sz w:val="24"/>
          <w:szCs w:val="24"/>
        </w:rPr>
        <w:t xml:space="preserve">Complainant carried the burden of proving that his request for relief is authorized in accordance </w:t>
      </w:r>
      <w:bookmarkStart w:id="0" w:name="_GoBack"/>
      <w:bookmarkEnd w:id="0"/>
      <w:r w:rsidR="002419C3">
        <w:rPr>
          <w:sz w:val="24"/>
          <w:szCs w:val="24"/>
        </w:rPr>
        <w:t>with t</w:t>
      </w:r>
      <w:r w:rsidR="00CE1993" w:rsidRPr="00665F43">
        <w:rPr>
          <w:sz w:val="24"/>
          <w:szCs w:val="24"/>
        </w:rPr>
        <w:t>he provisions of Chapter 14</w:t>
      </w:r>
      <w:r w:rsidR="002419C3">
        <w:rPr>
          <w:sz w:val="24"/>
          <w:szCs w:val="24"/>
        </w:rPr>
        <w:t xml:space="preserve"> of the Public Utility Code</w:t>
      </w:r>
      <w:r w:rsidR="00CE1993" w:rsidRPr="00665F43">
        <w:rPr>
          <w:sz w:val="24"/>
          <w:szCs w:val="24"/>
        </w:rPr>
        <w:t xml:space="preserve">.  </w:t>
      </w:r>
    </w:p>
    <w:p w:rsidR="00A00D4C" w:rsidRPr="00A96DF0" w:rsidRDefault="00A00D4C" w:rsidP="002A6E8D">
      <w:pPr>
        <w:spacing w:line="360" w:lineRule="auto"/>
        <w:ind w:firstLine="1440"/>
        <w:rPr>
          <w:sz w:val="24"/>
          <w:szCs w:val="24"/>
        </w:rPr>
      </w:pPr>
    </w:p>
    <w:p w:rsidR="00D37C22" w:rsidRDefault="00D37C22" w:rsidP="002A6E8D">
      <w:pPr>
        <w:spacing w:line="360" w:lineRule="auto"/>
        <w:jc w:val="center"/>
        <w:rPr>
          <w:sz w:val="24"/>
          <w:szCs w:val="24"/>
          <w:u w:val="single"/>
        </w:rPr>
      </w:pPr>
      <w:r w:rsidRPr="00A96DF0">
        <w:rPr>
          <w:sz w:val="24"/>
          <w:szCs w:val="24"/>
          <w:u w:val="single"/>
        </w:rPr>
        <w:t>ORDER</w:t>
      </w:r>
    </w:p>
    <w:p w:rsidR="002A6E8D" w:rsidRPr="00A96DF0" w:rsidRDefault="002A6E8D" w:rsidP="002A6E8D">
      <w:pPr>
        <w:spacing w:line="360" w:lineRule="auto"/>
        <w:jc w:val="center"/>
        <w:rPr>
          <w:sz w:val="24"/>
          <w:szCs w:val="24"/>
        </w:rPr>
      </w:pPr>
    </w:p>
    <w:p w:rsidR="00D37C22" w:rsidRPr="00A96DF0" w:rsidRDefault="00D37C22" w:rsidP="002A6E8D">
      <w:pPr>
        <w:spacing w:line="360" w:lineRule="auto"/>
        <w:rPr>
          <w:sz w:val="24"/>
          <w:szCs w:val="24"/>
        </w:rPr>
      </w:pPr>
    </w:p>
    <w:p w:rsidR="00D37C22" w:rsidRPr="00A96DF0" w:rsidRDefault="00D37C22" w:rsidP="002A6E8D">
      <w:pPr>
        <w:spacing w:line="360" w:lineRule="auto"/>
        <w:ind w:firstLine="1440"/>
        <w:rPr>
          <w:sz w:val="24"/>
          <w:szCs w:val="24"/>
        </w:rPr>
      </w:pPr>
      <w:r w:rsidRPr="00A96DF0">
        <w:rPr>
          <w:sz w:val="24"/>
          <w:szCs w:val="24"/>
        </w:rPr>
        <w:t>THEREFORE,</w:t>
      </w:r>
    </w:p>
    <w:p w:rsidR="00D37C22" w:rsidRPr="00A96DF0" w:rsidRDefault="00D37C22" w:rsidP="002A6E8D">
      <w:pPr>
        <w:spacing w:line="360" w:lineRule="auto"/>
        <w:ind w:firstLine="1440"/>
        <w:rPr>
          <w:sz w:val="24"/>
          <w:szCs w:val="24"/>
        </w:rPr>
      </w:pPr>
    </w:p>
    <w:p w:rsidR="00471B63" w:rsidRDefault="00D37C22" w:rsidP="002A6E8D">
      <w:pPr>
        <w:spacing w:line="360" w:lineRule="auto"/>
        <w:ind w:firstLine="1440"/>
        <w:rPr>
          <w:sz w:val="24"/>
          <w:szCs w:val="24"/>
        </w:rPr>
      </w:pPr>
      <w:r w:rsidRPr="00A96DF0">
        <w:rPr>
          <w:sz w:val="24"/>
          <w:szCs w:val="24"/>
        </w:rPr>
        <w:t xml:space="preserve">IT IS ORDERED: </w:t>
      </w:r>
    </w:p>
    <w:p w:rsidR="00D37C22" w:rsidRPr="00A96DF0" w:rsidRDefault="00D37C22" w:rsidP="002A6E8D">
      <w:pPr>
        <w:spacing w:line="360" w:lineRule="auto"/>
        <w:ind w:firstLine="1440"/>
        <w:rPr>
          <w:sz w:val="24"/>
          <w:szCs w:val="24"/>
        </w:rPr>
      </w:pPr>
      <w:r w:rsidRPr="00A96DF0">
        <w:rPr>
          <w:sz w:val="24"/>
          <w:szCs w:val="24"/>
        </w:rPr>
        <w:t xml:space="preserve"> </w:t>
      </w:r>
    </w:p>
    <w:p w:rsidR="00A97D25" w:rsidRDefault="00471B63" w:rsidP="002A6E8D">
      <w:pPr>
        <w:numPr>
          <w:ilvl w:val="0"/>
          <w:numId w:val="10"/>
        </w:numPr>
        <w:tabs>
          <w:tab w:val="clear" w:pos="2160"/>
        </w:tabs>
        <w:spacing w:line="360" w:lineRule="auto"/>
        <w:ind w:left="0" w:firstLine="1440"/>
        <w:rPr>
          <w:sz w:val="24"/>
          <w:szCs w:val="24"/>
        </w:rPr>
      </w:pPr>
      <w:r w:rsidRPr="00471B63">
        <w:rPr>
          <w:sz w:val="24"/>
          <w:szCs w:val="24"/>
        </w:rPr>
        <w:t xml:space="preserve">That </w:t>
      </w:r>
      <w:r w:rsidR="00A97D25">
        <w:rPr>
          <w:sz w:val="24"/>
          <w:szCs w:val="24"/>
        </w:rPr>
        <w:t xml:space="preserve">Complaint of </w:t>
      </w:r>
      <w:r w:rsidR="00ED48DB">
        <w:rPr>
          <w:sz w:val="24"/>
          <w:szCs w:val="24"/>
        </w:rPr>
        <w:t xml:space="preserve">Complainant </w:t>
      </w:r>
      <w:r w:rsidR="00A97D25">
        <w:rPr>
          <w:sz w:val="24"/>
          <w:szCs w:val="24"/>
        </w:rPr>
        <w:t>Frank R. Taylor filed against Respondent PECO Energy Company</w:t>
      </w:r>
      <w:r w:rsidR="002419C3">
        <w:rPr>
          <w:sz w:val="24"/>
          <w:szCs w:val="24"/>
        </w:rPr>
        <w:t xml:space="preserve"> at Docket No. F-2014-2460340</w:t>
      </w:r>
      <w:r w:rsidR="00A97D25">
        <w:rPr>
          <w:sz w:val="24"/>
          <w:szCs w:val="24"/>
        </w:rPr>
        <w:t xml:space="preserve"> is sustained.</w:t>
      </w:r>
    </w:p>
    <w:p w:rsidR="00A97D25" w:rsidRPr="00BD0B75" w:rsidRDefault="00A97D25" w:rsidP="002A6E8D">
      <w:pPr>
        <w:spacing w:line="360" w:lineRule="auto"/>
        <w:rPr>
          <w:sz w:val="24"/>
          <w:szCs w:val="24"/>
        </w:rPr>
      </w:pPr>
    </w:p>
    <w:p w:rsidR="00BD0B75" w:rsidRPr="00BD0B75" w:rsidRDefault="00BD0B75" w:rsidP="00BD0B75">
      <w:pPr>
        <w:autoSpaceDE w:val="0"/>
        <w:autoSpaceDN w:val="0"/>
        <w:adjustRightInd w:val="0"/>
        <w:spacing w:line="360" w:lineRule="auto"/>
        <w:ind w:firstLine="1440"/>
        <w:rPr>
          <w:snapToGrid w:val="0"/>
          <w:sz w:val="24"/>
          <w:szCs w:val="24"/>
        </w:rPr>
      </w:pPr>
      <w:r w:rsidRPr="00BD0B75">
        <w:rPr>
          <w:sz w:val="24"/>
          <w:szCs w:val="24"/>
        </w:rPr>
        <w:t>2.</w:t>
      </w:r>
      <w:r w:rsidRPr="00BD0B75">
        <w:rPr>
          <w:sz w:val="24"/>
          <w:szCs w:val="24"/>
        </w:rPr>
        <w:tab/>
        <w:t>That Complainant shall pay Respondent on the date due for the payment of each monthly bill, the regular budget amount of the bills as they come due, plus 1/6</w:t>
      </w:r>
      <w:r w:rsidRPr="00BD0B75">
        <w:rPr>
          <w:sz w:val="24"/>
          <w:szCs w:val="24"/>
          <w:vertAlign w:val="superscript"/>
        </w:rPr>
        <w:t>th</w:t>
      </w:r>
      <w:r w:rsidRPr="00BD0B75">
        <w:rPr>
          <w:sz w:val="24"/>
          <w:szCs w:val="24"/>
        </w:rPr>
        <w:t xml:space="preserve"> of the arrearage owed on this account to be calculated as of the date the Commission enters its 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p>
    <w:p w:rsidR="00BD0B75" w:rsidRPr="00BD0B75" w:rsidRDefault="00BD0B75" w:rsidP="00BD0B75">
      <w:pPr>
        <w:autoSpaceDE w:val="0"/>
        <w:autoSpaceDN w:val="0"/>
        <w:spacing w:line="360" w:lineRule="auto"/>
        <w:rPr>
          <w:sz w:val="24"/>
          <w:szCs w:val="24"/>
        </w:rPr>
      </w:pPr>
    </w:p>
    <w:p w:rsidR="00BD0B75" w:rsidRPr="00BD0B75" w:rsidRDefault="00BD0B75" w:rsidP="00BD0B75">
      <w:pPr>
        <w:autoSpaceDE w:val="0"/>
        <w:autoSpaceDN w:val="0"/>
        <w:spacing w:line="360" w:lineRule="auto"/>
        <w:ind w:firstLine="1440"/>
        <w:rPr>
          <w:sz w:val="24"/>
          <w:szCs w:val="24"/>
        </w:rPr>
      </w:pPr>
      <w:r w:rsidRPr="00BD0B75">
        <w:rPr>
          <w:sz w:val="24"/>
          <w:szCs w:val="24"/>
        </w:rPr>
        <w:t>3.</w:t>
      </w:r>
      <w:r w:rsidRPr="00BD0B75">
        <w:rPr>
          <w:sz w:val="24"/>
          <w:szCs w:val="24"/>
        </w:rPr>
        <w:tab/>
        <w:t>That, so long as Complainant adheres to the terms of this Order, Respondent shall not assess any late payment charges nor shall Respondent terminate service to Complainant, except for valid safety and/or emergency reasons.</w:t>
      </w:r>
    </w:p>
    <w:p w:rsidR="00BD0B75" w:rsidRPr="00BD0B75" w:rsidRDefault="00BD0B75" w:rsidP="00BD0B75">
      <w:pPr>
        <w:autoSpaceDE w:val="0"/>
        <w:autoSpaceDN w:val="0"/>
        <w:spacing w:line="360" w:lineRule="auto"/>
        <w:rPr>
          <w:sz w:val="24"/>
          <w:szCs w:val="24"/>
        </w:rPr>
      </w:pPr>
    </w:p>
    <w:p w:rsidR="00965E2E" w:rsidRDefault="00BD0B75" w:rsidP="00BD0B75">
      <w:pPr>
        <w:autoSpaceDE w:val="0"/>
        <w:autoSpaceDN w:val="0"/>
        <w:spacing w:line="360" w:lineRule="auto"/>
        <w:ind w:firstLine="1440"/>
        <w:rPr>
          <w:sz w:val="24"/>
          <w:szCs w:val="24"/>
        </w:rPr>
      </w:pPr>
      <w:r w:rsidRPr="00BD0B75">
        <w:rPr>
          <w:sz w:val="24"/>
          <w:szCs w:val="24"/>
        </w:rPr>
        <w:t>4.</w:t>
      </w:r>
      <w:r w:rsidRPr="00BD0B75">
        <w:rPr>
          <w:sz w:val="24"/>
          <w:szCs w:val="24"/>
        </w:rPr>
        <w:tab/>
        <w:t xml:space="preserve">That if Complainant fails to adhere to the terms of this Order, the Respondent is hereby authorized to terminate Complainant’s service pursuant to the provisions of the Public Utility Code, 66 </w:t>
      </w:r>
      <w:proofErr w:type="spellStart"/>
      <w:r w:rsidRPr="00BD0B75">
        <w:rPr>
          <w:sz w:val="24"/>
          <w:szCs w:val="24"/>
        </w:rPr>
        <w:t>Pa.C.S</w:t>
      </w:r>
      <w:proofErr w:type="spellEnd"/>
      <w:r w:rsidRPr="00BD0B75">
        <w:rPr>
          <w:sz w:val="24"/>
          <w:szCs w:val="24"/>
        </w:rPr>
        <w:t xml:space="preserve">. §§ 101, </w:t>
      </w:r>
      <w:r w:rsidRPr="00BD0B75">
        <w:rPr>
          <w:i/>
          <w:sz w:val="24"/>
          <w:szCs w:val="24"/>
        </w:rPr>
        <w:t>et seq</w:t>
      </w:r>
      <w:r w:rsidRPr="00BD0B75">
        <w:rPr>
          <w:sz w:val="24"/>
          <w:szCs w:val="24"/>
        </w:rPr>
        <w:t xml:space="preserve">., and the Commission’s regulations, </w:t>
      </w:r>
    </w:p>
    <w:p w:rsidR="00BD0B75" w:rsidRPr="00BD0B75" w:rsidRDefault="00BD0B75" w:rsidP="00965E2E">
      <w:pPr>
        <w:autoSpaceDE w:val="0"/>
        <w:autoSpaceDN w:val="0"/>
        <w:spacing w:line="360" w:lineRule="auto"/>
        <w:rPr>
          <w:sz w:val="24"/>
          <w:szCs w:val="24"/>
        </w:rPr>
      </w:pPr>
      <w:proofErr w:type="gramStart"/>
      <w:r w:rsidRPr="00BD0B75">
        <w:rPr>
          <w:sz w:val="24"/>
          <w:szCs w:val="24"/>
        </w:rPr>
        <w:t xml:space="preserve">52 </w:t>
      </w:r>
      <w:proofErr w:type="spellStart"/>
      <w:r w:rsidRPr="00BD0B75">
        <w:rPr>
          <w:sz w:val="24"/>
          <w:szCs w:val="24"/>
        </w:rPr>
        <w:t>Pa.Code</w:t>
      </w:r>
      <w:proofErr w:type="spellEnd"/>
      <w:r w:rsidRPr="00BD0B75">
        <w:rPr>
          <w:sz w:val="24"/>
          <w:szCs w:val="24"/>
        </w:rPr>
        <w:t xml:space="preserve"> §§56.1, </w:t>
      </w:r>
      <w:r w:rsidRPr="00BD0B75">
        <w:rPr>
          <w:i/>
          <w:sz w:val="24"/>
          <w:szCs w:val="24"/>
        </w:rPr>
        <w:t>et seq</w:t>
      </w:r>
      <w:r w:rsidRPr="00BD0B75">
        <w:rPr>
          <w:sz w:val="24"/>
          <w:szCs w:val="24"/>
        </w:rPr>
        <w:t>.</w:t>
      </w:r>
      <w:proofErr w:type="gramEnd"/>
    </w:p>
    <w:p w:rsidR="00BD0B75" w:rsidRDefault="00BD0B75" w:rsidP="002A6E8D">
      <w:pPr>
        <w:spacing w:line="360" w:lineRule="auto"/>
        <w:rPr>
          <w:sz w:val="24"/>
          <w:szCs w:val="24"/>
        </w:rPr>
      </w:pPr>
    </w:p>
    <w:p w:rsidR="00ED48DB" w:rsidRDefault="00ED48DB" w:rsidP="002A6E8D">
      <w:pPr>
        <w:pStyle w:val="BodyText"/>
        <w:jc w:val="left"/>
        <w:rPr>
          <w:sz w:val="24"/>
          <w:szCs w:val="24"/>
        </w:rPr>
      </w:pPr>
    </w:p>
    <w:p w:rsidR="00D37C22" w:rsidRPr="00A96DF0" w:rsidRDefault="00BD0B75" w:rsidP="00BD0B75">
      <w:pPr>
        <w:pStyle w:val="BodyText"/>
        <w:tabs>
          <w:tab w:val="left" w:pos="1440"/>
        </w:tabs>
        <w:jc w:val="left"/>
        <w:rPr>
          <w:sz w:val="24"/>
          <w:szCs w:val="24"/>
        </w:rPr>
      </w:pPr>
      <w:r>
        <w:rPr>
          <w:sz w:val="24"/>
          <w:szCs w:val="24"/>
        </w:rPr>
        <w:lastRenderedPageBreak/>
        <w:tab/>
        <w:t>5.</w:t>
      </w:r>
      <w:r>
        <w:rPr>
          <w:sz w:val="24"/>
          <w:szCs w:val="24"/>
        </w:rPr>
        <w:tab/>
      </w:r>
      <w:r w:rsidR="00D37C22" w:rsidRPr="00A96DF0">
        <w:rPr>
          <w:sz w:val="24"/>
          <w:szCs w:val="24"/>
        </w:rPr>
        <w:t xml:space="preserve">That the </w:t>
      </w:r>
      <w:r w:rsidR="003F210D" w:rsidRPr="00A96DF0">
        <w:rPr>
          <w:sz w:val="24"/>
          <w:szCs w:val="24"/>
        </w:rPr>
        <w:t xml:space="preserve">Secretary’s Bureau shall mark Docket No. </w:t>
      </w:r>
      <w:r w:rsidR="00ED48DB">
        <w:rPr>
          <w:sz w:val="24"/>
          <w:szCs w:val="24"/>
        </w:rPr>
        <w:t>F</w:t>
      </w:r>
      <w:r w:rsidR="003F210D" w:rsidRPr="00A96DF0">
        <w:rPr>
          <w:sz w:val="24"/>
          <w:szCs w:val="24"/>
        </w:rPr>
        <w:t>-201</w:t>
      </w:r>
      <w:r w:rsidR="00ED48DB">
        <w:rPr>
          <w:sz w:val="24"/>
          <w:szCs w:val="24"/>
        </w:rPr>
        <w:t>4</w:t>
      </w:r>
      <w:r w:rsidR="003F210D" w:rsidRPr="00A96DF0">
        <w:rPr>
          <w:sz w:val="24"/>
          <w:szCs w:val="24"/>
        </w:rPr>
        <w:t>-2</w:t>
      </w:r>
      <w:r w:rsidR="00ED48DB">
        <w:rPr>
          <w:sz w:val="24"/>
          <w:szCs w:val="24"/>
        </w:rPr>
        <w:t>4</w:t>
      </w:r>
      <w:r w:rsidR="00511108">
        <w:rPr>
          <w:sz w:val="24"/>
          <w:szCs w:val="24"/>
        </w:rPr>
        <w:t>6</w:t>
      </w:r>
      <w:r w:rsidR="00ED48DB">
        <w:rPr>
          <w:sz w:val="24"/>
          <w:szCs w:val="24"/>
        </w:rPr>
        <w:t>0340</w:t>
      </w:r>
      <w:r w:rsidR="00D37C22" w:rsidRPr="00A96DF0">
        <w:rPr>
          <w:sz w:val="24"/>
          <w:szCs w:val="24"/>
        </w:rPr>
        <w:t xml:space="preserve"> closed.</w:t>
      </w:r>
    </w:p>
    <w:p w:rsidR="009E1813" w:rsidRDefault="009E1813" w:rsidP="002A6E8D">
      <w:pPr>
        <w:spacing w:line="360" w:lineRule="auto"/>
        <w:rPr>
          <w:sz w:val="24"/>
          <w:szCs w:val="24"/>
        </w:rPr>
      </w:pPr>
    </w:p>
    <w:p w:rsidR="009E1813" w:rsidRPr="009E1813" w:rsidRDefault="009E1813" w:rsidP="002A6E8D">
      <w:pPr>
        <w:spacing w:line="360" w:lineRule="auto"/>
        <w:rPr>
          <w:sz w:val="24"/>
          <w:szCs w:val="24"/>
        </w:rPr>
      </w:pPr>
    </w:p>
    <w:p w:rsidR="009E1813" w:rsidRPr="009E1813" w:rsidRDefault="009E1813" w:rsidP="002A6E8D">
      <w:pPr>
        <w:keepLines/>
        <w:widowControl w:val="0"/>
        <w:autoSpaceDE w:val="0"/>
        <w:autoSpaceDN w:val="0"/>
        <w:adjustRightInd w:val="0"/>
        <w:jc w:val="both"/>
        <w:rPr>
          <w:snapToGrid w:val="0"/>
          <w:sz w:val="24"/>
          <w:szCs w:val="24"/>
          <w:u w:val="single"/>
        </w:rPr>
      </w:pPr>
      <w:r w:rsidRPr="009E1813">
        <w:rPr>
          <w:snapToGrid w:val="0"/>
          <w:sz w:val="24"/>
          <w:szCs w:val="24"/>
        </w:rPr>
        <w:t xml:space="preserve">Date:  </w:t>
      </w:r>
      <w:r w:rsidRPr="009E1813">
        <w:rPr>
          <w:snapToGrid w:val="0"/>
          <w:sz w:val="24"/>
          <w:szCs w:val="24"/>
          <w:u w:val="single"/>
        </w:rPr>
        <w:t>July 2</w:t>
      </w:r>
      <w:r w:rsidR="003A7661">
        <w:rPr>
          <w:snapToGrid w:val="0"/>
          <w:sz w:val="24"/>
          <w:szCs w:val="24"/>
          <w:u w:val="single"/>
        </w:rPr>
        <w:t>1</w:t>
      </w:r>
      <w:r w:rsidRPr="009E1813">
        <w:rPr>
          <w:snapToGrid w:val="0"/>
          <w:sz w:val="24"/>
          <w:szCs w:val="24"/>
          <w:u w:val="single"/>
        </w:rPr>
        <w:t>, 2015</w:t>
      </w:r>
      <w:r w:rsidRPr="009E1813">
        <w:rPr>
          <w:snapToGrid w:val="0"/>
          <w:sz w:val="24"/>
          <w:szCs w:val="24"/>
        </w:rPr>
        <w:tab/>
      </w:r>
      <w:r w:rsidRPr="009E1813">
        <w:rPr>
          <w:snapToGrid w:val="0"/>
          <w:sz w:val="24"/>
          <w:szCs w:val="24"/>
        </w:rPr>
        <w:tab/>
      </w:r>
      <w:r w:rsidRPr="009E1813">
        <w:rPr>
          <w:snapToGrid w:val="0"/>
          <w:sz w:val="24"/>
          <w:szCs w:val="24"/>
        </w:rPr>
        <w:tab/>
      </w:r>
      <w:r w:rsidRPr="009E1813">
        <w:rPr>
          <w:snapToGrid w:val="0"/>
          <w:sz w:val="24"/>
          <w:szCs w:val="24"/>
        </w:rPr>
        <w:tab/>
      </w:r>
      <w:r w:rsidRPr="009E1813">
        <w:rPr>
          <w:snapToGrid w:val="0"/>
          <w:sz w:val="24"/>
          <w:szCs w:val="24"/>
        </w:rPr>
        <w:tab/>
      </w:r>
      <w:r w:rsidRPr="009E1813">
        <w:rPr>
          <w:snapToGrid w:val="0"/>
          <w:sz w:val="24"/>
          <w:szCs w:val="24"/>
          <w:u w:val="single"/>
        </w:rPr>
        <w:t xml:space="preserve">                           /s/</w:t>
      </w:r>
      <w:r w:rsidRPr="009E1813">
        <w:rPr>
          <w:snapToGrid w:val="0"/>
          <w:sz w:val="24"/>
          <w:szCs w:val="24"/>
          <w:u w:val="single"/>
        </w:rPr>
        <w:tab/>
      </w:r>
      <w:r w:rsidRPr="009E1813">
        <w:rPr>
          <w:snapToGrid w:val="0"/>
          <w:sz w:val="24"/>
          <w:szCs w:val="24"/>
          <w:u w:val="single"/>
        </w:rPr>
        <w:tab/>
      </w:r>
      <w:r w:rsidR="002A6E8D" w:rsidRPr="009E1813">
        <w:rPr>
          <w:snapToGrid w:val="0"/>
          <w:sz w:val="24"/>
          <w:szCs w:val="24"/>
          <w:u w:val="single"/>
        </w:rPr>
        <w:tab/>
        <w:t xml:space="preserve"> </w:t>
      </w:r>
      <w:r w:rsidR="002A6E8D" w:rsidRPr="009E1813">
        <w:rPr>
          <w:snapToGrid w:val="0"/>
          <w:sz w:val="24"/>
          <w:szCs w:val="24"/>
          <w:u w:val="single"/>
        </w:rPr>
        <w:tab/>
        <w:t xml:space="preserve">                               </w:t>
      </w:r>
      <w:r w:rsidRPr="009E1813">
        <w:rPr>
          <w:snapToGrid w:val="0"/>
          <w:sz w:val="24"/>
          <w:szCs w:val="24"/>
          <w:u w:val="single"/>
        </w:rPr>
        <w:t xml:space="preserve">                                 </w:t>
      </w:r>
    </w:p>
    <w:p w:rsidR="009E1813" w:rsidRPr="009E1813" w:rsidRDefault="009E1813" w:rsidP="002A6E8D">
      <w:pPr>
        <w:keepLines/>
        <w:widowControl w:val="0"/>
        <w:autoSpaceDE w:val="0"/>
        <w:autoSpaceDN w:val="0"/>
        <w:adjustRightInd w:val="0"/>
        <w:jc w:val="both"/>
        <w:rPr>
          <w:snapToGrid w:val="0"/>
          <w:sz w:val="24"/>
          <w:szCs w:val="24"/>
        </w:rPr>
      </w:pPr>
      <w:r w:rsidRPr="009E1813">
        <w:rPr>
          <w:snapToGrid w:val="0"/>
          <w:sz w:val="24"/>
          <w:szCs w:val="24"/>
        </w:rPr>
        <w:tab/>
      </w:r>
      <w:r w:rsidRPr="009E1813">
        <w:rPr>
          <w:snapToGrid w:val="0"/>
          <w:sz w:val="24"/>
          <w:szCs w:val="24"/>
        </w:rPr>
        <w:tab/>
      </w:r>
      <w:r w:rsidRPr="009E1813">
        <w:rPr>
          <w:snapToGrid w:val="0"/>
          <w:sz w:val="24"/>
          <w:szCs w:val="24"/>
        </w:rPr>
        <w:tab/>
      </w:r>
      <w:r w:rsidRPr="009E1813">
        <w:rPr>
          <w:snapToGrid w:val="0"/>
          <w:sz w:val="24"/>
          <w:szCs w:val="24"/>
        </w:rPr>
        <w:tab/>
      </w:r>
      <w:r w:rsidRPr="009E1813">
        <w:rPr>
          <w:snapToGrid w:val="0"/>
          <w:sz w:val="24"/>
          <w:szCs w:val="24"/>
        </w:rPr>
        <w:tab/>
      </w:r>
      <w:r w:rsidRPr="009E1813">
        <w:rPr>
          <w:snapToGrid w:val="0"/>
          <w:sz w:val="24"/>
          <w:szCs w:val="24"/>
        </w:rPr>
        <w:tab/>
      </w:r>
      <w:r w:rsidRPr="009E1813">
        <w:rPr>
          <w:snapToGrid w:val="0"/>
          <w:sz w:val="24"/>
          <w:szCs w:val="24"/>
        </w:rPr>
        <w:tab/>
        <w:t>Conrad A. Johnson</w:t>
      </w:r>
    </w:p>
    <w:p w:rsidR="009E1813" w:rsidRPr="009E1813" w:rsidRDefault="009E1813" w:rsidP="002A6E8D">
      <w:pPr>
        <w:keepLines/>
        <w:widowControl w:val="0"/>
        <w:autoSpaceDE w:val="0"/>
        <w:autoSpaceDN w:val="0"/>
        <w:adjustRightInd w:val="0"/>
        <w:jc w:val="both"/>
        <w:rPr>
          <w:snapToGrid w:val="0"/>
          <w:sz w:val="24"/>
          <w:szCs w:val="24"/>
        </w:rPr>
      </w:pPr>
      <w:r w:rsidRPr="009E1813">
        <w:rPr>
          <w:snapToGrid w:val="0"/>
          <w:sz w:val="24"/>
          <w:szCs w:val="24"/>
        </w:rPr>
        <w:tab/>
      </w:r>
      <w:r w:rsidRPr="009E1813">
        <w:rPr>
          <w:snapToGrid w:val="0"/>
          <w:sz w:val="24"/>
          <w:szCs w:val="24"/>
        </w:rPr>
        <w:tab/>
      </w:r>
      <w:r w:rsidRPr="009E1813">
        <w:rPr>
          <w:snapToGrid w:val="0"/>
          <w:sz w:val="24"/>
          <w:szCs w:val="24"/>
        </w:rPr>
        <w:tab/>
      </w:r>
      <w:r w:rsidRPr="009E1813">
        <w:rPr>
          <w:snapToGrid w:val="0"/>
          <w:sz w:val="24"/>
          <w:szCs w:val="24"/>
        </w:rPr>
        <w:tab/>
      </w:r>
      <w:r w:rsidRPr="009E1813">
        <w:rPr>
          <w:snapToGrid w:val="0"/>
          <w:sz w:val="24"/>
          <w:szCs w:val="24"/>
        </w:rPr>
        <w:tab/>
      </w:r>
      <w:r w:rsidRPr="009E1813">
        <w:rPr>
          <w:snapToGrid w:val="0"/>
          <w:sz w:val="24"/>
          <w:szCs w:val="24"/>
        </w:rPr>
        <w:tab/>
      </w:r>
      <w:r w:rsidRPr="009E1813">
        <w:rPr>
          <w:snapToGrid w:val="0"/>
          <w:sz w:val="24"/>
          <w:szCs w:val="24"/>
        </w:rPr>
        <w:tab/>
        <w:t>Administrative Law Judge</w:t>
      </w:r>
    </w:p>
    <w:p w:rsidR="009E1813" w:rsidRPr="009E1813" w:rsidRDefault="009E1813" w:rsidP="002A6E8D">
      <w:pPr>
        <w:keepLines/>
        <w:widowControl w:val="0"/>
        <w:autoSpaceDE w:val="0"/>
        <w:autoSpaceDN w:val="0"/>
        <w:adjustRightInd w:val="0"/>
        <w:jc w:val="both"/>
        <w:rPr>
          <w:snapToGrid w:val="0"/>
          <w:sz w:val="24"/>
          <w:szCs w:val="24"/>
        </w:rPr>
      </w:pPr>
    </w:p>
    <w:p w:rsidR="009E1813" w:rsidRPr="009E1813" w:rsidRDefault="009E1813" w:rsidP="00C260F0">
      <w:pPr>
        <w:spacing w:line="360" w:lineRule="auto"/>
        <w:rPr>
          <w:sz w:val="24"/>
          <w:szCs w:val="24"/>
        </w:rPr>
      </w:pPr>
    </w:p>
    <w:sectPr w:rsidR="009E1813" w:rsidRPr="009E1813" w:rsidSect="00714F86">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55A8" w:rsidRDefault="001D55A8" w:rsidP="00192971">
      <w:r>
        <w:separator/>
      </w:r>
    </w:p>
  </w:endnote>
  <w:endnote w:type="continuationSeparator" w:id="0">
    <w:p w:rsidR="001D55A8" w:rsidRDefault="001D55A8" w:rsidP="00192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343" w:rsidRDefault="00D93343" w:rsidP="0019297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3343" w:rsidRDefault="00D933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632195"/>
      <w:docPartObj>
        <w:docPartGallery w:val="Page Numbers (Bottom of Page)"/>
        <w:docPartUnique/>
      </w:docPartObj>
    </w:sdtPr>
    <w:sdtEndPr>
      <w:rPr>
        <w:noProof/>
      </w:rPr>
    </w:sdtEndPr>
    <w:sdtContent>
      <w:p w:rsidR="00714F86" w:rsidRDefault="00714F86">
        <w:pPr>
          <w:pStyle w:val="Footer"/>
          <w:jc w:val="center"/>
        </w:pPr>
        <w:r>
          <w:fldChar w:fldCharType="begin"/>
        </w:r>
        <w:r>
          <w:instrText xml:space="preserve"> PAGE   \* MERGEFORMAT </w:instrText>
        </w:r>
        <w:r>
          <w:fldChar w:fldCharType="separate"/>
        </w:r>
        <w:r w:rsidR="00671517">
          <w:rPr>
            <w:noProof/>
          </w:rPr>
          <w:t>9</w:t>
        </w:r>
        <w:r>
          <w:rPr>
            <w:noProof/>
          </w:rPr>
          <w:fldChar w:fldCharType="end"/>
        </w:r>
      </w:p>
    </w:sdtContent>
  </w:sdt>
  <w:p w:rsidR="00D93343" w:rsidRDefault="00D933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55A8" w:rsidRDefault="001D55A8" w:rsidP="00192971">
      <w:r>
        <w:separator/>
      </w:r>
    </w:p>
  </w:footnote>
  <w:footnote w:type="continuationSeparator" w:id="0">
    <w:p w:rsidR="001D55A8" w:rsidRDefault="001D55A8" w:rsidP="00192971">
      <w:r>
        <w:continuationSeparator/>
      </w:r>
    </w:p>
  </w:footnote>
  <w:footnote w:id="1">
    <w:p w:rsidR="00EE05C9" w:rsidRDefault="00EE05C9">
      <w:pPr>
        <w:pStyle w:val="FootnoteText"/>
      </w:pPr>
      <w:r>
        <w:rPr>
          <w:rStyle w:val="FootnoteReference"/>
        </w:rPr>
        <w:footnoteRef/>
      </w:r>
      <w:r>
        <w:tab/>
        <w:t xml:space="preserve">Mr. Taylor’s Complaint seeks review of the November 20, 2014 decision of the Commission’s Bureau of Consumer Services </w:t>
      </w:r>
      <w:r w:rsidR="00B02955">
        <w:t>(BCS) closing his informal complaint</w:t>
      </w:r>
      <w:r w:rsidR="000A385A">
        <w:t xml:space="preserve"> requesting a payment agreement</w:t>
      </w:r>
      <w:r w:rsidR="00B02955">
        <w:t xml:space="preserve"> at BCS No. 3233278 and fin</w:t>
      </w:r>
      <w:r w:rsidR="000A385A">
        <w:t xml:space="preserve">ding that he was not eligible for another medical certification.  BCS directed Mr. Taylor to contact the Company </w:t>
      </w:r>
      <w:r w:rsidR="0073713C">
        <w:t xml:space="preserve">for </w:t>
      </w:r>
      <w:r w:rsidR="000A385A">
        <w:t>payment terms.</w:t>
      </w:r>
    </w:p>
  </w:footnote>
  <w:footnote w:id="2">
    <w:p w:rsidR="00B14282" w:rsidRDefault="00B14282" w:rsidP="00B14282">
      <w:pPr>
        <w:pStyle w:val="FootnoteText"/>
      </w:pPr>
      <w:r>
        <w:rPr>
          <w:rStyle w:val="FootnoteReference"/>
        </w:rPr>
        <w:footnoteRef/>
      </w:r>
      <w:r>
        <w:t xml:space="preserve"> </w:t>
      </w:r>
      <w:r>
        <w:tab/>
        <w:t xml:space="preserve">Act 155 of 2014 amended Chapter 14 of the Public Utility Code, </w:t>
      </w:r>
      <w:r w:rsidR="00ED39A6">
        <w:t xml:space="preserve">the </w:t>
      </w:r>
      <w:r w:rsidR="00ED39A6">
        <w:rPr>
          <w:i/>
        </w:rPr>
        <w:t xml:space="preserve">Responsible Utility Customer Protection Act </w:t>
      </w:r>
      <w:r w:rsidR="00ED39A6">
        <w:t xml:space="preserve">(Act 201 of 2004), </w:t>
      </w:r>
      <w:r>
        <w:t xml:space="preserve">66 Pa.C.S. </w:t>
      </w:r>
      <w:r w:rsidR="00E3559D">
        <w:t>Ch</w:t>
      </w:r>
      <w:r w:rsidR="00ED39A6">
        <w:t xml:space="preserve">. </w:t>
      </w:r>
      <w:r w:rsidR="00E3559D">
        <w:t xml:space="preserve">14, </w:t>
      </w:r>
      <w:r>
        <w:t xml:space="preserve">effective December </w:t>
      </w:r>
      <w:r w:rsidR="00203642">
        <w:t xml:space="preserve">22, 2014.  </w:t>
      </w:r>
      <w:r>
        <w:t>Under the amendments</w:t>
      </w:r>
      <w:r w:rsidR="00606E80">
        <w:t>,</w:t>
      </w:r>
      <w:r>
        <w:t xml:space="preserve"> the term “payment agreement” was amended to read “payment arrangement.”  See 66 Pa.C.S. § 1403.  </w:t>
      </w:r>
      <w:r w:rsidR="00E3559D">
        <w:t>While Mr.</w:t>
      </w:r>
      <w:r w:rsidR="00203642">
        <w:t> </w:t>
      </w:r>
      <w:r w:rsidR="00E3559D">
        <w:t xml:space="preserve">Taylor’s Complaint was filed prior to the effective date of the amendments, the amendments do not affect the outcome in this case.  </w:t>
      </w:r>
      <w:r w:rsidR="00606E80">
        <w:t>Accordingly, h</w:t>
      </w:r>
      <w:r>
        <w:t xml:space="preserve">ereinafter </w:t>
      </w:r>
      <w:r w:rsidR="00E3559D">
        <w:t>provisions of Chapter 14, as amended, are cited</w:t>
      </w:r>
      <w:r w:rsidR="00606E80">
        <w:t>.</w:t>
      </w:r>
    </w:p>
  </w:footnote>
  <w:footnote w:id="3">
    <w:p w:rsidR="00135965" w:rsidRPr="007C35E5" w:rsidRDefault="00135965" w:rsidP="00135965">
      <w:pPr>
        <w:pStyle w:val="FootnoteText"/>
      </w:pPr>
      <w:r w:rsidRPr="007C35E5">
        <w:rPr>
          <w:rStyle w:val="FootnoteReference"/>
        </w:rPr>
        <w:footnoteRef/>
      </w:r>
      <w:r w:rsidRPr="007C35E5">
        <w:t xml:space="preserve"> </w:t>
      </w:r>
      <w:r>
        <w:t xml:space="preserve"> </w:t>
      </w:r>
      <w:r>
        <w:tab/>
      </w:r>
      <w:r w:rsidRPr="007C35E5">
        <w:t>The Commission has interpreted Section 1405(d) as follows:</w:t>
      </w:r>
    </w:p>
    <w:p w:rsidR="00135965" w:rsidRPr="007C35E5" w:rsidRDefault="00135965" w:rsidP="00135965">
      <w:pPr>
        <w:pStyle w:val="FootnoteText"/>
      </w:pPr>
    </w:p>
    <w:p w:rsidR="00135965" w:rsidRPr="007C35E5" w:rsidRDefault="00135965" w:rsidP="00135965">
      <w:pPr>
        <w:pStyle w:val="FootnoteText"/>
        <w:ind w:left="1440" w:right="1368"/>
      </w:pPr>
      <w:r w:rsidRPr="007C35E5">
        <w:t>We conclude that §</w:t>
      </w:r>
      <w:r>
        <w:t xml:space="preserve"> </w:t>
      </w:r>
      <w:r w:rsidRPr="007C35E5">
        <w:t>1405(d) permits the Commission (in addition to instances where there has been a change of income) to establish one payment agreement that meets the terms of Chapter 14 before the prohibition against a second payment agreement in § 1405(d) applies.</w:t>
      </w:r>
    </w:p>
    <w:p w:rsidR="00135965" w:rsidRPr="007C35E5" w:rsidRDefault="00135965" w:rsidP="00135965">
      <w:pPr>
        <w:pStyle w:val="FootnoteText"/>
        <w:ind w:left="1440" w:right="1368"/>
      </w:pPr>
    </w:p>
    <w:p w:rsidR="00135965" w:rsidRPr="007C35E5" w:rsidRDefault="00135965" w:rsidP="00135965">
      <w:pPr>
        <w:pStyle w:val="FootnoteText"/>
        <w:ind w:right="18"/>
      </w:pPr>
      <w:r w:rsidRPr="007C35E5">
        <w:rPr>
          <w:i/>
        </w:rPr>
        <w:t>Reconsideration of Implementation Order</w:t>
      </w:r>
      <w:r w:rsidRPr="007C35E5">
        <w:t xml:space="preserve"> entered October 31, 2005, Docket No. M-00041802F0002.</w:t>
      </w:r>
    </w:p>
  </w:footnote>
  <w:footnote w:id="4">
    <w:p w:rsidR="000C5D51" w:rsidRDefault="000C5D51">
      <w:pPr>
        <w:pStyle w:val="FootnoteText"/>
      </w:pPr>
    </w:p>
    <w:p w:rsidR="000C5D51" w:rsidRDefault="000C5D51" w:rsidP="007D7A77">
      <w:pPr>
        <w:pStyle w:val="FootnoteText"/>
      </w:pPr>
      <w:r>
        <w:rPr>
          <w:rStyle w:val="FootnoteReference"/>
        </w:rPr>
        <w:footnoteRef/>
      </w:r>
      <w:r>
        <w:tab/>
        <w:t xml:space="preserve">Findings of Fact 7 through 17. </w:t>
      </w:r>
    </w:p>
    <w:p w:rsidR="007D7A77" w:rsidRDefault="007D7A77" w:rsidP="007D7A77">
      <w:pPr>
        <w:pStyle w:val="FootnoteText"/>
      </w:pPr>
    </w:p>
  </w:footnote>
  <w:footnote w:id="5">
    <w:p w:rsidR="007D7A77" w:rsidRPr="00B81C33" w:rsidRDefault="007D7A77" w:rsidP="007D7A77">
      <w:pPr>
        <w:keepNext/>
        <w:keepLines/>
        <w:outlineLvl w:val="3"/>
        <w:rPr>
          <w:b/>
          <w:bCs/>
        </w:rPr>
      </w:pPr>
      <w:r>
        <w:rPr>
          <w:rFonts w:asciiTheme="majorHAnsi" w:eastAsiaTheme="majorEastAsia" w:hAnsiTheme="majorHAnsi" w:cstheme="majorBidi"/>
          <w:bCs/>
          <w:iCs/>
          <w:vertAlign w:val="superscript"/>
        </w:rPr>
        <w:t>5</w:t>
      </w:r>
      <w:r w:rsidRPr="00B81C33">
        <w:rPr>
          <w:rFonts w:asciiTheme="majorHAnsi" w:eastAsiaTheme="majorEastAsia" w:hAnsiTheme="majorHAnsi" w:cstheme="majorBidi"/>
          <w:bCs/>
          <w:iCs/>
        </w:rPr>
        <w:tab/>
      </w:r>
      <w:r w:rsidRPr="00B81C33">
        <w:rPr>
          <w:b/>
          <w:bCs/>
        </w:rPr>
        <w:t xml:space="preserve">§ 5.234. </w:t>
      </w:r>
      <w:proofErr w:type="gramStart"/>
      <w:r w:rsidRPr="00B81C33">
        <w:rPr>
          <w:b/>
          <w:bCs/>
        </w:rPr>
        <w:t>Presentation and effect of stipulations.</w:t>
      </w:r>
      <w:proofErr w:type="gramEnd"/>
    </w:p>
    <w:p w:rsidR="007D7A77" w:rsidRPr="00B81C33" w:rsidRDefault="007D7A77" w:rsidP="007D7A77">
      <w:pPr>
        <w:spacing w:before="100" w:beforeAutospacing="1"/>
        <w:ind w:left="720" w:right="1080" w:firstLine="360"/>
        <w:rPr>
          <w:szCs w:val="24"/>
        </w:rPr>
      </w:pPr>
      <w:r w:rsidRPr="00B81C33">
        <w:t>(a)  Parties may stipulate to relevant matters of fact or the authenticity of relevant documents. The stipulations may be received in evidence at a hearing, and when so received shall be binding on the parties to the stipulation with respect to the matters therein stipulated.</w:t>
      </w:r>
      <w:r w:rsidRPr="00B81C33">
        <w:rPr>
          <w:szCs w:val="24"/>
        </w:rPr>
        <w:t xml:space="preserve"> </w:t>
      </w:r>
    </w:p>
    <w:p w:rsidR="007D7A77" w:rsidRDefault="007D7A77">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374F4E"/>
    <w:multiLevelType w:val="hybridMultilevel"/>
    <w:tmpl w:val="7436C99C"/>
    <w:lvl w:ilvl="0" w:tplc="290E7770">
      <w:start w:val="8"/>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C48689E"/>
    <w:multiLevelType w:val="hybridMultilevel"/>
    <w:tmpl w:val="695A1434"/>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10356196"/>
    <w:multiLevelType w:val="hybridMultilevel"/>
    <w:tmpl w:val="50F2E2F4"/>
    <w:lvl w:ilvl="0" w:tplc="7D5822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F012E00"/>
    <w:multiLevelType w:val="hybridMultilevel"/>
    <w:tmpl w:val="9374678C"/>
    <w:lvl w:ilvl="0" w:tplc="04090015">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2A0F4F5A"/>
    <w:multiLevelType w:val="hybridMultilevel"/>
    <w:tmpl w:val="FA46155E"/>
    <w:lvl w:ilvl="0" w:tplc="EF5EB0BA">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2F35519"/>
    <w:multiLevelType w:val="hybridMultilevel"/>
    <w:tmpl w:val="CFC4379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59803BB5"/>
    <w:multiLevelType w:val="hybridMultilevel"/>
    <w:tmpl w:val="557CD590"/>
    <w:lvl w:ilvl="0" w:tplc="0409000F">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1AB38B1"/>
    <w:multiLevelType w:val="hybridMultilevel"/>
    <w:tmpl w:val="743A561A"/>
    <w:lvl w:ilvl="0" w:tplc="2A5C740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74750C38"/>
    <w:multiLevelType w:val="hybridMultilevel"/>
    <w:tmpl w:val="C7A8F0B6"/>
    <w:lvl w:ilvl="0" w:tplc="F990B080">
      <w:start w:val="4"/>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0"/>
  </w:num>
  <w:num w:numId="2">
    <w:abstractNumId w:val="1"/>
  </w:num>
  <w:num w:numId="3">
    <w:abstractNumId w:val="4"/>
  </w:num>
  <w:num w:numId="4">
    <w:abstractNumId w:val="8"/>
  </w:num>
  <w:num w:numId="5">
    <w:abstractNumId w:val="2"/>
  </w:num>
  <w:num w:numId="6">
    <w:abstractNumId w:val="3"/>
  </w:num>
  <w:num w:numId="7">
    <w:abstractNumId w:val="5"/>
  </w:num>
  <w:num w:numId="8">
    <w:abstractNumId w:val="10"/>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2E3"/>
    <w:rsid w:val="0001558A"/>
    <w:rsid w:val="00017FB3"/>
    <w:rsid w:val="0002203C"/>
    <w:rsid w:val="00022F61"/>
    <w:rsid w:val="00045292"/>
    <w:rsid w:val="00050D8D"/>
    <w:rsid w:val="00064512"/>
    <w:rsid w:val="00083788"/>
    <w:rsid w:val="00085340"/>
    <w:rsid w:val="00087429"/>
    <w:rsid w:val="00097271"/>
    <w:rsid w:val="000A08A1"/>
    <w:rsid w:val="000A1928"/>
    <w:rsid w:val="000A2316"/>
    <w:rsid w:val="000A385A"/>
    <w:rsid w:val="000A473D"/>
    <w:rsid w:val="000C339E"/>
    <w:rsid w:val="000C5D51"/>
    <w:rsid w:val="000D49B5"/>
    <w:rsid w:val="00123A7D"/>
    <w:rsid w:val="001326BE"/>
    <w:rsid w:val="001335CD"/>
    <w:rsid w:val="00135965"/>
    <w:rsid w:val="00135A5C"/>
    <w:rsid w:val="001400B4"/>
    <w:rsid w:val="00144D1F"/>
    <w:rsid w:val="001452F0"/>
    <w:rsid w:val="001540D4"/>
    <w:rsid w:val="00162760"/>
    <w:rsid w:val="0016380D"/>
    <w:rsid w:val="00166359"/>
    <w:rsid w:val="00170D53"/>
    <w:rsid w:val="001719E4"/>
    <w:rsid w:val="00171CBE"/>
    <w:rsid w:val="001759FE"/>
    <w:rsid w:val="0019103E"/>
    <w:rsid w:val="00192971"/>
    <w:rsid w:val="001A540B"/>
    <w:rsid w:val="001B30D4"/>
    <w:rsid w:val="001C1EEF"/>
    <w:rsid w:val="001C7999"/>
    <w:rsid w:val="001D174C"/>
    <w:rsid w:val="001D432A"/>
    <w:rsid w:val="001D55A8"/>
    <w:rsid w:val="001D5F2E"/>
    <w:rsid w:val="001E7C16"/>
    <w:rsid w:val="001F1C55"/>
    <w:rsid w:val="001F292E"/>
    <w:rsid w:val="001F71A4"/>
    <w:rsid w:val="00203642"/>
    <w:rsid w:val="002069E4"/>
    <w:rsid w:val="00210EA4"/>
    <w:rsid w:val="002164B9"/>
    <w:rsid w:val="00217012"/>
    <w:rsid w:val="0022130A"/>
    <w:rsid w:val="002419C3"/>
    <w:rsid w:val="00242B84"/>
    <w:rsid w:val="00251A6F"/>
    <w:rsid w:val="002638DD"/>
    <w:rsid w:val="00266C16"/>
    <w:rsid w:val="00297BE3"/>
    <w:rsid w:val="002A1E77"/>
    <w:rsid w:val="002A6E8D"/>
    <w:rsid w:val="002B3A2F"/>
    <w:rsid w:val="002B76AA"/>
    <w:rsid w:val="002C0109"/>
    <w:rsid w:val="002C3A15"/>
    <w:rsid w:val="002C766F"/>
    <w:rsid w:val="002D0CB9"/>
    <w:rsid w:val="002D15FD"/>
    <w:rsid w:val="002D36A0"/>
    <w:rsid w:val="002D375B"/>
    <w:rsid w:val="002E0F62"/>
    <w:rsid w:val="002E3387"/>
    <w:rsid w:val="002E4A8C"/>
    <w:rsid w:val="002F044D"/>
    <w:rsid w:val="00311047"/>
    <w:rsid w:val="00313B05"/>
    <w:rsid w:val="00320183"/>
    <w:rsid w:val="00326811"/>
    <w:rsid w:val="0033535E"/>
    <w:rsid w:val="00347F37"/>
    <w:rsid w:val="00347F3D"/>
    <w:rsid w:val="003529E5"/>
    <w:rsid w:val="00354C2F"/>
    <w:rsid w:val="00360F4D"/>
    <w:rsid w:val="003633BC"/>
    <w:rsid w:val="00381BFA"/>
    <w:rsid w:val="00390FC2"/>
    <w:rsid w:val="00392ADA"/>
    <w:rsid w:val="003A7661"/>
    <w:rsid w:val="003C0388"/>
    <w:rsid w:val="003C3D45"/>
    <w:rsid w:val="003C57DA"/>
    <w:rsid w:val="003D1B0F"/>
    <w:rsid w:val="003D73F5"/>
    <w:rsid w:val="003F210D"/>
    <w:rsid w:val="003F445E"/>
    <w:rsid w:val="004156F8"/>
    <w:rsid w:val="00420ED2"/>
    <w:rsid w:val="004235CF"/>
    <w:rsid w:val="004258FD"/>
    <w:rsid w:val="00434E4A"/>
    <w:rsid w:val="00445BBF"/>
    <w:rsid w:val="0045586C"/>
    <w:rsid w:val="0045783B"/>
    <w:rsid w:val="00462D5D"/>
    <w:rsid w:val="00465398"/>
    <w:rsid w:val="00470B6E"/>
    <w:rsid w:val="00471B63"/>
    <w:rsid w:val="0048599E"/>
    <w:rsid w:val="0049394E"/>
    <w:rsid w:val="004A26C7"/>
    <w:rsid w:val="004A4275"/>
    <w:rsid w:val="004C5AB0"/>
    <w:rsid w:val="004C66B3"/>
    <w:rsid w:val="004D522D"/>
    <w:rsid w:val="004F24CA"/>
    <w:rsid w:val="00504281"/>
    <w:rsid w:val="00511108"/>
    <w:rsid w:val="00521B7D"/>
    <w:rsid w:val="00522507"/>
    <w:rsid w:val="00536423"/>
    <w:rsid w:val="00542422"/>
    <w:rsid w:val="00543565"/>
    <w:rsid w:val="0056758F"/>
    <w:rsid w:val="005867EF"/>
    <w:rsid w:val="00590B50"/>
    <w:rsid w:val="005B2610"/>
    <w:rsid w:val="005B2AC6"/>
    <w:rsid w:val="005E2F45"/>
    <w:rsid w:val="005E4BA5"/>
    <w:rsid w:val="005F568B"/>
    <w:rsid w:val="00606E80"/>
    <w:rsid w:val="00607A00"/>
    <w:rsid w:val="00615EE7"/>
    <w:rsid w:val="0063084B"/>
    <w:rsid w:val="00635CFC"/>
    <w:rsid w:val="006421F6"/>
    <w:rsid w:val="006669F3"/>
    <w:rsid w:val="0067098B"/>
    <w:rsid w:val="00671517"/>
    <w:rsid w:val="0068316A"/>
    <w:rsid w:val="0069117E"/>
    <w:rsid w:val="00692541"/>
    <w:rsid w:val="00695352"/>
    <w:rsid w:val="00696390"/>
    <w:rsid w:val="006972E3"/>
    <w:rsid w:val="006C16D1"/>
    <w:rsid w:val="006C2036"/>
    <w:rsid w:val="006D2957"/>
    <w:rsid w:val="006E4830"/>
    <w:rsid w:val="00714F86"/>
    <w:rsid w:val="00715267"/>
    <w:rsid w:val="00721613"/>
    <w:rsid w:val="0072740D"/>
    <w:rsid w:val="00727B56"/>
    <w:rsid w:val="007327C1"/>
    <w:rsid w:val="00733B0F"/>
    <w:rsid w:val="0073713C"/>
    <w:rsid w:val="0074022D"/>
    <w:rsid w:val="007425F9"/>
    <w:rsid w:val="007449BB"/>
    <w:rsid w:val="007464FE"/>
    <w:rsid w:val="00755690"/>
    <w:rsid w:val="007570B1"/>
    <w:rsid w:val="00771CEC"/>
    <w:rsid w:val="00774502"/>
    <w:rsid w:val="007805B4"/>
    <w:rsid w:val="007A0F98"/>
    <w:rsid w:val="007A4420"/>
    <w:rsid w:val="007A45F0"/>
    <w:rsid w:val="007A4F9D"/>
    <w:rsid w:val="007B17F4"/>
    <w:rsid w:val="007B4D65"/>
    <w:rsid w:val="007B6F4F"/>
    <w:rsid w:val="007C668D"/>
    <w:rsid w:val="007D6B71"/>
    <w:rsid w:val="007D7A77"/>
    <w:rsid w:val="007E78A5"/>
    <w:rsid w:val="007F2D52"/>
    <w:rsid w:val="0080299B"/>
    <w:rsid w:val="00821A08"/>
    <w:rsid w:val="00823F8B"/>
    <w:rsid w:val="00850384"/>
    <w:rsid w:val="00892297"/>
    <w:rsid w:val="008B1581"/>
    <w:rsid w:val="008B186B"/>
    <w:rsid w:val="008B34B4"/>
    <w:rsid w:val="008C0F2B"/>
    <w:rsid w:val="008C6FEF"/>
    <w:rsid w:val="008D18C1"/>
    <w:rsid w:val="008D45F3"/>
    <w:rsid w:val="008E648B"/>
    <w:rsid w:val="008E64F1"/>
    <w:rsid w:val="00901D00"/>
    <w:rsid w:val="00917EF4"/>
    <w:rsid w:val="00922AB2"/>
    <w:rsid w:val="00932016"/>
    <w:rsid w:val="00932324"/>
    <w:rsid w:val="00933D51"/>
    <w:rsid w:val="00933E34"/>
    <w:rsid w:val="00947EA4"/>
    <w:rsid w:val="0095384A"/>
    <w:rsid w:val="00965E2E"/>
    <w:rsid w:val="009A6084"/>
    <w:rsid w:val="009B7783"/>
    <w:rsid w:val="009D4C48"/>
    <w:rsid w:val="009E1813"/>
    <w:rsid w:val="009E43FB"/>
    <w:rsid w:val="009F365D"/>
    <w:rsid w:val="009F5C8E"/>
    <w:rsid w:val="00A00D4C"/>
    <w:rsid w:val="00A07AC9"/>
    <w:rsid w:val="00A15114"/>
    <w:rsid w:val="00A15652"/>
    <w:rsid w:val="00A15E71"/>
    <w:rsid w:val="00A344CD"/>
    <w:rsid w:val="00A34C43"/>
    <w:rsid w:val="00A3657F"/>
    <w:rsid w:val="00A55988"/>
    <w:rsid w:val="00A64156"/>
    <w:rsid w:val="00A80E7A"/>
    <w:rsid w:val="00A83E82"/>
    <w:rsid w:val="00A96DF0"/>
    <w:rsid w:val="00A97D25"/>
    <w:rsid w:val="00AA2305"/>
    <w:rsid w:val="00AA58DB"/>
    <w:rsid w:val="00AB3AF6"/>
    <w:rsid w:val="00AB55C5"/>
    <w:rsid w:val="00AD049F"/>
    <w:rsid w:val="00AD6141"/>
    <w:rsid w:val="00AD6699"/>
    <w:rsid w:val="00AE54FE"/>
    <w:rsid w:val="00B02955"/>
    <w:rsid w:val="00B05977"/>
    <w:rsid w:val="00B14282"/>
    <w:rsid w:val="00B15DA8"/>
    <w:rsid w:val="00B168BD"/>
    <w:rsid w:val="00B72D63"/>
    <w:rsid w:val="00B83229"/>
    <w:rsid w:val="00B94E46"/>
    <w:rsid w:val="00BA0C47"/>
    <w:rsid w:val="00BC694B"/>
    <w:rsid w:val="00BD0B75"/>
    <w:rsid w:val="00BE2C14"/>
    <w:rsid w:val="00BF176B"/>
    <w:rsid w:val="00BF52D5"/>
    <w:rsid w:val="00BF7353"/>
    <w:rsid w:val="00C015DC"/>
    <w:rsid w:val="00C260F0"/>
    <w:rsid w:val="00C33654"/>
    <w:rsid w:val="00C3732D"/>
    <w:rsid w:val="00C512B4"/>
    <w:rsid w:val="00C7211E"/>
    <w:rsid w:val="00C8046B"/>
    <w:rsid w:val="00C83184"/>
    <w:rsid w:val="00C84FEF"/>
    <w:rsid w:val="00C92252"/>
    <w:rsid w:val="00C95C49"/>
    <w:rsid w:val="00CA58AE"/>
    <w:rsid w:val="00CA7173"/>
    <w:rsid w:val="00CC0503"/>
    <w:rsid w:val="00CC274D"/>
    <w:rsid w:val="00CC4501"/>
    <w:rsid w:val="00CC78EE"/>
    <w:rsid w:val="00CE0594"/>
    <w:rsid w:val="00CE1993"/>
    <w:rsid w:val="00CE5002"/>
    <w:rsid w:val="00D0371A"/>
    <w:rsid w:val="00D174D3"/>
    <w:rsid w:val="00D31050"/>
    <w:rsid w:val="00D36CD3"/>
    <w:rsid w:val="00D37C22"/>
    <w:rsid w:val="00D57C56"/>
    <w:rsid w:val="00D60485"/>
    <w:rsid w:val="00D631F2"/>
    <w:rsid w:val="00D633BC"/>
    <w:rsid w:val="00D66972"/>
    <w:rsid w:val="00D758AD"/>
    <w:rsid w:val="00D77A0D"/>
    <w:rsid w:val="00D77BC0"/>
    <w:rsid w:val="00D802EE"/>
    <w:rsid w:val="00D835B0"/>
    <w:rsid w:val="00D87905"/>
    <w:rsid w:val="00D93343"/>
    <w:rsid w:val="00DB657D"/>
    <w:rsid w:val="00DC6129"/>
    <w:rsid w:val="00DE3525"/>
    <w:rsid w:val="00DE35AF"/>
    <w:rsid w:val="00DF2A9B"/>
    <w:rsid w:val="00DF699B"/>
    <w:rsid w:val="00DF6D7E"/>
    <w:rsid w:val="00E01091"/>
    <w:rsid w:val="00E02170"/>
    <w:rsid w:val="00E02327"/>
    <w:rsid w:val="00E04036"/>
    <w:rsid w:val="00E32890"/>
    <w:rsid w:val="00E3559D"/>
    <w:rsid w:val="00E44FF8"/>
    <w:rsid w:val="00E57C33"/>
    <w:rsid w:val="00E57C51"/>
    <w:rsid w:val="00E66069"/>
    <w:rsid w:val="00E7075A"/>
    <w:rsid w:val="00E75295"/>
    <w:rsid w:val="00E80040"/>
    <w:rsid w:val="00E81D69"/>
    <w:rsid w:val="00E820D6"/>
    <w:rsid w:val="00E83CAB"/>
    <w:rsid w:val="00E90E21"/>
    <w:rsid w:val="00E93E6E"/>
    <w:rsid w:val="00EA130F"/>
    <w:rsid w:val="00EA3EED"/>
    <w:rsid w:val="00ED39A6"/>
    <w:rsid w:val="00ED48DB"/>
    <w:rsid w:val="00EE05C9"/>
    <w:rsid w:val="00EE0BE3"/>
    <w:rsid w:val="00EE62D5"/>
    <w:rsid w:val="00EF10F2"/>
    <w:rsid w:val="00EF3B3C"/>
    <w:rsid w:val="00EF728F"/>
    <w:rsid w:val="00F34504"/>
    <w:rsid w:val="00F40C06"/>
    <w:rsid w:val="00F427FF"/>
    <w:rsid w:val="00F437D8"/>
    <w:rsid w:val="00F53F9F"/>
    <w:rsid w:val="00F622D5"/>
    <w:rsid w:val="00F75DBE"/>
    <w:rsid w:val="00F768BE"/>
    <w:rsid w:val="00F80284"/>
    <w:rsid w:val="00F82051"/>
    <w:rsid w:val="00F9418B"/>
    <w:rsid w:val="00FA60CC"/>
    <w:rsid w:val="00FB0C94"/>
    <w:rsid w:val="00FB6878"/>
    <w:rsid w:val="00FC4182"/>
    <w:rsid w:val="00FC7713"/>
    <w:rsid w:val="00FE5314"/>
    <w:rsid w:val="00FF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2E3"/>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72E3"/>
    <w:pPr>
      <w:tabs>
        <w:tab w:val="left" w:pos="360"/>
      </w:tabs>
      <w:spacing w:line="233" w:lineRule="auto"/>
      <w:jc w:val="center"/>
    </w:pPr>
    <w:rPr>
      <w:b/>
      <w:sz w:val="24"/>
    </w:rPr>
  </w:style>
  <w:style w:type="character" w:customStyle="1" w:styleId="TitleChar">
    <w:name w:val="Title Char"/>
    <w:basedOn w:val="DefaultParagraphFont"/>
    <w:link w:val="Title"/>
    <w:rsid w:val="006972E3"/>
    <w:rPr>
      <w:rFonts w:eastAsia="Times New Roman" w:cs="Times New Roman"/>
      <w:b/>
      <w:szCs w:val="20"/>
    </w:rPr>
  </w:style>
  <w:style w:type="paragraph" w:customStyle="1" w:styleId="ParaTab1">
    <w:name w:val="ParaTab 1"/>
    <w:rsid w:val="00D633BC"/>
    <w:pPr>
      <w:tabs>
        <w:tab w:val="left" w:pos="-720"/>
      </w:tabs>
      <w:suppressAutoHyphens/>
      <w:autoSpaceDE w:val="0"/>
      <w:autoSpaceDN w:val="0"/>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A55988"/>
    <w:rPr>
      <w:rFonts w:ascii="Tahoma" w:hAnsi="Tahoma" w:cs="Tahoma"/>
      <w:sz w:val="16"/>
      <w:szCs w:val="16"/>
    </w:rPr>
  </w:style>
  <w:style w:type="character" w:customStyle="1" w:styleId="BalloonTextChar">
    <w:name w:val="Balloon Text Char"/>
    <w:basedOn w:val="DefaultParagraphFont"/>
    <w:link w:val="BalloonText"/>
    <w:uiPriority w:val="99"/>
    <w:semiHidden/>
    <w:rsid w:val="00A55988"/>
    <w:rPr>
      <w:rFonts w:ascii="Tahoma" w:eastAsia="Times New Roman" w:hAnsi="Tahoma" w:cs="Tahoma"/>
      <w:sz w:val="16"/>
      <w:szCs w:val="16"/>
    </w:rPr>
  </w:style>
  <w:style w:type="paragraph" w:styleId="Footer">
    <w:name w:val="footer"/>
    <w:basedOn w:val="Normal"/>
    <w:link w:val="FooterChar"/>
    <w:uiPriority w:val="99"/>
    <w:unhideWhenUsed/>
    <w:rsid w:val="00192971"/>
    <w:pPr>
      <w:tabs>
        <w:tab w:val="center" w:pos="4680"/>
        <w:tab w:val="right" w:pos="9360"/>
      </w:tabs>
    </w:pPr>
  </w:style>
  <w:style w:type="character" w:customStyle="1" w:styleId="FooterChar">
    <w:name w:val="Footer Char"/>
    <w:basedOn w:val="DefaultParagraphFont"/>
    <w:link w:val="Footer"/>
    <w:uiPriority w:val="99"/>
    <w:rsid w:val="00192971"/>
    <w:rPr>
      <w:rFonts w:eastAsia="Times New Roman"/>
    </w:rPr>
  </w:style>
  <w:style w:type="character" w:styleId="PageNumber">
    <w:name w:val="page number"/>
    <w:basedOn w:val="DefaultParagraphFont"/>
    <w:rsid w:val="00192971"/>
  </w:style>
  <w:style w:type="paragraph" w:styleId="FootnoteText">
    <w:name w:val="footnote text"/>
    <w:aliases w:val="Car"/>
    <w:basedOn w:val="Normal"/>
    <w:link w:val="FootnoteTextChar"/>
    <w:qFormat/>
    <w:rsid w:val="00192971"/>
  </w:style>
  <w:style w:type="character" w:customStyle="1" w:styleId="FootnoteTextChar">
    <w:name w:val="Footnote Text Char"/>
    <w:aliases w:val="Car Char"/>
    <w:basedOn w:val="DefaultParagraphFont"/>
    <w:link w:val="FootnoteText"/>
    <w:rsid w:val="00192971"/>
    <w:rPr>
      <w:rFonts w:eastAsia="Times New Roman"/>
    </w:rPr>
  </w:style>
  <w:style w:type="character" w:styleId="FootnoteReference">
    <w:name w:val="footnote reference"/>
    <w:basedOn w:val="DefaultParagraphFont"/>
    <w:uiPriority w:val="99"/>
    <w:rsid w:val="00192971"/>
    <w:rPr>
      <w:vertAlign w:val="superscript"/>
    </w:rPr>
  </w:style>
  <w:style w:type="paragraph" w:styleId="ListParagraph">
    <w:name w:val="List Paragraph"/>
    <w:basedOn w:val="Normal"/>
    <w:uiPriority w:val="34"/>
    <w:qFormat/>
    <w:rsid w:val="00251A6F"/>
    <w:pPr>
      <w:ind w:left="720"/>
      <w:contextualSpacing/>
    </w:pPr>
  </w:style>
  <w:style w:type="paragraph" w:styleId="BodyText">
    <w:name w:val="Body Text"/>
    <w:basedOn w:val="Normal"/>
    <w:link w:val="BodyTextChar"/>
    <w:rsid w:val="003C57DA"/>
    <w:pPr>
      <w:spacing w:line="360" w:lineRule="auto"/>
      <w:jc w:val="both"/>
    </w:pPr>
    <w:rPr>
      <w:sz w:val="26"/>
    </w:rPr>
  </w:style>
  <w:style w:type="character" w:customStyle="1" w:styleId="BodyTextChar">
    <w:name w:val="Body Text Char"/>
    <w:basedOn w:val="DefaultParagraphFont"/>
    <w:link w:val="BodyText"/>
    <w:rsid w:val="003C57DA"/>
    <w:rPr>
      <w:rFonts w:eastAsia="Times New Roman"/>
      <w:sz w:val="26"/>
    </w:rPr>
  </w:style>
  <w:style w:type="paragraph" w:styleId="Header">
    <w:name w:val="header"/>
    <w:basedOn w:val="Normal"/>
    <w:link w:val="HeaderChar"/>
    <w:uiPriority w:val="99"/>
    <w:unhideWhenUsed/>
    <w:rsid w:val="00714F86"/>
    <w:pPr>
      <w:tabs>
        <w:tab w:val="center" w:pos="4680"/>
        <w:tab w:val="right" w:pos="9360"/>
      </w:tabs>
    </w:pPr>
  </w:style>
  <w:style w:type="character" w:customStyle="1" w:styleId="HeaderChar">
    <w:name w:val="Header Char"/>
    <w:basedOn w:val="DefaultParagraphFont"/>
    <w:link w:val="Header"/>
    <w:uiPriority w:val="99"/>
    <w:rsid w:val="00714F86"/>
    <w:rPr>
      <w:rFonts w:eastAsia="Times New Roman"/>
    </w:rPr>
  </w:style>
  <w:style w:type="paragraph" w:styleId="EndnoteText">
    <w:name w:val="endnote text"/>
    <w:basedOn w:val="Normal"/>
    <w:link w:val="EndnoteTextChar"/>
    <w:uiPriority w:val="99"/>
    <w:semiHidden/>
    <w:unhideWhenUsed/>
    <w:rsid w:val="007D7A77"/>
  </w:style>
  <w:style w:type="character" w:customStyle="1" w:styleId="EndnoteTextChar">
    <w:name w:val="Endnote Text Char"/>
    <w:basedOn w:val="DefaultParagraphFont"/>
    <w:link w:val="EndnoteText"/>
    <w:uiPriority w:val="99"/>
    <w:semiHidden/>
    <w:rsid w:val="007D7A77"/>
    <w:rPr>
      <w:rFonts w:eastAsia="Times New Roman"/>
    </w:rPr>
  </w:style>
  <w:style w:type="character" w:styleId="EndnoteReference">
    <w:name w:val="endnote reference"/>
    <w:basedOn w:val="DefaultParagraphFont"/>
    <w:uiPriority w:val="99"/>
    <w:semiHidden/>
    <w:unhideWhenUsed/>
    <w:rsid w:val="007D7A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2E3"/>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972E3"/>
    <w:pPr>
      <w:tabs>
        <w:tab w:val="left" w:pos="360"/>
      </w:tabs>
      <w:spacing w:line="233" w:lineRule="auto"/>
      <w:jc w:val="center"/>
    </w:pPr>
    <w:rPr>
      <w:b/>
      <w:sz w:val="24"/>
    </w:rPr>
  </w:style>
  <w:style w:type="character" w:customStyle="1" w:styleId="TitleChar">
    <w:name w:val="Title Char"/>
    <w:basedOn w:val="DefaultParagraphFont"/>
    <w:link w:val="Title"/>
    <w:rsid w:val="006972E3"/>
    <w:rPr>
      <w:rFonts w:eastAsia="Times New Roman" w:cs="Times New Roman"/>
      <w:b/>
      <w:szCs w:val="20"/>
    </w:rPr>
  </w:style>
  <w:style w:type="paragraph" w:customStyle="1" w:styleId="ParaTab1">
    <w:name w:val="ParaTab 1"/>
    <w:rsid w:val="00D633BC"/>
    <w:pPr>
      <w:tabs>
        <w:tab w:val="left" w:pos="-720"/>
      </w:tabs>
      <w:suppressAutoHyphens/>
      <w:autoSpaceDE w:val="0"/>
      <w:autoSpaceDN w:val="0"/>
      <w:ind w:firstLine="1440"/>
    </w:pPr>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A55988"/>
    <w:rPr>
      <w:rFonts w:ascii="Tahoma" w:hAnsi="Tahoma" w:cs="Tahoma"/>
      <w:sz w:val="16"/>
      <w:szCs w:val="16"/>
    </w:rPr>
  </w:style>
  <w:style w:type="character" w:customStyle="1" w:styleId="BalloonTextChar">
    <w:name w:val="Balloon Text Char"/>
    <w:basedOn w:val="DefaultParagraphFont"/>
    <w:link w:val="BalloonText"/>
    <w:uiPriority w:val="99"/>
    <w:semiHidden/>
    <w:rsid w:val="00A55988"/>
    <w:rPr>
      <w:rFonts w:ascii="Tahoma" w:eastAsia="Times New Roman" w:hAnsi="Tahoma" w:cs="Tahoma"/>
      <w:sz w:val="16"/>
      <w:szCs w:val="16"/>
    </w:rPr>
  </w:style>
  <w:style w:type="paragraph" w:styleId="Footer">
    <w:name w:val="footer"/>
    <w:basedOn w:val="Normal"/>
    <w:link w:val="FooterChar"/>
    <w:uiPriority w:val="99"/>
    <w:unhideWhenUsed/>
    <w:rsid w:val="00192971"/>
    <w:pPr>
      <w:tabs>
        <w:tab w:val="center" w:pos="4680"/>
        <w:tab w:val="right" w:pos="9360"/>
      </w:tabs>
    </w:pPr>
  </w:style>
  <w:style w:type="character" w:customStyle="1" w:styleId="FooterChar">
    <w:name w:val="Footer Char"/>
    <w:basedOn w:val="DefaultParagraphFont"/>
    <w:link w:val="Footer"/>
    <w:uiPriority w:val="99"/>
    <w:rsid w:val="00192971"/>
    <w:rPr>
      <w:rFonts w:eastAsia="Times New Roman"/>
    </w:rPr>
  </w:style>
  <w:style w:type="character" w:styleId="PageNumber">
    <w:name w:val="page number"/>
    <w:basedOn w:val="DefaultParagraphFont"/>
    <w:rsid w:val="00192971"/>
  </w:style>
  <w:style w:type="paragraph" w:styleId="FootnoteText">
    <w:name w:val="footnote text"/>
    <w:aliases w:val="Car"/>
    <w:basedOn w:val="Normal"/>
    <w:link w:val="FootnoteTextChar"/>
    <w:qFormat/>
    <w:rsid w:val="00192971"/>
  </w:style>
  <w:style w:type="character" w:customStyle="1" w:styleId="FootnoteTextChar">
    <w:name w:val="Footnote Text Char"/>
    <w:aliases w:val="Car Char"/>
    <w:basedOn w:val="DefaultParagraphFont"/>
    <w:link w:val="FootnoteText"/>
    <w:rsid w:val="00192971"/>
    <w:rPr>
      <w:rFonts w:eastAsia="Times New Roman"/>
    </w:rPr>
  </w:style>
  <w:style w:type="character" w:styleId="FootnoteReference">
    <w:name w:val="footnote reference"/>
    <w:basedOn w:val="DefaultParagraphFont"/>
    <w:uiPriority w:val="99"/>
    <w:rsid w:val="00192971"/>
    <w:rPr>
      <w:vertAlign w:val="superscript"/>
    </w:rPr>
  </w:style>
  <w:style w:type="paragraph" w:styleId="ListParagraph">
    <w:name w:val="List Paragraph"/>
    <w:basedOn w:val="Normal"/>
    <w:uiPriority w:val="34"/>
    <w:qFormat/>
    <w:rsid w:val="00251A6F"/>
    <w:pPr>
      <w:ind w:left="720"/>
      <w:contextualSpacing/>
    </w:pPr>
  </w:style>
  <w:style w:type="paragraph" w:styleId="BodyText">
    <w:name w:val="Body Text"/>
    <w:basedOn w:val="Normal"/>
    <w:link w:val="BodyTextChar"/>
    <w:rsid w:val="003C57DA"/>
    <w:pPr>
      <w:spacing w:line="360" w:lineRule="auto"/>
      <w:jc w:val="both"/>
    </w:pPr>
    <w:rPr>
      <w:sz w:val="26"/>
    </w:rPr>
  </w:style>
  <w:style w:type="character" w:customStyle="1" w:styleId="BodyTextChar">
    <w:name w:val="Body Text Char"/>
    <w:basedOn w:val="DefaultParagraphFont"/>
    <w:link w:val="BodyText"/>
    <w:rsid w:val="003C57DA"/>
    <w:rPr>
      <w:rFonts w:eastAsia="Times New Roman"/>
      <w:sz w:val="26"/>
    </w:rPr>
  </w:style>
  <w:style w:type="paragraph" w:styleId="Header">
    <w:name w:val="header"/>
    <w:basedOn w:val="Normal"/>
    <w:link w:val="HeaderChar"/>
    <w:uiPriority w:val="99"/>
    <w:unhideWhenUsed/>
    <w:rsid w:val="00714F86"/>
    <w:pPr>
      <w:tabs>
        <w:tab w:val="center" w:pos="4680"/>
        <w:tab w:val="right" w:pos="9360"/>
      </w:tabs>
    </w:pPr>
  </w:style>
  <w:style w:type="character" w:customStyle="1" w:styleId="HeaderChar">
    <w:name w:val="Header Char"/>
    <w:basedOn w:val="DefaultParagraphFont"/>
    <w:link w:val="Header"/>
    <w:uiPriority w:val="99"/>
    <w:rsid w:val="00714F86"/>
    <w:rPr>
      <w:rFonts w:eastAsia="Times New Roman"/>
    </w:rPr>
  </w:style>
  <w:style w:type="paragraph" w:styleId="EndnoteText">
    <w:name w:val="endnote text"/>
    <w:basedOn w:val="Normal"/>
    <w:link w:val="EndnoteTextChar"/>
    <w:uiPriority w:val="99"/>
    <w:semiHidden/>
    <w:unhideWhenUsed/>
    <w:rsid w:val="007D7A77"/>
  </w:style>
  <w:style w:type="character" w:customStyle="1" w:styleId="EndnoteTextChar">
    <w:name w:val="Endnote Text Char"/>
    <w:basedOn w:val="DefaultParagraphFont"/>
    <w:link w:val="EndnoteText"/>
    <w:uiPriority w:val="99"/>
    <w:semiHidden/>
    <w:rsid w:val="007D7A77"/>
    <w:rPr>
      <w:rFonts w:eastAsia="Times New Roman"/>
    </w:rPr>
  </w:style>
  <w:style w:type="character" w:styleId="EndnoteReference">
    <w:name w:val="endnote reference"/>
    <w:basedOn w:val="DefaultParagraphFont"/>
    <w:uiPriority w:val="99"/>
    <w:semiHidden/>
    <w:unhideWhenUsed/>
    <w:rsid w:val="007D7A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8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DD7C4-51A6-426A-BFFC-61BCA986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10</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cojohnson</dc:creator>
  <cp:lastModifiedBy>Blanton, Leah</cp:lastModifiedBy>
  <cp:revision>47</cp:revision>
  <cp:lastPrinted>2015-07-21T15:34:00Z</cp:lastPrinted>
  <dcterms:created xsi:type="dcterms:W3CDTF">2015-07-17T12:38:00Z</dcterms:created>
  <dcterms:modified xsi:type="dcterms:W3CDTF">2015-07-29T18:55:00Z</dcterms:modified>
</cp:coreProperties>
</file>