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8A1F99" w:rsidRDefault="008A1F99" w:rsidP="007E7FE0">
      <w:pPr>
        <w:suppressAutoHyphens/>
        <w:jc w:val="center"/>
        <w:rPr>
          <w:rFonts w:ascii="Arial" w:hAnsi="Arial" w:cs="Arial"/>
          <w:b/>
          <w:sz w:val="16"/>
          <w:szCs w:val="16"/>
        </w:rPr>
      </w:pPr>
    </w:p>
    <w:p w:rsidR="003B23C2" w:rsidRPr="00B16D8F" w:rsidRDefault="00746EC7" w:rsidP="00746E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12, 2015</w:t>
      </w:r>
    </w:p>
    <w:p w:rsidR="003B23C2" w:rsidRDefault="003B23C2" w:rsidP="007E7FE0">
      <w:pPr>
        <w:rPr>
          <w:rFonts w:ascii="Arial" w:hAnsi="Arial" w:cs="Arial"/>
          <w:b/>
          <w:sz w:val="24"/>
          <w:szCs w:val="24"/>
        </w:rPr>
      </w:pPr>
    </w:p>
    <w:p w:rsidR="003B23C2" w:rsidRDefault="003B23C2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3B23C2" w:rsidRDefault="003B23C2" w:rsidP="003B23C2">
      <w:pPr>
        <w:ind w:left="720" w:hanging="720"/>
        <w:rPr>
          <w:rFonts w:ascii="Arial" w:hAnsi="Arial" w:cs="Arial"/>
          <w:sz w:val="24"/>
          <w:szCs w:val="24"/>
        </w:rPr>
      </w:pPr>
    </w:p>
    <w:p w:rsidR="00926531" w:rsidRDefault="00926531" w:rsidP="003B23C2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RE:</w:t>
      </w:r>
      <w:r>
        <w:rPr>
          <w:rFonts w:ascii="Arial" w:hAnsi="Arial" w:cs="Arial"/>
          <w:b/>
          <w:sz w:val="24"/>
          <w:szCs w:val="24"/>
        </w:rPr>
        <w:tab/>
      </w:r>
      <w:r w:rsidR="003B23C2" w:rsidRPr="00B16D8F">
        <w:rPr>
          <w:rFonts w:ascii="Arial" w:hAnsi="Arial" w:cs="Arial"/>
          <w:b/>
          <w:sz w:val="24"/>
          <w:szCs w:val="24"/>
        </w:rPr>
        <w:t xml:space="preserve">Phase II </w:t>
      </w:r>
      <w:r w:rsidR="008A1F99" w:rsidRPr="00B16D8F">
        <w:rPr>
          <w:rFonts w:ascii="Arial" w:hAnsi="Arial" w:cs="Arial"/>
          <w:b/>
          <w:sz w:val="24"/>
          <w:szCs w:val="24"/>
        </w:rPr>
        <w:t>E</w:t>
      </w:r>
      <w:r w:rsidR="00FA4E6C" w:rsidRPr="00B16D8F">
        <w:rPr>
          <w:rFonts w:ascii="Arial" w:hAnsi="Arial" w:cs="Arial"/>
          <w:b/>
          <w:sz w:val="24"/>
          <w:szCs w:val="24"/>
        </w:rPr>
        <w:t>nergy</w:t>
      </w:r>
      <w:r w:rsidR="008A1F99" w:rsidRPr="00B16D8F">
        <w:rPr>
          <w:rFonts w:ascii="Arial" w:hAnsi="Arial" w:cs="Arial"/>
          <w:b/>
          <w:sz w:val="24"/>
          <w:szCs w:val="24"/>
        </w:rPr>
        <w:t xml:space="preserve"> E</w:t>
      </w:r>
      <w:r w:rsidR="00FA4E6C" w:rsidRPr="00B16D8F">
        <w:rPr>
          <w:rFonts w:ascii="Arial" w:hAnsi="Arial" w:cs="Arial"/>
          <w:b/>
          <w:sz w:val="24"/>
          <w:szCs w:val="24"/>
        </w:rPr>
        <w:t>fficiency</w:t>
      </w:r>
      <w:r w:rsidR="008A1F99" w:rsidRPr="00B16D8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8A1F99" w:rsidRPr="00B16D8F">
        <w:rPr>
          <w:rFonts w:ascii="Arial" w:hAnsi="Arial" w:cs="Arial"/>
          <w:b/>
          <w:sz w:val="24"/>
          <w:szCs w:val="24"/>
        </w:rPr>
        <w:t>A</w:t>
      </w:r>
      <w:r w:rsidR="00FA4E6C" w:rsidRPr="00B16D8F">
        <w:rPr>
          <w:rFonts w:ascii="Arial" w:hAnsi="Arial" w:cs="Arial"/>
          <w:b/>
          <w:sz w:val="24"/>
          <w:szCs w:val="24"/>
        </w:rPr>
        <w:t>nd</w:t>
      </w:r>
      <w:proofErr w:type="gramEnd"/>
      <w:r w:rsidR="008A1F99" w:rsidRPr="00B16D8F">
        <w:rPr>
          <w:rFonts w:ascii="Arial" w:hAnsi="Arial" w:cs="Arial"/>
          <w:b/>
          <w:sz w:val="24"/>
          <w:szCs w:val="24"/>
        </w:rPr>
        <w:t xml:space="preserve"> C</w:t>
      </w:r>
      <w:r w:rsidR="00FA4E6C" w:rsidRPr="00B16D8F">
        <w:rPr>
          <w:rFonts w:ascii="Arial" w:hAnsi="Arial" w:cs="Arial"/>
          <w:b/>
          <w:sz w:val="24"/>
          <w:szCs w:val="24"/>
        </w:rPr>
        <w:t>onservation</w:t>
      </w:r>
      <w:r w:rsidR="008A1F99" w:rsidRPr="00B16D8F">
        <w:rPr>
          <w:rFonts w:ascii="Arial" w:hAnsi="Arial" w:cs="Arial"/>
          <w:b/>
          <w:sz w:val="24"/>
          <w:szCs w:val="24"/>
        </w:rPr>
        <w:t xml:space="preserve"> S</w:t>
      </w:r>
      <w:r w:rsidR="00FA4E6C" w:rsidRPr="00B16D8F">
        <w:rPr>
          <w:rFonts w:ascii="Arial" w:hAnsi="Arial" w:cs="Arial"/>
          <w:b/>
          <w:sz w:val="24"/>
          <w:szCs w:val="24"/>
        </w:rPr>
        <w:t>urcharge</w:t>
      </w:r>
      <w:r w:rsidR="008A1F99" w:rsidRPr="00B16D8F">
        <w:rPr>
          <w:rFonts w:ascii="Arial" w:hAnsi="Arial" w:cs="Arial"/>
          <w:b/>
          <w:sz w:val="24"/>
          <w:szCs w:val="24"/>
        </w:rPr>
        <w:t xml:space="preserve"> </w:t>
      </w:r>
    </w:p>
    <w:p w:rsidR="00B16D8F" w:rsidRDefault="008A1F99" w:rsidP="00926531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B16D8F">
        <w:rPr>
          <w:rFonts w:ascii="Arial" w:hAnsi="Arial" w:cs="Arial"/>
          <w:b/>
          <w:spacing w:val="-2"/>
          <w:sz w:val="24"/>
          <w:szCs w:val="24"/>
        </w:rPr>
        <w:t>S</w:t>
      </w:r>
      <w:r w:rsidR="00FA4E6C" w:rsidRPr="00B16D8F">
        <w:rPr>
          <w:rFonts w:ascii="Arial" w:hAnsi="Arial" w:cs="Arial"/>
          <w:b/>
          <w:spacing w:val="-2"/>
          <w:sz w:val="24"/>
          <w:szCs w:val="24"/>
        </w:rPr>
        <w:t>ection</w:t>
      </w:r>
      <w:r w:rsidRPr="00B16D8F">
        <w:rPr>
          <w:rFonts w:ascii="Arial" w:hAnsi="Arial" w:cs="Arial"/>
          <w:b/>
          <w:spacing w:val="-2"/>
          <w:sz w:val="24"/>
          <w:szCs w:val="24"/>
        </w:rPr>
        <w:t xml:space="preserve"> 1307(</w:t>
      </w:r>
      <w:r w:rsidR="00FA4E6C" w:rsidRPr="00B16D8F">
        <w:rPr>
          <w:rFonts w:ascii="Arial" w:hAnsi="Arial" w:cs="Arial"/>
          <w:b/>
          <w:spacing w:val="-2"/>
          <w:sz w:val="24"/>
          <w:szCs w:val="24"/>
        </w:rPr>
        <w:t>e</w:t>
      </w:r>
      <w:r w:rsidRPr="00B16D8F">
        <w:rPr>
          <w:rFonts w:ascii="Arial" w:hAnsi="Arial" w:cs="Arial"/>
          <w:b/>
          <w:spacing w:val="-2"/>
          <w:sz w:val="24"/>
          <w:szCs w:val="24"/>
        </w:rPr>
        <w:t>) R</w:t>
      </w:r>
      <w:r w:rsidR="00FA4E6C" w:rsidRPr="00B16D8F">
        <w:rPr>
          <w:rFonts w:ascii="Arial" w:hAnsi="Arial" w:cs="Arial"/>
          <w:b/>
          <w:spacing w:val="-2"/>
          <w:sz w:val="24"/>
          <w:szCs w:val="24"/>
        </w:rPr>
        <w:t>econciliation</w:t>
      </w:r>
      <w:r w:rsidRPr="00B16D8F">
        <w:rPr>
          <w:rFonts w:ascii="Arial" w:hAnsi="Arial" w:cs="Arial"/>
          <w:b/>
          <w:spacing w:val="-2"/>
          <w:sz w:val="24"/>
          <w:szCs w:val="24"/>
        </w:rPr>
        <w:t xml:space="preserve"> S</w:t>
      </w:r>
      <w:r w:rsidR="00FA4E6C" w:rsidRPr="00B16D8F">
        <w:rPr>
          <w:rFonts w:ascii="Arial" w:hAnsi="Arial" w:cs="Arial"/>
          <w:b/>
          <w:spacing w:val="-2"/>
          <w:sz w:val="24"/>
          <w:szCs w:val="24"/>
        </w:rPr>
        <w:t>tatement</w:t>
      </w:r>
      <w:r w:rsidRPr="00B16D8F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7E7FE0" w:rsidRPr="00B16D8F" w:rsidRDefault="008A1F99" w:rsidP="00B16D8F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B16D8F">
        <w:rPr>
          <w:rFonts w:ascii="Arial" w:hAnsi="Arial" w:cs="Arial"/>
          <w:b/>
          <w:spacing w:val="-2"/>
          <w:sz w:val="24"/>
          <w:szCs w:val="24"/>
        </w:rPr>
        <w:t>F</w:t>
      </w:r>
      <w:r w:rsidR="00FA4E6C" w:rsidRPr="00B16D8F">
        <w:rPr>
          <w:rFonts w:ascii="Arial" w:hAnsi="Arial" w:cs="Arial"/>
          <w:b/>
          <w:spacing w:val="-2"/>
          <w:sz w:val="24"/>
          <w:szCs w:val="24"/>
        </w:rPr>
        <w:t>or</w:t>
      </w:r>
      <w:r w:rsidRPr="00B16D8F">
        <w:rPr>
          <w:rFonts w:ascii="Arial" w:hAnsi="Arial" w:cs="Arial"/>
          <w:b/>
          <w:spacing w:val="-2"/>
          <w:sz w:val="24"/>
          <w:szCs w:val="24"/>
        </w:rPr>
        <w:t xml:space="preserve"> T</w:t>
      </w:r>
      <w:r w:rsidR="00FA4E6C" w:rsidRPr="00B16D8F">
        <w:rPr>
          <w:rFonts w:ascii="Arial" w:hAnsi="Arial" w:cs="Arial"/>
          <w:b/>
          <w:spacing w:val="-2"/>
          <w:sz w:val="24"/>
          <w:szCs w:val="24"/>
        </w:rPr>
        <w:t>he</w:t>
      </w:r>
      <w:r w:rsidR="00FD216A" w:rsidRPr="00B16D8F">
        <w:rPr>
          <w:rFonts w:ascii="Arial" w:hAnsi="Arial" w:cs="Arial"/>
          <w:b/>
          <w:spacing w:val="-2"/>
          <w:sz w:val="24"/>
          <w:szCs w:val="24"/>
        </w:rPr>
        <w:t xml:space="preserve"> Twelve</w:t>
      </w:r>
      <w:r w:rsidRPr="00B16D8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16D8F">
        <w:rPr>
          <w:rFonts w:ascii="Arial" w:hAnsi="Arial" w:cs="Arial"/>
          <w:b/>
          <w:sz w:val="24"/>
          <w:szCs w:val="24"/>
        </w:rPr>
        <w:t>M</w:t>
      </w:r>
      <w:r w:rsidR="00FA4E6C" w:rsidRPr="00B16D8F">
        <w:rPr>
          <w:rFonts w:ascii="Arial" w:hAnsi="Arial" w:cs="Arial"/>
          <w:b/>
          <w:sz w:val="24"/>
          <w:szCs w:val="24"/>
        </w:rPr>
        <w:t>onths</w:t>
      </w:r>
      <w:r w:rsidRPr="00B16D8F">
        <w:rPr>
          <w:rFonts w:ascii="Arial" w:hAnsi="Arial" w:cs="Arial"/>
          <w:b/>
          <w:sz w:val="24"/>
          <w:szCs w:val="24"/>
        </w:rPr>
        <w:t xml:space="preserve"> E</w:t>
      </w:r>
      <w:r w:rsidR="00FA4E6C" w:rsidRPr="00B16D8F">
        <w:rPr>
          <w:rFonts w:ascii="Arial" w:hAnsi="Arial" w:cs="Arial"/>
          <w:b/>
          <w:sz w:val="24"/>
          <w:szCs w:val="24"/>
        </w:rPr>
        <w:t>nded</w:t>
      </w:r>
      <w:r w:rsidRPr="00B16D8F">
        <w:rPr>
          <w:rFonts w:ascii="Arial" w:hAnsi="Arial" w:cs="Arial"/>
          <w:b/>
          <w:sz w:val="24"/>
          <w:szCs w:val="24"/>
        </w:rPr>
        <w:t xml:space="preserve"> M</w:t>
      </w:r>
      <w:r w:rsidR="00FA4E6C" w:rsidRPr="00B16D8F">
        <w:rPr>
          <w:rFonts w:ascii="Arial" w:hAnsi="Arial" w:cs="Arial"/>
          <w:b/>
          <w:sz w:val="24"/>
          <w:szCs w:val="24"/>
        </w:rPr>
        <w:t>ay</w:t>
      </w:r>
      <w:r w:rsidR="003B23C2" w:rsidRPr="00B16D8F">
        <w:rPr>
          <w:rFonts w:ascii="Arial" w:hAnsi="Arial" w:cs="Arial"/>
          <w:b/>
          <w:sz w:val="24"/>
          <w:szCs w:val="24"/>
        </w:rPr>
        <w:t xml:space="preserve"> 31, 201</w:t>
      </w:r>
      <w:r w:rsidR="00B16D8F">
        <w:rPr>
          <w:rFonts w:ascii="Arial" w:hAnsi="Arial" w:cs="Arial"/>
          <w:b/>
          <w:sz w:val="24"/>
          <w:szCs w:val="24"/>
        </w:rPr>
        <w:t>5</w:t>
      </w:r>
    </w:p>
    <w:p w:rsidR="0067519A" w:rsidRPr="00B16D8F" w:rsidRDefault="008A1F99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16D8F">
        <w:rPr>
          <w:rFonts w:ascii="Arial" w:hAnsi="Arial" w:cs="Arial"/>
          <w:b/>
          <w:sz w:val="24"/>
          <w:szCs w:val="24"/>
        </w:rPr>
        <w:tab/>
        <w:t>M-201</w:t>
      </w:r>
      <w:r w:rsidR="00B16D8F">
        <w:rPr>
          <w:rFonts w:ascii="Arial" w:hAnsi="Arial" w:cs="Arial"/>
          <w:b/>
          <w:sz w:val="24"/>
          <w:szCs w:val="24"/>
        </w:rPr>
        <w:t>5</w:t>
      </w:r>
      <w:r w:rsidRPr="00B16D8F">
        <w:rPr>
          <w:rFonts w:ascii="Arial" w:hAnsi="Arial" w:cs="Arial"/>
          <w:b/>
          <w:sz w:val="24"/>
          <w:szCs w:val="24"/>
        </w:rPr>
        <w:t>-</w:t>
      </w:r>
      <w:r w:rsidR="007063FF">
        <w:rPr>
          <w:rFonts w:ascii="Arial" w:hAnsi="Arial" w:cs="Arial"/>
          <w:b/>
          <w:sz w:val="24"/>
          <w:szCs w:val="24"/>
        </w:rPr>
        <w:t>2490540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3B23C2" w:rsidRDefault="003B23C2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E2298D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3B23C2">
        <w:rPr>
          <w:rFonts w:ascii="Arial" w:hAnsi="Arial" w:cs="Arial"/>
          <w:spacing w:val="-2"/>
          <w:sz w:val="24"/>
          <w:szCs w:val="24"/>
        </w:rPr>
        <w:t xml:space="preserve">Phase II </w:t>
      </w:r>
      <w:r w:rsidR="007E7FE0">
        <w:rPr>
          <w:rFonts w:ascii="Arial" w:hAnsi="Arial" w:cs="Arial"/>
          <w:spacing w:val="-2"/>
          <w:sz w:val="24"/>
          <w:szCs w:val="24"/>
        </w:rPr>
        <w:t>Energy Efficiency and Conservation Surcharge</w:t>
      </w:r>
      <w:r w:rsidR="00FA4E6C">
        <w:rPr>
          <w:rFonts w:ascii="Arial" w:hAnsi="Arial" w:cs="Arial"/>
          <w:spacing w:val="-2"/>
          <w:sz w:val="24"/>
          <w:szCs w:val="24"/>
        </w:rPr>
        <w:t xml:space="preserve"> (EE</w:t>
      </w:r>
      <w:r w:rsidR="003B23C2">
        <w:rPr>
          <w:rFonts w:ascii="Arial" w:hAnsi="Arial" w:cs="Arial"/>
          <w:spacing w:val="-2"/>
          <w:sz w:val="24"/>
          <w:szCs w:val="24"/>
        </w:rPr>
        <w:t>&amp;C</w:t>
      </w:r>
      <w:r w:rsidR="00FA4E6C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FD216A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B23C2">
        <w:rPr>
          <w:rFonts w:ascii="Arial" w:hAnsi="Arial" w:cs="Arial"/>
          <w:sz w:val="24"/>
          <w:szCs w:val="24"/>
        </w:rPr>
        <w:t>May 31, 201</w:t>
      </w:r>
      <w:r w:rsidR="00B16D8F">
        <w:rPr>
          <w:rFonts w:ascii="Arial" w:hAnsi="Arial" w:cs="Arial"/>
          <w:sz w:val="24"/>
          <w:szCs w:val="24"/>
        </w:rPr>
        <w:t>5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EE</w:t>
      </w:r>
      <w:r w:rsidR="003B23C2">
        <w:rPr>
          <w:rFonts w:ascii="Arial" w:hAnsi="Arial" w:cs="Arial"/>
          <w:spacing w:val="-2"/>
          <w:sz w:val="24"/>
          <w:szCs w:val="24"/>
        </w:rPr>
        <w:t>&amp;C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Ju</w:t>
      </w:r>
      <w:r w:rsidR="003B23C2">
        <w:rPr>
          <w:rFonts w:ascii="Arial" w:hAnsi="Arial" w:cs="Arial"/>
          <w:spacing w:val="-2"/>
          <w:sz w:val="24"/>
          <w:szCs w:val="24"/>
        </w:rPr>
        <w:t>ne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7063FF">
        <w:rPr>
          <w:rFonts w:ascii="Arial" w:hAnsi="Arial" w:cs="Arial"/>
          <w:spacing w:val="-2"/>
          <w:sz w:val="24"/>
          <w:szCs w:val="24"/>
        </w:rPr>
        <w:t>30</w:t>
      </w:r>
      <w:r w:rsidR="007E7FE0">
        <w:rPr>
          <w:rFonts w:ascii="Arial" w:hAnsi="Arial" w:cs="Arial"/>
          <w:spacing w:val="-2"/>
          <w:sz w:val="24"/>
          <w:szCs w:val="24"/>
        </w:rPr>
        <w:t>, 201</w:t>
      </w:r>
      <w:r w:rsidR="00B16D8F">
        <w:rPr>
          <w:rFonts w:ascii="Arial" w:hAnsi="Arial" w:cs="Arial"/>
          <w:spacing w:val="-2"/>
          <w:sz w:val="24"/>
          <w:szCs w:val="24"/>
        </w:rPr>
        <w:t>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E2298D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7D0D62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7D0D62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EE</w:t>
      </w:r>
      <w:r w:rsidR="003B23C2">
        <w:rPr>
          <w:rFonts w:ascii="Arial" w:hAnsi="Arial" w:cs="Arial"/>
          <w:spacing w:val="-2"/>
          <w:sz w:val="24"/>
          <w:szCs w:val="24"/>
        </w:rPr>
        <w:t>&amp;</w:t>
      </w:r>
      <w:r w:rsidR="00FA4E6C" w:rsidRPr="00FA4E6C">
        <w:rPr>
          <w:rFonts w:ascii="Arial" w:hAnsi="Arial" w:cs="Arial"/>
          <w:spacing w:val="-2"/>
          <w:sz w:val="24"/>
          <w:szCs w:val="24"/>
        </w:rPr>
        <w:t>C</w:t>
      </w:r>
      <w:r w:rsidR="003B23C2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is </w:t>
      </w:r>
      <w:r w:rsidR="00113643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 or some other proceeding.</w:t>
      </w:r>
      <w:r w:rsidR="00113643">
        <w:rPr>
          <w:rFonts w:ascii="Arial" w:hAnsi="Arial" w:cs="Arial"/>
          <w:spacing w:val="-2"/>
          <w:sz w:val="24"/>
          <w:szCs w:val="24"/>
        </w:rPr>
        <w:t xml:space="preserve">  A</w:t>
      </w:r>
      <w:r w:rsidR="00113643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</w:t>
      </w:r>
      <w:r w:rsidR="00113643">
        <w:rPr>
          <w:rFonts w:ascii="Arial" w:hAnsi="Arial" w:cs="Arial"/>
          <w:spacing w:val="-2"/>
          <w:sz w:val="24"/>
          <w:szCs w:val="24"/>
        </w:rPr>
        <w:t>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>
        <w:rPr>
          <w:rFonts w:ascii="Arial" w:hAnsi="Arial" w:cs="Arial"/>
          <w:spacing w:val="-2"/>
          <w:sz w:val="24"/>
          <w:szCs w:val="24"/>
        </w:rPr>
        <w:t>M-201</w:t>
      </w:r>
      <w:r w:rsidR="00B16D8F">
        <w:rPr>
          <w:rFonts w:ascii="Arial" w:hAnsi="Arial" w:cs="Arial"/>
          <w:spacing w:val="-2"/>
          <w:sz w:val="24"/>
          <w:szCs w:val="24"/>
        </w:rPr>
        <w:t>5</w:t>
      </w:r>
      <w:r w:rsidR="007E7FE0">
        <w:rPr>
          <w:rFonts w:ascii="Arial" w:hAnsi="Arial" w:cs="Arial"/>
          <w:spacing w:val="-2"/>
          <w:sz w:val="24"/>
          <w:szCs w:val="24"/>
        </w:rPr>
        <w:t>-</w:t>
      </w:r>
      <w:r w:rsidR="007063FF">
        <w:rPr>
          <w:rFonts w:ascii="Arial" w:hAnsi="Arial" w:cs="Arial"/>
          <w:spacing w:val="-2"/>
          <w:sz w:val="24"/>
          <w:szCs w:val="24"/>
        </w:rPr>
        <w:t>2490540</w:t>
      </w:r>
      <w:r w:rsidR="007E7FE0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746E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1C67DEEB" wp14:editId="57DFA287">
            <wp:simplePos x="0" y="0"/>
            <wp:positionH relativeFrom="column">
              <wp:posOffset>2862580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Default="008A1F99" w:rsidP="008A1F99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FDC44" wp14:editId="0A11ED6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643" w:rsidRDefault="00113643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CD5063" w:rsidRDefault="008A1F99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B16D8F" w:rsidRDefault="00B16D8F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A73B3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A73B3B">
        <w:rPr>
          <w:rFonts w:ascii="Arial" w:hAnsi="Arial" w:cs="Arial"/>
          <w:szCs w:val="24"/>
        </w:rPr>
        <w:tab/>
      </w:r>
      <w:r w:rsidR="00FA4E6C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A73B3B" w:rsidP="00A73B3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FA4E6C">
        <w:rPr>
          <w:rFonts w:ascii="Arial" w:hAnsi="Arial" w:cs="Arial"/>
          <w:spacing w:val="-2"/>
          <w:sz w:val="24"/>
          <w:szCs w:val="24"/>
        </w:rPr>
        <w:t>423</w:t>
      </w:r>
      <w:r w:rsidR="008A1F99" w:rsidRPr="008A1F99">
        <w:rPr>
          <w:rFonts w:ascii="Arial" w:hAnsi="Arial" w:cs="Arial"/>
          <w:spacing w:val="-2"/>
          <w:sz w:val="24"/>
          <w:szCs w:val="24"/>
        </w:rPr>
        <w:t>-</w:t>
      </w:r>
      <w:r w:rsidR="00FA4E6C">
        <w:rPr>
          <w:rFonts w:ascii="Arial" w:hAnsi="Arial" w:cs="Arial"/>
          <w:spacing w:val="-2"/>
          <w:sz w:val="24"/>
          <w:szCs w:val="24"/>
        </w:rPr>
        <w:t>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96379"/>
    <w:rsid w:val="000E2A2C"/>
    <w:rsid w:val="000F3885"/>
    <w:rsid w:val="00113643"/>
    <w:rsid w:val="00143007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38192B"/>
    <w:rsid w:val="003B23C2"/>
    <w:rsid w:val="00434C0E"/>
    <w:rsid w:val="004B6C39"/>
    <w:rsid w:val="004D67B9"/>
    <w:rsid w:val="0051362E"/>
    <w:rsid w:val="0067519A"/>
    <w:rsid w:val="00681A5F"/>
    <w:rsid w:val="00693012"/>
    <w:rsid w:val="007063FF"/>
    <w:rsid w:val="00742334"/>
    <w:rsid w:val="00746EC7"/>
    <w:rsid w:val="007D0D62"/>
    <w:rsid w:val="007E7FE0"/>
    <w:rsid w:val="00805353"/>
    <w:rsid w:val="008935A5"/>
    <w:rsid w:val="008A1F99"/>
    <w:rsid w:val="008F62B1"/>
    <w:rsid w:val="008F7FD2"/>
    <w:rsid w:val="00926531"/>
    <w:rsid w:val="009435DD"/>
    <w:rsid w:val="00A46FF8"/>
    <w:rsid w:val="00A73B3B"/>
    <w:rsid w:val="00A76B9C"/>
    <w:rsid w:val="00AB731C"/>
    <w:rsid w:val="00B16D8F"/>
    <w:rsid w:val="00B3496B"/>
    <w:rsid w:val="00B67377"/>
    <w:rsid w:val="00CD5063"/>
    <w:rsid w:val="00CE0167"/>
    <w:rsid w:val="00D23039"/>
    <w:rsid w:val="00E2298D"/>
    <w:rsid w:val="00E656EF"/>
    <w:rsid w:val="00EA26CF"/>
    <w:rsid w:val="00EC6C69"/>
    <w:rsid w:val="00EF57CA"/>
    <w:rsid w:val="00F22546"/>
    <w:rsid w:val="00F53EA9"/>
    <w:rsid w:val="00FA4E6C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312B-884D-4395-991F-8975FDE5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6</cp:revision>
  <cp:lastPrinted>2015-08-12T17:29:00Z</cp:lastPrinted>
  <dcterms:created xsi:type="dcterms:W3CDTF">2015-06-22T18:05:00Z</dcterms:created>
  <dcterms:modified xsi:type="dcterms:W3CDTF">2015-08-12T17:29:00Z</dcterms:modified>
</cp:coreProperties>
</file>