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1C4793" w:rsidP="001C4793">
      <w:pPr>
        <w:spacing w:line="240" w:lineRule="auto"/>
        <w:rPr>
          <w:b/>
        </w:rPr>
      </w:pPr>
      <w:r>
        <w:rPr>
          <w:b/>
        </w:rPr>
        <w:t>BEFORE THE</w:t>
      </w:r>
    </w:p>
    <w:p w:rsidR="001C4793" w:rsidRDefault="001C4793" w:rsidP="001C4793">
      <w:pPr>
        <w:spacing w:line="240" w:lineRule="auto"/>
        <w:rPr>
          <w:b/>
        </w:rPr>
      </w:pPr>
      <w:r>
        <w:rPr>
          <w:b/>
        </w:rPr>
        <w:t>PENNSYLVANIA PUBLIC UTILITY COMMISSION</w:t>
      </w:r>
    </w:p>
    <w:p w:rsidR="001C4793" w:rsidRDefault="001C4793" w:rsidP="001C4793">
      <w:pPr>
        <w:spacing w:line="240" w:lineRule="auto"/>
        <w:rPr>
          <w:b/>
        </w:rPr>
      </w:pPr>
    </w:p>
    <w:p w:rsidR="0075236B" w:rsidRDefault="0075236B" w:rsidP="00F33385">
      <w:pPr>
        <w:spacing w:line="240" w:lineRule="auto"/>
      </w:pPr>
    </w:p>
    <w:p w:rsidR="00F33385" w:rsidRDefault="00F33385" w:rsidP="00F33385">
      <w:pPr>
        <w:spacing w:line="240" w:lineRule="auto"/>
      </w:pPr>
    </w:p>
    <w:p w:rsidR="0075236B" w:rsidRDefault="00E734B7" w:rsidP="0075236B">
      <w:pPr>
        <w:spacing w:line="240" w:lineRule="auto"/>
        <w:jc w:val="left"/>
      </w:pPr>
      <w:r>
        <w:t>Henry Santana</w:t>
      </w:r>
      <w:r>
        <w:tab/>
      </w:r>
      <w:r w:rsidR="0075236B">
        <w:tab/>
      </w:r>
      <w:r w:rsidR="0075236B">
        <w:tab/>
      </w:r>
      <w:r w:rsidR="0075236B">
        <w:tab/>
      </w:r>
      <w:r w:rsidR="0075236B">
        <w:tab/>
      </w:r>
      <w:r w:rsidR="0075236B">
        <w:tab/>
        <w:t>:</w:t>
      </w:r>
    </w:p>
    <w:p w:rsidR="0075236B" w:rsidRDefault="0075236B" w:rsidP="0075236B">
      <w:pPr>
        <w:spacing w:line="240" w:lineRule="auto"/>
        <w:jc w:val="left"/>
      </w:pPr>
      <w:r>
        <w:tab/>
      </w:r>
      <w:r>
        <w:tab/>
      </w:r>
      <w:r>
        <w:tab/>
      </w:r>
      <w:r>
        <w:tab/>
      </w:r>
      <w:r>
        <w:tab/>
      </w:r>
      <w:r>
        <w:tab/>
      </w:r>
      <w:r>
        <w:tab/>
        <w:t>:</w:t>
      </w:r>
    </w:p>
    <w:p w:rsidR="0075236B" w:rsidRDefault="0075236B" w:rsidP="0075236B">
      <w:pPr>
        <w:spacing w:line="240" w:lineRule="auto"/>
        <w:jc w:val="left"/>
      </w:pPr>
      <w:r>
        <w:tab/>
        <w:t>v.</w:t>
      </w:r>
      <w:r>
        <w:tab/>
      </w:r>
      <w:r>
        <w:tab/>
      </w:r>
      <w:r>
        <w:tab/>
      </w:r>
      <w:r>
        <w:tab/>
      </w:r>
      <w:r>
        <w:tab/>
      </w:r>
      <w:r>
        <w:tab/>
        <w:t>:</w:t>
      </w:r>
      <w:r>
        <w:tab/>
      </w:r>
      <w:r>
        <w:tab/>
        <w:t>C-2015-248</w:t>
      </w:r>
      <w:r w:rsidR="00E734B7">
        <w:t>4785</w:t>
      </w:r>
    </w:p>
    <w:p w:rsidR="0075236B" w:rsidRDefault="0075236B" w:rsidP="0075236B">
      <w:pPr>
        <w:spacing w:line="240" w:lineRule="auto"/>
        <w:jc w:val="left"/>
      </w:pPr>
      <w:r>
        <w:tab/>
      </w:r>
      <w:r>
        <w:tab/>
      </w:r>
      <w:r>
        <w:tab/>
      </w:r>
      <w:r>
        <w:tab/>
      </w:r>
      <w:r>
        <w:tab/>
      </w:r>
      <w:r>
        <w:tab/>
      </w:r>
      <w:r>
        <w:tab/>
        <w:t>:</w:t>
      </w:r>
    </w:p>
    <w:p w:rsidR="0075236B" w:rsidRDefault="0075236B" w:rsidP="0075236B">
      <w:pPr>
        <w:spacing w:line="240" w:lineRule="auto"/>
        <w:jc w:val="left"/>
      </w:pPr>
      <w:r>
        <w:t>P</w:t>
      </w:r>
      <w:r w:rsidR="00E734B7">
        <w:t>hiladelphia Gas Works</w:t>
      </w:r>
      <w:r w:rsidR="00E734B7">
        <w:tab/>
      </w:r>
      <w:r w:rsidR="00E734B7">
        <w:tab/>
      </w:r>
      <w:r>
        <w:tab/>
      </w:r>
      <w:r>
        <w:tab/>
        <w:t>:</w:t>
      </w:r>
    </w:p>
    <w:p w:rsidR="0075236B" w:rsidRDefault="0075236B" w:rsidP="0075236B">
      <w:pPr>
        <w:spacing w:line="240" w:lineRule="auto"/>
        <w:jc w:val="left"/>
      </w:pPr>
      <w:r>
        <w:tab/>
      </w:r>
      <w:r>
        <w:tab/>
      </w:r>
      <w:r>
        <w:tab/>
      </w:r>
      <w:r>
        <w:tab/>
      </w:r>
      <w:r>
        <w:tab/>
      </w:r>
      <w:r>
        <w:tab/>
      </w:r>
      <w:r>
        <w:tab/>
      </w:r>
    </w:p>
    <w:p w:rsidR="0075236B" w:rsidRDefault="0075236B" w:rsidP="0075236B">
      <w:pPr>
        <w:spacing w:line="240" w:lineRule="auto"/>
        <w:jc w:val="left"/>
      </w:pPr>
    </w:p>
    <w:p w:rsidR="0075236B" w:rsidRDefault="0075236B" w:rsidP="0075236B">
      <w:pPr>
        <w:spacing w:line="240" w:lineRule="auto"/>
        <w:jc w:val="left"/>
      </w:pPr>
    </w:p>
    <w:p w:rsidR="001C4793" w:rsidRDefault="001C4793" w:rsidP="001C4793">
      <w:pPr>
        <w:spacing w:line="240" w:lineRule="auto"/>
        <w:jc w:val="left"/>
      </w:pPr>
    </w:p>
    <w:p w:rsidR="001C4793" w:rsidRDefault="00937F58" w:rsidP="001C4793">
      <w:pPr>
        <w:spacing w:line="240" w:lineRule="auto"/>
        <w:rPr>
          <w:b/>
        </w:rPr>
      </w:pPr>
      <w:r>
        <w:rPr>
          <w:b/>
        </w:rPr>
        <w:t>ORDER GRANTING IN PART AND DENYING IN PART</w:t>
      </w:r>
    </w:p>
    <w:p w:rsidR="00937F58" w:rsidRDefault="00937F58" w:rsidP="001C4793">
      <w:pPr>
        <w:spacing w:line="240" w:lineRule="auto"/>
        <w:rPr>
          <w:b/>
        </w:rPr>
      </w:pPr>
      <w:r>
        <w:rPr>
          <w:b/>
        </w:rPr>
        <w:t xml:space="preserve">THE PRELIMINARY OBJECTIONS </w:t>
      </w:r>
      <w:r w:rsidR="00E734B7">
        <w:rPr>
          <w:b/>
        </w:rPr>
        <w:t>OF</w:t>
      </w:r>
      <w:r>
        <w:rPr>
          <w:b/>
        </w:rPr>
        <w:t xml:space="preserve">  </w:t>
      </w:r>
    </w:p>
    <w:p w:rsidR="00937F58" w:rsidRDefault="00E734B7" w:rsidP="001C4793">
      <w:pPr>
        <w:spacing w:line="240" w:lineRule="auto"/>
        <w:rPr>
          <w:b/>
        </w:rPr>
      </w:pPr>
      <w:r>
        <w:rPr>
          <w:b/>
        </w:rPr>
        <w:t>PHILADELPHIA GAS WORKS</w:t>
      </w:r>
    </w:p>
    <w:p w:rsidR="00937F58" w:rsidRPr="00937F58" w:rsidRDefault="00937F58" w:rsidP="001C4793">
      <w:pPr>
        <w:spacing w:line="240" w:lineRule="auto"/>
        <w:rPr>
          <w:b/>
        </w:rPr>
      </w:pPr>
    </w:p>
    <w:p w:rsidR="001C4793" w:rsidRDefault="001C4793" w:rsidP="001C4793">
      <w:pPr>
        <w:spacing w:line="240" w:lineRule="auto"/>
      </w:pPr>
    </w:p>
    <w:p w:rsidR="001C4793" w:rsidRDefault="001C4793" w:rsidP="001C4793">
      <w:pPr>
        <w:spacing w:line="240" w:lineRule="auto"/>
        <w:rPr>
          <w:u w:val="single"/>
        </w:rPr>
      </w:pPr>
      <w:r>
        <w:rPr>
          <w:u w:val="single"/>
        </w:rPr>
        <w:t>HISTORY OF THE PROCEEDING</w:t>
      </w:r>
    </w:p>
    <w:p w:rsidR="00AD3E8A" w:rsidRDefault="00AD3E8A" w:rsidP="00F33385">
      <w:pPr>
        <w:rPr>
          <w:u w:val="single"/>
        </w:rPr>
      </w:pPr>
    </w:p>
    <w:p w:rsidR="00AD3E8A" w:rsidRDefault="001C4793" w:rsidP="00AD3E8A">
      <w:pPr>
        <w:jc w:val="left"/>
      </w:pPr>
      <w:r>
        <w:tab/>
      </w:r>
      <w:r w:rsidR="00BD37A6">
        <w:tab/>
      </w:r>
      <w:r w:rsidR="00AD3E8A">
        <w:t xml:space="preserve">On May </w:t>
      </w:r>
      <w:r w:rsidR="00E734B7">
        <w:t>21</w:t>
      </w:r>
      <w:r w:rsidR="00AD3E8A">
        <w:t xml:space="preserve">, 2015, </w:t>
      </w:r>
      <w:r w:rsidR="00E734B7">
        <w:t>Henry Santana</w:t>
      </w:r>
      <w:r w:rsidR="00AD3E8A">
        <w:t xml:space="preserve"> (</w:t>
      </w:r>
      <w:r w:rsidR="00E734B7">
        <w:t xml:space="preserve">Complainant or </w:t>
      </w:r>
      <w:r w:rsidR="00AD3E8A">
        <w:t>M</w:t>
      </w:r>
      <w:r w:rsidR="00E734B7">
        <w:t>r</w:t>
      </w:r>
      <w:r w:rsidR="00AD3E8A">
        <w:t xml:space="preserve">. </w:t>
      </w:r>
      <w:r w:rsidR="00E734B7">
        <w:t>Santana</w:t>
      </w:r>
      <w:r w:rsidR="00AD3E8A">
        <w:t xml:space="preserve">) filed a </w:t>
      </w:r>
      <w:r w:rsidR="006D21B6">
        <w:t>f</w:t>
      </w:r>
      <w:r w:rsidR="00AD3E8A">
        <w:t xml:space="preserve">ormal </w:t>
      </w:r>
      <w:r w:rsidR="006D21B6">
        <w:t>c</w:t>
      </w:r>
      <w:r w:rsidR="00AD3E8A">
        <w:t>omplaint</w:t>
      </w:r>
      <w:r w:rsidR="00AD3E8A" w:rsidRPr="002E0850">
        <w:t xml:space="preserve"> </w:t>
      </w:r>
      <w:r w:rsidR="00AD3E8A">
        <w:t xml:space="preserve">with the Pennsylvania Public Utility Commission (Commission) against </w:t>
      </w:r>
      <w:r w:rsidR="00E734B7">
        <w:t xml:space="preserve">Philadelphia Gas Works </w:t>
      </w:r>
      <w:r w:rsidR="00AD3E8A">
        <w:t>(</w:t>
      </w:r>
      <w:r w:rsidR="00E734B7">
        <w:t>Respondent or PGW</w:t>
      </w:r>
      <w:r w:rsidR="00AD3E8A">
        <w:t>).  M</w:t>
      </w:r>
      <w:r w:rsidR="00E734B7">
        <w:t xml:space="preserve">r. Santana </w:t>
      </w:r>
      <w:r w:rsidR="00AD3E8A">
        <w:t xml:space="preserve">resides at </w:t>
      </w:r>
      <w:r w:rsidR="00E734B7">
        <w:t>958 Pratt Street, Philadelphia</w:t>
      </w:r>
      <w:r w:rsidR="00AD3E8A">
        <w:t xml:space="preserve">, PA  </w:t>
      </w:r>
      <w:r w:rsidR="00E734B7">
        <w:t>19124</w:t>
      </w:r>
      <w:r w:rsidR="00AD3E8A">
        <w:t xml:space="preserve">.  </w:t>
      </w:r>
      <w:r w:rsidR="00E734B7">
        <w:t>He</w:t>
      </w:r>
      <w:r w:rsidR="00AD3E8A">
        <w:t xml:space="preserve"> alleges</w:t>
      </w:r>
      <w:r w:rsidR="00632262">
        <w:t xml:space="preserve"> in his complaint</w:t>
      </w:r>
      <w:r w:rsidR="00AD3E8A">
        <w:t xml:space="preserve"> that </w:t>
      </w:r>
      <w:r w:rsidR="00E734B7">
        <w:t xml:space="preserve">PGW dug up </w:t>
      </w:r>
      <w:r w:rsidR="00AD3E8A">
        <w:t xml:space="preserve">the sidewalk in front of </w:t>
      </w:r>
      <w:r w:rsidR="00E734B7">
        <w:t>his</w:t>
      </w:r>
      <w:r w:rsidR="00AD3E8A">
        <w:t xml:space="preserve"> home </w:t>
      </w:r>
      <w:r w:rsidR="00E734B7">
        <w:t xml:space="preserve">in order to repair a leak in a gas main.  He </w:t>
      </w:r>
      <w:r w:rsidR="00AD3E8A">
        <w:t>alleges that</w:t>
      </w:r>
      <w:r w:rsidR="00632262">
        <w:t xml:space="preserve"> after the gas main was repaired, </w:t>
      </w:r>
      <w:r w:rsidR="00E734B7">
        <w:t xml:space="preserve">PGW informed him that </w:t>
      </w:r>
      <w:r w:rsidR="00632262">
        <w:t>company personnel</w:t>
      </w:r>
      <w:r w:rsidR="00E734B7">
        <w:t xml:space="preserve"> would return to repair the damage to the sidewalk.  </w:t>
      </w:r>
      <w:r w:rsidR="0065343F">
        <w:t>Mr. Santana s</w:t>
      </w:r>
      <w:r w:rsidR="00632262">
        <w:t xml:space="preserve">tates that, shortly </w:t>
      </w:r>
      <w:r w:rsidR="00E734B7">
        <w:t xml:space="preserve">after the gas line was </w:t>
      </w:r>
      <w:r w:rsidR="0065343F">
        <w:t>fix</w:t>
      </w:r>
      <w:r w:rsidR="00E734B7">
        <w:t xml:space="preserve">ed, </w:t>
      </w:r>
      <w:r w:rsidR="00632262">
        <w:t xml:space="preserve">but before the </w:t>
      </w:r>
      <w:r w:rsidR="0065343F">
        <w:t xml:space="preserve">damage to the </w:t>
      </w:r>
      <w:r w:rsidR="00632262">
        <w:t xml:space="preserve">sidewalk was repaired, a water leak developed at the site of the gas main repair.  </w:t>
      </w:r>
      <w:r w:rsidR="0065343F">
        <w:t xml:space="preserve">He </w:t>
      </w:r>
      <w:r w:rsidR="00124D50">
        <w:t>stat</w:t>
      </w:r>
      <w:r w:rsidR="00632262">
        <w:t>es he was t</w:t>
      </w:r>
      <w:r w:rsidR="00124D50">
        <w:t>old by PGW that he had to hire a plumber to come out and r</w:t>
      </w:r>
      <w:r w:rsidR="00632262">
        <w:t>e-dig the hole</w:t>
      </w:r>
      <w:r w:rsidR="00124D50">
        <w:t xml:space="preserve"> in order </w:t>
      </w:r>
      <w:r w:rsidR="00632262">
        <w:t>to determine if the water leak was</w:t>
      </w:r>
      <w:r w:rsidR="00124D50">
        <w:t xml:space="preserve">, in fact, </w:t>
      </w:r>
      <w:r w:rsidR="00632262">
        <w:t>caused by PGW.  If it was,</w:t>
      </w:r>
      <w:r w:rsidR="00124D50">
        <w:t xml:space="preserve"> PGW would make the necessary repairs and then replace the sidewalk.  If it was determined the water leak was not caused by PGW, Mr. Santana would have to have the leak fixed at his expense, after which PGW would replace the sidewalk.  Mr. Santana argues that he should not have to hire a plumber in the first instance to investigate the water leak, since it occurred right after, and at the site of, the gas main repair.  </w:t>
      </w:r>
      <w:r w:rsidR="0065343F">
        <w:t xml:space="preserve">The Complainant </w:t>
      </w:r>
      <w:r w:rsidR="00AD3E8A">
        <w:t>requests, by way of relief, that</w:t>
      </w:r>
      <w:r w:rsidR="00124D50">
        <w:t xml:space="preserve"> PGW repair the water leak and restore the </w:t>
      </w:r>
      <w:r w:rsidR="00F36596">
        <w:t>s</w:t>
      </w:r>
      <w:r w:rsidR="00AD3E8A">
        <w:t xml:space="preserve">idewalk </w:t>
      </w:r>
      <w:r w:rsidR="00124D50">
        <w:t>t</w:t>
      </w:r>
      <w:r w:rsidR="00AD3E8A">
        <w:t>o the</w:t>
      </w:r>
      <w:r w:rsidR="00124D50">
        <w:t xml:space="preserve"> condition </w:t>
      </w:r>
      <w:r w:rsidR="00F36596">
        <w:t>it was</w:t>
      </w:r>
      <w:r w:rsidR="00124D50">
        <w:t xml:space="preserve"> in </w:t>
      </w:r>
      <w:r w:rsidR="00AD3E8A">
        <w:t xml:space="preserve">prior to the gas line </w:t>
      </w:r>
      <w:r w:rsidR="00124D50">
        <w:t>repair</w:t>
      </w:r>
      <w:r w:rsidR="00AD3E8A">
        <w:t xml:space="preserve"> project.</w:t>
      </w:r>
    </w:p>
    <w:p w:rsidR="00AD3E8A" w:rsidRPr="007B06CF" w:rsidRDefault="00AD3E8A" w:rsidP="00AD3E8A">
      <w:pPr>
        <w:jc w:val="left"/>
        <w:rPr>
          <w:color w:val="000000" w:themeColor="text1"/>
        </w:rPr>
      </w:pPr>
      <w:r>
        <w:lastRenderedPageBreak/>
        <w:tab/>
      </w:r>
      <w:r>
        <w:tab/>
      </w:r>
      <w:r w:rsidRPr="007B06CF">
        <w:rPr>
          <w:color w:val="000000" w:themeColor="text1"/>
        </w:rPr>
        <w:t xml:space="preserve">On June </w:t>
      </w:r>
      <w:r w:rsidR="00124D50" w:rsidRPr="007B06CF">
        <w:rPr>
          <w:color w:val="000000" w:themeColor="text1"/>
        </w:rPr>
        <w:t>18</w:t>
      </w:r>
      <w:r w:rsidRPr="007B06CF">
        <w:rPr>
          <w:color w:val="000000" w:themeColor="text1"/>
        </w:rPr>
        <w:t>, 2015, P</w:t>
      </w:r>
      <w:r w:rsidR="00124D50" w:rsidRPr="007B06CF">
        <w:rPr>
          <w:color w:val="000000" w:themeColor="text1"/>
        </w:rPr>
        <w:t>GW</w:t>
      </w:r>
      <w:r w:rsidRPr="007B06CF">
        <w:rPr>
          <w:color w:val="000000" w:themeColor="text1"/>
        </w:rPr>
        <w:t xml:space="preserve"> filed an answer and preliminary objections to </w:t>
      </w:r>
      <w:r w:rsidR="00124D50" w:rsidRPr="007B06CF">
        <w:rPr>
          <w:color w:val="000000" w:themeColor="text1"/>
        </w:rPr>
        <w:t xml:space="preserve">Mr. Santana’s </w:t>
      </w:r>
      <w:r w:rsidR="006D21B6">
        <w:rPr>
          <w:color w:val="000000" w:themeColor="text1"/>
        </w:rPr>
        <w:t>f</w:t>
      </w:r>
      <w:r w:rsidR="00124D50" w:rsidRPr="007B06CF">
        <w:rPr>
          <w:color w:val="000000" w:themeColor="text1"/>
        </w:rPr>
        <w:t xml:space="preserve">ormal </w:t>
      </w:r>
      <w:r w:rsidR="006D21B6">
        <w:rPr>
          <w:color w:val="000000" w:themeColor="text1"/>
        </w:rPr>
        <w:t>c</w:t>
      </w:r>
      <w:r w:rsidR="00124D50" w:rsidRPr="007B06CF">
        <w:rPr>
          <w:color w:val="000000" w:themeColor="text1"/>
        </w:rPr>
        <w:t>omplaint</w:t>
      </w:r>
      <w:r w:rsidRPr="007B06CF">
        <w:rPr>
          <w:color w:val="000000" w:themeColor="text1"/>
        </w:rPr>
        <w:t>.  In its answer, P</w:t>
      </w:r>
      <w:r w:rsidR="00124D50" w:rsidRPr="007B06CF">
        <w:rPr>
          <w:color w:val="000000" w:themeColor="text1"/>
        </w:rPr>
        <w:t>GW</w:t>
      </w:r>
      <w:r w:rsidRPr="007B06CF">
        <w:rPr>
          <w:color w:val="000000" w:themeColor="text1"/>
        </w:rPr>
        <w:t xml:space="preserve"> </w:t>
      </w:r>
      <w:r w:rsidR="007B06CF">
        <w:rPr>
          <w:color w:val="000000" w:themeColor="text1"/>
        </w:rPr>
        <w:t xml:space="preserve">acknowledges that the Complainant was </w:t>
      </w:r>
      <w:r w:rsidR="006D21B6">
        <w:rPr>
          <w:color w:val="000000" w:themeColor="text1"/>
        </w:rPr>
        <w:t>told he had</w:t>
      </w:r>
      <w:r w:rsidR="007B06CF">
        <w:rPr>
          <w:color w:val="000000" w:themeColor="text1"/>
        </w:rPr>
        <w:t xml:space="preserve"> to hire a plumber and provide PGW with 24 hours advance notice of when the plumber would be at the site.  A PGW Operation Supervisor would be present to make a determination </w:t>
      </w:r>
      <w:r w:rsidR="00F02057">
        <w:rPr>
          <w:color w:val="000000" w:themeColor="text1"/>
        </w:rPr>
        <w:t>about</w:t>
      </w:r>
      <w:r w:rsidR="007B06CF">
        <w:rPr>
          <w:color w:val="000000" w:themeColor="text1"/>
        </w:rPr>
        <w:t xml:space="preserve"> the cause of the water leak and which party is responsible for the damage.  PGW avers that, if it was responsible for the water leak, it will reimburse the Complainant for the damage.  If PGW was not responsible, Mr. Santana would have to make all necessary repairs at his own expense.  PGW avers that its policy was explained to the Complainant both in writing and verbally.  </w:t>
      </w:r>
      <w:r w:rsidRPr="007B06CF">
        <w:rPr>
          <w:color w:val="000000" w:themeColor="text1"/>
        </w:rPr>
        <w:t>P</w:t>
      </w:r>
      <w:r w:rsidR="007B06CF">
        <w:rPr>
          <w:color w:val="000000" w:themeColor="text1"/>
        </w:rPr>
        <w:t>GW</w:t>
      </w:r>
      <w:r w:rsidRPr="007B06CF">
        <w:rPr>
          <w:color w:val="000000" w:themeColor="text1"/>
        </w:rPr>
        <w:t xml:space="preserve"> requests </w:t>
      </w:r>
      <w:r w:rsidR="00C9172F">
        <w:rPr>
          <w:color w:val="000000" w:themeColor="text1"/>
        </w:rPr>
        <w:t xml:space="preserve">in its answer </w:t>
      </w:r>
      <w:r w:rsidRPr="007B06CF">
        <w:rPr>
          <w:color w:val="000000" w:themeColor="text1"/>
        </w:rPr>
        <w:t>that the complaint be dismissed.</w:t>
      </w:r>
    </w:p>
    <w:p w:rsidR="00AD3E8A" w:rsidRDefault="00AD3E8A" w:rsidP="00AD3E8A">
      <w:pPr>
        <w:jc w:val="left"/>
        <w:rPr>
          <w:color w:val="000000" w:themeColor="text1"/>
        </w:rPr>
      </w:pPr>
    </w:p>
    <w:p w:rsidR="002651D3" w:rsidRDefault="00AD3E8A" w:rsidP="00AD3E8A">
      <w:pPr>
        <w:jc w:val="left"/>
        <w:rPr>
          <w:color w:val="000000" w:themeColor="text1"/>
        </w:rPr>
      </w:pPr>
      <w:r>
        <w:rPr>
          <w:color w:val="000000" w:themeColor="text1"/>
        </w:rPr>
        <w:tab/>
      </w:r>
      <w:r w:rsidR="00AA58C7">
        <w:rPr>
          <w:color w:val="000000" w:themeColor="text1"/>
        </w:rPr>
        <w:tab/>
      </w:r>
      <w:r>
        <w:rPr>
          <w:color w:val="000000" w:themeColor="text1"/>
        </w:rPr>
        <w:t>In its preliminary objections, P</w:t>
      </w:r>
      <w:r w:rsidR="00CE6E1C">
        <w:rPr>
          <w:color w:val="000000" w:themeColor="text1"/>
        </w:rPr>
        <w:t>GW</w:t>
      </w:r>
      <w:r>
        <w:rPr>
          <w:color w:val="000000" w:themeColor="text1"/>
        </w:rPr>
        <w:t xml:space="preserve"> argues that the relief sought by the Complainant constitutes </w:t>
      </w:r>
      <w:r w:rsidR="007B06CF">
        <w:rPr>
          <w:color w:val="000000" w:themeColor="text1"/>
        </w:rPr>
        <w:t xml:space="preserve">a request for </w:t>
      </w:r>
      <w:r w:rsidR="00C9172F">
        <w:rPr>
          <w:color w:val="000000" w:themeColor="text1"/>
        </w:rPr>
        <w:t xml:space="preserve">the </w:t>
      </w:r>
      <w:r w:rsidR="007B06CF">
        <w:rPr>
          <w:color w:val="000000" w:themeColor="text1"/>
        </w:rPr>
        <w:t>repair of damages, a</w:t>
      </w:r>
      <w:r>
        <w:rPr>
          <w:color w:val="000000" w:themeColor="text1"/>
        </w:rPr>
        <w:t>nd that the Commission does not have the authority to award such relief.  P</w:t>
      </w:r>
      <w:r w:rsidR="00CE6E1C">
        <w:rPr>
          <w:color w:val="000000" w:themeColor="text1"/>
        </w:rPr>
        <w:t>GW</w:t>
      </w:r>
      <w:r>
        <w:rPr>
          <w:color w:val="000000" w:themeColor="text1"/>
        </w:rPr>
        <w:t xml:space="preserve"> asks that </w:t>
      </w:r>
      <w:r w:rsidR="00CE6E1C">
        <w:rPr>
          <w:color w:val="000000" w:themeColor="text1"/>
        </w:rPr>
        <w:t>the</w:t>
      </w:r>
      <w:r>
        <w:rPr>
          <w:color w:val="000000" w:themeColor="text1"/>
        </w:rPr>
        <w:t xml:space="preserve"> Complainant’s request for relief be stricken as impertinent matter.</w:t>
      </w:r>
      <w:r w:rsidR="00CE6E1C">
        <w:rPr>
          <w:color w:val="000000" w:themeColor="text1"/>
        </w:rPr>
        <w:t xml:space="preserve"> </w:t>
      </w:r>
    </w:p>
    <w:p w:rsidR="002651D3" w:rsidRDefault="002651D3" w:rsidP="00AD3E8A">
      <w:pPr>
        <w:jc w:val="left"/>
        <w:rPr>
          <w:color w:val="000000" w:themeColor="text1"/>
        </w:rPr>
      </w:pPr>
    </w:p>
    <w:p w:rsidR="00F36596" w:rsidRDefault="002651D3" w:rsidP="002651D3">
      <w:pPr>
        <w:ind w:firstLine="1440"/>
        <w:jc w:val="left"/>
        <w:rPr>
          <w:color w:val="000000" w:themeColor="text1"/>
        </w:rPr>
      </w:pPr>
      <w:r>
        <w:rPr>
          <w:color w:val="000000" w:themeColor="text1"/>
        </w:rPr>
        <w:t xml:space="preserve">By letter dated July 7, 2015, the Complainant requested an extension of time to file an answer to PGW’s preliminary objections.  Mr. Santana stated that he was in the process of obtaining an attorney through Community Legal Services.  He stated that an attorney had been assigned and that he had to go to the legal services office for an initial interview and to sign a retainer agreement.  By Order dated July 16, 2015, I granted the Complainant’s request for an extension of time and directed </w:t>
      </w:r>
      <w:r w:rsidR="00C9172F">
        <w:rPr>
          <w:color w:val="000000" w:themeColor="text1"/>
        </w:rPr>
        <w:t xml:space="preserve">him to </w:t>
      </w:r>
      <w:r>
        <w:rPr>
          <w:color w:val="000000" w:themeColor="text1"/>
        </w:rPr>
        <w:t xml:space="preserve">file an </w:t>
      </w:r>
      <w:r w:rsidR="00C9172F">
        <w:rPr>
          <w:color w:val="000000" w:themeColor="text1"/>
        </w:rPr>
        <w:t>a</w:t>
      </w:r>
      <w:r>
        <w:rPr>
          <w:color w:val="000000" w:themeColor="text1"/>
        </w:rPr>
        <w:t xml:space="preserve">nswer to PGW’s </w:t>
      </w:r>
      <w:r w:rsidR="00C9172F">
        <w:rPr>
          <w:color w:val="000000" w:themeColor="text1"/>
        </w:rPr>
        <w:t>p</w:t>
      </w:r>
      <w:r>
        <w:rPr>
          <w:color w:val="000000" w:themeColor="text1"/>
        </w:rPr>
        <w:t xml:space="preserve">reliminary </w:t>
      </w:r>
      <w:r w:rsidR="00C9172F">
        <w:rPr>
          <w:color w:val="000000" w:themeColor="text1"/>
        </w:rPr>
        <w:t>o</w:t>
      </w:r>
      <w:r>
        <w:rPr>
          <w:color w:val="000000" w:themeColor="text1"/>
        </w:rPr>
        <w:t xml:space="preserve">bjections no later than August 10, 2015.  </w:t>
      </w:r>
    </w:p>
    <w:p w:rsidR="00F36596" w:rsidRDefault="00F36596" w:rsidP="002651D3">
      <w:pPr>
        <w:ind w:firstLine="1440"/>
        <w:jc w:val="left"/>
        <w:rPr>
          <w:color w:val="000000" w:themeColor="text1"/>
        </w:rPr>
      </w:pPr>
    </w:p>
    <w:p w:rsidR="00AD3E8A" w:rsidRDefault="00F36596" w:rsidP="002651D3">
      <w:pPr>
        <w:ind w:firstLine="1440"/>
        <w:jc w:val="left"/>
        <w:rPr>
          <w:color w:val="000000" w:themeColor="text1"/>
        </w:rPr>
      </w:pPr>
      <w:r>
        <w:rPr>
          <w:color w:val="000000" w:themeColor="text1"/>
        </w:rPr>
        <w:t xml:space="preserve">On August 10, 2015, Lydia R. </w:t>
      </w:r>
      <w:proofErr w:type="spellStart"/>
      <w:r>
        <w:rPr>
          <w:color w:val="000000" w:themeColor="text1"/>
        </w:rPr>
        <w:t>Gottesfeld</w:t>
      </w:r>
      <w:proofErr w:type="spellEnd"/>
      <w:r>
        <w:rPr>
          <w:color w:val="000000" w:themeColor="text1"/>
        </w:rPr>
        <w:t>, Esquire and Josie B. H. Pickens, Esquire, both of Community Legal Services in Philadelphia, PA, filed Notices of Appearance on behalf of Mr. Santana.  Also on August 10, 2015, Ms. Pickens filed an answer to PGW’s</w:t>
      </w:r>
      <w:r w:rsidR="005E74FA">
        <w:rPr>
          <w:color w:val="000000" w:themeColor="text1"/>
        </w:rPr>
        <w:t xml:space="preserve"> preliminary objections.  In his answer, Mr. Santana argues that </w:t>
      </w:r>
      <w:r w:rsidR="00BD7E35">
        <w:rPr>
          <w:color w:val="000000" w:themeColor="text1"/>
        </w:rPr>
        <w:t xml:space="preserve">the Commission has jurisdiction over matters involving the reasonableness, adequacy and sufficiency of service rendered by public utilities to their customers.  He further argues that PGW incorrectly characterizes the relief sought as a request for monetary damages.  To the contrary, Mr. Santana argues that he is actually seeking to have PGW repair the damage it caused on his property and complete the </w:t>
      </w:r>
      <w:r w:rsidR="00BD7E35">
        <w:rPr>
          <w:color w:val="000000" w:themeColor="text1"/>
        </w:rPr>
        <w:lastRenderedPageBreak/>
        <w:t>unfinished work on the sidewalk.  He argues that this falls within the Commission’s jurisdiction over the reasonableness of service rendered by a public utility.  Mr. Santana requests that PGW’s pre</w:t>
      </w:r>
      <w:r w:rsidR="00F33385">
        <w:rPr>
          <w:color w:val="000000" w:themeColor="text1"/>
        </w:rPr>
        <w:t>liminary objections be denied.</w:t>
      </w:r>
    </w:p>
    <w:p w:rsidR="005C31F9" w:rsidRDefault="005C31F9" w:rsidP="001C4793">
      <w:pPr>
        <w:jc w:val="left"/>
      </w:pPr>
    </w:p>
    <w:p w:rsidR="005C31F9" w:rsidRDefault="00206F82" w:rsidP="00CE6E1C">
      <w:pPr>
        <w:jc w:val="left"/>
      </w:pPr>
      <w:r>
        <w:tab/>
      </w:r>
      <w:r>
        <w:tab/>
      </w:r>
      <w:r w:rsidR="00AB504C" w:rsidRPr="00206F82">
        <w:t xml:space="preserve">By Motion Judge Assignment Notice </w:t>
      </w:r>
      <w:r>
        <w:t xml:space="preserve">dated </w:t>
      </w:r>
      <w:r w:rsidR="00AB504C" w:rsidRPr="00206F82">
        <w:t>July</w:t>
      </w:r>
      <w:r>
        <w:t xml:space="preserve"> </w:t>
      </w:r>
      <w:r w:rsidR="007B06CF">
        <w:t>8</w:t>
      </w:r>
      <w:r w:rsidR="00AB504C" w:rsidRPr="00206F82">
        <w:t xml:space="preserve">, </w:t>
      </w:r>
      <w:proofErr w:type="gramStart"/>
      <w:r w:rsidR="00AB504C" w:rsidRPr="00206F82">
        <w:t>201</w:t>
      </w:r>
      <w:r>
        <w:t>5</w:t>
      </w:r>
      <w:r w:rsidR="00AB504C" w:rsidRPr="00206F82">
        <w:t>,</w:t>
      </w:r>
      <w:proofErr w:type="gramEnd"/>
      <w:r w:rsidR="00AB504C" w:rsidRPr="00206F82">
        <w:t xml:space="preserve"> the matter </w:t>
      </w:r>
      <w:r>
        <w:t>was</w:t>
      </w:r>
      <w:r w:rsidR="00AB504C" w:rsidRPr="00206F82">
        <w:t xml:space="preserve"> assigned to me.  </w:t>
      </w:r>
      <w:r w:rsidR="001A5723">
        <w:t>T</w:t>
      </w:r>
      <w:r w:rsidR="007B06CF" w:rsidRPr="00206F82">
        <w:t xml:space="preserve">he </w:t>
      </w:r>
      <w:r>
        <w:t>preliminary objections</w:t>
      </w:r>
      <w:r w:rsidR="00AB504C" w:rsidRPr="00206F82">
        <w:t xml:space="preserve"> are </w:t>
      </w:r>
      <w:r>
        <w:t xml:space="preserve">ready for decision.  </w:t>
      </w:r>
    </w:p>
    <w:p w:rsidR="00BD7E35" w:rsidRPr="00206F82" w:rsidRDefault="00BD7E35" w:rsidP="00CE6E1C">
      <w:pPr>
        <w:jc w:val="left"/>
      </w:pPr>
    </w:p>
    <w:p w:rsidR="00AB504C" w:rsidRDefault="00AB504C" w:rsidP="00AB504C">
      <w:pPr>
        <w:rPr>
          <w:u w:val="single"/>
        </w:rPr>
      </w:pPr>
      <w:r>
        <w:rPr>
          <w:u w:val="single"/>
        </w:rPr>
        <w:t>DISCUSSION</w:t>
      </w:r>
    </w:p>
    <w:p w:rsidR="00AB504C" w:rsidRPr="00AB504C" w:rsidRDefault="00AB504C" w:rsidP="00AB504C">
      <w:pPr>
        <w:jc w:val="left"/>
      </w:pPr>
    </w:p>
    <w:p w:rsidR="00AB504C" w:rsidRDefault="00AB504C" w:rsidP="00AB504C">
      <w:pPr>
        <w:jc w:val="left"/>
      </w:pPr>
      <w:r w:rsidRPr="00AB504C">
        <w:tab/>
      </w:r>
      <w:r>
        <w:tab/>
      </w:r>
      <w:r w:rsidR="00BD7E35">
        <w:t>As noted above, t</w:t>
      </w:r>
      <w:r w:rsidR="006F2E5A">
        <w:t xml:space="preserve">he </w:t>
      </w:r>
      <w:r>
        <w:t>Complainant</w:t>
      </w:r>
      <w:r w:rsidR="00C9172F">
        <w:t xml:space="preserve"> </w:t>
      </w:r>
      <w:r w:rsidR="00415214">
        <w:t>allege</w:t>
      </w:r>
      <w:r w:rsidR="00C9172F">
        <w:t>s</w:t>
      </w:r>
      <w:r w:rsidR="00415214">
        <w:t xml:space="preserve"> that P</w:t>
      </w:r>
      <w:r w:rsidR="00C9172F">
        <w:t xml:space="preserve">GW caused a water leak in a water line in front of his house.  He requests that PGW be ordered to fix both the water leak and </w:t>
      </w:r>
      <w:r w:rsidR="00575A68">
        <w:t xml:space="preserve">the sidewalk in front of his home.  </w:t>
      </w:r>
      <w:r w:rsidR="00C9172F">
        <w:t>PGW, on the other hand, is requiring Mr. Santana to hire a plumber in the first instance to re-dig the hole in front of his house at the site of the water leak to determine whether PGW caused the leak.</w:t>
      </w:r>
      <w:r w:rsidR="000855D5">
        <w:t xml:space="preserve">  PGW requests in its preliminary objections that Mr. Santana’s request for relief be stricken as impertinent on the basis that the Commission does not have the authority to order the </w:t>
      </w:r>
      <w:r w:rsidR="004C0CCE">
        <w:t>payment</w:t>
      </w:r>
      <w:r w:rsidR="000855D5">
        <w:t xml:space="preserve"> of monetary compensation or damages.</w:t>
      </w:r>
      <w:r w:rsidR="004C0CCE">
        <w:t xml:space="preserve">  Mr. Santana</w:t>
      </w:r>
      <w:r w:rsidR="00AF69D8">
        <w:t xml:space="preserve"> </w:t>
      </w:r>
      <w:r w:rsidR="004C0CCE">
        <w:t xml:space="preserve">argues that the issues </w:t>
      </w:r>
      <w:proofErr w:type="gramStart"/>
      <w:r w:rsidR="004C0CCE">
        <w:t>raised</w:t>
      </w:r>
      <w:proofErr w:type="gramEnd"/>
      <w:r w:rsidR="004C0CCE">
        <w:t xml:space="preserve"> in his complaint and the relief sought fall under the Commission’s jurisdiction over the reasonableness of service provided by PGW.</w:t>
      </w:r>
      <w:r w:rsidR="00C9172F">
        <w:t xml:space="preserve">  </w:t>
      </w:r>
      <w:r w:rsidR="00575A68">
        <w:t xml:space="preserve">  </w:t>
      </w:r>
    </w:p>
    <w:p w:rsidR="00E84409" w:rsidRDefault="00E84409" w:rsidP="00AB504C">
      <w:pPr>
        <w:jc w:val="left"/>
      </w:pPr>
    </w:p>
    <w:p w:rsidR="00AB504C" w:rsidRDefault="00E84409" w:rsidP="00AB504C">
      <w:pPr>
        <w:jc w:val="left"/>
        <w:rPr>
          <w:i/>
        </w:rPr>
      </w:pPr>
      <w:r>
        <w:tab/>
      </w:r>
      <w:r>
        <w:tab/>
      </w:r>
      <w:r w:rsidR="00AB504C" w:rsidRPr="006B4473">
        <w:t xml:space="preserve">Commission preliminary objection practice is similar to Pennsylvania civil practice.  </w:t>
      </w:r>
      <w:r w:rsidR="00AB504C" w:rsidRPr="006B4473">
        <w:rPr>
          <w:i/>
        </w:rPr>
        <w:t xml:space="preserve">Equitable Small Transportation Interveners v. Equitable Gas Company, </w:t>
      </w:r>
      <w:r w:rsidR="00AB504C" w:rsidRPr="006B4473">
        <w:t xml:space="preserve">1994 </w:t>
      </w:r>
      <w:proofErr w:type="spellStart"/>
      <w:r w:rsidR="00AB504C" w:rsidRPr="006B4473">
        <w:t>Pa.PUC</w:t>
      </w:r>
      <w:proofErr w:type="spellEnd"/>
      <w:r w:rsidR="00AB504C" w:rsidRPr="006B4473">
        <w:t xml:space="preserve"> LEXIS 69, Docket No. </w:t>
      </w:r>
      <w:proofErr w:type="gramStart"/>
      <w:r w:rsidR="00AB504C" w:rsidRPr="006B4473">
        <w:t>C-000935435 (July 18, 1994).</w:t>
      </w:r>
      <w:proofErr w:type="gramEnd"/>
      <w:r w:rsidR="00AB504C" w:rsidRPr="006B4473">
        <w:t xml:space="preserve">  When considering the preliminary objection, the Commission must determine “whether the law says with certainty, based on well-pleaded factual averments . . . that no recovery or relief is possible.  </w:t>
      </w:r>
      <w:proofErr w:type="gramStart"/>
      <w:r w:rsidR="00AB504C" w:rsidRPr="006B4473">
        <w:rPr>
          <w:i/>
        </w:rPr>
        <w:t xml:space="preserve">P. J. S. v. Pa. State Ethics Commission, </w:t>
      </w:r>
      <w:r w:rsidR="00AB504C">
        <w:t>669 A.2d 1105 (Pa.</w:t>
      </w:r>
      <w:r w:rsidR="00AB504C" w:rsidRPr="006B4473">
        <w:t>Cmwlth. 1996).</w:t>
      </w:r>
      <w:proofErr w:type="gramEnd"/>
      <w:r w:rsidR="00AB504C" w:rsidRPr="006B4473">
        <w:t xml:space="preserve">  Any doubt must be resolved in favor of the non-moving party by refusing to sustain the preliminary objections.  </w:t>
      </w:r>
      <w:proofErr w:type="gramStart"/>
      <w:r w:rsidR="00AB504C" w:rsidRPr="006B4473">
        <w:rPr>
          <w:i/>
        </w:rPr>
        <w:t xml:space="preserve">Boyd v. Ward, </w:t>
      </w:r>
      <w:r w:rsidR="00AB504C">
        <w:t>802 A.2d 705 (Pa.</w:t>
      </w:r>
      <w:r w:rsidR="00AB504C" w:rsidRPr="006B4473">
        <w:t>Cmwlth. 2002).”</w:t>
      </w:r>
      <w:proofErr w:type="gramEnd"/>
      <w:r w:rsidR="00AB504C" w:rsidRPr="006B4473">
        <w:t xml:space="preserve">  </w:t>
      </w:r>
      <w:proofErr w:type="gramStart"/>
      <w:r w:rsidR="00AB504C" w:rsidRPr="006B4473">
        <w:rPr>
          <w:i/>
        </w:rPr>
        <w:t xml:space="preserve">Dept. of Auditor General, et al. v. State Employees’ Retirement System, et al., </w:t>
      </w:r>
      <w:r w:rsidR="00AB504C">
        <w:t>836 A.2d 1053, 1064 (Pa.</w:t>
      </w:r>
      <w:r w:rsidR="00AB504C" w:rsidRPr="006B4473">
        <w:t>Cmwlth. 2003).</w:t>
      </w:r>
      <w:proofErr w:type="gramEnd"/>
      <w:r w:rsidR="00AB504C" w:rsidRPr="006B4473">
        <w:t xml:space="preserve">  </w:t>
      </w:r>
      <w:r w:rsidR="00AB504C" w:rsidRPr="006B4473">
        <w:rPr>
          <w:i/>
        </w:rPr>
        <w:t xml:space="preserve"> </w:t>
      </w:r>
    </w:p>
    <w:p w:rsidR="00F33385" w:rsidRDefault="00F33385" w:rsidP="00AB504C">
      <w:pPr>
        <w:jc w:val="left"/>
        <w:rPr>
          <w:i/>
        </w:rPr>
      </w:pPr>
      <w:r>
        <w:rPr>
          <w:i/>
        </w:rPr>
        <w:br w:type="page"/>
      </w:r>
    </w:p>
    <w:p w:rsidR="004C0CCE" w:rsidRDefault="004C0CCE" w:rsidP="00AB504C">
      <w:pPr>
        <w:jc w:val="left"/>
        <w:rPr>
          <w:i/>
        </w:rPr>
      </w:pPr>
    </w:p>
    <w:p w:rsidR="00AB504C" w:rsidRPr="006B4473" w:rsidRDefault="00AB504C" w:rsidP="00AB504C">
      <w:pPr>
        <w:jc w:val="left"/>
      </w:pPr>
      <w:r w:rsidRPr="006B4473">
        <w:tab/>
      </w:r>
      <w:r w:rsidRPr="006B4473">
        <w:tab/>
        <w:t>The rules regard</w:t>
      </w:r>
      <w:r>
        <w:t>ing</w:t>
      </w:r>
      <w:r w:rsidRPr="006B4473">
        <w:t xml:space="preserve"> preliminary objections are as follows:</w:t>
      </w:r>
    </w:p>
    <w:p w:rsidR="00AB504C" w:rsidRPr="006B4473" w:rsidRDefault="00AB504C" w:rsidP="00AB504C">
      <w:pPr>
        <w:jc w:val="left"/>
      </w:pPr>
    </w:p>
    <w:p w:rsidR="00AB504C" w:rsidRDefault="00AB504C" w:rsidP="00AB504C">
      <w:pPr>
        <w:ind w:left="1440" w:right="1440"/>
        <w:contextualSpacing/>
        <w:jc w:val="left"/>
        <w:rPr>
          <w:b/>
        </w:rPr>
      </w:pPr>
      <w:r w:rsidRPr="006B4473">
        <w:rPr>
          <w:b/>
        </w:rPr>
        <w:t xml:space="preserve">§ 5.101.  </w:t>
      </w:r>
      <w:proofErr w:type="gramStart"/>
      <w:r w:rsidRPr="006B4473">
        <w:rPr>
          <w:b/>
        </w:rPr>
        <w:t>Preliminary objections.</w:t>
      </w:r>
      <w:proofErr w:type="gramEnd"/>
    </w:p>
    <w:p w:rsidR="00F33385" w:rsidRPr="006B4473" w:rsidRDefault="00F33385" w:rsidP="00F33385">
      <w:pPr>
        <w:ind w:left="1440" w:right="1440"/>
        <w:contextualSpacing/>
        <w:jc w:val="left"/>
        <w:rPr>
          <w:b/>
        </w:rPr>
      </w:pPr>
    </w:p>
    <w:p w:rsidR="00AB504C" w:rsidRPr="006B4473" w:rsidRDefault="00AB504C" w:rsidP="00AB504C">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AB504C" w:rsidRPr="006B4473" w:rsidRDefault="00AB504C" w:rsidP="00AB504C">
      <w:pPr>
        <w:spacing w:line="240" w:lineRule="auto"/>
        <w:ind w:left="1440" w:right="1440"/>
        <w:contextualSpacing/>
        <w:jc w:val="left"/>
        <w:rPr>
          <w:i/>
        </w:rPr>
      </w:pPr>
    </w:p>
    <w:p w:rsidR="00AB504C" w:rsidRPr="006B4473" w:rsidRDefault="00AB504C" w:rsidP="00AB504C">
      <w:pPr>
        <w:spacing w:line="240" w:lineRule="auto"/>
        <w:ind w:left="1440" w:right="1440"/>
        <w:contextualSpacing/>
        <w:jc w:val="left"/>
      </w:pPr>
      <w:r w:rsidRPr="006B4473">
        <w:t>(1)  Lack of Commission jurisdiction or improper service of the pleading initiating the proceeding.</w:t>
      </w:r>
    </w:p>
    <w:p w:rsidR="00AB504C" w:rsidRPr="006B4473" w:rsidRDefault="00AB504C" w:rsidP="00AB504C">
      <w:pPr>
        <w:spacing w:line="240" w:lineRule="auto"/>
        <w:ind w:left="1440" w:right="1440"/>
        <w:contextualSpacing/>
        <w:jc w:val="left"/>
      </w:pPr>
    </w:p>
    <w:p w:rsidR="00AB504C" w:rsidRPr="006B4473" w:rsidRDefault="00AB504C" w:rsidP="00AB504C">
      <w:pPr>
        <w:spacing w:line="240" w:lineRule="auto"/>
        <w:ind w:left="1440" w:right="1440"/>
        <w:contextualSpacing/>
        <w:jc w:val="left"/>
      </w:pPr>
      <w:r w:rsidRPr="006B4473">
        <w:t>(2)  Failure of a pleading to conform to this chapter or the inclusion of scandalous or impertinent matter.</w:t>
      </w:r>
    </w:p>
    <w:p w:rsidR="00AB504C" w:rsidRPr="006B4473" w:rsidRDefault="00AB504C" w:rsidP="00AB504C">
      <w:pPr>
        <w:spacing w:line="240" w:lineRule="auto"/>
        <w:ind w:left="1440" w:right="1440"/>
        <w:contextualSpacing/>
        <w:jc w:val="left"/>
      </w:pPr>
    </w:p>
    <w:p w:rsidR="00AB504C" w:rsidRPr="006B4473" w:rsidRDefault="00AB504C" w:rsidP="00AB504C">
      <w:pPr>
        <w:spacing w:line="240" w:lineRule="auto"/>
        <w:ind w:left="1440" w:right="1440"/>
        <w:contextualSpacing/>
        <w:jc w:val="left"/>
      </w:pPr>
      <w:r w:rsidRPr="006B4473">
        <w:t>(3)  Insufficient specificity of a pleading.</w:t>
      </w:r>
    </w:p>
    <w:p w:rsidR="00AB504C" w:rsidRPr="006B4473" w:rsidRDefault="00AB504C" w:rsidP="00AB504C">
      <w:pPr>
        <w:spacing w:line="240" w:lineRule="auto"/>
        <w:ind w:left="1440" w:right="1440"/>
        <w:contextualSpacing/>
        <w:jc w:val="left"/>
      </w:pPr>
    </w:p>
    <w:p w:rsidR="00AB504C" w:rsidRPr="006B4473" w:rsidRDefault="00AB504C" w:rsidP="00AB504C">
      <w:pPr>
        <w:spacing w:line="240" w:lineRule="auto"/>
        <w:ind w:left="1440" w:right="1440"/>
        <w:contextualSpacing/>
        <w:jc w:val="left"/>
      </w:pPr>
      <w:r w:rsidRPr="006B4473">
        <w:t>(4)  Legal insufficiency of a pleading.</w:t>
      </w:r>
    </w:p>
    <w:p w:rsidR="00AB504C" w:rsidRPr="006B4473" w:rsidRDefault="00AB504C" w:rsidP="00AB504C">
      <w:pPr>
        <w:spacing w:line="240" w:lineRule="auto"/>
        <w:ind w:left="1440" w:right="1440"/>
        <w:contextualSpacing/>
        <w:jc w:val="left"/>
      </w:pPr>
    </w:p>
    <w:p w:rsidR="00AB504C" w:rsidRPr="006B4473" w:rsidRDefault="00AB504C" w:rsidP="00AB504C">
      <w:pPr>
        <w:spacing w:line="240" w:lineRule="auto"/>
        <w:ind w:left="1440" w:right="1440"/>
        <w:contextualSpacing/>
        <w:jc w:val="left"/>
      </w:pPr>
      <w:r w:rsidRPr="006B4473">
        <w:t>(5) Lack of capacity to sue, nonjoinder of a necessary party or misjoinder of a cause of action.</w:t>
      </w:r>
    </w:p>
    <w:p w:rsidR="00AB504C" w:rsidRPr="006B4473" w:rsidRDefault="00AB504C" w:rsidP="00AB504C">
      <w:pPr>
        <w:spacing w:line="240" w:lineRule="auto"/>
        <w:ind w:left="1440" w:right="1440"/>
        <w:contextualSpacing/>
        <w:jc w:val="left"/>
      </w:pPr>
    </w:p>
    <w:p w:rsidR="00AB504C" w:rsidRDefault="00AB504C" w:rsidP="00AB504C">
      <w:pPr>
        <w:spacing w:line="240" w:lineRule="auto"/>
        <w:ind w:left="1440" w:right="1440"/>
        <w:contextualSpacing/>
        <w:jc w:val="left"/>
      </w:pPr>
      <w:r w:rsidRPr="006B4473">
        <w:t>(6)  Pendency of a prior proceeding or agreement for alternative dispute resolution.</w:t>
      </w:r>
    </w:p>
    <w:p w:rsidR="00AB504C" w:rsidRDefault="00AB504C" w:rsidP="00AB504C">
      <w:pPr>
        <w:spacing w:line="240" w:lineRule="auto"/>
        <w:ind w:left="1440" w:right="1440"/>
        <w:contextualSpacing/>
        <w:jc w:val="left"/>
      </w:pPr>
    </w:p>
    <w:p w:rsidR="00AB504C" w:rsidRPr="006B4473" w:rsidRDefault="00AB504C" w:rsidP="00AB504C">
      <w:pPr>
        <w:spacing w:line="240" w:lineRule="auto"/>
        <w:ind w:left="1440" w:right="1440"/>
        <w:contextualSpacing/>
        <w:jc w:val="left"/>
      </w:pPr>
      <w:r>
        <w:t>(7)  Standing of a party to participate in the proceeding.</w:t>
      </w:r>
    </w:p>
    <w:p w:rsidR="00AB504C" w:rsidRPr="006B4473" w:rsidRDefault="00AB504C" w:rsidP="00F33385">
      <w:pPr>
        <w:ind w:left="1440" w:right="1440"/>
        <w:contextualSpacing/>
      </w:pPr>
      <w:r w:rsidRPr="006B4473">
        <w:t>* * *</w:t>
      </w:r>
    </w:p>
    <w:p w:rsidR="00AB504C" w:rsidRDefault="00AB504C" w:rsidP="00AB504C">
      <w:pPr>
        <w:spacing w:line="240" w:lineRule="auto"/>
        <w:ind w:left="1440" w:right="1440"/>
        <w:contextualSpacing/>
        <w:jc w:val="left"/>
      </w:pPr>
      <w:proofErr w:type="gramStart"/>
      <w:r w:rsidRPr="006B4473">
        <w:t>52 Pa. Code § 5.101(a).</w:t>
      </w:r>
      <w:proofErr w:type="gramEnd"/>
      <w:r w:rsidRPr="006B4473">
        <w:t xml:space="preserve">  </w:t>
      </w:r>
    </w:p>
    <w:p w:rsidR="00C3203E" w:rsidRPr="006B4473" w:rsidRDefault="00C3203E" w:rsidP="00F33385">
      <w:pPr>
        <w:ind w:left="1440" w:right="1440"/>
        <w:contextualSpacing/>
        <w:jc w:val="left"/>
      </w:pPr>
    </w:p>
    <w:p w:rsidR="00AB504C" w:rsidRDefault="00AB504C" w:rsidP="00AB504C">
      <w:pPr>
        <w:jc w:val="left"/>
      </w:pPr>
      <w:r w:rsidRPr="006B4473">
        <w:tab/>
      </w:r>
      <w:r w:rsidRPr="006B4473">
        <w:tab/>
        <w:t xml:space="preserve"> In reviewing preliminary objections, only the facts in the </w:t>
      </w:r>
      <w:r>
        <w:t>pleadings filed by the non</w:t>
      </w:r>
      <w:r w:rsidR="00BD7E35">
        <w:t>-</w:t>
      </w:r>
      <w:r>
        <w:t xml:space="preserve">moving party </w:t>
      </w:r>
      <w:r w:rsidR="000855D5">
        <w:t>may</w:t>
      </w:r>
      <w:r w:rsidRPr="006B4473">
        <w:t xml:space="preserve"> be presumed to be true in order to determine whether recovery is possible. </w:t>
      </w:r>
      <w:r>
        <w:rPr>
          <w:i/>
        </w:rPr>
        <w:t xml:space="preserve">Pennsylvania State Lodge, Fraternal Order of Police v. Dept. of Conservation &amp; Natural Resources, </w:t>
      </w:r>
      <w:r>
        <w:t>909 A</w:t>
      </w:r>
      <w:r w:rsidR="00AF69D8">
        <w:t>.</w:t>
      </w:r>
      <w:r>
        <w:t xml:space="preserve">2d 413 (Pa.Cmwlth. 2006) aff'd, 492 Pa. 304, 924 A.2d 1203 (2007).  </w:t>
      </w:r>
    </w:p>
    <w:p w:rsidR="00AB504C" w:rsidRPr="00DA593C" w:rsidRDefault="00AB504C" w:rsidP="00AB504C">
      <w:pPr>
        <w:jc w:val="left"/>
      </w:pPr>
      <w:r>
        <w:t xml:space="preserve">The reviewing authority will accept as true the well-pled averments set forth in the complaint,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w:t>
      </w:r>
      <w:r>
        <w:lastRenderedPageBreak/>
        <w:t xml:space="preserve">must appear with certainty that the law will not permit recovery, and, where any doubt exists as to whether the preliminary objections should be sustained, the doubt must be resolved in favor of overruling the preliminary objections.  </w:t>
      </w:r>
      <w:proofErr w:type="spellStart"/>
      <w:proofErr w:type="gramStart"/>
      <w:r>
        <w:rPr>
          <w:i/>
        </w:rPr>
        <w:t>Corman</w:t>
      </w:r>
      <w:proofErr w:type="spellEnd"/>
      <w:r>
        <w:rPr>
          <w:i/>
        </w:rPr>
        <w:t>, et al. v.</w:t>
      </w:r>
      <w:proofErr w:type="gramEnd"/>
      <w:r>
        <w:rPr>
          <w:i/>
        </w:rPr>
        <w:t xml:space="preserve"> </w:t>
      </w:r>
      <w:proofErr w:type="gramStart"/>
      <w:r>
        <w:rPr>
          <w:i/>
        </w:rPr>
        <w:t>The National Collegiate Athletic Association</w:t>
      </w:r>
      <w:r>
        <w:t>, 74 A.2d 1149 (Pa.Cmwlth. 2013), 2013 Pa. Commw.</w:t>
      </w:r>
      <w:proofErr w:type="gramEnd"/>
      <w:r>
        <w:t xml:space="preserve"> </w:t>
      </w:r>
      <w:proofErr w:type="gramStart"/>
      <w:r>
        <w:t>LEXIS 353.</w:t>
      </w:r>
      <w:proofErr w:type="gramEnd"/>
    </w:p>
    <w:p w:rsidR="00AB504C" w:rsidRDefault="00AB504C" w:rsidP="00AB504C">
      <w:pPr>
        <w:jc w:val="left"/>
      </w:pPr>
    </w:p>
    <w:p w:rsidR="00AB504C" w:rsidRDefault="00DD519C" w:rsidP="00AB504C">
      <w:pPr>
        <w:jc w:val="left"/>
      </w:pPr>
      <w:r>
        <w:tab/>
      </w:r>
      <w:r>
        <w:tab/>
      </w:r>
      <w:r w:rsidR="00AB504C" w:rsidRPr="006B4473">
        <w:t xml:space="preserve"> In order for </w:t>
      </w:r>
      <w:r w:rsidR="000855D5">
        <w:t xml:space="preserve">the </w:t>
      </w:r>
      <w:r w:rsidR="00AB504C" w:rsidRPr="006B4473">
        <w:t xml:space="preserve">Complainant to prevail, there must be a statute, regulation or order which the Commission is authorized to enforce.  The </w:t>
      </w:r>
      <w:r w:rsidR="00D64447">
        <w:t>c</w:t>
      </w:r>
      <w:r w:rsidR="00AB504C" w:rsidRPr="006B4473">
        <w:t>omplaint must set forth a</w:t>
      </w:r>
      <w:r w:rsidR="00D64447">
        <w:t xml:space="preserve"> </w:t>
      </w:r>
      <w:r w:rsidR="00AB504C" w:rsidRPr="006B4473">
        <w:t xml:space="preserve">thing done or omitted to be done by </w:t>
      </w:r>
      <w:r w:rsidR="00D64447">
        <w:t>P</w:t>
      </w:r>
      <w:r w:rsidR="000855D5">
        <w:t>GW</w:t>
      </w:r>
      <w:r w:rsidR="00D64447">
        <w:t xml:space="preserve"> </w:t>
      </w:r>
      <w:r w:rsidR="00AB504C" w:rsidRPr="006B4473">
        <w:t xml:space="preserve">in violation of a law which the Commission has jurisdiction to administer.  </w:t>
      </w:r>
      <w:proofErr w:type="gramStart"/>
      <w:r w:rsidR="00AB504C" w:rsidRPr="006B4473">
        <w:t xml:space="preserve">66 </w:t>
      </w:r>
      <w:proofErr w:type="spellStart"/>
      <w:r w:rsidR="00AB504C" w:rsidRPr="006B4473">
        <w:t>Pa.C.S</w:t>
      </w:r>
      <w:proofErr w:type="spellEnd"/>
      <w:r w:rsidR="00AB504C" w:rsidRPr="006B4473">
        <w:t>.</w:t>
      </w:r>
      <w:proofErr w:type="gramEnd"/>
      <w:r w:rsidR="00AB504C" w:rsidRPr="006B4473">
        <w:t xml:space="preserve"> § 701; 52 </w:t>
      </w:r>
      <w:proofErr w:type="spellStart"/>
      <w:r w:rsidR="00AB504C" w:rsidRPr="006B4473">
        <w:t>Pa.Code</w:t>
      </w:r>
      <w:proofErr w:type="spellEnd"/>
      <w:r w:rsidR="00AB504C" w:rsidRPr="006B4473">
        <w:t xml:space="preserve"> § 5.21(a).  </w:t>
      </w:r>
    </w:p>
    <w:p w:rsidR="00DD519C" w:rsidRDefault="00DD519C" w:rsidP="00AB504C">
      <w:pPr>
        <w:jc w:val="left"/>
      </w:pPr>
    </w:p>
    <w:p w:rsidR="00D64447" w:rsidRDefault="00DD519C" w:rsidP="00AB504C">
      <w:pPr>
        <w:jc w:val="left"/>
      </w:pPr>
      <w:r>
        <w:tab/>
      </w:r>
      <w:r>
        <w:tab/>
      </w:r>
      <w:r w:rsidR="000855D5">
        <w:t xml:space="preserve">Here, the </w:t>
      </w:r>
      <w:r w:rsidR="001D3FB1" w:rsidRPr="00B947DF">
        <w:t>Complainant</w:t>
      </w:r>
      <w:r w:rsidR="000855D5">
        <w:t xml:space="preserve"> </w:t>
      </w:r>
      <w:r w:rsidR="001D3FB1">
        <w:t>allege</w:t>
      </w:r>
      <w:r w:rsidR="000855D5">
        <w:t>s</w:t>
      </w:r>
      <w:r w:rsidR="001D3FB1">
        <w:t xml:space="preserve"> that</w:t>
      </w:r>
      <w:r w:rsidR="000855D5">
        <w:t xml:space="preserve"> PGW caused a leak in a water line when it repaired a gas main in front of his house.  Mr. Santana </w:t>
      </w:r>
      <w:r w:rsidR="001E24E6">
        <w:t>seek</w:t>
      </w:r>
      <w:r w:rsidR="000855D5">
        <w:t>s</w:t>
      </w:r>
      <w:r w:rsidR="001E24E6">
        <w:t xml:space="preserve"> to have </w:t>
      </w:r>
      <w:r w:rsidR="000855D5">
        <w:t xml:space="preserve">PGW repair the damage it caused to both his water line and </w:t>
      </w:r>
      <w:r w:rsidR="004C0CCE">
        <w:t xml:space="preserve">the </w:t>
      </w:r>
      <w:r w:rsidR="001E24E6">
        <w:t xml:space="preserve">sidewalk. </w:t>
      </w:r>
      <w:r w:rsidR="00B947DF">
        <w:t xml:space="preserve"> </w:t>
      </w:r>
    </w:p>
    <w:p w:rsidR="00BD7E35" w:rsidRDefault="00BD7E35" w:rsidP="00AB504C">
      <w:pPr>
        <w:jc w:val="left"/>
      </w:pPr>
    </w:p>
    <w:p w:rsidR="00C43F08" w:rsidRDefault="00D64447" w:rsidP="00AB504C">
      <w:pPr>
        <w:jc w:val="left"/>
      </w:pPr>
      <w:r>
        <w:tab/>
      </w:r>
      <w:r>
        <w:tab/>
      </w:r>
      <w:r w:rsidR="00B947DF">
        <w:t xml:space="preserve"> </w:t>
      </w:r>
      <w:r w:rsidR="000855D5">
        <w:t xml:space="preserve">In its </w:t>
      </w:r>
      <w:r>
        <w:t>preliminary objections</w:t>
      </w:r>
      <w:r w:rsidR="000855D5">
        <w:t>, PGW</w:t>
      </w:r>
      <w:r>
        <w:t xml:space="preserve"> argue</w:t>
      </w:r>
      <w:r w:rsidR="000855D5">
        <w:t>s</w:t>
      </w:r>
      <w:r>
        <w:t xml:space="preserve"> that the Complainant </w:t>
      </w:r>
      <w:r w:rsidR="000855D5">
        <w:t>is</w:t>
      </w:r>
      <w:r>
        <w:t xml:space="preserve"> seeking, by way of relief, compensation for alleged property damage, which is a remedy the Commission does not have the power to award.  Accordingly, P</w:t>
      </w:r>
      <w:r w:rsidR="000855D5">
        <w:t>GW</w:t>
      </w:r>
      <w:r>
        <w:t xml:space="preserve"> seeks to have the request for compensation stricken as impertinent matter, pursuant to 52 </w:t>
      </w:r>
      <w:proofErr w:type="spellStart"/>
      <w:r>
        <w:t>Pa.Code</w:t>
      </w:r>
      <w:proofErr w:type="spellEnd"/>
      <w:r>
        <w:t xml:space="preserve"> §5.101(a</w:t>
      </w:r>
      <w:proofErr w:type="gramStart"/>
      <w:r>
        <w:t>)(</w:t>
      </w:r>
      <w:proofErr w:type="gramEnd"/>
      <w:r>
        <w:t>2).</w:t>
      </w:r>
    </w:p>
    <w:p w:rsidR="001E24E6" w:rsidRDefault="001E24E6" w:rsidP="00AB504C">
      <w:pPr>
        <w:jc w:val="left"/>
      </w:pPr>
    </w:p>
    <w:p w:rsidR="00C3203E" w:rsidRDefault="00C43F08" w:rsidP="00C43F08">
      <w:pPr>
        <w:contextualSpacing/>
        <w:jc w:val="left"/>
      </w:pPr>
      <w:r>
        <w:tab/>
      </w:r>
      <w:r>
        <w:tab/>
        <w:t xml:space="preserve">The Commission must act within and cannot exceed its jurisdiction.  </w:t>
      </w:r>
      <w:proofErr w:type="gramStart"/>
      <w:r>
        <w:rPr>
          <w:i/>
        </w:rPr>
        <w:t>Feingold v. Bell of PA,</w:t>
      </w:r>
      <w:r>
        <w:t xml:space="preserve"> 383 A.2d 791 (Pa. 1977); </w:t>
      </w:r>
      <w:r>
        <w:rPr>
          <w:i/>
        </w:rPr>
        <w:t xml:space="preserve">Loma, Inc. v. Pa. Publ. Util. Comm’n, </w:t>
      </w:r>
      <w:r>
        <w:t>682 A.2d 425 (Pa. Cmwlth. 1996).</w:t>
      </w:r>
      <w:proofErr w:type="gramEnd"/>
      <w:r>
        <w:t xml:space="preserve">  </w:t>
      </w:r>
      <w:proofErr w:type="gramStart"/>
      <w:r>
        <w:t>One measure of relief that the Commission is not authorized to grant is monetary damages.</w:t>
      </w:r>
      <w:proofErr w:type="gramEnd"/>
      <w:r>
        <w:t xml:space="preserve">  </w:t>
      </w:r>
      <w:proofErr w:type="gramStart"/>
      <w:r>
        <w:rPr>
          <w:i/>
        </w:rPr>
        <w:t>Elkin v. Bell,</w:t>
      </w:r>
      <w:r>
        <w:t xml:space="preserve"> 491 Pa. 123, 420 A.2d 371 (1980); </w:t>
      </w:r>
      <w:r>
        <w:rPr>
          <w:i/>
        </w:rPr>
        <w:t>Feingold v. Bell of PA,</w:t>
      </w:r>
      <w:r>
        <w:t xml:space="preserve"> 383 A.2d 791 (Pa. 1977); </w:t>
      </w:r>
      <w:r>
        <w:rPr>
          <w:i/>
        </w:rPr>
        <w:t xml:space="preserve">Loma, Inc. v. Pa. Publ. Util. Comm’n, </w:t>
      </w:r>
      <w:r>
        <w:t>682 A.2d 425 (Pa.Cmwlth. 1996).</w:t>
      </w:r>
      <w:proofErr w:type="gramEnd"/>
      <w:r>
        <w:t xml:space="preserve"> </w:t>
      </w:r>
    </w:p>
    <w:p w:rsidR="00C3203E" w:rsidRDefault="00C3203E" w:rsidP="00C43F08">
      <w:pPr>
        <w:contextualSpacing/>
        <w:jc w:val="left"/>
      </w:pPr>
    </w:p>
    <w:p w:rsidR="00C3203E" w:rsidRDefault="00C3203E" w:rsidP="00C3203E">
      <w:pPr>
        <w:autoSpaceDE w:val="0"/>
        <w:autoSpaceDN w:val="0"/>
        <w:jc w:val="left"/>
      </w:pPr>
      <w:r>
        <w:tab/>
      </w:r>
      <w:r>
        <w:tab/>
        <w:t>P</w:t>
      </w:r>
      <w:r w:rsidR="000855D5">
        <w:t>GW</w:t>
      </w:r>
      <w:r>
        <w:t xml:space="preserve"> is correct that the Commission </w:t>
      </w:r>
      <w:r w:rsidR="00D64447">
        <w:t>may</w:t>
      </w:r>
      <w:r>
        <w:t xml:space="preserve"> not award monetary compensation even if </w:t>
      </w:r>
      <w:r w:rsidR="000855D5">
        <w:t xml:space="preserve">the </w:t>
      </w:r>
      <w:r>
        <w:t>Complainant can ultimately prove that P</w:t>
      </w:r>
      <w:r w:rsidR="000855D5">
        <w:t>GW</w:t>
      </w:r>
      <w:r>
        <w:t xml:space="preserve"> rendered inadequate service in its</w:t>
      </w:r>
      <w:r w:rsidR="000855D5">
        <w:t xml:space="preserve"> repair of the gas main.  </w:t>
      </w:r>
      <w:r w:rsidR="004C0CCE">
        <w:t>Therefore, t</w:t>
      </w:r>
      <w:r>
        <w:t>o the extent the Complainant</w:t>
      </w:r>
      <w:r w:rsidR="00810E34">
        <w:t xml:space="preserve"> i</w:t>
      </w:r>
      <w:r>
        <w:t xml:space="preserve">s seeking to be compensated for alleged </w:t>
      </w:r>
      <w:r w:rsidR="00810E34">
        <w:t xml:space="preserve">property </w:t>
      </w:r>
      <w:r>
        <w:t>damage</w:t>
      </w:r>
      <w:r w:rsidR="00810E34">
        <w:t>,</w:t>
      </w:r>
      <w:r>
        <w:t xml:space="preserve"> the preliminary objections will be </w:t>
      </w:r>
      <w:r w:rsidR="00D64447">
        <w:t xml:space="preserve">sustained </w:t>
      </w:r>
      <w:r>
        <w:t xml:space="preserve">insofar as they seek a holding that no monetary compensation </w:t>
      </w:r>
      <w:r w:rsidR="00D64447">
        <w:t>may</w:t>
      </w:r>
      <w:r>
        <w:t xml:space="preserve"> be awarded.   </w:t>
      </w:r>
      <w:r w:rsidRPr="0067557F">
        <w:rPr>
          <w:rFonts w:eastAsia="Times New Roman"/>
        </w:rPr>
        <w:t>Requests for compensatory damage</w:t>
      </w:r>
      <w:r w:rsidR="00D64447">
        <w:rPr>
          <w:rFonts w:eastAsia="Times New Roman"/>
        </w:rPr>
        <w:t>s</w:t>
      </w:r>
      <w:r w:rsidRPr="0067557F">
        <w:rPr>
          <w:rFonts w:eastAsia="Times New Roman"/>
        </w:rPr>
        <w:t xml:space="preserve"> should be made before a court of common pleas or a district magistrate. </w:t>
      </w:r>
      <w:r>
        <w:t xml:space="preserve"> </w:t>
      </w:r>
    </w:p>
    <w:p w:rsidR="00C3203E" w:rsidRDefault="00C3203E" w:rsidP="00C3203E">
      <w:pPr>
        <w:autoSpaceDE w:val="0"/>
        <w:autoSpaceDN w:val="0"/>
        <w:jc w:val="left"/>
        <w:rPr>
          <w:rFonts w:eastAsia="Times New Roman"/>
        </w:rPr>
      </w:pPr>
    </w:p>
    <w:p w:rsidR="00C3203E" w:rsidRPr="0067557F" w:rsidRDefault="00C3203E" w:rsidP="00C3203E">
      <w:pPr>
        <w:autoSpaceDE w:val="0"/>
        <w:autoSpaceDN w:val="0"/>
        <w:jc w:val="left"/>
        <w:rPr>
          <w:rFonts w:eastAsia="Times New Roman"/>
          <w:u w:val="single"/>
        </w:rPr>
      </w:pPr>
      <w:r w:rsidRPr="0067557F">
        <w:rPr>
          <w:rFonts w:eastAsia="Times New Roman"/>
        </w:rPr>
        <w:tab/>
      </w:r>
      <w:r w:rsidRPr="0067557F">
        <w:rPr>
          <w:rFonts w:eastAsia="Times New Roman"/>
        </w:rPr>
        <w:tab/>
        <w:t xml:space="preserve">However, </w:t>
      </w:r>
      <w:r w:rsidR="00810E34">
        <w:rPr>
          <w:rFonts w:eastAsia="Times New Roman"/>
        </w:rPr>
        <w:t>the</w:t>
      </w:r>
      <w:r>
        <w:rPr>
          <w:rFonts w:eastAsia="Times New Roman"/>
        </w:rPr>
        <w:t xml:space="preserve"> Complainant </w:t>
      </w:r>
      <w:r w:rsidRPr="0067557F">
        <w:rPr>
          <w:rFonts w:eastAsia="Times New Roman"/>
        </w:rPr>
        <w:t>allege</w:t>
      </w:r>
      <w:r w:rsidR="00810E34">
        <w:rPr>
          <w:rFonts w:eastAsia="Times New Roman"/>
        </w:rPr>
        <w:t>s</w:t>
      </w:r>
      <w:r w:rsidRPr="0067557F">
        <w:rPr>
          <w:rFonts w:eastAsia="Times New Roman"/>
        </w:rPr>
        <w:t xml:space="preserve"> that P</w:t>
      </w:r>
      <w:r w:rsidR="00810E34">
        <w:rPr>
          <w:rFonts w:eastAsia="Times New Roman"/>
        </w:rPr>
        <w:t xml:space="preserve">GW caused </w:t>
      </w:r>
      <w:r w:rsidRPr="0067557F">
        <w:rPr>
          <w:rFonts w:eastAsia="Times New Roman"/>
        </w:rPr>
        <w:t>damage</w:t>
      </w:r>
      <w:r w:rsidR="00810E34">
        <w:rPr>
          <w:rFonts w:eastAsia="Times New Roman"/>
        </w:rPr>
        <w:t xml:space="preserve"> to his </w:t>
      </w:r>
      <w:r w:rsidRPr="0067557F">
        <w:rPr>
          <w:rFonts w:eastAsia="Times New Roman"/>
        </w:rPr>
        <w:t>property</w:t>
      </w:r>
      <w:r w:rsidR="004C0CCE">
        <w:rPr>
          <w:rFonts w:eastAsia="Times New Roman"/>
        </w:rPr>
        <w:t xml:space="preserve"> when it repaired a leak in a gas main</w:t>
      </w:r>
      <w:r w:rsidRPr="0067557F">
        <w:rPr>
          <w:rFonts w:eastAsia="Times New Roman"/>
        </w:rPr>
        <w:t xml:space="preserve">. </w:t>
      </w:r>
      <w:r w:rsidR="004C0CCE">
        <w:rPr>
          <w:rFonts w:eastAsia="Times New Roman"/>
        </w:rPr>
        <w:t xml:space="preserve"> </w:t>
      </w:r>
      <w:r w:rsidRPr="0067557F">
        <w:rPr>
          <w:rFonts w:eastAsia="Times New Roman"/>
        </w:rPr>
        <w:t>Therefore</w:t>
      </w:r>
      <w:r w:rsidR="00810E34">
        <w:rPr>
          <w:rFonts w:eastAsia="Times New Roman"/>
        </w:rPr>
        <w:t xml:space="preserve">, he has </w:t>
      </w:r>
      <w:r w:rsidRPr="0067557F">
        <w:rPr>
          <w:rFonts w:eastAsia="Times New Roman"/>
        </w:rPr>
        <w:t>alleged unreasonable service on the part of P</w:t>
      </w:r>
      <w:r w:rsidR="00810E34">
        <w:rPr>
          <w:rFonts w:eastAsia="Times New Roman"/>
        </w:rPr>
        <w:t>GW</w:t>
      </w:r>
      <w:r w:rsidRPr="0067557F">
        <w:rPr>
          <w:rFonts w:eastAsia="Times New Roman"/>
        </w:rPr>
        <w:t xml:space="preserve">.  </w:t>
      </w:r>
    </w:p>
    <w:p w:rsidR="00C3203E" w:rsidRPr="0067557F" w:rsidRDefault="00C3203E" w:rsidP="00C3203E">
      <w:pPr>
        <w:autoSpaceDE w:val="0"/>
        <w:autoSpaceDN w:val="0"/>
        <w:jc w:val="left"/>
        <w:rPr>
          <w:rFonts w:ascii="CG Times (W1)" w:eastAsia="Times New Roman" w:hAnsi="CG Times (W1)" w:cs="CG Times (W1)"/>
        </w:rPr>
      </w:pPr>
    </w:p>
    <w:p w:rsidR="00C3203E" w:rsidRPr="0067557F" w:rsidRDefault="00C3203E" w:rsidP="00C3203E">
      <w:pPr>
        <w:autoSpaceDE w:val="0"/>
        <w:autoSpaceDN w:val="0"/>
        <w:jc w:val="left"/>
        <w:rPr>
          <w:rFonts w:ascii="CG Times (W1)" w:eastAsia="Times New Roman" w:hAnsi="CG Times (W1)" w:cs="CG Times (W1)"/>
        </w:rPr>
      </w:pPr>
      <w:r w:rsidRPr="0067557F">
        <w:rPr>
          <w:rFonts w:ascii="CG Times (W1)" w:eastAsia="Times New Roman" w:hAnsi="CG Times (W1)" w:cs="CG Times (W1)"/>
        </w:rPr>
        <w:tab/>
      </w:r>
      <w:r w:rsidRPr="0067557F">
        <w:rPr>
          <w:rFonts w:ascii="CG Times (W1)" w:eastAsia="Times New Roman" w:hAnsi="CG Times (W1)" w:cs="CG Times (W1)"/>
        </w:rPr>
        <w:tab/>
        <w:t xml:space="preserve">Section 1501 of the Public Utility Code (Code), 66 Pa. C.S. §1501, mandates that </w:t>
      </w:r>
    </w:p>
    <w:p w:rsidR="00D64447" w:rsidRDefault="00C3203E" w:rsidP="00C3203E">
      <w:pPr>
        <w:autoSpaceDE w:val="0"/>
        <w:autoSpaceDN w:val="0"/>
        <w:jc w:val="left"/>
        <w:rPr>
          <w:rFonts w:ascii="CG Times (W1)" w:eastAsia="Times New Roman" w:hAnsi="CG Times (W1)" w:cs="CG Times (W1)"/>
        </w:rPr>
      </w:pPr>
      <w:proofErr w:type="gramStart"/>
      <w:r w:rsidRPr="0067557F">
        <w:rPr>
          <w:rFonts w:ascii="CG Times (W1)" w:eastAsia="Times New Roman" w:hAnsi="CG Times (W1)" w:cs="CG Times (W1)"/>
        </w:rPr>
        <w:t>a</w:t>
      </w:r>
      <w:proofErr w:type="gramEnd"/>
      <w:r w:rsidRPr="0067557F">
        <w:rPr>
          <w:rFonts w:ascii="CG Times (W1)" w:eastAsia="Times New Roman" w:hAnsi="CG Times (W1)" w:cs="CG Times (W1)"/>
        </w:rPr>
        <w:t xml:space="preserve">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w:t>
      </w:r>
      <w:proofErr w:type="gramStart"/>
      <w:r w:rsidRPr="0067557F">
        <w:rPr>
          <w:rFonts w:ascii="CG Times (W1)" w:eastAsia="Times New Roman" w:hAnsi="CG Times (W1)" w:cs="CG Times (W1)"/>
        </w:rPr>
        <w:t>66 </w:t>
      </w:r>
      <w:proofErr w:type="spellStart"/>
      <w:r w:rsidRPr="0067557F">
        <w:rPr>
          <w:rFonts w:ascii="CG Times (W1)" w:eastAsia="Times New Roman" w:hAnsi="CG Times (W1)" w:cs="CG Times (W1)"/>
        </w:rPr>
        <w:t>Pa.C.S</w:t>
      </w:r>
      <w:proofErr w:type="spellEnd"/>
      <w:r w:rsidRPr="0067557F">
        <w:rPr>
          <w:rFonts w:ascii="CG Times (W1)" w:eastAsia="Times New Roman" w:hAnsi="CG Times (W1)" w:cs="CG Times (W1)"/>
        </w:rPr>
        <w:t>.</w:t>
      </w:r>
      <w:proofErr w:type="gramEnd"/>
      <w:r w:rsidRPr="0067557F">
        <w:rPr>
          <w:rFonts w:ascii="CG Times (W1)" w:eastAsia="Times New Roman" w:hAnsi="CG Times (W1)" w:cs="CG Times (W1)"/>
        </w:rPr>
        <w:t xml:space="preserve"> §1505.  </w:t>
      </w:r>
    </w:p>
    <w:p w:rsidR="00D64447" w:rsidRDefault="00D64447" w:rsidP="00C3203E">
      <w:pPr>
        <w:autoSpaceDE w:val="0"/>
        <w:autoSpaceDN w:val="0"/>
        <w:jc w:val="left"/>
        <w:rPr>
          <w:rFonts w:ascii="CG Times (W1)" w:eastAsia="Times New Roman" w:hAnsi="CG Times (W1)" w:cs="CG Times (W1)"/>
        </w:rPr>
      </w:pPr>
    </w:p>
    <w:p w:rsidR="00C3203E" w:rsidRPr="0067557F" w:rsidRDefault="00C3203E" w:rsidP="00D64447">
      <w:pPr>
        <w:autoSpaceDE w:val="0"/>
        <w:autoSpaceDN w:val="0"/>
        <w:ind w:left="720" w:firstLine="720"/>
        <w:jc w:val="left"/>
        <w:rPr>
          <w:rFonts w:ascii="CG Times (W1)" w:eastAsia="Times New Roman" w:hAnsi="CG Times (W1)" w:cs="CG Times (W1)"/>
        </w:rPr>
      </w:pPr>
      <w:r w:rsidRPr="0067557F">
        <w:rPr>
          <w:rFonts w:ascii="CG Times (W1)" w:eastAsia="Times New Roman" w:hAnsi="CG Times (W1)" w:cs="CG Times (W1)"/>
        </w:rPr>
        <w:t xml:space="preserve">Section 102 of the Code, </w:t>
      </w:r>
      <w:proofErr w:type="gramStart"/>
      <w:r w:rsidRPr="0067557F">
        <w:rPr>
          <w:rFonts w:ascii="CG Times (W1)" w:eastAsia="Times New Roman" w:hAnsi="CG Times (W1)" w:cs="CG Times (W1)"/>
        </w:rPr>
        <w:t xml:space="preserve">66 </w:t>
      </w:r>
      <w:proofErr w:type="spellStart"/>
      <w:r w:rsidRPr="0067557F">
        <w:rPr>
          <w:rFonts w:ascii="CG Times (W1)" w:eastAsia="Times New Roman" w:hAnsi="CG Times (W1)" w:cs="CG Times (W1)"/>
        </w:rPr>
        <w:t>Pa.C.S</w:t>
      </w:r>
      <w:proofErr w:type="spellEnd"/>
      <w:proofErr w:type="gramEnd"/>
      <w:r w:rsidRPr="0067557F">
        <w:rPr>
          <w:rFonts w:ascii="CG Times (W1)" w:eastAsia="Times New Roman" w:hAnsi="CG Times (W1)" w:cs="CG Times (W1)"/>
        </w:rPr>
        <w:t>. §102, defines “service” as:</w:t>
      </w:r>
    </w:p>
    <w:p w:rsidR="00C3203E" w:rsidRDefault="00C3203E" w:rsidP="00C3203E">
      <w:pPr>
        <w:autoSpaceDE w:val="0"/>
        <w:autoSpaceDN w:val="0"/>
        <w:spacing w:line="240" w:lineRule="auto"/>
        <w:ind w:left="1440" w:right="1440"/>
        <w:jc w:val="left"/>
        <w:rPr>
          <w:rFonts w:ascii="CG Times (W1)" w:eastAsia="Times New Roman" w:hAnsi="CG Times (W1)" w:cs="CG Times (W1)"/>
        </w:rPr>
      </w:pPr>
    </w:p>
    <w:p w:rsidR="00C3203E" w:rsidRPr="0067557F" w:rsidRDefault="00C3203E" w:rsidP="00C3203E">
      <w:pPr>
        <w:autoSpaceDE w:val="0"/>
        <w:autoSpaceDN w:val="0"/>
        <w:spacing w:line="240" w:lineRule="auto"/>
        <w:ind w:left="1440" w:right="1440"/>
        <w:jc w:val="left"/>
        <w:rPr>
          <w:rFonts w:ascii="CG Times (W1)" w:eastAsia="Times New Roman" w:hAnsi="CG Times (W1)" w:cs="CG Times (W1)"/>
          <w:i/>
        </w:rPr>
      </w:pPr>
      <w:r w:rsidRPr="0067557F">
        <w:rPr>
          <w:rFonts w:ascii="CG Times (W1)" w:eastAsia="Times New Roman" w:hAnsi="CG Times (W1)" w:cs="CG Times (W1)"/>
        </w:rPr>
        <w:t xml:space="preserve">Used in its broadest and most inclusive sense, includes </w:t>
      </w:r>
      <w:r w:rsidRPr="0067557F">
        <w:rPr>
          <w:rFonts w:ascii="CG Times (W1)" w:eastAsia="Times New Roman" w:hAnsi="CG Times (W1)" w:cs="CG Times (W1)"/>
          <w:i/>
        </w:rPr>
        <w:t>any and all</w:t>
      </w:r>
    </w:p>
    <w:p w:rsidR="00C3203E" w:rsidRDefault="00C3203E" w:rsidP="00C3203E">
      <w:pPr>
        <w:autoSpaceDE w:val="0"/>
        <w:autoSpaceDN w:val="0"/>
        <w:spacing w:line="240" w:lineRule="auto"/>
        <w:ind w:left="1440" w:right="1440"/>
        <w:jc w:val="left"/>
        <w:rPr>
          <w:rFonts w:ascii="CG Times (W1)" w:eastAsia="Times New Roman" w:hAnsi="CG Times (W1)" w:cs="CG Times (W1)"/>
        </w:rPr>
      </w:pPr>
      <w:r w:rsidRPr="0067557F">
        <w:rPr>
          <w:rFonts w:ascii="CG Times (W1)" w:eastAsia="Times New Roman" w:hAnsi="CG Times (W1)" w:cs="CG Times (W1)"/>
          <w:i/>
        </w:rPr>
        <w:t xml:space="preserve"> </w:t>
      </w:r>
      <w:proofErr w:type="gramStart"/>
      <w:r w:rsidRPr="0067557F">
        <w:rPr>
          <w:rFonts w:ascii="CG Times (W1)" w:eastAsia="Times New Roman" w:hAnsi="CG Times (W1)" w:cs="CG Times (W1)"/>
          <w:i/>
        </w:rPr>
        <w:t>acts</w:t>
      </w:r>
      <w:proofErr w:type="gramEnd"/>
      <w:r w:rsidRPr="0067557F">
        <w:rPr>
          <w:rFonts w:ascii="CG Times (W1)" w:eastAsia="Times New Roman" w:hAnsi="CG Times (W1)" w:cs="CG Times (W1)"/>
          <w:i/>
        </w:rPr>
        <w:t xml:space="preserve"> done, rendered, or performed</w:t>
      </w:r>
      <w:r w:rsidRPr="0067557F">
        <w:rPr>
          <w:rFonts w:ascii="CG Times (W1)" w:eastAsia="Times New Roman" w:hAnsi="CG Times (W1)" w:cs="CG Times (W1)"/>
        </w:rPr>
        <w:t>, and any and all things furnished or supplied, and any and all facilities used, furnished, or supplied by public utilities . . . .</w:t>
      </w:r>
    </w:p>
    <w:p w:rsidR="00810E34" w:rsidRDefault="00810E34" w:rsidP="00C3203E">
      <w:pPr>
        <w:autoSpaceDE w:val="0"/>
        <w:autoSpaceDN w:val="0"/>
        <w:spacing w:line="240" w:lineRule="auto"/>
        <w:ind w:left="1440" w:right="1440"/>
        <w:jc w:val="left"/>
        <w:rPr>
          <w:rFonts w:ascii="CG Times (W1)" w:eastAsia="Times New Roman" w:hAnsi="CG Times (W1)" w:cs="CG Times (W1)"/>
        </w:rPr>
      </w:pPr>
    </w:p>
    <w:p w:rsidR="00810E34" w:rsidRPr="0067557F" w:rsidRDefault="00810E34" w:rsidP="00C3203E">
      <w:pPr>
        <w:autoSpaceDE w:val="0"/>
        <w:autoSpaceDN w:val="0"/>
        <w:spacing w:line="240" w:lineRule="auto"/>
        <w:ind w:left="1440" w:right="1440"/>
        <w:jc w:val="left"/>
        <w:rPr>
          <w:rFonts w:ascii="CG Times (W1)" w:eastAsia="Times New Roman" w:hAnsi="CG Times (W1)" w:cs="CG Times (W1)"/>
        </w:rPr>
      </w:pPr>
    </w:p>
    <w:p w:rsidR="00C3203E" w:rsidRPr="0067557F" w:rsidRDefault="00C3203E" w:rsidP="00C3203E">
      <w:pPr>
        <w:autoSpaceDE w:val="0"/>
        <w:autoSpaceDN w:val="0"/>
        <w:jc w:val="left"/>
        <w:rPr>
          <w:rFonts w:ascii="CG Times (W1)" w:eastAsia="Times New Roman" w:hAnsi="CG Times (W1)" w:cs="CG Times (W1)"/>
        </w:rPr>
      </w:pPr>
      <w:r w:rsidRPr="0067557F">
        <w:rPr>
          <w:rFonts w:ascii="CG Times (W1)" w:eastAsia="Times New Roman" w:hAnsi="CG Times (W1)" w:cs="CG Times (W1)"/>
        </w:rPr>
        <w:t>(Emphasis added).  A utility’s “service” is not merely confined to the distribution of</w:t>
      </w:r>
      <w:r w:rsidR="00810E34">
        <w:rPr>
          <w:rFonts w:ascii="CG Times (W1)" w:eastAsia="Times New Roman" w:hAnsi="CG Times (W1)" w:cs="CG Times (W1)"/>
        </w:rPr>
        <w:t xml:space="preserve"> actual</w:t>
      </w:r>
      <w:r w:rsidRPr="0067557F">
        <w:rPr>
          <w:rFonts w:ascii="CG Times (W1)" w:eastAsia="Times New Roman" w:hAnsi="CG Times (W1)" w:cs="CG Times (W1)"/>
        </w:rPr>
        <w:t xml:space="preserve"> utility</w:t>
      </w:r>
    </w:p>
    <w:p w:rsidR="00C3203E" w:rsidRPr="0067557F" w:rsidRDefault="00C3203E" w:rsidP="00C3203E">
      <w:pPr>
        <w:autoSpaceDE w:val="0"/>
        <w:autoSpaceDN w:val="0"/>
        <w:jc w:val="left"/>
        <w:rPr>
          <w:rFonts w:ascii="CG Times (W1)" w:eastAsia="Times New Roman" w:hAnsi="CG Times (W1)" w:cs="CG Times (W1)"/>
        </w:rPr>
      </w:pPr>
      <w:r w:rsidRPr="0067557F">
        <w:rPr>
          <w:rFonts w:ascii="CG Times (W1)" w:eastAsia="Times New Roman" w:hAnsi="CG Times (W1)" w:cs="CG Times (W1)"/>
        </w:rPr>
        <w:t xml:space="preserve"> </w:t>
      </w:r>
      <w:proofErr w:type="gramStart"/>
      <w:r w:rsidRPr="0067557F">
        <w:rPr>
          <w:rFonts w:ascii="CG Times (W1)" w:eastAsia="Times New Roman" w:hAnsi="CG Times (W1)" w:cs="CG Times (W1)"/>
        </w:rPr>
        <w:t>service</w:t>
      </w:r>
      <w:proofErr w:type="gramEnd"/>
      <w:r w:rsidRPr="0067557F">
        <w:rPr>
          <w:rFonts w:ascii="CG Times (W1)" w:eastAsia="Times New Roman" w:hAnsi="CG Times (W1)" w:cs="CG Times (W1)"/>
        </w:rPr>
        <w:t xml:space="preserve">, but also includes “any and all acts” related to that function.  </w:t>
      </w:r>
      <w:proofErr w:type="gramStart"/>
      <w:r w:rsidRPr="0067557F">
        <w:rPr>
          <w:rFonts w:ascii="CG Times (W1)" w:eastAsia="Times New Roman" w:hAnsi="CG Times (W1)" w:cs="CG Times (W1)"/>
          <w:i/>
        </w:rPr>
        <w:t xml:space="preserve">West Penn Power Co. v. Pa. </w:t>
      </w:r>
      <w:proofErr w:type="spellStart"/>
      <w:r w:rsidRPr="0067557F">
        <w:rPr>
          <w:rFonts w:ascii="CG Times (W1)" w:eastAsia="Times New Roman" w:hAnsi="CG Times (W1)" w:cs="CG Times (W1)"/>
          <w:i/>
        </w:rPr>
        <w:t>Pub.Util</w:t>
      </w:r>
      <w:proofErr w:type="spellEnd"/>
      <w:r w:rsidRPr="0067557F">
        <w:rPr>
          <w:rFonts w:ascii="CG Times (W1)" w:eastAsia="Times New Roman" w:hAnsi="CG Times (W1)" w:cs="CG Times (W1)"/>
          <w:i/>
        </w:rPr>
        <w:t>.</w:t>
      </w:r>
      <w:proofErr w:type="gramEnd"/>
      <w:r w:rsidRPr="0067557F">
        <w:rPr>
          <w:rFonts w:ascii="CG Times (W1)" w:eastAsia="Times New Roman" w:hAnsi="CG Times (W1)" w:cs="CG Times (W1)"/>
          <w:i/>
        </w:rPr>
        <w:t xml:space="preserve"> </w:t>
      </w:r>
      <w:proofErr w:type="spellStart"/>
      <w:proofErr w:type="gramStart"/>
      <w:r w:rsidRPr="0067557F">
        <w:rPr>
          <w:rFonts w:ascii="CG Times (W1)" w:eastAsia="Times New Roman" w:hAnsi="CG Times (W1)" w:cs="CG Times (W1)"/>
          <w:i/>
        </w:rPr>
        <w:t>Comm’n</w:t>
      </w:r>
      <w:proofErr w:type="spellEnd"/>
      <w:r w:rsidRPr="0067557F">
        <w:rPr>
          <w:rFonts w:ascii="CG Times (W1)" w:eastAsia="Times New Roman" w:hAnsi="CG Times (W1)" w:cs="CG Times (W1)"/>
        </w:rPr>
        <w:t>, 578 A.2d 75 (</w:t>
      </w:r>
      <w:proofErr w:type="spellStart"/>
      <w:r w:rsidRPr="0067557F">
        <w:rPr>
          <w:rFonts w:ascii="CG Times (W1)" w:eastAsia="Times New Roman" w:hAnsi="CG Times (W1)" w:cs="CG Times (W1)"/>
        </w:rPr>
        <w:t>Pa.Cmwlth</w:t>
      </w:r>
      <w:proofErr w:type="spellEnd"/>
      <w:r w:rsidRPr="0067557F">
        <w:rPr>
          <w:rFonts w:ascii="CG Times (W1)" w:eastAsia="Times New Roman" w:hAnsi="CG Times (W1)" w:cs="CG Times (W1)"/>
        </w:rPr>
        <w:t>. 1990).</w:t>
      </w:r>
      <w:proofErr w:type="gramEnd"/>
      <w:r w:rsidRPr="0067557F">
        <w:rPr>
          <w:rFonts w:ascii="CG Times (W1)" w:eastAsia="Times New Roman" w:hAnsi="CG Times (W1)" w:cs="CG Times (W1)"/>
        </w:rPr>
        <w:t xml:space="preserve">  </w:t>
      </w:r>
    </w:p>
    <w:p w:rsidR="00C3203E" w:rsidRPr="0067557F" w:rsidRDefault="00C3203E" w:rsidP="00C3203E">
      <w:pPr>
        <w:autoSpaceDE w:val="0"/>
        <w:autoSpaceDN w:val="0"/>
        <w:jc w:val="left"/>
        <w:rPr>
          <w:rFonts w:ascii="CG Times (W1)" w:eastAsia="Times New Roman" w:hAnsi="CG Times (W1)" w:cs="CG Times (W1)"/>
        </w:rPr>
      </w:pPr>
    </w:p>
    <w:p w:rsidR="00C3203E" w:rsidRPr="0067557F" w:rsidRDefault="00C3203E" w:rsidP="00C3203E">
      <w:pPr>
        <w:autoSpaceDE w:val="0"/>
        <w:autoSpaceDN w:val="0"/>
        <w:jc w:val="left"/>
        <w:rPr>
          <w:rFonts w:ascii="CG Times (W1)" w:eastAsia="Times New Roman" w:hAnsi="CG Times (W1)" w:cs="CG Times (W1)"/>
        </w:rPr>
      </w:pPr>
      <w:r w:rsidRPr="0067557F">
        <w:rPr>
          <w:rFonts w:ascii="CG Times (W1)" w:eastAsia="Times New Roman" w:hAnsi="CG Times (W1)" w:cs="CG Times (W1)"/>
        </w:rPr>
        <w:tab/>
      </w:r>
      <w:r w:rsidRPr="0067557F">
        <w:rPr>
          <w:rFonts w:ascii="CG Times (W1)" w:eastAsia="Times New Roman" w:hAnsi="CG Times (W1)" w:cs="CG Times (W1)"/>
        </w:rPr>
        <w:tab/>
        <w:t>The Pennsylvania courts have ruled as follows:</w:t>
      </w:r>
    </w:p>
    <w:p w:rsidR="00C3203E" w:rsidRPr="0067557F" w:rsidRDefault="00C3203E" w:rsidP="00C3203E">
      <w:pPr>
        <w:autoSpaceDE w:val="0"/>
        <w:autoSpaceDN w:val="0"/>
        <w:spacing w:line="240" w:lineRule="auto"/>
        <w:ind w:left="1440" w:right="1080" w:hanging="1440"/>
        <w:jc w:val="left"/>
        <w:rPr>
          <w:rFonts w:ascii="CG Times (W1)" w:eastAsia="Times New Roman" w:hAnsi="CG Times (W1)" w:cs="CG Times (W1)"/>
        </w:rPr>
      </w:pPr>
      <w:r w:rsidRPr="0067557F">
        <w:rPr>
          <w:rFonts w:ascii="CG Times (W1)" w:eastAsia="Times New Roman" w:hAnsi="CG Times (W1)" w:cs="CG Times (W1)"/>
        </w:rPr>
        <w:tab/>
      </w:r>
    </w:p>
    <w:p w:rsidR="00C3203E" w:rsidRPr="0067557F" w:rsidRDefault="00C3203E" w:rsidP="00C3203E">
      <w:pPr>
        <w:autoSpaceDE w:val="0"/>
        <w:autoSpaceDN w:val="0"/>
        <w:spacing w:line="240" w:lineRule="auto"/>
        <w:ind w:left="1440" w:right="1080" w:hanging="1440"/>
        <w:jc w:val="left"/>
        <w:rPr>
          <w:rFonts w:ascii="CG Times (W1)" w:eastAsia="Times New Roman" w:hAnsi="CG Times (W1)" w:cs="CG Times (W1)"/>
        </w:rPr>
      </w:pPr>
      <w:r w:rsidRPr="0067557F">
        <w:rPr>
          <w:rFonts w:ascii="CG Times (W1)" w:eastAsia="Times New Roman" w:hAnsi="CG Times (W1)" w:cs="CG Times (W1)"/>
        </w:rPr>
        <w:tab/>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 (Citations omitted).</w:t>
      </w:r>
    </w:p>
    <w:p w:rsidR="00C3203E" w:rsidRPr="0067557F" w:rsidRDefault="00C3203E" w:rsidP="00C3203E">
      <w:pPr>
        <w:autoSpaceDE w:val="0"/>
        <w:autoSpaceDN w:val="0"/>
        <w:jc w:val="left"/>
        <w:rPr>
          <w:rFonts w:ascii="CG Times (W1)" w:eastAsia="Times New Roman" w:hAnsi="CG Times (W1)" w:cs="CG Times (W1)"/>
        </w:rPr>
      </w:pPr>
    </w:p>
    <w:p w:rsidR="00C3203E" w:rsidRPr="0067557F" w:rsidRDefault="00C3203E" w:rsidP="00C3203E">
      <w:pPr>
        <w:autoSpaceDE w:val="0"/>
        <w:autoSpaceDN w:val="0"/>
        <w:jc w:val="left"/>
        <w:rPr>
          <w:rFonts w:ascii="CG Times (W1)" w:eastAsia="Times New Roman" w:hAnsi="CG Times (W1)" w:cs="CG Times (W1)"/>
        </w:rPr>
      </w:pPr>
      <w:proofErr w:type="spellStart"/>
      <w:proofErr w:type="gramStart"/>
      <w:r w:rsidRPr="0067557F">
        <w:rPr>
          <w:rFonts w:ascii="CG Times (W1)" w:eastAsia="Times New Roman" w:hAnsi="CG Times (W1)" w:cs="CG Times (W1)"/>
          <w:i/>
        </w:rPr>
        <w:lastRenderedPageBreak/>
        <w:t>DiSanto</w:t>
      </w:r>
      <w:proofErr w:type="spellEnd"/>
      <w:r w:rsidRPr="0067557F">
        <w:rPr>
          <w:rFonts w:ascii="CG Times (W1)" w:eastAsia="Times New Roman" w:hAnsi="CG Times (W1)" w:cs="CG Times (W1)"/>
          <w:i/>
        </w:rPr>
        <w:t xml:space="preserve"> v Dauphin Consolidated Water Supply Company</w:t>
      </w:r>
      <w:r w:rsidRPr="0067557F">
        <w:rPr>
          <w:rFonts w:ascii="CG Times (W1)" w:eastAsia="Times New Roman" w:hAnsi="CG Times (W1)" w:cs="CG Times (W1)"/>
        </w:rPr>
        <w:t>, 291 Pa. Super.</w:t>
      </w:r>
      <w:proofErr w:type="gramEnd"/>
      <w:r w:rsidRPr="0067557F">
        <w:rPr>
          <w:rFonts w:ascii="CG Times (W1)" w:eastAsia="Times New Roman" w:hAnsi="CG Times (W1)" w:cs="CG Times (W1)"/>
        </w:rPr>
        <w:t xml:space="preserve"> </w:t>
      </w:r>
      <w:proofErr w:type="gramStart"/>
      <w:r w:rsidRPr="0067557F">
        <w:rPr>
          <w:rFonts w:ascii="CG Times (W1)" w:eastAsia="Times New Roman" w:hAnsi="CG Times (W1)" w:cs="CG Times (W1)"/>
        </w:rPr>
        <w:t>440, 436 A.2d 197 (1981).</w:t>
      </w:r>
      <w:proofErr w:type="gramEnd"/>
    </w:p>
    <w:p w:rsidR="00C3203E" w:rsidRDefault="004C0CCE" w:rsidP="00C3203E">
      <w:pPr>
        <w:autoSpaceDE w:val="0"/>
        <w:autoSpaceDN w:val="0"/>
        <w:jc w:val="left"/>
        <w:rPr>
          <w:rFonts w:eastAsia="Times New Roman"/>
        </w:rPr>
      </w:pPr>
      <w:r>
        <w:rPr>
          <w:rFonts w:eastAsia="Times New Roman"/>
        </w:rPr>
        <w:tab/>
      </w:r>
      <w:r>
        <w:rPr>
          <w:rFonts w:eastAsia="Times New Roman"/>
        </w:rPr>
        <w:tab/>
        <w:t xml:space="preserve">The Commission has previously held that is has the authority to determine whether a public utility damaged a Complainant’s property when it repaired a gas line and whether the utility repaired the alleged damage in a timely and satisfactory manner.  </w:t>
      </w:r>
      <w:proofErr w:type="gramStart"/>
      <w:r w:rsidR="00AF03F9">
        <w:rPr>
          <w:rFonts w:eastAsia="Times New Roman"/>
        </w:rPr>
        <w:t xml:space="preserve">See, e.g., </w:t>
      </w:r>
      <w:r w:rsidR="00AF03F9">
        <w:rPr>
          <w:rFonts w:eastAsia="Times New Roman"/>
          <w:i/>
        </w:rPr>
        <w:t xml:space="preserve">Jerry Prosser v. Columbia Gas of Pa., Inc. </w:t>
      </w:r>
      <w:r w:rsidR="00AF03F9">
        <w:rPr>
          <w:rFonts w:eastAsia="Times New Roman"/>
        </w:rPr>
        <w:t>Docket No.</w:t>
      </w:r>
      <w:proofErr w:type="gramEnd"/>
      <w:r w:rsidR="00AF03F9">
        <w:rPr>
          <w:rFonts w:eastAsia="Times New Roman"/>
        </w:rPr>
        <w:t xml:space="preserve"> C-20066376 (Final Opinion and Order entered October 30, 2006).  </w:t>
      </w:r>
      <w:r>
        <w:rPr>
          <w:rFonts w:eastAsia="Times New Roman"/>
        </w:rPr>
        <w:t xml:space="preserve"> </w:t>
      </w:r>
    </w:p>
    <w:p w:rsidR="004C0CCE" w:rsidRPr="0067557F" w:rsidRDefault="004C0CCE" w:rsidP="00C3203E">
      <w:pPr>
        <w:autoSpaceDE w:val="0"/>
        <w:autoSpaceDN w:val="0"/>
        <w:jc w:val="left"/>
        <w:rPr>
          <w:rFonts w:eastAsia="Times New Roman"/>
        </w:rPr>
      </w:pPr>
    </w:p>
    <w:p w:rsidR="00C3203E" w:rsidRDefault="00C3203E" w:rsidP="00C3203E">
      <w:pPr>
        <w:contextualSpacing/>
        <w:jc w:val="left"/>
      </w:pPr>
      <w:r w:rsidRPr="0067557F">
        <w:rPr>
          <w:rFonts w:eastAsia="Times New Roman"/>
        </w:rPr>
        <w:tab/>
      </w:r>
      <w:r w:rsidRPr="0067557F">
        <w:rPr>
          <w:rFonts w:eastAsia="Times New Roman"/>
        </w:rPr>
        <w:tab/>
      </w:r>
      <w:r w:rsidR="00AF03F9">
        <w:rPr>
          <w:rFonts w:eastAsia="Times New Roman"/>
        </w:rPr>
        <w:t>Here, i</w:t>
      </w:r>
      <w:r w:rsidRPr="0067557F">
        <w:rPr>
          <w:rFonts w:eastAsia="Times New Roman"/>
        </w:rPr>
        <w:t>f Complainant</w:t>
      </w:r>
      <w:r>
        <w:rPr>
          <w:rFonts w:eastAsia="Times New Roman"/>
        </w:rPr>
        <w:t>’</w:t>
      </w:r>
      <w:r w:rsidR="00810E34">
        <w:rPr>
          <w:rFonts w:eastAsia="Times New Roman"/>
        </w:rPr>
        <w:t>s</w:t>
      </w:r>
      <w:r w:rsidRPr="0067557F">
        <w:rPr>
          <w:rFonts w:eastAsia="Times New Roman"/>
        </w:rPr>
        <w:t xml:space="preserve"> allegations are proven by a preponderance of evidence at a hearing, the allegations may well constitute a violation of the reasonable and adequate service requirements of Section 1501of the Code.  </w:t>
      </w:r>
      <w:proofErr w:type="gramStart"/>
      <w:r w:rsidRPr="0067557F">
        <w:rPr>
          <w:rFonts w:eastAsia="Times New Roman"/>
          <w:i/>
        </w:rPr>
        <w:t>Honey Brook Water Co. v. Pa. Pub.</w:t>
      </w:r>
      <w:proofErr w:type="gramEnd"/>
      <w:r w:rsidRPr="0067557F">
        <w:rPr>
          <w:rFonts w:eastAsia="Times New Roman"/>
          <w:i/>
        </w:rPr>
        <w:t xml:space="preserve"> Util. </w:t>
      </w:r>
      <w:proofErr w:type="spellStart"/>
      <w:r w:rsidRPr="0067557F">
        <w:rPr>
          <w:rFonts w:eastAsia="Times New Roman"/>
          <w:i/>
        </w:rPr>
        <w:t>Comm’n</w:t>
      </w:r>
      <w:proofErr w:type="spellEnd"/>
      <w:r w:rsidRPr="0067557F">
        <w:rPr>
          <w:rFonts w:eastAsia="Times New Roman"/>
          <w:i/>
        </w:rPr>
        <w:t xml:space="preserve">, </w:t>
      </w:r>
      <w:proofErr w:type="gramStart"/>
      <w:r w:rsidRPr="0067557F">
        <w:rPr>
          <w:rFonts w:eastAsia="Times New Roman"/>
        </w:rPr>
        <w:t xml:space="preserve">167 </w:t>
      </w:r>
      <w:proofErr w:type="spellStart"/>
      <w:r w:rsidRPr="0067557F">
        <w:rPr>
          <w:rFonts w:eastAsia="Times New Roman"/>
        </w:rPr>
        <w:t>Pa.Cmwlth</w:t>
      </w:r>
      <w:proofErr w:type="spellEnd"/>
      <w:proofErr w:type="gramEnd"/>
      <w:r w:rsidRPr="0067557F">
        <w:rPr>
          <w:rFonts w:eastAsia="Times New Roman"/>
        </w:rPr>
        <w:t xml:space="preserve">. </w:t>
      </w:r>
      <w:proofErr w:type="gramStart"/>
      <w:r w:rsidRPr="0067557F">
        <w:rPr>
          <w:rFonts w:eastAsia="Times New Roman"/>
        </w:rPr>
        <w:t xml:space="preserve">140, 647 A.2d 653 (1994), </w:t>
      </w:r>
      <w:r w:rsidRPr="0067557F">
        <w:rPr>
          <w:rFonts w:eastAsia="Times New Roman"/>
          <w:i/>
        </w:rPr>
        <w:t>app. denied</w:t>
      </w:r>
      <w:r w:rsidRPr="0067557F">
        <w:rPr>
          <w:rFonts w:eastAsia="Times New Roman"/>
        </w:rPr>
        <w:t>, 540 Pa. 587, 655 A.2d 518 (1995).</w:t>
      </w:r>
      <w:proofErr w:type="gramEnd"/>
      <w:r w:rsidRPr="0067557F">
        <w:rPr>
          <w:rFonts w:eastAsia="Times New Roman"/>
        </w:rPr>
        <w:t xml:space="preserve">  Further</w:t>
      </w:r>
      <w:r>
        <w:rPr>
          <w:rFonts w:eastAsia="Times New Roman"/>
        </w:rPr>
        <w:t>,</w:t>
      </w:r>
      <w:r w:rsidRPr="0067557F">
        <w:rPr>
          <w:rFonts w:eastAsia="Times New Roman"/>
        </w:rPr>
        <w:t xml:space="preserve"> P</w:t>
      </w:r>
      <w:r w:rsidR="00810E34">
        <w:rPr>
          <w:rFonts w:eastAsia="Times New Roman"/>
        </w:rPr>
        <w:t>GW</w:t>
      </w:r>
      <w:r w:rsidRPr="0067557F">
        <w:rPr>
          <w:rFonts w:eastAsia="Times New Roman"/>
        </w:rPr>
        <w:t xml:space="preserve"> may ultimately face a civil penalty and/or an order to take remedial action, in the event Complainant prevails in establishing inadequate service on </w:t>
      </w:r>
      <w:r w:rsidR="00810E34">
        <w:rPr>
          <w:rFonts w:eastAsia="Times New Roman"/>
        </w:rPr>
        <w:t xml:space="preserve">the company’s </w:t>
      </w:r>
      <w:r w:rsidRPr="0067557F">
        <w:rPr>
          <w:rFonts w:eastAsia="Times New Roman"/>
        </w:rPr>
        <w:t>part.</w:t>
      </w:r>
      <w:r w:rsidRPr="00C3203E">
        <w:t xml:space="preserve"> </w:t>
      </w:r>
      <w:r w:rsidR="00810E34">
        <w:t xml:space="preserve">The </w:t>
      </w:r>
      <w:r>
        <w:t>Complainant</w:t>
      </w:r>
      <w:r w:rsidR="00810E34">
        <w:t xml:space="preserve"> i</w:t>
      </w:r>
      <w:r>
        <w:t xml:space="preserve">s </w:t>
      </w:r>
      <w:r w:rsidR="00AA58C7">
        <w:t>caution</w:t>
      </w:r>
      <w:r>
        <w:t>ed</w:t>
      </w:r>
      <w:r w:rsidR="00D64447">
        <w:t>, however,</w:t>
      </w:r>
      <w:r>
        <w:t xml:space="preserve"> that if </w:t>
      </w:r>
      <w:r w:rsidR="00810E34">
        <w:t>he</w:t>
      </w:r>
      <w:r>
        <w:t xml:space="preserve"> </w:t>
      </w:r>
      <w:r w:rsidR="00810E34">
        <w:t>is</w:t>
      </w:r>
      <w:r>
        <w:t xml:space="preserve"> able to prove inadequate service, any civil penalty assessed against P</w:t>
      </w:r>
      <w:r w:rsidR="00810E34">
        <w:t>GW</w:t>
      </w:r>
      <w:r>
        <w:t xml:space="preserve"> will be payable directly to the Commonwealth of Pennsylvania General Fund.  No</w:t>
      </w:r>
      <w:r w:rsidR="00D64447">
        <w:t xml:space="preserve"> compensation </w:t>
      </w:r>
      <w:r>
        <w:t xml:space="preserve">will be allocated to the Complainant.  </w:t>
      </w:r>
    </w:p>
    <w:p w:rsidR="00C3203E" w:rsidRPr="0067557F" w:rsidRDefault="00C3203E" w:rsidP="00C3203E">
      <w:pPr>
        <w:autoSpaceDE w:val="0"/>
        <w:autoSpaceDN w:val="0"/>
        <w:jc w:val="left"/>
        <w:rPr>
          <w:rFonts w:eastAsia="Times New Roman"/>
        </w:rPr>
      </w:pPr>
      <w:r>
        <w:rPr>
          <w:rFonts w:eastAsia="Times New Roman"/>
        </w:rPr>
        <w:t xml:space="preserve">  </w:t>
      </w:r>
      <w:r w:rsidRPr="0067557F">
        <w:rPr>
          <w:rFonts w:eastAsia="Times New Roman"/>
        </w:rPr>
        <w:t xml:space="preserve"> </w:t>
      </w:r>
    </w:p>
    <w:p w:rsidR="00C3203E" w:rsidRPr="0067557F" w:rsidRDefault="00C3203E" w:rsidP="00C3203E">
      <w:pPr>
        <w:autoSpaceDE w:val="0"/>
        <w:autoSpaceDN w:val="0"/>
        <w:jc w:val="left"/>
        <w:rPr>
          <w:rFonts w:eastAsia="Times New Roman"/>
        </w:rPr>
      </w:pPr>
      <w:r w:rsidRPr="0067557F">
        <w:rPr>
          <w:rFonts w:eastAsia="Times New Roman"/>
        </w:rPr>
        <w:tab/>
      </w:r>
      <w:r w:rsidRPr="0067557F">
        <w:rPr>
          <w:rFonts w:eastAsia="Times New Roman"/>
        </w:rPr>
        <w:tab/>
        <w:t xml:space="preserve">For the reasons stated above, </w:t>
      </w:r>
      <w:r w:rsidR="00810E34">
        <w:rPr>
          <w:rFonts w:eastAsia="Times New Roman"/>
        </w:rPr>
        <w:t>the</w:t>
      </w:r>
      <w:r w:rsidRPr="0067557F">
        <w:rPr>
          <w:rFonts w:eastAsia="Times New Roman"/>
        </w:rPr>
        <w:t xml:space="preserve"> </w:t>
      </w:r>
      <w:r>
        <w:rPr>
          <w:rFonts w:eastAsia="Times New Roman"/>
        </w:rPr>
        <w:t>preliminary objections</w:t>
      </w:r>
      <w:r w:rsidRPr="0067557F">
        <w:rPr>
          <w:rFonts w:eastAsia="Times New Roman"/>
        </w:rPr>
        <w:t xml:space="preserve"> </w:t>
      </w:r>
      <w:r w:rsidR="00810E34">
        <w:rPr>
          <w:rFonts w:eastAsia="Times New Roman"/>
        </w:rPr>
        <w:t xml:space="preserve">filed by PGW </w:t>
      </w:r>
      <w:r w:rsidRPr="0067557F">
        <w:rPr>
          <w:rFonts w:eastAsia="Times New Roman"/>
        </w:rPr>
        <w:t xml:space="preserve">will be sustained with respect to any claim for </w:t>
      </w:r>
      <w:r w:rsidR="00AF03F9">
        <w:rPr>
          <w:rFonts w:eastAsia="Times New Roman"/>
        </w:rPr>
        <w:t xml:space="preserve">an award of </w:t>
      </w:r>
      <w:r w:rsidRPr="0067557F">
        <w:rPr>
          <w:rFonts w:eastAsia="Times New Roman"/>
        </w:rPr>
        <w:t xml:space="preserve">monetary </w:t>
      </w:r>
      <w:r w:rsidR="00AF03F9">
        <w:rPr>
          <w:rFonts w:eastAsia="Times New Roman"/>
        </w:rPr>
        <w:t>damages</w:t>
      </w:r>
      <w:r w:rsidRPr="0067557F">
        <w:rPr>
          <w:rFonts w:eastAsia="Times New Roman"/>
        </w:rPr>
        <w:t>.   This case will proceed to hearing</w:t>
      </w:r>
      <w:r w:rsidR="00810E34">
        <w:rPr>
          <w:rFonts w:eastAsia="Times New Roman"/>
        </w:rPr>
        <w:t>, however,</w:t>
      </w:r>
      <w:r w:rsidRPr="0067557F">
        <w:rPr>
          <w:rFonts w:eastAsia="Times New Roman"/>
        </w:rPr>
        <w:t xml:space="preserve"> with respect to </w:t>
      </w:r>
      <w:r>
        <w:rPr>
          <w:rFonts w:eastAsia="Times New Roman"/>
        </w:rPr>
        <w:t xml:space="preserve">the </w:t>
      </w:r>
      <w:r w:rsidRPr="0067557F">
        <w:rPr>
          <w:rFonts w:eastAsia="Times New Roman"/>
        </w:rPr>
        <w:t xml:space="preserve">allegations pertaining to </w:t>
      </w:r>
      <w:r w:rsidR="00D64447">
        <w:rPr>
          <w:rFonts w:eastAsia="Times New Roman"/>
        </w:rPr>
        <w:t xml:space="preserve">the </w:t>
      </w:r>
      <w:r w:rsidRPr="0067557F">
        <w:rPr>
          <w:rFonts w:eastAsia="Times New Roman"/>
        </w:rPr>
        <w:t xml:space="preserve">reasonableness of </w:t>
      </w:r>
      <w:r w:rsidR="00810E34">
        <w:rPr>
          <w:rFonts w:eastAsia="Times New Roman"/>
        </w:rPr>
        <w:t xml:space="preserve">the </w:t>
      </w:r>
      <w:r w:rsidRPr="0067557F">
        <w:rPr>
          <w:rFonts w:eastAsia="Times New Roman"/>
        </w:rPr>
        <w:t>service</w:t>
      </w:r>
      <w:r w:rsidR="00810E34">
        <w:rPr>
          <w:rFonts w:eastAsia="Times New Roman"/>
        </w:rPr>
        <w:t xml:space="preserve"> rendered by PGW.  </w:t>
      </w:r>
      <w:r w:rsidRPr="0067557F">
        <w:rPr>
          <w:rFonts w:eastAsia="Times New Roman"/>
        </w:rPr>
        <w:t xml:space="preserve"> </w:t>
      </w:r>
    </w:p>
    <w:p w:rsidR="00C3203E" w:rsidRPr="0067557F" w:rsidRDefault="00C3203E" w:rsidP="00C3203E">
      <w:pPr>
        <w:autoSpaceDE w:val="0"/>
        <w:autoSpaceDN w:val="0"/>
        <w:jc w:val="left"/>
        <w:rPr>
          <w:rFonts w:eastAsia="Times New Roman"/>
        </w:rPr>
      </w:pPr>
    </w:p>
    <w:p w:rsidR="00C3203E" w:rsidRDefault="00C3203E" w:rsidP="00C3203E">
      <w:pPr>
        <w:autoSpaceDE w:val="0"/>
        <w:autoSpaceDN w:val="0"/>
        <w:jc w:val="left"/>
        <w:rPr>
          <w:rFonts w:eastAsia="Times New Roman"/>
        </w:rPr>
      </w:pPr>
      <w:r w:rsidRPr="0067557F">
        <w:rPr>
          <w:rFonts w:eastAsia="Times New Roman"/>
        </w:rPr>
        <w:tab/>
      </w:r>
      <w:r w:rsidRPr="0067557F">
        <w:rPr>
          <w:rFonts w:eastAsia="Times New Roman"/>
        </w:rPr>
        <w:tab/>
        <w:t xml:space="preserve">The parties are </w:t>
      </w:r>
      <w:r w:rsidR="00D64447">
        <w:rPr>
          <w:rFonts w:eastAsia="Times New Roman"/>
        </w:rPr>
        <w:t xml:space="preserve">encouraged </w:t>
      </w:r>
      <w:r w:rsidRPr="0067557F">
        <w:rPr>
          <w:rFonts w:eastAsia="Times New Roman"/>
        </w:rPr>
        <w:t xml:space="preserve">to attempt to resolve this matter themselves </w:t>
      </w:r>
      <w:r w:rsidR="00D64447">
        <w:rPr>
          <w:rFonts w:eastAsia="Times New Roman"/>
        </w:rPr>
        <w:t>through</w:t>
      </w:r>
      <w:r w:rsidRPr="0067557F">
        <w:rPr>
          <w:rFonts w:eastAsia="Times New Roman"/>
        </w:rPr>
        <w:t xml:space="preserve"> settlement negotiations.  Settlement discussions are consistent with the Commission’s regulations.  See 52 Pa. Code § 5.231.</w:t>
      </w:r>
    </w:p>
    <w:p w:rsidR="00F33385" w:rsidRDefault="00F33385" w:rsidP="00C43F08">
      <w:pPr>
        <w:contextualSpacing/>
        <w:jc w:val="left"/>
      </w:pPr>
      <w:r>
        <w:br w:type="page"/>
      </w:r>
    </w:p>
    <w:p w:rsidR="00C43F08" w:rsidRDefault="00C43F08" w:rsidP="00C43F08">
      <w:pPr>
        <w:contextualSpacing/>
        <w:jc w:val="left"/>
      </w:pPr>
    </w:p>
    <w:p w:rsidR="00F33385" w:rsidRDefault="00F33385" w:rsidP="00F33385">
      <w:pPr>
        <w:contextualSpacing/>
      </w:pPr>
      <w:r>
        <w:t>ORDER</w:t>
      </w:r>
    </w:p>
    <w:p w:rsidR="00F33385" w:rsidRDefault="00F33385" w:rsidP="00F33385">
      <w:pPr>
        <w:contextualSpacing/>
      </w:pPr>
    </w:p>
    <w:p w:rsidR="00F33385" w:rsidRDefault="00F33385" w:rsidP="00F33385">
      <w:pPr>
        <w:contextualSpacing/>
      </w:pPr>
    </w:p>
    <w:p w:rsidR="00E04D1A" w:rsidRDefault="00E04D1A" w:rsidP="00AB504C">
      <w:pPr>
        <w:jc w:val="left"/>
      </w:pPr>
      <w:r>
        <w:tab/>
      </w:r>
      <w:r>
        <w:tab/>
        <w:t>THEREFORE,</w:t>
      </w:r>
    </w:p>
    <w:p w:rsidR="00E04D1A" w:rsidRDefault="00E04D1A" w:rsidP="00AB504C">
      <w:pPr>
        <w:jc w:val="left"/>
      </w:pPr>
    </w:p>
    <w:p w:rsidR="00E04D1A" w:rsidRDefault="00E04D1A" w:rsidP="00AB504C">
      <w:pPr>
        <w:jc w:val="left"/>
      </w:pPr>
      <w:r>
        <w:tab/>
      </w:r>
      <w:r>
        <w:tab/>
        <w:t>IT IS ORDERED:</w:t>
      </w:r>
    </w:p>
    <w:p w:rsidR="00E04D1A" w:rsidRDefault="00E04D1A" w:rsidP="00AB504C">
      <w:pPr>
        <w:jc w:val="left"/>
      </w:pPr>
    </w:p>
    <w:p w:rsidR="00E04D1A" w:rsidRDefault="00E04D1A" w:rsidP="00AB504C">
      <w:pPr>
        <w:jc w:val="left"/>
      </w:pPr>
      <w:r>
        <w:tab/>
      </w:r>
      <w:r>
        <w:tab/>
        <w:t>1.</w:t>
      </w:r>
      <w:r>
        <w:tab/>
        <w:t>That the Preliminary Objections filed by</w:t>
      </w:r>
      <w:r w:rsidR="00810E34" w:rsidRPr="00810E34">
        <w:t xml:space="preserve"> </w:t>
      </w:r>
      <w:r w:rsidR="00810E34">
        <w:t>Philadelphia Gas Works</w:t>
      </w:r>
      <w:r>
        <w:t xml:space="preserve"> are </w:t>
      </w:r>
      <w:r w:rsidR="00D64447">
        <w:t>sustained</w:t>
      </w:r>
      <w:r>
        <w:t xml:space="preserve"> insofar as they seek a holding that the Commission will not award monetary damages in th</w:t>
      </w:r>
      <w:r w:rsidR="00810E34">
        <w:t xml:space="preserve">is </w:t>
      </w:r>
      <w:r>
        <w:t>case.</w:t>
      </w:r>
    </w:p>
    <w:p w:rsidR="00E04D1A" w:rsidRDefault="00E04D1A" w:rsidP="00AB504C">
      <w:pPr>
        <w:jc w:val="left"/>
      </w:pPr>
    </w:p>
    <w:p w:rsidR="00E04D1A" w:rsidRDefault="00E04D1A" w:rsidP="00AB504C">
      <w:pPr>
        <w:jc w:val="left"/>
      </w:pPr>
      <w:r>
        <w:tab/>
      </w:r>
      <w:r>
        <w:tab/>
        <w:t>2.</w:t>
      </w:r>
      <w:r>
        <w:tab/>
        <w:t>That the Preliminary Objections filed by</w:t>
      </w:r>
      <w:r w:rsidR="00810E34">
        <w:t xml:space="preserve"> Philadelphia Gas Works</w:t>
      </w:r>
      <w:r>
        <w:t xml:space="preserve"> are denied insofar as they seek dismissal of the Complaint.</w:t>
      </w:r>
    </w:p>
    <w:p w:rsidR="00E04D1A" w:rsidRDefault="00E04D1A" w:rsidP="00AB504C">
      <w:pPr>
        <w:jc w:val="left"/>
      </w:pPr>
    </w:p>
    <w:p w:rsidR="00E04D1A" w:rsidRDefault="00E04D1A" w:rsidP="00AB504C">
      <w:pPr>
        <w:jc w:val="left"/>
      </w:pPr>
      <w:r>
        <w:tab/>
      </w:r>
      <w:r>
        <w:tab/>
        <w:t>3.</w:t>
      </w:r>
      <w:r>
        <w:tab/>
        <w:t>That this matter be set for hearing.</w:t>
      </w:r>
    </w:p>
    <w:p w:rsidR="00E04D1A" w:rsidRDefault="00E04D1A" w:rsidP="00AB504C">
      <w:pPr>
        <w:jc w:val="left"/>
      </w:pPr>
    </w:p>
    <w:p w:rsidR="00AA58C7" w:rsidRDefault="00AA58C7" w:rsidP="00AB504C">
      <w:pPr>
        <w:jc w:val="left"/>
      </w:pPr>
    </w:p>
    <w:p w:rsidR="00810E34" w:rsidRDefault="00810E34" w:rsidP="00810E34">
      <w:pPr>
        <w:spacing w:line="240" w:lineRule="auto"/>
        <w:jc w:val="left"/>
        <w:rPr>
          <w:u w:val="single"/>
        </w:rPr>
      </w:pPr>
      <w:r>
        <w:t>Dated:</w:t>
      </w:r>
      <w:r>
        <w:tab/>
      </w:r>
      <w:r w:rsidRPr="00810E34">
        <w:rPr>
          <w:u w:val="single"/>
        </w:rPr>
        <w:t>August 14,</w:t>
      </w:r>
      <w:r>
        <w:rPr>
          <w:u w:val="single"/>
        </w:rPr>
        <w:t xml:space="preserve"> 2015</w:t>
      </w:r>
    </w:p>
    <w:p w:rsidR="00E04D1A" w:rsidRDefault="00E04D1A" w:rsidP="00E04D1A">
      <w:pPr>
        <w:spacing w:line="240" w:lineRule="auto"/>
        <w:jc w:val="left"/>
      </w:pPr>
      <w:r>
        <w:tab/>
      </w:r>
      <w:r>
        <w:tab/>
      </w:r>
      <w:r w:rsidR="00810E34">
        <w:tab/>
      </w:r>
      <w:r w:rsidR="00810E34">
        <w:tab/>
      </w:r>
      <w:r w:rsidR="00810E34">
        <w:tab/>
      </w:r>
      <w:r w:rsidR="00810E34">
        <w:tab/>
      </w:r>
      <w:r w:rsidR="00810E34">
        <w:tab/>
        <w:t>_____________________________</w:t>
      </w:r>
    </w:p>
    <w:p w:rsidR="00E04D1A" w:rsidRDefault="00E04D1A" w:rsidP="00E04D1A">
      <w:pPr>
        <w:spacing w:line="240" w:lineRule="auto"/>
        <w:jc w:val="left"/>
      </w:pPr>
      <w:r>
        <w:tab/>
      </w:r>
      <w:r w:rsidR="00810E34">
        <w:tab/>
      </w:r>
      <w:r w:rsidR="00810E34">
        <w:tab/>
      </w:r>
      <w:r w:rsidR="00810E34">
        <w:tab/>
      </w:r>
      <w:r w:rsidR="00810E34">
        <w:tab/>
      </w:r>
      <w:r w:rsidR="00810E34">
        <w:tab/>
      </w:r>
      <w:r w:rsidR="00810E34">
        <w:tab/>
      </w:r>
      <w:r w:rsidR="009E4E99">
        <w:t>Steven K. Haas</w:t>
      </w:r>
    </w:p>
    <w:p w:rsidR="00F33385" w:rsidRDefault="00810E34" w:rsidP="00E04D1A">
      <w:pPr>
        <w:spacing w:line="240" w:lineRule="auto"/>
        <w:jc w:val="left"/>
        <w:sectPr w:rsidR="00F33385" w:rsidSect="00E04D1A">
          <w:footerReference w:type="default" r:id="rId7"/>
          <w:pgSz w:w="12240" w:h="15840"/>
          <w:pgMar w:top="1440" w:right="1440" w:bottom="1440" w:left="1440" w:header="720" w:footer="720" w:gutter="0"/>
          <w:cols w:space="720"/>
          <w:titlePg/>
          <w:docGrid w:linePitch="360"/>
        </w:sectPr>
      </w:pPr>
      <w:r>
        <w:tab/>
      </w:r>
      <w:r>
        <w:tab/>
      </w:r>
      <w:r>
        <w:tab/>
      </w:r>
      <w:r>
        <w:tab/>
      </w:r>
      <w:r>
        <w:tab/>
      </w:r>
      <w:r>
        <w:tab/>
      </w:r>
      <w:r>
        <w:tab/>
      </w:r>
      <w:r w:rsidR="00F33385">
        <w:t>Administrative Law Judge</w:t>
      </w:r>
    </w:p>
    <w:p w:rsidR="00F33385" w:rsidRPr="00344954" w:rsidRDefault="00F33385" w:rsidP="00F33385">
      <w:pPr>
        <w:spacing w:line="240" w:lineRule="auto"/>
        <w:contextualSpacing/>
        <w:jc w:val="left"/>
        <w:rPr>
          <w:rFonts w:ascii="Microsoft Sans Serif"/>
          <w:b/>
          <w:i/>
          <w:u w:val="single"/>
        </w:rPr>
      </w:pPr>
      <w:r>
        <w:rPr>
          <w:rFonts w:ascii="Microsoft Sans Serif"/>
          <w:b/>
          <w:u w:val="single"/>
        </w:rPr>
        <w:lastRenderedPageBreak/>
        <w:t>C-2015-2484785 - HENRY SANTANA v. PHILADELPHIA GAS WORKS</w:t>
      </w:r>
      <w:r>
        <w:rPr>
          <w:rFonts w:ascii="Microsoft Sans Serif"/>
          <w:b/>
          <w:u w:val="single"/>
        </w:rPr>
        <w:cr/>
      </w:r>
      <w:r w:rsidRPr="00344954">
        <w:rPr>
          <w:rFonts w:ascii="Microsoft Sans Serif"/>
          <w:i/>
        </w:rPr>
        <w:t>REVISED 8/12/15</w:t>
      </w:r>
    </w:p>
    <w:p w:rsidR="00F33385" w:rsidRDefault="00F33385" w:rsidP="00F33385">
      <w:pPr>
        <w:spacing w:line="240" w:lineRule="auto"/>
        <w:contextualSpacing/>
        <w:jc w:val="left"/>
        <w:rPr>
          <w:rFonts w:ascii="Microsoft Sans Serif"/>
        </w:rPr>
      </w:pPr>
      <w:r>
        <w:rPr>
          <w:rFonts w:ascii="Microsoft Sans Serif"/>
          <w:b/>
          <w:u w:val="single"/>
        </w:rPr>
        <w:cr/>
      </w:r>
      <w:r>
        <w:rPr>
          <w:rFonts w:ascii="Microsoft Sans Serif"/>
        </w:rPr>
        <w:t>HENRY SANTANA</w:t>
      </w:r>
      <w:r>
        <w:rPr>
          <w:rFonts w:ascii="Microsoft Sans Serif"/>
        </w:rPr>
        <w:cr/>
        <w:t>958 PRATT STREET</w:t>
      </w:r>
      <w:r>
        <w:rPr>
          <w:rFonts w:ascii="Microsoft Sans Serif"/>
        </w:rPr>
        <w:cr/>
        <w:t>PHILADELPHIA PA  19124</w:t>
      </w:r>
      <w:r>
        <w:rPr>
          <w:rFonts w:ascii="Microsoft Sans Serif"/>
        </w:rPr>
        <w:cr/>
        <w:t>215.626.4886</w:t>
      </w:r>
      <w:r>
        <w:rPr>
          <w:rFonts w:ascii="Microsoft Sans Serif"/>
        </w:rPr>
        <w:cr/>
      </w:r>
    </w:p>
    <w:p w:rsidR="00F33385" w:rsidRDefault="00F33385" w:rsidP="00F33385">
      <w:pPr>
        <w:spacing w:line="240" w:lineRule="auto"/>
        <w:contextualSpacing/>
        <w:jc w:val="left"/>
        <w:rPr>
          <w:rFonts w:ascii="Microsoft Sans Serif"/>
        </w:rPr>
      </w:pPr>
      <w:r>
        <w:rPr>
          <w:rFonts w:ascii="Microsoft Sans Serif"/>
        </w:rPr>
        <w:t>LYDIA R. GOTTESFELD ESQUIRE</w:t>
      </w:r>
      <w:bookmarkStart w:id="0" w:name="_GoBack"/>
      <w:bookmarkEnd w:id="0"/>
    </w:p>
    <w:p w:rsidR="00F33385" w:rsidRDefault="00F33385" w:rsidP="00F33385">
      <w:pPr>
        <w:spacing w:line="240" w:lineRule="auto"/>
        <w:contextualSpacing/>
        <w:jc w:val="left"/>
        <w:rPr>
          <w:rFonts w:ascii="Microsoft Sans Serif"/>
        </w:rPr>
      </w:pPr>
      <w:r>
        <w:rPr>
          <w:rFonts w:ascii="Microsoft Sans Serif"/>
        </w:rPr>
        <w:t>COMMUNITY LEGAL SERVICES, INC.</w:t>
      </w:r>
    </w:p>
    <w:p w:rsidR="00F33385" w:rsidRDefault="00F33385" w:rsidP="00F33385">
      <w:pPr>
        <w:spacing w:line="240" w:lineRule="auto"/>
        <w:contextualSpacing/>
        <w:jc w:val="left"/>
        <w:rPr>
          <w:rFonts w:ascii="Microsoft Sans Serif"/>
        </w:rPr>
      </w:pPr>
      <w:r>
        <w:rPr>
          <w:rFonts w:ascii="Microsoft Sans Serif"/>
        </w:rPr>
        <w:t>1424 CHESTNUT STREET</w:t>
      </w:r>
    </w:p>
    <w:p w:rsidR="00F33385" w:rsidRDefault="00F33385" w:rsidP="00F33385">
      <w:pPr>
        <w:spacing w:line="240" w:lineRule="auto"/>
        <w:contextualSpacing/>
        <w:jc w:val="left"/>
        <w:rPr>
          <w:rFonts w:ascii="Microsoft Sans Serif"/>
        </w:rPr>
      </w:pPr>
      <w:r>
        <w:rPr>
          <w:rFonts w:ascii="Microsoft Sans Serif"/>
        </w:rPr>
        <w:t>PHILADELPHIA PA 19102</w:t>
      </w:r>
    </w:p>
    <w:p w:rsidR="00F33385" w:rsidRDefault="00F33385" w:rsidP="00F33385">
      <w:pPr>
        <w:spacing w:line="240" w:lineRule="auto"/>
        <w:contextualSpacing/>
        <w:jc w:val="left"/>
        <w:rPr>
          <w:rFonts w:ascii="Microsoft Sans Serif"/>
        </w:rPr>
      </w:pPr>
      <w:r>
        <w:rPr>
          <w:rFonts w:ascii="Microsoft Sans Serif"/>
        </w:rPr>
        <w:t>215.981.3707</w:t>
      </w:r>
    </w:p>
    <w:p w:rsidR="00F33385" w:rsidRDefault="00F33385" w:rsidP="00F33385">
      <w:pPr>
        <w:spacing w:line="240" w:lineRule="auto"/>
        <w:contextualSpacing/>
        <w:jc w:val="left"/>
        <w:rPr>
          <w:rFonts w:ascii="Microsoft Sans Serif"/>
          <w:b/>
          <w:i/>
          <w:u w:val="single"/>
        </w:rPr>
      </w:pPr>
      <w:r>
        <w:rPr>
          <w:rFonts w:ascii="Microsoft Sans Serif"/>
          <w:b/>
          <w:i/>
          <w:u w:val="single"/>
        </w:rPr>
        <w:t>-ACCEPTS ELECTRONIC SERVICE-</w:t>
      </w:r>
    </w:p>
    <w:p w:rsidR="00F33385" w:rsidRPr="00344954" w:rsidRDefault="00F33385" w:rsidP="00F33385">
      <w:pPr>
        <w:spacing w:line="240" w:lineRule="auto"/>
        <w:contextualSpacing/>
        <w:jc w:val="left"/>
        <w:rPr>
          <w:rFonts w:ascii="Microsoft Sans Serif"/>
          <w:i/>
        </w:rPr>
      </w:pPr>
      <w:r>
        <w:rPr>
          <w:rFonts w:ascii="Microsoft Sans Serif"/>
          <w:i/>
        </w:rPr>
        <w:t>REPRESENTING HENRY SANTANA</w:t>
      </w:r>
    </w:p>
    <w:p w:rsidR="00F33385" w:rsidRDefault="00F33385" w:rsidP="00F33385">
      <w:pPr>
        <w:spacing w:line="240" w:lineRule="auto"/>
        <w:contextualSpacing/>
        <w:jc w:val="left"/>
        <w:rPr>
          <w:rFonts w:ascii="Microsoft Sans Serif"/>
        </w:rPr>
      </w:pPr>
    </w:p>
    <w:p w:rsidR="00F33385" w:rsidRDefault="00F33385" w:rsidP="00F33385">
      <w:pPr>
        <w:spacing w:line="240" w:lineRule="auto"/>
        <w:contextualSpacing/>
        <w:jc w:val="left"/>
        <w:rPr>
          <w:rFonts w:ascii="Microsoft Sans Serif"/>
        </w:rPr>
      </w:pPr>
      <w:r>
        <w:rPr>
          <w:rFonts w:ascii="Microsoft Sans Serif"/>
        </w:rPr>
        <w:t>JOSIE H. PICKENS, ESQUIRE</w:t>
      </w:r>
    </w:p>
    <w:p w:rsidR="00F33385" w:rsidRDefault="00F33385" w:rsidP="00F33385">
      <w:pPr>
        <w:spacing w:line="240" w:lineRule="auto"/>
        <w:contextualSpacing/>
        <w:jc w:val="left"/>
        <w:rPr>
          <w:rFonts w:ascii="Microsoft Sans Serif"/>
        </w:rPr>
      </w:pPr>
      <w:r>
        <w:rPr>
          <w:rFonts w:ascii="Microsoft Sans Serif"/>
        </w:rPr>
        <w:t>COMMUNITY LEGAL SERVICES</w:t>
      </w:r>
    </w:p>
    <w:p w:rsidR="00F33385" w:rsidRDefault="00F33385" w:rsidP="00F33385">
      <w:pPr>
        <w:spacing w:line="240" w:lineRule="auto"/>
        <w:contextualSpacing/>
        <w:jc w:val="left"/>
        <w:rPr>
          <w:rFonts w:ascii="Microsoft Sans Serif"/>
        </w:rPr>
      </w:pPr>
      <w:r>
        <w:rPr>
          <w:rFonts w:ascii="Microsoft Sans Serif"/>
        </w:rPr>
        <w:t>1410 WEST ERIE AVENUE</w:t>
      </w:r>
    </w:p>
    <w:p w:rsidR="00F33385" w:rsidRDefault="00F33385" w:rsidP="00F33385">
      <w:pPr>
        <w:spacing w:line="240" w:lineRule="auto"/>
        <w:contextualSpacing/>
        <w:jc w:val="left"/>
        <w:rPr>
          <w:rFonts w:ascii="Microsoft Sans Serif"/>
        </w:rPr>
      </w:pPr>
      <w:r>
        <w:rPr>
          <w:rFonts w:ascii="Microsoft Sans Serif"/>
        </w:rPr>
        <w:t>PHILADELPHIA PA 19140</w:t>
      </w:r>
    </w:p>
    <w:p w:rsidR="00F33385" w:rsidRDefault="00F33385" w:rsidP="00F33385">
      <w:pPr>
        <w:spacing w:line="240" w:lineRule="auto"/>
        <w:contextualSpacing/>
        <w:jc w:val="left"/>
        <w:rPr>
          <w:rFonts w:ascii="Microsoft Sans Serif"/>
        </w:rPr>
      </w:pPr>
      <w:r>
        <w:rPr>
          <w:rFonts w:ascii="Microsoft Sans Serif"/>
        </w:rPr>
        <w:t>215.227.4378</w:t>
      </w:r>
    </w:p>
    <w:p w:rsidR="00F33385" w:rsidRDefault="00F33385" w:rsidP="00F33385">
      <w:pPr>
        <w:spacing w:line="240" w:lineRule="auto"/>
        <w:contextualSpacing/>
        <w:jc w:val="left"/>
        <w:rPr>
          <w:rFonts w:ascii="Microsoft Sans Serif"/>
          <w:b/>
          <w:i/>
          <w:u w:val="single"/>
        </w:rPr>
      </w:pPr>
      <w:r>
        <w:rPr>
          <w:rFonts w:ascii="Microsoft Sans Serif"/>
          <w:b/>
          <w:i/>
          <w:u w:val="single"/>
        </w:rPr>
        <w:t>-ACCEPTS ELECTRONIC SERVICE-</w:t>
      </w:r>
    </w:p>
    <w:p w:rsidR="00F33385" w:rsidRPr="00344954" w:rsidRDefault="00F33385" w:rsidP="00F33385">
      <w:pPr>
        <w:spacing w:line="240" w:lineRule="auto"/>
        <w:contextualSpacing/>
        <w:jc w:val="left"/>
        <w:rPr>
          <w:rFonts w:ascii="Microsoft Sans Serif"/>
          <w:i/>
        </w:rPr>
      </w:pPr>
      <w:r>
        <w:rPr>
          <w:rFonts w:ascii="Microsoft Sans Serif"/>
          <w:i/>
        </w:rPr>
        <w:t>REPRESENTING HENRY SANTANA</w:t>
      </w:r>
    </w:p>
    <w:p w:rsidR="00F33385" w:rsidRDefault="00F33385" w:rsidP="00F33385">
      <w:pPr>
        <w:spacing w:line="240" w:lineRule="auto"/>
        <w:contextualSpacing/>
        <w:jc w:val="left"/>
        <w:rPr>
          <w:rFonts w:ascii="Microsoft Sans Serif"/>
        </w:rPr>
      </w:pPr>
    </w:p>
    <w:p w:rsidR="00F33385" w:rsidRPr="00542766" w:rsidRDefault="00F33385" w:rsidP="00F33385">
      <w:pPr>
        <w:spacing w:line="240" w:lineRule="auto"/>
        <w:contextualSpacing/>
        <w:jc w:val="left"/>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p>
    <w:p w:rsidR="00F33385" w:rsidRDefault="00F33385" w:rsidP="00F33385">
      <w:pPr>
        <w:spacing w:line="240" w:lineRule="auto"/>
        <w:contextualSpacing/>
        <w:jc w:val="left"/>
      </w:pPr>
    </w:p>
    <w:p w:rsidR="00DD519C" w:rsidRDefault="00DD519C" w:rsidP="00F33385">
      <w:pPr>
        <w:spacing w:line="240" w:lineRule="auto"/>
        <w:jc w:val="left"/>
      </w:pPr>
    </w:p>
    <w:sectPr w:rsidR="00DD51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CEC" w:rsidRDefault="00817CEC" w:rsidP="00E04D1A">
      <w:pPr>
        <w:spacing w:line="240" w:lineRule="auto"/>
      </w:pPr>
      <w:r>
        <w:separator/>
      </w:r>
    </w:p>
  </w:endnote>
  <w:endnote w:type="continuationSeparator" w:id="0">
    <w:p w:rsidR="00817CEC" w:rsidRDefault="00817CEC" w:rsidP="00E04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873051"/>
      <w:docPartObj>
        <w:docPartGallery w:val="Page Numbers (Bottom of Page)"/>
        <w:docPartUnique/>
      </w:docPartObj>
    </w:sdtPr>
    <w:sdtEndPr>
      <w:rPr>
        <w:noProof/>
        <w:sz w:val="20"/>
        <w:szCs w:val="20"/>
      </w:rPr>
    </w:sdtEndPr>
    <w:sdtContent>
      <w:p w:rsidR="00E04D1A" w:rsidRPr="00F33385" w:rsidRDefault="00E04D1A">
        <w:pPr>
          <w:pStyle w:val="Footer"/>
          <w:rPr>
            <w:sz w:val="20"/>
            <w:szCs w:val="20"/>
          </w:rPr>
        </w:pPr>
        <w:r w:rsidRPr="00F33385">
          <w:rPr>
            <w:sz w:val="20"/>
            <w:szCs w:val="20"/>
          </w:rPr>
          <w:fldChar w:fldCharType="begin"/>
        </w:r>
        <w:r w:rsidRPr="00F33385">
          <w:rPr>
            <w:sz w:val="20"/>
            <w:szCs w:val="20"/>
          </w:rPr>
          <w:instrText xml:space="preserve"> PAGE   \* MERGEFORMAT </w:instrText>
        </w:r>
        <w:r w:rsidRPr="00F33385">
          <w:rPr>
            <w:sz w:val="20"/>
            <w:szCs w:val="20"/>
          </w:rPr>
          <w:fldChar w:fldCharType="separate"/>
        </w:r>
        <w:r w:rsidR="00F33385">
          <w:rPr>
            <w:noProof/>
            <w:sz w:val="20"/>
            <w:szCs w:val="20"/>
          </w:rPr>
          <w:t>8</w:t>
        </w:r>
        <w:r w:rsidRPr="00F33385">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385" w:rsidRPr="00F33385" w:rsidRDefault="00F33385" w:rsidP="00F33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CEC" w:rsidRDefault="00817CEC" w:rsidP="00E04D1A">
      <w:pPr>
        <w:spacing w:line="240" w:lineRule="auto"/>
      </w:pPr>
      <w:r>
        <w:separator/>
      </w:r>
    </w:p>
  </w:footnote>
  <w:footnote w:type="continuationSeparator" w:id="0">
    <w:p w:rsidR="00817CEC" w:rsidRDefault="00817CEC" w:rsidP="00E04D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9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4054"/>
    <w:rsid w:val="00025D7A"/>
    <w:rsid w:val="00026714"/>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5D5"/>
    <w:rsid w:val="00085A52"/>
    <w:rsid w:val="00086449"/>
    <w:rsid w:val="000902E3"/>
    <w:rsid w:val="0009043B"/>
    <w:rsid w:val="00091144"/>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4D50"/>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5723"/>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4793"/>
    <w:rsid w:val="001C537D"/>
    <w:rsid w:val="001C64B4"/>
    <w:rsid w:val="001C65CD"/>
    <w:rsid w:val="001D05DB"/>
    <w:rsid w:val="001D0876"/>
    <w:rsid w:val="001D0F91"/>
    <w:rsid w:val="001D1F1B"/>
    <w:rsid w:val="001D3FB1"/>
    <w:rsid w:val="001D4223"/>
    <w:rsid w:val="001D556B"/>
    <w:rsid w:val="001E24E6"/>
    <w:rsid w:val="001E2642"/>
    <w:rsid w:val="001E3C9A"/>
    <w:rsid w:val="001E5447"/>
    <w:rsid w:val="001E5DF5"/>
    <w:rsid w:val="001E604F"/>
    <w:rsid w:val="001E76FD"/>
    <w:rsid w:val="001E79A7"/>
    <w:rsid w:val="001F0835"/>
    <w:rsid w:val="001F09A7"/>
    <w:rsid w:val="001F1049"/>
    <w:rsid w:val="001F1139"/>
    <w:rsid w:val="001F27D0"/>
    <w:rsid w:val="001F33A3"/>
    <w:rsid w:val="001F4882"/>
    <w:rsid w:val="001F49C0"/>
    <w:rsid w:val="001F4DA0"/>
    <w:rsid w:val="001F6E43"/>
    <w:rsid w:val="001F6F77"/>
    <w:rsid w:val="001F74FC"/>
    <w:rsid w:val="001F77B2"/>
    <w:rsid w:val="002004A8"/>
    <w:rsid w:val="002019B1"/>
    <w:rsid w:val="00201E65"/>
    <w:rsid w:val="00205C33"/>
    <w:rsid w:val="00206F82"/>
    <w:rsid w:val="0021162B"/>
    <w:rsid w:val="002125E4"/>
    <w:rsid w:val="002131B7"/>
    <w:rsid w:val="00214E49"/>
    <w:rsid w:val="00215381"/>
    <w:rsid w:val="002155D6"/>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51D3"/>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1920"/>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5214"/>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0CCE"/>
    <w:rsid w:val="004C125D"/>
    <w:rsid w:val="004C1ABF"/>
    <w:rsid w:val="004C30D2"/>
    <w:rsid w:val="004C3AE2"/>
    <w:rsid w:val="004C4C1E"/>
    <w:rsid w:val="004C657C"/>
    <w:rsid w:val="004D0BE0"/>
    <w:rsid w:val="004D1273"/>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A68"/>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1F9"/>
    <w:rsid w:val="005C373B"/>
    <w:rsid w:val="005C3DD2"/>
    <w:rsid w:val="005C4AAA"/>
    <w:rsid w:val="005C610A"/>
    <w:rsid w:val="005D1442"/>
    <w:rsid w:val="005D1922"/>
    <w:rsid w:val="005D2788"/>
    <w:rsid w:val="005D4281"/>
    <w:rsid w:val="005D6E32"/>
    <w:rsid w:val="005E06D4"/>
    <w:rsid w:val="005E1521"/>
    <w:rsid w:val="005E3768"/>
    <w:rsid w:val="005E448D"/>
    <w:rsid w:val="005E74FA"/>
    <w:rsid w:val="005F064D"/>
    <w:rsid w:val="005F512E"/>
    <w:rsid w:val="005F5A21"/>
    <w:rsid w:val="005F6A04"/>
    <w:rsid w:val="00600458"/>
    <w:rsid w:val="0060118D"/>
    <w:rsid w:val="0060369E"/>
    <w:rsid w:val="00603824"/>
    <w:rsid w:val="006044F4"/>
    <w:rsid w:val="0060530E"/>
    <w:rsid w:val="00605D75"/>
    <w:rsid w:val="006073B5"/>
    <w:rsid w:val="00610CE1"/>
    <w:rsid w:val="006113D8"/>
    <w:rsid w:val="00612C6B"/>
    <w:rsid w:val="006151E3"/>
    <w:rsid w:val="00616232"/>
    <w:rsid w:val="00617B41"/>
    <w:rsid w:val="00620850"/>
    <w:rsid w:val="00620DB5"/>
    <w:rsid w:val="00621A59"/>
    <w:rsid w:val="0062201A"/>
    <w:rsid w:val="006225AC"/>
    <w:rsid w:val="006230A9"/>
    <w:rsid w:val="00623799"/>
    <w:rsid w:val="00624D32"/>
    <w:rsid w:val="006273ED"/>
    <w:rsid w:val="00630C84"/>
    <w:rsid w:val="00632262"/>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343F"/>
    <w:rsid w:val="006540C5"/>
    <w:rsid w:val="006543FB"/>
    <w:rsid w:val="006549F5"/>
    <w:rsid w:val="00655505"/>
    <w:rsid w:val="00655AA7"/>
    <w:rsid w:val="00655F80"/>
    <w:rsid w:val="00656541"/>
    <w:rsid w:val="00660216"/>
    <w:rsid w:val="006621E9"/>
    <w:rsid w:val="00662904"/>
    <w:rsid w:val="00664977"/>
    <w:rsid w:val="00664A57"/>
    <w:rsid w:val="00664C73"/>
    <w:rsid w:val="00671999"/>
    <w:rsid w:val="00672D27"/>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1B6"/>
    <w:rsid w:val="006D2C14"/>
    <w:rsid w:val="006D3945"/>
    <w:rsid w:val="006D4C15"/>
    <w:rsid w:val="006D7692"/>
    <w:rsid w:val="006E1753"/>
    <w:rsid w:val="006E3BF0"/>
    <w:rsid w:val="006E4E29"/>
    <w:rsid w:val="006E5D2E"/>
    <w:rsid w:val="006E670A"/>
    <w:rsid w:val="006E7C63"/>
    <w:rsid w:val="006F15E9"/>
    <w:rsid w:val="006F252A"/>
    <w:rsid w:val="006F27FC"/>
    <w:rsid w:val="006F2E5A"/>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3F77"/>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236B"/>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06CF"/>
    <w:rsid w:val="007B1039"/>
    <w:rsid w:val="007B1644"/>
    <w:rsid w:val="007B33F8"/>
    <w:rsid w:val="007B3B6F"/>
    <w:rsid w:val="007B3F3D"/>
    <w:rsid w:val="007B413B"/>
    <w:rsid w:val="007B4FD7"/>
    <w:rsid w:val="007B5461"/>
    <w:rsid w:val="007B5CA5"/>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0E34"/>
    <w:rsid w:val="008121D7"/>
    <w:rsid w:val="00812B80"/>
    <w:rsid w:val="008168A2"/>
    <w:rsid w:val="00817CEC"/>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209"/>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3E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F58"/>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2B72"/>
    <w:rsid w:val="00983488"/>
    <w:rsid w:val="00983EDB"/>
    <w:rsid w:val="009849EF"/>
    <w:rsid w:val="00984E36"/>
    <w:rsid w:val="0098553B"/>
    <w:rsid w:val="00987014"/>
    <w:rsid w:val="009871AC"/>
    <w:rsid w:val="00990892"/>
    <w:rsid w:val="00996EF8"/>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4E99"/>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8C7"/>
    <w:rsid w:val="00AA59F2"/>
    <w:rsid w:val="00AA639F"/>
    <w:rsid w:val="00AA6461"/>
    <w:rsid w:val="00AA753E"/>
    <w:rsid w:val="00AB16AD"/>
    <w:rsid w:val="00AB24CE"/>
    <w:rsid w:val="00AB3CE6"/>
    <w:rsid w:val="00AB3E2B"/>
    <w:rsid w:val="00AB504C"/>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E8A"/>
    <w:rsid w:val="00AD3F55"/>
    <w:rsid w:val="00AD49BE"/>
    <w:rsid w:val="00AD4CFD"/>
    <w:rsid w:val="00AD53F5"/>
    <w:rsid w:val="00AD5E7B"/>
    <w:rsid w:val="00AD634F"/>
    <w:rsid w:val="00AD7989"/>
    <w:rsid w:val="00AE0BFC"/>
    <w:rsid w:val="00AE1A08"/>
    <w:rsid w:val="00AE1BBA"/>
    <w:rsid w:val="00AE4BA3"/>
    <w:rsid w:val="00AE7E8A"/>
    <w:rsid w:val="00AF03F9"/>
    <w:rsid w:val="00AF32D8"/>
    <w:rsid w:val="00AF3F64"/>
    <w:rsid w:val="00AF40CA"/>
    <w:rsid w:val="00AF4C64"/>
    <w:rsid w:val="00AF69D8"/>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2516"/>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47DF"/>
    <w:rsid w:val="00B94AF0"/>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1E0C"/>
    <w:rsid w:val="00BC392E"/>
    <w:rsid w:val="00BC60A6"/>
    <w:rsid w:val="00BC62E0"/>
    <w:rsid w:val="00BC6FBF"/>
    <w:rsid w:val="00BD00D9"/>
    <w:rsid w:val="00BD1886"/>
    <w:rsid w:val="00BD23E3"/>
    <w:rsid w:val="00BD37A6"/>
    <w:rsid w:val="00BD40BC"/>
    <w:rsid w:val="00BD5E1E"/>
    <w:rsid w:val="00BD6234"/>
    <w:rsid w:val="00BD7E35"/>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03E"/>
    <w:rsid w:val="00C32633"/>
    <w:rsid w:val="00C3305D"/>
    <w:rsid w:val="00C3343C"/>
    <w:rsid w:val="00C3343E"/>
    <w:rsid w:val="00C3643C"/>
    <w:rsid w:val="00C36C29"/>
    <w:rsid w:val="00C41646"/>
    <w:rsid w:val="00C4383B"/>
    <w:rsid w:val="00C43F08"/>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172F"/>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0DEB"/>
    <w:rsid w:val="00CE1017"/>
    <w:rsid w:val="00CE358A"/>
    <w:rsid w:val="00CE373E"/>
    <w:rsid w:val="00CE43AF"/>
    <w:rsid w:val="00CE577D"/>
    <w:rsid w:val="00CE665D"/>
    <w:rsid w:val="00CE6758"/>
    <w:rsid w:val="00CE6E1C"/>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447"/>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3909"/>
    <w:rsid w:val="00DC4772"/>
    <w:rsid w:val="00DC48CF"/>
    <w:rsid w:val="00DC5BB0"/>
    <w:rsid w:val="00DC6711"/>
    <w:rsid w:val="00DC6826"/>
    <w:rsid w:val="00DD20E3"/>
    <w:rsid w:val="00DD2605"/>
    <w:rsid w:val="00DD2AAA"/>
    <w:rsid w:val="00DD50B5"/>
    <w:rsid w:val="00DD519C"/>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D1A"/>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4B7"/>
    <w:rsid w:val="00E73F29"/>
    <w:rsid w:val="00E74899"/>
    <w:rsid w:val="00E759B1"/>
    <w:rsid w:val="00E779AA"/>
    <w:rsid w:val="00E80333"/>
    <w:rsid w:val="00E8107B"/>
    <w:rsid w:val="00E833BB"/>
    <w:rsid w:val="00E83629"/>
    <w:rsid w:val="00E838DB"/>
    <w:rsid w:val="00E83F7E"/>
    <w:rsid w:val="00E84409"/>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057"/>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3385"/>
    <w:rsid w:val="00F361A3"/>
    <w:rsid w:val="00F36596"/>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119"/>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3F4"/>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1A"/>
    <w:pPr>
      <w:tabs>
        <w:tab w:val="center" w:pos="4680"/>
        <w:tab w:val="right" w:pos="9360"/>
      </w:tabs>
      <w:spacing w:line="240" w:lineRule="auto"/>
    </w:pPr>
  </w:style>
  <w:style w:type="character" w:customStyle="1" w:styleId="HeaderChar">
    <w:name w:val="Header Char"/>
    <w:basedOn w:val="DefaultParagraphFont"/>
    <w:link w:val="Header"/>
    <w:uiPriority w:val="99"/>
    <w:rsid w:val="00E04D1A"/>
  </w:style>
  <w:style w:type="paragraph" w:styleId="Footer">
    <w:name w:val="footer"/>
    <w:basedOn w:val="Normal"/>
    <w:link w:val="FooterChar"/>
    <w:uiPriority w:val="99"/>
    <w:unhideWhenUsed/>
    <w:rsid w:val="00E04D1A"/>
    <w:pPr>
      <w:tabs>
        <w:tab w:val="center" w:pos="4680"/>
        <w:tab w:val="right" w:pos="9360"/>
      </w:tabs>
      <w:spacing w:line="240" w:lineRule="auto"/>
    </w:pPr>
  </w:style>
  <w:style w:type="character" w:customStyle="1" w:styleId="FooterChar">
    <w:name w:val="Footer Char"/>
    <w:basedOn w:val="DefaultParagraphFont"/>
    <w:link w:val="Footer"/>
    <w:uiPriority w:val="99"/>
    <w:rsid w:val="00E04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1A"/>
    <w:pPr>
      <w:tabs>
        <w:tab w:val="center" w:pos="4680"/>
        <w:tab w:val="right" w:pos="9360"/>
      </w:tabs>
      <w:spacing w:line="240" w:lineRule="auto"/>
    </w:pPr>
  </w:style>
  <w:style w:type="character" w:customStyle="1" w:styleId="HeaderChar">
    <w:name w:val="Header Char"/>
    <w:basedOn w:val="DefaultParagraphFont"/>
    <w:link w:val="Header"/>
    <w:uiPriority w:val="99"/>
    <w:rsid w:val="00E04D1A"/>
  </w:style>
  <w:style w:type="paragraph" w:styleId="Footer">
    <w:name w:val="footer"/>
    <w:basedOn w:val="Normal"/>
    <w:link w:val="FooterChar"/>
    <w:uiPriority w:val="99"/>
    <w:unhideWhenUsed/>
    <w:rsid w:val="00E04D1A"/>
    <w:pPr>
      <w:tabs>
        <w:tab w:val="center" w:pos="4680"/>
        <w:tab w:val="right" w:pos="9360"/>
      </w:tabs>
      <w:spacing w:line="240" w:lineRule="auto"/>
    </w:pPr>
  </w:style>
  <w:style w:type="character" w:customStyle="1" w:styleId="FooterChar">
    <w:name w:val="Footer Char"/>
    <w:basedOn w:val="DefaultParagraphFont"/>
    <w:link w:val="Footer"/>
    <w:uiPriority w:val="99"/>
    <w:rsid w:val="00E0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cp:lastPrinted>2014-07-23T15:09:00Z</cp:lastPrinted>
  <dcterms:created xsi:type="dcterms:W3CDTF">2015-08-14T14:41:00Z</dcterms:created>
  <dcterms:modified xsi:type="dcterms:W3CDTF">2015-08-14T14:41:00Z</dcterms:modified>
</cp:coreProperties>
</file>