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B2" w:rsidRPr="005A21BA" w:rsidRDefault="007D2DB2" w:rsidP="00211604">
      <w:pPr>
        <w:pStyle w:val="Title"/>
        <w:widowControl/>
        <w:outlineLvl w:val="0"/>
        <w:rPr>
          <w:sz w:val="24"/>
          <w:szCs w:val="24"/>
        </w:rPr>
      </w:pPr>
      <w:r w:rsidRPr="005A21BA">
        <w:rPr>
          <w:sz w:val="24"/>
          <w:szCs w:val="24"/>
        </w:rPr>
        <w:t>BEFORE THE</w:t>
      </w:r>
    </w:p>
    <w:p w:rsidR="007D2DB2" w:rsidRPr="005A21BA" w:rsidRDefault="007D2DB2" w:rsidP="00211604">
      <w:pPr>
        <w:jc w:val="center"/>
        <w:outlineLvl w:val="0"/>
        <w:rPr>
          <w:b/>
          <w:szCs w:val="24"/>
        </w:rPr>
      </w:pPr>
      <w:r w:rsidRPr="005A21BA">
        <w:rPr>
          <w:b/>
          <w:szCs w:val="24"/>
        </w:rPr>
        <w:t>PENNSYLVANIA PUBLIC UTILITY COMMISSION</w:t>
      </w:r>
    </w:p>
    <w:p w:rsidR="006D7DA7" w:rsidRDefault="006D7DA7" w:rsidP="007D2DB2">
      <w:pPr>
        <w:jc w:val="center"/>
        <w:rPr>
          <w:b/>
          <w:szCs w:val="24"/>
        </w:rPr>
      </w:pPr>
    </w:p>
    <w:p w:rsidR="005A21BA" w:rsidRPr="005A21BA" w:rsidRDefault="005A21BA" w:rsidP="007D2DB2">
      <w:pPr>
        <w:jc w:val="center"/>
        <w:rPr>
          <w:b/>
          <w:szCs w:val="24"/>
        </w:rPr>
      </w:pPr>
    </w:p>
    <w:p w:rsidR="006D7DA7" w:rsidRPr="005A21BA" w:rsidRDefault="006D7DA7" w:rsidP="007D2DB2">
      <w:pPr>
        <w:jc w:val="center"/>
        <w:rPr>
          <w:b/>
          <w:szCs w:val="24"/>
        </w:rPr>
      </w:pPr>
    </w:p>
    <w:p w:rsidR="0010024A" w:rsidRPr="005A21BA" w:rsidRDefault="000A37BA" w:rsidP="0010024A">
      <w:pPr>
        <w:tabs>
          <w:tab w:val="left" w:pos="-720"/>
        </w:tabs>
        <w:suppressAutoHyphens/>
        <w:jc w:val="both"/>
        <w:rPr>
          <w:spacing w:val="-3"/>
          <w:szCs w:val="24"/>
        </w:rPr>
      </w:pPr>
      <w:r>
        <w:rPr>
          <w:spacing w:val="-3"/>
          <w:szCs w:val="24"/>
        </w:rPr>
        <w:t>Patrick W. Jones</w:t>
      </w:r>
      <w:r>
        <w:rPr>
          <w:spacing w:val="-3"/>
          <w:szCs w:val="24"/>
        </w:rPr>
        <w:tab/>
      </w:r>
      <w:r w:rsidR="0010024A" w:rsidRPr="005A21BA">
        <w:rPr>
          <w:spacing w:val="-3"/>
          <w:szCs w:val="24"/>
        </w:rPr>
        <w:tab/>
      </w:r>
      <w:r w:rsidR="0010024A" w:rsidRPr="005A21BA">
        <w:rPr>
          <w:spacing w:val="-3"/>
          <w:szCs w:val="24"/>
        </w:rPr>
        <w:tab/>
      </w:r>
      <w:r w:rsidR="0010024A" w:rsidRPr="005A21BA">
        <w:rPr>
          <w:spacing w:val="-3"/>
          <w:szCs w:val="24"/>
        </w:rPr>
        <w:tab/>
      </w:r>
      <w:r w:rsidR="005A21BA">
        <w:rPr>
          <w:spacing w:val="-3"/>
          <w:szCs w:val="24"/>
        </w:rPr>
        <w:tab/>
      </w:r>
      <w:r w:rsidR="0010024A" w:rsidRPr="005A21BA">
        <w:rPr>
          <w:spacing w:val="-3"/>
          <w:szCs w:val="24"/>
        </w:rPr>
        <w:fldChar w:fldCharType="begin"/>
      </w:r>
      <w:r w:rsidR="0010024A" w:rsidRPr="005A21BA">
        <w:rPr>
          <w:spacing w:val="-3"/>
          <w:szCs w:val="24"/>
        </w:rPr>
        <w:instrText>fillin "Complainant's name" \d ""</w:instrText>
      </w:r>
      <w:r w:rsidR="0010024A" w:rsidRPr="005A21BA">
        <w:rPr>
          <w:spacing w:val="-3"/>
          <w:szCs w:val="24"/>
        </w:rPr>
        <w:fldChar w:fldCharType="end"/>
      </w:r>
      <w:r w:rsidR="0010024A" w:rsidRPr="005A21BA">
        <w:rPr>
          <w:spacing w:val="-3"/>
          <w:szCs w:val="24"/>
        </w:rPr>
        <w:t>:</w:t>
      </w:r>
    </w:p>
    <w:p w:rsidR="0010024A" w:rsidRPr="005A21BA" w:rsidRDefault="0010024A" w:rsidP="0010024A">
      <w:pPr>
        <w:tabs>
          <w:tab w:val="left" w:pos="-720"/>
        </w:tabs>
        <w:suppressAutoHyphens/>
        <w:jc w:val="both"/>
        <w:rPr>
          <w:spacing w:val="-3"/>
          <w:szCs w:val="24"/>
        </w:rPr>
      </w:pPr>
      <w:r w:rsidRPr="005A21BA">
        <w:rPr>
          <w:spacing w:val="-3"/>
          <w:szCs w:val="24"/>
        </w:rPr>
        <w:tab/>
      </w:r>
      <w:r w:rsidRPr="005A21BA">
        <w:rPr>
          <w:spacing w:val="-3"/>
          <w:szCs w:val="24"/>
        </w:rPr>
        <w:tab/>
      </w:r>
      <w:r w:rsidRPr="005A21BA">
        <w:rPr>
          <w:spacing w:val="-3"/>
          <w:szCs w:val="24"/>
        </w:rPr>
        <w:tab/>
      </w:r>
      <w:r w:rsidRPr="005A21BA">
        <w:rPr>
          <w:spacing w:val="-3"/>
          <w:szCs w:val="24"/>
        </w:rPr>
        <w:tab/>
      </w:r>
      <w:r w:rsidRPr="005A21BA">
        <w:rPr>
          <w:spacing w:val="-3"/>
          <w:szCs w:val="24"/>
        </w:rPr>
        <w:tab/>
      </w:r>
      <w:r w:rsidRPr="005A21BA">
        <w:rPr>
          <w:spacing w:val="-3"/>
          <w:szCs w:val="24"/>
        </w:rPr>
        <w:tab/>
      </w:r>
      <w:r w:rsidR="005A21BA">
        <w:rPr>
          <w:spacing w:val="-3"/>
          <w:szCs w:val="24"/>
        </w:rPr>
        <w:tab/>
      </w:r>
      <w:r w:rsidRPr="005A21BA">
        <w:rPr>
          <w:spacing w:val="-3"/>
          <w:szCs w:val="24"/>
        </w:rPr>
        <w:t>:</w:t>
      </w:r>
    </w:p>
    <w:p w:rsidR="0010024A" w:rsidRPr="005A21BA" w:rsidRDefault="0010024A" w:rsidP="0010024A">
      <w:pPr>
        <w:tabs>
          <w:tab w:val="left" w:pos="-720"/>
        </w:tabs>
        <w:suppressAutoHyphens/>
        <w:jc w:val="both"/>
        <w:rPr>
          <w:spacing w:val="-3"/>
          <w:szCs w:val="24"/>
        </w:rPr>
      </w:pPr>
      <w:r w:rsidRPr="005A21BA">
        <w:rPr>
          <w:spacing w:val="-3"/>
          <w:szCs w:val="24"/>
        </w:rPr>
        <w:tab/>
        <w:t>v.</w:t>
      </w:r>
      <w:r w:rsidRPr="005A21BA">
        <w:rPr>
          <w:spacing w:val="-3"/>
          <w:szCs w:val="24"/>
        </w:rPr>
        <w:tab/>
      </w:r>
      <w:r w:rsidRPr="005A21BA">
        <w:rPr>
          <w:spacing w:val="-3"/>
          <w:szCs w:val="24"/>
        </w:rPr>
        <w:tab/>
      </w:r>
      <w:r w:rsidRPr="005A21BA">
        <w:rPr>
          <w:spacing w:val="-3"/>
          <w:szCs w:val="24"/>
        </w:rPr>
        <w:tab/>
      </w:r>
      <w:r w:rsidRPr="005A21BA">
        <w:rPr>
          <w:spacing w:val="-3"/>
          <w:szCs w:val="24"/>
        </w:rPr>
        <w:tab/>
      </w:r>
      <w:r w:rsidRPr="005A21BA">
        <w:rPr>
          <w:spacing w:val="-3"/>
          <w:szCs w:val="24"/>
        </w:rPr>
        <w:tab/>
      </w:r>
      <w:r w:rsidR="005A21BA">
        <w:rPr>
          <w:spacing w:val="-3"/>
          <w:szCs w:val="24"/>
        </w:rPr>
        <w:tab/>
      </w:r>
      <w:r w:rsidRPr="005A21BA">
        <w:rPr>
          <w:spacing w:val="-3"/>
          <w:szCs w:val="24"/>
        </w:rPr>
        <w:t>:</w:t>
      </w:r>
      <w:r w:rsidRPr="005A21BA">
        <w:rPr>
          <w:spacing w:val="-3"/>
          <w:szCs w:val="24"/>
        </w:rPr>
        <w:tab/>
      </w:r>
      <w:r w:rsidRPr="005A21BA">
        <w:rPr>
          <w:spacing w:val="-3"/>
          <w:szCs w:val="24"/>
        </w:rPr>
        <w:tab/>
        <w:t>C-201</w:t>
      </w:r>
      <w:r w:rsidR="000A37BA">
        <w:rPr>
          <w:spacing w:val="-3"/>
          <w:szCs w:val="24"/>
        </w:rPr>
        <w:t>5-2489704</w:t>
      </w:r>
    </w:p>
    <w:p w:rsidR="0010024A" w:rsidRPr="005A21BA" w:rsidRDefault="0010024A" w:rsidP="0010024A">
      <w:pPr>
        <w:tabs>
          <w:tab w:val="left" w:pos="-720"/>
        </w:tabs>
        <w:suppressAutoHyphens/>
        <w:jc w:val="both"/>
        <w:rPr>
          <w:spacing w:val="-3"/>
          <w:szCs w:val="24"/>
        </w:rPr>
      </w:pPr>
      <w:r w:rsidRPr="005A21BA">
        <w:rPr>
          <w:spacing w:val="-3"/>
          <w:szCs w:val="24"/>
        </w:rPr>
        <w:tab/>
      </w:r>
      <w:r w:rsidRPr="005A21BA">
        <w:rPr>
          <w:spacing w:val="-3"/>
          <w:szCs w:val="24"/>
        </w:rPr>
        <w:tab/>
      </w:r>
      <w:r w:rsidRPr="005A21BA">
        <w:rPr>
          <w:spacing w:val="-3"/>
          <w:szCs w:val="24"/>
        </w:rPr>
        <w:tab/>
      </w:r>
      <w:r w:rsidRPr="005A21BA">
        <w:rPr>
          <w:spacing w:val="-3"/>
          <w:szCs w:val="24"/>
        </w:rPr>
        <w:tab/>
      </w:r>
      <w:r w:rsidRPr="005A21BA">
        <w:rPr>
          <w:spacing w:val="-3"/>
          <w:szCs w:val="24"/>
        </w:rPr>
        <w:tab/>
      </w:r>
      <w:r w:rsidRPr="005A21BA">
        <w:rPr>
          <w:spacing w:val="-3"/>
          <w:szCs w:val="24"/>
        </w:rPr>
        <w:tab/>
      </w:r>
      <w:r w:rsidR="005A21BA">
        <w:rPr>
          <w:spacing w:val="-3"/>
          <w:szCs w:val="24"/>
        </w:rPr>
        <w:tab/>
      </w:r>
      <w:r w:rsidRPr="005A21BA">
        <w:rPr>
          <w:spacing w:val="-3"/>
          <w:szCs w:val="24"/>
        </w:rPr>
        <w:t>:</w:t>
      </w:r>
    </w:p>
    <w:p w:rsidR="0010024A" w:rsidRPr="005A21BA" w:rsidRDefault="000A37BA" w:rsidP="0010024A">
      <w:pPr>
        <w:tabs>
          <w:tab w:val="left" w:pos="-720"/>
          <w:tab w:val="left" w:pos="-90"/>
        </w:tabs>
        <w:suppressAutoHyphens/>
        <w:jc w:val="both"/>
        <w:rPr>
          <w:spacing w:val="-3"/>
          <w:szCs w:val="24"/>
        </w:rPr>
      </w:pPr>
      <w:r>
        <w:rPr>
          <w:spacing w:val="-3"/>
          <w:szCs w:val="24"/>
        </w:rPr>
        <w:t>Philadelphia Gas Works</w:t>
      </w:r>
      <w:r w:rsidR="0010024A" w:rsidRPr="005A21BA">
        <w:rPr>
          <w:spacing w:val="-3"/>
          <w:szCs w:val="24"/>
        </w:rPr>
        <w:tab/>
        <w:t xml:space="preserve"> </w:t>
      </w:r>
      <w:r w:rsidR="0010024A" w:rsidRPr="005A21BA">
        <w:rPr>
          <w:spacing w:val="-3"/>
          <w:szCs w:val="24"/>
        </w:rPr>
        <w:tab/>
      </w:r>
      <w:r w:rsidR="0010024A" w:rsidRPr="005A21BA">
        <w:rPr>
          <w:spacing w:val="-3"/>
          <w:szCs w:val="24"/>
        </w:rPr>
        <w:tab/>
      </w:r>
      <w:r w:rsidR="005A21BA">
        <w:rPr>
          <w:spacing w:val="-3"/>
          <w:szCs w:val="24"/>
        </w:rPr>
        <w:tab/>
      </w:r>
      <w:r w:rsidR="0010024A" w:rsidRPr="005A21BA">
        <w:rPr>
          <w:spacing w:val="-3"/>
          <w:szCs w:val="24"/>
        </w:rPr>
        <w:t>:</w:t>
      </w:r>
    </w:p>
    <w:p w:rsidR="00093BE1" w:rsidRDefault="00093BE1" w:rsidP="007D2DB2">
      <w:pPr>
        <w:tabs>
          <w:tab w:val="center" w:pos="4680"/>
        </w:tabs>
        <w:jc w:val="both"/>
        <w:rPr>
          <w:szCs w:val="24"/>
        </w:rPr>
      </w:pPr>
    </w:p>
    <w:p w:rsidR="005A21BA" w:rsidRPr="005A21BA" w:rsidRDefault="005A21BA" w:rsidP="007D2DB2">
      <w:pPr>
        <w:tabs>
          <w:tab w:val="center" w:pos="4680"/>
        </w:tabs>
        <w:jc w:val="both"/>
        <w:rPr>
          <w:szCs w:val="24"/>
        </w:rPr>
      </w:pPr>
    </w:p>
    <w:p w:rsidR="0010024A" w:rsidRPr="005A21BA" w:rsidRDefault="0010024A" w:rsidP="007D2DB2">
      <w:pPr>
        <w:tabs>
          <w:tab w:val="center" w:pos="4680"/>
        </w:tabs>
        <w:jc w:val="both"/>
        <w:rPr>
          <w:szCs w:val="24"/>
        </w:rPr>
      </w:pPr>
    </w:p>
    <w:p w:rsidR="00AD7CFA" w:rsidRPr="005A21BA" w:rsidRDefault="00AD7CFA" w:rsidP="00AD7CFA">
      <w:pPr>
        <w:tabs>
          <w:tab w:val="center" w:pos="4680"/>
        </w:tabs>
        <w:suppressAutoHyphens/>
        <w:jc w:val="center"/>
        <w:rPr>
          <w:b/>
          <w:bCs/>
          <w:spacing w:val="-3"/>
          <w:szCs w:val="24"/>
          <w:u w:val="single"/>
        </w:rPr>
      </w:pPr>
      <w:r w:rsidRPr="005A21BA">
        <w:rPr>
          <w:b/>
          <w:bCs/>
          <w:spacing w:val="-3"/>
          <w:szCs w:val="24"/>
          <w:u w:val="single"/>
        </w:rPr>
        <w:t>INITIAL DECISIO</w:t>
      </w:r>
      <w:r w:rsidR="009F105D" w:rsidRPr="005A21BA">
        <w:rPr>
          <w:b/>
          <w:bCs/>
          <w:spacing w:val="-3"/>
          <w:szCs w:val="24"/>
          <w:u w:val="single"/>
        </w:rPr>
        <w:t>N</w:t>
      </w:r>
      <w:r w:rsidRPr="005A21BA">
        <w:rPr>
          <w:b/>
          <w:bCs/>
          <w:spacing w:val="-3"/>
          <w:szCs w:val="24"/>
          <w:u w:val="single"/>
        </w:rPr>
        <w:t xml:space="preserve"> GRANTING</w:t>
      </w:r>
      <w:r w:rsidR="009875D0" w:rsidRPr="005A21BA">
        <w:rPr>
          <w:b/>
          <w:bCs/>
          <w:spacing w:val="-3"/>
          <w:szCs w:val="24"/>
          <w:u w:val="single"/>
        </w:rPr>
        <w:t xml:space="preserve"> </w:t>
      </w:r>
      <w:r w:rsidRPr="005A21BA">
        <w:rPr>
          <w:b/>
          <w:bCs/>
          <w:spacing w:val="-3"/>
          <w:szCs w:val="24"/>
          <w:u w:val="single"/>
        </w:rPr>
        <w:t xml:space="preserve">MOTION </w:t>
      </w:r>
      <w:r w:rsidR="00A0470C" w:rsidRPr="005A21BA">
        <w:rPr>
          <w:b/>
          <w:bCs/>
          <w:spacing w:val="-3"/>
          <w:szCs w:val="24"/>
          <w:u w:val="single"/>
        </w:rPr>
        <w:t>FOR SUMMARY JUDGMENT</w:t>
      </w:r>
      <w:r w:rsidR="0074192A" w:rsidRPr="005A21BA">
        <w:rPr>
          <w:b/>
          <w:bCs/>
          <w:spacing w:val="-3"/>
          <w:szCs w:val="24"/>
          <w:u w:val="single"/>
        </w:rPr>
        <w:t xml:space="preserve"> </w:t>
      </w:r>
    </w:p>
    <w:p w:rsidR="00AD7CFA" w:rsidRDefault="00AD7CFA" w:rsidP="00AD7CFA">
      <w:pPr>
        <w:tabs>
          <w:tab w:val="center" w:pos="4680"/>
        </w:tabs>
        <w:suppressAutoHyphens/>
        <w:jc w:val="center"/>
        <w:rPr>
          <w:b/>
          <w:bCs/>
          <w:spacing w:val="-3"/>
          <w:szCs w:val="24"/>
          <w:u w:val="single"/>
        </w:rPr>
      </w:pPr>
    </w:p>
    <w:p w:rsidR="005A21BA" w:rsidRPr="005A21BA" w:rsidRDefault="005A21BA" w:rsidP="00AD7CFA">
      <w:pPr>
        <w:tabs>
          <w:tab w:val="center" w:pos="4680"/>
        </w:tabs>
        <w:suppressAutoHyphens/>
        <w:jc w:val="center"/>
        <w:rPr>
          <w:b/>
          <w:bCs/>
          <w:spacing w:val="-3"/>
          <w:szCs w:val="24"/>
          <w:u w:val="single"/>
        </w:rPr>
      </w:pPr>
    </w:p>
    <w:p w:rsidR="00AD7CFA" w:rsidRPr="005A21BA" w:rsidRDefault="00AD7CFA" w:rsidP="00211604">
      <w:pPr>
        <w:tabs>
          <w:tab w:val="center" w:pos="4680"/>
        </w:tabs>
        <w:suppressAutoHyphens/>
        <w:jc w:val="center"/>
        <w:outlineLvl w:val="0"/>
        <w:rPr>
          <w:bCs/>
          <w:spacing w:val="-3"/>
          <w:szCs w:val="24"/>
        </w:rPr>
      </w:pPr>
      <w:r w:rsidRPr="005A21BA">
        <w:rPr>
          <w:bCs/>
          <w:spacing w:val="-3"/>
          <w:szCs w:val="24"/>
        </w:rPr>
        <w:t xml:space="preserve">Before </w:t>
      </w:r>
    </w:p>
    <w:p w:rsidR="00AD7CFA" w:rsidRPr="005A21BA" w:rsidRDefault="00AD7CFA" w:rsidP="00AD7CFA">
      <w:pPr>
        <w:tabs>
          <w:tab w:val="center" w:pos="4680"/>
        </w:tabs>
        <w:suppressAutoHyphens/>
        <w:jc w:val="center"/>
        <w:rPr>
          <w:bCs/>
          <w:spacing w:val="-3"/>
          <w:szCs w:val="24"/>
        </w:rPr>
      </w:pPr>
      <w:r w:rsidRPr="005A21BA">
        <w:rPr>
          <w:bCs/>
          <w:spacing w:val="-3"/>
          <w:szCs w:val="24"/>
        </w:rPr>
        <w:t>David A. Salapa</w:t>
      </w:r>
    </w:p>
    <w:p w:rsidR="00AD7CFA" w:rsidRPr="005A21BA" w:rsidRDefault="00AD7CFA" w:rsidP="00AD7CFA">
      <w:pPr>
        <w:tabs>
          <w:tab w:val="center" w:pos="4680"/>
        </w:tabs>
        <w:suppressAutoHyphens/>
        <w:jc w:val="center"/>
        <w:rPr>
          <w:bCs/>
          <w:spacing w:val="-3"/>
          <w:szCs w:val="24"/>
        </w:rPr>
      </w:pPr>
      <w:r w:rsidRPr="005A21BA">
        <w:rPr>
          <w:bCs/>
          <w:spacing w:val="-3"/>
          <w:szCs w:val="24"/>
        </w:rPr>
        <w:t>Administrative Law Judge</w:t>
      </w:r>
    </w:p>
    <w:p w:rsidR="00A74415" w:rsidRDefault="00A74415" w:rsidP="005A21BA">
      <w:pPr>
        <w:tabs>
          <w:tab w:val="center" w:pos="4680"/>
        </w:tabs>
        <w:suppressAutoHyphens/>
        <w:jc w:val="center"/>
        <w:outlineLvl w:val="0"/>
        <w:rPr>
          <w:bCs/>
          <w:spacing w:val="-3"/>
          <w:szCs w:val="24"/>
          <w:u w:val="single"/>
        </w:rPr>
      </w:pPr>
    </w:p>
    <w:p w:rsidR="005A21BA" w:rsidRPr="005A21BA" w:rsidRDefault="005A21BA" w:rsidP="005A21BA">
      <w:pPr>
        <w:tabs>
          <w:tab w:val="center" w:pos="4680"/>
        </w:tabs>
        <w:suppressAutoHyphens/>
        <w:jc w:val="center"/>
        <w:outlineLvl w:val="0"/>
        <w:rPr>
          <w:bCs/>
          <w:spacing w:val="-3"/>
          <w:szCs w:val="24"/>
          <w:u w:val="single"/>
        </w:rPr>
      </w:pPr>
    </w:p>
    <w:p w:rsidR="004F23F0" w:rsidRPr="005A21BA" w:rsidRDefault="004F23F0" w:rsidP="005A21BA">
      <w:pPr>
        <w:tabs>
          <w:tab w:val="center" w:pos="4680"/>
        </w:tabs>
        <w:suppressAutoHyphens/>
        <w:jc w:val="center"/>
        <w:outlineLvl w:val="0"/>
        <w:rPr>
          <w:bCs/>
          <w:spacing w:val="-3"/>
          <w:szCs w:val="24"/>
          <w:u w:val="single"/>
        </w:rPr>
      </w:pPr>
      <w:r w:rsidRPr="005A21BA">
        <w:rPr>
          <w:bCs/>
          <w:spacing w:val="-3"/>
          <w:szCs w:val="24"/>
          <w:u w:val="single"/>
        </w:rPr>
        <w:t>INTRODUCTION</w:t>
      </w:r>
    </w:p>
    <w:p w:rsidR="004F23F0" w:rsidRDefault="004F23F0" w:rsidP="00F32A94">
      <w:pPr>
        <w:tabs>
          <w:tab w:val="center" w:pos="4680"/>
        </w:tabs>
        <w:suppressAutoHyphens/>
        <w:spacing w:line="360" w:lineRule="auto"/>
        <w:jc w:val="center"/>
        <w:outlineLvl w:val="0"/>
        <w:rPr>
          <w:bCs/>
          <w:spacing w:val="-3"/>
          <w:szCs w:val="24"/>
          <w:u w:val="single"/>
        </w:rPr>
      </w:pPr>
    </w:p>
    <w:p w:rsidR="004F23F0" w:rsidRPr="005A21BA" w:rsidRDefault="00C706AF" w:rsidP="00F32A94">
      <w:pPr>
        <w:tabs>
          <w:tab w:val="center" w:pos="-900"/>
        </w:tabs>
        <w:suppressAutoHyphens/>
        <w:spacing w:line="360" w:lineRule="auto"/>
        <w:rPr>
          <w:bCs/>
          <w:spacing w:val="-3"/>
          <w:szCs w:val="24"/>
        </w:rPr>
      </w:pPr>
      <w:r w:rsidRPr="005A21BA">
        <w:rPr>
          <w:bCs/>
          <w:spacing w:val="-3"/>
          <w:szCs w:val="24"/>
        </w:rPr>
        <w:tab/>
      </w:r>
      <w:r w:rsidRPr="005A21BA">
        <w:rPr>
          <w:bCs/>
          <w:spacing w:val="-3"/>
          <w:szCs w:val="24"/>
        </w:rPr>
        <w:tab/>
        <w:t xml:space="preserve">A customer filed a complaint against </w:t>
      </w:r>
      <w:r w:rsidR="002103EB">
        <w:rPr>
          <w:bCs/>
          <w:spacing w:val="-3"/>
          <w:szCs w:val="24"/>
        </w:rPr>
        <w:t>his utility alleging that there are incorrect charges on his bill and requesting a payment arrangement.</w:t>
      </w:r>
      <w:r w:rsidRPr="005A21BA">
        <w:rPr>
          <w:bCs/>
          <w:spacing w:val="-3"/>
          <w:szCs w:val="24"/>
        </w:rPr>
        <w:t xml:space="preserve">  This decision denies the complaint because</w:t>
      </w:r>
      <w:r w:rsidR="002103EB">
        <w:rPr>
          <w:bCs/>
          <w:spacing w:val="-3"/>
          <w:szCs w:val="24"/>
        </w:rPr>
        <w:t xml:space="preserve"> the customer previously filed a complaint disputing the same charges and settled the previous case.  This decision also denies the </w:t>
      </w:r>
      <w:r w:rsidR="00D60AA1">
        <w:rPr>
          <w:bCs/>
          <w:spacing w:val="-3"/>
          <w:szCs w:val="24"/>
        </w:rPr>
        <w:t>c</w:t>
      </w:r>
      <w:r w:rsidR="002103EB">
        <w:rPr>
          <w:bCs/>
          <w:spacing w:val="-3"/>
          <w:szCs w:val="24"/>
        </w:rPr>
        <w:t>ustomer’s request for a payment arrangement because a portion of the customer’s account balance consists of customer assistance program (CAP) arrearages</w:t>
      </w:r>
      <w:r w:rsidR="003957B7">
        <w:rPr>
          <w:bCs/>
          <w:spacing w:val="-3"/>
          <w:szCs w:val="24"/>
        </w:rPr>
        <w:t xml:space="preserve"> and the customer has </w:t>
      </w:r>
      <w:r w:rsidR="003957B7" w:rsidRPr="008A7C2B">
        <w:t>not made reasonable efforts to pay his bills in a timely fashion</w:t>
      </w:r>
      <w:r w:rsidR="003957B7">
        <w:t xml:space="preserve"> so as to warrant a payment arrangement on the portion of his account consisting of non-CAP arrearages</w:t>
      </w:r>
      <w:bookmarkStart w:id="0" w:name="_GoBack"/>
      <w:bookmarkEnd w:id="0"/>
      <w:r w:rsidR="002103EB">
        <w:rPr>
          <w:bCs/>
          <w:spacing w:val="-3"/>
          <w:szCs w:val="24"/>
        </w:rPr>
        <w:t>.</w:t>
      </w:r>
    </w:p>
    <w:p w:rsidR="004F23F0" w:rsidRDefault="004F23F0" w:rsidP="00F32A94">
      <w:pPr>
        <w:tabs>
          <w:tab w:val="center" w:pos="4680"/>
        </w:tabs>
        <w:suppressAutoHyphens/>
        <w:spacing w:line="360" w:lineRule="auto"/>
        <w:jc w:val="center"/>
        <w:outlineLvl w:val="0"/>
        <w:rPr>
          <w:bCs/>
          <w:spacing w:val="-3"/>
          <w:szCs w:val="24"/>
          <w:u w:val="single"/>
        </w:rPr>
      </w:pPr>
    </w:p>
    <w:p w:rsidR="00AD7CFA" w:rsidRPr="005A21BA" w:rsidRDefault="00AD7CFA" w:rsidP="005A21BA">
      <w:pPr>
        <w:tabs>
          <w:tab w:val="center" w:pos="4680"/>
        </w:tabs>
        <w:suppressAutoHyphens/>
        <w:jc w:val="center"/>
        <w:outlineLvl w:val="0"/>
        <w:rPr>
          <w:bCs/>
          <w:spacing w:val="-3"/>
          <w:szCs w:val="24"/>
          <w:u w:val="single"/>
        </w:rPr>
      </w:pPr>
      <w:r w:rsidRPr="005A21BA">
        <w:rPr>
          <w:bCs/>
          <w:spacing w:val="-3"/>
          <w:szCs w:val="24"/>
          <w:u w:val="single"/>
        </w:rPr>
        <w:t>HISTORY OF THE PROCEEDING</w:t>
      </w:r>
    </w:p>
    <w:p w:rsidR="00AD7CFA" w:rsidRDefault="00AD7CFA" w:rsidP="00F32A94">
      <w:pPr>
        <w:pStyle w:val="ParaTab1"/>
        <w:tabs>
          <w:tab w:val="left" w:pos="2070"/>
        </w:tabs>
        <w:spacing w:line="360" w:lineRule="auto"/>
        <w:ind w:firstLine="0"/>
        <w:rPr>
          <w:rFonts w:ascii="Times New Roman" w:hAnsi="Times New Roman" w:cs="Times New Roman"/>
        </w:rPr>
      </w:pPr>
    </w:p>
    <w:p w:rsidR="00222E36" w:rsidRDefault="00AD7CFA" w:rsidP="00F32A94">
      <w:pPr>
        <w:pStyle w:val="ParaTab1"/>
        <w:spacing w:line="360" w:lineRule="auto"/>
        <w:ind w:firstLine="1350"/>
        <w:rPr>
          <w:rFonts w:ascii="Times New Roman" w:hAnsi="Times New Roman" w:cs="Times New Roman"/>
        </w:rPr>
      </w:pPr>
      <w:r w:rsidRPr="005A21BA">
        <w:rPr>
          <w:rFonts w:ascii="Times New Roman" w:hAnsi="Times New Roman" w:cs="Times New Roman"/>
        </w:rPr>
        <w:t xml:space="preserve">On </w:t>
      </w:r>
      <w:r w:rsidR="00222E36">
        <w:rPr>
          <w:rFonts w:ascii="Times New Roman" w:hAnsi="Times New Roman" w:cs="Times New Roman"/>
        </w:rPr>
        <w:t>June 26, 2015</w:t>
      </w:r>
      <w:r w:rsidR="00A74415" w:rsidRPr="005A21BA">
        <w:rPr>
          <w:rFonts w:ascii="Times New Roman" w:hAnsi="Times New Roman" w:cs="Times New Roman"/>
        </w:rPr>
        <w:t xml:space="preserve">, </w:t>
      </w:r>
      <w:r w:rsidR="00222E36">
        <w:rPr>
          <w:rFonts w:ascii="Times New Roman" w:hAnsi="Times New Roman" w:cs="Times New Roman"/>
        </w:rPr>
        <w:t xml:space="preserve">Patrick W. Jones </w:t>
      </w:r>
      <w:r w:rsidR="00A74415" w:rsidRPr="005A21BA">
        <w:rPr>
          <w:rFonts w:ascii="Times New Roman" w:hAnsi="Times New Roman" w:cs="Times New Roman"/>
        </w:rPr>
        <w:t xml:space="preserve">(Complainant) </w:t>
      </w:r>
      <w:r w:rsidRPr="005A21BA">
        <w:rPr>
          <w:rFonts w:ascii="Times New Roman" w:hAnsi="Times New Roman" w:cs="Times New Roman"/>
        </w:rPr>
        <w:t>filed a</w:t>
      </w:r>
      <w:r w:rsidR="009F7969" w:rsidRPr="005A21BA">
        <w:rPr>
          <w:rFonts w:ascii="Times New Roman" w:hAnsi="Times New Roman" w:cs="Times New Roman"/>
        </w:rPr>
        <w:t xml:space="preserve"> complaint with the Pennsylvania Public </w:t>
      </w:r>
      <w:r w:rsidR="00483D10" w:rsidRPr="005A21BA">
        <w:rPr>
          <w:rFonts w:ascii="Times New Roman" w:hAnsi="Times New Roman" w:cs="Times New Roman"/>
        </w:rPr>
        <w:t>U</w:t>
      </w:r>
      <w:r w:rsidR="009F7969" w:rsidRPr="005A21BA">
        <w:rPr>
          <w:rFonts w:ascii="Times New Roman" w:hAnsi="Times New Roman" w:cs="Times New Roman"/>
        </w:rPr>
        <w:t xml:space="preserve">tility Commission (Commission) against </w:t>
      </w:r>
      <w:r w:rsidR="00222E36">
        <w:rPr>
          <w:rFonts w:ascii="Times New Roman" w:hAnsi="Times New Roman" w:cs="Times New Roman"/>
        </w:rPr>
        <w:t xml:space="preserve">Philadelphia Gas Works </w:t>
      </w:r>
      <w:r w:rsidR="00A74415" w:rsidRPr="005A21BA">
        <w:rPr>
          <w:rFonts w:ascii="Times New Roman" w:hAnsi="Times New Roman" w:cs="Times New Roman"/>
        </w:rPr>
        <w:t>(Respondent)</w:t>
      </w:r>
      <w:r w:rsidR="009F7969" w:rsidRPr="005A21BA">
        <w:rPr>
          <w:rFonts w:ascii="Times New Roman" w:hAnsi="Times New Roman" w:cs="Times New Roman"/>
        </w:rPr>
        <w:t xml:space="preserve">.  </w:t>
      </w:r>
      <w:r w:rsidR="00C7763D" w:rsidRPr="005A21BA">
        <w:rPr>
          <w:rFonts w:ascii="Times New Roman" w:hAnsi="Times New Roman" w:cs="Times New Roman"/>
        </w:rPr>
        <w:t xml:space="preserve">The complaint alleges that </w:t>
      </w:r>
      <w:r w:rsidR="00A74415" w:rsidRPr="005A21BA">
        <w:rPr>
          <w:rFonts w:ascii="Times New Roman" w:hAnsi="Times New Roman" w:cs="Times New Roman"/>
        </w:rPr>
        <w:t xml:space="preserve">there are incorrect charges on the Complainant’s bill.  </w:t>
      </w:r>
    </w:p>
    <w:p w:rsidR="00222E36" w:rsidRDefault="00222E36" w:rsidP="00F32A94">
      <w:pPr>
        <w:pStyle w:val="ParaTab1"/>
        <w:spacing w:line="360" w:lineRule="auto"/>
        <w:ind w:firstLine="1350"/>
        <w:rPr>
          <w:rFonts w:ascii="Times New Roman" w:hAnsi="Times New Roman" w:cs="Times New Roman"/>
        </w:rPr>
      </w:pPr>
    </w:p>
    <w:p w:rsidR="00FD7FB1" w:rsidRDefault="00A74415" w:rsidP="00F32A94">
      <w:pPr>
        <w:pStyle w:val="ParaTab1"/>
        <w:spacing w:line="360" w:lineRule="auto"/>
        <w:ind w:firstLine="1350"/>
        <w:rPr>
          <w:rFonts w:ascii="Times New Roman" w:hAnsi="Times New Roman" w:cs="Times New Roman"/>
        </w:rPr>
      </w:pPr>
      <w:r w:rsidRPr="005A21BA">
        <w:rPr>
          <w:rFonts w:ascii="Times New Roman" w:hAnsi="Times New Roman" w:cs="Times New Roman"/>
        </w:rPr>
        <w:lastRenderedPageBreak/>
        <w:t xml:space="preserve">Attached to the complaint is a </w:t>
      </w:r>
      <w:r w:rsidR="00222E36">
        <w:rPr>
          <w:rFonts w:ascii="Times New Roman" w:hAnsi="Times New Roman" w:cs="Times New Roman"/>
        </w:rPr>
        <w:t>letter, dated June 2, 2015, stating that the Complainant has been seeking a detailed billing history</w:t>
      </w:r>
      <w:r w:rsidR="002103EB">
        <w:rPr>
          <w:rFonts w:ascii="Times New Roman" w:hAnsi="Times New Roman" w:cs="Times New Roman"/>
        </w:rPr>
        <w:t xml:space="preserve"> to explain his account balance of $</w:t>
      </w:r>
      <w:proofErr w:type="gramStart"/>
      <w:r w:rsidR="002103EB">
        <w:rPr>
          <w:rFonts w:ascii="Times New Roman" w:hAnsi="Times New Roman" w:cs="Times New Roman"/>
        </w:rPr>
        <w:t>19,428.89</w:t>
      </w:r>
      <w:r w:rsidR="00222E36">
        <w:rPr>
          <w:rFonts w:ascii="Times New Roman" w:hAnsi="Times New Roman" w:cs="Times New Roman"/>
        </w:rPr>
        <w:t>.</w:t>
      </w:r>
      <w:proofErr w:type="gramEnd"/>
      <w:r w:rsidR="00222E36">
        <w:rPr>
          <w:rFonts w:ascii="Times New Roman" w:hAnsi="Times New Roman" w:cs="Times New Roman"/>
        </w:rPr>
        <w:t xml:space="preserve">  According to the June 2, 2015 letter, the Complainant has been arguing with the Respondent about the charges on his bill for years.  The letter alleges that the only explanation that the Respondent has provided for the charges on the Complainant’s bill is that a portion of the bill was transferred to the Complainant’s bill from a previous account.</w:t>
      </w:r>
      <w:r w:rsidR="005B27D6">
        <w:rPr>
          <w:rFonts w:ascii="Times New Roman" w:hAnsi="Times New Roman" w:cs="Times New Roman"/>
        </w:rPr>
        <w:t xml:space="preserve">  The Complainant contends this explanation is insufficient.</w:t>
      </w:r>
      <w:r w:rsidR="00FD7FB1">
        <w:rPr>
          <w:rFonts w:ascii="Times New Roman" w:hAnsi="Times New Roman" w:cs="Times New Roman"/>
        </w:rPr>
        <w:t xml:space="preserve">  </w:t>
      </w:r>
    </w:p>
    <w:p w:rsidR="0058394B" w:rsidRDefault="0058394B" w:rsidP="00F32A94">
      <w:pPr>
        <w:pStyle w:val="ParaTab1"/>
        <w:spacing w:line="360" w:lineRule="auto"/>
        <w:ind w:firstLine="1350"/>
        <w:rPr>
          <w:rFonts w:ascii="Times New Roman" w:hAnsi="Times New Roman" w:cs="Times New Roman"/>
        </w:rPr>
      </w:pPr>
    </w:p>
    <w:p w:rsidR="00FD7FB1" w:rsidRDefault="00FD7FB1" w:rsidP="00F32A94">
      <w:pPr>
        <w:pStyle w:val="ParaTab1"/>
        <w:spacing w:line="360" w:lineRule="auto"/>
        <w:ind w:firstLine="1350"/>
        <w:rPr>
          <w:rFonts w:ascii="Times New Roman" w:hAnsi="Times New Roman" w:cs="Times New Roman"/>
        </w:rPr>
      </w:pPr>
      <w:r>
        <w:rPr>
          <w:rFonts w:ascii="Times New Roman" w:hAnsi="Times New Roman" w:cs="Times New Roman"/>
        </w:rPr>
        <w:t xml:space="preserve">The letter also alleges that the Complainant’s income qualifies him for “every program available”.  </w:t>
      </w:r>
      <w:r w:rsidR="0058394B">
        <w:rPr>
          <w:rFonts w:ascii="Times New Roman" w:hAnsi="Times New Roman" w:cs="Times New Roman"/>
        </w:rPr>
        <w:t>T</w:t>
      </w:r>
      <w:r>
        <w:rPr>
          <w:rFonts w:ascii="Times New Roman" w:hAnsi="Times New Roman" w:cs="Times New Roman"/>
        </w:rPr>
        <w:t>he letter indicates that the Complainant wants his monthly payments in the Respondent’s CAP reduced to a more reasonable level so that he can reestablish himself in the CAP.</w:t>
      </w:r>
    </w:p>
    <w:p w:rsidR="00FD7FB1" w:rsidRDefault="00FD7FB1" w:rsidP="00F32A94">
      <w:pPr>
        <w:pStyle w:val="ParaTab1"/>
        <w:spacing w:line="360" w:lineRule="auto"/>
        <w:ind w:firstLine="1350"/>
        <w:rPr>
          <w:rFonts w:ascii="Times New Roman" w:hAnsi="Times New Roman" w:cs="Times New Roman"/>
        </w:rPr>
      </w:pPr>
    </w:p>
    <w:p w:rsidR="00C706AF" w:rsidRPr="005A21BA" w:rsidRDefault="00FD7FB1" w:rsidP="00F32A94">
      <w:pPr>
        <w:pStyle w:val="ParaTab1"/>
        <w:spacing w:line="360" w:lineRule="auto"/>
        <w:ind w:firstLine="1350"/>
        <w:rPr>
          <w:rFonts w:ascii="Times New Roman" w:hAnsi="Times New Roman" w:cs="Times New Roman"/>
        </w:rPr>
      </w:pPr>
      <w:r>
        <w:rPr>
          <w:rFonts w:ascii="Times New Roman" w:hAnsi="Times New Roman" w:cs="Times New Roman"/>
        </w:rPr>
        <w:t>The complaint requests that the Commission direct the Respondent to provide an explanation to the Complainant for the charges on his bill.  In addition, the complaint requests that the Commission order a payment arrangement.</w:t>
      </w:r>
    </w:p>
    <w:p w:rsidR="00BC0F07" w:rsidRPr="005A21BA" w:rsidRDefault="00BC0F07" w:rsidP="00F32A94">
      <w:pPr>
        <w:pStyle w:val="ParaTab1"/>
        <w:spacing w:line="360" w:lineRule="auto"/>
        <w:ind w:firstLine="1350"/>
        <w:rPr>
          <w:rFonts w:ascii="Times New Roman" w:hAnsi="Times New Roman" w:cs="Times New Roman"/>
        </w:rPr>
      </w:pPr>
    </w:p>
    <w:p w:rsidR="001A2A86" w:rsidRDefault="001F1478" w:rsidP="00F32A94">
      <w:pPr>
        <w:pStyle w:val="ParaTab1"/>
        <w:spacing w:line="360" w:lineRule="auto"/>
        <w:ind w:firstLine="1350"/>
        <w:rPr>
          <w:rFonts w:ascii="Times New Roman" w:hAnsi="Times New Roman" w:cs="Times New Roman"/>
        </w:rPr>
      </w:pPr>
      <w:r w:rsidRPr="005A21BA">
        <w:rPr>
          <w:rFonts w:ascii="Times New Roman" w:hAnsi="Times New Roman" w:cs="Times New Roman"/>
        </w:rPr>
        <w:t xml:space="preserve">On </w:t>
      </w:r>
      <w:r w:rsidR="00FD7FB1">
        <w:rPr>
          <w:rFonts w:ascii="Times New Roman" w:hAnsi="Times New Roman" w:cs="Times New Roman"/>
        </w:rPr>
        <w:t>July 16, 2015</w:t>
      </w:r>
      <w:r w:rsidR="001A2A86" w:rsidRPr="005A21BA">
        <w:rPr>
          <w:rFonts w:ascii="Times New Roman" w:hAnsi="Times New Roman" w:cs="Times New Roman"/>
        </w:rPr>
        <w:t>, the Respondent filed</w:t>
      </w:r>
      <w:r w:rsidRPr="005A21BA">
        <w:rPr>
          <w:rFonts w:ascii="Times New Roman" w:hAnsi="Times New Roman" w:cs="Times New Roman"/>
        </w:rPr>
        <w:t xml:space="preserve"> an answer </w:t>
      </w:r>
      <w:r w:rsidR="001A2A86" w:rsidRPr="005A21BA">
        <w:rPr>
          <w:rFonts w:ascii="Times New Roman" w:hAnsi="Times New Roman" w:cs="Times New Roman"/>
        </w:rPr>
        <w:t>with</w:t>
      </w:r>
      <w:r w:rsidR="00DA46EE" w:rsidRPr="005A21BA">
        <w:rPr>
          <w:rFonts w:ascii="Times New Roman" w:hAnsi="Times New Roman" w:cs="Times New Roman"/>
        </w:rPr>
        <w:t xml:space="preserve"> new matter in response to </w:t>
      </w:r>
      <w:r w:rsidR="001A2A86" w:rsidRPr="005A21BA">
        <w:rPr>
          <w:rFonts w:ascii="Times New Roman" w:hAnsi="Times New Roman" w:cs="Times New Roman"/>
        </w:rPr>
        <w:t>the Complainant</w:t>
      </w:r>
      <w:r w:rsidR="00FA54EA">
        <w:rPr>
          <w:rFonts w:ascii="Times New Roman" w:hAnsi="Times New Roman" w:cs="Times New Roman"/>
        </w:rPr>
        <w:t>’s</w:t>
      </w:r>
      <w:r w:rsidR="001A2A86" w:rsidRPr="005A21BA">
        <w:rPr>
          <w:rFonts w:ascii="Times New Roman" w:hAnsi="Times New Roman" w:cs="Times New Roman"/>
        </w:rPr>
        <w:t xml:space="preserve"> </w:t>
      </w:r>
      <w:r w:rsidR="00DA46EE" w:rsidRPr="005A21BA">
        <w:rPr>
          <w:rFonts w:ascii="Times New Roman" w:hAnsi="Times New Roman" w:cs="Times New Roman"/>
        </w:rPr>
        <w:t xml:space="preserve">complaint.  The answer </w:t>
      </w:r>
      <w:r w:rsidR="001A2A86" w:rsidRPr="005A21BA">
        <w:rPr>
          <w:rFonts w:ascii="Times New Roman" w:hAnsi="Times New Roman" w:cs="Times New Roman"/>
        </w:rPr>
        <w:t>admits that th</w:t>
      </w:r>
      <w:r w:rsidR="00FA54EA">
        <w:rPr>
          <w:rFonts w:ascii="Times New Roman" w:hAnsi="Times New Roman" w:cs="Times New Roman"/>
        </w:rPr>
        <w:t>e</w:t>
      </w:r>
      <w:r w:rsidR="001A2A86" w:rsidRPr="005A21BA">
        <w:rPr>
          <w:rFonts w:ascii="Times New Roman" w:hAnsi="Times New Roman" w:cs="Times New Roman"/>
        </w:rPr>
        <w:t xml:space="preserve"> Respondent </w:t>
      </w:r>
      <w:r w:rsidR="00FD7FB1">
        <w:rPr>
          <w:rFonts w:ascii="Times New Roman" w:hAnsi="Times New Roman" w:cs="Times New Roman"/>
        </w:rPr>
        <w:t xml:space="preserve">provides natural gas service to the Complainant at the address shown on the complaint.  </w:t>
      </w:r>
    </w:p>
    <w:p w:rsidR="00FD7FB1" w:rsidRDefault="00FD7FB1" w:rsidP="00F32A94">
      <w:pPr>
        <w:pStyle w:val="ParaTab1"/>
        <w:spacing w:line="360" w:lineRule="auto"/>
        <w:ind w:firstLine="1350"/>
        <w:rPr>
          <w:rFonts w:ascii="Times New Roman" w:hAnsi="Times New Roman" w:cs="Times New Roman"/>
        </w:rPr>
      </w:pPr>
    </w:p>
    <w:p w:rsidR="00325335" w:rsidRDefault="00E55586" w:rsidP="00F32A94">
      <w:pPr>
        <w:pStyle w:val="ParaTab1"/>
        <w:spacing w:line="360" w:lineRule="auto"/>
        <w:ind w:firstLine="1350"/>
        <w:rPr>
          <w:rFonts w:ascii="Times New Roman" w:hAnsi="Times New Roman" w:cs="Times New Roman"/>
        </w:rPr>
      </w:pPr>
      <w:r>
        <w:rPr>
          <w:rFonts w:ascii="Times New Roman" w:hAnsi="Times New Roman" w:cs="Times New Roman"/>
        </w:rPr>
        <w:t>According to the answer, the Complainant established service at his current address on December 4, 2012.    Prior to establishing service at his current address, the Complainant had established service on October 17, 2009 at 816 East Stafford Street</w:t>
      </w:r>
      <w:r w:rsidR="00325335">
        <w:rPr>
          <w:rFonts w:ascii="Times New Roman" w:hAnsi="Times New Roman" w:cs="Times New Roman"/>
        </w:rPr>
        <w:t xml:space="preserve">.  The service for 816 East Stafford Street had previously been shut off.  The service for 816 East Stafford Street was in the name of Tiffany Jones prior to October 17, 2009.  According to the answer, the Respondent discovered that the Complainant had been linked to the property at 816 East Stafford Street since September 2001 as well as linked to previous addresses with Tiffany Jones.  </w:t>
      </w:r>
    </w:p>
    <w:p w:rsidR="00325335" w:rsidRDefault="00325335" w:rsidP="00F32A94">
      <w:pPr>
        <w:pStyle w:val="ParaTab1"/>
        <w:spacing w:line="360" w:lineRule="auto"/>
        <w:ind w:firstLine="1350"/>
        <w:rPr>
          <w:rFonts w:ascii="Times New Roman" w:hAnsi="Times New Roman" w:cs="Times New Roman"/>
        </w:rPr>
      </w:pPr>
    </w:p>
    <w:p w:rsidR="000D55AE" w:rsidRDefault="00325335" w:rsidP="00F32A94">
      <w:pPr>
        <w:pStyle w:val="ParaTab1"/>
        <w:spacing w:line="360" w:lineRule="auto"/>
        <w:ind w:firstLine="1350"/>
        <w:rPr>
          <w:rFonts w:ascii="Times New Roman" w:hAnsi="Times New Roman" w:cs="Times New Roman"/>
        </w:rPr>
      </w:pPr>
      <w:r>
        <w:rPr>
          <w:rFonts w:ascii="Times New Roman" w:hAnsi="Times New Roman" w:cs="Times New Roman"/>
        </w:rPr>
        <w:lastRenderedPageBreak/>
        <w:t xml:space="preserve">The answer alleges that the Commission’s Bureau of Consumer Services (BCS) issued a decision dated December 2, 2009 at BCS No. 2608437.  A copy of the December 2, 2009 decision at BCS No. 2608437 is attached to the answer with new matter and marked as Exhibit A.  The December 2, 2009 decision at BCS No. 2608437 concluded that both Tiffany Jones and the Complainant were responsible for </w:t>
      </w:r>
      <w:r w:rsidR="000D55AE">
        <w:rPr>
          <w:rFonts w:ascii="Times New Roman" w:hAnsi="Times New Roman" w:cs="Times New Roman"/>
        </w:rPr>
        <w:t>the account balance at 816 East Stafford Street.</w:t>
      </w:r>
    </w:p>
    <w:p w:rsidR="000D55AE" w:rsidRDefault="000D55AE" w:rsidP="00F32A94">
      <w:pPr>
        <w:pStyle w:val="ParaTab1"/>
        <w:spacing w:line="360" w:lineRule="auto"/>
        <w:ind w:firstLine="1350"/>
        <w:rPr>
          <w:rFonts w:ascii="Times New Roman" w:hAnsi="Times New Roman" w:cs="Times New Roman"/>
        </w:rPr>
      </w:pPr>
    </w:p>
    <w:p w:rsidR="000D55AE" w:rsidRDefault="0058394B" w:rsidP="00F32A94">
      <w:pPr>
        <w:pStyle w:val="ParaTab1"/>
        <w:spacing w:line="360" w:lineRule="auto"/>
        <w:ind w:firstLine="1350"/>
        <w:rPr>
          <w:rFonts w:ascii="Times New Roman" w:hAnsi="Times New Roman" w:cs="Times New Roman"/>
        </w:rPr>
      </w:pPr>
      <w:r>
        <w:rPr>
          <w:rFonts w:ascii="Times New Roman" w:hAnsi="Times New Roman" w:cs="Times New Roman"/>
        </w:rPr>
        <w:t>The answer states that o</w:t>
      </w:r>
      <w:r w:rsidR="000D55AE">
        <w:rPr>
          <w:rFonts w:ascii="Times New Roman" w:hAnsi="Times New Roman" w:cs="Times New Roman"/>
        </w:rPr>
        <w:t>n September 20, 2012, the Complainant filed a formal complaint with the Commission docketed at C-2012-2325161.  A copy of the complaint at C-2012-2325161 is attached to the answer with new matter and marked as Exhibit B.</w:t>
      </w:r>
      <w:r w:rsidR="001C0D12">
        <w:rPr>
          <w:rFonts w:ascii="Times New Roman" w:hAnsi="Times New Roman" w:cs="Times New Roman"/>
        </w:rPr>
        <w:t xml:space="preserve">  The complaint indicates that Tiffany Jones is the wife of the Complainant and that they have lived </w:t>
      </w:r>
      <w:r w:rsidR="00D13F0C">
        <w:rPr>
          <w:rFonts w:ascii="Times New Roman" w:hAnsi="Times New Roman" w:cs="Times New Roman"/>
        </w:rPr>
        <w:t>together since 1996</w:t>
      </w:r>
      <w:r w:rsidR="001C0D12">
        <w:rPr>
          <w:rFonts w:ascii="Times New Roman" w:hAnsi="Times New Roman" w:cs="Times New Roman"/>
        </w:rPr>
        <w:t>.</w:t>
      </w:r>
      <w:r w:rsidR="000D55AE">
        <w:rPr>
          <w:rFonts w:ascii="Times New Roman" w:hAnsi="Times New Roman" w:cs="Times New Roman"/>
        </w:rPr>
        <w:t xml:space="preserve">  </w:t>
      </w:r>
    </w:p>
    <w:p w:rsidR="000D55AE" w:rsidRDefault="000D55AE" w:rsidP="00F32A94">
      <w:pPr>
        <w:pStyle w:val="ParaTab1"/>
        <w:spacing w:line="360" w:lineRule="auto"/>
        <w:ind w:firstLine="1350"/>
        <w:rPr>
          <w:rFonts w:ascii="Times New Roman" w:hAnsi="Times New Roman" w:cs="Times New Roman"/>
        </w:rPr>
      </w:pPr>
    </w:p>
    <w:p w:rsidR="001C0D12" w:rsidRDefault="000D55AE" w:rsidP="00F32A94">
      <w:pPr>
        <w:pStyle w:val="ParaTab1"/>
        <w:spacing w:line="360" w:lineRule="auto"/>
        <w:ind w:firstLine="1350"/>
        <w:rPr>
          <w:rFonts w:ascii="Times New Roman" w:hAnsi="Times New Roman" w:cs="Times New Roman"/>
        </w:rPr>
      </w:pPr>
      <w:r>
        <w:rPr>
          <w:rFonts w:ascii="Times New Roman" w:hAnsi="Times New Roman" w:cs="Times New Roman"/>
        </w:rPr>
        <w:t xml:space="preserve">According to the answer, the complaint at C-2012-2325161 was settled </w:t>
      </w:r>
      <w:r w:rsidR="0058394B">
        <w:rPr>
          <w:rFonts w:ascii="Times New Roman" w:hAnsi="Times New Roman" w:cs="Times New Roman"/>
        </w:rPr>
        <w:t>on</w:t>
      </w:r>
      <w:r>
        <w:rPr>
          <w:rFonts w:ascii="Times New Roman" w:hAnsi="Times New Roman" w:cs="Times New Roman"/>
        </w:rPr>
        <w:t xml:space="preserve"> January 8, 2013</w:t>
      </w:r>
      <w:r w:rsidR="0058394B">
        <w:rPr>
          <w:rFonts w:ascii="Times New Roman" w:hAnsi="Times New Roman" w:cs="Times New Roman"/>
        </w:rPr>
        <w:t xml:space="preserve"> by certificate of satisfaction and settlement letter</w:t>
      </w:r>
      <w:r>
        <w:rPr>
          <w:rFonts w:ascii="Times New Roman" w:hAnsi="Times New Roman" w:cs="Times New Roman"/>
        </w:rPr>
        <w:t>.</w:t>
      </w:r>
      <w:r w:rsidR="0058394B">
        <w:rPr>
          <w:rFonts w:ascii="Times New Roman" w:hAnsi="Times New Roman" w:cs="Times New Roman"/>
        </w:rPr>
        <w:t xml:space="preserve">  The settlement letter indicates that the Respondent agree</w:t>
      </w:r>
      <w:r w:rsidR="00CA10AA">
        <w:rPr>
          <w:rFonts w:ascii="Times New Roman" w:hAnsi="Times New Roman" w:cs="Times New Roman"/>
        </w:rPr>
        <w:t>d</w:t>
      </w:r>
      <w:r w:rsidR="0058394B">
        <w:rPr>
          <w:rFonts w:ascii="Times New Roman" w:hAnsi="Times New Roman" w:cs="Times New Roman"/>
        </w:rPr>
        <w:t xml:space="preserve"> to waive $67.75 in late payment charges, reducing the Complainant’s outstanding account</w:t>
      </w:r>
      <w:r w:rsidR="00CA10AA">
        <w:rPr>
          <w:rFonts w:ascii="Times New Roman" w:hAnsi="Times New Roman" w:cs="Times New Roman"/>
        </w:rPr>
        <w:t xml:space="preserve"> balance to $16,156.44.</w:t>
      </w:r>
      <w:r w:rsidR="0058394B">
        <w:rPr>
          <w:rFonts w:ascii="Times New Roman" w:hAnsi="Times New Roman" w:cs="Times New Roman"/>
        </w:rPr>
        <w:t xml:space="preserve">  </w:t>
      </w:r>
      <w:r>
        <w:rPr>
          <w:rFonts w:ascii="Times New Roman" w:hAnsi="Times New Roman" w:cs="Times New Roman"/>
        </w:rPr>
        <w:t xml:space="preserve">  </w:t>
      </w:r>
      <w:r w:rsidR="00CA10AA">
        <w:rPr>
          <w:rFonts w:ascii="Times New Roman" w:hAnsi="Times New Roman" w:cs="Times New Roman"/>
        </w:rPr>
        <w:t>The settlement letter indicates that t</w:t>
      </w:r>
      <w:r>
        <w:rPr>
          <w:rFonts w:ascii="Times New Roman" w:hAnsi="Times New Roman" w:cs="Times New Roman"/>
        </w:rPr>
        <w:t xml:space="preserve">he Complainant agreed to enroll in the Respondent’s CAP.  A copy of the certificate of satisfaction and settlement letter </w:t>
      </w:r>
      <w:r w:rsidR="001C0D12">
        <w:rPr>
          <w:rFonts w:ascii="Times New Roman" w:hAnsi="Times New Roman" w:cs="Times New Roman"/>
        </w:rPr>
        <w:t>is attached to the answer with new matter and marked as Exhibit C.</w:t>
      </w:r>
    </w:p>
    <w:p w:rsidR="001C0D12" w:rsidRDefault="001C0D12" w:rsidP="00F32A94">
      <w:pPr>
        <w:pStyle w:val="ParaTab1"/>
        <w:spacing w:line="360" w:lineRule="auto"/>
        <w:ind w:firstLine="1350"/>
        <w:rPr>
          <w:rFonts w:ascii="Times New Roman" w:hAnsi="Times New Roman" w:cs="Times New Roman"/>
        </w:rPr>
      </w:pPr>
    </w:p>
    <w:p w:rsidR="001C0D12" w:rsidRDefault="001C0D12" w:rsidP="00F32A94">
      <w:pPr>
        <w:pStyle w:val="ParaTab1"/>
        <w:spacing w:line="360" w:lineRule="auto"/>
        <w:ind w:firstLine="1350"/>
        <w:rPr>
          <w:rFonts w:ascii="Times New Roman" w:hAnsi="Times New Roman" w:cs="Times New Roman"/>
        </w:rPr>
      </w:pPr>
      <w:r>
        <w:rPr>
          <w:rFonts w:ascii="Times New Roman" w:hAnsi="Times New Roman" w:cs="Times New Roman"/>
        </w:rPr>
        <w:t xml:space="preserve">The answer states that on October 15, 2013, the Complainant enrolled in the Respondent’s CAP.  On November 7, 2014, the Respondent was suspended from the Respondent’s CAP for failure to recertify income eligibility.  </w:t>
      </w:r>
    </w:p>
    <w:p w:rsidR="001C0D12" w:rsidRDefault="001C0D12" w:rsidP="00F32A94">
      <w:pPr>
        <w:pStyle w:val="ParaTab1"/>
        <w:spacing w:line="360" w:lineRule="auto"/>
        <w:ind w:firstLine="1350"/>
        <w:rPr>
          <w:rFonts w:ascii="Times New Roman" w:hAnsi="Times New Roman" w:cs="Times New Roman"/>
        </w:rPr>
      </w:pPr>
    </w:p>
    <w:p w:rsidR="001C0D12" w:rsidRDefault="000D55AE" w:rsidP="00F32A94">
      <w:pPr>
        <w:pStyle w:val="ParaTab1"/>
        <w:spacing w:line="360" w:lineRule="auto"/>
        <w:ind w:firstLine="1350"/>
        <w:rPr>
          <w:rFonts w:ascii="Times New Roman" w:hAnsi="Times New Roman" w:cs="Times New Roman"/>
        </w:rPr>
      </w:pPr>
      <w:r>
        <w:rPr>
          <w:rFonts w:ascii="Times New Roman" w:hAnsi="Times New Roman" w:cs="Times New Roman"/>
        </w:rPr>
        <w:t xml:space="preserve"> </w:t>
      </w:r>
      <w:r w:rsidR="001C0D12">
        <w:rPr>
          <w:rFonts w:ascii="Times New Roman" w:hAnsi="Times New Roman" w:cs="Times New Roman"/>
        </w:rPr>
        <w:t>The answer alleges that BCS issued a decision dated April 1, 2015 at BCS No. 3280992.  A copy of the April 1, 2015 decision at BCS No. 3280992 is attached to the answer with new matter and marked as Exhibit D.  The April 1, 2015 decision at BCS No. 3280992 concluded that the Complainant assumed the balance of $11,928.08 that was transferred from Tiffany Jones’ account when he established service at the current address.</w:t>
      </w:r>
      <w:r w:rsidR="00D13F0C">
        <w:rPr>
          <w:rFonts w:ascii="Times New Roman" w:hAnsi="Times New Roman" w:cs="Times New Roman"/>
        </w:rPr>
        <w:t xml:space="preserve"> </w:t>
      </w:r>
    </w:p>
    <w:p w:rsidR="00325335" w:rsidRPr="005A21BA" w:rsidRDefault="00325335" w:rsidP="00F32A94">
      <w:pPr>
        <w:pStyle w:val="ParaTab1"/>
        <w:spacing w:line="360" w:lineRule="auto"/>
        <w:ind w:firstLine="1350"/>
        <w:rPr>
          <w:rFonts w:ascii="Times New Roman" w:hAnsi="Times New Roman" w:cs="Times New Roman"/>
        </w:rPr>
      </w:pPr>
      <w:r>
        <w:rPr>
          <w:rFonts w:ascii="Times New Roman" w:hAnsi="Times New Roman" w:cs="Times New Roman"/>
        </w:rPr>
        <w:t xml:space="preserve"> </w:t>
      </w:r>
    </w:p>
    <w:p w:rsidR="001A2A86" w:rsidRPr="005A21BA" w:rsidRDefault="00B05411" w:rsidP="00F32A94">
      <w:pPr>
        <w:pStyle w:val="ParaTab1"/>
        <w:spacing w:line="360" w:lineRule="auto"/>
        <w:ind w:firstLine="1350"/>
        <w:rPr>
          <w:rFonts w:ascii="Times New Roman" w:hAnsi="Times New Roman" w:cs="Times New Roman"/>
        </w:rPr>
      </w:pPr>
      <w:r w:rsidRPr="005A21BA">
        <w:rPr>
          <w:rFonts w:ascii="Times New Roman" w:hAnsi="Times New Roman" w:cs="Times New Roman"/>
        </w:rPr>
        <w:t xml:space="preserve">The new matter </w:t>
      </w:r>
      <w:r w:rsidR="00D13F0C">
        <w:rPr>
          <w:rFonts w:ascii="Times New Roman" w:hAnsi="Times New Roman" w:cs="Times New Roman"/>
        </w:rPr>
        <w:t>reiterates the facts set forth above.  The new matter alleges that in the current complaint at C-2015-2489704</w:t>
      </w:r>
      <w:r w:rsidR="00CA10AA">
        <w:rPr>
          <w:rFonts w:ascii="Times New Roman" w:hAnsi="Times New Roman" w:cs="Times New Roman"/>
        </w:rPr>
        <w:t>,</w:t>
      </w:r>
      <w:r w:rsidR="00D13F0C">
        <w:rPr>
          <w:rFonts w:ascii="Times New Roman" w:hAnsi="Times New Roman" w:cs="Times New Roman"/>
        </w:rPr>
        <w:t xml:space="preserve"> the Complainant again alleges incorrect charges on his </w:t>
      </w:r>
      <w:r w:rsidR="00D13F0C">
        <w:rPr>
          <w:rFonts w:ascii="Times New Roman" w:hAnsi="Times New Roman" w:cs="Times New Roman"/>
        </w:rPr>
        <w:lastRenderedPageBreak/>
        <w:t xml:space="preserve">account and that he has been fighting these charges for years.  The new matter asserts that the Complainant is attempting to litigate again the factual and legal issues previously raised in his complaint at C-2012-2325161.  The new matter argues that the Complainant is precluded from litigating the same factual and legal issues since those issues have been addressed and settled by the parties in the certificate of satisfaction filed at C-2012-2325161.  </w:t>
      </w:r>
      <w:r w:rsidR="001A2A86" w:rsidRPr="005A21BA">
        <w:rPr>
          <w:rFonts w:ascii="Times New Roman" w:hAnsi="Times New Roman" w:cs="Times New Roman"/>
        </w:rPr>
        <w:t>The answer with new matter requests that the Commission dismiss the Complainant’s complaint.</w:t>
      </w:r>
    </w:p>
    <w:p w:rsidR="00EE0537" w:rsidRPr="005A21BA" w:rsidRDefault="00EE0537" w:rsidP="00F32A94">
      <w:pPr>
        <w:pStyle w:val="ParaTab1"/>
        <w:spacing w:line="360" w:lineRule="auto"/>
        <w:ind w:firstLine="1350"/>
        <w:rPr>
          <w:rFonts w:ascii="Times New Roman" w:hAnsi="Times New Roman" w:cs="Times New Roman"/>
        </w:rPr>
      </w:pPr>
    </w:p>
    <w:p w:rsidR="00EE0537" w:rsidRPr="005A21BA" w:rsidRDefault="00EE0537" w:rsidP="00F32A94">
      <w:pPr>
        <w:pStyle w:val="ParaTab1"/>
        <w:spacing w:line="360" w:lineRule="auto"/>
        <w:ind w:firstLine="1350"/>
        <w:rPr>
          <w:rFonts w:ascii="Times New Roman" w:hAnsi="Times New Roman" w:cs="Times New Roman"/>
        </w:rPr>
      </w:pPr>
      <w:r w:rsidRPr="005A21BA">
        <w:rPr>
          <w:rFonts w:ascii="Times New Roman" w:hAnsi="Times New Roman" w:cs="Times New Roman"/>
        </w:rPr>
        <w:t>The Complainant did not file an answer to the Respondent’s new matter.</w:t>
      </w:r>
    </w:p>
    <w:p w:rsidR="001A2A86" w:rsidRPr="005A21BA" w:rsidRDefault="001A2A86" w:rsidP="00F32A94">
      <w:pPr>
        <w:pStyle w:val="ParaTab1"/>
        <w:spacing w:line="360" w:lineRule="auto"/>
        <w:ind w:firstLine="1350"/>
        <w:rPr>
          <w:rFonts w:ascii="Times New Roman" w:hAnsi="Times New Roman" w:cs="Times New Roman"/>
        </w:rPr>
      </w:pPr>
    </w:p>
    <w:p w:rsidR="00EE6C0C" w:rsidRPr="005A21BA" w:rsidRDefault="00312206" w:rsidP="00F32A94">
      <w:pPr>
        <w:tabs>
          <w:tab w:val="left" w:pos="-720"/>
        </w:tabs>
        <w:suppressAutoHyphens/>
        <w:spacing w:line="360" w:lineRule="auto"/>
        <w:rPr>
          <w:szCs w:val="24"/>
        </w:rPr>
      </w:pPr>
      <w:r w:rsidRPr="005A21BA">
        <w:rPr>
          <w:szCs w:val="24"/>
        </w:rPr>
        <w:tab/>
      </w:r>
      <w:r w:rsidRPr="005A21BA">
        <w:rPr>
          <w:szCs w:val="24"/>
        </w:rPr>
        <w:tab/>
      </w:r>
      <w:r w:rsidR="00BA7C40">
        <w:rPr>
          <w:szCs w:val="24"/>
        </w:rPr>
        <w:t>Also o</w:t>
      </w:r>
      <w:r w:rsidR="008159ED" w:rsidRPr="005A21BA">
        <w:rPr>
          <w:szCs w:val="24"/>
        </w:rPr>
        <w:t xml:space="preserve">n </w:t>
      </w:r>
      <w:r w:rsidR="001A36E2">
        <w:rPr>
          <w:szCs w:val="24"/>
        </w:rPr>
        <w:t>July 16, 2015</w:t>
      </w:r>
      <w:r w:rsidR="00121237" w:rsidRPr="005A21BA">
        <w:rPr>
          <w:szCs w:val="24"/>
        </w:rPr>
        <w:t xml:space="preserve">, </w:t>
      </w:r>
      <w:r w:rsidRPr="005A21BA">
        <w:rPr>
          <w:szCs w:val="24"/>
        </w:rPr>
        <w:t xml:space="preserve">the Respondent </w:t>
      </w:r>
      <w:r w:rsidR="008159ED" w:rsidRPr="005A21BA">
        <w:rPr>
          <w:szCs w:val="24"/>
        </w:rPr>
        <w:t xml:space="preserve">filed a motion </w:t>
      </w:r>
      <w:r w:rsidR="00121237" w:rsidRPr="005A21BA">
        <w:rPr>
          <w:szCs w:val="24"/>
        </w:rPr>
        <w:t xml:space="preserve">for summary judgment </w:t>
      </w:r>
      <w:r w:rsidR="002369FD" w:rsidRPr="005A21BA">
        <w:rPr>
          <w:szCs w:val="24"/>
        </w:rPr>
        <w:t xml:space="preserve">requesting that the Commission </w:t>
      </w:r>
      <w:r w:rsidR="008159ED" w:rsidRPr="005A21BA">
        <w:rPr>
          <w:szCs w:val="24"/>
        </w:rPr>
        <w:t xml:space="preserve">dismiss </w:t>
      </w:r>
      <w:r w:rsidRPr="005A21BA">
        <w:rPr>
          <w:szCs w:val="24"/>
        </w:rPr>
        <w:t xml:space="preserve">the Complainant’s </w:t>
      </w:r>
      <w:r w:rsidR="00E20E7F" w:rsidRPr="005A21BA">
        <w:rPr>
          <w:szCs w:val="24"/>
        </w:rPr>
        <w:t>complaint.</w:t>
      </w:r>
      <w:r w:rsidR="00B42DE6" w:rsidRPr="005A21BA">
        <w:rPr>
          <w:szCs w:val="24"/>
        </w:rPr>
        <w:t xml:space="preserve">  The motion for summary judgment</w:t>
      </w:r>
      <w:r w:rsidR="00A7552F" w:rsidRPr="005A21BA">
        <w:rPr>
          <w:szCs w:val="24"/>
        </w:rPr>
        <w:t xml:space="preserve"> states that the </w:t>
      </w:r>
      <w:r w:rsidR="001A36E2">
        <w:rPr>
          <w:szCs w:val="24"/>
        </w:rPr>
        <w:t xml:space="preserve">issues raised in the Complainant’s complaint have been previously addressed and settled by the parties through </w:t>
      </w:r>
      <w:r w:rsidR="001A36E2">
        <w:t xml:space="preserve">the certificate of satisfaction filed at C-2012-2325161.  The motion for summary judgment reiterates the facts set forth in the Respondent’s answer with new matter.  The motion for summary judgment requests that the Commission dismiss the Complainant’s complaint.    </w:t>
      </w:r>
    </w:p>
    <w:p w:rsidR="00EE6C0C" w:rsidRPr="005A21BA" w:rsidRDefault="00EE6C0C" w:rsidP="00F32A94">
      <w:pPr>
        <w:tabs>
          <w:tab w:val="left" w:pos="-720"/>
        </w:tabs>
        <w:suppressAutoHyphens/>
        <w:spacing w:line="360" w:lineRule="auto"/>
        <w:rPr>
          <w:szCs w:val="24"/>
        </w:rPr>
      </w:pPr>
    </w:p>
    <w:p w:rsidR="001A36E2" w:rsidRPr="00460BD4" w:rsidRDefault="001A36E2" w:rsidP="00F32A94">
      <w:pPr>
        <w:pStyle w:val="ParaTab1"/>
        <w:spacing w:line="360" w:lineRule="auto"/>
        <w:rPr>
          <w:rFonts w:ascii="Times New Roman" w:hAnsi="Times New Roman" w:cs="Times New Roman"/>
        </w:rPr>
      </w:pPr>
      <w:r w:rsidRPr="00460BD4">
        <w:rPr>
          <w:rFonts w:ascii="Times New Roman" w:hAnsi="Times New Roman" w:cs="Times New Roman"/>
        </w:rPr>
        <w:t xml:space="preserve">By notice dated </w:t>
      </w:r>
      <w:r w:rsidR="006961DD">
        <w:rPr>
          <w:rFonts w:ascii="Times New Roman" w:hAnsi="Times New Roman" w:cs="Times New Roman"/>
        </w:rPr>
        <w:t>July 27, 2015</w:t>
      </w:r>
      <w:r w:rsidRPr="00460BD4">
        <w:rPr>
          <w:rFonts w:ascii="Times New Roman" w:hAnsi="Times New Roman" w:cs="Times New Roman"/>
        </w:rPr>
        <w:t xml:space="preserve">, the Commission notified the parties that it had assigned the case to me as motion judge.  As of the date of this decision, the Complainant has not filed an answer to the </w:t>
      </w:r>
      <w:r w:rsidR="006961DD">
        <w:rPr>
          <w:rFonts w:ascii="Times New Roman" w:hAnsi="Times New Roman" w:cs="Times New Roman"/>
        </w:rPr>
        <w:t>motion for summary judgment</w:t>
      </w:r>
      <w:r w:rsidRPr="00460BD4">
        <w:rPr>
          <w:rFonts w:ascii="Times New Roman" w:hAnsi="Times New Roman" w:cs="Times New Roman"/>
        </w:rPr>
        <w:t xml:space="preserve">.  The </w:t>
      </w:r>
      <w:r w:rsidR="006961DD">
        <w:rPr>
          <w:rFonts w:ascii="Times New Roman" w:hAnsi="Times New Roman" w:cs="Times New Roman"/>
        </w:rPr>
        <w:t xml:space="preserve">motion for summary judgment is </w:t>
      </w:r>
      <w:r w:rsidRPr="00460BD4">
        <w:rPr>
          <w:rFonts w:ascii="Times New Roman" w:hAnsi="Times New Roman" w:cs="Times New Roman"/>
        </w:rPr>
        <w:t xml:space="preserve">ready for decision.  For the reasons set forth below, I will </w:t>
      </w:r>
      <w:r w:rsidR="006961DD">
        <w:rPr>
          <w:rFonts w:ascii="Times New Roman" w:hAnsi="Times New Roman" w:cs="Times New Roman"/>
        </w:rPr>
        <w:t xml:space="preserve">grant the motion for summary judgment </w:t>
      </w:r>
      <w:r w:rsidRPr="00460BD4">
        <w:rPr>
          <w:rFonts w:ascii="Times New Roman" w:hAnsi="Times New Roman" w:cs="Times New Roman"/>
        </w:rPr>
        <w:t>and dismiss the complaint.</w:t>
      </w:r>
    </w:p>
    <w:p w:rsidR="00AD755D" w:rsidRPr="005A21BA" w:rsidRDefault="00AD755D" w:rsidP="00F32A94">
      <w:pPr>
        <w:tabs>
          <w:tab w:val="left" w:pos="-720"/>
        </w:tabs>
        <w:suppressAutoHyphens/>
        <w:spacing w:line="360" w:lineRule="auto"/>
      </w:pPr>
    </w:p>
    <w:p w:rsidR="00AD7CFA" w:rsidRPr="005A21BA" w:rsidRDefault="00AD7CFA" w:rsidP="00211604">
      <w:pPr>
        <w:spacing w:line="360" w:lineRule="auto"/>
        <w:jc w:val="center"/>
        <w:outlineLvl w:val="0"/>
        <w:rPr>
          <w:szCs w:val="24"/>
          <w:u w:val="single"/>
        </w:rPr>
      </w:pPr>
      <w:r w:rsidRPr="005A21BA">
        <w:rPr>
          <w:szCs w:val="24"/>
          <w:u w:val="single"/>
        </w:rPr>
        <w:t>FINDINGS OF FACT</w:t>
      </w:r>
    </w:p>
    <w:p w:rsidR="00AD7CFA" w:rsidRPr="005A21BA" w:rsidRDefault="00AD7CFA" w:rsidP="004906BE">
      <w:pPr>
        <w:spacing w:line="360" w:lineRule="auto"/>
        <w:rPr>
          <w:szCs w:val="24"/>
        </w:rPr>
      </w:pPr>
    </w:p>
    <w:p w:rsidR="00AD7CFA" w:rsidRPr="005A21BA" w:rsidRDefault="00AD7CFA" w:rsidP="004906BE">
      <w:pPr>
        <w:spacing w:line="360" w:lineRule="auto"/>
        <w:rPr>
          <w:szCs w:val="24"/>
        </w:rPr>
      </w:pPr>
      <w:r w:rsidRPr="005A21BA">
        <w:rPr>
          <w:szCs w:val="24"/>
        </w:rPr>
        <w:tab/>
      </w:r>
      <w:r w:rsidRPr="005A21BA">
        <w:rPr>
          <w:szCs w:val="24"/>
        </w:rPr>
        <w:tab/>
      </w:r>
      <w:r w:rsidR="00B51A81" w:rsidRPr="005A21BA">
        <w:rPr>
          <w:szCs w:val="24"/>
        </w:rPr>
        <w:t>1.</w:t>
      </w:r>
      <w:r w:rsidR="00B51A81" w:rsidRPr="005A21BA">
        <w:rPr>
          <w:szCs w:val="24"/>
        </w:rPr>
        <w:tab/>
        <w:t xml:space="preserve">The </w:t>
      </w:r>
      <w:r w:rsidR="00EE0537" w:rsidRPr="005A21BA">
        <w:rPr>
          <w:szCs w:val="24"/>
        </w:rPr>
        <w:t>C</w:t>
      </w:r>
      <w:r w:rsidR="004A0026" w:rsidRPr="005A21BA">
        <w:rPr>
          <w:szCs w:val="24"/>
        </w:rPr>
        <w:t xml:space="preserve">omplainant </w:t>
      </w:r>
      <w:r w:rsidR="00B51A81" w:rsidRPr="005A21BA">
        <w:rPr>
          <w:szCs w:val="24"/>
        </w:rPr>
        <w:t>in th</w:t>
      </w:r>
      <w:r w:rsidR="00D1047A" w:rsidRPr="005A21BA">
        <w:rPr>
          <w:szCs w:val="24"/>
        </w:rPr>
        <w:t xml:space="preserve">is </w:t>
      </w:r>
      <w:r w:rsidR="00B51A81" w:rsidRPr="005A21BA">
        <w:rPr>
          <w:szCs w:val="24"/>
        </w:rPr>
        <w:t>case</w:t>
      </w:r>
      <w:r w:rsidR="004A0026" w:rsidRPr="005A21BA">
        <w:rPr>
          <w:szCs w:val="24"/>
        </w:rPr>
        <w:t xml:space="preserve"> </w:t>
      </w:r>
      <w:r w:rsidR="00B51A81" w:rsidRPr="005A21BA">
        <w:rPr>
          <w:szCs w:val="24"/>
        </w:rPr>
        <w:t xml:space="preserve">is </w:t>
      </w:r>
      <w:r w:rsidR="006961DD">
        <w:rPr>
          <w:szCs w:val="24"/>
        </w:rPr>
        <w:t>Patrick W. Jones</w:t>
      </w:r>
      <w:r w:rsidR="00B51A81" w:rsidRPr="005A21BA">
        <w:rPr>
          <w:szCs w:val="24"/>
        </w:rPr>
        <w:t>.</w:t>
      </w:r>
    </w:p>
    <w:p w:rsidR="00AD7CFA" w:rsidRPr="005A21BA" w:rsidRDefault="00AD7CFA" w:rsidP="004906BE">
      <w:pPr>
        <w:spacing w:line="360" w:lineRule="auto"/>
        <w:rPr>
          <w:szCs w:val="24"/>
        </w:rPr>
      </w:pPr>
    </w:p>
    <w:p w:rsidR="00AD7CFA" w:rsidRPr="005A21BA" w:rsidRDefault="00787EC3" w:rsidP="004906BE">
      <w:pPr>
        <w:spacing w:line="360" w:lineRule="auto"/>
        <w:rPr>
          <w:szCs w:val="24"/>
        </w:rPr>
      </w:pPr>
      <w:r w:rsidRPr="005A21BA">
        <w:rPr>
          <w:szCs w:val="24"/>
        </w:rPr>
        <w:tab/>
      </w:r>
      <w:r w:rsidRPr="005A21BA">
        <w:rPr>
          <w:szCs w:val="24"/>
        </w:rPr>
        <w:tab/>
      </w:r>
      <w:r w:rsidR="00CB6DE6" w:rsidRPr="005A21BA">
        <w:rPr>
          <w:szCs w:val="24"/>
        </w:rPr>
        <w:t>2</w:t>
      </w:r>
      <w:r w:rsidRPr="005A21BA">
        <w:rPr>
          <w:szCs w:val="24"/>
        </w:rPr>
        <w:t>.</w:t>
      </w:r>
      <w:r w:rsidRPr="005A21BA">
        <w:rPr>
          <w:szCs w:val="24"/>
        </w:rPr>
        <w:tab/>
      </w:r>
      <w:r w:rsidR="00CB6DE6" w:rsidRPr="005A21BA">
        <w:rPr>
          <w:szCs w:val="24"/>
        </w:rPr>
        <w:t>T</w:t>
      </w:r>
      <w:r w:rsidRPr="005A21BA">
        <w:rPr>
          <w:szCs w:val="24"/>
        </w:rPr>
        <w:t xml:space="preserve">he </w:t>
      </w:r>
      <w:r w:rsidR="00EE0537" w:rsidRPr="005A21BA">
        <w:rPr>
          <w:szCs w:val="24"/>
        </w:rPr>
        <w:t>R</w:t>
      </w:r>
      <w:r w:rsidR="004A0026" w:rsidRPr="005A21BA">
        <w:rPr>
          <w:szCs w:val="24"/>
        </w:rPr>
        <w:t>espondent in th</w:t>
      </w:r>
      <w:r w:rsidR="00D1047A" w:rsidRPr="005A21BA">
        <w:rPr>
          <w:szCs w:val="24"/>
        </w:rPr>
        <w:t>is</w:t>
      </w:r>
      <w:r w:rsidR="004A0026" w:rsidRPr="005A21BA">
        <w:rPr>
          <w:szCs w:val="24"/>
        </w:rPr>
        <w:t xml:space="preserve"> case</w:t>
      </w:r>
      <w:r w:rsidR="009561F8" w:rsidRPr="005A21BA">
        <w:rPr>
          <w:szCs w:val="24"/>
        </w:rPr>
        <w:t xml:space="preserve"> </w:t>
      </w:r>
      <w:r w:rsidR="00D1047A" w:rsidRPr="005A21BA">
        <w:rPr>
          <w:szCs w:val="24"/>
        </w:rPr>
        <w:t>is</w:t>
      </w:r>
      <w:r w:rsidR="00494D85" w:rsidRPr="005A21BA">
        <w:rPr>
          <w:szCs w:val="24"/>
        </w:rPr>
        <w:t xml:space="preserve"> </w:t>
      </w:r>
      <w:r w:rsidR="006961DD">
        <w:rPr>
          <w:szCs w:val="24"/>
        </w:rPr>
        <w:t>Philadelphia Gas Works</w:t>
      </w:r>
      <w:r w:rsidR="00CB6DE6" w:rsidRPr="005A21BA">
        <w:rPr>
          <w:szCs w:val="24"/>
        </w:rPr>
        <w:t>.</w:t>
      </w:r>
    </w:p>
    <w:p w:rsidR="004B39F4" w:rsidRPr="005A21BA" w:rsidRDefault="004B39F4" w:rsidP="004906BE">
      <w:pPr>
        <w:spacing w:line="360" w:lineRule="auto"/>
        <w:rPr>
          <w:szCs w:val="24"/>
        </w:rPr>
      </w:pPr>
    </w:p>
    <w:p w:rsidR="00494D85" w:rsidRPr="005A21BA" w:rsidRDefault="004B39F4" w:rsidP="004906BE">
      <w:pPr>
        <w:spacing w:line="360" w:lineRule="auto"/>
        <w:rPr>
          <w:szCs w:val="24"/>
        </w:rPr>
      </w:pPr>
      <w:r w:rsidRPr="005A21BA">
        <w:rPr>
          <w:szCs w:val="24"/>
        </w:rPr>
        <w:tab/>
      </w:r>
      <w:r w:rsidRPr="005A21BA">
        <w:rPr>
          <w:szCs w:val="24"/>
        </w:rPr>
        <w:tab/>
      </w:r>
      <w:r w:rsidR="00CB6DE6" w:rsidRPr="005A21BA">
        <w:rPr>
          <w:szCs w:val="24"/>
        </w:rPr>
        <w:t>3</w:t>
      </w:r>
      <w:r w:rsidRPr="005A21BA">
        <w:rPr>
          <w:szCs w:val="24"/>
        </w:rPr>
        <w:t>.</w:t>
      </w:r>
      <w:r w:rsidRPr="005A21BA">
        <w:rPr>
          <w:szCs w:val="24"/>
        </w:rPr>
        <w:tab/>
      </w:r>
      <w:r w:rsidR="00EE0537" w:rsidRPr="005A21BA">
        <w:rPr>
          <w:szCs w:val="24"/>
        </w:rPr>
        <w:t xml:space="preserve">On </w:t>
      </w:r>
      <w:r w:rsidR="006961DD">
        <w:t>June 26, 2015</w:t>
      </w:r>
      <w:r w:rsidR="00EE0537" w:rsidRPr="005A21BA">
        <w:rPr>
          <w:szCs w:val="24"/>
        </w:rPr>
        <w:t>, the Complainant filed a co</w:t>
      </w:r>
      <w:r w:rsidR="00D00A48">
        <w:rPr>
          <w:szCs w:val="24"/>
        </w:rPr>
        <w:t>mplaint against the Respondent.</w:t>
      </w:r>
    </w:p>
    <w:p w:rsidR="00EE0537" w:rsidRPr="005A21BA" w:rsidRDefault="00EE0537" w:rsidP="00EE0537">
      <w:pPr>
        <w:spacing w:line="360" w:lineRule="auto"/>
        <w:rPr>
          <w:szCs w:val="24"/>
        </w:rPr>
      </w:pPr>
    </w:p>
    <w:p w:rsidR="00367251" w:rsidRPr="005A21BA" w:rsidRDefault="00EE0537" w:rsidP="00EE0537">
      <w:pPr>
        <w:spacing w:line="360" w:lineRule="auto"/>
        <w:ind w:firstLine="1440"/>
        <w:rPr>
          <w:szCs w:val="24"/>
        </w:rPr>
      </w:pPr>
      <w:r w:rsidRPr="005A21BA">
        <w:rPr>
          <w:szCs w:val="24"/>
        </w:rPr>
        <w:t>4</w:t>
      </w:r>
      <w:r w:rsidR="00367251" w:rsidRPr="005A21BA">
        <w:rPr>
          <w:szCs w:val="24"/>
        </w:rPr>
        <w:t>.</w:t>
      </w:r>
      <w:r w:rsidR="00367251" w:rsidRPr="005A21BA">
        <w:rPr>
          <w:szCs w:val="24"/>
        </w:rPr>
        <w:tab/>
      </w:r>
      <w:r w:rsidRPr="005A21BA">
        <w:rPr>
          <w:szCs w:val="24"/>
        </w:rPr>
        <w:t xml:space="preserve">On </w:t>
      </w:r>
      <w:r w:rsidR="006961DD">
        <w:rPr>
          <w:szCs w:val="24"/>
        </w:rPr>
        <w:t>July 16, 2015</w:t>
      </w:r>
      <w:r w:rsidRPr="005A21BA">
        <w:rPr>
          <w:szCs w:val="24"/>
        </w:rPr>
        <w:t>, the Respondent filed an answer with new matter in response to the Complainant</w:t>
      </w:r>
      <w:r w:rsidR="00FA54EA">
        <w:rPr>
          <w:szCs w:val="24"/>
        </w:rPr>
        <w:t>’s</w:t>
      </w:r>
      <w:r w:rsidRPr="005A21BA">
        <w:rPr>
          <w:szCs w:val="24"/>
        </w:rPr>
        <w:t xml:space="preserve"> complaint.</w:t>
      </w:r>
    </w:p>
    <w:p w:rsidR="00EE0537" w:rsidRPr="005A21BA" w:rsidRDefault="00EE0537" w:rsidP="00F32A94">
      <w:pPr>
        <w:spacing w:line="360" w:lineRule="auto"/>
        <w:ind w:firstLine="1440"/>
        <w:rPr>
          <w:szCs w:val="24"/>
        </w:rPr>
      </w:pPr>
    </w:p>
    <w:p w:rsidR="00EE0537" w:rsidRPr="005A21BA" w:rsidRDefault="00EE0537" w:rsidP="00F32A94">
      <w:pPr>
        <w:spacing w:line="360" w:lineRule="auto"/>
        <w:ind w:firstLine="1440"/>
        <w:rPr>
          <w:szCs w:val="24"/>
        </w:rPr>
      </w:pPr>
      <w:r w:rsidRPr="005A21BA">
        <w:rPr>
          <w:szCs w:val="24"/>
        </w:rPr>
        <w:t>5.</w:t>
      </w:r>
      <w:r w:rsidRPr="005A21BA">
        <w:rPr>
          <w:szCs w:val="24"/>
        </w:rPr>
        <w:tab/>
        <w:t>The Complainant did not file an answer to the Respondent’s new matter.</w:t>
      </w:r>
    </w:p>
    <w:p w:rsidR="00494D85" w:rsidRPr="005A21BA" w:rsidRDefault="00494D85" w:rsidP="00F32A94">
      <w:pPr>
        <w:spacing w:line="360" w:lineRule="auto"/>
        <w:rPr>
          <w:szCs w:val="24"/>
        </w:rPr>
      </w:pPr>
    </w:p>
    <w:p w:rsidR="00AD7CFA" w:rsidRPr="005A21BA" w:rsidRDefault="00494D85" w:rsidP="00F32A94">
      <w:pPr>
        <w:spacing w:line="360" w:lineRule="auto"/>
        <w:rPr>
          <w:szCs w:val="24"/>
        </w:rPr>
      </w:pPr>
      <w:r w:rsidRPr="005A21BA">
        <w:rPr>
          <w:szCs w:val="24"/>
        </w:rPr>
        <w:tab/>
      </w:r>
      <w:r w:rsidR="00AD7CFA" w:rsidRPr="005A21BA">
        <w:rPr>
          <w:szCs w:val="24"/>
        </w:rPr>
        <w:tab/>
      </w:r>
      <w:r w:rsidR="00EE0537" w:rsidRPr="005A21BA">
        <w:rPr>
          <w:szCs w:val="24"/>
        </w:rPr>
        <w:t>6.</w:t>
      </w:r>
      <w:r w:rsidR="00642AF2" w:rsidRPr="005A21BA">
        <w:rPr>
          <w:szCs w:val="24"/>
        </w:rPr>
        <w:tab/>
      </w:r>
      <w:r w:rsidR="00EE0537" w:rsidRPr="005A21BA">
        <w:rPr>
          <w:szCs w:val="24"/>
        </w:rPr>
        <w:t xml:space="preserve">On </w:t>
      </w:r>
      <w:r w:rsidR="006961DD">
        <w:rPr>
          <w:szCs w:val="24"/>
        </w:rPr>
        <w:t>July 16, 2015</w:t>
      </w:r>
      <w:r w:rsidR="00EE0537" w:rsidRPr="005A21BA">
        <w:rPr>
          <w:szCs w:val="24"/>
        </w:rPr>
        <w:t>, the Respondent filed</w:t>
      </w:r>
      <w:r w:rsidR="001F23E6">
        <w:rPr>
          <w:szCs w:val="24"/>
        </w:rPr>
        <w:t xml:space="preserve"> a motion for summary judgment.</w:t>
      </w:r>
    </w:p>
    <w:p w:rsidR="00AD7CFA" w:rsidRPr="005A21BA" w:rsidRDefault="00AD7CFA" w:rsidP="00F32A94">
      <w:pPr>
        <w:spacing w:line="360" w:lineRule="auto"/>
        <w:rPr>
          <w:szCs w:val="24"/>
        </w:rPr>
      </w:pPr>
    </w:p>
    <w:p w:rsidR="003807BB" w:rsidRPr="005A21BA" w:rsidRDefault="003807BB" w:rsidP="00F32A94">
      <w:pPr>
        <w:spacing w:line="360" w:lineRule="auto"/>
        <w:rPr>
          <w:szCs w:val="24"/>
        </w:rPr>
      </w:pPr>
      <w:r w:rsidRPr="005A21BA">
        <w:rPr>
          <w:szCs w:val="24"/>
        </w:rPr>
        <w:tab/>
      </w:r>
      <w:r w:rsidRPr="005A21BA">
        <w:rPr>
          <w:szCs w:val="24"/>
        </w:rPr>
        <w:tab/>
      </w:r>
      <w:r w:rsidR="00EE0537" w:rsidRPr="005A21BA">
        <w:rPr>
          <w:szCs w:val="24"/>
        </w:rPr>
        <w:t>7</w:t>
      </w:r>
      <w:r w:rsidR="00CC0C22" w:rsidRPr="005A21BA">
        <w:rPr>
          <w:szCs w:val="24"/>
        </w:rPr>
        <w:t>.</w:t>
      </w:r>
      <w:r w:rsidRPr="005A21BA">
        <w:rPr>
          <w:szCs w:val="24"/>
        </w:rPr>
        <w:tab/>
      </w:r>
      <w:r w:rsidR="00E73B71" w:rsidRPr="005A21BA">
        <w:rPr>
          <w:szCs w:val="24"/>
        </w:rPr>
        <w:t>The Complainant did not file</w:t>
      </w:r>
      <w:r w:rsidR="00EE0537" w:rsidRPr="005A21BA">
        <w:rPr>
          <w:szCs w:val="24"/>
        </w:rPr>
        <w:t xml:space="preserve"> an answer to the Respondent’s motion for summary judgment</w:t>
      </w:r>
      <w:r w:rsidRPr="005A21BA">
        <w:rPr>
          <w:szCs w:val="24"/>
        </w:rPr>
        <w:t>.</w:t>
      </w:r>
    </w:p>
    <w:p w:rsidR="00624FD8" w:rsidRPr="005A21BA" w:rsidRDefault="00624FD8" w:rsidP="00F32A94">
      <w:pPr>
        <w:spacing w:line="360" w:lineRule="auto"/>
        <w:rPr>
          <w:szCs w:val="24"/>
        </w:rPr>
      </w:pPr>
    </w:p>
    <w:p w:rsidR="006961DD" w:rsidRDefault="00EE0537" w:rsidP="00F32A94">
      <w:pPr>
        <w:pStyle w:val="ParaTab1"/>
        <w:spacing w:line="360" w:lineRule="auto"/>
        <w:ind w:firstLine="1350"/>
        <w:rPr>
          <w:rFonts w:ascii="Times New Roman" w:hAnsi="Times New Roman" w:cs="Times New Roman"/>
        </w:rPr>
      </w:pPr>
      <w:r w:rsidRPr="005A21BA">
        <w:t>8.</w:t>
      </w:r>
      <w:r w:rsidRPr="005A21BA">
        <w:tab/>
      </w:r>
      <w:r w:rsidR="006961DD">
        <w:t>T</w:t>
      </w:r>
      <w:r w:rsidR="006961DD">
        <w:rPr>
          <w:rFonts w:ascii="Times New Roman" w:hAnsi="Times New Roman" w:cs="Times New Roman"/>
        </w:rPr>
        <w:t xml:space="preserve">he Complainant established service at his current address on December 4, 2012.    </w:t>
      </w:r>
    </w:p>
    <w:p w:rsidR="006961DD" w:rsidRDefault="006961DD" w:rsidP="00F32A94">
      <w:pPr>
        <w:pStyle w:val="ParaTab1"/>
        <w:spacing w:line="360" w:lineRule="auto"/>
        <w:ind w:firstLine="1350"/>
        <w:rPr>
          <w:rFonts w:ascii="Times New Roman" w:hAnsi="Times New Roman" w:cs="Times New Roman"/>
        </w:rPr>
      </w:pPr>
    </w:p>
    <w:p w:rsidR="006961DD" w:rsidRDefault="006961DD" w:rsidP="00F32A94">
      <w:pPr>
        <w:pStyle w:val="ParaTab1"/>
        <w:spacing w:line="360" w:lineRule="auto"/>
        <w:ind w:firstLine="135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Previously, the Complainant had established service on October 17, 2009 at 816 East Stafford Street.  </w:t>
      </w:r>
    </w:p>
    <w:p w:rsidR="006961DD" w:rsidRDefault="006961DD" w:rsidP="00F32A94">
      <w:pPr>
        <w:pStyle w:val="ParaTab1"/>
        <w:spacing w:line="360" w:lineRule="auto"/>
        <w:ind w:firstLine="1350"/>
        <w:rPr>
          <w:rFonts w:ascii="Times New Roman" w:hAnsi="Times New Roman" w:cs="Times New Roman"/>
        </w:rPr>
      </w:pPr>
    </w:p>
    <w:p w:rsidR="006961DD" w:rsidRDefault="006961DD" w:rsidP="00F32A94">
      <w:pPr>
        <w:pStyle w:val="ParaTab1"/>
        <w:spacing w:line="360" w:lineRule="auto"/>
        <w:ind w:firstLine="1350"/>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The service for 816 East Stafford Street was in the name of Tiffany Jones prior to October 17, 2009.  </w:t>
      </w:r>
    </w:p>
    <w:p w:rsidR="006961DD" w:rsidRDefault="006961DD" w:rsidP="00F32A94">
      <w:pPr>
        <w:pStyle w:val="ParaTab1"/>
        <w:spacing w:line="360" w:lineRule="auto"/>
        <w:ind w:firstLine="1350"/>
        <w:rPr>
          <w:rFonts w:ascii="Times New Roman" w:hAnsi="Times New Roman" w:cs="Times New Roman"/>
        </w:rPr>
      </w:pPr>
    </w:p>
    <w:p w:rsidR="006961DD" w:rsidRDefault="006961DD" w:rsidP="00F32A94">
      <w:pPr>
        <w:pStyle w:val="ParaTab1"/>
        <w:spacing w:line="360" w:lineRule="auto"/>
        <w:ind w:firstLine="1350"/>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The Respondent discovered that the Complainant had been linked to the property at 816 East Stafford Street since September 2001 as well as linked to previous addresses with Tiffany Jones.  </w:t>
      </w:r>
    </w:p>
    <w:p w:rsidR="006961DD" w:rsidRDefault="006961DD" w:rsidP="00F32A94">
      <w:pPr>
        <w:pStyle w:val="ParaTab1"/>
        <w:spacing w:line="360" w:lineRule="auto"/>
        <w:ind w:firstLine="1350"/>
        <w:rPr>
          <w:rFonts w:ascii="Times New Roman" w:hAnsi="Times New Roman" w:cs="Times New Roman"/>
        </w:rPr>
      </w:pPr>
    </w:p>
    <w:p w:rsidR="006961DD" w:rsidRDefault="006961DD" w:rsidP="00F32A94">
      <w:pPr>
        <w:pStyle w:val="ParaTab1"/>
        <w:spacing w:line="360" w:lineRule="auto"/>
        <w:ind w:firstLine="1350"/>
        <w:rPr>
          <w:rFonts w:ascii="Times New Roman" w:hAnsi="Times New Roman" w:cs="Times New Roman"/>
        </w:rPr>
      </w:pPr>
      <w:r>
        <w:rPr>
          <w:rFonts w:ascii="Times New Roman" w:hAnsi="Times New Roman" w:cs="Times New Roman"/>
        </w:rPr>
        <w:t>12.</w:t>
      </w:r>
      <w:r>
        <w:rPr>
          <w:rFonts w:ascii="Times New Roman" w:hAnsi="Times New Roman" w:cs="Times New Roman"/>
        </w:rPr>
        <w:tab/>
        <w:t>BCS issued a decision dated December 2, 2009 at BCS No. 2608437 concluding that both Tiffany Jones and the Complainant were responsible for the account balance at 816 East Stafford Street.</w:t>
      </w:r>
    </w:p>
    <w:p w:rsidR="006961DD" w:rsidRDefault="006961DD" w:rsidP="00F32A94">
      <w:pPr>
        <w:pStyle w:val="ParaTab1"/>
        <w:spacing w:line="360" w:lineRule="auto"/>
        <w:ind w:firstLine="1350"/>
        <w:rPr>
          <w:rFonts w:ascii="Times New Roman" w:hAnsi="Times New Roman" w:cs="Times New Roman"/>
        </w:rPr>
      </w:pPr>
    </w:p>
    <w:p w:rsidR="009024BF" w:rsidRDefault="006961DD" w:rsidP="00F32A94">
      <w:pPr>
        <w:pStyle w:val="ParaTab1"/>
        <w:spacing w:line="360" w:lineRule="auto"/>
        <w:ind w:firstLine="1350"/>
        <w:rPr>
          <w:rFonts w:ascii="Times New Roman" w:hAnsi="Times New Roman" w:cs="Times New Roman"/>
        </w:rPr>
      </w:pPr>
      <w:r>
        <w:rPr>
          <w:rFonts w:ascii="Times New Roman" w:hAnsi="Times New Roman" w:cs="Times New Roman"/>
        </w:rPr>
        <w:t>13.</w:t>
      </w:r>
      <w:r>
        <w:rPr>
          <w:rFonts w:ascii="Times New Roman" w:hAnsi="Times New Roman" w:cs="Times New Roman"/>
        </w:rPr>
        <w:tab/>
        <w:t xml:space="preserve">On September 20, 2012, the Complainant filed a formal complaint with the Commission docketed at C-2012-2325161.  </w:t>
      </w:r>
    </w:p>
    <w:p w:rsidR="009024BF" w:rsidRDefault="009024BF" w:rsidP="00F32A94">
      <w:pPr>
        <w:pStyle w:val="ParaTab1"/>
        <w:spacing w:line="360" w:lineRule="auto"/>
        <w:ind w:firstLine="1350"/>
        <w:rPr>
          <w:rFonts w:ascii="Times New Roman" w:hAnsi="Times New Roman" w:cs="Times New Roman"/>
        </w:rPr>
      </w:pPr>
    </w:p>
    <w:p w:rsidR="006961DD" w:rsidRDefault="009024BF" w:rsidP="00F32A94">
      <w:pPr>
        <w:pStyle w:val="ParaTab1"/>
        <w:spacing w:line="360" w:lineRule="auto"/>
        <w:ind w:firstLine="1350"/>
        <w:rPr>
          <w:rFonts w:ascii="Times New Roman" w:hAnsi="Times New Roman" w:cs="Times New Roman"/>
        </w:rPr>
      </w:pPr>
      <w:r>
        <w:rPr>
          <w:rFonts w:ascii="Times New Roman" w:hAnsi="Times New Roman" w:cs="Times New Roman"/>
        </w:rPr>
        <w:lastRenderedPageBreak/>
        <w:t>14.</w:t>
      </w:r>
      <w:r>
        <w:rPr>
          <w:rFonts w:ascii="Times New Roman" w:hAnsi="Times New Roman" w:cs="Times New Roman"/>
        </w:rPr>
        <w:tab/>
      </w:r>
      <w:r w:rsidR="006961DD">
        <w:rPr>
          <w:rFonts w:ascii="Times New Roman" w:hAnsi="Times New Roman" w:cs="Times New Roman"/>
        </w:rPr>
        <w:t xml:space="preserve">Tiffany Jones is the wife of the Complainant and they have lived together since 1996.  </w:t>
      </w:r>
    </w:p>
    <w:p w:rsidR="006961DD" w:rsidRDefault="006961DD" w:rsidP="00F32A94">
      <w:pPr>
        <w:pStyle w:val="ParaTab1"/>
        <w:spacing w:line="360" w:lineRule="auto"/>
        <w:ind w:firstLine="1350"/>
        <w:rPr>
          <w:rFonts w:ascii="Times New Roman" w:hAnsi="Times New Roman" w:cs="Times New Roman"/>
        </w:rPr>
      </w:pPr>
    </w:p>
    <w:p w:rsidR="009024BF" w:rsidRDefault="009024BF" w:rsidP="00F32A94">
      <w:pPr>
        <w:pStyle w:val="ParaTab1"/>
        <w:spacing w:line="360" w:lineRule="auto"/>
        <w:ind w:firstLine="1350"/>
        <w:rPr>
          <w:rFonts w:ascii="Times New Roman" w:hAnsi="Times New Roman" w:cs="Times New Roman"/>
        </w:rPr>
      </w:pPr>
      <w:r>
        <w:rPr>
          <w:rFonts w:ascii="Times New Roman" w:hAnsi="Times New Roman" w:cs="Times New Roman"/>
        </w:rPr>
        <w:t>15.</w:t>
      </w:r>
      <w:r>
        <w:rPr>
          <w:rFonts w:ascii="Times New Roman" w:hAnsi="Times New Roman" w:cs="Times New Roman"/>
        </w:rPr>
        <w:tab/>
        <w:t>T</w:t>
      </w:r>
      <w:r w:rsidR="006961DD">
        <w:rPr>
          <w:rFonts w:ascii="Times New Roman" w:hAnsi="Times New Roman" w:cs="Times New Roman"/>
        </w:rPr>
        <w:t>he complaint at C-2012-2325161 was settled in January 8, 2013</w:t>
      </w:r>
      <w:r w:rsidR="00CA10AA">
        <w:rPr>
          <w:rFonts w:ascii="Times New Roman" w:hAnsi="Times New Roman" w:cs="Times New Roman"/>
        </w:rPr>
        <w:t xml:space="preserve"> by certificate of satisfaction</w:t>
      </w:r>
      <w:r w:rsidR="006961DD">
        <w:rPr>
          <w:rFonts w:ascii="Times New Roman" w:hAnsi="Times New Roman" w:cs="Times New Roman"/>
        </w:rPr>
        <w:t xml:space="preserve">.  </w:t>
      </w:r>
    </w:p>
    <w:p w:rsidR="006961DD" w:rsidRDefault="006961DD" w:rsidP="00F32A94">
      <w:pPr>
        <w:pStyle w:val="ParaTab1"/>
        <w:spacing w:line="360" w:lineRule="auto"/>
        <w:ind w:firstLine="1350"/>
        <w:rPr>
          <w:rFonts w:ascii="Times New Roman" w:hAnsi="Times New Roman" w:cs="Times New Roman"/>
        </w:rPr>
      </w:pPr>
    </w:p>
    <w:p w:rsidR="00CA10AA" w:rsidRDefault="009024BF" w:rsidP="00F32A94">
      <w:pPr>
        <w:pStyle w:val="ParaTab1"/>
        <w:spacing w:line="360" w:lineRule="auto"/>
        <w:ind w:firstLine="1350"/>
        <w:rPr>
          <w:rFonts w:ascii="Times New Roman" w:hAnsi="Times New Roman" w:cs="Times New Roman"/>
        </w:rPr>
      </w:pPr>
      <w:r>
        <w:rPr>
          <w:rFonts w:ascii="Times New Roman" w:hAnsi="Times New Roman" w:cs="Times New Roman"/>
        </w:rPr>
        <w:t>1</w:t>
      </w:r>
      <w:r w:rsidR="00CA10AA">
        <w:rPr>
          <w:rFonts w:ascii="Times New Roman" w:hAnsi="Times New Roman" w:cs="Times New Roman"/>
        </w:rPr>
        <w:t>6</w:t>
      </w:r>
      <w:r>
        <w:rPr>
          <w:rFonts w:ascii="Times New Roman" w:hAnsi="Times New Roman" w:cs="Times New Roman"/>
        </w:rPr>
        <w:t>.</w:t>
      </w:r>
      <w:r>
        <w:rPr>
          <w:rFonts w:ascii="Times New Roman" w:hAnsi="Times New Roman" w:cs="Times New Roman"/>
        </w:rPr>
        <w:tab/>
        <w:t>O</w:t>
      </w:r>
      <w:r w:rsidR="006961DD">
        <w:rPr>
          <w:rFonts w:ascii="Times New Roman" w:hAnsi="Times New Roman" w:cs="Times New Roman"/>
        </w:rPr>
        <w:t xml:space="preserve">n October 15, 2013, the Complainant enrolled in the Respondent’s CAP. </w:t>
      </w:r>
    </w:p>
    <w:p w:rsidR="009024BF" w:rsidRDefault="006961DD" w:rsidP="00F32A94">
      <w:pPr>
        <w:pStyle w:val="ParaTab1"/>
        <w:spacing w:line="360" w:lineRule="auto"/>
        <w:ind w:firstLine="1350"/>
        <w:rPr>
          <w:rFonts w:ascii="Times New Roman" w:hAnsi="Times New Roman" w:cs="Times New Roman"/>
        </w:rPr>
      </w:pPr>
      <w:r>
        <w:rPr>
          <w:rFonts w:ascii="Times New Roman" w:hAnsi="Times New Roman" w:cs="Times New Roman"/>
        </w:rPr>
        <w:t xml:space="preserve"> </w:t>
      </w:r>
    </w:p>
    <w:p w:rsidR="006961DD" w:rsidRDefault="009024BF" w:rsidP="00F32A94">
      <w:pPr>
        <w:pStyle w:val="ParaTab1"/>
        <w:spacing w:line="360" w:lineRule="auto"/>
        <w:ind w:firstLine="1350"/>
        <w:rPr>
          <w:rFonts w:ascii="Times New Roman" w:hAnsi="Times New Roman" w:cs="Times New Roman"/>
        </w:rPr>
      </w:pPr>
      <w:r>
        <w:rPr>
          <w:rFonts w:ascii="Times New Roman" w:hAnsi="Times New Roman" w:cs="Times New Roman"/>
        </w:rPr>
        <w:t>1</w:t>
      </w:r>
      <w:r w:rsidR="00CA10AA">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sidR="006961DD">
        <w:rPr>
          <w:rFonts w:ascii="Times New Roman" w:hAnsi="Times New Roman" w:cs="Times New Roman"/>
        </w:rPr>
        <w:t xml:space="preserve">On November 7, 2014, the Respondent was suspended from the Respondent’s CAP for failure to recertify income eligibility.  </w:t>
      </w:r>
    </w:p>
    <w:p w:rsidR="006961DD" w:rsidRDefault="006961DD" w:rsidP="00F32A94">
      <w:pPr>
        <w:pStyle w:val="ParaTab1"/>
        <w:spacing w:line="360" w:lineRule="auto"/>
        <w:ind w:firstLine="1350"/>
        <w:rPr>
          <w:rFonts w:ascii="Times New Roman" w:hAnsi="Times New Roman" w:cs="Times New Roman"/>
        </w:rPr>
      </w:pPr>
    </w:p>
    <w:p w:rsidR="006961DD" w:rsidRDefault="006961DD" w:rsidP="00F32A94">
      <w:pPr>
        <w:pStyle w:val="ParaTab1"/>
        <w:spacing w:line="360" w:lineRule="auto"/>
        <w:ind w:firstLine="1350"/>
        <w:rPr>
          <w:rFonts w:ascii="Times New Roman" w:hAnsi="Times New Roman" w:cs="Times New Roman"/>
        </w:rPr>
      </w:pPr>
      <w:r>
        <w:rPr>
          <w:rFonts w:ascii="Times New Roman" w:hAnsi="Times New Roman" w:cs="Times New Roman"/>
        </w:rPr>
        <w:t xml:space="preserve"> </w:t>
      </w:r>
      <w:r w:rsidR="009024BF">
        <w:rPr>
          <w:rFonts w:ascii="Times New Roman" w:hAnsi="Times New Roman" w:cs="Times New Roman"/>
        </w:rPr>
        <w:t>1</w:t>
      </w:r>
      <w:r w:rsidR="00CA10AA">
        <w:rPr>
          <w:rFonts w:ascii="Times New Roman" w:hAnsi="Times New Roman" w:cs="Times New Roman"/>
        </w:rPr>
        <w:t>8</w:t>
      </w:r>
      <w:r w:rsidR="009024BF">
        <w:rPr>
          <w:rFonts w:ascii="Times New Roman" w:hAnsi="Times New Roman" w:cs="Times New Roman"/>
        </w:rPr>
        <w:t>.</w:t>
      </w:r>
      <w:r w:rsidR="009024BF">
        <w:rPr>
          <w:rFonts w:ascii="Times New Roman" w:hAnsi="Times New Roman" w:cs="Times New Roman"/>
        </w:rPr>
        <w:tab/>
      </w:r>
      <w:r>
        <w:rPr>
          <w:rFonts w:ascii="Times New Roman" w:hAnsi="Times New Roman" w:cs="Times New Roman"/>
        </w:rPr>
        <w:t>BCS issued a decision dated April 1, 2015 at BCS No. 3280992</w:t>
      </w:r>
      <w:r w:rsidR="009024BF">
        <w:rPr>
          <w:rFonts w:ascii="Times New Roman" w:hAnsi="Times New Roman" w:cs="Times New Roman"/>
        </w:rPr>
        <w:t xml:space="preserve"> </w:t>
      </w:r>
      <w:r>
        <w:rPr>
          <w:rFonts w:ascii="Times New Roman" w:hAnsi="Times New Roman" w:cs="Times New Roman"/>
        </w:rPr>
        <w:t>conclud</w:t>
      </w:r>
      <w:r w:rsidR="009024BF">
        <w:rPr>
          <w:rFonts w:ascii="Times New Roman" w:hAnsi="Times New Roman" w:cs="Times New Roman"/>
        </w:rPr>
        <w:t>ing</w:t>
      </w:r>
      <w:r>
        <w:rPr>
          <w:rFonts w:ascii="Times New Roman" w:hAnsi="Times New Roman" w:cs="Times New Roman"/>
        </w:rPr>
        <w:t xml:space="preserve"> that the Complainant assumed the balance of $11,928.08 that was transferred from Tiffany Jones’ account when he established service at the current address. </w:t>
      </w:r>
    </w:p>
    <w:p w:rsidR="003E1531" w:rsidRPr="005A21BA" w:rsidRDefault="003E1531" w:rsidP="00F32A94">
      <w:pPr>
        <w:spacing w:line="360" w:lineRule="auto"/>
        <w:ind w:firstLine="1440"/>
        <w:rPr>
          <w:szCs w:val="24"/>
        </w:rPr>
      </w:pPr>
    </w:p>
    <w:p w:rsidR="00AD7CFA" w:rsidRPr="005A21BA" w:rsidRDefault="00AD7CFA" w:rsidP="00211604">
      <w:pPr>
        <w:pStyle w:val="ParaTab1"/>
        <w:tabs>
          <w:tab w:val="left" w:pos="2070"/>
        </w:tabs>
        <w:spacing w:line="360" w:lineRule="auto"/>
        <w:ind w:left="90" w:hanging="90"/>
        <w:jc w:val="center"/>
        <w:outlineLvl w:val="0"/>
        <w:rPr>
          <w:rFonts w:ascii="Times New Roman" w:hAnsi="Times New Roman" w:cs="Times New Roman"/>
          <w:u w:val="single"/>
        </w:rPr>
      </w:pPr>
      <w:r w:rsidRPr="005A21BA">
        <w:rPr>
          <w:rFonts w:ascii="Times New Roman" w:hAnsi="Times New Roman" w:cs="Times New Roman"/>
          <w:u w:val="single"/>
        </w:rPr>
        <w:t>DISCUSSION</w:t>
      </w:r>
    </w:p>
    <w:p w:rsidR="00AD7CFA" w:rsidRPr="005A21BA" w:rsidRDefault="00AD7CFA" w:rsidP="00F32A94">
      <w:pPr>
        <w:pStyle w:val="ParaTab1"/>
        <w:tabs>
          <w:tab w:val="left" w:pos="2070"/>
        </w:tabs>
        <w:spacing w:line="360" w:lineRule="auto"/>
        <w:ind w:firstLine="630"/>
        <w:rPr>
          <w:rFonts w:ascii="Times New Roman" w:hAnsi="Times New Roman" w:cs="Times New Roman"/>
        </w:rPr>
      </w:pPr>
    </w:p>
    <w:p w:rsidR="004F7858" w:rsidRPr="005A21BA" w:rsidRDefault="001731B6" w:rsidP="00F32A94">
      <w:pPr>
        <w:tabs>
          <w:tab w:val="left" w:pos="0"/>
        </w:tabs>
        <w:spacing w:line="360" w:lineRule="auto"/>
        <w:rPr>
          <w:szCs w:val="24"/>
        </w:rPr>
      </w:pPr>
      <w:r w:rsidRPr="005A21BA">
        <w:rPr>
          <w:szCs w:val="24"/>
        </w:rPr>
        <w:tab/>
      </w:r>
      <w:r w:rsidRPr="005A21BA">
        <w:rPr>
          <w:szCs w:val="24"/>
        </w:rPr>
        <w:tab/>
      </w:r>
      <w:r w:rsidR="00AA5E91" w:rsidRPr="005A21BA">
        <w:rPr>
          <w:szCs w:val="24"/>
        </w:rPr>
        <w:t>The Respondent’s</w:t>
      </w:r>
      <w:r w:rsidR="00F049DB" w:rsidRPr="005A21BA">
        <w:rPr>
          <w:szCs w:val="24"/>
        </w:rPr>
        <w:t xml:space="preserve"> </w:t>
      </w:r>
      <w:r w:rsidR="00AD7CFA" w:rsidRPr="005A21BA">
        <w:rPr>
          <w:szCs w:val="24"/>
        </w:rPr>
        <w:t xml:space="preserve">motion </w:t>
      </w:r>
      <w:r w:rsidR="005C18C8" w:rsidRPr="005A21BA">
        <w:rPr>
          <w:szCs w:val="24"/>
        </w:rPr>
        <w:t>for summary judgment</w:t>
      </w:r>
      <w:r w:rsidR="00AD7CFA" w:rsidRPr="005A21BA">
        <w:rPr>
          <w:szCs w:val="24"/>
        </w:rPr>
        <w:t xml:space="preserve"> argue</w:t>
      </w:r>
      <w:r w:rsidR="00AA5E91" w:rsidRPr="005A21BA">
        <w:rPr>
          <w:szCs w:val="24"/>
        </w:rPr>
        <w:t>s</w:t>
      </w:r>
      <w:r w:rsidR="00AD7CFA" w:rsidRPr="005A21BA">
        <w:rPr>
          <w:szCs w:val="24"/>
        </w:rPr>
        <w:t xml:space="preserve"> that the Commission should dismiss </w:t>
      </w:r>
      <w:r w:rsidR="00AA5E91" w:rsidRPr="005A21BA">
        <w:rPr>
          <w:szCs w:val="24"/>
        </w:rPr>
        <w:t xml:space="preserve">the Complainant’s </w:t>
      </w:r>
      <w:r w:rsidR="009B7979" w:rsidRPr="005A21BA">
        <w:rPr>
          <w:szCs w:val="24"/>
        </w:rPr>
        <w:t xml:space="preserve">complaint </w:t>
      </w:r>
      <w:r w:rsidR="00AD7CFA" w:rsidRPr="005A21BA">
        <w:rPr>
          <w:szCs w:val="24"/>
        </w:rPr>
        <w:t xml:space="preserve">because </w:t>
      </w:r>
      <w:r w:rsidR="00D60AA1">
        <w:rPr>
          <w:szCs w:val="24"/>
        </w:rPr>
        <w:t xml:space="preserve">the </w:t>
      </w:r>
      <w:r w:rsidR="009024BF">
        <w:rPr>
          <w:szCs w:val="24"/>
        </w:rPr>
        <w:t xml:space="preserve">issues raised in the Complainant’s complaint have been previously addressed and settled by the parties through </w:t>
      </w:r>
      <w:r w:rsidR="009024BF">
        <w:t>the certificate of satisfaction filed at C-2012-2325161.</w:t>
      </w:r>
      <w:r w:rsidR="00F52DD5" w:rsidRPr="005A21BA">
        <w:rPr>
          <w:szCs w:val="24"/>
        </w:rPr>
        <w:t xml:space="preserve">  </w:t>
      </w:r>
      <w:r w:rsidR="004F7858" w:rsidRPr="005A21BA">
        <w:rPr>
          <w:szCs w:val="24"/>
        </w:rPr>
        <w:t xml:space="preserve">The Commission’s </w:t>
      </w:r>
      <w:r w:rsidR="00BA7C62" w:rsidRPr="005A21BA">
        <w:rPr>
          <w:szCs w:val="24"/>
        </w:rPr>
        <w:t>regulation</w:t>
      </w:r>
      <w:r w:rsidR="004F7858" w:rsidRPr="005A21BA">
        <w:rPr>
          <w:szCs w:val="24"/>
        </w:rPr>
        <w:t xml:space="preserve"> </w:t>
      </w:r>
      <w:r w:rsidR="00BA7C62" w:rsidRPr="005A21BA">
        <w:rPr>
          <w:szCs w:val="24"/>
        </w:rPr>
        <w:t xml:space="preserve">at 52 </w:t>
      </w:r>
      <w:proofErr w:type="spellStart"/>
      <w:r w:rsidR="00BA7C62" w:rsidRPr="005A21BA">
        <w:rPr>
          <w:szCs w:val="24"/>
        </w:rPr>
        <w:t>Pa.Code</w:t>
      </w:r>
      <w:proofErr w:type="spellEnd"/>
      <w:r w:rsidR="00BA7C62" w:rsidRPr="005A21BA">
        <w:rPr>
          <w:szCs w:val="24"/>
        </w:rPr>
        <w:t xml:space="preserve"> §</w:t>
      </w:r>
      <w:r w:rsidR="00F52DD5" w:rsidRPr="005A21BA">
        <w:rPr>
          <w:szCs w:val="24"/>
        </w:rPr>
        <w:t xml:space="preserve"> </w:t>
      </w:r>
      <w:r w:rsidR="00BA7C62" w:rsidRPr="005A21BA">
        <w:rPr>
          <w:szCs w:val="24"/>
        </w:rPr>
        <w:t xml:space="preserve">5.102 </w:t>
      </w:r>
      <w:r w:rsidR="00EF5DB8" w:rsidRPr="005A21BA">
        <w:rPr>
          <w:szCs w:val="24"/>
        </w:rPr>
        <w:t>governs</w:t>
      </w:r>
      <w:r w:rsidR="00CF67B6" w:rsidRPr="005A21BA">
        <w:rPr>
          <w:szCs w:val="24"/>
        </w:rPr>
        <w:t xml:space="preserve"> motion</w:t>
      </w:r>
      <w:r w:rsidR="00EF5DB8" w:rsidRPr="005A21BA">
        <w:rPr>
          <w:szCs w:val="24"/>
        </w:rPr>
        <w:t>s</w:t>
      </w:r>
      <w:r w:rsidR="00CF67B6" w:rsidRPr="005A21BA">
        <w:rPr>
          <w:szCs w:val="24"/>
        </w:rPr>
        <w:t xml:space="preserve"> for summary judgment</w:t>
      </w:r>
      <w:r w:rsidR="004F7858" w:rsidRPr="005A21BA">
        <w:rPr>
          <w:szCs w:val="24"/>
        </w:rPr>
        <w:t xml:space="preserve">.  </w:t>
      </w:r>
      <w:r w:rsidR="00EF5DB8" w:rsidRPr="005A21BA">
        <w:rPr>
          <w:szCs w:val="24"/>
        </w:rPr>
        <w:t>T</w:t>
      </w:r>
      <w:r w:rsidR="004F7858" w:rsidRPr="005A21BA">
        <w:rPr>
          <w:szCs w:val="24"/>
        </w:rPr>
        <w:t xml:space="preserve">he Commission’s regulation at 52 </w:t>
      </w:r>
      <w:proofErr w:type="spellStart"/>
      <w:r w:rsidR="004F7858" w:rsidRPr="005A21BA">
        <w:rPr>
          <w:szCs w:val="24"/>
        </w:rPr>
        <w:t>Pa.Code</w:t>
      </w:r>
      <w:proofErr w:type="spellEnd"/>
      <w:r w:rsidR="004F7858" w:rsidRPr="005A21BA">
        <w:rPr>
          <w:szCs w:val="24"/>
        </w:rPr>
        <w:t xml:space="preserve"> §</w:t>
      </w:r>
      <w:r w:rsidR="00F52DD5" w:rsidRPr="005A21BA">
        <w:rPr>
          <w:szCs w:val="24"/>
        </w:rPr>
        <w:t xml:space="preserve"> </w:t>
      </w:r>
      <w:r w:rsidR="004F7858" w:rsidRPr="005A21BA">
        <w:rPr>
          <w:szCs w:val="24"/>
        </w:rPr>
        <w:t>5.102(a) permits any party to move for summary judgment after the pleadings are closed, but within such time as not to delay a hearing.  A motion for summary judgment must be based on the pleadings, depositions, answers to interrogatories, admission</w:t>
      </w:r>
      <w:r w:rsidR="007B0DFE" w:rsidRPr="005A21BA">
        <w:rPr>
          <w:szCs w:val="24"/>
        </w:rPr>
        <w:t>s</w:t>
      </w:r>
      <w:r w:rsidR="004F7858" w:rsidRPr="005A21BA">
        <w:rPr>
          <w:szCs w:val="24"/>
        </w:rPr>
        <w:t xml:space="preserve"> and supporting affidavits.  </w:t>
      </w:r>
      <w:proofErr w:type="gramStart"/>
      <w:r w:rsidR="004F7858" w:rsidRPr="005A21BA">
        <w:rPr>
          <w:szCs w:val="24"/>
        </w:rPr>
        <w:t xml:space="preserve">52 </w:t>
      </w:r>
      <w:proofErr w:type="spellStart"/>
      <w:r w:rsidR="004F7858" w:rsidRPr="005A21BA">
        <w:rPr>
          <w:szCs w:val="24"/>
        </w:rPr>
        <w:t>Pa.Code</w:t>
      </w:r>
      <w:proofErr w:type="spellEnd"/>
      <w:r w:rsidR="004F7858" w:rsidRPr="005A21BA">
        <w:rPr>
          <w:szCs w:val="24"/>
        </w:rPr>
        <w:t xml:space="preserve"> §</w:t>
      </w:r>
      <w:r w:rsidR="003E1531">
        <w:rPr>
          <w:szCs w:val="24"/>
        </w:rPr>
        <w:t> </w:t>
      </w:r>
      <w:r w:rsidR="004F7858" w:rsidRPr="005A21BA">
        <w:rPr>
          <w:szCs w:val="24"/>
        </w:rPr>
        <w:t>5.102(c)</w:t>
      </w:r>
      <w:r w:rsidR="009B64D3" w:rsidRPr="005A21BA">
        <w:rPr>
          <w:szCs w:val="24"/>
        </w:rPr>
        <w:t>.</w:t>
      </w:r>
      <w:proofErr w:type="gramEnd"/>
      <w:r w:rsidR="004F7858" w:rsidRPr="005A21BA">
        <w:rPr>
          <w:szCs w:val="24"/>
        </w:rPr>
        <w:t xml:space="preserve">  The presiding officer will grant a motion for summary judgment if the pleadings, depositions, answers to interrogatories, admissions and affidavits show that there is no genuine issue as to a material fact and that the moving party is entitled to judgment as a matter of law.  52</w:t>
      </w:r>
      <w:r w:rsidR="00174FEF" w:rsidRPr="005A21BA">
        <w:rPr>
          <w:szCs w:val="24"/>
        </w:rPr>
        <w:t xml:space="preserve"> </w:t>
      </w:r>
      <w:proofErr w:type="spellStart"/>
      <w:r w:rsidR="004F7858" w:rsidRPr="005A21BA">
        <w:rPr>
          <w:szCs w:val="24"/>
        </w:rPr>
        <w:t>Pa.Code</w:t>
      </w:r>
      <w:proofErr w:type="spellEnd"/>
      <w:r w:rsidR="004F7858" w:rsidRPr="005A21BA">
        <w:rPr>
          <w:szCs w:val="24"/>
        </w:rPr>
        <w:t xml:space="preserve"> §</w:t>
      </w:r>
      <w:r w:rsidR="00F52DD5" w:rsidRPr="005A21BA">
        <w:rPr>
          <w:szCs w:val="24"/>
        </w:rPr>
        <w:t xml:space="preserve"> </w:t>
      </w:r>
      <w:r w:rsidR="009F0D66">
        <w:rPr>
          <w:szCs w:val="24"/>
        </w:rPr>
        <w:t>5.102(d</w:t>
      </w:r>
      <w:proofErr w:type="gramStart"/>
      <w:r w:rsidR="009F0D66">
        <w:rPr>
          <w:szCs w:val="24"/>
        </w:rPr>
        <w:t>)(</w:t>
      </w:r>
      <w:proofErr w:type="gramEnd"/>
      <w:r w:rsidR="009F0D66">
        <w:rPr>
          <w:szCs w:val="24"/>
        </w:rPr>
        <w:t>1).</w:t>
      </w:r>
    </w:p>
    <w:p w:rsidR="004F7858" w:rsidRPr="005A21BA" w:rsidRDefault="004F7858" w:rsidP="00F32A94">
      <w:pPr>
        <w:tabs>
          <w:tab w:val="left" w:pos="0"/>
        </w:tabs>
        <w:spacing w:line="360" w:lineRule="auto"/>
        <w:rPr>
          <w:szCs w:val="24"/>
        </w:rPr>
      </w:pPr>
    </w:p>
    <w:p w:rsidR="004F7858" w:rsidRPr="005A21BA" w:rsidRDefault="004F7858" w:rsidP="00F32A94">
      <w:pPr>
        <w:tabs>
          <w:tab w:val="left" w:pos="0"/>
        </w:tabs>
        <w:spacing w:line="360" w:lineRule="auto"/>
        <w:rPr>
          <w:szCs w:val="24"/>
        </w:rPr>
      </w:pPr>
      <w:r w:rsidRPr="005A21BA">
        <w:rPr>
          <w:szCs w:val="24"/>
        </w:rPr>
        <w:lastRenderedPageBreak/>
        <w:tab/>
      </w:r>
      <w:r w:rsidRPr="005A21BA">
        <w:rPr>
          <w:szCs w:val="24"/>
        </w:rPr>
        <w:tab/>
        <w:t xml:space="preserve">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proofErr w:type="gramStart"/>
      <w:r w:rsidRPr="005A21BA">
        <w:rPr>
          <w:szCs w:val="24"/>
          <w:u w:val="single"/>
        </w:rPr>
        <w:t xml:space="preserve">First Mortgage Co. </w:t>
      </w:r>
      <w:r w:rsidR="00C300E7" w:rsidRPr="005A21BA">
        <w:rPr>
          <w:szCs w:val="24"/>
          <w:u w:val="single"/>
        </w:rPr>
        <w:t>of Pa</w:t>
      </w:r>
      <w:r w:rsidR="00F52DD5" w:rsidRPr="005A21BA">
        <w:rPr>
          <w:szCs w:val="24"/>
          <w:u w:val="single"/>
        </w:rPr>
        <w:t>.</w:t>
      </w:r>
      <w:r w:rsidR="00572071">
        <w:rPr>
          <w:szCs w:val="24"/>
          <w:u w:val="single"/>
        </w:rPr>
        <w:t xml:space="preserve"> v. </w:t>
      </w:r>
      <w:r w:rsidRPr="005A21BA">
        <w:rPr>
          <w:szCs w:val="24"/>
          <w:u w:val="single"/>
        </w:rPr>
        <w:t>McCall</w:t>
      </w:r>
      <w:r w:rsidRPr="005A21BA">
        <w:rPr>
          <w:szCs w:val="24"/>
        </w:rPr>
        <w:t>, 459</w:t>
      </w:r>
      <w:r w:rsidR="00174FEF" w:rsidRPr="005A21BA">
        <w:rPr>
          <w:szCs w:val="24"/>
        </w:rPr>
        <w:t xml:space="preserve"> </w:t>
      </w:r>
      <w:r w:rsidRPr="005A21BA">
        <w:rPr>
          <w:szCs w:val="24"/>
        </w:rPr>
        <w:t>A.2d</w:t>
      </w:r>
      <w:r w:rsidR="00174FEF" w:rsidRPr="005A21BA">
        <w:rPr>
          <w:szCs w:val="24"/>
        </w:rPr>
        <w:t xml:space="preserve"> </w:t>
      </w:r>
      <w:r w:rsidRPr="005A21BA">
        <w:rPr>
          <w:szCs w:val="24"/>
        </w:rPr>
        <w:t>406 (</w:t>
      </w:r>
      <w:proofErr w:type="spellStart"/>
      <w:r w:rsidRPr="005A21BA">
        <w:rPr>
          <w:szCs w:val="24"/>
        </w:rPr>
        <w:t>Pa.Super</w:t>
      </w:r>
      <w:proofErr w:type="spellEnd"/>
      <w:r w:rsidRPr="005A21BA">
        <w:rPr>
          <w:szCs w:val="24"/>
        </w:rPr>
        <w:t>.</w:t>
      </w:r>
      <w:r w:rsidR="00F52DD5" w:rsidRPr="005A21BA">
        <w:rPr>
          <w:szCs w:val="24"/>
        </w:rPr>
        <w:t xml:space="preserve"> </w:t>
      </w:r>
      <w:r w:rsidRPr="005A21BA">
        <w:rPr>
          <w:szCs w:val="24"/>
        </w:rPr>
        <w:t xml:space="preserve">1983); </w:t>
      </w:r>
      <w:r w:rsidRPr="005A21BA">
        <w:rPr>
          <w:szCs w:val="24"/>
          <w:u w:val="single"/>
        </w:rPr>
        <w:t xml:space="preserve">Mertz v. </w:t>
      </w:r>
      <w:proofErr w:type="spellStart"/>
      <w:r w:rsidRPr="005A21BA">
        <w:rPr>
          <w:szCs w:val="24"/>
          <w:u w:val="single"/>
        </w:rPr>
        <w:t>Lakatos</w:t>
      </w:r>
      <w:proofErr w:type="spellEnd"/>
      <w:r w:rsidR="00174FEF" w:rsidRPr="005A21BA">
        <w:rPr>
          <w:szCs w:val="24"/>
        </w:rPr>
        <w:t xml:space="preserve">, 381 A.2d </w:t>
      </w:r>
      <w:r w:rsidRPr="005A21BA">
        <w:rPr>
          <w:szCs w:val="24"/>
        </w:rPr>
        <w:t>497 (</w:t>
      </w:r>
      <w:proofErr w:type="spellStart"/>
      <w:r w:rsidRPr="005A21BA">
        <w:rPr>
          <w:szCs w:val="24"/>
        </w:rPr>
        <w:t>Pa.Cmwlth</w:t>
      </w:r>
      <w:proofErr w:type="spellEnd"/>
      <w:r w:rsidRPr="005A21BA">
        <w:rPr>
          <w:szCs w:val="24"/>
        </w:rPr>
        <w:t>. 1976).</w:t>
      </w:r>
      <w:proofErr w:type="gramEnd"/>
      <w:r w:rsidRPr="005A21BA">
        <w:rPr>
          <w:szCs w:val="24"/>
        </w:rPr>
        <w:t xml:space="preserve">  All doubts as to the existence of a genuine issue of material fact must be resolved against the moving party.  </w:t>
      </w:r>
      <w:proofErr w:type="gramStart"/>
      <w:r w:rsidRPr="005A21BA">
        <w:rPr>
          <w:szCs w:val="24"/>
          <w:u w:val="single"/>
        </w:rPr>
        <w:t>Thomson Coal Co</w:t>
      </w:r>
      <w:r w:rsidR="00F52DD5" w:rsidRPr="005A21BA">
        <w:rPr>
          <w:szCs w:val="24"/>
          <w:u w:val="single"/>
        </w:rPr>
        <w:t>.</w:t>
      </w:r>
      <w:r w:rsidRPr="005A21BA">
        <w:rPr>
          <w:szCs w:val="24"/>
          <w:u w:val="single"/>
        </w:rPr>
        <w:t xml:space="preserve"> v. Pike Coal Co</w:t>
      </w:r>
      <w:r w:rsidR="00F52DD5" w:rsidRPr="005A21BA">
        <w:rPr>
          <w:szCs w:val="24"/>
          <w:u w:val="single"/>
        </w:rPr>
        <w:t>.</w:t>
      </w:r>
      <w:r w:rsidRPr="005A21BA">
        <w:rPr>
          <w:szCs w:val="24"/>
        </w:rPr>
        <w:t>, 412</w:t>
      </w:r>
      <w:r w:rsidR="00174FEF" w:rsidRPr="005A21BA">
        <w:rPr>
          <w:szCs w:val="24"/>
        </w:rPr>
        <w:t xml:space="preserve"> </w:t>
      </w:r>
      <w:r w:rsidRPr="005A21BA">
        <w:rPr>
          <w:szCs w:val="24"/>
        </w:rPr>
        <w:t>A.2d</w:t>
      </w:r>
      <w:r w:rsidR="00174FEF" w:rsidRPr="005A21BA">
        <w:rPr>
          <w:szCs w:val="24"/>
        </w:rPr>
        <w:t xml:space="preserve"> </w:t>
      </w:r>
      <w:r w:rsidRPr="005A21BA">
        <w:rPr>
          <w:szCs w:val="24"/>
        </w:rPr>
        <w:t>466 (Pa. 1979).</w:t>
      </w:r>
      <w:proofErr w:type="gramEnd"/>
      <w:r w:rsidRPr="005A21BA">
        <w:rPr>
          <w:szCs w:val="24"/>
        </w:rPr>
        <w:t xml:space="preserve">  Summary judgment will be granted only where the right is clear and free from doubt.</w:t>
      </w:r>
    </w:p>
    <w:p w:rsidR="004F7858" w:rsidRPr="005A21BA" w:rsidRDefault="004F7858" w:rsidP="00F32A94">
      <w:pPr>
        <w:tabs>
          <w:tab w:val="left" w:pos="0"/>
        </w:tabs>
        <w:spacing w:line="360" w:lineRule="auto"/>
        <w:rPr>
          <w:szCs w:val="24"/>
        </w:rPr>
      </w:pPr>
    </w:p>
    <w:p w:rsidR="004F7858" w:rsidRPr="005A21BA" w:rsidRDefault="004F7858" w:rsidP="00F32A94">
      <w:pPr>
        <w:tabs>
          <w:tab w:val="left" w:pos="0"/>
        </w:tabs>
        <w:spacing w:line="360" w:lineRule="auto"/>
        <w:rPr>
          <w:szCs w:val="24"/>
        </w:rPr>
      </w:pPr>
      <w:r w:rsidRPr="005A21BA">
        <w:rPr>
          <w:szCs w:val="24"/>
        </w:rPr>
        <w:tab/>
      </w:r>
      <w:r w:rsidRPr="005A21BA">
        <w:rPr>
          <w:szCs w:val="24"/>
        </w:rPr>
        <w:tab/>
        <w:t>The non-moving party in a motion for summary judgment must allege facts showing that an issue for trial exists.</w:t>
      </w:r>
      <w:r w:rsidR="00174FEF" w:rsidRPr="005A21BA">
        <w:rPr>
          <w:szCs w:val="24"/>
        </w:rPr>
        <w:t xml:space="preserve"> </w:t>
      </w:r>
      <w:r w:rsidRPr="005A21BA">
        <w:rPr>
          <w:szCs w:val="24"/>
        </w:rPr>
        <w:t xml:space="preserve"> </w:t>
      </w:r>
      <w:proofErr w:type="gramStart"/>
      <w:r w:rsidRPr="005A21BA">
        <w:rPr>
          <w:szCs w:val="24"/>
          <w:u w:val="single"/>
        </w:rPr>
        <w:t xml:space="preserve">First Mortgage Co. </w:t>
      </w:r>
      <w:r w:rsidR="00C300E7" w:rsidRPr="005A21BA">
        <w:rPr>
          <w:szCs w:val="24"/>
          <w:u w:val="single"/>
        </w:rPr>
        <w:t>of P</w:t>
      </w:r>
      <w:r w:rsidR="00F52DD5" w:rsidRPr="005A21BA">
        <w:rPr>
          <w:szCs w:val="24"/>
          <w:u w:val="single"/>
        </w:rPr>
        <w:t>a.</w:t>
      </w:r>
      <w:r w:rsidRPr="005A21BA">
        <w:rPr>
          <w:szCs w:val="24"/>
          <w:u w:val="single"/>
        </w:rPr>
        <w:t xml:space="preserve"> v. McCall</w:t>
      </w:r>
      <w:r w:rsidRPr="005A21BA">
        <w:rPr>
          <w:szCs w:val="24"/>
        </w:rPr>
        <w:t>, 459</w:t>
      </w:r>
      <w:r w:rsidR="00174FEF" w:rsidRPr="005A21BA">
        <w:rPr>
          <w:szCs w:val="24"/>
        </w:rPr>
        <w:t xml:space="preserve"> </w:t>
      </w:r>
      <w:r w:rsidRPr="005A21BA">
        <w:rPr>
          <w:szCs w:val="24"/>
        </w:rPr>
        <w:t>A.2d</w:t>
      </w:r>
      <w:r w:rsidR="00174FEF" w:rsidRPr="005A21BA">
        <w:rPr>
          <w:szCs w:val="24"/>
        </w:rPr>
        <w:t xml:space="preserve"> </w:t>
      </w:r>
      <w:r w:rsidRPr="005A21BA">
        <w:rPr>
          <w:szCs w:val="24"/>
        </w:rPr>
        <w:t>406 (</w:t>
      </w:r>
      <w:proofErr w:type="spellStart"/>
      <w:r w:rsidRPr="005A21BA">
        <w:rPr>
          <w:szCs w:val="24"/>
        </w:rPr>
        <w:t>Pa.Super</w:t>
      </w:r>
      <w:proofErr w:type="spellEnd"/>
      <w:r w:rsidRPr="005A21BA">
        <w:rPr>
          <w:szCs w:val="24"/>
        </w:rPr>
        <w:t xml:space="preserve">. 1983); </w:t>
      </w:r>
      <w:r w:rsidRPr="005A21BA">
        <w:rPr>
          <w:szCs w:val="24"/>
          <w:u w:val="single"/>
        </w:rPr>
        <w:t>Commonwealth v. Diamond Shamrock Chemical Co.</w:t>
      </w:r>
      <w:r w:rsidRPr="005A21BA">
        <w:rPr>
          <w:szCs w:val="24"/>
        </w:rPr>
        <w:t>, 391</w:t>
      </w:r>
      <w:r w:rsidR="00174FEF" w:rsidRPr="005A21BA">
        <w:rPr>
          <w:szCs w:val="24"/>
        </w:rPr>
        <w:t xml:space="preserve"> </w:t>
      </w:r>
      <w:r w:rsidRPr="005A21BA">
        <w:rPr>
          <w:szCs w:val="24"/>
        </w:rPr>
        <w:t>A.2d</w:t>
      </w:r>
      <w:r w:rsidR="00174FEF" w:rsidRPr="005A21BA">
        <w:rPr>
          <w:szCs w:val="24"/>
        </w:rPr>
        <w:t xml:space="preserve"> </w:t>
      </w:r>
      <w:r w:rsidRPr="005A21BA">
        <w:rPr>
          <w:szCs w:val="24"/>
        </w:rPr>
        <w:t>1333 (</w:t>
      </w:r>
      <w:proofErr w:type="spellStart"/>
      <w:r w:rsidRPr="005A21BA">
        <w:rPr>
          <w:szCs w:val="24"/>
        </w:rPr>
        <w:t>Pa.Cmwlth</w:t>
      </w:r>
      <w:proofErr w:type="spellEnd"/>
      <w:r w:rsidRPr="005A21BA">
        <w:rPr>
          <w:szCs w:val="24"/>
        </w:rPr>
        <w:t xml:space="preserve">. 1978); </w:t>
      </w:r>
      <w:r w:rsidRPr="005A21BA">
        <w:rPr>
          <w:szCs w:val="24"/>
          <w:u w:val="single"/>
        </w:rPr>
        <w:t>Stover v.</w:t>
      </w:r>
      <w:proofErr w:type="gramEnd"/>
      <w:r w:rsidRPr="005A21BA">
        <w:rPr>
          <w:szCs w:val="24"/>
          <w:u w:val="single"/>
        </w:rPr>
        <w:t xml:space="preserve"> The United Telephone Co. of</w:t>
      </w:r>
      <w:r w:rsidR="006B1D51" w:rsidRPr="005A21BA">
        <w:rPr>
          <w:szCs w:val="24"/>
          <w:u w:val="single"/>
        </w:rPr>
        <w:t xml:space="preserve"> </w:t>
      </w:r>
      <w:r w:rsidRPr="005A21BA">
        <w:rPr>
          <w:szCs w:val="24"/>
          <w:u w:val="single"/>
        </w:rPr>
        <w:t>Pa</w:t>
      </w:r>
      <w:r w:rsidR="00F52DD5" w:rsidRPr="005A21BA">
        <w:rPr>
          <w:szCs w:val="24"/>
          <w:u w:val="single"/>
        </w:rPr>
        <w:t>.</w:t>
      </w:r>
      <w:r w:rsidRPr="005A21BA">
        <w:rPr>
          <w:szCs w:val="24"/>
        </w:rPr>
        <w:t>, Docket No.</w:t>
      </w:r>
      <w:r w:rsidR="00656D0C" w:rsidRPr="005A21BA">
        <w:rPr>
          <w:szCs w:val="24"/>
        </w:rPr>
        <w:t xml:space="preserve"> </w:t>
      </w:r>
      <w:proofErr w:type="gramStart"/>
      <w:r w:rsidRPr="005A21BA">
        <w:rPr>
          <w:szCs w:val="24"/>
        </w:rPr>
        <w:t>C-00923833 (</w:t>
      </w:r>
      <w:r w:rsidR="00081298">
        <w:rPr>
          <w:szCs w:val="24"/>
        </w:rPr>
        <w:t xml:space="preserve">Opinion and </w:t>
      </w:r>
      <w:r w:rsidRPr="005A21BA">
        <w:rPr>
          <w:szCs w:val="24"/>
        </w:rPr>
        <w:t>Order entered July 21, 1992</w:t>
      </w:r>
      <w:r w:rsidR="00C300E7" w:rsidRPr="005A21BA">
        <w:rPr>
          <w:szCs w:val="24"/>
        </w:rPr>
        <w:t>)</w:t>
      </w:r>
      <w:r w:rsidR="00422891" w:rsidRPr="005A21BA">
        <w:rPr>
          <w:szCs w:val="24"/>
        </w:rPr>
        <w:t>.</w:t>
      </w:r>
      <w:proofErr w:type="gramEnd"/>
      <w:r w:rsidR="00422891" w:rsidRPr="005A21BA">
        <w:rPr>
          <w:szCs w:val="24"/>
        </w:rPr>
        <w:t xml:space="preserve"> </w:t>
      </w:r>
      <w:r w:rsidR="00C300E7" w:rsidRPr="005A21BA">
        <w:rPr>
          <w:szCs w:val="24"/>
        </w:rPr>
        <w:t xml:space="preserve"> The</w:t>
      </w:r>
      <w:r w:rsidRPr="005A21BA">
        <w:rPr>
          <w:szCs w:val="24"/>
        </w:rPr>
        <w:t xml:space="preserve"> Commission has interpreted </w:t>
      </w:r>
      <w:r w:rsidR="00250FBB" w:rsidRPr="005A21BA">
        <w:rPr>
          <w:szCs w:val="24"/>
        </w:rPr>
        <w:t xml:space="preserve">52 </w:t>
      </w:r>
      <w:proofErr w:type="spellStart"/>
      <w:r w:rsidR="00250FBB" w:rsidRPr="005A21BA">
        <w:rPr>
          <w:szCs w:val="24"/>
        </w:rPr>
        <w:t>Pa.Code</w:t>
      </w:r>
      <w:proofErr w:type="spellEnd"/>
      <w:r w:rsidR="00250FBB" w:rsidRPr="005A21BA">
        <w:rPr>
          <w:szCs w:val="24"/>
        </w:rPr>
        <w:t xml:space="preserve"> § 5.102(c)</w:t>
      </w:r>
      <w:r w:rsidRPr="005A21BA">
        <w:rPr>
          <w:szCs w:val="24"/>
        </w:rPr>
        <w:t xml:space="preserve"> in conformity with Rule 1035 (now Rule 1035.</w:t>
      </w:r>
      <w:r w:rsidR="00CA10AA">
        <w:rPr>
          <w:szCs w:val="24"/>
        </w:rPr>
        <w:t>2</w:t>
      </w:r>
      <w:r w:rsidRPr="005A21BA">
        <w:rPr>
          <w:szCs w:val="24"/>
        </w:rPr>
        <w:t xml:space="preserve">) of the Pennsylvania Rules of Civil Procedure.  </w:t>
      </w:r>
      <w:r w:rsidRPr="005A21BA">
        <w:rPr>
          <w:szCs w:val="24"/>
          <w:u w:val="single"/>
        </w:rPr>
        <w:t>South River Power Partners, L.P. v. West Penn Power Company</w:t>
      </w:r>
      <w:r w:rsidRPr="005A21BA">
        <w:rPr>
          <w:szCs w:val="24"/>
        </w:rPr>
        <w:t xml:space="preserve">, Docket No. </w:t>
      </w:r>
      <w:proofErr w:type="gramStart"/>
      <w:r w:rsidRPr="005A21BA">
        <w:rPr>
          <w:szCs w:val="24"/>
        </w:rPr>
        <w:t>C-00935287 (</w:t>
      </w:r>
      <w:r w:rsidR="00081298">
        <w:rPr>
          <w:szCs w:val="24"/>
        </w:rPr>
        <w:t xml:space="preserve">Opinion and </w:t>
      </w:r>
      <w:r w:rsidRPr="005A21BA">
        <w:rPr>
          <w:szCs w:val="24"/>
        </w:rPr>
        <w:t>Order entered November 6, 1996)</w:t>
      </w:r>
      <w:r w:rsidR="00422891" w:rsidRPr="005A21BA">
        <w:rPr>
          <w:szCs w:val="24"/>
        </w:rPr>
        <w:t>.</w:t>
      </w:r>
      <w:proofErr w:type="gramEnd"/>
      <w:r w:rsidRPr="005A21BA">
        <w:rPr>
          <w:szCs w:val="24"/>
        </w:rPr>
        <w:t xml:space="preserve"> </w:t>
      </w:r>
      <w:r w:rsidR="00EF5DB8" w:rsidRPr="005A21BA">
        <w:rPr>
          <w:szCs w:val="24"/>
        </w:rPr>
        <w:t xml:space="preserve"> </w:t>
      </w:r>
      <w:r w:rsidRPr="005A21BA">
        <w:rPr>
          <w:szCs w:val="24"/>
        </w:rPr>
        <w:t xml:space="preserve">In civil practice, a non-moving party may not rely solely upon denials in its pleadings, but must submit some materials to establish that a genuine issue of material fact exists.  </w:t>
      </w:r>
      <w:proofErr w:type="spellStart"/>
      <w:proofErr w:type="gramStart"/>
      <w:r w:rsidRPr="005A21BA">
        <w:rPr>
          <w:szCs w:val="24"/>
          <w:u w:val="single"/>
        </w:rPr>
        <w:t>Nicastro</w:t>
      </w:r>
      <w:proofErr w:type="spellEnd"/>
      <w:r w:rsidRPr="005A21BA">
        <w:rPr>
          <w:szCs w:val="24"/>
          <w:u w:val="single"/>
        </w:rPr>
        <w:t xml:space="preserve"> v. </w:t>
      </w:r>
      <w:proofErr w:type="spellStart"/>
      <w:r w:rsidRPr="005A21BA">
        <w:rPr>
          <w:szCs w:val="24"/>
          <w:u w:val="single"/>
        </w:rPr>
        <w:t>Cuyler</w:t>
      </w:r>
      <w:proofErr w:type="spellEnd"/>
      <w:r w:rsidRPr="005A21BA">
        <w:rPr>
          <w:szCs w:val="24"/>
        </w:rPr>
        <w:t>, 467</w:t>
      </w:r>
      <w:r w:rsidR="00422891" w:rsidRPr="005A21BA">
        <w:rPr>
          <w:szCs w:val="24"/>
        </w:rPr>
        <w:t xml:space="preserve"> </w:t>
      </w:r>
      <w:r w:rsidRPr="005A21BA">
        <w:rPr>
          <w:szCs w:val="24"/>
        </w:rPr>
        <w:t>A.2d</w:t>
      </w:r>
      <w:r w:rsidR="00422891" w:rsidRPr="005A21BA">
        <w:rPr>
          <w:szCs w:val="24"/>
        </w:rPr>
        <w:t xml:space="preserve"> </w:t>
      </w:r>
      <w:r w:rsidRPr="005A21BA">
        <w:rPr>
          <w:szCs w:val="24"/>
        </w:rPr>
        <w:t>1218 (</w:t>
      </w:r>
      <w:proofErr w:type="spellStart"/>
      <w:r w:rsidRPr="005A21BA">
        <w:rPr>
          <w:szCs w:val="24"/>
        </w:rPr>
        <w:t>Pa.Cmwlth</w:t>
      </w:r>
      <w:proofErr w:type="spellEnd"/>
      <w:r w:rsidRPr="005A21BA">
        <w:rPr>
          <w:szCs w:val="24"/>
        </w:rPr>
        <w:t xml:space="preserve">. 1983); </w:t>
      </w:r>
      <w:r w:rsidRPr="005A21BA">
        <w:rPr>
          <w:szCs w:val="24"/>
          <w:u w:val="single"/>
        </w:rPr>
        <w:t xml:space="preserve">Pennsylvania Gas &amp; Water Co. v. </w:t>
      </w:r>
      <w:proofErr w:type="spellStart"/>
      <w:r w:rsidRPr="005A21BA">
        <w:rPr>
          <w:szCs w:val="24"/>
          <w:u w:val="single"/>
        </w:rPr>
        <w:t>Nenna</w:t>
      </w:r>
      <w:proofErr w:type="spellEnd"/>
      <w:r w:rsidRPr="005A21BA">
        <w:rPr>
          <w:szCs w:val="24"/>
          <w:u w:val="single"/>
        </w:rPr>
        <w:t xml:space="preserve"> &amp; Frain, Inc.</w:t>
      </w:r>
      <w:r w:rsidRPr="005A21BA">
        <w:rPr>
          <w:szCs w:val="24"/>
        </w:rPr>
        <w:t>, 467</w:t>
      </w:r>
      <w:r w:rsidR="00422891" w:rsidRPr="005A21BA">
        <w:rPr>
          <w:szCs w:val="24"/>
        </w:rPr>
        <w:t xml:space="preserve"> </w:t>
      </w:r>
      <w:r w:rsidRPr="005A21BA">
        <w:rPr>
          <w:szCs w:val="24"/>
        </w:rPr>
        <w:t>A.2d</w:t>
      </w:r>
      <w:r w:rsidR="00422891" w:rsidRPr="005A21BA">
        <w:rPr>
          <w:szCs w:val="24"/>
        </w:rPr>
        <w:t xml:space="preserve"> </w:t>
      </w:r>
      <w:r w:rsidRPr="005A21BA">
        <w:rPr>
          <w:szCs w:val="24"/>
        </w:rPr>
        <w:t>330 (</w:t>
      </w:r>
      <w:proofErr w:type="spellStart"/>
      <w:r w:rsidRPr="005A21BA">
        <w:rPr>
          <w:szCs w:val="24"/>
        </w:rPr>
        <w:t>Pa.Super</w:t>
      </w:r>
      <w:proofErr w:type="spellEnd"/>
      <w:r w:rsidRPr="005A21BA">
        <w:rPr>
          <w:szCs w:val="24"/>
        </w:rPr>
        <w:t xml:space="preserve">. 1983); </w:t>
      </w:r>
      <w:proofErr w:type="spellStart"/>
      <w:r w:rsidRPr="005A21BA">
        <w:rPr>
          <w:szCs w:val="24"/>
          <w:u w:val="single"/>
        </w:rPr>
        <w:t>Geriot</w:t>
      </w:r>
      <w:proofErr w:type="spellEnd"/>
      <w:r w:rsidRPr="005A21BA">
        <w:rPr>
          <w:szCs w:val="24"/>
          <w:u w:val="single"/>
        </w:rPr>
        <w:t xml:space="preserve"> v. Council of Borough of Darby</w:t>
      </w:r>
      <w:r w:rsidR="00572071">
        <w:rPr>
          <w:szCs w:val="24"/>
        </w:rPr>
        <w:t>, </w:t>
      </w:r>
      <w:r w:rsidRPr="005A21BA">
        <w:rPr>
          <w:szCs w:val="24"/>
        </w:rPr>
        <w:t>457</w:t>
      </w:r>
      <w:r w:rsidR="00422891" w:rsidRPr="005A21BA">
        <w:rPr>
          <w:szCs w:val="24"/>
        </w:rPr>
        <w:t xml:space="preserve"> </w:t>
      </w:r>
      <w:r w:rsidRPr="005A21BA">
        <w:rPr>
          <w:szCs w:val="24"/>
        </w:rPr>
        <w:t>A.2d</w:t>
      </w:r>
      <w:r w:rsidR="00422891" w:rsidRPr="005A21BA">
        <w:rPr>
          <w:szCs w:val="24"/>
        </w:rPr>
        <w:t xml:space="preserve"> </w:t>
      </w:r>
      <w:r w:rsidRPr="005A21BA">
        <w:rPr>
          <w:szCs w:val="24"/>
        </w:rPr>
        <w:t>202 (</w:t>
      </w:r>
      <w:proofErr w:type="spellStart"/>
      <w:r w:rsidRPr="005A21BA">
        <w:rPr>
          <w:szCs w:val="24"/>
        </w:rPr>
        <w:t>Pa.Cmwlth</w:t>
      </w:r>
      <w:proofErr w:type="spellEnd"/>
      <w:r w:rsidRPr="005A21BA">
        <w:rPr>
          <w:szCs w:val="24"/>
        </w:rPr>
        <w:t>. 1983).</w:t>
      </w:r>
      <w:proofErr w:type="gramEnd"/>
    </w:p>
    <w:p w:rsidR="004F7858" w:rsidRPr="005A21BA" w:rsidRDefault="004F7858" w:rsidP="00F32A94">
      <w:pPr>
        <w:tabs>
          <w:tab w:val="left" w:pos="0"/>
        </w:tabs>
        <w:spacing w:line="360" w:lineRule="auto"/>
        <w:rPr>
          <w:szCs w:val="24"/>
        </w:rPr>
      </w:pPr>
    </w:p>
    <w:p w:rsidR="00F72FA2" w:rsidRPr="005A21BA" w:rsidRDefault="004F7858" w:rsidP="00F32A94">
      <w:pPr>
        <w:pStyle w:val="ParaTab1"/>
        <w:spacing w:line="360" w:lineRule="auto"/>
        <w:ind w:firstLine="1350"/>
        <w:rPr>
          <w:rFonts w:ascii="Times New Roman" w:hAnsi="Times New Roman" w:cs="Times New Roman"/>
        </w:rPr>
      </w:pPr>
      <w:r w:rsidRPr="005A21BA">
        <w:rPr>
          <w:rFonts w:ascii="Times New Roman" w:hAnsi="Times New Roman" w:cs="Times New Roman"/>
        </w:rPr>
        <w:t xml:space="preserve">The provision at 52 </w:t>
      </w:r>
      <w:proofErr w:type="spellStart"/>
      <w:r w:rsidRPr="005A21BA">
        <w:rPr>
          <w:rFonts w:ascii="Times New Roman" w:hAnsi="Times New Roman" w:cs="Times New Roman"/>
        </w:rPr>
        <w:t>Pa.Code</w:t>
      </w:r>
      <w:proofErr w:type="spellEnd"/>
      <w:r w:rsidRPr="005A21BA">
        <w:rPr>
          <w:rFonts w:ascii="Times New Roman" w:hAnsi="Times New Roman" w:cs="Times New Roman"/>
        </w:rPr>
        <w:t xml:space="preserve"> §</w:t>
      </w:r>
      <w:r w:rsidR="00F52DD5" w:rsidRPr="005A21BA">
        <w:rPr>
          <w:rFonts w:ascii="Times New Roman" w:hAnsi="Times New Roman" w:cs="Times New Roman"/>
        </w:rPr>
        <w:t xml:space="preserve"> </w:t>
      </w:r>
      <w:r w:rsidRPr="005A21BA">
        <w:rPr>
          <w:rFonts w:ascii="Times New Roman" w:hAnsi="Times New Roman" w:cs="Times New Roman"/>
        </w:rPr>
        <w:t xml:space="preserve">5.102(c) serves judicial economy by avoiding a hearing where no factual dispute exists.  If no factual issue pertinent to the resolution of a case exists, a hearing is unnecessary.  </w:t>
      </w:r>
      <w:proofErr w:type="gramStart"/>
      <w:r w:rsidRPr="005A21BA">
        <w:rPr>
          <w:rFonts w:ascii="Times New Roman" w:hAnsi="Times New Roman" w:cs="Times New Roman"/>
        </w:rPr>
        <w:t>66</w:t>
      </w:r>
      <w:r w:rsidR="00422891" w:rsidRPr="005A21BA">
        <w:rPr>
          <w:rFonts w:ascii="Times New Roman" w:hAnsi="Times New Roman" w:cs="Times New Roman"/>
        </w:rPr>
        <w:t xml:space="preserve"> </w:t>
      </w:r>
      <w:proofErr w:type="spellStart"/>
      <w:r w:rsidRPr="005A21BA">
        <w:rPr>
          <w:rFonts w:ascii="Times New Roman" w:hAnsi="Times New Roman" w:cs="Times New Roman"/>
        </w:rPr>
        <w:t>Pa.C.S</w:t>
      </w:r>
      <w:proofErr w:type="spellEnd"/>
      <w:r w:rsidRPr="005A21BA">
        <w:rPr>
          <w:rFonts w:ascii="Times New Roman" w:hAnsi="Times New Roman" w:cs="Times New Roman"/>
        </w:rPr>
        <w:t>.</w:t>
      </w:r>
      <w:proofErr w:type="gramEnd"/>
      <w:r w:rsidRPr="005A21BA">
        <w:rPr>
          <w:rFonts w:ascii="Times New Roman" w:hAnsi="Times New Roman" w:cs="Times New Roman"/>
        </w:rPr>
        <w:t xml:space="preserve"> §</w:t>
      </w:r>
      <w:r w:rsidR="00F52DD5" w:rsidRPr="005A21BA">
        <w:rPr>
          <w:rFonts w:ascii="Times New Roman" w:hAnsi="Times New Roman" w:cs="Times New Roman"/>
        </w:rPr>
        <w:t xml:space="preserve"> </w:t>
      </w:r>
      <w:r w:rsidRPr="005A21BA">
        <w:rPr>
          <w:rFonts w:ascii="Times New Roman" w:hAnsi="Times New Roman" w:cs="Times New Roman"/>
        </w:rPr>
        <w:t xml:space="preserve">703(a); </w:t>
      </w:r>
      <w:r w:rsidRPr="005A21BA">
        <w:rPr>
          <w:rFonts w:ascii="Times New Roman" w:hAnsi="Times New Roman" w:cs="Times New Roman"/>
          <w:u w:val="single"/>
        </w:rPr>
        <w:t>Lehigh Valley Power Committee v. Pa</w:t>
      </w:r>
      <w:r w:rsidR="00F52DD5" w:rsidRPr="005A21BA">
        <w:rPr>
          <w:rFonts w:ascii="Times New Roman" w:hAnsi="Times New Roman" w:cs="Times New Roman"/>
          <w:u w:val="single"/>
        </w:rPr>
        <w:t>.</w:t>
      </w:r>
      <w:r w:rsidRPr="005A21BA">
        <w:rPr>
          <w:rFonts w:ascii="Times New Roman" w:hAnsi="Times New Roman" w:cs="Times New Roman"/>
          <w:u w:val="single"/>
        </w:rPr>
        <w:t xml:space="preserve"> Pub. </w:t>
      </w:r>
      <w:proofErr w:type="gramStart"/>
      <w:r w:rsidRPr="005A21BA">
        <w:rPr>
          <w:rFonts w:ascii="Times New Roman" w:hAnsi="Times New Roman" w:cs="Times New Roman"/>
          <w:u w:val="single"/>
        </w:rPr>
        <w:t xml:space="preserve">Util. </w:t>
      </w:r>
      <w:proofErr w:type="spellStart"/>
      <w:r w:rsidRPr="005A21BA">
        <w:rPr>
          <w:rFonts w:ascii="Times New Roman" w:hAnsi="Times New Roman" w:cs="Times New Roman"/>
          <w:u w:val="single"/>
        </w:rPr>
        <w:t>Comm’n</w:t>
      </w:r>
      <w:proofErr w:type="spellEnd"/>
      <w:r w:rsidRPr="005A21BA">
        <w:rPr>
          <w:rFonts w:ascii="Times New Roman" w:hAnsi="Times New Roman" w:cs="Times New Roman"/>
        </w:rPr>
        <w:t>, 563</w:t>
      </w:r>
      <w:r w:rsidR="00422891" w:rsidRPr="005A21BA">
        <w:rPr>
          <w:rFonts w:ascii="Times New Roman" w:hAnsi="Times New Roman" w:cs="Times New Roman"/>
        </w:rPr>
        <w:t xml:space="preserve"> </w:t>
      </w:r>
      <w:r w:rsidRPr="005A21BA">
        <w:rPr>
          <w:rFonts w:ascii="Times New Roman" w:hAnsi="Times New Roman" w:cs="Times New Roman"/>
        </w:rPr>
        <w:t>A.2d</w:t>
      </w:r>
      <w:r w:rsidR="00422891" w:rsidRPr="005A21BA">
        <w:rPr>
          <w:rFonts w:ascii="Times New Roman" w:hAnsi="Times New Roman" w:cs="Times New Roman"/>
        </w:rPr>
        <w:t xml:space="preserve"> </w:t>
      </w:r>
      <w:r w:rsidRPr="005A21BA">
        <w:rPr>
          <w:rFonts w:ascii="Times New Roman" w:hAnsi="Times New Roman" w:cs="Times New Roman"/>
        </w:rPr>
        <w:t>557 (</w:t>
      </w:r>
      <w:proofErr w:type="spellStart"/>
      <w:r w:rsidRPr="005A21BA">
        <w:rPr>
          <w:rFonts w:ascii="Times New Roman" w:hAnsi="Times New Roman" w:cs="Times New Roman"/>
        </w:rPr>
        <w:t>Pa.Cmwlth</w:t>
      </w:r>
      <w:proofErr w:type="spellEnd"/>
      <w:r w:rsidRPr="005A21BA">
        <w:rPr>
          <w:rFonts w:ascii="Times New Roman" w:hAnsi="Times New Roman" w:cs="Times New Roman"/>
        </w:rPr>
        <w:t xml:space="preserve">. 1989); </w:t>
      </w:r>
      <w:r w:rsidRPr="005A21BA">
        <w:rPr>
          <w:rFonts w:ascii="Times New Roman" w:hAnsi="Times New Roman" w:cs="Times New Roman"/>
          <w:u w:val="single"/>
        </w:rPr>
        <w:t>Lehigh Valley Power Committee v. Pa</w:t>
      </w:r>
      <w:r w:rsidR="00F52DD5" w:rsidRPr="005A21BA">
        <w:rPr>
          <w:rFonts w:ascii="Times New Roman" w:hAnsi="Times New Roman" w:cs="Times New Roman"/>
          <w:u w:val="single"/>
        </w:rPr>
        <w:t>.</w:t>
      </w:r>
      <w:r w:rsidRPr="005A21BA">
        <w:rPr>
          <w:rFonts w:ascii="Times New Roman" w:hAnsi="Times New Roman" w:cs="Times New Roman"/>
          <w:u w:val="single"/>
        </w:rPr>
        <w:t xml:space="preserve"> Pub.</w:t>
      </w:r>
      <w:proofErr w:type="gramEnd"/>
      <w:r w:rsidRPr="005A21BA">
        <w:rPr>
          <w:rFonts w:ascii="Times New Roman" w:hAnsi="Times New Roman" w:cs="Times New Roman"/>
          <w:u w:val="single"/>
        </w:rPr>
        <w:t xml:space="preserve"> </w:t>
      </w:r>
      <w:proofErr w:type="gramStart"/>
      <w:r w:rsidRPr="005A21BA">
        <w:rPr>
          <w:rFonts w:ascii="Times New Roman" w:hAnsi="Times New Roman" w:cs="Times New Roman"/>
          <w:u w:val="single"/>
        </w:rPr>
        <w:t xml:space="preserve">Util. </w:t>
      </w:r>
      <w:proofErr w:type="spellStart"/>
      <w:r w:rsidRPr="005A21BA">
        <w:rPr>
          <w:rFonts w:ascii="Times New Roman" w:hAnsi="Times New Roman" w:cs="Times New Roman"/>
          <w:u w:val="single"/>
        </w:rPr>
        <w:t>Comm’n</w:t>
      </w:r>
      <w:proofErr w:type="spellEnd"/>
      <w:r w:rsidRPr="005A21BA">
        <w:rPr>
          <w:rFonts w:ascii="Times New Roman" w:hAnsi="Times New Roman" w:cs="Times New Roman"/>
        </w:rPr>
        <w:t>, 563</w:t>
      </w:r>
      <w:r w:rsidR="00422891" w:rsidRPr="005A21BA">
        <w:rPr>
          <w:rFonts w:ascii="Times New Roman" w:hAnsi="Times New Roman" w:cs="Times New Roman"/>
        </w:rPr>
        <w:t xml:space="preserve"> </w:t>
      </w:r>
      <w:r w:rsidRPr="005A21BA">
        <w:rPr>
          <w:rFonts w:ascii="Times New Roman" w:hAnsi="Times New Roman" w:cs="Times New Roman"/>
        </w:rPr>
        <w:t>A.2d</w:t>
      </w:r>
      <w:r w:rsidR="00422891" w:rsidRPr="005A21BA">
        <w:rPr>
          <w:rFonts w:ascii="Times New Roman" w:hAnsi="Times New Roman" w:cs="Times New Roman"/>
        </w:rPr>
        <w:t xml:space="preserve"> </w:t>
      </w:r>
      <w:r w:rsidRPr="005A21BA">
        <w:rPr>
          <w:rFonts w:ascii="Times New Roman" w:hAnsi="Times New Roman" w:cs="Times New Roman"/>
        </w:rPr>
        <w:t>548 (</w:t>
      </w:r>
      <w:proofErr w:type="spellStart"/>
      <w:r w:rsidRPr="005A21BA">
        <w:rPr>
          <w:rFonts w:ascii="Times New Roman" w:hAnsi="Times New Roman" w:cs="Times New Roman"/>
        </w:rPr>
        <w:t>Pa.Cmwlth</w:t>
      </w:r>
      <w:proofErr w:type="spellEnd"/>
      <w:r w:rsidRPr="005A21BA">
        <w:rPr>
          <w:rFonts w:ascii="Times New Roman" w:hAnsi="Times New Roman" w:cs="Times New Roman"/>
        </w:rPr>
        <w:t xml:space="preserve">. 1989); </w:t>
      </w:r>
      <w:r w:rsidRPr="005A21BA">
        <w:rPr>
          <w:rFonts w:ascii="Times New Roman" w:hAnsi="Times New Roman" w:cs="Times New Roman"/>
          <w:u w:val="single"/>
        </w:rPr>
        <w:t>S.M.E. Bessemer Cement, Inc. v. Pa</w:t>
      </w:r>
      <w:r w:rsidR="00F52DD5" w:rsidRPr="005A21BA">
        <w:rPr>
          <w:rFonts w:ascii="Times New Roman" w:hAnsi="Times New Roman" w:cs="Times New Roman"/>
          <w:u w:val="single"/>
        </w:rPr>
        <w:t>.</w:t>
      </w:r>
      <w:r w:rsidRPr="005A21BA">
        <w:rPr>
          <w:rFonts w:ascii="Times New Roman" w:hAnsi="Times New Roman" w:cs="Times New Roman"/>
          <w:u w:val="single"/>
        </w:rPr>
        <w:t xml:space="preserve"> Pub.</w:t>
      </w:r>
      <w:proofErr w:type="gramEnd"/>
      <w:r w:rsidRPr="005A21BA">
        <w:rPr>
          <w:rFonts w:ascii="Times New Roman" w:hAnsi="Times New Roman" w:cs="Times New Roman"/>
          <w:u w:val="single"/>
        </w:rPr>
        <w:t xml:space="preserve"> </w:t>
      </w:r>
      <w:proofErr w:type="gramStart"/>
      <w:r w:rsidRPr="005A21BA">
        <w:rPr>
          <w:rFonts w:ascii="Times New Roman" w:hAnsi="Times New Roman" w:cs="Times New Roman"/>
          <w:u w:val="single"/>
        </w:rPr>
        <w:t xml:space="preserve">Util. </w:t>
      </w:r>
      <w:proofErr w:type="spellStart"/>
      <w:r w:rsidRPr="005A21BA">
        <w:rPr>
          <w:rFonts w:ascii="Times New Roman" w:hAnsi="Times New Roman" w:cs="Times New Roman"/>
          <w:u w:val="single"/>
        </w:rPr>
        <w:t>Comm’n</w:t>
      </w:r>
      <w:proofErr w:type="spellEnd"/>
      <w:r w:rsidRPr="005A21BA">
        <w:rPr>
          <w:rFonts w:ascii="Times New Roman" w:hAnsi="Times New Roman" w:cs="Times New Roman"/>
        </w:rPr>
        <w:t>, 540</w:t>
      </w:r>
      <w:r w:rsidR="00422891" w:rsidRPr="005A21BA">
        <w:rPr>
          <w:rFonts w:ascii="Times New Roman" w:hAnsi="Times New Roman" w:cs="Times New Roman"/>
        </w:rPr>
        <w:t xml:space="preserve"> </w:t>
      </w:r>
      <w:r w:rsidRPr="005A21BA">
        <w:rPr>
          <w:rFonts w:ascii="Times New Roman" w:hAnsi="Times New Roman" w:cs="Times New Roman"/>
        </w:rPr>
        <w:t>A.2d</w:t>
      </w:r>
      <w:r w:rsidR="00422891" w:rsidRPr="005A21BA">
        <w:rPr>
          <w:rFonts w:ascii="Times New Roman" w:hAnsi="Times New Roman" w:cs="Times New Roman"/>
        </w:rPr>
        <w:t xml:space="preserve"> </w:t>
      </w:r>
      <w:r w:rsidRPr="005A21BA">
        <w:rPr>
          <w:rFonts w:ascii="Times New Roman" w:hAnsi="Times New Roman" w:cs="Times New Roman"/>
        </w:rPr>
        <w:t>1006 (</w:t>
      </w:r>
      <w:proofErr w:type="spellStart"/>
      <w:r w:rsidRPr="005A21BA">
        <w:rPr>
          <w:rFonts w:ascii="Times New Roman" w:hAnsi="Times New Roman" w:cs="Times New Roman"/>
        </w:rPr>
        <w:t>Pa.Cmwlth</w:t>
      </w:r>
      <w:proofErr w:type="spellEnd"/>
      <w:r w:rsidRPr="005A21BA">
        <w:rPr>
          <w:rFonts w:ascii="Times New Roman" w:hAnsi="Times New Roman" w:cs="Times New Roman"/>
        </w:rPr>
        <w:t xml:space="preserve">. 1988); </w:t>
      </w:r>
      <w:r w:rsidRPr="005A21BA">
        <w:rPr>
          <w:rFonts w:ascii="Times New Roman" w:hAnsi="Times New Roman" w:cs="Times New Roman"/>
          <w:u w:val="single"/>
        </w:rPr>
        <w:t>White Oak Borough Authority v. Pa</w:t>
      </w:r>
      <w:r w:rsidR="00F52DD5" w:rsidRPr="005A21BA">
        <w:rPr>
          <w:rFonts w:ascii="Times New Roman" w:hAnsi="Times New Roman" w:cs="Times New Roman"/>
          <w:u w:val="single"/>
        </w:rPr>
        <w:t>.</w:t>
      </w:r>
      <w:r w:rsidRPr="005A21BA">
        <w:rPr>
          <w:rFonts w:ascii="Times New Roman" w:hAnsi="Times New Roman" w:cs="Times New Roman"/>
          <w:u w:val="single"/>
        </w:rPr>
        <w:t xml:space="preserve"> Pub.</w:t>
      </w:r>
      <w:proofErr w:type="gramEnd"/>
      <w:r w:rsidRPr="005A21BA">
        <w:rPr>
          <w:rFonts w:ascii="Times New Roman" w:hAnsi="Times New Roman" w:cs="Times New Roman"/>
          <w:u w:val="single"/>
        </w:rPr>
        <w:t xml:space="preserve"> </w:t>
      </w:r>
      <w:proofErr w:type="gramStart"/>
      <w:r w:rsidRPr="005A21BA">
        <w:rPr>
          <w:rFonts w:ascii="Times New Roman" w:hAnsi="Times New Roman" w:cs="Times New Roman"/>
          <w:u w:val="single"/>
        </w:rPr>
        <w:t xml:space="preserve">Util. </w:t>
      </w:r>
      <w:proofErr w:type="spellStart"/>
      <w:r w:rsidRPr="005A21BA">
        <w:rPr>
          <w:rFonts w:ascii="Times New Roman" w:hAnsi="Times New Roman" w:cs="Times New Roman"/>
          <w:u w:val="single"/>
        </w:rPr>
        <w:t>Comm’n</w:t>
      </w:r>
      <w:proofErr w:type="spellEnd"/>
      <w:r w:rsidRPr="005A21BA">
        <w:rPr>
          <w:rFonts w:ascii="Times New Roman" w:hAnsi="Times New Roman" w:cs="Times New Roman"/>
        </w:rPr>
        <w:t>, 103</w:t>
      </w:r>
      <w:r w:rsidR="00422891" w:rsidRPr="005A21BA">
        <w:rPr>
          <w:rFonts w:ascii="Times New Roman" w:hAnsi="Times New Roman" w:cs="Times New Roman"/>
        </w:rPr>
        <w:t xml:space="preserve"> </w:t>
      </w:r>
      <w:r w:rsidRPr="005A21BA">
        <w:rPr>
          <w:rFonts w:ascii="Times New Roman" w:hAnsi="Times New Roman" w:cs="Times New Roman"/>
        </w:rPr>
        <w:t>A.2d</w:t>
      </w:r>
      <w:r w:rsidR="00422891" w:rsidRPr="005A21BA">
        <w:rPr>
          <w:rFonts w:ascii="Times New Roman" w:hAnsi="Times New Roman" w:cs="Times New Roman"/>
        </w:rPr>
        <w:t xml:space="preserve"> </w:t>
      </w:r>
      <w:r w:rsidRPr="005A21BA">
        <w:rPr>
          <w:rFonts w:ascii="Times New Roman" w:hAnsi="Times New Roman" w:cs="Times New Roman"/>
        </w:rPr>
        <w:t>502 (Pa.Super.1954).</w:t>
      </w:r>
      <w:proofErr w:type="gramEnd"/>
    </w:p>
    <w:p w:rsidR="00F72FA2" w:rsidRPr="005A21BA" w:rsidRDefault="00F72FA2" w:rsidP="00F32A94">
      <w:pPr>
        <w:pStyle w:val="ParaTab1"/>
        <w:spacing w:line="360" w:lineRule="auto"/>
        <w:ind w:firstLine="1354"/>
        <w:rPr>
          <w:rFonts w:ascii="Times New Roman" w:hAnsi="Times New Roman" w:cs="Times New Roman"/>
        </w:rPr>
      </w:pPr>
    </w:p>
    <w:p w:rsidR="003B0B6F" w:rsidRPr="006309D9" w:rsidRDefault="005E21B3" w:rsidP="00F32A94">
      <w:pPr>
        <w:pStyle w:val="ParaTab1"/>
        <w:spacing w:line="360" w:lineRule="auto"/>
        <w:ind w:firstLine="1350"/>
        <w:rPr>
          <w:rFonts w:ascii="Times New Roman" w:hAnsi="Times New Roman" w:cs="Times New Roman"/>
        </w:rPr>
      </w:pPr>
      <w:r w:rsidRPr="005A21BA">
        <w:rPr>
          <w:rFonts w:ascii="Times New Roman" w:hAnsi="Times New Roman" w:cs="Times New Roman"/>
        </w:rPr>
        <w:lastRenderedPageBreak/>
        <w:t xml:space="preserve">The Respondent’s </w:t>
      </w:r>
      <w:r w:rsidR="004F7858" w:rsidRPr="005A21BA">
        <w:rPr>
          <w:rFonts w:ascii="Times New Roman" w:hAnsi="Times New Roman" w:cs="Times New Roman"/>
        </w:rPr>
        <w:t>motion for summary judgment contend</w:t>
      </w:r>
      <w:r w:rsidRPr="005A21BA">
        <w:rPr>
          <w:rFonts w:ascii="Times New Roman" w:hAnsi="Times New Roman" w:cs="Times New Roman"/>
        </w:rPr>
        <w:t>s</w:t>
      </w:r>
      <w:r w:rsidR="00404232" w:rsidRPr="005A21BA">
        <w:rPr>
          <w:rFonts w:ascii="Times New Roman" w:hAnsi="Times New Roman" w:cs="Times New Roman"/>
        </w:rPr>
        <w:t xml:space="preserve"> that the Commission must dismiss </w:t>
      </w:r>
      <w:r w:rsidRPr="005A21BA">
        <w:rPr>
          <w:rFonts w:ascii="Times New Roman" w:hAnsi="Times New Roman" w:cs="Times New Roman"/>
        </w:rPr>
        <w:t xml:space="preserve">the Complainant’s </w:t>
      </w:r>
      <w:r w:rsidR="00404232" w:rsidRPr="005A21BA">
        <w:rPr>
          <w:rFonts w:ascii="Times New Roman" w:hAnsi="Times New Roman" w:cs="Times New Roman"/>
        </w:rPr>
        <w:t xml:space="preserve">complaint because </w:t>
      </w:r>
      <w:r w:rsidR="001401C5">
        <w:rPr>
          <w:rFonts w:ascii="Times New Roman" w:hAnsi="Times New Roman" w:cs="Times New Roman"/>
        </w:rPr>
        <w:t xml:space="preserve">the </w:t>
      </w:r>
      <w:r w:rsidR="001401C5">
        <w:t xml:space="preserve">issues raised in the Complainant’s complaint have been previously addressed and settled by the parties through </w:t>
      </w:r>
      <w:r w:rsidR="001401C5">
        <w:rPr>
          <w:rFonts w:ascii="Times New Roman" w:hAnsi="Times New Roman" w:cs="Times New Roman"/>
        </w:rPr>
        <w:t>the certificate of satisfaction filed at C-2012-2325161</w:t>
      </w:r>
      <w:r w:rsidR="001401C5">
        <w:t>.</w:t>
      </w:r>
      <w:r w:rsidR="001401C5" w:rsidRPr="005A21BA">
        <w:t xml:space="preserve"> </w:t>
      </w:r>
      <w:r w:rsidRPr="005A21BA">
        <w:rPr>
          <w:rFonts w:ascii="Times New Roman" w:hAnsi="Times New Roman" w:cs="Times New Roman"/>
        </w:rPr>
        <w:t xml:space="preserve">  I will address the</w:t>
      </w:r>
      <w:r w:rsidR="001401C5">
        <w:rPr>
          <w:rFonts w:ascii="Times New Roman" w:hAnsi="Times New Roman" w:cs="Times New Roman"/>
        </w:rPr>
        <w:t xml:space="preserve"> Respondent’s contention </w:t>
      </w:r>
      <w:r w:rsidRPr="005A21BA">
        <w:rPr>
          <w:rFonts w:ascii="Times New Roman" w:hAnsi="Times New Roman" w:cs="Times New Roman"/>
        </w:rPr>
        <w:t xml:space="preserve">after providing a brief explanation </w:t>
      </w:r>
      <w:r w:rsidR="001401C5" w:rsidRPr="001401C5">
        <w:rPr>
          <w:rFonts w:ascii="Times New Roman" w:hAnsi="Times New Roman" w:cs="Times New Roman"/>
          <w:u w:val="single"/>
        </w:rPr>
        <w:t>res</w:t>
      </w:r>
      <w:r w:rsidR="001401C5">
        <w:rPr>
          <w:rFonts w:ascii="Times New Roman" w:hAnsi="Times New Roman" w:cs="Times New Roman"/>
        </w:rPr>
        <w:t xml:space="preserve"> </w:t>
      </w:r>
      <w:r w:rsidR="001401C5" w:rsidRPr="001401C5">
        <w:rPr>
          <w:rFonts w:ascii="Times New Roman" w:hAnsi="Times New Roman" w:cs="Times New Roman"/>
          <w:u w:val="single"/>
        </w:rPr>
        <w:t>judicata</w:t>
      </w:r>
      <w:r w:rsidR="001401C5">
        <w:rPr>
          <w:rFonts w:ascii="Times New Roman" w:hAnsi="Times New Roman" w:cs="Times New Roman"/>
        </w:rPr>
        <w:t xml:space="preserve"> and collateral estoppel.</w:t>
      </w:r>
      <w:r w:rsidR="003B0B6F">
        <w:rPr>
          <w:rFonts w:ascii="Times New Roman" w:hAnsi="Times New Roman" w:cs="Times New Roman"/>
        </w:rPr>
        <w:t xml:space="preserve">  </w:t>
      </w:r>
      <w:r w:rsidR="003B0B6F" w:rsidRPr="006309D9">
        <w:rPr>
          <w:rFonts w:ascii="Times New Roman" w:hAnsi="Times New Roman" w:cs="Times New Roman"/>
        </w:rPr>
        <w:t xml:space="preserve">The doctrines of </w:t>
      </w:r>
      <w:r w:rsidR="003B0B6F" w:rsidRPr="006309D9">
        <w:rPr>
          <w:rFonts w:ascii="Times New Roman" w:hAnsi="Times New Roman" w:cs="Times New Roman"/>
          <w:u w:val="single"/>
        </w:rPr>
        <w:t>res</w:t>
      </w:r>
      <w:r w:rsidR="003B0B6F" w:rsidRPr="006309D9">
        <w:rPr>
          <w:rFonts w:ascii="Times New Roman" w:hAnsi="Times New Roman" w:cs="Times New Roman"/>
        </w:rPr>
        <w:t xml:space="preserve"> </w:t>
      </w:r>
      <w:r w:rsidR="003B0B6F" w:rsidRPr="006309D9">
        <w:rPr>
          <w:rFonts w:ascii="Times New Roman" w:hAnsi="Times New Roman" w:cs="Times New Roman"/>
          <w:u w:val="single"/>
        </w:rPr>
        <w:t>judicata</w:t>
      </w:r>
      <w:r w:rsidR="003B0B6F" w:rsidRPr="006309D9">
        <w:rPr>
          <w:rFonts w:ascii="Times New Roman" w:hAnsi="Times New Roman" w:cs="Times New Roman"/>
        </w:rPr>
        <w:t xml:space="preserve"> and collateral estoppel apply to cases brought before the Commission. </w:t>
      </w:r>
      <w:r w:rsidR="003B0B6F">
        <w:rPr>
          <w:rFonts w:ascii="Times New Roman" w:hAnsi="Times New Roman" w:cs="Times New Roman"/>
        </w:rPr>
        <w:t xml:space="preserve"> </w:t>
      </w:r>
      <w:proofErr w:type="gramStart"/>
      <w:r w:rsidR="003B0B6F" w:rsidRPr="006309D9">
        <w:rPr>
          <w:rFonts w:ascii="Times New Roman" w:hAnsi="Times New Roman" w:cs="Times New Roman"/>
          <w:u w:val="single"/>
        </w:rPr>
        <w:t>O’Toole v. Bell Telephone Company of Pennsylvania, Inc.</w:t>
      </w:r>
      <w:r w:rsidR="003B0B6F" w:rsidRPr="006309D9">
        <w:rPr>
          <w:rFonts w:ascii="Times New Roman" w:hAnsi="Times New Roman" w:cs="Times New Roman"/>
          <w:i/>
        </w:rPr>
        <w:t>,</w:t>
      </w:r>
      <w:r w:rsidR="003B0B6F" w:rsidRPr="006309D9">
        <w:rPr>
          <w:rFonts w:ascii="Times New Roman" w:hAnsi="Times New Roman" w:cs="Times New Roman"/>
        </w:rPr>
        <w:t xml:space="preserve"> 77 Pa. PUC 98 (1992).</w:t>
      </w:r>
      <w:proofErr w:type="gramEnd"/>
    </w:p>
    <w:p w:rsidR="003B0B6F" w:rsidRPr="006309D9" w:rsidRDefault="003B0B6F" w:rsidP="00F32A94">
      <w:pPr>
        <w:pStyle w:val="ParaTab1"/>
        <w:spacing w:line="360" w:lineRule="auto"/>
        <w:ind w:firstLine="1350"/>
        <w:rPr>
          <w:rFonts w:ascii="Times New Roman" w:hAnsi="Times New Roman" w:cs="Times New Roman"/>
        </w:rPr>
      </w:pPr>
    </w:p>
    <w:p w:rsidR="003B0B6F" w:rsidRPr="006309D9" w:rsidRDefault="003B0B6F" w:rsidP="00F32A94">
      <w:pPr>
        <w:pStyle w:val="ParaTab1"/>
        <w:spacing w:line="360" w:lineRule="auto"/>
        <w:ind w:firstLine="1350"/>
        <w:rPr>
          <w:rFonts w:ascii="Times New Roman" w:hAnsi="Times New Roman" w:cs="Times New Roman"/>
          <w:i/>
        </w:rPr>
      </w:pP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which is also known as claim preclusion is the concept that a final judgment on the merits by a court of competent jurisdiction will bar any future action on the same cause of action between the parties.  </w:t>
      </w:r>
      <w:proofErr w:type="gramStart"/>
      <w:r w:rsidRPr="006309D9">
        <w:rPr>
          <w:rFonts w:ascii="Times New Roman" w:hAnsi="Times New Roman" w:cs="Times New Roman"/>
          <w:u w:val="single"/>
        </w:rPr>
        <w:t>Hopewell Estates, Inc. v. Kent</w:t>
      </w:r>
      <w:r w:rsidRPr="006309D9">
        <w:rPr>
          <w:rFonts w:ascii="Times New Roman" w:hAnsi="Times New Roman" w:cs="Times New Roman"/>
        </w:rPr>
        <w:t>, 64</w:t>
      </w:r>
      <w:r>
        <w:rPr>
          <w:rFonts w:ascii="Times New Roman" w:hAnsi="Times New Roman" w:cs="Times New Roman"/>
        </w:rPr>
        <w:t>6 A.2d 1192 (Pa. Super. 1994).</w:t>
      </w:r>
      <w:proofErr w:type="gramEnd"/>
      <w:r>
        <w:rPr>
          <w:rFonts w:ascii="Times New Roman" w:hAnsi="Times New Roman" w:cs="Times New Roman"/>
        </w:rPr>
        <w:t xml:space="preserve">  </w:t>
      </w:r>
      <w:r w:rsidRPr="006309D9">
        <w:rPr>
          <w:rFonts w:ascii="Times New Roman" w:hAnsi="Times New Roman" w:cs="Times New Roman"/>
        </w:rPr>
        <w:t xml:space="preserve">For the doctrine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to apply, four conditions must be met: (1) identity of issues, (2) identity of causes of action, (3) identity of persons and parties to the action, and (4) identity of the quality and capacity of the parties suing or sued.  </w:t>
      </w:r>
      <w:proofErr w:type="gramStart"/>
      <w:r w:rsidRPr="006309D9">
        <w:rPr>
          <w:rFonts w:ascii="Times New Roman" w:hAnsi="Times New Roman" w:cs="Times New Roman"/>
          <w:u w:val="single"/>
        </w:rPr>
        <w:t xml:space="preserve">Day v. </w:t>
      </w:r>
      <w:proofErr w:type="spellStart"/>
      <w:r w:rsidRPr="006309D9">
        <w:rPr>
          <w:rFonts w:ascii="Times New Roman" w:hAnsi="Times New Roman" w:cs="Times New Roman"/>
          <w:u w:val="single"/>
        </w:rPr>
        <w:t>Volkswagenwerk</w:t>
      </w:r>
      <w:proofErr w:type="spellEnd"/>
      <w:r w:rsidRPr="006309D9">
        <w:rPr>
          <w:rFonts w:ascii="Times New Roman" w:hAnsi="Times New Roman" w:cs="Times New Roman"/>
          <w:u w:val="single"/>
        </w:rPr>
        <w:t xml:space="preserve"> </w:t>
      </w:r>
      <w:proofErr w:type="spellStart"/>
      <w:r w:rsidRPr="006309D9">
        <w:rPr>
          <w:rFonts w:ascii="Times New Roman" w:hAnsi="Times New Roman" w:cs="Times New Roman"/>
          <w:u w:val="single"/>
        </w:rPr>
        <w:t>Aktienqesellschaft</w:t>
      </w:r>
      <w:proofErr w:type="spellEnd"/>
      <w:r w:rsidRPr="006309D9">
        <w:rPr>
          <w:rFonts w:ascii="Times New Roman" w:hAnsi="Times New Roman" w:cs="Times New Roman"/>
          <w:i/>
        </w:rPr>
        <w:t xml:space="preserve">, </w:t>
      </w:r>
      <w:r w:rsidRPr="006309D9">
        <w:rPr>
          <w:rFonts w:ascii="Times New Roman" w:hAnsi="Times New Roman" w:cs="Times New Roman"/>
        </w:rPr>
        <w:t>474 A.2d 1313 (</w:t>
      </w:r>
      <w:proofErr w:type="spellStart"/>
      <w:r w:rsidRPr="006309D9">
        <w:rPr>
          <w:rFonts w:ascii="Times New Roman" w:hAnsi="Times New Roman" w:cs="Times New Roman"/>
        </w:rPr>
        <w:t>Pa.Super</w:t>
      </w:r>
      <w:proofErr w:type="spellEnd"/>
      <w:r w:rsidRPr="006309D9">
        <w:rPr>
          <w:rFonts w:ascii="Times New Roman" w:hAnsi="Times New Roman" w:cs="Times New Roman"/>
        </w:rPr>
        <w:t>. 1983).</w:t>
      </w:r>
      <w:proofErr w:type="gramEnd"/>
    </w:p>
    <w:p w:rsidR="003B0B6F" w:rsidRPr="006309D9" w:rsidRDefault="003B0B6F" w:rsidP="00F32A94">
      <w:pPr>
        <w:pStyle w:val="ParaTab1"/>
        <w:spacing w:line="360" w:lineRule="auto"/>
        <w:ind w:firstLine="1354"/>
        <w:rPr>
          <w:rFonts w:ascii="Times New Roman" w:hAnsi="Times New Roman" w:cs="Times New Roman"/>
          <w:i/>
        </w:rPr>
      </w:pPr>
    </w:p>
    <w:p w:rsidR="003B0B6F" w:rsidRPr="006309D9" w:rsidRDefault="003B0B6F" w:rsidP="00F32A94">
      <w:pPr>
        <w:pStyle w:val="ParaTab1"/>
        <w:spacing w:line="360" w:lineRule="auto"/>
        <w:rPr>
          <w:rFonts w:ascii="Times New Roman" w:hAnsi="Times New Roman" w:cs="Times New Roman"/>
          <w:i/>
        </w:rPr>
      </w:pPr>
      <w:r w:rsidRPr="006309D9">
        <w:rPr>
          <w:rFonts w:ascii="Times New Roman" w:hAnsi="Times New Roman" w:cs="Times New Roman"/>
        </w:rPr>
        <w:t xml:space="preserve">Similar to the doctrine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is the doctrine of collateral estoppel or issue preclusion.  Collateral estoppel is a doctrine of issue preclusion that seeks to prevent the </w:t>
      </w:r>
      <w:proofErr w:type="spellStart"/>
      <w:r w:rsidRPr="006309D9">
        <w:rPr>
          <w:rFonts w:ascii="Times New Roman" w:hAnsi="Times New Roman" w:cs="Times New Roman"/>
        </w:rPr>
        <w:t>relitigation</w:t>
      </w:r>
      <w:proofErr w:type="spellEnd"/>
      <w:r w:rsidRPr="006309D9">
        <w:rPr>
          <w:rFonts w:ascii="Times New Roman" w:hAnsi="Times New Roman" w:cs="Times New Roman"/>
        </w:rPr>
        <w:t xml:space="preserve"> of a finally litigated issue of law or fact in a subsequent proceeding between the same parties.  </w:t>
      </w:r>
      <w:proofErr w:type="gramStart"/>
      <w:r w:rsidRPr="006309D9">
        <w:rPr>
          <w:rFonts w:ascii="Times New Roman" w:hAnsi="Times New Roman" w:cs="Times New Roman"/>
          <w:u w:val="single"/>
        </w:rPr>
        <w:t xml:space="preserve">Baker v. Pa. Human Relations </w:t>
      </w:r>
      <w:proofErr w:type="spellStart"/>
      <w:r w:rsidRPr="006309D9">
        <w:rPr>
          <w:rFonts w:ascii="Times New Roman" w:hAnsi="Times New Roman" w:cs="Times New Roman"/>
          <w:u w:val="single"/>
        </w:rPr>
        <w:t>Comm’n</w:t>
      </w:r>
      <w:proofErr w:type="spellEnd"/>
      <w:r w:rsidRPr="006309D9">
        <w:rPr>
          <w:rFonts w:ascii="Times New Roman" w:hAnsi="Times New Roman" w:cs="Times New Roman"/>
          <w:u w:val="single"/>
        </w:rPr>
        <w:t>.</w:t>
      </w:r>
      <w:r w:rsidRPr="006309D9">
        <w:rPr>
          <w:rFonts w:ascii="Times New Roman" w:hAnsi="Times New Roman" w:cs="Times New Roman"/>
          <w:i/>
        </w:rPr>
        <w:t>,</w:t>
      </w:r>
      <w:r w:rsidRPr="006309D9">
        <w:rPr>
          <w:rFonts w:ascii="Times New Roman" w:hAnsi="Times New Roman" w:cs="Times New Roman"/>
        </w:rPr>
        <w:t xml:space="preserve"> 462 A.2d 881 (</w:t>
      </w:r>
      <w:proofErr w:type="spellStart"/>
      <w:r w:rsidRPr="006309D9">
        <w:rPr>
          <w:rFonts w:ascii="Times New Roman" w:hAnsi="Times New Roman" w:cs="Times New Roman"/>
        </w:rPr>
        <w:t>Pa.Cmwlth</w:t>
      </w:r>
      <w:proofErr w:type="spellEnd"/>
      <w:r w:rsidRPr="006309D9">
        <w:rPr>
          <w:rFonts w:ascii="Times New Roman" w:hAnsi="Times New Roman" w:cs="Times New Roman"/>
        </w:rPr>
        <w:t>. 1983).</w:t>
      </w:r>
      <w:proofErr w:type="gramEnd"/>
      <w:r w:rsidRPr="006309D9">
        <w:rPr>
          <w:rFonts w:ascii="Times New Roman" w:hAnsi="Times New Roman" w:cs="Times New Roman"/>
        </w:rPr>
        <w:t xml:space="preserve">  For the doctrine of collateral estoppel to apply, four requirements must be met: (1) the issues decided in the prior adjudication are identical to the ones presented in the later action, (2) there was a final judgment on the merits, (3) the party against whom collateral estoppel is asserted was a party or in </w:t>
      </w:r>
      <w:proofErr w:type="spellStart"/>
      <w:r w:rsidRPr="006309D9">
        <w:rPr>
          <w:rFonts w:ascii="Times New Roman" w:hAnsi="Times New Roman" w:cs="Times New Roman"/>
        </w:rPr>
        <w:t>privity</w:t>
      </w:r>
      <w:proofErr w:type="spellEnd"/>
      <w:r w:rsidRPr="006309D9">
        <w:rPr>
          <w:rFonts w:ascii="Times New Roman" w:hAnsi="Times New Roman" w:cs="Times New Roman"/>
        </w:rPr>
        <w:t xml:space="preserve"> with a party to the prior adjudication, and (4) the party against whom collateral estoppel is asserted had had a full and fair opportunity to litigate the issue in question in the prior action.  </w:t>
      </w:r>
      <w:proofErr w:type="gramStart"/>
      <w:r w:rsidRPr="006309D9">
        <w:rPr>
          <w:rFonts w:ascii="Times New Roman" w:hAnsi="Times New Roman" w:cs="Times New Roman"/>
          <w:u w:val="single"/>
        </w:rPr>
        <w:t xml:space="preserve">Day v. </w:t>
      </w:r>
      <w:proofErr w:type="spellStart"/>
      <w:r w:rsidRPr="006309D9">
        <w:rPr>
          <w:rFonts w:ascii="Times New Roman" w:hAnsi="Times New Roman" w:cs="Times New Roman"/>
          <w:u w:val="single"/>
        </w:rPr>
        <w:t>Volkswagenwerk</w:t>
      </w:r>
      <w:proofErr w:type="spellEnd"/>
      <w:r w:rsidRPr="006309D9">
        <w:rPr>
          <w:rFonts w:ascii="Times New Roman" w:hAnsi="Times New Roman" w:cs="Times New Roman"/>
          <w:u w:val="single"/>
        </w:rPr>
        <w:t xml:space="preserve"> </w:t>
      </w:r>
      <w:proofErr w:type="spellStart"/>
      <w:r w:rsidRPr="006309D9">
        <w:rPr>
          <w:rFonts w:ascii="Times New Roman" w:hAnsi="Times New Roman" w:cs="Times New Roman"/>
          <w:u w:val="single"/>
        </w:rPr>
        <w:t>Aktienqesellschaft</w:t>
      </w:r>
      <w:proofErr w:type="spellEnd"/>
      <w:r w:rsidRPr="006309D9">
        <w:rPr>
          <w:rFonts w:ascii="Times New Roman" w:hAnsi="Times New Roman" w:cs="Times New Roman"/>
          <w:i/>
        </w:rPr>
        <w:t xml:space="preserve">, </w:t>
      </w:r>
      <w:r w:rsidRPr="006309D9">
        <w:rPr>
          <w:rFonts w:ascii="Times New Roman" w:hAnsi="Times New Roman" w:cs="Times New Roman"/>
        </w:rPr>
        <w:t>474 A.2d 1313 (</w:t>
      </w:r>
      <w:proofErr w:type="spellStart"/>
      <w:r w:rsidRPr="006309D9">
        <w:rPr>
          <w:rFonts w:ascii="Times New Roman" w:hAnsi="Times New Roman" w:cs="Times New Roman"/>
        </w:rPr>
        <w:t>Pa.Super</w:t>
      </w:r>
      <w:proofErr w:type="spellEnd"/>
      <w:r w:rsidRPr="006309D9">
        <w:rPr>
          <w:rFonts w:ascii="Times New Roman" w:hAnsi="Times New Roman" w:cs="Times New Roman"/>
        </w:rPr>
        <w:t>. 1983).</w:t>
      </w:r>
      <w:proofErr w:type="gramEnd"/>
    </w:p>
    <w:p w:rsidR="003B0B6F" w:rsidRPr="006309D9" w:rsidRDefault="003B0B6F" w:rsidP="00F32A94">
      <w:pPr>
        <w:spacing w:line="360" w:lineRule="auto"/>
        <w:ind w:firstLine="1440"/>
      </w:pPr>
    </w:p>
    <w:p w:rsidR="003B0B6F" w:rsidRPr="006309D9" w:rsidRDefault="003B0B6F" w:rsidP="00F32A94">
      <w:pPr>
        <w:spacing w:line="360" w:lineRule="auto"/>
        <w:ind w:firstLine="1440"/>
      </w:pPr>
      <w:r w:rsidRPr="006309D9">
        <w:t xml:space="preserve">In addition, to the doctrines of </w:t>
      </w:r>
      <w:r w:rsidRPr="006309D9">
        <w:rPr>
          <w:u w:val="single"/>
        </w:rPr>
        <w:t>res</w:t>
      </w:r>
      <w:r w:rsidRPr="006309D9">
        <w:t xml:space="preserve"> </w:t>
      </w:r>
      <w:r w:rsidRPr="006309D9">
        <w:rPr>
          <w:u w:val="single"/>
        </w:rPr>
        <w:t>judicata</w:t>
      </w:r>
      <w:r w:rsidRPr="006309D9">
        <w:t xml:space="preserve"> and collateral estoppel, the complaint in this case may be barred by Code, 66 </w:t>
      </w:r>
      <w:proofErr w:type="spellStart"/>
      <w:r w:rsidRPr="006309D9">
        <w:t>Pa.C.S</w:t>
      </w:r>
      <w:proofErr w:type="spellEnd"/>
      <w:r w:rsidRPr="006309D9">
        <w:t>. § 316 which states in part:</w:t>
      </w:r>
    </w:p>
    <w:p w:rsidR="003B0B6F" w:rsidRPr="006309D9" w:rsidRDefault="003B0B6F" w:rsidP="00F32A94">
      <w:pPr>
        <w:spacing w:line="360" w:lineRule="auto"/>
      </w:pPr>
    </w:p>
    <w:p w:rsidR="003B0B6F" w:rsidRPr="006309D9" w:rsidRDefault="003B0B6F" w:rsidP="003B0B6F">
      <w:pPr>
        <w:ind w:left="1440" w:right="1440"/>
      </w:pPr>
      <w:r w:rsidRPr="006309D9">
        <w:lastRenderedPageBreak/>
        <w:t>Whenever the [c]</w:t>
      </w:r>
      <w:proofErr w:type="spellStart"/>
      <w:r w:rsidRPr="006309D9">
        <w:t>ommission</w:t>
      </w:r>
      <w:proofErr w:type="spellEnd"/>
      <w:r w:rsidRPr="006309D9">
        <w:t xml:space="preserve"> shall make any rule, regulation, finding, determination or order, the same shall be </w:t>
      </w:r>
      <w:r w:rsidRPr="0039025F">
        <w:rPr>
          <w:u w:val="single"/>
        </w:rPr>
        <w:t>prima facie</w:t>
      </w:r>
      <w:r w:rsidRPr="006309D9">
        <w:t xml:space="preserve"> evidence of the facts found and shall remain conclusive upon all parties affected thereby, unless set aside, annulled or modified on judicial review.</w:t>
      </w:r>
    </w:p>
    <w:p w:rsidR="003B0B6F" w:rsidRPr="006309D9" w:rsidRDefault="003B0B6F" w:rsidP="003B0B6F">
      <w:pPr>
        <w:spacing w:line="360" w:lineRule="auto"/>
        <w:ind w:left="1440" w:right="1440"/>
      </w:pPr>
    </w:p>
    <w:p w:rsidR="005B27D6" w:rsidRDefault="003B0B6F" w:rsidP="0090577C">
      <w:pPr>
        <w:pStyle w:val="ParaTab1"/>
        <w:spacing w:line="360" w:lineRule="auto"/>
        <w:ind w:firstLine="1350"/>
        <w:rPr>
          <w:rFonts w:ascii="Times New Roman" w:hAnsi="Times New Roman" w:cs="Times New Roman"/>
        </w:rPr>
      </w:pPr>
      <w:r w:rsidRPr="006309D9">
        <w:rPr>
          <w:rFonts w:ascii="Times New Roman" w:hAnsi="Times New Roman" w:cs="Times New Roman"/>
        </w:rPr>
        <w:t xml:space="preserve">Having briefly explained the doctrines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and collateral estoppel and set forth the statute at 66 </w:t>
      </w:r>
      <w:proofErr w:type="spellStart"/>
      <w:r w:rsidRPr="006309D9">
        <w:rPr>
          <w:rFonts w:ascii="Times New Roman" w:hAnsi="Times New Roman" w:cs="Times New Roman"/>
        </w:rPr>
        <w:t>Pa.C.S</w:t>
      </w:r>
      <w:proofErr w:type="spellEnd"/>
      <w:r w:rsidRPr="006309D9">
        <w:rPr>
          <w:rFonts w:ascii="Times New Roman" w:hAnsi="Times New Roman" w:cs="Times New Roman"/>
        </w:rPr>
        <w:t>. § 316,</w:t>
      </w:r>
      <w:r w:rsidR="005B27D6">
        <w:rPr>
          <w:rFonts w:ascii="Times New Roman" w:hAnsi="Times New Roman" w:cs="Times New Roman"/>
        </w:rPr>
        <w:t xml:space="preserve"> </w:t>
      </w:r>
      <w:r w:rsidR="005B27D6" w:rsidRPr="00162021">
        <w:rPr>
          <w:rFonts w:ascii="Times New Roman" w:hAnsi="Times New Roman" w:cs="Times New Roman"/>
        </w:rPr>
        <w:t xml:space="preserve">I will view the factual averments in the complaint in this case as true for purposes of disposing of the motion for </w:t>
      </w:r>
      <w:r w:rsidR="005B27D6">
        <w:rPr>
          <w:rFonts w:ascii="Times New Roman" w:hAnsi="Times New Roman" w:cs="Times New Roman"/>
        </w:rPr>
        <w:t xml:space="preserve">summary </w:t>
      </w:r>
      <w:r w:rsidR="005B27D6" w:rsidRPr="00162021">
        <w:rPr>
          <w:rFonts w:ascii="Times New Roman" w:hAnsi="Times New Roman" w:cs="Times New Roman"/>
        </w:rPr>
        <w:t xml:space="preserve">judgment.  The factual averments in the complaint </w:t>
      </w:r>
      <w:r w:rsidR="005B27D6">
        <w:rPr>
          <w:rFonts w:ascii="Times New Roman" w:hAnsi="Times New Roman" w:cs="Times New Roman"/>
        </w:rPr>
        <w:t xml:space="preserve">concerning </w:t>
      </w:r>
      <w:r w:rsidR="009308CE">
        <w:rPr>
          <w:rFonts w:ascii="Times New Roman" w:hAnsi="Times New Roman" w:cs="Times New Roman"/>
        </w:rPr>
        <w:t xml:space="preserve">the accuracy of the Complainant’s bills </w:t>
      </w:r>
      <w:r w:rsidR="005B27D6" w:rsidRPr="00162021">
        <w:rPr>
          <w:rFonts w:ascii="Times New Roman" w:hAnsi="Times New Roman" w:cs="Times New Roman"/>
        </w:rPr>
        <w:t>are</w:t>
      </w:r>
      <w:r w:rsidR="005B27D6" w:rsidRPr="005A21BA">
        <w:rPr>
          <w:rFonts w:ascii="Times New Roman" w:hAnsi="Times New Roman" w:cs="Times New Roman"/>
        </w:rPr>
        <w:t xml:space="preserve"> that </w:t>
      </w:r>
      <w:r w:rsidR="009308CE">
        <w:rPr>
          <w:rFonts w:ascii="Times New Roman" w:hAnsi="Times New Roman" w:cs="Times New Roman"/>
        </w:rPr>
        <w:t xml:space="preserve">1) </w:t>
      </w:r>
      <w:r w:rsidR="005B27D6" w:rsidRPr="005A21BA">
        <w:rPr>
          <w:rFonts w:ascii="Times New Roman" w:hAnsi="Times New Roman" w:cs="Times New Roman"/>
        </w:rPr>
        <w:t>there are incorrect charges on the Complainant’s bill</w:t>
      </w:r>
      <w:r w:rsidR="009308CE">
        <w:rPr>
          <w:rFonts w:ascii="Times New Roman" w:hAnsi="Times New Roman" w:cs="Times New Roman"/>
        </w:rPr>
        <w:t>; 2) that t</w:t>
      </w:r>
      <w:r w:rsidR="005B27D6">
        <w:rPr>
          <w:rFonts w:ascii="Times New Roman" w:hAnsi="Times New Roman" w:cs="Times New Roman"/>
        </w:rPr>
        <w:t>he Complainant has been arguing with the Respondent about the charges on his bill for years</w:t>
      </w:r>
      <w:r w:rsidR="009308CE">
        <w:rPr>
          <w:rFonts w:ascii="Times New Roman" w:hAnsi="Times New Roman" w:cs="Times New Roman"/>
        </w:rPr>
        <w:t xml:space="preserve">; and </w:t>
      </w:r>
      <w:r w:rsidR="00D94B5D">
        <w:rPr>
          <w:rFonts w:ascii="Times New Roman" w:hAnsi="Times New Roman" w:cs="Times New Roman"/>
        </w:rPr>
        <w:t xml:space="preserve">3) </w:t>
      </w:r>
      <w:r w:rsidR="009308CE">
        <w:rPr>
          <w:rFonts w:ascii="Times New Roman" w:hAnsi="Times New Roman" w:cs="Times New Roman"/>
        </w:rPr>
        <w:t>that t</w:t>
      </w:r>
      <w:r w:rsidR="005B27D6">
        <w:rPr>
          <w:rFonts w:ascii="Times New Roman" w:hAnsi="Times New Roman" w:cs="Times New Roman"/>
        </w:rPr>
        <w:t xml:space="preserve">he only explanation that the Respondent has provided for the charges on the Complainant’s bill </w:t>
      </w:r>
      <w:r w:rsidR="00CA10AA">
        <w:rPr>
          <w:rFonts w:ascii="Times New Roman" w:hAnsi="Times New Roman" w:cs="Times New Roman"/>
        </w:rPr>
        <w:t xml:space="preserve">in the amount of $19,428.89 </w:t>
      </w:r>
      <w:r w:rsidR="005B27D6">
        <w:rPr>
          <w:rFonts w:ascii="Times New Roman" w:hAnsi="Times New Roman" w:cs="Times New Roman"/>
        </w:rPr>
        <w:t xml:space="preserve">is that a portion of the bill was transferred to the Complainant’s bill from a previous account.  </w:t>
      </w:r>
    </w:p>
    <w:p w:rsidR="009308CE" w:rsidRPr="00162021" w:rsidRDefault="009308CE" w:rsidP="0090577C">
      <w:pPr>
        <w:pStyle w:val="ParaTab1"/>
        <w:spacing w:line="360" w:lineRule="auto"/>
        <w:ind w:firstLine="1350"/>
        <w:rPr>
          <w:rFonts w:ascii="Times New Roman" w:hAnsi="Times New Roman" w:cs="Times New Roman"/>
        </w:rPr>
      </w:pPr>
    </w:p>
    <w:p w:rsidR="005B27D6" w:rsidRPr="00162021" w:rsidRDefault="005B27D6" w:rsidP="0090577C">
      <w:pPr>
        <w:pStyle w:val="ParaTab1"/>
        <w:spacing w:line="360" w:lineRule="auto"/>
        <w:rPr>
          <w:rFonts w:ascii="Times New Roman" w:hAnsi="Times New Roman" w:cs="Times New Roman"/>
        </w:rPr>
      </w:pPr>
      <w:r w:rsidRPr="00162021">
        <w:rPr>
          <w:rFonts w:ascii="Times New Roman" w:hAnsi="Times New Roman" w:cs="Times New Roman"/>
        </w:rPr>
        <w:t xml:space="preserve">In addition to the facts alleged in the complaint, I must consider the facts alleged in the Respondent’s new matter since the Complainant has admitted those facts by failing to answer the Respondent’s new matter.  The Commission’s regulation at 52 </w:t>
      </w:r>
      <w:proofErr w:type="spellStart"/>
      <w:r w:rsidRPr="00162021">
        <w:rPr>
          <w:rFonts w:ascii="Times New Roman" w:hAnsi="Times New Roman" w:cs="Times New Roman"/>
        </w:rPr>
        <w:t>Pa.Code</w:t>
      </w:r>
      <w:proofErr w:type="spellEnd"/>
      <w:r w:rsidRPr="00162021">
        <w:rPr>
          <w:rFonts w:ascii="Times New Roman" w:hAnsi="Times New Roman" w:cs="Times New Roman"/>
        </w:rPr>
        <w:t xml:space="preserve"> § 5.63(b) states that a party failing to file a timely reply to new matter may be deemed in default and the facts stated in the new matter deemed admitted.  Since the Complainant has not filed an answer to the Respondent’s new matter denying its factual allegations, I will deem the allegations in the Respondent’s new matter admitted, pursuant to 52 </w:t>
      </w:r>
      <w:proofErr w:type="spellStart"/>
      <w:r w:rsidRPr="00162021">
        <w:rPr>
          <w:rFonts w:ascii="Times New Roman" w:hAnsi="Times New Roman" w:cs="Times New Roman"/>
        </w:rPr>
        <w:t>Pa.Code</w:t>
      </w:r>
      <w:proofErr w:type="spellEnd"/>
      <w:r w:rsidRPr="00162021">
        <w:rPr>
          <w:rFonts w:ascii="Times New Roman" w:hAnsi="Times New Roman" w:cs="Times New Roman"/>
        </w:rPr>
        <w:t xml:space="preserve"> § 5.63(b).</w:t>
      </w:r>
    </w:p>
    <w:p w:rsidR="005B27D6" w:rsidRPr="00162021" w:rsidRDefault="005B27D6" w:rsidP="0090577C">
      <w:pPr>
        <w:pStyle w:val="ParaTab1"/>
        <w:spacing w:line="360" w:lineRule="auto"/>
        <w:rPr>
          <w:rFonts w:ascii="Times New Roman" w:hAnsi="Times New Roman" w:cs="Times New Roman"/>
        </w:rPr>
      </w:pPr>
    </w:p>
    <w:p w:rsidR="005B27D6" w:rsidRPr="00162021" w:rsidRDefault="005B27D6" w:rsidP="0090577C">
      <w:pPr>
        <w:pStyle w:val="ParaTab1"/>
        <w:spacing w:line="360" w:lineRule="auto"/>
        <w:ind w:firstLine="1350"/>
        <w:rPr>
          <w:rFonts w:ascii="Times New Roman" w:hAnsi="Times New Roman" w:cs="Times New Roman"/>
        </w:rPr>
      </w:pPr>
      <w:r w:rsidRPr="00162021">
        <w:rPr>
          <w:rFonts w:ascii="Times New Roman" w:hAnsi="Times New Roman" w:cs="Times New Roman"/>
        </w:rPr>
        <w:t>The facts alleged in the Respondent’s new matter are:</w:t>
      </w:r>
      <w:r w:rsidR="009308CE">
        <w:rPr>
          <w:rFonts w:ascii="Times New Roman" w:hAnsi="Times New Roman" w:cs="Times New Roman"/>
        </w:rPr>
        <w:t xml:space="preserve">  </w:t>
      </w:r>
      <w:r w:rsidR="00D94B5D">
        <w:rPr>
          <w:rFonts w:ascii="Times New Roman" w:hAnsi="Times New Roman" w:cs="Times New Roman"/>
        </w:rPr>
        <w:t xml:space="preserve">1) </w:t>
      </w:r>
      <w:r w:rsidR="0054194B">
        <w:rPr>
          <w:rFonts w:ascii="Times New Roman" w:hAnsi="Times New Roman" w:cs="Times New Roman"/>
        </w:rPr>
        <w:t xml:space="preserve">that </w:t>
      </w:r>
      <w:r w:rsidR="009308CE">
        <w:rPr>
          <w:rFonts w:ascii="Times New Roman" w:hAnsi="Times New Roman" w:cs="Times New Roman"/>
        </w:rPr>
        <w:t>the Complainant established service at his current address on December 4, 2012</w:t>
      </w:r>
      <w:r w:rsidR="00D94B5D">
        <w:rPr>
          <w:rFonts w:ascii="Times New Roman" w:hAnsi="Times New Roman" w:cs="Times New Roman"/>
        </w:rPr>
        <w:t xml:space="preserve">; 2) </w:t>
      </w:r>
      <w:r w:rsidR="0054194B">
        <w:rPr>
          <w:rFonts w:ascii="Times New Roman" w:hAnsi="Times New Roman" w:cs="Times New Roman"/>
        </w:rPr>
        <w:t>that p</w:t>
      </w:r>
      <w:r w:rsidR="009308CE">
        <w:rPr>
          <w:rFonts w:ascii="Times New Roman" w:hAnsi="Times New Roman" w:cs="Times New Roman"/>
        </w:rPr>
        <w:t>rior to establishing service at his current address, the Complainant had established service on October 17, 2009 at 816 East Stafford Street</w:t>
      </w:r>
      <w:r w:rsidR="00D94B5D">
        <w:rPr>
          <w:rFonts w:ascii="Times New Roman" w:hAnsi="Times New Roman" w:cs="Times New Roman"/>
        </w:rPr>
        <w:t>; 3)</w:t>
      </w:r>
      <w:r w:rsidR="009308CE">
        <w:rPr>
          <w:rFonts w:ascii="Times New Roman" w:hAnsi="Times New Roman" w:cs="Times New Roman"/>
        </w:rPr>
        <w:t xml:space="preserve">  </w:t>
      </w:r>
      <w:r w:rsidR="0054194B">
        <w:rPr>
          <w:rFonts w:ascii="Times New Roman" w:hAnsi="Times New Roman" w:cs="Times New Roman"/>
        </w:rPr>
        <w:t>that t</w:t>
      </w:r>
      <w:r w:rsidR="009308CE">
        <w:rPr>
          <w:rFonts w:ascii="Times New Roman" w:hAnsi="Times New Roman" w:cs="Times New Roman"/>
        </w:rPr>
        <w:t>he service for 816 East Stafford Street was in the name of Tiffany Jones prior to October 17, 2009</w:t>
      </w:r>
      <w:r w:rsidR="0054194B">
        <w:rPr>
          <w:rFonts w:ascii="Times New Roman" w:hAnsi="Times New Roman" w:cs="Times New Roman"/>
        </w:rPr>
        <w:t xml:space="preserve">; 4) that </w:t>
      </w:r>
      <w:r w:rsidR="009308CE">
        <w:rPr>
          <w:rFonts w:ascii="Times New Roman" w:hAnsi="Times New Roman" w:cs="Times New Roman"/>
        </w:rPr>
        <w:t>the Respondent discovered that the Complainant had been linked to the property at 816 East Stafford Street since September 2001 as well as linked to previous addresses with Tiffany Jones</w:t>
      </w:r>
      <w:r w:rsidR="0054194B">
        <w:rPr>
          <w:rFonts w:ascii="Times New Roman" w:hAnsi="Times New Roman" w:cs="Times New Roman"/>
        </w:rPr>
        <w:t xml:space="preserve">; 5) </w:t>
      </w:r>
      <w:r w:rsidR="009308CE">
        <w:rPr>
          <w:rFonts w:ascii="Times New Roman" w:hAnsi="Times New Roman" w:cs="Times New Roman"/>
        </w:rPr>
        <w:t>that BCS issued a decision dated December 2, 2009 at BCS No. 2608437</w:t>
      </w:r>
      <w:r w:rsidR="0054194B">
        <w:rPr>
          <w:rFonts w:ascii="Times New Roman" w:hAnsi="Times New Roman" w:cs="Times New Roman"/>
        </w:rPr>
        <w:t xml:space="preserve"> which </w:t>
      </w:r>
      <w:r w:rsidR="009308CE">
        <w:rPr>
          <w:rFonts w:ascii="Times New Roman" w:hAnsi="Times New Roman" w:cs="Times New Roman"/>
        </w:rPr>
        <w:t>concluded that both Tiffany Jones and the Complainant were responsible for the account balance at 816 East Stafford Street</w:t>
      </w:r>
      <w:r w:rsidR="0054194B">
        <w:rPr>
          <w:rFonts w:ascii="Times New Roman" w:hAnsi="Times New Roman" w:cs="Times New Roman"/>
        </w:rPr>
        <w:t>; 6) that o</w:t>
      </w:r>
      <w:r w:rsidR="009308CE">
        <w:rPr>
          <w:rFonts w:ascii="Times New Roman" w:hAnsi="Times New Roman" w:cs="Times New Roman"/>
        </w:rPr>
        <w:t>n September 20, 2012, the Complainant filed a formal complaint with the Commission docketed at C-2012-2325161</w:t>
      </w:r>
      <w:r w:rsidR="0054194B">
        <w:rPr>
          <w:rFonts w:ascii="Times New Roman" w:hAnsi="Times New Roman" w:cs="Times New Roman"/>
        </w:rPr>
        <w:t>; 7)</w:t>
      </w:r>
      <w:r w:rsidR="009308CE">
        <w:rPr>
          <w:rFonts w:ascii="Times New Roman" w:hAnsi="Times New Roman" w:cs="Times New Roman"/>
        </w:rPr>
        <w:t xml:space="preserve"> </w:t>
      </w:r>
      <w:r w:rsidR="009308CE">
        <w:rPr>
          <w:rFonts w:ascii="Times New Roman" w:hAnsi="Times New Roman" w:cs="Times New Roman"/>
        </w:rPr>
        <w:lastRenderedPageBreak/>
        <w:t>that Tiffany Jones is the wife of the Complainant and that they have lived together since 1996</w:t>
      </w:r>
      <w:r w:rsidR="0054194B">
        <w:rPr>
          <w:rFonts w:ascii="Times New Roman" w:hAnsi="Times New Roman" w:cs="Times New Roman"/>
        </w:rPr>
        <w:t xml:space="preserve">; 8)  that </w:t>
      </w:r>
      <w:r w:rsidR="009308CE">
        <w:rPr>
          <w:rFonts w:ascii="Times New Roman" w:hAnsi="Times New Roman" w:cs="Times New Roman"/>
        </w:rPr>
        <w:t>the complaint at C-2012-2325161 was settled in January 8, 2013</w:t>
      </w:r>
      <w:r w:rsidR="0054194B">
        <w:rPr>
          <w:rFonts w:ascii="Times New Roman" w:hAnsi="Times New Roman" w:cs="Times New Roman"/>
        </w:rPr>
        <w:t xml:space="preserve"> by certificate of satisfaction and settlement letter; 9) </w:t>
      </w:r>
      <w:r w:rsidR="009308CE">
        <w:rPr>
          <w:rFonts w:ascii="Times New Roman" w:hAnsi="Times New Roman" w:cs="Times New Roman"/>
        </w:rPr>
        <w:t>that BCS issued a decision dated April 1, 2015 at BCS No. 3280992</w:t>
      </w:r>
      <w:r w:rsidR="0054194B">
        <w:rPr>
          <w:rFonts w:ascii="Times New Roman" w:hAnsi="Times New Roman" w:cs="Times New Roman"/>
        </w:rPr>
        <w:t xml:space="preserve"> which </w:t>
      </w:r>
      <w:r w:rsidR="009308CE">
        <w:rPr>
          <w:rFonts w:ascii="Times New Roman" w:hAnsi="Times New Roman" w:cs="Times New Roman"/>
        </w:rPr>
        <w:t xml:space="preserve">concluded that the Complainant assumed the balance of $11,928.08 that was transferred from Tiffany Jones’ account when he established service at the current address. </w:t>
      </w:r>
      <w:r w:rsidRPr="00162021">
        <w:rPr>
          <w:rFonts w:ascii="Times New Roman" w:hAnsi="Times New Roman" w:cs="Times New Roman"/>
        </w:rPr>
        <w:t xml:space="preserve"> These facts are deemed admitted.</w:t>
      </w:r>
    </w:p>
    <w:p w:rsidR="005B27D6" w:rsidRDefault="003B0B6F" w:rsidP="0090577C">
      <w:pPr>
        <w:pStyle w:val="ParaTab1"/>
        <w:spacing w:line="360" w:lineRule="auto"/>
        <w:ind w:firstLine="1354"/>
        <w:rPr>
          <w:rFonts w:ascii="Times New Roman" w:hAnsi="Times New Roman" w:cs="Times New Roman"/>
        </w:rPr>
      </w:pPr>
      <w:r w:rsidRPr="006309D9">
        <w:rPr>
          <w:rFonts w:ascii="Times New Roman" w:hAnsi="Times New Roman" w:cs="Times New Roman"/>
        </w:rPr>
        <w:t xml:space="preserve"> </w:t>
      </w:r>
    </w:p>
    <w:p w:rsidR="005E21B3" w:rsidRDefault="0054194B" w:rsidP="0090577C">
      <w:pPr>
        <w:pStyle w:val="ParaTab1"/>
        <w:spacing w:line="360" w:lineRule="auto"/>
        <w:ind w:firstLine="1354"/>
        <w:rPr>
          <w:rFonts w:ascii="Times New Roman" w:hAnsi="Times New Roman" w:cs="Times New Roman"/>
        </w:rPr>
      </w:pPr>
      <w:r>
        <w:rPr>
          <w:rFonts w:ascii="Times New Roman" w:hAnsi="Times New Roman" w:cs="Times New Roman"/>
        </w:rPr>
        <w:t xml:space="preserve">In order to determine whether the complaint docketed at C-2012-2325161 raised the same issues as the current complaint, </w:t>
      </w:r>
      <w:r w:rsidR="003B0B6F" w:rsidRPr="006309D9">
        <w:rPr>
          <w:rFonts w:ascii="Times New Roman" w:hAnsi="Times New Roman" w:cs="Times New Roman"/>
        </w:rPr>
        <w:t xml:space="preserve">I will now review the facts set forth in the prior complaint docketed at </w:t>
      </w:r>
      <w:r w:rsidR="002132D7">
        <w:rPr>
          <w:rFonts w:ascii="Times New Roman" w:hAnsi="Times New Roman" w:cs="Times New Roman"/>
        </w:rPr>
        <w:t xml:space="preserve">C-2012-2325161 </w:t>
      </w:r>
      <w:r w:rsidR="003B0B6F" w:rsidRPr="006309D9">
        <w:rPr>
          <w:rFonts w:ascii="Times New Roman" w:hAnsi="Times New Roman" w:cs="Times New Roman"/>
        </w:rPr>
        <w:t xml:space="preserve">and the </w:t>
      </w:r>
      <w:r w:rsidR="002132D7">
        <w:rPr>
          <w:rFonts w:ascii="Times New Roman" w:hAnsi="Times New Roman" w:cs="Times New Roman"/>
        </w:rPr>
        <w:t xml:space="preserve">certificate of satisfaction filed in </w:t>
      </w:r>
      <w:proofErr w:type="gramStart"/>
      <w:r w:rsidR="002132D7">
        <w:rPr>
          <w:rFonts w:ascii="Times New Roman" w:hAnsi="Times New Roman" w:cs="Times New Roman"/>
        </w:rPr>
        <w:t xml:space="preserve">that </w:t>
      </w:r>
      <w:r w:rsidR="003B0B6F" w:rsidRPr="006309D9">
        <w:rPr>
          <w:rFonts w:ascii="Times New Roman" w:hAnsi="Times New Roman" w:cs="Times New Roman"/>
        </w:rPr>
        <w:t xml:space="preserve"> proceeding</w:t>
      </w:r>
      <w:proofErr w:type="gramEnd"/>
      <w:r w:rsidR="003B0B6F" w:rsidRPr="006309D9">
        <w:rPr>
          <w:rFonts w:ascii="Times New Roman" w:hAnsi="Times New Roman" w:cs="Times New Roman"/>
        </w:rPr>
        <w:t xml:space="preserve"> in order to determine whether the complaint in this case is barred.</w:t>
      </w:r>
    </w:p>
    <w:p w:rsidR="002132D7" w:rsidRDefault="002132D7" w:rsidP="0090577C">
      <w:pPr>
        <w:pStyle w:val="ParaTab1"/>
        <w:spacing w:line="360" w:lineRule="auto"/>
        <w:ind w:firstLine="1354"/>
        <w:rPr>
          <w:rFonts w:ascii="Times New Roman" w:hAnsi="Times New Roman" w:cs="Times New Roman"/>
        </w:rPr>
      </w:pPr>
    </w:p>
    <w:p w:rsidR="0054194B" w:rsidRDefault="002132D7" w:rsidP="0090577C">
      <w:pPr>
        <w:pStyle w:val="ParaTab1"/>
        <w:spacing w:line="360" w:lineRule="auto"/>
        <w:ind w:firstLine="1354"/>
        <w:rPr>
          <w:rFonts w:ascii="Times New Roman" w:hAnsi="Times New Roman" w:cs="Times New Roman"/>
        </w:rPr>
      </w:pPr>
      <w:r>
        <w:rPr>
          <w:rFonts w:ascii="Times New Roman" w:hAnsi="Times New Roman" w:cs="Times New Roman"/>
        </w:rPr>
        <w:t>The complaint at C-2012-2325161 alleges that a previous investigation of the Complainant’s account indicated that the Complainant was responsible for charges associated with the account of Tiffany Jones.  The complaint acknowledges that the Complainant and Tiffany Jones are husband and wife and have lived together since 1996.  The certificate of satisfaction and</w:t>
      </w:r>
      <w:r w:rsidR="00AA4F40">
        <w:rPr>
          <w:rFonts w:ascii="Times New Roman" w:hAnsi="Times New Roman" w:cs="Times New Roman"/>
        </w:rPr>
        <w:t xml:space="preserve"> settlement letter indicate that the </w:t>
      </w:r>
      <w:r w:rsidR="00A02552">
        <w:rPr>
          <w:rFonts w:ascii="Times New Roman" w:hAnsi="Times New Roman" w:cs="Times New Roman"/>
        </w:rPr>
        <w:t xml:space="preserve">Respondent agreed to waive $67.75 in late payment charges and </w:t>
      </w:r>
      <w:r w:rsidR="00D60AA1">
        <w:rPr>
          <w:rFonts w:ascii="Times New Roman" w:hAnsi="Times New Roman" w:cs="Times New Roman"/>
        </w:rPr>
        <w:t xml:space="preserve">the </w:t>
      </w:r>
      <w:r w:rsidR="00AA4F40">
        <w:rPr>
          <w:rFonts w:ascii="Times New Roman" w:hAnsi="Times New Roman" w:cs="Times New Roman"/>
        </w:rPr>
        <w:t xml:space="preserve">Complainant agreed that the total account balance for </w:t>
      </w:r>
      <w:r w:rsidR="002E40FF">
        <w:rPr>
          <w:rFonts w:ascii="Times New Roman" w:hAnsi="Times New Roman" w:cs="Times New Roman"/>
        </w:rPr>
        <w:t>his current address</w:t>
      </w:r>
      <w:r w:rsidR="00A02552">
        <w:rPr>
          <w:rFonts w:ascii="Times New Roman" w:hAnsi="Times New Roman" w:cs="Times New Roman"/>
        </w:rPr>
        <w:t xml:space="preserve"> minus the late payment charges </w:t>
      </w:r>
      <w:r w:rsidR="002E40FF">
        <w:rPr>
          <w:rFonts w:ascii="Times New Roman" w:hAnsi="Times New Roman" w:cs="Times New Roman"/>
        </w:rPr>
        <w:t>was $16,156.44.</w:t>
      </w:r>
      <w:r w:rsidR="0054194B">
        <w:rPr>
          <w:rFonts w:ascii="Times New Roman" w:hAnsi="Times New Roman" w:cs="Times New Roman"/>
        </w:rPr>
        <w:t xml:space="preserve">  </w:t>
      </w:r>
    </w:p>
    <w:p w:rsidR="0054194B" w:rsidRDefault="0054194B" w:rsidP="0090577C">
      <w:pPr>
        <w:pStyle w:val="ParaTab1"/>
        <w:spacing w:line="360" w:lineRule="auto"/>
        <w:ind w:firstLine="1354"/>
        <w:rPr>
          <w:rFonts w:ascii="Times New Roman" w:hAnsi="Times New Roman" w:cs="Times New Roman"/>
        </w:rPr>
      </w:pPr>
    </w:p>
    <w:p w:rsidR="002E40FF" w:rsidRDefault="0054194B" w:rsidP="0090577C">
      <w:pPr>
        <w:pStyle w:val="ParaTab1"/>
        <w:spacing w:line="360" w:lineRule="auto"/>
        <w:ind w:firstLine="1354"/>
        <w:rPr>
          <w:rFonts w:ascii="Times New Roman" w:hAnsi="Times New Roman" w:cs="Times New Roman"/>
        </w:rPr>
      </w:pPr>
      <w:r>
        <w:rPr>
          <w:rFonts w:ascii="Times New Roman" w:hAnsi="Times New Roman" w:cs="Times New Roman"/>
        </w:rPr>
        <w:t xml:space="preserve">From this review of the </w:t>
      </w:r>
      <w:r w:rsidR="00CA10AA">
        <w:rPr>
          <w:rFonts w:ascii="Times New Roman" w:hAnsi="Times New Roman" w:cs="Times New Roman"/>
        </w:rPr>
        <w:t xml:space="preserve">allegations in the </w:t>
      </w:r>
      <w:r>
        <w:rPr>
          <w:rFonts w:ascii="Times New Roman" w:hAnsi="Times New Roman" w:cs="Times New Roman"/>
        </w:rPr>
        <w:t xml:space="preserve">complaint at C-2012-2325161, </w:t>
      </w:r>
      <w:r w:rsidR="00B164D0">
        <w:rPr>
          <w:rFonts w:ascii="Times New Roman" w:hAnsi="Times New Roman" w:cs="Times New Roman"/>
        </w:rPr>
        <w:t>I conclude that the Complainant is attempting to raise the same issues in his current complaint. The current complaint is once again challenging the balance on his account after having acknowledged that he and Tiffany Jones are married, that they have lived together since 1996 and that his current account balance included charges incurred by Tiffany Jones.  These issues were resolved previously in the complaint at C-2012-2325161 by certificate of satisfaction.</w:t>
      </w:r>
      <w:r w:rsidR="002E40FF">
        <w:rPr>
          <w:rFonts w:ascii="Times New Roman" w:hAnsi="Times New Roman" w:cs="Times New Roman"/>
        </w:rPr>
        <w:t xml:space="preserve"> </w:t>
      </w:r>
    </w:p>
    <w:p w:rsidR="002E40FF" w:rsidRDefault="002E40FF" w:rsidP="0090577C">
      <w:pPr>
        <w:pStyle w:val="ParaTab1"/>
        <w:spacing w:line="360" w:lineRule="auto"/>
        <w:ind w:firstLine="1350"/>
        <w:rPr>
          <w:rFonts w:ascii="Times New Roman" w:hAnsi="Times New Roman" w:cs="Times New Roman"/>
        </w:rPr>
      </w:pPr>
      <w:r w:rsidRPr="005A21BA">
        <w:rPr>
          <w:rFonts w:ascii="Times New Roman" w:hAnsi="Times New Roman" w:cs="Times New Roman"/>
        </w:rPr>
        <w:t xml:space="preserve">  </w:t>
      </w:r>
    </w:p>
    <w:p w:rsidR="00853A35" w:rsidRDefault="00A02552" w:rsidP="0090577C">
      <w:pPr>
        <w:tabs>
          <w:tab w:val="left" w:pos="-1440"/>
          <w:tab w:val="left" w:pos="-720"/>
        </w:tabs>
        <w:suppressAutoHyphens/>
        <w:spacing w:line="360" w:lineRule="auto"/>
        <w:rPr>
          <w:spacing w:val="-3"/>
          <w:szCs w:val="24"/>
        </w:rPr>
      </w:pPr>
      <w:r>
        <w:rPr>
          <w:spacing w:val="-3"/>
          <w:szCs w:val="24"/>
        </w:rPr>
        <w:tab/>
      </w:r>
      <w:r>
        <w:rPr>
          <w:spacing w:val="-3"/>
          <w:szCs w:val="24"/>
        </w:rPr>
        <w:tab/>
      </w:r>
      <w:r w:rsidRPr="00A90F47">
        <w:rPr>
          <w:spacing w:val="-3"/>
          <w:szCs w:val="24"/>
        </w:rPr>
        <w:t>The Commission has previously addressed the issue of whether</w:t>
      </w:r>
      <w:r>
        <w:rPr>
          <w:spacing w:val="-3"/>
          <w:szCs w:val="24"/>
        </w:rPr>
        <w:t xml:space="preserve"> a</w:t>
      </w:r>
      <w:r w:rsidRPr="00A90F47">
        <w:rPr>
          <w:spacing w:val="-3"/>
          <w:szCs w:val="24"/>
        </w:rPr>
        <w:t xml:space="preserve"> complainant can refile the same complaint after failing to timely object to a certificate of satisfaction resolving </w:t>
      </w:r>
      <w:r>
        <w:rPr>
          <w:spacing w:val="-3"/>
          <w:szCs w:val="24"/>
        </w:rPr>
        <w:t xml:space="preserve">his or her </w:t>
      </w:r>
      <w:r w:rsidRPr="00A90F47">
        <w:rPr>
          <w:spacing w:val="-3"/>
          <w:szCs w:val="24"/>
        </w:rPr>
        <w:t xml:space="preserve">dispute.  In </w:t>
      </w:r>
      <w:r w:rsidRPr="00A90F47">
        <w:rPr>
          <w:spacing w:val="-3"/>
          <w:szCs w:val="24"/>
          <w:u w:val="single"/>
        </w:rPr>
        <w:t>Reynolds v. PPL Electric Utilities Corporation</w:t>
      </w:r>
      <w:r w:rsidRPr="00A90F47">
        <w:rPr>
          <w:spacing w:val="-3"/>
          <w:szCs w:val="24"/>
        </w:rPr>
        <w:t>, Docket No. C-2011-2255268</w:t>
      </w:r>
      <w:r>
        <w:rPr>
          <w:spacing w:val="-3"/>
          <w:szCs w:val="24"/>
        </w:rPr>
        <w:t xml:space="preserve"> (</w:t>
      </w:r>
      <w:r w:rsidR="00747BAE">
        <w:rPr>
          <w:spacing w:val="-3"/>
          <w:szCs w:val="24"/>
        </w:rPr>
        <w:t xml:space="preserve">Opinion and </w:t>
      </w:r>
      <w:r w:rsidRPr="00A90F47">
        <w:rPr>
          <w:spacing w:val="-3"/>
          <w:szCs w:val="24"/>
        </w:rPr>
        <w:t>Order entered January 5, 2012</w:t>
      </w:r>
      <w:r>
        <w:rPr>
          <w:spacing w:val="-3"/>
          <w:szCs w:val="24"/>
        </w:rPr>
        <w:t>)</w:t>
      </w:r>
      <w:r w:rsidRPr="00A90F47">
        <w:rPr>
          <w:spacing w:val="-3"/>
          <w:szCs w:val="24"/>
        </w:rPr>
        <w:t xml:space="preserve"> (</w:t>
      </w:r>
      <w:r w:rsidRPr="00A90F47">
        <w:rPr>
          <w:spacing w:val="-3"/>
          <w:szCs w:val="24"/>
          <w:u w:val="single"/>
        </w:rPr>
        <w:t>Reynolds</w:t>
      </w:r>
      <w:r w:rsidRPr="00A90F47">
        <w:rPr>
          <w:spacing w:val="-3"/>
          <w:szCs w:val="24"/>
        </w:rPr>
        <w:t xml:space="preserve">), the Commission reviewed an </w:t>
      </w:r>
      <w:r>
        <w:rPr>
          <w:spacing w:val="-3"/>
          <w:szCs w:val="24"/>
        </w:rPr>
        <w:t>i</w:t>
      </w:r>
      <w:r w:rsidRPr="00A90F47">
        <w:rPr>
          <w:spacing w:val="-3"/>
          <w:szCs w:val="24"/>
        </w:rPr>
        <w:t xml:space="preserve">nitial </w:t>
      </w:r>
      <w:r>
        <w:rPr>
          <w:spacing w:val="-3"/>
          <w:szCs w:val="24"/>
        </w:rPr>
        <w:lastRenderedPageBreak/>
        <w:t>d</w:t>
      </w:r>
      <w:r w:rsidRPr="00A90F47">
        <w:rPr>
          <w:spacing w:val="-3"/>
          <w:szCs w:val="24"/>
        </w:rPr>
        <w:t xml:space="preserve">ecision which had dismissed a complaint on the grounds of </w:t>
      </w:r>
      <w:r w:rsidRPr="00A02552">
        <w:rPr>
          <w:spacing w:val="-3"/>
          <w:szCs w:val="24"/>
          <w:u w:val="single"/>
        </w:rPr>
        <w:t>res</w:t>
      </w:r>
      <w:r w:rsidRPr="00A90F47">
        <w:rPr>
          <w:spacing w:val="-3"/>
          <w:szCs w:val="24"/>
        </w:rPr>
        <w:t xml:space="preserve"> </w:t>
      </w:r>
      <w:r w:rsidRPr="00A02552">
        <w:rPr>
          <w:spacing w:val="-3"/>
          <w:szCs w:val="24"/>
          <w:u w:val="single"/>
        </w:rPr>
        <w:t>judicata</w:t>
      </w:r>
      <w:r w:rsidRPr="00A90F47">
        <w:rPr>
          <w:spacing w:val="-3"/>
          <w:szCs w:val="24"/>
        </w:rPr>
        <w:t xml:space="preserve">, for raising matters previously resolved through a </w:t>
      </w:r>
      <w:r w:rsidR="00853A35">
        <w:rPr>
          <w:spacing w:val="-3"/>
          <w:szCs w:val="24"/>
        </w:rPr>
        <w:t>c</w:t>
      </w:r>
      <w:r w:rsidRPr="00A90F47">
        <w:rPr>
          <w:spacing w:val="-3"/>
          <w:szCs w:val="24"/>
        </w:rPr>
        <w:t xml:space="preserve">ertificate of </w:t>
      </w:r>
      <w:r w:rsidR="00853A35">
        <w:rPr>
          <w:spacing w:val="-3"/>
          <w:szCs w:val="24"/>
        </w:rPr>
        <w:t>s</w:t>
      </w:r>
      <w:r w:rsidRPr="00A90F47">
        <w:rPr>
          <w:spacing w:val="-3"/>
          <w:szCs w:val="24"/>
        </w:rPr>
        <w:t xml:space="preserve">atisfaction.  While ruling that </w:t>
      </w:r>
      <w:r w:rsidRPr="00B164D0">
        <w:rPr>
          <w:spacing w:val="-3"/>
          <w:szCs w:val="24"/>
          <w:u w:val="single"/>
        </w:rPr>
        <w:t>res</w:t>
      </w:r>
      <w:r w:rsidRPr="00A90F47">
        <w:rPr>
          <w:spacing w:val="-3"/>
          <w:szCs w:val="24"/>
        </w:rPr>
        <w:t xml:space="preserve"> </w:t>
      </w:r>
      <w:r w:rsidRPr="00B164D0">
        <w:rPr>
          <w:spacing w:val="-3"/>
          <w:szCs w:val="24"/>
          <w:u w:val="single"/>
        </w:rPr>
        <w:t>judicata</w:t>
      </w:r>
      <w:r w:rsidRPr="00A90F47">
        <w:rPr>
          <w:spacing w:val="-3"/>
          <w:szCs w:val="24"/>
        </w:rPr>
        <w:t xml:space="preserve"> was not an appropriate ground for dismissal, </w:t>
      </w:r>
      <w:r w:rsidR="00853A35">
        <w:rPr>
          <w:spacing w:val="-3"/>
          <w:szCs w:val="24"/>
        </w:rPr>
        <w:t xml:space="preserve">since </w:t>
      </w:r>
      <w:r w:rsidRPr="00A90F47">
        <w:rPr>
          <w:spacing w:val="-3"/>
          <w:szCs w:val="24"/>
        </w:rPr>
        <w:t xml:space="preserve">there had been no final judgment on the merits, the Commission found that 66 </w:t>
      </w:r>
      <w:proofErr w:type="spellStart"/>
      <w:r w:rsidRPr="00A90F47">
        <w:rPr>
          <w:spacing w:val="-3"/>
          <w:szCs w:val="24"/>
        </w:rPr>
        <w:t>Pa.C.S</w:t>
      </w:r>
      <w:proofErr w:type="spellEnd"/>
      <w:r w:rsidRPr="00A90F47">
        <w:rPr>
          <w:spacing w:val="-3"/>
          <w:szCs w:val="24"/>
        </w:rPr>
        <w:t xml:space="preserve">. § 316 prohibited a complainant from raising the same issues before the Commission a second time.  </w:t>
      </w:r>
    </w:p>
    <w:p w:rsidR="00853A35" w:rsidRPr="00A90F47" w:rsidRDefault="00853A35" w:rsidP="0090577C">
      <w:pPr>
        <w:tabs>
          <w:tab w:val="left" w:pos="-1440"/>
          <w:tab w:val="left" w:pos="-720"/>
        </w:tabs>
        <w:suppressAutoHyphens/>
        <w:spacing w:line="360" w:lineRule="auto"/>
        <w:rPr>
          <w:spacing w:val="-3"/>
          <w:szCs w:val="24"/>
        </w:rPr>
      </w:pPr>
    </w:p>
    <w:p w:rsidR="00A02552" w:rsidRPr="00A90F47" w:rsidRDefault="00853A35" w:rsidP="0090577C">
      <w:pPr>
        <w:tabs>
          <w:tab w:val="left" w:pos="-1440"/>
          <w:tab w:val="left" w:pos="-720"/>
        </w:tabs>
        <w:suppressAutoHyphens/>
        <w:spacing w:line="360" w:lineRule="auto"/>
        <w:rPr>
          <w:spacing w:val="-3"/>
          <w:szCs w:val="24"/>
        </w:rPr>
      </w:pPr>
      <w:r>
        <w:rPr>
          <w:spacing w:val="-3"/>
          <w:szCs w:val="24"/>
        </w:rPr>
        <w:tab/>
      </w:r>
      <w:r>
        <w:rPr>
          <w:spacing w:val="-3"/>
          <w:szCs w:val="24"/>
        </w:rPr>
        <w:tab/>
      </w:r>
      <w:proofErr w:type="gramStart"/>
      <w:r w:rsidR="00A02552" w:rsidRPr="00A90F47">
        <w:rPr>
          <w:spacing w:val="-3"/>
          <w:szCs w:val="24"/>
        </w:rPr>
        <w:t xml:space="preserve">In its ruling that </w:t>
      </w:r>
      <w:r w:rsidRPr="00A90F47">
        <w:rPr>
          <w:spacing w:val="-3"/>
          <w:szCs w:val="24"/>
        </w:rPr>
        <w:t xml:space="preserve">66 </w:t>
      </w:r>
      <w:proofErr w:type="spellStart"/>
      <w:r w:rsidRPr="00A90F47">
        <w:rPr>
          <w:spacing w:val="-3"/>
          <w:szCs w:val="24"/>
        </w:rPr>
        <w:t>Pa.C.S</w:t>
      </w:r>
      <w:proofErr w:type="spellEnd"/>
      <w:r w:rsidRPr="00A90F47">
        <w:rPr>
          <w:spacing w:val="-3"/>
          <w:szCs w:val="24"/>
        </w:rPr>
        <w:t>.</w:t>
      </w:r>
      <w:proofErr w:type="gramEnd"/>
      <w:r w:rsidRPr="00A90F47">
        <w:rPr>
          <w:spacing w:val="-3"/>
          <w:szCs w:val="24"/>
        </w:rPr>
        <w:t xml:space="preserve"> § 316</w:t>
      </w:r>
      <w:r w:rsidR="00A02552" w:rsidRPr="00A90F47">
        <w:rPr>
          <w:spacing w:val="-3"/>
          <w:szCs w:val="24"/>
        </w:rPr>
        <w:t xml:space="preserve"> was applicable, the Commission concluded that a </w:t>
      </w:r>
      <w:r>
        <w:rPr>
          <w:spacing w:val="-3"/>
          <w:szCs w:val="24"/>
        </w:rPr>
        <w:t>c</w:t>
      </w:r>
      <w:r w:rsidR="00A02552" w:rsidRPr="00A90F47">
        <w:rPr>
          <w:spacing w:val="-3"/>
          <w:szCs w:val="24"/>
        </w:rPr>
        <w:t xml:space="preserve">ertificate of </w:t>
      </w:r>
      <w:r>
        <w:rPr>
          <w:spacing w:val="-3"/>
          <w:szCs w:val="24"/>
        </w:rPr>
        <w:t>s</w:t>
      </w:r>
      <w:r w:rsidR="00A02552" w:rsidRPr="00A90F47">
        <w:rPr>
          <w:spacing w:val="-3"/>
          <w:szCs w:val="24"/>
        </w:rPr>
        <w:t xml:space="preserve">atisfaction, which was not objected to, and resulted in the closing of the case, conclusively determined that the issues had been resolved to the satisfaction of the complainant.  Accordingly, </w:t>
      </w:r>
      <w:r>
        <w:rPr>
          <w:spacing w:val="-3"/>
          <w:szCs w:val="24"/>
        </w:rPr>
        <w:t xml:space="preserve">a complainant could not file </w:t>
      </w:r>
      <w:r w:rsidR="00A02552" w:rsidRPr="00A90F47">
        <w:rPr>
          <w:spacing w:val="-3"/>
          <w:szCs w:val="24"/>
        </w:rPr>
        <w:t xml:space="preserve">another complaint </w:t>
      </w:r>
      <w:proofErr w:type="gramStart"/>
      <w:r>
        <w:rPr>
          <w:spacing w:val="-3"/>
          <w:szCs w:val="24"/>
        </w:rPr>
        <w:t>raising</w:t>
      </w:r>
      <w:proofErr w:type="gramEnd"/>
      <w:r>
        <w:rPr>
          <w:spacing w:val="-3"/>
          <w:szCs w:val="24"/>
        </w:rPr>
        <w:t xml:space="preserve"> the same issues </w:t>
      </w:r>
      <w:r w:rsidR="00A02552" w:rsidRPr="00A90F47">
        <w:rPr>
          <w:spacing w:val="-3"/>
          <w:szCs w:val="24"/>
        </w:rPr>
        <w:t>because the issues had already been resolved</w:t>
      </w:r>
      <w:r>
        <w:rPr>
          <w:spacing w:val="-3"/>
          <w:szCs w:val="24"/>
        </w:rPr>
        <w:t xml:space="preserve"> through </w:t>
      </w:r>
      <w:r w:rsidRPr="00A90F47">
        <w:rPr>
          <w:spacing w:val="-3"/>
          <w:szCs w:val="24"/>
        </w:rPr>
        <w:t xml:space="preserve">the </w:t>
      </w:r>
      <w:r>
        <w:rPr>
          <w:spacing w:val="-3"/>
          <w:szCs w:val="24"/>
        </w:rPr>
        <w:t>c</w:t>
      </w:r>
      <w:r w:rsidRPr="00A90F47">
        <w:rPr>
          <w:spacing w:val="-3"/>
          <w:szCs w:val="24"/>
        </w:rPr>
        <w:t xml:space="preserve">ertificate of </w:t>
      </w:r>
      <w:r>
        <w:rPr>
          <w:spacing w:val="-3"/>
          <w:szCs w:val="24"/>
        </w:rPr>
        <w:t>s</w:t>
      </w:r>
      <w:r w:rsidRPr="00A90F47">
        <w:rPr>
          <w:spacing w:val="-3"/>
          <w:szCs w:val="24"/>
        </w:rPr>
        <w:t>atisfaction</w:t>
      </w:r>
      <w:r w:rsidR="00A02552" w:rsidRPr="00A90F47">
        <w:rPr>
          <w:spacing w:val="-3"/>
          <w:szCs w:val="24"/>
        </w:rPr>
        <w:t>.</w:t>
      </w:r>
    </w:p>
    <w:p w:rsidR="00A02552" w:rsidRPr="00A90F47" w:rsidRDefault="00A02552" w:rsidP="0090577C">
      <w:pPr>
        <w:tabs>
          <w:tab w:val="left" w:pos="-1440"/>
          <w:tab w:val="left" w:pos="-720"/>
        </w:tabs>
        <w:suppressAutoHyphens/>
        <w:spacing w:line="360" w:lineRule="auto"/>
        <w:rPr>
          <w:spacing w:val="-3"/>
          <w:szCs w:val="24"/>
        </w:rPr>
      </w:pPr>
    </w:p>
    <w:p w:rsidR="00853A35" w:rsidRDefault="00A02552" w:rsidP="0090577C">
      <w:pPr>
        <w:tabs>
          <w:tab w:val="left" w:pos="-1440"/>
          <w:tab w:val="left" w:pos="-720"/>
        </w:tabs>
        <w:suppressAutoHyphens/>
        <w:spacing w:line="360" w:lineRule="auto"/>
        <w:rPr>
          <w:spacing w:val="-3"/>
          <w:szCs w:val="24"/>
        </w:rPr>
      </w:pPr>
      <w:r w:rsidRPr="00A90F47">
        <w:rPr>
          <w:spacing w:val="-3"/>
          <w:szCs w:val="24"/>
        </w:rPr>
        <w:tab/>
      </w:r>
      <w:r w:rsidRPr="00A90F47">
        <w:rPr>
          <w:spacing w:val="-3"/>
          <w:szCs w:val="24"/>
        </w:rPr>
        <w:tab/>
        <w:t xml:space="preserve">Similarly, in </w:t>
      </w:r>
      <w:proofErr w:type="spellStart"/>
      <w:r w:rsidR="00853A35" w:rsidRPr="00853A35">
        <w:rPr>
          <w:spacing w:val="-3"/>
          <w:szCs w:val="24"/>
          <w:u w:val="single"/>
        </w:rPr>
        <w:t>C</w:t>
      </w:r>
      <w:r w:rsidRPr="00A90F47">
        <w:rPr>
          <w:spacing w:val="-3"/>
          <w:szCs w:val="24"/>
          <w:u w:val="single"/>
        </w:rPr>
        <w:t>reehan</w:t>
      </w:r>
      <w:proofErr w:type="spellEnd"/>
      <w:r w:rsidRPr="00A90F47">
        <w:rPr>
          <w:spacing w:val="-3"/>
          <w:szCs w:val="24"/>
          <w:u w:val="single"/>
        </w:rPr>
        <w:t xml:space="preserve"> v. Duquesne Light Company</w:t>
      </w:r>
      <w:r w:rsidRPr="00A90F47">
        <w:rPr>
          <w:spacing w:val="-3"/>
          <w:szCs w:val="24"/>
        </w:rPr>
        <w:t xml:space="preserve">, Docket No. C-2012-2297124, </w:t>
      </w:r>
      <w:r w:rsidR="00853A35">
        <w:rPr>
          <w:spacing w:val="-3"/>
          <w:szCs w:val="24"/>
        </w:rPr>
        <w:t>(</w:t>
      </w:r>
      <w:r w:rsidR="00747BAE">
        <w:rPr>
          <w:spacing w:val="-3"/>
          <w:szCs w:val="24"/>
        </w:rPr>
        <w:t xml:space="preserve">Opinion and </w:t>
      </w:r>
      <w:r w:rsidRPr="00A90F47">
        <w:rPr>
          <w:spacing w:val="-3"/>
          <w:szCs w:val="24"/>
        </w:rPr>
        <w:t>Order entered May 23, 2013</w:t>
      </w:r>
      <w:r w:rsidR="00853A35">
        <w:rPr>
          <w:spacing w:val="-3"/>
          <w:szCs w:val="24"/>
        </w:rPr>
        <w:t>)</w:t>
      </w:r>
      <w:r w:rsidRPr="00A90F47">
        <w:rPr>
          <w:spacing w:val="-3"/>
          <w:szCs w:val="24"/>
        </w:rPr>
        <w:t xml:space="preserve"> (</w:t>
      </w:r>
      <w:proofErr w:type="spellStart"/>
      <w:r w:rsidRPr="00A90F47">
        <w:rPr>
          <w:spacing w:val="-3"/>
          <w:szCs w:val="24"/>
          <w:u w:val="single"/>
        </w:rPr>
        <w:t>Creehan</w:t>
      </w:r>
      <w:proofErr w:type="spellEnd"/>
      <w:r w:rsidRPr="00A90F47">
        <w:rPr>
          <w:spacing w:val="-3"/>
          <w:szCs w:val="24"/>
        </w:rPr>
        <w:t xml:space="preserve">), the Commission affirmed its prior ruling in </w:t>
      </w:r>
      <w:r w:rsidRPr="00A90F47">
        <w:rPr>
          <w:spacing w:val="-3"/>
          <w:szCs w:val="24"/>
          <w:u w:val="single"/>
        </w:rPr>
        <w:t>Reynolds</w:t>
      </w:r>
      <w:r w:rsidRPr="00A90F47">
        <w:rPr>
          <w:spacing w:val="-3"/>
          <w:szCs w:val="24"/>
        </w:rPr>
        <w:t xml:space="preserve">, and </w:t>
      </w:r>
      <w:r w:rsidR="00853A35">
        <w:rPr>
          <w:spacing w:val="-3"/>
          <w:szCs w:val="24"/>
        </w:rPr>
        <w:t xml:space="preserve">held that </w:t>
      </w:r>
      <w:r w:rsidR="00853A35" w:rsidRPr="00A90F47">
        <w:rPr>
          <w:spacing w:val="-3"/>
          <w:szCs w:val="24"/>
        </w:rPr>
        <w:t xml:space="preserve">66 </w:t>
      </w:r>
      <w:proofErr w:type="spellStart"/>
      <w:r w:rsidR="00853A35" w:rsidRPr="00A90F47">
        <w:rPr>
          <w:spacing w:val="-3"/>
          <w:szCs w:val="24"/>
        </w:rPr>
        <w:t>Pa.C.S</w:t>
      </w:r>
      <w:proofErr w:type="spellEnd"/>
      <w:r w:rsidR="00853A35" w:rsidRPr="00A90F47">
        <w:rPr>
          <w:spacing w:val="-3"/>
          <w:szCs w:val="24"/>
        </w:rPr>
        <w:t xml:space="preserve">. § 316 </w:t>
      </w:r>
      <w:r w:rsidRPr="00A90F47">
        <w:rPr>
          <w:spacing w:val="-3"/>
          <w:szCs w:val="24"/>
        </w:rPr>
        <w:t xml:space="preserve">precluded </w:t>
      </w:r>
      <w:r w:rsidR="00CA10AA">
        <w:rPr>
          <w:spacing w:val="-3"/>
          <w:szCs w:val="24"/>
        </w:rPr>
        <w:t>a</w:t>
      </w:r>
      <w:r w:rsidRPr="00A90F47">
        <w:rPr>
          <w:spacing w:val="-3"/>
          <w:szCs w:val="24"/>
        </w:rPr>
        <w:t xml:space="preserve"> complainant from raising issues </w:t>
      </w:r>
      <w:r w:rsidR="00CA10AA">
        <w:rPr>
          <w:spacing w:val="-3"/>
          <w:szCs w:val="24"/>
        </w:rPr>
        <w:t>a second time that had been settled in a previous proceeding</w:t>
      </w:r>
      <w:r w:rsidRPr="00A90F47">
        <w:rPr>
          <w:spacing w:val="-3"/>
          <w:szCs w:val="24"/>
        </w:rPr>
        <w:t xml:space="preserve">.  In </w:t>
      </w:r>
      <w:proofErr w:type="spellStart"/>
      <w:r w:rsidRPr="00A90F47">
        <w:rPr>
          <w:spacing w:val="-3"/>
          <w:szCs w:val="24"/>
          <w:u w:val="single"/>
        </w:rPr>
        <w:t>Creehan</w:t>
      </w:r>
      <w:proofErr w:type="spellEnd"/>
      <w:r w:rsidRPr="00A90F47">
        <w:rPr>
          <w:spacing w:val="-3"/>
          <w:szCs w:val="24"/>
        </w:rPr>
        <w:t xml:space="preserve">, the complainant </w:t>
      </w:r>
      <w:r w:rsidR="00853A35">
        <w:rPr>
          <w:spacing w:val="-3"/>
          <w:szCs w:val="24"/>
        </w:rPr>
        <w:t>attempted</w:t>
      </w:r>
      <w:r w:rsidRPr="00A90F47">
        <w:rPr>
          <w:spacing w:val="-3"/>
          <w:szCs w:val="24"/>
        </w:rPr>
        <w:t xml:space="preserve"> to </w:t>
      </w:r>
      <w:proofErr w:type="spellStart"/>
      <w:r w:rsidRPr="00A90F47">
        <w:rPr>
          <w:spacing w:val="-3"/>
          <w:szCs w:val="24"/>
        </w:rPr>
        <w:t>relitigate</w:t>
      </w:r>
      <w:proofErr w:type="spellEnd"/>
      <w:r w:rsidRPr="00A90F47">
        <w:rPr>
          <w:spacing w:val="-3"/>
          <w:szCs w:val="24"/>
        </w:rPr>
        <w:t xml:space="preserve"> the same issues that he had raised in a prior case</w:t>
      </w:r>
      <w:r w:rsidR="00853A35">
        <w:rPr>
          <w:spacing w:val="-3"/>
          <w:szCs w:val="24"/>
        </w:rPr>
        <w:t>.  T</w:t>
      </w:r>
      <w:r w:rsidRPr="00A90F47">
        <w:rPr>
          <w:spacing w:val="-3"/>
          <w:szCs w:val="24"/>
        </w:rPr>
        <w:t xml:space="preserve">he complainant in </w:t>
      </w:r>
      <w:proofErr w:type="spellStart"/>
      <w:r w:rsidRPr="00A90F47">
        <w:rPr>
          <w:spacing w:val="-3"/>
          <w:szCs w:val="24"/>
          <w:u w:val="single"/>
        </w:rPr>
        <w:t>Creehan</w:t>
      </w:r>
      <w:proofErr w:type="spellEnd"/>
      <w:r w:rsidRPr="00A90F47">
        <w:rPr>
          <w:spacing w:val="-3"/>
          <w:szCs w:val="24"/>
        </w:rPr>
        <w:t xml:space="preserve"> became dissatisfied with his prior settlement of the issues, but did not object </w:t>
      </w:r>
      <w:r w:rsidR="00853A35">
        <w:rPr>
          <w:spacing w:val="-3"/>
          <w:szCs w:val="24"/>
        </w:rPr>
        <w:t xml:space="preserve">to </w:t>
      </w:r>
      <w:r w:rsidRPr="00A90F47">
        <w:rPr>
          <w:spacing w:val="-3"/>
          <w:szCs w:val="24"/>
        </w:rPr>
        <w:t xml:space="preserve">the </w:t>
      </w:r>
      <w:r w:rsidR="00853A35">
        <w:rPr>
          <w:spacing w:val="-3"/>
          <w:szCs w:val="24"/>
        </w:rPr>
        <w:t>c</w:t>
      </w:r>
      <w:r w:rsidRPr="00A90F47">
        <w:rPr>
          <w:spacing w:val="-3"/>
          <w:szCs w:val="24"/>
        </w:rPr>
        <w:t xml:space="preserve">ertificate of </w:t>
      </w:r>
      <w:r w:rsidR="00853A35">
        <w:rPr>
          <w:spacing w:val="-3"/>
          <w:szCs w:val="24"/>
        </w:rPr>
        <w:t>s</w:t>
      </w:r>
      <w:r w:rsidRPr="00A90F47">
        <w:rPr>
          <w:spacing w:val="-3"/>
          <w:szCs w:val="24"/>
        </w:rPr>
        <w:t>atisfaction</w:t>
      </w:r>
      <w:r w:rsidR="00853A35">
        <w:rPr>
          <w:spacing w:val="-3"/>
          <w:szCs w:val="24"/>
        </w:rPr>
        <w:t xml:space="preserve"> filed in the previous action </w:t>
      </w:r>
      <w:r w:rsidR="00853A35" w:rsidRPr="00A90F47">
        <w:rPr>
          <w:spacing w:val="-3"/>
          <w:szCs w:val="24"/>
        </w:rPr>
        <w:t>within ten</w:t>
      </w:r>
      <w:r w:rsidR="00853A35">
        <w:rPr>
          <w:spacing w:val="-3"/>
          <w:szCs w:val="24"/>
        </w:rPr>
        <w:t xml:space="preserve"> </w:t>
      </w:r>
      <w:r w:rsidR="00853A35" w:rsidRPr="00A90F47">
        <w:rPr>
          <w:spacing w:val="-3"/>
          <w:szCs w:val="24"/>
        </w:rPr>
        <w:t>day</w:t>
      </w:r>
      <w:r w:rsidR="00853A35">
        <w:rPr>
          <w:spacing w:val="-3"/>
          <w:szCs w:val="24"/>
        </w:rPr>
        <w:t>s.</w:t>
      </w:r>
    </w:p>
    <w:p w:rsidR="00853A35" w:rsidRDefault="00853A35" w:rsidP="0090577C">
      <w:pPr>
        <w:tabs>
          <w:tab w:val="left" w:pos="-1440"/>
          <w:tab w:val="left" w:pos="-720"/>
        </w:tabs>
        <w:suppressAutoHyphens/>
        <w:spacing w:line="360" w:lineRule="auto"/>
        <w:rPr>
          <w:spacing w:val="-3"/>
          <w:szCs w:val="24"/>
        </w:rPr>
      </w:pPr>
    </w:p>
    <w:p w:rsidR="00A02552" w:rsidRDefault="00A02552" w:rsidP="0090577C">
      <w:pPr>
        <w:tabs>
          <w:tab w:val="left" w:pos="-1440"/>
          <w:tab w:val="left" w:pos="-720"/>
        </w:tabs>
        <w:suppressAutoHyphens/>
        <w:spacing w:line="360" w:lineRule="auto"/>
        <w:rPr>
          <w:spacing w:val="-3"/>
          <w:szCs w:val="24"/>
        </w:rPr>
      </w:pPr>
      <w:r w:rsidRPr="00A90F47">
        <w:rPr>
          <w:spacing w:val="-3"/>
          <w:szCs w:val="24"/>
        </w:rPr>
        <w:t xml:space="preserve">  </w:t>
      </w:r>
      <w:r w:rsidR="00853A35">
        <w:rPr>
          <w:spacing w:val="-3"/>
          <w:szCs w:val="24"/>
        </w:rPr>
        <w:tab/>
      </w:r>
      <w:r w:rsidR="00853A35">
        <w:rPr>
          <w:spacing w:val="-3"/>
          <w:szCs w:val="24"/>
        </w:rPr>
        <w:tab/>
      </w:r>
      <w:r w:rsidRPr="00A90F47">
        <w:rPr>
          <w:spacing w:val="-3"/>
          <w:szCs w:val="24"/>
        </w:rPr>
        <w:t xml:space="preserve">In addition, the complainant </w:t>
      </w:r>
      <w:r w:rsidR="00853A35">
        <w:rPr>
          <w:spacing w:val="-3"/>
          <w:szCs w:val="24"/>
        </w:rPr>
        <w:t xml:space="preserve">in </w:t>
      </w:r>
      <w:proofErr w:type="spellStart"/>
      <w:r w:rsidR="00853A35" w:rsidRPr="00A90F47">
        <w:rPr>
          <w:spacing w:val="-3"/>
          <w:szCs w:val="24"/>
          <w:u w:val="single"/>
        </w:rPr>
        <w:t>Creehan</w:t>
      </w:r>
      <w:proofErr w:type="spellEnd"/>
      <w:r w:rsidR="00853A35" w:rsidRPr="00A90F47">
        <w:rPr>
          <w:spacing w:val="-3"/>
          <w:szCs w:val="24"/>
        </w:rPr>
        <w:t xml:space="preserve"> </w:t>
      </w:r>
      <w:r w:rsidRPr="00A90F47">
        <w:rPr>
          <w:spacing w:val="-3"/>
          <w:szCs w:val="24"/>
        </w:rPr>
        <w:t>accepted a credit</w:t>
      </w:r>
      <w:r w:rsidR="00853A35">
        <w:rPr>
          <w:spacing w:val="-3"/>
          <w:szCs w:val="24"/>
        </w:rPr>
        <w:t xml:space="preserve"> in the settlement of the prior case</w:t>
      </w:r>
      <w:r w:rsidRPr="00A90F47">
        <w:rPr>
          <w:spacing w:val="-3"/>
          <w:szCs w:val="24"/>
        </w:rPr>
        <w:t xml:space="preserve">.  The Commission ruled in </w:t>
      </w:r>
      <w:proofErr w:type="spellStart"/>
      <w:r w:rsidRPr="00A90F47">
        <w:rPr>
          <w:spacing w:val="-3"/>
          <w:szCs w:val="24"/>
          <w:u w:val="single"/>
        </w:rPr>
        <w:t>Creehan</w:t>
      </w:r>
      <w:proofErr w:type="spellEnd"/>
      <w:r w:rsidRPr="00A90F47">
        <w:rPr>
          <w:spacing w:val="-3"/>
          <w:szCs w:val="24"/>
        </w:rPr>
        <w:t xml:space="preserve"> that a complainant cannot accept the prior settlement credit, fail to object to the </w:t>
      </w:r>
      <w:r w:rsidR="00853A35">
        <w:rPr>
          <w:spacing w:val="-3"/>
          <w:szCs w:val="24"/>
        </w:rPr>
        <w:t>c</w:t>
      </w:r>
      <w:r w:rsidRPr="00A90F47">
        <w:rPr>
          <w:spacing w:val="-3"/>
          <w:szCs w:val="24"/>
        </w:rPr>
        <w:t xml:space="preserve">ertificate of </w:t>
      </w:r>
      <w:r w:rsidR="00853A35">
        <w:rPr>
          <w:spacing w:val="-3"/>
          <w:szCs w:val="24"/>
        </w:rPr>
        <w:t>s</w:t>
      </w:r>
      <w:r w:rsidRPr="00A90F47">
        <w:rPr>
          <w:spacing w:val="-3"/>
          <w:szCs w:val="24"/>
        </w:rPr>
        <w:t>atisfaction, and then file a second complaint to pursue the same claims.</w:t>
      </w:r>
    </w:p>
    <w:p w:rsidR="00853A35" w:rsidRDefault="00853A35" w:rsidP="0090577C">
      <w:pPr>
        <w:tabs>
          <w:tab w:val="left" w:pos="-1440"/>
          <w:tab w:val="left" w:pos="-720"/>
        </w:tabs>
        <w:suppressAutoHyphens/>
        <w:spacing w:line="360" w:lineRule="auto"/>
        <w:rPr>
          <w:spacing w:val="-3"/>
          <w:szCs w:val="24"/>
        </w:rPr>
      </w:pPr>
    </w:p>
    <w:p w:rsidR="00853A35" w:rsidRPr="00A90F47" w:rsidRDefault="00853A35" w:rsidP="0090577C">
      <w:pPr>
        <w:tabs>
          <w:tab w:val="left" w:pos="-1440"/>
          <w:tab w:val="left" w:pos="-720"/>
        </w:tabs>
        <w:suppressAutoHyphens/>
        <w:spacing w:line="360" w:lineRule="auto"/>
        <w:rPr>
          <w:spacing w:val="-3"/>
          <w:szCs w:val="24"/>
        </w:rPr>
      </w:pPr>
      <w:r>
        <w:rPr>
          <w:spacing w:val="-3"/>
          <w:szCs w:val="24"/>
        </w:rPr>
        <w:tab/>
      </w:r>
      <w:r>
        <w:rPr>
          <w:spacing w:val="-3"/>
          <w:szCs w:val="24"/>
        </w:rPr>
        <w:tab/>
        <w:t xml:space="preserve">Finally, in </w:t>
      </w:r>
      <w:r w:rsidR="00E07B6F" w:rsidRPr="00E07B6F">
        <w:rPr>
          <w:spacing w:val="-3"/>
          <w:szCs w:val="24"/>
          <w:u w:val="single"/>
        </w:rPr>
        <w:t>Wright v Philadelphia Gas Works</w:t>
      </w:r>
      <w:r w:rsidR="00E07B6F">
        <w:rPr>
          <w:spacing w:val="-3"/>
          <w:szCs w:val="24"/>
        </w:rPr>
        <w:t>, Docket No. C-2013-2368462 (</w:t>
      </w:r>
      <w:r w:rsidR="00747BAE">
        <w:rPr>
          <w:spacing w:val="-3"/>
          <w:szCs w:val="24"/>
        </w:rPr>
        <w:t xml:space="preserve">Opinion and </w:t>
      </w:r>
      <w:r w:rsidR="00E07B6F">
        <w:rPr>
          <w:spacing w:val="-3"/>
          <w:szCs w:val="24"/>
        </w:rPr>
        <w:t>Order entered October 23, 2014) (</w:t>
      </w:r>
      <w:r w:rsidR="00E07B6F" w:rsidRPr="00E07B6F">
        <w:rPr>
          <w:spacing w:val="-3"/>
          <w:szCs w:val="24"/>
          <w:u w:val="single"/>
        </w:rPr>
        <w:t>Wright</w:t>
      </w:r>
      <w:r w:rsidR="00E07B6F">
        <w:rPr>
          <w:spacing w:val="-3"/>
          <w:szCs w:val="24"/>
        </w:rPr>
        <w:t xml:space="preserve">), the Commission followed </w:t>
      </w:r>
      <w:r w:rsidR="00E07B6F" w:rsidRPr="00E07B6F">
        <w:rPr>
          <w:spacing w:val="-3"/>
          <w:szCs w:val="24"/>
          <w:u w:val="single"/>
        </w:rPr>
        <w:t>Reynolds</w:t>
      </w:r>
      <w:r w:rsidR="00E07B6F">
        <w:rPr>
          <w:spacing w:val="-3"/>
          <w:szCs w:val="24"/>
        </w:rPr>
        <w:t xml:space="preserve"> and </w:t>
      </w:r>
      <w:proofErr w:type="spellStart"/>
      <w:r w:rsidR="00E07B6F" w:rsidRPr="00E07B6F">
        <w:rPr>
          <w:spacing w:val="-3"/>
          <w:szCs w:val="24"/>
          <w:u w:val="single"/>
        </w:rPr>
        <w:t>Creehan</w:t>
      </w:r>
      <w:proofErr w:type="spellEnd"/>
      <w:r w:rsidR="00E07B6F" w:rsidRPr="00E07B6F">
        <w:rPr>
          <w:spacing w:val="-3"/>
          <w:szCs w:val="24"/>
        </w:rPr>
        <w:t xml:space="preserve"> and </w:t>
      </w:r>
      <w:r w:rsidR="00E07B6F">
        <w:rPr>
          <w:spacing w:val="-3"/>
          <w:szCs w:val="24"/>
        </w:rPr>
        <w:t xml:space="preserve">held that </w:t>
      </w:r>
      <w:r w:rsidR="000738E5">
        <w:rPr>
          <w:spacing w:val="-3"/>
          <w:szCs w:val="24"/>
        </w:rPr>
        <w:t xml:space="preserve">where </w:t>
      </w:r>
      <w:r w:rsidR="00E07B6F">
        <w:rPr>
          <w:spacing w:val="-3"/>
          <w:szCs w:val="24"/>
        </w:rPr>
        <w:t xml:space="preserve">the disputed amounts in the complainant’s complaint had been the subject of prior complaints filed by the complainant </w:t>
      </w:r>
      <w:r w:rsidR="000738E5">
        <w:rPr>
          <w:spacing w:val="-3"/>
          <w:szCs w:val="24"/>
        </w:rPr>
        <w:t xml:space="preserve">and the prior complaints had been </w:t>
      </w:r>
      <w:r w:rsidR="00E07B6F">
        <w:rPr>
          <w:spacing w:val="-3"/>
          <w:szCs w:val="24"/>
        </w:rPr>
        <w:t xml:space="preserve">resolved </w:t>
      </w:r>
      <w:r w:rsidR="000738E5">
        <w:rPr>
          <w:spacing w:val="-3"/>
          <w:szCs w:val="24"/>
        </w:rPr>
        <w:t xml:space="preserve">through a certificate of satisfaction, the complainant in </w:t>
      </w:r>
      <w:r w:rsidR="000738E5" w:rsidRPr="000738E5">
        <w:rPr>
          <w:spacing w:val="-3"/>
          <w:szCs w:val="24"/>
          <w:u w:val="single"/>
        </w:rPr>
        <w:t>Wright</w:t>
      </w:r>
      <w:r w:rsidR="000738E5">
        <w:rPr>
          <w:spacing w:val="-3"/>
          <w:szCs w:val="24"/>
        </w:rPr>
        <w:t xml:space="preserve"> was precluded </w:t>
      </w:r>
      <w:r w:rsidR="00D60AA1">
        <w:rPr>
          <w:spacing w:val="-3"/>
          <w:szCs w:val="24"/>
        </w:rPr>
        <w:t xml:space="preserve">by 66 </w:t>
      </w:r>
      <w:proofErr w:type="spellStart"/>
      <w:r w:rsidR="00D60AA1">
        <w:rPr>
          <w:spacing w:val="-3"/>
          <w:szCs w:val="24"/>
        </w:rPr>
        <w:t>Pa.C.S</w:t>
      </w:r>
      <w:proofErr w:type="spellEnd"/>
      <w:r w:rsidR="00D60AA1">
        <w:rPr>
          <w:spacing w:val="-3"/>
          <w:szCs w:val="24"/>
        </w:rPr>
        <w:t xml:space="preserve">. § 316 </w:t>
      </w:r>
      <w:r w:rsidR="000738E5">
        <w:rPr>
          <w:spacing w:val="-3"/>
          <w:szCs w:val="24"/>
        </w:rPr>
        <w:t xml:space="preserve">from pursuing the same high bill claims in his current complaint. </w:t>
      </w:r>
    </w:p>
    <w:p w:rsidR="00A02552" w:rsidRPr="00A90F47" w:rsidRDefault="00A02552" w:rsidP="0090577C">
      <w:pPr>
        <w:tabs>
          <w:tab w:val="left" w:pos="-1440"/>
          <w:tab w:val="left" w:pos="-720"/>
        </w:tabs>
        <w:suppressAutoHyphens/>
        <w:spacing w:line="360" w:lineRule="auto"/>
        <w:rPr>
          <w:spacing w:val="-3"/>
          <w:szCs w:val="24"/>
        </w:rPr>
      </w:pPr>
    </w:p>
    <w:p w:rsidR="00E4044E" w:rsidRDefault="00A02552" w:rsidP="0090577C">
      <w:pPr>
        <w:tabs>
          <w:tab w:val="left" w:pos="-1440"/>
          <w:tab w:val="left" w:pos="-720"/>
        </w:tabs>
        <w:suppressAutoHyphens/>
        <w:spacing w:line="360" w:lineRule="auto"/>
        <w:rPr>
          <w:spacing w:val="-3"/>
          <w:szCs w:val="24"/>
        </w:rPr>
      </w:pPr>
      <w:r w:rsidRPr="00A90F47">
        <w:rPr>
          <w:spacing w:val="-3"/>
          <w:szCs w:val="24"/>
        </w:rPr>
        <w:tab/>
      </w:r>
      <w:r w:rsidRPr="00A90F47">
        <w:rPr>
          <w:spacing w:val="-3"/>
          <w:szCs w:val="24"/>
        </w:rPr>
        <w:tab/>
      </w:r>
      <w:r w:rsidR="00873BC6" w:rsidRPr="00460BD4">
        <w:rPr>
          <w:color w:val="000000"/>
        </w:rPr>
        <w:t xml:space="preserve">The Commission’s </w:t>
      </w:r>
      <w:r w:rsidR="00873BC6" w:rsidRPr="00460BD4">
        <w:t xml:space="preserve">holdings in </w:t>
      </w:r>
      <w:r w:rsidR="00873BC6" w:rsidRPr="00873BC6">
        <w:rPr>
          <w:u w:val="single"/>
        </w:rPr>
        <w:t>Reynolds</w:t>
      </w:r>
      <w:r w:rsidR="00873BC6">
        <w:t xml:space="preserve">, </w:t>
      </w:r>
      <w:proofErr w:type="spellStart"/>
      <w:r w:rsidR="00873BC6" w:rsidRPr="00873BC6">
        <w:rPr>
          <w:u w:val="single"/>
        </w:rPr>
        <w:t>Creehan</w:t>
      </w:r>
      <w:proofErr w:type="spellEnd"/>
      <w:r w:rsidR="00873BC6">
        <w:t xml:space="preserve"> and </w:t>
      </w:r>
      <w:r w:rsidR="00873BC6" w:rsidRPr="00873BC6">
        <w:rPr>
          <w:u w:val="single"/>
        </w:rPr>
        <w:t>Wright</w:t>
      </w:r>
      <w:r w:rsidR="00873BC6">
        <w:t xml:space="preserve"> </w:t>
      </w:r>
      <w:r w:rsidR="00873BC6" w:rsidRPr="00460BD4">
        <w:t>are controlling on the outcome of this case</w:t>
      </w:r>
      <w:r w:rsidR="00873BC6">
        <w:t>.  C</w:t>
      </w:r>
      <w:r w:rsidRPr="00A90F47">
        <w:rPr>
          <w:spacing w:val="-3"/>
          <w:szCs w:val="24"/>
        </w:rPr>
        <w:t xml:space="preserve">onsistent with </w:t>
      </w:r>
      <w:r w:rsidR="00873BC6" w:rsidRPr="00873BC6">
        <w:rPr>
          <w:u w:val="single"/>
        </w:rPr>
        <w:t>Reynolds</w:t>
      </w:r>
      <w:r w:rsidR="00873BC6">
        <w:t xml:space="preserve">, </w:t>
      </w:r>
      <w:proofErr w:type="spellStart"/>
      <w:r w:rsidR="00873BC6" w:rsidRPr="00873BC6">
        <w:rPr>
          <w:u w:val="single"/>
        </w:rPr>
        <w:t>Creehan</w:t>
      </w:r>
      <w:proofErr w:type="spellEnd"/>
      <w:r w:rsidR="00873BC6">
        <w:t xml:space="preserve"> and </w:t>
      </w:r>
      <w:r w:rsidR="00873BC6" w:rsidRPr="00873BC6">
        <w:rPr>
          <w:u w:val="single"/>
        </w:rPr>
        <w:t>Wright</w:t>
      </w:r>
      <w:r w:rsidRPr="00A90F47">
        <w:rPr>
          <w:spacing w:val="-3"/>
          <w:szCs w:val="24"/>
        </w:rPr>
        <w:t>, th</w:t>
      </w:r>
      <w:r w:rsidR="00873BC6">
        <w:rPr>
          <w:spacing w:val="-3"/>
          <w:szCs w:val="24"/>
        </w:rPr>
        <w:t xml:space="preserve">e Complainant in this case </w:t>
      </w:r>
      <w:r w:rsidRPr="00A90F47">
        <w:rPr>
          <w:spacing w:val="-3"/>
          <w:szCs w:val="24"/>
        </w:rPr>
        <w:t xml:space="preserve">cannot again </w:t>
      </w:r>
      <w:r w:rsidR="00873BC6">
        <w:rPr>
          <w:spacing w:val="-3"/>
          <w:szCs w:val="24"/>
        </w:rPr>
        <w:t xml:space="preserve">raise </w:t>
      </w:r>
      <w:r w:rsidRPr="00A90F47">
        <w:rPr>
          <w:spacing w:val="-3"/>
          <w:szCs w:val="24"/>
        </w:rPr>
        <w:t xml:space="preserve">the high bill claims that were resolved in </w:t>
      </w:r>
      <w:r w:rsidR="00CA10AA">
        <w:rPr>
          <w:spacing w:val="-3"/>
          <w:szCs w:val="24"/>
        </w:rPr>
        <w:t>the proceeding at C-2012-</w:t>
      </w:r>
      <w:proofErr w:type="gramStart"/>
      <w:r w:rsidR="00CA10AA">
        <w:rPr>
          <w:spacing w:val="-3"/>
          <w:szCs w:val="24"/>
        </w:rPr>
        <w:t xml:space="preserve">2325161 </w:t>
      </w:r>
      <w:r w:rsidRPr="00A90F47">
        <w:rPr>
          <w:spacing w:val="-3"/>
          <w:szCs w:val="24"/>
        </w:rPr>
        <w:t xml:space="preserve"> through</w:t>
      </w:r>
      <w:proofErr w:type="gramEnd"/>
      <w:r w:rsidRPr="00A90F47">
        <w:rPr>
          <w:spacing w:val="-3"/>
          <w:szCs w:val="24"/>
        </w:rPr>
        <w:t xml:space="preserve"> a </w:t>
      </w:r>
      <w:r w:rsidR="00873BC6">
        <w:rPr>
          <w:spacing w:val="-3"/>
          <w:szCs w:val="24"/>
        </w:rPr>
        <w:t>c</w:t>
      </w:r>
      <w:r w:rsidRPr="00A90F47">
        <w:rPr>
          <w:spacing w:val="-3"/>
          <w:szCs w:val="24"/>
        </w:rPr>
        <w:t xml:space="preserve">ertificate of </w:t>
      </w:r>
      <w:r w:rsidR="00873BC6">
        <w:rPr>
          <w:spacing w:val="-3"/>
          <w:szCs w:val="24"/>
        </w:rPr>
        <w:t>s</w:t>
      </w:r>
      <w:r w:rsidRPr="00A90F47">
        <w:rPr>
          <w:spacing w:val="-3"/>
          <w:szCs w:val="24"/>
        </w:rPr>
        <w:t xml:space="preserve">atisfaction.  </w:t>
      </w:r>
      <w:r w:rsidR="00873BC6">
        <w:rPr>
          <w:spacing w:val="-3"/>
          <w:szCs w:val="24"/>
        </w:rPr>
        <w:t xml:space="preserve">The </w:t>
      </w:r>
      <w:r w:rsidRPr="00A90F47">
        <w:rPr>
          <w:spacing w:val="-3"/>
          <w:szCs w:val="24"/>
        </w:rPr>
        <w:t xml:space="preserve">Complainant did not object to the </w:t>
      </w:r>
      <w:r w:rsidR="00873BC6">
        <w:rPr>
          <w:spacing w:val="-3"/>
          <w:szCs w:val="24"/>
        </w:rPr>
        <w:t>c</w:t>
      </w:r>
      <w:r w:rsidRPr="00A90F47">
        <w:rPr>
          <w:spacing w:val="-3"/>
          <w:szCs w:val="24"/>
        </w:rPr>
        <w:t xml:space="preserve">ertificate of </w:t>
      </w:r>
      <w:r w:rsidR="00873BC6">
        <w:rPr>
          <w:spacing w:val="-3"/>
          <w:szCs w:val="24"/>
        </w:rPr>
        <w:t>s</w:t>
      </w:r>
      <w:r w:rsidRPr="00A90F47">
        <w:rPr>
          <w:spacing w:val="-3"/>
          <w:szCs w:val="24"/>
        </w:rPr>
        <w:t>atisfaction</w:t>
      </w:r>
      <w:r w:rsidR="00873BC6">
        <w:rPr>
          <w:spacing w:val="-3"/>
          <w:szCs w:val="24"/>
        </w:rPr>
        <w:t xml:space="preserve"> filed in the proceeding at </w:t>
      </w:r>
      <w:r w:rsidR="00873BC6">
        <w:t>C-2012-2325161,</w:t>
      </w:r>
      <w:r w:rsidRPr="00A90F47">
        <w:rPr>
          <w:spacing w:val="-3"/>
          <w:szCs w:val="24"/>
        </w:rPr>
        <w:t xml:space="preserve"> accepted a </w:t>
      </w:r>
      <w:r w:rsidR="00873BC6">
        <w:t>$67.75 waiver of late fees in the proceeding at C-2012-2325161</w:t>
      </w:r>
      <w:r w:rsidR="00B164D0">
        <w:t xml:space="preserve"> </w:t>
      </w:r>
      <w:r w:rsidR="00873BC6">
        <w:t xml:space="preserve">then </w:t>
      </w:r>
      <w:r w:rsidRPr="00A90F47">
        <w:rPr>
          <w:spacing w:val="-3"/>
          <w:szCs w:val="24"/>
        </w:rPr>
        <w:t xml:space="preserve">filed </w:t>
      </w:r>
      <w:r w:rsidR="00CA10AA">
        <w:rPr>
          <w:spacing w:val="-3"/>
          <w:szCs w:val="24"/>
        </w:rPr>
        <w:t xml:space="preserve">the current </w:t>
      </w:r>
      <w:r w:rsidRPr="00A90F47">
        <w:rPr>
          <w:spacing w:val="-3"/>
          <w:szCs w:val="24"/>
        </w:rPr>
        <w:t>complaint</w:t>
      </w:r>
      <w:r w:rsidR="00873BC6">
        <w:rPr>
          <w:spacing w:val="-3"/>
          <w:szCs w:val="24"/>
        </w:rPr>
        <w:t xml:space="preserve"> disputing the same amounts</w:t>
      </w:r>
      <w:r w:rsidRPr="00A90F47">
        <w:rPr>
          <w:spacing w:val="-3"/>
          <w:szCs w:val="24"/>
        </w:rPr>
        <w:t xml:space="preserve">.  </w:t>
      </w:r>
      <w:proofErr w:type="gramStart"/>
      <w:r w:rsidR="00873BC6">
        <w:rPr>
          <w:spacing w:val="-3"/>
          <w:szCs w:val="24"/>
        </w:rPr>
        <w:t xml:space="preserve">The provision at 66 </w:t>
      </w:r>
      <w:proofErr w:type="spellStart"/>
      <w:r w:rsidR="00873BC6">
        <w:rPr>
          <w:spacing w:val="-3"/>
          <w:szCs w:val="24"/>
        </w:rPr>
        <w:t>Pa.C.S</w:t>
      </w:r>
      <w:proofErr w:type="spellEnd"/>
      <w:r w:rsidR="00873BC6">
        <w:rPr>
          <w:spacing w:val="-3"/>
          <w:szCs w:val="24"/>
        </w:rPr>
        <w:t>.</w:t>
      </w:r>
      <w:proofErr w:type="gramEnd"/>
      <w:r w:rsidR="00873BC6">
        <w:rPr>
          <w:spacing w:val="-3"/>
          <w:szCs w:val="24"/>
        </w:rPr>
        <w:t xml:space="preserve"> § 316</w:t>
      </w:r>
      <w:r w:rsidRPr="00A90F47">
        <w:rPr>
          <w:spacing w:val="-3"/>
          <w:szCs w:val="24"/>
        </w:rPr>
        <w:t xml:space="preserve"> </w:t>
      </w:r>
      <w:proofErr w:type="gramStart"/>
      <w:r w:rsidRPr="00A90F47">
        <w:rPr>
          <w:spacing w:val="-3"/>
          <w:szCs w:val="24"/>
        </w:rPr>
        <w:t>preclude</w:t>
      </w:r>
      <w:r w:rsidR="00E4044E">
        <w:rPr>
          <w:spacing w:val="-3"/>
          <w:szCs w:val="24"/>
        </w:rPr>
        <w:t>s</w:t>
      </w:r>
      <w:proofErr w:type="gramEnd"/>
      <w:r w:rsidRPr="00A90F47">
        <w:rPr>
          <w:spacing w:val="-3"/>
          <w:szCs w:val="24"/>
        </w:rPr>
        <w:t xml:space="preserve"> </w:t>
      </w:r>
      <w:r w:rsidR="00E4044E">
        <w:rPr>
          <w:spacing w:val="-3"/>
          <w:szCs w:val="24"/>
        </w:rPr>
        <w:t xml:space="preserve">the Complainant </w:t>
      </w:r>
      <w:r w:rsidRPr="00A90F47">
        <w:rPr>
          <w:spacing w:val="-3"/>
          <w:szCs w:val="24"/>
        </w:rPr>
        <w:t xml:space="preserve">from pursuing the same claims that have been conclusively resolved before the Commission through a </w:t>
      </w:r>
      <w:r w:rsidR="00E4044E">
        <w:rPr>
          <w:spacing w:val="-3"/>
          <w:szCs w:val="24"/>
        </w:rPr>
        <w:t>c</w:t>
      </w:r>
      <w:r w:rsidRPr="00A90F47">
        <w:rPr>
          <w:spacing w:val="-3"/>
          <w:szCs w:val="24"/>
        </w:rPr>
        <w:t xml:space="preserve">ertificate of </w:t>
      </w:r>
      <w:r w:rsidR="00E4044E">
        <w:rPr>
          <w:spacing w:val="-3"/>
          <w:szCs w:val="24"/>
        </w:rPr>
        <w:t>s</w:t>
      </w:r>
      <w:r w:rsidRPr="00A90F47">
        <w:rPr>
          <w:spacing w:val="-3"/>
          <w:szCs w:val="24"/>
        </w:rPr>
        <w:t>atisfaction.</w:t>
      </w:r>
      <w:r w:rsidR="00E4044E">
        <w:rPr>
          <w:spacing w:val="-3"/>
          <w:szCs w:val="24"/>
        </w:rPr>
        <w:t xml:space="preserve">  </w:t>
      </w:r>
      <w:r w:rsidRPr="00A90F47">
        <w:rPr>
          <w:spacing w:val="-3"/>
          <w:szCs w:val="24"/>
        </w:rPr>
        <w:tab/>
      </w:r>
    </w:p>
    <w:p w:rsidR="00E4044E" w:rsidRDefault="00E4044E" w:rsidP="0090577C">
      <w:pPr>
        <w:tabs>
          <w:tab w:val="left" w:pos="-1440"/>
          <w:tab w:val="left" w:pos="-720"/>
        </w:tabs>
        <w:suppressAutoHyphens/>
        <w:spacing w:line="360" w:lineRule="auto"/>
        <w:rPr>
          <w:spacing w:val="-3"/>
          <w:szCs w:val="24"/>
        </w:rPr>
      </w:pPr>
    </w:p>
    <w:p w:rsidR="005B27D6" w:rsidRDefault="00E4044E" w:rsidP="0090577C">
      <w:pPr>
        <w:pStyle w:val="ParaTab1"/>
        <w:spacing w:line="360" w:lineRule="auto"/>
        <w:ind w:firstLine="1350"/>
        <w:rPr>
          <w:spacing w:val="-3"/>
        </w:rPr>
      </w:pPr>
      <w:r>
        <w:rPr>
          <w:spacing w:val="-3"/>
        </w:rPr>
        <w:t>The Complainant’s complaint also requests that the Commission order a payment arrangement.</w:t>
      </w:r>
      <w:r w:rsidR="00B164D0">
        <w:rPr>
          <w:spacing w:val="-3"/>
        </w:rPr>
        <w:t xml:space="preserve">  </w:t>
      </w:r>
      <w:r w:rsidR="00B164D0" w:rsidRPr="00162021">
        <w:rPr>
          <w:rFonts w:ascii="Times New Roman" w:hAnsi="Times New Roman" w:cs="Times New Roman"/>
        </w:rPr>
        <w:t xml:space="preserve">I will view the factual averments in the complaint in this case as true for purposes of disposing of the motion for </w:t>
      </w:r>
      <w:r w:rsidR="00B164D0">
        <w:rPr>
          <w:rFonts w:ascii="Times New Roman" w:hAnsi="Times New Roman" w:cs="Times New Roman"/>
        </w:rPr>
        <w:t xml:space="preserve">summary </w:t>
      </w:r>
      <w:r w:rsidR="00B164D0" w:rsidRPr="00162021">
        <w:rPr>
          <w:rFonts w:ascii="Times New Roman" w:hAnsi="Times New Roman" w:cs="Times New Roman"/>
        </w:rPr>
        <w:t xml:space="preserve">judgment.  The factual averments in the complaint </w:t>
      </w:r>
      <w:r w:rsidR="00B164D0">
        <w:rPr>
          <w:rFonts w:ascii="Times New Roman" w:hAnsi="Times New Roman" w:cs="Times New Roman"/>
        </w:rPr>
        <w:t xml:space="preserve">concerning the </w:t>
      </w:r>
      <w:r w:rsidR="00DB5EA6">
        <w:t>request for a payment arrangement</w:t>
      </w:r>
      <w:r w:rsidR="00B164D0">
        <w:rPr>
          <w:rFonts w:ascii="Times New Roman" w:hAnsi="Times New Roman" w:cs="Times New Roman"/>
        </w:rPr>
        <w:t xml:space="preserve"> </w:t>
      </w:r>
      <w:r w:rsidR="00B164D0" w:rsidRPr="00162021">
        <w:rPr>
          <w:rFonts w:ascii="Times New Roman" w:hAnsi="Times New Roman" w:cs="Times New Roman"/>
        </w:rPr>
        <w:t>are</w:t>
      </w:r>
      <w:r w:rsidR="00DB5EA6">
        <w:rPr>
          <w:rFonts w:ascii="Times New Roman" w:hAnsi="Times New Roman" w:cs="Times New Roman"/>
        </w:rPr>
        <w:t>: 1)</w:t>
      </w:r>
      <w:r w:rsidR="00DB5EA6">
        <w:t xml:space="preserve"> that </w:t>
      </w:r>
      <w:r w:rsidR="00DB5EA6">
        <w:rPr>
          <w:rFonts w:ascii="Times New Roman" w:hAnsi="Times New Roman" w:cs="Times New Roman"/>
        </w:rPr>
        <w:t>the Complainant’s income qualifies him for the CAP; and 2) that the Complainant wants his monthly payments in the Respondent’s CAP reduced to a more reasonable level so that he can reestablish himself in the CAP.</w:t>
      </w:r>
      <w:r>
        <w:rPr>
          <w:spacing w:val="-3"/>
        </w:rPr>
        <w:t xml:space="preserve">  </w:t>
      </w:r>
    </w:p>
    <w:p w:rsidR="00B164D0" w:rsidRDefault="00B164D0" w:rsidP="0090577C">
      <w:pPr>
        <w:tabs>
          <w:tab w:val="left" w:pos="-1440"/>
          <w:tab w:val="left" w:pos="-720"/>
        </w:tabs>
        <w:suppressAutoHyphens/>
        <w:spacing w:line="360" w:lineRule="auto"/>
        <w:rPr>
          <w:spacing w:val="-3"/>
          <w:szCs w:val="24"/>
        </w:rPr>
      </w:pPr>
    </w:p>
    <w:p w:rsidR="0054194B" w:rsidRDefault="00DB5EA6" w:rsidP="0090577C">
      <w:pPr>
        <w:pStyle w:val="ParaTab1"/>
        <w:spacing w:line="360" w:lineRule="auto"/>
        <w:ind w:firstLine="1350"/>
        <w:rPr>
          <w:rFonts w:ascii="Times New Roman" w:hAnsi="Times New Roman" w:cs="Times New Roman"/>
        </w:rPr>
      </w:pPr>
      <w:r w:rsidRPr="00162021">
        <w:rPr>
          <w:rFonts w:ascii="Times New Roman" w:hAnsi="Times New Roman" w:cs="Times New Roman"/>
        </w:rPr>
        <w:t>In addition to the facts alleged in the complaint, I must consider the facts alleged in the Respondent’s new matter since the Complainant has admitted those facts by failing to answer the Respondent’s new matter.  The facts alleged in the Respondent’s new matter are:</w:t>
      </w:r>
      <w:r>
        <w:rPr>
          <w:rFonts w:ascii="Times New Roman" w:hAnsi="Times New Roman" w:cs="Times New Roman"/>
        </w:rPr>
        <w:t xml:space="preserve">  1) that </w:t>
      </w:r>
      <w:r w:rsidR="0054194B">
        <w:rPr>
          <w:rFonts w:ascii="Times New Roman" w:hAnsi="Times New Roman" w:cs="Times New Roman"/>
        </w:rPr>
        <w:t>the Complainant agreed to enroll in the Respondent’s CAP</w:t>
      </w:r>
      <w:r>
        <w:rPr>
          <w:rFonts w:ascii="Times New Roman" w:hAnsi="Times New Roman" w:cs="Times New Roman"/>
        </w:rPr>
        <w:t xml:space="preserve">; 2) </w:t>
      </w:r>
      <w:r w:rsidR="0054194B">
        <w:rPr>
          <w:rFonts w:ascii="Times New Roman" w:hAnsi="Times New Roman" w:cs="Times New Roman"/>
        </w:rPr>
        <w:t>that on October 15, 2013, the Complainant enrolled in the Respondent’s CAP</w:t>
      </w:r>
      <w:r>
        <w:rPr>
          <w:rFonts w:ascii="Times New Roman" w:hAnsi="Times New Roman" w:cs="Times New Roman"/>
        </w:rPr>
        <w:t>; and 3) that o</w:t>
      </w:r>
      <w:r w:rsidR="0054194B">
        <w:rPr>
          <w:rFonts w:ascii="Times New Roman" w:hAnsi="Times New Roman" w:cs="Times New Roman"/>
        </w:rPr>
        <w:t xml:space="preserve">n November 7, 2014, the Respondent was suspended from the Respondent’s CAP for failure to recertify income eligibility.  </w:t>
      </w:r>
    </w:p>
    <w:p w:rsidR="00361F71" w:rsidRDefault="00361F71" w:rsidP="0090577C">
      <w:pPr>
        <w:pStyle w:val="ParaTab1"/>
        <w:spacing w:line="360" w:lineRule="auto"/>
        <w:ind w:firstLine="1350"/>
        <w:rPr>
          <w:rFonts w:ascii="Times New Roman" w:hAnsi="Times New Roman" w:cs="Times New Roman"/>
        </w:rPr>
      </w:pPr>
    </w:p>
    <w:p w:rsidR="00361F71" w:rsidRPr="00162021" w:rsidRDefault="00361F71" w:rsidP="0090577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62021">
        <w:rPr>
          <w:rFonts w:ascii="Times New Roman" w:hAnsi="Times New Roman" w:cs="Times New Roman"/>
        </w:rPr>
        <w:t xml:space="preserve">Taking the factual averments in the complaint and the admitted facts in the new matter together, there is no genuine issue as to a material fact.  The Complainant </w:t>
      </w:r>
      <w:r>
        <w:rPr>
          <w:rFonts w:ascii="Times New Roman" w:hAnsi="Times New Roman" w:cs="Times New Roman"/>
        </w:rPr>
        <w:t>was</w:t>
      </w:r>
      <w:r w:rsidRPr="00162021">
        <w:rPr>
          <w:rFonts w:ascii="Times New Roman" w:hAnsi="Times New Roman" w:cs="Times New Roman"/>
        </w:rPr>
        <w:t xml:space="preserve"> enrolled in the Respondent’s CAP.  The Complainant requests a payment arrangement.  The Complainant has an outstanding account balance that consists</w:t>
      </w:r>
      <w:r w:rsidR="00DE7727">
        <w:rPr>
          <w:rFonts w:ascii="Times New Roman" w:hAnsi="Times New Roman" w:cs="Times New Roman"/>
        </w:rPr>
        <w:t>,</w:t>
      </w:r>
      <w:r w:rsidRPr="00162021">
        <w:rPr>
          <w:rFonts w:ascii="Times New Roman" w:hAnsi="Times New Roman" w:cs="Times New Roman"/>
        </w:rPr>
        <w:t xml:space="preserve"> </w:t>
      </w:r>
      <w:r w:rsidR="00DE7727">
        <w:rPr>
          <w:rFonts w:ascii="Times New Roman" w:hAnsi="Times New Roman" w:cs="Times New Roman"/>
        </w:rPr>
        <w:t xml:space="preserve">in part, </w:t>
      </w:r>
      <w:r w:rsidRPr="00162021">
        <w:rPr>
          <w:rFonts w:ascii="Times New Roman" w:hAnsi="Times New Roman" w:cs="Times New Roman"/>
        </w:rPr>
        <w:t xml:space="preserve">of CAP arrearages.  </w:t>
      </w:r>
      <w:r w:rsidR="00DE7727">
        <w:rPr>
          <w:rFonts w:ascii="Times New Roman" w:hAnsi="Times New Roman" w:cs="Times New Roman"/>
        </w:rPr>
        <w:t xml:space="preserve">The Commission has no authority to order a payment arrangement for the portion of the Complainant’s account </w:t>
      </w:r>
      <w:r w:rsidR="00DE7727">
        <w:rPr>
          <w:rFonts w:ascii="Times New Roman" w:hAnsi="Times New Roman" w:cs="Times New Roman"/>
        </w:rPr>
        <w:lastRenderedPageBreak/>
        <w:t>balance that consists of CAP arrearages.</w:t>
      </w:r>
      <w:r w:rsidRPr="00162021">
        <w:rPr>
          <w:rFonts w:ascii="Times New Roman" w:hAnsi="Times New Roman" w:cs="Times New Roman"/>
        </w:rPr>
        <w:t xml:space="preserve">  The Responsible Utility Customer Protection Act, </w:t>
      </w:r>
      <w:proofErr w:type="gramStart"/>
      <w:r w:rsidRPr="00162021">
        <w:rPr>
          <w:rFonts w:ascii="Times New Roman" w:hAnsi="Times New Roman" w:cs="Times New Roman"/>
        </w:rPr>
        <w:t xml:space="preserve">66 </w:t>
      </w:r>
      <w:proofErr w:type="spellStart"/>
      <w:r w:rsidRPr="00162021">
        <w:rPr>
          <w:rFonts w:ascii="Times New Roman" w:hAnsi="Times New Roman" w:cs="Times New Roman"/>
        </w:rPr>
        <w:t>Pa.C.S</w:t>
      </w:r>
      <w:proofErr w:type="spellEnd"/>
      <w:proofErr w:type="gramEnd"/>
      <w:r w:rsidRPr="00162021">
        <w:rPr>
          <w:rFonts w:ascii="Times New Roman" w:hAnsi="Times New Roman" w:cs="Times New Roman"/>
        </w:rPr>
        <w:t>. §§ 1401-1418, mandates this result.</w:t>
      </w:r>
    </w:p>
    <w:p w:rsidR="00361F71" w:rsidRPr="00162021" w:rsidRDefault="00361F71" w:rsidP="0090577C">
      <w:pPr>
        <w:pStyle w:val="ParaTab1"/>
        <w:spacing w:line="360" w:lineRule="auto"/>
        <w:ind w:firstLine="0"/>
        <w:rPr>
          <w:rFonts w:ascii="Times New Roman" w:hAnsi="Times New Roman" w:cs="Times New Roman"/>
        </w:rPr>
      </w:pPr>
    </w:p>
    <w:p w:rsidR="00361F71" w:rsidRPr="00162021" w:rsidRDefault="00361F71" w:rsidP="0090577C">
      <w:pPr>
        <w:spacing w:line="360" w:lineRule="auto"/>
        <w:ind w:firstLine="1440"/>
      </w:pPr>
      <w:r w:rsidRPr="00162021">
        <w:t xml:space="preserve">The Responsible Utility Customer Protection Act, </w:t>
      </w:r>
      <w:proofErr w:type="gramStart"/>
      <w:r w:rsidRPr="00162021">
        <w:t xml:space="preserve">66 </w:t>
      </w:r>
      <w:proofErr w:type="spellStart"/>
      <w:r w:rsidRPr="00162021">
        <w:t>Pa.C.S</w:t>
      </w:r>
      <w:proofErr w:type="spellEnd"/>
      <w:proofErr w:type="gramEnd"/>
      <w:r w:rsidRPr="00162021">
        <w:t xml:space="preserve">. §§ 1401-1418, applies to this proceeding.  On December 22, 2014, Act 155 of 2014, reenacting the Responsible Utility Customer Protection Act, became effective.  Act 155 changed some provisions to the Responsible Utility Customer Protection Act.  I will </w:t>
      </w:r>
      <w:r w:rsidR="00D60AA1">
        <w:t>incorporate</w:t>
      </w:r>
      <w:r w:rsidRPr="00162021">
        <w:t xml:space="preserve"> those changes where </w:t>
      </w:r>
      <w:r>
        <w:t>applicable</w:t>
      </w:r>
      <w:r w:rsidRPr="00162021">
        <w:t xml:space="preserve">. </w:t>
      </w:r>
    </w:p>
    <w:p w:rsidR="00361F71" w:rsidRPr="00162021" w:rsidRDefault="00361F71" w:rsidP="0090577C">
      <w:pPr>
        <w:spacing w:line="360" w:lineRule="auto"/>
        <w:ind w:firstLine="1440"/>
      </w:pPr>
    </w:p>
    <w:p w:rsidR="00361F71" w:rsidRPr="00162021" w:rsidRDefault="00361F71" w:rsidP="0090577C">
      <w:pPr>
        <w:spacing w:line="360" w:lineRule="auto"/>
        <w:ind w:firstLine="1440"/>
      </w:pPr>
      <w:r w:rsidRPr="00162021">
        <w:t xml:space="preserve">The Commission has the authority to establish payment arrangements, pursuant to 66 </w:t>
      </w:r>
      <w:proofErr w:type="spellStart"/>
      <w:r w:rsidRPr="00162021">
        <w:t>Pa.C.S</w:t>
      </w:r>
      <w:proofErr w:type="spellEnd"/>
      <w:r w:rsidRPr="00162021">
        <w:t xml:space="preserve">. § 1405(a), within the strict guidelines set forth in 66 </w:t>
      </w:r>
      <w:proofErr w:type="spellStart"/>
      <w:r w:rsidRPr="00162021">
        <w:t>Pa.C.S</w:t>
      </w:r>
      <w:proofErr w:type="spellEnd"/>
      <w:r w:rsidRPr="00162021">
        <w:t xml:space="preserve">. § 1405(b).  </w:t>
      </w:r>
      <w:proofErr w:type="gramStart"/>
      <w:r w:rsidRPr="00162021">
        <w:t xml:space="preserve">The statute at 66 </w:t>
      </w:r>
      <w:proofErr w:type="spellStart"/>
      <w:r w:rsidRPr="00162021">
        <w:t>Pa.C.S</w:t>
      </w:r>
      <w:proofErr w:type="spellEnd"/>
      <w:r w:rsidRPr="00162021">
        <w:t>.</w:t>
      </w:r>
      <w:proofErr w:type="gramEnd"/>
      <w:r w:rsidRPr="00162021">
        <w:t xml:space="preserve"> § 1405(a) states:</w:t>
      </w:r>
    </w:p>
    <w:p w:rsidR="00361F71" w:rsidRPr="00162021" w:rsidRDefault="00361F71" w:rsidP="0090577C">
      <w:pPr>
        <w:spacing w:line="360" w:lineRule="auto"/>
        <w:ind w:firstLine="1440"/>
      </w:pPr>
    </w:p>
    <w:p w:rsidR="00361F71" w:rsidRPr="00162021" w:rsidRDefault="00361F71" w:rsidP="00361F71">
      <w:pPr>
        <w:ind w:left="1440" w:right="1440"/>
      </w:pPr>
      <w:r w:rsidRPr="00162021">
        <w:t>(a)</w:t>
      </w:r>
      <w:r w:rsidRPr="00162021">
        <w:tab/>
        <w:t>General Rule.-The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361F71" w:rsidRPr="00162021" w:rsidRDefault="00361F71" w:rsidP="00361F71">
      <w:pPr>
        <w:spacing w:line="360" w:lineRule="auto"/>
      </w:pPr>
    </w:p>
    <w:p w:rsidR="00361F71" w:rsidRPr="00162021" w:rsidRDefault="00361F71" w:rsidP="00361F71">
      <w:pPr>
        <w:spacing w:line="360" w:lineRule="auto"/>
      </w:pPr>
      <w:r w:rsidRPr="00162021">
        <w:tab/>
      </w:r>
      <w:r w:rsidRPr="00162021">
        <w:tab/>
        <w:t xml:space="preserve">The Commission may establish a payment arrangement between a public utility and a customer or applicant only within the limits established by 66 </w:t>
      </w:r>
      <w:proofErr w:type="spellStart"/>
      <w:r w:rsidRPr="00162021">
        <w:t>Pa.C.S</w:t>
      </w:r>
      <w:proofErr w:type="spellEnd"/>
      <w:r w:rsidRPr="00162021">
        <w:t xml:space="preserve">. §§ 1401-1418.  In order to be eligible for a payment arrangement, the Complainant must be a “customer” as defined by 66 </w:t>
      </w:r>
      <w:proofErr w:type="spellStart"/>
      <w:r w:rsidRPr="00162021">
        <w:t>Pa.C.S</w:t>
      </w:r>
      <w:proofErr w:type="spellEnd"/>
      <w:r w:rsidRPr="00162021">
        <w:t>. § 1403.  If the Complainant is not a “customer”, the Commission is not authorized to establish a payment arrangement between h</w:t>
      </w:r>
      <w:r>
        <w:t>im</w:t>
      </w:r>
      <w:r w:rsidRPr="00162021">
        <w:t xml:space="preserve"> and the Responden</w:t>
      </w:r>
      <w:r>
        <w:t xml:space="preserve">t.  </w:t>
      </w:r>
      <w:proofErr w:type="gramStart"/>
      <w:r>
        <w:t xml:space="preserve">The statute at 66 </w:t>
      </w:r>
      <w:proofErr w:type="spellStart"/>
      <w:r>
        <w:t>Pa.C.S</w:t>
      </w:r>
      <w:proofErr w:type="spellEnd"/>
      <w:r>
        <w:t>.</w:t>
      </w:r>
      <w:proofErr w:type="gramEnd"/>
      <w:r>
        <w:t xml:space="preserve"> § </w:t>
      </w:r>
      <w:r w:rsidRPr="00162021">
        <w:t>1403 defines customer as follows:</w:t>
      </w:r>
    </w:p>
    <w:p w:rsidR="00361F71" w:rsidRPr="00162021" w:rsidRDefault="00361F71" w:rsidP="00361F71">
      <w:pPr>
        <w:spacing w:line="360" w:lineRule="auto"/>
      </w:pPr>
    </w:p>
    <w:p w:rsidR="00361F71" w:rsidRPr="00162021" w:rsidRDefault="00361F71" w:rsidP="00361F71">
      <w:pPr>
        <w:ind w:left="1440" w:right="1440"/>
      </w:pPr>
      <w:proofErr w:type="gramStart"/>
      <w:r w:rsidRPr="00162021">
        <w:t>“Customer.”</w:t>
      </w:r>
      <w:proofErr w:type="gramEnd"/>
      <w:r w:rsidRPr="00162021">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361F71" w:rsidRPr="00162021" w:rsidRDefault="00361F71" w:rsidP="00361F71">
      <w:pPr>
        <w:pStyle w:val="ParaTab1"/>
        <w:spacing w:line="360" w:lineRule="auto"/>
        <w:ind w:firstLine="0"/>
        <w:rPr>
          <w:rFonts w:ascii="Times New Roman" w:hAnsi="Times New Roman" w:cs="Times New Roman"/>
        </w:rPr>
      </w:pPr>
    </w:p>
    <w:p w:rsidR="00361F71" w:rsidRPr="00162021" w:rsidRDefault="00361F71" w:rsidP="00361F71">
      <w:pPr>
        <w:pStyle w:val="ParaTab1"/>
        <w:spacing w:line="360" w:lineRule="auto"/>
        <w:rPr>
          <w:rFonts w:ascii="Times New Roman" w:hAnsi="Times New Roman" w:cs="Times New Roman"/>
        </w:rPr>
      </w:pPr>
      <w:r w:rsidRPr="00162021">
        <w:rPr>
          <w:rFonts w:ascii="Times New Roman" w:hAnsi="Times New Roman" w:cs="Times New Roman"/>
        </w:rPr>
        <w:lastRenderedPageBreak/>
        <w:t xml:space="preserve">In this case, the Complainant is a natural person in whose name a residential service account is listed.  </w:t>
      </w:r>
      <w:proofErr w:type="gramStart"/>
      <w:r w:rsidRPr="00162021">
        <w:rPr>
          <w:rFonts w:ascii="Times New Roman" w:hAnsi="Times New Roman" w:cs="Times New Roman"/>
        </w:rPr>
        <w:t>While the Complainant is a customer</w:t>
      </w:r>
      <w:r w:rsidR="00DE7727">
        <w:rPr>
          <w:rFonts w:ascii="Times New Roman" w:hAnsi="Times New Roman" w:cs="Times New Roman"/>
        </w:rPr>
        <w:t>,</w:t>
      </w:r>
      <w:r w:rsidRPr="00162021">
        <w:rPr>
          <w:rFonts w:ascii="Times New Roman" w:hAnsi="Times New Roman" w:cs="Times New Roman"/>
        </w:rPr>
        <w:t xml:space="preserve"> pursuant to 66 </w:t>
      </w:r>
      <w:proofErr w:type="spellStart"/>
      <w:r w:rsidRPr="00162021">
        <w:rPr>
          <w:rFonts w:ascii="Times New Roman" w:hAnsi="Times New Roman" w:cs="Times New Roman"/>
        </w:rPr>
        <w:t>Pa.C.S</w:t>
      </w:r>
      <w:proofErr w:type="spellEnd"/>
      <w:r w:rsidRPr="00162021">
        <w:rPr>
          <w:rFonts w:ascii="Times New Roman" w:hAnsi="Times New Roman" w:cs="Times New Roman"/>
        </w:rPr>
        <w:t>.</w:t>
      </w:r>
      <w:proofErr w:type="gramEnd"/>
      <w:r w:rsidRPr="00162021">
        <w:rPr>
          <w:rFonts w:ascii="Times New Roman" w:hAnsi="Times New Roman" w:cs="Times New Roman"/>
        </w:rPr>
        <w:t xml:space="preserve"> § 1403, the Complainant is not entitled to a payment arrangement </w:t>
      </w:r>
      <w:r w:rsidR="00DE7727">
        <w:rPr>
          <w:rFonts w:ascii="Times New Roman" w:hAnsi="Times New Roman" w:cs="Times New Roman"/>
        </w:rPr>
        <w:t>on his CAP arrearages.</w:t>
      </w:r>
      <w:r w:rsidRPr="00162021">
        <w:rPr>
          <w:rFonts w:ascii="Times New Roman" w:hAnsi="Times New Roman" w:cs="Times New Roman"/>
        </w:rPr>
        <w:t xml:space="preserve">  The Commission has no authority to establish a payment arrangement where a customer is enrolled in a utility’s CAP, pursuant to the Responsible Utility Customer Protection Act, 66 </w:t>
      </w:r>
      <w:proofErr w:type="spellStart"/>
      <w:r w:rsidRPr="00162021">
        <w:rPr>
          <w:rFonts w:ascii="Times New Roman" w:hAnsi="Times New Roman" w:cs="Times New Roman"/>
        </w:rPr>
        <w:t>Pa.C.S</w:t>
      </w:r>
      <w:proofErr w:type="spellEnd"/>
      <w:r w:rsidRPr="00162021">
        <w:rPr>
          <w:rFonts w:ascii="Times New Roman" w:hAnsi="Times New Roman" w:cs="Times New Roman"/>
        </w:rPr>
        <w:t xml:space="preserve">. §§ 1401-1418.  </w:t>
      </w:r>
      <w:proofErr w:type="gramStart"/>
      <w:r w:rsidRPr="00162021">
        <w:rPr>
          <w:rFonts w:ascii="Times New Roman" w:hAnsi="Times New Roman" w:cs="Times New Roman"/>
        </w:rPr>
        <w:t xml:space="preserve">The statute at 66 </w:t>
      </w:r>
      <w:proofErr w:type="spellStart"/>
      <w:r w:rsidRPr="00162021">
        <w:rPr>
          <w:rFonts w:ascii="Times New Roman" w:hAnsi="Times New Roman" w:cs="Times New Roman"/>
        </w:rPr>
        <w:t>Pa.C.S</w:t>
      </w:r>
      <w:proofErr w:type="spellEnd"/>
      <w:r w:rsidRPr="00162021">
        <w:rPr>
          <w:rFonts w:ascii="Times New Roman" w:hAnsi="Times New Roman" w:cs="Times New Roman"/>
        </w:rPr>
        <w:t>.</w:t>
      </w:r>
      <w:proofErr w:type="gramEnd"/>
      <w:r w:rsidRPr="00162021">
        <w:rPr>
          <w:rFonts w:ascii="Times New Roman" w:hAnsi="Times New Roman" w:cs="Times New Roman"/>
        </w:rPr>
        <w:t xml:space="preserve"> § 1405(c) states as follows:</w:t>
      </w:r>
    </w:p>
    <w:p w:rsidR="00361F71" w:rsidRPr="00162021" w:rsidRDefault="00361F71" w:rsidP="00361F71">
      <w:pPr>
        <w:spacing w:line="360" w:lineRule="auto"/>
      </w:pPr>
    </w:p>
    <w:p w:rsidR="00361F71" w:rsidRPr="00162021" w:rsidRDefault="00361F71" w:rsidP="00361F71">
      <w:pPr>
        <w:ind w:left="1440" w:right="1440"/>
      </w:pPr>
      <w:r w:rsidRPr="00162021">
        <w:rPr>
          <w:b/>
        </w:rPr>
        <w:t>(c)</w:t>
      </w:r>
      <w:r w:rsidRPr="00162021">
        <w:rPr>
          <w:b/>
        </w:rPr>
        <w:tab/>
        <w:t>Customer Assistance Programs.</w:t>
      </w:r>
      <w:r w:rsidRPr="00162021">
        <w:t xml:space="preserve"> – Customer assistance program rates shall be timely paid and shall not be the subject of payment arrangements negotiated or approved by the commission.</w:t>
      </w:r>
    </w:p>
    <w:p w:rsidR="00361F71" w:rsidRPr="00162021" w:rsidRDefault="00361F71" w:rsidP="00361F71">
      <w:pPr>
        <w:spacing w:line="360" w:lineRule="auto"/>
      </w:pPr>
    </w:p>
    <w:p w:rsidR="00361F71" w:rsidRPr="00162021" w:rsidRDefault="00361F71" w:rsidP="00361F71">
      <w:pPr>
        <w:spacing w:line="360" w:lineRule="auto"/>
        <w:ind w:firstLine="1440"/>
      </w:pPr>
      <w:proofErr w:type="gramStart"/>
      <w:r w:rsidRPr="00162021">
        <w:t xml:space="preserve">The statute at 66 </w:t>
      </w:r>
      <w:proofErr w:type="spellStart"/>
      <w:r w:rsidRPr="00162021">
        <w:t>Pa.C.S</w:t>
      </w:r>
      <w:proofErr w:type="spellEnd"/>
      <w:r w:rsidRPr="00162021">
        <w:t>.</w:t>
      </w:r>
      <w:proofErr w:type="gramEnd"/>
      <w:r w:rsidRPr="00162021">
        <w:t xml:space="preserve"> §</w:t>
      </w:r>
      <w:r>
        <w:t xml:space="preserve"> </w:t>
      </w:r>
      <w:r w:rsidRPr="00162021">
        <w:t>1403, defines a CAP as follows:</w:t>
      </w:r>
    </w:p>
    <w:p w:rsidR="00361F71" w:rsidRPr="00162021" w:rsidRDefault="00361F71" w:rsidP="00361F71">
      <w:pPr>
        <w:spacing w:line="360" w:lineRule="auto"/>
      </w:pPr>
    </w:p>
    <w:p w:rsidR="00361F71" w:rsidRPr="00162021" w:rsidRDefault="00361F71" w:rsidP="00361F71">
      <w:pPr>
        <w:ind w:left="1440" w:right="1440"/>
      </w:pPr>
      <w:r w:rsidRPr="00162021">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361F71" w:rsidRPr="00162021" w:rsidRDefault="00361F71" w:rsidP="00361F71">
      <w:pPr>
        <w:spacing w:line="360" w:lineRule="auto"/>
      </w:pPr>
    </w:p>
    <w:p w:rsidR="00361F71" w:rsidRPr="00162021" w:rsidRDefault="00361F71" w:rsidP="0090577C">
      <w:pPr>
        <w:spacing w:line="360" w:lineRule="auto"/>
        <w:ind w:firstLine="1440"/>
      </w:pPr>
      <w:r w:rsidRPr="00162021">
        <w:t xml:space="preserve">As set forth in the Respondent’s new matter and deemed admitted, pursuant to 52 </w:t>
      </w:r>
      <w:proofErr w:type="spellStart"/>
      <w:r w:rsidRPr="00162021">
        <w:t>Pa.Code</w:t>
      </w:r>
      <w:proofErr w:type="spellEnd"/>
      <w:r w:rsidRPr="00162021">
        <w:t xml:space="preserve"> § 5.63(b), the Complainant </w:t>
      </w:r>
      <w:r>
        <w:t>was</w:t>
      </w:r>
      <w:r w:rsidRPr="00162021">
        <w:t xml:space="preserve"> enrolled in the Respondent’s CAP, based on h</w:t>
      </w:r>
      <w:r>
        <w:t>is</w:t>
      </w:r>
      <w:r w:rsidRPr="00162021">
        <w:t xml:space="preserve"> income and household size.  The Complainant’s unpaid balance on h</w:t>
      </w:r>
      <w:r>
        <w:t>is</w:t>
      </w:r>
      <w:r w:rsidRPr="00162021">
        <w:t xml:space="preserve"> account consists</w:t>
      </w:r>
      <w:r w:rsidR="00DE7727">
        <w:t>, in part,</w:t>
      </w:r>
      <w:r w:rsidRPr="00162021">
        <w:t xml:space="preserve"> of CAP arrearages.</w:t>
      </w:r>
    </w:p>
    <w:p w:rsidR="00361F71" w:rsidRPr="00162021" w:rsidRDefault="00361F71" w:rsidP="0090577C">
      <w:pPr>
        <w:spacing w:line="360" w:lineRule="auto"/>
        <w:ind w:firstLine="1440"/>
      </w:pPr>
    </w:p>
    <w:p w:rsidR="00361F71" w:rsidRDefault="00361F71" w:rsidP="0090577C">
      <w:pPr>
        <w:spacing w:line="360" w:lineRule="auto"/>
        <w:ind w:firstLine="1440"/>
      </w:pPr>
      <w:r w:rsidRPr="00162021">
        <w:t xml:space="preserve">Since the Complainant </w:t>
      </w:r>
      <w:r w:rsidR="00473EC8">
        <w:t>was</w:t>
      </w:r>
      <w:r w:rsidRPr="00162021">
        <w:t xml:space="preserve"> enrolled in the Respondent’s CAP and h</w:t>
      </w:r>
      <w:r>
        <w:t>is</w:t>
      </w:r>
      <w:r w:rsidRPr="00162021">
        <w:t xml:space="preserve"> unpaid account balance consists</w:t>
      </w:r>
      <w:r w:rsidR="00DE7727">
        <w:t>, in part,</w:t>
      </w:r>
      <w:r w:rsidRPr="00162021">
        <w:t xml:space="preserve"> of CAP arrearages, he is not eligible for a payment arrangement</w:t>
      </w:r>
      <w:r w:rsidR="00DE7727">
        <w:t xml:space="preserve"> on the portion of his account balance consisting of CAP arrearages</w:t>
      </w:r>
      <w:r w:rsidRPr="00162021">
        <w:t xml:space="preserve">, pursuant to 66 </w:t>
      </w:r>
      <w:proofErr w:type="spellStart"/>
      <w:r w:rsidRPr="00162021">
        <w:t>Pa.C.S</w:t>
      </w:r>
      <w:proofErr w:type="spellEnd"/>
      <w:r w:rsidRPr="00162021">
        <w:t xml:space="preserve">. § 1405(c).  </w:t>
      </w:r>
    </w:p>
    <w:p w:rsidR="00361F71" w:rsidRDefault="00361F71" w:rsidP="0090577C">
      <w:pPr>
        <w:spacing w:line="360" w:lineRule="auto"/>
        <w:ind w:firstLine="1440"/>
      </w:pPr>
    </w:p>
    <w:p w:rsidR="00473EC8" w:rsidRPr="008A7C2B" w:rsidRDefault="00361F71" w:rsidP="0090577C">
      <w:pPr>
        <w:spacing w:line="360" w:lineRule="auto"/>
        <w:ind w:firstLine="1440"/>
      </w:pPr>
      <w:r>
        <w:t xml:space="preserve">Since the Complainant </w:t>
      </w:r>
      <w:r w:rsidR="00473EC8">
        <w:t>was suspended from the Respondent’s CAP on November 7, 2014, a portion of the Respondent’s account balance consist</w:t>
      </w:r>
      <w:r w:rsidR="00DE7727">
        <w:t>s</w:t>
      </w:r>
      <w:r w:rsidR="00473EC8">
        <w:t xml:space="preserve"> of non-CAP arrearages.</w:t>
      </w:r>
      <w:r w:rsidR="00473EC8" w:rsidRPr="00473EC8">
        <w:t xml:space="preserve"> </w:t>
      </w:r>
      <w:r w:rsidR="00D60AA1">
        <w:t xml:space="preserve"> </w:t>
      </w:r>
      <w:r w:rsidR="00473EC8" w:rsidRPr="008A7C2B">
        <w:t xml:space="preserve">The </w:t>
      </w:r>
      <w:r w:rsidR="00473EC8" w:rsidRPr="008A7C2B">
        <w:lastRenderedPageBreak/>
        <w:t xml:space="preserve">Commission has previously addressed its authority to order a payment arrangement where the customer has a mixed arrearage consisting of both CAP and non-CAP arrearages. </w:t>
      </w:r>
    </w:p>
    <w:p w:rsidR="00473EC8" w:rsidRPr="008A7C2B" w:rsidRDefault="00473EC8" w:rsidP="0090577C">
      <w:pPr>
        <w:spacing w:line="360" w:lineRule="auto"/>
        <w:ind w:firstLine="1440"/>
      </w:pPr>
    </w:p>
    <w:p w:rsidR="00473EC8" w:rsidRPr="008A7C2B" w:rsidRDefault="00473EC8" w:rsidP="0090577C">
      <w:pPr>
        <w:spacing w:line="360" w:lineRule="auto"/>
        <w:ind w:firstLine="1440"/>
      </w:pPr>
      <w:r w:rsidRPr="008A7C2B">
        <w:t xml:space="preserve">In </w:t>
      </w:r>
      <w:r w:rsidRPr="008A7C2B">
        <w:rPr>
          <w:u w:val="single"/>
        </w:rPr>
        <w:t>Hewitt v. PECO Energy Co.</w:t>
      </w:r>
      <w:r w:rsidRPr="008A7C2B">
        <w:t>, Docket No. F-2011-2273271 (</w:t>
      </w:r>
      <w:r w:rsidR="00747BAE">
        <w:t xml:space="preserve">Opinion and </w:t>
      </w:r>
      <w:r w:rsidRPr="008A7C2B">
        <w:t>Order entered September 12, 2013) (</w:t>
      </w:r>
      <w:r w:rsidRPr="008A7C2B">
        <w:rPr>
          <w:u w:val="single"/>
        </w:rPr>
        <w:t>Hewitt</w:t>
      </w:r>
      <w:r w:rsidRPr="008A7C2B">
        <w:t xml:space="preserve">), the Commission held that it retained authority to issue a payment arrangement for the non-CAP portion of a mixed arrearage.  The Commission emphasized that the issuance of a payment arrangement was a matter within the Commission’s discretion.  In </w:t>
      </w:r>
      <w:r w:rsidRPr="008A7C2B">
        <w:rPr>
          <w:u w:val="single"/>
        </w:rPr>
        <w:t>Hewitt</w:t>
      </w:r>
      <w:r w:rsidRPr="008A7C2B">
        <w:t xml:space="preserve">, the Commission determined that the complainant, a former CAP customer, was not entitled to a payment arrangement for her non-CAP arrearages because of her poor payment history and her inability to keep prior payment agreements. </w:t>
      </w:r>
    </w:p>
    <w:p w:rsidR="00473EC8" w:rsidRPr="008A7C2B" w:rsidRDefault="00473EC8" w:rsidP="0090577C">
      <w:pPr>
        <w:spacing w:line="360" w:lineRule="auto"/>
        <w:ind w:firstLine="1440"/>
      </w:pPr>
    </w:p>
    <w:p w:rsidR="00473EC8" w:rsidRPr="008A7C2B" w:rsidRDefault="00473EC8" w:rsidP="0090577C">
      <w:pPr>
        <w:spacing w:line="360" w:lineRule="auto"/>
        <w:ind w:firstLine="1440"/>
      </w:pPr>
      <w:r w:rsidRPr="008A7C2B">
        <w:t xml:space="preserve">The Commission explained in </w:t>
      </w:r>
      <w:r w:rsidRPr="008A7C2B">
        <w:rPr>
          <w:u w:val="single"/>
        </w:rPr>
        <w:t>Hewitt</w:t>
      </w:r>
      <w:r w:rsidRPr="008A7C2B">
        <w:t xml:space="preserve"> that </w:t>
      </w:r>
      <w:proofErr w:type="gramStart"/>
      <w:r w:rsidRPr="008A7C2B">
        <w:t>bifurcating</w:t>
      </w:r>
      <w:proofErr w:type="gramEnd"/>
      <w:r w:rsidRPr="008A7C2B">
        <w:t xml:space="preserve"> an arrearage and establishing a payment arrangement would require a utility to place the CAP portion of the arrearage on hold.  As long as the customer complied with the payment arrangement for the non-CAP portion of the arrearage, the utility would be prohibited from terminating service for non-payment of the CAP arrearage.  The Commission concluded that this would not be in the public interest because it would allow a customer to utilize payment arrangements for non-CAP arrearages to avoid payment of CAP bills which are already discounted rates.  The Commission subsequently cited this reasoning as the basis for refusing to order a payment arrangement for the non-CAP portion of a mixed arrearage.  </w:t>
      </w:r>
      <w:proofErr w:type="spellStart"/>
      <w:r w:rsidRPr="008A7C2B">
        <w:rPr>
          <w:u w:val="single"/>
        </w:rPr>
        <w:t>Michail</w:t>
      </w:r>
      <w:proofErr w:type="spellEnd"/>
      <w:r w:rsidRPr="008A7C2B">
        <w:rPr>
          <w:u w:val="single"/>
        </w:rPr>
        <w:t xml:space="preserve"> v. PECO Energy Company</w:t>
      </w:r>
      <w:r w:rsidRPr="008A7C2B">
        <w:t>, Docket No. F-2014-2404586 (</w:t>
      </w:r>
      <w:r w:rsidR="00081298">
        <w:t xml:space="preserve">Opinion and </w:t>
      </w:r>
      <w:r w:rsidRPr="008A7C2B">
        <w:t>Order entered January 16, 2015) (</w:t>
      </w:r>
      <w:proofErr w:type="spellStart"/>
      <w:r w:rsidRPr="008A7C2B">
        <w:rPr>
          <w:u w:val="single"/>
        </w:rPr>
        <w:t>Michail</w:t>
      </w:r>
      <w:proofErr w:type="spellEnd"/>
      <w:r w:rsidRPr="008A7C2B">
        <w:t>).</w:t>
      </w:r>
    </w:p>
    <w:p w:rsidR="00473EC8" w:rsidRPr="008A7C2B" w:rsidRDefault="00473EC8" w:rsidP="0090577C">
      <w:pPr>
        <w:spacing w:line="360" w:lineRule="auto"/>
        <w:ind w:firstLine="1440"/>
      </w:pPr>
    </w:p>
    <w:p w:rsidR="006B34AB" w:rsidRPr="008A7C2B" w:rsidRDefault="00473EC8" w:rsidP="0090577C">
      <w:pPr>
        <w:pStyle w:val="ParaTab1"/>
        <w:spacing w:line="360" w:lineRule="auto"/>
        <w:ind w:firstLine="1350"/>
      </w:pPr>
      <w:r w:rsidRPr="008A7C2B">
        <w:t>In this case, the</w:t>
      </w:r>
      <w:r>
        <w:t xml:space="preserve"> Complainant was suspended from the Respondent’s CAP on November 7, 2014.  </w:t>
      </w:r>
      <w:r w:rsidR="006B34AB">
        <w:t xml:space="preserve">The certificate of satisfaction filed January 8, 2013 at C-2012-2325161 indicates that the Complainant agreed that the outstanding account balance at that time was </w:t>
      </w:r>
      <w:r w:rsidR="006B34AB">
        <w:rPr>
          <w:rFonts w:ascii="Times New Roman" w:hAnsi="Times New Roman" w:cs="Times New Roman"/>
        </w:rPr>
        <w:t xml:space="preserve">$16,156.44.  When the Complainant enrolled in the Respondent’s CAP on October 15, 2013, the balance of at least $16,156.44 would have become CAP arrearage.  Any amount accrued after the Complainant was suspended from the Respondent’s CAP would be non-CAP </w:t>
      </w:r>
      <w:proofErr w:type="spellStart"/>
      <w:r w:rsidR="006B34AB">
        <w:rPr>
          <w:rFonts w:ascii="Times New Roman" w:hAnsi="Times New Roman" w:cs="Times New Roman"/>
        </w:rPr>
        <w:t>arreage</w:t>
      </w:r>
      <w:proofErr w:type="spellEnd"/>
      <w:r w:rsidR="006B34AB">
        <w:rPr>
          <w:rFonts w:ascii="Times New Roman" w:hAnsi="Times New Roman" w:cs="Times New Roman"/>
        </w:rPr>
        <w:t>.</w:t>
      </w:r>
    </w:p>
    <w:p w:rsidR="00473EC8" w:rsidRPr="008A7C2B" w:rsidRDefault="00473EC8" w:rsidP="0090577C">
      <w:pPr>
        <w:spacing w:line="360" w:lineRule="auto"/>
      </w:pPr>
      <w:r w:rsidRPr="008A7C2B">
        <w:t xml:space="preserve"> Therefore, pursuant to </w:t>
      </w:r>
      <w:r w:rsidRPr="008A7C2B">
        <w:rPr>
          <w:u w:val="single"/>
        </w:rPr>
        <w:t>Hewitt</w:t>
      </w:r>
      <w:r w:rsidRPr="008A7C2B">
        <w:t xml:space="preserve">, the Commission may, at its discretion, issue a payment arrangement for the non-CAP portion of the Complainant’s arrearage.  </w:t>
      </w:r>
    </w:p>
    <w:p w:rsidR="00473EC8" w:rsidRPr="008A7C2B" w:rsidRDefault="00473EC8" w:rsidP="0090577C">
      <w:pPr>
        <w:spacing w:line="360" w:lineRule="auto"/>
        <w:ind w:firstLine="1440"/>
      </w:pPr>
    </w:p>
    <w:p w:rsidR="00473EC8" w:rsidRPr="008A7C2B" w:rsidRDefault="00473EC8" w:rsidP="0090577C">
      <w:pPr>
        <w:spacing w:line="360" w:lineRule="auto"/>
        <w:ind w:firstLine="1440"/>
      </w:pPr>
      <w:r w:rsidRPr="008A7C2B">
        <w:lastRenderedPageBreak/>
        <w:t>I conclude that the Commission should not exercise that discret</w:t>
      </w:r>
      <w:r w:rsidR="00874069">
        <w:t xml:space="preserve">ion in this case because the Complainant has admitted in his complaint </w:t>
      </w:r>
      <w:r w:rsidR="00D60AA1">
        <w:t xml:space="preserve">that </w:t>
      </w:r>
      <w:r w:rsidR="00874069">
        <w:t>his account balance as of the date he filed the complaint was $19,428.89.</w:t>
      </w:r>
      <w:r w:rsidR="00DE7727">
        <w:t xml:space="preserve">  It appears that since January 8, 2013, the Complainant has accumulated $3,000.00 in arrearages in addition to the balance of $16,156.44 he agreed to in the settlement letter.  </w:t>
      </w:r>
      <w:r w:rsidRPr="008A7C2B">
        <w:t xml:space="preserve"> </w:t>
      </w:r>
    </w:p>
    <w:p w:rsidR="00473EC8" w:rsidRPr="008A7C2B" w:rsidRDefault="00473EC8" w:rsidP="0090577C">
      <w:pPr>
        <w:spacing w:line="360" w:lineRule="auto"/>
        <w:ind w:firstLine="1440"/>
      </w:pPr>
    </w:p>
    <w:p w:rsidR="00473EC8" w:rsidRPr="008A7C2B" w:rsidRDefault="00DA1F23" w:rsidP="0090577C">
      <w:pPr>
        <w:spacing w:line="360" w:lineRule="auto"/>
        <w:ind w:firstLine="1440"/>
      </w:pPr>
      <w:r>
        <w:t xml:space="preserve">Because of the Complainant’s high unpaid account balance and the additional $3,000.00 in arrearages accumulated since January 8, 2013, </w:t>
      </w:r>
      <w:r w:rsidR="00473EC8" w:rsidRPr="008A7C2B">
        <w:t>I conclude that the Complainant has not made reasonable efforts to pay his bills in a timely fashion and is not entitled to a Commission-ordered payment arrangement</w:t>
      </w:r>
      <w:r>
        <w:t xml:space="preserve"> on his non-CAP arrearage</w:t>
      </w:r>
      <w:r w:rsidR="00473EC8" w:rsidRPr="008A7C2B">
        <w:t xml:space="preserve">.  In similar circumstances, the Commission denied a request for a payment arrangement on a mixed CAP-non-CAP arrearage.  </w:t>
      </w:r>
      <w:proofErr w:type="gramStart"/>
      <w:r w:rsidR="00473EC8" w:rsidRPr="008A7C2B">
        <w:rPr>
          <w:u w:val="single"/>
        </w:rPr>
        <w:t>Turner v Philadelphia Gas Works</w:t>
      </w:r>
      <w:r w:rsidR="00473EC8" w:rsidRPr="008A7C2B">
        <w:t>, Docket No.</w:t>
      </w:r>
      <w:proofErr w:type="gramEnd"/>
      <w:r w:rsidR="00473EC8" w:rsidRPr="008A7C2B">
        <w:t xml:space="preserve"> C-2013-2388319 (</w:t>
      </w:r>
      <w:r w:rsidR="00081298">
        <w:t xml:space="preserve">Opinion and </w:t>
      </w:r>
      <w:r w:rsidR="00473EC8" w:rsidRPr="008A7C2B">
        <w:t xml:space="preserve">Order entered June 19, 2014).  </w:t>
      </w:r>
    </w:p>
    <w:p w:rsidR="00473EC8" w:rsidRPr="008A7C2B" w:rsidRDefault="00473EC8" w:rsidP="0090577C">
      <w:pPr>
        <w:spacing w:line="360" w:lineRule="auto"/>
        <w:ind w:firstLine="1440"/>
      </w:pPr>
    </w:p>
    <w:p w:rsidR="00361F71" w:rsidRDefault="00361F71" w:rsidP="0090577C">
      <w:pPr>
        <w:spacing w:line="360" w:lineRule="auto"/>
        <w:ind w:firstLine="1440"/>
      </w:pPr>
      <w:r>
        <w:t xml:space="preserve">The material facts in this case </w:t>
      </w:r>
      <w:r w:rsidR="00874069">
        <w:t xml:space="preserve">regarding the Complainant’s request for a payment arrangement </w:t>
      </w:r>
      <w:r>
        <w:t>are undisputed and the Respondent is entitled to judgment as a matter of law.  The Respondent’s right to prevail is so clear that a hearing would be a fruitless exercise.</w:t>
      </w:r>
    </w:p>
    <w:p w:rsidR="00361F71" w:rsidRPr="00162021" w:rsidRDefault="00361F71" w:rsidP="0090577C">
      <w:pPr>
        <w:spacing w:line="360" w:lineRule="auto"/>
        <w:ind w:firstLine="1440"/>
      </w:pPr>
    </w:p>
    <w:p w:rsidR="00361F71" w:rsidRPr="00162021" w:rsidRDefault="00361F71" w:rsidP="0090577C">
      <w:pPr>
        <w:spacing w:line="360" w:lineRule="auto"/>
        <w:ind w:firstLine="1440"/>
        <w:rPr>
          <w:color w:val="000000"/>
          <w:u w:color="000000"/>
        </w:rPr>
      </w:pPr>
      <w:r w:rsidRPr="00162021">
        <w:t xml:space="preserve">In prior decisions, the Commission has indicated that it disfavors granting motions dismissing complaints filed by </w:t>
      </w:r>
      <w:r w:rsidRPr="00162021">
        <w:rPr>
          <w:u w:val="single"/>
        </w:rPr>
        <w:t>pro se</w:t>
      </w:r>
      <w:r w:rsidRPr="00162021">
        <w:t xml:space="preserve"> complainants.  </w:t>
      </w:r>
      <w:proofErr w:type="spellStart"/>
      <w:proofErr w:type="gramStart"/>
      <w:r w:rsidRPr="00162021">
        <w:rPr>
          <w:iCs/>
          <w:color w:val="000000"/>
          <w:u w:val="single" w:color="000000"/>
        </w:rPr>
        <w:t>Carlock</w:t>
      </w:r>
      <w:proofErr w:type="spellEnd"/>
      <w:r w:rsidRPr="00162021">
        <w:rPr>
          <w:iCs/>
          <w:color w:val="000000"/>
          <w:u w:val="single" w:color="000000"/>
        </w:rPr>
        <w:t xml:space="preserve"> v.</w:t>
      </w:r>
      <w:proofErr w:type="gramEnd"/>
      <w:r w:rsidRPr="00162021">
        <w:rPr>
          <w:iCs/>
          <w:color w:val="000000"/>
          <w:u w:val="single" w:color="000000"/>
        </w:rPr>
        <w:t xml:space="preserve"> The United Telephone Company of Pennsylvania</w:t>
      </w:r>
      <w:r w:rsidRPr="00162021">
        <w:rPr>
          <w:iCs/>
          <w:color w:val="000000"/>
          <w:u w:color="000000"/>
        </w:rPr>
        <w:t>,</w:t>
      </w:r>
      <w:r w:rsidRPr="00162021">
        <w:rPr>
          <w:color w:val="000000"/>
          <w:u w:color="000000"/>
        </w:rPr>
        <w:t xml:space="preserve"> Docket No. </w:t>
      </w:r>
      <w:proofErr w:type="gramStart"/>
      <w:r w:rsidRPr="00162021">
        <w:rPr>
          <w:color w:val="000000"/>
          <w:u w:color="000000"/>
        </w:rPr>
        <w:t>F-00163617 (</w:t>
      </w:r>
      <w:r w:rsidR="00081298">
        <w:rPr>
          <w:color w:val="000000"/>
          <w:u w:color="000000"/>
        </w:rPr>
        <w:t xml:space="preserve">Opinion and </w:t>
      </w:r>
      <w:r w:rsidRPr="00162021">
        <w:rPr>
          <w:color w:val="000000"/>
          <w:u w:color="000000"/>
        </w:rPr>
        <w:t>Order entered July 14, 1993) (</w:t>
      </w:r>
      <w:proofErr w:type="spellStart"/>
      <w:r w:rsidRPr="00162021">
        <w:rPr>
          <w:color w:val="000000"/>
          <w:u w:val="single" w:color="000000"/>
        </w:rPr>
        <w:t>Carlock</w:t>
      </w:r>
      <w:proofErr w:type="spellEnd"/>
      <w:r w:rsidRPr="00162021">
        <w:rPr>
          <w:color w:val="000000"/>
          <w:u w:color="000000"/>
        </w:rPr>
        <w:t xml:space="preserve">); </w:t>
      </w:r>
      <w:r w:rsidRPr="00162021">
        <w:rPr>
          <w:color w:val="000000"/>
          <w:u w:val="single" w:color="000000"/>
        </w:rPr>
        <w:t>Brown v. PECO Energy Company</w:t>
      </w:r>
      <w:r w:rsidRPr="00162021">
        <w:rPr>
          <w:color w:val="000000"/>
          <w:u w:color="000000"/>
        </w:rPr>
        <w:t>, Docket No.</w:t>
      </w:r>
      <w:proofErr w:type="gramEnd"/>
      <w:r w:rsidRPr="00162021">
        <w:rPr>
          <w:color w:val="000000"/>
          <w:u w:color="000000"/>
        </w:rPr>
        <w:t xml:space="preserve"> C-2008-2055866 (</w:t>
      </w:r>
      <w:r w:rsidR="00081298">
        <w:rPr>
          <w:color w:val="000000"/>
          <w:u w:color="000000"/>
        </w:rPr>
        <w:t xml:space="preserve">Opinion and </w:t>
      </w:r>
      <w:r w:rsidRPr="00162021">
        <w:rPr>
          <w:color w:val="000000"/>
          <w:u w:color="000000"/>
        </w:rPr>
        <w:t>Order entered May 29, 2009) (</w:t>
      </w:r>
      <w:r w:rsidRPr="00162021">
        <w:rPr>
          <w:color w:val="000000"/>
          <w:u w:val="single" w:color="000000"/>
        </w:rPr>
        <w:t>Brown</w:t>
      </w:r>
      <w:r w:rsidRPr="00162021">
        <w:rPr>
          <w:color w:val="000000"/>
          <w:u w:color="000000"/>
        </w:rPr>
        <w:t xml:space="preserve">); </w:t>
      </w:r>
      <w:r w:rsidRPr="00162021">
        <w:rPr>
          <w:color w:val="000000"/>
          <w:u w:val="single" w:color="000000"/>
        </w:rPr>
        <w:t>Richmond v. PECO Energy Company</w:t>
      </w:r>
      <w:r w:rsidRPr="00162021">
        <w:rPr>
          <w:color w:val="000000"/>
          <w:u w:color="000000"/>
        </w:rPr>
        <w:t>, Docket No. F-2010-2187305 (</w:t>
      </w:r>
      <w:r w:rsidR="00081298">
        <w:rPr>
          <w:color w:val="000000"/>
          <w:u w:color="000000"/>
        </w:rPr>
        <w:t xml:space="preserve">Opinion and </w:t>
      </w:r>
      <w:r w:rsidRPr="00162021">
        <w:rPr>
          <w:color w:val="000000"/>
          <w:u w:color="000000"/>
        </w:rPr>
        <w:t>Order entered December 7, 2011) (</w:t>
      </w:r>
      <w:r w:rsidRPr="00162021">
        <w:rPr>
          <w:color w:val="000000"/>
          <w:u w:val="single" w:color="000000"/>
        </w:rPr>
        <w:t>Richmond</w:t>
      </w:r>
      <w:r w:rsidRPr="00162021">
        <w:rPr>
          <w:color w:val="000000"/>
          <w:u w:color="000000"/>
        </w:rPr>
        <w:t xml:space="preserve">).  In </w:t>
      </w:r>
      <w:proofErr w:type="spellStart"/>
      <w:r w:rsidRPr="00162021">
        <w:rPr>
          <w:color w:val="000000"/>
          <w:u w:val="single" w:color="000000"/>
        </w:rPr>
        <w:t>Carlock</w:t>
      </w:r>
      <w:proofErr w:type="spellEnd"/>
      <w:r w:rsidRPr="00162021">
        <w:rPr>
          <w:color w:val="000000"/>
          <w:u w:color="000000"/>
        </w:rPr>
        <w:t xml:space="preserve">, </w:t>
      </w:r>
      <w:r w:rsidRPr="00162021">
        <w:rPr>
          <w:color w:val="000000"/>
          <w:u w:val="single" w:color="000000"/>
        </w:rPr>
        <w:t>Brown</w:t>
      </w:r>
      <w:r w:rsidRPr="00162021">
        <w:rPr>
          <w:color w:val="000000"/>
          <w:u w:color="000000"/>
        </w:rPr>
        <w:t xml:space="preserve">, and </w:t>
      </w:r>
      <w:r w:rsidRPr="00162021">
        <w:rPr>
          <w:color w:val="000000"/>
          <w:u w:val="single" w:color="000000"/>
        </w:rPr>
        <w:t>Richmond</w:t>
      </w:r>
      <w:r w:rsidRPr="00162021">
        <w:rPr>
          <w:color w:val="000000"/>
          <w:u w:color="000000"/>
        </w:rPr>
        <w:t xml:space="preserve">, the Commission indicated that a complaint filed by a </w:t>
      </w:r>
      <w:r w:rsidRPr="00162021">
        <w:rPr>
          <w:color w:val="000000"/>
          <w:u w:val="single"/>
        </w:rPr>
        <w:t>pro se</w:t>
      </w:r>
      <w:r w:rsidRPr="00162021">
        <w:rPr>
          <w:color w:val="000000"/>
          <w:u w:color="000000"/>
        </w:rPr>
        <w:t xml:space="preserve"> complainant should not be dismissed until the complainant has the opportunity to orally explain his or her position at a hearing.  The complaints in </w:t>
      </w:r>
      <w:proofErr w:type="spellStart"/>
      <w:r w:rsidRPr="00162021">
        <w:rPr>
          <w:color w:val="000000"/>
          <w:u w:val="single" w:color="000000"/>
        </w:rPr>
        <w:t>Carlock</w:t>
      </w:r>
      <w:proofErr w:type="spellEnd"/>
      <w:r w:rsidRPr="00162021">
        <w:rPr>
          <w:color w:val="000000"/>
          <w:u w:color="000000"/>
        </w:rPr>
        <w:t xml:space="preserve">, </w:t>
      </w:r>
      <w:r w:rsidRPr="00162021">
        <w:rPr>
          <w:color w:val="000000"/>
          <w:u w:val="single" w:color="000000"/>
        </w:rPr>
        <w:t>Brown</w:t>
      </w:r>
      <w:r w:rsidRPr="00162021">
        <w:rPr>
          <w:color w:val="000000"/>
          <w:u w:color="000000"/>
        </w:rPr>
        <w:t xml:space="preserve">, and </w:t>
      </w:r>
      <w:r w:rsidRPr="00162021">
        <w:rPr>
          <w:color w:val="000000"/>
          <w:u w:val="single" w:color="000000"/>
        </w:rPr>
        <w:t>Richmond</w:t>
      </w:r>
      <w:r w:rsidRPr="00162021">
        <w:rPr>
          <w:color w:val="000000"/>
          <w:u w:color="000000"/>
        </w:rPr>
        <w:t xml:space="preserve"> did not raise the issue of the Commission’s authority to order a payment arrangement for CAP arrearages.</w:t>
      </w:r>
      <w:r>
        <w:rPr>
          <w:color w:val="000000"/>
          <w:u w:color="000000"/>
        </w:rPr>
        <w:t xml:space="preserve">  </w:t>
      </w:r>
      <w:r w:rsidRPr="00162021">
        <w:rPr>
          <w:color w:val="000000"/>
          <w:u w:color="000000"/>
        </w:rPr>
        <w:t xml:space="preserve">However, in </w:t>
      </w:r>
      <w:proofErr w:type="spellStart"/>
      <w:r w:rsidRPr="00162021">
        <w:rPr>
          <w:color w:val="000000"/>
          <w:u w:val="single" w:color="000000"/>
        </w:rPr>
        <w:t>Neibauer</w:t>
      </w:r>
      <w:proofErr w:type="spellEnd"/>
      <w:r w:rsidRPr="00162021">
        <w:rPr>
          <w:color w:val="000000"/>
          <w:u w:val="single" w:color="000000"/>
        </w:rPr>
        <w:t xml:space="preserve"> v. PECO Energy Company</w:t>
      </w:r>
      <w:r w:rsidRPr="00162021">
        <w:rPr>
          <w:color w:val="000000"/>
          <w:u w:color="000000"/>
        </w:rPr>
        <w:t>, Docket No. C-2010-2179572 (</w:t>
      </w:r>
      <w:r w:rsidR="00081298">
        <w:rPr>
          <w:color w:val="000000"/>
          <w:u w:color="000000"/>
        </w:rPr>
        <w:t xml:space="preserve">Final </w:t>
      </w:r>
      <w:r w:rsidRPr="00162021">
        <w:rPr>
          <w:color w:val="000000"/>
          <w:u w:color="000000"/>
        </w:rPr>
        <w:t>Order entered July 7, 2011) (</w:t>
      </w:r>
      <w:proofErr w:type="spellStart"/>
      <w:r w:rsidRPr="00162021">
        <w:rPr>
          <w:color w:val="000000"/>
          <w:u w:val="single" w:color="000000"/>
        </w:rPr>
        <w:t>Neibauer</w:t>
      </w:r>
      <w:proofErr w:type="spellEnd"/>
      <w:r w:rsidRPr="00162021">
        <w:rPr>
          <w:color w:val="000000"/>
          <w:u w:color="000000"/>
        </w:rPr>
        <w:t xml:space="preserve">), </w:t>
      </w:r>
      <w:r w:rsidRPr="00162021">
        <w:rPr>
          <w:color w:val="000000"/>
          <w:u w:val="single" w:color="000000"/>
        </w:rPr>
        <w:t>Bearden v. PECO Energy Company</w:t>
      </w:r>
      <w:r w:rsidRPr="00162021">
        <w:rPr>
          <w:color w:val="000000"/>
          <w:u w:color="000000"/>
        </w:rPr>
        <w:t>, Docket No. F-2013-2393197 (</w:t>
      </w:r>
      <w:r w:rsidR="00081298">
        <w:rPr>
          <w:color w:val="000000"/>
          <w:u w:color="000000"/>
        </w:rPr>
        <w:t xml:space="preserve">Final </w:t>
      </w:r>
      <w:r w:rsidRPr="00162021">
        <w:rPr>
          <w:color w:val="000000"/>
          <w:u w:color="000000"/>
        </w:rPr>
        <w:t>Order entered April 1, 2014) (</w:t>
      </w:r>
      <w:r w:rsidRPr="00162021">
        <w:rPr>
          <w:color w:val="000000"/>
          <w:u w:val="single" w:color="000000"/>
        </w:rPr>
        <w:t>Bearden</w:t>
      </w:r>
      <w:r w:rsidRPr="00162021">
        <w:rPr>
          <w:color w:val="000000"/>
          <w:u w:color="000000"/>
        </w:rPr>
        <w:t xml:space="preserve">) and </w:t>
      </w:r>
      <w:r w:rsidRPr="00162021">
        <w:rPr>
          <w:color w:val="000000"/>
          <w:u w:val="single" w:color="000000"/>
        </w:rPr>
        <w:t>White v. PECO Energy Company</w:t>
      </w:r>
      <w:r w:rsidRPr="00162021">
        <w:rPr>
          <w:color w:val="000000"/>
          <w:u w:color="000000"/>
        </w:rPr>
        <w:t>, Docket No. C-</w:t>
      </w:r>
      <w:r w:rsidRPr="00162021">
        <w:rPr>
          <w:color w:val="000000"/>
          <w:u w:color="000000"/>
        </w:rPr>
        <w:lastRenderedPageBreak/>
        <w:t>2014-2426792 (</w:t>
      </w:r>
      <w:r w:rsidR="00081298">
        <w:rPr>
          <w:color w:val="000000"/>
          <w:u w:color="000000"/>
        </w:rPr>
        <w:t xml:space="preserve">Final </w:t>
      </w:r>
      <w:r w:rsidRPr="00162021">
        <w:rPr>
          <w:color w:val="000000"/>
          <w:u w:color="000000"/>
        </w:rPr>
        <w:t>Order entered November 12, 2014) (</w:t>
      </w:r>
      <w:r w:rsidRPr="00162021">
        <w:rPr>
          <w:color w:val="000000"/>
          <w:u w:val="single" w:color="000000"/>
        </w:rPr>
        <w:t>White</w:t>
      </w:r>
      <w:r w:rsidRPr="00162021">
        <w:rPr>
          <w:color w:val="000000"/>
          <w:u w:color="000000"/>
        </w:rPr>
        <w:t>), the Commission granted motion</w:t>
      </w:r>
      <w:r>
        <w:rPr>
          <w:color w:val="000000"/>
          <w:u w:color="000000"/>
        </w:rPr>
        <w:t>s</w:t>
      </w:r>
      <w:r w:rsidRPr="00162021">
        <w:rPr>
          <w:color w:val="000000"/>
          <w:u w:color="000000"/>
        </w:rPr>
        <w:t xml:space="preserve"> for judgment on the pleadings and dismissed the complaint</w:t>
      </w:r>
      <w:r>
        <w:rPr>
          <w:color w:val="000000"/>
          <w:u w:color="000000"/>
        </w:rPr>
        <w:t>s</w:t>
      </w:r>
      <w:r w:rsidRPr="00162021">
        <w:rPr>
          <w:color w:val="000000"/>
          <w:u w:color="000000"/>
        </w:rPr>
        <w:t xml:space="preserve"> where the complaint</w:t>
      </w:r>
      <w:r>
        <w:rPr>
          <w:color w:val="000000"/>
          <w:u w:color="000000"/>
        </w:rPr>
        <w:t>s</w:t>
      </w:r>
      <w:r w:rsidRPr="00162021">
        <w:rPr>
          <w:color w:val="000000"/>
          <w:u w:color="000000"/>
        </w:rPr>
        <w:t xml:space="preserve"> raised the issue of the Commission’s authority to order a payment arrangement for CAP arrearages.</w:t>
      </w:r>
    </w:p>
    <w:p w:rsidR="00361F71" w:rsidRPr="00162021" w:rsidRDefault="00361F71" w:rsidP="0090577C">
      <w:pPr>
        <w:spacing w:line="360" w:lineRule="auto"/>
        <w:ind w:firstLine="1440"/>
        <w:rPr>
          <w:color w:val="000000"/>
          <w:u w:color="000000"/>
        </w:rPr>
      </w:pPr>
    </w:p>
    <w:p w:rsidR="00361F71" w:rsidRDefault="00361F71" w:rsidP="0090577C">
      <w:pPr>
        <w:spacing w:line="360" w:lineRule="auto"/>
        <w:ind w:firstLine="1440"/>
      </w:pPr>
      <w:r w:rsidRPr="00162021">
        <w:rPr>
          <w:color w:val="000000"/>
          <w:u w:color="000000"/>
        </w:rPr>
        <w:t xml:space="preserve">Since the complaint in this case raises the same issue as the complaints in </w:t>
      </w:r>
      <w:proofErr w:type="spellStart"/>
      <w:r w:rsidRPr="00162021">
        <w:rPr>
          <w:color w:val="000000"/>
          <w:u w:val="single" w:color="000000"/>
        </w:rPr>
        <w:t>Neibauer</w:t>
      </w:r>
      <w:proofErr w:type="spellEnd"/>
      <w:r w:rsidRPr="00162021">
        <w:rPr>
          <w:color w:val="000000"/>
          <w:u w:val="single" w:color="000000"/>
        </w:rPr>
        <w:t>,</w:t>
      </w:r>
      <w:r w:rsidRPr="00162021">
        <w:rPr>
          <w:color w:val="000000"/>
          <w:u w:color="000000"/>
        </w:rPr>
        <w:t xml:space="preserve"> </w:t>
      </w:r>
      <w:r w:rsidRPr="00162021">
        <w:rPr>
          <w:color w:val="000000"/>
          <w:u w:val="single" w:color="000000"/>
        </w:rPr>
        <w:t>Bearden</w:t>
      </w:r>
      <w:r w:rsidRPr="00162021">
        <w:rPr>
          <w:color w:val="000000"/>
          <w:u w:color="000000"/>
        </w:rPr>
        <w:t xml:space="preserve"> and </w:t>
      </w:r>
      <w:r w:rsidRPr="00162021">
        <w:rPr>
          <w:color w:val="000000"/>
          <w:u w:val="single" w:color="000000"/>
        </w:rPr>
        <w:t>White</w:t>
      </w:r>
      <w:r w:rsidRPr="005D50C3">
        <w:rPr>
          <w:color w:val="000000"/>
          <w:u w:color="000000"/>
        </w:rPr>
        <w:t>,</w:t>
      </w:r>
      <w:r w:rsidRPr="00162021">
        <w:rPr>
          <w:color w:val="000000"/>
          <w:u w:color="000000"/>
        </w:rPr>
        <w:t xml:space="preserve"> I find the decisions in </w:t>
      </w:r>
      <w:proofErr w:type="spellStart"/>
      <w:r w:rsidRPr="00162021">
        <w:rPr>
          <w:color w:val="000000"/>
          <w:u w:val="single" w:color="000000"/>
        </w:rPr>
        <w:t>Neibauer</w:t>
      </w:r>
      <w:proofErr w:type="spellEnd"/>
      <w:r w:rsidRPr="00162021">
        <w:rPr>
          <w:color w:val="000000"/>
          <w:u w:color="000000"/>
        </w:rPr>
        <w:t xml:space="preserve">, </w:t>
      </w:r>
      <w:r w:rsidRPr="00162021">
        <w:rPr>
          <w:color w:val="000000"/>
          <w:u w:val="single" w:color="000000"/>
        </w:rPr>
        <w:t>Bearden</w:t>
      </w:r>
      <w:r w:rsidRPr="00162021">
        <w:rPr>
          <w:color w:val="000000"/>
          <w:u w:color="000000"/>
        </w:rPr>
        <w:t xml:space="preserve"> and </w:t>
      </w:r>
      <w:r w:rsidRPr="00162021">
        <w:rPr>
          <w:color w:val="000000"/>
          <w:u w:val="single" w:color="000000"/>
        </w:rPr>
        <w:t>White</w:t>
      </w:r>
      <w:r w:rsidRPr="00162021">
        <w:rPr>
          <w:color w:val="000000"/>
          <w:u w:color="000000"/>
        </w:rPr>
        <w:t xml:space="preserve"> to be more persuasive than the decisions in </w:t>
      </w:r>
      <w:proofErr w:type="spellStart"/>
      <w:r w:rsidRPr="00162021">
        <w:rPr>
          <w:color w:val="000000"/>
          <w:u w:val="single" w:color="000000"/>
        </w:rPr>
        <w:t>Carlock</w:t>
      </w:r>
      <w:proofErr w:type="spellEnd"/>
      <w:r w:rsidRPr="00162021">
        <w:rPr>
          <w:color w:val="000000"/>
          <w:u w:color="000000"/>
        </w:rPr>
        <w:t xml:space="preserve">, </w:t>
      </w:r>
      <w:r w:rsidRPr="00162021">
        <w:rPr>
          <w:color w:val="000000"/>
          <w:u w:val="single" w:color="000000"/>
        </w:rPr>
        <w:t>Brown</w:t>
      </w:r>
      <w:r w:rsidRPr="00162021">
        <w:rPr>
          <w:color w:val="000000"/>
          <w:u w:color="000000"/>
        </w:rPr>
        <w:t xml:space="preserve">, and </w:t>
      </w:r>
      <w:r w:rsidRPr="00162021">
        <w:rPr>
          <w:color w:val="000000"/>
          <w:u w:val="single" w:color="000000"/>
        </w:rPr>
        <w:t>Richmond</w:t>
      </w:r>
      <w:r w:rsidRPr="00162021">
        <w:rPr>
          <w:color w:val="000000"/>
          <w:u w:color="000000"/>
        </w:rPr>
        <w:t xml:space="preserve">.  Because the Complainant in this case has not filed an answer </w:t>
      </w:r>
      <w:r w:rsidRPr="00162021">
        <w:t xml:space="preserve">to the Respondent’s new matter denying its factual allegations, he has admitted that </w:t>
      </w:r>
      <w:r w:rsidR="00874069">
        <w:t xml:space="preserve">a substantial portion of his </w:t>
      </w:r>
      <w:r w:rsidRPr="00162021">
        <w:t xml:space="preserve">unpaid account balance consists of CAP arrearages.  As stated above, 66 </w:t>
      </w:r>
      <w:proofErr w:type="spellStart"/>
      <w:r w:rsidRPr="00162021">
        <w:t>Pa.C.S</w:t>
      </w:r>
      <w:proofErr w:type="spellEnd"/>
      <w:r w:rsidRPr="00162021">
        <w:t>. § 1405(c) prohibits the Commission from ordering a payment arrangement on CAP arrearages.  In these circumstances, giving the Complainant the opportunity to explain h</w:t>
      </w:r>
      <w:r w:rsidR="00DA1F23">
        <w:t>is</w:t>
      </w:r>
      <w:r w:rsidRPr="00162021">
        <w:t xml:space="preserve"> position at a hearing would be a fruitless exercise.</w:t>
      </w:r>
    </w:p>
    <w:p w:rsidR="00DA1F23" w:rsidRDefault="00DA1F23" w:rsidP="0090577C">
      <w:pPr>
        <w:spacing w:line="360" w:lineRule="auto"/>
        <w:ind w:firstLine="1440"/>
      </w:pPr>
    </w:p>
    <w:p w:rsidR="00DA1F23" w:rsidRPr="00162021" w:rsidRDefault="00DA1F23" w:rsidP="0090577C">
      <w:pPr>
        <w:spacing w:line="360" w:lineRule="auto"/>
        <w:ind w:firstLine="1440"/>
      </w:pPr>
      <w:r>
        <w:t xml:space="preserve">In summary, the Complainant’s complaint is barred by 66 </w:t>
      </w:r>
      <w:proofErr w:type="spellStart"/>
      <w:r>
        <w:t>Pa.C.S</w:t>
      </w:r>
      <w:proofErr w:type="spellEnd"/>
      <w:r>
        <w:t xml:space="preserve">. §316.  In addition, the Commission should not exercise its discretion to order a payment arrangement where the Complainant’s account balance exceeds $19,000.00 and </w:t>
      </w:r>
      <w:r w:rsidR="00D60AA1">
        <w:t>at least</w:t>
      </w:r>
      <w:r>
        <w:t xml:space="preserve"> $16,000.00 of that balance consists of CAP arrearages.  I will therefore deny the complaint.</w:t>
      </w:r>
    </w:p>
    <w:p w:rsidR="005B27D6" w:rsidRDefault="005B27D6" w:rsidP="0090577C">
      <w:pPr>
        <w:tabs>
          <w:tab w:val="left" w:pos="-1440"/>
          <w:tab w:val="left" w:pos="-720"/>
        </w:tabs>
        <w:suppressAutoHyphens/>
        <w:spacing w:line="360" w:lineRule="auto"/>
        <w:rPr>
          <w:spacing w:val="-3"/>
          <w:szCs w:val="24"/>
        </w:rPr>
      </w:pPr>
    </w:p>
    <w:p w:rsidR="000B4598" w:rsidRPr="005A21BA" w:rsidRDefault="000B4598" w:rsidP="0090577C">
      <w:pPr>
        <w:tabs>
          <w:tab w:val="left" w:pos="-1440"/>
          <w:tab w:val="left" w:pos="-720"/>
        </w:tabs>
        <w:suppressAutoHyphens/>
        <w:spacing w:line="360" w:lineRule="auto"/>
        <w:jc w:val="center"/>
        <w:rPr>
          <w:szCs w:val="24"/>
        </w:rPr>
      </w:pPr>
      <w:r w:rsidRPr="005A21BA">
        <w:rPr>
          <w:szCs w:val="24"/>
          <w:u w:val="single"/>
        </w:rPr>
        <w:t>CONCLUSIONS OF LAW</w:t>
      </w:r>
    </w:p>
    <w:p w:rsidR="000B4598" w:rsidRPr="005A21BA" w:rsidRDefault="000B4598" w:rsidP="0090577C">
      <w:pPr>
        <w:spacing w:line="360" w:lineRule="auto"/>
        <w:rPr>
          <w:szCs w:val="24"/>
        </w:rPr>
      </w:pPr>
    </w:p>
    <w:p w:rsidR="00874069" w:rsidRPr="005A21BA" w:rsidRDefault="000B4598" w:rsidP="0090577C">
      <w:pPr>
        <w:spacing w:line="360" w:lineRule="auto"/>
        <w:rPr>
          <w:szCs w:val="24"/>
        </w:rPr>
      </w:pPr>
      <w:r w:rsidRPr="005A21BA">
        <w:rPr>
          <w:szCs w:val="24"/>
        </w:rPr>
        <w:tab/>
      </w:r>
      <w:r w:rsidRPr="005A21BA">
        <w:rPr>
          <w:szCs w:val="24"/>
        </w:rPr>
        <w:tab/>
        <w:t>1.</w:t>
      </w:r>
      <w:r w:rsidRPr="005A21BA">
        <w:rPr>
          <w:szCs w:val="24"/>
        </w:rPr>
        <w:tab/>
        <w:t>The Commission has jurisdiction over the parties and the subj</w:t>
      </w:r>
      <w:r w:rsidR="00AB1911">
        <w:rPr>
          <w:szCs w:val="24"/>
        </w:rPr>
        <w:t>ect matter of this proceeding.</w:t>
      </w:r>
      <w:r w:rsidR="00874069">
        <w:rPr>
          <w:szCs w:val="24"/>
        </w:rPr>
        <w:t xml:space="preserve">  </w:t>
      </w:r>
      <w:proofErr w:type="gramStart"/>
      <w:r w:rsidR="00874069">
        <w:rPr>
          <w:szCs w:val="24"/>
        </w:rPr>
        <w:t xml:space="preserve">66 </w:t>
      </w:r>
      <w:proofErr w:type="spellStart"/>
      <w:r w:rsidR="00874069">
        <w:rPr>
          <w:szCs w:val="24"/>
        </w:rPr>
        <w:t>Pa.C.S</w:t>
      </w:r>
      <w:proofErr w:type="spellEnd"/>
      <w:r w:rsidR="00874069">
        <w:rPr>
          <w:szCs w:val="24"/>
        </w:rPr>
        <w:t>.</w:t>
      </w:r>
      <w:proofErr w:type="gramEnd"/>
      <w:r w:rsidR="00874069">
        <w:rPr>
          <w:szCs w:val="24"/>
        </w:rPr>
        <w:t xml:space="preserve"> § 702.</w:t>
      </w:r>
    </w:p>
    <w:p w:rsidR="00562302" w:rsidRPr="005A21BA" w:rsidRDefault="00562302" w:rsidP="0090577C">
      <w:pPr>
        <w:spacing w:line="360" w:lineRule="auto"/>
        <w:rPr>
          <w:szCs w:val="24"/>
        </w:rPr>
      </w:pPr>
    </w:p>
    <w:p w:rsidR="00562302" w:rsidRDefault="00874069" w:rsidP="0090577C">
      <w:pPr>
        <w:spacing w:line="360" w:lineRule="auto"/>
        <w:rPr>
          <w:szCs w:val="24"/>
        </w:rPr>
      </w:pPr>
      <w:r>
        <w:rPr>
          <w:szCs w:val="24"/>
        </w:rPr>
        <w:tab/>
      </w:r>
      <w:r>
        <w:rPr>
          <w:szCs w:val="24"/>
        </w:rPr>
        <w:tab/>
        <w:t>2.</w:t>
      </w:r>
      <w:r>
        <w:rPr>
          <w:szCs w:val="24"/>
        </w:rPr>
        <w:tab/>
      </w:r>
      <w:r w:rsidRPr="005A21BA">
        <w:rPr>
          <w:szCs w:val="24"/>
        </w:rPr>
        <w:t>The Commission’s regulation</w:t>
      </w:r>
      <w:r>
        <w:rPr>
          <w:szCs w:val="24"/>
        </w:rPr>
        <w:t xml:space="preserve">s provide for </w:t>
      </w:r>
      <w:r w:rsidRPr="005A21BA">
        <w:rPr>
          <w:szCs w:val="24"/>
        </w:rPr>
        <w:t>motions for summary judgment.</w:t>
      </w:r>
      <w:r>
        <w:rPr>
          <w:szCs w:val="24"/>
        </w:rPr>
        <w:t xml:space="preserve">  </w:t>
      </w:r>
      <w:proofErr w:type="gramStart"/>
      <w:r w:rsidRPr="005A21BA">
        <w:rPr>
          <w:szCs w:val="24"/>
        </w:rPr>
        <w:t xml:space="preserve">52 </w:t>
      </w:r>
      <w:proofErr w:type="spellStart"/>
      <w:r w:rsidRPr="005A21BA">
        <w:rPr>
          <w:szCs w:val="24"/>
        </w:rPr>
        <w:t>Pa.Code</w:t>
      </w:r>
      <w:proofErr w:type="spellEnd"/>
      <w:r w:rsidRPr="005A21BA">
        <w:rPr>
          <w:szCs w:val="24"/>
        </w:rPr>
        <w:t xml:space="preserve"> § 5.102</w:t>
      </w:r>
      <w:r w:rsidR="00DC7B89">
        <w:rPr>
          <w:szCs w:val="24"/>
        </w:rPr>
        <w:t>.</w:t>
      </w:r>
      <w:proofErr w:type="gramEnd"/>
    </w:p>
    <w:p w:rsidR="00DC7B89" w:rsidRDefault="00DC7B89" w:rsidP="0090577C">
      <w:pPr>
        <w:spacing w:line="360" w:lineRule="auto"/>
        <w:rPr>
          <w:szCs w:val="24"/>
        </w:rPr>
      </w:pPr>
    </w:p>
    <w:p w:rsidR="00DC7B89" w:rsidRDefault="00DC7B89" w:rsidP="0090577C">
      <w:pPr>
        <w:tabs>
          <w:tab w:val="left" w:pos="0"/>
        </w:tabs>
        <w:spacing w:line="360" w:lineRule="auto"/>
        <w:rPr>
          <w:szCs w:val="24"/>
        </w:rPr>
      </w:pPr>
      <w:r>
        <w:rPr>
          <w:szCs w:val="24"/>
        </w:rPr>
        <w:tab/>
      </w:r>
      <w:r>
        <w:rPr>
          <w:szCs w:val="24"/>
        </w:rPr>
        <w:tab/>
        <w:t>3.</w:t>
      </w:r>
      <w:r>
        <w:rPr>
          <w:szCs w:val="24"/>
        </w:rPr>
        <w:tab/>
      </w:r>
      <w:r w:rsidRPr="005A21BA">
        <w:rPr>
          <w:szCs w:val="24"/>
        </w:rPr>
        <w:t xml:space="preserve">A motion for summary judgment must be based on the pleadings, depositions, answers to interrogatories, admissions and supporting affidavits.  </w:t>
      </w:r>
      <w:proofErr w:type="gramStart"/>
      <w:r w:rsidRPr="005A21BA">
        <w:rPr>
          <w:szCs w:val="24"/>
        </w:rPr>
        <w:t xml:space="preserve">52 </w:t>
      </w:r>
      <w:proofErr w:type="spellStart"/>
      <w:r w:rsidRPr="005A21BA">
        <w:rPr>
          <w:szCs w:val="24"/>
        </w:rPr>
        <w:t>Pa.Code</w:t>
      </w:r>
      <w:proofErr w:type="spellEnd"/>
      <w:r w:rsidRPr="005A21BA">
        <w:rPr>
          <w:szCs w:val="24"/>
        </w:rPr>
        <w:t xml:space="preserve"> §</w:t>
      </w:r>
      <w:r>
        <w:rPr>
          <w:szCs w:val="24"/>
        </w:rPr>
        <w:t> </w:t>
      </w:r>
      <w:r w:rsidRPr="005A21BA">
        <w:rPr>
          <w:szCs w:val="24"/>
        </w:rPr>
        <w:t>5.102(c).</w:t>
      </w:r>
      <w:proofErr w:type="gramEnd"/>
      <w:r w:rsidRPr="005A21BA">
        <w:rPr>
          <w:szCs w:val="24"/>
        </w:rPr>
        <w:t xml:space="preserve">  </w:t>
      </w:r>
    </w:p>
    <w:p w:rsidR="00DC7B89" w:rsidRDefault="00DC7B89" w:rsidP="0090577C">
      <w:pPr>
        <w:tabs>
          <w:tab w:val="left" w:pos="0"/>
        </w:tabs>
        <w:spacing w:line="360" w:lineRule="auto"/>
        <w:rPr>
          <w:szCs w:val="24"/>
        </w:rPr>
      </w:pPr>
    </w:p>
    <w:p w:rsidR="00DC7B89" w:rsidRDefault="00DC7B89" w:rsidP="0090577C">
      <w:pPr>
        <w:tabs>
          <w:tab w:val="left" w:pos="0"/>
        </w:tabs>
        <w:spacing w:line="360" w:lineRule="auto"/>
        <w:rPr>
          <w:szCs w:val="24"/>
        </w:rPr>
      </w:pPr>
      <w:r>
        <w:rPr>
          <w:szCs w:val="24"/>
        </w:rPr>
        <w:lastRenderedPageBreak/>
        <w:tab/>
      </w:r>
      <w:r>
        <w:rPr>
          <w:szCs w:val="24"/>
        </w:rPr>
        <w:tab/>
        <w:t>4.</w:t>
      </w:r>
      <w:r>
        <w:rPr>
          <w:szCs w:val="24"/>
        </w:rPr>
        <w:tab/>
        <w:t>A</w:t>
      </w:r>
      <w:r w:rsidRPr="005A21BA">
        <w:rPr>
          <w:szCs w:val="24"/>
        </w:rPr>
        <w:t xml:space="preserve"> motion for summary judgment </w:t>
      </w:r>
      <w:r>
        <w:rPr>
          <w:szCs w:val="24"/>
        </w:rPr>
        <w:t xml:space="preserve">will be granted </w:t>
      </w:r>
      <w:r w:rsidRPr="005A21BA">
        <w:rPr>
          <w:szCs w:val="24"/>
        </w:rPr>
        <w:t xml:space="preserve">if the pleadings, depositions, answers to interrogatories, admissions and affidavits show that there is no genuine issue as to a material fact and that the moving party is entitled to judgment as a matter of law.  52 </w:t>
      </w:r>
      <w:proofErr w:type="spellStart"/>
      <w:r w:rsidRPr="005A21BA">
        <w:rPr>
          <w:szCs w:val="24"/>
        </w:rPr>
        <w:t>Pa.Code</w:t>
      </w:r>
      <w:proofErr w:type="spellEnd"/>
      <w:r w:rsidRPr="005A21BA">
        <w:rPr>
          <w:szCs w:val="24"/>
        </w:rPr>
        <w:t xml:space="preserve"> § </w:t>
      </w:r>
      <w:r>
        <w:rPr>
          <w:szCs w:val="24"/>
        </w:rPr>
        <w:t>5.102(d</w:t>
      </w:r>
      <w:proofErr w:type="gramStart"/>
      <w:r>
        <w:rPr>
          <w:szCs w:val="24"/>
        </w:rPr>
        <w:t>)(</w:t>
      </w:r>
      <w:proofErr w:type="gramEnd"/>
      <w:r>
        <w:rPr>
          <w:szCs w:val="24"/>
        </w:rPr>
        <w:t>1).</w:t>
      </w:r>
    </w:p>
    <w:p w:rsidR="00DC7B89" w:rsidRDefault="00DC7B89" w:rsidP="0090577C">
      <w:pPr>
        <w:tabs>
          <w:tab w:val="left" w:pos="0"/>
        </w:tabs>
        <w:spacing w:line="360" w:lineRule="auto"/>
        <w:rPr>
          <w:szCs w:val="24"/>
        </w:rPr>
      </w:pPr>
    </w:p>
    <w:p w:rsidR="00DC7B89" w:rsidRDefault="00DC7B89" w:rsidP="0090577C">
      <w:pPr>
        <w:tabs>
          <w:tab w:val="left" w:pos="-1440"/>
          <w:tab w:val="left" w:pos="-720"/>
        </w:tabs>
        <w:suppressAutoHyphens/>
        <w:spacing w:line="360" w:lineRule="auto"/>
        <w:rPr>
          <w:spacing w:val="-3"/>
          <w:szCs w:val="24"/>
        </w:rPr>
      </w:pPr>
      <w:r>
        <w:rPr>
          <w:szCs w:val="24"/>
        </w:rPr>
        <w:tab/>
      </w:r>
      <w:r>
        <w:rPr>
          <w:szCs w:val="24"/>
        </w:rPr>
        <w:tab/>
        <w:t>5.</w:t>
      </w:r>
      <w:r>
        <w:rPr>
          <w:szCs w:val="24"/>
        </w:rPr>
        <w:tab/>
        <w:t>A</w:t>
      </w:r>
      <w:r w:rsidRPr="006309D9">
        <w:t xml:space="preserve"> complain</w:t>
      </w:r>
      <w:r w:rsidR="00D60AA1">
        <w:t>an</w:t>
      </w:r>
      <w:r w:rsidRPr="006309D9">
        <w:t xml:space="preserve">t </w:t>
      </w:r>
      <w:r>
        <w:t xml:space="preserve">will be </w:t>
      </w:r>
      <w:r w:rsidRPr="00A90F47">
        <w:rPr>
          <w:spacing w:val="-3"/>
          <w:szCs w:val="24"/>
        </w:rPr>
        <w:t xml:space="preserve">prohibited from raising the same issues before the Commission a second time.  </w:t>
      </w:r>
      <w:proofErr w:type="gramStart"/>
      <w:r>
        <w:rPr>
          <w:spacing w:val="-3"/>
          <w:szCs w:val="24"/>
        </w:rPr>
        <w:t xml:space="preserve">66 </w:t>
      </w:r>
      <w:proofErr w:type="spellStart"/>
      <w:r>
        <w:rPr>
          <w:spacing w:val="-3"/>
          <w:szCs w:val="24"/>
        </w:rPr>
        <w:t>Pa.C.S</w:t>
      </w:r>
      <w:proofErr w:type="spellEnd"/>
      <w:r>
        <w:rPr>
          <w:spacing w:val="-3"/>
          <w:szCs w:val="24"/>
        </w:rPr>
        <w:t>.</w:t>
      </w:r>
      <w:proofErr w:type="gramEnd"/>
      <w:r>
        <w:rPr>
          <w:spacing w:val="-3"/>
          <w:szCs w:val="24"/>
        </w:rPr>
        <w:t xml:space="preserve"> 316.</w:t>
      </w:r>
    </w:p>
    <w:p w:rsidR="00DC7B89" w:rsidRDefault="00DC7B89" w:rsidP="0090577C">
      <w:pPr>
        <w:tabs>
          <w:tab w:val="left" w:pos="-1440"/>
          <w:tab w:val="left" w:pos="-720"/>
        </w:tabs>
        <w:suppressAutoHyphens/>
        <w:spacing w:line="360" w:lineRule="auto"/>
        <w:rPr>
          <w:spacing w:val="-3"/>
          <w:szCs w:val="24"/>
        </w:rPr>
      </w:pPr>
    </w:p>
    <w:p w:rsidR="00DC7B89" w:rsidRPr="00162021" w:rsidRDefault="00DC7B89" w:rsidP="0090577C">
      <w:pPr>
        <w:spacing w:line="360" w:lineRule="auto"/>
        <w:ind w:firstLine="1440"/>
      </w:pPr>
      <w:r>
        <w:rPr>
          <w:spacing w:val="-3"/>
          <w:szCs w:val="24"/>
        </w:rPr>
        <w:t>6.</w:t>
      </w:r>
      <w:r>
        <w:rPr>
          <w:spacing w:val="-3"/>
          <w:szCs w:val="24"/>
        </w:rPr>
        <w:tab/>
      </w:r>
      <w:r w:rsidRPr="00162021">
        <w:t xml:space="preserve">The Responsible Utility Customer Protection Act, </w:t>
      </w:r>
      <w:proofErr w:type="gramStart"/>
      <w:r w:rsidRPr="00162021">
        <w:t xml:space="preserve">66 </w:t>
      </w:r>
      <w:proofErr w:type="spellStart"/>
      <w:r w:rsidRPr="00162021">
        <w:t>Pa.C.S</w:t>
      </w:r>
      <w:proofErr w:type="spellEnd"/>
      <w:proofErr w:type="gramEnd"/>
      <w:r w:rsidRPr="00162021">
        <w:t>. §§ 1401</w:t>
      </w:r>
      <w:r w:rsidRPr="00162021">
        <w:noBreakHyphen/>
        <w:t>1418, applies to this proceeding.</w:t>
      </w:r>
    </w:p>
    <w:p w:rsidR="00DC7B89" w:rsidRPr="00162021" w:rsidRDefault="00DC7B89" w:rsidP="0090577C">
      <w:pPr>
        <w:spacing w:line="360" w:lineRule="auto"/>
        <w:ind w:firstLine="1440"/>
      </w:pPr>
    </w:p>
    <w:p w:rsidR="00DC7B89" w:rsidRPr="00162021" w:rsidRDefault="0088321A" w:rsidP="0090577C">
      <w:pPr>
        <w:spacing w:line="360" w:lineRule="auto"/>
        <w:ind w:firstLine="1440"/>
      </w:pPr>
      <w:r>
        <w:t>7</w:t>
      </w:r>
      <w:r w:rsidR="00DC7B89" w:rsidRPr="00162021">
        <w:t>.</w:t>
      </w:r>
      <w:r w:rsidR="00DC7B89" w:rsidRPr="00162021">
        <w:tab/>
        <w:t xml:space="preserve">The </w:t>
      </w:r>
      <w:r>
        <w:t xml:space="preserve">Commission is authorized to establish a payment arrangement between a public utility and a customer.  </w:t>
      </w:r>
      <w:proofErr w:type="gramStart"/>
      <w:r w:rsidR="00DC7B89" w:rsidRPr="00162021">
        <w:t xml:space="preserve">66 </w:t>
      </w:r>
      <w:proofErr w:type="spellStart"/>
      <w:r w:rsidR="00DC7B89" w:rsidRPr="00162021">
        <w:t>Pa.C.S</w:t>
      </w:r>
      <w:proofErr w:type="spellEnd"/>
      <w:r w:rsidR="00DC7B89" w:rsidRPr="00162021">
        <w:t>.</w:t>
      </w:r>
      <w:proofErr w:type="gramEnd"/>
      <w:r w:rsidR="00DC7B89" w:rsidRPr="00162021">
        <w:t xml:space="preserve"> § 140</w:t>
      </w:r>
      <w:r>
        <w:t>5(a)</w:t>
      </w:r>
      <w:r w:rsidR="00DC7B89" w:rsidRPr="00162021">
        <w:t>.</w:t>
      </w:r>
    </w:p>
    <w:p w:rsidR="00DC7B89" w:rsidRPr="00162021" w:rsidRDefault="00DC7B89" w:rsidP="0090577C">
      <w:pPr>
        <w:spacing w:line="360" w:lineRule="auto"/>
        <w:ind w:firstLine="1440"/>
      </w:pPr>
    </w:p>
    <w:p w:rsidR="00DC7B89" w:rsidRDefault="00DC7B89" w:rsidP="0090577C">
      <w:pPr>
        <w:tabs>
          <w:tab w:val="left" w:pos="0"/>
        </w:tabs>
        <w:spacing w:line="360" w:lineRule="auto"/>
      </w:pPr>
      <w:r w:rsidRPr="00162021">
        <w:tab/>
      </w:r>
      <w:r w:rsidRPr="00162021">
        <w:tab/>
      </w:r>
      <w:r w:rsidR="0088321A">
        <w:t>8</w:t>
      </w:r>
      <w:r w:rsidRPr="00162021">
        <w:t>.</w:t>
      </w:r>
      <w:r w:rsidRPr="00162021">
        <w:tab/>
        <w:t xml:space="preserve">The Commission has no authority to order a payment arrangement for a customer enrolled in a CAP.  </w:t>
      </w:r>
      <w:proofErr w:type="gramStart"/>
      <w:r w:rsidRPr="00162021">
        <w:t xml:space="preserve">66 </w:t>
      </w:r>
      <w:proofErr w:type="spellStart"/>
      <w:r w:rsidRPr="00162021">
        <w:t>Pa.C.S</w:t>
      </w:r>
      <w:proofErr w:type="spellEnd"/>
      <w:r w:rsidRPr="00162021">
        <w:t>.</w:t>
      </w:r>
      <w:proofErr w:type="gramEnd"/>
      <w:r w:rsidRPr="00162021">
        <w:t xml:space="preserve"> § 1405(c).</w:t>
      </w:r>
    </w:p>
    <w:p w:rsidR="0088321A" w:rsidRDefault="0088321A" w:rsidP="0090577C">
      <w:pPr>
        <w:tabs>
          <w:tab w:val="left" w:pos="0"/>
        </w:tabs>
        <w:spacing w:line="360" w:lineRule="auto"/>
      </w:pPr>
    </w:p>
    <w:p w:rsidR="00DC7B89" w:rsidRPr="00162021" w:rsidRDefault="0088321A" w:rsidP="0090577C">
      <w:pPr>
        <w:spacing w:line="360" w:lineRule="auto"/>
        <w:ind w:firstLine="1440"/>
      </w:pPr>
      <w:r>
        <w:t>9</w:t>
      </w:r>
      <w:r w:rsidR="00DC7B89" w:rsidRPr="00162021">
        <w:t>.</w:t>
      </w:r>
      <w:r w:rsidR="00DC7B89" w:rsidRPr="00162021">
        <w:tab/>
        <w:t>It is just, reasonable and in the public interest that the complaint filed at Docket No. C-201</w:t>
      </w:r>
      <w:r>
        <w:t>5-2489704</w:t>
      </w:r>
      <w:r w:rsidR="00DC7B89" w:rsidRPr="00162021">
        <w:rPr>
          <w:spacing w:val="-3"/>
        </w:rPr>
        <w:t xml:space="preserve"> </w:t>
      </w:r>
      <w:r w:rsidR="00DC7B89" w:rsidRPr="00162021">
        <w:t>is dismissed without hearing.</w:t>
      </w:r>
    </w:p>
    <w:p w:rsidR="0090577C" w:rsidRDefault="0090577C" w:rsidP="0090577C">
      <w:pPr>
        <w:spacing w:line="360" w:lineRule="auto"/>
        <w:ind w:firstLine="1440"/>
      </w:pPr>
      <w:r>
        <w:br w:type="page"/>
      </w:r>
    </w:p>
    <w:p w:rsidR="00B42ED8" w:rsidRDefault="00B42ED8" w:rsidP="00211604">
      <w:pPr>
        <w:spacing w:line="360" w:lineRule="auto"/>
        <w:jc w:val="center"/>
        <w:outlineLvl w:val="0"/>
        <w:rPr>
          <w:szCs w:val="24"/>
          <w:u w:val="single"/>
        </w:rPr>
      </w:pPr>
    </w:p>
    <w:p w:rsidR="000B4598" w:rsidRPr="005A21BA" w:rsidRDefault="000B4598" w:rsidP="00211604">
      <w:pPr>
        <w:spacing w:line="360" w:lineRule="auto"/>
        <w:jc w:val="center"/>
        <w:outlineLvl w:val="0"/>
        <w:rPr>
          <w:szCs w:val="24"/>
          <w:u w:val="single"/>
        </w:rPr>
      </w:pPr>
      <w:r w:rsidRPr="005A21BA">
        <w:rPr>
          <w:szCs w:val="24"/>
          <w:u w:val="single"/>
        </w:rPr>
        <w:t>ORDER</w:t>
      </w:r>
    </w:p>
    <w:p w:rsidR="000B4598" w:rsidRDefault="000B4598" w:rsidP="0090577C">
      <w:pPr>
        <w:spacing w:line="360" w:lineRule="auto"/>
        <w:rPr>
          <w:szCs w:val="24"/>
        </w:rPr>
      </w:pPr>
    </w:p>
    <w:p w:rsidR="00B42ED8" w:rsidRPr="005A21BA" w:rsidRDefault="00B42ED8" w:rsidP="0090577C">
      <w:pPr>
        <w:spacing w:line="360" w:lineRule="auto"/>
        <w:rPr>
          <w:szCs w:val="24"/>
        </w:rPr>
      </w:pPr>
    </w:p>
    <w:p w:rsidR="00893F27" w:rsidRPr="005A21BA" w:rsidRDefault="00B42ED8" w:rsidP="0090577C">
      <w:pPr>
        <w:spacing w:line="360" w:lineRule="auto"/>
        <w:rPr>
          <w:szCs w:val="24"/>
        </w:rPr>
      </w:pPr>
      <w:r>
        <w:rPr>
          <w:szCs w:val="24"/>
        </w:rPr>
        <w:tab/>
      </w:r>
      <w:r>
        <w:rPr>
          <w:szCs w:val="24"/>
        </w:rPr>
        <w:tab/>
        <w:t>THEREFORE,</w:t>
      </w:r>
    </w:p>
    <w:p w:rsidR="00893F27" w:rsidRPr="005A21BA" w:rsidRDefault="00893F27" w:rsidP="0090577C">
      <w:pPr>
        <w:spacing w:line="360" w:lineRule="auto"/>
        <w:rPr>
          <w:szCs w:val="24"/>
        </w:rPr>
      </w:pPr>
    </w:p>
    <w:p w:rsidR="000B4598" w:rsidRPr="005A21BA" w:rsidRDefault="00893F27" w:rsidP="0090577C">
      <w:pPr>
        <w:spacing w:line="360" w:lineRule="auto"/>
        <w:rPr>
          <w:szCs w:val="24"/>
        </w:rPr>
      </w:pPr>
      <w:r w:rsidRPr="005A21BA">
        <w:rPr>
          <w:szCs w:val="24"/>
        </w:rPr>
        <w:tab/>
      </w:r>
      <w:r w:rsidRPr="005A21BA">
        <w:rPr>
          <w:szCs w:val="24"/>
        </w:rPr>
        <w:tab/>
      </w:r>
      <w:r w:rsidR="000B4598" w:rsidRPr="005A21BA">
        <w:rPr>
          <w:szCs w:val="24"/>
        </w:rPr>
        <w:t>IT IS ORDERED:</w:t>
      </w:r>
    </w:p>
    <w:p w:rsidR="000B4598" w:rsidRPr="005A21BA" w:rsidRDefault="000B4598" w:rsidP="0090577C">
      <w:pPr>
        <w:spacing w:line="360" w:lineRule="auto"/>
        <w:rPr>
          <w:szCs w:val="24"/>
        </w:rPr>
      </w:pPr>
    </w:p>
    <w:p w:rsidR="000B4598" w:rsidRPr="005A21BA" w:rsidRDefault="000B4598" w:rsidP="0090577C">
      <w:pPr>
        <w:spacing w:line="360" w:lineRule="auto"/>
        <w:rPr>
          <w:szCs w:val="24"/>
        </w:rPr>
      </w:pPr>
      <w:r w:rsidRPr="005A21BA">
        <w:rPr>
          <w:szCs w:val="24"/>
        </w:rPr>
        <w:tab/>
      </w:r>
      <w:r w:rsidRPr="005A21BA">
        <w:rPr>
          <w:szCs w:val="24"/>
        </w:rPr>
        <w:tab/>
      </w:r>
      <w:r w:rsidR="000F02F1" w:rsidRPr="005A21BA">
        <w:rPr>
          <w:szCs w:val="24"/>
        </w:rPr>
        <w:t>1</w:t>
      </w:r>
      <w:r w:rsidRPr="005A21BA">
        <w:rPr>
          <w:szCs w:val="24"/>
        </w:rPr>
        <w:t>.</w:t>
      </w:r>
      <w:r w:rsidRPr="005A21BA">
        <w:rPr>
          <w:szCs w:val="24"/>
        </w:rPr>
        <w:tab/>
        <w:t xml:space="preserve">That the motion of </w:t>
      </w:r>
      <w:r w:rsidR="0088321A">
        <w:rPr>
          <w:szCs w:val="24"/>
        </w:rPr>
        <w:t xml:space="preserve">Philadelphia Gas Works </w:t>
      </w:r>
      <w:r w:rsidR="00A04706" w:rsidRPr="005A21BA">
        <w:rPr>
          <w:szCs w:val="24"/>
        </w:rPr>
        <w:t xml:space="preserve">for summary judgment </w:t>
      </w:r>
      <w:r w:rsidRPr="005A21BA">
        <w:rPr>
          <w:szCs w:val="24"/>
        </w:rPr>
        <w:t xml:space="preserve">at </w:t>
      </w:r>
      <w:r w:rsidR="006D21BA" w:rsidRPr="005A21BA">
        <w:rPr>
          <w:szCs w:val="24"/>
        </w:rPr>
        <w:t xml:space="preserve">Docket No. </w:t>
      </w:r>
      <w:r w:rsidR="0088321A" w:rsidRPr="00162021">
        <w:t>C-201</w:t>
      </w:r>
      <w:r w:rsidR="0088321A">
        <w:t>5-2489704</w:t>
      </w:r>
      <w:r w:rsidR="0088321A" w:rsidRPr="00162021">
        <w:rPr>
          <w:spacing w:val="-3"/>
        </w:rPr>
        <w:t xml:space="preserve"> </w:t>
      </w:r>
      <w:r w:rsidRPr="005A21BA">
        <w:rPr>
          <w:szCs w:val="24"/>
        </w:rPr>
        <w:t>is hereby granted.</w:t>
      </w:r>
    </w:p>
    <w:p w:rsidR="000B4598" w:rsidRPr="005A21BA" w:rsidRDefault="000B4598" w:rsidP="0090577C">
      <w:pPr>
        <w:spacing w:line="360" w:lineRule="auto"/>
        <w:rPr>
          <w:szCs w:val="24"/>
        </w:rPr>
      </w:pPr>
    </w:p>
    <w:p w:rsidR="000B4598" w:rsidRPr="005A21BA" w:rsidRDefault="000B4598" w:rsidP="0090577C">
      <w:pPr>
        <w:spacing w:line="360" w:lineRule="auto"/>
        <w:rPr>
          <w:szCs w:val="24"/>
        </w:rPr>
      </w:pPr>
      <w:r w:rsidRPr="005A21BA">
        <w:rPr>
          <w:szCs w:val="24"/>
        </w:rPr>
        <w:tab/>
      </w:r>
      <w:r w:rsidRPr="005A21BA">
        <w:rPr>
          <w:szCs w:val="24"/>
        </w:rPr>
        <w:tab/>
      </w:r>
      <w:r w:rsidR="000F02F1" w:rsidRPr="005A21BA">
        <w:rPr>
          <w:szCs w:val="24"/>
        </w:rPr>
        <w:t>2</w:t>
      </w:r>
      <w:r w:rsidRPr="005A21BA">
        <w:rPr>
          <w:szCs w:val="24"/>
        </w:rPr>
        <w:t>.</w:t>
      </w:r>
      <w:r w:rsidRPr="005A21BA">
        <w:rPr>
          <w:szCs w:val="24"/>
        </w:rPr>
        <w:tab/>
        <w:t xml:space="preserve">That the </w:t>
      </w:r>
      <w:r w:rsidR="004E3444" w:rsidRPr="005A21BA">
        <w:rPr>
          <w:szCs w:val="24"/>
        </w:rPr>
        <w:t xml:space="preserve">complaint of </w:t>
      </w:r>
      <w:r w:rsidR="0088321A">
        <w:rPr>
          <w:szCs w:val="24"/>
        </w:rPr>
        <w:t xml:space="preserve">Patrick W. Jones </w:t>
      </w:r>
      <w:r w:rsidR="004E3444" w:rsidRPr="005A21BA">
        <w:rPr>
          <w:szCs w:val="24"/>
        </w:rPr>
        <w:t xml:space="preserve">against </w:t>
      </w:r>
      <w:r w:rsidR="0088321A">
        <w:rPr>
          <w:szCs w:val="24"/>
        </w:rPr>
        <w:t>Philadelphia Gas Works</w:t>
      </w:r>
      <w:r w:rsidR="004E3444" w:rsidRPr="005A21BA">
        <w:rPr>
          <w:szCs w:val="24"/>
        </w:rPr>
        <w:t xml:space="preserve"> </w:t>
      </w:r>
      <w:r w:rsidR="006D21BA" w:rsidRPr="005A21BA">
        <w:rPr>
          <w:szCs w:val="24"/>
        </w:rPr>
        <w:t xml:space="preserve">at Docket No. </w:t>
      </w:r>
      <w:r w:rsidR="0088321A" w:rsidRPr="00162021">
        <w:t>C-201</w:t>
      </w:r>
      <w:r w:rsidR="0088321A">
        <w:t>5-</w:t>
      </w:r>
      <w:proofErr w:type="gramStart"/>
      <w:r w:rsidR="0088321A">
        <w:t>2489704</w:t>
      </w:r>
      <w:r w:rsidR="0088321A" w:rsidRPr="00162021">
        <w:rPr>
          <w:spacing w:val="-3"/>
        </w:rPr>
        <w:t xml:space="preserve"> </w:t>
      </w:r>
      <w:r w:rsidR="000F02F1" w:rsidRPr="005A21BA">
        <w:rPr>
          <w:szCs w:val="24"/>
        </w:rPr>
        <w:t xml:space="preserve"> </w:t>
      </w:r>
      <w:r w:rsidR="00A04706" w:rsidRPr="005A21BA">
        <w:rPr>
          <w:szCs w:val="24"/>
        </w:rPr>
        <w:t>is</w:t>
      </w:r>
      <w:proofErr w:type="gramEnd"/>
      <w:r w:rsidR="00A04706" w:rsidRPr="005A21BA">
        <w:rPr>
          <w:szCs w:val="24"/>
        </w:rPr>
        <w:t xml:space="preserve"> </w:t>
      </w:r>
      <w:r w:rsidRPr="005A21BA">
        <w:rPr>
          <w:szCs w:val="24"/>
        </w:rPr>
        <w:t xml:space="preserve">hereby </w:t>
      </w:r>
      <w:r w:rsidR="004E3444" w:rsidRPr="005A21BA">
        <w:rPr>
          <w:szCs w:val="24"/>
        </w:rPr>
        <w:t>denied</w:t>
      </w:r>
      <w:r w:rsidRPr="005A21BA">
        <w:rPr>
          <w:szCs w:val="24"/>
        </w:rPr>
        <w:t>.</w:t>
      </w:r>
    </w:p>
    <w:p w:rsidR="002B6168" w:rsidRPr="005A21BA" w:rsidRDefault="002B6168" w:rsidP="0090577C">
      <w:pPr>
        <w:spacing w:line="360" w:lineRule="auto"/>
        <w:rPr>
          <w:szCs w:val="24"/>
        </w:rPr>
      </w:pPr>
    </w:p>
    <w:p w:rsidR="002B6168" w:rsidRPr="005A21BA" w:rsidRDefault="002B6168" w:rsidP="0090577C">
      <w:pPr>
        <w:spacing w:line="360" w:lineRule="auto"/>
        <w:rPr>
          <w:szCs w:val="24"/>
        </w:rPr>
      </w:pPr>
      <w:r w:rsidRPr="005A21BA">
        <w:rPr>
          <w:szCs w:val="24"/>
        </w:rPr>
        <w:tab/>
      </w:r>
      <w:r w:rsidRPr="005A21BA">
        <w:rPr>
          <w:szCs w:val="24"/>
        </w:rPr>
        <w:tab/>
      </w:r>
      <w:r w:rsidR="000F02F1" w:rsidRPr="005A21BA">
        <w:rPr>
          <w:szCs w:val="24"/>
        </w:rPr>
        <w:t>3</w:t>
      </w:r>
      <w:r w:rsidRPr="005A21BA">
        <w:rPr>
          <w:szCs w:val="24"/>
        </w:rPr>
        <w:t>.</w:t>
      </w:r>
      <w:r w:rsidRPr="005A21BA">
        <w:rPr>
          <w:szCs w:val="24"/>
        </w:rPr>
        <w:tab/>
        <w:t xml:space="preserve">That the </w:t>
      </w:r>
      <w:r w:rsidR="00FA54EA">
        <w:rPr>
          <w:szCs w:val="24"/>
        </w:rPr>
        <w:t>docket</w:t>
      </w:r>
      <w:r w:rsidRPr="005A21BA">
        <w:rPr>
          <w:szCs w:val="24"/>
        </w:rPr>
        <w:t xml:space="preserve"> at Docket No. </w:t>
      </w:r>
      <w:r w:rsidR="0088321A" w:rsidRPr="00162021">
        <w:t>C-201</w:t>
      </w:r>
      <w:r w:rsidR="0088321A">
        <w:t>5-2489704</w:t>
      </w:r>
      <w:r w:rsidR="0088321A" w:rsidRPr="00162021">
        <w:rPr>
          <w:spacing w:val="-3"/>
        </w:rPr>
        <w:t xml:space="preserve"> </w:t>
      </w:r>
      <w:r w:rsidRPr="005A21BA">
        <w:rPr>
          <w:szCs w:val="24"/>
        </w:rPr>
        <w:t>is marked closed.</w:t>
      </w:r>
    </w:p>
    <w:p w:rsidR="0028383D" w:rsidRPr="005A21BA" w:rsidRDefault="0028383D" w:rsidP="0090577C">
      <w:pPr>
        <w:spacing w:line="360" w:lineRule="auto"/>
        <w:rPr>
          <w:szCs w:val="24"/>
        </w:rPr>
      </w:pPr>
    </w:p>
    <w:p w:rsidR="000B4598" w:rsidRPr="005A21BA" w:rsidRDefault="000B4598" w:rsidP="0090577C">
      <w:pPr>
        <w:tabs>
          <w:tab w:val="left" w:pos="5040"/>
        </w:tabs>
        <w:spacing w:line="360" w:lineRule="auto"/>
        <w:rPr>
          <w:szCs w:val="24"/>
        </w:rPr>
      </w:pPr>
    </w:p>
    <w:p w:rsidR="000B4598" w:rsidRPr="005A21BA" w:rsidRDefault="00093BE1" w:rsidP="00211604">
      <w:pPr>
        <w:outlineLvl w:val="0"/>
        <w:rPr>
          <w:szCs w:val="24"/>
          <w:u w:val="single"/>
        </w:rPr>
      </w:pPr>
      <w:r w:rsidRPr="005A21BA">
        <w:rPr>
          <w:szCs w:val="24"/>
        </w:rPr>
        <w:t>Dated:</w:t>
      </w:r>
      <w:r w:rsidRPr="005A21BA">
        <w:rPr>
          <w:szCs w:val="24"/>
        </w:rPr>
        <w:tab/>
      </w:r>
      <w:r w:rsidR="0088321A">
        <w:rPr>
          <w:szCs w:val="24"/>
          <w:u w:val="single"/>
        </w:rPr>
        <w:t>August 6, 2015</w:t>
      </w:r>
      <w:r w:rsidR="000B4598" w:rsidRPr="005A21BA">
        <w:rPr>
          <w:szCs w:val="24"/>
        </w:rPr>
        <w:tab/>
      </w:r>
      <w:r w:rsidR="002272C9" w:rsidRPr="005A21BA">
        <w:rPr>
          <w:szCs w:val="24"/>
        </w:rPr>
        <w:tab/>
      </w:r>
      <w:r w:rsidR="002272C9" w:rsidRPr="005A21BA">
        <w:rPr>
          <w:szCs w:val="24"/>
        </w:rPr>
        <w:tab/>
      </w:r>
      <w:r w:rsidR="000F02F1" w:rsidRPr="005A21BA">
        <w:rPr>
          <w:szCs w:val="24"/>
        </w:rPr>
        <w:tab/>
      </w:r>
      <w:r w:rsidR="000F02F1" w:rsidRPr="005A21BA">
        <w:rPr>
          <w:szCs w:val="24"/>
          <w:u w:val="single"/>
        </w:rPr>
        <w:tab/>
      </w:r>
      <w:r w:rsidR="000F02F1" w:rsidRPr="005A21BA">
        <w:rPr>
          <w:szCs w:val="24"/>
          <w:u w:val="single"/>
        </w:rPr>
        <w:tab/>
      </w:r>
      <w:r w:rsidR="000F02F1" w:rsidRPr="005A21BA">
        <w:rPr>
          <w:szCs w:val="24"/>
          <w:u w:val="single"/>
        </w:rPr>
        <w:tab/>
        <w:t>/s/</w:t>
      </w:r>
      <w:r w:rsidR="000F02F1" w:rsidRPr="005A21BA">
        <w:rPr>
          <w:szCs w:val="24"/>
          <w:u w:val="single"/>
        </w:rPr>
        <w:tab/>
      </w:r>
      <w:r w:rsidR="000F02F1" w:rsidRPr="005A21BA">
        <w:rPr>
          <w:szCs w:val="24"/>
          <w:u w:val="single"/>
        </w:rPr>
        <w:tab/>
      </w:r>
      <w:r w:rsidR="000F02F1" w:rsidRPr="005A21BA">
        <w:rPr>
          <w:szCs w:val="24"/>
          <w:u w:val="single"/>
        </w:rPr>
        <w:tab/>
      </w:r>
    </w:p>
    <w:p w:rsidR="000B4598" w:rsidRPr="005A21BA" w:rsidRDefault="000B4598" w:rsidP="000B4598">
      <w:pPr>
        <w:rPr>
          <w:szCs w:val="24"/>
        </w:rPr>
      </w:pPr>
      <w:r w:rsidRPr="005A21BA">
        <w:rPr>
          <w:szCs w:val="24"/>
        </w:rPr>
        <w:tab/>
      </w:r>
      <w:r w:rsidRPr="005A21BA">
        <w:rPr>
          <w:szCs w:val="24"/>
        </w:rPr>
        <w:tab/>
      </w:r>
      <w:r w:rsidRPr="005A21BA">
        <w:rPr>
          <w:szCs w:val="24"/>
        </w:rPr>
        <w:tab/>
      </w:r>
      <w:r w:rsidRPr="005A21BA">
        <w:rPr>
          <w:szCs w:val="24"/>
        </w:rPr>
        <w:tab/>
      </w:r>
      <w:r w:rsidRPr="005A21BA">
        <w:rPr>
          <w:szCs w:val="24"/>
        </w:rPr>
        <w:tab/>
      </w:r>
      <w:r w:rsidR="00093BE1" w:rsidRPr="005A21BA">
        <w:rPr>
          <w:szCs w:val="24"/>
        </w:rPr>
        <w:tab/>
      </w:r>
      <w:r w:rsidRPr="005A21BA">
        <w:rPr>
          <w:szCs w:val="24"/>
        </w:rPr>
        <w:tab/>
      </w:r>
      <w:r w:rsidR="006D21BA" w:rsidRPr="005A21BA">
        <w:rPr>
          <w:szCs w:val="24"/>
        </w:rPr>
        <w:t>David A. Salapa</w:t>
      </w:r>
    </w:p>
    <w:p w:rsidR="009F105D" w:rsidRPr="005A21BA" w:rsidRDefault="000B4598" w:rsidP="00093BE1">
      <w:pPr>
        <w:rPr>
          <w:szCs w:val="24"/>
        </w:rPr>
      </w:pPr>
      <w:r w:rsidRPr="005A21BA">
        <w:rPr>
          <w:szCs w:val="24"/>
        </w:rPr>
        <w:tab/>
      </w:r>
      <w:r w:rsidRPr="005A21BA">
        <w:rPr>
          <w:szCs w:val="24"/>
        </w:rPr>
        <w:tab/>
      </w:r>
      <w:r w:rsidRPr="005A21BA">
        <w:rPr>
          <w:szCs w:val="24"/>
        </w:rPr>
        <w:tab/>
      </w:r>
      <w:r w:rsidRPr="005A21BA">
        <w:rPr>
          <w:szCs w:val="24"/>
        </w:rPr>
        <w:tab/>
      </w:r>
      <w:r w:rsidRPr="005A21BA">
        <w:rPr>
          <w:szCs w:val="24"/>
        </w:rPr>
        <w:tab/>
      </w:r>
      <w:r w:rsidR="00093BE1" w:rsidRPr="005A21BA">
        <w:rPr>
          <w:szCs w:val="24"/>
        </w:rPr>
        <w:tab/>
      </w:r>
      <w:r w:rsidRPr="005A21BA">
        <w:rPr>
          <w:szCs w:val="24"/>
        </w:rPr>
        <w:tab/>
        <w:t>Administrative Law Judge</w:t>
      </w:r>
    </w:p>
    <w:sectPr w:rsidR="009F105D" w:rsidRPr="005A21BA" w:rsidSect="009A2D2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13" w:rsidRDefault="00373413">
      <w:r>
        <w:separator/>
      </w:r>
    </w:p>
  </w:endnote>
  <w:endnote w:type="continuationSeparator" w:id="0">
    <w:p w:rsidR="00373413" w:rsidRDefault="0037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C8" w:rsidRDefault="00473EC8" w:rsidP="009A2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EC8" w:rsidRDefault="0047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C8" w:rsidRPr="009A2D29" w:rsidRDefault="00473EC8" w:rsidP="009A2D29">
    <w:pPr>
      <w:pStyle w:val="Footer"/>
      <w:framePr w:wrap="around" w:vAnchor="text" w:hAnchor="margin" w:xAlign="center" w:y="1"/>
      <w:rPr>
        <w:rStyle w:val="PageNumber"/>
        <w:sz w:val="20"/>
      </w:rPr>
    </w:pPr>
    <w:r w:rsidRPr="009A2D29">
      <w:rPr>
        <w:rStyle w:val="PageNumber"/>
        <w:sz w:val="20"/>
      </w:rPr>
      <w:fldChar w:fldCharType="begin"/>
    </w:r>
    <w:r w:rsidRPr="009A2D29">
      <w:rPr>
        <w:rStyle w:val="PageNumber"/>
        <w:sz w:val="20"/>
      </w:rPr>
      <w:instrText xml:space="preserve">PAGE  </w:instrText>
    </w:r>
    <w:r w:rsidRPr="009A2D29">
      <w:rPr>
        <w:rStyle w:val="PageNumber"/>
        <w:sz w:val="20"/>
      </w:rPr>
      <w:fldChar w:fldCharType="separate"/>
    </w:r>
    <w:r w:rsidR="003957B7">
      <w:rPr>
        <w:rStyle w:val="PageNumber"/>
        <w:noProof/>
        <w:sz w:val="20"/>
      </w:rPr>
      <w:t>4</w:t>
    </w:r>
    <w:r w:rsidRPr="009A2D29">
      <w:rPr>
        <w:rStyle w:val="PageNumber"/>
        <w:sz w:val="20"/>
      </w:rPr>
      <w:fldChar w:fldCharType="end"/>
    </w:r>
  </w:p>
  <w:p w:rsidR="00473EC8" w:rsidRDefault="0047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13" w:rsidRDefault="00373413">
      <w:r>
        <w:separator/>
      </w:r>
    </w:p>
  </w:footnote>
  <w:footnote w:type="continuationSeparator" w:id="0">
    <w:p w:rsidR="00373413" w:rsidRDefault="00373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27"/>
    <w:rsid w:val="00001DD7"/>
    <w:rsid w:val="00002732"/>
    <w:rsid w:val="00003FAA"/>
    <w:rsid w:val="00005A43"/>
    <w:rsid w:val="000100BE"/>
    <w:rsid w:val="00022332"/>
    <w:rsid w:val="00031CBE"/>
    <w:rsid w:val="00032130"/>
    <w:rsid w:val="00036A4A"/>
    <w:rsid w:val="00036B77"/>
    <w:rsid w:val="0003700C"/>
    <w:rsid w:val="00040298"/>
    <w:rsid w:val="000407B2"/>
    <w:rsid w:val="00044DF8"/>
    <w:rsid w:val="00045CB8"/>
    <w:rsid w:val="00052F8D"/>
    <w:rsid w:val="000617BB"/>
    <w:rsid w:val="0006545C"/>
    <w:rsid w:val="00067728"/>
    <w:rsid w:val="00072089"/>
    <w:rsid w:val="0007267C"/>
    <w:rsid w:val="00073060"/>
    <w:rsid w:val="000738E5"/>
    <w:rsid w:val="00080729"/>
    <w:rsid w:val="00081298"/>
    <w:rsid w:val="000909DD"/>
    <w:rsid w:val="0009209C"/>
    <w:rsid w:val="00092CF9"/>
    <w:rsid w:val="00093BE1"/>
    <w:rsid w:val="000A03FE"/>
    <w:rsid w:val="000A1AB3"/>
    <w:rsid w:val="000A37BA"/>
    <w:rsid w:val="000A7BD3"/>
    <w:rsid w:val="000B1BB7"/>
    <w:rsid w:val="000B4598"/>
    <w:rsid w:val="000B56A1"/>
    <w:rsid w:val="000B6538"/>
    <w:rsid w:val="000C6E43"/>
    <w:rsid w:val="000D3B8C"/>
    <w:rsid w:val="000D55AE"/>
    <w:rsid w:val="000E4BE8"/>
    <w:rsid w:val="000F02F1"/>
    <w:rsid w:val="000F3252"/>
    <w:rsid w:val="000F439F"/>
    <w:rsid w:val="000F47B0"/>
    <w:rsid w:val="000F7CE2"/>
    <w:rsid w:val="0010024A"/>
    <w:rsid w:val="00100E62"/>
    <w:rsid w:val="00100F98"/>
    <w:rsid w:val="00104264"/>
    <w:rsid w:val="00107570"/>
    <w:rsid w:val="0011393C"/>
    <w:rsid w:val="0011511C"/>
    <w:rsid w:val="0011535D"/>
    <w:rsid w:val="00120CF3"/>
    <w:rsid w:val="00121237"/>
    <w:rsid w:val="00122BB8"/>
    <w:rsid w:val="0012440F"/>
    <w:rsid w:val="00124BDC"/>
    <w:rsid w:val="00126107"/>
    <w:rsid w:val="001265B0"/>
    <w:rsid w:val="0013157C"/>
    <w:rsid w:val="001350DA"/>
    <w:rsid w:val="001401C5"/>
    <w:rsid w:val="001443FB"/>
    <w:rsid w:val="0014449B"/>
    <w:rsid w:val="001457B1"/>
    <w:rsid w:val="00146FEC"/>
    <w:rsid w:val="001505A0"/>
    <w:rsid w:val="00151028"/>
    <w:rsid w:val="00153B6B"/>
    <w:rsid w:val="00154162"/>
    <w:rsid w:val="0016117C"/>
    <w:rsid w:val="0016294A"/>
    <w:rsid w:val="001641D7"/>
    <w:rsid w:val="00165F94"/>
    <w:rsid w:val="001731B6"/>
    <w:rsid w:val="00174683"/>
    <w:rsid w:val="00174FEF"/>
    <w:rsid w:val="00176521"/>
    <w:rsid w:val="00180A21"/>
    <w:rsid w:val="00180CCF"/>
    <w:rsid w:val="00184400"/>
    <w:rsid w:val="0019288E"/>
    <w:rsid w:val="00195482"/>
    <w:rsid w:val="00196BB0"/>
    <w:rsid w:val="001A2A86"/>
    <w:rsid w:val="001A2B42"/>
    <w:rsid w:val="001A36E2"/>
    <w:rsid w:val="001A5B4C"/>
    <w:rsid w:val="001B076F"/>
    <w:rsid w:val="001B32E4"/>
    <w:rsid w:val="001B5F7E"/>
    <w:rsid w:val="001B6195"/>
    <w:rsid w:val="001B6AF4"/>
    <w:rsid w:val="001B7381"/>
    <w:rsid w:val="001C0D12"/>
    <w:rsid w:val="001C1139"/>
    <w:rsid w:val="001C1487"/>
    <w:rsid w:val="001C5D63"/>
    <w:rsid w:val="001C6F0C"/>
    <w:rsid w:val="001C7107"/>
    <w:rsid w:val="001D66AD"/>
    <w:rsid w:val="001D7AC3"/>
    <w:rsid w:val="001D7E06"/>
    <w:rsid w:val="001E17EF"/>
    <w:rsid w:val="001E7319"/>
    <w:rsid w:val="001F1478"/>
    <w:rsid w:val="001F1904"/>
    <w:rsid w:val="001F23E6"/>
    <w:rsid w:val="001F2AC5"/>
    <w:rsid w:val="001F2C99"/>
    <w:rsid w:val="001F5C7E"/>
    <w:rsid w:val="001F7010"/>
    <w:rsid w:val="00202F76"/>
    <w:rsid w:val="00203118"/>
    <w:rsid w:val="0020777A"/>
    <w:rsid w:val="002103EB"/>
    <w:rsid w:val="00210C72"/>
    <w:rsid w:val="0021140D"/>
    <w:rsid w:val="00211604"/>
    <w:rsid w:val="002132D7"/>
    <w:rsid w:val="002161A3"/>
    <w:rsid w:val="002227D4"/>
    <w:rsid w:val="00222E36"/>
    <w:rsid w:val="00224511"/>
    <w:rsid w:val="00224AAE"/>
    <w:rsid w:val="00225C79"/>
    <w:rsid w:val="002272C9"/>
    <w:rsid w:val="00227F0F"/>
    <w:rsid w:val="002317E7"/>
    <w:rsid w:val="00232F3B"/>
    <w:rsid w:val="00233FCC"/>
    <w:rsid w:val="00234438"/>
    <w:rsid w:val="00235C66"/>
    <w:rsid w:val="0023633E"/>
    <w:rsid w:val="002369FD"/>
    <w:rsid w:val="002379D0"/>
    <w:rsid w:val="00242EA0"/>
    <w:rsid w:val="00242ED7"/>
    <w:rsid w:val="00250FBB"/>
    <w:rsid w:val="0025157B"/>
    <w:rsid w:val="0025244C"/>
    <w:rsid w:val="002526F9"/>
    <w:rsid w:val="0026225E"/>
    <w:rsid w:val="00262467"/>
    <w:rsid w:val="0026256A"/>
    <w:rsid w:val="00262821"/>
    <w:rsid w:val="00262B26"/>
    <w:rsid w:val="00266CD8"/>
    <w:rsid w:val="00272141"/>
    <w:rsid w:val="0027273E"/>
    <w:rsid w:val="00273ADF"/>
    <w:rsid w:val="0027596C"/>
    <w:rsid w:val="00277664"/>
    <w:rsid w:val="002822B6"/>
    <w:rsid w:val="0028383D"/>
    <w:rsid w:val="0028412D"/>
    <w:rsid w:val="002913A6"/>
    <w:rsid w:val="002943B7"/>
    <w:rsid w:val="002A10E8"/>
    <w:rsid w:val="002A2BDB"/>
    <w:rsid w:val="002B2800"/>
    <w:rsid w:val="002B28ED"/>
    <w:rsid w:val="002B6168"/>
    <w:rsid w:val="002C601B"/>
    <w:rsid w:val="002C7690"/>
    <w:rsid w:val="002D4D76"/>
    <w:rsid w:val="002D7E49"/>
    <w:rsid w:val="002E0A95"/>
    <w:rsid w:val="002E2A44"/>
    <w:rsid w:val="002E40FF"/>
    <w:rsid w:val="002E5C8F"/>
    <w:rsid w:val="002E689E"/>
    <w:rsid w:val="002F1642"/>
    <w:rsid w:val="002F3CA1"/>
    <w:rsid w:val="002F49F8"/>
    <w:rsid w:val="002F5F85"/>
    <w:rsid w:val="002F73CE"/>
    <w:rsid w:val="002F7E1F"/>
    <w:rsid w:val="00301595"/>
    <w:rsid w:val="00301B1C"/>
    <w:rsid w:val="003037F1"/>
    <w:rsid w:val="003038FC"/>
    <w:rsid w:val="003120E6"/>
    <w:rsid w:val="00312206"/>
    <w:rsid w:val="003127EF"/>
    <w:rsid w:val="003211AC"/>
    <w:rsid w:val="00322899"/>
    <w:rsid w:val="00323CDE"/>
    <w:rsid w:val="00325335"/>
    <w:rsid w:val="00326117"/>
    <w:rsid w:val="00327021"/>
    <w:rsid w:val="00334C45"/>
    <w:rsid w:val="00335B7A"/>
    <w:rsid w:val="00350AC0"/>
    <w:rsid w:val="00352173"/>
    <w:rsid w:val="00353C70"/>
    <w:rsid w:val="003553D4"/>
    <w:rsid w:val="00361F71"/>
    <w:rsid w:val="00362145"/>
    <w:rsid w:val="00367251"/>
    <w:rsid w:val="00373413"/>
    <w:rsid w:val="00374194"/>
    <w:rsid w:val="003807BB"/>
    <w:rsid w:val="00381964"/>
    <w:rsid w:val="00381C4C"/>
    <w:rsid w:val="00382B8B"/>
    <w:rsid w:val="003900F1"/>
    <w:rsid w:val="00390828"/>
    <w:rsid w:val="003957B7"/>
    <w:rsid w:val="0039693B"/>
    <w:rsid w:val="00397002"/>
    <w:rsid w:val="003A1C2F"/>
    <w:rsid w:val="003A4772"/>
    <w:rsid w:val="003B0B6F"/>
    <w:rsid w:val="003B226D"/>
    <w:rsid w:val="003B2A46"/>
    <w:rsid w:val="003B31EC"/>
    <w:rsid w:val="003B465A"/>
    <w:rsid w:val="003B7A96"/>
    <w:rsid w:val="003D1822"/>
    <w:rsid w:val="003D5B40"/>
    <w:rsid w:val="003E1531"/>
    <w:rsid w:val="003E1E51"/>
    <w:rsid w:val="003E3C6C"/>
    <w:rsid w:val="003F0C03"/>
    <w:rsid w:val="003F5AA1"/>
    <w:rsid w:val="003F5AA5"/>
    <w:rsid w:val="003F728B"/>
    <w:rsid w:val="00402311"/>
    <w:rsid w:val="00403FFB"/>
    <w:rsid w:val="00404232"/>
    <w:rsid w:val="00406199"/>
    <w:rsid w:val="00406D27"/>
    <w:rsid w:val="00407103"/>
    <w:rsid w:val="004104DB"/>
    <w:rsid w:val="0041327B"/>
    <w:rsid w:val="004147DD"/>
    <w:rsid w:val="004179F9"/>
    <w:rsid w:val="00417F73"/>
    <w:rsid w:val="00421AAA"/>
    <w:rsid w:val="00421DDF"/>
    <w:rsid w:val="00422891"/>
    <w:rsid w:val="00430B60"/>
    <w:rsid w:val="00431487"/>
    <w:rsid w:val="004423EA"/>
    <w:rsid w:val="0044292A"/>
    <w:rsid w:val="0044492E"/>
    <w:rsid w:val="00445129"/>
    <w:rsid w:val="0044655D"/>
    <w:rsid w:val="0044739B"/>
    <w:rsid w:val="00470871"/>
    <w:rsid w:val="00473EC8"/>
    <w:rsid w:val="00474483"/>
    <w:rsid w:val="00475C5A"/>
    <w:rsid w:val="004764BB"/>
    <w:rsid w:val="00477D26"/>
    <w:rsid w:val="00480746"/>
    <w:rsid w:val="00481174"/>
    <w:rsid w:val="00482CC8"/>
    <w:rsid w:val="00483D10"/>
    <w:rsid w:val="004842A3"/>
    <w:rsid w:val="0048727B"/>
    <w:rsid w:val="004906BE"/>
    <w:rsid w:val="0049162E"/>
    <w:rsid w:val="00492FD4"/>
    <w:rsid w:val="00493C8B"/>
    <w:rsid w:val="00494216"/>
    <w:rsid w:val="0049452F"/>
    <w:rsid w:val="00494D85"/>
    <w:rsid w:val="00495FFF"/>
    <w:rsid w:val="00497876"/>
    <w:rsid w:val="004A0026"/>
    <w:rsid w:val="004A45E4"/>
    <w:rsid w:val="004B39F4"/>
    <w:rsid w:val="004B594A"/>
    <w:rsid w:val="004C357C"/>
    <w:rsid w:val="004C36DD"/>
    <w:rsid w:val="004C4D77"/>
    <w:rsid w:val="004C7767"/>
    <w:rsid w:val="004D19EC"/>
    <w:rsid w:val="004D5868"/>
    <w:rsid w:val="004D5A37"/>
    <w:rsid w:val="004E05AE"/>
    <w:rsid w:val="004E15BA"/>
    <w:rsid w:val="004E1818"/>
    <w:rsid w:val="004E245B"/>
    <w:rsid w:val="004E3444"/>
    <w:rsid w:val="004E7976"/>
    <w:rsid w:val="004E79F3"/>
    <w:rsid w:val="004F16A1"/>
    <w:rsid w:val="004F23F0"/>
    <w:rsid w:val="004F57A5"/>
    <w:rsid w:val="004F59D9"/>
    <w:rsid w:val="004F5AA6"/>
    <w:rsid w:val="004F7858"/>
    <w:rsid w:val="00506F09"/>
    <w:rsid w:val="00506FE4"/>
    <w:rsid w:val="00516335"/>
    <w:rsid w:val="005213F3"/>
    <w:rsid w:val="00524120"/>
    <w:rsid w:val="00533BF3"/>
    <w:rsid w:val="00537FA1"/>
    <w:rsid w:val="00540A0D"/>
    <w:rsid w:val="0054194B"/>
    <w:rsid w:val="005468C3"/>
    <w:rsid w:val="0055051B"/>
    <w:rsid w:val="00550FF9"/>
    <w:rsid w:val="005545BD"/>
    <w:rsid w:val="00555E89"/>
    <w:rsid w:val="00560597"/>
    <w:rsid w:val="00561AFE"/>
    <w:rsid w:val="00561C70"/>
    <w:rsid w:val="005622F7"/>
    <w:rsid w:val="00562302"/>
    <w:rsid w:val="00565B80"/>
    <w:rsid w:val="005668D5"/>
    <w:rsid w:val="00572071"/>
    <w:rsid w:val="005722BC"/>
    <w:rsid w:val="00575400"/>
    <w:rsid w:val="0057543B"/>
    <w:rsid w:val="00577670"/>
    <w:rsid w:val="005815C1"/>
    <w:rsid w:val="00581FC7"/>
    <w:rsid w:val="0058394B"/>
    <w:rsid w:val="00585C47"/>
    <w:rsid w:val="00587F9D"/>
    <w:rsid w:val="00590886"/>
    <w:rsid w:val="00595462"/>
    <w:rsid w:val="00596071"/>
    <w:rsid w:val="00596253"/>
    <w:rsid w:val="005A21BA"/>
    <w:rsid w:val="005B27D6"/>
    <w:rsid w:val="005B3A88"/>
    <w:rsid w:val="005B3EB7"/>
    <w:rsid w:val="005C008B"/>
    <w:rsid w:val="005C18C8"/>
    <w:rsid w:val="005C3CF8"/>
    <w:rsid w:val="005C4985"/>
    <w:rsid w:val="005C6036"/>
    <w:rsid w:val="005D1A72"/>
    <w:rsid w:val="005D72A4"/>
    <w:rsid w:val="005E21B3"/>
    <w:rsid w:val="005E3B5E"/>
    <w:rsid w:val="005E3F4C"/>
    <w:rsid w:val="005E4125"/>
    <w:rsid w:val="005E75D8"/>
    <w:rsid w:val="005F16D7"/>
    <w:rsid w:val="005F178B"/>
    <w:rsid w:val="005F2E71"/>
    <w:rsid w:val="005F6443"/>
    <w:rsid w:val="005F6724"/>
    <w:rsid w:val="005F7601"/>
    <w:rsid w:val="0060157E"/>
    <w:rsid w:val="0060308D"/>
    <w:rsid w:val="00604DE7"/>
    <w:rsid w:val="006100BE"/>
    <w:rsid w:val="00610774"/>
    <w:rsid w:val="0061086E"/>
    <w:rsid w:val="00610A13"/>
    <w:rsid w:val="00613A78"/>
    <w:rsid w:val="00615F59"/>
    <w:rsid w:val="006178BC"/>
    <w:rsid w:val="0062221F"/>
    <w:rsid w:val="00624307"/>
    <w:rsid w:val="006248C5"/>
    <w:rsid w:val="00624FD8"/>
    <w:rsid w:val="0062686D"/>
    <w:rsid w:val="00630429"/>
    <w:rsid w:val="00632D2A"/>
    <w:rsid w:val="0063399F"/>
    <w:rsid w:val="00636F66"/>
    <w:rsid w:val="00637760"/>
    <w:rsid w:val="00642AF2"/>
    <w:rsid w:val="00642C3D"/>
    <w:rsid w:val="0064430C"/>
    <w:rsid w:val="0065202B"/>
    <w:rsid w:val="00652235"/>
    <w:rsid w:val="0065223C"/>
    <w:rsid w:val="00656B9B"/>
    <w:rsid w:val="00656D0C"/>
    <w:rsid w:val="00670CCE"/>
    <w:rsid w:val="0067463E"/>
    <w:rsid w:val="00674B0A"/>
    <w:rsid w:val="00677361"/>
    <w:rsid w:val="006777B7"/>
    <w:rsid w:val="00686223"/>
    <w:rsid w:val="00690090"/>
    <w:rsid w:val="00691909"/>
    <w:rsid w:val="0069219E"/>
    <w:rsid w:val="00695FDE"/>
    <w:rsid w:val="006961DD"/>
    <w:rsid w:val="00697E3F"/>
    <w:rsid w:val="006A0429"/>
    <w:rsid w:val="006A7215"/>
    <w:rsid w:val="006B1926"/>
    <w:rsid w:val="006B1D51"/>
    <w:rsid w:val="006B2212"/>
    <w:rsid w:val="006B2285"/>
    <w:rsid w:val="006B34AB"/>
    <w:rsid w:val="006B6801"/>
    <w:rsid w:val="006C0B9E"/>
    <w:rsid w:val="006C23A3"/>
    <w:rsid w:val="006C2FC3"/>
    <w:rsid w:val="006D10A6"/>
    <w:rsid w:val="006D21BA"/>
    <w:rsid w:val="006D2F85"/>
    <w:rsid w:val="006D4000"/>
    <w:rsid w:val="006D684E"/>
    <w:rsid w:val="006D7DA7"/>
    <w:rsid w:val="006D7E12"/>
    <w:rsid w:val="006E6E2B"/>
    <w:rsid w:val="006F76C9"/>
    <w:rsid w:val="00700AD7"/>
    <w:rsid w:val="0070145B"/>
    <w:rsid w:val="00703C91"/>
    <w:rsid w:val="00705F64"/>
    <w:rsid w:val="007075C1"/>
    <w:rsid w:val="00713160"/>
    <w:rsid w:val="0071756E"/>
    <w:rsid w:val="00725C57"/>
    <w:rsid w:val="00726386"/>
    <w:rsid w:val="00726B30"/>
    <w:rsid w:val="007275D5"/>
    <w:rsid w:val="007279DE"/>
    <w:rsid w:val="00730E25"/>
    <w:rsid w:val="00734A6C"/>
    <w:rsid w:val="00734ED7"/>
    <w:rsid w:val="00736281"/>
    <w:rsid w:val="0074192A"/>
    <w:rsid w:val="00741E27"/>
    <w:rsid w:val="00742147"/>
    <w:rsid w:val="00747BAE"/>
    <w:rsid w:val="007529A3"/>
    <w:rsid w:val="00757008"/>
    <w:rsid w:val="00764324"/>
    <w:rsid w:val="00770BAF"/>
    <w:rsid w:val="00773062"/>
    <w:rsid w:val="00774467"/>
    <w:rsid w:val="0077681F"/>
    <w:rsid w:val="00780146"/>
    <w:rsid w:val="00781693"/>
    <w:rsid w:val="007876FD"/>
    <w:rsid w:val="00787EC3"/>
    <w:rsid w:val="007A070E"/>
    <w:rsid w:val="007A1054"/>
    <w:rsid w:val="007A244A"/>
    <w:rsid w:val="007A52CE"/>
    <w:rsid w:val="007A7303"/>
    <w:rsid w:val="007B0B8E"/>
    <w:rsid w:val="007B0DFE"/>
    <w:rsid w:val="007B0F50"/>
    <w:rsid w:val="007B6CFC"/>
    <w:rsid w:val="007C0472"/>
    <w:rsid w:val="007C1041"/>
    <w:rsid w:val="007C4F0E"/>
    <w:rsid w:val="007C6590"/>
    <w:rsid w:val="007C7B01"/>
    <w:rsid w:val="007D2DB2"/>
    <w:rsid w:val="007D3EDA"/>
    <w:rsid w:val="007D6002"/>
    <w:rsid w:val="007E6E78"/>
    <w:rsid w:val="007F0782"/>
    <w:rsid w:val="007F1FC9"/>
    <w:rsid w:val="007F46C5"/>
    <w:rsid w:val="007F71BF"/>
    <w:rsid w:val="00804F23"/>
    <w:rsid w:val="0081034A"/>
    <w:rsid w:val="008108B3"/>
    <w:rsid w:val="00815519"/>
    <w:rsid w:val="008159ED"/>
    <w:rsid w:val="00816768"/>
    <w:rsid w:val="008168F3"/>
    <w:rsid w:val="008203D9"/>
    <w:rsid w:val="00821E06"/>
    <w:rsid w:val="008230F8"/>
    <w:rsid w:val="00823389"/>
    <w:rsid w:val="0082694C"/>
    <w:rsid w:val="008317BD"/>
    <w:rsid w:val="00832AD3"/>
    <w:rsid w:val="008338B5"/>
    <w:rsid w:val="00840EF8"/>
    <w:rsid w:val="0084374D"/>
    <w:rsid w:val="00843FCC"/>
    <w:rsid w:val="00851260"/>
    <w:rsid w:val="00852379"/>
    <w:rsid w:val="00853A35"/>
    <w:rsid w:val="00853BE9"/>
    <w:rsid w:val="00856356"/>
    <w:rsid w:val="00856DA1"/>
    <w:rsid w:val="00873BC6"/>
    <w:rsid w:val="00874069"/>
    <w:rsid w:val="0087598C"/>
    <w:rsid w:val="00875E58"/>
    <w:rsid w:val="00875F1A"/>
    <w:rsid w:val="0088173F"/>
    <w:rsid w:val="008817F7"/>
    <w:rsid w:val="00881A58"/>
    <w:rsid w:val="0088321A"/>
    <w:rsid w:val="008836A1"/>
    <w:rsid w:val="00884F1F"/>
    <w:rsid w:val="00893F27"/>
    <w:rsid w:val="008940BA"/>
    <w:rsid w:val="008A05DD"/>
    <w:rsid w:val="008A1A39"/>
    <w:rsid w:val="008A628A"/>
    <w:rsid w:val="008B2DBC"/>
    <w:rsid w:val="008B68CA"/>
    <w:rsid w:val="008B6E36"/>
    <w:rsid w:val="008C1B85"/>
    <w:rsid w:val="008C1F48"/>
    <w:rsid w:val="008C32FC"/>
    <w:rsid w:val="008C3E04"/>
    <w:rsid w:val="008C5247"/>
    <w:rsid w:val="008C5B39"/>
    <w:rsid w:val="008C695A"/>
    <w:rsid w:val="008C780B"/>
    <w:rsid w:val="008D052D"/>
    <w:rsid w:val="008D2E63"/>
    <w:rsid w:val="008D2EE0"/>
    <w:rsid w:val="008E3104"/>
    <w:rsid w:val="008E42CD"/>
    <w:rsid w:val="008E42E5"/>
    <w:rsid w:val="008E5140"/>
    <w:rsid w:val="008E53B2"/>
    <w:rsid w:val="008F0E1A"/>
    <w:rsid w:val="008F2A18"/>
    <w:rsid w:val="008F39C1"/>
    <w:rsid w:val="008F3FB3"/>
    <w:rsid w:val="008F4BAE"/>
    <w:rsid w:val="008F4F0C"/>
    <w:rsid w:val="00900E6B"/>
    <w:rsid w:val="009024BF"/>
    <w:rsid w:val="00904B5A"/>
    <w:rsid w:val="00904CC1"/>
    <w:rsid w:val="0090577C"/>
    <w:rsid w:val="00910338"/>
    <w:rsid w:val="00915AE3"/>
    <w:rsid w:val="00921817"/>
    <w:rsid w:val="00922DD8"/>
    <w:rsid w:val="00924683"/>
    <w:rsid w:val="0092732E"/>
    <w:rsid w:val="009308CE"/>
    <w:rsid w:val="00932CC6"/>
    <w:rsid w:val="009333EA"/>
    <w:rsid w:val="00934FF7"/>
    <w:rsid w:val="00941A37"/>
    <w:rsid w:val="00942AB2"/>
    <w:rsid w:val="00944E84"/>
    <w:rsid w:val="00945AC9"/>
    <w:rsid w:val="00946EC4"/>
    <w:rsid w:val="009508AA"/>
    <w:rsid w:val="00954C1F"/>
    <w:rsid w:val="009550B6"/>
    <w:rsid w:val="00955373"/>
    <w:rsid w:val="009561F8"/>
    <w:rsid w:val="00957A24"/>
    <w:rsid w:val="00964055"/>
    <w:rsid w:val="00966F3F"/>
    <w:rsid w:val="00967FBA"/>
    <w:rsid w:val="00972B11"/>
    <w:rsid w:val="00972F21"/>
    <w:rsid w:val="0097680A"/>
    <w:rsid w:val="00976AD3"/>
    <w:rsid w:val="009777B9"/>
    <w:rsid w:val="009842BA"/>
    <w:rsid w:val="0098526F"/>
    <w:rsid w:val="00987307"/>
    <w:rsid w:val="009875D0"/>
    <w:rsid w:val="00991868"/>
    <w:rsid w:val="00996FE4"/>
    <w:rsid w:val="009974BF"/>
    <w:rsid w:val="009A1F26"/>
    <w:rsid w:val="009A1F79"/>
    <w:rsid w:val="009A2D29"/>
    <w:rsid w:val="009A317E"/>
    <w:rsid w:val="009A4AED"/>
    <w:rsid w:val="009B15BC"/>
    <w:rsid w:val="009B64D3"/>
    <w:rsid w:val="009B7253"/>
    <w:rsid w:val="009B7979"/>
    <w:rsid w:val="009C124E"/>
    <w:rsid w:val="009C1663"/>
    <w:rsid w:val="009C349F"/>
    <w:rsid w:val="009C4620"/>
    <w:rsid w:val="009C5E5A"/>
    <w:rsid w:val="009C6D64"/>
    <w:rsid w:val="009D1693"/>
    <w:rsid w:val="009D557E"/>
    <w:rsid w:val="009D5C08"/>
    <w:rsid w:val="009D6890"/>
    <w:rsid w:val="009E038A"/>
    <w:rsid w:val="009E0474"/>
    <w:rsid w:val="009E1DC8"/>
    <w:rsid w:val="009F0D66"/>
    <w:rsid w:val="009F105D"/>
    <w:rsid w:val="009F153B"/>
    <w:rsid w:val="009F3416"/>
    <w:rsid w:val="009F3B61"/>
    <w:rsid w:val="009F4F5E"/>
    <w:rsid w:val="009F5626"/>
    <w:rsid w:val="009F7969"/>
    <w:rsid w:val="00A016C1"/>
    <w:rsid w:val="00A019F5"/>
    <w:rsid w:val="00A02552"/>
    <w:rsid w:val="00A04706"/>
    <w:rsid w:val="00A0470C"/>
    <w:rsid w:val="00A04A19"/>
    <w:rsid w:val="00A04B30"/>
    <w:rsid w:val="00A078D5"/>
    <w:rsid w:val="00A1195D"/>
    <w:rsid w:val="00A1212A"/>
    <w:rsid w:val="00A228A1"/>
    <w:rsid w:val="00A24DDF"/>
    <w:rsid w:val="00A24E24"/>
    <w:rsid w:val="00A273DE"/>
    <w:rsid w:val="00A31C88"/>
    <w:rsid w:val="00A37D11"/>
    <w:rsid w:val="00A42652"/>
    <w:rsid w:val="00A42CFE"/>
    <w:rsid w:val="00A47AF8"/>
    <w:rsid w:val="00A47CF0"/>
    <w:rsid w:val="00A47F10"/>
    <w:rsid w:val="00A57526"/>
    <w:rsid w:val="00A6135E"/>
    <w:rsid w:val="00A627AF"/>
    <w:rsid w:val="00A62AD5"/>
    <w:rsid w:val="00A633D2"/>
    <w:rsid w:val="00A63A63"/>
    <w:rsid w:val="00A64779"/>
    <w:rsid w:val="00A65A5E"/>
    <w:rsid w:val="00A67484"/>
    <w:rsid w:val="00A73F77"/>
    <w:rsid w:val="00A74415"/>
    <w:rsid w:val="00A7552F"/>
    <w:rsid w:val="00A80675"/>
    <w:rsid w:val="00A839FC"/>
    <w:rsid w:val="00A85165"/>
    <w:rsid w:val="00A86617"/>
    <w:rsid w:val="00A9170A"/>
    <w:rsid w:val="00A92D40"/>
    <w:rsid w:val="00A96CA5"/>
    <w:rsid w:val="00A97293"/>
    <w:rsid w:val="00AA37A8"/>
    <w:rsid w:val="00AA3F5E"/>
    <w:rsid w:val="00AA4F40"/>
    <w:rsid w:val="00AA5E91"/>
    <w:rsid w:val="00AB017D"/>
    <w:rsid w:val="00AB1911"/>
    <w:rsid w:val="00AB75FF"/>
    <w:rsid w:val="00AC513C"/>
    <w:rsid w:val="00AC519D"/>
    <w:rsid w:val="00AC5A83"/>
    <w:rsid w:val="00AD0C79"/>
    <w:rsid w:val="00AD1D1C"/>
    <w:rsid w:val="00AD2DDB"/>
    <w:rsid w:val="00AD755D"/>
    <w:rsid w:val="00AD7CFA"/>
    <w:rsid w:val="00AE4AA9"/>
    <w:rsid w:val="00AE52A5"/>
    <w:rsid w:val="00AE6697"/>
    <w:rsid w:val="00AF11C0"/>
    <w:rsid w:val="00AF2E74"/>
    <w:rsid w:val="00AF64BA"/>
    <w:rsid w:val="00AF7C3D"/>
    <w:rsid w:val="00B0291C"/>
    <w:rsid w:val="00B02B72"/>
    <w:rsid w:val="00B043F1"/>
    <w:rsid w:val="00B0451D"/>
    <w:rsid w:val="00B04C7E"/>
    <w:rsid w:val="00B05411"/>
    <w:rsid w:val="00B118D1"/>
    <w:rsid w:val="00B164D0"/>
    <w:rsid w:val="00B1738F"/>
    <w:rsid w:val="00B23C5B"/>
    <w:rsid w:val="00B3226C"/>
    <w:rsid w:val="00B33045"/>
    <w:rsid w:val="00B343C6"/>
    <w:rsid w:val="00B42DE6"/>
    <w:rsid w:val="00B42ED8"/>
    <w:rsid w:val="00B46364"/>
    <w:rsid w:val="00B50A08"/>
    <w:rsid w:val="00B51A81"/>
    <w:rsid w:val="00B53DAC"/>
    <w:rsid w:val="00B57483"/>
    <w:rsid w:val="00B65130"/>
    <w:rsid w:val="00B67A2A"/>
    <w:rsid w:val="00B72EEA"/>
    <w:rsid w:val="00B737C6"/>
    <w:rsid w:val="00B74401"/>
    <w:rsid w:val="00B76701"/>
    <w:rsid w:val="00B769E9"/>
    <w:rsid w:val="00B76AEA"/>
    <w:rsid w:val="00B81319"/>
    <w:rsid w:val="00B81A7B"/>
    <w:rsid w:val="00B81B2C"/>
    <w:rsid w:val="00B843AD"/>
    <w:rsid w:val="00B8624E"/>
    <w:rsid w:val="00B9220C"/>
    <w:rsid w:val="00B9338D"/>
    <w:rsid w:val="00B95A11"/>
    <w:rsid w:val="00BA0EFC"/>
    <w:rsid w:val="00BA5AAB"/>
    <w:rsid w:val="00BA63B4"/>
    <w:rsid w:val="00BA6A96"/>
    <w:rsid w:val="00BA6BC3"/>
    <w:rsid w:val="00BA7633"/>
    <w:rsid w:val="00BA7C40"/>
    <w:rsid w:val="00BA7C62"/>
    <w:rsid w:val="00BB2478"/>
    <w:rsid w:val="00BB251A"/>
    <w:rsid w:val="00BB3BAA"/>
    <w:rsid w:val="00BC0E3D"/>
    <w:rsid w:val="00BC0F07"/>
    <w:rsid w:val="00BD247C"/>
    <w:rsid w:val="00BD37BE"/>
    <w:rsid w:val="00BD7AD5"/>
    <w:rsid w:val="00BE332B"/>
    <w:rsid w:val="00BE5874"/>
    <w:rsid w:val="00BE5EB4"/>
    <w:rsid w:val="00BF238B"/>
    <w:rsid w:val="00BF4B60"/>
    <w:rsid w:val="00C03F45"/>
    <w:rsid w:val="00C06322"/>
    <w:rsid w:val="00C07684"/>
    <w:rsid w:val="00C12ACC"/>
    <w:rsid w:val="00C14B26"/>
    <w:rsid w:val="00C14CAE"/>
    <w:rsid w:val="00C17EAB"/>
    <w:rsid w:val="00C2322F"/>
    <w:rsid w:val="00C263C3"/>
    <w:rsid w:val="00C26DD1"/>
    <w:rsid w:val="00C27ED3"/>
    <w:rsid w:val="00C300E7"/>
    <w:rsid w:val="00C33D6D"/>
    <w:rsid w:val="00C340FC"/>
    <w:rsid w:val="00C369BF"/>
    <w:rsid w:val="00C41DA4"/>
    <w:rsid w:val="00C428B7"/>
    <w:rsid w:val="00C45DC8"/>
    <w:rsid w:val="00C46A28"/>
    <w:rsid w:val="00C554A0"/>
    <w:rsid w:val="00C56DF3"/>
    <w:rsid w:val="00C613FE"/>
    <w:rsid w:val="00C6269D"/>
    <w:rsid w:val="00C62992"/>
    <w:rsid w:val="00C65BF3"/>
    <w:rsid w:val="00C706AF"/>
    <w:rsid w:val="00C72F4A"/>
    <w:rsid w:val="00C76123"/>
    <w:rsid w:val="00C76381"/>
    <w:rsid w:val="00C7763D"/>
    <w:rsid w:val="00C81309"/>
    <w:rsid w:val="00C851A8"/>
    <w:rsid w:val="00C85BC5"/>
    <w:rsid w:val="00C86DC8"/>
    <w:rsid w:val="00C978DC"/>
    <w:rsid w:val="00C97A94"/>
    <w:rsid w:val="00CA10AA"/>
    <w:rsid w:val="00CA33C0"/>
    <w:rsid w:val="00CA751E"/>
    <w:rsid w:val="00CB2571"/>
    <w:rsid w:val="00CB2B6E"/>
    <w:rsid w:val="00CB2E34"/>
    <w:rsid w:val="00CB6DE6"/>
    <w:rsid w:val="00CB733E"/>
    <w:rsid w:val="00CC0C22"/>
    <w:rsid w:val="00CC6890"/>
    <w:rsid w:val="00CD3675"/>
    <w:rsid w:val="00CD3F4F"/>
    <w:rsid w:val="00CD5FB9"/>
    <w:rsid w:val="00CD7151"/>
    <w:rsid w:val="00CD7670"/>
    <w:rsid w:val="00CE3F8B"/>
    <w:rsid w:val="00CE4225"/>
    <w:rsid w:val="00CF0200"/>
    <w:rsid w:val="00CF25E3"/>
    <w:rsid w:val="00CF4DB4"/>
    <w:rsid w:val="00CF5B5E"/>
    <w:rsid w:val="00CF67B6"/>
    <w:rsid w:val="00CF7171"/>
    <w:rsid w:val="00CF7A1C"/>
    <w:rsid w:val="00D00A48"/>
    <w:rsid w:val="00D02F51"/>
    <w:rsid w:val="00D066B3"/>
    <w:rsid w:val="00D06C7E"/>
    <w:rsid w:val="00D078D9"/>
    <w:rsid w:val="00D1047A"/>
    <w:rsid w:val="00D11A8F"/>
    <w:rsid w:val="00D11F55"/>
    <w:rsid w:val="00D13032"/>
    <w:rsid w:val="00D13F0C"/>
    <w:rsid w:val="00D148D7"/>
    <w:rsid w:val="00D155C2"/>
    <w:rsid w:val="00D22E41"/>
    <w:rsid w:val="00D339D2"/>
    <w:rsid w:val="00D3648C"/>
    <w:rsid w:val="00D3782C"/>
    <w:rsid w:val="00D40169"/>
    <w:rsid w:val="00D44CF2"/>
    <w:rsid w:val="00D46674"/>
    <w:rsid w:val="00D467F2"/>
    <w:rsid w:val="00D544C7"/>
    <w:rsid w:val="00D54898"/>
    <w:rsid w:val="00D5489C"/>
    <w:rsid w:val="00D5743C"/>
    <w:rsid w:val="00D57A98"/>
    <w:rsid w:val="00D60AA1"/>
    <w:rsid w:val="00D6240B"/>
    <w:rsid w:val="00D63E5B"/>
    <w:rsid w:val="00D652A5"/>
    <w:rsid w:val="00D739DA"/>
    <w:rsid w:val="00D73B79"/>
    <w:rsid w:val="00D75179"/>
    <w:rsid w:val="00D84C35"/>
    <w:rsid w:val="00D905BD"/>
    <w:rsid w:val="00D9383A"/>
    <w:rsid w:val="00D94B5D"/>
    <w:rsid w:val="00DA0912"/>
    <w:rsid w:val="00DA1F23"/>
    <w:rsid w:val="00DA418E"/>
    <w:rsid w:val="00DA46EE"/>
    <w:rsid w:val="00DA4C14"/>
    <w:rsid w:val="00DA5F7E"/>
    <w:rsid w:val="00DB4208"/>
    <w:rsid w:val="00DB4DDB"/>
    <w:rsid w:val="00DB5EA6"/>
    <w:rsid w:val="00DC00C1"/>
    <w:rsid w:val="00DC316C"/>
    <w:rsid w:val="00DC49D0"/>
    <w:rsid w:val="00DC70C7"/>
    <w:rsid w:val="00DC7B89"/>
    <w:rsid w:val="00DC7ECF"/>
    <w:rsid w:val="00DD0123"/>
    <w:rsid w:val="00DD0AD8"/>
    <w:rsid w:val="00DE14DB"/>
    <w:rsid w:val="00DE2778"/>
    <w:rsid w:val="00DE5968"/>
    <w:rsid w:val="00DE7727"/>
    <w:rsid w:val="00DF4B8C"/>
    <w:rsid w:val="00DF5A62"/>
    <w:rsid w:val="00DF7A7F"/>
    <w:rsid w:val="00E039A6"/>
    <w:rsid w:val="00E068D4"/>
    <w:rsid w:val="00E07B6F"/>
    <w:rsid w:val="00E131CE"/>
    <w:rsid w:val="00E15D17"/>
    <w:rsid w:val="00E20CFE"/>
    <w:rsid w:val="00E20E7F"/>
    <w:rsid w:val="00E2214A"/>
    <w:rsid w:val="00E30C47"/>
    <w:rsid w:val="00E31AE6"/>
    <w:rsid w:val="00E324B7"/>
    <w:rsid w:val="00E4044E"/>
    <w:rsid w:val="00E40962"/>
    <w:rsid w:val="00E42FA9"/>
    <w:rsid w:val="00E44854"/>
    <w:rsid w:val="00E45817"/>
    <w:rsid w:val="00E47F23"/>
    <w:rsid w:val="00E5088C"/>
    <w:rsid w:val="00E5360A"/>
    <w:rsid w:val="00E53EDC"/>
    <w:rsid w:val="00E55586"/>
    <w:rsid w:val="00E6028C"/>
    <w:rsid w:val="00E60720"/>
    <w:rsid w:val="00E62183"/>
    <w:rsid w:val="00E704F1"/>
    <w:rsid w:val="00E738C3"/>
    <w:rsid w:val="00E73B71"/>
    <w:rsid w:val="00E7471A"/>
    <w:rsid w:val="00E76B84"/>
    <w:rsid w:val="00E822BA"/>
    <w:rsid w:val="00E82581"/>
    <w:rsid w:val="00E84674"/>
    <w:rsid w:val="00E9013A"/>
    <w:rsid w:val="00E90ECE"/>
    <w:rsid w:val="00E912F2"/>
    <w:rsid w:val="00E95D9E"/>
    <w:rsid w:val="00EA0970"/>
    <w:rsid w:val="00EA216F"/>
    <w:rsid w:val="00EA226A"/>
    <w:rsid w:val="00EA4248"/>
    <w:rsid w:val="00EA57CA"/>
    <w:rsid w:val="00EA63E6"/>
    <w:rsid w:val="00EB1356"/>
    <w:rsid w:val="00EB20BC"/>
    <w:rsid w:val="00EB3950"/>
    <w:rsid w:val="00EB3BC5"/>
    <w:rsid w:val="00EB4B08"/>
    <w:rsid w:val="00EC48D6"/>
    <w:rsid w:val="00EC7BDB"/>
    <w:rsid w:val="00ED0A86"/>
    <w:rsid w:val="00ED31B5"/>
    <w:rsid w:val="00ED54FC"/>
    <w:rsid w:val="00ED57F8"/>
    <w:rsid w:val="00ED5944"/>
    <w:rsid w:val="00EE0537"/>
    <w:rsid w:val="00EE13F0"/>
    <w:rsid w:val="00EE6C0C"/>
    <w:rsid w:val="00EE727C"/>
    <w:rsid w:val="00EE7594"/>
    <w:rsid w:val="00EF119F"/>
    <w:rsid w:val="00EF3A8C"/>
    <w:rsid w:val="00EF4D83"/>
    <w:rsid w:val="00EF5DB8"/>
    <w:rsid w:val="00EF7AFB"/>
    <w:rsid w:val="00EF7CE3"/>
    <w:rsid w:val="00F048B8"/>
    <w:rsid w:val="00F049DB"/>
    <w:rsid w:val="00F13822"/>
    <w:rsid w:val="00F15974"/>
    <w:rsid w:val="00F223D7"/>
    <w:rsid w:val="00F25650"/>
    <w:rsid w:val="00F25D0D"/>
    <w:rsid w:val="00F25D32"/>
    <w:rsid w:val="00F2720A"/>
    <w:rsid w:val="00F305E3"/>
    <w:rsid w:val="00F317DD"/>
    <w:rsid w:val="00F32A94"/>
    <w:rsid w:val="00F33295"/>
    <w:rsid w:val="00F41886"/>
    <w:rsid w:val="00F47428"/>
    <w:rsid w:val="00F51C94"/>
    <w:rsid w:val="00F52DD5"/>
    <w:rsid w:val="00F53227"/>
    <w:rsid w:val="00F5652C"/>
    <w:rsid w:val="00F61A6B"/>
    <w:rsid w:val="00F61ACE"/>
    <w:rsid w:val="00F624D2"/>
    <w:rsid w:val="00F637E3"/>
    <w:rsid w:val="00F646F1"/>
    <w:rsid w:val="00F67D6C"/>
    <w:rsid w:val="00F72FA2"/>
    <w:rsid w:val="00F73662"/>
    <w:rsid w:val="00F73DC9"/>
    <w:rsid w:val="00F76B24"/>
    <w:rsid w:val="00F7792A"/>
    <w:rsid w:val="00F815A4"/>
    <w:rsid w:val="00F84226"/>
    <w:rsid w:val="00F86A5B"/>
    <w:rsid w:val="00F87EE0"/>
    <w:rsid w:val="00F93CC3"/>
    <w:rsid w:val="00F956BC"/>
    <w:rsid w:val="00F959EB"/>
    <w:rsid w:val="00F9750F"/>
    <w:rsid w:val="00FA1356"/>
    <w:rsid w:val="00FA2C31"/>
    <w:rsid w:val="00FA46CF"/>
    <w:rsid w:val="00FA54EA"/>
    <w:rsid w:val="00FB3118"/>
    <w:rsid w:val="00FC2506"/>
    <w:rsid w:val="00FD4301"/>
    <w:rsid w:val="00FD4E84"/>
    <w:rsid w:val="00FD524C"/>
    <w:rsid w:val="00FD79D1"/>
    <w:rsid w:val="00FD7FB1"/>
    <w:rsid w:val="00FE13E3"/>
    <w:rsid w:val="00FE1F52"/>
    <w:rsid w:val="00FE4BA8"/>
    <w:rsid w:val="00FE5D86"/>
    <w:rsid w:val="00FF056F"/>
    <w:rsid w:val="00FF310C"/>
    <w:rsid w:val="00FF437D"/>
    <w:rsid w:val="00FF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DB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2DB2"/>
    <w:pPr>
      <w:widowControl w:val="0"/>
      <w:autoSpaceDE w:val="0"/>
      <w:autoSpaceDN w:val="0"/>
      <w:jc w:val="center"/>
    </w:pPr>
    <w:rPr>
      <w:b/>
      <w:bCs/>
      <w:sz w:val="26"/>
      <w:szCs w:val="26"/>
    </w:rPr>
  </w:style>
  <w:style w:type="paragraph" w:customStyle="1" w:styleId="TxBrp7">
    <w:name w:val="TxBr_p7"/>
    <w:basedOn w:val="Normal"/>
    <w:rsid w:val="00A24DDF"/>
    <w:pPr>
      <w:widowControl w:val="0"/>
      <w:tabs>
        <w:tab w:val="left" w:pos="600"/>
        <w:tab w:val="left" w:pos="1031"/>
      </w:tabs>
      <w:autoSpaceDE w:val="0"/>
      <w:autoSpaceDN w:val="0"/>
      <w:adjustRightInd w:val="0"/>
      <w:spacing w:line="249" w:lineRule="atLeast"/>
      <w:ind w:left="1031" w:hanging="430"/>
    </w:pPr>
    <w:rPr>
      <w:szCs w:val="24"/>
    </w:rPr>
  </w:style>
  <w:style w:type="paragraph" w:customStyle="1" w:styleId="TxBrp8">
    <w:name w:val="TxBr_p8"/>
    <w:basedOn w:val="Normal"/>
    <w:rsid w:val="00A24DDF"/>
    <w:pPr>
      <w:widowControl w:val="0"/>
      <w:tabs>
        <w:tab w:val="left" w:pos="844"/>
      </w:tabs>
      <w:autoSpaceDE w:val="0"/>
      <w:autoSpaceDN w:val="0"/>
      <w:adjustRightInd w:val="0"/>
      <w:spacing w:line="249" w:lineRule="atLeast"/>
      <w:ind w:left="5"/>
    </w:pPr>
    <w:rPr>
      <w:szCs w:val="24"/>
    </w:rPr>
  </w:style>
  <w:style w:type="paragraph" w:customStyle="1" w:styleId="TxBrp10">
    <w:name w:val="TxBr_p10"/>
    <w:basedOn w:val="Normal"/>
    <w:rsid w:val="00A24DDF"/>
    <w:pPr>
      <w:widowControl w:val="0"/>
      <w:tabs>
        <w:tab w:val="left" w:pos="600"/>
      </w:tabs>
      <w:autoSpaceDE w:val="0"/>
      <w:autoSpaceDN w:val="0"/>
      <w:adjustRightInd w:val="0"/>
      <w:spacing w:line="249" w:lineRule="atLeast"/>
      <w:ind w:left="238"/>
    </w:pPr>
    <w:rPr>
      <w:szCs w:val="24"/>
    </w:rPr>
  </w:style>
  <w:style w:type="paragraph" w:customStyle="1" w:styleId="TxBrp11">
    <w:name w:val="TxBr_p11"/>
    <w:basedOn w:val="Normal"/>
    <w:rsid w:val="00A24DDF"/>
    <w:pPr>
      <w:widowControl w:val="0"/>
      <w:tabs>
        <w:tab w:val="left" w:pos="1031"/>
      </w:tabs>
      <w:autoSpaceDE w:val="0"/>
      <w:autoSpaceDN w:val="0"/>
      <w:adjustRightInd w:val="0"/>
      <w:spacing w:line="249" w:lineRule="atLeast"/>
      <w:ind w:left="192"/>
    </w:pPr>
    <w:rPr>
      <w:szCs w:val="24"/>
    </w:rPr>
  </w:style>
  <w:style w:type="paragraph" w:customStyle="1" w:styleId="TxBrp12">
    <w:name w:val="TxBr_p12"/>
    <w:basedOn w:val="Normal"/>
    <w:rsid w:val="00A24DDF"/>
    <w:pPr>
      <w:widowControl w:val="0"/>
      <w:tabs>
        <w:tab w:val="left" w:pos="600"/>
        <w:tab w:val="left" w:pos="844"/>
      </w:tabs>
      <w:autoSpaceDE w:val="0"/>
      <w:autoSpaceDN w:val="0"/>
      <w:adjustRightInd w:val="0"/>
      <w:spacing w:line="249" w:lineRule="atLeast"/>
      <w:ind w:left="844" w:hanging="243"/>
    </w:pPr>
    <w:rPr>
      <w:szCs w:val="24"/>
    </w:rPr>
  </w:style>
  <w:style w:type="paragraph" w:customStyle="1" w:styleId="TxBrc13">
    <w:name w:val="TxBr_c13"/>
    <w:basedOn w:val="Normal"/>
    <w:rsid w:val="00A24DDF"/>
    <w:pPr>
      <w:widowControl w:val="0"/>
      <w:autoSpaceDE w:val="0"/>
      <w:autoSpaceDN w:val="0"/>
      <w:adjustRightInd w:val="0"/>
      <w:spacing w:line="240" w:lineRule="atLeast"/>
      <w:jc w:val="center"/>
    </w:pPr>
    <w:rPr>
      <w:szCs w:val="24"/>
    </w:rPr>
  </w:style>
  <w:style w:type="paragraph" w:customStyle="1" w:styleId="TxBrp14">
    <w:name w:val="TxBr_p14"/>
    <w:basedOn w:val="Normal"/>
    <w:rsid w:val="00A24DDF"/>
    <w:pPr>
      <w:widowControl w:val="0"/>
      <w:tabs>
        <w:tab w:val="left" w:pos="1269"/>
      </w:tabs>
      <w:autoSpaceDE w:val="0"/>
      <w:autoSpaceDN w:val="0"/>
      <w:adjustRightInd w:val="0"/>
      <w:spacing w:line="240" w:lineRule="atLeast"/>
      <w:ind w:left="430"/>
    </w:pPr>
    <w:rPr>
      <w:szCs w:val="24"/>
    </w:rPr>
  </w:style>
  <w:style w:type="paragraph" w:styleId="BalloonText">
    <w:name w:val="Balloon Text"/>
    <w:basedOn w:val="Normal"/>
    <w:semiHidden/>
    <w:rsid w:val="002F7E1F"/>
    <w:rPr>
      <w:rFonts w:ascii="Tahoma" w:hAnsi="Tahoma" w:cs="Tahoma"/>
      <w:sz w:val="16"/>
      <w:szCs w:val="16"/>
    </w:rPr>
  </w:style>
  <w:style w:type="paragraph" w:customStyle="1" w:styleId="ParaTab1">
    <w:name w:val="ParaTab 1"/>
    <w:rsid w:val="00AD7CF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9A2D29"/>
    <w:pPr>
      <w:tabs>
        <w:tab w:val="center" w:pos="4320"/>
        <w:tab w:val="right" w:pos="8640"/>
      </w:tabs>
    </w:pPr>
  </w:style>
  <w:style w:type="character" w:styleId="PageNumber">
    <w:name w:val="page number"/>
    <w:basedOn w:val="DefaultParagraphFont"/>
    <w:rsid w:val="009A2D29"/>
  </w:style>
  <w:style w:type="paragraph" w:styleId="Header">
    <w:name w:val="header"/>
    <w:basedOn w:val="Normal"/>
    <w:link w:val="HeaderChar"/>
    <w:rsid w:val="009A2D29"/>
    <w:pPr>
      <w:tabs>
        <w:tab w:val="center" w:pos="4320"/>
        <w:tab w:val="right" w:pos="8640"/>
      </w:tabs>
    </w:pPr>
  </w:style>
  <w:style w:type="paragraph" w:styleId="DocumentMap">
    <w:name w:val="Document Map"/>
    <w:basedOn w:val="Normal"/>
    <w:semiHidden/>
    <w:rsid w:val="00211604"/>
    <w:pPr>
      <w:shd w:val="clear" w:color="auto" w:fill="000080"/>
    </w:pPr>
    <w:rPr>
      <w:rFonts w:ascii="Tahoma" w:hAnsi="Tahoma" w:cs="Tahoma"/>
      <w:sz w:val="20"/>
    </w:rPr>
  </w:style>
  <w:style w:type="character" w:customStyle="1" w:styleId="HeaderChar">
    <w:name w:val="Header Char"/>
    <w:link w:val="Header"/>
    <w:rsid w:val="003B0B6F"/>
    <w:rPr>
      <w:sz w:val="24"/>
    </w:rPr>
  </w:style>
  <w:style w:type="paragraph" w:styleId="FootnoteText">
    <w:name w:val="footnote text"/>
    <w:basedOn w:val="Normal"/>
    <w:link w:val="FootnoteTextChar"/>
    <w:uiPriority w:val="99"/>
    <w:unhideWhenUsed/>
    <w:rsid w:val="00A02552"/>
    <w:rPr>
      <w:sz w:val="20"/>
    </w:rPr>
  </w:style>
  <w:style w:type="character" w:customStyle="1" w:styleId="FootnoteTextChar">
    <w:name w:val="Footnote Text Char"/>
    <w:basedOn w:val="DefaultParagraphFont"/>
    <w:link w:val="FootnoteText"/>
    <w:uiPriority w:val="99"/>
    <w:rsid w:val="00A02552"/>
  </w:style>
  <w:style w:type="character" w:styleId="FootnoteReference">
    <w:name w:val="footnote reference"/>
    <w:basedOn w:val="DefaultParagraphFont"/>
    <w:uiPriority w:val="99"/>
    <w:unhideWhenUsed/>
    <w:rsid w:val="00A025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DB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2DB2"/>
    <w:pPr>
      <w:widowControl w:val="0"/>
      <w:autoSpaceDE w:val="0"/>
      <w:autoSpaceDN w:val="0"/>
      <w:jc w:val="center"/>
    </w:pPr>
    <w:rPr>
      <w:b/>
      <w:bCs/>
      <w:sz w:val="26"/>
      <w:szCs w:val="26"/>
    </w:rPr>
  </w:style>
  <w:style w:type="paragraph" w:customStyle="1" w:styleId="TxBrp7">
    <w:name w:val="TxBr_p7"/>
    <w:basedOn w:val="Normal"/>
    <w:rsid w:val="00A24DDF"/>
    <w:pPr>
      <w:widowControl w:val="0"/>
      <w:tabs>
        <w:tab w:val="left" w:pos="600"/>
        <w:tab w:val="left" w:pos="1031"/>
      </w:tabs>
      <w:autoSpaceDE w:val="0"/>
      <w:autoSpaceDN w:val="0"/>
      <w:adjustRightInd w:val="0"/>
      <w:spacing w:line="249" w:lineRule="atLeast"/>
      <w:ind w:left="1031" w:hanging="430"/>
    </w:pPr>
    <w:rPr>
      <w:szCs w:val="24"/>
    </w:rPr>
  </w:style>
  <w:style w:type="paragraph" w:customStyle="1" w:styleId="TxBrp8">
    <w:name w:val="TxBr_p8"/>
    <w:basedOn w:val="Normal"/>
    <w:rsid w:val="00A24DDF"/>
    <w:pPr>
      <w:widowControl w:val="0"/>
      <w:tabs>
        <w:tab w:val="left" w:pos="844"/>
      </w:tabs>
      <w:autoSpaceDE w:val="0"/>
      <w:autoSpaceDN w:val="0"/>
      <w:adjustRightInd w:val="0"/>
      <w:spacing w:line="249" w:lineRule="atLeast"/>
      <w:ind w:left="5"/>
    </w:pPr>
    <w:rPr>
      <w:szCs w:val="24"/>
    </w:rPr>
  </w:style>
  <w:style w:type="paragraph" w:customStyle="1" w:styleId="TxBrp10">
    <w:name w:val="TxBr_p10"/>
    <w:basedOn w:val="Normal"/>
    <w:rsid w:val="00A24DDF"/>
    <w:pPr>
      <w:widowControl w:val="0"/>
      <w:tabs>
        <w:tab w:val="left" w:pos="600"/>
      </w:tabs>
      <w:autoSpaceDE w:val="0"/>
      <w:autoSpaceDN w:val="0"/>
      <w:adjustRightInd w:val="0"/>
      <w:spacing w:line="249" w:lineRule="atLeast"/>
      <w:ind w:left="238"/>
    </w:pPr>
    <w:rPr>
      <w:szCs w:val="24"/>
    </w:rPr>
  </w:style>
  <w:style w:type="paragraph" w:customStyle="1" w:styleId="TxBrp11">
    <w:name w:val="TxBr_p11"/>
    <w:basedOn w:val="Normal"/>
    <w:rsid w:val="00A24DDF"/>
    <w:pPr>
      <w:widowControl w:val="0"/>
      <w:tabs>
        <w:tab w:val="left" w:pos="1031"/>
      </w:tabs>
      <w:autoSpaceDE w:val="0"/>
      <w:autoSpaceDN w:val="0"/>
      <w:adjustRightInd w:val="0"/>
      <w:spacing w:line="249" w:lineRule="atLeast"/>
      <w:ind w:left="192"/>
    </w:pPr>
    <w:rPr>
      <w:szCs w:val="24"/>
    </w:rPr>
  </w:style>
  <w:style w:type="paragraph" w:customStyle="1" w:styleId="TxBrp12">
    <w:name w:val="TxBr_p12"/>
    <w:basedOn w:val="Normal"/>
    <w:rsid w:val="00A24DDF"/>
    <w:pPr>
      <w:widowControl w:val="0"/>
      <w:tabs>
        <w:tab w:val="left" w:pos="600"/>
        <w:tab w:val="left" w:pos="844"/>
      </w:tabs>
      <w:autoSpaceDE w:val="0"/>
      <w:autoSpaceDN w:val="0"/>
      <w:adjustRightInd w:val="0"/>
      <w:spacing w:line="249" w:lineRule="atLeast"/>
      <w:ind w:left="844" w:hanging="243"/>
    </w:pPr>
    <w:rPr>
      <w:szCs w:val="24"/>
    </w:rPr>
  </w:style>
  <w:style w:type="paragraph" w:customStyle="1" w:styleId="TxBrc13">
    <w:name w:val="TxBr_c13"/>
    <w:basedOn w:val="Normal"/>
    <w:rsid w:val="00A24DDF"/>
    <w:pPr>
      <w:widowControl w:val="0"/>
      <w:autoSpaceDE w:val="0"/>
      <w:autoSpaceDN w:val="0"/>
      <w:adjustRightInd w:val="0"/>
      <w:spacing w:line="240" w:lineRule="atLeast"/>
      <w:jc w:val="center"/>
    </w:pPr>
    <w:rPr>
      <w:szCs w:val="24"/>
    </w:rPr>
  </w:style>
  <w:style w:type="paragraph" w:customStyle="1" w:styleId="TxBrp14">
    <w:name w:val="TxBr_p14"/>
    <w:basedOn w:val="Normal"/>
    <w:rsid w:val="00A24DDF"/>
    <w:pPr>
      <w:widowControl w:val="0"/>
      <w:tabs>
        <w:tab w:val="left" w:pos="1269"/>
      </w:tabs>
      <w:autoSpaceDE w:val="0"/>
      <w:autoSpaceDN w:val="0"/>
      <w:adjustRightInd w:val="0"/>
      <w:spacing w:line="240" w:lineRule="atLeast"/>
      <w:ind w:left="430"/>
    </w:pPr>
    <w:rPr>
      <w:szCs w:val="24"/>
    </w:rPr>
  </w:style>
  <w:style w:type="paragraph" w:styleId="BalloonText">
    <w:name w:val="Balloon Text"/>
    <w:basedOn w:val="Normal"/>
    <w:semiHidden/>
    <w:rsid w:val="002F7E1F"/>
    <w:rPr>
      <w:rFonts w:ascii="Tahoma" w:hAnsi="Tahoma" w:cs="Tahoma"/>
      <w:sz w:val="16"/>
      <w:szCs w:val="16"/>
    </w:rPr>
  </w:style>
  <w:style w:type="paragraph" w:customStyle="1" w:styleId="ParaTab1">
    <w:name w:val="ParaTab 1"/>
    <w:rsid w:val="00AD7CF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9A2D29"/>
    <w:pPr>
      <w:tabs>
        <w:tab w:val="center" w:pos="4320"/>
        <w:tab w:val="right" w:pos="8640"/>
      </w:tabs>
    </w:pPr>
  </w:style>
  <w:style w:type="character" w:styleId="PageNumber">
    <w:name w:val="page number"/>
    <w:basedOn w:val="DefaultParagraphFont"/>
    <w:rsid w:val="009A2D29"/>
  </w:style>
  <w:style w:type="paragraph" w:styleId="Header">
    <w:name w:val="header"/>
    <w:basedOn w:val="Normal"/>
    <w:link w:val="HeaderChar"/>
    <w:rsid w:val="009A2D29"/>
    <w:pPr>
      <w:tabs>
        <w:tab w:val="center" w:pos="4320"/>
        <w:tab w:val="right" w:pos="8640"/>
      </w:tabs>
    </w:pPr>
  </w:style>
  <w:style w:type="paragraph" w:styleId="DocumentMap">
    <w:name w:val="Document Map"/>
    <w:basedOn w:val="Normal"/>
    <w:semiHidden/>
    <w:rsid w:val="00211604"/>
    <w:pPr>
      <w:shd w:val="clear" w:color="auto" w:fill="000080"/>
    </w:pPr>
    <w:rPr>
      <w:rFonts w:ascii="Tahoma" w:hAnsi="Tahoma" w:cs="Tahoma"/>
      <w:sz w:val="20"/>
    </w:rPr>
  </w:style>
  <w:style w:type="character" w:customStyle="1" w:styleId="HeaderChar">
    <w:name w:val="Header Char"/>
    <w:link w:val="Header"/>
    <w:rsid w:val="003B0B6F"/>
    <w:rPr>
      <w:sz w:val="24"/>
    </w:rPr>
  </w:style>
  <w:style w:type="paragraph" w:styleId="FootnoteText">
    <w:name w:val="footnote text"/>
    <w:basedOn w:val="Normal"/>
    <w:link w:val="FootnoteTextChar"/>
    <w:uiPriority w:val="99"/>
    <w:unhideWhenUsed/>
    <w:rsid w:val="00A02552"/>
    <w:rPr>
      <w:sz w:val="20"/>
    </w:rPr>
  </w:style>
  <w:style w:type="character" w:customStyle="1" w:styleId="FootnoteTextChar">
    <w:name w:val="Footnote Text Char"/>
    <w:basedOn w:val="DefaultParagraphFont"/>
    <w:link w:val="FootnoteText"/>
    <w:uiPriority w:val="99"/>
    <w:rsid w:val="00A02552"/>
  </w:style>
  <w:style w:type="character" w:styleId="FootnoteReference">
    <w:name w:val="footnote reference"/>
    <w:basedOn w:val="DefaultParagraphFont"/>
    <w:uiPriority w:val="99"/>
    <w:unhideWhenUsed/>
    <w:rsid w:val="00A02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0E397-A2A7-4AAD-8BE0-E66CFA11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Pages>
  <Words>5370</Words>
  <Characters>30610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14</cp:revision>
  <cp:lastPrinted>2015-08-05T11:33:00Z</cp:lastPrinted>
  <dcterms:created xsi:type="dcterms:W3CDTF">2015-07-27T18:26:00Z</dcterms:created>
  <dcterms:modified xsi:type="dcterms:W3CDTF">2015-08-17T17:40:00Z</dcterms:modified>
</cp:coreProperties>
</file>