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04FE" w:rsidRPr="002A5D4B" w:rsidRDefault="009304FE" w:rsidP="002A5A92">
      <w:pPr>
        <w:jc w:val="center"/>
        <w:rPr>
          <w:b/>
          <w:sz w:val="26"/>
          <w:szCs w:val="26"/>
        </w:rPr>
      </w:pPr>
      <w:r w:rsidRPr="002A5D4B">
        <w:rPr>
          <w:b/>
          <w:sz w:val="26"/>
          <w:szCs w:val="26"/>
        </w:rPr>
        <w:t>PENNSYLVANIA</w:t>
      </w:r>
    </w:p>
    <w:p w:rsidR="009304FE" w:rsidRPr="002A5D4B" w:rsidRDefault="009304FE" w:rsidP="002A5A92">
      <w:pPr>
        <w:jc w:val="center"/>
        <w:rPr>
          <w:b/>
          <w:sz w:val="26"/>
          <w:szCs w:val="26"/>
        </w:rPr>
      </w:pPr>
      <w:r w:rsidRPr="002A5D4B">
        <w:rPr>
          <w:b/>
          <w:sz w:val="26"/>
          <w:szCs w:val="26"/>
        </w:rPr>
        <w:t>PUBLIC UTILITY COMMISSION</w:t>
      </w:r>
    </w:p>
    <w:p w:rsidR="009304FE" w:rsidRPr="002A5D4B" w:rsidRDefault="009304FE" w:rsidP="002A5A92">
      <w:pPr>
        <w:jc w:val="center"/>
        <w:rPr>
          <w:b/>
          <w:sz w:val="26"/>
          <w:szCs w:val="26"/>
        </w:rPr>
      </w:pPr>
      <w:smartTag w:uri="urn:schemas-microsoft-com:office:smarttags" w:element="place">
        <w:smartTag w:uri="urn:schemas-microsoft-com:office:smarttags" w:element="City">
          <w:r w:rsidRPr="002A5D4B">
            <w:rPr>
              <w:b/>
              <w:sz w:val="26"/>
              <w:szCs w:val="26"/>
            </w:rPr>
            <w:t>Harrisburg</w:t>
          </w:r>
        </w:smartTag>
        <w:r w:rsidRPr="002A5D4B">
          <w:rPr>
            <w:b/>
            <w:sz w:val="26"/>
            <w:szCs w:val="26"/>
          </w:rPr>
          <w:t xml:space="preserve">, </w:t>
        </w:r>
        <w:smartTag w:uri="urn:schemas-microsoft-com:office:smarttags" w:element="State">
          <w:r w:rsidRPr="002A5D4B">
            <w:rPr>
              <w:b/>
              <w:sz w:val="26"/>
              <w:szCs w:val="26"/>
            </w:rPr>
            <w:t>PA</w:t>
          </w:r>
        </w:smartTag>
        <w:r w:rsidRPr="002A5D4B">
          <w:rPr>
            <w:b/>
            <w:sz w:val="26"/>
            <w:szCs w:val="26"/>
          </w:rPr>
          <w:t xml:space="preserve"> </w:t>
        </w:r>
        <w:smartTag w:uri="urn:schemas-microsoft-com:office:smarttags" w:element="PostalCode">
          <w:r w:rsidRPr="002A5D4B">
            <w:rPr>
              <w:b/>
              <w:sz w:val="26"/>
              <w:szCs w:val="26"/>
            </w:rPr>
            <w:t>17105-3265</w:t>
          </w:r>
        </w:smartTag>
      </w:smartTag>
    </w:p>
    <w:p w:rsidR="009304FE" w:rsidRPr="00BA66A4" w:rsidRDefault="009304FE" w:rsidP="002A5A92">
      <w:pPr>
        <w:rPr>
          <w:sz w:val="26"/>
          <w:szCs w:val="26"/>
        </w:rPr>
      </w:pPr>
    </w:p>
    <w:p w:rsidR="009304FE" w:rsidRPr="002A5D4B" w:rsidRDefault="009304FE" w:rsidP="002A5A92">
      <w:pPr>
        <w:jc w:val="right"/>
        <w:rPr>
          <w:sz w:val="26"/>
          <w:szCs w:val="26"/>
        </w:rPr>
      </w:pPr>
      <w:r>
        <w:rPr>
          <w:sz w:val="26"/>
          <w:szCs w:val="26"/>
        </w:rPr>
        <w:t>P</w:t>
      </w:r>
      <w:r w:rsidRPr="002A5D4B">
        <w:rPr>
          <w:sz w:val="26"/>
          <w:szCs w:val="26"/>
        </w:rPr>
        <w:t xml:space="preserve">ublic Meeting held </w:t>
      </w:r>
      <w:r w:rsidR="00CE1E14">
        <w:rPr>
          <w:sz w:val="26"/>
          <w:szCs w:val="26"/>
        </w:rPr>
        <w:t>August 20</w:t>
      </w:r>
      <w:r w:rsidR="00B721B6">
        <w:rPr>
          <w:sz w:val="26"/>
          <w:szCs w:val="26"/>
        </w:rPr>
        <w:t>, 2015</w:t>
      </w:r>
    </w:p>
    <w:p w:rsidR="009304FE" w:rsidRDefault="009304FE" w:rsidP="002A5A92">
      <w:pPr>
        <w:rPr>
          <w:sz w:val="26"/>
          <w:szCs w:val="26"/>
        </w:rPr>
      </w:pPr>
    </w:p>
    <w:p w:rsidR="00852CA4" w:rsidRPr="002A5D4B" w:rsidRDefault="00852CA4" w:rsidP="002A5A92">
      <w:pPr>
        <w:rPr>
          <w:sz w:val="26"/>
          <w:szCs w:val="26"/>
        </w:rPr>
      </w:pPr>
    </w:p>
    <w:p w:rsidR="009304FE" w:rsidRDefault="009304FE" w:rsidP="002A5A92">
      <w:pPr>
        <w:rPr>
          <w:sz w:val="26"/>
          <w:szCs w:val="26"/>
        </w:rPr>
      </w:pPr>
      <w:r w:rsidRPr="002A5D4B">
        <w:rPr>
          <w:sz w:val="26"/>
          <w:szCs w:val="26"/>
        </w:rPr>
        <w:t>Commissioners Present:</w:t>
      </w:r>
    </w:p>
    <w:p w:rsidR="00B21832" w:rsidRPr="002A5D4B" w:rsidRDefault="00B21832" w:rsidP="002A5A92">
      <w:pPr>
        <w:rPr>
          <w:sz w:val="26"/>
          <w:szCs w:val="26"/>
        </w:rPr>
      </w:pPr>
    </w:p>
    <w:p w:rsidR="009304FE" w:rsidRPr="002A5D4B" w:rsidRDefault="009304FE" w:rsidP="002A5A92">
      <w:pPr>
        <w:rPr>
          <w:sz w:val="26"/>
          <w:szCs w:val="26"/>
        </w:rPr>
      </w:pPr>
      <w:r>
        <w:rPr>
          <w:sz w:val="26"/>
          <w:szCs w:val="26"/>
        </w:rPr>
        <w:tab/>
      </w:r>
      <w:r w:rsidR="008F6BC5">
        <w:rPr>
          <w:sz w:val="26"/>
          <w:szCs w:val="26"/>
        </w:rPr>
        <w:t>Gladys M. Brown</w:t>
      </w:r>
      <w:r w:rsidRPr="002A5D4B">
        <w:rPr>
          <w:sz w:val="26"/>
          <w:szCs w:val="26"/>
        </w:rPr>
        <w:t>, Chairman</w:t>
      </w:r>
    </w:p>
    <w:p w:rsidR="009304FE" w:rsidRDefault="009304FE" w:rsidP="002A5A92">
      <w:pPr>
        <w:rPr>
          <w:sz w:val="26"/>
          <w:szCs w:val="26"/>
        </w:rPr>
      </w:pPr>
      <w:r>
        <w:rPr>
          <w:sz w:val="26"/>
          <w:szCs w:val="26"/>
        </w:rPr>
        <w:tab/>
      </w:r>
      <w:r w:rsidR="00727163">
        <w:rPr>
          <w:sz w:val="26"/>
          <w:szCs w:val="26"/>
        </w:rPr>
        <w:t>John F. Coleman, Jr.</w:t>
      </w:r>
      <w:r w:rsidRPr="002A5D4B">
        <w:rPr>
          <w:sz w:val="26"/>
          <w:szCs w:val="26"/>
        </w:rPr>
        <w:t>, Vice Chairman</w:t>
      </w:r>
    </w:p>
    <w:p w:rsidR="009304FE" w:rsidRDefault="001C7F88" w:rsidP="002A5A92">
      <w:pPr>
        <w:rPr>
          <w:sz w:val="26"/>
          <w:szCs w:val="26"/>
        </w:rPr>
      </w:pPr>
      <w:r>
        <w:rPr>
          <w:sz w:val="26"/>
          <w:szCs w:val="26"/>
        </w:rPr>
        <w:tab/>
      </w:r>
      <w:r w:rsidR="00727163">
        <w:rPr>
          <w:sz w:val="26"/>
          <w:szCs w:val="26"/>
        </w:rPr>
        <w:t>James H. Cawley</w:t>
      </w:r>
    </w:p>
    <w:p w:rsidR="00727163" w:rsidRDefault="00727163" w:rsidP="002A5A92">
      <w:pPr>
        <w:rPr>
          <w:sz w:val="26"/>
          <w:szCs w:val="26"/>
        </w:rPr>
      </w:pPr>
      <w:r>
        <w:rPr>
          <w:sz w:val="26"/>
          <w:szCs w:val="26"/>
        </w:rPr>
        <w:tab/>
        <w:t>Pamela A. Witmer</w:t>
      </w:r>
    </w:p>
    <w:p w:rsidR="00BC7CAF" w:rsidRDefault="00BC7CAF" w:rsidP="002A5A92">
      <w:pPr>
        <w:rPr>
          <w:sz w:val="26"/>
          <w:szCs w:val="26"/>
        </w:rPr>
      </w:pPr>
      <w:r>
        <w:rPr>
          <w:sz w:val="26"/>
          <w:szCs w:val="26"/>
        </w:rPr>
        <w:tab/>
      </w:r>
      <w:r w:rsidR="008F6BC5">
        <w:rPr>
          <w:sz w:val="26"/>
          <w:szCs w:val="26"/>
        </w:rPr>
        <w:t>Robert F. Powelson</w:t>
      </w:r>
    </w:p>
    <w:p w:rsidR="009304FE" w:rsidRDefault="009304FE" w:rsidP="002A5A92"/>
    <w:p w:rsidR="004E61BF" w:rsidRDefault="004E61BF" w:rsidP="002A5A92">
      <w:pPr>
        <w:tabs>
          <w:tab w:val="left" w:pos="-720"/>
          <w:tab w:val="left" w:pos="0"/>
        </w:tabs>
        <w:suppressAutoHyphens/>
        <w:rPr>
          <w:sz w:val="26"/>
          <w:szCs w:val="26"/>
        </w:rPr>
      </w:pPr>
    </w:p>
    <w:p w:rsidR="00727163" w:rsidRDefault="003D6ECA" w:rsidP="002A5A92">
      <w:pPr>
        <w:tabs>
          <w:tab w:val="left" w:pos="-720"/>
        </w:tabs>
        <w:suppressAutoHyphens/>
        <w:rPr>
          <w:sz w:val="26"/>
        </w:rPr>
      </w:pPr>
      <w:r>
        <w:rPr>
          <w:sz w:val="26"/>
        </w:rPr>
        <w:t>Stephen Kiback, Jr.</w:t>
      </w:r>
      <w:r>
        <w:rPr>
          <w:sz w:val="26"/>
        </w:rPr>
        <w:tab/>
      </w:r>
      <w:r>
        <w:rPr>
          <w:sz w:val="26"/>
        </w:rPr>
        <w:tab/>
      </w:r>
      <w:r w:rsidR="00CA1710">
        <w:rPr>
          <w:sz w:val="26"/>
        </w:rPr>
        <w:tab/>
      </w:r>
      <w:r w:rsidR="00CA1710">
        <w:rPr>
          <w:sz w:val="26"/>
        </w:rPr>
        <w:tab/>
      </w:r>
      <w:r w:rsidR="00533CE6">
        <w:rPr>
          <w:sz w:val="26"/>
        </w:rPr>
        <w:tab/>
      </w:r>
      <w:r w:rsidR="00533CE6">
        <w:rPr>
          <w:sz w:val="26"/>
        </w:rPr>
        <w:tab/>
      </w:r>
      <w:r w:rsidR="00533CE6">
        <w:rPr>
          <w:sz w:val="26"/>
        </w:rPr>
        <w:tab/>
      </w:r>
      <w:r w:rsidR="00BC7CAF">
        <w:rPr>
          <w:sz w:val="26"/>
        </w:rPr>
        <w:tab/>
      </w:r>
      <w:r w:rsidR="00FC660E">
        <w:rPr>
          <w:sz w:val="26"/>
        </w:rPr>
        <w:t xml:space="preserve">     </w:t>
      </w:r>
      <w:r w:rsidR="00BC7CAF">
        <w:rPr>
          <w:sz w:val="26"/>
        </w:rPr>
        <w:t>C</w:t>
      </w:r>
      <w:r w:rsidR="00533CE6">
        <w:rPr>
          <w:sz w:val="26"/>
        </w:rPr>
        <w:t>-201</w:t>
      </w:r>
      <w:r w:rsidR="00BC7CAF">
        <w:rPr>
          <w:sz w:val="26"/>
        </w:rPr>
        <w:t>4</w:t>
      </w:r>
      <w:r w:rsidR="00533CE6">
        <w:rPr>
          <w:sz w:val="26"/>
        </w:rPr>
        <w:t>-</w:t>
      </w:r>
      <w:r w:rsidR="00BC7CAF">
        <w:rPr>
          <w:sz w:val="26"/>
        </w:rPr>
        <w:t>24</w:t>
      </w:r>
      <w:r>
        <w:rPr>
          <w:sz w:val="26"/>
        </w:rPr>
        <w:t>09676</w:t>
      </w:r>
    </w:p>
    <w:p w:rsidR="00217165" w:rsidRDefault="00217165" w:rsidP="002A5A92">
      <w:pPr>
        <w:tabs>
          <w:tab w:val="left" w:pos="-720"/>
        </w:tabs>
        <w:suppressAutoHyphens/>
        <w:rPr>
          <w:sz w:val="26"/>
        </w:rPr>
      </w:pPr>
    </w:p>
    <w:p w:rsidR="00CA1710" w:rsidRDefault="00CA1710" w:rsidP="002A5A92">
      <w:pPr>
        <w:tabs>
          <w:tab w:val="left" w:pos="-720"/>
        </w:tabs>
        <w:suppressAutoHyphens/>
        <w:rPr>
          <w:sz w:val="26"/>
        </w:rPr>
      </w:pPr>
      <w:r>
        <w:rPr>
          <w:sz w:val="26"/>
        </w:rPr>
        <w:tab/>
        <w:t>v.</w:t>
      </w:r>
    </w:p>
    <w:p w:rsidR="00217165" w:rsidRDefault="00217165" w:rsidP="002A5A92">
      <w:pPr>
        <w:tabs>
          <w:tab w:val="left" w:pos="-720"/>
        </w:tabs>
        <w:suppressAutoHyphens/>
        <w:rPr>
          <w:sz w:val="26"/>
        </w:rPr>
      </w:pPr>
    </w:p>
    <w:p w:rsidR="00CA1710" w:rsidRDefault="003D6ECA" w:rsidP="002A5A92">
      <w:pPr>
        <w:tabs>
          <w:tab w:val="left" w:pos="-720"/>
        </w:tabs>
        <w:suppressAutoHyphens/>
        <w:rPr>
          <w:sz w:val="26"/>
        </w:rPr>
      </w:pPr>
      <w:r>
        <w:rPr>
          <w:sz w:val="26"/>
        </w:rPr>
        <w:t>IDT Energy</w:t>
      </w:r>
      <w:r w:rsidR="006A20F1">
        <w:rPr>
          <w:sz w:val="26"/>
        </w:rPr>
        <w:t>,</w:t>
      </w:r>
      <w:r>
        <w:rPr>
          <w:sz w:val="26"/>
        </w:rPr>
        <w:t xml:space="preserve"> Inc.</w:t>
      </w:r>
    </w:p>
    <w:p w:rsidR="00CA1710" w:rsidRDefault="00CA1710" w:rsidP="002A5A92">
      <w:pPr>
        <w:tabs>
          <w:tab w:val="left" w:pos="-720"/>
        </w:tabs>
        <w:suppressAutoHyphens/>
        <w:rPr>
          <w:sz w:val="26"/>
        </w:rPr>
      </w:pPr>
    </w:p>
    <w:p w:rsidR="00852CA4" w:rsidRPr="00624B80" w:rsidRDefault="00852CA4" w:rsidP="002A5A92">
      <w:pPr>
        <w:tabs>
          <w:tab w:val="left" w:pos="-720"/>
        </w:tabs>
        <w:suppressAutoHyphens/>
        <w:rPr>
          <w:sz w:val="26"/>
        </w:rPr>
      </w:pPr>
    </w:p>
    <w:p w:rsidR="009304FE" w:rsidRDefault="009304FE" w:rsidP="002A5A92">
      <w:pPr>
        <w:tabs>
          <w:tab w:val="center" w:pos="4680"/>
        </w:tabs>
        <w:suppressAutoHyphens/>
        <w:jc w:val="center"/>
        <w:rPr>
          <w:b/>
          <w:sz w:val="26"/>
        </w:rPr>
      </w:pPr>
      <w:r w:rsidRPr="00624B80">
        <w:rPr>
          <w:b/>
          <w:sz w:val="26"/>
        </w:rPr>
        <w:t xml:space="preserve">OPINION </w:t>
      </w:r>
      <w:smartTag w:uri="urn:schemas-microsoft-com:office:smarttags" w:element="stockticker">
        <w:r w:rsidRPr="00624B80">
          <w:rPr>
            <w:b/>
            <w:sz w:val="26"/>
          </w:rPr>
          <w:t>AND</w:t>
        </w:r>
      </w:smartTag>
      <w:r w:rsidRPr="00624B80">
        <w:rPr>
          <w:b/>
          <w:sz w:val="26"/>
        </w:rPr>
        <w:t xml:space="preserve"> ORDER</w:t>
      </w:r>
    </w:p>
    <w:p w:rsidR="00CA6BAF" w:rsidRPr="00624B80" w:rsidRDefault="00CA6BAF" w:rsidP="002A5A92">
      <w:pPr>
        <w:tabs>
          <w:tab w:val="left" w:pos="-720"/>
        </w:tabs>
        <w:suppressAutoHyphens/>
        <w:spacing w:line="360" w:lineRule="auto"/>
        <w:rPr>
          <w:b/>
          <w:sz w:val="26"/>
        </w:rPr>
      </w:pPr>
    </w:p>
    <w:p w:rsidR="009304FE" w:rsidRPr="00624B80" w:rsidRDefault="009304FE" w:rsidP="002A5A92">
      <w:pPr>
        <w:tabs>
          <w:tab w:val="left" w:pos="-720"/>
        </w:tabs>
        <w:suppressAutoHyphens/>
        <w:spacing w:line="360" w:lineRule="auto"/>
        <w:rPr>
          <w:sz w:val="26"/>
        </w:rPr>
      </w:pPr>
      <w:r w:rsidRPr="00624B80">
        <w:rPr>
          <w:b/>
          <w:sz w:val="26"/>
        </w:rPr>
        <w:t>BY THE COMMISSION:</w:t>
      </w:r>
    </w:p>
    <w:p w:rsidR="009304FE" w:rsidRPr="00585188" w:rsidRDefault="009304FE" w:rsidP="002A5A92">
      <w:pPr>
        <w:rPr>
          <w:sz w:val="26"/>
          <w:szCs w:val="26"/>
        </w:rPr>
      </w:pPr>
    </w:p>
    <w:p w:rsidR="00FC776E" w:rsidRDefault="009304FE" w:rsidP="009623E5">
      <w:pPr>
        <w:spacing w:line="360" w:lineRule="auto"/>
        <w:ind w:firstLine="1440"/>
        <w:rPr>
          <w:sz w:val="26"/>
          <w:szCs w:val="26"/>
        </w:rPr>
      </w:pPr>
      <w:r w:rsidRPr="00585188">
        <w:rPr>
          <w:sz w:val="26"/>
          <w:szCs w:val="26"/>
        </w:rPr>
        <w:t xml:space="preserve">Before the </w:t>
      </w:r>
      <w:r>
        <w:rPr>
          <w:sz w:val="26"/>
          <w:szCs w:val="26"/>
        </w:rPr>
        <w:t>Pennsylvania Public Utility Commission (</w:t>
      </w:r>
      <w:r w:rsidRPr="00585188">
        <w:rPr>
          <w:sz w:val="26"/>
          <w:szCs w:val="26"/>
        </w:rPr>
        <w:t>Commission</w:t>
      </w:r>
      <w:r>
        <w:rPr>
          <w:sz w:val="26"/>
          <w:szCs w:val="26"/>
        </w:rPr>
        <w:t>)</w:t>
      </w:r>
      <w:r w:rsidRPr="00585188">
        <w:rPr>
          <w:sz w:val="26"/>
          <w:szCs w:val="26"/>
        </w:rPr>
        <w:t xml:space="preserve"> for consideration </w:t>
      </w:r>
      <w:r>
        <w:rPr>
          <w:sz w:val="26"/>
          <w:szCs w:val="26"/>
        </w:rPr>
        <w:t xml:space="preserve">and disposition </w:t>
      </w:r>
      <w:r w:rsidRPr="00585188">
        <w:rPr>
          <w:sz w:val="26"/>
          <w:szCs w:val="26"/>
        </w:rPr>
        <w:t xml:space="preserve">are the </w:t>
      </w:r>
      <w:r w:rsidR="00863BA3" w:rsidRPr="00863BA3">
        <w:rPr>
          <w:sz w:val="26"/>
          <w:szCs w:val="26"/>
        </w:rPr>
        <w:t xml:space="preserve">Exceptions of </w:t>
      </w:r>
      <w:r w:rsidR="004C4AA1">
        <w:rPr>
          <w:sz w:val="26"/>
          <w:szCs w:val="26"/>
        </w:rPr>
        <w:t xml:space="preserve">IDT Energy, Inc. (IDT or </w:t>
      </w:r>
      <w:r w:rsidR="008F6BC5">
        <w:rPr>
          <w:sz w:val="26"/>
          <w:szCs w:val="26"/>
        </w:rPr>
        <w:t>Respondent</w:t>
      </w:r>
      <w:r w:rsidR="004C4AA1">
        <w:rPr>
          <w:sz w:val="26"/>
          <w:szCs w:val="26"/>
        </w:rPr>
        <w:t xml:space="preserve">), </w:t>
      </w:r>
      <w:r w:rsidR="00C84DCE" w:rsidRPr="00C84DCE">
        <w:rPr>
          <w:sz w:val="26"/>
          <w:szCs w:val="26"/>
        </w:rPr>
        <w:t>an electric generation supplier (EGS)</w:t>
      </w:r>
      <w:r w:rsidR="00C84DCE">
        <w:rPr>
          <w:sz w:val="26"/>
          <w:szCs w:val="26"/>
        </w:rPr>
        <w:t xml:space="preserve">, </w:t>
      </w:r>
      <w:r w:rsidR="004C4AA1">
        <w:rPr>
          <w:sz w:val="26"/>
          <w:szCs w:val="26"/>
        </w:rPr>
        <w:t>filed on March 9</w:t>
      </w:r>
      <w:r w:rsidR="00863BA3" w:rsidRPr="00863BA3">
        <w:rPr>
          <w:sz w:val="26"/>
          <w:szCs w:val="26"/>
        </w:rPr>
        <w:t>, 201</w:t>
      </w:r>
      <w:r w:rsidR="004C4AA1">
        <w:rPr>
          <w:sz w:val="26"/>
          <w:szCs w:val="26"/>
        </w:rPr>
        <w:t>5</w:t>
      </w:r>
      <w:r w:rsidR="00863BA3" w:rsidRPr="00863BA3">
        <w:rPr>
          <w:sz w:val="26"/>
          <w:szCs w:val="26"/>
        </w:rPr>
        <w:t>,</w:t>
      </w:r>
      <w:r w:rsidR="00863BA3">
        <w:rPr>
          <w:sz w:val="26"/>
          <w:szCs w:val="26"/>
        </w:rPr>
        <w:t xml:space="preserve"> </w:t>
      </w:r>
      <w:r w:rsidR="00DC0448">
        <w:rPr>
          <w:sz w:val="26"/>
          <w:szCs w:val="26"/>
        </w:rPr>
        <w:t xml:space="preserve">to the Initial Decision </w:t>
      </w:r>
      <w:r w:rsidR="002161A1">
        <w:rPr>
          <w:sz w:val="26"/>
          <w:szCs w:val="26"/>
        </w:rPr>
        <w:t xml:space="preserve">(I.D.) of Administrative Law Judge (ALJ) </w:t>
      </w:r>
      <w:r w:rsidR="004C4AA1">
        <w:rPr>
          <w:sz w:val="26"/>
          <w:szCs w:val="26"/>
        </w:rPr>
        <w:t>Joel H. Cheskis</w:t>
      </w:r>
      <w:r w:rsidR="00DC0448">
        <w:rPr>
          <w:sz w:val="26"/>
          <w:szCs w:val="26"/>
        </w:rPr>
        <w:t xml:space="preserve"> </w:t>
      </w:r>
      <w:r w:rsidR="002161A1">
        <w:rPr>
          <w:sz w:val="26"/>
          <w:szCs w:val="26"/>
        </w:rPr>
        <w:t xml:space="preserve">issued on </w:t>
      </w:r>
      <w:r w:rsidR="004C4AA1">
        <w:rPr>
          <w:sz w:val="26"/>
          <w:szCs w:val="26"/>
        </w:rPr>
        <w:t>February</w:t>
      </w:r>
      <w:r w:rsidR="007C17CC">
        <w:rPr>
          <w:sz w:val="26"/>
          <w:szCs w:val="26"/>
        </w:rPr>
        <w:t> </w:t>
      </w:r>
      <w:r w:rsidR="004C4AA1">
        <w:rPr>
          <w:sz w:val="26"/>
          <w:szCs w:val="26"/>
        </w:rPr>
        <w:t>17</w:t>
      </w:r>
      <w:r w:rsidR="002161A1">
        <w:rPr>
          <w:sz w:val="26"/>
          <w:szCs w:val="26"/>
        </w:rPr>
        <w:t>, 201</w:t>
      </w:r>
      <w:r w:rsidR="004C4AA1">
        <w:rPr>
          <w:sz w:val="26"/>
          <w:szCs w:val="26"/>
        </w:rPr>
        <w:t>5</w:t>
      </w:r>
      <w:r w:rsidR="00DC0448">
        <w:rPr>
          <w:sz w:val="26"/>
          <w:szCs w:val="26"/>
        </w:rPr>
        <w:t xml:space="preserve">. </w:t>
      </w:r>
      <w:r w:rsidR="009623E5">
        <w:rPr>
          <w:sz w:val="26"/>
          <w:szCs w:val="26"/>
        </w:rPr>
        <w:t xml:space="preserve"> </w:t>
      </w:r>
      <w:r w:rsidR="004C4AA1">
        <w:rPr>
          <w:sz w:val="26"/>
          <w:szCs w:val="26"/>
        </w:rPr>
        <w:t xml:space="preserve">The Office of Consumer Advocate (OCA) filed </w:t>
      </w:r>
      <w:r w:rsidR="00863BA3">
        <w:rPr>
          <w:sz w:val="26"/>
          <w:szCs w:val="26"/>
        </w:rPr>
        <w:t>Replies to Exceptions</w:t>
      </w:r>
      <w:r w:rsidR="0067741C" w:rsidRPr="0067741C">
        <w:rPr>
          <w:sz w:val="26"/>
          <w:szCs w:val="26"/>
        </w:rPr>
        <w:t xml:space="preserve"> on </w:t>
      </w:r>
      <w:r w:rsidR="004C4AA1">
        <w:rPr>
          <w:sz w:val="26"/>
          <w:szCs w:val="26"/>
        </w:rPr>
        <w:t>March 19</w:t>
      </w:r>
      <w:r w:rsidR="0067741C" w:rsidRPr="0067741C">
        <w:rPr>
          <w:sz w:val="26"/>
          <w:szCs w:val="26"/>
        </w:rPr>
        <w:t>, 201</w:t>
      </w:r>
      <w:r w:rsidR="004C4AA1">
        <w:rPr>
          <w:sz w:val="26"/>
          <w:szCs w:val="26"/>
        </w:rPr>
        <w:t>5</w:t>
      </w:r>
      <w:r w:rsidR="00863BA3">
        <w:rPr>
          <w:sz w:val="26"/>
          <w:szCs w:val="26"/>
        </w:rPr>
        <w:t xml:space="preserve">.  </w:t>
      </w:r>
      <w:r w:rsidR="00DC0448">
        <w:rPr>
          <w:sz w:val="26"/>
          <w:szCs w:val="26"/>
        </w:rPr>
        <w:t xml:space="preserve">For the reasons stated below, we will </w:t>
      </w:r>
      <w:r w:rsidR="004C4AA1">
        <w:rPr>
          <w:sz w:val="26"/>
          <w:szCs w:val="26"/>
        </w:rPr>
        <w:t>deny</w:t>
      </w:r>
      <w:r w:rsidR="0070324F">
        <w:rPr>
          <w:sz w:val="26"/>
          <w:szCs w:val="26"/>
        </w:rPr>
        <w:t xml:space="preserve"> </w:t>
      </w:r>
      <w:r w:rsidR="00DC0448">
        <w:rPr>
          <w:sz w:val="26"/>
          <w:szCs w:val="26"/>
        </w:rPr>
        <w:t>the Exceptions</w:t>
      </w:r>
      <w:r w:rsidR="00995287">
        <w:rPr>
          <w:sz w:val="26"/>
          <w:szCs w:val="26"/>
        </w:rPr>
        <w:t xml:space="preserve"> of </w:t>
      </w:r>
      <w:r w:rsidR="004C4AA1">
        <w:rPr>
          <w:sz w:val="26"/>
          <w:szCs w:val="26"/>
        </w:rPr>
        <w:t>IDT and adopt th</w:t>
      </w:r>
      <w:r w:rsidR="00DC0448">
        <w:rPr>
          <w:sz w:val="26"/>
          <w:szCs w:val="26"/>
        </w:rPr>
        <w:t>e ALJ’s Initial Decision</w:t>
      </w:r>
      <w:r w:rsidR="00404C2C">
        <w:rPr>
          <w:sz w:val="26"/>
          <w:szCs w:val="26"/>
        </w:rPr>
        <w:t xml:space="preserve"> as modified herein</w:t>
      </w:r>
      <w:r w:rsidR="00DC0448">
        <w:rPr>
          <w:sz w:val="26"/>
          <w:szCs w:val="26"/>
        </w:rPr>
        <w:t>,</w:t>
      </w:r>
      <w:r w:rsidR="009623E5" w:rsidRPr="009623E5">
        <w:rPr>
          <w:sz w:val="26"/>
          <w:szCs w:val="26"/>
        </w:rPr>
        <w:t xml:space="preserve"> which </w:t>
      </w:r>
      <w:r w:rsidR="004C4AA1">
        <w:rPr>
          <w:sz w:val="26"/>
          <w:szCs w:val="26"/>
        </w:rPr>
        <w:t>sustained</w:t>
      </w:r>
      <w:r w:rsidR="009623E5" w:rsidRPr="009623E5">
        <w:rPr>
          <w:sz w:val="26"/>
          <w:szCs w:val="26"/>
        </w:rPr>
        <w:t xml:space="preserve"> </w:t>
      </w:r>
      <w:r w:rsidR="004C4AA1">
        <w:rPr>
          <w:sz w:val="26"/>
          <w:szCs w:val="26"/>
        </w:rPr>
        <w:t>the Complaint of Stephen Kiback, Jr. (Mr. Kiback or Complainant)</w:t>
      </w:r>
      <w:r w:rsidR="00DC0448">
        <w:rPr>
          <w:sz w:val="26"/>
          <w:szCs w:val="26"/>
        </w:rPr>
        <w:t>.</w:t>
      </w:r>
    </w:p>
    <w:p w:rsidR="004C4AA1" w:rsidRDefault="004C4AA1" w:rsidP="009623E5">
      <w:pPr>
        <w:spacing w:line="360" w:lineRule="auto"/>
        <w:ind w:firstLine="1440"/>
        <w:rPr>
          <w:sz w:val="26"/>
          <w:szCs w:val="26"/>
        </w:rPr>
      </w:pPr>
    </w:p>
    <w:p w:rsidR="009304FE" w:rsidRDefault="00F55BED" w:rsidP="004C4AA1">
      <w:pPr>
        <w:keepNext/>
        <w:keepLines/>
        <w:spacing w:line="360" w:lineRule="auto"/>
        <w:jc w:val="center"/>
        <w:rPr>
          <w:b/>
          <w:sz w:val="26"/>
          <w:szCs w:val="26"/>
        </w:rPr>
      </w:pPr>
      <w:r w:rsidRPr="00CA1972">
        <w:rPr>
          <w:b/>
          <w:sz w:val="26"/>
          <w:szCs w:val="26"/>
        </w:rPr>
        <w:lastRenderedPageBreak/>
        <w:t>History of the Proceeding</w:t>
      </w:r>
    </w:p>
    <w:p w:rsidR="00E41E44" w:rsidRDefault="00E41E44" w:rsidP="004C4AA1">
      <w:pPr>
        <w:keepNext/>
        <w:keepLines/>
        <w:spacing w:line="360" w:lineRule="auto"/>
        <w:jc w:val="center"/>
        <w:rPr>
          <w:b/>
          <w:sz w:val="26"/>
          <w:szCs w:val="26"/>
        </w:rPr>
      </w:pPr>
    </w:p>
    <w:p w:rsidR="00E41E44" w:rsidRDefault="00E41E44" w:rsidP="00594E5C">
      <w:pPr>
        <w:pStyle w:val="ParaTab1"/>
        <w:spacing w:line="360" w:lineRule="auto"/>
        <w:ind w:left="90" w:firstLine="1350"/>
        <w:rPr>
          <w:rFonts w:ascii="Times New Roman" w:hAnsi="Times New Roman" w:cs="Times New Roman"/>
          <w:sz w:val="26"/>
          <w:szCs w:val="26"/>
        </w:rPr>
      </w:pPr>
      <w:r w:rsidRPr="00E41E44">
        <w:rPr>
          <w:rFonts w:ascii="Times New Roman" w:hAnsi="Times New Roman" w:cs="Times New Roman"/>
          <w:sz w:val="26"/>
          <w:szCs w:val="26"/>
        </w:rPr>
        <w:t xml:space="preserve">On </w:t>
      </w:r>
      <w:r w:rsidR="00A22D28">
        <w:rPr>
          <w:rFonts w:ascii="Times New Roman" w:hAnsi="Times New Roman" w:cs="Times New Roman"/>
          <w:sz w:val="26"/>
          <w:szCs w:val="26"/>
        </w:rPr>
        <w:t xml:space="preserve">March </w:t>
      </w:r>
      <w:r w:rsidR="004C4AA1">
        <w:rPr>
          <w:rFonts w:ascii="Times New Roman" w:hAnsi="Times New Roman" w:cs="Times New Roman"/>
          <w:sz w:val="26"/>
          <w:szCs w:val="26"/>
        </w:rPr>
        <w:t>4</w:t>
      </w:r>
      <w:r w:rsidRPr="00E41E44">
        <w:rPr>
          <w:rFonts w:ascii="Times New Roman" w:hAnsi="Times New Roman" w:cs="Times New Roman"/>
          <w:sz w:val="26"/>
          <w:szCs w:val="26"/>
        </w:rPr>
        <w:t>, 201</w:t>
      </w:r>
      <w:r w:rsidR="009623E5">
        <w:rPr>
          <w:rFonts w:ascii="Times New Roman" w:hAnsi="Times New Roman" w:cs="Times New Roman"/>
          <w:sz w:val="26"/>
          <w:szCs w:val="26"/>
        </w:rPr>
        <w:t>4</w:t>
      </w:r>
      <w:r w:rsidRPr="00E41E44">
        <w:rPr>
          <w:rFonts w:ascii="Times New Roman" w:hAnsi="Times New Roman" w:cs="Times New Roman"/>
          <w:sz w:val="26"/>
          <w:szCs w:val="26"/>
        </w:rPr>
        <w:t xml:space="preserve">, </w:t>
      </w:r>
      <w:r w:rsidR="007C17CC">
        <w:rPr>
          <w:rFonts w:ascii="Times New Roman" w:hAnsi="Times New Roman" w:cs="Times New Roman"/>
          <w:sz w:val="26"/>
          <w:szCs w:val="26"/>
        </w:rPr>
        <w:t>Mr. Kiback</w:t>
      </w:r>
      <w:r>
        <w:rPr>
          <w:rFonts w:ascii="Times New Roman" w:hAnsi="Times New Roman" w:cs="Times New Roman"/>
          <w:sz w:val="26"/>
          <w:szCs w:val="26"/>
        </w:rPr>
        <w:t xml:space="preserve"> f</w:t>
      </w:r>
      <w:r w:rsidRPr="00E41E44">
        <w:rPr>
          <w:rFonts w:ascii="Times New Roman" w:hAnsi="Times New Roman" w:cs="Times New Roman"/>
          <w:sz w:val="26"/>
          <w:szCs w:val="26"/>
        </w:rPr>
        <w:t xml:space="preserve">iled </w:t>
      </w:r>
      <w:r w:rsidR="00A22D28">
        <w:rPr>
          <w:rFonts w:ascii="Times New Roman" w:hAnsi="Times New Roman" w:cs="Times New Roman"/>
          <w:sz w:val="26"/>
          <w:szCs w:val="26"/>
        </w:rPr>
        <w:t xml:space="preserve">a Formal </w:t>
      </w:r>
      <w:r>
        <w:rPr>
          <w:rFonts w:ascii="Times New Roman" w:hAnsi="Times New Roman" w:cs="Times New Roman"/>
          <w:sz w:val="26"/>
          <w:szCs w:val="26"/>
        </w:rPr>
        <w:t>C</w:t>
      </w:r>
      <w:r w:rsidRPr="00E41E44">
        <w:rPr>
          <w:rFonts w:ascii="Times New Roman" w:hAnsi="Times New Roman" w:cs="Times New Roman"/>
          <w:sz w:val="26"/>
          <w:szCs w:val="26"/>
        </w:rPr>
        <w:t xml:space="preserve">omplaint </w:t>
      </w:r>
      <w:r w:rsidR="00A22D28">
        <w:rPr>
          <w:rFonts w:ascii="Times New Roman" w:hAnsi="Times New Roman" w:cs="Times New Roman"/>
          <w:sz w:val="26"/>
          <w:szCs w:val="26"/>
        </w:rPr>
        <w:t>(Complaint)</w:t>
      </w:r>
      <w:r w:rsidRPr="00E41E44">
        <w:rPr>
          <w:rFonts w:ascii="Times New Roman" w:hAnsi="Times New Roman" w:cs="Times New Roman"/>
          <w:sz w:val="26"/>
          <w:szCs w:val="26"/>
        </w:rPr>
        <w:t xml:space="preserve"> </w:t>
      </w:r>
      <w:r w:rsidR="00A22D28">
        <w:rPr>
          <w:rFonts w:ascii="Times New Roman" w:hAnsi="Times New Roman" w:cs="Times New Roman"/>
          <w:sz w:val="26"/>
          <w:szCs w:val="26"/>
        </w:rPr>
        <w:t xml:space="preserve">against </w:t>
      </w:r>
      <w:r w:rsidR="004C4AA1">
        <w:rPr>
          <w:rFonts w:ascii="Times New Roman" w:hAnsi="Times New Roman" w:cs="Times New Roman"/>
          <w:sz w:val="26"/>
          <w:szCs w:val="26"/>
        </w:rPr>
        <w:t>IDT</w:t>
      </w:r>
      <w:r w:rsidR="003F15C6" w:rsidRPr="003F15C6">
        <w:rPr>
          <w:rFonts w:ascii="Times New Roman" w:hAnsi="Times New Roman" w:cs="Times New Roman"/>
          <w:sz w:val="26"/>
          <w:szCs w:val="26"/>
        </w:rPr>
        <w:t xml:space="preserve"> using the Commission’s standard complaint form</w:t>
      </w:r>
      <w:r w:rsidR="009623E5">
        <w:rPr>
          <w:rFonts w:ascii="Times New Roman" w:hAnsi="Times New Roman" w:cs="Times New Roman"/>
          <w:sz w:val="26"/>
          <w:szCs w:val="26"/>
        </w:rPr>
        <w:t xml:space="preserve">. </w:t>
      </w:r>
      <w:r>
        <w:rPr>
          <w:rFonts w:ascii="Times New Roman" w:hAnsi="Times New Roman" w:cs="Times New Roman"/>
          <w:sz w:val="26"/>
          <w:szCs w:val="26"/>
        </w:rPr>
        <w:t xml:space="preserve"> </w:t>
      </w:r>
      <w:r w:rsidR="009623E5">
        <w:rPr>
          <w:rFonts w:ascii="Times New Roman" w:hAnsi="Times New Roman" w:cs="Times New Roman"/>
          <w:sz w:val="26"/>
          <w:szCs w:val="26"/>
        </w:rPr>
        <w:t xml:space="preserve">In response to </w:t>
      </w:r>
      <w:r w:rsidR="00A82079">
        <w:rPr>
          <w:rFonts w:ascii="Times New Roman" w:hAnsi="Times New Roman" w:cs="Times New Roman"/>
          <w:sz w:val="26"/>
          <w:szCs w:val="26"/>
        </w:rPr>
        <w:t>P</w:t>
      </w:r>
      <w:r w:rsidRPr="00E41E44">
        <w:rPr>
          <w:rFonts w:ascii="Times New Roman" w:hAnsi="Times New Roman" w:cs="Times New Roman"/>
          <w:sz w:val="26"/>
          <w:szCs w:val="26"/>
        </w:rPr>
        <w:t>aragraph</w:t>
      </w:r>
      <w:r w:rsidR="004C4AA1">
        <w:rPr>
          <w:rFonts w:ascii="Times New Roman" w:hAnsi="Times New Roman" w:cs="Times New Roman"/>
          <w:sz w:val="26"/>
          <w:szCs w:val="26"/>
        </w:rPr>
        <w:t> </w:t>
      </w:r>
      <w:r w:rsidRPr="00E41E44">
        <w:rPr>
          <w:rFonts w:ascii="Times New Roman" w:hAnsi="Times New Roman" w:cs="Times New Roman"/>
          <w:sz w:val="26"/>
          <w:szCs w:val="26"/>
        </w:rPr>
        <w:t>4</w:t>
      </w:r>
      <w:r w:rsidR="003F15C6">
        <w:rPr>
          <w:rFonts w:ascii="Times New Roman" w:hAnsi="Times New Roman" w:cs="Times New Roman"/>
          <w:sz w:val="26"/>
          <w:szCs w:val="26"/>
        </w:rPr>
        <w:t>, which</w:t>
      </w:r>
      <w:r w:rsidRPr="00E41E44">
        <w:rPr>
          <w:rFonts w:ascii="Times New Roman" w:hAnsi="Times New Roman" w:cs="Times New Roman"/>
          <w:sz w:val="26"/>
          <w:szCs w:val="26"/>
        </w:rPr>
        <w:t xml:space="preserve"> request</w:t>
      </w:r>
      <w:r w:rsidR="003F15C6">
        <w:rPr>
          <w:rFonts w:ascii="Times New Roman" w:hAnsi="Times New Roman" w:cs="Times New Roman"/>
          <w:sz w:val="26"/>
          <w:szCs w:val="26"/>
        </w:rPr>
        <w:t>s</w:t>
      </w:r>
      <w:r w:rsidRPr="00E41E44">
        <w:rPr>
          <w:rFonts w:ascii="Times New Roman" w:hAnsi="Times New Roman" w:cs="Times New Roman"/>
          <w:sz w:val="26"/>
          <w:szCs w:val="26"/>
        </w:rPr>
        <w:t xml:space="preserve"> the </w:t>
      </w:r>
      <w:r w:rsidR="009623E5">
        <w:rPr>
          <w:rFonts w:ascii="Times New Roman" w:hAnsi="Times New Roman" w:cs="Times New Roman"/>
          <w:sz w:val="26"/>
          <w:szCs w:val="26"/>
        </w:rPr>
        <w:t>reason for</w:t>
      </w:r>
      <w:r w:rsidRPr="00E41E44">
        <w:rPr>
          <w:rFonts w:ascii="Times New Roman" w:hAnsi="Times New Roman" w:cs="Times New Roman"/>
          <w:sz w:val="26"/>
          <w:szCs w:val="26"/>
        </w:rPr>
        <w:t xml:space="preserve"> the </w:t>
      </w:r>
      <w:r>
        <w:rPr>
          <w:rFonts w:ascii="Times New Roman" w:hAnsi="Times New Roman" w:cs="Times New Roman"/>
          <w:sz w:val="26"/>
          <w:szCs w:val="26"/>
        </w:rPr>
        <w:t>C</w:t>
      </w:r>
      <w:r w:rsidRPr="00E41E44">
        <w:rPr>
          <w:rFonts w:ascii="Times New Roman" w:hAnsi="Times New Roman" w:cs="Times New Roman"/>
          <w:sz w:val="26"/>
          <w:szCs w:val="26"/>
        </w:rPr>
        <w:t xml:space="preserve">omplaint, the </w:t>
      </w:r>
      <w:r>
        <w:rPr>
          <w:rFonts w:ascii="Times New Roman" w:hAnsi="Times New Roman" w:cs="Times New Roman"/>
          <w:sz w:val="26"/>
          <w:szCs w:val="26"/>
        </w:rPr>
        <w:t>C</w:t>
      </w:r>
      <w:r w:rsidRPr="00E41E44">
        <w:rPr>
          <w:rFonts w:ascii="Times New Roman" w:hAnsi="Times New Roman" w:cs="Times New Roman"/>
          <w:sz w:val="26"/>
          <w:szCs w:val="26"/>
        </w:rPr>
        <w:t>omplain</w:t>
      </w:r>
      <w:r w:rsidR="009623E5">
        <w:rPr>
          <w:rFonts w:ascii="Times New Roman" w:hAnsi="Times New Roman" w:cs="Times New Roman"/>
          <w:sz w:val="26"/>
          <w:szCs w:val="26"/>
        </w:rPr>
        <w:t xml:space="preserve">ant </w:t>
      </w:r>
      <w:r w:rsidR="007050C7">
        <w:rPr>
          <w:rFonts w:ascii="Times New Roman" w:hAnsi="Times New Roman" w:cs="Times New Roman"/>
          <w:sz w:val="26"/>
          <w:szCs w:val="26"/>
        </w:rPr>
        <w:t xml:space="preserve">averred that </w:t>
      </w:r>
      <w:r w:rsidR="004C4AA1">
        <w:rPr>
          <w:rFonts w:ascii="Times New Roman" w:hAnsi="Times New Roman" w:cs="Times New Roman"/>
          <w:sz w:val="26"/>
          <w:szCs w:val="26"/>
        </w:rPr>
        <w:t xml:space="preserve">“IDT has tripled the amount they charge for generation and transmission,” further alleging that the rate he had been charged increased from $0.0919/kWh to $0.279/kWh. </w:t>
      </w:r>
      <w:r w:rsidR="007050C7">
        <w:rPr>
          <w:rFonts w:ascii="Times New Roman" w:hAnsi="Times New Roman" w:cs="Times New Roman"/>
          <w:sz w:val="26"/>
          <w:szCs w:val="26"/>
        </w:rPr>
        <w:t xml:space="preserve">Complaint at 2.  In response to Paragraph </w:t>
      </w:r>
      <w:r w:rsidR="004C4AA1">
        <w:rPr>
          <w:rFonts w:ascii="Times New Roman" w:hAnsi="Times New Roman" w:cs="Times New Roman"/>
          <w:sz w:val="26"/>
          <w:szCs w:val="26"/>
        </w:rPr>
        <w:t>5</w:t>
      </w:r>
      <w:r w:rsidR="007050C7">
        <w:rPr>
          <w:rFonts w:ascii="Times New Roman" w:hAnsi="Times New Roman" w:cs="Times New Roman"/>
          <w:sz w:val="26"/>
          <w:szCs w:val="26"/>
        </w:rPr>
        <w:t xml:space="preserve">, </w:t>
      </w:r>
      <w:r w:rsidR="00594E5C">
        <w:rPr>
          <w:rFonts w:ascii="Times New Roman" w:hAnsi="Times New Roman" w:cs="Times New Roman"/>
          <w:sz w:val="26"/>
          <w:szCs w:val="26"/>
        </w:rPr>
        <w:t>identifying</w:t>
      </w:r>
      <w:r w:rsidR="007050C7">
        <w:rPr>
          <w:rFonts w:ascii="Times New Roman" w:hAnsi="Times New Roman" w:cs="Times New Roman"/>
          <w:sz w:val="26"/>
          <w:szCs w:val="26"/>
        </w:rPr>
        <w:t xml:space="preserve"> </w:t>
      </w:r>
      <w:r w:rsidR="00594E5C">
        <w:rPr>
          <w:rFonts w:ascii="Times New Roman" w:hAnsi="Times New Roman" w:cs="Times New Roman"/>
          <w:sz w:val="26"/>
          <w:szCs w:val="26"/>
        </w:rPr>
        <w:t xml:space="preserve">the relief requested, </w:t>
      </w:r>
      <w:r w:rsidR="007050C7">
        <w:rPr>
          <w:rFonts w:ascii="Times New Roman" w:hAnsi="Times New Roman" w:cs="Times New Roman"/>
          <w:sz w:val="26"/>
          <w:szCs w:val="26"/>
        </w:rPr>
        <w:t xml:space="preserve">the Complainant </w:t>
      </w:r>
      <w:r w:rsidR="00594E5C">
        <w:rPr>
          <w:rFonts w:ascii="Times New Roman" w:hAnsi="Times New Roman" w:cs="Times New Roman"/>
          <w:sz w:val="26"/>
          <w:szCs w:val="26"/>
        </w:rPr>
        <w:t xml:space="preserve">stated that when he agreed to IDT’s service, “they said they would save me 10% over PP&amp;L. … I would like the PCU [sic] to make them pay me back the money they overcharged me in previous months plus reduce my bill for this month.”  </w:t>
      </w:r>
      <w:r w:rsidR="00594E5C">
        <w:rPr>
          <w:rFonts w:ascii="Times New Roman" w:hAnsi="Times New Roman" w:cs="Times New Roman"/>
          <w:i/>
          <w:sz w:val="26"/>
          <w:szCs w:val="26"/>
        </w:rPr>
        <w:t xml:space="preserve">Id. </w:t>
      </w:r>
      <w:r w:rsidR="00594E5C">
        <w:rPr>
          <w:rFonts w:ascii="Times New Roman" w:hAnsi="Times New Roman" w:cs="Times New Roman"/>
          <w:sz w:val="26"/>
          <w:szCs w:val="26"/>
        </w:rPr>
        <w:t>at 3.  The Complainant also stated that in his opinion a two to three month time period to transfer to another EGS was unfair</w:t>
      </w:r>
      <w:r w:rsidR="008F6BC5">
        <w:rPr>
          <w:rFonts w:ascii="Times New Roman" w:hAnsi="Times New Roman" w:cs="Times New Roman"/>
          <w:sz w:val="26"/>
          <w:szCs w:val="26"/>
        </w:rPr>
        <w:t xml:space="preserve"> and that his limited income affected his ability to pay</w:t>
      </w:r>
      <w:r w:rsidR="00594E5C">
        <w:rPr>
          <w:rFonts w:ascii="Times New Roman" w:hAnsi="Times New Roman" w:cs="Times New Roman"/>
          <w:sz w:val="26"/>
          <w:szCs w:val="26"/>
        </w:rPr>
        <w:t>.  Attached to the Complaint were Mr. Kiback’s May 2013, January 2014, February</w:t>
      </w:r>
      <w:r w:rsidR="007C17CC">
        <w:rPr>
          <w:rFonts w:ascii="Times New Roman" w:hAnsi="Times New Roman" w:cs="Times New Roman"/>
          <w:sz w:val="26"/>
          <w:szCs w:val="26"/>
        </w:rPr>
        <w:t> </w:t>
      </w:r>
      <w:r w:rsidR="00594E5C">
        <w:rPr>
          <w:rFonts w:ascii="Times New Roman" w:hAnsi="Times New Roman" w:cs="Times New Roman"/>
          <w:sz w:val="26"/>
          <w:szCs w:val="26"/>
        </w:rPr>
        <w:t>2014, and March 2014 bills.</w:t>
      </w:r>
    </w:p>
    <w:p w:rsidR="0052732D" w:rsidRDefault="0052732D" w:rsidP="002A5A92">
      <w:pPr>
        <w:pStyle w:val="ParaTab1"/>
        <w:spacing w:line="360" w:lineRule="auto"/>
        <w:ind w:left="90" w:firstLine="1350"/>
        <w:rPr>
          <w:rFonts w:ascii="Times New Roman" w:hAnsi="Times New Roman" w:cs="Times New Roman"/>
          <w:sz w:val="26"/>
          <w:szCs w:val="26"/>
        </w:rPr>
      </w:pPr>
    </w:p>
    <w:p w:rsidR="001D3E13" w:rsidRDefault="00201A5B" w:rsidP="00201A5B">
      <w:pPr>
        <w:pStyle w:val="ParaTab1"/>
        <w:spacing w:line="360" w:lineRule="auto"/>
        <w:ind w:left="90" w:firstLine="1350"/>
        <w:rPr>
          <w:rFonts w:ascii="Times New Roman" w:hAnsi="Times New Roman" w:cs="Times New Roman"/>
          <w:sz w:val="26"/>
          <w:szCs w:val="26"/>
        </w:rPr>
      </w:pPr>
      <w:r>
        <w:rPr>
          <w:rFonts w:ascii="Times New Roman" w:hAnsi="Times New Roman" w:cs="Times New Roman"/>
          <w:sz w:val="26"/>
          <w:szCs w:val="26"/>
        </w:rPr>
        <w:t xml:space="preserve">On March 26, 2014, IDT requested a thirty-day extension for filing a response, a request granted by Secretarial Letter dated March 27, 2014.  On </w:t>
      </w:r>
      <w:r w:rsidR="003736E1">
        <w:rPr>
          <w:rFonts w:ascii="Times New Roman" w:hAnsi="Times New Roman" w:cs="Times New Roman"/>
          <w:sz w:val="26"/>
          <w:szCs w:val="26"/>
        </w:rPr>
        <w:t xml:space="preserve">April </w:t>
      </w:r>
      <w:r>
        <w:rPr>
          <w:rFonts w:ascii="Times New Roman" w:hAnsi="Times New Roman" w:cs="Times New Roman"/>
          <w:sz w:val="26"/>
          <w:szCs w:val="26"/>
        </w:rPr>
        <w:t>25</w:t>
      </w:r>
      <w:r w:rsidR="003736E1">
        <w:rPr>
          <w:rFonts w:ascii="Times New Roman" w:hAnsi="Times New Roman" w:cs="Times New Roman"/>
          <w:sz w:val="26"/>
          <w:szCs w:val="26"/>
        </w:rPr>
        <w:t xml:space="preserve">, 2014, </w:t>
      </w:r>
      <w:r>
        <w:rPr>
          <w:rFonts w:ascii="Times New Roman" w:hAnsi="Times New Roman" w:cs="Times New Roman"/>
          <w:sz w:val="26"/>
          <w:szCs w:val="26"/>
        </w:rPr>
        <w:t>IDT</w:t>
      </w:r>
      <w:r w:rsidR="003736E1">
        <w:rPr>
          <w:rFonts w:ascii="Times New Roman" w:hAnsi="Times New Roman" w:cs="Times New Roman"/>
          <w:sz w:val="26"/>
          <w:szCs w:val="26"/>
        </w:rPr>
        <w:t xml:space="preserve"> f</w:t>
      </w:r>
      <w:r w:rsidR="0052732D">
        <w:rPr>
          <w:rFonts w:ascii="Times New Roman" w:hAnsi="Times New Roman" w:cs="Times New Roman"/>
          <w:sz w:val="26"/>
          <w:szCs w:val="26"/>
        </w:rPr>
        <w:t xml:space="preserve">iled an Answer </w:t>
      </w:r>
      <w:r w:rsidR="00B64617">
        <w:rPr>
          <w:rFonts w:ascii="Times New Roman" w:hAnsi="Times New Roman" w:cs="Times New Roman"/>
          <w:sz w:val="26"/>
          <w:szCs w:val="26"/>
        </w:rPr>
        <w:t xml:space="preserve">(Answer) </w:t>
      </w:r>
      <w:r w:rsidR="0052732D">
        <w:rPr>
          <w:rFonts w:ascii="Times New Roman" w:hAnsi="Times New Roman" w:cs="Times New Roman"/>
          <w:sz w:val="26"/>
          <w:szCs w:val="26"/>
        </w:rPr>
        <w:t xml:space="preserve">to </w:t>
      </w:r>
      <w:r w:rsidR="003736E1">
        <w:rPr>
          <w:rFonts w:ascii="Times New Roman" w:hAnsi="Times New Roman" w:cs="Times New Roman"/>
          <w:sz w:val="26"/>
          <w:szCs w:val="26"/>
        </w:rPr>
        <w:t xml:space="preserve">the </w:t>
      </w:r>
      <w:r w:rsidR="0052732D">
        <w:rPr>
          <w:rFonts w:ascii="Times New Roman" w:hAnsi="Times New Roman" w:cs="Times New Roman"/>
          <w:sz w:val="26"/>
          <w:szCs w:val="26"/>
        </w:rPr>
        <w:t xml:space="preserve">Complaint. </w:t>
      </w:r>
      <w:r w:rsidR="008F6BC5">
        <w:rPr>
          <w:rFonts w:ascii="Times New Roman" w:hAnsi="Times New Roman" w:cs="Times New Roman"/>
          <w:sz w:val="26"/>
          <w:szCs w:val="26"/>
        </w:rPr>
        <w:t>IDT</w:t>
      </w:r>
      <w:r>
        <w:rPr>
          <w:rFonts w:ascii="Times New Roman" w:hAnsi="Times New Roman" w:cs="Times New Roman"/>
          <w:sz w:val="26"/>
          <w:szCs w:val="26"/>
        </w:rPr>
        <w:t xml:space="preserve"> admitted that the Complainant’s charges increased as a result of increases in the wholesale energy market in January and February 2014.  IDT also stated that it was attempting to resolve the Complaint “to help ameliorate the impact of wholesale energy price increases[.]”  Answer at 1</w:t>
      </w:r>
      <w:r w:rsidRPr="00201A5B">
        <w:rPr>
          <w:rFonts w:ascii="Times New Roman" w:hAnsi="Times New Roman" w:cs="Times New Roman"/>
          <w:sz w:val="26"/>
          <w:szCs w:val="26"/>
        </w:rPr>
        <w:t>.</w:t>
      </w:r>
      <w:r>
        <w:rPr>
          <w:rFonts w:ascii="Times New Roman" w:hAnsi="Times New Roman" w:cs="Times New Roman"/>
          <w:sz w:val="26"/>
          <w:szCs w:val="26"/>
        </w:rPr>
        <w:t xml:space="preserve">  In response to the Complainant’s request for relief, IDT averred that it “offered to retroactively apply a rate adjustment to Mr. Kiback’s usage for the periods impacted by the wholesale price spikes” and that it had offered “rebates and refunds to thousands of customers</w:t>
      </w:r>
      <w:r w:rsidR="00C84DCE">
        <w:rPr>
          <w:rFonts w:ascii="Times New Roman" w:hAnsi="Times New Roman" w:cs="Times New Roman"/>
          <w:sz w:val="26"/>
          <w:szCs w:val="26"/>
        </w:rPr>
        <w:t>.</w:t>
      </w:r>
      <w:r>
        <w:rPr>
          <w:rFonts w:ascii="Times New Roman" w:hAnsi="Times New Roman" w:cs="Times New Roman"/>
          <w:sz w:val="26"/>
          <w:szCs w:val="26"/>
        </w:rPr>
        <w:t xml:space="preserve">” </w:t>
      </w:r>
      <w:r w:rsidR="00C84DCE">
        <w:rPr>
          <w:rFonts w:ascii="Times New Roman" w:hAnsi="Times New Roman" w:cs="Times New Roman"/>
          <w:sz w:val="26"/>
          <w:szCs w:val="26"/>
        </w:rPr>
        <w:t xml:space="preserve"> </w:t>
      </w:r>
      <w:r w:rsidR="00C84DCE" w:rsidRPr="00C84DCE">
        <w:rPr>
          <w:rFonts w:ascii="Times New Roman" w:hAnsi="Times New Roman" w:cs="Times New Roman"/>
          <w:i/>
          <w:sz w:val="26"/>
          <w:szCs w:val="26"/>
        </w:rPr>
        <w:t>Id.</w:t>
      </w:r>
      <w:r w:rsidR="00C84DCE" w:rsidRPr="00C84DCE">
        <w:rPr>
          <w:rFonts w:ascii="Times New Roman" w:hAnsi="Times New Roman" w:cs="Times New Roman"/>
          <w:sz w:val="26"/>
          <w:szCs w:val="26"/>
        </w:rPr>
        <w:t xml:space="preserve"> at 2.</w:t>
      </w:r>
      <w:r w:rsidR="00C84DCE">
        <w:rPr>
          <w:rFonts w:ascii="Times New Roman" w:hAnsi="Times New Roman" w:cs="Times New Roman"/>
          <w:sz w:val="26"/>
          <w:szCs w:val="26"/>
        </w:rPr>
        <w:t xml:space="preserve">  IDT</w:t>
      </w:r>
      <w:r>
        <w:rPr>
          <w:rFonts w:ascii="Times New Roman" w:hAnsi="Times New Roman" w:cs="Times New Roman"/>
          <w:sz w:val="26"/>
          <w:szCs w:val="26"/>
        </w:rPr>
        <w:t xml:space="preserve"> requested mediation to further address the Complaint.</w:t>
      </w:r>
    </w:p>
    <w:p w:rsidR="009F1492" w:rsidRDefault="009F1492" w:rsidP="002A5A92">
      <w:pPr>
        <w:pStyle w:val="ParaTab1"/>
        <w:spacing w:line="360" w:lineRule="auto"/>
        <w:ind w:left="90" w:firstLine="1350"/>
        <w:rPr>
          <w:rFonts w:ascii="Times New Roman" w:hAnsi="Times New Roman" w:cs="Times New Roman"/>
          <w:sz w:val="26"/>
          <w:szCs w:val="26"/>
        </w:rPr>
      </w:pPr>
    </w:p>
    <w:p w:rsidR="006B5FB9" w:rsidRDefault="00004394" w:rsidP="000E1684">
      <w:pPr>
        <w:pStyle w:val="ParaTab1"/>
        <w:spacing w:line="360" w:lineRule="auto"/>
        <w:ind w:left="90" w:firstLine="1350"/>
        <w:rPr>
          <w:rFonts w:ascii="Times New Roman" w:hAnsi="Times New Roman" w:cs="Times New Roman"/>
          <w:sz w:val="26"/>
          <w:szCs w:val="26"/>
        </w:rPr>
      </w:pPr>
      <w:r>
        <w:rPr>
          <w:rFonts w:ascii="Times New Roman" w:hAnsi="Times New Roman" w:cs="Times New Roman"/>
          <w:sz w:val="26"/>
          <w:szCs w:val="26"/>
        </w:rPr>
        <w:lastRenderedPageBreak/>
        <w:t>By Notice dated July 3, 2014, the Office of Administrative Law Judge scheduled a</w:t>
      </w:r>
      <w:r w:rsidR="002D4017">
        <w:rPr>
          <w:rFonts w:ascii="Times New Roman" w:hAnsi="Times New Roman" w:cs="Times New Roman"/>
          <w:sz w:val="26"/>
          <w:szCs w:val="26"/>
        </w:rPr>
        <w:t xml:space="preserve">n </w:t>
      </w:r>
      <w:r w:rsidR="008F6BC5">
        <w:rPr>
          <w:rFonts w:ascii="Times New Roman" w:hAnsi="Times New Roman" w:cs="Times New Roman"/>
          <w:sz w:val="26"/>
          <w:szCs w:val="26"/>
        </w:rPr>
        <w:t>i</w:t>
      </w:r>
      <w:r w:rsidR="002D4017">
        <w:rPr>
          <w:rFonts w:ascii="Times New Roman" w:hAnsi="Times New Roman" w:cs="Times New Roman"/>
          <w:sz w:val="26"/>
          <w:szCs w:val="26"/>
        </w:rPr>
        <w:t xml:space="preserve">nitial </w:t>
      </w:r>
      <w:r w:rsidR="008F6BC5">
        <w:rPr>
          <w:rFonts w:ascii="Times New Roman" w:hAnsi="Times New Roman" w:cs="Times New Roman"/>
          <w:sz w:val="26"/>
          <w:szCs w:val="26"/>
        </w:rPr>
        <w:t>t</w:t>
      </w:r>
      <w:r w:rsidR="00421514">
        <w:rPr>
          <w:rFonts w:ascii="Times New Roman" w:hAnsi="Times New Roman" w:cs="Times New Roman"/>
          <w:sz w:val="26"/>
          <w:szCs w:val="26"/>
        </w:rPr>
        <w:t xml:space="preserve">elephonic </w:t>
      </w:r>
      <w:r w:rsidR="008F6BC5">
        <w:rPr>
          <w:rFonts w:ascii="Times New Roman" w:hAnsi="Times New Roman" w:cs="Times New Roman"/>
          <w:sz w:val="26"/>
          <w:szCs w:val="26"/>
        </w:rPr>
        <w:t>h</w:t>
      </w:r>
      <w:r w:rsidR="00421514">
        <w:rPr>
          <w:rFonts w:ascii="Times New Roman" w:hAnsi="Times New Roman" w:cs="Times New Roman"/>
          <w:sz w:val="26"/>
          <w:szCs w:val="26"/>
        </w:rPr>
        <w:t xml:space="preserve">earing </w:t>
      </w:r>
      <w:r>
        <w:rPr>
          <w:rFonts w:ascii="Times New Roman" w:hAnsi="Times New Roman" w:cs="Times New Roman"/>
          <w:sz w:val="26"/>
          <w:szCs w:val="26"/>
        </w:rPr>
        <w:t xml:space="preserve">for August 20, 2014.  </w:t>
      </w:r>
      <w:r w:rsidR="000E1684" w:rsidRPr="000E1684">
        <w:rPr>
          <w:rFonts w:ascii="Times New Roman" w:hAnsi="Times New Roman" w:cs="Times New Roman"/>
          <w:sz w:val="26"/>
          <w:szCs w:val="26"/>
        </w:rPr>
        <w:t xml:space="preserve">On July 29, 2014, IDT filed a Motion for Summary Judgment (Motion) accompanied by a Notice to Plead.  In its Motion IDT averred that even if the facts alleged by Mr. Kiback were proven, they did not set forth a claim for which relief could be granted because the Complainant did not allege that IDT violated the terms of its disclosure statement or that IDT violated the Public Utility Code </w:t>
      </w:r>
      <w:r w:rsidR="008F6BC5">
        <w:rPr>
          <w:rFonts w:ascii="Times New Roman" w:hAnsi="Times New Roman" w:cs="Times New Roman"/>
          <w:sz w:val="26"/>
          <w:szCs w:val="26"/>
        </w:rPr>
        <w:t xml:space="preserve">(Code) </w:t>
      </w:r>
      <w:r w:rsidR="000E1684" w:rsidRPr="000E1684">
        <w:rPr>
          <w:rFonts w:ascii="Times New Roman" w:hAnsi="Times New Roman" w:cs="Times New Roman"/>
          <w:sz w:val="26"/>
          <w:szCs w:val="26"/>
        </w:rPr>
        <w:t xml:space="preserve">or Commission Regulations.  </w:t>
      </w:r>
      <w:r w:rsidR="000E1684">
        <w:rPr>
          <w:rFonts w:ascii="Times New Roman" w:hAnsi="Times New Roman" w:cs="Times New Roman"/>
          <w:sz w:val="26"/>
          <w:szCs w:val="26"/>
        </w:rPr>
        <w:t>Included in the Motion was an affidavit of Wayne Stoughton, IDT’s Vice President of Customer Service and Regulatory Compliance</w:t>
      </w:r>
      <w:r w:rsidR="006B5FB9">
        <w:rPr>
          <w:rFonts w:ascii="Times New Roman" w:hAnsi="Times New Roman" w:cs="Times New Roman"/>
          <w:sz w:val="26"/>
          <w:szCs w:val="26"/>
        </w:rPr>
        <w:t>,</w:t>
      </w:r>
      <w:r w:rsidR="000E1684">
        <w:rPr>
          <w:rFonts w:ascii="Times New Roman" w:hAnsi="Times New Roman" w:cs="Times New Roman"/>
          <w:sz w:val="26"/>
          <w:szCs w:val="26"/>
        </w:rPr>
        <w:t xml:space="preserve"> summarizing Mr. Kiback’s account history and including a copy of IDT’s disclosure statement mailed to Mr. Kiback for the month-to-month variable price product upon his enrollment with IDT in August 2011.  </w:t>
      </w:r>
      <w:r w:rsidR="006B5FB9">
        <w:rPr>
          <w:rFonts w:ascii="Times New Roman" w:hAnsi="Times New Roman" w:cs="Times New Roman"/>
          <w:sz w:val="26"/>
          <w:szCs w:val="26"/>
        </w:rPr>
        <w:t>Motion at 4.</w:t>
      </w:r>
    </w:p>
    <w:p w:rsidR="006B5FB9" w:rsidRDefault="006B5FB9" w:rsidP="000E1684">
      <w:pPr>
        <w:pStyle w:val="ParaTab1"/>
        <w:spacing w:line="360" w:lineRule="auto"/>
        <w:ind w:left="90" w:firstLine="1350"/>
        <w:rPr>
          <w:rFonts w:ascii="Times New Roman" w:hAnsi="Times New Roman" w:cs="Times New Roman"/>
          <w:sz w:val="26"/>
          <w:szCs w:val="26"/>
        </w:rPr>
      </w:pPr>
    </w:p>
    <w:p w:rsidR="002B0FCE" w:rsidRDefault="006B5FB9" w:rsidP="000E1684">
      <w:pPr>
        <w:pStyle w:val="ParaTab1"/>
        <w:spacing w:line="360" w:lineRule="auto"/>
        <w:ind w:left="90" w:firstLine="1350"/>
        <w:rPr>
          <w:rFonts w:ascii="Times New Roman" w:hAnsi="Times New Roman" w:cs="Times New Roman"/>
          <w:sz w:val="26"/>
          <w:szCs w:val="26"/>
        </w:rPr>
      </w:pPr>
      <w:r>
        <w:rPr>
          <w:rFonts w:ascii="Times New Roman" w:hAnsi="Times New Roman" w:cs="Times New Roman"/>
          <w:sz w:val="26"/>
          <w:szCs w:val="26"/>
        </w:rPr>
        <w:t>In the affidavit</w:t>
      </w:r>
      <w:r w:rsidR="00C84DCE">
        <w:rPr>
          <w:rFonts w:ascii="Times New Roman" w:hAnsi="Times New Roman" w:cs="Times New Roman"/>
          <w:sz w:val="26"/>
          <w:szCs w:val="26"/>
        </w:rPr>
        <w:t xml:space="preserve"> </w:t>
      </w:r>
      <w:r>
        <w:rPr>
          <w:rFonts w:ascii="Times New Roman" w:hAnsi="Times New Roman" w:cs="Times New Roman"/>
          <w:sz w:val="26"/>
          <w:szCs w:val="26"/>
        </w:rPr>
        <w:t xml:space="preserve">IDT explained that it already had provided a refund and a goodwill credit to the Complainant in response to his concerns over price increases experienced as a result of the </w:t>
      </w:r>
      <w:r w:rsidR="00C84DCE">
        <w:rPr>
          <w:rFonts w:ascii="Times New Roman" w:hAnsi="Times New Roman" w:cs="Times New Roman"/>
          <w:sz w:val="26"/>
          <w:szCs w:val="26"/>
        </w:rPr>
        <w:t>p</w:t>
      </w:r>
      <w:r>
        <w:rPr>
          <w:rFonts w:ascii="Times New Roman" w:hAnsi="Times New Roman" w:cs="Times New Roman"/>
          <w:sz w:val="26"/>
          <w:szCs w:val="26"/>
        </w:rPr>
        <w:t xml:space="preserve">olar </w:t>
      </w:r>
      <w:r w:rsidR="00C84DCE">
        <w:rPr>
          <w:rFonts w:ascii="Times New Roman" w:hAnsi="Times New Roman" w:cs="Times New Roman"/>
          <w:sz w:val="26"/>
          <w:szCs w:val="26"/>
        </w:rPr>
        <w:t>v</w:t>
      </w:r>
      <w:r>
        <w:rPr>
          <w:rFonts w:ascii="Times New Roman" w:hAnsi="Times New Roman" w:cs="Times New Roman"/>
          <w:sz w:val="26"/>
          <w:szCs w:val="26"/>
        </w:rPr>
        <w:t xml:space="preserve">ortex </w:t>
      </w:r>
      <w:r w:rsidR="00C84DCE">
        <w:rPr>
          <w:rFonts w:ascii="Times New Roman" w:hAnsi="Times New Roman" w:cs="Times New Roman"/>
          <w:sz w:val="26"/>
          <w:szCs w:val="26"/>
        </w:rPr>
        <w:t xml:space="preserve">weather </w:t>
      </w:r>
      <w:r>
        <w:rPr>
          <w:rFonts w:ascii="Times New Roman" w:hAnsi="Times New Roman" w:cs="Times New Roman"/>
          <w:sz w:val="26"/>
          <w:szCs w:val="26"/>
        </w:rPr>
        <w:t xml:space="preserve">effect in early 2014.  IDT concluded that summary judgment was appropriate because the prices charged by IDT were in accordance with its disclosure statement, IDT did not control the period of time required to switch EGSs, and IDT had already provided the Complainant the relief requested.  </w:t>
      </w:r>
      <w:r>
        <w:rPr>
          <w:rFonts w:ascii="Times New Roman" w:hAnsi="Times New Roman" w:cs="Times New Roman"/>
          <w:i/>
          <w:sz w:val="26"/>
          <w:szCs w:val="26"/>
        </w:rPr>
        <w:t>Id.</w:t>
      </w:r>
      <w:r>
        <w:rPr>
          <w:rFonts w:ascii="Times New Roman" w:hAnsi="Times New Roman" w:cs="Times New Roman"/>
          <w:sz w:val="26"/>
          <w:szCs w:val="26"/>
        </w:rPr>
        <w:t xml:space="preserve">  IDT </w:t>
      </w:r>
      <w:r w:rsidR="00E417FF">
        <w:rPr>
          <w:rFonts w:ascii="Times New Roman" w:hAnsi="Times New Roman" w:cs="Times New Roman"/>
          <w:sz w:val="26"/>
          <w:szCs w:val="26"/>
        </w:rPr>
        <w:t xml:space="preserve">further </w:t>
      </w:r>
      <w:r>
        <w:rPr>
          <w:rFonts w:ascii="Times New Roman" w:hAnsi="Times New Roman" w:cs="Times New Roman"/>
          <w:sz w:val="26"/>
          <w:szCs w:val="26"/>
        </w:rPr>
        <w:t xml:space="preserve">contended that although Mr. Kiback </w:t>
      </w:r>
      <w:r w:rsidR="00C84DCE">
        <w:rPr>
          <w:rFonts w:ascii="Times New Roman" w:hAnsi="Times New Roman" w:cs="Times New Roman"/>
          <w:sz w:val="26"/>
          <w:szCs w:val="26"/>
        </w:rPr>
        <w:t xml:space="preserve">“allege[d] </w:t>
      </w:r>
      <w:r>
        <w:rPr>
          <w:rFonts w:ascii="Times New Roman" w:hAnsi="Times New Roman" w:cs="Times New Roman"/>
          <w:sz w:val="26"/>
          <w:szCs w:val="26"/>
        </w:rPr>
        <w:t xml:space="preserve">that he was promised </w:t>
      </w:r>
      <w:r w:rsidR="00C84DCE">
        <w:rPr>
          <w:rFonts w:ascii="Times New Roman" w:hAnsi="Times New Roman" w:cs="Times New Roman"/>
          <w:sz w:val="26"/>
          <w:szCs w:val="26"/>
        </w:rPr>
        <w:t xml:space="preserve">by IDT </w:t>
      </w:r>
      <w:r>
        <w:rPr>
          <w:rFonts w:ascii="Times New Roman" w:hAnsi="Times New Roman" w:cs="Times New Roman"/>
          <w:sz w:val="26"/>
          <w:szCs w:val="26"/>
        </w:rPr>
        <w:t>that his price would always be lower than PPL</w:t>
      </w:r>
      <w:r w:rsidR="00C84DCE">
        <w:rPr>
          <w:rFonts w:ascii="Times New Roman" w:hAnsi="Times New Roman" w:cs="Times New Roman"/>
          <w:sz w:val="26"/>
          <w:szCs w:val="26"/>
        </w:rPr>
        <w:t>’</w:t>
      </w:r>
      <w:r>
        <w:rPr>
          <w:rFonts w:ascii="Times New Roman" w:hAnsi="Times New Roman" w:cs="Times New Roman"/>
          <w:sz w:val="26"/>
          <w:szCs w:val="26"/>
        </w:rPr>
        <w:t xml:space="preserve">s, </w:t>
      </w:r>
      <w:r w:rsidR="00C84DCE">
        <w:rPr>
          <w:rFonts w:ascii="Times New Roman" w:hAnsi="Times New Roman" w:cs="Times New Roman"/>
          <w:sz w:val="26"/>
          <w:szCs w:val="26"/>
        </w:rPr>
        <w:t xml:space="preserve">and that this promise was broken when IDT’s rate exceeded PPL’s[,]” </w:t>
      </w:r>
      <w:r>
        <w:rPr>
          <w:rFonts w:ascii="Times New Roman" w:hAnsi="Times New Roman" w:cs="Times New Roman"/>
          <w:sz w:val="26"/>
          <w:szCs w:val="26"/>
        </w:rPr>
        <w:t xml:space="preserve">the disclosure statement made it clear that IDT was providing Mr. Kiback a variable rate and did not state that the price was guaranteed to save him money over PPL. </w:t>
      </w:r>
      <w:r w:rsidR="00C84DCE">
        <w:rPr>
          <w:rFonts w:ascii="Times New Roman" w:hAnsi="Times New Roman" w:cs="Times New Roman"/>
          <w:sz w:val="26"/>
          <w:szCs w:val="26"/>
        </w:rPr>
        <w:t xml:space="preserve"> </w:t>
      </w:r>
      <w:r w:rsidR="00C84DCE">
        <w:rPr>
          <w:rFonts w:ascii="Times New Roman" w:hAnsi="Times New Roman" w:cs="Times New Roman"/>
          <w:i/>
          <w:sz w:val="26"/>
          <w:szCs w:val="26"/>
        </w:rPr>
        <w:t xml:space="preserve">Id. </w:t>
      </w:r>
      <w:r w:rsidR="00C84DCE">
        <w:rPr>
          <w:rFonts w:ascii="Times New Roman" w:hAnsi="Times New Roman" w:cs="Times New Roman"/>
          <w:sz w:val="26"/>
          <w:szCs w:val="26"/>
        </w:rPr>
        <w:t xml:space="preserve">at 7.  </w:t>
      </w:r>
      <w:r>
        <w:rPr>
          <w:rFonts w:ascii="Times New Roman" w:hAnsi="Times New Roman" w:cs="Times New Roman"/>
          <w:sz w:val="26"/>
          <w:szCs w:val="26"/>
        </w:rPr>
        <w:t xml:space="preserve">Rather, </w:t>
      </w:r>
      <w:r w:rsidR="002B0FCE">
        <w:rPr>
          <w:rFonts w:ascii="Times New Roman" w:hAnsi="Times New Roman" w:cs="Times New Roman"/>
          <w:sz w:val="26"/>
          <w:szCs w:val="26"/>
        </w:rPr>
        <w:t xml:space="preserve">according to IDT, </w:t>
      </w:r>
      <w:r>
        <w:rPr>
          <w:rFonts w:ascii="Times New Roman" w:hAnsi="Times New Roman" w:cs="Times New Roman"/>
          <w:sz w:val="26"/>
          <w:szCs w:val="26"/>
        </w:rPr>
        <w:t xml:space="preserve">the disclosure statement made it clear that there was no ceiling price.  </w:t>
      </w:r>
      <w:r w:rsidR="002B0FCE">
        <w:rPr>
          <w:rFonts w:ascii="Times New Roman" w:hAnsi="Times New Roman" w:cs="Times New Roman"/>
          <w:sz w:val="26"/>
          <w:szCs w:val="26"/>
        </w:rPr>
        <w:t>IDT contended</w:t>
      </w:r>
      <w:r w:rsidR="008F6BC5">
        <w:rPr>
          <w:rFonts w:ascii="Times New Roman" w:hAnsi="Times New Roman" w:cs="Times New Roman"/>
          <w:sz w:val="26"/>
          <w:szCs w:val="26"/>
        </w:rPr>
        <w:t xml:space="preserve"> that</w:t>
      </w:r>
      <w:r w:rsidR="002B0FCE">
        <w:rPr>
          <w:rFonts w:ascii="Times New Roman" w:hAnsi="Times New Roman" w:cs="Times New Roman"/>
          <w:sz w:val="26"/>
          <w:szCs w:val="26"/>
        </w:rPr>
        <w:t xml:space="preserve"> because Mr. Kiback was a customer of IDT from August 2011 through March 2014, he was or should have been aware that he had a variable rate product.  </w:t>
      </w:r>
      <w:r w:rsidR="002B0FCE">
        <w:rPr>
          <w:rFonts w:ascii="Times New Roman" w:hAnsi="Times New Roman" w:cs="Times New Roman"/>
          <w:i/>
          <w:sz w:val="26"/>
          <w:szCs w:val="26"/>
        </w:rPr>
        <w:t xml:space="preserve">Id. </w:t>
      </w:r>
      <w:r w:rsidR="002B0FCE">
        <w:rPr>
          <w:rFonts w:ascii="Times New Roman" w:hAnsi="Times New Roman" w:cs="Times New Roman"/>
          <w:sz w:val="26"/>
          <w:szCs w:val="26"/>
        </w:rPr>
        <w:t xml:space="preserve">at 8.  It was neither false advertising nor an unethical business practice for an EGS to offer a low introductory rate to entice new customers and then follow with a higher rate following the expiration of an introductory rate, claimed IDT.  </w:t>
      </w:r>
      <w:r w:rsidR="002B0FCE">
        <w:rPr>
          <w:rFonts w:ascii="Times New Roman" w:hAnsi="Times New Roman" w:cs="Times New Roman"/>
          <w:i/>
          <w:sz w:val="26"/>
          <w:szCs w:val="26"/>
        </w:rPr>
        <w:t xml:space="preserve">Id. </w:t>
      </w:r>
      <w:r w:rsidR="002B0FCE">
        <w:rPr>
          <w:rFonts w:ascii="Times New Roman" w:hAnsi="Times New Roman" w:cs="Times New Roman"/>
          <w:sz w:val="26"/>
          <w:szCs w:val="26"/>
        </w:rPr>
        <w:t xml:space="preserve">at 8-9.  Finally, since IDT provided Mr. Kiback an </w:t>
      </w:r>
      <w:r w:rsidR="002B0FCE">
        <w:rPr>
          <w:rFonts w:ascii="Times New Roman" w:hAnsi="Times New Roman" w:cs="Times New Roman"/>
          <w:sz w:val="26"/>
          <w:szCs w:val="26"/>
        </w:rPr>
        <w:lastRenderedPageBreak/>
        <w:t xml:space="preserve">adjustment to his bill to reduce the affected billing period from $0.27/kWh to $0.09/kWh, as indicated on the account history attached to IDT’s affidavit, the issue was moot and no controversy continued to exist.  </w:t>
      </w:r>
      <w:r w:rsidR="002B0FCE">
        <w:rPr>
          <w:rFonts w:ascii="Times New Roman" w:hAnsi="Times New Roman" w:cs="Times New Roman"/>
          <w:i/>
          <w:sz w:val="26"/>
          <w:szCs w:val="26"/>
        </w:rPr>
        <w:t>Id.</w:t>
      </w:r>
      <w:r w:rsidR="002B0FCE">
        <w:rPr>
          <w:rFonts w:ascii="Times New Roman" w:hAnsi="Times New Roman" w:cs="Times New Roman"/>
          <w:sz w:val="26"/>
          <w:szCs w:val="26"/>
        </w:rPr>
        <w:t xml:space="preserve"> at 9-10.  Accordingly, claimed IDT, summary judgment was appropriate. </w:t>
      </w:r>
    </w:p>
    <w:p w:rsidR="002B0FCE" w:rsidRDefault="002B0FCE" w:rsidP="000E1684">
      <w:pPr>
        <w:pStyle w:val="ParaTab1"/>
        <w:spacing w:line="360" w:lineRule="auto"/>
        <w:ind w:left="90" w:firstLine="1350"/>
        <w:rPr>
          <w:rFonts w:ascii="Times New Roman" w:hAnsi="Times New Roman" w:cs="Times New Roman"/>
          <w:sz w:val="26"/>
          <w:szCs w:val="26"/>
        </w:rPr>
      </w:pPr>
    </w:p>
    <w:p w:rsidR="00D52077" w:rsidRDefault="002B0FCE" w:rsidP="000E1684">
      <w:pPr>
        <w:pStyle w:val="ParaTab1"/>
        <w:spacing w:line="360" w:lineRule="auto"/>
        <w:ind w:left="90" w:firstLine="1350"/>
        <w:rPr>
          <w:rFonts w:ascii="Times New Roman" w:hAnsi="Times New Roman" w:cs="Times New Roman"/>
          <w:sz w:val="26"/>
          <w:szCs w:val="26"/>
        </w:rPr>
      </w:pPr>
      <w:r>
        <w:rPr>
          <w:rFonts w:ascii="Times New Roman" w:hAnsi="Times New Roman" w:cs="Times New Roman"/>
          <w:sz w:val="26"/>
          <w:szCs w:val="26"/>
        </w:rPr>
        <w:t xml:space="preserve">By Order dated August 1, 2014, the ALJ cancelled the </w:t>
      </w:r>
      <w:r w:rsidR="008F6BC5">
        <w:rPr>
          <w:rFonts w:ascii="Times New Roman" w:hAnsi="Times New Roman" w:cs="Times New Roman"/>
          <w:sz w:val="26"/>
          <w:szCs w:val="26"/>
        </w:rPr>
        <w:t>h</w:t>
      </w:r>
      <w:r>
        <w:rPr>
          <w:rFonts w:ascii="Times New Roman" w:hAnsi="Times New Roman" w:cs="Times New Roman"/>
          <w:sz w:val="26"/>
          <w:szCs w:val="26"/>
        </w:rPr>
        <w:t xml:space="preserve">earing scheduled for </w:t>
      </w:r>
      <w:r w:rsidR="00503BBD">
        <w:rPr>
          <w:rFonts w:ascii="Times New Roman" w:hAnsi="Times New Roman" w:cs="Times New Roman"/>
          <w:sz w:val="26"/>
          <w:szCs w:val="26"/>
        </w:rPr>
        <w:t>A</w:t>
      </w:r>
      <w:r>
        <w:rPr>
          <w:rFonts w:ascii="Times New Roman" w:hAnsi="Times New Roman" w:cs="Times New Roman"/>
          <w:sz w:val="26"/>
          <w:szCs w:val="26"/>
        </w:rPr>
        <w:t xml:space="preserve">ugust 20, 2014, and provided the Complainant until August 21, 2014, to file an Answer to the Motion.  On August 21, 2014, the OCA filed </w:t>
      </w:r>
      <w:r w:rsidR="00503BBD">
        <w:rPr>
          <w:rFonts w:ascii="Times New Roman" w:hAnsi="Times New Roman" w:cs="Times New Roman"/>
          <w:sz w:val="26"/>
          <w:szCs w:val="26"/>
        </w:rPr>
        <w:t>a Notice of Intervention and an Answer to IDT’s Motion (</w:t>
      </w:r>
      <w:r w:rsidR="008F6BC5">
        <w:rPr>
          <w:rFonts w:ascii="Times New Roman" w:hAnsi="Times New Roman" w:cs="Times New Roman"/>
          <w:sz w:val="26"/>
          <w:szCs w:val="26"/>
        </w:rPr>
        <w:t xml:space="preserve">OCA </w:t>
      </w:r>
      <w:r w:rsidR="00503BBD">
        <w:rPr>
          <w:rFonts w:ascii="Times New Roman" w:hAnsi="Times New Roman" w:cs="Times New Roman"/>
          <w:sz w:val="26"/>
          <w:szCs w:val="26"/>
        </w:rPr>
        <w:t>Answer).  The Complainant did not file a response to the Motion.</w:t>
      </w:r>
    </w:p>
    <w:p w:rsidR="00D52077" w:rsidRDefault="00D52077" w:rsidP="000E1684">
      <w:pPr>
        <w:pStyle w:val="ParaTab1"/>
        <w:spacing w:line="360" w:lineRule="auto"/>
        <w:ind w:left="90" w:firstLine="1350"/>
        <w:rPr>
          <w:rFonts w:ascii="Times New Roman" w:hAnsi="Times New Roman" w:cs="Times New Roman"/>
          <w:sz w:val="26"/>
          <w:szCs w:val="26"/>
        </w:rPr>
      </w:pPr>
    </w:p>
    <w:p w:rsidR="00D52077" w:rsidRPr="000C50C4" w:rsidRDefault="00503BBD" w:rsidP="000E1684">
      <w:pPr>
        <w:pStyle w:val="ParaTab1"/>
        <w:spacing w:line="360" w:lineRule="auto"/>
        <w:ind w:left="90" w:firstLine="1350"/>
        <w:rPr>
          <w:rFonts w:ascii="Times New Roman" w:hAnsi="Times New Roman" w:cs="Times New Roman"/>
          <w:sz w:val="26"/>
          <w:szCs w:val="26"/>
        </w:rPr>
      </w:pPr>
      <w:r>
        <w:rPr>
          <w:rFonts w:ascii="Times New Roman" w:hAnsi="Times New Roman" w:cs="Times New Roman"/>
          <w:sz w:val="26"/>
          <w:szCs w:val="26"/>
        </w:rPr>
        <w:t>According to the OCA, the Complainant averred that IDT induced him to switch to IDT by promising a savings of 10% compared to PPL’s p</w:t>
      </w:r>
      <w:r w:rsidR="00F52A26">
        <w:rPr>
          <w:rFonts w:ascii="Times New Roman" w:hAnsi="Times New Roman" w:cs="Times New Roman"/>
          <w:sz w:val="26"/>
          <w:szCs w:val="26"/>
        </w:rPr>
        <w:t>rice to compare.  This, contended</w:t>
      </w:r>
      <w:r>
        <w:rPr>
          <w:rFonts w:ascii="Times New Roman" w:hAnsi="Times New Roman" w:cs="Times New Roman"/>
          <w:sz w:val="26"/>
          <w:szCs w:val="26"/>
        </w:rPr>
        <w:t xml:space="preserve"> the OCA, raise</w:t>
      </w:r>
      <w:r w:rsidR="00F52A26">
        <w:rPr>
          <w:rFonts w:ascii="Times New Roman" w:hAnsi="Times New Roman" w:cs="Times New Roman"/>
          <w:sz w:val="26"/>
          <w:szCs w:val="26"/>
        </w:rPr>
        <w:t>d</w:t>
      </w:r>
      <w:r>
        <w:rPr>
          <w:rFonts w:ascii="Times New Roman" w:hAnsi="Times New Roman" w:cs="Times New Roman"/>
          <w:sz w:val="26"/>
          <w:szCs w:val="26"/>
        </w:rPr>
        <w:t xml:space="preserve"> questions concerning </w:t>
      </w:r>
      <w:r w:rsidR="00F52A26">
        <w:rPr>
          <w:rFonts w:ascii="Times New Roman" w:hAnsi="Times New Roman" w:cs="Times New Roman"/>
          <w:sz w:val="26"/>
          <w:szCs w:val="26"/>
        </w:rPr>
        <w:t>IDT’s</w:t>
      </w:r>
      <w:r>
        <w:rPr>
          <w:rFonts w:ascii="Times New Roman" w:hAnsi="Times New Roman" w:cs="Times New Roman"/>
          <w:sz w:val="26"/>
          <w:szCs w:val="26"/>
        </w:rPr>
        <w:t xml:space="preserve"> marketing and billing conduct as an EGS, </w:t>
      </w:r>
      <w:r w:rsidR="008F6BC5">
        <w:rPr>
          <w:rFonts w:ascii="Times New Roman" w:hAnsi="Times New Roman" w:cs="Times New Roman"/>
          <w:sz w:val="26"/>
          <w:szCs w:val="26"/>
        </w:rPr>
        <w:t xml:space="preserve">constituting </w:t>
      </w:r>
      <w:r>
        <w:rPr>
          <w:rFonts w:ascii="Times New Roman" w:hAnsi="Times New Roman" w:cs="Times New Roman"/>
          <w:sz w:val="26"/>
          <w:szCs w:val="26"/>
        </w:rPr>
        <w:t>disputed questions of material fact that warrant</w:t>
      </w:r>
      <w:r w:rsidR="008F6BC5">
        <w:rPr>
          <w:rFonts w:ascii="Times New Roman" w:hAnsi="Times New Roman" w:cs="Times New Roman"/>
          <w:sz w:val="26"/>
          <w:szCs w:val="26"/>
        </w:rPr>
        <w:t>ed</w:t>
      </w:r>
      <w:r>
        <w:rPr>
          <w:rFonts w:ascii="Times New Roman" w:hAnsi="Times New Roman" w:cs="Times New Roman"/>
          <w:sz w:val="26"/>
          <w:szCs w:val="26"/>
        </w:rPr>
        <w:t xml:space="preserve"> a hearing.  </w:t>
      </w:r>
      <w:r w:rsidR="008F6BC5">
        <w:rPr>
          <w:rFonts w:ascii="Times New Roman" w:hAnsi="Times New Roman" w:cs="Times New Roman"/>
          <w:sz w:val="26"/>
          <w:szCs w:val="26"/>
        </w:rPr>
        <w:t xml:space="preserve">OCA </w:t>
      </w:r>
      <w:r>
        <w:rPr>
          <w:rFonts w:ascii="Times New Roman" w:hAnsi="Times New Roman" w:cs="Times New Roman"/>
          <w:sz w:val="26"/>
          <w:szCs w:val="26"/>
        </w:rPr>
        <w:t xml:space="preserve">Answer at 1-2.  </w:t>
      </w:r>
      <w:r w:rsidR="00D52077">
        <w:rPr>
          <w:rFonts w:ascii="Times New Roman" w:hAnsi="Times New Roman" w:cs="Times New Roman"/>
          <w:sz w:val="26"/>
          <w:szCs w:val="26"/>
        </w:rPr>
        <w:t>According to the OCA, whether IDT provided Mr.</w:t>
      </w:r>
      <w:r w:rsidR="005E7B86">
        <w:rPr>
          <w:rFonts w:ascii="Times New Roman" w:hAnsi="Times New Roman" w:cs="Times New Roman"/>
          <w:sz w:val="26"/>
          <w:szCs w:val="26"/>
        </w:rPr>
        <w:t> </w:t>
      </w:r>
      <w:r w:rsidR="00D52077">
        <w:rPr>
          <w:rFonts w:ascii="Times New Roman" w:hAnsi="Times New Roman" w:cs="Times New Roman"/>
          <w:sz w:val="26"/>
          <w:szCs w:val="26"/>
        </w:rPr>
        <w:t xml:space="preserve">Kiback accurate and adequate information to make an informed </w:t>
      </w:r>
      <w:r w:rsidR="006A20F1">
        <w:rPr>
          <w:rFonts w:ascii="Times New Roman" w:hAnsi="Times New Roman" w:cs="Times New Roman"/>
          <w:sz w:val="26"/>
          <w:szCs w:val="26"/>
        </w:rPr>
        <w:t>decision wa</w:t>
      </w:r>
      <w:r w:rsidR="00D52077">
        <w:rPr>
          <w:rFonts w:ascii="Times New Roman" w:hAnsi="Times New Roman" w:cs="Times New Roman"/>
          <w:sz w:val="26"/>
          <w:szCs w:val="26"/>
        </w:rPr>
        <w:t>s an important and relevant question, citing the Code at Section 2807(d)(2), 66 Pa. C.S. §</w:t>
      </w:r>
      <w:r w:rsidR="006A20F1">
        <w:rPr>
          <w:rFonts w:ascii="Times New Roman" w:hAnsi="Times New Roman" w:cs="Times New Roman"/>
          <w:sz w:val="26"/>
          <w:szCs w:val="26"/>
        </w:rPr>
        <w:t> </w:t>
      </w:r>
      <w:r w:rsidR="00D52077">
        <w:rPr>
          <w:rFonts w:ascii="Times New Roman" w:hAnsi="Times New Roman" w:cs="Times New Roman"/>
          <w:sz w:val="26"/>
          <w:szCs w:val="26"/>
        </w:rPr>
        <w:t>2807(d)(2), and the Commission’s Regulations at 52 Pa. Code §§ 54.1 and 54.</w:t>
      </w:r>
      <w:r w:rsidR="00D52077" w:rsidRPr="005E7B86">
        <w:rPr>
          <w:rFonts w:ascii="Times New Roman" w:hAnsi="Times New Roman" w:cs="Times New Roman"/>
          <w:sz w:val="26"/>
          <w:szCs w:val="26"/>
        </w:rPr>
        <w:t>43</w:t>
      </w:r>
      <w:r w:rsidR="00D52077">
        <w:rPr>
          <w:rFonts w:ascii="Times New Roman" w:hAnsi="Times New Roman" w:cs="Times New Roman"/>
          <w:sz w:val="26"/>
          <w:szCs w:val="26"/>
        </w:rPr>
        <w:t xml:space="preserve">(1).  Further, contended the OCA, whether IDT complied with the applicable standards of conduct for EGSs, including actions by its telemarketers, </w:t>
      </w:r>
      <w:r w:rsidR="008F6BC5">
        <w:rPr>
          <w:rFonts w:ascii="Times New Roman" w:hAnsi="Times New Roman" w:cs="Times New Roman"/>
          <w:sz w:val="26"/>
          <w:szCs w:val="26"/>
        </w:rPr>
        <w:t>wa</w:t>
      </w:r>
      <w:r w:rsidR="00D52077">
        <w:rPr>
          <w:rFonts w:ascii="Times New Roman" w:hAnsi="Times New Roman" w:cs="Times New Roman"/>
          <w:sz w:val="26"/>
          <w:szCs w:val="26"/>
        </w:rPr>
        <w:t xml:space="preserve">s also an important and relevant question, the answer to which </w:t>
      </w:r>
      <w:r w:rsidR="008F6BC5">
        <w:rPr>
          <w:rFonts w:ascii="Times New Roman" w:hAnsi="Times New Roman" w:cs="Times New Roman"/>
          <w:sz w:val="26"/>
          <w:szCs w:val="26"/>
        </w:rPr>
        <w:t>could</w:t>
      </w:r>
      <w:r w:rsidR="00D52077">
        <w:rPr>
          <w:rFonts w:ascii="Times New Roman" w:hAnsi="Times New Roman" w:cs="Times New Roman"/>
          <w:sz w:val="26"/>
          <w:szCs w:val="26"/>
        </w:rPr>
        <w:t xml:space="preserve"> also result in license suspension or revocation, citing 52 Pa. Code §§</w:t>
      </w:r>
      <w:r w:rsidR="008F6BC5">
        <w:rPr>
          <w:rFonts w:ascii="Times New Roman" w:hAnsi="Times New Roman" w:cs="Times New Roman"/>
          <w:sz w:val="26"/>
          <w:szCs w:val="26"/>
        </w:rPr>
        <w:t xml:space="preserve"> </w:t>
      </w:r>
      <w:r w:rsidR="00D52077">
        <w:rPr>
          <w:rFonts w:ascii="Times New Roman" w:hAnsi="Times New Roman" w:cs="Times New Roman"/>
          <w:sz w:val="26"/>
          <w:szCs w:val="26"/>
        </w:rPr>
        <w:t>54.</w:t>
      </w:r>
      <w:r w:rsidR="00D52077" w:rsidRPr="005E7B86">
        <w:rPr>
          <w:rFonts w:ascii="Times New Roman" w:hAnsi="Times New Roman" w:cs="Times New Roman"/>
          <w:sz w:val="26"/>
          <w:szCs w:val="26"/>
        </w:rPr>
        <w:t>42</w:t>
      </w:r>
      <w:r w:rsidR="00D52077">
        <w:rPr>
          <w:rFonts w:ascii="Times New Roman" w:hAnsi="Times New Roman" w:cs="Times New Roman"/>
          <w:sz w:val="26"/>
          <w:szCs w:val="26"/>
        </w:rPr>
        <w:t xml:space="preserve">(6) and (7), 54.31, and 54.43.  </w:t>
      </w:r>
      <w:r w:rsidR="000C50C4">
        <w:rPr>
          <w:rFonts w:ascii="Times New Roman" w:hAnsi="Times New Roman" w:cs="Times New Roman"/>
          <w:sz w:val="26"/>
          <w:szCs w:val="26"/>
        </w:rPr>
        <w:t xml:space="preserve">As the OCA noted, IDT solicited Mr. Kiback by telephone and did not provide the written disclosure statement until after enrollment.  Moreover, </w:t>
      </w:r>
      <w:r w:rsidR="00F52A26">
        <w:rPr>
          <w:rFonts w:ascii="Times New Roman" w:hAnsi="Times New Roman" w:cs="Times New Roman"/>
          <w:sz w:val="26"/>
          <w:szCs w:val="26"/>
        </w:rPr>
        <w:t>according to the OCA</w:t>
      </w:r>
      <w:r w:rsidR="005E7B86">
        <w:rPr>
          <w:rFonts w:ascii="Times New Roman" w:hAnsi="Times New Roman" w:cs="Times New Roman"/>
          <w:sz w:val="26"/>
          <w:szCs w:val="26"/>
        </w:rPr>
        <w:t>,</w:t>
      </w:r>
      <w:r w:rsidR="00F52A26">
        <w:rPr>
          <w:rFonts w:ascii="Times New Roman" w:hAnsi="Times New Roman" w:cs="Times New Roman"/>
          <w:sz w:val="26"/>
          <w:szCs w:val="26"/>
        </w:rPr>
        <w:t xml:space="preserve"> </w:t>
      </w:r>
      <w:r w:rsidR="000C50C4">
        <w:rPr>
          <w:rFonts w:ascii="Times New Roman" w:hAnsi="Times New Roman" w:cs="Times New Roman"/>
          <w:sz w:val="26"/>
          <w:szCs w:val="26"/>
        </w:rPr>
        <w:t>the disclosure statement did not contain any information specific to Mr.</w:t>
      </w:r>
      <w:r w:rsidR="00F52A26">
        <w:rPr>
          <w:rFonts w:ascii="Times New Roman" w:hAnsi="Times New Roman" w:cs="Times New Roman"/>
          <w:sz w:val="26"/>
          <w:szCs w:val="26"/>
        </w:rPr>
        <w:t> </w:t>
      </w:r>
      <w:r w:rsidR="000C50C4">
        <w:rPr>
          <w:rFonts w:ascii="Times New Roman" w:hAnsi="Times New Roman" w:cs="Times New Roman"/>
          <w:sz w:val="26"/>
          <w:szCs w:val="26"/>
        </w:rPr>
        <w:t>Kiback’s enrollment.  Chapter 54 of the Commission’s Regulations require</w:t>
      </w:r>
      <w:r w:rsidR="00E340C9">
        <w:rPr>
          <w:rFonts w:ascii="Times New Roman" w:hAnsi="Times New Roman" w:cs="Times New Roman"/>
          <w:sz w:val="26"/>
          <w:szCs w:val="26"/>
        </w:rPr>
        <w:t>s</w:t>
      </w:r>
      <w:r w:rsidR="000C50C4">
        <w:rPr>
          <w:rFonts w:ascii="Times New Roman" w:hAnsi="Times New Roman" w:cs="Times New Roman"/>
          <w:sz w:val="26"/>
          <w:szCs w:val="26"/>
        </w:rPr>
        <w:t xml:space="preserve"> continuity and consistency between marketed/advertised prices, the agreed upon price in the disclosure statement, and the billed price, </w:t>
      </w:r>
      <w:r w:rsidR="00E340C9">
        <w:rPr>
          <w:rFonts w:ascii="Times New Roman" w:hAnsi="Times New Roman" w:cs="Times New Roman"/>
          <w:sz w:val="26"/>
          <w:szCs w:val="26"/>
        </w:rPr>
        <w:t xml:space="preserve">contended the OCA.  </w:t>
      </w:r>
      <w:r w:rsidR="00F52A26">
        <w:rPr>
          <w:rFonts w:ascii="Times New Roman" w:hAnsi="Times New Roman" w:cs="Times New Roman"/>
          <w:sz w:val="26"/>
          <w:szCs w:val="26"/>
        </w:rPr>
        <w:t>Further</w:t>
      </w:r>
      <w:r w:rsidR="00E340C9">
        <w:rPr>
          <w:rFonts w:ascii="Times New Roman" w:hAnsi="Times New Roman" w:cs="Times New Roman"/>
          <w:sz w:val="26"/>
          <w:szCs w:val="26"/>
        </w:rPr>
        <w:t>, whether IDT’s credits to Mr. Kiback satisf</w:t>
      </w:r>
      <w:r w:rsidR="00F52A26">
        <w:rPr>
          <w:rFonts w:ascii="Times New Roman" w:hAnsi="Times New Roman" w:cs="Times New Roman"/>
          <w:sz w:val="26"/>
          <w:szCs w:val="26"/>
        </w:rPr>
        <w:t>ied</w:t>
      </w:r>
      <w:r w:rsidR="00E340C9">
        <w:rPr>
          <w:rFonts w:ascii="Times New Roman" w:hAnsi="Times New Roman" w:cs="Times New Roman"/>
          <w:sz w:val="26"/>
          <w:szCs w:val="26"/>
        </w:rPr>
        <w:t xml:space="preserve"> </w:t>
      </w:r>
      <w:r w:rsidR="008F6BC5">
        <w:rPr>
          <w:rFonts w:ascii="Times New Roman" w:hAnsi="Times New Roman" w:cs="Times New Roman"/>
          <w:sz w:val="26"/>
          <w:szCs w:val="26"/>
        </w:rPr>
        <w:lastRenderedPageBreak/>
        <w:t xml:space="preserve">the </w:t>
      </w:r>
      <w:r w:rsidR="00011216">
        <w:rPr>
          <w:rFonts w:ascii="Times New Roman" w:hAnsi="Times New Roman" w:cs="Times New Roman"/>
          <w:sz w:val="26"/>
          <w:szCs w:val="26"/>
        </w:rPr>
        <w:t>Complainant</w:t>
      </w:r>
      <w:r w:rsidR="00E340C9">
        <w:rPr>
          <w:rFonts w:ascii="Times New Roman" w:hAnsi="Times New Roman" w:cs="Times New Roman"/>
          <w:sz w:val="26"/>
          <w:szCs w:val="26"/>
        </w:rPr>
        <w:t xml:space="preserve"> </w:t>
      </w:r>
      <w:r w:rsidR="00F52A26">
        <w:rPr>
          <w:rFonts w:ascii="Times New Roman" w:hAnsi="Times New Roman" w:cs="Times New Roman"/>
          <w:sz w:val="26"/>
          <w:szCs w:val="26"/>
        </w:rPr>
        <w:t>was</w:t>
      </w:r>
      <w:r w:rsidR="00E340C9">
        <w:rPr>
          <w:rFonts w:ascii="Times New Roman" w:hAnsi="Times New Roman" w:cs="Times New Roman"/>
          <w:sz w:val="26"/>
          <w:szCs w:val="26"/>
        </w:rPr>
        <w:t xml:space="preserve"> an issue of fact </w:t>
      </w:r>
      <w:r w:rsidR="00F52A26">
        <w:rPr>
          <w:rFonts w:ascii="Times New Roman" w:hAnsi="Times New Roman" w:cs="Times New Roman"/>
          <w:sz w:val="26"/>
          <w:szCs w:val="26"/>
        </w:rPr>
        <w:t xml:space="preserve">that </w:t>
      </w:r>
      <w:r w:rsidR="00E340C9">
        <w:rPr>
          <w:rFonts w:ascii="Times New Roman" w:hAnsi="Times New Roman" w:cs="Times New Roman"/>
          <w:sz w:val="26"/>
          <w:szCs w:val="26"/>
        </w:rPr>
        <w:t>requir</w:t>
      </w:r>
      <w:r w:rsidR="00F52A26">
        <w:rPr>
          <w:rFonts w:ascii="Times New Roman" w:hAnsi="Times New Roman" w:cs="Times New Roman"/>
          <w:sz w:val="26"/>
          <w:szCs w:val="26"/>
        </w:rPr>
        <w:t>ed</w:t>
      </w:r>
      <w:r w:rsidR="00E340C9">
        <w:rPr>
          <w:rFonts w:ascii="Times New Roman" w:hAnsi="Times New Roman" w:cs="Times New Roman"/>
          <w:sz w:val="26"/>
          <w:szCs w:val="26"/>
        </w:rPr>
        <w:t xml:space="preserve"> a hearing.  </w:t>
      </w:r>
      <w:r w:rsidR="00F52A26">
        <w:rPr>
          <w:rFonts w:ascii="Times New Roman" w:hAnsi="Times New Roman" w:cs="Times New Roman"/>
          <w:sz w:val="26"/>
          <w:szCs w:val="26"/>
        </w:rPr>
        <w:t>As the OCA claimed, a</w:t>
      </w:r>
      <w:r w:rsidR="00E340C9">
        <w:rPr>
          <w:rFonts w:ascii="Times New Roman" w:hAnsi="Times New Roman" w:cs="Times New Roman"/>
          <w:sz w:val="26"/>
          <w:szCs w:val="26"/>
        </w:rPr>
        <w:t xml:space="preserve"> unilateral claim of satisfaction does not satisfy the Commission’s process at 52 Pa. Code § 5.24(b).  Finally, asserted the OCA, it was unclear whether Mr. Kiback’s co</w:t>
      </w:r>
      <w:r w:rsidR="00F52A26">
        <w:rPr>
          <w:rFonts w:ascii="Times New Roman" w:hAnsi="Times New Roman" w:cs="Times New Roman"/>
          <w:sz w:val="26"/>
          <w:szCs w:val="26"/>
        </w:rPr>
        <w:t>ncern</w:t>
      </w:r>
      <w:r w:rsidR="00E340C9">
        <w:rPr>
          <w:rFonts w:ascii="Times New Roman" w:hAnsi="Times New Roman" w:cs="Times New Roman"/>
          <w:sz w:val="26"/>
          <w:szCs w:val="26"/>
        </w:rPr>
        <w:t xml:space="preserve"> </w:t>
      </w:r>
      <w:r w:rsidR="00F52A26">
        <w:rPr>
          <w:rFonts w:ascii="Times New Roman" w:hAnsi="Times New Roman" w:cs="Times New Roman"/>
          <w:sz w:val="26"/>
          <w:szCs w:val="26"/>
        </w:rPr>
        <w:t>regarding</w:t>
      </w:r>
      <w:r w:rsidR="00E340C9">
        <w:rPr>
          <w:rFonts w:ascii="Times New Roman" w:hAnsi="Times New Roman" w:cs="Times New Roman"/>
          <w:sz w:val="26"/>
          <w:szCs w:val="26"/>
        </w:rPr>
        <w:t xml:space="preserve"> the period of time required to switch customers was directed at IDT’s customer service or the time frame for switching itself.  Thus</w:t>
      </w:r>
      <w:r w:rsidR="0036706C">
        <w:rPr>
          <w:rFonts w:ascii="Times New Roman" w:hAnsi="Times New Roman" w:cs="Times New Roman"/>
          <w:sz w:val="26"/>
          <w:szCs w:val="26"/>
        </w:rPr>
        <w:t>,</w:t>
      </w:r>
      <w:r w:rsidR="00E340C9">
        <w:rPr>
          <w:rFonts w:ascii="Times New Roman" w:hAnsi="Times New Roman" w:cs="Times New Roman"/>
          <w:sz w:val="26"/>
          <w:szCs w:val="26"/>
        </w:rPr>
        <w:t xml:space="preserve"> contended the OCA, </w:t>
      </w:r>
      <w:r w:rsidR="000C50C4">
        <w:rPr>
          <w:rFonts w:ascii="Times New Roman" w:hAnsi="Times New Roman" w:cs="Times New Roman"/>
          <w:sz w:val="26"/>
          <w:szCs w:val="26"/>
        </w:rPr>
        <w:t xml:space="preserve">material questions remained in dispute, warranting a hearing.  </w:t>
      </w:r>
      <w:r w:rsidR="000C50C4">
        <w:rPr>
          <w:rFonts w:ascii="Times New Roman" w:hAnsi="Times New Roman" w:cs="Times New Roman"/>
          <w:i/>
          <w:sz w:val="26"/>
          <w:szCs w:val="26"/>
        </w:rPr>
        <w:t xml:space="preserve">Id. </w:t>
      </w:r>
      <w:r w:rsidR="000C50C4">
        <w:rPr>
          <w:rFonts w:ascii="Times New Roman" w:hAnsi="Times New Roman" w:cs="Times New Roman"/>
          <w:sz w:val="26"/>
          <w:szCs w:val="26"/>
        </w:rPr>
        <w:t>at 5-</w:t>
      </w:r>
      <w:r w:rsidR="00E340C9">
        <w:rPr>
          <w:rFonts w:ascii="Times New Roman" w:hAnsi="Times New Roman" w:cs="Times New Roman"/>
          <w:sz w:val="26"/>
          <w:szCs w:val="26"/>
        </w:rPr>
        <w:t>8</w:t>
      </w:r>
      <w:r w:rsidR="000C50C4">
        <w:rPr>
          <w:rFonts w:ascii="Times New Roman" w:hAnsi="Times New Roman" w:cs="Times New Roman"/>
          <w:sz w:val="26"/>
          <w:szCs w:val="26"/>
        </w:rPr>
        <w:t>.</w:t>
      </w:r>
    </w:p>
    <w:p w:rsidR="00D52077" w:rsidRDefault="00D52077" w:rsidP="000E1684">
      <w:pPr>
        <w:pStyle w:val="ParaTab1"/>
        <w:spacing w:line="360" w:lineRule="auto"/>
        <w:ind w:left="90" w:firstLine="1350"/>
        <w:rPr>
          <w:rFonts w:ascii="Times New Roman" w:hAnsi="Times New Roman" w:cs="Times New Roman"/>
          <w:sz w:val="26"/>
          <w:szCs w:val="26"/>
        </w:rPr>
      </w:pPr>
    </w:p>
    <w:p w:rsidR="00004394" w:rsidRDefault="00E340C9" w:rsidP="000E1684">
      <w:pPr>
        <w:pStyle w:val="ParaTab1"/>
        <w:spacing w:line="360" w:lineRule="auto"/>
        <w:ind w:left="90" w:firstLine="1350"/>
        <w:rPr>
          <w:rFonts w:ascii="Times New Roman" w:hAnsi="Times New Roman" w:cs="Times New Roman"/>
          <w:sz w:val="26"/>
          <w:szCs w:val="26"/>
        </w:rPr>
      </w:pPr>
      <w:r>
        <w:rPr>
          <w:rFonts w:ascii="Times New Roman" w:hAnsi="Times New Roman" w:cs="Times New Roman"/>
          <w:sz w:val="26"/>
          <w:szCs w:val="26"/>
        </w:rPr>
        <w:t>By Order dated September 2, 2014</w:t>
      </w:r>
      <w:r w:rsidR="00C74BED">
        <w:rPr>
          <w:rFonts w:ascii="Times New Roman" w:hAnsi="Times New Roman" w:cs="Times New Roman"/>
          <w:sz w:val="26"/>
          <w:szCs w:val="26"/>
        </w:rPr>
        <w:t xml:space="preserve"> (Summary Judgment Order)</w:t>
      </w:r>
      <w:r>
        <w:rPr>
          <w:rFonts w:ascii="Times New Roman" w:hAnsi="Times New Roman" w:cs="Times New Roman"/>
          <w:sz w:val="26"/>
          <w:szCs w:val="26"/>
        </w:rPr>
        <w:t>, the ALJ denied IDT’s Motion for Summary Judgment and directed that the Complaint proceed to hearing.  By Prehearing Order #3 dated Septe</w:t>
      </w:r>
      <w:r w:rsidR="00004394">
        <w:rPr>
          <w:rFonts w:ascii="Times New Roman" w:hAnsi="Times New Roman" w:cs="Times New Roman"/>
          <w:sz w:val="26"/>
          <w:szCs w:val="26"/>
        </w:rPr>
        <w:t xml:space="preserve">mber </w:t>
      </w:r>
      <w:r>
        <w:rPr>
          <w:rFonts w:ascii="Times New Roman" w:hAnsi="Times New Roman" w:cs="Times New Roman"/>
          <w:sz w:val="26"/>
          <w:szCs w:val="26"/>
        </w:rPr>
        <w:t>5</w:t>
      </w:r>
      <w:r w:rsidR="00004394">
        <w:rPr>
          <w:rFonts w:ascii="Times New Roman" w:hAnsi="Times New Roman" w:cs="Times New Roman"/>
          <w:sz w:val="26"/>
          <w:szCs w:val="26"/>
        </w:rPr>
        <w:t xml:space="preserve">, 2014, </w:t>
      </w:r>
      <w:r>
        <w:rPr>
          <w:rFonts w:ascii="Times New Roman" w:hAnsi="Times New Roman" w:cs="Times New Roman"/>
          <w:sz w:val="26"/>
          <w:szCs w:val="26"/>
        </w:rPr>
        <w:t>the ALJ scheduled a</w:t>
      </w:r>
      <w:r w:rsidR="008F6BC5">
        <w:rPr>
          <w:rFonts w:ascii="Times New Roman" w:hAnsi="Times New Roman" w:cs="Times New Roman"/>
          <w:sz w:val="26"/>
          <w:szCs w:val="26"/>
        </w:rPr>
        <w:t xml:space="preserve"> h</w:t>
      </w:r>
      <w:r w:rsidR="00004394">
        <w:rPr>
          <w:rFonts w:ascii="Times New Roman" w:hAnsi="Times New Roman" w:cs="Times New Roman"/>
          <w:sz w:val="26"/>
          <w:szCs w:val="26"/>
        </w:rPr>
        <w:t>earing for October 27, 2014.</w:t>
      </w:r>
    </w:p>
    <w:p w:rsidR="00E340C9" w:rsidRDefault="00E340C9" w:rsidP="000E1684">
      <w:pPr>
        <w:pStyle w:val="ParaTab1"/>
        <w:spacing w:line="360" w:lineRule="auto"/>
        <w:ind w:left="90" w:firstLine="1350"/>
        <w:rPr>
          <w:rFonts w:ascii="Times New Roman" w:hAnsi="Times New Roman" w:cs="Times New Roman"/>
          <w:sz w:val="26"/>
          <w:szCs w:val="26"/>
        </w:rPr>
      </w:pPr>
    </w:p>
    <w:p w:rsidR="008274CA" w:rsidRDefault="00E340C9" w:rsidP="000E1684">
      <w:pPr>
        <w:pStyle w:val="ParaTab1"/>
        <w:spacing w:line="360" w:lineRule="auto"/>
        <w:ind w:left="90" w:firstLine="1350"/>
        <w:rPr>
          <w:rFonts w:ascii="Times New Roman" w:hAnsi="Times New Roman" w:cs="Times New Roman"/>
          <w:sz w:val="26"/>
          <w:szCs w:val="26"/>
        </w:rPr>
      </w:pPr>
      <w:r>
        <w:rPr>
          <w:rFonts w:ascii="Times New Roman" w:hAnsi="Times New Roman" w:cs="Times New Roman"/>
          <w:sz w:val="26"/>
          <w:szCs w:val="26"/>
        </w:rPr>
        <w:t xml:space="preserve">In his </w:t>
      </w:r>
      <w:r w:rsidR="00F52A26">
        <w:rPr>
          <w:rFonts w:ascii="Times New Roman" w:hAnsi="Times New Roman" w:cs="Times New Roman"/>
          <w:sz w:val="26"/>
          <w:szCs w:val="26"/>
        </w:rPr>
        <w:t xml:space="preserve">Summary Judgment </w:t>
      </w:r>
      <w:r>
        <w:rPr>
          <w:rFonts w:ascii="Times New Roman" w:hAnsi="Times New Roman" w:cs="Times New Roman"/>
          <w:sz w:val="26"/>
          <w:szCs w:val="26"/>
        </w:rPr>
        <w:t xml:space="preserve">Order, the ALJ </w:t>
      </w:r>
      <w:r w:rsidR="00E1786B">
        <w:rPr>
          <w:rFonts w:ascii="Times New Roman" w:hAnsi="Times New Roman" w:cs="Times New Roman"/>
          <w:sz w:val="26"/>
          <w:szCs w:val="26"/>
        </w:rPr>
        <w:t xml:space="preserve">set forth the standards applicable to summary judgment and judgment on the pleadings </w:t>
      </w:r>
      <w:r w:rsidR="00C74BED">
        <w:rPr>
          <w:rFonts w:ascii="Times New Roman" w:hAnsi="Times New Roman" w:cs="Times New Roman"/>
          <w:sz w:val="26"/>
          <w:szCs w:val="26"/>
        </w:rPr>
        <w:t xml:space="preserve">found </w:t>
      </w:r>
      <w:r w:rsidR="00E1786B">
        <w:rPr>
          <w:rFonts w:ascii="Times New Roman" w:hAnsi="Times New Roman" w:cs="Times New Roman"/>
          <w:sz w:val="26"/>
          <w:szCs w:val="26"/>
        </w:rPr>
        <w:t>at Section 5.102 of the Commission’s Regulations, 52 Pa. Code §</w:t>
      </w:r>
      <w:r w:rsidR="00C74BED">
        <w:rPr>
          <w:rFonts w:ascii="Times New Roman" w:hAnsi="Times New Roman" w:cs="Times New Roman"/>
          <w:sz w:val="26"/>
          <w:szCs w:val="26"/>
        </w:rPr>
        <w:t xml:space="preserve"> 5.102.  The ALJ found that when examining the record in the light most favorable to the Complainant, the non-moving party, </w:t>
      </w:r>
      <w:r w:rsidR="00C34494">
        <w:rPr>
          <w:rFonts w:ascii="Times New Roman" w:hAnsi="Times New Roman" w:cs="Times New Roman"/>
          <w:sz w:val="26"/>
          <w:szCs w:val="26"/>
        </w:rPr>
        <w:t xml:space="preserve">material facts were not </w:t>
      </w:r>
      <w:r w:rsidR="00D05FC3">
        <w:rPr>
          <w:rFonts w:ascii="Times New Roman" w:hAnsi="Times New Roman" w:cs="Times New Roman"/>
          <w:sz w:val="26"/>
          <w:szCs w:val="26"/>
        </w:rPr>
        <w:t xml:space="preserve">free </w:t>
      </w:r>
      <w:r w:rsidR="00C34494">
        <w:rPr>
          <w:rFonts w:ascii="Times New Roman" w:hAnsi="Times New Roman" w:cs="Times New Roman"/>
          <w:sz w:val="26"/>
          <w:szCs w:val="26"/>
        </w:rPr>
        <w:t xml:space="preserve">from doubt </w:t>
      </w:r>
      <w:r w:rsidR="00C74BED">
        <w:rPr>
          <w:rFonts w:ascii="Times New Roman" w:hAnsi="Times New Roman" w:cs="Times New Roman"/>
          <w:sz w:val="26"/>
          <w:szCs w:val="26"/>
        </w:rPr>
        <w:t xml:space="preserve">and </w:t>
      </w:r>
      <w:r w:rsidR="00C34494">
        <w:rPr>
          <w:rFonts w:ascii="Times New Roman" w:hAnsi="Times New Roman" w:cs="Times New Roman"/>
          <w:sz w:val="26"/>
          <w:szCs w:val="26"/>
        </w:rPr>
        <w:t>therefore</w:t>
      </w:r>
      <w:r w:rsidR="00C74BED">
        <w:rPr>
          <w:rFonts w:ascii="Times New Roman" w:hAnsi="Times New Roman" w:cs="Times New Roman"/>
          <w:sz w:val="26"/>
          <w:szCs w:val="26"/>
        </w:rPr>
        <w:t xml:space="preserve"> IDT was </w:t>
      </w:r>
      <w:r w:rsidR="00C34494">
        <w:rPr>
          <w:rFonts w:ascii="Times New Roman" w:hAnsi="Times New Roman" w:cs="Times New Roman"/>
          <w:sz w:val="26"/>
          <w:szCs w:val="26"/>
        </w:rPr>
        <w:t xml:space="preserve">not </w:t>
      </w:r>
      <w:r w:rsidR="00C74BED">
        <w:rPr>
          <w:rFonts w:ascii="Times New Roman" w:hAnsi="Times New Roman" w:cs="Times New Roman"/>
          <w:sz w:val="26"/>
          <w:szCs w:val="26"/>
        </w:rPr>
        <w:t xml:space="preserve">entitled to judgment as a matter of law.  </w:t>
      </w:r>
      <w:r w:rsidR="00011216">
        <w:rPr>
          <w:rFonts w:ascii="Times New Roman" w:hAnsi="Times New Roman" w:cs="Times New Roman"/>
          <w:sz w:val="26"/>
          <w:szCs w:val="26"/>
        </w:rPr>
        <w:t xml:space="preserve">Based upon Mr. Kiback’s averment that he was told he would save 10% over PPL’s rate when he enrolled with IDT, the ALJ found that it was reasonable to infer that a genuine issue existed regarding information IDT provided Mr. Kiback, including marketing activities or activities of its sales department, when he enrolled.  </w:t>
      </w:r>
      <w:r w:rsidR="00F52A26">
        <w:rPr>
          <w:rFonts w:ascii="Times New Roman" w:hAnsi="Times New Roman" w:cs="Times New Roman"/>
          <w:sz w:val="26"/>
          <w:szCs w:val="26"/>
        </w:rPr>
        <w:t>M</w:t>
      </w:r>
      <w:r w:rsidR="00C74BED">
        <w:rPr>
          <w:rFonts w:ascii="Times New Roman" w:hAnsi="Times New Roman" w:cs="Times New Roman"/>
          <w:sz w:val="26"/>
          <w:szCs w:val="26"/>
        </w:rPr>
        <w:t xml:space="preserve">r. Kiback </w:t>
      </w:r>
      <w:r w:rsidR="00F52A26">
        <w:rPr>
          <w:rFonts w:ascii="Times New Roman" w:hAnsi="Times New Roman" w:cs="Times New Roman"/>
          <w:sz w:val="26"/>
          <w:szCs w:val="26"/>
        </w:rPr>
        <w:t>also averred that what he was told when he enrolled differed from what he received</w:t>
      </w:r>
      <w:r w:rsidR="00C74BED">
        <w:rPr>
          <w:rFonts w:ascii="Times New Roman" w:hAnsi="Times New Roman" w:cs="Times New Roman"/>
          <w:sz w:val="26"/>
          <w:szCs w:val="26"/>
        </w:rPr>
        <w:t xml:space="preserve">.  Summary Judgment Order at 4.  </w:t>
      </w:r>
      <w:r w:rsidR="008274CA">
        <w:rPr>
          <w:rFonts w:ascii="Times New Roman" w:hAnsi="Times New Roman" w:cs="Times New Roman"/>
          <w:sz w:val="26"/>
          <w:szCs w:val="26"/>
        </w:rPr>
        <w:t>Addressing IDT’s focus in the Motion on the matter of a refund and the variable nature of the Complainant’s contract, the ALJ found that IDT did not address issues related to IDT’s marketing or Mr</w:t>
      </w:r>
      <w:r w:rsidR="00F52A26">
        <w:rPr>
          <w:rFonts w:ascii="Times New Roman" w:hAnsi="Times New Roman" w:cs="Times New Roman"/>
          <w:sz w:val="26"/>
          <w:szCs w:val="26"/>
        </w:rPr>
        <w:t>. </w:t>
      </w:r>
      <w:r w:rsidR="008274CA">
        <w:rPr>
          <w:rFonts w:ascii="Times New Roman" w:hAnsi="Times New Roman" w:cs="Times New Roman"/>
          <w:sz w:val="26"/>
          <w:szCs w:val="26"/>
        </w:rPr>
        <w:t xml:space="preserve">Kiback’s ability to pay.  </w:t>
      </w:r>
      <w:r w:rsidR="008274CA">
        <w:rPr>
          <w:rFonts w:ascii="Times New Roman" w:hAnsi="Times New Roman" w:cs="Times New Roman"/>
          <w:i/>
          <w:sz w:val="26"/>
          <w:szCs w:val="26"/>
        </w:rPr>
        <w:t xml:space="preserve">Id. </w:t>
      </w:r>
      <w:r w:rsidR="008274CA">
        <w:rPr>
          <w:rFonts w:ascii="Times New Roman" w:hAnsi="Times New Roman" w:cs="Times New Roman"/>
          <w:sz w:val="26"/>
          <w:szCs w:val="26"/>
        </w:rPr>
        <w:t xml:space="preserve">at 4-5.  Similarly, by focusing on the disclosure statement, the ALJ found that IDT failed to address what Mr. Kiback may have been told at the time he enrolled in the service.  </w:t>
      </w:r>
      <w:r w:rsidR="008274CA">
        <w:rPr>
          <w:rFonts w:ascii="Times New Roman" w:hAnsi="Times New Roman" w:cs="Times New Roman"/>
          <w:i/>
          <w:sz w:val="26"/>
          <w:szCs w:val="26"/>
        </w:rPr>
        <w:t>Id.</w:t>
      </w:r>
      <w:r w:rsidR="008274CA">
        <w:rPr>
          <w:rFonts w:ascii="Times New Roman" w:hAnsi="Times New Roman" w:cs="Times New Roman"/>
          <w:sz w:val="26"/>
          <w:szCs w:val="26"/>
        </w:rPr>
        <w:t xml:space="preserve"> at 5.  Accordingly, the ALJ concluded that genuine issues of material fact </w:t>
      </w:r>
      <w:r w:rsidR="008274CA">
        <w:rPr>
          <w:rFonts w:ascii="Times New Roman" w:hAnsi="Times New Roman" w:cs="Times New Roman"/>
          <w:sz w:val="26"/>
          <w:szCs w:val="26"/>
        </w:rPr>
        <w:lastRenderedPageBreak/>
        <w:t>remained to be addressed at a hearing and that IDT was not entitled to a judgment as a matter of law.</w:t>
      </w:r>
    </w:p>
    <w:p w:rsidR="008274CA" w:rsidRDefault="008274CA" w:rsidP="000E1684">
      <w:pPr>
        <w:pStyle w:val="ParaTab1"/>
        <w:spacing w:line="360" w:lineRule="auto"/>
        <w:ind w:left="90" w:firstLine="1350"/>
        <w:rPr>
          <w:rFonts w:ascii="Times New Roman" w:hAnsi="Times New Roman" w:cs="Times New Roman"/>
          <w:sz w:val="26"/>
          <w:szCs w:val="26"/>
        </w:rPr>
      </w:pPr>
    </w:p>
    <w:p w:rsidR="008274CA" w:rsidRDefault="00910275" w:rsidP="002A5A92">
      <w:pPr>
        <w:pStyle w:val="ParaTab1"/>
        <w:spacing w:line="360" w:lineRule="auto"/>
        <w:ind w:firstLine="1350"/>
        <w:rPr>
          <w:rFonts w:ascii="Times New Roman" w:hAnsi="Times New Roman" w:cs="Times New Roman"/>
          <w:sz w:val="26"/>
          <w:szCs w:val="26"/>
        </w:rPr>
      </w:pPr>
      <w:r w:rsidRPr="00910275">
        <w:rPr>
          <w:rFonts w:ascii="Times New Roman" w:hAnsi="Times New Roman" w:cs="Times New Roman"/>
          <w:sz w:val="26"/>
          <w:szCs w:val="26"/>
        </w:rPr>
        <w:t>A</w:t>
      </w:r>
      <w:r w:rsidR="008274CA">
        <w:rPr>
          <w:rFonts w:ascii="Times New Roman" w:hAnsi="Times New Roman" w:cs="Times New Roman"/>
          <w:sz w:val="26"/>
          <w:szCs w:val="26"/>
        </w:rPr>
        <w:t xml:space="preserve"> telephonic</w:t>
      </w:r>
      <w:r w:rsidRPr="00910275">
        <w:rPr>
          <w:rFonts w:ascii="Times New Roman" w:hAnsi="Times New Roman" w:cs="Times New Roman"/>
          <w:sz w:val="26"/>
          <w:szCs w:val="26"/>
        </w:rPr>
        <w:t xml:space="preserve"> </w:t>
      </w:r>
      <w:r w:rsidR="0098068B">
        <w:rPr>
          <w:rFonts w:ascii="Times New Roman" w:hAnsi="Times New Roman" w:cs="Times New Roman"/>
          <w:sz w:val="26"/>
          <w:szCs w:val="26"/>
        </w:rPr>
        <w:t xml:space="preserve">hearing </w:t>
      </w:r>
      <w:r w:rsidR="008274CA">
        <w:rPr>
          <w:rFonts w:ascii="Times New Roman" w:hAnsi="Times New Roman" w:cs="Times New Roman"/>
          <w:sz w:val="26"/>
          <w:szCs w:val="26"/>
        </w:rPr>
        <w:t>was held on October 27, 2014</w:t>
      </w:r>
      <w:r w:rsidR="00CD7F9D">
        <w:rPr>
          <w:rFonts w:ascii="Times New Roman" w:hAnsi="Times New Roman" w:cs="Times New Roman"/>
          <w:sz w:val="26"/>
          <w:szCs w:val="26"/>
        </w:rPr>
        <w:t xml:space="preserve">.  </w:t>
      </w:r>
      <w:r w:rsidR="003460E6">
        <w:rPr>
          <w:rFonts w:ascii="Times New Roman" w:hAnsi="Times New Roman" w:cs="Times New Roman"/>
          <w:sz w:val="26"/>
          <w:szCs w:val="26"/>
        </w:rPr>
        <w:t xml:space="preserve">Mr. Kiback </w:t>
      </w:r>
      <w:r w:rsidR="009231DE">
        <w:rPr>
          <w:rFonts w:ascii="Times New Roman" w:hAnsi="Times New Roman" w:cs="Times New Roman"/>
          <w:sz w:val="26"/>
          <w:szCs w:val="26"/>
        </w:rPr>
        <w:t xml:space="preserve">represented </w:t>
      </w:r>
      <w:r w:rsidR="008F6BC5">
        <w:rPr>
          <w:rFonts w:ascii="Times New Roman" w:hAnsi="Times New Roman" w:cs="Times New Roman"/>
          <w:sz w:val="26"/>
          <w:szCs w:val="26"/>
        </w:rPr>
        <w:t xml:space="preserve">himself </w:t>
      </w:r>
      <w:r w:rsidR="009231DE">
        <w:rPr>
          <w:rFonts w:ascii="Times New Roman" w:hAnsi="Times New Roman" w:cs="Times New Roman"/>
          <w:sz w:val="26"/>
          <w:szCs w:val="26"/>
        </w:rPr>
        <w:t xml:space="preserve">and </w:t>
      </w:r>
      <w:r w:rsidR="003460E6">
        <w:rPr>
          <w:rFonts w:ascii="Times New Roman" w:hAnsi="Times New Roman" w:cs="Times New Roman"/>
          <w:sz w:val="26"/>
          <w:szCs w:val="26"/>
        </w:rPr>
        <w:t xml:space="preserve">testified </w:t>
      </w:r>
      <w:r w:rsidR="009231DE">
        <w:rPr>
          <w:rFonts w:ascii="Times New Roman" w:hAnsi="Times New Roman" w:cs="Times New Roman"/>
          <w:sz w:val="26"/>
          <w:szCs w:val="26"/>
        </w:rPr>
        <w:t xml:space="preserve">on </w:t>
      </w:r>
      <w:r w:rsidR="008F6BC5">
        <w:rPr>
          <w:rFonts w:ascii="Times New Roman" w:hAnsi="Times New Roman" w:cs="Times New Roman"/>
          <w:sz w:val="26"/>
          <w:szCs w:val="26"/>
        </w:rPr>
        <w:t>h</w:t>
      </w:r>
      <w:r w:rsidR="005E7B86">
        <w:rPr>
          <w:rFonts w:ascii="Times New Roman" w:hAnsi="Times New Roman" w:cs="Times New Roman"/>
          <w:sz w:val="26"/>
          <w:szCs w:val="26"/>
        </w:rPr>
        <w:t>is</w:t>
      </w:r>
      <w:r w:rsidR="008F6BC5">
        <w:rPr>
          <w:rFonts w:ascii="Times New Roman" w:hAnsi="Times New Roman" w:cs="Times New Roman"/>
          <w:sz w:val="26"/>
          <w:szCs w:val="26"/>
        </w:rPr>
        <w:t xml:space="preserve"> own </w:t>
      </w:r>
      <w:r w:rsidR="009231DE">
        <w:rPr>
          <w:rFonts w:ascii="Times New Roman" w:hAnsi="Times New Roman" w:cs="Times New Roman"/>
          <w:sz w:val="26"/>
          <w:szCs w:val="26"/>
        </w:rPr>
        <w:t>behalf</w:t>
      </w:r>
      <w:r w:rsidR="008F6BC5">
        <w:rPr>
          <w:rFonts w:ascii="Times New Roman" w:hAnsi="Times New Roman" w:cs="Times New Roman"/>
          <w:sz w:val="26"/>
          <w:szCs w:val="26"/>
        </w:rPr>
        <w:t xml:space="preserve">. </w:t>
      </w:r>
      <w:r w:rsidR="009231DE">
        <w:rPr>
          <w:rFonts w:ascii="Times New Roman" w:hAnsi="Times New Roman" w:cs="Times New Roman"/>
          <w:sz w:val="26"/>
          <w:szCs w:val="26"/>
        </w:rPr>
        <w:t xml:space="preserve"> </w:t>
      </w:r>
      <w:r w:rsidR="003460E6">
        <w:rPr>
          <w:rFonts w:ascii="Times New Roman" w:hAnsi="Times New Roman" w:cs="Times New Roman"/>
          <w:sz w:val="26"/>
          <w:szCs w:val="26"/>
        </w:rPr>
        <w:t>IDT presented the testimony of its Vice President Stoughton and two hearing exhibits</w:t>
      </w:r>
      <w:r w:rsidR="001C6BCE">
        <w:rPr>
          <w:rFonts w:ascii="Times New Roman" w:hAnsi="Times New Roman" w:cs="Times New Roman"/>
          <w:sz w:val="26"/>
          <w:szCs w:val="26"/>
        </w:rPr>
        <w:t xml:space="preserve">.  </w:t>
      </w:r>
      <w:r w:rsidR="001C6BCE" w:rsidRPr="001C6BCE">
        <w:rPr>
          <w:rFonts w:ascii="Times New Roman" w:hAnsi="Times New Roman" w:cs="Times New Roman"/>
          <w:sz w:val="26"/>
          <w:szCs w:val="26"/>
        </w:rPr>
        <w:t xml:space="preserve">The record </w:t>
      </w:r>
      <w:r w:rsidR="001C6BCE">
        <w:rPr>
          <w:rFonts w:ascii="Times New Roman" w:hAnsi="Times New Roman" w:cs="Times New Roman"/>
          <w:sz w:val="26"/>
          <w:szCs w:val="26"/>
        </w:rPr>
        <w:t>c</w:t>
      </w:r>
      <w:r w:rsidR="001C6BCE" w:rsidRPr="001C6BCE">
        <w:rPr>
          <w:rFonts w:ascii="Times New Roman" w:hAnsi="Times New Roman" w:cs="Times New Roman"/>
          <w:sz w:val="26"/>
          <w:szCs w:val="26"/>
        </w:rPr>
        <w:t>losed on November 18, 2014</w:t>
      </w:r>
      <w:r w:rsidR="001C6BCE">
        <w:rPr>
          <w:rFonts w:ascii="Times New Roman" w:hAnsi="Times New Roman" w:cs="Times New Roman"/>
          <w:sz w:val="26"/>
          <w:szCs w:val="26"/>
        </w:rPr>
        <w:t xml:space="preserve">, with the submission </w:t>
      </w:r>
      <w:r w:rsidR="006A20F1">
        <w:rPr>
          <w:rFonts w:ascii="Times New Roman" w:hAnsi="Times New Roman" w:cs="Times New Roman"/>
          <w:sz w:val="26"/>
          <w:szCs w:val="26"/>
        </w:rPr>
        <w:t xml:space="preserve">to the Commission </w:t>
      </w:r>
      <w:r w:rsidR="001C6BCE">
        <w:rPr>
          <w:rFonts w:ascii="Times New Roman" w:hAnsi="Times New Roman" w:cs="Times New Roman"/>
          <w:sz w:val="26"/>
          <w:szCs w:val="26"/>
        </w:rPr>
        <w:t xml:space="preserve">of the </w:t>
      </w:r>
      <w:r w:rsidR="001C6BCE" w:rsidRPr="001C6BCE">
        <w:rPr>
          <w:rFonts w:ascii="Times New Roman" w:hAnsi="Times New Roman" w:cs="Times New Roman"/>
          <w:sz w:val="26"/>
          <w:szCs w:val="26"/>
        </w:rPr>
        <w:t>transcript</w:t>
      </w:r>
      <w:r w:rsidR="001C6BCE">
        <w:rPr>
          <w:rFonts w:ascii="Times New Roman" w:hAnsi="Times New Roman" w:cs="Times New Roman"/>
          <w:sz w:val="26"/>
          <w:szCs w:val="26"/>
        </w:rPr>
        <w:t>, which comprises forty-nine pages</w:t>
      </w:r>
      <w:r w:rsidR="009231DE">
        <w:rPr>
          <w:rFonts w:ascii="Times New Roman" w:hAnsi="Times New Roman" w:cs="Times New Roman"/>
          <w:sz w:val="26"/>
          <w:szCs w:val="26"/>
        </w:rPr>
        <w:t>.</w:t>
      </w:r>
      <w:r w:rsidR="003460E6">
        <w:rPr>
          <w:rFonts w:ascii="Times New Roman" w:hAnsi="Times New Roman" w:cs="Times New Roman"/>
          <w:sz w:val="26"/>
          <w:szCs w:val="26"/>
        </w:rPr>
        <w:t xml:space="preserve">  On February 17, 2015, the Commission issued the ALJ’s Initial Decision in which the ALJ </w:t>
      </w:r>
      <w:r w:rsidR="00B87CF5">
        <w:rPr>
          <w:rFonts w:ascii="Times New Roman" w:hAnsi="Times New Roman" w:cs="Times New Roman"/>
          <w:sz w:val="26"/>
          <w:szCs w:val="26"/>
        </w:rPr>
        <w:t xml:space="preserve">sustained Mr. Kiback’s Complaint, finding that the Complainant sustained his burden of demonstrating </w:t>
      </w:r>
      <w:r w:rsidR="008F6BC5">
        <w:rPr>
          <w:rFonts w:ascii="Times New Roman" w:hAnsi="Times New Roman" w:cs="Times New Roman"/>
          <w:sz w:val="26"/>
          <w:szCs w:val="26"/>
        </w:rPr>
        <w:t xml:space="preserve">that </w:t>
      </w:r>
      <w:r w:rsidR="00B87CF5">
        <w:rPr>
          <w:rFonts w:ascii="Times New Roman" w:hAnsi="Times New Roman" w:cs="Times New Roman"/>
          <w:sz w:val="26"/>
          <w:szCs w:val="26"/>
        </w:rPr>
        <w:t>IDT violated the Commission’s Regulations</w:t>
      </w:r>
      <w:r w:rsidR="006A20F1">
        <w:rPr>
          <w:rFonts w:ascii="Times New Roman" w:hAnsi="Times New Roman" w:cs="Times New Roman"/>
          <w:sz w:val="26"/>
          <w:szCs w:val="26"/>
        </w:rPr>
        <w:t>,</w:t>
      </w:r>
      <w:r w:rsidR="00B87CF5">
        <w:rPr>
          <w:rFonts w:ascii="Times New Roman" w:hAnsi="Times New Roman" w:cs="Times New Roman"/>
          <w:sz w:val="26"/>
          <w:szCs w:val="26"/>
        </w:rPr>
        <w:t xml:space="preserve"> imposing a civil penalty</w:t>
      </w:r>
      <w:r w:rsidR="006A20F1">
        <w:rPr>
          <w:rFonts w:ascii="Times New Roman" w:hAnsi="Times New Roman" w:cs="Times New Roman"/>
          <w:sz w:val="26"/>
          <w:szCs w:val="26"/>
        </w:rPr>
        <w:t xml:space="preserve"> and ordering a refund</w:t>
      </w:r>
      <w:r w:rsidR="00B87CF5">
        <w:rPr>
          <w:rFonts w:ascii="Times New Roman" w:hAnsi="Times New Roman" w:cs="Times New Roman"/>
          <w:sz w:val="26"/>
          <w:szCs w:val="26"/>
        </w:rPr>
        <w:t>.</w:t>
      </w:r>
      <w:r w:rsidR="003460E6">
        <w:rPr>
          <w:rFonts w:ascii="Times New Roman" w:hAnsi="Times New Roman" w:cs="Times New Roman"/>
          <w:sz w:val="26"/>
          <w:szCs w:val="26"/>
        </w:rPr>
        <w:t xml:space="preserve">  IDT filed Exceptions on March 9, 2015; the OCA filed Replies to Exceptions on March 19, 2015.  The Complainant did not file Exceptions or Replies.</w:t>
      </w:r>
    </w:p>
    <w:p w:rsidR="006059BE" w:rsidRPr="00771A9F" w:rsidRDefault="006059BE" w:rsidP="002A5A92">
      <w:pPr>
        <w:pStyle w:val="ParaTab1"/>
        <w:spacing w:line="360" w:lineRule="auto"/>
        <w:ind w:firstLine="1350"/>
        <w:rPr>
          <w:rFonts w:ascii="Times New Roman" w:hAnsi="Times New Roman" w:cs="Times New Roman"/>
          <w:sz w:val="26"/>
          <w:szCs w:val="26"/>
        </w:rPr>
      </w:pPr>
    </w:p>
    <w:p w:rsidR="0095737A" w:rsidRDefault="0095737A" w:rsidP="002A5A92">
      <w:pPr>
        <w:spacing w:line="360" w:lineRule="auto"/>
        <w:jc w:val="center"/>
        <w:rPr>
          <w:b/>
          <w:sz w:val="26"/>
          <w:szCs w:val="26"/>
        </w:rPr>
      </w:pPr>
      <w:r w:rsidRPr="0095737A">
        <w:rPr>
          <w:b/>
          <w:sz w:val="26"/>
          <w:szCs w:val="26"/>
        </w:rPr>
        <w:t>Discussion</w:t>
      </w:r>
    </w:p>
    <w:p w:rsidR="00B16C25" w:rsidRDefault="00B16C25" w:rsidP="00B16C25">
      <w:pPr>
        <w:spacing w:line="360" w:lineRule="auto"/>
        <w:rPr>
          <w:b/>
          <w:sz w:val="26"/>
          <w:szCs w:val="26"/>
        </w:rPr>
      </w:pPr>
    </w:p>
    <w:p w:rsidR="00887D29" w:rsidRDefault="0094101F" w:rsidP="00887D29">
      <w:pPr>
        <w:spacing w:line="360" w:lineRule="auto"/>
        <w:ind w:firstLine="1440"/>
        <w:rPr>
          <w:sz w:val="26"/>
          <w:szCs w:val="26"/>
        </w:rPr>
      </w:pPr>
      <w:r w:rsidRPr="00CA43A5">
        <w:rPr>
          <w:sz w:val="26"/>
          <w:szCs w:val="26"/>
        </w:rPr>
        <w:t xml:space="preserve">As the proponent of a rule or order, </w:t>
      </w:r>
      <w:r>
        <w:rPr>
          <w:sz w:val="26"/>
          <w:szCs w:val="26"/>
        </w:rPr>
        <w:t xml:space="preserve">the </w:t>
      </w:r>
      <w:r w:rsidRPr="00CA43A5">
        <w:rPr>
          <w:sz w:val="26"/>
          <w:szCs w:val="26"/>
        </w:rPr>
        <w:t xml:space="preserve">Complainant in this proceeding bears the burden of proof pursuant to Section 332(a) of the </w:t>
      </w:r>
      <w:r>
        <w:rPr>
          <w:sz w:val="26"/>
          <w:szCs w:val="26"/>
        </w:rPr>
        <w:t>Code</w:t>
      </w:r>
      <w:r w:rsidRPr="00CA43A5">
        <w:rPr>
          <w:sz w:val="26"/>
          <w:szCs w:val="26"/>
        </w:rPr>
        <w:t xml:space="preserve">. </w:t>
      </w:r>
      <w:r w:rsidR="005E7B86">
        <w:rPr>
          <w:sz w:val="26"/>
          <w:szCs w:val="26"/>
        </w:rPr>
        <w:t xml:space="preserve"> </w:t>
      </w:r>
      <w:r w:rsidRPr="00CA43A5">
        <w:rPr>
          <w:sz w:val="26"/>
          <w:szCs w:val="26"/>
        </w:rPr>
        <w:t xml:space="preserve">66 Pa. C.S. § 332(a). </w:t>
      </w:r>
      <w:r w:rsidR="009231DE">
        <w:rPr>
          <w:sz w:val="26"/>
          <w:szCs w:val="26"/>
        </w:rPr>
        <w:t xml:space="preserve"> </w:t>
      </w:r>
      <w:r w:rsidRPr="00CA43A5">
        <w:rPr>
          <w:sz w:val="26"/>
          <w:szCs w:val="26"/>
        </w:rPr>
        <w:t xml:space="preserve">To establish a sufficient case and satisfy the burden of proof, </w:t>
      </w:r>
      <w:r w:rsidR="009231DE">
        <w:rPr>
          <w:sz w:val="26"/>
          <w:szCs w:val="26"/>
        </w:rPr>
        <w:t>Mr.</w:t>
      </w:r>
      <w:r w:rsidR="008F6BC5">
        <w:rPr>
          <w:sz w:val="26"/>
          <w:szCs w:val="26"/>
        </w:rPr>
        <w:t> K</w:t>
      </w:r>
      <w:r w:rsidR="009231DE">
        <w:rPr>
          <w:sz w:val="26"/>
          <w:szCs w:val="26"/>
        </w:rPr>
        <w:t xml:space="preserve">iback </w:t>
      </w:r>
      <w:r w:rsidRPr="00CA43A5">
        <w:rPr>
          <w:sz w:val="26"/>
          <w:szCs w:val="26"/>
        </w:rPr>
        <w:t xml:space="preserve">must show that </w:t>
      </w:r>
      <w:r w:rsidR="009231DE">
        <w:rPr>
          <w:sz w:val="26"/>
          <w:szCs w:val="26"/>
        </w:rPr>
        <w:t>IDT</w:t>
      </w:r>
      <w:r w:rsidRPr="00CA43A5">
        <w:rPr>
          <w:sz w:val="26"/>
          <w:szCs w:val="26"/>
        </w:rPr>
        <w:t xml:space="preserve"> </w:t>
      </w:r>
      <w:r w:rsidR="008F6BC5">
        <w:rPr>
          <w:sz w:val="26"/>
          <w:szCs w:val="26"/>
        </w:rPr>
        <w:t xml:space="preserve">is </w:t>
      </w:r>
      <w:r w:rsidRPr="00CA43A5">
        <w:rPr>
          <w:sz w:val="26"/>
          <w:szCs w:val="26"/>
        </w:rPr>
        <w:t xml:space="preserve">responsible or accountable for the problem described in </w:t>
      </w:r>
      <w:r w:rsidR="009231DE">
        <w:rPr>
          <w:sz w:val="26"/>
          <w:szCs w:val="26"/>
        </w:rPr>
        <w:t>his</w:t>
      </w:r>
      <w:r w:rsidRPr="00CA43A5">
        <w:rPr>
          <w:sz w:val="26"/>
          <w:szCs w:val="26"/>
        </w:rPr>
        <w:t xml:space="preserve"> Complaint. </w:t>
      </w:r>
      <w:r w:rsidR="009231DE">
        <w:rPr>
          <w:sz w:val="26"/>
          <w:szCs w:val="26"/>
        </w:rPr>
        <w:t xml:space="preserve"> </w:t>
      </w:r>
      <w:r w:rsidRPr="00CA43A5">
        <w:rPr>
          <w:i/>
          <w:sz w:val="26"/>
          <w:szCs w:val="26"/>
        </w:rPr>
        <w:t xml:space="preserve">Patterson v. </w:t>
      </w:r>
      <w:r>
        <w:rPr>
          <w:i/>
          <w:sz w:val="26"/>
          <w:szCs w:val="26"/>
        </w:rPr>
        <w:t xml:space="preserve">The </w:t>
      </w:r>
      <w:r w:rsidRPr="00CA43A5">
        <w:rPr>
          <w:i/>
          <w:sz w:val="26"/>
          <w:szCs w:val="26"/>
        </w:rPr>
        <w:t>Bell Telephone Company of Pennsylvania</w:t>
      </w:r>
      <w:r w:rsidRPr="00CA43A5">
        <w:rPr>
          <w:sz w:val="26"/>
          <w:szCs w:val="26"/>
        </w:rPr>
        <w:t xml:space="preserve">, 72 Pa. P.U.C. 196 (1990). </w:t>
      </w:r>
      <w:r w:rsidR="005A5AAB">
        <w:rPr>
          <w:sz w:val="26"/>
          <w:szCs w:val="26"/>
        </w:rPr>
        <w:t xml:space="preserve"> </w:t>
      </w:r>
      <w:r w:rsidRPr="00CA43A5">
        <w:rPr>
          <w:sz w:val="26"/>
          <w:szCs w:val="26"/>
        </w:rPr>
        <w:t xml:space="preserve">Such a showing must be by a preponderance of the evidence.  </w:t>
      </w:r>
      <w:r w:rsidRPr="00CA43A5">
        <w:rPr>
          <w:i/>
          <w:iCs/>
          <w:sz w:val="26"/>
          <w:szCs w:val="26"/>
        </w:rPr>
        <w:t>Samuel J. Lansberry, Inc. v. Pa. PUC</w:t>
      </w:r>
      <w:r w:rsidRPr="00CA43A5">
        <w:rPr>
          <w:sz w:val="26"/>
          <w:szCs w:val="26"/>
        </w:rPr>
        <w:t xml:space="preserve">, 578 A.2d 600 (Pa. Cmwlth. 1990), </w:t>
      </w:r>
      <w:r w:rsidRPr="00CA43A5">
        <w:rPr>
          <w:i/>
          <w:sz w:val="26"/>
          <w:szCs w:val="26"/>
        </w:rPr>
        <w:t>alloc. denied,</w:t>
      </w:r>
      <w:r w:rsidRPr="00CA43A5">
        <w:rPr>
          <w:sz w:val="26"/>
          <w:szCs w:val="26"/>
        </w:rPr>
        <w:t xml:space="preserve"> </w:t>
      </w:r>
      <w:r>
        <w:rPr>
          <w:sz w:val="26"/>
          <w:szCs w:val="26"/>
        </w:rPr>
        <w:t xml:space="preserve">529 </w:t>
      </w:r>
      <w:r w:rsidRPr="00421EF9">
        <w:rPr>
          <w:sz w:val="26"/>
          <w:szCs w:val="26"/>
        </w:rPr>
        <w:t xml:space="preserve">Pa. </w:t>
      </w:r>
      <w:r>
        <w:rPr>
          <w:sz w:val="26"/>
          <w:szCs w:val="26"/>
        </w:rPr>
        <w:t xml:space="preserve">654, </w:t>
      </w:r>
      <w:r w:rsidRPr="00CA43A5">
        <w:rPr>
          <w:sz w:val="26"/>
          <w:szCs w:val="26"/>
        </w:rPr>
        <w:t xml:space="preserve">602 A.2d 863 (1992). </w:t>
      </w:r>
      <w:r>
        <w:rPr>
          <w:sz w:val="26"/>
          <w:szCs w:val="26"/>
        </w:rPr>
        <w:t xml:space="preserve"> </w:t>
      </w:r>
      <w:r w:rsidRPr="00CA43A5">
        <w:rPr>
          <w:sz w:val="26"/>
          <w:szCs w:val="26"/>
        </w:rPr>
        <w:t xml:space="preserve">That is, </w:t>
      </w:r>
      <w:r>
        <w:rPr>
          <w:sz w:val="26"/>
          <w:szCs w:val="26"/>
        </w:rPr>
        <w:t xml:space="preserve">the </w:t>
      </w:r>
      <w:r w:rsidRPr="00CA43A5">
        <w:rPr>
          <w:sz w:val="26"/>
          <w:szCs w:val="26"/>
        </w:rPr>
        <w:t>Complainant’s evidence must be more convincing, by even the smallest amount, th</w:t>
      </w:r>
      <w:r>
        <w:rPr>
          <w:sz w:val="26"/>
          <w:szCs w:val="26"/>
        </w:rPr>
        <w:t xml:space="preserve">an that presented by the </w:t>
      </w:r>
      <w:r w:rsidR="008F6BC5">
        <w:rPr>
          <w:sz w:val="26"/>
          <w:szCs w:val="26"/>
        </w:rPr>
        <w:t>Respondent</w:t>
      </w:r>
      <w:r w:rsidRPr="00CA43A5">
        <w:rPr>
          <w:sz w:val="26"/>
          <w:szCs w:val="26"/>
        </w:rPr>
        <w:t xml:space="preserve">.  </w:t>
      </w:r>
      <w:r w:rsidRPr="00CA43A5">
        <w:rPr>
          <w:i/>
          <w:sz w:val="26"/>
          <w:szCs w:val="26"/>
        </w:rPr>
        <w:t>Se-Ling Hosiery</w:t>
      </w:r>
      <w:r>
        <w:rPr>
          <w:i/>
          <w:sz w:val="26"/>
          <w:szCs w:val="26"/>
        </w:rPr>
        <w:t>, Inc.</w:t>
      </w:r>
      <w:r w:rsidRPr="00CA43A5">
        <w:rPr>
          <w:i/>
          <w:sz w:val="26"/>
          <w:szCs w:val="26"/>
        </w:rPr>
        <w:t xml:space="preserve"> v. Margulies</w:t>
      </w:r>
      <w:r w:rsidRPr="00CA43A5">
        <w:rPr>
          <w:sz w:val="26"/>
          <w:szCs w:val="26"/>
        </w:rPr>
        <w:t xml:space="preserve">, </w:t>
      </w:r>
      <w:r>
        <w:rPr>
          <w:sz w:val="26"/>
          <w:szCs w:val="26"/>
        </w:rPr>
        <w:t xml:space="preserve">364 Pa. 45, </w:t>
      </w:r>
      <w:r w:rsidRPr="00CA43A5">
        <w:rPr>
          <w:sz w:val="26"/>
          <w:szCs w:val="26"/>
        </w:rPr>
        <w:t xml:space="preserve">70 A.2d 854 (1950). </w:t>
      </w:r>
      <w:r w:rsidR="005A5AAB">
        <w:rPr>
          <w:sz w:val="26"/>
          <w:szCs w:val="26"/>
        </w:rPr>
        <w:t xml:space="preserve"> </w:t>
      </w:r>
      <w:r w:rsidRPr="00CA43A5">
        <w:rPr>
          <w:sz w:val="26"/>
          <w:szCs w:val="26"/>
        </w:rPr>
        <w:t xml:space="preserve">Additionally, this Commission’s decision must be supported by substantial evidence in the record. </w:t>
      </w:r>
      <w:r>
        <w:rPr>
          <w:sz w:val="26"/>
          <w:szCs w:val="26"/>
        </w:rPr>
        <w:t xml:space="preserve"> </w:t>
      </w:r>
      <w:r w:rsidRPr="00CA43A5">
        <w:rPr>
          <w:sz w:val="26"/>
          <w:szCs w:val="26"/>
        </w:rPr>
        <w:t xml:space="preserve">More is required than a mere trace of evidence or a suspicion of the existence of a fact sought to be established. </w:t>
      </w:r>
      <w:r w:rsidR="005A5AAB">
        <w:rPr>
          <w:sz w:val="26"/>
          <w:szCs w:val="26"/>
        </w:rPr>
        <w:t xml:space="preserve"> </w:t>
      </w:r>
      <w:r w:rsidRPr="00CA43A5">
        <w:rPr>
          <w:i/>
          <w:sz w:val="26"/>
          <w:szCs w:val="26"/>
        </w:rPr>
        <w:t xml:space="preserve">Norfolk &amp; Western Ry. Co. v. Pa. PUC, </w:t>
      </w:r>
      <w:r>
        <w:rPr>
          <w:sz w:val="26"/>
          <w:szCs w:val="26"/>
        </w:rPr>
        <w:t xml:space="preserve">489 Pa. 109, </w:t>
      </w:r>
      <w:r w:rsidRPr="00CA43A5">
        <w:rPr>
          <w:sz w:val="26"/>
          <w:szCs w:val="26"/>
        </w:rPr>
        <w:t xml:space="preserve">413 A.2d 1037 </w:t>
      </w:r>
      <w:r w:rsidR="00887D29">
        <w:rPr>
          <w:sz w:val="26"/>
          <w:szCs w:val="26"/>
        </w:rPr>
        <w:t>(1980).</w:t>
      </w:r>
    </w:p>
    <w:p w:rsidR="00887D29" w:rsidRDefault="00887D29" w:rsidP="00887D29">
      <w:pPr>
        <w:spacing w:line="360" w:lineRule="auto"/>
        <w:ind w:firstLine="1440"/>
        <w:rPr>
          <w:sz w:val="26"/>
          <w:szCs w:val="26"/>
        </w:rPr>
      </w:pPr>
    </w:p>
    <w:p w:rsidR="0094101F" w:rsidRPr="00887D29" w:rsidRDefault="00887D29" w:rsidP="00887D29">
      <w:pPr>
        <w:spacing w:line="360" w:lineRule="auto"/>
        <w:ind w:firstLine="1440"/>
        <w:rPr>
          <w:sz w:val="26"/>
          <w:szCs w:val="26"/>
        </w:rPr>
      </w:pPr>
      <w:r>
        <w:rPr>
          <w:sz w:val="26"/>
          <w:szCs w:val="26"/>
        </w:rPr>
        <w:t xml:space="preserve">Upon the presentation by the Complainant of evidence sufficient </w:t>
      </w:r>
      <w:r w:rsidR="0094101F" w:rsidRPr="00472547">
        <w:rPr>
          <w:sz w:val="26"/>
        </w:rPr>
        <w:t>to initially satisfy the</w:t>
      </w:r>
      <w:r w:rsidR="0094101F">
        <w:rPr>
          <w:sz w:val="26"/>
        </w:rPr>
        <w:t xml:space="preserve"> burden of proof, the burden </w:t>
      </w:r>
      <w:r w:rsidR="0094101F" w:rsidRPr="00472547">
        <w:rPr>
          <w:sz w:val="26"/>
        </w:rPr>
        <w:t>of g</w:t>
      </w:r>
      <w:r w:rsidR="0094101F">
        <w:rPr>
          <w:sz w:val="26"/>
        </w:rPr>
        <w:t xml:space="preserve">oing forward with the evidence </w:t>
      </w:r>
      <w:r w:rsidR="0094101F" w:rsidRPr="00472547">
        <w:rPr>
          <w:sz w:val="26"/>
        </w:rPr>
        <w:t>to rebut the evidence of the customer</w:t>
      </w:r>
      <w:r w:rsidR="0094101F">
        <w:rPr>
          <w:sz w:val="26"/>
        </w:rPr>
        <w:t xml:space="preserve"> shifts</w:t>
      </w:r>
      <w:r w:rsidR="0094101F" w:rsidRPr="00472547">
        <w:rPr>
          <w:sz w:val="26"/>
        </w:rPr>
        <w:t xml:space="preserve"> to </w:t>
      </w:r>
      <w:r w:rsidR="009231DE">
        <w:rPr>
          <w:sz w:val="26"/>
        </w:rPr>
        <w:t>IDT</w:t>
      </w:r>
      <w:r w:rsidR="0094101F" w:rsidRPr="00472547">
        <w:rPr>
          <w:sz w:val="26"/>
        </w:rPr>
        <w:t xml:space="preserve">. If the evidence presented by </w:t>
      </w:r>
      <w:r w:rsidR="009231DE">
        <w:rPr>
          <w:sz w:val="26"/>
        </w:rPr>
        <w:t>IDT</w:t>
      </w:r>
      <w:r w:rsidR="0094101F">
        <w:rPr>
          <w:sz w:val="26"/>
        </w:rPr>
        <w:t xml:space="preserve"> is of co-equal value or “</w:t>
      </w:r>
      <w:r w:rsidR="0094101F" w:rsidRPr="00472547">
        <w:rPr>
          <w:sz w:val="26"/>
        </w:rPr>
        <w:t>weight,</w:t>
      </w:r>
      <w:r w:rsidR="0094101F">
        <w:rPr>
          <w:sz w:val="26"/>
        </w:rPr>
        <w:t>”</w:t>
      </w:r>
      <w:r w:rsidR="0094101F" w:rsidRPr="00472547">
        <w:rPr>
          <w:sz w:val="26"/>
        </w:rPr>
        <w:t xml:space="preserve"> the</w:t>
      </w:r>
      <w:r w:rsidR="0094101F">
        <w:rPr>
          <w:sz w:val="26"/>
        </w:rPr>
        <w:t xml:space="preserve"> burden of proof </w:t>
      </w:r>
      <w:r w:rsidR="0094101F" w:rsidRPr="00472547">
        <w:rPr>
          <w:sz w:val="26"/>
        </w:rPr>
        <w:t xml:space="preserve">has not been satisfied. </w:t>
      </w:r>
      <w:r w:rsidR="0094101F">
        <w:rPr>
          <w:sz w:val="26"/>
        </w:rPr>
        <w:t>The C</w:t>
      </w:r>
      <w:r w:rsidR="0094101F" w:rsidRPr="00472547">
        <w:rPr>
          <w:sz w:val="26"/>
        </w:rPr>
        <w:t xml:space="preserve">omplainant now has to provide some additional evidence to rebut that of the </w:t>
      </w:r>
      <w:r w:rsidR="008F6BC5">
        <w:rPr>
          <w:sz w:val="26"/>
        </w:rPr>
        <w:t>Respondent</w:t>
      </w:r>
      <w:r w:rsidR="00106BF9">
        <w:rPr>
          <w:sz w:val="26"/>
        </w:rPr>
        <w:t xml:space="preserve">.  </w:t>
      </w:r>
      <w:r w:rsidR="00106BF9" w:rsidRPr="00106BF9">
        <w:rPr>
          <w:i/>
          <w:sz w:val="26"/>
        </w:rPr>
        <w:t>Burleson v. Pa. PUC</w:t>
      </w:r>
      <w:r w:rsidR="00106BF9" w:rsidRPr="00106BF9">
        <w:rPr>
          <w:sz w:val="26"/>
        </w:rPr>
        <w:t xml:space="preserve">, 443 A.2d 1373 (Pa. Cmwlth. 1982), </w:t>
      </w:r>
      <w:r w:rsidR="00106BF9" w:rsidRPr="00106BF9">
        <w:rPr>
          <w:i/>
          <w:sz w:val="26"/>
        </w:rPr>
        <w:t>aff’d</w:t>
      </w:r>
      <w:r w:rsidR="00106BF9" w:rsidRPr="00106BF9">
        <w:rPr>
          <w:sz w:val="26"/>
        </w:rPr>
        <w:t>, 501 Pa. 433, 461 A.2d 1234 (1983).</w:t>
      </w:r>
    </w:p>
    <w:p w:rsidR="0094101F" w:rsidRPr="00E6715E" w:rsidRDefault="0094101F" w:rsidP="0094101F">
      <w:pPr>
        <w:spacing w:line="360" w:lineRule="auto"/>
        <w:ind w:firstLine="1440"/>
        <w:rPr>
          <w:rFonts w:ascii="Times New (W1)" w:hAnsi="Times New (W1)"/>
          <w:iCs/>
          <w:sz w:val="26"/>
        </w:rPr>
      </w:pPr>
    </w:p>
    <w:p w:rsidR="0094101F" w:rsidRDefault="0094101F" w:rsidP="0094101F">
      <w:pPr>
        <w:spacing w:line="360" w:lineRule="auto"/>
        <w:ind w:firstLine="1440"/>
        <w:rPr>
          <w:rFonts w:ascii="Times New (W1)" w:hAnsi="Times New (W1)"/>
          <w:iCs/>
          <w:sz w:val="26"/>
        </w:rPr>
      </w:pPr>
      <w:r w:rsidRPr="00E6715E">
        <w:rPr>
          <w:rFonts w:ascii="Times New (W1)" w:hAnsi="Times New (W1)"/>
          <w:iCs/>
          <w:sz w:val="26"/>
        </w:rPr>
        <w:t xml:space="preserve">While the burden of going forward with the evidence may shift back and forth during a proceeding, the burden of proof never shifts. </w:t>
      </w:r>
      <w:r w:rsidR="00545FA2">
        <w:rPr>
          <w:rFonts w:ascii="Times New (W1)" w:hAnsi="Times New (W1)"/>
          <w:iCs/>
          <w:sz w:val="26"/>
        </w:rPr>
        <w:t xml:space="preserve"> </w:t>
      </w:r>
      <w:r w:rsidRPr="00E6715E">
        <w:rPr>
          <w:rFonts w:ascii="Times New (W1)" w:hAnsi="Times New (W1)"/>
          <w:iCs/>
          <w:sz w:val="26"/>
        </w:rPr>
        <w:t xml:space="preserve">The burden of proof always remains on the party seeking affirmative relief from the Commission. </w:t>
      </w:r>
      <w:r w:rsidR="00545FA2">
        <w:rPr>
          <w:rFonts w:ascii="Times New (W1)" w:hAnsi="Times New (W1)"/>
          <w:iCs/>
          <w:sz w:val="26"/>
        </w:rPr>
        <w:t xml:space="preserve"> </w:t>
      </w:r>
      <w:r w:rsidRPr="00E6715E">
        <w:rPr>
          <w:rFonts w:ascii="Times New (W1)" w:hAnsi="Times New (W1)"/>
          <w:i/>
          <w:iCs/>
          <w:sz w:val="26"/>
        </w:rPr>
        <w:t xml:space="preserve">Milkie v. Pa. PUC, </w:t>
      </w:r>
      <w:r w:rsidRPr="00E6715E">
        <w:rPr>
          <w:rFonts w:ascii="Times New (W1)" w:hAnsi="Times New (W1)"/>
          <w:iCs/>
          <w:sz w:val="26"/>
        </w:rPr>
        <w:t>768 A.2d 1217 (Pa. Cmwlth. 2001).</w:t>
      </w:r>
      <w:r w:rsidR="00106BF9">
        <w:rPr>
          <w:rFonts w:ascii="Times New (W1)" w:hAnsi="Times New (W1)"/>
          <w:iCs/>
          <w:sz w:val="26"/>
        </w:rPr>
        <w:t xml:space="preserve">  Having filed the Complaint against IDT, </w:t>
      </w:r>
      <w:r w:rsidR="009231DE">
        <w:rPr>
          <w:rFonts w:ascii="Times New (W1)" w:hAnsi="Times New (W1)"/>
          <w:iCs/>
          <w:sz w:val="26"/>
        </w:rPr>
        <w:t xml:space="preserve">Mr. Kiback </w:t>
      </w:r>
      <w:r w:rsidR="00106BF9">
        <w:rPr>
          <w:rFonts w:ascii="Times New (W1)" w:hAnsi="Times New (W1)"/>
          <w:iCs/>
          <w:sz w:val="26"/>
        </w:rPr>
        <w:t xml:space="preserve">is obliged to carry the burden of proving that the </w:t>
      </w:r>
      <w:r w:rsidR="008F6BC5">
        <w:rPr>
          <w:rFonts w:ascii="Times New (W1)" w:hAnsi="Times New (W1)"/>
          <w:iCs/>
          <w:sz w:val="26"/>
        </w:rPr>
        <w:t>Respondent</w:t>
      </w:r>
      <w:r w:rsidR="00106BF9">
        <w:rPr>
          <w:rFonts w:ascii="Times New (W1)" w:hAnsi="Times New (W1)"/>
          <w:iCs/>
          <w:sz w:val="26"/>
        </w:rPr>
        <w:t xml:space="preserve"> has </w:t>
      </w:r>
      <w:r>
        <w:rPr>
          <w:rFonts w:ascii="Times New (W1)" w:hAnsi="Times New (W1)"/>
          <w:iCs/>
          <w:sz w:val="26"/>
        </w:rPr>
        <w:t xml:space="preserve">violated the Code, a Commission Regulation, or </w:t>
      </w:r>
      <w:r w:rsidR="00545FA2">
        <w:rPr>
          <w:rFonts w:ascii="Times New (W1)" w:hAnsi="Times New (W1)"/>
          <w:iCs/>
          <w:sz w:val="26"/>
        </w:rPr>
        <w:t xml:space="preserve">a Commission </w:t>
      </w:r>
      <w:r>
        <w:rPr>
          <w:rFonts w:ascii="Times New (W1)" w:hAnsi="Times New (W1)"/>
          <w:iCs/>
          <w:sz w:val="26"/>
        </w:rPr>
        <w:t>Order</w:t>
      </w:r>
      <w:r w:rsidRPr="00DC43D8">
        <w:rPr>
          <w:rFonts w:ascii="Times New (W1)" w:hAnsi="Times New (W1)"/>
          <w:iCs/>
          <w:sz w:val="26"/>
        </w:rPr>
        <w:t>.</w:t>
      </w:r>
    </w:p>
    <w:p w:rsidR="0094101F" w:rsidRDefault="0094101F" w:rsidP="0094101F">
      <w:pPr>
        <w:spacing w:line="360" w:lineRule="auto"/>
        <w:ind w:firstLine="1440"/>
        <w:rPr>
          <w:rFonts w:ascii="Times New (W1)" w:hAnsi="Times New (W1)"/>
          <w:iCs/>
          <w:sz w:val="26"/>
        </w:rPr>
      </w:pPr>
    </w:p>
    <w:p w:rsidR="00106BF9" w:rsidRPr="00106BF9" w:rsidRDefault="008F6BC5" w:rsidP="00106BF9">
      <w:pPr>
        <w:spacing w:line="360" w:lineRule="auto"/>
        <w:ind w:firstLine="1440"/>
        <w:rPr>
          <w:sz w:val="26"/>
          <w:szCs w:val="26"/>
        </w:rPr>
      </w:pPr>
      <w:r>
        <w:rPr>
          <w:sz w:val="26"/>
          <w:szCs w:val="26"/>
        </w:rPr>
        <w:t xml:space="preserve">The </w:t>
      </w:r>
      <w:r w:rsidR="00106BF9" w:rsidRPr="00106BF9">
        <w:rPr>
          <w:sz w:val="26"/>
          <w:szCs w:val="26"/>
        </w:rPr>
        <w:t>ALJ made thirty-two Findings of Fact (FOF) and reached sixteen Conclusions of Law (COL). I.D. at 3-6, 18-21.  The Findings of Fact and Conclusions of Law are incorporated herein by reference and are adopted without comment unless they are either expressly or by necessary implication rejected or modified by this Opinion and Order.</w:t>
      </w:r>
    </w:p>
    <w:p w:rsidR="00106BF9" w:rsidRPr="00106BF9" w:rsidRDefault="00106BF9" w:rsidP="00106BF9">
      <w:pPr>
        <w:spacing w:line="360" w:lineRule="auto"/>
        <w:ind w:firstLine="1440"/>
        <w:rPr>
          <w:sz w:val="26"/>
          <w:szCs w:val="26"/>
        </w:rPr>
      </w:pPr>
    </w:p>
    <w:p w:rsidR="00106BF9" w:rsidRPr="00106BF9" w:rsidRDefault="00106BF9" w:rsidP="00106BF9">
      <w:pPr>
        <w:spacing w:line="360" w:lineRule="auto"/>
        <w:ind w:firstLine="1440"/>
        <w:rPr>
          <w:sz w:val="26"/>
          <w:szCs w:val="26"/>
        </w:rPr>
      </w:pPr>
      <w:r w:rsidRPr="00106BF9">
        <w:rPr>
          <w:sz w:val="26"/>
          <w:szCs w:val="26"/>
        </w:rPr>
        <w:t xml:space="preserve">We also note that any issue or Exception that we do not specifically delineate shall be deemed to have been duly considered and denied without further discussion. </w:t>
      </w:r>
      <w:r w:rsidR="009231DE">
        <w:rPr>
          <w:sz w:val="26"/>
          <w:szCs w:val="26"/>
        </w:rPr>
        <w:t xml:space="preserve"> </w:t>
      </w:r>
      <w:r w:rsidRPr="00106BF9">
        <w:rPr>
          <w:sz w:val="26"/>
          <w:szCs w:val="26"/>
        </w:rPr>
        <w:t>The Commission is not required to consider expressly or at length each contention or argument raised by the parties</w:t>
      </w:r>
      <w:r w:rsidRPr="00106BF9">
        <w:rPr>
          <w:i/>
          <w:sz w:val="26"/>
          <w:szCs w:val="26"/>
        </w:rPr>
        <w:t xml:space="preserve">. </w:t>
      </w:r>
      <w:r w:rsidR="009231DE">
        <w:rPr>
          <w:i/>
          <w:sz w:val="26"/>
          <w:szCs w:val="26"/>
        </w:rPr>
        <w:t xml:space="preserve"> </w:t>
      </w:r>
      <w:r w:rsidRPr="00106BF9">
        <w:rPr>
          <w:i/>
          <w:sz w:val="26"/>
          <w:szCs w:val="26"/>
        </w:rPr>
        <w:t>Consolidated Rail Corp. v. Pa. PUC</w:t>
      </w:r>
      <w:r w:rsidRPr="00106BF9">
        <w:rPr>
          <w:sz w:val="26"/>
          <w:szCs w:val="26"/>
        </w:rPr>
        <w:t xml:space="preserve">, 625 A.2d 741 (Pa. Cmwlth. 1993); </w:t>
      </w:r>
      <w:r w:rsidRPr="00106BF9">
        <w:rPr>
          <w:i/>
          <w:sz w:val="26"/>
          <w:szCs w:val="26"/>
        </w:rPr>
        <w:t>also see, generally, University of Pennsylvania v. Pa. PUC</w:t>
      </w:r>
      <w:r w:rsidRPr="00106BF9">
        <w:rPr>
          <w:sz w:val="26"/>
          <w:szCs w:val="26"/>
        </w:rPr>
        <w:t>, 485 A.2d 1217 (Pa. Cmwlth. 1984).</w:t>
      </w:r>
    </w:p>
    <w:p w:rsidR="0094101F" w:rsidRDefault="0094101F" w:rsidP="0094101F">
      <w:pPr>
        <w:spacing w:line="360" w:lineRule="auto"/>
        <w:ind w:firstLine="1440"/>
        <w:rPr>
          <w:sz w:val="26"/>
          <w:szCs w:val="26"/>
        </w:rPr>
      </w:pPr>
    </w:p>
    <w:p w:rsidR="0094101F" w:rsidRDefault="00106BF9" w:rsidP="001F739E">
      <w:pPr>
        <w:keepNext/>
        <w:spacing w:line="360" w:lineRule="auto"/>
        <w:rPr>
          <w:b/>
          <w:sz w:val="26"/>
          <w:szCs w:val="26"/>
        </w:rPr>
      </w:pPr>
      <w:r>
        <w:rPr>
          <w:b/>
          <w:sz w:val="26"/>
          <w:szCs w:val="26"/>
        </w:rPr>
        <w:lastRenderedPageBreak/>
        <w:t xml:space="preserve">The </w:t>
      </w:r>
      <w:r w:rsidR="0094101F">
        <w:rPr>
          <w:b/>
          <w:sz w:val="26"/>
          <w:szCs w:val="26"/>
        </w:rPr>
        <w:t xml:space="preserve">ALJ’s </w:t>
      </w:r>
      <w:r>
        <w:rPr>
          <w:b/>
          <w:sz w:val="26"/>
          <w:szCs w:val="26"/>
        </w:rPr>
        <w:t>Initial Decision</w:t>
      </w:r>
    </w:p>
    <w:p w:rsidR="0094101F" w:rsidRDefault="0094101F" w:rsidP="001F739E">
      <w:pPr>
        <w:keepNext/>
        <w:spacing w:line="360" w:lineRule="auto"/>
        <w:ind w:firstLine="1440"/>
        <w:rPr>
          <w:sz w:val="26"/>
          <w:szCs w:val="26"/>
        </w:rPr>
      </w:pPr>
    </w:p>
    <w:p w:rsidR="003F24E3" w:rsidRDefault="00397937" w:rsidP="005D7857">
      <w:pPr>
        <w:spacing w:line="360" w:lineRule="auto"/>
        <w:rPr>
          <w:sz w:val="26"/>
          <w:szCs w:val="26"/>
        </w:rPr>
      </w:pPr>
      <w:r w:rsidRPr="00397937">
        <w:rPr>
          <w:sz w:val="26"/>
          <w:szCs w:val="26"/>
        </w:rPr>
        <w:tab/>
      </w:r>
      <w:r w:rsidRPr="00397937">
        <w:rPr>
          <w:sz w:val="26"/>
          <w:szCs w:val="26"/>
        </w:rPr>
        <w:tab/>
      </w:r>
      <w:r w:rsidR="005947CD">
        <w:rPr>
          <w:sz w:val="26"/>
          <w:szCs w:val="26"/>
        </w:rPr>
        <w:t xml:space="preserve">The </w:t>
      </w:r>
      <w:r w:rsidR="00A07A6A">
        <w:rPr>
          <w:sz w:val="26"/>
          <w:szCs w:val="26"/>
        </w:rPr>
        <w:t xml:space="preserve">ALJ </w:t>
      </w:r>
      <w:r w:rsidR="002227E9">
        <w:rPr>
          <w:sz w:val="26"/>
          <w:szCs w:val="26"/>
        </w:rPr>
        <w:t xml:space="preserve">sustained </w:t>
      </w:r>
      <w:r w:rsidR="007717D2">
        <w:rPr>
          <w:sz w:val="26"/>
          <w:szCs w:val="26"/>
        </w:rPr>
        <w:t>the Complaint</w:t>
      </w:r>
      <w:r w:rsidR="002227E9">
        <w:rPr>
          <w:sz w:val="26"/>
          <w:szCs w:val="26"/>
        </w:rPr>
        <w:t xml:space="preserve">, finding that </w:t>
      </w:r>
      <w:r w:rsidR="005E7B86">
        <w:rPr>
          <w:sz w:val="26"/>
          <w:szCs w:val="26"/>
        </w:rPr>
        <w:t>Mr. Kiback</w:t>
      </w:r>
      <w:r w:rsidR="002227E9">
        <w:rPr>
          <w:sz w:val="26"/>
          <w:szCs w:val="26"/>
        </w:rPr>
        <w:t xml:space="preserve"> met his burden of proving that </w:t>
      </w:r>
      <w:r w:rsidR="008F6BC5">
        <w:rPr>
          <w:sz w:val="26"/>
          <w:szCs w:val="26"/>
        </w:rPr>
        <w:t>IDT</w:t>
      </w:r>
      <w:r w:rsidR="002227E9">
        <w:rPr>
          <w:sz w:val="26"/>
          <w:szCs w:val="26"/>
        </w:rPr>
        <w:t xml:space="preserve"> violated the Commission’s Regulations regarding telemarketing and bill format, </w:t>
      </w:r>
      <w:r w:rsidR="00C61779">
        <w:rPr>
          <w:sz w:val="26"/>
          <w:szCs w:val="26"/>
        </w:rPr>
        <w:t xml:space="preserve">and thus </w:t>
      </w:r>
      <w:r w:rsidR="006D4294">
        <w:rPr>
          <w:sz w:val="26"/>
          <w:szCs w:val="26"/>
        </w:rPr>
        <w:t>warrant</w:t>
      </w:r>
      <w:r w:rsidR="008F6BC5">
        <w:rPr>
          <w:sz w:val="26"/>
          <w:szCs w:val="26"/>
        </w:rPr>
        <w:t>ed</w:t>
      </w:r>
      <w:r w:rsidR="006D4294">
        <w:rPr>
          <w:sz w:val="26"/>
          <w:szCs w:val="26"/>
        </w:rPr>
        <w:t xml:space="preserve"> a civil penalty. The ALJ further found that the Complainant sustained his burden of proving that his billed prices were not consistent with marketed prices, warranting a refund of the amount overbilled.  I.D. at</w:t>
      </w:r>
      <w:r w:rsidR="00C61779">
        <w:rPr>
          <w:sz w:val="26"/>
          <w:szCs w:val="26"/>
        </w:rPr>
        <w:t> </w:t>
      </w:r>
      <w:r w:rsidR="006D4294">
        <w:rPr>
          <w:sz w:val="26"/>
          <w:szCs w:val="26"/>
        </w:rPr>
        <w:t>1,</w:t>
      </w:r>
      <w:r w:rsidR="00C61779">
        <w:rPr>
          <w:sz w:val="26"/>
          <w:szCs w:val="26"/>
        </w:rPr>
        <w:t> </w:t>
      </w:r>
      <w:r w:rsidR="006D4294">
        <w:rPr>
          <w:sz w:val="26"/>
          <w:szCs w:val="26"/>
        </w:rPr>
        <w:t>3.</w:t>
      </w:r>
    </w:p>
    <w:p w:rsidR="003F24E3" w:rsidRDefault="003F24E3" w:rsidP="005D7857">
      <w:pPr>
        <w:spacing w:line="360" w:lineRule="auto"/>
        <w:rPr>
          <w:sz w:val="26"/>
          <w:szCs w:val="26"/>
        </w:rPr>
      </w:pPr>
    </w:p>
    <w:p w:rsidR="00B0023A" w:rsidRDefault="003F24E3" w:rsidP="003F24E3">
      <w:pPr>
        <w:tabs>
          <w:tab w:val="left" w:pos="1440"/>
        </w:tabs>
        <w:spacing w:line="360" w:lineRule="auto"/>
        <w:ind w:firstLine="720"/>
        <w:rPr>
          <w:sz w:val="26"/>
          <w:szCs w:val="26"/>
        </w:rPr>
      </w:pPr>
      <w:r>
        <w:rPr>
          <w:sz w:val="26"/>
          <w:szCs w:val="26"/>
        </w:rPr>
        <w:tab/>
      </w:r>
      <w:r w:rsidR="00B6106F">
        <w:rPr>
          <w:sz w:val="26"/>
          <w:szCs w:val="26"/>
        </w:rPr>
        <w:t>The ALJ reviewed the pertinent statutory and regulatory provisions applicable to EGS</w:t>
      </w:r>
      <w:r w:rsidR="008F6BC5">
        <w:rPr>
          <w:sz w:val="26"/>
          <w:szCs w:val="26"/>
        </w:rPr>
        <w:t>s</w:t>
      </w:r>
      <w:r w:rsidR="003A7E75">
        <w:rPr>
          <w:sz w:val="26"/>
          <w:szCs w:val="26"/>
        </w:rPr>
        <w:t>, including the requirements for bill format and disclosure statements</w:t>
      </w:r>
      <w:r w:rsidR="007031BF">
        <w:rPr>
          <w:sz w:val="26"/>
          <w:szCs w:val="26"/>
        </w:rPr>
        <w:t>, as well as the</w:t>
      </w:r>
      <w:r w:rsidR="003A7E75">
        <w:rPr>
          <w:sz w:val="26"/>
          <w:szCs w:val="26"/>
        </w:rPr>
        <w:t xml:space="preserve"> standards of conduct and disclosure of licensees, inc</w:t>
      </w:r>
      <w:r w:rsidR="007031BF">
        <w:rPr>
          <w:sz w:val="26"/>
          <w:szCs w:val="26"/>
        </w:rPr>
        <w:t>l</w:t>
      </w:r>
      <w:r w:rsidR="003A7E75">
        <w:rPr>
          <w:sz w:val="26"/>
          <w:szCs w:val="26"/>
        </w:rPr>
        <w:t xml:space="preserve">uding </w:t>
      </w:r>
      <w:r w:rsidR="007031BF">
        <w:rPr>
          <w:sz w:val="26"/>
          <w:szCs w:val="26"/>
        </w:rPr>
        <w:t xml:space="preserve">in particular the Commission’s </w:t>
      </w:r>
      <w:r w:rsidR="008F6BC5">
        <w:rPr>
          <w:sz w:val="26"/>
          <w:szCs w:val="26"/>
        </w:rPr>
        <w:t>R</w:t>
      </w:r>
      <w:r w:rsidR="007031BF">
        <w:rPr>
          <w:sz w:val="26"/>
          <w:szCs w:val="26"/>
        </w:rPr>
        <w:t xml:space="preserve">egulation regarding telemarketing. </w:t>
      </w:r>
      <w:r w:rsidR="00B6106F">
        <w:rPr>
          <w:sz w:val="26"/>
          <w:szCs w:val="26"/>
        </w:rPr>
        <w:t xml:space="preserve"> </w:t>
      </w:r>
      <w:r w:rsidR="00B93967">
        <w:rPr>
          <w:sz w:val="26"/>
          <w:szCs w:val="26"/>
        </w:rPr>
        <w:t xml:space="preserve">The ALJ also noted that </w:t>
      </w:r>
      <w:r w:rsidR="004F0820">
        <w:rPr>
          <w:sz w:val="26"/>
          <w:szCs w:val="26"/>
        </w:rPr>
        <w:t>the C</w:t>
      </w:r>
      <w:r w:rsidR="007031BF">
        <w:rPr>
          <w:sz w:val="26"/>
          <w:szCs w:val="26"/>
        </w:rPr>
        <w:t>ommission’</w:t>
      </w:r>
      <w:r w:rsidR="003A0A8E">
        <w:rPr>
          <w:sz w:val="26"/>
          <w:szCs w:val="26"/>
        </w:rPr>
        <w:t>s R</w:t>
      </w:r>
      <w:r w:rsidR="007031BF">
        <w:rPr>
          <w:sz w:val="26"/>
          <w:szCs w:val="26"/>
        </w:rPr>
        <w:t>egulation</w:t>
      </w:r>
      <w:r w:rsidR="004F0820">
        <w:rPr>
          <w:sz w:val="26"/>
          <w:szCs w:val="26"/>
        </w:rPr>
        <w:t xml:space="preserve"> at</w:t>
      </w:r>
      <w:r w:rsidR="007031BF">
        <w:rPr>
          <w:sz w:val="26"/>
          <w:szCs w:val="26"/>
        </w:rPr>
        <w:t xml:space="preserve"> 52 Pa. Code § 111.10(a)(3) requires a supplier and its agents to comply with the federal Telemarketing and Consumer Fraud and Abuse Prevention Act and related federal regulations</w:t>
      </w:r>
      <w:r w:rsidR="00B93967">
        <w:rPr>
          <w:sz w:val="26"/>
          <w:szCs w:val="26"/>
        </w:rPr>
        <w:t xml:space="preserve">.  Citing specifically </w:t>
      </w:r>
      <w:r w:rsidR="007031BF">
        <w:rPr>
          <w:sz w:val="26"/>
          <w:szCs w:val="26"/>
        </w:rPr>
        <w:t>Section</w:t>
      </w:r>
      <w:r w:rsidR="00B93967">
        <w:rPr>
          <w:sz w:val="26"/>
          <w:szCs w:val="26"/>
        </w:rPr>
        <w:t>s</w:t>
      </w:r>
      <w:r w:rsidR="007031BF">
        <w:rPr>
          <w:sz w:val="26"/>
          <w:szCs w:val="26"/>
        </w:rPr>
        <w:t xml:space="preserve"> </w:t>
      </w:r>
      <w:r w:rsidR="00FF64D2">
        <w:rPr>
          <w:sz w:val="26"/>
          <w:szCs w:val="26"/>
        </w:rPr>
        <w:t>310.3</w:t>
      </w:r>
      <w:r w:rsidR="00B93967">
        <w:rPr>
          <w:sz w:val="26"/>
          <w:szCs w:val="26"/>
        </w:rPr>
        <w:t>(a)(1)(i)-(ii) and 310.3(a)(2)</w:t>
      </w:r>
      <w:r w:rsidR="003A0A8E">
        <w:rPr>
          <w:sz w:val="26"/>
          <w:szCs w:val="26"/>
        </w:rPr>
        <w:t xml:space="preserve"> of the federal regulations, 16 C.F.R. §</w:t>
      </w:r>
      <w:r w:rsidR="003A0A8E" w:rsidRPr="003A0A8E">
        <w:rPr>
          <w:sz w:val="26"/>
          <w:szCs w:val="26"/>
        </w:rPr>
        <w:t>§</w:t>
      </w:r>
      <w:r w:rsidR="003A0A8E">
        <w:rPr>
          <w:sz w:val="26"/>
          <w:szCs w:val="26"/>
        </w:rPr>
        <w:t xml:space="preserve"> 310.3(a)(1)(i)-(ii) and 310.3(a)(2)</w:t>
      </w:r>
      <w:r w:rsidR="00B93967">
        <w:rPr>
          <w:sz w:val="26"/>
          <w:szCs w:val="26"/>
        </w:rPr>
        <w:t>, the ALJ concluded that agents are prohibited from failing to disclose truthfully in a clear and conspicuous manner the total costs and all limitations relating to purchases.  I.D. at 7-8, COL Nos. 6-8.</w:t>
      </w:r>
    </w:p>
    <w:p w:rsidR="003A0A8E" w:rsidRDefault="003A0A8E" w:rsidP="003F24E3">
      <w:pPr>
        <w:tabs>
          <w:tab w:val="left" w:pos="1440"/>
        </w:tabs>
        <w:spacing w:line="360" w:lineRule="auto"/>
        <w:ind w:firstLine="720"/>
        <w:rPr>
          <w:sz w:val="26"/>
          <w:szCs w:val="26"/>
        </w:rPr>
      </w:pPr>
    </w:p>
    <w:p w:rsidR="00C61779" w:rsidRDefault="003A0A8E" w:rsidP="003F24E3">
      <w:pPr>
        <w:tabs>
          <w:tab w:val="left" w:pos="1440"/>
        </w:tabs>
        <w:spacing w:line="360" w:lineRule="auto"/>
        <w:ind w:firstLine="720"/>
        <w:rPr>
          <w:sz w:val="26"/>
          <w:szCs w:val="26"/>
        </w:rPr>
      </w:pPr>
      <w:r>
        <w:rPr>
          <w:sz w:val="26"/>
          <w:szCs w:val="26"/>
        </w:rPr>
        <w:tab/>
        <w:t xml:space="preserve">Reviewing the </w:t>
      </w:r>
      <w:r w:rsidR="00305D58">
        <w:rPr>
          <w:sz w:val="26"/>
          <w:szCs w:val="26"/>
        </w:rPr>
        <w:t xml:space="preserve">testimony of the two witnesses, Mr. Kiback and IDT’s Mr. Stoughton, </w:t>
      </w:r>
      <w:r w:rsidR="00C61779">
        <w:rPr>
          <w:sz w:val="26"/>
          <w:szCs w:val="26"/>
        </w:rPr>
        <w:t>as well as</w:t>
      </w:r>
      <w:r w:rsidR="0014191F" w:rsidRPr="0014191F">
        <w:rPr>
          <w:sz w:val="26"/>
          <w:szCs w:val="26"/>
        </w:rPr>
        <w:t xml:space="preserve"> IDT’s exhibits</w:t>
      </w:r>
      <w:r w:rsidR="0014191F">
        <w:rPr>
          <w:sz w:val="26"/>
          <w:szCs w:val="26"/>
        </w:rPr>
        <w:t>, including the disclosure statement,</w:t>
      </w:r>
      <w:r w:rsidR="0014191F" w:rsidRPr="0014191F">
        <w:rPr>
          <w:sz w:val="26"/>
          <w:szCs w:val="26"/>
        </w:rPr>
        <w:t xml:space="preserve"> </w:t>
      </w:r>
      <w:r>
        <w:rPr>
          <w:sz w:val="26"/>
          <w:szCs w:val="26"/>
        </w:rPr>
        <w:t>the ALJ determined that Mr.</w:t>
      </w:r>
      <w:r w:rsidR="00305D58">
        <w:rPr>
          <w:sz w:val="26"/>
          <w:szCs w:val="26"/>
        </w:rPr>
        <w:t> </w:t>
      </w:r>
      <w:r>
        <w:rPr>
          <w:sz w:val="26"/>
          <w:szCs w:val="26"/>
        </w:rPr>
        <w:t xml:space="preserve">Kiback </w:t>
      </w:r>
      <w:r w:rsidR="0014191F">
        <w:rPr>
          <w:sz w:val="26"/>
          <w:szCs w:val="26"/>
        </w:rPr>
        <w:t>carried his burden of pro</w:t>
      </w:r>
      <w:r w:rsidR="00C61779">
        <w:rPr>
          <w:sz w:val="26"/>
          <w:szCs w:val="26"/>
        </w:rPr>
        <w:t xml:space="preserve">ving a violation of </w:t>
      </w:r>
      <w:r w:rsidR="008F6BC5">
        <w:rPr>
          <w:sz w:val="26"/>
          <w:szCs w:val="26"/>
        </w:rPr>
        <w:t xml:space="preserve">Sections 111.10 and 54.4 of </w:t>
      </w:r>
      <w:r w:rsidR="00C61779">
        <w:rPr>
          <w:sz w:val="26"/>
          <w:szCs w:val="26"/>
        </w:rPr>
        <w:t>the Commission’s Regulations</w:t>
      </w:r>
      <w:r w:rsidR="0014191F">
        <w:rPr>
          <w:sz w:val="26"/>
          <w:szCs w:val="26"/>
        </w:rPr>
        <w:t xml:space="preserve">.  According to the ALJ, Mr. Kiback </w:t>
      </w:r>
      <w:r>
        <w:rPr>
          <w:sz w:val="26"/>
          <w:szCs w:val="26"/>
        </w:rPr>
        <w:t xml:space="preserve">credibly testified that he enrolled with IDT in response to a telemarketer’s representation that he would be provided a rate 10% lower than PPL’s and that </w:t>
      </w:r>
      <w:r w:rsidR="00FF64D2">
        <w:rPr>
          <w:sz w:val="26"/>
          <w:szCs w:val="26"/>
        </w:rPr>
        <w:t>this representation</w:t>
      </w:r>
      <w:r>
        <w:rPr>
          <w:sz w:val="26"/>
          <w:szCs w:val="26"/>
        </w:rPr>
        <w:t xml:space="preserve"> was the only reason he agreed to switch to IDT</w:t>
      </w:r>
      <w:r w:rsidR="00305D58">
        <w:rPr>
          <w:sz w:val="26"/>
          <w:szCs w:val="26"/>
        </w:rPr>
        <w:t xml:space="preserve">.  </w:t>
      </w:r>
      <w:r w:rsidR="004F0820">
        <w:rPr>
          <w:sz w:val="26"/>
          <w:szCs w:val="26"/>
        </w:rPr>
        <w:t>B</w:t>
      </w:r>
      <w:r w:rsidR="00305D58">
        <w:rPr>
          <w:sz w:val="26"/>
          <w:szCs w:val="26"/>
        </w:rPr>
        <w:t>ased upon the telemarketer’s representations</w:t>
      </w:r>
      <w:r w:rsidR="004F0820">
        <w:rPr>
          <w:sz w:val="26"/>
          <w:szCs w:val="26"/>
        </w:rPr>
        <w:t>,</w:t>
      </w:r>
      <w:r w:rsidR="0014191F">
        <w:rPr>
          <w:sz w:val="26"/>
          <w:szCs w:val="26"/>
        </w:rPr>
        <w:t xml:space="preserve"> </w:t>
      </w:r>
      <w:r w:rsidR="0014191F" w:rsidRPr="0014191F">
        <w:rPr>
          <w:sz w:val="26"/>
          <w:szCs w:val="26"/>
        </w:rPr>
        <w:t>Mr.</w:t>
      </w:r>
      <w:r w:rsidR="00D05FC3">
        <w:rPr>
          <w:sz w:val="26"/>
          <w:szCs w:val="26"/>
        </w:rPr>
        <w:t> </w:t>
      </w:r>
      <w:r w:rsidR="0014191F" w:rsidRPr="0014191F">
        <w:rPr>
          <w:sz w:val="26"/>
          <w:szCs w:val="26"/>
        </w:rPr>
        <w:t xml:space="preserve">Kiback </w:t>
      </w:r>
      <w:r w:rsidR="00305D58">
        <w:rPr>
          <w:sz w:val="26"/>
          <w:szCs w:val="26"/>
        </w:rPr>
        <w:t xml:space="preserve">expected that his rate with IDT </w:t>
      </w:r>
      <w:r>
        <w:rPr>
          <w:sz w:val="26"/>
          <w:szCs w:val="26"/>
        </w:rPr>
        <w:t xml:space="preserve">would </w:t>
      </w:r>
      <w:r w:rsidR="00C61779">
        <w:rPr>
          <w:sz w:val="26"/>
          <w:szCs w:val="26"/>
        </w:rPr>
        <w:t>remain</w:t>
      </w:r>
      <w:r>
        <w:rPr>
          <w:sz w:val="26"/>
          <w:szCs w:val="26"/>
        </w:rPr>
        <w:t xml:space="preserve"> lower tha</w:t>
      </w:r>
      <w:r w:rsidR="00305D58">
        <w:rPr>
          <w:sz w:val="26"/>
          <w:szCs w:val="26"/>
        </w:rPr>
        <w:t>n</w:t>
      </w:r>
      <w:r>
        <w:rPr>
          <w:sz w:val="26"/>
          <w:szCs w:val="26"/>
        </w:rPr>
        <w:t xml:space="preserve"> PPL’s</w:t>
      </w:r>
      <w:r w:rsidR="004F0820" w:rsidRPr="004F0820">
        <w:rPr>
          <w:sz w:val="26"/>
          <w:szCs w:val="26"/>
        </w:rPr>
        <w:t xml:space="preserve"> even though the rate increased and decreased</w:t>
      </w:r>
      <w:r>
        <w:rPr>
          <w:sz w:val="26"/>
          <w:szCs w:val="26"/>
        </w:rPr>
        <w:t>.  I.D.</w:t>
      </w:r>
      <w:r w:rsidR="00B2259A">
        <w:rPr>
          <w:sz w:val="26"/>
          <w:szCs w:val="26"/>
        </w:rPr>
        <w:t xml:space="preserve"> </w:t>
      </w:r>
      <w:r>
        <w:rPr>
          <w:sz w:val="26"/>
          <w:szCs w:val="26"/>
        </w:rPr>
        <w:t xml:space="preserve">at 8-9.  </w:t>
      </w:r>
      <w:r w:rsidR="0014191F">
        <w:rPr>
          <w:sz w:val="26"/>
          <w:szCs w:val="26"/>
        </w:rPr>
        <w:t xml:space="preserve">Although IDT witness Stoughton testified </w:t>
      </w:r>
      <w:r w:rsidR="0014191F">
        <w:rPr>
          <w:sz w:val="26"/>
          <w:szCs w:val="26"/>
        </w:rPr>
        <w:lastRenderedPageBreak/>
        <w:t>that agents are trained to be clear that rates are never guaranteed to realize savings beyond any promotional offer, the ALJ found that IDT provided no evidence to rebut Mr.</w:t>
      </w:r>
      <w:r w:rsidR="00C61779">
        <w:rPr>
          <w:sz w:val="26"/>
          <w:szCs w:val="26"/>
        </w:rPr>
        <w:t> </w:t>
      </w:r>
      <w:r w:rsidR="0014191F">
        <w:rPr>
          <w:sz w:val="26"/>
          <w:szCs w:val="26"/>
        </w:rPr>
        <w:t>Kiback’s testimony</w:t>
      </w:r>
      <w:r w:rsidR="00C61779">
        <w:rPr>
          <w:sz w:val="26"/>
          <w:szCs w:val="26"/>
        </w:rPr>
        <w:t xml:space="preserve"> supporting his </w:t>
      </w:r>
      <w:r w:rsidR="00D45752">
        <w:rPr>
          <w:sz w:val="26"/>
          <w:szCs w:val="26"/>
        </w:rPr>
        <w:t>expectation</w:t>
      </w:r>
      <w:r w:rsidR="00C61779">
        <w:rPr>
          <w:sz w:val="26"/>
          <w:szCs w:val="26"/>
        </w:rPr>
        <w:t xml:space="preserve"> </w:t>
      </w:r>
      <w:r w:rsidR="00B2259A">
        <w:rPr>
          <w:sz w:val="26"/>
          <w:szCs w:val="26"/>
        </w:rPr>
        <w:t xml:space="preserve">of continued savings over PPL’s rate </w:t>
      </w:r>
      <w:r w:rsidR="00C61779">
        <w:rPr>
          <w:sz w:val="26"/>
          <w:szCs w:val="26"/>
        </w:rPr>
        <w:t>based upon his conversations with the telemarketer</w:t>
      </w:r>
      <w:r w:rsidR="0014191F">
        <w:rPr>
          <w:sz w:val="26"/>
          <w:szCs w:val="26"/>
        </w:rPr>
        <w:t xml:space="preserve">.  </w:t>
      </w:r>
      <w:r w:rsidR="004F0820">
        <w:rPr>
          <w:sz w:val="26"/>
          <w:szCs w:val="26"/>
        </w:rPr>
        <w:t>I.D. at 10.</w:t>
      </w:r>
    </w:p>
    <w:p w:rsidR="00C61779" w:rsidRDefault="00C61779" w:rsidP="003F24E3">
      <w:pPr>
        <w:tabs>
          <w:tab w:val="left" w:pos="1440"/>
        </w:tabs>
        <w:spacing w:line="360" w:lineRule="auto"/>
        <w:ind w:firstLine="720"/>
        <w:rPr>
          <w:sz w:val="26"/>
          <w:szCs w:val="26"/>
        </w:rPr>
      </w:pPr>
    </w:p>
    <w:p w:rsidR="003A0A8E" w:rsidRDefault="00C61779" w:rsidP="003F24E3">
      <w:pPr>
        <w:tabs>
          <w:tab w:val="left" w:pos="1440"/>
        </w:tabs>
        <w:spacing w:line="360" w:lineRule="auto"/>
        <w:ind w:firstLine="720"/>
        <w:rPr>
          <w:sz w:val="26"/>
          <w:szCs w:val="26"/>
        </w:rPr>
      </w:pPr>
      <w:r>
        <w:rPr>
          <w:sz w:val="26"/>
          <w:szCs w:val="26"/>
        </w:rPr>
        <w:tab/>
        <w:t xml:space="preserve">IDT’s witness Stoughton testified that </w:t>
      </w:r>
      <w:r w:rsidR="0014191F">
        <w:rPr>
          <w:sz w:val="26"/>
          <w:szCs w:val="26"/>
        </w:rPr>
        <w:t>no recordings existed of the sales calls with Mr. Kiback</w:t>
      </w:r>
      <w:r>
        <w:rPr>
          <w:sz w:val="26"/>
          <w:szCs w:val="26"/>
        </w:rPr>
        <w:t xml:space="preserve"> and that he was not familiar with the content of those calls.  </w:t>
      </w:r>
      <w:r w:rsidR="0014191F">
        <w:rPr>
          <w:sz w:val="26"/>
          <w:szCs w:val="26"/>
        </w:rPr>
        <w:t xml:space="preserve">IDT presented neither the testimony of the responsible sales agent </w:t>
      </w:r>
      <w:r w:rsidR="00B2259A">
        <w:rPr>
          <w:sz w:val="26"/>
          <w:szCs w:val="26"/>
        </w:rPr>
        <w:t>nor</w:t>
      </w:r>
      <w:r w:rsidR="0014191F">
        <w:rPr>
          <w:sz w:val="26"/>
          <w:szCs w:val="26"/>
        </w:rPr>
        <w:t xml:space="preserve"> a copy of the script that was averred to have been used.  As the ALJ concluded, “Mr</w:t>
      </w:r>
      <w:r w:rsidR="00FF64D2">
        <w:rPr>
          <w:sz w:val="26"/>
          <w:szCs w:val="26"/>
        </w:rPr>
        <w:t>.</w:t>
      </w:r>
      <w:r w:rsidR="0014191F">
        <w:rPr>
          <w:sz w:val="26"/>
          <w:szCs w:val="26"/>
        </w:rPr>
        <w:t xml:space="preserve"> Kiback’s testimony is more credible when weighed against the paucity of evidence presented by IDT regarding the sales call.</w:t>
      </w:r>
      <w:r w:rsidR="00D45752">
        <w:rPr>
          <w:sz w:val="26"/>
          <w:szCs w:val="26"/>
        </w:rPr>
        <w:t>”</w:t>
      </w:r>
      <w:r w:rsidR="0014191F">
        <w:rPr>
          <w:sz w:val="26"/>
          <w:szCs w:val="26"/>
        </w:rPr>
        <w:t xml:space="preserve">  I.D. at 10.  Accordingly, b</w:t>
      </w:r>
      <w:r w:rsidR="003A0A8E">
        <w:rPr>
          <w:sz w:val="26"/>
          <w:szCs w:val="26"/>
        </w:rPr>
        <w:t xml:space="preserve">ecause </w:t>
      </w:r>
      <w:r w:rsidR="00305D58">
        <w:rPr>
          <w:sz w:val="26"/>
          <w:szCs w:val="26"/>
        </w:rPr>
        <w:t xml:space="preserve">Mr. Kiback’s rate exceeded PPL’s rate in </w:t>
      </w:r>
      <w:r w:rsidR="003A0A8E">
        <w:rPr>
          <w:sz w:val="26"/>
          <w:szCs w:val="26"/>
        </w:rPr>
        <w:t>the months of January and February 2014, the ALJ found that Mr.</w:t>
      </w:r>
      <w:r w:rsidR="00D45752">
        <w:rPr>
          <w:sz w:val="26"/>
          <w:szCs w:val="26"/>
        </w:rPr>
        <w:t> </w:t>
      </w:r>
      <w:r w:rsidR="003A0A8E">
        <w:rPr>
          <w:sz w:val="26"/>
          <w:szCs w:val="26"/>
        </w:rPr>
        <w:t xml:space="preserve">Kiback carried his burden of proving that IDT violated Section 111.10 of the Commission’s Regulations regarding telemarketing standards.  </w:t>
      </w:r>
      <w:r w:rsidR="00305D58">
        <w:rPr>
          <w:sz w:val="26"/>
          <w:szCs w:val="26"/>
        </w:rPr>
        <w:t>I.D. at 11.</w:t>
      </w:r>
    </w:p>
    <w:p w:rsidR="0014191F" w:rsidRDefault="0014191F" w:rsidP="003F24E3">
      <w:pPr>
        <w:tabs>
          <w:tab w:val="left" w:pos="1440"/>
        </w:tabs>
        <w:spacing w:line="360" w:lineRule="auto"/>
        <w:ind w:firstLine="720"/>
        <w:rPr>
          <w:sz w:val="26"/>
          <w:szCs w:val="26"/>
        </w:rPr>
      </w:pPr>
    </w:p>
    <w:p w:rsidR="00B45F44" w:rsidRDefault="0014191F" w:rsidP="003F24E3">
      <w:pPr>
        <w:tabs>
          <w:tab w:val="left" w:pos="1440"/>
        </w:tabs>
        <w:spacing w:line="360" w:lineRule="auto"/>
        <w:ind w:firstLine="720"/>
        <w:rPr>
          <w:sz w:val="26"/>
          <w:szCs w:val="26"/>
        </w:rPr>
      </w:pPr>
      <w:r>
        <w:rPr>
          <w:sz w:val="26"/>
          <w:szCs w:val="26"/>
        </w:rPr>
        <w:tab/>
        <w:t xml:space="preserve">Relying on </w:t>
      </w:r>
      <w:r w:rsidR="00C61779">
        <w:rPr>
          <w:i/>
          <w:sz w:val="26"/>
          <w:szCs w:val="26"/>
        </w:rPr>
        <w:t>Yaglidereliler Corporation v. Blue Pilot Energy</w:t>
      </w:r>
      <w:r w:rsidR="00C61779" w:rsidRPr="00FF64D2">
        <w:rPr>
          <w:i/>
          <w:sz w:val="26"/>
          <w:szCs w:val="26"/>
        </w:rPr>
        <w:t xml:space="preserve">, </w:t>
      </w:r>
      <w:r w:rsidR="00C61779" w:rsidRPr="00D05FC3">
        <w:rPr>
          <w:i/>
          <w:sz w:val="26"/>
          <w:szCs w:val="26"/>
        </w:rPr>
        <w:t>LLC,</w:t>
      </w:r>
      <w:r w:rsidR="00C61779">
        <w:rPr>
          <w:sz w:val="26"/>
          <w:szCs w:val="26"/>
        </w:rPr>
        <w:t xml:space="preserve"> Docket No. C-2014-2413732 (Order entered January 16, 2015) (</w:t>
      </w:r>
      <w:r w:rsidR="00C61779">
        <w:rPr>
          <w:i/>
          <w:sz w:val="26"/>
          <w:szCs w:val="26"/>
        </w:rPr>
        <w:t>Yaglidereliler</w:t>
      </w:r>
      <w:r w:rsidR="00C61779">
        <w:rPr>
          <w:sz w:val="26"/>
          <w:szCs w:val="26"/>
        </w:rPr>
        <w:t xml:space="preserve">), </w:t>
      </w:r>
      <w:r w:rsidR="003631E5">
        <w:rPr>
          <w:sz w:val="26"/>
          <w:szCs w:val="26"/>
        </w:rPr>
        <w:t xml:space="preserve">the ALJ concluded that “oral representations made to a consumer during the time of the sale are important.”  I.D. at 12.  </w:t>
      </w:r>
      <w:r w:rsidR="00B45F44">
        <w:rPr>
          <w:sz w:val="26"/>
          <w:szCs w:val="26"/>
        </w:rPr>
        <w:t>Discussing the evidence presented, the ALJ conducted the following analysis:</w:t>
      </w:r>
    </w:p>
    <w:p w:rsidR="00B45F44" w:rsidRDefault="00B45F44" w:rsidP="003F24E3">
      <w:pPr>
        <w:tabs>
          <w:tab w:val="left" w:pos="1440"/>
        </w:tabs>
        <w:spacing w:line="360" w:lineRule="auto"/>
        <w:ind w:firstLine="720"/>
        <w:rPr>
          <w:sz w:val="26"/>
          <w:szCs w:val="26"/>
        </w:rPr>
      </w:pPr>
    </w:p>
    <w:p w:rsidR="00B45F44" w:rsidRPr="00B45F44" w:rsidRDefault="00B45F44" w:rsidP="00B45F44">
      <w:pPr>
        <w:tabs>
          <w:tab w:val="left" w:pos="1440"/>
        </w:tabs>
        <w:ind w:left="1440" w:right="1440" w:firstLine="720"/>
        <w:rPr>
          <w:sz w:val="26"/>
          <w:szCs w:val="26"/>
        </w:rPr>
      </w:pPr>
      <w:r>
        <w:rPr>
          <w:sz w:val="26"/>
          <w:szCs w:val="26"/>
        </w:rPr>
        <w:tab/>
      </w:r>
      <w:r w:rsidRPr="00B45F44">
        <w:rPr>
          <w:sz w:val="26"/>
          <w:szCs w:val="26"/>
        </w:rPr>
        <w:t xml:space="preserve">In this case, IDT did not rebut Mr. Kiback’s testimony that he was told by a sales agent that he would receive a rate lower than PPLs because it did not provide any recording, or any other evidence, regarding that portion of the sales call.  In contrast, Mr. Kiback clearly stated that he would not have switched to IDT if he </w:t>
      </w:r>
      <w:r w:rsidR="00B2259A">
        <w:rPr>
          <w:sz w:val="26"/>
          <w:szCs w:val="26"/>
        </w:rPr>
        <w:t>w</w:t>
      </w:r>
      <w:r w:rsidR="00D33F3E">
        <w:rPr>
          <w:sz w:val="26"/>
          <w:szCs w:val="26"/>
        </w:rPr>
        <w:t>as</w:t>
      </w:r>
      <w:r w:rsidRPr="00B45F44">
        <w:rPr>
          <w:sz w:val="26"/>
          <w:szCs w:val="26"/>
        </w:rPr>
        <w:t xml:space="preserve"> not told by the sales agent that the rate would be less than PPL’s rate.  Mr.</w:t>
      </w:r>
      <w:r>
        <w:rPr>
          <w:sz w:val="26"/>
          <w:szCs w:val="26"/>
        </w:rPr>
        <w:t> </w:t>
      </w:r>
      <w:r w:rsidRPr="00B45F44">
        <w:rPr>
          <w:sz w:val="26"/>
          <w:szCs w:val="26"/>
        </w:rPr>
        <w:t xml:space="preserve">Kiback’s testimony regarding what he was told by the sales agent is credible.  The representations made by the sales agent failed to disclose truthfully in a clear and conspicuous manner the total cost to purchase electric generation service </w:t>
      </w:r>
      <w:r w:rsidRPr="00B45F44">
        <w:rPr>
          <w:sz w:val="26"/>
          <w:szCs w:val="26"/>
        </w:rPr>
        <w:lastRenderedPageBreak/>
        <w:t>from IDT or any material conditions to receive such service from IDT.  IDT witness Stoughton’s testimony that the Company trains its telemarketing agent to explain to customers that IDT’s prices are not or will not be guaranteed to be below the utility’s prices and provides a detailed script to explain its promotions does not sufficiently rebut Mr.</w:t>
      </w:r>
      <w:r>
        <w:rPr>
          <w:sz w:val="26"/>
          <w:szCs w:val="26"/>
        </w:rPr>
        <w:t> </w:t>
      </w:r>
      <w:r w:rsidRPr="00B45F44">
        <w:rPr>
          <w:sz w:val="26"/>
          <w:szCs w:val="26"/>
        </w:rPr>
        <w:t>Kiback’s testimony on this issue.  Nor is it sufficient to negate a violation of the Commission’s telemarketing regulations that Mr. Kiback was subsequently sent a disclosure statement and had a right to rescind the contract.  Tr. 40.  IDT has not provided any evidence to rebut Mr.</w:t>
      </w:r>
      <w:r>
        <w:rPr>
          <w:sz w:val="26"/>
          <w:szCs w:val="26"/>
        </w:rPr>
        <w:t> </w:t>
      </w:r>
      <w:r w:rsidRPr="00B45F44">
        <w:rPr>
          <w:sz w:val="26"/>
          <w:szCs w:val="26"/>
        </w:rPr>
        <w:t>Kiback’s testimony.  Therefore, substantial record evidence demonstrates that IDT violated Section 111.10(a)(3) of the Commission’s regulations.</w:t>
      </w:r>
    </w:p>
    <w:p w:rsidR="00B45F44" w:rsidRDefault="00B45F44" w:rsidP="003F24E3">
      <w:pPr>
        <w:tabs>
          <w:tab w:val="left" w:pos="1440"/>
        </w:tabs>
        <w:spacing w:line="360" w:lineRule="auto"/>
        <w:ind w:firstLine="720"/>
        <w:rPr>
          <w:sz w:val="26"/>
          <w:szCs w:val="26"/>
        </w:rPr>
      </w:pPr>
    </w:p>
    <w:p w:rsidR="00C03D40" w:rsidRDefault="00B45F44" w:rsidP="00B45F44">
      <w:pPr>
        <w:tabs>
          <w:tab w:val="left" w:pos="1440"/>
        </w:tabs>
        <w:spacing w:line="360" w:lineRule="auto"/>
        <w:rPr>
          <w:sz w:val="26"/>
          <w:szCs w:val="26"/>
        </w:rPr>
      </w:pPr>
      <w:r>
        <w:rPr>
          <w:sz w:val="26"/>
          <w:szCs w:val="26"/>
        </w:rPr>
        <w:t>I.D. at 12-13.</w:t>
      </w:r>
      <w:r w:rsidR="00C03D40">
        <w:rPr>
          <w:sz w:val="26"/>
          <w:szCs w:val="26"/>
        </w:rPr>
        <w:t xml:space="preserve">  The ALJ further found that </w:t>
      </w:r>
      <w:r w:rsidR="009F3276">
        <w:rPr>
          <w:sz w:val="26"/>
          <w:szCs w:val="26"/>
        </w:rPr>
        <w:t>an</w:t>
      </w:r>
      <w:r w:rsidR="00C03D40">
        <w:rPr>
          <w:sz w:val="26"/>
          <w:szCs w:val="26"/>
        </w:rPr>
        <w:t xml:space="preserve"> EGS’ bills must reflect both marketed prices and the prices agreed to as reflected in the disclosure statement in accordance with </w:t>
      </w:r>
      <w:r w:rsidR="00C03D40" w:rsidRPr="00C03D40">
        <w:rPr>
          <w:sz w:val="26"/>
          <w:szCs w:val="26"/>
        </w:rPr>
        <w:t>Section 54.4 of the Commission’s Regulations, 52 Pa. Code § 54.4</w:t>
      </w:r>
      <w:r w:rsidR="00C03D40">
        <w:rPr>
          <w:sz w:val="26"/>
          <w:szCs w:val="26"/>
        </w:rPr>
        <w:t xml:space="preserve">.  Because IDT’s rates for January and February 2014 were not lower than PPL’s as the sales agent </w:t>
      </w:r>
      <w:r w:rsidR="006A20F1">
        <w:rPr>
          <w:sz w:val="26"/>
          <w:szCs w:val="26"/>
        </w:rPr>
        <w:t>represented</w:t>
      </w:r>
      <w:r w:rsidR="00C03D40">
        <w:rPr>
          <w:sz w:val="26"/>
          <w:szCs w:val="26"/>
        </w:rPr>
        <w:t xml:space="preserve"> </w:t>
      </w:r>
      <w:r w:rsidR="006A20F1">
        <w:rPr>
          <w:sz w:val="26"/>
          <w:szCs w:val="26"/>
        </w:rPr>
        <w:t xml:space="preserve">to </w:t>
      </w:r>
      <w:r w:rsidR="00C03D40">
        <w:rPr>
          <w:sz w:val="26"/>
          <w:szCs w:val="26"/>
        </w:rPr>
        <w:t>Mr.</w:t>
      </w:r>
      <w:r w:rsidR="00D33F3E">
        <w:rPr>
          <w:sz w:val="26"/>
          <w:szCs w:val="26"/>
        </w:rPr>
        <w:t> </w:t>
      </w:r>
      <w:r w:rsidR="00C03D40">
        <w:rPr>
          <w:sz w:val="26"/>
          <w:szCs w:val="26"/>
        </w:rPr>
        <w:t>Kiback, the ALJ concluded that IDT violated Section 54.4.  Thus, the ALJ concluded, Mr. Kiback carried his burden of proving that IDT violated the Commission’s Regulations regarding telemarketing and bill format.  I.D. at 13.</w:t>
      </w:r>
    </w:p>
    <w:p w:rsidR="00C03D40" w:rsidRDefault="00C03D40" w:rsidP="00B45F44">
      <w:pPr>
        <w:tabs>
          <w:tab w:val="left" w:pos="1440"/>
        </w:tabs>
        <w:spacing w:line="360" w:lineRule="auto"/>
        <w:rPr>
          <w:sz w:val="26"/>
          <w:szCs w:val="26"/>
        </w:rPr>
      </w:pPr>
    </w:p>
    <w:p w:rsidR="00BD139C" w:rsidRDefault="00C03D40" w:rsidP="00B45F44">
      <w:pPr>
        <w:tabs>
          <w:tab w:val="left" w:pos="1440"/>
        </w:tabs>
        <w:spacing w:line="360" w:lineRule="auto"/>
        <w:rPr>
          <w:sz w:val="26"/>
          <w:szCs w:val="26"/>
        </w:rPr>
      </w:pPr>
      <w:r>
        <w:rPr>
          <w:sz w:val="26"/>
          <w:szCs w:val="26"/>
        </w:rPr>
        <w:tab/>
      </w:r>
      <w:r w:rsidR="004C09C9">
        <w:rPr>
          <w:sz w:val="26"/>
          <w:szCs w:val="26"/>
        </w:rPr>
        <w:t xml:space="preserve">Having found two </w:t>
      </w:r>
      <w:r>
        <w:rPr>
          <w:sz w:val="26"/>
          <w:szCs w:val="26"/>
        </w:rPr>
        <w:t>violations</w:t>
      </w:r>
      <w:r w:rsidR="004C09C9">
        <w:rPr>
          <w:sz w:val="26"/>
          <w:szCs w:val="26"/>
        </w:rPr>
        <w:t xml:space="preserve"> of Commission Regulations</w:t>
      </w:r>
      <w:r>
        <w:rPr>
          <w:sz w:val="26"/>
          <w:szCs w:val="26"/>
        </w:rPr>
        <w:t xml:space="preserve">, the ALJ </w:t>
      </w:r>
      <w:r w:rsidR="004C09C9">
        <w:rPr>
          <w:sz w:val="26"/>
          <w:szCs w:val="26"/>
        </w:rPr>
        <w:t>next</w:t>
      </w:r>
      <w:r>
        <w:rPr>
          <w:sz w:val="26"/>
          <w:szCs w:val="26"/>
        </w:rPr>
        <w:t xml:space="preserve"> reviewed the Commission’s policy statement regarding the imposition of civil penalties set forth at 52 Pa. Code § 69.1201(c).  Reviewing each of the ten enumerated factors, the ALJ</w:t>
      </w:r>
      <w:r w:rsidR="004C09C9">
        <w:rPr>
          <w:sz w:val="26"/>
          <w:szCs w:val="26"/>
        </w:rPr>
        <w:t xml:space="preserve"> concluded the following with respect to each: (1) the conduct was serious; (2) the consequences were less so in that they did not involve personal injury or property damage: (3) the conduct was intentional; (4) there was no evidence to demonstrate that IDT changed its practices to prevent similar occurrences; (5) the impact </w:t>
      </w:r>
      <w:r w:rsidR="009F3276">
        <w:rPr>
          <w:sz w:val="26"/>
          <w:szCs w:val="26"/>
        </w:rPr>
        <w:t xml:space="preserve">was </w:t>
      </w:r>
      <w:r w:rsidR="004C09C9">
        <w:rPr>
          <w:sz w:val="26"/>
          <w:szCs w:val="26"/>
        </w:rPr>
        <w:t xml:space="preserve">on only one customer but on two occasions; (6) there was no evidence to consider with respect to compliance history; (7) </w:t>
      </w:r>
      <w:r w:rsidR="00CF0604">
        <w:rPr>
          <w:sz w:val="26"/>
          <w:szCs w:val="26"/>
        </w:rPr>
        <w:t xml:space="preserve">the Respondent’s </w:t>
      </w:r>
      <w:r w:rsidR="004C09C9">
        <w:rPr>
          <w:sz w:val="26"/>
          <w:szCs w:val="26"/>
        </w:rPr>
        <w:t xml:space="preserve">cooperation with a Commission investigation </w:t>
      </w:r>
      <w:r w:rsidR="009F3276">
        <w:rPr>
          <w:sz w:val="26"/>
          <w:szCs w:val="26"/>
        </w:rPr>
        <w:t>was not applicable</w:t>
      </w:r>
      <w:r w:rsidR="004C09C9">
        <w:rPr>
          <w:sz w:val="26"/>
          <w:szCs w:val="26"/>
        </w:rPr>
        <w:t xml:space="preserve"> in this proceeding; (8) a higher penalty would deter future violations; </w:t>
      </w:r>
      <w:r w:rsidR="004C09C9">
        <w:rPr>
          <w:sz w:val="26"/>
          <w:szCs w:val="26"/>
        </w:rPr>
        <w:lastRenderedPageBreak/>
        <w:t xml:space="preserve">(9) a higher penalty was warranted because in a prior Commission decision the Commission found that oral representations to consumers are important; and (10) </w:t>
      </w:r>
      <w:r w:rsidR="00BD139C">
        <w:rPr>
          <w:sz w:val="26"/>
          <w:szCs w:val="26"/>
        </w:rPr>
        <w:t>the failure to present any recording of the sales call to refute the Complainant’s testimony warranted a higher penalty.  I.D. at 15-17.  In total, the ALJ determined that imposition of a $2,000 penalty, comprising a $1,000 penalty for the January 2014 violation and an identical penalty for the February</w:t>
      </w:r>
      <w:r w:rsidR="00D33F3E">
        <w:rPr>
          <w:sz w:val="26"/>
          <w:szCs w:val="26"/>
        </w:rPr>
        <w:t> </w:t>
      </w:r>
      <w:r w:rsidR="00BD139C">
        <w:rPr>
          <w:sz w:val="26"/>
          <w:szCs w:val="26"/>
        </w:rPr>
        <w:t xml:space="preserve">2014 violation, was appropriate.  </w:t>
      </w:r>
      <w:r w:rsidR="00BD139C">
        <w:rPr>
          <w:i/>
          <w:sz w:val="26"/>
          <w:szCs w:val="26"/>
        </w:rPr>
        <w:t>Id.</w:t>
      </w:r>
    </w:p>
    <w:p w:rsidR="00BD139C" w:rsidRDefault="00BD139C" w:rsidP="00B45F44">
      <w:pPr>
        <w:tabs>
          <w:tab w:val="left" w:pos="1440"/>
        </w:tabs>
        <w:spacing w:line="360" w:lineRule="auto"/>
        <w:rPr>
          <w:sz w:val="26"/>
          <w:szCs w:val="26"/>
        </w:rPr>
      </w:pPr>
    </w:p>
    <w:p w:rsidR="00B45F44" w:rsidRDefault="00BD139C" w:rsidP="00B45F44">
      <w:pPr>
        <w:tabs>
          <w:tab w:val="left" w:pos="1440"/>
        </w:tabs>
        <w:spacing w:line="360" w:lineRule="auto"/>
        <w:rPr>
          <w:sz w:val="26"/>
          <w:szCs w:val="26"/>
        </w:rPr>
      </w:pPr>
      <w:r>
        <w:rPr>
          <w:sz w:val="26"/>
          <w:szCs w:val="26"/>
        </w:rPr>
        <w:tab/>
        <w:t xml:space="preserve">Finally, in response to Mr. Kiback’s request for a refund, the ALJ considered the Commission’s Order in </w:t>
      </w:r>
      <w:r>
        <w:rPr>
          <w:i/>
          <w:sz w:val="26"/>
          <w:szCs w:val="26"/>
        </w:rPr>
        <w:t>Commonwealth of PA v. IDT Energy, Inc.</w:t>
      </w:r>
      <w:r>
        <w:rPr>
          <w:sz w:val="26"/>
          <w:szCs w:val="26"/>
        </w:rPr>
        <w:t>, Docket No. C-2014-2427657 (Order entered December 18, 2014) (</w:t>
      </w:r>
      <w:r>
        <w:rPr>
          <w:i/>
          <w:sz w:val="26"/>
          <w:szCs w:val="26"/>
        </w:rPr>
        <w:t xml:space="preserve">IDT </w:t>
      </w:r>
      <w:r w:rsidR="005C0844">
        <w:rPr>
          <w:i/>
          <w:sz w:val="26"/>
          <w:szCs w:val="26"/>
        </w:rPr>
        <w:t xml:space="preserve">December 2014 </w:t>
      </w:r>
      <w:r>
        <w:rPr>
          <w:i/>
          <w:sz w:val="26"/>
          <w:szCs w:val="26"/>
        </w:rPr>
        <w:t>Order</w:t>
      </w:r>
      <w:r>
        <w:rPr>
          <w:sz w:val="26"/>
          <w:szCs w:val="26"/>
        </w:rPr>
        <w:t xml:space="preserve">).  </w:t>
      </w:r>
      <w:r w:rsidR="00D33F3E">
        <w:rPr>
          <w:sz w:val="26"/>
          <w:szCs w:val="26"/>
        </w:rPr>
        <w:t>The Commission determined i</w:t>
      </w:r>
      <w:r>
        <w:rPr>
          <w:sz w:val="26"/>
          <w:szCs w:val="26"/>
        </w:rPr>
        <w:t>n that Order, in response to a Petition for Interlocutory Review of a Material Question</w:t>
      </w:r>
      <w:r w:rsidR="00D33F3E">
        <w:rPr>
          <w:sz w:val="26"/>
          <w:szCs w:val="26"/>
        </w:rPr>
        <w:t xml:space="preserve">, </w:t>
      </w:r>
      <w:r>
        <w:rPr>
          <w:sz w:val="26"/>
          <w:szCs w:val="26"/>
        </w:rPr>
        <w:t xml:space="preserve">that while it could not compel a refund under authority of Section 1312 of the Code addressing refunds by public utilities, the Commission did have </w:t>
      </w:r>
      <w:r w:rsidR="006A2B40">
        <w:rPr>
          <w:sz w:val="26"/>
          <w:szCs w:val="26"/>
        </w:rPr>
        <w:t>plenary authority under Section 501 of the Code to order an EGS to refund money or issue a credit for an overbill.  Finding that record evidence demonstrated that Mr. Kiback was overbilled for the months of January and February 2014 because IDT’s billed prices did not reflect its marketed prices, the ALJ directed IDT to provide Mr. Kiback a refund for the amounts overbilled in those months.  I.D. at 17</w:t>
      </w:r>
      <w:r w:rsidR="00D33F3E">
        <w:rPr>
          <w:sz w:val="26"/>
          <w:szCs w:val="26"/>
        </w:rPr>
        <w:noBreakHyphen/>
      </w:r>
      <w:r w:rsidR="006A2B40">
        <w:rPr>
          <w:sz w:val="26"/>
          <w:szCs w:val="26"/>
        </w:rPr>
        <w:t>18.</w:t>
      </w:r>
    </w:p>
    <w:p w:rsidR="00B45F44" w:rsidRDefault="00B45F44" w:rsidP="00B45F44">
      <w:pPr>
        <w:tabs>
          <w:tab w:val="left" w:pos="1440"/>
        </w:tabs>
        <w:spacing w:line="360" w:lineRule="auto"/>
        <w:rPr>
          <w:sz w:val="26"/>
          <w:szCs w:val="26"/>
        </w:rPr>
      </w:pPr>
    </w:p>
    <w:p w:rsidR="00452B3B" w:rsidRDefault="00452B3B" w:rsidP="002A5A92">
      <w:pPr>
        <w:spacing w:line="360" w:lineRule="auto"/>
        <w:rPr>
          <w:b/>
          <w:sz w:val="26"/>
          <w:szCs w:val="26"/>
        </w:rPr>
      </w:pPr>
      <w:r w:rsidRPr="00452B3B">
        <w:rPr>
          <w:b/>
          <w:sz w:val="26"/>
          <w:szCs w:val="26"/>
        </w:rPr>
        <w:t xml:space="preserve">The </w:t>
      </w:r>
      <w:r w:rsidR="006C0C15">
        <w:rPr>
          <w:b/>
          <w:sz w:val="26"/>
          <w:szCs w:val="26"/>
        </w:rPr>
        <w:t xml:space="preserve">Parties’ </w:t>
      </w:r>
      <w:r w:rsidRPr="00452B3B">
        <w:rPr>
          <w:b/>
          <w:sz w:val="26"/>
          <w:szCs w:val="26"/>
        </w:rPr>
        <w:t>Exceptions</w:t>
      </w:r>
      <w:r w:rsidR="00D31C7D">
        <w:rPr>
          <w:b/>
          <w:sz w:val="26"/>
          <w:szCs w:val="26"/>
        </w:rPr>
        <w:t xml:space="preserve"> and Replies</w:t>
      </w:r>
    </w:p>
    <w:p w:rsidR="00452B3B" w:rsidRDefault="00452B3B" w:rsidP="002A5A92">
      <w:pPr>
        <w:spacing w:line="360" w:lineRule="auto"/>
        <w:rPr>
          <w:b/>
          <w:sz w:val="26"/>
          <w:szCs w:val="26"/>
        </w:rPr>
      </w:pPr>
    </w:p>
    <w:p w:rsidR="00093F82" w:rsidRPr="00AD2369" w:rsidRDefault="00452B3B" w:rsidP="008C554B">
      <w:pPr>
        <w:spacing w:line="360" w:lineRule="auto"/>
        <w:rPr>
          <w:sz w:val="26"/>
          <w:szCs w:val="26"/>
        </w:rPr>
      </w:pPr>
      <w:r>
        <w:rPr>
          <w:sz w:val="26"/>
          <w:szCs w:val="26"/>
        </w:rPr>
        <w:tab/>
      </w:r>
      <w:r>
        <w:rPr>
          <w:sz w:val="26"/>
          <w:szCs w:val="26"/>
        </w:rPr>
        <w:tab/>
      </w:r>
      <w:r w:rsidR="0001668E">
        <w:rPr>
          <w:sz w:val="26"/>
          <w:szCs w:val="26"/>
        </w:rPr>
        <w:t xml:space="preserve">IDT </w:t>
      </w:r>
      <w:r w:rsidR="00A05CDC">
        <w:rPr>
          <w:sz w:val="26"/>
          <w:szCs w:val="26"/>
        </w:rPr>
        <w:t xml:space="preserve">filed three Exceptions (Exc.) </w:t>
      </w:r>
      <w:r w:rsidR="0001668E">
        <w:rPr>
          <w:sz w:val="26"/>
          <w:szCs w:val="26"/>
        </w:rPr>
        <w:t>challeng</w:t>
      </w:r>
      <w:r w:rsidR="00A05CDC">
        <w:rPr>
          <w:sz w:val="26"/>
          <w:szCs w:val="26"/>
        </w:rPr>
        <w:t>ing</w:t>
      </w:r>
      <w:r w:rsidR="0001668E">
        <w:rPr>
          <w:sz w:val="26"/>
          <w:szCs w:val="26"/>
        </w:rPr>
        <w:t xml:space="preserve"> the ALJ’s findings</w:t>
      </w:r>
      <w:r w:rsidR="008876A5">
        <w:rPr>
          <w:sz w:val="26"/>
          <w:szCs w:val="26"/>
        </w:rPr>
        <w:t xml:space="preserve"> and</w:t>
      </w:r>
      <w:r w:rsidR="0001668E">
        <w:rPr>
          <w:sz w:val="26"/>
          <w:szCs w:val="26"/>
        </w:rPr>
        <w:t xml:space="preserve"> claiming </w:t>
      </w:r>
      <w:r w:rsidR="008876A5">
        <w:rPr>
          <w:sz w:val="26"/>
          <w:szCs w:val="26"/>
        </w:rPr>
        <w:t xml:space="preserve">that </w:t>
      </w:r>
      <w:r w:rsidR="0001668E">
        <w:rPr>
          <w:sz w:val="26"/>
          <w:szCs w:val="26"/>
        </w:rPr>
        <w:t>the</w:t>
      </w:r>
      <w:r w:rsidR="007207FD">
        <w:rPr>
          <w:sz w:val="26"/>
          <w:szCs w:val="26"/>
        </w:rPr>
        <w:t xml:space="preserve"> decision contains </w:t>
      </w:r>
      <w:r w:rsidR="0001668E">
        <w:rPr>
          <w:sz w:val="26"/>
          <w:szCs w:val="26"/>
        </w:rPr>
        <w:t>several errors of law and lack</w:t>
      </w:r>
      <w:r w:rsidR="007207FD">
        <w:rPr>
          <w:sz w:val="26"/>
          <w:szCs w:val="26"/>
        </w:rPr>
        <w:t>s</w:t>
      </w:r>
      <w:r w:rsidR="0001668E">
        <w:rPr>
          <w:sz w:val="26"/>
          <w:szCs w:val="26"/>
        </w:rPr>
        <w:t xml:space="preserve"> substantial evidence.  IDT characterizes the ALJ’s central findings as based solely on “a vague and contradictory recollection of an oral sales call” by someone who only complained after the </w:t>
      </w:r>
      <w:r w:rsidR="007207FD">
        <w:rPr>
          <w:sz w:val="26"/>
          <w:szCs w:val="26"/>
        </w:rPr>
        <w:t xml:space="preserve">weather experiences of the </w:t>
      </w:r>
      <w:r w:rsidR="0001668E">
        <w:rPr>
          <w:sz w:val="26"/>
          <w:szCs w:val="26"/>
        </w:rPr>
        <w:t>polar vortex</w:t>
      </w:r>
      <w:r w:rsidR="00F4053C">
        <w:rPr>
          <w:sz w:val="26"/>
          <w:szCs w:val="26"/>
        </w:rPr>
        <w:t xml:space="preserve"> </w:t>
      </w:r>
      <w:r w:rsidR="007207FD">
        <w:rPr>
          <w:sz w:val="26"/>
          <w:szCs w:val="26"/>
        </w:rPr>
        <w:t xml:space="preserve">in early 2014 and </w:t>
      </w:r>
      <w:r w:rsidR="0001668E">
        <w:rPr>
          <w:sz w:val="26"/>
          <w:szCs w:val="26"/>
        </w:rPr>
        <w:t>thirty months after enrollment.  Exc. at</w:t>
      </w:r>
      <w:r w:rsidR="00EC65B8">
        <w:rPr>
          <w:sz w:val="26"/>
          <w:szCs w:val="26"/>
        </w:rPr>
        <w:t> </w:t>
      </w:r>
      <w:r w:rsidR="0001668E">
        <w:rPr>
          <w:sz w:val="26"/>
          <w:szCs w:val="26"/>
        </w:rPr>
        <w:t xml:space="preserve">1.  </w:t>
      </w:r>
      <w:r w:rsidR="007207FD">
        <w:rPr>
          <w:sz w:val="26"/>
          <w:szCs w:val="26"/>
        </w:rPr>
        <w:t xml:space="preserve">IDT also claims that its bills to the Complainant fully comported with its disclosure statement, and that the ALJ wrongly relied on the Complainant’s “nebulous and vaguely recollected ‘promise’ by a sales agent three years previously.”  </w:t>
      </w:r>
      <w:r w:rsidR="007207FD">
        <w:rPr>
          <w:sz w:val="26"/>
          <w:szCs w:val="26"/>
        </w:rPr>
        <w:lastRenderedPageBreak/>
        <w:t xml:space="preserve">Exc. at 2.  Specifically, IDT </w:t>
      </w:r>
      <w:r w:rsidR="00EC65B8">
        <w:rPr>
          <w:sz w:val="26"/>
          <w:szCs w:val="26"/>
        </w:rPr>
        <w:t xml:space="preserve">takes </w:t>
      </w:r>
      <w:r w:rsidR="00D33F3E">
        <w:rPr>
          <w:sz w:val="26"/>
          <w:szCs w:val="26"/>
        </w:rPr>
        <w:t>e</w:t>
      </w:r>
      <w:r w:rsidR="00EC65B8">
        <w:rPr>
          <w:sz w:val="26"/>
          <w:szCs w:val="26"/>
        </w:rPr>
        <w:t>xception</w:t>
      </w:r>
      <w:r w:rsidR="00D33F3E">
        <w:rPr>
          <w:sz w:val="26"/>
          <w:szCs w:val="26"/>
        </w:rPr>
        <w:t xml:space="preserve"> that</w:t>
      </w:r>
      <w:r w:rsidR="00A05CDC">
        <w:rPr>
          <w:sz w:val="26"/>
          <w:szCs w:val="26"/>
        </w:rPr>
        <w:t xml:space="preserve">: </w:t>
      </w:r>
      <w:r w:rsidR="008C554B">
        <w:rPr>
          <w:sz w:val="26"/>
          <w:szCs w:val="26"/>
        </w:rPr>
        <w:t xml:space="preserve">(1) </w:t>
      </w:r>
      <w:r w:rsidR="009F3276">
        <w:rPr>
          <w:sz w:val="26"/>
          <w:szCs w:val="26"/>
        </w:rPr>
        <w:t>t</w:t>
      </w:r>
      <w:r w:rsidR="008C554B">
        <w:rPr>
          <w:sz w:val="26"/>
          <w:szCs w:val="26"/>
        </w:rPr>
        <w:t xml:space="preserve">he findings are not supported by substantial evidence; (2) </w:t>
      </w:r>
      <w:r w:rsidR="00F12658">
        <w:rPr>
          <w:sz w:val="26"/>
          <w:szCs w:val="26"/>
        </w:rPr>
        <w:t xml:space="preserve">the </w:t>
      </w:r>
      <w:r w:rsidR="00A05CDC">
        <w:rPr>
          <w:sz w:val="26"/>
          <w:szCs w:val="26"/>
        </w:rPr>
        <w:t xml:space="preserve">Initial Decision conflicts with Commission policy and precedent; and (3) the facts of this case do not warrant finding a violation or imposing a civil penalty or refund. </w:t>
      </w:r>
      <w:r w:rsidR="00D33F3E">
        <w:rPr>
          <w:sz w:val="26"/>
          <w:szCs w:val="26"/>
        </w:rPr>
        <w:t xml:space="preserve"> </w:t>
      </w:r>
      <w:r w:rsidR="00A05CDC">
        <w:rPr>
          <w:sz w:val="26"/>
          <w:szCs w:val="26"/>
        </w:rPr>
        <w:t xml:space="preserve">Exc. at </w:t>
      </w:r>
      <w:r w:rsidR="00EC65B8">
        <w:rPr>
          <w:sz w:val="26"/>
          <w:szCs w:val="26"/>
        </w:rPr>
        <w:t>8, 17, and 23.</w:t>
      </w:r>
    </w:p>
    <w:p w:rsidR="007C0CEC" w:rsidRDefault="007C0CEC" w:rsidP="00B03854">
      <w:pPr>
        <w:spacing w:line="360" w:lineRule="auto"/>
        <w:rPr>
          <w:sz w:val="26"/>
          <w:szCs w:val="26"/>
        </w:rPr>
      </w:pPr>
    </w:p>
    <w:p w:rsidR="00876965" w:rsidRDefault="007C0CEC" w:rsidP="001E3FBF">
      <w:pPr>
        <w:spacing w:line="360" w:lineRule="auto"/>
        <w:rPr>
          <w:sz w:val="26"/>
          <w:szCs w:val="26"/>
        </w:rPr>
      </w:pPr>
      <w:r>
        <w:rPr>
          <w:sz w:val="26"/>
          <w:szCs w:val="26"/>
        </w:rPr>
        <w:tab/>
      </w:r>
      <w:r w:rsidR="008876A5">
        <w:rPr>
          <w:sz w:val="26"/>
          <w:szCs w:val="26"/>
        </w:rPr>
        <w:tab/>
      </w:r>
      <w:r w:rsidR="00EC65B8">
        <w:rPr>
          <w:sz w:val="26"/>
          <w:szCs w:val="26"/>
        </w:rPr>
        <w:t xml:space="preserve">Citing the Initial Decision at </w:t>
      </w:r>
      <w:r w:rsidR="00927529">
        <w:rPr>
          <w:sz w:val="26"/>
          <w:szCs w:val="26"/>
        </w:rPr>
        <w:t xml:space="preserve">10 and </w:t>
      </w:r>
      <w:r w:rsidR="00EC65B8">
        <w:rPr>
          <w:sz w:val="26"/>
          <w:szCs w:val="26"/>
        </w:rPr>
        <w:t>13</w:t>
      </w:r>
      <w:r w:rsidR="00927529">
        <w:rPr>
          <w:sz w:val="26"/>
          <w:szCs w:val="26"/>
        </w:rPr>
        <w:t>, F</w:t>
      </w:r>
      <w:r w:rsidR="006A20F1">
        <w:rPr>
          <w:sz w:val="26"/>
          <w:szCs w:val="26"/>
        </w:rPr>
        <w:t>OF</w:t>
      </w:r>
      <w:r w:rsidR="00927529">
        <w:rPr>
          <w:sz w:val="26"/>
          <w:szCs w:val="26"/>
        </w:rPr>
        <w:t xml:space="preserve"> Nos. 6 and 8, and </w:t>
      </w:r>
      <w:r w:rsidR="00EC65B8">
        <w:rPr>
          <w:sz w:val="26"/>
          <w:szCs w:val="26"/>
        </w:rPr>
        <w:t>C</w:t>
      </w:r>
      <w:r w:rsidR="006A20F1">
        <w:rPr>
          <w:sz w:val="26"/>
          <w:szCs w:val="26"/>
        </w:rPr>
        <w:t>O</w:t>
      </w:r>
      <w:r w:rsidR="00110301">
        <w:rPr>
          <w:sz w:val="26"/>
          <w:szCs w:val="26"/>
        </w:rPr>
        <w:t>L</w:t>
      </w:r>
      <w:r w:rsidR="00EC65B8">
        <w:rPr>
          <w:sz w:val="26"/>
          <w:szCs w:val="26"/>
        </w:rPr>
        <w:t xml:space="preserve"> Nos. 15-16,</w:t>
      </w:r>
      <w:r w:rsidR="009F3276">
        <w:rPr>
          <w:rStyle w:val="FootnoteReference"/>
        </w:rPr>
        <w:footnoteReference w:id="1"/>
      </w:r>
      <w:r w:rsidR="00EC65B8">
        <w:rPr>
          <w:sz w:val="26"/>
          <w:szCs w:val="26"/>
        </w:rPr>
        <w:t xml:space="preserve"> IDT </w:t>
      </w:r>
      <w:r w:rsidR="001377DE">
        <w:rPr>
          <w:sz w:val="26"/>
          <w:szCs w:val="26"/>
        </w:rPr>
        <w:t>first c</w:t>
      </w:r>
      <w:r w:rsidR="00EC65B8">
        <w:rPr>
          <w:sz w:val="26"/>
          <w:szCs w:val="26"/>
        </w:rPr>
        <w:t xml:space="preserve">hallenges </w:t>
      </w:r>
      <w:r w:rsidR="001377DE">
        <w:rPr>
          <w:sz w:val="26"/>
          <w:szCs w:val="26"/>
        </w:rPr>
        <w:t xml:space="preserve">the sufficiency of the evidence to support </w:t>
      </w:r>
      <w:r w:rsidR="00EC65B8">
        <w:rPr>
          <w:sz w:val="26"/>
          <w:szCs w:val="26"/>
        </w:rPr>
        <w:t xml:space="preserve">the ALJ’s finding that IDT violated the Commission’s Regulations by failing to truthfully disclose the total generation cost and by charging a price that differed from that marketed by its sales agent.  </w:t>
      </w:r>
      <w:r w:rsidR="00927529">
        <w:rPr>
          <w:sz w:val="26"/>
          <w:szCs w:val="26"/>
        </w:rPr>
        <w:t>According to IDT, t</w:t>
      </w:r>
      <w:r w:rsidR="00087E3B">
        <w:rPr>
          <w:sz w:val="26"/>
          <w:szCs w:val="26"/>
        </w:rPr>
        <w:t>hese violat</w:t>
      </w:r>
      <w:r w:rsidR="004D34E8">
        <w:rPr>
          <w:sz w:val="26"/>
          <w:szCs w:val="26"/>
        </w:rPr>
        <w:t>ions</w:t>
      </w:r>
      <w:r w:rsidR="00087E3B">
        <w:rPr>
          <w:sz w:val="26"/>
          <w:szCs w:val="26"/>
        </w:rPr>
        <w:t xml:space="preserve"> both stem from the </w:t>
      </w:r>
      <w:r w:rsidR="00110301">
        <w:rPr>
          <w:sz w:val="26"/>
          <w:szCs w:val="26"/>
        </w:rPr>
        <w:t xml:space="preserve">Complainant’s </w:t>
      </w:r>
      <w:r w:rsidR="00087E3B">
        <w:rPr>
          <w:sz w:val="26"/>
          <w:szCs w:val="26"/>
        </w:rPr>
        <w:t xml:space="preserve">allegation that IDT’s sales agent promised that its rate would be lower than PPL’s, an “oral promise” that IDT claims “the record reveals . . . is far from the truth.”  </w:t>
      </w:r>
      <w:r w:rsidR="009F3276">
        <w:rPr>
          <w:sz w:val="26"/>
          <w:szCs w:val="26"/>
        </w:rPr>
        <w:t>Exc. at</w:t>
      </w:r>
      <w:r w:rsidR="00D33F3E">
        <w:rPr>
          <w:sz w:val="26"/>
          <w:szCs w:val="26"/>
        </w:rPr>
        <w:t xml:space="preserve"> 8</w:t>
      </w:r>
      <w:r w:rsidR="00087E3B">
        <w:rPr>
          <w:i/>
          <w:sz w:val="26"/>
          <w:szCs w:val="26"/>
        </w:rPr>
        <w:t>.</w:t>
      </w:r>
      <w:r w:rsidR="00087E3B">
        <w:rPr>
          <w:sz w:val="26"/>
          <w:szCs w:val="26"/>
        </w:rPr>
        <w:t xml:space="preserve">  </w:t>
      </w:r>
      <w:r w:rsidR="00927529">
        <w:rPr>
          <w:sz w:val="26"/>
          <w:szCs w:val="26"/>
        </w:rPr>
        <w:t>As characterized by IDT, “[t]he sole basis for this crucial factual finding was the very vague and sparse testimony by Mr. Kiback about his recollection – three years after the fac</w:t>
      </w:r>
      <w:r w:rsidR="009005AB">
        <w:rPr>
          <w:sz w:val="26"/>
          <w:szCs w:val="26"/>
        </w:rPr>
        <w:t>t – of an</w:t>
      </w:r>
      <w:r w:rsidR="00927529">
        <w:rPr>
          <w:sz w:val="26"/>
          <w:szCs w:val="26"/>
        </w:rPr>
        <w:t xml:space="preserve"> oral sales discussion that ultimately led to his enrollment.</w:t>
      </w:r>
      <w:r w:rsidR="009005AB">
        <w:rPr>
          <w:sz w:val="26"/>
          <w:szCs w:val="26"/>
        </w:rPr>
        <w:t>”</w:t>
      </w:r>
      <w:r w:rsidR="00927529">
        <w:rPr>
          <w:sz w:val="26"/>
          <w:szCs w:val="26"/>
        </w:rPr>
        <w:t xml:space="preserve">  </w:t>
      </w:r>
      <w:r w:rsidR="00D33F3E">
        <w:rPr>
          <w:i/>
          <w:sz w:val="26"/>
          <w:szCs w:val="26"/>
        </w:rPr>
        <w:t>Id.</w:t>
      </w:r>
      <w:r w:rsidR="00927529" w:rsidRPr="00927529">
        <w:rPr>
          <w:sz w:val="26"/>
          <w:szCs w:val="26"/>
        </w:rPr>
        <w:t xml:space="preserve"> </w:t>
      </w:r>
      <w:r w:rsidR="00D33F3E">
        <w:rPr>
          <w:sz w:val="26"/>
          <w:szCs w:val="26"/>
        </w:rPr>
        <w:t xml:space="preserve"> </w:t>
      </w:r>
      <w:r w:rsidR="00876965">
        <w:rPr>
          <w:sz w:val="26"/>
          <w:szCs w:val="26"/>
        </w:rPr>
        <w:t>Addressing the ALJ’s finding that because IDT failed to present any evidence to rebut this testimony Mr.</w:t>
      </w:r>
      <w:r w:rsidR="000938C5">
        <w:rPr>
          <w:sz w:val="26"/>
          <w:szCs w:val="26"/>
        </w:rPr>
        <w:t> </w:t>
      </w:r>
      <w:r w:rsidR="00876965">
        <w:rPr>
          <w:sz w:val="26"/>
          <w:szCs w:val="26"/>
        </w:rPr>
        <w:t xml:space="preserve">Kiback carried his burden of proof, IDT avers that </w:t>
      </w:r>
      <w:r w:rsidR="00110301">
        <w:rPr>
          <w:sz w:val="26"/>
          <w:szCs w:val="26"/>
        </w:rPr>
        <w:t>the ALJ’s</w:t>
      </w:r>
      <w:r w:rsidR="00876965">
        <w:rPr>
          <w:sz w:val="26"/>
          <w:szCs w:val="26"/>
        </w:rPr>
        <w:t xml:space="preserve"> decision fails to consider factors that undermine Mr. Kiback’s testimony and warrant reversal of the Initial Decision.  </w:t>
      </w:r>
      <w:r w:rsidR="00876965">
        <w:rPr>
          <w:i/>
          <w:sz w:val="26"/>
          <w:szCs w:val="26"/>
        </w:rPr>
        <w:t xml:space="preserve">Id. </w:t>
      </w:r>
      <w:r w:rsidR="00876965">
        <w:rPr>
          <w:sz w:val="26"/>
          <w:szCs w:val="26"/>
        </w:rPr>
        <w:t>at 8-9.</w:t>
      </w:r>
    </w:p>
    <w:p w:rsidR="00876965" w:rsidRDefault="00876965" w:rsidP="001E3FBF">
      <w:pPr>
        <w:spacing w:line="360" w:lineRule="auto"/>
        <w:rPr>
          <w:sz w:val="26"/>
          <w:szCs w:val="26"/>
        </w:rPr>
      </w:pPr>
    </w:p>
    <w:p w:rsidR="00D55262" w:rsidRDefault="00D55262" w:rsidP="001E3FBF">
      <w:pPr>
        <w:spacing w:line="360" w:lineRule="auto"/>
        <w:rPr>
          <w:sz w:val="26"/>
          <w:szCs w:val="26"/>
        </w:rPr>
      </w:pPr>
      <w:r>
        <w:rPr>
          <w:sz w:val="26"/>
          <w:szCs w:val="26"/>
        </w:rPr>
        <w:tab/>
      </w:r>
      <w:r>
        <w:rPr>
          <w:sz w:val="26"/>
          <w:szCs w:val="26"/>
        </w:rPr>
        <w:tab/>
      </w:r>
      <w:r w:rsidR="0071020E">
        <w:rPr>
          <w:sz w:val="26"/>
          <w:szCs w:val="26"/>
        </w:rPr>
        <w:t>IDT argues</w:t>
      </w:r>
      <w:r>
        <w:rPr>
          <w:sz w:val="26"/>
          <w:szCs w:val="26"/>
        </w:rPr>
        <w:t xml:space="preserve"> that Mr. Kiback’s testimony is sparse, vague</w:t>
      </w:r>
      <w:r w:rsidR="00552F70">
        <w:rPr>
          <w:sz w:val="26"/>
          <w:szCs w:val="26"/>
        </w:rPr>
        <w:t>,</w:t>
      </w:r>
      <w:r>
        <w:rPr>
          <w:sz w:val="26"/>
          <w:szCs w:val="26"/>
        </w:rPr>
        <w:t xml:space="preserve"> and contradictory, and therefore is not sufficient to carry his burden of proof.  </w:t>
      </w:r>
      <w:r w:rsidR="003227DE">
        <w:rPr>
          <w:sz w:val="26"/>
          <w:szCs w:val="26"/>
        </w:rPr>
        <w:t xml:space="preserve">Noting </w:t>
      </w:r>
      <w:r w:rsidR="004D34E8" w:rsidRPr="004D34E8">
        <w:rPr>
          <w:sz w:val="26"/>
          <w:szCs w:val="26"/>
        </w:rPr>
        <w:t>that Mr.</w:t>
      </w:r>
      <w:r w:rsidR="004D34E8">
        <w:rPr>
          <w:sz w:val="26"/>
          <w:szCs w:val="26"/>
        </w:rPr>
        <w:t> </w:t>
      </w:r>
      <w:r w:rsidR="004D34E8" w:rsidRPr="004D34E8">
        <w:rPr>
          <w:sz w:val="26"/>
          <w:szCs w:val="26"/>
        </w:rPr>
        <w:t xml:space="preserve">Kiback testified that he received more than one telemarketing sales call, </w:t>
      </w:r>
      <w:r w:rsidR="003227DE">
        <w:rPr>
          <w:sz w:val="26"/>
          <w:szCs w:val="26"/>
        </w:rPr>
        <w:t xml:space="preserve">IDT suggests that </w:t>
      </w:r>
      <w:r w:rsidR="004D34E8" w:rsidRPr="004D34E8">
        <w:rPr>
          <w:sz w:val="26"/>
          <w:szCs w:val="26"/>
        </w:rPr>
        <w:t xml:space="preserve">whether </w:t>
      </w:r>
      <w:r w:rsidR="003227DE">
        <w:rPr>
          <w:sz w:val="26"/>
          <w:szCs w:val="26"/>
        </w:rPr>
        <w:t xml:space="preserve">all </w:t>
      </w:r>
      <w:r w:rsidR="004D34E8" w:rsidRPr="004D34E8">
        <w:rPr>
          <w:sz w:val="26"/>
          <w:szCs w:val="26"/>
        </w:rPr>
        <w:t>those calls were from IDT</w:t>
      </w:r>
      <w:r w:rsidR="003227DE">
        <w:rPr>
          <w:sz w:val="26"/>
          <w:szCs w:val="26"/>
        </w:rPr>
        <w:t xml:space="preserve"> is unclear</w:t>
      </w:r>
      <w:r w:rsidR="004D34E8" w:rsidRPr="004D34E8">
        <w:rPr>
          <w:sz w:val="26"/>
          <w:szCs w:val="26"/>
        </w:rPr>
        <w:t xml:space="preserve">.  </w:t>
      </w:r>
      <w:r w:rsidR="004D34E8" w:rsidRPr="004D34E8">
        <w:rPr>
          <w:i/>
          <w:sz w:val="26"/>
          <w:szCs w:val="26"/>
        </w:rPr>
        <w:t>Id</w:t>
      </w:r>
      <w:r w:rsidR="004D34E8" w:rsidRPr="004D34E8">
        <w:rPr>
          <w:sz w:val="26"/>
          <w:szCs w:val="26"/>
        </w:rPr>
        <w:t xml:space="preserve">. at 8 n.4.  </w:t>
      </w:r>
      <w:r>
        <w:rPr>
          <w:sz w:val="26"/>
          <w:szCs w:val="26"/>
        </w:rPr>
        <w:t>IDT claims that Mr.</w:t>
      </w:r>
      <w:r w:rsidR="003227DE">
        <w:rPr>
          <w:sz w:val="26"/>
          <w:szCs w:val="26"/>
        </w:rPr>
        <w:t> </w:t>
      </w:r>
      <w:r>
        <w:rPr>
          <w:sz w:val="26"/>
          <w:szCs w:val="26"/>
        </w:rPr>
        <w:t xml:space="preserve">Kiback only testified that IDT </w:t>
      </w:r>
      <w:r w:rsidRPr="00165AB4">
        <w:rPr>
          <w:sz w:val="26"/>
          <w:szCs w:val="26"/>
        </w:rPr>
        <w:t>“</w:t>
      </w:r>
      <w:r w:rsidRPr="00165AB4">
        <w:rPr>
          <w:i/>
          <w:sz w:val="26"/>
          <w:szCs w:val="26"/>
        </w:rPr>
        <w:t>could</w:t>
      </w:r>
      <w:r w:rsidRPr="00165AB4">
        <w:rPr>
          <w:sz w:val="26"/>
          <w:szCs w:val="26"/>
        </w:rPr>
        <w:t>”</w:t>
      </w:r>
      <w:r>
        <w:rPr>
          <w:b/>
          <w:sz w:val="26"/>
          <w:szCs w:val="26"/>
        </w:rPr>
        <w:t xml:space="preserve"> </w:t>
      </w:r>
      <w:r>
        <w:rPr>
          <w:sz w:val="26"/>
          <w:szCs w:val="26"/>
        </w:rPr>
        <w:t xml:space="preserve">be ten percent lower than PPL, </w:t>
      </w:r>
      <w:r w:rsidR="0071020E">
        <w:rPr>
          <w:sz w:val="26"/>
          <w:szCs w:val="26"/>
        </w:rPr>
        <w:t xml:space="preserve">although </w:t>
      </w:r>
      <w:r w:rsidR="0071020E">
        <w:rPr>
          <w:sz w:val="26"/>
          <w:szCs w:val="26"/>
        </w:rPr>
        <w:lastRenderedPageBreak/>
        <w:t>Mr.</w:t>
      </w:r>
      <w:r w:rsidR="007821F6">
        <w:rPr>
          <w:sz w:val="26"/>
          <w:szCs w:val="26"/>
        </w:rPr>
        <w:t> </w:t>
      </w:r>
      <w:r w:rsidR="0071020E">
        <w:rPr>
          <w:sz w:val="26"/>
          <w:szCs w:val="26"/>
        </w:rPr>
        <w:t xml:space="preserve">Kiback later testified that it </w:t>
      </w:r>
      <w:r w:rsidR="0071020E" w:rsidRPr="0071020E">
        <w:rPr>
          <w:i/>
          <w:sz w:val="26"/>
          <w:szCs w:val="26"/>
        </w:rPr>
        <w:t>“</w:t>
      </w:r>
      <w:r w:rsidRPr="0071020E">
        <w:rPr>
          <w:i/>
          <w:sz w:val="26"/>
          <w:szCs w:val="26"/>
        </w:rPr>
        <w:t>would</w:t>
      </w:r>
      <w:r w:rsidR="0071020E">
        <w:rPr>
          <w:i/>
          <w:sz w:val="26"/>
          <w:szCs w:val="26"/>
        </w:rPr>
        <w:t>”</w:t>
      </w:r>
      <w:r>
        <w:rPr>
          <w:sz w:val="26"/>
          <w:szCs w:val="26"/>
        </w:rPr>
        <w:t xml:space="preserve"> be, and that the rate just kept going up, whereas IDT proved that the rate </w:t>
      </w:r>
      <w:r w:rsidR="0071020E">
        <w:rPr>
          <w:sz w:val="26"/>
          <w:szCs w:val="26"/>
        </w:rPr>
        <w:t>both decreased and increased.</w:t>
      </w:r>
      <w:r>
        <w:rPr>
          <w:sz w:val="26"/>
          <w:szCs w:val="26"/>
        </w:rPr>
        <w:t xml:space="preserve">  </w:t>
      </w:r>
      <w:r w:rsidR="004D34E8">
        <w:rPr>
          <w:i/>
          <w:sz w:val="26"/>
          <w:szCs w:val="26"/>
        </w:rPr>
        <w:t>Id</w:t>
      </w:r>
      <w:r w:rsidR="009F3276">
        <w:rPr>
          <w:sz w:val="26"/>
          <w:szCs w:val="26"/>
        </w:rPr>
        <w:t>. at 9, 10</w:t>
      </w:r>
      <w:r w:rsidR="00CC65D0">
        <w:rPr>
          <w:sz w:val="26"/>
          <w:szCs w:val="26"/>
        </w:rPr>
        <w:t xml:space="preserve"> (emphasis in original)</w:t>
      </w:r>
      <w:r w:rsidR="009F3276">
        <w:rPr>
          <w:sz w:val="26"/>
          <w:szCs w:val="26"/>
        </w:rPr>
        <w:t xml:space="preserve">.  </w:t>
      </w:r>
      <w:r w:rsidR="0071020E">
        <w:rPr>
          <w:sz w:val="26"/>
          <w:szCs w:val="26"/>
        </w:rPr>
        <w:t>IDT further contends that this testimony is uncorroborated by any</w:t>
      </w:r>
      <w:r w:rsidR="009F3276">
        <w:rPr>
          <w:sz w:val="26"/>
          <w:szCs w:val="26"/>
        </w:rPr>
        <w:t>thing</w:t>
      </w:r>
      <w:r w:rsidR="0071020E">
        <w:rPr>
          <w:sz w:val="26"/>
          <w:szCs w:val="26"/>
        </w:rPr>
        <w:t xml:space="preserve"> </w:t>
      </w:r>
      <w:r w:rsidR="009F3276">
        <w:rPr>
          <w:sz w:val="26"/>
          <w:szCs w:val="26"/>
        </w:rPr>
        <w:t>more</w:t>
      </w:r>
      <w:r w:rsidR="0071020E">
        <w:rPr>
          <w:sz w:val="26"/>
          <w:szCs w:val="26"/>
        </w:rPr>
        <w:t xml:space="preserve"> specific such as the precise words the agent used, how many conversations occurred and when, whether the same agent was involved, or even the name or gender of the agent.  </w:t>
      </w:r>
      <w:r w:rsidR="004D34E8" w:rsidRPr="004D34E8">
        <w:rPr>
          <w:i/>
          <w:sz w:val="26"/>
          <w:szCs w:val="26"/>
        </w:rPr>
        <w:t>Id</w:t>
      </w:r>
      <w:r w:rsidR="0071020E">
        <w:rPr>
          <w:sz w:val="26"/>
          <w:szCs w:val="26"/>
        </w:rPr>
        <w:t xml:space="preserve">. at 9.  </w:t>
      </w:r>
      <w:r w:rsidR="003227DE">
        <w:rPr>
          <w:sz w:val="26"/>
          <w:szCs w:val="26"/>
        </w:rPr>
        <w:t>Questioning</w:t>
      </w:r>
      <w:r w:rsidR="0071020E">
        <w:rPr>
          <w:sz w:val="26"/>
          <w:szCs w:val="26"/>
        </w:rPr>
        <w:t xml:space="preserve"> the sufficiency of Mr. Kiback’s testimony</w:t>
      </w:r>
      <w:r w:rsidR="003227DE">
        <w:rPr>
          <w:sz w:val="26"/>
          <w:szCs w:val="26"/>
        </w:rPr>
        <w:t xml:space="preserve">, IDT criticizes it </w:t>
      </w:r>
      <w:r w:rsidR="0071020E">
        <w:rPr>
          <w:sz w:val="26"/>
          <w:szCs w:val="26"/>
        </w:rPr>
        <w:t xml:space="preserve">as unaccompanied by any notes or independent corroboration. </w:t>
      </w:r>
      <w:r w:rsidR="007821F6">
        <w:rPr>
          <w:sz w:val="26"/>
          <w:szCs w:val="26"/>
        </w:rPr>
        <w:t xml:space="preserve"> </w:t>
      </w:r>
      <w:r w:rsidR="004D34E8" w:rsidRPr="004D34E8">
        <w:rPr>
          <w:i/>
          <w:sz w:val="26"/>
          <w:szCs w:val="26"/>
        </w:rPr>
        <w:t>Id</w:t>
      </w:r>
      <w:r w:rsidR="007821F6">
        <w:rPr>
          <w:sz w:val="26"/>
          <w:szCs w:val="26"/>
        </w:rPr>
        <w:t xml:space="preserve">. at 9-10.  </w:t>
      </w:r>
      <w:r w:rsidR="003227DE">
        <w:rPr>
          <w:sz w:val="26"/>
          <w:szCs w:val="26"/>
        </w:rPr>
        <w:t>R</w:t>
      </w:r>
      <w:r w:rsidR="00C03A4C">
        <w:rPr>
          <w:sz w:val="26"/>
          <w:szCs w:val="26"/>
        </w:rPr>
        <w:t>e</w:t>
      </w:r>
      <w:r w:rsidR="003227DE">
        <w:rPr>
          <w:sz w:val="26"/>
          <w:szCs w:val="26"/>
        </w:rPr>
        <w:t xml:space="preserve">garding </w:t>
      </w:r>
      <w:r w:rsidR="007821F6">
        <w:rPr>
          <w:sz w:val="26"/>
          <w:szCs w:val="26"/>
        </w:rPr>
        <w:t xml:space="preserve">evidentiary standards applicable to </w:t>
      </w:r>
      <w:r w:rsidR="004C0F4E">
        <w:rPr>
          <w:sz w:val="26"/>
          <w:szCs w:val="26"/>
        </w:rPr>
        <w:t>a complaint proceeding</w:t>
      </w:r>
      <w:r w:rsidR="003227DE">
        <w:rPr>
          <w:sz w:val="26"/>
          <w:szCs w:val="26"/>
        </w:rPr>
        <w:t>, IDT</w:t>
      </w:r>
      <w:r w:rsidR="004C0F4E">
        <w:rPr>
          <w:sz w:val="26"/>
          <w:szCs w:val="26"/>
        </w:rPr>
        <w:t xml:space="preserve"> argu</w:t>
      </w:r>
      <w:r w:rsidR="00C03A4C">
        <w:rPr>
          <w:sz w:val="26"/>
          <w:szCs w:val="26"/>
        </w:rPr>
        <w:t>es</w:t>
      </w:r>
      <w:r w:rsidR="007821F6">
        <w:rPr>
          <w:sz w:val="26"/>
          <w:szCs w:val="26"/>
        </w:rPr>
        <w:t xml:space="preserve"> that bald assertions, personal opinion, or perceptions do not constitute evidence, </w:t>
      </w:r>
      <w:r w:rsidR="00C03A4C">
        <w:rPr>
          <w:sz w:val="26"/>
          <w:szCs w:val="26"/>
        </w:rPr>
        <w:t xml:space="preserve">citing, </w:t>
      </w:r>
      <w:r w:rsidR="00C03A4C">
        <w:rPr>
          <w:i/>
          <w:sz w:val="26"/>
          <w:szCs w:val="26"/>
        </w:rPr>
        <w:t xml:space="preserve">inter </w:t>
      </w:r>
      <w:r w:rsidR="00C03A4C" w:rsidRPr="00C03A4C">
        <w:rPr>
          <w:i/>
          <w:sz w:val="26"/>
          <w:szCs w:val="26"/>
        </w:rPr>
        <w:t>alia</w:t>
      </w:r>
      <w:r w:rsidR="00C03A4C">
        <w:rPr>
          <w:sz w:val="26"/>
          <w:szCs w:val="26"/>
        </w:rPr>
        <w:t xml:space="preserve">, </w:t>
      </w:r>
      <w:r w:rsidR="00C03A4C" w:rsidRPr="00C03A4C">
        <w:rPr>
          <w:i/>
          <w:sz w:val="26"/>
          <w:szCs w:val="26"/>
        </w:rPr>
        <w:t>McCauley v. Pennsylvania Electric Company</w:t>
      </w:r>
      <w:r w:rsidR="00C03A4C" w:rsidRPr="00C03A4C">
        <w:rPr>
          <w:sz w:val="26"/>
          <w:szCs w:val="26"/>
        </w:rPr>
        <w:t>, 2014 WL 1390779 (Pa.P.U.C.)</w:t>
      </w:r>
      <w:r w:rsidR="00C03A4C" w:rsidRPr="00C03A4C">
        <w:rPr>
          <w:i/>
          <w:sz w:val="26"/>
          <w:szCs w:val="26"/>
        </w:rPr>
        <w:t xml:space="preserve"> </w:t>
      </w:r>
      <w:r w:rsidR="00C03A4C">
        <w:rPr>
          <w:sz w:val="26"/>
          <w:szCs w:val="26"/>
        </w:rPr>
        <w:t>(</w:t>
      </w:r>
      <w:r w:rsidR="00C03A4C" w:rsidRPr="00C03A4C">
        <w:rPr>
          <w:i/>
          <w:sz w:val="26"/>
          <w:szCs w:val="26"/>
        </w:rPr>
        <w:t>McCauley</w:t>
      </w:r>
      <w:r w:rsidR="00C03A4C">
        <w:rPr>
          <w:sz w:val="26"/>
          <w:szCs w:val="26"/>
        </w:rPr>
        <w:t xml:space="preserve">) </w:t>
      </w:r>
      <w:r w:rsidR="00C03A4C" w:rsidRPr="00C03A4C">
        <w:rPr>
          <w:sz w:val="26"/>
          <w:szCs w:val="26"/>
        </w:rPr>
        <w:t xml:space="preserve">and </w:t>
      </w:r>
      <w:r w:rsidR="00C03A4C" w:rsidRPr="00C03A4C">
        <w:rPr>
          <w:i/>
          <w:sz w:val="26"/>
          <w:szCs w:val="26"/>
        </w:rPr>
        <w:t>Bennett v. UGI</w:t>
      </w:r>
      <w:r w:rsidR="00C03A4C" w:rsidRPr="00C03A4C">
        <w:rPr>
          <w:sz w:val="26"/>
          <w:szCs w:val="26"/>
        </w:rPr>
        <w:t>, Docket No. F-2013-2396611 (Final Order entered May</w:t>
      </w:r>
      <w:r w:rsidR="00552F70">
        <w:rPr>
          <w:sz w:val="26"/>
          <w:szCs w:val="26"/>
        </w:rPr>
        <w:t> </w:t>
      </w:r>
      <w:r w:rsidR="00C03A4C" w:rsidRPr="00C03A4C">
        <w:rPr>
          <w:sz w:val="26"/>
          <w:szCs w:val="26"/>
        </w:rPr>
        <w:t>29, 2014) (</w:t>
      </w:r>
      <w:r w:rsidR="00C03A4C" w:rsidRPr="00C03A4C">
        <w:rPr>
          <w:i/>
          <w:sz w:val="26"/>
          <w:szCs w:val="26"/>
        </w:rPr>
        <w:t>Bennett</w:t>
      </w:r>
      <w:r w:rsidR="00C03A4C" w:rsidRPr="00C03A4C">
        <w:rPr>
          <w:sz w:val="26"/>
          <w:szCs w:val="26"/>
        </w:rPr>
        <w:t>)</w:t>
      </w:r>
      <w:r w:rsidR="00C03A4C">
        <w:rPr>
          <w:sz w:val="26"/>
          <w:szCs w:val="26"/>
        </w:rPr>
        <w:t xml:space="preserve">. </w:t>
      </w:r>
      <w:r w:rsidR="00C03A4C" w:rsidRPr="00C03A4C">
        <w:rPr>
          <w:sz w:val="26"/>
          <w:szCs w:val="26"/>
        </w:rPr>
        <w:t xml:space="preserve"> </w:t>
      </w:r>
      <w:r w:rsidR="007821F6" w:rsidRPr="00C03A4C">
        <w:rPr>
          <w:sz w:val="26"/>
          <w:szCs w:val="26"/>
        </w:rPr>
        <w:t>IDT</w:t>
      </w:r>
      <w:r w:rsidR="007821F6">
        <w:rPr>
          <w:sz w:val="26"/>
          <w:szCs w:val="26"/>
        </w:rPr>
        <w:t xml:space="preserve"> concludes that Mr.</w:t>
      </w:r>
      <w:r w:rsidR="003227DE">
        <w:rPr>
          <w:sz w:val="26"/>
          <w:szCs w:val="26"/>
        </w:rPr>
        <w:t> </w:t>
      </w:r>
      <w:r w:rsidR="007821F6">
        <w:rPr>
          <w:sz w:val="26"/>
          <w:szCs w:val="26"/>
        </w:rPr>
        <w:t xml:space="preserve">Kiback’s testimony accurately describes the same information presented in IDT’s disclosure statement, namely that the price was variable and could increase or decrease, and </w:t>
      </w:r>
      <w:r w:rsidR="003227DE">
        <w:rPr>
          <w:sz w:val="26"/>
          <w:szCs w:val="26"/>
        </w:rPr>
        <w:t xml:space="preserve">that </w:t>
      </w:r>
      <w:r w:rsidR="007821F6">
        <w:rPr>
          <w:sz w:val="26"/>
          <w:szCs w:val="26"/>
        </w:rPr>
        <w:t xml:space="preserve">therefore </w:t>
      </w:r>
      <w:r w:rsidR="003227DE">
        <w:rPr>
          <w:sz w:val="26"/>
          <w:szCs w:val="26"/>
        </w:rPr>
        <w:t xml:space="preserve">this evidence </w:t>
      </w:r>
      <w:r w:rsidR="007821F6">
        <w:rPr>
          <w:sz w:val="26"/>
          <w:szCs w:val="26"/>
        </w:rPr>
        <w:t xml:space="preserve">is insufficient to support the ALJ’s finding of two violations.  </w:t>
      </w:r>
      <w:r w:rsidR="004D34E8" w:rsidRPr="004D34E8">
        <w:rPr>
          <w:i/>
          <w:sz w:val="26"/>
          <w:szCs w:val="26"/>
        </w:rPr>
        <w:t>Id</w:t>
      </w:r>
      <w:r w:rsidR="007821F6">
        <w:rPr>
          <w:sz w:val="26"/>
          <w:szCs w:val="26"/>
        </w:rPr>
        <w:t>. at 10-1</w:t>
      </w:r>
      <w:r w:rsidR="00C03A4C">
        <w:rPr>
          <w:sz w:val="26"/>
          <w:szCs w:val="26"/>
        </w:rPr>
        <w:t>2</w:t>
      </w:r>
      <w:r w:rsidR="007821F6">
        <w:rPr>
          <w:sz w:val="26"/>
          <w:szCs w:val="26"/>
        </w:rPr>
        <w:t>.</w:t>
      </w:r>
    </w:p>
    <w:p w:rsidR="006877D1" w:rsidRDefault="006877D1" w:rsidP="001E3FBF">
      <w:pPr>
        <w:spacing w:line="360" w:lineRule="auto"/>
        <w:rPr>
          <w:sz w:val="26"/>
          <w:szCs w:val="26"/>
        </w:rPr>
      </w:pPr>
    </w:p>
    <w:p w:rsidR="00BA7BB4" w:rsidRDefault="00065E95" w:rsidP="00065E95">
      <w:pPr>
        <w:tabs>
          <w:tab w:val="left" w:pos="1440"/>
        </w:tabs>
        <w:spacing w:line="360" w:lineRule="auto"/>
        <w:ind w:firstLine="720"/>
        <w:rPr>
          <w:sz w:val="26"/>
          <w:szCs w:val="26"/>
        </w:rPr>
      </w:pPr>
      <w:r>
        <w:rPr>
          <w:sz w:val="26"/>
          <w:szCs w:val="26"/>
        </w:rPr>
        <w:tab/>
      </w:r>
      <w:r w:rsidR="004C0F4E">
        <w:rPr>
          <w:sz w:val="26"/>
          <w:szCs w:val="26"/>
        </w:rPr>
        <w:t xml:space="preserve">IDT also contends that the ALJ relied heavily on </w:t>
      </w:r>
      <w:r>
        <w:rPr>
          <w:i/>
          <w:sz w:val="26"/>
          <w:szCs w:val="26"/>
        </w:rPr>
        <w:t>Yaglidereliler</w:t>
      </w:r>
      <w:r>
        <w:rPr>
          <w:sz w:val="26"/>
          <w:szCs w:val="26"/>
        </w:rPr>
        <w:t xml:space="preserve"> to support the conclusion that Mr. Kiback’s allegations regarding the sales agent’s oral representations were sufficient </w:t>
      </w:r>
      <w:r w:rsidR="006A20F1">
        <w:rPr>
          <w:sz w:val="26"/>
          <w:szCs w:val="26"/>
        </w:rPr>
        <w:t xml:space="preserve">to sustain his burden of </w:t>
      </w:r>
      <w:r>
        <w:rPr>
          <w:sz w:val="26"/>
          <w:szCs w:val="26"/>
        </w:rPr>
        <w:t>proof</w:t>
      </w:r>
      <w:r w:rsidR="006A20F1">
        <w:rPr>
          <w:sz w:val="26"/>
          <w:szCs w:val="26"/>
        </w:rPr>
        <w:t xml:space="preserve">.  However, asserts IDT, </w:t>
      </w:r>
      <w:r>
        <w:rPr>
          <w:i/>
          <w:sz w:val="26"/>
          <w:szCs w:val="26"/>
        </w:rPr>
        <w:t xml:space="preserve">Yaglidereliler </w:t>
      </w:r>
      <w:r>
        <w:rPr>
          <w:sz w:val="26"/>
          <w:szCs w:val="26"/>
        </w:rPr>
        <w:t>involved summary judgment where the standard of proof is different.  Exc. at 12-13.</w:t>
      </w:r>
    </w:p>
    <w:p w:rsidR="008876A5" w:rsidRDefault="008876A5" w:rsidP="00065E95">
      <w:pPr>
        <w:tabs>
          <w:tab w:val="left" w:pos="1440"/>
        </w:tabs>
        <w:spacing w:line="360" w:lineRule="auto"/>
        <w:ind w:firstLine="720"/>
        <w:rPr>
          <w:sz w:val="26"/>
          <w:szCs w:val="26"/>
        </w:rPr>
      </w:pPr>
    </w:p>
    <w:p w:rsidR="001377DE" w:rsidRDefault="008876A5" w:rsidP="00721551">
      <w:pPr>
        <w:tabs>
          <w:tab w:val="left" w:pos="1440"/>
        </w:tabs>
        <w:spacing w:line="360" w:lineRule="auto"/>
        <w:ind w:firstLine="720"/>
        <w:rPr>
          <w:sz w:val="26"/>
          <w:szCs w:val="26"/>
        </w:rPr>
      </w:pPr>
      <w:r>
        <w:rPr>
          <w:sz w:val="26"/>
          <w:szCs w:val="26"/>
        </w:rPr>
        <w:tab/>
        <w:t>IDT challenges the credibility of the Complainant’s testimony on the bas</w:t>
      </w:r>
      <w:r w:rsidR="002E5DE4">
        <w:rPr>
          <w:sz w:val="26"/>
          <w:szCs w:val="26"/>
        </w:rPr>
        <w:t>es of timeliness of his Complaint and inconsistencies in his testimony. IDT asserts t</w:t>
      </w:r>
      <w:r>
        <w:rPr>
          <w:sz w:val="26"/>
          <w:szCs w:val="26"/>
        </w:rPr>
        <w:t xml:space="preserve">hat </w:t>
      </w:r>
      <w:r w:rsidR="002E5DE4">
        <w:rPr>
          <w:sz w:val="26"/>
          <w:szCs w:val="26"/>
        </w:rPr>
        <w:t>Mr.</w:t>
      </w:r>
      <w:r w:rsidR="00C03A4C">
        <w:rPr>
          <w:sz w:val="26"/>
          <w:szCs w:val="26"/>
        </w:rPr>
        <w:t> </w:t>
      </w:r>
      <w:r w:rsidR="002E5DE4">
        <w:rPr>
          <w:sz w:val="26"/>
          <w:szCs w:val="26"/>
        </w:rPr>
        <w:t xml:space="preserve">Kiback </w:t>
      </w:r>
      <w:r w:rsidR="00721551">
        <w:rPr>
          <w:sz w:val="26"/>
          <w:szCs w:val="26"/>
        </w:rPr>
        <w:t>enrolled with IDT thirty months before he filed the Complaint</w:t>
      </w:r>
      <w:r w:rsidR="002E5DE4">
        <w:rPr>
          <w:sz w:val="26"/>
          <w:szCs w:val="26"/>
        </w:rPr>
        <w:t xml:space="preserve"> and never</w:t>
      </w:r>
      <w:r w:rsidR="00721551">
        <w:rPr>
          <w:sz w:val="26"/>
          <w:szCs w:val="26"/>
        </w:rPr>
        <w:t xml:space="preserve"> complained to IDT even though his rate changed month-to-month, </w:t>
      </w:r>
      <w:r w:rsidR="00F00AA8">
        <w:rPr>
          <w:sz w:val="26"/>
          <w:szCs w:val="26"/>
        </w:rPr>
        <w:t xml:space="preserve">an </w:t>
      </w:r>
      <w:r w:rsidR="00721551">
        <w:rPr>
          <w:sz w:val="26"/>
          <w:szCs w:val="26"/>
        </w:rPr>
        <w:t xml:space="preserve">inconsistency </w:t>
      </w:r>
      <w:r w:rsidR="00F00AA8">
        <w:rPr>
          <w:sz w:val="26"/>
          <w:szCs w:val="26"/>
        </w:rPr>
        <w:t xml:space="preserve">IDT finds fatal to </w:t>
      </w:r>
      <w:r w:rsidR="00721551">
        <w:rPr>
          <w:sz w:val="26"/>
          <w:szCs w:val="26"/>
        </w:rPr>
        <w:t xml:space="preserve">the Complainant’s testimony. </w:t>
      </w:r>
      <w:r w:rsidR="005801B8">
        <w:rPr>
          <w:sz w:val="26"/>
          <w:szCs w:val="26"/>
        </w:rPr>
        <w:t xml:space="preserve"> </w:t>
      </w:r>
      <w:r w:rsidR="004D34E8" w:rsidRPr="004D34E8">
        <w:rPr>
          <w:i/>
          <w:sz w:val="26"/>
          <w:szCs w:val="26"/>
        </w:rPr>
        <w:t>Id</w:t>
      </w:r>
      <w:r w:rsidR="00721551">
        <w:rPr>
          <w:sz w:val="26"/>
          <w:szCs w:val="26"/>
        </w:rPr>
        <w:t xml:space="preserve">. at 13-14. </w:t>
      </w:r>
      <w:r w:rsidR="00F00AA8">
        <w:rPr>
          <w:sz w:val="26"/>
          <w:szCs w:val="26"/>
        </w:rPr>
        <w:t xml:space="preserve"> F</w:t>
      </w:r>
      <w:r w:rsidR="00721551">
        <w:rPr>
          <w:sz w:val="26"/>
          <w:szCs w:val="26"/>
        </w:rPr>
        <w:t xml:space="preserve">ocusing on the enrollment, IDT contends that the ALJ committed a critical error by failing to account for the fact that Mr. Kiback, the sole witness on whose testimony the finding of a violation rests, was not </w:t>
      </w:r>
      <w:r w:rsidR="00721551">
        <w:rPr>
          <w:sz w:val="26"/>
          <w:szCs w:val="26"/>
        </w:rPr>
        <w:lastRenderedPageBreak/>
        <w:t xml:space="preserve">the individual who completed the third party verification (TPV) in the enrollment process.  </w:t>
      </w:r>
      <w:r w:rsidR="004D34E8" w:rsidRPr="004D34E8">
        <w:rPr>
          <w:i/>
          <w:sz w:val="26"/>
          <w:szCs w:val="26"/>
        </w:rPr>
        <w:t>Id</w:t>
      </w:r>
      <w:r w:rsidR="00721551">
        <w:rPr>
          <w:sz w:val="26"/>
          <w:szCs w:val="26"/>
        </w:rPr>
        <w:t>. at 14.  This, contends IDT, “casts serious doubt on Mr.</w:t>
      </w:r>
      <w:r w:rsidR="00F00AA8">
        <w:rPr>
          <w:sz w:val="26"/>
          <w:szCs w:val="26"/>
        </w:rPr>
        <w:t> </w:t>
      </w:r>
      <w:r w:rsidR="00721551">
        <w:rPr>
          <w:sz w:val="26"/>
          <w:szCs w:val="26"/>
        </w:rPr>
        <w:t xml:space="preserve">Kiback’s testimony about the sales call, because it is unclear whether he in fact did participate in the sales call” and “cast[s] serious doubt on the reliability of his memory, the reasonableness of his beliefs about the sales offer, the accuracy of his testimony, and the timing, nature, and actual recipient of the oral sales representations that resulted in the enrollment.”  </w:t>
      </w:r>
      <w:r w:rsidR="00721551">
        <w:rPr>
          <w:i/>
          <w:sz w:val="26"/>
          <w:szCs w:val="26"/>
        </w:rPr>
        <w:t>Id.</w:t>
      </w:r>
      <w:r w:rsidR="00721551">
        <w:rPr>
          <w:sz w:val="26"/>
          <w:szCs w:val="26"/>
        </w:rPr>
        <w:t xml:space="preserve"> at 14-15.</w:t>
      </w:r>
      <w:r w:rsidR="00F00AA8">
        <w:rPr>
          <w:sz w:val="26"/>
          <w:szCs w:val="26"/>
        </w:rPr>
        <w:t xml:space="preserve">  IDT also cites to other alleged inconsistencies in Mr. Kiback’s testimony, for example initially testifying that the rates always increased </w:t>
      </w:r>
      <w:r w:rsidR="005801B8">
        <w:rPr>
          <w:sz w:val="26"/>
          <w:szCs w:val="26"/>
        </w:rPr>
        <w:t>but</w:t>
      </w:r>
      <w:r w:rsidR="00F00AA8">
        <w:rPr>
          <w:sz w:val="26"/>
          <w:szCs w:val="26"/>
        </w:rPr>
        <w:t xml:space="preserve"> then acknowledging that they both increased and decreased, and referencing “a mysterious second letter” only to have to have to retract that assertion.  </w:t>
      </w:r>
      <w:r w:rsidR="00F00AA8">
        <w:rPr>
          <w:i/>
          <w:sz w:val="26"/>
          <w:szCs w:val="26"/>
        </w:rPr>
        <w:t xml:space="preserve">Id. </w:t>
      </w:r>
      <w:r w:rsidR="00F00AA8">
        <w:rPr>
          <w:sz w:val="26"/>
          <w:szCs w:val="26"/>
        </w:rPr>
        <w:t xml:space="preserve">at 15.  Claiming that the ALJ chose to accept Mr. Kiback’s “bald and contradictory assertions” over a more fair reading of the evidence, IDT concludes that the ALJ failed to recognize “the uncertainty, vagueness, and gaps in Mr. Kiback’s testimony,” rendering an Initial Decision that is not supported by substantial evidence.  </w:t>
      </w:r>
      <w:r w:rsidR="00F00AA8">
        <w:rPr>
          <w:i/>
          <w:sz w:val="26"/>
          <w:szCs w:val="26"/>
        </w:rPr>
        <w:t>Id.</w:t>
      </w:r>
      <w:r w:rsidR="00F00AA8">
        <w:rPr>
          <w:sz w:val="26"/>
          <w:szCs w:val="26"/>
        </w:rPr>
        <w:t xml:space="preserve"> at 16-17.</w:t>
      </w:r>
    </w:p>
    <w:p w:rsidR="009F3276" w:rsidRDefault="009F3276" w:rsidP="00721551">
      <w:pPr>
        <w:tabs>
          <w:tab w:val="left" w:pos="1440"/>
        </w:tabs>
        <w:spacing w:line="360" w:lineRule="auto"/>
        <w:ind w:firstLine="720"/>
        <w:rPr>
          <w:sz w:val="26"/>
          <w:szCs w:val="26"/>
        </w:rPr>
      </w:pPr>
    </w:p>
    <w:p w:rsidR="001377DE" w:rsidRDefault="001377DE" w:rsidP="00721551">
      <w:pPr>
        <w:tabs>
          <w:tab w:val="left" w:pos="1440"/>
        </w:tabs>
        <w:spacing w:line="360" w:lineRule="auto"/>
        <w:ind w:firstLine="720"/>
        <w:rPr>
          <w:sz w:val="26"/>
          <w:szCs w:val="26"/>
        </w:rPr>
      </w:pPr>
      <w:r>
        <w:rPr>
          <w:sz w:val="26"/>
          <w:szCs w:val="26"/>
        </w:rPr>
        <w:tab/>
        <w:t xml:space="preserve">In its second Exception, IDT asserts that the ALJ’s Initial Decision conflicts with Commission policy and precedent.  </w:t>
      </w:r>
      <w:r w:rsidR="00A65C63">
        <w:rPr>
          <w:sz w:val="26"/>
          <w:szCs w:val="26"/>
        </w:rPr>
        <w:t xml:space="preserve">Focusing on the enrollment process, IDT addresses the Commission’s requirements that obligate customers to timely raise concerns about enrollment and obligate EGSs to maintain records of enrollment, citing, </w:t>
      </w:r>
      <w:r w:rsidR="00A65C63" w:rsidRPr="00A65C63">
        <w:rPr>
          <w:i/>
          <w:sz w:val="26"/>
          <w:szCs w:val="26"/>
        </w:rPr>
        <w:t>inter alia</w:t>
      </w:r>
      <w:r w:rsidR="00A65C63">
        <w:rPr>
          <w:sz w:val="26"/>
          <w:szCs w:val="26"/>
        </w:rPr>
        <w:t>, 52 Pa. Code §§ 54.5(d), 57.177, and 111.11 and referencing a Commission rulemaking order regarding change of suppliers.</w:t>
      </w:r>
      <w:r w:rsidR="00A65C63">
        <w:rPr>
          <w:rStyle w:val="FootnoteReference"/>
        </w:rPr>
        <w:footnoteReference w:id="2"/>
      </w:r>
      <w:r w:rsidR="00A65C63">
        <w:rPr>
          <w:sz w:val="26"/>
          <w:szCs w:val="26"/>
        </w:rPr>
        <w:t xml:space="preserve">  Exc. at 17-18.  Commission rules, IDT contends, “reinforce the fundamental principle that the rates that consumers pay in the retail electric market are not governed by recollections of sales calls, but rather are governed by the terms of their contract with the EGS.”  </w:t>
      </w:r>
      <w:r w:rsidR="00A65C63">
        <w:rPr>
          <w:i/>
          <w:sz w:val="26"/>
          <w:szCs w:val="26"/>
        </w:rPr>
        <w:t>Id.</w:t>
      </w:r>
      <w:r w:rsidR="00A65C63">
        <w:rPr>
          <w:sz w:val="26"/>
          <w:szCs w:val="26"/>
        </w:rPr>
        <w:t xml:space="preserve"> at 18.  </w:t>
      </w:r>
      <w:r w:rsidR="00C03A4C">
        <w:rPr>
          <w:sz w:val="26"/>
          <w:szCs w:val="26"/>
        </w:rPr>
        <w:t>Citing</w:t>
      </w:r>
      <w:r w:rsidR="00676F22">
        <w:rPr>
          <w:sz w:val="26"/>
          <w:szCs w:val="26"/>
        </w:rPr>
        <w:t xml:space="preserve"> </w:t>
      </w:r>
      <w:r w:rsidR="00676F22">
        <w:rPr>
          <w:i/>
          <w:sz w:val="26"/>
          <w:szCs w:val="26"/>
        </w:rPr>
        <w:t>Dawes v. Pennsylvania Gas &amp; Electric</w:t>
      </w:r>
      <w:r w:rsidR="00676F22">
        <w:rPr>
          <w:sz w:val="26"/>
          <w:szCs w:val="26"/>
        </w:rPr>
        <w:t>, Docket No. F-2013-2361655 (Final Order entered February 27, 2014)</w:t>
      </w:r>
      <w:r w:rsidR="00FE4393">
        <w:rPr>
          <w:sz w:val="26"/>
          <w:szCs w:val="26"/>
        </w:rPr>
        <w:t xml:space="preserve"> (</w:t>
      </w:r>
      <w:r w:rsidR="00FE4393">
        <w:rPr>
          <w:i/>
          <w:sz w:val="26"/>
          <w:szCs w:val="26"/>
        </w:rPr>
        <w:t>Dawes</w:t>
      </w:r>
      <w:r w:rsidR="00FE4393">
        <w:rPr>
          <w:sz w:val="26"/>
          <w:szCs w:val="26"/>
        </w:rPr>
        <w:t>)</w:t>
      </w:r>
      <w:r w:rsidR="00C03A4C">
        <w:rPr>
          <w:sz w:val="26"/>
          <w:szCs w:val="26"/>
        </w:rPr>
        <w:t xml:space="preserve"> and </w:t>
      </w:r>
      <w:r w:rsidR="00C03A4C" w:rsidRPr="00C03A4C">
        <w:rPr>
          <w:i/>
          <w:sz w:val="26"/>
          <w:szCs w:val="26"/>
        </w:rPr>
        <w:t>Hoke v</w:t>
      </w:r>
      <w:r w:rsidR="00C03A4C">
        <w:rPr>
          <w:i/>
          <w:sz w:val="26"/>
          <w:szCs w:val="26"/>
        </w:rPr>
        <w:t>.</w:t>
      </w:r>
      <w:r w:rsidR="00C03A4C" w:rsidRPr="00C03A4C">
        <w:rPr>
          <w:i/>
          <w:sz w:val="26"/>
          <w:szCs w:val="26"/>
        </w:rPr>
        <w:t xml:space="preserve"> Ambit Northeast, LLC d/b/a Ambit Energy, </w:t>
      </w:r>
      <w:r w:rsidR="00C03A4C" w:rsidRPr="00C03A4C">
        <w:rPr>
          <w:sz w:val="26"/>
          <w:szCs w:val="26"/>
        </w:rPr>
        <w:lastRenderedPageBreak/>
        <w:t>Docket No. C-2013-2357863 (Final Order entered January 16, 2014)</w:t>
      </w:r>
      <w:r w:rsidR="00C03A4C" w:rsidRPr="00C03A4C">
        <w:rPr>
          <w:i/>
          <w:sz w:val="26"/>
          <w:szCs w:val="26"/>
        </w:rPr>
        <w:t xml:space="preserve"> </w:t>
      </w:r>
      <w:r w:rsidR="00C03A4C" w:rsidRPr="00C03A4C">
        <w:rPr>
          <w:sz w:val="26"/>
          <w:szCs w:val="26"/>
        </w:rPr>
        <w:t>(</w:t>
      </w:r>
      <w:r w:rsidR="00C03A4C" w:rsidRPr="00C03A4C">
        <w:rPr>
          <w:i/>
          <w:sz w:val="26"/>
          <w:szCs w:val="26"/>
        </w:rPr>
        <w:t>Hoke</w:t>
      </w:r>
      <w:r w:rsidR="00C03A4C" w:rsidRPr="00C03A4C">
        <w:rPr>
          <w:sz w:val="26"/>
          <w:szCs w:val="26"/>
        </w:rPr>
        <w:t>)</w:t>
      </w:r>
      <w:r w:rsidR="00676F22">
        <w:rPr>
          <w:sz w:val="26"/>
          <w:szCs w:val="26"/>
        </w:rPr>
        <w:t>, IDT asserts that the Commission has previously rejected</w:t>
      </w:r>
      <w:r w:rsidR="005801B8">
        <w:rPr>
          <w:sz w:val="26"/>
          <w:szCs w:val="26"/>
        </w:rPr>
        <w:t xml:space="preserve"> </w:t>
      </w:r>
      <w:r w:rsidR="00676F22">
        <w:rPr>
          <w:sz w:val="26"/>
          <w:szCs w:val="26"/>
        </w:rPr>
        <w:t xml:space="preserve">customer allegations that sales promises did not comply with disclosure promises even when a customer timely complained.  </w:t>
      </w:r>
      <w:r w:rsidR="00676F22">
        <w:rPr>
          <w:i/>
          <w:sz w:val="26"/>
          <w:szCs w:val="26"/>
        </w:rPr>
        <w:t xml:space="preserve">Id. </w:t>
      </w:r>
      <w:r w:rsidR="00676F22">
        <w:rPr>
          <w:sz w:val="26"/>
          <w:szCs w:val="26"/>
        </w:rPr>
        <w:t>at 19.</w:t>
      </w:r>
    </w:p>
    <w:p w:rsidR="00106BB1" w:rsidRDefault="00106BB1" w:rsidP="00721551">
      <w:pPr>
        <w:tabs>
          <w:tab w:val="left" w:pos="1440"/>
        </w:tabs>
        <w:spacing w:line="360" w:lineRule="auto"/>
        <w:ind w:firstLine="720"/>
        <w:rPr>
          <w:sz w:val="26"/>
          <w:szCs w:val="26"/>
        </w:rPr>
      </w:pPr>
    </w:p>
    <w:p w:rsidR="00106BB1" w:rsidRDefault="00106BB1" w:rsidP="00106BB1">
      <w:pPr>
        <w:tabs>
          <w:tab w:val="left" w:pos="1440"/>
        </w:tabs>
        <w:spacing w:line="360" w:lineRule="auto"/>
        <w:ind w:firstLine="720"/>
        <w:rPr>
          <w:sz w:val="26"/>
          <w:szCs w:val="26"/>
        </w:rPr>
      </w:pPr>
      <w:r>
        <w:rPr>
          <w:sz w:val="26"/>
          <w:szCs w:val="26"/>
        </w:rPr>
        <w:tab/>
        <w:t xml:space="preserve">IDT </w:t>
      </w:r>
      <w:r w:rsidR="00F974B1">
        <w:rPr>
          <w:sz w:val="26"/>
          <w:szCs w:val="26"/>
        </w:rPr>
        <w:t xml:space="preserve">continues its argument </w:t>
      </w:r>
      <w:r>
        <w:rPr>
          <w:sz w:val="26"/>
          <w:szCs w:val="26"/>
        </w:rPr>
        <w:t>as follows:</w:t>
      </w:r>
    </w:p>
    <w:p w:rsidR="00106BB1" w:rsidRDefault="00106BB1" w:rsidP="00106BB1">
      <w:pPr>
        <w:spacing w:line="360" w:lineRule="auto"/>
        <w:rPr>
          <w:sz w:val="26"/>
          <w:szCs w:val="26"/>
        </w:rPr>
      </w:pPr>
    </w:p>
    <w:p w:rsidR="00106BB1" w:rsidRDefault="00106BB1" w:rsidP="00106BB1">
      <w:pPr>
        <w:ind w:left="1440" w:right="1440" w:firstLine="1440"/>
        <w:rPr>
          <w:sz w:val="26"/>
          <w:szCs w:val="26"/>
        </w:rPr>
      </w:pPr>
      <w:r>
        <w:rPr>
          <w:sz w:val="26"/>
          <w:szCs w:val="26"/>
        </w:rPr>
        <w:t>In order for the competitive electricity market to function, a supplier’s written contract terms must be given binding force and effect.  A disclosure statement’s language has meaning, and it should not be permitted to be disregarded or altered by parol evidence by either the customer or the supplier, especially 30 months after the fact.  Verbal discussions between a sales agent and a prospective customer always have the potential for misunderstanding, particularly in the case of sales discussions for electric generation supply involving terminology and jargon that may be unfamiliar to customers.  This is why the Commission requires written disclosure statements and a right of rescission after receipt of the disclosure statement – to ensure that there is no dispute as to the terms of the service and to allow the customer to cancel the enrollment if the customer is not comfortable with all of the terms.</w:t>
      </w:r>
    </w:p>
    <w:p w:rsidR="00106BB1" w:rsidRDefault="00106BB1" w:rsidP="00106BB1">
      <w:pPr>
        <w:spacing w:line="360" w:lineRule="auto"/>
        <w:rPr>
          <w:sz w:val="26"/>
          <w:szCs w:val="26"/>
        </w:rPr>
      </w:pPr>
    </w:p>
    <w:p w:rsidR="00F65F24" w:rsidRDefault="00106BB1" w:rsidP="00106BB1">
      <w:pPr>
        <w:tabs>
          <w:tab w:val="left" w:pos="1440"/>
        </w:tabs>
        <w:spacing w:line="360" w:lineRule="auto"/>
        <w:rPr>
          <w:sz w:val="26"/>
          <w:szCs w:val="26"/>
        </w:rPr>
      </w:pPr>
      <w:r>
        <w:rPr>
          <w:sz w:val="26"/>
          <w:szCs w:val="26"/>
        </w:rPr>
        <w:t xml:space="preserve">Exc. at 19-20.  In response to the ALJ’s discussion of IDT’s failure </w:t>
      </w:r>
      <w:r w:rsidR="007C35E2">
        <w:rPr>
          <w:sz w:val="26"/>
          <w:szCs w:val="26"/>
        </w:rPr>
        <w:t xml:space="preserve">to </w:t>
      </w:r>
      <w:r>
        <w:rPr>
          <w:sz w:val="26"/>
          <w:szCs w:val="26"/>
        </w:rPr>
        <w:t xml:space="preserve">refute Mr. Kiback’s testimony of promised savings over PPL by offering evidence from the telemarketer, IDT claims “it is simply not realistic to expect a supplier to track down a </w:t>
      </w:r>
      <w:r w:rsidRPr="005801B8">
        <w:rPr>
          <w:sz w:val="26"/>
          <w:szCs w:val="26"/>
        </w:rPr>
        <w:t>former</w:t>
      </w:r>
      <w:r>
        <w:rPr>
          <w:sz w:val="26"/>
          <w:szCs w:val="26"/>
        </w:rPr>
        <w:t xml:space="preserve"> independent telemarketing sales representative who makes numerous sales calls each day, and have that agent testify about the details of one particular sales call from over three years ago in order to justify billings that were completely in accordance with a disclosure statement.”  </w:t>
      </w:r>
      <w:r>
        <w:rPr>
          <w:i/>
          <w:sz w:val="26"/>
          <w:szCs w:val="26"/>
        </w:rPr>
        <w:t>Id.</w:t>
      </w:r>
      <w:r>
        <w:rPr>
          <w:sz w:val="26"/>
          <w:szCs w:val="26"/>
        </w:rPr>
        <w:t xml:space="preserve"> </w:t>
      </w:r>
      <w:r w:rsidR="003B1BB4">
        <w:rPr>
          <w:sz w:val="26"/>
          <w:szCs w:val="26"/>
        </w:rPr>
        <w:t>at 20.</w:t>
      </w:r>
    </w:p>
    <w:p w:rsidR="00F65F24" w:rsidRDefault="00F65F24" w:rsidP="00106BB1">
      <w:pPr>
        <w:tabs>
          <w:tab w:val="left" w:pos="1440"/>
        </w:tabs>
        <w:spacing w:line="360" w:lineRule="auto"/>
        <w:rPr>
          <w:sz w:val="26"/>
          <w:szCs w:val="26"/>
        </w:rPr>
      </w:pPr>
    </w:p>
    <w:p w:rsidR="00106BB1" w:rsidRPr="00676F22" w:rsidRDefault="00F65F24" w:rsidP="00106BB1">
      <w:pPr>
        <w:tabs>
          <w:tab w:val="left" w:pos="1440"/>
        </w:tabs>
        <w:spacing w:line="360" w:lineRule="auto"/>
        <w:rPr>
          <w:sz w:val="26"/>
          <w:szCs w:val="26"/>
        </w:rPr>
      </w:pPr>
      <w:r>
        <w:rPr>
          <w:sz w:val="26"/>
          <w:szCs w:val="26"/>
        </w:rPr>
        <w:tab/>
      </w:r>
      <w:r w:rsidR="00FE4393">
        <w:rPr>
          <w:sz w:val="26"/>
          <w:szCs w:val="26"/>
        </w:rPr>
        <w:t xml:space="preserve">IDT </w:t>
      </w:r>
      <w:r w:rsidR="006A20F1">
        <w:rPr>
          <w:sz w:val="26"/>
          <w:szCs w:val="26"/>
        </w:rPr>
        <w:t xml:space="preserve">again </w:t>
      </w:r>
      <w:r w:rsidR="00FE4393">
        <w:rPr>
          <w:sz w:val="26"/>
          <w:szCs w:val="26"/>
        </w:rPr>
        <w:t xml:space="preserve">casts aspersions on the reliability of Mr. Kiback’s testimony, questioning why the Complainant did not rescind the contract after reading the disclosure statement, or file a complaint when he saw </w:t>
      </w:r>
      <w:r w:rsidR="0036706C">
        <w:rPr>
          <w:sz w:val="26"/>
          <w:szCs w:val="26"/>
        </w:rPr>
        <w:t>t</w:t>
      </w:r>
      <w:r w:rsidR="00FE4393">
        <w:rPr>
          <w:sz w:val="26"/>
          <w:szCs w:val="26"/>
        </w:rPr>
        <w:t xml:space="preserve">he rate was variable, or simply cancel his </w:t>
      </w:r>
      <w:r w:rsidR="00FE4393">
        <w:rPr>
          <w:sz w:val="26"/>
          <w:szCs w:val="26"/>
        </w:rPr>
        <w:lastRenderedPageBreak/>
        <w:t xml:space="preserve">IDT </w:t>
      </w:r>
      <w:r>
        <w:rPr>
          <w:sz w:val="26"/>
          <w:szCs w:val="26"/>
        </w:rPr>
        <w:t xml:space="preserve">service.  </w:t>
      </w:r>
      <w:r w:rsidR="00FE4393">
        <w:rPr>
          <w:sz w:val="26"/>
          <w:szCs w:val="26"/>
        </w:rPr>
        <w:t xml:space="preserve"> </w:t>
      </w:r>
      <w:r>
        <w:rPr>
          <w:i/>
          <w:sz w:val="26"/>
          <w:szCs w:val="26"/>
        </w:rPr>
        <w:t xml:space="preserve">Id. </w:t>
      </w:r>
      <w:r>
        <w:rPr>
          <w:sz w:val="26"/>
          <w:szCs w:val="26"/>
        </w:rPr>
        <w:t xml:space="preserve">at 21.  </w:t>
      </w:r>
      <w:r w:rsidR="00676F22">
        <w:rPr>
          <w:sz w:val="26"/>
          <w:szCs w:val="26"/>
        </w:rPr>
        <w:t xml:space="preserve">According to IDT, the regulatory scheme is intended to avoid this type of </w:t>
      </w:r>
      <w:r w:rsidR="00676F22" w:rsidRPr="00676F22">
        <w:rPr>
          <w:sz w:val="26"/>
          <w:szCs w:val="26"/>
        </w:rPr>
        <w:t xml:space="preserve">“‘he said-she said’ disputes” </w:t>
      </w:r>
      <w:r w:rsidR="00676F22">
        <w:rPr>
          <w:sz w:val="26"/>
          <w:szCs w:val="26"/>
        </w:rPr>
        <w:t xml:space="preserve">or reliance on oral testimony from dated memories. </w:t>
      </w:r>
      <w:r w:rsidR="00676F22" w:rsidRPr="00676F22">
        <w:rPr>
          <w:sz w:val="26"/>
          <w:szCs w:val="26"/>
        </w:rPr>
        <w:t xml:space="preserve"> </w:t>
      </w:r>
      <w:r w:rsidR="00676F22">
        <w:rPr>
          <w:i/>
          <w:sz w:val="26"/>
          <w:szCs w:val="26"/>
        </w:rPr>
        <w:t>Id.</w:t>
      </w:r>
      <w:r w:rsidR="00676F22">
        <w:rPr>
          <w:sz w:val="26"/>
          <w:szCs w:val="26"/>
        </w:rPr>
        <w:t xml:space="preserve">  Contending that Mr. Kiback’s Complaint is really about the rate, IDT argues that by elevating the oral sales representations over the written disclosure statement, the ALJ has essentially found that the disclosure statement has no part in the analysis of an alleged violation.  </w:t>
      </w:r>
      <w:r w:rsidR="00676F22">
        <w:rPr>
          <w:i/>
          <w:sz w:val="26"/>
          <w:szCs w:val="26"/>
        </w:rPr>
        <w:t xml:space="preserve">Id. </w:t>
      </w:r>
      <w:r w:rsidR="00676F22">
        <w:rPr>
          <w:sz w:val="26"/>
          <w:szCs w:val="26"/>
        </w:rPr>
        <w:t>at 21-22.</w:t>
      </w:r>
      <w:r w:rsidR="00A830FA">
        <w:rPr>
          <w:sz w:val="26"/>
          <w:szCs w:val="26"/>
        </w:rPr>
        <w:t xml:space="preserve">  This, contends IDT, will throw the entire competitive electric market in Pennsylvania into disarray.  </w:t>
      </w:r>
      <w:r w:rsidR="00A830FA">
        <w:rPr>
          <w:i/>
          <w:sz w:val="26"/>
          <w:szCs w:val="26"/>
        </w:rPr>
        <w:t>Id.</w:t>
      </w:r>
      <w:r w:rsidR="00A830FA">
        <w:rPr>
          <w:sz w:val="26"/>
          <w:szCs w:val="26"/>
        </w:rPr>
        <w:t xml:space="preserve"> at 22.</w:t>
      </w:r>
    </w:p>
    <w:p w:rsidR="00721551" w:rsidRDefault="00721551" w:rsidP="00721551">
      <w:pPr>
        <w:tabs>
          <w:tab w:val="left" w:pos="1440"/>
        </w:tabs>
        <w:spacing w:line="360" w:lineRule="auto"/>
        <w:ind w:firstLine="720"/>
        <w:rPr>
          <w:sz w:val="26"/>
          <w:szCs w:val="26"/>
        </w:rPr>
      </w:pPr>
    </w:p>
    <w:p w:rsidR="00181A3D" w:rsidRDefault="00181A3D" w:rsidP="00721551">
      <w:pPr>
        <w:tabs>
          <w:tab w:val="left" w:pos="1440"/>
        </w:tabs>
        <w:spacing w:line="360" w:lineRule="auto"/>
        <w:ind w:firstLine="720"/>
        <w:rPr>
          <w:sz w:val="26"/>
          <w:szCs w:val="26"/>
        </w:rPr>
      </w:pPr>
      <w:r>
        <w:rPr>
          <w:sz w:val="26"/>
          <w:szCs w:val="26"/>
        </w:rPr>
        <w:tab/>
      </w:r>
      <w:r w:rsidR="00D81042">
        <w:rPr>
          <w:sz w:val="26"/>
          <w:szCs w:val="26"/>
        </w:rPr>
        <w:t xml:space="preserve">In its third Exception, </w:t>
      </w:r>
      <w:r w:rsidR="0015344F">
        <w:rPr>
          <w:sz w:val="26"/>
          <w:szCs w:val="26"/>
        </w:rPr>
        <w:t>IDT contends that neither a civil penalty nor a refund is warranted in this case.  IDT avers that the Initial Decision “is deeply flawed and illogical, and reflects an unjust pre-disposition [sic] to find a violation where none exists.”  Exc. at 23.  IDT also avers</w:t>
      </w:r>
      <w:r w:rsidR="0059792E">
        <w:rPr>
          <w:sz w:val="26"/>
          <w:szCs w:val="26"/>
        </w:rPr>
        <w:t xml:space="preserve"> that the alleged violation of the “Federal Telemarketer Sales Rule (“TSR”) [] was never pled” and was “based on testimony that was elicited after the statute of limitations on TSR claims had expired.”</w:t>
      </w:r>
      <w:r w:rsidR="0059792E">
        <w:rPr>
          <w:rStyle w:val="FootnoteReference"/>
        </w:rPr>
        <w:footnoteReference w:id="3"/>
      </w:r>
      <w:r w:rsidR="0059792E">
        <w:rPr>
          <w:sz w:val="26"/>
          <w:szCs w:val="26"/>
        </w:rPr>
        <w:t xml:space="preserve">  </w:t>
      </w:r>
      <w:r w:rsidR="0059792E">
        <w:rPr>
          <w:i/>
          <w:sz w:val="26"/>
          <w:szCs w:val="26"/>
        </w:rPr>
        <w:t>Id.</w:t>
      </w:r>
    </w:p>
    <w:p w:rsidR="00AB21B5" w:rsidRDefault="00AB21B5" w:rsidP="00721551">
      <w:pPr>
        <w:tabs>
          <w:tab w:val="left" w:pos="1440"/>
        </w:tabs>
        <w:spacing w:line="360" w:lineRule="auto"/>
        <w:ind w:firstLine="720"/>
        <w:rPr>
          <w:sz w:val="26"/>
          <w:szCs w:val="26"/>
        </w:rPr>
      </w:pPr>
    </w:p>
    <w:p w:rsidR="00E86EAE" w:rsidRDefault="00AB21B5" w:rsidP="00721551">
      <w:pPr>
        <w:tabs>
          <w:tab w:val="left" w:pos="1440"/>
        </w:tabs>
        <w:spacing w:line="360" w:lineRule="auto"/>
        <w:ind w:firstLine="720"/>
        <w:rPr>
          <w:sz w:val="26"/>
          <w:szCs w:val="26"/>
        </w:rPr>
      </w:pPr>
      <w:r>
        <w:rPr>
          <w:sz w:val="26"/>
          <w:szCs w:val="26"/>
        </w:rPr>
        <w:tab/>
        <w:t xml:space="preserve">IDT claims that it billed Mr. Kiback in accordance with its standard written disclosure statement, which statement unequivocally stated that the rate was variable and could be higher or lower than the </w:t>
      </w:r>
      <w:r w:rsidR="005801B8">
        <w:rPr>
          <w:sz w:val="26"/>
          <w:szCs w:val="26"/>
        </w:rPr>
        <w:t>utility’s</w:t>
      </w:r>
      <w:r>
        <w:rPr>
          <w:sz w:val="26"/>
          <w:szCs w:val="26"/>
        </w:rPr>
        <w:t xml:space="preserve"> rate with no ceiling.  Despite this evidence, </w:t>
      </w:r>
      <w:r w:rsidR="005801B8">
        <w:rPr>
          <w:sz w:val="26"/>
          <w:szCs w:val="26"/>
        </w:rPr>
        <w:t xml:space="preserve">claims IDT, </w:t>
      </w:r>
      <w:r>
        <w:rPr>
          <w:sz w:val="26"/>
          <w:szCs w:val="26"/>
        </w:rPr>
        <w:t xml:space="preserve">the ALJ found that IDT violated Section 54.4 of our Regulations, which provides that EGS bills must reflect the prices that are marketed and agreed to in the disclosure statement.  To reach this conclusion, IDT avers, the ALJ found that the bills for January and February 2014 did not reflect marketed prices.  However, claims IDT, this “is a completely circular and illogical holding, because the I.D. had previously found that the same alleged promise was a violation of the Commission’s marketing regulations[.]”  Exc. at 25.  IDT claims that the ALJ cannot find that the sales promise (of </w:t>
      </w:r>
      <w:r>
        <w:rPr>
          <w:sz w:val="26"/>
          <w:szCs w:val="26"/>
        </w:rPr>
        <w:lastRenderedPageBreak/>
        <w:t xml:space="preserve">savings over PPL) was improper and then at the same time sanction IDT “for not billing in accordance with an improper promise.”  </w:t>
      </w:r>
      <w:r>
        <w:rPr>
          <w:i/>
          <w:sz w:val="26"/>
          <w:szCs w:val="26"/>
        </w:rPr>
        <w:t xml:space="preserve">Id.  </w:t>
      </w:r>
      <w:r>
        <w:rPr>
          <w:sz w:val="26"/>
          <w:szCs w:val="26"/>
        </w:rPr>
        <w:t xml:space="preserve">These holdings, according to IDT, “must be mutually exclusive.  Either IDT’s agent marketed the price incorrectly or IDT did not bill the customer properly, but not both.”  </w:t>
      </w:r>
      <w:r>
        <w:rPr>
          <w:i/>
          <w:sz w:val="26"/>
          <w:szCs w:val="26"/>
        </w:rPr>
        <w:t>Id.</w:t>
      </w:r>
    </w:p>
    <w:p w:rsidR="00E86EAE" w:rsidRDefault="00E86EAE" w:rsidP="00721551">
      <w:pPr>
        <w:tabs>
          <w:tab w:val="left" w:pos="1440"/>
        </w:tabs>
        <w:spacing w:line="360" w:lineRule="auto"/>
        <w:ind w:firstLine="720"/>
        <w:rPr>
          <w:sz w:val="26"/>
          <w:szCs w:val="26"/>
        </w:rPr>
      </w:pPr>
    </w:p>
    <w:p w:rsidR="00AB21B5" w:rsidRPr="00301405" w:rsidRDefault="00E86EAE" w:rsidP="00721551">
      <w:pPr>
        <w:tabs>
          <w:tab w:val="left" w:pos="1440"/>
        </w:tabs>
        <w:spacing w:line="360" w:lineRule="auto"/>
        <w:ind w:firstLine="720"/>
        <w:rPr>
          <w:sz w:val="26"/>
          <w:szCs w:val="26"/>
        </w:rPr>
      </w:pPr>
      <w:r>
        <w:rPr>
          <w:sz w:val="26"/>
          <w:szCs w:val="26"/>
        </w:rPr>
        <w:tab/>
        <w:t xml:space="preserve">On this same basis, IDT contends that the ALJ’s calculation of a proposed civil penalty is a continuation of this “improper and unlawful reasoning.”  </w:t>
      </w:r>
      <w:r w:rsidR="003B1BB4">
        <w:rPr>
          <w:i/>
          <w:sz w:val="26"/>
          <w:szCs w:val="26"/>
        </w:rPr>
        <w:t>Id.</w:t>
      </w:r>
      <w:r w:rsidR="003B1BB4">
        <w:rPr>
          <w:sz w:val="26"/>
          <w:szCs w:val="26"/>
        </w:rPr>
        <w:t xml:space="preserve">  </w:t>
      </w:r>
      <w:r>
        <w:rPr>
          <w:sz w:val="26"/>
          <w:szCs w:val="26"/>
        </w:rPr>
        <w:t xml:space="preserve">If the violation stems from the telemarketer’s representations, then that violation occurred once in July 2011 and the penalty analysis should focus on that violation, contends IDT.  By “leaping forward nearly three years to calculate civil penalties based on billings in 2014, the I.D. essentially would be sanctioning IDT for the prices it charged[,]” contends IDT, an action outside the Commission’s jurisdiction because the Commission does not regulate EGS prices.  </w:t>
      </w:r>
      <w:r>
        <w:rPr>
          <w:i/>
          <w:sz w:val="26"/>
          <w:szCs w:val="26"/>
        </w:rPr>
        <w:t>Id.</w:t>
      </w:r>
      <w:r>
        <w:rPr>
          <w:sz w:val="26"/>
          <w:szCs w:val="26"/>
        </w:rPr>
        <w:t xml:space="preserve"> at 25-26.  IDT concludes that the ALJ’s “circular reasoning” is the result of “trying to turn a case that is solely about rates into a case about marketing violations, and then attempting to order a refund based on those marketing violations.”  </w:t>
      </w:r>
      <w:r>
        <w:rPr>
          <w:i/>
          <w:sz w:val="26"/>
          <w:szCs w:val="26"/>
        </w:rPr>
        <w:t xml:space="preserve">Id. </w:t>
      </w:r>
      <w:r>
        <w:rPr>
          <w:sz w:val="26"/>
          <w:szCs w:val="26"/>
        </w:rPr>
        <w:t xml:space="preserve">at 26.  </w:t>
      </w:r>
      <w:r w:rsidR="00E26C7A">
        <w:rPr>
          <w:sz w:val="26"/>
          <w:szCs w:val="26"/>
        </w:rPr>
        <w:t xml:space="preserve">IDT </w:t>
      </w:r>
      <w:r w:rsidR="00683377">
        <w:rPr>
          <w:sz w:val="26"/>
          <w:szCs w:val="26"/>
        </w:rPr>
        <w:t xml:space="preserve">again challenges </w:t>
      </w:r>
      <w:r w:rsidR="00E26C7A">
        <w:rPr>
          <w:sz w:val="26"/>
          <w:szCs w:val="26"/>
        </w:rPr>
        <w:t>Mr. Kiback’s testimony</w:t>
      </w:r>
      <w:r w:rsidR="00683377">
        <w:rPr>
          <w:sz w:val="26"/>
          <w:szCs w:val="26"/>
        </w:rPr>
        <w:t>, contending it</w:t>
      </w:r>
      <w:r w:rsidR="00E26C7A">
        <w:rPr>
          <w:sz w:val="26"/>
          <w:szCs w:val="26"/>
        </w:rPr>
        <w:t xml:space="preserve"> was “cryptic and contradictory” and is moot in any case because </w:t>
      </w:r>
      <w:r w:rsidR="005801B8">
        <w:rPr>
          <w:sz w:val="26"/>
          <w:szCs w:val="26"/>
        </w:rPr>
        <w:t>IDT</w:t>
      </w:r>
      <w:r w:rsidR="00E26C7A">
        <w:rPr>
          <w:sz w:val="26"/>
          <w:szCs w:val="26"/>
        </w:rPr>
        <w:t xml:space="preserve"> offered a refund to “ameliorate the price increase caused by the Polar Vortex, and remains willing to honor that refund.”  </w:t>
      </w:r>
      <w:r w:rsidR="00E26C7A">
        <w:rPr>
          <w:i/>
          <w:sz w:val="26"/>
          <w:szCs w:val="26"/>
        </w:rPr>
        <w:t>Id.</w:t>
      </w:r>
      <w:r w:rsidR="00E26C7A">
        <w:rPr>
          <w:sz w:val="26"/>
          <w:szCs w:val="26"/>
        </w:rPr>
        <w:t xml:space="preserve">  Relying on </w:t>
      </w:r>
      <w:r w:rsidR="00EF237A">
        <w:rPr>
          <w:i/>
          <w:sz w:val="26"/>
          <w:szCs w:val="26"/>
        </w:rPr>
        <w:t>IDT</w:t>
      </w:r>
      <w:r w:rsidR="005801B8">
        <w:rPr>
          <w:i/>
          <w:sz w:val="26"/>
          <w:szCs w:val="26"/>
        </w:rPr>
        <w:t xml:space="preserve"> December 2014 Order</w:t>
      </w:r>
      <w:r w:rsidR="00EF237A">
        <w:rPr>
          <w:sz w:val="26"/>
          <w:szCs w:val="26"/>
        </w:rPr>
        <w:t>,</w:t>
      </w:r>
      <w:r>
        <w:rPr>
          <w:sz w:val="26"/>
          <w:szCs w:val="26"/>
        </w:rPr>
        <w:t xml:space="preserve"> </w:t>
      </w:r>
      <w:r w:rsidR="00676853">
        <w:rPr>
          <w:sz w:val="26"/>
          <w:szCs w:val="26"/>
        </w:rPr>
        <w:t xml:space="preserve">IDT contends that the Commission concluded that it lacked jurisdiction to order refunds for EGS service under Section 1312 of the Code, 66 Pa. C.S. § 1312, but had authority to </w:t>
      </w:r>
      <w:r w:rsidR="003B1BB4">
        <w:rPr>
          <w:sz w:val="26"/>
          <w:szCs w:val="26"/>
        </w:rPr>
        <w:t xml:space="preserve">carry out the consumer protections in the competitive market by </w:t>
      </w:r>
      <w:r w:rsidR="00676853">
        <w:rPr>
          <w:sz w:val="26"/>
          <w:szCs w:val="26"/>
        </w:rPr>
        <w:t>order</w:t>
      </w:r>
      <w:r w:rsidR="003B1BB4">
        <w:rPr>
          <w:sz w:val="26"/>
          <w:szCs w:val="26"/>
        </w:rPr>
        <w:t>ing</w:t>
      </w:r>
      <w:r w:rsidR="00676853">
        <w:rPr>
          <w:sz w:val="26"/>
          <w:szCs w:val="26"/>
        </w:rPr>
        <w:t xml:space="preserve"> refunds </w:t>
      </w:r>
      <w:r w:rsidR="00301405">
        <w:rPr>
          <w:sz w:val="26"/>
          <w:szCs w:val="26"/>
        </w:rPr>
        <w:t>under certain situations</w:t>
      </w:r>
      <w:r w:rsidR="00676853">
        <w:rPr>
          <w:sz w:val="26"/>
          <w:szCs w:val="26"/>
        </w:rPr>
        <w:t xml:space="preserve">.  </w:t>
      </w:r>
      <w:r w:rsidR="00301405">
        <w:rPr>
          <w:sz w:val="26"/>
          <w:szCs w:val="26"/>
        </w:rPr>
        <w:t xml:space="preserve">IDT claims these </w:t>
      </w:r>
      <w:r w:rsidR="003B1BB4">
        <w:rPr>
          <w:sz w:val="26"/>
          <w:szCs w:val="26"/>
        </w:rPr>
        <w:t>situations</w:t>
      </w:r>
      <w:r w:rsidR="00301405">
        <w:rPr>
          <w:sz w:val="26"/>
          <w:szCs w:val="26"/>
        </w:rPr>
        <w:t xml:space="preserve"> are those involving customer switching without consent and failure to bill customers in accordance with disclosure statements.  Because </w:t>
      </w:r>
      <w:r w:rsidR="003B1BB4">
        <w:rPr>
          <w:sz w:val="26"/>
          <w:szCs w:val="26"/>
        </w:rPr>
        <w:t xml:space="preserve">switching was not an issue and </w:t>
      </w:r>
      <w:r w:rsidR="00301405">
        <w:rPr>
          <w:sz w:val="26"/>
          <w:szCs w:val="26"/>
        </w:rPr>
        <w:t xml:space="preserve">IDT billed Mr. Kiback according to its disclosure statement, </w:t>
      </w:r>
      <w:r w:rsidR="005801B8">
        <w:rPr>
          <w:sz w:val="26"/>
          <w:szCs w:val="26"/>
        </w:rPr>
        <w:t xml:space="preserve">IDT asserts that </w:t>
      </w:r>
      <w:r w:rsidR="00301405">
        <w:rPr>
          <w:sz w:val="26"/>
          <w:szCs w:val="26"/>
        </w:rPr>
        <w:t xml:space="preserve">there is no basis for a refund.  </w:t>
      </w:r>
      <w:r w:rsidR="00301405">
        <w:rPr>
          <w:i/>
          <w:sz w:val="26"/>
          <w:szCs w:val="26"/>
        </w:rPr>
        <w:t xml:space="preserve">Id. </w:t>
      </w:r>
      <w:r w:rsidR="00301405">
        <w:rPr>
          <w:sz w:val="26"/>
          <w:szCs w:val="26"/>
        </w:rPr>
        <w:t>at</w:t>
      </w:r>
      <w:r w:rsidR="003B1BB4">
        <w:rPr>
          <w:sz w:val="26"/>
          <w:szCs w:val="26"/>
        </w:rPr>
        <w:t> </w:t>
      </w:r>
      <w:r w:rsidR="00301405">
        <w:rPr>
          <w:sz w:val="26"/>
          <w:szCs w:val="26"/>
        </w:rPr>
        <w:t>27.</w:t>
      </w:r>
    </w:p>
    <w:p w:rsidR="0015344F" w:rsidRDefault="0015344F" w:rsidP="00721551">
      <w:pPr>
        <w:tabs>
          <w:tab w:val="left" w:pos="1440"/>
        </w:tabs>
        <w:spacing w:line="360" w:lineRule="auto"/>
        <w:ind w:firstLine="720"/>
        <w:rPr>
          <w:sz w:val="26"/>
          <w:szCs w:val="26"/>
        </w:rPr>
      </w:pPr>
    </w:p>
    <w:p w:rsidR="004C39E2" w:rsidRDefault="005801B8" w:rsidP="00721551">
      <w:pPr>
        <w:tabs>
          <w:tab w:val="left" w:pos="1440"/>
        </w:tabs>
        <w:spacing w:line="360" w:lineRule="auto"/>
        <w:ind w:firstLine="720"/>
        <w:rPr>
          <w:sz w:val="26"/>
          <w:szCs w:val="26"/>
        </w:rPr>
      </w:pPr>
      <w:r>
        <w:rPr>
          <w:sz w:val="26"/>
          <w:szCs w:val="26"/>
        </w:rPr>
        <w:tab/>
      </w:r>
      <w:r w:rsidR="004C39E2">
        <w:rPr>
          <w:sz w:val="26"/>
          <w:szCs w:val="26"/>
        </w:rPr>
        <w:t>The OCA filed Replies to Exceptions</w:t>
      </w:r>
      <w:r w:rsidR="000566B1">
        <w:rPr>
          <w:sz w:val="26"/>
          <w:szCs w:val="26"/>
        </w:rPr>
        <w:t xml:space="preserve"> </w:t>
      </w:r>
      <w:r w:rsidR="003B1BB4">
        <w:rPr>
          <w:sz w:val="26"/>
          <w:szCs w:val="26"/>
        </w:rPr>
        <w:t xml:space="preserve">(R. Exc.) </w:t>
      </w:r>
      <w:r w:rsidR="000566B1">
        <w:rPr>
          <w:sz w:val="26"/>
          <w:szCs w:val="26"/>
        </w:rPr>
        <w:t xml:space="preserve">in which it characterizes IDT’s Exceptions as attempting “to avoid accountability for telemarketing </w:t>
      </w:r>
      <w:r w:rsidR="000566B1">
        <w:rPr>
          <w:sz w:val="26"/>
          <w:szCs w:val="26"/>
        </w:rPr>
        <w:lastRenderedPageBreak/>
        <w:t>communications which convinced Mr. Kib</w:t>
      </w:r>
      <w:r>
        <w:rPr>
          <w:sz w:val="26"/>
          <w:szCs w:val="26"/>
        </w:rPr>
        <w:t>a</w:t>
      </w:r>
      <w:r w:rsidR="000566B1">
        <w:rPr>
          <w:sz w:val="26"/>
          <w:szCs w:val="26"/>
        </w:rPr>
        <w:t xml:space="preserve">ck that he would receive savings relative to PPL’s” </w:t>
      </w:r>
      <w:r>
        <w:rPr>
          <w:sz w:val="26"/>
          <w:szCs w:val="26"/>
        </w:rPr>
        <w:t>price to compare</w:t>
      </w:r>
      <w:r w:rsidR="000566B1">
        <w:rPr>
          <w:sz w:val="26"/>
          <w:szCs w:val="26"/>
        </w:rPr>
        <w:t xml:space="preserve"> based on testimony from the Complainant that was “concise, adamant, and credible[.]”  R. Exc. at 4</w:t>
      </w:r>
      <w:r w:rsidR="004C39E2">
        <w:rPr>
          <w:sz w:val="26"/>
          <w:szCs w:val="26"/>
        </w:rPr>
        <w:t>.</w:t>
      </w:r>
    </w:p>
    <w:p w:rsidR="008B4224" w:rsidRDefault="008B4224" w:rsidP="00721551">
      <w:pPr>
        <w:tabs>
          <w:tab w:val="left" w:pos="1440"/>
        </w:tabs>
        <w:spacing w:line="360" w:lineRule="auto"/>
        <w:ind w:firstLine="720"/>
        <w:rPr>
          <w:sz w:val="26"/>
          <w:szCs w:val="26"/>
        </w:rPr>
      </w:pPr>
    </w:p>
    <w:p w:rsidR="00CF2E68" w:rsidRDefault="008B4224" w:rsidP="00721551">
      <w:pPr>
        <w:tabs>
          <w:tab w:val="left" w:pos="1440"/>
        </w:tabs>
        <w:spacing w:line="360" w:lineRule="auto"/>
        <w:ind w:firstLine="720"/>
        <w:rPr>
          <w:sz w:val="26"/>
          <w:szCs w:val="26"/>
        </w:rPr>
      </w:pPr>
      <w:r>
        <w:rPr>
          <w:sz w:val="26"/>
          <w:szCs w:val="26"/>
        </w:rPr>
        <w:tab/>
      </w:r>
      <w:r w:rsidR="00AA3F17">
        <w:rPr>
          <w:sz w:val="26"/>
          <w:szCs w:val="26"/>
        </w:rPr>
        <w:t>In response to IDT’s first Exception that the ALJ’s decision is not supported by substantial evidence, the OCA asserts that the ALJ carefully assessed the credibility of the Complainant’s sworn testimony and the weight of the record evidence.  The OCA describes the Complainant’s testimony as “clear and sufficiently specific evidence regarding the message conveyed by IDT in its sales and marketing to Mr. Kiback through several telemarketing contacts.”  R. Exc. at 6.</w:t>
      </w:r>
    </w:p>
    <w:p w:rsidR="00CF2E68" w:rsidRDefault="00CF2E68" w:rsidP="00721551">
      <w:pPr>
        <w:tabs>
          <w:tab w:val="left" w:pos="1440"/>
        </w:tabs>
        <w:spacing w:line="360" w:lineRule="auto"/>
        <w:ind w:firstLine="720"/>
        <w:rPr>
          <w:sz w:val="26"/>
          <w:szCs w:val="26"/>
        </w:rPr>
      </w:pPr>
    </w:p>
    <w:p w:rsidR="00CF2E68" w:rsidRPr="00CF2E68" w:rsidRDefault="00CF2E68" w:rsidP="00721551">
      <w:pPr>
        <w:tabs>
          <w:tab w:val="left" w:pos="1440"/>
        </w:tabs>
        <w:spacing w:line="360" w:lineRule="auto"/>
        <w:ind w:firstLine="720"/>
        <w:rPr>
          <w:i/>
          <w:sz w:val="26"/>
          <w:szCs w:val="26"/>
        </w:rPr>
      </w:pPr>
      <w:r>
        <w:rPr>
          <w:sz w:val="26"/>
          <w:szCs w:val="26"/>
        </w:rPr>
        <w:tab/>
      </w:r>
      <w:r w:rsidR="00AA3F17">
        <w:rPr>
          <w:sz w:val="26"/>
          <w:szCs w:val="26"/>
        </w:rPr>
        <w:t xml:space="preserve">Challenging IDT’s selection of three lines of text from the hearing transcript, which IDT essentially </w:t>
      </w:r>
      <w:r w:rsidR="003B1BB4">
        <w:rPr>
          <w:sz w:val="26"/>
          <w:szCs w:val="26"/>
        </w:rPr>
        <w:t>characterizes as</w:t>
      </w:r>
      <w:r w:rsidR="00AA3F17">
        <w:rPr>
          <w:sz w:val="26"/>
          <w:szCs w:val="26"/>
        </w:rPr>
        <w:t xml:space="preserve"> the full extent of Mr. Kiback’s testimon</w:t>
      </w:r>
      <w:r w:rsidR="003B1BB4">
        <w:rPr>
          <w:sz w:val="26"/>
          <w:szCs w:val="26"/>
        </w:rPr>
        <w:t>y</w:t>
      </w:r>
      <w:r w:rsidR="00AA3F17">
        <w:rPr>
          <w:sz w:val="26"/>
          <w:szCs w:val="26"/>
        </w:rPr>
        <w:t xml:space="preserve">, the OCA contends that IDT’s selection “does not even provide the full second sentence, let alone capture the entirety of Mr. Kiback’s testimony[.]”  </w:t>
      </w:r>
      <w:r w:rsidR="00AA3F17">
        <w:rPr>
          <w:i/>
          <w:sz w:val="26"/>
          <w:szCs w:val="26"/>
        </w:rPr>
        <w:t>Id.</w:t>
      </w:r>
      <w:r w:rsidR="00AA3F17">
        <w:rPr>
          <w:sz w:val="26"/>
          <w:szCs w:val="26"/>
        </w:rPr>
        <w:t xml:space="preserve">  Quoting more fully from Mr. Kiback’s testimony</w:t>
      </w:r>
      <w:r w:rsidR="00157C2F">
        <w:rPr>
          <w:sz w:val="26"/>
          <w:szCs w:val="26"/>
        </w:rPr>
        <w:t xml:space="preserve"> during </w:t>
      </w:r>
      <w:r w:rsidR="00157C2F" w:rsidRPr="00157C2F">
        <w:rPr>
          <w:sz w:val="26"/>
          <w:szCs w:val="26"/>
        </w:rPr>
        <w:t>cross-examination</w:t>
      </w:r>
      <w:r w:rsidR="00157C2F">
        <w:rPr>
          <w:sz w:val="26"/>
          <w:szCs w:val="26"/>
        </w:rPr>
        <w:t xml:space="preserve"> by IDT</w:t>
      </w:r>
      <w:r w:rsidR="00AA3F17">
        <w:rPr>
          <w:sz w:val="26"/>
          <w:szCs w:val="26"/>
        </w:rPr>
        <w:t xml:space="preserve">, the OCA contends that Mr. Kiback “succinctly and firmly testified that the information provided by IDT in its sales and marketing caused him to understand that IDT’s service would be priced consistently below PPL’s rate and not just for some introductory period.”  </w:t>
      </w:r>
      <w:r w:rsidR="00AA3F17">
        <w:rPr>
          <w:i/>
          <w:sz w:val="26"/>
          <w:szCs w:val="26"/>
        </w:rPr>
        <w:t xml:space="preserve">Id. </w:t>
      </w:r>
      <w:r w:rsidR="00AA3F17">
        <w:rPr>
          <w:sz w:val="26"/>
          <w:szCs w:val="26"/>
        </w:rPr>
        <w:t xml:space="preserve">at 7.  </w:t>
      </w:r>
      <w:r w:rsidR="00157C2F">
        <w:rPr>
          <w:sz w:val="26"/>
          <w:szCs w:val="26"/>
        </w:rPr>
        <w:t xml:space="preserve">The OCA claims that IDT’s suggestion that Mr. Kiback’s testimony is insufficient because it did not repeat more precise language used by the telemarketer sets an unachievable bar </w:t>
      </w:r>
      <w:r w:rsidR="00D704C7">
        <w:rPr>
          <w:sz w:val="26"/>
          <w:szCs w:val="26"/>
        </w:rPr>
        <w:t xml:space="preserve">that </w:t>
      </w:r>
      <w:r w:rsidR="00157C2F">
        <w:rPr>
          <w:sz w:val="26"/>
          <w:szCs w:val="26"/>
        </w:rPr>
        <w:t>avoid</w:t>
      </w:r>
      <w:r w:rsidR="00D704C7">
        <w:rPr>
          <w:sz w:val="26"/>
          <w:szCs w:val="26"/>
        </w:rPr>
        <w:t>s</w:t>
      </w:r>
      <w:r w:rsidR="00157C2F">
        <w:rPr>
          <w:sz w:val="26"/>
          <w:szCs w:val="26"/>
        </w:rPr>
        <w:t xml:space="preserve"> responsibility for misrepresentation.  </w:t>
      </w:r>
      <w:r>
        <w:rPr>
          <w:i/>
          <w:sz w:val="26"/>
          <w:szCs w:val="26"/>
        </w:rPr>
        <w:t>Id.</w:t>
      </w:r>
    </w:p>
    <w:p w:rsidR="00CF2E68" w:rsidRDefault="00CF2E68" w:rsidP="00721551">
      <w:pPr>
        <w:tabs>
          <w:tab w:val="left" w:pos="1440"/>
        </w:tabs>
        <w:spacing w:line="360" w:lineRule="auto"/>
        <w:ind w:firstLine="720"/>
        <w:rPr>
          <w:sz w:val="26"/>
          <w:szCs w:val="26"/>
        </w:rPr>
      </w:pPr>
    </w:p>
    <w:p w:rsidR="00305CBB" w:rsidRDefault="00CF2E68" w:rsidP="00721551">
      <w:pPr>
        <w:tabs>
          <w:tab w:val="left" w:pos="1440"/>
        </w:tabs>
        <w:spacing w:line="360" w:lineRule="auto"/>
        <w:ind w:firstLine="720"/>
        <w:rPr>
          <w:sz w:val="26"/>
          <w:szCs w:val="26"/>
        </w:rPr>
      </w:pPr>
      <w:r>
        <w:rPr>
          <w:sz w:val="26"/>
          <w:szCs w:val="26"/>
        </w:rPr>
        <w:tab/>
      </w:r>
      <w:r w:rsidR="00157C2F">
        <w:rPr>
          <w:sz w:val="26"/>
          <w:szCs w:val="26"/>
        </w:rPr>
        <w:t xml:space="preserve">As to IDT’s </w:t>
      </w:r>
      <w:r w:rsidR="003B1BB4">
        <w:rPr>
          <w:sz w:val="26"/>
          <w:szCs w:val="26"/>
        </w:rPr>
        <w:t xml:space="preserve">evaluation of its own </w:t>
      </w:r>
      <w:r w:rsidR="00157C2F">
        <w:rPr>
          <w:sz w:val="26"/>
          <w:szCs w:val="26"/>
        </w:rPr>
        <w:t xml:space="preserve">evidence, the testimony and exhibits of its witness Stoughton, the OCA notes the ALJ’s observation that the documents provided were generic and not specific to Mr. Kiback </w:t>
      </w:r>
      <w:r w:rsidR="00225DEC">
        <w:rPr>
          <w:sz w:val="26"/>
          <w:szCs w:val="26"/>
        </w:rPr>
        <w:t xml:space="preserve">and that </w:t>
      </w:r>
      <w:r w:rsidR="00157C2F">
        <w:rPr>
          <w:sz w:val="26"/>
          <w:szCs w:val="26"/>
        </w:rPr>
        <w:t>Mr. Stoughton testi</w:t>
      </w:r>
      <w:r w:rsidR="00225DEC">
        <w:rPr>
          <w:sz w:val="26"/>
          <w:szCs w:val="26"/>
        </w:rPr>
        <w:t>fied during cross-examination that he</w:t>
      </w:r>
      <w:r w:rsidR="00157C2F">
        <w:rPr>
          <w:sz w:val="26"/>
          <w:szCs w:val="26"/>
        </w:rPr>
        <w:t xml:space="preserve"> had </w:t>
      </w:r>
      <w:r w:rsidR="00D704C7">
        <w:rPr>
          <w:sz w:val="26"/>
          <w:szCs w:val="26"/>
        </w:rPr>
        <w:t xml:space="preserve">neither </w:t>
      </w:r>
      <w:r w:rsidR="00157C2F">
        <w:rPr>
          <w:sz w:val="26"/>
          <w:szCs w:val="26"/>
        </w:rPr>
        <w:t xml:space="preserve">knowledge </w:t>
      </w:r>
      <w:r w:rsidR="00225DEC">
        <w:rPr>
          <w:sz w:val="26"/>
          <w:szCs w:val="26"/>
        </w:rPr>
        <w:t xml:space="preserve">of Mr. Kiback’s solicitation </w:t>
      </w:r>
      <w:r w:rsidR="00D704C7">
        <w:rPr>
          <w:sz w:val="26"/>
          <w:szCs w:val="26"/>
        </w:rPr>
        <w:t>n</w:t>
      </w:r>
      <w:r w:rsidR="00225DEC">
        <w:rPr>
          <w:sz w:val="26"/>
          <w:szCs w:val="26"/>
        </w:rPr>
        <w:t>or evi</w:t>
      </w:r>
      <w:r w:rsidR="00157C2F">
        <w:rPr>
          <w:sz w:val="26"/>
          <w:szCs w:val="26"/>
        </w:rPr>
        <w:t>dence to contradict Mr.</w:t>
      </w:r>
      <w:r w:rsidR="00D704C7">
        <w:rPr>
          <w:sz w:val="26"/>
          <w:szCs w:val="26"/>
        </w:rPr>
        <w:t> </w:t>
      </w:r>
      <w:r w:rsidR="00157C2F">
        <w:rPr>
          <w:sz w:val="26"/>
          <w:szCs w:val="26"/>
        </w:rPr>
        <w:t xml:space="preserve">Kiback’s sworn testimony.  This, contends the OCA, supports the ALJ’s conclusion that IDT failed to rebut Mr. Kiback’s </w:t>
      </w:r>
      <w:r w:rsidR="00157C2F">
        <w:rPr>
          <w:i/>
          <w:sz w:val="26"/>
          <w:szCs w:val="26"/>
        </w:rPr>
        <w:t>prima facie</w:t>
      </w:r>
      <w:r w:rsidR="00157C2F">
        <w:rPr>
          <w:sz w:val="26"/>
          <w:szCs w:val="26"/>
        </w:rPr>
        <w:t xml:space="preserve"> case.  </w:t>
      </w:r>
      <w:r w:rsidR="00157C2F">
        <w:rPr>
          <w:i/>
          <w:sz w:val="26"/>
          <w:szCs w:val="26"/>
        </w:rPr>
        <w:t xml:space="preserve">Id. </w:t>
      </w:r>
      <w:r w:rsidR="00157C2F">
        <w:rPr>
          <w:sz w:val="26"/>
          <w:szCs w:val="26"/>
        </w:rPr>
        <w:t>at 8-9.</w:t>
      </w:r>
      <w:r>
        <w:rPr>
          <w:sz w:val="26"/>
          <w:szCs w:val="26"/>
        </w:rPr>
        <w:t xml:space="preserve"> </w:t>
      </w:r>
      <w:r>
        <w:rPr>
          <w:sz w:val="26"/>
          <w:szCs w:val="26"/>
        </w:rPr>
        <w:lastRenderedPageBreak/>
        <w:t xml:space="preserve">Contrary to IDT’s </w:t>
      </w:r>
      <w:r w:rsidR="00305CBB">
        <w:rPr>
          <w:sz w:val="26"/>
          <w:szCs w:val="26"/>
        </w:rPr>
        <w:t xml:space="preserve">limited </w:t>
      </w:r>
      <w:r>
        <w:rPr>
          <w:sz w:val="26"/>
          <w:szCs w:val="26"/>
        </w:rPr>
        <w:t>depiction of Mr. Kiback’s testimony, the OCA contends that the Complainant presented clear and unambiguous testimony about what he was promised.</w:t>
      </w:r>
    </w:p>
    <w:p w:rsidR="00305CBB" w:rsidRDefault="00305CBB" w:rsidP="00721551">
      <w:pPr>
        <w:tabs>
          <w:tab w:val="left" w:pos="1440"/>
        </w:tabs>
        <w:spacing w:line="360" w:lineRule="auto"/>
        <w:ind w:firstLine="720"/>
        <w:rPr>
          <w:sz w:val="26"/>
          <w:szCs w:val="26"/>
        </w:rPr>
      </w:pPr>
    </w:p>
    <w:p w:rsidR="004C39E2" w:rsidRDefault="00305CBB" w:rsidP="00721551">
      <w:pPr>
        <w:tabs>
          <w:tab w:val="left" w:pos="1440"/>
        </w:tabs>
        <w:spacing w:line="360" w:lineRule="auto"/>
        <w:ind w:firstLine="720"/>
        <w:rPr>
          <w:sz w:val="26"/>
          <w:szCs w:val="26"/>
        </w:rPr>
      </w:pPr>
      <w:r>
        <w:rPr>
          <w:sz w:val="26"/>
          <w:szCs w:val="26"/>
        </w:rPr>
        <w:tab/>
      </w:r>
      <w:r w:rsidR="00CF2E68">
        <w:rPr>
          <w:sz w:val="26"/>
          <w:szCs w:val="26"/>
        </w:rPr>
        <w:t>Re</w:t>
      </w:r>
      <w:r>
        <w:rPr>
          <w:sz w:val="26"/>
          <w:szCs w:val="26"/>
        </w:rPr>
        <w:t xml:space="preserve">sponding to IDT’s criticism of </w:t>
      </w:r>
      <w:r w:rsidR="00CF2E68">
        <w:rPr>
          <w:sz w:val="26"/>
          <w:szCs w:val="26"/>
        </w:rPr>
        <w:t xml:space="preserve">the ALJ’s reliance on </w:t>
      </w:r>
      <w:r w:rsidR="00CF2E68" w:rsidRPr="00CF2E68">
        <w:rPr>
          <w:i/>
          <w:sz w:val="26"/>
          <w:szCs w:val="26"/>
        </w:rPr>
        <w:t>Yaglidereliler</w:t>
      </w:r>
      <w:r w:rsidR="00CF2E68">
        <w:rPr>
          <w:sz w:val="26"/>
          <w:szCs w:val="26"/>
        </w:rPr>
        <w:t xml:space="preserve">, the OCA </w:t>
      </w:r>
      <w:r w:rsidR="00F55A78">
        <w:rPr>
          <w:sz w:val="26"/>
          <w:szCs w:val="26"/>
        </w:rPr>
        <w:t>argues</w:t>
      </w:r>
      <w:r w:rsidR="00CF2E68">
        <w:rPr>
          <w:sz w:val="26"/>
          <w:szCs w:val="26"/>
        </w:rPr>
        <w:t xml:space="preserve"> n</w:t>
      </w:r>
      <w:r w:rsidR="00CF2E68" w:rsidRPr="00CF2E68">
        <w:rPr>
          <w:sz w:val="26"/>
          <w:szCs w:val="26"/>
        </w:rPr>
        <w:t>ot</w:t>
      </w:r>
      <w:r w:rsidR="00CF2E68">
        <w:rPr>
          <w:sz w:val="26"/>
          <w:szCs w:val="26"/>
        </w:rPr>
        <w:t xml:space="preserve"> only </w:t>
      </w:r>
      <w:r w:rsidR="009974C4">
        <w:rPr>
          <w:sz w:val="26"/>
          <w:szCs w:val="26"/>
        </w:rPr>
        <w:t xml:space="preserve">that </w:t>
      </w:r>
      <w:r w:rsidR="00CF2E68">
        <w:rPr>
          <w:sz w:val="26"/>
          <w:szCs w:val="26"/>
        </w:rPr>
        <w:t xml:space="preserve">customers </w:t>
      </w:r>
      <w:r w:rsidR="009974C4">
        <w:rPr>
          <w:sz w:val="26"/>
          <w:szCs w:val="26"/>
        </w:rPr>
        <w:t xml:space="preserve">are </w:t>
      </w:r>
      <w:r w:rsidR="00CF2E68">
        <w:rPr>
          <w:sz w:val="26"/>
          <w:szCs w:val="26"/>
        </w:rPr>
        <w:t>entitled to be able to rely on all communications, oral or written, but also that IDT failed to provide sufficient evidence to rebut Mr.</w:t>
      </w:r>
      <w:r>
        <w:rPr>
          <w:sz w:val="26"/>
          <w:szCs w:val="26"/>
        </w:rPr>
        <w:t> </w:t>
      </w:r>
      <w:r w:rsidR="00CF2E68">
        <w:rPr>
          <w:sz w:val="26"/>
          <w:szCs w:val="26"/>
        </w:rPr>
        <w:t xml:space="preserve">Kiback’s testimony, which the ALJ found credible.  </w:t>
      </w:r>
      <w:r w:rsidR="00CF2E68">
        <w:rPr>
          <w:i/>
          <w:sz w:val="26"/>
          <w:szCs w:val="26"/>
        </w:rPr>
        <w:t xml:space="preserve">Id. </w:t>
      </w:r>
      <w:r w:rsidR="00CF2E68">
        <w:rPr>
          <w:sz w:val="26"/>
          <w:szCs w:val="26"/>
        </w:rPr>
        <w:t xml:space="preserve">at 9-11.  </w:t>
      </w:r>
      <w:r w:rsidR="001A4FC3">
        <w:rPr>
          <w:sz w:val="26"/>
          <w:szCs w:val="26"/>
        </w:rPr>
        <w:t xml:space="preserve">The OCA concludes that the Complainant satisfied his burden of proof by providing unrebutted and substantial evidence that IDT violated the Commission’s Regulations on a matter that, as the ALJ noted, is “critical in the development of a proper market for the competitive provision of electric generation service.”  </w:t>
      </w:r>
      <w:r w:rsidR="001A4FC3">
        <w:rPr>
          <w:i/>
          <w:sz w:val="26"/>
          <w:szCs w:val="26"/>
        </w:rPr>
        <w:t xml:space="preserve">Id. </w:t>
      </w:r>
      <w:r w:rsidR="001A4FC3">
        <w:rPr>
          <w:sz w:val="26"/>
          <w:szCs w:val="26"/>
        </w:rPr>
        <w:t>at 12, quoting I.D. at 11.</w:t>
      </w:r>
    </w:p>
    <w:p w:rsidR="00225DEC" w:rsidRDefault="00225DEC" w:rsidP="00721551">
      <w:pPr>
        <w:tabs>
          <w:tab w:val="left" w:pos="1440"/>
        </w:tabs>
        <w:spacing w:line="360" w:lineRule="auto"/>
        <w:ind w:firstLine="720"/>
        <w:rPr>
          <w:sz w:val="26"/>
          <w:szCs w:val="26"/>
        </w:rPr>
      </w:pPr>
    </w:p>
    <w:p w:rsidR="00225DEC" w:rsidRDefault="00225DEC" w:rsidP="00721551">
      <w:pPr>
        <w:tabs>
          <w:tab w:val="left" w:pos="1440"/>
        </w:tabs>
        <w:spacing w:line="360" w:lineRule="auto"/>
        <w:ind w:firstLine="720"/>
        <w:rPr>
          <w:sz w:val="26"/>
          <w:szCs w:val="26"/>
        </w:rPr>
      </w:pPr>
      <w:r>
        <w:rPr>
          <w:sz w:val="26"/>
          <w:szCs w:val="26"/>
        </w:rPr>
        <w:tab/>
        <w:t xml:space="preserve">In response to IDT’s criticism of Mr. Kiback’s testimony </w:t>
      </w:r>
      <w:r w:rsidR="00E337C7">
        <w:rPr>
          <w:sz w:val="26"/>
          <w:szCs w:val="26"/>
        </w:rPr>
        <w:t xml:space="preserve">because </w:t>
      </w:r>
      <w:r>
        <w:rPr>
          <w:sz w:val="26"/>
          <w:szCs w:val="26"/>
        </w:rPr>
        <w:t xml:space="preserve">of the time </w:t>
      </w:r>
      <w:r w:rsidR="00E337C7">
        <w:rPr>
          <w:sz w:val="26"/>
          <w:szCs w:val="26"/>
        </w:rPr>
        <w:t xml:space="preserve">elapsed </w:t>
      </w:r>
      <w:r>
        <w:rPr>
          <w:sz w:val="26"/>
          <w:szCs w:val="26"/>
        </w:rPr>
        <w:t xml:space="preserve">between his enrollment and when he first complained, the OCA contends that Mr. Kiback filed the Complaint </w:t>
      </w:r>
      <w:r w:rsidR="00E337C7">
        <w:rPr>
          <w:sz w:val="26"/>
          <w:szCs w:val="26"/>
        </w:rPr>
        <w:t>when</w:t>
      </w:r>
      <w:r>
        <w:rPr>
          <w:sz w:val="26"/>
          <w:szCs w:val="26"/>
        </w:rPr>
        <w:t xml:space="preserve"> the violation occurred, which was when h</w:t>
      </w:r>
      <w:r w:rsidR="00E337C7">
        <w:rPr>
          <w:sz w:val="26"/>
          <w:szCs w:val="26"/>
        </w:rPr>
        <w:t>e no longer received h</w:t>
      </w:r>
      <w:r>
        <w:rPr>
          <w:sz w:val="26"/>
          <w:szCs w:val="26"/>
        </w:rPr>
        <w:t>is promised savings</w:t>
      </w:r>
      <w:r w:rsidR="00E337C7">
        <w:rPr>
          <w:sz w:val="26"/>
          <w:szCs w:val="26"/>
        </w:rPr>
        <w:t xml:space="preserve">.  The passage of time before the violation is immaterial contends the OCA.  </w:t>
      </w:r>
      <w:r w:rsidR="00E337C7">
        <w:rPr>
          <w:i/>
          <w:sz w:val="26"/>
          <w:szCs w:val="26"/>
        </w:rPr>
        <w:t xml:space="preserve">Id. </w:t>
      </w:r>
      <w:r w:rsidR="00E337C7">
        <w:rPr>
          <w:sz w:val="26"/>
          <w:szCs w:val="26"/>
        </w:rPr>
        <w:t xml:space="preserve">at 12-13.  The OCA also contends that IDT’s attempt to question the accuracy of Mr. Kiback’s testimony on the basis that he was not the person on the recorded </w:t>
      </w:r>
      <w:r w:rsidR="00D704C7">
        <w:rPr>
          <w:sz w:val="26"/>
          <w:szCs w:val="26"/>
        </w:rPr>
        <w:t>TPV</w:t>
      </w:r>
      <w:r w:rsidR="00E337C7">
        <w:rPr>
          <w:sz w:val="26"/>
          <w:szCs w:val="26"/>
        </w:rPr>
        <w:t xml:space="preserve">, which was not moved into evidence, is irrelevant.  As the ALJ correctly concluded, states the OCA, the TPV is separate and distinct from the sales solicitation.  </w:t>
      </w:r>
      <w:r w:rsidR="00E337C7">
        <w:rPr>
          <w:i/>
          <w:sz w:val="26"/>
          <w:szCs w:val="26"/>
        </w:rPr>
        <w:t>Id.</w:t>
      </w:r>
      <w:r w:rsidR="00E337C7">
        <w:rPr>
          <w:sz w:val="26"/>
          <w:szCs w:val="26"/>
        </w:rPr>
        <w:t xml:space="preserve"> at 13.</w:t>
      </w:r>
    </w:p>
    <w:p w:rsidR="009114A1" w:rsidRDefault="009114A1" w:rsidP="00721551">
      <w:pPr>
        <w:tabs>
          <w:tab w:val="left" w:pos="1440"/>
        </w:tabs>
        <w:spacing w:line="360" w:lineRule="auto"/>
        <w:ind w:firstLine="720"/>
        <w:rPr>
          <w:sz w:val="26"/>
          <w:szCs w:val="26"/>
        </w:rPr>
      </w:pPr>
    </w:p>
    <w:p w:rsidR="009974C4" w:rsidRDefault="009114A1" w:rsidP="00721551">
      <w:pPr>
        <w:tabs>
          <w:tab w:val="left" w:pos="1440"/>
        </w:tabs>
        <w:spacing w:line="360" w:lineRule="auto"/>
        <w:ind w:firstLine="720"/>
        <w:rPr>
          <w:sz w:val="26"/>
          <w:szCs w:val="26"/>
        </w:rPr>
      </w:pPr>
      <w:r>
        <w:rPr>
          <w:sz w:val="26"/>
          <w:szCs w:val="26"/>
        </w:rPr>
        <w:tab/>
      </w:r>
      <w:r w:rsidR="003227DE">
        <w:rPr>
          <w:sz w:val="26"/>
          <w:szCs w:val="26"/>
        </w:rPr>
        <w:t>With regard to</w:t>
      </w:r>
      <w:r w:rsidR="009974C4" w:rsidRPr="009974C4">
        <w:rPr>
          <w:sz w:val="26"/>
          <w:szCs w:val="26"/>
        </w:rPr>
        <w:t xml:space="preserve"> IDT’s second Exception, that the ALJ’s Initial Decision contravenes Commission precedent and policy</w:t>
      </w:r>
      <w:r w:rsidR="009974C4">
        <w:rPr>
          <w:sz w:val="26"/>
          <w:szCs w:val="26"/>
        </w:rPr>
        <w:t>,</w:t>
      </w:r>
      <w:r w:rsidR="009974C4" w:rsidRPr="009974C4">
        <w:rPr>
          <w:sz w:val="26"/>
          <w:szCs w:val="26"/>
        </w:rPr>
        <w:t xml:space="preserve"> </w:t>
      </w:r>
      <w:r w:rsidR="009974C4">
        <w:rPr>
          <w:sz w:val="26"/>
          <w:szCs w:val="26"/>
        </w:rPr>
        <w:t>t</w:t>
      </w:r>
      <w:r w:rsidR="006A527D">
        <w:rPr>
          <w:sz w:val="26"/>
          <w:szCs w:val="26"/>
        </w:rPr>
        <w:t xml:space="preserve">he OCA </w:t>
      </w:r>
      <w:r w:rsidR="0065703A">
        <w:rPr>
          <w:sz w:val="26"/>
          <w:szCs w:val="26"/>
        </w:rPr>
        <w:t xml:space="preserve">relies on the Commission’s Orders in </w:t>
      </w:r>
      <w:r w:rsidR="0065703A" w:rsidRPr="0065703A">
        <w:rPr>
          <w:i/>
          <w:sz w:val="26"/>
          <w:szCs w:val="26"/>
        </w:rPr>
        <w:t>Yaglidereliler</w:t>
      </w:r>
      <w:r w:rsidR="0065703A">
        <w:rPr>
          <w:sz w:val="26"/>
          <w:szCs w:val="26"/>
        </w:rPr>
        <w:t>,</w:t>
      </w:r>
      <w:r w:rsidR="0065703A" w:rsidRPr="0065703A">
        <w:rPr>
          <w:i/>
          <w:sz w:val="26"/>
          <w:szCs w:val="26"/>
        </w:rPr>
        <w:t xml:space="preserve"> MacLuckie v. Palmco Energy PA, LLC</w:t>
      </w:r>
      <w:r w:rsidR="0065703A" w:rsidRPr="0065703A">
        <w:rPr>
          <w:sz w:val="26"/>
          <w:szCs w:val="26"/>
        </w:rPr>
        <w:t>, Docket No.</w:t>
      </w:r>
      <w:r w:rsidR="00C20E8B">
        <w:rPr>
          <w:sz w:val="26"/>
          <w:szCs w:val="26"/>
        </w:rPr>
        <w:t xml:space="preserve"> </w:t>
      </w:r>
      <w:r w:rsidR="0065703A" w:rsidRPr="0065703A">
        <w:rPr>
          <w:sz w:val="26"/>
          <w:szCs w:val="26"/>
        </w:rPr>
        <w:t>C</w:t>
      </w:r>
      <w:r w:rsidR="00C20E8B">
        <w:rPr>
          <w:sz w:val="26"/>
          <w:szCs w:val="26"/>
        </w:rPr>
        <w:noBreakHyphen/>
      </w:r>
      <w:r w:rsidR="0065703A" w:rsidRPr="0065703A">
        <w:rPr>
          <w:sz w:val="26"/>
          <w:szCs w:val="26"/>
        </w:rPr>
        <w:t>2014</w:t>
      </w:r>
      <w:r w:rsidR="00C20E8B">
        <w:rPr>
          <w:sz w:val="26"/>
          <w:szCs w:val="26"/>
        </w:rPr>
        <w:noBreakHyphen/>
      </w:r>
      <w:r w:rsidR="0065703A" w:rsidRPr="0065703A">
        <w:rPr>
          <w:sz w:val="26"/>
          <w:szCs w:val="26"/>
        </w:rPr>
        <w:t>2402558 (Order entered December 4, 2014) (</w:t>
      </w:r>
      <w:r w:rsidR="0065703A" w:rsidRPr="0065703A">
        <w:rPr>
          <w:i/>
          <w:sz w:val="26"/>
          <w:szCs w:val="26"/>
        </w:rPr>
        <w:t>MacLuckie December 2014 Remand Order</w:t>
      </w:r>
      <w:r w:rsidR="0065703A" w:rsidRPr="0065703A">
        <w:rPr>
          <w:sz w:val="26"/>
          <w:szCs w:val="26"/>
        </w:rPr>
        <w:t>)</w:t>
      </w:r>
      <w:r w:rsidR="0065703A">
        <w:rPr>
          <w:sz w:val="26"/>
          <w:szCs w:val="26"/>
        </w:rPr>
        <w:t xml:space="preserve">, and </w:t>
      </w:r>
      <w:r w:rsidR="0065703A" w:rsidRPr="0065703A">
        <w:rPr>
          <w:i/>
          <w:sz w:val="26"/>
          <w:szCs w:val="26"/>
        </w:rPr>
        <w:t>William Towne v. Great American Power, LLC</w:t>
      </w:r>
      <w:r w:rsidR="0065703A">
        <w:rPr>
          <w:sz w:val="26"/>
          <w:szCs w:val="26"/>
        </w:rPr>
        <w:t>, Docket No. C-2012-2307991 (Order entered October 18, 2013) (</w:t>
      </w:r>
      <w:r w:rsidR="0065703A" w:rsidRPr="0065703A">
        <w:rPr>
          <w:i/>
          <w:sz w:val="26"/>
          <w:szCs w:val="26"/>
        </w:rPr>
        <w:t>Towne</w:t>
      </w:r>
      <w:r w:rsidR="0065703A">
        <w:rPr>
          <w:sz w:val="26"/>
          <w:szCs w:val="26"/>
        </w:rPr>
        <w:t xml:space="preserve">).  According to </w:t>
      </w:r>
      <w:r>
        <w:rPr>
          <w:sz w:val="26"/>
          <w:szCs w:val="26"/>
        </w:rPr>
        <w:t>the OCA</w:t>
      </w:r>
      <w:r w:rsidR="0065703A">
        <w:rPr>
          <w:sz w:val="26"/>
          <w:szCs w:val="26"/>
        </w:rPr>
        <w:t>,</w:t>
      </w:r>
      <w:r>
        <w:rPr>
          <w:sz w:val="26"/>
          <w:szCs w:val="26"/>
        </w:rPr>
        <w:t xml:space="preserve"> “the </w:t>
      </w:r>
      <w:r>
        <w:rPr>
          <w:sz w:val="26"/>
          <w:szCs w:val="26"/>
        </w:rPr>
        <w:lastRenderedPageBreak/>
        <w:t xml:space="preserve">Commission has clearly stated that a consumer’s understanding of the terms of service, including the EGS’s pricing terms, may be shaped by both the oral communications made by the EGS’s agent during the sales and marketing and written materials.”  </w:t>
      </w:r>
      <w:r>
        <w:rPr>
          <w:i/>
          <w:sz w:val="26"/>
          <w:szCs w:val="26"/>
        </w:rPr>
        <w:t>Id.</w:t>
      </w:r>
      <w:r>
        <w:rPr>
          <w:sz w:val="26"/>
          <w:szCs w:val="26"/>
        </w:rPr>
        <w:t xml:space="preserve"> at 14.</w:t>
      </w:r>
    </w:p>
    <w:p w:rsidR="009974C4" w:rsidRDefault="009974C4" w:rsidP="00721551">
      <w:pPr>
        <w:tabs>
          <w:tab w:val="left" w:pos="1440"/>
        </w:tabs>
        <w:spacing w:line="360" w:lineRule="auto"/>
        <w:ind w:firstLine="720"/>
        <w:rPr>
          <w:sz w:val="26"/>
          <w:szCs w:val="26"/>
        </w:rPr>
      </w:pPr>
    </w:p>
    <w:p w:rsidR="009114A1" w:rsidRDefault="009974C4" w:rsidP="00721551">
      <w:pPr>
        <w:tabs>
          <w:tab w:val="left" w:pos="1440"/>
        </w:tabs>
        <w:spacing w:line="360" w:lineRule="auto"/>
        <w:ind w:firstLine="720"/>
        <w:rPr>
          <w:sz w:val="26"/>
          <w:szCs w:val="26"/>
        </w:rPr>
      </w:pPr>
      <w:r>
        <w:rPr>
          <w:sz w:val="26"/>
          <w:szCs w:val="26"/>
        </w:rPr>
        <w:tab/>
      </w:r>
      <w:r w:rsidR="00934AA2">
        <w:rPr>
          <w:sz w:val="26"/>
          <w:szCs w:val="26"/>
        </w:rPr>
        <w:t xml:space="preserve">The OCA responds to </w:t>
      </w:r>
      <w:r w:rsidR="0065703A">
        <w:rPr>
          <w:sz w:val="26"/>
          <w:szCs w:val="26"/>
        </w:rPr>
        <w:t>IDT’s claim that the ALJ’s determination will harm the competitive market</w:t>
      </w:r>
      <w:r w:rsidR="00934AA2">
        <w:rPr>
          <w:sz w:val="26"/>
          <w:szCs w:val="26"/>
        </w:rPr>
        <w:t xml:space="preserve"> by referring to </w:t>
      </w:r>
      <w:r w:rsidR="0065703A" w:rsidRPr="0065703A">
        <w:rPr>
          <w:i/>
          <w:sz w:val="26"/>
          <w:szCs w:val="26"/>
        </w:rPr>
        <w:t>Towne</w:t>
      </w:r>
      <w:r w:rsidR="0065703A">
        <w:rPr>
          <w:sz w:val="26"/>
          <w:szCs w:val="26"/>
        </w:rPr>
        <w:t xml:space="preserve">, </w:t>
      </w:r>
      <w:r w:rsidR="00934AA2">
        <w:rPr>
          <w:sz w:val="26"/>
          <w:szCs w:val="26"/>
        </w:rPr>
        <w:t xml:space="preserve">in which </w:t>
      </w:r>
      <w:r w:rsidR="0065703A">
        <w:rPr>
          <w:sz w:val="26"/>
          <w:szCs w:val="26"/>
        </w:rPr>
        <w:t xml:space="preserve">the Commission imposed a $10,000 civil penalty on the </w:t>
      </w:r>
      <w:r>
        <w:rPr>
          <w:sz w:val="26"/>
          <w:szCs w:val="26"/>
        </w:rPr>
        <w:t xml:space="preserve">EGS </w:t>
      </w:r>
      <w:r w:rsidR="0065703A">
        <w:rPr>
          <w:sz w:val="26"/>
          <w:szCs w:val="26"/>
        </w:rPr>
        <w:t xml:space="preserve">Great American Power </w:t>
      </w:r>
      <w:r>
        <w:rPr>
          <w:sz w:val="26"/>
          <w:szCs w:val="26"/>
        </w:rPr>
        <w:t>as a result of</w:t>
      </w:r>
      <w:r w:rsidR="0065703A">
        <w:rPr>
          <w:sz w:val="26"/>
          <w:szCs w:val="26"/>
        </w:rPr>
        <w:t xml:space="preserve"> repeated telemarketing calls that were potentially misleading and lead to slamming.  Refer</w:t>
      </w:r>
      <w:r w:rsidR="00934AA2">
        <w:rPr>
          <w:sz w:val="26"/>
          <w:szCs w:val="26"/>
        </w:rPr>
        <w:t>encing</w:t>
      </w:r>
      <w:r w:rsidR="0065703A">
        <w:rPr>
          <w:sz w:val="26"/>
          <w:szCs w:val="26"/>
        </w:rPr>
        <w:t xml:space="preserve"> multiple sections of subchapter A of our Regulations at 52 Pa. Code §</w:t>
      </w:r>
      <w:r w:rsidR="0065703A" w:rsidRPr="0065703A">
        <w:rPr>
          <w:sz w:val="26"/>
          <w:szCs w:val="26"/>
        </w:rPr>
        <w:t>§</w:t>
      </w:r>
      <w:r w:rsidR="0065703A">
        <w:rPr>
          <w:sz w:val="26"/>
          <w:szCs w:val="26"/>
        </w:rPr>
        <w:t xml:space="preserve"> 54.1-54.10, the OCA refutes IDT’s contention that Mr. Kiback’s Complaint is tainted by the passage of time between his enrollment and the date of the filing of his Complaint</w:t>
      </w:r>
      <w:r w:rsidR="006A20F1">
        <w:rPr>
          <w:sz w:val="26"/>
          <w:szCs w:val="26"/>
        </w:rPr>
        <w:t>.  A</w:t>
      </w:r>
      <w:r w:rsidR="0065703A">
        <w:rPr>
          <w:sz w:val="26"/>
          <w:szCs w:val="26"/>
        </w:rPr>
        <w:t xml:space="preserve">s the OCA states, </w:t>
      </w:r>
      <w:r w:rsidR="003A610C">
        <w:rPr>
          <w:sz w:val="26"/>
          <w:szCs w:val="26"/>
        </w:rPr>
        <w:t>the EGS’ obligations to provide consistent and accurate information extends from the earliest sales and marketing through billing.  To impose a limitation on a customer’s ability to file a complaint for misleading marketing, when the alleged violation does not immediately appear, “could lead to the absurd result that after the passage of the designated time period, the Co. [sic] need not honor any of its promise</w:t>
      </w:r>
      <w:r w:rsidR="00C34494">
        <w:rPr>
          <w:sz w:val="26"/>
          <w:szCs w:val="26"/>
        </w:rPr>
        <w:t>s</w:t>
      </w:r>
      <w:r w:rsidR="003A610C">
        <w:rPr>
          <w:sz w:val="26"/>
          <w:szCs w:val="26"/>
        </w:rPr>
        <w:t xml:space="preserve"> or marketing statements and customers would have no recourse.”  </w:t>
      </w:r>
      <w:r w:rsidR="003A610C">
        <w:rPr>
          <w:i/>
          <w:sz w:val="26"/>
          <w:szCs w:val="26"/>
        </w:rPr>
        <w:t xml:space="preserve">Id. </w:t>
      </w:r>
      <w:r w:rsidR="003A610C">
        <w:rPr>
          <w:sz w:val="26"/>
          <w:szCs w:val="26"/>
        </w:rPr>
        <w:t>at 16.</w:t>
      </w:r>
    </w:p>
    <w:p w:rsidR="00F74E8F" w:rsidRDefault="00F74E8F" w:rsidP="00721551">
      <w:pPr>
        <w:tabs>
          <w:tab w:val="left" w:pos="1440"/>
        </w:tabs>
        <w:spacing w:line="360" w:lineRule="auto"/>
        <w:ind w:firstLine="720"/>
        <w:rPr>
          <w:sz w:val="26"/>
          <w:szCs w:val="26"/>
        </w:rPr>
      </w:pPr>
    </w:p>
    <w:p w:rsidR="00F74E8F" w:rsidRPr="00BB5CB3" w:rsidRDefault="00F74E8F" w:rsidP="00721551">
      <w:pPr>
        <w:tabs>
          <w:tab w:val="left" w:pos="1440"/>
        </w:tabs>
        <w:spacing w:line="360" w:lineRule="auto"/>
        <w:ind w:firstLine="720"/>
        <w:rPr>
          <w:sz w:val="26"/>
          <w:szCs w:val="26"/>
        </w:rPr>
      </w:pPr>
      <w:r>
        <w:rPr>
          <w:sz w:val="26"/>
          <w:szCs w:val="26"/>
        </w:rPr>
        <w:tab/>
        <w:t xml:space="preserve">The OCA also distinguishes </w:t>
      </w:r>
      <w:r>
        <w:rPr>
          <w:i/>
          <w:sz w:val="26"/>
          <w:szCs w:val="26"/>
        </w:rPr>
        <w:t xml:space="preserve">Dawes </w:t>
      </w:r>
      <w:r>
        <w:rPr>
          <w:sz w:val="26"/>
          <w:szCs w:val="26"/>
        </w:rPr>
        <w:t xml:space="preserve">and </w:t>
      </w:r>
      <w:r w:rsidR="00D704C7" w:rsidRPr="00D704C7">
        <w:rPr>
          <w:i/>
          <w:sz w:val="26"/>
          <w:szCs w:val="26"/>
        </w:rPr>
        <w:t>Hoke</w:t>
      </w:r>
      <w:r w:rsidR="00C03A4C">
        <w:rPr>
          <w:sz w:val="26"/>
          <w:szCs w:val="26"/>
        </w:rPr>
        <w:t>,</w:t>
      </w:r>
      <w:r>
        <w:rPr>
          <w:sz w:val="26"/>
          <w:szCs w:val="26"/>
        </w:rPr>
        <w:t xml:space="preserve"> </w:t>
      </w:r>
      <w:r w:rsidR="00BB5CB3">
        <w:rPr>
          <w:sz w:val="26"/>
          <w:szCs w:val="26"/>
        </w:rPr>
        <w:t xml:space="preserve">cases that were </w:t>
      </w:r>
      <w:r>
        <w:rPr>
          <w:sz w:val="26"/>
          <w:szCs w:val="26"/>
        </w:rPr>
        <w:t xml:space="preserve">cited by IDT for the premise that the Commission in prior cases </w:t>
      </w:r>
      <w:r w:rsidRPr="00F74E8F">
        <w:rPr>
          <w:sz w:val="26"/>
          <w:szCs w:val="26"/>
        </w:rPr>
        <w:t>rejected customer allegations that sales promises did not comply with disclosure promises even when a customer timely complained</w:t>
      </w:r>
      <w:r>
        <w:rPr>
          <w:sz w:val="26"/>
          <w:szCs w:val="26"/>
        </w:rPr>
        <w:t xml:space="preserve">.  In </w:t>
      </w:r>
      <w:r>
        <w:rPr>
          <w:i/>
          <w:sz w:val="26"/>
          <w:szCs w:val="26"/>
        </w:rPr>
        <w:t>Dawes</w:t>
      </w:r>
      <w:r>
        <w:rPr>
          <w:sz w:val="26"/>
          <w:szCs w:val="26"/>
        </w:rPr>
        <w:t>, claims the OCA, the record evidence included the recorded TPV, which was pivotal to responding to the customer’s claims in that case but</w:t>
      </w:r>
      <w:r w:rsidR="00D704C7">
        <w:rPr>
          <w:sz w:val="26"/>
          <w:szCs w:val="26"/>
        </w:rPr>
        <w:t>, in contrast,</w:t>
      </w:r>
      <w:r>
        <w:rPr>
          <w:sz w:val="26"/>
          <w:szCs w:val="26"/>
        </w:rPr>
        <w:t xml:space="preserve"> not introduced </w:t>
      </w:r>
      <w:r w:rsidR="009974C4">
        <w:rPr>
          <w:sz w:val="26"/>
          <w:szCs w:val="26"/>
        </w:rPr>
        <w:t>into evidence</w:t>
      </w:r>
      <w:r>
        <w:rPr>
          <w:sz w:val="26"/>
          <w:szCs w:val="26"/>
        </w:rPr>
        <w:t xml:space="preserve"> in this proceeding.  The OCA also contends that in </w:t>
      </w:r>
      <w:r>
        <w:rPr>
          <w:i/>
          <w:sz w:val="26"/>
          <w:szCs w:val="26"/>
        </w:rPr>
        <w:t>Hoke</w:t>
      </w:r>
      <w:r>
        <w:rPr>
          <w:sz w:val="26"/>
          <w:szCs w:val="26"/>
        </w:rPr>
        <w:t xml:space="preserve">, the complainant was confused by different information about the EGS’ rate </w:t>
      </w:r>
      <w:r w:rsidR="00D704C7">
        <w:rPr>
          <w:sz w:val="26"/>
          <w:szCs w:val="26"/>
        </w:rPr>
        <w:t>provided on</w:t>
      </w:r>
      <w:r>
        <w:rPr>
          <w:sz w:val="26"/>
          <w:szCs w:val="26"/>
        </w:rPr>
        <w:t xml:space="preserve"> the Commission’s PAPowerSwitch website, which resulted in a comparison of unlike products and confusion.  </w:t>
      </w:r>
      <w:r>
        <w:rPr>
          <w:i/>
          <w:sz w:val="26"/>
          <w:szCs w:val="26"/>
        </w:rPr>
        <w:t xml:space="preserve">Id. </w:t>
      </w:r>
      <w:r>
        <w:rPr>
          <w:sz w:val="26"/>
          <w:szCs w:val="26"/>
        </w:rPr>
        <w:t>at 16-17.</w:t>
      </w:r>
      <w:r w:rsidR="00BB5CB3">
        <w:rPr>
          <w:sz w:val="26"/>
          <w:szCs w:val="26"/>
        </w:rPr>
        <w:t xml:space="preserve">  Thus factual and record differences account for the different outcomes in </w:t>
      </w:r>
      <w:r w:rsidR="00BB5CB3">
        <w:rPr>
          <w:i/>
          <w:sz w:val="26"/>
          <w:szCs w:val="26"/>
        </w:rPr>
        <w:t xml:space="preserve">Dawes </w:t>
      </w:r>
      <w:r w:rsidR="00BB5CB3">
        <w:rPr>
          <w:sz w:val="26"/>
          <w:szCs w:val="26"/>
        </w:rPr>
        <w:t xml:space="preserve">and </w:t>
      </w:r>
      <w:r w:rsidR="00BB5CB3">
        <w:rPr>
          <w:i/>
          <w:sz w:val="26"/>
          <w:szCs w:val="26"/>
        </w:rPr>
        <w:t>Hoke</w:t>
      </w:r>
      <w:r w:rsidR="00BB5CB3">
        <w:rPr>
          <w:sz w:val="26"/>
          <w:szCs w:val="26"/>
        </w:rPr>
        <w:t>, contends the OCA.</w:t>
      </w:r>
    </w:p>
    <w:p w:rsidR="00F74E8F" w:rsidRDefault="00F74E8F" w:rsidP="00721551">
      <w:pPr>
        <w:tabs>
          <w:tab w:val="left" w:pos="1440"/>
        </w:tabs>
        <w:spacing w:line="360" w:lineRule="auto"/>
        <w:ind w:firstLine="720"/>
        <w:rPr>
          <w:sz w:val="26"/>
          <w:szCs w:val="26"/>
        </w:rPr>
      </w:pPr>
    </w:p>
    <w:p w:rsidR="00EC65B8" w:rsidRPr="00EA4755" w:rsidRDefault="00F74E8F" w:rsidP="005C0844">
      <w:pPr>
        <w:tabs>
          <w:tab w:val="left" w:pos="1440"/>
        </w:tabs>
        <w:spacing w:line="360" w:lineRule="auto"/>
        <w:ind w:firstLine="720"/>
        <w:rPr>
          <w:sz w:val="26"/>
          <w:szCs w:val="26"/>
        </w:rPr>
      </w:pPr>
      <w:r>
        <w:rPr>
          <w:sz w:val="26"/>
          <w:szCs w:val="26"/>
        </w:rPr>
        <w:lastRenderedPageBreak/>
        <w:tab/>
        <w:t>Finally, in response to IDT’s third Exception, taken to the ALJ’s imposition of civil penalties for each violation of Sections 54.4 and 111.10(a)(3)</w:t>
      </w:r>
      <w:r w:rsidR="00BB5CB3" w:rsidRPr="00BB5CB3">
        <w:rPr>
          <w:sz w:val="26"/>
          <w:szCs w:val="26"/>
        </w:rPr>
        <w:t xml:space="preserve"> of our Regulations</w:t>
      </w:r>
      <w:r>
        <w:rPr>
          <w:sz w:val="26"/>
          <w:szCs w:val="26"/>
        </w:rPr>
        <w:t xml:space="preserve">, 52 Pa. Code §§ 54.4 and 111.10(a)(3), as well as the </w:t>
      </w:r>
      <w:r w:rsidR="00BB5CB3">
        <w:rPr>
          <w:sz w:val="26"/>
          <w:szCs w:val="26"/>
        </w:rPr>
        <w:t xml:space="preserve">ALJ’s </w:t>
      </w:r>
      <w:r>
        <w:rPr>
          <w:sz w:val="26"/>
          <w:szCs w:val="26"/>
        </w:rPr>
        <w:t xml:space="preserve">order of a </w:t>
      </w:r>
      <w:r w:rsidR="005C0844">
        <w:rPr>
          <w:sz w:val="26"/>
          <w:szCs w:val="26"/>
        </w:rPr>
        <w:t>credit</w:t>
      </w:r>
      <w:r>
        <w:rPr>
          <w:sz w:val="26"/>
          <w:szCs w:val="26"/>
        </w:rPr>
        <w:t>,</w:t>
      </w:r>
      <w:r w:rsidR="005C0844">
        <w:rPr>
          <w:rStyle w:val="FootnoteReference"/>
        </w:rPr>
        <w:footnoteReference w:id="4"/>
      </w:r>
      <w:r>
        <w:rPr>
          <w:sz w:val="26"/>
          <w:szCs w:val="26"/>
        </w:rPr>
        <w:t xml:space="preserve"> the OCA contends that </w:t>
      </w:r>
      <w:r w:rsidR="005C0844">
        <w:rPr>
          <w:sz w:val="26"/>
          <w:szCs w:val="26"/>
        </w:rPr>
        <w:t xml:space="preserve">this </w:t>
      </w:r>
      <w:r w:rsidR="00D704C7">
        <w:rPr>
          <w:sz w:val="26"/>
          <w:szCs w:val="26"/>
        </w:rPr>
        <w:t>E</w:t>
      </w:r>
      <w:r w:rsidR="005C0844">
        <w:rPr>
          <w:sz w:val="26"/>
          <w:szCs w:val="26"/>
        </w:rPr>
        <w:t xml:space="preserve">xception should be dismissed as contrary to the record and Commission Regulations and policy.  </w:t>
      </w:r>
      <w:r w:rsidR="005C0844">
        <w:rPr>
          <w:i/>
          <w:sz w:val="26"/>
          <w:szCs w:val="26"/>
        </w:rPr>
        <w:t>Id.</w:t>
      </w:r>
      <w:r w:rsidR="005C0844">
        <w:rPr>
          <w:sz w:val="26"/>
          <w:szCs w:val="26"/>
        </w:rPr>
        <w:t xml:space="preserve"> at 18.  The OCA repeats its argument that Commission precedent and Regulations applicable to marketing and sales clearly require that an EGS bill customers in accordance with prices both as they are marketed and </w:t>
      </w:r>
      <w:r w:rsidR="00D704C7">
        <w:rPr>
          <w:sz w:val="26"/>
          <w:szCs w:val="26"/>
        </w:rPr>
        <w:t xml:space="preserve">as </w:t>
      </w:r>
      <w:r w:rsidR="005C0844">
        <w:rPr>
          <w:sz w:val="26"/>
          <w:szCs w:val="26"/>
        </w:rPr>
        <w:t xml:space="preserve">contained in the disclosure statement.  The OCA also </w:t>
      </w:r>
      <w:r w:rsidR="00D704C7">
        <w:rPr>
          <w:sz w:val="26"/>
          <w:szCs w:val="26"/>
        </w:rPr>
        <w:t>asserts</w:t>
      </w:r>
      <w:r w:rsidR="005C0844">
        <w:rPr>
          <w:sz w:val="26"/>
          <w:szCs w:val="26"/>
        </w:rPr>
        <w:t xml:space="preserve"> that IDT’s claim</w:t>
      </w:r>
      <w:r w:rsidR="00EA4755">
        <w:rPr>
          <w:sz w:val="26"/>
          <w:szCs w:val="26"/>
        </w:rPr>
        <w:t>,</w:t>
      </w:r>
      <w:r w:rsidR="005C0844">
        <w:rPr>
          <w:sz w:val="26"/>
          <w:szCs w:val="26"/>
        </w:rPr>
        <w:t xml:space="preserve"> that the ALJ’s analysis </w:t>
      </w:r>
      <w:r w:rsidR="00EA4755">
        <w:rPr>
          <w:sz w:val="26"/>
          <w:szCs w:val="26"/>
        </w:rPr>
        <w:t xml:space="preserve">of violations </w:t>
      </w:r>
      <w:r w:rsidR="005C0844">
        <w:rPr>
          <w:sz w:val="26"/>
          <w:szCs w:val="26"/>
        </w:rPr>
        <w:t>is circular</w:t>
      </w:r>
      <w:r w:rsidR="00EA4755">
        <w:rPr>
          <w:sz w:val="26"/>
          <w:szCs w:val="26"/>
        </w:rPr>
        <w:t>,</w:t>
      </w:r>
      <w:r w:rsidR="005C0844">
        <w:rPr>
          <w:sz w:val="26"/>
          <w:szCs w:val="26"/>
        </w:rPr>
        <w:t xml:space="preserve"> is misplaced.  Because the ALJ found that IDT violated both the telemarketing anti-fraud provision in Section 11</w:t>
      </w:r>
      <w:r w:rsidR="00AC2F74">
        <w:rPr>
          <w:sz w:val="26"/>
          <w:szCs w:val="26"/>
        </w:rPr>
        <w:t>1</w:t>
      </w:r>
      <w:r w:rsidR="005C0844">
        <w:rPr>
          <w:sz w:val="26"/>
          <w:szCs w:val="26"/>
        </w:rPr>
        <w:t xml:space="preserve">.10 and the billing provision of Section 54.4(a), noncompliance with each of those individual </w:t>
      </w:r>
      <w:r w:rsidR="00D704C7">
        <w:rPr>
          <w:sz w:val="26"/>
          <w:szCs w:val="26"/>
        </w:rPr>
        <w:t>R</w:t>
      </w:r>
      <w:r w:rsidR="005C0844">
        <w:rPr>
          <w:sz w:val="26"/>
          <w:szCs w:val="26"/>
        </w:rPr>
        <w:t>egulations supports separate civil penalties</w:t>
      </w:r>
      <w:r w:rsidR="00BB5CB3">
        <w:rPr>
          <w:sz w:val="26"/>
          <w:szCs w:val="26"/>
        </w:rPr>
        <w:t xml:space="preserve"> in accordance with Section 3301(a) of the Code, 66 Pa. C.S. § 3301(a), contends the OCA</w:t>
      </w:r>
      <w:r w:rsidR="005C0844">
        <w:rPr>
          <w:sz w:val="26"/>
          <w:szCs w:val="26"/>
        </w:rPr>
        <w:t xml:space="preserve">.  The OCA also </w:t>
      </w:r>
      <w:r w:rsidR="00BB5CB3">
        <w:rPr>
          <w:sz w:val="26"/>
          <w:szCs w:val="26"/>
        </w:rPr>
        <w:t>states</w:t>
      </w:r>
      <w:r w:rsidR="005C0844">
        <w:rPr>
          <w:sz w:val="26"/>
          <w:szCs w:val="26"/>
        </w:rPr>
        <w:t xml:space="preserve"> that it is within the Commission’s authority to correct an overbilling </w:t>
      </w:r>
      <w:r w:rsidR="005A632A">
        <w:rPr>
          <w:sz w:val="26"/>
          <w:szCs w:val="26"/>
        </w:rPr>
        <w:t>under authori</w:t>
      </w:r>
      <w:r w:rsidR="005C0844">
        <w:rPr>
          <w:sz w:val="26"/>
          <w:szCs w:val="26"/>
        </w:rPr>
        <w:t xml:space="preserve">ty of our decision in </w:t>
      </w:r>
      <w:r w:rsidR="00EA4755">
        <w:rPr>
          <w:i/>
          <w:sz w:val="26"/>
          <w:szCs w:val="26"/>
        </w:rPr>
        <w:t>IDT December 2014 Order</w:t>
      </w:r>
      <w:r w:rsidR="00EA4755">
        <w:rPr>
          <w:sz w:val="26"/>
          <w:szCs w:val="26"/>
        </w:rPr>
        <w:t xml:space="preserve">.  </w:t>
      </w:r>
      <w:r w:rsidR="00EA4755">
        <w:rPr>
          <w:i/>
          <w:sz w:val="26"/>
          <w:szCs w:val="26"/>
        </w:rPr>
        <w:t xml:space="preserve">Id. </w:t>
      </w:r>
      <w:r w:rsidR="00EA4755">
        <w:rPr>
          <w:sz w:val="26"/>
          <w:szCs w:val="26"/>
        </w:rPr>
        <w:t>at 18-</w:t>
      </w:r>
      <w:r w:rsidR="00BB5CB3">
        <w:rPr>
          <w:sz w:val="26"/>
          <w:szCs w:val="26"/>
        </w:rPr>
        <w:t>20</w:t>
      </w:r>
      <w:r w:rsidR="00EA4755">
        <w:rPr>
          <w:sz w:val="26"/>
          <w:szCs w:val="26"/>
        </w:rPr>
        <w:t>.</w:t>
      </w:r>
    </w:p>
    <w:p w:rsidR="00EC65B8" w:rsidRDefault="00EC65B8" w:rsidP="001E3FBF">
      <w:pPr>
        <w:spacing w:line="360" w:lineRule="auto"/>
        <w:rPr>
          <w:sz w:val="26"/>
          <w:szCs w:val="26"/>
        </w:rPr>
      </w:pPr>
    </w:p>
    <w:p w:rsidR="008A067A" w:rsidRPr="008A067A" w:rsidRDefault="00D655F2" w:rsidP="002A5A92">
      <w:pPr>
        <w:spacing w:line="360" w:lineRule="auto"/>
        <w:rPr>
          <w:b/>
          <w:sz w:val="26"/>
          <w:szCs w:val="26"/>
        </w:rPr>
      </w:pPr>
      <w:r>
        <w:rPr>
          <w:sz w:val="26"/>
          <w:szCs w:val="26"/>
        </w:rPr>
        <w:tab/>
      </w:r>
      <w:r>
        <w:rPr>
          <w:sz w:val="26"/>
          <w:szCs w:val="26"/>
        </w:rPr>
        <w:tab/>
      </w:r>
      <w:r w:rsidR="008A067A" w:rsidRPr="008A067A">
        <w:rPr>
          <w:b/>
          <w:sz w:val="26"/>
          <w:szCs w:val="26"/>
        </w:rPr>
        <w:t>Disposition</w:t>
      </w:r>
    </w:p>
    <w:p w:rsidR="0055430E" w:rsidRDefault="0055430E" w:rsidP="002A5A92">
      <w:pPr>
        <w:spacing w:line="360" w:lineRule="auto"/>
        <w:rPr>
          <w:sz w:val="26"/>
          <w:szCs w:val="26"/>
        </w:rPr>
      </w:pPr>
    </w:p>
    <w:p w:rsidR="00C91D65" w:rsidRPr="00C91D65" w:rsidRDefault="008A067A" w:rsidP="00C91D65">
      <w:pPr>
        <w:spacing w:line="360" w:lineRule="auto"/>
        <w:rPr>
          <w:sz w:val="26"/>
          <w:szCs w:val="26"/>
        </w:rPr>
      </w:pPr>
      <w:r>
        <w:rPr>
          <w:sz w:val="26"/>
          <w:szCs w:val="26"/>
        </w:rPr>
        <w:tab/>
      </w:r>
      <w:r>
        <w:rPr>
          <w:sz w:val="26"/>
          <w:szCs w:val="26"/>
        </w:rPr>
        <w:tab/>
      </w:r>
      <w:r w:rsidR="00F40D89">
        <w:rPr>
          <w:sz w:val="26"/>
          <w:szCs w:val="26"/>
        </w:rPr>
        <w:t xml:space="preserve">Our customer choice </w:t>
      </w:r>
      <w:r w:rsidR="00CF30D7">
        <w:rPr>
          <w:sz w:val="26"/>
          <w:szCs w:val="26"/>
        </w:rPr>
        <w:t>R</w:t>
      </w:r>
      <w:r w:rsidR="00F40D89">
        <w:rPr>
          <w:sz w:val="26"/>
          <w:szCs w:val="26"/>
        </w:rPr>
        <w:t>egulations are</w:t>
      </w:r>
      <w:r w:rsidR="00C91D65">
        <w:rPr>
          <w:sz w:val="26"/>
          <w:szCs w:val="26"/>
        </w:rPr>
        <w:t xml:space="preserve"> devoted to </w:t>
      </w:r>
      <w:r w:rsidR="00F40D89">
        <w:rPr>
          <w:sz w:val="26"/>
          <w:szCs w:val="26"/>
        </w:rPr>
        <w:t>establishing a regulatory framework</w:t>
      </w:r>
      <w:r w:rsidR="00F974B1">
        <w:rPr>
          <w:sz w:val="26"/>
          <w:szCs w:val="26"/>
        </w:rPr>
        <w:t xml:space="preserve"> </w:t>
      </w:r>
      <w:r w:rsidR="00F40D89">
        <w:rPr>
          <w:sz w:val="26"/>
          <w:szCs w:val="26"/>
        </w:rPr>
        <w:t>t</w:t>
      </w:r>
      <w:r w:rsidR="00F974B1">
        <w:rPr>
          <w:sz w:val="26"/>
          <w:szCs w:val="26"/>
        </w:rPr>
        <w:t xml:space="preserve">hat ensures full and fair implementation of </w:t>
      </w:r>
      <w:r w:rsidR="00F40D89">
        <w:rPr>
          <w:sz w:val="26"/>
          <w:szCs w:val="26"/>
        </w:rPr>
        <w:t xml:space="preserve">a competitive market </w:t>
      </w:r>
      <w:r w:rsidR="00F974B1">
        <w:rPr>
          <w:sz w:val="26"/>
          <w:szCs w:val="26"/>
        </w:rPr>
        <w:t>for all stakeholders</w:t>
      </w:r>
      <w:r w:rsidR="00B60969">
        <w:rPr>
          <w:sz w:val="26"/>
          <w:szCs w:val="26"/>
        </w:rPr>
        <w:t xml:space="preserve">, including </w:t>
      </w:r>
      <w:r w:rsidR="00F40D89">
        <w:rPr>
          <w:sz w:val="26"/>
          <w:szCs w:val="26"/>
        </w:rPr>
        <w:t>competitive providers</w:t>
      </w:r>
      <w:r w:rsidR="00B60969">
        <w:rPr>
          <w:sz w:val="26"/>
          <w:szCs w:val="26"/>
        </w:rPr>
        <w:t>, their</w:t>
      </w:r>
      <w:r w:rsidR="00F40D89">
        <w:rPr>
          <w:sz w:val="26"/>
          <w:szCs w:val="26"/>
        </w:rPr>
        <w:t xml:space="preserve"> </w:t>
      </w:r>
      <w:r w:rsidR="00F974B1">
        <w:rPr>
          <w:sz w:val="26"/>
          <w:szCs w:val="26"/>
        </w:rPr>
        <w:t xml:space="preserve">representatives, </w:t>
      </w:r>
      <w:r w:rsidR="00B60969">
        <w:rPr>
          <w:sz w:val="26"/>
          <w:szCs w:val="26"/>
        </w:rPr>
        <w:t xml:space="preserve">and their </w:t>
      </w:r>
      <w:r w:rsidR="00F974B1">
        <w:rPr>
          <w:sz w:val="26"/>
          <w:szCs w:val="26"/>
        </w:rPr>
        <w:t xml:space="preserve">customers.  </w:t>
      </w:r>
      <w:r w:rsidR="00F40D89">
        <w:rPr>
          <w:sz w:val="26"/>
          <w:szCs w:val="26"/>
        </w:rPr>
        <w:t>Chapter 54</w:t>
      </w:r>
      <w:r w:rsidR="009C6378">
        <w:rPr>
          <w:sz w:val="26"/>
          <w:szCs w:val="26"/>
        </w:rPr>
        <w:t xml:space="preserve">, </w:t>
      </w:r>
      <w:r w:rsidR="00F40D89">
        <w:rPr>
          <w:sz w:val="26"/>
          <w:szCs w:val="26"/>
        </w:rPr>
        <w:t xml:space="preserve">subchapter A, </w:t>
      </w:r>
      <w:r w:rsidR="00F974B1">
        <w:rPr>
          <w:sz w:val="26"/>
          <w:szCs w:val="26"/>
        </w:rPr>
        <w:t>address</w:t>
      </w:r>
      <w:r w:rsidR="009C6378">
        <w:rPr>
          <w:sz w:val="26"/>
          <w:szCs w:val="26"/>
        </w:rPr>
        <w:t>ing</w:t>
      </w:r>
      <w:r w:rsidR="00F974B1">
        <w:rPr>
          <w:sz w:val="26"/>
          <w:szCs w:val="26"/>
        </w:rPr>
        <w:t xml:space="preserve"> customer information, </w:t>
      </w:r>
      <w:r w:rsidR="009C6378">
        <w:rPr>
          <w:sz w:val="26"/>
          <w:szCs w:val="26"/>
        </w:rPr>
        <w:t xml:space="preserve">is intended </w:t>
      </w:r>
      <w:r w:rsidR="008E30AD" w:rsidRPr="008E30AD">
        <w:rPr>
          <w:sz w:val="26"/>
          <w:szCs w:val="26"/>
        </w:rPr>
        <w:t xml:space="preserve">“to require that electricity providers enable customers to make informed choices . . . by providing adequate and accurate customer information.”  52 Pa. Code § 54.1.  </w:t>
      </w:r>
      <w:r w:rsidR="008E30AD">
        <w:rPr>
          <w:sz w:val="26"/>
          <w:szCs w:val="26"/>
        </w:rPr>
        <w:t xml:space="preserve">Customer information includes </w:t>
      </w:r>
      <w:r w:rsidR="00C91D65" w:rsidRPr="00C91D65">
        <w:rPr>
          <w:sz w:val="26"/>
          <w:szCs w:val="26"/>
        </w:rPr>
        <w:t>written, oral, and electronic communications used by providers to communicate prices and terms to consumers</w:t>
      </w:r>
      <w:r w:rsidR="00C91D65">
        <w:rPr>
          <w:sz w:val="26"/>
          <w:szCs w:val="26"/>
        </w:rPr>
        <w:t xml:space="preserve"> under the definition of customer information</w:t>
      </w:r>
      <w:r w:rsidR="00C91D65" w:rsidRPr="00C91D65">
        <w:rPr>
          <w:sz w:val="26"/>
          <w:szCs w:val="26"/>
        </w:rPr>
        <w:t xml:space="preserve">.  52 Pa. Code § 54.2.  </w:t>
      </w:r>
      <w:r w:rsidR="00F974B1">
        <w:rPr>
          <w:sz w:val="26"/>
          <w:szCs w:val="26"/>
        </w:rPr>
        <w:t>P</w:t>
      </w:r>
      <w:r w:rsidR="00F974B1" w:rsidRPr="00F974B1">
        <w:rPr>
          <w:sz w:val="26"/>
          <w:szCs w:val="26"/>
        </w:rPr>
        <w:t xml:space="preserve">rices billed </w:t>
      </w:r>
      <w:r w:rsidR="00F974B1">
        <w:rPr>
          <w:sz w:val="26"/>
          <w:szCs w:val="26"/>
        </w:rPr>
        <w:t xml:space="preserve">must </w:t>
      </w:r>
      <w:r w:rsidR="00F974B1" w:rsidRPr="00F974B1">
        <w:rPr>
          <w:sz w:val="26"/>
          <w:szCs w:val="26"/>
        </w:rPr>
        <w:t xml:space="preserve">reflect the prices marketed and </w:t>
      </w:r>
      <w:r w:rsidR="00F974B1" w:rsidRPr="00F974B1">
        <w:rPr>
          <w:sz w:val="26"/>
          <w:szCs w:val="26"/>
        </w:rPr>
        <w:lastRenderedPageBreak/>
        <w:t>agreed to in the disclosure statement</w:t>
      </w:r>
      <w:r w:rsidR="00F974B1">
        <w:rPr>
          <w:sz w:val="26"/>
          <w:szCs w:val="26"/>
        </w:rPr>
        <w:t xml:space="preserve">.  </w:t>
      </w:r>
      <w:r w:rsidR="00F974B1" w:rsidRPr="00F974B1">
        <w:rPr>
          <w:sz w:val="26"/>
          <w:szCs w:val="26"/>
        </w:rPr>
        <w:t>52 Pa. Code § 54.4(a)</w:t>
      </w:r>
      <w:r w:rsidR="00F974B1">
        <w:rPr>
          <w:sz w:val="26"/>
          <w:szCs w:val="26"/>
        </w:rPr>
        <w:t>.  A</w:t>
      </w:r>
      <w:r w:rsidR="00F974B1" w:rsidRPr="00F974B1">
        <w:rPr>
          <w:sz w:val="26"/>
          <w:szCs w:val="26"/>
        </w:rPr>
        <w:t xml:space="preserve">dvertised prices </w:t>
      </w:r>
      <w:r w:rsidR="00F974B1">
        <w:rPr>
          <w:sz w:val="26"/>
          <w:szCs w:val="26"/>
        </w:rPr>
        <w:t xml:space="preserve">must </w:t>
      </w:r>
      <w:r w:rsidR="00F974B1" w:rsidRPr="00F974B1">
        <w:rPr>
          <w:sz w:val="26"/>
          <w:szCs w:val="26"/>
        </w:rPr>
        <w:t>reflect prices billed and in disclosure statements</w:t>
      </w:r>
      <w:r w:rsidR="00F974B1">
        <w:rPr>
          <w:sz w:val="26"/>
          <w:szCs w:val="26"/>
        </w:rPr>
        <w:t xml:space="preserve">.  </w:t>
      </w:r>
      <w:r w:rsidR="00F974B1" w:rsidRPr="00F974B1">
        <w:rPr>
          <w:sz w:val="26"/>
          <w:szCs w:val="26"/>
        </w:rPr>
        <w:t xml:space="preserve">52 Pa. Code § 54.7. </w:t>
      </w:r>
      <w:r w:rsidR="00F974B1">
        <w:rPr>
          <w:sz w:val="26"/>
          <w:szCs w:val="26"/>
        </w:rPr>
        <w:t xml:space="preserve"> </w:t>
      </w:r>
      <w:r w:rsidR="008E30AD">
        <w:rPr>
          <w:sz w:val="26"/>
          <w:szCs w:val="26"/>
        </w:rPr>
        <w:t>All of th</w:t>
      </w:r>
      <w:r w:rsidR="00C91D65" w:rsidRPr="00C91D65">
        <w:rPr>
          <w:sz w:val="26"/>
          <w:szCs w:val="26"/>
        </w:rPr>
        <w:t>is information is subject to our review</w:t>
      </w:r>
      <w:r w:rsidR="00F974B1">
        <w:rPr>
          <w:sz w:val="26"/>
          <w:szCs w:val="26"/>
        </w:rPr>
        <w:t xml:space="preserve"> </w:t>
      </w:r>
      <w:r w:rsidR="00C91D65" w:rsidRPr="00C91D65">
        <w:rPr>
          <w:sz w:val="26"/>
          <w:szCs w:val="26"/>
        </w:rPr>
        <w:t>for compliance purposes. 52 Pa. Code § 54.9.</w:t>
      </w:r>
    </w:p>
    <w:p w:rsidR="00C91D65" w:rsidRPr="00C91D65" w:rsidRDefault="00C91D65" w:rsidP="00C91D65">
      <w:pPr>
        <w:spacing w:line="360" w:lineRule="auto"/>
        <w:rPr>
          <w:sz w:val="26"/>
          <w:szCs w:val="26"/>
        </w:rPr>
      </w:pPr>
    </w:p>
    <w:p w:rsidR="00CF170C" w:rsidRDefault="00C91D65" w:rsidP="00C91D65">
      <w:pPr>
        <w:tabs>
          <w:tab w:val="left" w:pos="1440"/>
        </w:tabs>
        <w:spacing w:line="360" w:lineRule="auto"/>
        <w:rPr>
          <w:sz w:val="26"/>
          <w:szCs w:val="26"/>
        </w:rPr>
      </w:pPr>
      <w:r>
        <w:rPr>
          <w:bCs/>
          <w:sz w:val="26"/>
          <w:szCs w:val="26"/>
          <w:lang w:bidi="en-US"/>
        </w:rPr>
        <w:tab/>
      </w:r>
      <w:r w:rsidR="00F974B1">
        <w:rPr>
          <w:bCs/>
          <w:sz w:val="26"/>
          <w:szCs w:val="26"/>
          <w:lang w:bidi="en-US"/>
        </w:rPr>
        <w:t>Subchapter B addresses EGS licensing and standards</w:t>
      </w:r>
      <w:r w:rsidR="008E30AD">
        <w:rPr>
          <w:bCs/>
          <w:sz w:val="26"/>
          <w:szCs w:val="26"/>
          <w:lang w:bidi="en-US"/>
        </w:rPr>
        <w:t xml:space="preserve">, with </w:t>
      </w:r>
      <w:r w:rsidR="00845FC6" w:rsidRPr="00845FC6">
        <w:rPr>
          <w:bCs/>
          <w:sz w:val="26"/>
          <w:szCs w:val="26"/>
          <w:lang w:bidi="en-US"/>
        </w:rPr>
        <w:t>Section 54.43</w:t>
      </w:r>
      <w:r w:rsidR="008E30AD">
        <w:rPr>
          <w:bCs/>
          <w:sz w:val="26"/>
          <w:szCs w:val="26"/>
          <w:lang w:bidi="en-US"/>
        </w:rPr>
        <w:t xml:space="preserve"> </w:t>
      </w:r>
      <w:r w:rsidR="00845FC6">
        <w:rPr>
          <w:bCs/>
          <w:sz w:val="26"/>
          <w:szCs w:val="26"/>
          <w:lang w:bidi="en-US"/>
        </w:rPr>
        <w:t>govern</w:t>
      </w:r>
      <w:r w:rsidR="008E30AD">
        <w:rPr>
          <w:bCs/>
          <w:sz w:val="26"/>
          <w:szCs w:val="26"/>
          <w:lang w:bidi="en-US"/>
        </w:rPr>
        <w:t>ing</w:t>
      </w:r>
      <w:r w:rsidR="00845FC6">
        <w:rPr>
          <w:bCs/>
          <w:sz w:val="26"/>
          <w:szCs w:val="26"/>
          <w:lang w:bidi="en-US"/>
        </w:rPr>
        <w:t xml:space="preserve"> </w:t>
      </w:r>
      <w:r w:rsidR="00845FC6" w:rsidRPr="00845FC6">
        <w:rPr>
          <w:bCs/>
          <w:sz w:val="26"/>
          <w:szCs w:val="26"/>
          <w:lang w:bidi="en-US"/>
        </w:rPr>
        <w:t xml:space="preserve">EGS standards and billing practices.  </w:t>
      </w:r>
      <w:r w:rsidR="008E30AD" w:rsidRPr="008E30AD">
        <w:rPr>
          <w:bCs/>
          <w:sz w:val="26"/>
          <w:szCs w:val="26"/>
          <w:lang w:bidi="en-US"/>
        </w:rPr>
        <w:t>52 Pa. Code § 54.43</w:t>
      </w:r>
      <w:r w:rsidR="008E30AD">
        <w:rPr>
          <w:bCs/>
          <w:sz w:val="26"/>
          <w:szCs w:val="26"/>
          <w:lang w:bidi="en-US"/>
        </w:rPr>
        <w:t xml:space="preserve">.  These </w:t>
      </w:r>
      <w:r w:rsidR="00845FC6" w:rsidRPr="00845FC6">
        <w:rPr>
          <w:bCs/>
          <w:sz w:val="26"/>
          <w:szCs w:val="26"/>
          <w:lang w:bidi="en-US"/>
        </w:rPr>
        <w:t>Regulation</w:t>
      </w:r>
      <w:r w:rsidR="00B60969">
        <w:rPr>
          <w:bCs/>
          <w:sz w:val="26"/>
          <w:szCs w:val="26"/>
          <w:lang w:bidi="en-US"/>
        </w:rPr>
        <w:t>s</w:t>
      </w:r>
      <w:r w:rsidR="00845FC6" w:rsidRPr="00845FC6">
        <w:rPr>
          <w:bCs/>
          <w:sz w:val="26"/>
          <w:szCs w:val="26"/>
          <w:lang w:bidi="en-US"/>
        </w:rPr>
        <w:t xml:space="preserve"> require that consumers be provided accurate information </w:t>
      </w:r>
      <w:r w:rsidR="008E30AD">
        <w:rPr>
          <w:bCs/>
          <w:sz w:val="26"/>
          <w:szCs w:val="26"/>
          <w:lang w:bidi="en-US"/>
        </w:rPr>
        <w:t xml:space="preserve">about their services.  52 Pa. Code § 54.43(1).  The Regulations also hold EGSs </w:t>
      </w:r>
      <w:r w:rsidR="00845FC6" w:rsidRPr="00845FC6">
        <w:rPr>
          <w:bCs/>
          <w:sz w:val="26"/>
          <w:szCs w:val="26"/>
          <w:lang w:bidi="en-US"/>
        </w:rPr>
        <w:t xml:space="preserve">responsible for any fraudulent, deceptive, or other unlawful marketing or billing acts by employees, agents, or representatives.  </w:t>
      </w:r>
      <w:r w:rsidR="008E30AD">
        <w:rPr>
          <w:bCs/>
          <w:sz w:val="26"/>
          <w:szCs w:val="26"/>
          <w:lang w:bidi="en-US"/>
        </w:rPr>
        <w:t xml:space="preserve">52 Pa. Code § </w:t>
      </w:r>
      <w:r w:rsidR="00845FC6" w:rsidRPr="00845FC6">
        <w:rPr>
          <w:bCs/>
          <w:sz w:val="26"/>
          <w:szCs w:val="26"/>
          <w:lang w:bidi="en-US"/>
        </w:rPr>
        <w:t>54.43(f).</w:t>
      </w:r>
    </w:p>
    <w:p w:rsidR="00C91D65" w:rsidRDefault="00C91D65" w:rsidP="00D0593C">
      <w:pPr>
        <w:spacing w:line="360" w:lineRule="auto"/>
        <w:rPr>
          <w:sz w:val="26"/>
          <w:szCs w:val="26"/>
        </w:rPr>
      </w:pPr>
    </w:p>
    <w:p w:rsidR="00ED343D" w:rsidRDefault="00F974B1" w:rsidP="00F974B1">
      <w:pPr>
        <w:spacing w:line="360" w:lineRule="auto"/>
        <w:rPr>
          <w:bCs/>
          <w:sz w:val="26"/>
          <w:szCs w:val="26"/>
          <w:lang w:bidi="en-US"/>
        </w:rPr>
      </w:pPr>
      <w:r w:rsidRPr="00F974B1">
        <w:rPr>
          <w:sz w:val="26"/>
          <w:szCs w:val="26"/>
        </w:rPr>
        <w:tab/>
      </w:r>
      <w:r w:rsidRPr="00F974B1">
        <w:rPr>
          <w:sz w:val="26"/>
          <w:szCs w:val="26"/>
        </w:rPr>
        <w:tab/>
        <w:t xml:space="preserve">Additionally, </w:t>
      </w:r>
      <w:r w:rsidR="00ED343D">
        <w:rPr>
          <w:sz w:val="26"/>
          <w:szCs w:val="26"/>
        </w:rPr>
        <w:t xml:space="preserve">the current </w:t>
      </w:r>
      <w:r w:rsidR="00782F4A">
        <w:rPr>
          <w:sz w:val="26"/>
          <w:szCs w:val="26"/>
        </w:rPr>
        <w:t xml:space="preserve">Chapter 111 of our </w:t>
      </w:r>
      <w:r w:rsidRPr="00F974B1">
        <w:rPr>
          <w:sz w:val="26"/>
          <w:szCs w:val="26"/>
        </w:rPr>
        <w:t xml:space="preserve">Regulations, 52 Pa. Code §§ </w:t>
      </w:r>
      <w:r w:rsidR="00782F4A">
        <w:rPr>
          <w:sz w:val="26"/>
          <w:szCs w:val="26"/>
        </w:rPr>
        <w:t>111.1</w:t>
      </w:r>
      <w:r w:rsidRPr="00F974B1">
        <w:rPr>
          <w:sz w:val="26"/>
          <w:szCs w:val="26"/>
        </w:rPr>
        <w:t>-</w:t>
      </w:r>
      <w:r w:rsidR="00782F4A">
        <w:rPr>
          <w:sz w:val="26"/>
          <w:szCs w:val="26"/>
        </w:rPr>
        <w:t>111.14</w:t>
      </w:r>
      <w:r w:rsidRPr="00F974B1">
        <w:rPr>
          <w:sz w:val="26"/>
          <w:szCs w:val="26"/>
        </w:rPr>
        <w:t xml:space="preserve">, </w:t>
      </w:r>
      <w:r w:rsidR="00782F4A">
        <w:rPr>
          <w:sz w:val="26"/>
          <w:szCs w:val="26"/>
        </w:rPr>
        <w:t>governs marketing and sales practices for the retail residential energy market, including</w:t>
      </w:r>
      <w:r w:rsidR="000F6034">
        <w:rPr>
          <w:sz w:val="26"/>
          <w:szCs w:val="26"/>
        </w:rPr>
        <w:t xml:space="preserve"> the conduct of </w:t>
      </w:r>
      <w:r w:rsidR="00782F4A">
        <w:rPr>
          <w:sz w:val="26"/>
          <w:szCs w:val="26"/>
        </w:rPr>
        <w:t>EGSs and natural gas suppliers (NGSs)</w:t>
      </w:r>
      <w:r w:rsidR="000F6034">
        <w:rPr>
          <w:sz w:val="26"/>
          <w:szCs w:val="26"/>
        </w:rPr>
        <w:t xml:space="preserve"> and their agents</w:t>
      </w:r>
      <w:r w:rsidR="00782F4A">
        <w:rPr>
          <w:sz w:val="26"/>
          <w:szCs w:val="26"/>
        </w:rPr>
        <w:t xml:space="preserve">.  This chapter establishes NGS and EGS marketing and sales standards and practices “to ensure the fairness and the integrity of the competitive residential energy market.”  52 Pa. Code § 111.1.  Sales and marketing includes </w:t>
      </w:r>
      <w:r w:rsidR="00FE29E1">
        <w:rPr>
          <w:sz w:val="26"/>
          <w:szCs w:val="26"/>
        </w:rPr>
        <w:t>oral, electronic</w:t>
      </w:r>
      <w:r w:rsidR="006A20F1">
        <w:rPr>
          <w:sz w:val="26"/>
          <w:szCs w:val="26"/>
        </w:rPr>
        <w:t>,</w:t>
      </w:r>
      <w:r w:rsidR="00FE29E1">
        <w:rPr>
          <w:sz w:val="26"/>
          <w:szCs w:val="26"/>
        </w:rPr>
        <w:t xml:space="preserve"> and written communications, which, if done by telephone to induce customers, is telemarketing.  52 Pa. Code § 111.2.  </w:t>
      </w:r>
      <w:r w:rsidR="00FE29E1" w:rsidRPr="00FE29E1">
        <w:rPr>
          <w:bCs/>
          <w:sz w:val="26"/>
          <w:szCs w:val="26"/>
          <w:lang w:bidi="en-US"/>
        </w:rPr>
        <w:t xml:space="preserve">EGSs </w:t>
      </w:r>
      <w:r w:rsidR="00FE29E1">
        <w:rPr>
          <w:bCs/>
          <w:sz w:val="26"/>
          <w:szCs w:val="26"/>
          <w:lang w:bidi="en-US"/>
        </w:rPr>
        <w:t xml:space="preserve">are </w:t>
      </w:r>
      <w:r w:rsidR="00FE29E1" w:rsidRPr="00FE29E1">
        <w:rPr>
          <w:bCs/>
          <w:sz w:val="26"/>
          <w:szCs w:val="26"/>
          <w:lang w:bidi="en-US"/>
        </w:rPr>
        <w:t>responsible for any fraudulent, deceptive, or other unlawful marketing or billing acts by employees, agents, or representatives</w:t>
      </w:r>
      <w:r w:rsidR="00C71332">
        <w:rPr>
          <w:bCs/>
          <w:sz w:val="26"/>
          <w:szCs w:val="26"/>
          <w:lang w:bidi="en-US"/>
        </w:rPr>
        <w:t xml:space="preserve"> under this chapter as well</w:t>
      </w:r>
      <w:r w:rsidR="00FE29E1" w:rsidRPr="00FE29E1">
        <w:rPr>
          <w:bCs/>
          <w:sz w:val="26"/>
          <w:szCs w:val="26"/>
          <w:lang w:bidi="en-US"/>
        </w:rPr>
        <w:t xml:space="preserve">.  52 Pa. Code § </w:t>
      </w:r>
      <w:r w:rsidR="00FE29E1">
        <w:rPr>
          <w:bCs/>
          <w:sz w:val="26"/>
          <w:szCs w:val="26"/>
          <w:lang w:bidi="en-US"/>
        </w:rPr>
        <w:t>111.3</w:t>
      </w:r>
      <w:r w:rsidR="00FE29E1" w:rsidRPr="00FE29E1">
        <w:rPr>
          <w:bCs/>
          <w:sz w:val="26"/>
          <w:szCs w:val="26"/>
          <w:lang w:bidi="en-US"/>
        </w:rPr>
        <w:t>.</w:t>
      </w:r>
      <w:r w:rsidR="00FE29E1">
        <w:rPr>
          <w:bCs/>
          <w:sz w:val="26"/>
          <w:szCs w:val="26"/>
          <w:lang w:bidi="en-US"/>
        </w:rPr>
        <w:t xml:space="preserve">  EGSs are required to train their agents on, </w:t>
      </w:r>
      <w:r w:rsidR="00FE29E1">
        <w:rPr>
          <w:bCs/>
          <w:i/>
          <w:sz w:val="26"/>
          <w:szCs w:val="26"/>
          <w:lang w:bidi="en-US"/>
        </w:rPr>
        <w:t>inter alia</w:t>
      </w:r>
      <w:r w:rsidR="00FE29E1">
        <w:rPr>
          <w:bCs/>
          <w:sz w:val="26"/>
          <w:szCs w:val="26"/>
          <w:lang w:bidi="en-US"/>
        </w:rPr>
        <w:t xml:space="preserve">, marketing, telemarketing, and consumer protections under our Regulations, and must monitor telephonic marketing and sales calls for compliance.  </w:t>
      </w:r>
      <w:r w:rsidR="00FE29E1" w:rsidRPr="00FE29E1">
        <w:rPr>
          <w:bCs/>
          <w:sz w:val="26"/>
          <w:szCs w:val="26"/>
          <w:lang w:bidi="en-US"/>
        </w:rPr>
        <w:t xml:space="preserve">52 Pa. Code § </w:t>
      </w:r>
      <w:r w:rsidR="00FE29E1">
        <w:rPr>
          <w:bCs/>
          <w:sz w:val="26"/>
          <w:szCs w:val="26"/>
          <w:lang w:bidi="en-US"/>
        </w:rPr>
        <w:t>111.5</w:t>
      </w:r>
      <w:r w:rsidR="00FE29E1" w:rsidRPr="00FE29E1">
        <w:rPr>
          <w:bCs/>
          <w:sz w:val="26"/>
          <w:szCs w:val="26"/>
          <w:lang w:bidi="en-US"/>
        </w:rPr>
        <w:t xml:space="preserve">.  </w:t>
      </w:r>
      <w:r w:rsidR="009939E6">
        <w:rPr>
          <w:bCs/>
          <w:sz w:val="26"/>
          <w:szCs w:val="26"/>
          <w:lang w:bidi="en-US"/>
        </w:rPr>
        <w:t>Telemarketing must comply with consumer protection</w:t>
      </w:r>
      <w:r w:rsidR="00C71332">
        <w:rPr>
          <w:bCs/>
          <w:sz w:val="26"/>
          <w:szCs w:val="26"/>
          <w:lang w:bidi="en-US"/>
        </w:rPr>
        <w:t>s</w:t>
      </w:r>
      <w:r w:rsidR="009939E6">
        <w:rPr>
          <w:bCs/>
          <w:sz w:val="26"/>
          <w:szCs w:val="26"/>
          <w:lang w:bidi="en-US"/>
        </w:rPr>
        <w:t xml:space="preserve">, including the Telemarketing and Consumer Fraud and Abuse Prevention Act and applicable federal regulations.  </w:t>
      </w:r>
      <w:r w:rsidR="009939E6" w:rsidRPr="009939E6">
        <w:rPr>
          <w:bCs/>
          <w:sz w:val="26"/>
          <w:szCs w:val="26"/>
          <w:lang w:bidi="en-US"/>
        </w:rPr>
        <w:t>52 Pa. Code § 111.</w:t>
      </w:r>
      <w:r w:rsidR="009939E6">
        <w:rPr>
          <w:bCs/>
          <w:sz w:val="26"/>
          <w:szCs w:val="26"/>
          <w:lang w:bidi="en-US"/>
        </w:rPr>
        <w:t>10</w:t>
      </w:r>
      <w:r w:rsidR="009939E6" w:rsidRPr="009939E6">
        <w:rPr>
          <w:bCs/>
          <w:sz w:val="26"/>
          <w:szCs w:val="26"/>
          <w:lang w:bidi="en-US"/>
        </w:rPr>
        <w:t xml:space="preserve">.  </w:t>
      </w:r>
      <w:r w:rsidR="00FE29E1" w:rsidRPr="00FE29E1">
        <w:rPr>
          <w:bCs/>
          <w:sz w:val="26"/>
          <w:szCs w:val="26"/>
          <w:lang w:bidi="en-US"/>
        </w:rPr>
        <w:t xml:space="preserve"> </w:t>
      </w:r>
      <w:r w:rsidR="002A4BA7">
        <w:rPr>
          <w:bCs/>
          <w:sz w:val="26"/>
          <w:szCs w:val="26"/>
          <w:lang w:bidi="en-US"/>
        </w:rPr>
        <w:t xml:space="preserve">Suppliers may not engage in misleading or deceptive conduct, may not make false or misleading representations including misrepresenting rates or savings offered, and shall provide accurate and timely information in plain language.  </w:t>
      </w:r>
      <w:r w:rsidR="002A4BA7" w:rsidRPr="002A4BA7">
        <w:rPr>
          <w:bCs/>
          <w:sz w:val="26"/>
          <w:szCs w:val="26"/>
          <w:lang w:bidi="en-US"/>
        </w:rPr>
        <w:t>52 Pa. Code § 111.</w:t>
      </w:r>
      <w:r w:rsidR="002A4BA7">
        <w:rPr>
          <w:bCs/>
          <w:sz w:val="26"/>
          <w:szCs w:val="26"/>
          <w:lang w:bidi="en-US"/>
        </w:rPr>
        <w:t>12</w:t>
      </w:r>
      <w:r w:rsidR="002A4BA7" w:rsidRPr="002A4BA7">
        <w:rPr>
          <w:bCs/>
          <w:sz w:val="26"/>
          <w:szCs w:val="26"/>
          <w:lang w:bidi="en-US"/>
        </w:rPr>
        <w:t>.</w:t>
      </w:r>
      <w:r w:rsidR="004A1DE4">
        <w:rPr>
          <w:bCs/>
          <w:sz w:val="26"/>
          <w:szCs w:val="26"/>
          <w:lang w:bidi="en-US"/>
        </w:rPr>
        <w:t xml:space="preserve">  </w:t>
      </w:r>
    </w:p>
    <w:p w:rsidR="00ED343D" w:rsidRDefault="00ED343D" w:rsidP="00F974B1">
      <w:pPr>
        <w:spacing w:line="360" w:lineRule="auto"/>
        <w:rPr>
          <w:bCs/>
          <w:sz w:val="26"/>
          <w:szCs w:val="26"/>
          <w:lang w:bidi="en-US"/>
        </w:rPr>
      </w:pPr>
    </w:p>
    <w:p w:rsidR="001F12A5" w:rsidRDefault="00ED343D" w:rsidP="00404C2C">
      <w:pPr>
        <w:tabs>
          <w:tab w:val="left" w:pos="1440"/>
        </w:tabs>
        <w:spacing w:line="360" w:lineRule="auto"/>
        <w:ind w:firstLine="720"/>
        <w:rPr>
          <w:bCs/>
          <w:sz w:val="26"/>
          <w:szCs w:val="26"/>
          <w:lang w:bidi="en-US"/>
        </w:rPr>
      </w:pPr>
      <w:r>
        <w:rPr>
          <w:bCs/>
          <w:sz w:val="26"/>
          <w:szCs w:val="26"/>
          <w:lang w:bidi="en-US"/>
        </w:rPr>
        <w:tab/>
      </w:r>
      <w:r w:rsidR="004A1DE4">
        <w:rPr>
          <w:bCs/>
          <w:sz w:val="26"/>
          <w:szCs w:val="26"/>
          <w:lang w:bidi="en-US"/>
        </w:rPr>
        <w:t xml:space="preserve">Prior to the </w:t>
      </w:r>
      <w:r w:rsidR="001F12A5">
        <w:rPr>
          <w:bCs/>
          <w:sz w:val="26"/>
          <w:szCs w:val="26"/>
          <w:lang w:bidi="en-US"/>
        </w:rPr>
        <w:t xml:space="preserve">June 2013 effective date </w:t>
      </w:r>
      <w:r w:rsidR="004A1DE4">
        <w:rPr>
          <w:bCs/>
          <w:sz w:val="26"/>
          <w:szCs w:val="26"/>
          <w:lang w:bidi="en-US"/>
        </w:rPr>
        <w:t xml:space="preserve">of </w:t>
      </w:r>
      <w:r>
        <w:rPr>
          <w:bCs/>
          <w:sz w:val="26"/>
          <w:szCs w:val="26"/>
          <w:lang w:bidi="en-US"/>
        </w:rPr>
        <w:t>these Chapter 111</w:t>
      </w:r>
      <w:r w:rsidR="001D2D99">
        <w:rPr>
          <w:bCs/>
          <w:sz w:val="26"/>
          <w:szCs w:val="26"/>
          <w:lang w:bidi="en-US"/>
        </w:rPr>
        <w:t xml:space="preserve"> </w:t>
      </w:r>
      <w:r w:rsidR="004A1DE4">
        <w:rPr>
          <w:bCs/>
          <w:sz w:val="26"/>
          <w:szCs w:val="26"/>
          <w:lang w:bidi="en-US"/>
        </w:rPr>
        <w:t>marketing and sales practices</w:t>
      </w:r>
      <w:r w:rsidR="001D2D99">
        <w:rPr>
          <w:bCs/>
          <w:sz w:val="26"/>
          <w:szCs w:val="26"/>
          <w:lang w:bidi="en-US"/>
        </w:rPr>
        <w:t xml:space="preserve"> Regulations</w:t>
      </w:r>
      <w:r>
        <w:rPr>
          <w:bCs/>
          <w:sz w:val="26"/>
          <w:szCs w:val="26"/>
          <w:lang w:bidi="en-US"/>
        </w:rPr>
        <w:t>,</w:t>
      </w:r>
      <w:r w:rsidR="001D2D99">
        <w:rPr>
          <w:bCs/>
          <w:sz w:val="26"/>
          <w:szCs w:val="26"/>
          <w:lang w:bidi="en-US"/>
        </w:rPr>
        <w:t xml:space="preserve"> </w:t>
      </w:r>
      <w:r w:rsidR="004A1DE4">
        <w:rPr>
          <w:bCs/>
          <w:sz w:val="26"/>
          <w:szCs w:val="26"/>
          <w:lang w:bidi="en-US"/>
        </w:rPr>
        <w:t xml:space="preserve">the activities of participants in our competitive market was regulated by a code of conduct prescribed in our </w:t>
      </w:r>
      <w:r w:rsidR="00FC02B7" w:rsidRPr="00FC02B7">
        <w:rPr>
          <w:bCs/>
          <w:i/>
          <w:sz w:val="26"/>
          <w:szCs w:val="26"/>
          <w:lang w:bidi="en-US"/>
        </w:rPr>
        <w:t>Interim Guidelines on Marketing and Sales Practices for Electric Generation Suppliers and Natural Gas Suppliers</w:t>
      </w:r>
      <w:r w:rsidR="00FC02B7" w:rsidRPr="00A910BC">
        <w:rPr>
          <w:bCs/>
          <w:sz w:val="26"/>
          <w:szCs w:val="26"/>
          <w:lang w:bidi="en-US"/>
        </w:rPr>
        <w:t>, Docket No. M-2010-2185981 (Order entered November 5, 2010)</w:t>
      </w:r>
      <w:r w:rsidR="00404C2C">
        <w:rPr>
          <w:bCs/>
          <w:sz w:val="26"/>
          <w:szCs w:val="26"/>
          <w:lang w:bidi="en-US"/>
        </w:rPr>
        <w:t xml:space="preserve"> </w:t>
      </w:r>
      <w:r w:rsidR="00FC02B7" w:rsidRPr="00FC02B7">
        <w:rPr>
          <w:bCs/>
          <w:i/>
          <w:sz w:val="26"/>
          <w:szCs w:val="26"/>
          <w:lang w:bidi="en-US"/>
        </w:rPr>
        <w:t>(2010 Interim Guidelines)</w:t>
      </w:r>
      <w:r w:rsidR="004A1DE4">
        <w:rPr>
          <w:bCs/>
          <w:sz w:val="26"/>
          <w:szCs w:val="26"/>
          <w:lang w:bidi="en-US"/>
        </w:rPr>
        <w:t xml:space="preserve">.  </w:t>
      </w:r>
      <w:r w:rsidR="001D2D99">
        <w:rPr>
          <w:bCs/>
          <w:sz w:val="26"/>
          <w:szCs w:val="26"/>
          <w:lang w:bidi="en-US"/>
        </w:rPr>
        <w:t xml:space="preserve">The standards </w:t>
      </w:r>
      <w:r w:rsidR="009E24BA">
        <w:rPr>
          <w:bCs/>
          <w:sz w:val="26"/>
          <w:szCs w:val="26"/>
          <w:lang w:bidi="en-US"/>
        </w:rPr>
        <w:t xml:space="preserve">established </w:t>
      </w:r>
      <w:r w:rsidR="001D2D99">
        <w:rPr>
          <w:bCs/>
          <w:sz w:val="26"/>
          <w:szCs w:val="26"/>
          <w:lang w:bidi="en-US"/>
        </w:rPr>
        <w:t xml:space="preserve">under </w:t>
      </w:r>
      <w:r w:rsidR="00200705">
        <w:rPr>
          <w:bCs/>
          <w:sz w:val="26"/>
          <w:szCs w:val="26"/>
          <w:lang w:bidi="en-US"/>
        </w:rPr>
        <w:t xml:space="preserve">our Final Order in </w:t>
      </w:r>
      <w:r w:rsidR="001D2D99">
        <w:rPr>
          <w:bCs/>
          <w:i/>
          <w:sz w:val="26"/>
          <w:szCs w:val="26"/>
          <w:lang w:bidi="en-US"/>
        </w:rPr>
        <w:t xml:space="preserve">2010 Interim Guidelines </w:t>
      </w:r>
      <w:r w:rsidR="001D2D99">
        <w:rPr>
          <w:bCs/>
          <w:sz w:val="26"/>
          <w:szCs w:val="26"/>
          <w:lang w:bidi="en-US"/>
        </w:rPr>
        <w:t xml:space="preserve">are the same as those </w:t>
      </w:r>
      <w:r w:rsidR="009E24BA">
        <w:rPr>
          <w:bCs/>
          <w:sz w:val="26"/>
          <w:szCs w:val="26"/>
          <w:lang w:bidi="en-US"/>
        </w:rPr>
        <w:t>t</w:t>
      </w:r>
      <w:r w:rsidR="001D2D99">
        <w:rPr>
          <w:bCs/>
          <w:sz w:val="26"/>
          <w:szCs w:val="26"/>
          <w:lang w:bidi="en-US"/>
        </w:rPr>
        <w:t xml:space="preserve">he ALJ </w:t>
      </w:r>
      <w:r w:rsidR="009E24BA">
        <w:rPr>
          <w:bCs/>
          <w:sz w:val="26"/>
          <w:szCs w:val="26"/>
          <w:lang w:bidi="en-US"/>
        </w:rPr>
        <w:t xml:space="preserve">found IDT’s agent to have violated, </w:t>
      </w:r>
      <w:r w:rsidR="001D2D99">
        <w:rPr>
          <w:bCs/>
          <w:sz w:val="26"/>
          <w:szCs w:val="26"/>
          <w:lang w:bidi="en-US"/>
        </w:rPr>
        <w:t xml:space="preserve">specifically the Telemarketing and Consumer Fraud and Abuse Prevention Act and applicable federal </w:t>
      </w:r>
      <w:r w:rsidR="009E24BA">
        <w:rPr>
          <w:bCs/>
          <w:sz w:val="26"/>
          <w:szCs w:val="26"/>
          <w:lang w:bidi="en-US"/>
        </w:rPr>
        <w:t>r</w:t>
      </w:r>
      <w:r w:rsidR="001D2D99">
        <w:rPr>
          <w:bCs/>
          <w:sz w:val="26"/>
          <w:szCs w:val="26"/>
          <w:lang w:bidi="en-US"/>
        </w:rPr>
        <w:t xml:space="preserve">egulations, </w:t>
      </w:r>
      <w:r w:rsidR="009E24BA">
        <w:rPr>
          <w:bCs/>
          <w:i/>
          <w:sz w:val="26"/>
          <w:szCs w:val="26"/>
          <w:lang w:bidi="en-US"/>
        </w:rPr>
        <w:t>supra</w:t>
      </w:r>
      <w:r w:rsidR="009E24BA">
        <w:rPr>
          <w:bCs/>
          <w:sz w:val="26"/>
          <w:szCs w:val="26"/>
          <w:lang w:bidi="en-US"/>
        </w:rPr>
        <w:t xml:space="preserve"> at 8</w:t>
      </w:r>
      <w:r w:rsidR="001D2D99">
        <w:rPr>
          <w:bCs/>
          <w:sz w:val="26"/>
          <w:szCs w:val="26"/>
          <w:lang w:bidi="en-US"/>
        </w:rPr>
        <w:t>.</w:t>
      </w:r>
      <w:r w:rsidR="001F12A5">
        <w:rPr>
          <w:rStyle w:val="FootnoteReference"/>
          <w:bCs/>
          <w:lang w:bidi="en-US"/>
        </w:rPr>
        <w:footnoteReference w:id="5"/>
      </w:r>
      <w:r w:rsidR="001D2D99">
        <w:rPr>
          <w:bCs/>
          <w:sz w:val="26"/>
          <w:szCs w:val="26"/>
          <w:lang w:bidi="en-US"/>
        </w:rPr>
        <w:t xml:space="preserve">  </w:t>
      </w:r>
      <w:r w:rsidR="001F12A5">
        <w:rPr>
          <w:bCs/>
          <w:sz w:val="26"/>
          <w:szCs w:val="26"/>
          <w:lang w:bidi="en-US"/>
        </w:rPr>
        <w:t>So, too, was our concern for the development of a fair and robust market.  As we stated then:</w:t>
      </w:r>
    </w:p>
    <w:p w:rsidR="001F12A5" w:rsidRDefault="001F12A5" w:rsidP="00404C2C">
      <w:pPr>
        <w:tabs>
          <w:tab w:val="left" w:pos="1440"/>
        </w:tabs>
        <w:spacing w:line="360" w:lineRule="auto"/>
        <w:ind w:firstLine="720"/>
        <w:rPr>
          <w:bCs/>
          <w:sz w:val="26"/>
          <w:szCs w:val="26"/>
          <w:lang w:bidi="en-US"/>
        </w:rPr>
      </w:pPr>
    </w:p>
    <w:p w:rsidR="001F12A5" w:rsidRDefault="001F12A5" w:rsidP="00404C2C">
      <w:pPr>
        <w:tabs>
          <w:tab w:val="left" w:pos="1440"/>
        </w:tabs>
        <w:ind w:left="1440" w:right="1440" w:firstLine="720"/>
        <w:rPr>
          <w:bCs/>
          <w:sz w:val="26"/>
          <w:szCs w:val="26"/>
          <w:lang w:bidi="en-US"/>
        </w:rPr>
      </w:pPr>
      <w:r>
        <w:rPr>
          <w:bCs/>
          <w:sz w:val="26"/>
          <w:szCs w:val="26"/>
          <w:lang w:bidi="en-US"/>
        </w:rPr>
        <w:t>These guidelines are intended to facilitate the effective operation of a vigorous, dynamic, yet fair, competitive residential energy market, to the benefit of consumers, [suppliers, and distribution companies] alike.  A competitive energy market can provide a positive experience for all consumers.  Suppliers are expected to conduct themselves with these expectations in mind so that their sales and marketing activities do not call into question the fairness and integrity of the competitive market.  Anything that damages the reputation of the competitive market harms not only consumers, but also all suppliers participating in the market.</w:t>
      </w:r>
    </w:p>
    <w:p w:rsidR="001F12A5" w:rsidRDefault="001F12A5" w:rsidP="00404C2C">
      <w:pPr>
        <w:tabs>
          <w:tab w:val="left" w:pos="1440"/>
        </w:tabs>
        <w:spacing w:line="360" w:lineRule="auto"/>
        <w:ind w:firstLine="720"/>
        <w:rPr>
          <w:bCs/>
          <w:sz w:val="26"/>
          <w:szCs w:val="26"/>
          <w:lang w:bidi="en-US"/>
        </w:rPr>
      </w:pPr>
    </w:p>
    <w:p w:rsidR="002A4BA7" w:rsidRPr="004A1DE4" w:rsidRDefault="001F12A5" w:rsidP="00217213">
      <w:pPr>
        <w:tabs>
          <w:tab w:val="left" w:pos="1440"/>
        </w:tabs>
        <w:spacing w:line="360" w:lineRule="auto"/>
        <w:rPr>
          <w:bCs/>
          <w:sz w:val="26"/>
          <w:szCs w:val="26"/>
          <w:lang w:bidi="en-US"/>
        </w:rPr>
      </w:pPr>
      <w:r>
        <w:rPr>
          <w:bCs/>
          <w:i/>
          <w:sz w:val="26"/>
          <w:szCs w:val="26"/>
          <w:lang w:bidi="en-US"/>
        </w:rPr>
        <w:t xml:space="preserve">2010 Interim Guidelines </w:t>
      </w:r>
      <w:r>
        <w:rPr>
          <w:bCs/>
          <w:sz w:val="26"/>
          <w:szCs w:val="26"/>
          <w:lang w:bidi="en-US"/>
        </w:rPr>
        <w:t xml:space="preserve">at 1.  </w:t>
      </w:r>
      <w:r w:rsidR="00CF30D7">
        <w:rPr>
          <w:bCs/>
          <w:sz w:val="26"/>
          <w:szCs w:val="26"/>
          <w:lang w:bidi="en-US"/>
        </w:rPr>
        <w:t>While we find</w:t>
      </w:r>
      <w:r w:rsidR="00FC02B7">
        <w:rPr>
          <w:bCs/>
          <w:sz w:val="26"/>
          <w:szCs w:val="26"/>
          <w:lang w:bidi="en-US"/>
        </w:rPr>
        <w:t xml:space="preserve"> </w:t>
      </w:r>
      <w:r w:rsidR="009E24BA">
        <w:rPr>
          <w:bCs/>
          <w:sz w:val="26"/>
          <w:szCs w:val="26"/>
          <w:lang w:bidi="en-US"/>
        </w:rPr>
        <w:t xml:space="preserve">the ALJ’s disposition of the Complaint </w:t>
      </w:r>
      <w:r w:rsidR="00CF30D7">
        <w:rPr>
          <w:bCs/>
          <w:sz w:val="26"/>
          <w:szCs w:val="26"/>
          <w:lang w:bidi="en-US"/>
        </w:rPr>
        <w:t>to be</w:t>
      </w:r>
      <w:r w:rsidR="009E24BA">
        <w:rPr>
          <w:bCs/>
          <w:sz w:val="26"/>
          <w:szCs w:val="26"/>
          <w:lang w:bidi="en-US"/>
        </w:rPr>
        <w:t xml:space="preserve"> accurate with respect to </w:t>
      </w:r>
      <w:r w:rsidR="00CF30D7">
        <w:rPr>
          <w:bCs/>
          <w:sz w:val="26"/>
          <w:szCs w:val="26"/>
          <w:lang w:bidi="en-US"/>
        </w:rPr>
        <w:t xml:space="preserve">its analysis of </w:t>
      </w:r>
      <w:r w:rsidR="009E24BA">
        <w:rPr>
          <w:bCs/>
          <w:sz w:val="26"/>
          <w:szCs w:val="26"/>
          <w:lang w:bidi="en-US"/>
        </w:rPr>
        <w:t xml:space="preserve">the proscribed conduct, </w:t>
      </w:r>
      <w:r w:rsidR="00FC02B7">
        <w:rPr>
          <w:bCs/>
          <w:sz w:val="26"/>
          <w:szCs w:val="26"/>
          <w:lang w:bidi="en-US"/>
        </w:rPr>
        <w:t xml:space="preserve">it </w:t>
      </w:r>
      <w:r w:rsidR="00CF30D7">
        <w:rPr>
          <w:bCs/>
          <w:sz w:val="26"/>
          <w:szCs w:val="26"/>
          <w:lang w:bidi="en-US"/>
        </w:rPr>
        <w:t xml:space="preserve">relies, in part, on a finding of a violation of our Chapter 111 Regulations rather than our </w:t>
      </w:r>
      <w:r w:rsidR="00CF30D7">
        <w:rPr>
          <w:bCs/>
          <w:i/>
          <w:sz w:val="26"/>
          <w:szCs w:val="26"/>
          <w:lang w:bidi="en-US"/>
        </w:rPr>
        <w:t>2010 Interim Guidelines</w:t>
      </w:r>
      <w:r w:rsidR="009E24BA">
        <w:rPr>
          <w:bCs/>
          <w:sz w:val="26"/>
          <w:szCs w:val="26"/>
          <w:lang w:bidi="en-US"/>
        </w:rPr>
        <w:t xml:space="preserve">.  </w:t>
      </w:r>
      <w:r w:rsidR="00FC02B7">
        <w:rPr>
          <w:bCs/>
          <w:sz w:val="26"/>
          <w:szCs w:val="26"/>
          <w:lang w:bidi="en-US"/>
        </w:rPr>
        <w:t xml:space="preserve">Accordingly, in adopting </w:t>
      </w:r>
      <w:r w:rsidR="009E24BA">
        <w:rPr>
          <w:bCs/>
          <w:sz w:val="26"/>
          <w:szCs w:val="26"/>
          <w:lang w:bidi="en-US"/>
        </w:rPr>
        <w:t>the ALJ’s Initial Decision</w:t>
      </w:r>
      <w:r w:rsidR="00FC02B7">
        <w:rPr>
          <w:bCs/>
          <w:sz w:val="26"/>
          <w:szCs w:val="26"/>
          <w:lang w:bidi="en-US"/>
        </w:rPr>
        <w:t>, we</w:t>
      </w:r>
      <w:r w:rsidR="009E24BA">
        <w:rPr>
          <w:bCs/>
          <w:sz w:val="26"/>
          <w:szCs w:val="26"/>
          <w:lang w:bidi="en-US"/>
        </w:rPr>
        <w:t xml:space="preserve"> </w:t>
      </w:r>
      <w:r w:rsidR="00FC02B7">
        <w:rPr>
          <w:bCs/>
          <w:sz w:val="26"/>
          <w:szCs w:val="26"/>
          <w:lang w:bidi="en-US"/>
        </w:rPr>
        <w:t xml:space="preserve">modify the ALJ’s </w:t>
      </w:r>
      <w:r w:rsidR="009E24BA">
        <w:rPr>
          <w:bCs/>
          <w:sz w:val="26"/>
          <w:szCs w:val="26"/>
          <w:lang w:bidi="en-US"/>
        </w:rPr>
        <w:lastRenderedPageBreak/>
        <w:t>find</w:t>
      </w:r>
      <w:r w:rsidR="00FC02B7">
        <w:rPr>
          <w:bCs/>
          <w:sz w:val="26"/>
          <w:szCs w:val="26"/>
          <w:lang w:bidi="en-US"/>
        </w:rPr>
        <w:t>ing of a violation of Section 111.10(a)(3) of our Regulations to reflect</w:t>
      </w:r>
      <w:r w:rsidR="009E24BA">
        <w:rPr>
          <w:bCs/>
          <w:sz w:val="26"/>
          <w:szCs w:val="26"/>
          <w:lang w:bidi="en-US"/>
        </w:rPr>
        <w:t xml:space="preserve"> a violation of Section H.2 of our </w:t>
      </w:r>
      <w:r w:rsidR="009E24BA">
        <w:rPr>
          <w:bCs/>
          <w:i/>
          <w:sz w:val="26"/>
          <w:szCs w:val="26"/>
          <w:lang w:bidi="en-US"/>
        </w:rPr>
        <w:t xml:space="preserve">2010 Interim </w:t>
      </w:r>
      <w:r w:rsidR="009E24BA" w:rsidRPr="009E24BA">
        <w:rPr>
          <w:bCs/>
          <w:i/>
          <w:sz w:val="26"/>
          <w:szCs w:val="26"/>
          <w:lang w:bidi="en-US"/>
        </w:rPr>
        <w:t>Guidelines</w:t>
      </w:r>
      <w:r w:rsidR="009E24BA">
        <w:rPr>
          <w:bCs/>
          <w:sz w:val="26"/>
          <w:szCs w:val="26"/>
          <w:lang w:bidi="en-US"/>
        </w:rPr>
        <w:t xml:space="preserve"> </w:t>
      </w:r>
      <w:r w:rsidR="00FC02B7">
        <w:rPr>
          <w:bCs/>
          <w:sz w:val="26"/>
          <w:szCs w:val="26"/>
          <w:lang w:bidi="en-US"/>
        </w:rPr>
        <w:t>instead</w:t>
      </w:r>
      <w:r w:rsidR="009E24BA">
        <w:rPr>
          <w:bCs/>
          <w:sz w:val="26"/>
          <w:szCs w:val="26"/>
          <w:lang w:bidi="en-US"/>
        </w:rPr>
        <w:t xml:space="preserve">.  </w:t>
      </w:r>
      <w:r w:rsidR="000C170C">
        <w:rPr>
          <w:bCs/>
          <w:sz w:val="26"/>
          <w:szCs w:val="26"/>
          <w:lang w:bidi="en-US"/>
        </w:rPr>
        <w:t>As we noted in that Final Order, “</w:t>
      </w:r>
      <w:r w:rsidR="000C170C" w:rsidRPr="000C170C">
        <w:rPr>
          <w:bCs/>
          <w:sz w:val="26"/>
          <w:szCs w:val="26"/>
          <w:lang w:bidi="en-US"/>
        </w:rPr>
        <w:t>the majority of the interim guidelines are based on statutory law and regulations that have been properly promulgated through the rulemaking process.  We expect full compliance with these guidelines, and will impose penalties as required.</w:t>
      </w:r>
      <w:r w:rsidR="000C170C">
        <w:rPr>
          <w:bCs/>
          <w:sz w:val="26"/>
          <w:szCs w:val="26"/>
          <w:lang w:bidi="en-US"/>
        </w:rPr>
        <w:t xml:space="preserve">”  </w:t>
      </w:r>
      <w:r w:rsidR="000C170C">
        <w:rPr>
          <w:bCs/>
          <w:i/>
          <w:sz w:val="26"/>
          <w:szCs w:val="26"/>
          <w:lang w:bidi="en-US"/>
        </w:rPr>
        <w:t xml:space="preserve">2010 Interim Guidelines </w:t>
      </w:r>
      <w:r w:rsidR="000C170C">
        <w:rPr>
          <w:bCs/>
          <w:sz w:val="26"/>
          <w:szCs w:val="26"/>
          <w:lang w:bidi="en-US"/>
        </w:rPr>
        <w:t xml:space="preserve">at 10-11.  </w:t>
      </w:r>
    </w:p>
    <w:p w:rsidR="002A4BA7" w:rsidRDefault="002A4BA7" w:rsidP="00F974B1">
      <w:pPr>
        <w:spacing w:line="360" w:lineRule="auto"/>
        <w:rPr>
          <w:bCs/>
          <w:sz w:val="26"/>
          <w:szCs w:val="26"/>
          <w:lang w:bidi="en-US"/>
        </w:rPr>
      </w:pPr>
    </w:p>
    <w:p w:rsidR="00F974B1" w:rsidRPr="00F974B1" w:rsidRDefault="002A4BA7" w:rsidP="00F974B1">
      <w:pPr>
        <w:spacing w:line="360" w:lineRule="auto"/>
        <w:rPr>
          <w:sz w:val="26"/>
          <w:szCs w:val="26"/>
        </w:rPr>
      </w:pPr>
      <w:r>
        <w:rPr>
          <w:bCs/>
          <w:sz w:val="26"/>
          <w:szCs w:val="26"/>
          <w:lang w:bidi="en-US"/>
        </w:rPr>
        <w:tab/>
      </w:r>
      <w:r>
        <w:rPr>
          <w:bCs/>
          <w:sz w:val="26"/>
          <w:szCs w:val="26"/>
          <w:lang w:bidi="en-US"/>
        </w:rPr>
        <w:tab/>
        <w:t>Our customer choi</w:t>
      </w:r>
      <w:r w:rsidR="009114A1">
        <w:rPr>
          <w:bCs/>
          <w:sz w:val="26"/>
          <w:szCs w:val="26"/>
          <w:lang w:bidi="en-US"/>
        </w:rPr>
        <w:t>c</w:t>
      </w:r>
      <w:r>
        <w:rPr>
          <w:bCs/>
          <w:sz w:val="26"/>
          <w:szCs w:val="26"/>
          <w:lang w:bidi="en-US"/>
        </w:rPr>
        <w:t xml:space="preserve">e standards are high, specific, and unequivocal.  They are intended to ensure fairness and integrity in the competitive market by requiring </w:t>
      </w:r>
      <w:r w:rsidR="00C71332">
        <w:rPr>
          <w:bCs/>
          <w:sz w:val="26"/>
          <w:szCs w:val="26"/>
          <w:lang w:bidi="en-US"/>
        </w:rPr>
        <w:t xml:space="preserve">all </w:t>
      </w:r>
      <w:r>
        <w:rPr>
          <w:bCs/>
          <w:sz w:val="26"/>
          <w:szCs w:val="26"/>
          <w:lang w:bidi="en-US"/>
        </w:rPr>
        <w:t>marketer behavior</w:t>
      </w:r>
      <w:r w:rsidR="009114A1">
        <w:rPr>
          <w:bCs/>
          <w:sz w:val="26"/>
          <w:szCs w:val="26"/>
          <w:lang w:bidi="en-US"/>
        </w:rPr>
        <w:t xml:space="preserve"> – oral</w:t>
      </w:r>
      <w:r>
        <w:rPr>
          <w:bCs/>
          <w:sz w:val="26"/>
          <w:szCs w:val="26"/>
          <w:lang w:bidi="en-US"/>
        </w:rPr>
        <w:t>, written, or electronic</w:t>
      </w:r>
      <w:r w:rsidR="009114A1">
        <w:rPr>
          <w:bCs/>
          <w:sz w:val="26"/>
          <w:szCs w:val="26"/>
          <w:lang w:bidi="en-US"/>
        </w:rPr>
        <w:t xml:space="preserve"> – to </w:t>
      </w:r>
      <w:r>
        <w:rPr>
          <w:bCs/>
          <w:sz w:val="26"/>
          <w:szCs w:val="26"/>
          <w:lang w:bidi="en-US"/>
        </w:rPr>
        <w:t>be straightforward and clear</w:t>
      </w:r>
      <w:r w:rsidR="00C71332">
        <w:rPr>
          <w:bCs/>
          <w:sz w:val="26"/>
          <w:szCs w:val="26"/>
          <w:lang w:bidi="en-US"/>
        </w:rPr>
        <w:t xml:space="preserve">.  Only in this way may </w:t>
      </w:r>
      <w:r>
        <w:rPr>
          <w:bCs/>
          <w:sz w:val="26"/>
          <w:szCs w:val="26"/>
          <w:lang w:bidi="en-US"/>
        </w:rPr>
        <w:t>consumers make informed choices</w:t>
      </w:r>
      <w:r w:rsidR="00C71332">
        <w:rPr>
          <w:bCs/>
          <w:sz w:val="26"/>
          <w:szCs w:val="26"/>
          <w:lang w:bidi="en-US"/>
        </w:rPr>
        <w:t xml:space="preserve"> and the market flourish</w:t>
      </w:r>
      <w:r>
        <w:rPr>
          <w:bCs/>
          <w:sz w:val="26"/>
          <w:szCs w:val="26"/>
          <w:lang w:bidi="en-US"/>
        </w:rPr>
        <w:t>.</w:t>
      </w:r>
    </w:p>
    <w:p w:rsidR="0070190A" w:rsidRDefault="0070190A" w:rsidP="00D0593C">
      <w:pPr>
        <w:spacing w:line="360" w:lineRule="auto"/>
        <w:rPr>
          <w:sz w:val="26"/>
          <w:szCs w:val="26"/>
        </w:rPr>
      </w:pPr>
    </w:p>
    <w:p w:rsidR="00F65F24" w:rsidRDefault="0070190A" w:rsidP="00B60969">
      <w:pPr>
        <w:spacing w:line="360" w:lineRule="auto"/>
        <w:rPr>
          <w:sz w:val="26"/>
          <w:szCs w:val="26"/>
        </w:rPr>
      </w:pPr>
      <w:r>
        <w:rPr>
          <w:sz w:val="26"/>
          <w:szCs w:val="26"/>
        </w:rPr>
        <w:tab/>
      </w:r>
      <w:r>
        <w:rPr>
          <w:sz w:val="26"/>
          <w:szCs w:val="26"/>
        </w:rPr>
        <w:tab/>
        <w:t xml:space="preserve">In its Exceptions, IDT focuses more on matters that are not at issue, namely the Complainant’s enrollment and the EGS’ disclosure statement, than on those matters that are at issue, namely </w:t>
      </w:r>
      <w:r w:rsidR="00B60969">
        <w:rPr>
          <w:sz w:val="26"/>
          <w:szCs w:val="26"/>
        </w:rPr>
        <w:t>its</w:t>
      </w:r>
      <w:r>
        <w:rPr>
          <w:sz w:val="26"/>
          <w:szCs w:val="26"/>
        </w:rPr>
        <w:t xml:space="preserve"> </w:t>
      </w:r>
      <w:r w:rsidR="004D34E8">
        <w:rPr>
          <w:sz w:val="26"/>
          <w:szCs w:val="26"/>
        </w:rPr>
        <w:t>tele</w:t>
      </w:r>
      <w:r>
        <w:rPr>
          <w:sz w:val="26"/>
          <w:szCs w:val="26"/>
        </w:rPr>
        <w:t>marketing.  IDT</w:t>
      </w:r>
      <w:r w:rsidR="00301405">
        <w:rPr>
          <w:sz w:val="26"/>
          <w:szCs w:val="26"/>
        </w:rPr>
        <w:t xml:space="preserve">’s contention, that </w:t>
      </w:r>
      <w:r w:rsidR="00C71332">
        <w:rPr>
          <w:sz w:val="26"/>
          <w:szCs w:val="26"/>
        </w:rPr>
        <w:t xml:space="preserve">there is no cause of action </w:t>
      </w:r>
      <w:r w:rsidR="00301405">
        <w:rPr>
          <w:sz w:val="26"/>
          <w:szCs w:val="26"/>
        </w:rPr>
        <w:t xml:space="preserve">because it </w:t>
      </w:r>
      <w:r w:rsidR="00476C9C">
        <w:rPr>
          <w:sz w:val="26"/>
          <w:szCs w:val="26"/>
        </w:rPr>
        <w:t xml:space="preserve">billed variable </w:t>
      </w:r>
      <w:r w:rsidR="00301405">
        <w:rPr>
          <w:sz w:val="26"/>
          <w:szCs w:val="26"/>
        </w:rPr>
        <w:t xml:space="preserve">rates </w:t>
      </w:r>
      <w:r>
        <w:rPr>
          <w:sz w:val="26"/>
          <w:szCs w:val="26"/>
        </w:rPr>
        <w:t>in full accord with its disclosure statement as fully recognized by the Complainant</w:t>
      </w:r>
      <w:r w:rsidR="00301405">
        <w:rPr>
          <w:sz w:val="26"/>
          <w:szCs w:val="26"/>
        </w:rPr>
        <w:t>, permeates its advocacy</w:t>
      </w:r>
      <w:r w:rsidR="00181A3D">
        <w:rPr>
          <w:sz w:val="26"/>
          <w:szCs w:val="26"/>
        </w:rPr>
        <w:t xml:space="preserve">.  </w:t>
      </w:r>
      <w:r>
        <w:rPr>
          <w:i/>
          <w:sz w:val="26"/>
          <w:szCs w:val="26"/>
        </w:rPr>
        <w:t>See, e.g.</w:t>
      </w:r>
      <w:r>
        <w:rPr>
          <w:sz w:val="26"/>
          <w:szCs w:val="26"/>
        </w:rPr>
        <w:t xml:space="preserve">, Exc. at 3 (price was in full accord with the disclosure statement); at 4 (all products and materials were designed for a variable price product); </w:t>
      </w:r>
      <w:r w:rsidR="00181A3D">
        <w:rPr>
          <w:sz w:val="26"/>
          <w:szCs w:val="26"/>
        </w:rPr>
        <w:t xml:space="preserve">at 14 (the Complainant was not the person who completed the enrollment); at 15 (IDT only offered a variable rate as clearly indicated on the disclosure statement); at 17-18 (the Commission’s regulatory scheme requires customers to raise concerns about enrollment in a timely manner and absolves a customer from paying an EGS’ charges if enrollment is unauthorized); </w:t>
      </w:r>
      <w:r w:rsidR="001903F3">
        <w:rPr>
          <w:sz w:val="26"/>
          <w:szCs w:val="26"/>
        </w:rPr>
        <w:t xml:space="preserve">at 19 (the Complainant did not raise any concerns about his enrollment until thirty months after the sales call occurred; a disclosure statement’s language has meaning); </w:t>
      </w:r>
      <w:r w:rsidR="000123D6">
        <w:rPr>
          <w:sz w:val="26"/>
          <w:szCs w:val="26"/>
        </w:rPr>
        <w:t xml:space="preserve">at 20 (the Complainant was provided a disclosure statement confirming clearly that he was enrolled with a variable rate that could be higher or lower than the electric distribution company’s (EDC’s) rate); </w:t>
      </w:r>
      <w:r>
        <w:rPr>
          <w:sz w:val="26"/>
          <w:szCs w:val="26"/>
        </w:rPr>
        <w:t>at</w:t>
      </w:r>
      <w:r w:rsidR="00476C9C">
        <w:rPr>
          <w:sz w:val="26"/>
          <w:szCs w:val="26"/>
        </w:rPr>
        <w:t xml:space="preserve"> 24 (IDT billed the Complainant </w:t>
      </w:r>
      <w:r w:rsidR="00EC65B8">
        <w:rPr>
          <w:sz w:val="26"/>
          <w:szCs w:val="26"/>
        </w:rPr>
        <w:t>in exact accordance with the disclosure statement)</w:t>
      </w:r>
      <w:r w:rsidR="00301405">
        <w:rPr>
          <w:sz w:val="26"/>
          <w:szCs w:val="26"/>
        </w:rPr>
        <w:t xml:space="preserve">; at 27 (no </w:t>
      </w:r>
      <w:r w:rsidR="00301405">
        <w:rPr>
          <w:sz w:val="26"/>
          <w:szCs w:val="26"/>
        </w:rPr>
        <w:lastRenderedPageBreak/>
        <w:t>basis for a refund because IDT billed the Complainant in accordance with its disclosure statement)</w:t>
      </w:r>
      <w:r w:rsidR="00181A3D">
        <w:rPr>
          <w:sz w:val="26"/>
          <w:szCs w:val="26"/>
        </w:rPr>
        <w:t xml:space="preserve">.  At the same time, </w:t>
      </w:r>
      <w:r w:rsidR="00B60969">
        <w:rPr>
          <w:sz w:val="26"/>
          <w:szCs w:val="26"/>
        </w:rPr>
        <w:t xml:space="preserve">however, </w:t>
      </w:r>
      <w:r w:rsidR="00181A3D">
        <w:rPr>
          <w:sz w:val="26"/>
          <w:szCs w:val="26"/>
        </w:rPr>
        <w:t xml:space="preserve">IDT minimalizes the role </w:t>
      </w:r>
      <w:r w:rsidR="00C71332">
        <w:rPr>
          <w:sz w:val="26"/>
          <w:szCs w:val="26"/>
        </w:rPr>
        <w:t xml:space="preserve">of </w:t>
      </w:r>
      <w:r w:rsidR="00181A3D">
        <w:rPr>
          <w:sz w:val="26"/>
          <w:szCs w:val="26"/>
        </w:rPr>
        <w:t>oral marketing.</w:t>
      </w:r>
    </w:p>
    <w:p w:rsidR="004F0A5C" w:rsidRDefault="004F0A5C" w:rsidP="00106BB1">
      <w:pPr>
        <w:tabs>
          <w:tab w:val="left" w:pos="1440"/>
        </w:tabs>
        <w:spacing w:line="360" w:lineRule="auto"/>
        <w:ind w:firstLine="720"/>
        <w:rPr>
          <w:sz w:val="26"/>
          <w:szCs w:val="26"/>
        </w:rPr>
      </w:pPr>
    </w:p>
    <w:p w:rsidR="0070190A" w:rsidRDefault="00F65F24" w:rsidP="00106BB1">
      <w:pPr>
        <w:tabs>
          <w:tab w:val="left" w:pos="1440"/>
        </w:tabs>
        <w:spacing w:line="360" w:lineRule="auto"/>
        <w:ind w:firstLine="720"/>
        <w:rPr>
          <w:sz w:val="26"/>
          <w:szCs w:val="26"/>
        </w:rPr>
      </w:pPr>
      <w:r>
        <w:rPr>
          <w:sz w:val="26"/>
          <w:szCs w:val="26"/>
        </w:rPr>
        <w:tab/>
      </w:r>
      <w:r w:rsidR="000123D6">
        <w:rPr>
          <w:sz w:val="26"/>
          <w:szCs w:val="26"/>
        </w:rPr>
        <w:t xml:space="preserve">As the </w:t>
      </w:r>
      <w:r w:rsidR="004F0A5C">
        <w:rPr>
          <w:sz w:val="26"/>
          <w:szCs w:val="26"/>
        </w:rPr>
        <w:t xml:space="preserve">OCA and </w:t>
      </w:r>
      <w:r w:rsidR="000123D6">
        <w:rPr>
          <w:sz w:val="26"/>
          <w:szCs w:val="26"/>
        </w:rPr>
        <w:t xml:space="preserve">ALJ </w:t>
      </w:r>
      <w:r w:rsidR="004F0A5C">
        <w:rPr>
          <w:sz w:val="26"/>
          <w:szCs w:val="26"/>
        </w:rPr>
        <w:t xml:space="preserve">both </w:t>
      </w:r>
      <w:r w:rsidR="002E5DE4">
        <w:rPr>
          <w:sz w:val="26"/>
          <w:szCs w:val="26"/>
        </w:rPr>
        <w:t xml:space="preserve">correctly </w:t>
      </w:r>
      <w:r w:rsidR="004F0A5C">
        <w:rPr>
          <w:sz w:val="26"/>
          <w:szCs w:val="26"/>
        </w:rPr>
        <w:t>recognize</w:t>
      </w:r>
      <w:r w:rsidR="000123D6">
        <w:rPr>
          <w:sz w:val="26"/>
          <w:szCs w:val="26"/>
        </w:rPr>
        <w:t xml:space="preserve">, </w:t>
      </w:r>
      <w:r w:rsidR="00022799">
        <w:rPr>
          <w:sz w:val="26"/>
          <w:szCs w:val="26"/>
        </w:rPr>
        <w:t>our Regulations</w:t>
      </w:r>
      <w:r w:rsidR="00FC02B7">
        <w:rPr>
          <w:sz w:val="26"/>
          <w:szCs w:val="26"/>
        </w:rPr>
        <w:t xml:space="preserve"> (which we deem to includ</w:t>
      </w:r>
      <w:r w:rsidR="00404C2C">
        <w:rPr>
          <w:sz w:val="26"/>
          <w:szCs w:val="26"/>
        </w:rPr>
        <w:t>e</w:t>
      </w:r>
      <w:r w:rsidR="00FC02B7">
        <w:rPr>
          <w:sz w:val="26"/>
          <w:szCs w:val="26"/>
        </w:rPr>
        <w:t xml:space="preserve"> our regulatory standards </w:t>
      </w:r>
      <w:r w:rsidR="00CF30D7">
        <w:rPr>
          <w:sz w:val="26"/>
          <w:szCs w:val="26"/>
        </w:rPr>
        <w:t xml:space="preserve">then in effect </w:t>
      </w:r>
      <w:r w:rsidR="00FC02B7">
        <w:rPr>
          <w:sz w:val="26"/>
          <w:szCs w:val="26"/>
        </w:rPr>
        <w:t xml:space="preserve">under the </w:t>
      </w:r>
      <w:r w:rsidR="00FC02B7">
        <w:rPr>
          <w:i/>
          <w:sz w:val="26"/>
          <w:szCs w:val="26"/>
        </w:rPr>
        <w:t>2010 Interim Guidelines</w:t>
      </w:r>
      <w:r w:rsidR="00FC02B7">
        <w:rPr>
          <w:sz w:val="26"/>
          <w:szCs w:val="26"/>
        </w:rPr>
        <w:t xml:space="preserve">), </w:t>
      </w:r>
      <w:r w:rsidR="00022799" w:rsidRPr="00FC02B7">
        <w:rPr>
          <w:sz w:val="26"/>
          <w:szCs w:val="26"/>
        </w:rPr>
        <w:t>address</w:t>
      </w:r>
      <w:r w:rsidR="00022799">
        <w:rPr>
          <w:sz w:val="26"/>
          <w:szCs w:val="26"/>
        </w:rPr>
        <w:t xml:space="preserve"> not only the disclosure statement and enrollment process but also the </w:t>
      </w:r>
      <w:r w:rsidR="002E5DE4">
        <w:rPr>
          <w:sz w:val="26"/>
          <w:szCs w:val="26"/>
        </w:rPr>
        <w:t>EG</w:t>
      </w:r>
      <w:r w:rsidR="00106BB1">
        <w:rPr>
          <w:sz w:val="26"/>
          <w:szCs w:val="26"/>
        </w:rPr>
        <w:t>S</w:t>
      </w:r>
      <w:r w:rsidR="002E5DE4">
        <w:rPr>
          <w:sz w:val="26"/>
          <w:szCs w:val="26"/>
        </w:rPr>
        <w:t xml:space="preserve">’ </w:t>
      </w:r>
      <w:r w:rsidR="00022799">
        <w:rPr>
          <w:sz w:val="26"/>
          <w:szCs w:val="26"/>
        </w:rPr>
        <w:t>oral marketing</w:t>
      </w:r>
      <w:r w:rsidR="002E5DE4">
        <w:rPr>
          <w:sz w:val="26"/>
          <w:szCs w:val="26"/>
        </w:rPr>
        <w:t xml:space="preserve"> through the actions of its agents and representatives</w:t>
      </w:r>
      <w:r w:rsidR="00022799">
        <w:rPr>
          <w:sz w:val="26"/>
          <w:szCs w:val="26"/>
        </w:rPr>
        <w:t xml:space="preserve">.  </w:t>
      </w:r>
      <w:r w:rsidR="00BB5CB3">
        <w:rPr>
          <w:sz w:val="26"/>
          <w:szCs w:val="26"/>
        </w:rPr>
        <w:t xml:space="preserve">As the OCA stated, </w:t>
      </w:r>
      <w:r w:rsidR="004F0A5C">
        <w:rPr>
          <w:sz w:val="26"/>
          <w:szCs w:val="26"/>
        </w:rPr>
        <w:t>IDT’s obligation to provide “consistent, accurate and adequate information extend[s] from the earliest of sales and marketing communications to prospective customers through to IDT’s billing of the agreed upon price for supply service.”  R. Exc. at 16 (citations omitted); I.D. at 11-12.  IDT’s obligations regarding enrollment and the written disclosure statement are separate and apart from its obligations regarding marketing.</w:t>
      </w:r>
    </w:p>
    <w:p w:rsidR="00D0593C" w:rsidRDefault="00D0593C" w:rsidP="00D0593C">
      <w:pPr>
        <w:spacing w:line="360" w:lineRule="auto"/>
        <w:rPr>
          <w:sz w:val="26"/>
          <w:szCs w:val="26"/>
        </w:rPr>
      </w:pPr>
    </w:p>
    <w:p w:rsidR="00451DD3" w:rsidRDefault="00CF170C" w:rsidP="0039641D">
      <w:pPr>
        <w:tabs>
          <w:tab w:val="left" w:pos="1440"/>
        </w:tabs>
        <w:spacing w:line="360" w:lineRule="auto"/>
        <w:rPr>
          <w:sz w:val="26"/>
          <w:szCs w:val="26"/>
        </w:rPr>
      </w:pPr>
      <w:r w:rsidRPr="00CF170C">
        <w:rPr>
          <w:sz w:val="26"/>
          <w:szCs w:val="26"/>
        </w:rPr>
        <w:tab/>
      </w:r>
      <w:r w:rsidR="00E772D8">
        <w:rPr>
          <w:sz w:val="26"/>
          <w:szCs w:val="26"/>
        </w:rPr>
        <w:t>Th</w:t>
      </w:r>
      <w:r w:rsidR="00D0593C">
        <w:rPr>
          <w:sz w:val="26"/>
          <w:szCs w:val="26"/>
        </w:rPr>
        <w:t>e</w:t>
      </w:r>
      <w:r w:rsidR="00F523EA">
        <w:rPr>
          <w:sz w:val="26"/>
          <w:szCs w:val="26"/>
        </w:rPr>
        <w:t xml:space="preserve"> propriety of </w:t>
      </w:r>
      <w:r w:rsidR="00D0593C">
        <w:rPr>
          <w:sz w:val="26"/>
          <w:szCs w:val="26"/>
        </w:rPr>
        <w:t xml:space="preserve">an EGS’ </w:t>
      </w:r>
      <w:r w:rsidR="00F523EA">
        <w:rPr>
          <w:sz w:val="26"/>
          <w:szCs w:val="26"/>
        </w:rPr>
        <w:t xml:space="preserve">marketing </w:t>
      </w:r>
      <w:r w:rsidR="00D0593C">
        <w:rPr>
          <w:sz w:val="26"/>
          <w:szCs w:val="26"/>
        </w:rPr>
        <w:t xml:space="preserve">does not </w:t>
      </w:r>
      <w:r w:rsidR="00F523EA">
        <w:rPr>
          <w:sz w:val="26"/>
          <w:szCs w:val="26"/>
        </w:rPr>
        <w:t>end with the review of its written disclosure statement</w:t>
      </w:r>
      <w:r w:rsidR="00D0593C">
        <w:rPr>
          <w:sz w:val="26"/>
          <w:szCs w:val="26"/>
        </w:rPr>
        <w:t xml:space="preserve"> and bills as IDT</w:t>
      </w:r>
      <w:r w:rsidR="00642E8F">
        <w:rPr>
          <w:sz w:val="26"/>
          <w:szCs w:val="26"/>
        </w:rPr>
        <w:t xml:space="preserve"> argues</w:t>
      </w:r>
      <w:r w:rsidR="00012797">
        <w:rPr>
          <w:sz w:val="26"/>
          <w:szCs w:val="26"/>
        </w:rPr>
        <w:t xml:space="preserve">. </w:t>
      </w:r>
      <w:r w:rsidR="00845FC6">
        <w:rPr>
          <w:sz w:val="26"/>
          <w:szCs w:val="26"/>
        </w:rPr>
        <w:t>As the ALJ concluded, “[t]he</w:t>
      </w:r>
      <w:r w:rsidR="00845FC6" w:rsidRPr="00845FC6">
        <w:rPr>
          <w:sz w:val="26"/>
          <w:szCs w:val="26"/>
        </w:rPr>
        <w:t xml:space="preserve"> conversation with the sales agent is a separate and distinct conversation from the conversation during the third party verification and is subject specifically to Section 111.10 of the Commission’s regulations governing telemarketing.</w:t>
      </w:r>
      <w:r w:rsidR="00845FC6">
        <w:rPr>
          <w:sz w:val="26"/>
          <w:szCs w:val="26"/>
        </w:rPr>
        <w:t>”  I.D. at 11.  T</w:t>
      </w:r>
      <w:r w:rsidR="00012797">
        <w:rPr>
          <w:sz w:val="26"/>
          <w:szCs w:val="26"/>
        </w:rPr>
        <w:t xml:space="preserve">his is particularly </w:t>
      </w:r>
      <w:r w:rsidR="00845FC6">
        <w:rPr>
          <w:sz w:val="26"/>
          <w:szCs w:val="26"/>
        </w:rPr>
        <w:t>the case</w:t>
      </w:r>
      <w:r w:rsidR="00F523EA">
        <w:rPr>
          <w:sz w:val="26"/>
          <w:szCs w:val="26"/>
        </w:rPr>
        <w:t xml:space="preserve"> if oral information provided by a</w:t>
      </w:r>
      <w:r w:rsidR="00012797">
        <w:rPr>
          <w:sz w:val="26"/>
          <w:szCs w:val="26"/>
        </w:rPr>
        <w:t>n EGS</w:t>
      </w:r>
      <w:r w:rsidR="00A86CE3">
        <w:rPr>
          <w:sz w:val="26"/>
          <w:szCs w:val="26"/>
        </w:rPr>
        <w:t>’</w:t>
      </w:r>
      <w:r w:rsidR="00F523EA">
        <w:rPr>
          <w:sz w:val="26"/>
          <w:szCs w:val="26"/>
        </w:rPr>
        <w:t xml:space="preserve"> representative had a bearing on the Complainant’s informed decision</w:t>
      </w:r>
      <w:r w:rsidR="00944D1A">
        <w:rPr>
          <w:sz w:val="26"/>
          <w:szCs w:val="26"/>
        </w:rPr>
        <w:t xml:space="preserve"> to </w:t>
      </w:r>
      <w:r w:rsidR="00A86CE3">
        <w:rPr>
          <w:sz w:val="26"/>
          <w:szCs w:val="26"/>
        </w:rPr>
        <w:t xml:space="preserve">enroll with the EGS. </w:t>
      </w:r>
      <w:r w:rsidR="00944D1A">
        <w:rPr>
          <w:sz w:val="26"/>
          <w:szCs w:val="26"/>
        </w:rPr>
        <w:t xml:space="preserve"> As </w:t>
      </w:r>
      <w:r w:rsidR="00A86CE3">
        <w:rPr>
          <w:sz w:val="26"/>
          <w:szCs w:val="26"/>
        </w:rPr>
        <w:t>Mr. Kiback repeated throughout the hearing, he would not have enrolled had he not been told that IDT’s rate would be lower than PPL’s</w:t>
      </w:r>
      <w:r w:rsidR="00642E8F">
        <w:rPr>
          <w:sz w:val="26"/>
          <w:szCs w:val="26"/>
        </w:rPr>
        <w:t>.  R. Exc. at 7; Tr. at 14-19</w:t>
      </w:r>
      <w:r w:rsidR="00944D1A">
        <w:rPr>
          <w:sz w:val="26"/>
          <w:szCs w:val="26"/>
        </w:rPr>
        <w:t>.</w:t>
      </w:r>
    </w:p>
    <w:p w:rsidR="00F523EA" w:rsidRDefault="00F523EA" w:rsidP="0039641D">
      <w:pPr>
        <w:tabs>
          <w:tab w:val="left" w:pos="1440"/>
        </w:tabs>
        <w:spacing w:line="360" w:lineRule="auto"/>
        <w:rPr>
          <w:sz w:val="26"/>
          <w:szCs w:val="26"/>
        </w:rPr>
      </w:pPr>
    </w:p>
    <w:p w:rsidR="00ED0D64" w:rsidRDefault="00451DD3" w:rsidP="00A86CE3">
      <w:pPr>
        <w:tabs>
          <w:tab w:val="left" w:pos="1440"/>
        </w:tabs>
        <w:spacing w:line="360" w:lineRule="auto"/>
        <w:rPr>
          <w:sz w:val="26"/>
          <w:szCs w:val="26"/>
        </w:rPr>
      </w:pPr>
      <w:r>
        <w:rPr>
          <w:sz w:val="26"/>
          <w:szCs w:val="26"/>
        </w:rPr>
        <w:tab/>
      </w:r>
      <w:r w:rsidR="00B60969">
        <w:rPr>
          <w:sz w:val="26"/>
          <w:szCs w:val="26"/>
        </w:rPr>
        <w:t>T</w:t>
      </w:r>
      <w:r w:rsidR="00A86CE3">
        <w:rPr>
          <w:sz w:val="26"/>
          <w:szCs w:val="26"/>
        </w:rPr>
        <w:t xml:space="preserve">he ALJ </w:t>
      </w:r>
      <w:r w:rsidR="00B60969">
        <w:rPr>
          <w:sz w:val="26"/>
          <w:szCs w:val="26"/>
        </w:rPr>
        <w:t xml:space="preserve">correctly concluded that </w:t>
      </w:r>
      <w:r w:rsidR="00D46D7A">
        <w:rPr>
          <w:sz w:val="26"/>
          <w:szCs w:val="26"/>
        </w:rPr>
        <w:t xml:space="preserve">the development of </w:t>
      </w:r>
      <w:r w:rsidR="00ED0D64">
        <w:rPr>
          <w:sz w:val="26"/>
          <w:szCs w:val="26"/>
        </w:rPr>
        <w:t>a robust</w:t>
      </w:r>
      <w:r w:rsidR="00642E8F">
        <w:rPr>
          <w:sz w:val="26"/>
          <w:szCs w:val="26"/>
        </w:rPr>
        <w:t xml:space="preserve"> and reliable </w:t>
      </w:r>
      <w:r w:rsidR="00A86CE3">
        <w:rPr>
          <w:sz w:val="26"/>
          <w:szCs w:val="26"/>
        </w:rPr>
        <w:t xml:space="preserve">competitive </w:t>
      </w:r>
      <w:r w:rsidR="00ED0D64">
        <w:rPr>
          <w:sz w:val="26"/>
          <w:szCs w:val="26"/>
        </w:rPr>
        <w:t>market</w:t>
      </w:r>
      <w:r w:rsidR="00D46D7A">
        <w:rPr>
          <w:sz w:val="26"/>
          <w:szCs w:val="26"/>
        </w:rPr>
        <w:t xml:space="preserve"> </w:t>
      </w:r>
      <w:r w:rsidR="00A86CE3">
        <w:rPr>
          <w:sz w:val="26"/>
          <w:szCs w:val="26"/>
        </w:rPr>
        <w:t xml:space="preserve">is dependent upon an EGS’ strict adherence to </w:t>
      </w:r>
      <w:r w:rsidR="00642E8F">
        <w:rPr>
          <w:sz w:val="26"/>
          <w:szCs w:val="26"/>
        </w:rPr>
        <w:t xml:space="preserve">clear and truthful </w:t>
      </w:r>
      <w:r w:rsidR="00D46D7A">
        <w:rPr>
          <w:sz w:val="26"/>
          <w:szCs w:val="26"/>
        </w:rPr>
        <w:t>marketing practices</w:t>
      </w:r>
      <w:r w:rsidR="00642E8F">
        <w:rPr>
          <w:sz w:val="26"/>
          <w:szCs w:val="26"/>
        </w:rPr>
        <w:t xml:space="preserve"> as outlined in our Regulations</w:t>
      </w:r>
      <w:r w:rsidR="00B60969">
        <w:rPr>
          <w:sz w:val="26"/>
          <w:szCs w:val="26"/>
        </w:rPr>
        <w:t>.</w:t>
      </w:r>
      <w:r w:rsidR="00A86CE3">
        <w:rPr>
          <w:sz w:val="26"/>
          <w:szCs w:val="26"/>
        </w:rPr>
        <w:t xml:space="preserve">  </w:t>
      </w:r>
    </w:p>
    <w:p w:rsidR="000C5FB9" w:rsidRDefault="000C5FB9" w:rsidP="005D099E">
      <w:pPr>
        <w:ind w:left="1440" w:right="1440" w:firstLine="1440"/>
        <w:rPr>
          <w:sz w:val="26"/>
          <w:szCs w:val="26"/>
        </w:rPr>
      </w:pPr>
    </w:p>
    <w:p w:rsidR="00ED0D64" w:rsidRPr="00ED0D64" w:rsidRDefault="00845FC6" w:rsidP="005D099E">
      <w:pPr>
        <w:ind w:left="1440" w:right="1440" w:firstLine="1440"/>
        <w:rPr>
          <w:sz w:val="26"/>
          <w:szCs w:val="26"/>
        </w:rPr>
      </w:pPr>
      <w:r w:rsidRPr="00845FC6">
        <w:rPr>
          <w:sz w:val="26"/>
          <w:szCs w:val="26"/>
        </w:rPr>
        <w:lastRenderedPageBreak/>
        <w:t>The conversation between the customer and the sales agent is critical in the development of a proper market for the competitive provision of electric generation service.  Yet, in this case, unrebutted record evidence demonstrates that the total cost to purchase, receive or use electric generation service was not truthfully disclosed in a clear and conspicuous manner or that all material restrictions, limitations or conditions were disclosed.  The fact that Mr.</w:t>
      </w:r>
      <w:r>
        <w:rPr>
          <w:sz w:val="26"/>
          <w:szCs w:val="26"/>
        </w:rPr>
        <w:t> </w:t>
      </w:r>
      <w:r w:rsidRPr="00845FC6">
        <w:rPr>
          <w:sz w:val="26"/>
          <w:szCs w:val="26"/>
        </w:rPr>
        <w:t>Kiback subsequently received a disclosure statement and had a right to rescind the contract does not negate the underlying violation of the Commission’s telemarketing regulation by the sales agent</w:t>
      </w:r>
      <w:r w:rsidR="00ED0D64" w:rsidRPr="00ED0D64">
        <w:rPr>
          <w:sz w:val="26"/>
          <w:szCs w:val="26"/>
        </w:rPr>
        <w:t>.</w:t>
      </w:r>
    </w:p>
    <w:p w:rsidR="000C5FB9" w:rsidRDefault="000C5FB9" w:rsidP="000C5FB9">
      <w:pPr>
        <w:ind w:right="1440"/>
        <w:rPr>
          <w:sz w:val="26"/>
          <w:szCs w:val="26"/>
        </w:rPr>
      </w:pPr>
    </w:p>
    <w:p w:rsidR="000C5FB9" w:rsidRDefault="000C5FB9" w:rsidP="000C5FB9">
      <w:pPr>
        <w:ind w:right="1440"/>
        <w:rPr>
          <w:sz w:val="26"/>
          <w:szCs w:val="26"/>
        </w:rPr>
      </w:pPr>
    </w:p>
    <w:p w:rsidR="00ED0D64" w:rsidRDefault="00845FC6" w:rsidP="00ED0D64">
      <w:pPr>
        <w:spacing w:line="360" w:lineRule="auto"/>
        <w:rPr>
          <w:sz w:val="26"/>
          <w:szCs w:val="26"/>
        </w:rPr>
      </w:pPr>
      <w:r>
        <w:rPr>
          <w:sz w:val="26"/>
          <w:szCs w:val="26"/>
        </w:rPr>
        <w:t>I.D. at 11</w:t>
      </w:r>
      <w:r w:rsidR="00ED0D64">
        <w:rPr>
          <w:sz w:val="26"/>
          <w:szCs w:val="26"/>
        </w:rPr>
        <w:t>.</w:t>
      </w:r>
    </w:p>
    <w:p w:rsidR="000155FB" w:rsidRDefault="000155FB" w:rsidP="00ED0D64">
      <w:pPr>
        <w:spacing w:line="360" w:lineRule="auto"/>
        <w:rPr>
          <w:sz w:val="26"/>
          <w:szCs w:val="26"/>
        </w:rPr>
      </w:pPr>
    </w:p>
    <w:p w:rsidR="005300F6" w:rsidRDefault="000155FB" w:rsidP="000155FB">
      <w:pPr>
        <w:spacing w:line="360" w:lineRule="auto"/>
        <w:rPr>
          <w:sz w:val="26"/>
          <w:szCs w:val="26"/>
        </w:rPr>
      </w:pPr>
      <w:r>
        <w:rPr>
          <w:sz w:val="26"/>
          <w:szCs w:val="26"/>
        </w:rPr>
        <w:tab/>
      </w:r>
      <w:r>
        <w:rPr>
          <w:sz w:val="26"/>
          <w:szCs w:val="26"/>
        </w:rPr>
        <w:tab/>
      </w:r>
      <w:r w:rsidR="00F67658">
        <w:rPr>
          <w:sz w:val="26"/>
          <w:szCs w:val="26"/>
        </w:rPr>
        <w:t>IDT attempts to discredit Mr. Kiback’s testimony</w:t>
      </w:r>
      <w:r w:rsidR="004D34E8">
        <w:rPr>
          <w:sz w:val="26"/>
          <w:szCs w:val="26"/>
        </w:rPr>
        <w:t xml:space="preserve"> </w:t>
      </w:r>
      <w:r w:rsidR="006A20F1">
        <w:rPr>
          <w:sz w:val="26"/>
          <w:szCs w:val="26"/>
        </w:rPr>
        <w:t>throughout</w:t>
      </w:r>
      <w:r w:rsidR="004D34E8">
        <w:rPr>
          <w:sz w:val="26"/>
          <w:szCs w:val="26"/>
        </w:rPr>
        <w:t xml:space="preserve"> its Exceptions</w:t>
      </w:r>
      <w:r w:rsidR="006A20F1">
        <w:rPr>
          <w:sz w:val="26"/>
          <w:szCs w:val="26"/>
        </w:rPr>
        <w:t xml:space="preserve">.  For example, IDT claims that </w:t>
      </w:r>
      <w:r w:rsidR="004D34E8">
        <w:rPr>
          <w:sz w:val="26"/>
          <w:szCs w:val="26"/>
        </w:rPr>
        <w:t>the Complainant “offered” no testimony about the telemarketer’s precise words, name, or even gender</w:t>
      </w:r>
      <w:r w:rsidR="003160F1">
        <w:rPr>
          <w:sz w:val="26"/>
          <w:szCs w:val="26"/>
        </w:rPr>
        <w:t>;</w:t>
      </w:r>
      <w:r w:rsidR="00F67658">
        <w:rPr>
          <w:sz w:val="26"/>
          <w:szCs w:val="26"/>
        </w:rPr>
        <w:t xml:space="preserve"> </w:t>
      </w:r>
      <w:r w:rsidR="006A20F1">
        <w:rPr>
          <w:sz w:val="26"/>
          <w:szCs w:val="26"/>
        </w:rPr>
        <w:t>asserts it was unclear whether all telemarketer calls were even from IDT</w:t>
      </w:r>
      <w:r w:rsidR="003160F1">
        <w:rPr>
          <w:sz w:val="26"/>
          <w:szCs w:val="26"/>
        </w:rPr>
        <w:t>;</w:t>
      </w:r>
      <w:r w:rsidR="006A20F1">
        <w:rPr>
          <w:sz w:val="26"/>
          <w:szCs w:val="26"/>
        </w:rPr>
        <w:t xml:space="preserve"> and </w:t>
      </w:r>
      <w:r w:rsidR="003160F1">
        <w:rPr>
          <w:sz w:val="26"/>
          <w:szCs w:val="26"/>
        </w:rPr>
        <w:t xml:space="preserve">suggests that </w:t>
      </w:r>
      <w:r w:rsidR="00F67658" w:rsidRPr="00F65F24">
        <w:rPr>
          <w:sz w:val="26"/>
          <w:szCs w:val="26"/>
        </w:rPr>
        <w:t>Mr.</w:t>
      </w:r>
      <w:r w:rsidR="00B60969">
        <w:rPr>
          <w:sz w:val="26"/>
          <w:szCs w:val="26"/>
        </w:rPr>
        <w:t> </w:t>
      </w:r>
      <w:r w:rsidR="00F67658" w:rsidRPr="00F65F24">
        <w:rPr>
          <w:sz w:val="26"/>
          <w:szCs w:val="26"/>
        </w:rPr>
        <w:t>Kiback would be “hard pressed” to remember the precise words used in the telemarketing.</w:t>
      </w:r>
      <w:r w:rsidR="005300F6">
        <w:rPr>
          <w:rStyle w:val="FootnoteReference"/>
        </w:rPr>
        <w:footnoteReference w:id="6"/>
      </w:r>
      <w:r w:rsidR="00F67658">
        <w:rPr>
          <w:sz w:val="26"/>
          <w:szCs w:val="26"/>
        </w:rPr>
        <w:t xml:space="preserve">  Exc. at </w:t>
      </w:r>
      <w:r w:rsidR="003160F1">
        <w:rPr>
          <w:sz w:val="26"/>
          <w:szCs w:val="26"/>
        </w:rPr>
        <w:t xml:space="preserve">8, </w:t>
      </w:r>
      <w:r w:rsidR="004D34E8">
        <w:rPr>
          <w:sz w:val="26"/>
          <w:szCs w:val="26"/>
        </w:rPr>
        <w:t xml:space="preserve">9, </w:t>
      </w:r>
      <w:r w:rsidR="003160F1">
        <w:rPr>
          <w:sz w:val="26"/>
          <w:szCs w:val="26"/>
        </w:rPr>
        <w:t xml:space="preserve">and </w:t>
      </w:r>
      <w:r w:rsidR="004D34E8">
        <w:rPr>
          <w:sz w:val="26"/>
          <w:szCs w:val="26"/>
        </w:rPr>
        <w:t>13</w:t>
      </w:r>
      <w:r w:rsidR="00F67658">
        <w:rPr>
          <w:sz w:val="26"/>
          <w:szCs w:val="26"/>
        </w:rPr>
        <w:t>.</w:t>
      </w:r>
      <w:r w:rsidR="005300F6">
        <w:rPr>
          <w:sz w:val="26"/>
          <w:szCs w:val="26"/>
        </w:rPr>
        <w:t xml:space="preserve">  The testimony Mr. Kiback did offer, however, was, as </w:t>
      </w:r>
      <w:r w:rsidR="00B60969" w:rsidRPr="00B60969">
        <w:rPr>
          <w:sz w:val="26"/>
          <w:szCs w:val="26"/>
        </w:rPr>
        <w:t>the OCA</w:t>
      </w:r>
      <w:r w:rsidR="005300F6">
        <w:rPr>
          <w:sz w:val="26"/>
          <w:szCs w:val="26"/>
        </w:rPr>
        <w:t xml:space="preserve"> contends</w:t>
      </w:r>
      <w:r w:rsidR="00B60969" w:rsidRPr="00B60969">
        <w:rPr>
          <w:sz w:val="26"/>
          <w:szCs w:val="26"/>
        </w:rPr>
        <w:t>, “concise, adamant, and credible” as well as “clear and sufficiently specific evidence regarding the message conveyed by IDT in its sales and marketing[</w:t>
      </w:r>
      <w:r w:rsidR="00934AA2">
        <w:rPr>
          <w:sz w:val="26"/>
          <w:szCs w:val="26"/>
        </w:rPr>
        <w:t>,</w:t>
      </w:r>
      <w:r w:rsidR="00B60969" w:rsidRPr="00B60969">
        <w:rPr>
          <w:sz w:val="26"/>
          <w:szCs w:val="26"/>
        </w:rPr>
        <w:t xml:space="preserve">]” </w:t>
      </w:r>
      <w:r w:rsidR="00934AA2">
        <w:rPr>
          <w:sz w:val="26"/>
          <w:szCs w:val="26"/>
        </w:rPr>
        <w:t xml:space="preserve">as confirmed by the ALJ’s assessment. </w:t>
      </w:r>
      <w:r w:rsidR="00B60969" w:rsidRPr="00B60969">
        <w:rPr>
          <w:sz w:val="26"/>
          <w:szCs w:val="26"/>
        </w:rPr>
        <w:t xml:space="preserve"> R. Exc. at 4, 6.</w:t>
      </w:r>
    </w:p>
    <w:p w:rsidR="005300F6" w:rsidRDefault="005300F6" w:rsidP="000155FB">
      <w:pPr>
        <w:spacing w:line="360" w:lineRule="auto"/>
        <w:rPr>
          <w:sz w:val="26"/>
          <w:szCs w:val="26"/>
        </w:rPr>
      </w:pPr>
    </w:p>
    <w:p w:rsidR="000155FB" w:rsidRPr="000155FB" w:rsidRDefault="005300F6" w:rsidP="005300F6">
      <w:pPr>
        <w:tabs>
          <w:tab w:val="left" w:pos="1440"/>
        </w:tabs>
        <w:spacing w:line="360" w:lineRule="auto"/>
        <w:ind w:firstLine="720"/>
        <w:rPr>
          <w:sz w:val="26"/>
          <w:szCs w:val="26"/>
        </w:rPr>
      </w:pPr>
      <w:r>
        <w:rPr>
          <w:sz w:val="26"/>
          <w:szCs w:val="26"/>
        </w:rPr>
        <w:tab/>
      </w:r>
      <w:r w:rsidR="000155FB" w:rsidRPr="000155FB">
        <w:rPr>
          <w:sz w:val="26"/>
          <w:szCs w:val="26"/>
        </w:rPr>
        <w:t xml:space="preserve">Mr. Kiback </w:t>
      </w:r>
      <w:r w:rsidR="00FE4393" w:rsidRPr="00FE4393">
        <w:rPr>
          <w:sz w:val="26"/>
          <w:szCs w:val="26"/>
        </w:rPr>
        <w:t xml:space="preserve">repeatedly </w:t>
      </w:r>
      <w:r w:rsidR="000155FB" w:rsidRPr="000155FB">
        <w:rPr>
          <w:sz w:val="26"/>
          <w:szCs w:val="26"/>
        </w:rPr>
        <w:t xml:space="preserve">held steadfast </w:t>
      </w:r>
      <w:r w:rsidR="00353B12">
        <w:rPr>
          <w:sz w:val="26"/>
          <w:szCs w:val="26"/>
        </w:rPr>
        <w:t xml:space="preserve">in </w:t>
      </w:r>
      <w:r w:rsidR="00FE4393">
        <w:rPr>
          <w:sz w:val="26"/>
          <w:szCs w:val="26"/>
        </w:rPr>
        <w:t xml:space="preserve">both </w:t>
      </w:r>
      <w:r w:rsidR="00353B12">
        <w:rPr>
          <w:sz w:val="26"/>
          <w:szCs w:val="26"/>
        </w:rPr>
        <w:t xml:space="preserve">direct </w:t>
      </w:r>
      <w:r w:rsidR="00FE4393">
        <w:rPr>
          <w:sz w:val="26"/>
          <w:szCs w:val="26"/>
        </w:rPr>
        <w:t xml:space="preserve">testimony </w:t>
      </w:r>
      <w:r w:rsidR="00353B12">
        <w:rPr>
          <w:sz w:val="26"/>
          <w:szCs w:val="26"/>
        </w:rPr>
        <w:t>and</w:t>
      </w:r>
      <w:r w:rsidR="000155FB" w:rsidRPr="000155FB">
        <w:rPr>
          <w:sz w:val="26"/>
          <w:szCs w:val="26"/>
        </w:rPr>
        <w:t xml:space="preserve"> </w:t>
      </w:r>
      <w:r w:rsidR="004D34E8">
        <w:rPr>
          <w:sz w:val="26"/>
          <w:szCs w:val="26"/>
        </w:rPr>
        <w:t xml:space="preserve">during </w:t>
      </w:r>
      <w:r w:rsidR="000155FB" w:rsidRPr="000155FB">
        <w:rPr>
          <w:sz w:val="26"/>
          <w:szCs w:val="26"/>
        </w:rPr>
        <w:t xml:space="preserve">cross-examination that </w:t>
      </w:r>
      <w:r w:rsidR="000155FB">
        <w:rPr>
          <w:sz w:val="26"/>
          <w:szCs w:val="26"/>
        </w:rPr>
        <w:t xml:space="preserve">IDT </w:t>
      </w:r>
      <w:r w:rsidR="000155FB" w:rsidRPr="000155FB">
        <w:rPr>
          <w:sz w:val="26"/>
          <w:szCs w:val="26"/>
        </w:rPr>
        <w:t xml:space="preserve">in multiple calls </w:t>
      </w:r>
      <w:r w:rsidR="000155FB">
        <w:rPr>
          <w:sz w:val="26"/>
          <w:szCs w:val="26"/>
        </w:rPr>
        <w:t>p</w:t>
      </w:r>
      <w:r w:rsidR="000155FB" w:rsidRPr="000155FB">
        <w:rPr>
          <w:sz w:val="26"/>
          <w:szCs w:val="26"/>
        </w:rPr>
        <w:t xml:space="preserve">romised </w:t>
      </w:r>
      <w:r w:rsidR="000155FB">
        <w:rPr>
          <w:sz w:val="26"/>
          <w:szCs w:val="26"/>
        </w:rPr>
        <w:t xml:space="preserve">him </w:t>
      </w:r>
      <w:r w:rsidR="000155FB" w:rsidRPr="000155FB">
        <w:rPr>
          <w:sz w:val="26"/>
          <w:szCs w:val="26"/>
        </w:rPr>
        <w:t>a rate lower than PPL’s</w:t>
      </w:r>
      <w:r w:rsidR="000155FB">
        <w:rPr>
          <w:sz w:val="26"/>
          <w:szCs w:val="26"/>
        </w:rPr>
        <w:t xml:space="preserve"> if he switched</w:t>
      </w:r>
      <w:r w:rsidR="000155FB" w:rsidRPr="000155FB">
        <w:rPr>
          <w:sz w:val="26"/>
          <w:szCs w:val="26"/>
        </w:rPr>
        <w:t xml:space="preserve">.  IDT’s </w:t>
      </w:r>
      <w:r>
        <w:rPr>
          <w:sz w:val="26"/>
          <w:szCs w:val="26"/>
        </w:rPr>
        <w:t xml:space="preserve">characterization of </w:t>
      </w:r>
      <w:r w:rsidR="000155FB">
        <w:rPr>
          <w:sz w:val="26"/>
          <w:szCs w:val="26"/>
        </w:rPr>
        <w:t xml:space="preserve">Mr. Kiback’s testimony as “remarkably sparse and [] not corroborated,” </w:t>
      </w:r>
      <w:r>
        <w:rPr>
          <w:sz w:val="26"/>
          <w:szCs w:val="26"/>
        </w:rPr>
        <w:t>Exc. at 9, is, as the OCA contends, based upon a truncated replication of the Complainant’s testimony, which,</w:t>
      </w:r>
      <w:r w:rsidR="00FE4393">
        <w:rPr>
          <w:sz w:val="26"/>
          <w:szCs w:val="26"/>
        </w:rPr>
        <w:t xml:space="preserve"> when </w:t>
      </w:r>
      <w:r w:rsidR="000155FB" w:rsidRPr="000155FB">
        <w:rPr>
          <w:sz w:val="26"/>
          <w:szCs w:val="26"/>
        </w:rPr>
        <w:t xml:space="preserve">read in </w:t>
      </w:r>
      <w:r w:rsidR="00353B12">
        <w:rPr>
          <w:sz w:val="26"/>
          <w:szCs w:val="26"/>
        </w:rPr>
        <w:t>its entirety</w:t>
      </w:r>
      <w:r w:rsidR="000155FB" w:rsidRPr="000155FB">
        <w:rPr>
          <w:sz w:val="26"/>
          <w:szCs w:val="26"/>
        </w:rPr>
        <w:t xml:space="preserve">, </w:t>
      </w:r>
      <w:r w:rsidR="00353B12">
        <w:rPr>
          <w:sz w:val="26"/>
          <w:szCs w:val="26"/>
        </w:rPr>
        <w:t>is</w:t>
      </w:r>
      <w:r w:rsidR="000155FB">
        <w:rPr>
          <w:sz w:val="26"/>
          <w:szCs w:val="26"/>
        </w:rPr>
        <w:t xml:space="preserve"> clear</w:t>
      </w:r>
      <w:r>
        <w:rPr>
          <w:sz w:val="26"/>
          <w:szCs w:val="26"/>
        </w:rPr>
        <w:t xml:space="preserve"> and convincing</w:t>
      </w:r>
      <w:r w:rsidR="00FE4393">
        <w:rPr>
          <w:sz w:val="26"/>
          <w:szCs w:val="26"/>
        </w:rPr>
        <w:t xml:space="preserve">. </w:t>
      </w:r>
    </w:p>
    <w:p w:rsidR="000155FB" w:rsidRPr="000155FB" w:rsidRDefault="000155FB" w:rsidP="000155FB">
      <w:pPr>
        <w:spacing w:line="360" w:lineRule="auto"/>
        <w:rPr>
          <w:sz w:val="26"/>
          <w:szCs w:val="26"/>
        </w:rPr>
      </w:pPr>
    </w:p>
    <w:p w:rsidR="000155FB" w:rsidRDefault="000155FB" w:rsidP="000155FB">
      <w:pPr>
        <w:ind w:left="2160" w:right="1440" w:hanging="720"/>
        <w:rPr>
          <w:sz w:val="26"/>
          <w:szCs w:val="26"/>
        </w:rPr>
      </w:pPr>
      <w:r w:rsidRPr="000155FB">
        <w:rPr>
          <w:sz w:val="26"/>
          <w:szCs w:val="26"/>
        </w:rPr>
        <w:t>Q.</w:t>
      </w:r>
      <w:r w:rsidRPr="000155FB">
        <w:rPr>
          <w:sz w:val="26"/>
          <w:szCs w:val="26"/>
        </w:rPr>
        <w:tab/>
        <w:t>How long did that telephone call [from a telemarketing sales agent] last?</w:t>
      </w:r>
    </w:p>
    <w:p w:rsidR="00D55262" w:rsidRPr="000155FB" w:rsidRDefault="00D55262" w:rsidP="000155FB">
      <w:pPr>
        <w:ind w:left="2160" w:right="1440" w:hanging="720"/>
        <w:rPr>
          <w:sz w:val="26"/>
          <w:szCs w:val="26"/>
        </w:rPr>
      </w:pPr>
    </w:p>
    <w:p w:rsidR="000155FB" w:rsidRDefault="000155FB" w:rsidP="000155FB">
      <w:pPr>
        <w:ind w:left="2160" w:right="1440" w:hanging="720"/>
        <w:rPr>
          <w:sz w:val="26"/>
          <w:szCs w:val="26"/>
        </w:rPr>
      </w:pPr>
      <w:r w:rsidRPr="000155FB">
        <w:rPr>
          <w:sz w:val="26"/>
          <w:szCs w:val="26"/>
        </w:rPr>
        <w:t>A.</w:t>
      </w:r>
      <w:r w:rsidRPr="000155FB">
        <w:rPr>
          <w:sz w:val="26"/>
          <w:szCs w:val="26"/>
        </w:rPr>
        <w:tab/>
        <w:t>Well, they called a couple times. It wasn’t only once. They just more or less made it sound good; that they could be 10 percent lower than PP&amp;L [sic], which you did at the beginning, and then it just kept going up, like I said in my letter.  …</w:t>
      </w:r>
    </w:p>
    <w:p w:rsidR="00D55262" w:rsidRPr="000155FB" w:rsidRDefault="00D55262" w:rsidP="000155FB">
      <w:pPr>
        <w:ind w:left="2160" w:right="1440" w:hanging="720"/>
        <w:rPr>
          <w:sz w:val="26"/>
          <w:szCs w:val="26"/>
        </w:rPr>
      </w:pPr>
    </w:p>
    <w:p w:rsidR="000155FB" w:rsidRDefault="000155FB" w:rsidP="000155FB">
      <w:pPr>
        <w:ind w:left="2160" w:right="1440" w:hanging="720"/>
        <w:rPr>
          <w:sz w:val="26"/>
          <w:szCs w:val="26"/>
        </w:rPr>
      </w:pPr>
      <w:r w:rsidRPr="000155FB">
        <w:rPr>
          <w:sz w:val="26"/>
          <w:szCs w:val="26"/>
        </w:rPr>
        <w:t>Q.</w:t>
      </w:r>
      <w:r w:rsidRPr="000155FB">
        <w:rPr>
          <w:sz w:val="26"/>
          <w:szCs w:val="26"/>
        </w:rPr>
        <w:tab/>
        <w:t>That’s okay. That’s okay, Mr. Kiback. I just want to focus more on this telephone enrollment, if I could. Are you sure that the agent told you that the rate would be beneath PPL, the PPL rate?</w:t>
      </w:r>
    </w:p>
    <w:p w:rsidR="00D55262" w:rsidRPr="000155FB" w:rsidRDefault="00D55262" w:rsidP="000155FB">
      <w:pPr>
        <w:ind w:left="2160" w:right="1440" w:hanging="720"/>
        <w:rPr>
          <w:sz w:val="26"/>
          <w:szCs w:val="26"/>
        </w:rPr>
      </w:pPr>
    </w:p>
    <w:p w:rsidR="000155FB" w:rsidRPr="000155FB" w:rsidRDefault="000155FB" w:rsidP="000155FB">
      <w:pPr>
        <w:ind w:left="2160" w:right="1440" w:hanging="720"/>
        <w:rPr>
          <w:sz w:val="26"/>
          <w:szCs w:val="26"/>
        </w:rPr>
      </w:pPr>
      <w:r w:rsidRPr="000155FB">
        <w:rPr>
          <w:sz w:val="26"/>
          <w:szCs w:val="26"/>
        </w:rPr>
        <w:t>A.</w:t>
      </w:r>
      <w:r w:rsidRPr="000155FB">
        <w:rPr>
          <w:sz w:val="26"/>
          <w:szCs w:val="26"/>
        </w:rPr>
        <w:tab/>
        <w:t>Sir, why would I change over to you if it would be the same or higher?</w:t>
      </w:r>
    </w:p>
    <w:p w:rsidR="00D55262" w:rsidRDefault="00D55262" w:rsidP="000155FB">
      <w:pPr>
        <w:ind w:left="2160" w:right="1440" w:hanging="720"/>
        <w:rPr>
          <w:sz w:val="26"/>
          <w:szCs w:val="26"/>
        </w:rPr>
      </w:pPr>
    </w:p>
    <w:p w:rsidR="000155FB" w:rsidRPr="000155FB" w:rsidRDefault="000155FB" w:rsidP="000155FB">
      <w:pPr>
        <w:ind w:left="2160" w:right="1440" w:hanging="720"/>
        <w:rPr>
          <w:sz w:val="26"/>
          <w:szCs w:val="26"/>
        </w:rPr>
      </w:pPr>
      <w:r w:rsidRPr="000155FB">
        <w:rPr>
          <w:sz w:val="26"/>
          <w:szCs w:val="26"/>
        </w:rPr>
        <w:t>Q.</w:t>
      </w:r>
      <w:r w:rsidRPr="000155FB">
        <w:rPr>
          <w:sz w:val="26"/>
          <w:szCs w:val="26"/>
        </w:rPr>
        <w:tab/>
        <w:t>Let me ask you again. Are you sure that you heard the sales agent say that the IDT rate would be below the PPL rate?</w:t>
      </w:r>
    </w:p>
    <w:p w:rsidR="00D55262" w:rsidRDefault="00D55262" w:rsidP="000155FB">
      <w:pPr>
        <w:ind w:left="1440" w:right="1440"/>
        <w:rPr>
          <w:sz w:val="26"/>
          <w:szCs w:val="26"/>
        </w:rPr>
      </w:pPr>
    </w:p>
    <w:p w:rsidR="000155FB" w:rsidRPr="000155FB" w:rsidRDefault="000155FB" w:rsidP="000155FB">
      <w:pPr>
        <w:ind w:left="1440" w:right="1440"/>
        <w:rPr>
          <w:sz w:val="26"/>
          <w:szCs w:val="26"/>
        </w:rPr>
      </w:pPr>
      <w:r w:rsidRPr="000155FB">
        <w:rPr>
          <w:sz w:val="26"/>
          <w:szCs w:val="26"/>
        </w:rPr>
        <w:t>A.</w:t>
      </w:r>
      <w:r w:rsidRPr="000155FB">
        <w:rPr>
          <w:sz w:val="26"/>
          <w:szCs w:val="26"/>
        </w:rPr>
        <w:tab/>
        <w:t>Yes, sir, I did. That’s why I switched over.</w:t>
      </w:r>
    </w:p>
    <w:p w:rsidR="00D55262" w:rsidRDefault="00D55262" w:rsidP="000155FB">
      <w:pPr>
        <w:ind w:left="2160" w:right="1440" w:hanging="720"/>
        <w:rPr>
          <w:sz w:val="26"/>
          <w:szCs w:val="26"/>
        </w:rPr>
      </w:pPr>
    </w:p>
    <w:p w:rsidR="000155FB" w:rsidRPr="000155FB" w:rsidRDefault="000155FB" w:rsidP="000155FB">
      <w:pPr>
        <w:ind w:left="2160" w:right="1440" w:hanging="720"/>
        <w:rPr>
          <w:sz w:val="26"/>
          <w:szCs w:val="26"/>
        </w:rPr>
      </w:pPr>
      <w:r w:rsidRPr="000155FB">
        <w:rPr>
          <w:sz w:val="26"/>
          <w:szCs w:val="26"/>
        </w:rPr>
        <w:t>Q.</w:t>
      </w:r>
      <w:r w:rsidRPr="000155FB">
        <w:rPr>
          <w:sz w:val="26"/>
          <w:szCs w:val="26"/>
        </w:rPr>
        <w:tab/>
        <w:t>Now, isn’t it the case that the sales agent said that the rate would be below PPL’s for a certain period of time of one to two months?</w:t>
      </w:r>
    </w:p>
    <w:p w:rsidR="00D55262" w:rsidRDefault="00D55262" w:rsidP="000155FB">
      <w:pPr>
        <w:ind w:left="1440" w:right="1440"/>
        <w:rPr>
          <w:sz w:val="26"/>
          <w:szCs w:val="26"/>
        </w:rPr>
      </w:pPr>
    </w:p>
    <w:p w:rsidR="000155FB" w:rsidRPr="000155FB" w:rsidRDefault="000155FB" w:rsidP="000155FB">
      <w:pPr>
        <w:ind w:left="1440" w:right="1440"/>
        <w:rPr>
          <w:sz w:val="26"/>
          <w:szCs w:val="26"/>
        </w:rPr>
      </w:pPr>
      <w:r w:rsidRPr="000155FB">
        <w:rPr>
          <w:sz w:val="26"/>
          <w:szCs w:val="26"/>
        </w:rPr>
        <w:t>A.</w:t>
      </w:r>
      <w:r w:rsidRPr="000155FB">
        <w:rPr>
          <w:sz w:val="26"/>
          <w:szCs w:val="26"/>
        </w:rPr>
        <w:tab/>
        <w:t>No, sir, they did not.</w:t>
      </w:r>
    </w:p>
    <w:p w:rsidR="000155FB" w:rsidRPr="000155FB" w:rsidRDefault="000155FB" w:rsidP="000155FB">
      <w:pPr>
        <w:spacing w:line="360" w:lineRule="auto"/>
        <w:rPr>
          <w:sz w:val="26"/>
          <w:szCs w:val="26"/>
        </w:rPr>
      </w:pPr>
    </w:p>
    <w:p w:rsidR="000155FB" w:rsidRPr="000155FB" w:rsidRDefault="000155FB" w:rsidP="000155FB">
      <w:pPr>
        <w:spacing w:line="360" w:lineRule="auto"/>
        <w:rPr>
          <w:sz w:val="26"/>
          <w:szCs w:val="26"/>
        </w:rPr>
      </w:pPr>
      <w:r w:rsidRPr="000155FB">
        <w:rPr>
          <w:sz w:val="26"/>
          <w:szCs w:val="26"/>
        </w:rPr>
        <w:t>Tr. at 15</w:t>
      </w:r>
      <w:r w:rsidR="00FE4393">
        <w:rPr>
          <w:sz w:val="26"/>
          <w:szCs w:val="26"/>
        </w:rPr>
        <w:t>; R. Exc. at 6-7.</w:t>
      </w:r>
      <w:r w:rsidRPr="000155FB">
        <w:rPr>
          <w:sz w:val="26"/>
          <w:szCs w:val="26"/>
        </w:rPr>
        <w:t xml:space="preserve">  While the Complainant misspoke </w:t>
      </w:r>
      <w:r w:rsidR="00FD57AC">
        <w:rPr>
          <w:sz w:val="26"/>
          <w:szCs w:val="26"/>
        </w:rPr>
        <w:t>that</w:t>
      </w:r>
      <w:r w:rsidRPr="000155FB">
        <w:rPr>
          <w:sz w:val="26"/>
          <w:szCs w:val="26"/>
        </w:rPr>
        <w:t xml:space="preserve"> IDT’s rate always went up, he </w:t>
      </w:r>
      <w:r w:rsidR="00D55262">
        <w:rPr>
          <w:sz w:val="26"/>
          <w:szCs w:val="26"/>
        </w:rPr>
        <w:t xml:space="preserve">corrected his testimony and </w:t>
      </w:r>
      <w:r w:rsidR="00FD57AC">
        <w:rPr>
          <w:sz w:val="26"/>
          <w:szCs w:val="26"/>
        </w:rPr>
        <w:t xml:space="preserve">acknowledged that </w:t>
      </w:r>
      <w:r w:rsidRPr="000155FB">
        <w:rPr>
          <w:sz w:val="26"/>
          <w:szCs w:val="26"/>
        </w:rPr>
        <w:t>the rate went down as well (Tr. at 15-16</w:t>
      </w:r>
      <w:r w:rsidR="00FD57AC">
        <w:rPr>
          <w:sz w:val="26"/>
          <w:szCs w:val="26"/>
        </w:rPr>
        <w:t>; Complaint attachments; IDT Ex. 1</w:t>
      </w:r>
      <w:r w:rsidRPr="000155FB">
        <w:rPr>
          <w:sz w:val="26"/>
          <w:szCs w:val="26"/>
        </w:rPr>
        <w:t>)</w:t>
      </w:r>
      <w:r w:rsidR="00FD57AC">
        <w:rPr>
          <w:sz w:val="26"/>
          <w:szCs w:val="26"/>
        </w:rPr>
        <w:t xml:space="preserve">.  </w:t>
      </w:r>
      <w:r w:rsidR="005300F6">
        <w:rPr>
          <w:sz w:val="26"/>
          <w:szCs w:val="26"/>
        </w:rPr>
        <w:t xml:space="preserve">When read in full, however, </w:t>
      </w:r>
      <w:r w:rsidR="00FD57AC">
        <w:rPr>
          <w:sz w:val="26"/>
          <w:szCs w:val="26"/>
        </w:rPr>
        <w:t>Mr. Kiback</w:t>
      </w:r>
      <w:r w:rsidR="003160F1">
        <w:rPr>
          <w:sz w:val="26"/>
          <w:szCs w:val="26"/>
        </w:rPr>
        <w:t xml:space="preserve">’s testimony reflects his </w:t>
      </w:r>
      <w:r w:rsidR="005300F6" w:rsidRPr="005300F6">
        <w:rPr>
          <w:sz w:val="26"/>
          <w:szCs w:val="26"/>
        </w:rPr>
        <w:t>adamant disagree</w:t>
      </w:r>
      <w:r w:rsidR="003160F1">
        <w:rPr>
          <w:sz w:val="26"/>
          <w:szCs w:val="26"/>
        </w:rPr>
        <w:t>ment</w:t>
      </w:r>
      <w:r w:rsidR="005300F6" w:rsidRPr="005300F6">
        <w:rPr>
          <w:sz w:val="26"/>
          <w:szCs w:val="26"/>
        </w:rPr>
        <w:t xml:space="preserve"> with any </w:t>
      </w:r>
      <w:r w:rsidR="003160F1">
        <w:rPr>
          <w:sz w:val="26"/>
          <w:szCs w:val="26"/>
        </w:rPr>
        <w:t>suggestion</w:t>
      </w:r>
      <w:r w:rsidR="005300F6" w:rsidRPr="005300F6">
        <w:rPr>
          <w:sz w:val="26"/>
          <w:szCs w:val="26"/>
        </w:rPr>
        <w:t xml:space="preserve"> that his recollection was anything other than that IDT’s rate, without qualification, would be lower than PPL’s</w:t>
      </w:r>
      <w:r w:rsidR="00246C00">
        <w:rPr>
          <w:sz w:val="26"/>
          <w:szCs w:val="26"/>
        </w:rPr>
        <w:t xml:space="preserve">.  He </w:t>
      </w:r>
      <w:r w:rsidR="00FD57AC">
        <w:rPr>
          <w:sz w:val="26"/>
          <w:szCs w:val="26"/>
        </w:rPr>
        <w:t xml:space="preserve">was </w:t>
      </w:r>
      <w:r w:rsidR="00246C00">
        <w:rPr>
          <w:sz w:val="26"/>
          <w:szCs w:val="26"/>
        </w:rPr>
        <w:t xml:space="preserve">also </w:t>
      </w:r>
      <w:r w:rsidR="00FD57AC">
        <w:rPr>
          <w:sz w:val="26"/>
          <w:szCs w:val="26"/>
        </w:rPr>
        <w:t>clear that his complaint was not</w:t>
      </w:r>
      <w:r w:rsidRPr="000155FB">
        <w:rPr>
          <w:sz w:val="26"/>
          <w:szCs w:val="26"/>
        </w:rPr>
        <w:t xml:space="preserve"> </w:t>
      </w:r>
      <w:r w:rsidR="00FD57AC">
        <w:rPr>
          <w:sz w:val="26"/>
          <w:szCs w:val="26"/>
        </w:rPr>
        <w:t xml:space="preserve">that </w:t>
      </w:r>
      <w:r w:rsidRPr="000155FB">
        <w:rPr>
          <w:sz w:val="26"/>
          <w:szCs w:val="26"/>
        </w:rPr>
        <w:t xml:space="preserve">the </w:t>
      </w:r>
      <w:r w:rsidR="005300F6">
        <w:rPr>
          <w:sz w:val="26"/>
          <w:szCs w:val="26"/>
        </w:rPr>
        <w:t xml:space="preserve">rate was variable, </w:t>
      </w:r>
      <w:r w:rsidRPr="000155FB">
        <w:rPr>
          <w:sz w:val="26"/>
          <w:szCs w:val="26"/>
        </w:rPr>
        <w:t>but instead that in January and February 2014 his rate for the first time exceeded PPL’s</w:t>
      </w:r>
      <w:r w:rsidR="00FD57AC">
        <w:rPr>
          <w:sz w:val="26"/>
          <w:szCs w:val="26"/>
        </w:rPr>
        <w:t>:</w:t>
      </w:r>
    </w:p>
    <w:p w:rsidR="000155FB" w:rsidRPr="000155FB" w:rsidRDefault="000155FB" w:rsidP="000155FB">
      <w:pPr>
        <w:spacing w:line="360" w:lineRule="auto"/>
        <w:rPr>
          <w:sz w:val="26"/>
          <w:szCs w:val="26"/>
        </w:rPr>
      </w:pPr>
    </w:p>
    <w:p w:rsidR="000155FB" w:rsidRPr="000155FB" w:rsidRDefault="000155FB" w:rsidP="00D55262">
      <w:pPr>
        <w:ind w:left="2160" w:right="1440" w:hanging="720"/>
        <w:rPr>
          <w:sz w:val="26"/>
          <w:szCs w:val="26"/>
        </w:rPr>
      </w:pPr>
      <w:r w:rsidRPr="000155FB">
        <w:rPr>
          <w:sz w:val="26"/>
          <w:szCs w:val="26"/>
        </w:rPr>
        <w:lastRenderedPageBreak/>
        <w:t>Q.</w:t>
      </w:r>
      <w:r w:rsidRPr="000155FB">
        <w:rPr>
          <w:sz w:val="26"/>
          <w:szCs w:val="26"/>
        </w:rPr>
        <w:tab/>
        <w:t>No. My question was: Why didn’t you call during 2011, 2012 and 2013 if you saw the rate changing periodically on your bill and you believed that you were on a fixed rate?</w:t>
      </w:r>
    </w:p>
    <w:p w:rsidR="00D55262" w:rsidRDefault="00D55262" w:rsidP="00D55262">
      <w:pPr>
        <w:ind w:left="2160" w:right="1440" w:hanging="720"/>
        <w:rPr>
          <w:sz w:val="26"/>
          <w:szCs w:val="26"/>
        </w:rPr>
      </w:pPr>
    </w:p>
    <w:p w:rsidR="000155FB" w:rsidRDefault="000155FB" w:rsidP="00D55262">
      <w:pPr>
        <w:ind w:left="2160" w:right="1440" w:hanging="720"/>
        <w:rPr>
          <w:sz w:val="26"/>
          <w:szCs w:val="26"/>
        </w:rPr>
      </w:pPr>
      <w:r w:rsidRPr="000155FB">
        <w:rPr>
          <w:sz w:val="26"/>
          <w:szCs w:val="26"/>
        </w:rPr>
        <w:t>A.</w:t>
      </w:r>
      <w:r w:rsidRPr="000155FB">
        <w:rPr>
          <w:sz w:val="26"/>
          <w:szCs w:val="26"/>
        </w:rPr>
        <w:tab/>
        <w:t>Because it wasn’t as high as PP&amp;L [sic].</w:t>
      </w:r>
    </w:p>
    <w:p w:rsidR="00D55262" w:rsidRPr="000155FB" w:rsidRDefault="00D55262" w:rsidP="00D55262">
      <w:pPr>
        <w:ind w:left="2160" w:right="1440" w:hanging="720"/>
        <w:rPr>
          <w:sz w:val="26"/>
          <w:szCs w:val="26"/>
        </w:rPr>
      </w:pPr>
    </w:p>
    <w:p w:rsidR="000155FB" w:rsidRPr="000155FB" w:rsidRDefault="000155FB" w:rsidP="00D55262">
      <w:pPr>
        <w:ind w:left="2160" w:right="1440" w:hanging="720"/>
        <w:rPr>
          <w:sz w:val="26"/>
          <w:szCs w:val="26"/>
        </w:rPr>
      </w:pPr>
      <w:r w:rsidRPr="000155FB">
        <w:rPr>
          <w:sz w:val="26"/>
          <w:szCs w:val="26"/>
        </w:rPr>
        <w:t>Q.</w:t>
      </w:r>
      <w:r w:rsidRPr="000155FB">
        <w:rPr>
          <w:sz w:val="26"/>
          <w:szCs w:val="26"/>
        </w:rPr>
        <w:tab/>
        <w:t>So, you’re saying that you only became concerned when IDT’s rate went higher than PPL’s rate?</w:t>
      </w:r>
    </w:p>
    <w:p w:rsidR="00D55262" w:rsidRDefault="00D55262" w:rsidP="00D55262">
      <w:pPr>
        <w:ind w:left="2160" w:right="1440" w:hanging="720"/>
        <w:rPr>
          <w:sz w:val="26"/>
          <w:szCs w:val="26"/>
        </w:rPr>
      </w:pPr>
    </w:p>
    <w:p w:rsidR="000155FB" w:rsidRPr="000155FB" w:rsidRDefault="000155FB" w:rsidP="00D55262">
      <w:pPr>
        <w:ind w:left="2160" w:right="1440" w:hanging="720"/>
        <w:rPr>
          <w:sz w:val="26"/>
          <w:szCs w:val="26"/>
        </w:rPr>
      </w:pPr>
      <w:r w:rsidRPr="000155FB">
        <w:rPr>
          <w:sz w:val="26"/>
          <w:szCs w:val="26"/>
        </w:rPr>
        <w:t>A.</w:t>
      </w:r>
      <w:r w:rsidRPr="000155FB">
        <w:rPr>
          <w:sz w:val="26"/>
          <w:szCs w:val="26"/>
        </w:rPr>
        <w:tab/>
        <w:t>Exactly.</w:t>
      </w:r>
    </w:p>
    <w:p w:rsidR="00D55262" w:rsidRDefault="00D55262" w:rsidP="00D55262">
      <w:pPr>
        <w:ind w:left="2160" w:right="1440" w:hanging="720"/>
        <w:rPr>
          <w:sz w:val="26"/>
          <w:szCs w:val="26"/>
        </w:rPr>
      </w:pPr>
    </w:p>
    <w:p w:rsidR="000155FB" w:rsidRPr="000155FB" w:rsidRDefault="000155FB" w:rsidP="00D55262">
      <w:pPr>
        <w:ind w:left="2160" w:right="1440" w:hanging="720"/>
        <w:rPr>
          <w:sz w:val="26"/>
          <w:szCs w:val="26"/>
        </w:rPr>
      </w:pPr>
      <w:r w:rsidRPr="000155FB">
        <w:rPr>
          <w:sz w:val="26"/>
          <w:szCs w:val="26"/>
        </w:rPr>
        <w:t>Q.</w:t>
      </w:r>
      <w:r w:rsidRPr="000155FB">
        <w:rPr>
          <w:sz w:val="26"/>
          <w:szCs w:val="26"/>
        </w:rPr>
        <w:tab/>
        <w:t>Okay. Are you saying that the first time that you thought that there might be a difference between what IDT was billing you and what you were promised was in 2014?</w:t>
      </w:r>
    </w:p>
    <w:p w:rsidR="00D55262" w:rsidRDefault="00D55262" w:rsidP="00D55262">
      <w:pPr>
        <w:ind w:left="2160" w:right="1440" w:hanging="720"/>
        <w:rPr>
          <w:sz w:val="26"/>
          <w:szCs w:val="26"/>
        </w:rPr>
      </w:pPr>
    </w:p>
    <w:p w:rsidR="000155FB" w:rsidRPr="000155FB" w:rsidRDefault="000155FB" w:rsidP="00D55262">
      <w:pPr>
        <w:ind w:left="2160" w:right="1440" w:hanging="720"/>
        <w:rPr>
          <w:sz w:val="26"/>
          <w:szCs w:val="26"/>
        </w:rPr>
      </w:pPr>
      <w:r w:rsidRPr="000155FB">
        <w:rPr>
          <w:sz w:val="26"/>
          <w:szCs w:val="26"/>
        </w:rPr>
        <w:t>A.</w:t>
      </w:r>
      <w:r w:rsidRPr="000155FB">
        <w:rPr>
          <w:sz w:val="26"/>
          <w:szCs w:val="26"/>
        </w:rPr>
        <w:tab/>
        <w:t>Yes.</w:t>
      </w:r>
    </w:p>
    <w:p w:rsidR="00D55262" w:rsidRDefault="00D55262" w:rsidP="00D55262">
      <w:pPr>
        <w:ind w:left="2160" w:right="1440" w:hanging="720"/>
        <w:rPr>
          <w:sz w:val="26"/>
          <w:szCs w:val="26"/>
        </w:rPr>
      </w:pPr>
    </w:p>
    <w:p w:rsidR="000155FB" w:rsidRPr="000155FB" w:rsidRDefault="000155FB" w:rsidP="00D55262">
      <w:pPr>
        <w:ind w:left="2160" w:right="1440" w:hanging="720"/>
        <w:rPr>
          <w:sz w:val="26"/>
          <w:szCs w:val="26"/>
        </w:rPr>
      </w:pPr>
      <w:r w:rsidRPr="000155FB">
        <w:rPr>
          <w:sz w:val="26"/>
          <w:szCs w:val="26"/>
        </w:rPr>
        <w:t>Q.</w:t>
      </w:r>
      <w:r w:rsidRPr="000155FB">
        <w:rPr>
          <w:sz w:val="26"/>
          <w:szCs w:val="26"/>
        </w:rPr>
        <w:tab/>
        <w:t>Okay.</w:t>
      </w:r>
    </w:p>
    <w:p w:rsidR="00D55262" w:rsidRDefault="00D55262" w:rsidP="00D55262">
      <w:pPr>
        <w:ind w:left="2160" w:right="1440" w:hanging="720"/>
        <w:rPr>
          <w:sz w:val="26"/>
          <w:szCs w:val="26"/>
        </w:rPr>
      </w:pPr>
    </w:p>
    <w:p w:rsidR="000155FB" w:rsidRPr="000155FB" w:rsidRDefault="000155FB" w:rsidP="00D55262">
      <w:pPr>
        <w:ind w:left="2160" w:right="1440" w:hanging="720"/>
        <w:rPr>
          <w:sz w:val="26"/>
          <w:szCs w:val="26"/>
        </w:rPr>
      </w:pPr>
      <w:r w:rsidRPr="000155FB">
        <w:rPr>
          <w:sz w:val="26"/>
          <w:szCs w:val="26"/>
        </w:rPr>
        <w:t>A.</w:t>
      </w:r>
      <w:r w:rsidRPr="000155FB">
        <w:rPr>
          <w:sz w:val="26"/>
          <w:szCs w:val="26"/>
        </w:rPr>
        <w:tab/>
        <w:t xml:space="preserve">It kept going up, which I knew, but PP&amp;L’s </w:t>
      </w:r>
      <w:r w:rsidR="00D55262">
        <w:rPr>
          <w:sz w:val="26"/>
          <w:szCs w:val="26"/>
        </w:rPr>
        <w:t xml:space="preserve">[sic] </w:t>
      </w:r>
      <w:r w:rsidRPr="000155FB">
        <w:rPr>
          <w:sz w:val="26"/>
          <w:szCs w:val="26"/>
        </w:rPr>
        <w:t xml:space="preserve">was doing the same thing, but not as high as you. </w:t>
      </w:r>
    </w:p>
    <w:p w:rsidR="00D55262" w:rsidRDefault="00D55262" w:rsidP="00D55262">
      <w:pPr>
        <w:ind w:left="2160" w:right="1440" w:hanging="720"/>
        <w:rPr>
          <w:sz w:val="26"/>
          <w:szCs w:val="26"/>
        </w:rPr>
      </w:pPr>
    </w:p>
    <w:p w:rsidR="000155FB" w:rsidRPr="000155FB" w:rsidRDefault="000155FB" w:rsidP="00D55262">
      <w:pPr>
        <w:ind w:left="2160" w:right="1440" w:hanging="720"/>
        <w:rPr>
          <w:sz w:val="26"/>
          <w:szCs w:val="26"/>
        </w:rPr>
      </w:pPr>
      <w:r w:rsidRPr="000155FB">
        <w:rPr>
          <w:sz w:val="26"/>
          <w:szCs w:val="26"/>
        </w:rPr>
        <w:t>Q.</w:t>
      </w:r>
      <w:r w:rsidRPr="000155FB">
        <w:rPr>
          <w:sz w:val="26"/>
          <w:szCs w:val="26"/>
        </w:rPr>
        <w:tab/>
        <w:t>You’re swearing here today that the telephone sales representative that you talked to promised you a guaranteed saving?</w:t>
      </w:r>
    </w:p>
    <w:p w:rsidR="00D55262" w:rsidRDefault="00D55262" w:rsidP="00D55262">
      <w:pPr>
        <w:ind w:left="2160" w:right="1440" w:hanging="720"/>
        <w:rPr>
          <w:sz w:val="26"/>
          <w:szCs w:val="26"/>
        </w:rPr>
      </w:pPr>
    </w:p>
    <w:p w:rsidR="000155FB" w:rsidRPr="000155FB" w:rsidRDefault="000155FB" w:rsidP="00D55262">
      <w:pPr>
        <w:ind w:left="2160" w:right="1440" w:hanging="720"/>
        <w:rPr>
          <w:sz w:val="26"/>
          <w:szCs w:val="26"/>
        </w:rPr>
      </w:pPr>
      <w:r w:rsidRPr="000155FB">
        <w:rPr>
          <w:sz w:val="26"/>
          <w:szCs w:val="26"/>
        </w:rPr>
        <w:t>A.</w:t>
      </w:r>
      <w:r w:rsidRPr="000155FB">
        <w:rPr>
          <w:sz w:val="26"/>
          <w:szCs w:val="26"/>
        </w:rPr>
        <w:tab/>
        <w:t>Yes, sir, I am. Why would I have went with you?</w:t>
      </w:r>
    </w:p>
    <w:p w:rsidR="000155FB" w:rsidRPr="000155FB" w:rsidRDefault="000155FB" w:rsidP="000155FB">
      <w:pPr>
        <w:spacing w:line="360" w:lineRule="auto"/>
        <w:rPr>
          <w:sz w:val="26"/>
          <w:szCs w:val="26"/>
        </w:rPr>
      </w:pPr>
    </w:p>
    <w:p w:rsidR="00F67658" w:rsidRDefault="00246C00" w:rsidP="00F65F24">
      <w:pPr>
        <w:spacing w:line="360" w:lineRule="auto"/>
        <w:rPr>
          <w:sz w:val="26"/>
          <w:szCs w:val="26"/>
        </w:rPr>
      </w:pPr>
      <w:r>
        <w:rPr>
          <w:sz w:val="26"/>
          <w:szCs w:val="26"/>
        </w:rPr>
        <w:t>Tr. at 18-19.</w:t>
      </w:r>
    </w:p>
    <w:p w:rsidR="00F67658" w:rsidRDefault="00F67658" w:rsidP="00F65F24">
      <w:pPr>
        <w:spacing w:line="360" w:lineRule="auto"/>
        <w:rPr>
          <w:sz w:val="26"/>
          <w:szCs w:val="26"/>
        </w:rPr>
      </w:pPr>
    </w:p>
    <w:p w:rsidR="00E445C1" w:rsidRDefault="00F67658" w:rsidP="00E445C1">
      <w:pPr>
        <w:spacing w:line="360" w:lineRule="auto"/>
        <w:rPr>
          <w:sz w:val="26"/>
          <w:szCs w:val="26"/>
        </w:rPr>
      </w:pPr>
      <w:r>
        <w:rPr>
          <w:sz w:val="26"/>
          <w:szCs w:val="26"/>
        </w:rPr>
        <w:tab/>
      </w:r>
      <w:r>
        <w:rPr>
          <w:sz w:val="26"/>
          <w:szCs w:val="26"/>
        </w:rPr>
        <w:tab/>
      </w:r>
      <w:r w:rsidR="00FD57AC">
        <w:rPr>
          <w:sz w:val="26"/>
          <w:szCs w:val="26"/>
        </w:rPr>
        <w:t xml:space="preserve">While </w:t>
      </w:r>
      <w:r w:rsidR="000155FB" w:rsidRPr="000155FB">
        <w:rPr>
          <w:sz w:val="26"/>
          <w:szCs w:val="26"/>
        </w:rPr>
        <w:t>IDT contends that the testimony of its witness addressing the EGS’ training and scripts refute</w:t>
      </w:r>
      <w:r w:rsidR="00533503">
        <w:rPr>
          <w:sz w:val="26"/>
          <w:szCs w:val="26"/>
        </w:rPr>
        <w:t>s</w:t>
      </w:r>
      <w:r w:rsidR="000155FB" w:rsidRPr="000155FB">
        <w:rPr>
          <w:sz w:val="26"/>
          <w:szCs w:val="26"/>
        </w:rPr>
        <w:t xml:space="preserve"> that claim</w:t>
      </w:r>
      <w:r w:rsidR="00FD57AC">
        <w:rPr>
          <w:sz w:val="26"/>
          <w:szCs w:val="26"/>
        </w:rPr>
        <w:t xml:space="preserve">, </w:t>
      </w:r>
      <w:r w:rsidR="00246C00">
        <w:rPr>
          <w:sz w:val="26"/>
          <w:szCs w:val="26"/>
        </w:rPr>
        <w:t xml:space="preserve">as the ALJ found and the OCA argues, </w:t>
      </w:r>
      <w:r w:rsidR="00FD57AC">
        <w:rPr>
          <w:sz w:val="26"/>
          <w:szCs w:val="26"/>
        </w:rPr>
        <w:t>t</w:t>
      </w:r>
      <w:r w:rsidR="000155FB" w:rsidRPr="000155FB">
        <w:rPr>
          <w:sz w:val="26"/>
          <w:szCs w:val="26"/>
        </w:rPr>
        <w:t xml:space="preserve">hat witness had no knowledge of the telemarketing made to Mr. Kiback.  </w:t>
      </w:r>
      <w:r w:rsidR="00246C00">
        <w:rPr>
          <w:sz w:val="26"/>
          <w:szCs w:val="26"/>
        </w:rPr>
        <w:t xml:space="preserve">I.D. at 10; </w:t>
      </w:r>
      <w:r>
        <w:rPr>
          <w:sz w:val="26"/>
          <w:szCs w:val="26"/>
        </w:rPr>
        <w:t xml:space="preserve">R. Exc. at </w:t>
      </w:r>
      <w:r w:rsidR="00642E8F">
        <w:rPr>
          <w:sz w:val="26"/>
          <w:szCs w:val="26"/>
        </w:rPr>
        <w:t>8-9</w:t>
      </w:r>
      <w:r w:rsidR="00246C00">
        <w:rPr>
          <w:sz w:val="26"/>
          <w:szCs w:val="26"/>
        </w:rPr>
        <w:t xml:space="preserve">; </w:t>
      </w:r>
      <w:r w:rsidR="00246C00" w:rsidRPr="00246C00">
        <w:rPr>
          <w:sz w:val="26"/>
          <w:szCs w:val="26"/>
        </w:rPr>
        <w:t>Tr.</w:t>
      </w:r>
      <w:r w:rsidR="00246C00">
        <w:rPr>
          <w:sz w:val="26"/>
          <w:szCs w:val="26"/>
        </w:rPr>
        <w:t> </w:t>
      </w:r>
      <w:r w:rsidR="00246C00" w:rsidRPr="00246C00">
        <w:rPr>
          <w:sz w:val="26"/>
          <w:szCs w:val="26"/>
        </w:rPr>
        <w:t>at 39</w:t>
      </w:r>
      <w:r>
        <w:rPr>
          <w:sz w:val="26"/>
          <w:szCs w:val="26"/>
        </w:rPr>
        <w:t>.</w:t>
      </w:r>
      <w:r w:rsidR="000155FB" w:rsidRPr="000155FB">
        <w:rPr>
          <w:sz w:val="26"/>
          <w:szCs w:val="26"/>
        </w:rPr>
        <w:t xml:space="preserve"> </w:t>
      </w:r>
      <w:r w:rsidR="00D55262">
        <w:rPr>
          <w:sz w:val="26"/>
          <w:szCs w:val="26"/>
        </w:rPr>
        <w:t xml:space="preserve"> </w:t>
      </w:r>
      <w:r w:rsidR="00E445C1" w:rsidRPr="00E445C1">
        <w:rPr>
          <w:sz w:val="26"/>
          <w:szCs w:val="26"/>
        </w:rPr>
        <w:t>IDT</w:t>
      </w:r>
      <w:r>
        <w:rPr>
          <w:sz w:val="26"/>
          <w:szCs w:val="26"/>
        </w:rPr>
        <w:t>’s</w:t>
      </w:r>
      <w:r w:rsidR="00E445C1" w:rsidRPr="00E445C1">
        <w:rPr>
          <w:sz w:val="26"/>
          <w:szCs w:val="26"/>
        </w:rPr>
        <w:t xml:space="preserve"> </w:t>
      </w:r>
      <w:r>
        <w:rPr>
          <w:sz w:val="26"/>
          <w:szCs w:val="26"/>
        </w:rPr>
        <w:t>reliance on</w:t>
      </w:r>
      <w:r w:rsidR="00E445C1" w:rsidRPr="00E445C1">
        <w:rPr>
          <w:sz w:val="26"/>
          <w:szCs w:val="26"/>
        </w:rPr>
        <w:t xml:space="preserve"> </w:t>
      </w:r>
      <w:r w:rsidR="00E445C1" w:rsidRPr="00E445C1">
        <w:rPr>
          <w:i/>
          <w:sz w:val="26"/>
          <w:szCs w:val="26"/>
        </w:rPr>
        <w:t xml:space="preserve">McCauley </w:t>
      </w:r>
      <w:r w:rsidR="00E445C1" w:rsidRPr="00E445C1">
        <w:rPr>
          <w:sz w:val="26"/>
          <w:szCs w:val="26"/>
        </w:rPr>
        <w:t xml:space="preserve">and </w:t>
      </w:r>
      <w:r w:rsidR="00E445C1" w:rsidRPr="00E445C1">
        <w:rPr>
          <w:i/>
          <w:sz w:val="26"/>
          <w:szCs w:val="26"/>
        </w:rPr>
        <w:t xml:space="preserve">Bennett </w:t>
      </w:r>
      <w:r>
        <w:rPr>
          <w:sz w:val="26"/>
          <w:szCs w:val="26"/>
        </w:rPr>
        <w:t>to</w:t>
      </w:r>
      <w:r w:rsidR="00E445C1" w:rsidRPr="00E445C1">
        <w:rPr>
          <w:sz w:val="26"/>
          <w:szCs w:val="26"/>
        </w:rPr>
        <w:t xml:space="preserve"> support its argument that </w:t>
      </w:r>
      <w:r w:rsidR="00E445C1" w:rsidRPr="00E445C1">
        <w:rPr>
          <w:sz w:val="26"/>
          <w:szCs w:val="26"/>
        </w:rPr>
        <w:lastRenderedPageBreak/>
        <w:t>Mr.</w:t>
      </w:r>
      <w:r w:rsidR="00C03A4C">
        <w:rPr>
          <w:sz w:val="26"/>
          <w:szCs w:val="26"/>
        </w:rPr>
        <w:t> </w:t>
      </w:r>
      <w:r w:rsidR="00E445C1" w:rsidRPr="00E445C1">
        <w:rPr>
          <w:sz w:val="26"/>
          <w:szCs w:val="26"/>
        </w:rPr>
        <w:t>Kiback’s testimony was insufficient to support the ALJ’s finding</w:t>
      </w:r>
      <w:r>
        <w:rPr>
          <w:sz w:val="26"/>
          <w:szCs w:val="26"/>
        </w:rPr>
        <w:t xml:space="preserve"> is </w:t>
      </w:r>
      <w:r w:rsidR="00C03A4C">
        <w:rPr>
          <w:sz w:val="26"/>
          <w:szCs w:val="26"/>
        </w:rPr>
        <w:t xml:space="preserve">also </w:t>
      </w:r>
      <w:r>
        <w:rPr>
          <w:sz w:val="26"/>
          <w:szCs w:val="26"/>
        </w:rPr>
        <w:t>misplaced</w:t>
      </w:r>
      <w:r w:rsidR="00246C00">
        <w:rPr>
          <w:sz w:val="26"/>
          <w:szCs w:val="26"/>
        </w:rPr>
        <w:t xml:space="preserve"> because, as the OCA contends, these cases are distinguishable</w:t>
      </w:r>
      <w:r w:rsidR="00E445C1" w:rsidRPr="00E445C1">
        <w:rPr>
          <w:sz w:val="26"/>
          <w:szCs w:val="26"/>
        </w:rPr>
        <w:t>.</w:t>
      </w:r>
      <w:r w:rsidR="00E445C1" w:rsidRPr="00E445C1">
        <w:rPr>
          <w:sz w:val="26"/>
          <w:szCs w:val="26"/>
          <w:vertAlign w:val="superscript"/>
        </w:rPr>
        <w:footnoteReference w:id="7"/>
      </w:r>
    </w:p>
    <w:p w:rsidR="00E445C1" w:rsidRDefault="00E445C1" w:rsidP="00E445C1">
      <w:pPr>
        <w:spacing w:line="360" w:lineRule="auto"/>
        <w:rPr>
          <w:sz w:val="26"/>
          <w:szCs w:val="26"/>
        </w:rPr>
      </w:pPr>
    </w:p>
    <w:p w:rsidR="00E85D60" w:rsidRDefault="00E445C1" w:rsidP="00E445C1">
      <w:pPr>
        <w:tabs>
          <w:tab w:val="left" w:pos="1440"/>
        </w:tabs>
        <w:spacing w:line="360" w:lineRule="auto"/>
        <w:ind w:firstLine="720"/>
        <w:rPr>
          <w:sz w:val="26"/>
          <w:szCs w:val="26"/>
        </w:rPr>
      </w:pPr>
      <w:r>
        <w:rPr>
          <w:sz w:val="26"/>
          <w:szCs w:val="26"/>
        </w:rPr>
        <w:tab/>
      </w:r>
      <w:r w:rsidRPr="00E445C1">
        <w:rPr>
          <w:i/>
          <w:sz w:val="26"/>
          <w:szCs w:val="26"/>
        </w:rPr>
        <w:t>McCauley</w:t>
      </w:r>
      <w:r w:rsidRPr="00E445C1">
        <w:rPr>
          <w:sz w:val="26"/>
          <w:szCs w:val="26"/>
        </w:rPr>
        <w:t xml:space="preserve"> involved </w:t>
      </w:r>
      <w:r>
        <w:rPr>
          <w:sz w:val="26"/>
          <w:szCs w:val="26"/>
        </w:rPr>
        <w:t xml:space="preserve">a complainant’s </w:t>
      </w:r>
      <w:r w:rsidRPr="00E445C1">
        <w:rPr>
          <w:sz w:val="26"/>
          <w:szCs w:val="26"/>
        </w:rPr>
        <w:t xml:space="preserve">allegations of unreliable and unreasonable service.  </w:t>
      </w:r>
      <w:r>
        <w:rPr>
          <w:sz w:val="26"/>
          <w:szCs w:val="26"/>
        </w:rPr>
        <w:t>In that case, t</w:t>
      </w:r>
      <w:r w:rsidRPr="00E445C1">
        <w:rPr>
          <w:sz w:val="26"/>
          <w:szCs w:val="26"/>
        </w:rPr>
        <w:t>he complainant</w:t>
      </w:r>
      <w:r>
        <w:rPr>
          <w:sz w:val="26"/>
          <w:szCs w:val="26"/>
        </w:rPr>
        <w:t xml:space="preserve">’s evidence comprised her testimony that the </w:t>
      </w:r>
      <w:r w:rsidRPr="00E445C1">
        <w:rPr>
          <w:sz w:val="26"/>
          <w:szCs w:val="26"/>
        </w:rPr>
        <w:t>outages</w:t>
      </w:r>
      <w:r>
        <w:rPr>
          <w:sz w:val="26"/>
          <w:szCs w:val="26"/>
        </w:rPr>
        <w:t xml:space="preserve"> she experienced</w:t>
      </w:r>
      <w:r w:rsidRPr="00E445C1">
        <w:rPr>
          <w:sz w:val="26"/>
          <w:szCs w:val="26"/>
        </w:rPr>
        <w:t xml:space="preserve">, over an </w:t>
      </w:r>
      <w:r>
        <w:rPr>
          <w:sz w:val="26"/>
          <w:szCs w:val="26"/>
        </w:rPr>
        <w:t>eighteen</w:t>
      </w:r>
      <w:r w:rsidRPr="00E445C1">
        <w:rPr>
          <w:sz w:val="26"/>
          <w:szCs w:val="26"/>
        </w:rPr>
        <w:t xml:space="preserve">-year period, were excessive and that company workers just sat in their trucks at substations rather than restoring service. </w:t>
      </w:r>
      <w:r w:rsidR="00642E8F">
        <w:rPr>
          <w:sz w:val="26"/>
          <w:szCs w:val="26"/>
        </w:rPr>
        <w:t xml:space="preserve"> </w:t>
      </w:r>
      <w:r w:rsidRPr="00E445C1">
        <w:rPr>
          <w:sz w:val="26"/>
          <w:szCs w:val="26"/>
        </w:rPr>
        <w:t>Th</w:t>
      </w:r>
      <w:r>
        <w:rPr>
          <w:sz w:val="26"/>
          <w:szCs w:val="26"/>
        </w:rPr>
        <w:t>e</w:t>
      </w:r>
      <w:r w:rsidRPr="00E445C1">
        <w:rPr>
          <w:sz w:val="26"/>
          <w:szCs w:val="26"/>
        </w:rPr>
        <w:t xml:space="preserve"> </w:t>
      </w:r>
      <w:r w:rsidR="00246C00">
        <w:rPr>
          <w:sz w:val="26"/>
          <w:szCs w:val="26"/>
        </w:rPr>
        <w:t xml:space="preserve">company refuted the </w:t>
      </w:r>
      <w:r w:rsidRPr="00E445C1">
        <w:rPr>
          <w:sz w:val="26"/>
          <w:szCs w:val="26"/>
        </w:rPr>
        <w:t>complainant</w:t>
      </w:r>
      <w:r w:rsidR="00642E8F">
        <w:rPr>
          <w:sz w:val="26"/>
          <w:szCs w:val="26"/>
        </w:rPr>
        <w:t>’s</w:t>
      </w:r>
      <w:r w:rsidRPr="00E445C1">
        <w:rPr>
          <w:sz w:val="26"/>
          <w:szCs w:val="26"/>
        </w:rPr>
        <w:t xml:space="preserve"> testimony </w:t>
      </w:r>
      <w:r w:rsidR="00246C00">
        <w:rPr>
          <w:sz w:val="26"/>
          <w:szCs w:val="26"/>
        </w:rPr>
        <w:t xml:space="preserve">with </w:t>
      </w:r>
      <w:r w:rsidRPr="00E445C1">
        <w:rPr>
          <w:sz w:val="26"/>
          <w:szCs w:val="26"/>
        </w:rPr>
        <w:t>the testimony of a</w:t>
      </w:r>
      <w:r w:rsidR="00246C00">
        <w:rPr>
          <w:sz w:val="26"/>
          <w:szCs w:val="26"/>
        </w:rPr>
        <w:t>n</w:t>
      </w:r>
      <w:r w:rsidRPr="00E445C1">
        <w:rPr>
          <w:sz w:val="26"/>
          <w:szCs w:val="26"/>
        </w:rPr>
        <w:t xml:space="preserve"> employee who was “well qualified to render an expert opinion on the Company's electric system and the measures needed to restore electric service after an outage.”  </w:t>
      </w:r>
      <w:r w:rsidRPr="00E445C1">
        <w:rPr>
          <w:i/>
          <w:sz w:val="26"/>
          <w:szCs w:val="26"/>
        </w:rPr>
        <w:t>McCauley</w:t>
      </w:r>
      <w:r w:rsidRPr="00E445C1">
        <w:rPr>
          <w:sz w:val="26"/>
          <w:szCs w:val="26"/>
        </w:rPr>
        <w:t xml:space="preserve">, 2014 WL 1390779 at *5.  </w:t>
      </w:r>
      <w:r w:rsidR="00246C00">
        <w:rPr>
          <w:sz w:val="26"/>
          <w:szCs w:val="26"/>
        </w:rPr>
        <w:t>T</w:t>
      </w:r>
      <w:r w:rsidRPr="00E445C1">
        <w:rPr>
          <w:sz w:val="26"/>
          <w:szCs w:val="26"/>
        </w:rPr>
        <w:t xml:space="preserve">his company witness “provided extensive, detailed testimony regarding the Company's distribution system, recent outages at the Complainant's residence, the causes of those outages and the Company's actions to restore service in a reasonable time.”  </w:t>
      </w:r>
      <w:r w:rsidRPr="00E445C1">
        <w:rPr>
          <w:i/>
          <w:sz w:val="26"/>
          <w:szCs w:val="26"/>
        </w:rPr>
        <w:t>Id.</w:t>
      </w:r>
      <w:r w:rsidRPr="00E445C1">
        <w:rPr>
          <w:sz w:val="26"/>
          <w:szCs w:val="26"/>
        </w:rPr>
        <w:t xml:space="preserve">  In </w:t>
      </w:r>
      <w:r w:rsidR="00246C00">
        <w:rPr>
          <w:sz w:val="26"/>
          <w:szCs w:val="26"/>
        </w:rPr>
        <w:t xml:space="preserve">other words, in </w:t>
      </w:r>
      <w:r w:rsidRPr="00E445C1">
        <w:rPr>
          <w:sz w:val="26"/>
          <w:szCs w:val="26"/>
        </w:rPr>
        <w:t xml:space="preserve">that case, the company </w:t>
      </w:r>
      <w:r>
        <w:rPr>
          <w:sz w:val="26"/>
          <w:szCs w:val="26"/>
        </w:rPr>
        <w:t xml:space="preserve">witness testified </w:t>
      </w:r>
      <w:r w:rsidRPr="00E445C1">
        <w:rPr>
          <w:sz w:val="26"/>
          <w:szCs w:val="26"/>
        </w:rPr>
        <w:t>specifically about the company’s interaction</w:t>
      </w:r>
      <w:r>
        <w:rPr>
          <w:sz w:val="26"/>
          <w:szCs w:val="26"/>
        </w:rPr>
        <w:t xml:space="preserve">s </w:t>
      </w:r>
      <w:r w:rsidRPr="00E445C1">
        <w:rPr>
          <w:sz w:val="26"/>
          <w:szCs w:val="26"/>
        </w:rPr>
        <w:t xml:space="preserve">with the complaining customer.  </w:t>
      </w:r>
      <w:r>
        <w:rPr>
          <w:sz w:val="26"/>
          <w:szCs w:val="26"/>
        </w:rPr>
        <w:t xml:space="preserve">Neither the issue nor the </w:t>
      </w:r>
      <w:r w:rsidR="00654ECC">
        <w:rPr>
          <w:sz w:val="26"/>
          <w:szCs w:val="26"/>
        </w:rPr>
        <w:t xml:space="preserve">record evidence in </w:t>
      </w:r>
      <w:r w:rsidR="00654ECC">
        <w:rPr>
          <w:i/>
          <w:sz w:val="26"/>
          <w:szCs w:val="26"/>
        </w:rPr>
        <w:t>McCauley</w:t>
      </w:r>
      <w:r>
        <w:rPr>
          <w:sz w:val="26"/>
          <w:szCs w:val="26"/>
        </w:rPr>
        <w:t xml:space="preserve"> is similar to the circumstances in </w:t>
      </w:r>
      <w:r w:rsidR="00654ECC">
        <w:rPr>
          <w:sz w:val="26"/>
          <w:szCs w:val="26"/>
        </w:rPr>
        <w:t>this proceeding</w:t>
      </w:r>
      <w:r w:rsidRPr="00E445C1">
        <w:rPr>
          <w:sz w:val="26"/>
          <w:szCs w:val="26"/>
        </w:rPr>
        <w:t xml:space="preserve">. </w:t>
      </w:r>
      <w:r w:rsidR="00654ECC">
        <w:rPr>
          <w:sz w:val="26"/>
          <w:szCs w:val="26"/>
        </w:rPr>
        <w:t xml:space="preserve"> </w:t>
      </w:r>
      <w:r>
        <w:rPr>
          <w:sz w:val="26"/>
          <w:szCs w:val="26"/>
        </w:rPr>
        <w:t>E</w:t>
      </w:r>
      <w:r w:rsidRPr="00E445C1">
        <w:rPr>
          <w:sz w:val="26"/>
          <w:szCs w:val="26"/>
        </w:rPr>
        <w:t xml:space="preserve">xpert testimony is </w:t>
      </w:r>
      <w:r>
        <w:rPr>
          <w:sz w:val="26"/>
          <w:szCs w:val="26"/>
        </w:rPr>
        <w:t xml:space="preserve">not </w:t>
      </w:r>
      <w:r w:rsidRPr="00E445C1">
        <w:rPr>
          <w:sz w:val="26"/>
          <w:szCs w:val="26"/>
        </w:rPr>
        <w:t xml:space="preserve">required from the Complainant to </w:t>
      </w:r>
      <w:r>
        <w:rPr>
          <w:sz w:val="26"/>
          <w:szCs w:val="26"/>
        </w:rPr>
        <w:t>prove his understanding of the</w:t>
      </w:r>
      <w:r w:rsidRPr="00E445C1">
        <w:rPr>
          <w:sz w:val="26"/>
          <w:szCs w:val="26"/>
        </w:rPr>
        <w:t xml:space="preserve"> offer made to him over the phone through an unsolicited telemarketing call.  For these reasons, this case is distinguishable from </w:t>
      </w:r>
      <w:r>
        <w:rPr>
          <w:i/>
          <w:sz w:val="26"/>
          <w:szCs w:val="26"/>
        </w:rPr>
        <w:t>McCauley</w:t>
      </w:r>
      <w:r w:rsidRPr="00E445C1">
        <w:rPr>
          <w:sz w:val="26"/>
          <w:szCs w:val="26"/>
        </w:rPr>
        <w:t xml:space="preserve">.  </w:t>
      </w:r>
      <w:r w:rsidRPr="00E445C1">
        <w:rPr>
          <w:i/>
          <w:sz w:val="26"/>
          <w:szCs w:val="26"/>
        </w:rPr>
        <w:t>Bennett</w:t>
      </w:r>
      <w:r w:rsidRPr="00E445C1">
        <w:rPr>
          <w:sz w:val="26"/>
          <w:szCs w:val="26"/>
        </w:rPr>
        <w:t xml:space="preserve"> is similarly </w:t>
      </w:r>
      <w:r w:rsidR="00246C00">
        <w:rPr>
          <w:sz w:val="26"/>
          <w:szCs w:val="26"/>
        </w:rPr>
        <w:t>distinguishable</w:t>
      </w:r>
      <w:r w:rsidR="00E85D60">
        <w:rPr>
          <w:sz w:val="26"/>
          <w:szCs w:val="26"/>
        </w:rPr>
        <w:t xml:space="preserve"> because i</w:t>
      </w:r>
      <w:r w:rsidRPr="00E445C1">
        <w:rPr>
          <w:sz w:val="26"/>
          <w:szCs w:val="26"/>
        </w:rPr>
        <w:t xml:space="preserve">n that case the respondent offered the direct testimony of a witness qualified to address </w:t>
      </w:r>
      <w:r w:rsidRPr="00E445C1">
        <w:rPr>
          <w:sz w:val="26"/>
          <w:szCs w:val="26"/>
        </w:rPr>
        <w:lastRenderedPageBreak/>
        <w:t xml:space="preserve">facts regarding the complainant’s account and the </w:t>
      </w:r>
      <w:r w:rsidR="00654ECC">
        <w:rPr>
          <w:sz w:val="26"/>
          <w:szCs w:val="26"/>
        </w:rPr>
        <w:t xml:space="preserve">specific </w:t>
      </w:r>
      <w:r w:rsidRPr="00E445C1">
        <w:rPr>
          <w:sz w:val="26"/>
          <w:szCs w:val="26"/>
        </w:rPr>
        <w:t>matter at issue to refute the complainant’s testimony.</w:t>
      </w:r>
    </w:p>
    <w:p w:rsidR="00E85D60" w:rsidRDefault="00E85D60" w:rsidP="00E445C1">
      <w:pPr>
        <w:tabs>
          <w:tab w:val="left" w:pos="1440"/>
        </w:tabs>
        <w:spacing w:line="360" w:lineRule="auto"/>
        <w:ind w:firstLine="720"/>
        <w:rPr>
          <w:sz w:val="26"/>
          <w:szCs w:val="26"/>
        </w:rPr>
      </w:pPr>
    </w:p>
    <w:p w:rsidR="00E445C1" w:rsidRPr="007C35E2" w:rsidRDefault="00E85D60" w:rsidP="00E445C1">
      <w:pPr>
        <w:tabs>
          <w:tab w:val="left" w:pos="1440"/>
        </w:tabs>
        <w:spacing w:line="360" w:lineRule="auto"/>
        <w:ind w:firstLine="720"/>
      </w:pPr>
      <w:r>
        <w:rPr>
          <w:sz w:val="26"/>
          <w:szCs w:val="26"/>
        </w:rPr>
        <w:tab/>
      </w:r>
      <w:r w:rsidR="00246C00">
        <w:rPr>
          <w:sz w:val="26"/>
          <w:szCs w:val="26"/>
        </w:rPr>
        <w:t xml:space="preserve">As addressed, </w:t>
      </w:r>
      <w:r w:rsidR="00246C00" w:rsidRPr="00246C00">
        <w:rPr>
          <w:i/>
          <w:sz w:val="26"/>
          <w:szCs w:val="26"/>
        </w:rPr>
        <w:t>supra</w:t>
      </w:r>
      <w:r w:rsidR="00246C00">
        <w:rPr>
          <w:sz w:val="26"/>
          <w:szCs w:val="26"/>
        </w:rPr>
        <w:t xml:space="preserve">, </w:t>
      </w:r>
      <w:r w:rsidR="00654ECC" w:rsidRPr="00246C00">
        <w:rPr>
          <w:sz w:val="26"/>
          <w:szCs w:val="26"/>
        </w:rPr>
        <w:t>IDT’s</w:t>
      </w:r>
      <w:r w:rsidR="00654ECC">
        <w:rPr>
          <w:sz w:val="26"/>
          <w:szCs w:val="26"/>
        </w:rPr>
        <w:t xml:space="preserve"> witness Stoughton </w:t>
      </w:r>
      <w:r w:rsidR="00246C00">
        <w:rPr>
          <w:sz w:val="26"/>
          <w:szCs w:val="26"/>
        </w:rPr>
        <w:t xml:space="preserve">could not </w:t>
      </w:r>
      <w:r w:rsidR="00654ECC">
        <w:rPr>
          <w:sz w:val="26"/>
          <w:szCs w:val="26"/>
        </w:rPr>
        <w:t xml:space="preserve">address facts </w:t>
      </w:r>
      <w:r w:rsidR="00246C00">
        <w:rPr>
          <w:sz w:val="26"/>
          <w:szCs w:val="26"/>
        </w:rPr>
        <w:t>specific to Mr. Kiback</w:t>
      </w:r>
      <w:r w:rsidR="00C110E5">
        <w:rPr>
          <w:sz w:val="26"/>
          <w:szCs w:val="26"/>
        </w:rPr>
        <w:t>’s solicitation</w:t>
      </w:r>
      <w:r w:rsidR="00246C00">
        <w:rPr>
          <w:sz w:val="26"/>
          <w:szCs w:val="26"/>
        </w:rPr>
        <w:t xml:space="preserve"> to </w:t>
      </w:r>
      <w:r w:rsidR="00654ECC">
        <w:rPr>
          <w:sz w:val="26"/>
          <w:szCs w:val="26"/>
        </w:rPr>
        <w:t xml:space="preserve">refute </w:t>
      </w:r>
      <w:r w:rsidR="00246C00">
        <w:rPr>
          <w:sz w:val="26"/>
          <w:szCs w:val="26"/>
        </w:rPr>
        <w:t>his testimony</w:t>
      </w:r>
      <w:r w:rsidR="00654ECC">
        <w:rPr>
          <w:sz w:val="26"/>
          <w:szCs w:val="26"/>
        </w:rPr>
        <w:t xml:space="preserve">.  </w:t>
      </w:r>
      <w:r w:rsidR="00591953">
        <w:rPr>
          <w:sz w:val="26"/>
          <w:szCs w:val="26"/>
        </w:rPr>
        <w:t xml:space="preserve">While IDT claims it is </w:t>
      </w:r>
      <w:r w:rsidR="007C35E2">
        <w:rPr>
          <w:sz w:val="26"/>
          <w:szCs w:val="26"/>
        </w:rPr>
        <w:t xml:space="preserve">unrealistic </w:t>
      </w:r>
      <w:r w:rsidR="00591953">
        <w:rPr>
          <w:sz w:val="26"/>
          <w:szCs w:val="26"/>
        </w:rPr>
        <w:t xml:space="preserve">to expect </w:t>
      </w:r>
      <w:r w:rsidR="007C35E2">
        <w:rPr>
          <w:sz w:val="26"/>
          <w:szCs w:val="26"/>
        </w:rPr>
        <w:t xml:space="preserve">an EGS to present evidence of a </w:t>
      </w:r>
      <w:r w:rsidR="00591953">
        <w:rPr>
          <w:sz w:val="26"/>
          <w:szCs w:val="26"/>
        </w:rPr>
        <w:t xml:space="preserve">specific </w:t>
      </w:r>
      <w:r w:rsidR="007C35E2">
        <w:rPr>
          <w:sz w:val="26"/>
          <w:szCs w:val="26"/>
        </w:rPr>
        <w:t>sales call by presenting either a recording of the call, the testimony of the live agent as a witness, or both</w:t>
      </w:r>
      <w:r w:rsidR="00591953">
        <w:rPr>
          <w:sz w:val="26"/>
          <w:szCs w:val="26"/>
        </w:rPr>
        <w:t>, we disagree</w:t>
      </w:r>
      <w:r w:rsidR="007C35E2">
        <w:rPr>
          <w:sz w:val="26"/>
          <w:szCs w:val="26"/>
        </w:rPr>
        <w:t xml:space="preserve">. </w:t>
      </w:r>
      <w:r w:rsidR="00934AA2">
        <w:rPr>
          <w:sz w:val="26"/>
          <w:szCs w:val="26"/>
        </w:rPr>
        <w:t xml:space="preserve"> </w:t>
      </w:r>
      <w:r w:rsidR="00AB3001" w:rsidRPr="00AB3001">
        <w:rPr>
          <w:sz w:val="26"/>
          <w:szCs w:val="26"/>
        </w:rPr>
        <w:t>First, in a 2013 investigation proceeding involving</w:t>
      </w:r>
      <w:r w:rsidR="00C110E5">
        <w:rPr>
          <w:sz w:val="26"/>
          <w:szCs w:val="26"/>
        </w:rPr>
        <w:t xml:space="preserve">, </w:t>
      </w:r>
      <w:r w:rsidR="00C110E5">
        <w:rPr>
          <w:i/>
          <w:sz w:val="26"/>
          <w:szCs w:val="26"/>
        </w:rPr>
        <w:t>inter alia</w:t>
      </w:r>
      <w:r w:rsidR="00C110E5">
        <w:rPr>
          <w:sz w:val="26"/>
          <w:szCs w:val="26"/>
        </w:rPr>
        <w:t xml:space="preserve">, </w:t>
      </w:r>
      <w:r w:rsidR="00AB3001" w:rsidRPr="00AB3001">
        <w:rPr>
          <w:sz w:val="26"/>
          <w:szCs w:val="26"/>
        </w:rPr>
        <w:t xml:space="preserve">IDT’s telemarketing practices, IDT acknowledged the existence of at least some recordings of consumer contacts.  </w:t>
      </w:r>
      <w:r w:rsidR="00AB3001" w:rsidRPr="00AB3001">
        <w:rPr>
          <w:i/>
          <w:sz w:val="26"/>
          <w:szCs w:val="26"/>
        </w:rPr>
        <w:t>See Pa. PUC v. IDT Energy, Inc</w:t>
      </w:r>
      <w:r w:rsidR="00AB3001" w:rsidRPr="00AB3001">
        <w:rPr>
          <w:sz w:val="26"/>
          <w:szCs w:val="26"/>
        </w:rPr>
        <w:t>., Docket No. M-2013-2314312 (Order entered October 17, 2013) at 5 (“IDT Compliance Managers reviewed recording</w:t>
      </w:r>
      <w:r w:rsidR="00AB3001">
        <w:rPr>
          <w:sz w:val="26"/>
          <w:szCs w:val="26"/>
        </w:rPr>
        <w:t>s</w:t>
      </w:r>
      <w:r w:rsidR="00AB3001" w:rsidRPr="00AB3001">
        <w:rPr>
          <w:sz w:val="26"/>
          <w:szCs w:val="26"/>
        </w:rPr>
        <w:t xml:space="preserve"> of the consumer contacts, when available[.]”).  </w:t>
      </w:r>
      <w:r w:rsidR="00AB3001">
        <w:rPr>
          <w:sz w:val="26"/>
          <w:szCs w:val="26"/>
        </w:rPr>
        <w:t>Second</w:t>
      </w:r>
      <w:r w:rsidR="00934AA2">
        <w:rPr>
          <w:sz w:val="26"/>
          <w:szCs w:val="26"/>
        </w:rPr>
        <w:t xml:space="preserve">, in </w:t>
      </w:r>
      <w:r w:rsidR="00A830FA" w:rsidRPr="00591953">
        <w:rPr>
          <w:i/>
          <w:sz w:val="26"/>
          <w:szCs w:val="26"/>
        </w:rPr>
        <w:t>MacLuckie</w:t>
      </w:r>
      <w:r w:rsidR="005C394F" w:rsidRPr="00591953">
        <w:rPr>
          <w:i/>
          <w:sz w:val="26"/>
          <w:szCs w:val="26"/>
        </w:rPr>
        <w:t xml:space="preserve"> April 2015 I.D.</w:t>
      </w:r>
      <w:r w:rsidR="00934AA2">
        <w:rPr>
          <w:sz w:val="26"/>
          <w:szCs w:val="26"/>
        </w:rPr>
        <w:t xml:space="preserve">, the </w:t>
      </w:r>
      <w:r w:rsidR="00591953">
        <w:rPr>
          <w:sz w:val="26"/>
          <w:szCs w:val="26"/>
        </w:rPr>
        <w:t xml:space="preserve">record evidence </w:t>
      </w:r>
      <w:r w:rsidR="00AB3001">
        <w:rPr>
          <w:sz w:val="26"/>
          <w:szCs w:val="26"/>
        </w:rPr>
        <w:t xml:space="preserve">produced by the EGS </w:t>
      </w:r>
      <w:r w:rsidR="00934AA2">
        <w:rPr>
          <w:sz w:val="26"/>
          <w:szCs w:val="26"/>
        </w:rPr>
        <w:t xml:space="preserve">in that proceeding </w:t>
      </w:r>
      <w:r w:rsidR="00591953">
        <w:rPr>
          <w:sz w:val="26"/>
          <w:szCs w:val="26"/>
        </w:rPr>
        <w:t xml:space="preserve">included </w:t>
      </w:r>
      <w:r w:rsidR="00C110E5">
        <w:rPr>
          <w:sz w:val="26"/>
          <w:szCs w:val="26"/>
        </w:rPr>
        <w:t xml:space="preserve">both </w:t>
      </w:r>
      <w:r w:rsidR="00934AA2">
        <w:rPr>
          <w:sz w:val="26"/>
          <w:szCs w:val="26"/>
        </w:rPr>
        <w:t xml:space="preserve">the </w:t>
      </w:r>
      <w:r w:rsidR="00591953">
        <w:rPr>
          <w:sz w:val="26"/>
          <w:szCs w:val="26"/>
        </w:rPr>
        <w:t xml:space="preserve">transcript of the subject sales call </w:t>
      </w:r>
      <w:r w:rsidR="00C110E5">
        <w:rPr>
          <w:sz w:val="26"/>
          <w:szCs w:val="26"/>
        </w:rPr>
        <w:t>and</w:t>
      </w:r>
      <w:r w:rsidR="00934AA2">
        <w:rPr>
          <w:sz w:val="26"/>
          <w:szCs w:val="26"/>
        </w:rPr>
        <w:t xml:space="preserve"> </w:t>
      </w:r>
      <w:r w:rsidR="00591953">
        <w:rPr>
          <w:sz w:val="26"/>
          <w:szCs w:val="26"/>
        </w:rPr>
        <w:t>the testimony of the agent involved.</w:t>
      </w:r>
      <w:r w:rsidR="007C35E2" w:rsidRPr="00591953">
        <w:rPr>
          <w:sz w:val="26"/>
          <w:szCs w:val="26"/>
        </w:rPr>
        <w:t xml:space="preserve"> </w:t>
      </w:r>
      <w:r w:rsidR="00107316" w:rsidRPr="00591953">
        <w:rPr>
          <w:sz w:val="26"/>
          <w:szCs w:val="26"/>
        </w:rPr>
        <w:t xml:space="preserve"> </w:t>
      </w:r>
      <w:r w:rsidR="00934AA2">
        <w:rPr>
          <w:sz w:val="26"/>
          <w:szCs w:val="26"/>
        </w:rPr>
        <w:t xml:space="preserve">Finally, </w:t>
      </w:r>
      <w:r w:rsidR="00CF30D7" w:rsidRPr="00CF30D7">
        <w:rPr>
          <w:sz w:val="26"/>
          <w:szCs w:val="26"/>
        </w:rPr>
        <w:t xml:space="preserve">our </w:t>
      </w:r>
      <w:r w:rsidR="00CF30D7" w:rsidRPr="00CF30D7">
        <w:rPr>
          <w:i/>
          <w:sz w:val="26"/>
          <w:szCs w:val="26"/>
        </w:rPr>
        <w:t>2010 Interim Guidelines</w:t>
      </w:r>
      <w:r w:rsidR="003821D6">
        <w:rPr>
          <w:sz w:val="26"/>
          <w:szCs w:val="26"/>
        </w:rPr>
        <w:t>, similar to</w:t>
      </w:r>
      <w:r w:rsidR="00CF30D7" w:rsidRPr="00CF30D7">
        <w:rPr>
          <w:i/>
          <w:sz w:val="26"/>
          <w:szCs w:val="26"/>
        </w:rPr>
        <w:t xml:space="preserve"> </w:t>
      </w:r>
      <w:r>
        <w:rPr>
          <w:sz w:val="26"/>
          <w:szCs w:val="26"/>
        </w:rPr>
        <w:t xml:space="preserve">our </w:t>
      </w:r>
      <w:r w:rsidR="003821D6">
        <w:rPr>
          <w:sz w:val="26"/>
          <w:szCs w:val="26"/>
        </w:rPr>
        <w:t xml:space="preserve">current </w:t>
      </w:r>
      <w:r>
        <w:rPr>
          <w:sz w:val="26"/>
          <w:szCs w:val="26"/>
        </w:rPr>
        <w:t xml:space="preserve">Regulation </w:t>
      </w:r>
      <w:r w:rsidR="00A6165D">
        <w:rPr>
          <w:sz w:val="26"/>
          <w:szCs w:val="26"/>
        </w:rPr>
        <w:t>at 52 Pa. Code § 111.5,</w:t>
      </w:r>
      <w:r w:rsidR="00A6165D">
        <w:rPr>
          <w:i/>
          <w:sz w:val="26"/>
          <w:szCs w:val="26"/>
        </w:rPr>
        <w:t xml:space="preserve"> </w:t>
      </w:r>
      <w:r>
        <w:rPr>
          <w:sz w:val="26"/>
          <w:szCs w:val="26"/>
        </w:rPr>
        <w:t>specifically require</w:t>
      </w:r>
      <w:r w:rsidR="00A6165D">
        <w:rPr>
          <w:sz w:val="26"/>
          <w:szCs w:val="26"/>
        </w:rPr>
        <w:t>d</w:t>
      </w:r>
      <w:r>
        <w:rPr>
          <w:sz w:val="26"/>
          <w:szCs w:val="26"/>
        </w:rPr>
        <w:t xml:space="preserve"> EGSs not only to train their agents, for whose fraudulent activity the EGSs are responsible, but also to </w:t>
      </w:r>
      <w:r>
        <w:rPr>
          <w:i/>
          <w:sz w:val="26"/>
          <w:szCs w:val="26"/>
        </w:rPr>
        <w:t xml:space="preserve">monitor telephonic marketing and sales calls </w:t>
      </w:r>
      <w:r w:rsidRPr="00E85D60">
        <w:rPr>
          <w:sz w:val="26"/>
          <w:szCs w:val="26"/>
        </w:rPr>
        <w:t>for</w:t>
      </w:r>
      <w:r>
        <w:rPr>
          <w:i/>
          <w:sz w:val="26"/>
          <w:szCs w:val="26"/>
        </w:rPr>
        <w:t xml:space="preserve"> </w:t>
      </w:r>
      <w:r w:rsidRPr="00E85D60">
        <w:rPr>
          <w:sz w:val="26"/>
          <w:szCs w:val="26"/>
        </w:rPr>
        <w:t>compliance</w:t>
      </w:r>
      <w:r>
        <w:rPr>
          <w:sz w:val="26"/>
          <w:szCs w:val="26"/>
        </w:rPr>
        <w:t>.</w:t>
      </w:r>
      <w:r>
        <w:rPr>
          <w:rStyle w:val="FootnoteReference"/>
        </w:rPr>
        <w:footnoteReference w:id="8"/>
      </w:r>
      <w:r>
        <w:rPr>
          <w:sz w:val="26"/>
          <w:szCs w:val="26"/>
        </w:rPr>
        <w:t xml:space="preserve">  </w:t>
      </w:r>
      <w:r>
        <w:rPr>
          <w:i/>
          <w:sz w:val="26"/>
          <w:szCs w:val="26"/>
        </w:rPr>
        <w:t>See</w:t>
      </w:r>
      <w:r w:rsidR="00A6165D">
        <w:rPr>
          <w:i/>
          <w:sz w:val="26"/>
          <w:szCs w:val="26"/>
        </w:rPr>
        <w:t xml:space="preserve"> 2010 Interim Guidelines at Section D.2.</w:t>
      </w:r>
    </w:p>
    <w:p w:rsidR="00E445C1" w:rsidRDefault="00E445C1" w:rsidP="00ED0D64">
      <w:pPr>
        <w:spacing w:line="360" w:lineRule="auto"/>
        <w:rPr>
          <w:sz w:val="26"/>
          <w:szCs w:val="26"/>
        </w:rPr>
      </w:pPr>
    </w:p>
    <w:p w:rsidR="00961FE6" w:rsidRDefault="00065E95" w:rsidP="00ED0D64">
      <w:pPr>
        <w:spacing w:line="360" w:lineRule="auto"/>
        <w:rPr>
          <w:sz w:val="26"/>
          <w:szCs w:val="26"/>
        </w:rPr>
      </w:pPr>
      <w:r>
        <w:rPr>
          <w:sz w:val="26"/>
          <w:szCs w:val="26"/>
        </w:rPr>
        <w:tab/>
      </w:r>
      <w:r>
        <w:rPr>
          <w:sz w:val="26"/>
          <w:szCs w:val="26"/>
        </w:rPr>
        <w:tab/>
        <w:t xml:space="preserve">The ALJ’s reliance on </w:t>
      </w:r>
      <w:r>
        <w:rPr>
          <w:i/>
          <w:sz w:val="26"/>
          <w:szCs w:val="26"/>
        </w:rPr>
        <w:t>Yaglidereliler</w:t>
      </w:r>
      <w:r>
        <w:rPr>
          <w:sz w:val="26"/>
          <w:szCs w:val="26"/>
        </w:rPr>
        <w:t xml:space="preserve"> is also appropriate. </w:t>
      </w:r>
      <w:r w:rsidR="00961FE6">
        <w:rPr>
          <w:sz w:val="26"/>
          <w:szCs w:val="26"/>
        </w:rPr>
        <w:t>The ALJ noted that with regard to marketing by competitive suppliers to residential and small business customers, we stated the following:</w:t>
      </w:r>
    </w:p>
    <w:p w:rsidR="00961FE6" w:rsidRDefault="00961FE6" w:rsidP="00ED0D64">
      <w:pPr>
        <w:spacing w:line="360" w:lineRule="auto"/>
        <w:rPr>
          <w:sz w:val="26"/>
          <w:szCs w:val="26"/>
        </w:rPr>
      </w:pPr>
    </w:p>
    <w:p w:rsidR="00961FE6" w:rsidRDefault="00961FE6" w:rsidP="00961FE6">
      <w:pPr>
        <w:ind w:left="1440" w:right="1440"/>
        <w:rPr>
          <w:sz w:val="26"/>
          <w:szCs w:val="26"/>
        </w:rPr>
      </w:pPr>
      <w:r w:rsidRPr="00961FE6">
        <w:rPr>
          <w:sz w:val="26"/>
          <w:szCs w:val="26"/>
        </w:rPr>
        <w:t xml:space="preserve">Residential and small business customers, however, are not necessarily well-versed in gas procurement and pricing practices. For this reason, it is all the more important that they </w:t>
      </w:r>
      <w:r w:rsidRPr="00961FE6">
        <w:rPr>
          <w:sz w:val="26"/>
          <w:szCs w:val="26"/>
        </w:rPr>
        <w:lastRenderedPageBreak/>
        <w:t xml:space="preserve">be able to rely on all the information provided by their prospective supplier, whether oral or written, and that all disclosures be clear and unequivocal. If the Complainant were led to believe through oral communications that although variable, his rate would remain competitive and reasonable, that may have a bearing on the propriety of Blue Pilot’s marketing practices.  </w:t>
      </w:r>
    </w:p>
    <w:p w:rsidR="00961FE6" w:rsidRDefault="00961FE6" w:rsidP="00ED0D64">
      <w:pPr>
        <w:spacing w:line="360" w:lineRule="auto"/>
        <w:rPr>
          <w:sz w:val="26"/>
          <w:szCs w:val="26"/>
        </w:rPr>
      </w:pPr>
    </w:p>
    <w:p w:rsidR="00107316" w:rsidRDefault="0045134D" w:rsidP="00ED0D64">
      <w:pPr>
        <w:spacing w:line="360" w:lineRule="auto"/>
        <w:rPr>
          <w:sz w:val="26"/>
          <w:szCs w:val="26"/>
        </w:rPr>
      </w:pPr>
      <w:r w:rsidRPr="0045134D">
        <w:rPr>
          <w:i/>
          <w:sz w:val="26"/>
          <w:szCs w:val="26"/>
        </w:rPr>
        <w:t>Yaglidereliler</w:t>
      </w:r>
      <w:r>
        <w:rPr>
          <w:sz w:val="26"/>
          <w:szCs w:val="26"/>
        </w:rPr>
        <w:t xml:space="preserve"> at 20; I.D. at 12.  </w:t>
      </w:r>
      <w:r w:rsidR="00961FE6" w:rsidRPr="0045134D">
        <w:rPr>
          <w:sz w:val="26"/>
          <w:szCs w:val="26"/>
        </w:rPr>
        <w:t>Contrary</w:t>
      </w:r>
      <w:r w:rsidR="00961FE6">
        <w:rPr>
          <w:sz w:val="26"/>
          <w:szCs w:val="26"/>
        </w:rPr>
        <w:t xml:space="preserve"> to IDT’s characterization, the </w:t>
      </w:r>
      <w:r w:rsidR="00065E95">
        <w:rPr>
          <w:sz w:val="26"/>
          <w:szCs w:val="26"/>
        </w:rPr>
        <w:t xml:space="preserve">ALJ </w:t>
      </w:r>
      <w:r w:rsidR="00961FE6">
        <w:rPr>
          <w:sz w:val="26"/>
          <w:szCs w:val="26"/>
        </w:rPr>
        <w:t xml:space="preserve">relied on this case not </w:t>
      </w:r>
      <w:r w:rsidR="007945F6">
        <w:rPr>
          <w:sz w:val="26"/>
          <w:szCs w:val="26"/>
        </w:rPr>
        <w:t xml:space="preserve">to </w:t>
      </w:r>
      <w:r>
        <w:rPr>
          <w:sz w:val="26"/>
          <w:szCs w:val="26"/>
        </w:rPr>
        <w:t xml:space="preserve">measure the </w:t>
      </w:r>
      <w:r w:rsidR="00961FE6">
        <w:rPr>
          <w:sz w:val="26"/>
          <w:szCs w:val="26"/>
        </w:rPr>
        <w:t xml:space="preserve">sufficiency of the evidence, but rather </w:t>
      </w:r>
      <w:r w:rsidR="007945F6">
        <w:rPr>
          <w:sz w:val="26"/>
          <w:szCs w:val="26"/>
        </w:rPr>
        <w:t>to accurately frame</w:t>
      </w:r>
      <w:r w:rsidR="00961FE6">
        <w:rPr>
          <w:sz w:val="26"/>
          <w:szCs w:val="26"/>
        </w:rPr>
        <w:t xml:space="preserve"> the issue</w:t>
      </w:r>
      <w:r w:rsidR="007945F6">
        <w:rPr>
          <w:sz w:val="26"/>
          <w:szCs w:val="26"/>
        </w:rPr>
        <w:t xml:space="preserve"> in this proceeding</w:t>
      </w:r>
      <w:r w:rsidR="00961FE6">
        <w:rPr>
          <w:sz w:val="26"/>
          <w:szCs w:val="26"/>
        </w:rPr>
        <w:t>.  As the ALJ correctly concluded from</w:t>
      </w:r>
      <w:r w:rsidR="00E85D60">
        <w:rPr>
          <w:sz w:val="26"/>
          <w:szCs w:val="26"/>
        </w:rPr>
        <w:t xml:space="preserve"> our decision in </w:t>
      </w:r>
      <w:r w:rsidR="00961FE6" w:rsidRPr="00961FE6">
        <w:rPr>
          <w:i/>
          <w:sz w:val="26"/>
          <w:szCs w:val="26"/>
        </w:rPr>
        <w:t>Yaglidereliler</w:t>
      </w:r>
      <w:r w:rsidR="00961FE6">
        <w:rPr>
          <w:sz w:val="26"/>
          <w:szCs w:val="26"/>
        </w:rPr>
        <w:t xml:space="preserve">, </w:t>
      </w:r>
      <w:r w:rsidR="001D5419">
        <w:rPr>
          <w:sz w:val="26"/>
          <w:szCs w:val="26"/>
        </w:rPr>
        <w:t>“</w:t>
      </w:r>
      <w:r w:rsidR="00961FE6" w:rsidRPr="00961FE6">
        <w:rPr>
          <w:sz w:val="26"/>
          <w:szCs w:val="26"/>
        </w:rPr>
        <w:t xml:space="preserve">oral representations made to a consumer during the time of the sale are important.”  I.D. at 12.  </w:t>
      </w:r>
      <w:r w:rsidR="001D5419">
        <w:rPr>
          <w:sz w:val="26"/>
          <w:szCs w:val="26"/>
        </w:rPr>
        <w:t xml:space="preserve">While </w:t>
      </w:r>
      <w:r w:rsidR="00A874F3">
        <w:rPr>
          <w:sz w:val="26"/>
          <w:szCs w:val="26"/>
        </w:rPr>
        <w:t>the third party verification and disclosure statement are t</w:t>
      </w:r>
      <w:r w:rsidR="001D5419">
        <w:rPr>
          <w:sz w:val="26"/>
          <w:szCs w:val="26"/>
        </w:rPr>
        <w:t xml:space="preserve">wo </w:t>
      </w:r>
      <w:r w:rsidR="00A874F3">
        <w:rPr>
          <w:sz w:val="26"/>
          <w:szCs w:val="26"/>
        </w:rPr>
        <w:t xml:space="preserve">important </w:t>
      </w:r>
      <w:r w:rsidR="001D5419">
        <w:rPr>
          <w:sz w:val="26"/>
          <w:szCs w:val="26"/>
        </w:rPr>
        <w:t xml:space="preserve">aspects of </w:t>
      </w:r>
      <w:r w:rsidR="00A874F3">
        <w:rPr>
          <w:sz w:val="26"/>
          <w:szCs w:val="26"/>
        </w:rPr>
        <w:t xml:space="preserve">the </w:t>
      </w:r>
      <w:r w:rsidR="001D5419">
        <w:rPr>
          <w:sz w:val="26"/>
          <w:szCs w:val="26"/>
        </w:rPr>
        <w:t>EGS</w:t>
      </w:r>
      <w:r w:rsidR="00A874F3">
        <w:rPr>
          <w:sz w:val="26"/>
          <w:szCs w:val="26"/>
        </w:rPr>
        <w:t>’</w:t>
      </w:r>
      <w:r w:rsidR="001D5419">
        <w:rPr>
          <w:sz w:val="26"/>
          <w:szCs w:val="26"/>
        </w:rPr>
        <w:t xml:space="preserve"> sales</w:t>
      </w:r>
      <w:r w:rsidR="00A874F3">
        <w:rPr>
          <w:sz w:val="26"/>
          <w:szCs w:val="26"/>
        </w:rPr>
        <w:t xml:space="preserve"> process</w:t>
      </w:r>
      <w:r w:rsidR="001D5419">
        <w:rPr>
          <w:sz w:val="26"/>
          <w:szCs w:val="26"/>
        </w:rPr>
        <w:t xml:space="preserve">, equally important is the EGS’ marketing </w:t>
      </w:r>
      <w:r w:rsidR="007945F6">
        <w:rPr>
          <w:sz w:val="26"/>
          <w:szCs w:val="26"/>
        </w:rPr>
        <w:t xml:space="preserve">that </w:t>
      </w:r>
      <w:r w:rsidR="001D5419">
        <w:rPr>
          <w:sz w:val="26"/>
          <w:szCs w:val="26"/>
        </w:rPr>
        <w:t>preced</w:t>
      </w:r>
      <w:r w:rsidR="007945F6">
        <w:rPr>
          <w:sz w:val="26"/>
          <w:szCs w:val="26"/>
        </w:rPr>
        <w:t>es consummation of</w:t>
      </w:r>
      <w:r w:rsidR="001D5419">
        <w:rPr>
          <w:sz w:val="26"/>
          <w:szCs w:val="26"/>
        </w:rPr>
        <w:t xml:space="preserve"> the sale.</w:t>
      </w:r>
    </w:p>
    <w:p w:rsidR="00107316" w:rsidRDefault="00107316" w:rsidP="00ED0D64">
      <w:pPr>
        <w:spacing w:line="360" w:lineRule="auto"/>
        <w:rPr>
          <w:sz w:val="26"/>
          <w:szCs w:val="26"/>
        </w:rPr>
      </w:pPr>
    </w:p>
    <w:p w:rsidR="000A5BF7" w:rsidRDefault="00107316" w:rsidP="00ED0D64">
      <w:pPr>
        <w:spacing w:line="360" w:lineRule="auto"/>
        <w:rPr>
          <w:sz w:val="26"/>
          <w:szCs w:val="26"/>
        </w:rPr>
      </w:pPr>
      <w:r>
        <w:rPr>
          <w:sz w:val="26"/>
          <w:szCs w:val="26"/>
        </w:rPr>
        <w:tab/>
      </w:r>
      <w:r>
        <w:rPr>
          <w:sz w:val="26"/>
          <w:szCs w:val="26"/>
        </w:rPr>
        <w:tab/>
      </w:r>
      <w:r w:rsidR="001D5419">
        <w:rPr>
          <w:sz w:val="26"/>
          <w:szCs w:val="26"/>
        </w:rPr>
        <w:t xml:space="preserve">The gravamen of Mr. Kiback’s </w:t>
      </w:r>
      <w:r w:rsidR="00A874F3">
        <w:rPr>
          <w:sz w:val="26"/>
          <w:szCs w:val="26"/>
        </w:rPr>
        <w:t>C</w:t>
      </w:r>
      <w:r w:rsidR="00E85D60">
        <w:rPr>
          <w:sz w:val="26"/>
          <w:szCs w:val="26"/>
        </w:rPr>
        <w:t xml:space="preserve">omplaint </w:t>
      </w:r>
      <w:r w:rsidR="001D5419">
        <w:rPr>
          <w:sz w:val="26"/>
          <w:szCs w:val="26"/>
        </w:rPr>
        <w:t>was his understanding</w:t>
      </w:r>
      <w:r w:rsidR="007945F6">
        <w:rPr>
          <w:sz w:val="26"/>
          <w:szCs w:val="26"/>
        </w:rPr>
        <w:t xml:space="preserve"> from </w:t>
      </w:r>
      <w:r w:rsidR="001D5419">
        <w:rPr>
          <w:sz w:val="26"/>
          <w:szCs w:val="26"/>
        </w:rPr>
        <w:t xml:space="preserve">IDT’s oral telemarketing that IDT’s rate would be below PPL’s.  </w:t>
      </w:r>
      <w:r w:rsidR="00A874F3">
        <w:rPr>
          <w:sz w:val="26"/>
          <w:szCs w:val="26"/>
        </w:rPr>
        <w:t>If</w:t>
      </w:r>
      <w:r w:rsidR="007945F6">
        <w:rPr>
          <w:sz w:val="26"/>
          <w:szCs w:val="26"/>
        </w:rPr>
        <w:t xml:space="preserve">, as the ALJ </w:t>
      </w:r>
      <w:r w:rsidR="00A874F3">
        <w:rPr>
          <w:sz w:val="26"/>
          <w:szCs w:val="26"/>
        </w:rPr>
        <w:t xml:space="preserve">stated, </w:t>
      </w:r>
      <w:r w:rsidR="00102738">
        <w:rPr>
          <w:sz w:val="26"/>
          <w:szCs w:val="26"/>
        </w:rPr>
        <w:t>a</w:t>
      </w:r>
      <w:r w:rsidR="007945F6">
        <w:rPr>
          <w:sz w:val="26"/>
          <w:szCs w:val="26"/>
        </w:rPr>
        <w:t xml:space="preserve"> recording </w:t>
      </w:r>
      <w:r w:rsidR="00102738">
        <w:rPr>
          <w:sz w:val="26"/>
          <w:szCs w:val="26"/>
        </w:rPr>
        <w:t xml:space="preserve">of </w:t>
      </w:r>
      <w:r w:rsidR="007945F6">
        <w:rPr>
          <w:sz w:val="26"/>
          <w:szCs w:val="26"/>
        </w:rPr>
        <w:t xml:space="preserve">the telemarketing call </w:t>
      </w:r>
      <w:r w:rsidR="00102738">
        <w:rPr>
          <w:sz w:val="26"/>
          <w:szCs w:val="26"/>
        </w:rPr>
        <w:t xml:space="preserve">was not available, IDT could have presented the testimony of the sales agent or even a copy of the script that its witness testified the agents were directed to use. </w:t>
      </w:r>
      <w:r w:rsidR="00065E95">
        <w:rPr>
          <w:sz w:val="26"/>
          <w:szCs w:val="26"/>
        </w:rPr>
        <w:t xml:space="preserve"> </w:t>
      </w:r>
      <w:r w:rsidR="00A874F3">
        <w:rPr>
          <w:sz w:val="26"/>
          <w:szCs w:val="26"/>
        </w:rPr>
        <w:t xml:space="preserve">I.D. at 10.  IDT presented none of this, compelling the ALJ’s conclusion that </w:t>
      </w:r>
      <w:r w:rsidR="00102738">
        <w:rPr>
          <w:sz w:val="26"/>
          <w:szCs w:val="26"/>
        </w:rPr>
        <w:t xml:space="preserve">Mr. Kiback’s testimony </w:t>
      </w:r>
      <w:r w:rsidR="00C752DE">
        <w:rPr>
          <w:sz w:val="26"/>
          <w:szCs w:val="26"/>
        </w:rPr>
        <w:t xml:space="preserve">was </w:t>
      </w:r>
      <w:r w:rsidR="00102738">
        <w:rPr>
          <w:sz w:val="26"/>
          <w:szCs w:val="26"/>
        </w:rPr>
        <w:t xml:space="preserve">more credible when weighed against the paucity of evidence by IDT regarding the marketing.  </w:t>
      </w:r>
      <w:r w:rsidR="008876A5">
        <w:rPr>
          <w:sz w:val="26"/>
          <w:szCs w:val="26"/>
        </w:rPr>
        <w:t>Evidence of the subsequent disclosure statement, which did not contain the rate promised to Mr. Kiback, and right to rescind, did not negate an underlying marketing violation.  I.D. at 11, 13.</w:t>
      </w:r>
      <w:r w:rsidR="00065E95">
        <w:rPr>
          <w:sz w:val="26"/>
          <w:szCs w:val="26"/>
        </w:rPr>
        <w:t xml:space="preserve">  </w:t>
      </w:r>
    </w:p>
    <w:p w:rsidR="000A5BF7" w:rsidRDefault="000A5BF7" w:rsidP="00ED0D64">
      <w:pPr>
        <w:spacing w:line="360" w:lineRule="auto"/>
        <w:rPr>
          <w:sz w:val="26"/>
          <w:szCs w:val="26"/>
        </w:rPr>
      </w:pPr>
    </w:p>
    <w:p w:rsidR="00065E95" w:rsidRDefault="000A5BF7" w:rsidP="000A5BF7">
      <w:pPr>
        <w:tabs>
          <w:tab w:val="left" w:pos="1440"/>
        </w:tabs>
        <w:spacing w:line="360" w:lineRule="auto"/>
        <w:ind w:firstLine="720"/>
        <w:rPr>
          <w:sz w:val="26"/>
          <w:szCs w:val="26"/>
        </w:rPr>
      </w:pPr>
      <w:r>
        <w:rPr>
          <w:sz w:val="26"/>
          <w:szCs w:val="26"/>
        </w:rPr>
        <w:tab/>
      </w:r>
      <w:r w:rsidR="00A874F3" w:rsidRPr="00A874F3">
        <w:rPr>
          <w:sz w:val="26"/>
          <w:szCs w:val="26"/>
        </w:rPr>
        <w:t>The ALJ determin</w:t>
      </w:r>
      <w:r>
        <w:rPr>
          <w:sz w:val="26"/>
          <w:szCs w:val="26"/>
        </w:rPr>
        <w:t>ed</w:t>
      </w:r>
      <w:r w:rsidR="00A874F3" w:rsidRPr="00A874F3">
        <w:rPr>
          <w:sz w:val="26"/>
          <w:szCs w:val="26"/>
        </w:rPr>
        <w:t xml:space="preserve"> that IDT failed to refute Mr. Kiback’s evidence</w:t>
      </w:r>
      <w:r>
        <w:rPr>
          <w:sz w:val="26"/>
          <w:szCs w:val="26"/>
        </w:rPr>
        <w:t>,</w:t>
      </w:r>
      <w:r w:rsidR="00A874F3" w:rsidRPr="00A874F3">
        <w:rPr>
          <w:sz w:val="26"/>
          <w:szCs w:val="26"/>
        </w:rPr>
        <w:t xml:space="preserve"> that Mr. Kiback</w:t>
      </w:r>
      <w:r>
        <w:rPr>
          <w:sz w:val="26"/>
          <w:szCs w:val="26"/>
        </w:rPr>
        <w:t xml:space="preserve">’s testimony was credible, and that Mr. Kiback </w:t>
      </w:r>
      <w:r w:rsidR="00A874F3" w:rsidRPr="00A874F3">
        <w:rPr>
          <w:sz w:val="26"/>
          <w:szCs w:val="26"/>
        </w:rPr>
        <w:t>carried his burden of proof</w:t>
      </w:r>
      <w:r>
        <w:rPr>
          <w:sz w:val="26"/>
          <w:szCs w:val="26"/>
        </w:rPr>
        <w:t xml:space="preserve">.  </w:t>
      </w:r>
      <w:r w:rsidR="00567CCE">
        <w:rPr>
          <w:sz w:val="26"/>
          <w:szCs w:val="26"/>
        </w:rPr>
        <w:lastRenderedPageBreak/>
        <w:t xml:space="preserve">Upon our review of the </w:t>
      </w:r>
      <w:r w:rsidRPr="000A5BF7">
        <w:rPr>
          <w:sz w:val="26"/>
          <w:szCs w:val="26"/>
        </w:rPr>
        <w:t>record</w:t>
      </w:r>
      <w:r w:rsidR="00567CCE">
        <w:rPr>
          <w:sz w:val="26"/>
          <w:szCs w:val="26"/>
        </w:rPr>
        <w:t xml:space="preserve">, we find </w:t>
      </w:r>
      <w:r w:rsidRPr="000A5BF7">
        <w:rPr>
          <w:sz w:val="26"/>
          <w:szCs w:val="26"/>
        </w:rPr>
        <w:t>no reason to modify the ALJ’s evidentiary assessments</w:t>
      </w:r>
      <w:r>
        <w:rPr>
          <w:sz w:val="26"/>
          <w:szCs w:val="26"/>
        </w:rPr>
        <w:t xml:space="preserve">, </w:t>
      </w:r>
      <w:r w:rsidR="00B42686">
        <w:rPr>
          <w:sz w:val="26"/>
          <w:szCs w:val="26"/>
        </w:rPr>
        <w:t xml:space="preserve">with </w:t>
      </w:r>
      <w:r>
        <w:rPr>
          <w:sz w:val="26"/>
          <w:szCs w:val="26"/>
        </w:rPr>
        <w:t xml:space="preserve">which we </w:t>
      </w:r>
      <w:r w:rsidR="00B42686">
        <w:rPr>
          <w:sz w:val="26"/>
          <w:szCs w:val="26"/>
        </w:rPr>
        <w:t xml:space="preserve">agree and </w:t>
      </w:r>
      <w:r>
        <w:rPr>
          <w:sz w:val="26"/>
          <w:szCs w:val="26"/>
        </w:rPr>
        <w:t xml:space="preserve">find to be </w:t>
      </w:r>
      <w:r w:rsidR="00A874F3" w:rsidRPr="00A874F3">
        <w:rPr>
          <w:sz w:val="26"/>
          <w:szCs w:val="26"/>
        </w:rPr>
        <w:t>supported by the record.</w:t>
      </w:r>
      <w:r>
        <w:rPr>
          <w:rStyle w:val="FootnoteReference"/>
        </w:rPr>
        <w:footnoteReference w:id="9"/>
      </w:r>
    </w:p>
    <w:p w:rsidR="00676F22" w:rsidRDefault="00676F22" w:rsidP="00ED0D64">
      <w:pPr>
        <w:spacing w:line="360" w:lineRule="auto"/>
        <w:rPr>
          <w:sz w:val="26"/>
          <w:szCs w:val="26"/>
        </w:rPr>
      </w:pPr>
    </w:p>
    <w:p w:rsidR="00007241" w:rsidRDefault="00676F22" w:rsidP="00ED0D64">
      <w:pPr>
        <w:spacing w:line="360" w:lineRule="auto"/>
        <w:rPr>
          <w:sz w:val="26"/>
          <w:szCs w:val="26"/>
        </w:rPr>
      </w:pPr>
      <w:r>
        <w:rPr>
          <w:sz w:val="26"/>
          <w:szCs w:val="26"/>
        </w:rPr>
        <w:tab/>
      </w:r>
      <w:r>
        <w:rPr>
          <w:sz w:val="26"/>
          <w:szCs w:val="26"/>
        </w:rPr>
        <w:tab/>
        <w:t xml:space="preserve">With respect to IDT’s </w:t>
      </w:r>
      <w:r w:rsidR="00A874F3">
        <w:rPr>
          <w:sz w:val="26"/>
          <w:szCs w:val="26"/>
        </w:rPr>
        <w:t>second E</w:t>
      </w:r>
      <w:r>
        <w:rPr>
          <w:sz w:val="26"/>
          <w:szCs w:val="26"/>
        </w:rPr>
        <w:t>xception</w:t>
      </w:r>
      <w:r w:rsidR="00A874F3">
        <w:rPr>
          <w:sz w:val="26"/>
          <w:szCs w:val="26"/>
        </w:rPr>
        <w:t>,</w:t>
      </w:r>
      <w:r>
        <w:rPr>
          <w:sz w:val="26"/>
          <w:szCs w:val="26"/>
        </w:rPr>
        <w:t xml:space="preserve"> that the ALJ’s Initial Decision does not comport with Commission policy and precedent, we </w:t>
      </w:r>
      <w:r w:rsidR="00A874F3">
        <w:rPr>
          <w:sz w:val="26"/>
          <w:szCs w:val="26"/>
        </w:rPr>
        <w:t>dis</w:t>
      </w:r>
      <w:r>
        <w:rPr>
          <w:sz w:val="26"/>
          <w:szCs w:val="26"/>
        </w:rPr>
        <w:t>agree</w:t>
      </w:r>
      <w:r w:rsidR="00A874F3">
        <w:rPr>
          <w:sz w:val="26"/>
          <w:szCs w:val="26"/>
        </w:rPr>
        <w:t>.</w:t>
      </w:r>
      <w:r>
        <w:rPr>
          <w:sz w:val="26"/>
          <w:szCs w:val="26"/>
        </w:rPr>
        <w:t xml:space="preserve">  </w:t>
      </w:r>
      <w:r w:rsidR="00AA3DEA">
        <w:rPr>
          <w:sz w:val="26"/>
          <w:szCs w:val="26"/>
        </w:rPr>
        <w:t xml:space="preserve">As </w:t>
      </w:r>
      <w:r w:rsidR="00303DEF">
        <w:rPr>
          <w:sz w:val="26"/>
          <w:szCs w:val="26"/>
        </w:rPr>
        <w:t xml:space="preserve">the OCA contends and </w:t>
      </w:r>
      <w:r w:rsidR="004415FA">
        <w:rPr>
          <w:sz w:val="26"/>
          <w:szCs w:val="26"/>
        </w:rPr>
        <w:t xml:space="preserve">the ALJ </w:t>
      </w:r>
      <w:r w:rsidR="00A874F3">
        <w:rPr>
          <w:sz w:val="26"/>
          <w:szCs w:val="26"/>
        </w:rPr>
        <w:t>found</w:t>
      </w:r>
      <w:r w:rsidR="004415FA">
        <w:rPr>
          <w:sz w:val="26"/>
          <w:szCs w:val="26"/>
        </w:rPr>
        <w:t xml:space="preserve">, </w:t>
      </w:r>
      <w:r w:rsidR="00AA3DEA">
        <w:rPr>
          <w:sz w:val="26"/>
          <w:szCs w:val="26"/>
        </w:rPr>
        <w:t xml:space="preserve">our regulatory scheme encompasses the entire sales process, from oral marketing to written consummation.  </w:t>
      </w:r>
      <w:r w:rsidR="00303DEF">
        <w:rPr>
          <w:sz w:val="26"/>
          <w:szCs w:val="26"/>
        </w:rPr>
        <w:t xml:space="preserve">I.D. at </w:t>
      </w:r>
      <w:r w:rsidR="00A874F3">
        <w:rPr>
          <w:sz w:val="26"/>
          <w:szCs w:val="26"/>
        </w:rPr>
        <w:t>11-13</w:t>
      </w:r>
      <w:r w:rsidR="00303DEF">
        <w:rPr>
          <w:sz w:val="26"/>
          <w:szCs w:val="26"/>
        </w:rPr>
        <w:t xml:space="preserve">; R. Exc. at </w:t>
      </w:r>
      <w:r w:rsidR="00A874F3">
        <w:rPr>
          <w:sz w:val="26"/>
          <w:szCs w:val="26"/>
        </w:rPr>
        <w:t>14-16</w:t>
      </w:r>
      <w:r w:rsidR="00303DEF">
        <w:rPr>
          <w:sz w:val="26"/>
          <w:szCs w:val="26"/>
        </w:rPr>
        <w:t>.</w:t>
      </w:r>
      <w:r w:rsidR="00007241">
        <w:rPr>
          <w:sz w:val="26"/>
          <w:szCs w:val="26"/>
        </w:rPr>
        <w:t xml:space="preserve">  </w:t>
      </w:r>
      <w:r w:rsidR="00AA3DEA">
        <w:rPr>
          <w:sz w:val="26"/>
          <w:szCs w:val="26"/>
        </w:rPr>
        <w:t xml:space="preserve">Further, </w:t>
      </w:r>
      <w:r w:rsidR="00303DEF">
        <w:rPr>
          <w:sz w:val="26"/>
          <w:szCs w:val="26"/>
        </w:rPr>
        <w:t xml:space="preserve">as the OCA argued, both </w:t>
      </w:r>
      <w:r w:rsidR="00AA3DEA" w:rsidRPr="00AA3DEA">
        <w:rPr>
          <w:i/>
          <w:sz w:val="26"/>
          <w:szCs w:val="26"/>
        </w:rPr>
        <w:t>Dawes</w:t>
      </w:r>
      <w:r w:rsidR="00303DEF">
        <w:rPr>
          <w:sz w:val="26"/>
          <w:szCs w:val="26"/>
        </w:rPr>
        <w:t xml:space="preserve"> and </w:t>
      </w:r>
      <w:r w:rsidR="00303DEF">
        <w:rPr>
          <w:i/>
          <w:sz w:val="26"/>
          <w:szCs w:val="26"/>
        </w:rPr>
        <w:t>Hoke</w:t>
      </w:r>
      <w:r w:rsidR="00AA3DEA">
        <w:rPr>
          <w:sz w:val="26"/>
          <w:szCs w:val="26"/>
        </w:rPr>
        <w:t xml:space="preserve">, relied on by IDT, </w:t>
      </w:r>
      <w:r w:rsidR="00303DEF">
        <w:rPr>
          <w:sz w:val="26"/>
          <w:szCs w:val="26"/>
        </w:rPr>
        <w:t>are distinguishable</w:t>
      </w:r>
      <w:r w:rsidR="00AA3DEA">
        <w:rPr>
          <w:sz w:val="26"/>
          <w:szCs w:val="26"/>
        </w:rPr>
        <w:t xml:space="preserve">.  </w:t>
      </w:r>
      <w:r w:rsidR="005A632A">
        <w:rPr>
          <w:sz w:val="26"/>
          <w:szCs w:val="26"/>
        </w:rPr>
        <w:t>R. Exc. at 16-17.</w:t>
      </w:r>
    </w:p>
    <w:p w:rsidR="00007241" w:rsidRDefault="00007241" w:rsidP="00ED0D64">
      <w:pPr>
        <w:spacing w:line="360" w:lineRule="auto"/>
        <w:rPr>
          <w:sz w:val="26"/>
          <w:szCs w:val="26"/>
        </w:rPr>
      </w:pPr>
    </w:p>
    <w:p w:rsidR="00E445C1" w:rsidRDefault="00007241" w:rsidP="00007241">
      <w:pPr>
        <w:tabs>
          <w:tab w:val="left" w:pos="1440"/>
        </w:tabs>
        <w:spacing w:line="360" w:lineRule="auto"/>
        <w:ind w:firstLine="720"/>
        <w:rPr>
          <w:sz w:val="26"/>
          <w:szCs w:val="26"/>
        </w:rPr>
      </w:pPr>
      <w:r>
        <w:rPr>
          <w:sz w:val="26"/>
          <w:szCs w:val="26"/>
        </w:rPr>
        <w:tab/>
      </w:r>
      <w:r w:rsidR="00303DEF" w:rsidRPr="00303DEF">
        <w:rPr>
          <w:i/>
          <w:sz w:val="26"/>
          <w:szCs w:val="26"/>
        </w:rPr>
        <w:t>Dawes</w:t>
      </w:r>
      <w:r w:rsidR="00303DEF" w:rsidRPr="00303DEF">
        <w:rPr>
          <w:sz w:val="26"/>
          <w:szCs w:val="26"/>
        </w:rPr>
        <w:t xml:space="preserve"> involved a challenge to </w:t>
      </w:r>
      <w:r w:rsidR="00303DEF">
        <w:rPr>
          <w:sz w:val="26"/>
          <w:szCs w:val="26"/>
        </w:rPr>
        <w:t>a</w:t>
      </w:r>
      <w:r w:rsidR="00303DEF" w:rsidRPr="00303DEF">
        <w:rPr>
          <w:sz w:val="26"/>
          <w:szCs w:val="26"/>
        </w:rPr>
        <w:t xml:space="preserve"> rate </w:t>
      </w:r>
      <w:r w:rsidR="00303DEF">
        <w:rPr>
          <w:sz w:val="26"/>
          <w:szCs w:val="26"/>
        </w:rPr>
        <w:t>that w</w:t>
      </w:r>
      <w:r w:rsidR="00303DEF" w:rsidRPr="00303DEF">
        <w:rPr>
          <w:sz w:val="26"/>
          <w:szCs w:val="26"/>
        </w:rPr>
        <w:t>as verified through the TPV</w:t>
      </w:r>
      <w:r w:rsidR="00A874F3">
        <w:rPr>
          <w:sz w:val="26"/>
          <w:szCs w:val="26"/>
        </w:rPr>
        <w:t xml:space="preserve">.  </w:t>
      </w:r>
      <w:r w:rsidR="00006102">
        <w:rPr>
          <w:sz w:val="26"/>
          <w:szCs w:val="26"/>
        </w:rPr>
        <w:t xml:space="preserve">The TPV was not moved into evidence in this proceeding.  </w:t>
      </w:r>
      <w:r w:rsidR="003160F1">
        <w:rPr>
          <w:sz w:val="26"/>
          <w:szCs w:val="26"/>
        </w:rPr>
        <w:t xml:space="preserve">R. Exc. at 13; </w:t>
      </w:r>
      <w:r w:rsidR="00006102">
        <w:rPr>
          <w:sz w:val="26"/>
          <w:szCs w:val="26"/>
        </w:rPr>
        <w:t xml:space="preserve">I.D. at 13, n.1.  </w:t>
      </w:r>
      <w:r w:rsidR="00A874F3">
        <w:rPr>
          <w:sz w:val="26"/>
          <w:szCs w:val="26"/>
        </w:rPr>
        <w:t>Additionally</w:t>
      </w:r>
      <w:r w:rsidR="00303DEF" w:rsidRPr="00303DEF">
        <w:rPr>
          <w:sz w:val="26"/>
          <w:szCs w:val="26"/>
        </w:rPr>
        <w:t xml:space="preserve">, </w:t>
      </w:r>
      <w:r w:rsidR="00006102">
        <w:rPr>
          <w:sz w:val="26"/>
          <w:szCs w:val="26"/>
        </w:rPr>
        <w:t xml:space="preserve">we note that </w:t>
      </w:r>
      <w:r w:rsidR="00303DEF" w:rsidRPr="00303DEF">
        <w:rPr>
          <w:sz w:val="26"/>
          <w:szCs w:val="26"/>
        </w:rPr>
        <w:t xml:space="preserve">the </w:t>
      </w:r>
      <w:r w:rsidR="00006102">
        <w:rPr>
          <w:sz w:val="26"/>
          <w:szCs w:val="26"/>
        </w:rPr>
        <w:t xml:space="preserve">ALJ in </w:t>
      </w:r>
      <w:r w:rsidR="00006102">
        <w:rPr>
          <w:i/>
          <w:sz w:val="26"/>
          <w:szCs w:val="26"/>
        </w:rPr>
        <w:t xml:space="preserve">Dawes </w:t>
      </w:r>
      <w:r w:rsidR="00006102">
        <w:rPr>
          <w:sz w:val="26"/>
          <w:szCs w:val="26"/>
        </w:rPr>
        <w:t xml:space="preserve">characterized the </w:t>
      </w:r>
      <w:r w:rsidR="00303DEF" w:rsidRPr="00303DEF">
        <w:rPr>
          <w:sz w:val="26"/>
          <w:szCs w:val="26"/>
        </w:rPr>
        <w:t xml:space="preserve">complainant’s testimony </w:t>
      </w:r>
      <w:r w:rsidR="00A874F3">
        <w:rPr>
          <w:sz w:val="26"/>
          <w:szCs w:val="26"/>
        </w:rPr>
        <w:t>regarding</w:t>
      </w:r>
      <w:r w:rsidR="00303DEF" w:rsidRPr="00303DEF">
        <w:rPr>
          <w:sz w:val="26"/>
          <w:szCs w:val="26"/>
        </w:rPr>
        <w:t xml:space="preserve"> the EGS’ rate compared to the EDC rate going forward </w:t>
      </w:r>
      <w:r w:rsidR="00006102">
        <w:rPr>
          <w:sz w:val="26"/>
          <w:szCs w:val="26"/>
        </w:rPr>
        <w:t>as</w:t>
      </w:r>
      <w:r w:rsidR="005A632A">
        <w:rPr>
          <w:sz w:val="26"/>
          <w:szCs w:val="26"/>
        </w:rPr>
        <w:t xml:space="preserve"> </w:t>
      </w:r>
      <w:r w:rsidR="00303DEF" w:rsidRPr="00303DEF">
        <w:rPr>
          <w:sz w:val="26"/>
          <w:szCs w:val="26"/>
        </w:rPr>
        <w:t xml:space="preserve">unclear.  </w:t>
      </w:r>
      <w:r w:rsidR="00690974" w:rsidRPr="00690974">
        <w:rPr>
          <w:i/>
          <w:sz w:val="26"/>
          <w:szCs w:val="26"/>
        </w:rPr>
        <w:t>Dawes</w:t>
      </w:r>
      <w:r w:rsidR="00690974">
        <w:rPr>
          <w:sz w:val="26"/>
          <w:szCs w:val="26"/>
        </w:rPr>
        <w:t xml:space="preserve">, ALJ Initial Decision at 21.  </w:t>
      </w:r>
      <w:r w:rsidR="00303DEF" w:rsidRPr="00690974">
        <w:rPr>
          <w:sz w:val="26"/>
          <w:szCs w:val="26"/>
        </w:rPr>
        <w:t>In</w:t>
      </w:r>
      <w:r w:rsidR="00303DEF" w:rsidRPr="00303DEF">
        <w:rPr>
          <w:sz w:val="26"/>
          <w:szCs w:val="26"/>
        </w:rPr>
        <w:t xml:space="preserve"> this instance, Mr. Kiback </w:t>
      </w:r>
      <w:r w:rsidR="00690974">
        <w:rPr>
          <w:sz w:val="26"/>
          <w:szCs w:val="26"/>
        </w:rPr>
        <w:t xml:space="preserve">did not </w:t>
      </w:r>
      <w:r w:rsidR="00303DEF" w:rsidRPr="00303DEF">
        <w:rPr>
          <w:sz w:val="26"/>
          <w:szCs w:val="26"/>
        </w:rPr>
        <w:t>challenge the specific rate but rather the promised savings</w:t>
      </w:r>
      <w:r>
        <w:rPr>
          <w:sz w:val="26"/>
          <w:szCs w:val="26"/>
        </w:rPr>
        <w:t>,</w:t>
      </w:r>
      <w:r w:rsidR="00303DEF" w:rsidRPr="00303DEF">
        <w:rPr>
          <w:sz w:val="26"/>
          <w:szCs w:val="26"/>
        </w:rPr>
        <w:t xml:space="preserve"> and </w:t>
      </w:r>
      <w:r w:rsidR="00690974">
        <w:rPr>
          <w:sz w:val="26"/>
          <w:szCs w:val="26"/>
        </w:rPr>
        <w:t xml:space="preserve">the ALJ found </w:t>
      </w:r>
      <w:r w:rsidR="00303DEF" w:rsidRPr="00303DEF">
        <w:rPr>
          <w:sz w:val="26"/>
          <w:szCs w:val="26"/>
        </w:rPr>
        <w:t>h</w:t>
      </w:r>
      <w:r w:rsidR="005A632A">
        <w:rPr>
          <w:sz w:val="26"/>
          <w:szCs w:val="26"/>
        </w:rPr>
        <w:t>is testimony</w:t>
      </w:r>
      <w:r w:rsidR="00303DEF" w:rsidRPr="00303DEF">
        <w:rPr>
          <w:sz w:val="26"/>
          <w:szCs w:val="26"/>
        </w:rPr>
        <w:t xml:space="preserve"> </w:t>
      </w:r>
      <w:r w:rsidR="00690974">
        <w:rPr>
          <w:sz w:val="26"/>
          <w:szCs w:val="26"/>
        </w:rPr>
        <w:t xml:space="preserve">to be credible.  </w:t>
      </w:r>
      <w:r>
        <w:rPr>
          <w:sz w:val="26"/>
          <w:szCs w:val="26"/>
        </w:rPr>
        <w:t xml:space="preserve">I.D. at 10, 12.  </w:t>
      </w:r>
      <w:r w:rsidR="005A632A" w:rsidRPr="005A632A">
        <w:rPr>
          <w:sz w:val="26"/>
          <w:szCs w:val="26"/>
        </w:rPr>
        <w:t xml:space="preserve">The other case cited by IDT, </w:t>
      </w:r>
      <w:r w:rsidR="005A632A" w:rsidRPr="005A632A">
        <w:rPr>
          <w:i/>
          <w:sz w:val="26"/>
          <w:szCs w:val="26"/>
        </w:rPr>
        <w:t>Hoke</w:t>
      </w:r>
      <w:r w:rsidR="005A632A" w:rsidRPr="005A632A">
        <w:rPr>
          <w:sz w:val="26"/>
          <w:szCs w:val="26"/>
        </w:rPr>
        <w:t xml:space="preserve">, involved a complaint against the EGS’ rate as advertised through the Pennsylvania Power Switch Website, not a dispute over the EGS’ oral marketing, and therefore is </w:t>
      </w:r>
      <w:r>
        <w:rPr>
          <w:sz w:val="26"/>
          <w:szCs w:val="26"/>
        </w:rPr>
        <w:t xml:space="preserve">factually distinguishable and </w:t>
      </w:r>
      <w:r w:rsidR="005A632A" w:rsidRPr="005A632A">
        <w:rPr>
          <w:sz w:val="26"/>
          <w:szCs w:val="26"/>
        </w:rPr>
        <w:t>inapposite to IDT’s argument.</w:t>
      </w:r>
      <w:r w:rsidR="005A632A">
        <w:rPr>
          <w:sz w:val="26"/>
          <w:szCs w:val="26"/>
        </w:rPr>
        <w:t xml:space="preserve">  </w:t>
      </w:r>
      <w:r w:rsidR="00303DEF">
        <w:rPr>
          <w:sz w:val="26"/>
          <w:szCs w:val="26"/>
        </w:rPr>
        <w:t>A</w:t>
      </w:r>
      <w:r w:rsidR="004415FA">
        <w:rPr>
          <w:sz w:val="26"/>
          <w:szCs w:val="26"/>
        </w:rPr>
        <w:t xml:space="preserve">s the </w:t>
      </w:r>
      <w:r w:rsidR="005A632A">
        <w:rPr>
          <w:sz w:val="26"/>
          <w:szCs w:val="26"/>
        </w:rPr>
        <w:t>OCA contends, ID</w:t>
      </w:r>
      <w:r w:rsidR="00E931FD">
        <w:rPr>
          <w:sz w:val="26"/>
          <w:szCs w:val="26"/>
        </w:rPr>
        <w:t xml:space="preserve">T’s </w:t>
      </w:r>
      <w:r w:rsidR="004415FA">
        <w:rPr>
          <w:sz w:val="26"/>
          <w:szCs w:val="26"/>
        </w:rPr>
        <w:t xml:space="preserve">failure </w:t>
      </w:r>
      <w:r w:rsidR="00E931FD">
        <w:rPr>
          <w:sz w:val="26"/>
          <w:szCs w:val="26"/>
        </w:rPr>
        <w:t>to provide adequate r</w:t>
      </w:r>
      <w:r w:rsidR="004415FA">
        <w:rPr>
          <w:sz w:val="26"/>
          <w:szCs w:val="26"/>
        </w:rPr>
        <w:t xml:space="preserve">esponsive evidence </w:t>
      </w:r>
      <w:r w:rsidR="00E931FD">
        <w:rPr>
          <w:sz w:val="26"/>
          <w:szCs w:val="26"/>
        </w:rPr>
        <w:t>to refute Mr.</w:t>
      </w:r>
      <w:r>
        <w:rPr>
          <w:sz w:val="26"/>
          <w:szCs w:val="26"/>
        </w:rPr>
        <w:t> </w:t>
      </w:r>
      <w:r w:rsidR="00E931FD">
        <w:rPr>
          <w:sz w:val="26"/>
          <w:szCs w:val="26"/>
        </w:rPr>
        <w:t xml:space="preserve">Kiback’s credible testimony </w:t>
      </w:r>
      <w:r w:rsidR="005A632A">
        <w:rPr>
          <w:sz w:val="26"/>
          <w:szCs w:val="26"/>
        </w:rPr>
        <w:t>support</w:t>
      </w:r>
      <w:r w:rsidR="003160F1">
        <w:rPr>
          <w:sz w:val="26"/>
          <w:szCs w:val="26"/>
        </w:rPr>
        <w:t>s</w:t>
      </w:r>
      <w:r w:rsidR="005A632A">
        <w:rPr>
          <w:sz w:val="26"/>
          <w:szCs w:val="26"/>
        </w:rPr>
        <w:t xml:space="preserve"> the ALJ’s decision.</w:t>
      </w:r>
    </w:p>
    <w:p w:rsidR="00E445C1" w:rsidRDefault="00E445C1" w:rsidP="00ED0D64">
      <w:pPr>
        <w:spacing w:line="360" w:lineRule="auto"/>
        <w:rPr>
          <w:sz w:val="26"/>
          <w:szCs w:val="26"/>
        </w:rPr>
      </w:pPr>
    </w:p>
    <w:p w:rsidR="00107316" w:rsidRDefault="00E931FD" w:rsidP="00E931FD">
      <w:pPr>
        <w:spacing w:line="360" w:lineRule="auto"/>
        <w:rPr>
          <w:sz w:val="26"/>
          <w:szCs w:val="26"/>
        </w:rPr>
      </w:pPr>
      <w:r>
        <w:rPr>
          <w:sz w:val="26"/>
          <w:szCs w:val="26"/>
        </w:rPr>
        <w:tab/>
      </w:r>
      <w:r>
        <w:rPr>
          <w:sz w:val="26"/>
          <w:szCs w:val="26"/>
        </w:rPr>
        <w:tab/>
        <w:t xml:space="preserve">Finally, with respect to IDT’s </w:t>
      </w:r>
      <w:r w:rsidR="00007241">
        <w:rPr>
          <w:sz w:val="26"/>
          <w:szCs w:val="26"/>
        </w:rPr>
        <w:t>third E</w:t>
      </w:r>
      <w:r>
        <w:rPr>
          <w:sz w:val="26"/>
          <w:szCs w:val="26"/>
        </w:rPr>
        <w:t xml:space="preserve">xception regarding the imposition of a civil penalty and order of refund, we </w:t>
      </w:r>
      <w:r w:rsidR="00EA4755">
        <w:rPr>
          <w:sz w:val="26"/>
          <w:szCs w:val="26"/>
        </w:rPr>
        <w:t xml:space="preserve">again </w:t>
      </w:r>
      <w:r w:rsidR="003160F1">
        <w:rPr>
          <w:sz w:val="26"/>
          <w:szCs w:val="26"/>
        </w:rPr>
        <w:t xml:space="preserve">agree </w:t>
      </w:r>
      <w:r w:rsidR="00007241">
        <w:rPr>
          <w:sz w:val="26"/>
          <w:szCs w:val="26"/>
        </w:rPr>
        <w:t xml:space="preserve">with the ALJ’s analysis that the </w:t>
      </w:r>
      <w:r w:rsidR="00007241">
        <w:rPr>
          <w:sz w:val="26"/>
          <w:szCs w:val="26"/>
        </w:rPr>
        <w:lastRenderedPageBreak/>
        <w:t xml:space="preserve">imposition of a civil penalty and order of a refund are appropriate remedies in this proceeding.  </w:t>
      </w:r>
      <w:r w:rsidR="00107316">
        <w:rPr>
          <w:sz w:val="26"/>
          <w:szCs w:val="26"/>
        </w:rPr>
        <w:t xml:space="preserve">While </w:t>
      </w:r>
      <w:r w:rsidR="00641F1F">
        <w:rPr>
          <w:sz w:val="26"/>
          <w:szCs w:val="26"/>
        </w:rPr>
        <w:t>we</w:t>
      </w:r>
      <w:r w:rsidR="0070190A">
        <w:rPr>
          <w:sz w:val="26"/>
          <w:szCs w:val="26"/>
        </w:rPr>
        <w:t xml:space="preserve"> </w:t>
      </w:r>
      <w:r w:rsidR="00107316">
        <w:rPr>
          <w:sz w:val="26"/>
          <w:szCs w:val="26"/>
        </w:rPr>
        <w:t>d</w:t>
      </w:r>
      <w:r w:rsidR="00ED1308">
        <w:rPr>
          <w:sz w:val="26"/>
          <w:szCs w:val="26"/>
        </w:rPr>
        <w:t>o not have traditional ratemaking authority over competitive suppliers and do not regulate competitive supply rates charged by EGSs</w:t>
      </w:r>
      <w:r w:rsidR="00107316">
        <w:rPr>
          <w:sz w:val="26"/>
          <w:szCs w:val="26"/>
        </w:rPr>
        <w:t xml:space="preserve">, </w:t>
      </w:r>
      <w:r w:rsidR="00641F1F">
        <w:rPr>
          <w:sz w:val="26"/>
          <w:szCs w:val="26"/>
        </w:rPr>
        <w:t>we</w:t>
      </w:r>
      <w:r w:rsidR="0070190A">
        <w:rPr>
          <w:sz w:val="26"/>
          <w:szCs w:val="26"/>
        </w:rPr>
        <w:t xml:space="preserve"> </w:t>
      </w:r>
      <w:r w:rsidR="00ED1308">
        <w:rPr>
          <w:sz w:val="26"/>
          <w:szCs w:val="26"/>
        </w:rPr>
        <w:t xml:space="preserve">do have subject matter jurisdiction to regulate aspects of </w:t>
      </w:r>
      <w:r w:rsidR="00107316">
        <w:rPr>
          <w:sz w:val="26"/>
          <w:szCs w:val="26"/>
        </w:rPr>
        <w:t xml:space="preserve">EGS </w:t>
      </w:r>
      <w:r w:rsidR="00ED1308">
        <w:rPr>
          <w:sz w:val="26"/>
          <w:szCs w:val="26"/>
        </w:rPr>
        <w:t>services, including marketing and sales activities.</w:t>
      </w:r>
      <w:r w:rsidR="00EB3425">
        <w:rPr>
          <w:sz w:val="26"/>
          <w:szCs w:val="26"/>
        </w:rPr>
        <w:t xml:space="preserve">  </w:t>
      </w:r>
      <w:r w:rsidR="00ED1308" w:rsidRPr="00415974">
        <w:rPr>
          <w:sz w:val="26"/>
          <w:szCs w:val="26"/>
        </w:rPr>
        <w:t xml:space="preserve"> </w:t>
      </w:r>
      <w:r w:rsidR="005C0844" w:rsidRPr="00415974">
        <w:rPr>
          <w:i/>
          <w:sz w:val="26"/>
          <w:szCs w:val="26"/>
        </w:rPr>
        <w:t>IDT December 2014 Order</w:t>
      </w:r>
      <w:r w:rsidR="00415974">
        <w:rPr>
          <w:sz w:val="26"/>
          <w:szCs w:val="26"/>
        </w:rPr>
        <w:t xml:space="preserve">.  IDT </w:t>
      </w:r>
      <w:r w:rsidR="000F689F">
        <w:rPr>
          <w:sz w:val="26"/>
          <w:szCs w:val="26"/>
        </w:rPr>
        <w:t>construes</w:t>
      </w:r>
      <w:r w:rsidR="00415974">
        <w:rPr>
          <w:sz w:val="26"/>
          <w:szCs w:val="26"/>
        </w:rPr>
        <w:t xml:space="preserve"> that Order </w:t>
      </w:r>
      <w:r w:rsidR="000F689F">
        <w:rPr>
          <w:sz w:val="26"/>
          <w:szCs w:val="26"/>
        </w:rPr>
        <w:t xml:space="preserve">as </w:t>
      </w:r>
      <w:r w:rsidR="00415974">
        <w:rPr>
          <w:sz w:val="26"/>
          <w:szCs w:val="26"/>
        </w:rPr>
        <w:t>stand</w:t>
      </w:r>
      <w:r w:rsidR="000F689F">
        <w:rPr>
          <w:sz w:val="26"/>
          <w:szCs w:val="26"/>
        </w:rPr>
        <w:t>ing</w:t>
      </w:r>
      <w:r w:rsidR="00415974">
        <w:rPr>
          <w:sz w:val="26"/>
          <w:szCs w:val="26"/>
        </w:rPr>
        <w:t xml:space="preserve"> for the proposition that we may order a refund for failure to abide by terms of a written disclosure statement</w:t>
      </w:r>
      <w:r w:rsidR="00641F1F">
        <w:rPr>
          <w:sz w:val="26"/>
          <w:szCs w:val="26"/>
        </w:rPr>
        <w:t xml:space="preserve">.  </w:t>
      </w:r>
      <w:r w:rsidR="002F1316">
        <w:rPr>
          <w:sz w:val="26"/>
          <w:szCs w:val="26"/>
        </w:rPr>
        <w:t>We referred to t</w:t>
      </w:r>
      <w:r w:rsidR="00415974">
        <w:rPr>
          <w:sz w:val="26"/>
          <w:szCs w:val="26"/>
        </w:rPr>
        <w:t>hat transgression</w:t>
      </w:r>
      <w:r w:rsidR="00641F1F">
        <w:rPr>
          <w:sz w:val="26"/>
          <w:szCs w:val="26"/>
        </w:rPr>
        <w:t xml:space="preserve">, however, by way of example and not </w:t>
      </w:r>
      <w:r w:rsidR="00415974">
        <w:rPr>
          <w:sz w:val="26"/>
          <w:szCs w:val="26"/>
        </w:rPr>
        <w:t xml:space="preserve">limitation.  </w:t>
      </w:r>
      <w:r w:rsidR="00641F1F">
        <w:rPr>
          <w:sz w:val="26"/>
          <w:szCs w:val="26"/>
        </w:rPr>
        <w:t xml:space="preserve">As we stated there, </w:t>
      </w:r>
      <w:r w:rsidR="002F1316">
        <w:rPr>
          <w:sz w:val="26"/>
          <w:szCs w:val="26"/>
        </w:rPr>
        <w:t>“[h]</w:t>
      </w:r>
      <w:r w:rsidR="002F1316" w:rsidRPr="002F1316">
        <w:rPr>
          <w:sz w:val="26"/>
          <w:szCs w:val="26"/>
        </w:rPr>
        <w:t xml:space="preserve">aving the authority to order EGS credits and/or refunds carries out these statutorily-prescribed consumer protections </w:t>
      </w:r>
      <w:r w:rsidR="002F1316">
        <w:rPr>
          <w:sz w:val="26"/>
          <w:szCs w:val="26"/>
        </w:rPr>
        <w:t xml:space="preserve">(under Section </w:t>
      </w:r>
      <w:r w:rsidR="002F1316" w:rsidRPr="002F1316">
        <w:rPr>
          <w:sz w:val="26"/>
          <w:szCs w:val="26"/>
        </w:rPr>
        <w:t xml:space="preserve">2809(b) </w:t>
      </w:r>
      <w:r w:rsidR="002F1316">
        <w:rPr>
          <w:sz w:val="26"/>
          <w:szCs w:val="26"/>
        </w:rPr>
        <w:t xml:space="preserve">of the Electric Competition Act and Chapter 54 of our </w:t>
      </w:r>
      <w:r w:rsidR="002F1316" w:rsidRPr="002F1316">
        <w:rPr>
          <w:sz w:val="26"/>
          <w:szCs w:val="26"/>
        </w:rPr>
        <w:t>Regulations</w:t>
      </w:r>
      <w:r w:rsidR="002F1316">
        <w:rPr>
          <w:sz w:val="26"/>
          <w:szCs w:val="26"/>
        </w:rPr>
        <w:t xml:space="preserve">) </w:t>
      </w:r>
      <w:r w:rsidR="002F1316" w:rsidRPr="002F1316">
        <w:rPr>
          <w:sz w:val="26"/>
          <w:szCs w:val="26"/>
        </w:rPr>
        <w:t xml:space="preserve">by ensuring that electric generation supply bills are adjusted accordingly when an EGS, </w:t>
      </w:r>
      <w:r w:rsidR="002F1316" w:rsidRPr="003160F1">
        <w:rPr>
          <w:i/>
          <w:sz w:val="26"/>
          <w:szCs w:val="26"/>
        </w:rPr>
        <w:t>for example</w:t>
      </w:r>
      <w:r w:rsidR="002F1316" w:rsidRPr="002F1316">
        <w:rPr>
          <w:sz w:val="26"/>
          <w:szCs w:val="26"/>
        </w:rPr>
        <w:t>, fails to bill a customer in accordance with its disclosure statement</w:t>
      </w:r>
      <w:r w:rsidR="002F1316">
        <w:rPr>
          <w:sz w:val="26"/>
          <w:szCs w:val="26"/>
        </w:rPr>
        <w:t xml:space="preserve">.”  </w:t>
      </w:r>
      <w:r w:rsidR="002F1316">
        <w:rPr>
          <w:i/>
          <w:sz w:val="26"/>
          <w:szCs w:val="26"/>
        </w:rPr>
        <w:t>IDT December 2014 Order</w:t>
      </w:r>
      <w:r w:rsidR="002F1316">
        <w:rPr>
          <w:sz w:val="26"/>
          <w:szCs w:val="26"/>
        </w:rPr>
        <w:t xml:space="preserve"> at 17-18</w:t>
      </w:r>
      <w:r w:rsidR="003160F1">
        <w:rPr>
          <w:sz w:val="26"/>
          <w:szCs w:val="26"/>
        </w:rPr>
        <w:t xml:space="preserve"> (emphasis added)</w:t>
      </w:r>
      <w:r w:rsidR="002F1316">
        <w:rPr>
          <w:sz w:val="26"/>
          <w:szCs w:val="26"/>
        </w:rPr>
        <w:t xml:space="preserve">.  As we concluded there, our </w:t>
      </w:r>
      <w:r w:rsidR="00415974">
        <w:rPr>
          <w:sz w:val="26"/>
          <w:szCs w:val="26"/>
        </w:rPr>
        <w:t xml:space="preserve">plenary authority under Section 501(a) of the Code includes directing an EGS to issue a credit or refund for an overbill in “appropriate circumstances.”  </w:t>
      </w:r>
      <w:r w:rsidR="001A3201">
        <w:rPr>
          <w:i/>
          <w:sz w:val="26"/>
          <w:szCs w:val="26"/>
        </w:rPr>
        <w:t>See i</w:t>
      </w:r>
      <w:r w:rsidR="002F1316">
        <w:rPr>
          <w:i/>
          <w:sz w:val="26"/>
          <w:szCs w:val="26"/>
        </w:rPr>
        <w:t>d.</w:t>
      </w:r>
      <w:r w:rsidR="002F1316">
        <w:rPr>
          <w:sz w:val="26"/>
          <w:szCs w:val="26"/>
        </w:rPr>
        <w:t xml:space="preserve"> at 18</w:t>
      </w:r>
      <w:r w:rsidR="00415974">
        <w:rPr>
          <w:sz w:val="26"/>
          <w:szCs w:val="26"/>
        </w:rPr>
        <w:t xml:space="preserve">; </w:t>
      </w:r>
      <w:r w:rsidR="00415974">
        <w:rPr>
          <w:i/>
          <w:sz w:val="26"/>
          <w:szCs w:val="26"/>
        </w:rPr>
        <w:t>Werle v. Respond Power LLC</w:t>
      </w:r>
      <w:r w:rsidR="00415974">
        <w:rPr>
          <w:sz w:val="26"/>
          <w:szCs w:val="26"/>
        </w:rPr>
        <w:t xml:space="preserve">, Docket No. C-2014-2429158 (Order entered  February 23, 2015); </w:t>
      </w:r>
      <w:r w:rsidR="00415974">
        <w:rPr>
          <w:i/>
          <w:sz w:val="26"/>
          <w:szCs w:val="26"/>
        </w:rPr>
        <w:t>Joseph Nadav v. Respond Power LLC</w:t>
      </w:r>
      <w:r w:rsidR="00415974">
        <w:rPr>
          <w:sz w:val="26"/>
          <w:szCs w:val="26"/>
        </w:rPr>
        <w:t>, Docket No. C-2014-2429159 (Order entered December 19, 2014).</w:t>
      </w:r>
      <w:r w:rsidR="002F1316">
        <w:rPr>
          <w:sz w:val="26"/>
          <w:szCs w:val="26"/>
        </w:rPr>
        <w:t xml:space="preserve">  Failure to abide by our Regulations </w:t>
      </w:r>
      <w:r w:rsidR="00A6165D">
        <w:rPr>
          <w:sz w:val="26"/>
          <w:szCs w:val="26"/>
        </w:rPr>
        <w:t xml:space="preserve">and applicable regulatory standards </w:t>
      </w:r>
      <w:r w:rsidR="002F1316">
        <w:rPr>
          <w:sz w:val="26"/>
          <w:szCs w:val="26"/>
        </w:rPr>
        <w:t xml:space="preserve">governing </w:t>
      </w:r>
      <w:r w:rsidR="003160F1">
        <w:rPr>
          <w:sz w:val="26"/>
          <w:szCs w:val="26"/>
        </w:rPr>
        <w:t>telemarketing</w:t>
      </w:r>
      <w:r w:rsidR="00782DB4">
        <w:rPr>
          <w:rStyle w:val="FootnoteReference"/>
        </w:rPr>
        <w:footnoteReference w:id="10"/>
      </w:r>
      <w:r w:rsidR="003160F1">
        <w:rPr>
          <w:sz w:val="26"/>
          <w:szCs w:val="26"/>
        </w:rPr>
        <w:t xml:space="preserve"> and </w:t>
      </w:r>
      <w:r w:rsidR="002F1316">
        <w:rPr>
          <w:sz w:val="26"/>
          <w:szCs w:val="26"/>
        </w:rPr>
        <w:t xml:space="preserve">the information to be provided to customers – oral or written – </w:t>
      </w:r>
      <w:r w:rsidR="003160F1">
        <w:rPr>
          <w:sz w:val="26"/>
          <w:szCs w:val="26"/>
        </w:rPr>
        <w:t>also constitute</w:t>
      </w:r>
      <w:r w:rsidR="002F1316">
        <w:rPr>
          <w:sz w:val="26"/>
          <w:szCs w:val="26"/>
        </w:rPr>
        <w:t xml:space="preserve"> appropriate circumstances</w:t>
      </w:r>
      <w:r w:rsidR="003160F1">
        <w:rPr>
          <w:sz w:val="26"/>
          <w:szCs w:val="26"/>
        </w:rPr>
        <w:t xml:space="preserve"> that justify ordering of a credit or refund</w:t>
      </w:r>
      <w:r w:rsidR="002F1316">
        <w:rPr>
          <w:sz w:val="26"/>
          <w:szCs w:val="26"/>
        </w:rPr>
        <w:t>.</w:t>
      </w:r>
    </w:p>
    <w:p w:rsidR="00107316" w:rsidRDefault="00107316" w:rsidP="00E931FD">
      <w:pPr>
        <w:spacing w:line="360" w:lineRule="auto"/>
        <w:rPr>
          <w:sz w:val="26"/>
          <w:szCs w:val="26"/>
        </w:rPr>
      </w:pPr>
    </w:p>
    <w:p w:rsidR="007B3749" w:rsidRDefault="00107316" w:rsidP="00E931FD">
      <w:pPr>
        <w:spacing w:line="360" w:lineRule="auto"/>
        <w:rPr>
          <w:sz w:val="26"/>
          <w:szCs w:val="26"/>
        </w:rPr>
      </w:pPr>
      <w:r>
        <w:rPr>
          <w:sz w:val="26"/>
          <w:szCs w:val="26"/>
        </w:rPr>
        <w:lastRenderedPageBreak/>
        <w:tab/>
      </w:r>
      <w:r>
        <w:rPr>
          <w:sz w:val="26"/>
          <w:szCs w:val="26"/>
        </w:rPr>
        <w:tab/>
      </w:r>
      <w:r w:rsidR="00E45501">
        <w:rPr>
          <w:sz w:val="26"/>
          <w:szCs w:val="26"/>
        </w:rPr>
        <w:t xml:space="preserve">IDT </w:t>
      </w:r>
      <w:r>
        <w:rPr>
          <w:sz w:val="26"/>
          <w:szCs w:val="26"/>
        </w:rPr>
        <w:t xml:space="preserve">also </w:t>
      </w:r>
      <w:r w:rsidR="00E45501">
        <w:rPr>
          <w:sz w:val="26"/>
          <w:szCs w:val="26"/>
        </w:rPr>
        <w:t>contends that if we affirm the ALJ’s Initial Decision and sustain Mr.</w:t>
      </w:r>
      <w:r w:rsidR="00EA4755">
        <w:rPr>
          <w:sz w:val="26"/>
          <w:szCs w:val="26"/>
        </w:rPr>
        <w:t> </w:t>
      </w:r>
      <w:r w:rsidR="00E45501">
        <w:rPr>
          <w:sz w:val="26"/>
          <w:szCs w:val="26"/>
        </w:rPr>
        <w:t xml:space="preserve">Kiback’s Complaint, we will </w:t>
      </w:r>
      <w:r w:rsidR="0010357F">
        <w:rPr>
          <w:sz w:val="26"/>
          <w:szCs w:val="26"/>
        </w:rPr>
        <w:t xml:space="preserve">“establish[] terrible precedent that would </w:t>
      </w:r>
      <w:r w:rsidR="004C39E2">
        <w:rPr>
          <w:sz w:val="26"/>
          <w:szCs w:val="26"/>
        </w:rPr>
        <w:t>undermin</w:t>
      </w:r>
      <w:r w:rsidR="00E45501">
        <w:rPr>
          <w:sz w:val="26"/>
          <w:szCs w:val="26"/>
        </w:rPr>
        <w:t>e</w:t>
      </w:r>
      <w:r w:rsidR="004C39E2">
        <w:rPr>
          <w:sz w:val="26"/>
          <w:szCs w:val="26"/>
        </w:rPr>
        <w:t xml:space="preserve"> the entire competitive supply market</w:t>
      </w:r>
      <w:r>
        <w:rPr>
          <w:sz w:val="26"/>
          <w:szCs w:val="26"/>
        </w:rPr>
        <w:t>,</w:t>
      </w:r>
      <w:r w:rsidR="0010357F">
        <w:rPr>
          <w:sz w:val="26"/>
          <w:szCs w:val="26"/>
        </w:rPr>
        <w:t xml:space="preserve"> solely on the basis of vague allegations of sales agent statements that are far from certain</w:t>
      </w:r>
      <w:r w:rsidR="007B3749">
        <w:rPr>
          <w:sz w:val="26"/>
          <w:szCs w:val="26"/>
        </w:rPr>
        <w:t>[.]</w:t>
      </w:r>
      <w:r w:rsidR="004C39E2">
        <w:rPr>
          <w:sz w:val="26"/>
          <w:szCs w:val="26"/>
        </w:rPr>
        <w:t>”</w:t>
      </w:r>
      <w:r w:rsidR="0010357F">
        <w:rPr>
          <w:sz w:val="26"/>
          <w:szCs w:val="26"/>
        </w:rPr>
        <w:t xml:space="preserve"> </w:t>
      </w:r>
      <w:r w:rsidR="007B3749">
        <w:rPr>
          <w:sz w:val="26"/>
          <w:szCs w:val="26"/>
        </w:rPr>
        <w:t xml:space="preserve"> </w:t>
      </w:r>
      <w:r w:rsidR="007B3749" w:rsidRPr="007B3749">
        <w:rPr>
          <w:sz w:val="26"/>
          <w:szCs w:val="26"/>
        </w:rPr>
        <w:t xml:space="preserve">Exc. at 27.  </w:t>
      </w:r>
      <w:r w:rsidR="007B3749">
        <w:rPr>
          <w:sz w:val="26"/>
          <w:szCs w:val="26"/>
        </w:rPr>
        <w:t xml:space="preserve">Instead, asserts IDT, we should </w:t>
      </w:r>
      <w:r w:rsidR="0010357F">
        <w:rPr>
          <w:sz w:val="26"/>
          <w:szCs w:val="26"/>
        </w:rPr>
        <w:t xml:space="preserve">view this case </w:t>
      </w:r>
      <w:r w:rsidR="007B3749">
        <w:rPr>
          <w:sz w:val="26"/>
          <w:szCs w:val="26"/>
        </w:rPr>
        <w:t xml:space="preserve">simply </w:t>
      </w:r>
      <w:r w:rsidR="0010357F">
        <w:rPr>
          <w:sz w:val="26"/>
          <w:szCs w:val="26"/>
        </w:rPr>
        <w:t xml:space="preserve">as </w:t>
      </w:r>
      <w:r w:rsidR="007B3749">
        <w:rPr>
          <w:sz w:val="26"/>
          <w:szCs w:val="26"/>
        </w:rPr>
        <w:t xml:space="preserve">a complaint about a “temporary one-month price spike[.]”  </w:t>
      </w:r>
      <w:r w:rsidR="007B3749">
        <w:rPr>
          <w:i/>
          <w:sz w:val="26"/>
          <w:szCs w:val="26"/>
        </w:rPr>
        <w:t>Id.</w:t>
      </w:r>
      <w:r w:rsidR="007B3749">
        <w:rPr>
          <w:sz w:val="26"/>
          <w:szCs w:val="26"/>
        </w:rPr>
        <w:t xml:space="preserve">  </w:t>
      </w:r>
      <w:r w:rsidR="00E45501">
        <w:rPr>
          <w:sz w:val="26"/>
          <w:szCs w:val="26"/>
        </w:rPr>
        <w:t xml:space="preserve"> We </w:t>
      </w:r>
      <w:r>
        <w:rPr>
          <w:sz w:val="26"/>
          <w:szCs w:val="26"/>
        </w:rPr>
        <w:t>disagree</w:t>
      </w:r>
      <w:r w:rsidR="00E45501">
        <w:rPr>
          <w:sz w:val="26"/>
          <w:szCs w:val="26"/>
        </w:rPr>
        <w:t xml:space="preserve">.  </w:t>
      </w:r>
      <w:r w:rsidR="007B3749">
        <w:rPr>
          <w:sz w:val="26"/>
          <w:szCs w:val="26"/>
        </w:rPr>
        <w:t xml:space="preserve">Mr. Kiback’s testimony clearly established his understanding, based upon the telemarketer’s representations, that his rate would assure him savings over PPL’s price to compare.  When his rate exceeded PPL’s, he complained.  </w:t>
      </w:r>
    </w:p>
    <w:p w:rsidR="007B3749" w:rsidRDefault="007B3749" w:rsidP="00E931FD">
      <w:pPr>
        <w:spacing w:line="360" w:lineRule="auto"/>
        <w:rPr>
          <w:sz w:val="26"/>
          <w:szCs w:val="26"/>
        </w:rPr>
      </w:pPr>
    </w:p>
    <w:p w:rsidR="00472D66" w:rsidRDefault="007B3749" w:rsidP="007B3749">
      <w:pPr>
        <w:tabs>
          <w:tab w:val="left" w:pos="1440"/>
        </w:tabs>
        <w:spacing w:line="360" w:lineRule="auto"/>
        <w:ind w:firstLine="720"/>
        <w:rPr>
          <w:sz w:val="26"/>
          <w:szCs w:val="26"/>
        </w:rPr>
      </w:pPr>
      <w:r>
        <w:rPr>
          <w:sz w:val="26"/>
          <w:szCs w:val="26"/>
        </w:rPr>
        <w:tab/>
      </w:r>
      <w:r w:rsidR="00107316">
        <w:rPr>
          <w:sz w:val="26"/>
          <w:szCs w:val="26"/>
        </w:rPr>
        <w:t>O</w:t>
      </w:r>
      <w:r w:rsidR="008E30AD">
        <w:rPr>
          <w:sz w:val="26"/>
          <w:szCs w:val="26"/>
        </w:rPr>
        <w:t xml:space="preserve">ur </w:t>
      </w:r>
      <w:r w:rsidR="00A6165D">
        <w:rPr>
          <w:i/>
          <w:sz w:val="26"/>
          <w:szCs w:val="26"/>
        </w:rPr>
        <w:t xml:space="preserve">2010 Interim Guidelines </w:t>
      </w:r>
      <w:r w:rsidR="00A6165D">
        <w:rPr>
          <w:sz w:val="26"/>
          <w:szCs w:val="26"/>
        </w:rPr>
        <w:t xml:space="preserve">and successor </w:t>
      </w:r>
      <w:r w:rsidR="008E30AD">
        <w:rPr>
          <w:sz w:val="26"/>
          <w:szCs w:val="26"/>
        </w:rPr>
        <w:t>Regulations are intended to ensure</w:t>
      </w:r>
      <w:r w:rsidR="00107316">
        <w:rPr>
          <w:sz w:val="26"/>
          <w:szCs w:val="26"/>
        </w:rPr>
        <w:t xml:space="preserve"> that</w:t>
      </w:r>
      <w:r w:rsidR="008E30AD">
        <w:rPr>
          <w:sz w:val="26"/>
          <w:szCs w:val="26"/>
        </w:rPr>
        <w:t xml:space="preserve"> customers </w:t>
      </w:r>
      <w:r w:rsidR="00107316">
        <w:rPr>
          <w:sz w:val="26"/>
          <w:szCs w:val="26"/>
        </w:rPr>
        <w:t xml:space="preserve">are </w:t>
      </w:r>
      <w:r w:rsidR="008E30AD">
        <w:rPr>
          <w:sz w:val="26"/>
          <w:szCs w:val="26"/>
        </w:rPr>
        <w:t>able to rely on all i</w:t>
      </w:r>
      <w:r w:rsidR="0010357F">
        <w:rPr>
          <w:sz w:val="26"/>
          <w:szCs w:val="26"/>
        </w:rPr>
        <w:t xml:space="preserve">nformation </w:t>
      </w:r>
      <w:r w:rsidR="00107316">
        <w:rPr>
          <w:sz w:val="26"/>
          <w:szCs w:val="26"/>
        </w:rPr>
        <w:t xml:space="preserve">competitive </w:t>
      </w:r>
      <w:r w:rsidR="008E30AD">
        <w:rPr>
          <w:sz w:val="26"/>
          <w:szCs w:val="26"/>
        </w:rPr>
        <w:t xml:space="preserve">providers give them.  </w:t>
      </w:r>
      <w:r w:rsidR="0010357F">
        <w:rPr>
          <w:sz w:val="26"/>
          <w:szCs w:val="26"/>
        </w:rPr>
        <w:t xml:space="preserve">As a licensed EGS, IDT is </w:t>
      </w:r>
      <w:r w:rsidR="00107316">
        <w:rPr>
          <w:sz w:val="26"/>
          <w:szCs w:val="26"/>
        </w:rPr>
        <w:t xml:space="preserve">a </w:t>
      </w:r>
      <w:r w:rsidR="0010357F">
        <w:rPr>
          <w:sz w:val="26"/>
          <w:szCs w:val="26"/>
        </w:rPr>
        <w:t>market stakeholder</w:t>
      </w:r>
      <w:r w:rsidR="00107316">
        <w:rPr>
          <w:sz w:val="26"/>
          <w:szCs w:val="26"/>
        </w:rPr>
        <w:t xml:space="preserve"> that</w:t>
      </w:r>
      <w:r w:rsidR="0010357F">
        <w:rPr>
          <w:sz w:val="26"/>
          <w:szCs w:val="26"/>
        </w:rPr>
        <w:t xml:space="preserve"> shar</w:t>
      </w:r>
      <w:r w:rsidR="00107316">
        <w:rPr>
          <w:sz w:val="26"/>
          <w:szCs w:val="26"/>
        </w:rPr>
        <w:t>es</w:t>
      </w:r>
      <w:r w:rsidR="0010357F">
        <w:rPr>
          <w:sz w:val="26"/>
          <w:szCs w:val="26"/>
        </w:rPr>
        <w:t xml:space="preserve"> in responsibility for educating consumers to the benefits and risks of competitive shopping.  </w:t>
      </w:r>
      <w:r w:rsidR="002D20AC">
        <w:rPr>
          <w:sz w:val="26"/>
          <w:szCs w:val="26"/>
        </w:rPr>
        <w:t>The fairness and integrity of a</w:t>
      </w:r>
      <w:r w:rsidR="0010357F">
        <w:rPr>
          <w:sz w:val="26"/>
          <w:szCs w:val="26"/>
        </w:rPr>
        <w:t xml:space="preserve"> successful </w:t>
      </w:r>
      <w:r w:rsidR="00E7297F">
        <w:rPr>
          <w:sz w:val="26"/>
          <w:szCs w:val="26"/>
        </w:rPr>
        <w:t xml:space="preserve">competitive market </w:t>
      </w:r>
      <w:r w:rsidR="002D20AC">
        <w:rPr>
          <w:sz w:val="26"/>
          <w:szCs w:val="26"/>
        </w:rPr>
        <w:t xml:space="preserve">depends upon </w:t>
      </w:r>
      <w:r w:rsidR="00E7297F">
        <w:rPr>
          <w:bCs/>
          <w:sz w:val="26"/>
          <w:szCs w:val="26"/>
          <w:lang w:bidi="en-US"/>
        </w:rPr>
        <w:t xml:space="preserve">a </w:t>
      </w:r>
      <w:r w:rsidR="0010357F">
        <w:rPr>
          <w:sz w:val="26"/>
          <w:szCs w:val="26"/>
        </w:rPr>
        <w:t xml:space="preserve">well-informed consuming public.  </w:t>
      </w:r>
      <w:r w:rsidR="00107316">
        <w:rPr>
          <w:sz w:val="26"/>
          <w:szCs w:val="26"/>
        </w:rPr>
        <w:t xml:space="preserve">An order </w:t>
      </w:r>
      <w:r w:rsidR="0010357F">
        <w:rPr>
          <w:sz w:val="26"/>
          <w:szCs w:val="26"/>
        </w:rPr>
        <w:t xml:space="preserve">confirming that </w:t>
      </w:r>
      <w:r w:rsidR="004C39E2">
        <w:rPr>
          <w:sz w:val="26"/>
          <w:szCs w:val="26"/>
        </w:rPr>
        <w:t xml:space="preserve">suppliers </w:t>
      </w:r>
      <w:r w:rsidR="00E7297F">
        <w:rPr>
          <w:sz w:val="26"/>
          <w:szCs w:val="26"/>
        </w:rPr>
        <w:t xml:space="preserve">are responsible for </w:t>
      </w:r>
      <w:r w:rsidR="00EB3425">
        <w:rPr>
          <w:sz w:val="26"/>
          <w:szCs w:val="26"/>
        </w:rPr>
        <w:t xml:space="preserve">clear and </w:t>
      </w:r>
      <w:r w:rsidR="00E7297F">
        <w:rPr>
          <w:sz w:val="26"/>
          <w:szCs w:val="26"/>
        </w:rPr>
        <w:t>forthright marketing</w:t>
      </w:r>
      <w:r w:rsidR="00EB3425">
        <w:rPr>
          <w:sz w:val="26"/>
          <w:szCs w:val="26"/>
        </w:rPr>
        <w:t xml:space="preserve"> </w:t>
      </w:r>
      <w:r w:rsidR="004C39E2">
        <w:rPr>
          <w:sz w:val="26"/>
          <w:szCs w:val="26"/>
        </w:rPr>
        <w:t xml:space="preserve">strengthens that market for </w:t>
      </w:r>
      <w:r w:rsidR="00E7297F">
        <w:rPr>
          <w:sz w:val="26"/>
          <w:szCs w:val="26"/>
        </w:rPr>
        <w:t xml:space="preserve">all stakeholders, particularly </w:t>
      </w:r>
      <w:r w:rsidR="004C39E2">
        <w:rPr>
          <w:sz w:val="26"/>
          <w:szCs w:val="26"/>
        </w:rPr>
        <w:t xml:space="preserve">consumers and </w:t>
      </w:r>
      <w:r w:rsidR="00E7297F">
        <w:rPr>
          <w:sz w:val="26"/>
          <w:szCs w:val="26"/>
        </w:rPr>
        <w:t xml:space="preserve">their </w:t>
      </w:r>
      <w:r w:rsidR="004C39E2">
        <w:rPr>
          <w:sz w:val="26"/>
          <w:szCs w:val="26"/>
        </w:rPr>
        <w:t>suppliers.</w:t>
      </w:r>
    </w:p>
    <w:p w:rsidR="00EA4755" w:rsidRDefault="00EA4755" w:rsidP="00E931FD">
      <w:pPr>
        <w:spacing w:line="360" w:lineRule="auto"/>
        <w:rPr>
          <w:sz w:val="26"/>
          <w:szCs w:val="26"/>
        </w:rPr>
      </w:pPr>
    </w:p>
    <w:p w:rsidR="00EA4755" w:rsidRDefault="00EA4755" w:rsidP="00E931FD">
      <w:pPr>
        <w:spacing w:line="360" w:lineRule="auto"/>
        <w:rPr>
          <w:sz w:val="26"/>
          <w:szCs w:val="26"/>
        </w:rPr>
      </w:pPr>
      <w:r>
        <w:rPr>
          <w:sz w:val="26"/>
          <w:szCs w:val="26"/>
        </w:rPr>
        <w:tab/>
      </w:r>
      <w:r>
        <w:rPr>
          <w:sz w:val="26"/>
          <w:szCs w:val="26"/>
        </w:rPr>
        <w:tab/>
      </w:r>
      <w:r w:rsidR="00EB3425">
        <w:rPr>
          <w:sz w:val="26"/>
          <w:szCs w:val="26"/>
        </w:rPr>
        <w:t xml:space="preserve">IDT </w:t>
      </w:r>
      <w:r w:rsidR="00776960">
        <w:rPr>
          <w:sz w:val="26"/>
          <w:szCs w:val="26"/>
        </w:rPr>
        <w:t xml:space="preserve">also </w:t>
      </w:r>
      <w:r w:rsidR="00EB3425">
        <w:rPr>
          <w:sz w:val="26"/>
          <w:szCs w:val="26"/>
        </w:rPr>
        <w:t xml:space="preserve">took exception to the imposition of a penalty to the extent that it contended that the violations found by the ALJ were mutually exclusive.  </w:t>
      </w:r>
      <w:r w:rsidR="00776960">
        <w:rPr>
          <w:sz w:val="26"/>
          <w:szCs w:val="26"/>
        </w:rPr>
        <w:t>W</w:t>
      </w:r>
      <w:r w:rsidR="00EB3425">
        <w:rPr>
          <w:sz w:val="26"/>
          <w:szCs w:val="26"/>
        </w:rPr>
        <w:t xml:space="preserve">e disagree.  </w:t>
      </w:r>
      <w:r w:rsidR="00776960">
        <w:rPr>
          <w:sz w:val="26"/>
          <w:szCs w:val="26"/>
        </w:rPr>
        <w:t>As the OCA contends, a</w:t>
      </w:r>
      <w:r w:rsidR="00EB3425">
        <w:rPr>
          <w:sz w:val="26"/>
          <w:szCs w:val="26"/>
        </w:rPr>
        <w:t xml:space="preserve"> violation of our marketing </w:t>
      </w:r>
      <w:r w:rsidR="00CB6432">
        <w:rPr>
          <w:sz w:val="26"/>
          <w:szCs w:val="26"/>
        </w:rPr>
        <w:t>regulatory standards</w:t>
      </w:r>
      <w:r w:rsidR="00EB3425">
        <w:rPr>
          <w:sz w:val="26"/>
          <w:szCs w:val="26"/>
        </w:rPr>
        <w:t xml:space="preserve"> is separate and distinct from a finding of a violation of our billing Regulations.  Therefore, we agree with the ALJ’s finding of two separate violations.  Since IDT did not refute the level of the penalty imposed by the ALJ upon consideration of each of the relevant factors under our policy statement, </w:t>
      </w:r>
      <w:r>
        <w:rPr>
          <w:sz w:val="26"/>
          <w:szCs w:val="26"/>
        </w:rPr>
        <w:t xml:space="preserve">at 52 Pa. Code § </w:t>
      </w:r>
      <w:r w:rsidRPr="00EA4755">
        <w:rPr>
          <w:sz w:val="26"/>
          <w:szCs w:val="26"/>
        </w:rPr>
        <w:t>69.120</w:t>
      </w:r>
      <w:r>
        <w:rPr>
          <w:sz w:val="26"/>
          <w:szCs w:val="26"/>
        </w:rPr>
        <w:t xml:space="preserve">1(c), we adopt the ALJ’s analysis and confirm the level of penalty imposed. </w:t>
      </w:r>
      <w:r w:rsidR="00776960">
        <w:rPr>
          <w:sz w:val="26"/>
          <w:szCs w:val="26"/>
        </w:rPr>
        <w:t xml:space="preserve">We also </w:t>
      </w:r>
      <w:r w:rsidR="00016515">
        <w:rPr>
          <w:sz w:val="26"/>
          <w:szCs w:val="26"/>
        </w:rPr>
        <w:t>affirm</w:t>
      </w:r>
      <w:r w:rsidR="00776960">
        <w:rPr>
          <w:sz w:val="26"/>
          <w:szCs w:val="26"/>
        </w:rPr>
        <w:t xml:space="preserve"> </w:t>
      </w:r>
      <w:r w:rsidR="003160F1">
        <w:rPr>
          <w:sz w:val="26"/>
          <w:szCs w:val="26"/>
        </w:rPr>
        <w:t xml:space="preserve">the ALJ’s direction </w:t>
      </w:r>
      <w:r w:rsidR="00776960">
        <w:rPr>
          <w:sz w:val="26"/>
          <w:szCs w:val="26"/>
        </w:rPr>
        <w:t>that IDT refund to Mr.</w:t>
      </w:r>
      <w:r w:rsidR="003160F1">
        <w:rPr>
          <w:sz w:val="26"/>
          <w:szCs w:val="26"/>
        </w:rPr>
        <w:t> </w:t>
      </w:r>
      <w:r w:rsidR="00776960">
        <w:rPr>
          <w:sz w:val="26"/>
          <w:szCs w:val="26"/>
        </w:rPr>
        <w:t>Kiback the amount by which it overbilled him compared to PPL’s price to compare in the months of January and February 2014.</w:t>
      </w:r>
    </w:p>
    <w:p w:rsidR="0094128D" w:rsidRDefault="0094128D" w:rsidP="007357F0">
      <w:pPr>
        <w:spacing w:line="360" w:lineRule="auto"/>
        <w:ind w:firstLine="1440"/>
        <w:rPr>
          <w:b/>
          <w:sz w:val="26"/>
          <w:szCs w:val="26"/>
        </w:rPr>
      </w:pPr>
    </w:p>
    <w:p w:rsidR="00FC776E" w:rsidRPr="00FC776E" w:rsidRDefault="00FC776E" w:rsidP="003B221D">
      <w:pPr>
        <w:keepNext/>
        <w:spacing w:line="360" w:lineRule="auto"/>
        <w:jc w:val="center"/>
        <w:rPr>
          <w:b/>
          <w:sz w:val="26"/>
          <w:szCs w:val="26"/>
        </w:rPr>
      </w:pPr>
      <w:r w:rsidRPr="00FC776E">
        <w:rPr>
          <w:b/>
          <w:sz w:val="26"/>
          <w:szCs w:val="26"/>
        </w:rPr>
        <w:lastRenderedPageBreak/>
        <w:t>Conclusion</w:t>
      </w:r>
    </w:p>
    <w:p w:rsidR="00FC776E" w:rsidRPr="00FC776E" w:rsidRDefault="00FC776E" w:rsidP="003B221D">
      <w:pPr>
        <w:keepNext/>
        <w:spacing w:line="360" w:lineRule="auto"/>
        <w:jc w:val="center"/>
        <w:rPr>
          <w:b/>
          <w:sz w:val="26"/>
          <w:szCs w:val="26"/>
        </w:rPr>
      </w:pPr>
    </w:p>
    <w:p w:rsidR="00FC776E" w:rsidRDefault="00FC776E" w:rsidP="002A5A92">
      <w:pPr>
        <w:spacing w:line="360" w:lineRule="auto"/>
        <w:ind w:firstLine="1440"/>
        <w:rPr>
          <w:b/>
          <w:sz w:val="26"/>
          <w:szCs w:val="26"/>
        </w:rPr>
      </w:pPr>
      <w:r w:rsidRPr="00FC776E">
        <w:rPr>
          <w:sz w:val="26"/>
          <w:szCs w:val="26"/>
        </w:rPr>
        <w:t xml:space="preserve">For the </w:t>
      </w:r>
      <w:r w:rsidR="00C648FC">
        <w:rPr>
          <w:sz w:val="26"/>
          <w:szCs w:val="26"/>
        </w:rPr>
        <w:t xml:space="preserve">foregoing reasons, </w:t>
      </w:r>
      <w:r w:rsidR="00D8200D">
        <w:rPr>
          <w:sz w:val="26"/>
          <w:szCs w:val="26"/>
        </w:rPr>
        <w:t>we will</w:t>
      </w:r>
      <w:r w:rsidR="00A21193">
        <w:rPr>
          <w:sz w:val="26"/>
          <w:szCs w:val="26"/>
        </w:rPr>
        <w:t xml:space="preserve"> </w:t>
      </w:r>
      <w:r w:rsidR="00A21193" w:rsidRPr="00A21193">
        <w:rPr>
          <w:sz w:val="26"/>
          <w:szCs w:val="26"/>
        </w:rPr>
        <w:t>adopt the Initial Decision of the Administrative Law Judge</w:t>
      </w:r>
      <w:r w:rsidR="00A6165D">
        <w:rPr>
          <w:sz w:val="26"/>
          <w:szCs w:val="26"/>
        </w:rPr>
        <w:t xml:space="preserve"> as modified herein</w:t>
      </w:r>
      <w:r w:rsidR="00A21193" w:rsidRPr="00A21193">
        <w:rPr>
          <w:sz w:val="26"/>
          <w:szCs w:val="26"/>
        </w:rPr>
        <w:t xml:space="preserve">, deny the Exceptions of the </w:t>
      </w:r>
      <w:r w:rsidR="00A21193">
        <w:rPr>
          <w:sz w:val="26"/>
          <w:szCs w:val="26"/>
        </w:rPr>
        <w:t>IDT</w:t>
      </w:r>
      <w:r w:rsidR="00A21193" w:rsidRPr="00A21193">
        <w:rPr>
          <w:sz w:val="26"/>
          <w:szCs w:val="26"/>
        </w:rPr>
        <w:t xml:space="preserve">, and </w:t>
      </w:r>
      <w:r w:rsidR="00A21193">
        <w:rPr>
          <w:sz w:val="26"/>
          <w:szCs w:val="26"/>
        </w:rPr>
        <w:t>sustain</w:t>
      </w:r>
      <w:r w:rsidR="00A21193" w:rsidRPr="00A21193">
        <w:rPr>
          <w:sz w:val="26"/>
          <w:szCs w:val="26"/>
        </w:rPr>
        <w:t xml:space="preserve"> the Complaint</w:t>
      </w:r>
      <w:r w:rsidR="000F689F">
        <w:rPr>
          <w:sz w:val="26"/>
          <w:szCs w:val="26"/>
        </w:rPr>
        <w:t>,</w:t>
      </w:r>
      <w:r w:rsidR="004D1308">
        <w:rPr>
          <w:sz w:val="26"/>
          <w:szCs w:val="26"/>
        </w:rPr>
        <w:t xml:space="preserve"> </w:t>
      </w:r>
      <w:r w:rsidR="000F689F">
        <w:rPr>
          <w:sz w:val="26"/>
          <w:szCs w:val="26"/>
        </w:rPr>
        <w:t xml:space="preserve">all consistent with this Opinion and Order; </w:t>
      </w:r>
      <w:r w:rsidR="00590E23">
        <w:rPr>
          <w:b/>
          <w:sz w:val="26"/>
          <w:szCs w:val="26"/>
        </w:rPr>
        <w:t>THEREFORE,</w:t>
      </w:r>
    </w:p>
    <w:p w:rsidR="00FC776E" w:rsidRDefault="00FC776E" w:rsidP="002A5A92">
      <w:pPr>
        <w:spacing w:line="360" w:lineRule="auto"/>
        <w:ind w:firstLine="1440"/>
        <w:rPr>
          <w:b/>
          <w:sz w:val="26"/>
          <w:szCs w:val="26"/>
        </w:rPr>
      </w:pPr>
    </w:p>
    <w:p w:rsidR="00FC776E" w:rsidRDefault="00CB5982" w:rsidP="003B221D">
      <w:pPr>
        <w:keepNext/>
        <w:spacing w:line="360" w:lineRule="auto"/>
        <w:ind w:firstLine="1440"/>
        <w:rPr>
          <w:b/>
          <w:sz w:val="26"/>
          <w:szCs w:val="26"/>
        </w:rPr>
      </w:pPr>
      <w:r>
        <w:rPr>
          <w:b/>
          <w:sz w:val="26"/>
          <w:szCs w:val="26"/>
        </w:rPr>
        <w:t>IT IS ORDERED:</w:t>
      </w:r>
    </w:p>
    <w:p w:rsidR="00E65EBC" w:rsidRDefault="00590E23" w:rsidP="002A5A92">
      <w:pPr>
        <w:spacing w:line="360" w:lineRule="auto"/>
        <w:ind w:firstLine="1440"/>
        <w:rPr>
          <w:sz w:val="26"/>
          <w:szCs w:val="26"/>
        </w:rPr>
      </w:pPr>
      <w:r>
        <w:rPr>
          <w:sz w:val="26"/>
          <w:szCs w:val="26"/>
        </w:rPr>
        <w:t>1.</w:t>
      </w:r>
      <w:r w:rsidR="0079143A">
        <w:rPr>
          <w:sz w:val="26"/>
          <w:szCs w:val="26"/>
        </w:rPr>
        <w:tab/>
      </w:r>
      <w:r>
        <w:rPr>
          <w:sz w:val="26"/>
          <w:szCs w:val="26"/>
        </w:rPr>
        <w:t xml:space="preserve">That </w:t>
      </w:r>
      <w:r w:rsidR="000B2A5C">
        <w:rPr>
          <w:sz w:val="26"/>
          <w:szCs w:val="26"/>
        </w:rPr>
        <w:t xml:space="preserve">the </w:t>
      </w:r>
      <w:r w:rsidR="004D1308">
        <w:rPr>
          <w:sz w:val="26"/>
          <w:szCs w:val="26"/>
        </w:rPr>
        <w:t xml:space="preserve">Exceptions filed by </w:t>
      </w:r>
      <w:r w:rsidR="002D20AC">
        <w:rPr>
          <w:sz w:val="26"/>
          <w:szCs w:val="26"/>
        </w:rPr>
        <w:t xml:space="preserve">IDT Energy, Inc. </w:t>
      </w:r>
      <w:r w:rsidR="004D1308">
        <w:rPr>
          <w:sz w:val="26"/>
          <w:szCs w:val="26"/>
        </w:rPr>
        <w:t xml:space="preserve">on </w:t>
      </w:r>
      <w:r w:rsidR="002D20AC">
        <w:rPr>
          <w:sz w:val="26"/>
          <w:szCs w:val="26"/>
        </w:rPr>
        <w:t>March 9</w:t>
      </w:r>
      <w:r w:rsidR="006C0C15">
        <w:rPr>
          <w:sz w:val="26"/>
          <w:szCs w:val="26"/>
        </w:rPr>
        <w:t>, 201</w:t>
      </w:r>
      <w:r w:rsidR="002D20AC">
        <w:rPr>
          <w:sz w:val="26"/>
          <w:szCs w:val="26"/>
        </w:rPr>
        <w:t>5</w:t>
      </w:r>
      <w:r w:rsidR="006C0C15">
        <w:rPr>
          <w:sz w:val="26"/>
          <w:szCs w:val="26"/>
        </w:rPr>
        <w:t xml:space="preserve">, </w:t>
      </w:r>
      <w:r w:rsidR="004D1308">
        <w:rPr>
          <w:sz w:val="26"/>
          <w:szCs w:val="26"/>
        </w:rPr>
        <w:t xml:space="preserve">are </w:t>
      </w:r>
      <w:r w:rsidR="002D20AC">
        <w:rPr>
          <w:sz w:val="26"/>
          <w:szCs w:val="26"/>
        </w:rPr>
        <w:t>denied</w:t>
      </w:r>
      <w:r w:rsidR="004D1308">
        <w:rPr>
          <w:sz w:val="26"/>
          <w:szCs w:val="26"/>
        </w:rPr>
        <w:t>.</w:t>
      </w:r>
    </w:p>
    <w:p w:rsidR="00E65EBC" w:rsidRDefault="00E65EBC" w:rsidP="002A5A92">
      <w:pPr>
        <w:spacing w:line="360" w:lineRule="auto"/>
        <w:ind w:firstLine="1440"/>
        <w:rPr>
          <w:sz w:val="26"/>
          <w:szCs w:val="26"/>
        </w:rPr>
      </w:pPr>
    </w:p>
    <w:p w:rsidR="006C0C15" w:rsidRDefault="00E65EBC" w:rsidP="009836E9">
      <w:pPr>
        <w:spacing w:line="360" w:lineRule="auto"/>
        <w:ind w:firstLine="1440"/>
        <w:rPr>
          <w:sz w:val="26"/>
          <w:szCs w:val="26"/>
        </w:rPr>
      </w:pPr>
      <w:r>
        <w:rPr>
          <w:sz w:val="26"/>
          <w:szCs w:val="26"/>
        </w:rPr>
        <w:t>2.</w:t>
      </w:r>
      <w:r>
        <w:rPr>
          <w:sz w:val="26"/>
          <w:szCs w:val="26"/>
        </w:rPr>
        <w:tab/>
      </w:r>
      <w:r w:rsidR="00FA0A47">
        <w:rPr>
          <w:sz w:val="26"/>
          <w:szCs w:val="26"/>
        </w:rPr>
        <w:t xml:space="preserve">That the </w:t>
      </w:r>
      <w:r w:rsidR="004D1308">
        <w:rPr>
          <w:sz w:val="26"/>
          <w:szCs w:val="26"/>
        </w:rPr>
        <w:t>Initial Decision</w:t>
      </w:r>
      <w:r w:rsidR="00A573A6" w:rsidRPr="00A573A6">
        <w:rPr>
          <w:sz w:val="26"/>
          <w:szCs w:val="26"/>
        </w:rPr>
        <w:t xml:space="preserve"> </w:t>
      </w:r>
      <w:r w:rsidR="004D1308">
        <w:rPr>
          <w:sz w:val="26"/>
          <w:szCs w:val="26"/>
        </w:rPr>
        <w:t xml:space="preserve">of Administrative Law Judge </w:t>
      </w:r>
      <w:r w:rsidR="00EA4755">
        <w:rPr>
          <w:sz w:val="26"/>
          <w:szCs w:val="26"/>
        </w:rPr>
        <w:t>Joel H. Cheskis</w:t>
      </w:r>
      <w:r w:rsidR="006C0C15">
        <w:rPr>
          <w:sz w:val="26"/>
          <w:szCs w:val="26"/>
        </w:rPr>
        <w:t xml:space="preserve"> </w:t>
      </w:r>
      <w:r w:rsidR="00FE5E6D">
        <w:rPr>
          <w:sz w:val="26"/>
          <w:szCs w:val="26"/>
        </w:rPr>
        <w:t xml:space="preserve">issued </w:t>
      </w:r>
      <w:r w:rsidR="004D1308">
        <w:rPr>
          <w:sz w:val="26"/>
          <w:szCs w:val="26"/>
        </w:rPr>
        <w:t xml:space="preserve">on </w:t>
      </w:r>
      <w:r w:rsidR="00EA4755">
        <w:rPr>
          <w:sz w:val="26"/>
          <w:szCs w:val="26"/>
        </w:rPr>
        <w:t xml:space="preserve">February 17, 2015, </w:t>
      </w:r>
      <w:r w:rsidR="004D1308">
        <w:rPr>
          <w:sz w:val="26"/>
          <w:szCs w:val="26"/>
        </w:rPr>
        <w:t xml:space="preserve">is </w:t>
      </w:r>
      <w:r w:rsidR="002D20AC">
        <w:rPr>
          <w:sz w:val="26"/>
          <w:szCs w:val="26"/>
        </w:rPr>
        <w:t>adopted</w:t>
      </w:r>
      <w:r w:rsidR="00A6165D">
        <w:rPr>
          <w:sz w:val="26"/>
          <w:szCs w:val="26"/>
        </w:rPr>
        <w:t xml:space="preserve"> as modified</w:t>
      </w:r>
      <w:r w:rsidR="004D1308">
        <w:rPr>
          <w:sz w:val="26"/>
          <w:szCs w:val="26"/>
        </w:rPr>
        <w:t>.</w:t>
      </w:r>
    </w:p>
    <w:p w:rsidR="006C0C15" w:rsidRDefault="006C0C15" w:rsidP="006C0C15">
      <w:pPr>
        <w:spacing w:line="360" w:lineRule="auto"/>
        <w:rPr>
          <w:sz w:val="26"/>
          <w:szCs w:val="26"/>
        </w:rPr>
      </w:pPr>
    </w:p>
    <w:p w:rsidR="000B2A5C" w:rsidRDefault="006C0C15" w:rsidP="006C0C15">
      <w:pPr>
        <w:tabs>
          <w:tab w:val="left" w:pos="1440"/>
        </w:tabs>
        <w:spacing w:line="360" w:lineRule="auto"/>
        <w:ind w:firstLine="720"/>
        <w:rPr>
          <w:sz w:val="26"/>
          <w:szCs w:val="26"/>
        </w:rPr>
      </w:pPr>
      <w:r>
        <w:rPr>
          <w:sz w:val="26"/>
          <w:szCs w:val="26"/>
        </w:rPr>
        <w:tab/>
      </w:r>
      <w:r w:rsidR="005B5A86">
        <w:rPr>
          <w:sz w:val="26"/>
          <w:szCs w:val="26"/>
        </w:rPr>
        <w:t>3</w:t>
      </w:r>
      <w:r w:rsidR="004D1308">
        <w:rPr>
          <w:sz w:val="26"/>
          <w:szCs w:val="26"/>
        </w:rPr>
        <w:t>.</w:t>
      </w:r>
      <w:r w:rsidR="004D1308">
        <w:rPr>
          <w:sz w:val="26"/>
          <w:szCs w:val="26"/>
        </w:rPr>
        <w:tab/>
      </w:r>
      <w:r w:rsidR="000B2A5C">
        <w:rPr>
          <w:sz w:val="26"/>
          <w:szCs w:val="26"/>
        </w:rPr>
        <w:t xml:space="preserve">That the </w:t>
      </w:r>
      <w:r w:rsidR="002D20AC">
        <w:rPr>
          <w:sz w:val="26"/>
          <w:szCs w:val="26"/>
        </w:rPr>
        <w:t xml:space="preserve">Formal Complaint </w:t>
      </w:r>
      <w:r>
        <w:rPr>
          <w:sz w:val="26"/>
          <w:szCs w:val="26"/>
        </w:rPr>
        <w:t xml:space="preserve">filed by </w:t>
      </w:r>
      <w:r w:rsidR="002D20AC">
        <w:rPr>
          <w:sz w:val="26"/>
          <w:szCs w:val="26"/>
        </w:rPr>
        <w:t xml:space="preserve">Stephen Kiback against IDT Energy, Inc. </w:t>
      </w:r>
      <w:r>
        <w:rPr>
          <w:sz w:val="26"/>
          <w:szCs w:val="26"/>
        </w:rPr>
        <w:t xml:space="preserve">on </w:t>
      </w:r>
      <w:r w:rsidR="00EA4755">
        <w:rPr>
          <w:sz w:val="26"/>
          <w:szCs w:val="26"/>
        </w:rPr>
        <w:t>March 4</w:t>
      </w:r>
      <w:r>
        <w:rPr>
          <w:sz w:val="26"/>
          <w:szCs w:val="26"/>
        </w:rPr>
        <w:t xml:space="preserve">, 2014, </w:t>
      </w:r>
      <w:r w:rsidR="002D20AC">
        <w:rPr>
          <w:sz w:val="26"/>
          <w:szCs w:val="26"/>
        </w:rPr>
        <w:t xml:space="preserve">at Docket No. C-2014-2409676 </w:t>
      </w:r>
      <w:r w:rsidR="00EB5F4B">
        <w:rPr>
          <w:sz w:val="26"/>
          <w:szCs w:val="26"/>
        </w:rPr>
        <w:t xml:space="preserve">is </w:t>
      </w:r>
      <w:r w:rsidR="002D20AC">
        <w:rPr>
          <w:sz w:val="26"/>
          <w:szCs w:val="26"/>
        </w:rPr>
        <w:t>sustained</w:t>
      </w:r>
      <w:r w:rsidR="00EB5F4B">
        <w:rPr>
          <w:sz w:val="26"/>
          <w:szCs w:val="26"/>
        </w:rPr>
        <w:t>.</w:t>
      </w:r>
    </w:p>
    <w:p w:rsidR="007714B1" w:rsidRDefault="007714B1" w:rsidP="006C0C15">
      <w:pPr>
        <w:tabs>
          <w:tab w:val="left" w:pos="1440"/>
        </w:tabs>
        <w:spacing w:line="360" w:lineRule="auto"/>
        <w:ind w:firstLine="720"/>
        <w:rPr>
          <w:sz w:val="26"/>
          <w:szCs w:val="26"/>
        </w:rPr>
      </w:pPr>
    </w:p>
    <w:p w:rsidR="007714B1" w:rsidRDefault="007714B1" w:rsidP="006C0C15">
      <w:pPr>
        <w:tabs>
          <w:tab w:val="left" w:pos="1440"/>
        </w:tabs>
        <w:spacing w:line="360" w:lineRule="auto"/>
        <w:ind w:firstLine="720"/>
        <w:rPr>
          <w:sz w:val="26"/>
          <w:szCs w:val="26"/>
        </w:rPr>
      </w:pPr>
      <w:r>
        <w:rPr>
          <w:sz w:val="26"/>
          <w:szCs w:val="26"/>
        </w:rPr>
        <w:tab/>
        <w:t>4.</w:t>
      </w:r>
      <w:r>
        <w:rPr>
          <w:sz w:val="26"/>
          <w:szCs w:val="26"/>
        </w:rPr>
        <w:tab/>
        <w:t xml:space="preserve">That IDT </w:t>
      </w:r>
      <w:r w:rsidR="002D20AC">
        <w:rPr>
          <w:sz w:val="26"/>
          <w:szCs w:val="26"/>
        </w:rPr>
        <w:t xml:space="preserve">Energy, Inc. </w:t>
      </w:r>
      <w:r w:rsidRPr="007714B1">
        <w:rPr>
          <w:sz w:val="26"/>
          <w:szCs w:val="26"/>
        </w:rPr>
        <w:t>comput</w:t>
      </w:r>
      <w:r>
        <w:rPr>
          <w:sz w:val="26"/>
          <w:szCs w:val="26"/>
        </w:rPr>
        <w:t>e</w:t>
      </w:r>
      <w:r w:rsidRPr="007714B1">
        <w:rPr>
          <w:sz w:val="26"/>
          <w:szCs w:val="26"/>
        </w:rPr>
        <w:t xml:space="preserve"> and refund to the Complainant </w:t>
      </w:r>
      <w:r w:rsidR="002D20AC">
        <w:rPr>
          <w:sz w:val="26"/>
          <w:szCs w:val="26"/>
        </w:rPr>
        <w:t xml:space="preserve">the difference between the price billed and the PPL price-to-compare </w:t>
      </w:r>
      <w:r w:rsidR="00EA4755">
        <w:rPr>
          <w:sz w:val="26"/>
          <w:szCs w:val="26"/>
        </w:rPr>
        <w:t xml:space="preserve">in effect for </w:t>
      </w:r>
      <w:r w:rsidR="002D20AC">
        <w:rPr>
          <w:sz w:val="26"/>
          <w:szCs w:val="26"/>
        </w:rPr>
        <w:t xml:space="preserve">the months of January and February 2014 </w:t>
      </w:r>
      <w:r w:rsidRPr="007714B1">
        <w:rPr>
          <w:sz w:val="26"/>
          <w:szCs w:val="26"/>
        </w:rPr>
        <w:t>within thirty days of the date of entry of this Opinion and Order</w:t>
      </w:r>
      <w:r w:rsidR="003160F1">
        <w:rPr>
          <w:sz w:val="26"/>
          <w:szCs w:val="26"/>
        </w:rPr>
        <w:t>.</w:t>
      </w:r>
    </w:p>
    <w:p w:rsidR="006C0C15" w:rsidRPr="00FC660E" w:rsidRDefault="006C0C15" w:rsidP="006C0C15">
      <w:pPr>
        <w:tabs>
          <w:tab w:val="left" w:pos="1440"/>
        </w:tabs>
        <w:spacing w:line="360" w:lineRule="auto"/>
        <w:ind w:firstLine="720"/>
        <w:rPr>
          <w:sz w:val="16"/>
          <w:szCs w:val="16"/>
        </w:rPr>
      </w:pPr>
    </w:p>
    <w:p w:rsidR="002D20AC" w:rsidRDefault="002D20AC" w:rsidP="002D20AC">
      <w:pPr>
        <w:pStyle w:val="PlainText"/>
        <w:tabs>
          <w:tab w:val="left" w:pos="1440"/>
        </w:tabs>
        <w:spacing w:line="360" w:lineRule="auto"/>
        <w:ind w:firstLine="720"/>
        <w:rPr>
          <w:rFonts w:ascii="Times New Roman" w:hAnsi="Times New Roman" w:cs="Times New Roman"/>
          <w:sz w:val="26"/>
          <w:szCs w:val="26"/>
        </w:rPr>
      </w:pPr>
      <w:r>
        <w:rPr>
          <w:rFonts w:ascii="Times New Roman" w:hAnsi="Times New Roman" w:cs="Times New Roman"/>
          <w:sz w:val="26"/>
          <w:szCs w:val="26"/>
        </w:rPr>
        <w:tab/>
        <w:t>5</w:t>
      </w:r>
      <w:r w:rsidRPr="004240E7">
        <w:rPr>
          <w:rFonts w:ascii="Times New Roman" w:hAnsi="Times New Roman" w:cs="Times New Roman"/>
          <w:sz w:val="26"/>
          <w:szCs w:val="26"/>
        </w:rPr>
        <w:t>.</w:t>
      </w:r>
      <w:r w:rsidRPr="004240E7">
        <w:rPr>
          <w:rFonts w:ascii="Times New Roman" w:hAnsi="Times New Roman" w:cs="Times New Roman"/>
          <w:sz w:val="26"/>
          <w:szCs w:val="26"/>
        </w:rPr>
        <w:tab/>
        <w:t>That</w:t>
      </w:r>
      <w:r>
        <w:rPr>
          <w:rFonts w:ascii="Times New Roman" w:hAnsi="Times New Roman" w:cs="Times New Roman"/>
          <w:sz w:val="26"/>
          <w:szCs w:val="26"/>
        </w:rPr>
        <w:t>, in accordance with Section 3301 of the Public Utility Code, 66 Pa. C.S. § 3301, within thirty (30) days of receipt of this Opinion and Order,</w:t>
      </w:r>
      <w:r w:rsidRPr="004240E7">
        <w:rPr>
          <w:rFonts w:ascii="Times New Roman" w:hAnsi="Times New Roman" w:cs="Times New Roman"/>
          <w:sz w:val="26"/>
          <w:szCs w:val="26"/>
        </w:rPr>
        <w:t xml:space="preserve"> </w:t>
      </w:r>
      <w:r>
        <w:rPr>
          <w:rFonts w:ascii="Times New Roman" w:hAnsi="Times New Roman" w:cs="Times New Roman"/>
          <w:sz w:val="26"/>
          <w:szCs w:val="26"/>
        </w:rPr>
        <w:t xml:space="preserve">IDT Energy, Inc. </w:t>
      </w:r>
      <w:r w:rsidRPr="004240E7">
        <w:rPr>
          <w:rFonts w:ascii="Times New Roman" w:hAnsi="Times New Roman" w:cs="Times New Roman"/>
          <w:sz w:val="26"/>
          <w:szCs w:val="26"/>
        </w:rPr>
        <w:t xml:space="preserve">shall pay a </w:t>
      </w:r>
      <w:r>
        <w:rPr>
          <w:rFonts w:ascii="Times New Roman" w:hAnsi="Times New Roman" w:cs="Times New Roman"/>
          <w:sz w:val="26"/>
          <w:szCs w:val="26"/>
        </w:rPr>
        <w:t>civil penalty in the amount of Two Thousand Dollars ($2,0</w:t>
      </w:r>
      <w:r w:rsidRPr="004240E7">
        <w:rPr>
          <w:rFonts w:ascii="Times New Roman" w:hAnsi="Times New Roman" w:cs="Times New Roman"/>
          <w:sz w:val="26"/>
          <w:szCs w:val="26"/>
        </w:rPr>
        <w:t>00</w:t>
      </w:r>
      <w:r>
        <w:rPr>
          <w:rFonts w:ascii="Times New Roman" w:hAnsi="Times New Roman" w:cs="Times New Roman"/>
          <w:sz w:val="26"/>
          <w:szCs w:val="26"/>
        </w:rPr>
        <w:t>.00</w:t>
      </w:r>
      <w:r w:rsidRPr="004240E7">
        <w:rPr>
          <w:rFonts w:ascii="Times New Roman" w:hAnsi="Times New Roman" w:cs="Times New Roman"/>
          <w:sz w:val="26"/>
          <w:szCs w:val="26"/>
        </w:rPr>
        <w:t>) for the vi</w:t>
      </w:r>
      <w:r>
        <w:rPr>
          <w:rFonts w:ascii="Times New Roman" w:hAnsi="Times New Roman" w:cs="Times New Roman"/>
          <w:sz w:val="26"/>
          <w:szCs w:val="26"/>
        </w:rPr>
        <w:t>olation of the Public Utility Commission’s Regulation</w:t>
      </w:r>
      <w:r w:rsidR="00731CEA">
        <w:rPr>
          <w:rFonts w:ascii="Times New Roman" w:hAnsi="Times New Roman" w:cs="Times New Roman"/>
          <w:sz w:val="26"/>
          <w:szCs w:val="26"/>
        </w:rPr>
        <w:t xml:space="preserve"> at 52 Pa. Code § 54.4(a) and</w:t>
      </w:r>
      <w:r w:rsidR="00CB6432">
        <w:rPr>
          <w:rFonts w:ascii="Times New Roman" w:hAnsi="Times New Roman" w:cs="Times New Roman"/>
          <w:sz w:val="26"/>
          <w:szCs w:val="26"/>
        </w:rPr>
        <w:t xml:space="preserve"> the </w:t>
      </w:r>
      <w:r w:rsidR="00CB6432" w:rsidRPr="00A910BC">
        <w:rPr>
          <w:rFonts w:ascii="Times New Roman" w:hAnsi="Times New Roman" w:cs="Times New Roman"/>
          <w:i/>
          <w:sz w:val="26"/>
          <w:szCs w:val="26"/>
        </w:rPr>
        <w:t>2010 Interim Guidelines</w:t>
      </w:r>
      <w:r w:rsidR="00CB6432">
        <w:rPr>
          <w:rFonts w:ascii="Times New Roman" w:hAnsi="Times New Roman" w:cs="Times New Roman"/>
          <w:sz w:val="26"/>
          <w:szCs w:val="26"/>
        </w:rPr>
        <w:t xml:space="preserve"> at Section H.2</w:t>
      </w:r>
      <w:r>
        <w:rPr>
          <w:rFonts w:ascii="Times New Roman" w:hAnsi="Times New Roman" w:cs="Times New Roman"/>
          <w:sz w:val="26"/>
          <w:szCs w:val="26"/>
        </w:rPr>
        <w:t>.  C</w:t>
      </w:r>
      <w:r w:rsidRPr="004240E7">
        <w:rPr>
          <w:rFonts w:ascii="Times New Roman" w:hAnsi="Times New Roman" w:cs="Times New Roman"/>
          <w:sz w:val="26"/>
          <w:szCs w:val="26"/>
        </w:rPr>
        <w:t>ertified check or money order</w:t>
      </w:r>
      <w:r>
        <w:rPr>
          <w:rFonts w:ascii="Times New Roman" w:hAnsi="Times New Roman" w:cs="Times New Roman"/>
          <w:sz w:val="26"/>
          <w:szCs w:val="26"/>
        </w:rPr>
        <w:t xml:space="preserve"> in that amount shall be made payable to “Commonwealth of Pennsylvania” </w:t>
      </w:r>
      <w:r w:rsidRPr="004240E7">
        <w:rPr>
          <w:rFonts w:ascii="Times New Roman" w:hAnsi="Times New Roman" w:cs="Times New Roman"/>
          <w:sz w:val="26"/>
          <w:szCs w:val="26"/>
        </w:rPr>
        <w:t xml:space="preserve">and </w:t>
      </w:r>
      <w:r>
        <w:rPr>
          <w:rFonts w:ascii="Times New Roman" w:hAnsi="Times New Roman" w:cs="Times New Roman"/>
          <w:sz w:val="26"/>
          <w:szCs w:val="26"/>
        </w:rPr>
        <w:t>sent addressed as follow</w:t>
      </w:r>
      <w:r w:rsidRPr="002D20AC">
        <w:rPr>
          <w:rFonts w:ascii="Times New Roman" w:hAnsi="Times New Roman" w:cs="Times New Roman"/>
          <w:sz w:val="26"/>
          <w:szCs w:val="26"/>
        </w:rPr>
        <w:t>s:</w:t>
      </w:r>
    </w:p>
    <w:p w:rsidR="00731CEA" w:rsidRDefault="00731CEA" w:rsidP="002D20AC">
      <w:pPr>
        <w:pStyle w:val="PlainText"/>
        <w:tabs>
          <w:tab w:val="left" w:pos="1440"/>
        </w:tabs>
        <w:spacing w:line="360" w:lineRule="auto"/>
        <w:ind w:firstLine="720"/>
        <w:rPr>
          <w:rFonts w:ascii="Times New Roman" w:hAnsi="Times New Roman" w:cs="Times New Roman"/>
          <w:sz w:val="16"/>
          <w:szCs w:val="16"/>
        </w:rPr>
      </w:pPr>
    </w:p>
    <w:p w:rsidR="00CE1E14" w:rsidRPr="00FC660E" w:rsidRDefault="00CE1E14" w:rsidP="002D20AC">
      <w:pPr>
        <w:pStyle w:val="PlainText"/>
        <w:tabs>
          <w:tab w:val="left" w:pos="1440"/>
        </w:tabs>
        <w:spacing w:line="360" w:lineRule="auto"/>
        <w:ind w:firstLine="720"/>
        <w:rPr>
          <w:rFonts w:ascii="Times New Roman" w:hAnsi="Times New Roman" w:cs="Times New Roman"/>
          <w:sz w:val="16"/>
          <w:szCs w:val="16"/>
        </w:rPr>
      </w:pPr>
    </w:p>
    <w:p w:rsidR="002D20AC" w:rsidRPr="002D20AC" w:rsidRDefault="002D20AC" w:rsidP="00731CEA">
      <w:pPr>
        <w:suppressAutoHyphens/>
        <w:rPr>
          <w:sz w:val="26"/>
          <w:szCs w:val="26"/>
        </w:rPr>
      </w:pPr>
      <w:r w:rsidRPr="002D20AC">
        <w:rPr>
          <w:sz w:val="26"/>
          <w:szCs w:val="26"/>
        </w:rPr>
        <w:lastRenderedPageBreak/>
        <w:tab/>
      </w:r>
      <w:r w:rsidRPr="002D20AC">
        <w:rPr>
          <w:sz w:val="26"/>
          <w:szCs w:val="26"/>
        </w:rPr>
        <w:tab/>
      </w:r>
      <w:r w:rsidRPr="002D20AC">
        <w:rPr>
          <w:sz w:val="26"/>
          <w:szCs w:val="26"/>
        </w:rPr>
        <w:tab/>
      </w:r>
      <w:r w:rsidRPr="002D20AC">
        <w:rPr>
          <w:sz w:val="26"/>
          <w:szCs w:val="26"/>
        </w:rPr>
        <w:tab/>
        <w:t>Secretary</w:t>
      </w:r>
    </w:p>
    <w:p w:rsidR="002D20AC" w:rsidRPr="002D20AC" w:rsidRDefault="002D20AC" w:rsidP="00731CEA">
      <w:pPr>
        <w:suppressAutoHyphens/>
        <w:rPr>
          <w:sz w:val="26"/>
          <w:szCs w:val="26"/>
        </w:rPr>
      </w:pPr>
      <w:r w:rsidRPr="002D20AC">
        <w:rPr>
          <w:sz w:val="26"/>
          <w:szCs w:val="26"/>
        </w:rPr>
        <w:tab/>
      </w:r>
      <w:r w:rsidRPr="002D20AC">
        <w:rPr>
          <w:sz w:val="26"/>
          <w:szCs w:val="26"/>
        </w:rPr>
        <w:tab/>
      </w:r>
      <w:r w:rsidRPr="002D20AC">
        <w:rPr>
          <w:sz w:val="26"/>
          <w:szCs w:val="26"/>
        </w:rPr>
        <w:tab/>
      </w:r>
      <w:r w:rsidRPr="002D20AC">
        <w:rPr>
          <w:sz w:val="26"/>
          <w:szCs w:val="26"/>
        </w:rPr>
        <w:tab/>
        <w:t>Pennsylvania Public Utility Commission</w:t>
      </w:r>
    </w:p>
    <w:p w:rsidR="002D20AC" w:rsidRPr="002D20AC" w:rsidRDefault="002D20AC" w:rsidP="002D20AC">
      <w:pPr>
        <w:suppressAutoHyphens/>
        <w:rPr>
          <w:sz w:val="26"/>
          <w:szCs w:val="26"/>
        </w:rPr>
      </w:pPr>
      <w:r w:rsidRPr="002D20AC">
        <w:rPr>
          <w:sz w:val="26"/>
          <w:szCs w:val="26"/>
        </w:rPr>
        <w:tab/>
      </w:r>
      <w:r w:rsidRPr="002D20AC">
        <w:rPr>
          <w:sz w:val="26"/>
          <w:szCs w:val="26"/>
        </w:rPr>
        <w:tab/>
      </w:r>
      <w:r w:rsidRPr="002D20AC">
        <w:rPr>
          <w:sz w:val="26"/>
          <w:szCs w:val="26"/>
        </w:rPr>
        <w:tab/>
      </w:r>
      <w:r w:rsidRPr="002D20AC">
        <w:rPr>
          <w:sz w:val="26"/>
          <w:szCs w:val="26"/>
        </w:rPr>
        <w:tab/>
        <w:t>P.O. Box 3265</w:t>
      </w:r>
    </w:p>
    <w:p w:rsidR="002D20AC" w:rsidRDefault="002D20AC" w:rsidP="002D20AC">
      <w:pPr>
        <w:suppressAutoHyphens/>
        <w:rPr>
          <w:sz w:val="26"/>
          <w:szCs w:val="26"/>
        </w:rPr>
      </w:pPr>
      <w:r w:rsidRPr="002D20AC">
        <w:rPr>
          <w:sz w:val="26"/>
          <w:szCs w:val="26"/>
        </w:rPr>
        <w:tab/>
      </w:r>
      <w:r w:rsidRPr="002D20AC">
        <w:rPr>
          <w:sz w:val="26"/>
          <w:szCs w:val="26"/>
        </w:rPr>
        <w:tab/>
      </w:r>
      <w:r w:rsidRPr="002D20AC">
        <w:rPr>
          <w:sz w:val="26"/>
          <w:szCs w:val="26"/>
        </w:rPr>
        <w:tab/>
      </w:r>
      <w:r w:rsidRPr="002D20AC">
        <w:rPr>
          <w:sz w:val="26"/>
          <w:szCs w:val="26"/>
        </w:rPr>
        <w:tab/>
        <w:t>Harrisburg, PA  17105-3265</w:t>
      </w:r>
    </w:p>
    <w:p w:rsidR="002D20AC" w:rsidRPr="002D20AC" w:rsidRDefault="002D20AC" w:rsidP="002D20AC">
      <w:pPr>
        <w:suppressAutoHyphens/>
        <w:rPr>
          <w:sz w:val="26"/>
          <w:szCs w:val="26"/>
        </w:rPr>
      </w:pPr>
    </w:p>
    <w:p w:rsidR="002D20AC" w:rsidRPr="00FC660E" w:rsidRDefault="002D20AC" w:rsidP="002D20AC">
      <w:pPr>
        <w:suppressAutoHyphens/>
        <w:rPr>
          <w:sz w:val="16"/>
          <w:szCs w:val="16"/>
        </w:rPr>
      </w:pPr>
    </w:p>
    <w:p w:rsidR="002D20AC" w:rsidRPr="002D20AC" w:rsidRDefault="002D20AC" w:rsidP="002D20AC">
      <w:pPr>
        <w:pStyle w:val="PlainText"/>
        <w:spacing w:line="360" w:lineRule="auto"/>
        <w:rPr>
          <w:rFonts w:ascii="Times New Roman" w:hAnsi="Times New Roman" w:cs="Times New Roman"/>
          <w:sz w:val="26"/>
          <w:szCs w:val="26"/>
        </w:rPr>
      </w:pPr>
      <w:r w:rsidRPr="004240E7">
        <w:rPr>
          <w:sz w:val="26"/>
          <w:szCs w:val="26"/>
        </w:rPr>
        <w:tab/>
      </w:r>
      <w:r w:rsidRPr="004240E7">
        <w:rPr>
          <w:sz w:val="26"/>
          <w:szCs w:val="26"/>
        </w:rPr>
        <w:tab/>
      </w:r>
      <w:r w:rsidRPr="002D20AC">
        <w:rPr>
          <w:rFonts w:ascii="Times New Roman" w:hAnsi="Times New Roman" w:cs="Times New Roman"/>
          <w:sz w:val="26"/>
          <w:szCs w:val="26"/>
        </w:rPr>
        <w:t>6.</w:t>
      </w:r>
      <w:r w:rsidRPr="002D20AC">
        <w:rPr>
          <w:rFonts w:ascii="Times New Roman" w:hAnsi="Times New Roman" w:cs="Times New Roman"/>
          <w:sz w:val="26"/>
          <w:szCs w:val="26"/>
        </w:rPr>
        <w:tab/>
        <w:t>That IDT Energy, Inc. cease and desist from further violations of the Public Utility Commission’s Regulations.</w:t>
      </w:r>
    </w:p>
    <w:p w:rsidR="002D20AC" w:rsidRPr="00FC660E" w:rsidRDefault="002D20AC" w:rsidP="002D20AC">
      <w:pPr>
        <w:suppressAutoHyphens/>
        <w:rPr>
          <w:sz w:val="16"/>
          <w:szCs w:val="16"/>
        </w:rPr>
      </w:pPr>
      <w:r w:rsidRPr="002D20AC">
        <w:rPr>
          <w:szCs w:val="26"/>
        </w:rPr>
        <w:tab/>
      </w:r>
    </w:p>
    <w:p w:rsidR="002D20AC" w:rsidRPr="002D20AC" w:rsidRDefault="002D20AC" w:rsidP="002D20AC">
      <w:pPr>
        <w:suppressAutoHyphens/>
        <w:spacing w:line="360" w:lineRule="auto"/>
        <w:ind w:firstLine="1440"/>
        <w:rPr>
          <w:sz w:val="26"/>
          <w:szCs w:val="26"/>
        </w:rPr>
      </w:pPr>
      <w:r w:rsidRPr="002D20AC">
        <w:rPr>
          <w:sz w:val="26"/>
          <w:szCs w:val="26"/>
        </w:rPr>
        <w:t>7.</w:t>
      </w:r>
      <w:r w:rsidRPr="002D20AC">
        <w:rPr>
          <w:sz w:val="26"/>
          <w:szCs w:val="26"/>
        </w:rPr>
        <w:tab/>
        <w:t>That a copy of this Opinion and Order be served upon the Financial and Assessment Chief, Office of Administrative Services.</w:t>
      </w:r>
    </w:p>
    <w:p w:rsidR="002D20AC" w:rsidRPr="00FC660E" w:rsidRDefault="002D20AC" w:rsidP="002D20AC">
      <w:pPr>
        <w:suppressAutoHyphens/>
        <w:spacing w:line="360" w:lineRule="auto"/>
        <w:ind w:firstLine="1440"/>
        <w:rPr>
          <w:sz w:val="16"/>
          <w:szCs w:val="16"/>
        </w:rPr>
      </w:pPr>
    </w:p>
    <w:p w:rsidR="003B03A6" w:rsidRPr="002D20AC" w:rsidRDefault="002D20AC" w:rsidP="002D20AC">
      <w:pPr>
        <w:spacing w:line="360" w:lineRule="auto"/>
        <w:ind w:firstLine="1440"/>
        <w:rPr>
          <w:sz w:val="26"/>
          <w:szCs w:val="26"/>
        </w:rPr>
      </w:pPr>
      <w:r w:rsidRPr="002D20AC">
        <w:rPr>
          <w:sz w:val="26"/>
          <w:szCs w:val="26"/>
        </w:rPr>
        <w:t>8.</w:t>
      </w:r>
      <w:r w:rsidRPr="002D20AC">
        <w:rPr>
          <w:sz w:val="26"/>
          <w:szCs w:val="26"/>
        </w:rPr>
        <w:tab/>
        <w:t>That the proceeding docketed at C-2014-2409676 be marked closed upon payment of the penalty described in Ordering</w:t>
      </w:r>
      <w:r>
        <w:rPr>
          <w:sz w:val="26"/>
          <w:szCs w:val="26"/>
        </w:rPr>
        <w:t xml:space="preserve"> Paragraph No. 5</w:t>
      </w:r>
      <w:r w:rsidR="00FA0A47" w:rsidRPr="002D20AC">
        <w:rPr>
          <w:sz w:val="26"/>
          <w:szCs w:val="26"/>
        </w:rPr>
        <w:t>.</w:t>
      </w:r>
    </w:p>
    <w:p w:rsidR="001A0516" w:rsidRPr="00FC660E" w:rsidRDefault="001A0516" w:rsidP="006C0C15">
      <w:pPr>
        <w:spacing w:line="360" w:lineRule="auto"/>
        <w:rPr>
          <w:sz w:val="16"/>
          <w:szCs w:val="16"/>
        </w:rPr>
      </w:pPr>
    </w:p>
    <w:p w:rsidR="00A437BB" w:rsidRDefault="0001230A" w:rsidP="006C0C15">
      <w:pPr>
        <w:spacing w:line="360" w:lineRule="auto"/>
        <w:rPr>
          <w:b/>
          <w:sz w:val="26"/>
          <w:szCs w:val="26"/>
        </w:rPr>
      </w:pPr>
      <w:bookmarkStart w:id="0" w:name="_GoBack"/>
      <w:r>
        <w:rPr>
          <w:noProof/>
        </w:rPr>
        <w:drawing>
          <wp:anchor distT="0" distB="0" distL="114300" distR="114300" simplePos="0" relativeHeight="251659264" behindDoc="1" locked="0" layoutInCell="1" allowOverlap="1" wp14:anchorId="07450FFD" wp14:editId="7F83225D">
            <wp:simplePos x="0" y="0"/>
            <wp:positionH relativeFrom="column">
              <wp:posOffset>2771140</wp:posOffset>
            </wp:positionH>
            <wp:positionV relativeFrom="paragraph">
              <wp:posOffset>1270</wp:posOffset>
            </wp:positionV>
            <wp:extent cx="2200275" cy="838200"/>
            <wp:effectExtent l="0" t="0" r="952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0"/>
      <w:r w:rsidR="001A1AD3" w:rsidRPr="000D6043">
        <w:rPr>
          <w:sz w:val="26"/>
          <w:szCs w:val="26"/>
        </w:rPr>
        <w:tab/>
      </w:r>
      <w:r w:rsidR="001A1AD3" w:rsidRPr="000D6043">
        <w:rPr>
          <w:sz w:val="26"/>
          <w:szCs w:val="26"/>
        </w:rPr>
        <w:tab/>
      </w:r>
      <w:r w:rsidR="001A1AD3" w:rsidRPr="000D6043">
        <w:rPr>
          <w:sz w:val="26"/>
          <w:szCs w:val="26"/>
        </w:rPr>
        <w:tab/>
      </w:r>
      <w:r w:rsidR="001A1AD3" w:rsidRPr="000D6043">
        <w:rPr>
          <w:sz w:val="26"/>
          <w:szCs w:val="26"/>
        </w:rPr>
        <w:tab/>
      </w:r>
      <w:r w:rsidR="001A1AD3" w:rsidRPr="000D6043">
        <w:rPr>
          <w:sz w:val="26"/>
          <w:szCs w:val="26"/>
        </w:rPr>
        <w:tab/>
      </w:r>
      <w:r w:rsidR="001A1AD3" w:rsidRPr="000D6043">
        <w:rPr>
          <w:sz w:val="26"/>
          <w:szCs w:val="26"/>
        </w:rPr>
        <w:tab/>
      </w:r>
      <w:r w:rsidR="001A1AD3" w:rsidRPr="000D6043">
        <w:rPr>
          <w:sz w:val="26"/>
          <w:szCs w:val="26"/>
        </w:rPr>
        <w:tab/>
      </w:r>
      <w:r w:rsidR="001A1AD3" w:rsidRPr="000D6043">
        <w:rPr>
          <w:b/>
          <w:sz w:val="26"/>
          <w:szCs w:val="26"/>
        </w:rPr>
        <w:t>BY THE COMMISSION,</w:t>
      </w:r>
    </w:p>
    <w:p w:rsidR="004E61BF" w:rsidRPr="000D6043" w:rsidRDefault="004E61BF" w:rsidP="006C0C15">
      <w:pPr>
        <w:spacing w:line="360" w:lineRule="auto"/>
        <w:rPr>
          <w:sz w:val="26"/>
          <w:szCs w:val="26"/>
        </w:rPr>
      </w:pPr>
    </w:p>
    <w:p w:rsidR="008D6E6F" w:rsidRDefault="001A1AD3" w:rsidP="006C0C15">
      <w:pPr>
        <w:rPr>
          <w:sz w:val="26"/>
          <w:szCs w:val="26"/>
        </w:rPr>
      </w:pPr>
      <w:r w:rsidRPr="000D6043">
        <w:rPr>
          <w:sz w:val="26"/>
          <w:szCs w:val="26"/>
        </w:rPr>
        <w:tab/>
      </w:r>
      <w:r w:rsidRPr="000D6043">
        <w:rPr>
          <w:sz w:val="26"/>
          <w:szCs w:val="26"/>
        </w:rPr>
        <w:tab/>
      </w:r>
      <w:r w:rsidRPr="000D6043">
        <w:rPr>
          <w:sz w:val="26"/>
          <w:szCs w:val="26"/>
        </w:rPr>
        <w:tab/>
      </w:r>
      <w:r w:rsidRPr="000D6043">
        <w:rPr>
          <w:sz w:val="26"/>
          <w:szCs w:val="26"/>
        </w:rPr>
        <w:tab/>
      </w:r>
      <w:r w:rsidRPr="000D6043">
        <w:rPr>
          <w:sz w:val="26"/>
          <w:szCs w:val="26"/>
        </w:rPr>
        <w:tab/>
      </w:r>
      <w:r w:rsidRPr="000D6043">
        <w:rPr>
          <w:sz w:val="26"/>
          <w:szCs w:val="26"/>
        </w:rPr>
        <w:tab/>
      </w:r>
    </w:p>
    <w:p w:rsidR="001A1AD3" w:rsidRPr="000D6043" w:rsidRDefault="008D6E6F" w:rsidP="006C0C15">
      <w:pPr>
        <w:rPr>
          <w:sz w:val="26"/>
          <w:szCs w:val="26"/>
        </w:rPr>
      </w:pPr>
      <w:r>
        <w:rPr>
          <w:sz w:val="26"/>
          <w:szCs w:val="26"/>
        </w:rPr>
        <w:tab/>
      </w:r>
      <w:r>
        <w:rPr>
          <w:sz w:val="26"/>
          <w:szCs w:val="26"/>
        </w:rPr>
        <w:tab/>
      </w:r>
      <w:r>
        <w:rPr>
          <w:sz w:val="26"/>
          <w:szCs w:val="26"/>
        </w:rPr>
        <w:tab/>
      </w:r>
      <w:r>
        <w:rPr>
          <w:sz w:val="26"/>
          <w:szCs w:val="26"/>
        </w:rPr>
        <w:tab/>
      </w:r>
      <w:r>
        <w:rPr>
          <w:sz w:val="26"/>
          <w:szCs w:val="26"/>
        </w:rPr>
        <w:tab/>
      </w:r>
      <w:r>
        <w:rPr>
          <w:sz w:val="26"/>
          <w:szCs w:val="26"/>
        </w:rPr>
        <w:tab/>
      </w:r>
      <w:r w:rsidR="001A1AD3" w:rsidRPr="000D6043">
        <w:rPr>
          <w:sz w:val="26"/>
          <w:szCs w:val="26"/>
        </w:rPr>
        <w:tab/>
      </w:r>
      <w:r w:rsidR="00F40A17">
        <w:rPr>
          <w:sz w:val="26"/>
          <w:szCs w:val="26"/>
        </w:rPr>
        <w:t>Rosemary Chiavetta</w:t>
      </w:r>
    </w:p>
    <w:p w:rsidR="00F15AA1" w:rsidRDefault="001A1AD3" w:rsidP="006C0C15">
      <w:pPr>
        <w:rPr>
          <w:sz w:val="26"/>
          <w:szCs w:val="26"/>
        </w:rPr>
      </w:pPr>
      <w:r w:rsidRPr="000D6043">
        <w:rPr>
          <w:sz w:val="26"/>
          <w:szCs w:val="26"/>
        </w:rPr>
        <w:tab/>
      </w:r>
      <w:r w:rsidRPr="000D6043">
        <w:rPr>
          <w:sz w:val="26"/>
          <w:szCs w:val="26"/>
        </w:rPr>
        <w:tab/>
      </w:r>
      <w:r w:rsidRPr="000D6043">
        <w:rPr>
          <w:sz w:val="26"/>
          <w:szCs w:val="26"/>
        </w:rPr>
        <w:tab/>
      </w:r>
      <w:r w:rsidRPr="000D6043">
        <w:rPr>
          <w:sz w:val="26"/>
          <w:szCs w:val="26"/>
        </w:rPr>
        <w:tab/>
      </w:r>
      <w:r w:rsidRPr="000D6043">
        <w:rPr>
          <w:sz w:val="26"/>
          <w:szCs w:val="26"/>
        </w:rPr>
        <w:tab/>
      </w:r>
      <w:r w:rsidRPr="000D6043">
        <w:rPr>
          <w:sz w:val="26"/>
          <w:szCs w:val="26"/>
        </w:rPr>
        <w:tab/>
      </w:r>
      <w:r w:rsidRPr="000D6043">
        <w:rPr>
          <w:sz w:val="26"/>
          <w:szCs w:val="26"/>
        </w:rPr>
        <w:tab/>
        <w:t>Secretary</w:t>
      </w:r>
    </w:p>
    <w:p w:rsidR="000261D5" w:rsidRDefault="000261D5" w:rsidP="006C0C15">
      <w:pPr>
        <w:tabs>
          <w:tab w:val="left" w:pos="-720"/>
        </w:tabs>
        <w:suppressAutoHyphens/>
        <w:rPr>
          <w:sz w:val="26"/>
          <w:szCs w:val="26"/>
        </w:rPr>
      </w:pPr>
    </w:p>
    <w:p w:rsidR="001A1AD3" w:rsidRPr="00AD292A" w:rsidRDefault="001A1AD3" w:rsidP="006C0C15">
      <w:pPr>
        <w:tabs>
          <w:tab w:val="left" w:pos="-720"/>
        </w:tabs>
        <w:suppressAutoHyphens/>
        <w:rPr>
          <w:sz w:val="26"/>
          <w:szCs w:val="26"/>
        </w:rPr>
      </w:pPr>
      <w:r w:rsidRPr="00AD292A">
        <w:rPr>
          <w:sz w:val="26"/>
          <w:szCs w:val="26"/>
        </w:rPr>
        <w:t>(SEAL)</w:t>
      </w:r>
    </w:p>
    <w:p w:rsidR="001A1AD3" w:rsidRPr="001B2BFB" w:rsidRDefault="001A1AD3" w:rsidP="006C0C15">
      <w:pPr>
        <w:tabs>
          <w:tab w:val="left" w:pos="-720"/>
        </w:tabs>
        <w:suppressAutoHyphens/>
        <w:rPr>
          <w:sz w:val="26"/>
          <w:szCs w:val="26"/>
        </w:rPr>
      </w:pPr>
    </w:p>
    <w:p w:rsidR="001A1AD3" w:rsidRDefault="001A1AD3" w:rsidP="006C0C15">
      <w:pPr>
        <w:tabs>
          <w:tab w:val="left" w:pos="-720"/>
        </w:tabs>
        <w:suppressAutoHyphens/>
        <w:rPr>
          <w:sz w:val="26"/>
          <w:szCs w:val="26"/>
        </w:rPr>
      </w:pPr>
      <w:r w:rsidRPr="00AD292A">
        <w:rPr>
          <w:sz w:val="26"/>
          <w:szCs w:val="26"/>
        </w:rPr>
        <w:t>ORDER ADOPTED:</w:t>
      </w:r>
      <w:r w:rsidRPr="001B2BFB">
        <w:rPr>
          <w:sz w:val="26"/>
          <w:szCs w:val="26"/>
        </w:rPr>
        <w:t xml:space="preserve"> </w:t>
      </w:r>
      <w:r w:rsidR="00CE1E14">
        <w:rPr>
          <w:sz w:val="26"/>
          <w:szCs w:val="26"/>
        </w:rPr>
        <w:t>August 2</w:t>
      </w:r>
      <w:r w:rsidR="00FF64D2">
        <w:rPr>
          <w:sz w:val="26"/>
          <w:szCs w:val="26"/>
        </w:rPr>
        <w:t>0</w:t>
      </w:r>
      <w:r w:rsidR="004D1308">
        <w:rPr>
          <w:sz w:val="26"/>
          <w:szCs w:val="26"/>
        </w:rPr>
        <w:t>, 201</w:t>
      </w:r>
      <w:r w:rsidR="008239D0">
        <w:rPr>
          <w:sz w:val="26"/>
          <w:szCs w:val="26"/>
        </w:rPr>
        <w:t>5</w:t>
      </w:r>
    </w:p>
    <w:p w:rsidR="004E61BF" w:rsidRDefault="004E61BF" w:rsidP="006C0C15">
      <w:pPr>
        <w:tabs>
          <w:tab w:val="left" w:pos="-720"/>
        </w:tabs>
        <w:suppressAutoHyphens/>
        <w:rPr>
          <w:sz w:val="26"/>
          <w:szCs w:val="26"/>
        </w:rPr>
      </w:pPr>
    </w:p>
    <w:p w:rsidR="0036706C" w:rsidRPr="001B2BFB" w:rsidRDefault="0036706C" w:rsidP="006C0C15">
      <w:pPr>
        <w:tabs>
          <w:tab w:val="left" w:pos="-720"/>
        </w:tabs>
        <w:suppressAutoHyphens/>
        <w:rPr>
          <w:sz w:val="26"/>
          <w:szCs w:val="26"/>
        </w:rPr>
      </w:pPr>
      <w:r>
        <w:rPr>
          <w:sz w:val="26"/>
          <w:szCs w:val="26"/>
        </w:rPr>
        <w:t xml:space="preserve">ORDER ENTERED: </w:t>
      </w:r>
      <w:r w:rsidR="0001230A">
        <w:rPr>
          <w:sz w:val="26"/>
          <w:szCs w:val="26"/>
        </w:rPr>
        <w:t>August 20, 2015</w:t>
      </w:r>
    </w:p>
    <w:sectPr w:rsidR="0036706C" w:rsidRPr="001B2BFB" w:rsidSect="003742CF">
      <w:footerReference w:type="even" r:id="rId10"/>
      <w:footerReference w:type="defaul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3543" w:rsidRDefault="00033543">
      <w:r>
        <w:separator/>
      </w:r>
    </w:p>
  </w:endnote>
  <w:endnote w:type="continuationSeparator" w:id="0">
    <w:p w:rsidR="00033543" w:rsidRDefault="000335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G Times">
    <w:panose1 w:val="02020603050405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imes New (W1)">
    <w:altName w:val="Times New Roman"/>
    <w:charset w:val="00"/>
    <w:family w:val="roman"/>
    <w:pitch w:val="variable"/>
    <w:sig w:usb0="00000000"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170C" w:rsidRDefault="000C170C" w:rsidP="00654A2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C170C" w:rsidRDefault="000C170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170C" w:rsidRDefault="000C170C" w:rsidP="00654A2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1230A">
      <w:rPr>
        <w:rStyle w:val="PageNumber"/>
        <w:noProof/>
      </w:rPr>
      <w:t>36</w:t>
    </w:r>
    <w:r>
      <w:rPr>
        <w:rStyle w:val="PageNumber"/>
      </w:rPr>
      <w:fldChar w:fldCharType="end"/>
    </w:r>
  </w:p>
  <w:p w:rsidR="000C170C" w:rsidRDefault="000C170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3543" w:rsidRDefault="00033543">
      <w:r>
        <w:separator/>
      </w:r>
    </w:p>
  </w:footnote>
  <w:footnote w:type="continuationSeparator" w:id="0">
    <w:p w:rsidR="00033543" w:rsidRDefault="00033543">
      <w:r>
        <w:continuationSeparator/>
      </w:r>
    </w:p>
  </w:footnote>
  <w:footnote w:id="1">
    <w:p w:rsidR="000C170C" w:rsidRDefault="000C170C" w:rsidP="009F3276">
      <w:pPr>
        <w:pStyle w:val="FootnoteText"/>
      </w:pPr>
      <w:r>
        <w:tab/>
      </w:r>
      <w:r>
        <w:rPr>
          <w:rStyle w:val="FootnoteReference"/>
        </w:rPr>
        <w:footnoteRef/>
      </w:r>
      <w:r>
        <w:t xml:space="preserve"> </w:t>
      </w:r>
      <w:r>
        <w:tab/>
        <w:t xml:space="preserve">IDT identifies specific Findings of Fact and Conclusions of Law to which it excepts in this Exception but fails to do so with either its second or third Exceptions as required by Section 5.533(b) of our </w:t>
      </w:r>
      <w:r w:rsidRPr="0015344F">
        <w:t>Regulation</w:t>
      </w:r>
      <w:r>
        <w:t xml:space="preserve">s, </w:t>
      </w:r>
      <w:r w:rsidRPr="0015344F">
        <w:t>52 Pa. Code §</w:t>
      </w:r>
      <w:r>
        <w:t> </w:t>
      </w:r>
      <w:r w:rsidRPr="0015344F">
        <w:t>5.533(b)</w:t>
      </w:r>
      <w:r>
        <w:t xml:space="preserve">.  </w:t>
      </w:r>
      <w:r w:rsidRPr="001A4FC3">
        <w:t>Nevertheless, we will accept the</w:t>
      </w:r>
      <w:r>
        <w:t>se</w:t>
      </w:r>
      <w:r w:rsidRPr="001A4FC3">
        <w:t xml:space="preserve"> Exceptions </w:t>
      </w:r>
      <w:r>
        <w:t xml:space="preserve">as filed </w:t>
      </w:r>
      <w:r w:rsidRPr="001A4FC3">
        <w:t>pursuant to Section 1.2(a) of our Regulations, 52 Pa. Code § 1.2(a), in order to secure a just, speedy and inexpensive determination.</w:t>
      </w:r>
    </w:p>
  </w:footnote>
  <w:footnote w:id="2">
    <w:p w:rsidR="000C170C" w:rsidRPr="00A65C63" w:rsidRDefault="000C170C">
      <w:pPr>
        <w:pStyle w:val="FootnoteText"/>
      </w:pPr>
      <w:r>
        <w:tab/>
      </w:r>
      <w:r>
        <w:rPr>
          <w:rStyle w:val="FootnoteReference"/>
        </w:rPr>
        <w:footnoteRef/>
      </w:r>
      <w:r>
        <w:t xml:space="preserve"> </w:t>
      </w:r>
      <w:r>
        <w:tab/>
        <w:t xml:space="preserve">IDT cites </w:t>
      </w:r>
      <w:r>
        <w:rPr>
          <w:i/>
        </w:rPr>
        <w:t>Rulemaking Order Establishing Standards for Changing a Customer’s Electric Supplier</w:t>
      </w:r>
      <w:r>
        <w:t>, Docket No. L-00970121 (Order entered February 27, 1998).</w:t>
      </w:r>
    </w:p>
  </w:footnote>
  <w:footnote w:id="3">
    <w:p w:rsidR="000C170C" w:rsidRDefault="000C170C">
      <w:pPr>
        <w:pStyle w:val="FootnoteText"/>
      </w:pPr>
      <w:r>
        <w:tab/>
      </w:r>
      <w:r>
        <w:rPr>
          <w:rStyle w:val="FootnoteReference"/>
        </w:rPr>
        <w:footnoteRef/>
      </w:r>
      <w:r>
        <w:t xml:space="preserve"> </w:t>
      </w:r>
      <w:r>
        <w:tab/>
        <w:t>While raised, IDT does not pursue this argument or explain how an alleged three-year statute of limitations has been exceeded by a Complaint filed on March 3, 2014, for telemarketing activity made in or around July 2011. Tr. at 14-15; Exc. at 25.  For these reasons we do not address this averment in our disposition.</w:t>
      </w:r>
    </w:p>
  </w:footnote>
  <w:footnote w:id="4">
    <w:p w:rsidR="000C170C" w:rsidRDefault="000C170C">
      <w:pPr>
        <w:pStyle w:val="FootnoteText"/>
      </w:pPr>
      <w:r>
        <w:tab/>
      </w:r>
      <w:r>
        <w:rPr>
          <w:rStyle w:val="FootnoteReference"/>
        </w:rPr>
        <w:footnoteRef/>
      </w:r>
      <w:r>
        <w:t xml:space="preserve"> </w:t>
      </w:r>
      <w:r>
        <w:tab/>
        <w:t>Although referred to as a credit by the OCA, we note that the ALJ ordered a refund not a credit.</w:t>
      </w:r>
    </w:p>
  </w:footnote>
  <w:footnote w:id="5">
    <w:p w:rsidR="001F12A5" w:rsidRDefault="001F12A5">
      <w:pPr>
        <w:pStyle w:val="FootnoteText"/>
      </w:pPr>
      <w:r>
        <w:tab/>
      </w:r>
      <w:r>
        <w:rPr>
          <w:rStyle w:val="FootnoteReference"/>
        </w:rPr>
        <w:footnoteRef/>
      </w:r>
      <w:r>
        <w:t xml:space="preserve"> </w:t>
      </w:r>
      <w:r>
        <w:tab/>
      </w:r>
      <w:r w:rsidRPr="001F12A5">
        <w:rPr>
          <w:bCs/>
          <w:i/>
          <w:lang w:bidi="en-US"/>
        </w:rPr>
        <w:t xml:space="preserve">See, e.g., 2010 Interim Guidelines </w:t>
      </w:r>
      <w:r w:rsidRPr="001F12A5">
        <w:rPr>
          <w:bCs/>
          <w:lang w:bidi="en-US"/>
        </w:rPr>
        <w:t xml:space="preserve">at </w:t>
      </w:r>
      <w:r w:rsidR="005C5364">
        <w:rPr>
          <w:bCs/>
          <w:lang w:bidi="en-US"/>
        </w:rPr>
        <w:t xml:space="preserve">Section A (holding the supplier responsible for the fraudulent, deceptive, or other unlawful marketing or billing acts of its agents, including oral communications); Section D.2 (requiring the monitoring of sales and marketing calls, including telephonic); </w:t>
      </w:r>
      <w:r w:rsidRPr="001F12A5">
        <w:rPr>
          <w:bCs/>
          <w:lang w:bidi="en-US"/>
        </w:rPr>
        <w:t xml:space="preserve">Section H.2 (requiring compliance with the standards set forth in the Telemarketing and Consumer Fraud and Abuse Prevention Act and related regulations).  </w:t>
      </w:r>
    </w:p>
  </w:footnote>
  <w:footnote w:id="6">
    <w:p w:rsidR="000C170C" w:rsidRDefault="000C170C">
      <w:pPr>
        <w:pStyle w:val="FootnoteText"/>
      </w:pPr>
      <w:r>
        <w:tab/>
      </w:r>
      <w:r>
        <w:rPr>
          <w:rStyle w:val="FootnoteReference"/>
        </w:rPr>
        <w:footnoteRef/>
      </w:r>
      <w:r>
        <w:t xml:space="preserve"> </w:t>
      </w:r>
      <w:r>
        <w:tab/>
        <w:t>While raising these questions in Exceptions, we note that there is no evidence in the transcript that Mr. Kiback was asked these specific questions during cross-examination.</w:t>
      </w:r>
    </w:p>
  </w:footnote>
  <w:footnote w:id="7">
    <w:p w:rsidR="000C170C" w:rsidRPr="00B11775" w:rsidRDefault="000C170C" w:rsidP="004521FD">
      <w:pPr>
        <w:keepNext/>
        <w:tabs>
          <w:tab w:val="left" w:pos="1440"/>
        </w:tabs>
        <w:ind w:firstLine="720"/>
      </w:pPr>
      <w:r>
        <w:rPr>
          <w:rStyle w:val="FootnoteReference"/>
        </w:rPr>
        <w:footnoteRef/>
      </w:r>
      <w:r>
        <w:t xml:space="preserve"> </w:t>
      </w:r>
      <w:r>
        <w:tab/>
      </w:r>
      <w:r w:rsidRPr="00654ECC">
        <w:rPr>
          <w:sz w:val="26"/>
          <w:szCs w:val="26"/>
        </w:rPr>
        <w:t xml:space="preserve">IDT also cites to the ALJ Initial Decision in </w:t>
      </w:r>
      <w:r w:rsidRPr="00654ECC">
        <w:rPr>
          <w:i/>
          <w:sz w:val="26"/>
          <w:szCs w:val="26"/>
        </w:rPr>
        <w:t>MacLuckie v. Palmco Energy Pennsylvania, LLC</w:t>
      </w:r>
      <w:r w:rsidRPr="00654ECC">
        <w:rPr>
          <w:sz w:val="26"/>
          <w:szCs w:val="26"/>
        </w:rPr>
        <w:t>, Docket No. C-2014-2402558 (Initial Decision issued June 16, 2014), for the proposition that it is not unreasonable, false advertising, or unethical to offer a low introductory rate that subsequently increase</w:t>
      </w:r>
      <w:r>
        <w:rPr>
          <w:sz w:val="26"/>
          <w:szCs w:val="26"/>
        </w:rPr>
        <w:t>s</w:t>
      </w:r>
      <w:r w:rsidRPr="00654ECC">
        <w:rPr>
          <w:sz w:val="26"/>
          <w:szCs w:val="26"/>
        </w:rPr>
        <w:t xml:space="preserve"> as an enticement to enroll.  That Initial Decision, issued on preliminary motion, was reversed and remanded.  </w:t>
      </w:r>
      <w:r w:rsidRPr="00654ECC">
        <w:rPr>
          <w:i/>
          <w:sz w:val="26"/>
          <w:szCs w:val="26"/>
        </w:rPr>
        <w:t xml:space="preserve">See </w:t>
      </w:r>
      <w:r>
        <w:rPr>
          <w:i/>
          <w:sz w:val="26"/>
          <w:szCs w:val="26"/>
        </w:rPr>
        <w:t xml:space="preserve">MacLuckie December 2014 Remand Order; see also </w:t>
      </w:r>
      <w:r w:rsidRPr="00654ECC">
        <w:rPr>
          <w:i/>
          <w:sz w:val="26"/>
          <w:szCs w:val="26"/>
        </w:rPr>
        <w:t>MacLuckie v. Palmco Energy PA, LLC</w:t>
      </w:r>
      <w:r w:rsidRPr="00654ECC">
        <w:rPr>
          <w:sz w:val="26"/>
          <w:szCs w:val="26"/>
        </w:rPr>
        <w:t>, Docket No. C-2014-2402558 (Initial Decision dated April 30, 2015) (</w:t>
      </w:r>
      <w:r w:rsidRPr="00654ECC">
        <w:rPr>
          <w:i/>
          <w:sz w:val="26"/>
          <w:szCs w:val="26"/>
        </w:rPr>
        <w:t>MacLuckie April 2015 I.D.</w:t>
      </w:r>
      <w:r w:rsidRPr="00654ECC">
        <w:rPr>
          <w:sz w:val="26"/>
          <w:szCs w:val="26"/>
        </w:rPr>
        <w:t>).  Moreover, at issue here is not whether an introductory rate is unethical, but rather whether IDT’s telemarketer misled Mr. Kiback about the nature of the rate in marketing IDT’s service.</w:t>
      </w:r>
    </w:p>
  </w:footnote>
  <w:footnote w:id="8">
    <w:p w:rsidR="000C170C" w:rsidRDefault="000C170C">
      <w:pPr>
        <w:pStyle w:val="FootnoteText"/>
      </w:pPr>
      <w:r>
        <w:tab/>
      </w:r>
      <w:r>
        <w:rPr>
          <w:rStyle w:val="FootnoteReference"/>
        </w:rPr>
        <w:footnoteRef/>
      </w:r>
      <w:r>
        <w:t xml:space="preserve"> </w:t>
      </w:r>
      <w:r>
        <w:tab/>
      </w:r>
      <w:r w:rsidRPr="00E85D60">
        <w:t>We also note that while the identity of the telemarketer was n</w:t>
      </w:r>
      <w:r>
        <w:t>ot disclosed on the record</w:t>
      </w:r>
      <w:r w:rsidRPr="00E85D60">
        <w:t xml:space="preserve">, IDT contends in its Exception that it would be unrealistic to track down a </w:t>
      </w:r>
      <w:r>
        <w:t>“</w:t>
      </w:r>
      <w:r w:rsidRPr="00E85D60">
        <w:rPr>
          <w:i/>
        </w:rPr>
        <w:t>former</w:t>
      </w:r>
      <w:r>
        <w:t>”</w:t>
      </w:r>
      <w:r w:rsidRPr="00E85D60">
        <w:t xml:space="preserve"> independent telemarket</w:t>
      </w:r>
      <w:r>
        <w:t>er</w:t>
      </w:r>
      <w:r w:rsidRPr="00E85D60">
        <w:t xml:space="preserve">, suggesting at </w:t>
      </w:r>
      <w:r>
        <w:t xml:space="preserve">a minimum </w:t>
      </w:r>
      <w:r w:rsidRPr="00E85D60">
        <w:t xml:space="preserve">that IDT knew the specific telemarketer involved.  </w:t>
      </w:r>
    </w:p>
  </w:footnote>
  <w:footnote w:id="9">
    <w:p w:rsidR="000C170C" w:rsidRPr="000A5BF7" w:rsidRDefault="000C170C">
      <w:pPr>
        <w:pStyle w:val="FootnoteText"/>
      </w:pPr>
      <w:r>
        <w:tab/>
      </w:r>
      <w:r>
        <w:rPr>
          <w:rStyle w:val="FootnoteReference"/>
        </w:rPr>
        <w:footnoteRef/>
      </w:r>
      <w:r>
        <w:t xml:space="preserve"> </w:t>
      </w:r>
      <w:r>
        <w:tab/>
      </w:r>
      <w:r>
        <w:rPr>
          <w:i/>
        </w:rPr>
        <w:t>See</w:t>
      </w:r>
      <w:r>
        <w:t xml:space="preserve"> </w:t>
      </w:r>
      <w:r>
        <w:rPr>
          <w:i/>
        </w:rPr>
        <w:t>Application of JET Sedan Services, LLC</w:t>
      </w:r>
      <w:r>
        <w:t xml:space="preserve">, 2010 WL 3378286 (Pa.P.U.C.) (ALJ’s assessment of the overall credibility of a witness will not be disturbed when supported by the record), citing </w:t>
      </w:r>
      <w:r>
        <w:rPr>
          <w:i/>
        </w:rPr>
        <w:t>Danovitz v. Portnoy</w:t>
      </w:r>
      <w:r>
        <w:t xml:space="preserve">, 399 Pa. 599, 161 A.2d 146 (1960); </w:t>
      </w:r>
      <w:r>
        <w:rPr>
          <w:i/>
        </w:rPr>
        <w:t>Application of Harrisburg City Cab, Inc.</w:t>
      </w:r>
      <w:r>
        <w:t>, Docket No. A-00122208 (Order entered March 1, 2007) (Commission is ultimate factfinder and arbiter of witness credibility), citing 66 Pa. C.S. §§ 335(a), 703(e).</w:t>
      </w:r>
    </w:p>
  </w:footnote>
  <w:footnote w:id="10">
    <w:p w:rsidR="000C170C" w:rsidRDefault="000C170C" w:rsidP="00782DB4">
      <w:r>
        <w:tab/>
      </w:r>
      <w:r>
        <w:rPr>
          <w:rStyle w:val="FootnoteReference"/>
        </w:rPr>
        <w:footnoteRef/>
      </w:r>
      <w:r>
        <w:tab/>
      </w:r>
      <w:r w:rsidRPr="000210CE">
        <w:rPr>
          <w:sz w:val="26"/>
          <w:szCs w:val="26"/>
        </w:rPr>
        <w:t xml:space="preserve">We note that in </w:t>
      </w:r>
      <w:r w:rsidRPr="000210CE">
        <w:rPr>
          <w:i/>
          <w:sz w:val="26"/>
          <w:szCs w:val="26"/>
        </w:rPr>
        <w:t>Commonwealth of PA v. Blue Pilot Energy, LLC</w:t>
      </w:r>
      <w:r w:rsidRPr="000210CE">
        <w:rPr>
          <w:sz w:val="26"/>
          <w:szCs w:val="26"/>
        </w:rPr>
        <w:t xml:space="preserve">, Docket No. </w:t>
      </w:r>
      <w:r w:rsidRPr="000210CE">
        <w:rPr>
          <w:bCs/>
          <w:sz w:val="26"/>
          <w:szCs w:val="26"/>
        </w:rPr>
        <w:t>C-2014-2427655 (Order entered December 11, 2014)</w:t>
      </w:r>
      <w:r>
        <w:rPr>
          <w:bCs/>
          <w:sz w:val="26"/>
          <w:szCs w:val="26"/>
        </w:rPr>
        <w:t xml:space="preserve"> (</w:t>
      </w:r>
      <w:r>
        <w:rPr>
          <w:bCs/>
          <w:i/>
          <w:sz w:val="26"/>
          <w:szCs w:val="26"/>
        </w:rPr>
        <w:t>Blue Pilot December 2014 Order</w:t>
      </w:r>
      <w:r>
        <w:rPr>
          <w:bCs/>
          <w:sz w:val="26"/>
          <w:szCs w:val="26"/>
        </w:rPr>
        <w:t>)</w:t>
      </w:r>
      <w:r w:rsidRPr="000210CE">
        <w:rPr>
          <w:bCs/>
          <w:sz w:val="26"/>
          <w:szCs w:val="26"/>
        </w:rPr>
        <w:t xml:space="preserve">, we determined that </w:t>
      </w:r>
      <w:r w:rsidRPr="000210CE">
        <w:rPr>
          <w:sz w:val="26"/>
          <w:szCs w:val="26"/>
        </w:rPr>
        <w:t xml:space="preserve">we did not have jurisdiction to enforce the </w:t>
      </w:r>
      <w:r>
        <w:rPr>
          <w:sz w:val="26"/>
          <w:szCs w:val="26"/>
        </w:rPr>
        <w:t xml:space="preserve">federal Unfair Trade Practices and Consumer Protection Law and Telemarketer Registration Act; however we found that we </w:t>
      </w:r>
      <w:r w:rsidRPr="000210CE">
        <w:rPr>
          <w:sz w:val="26"/>
          <w:szCs w:val="26"/>
        </w:rPr>
        <w:t>did have jurisdiction to enforce our own Regulations</w:t>
      </w:r>
      <w:r>
        <w:rPr>
          <w:sz w:val="26"/>
          <w:szCs w:val="26"/>
        </w:rPr>
        <w:t xml:space="preserve">.  </w:t>
      </w:r>
      <w:r w:rsidRPr="000210CE">
        <w:rPr>
          <w:i/>
          <w:sz w:val="26"/>
          <w:szCs w:val="26"/>
        </w:rPr>
        <w:t xml:space="preserve">See Blue Pilot December 2014 Order </w:t>
      </w:r>
      <w:r w:rsidRPr="000210CE">
        <w:rPr>
          <w:sz w:val="26"/>
          <w:szCs w:val="26"/>
        </w:rPr>
        <w:t xml:space="preserve">at 16-18. </w:t>
      </w:r>
      <w:r>
        <w:rPr>
          <w:sz w:val="26"/>
          <w:szCs w:val="26"/>
        </w:rPr>
        <w:t xml:space="preserve"> Because our </w:t>
      </w:r>
      <w:r w:rsidR="002C0E88">
        <w:rPr>
          <w:sz w:val="26"/>
          <w:szCs w:val="26"/>
        </w:rPr>
        <w:t>regulatory standards</w:t>
      </w:r>
      <w:r>
        <w:rPr>
          <w:sz w:val="26"/>
          <w:szCs w:val="26"/>
        </w:rPr>
        <w:t xml:space="preserve"> e</w:t>
      </w:r>
      <w:r w:rsidRPr="000210CE">
        <w:rPr>
          <w:sz w:val="26"/>
          <w:szCs w:val="26"/>
        </w:rPr>
        <w:t xml:space="preserve">ssentially incorporate the marketing behaviors prohibited in those acts by means of reference </w:t>
      </w:r>
      <w:r>
        <w:rPr>
          <w:sz w:val="26"/>
          <w:szCs w:val="26"/>
        </w:rPr>
        <w:t xml:space="preserve">to the acts </w:t>
      </w:r>
      <w:r w:rsidRPr="000210CE">
        <w:rPr>
          <w:sz w:val="26"/>
          <w:szCs w:val="26"/>
        </w:rPr>
        <w:t>rather than wholesale repetition of the same standards</w:t>
      </w:r>
      <w:r>
        <w:rPr>
          <w:sz w:val="26"/>
          <w:szCs w:val="26"/>
        </w:rPr>
        <w:t xml:space="preserve">, in order to be clear, we note that herein we find a violation of our </w:t>
      </w:r>
      <w:r w:rsidR="002C0E88">
        <w:rPr>
          <w:sz w:val="26"/>
          <w:szCs w:val="26"/>
        </w:rPr>
        <w:t>regulatory standards</w:t>
      </w:r>
      <w:r>
        <w:rPr>
          <w:sz w:val="26"/>
          <w:szCs w:val="26"/>
        </w:rPr>
        <w:t xml:space="preserve"> and not of any implicated federal act.  </w:t>
      </w:r>
    </w:p>
    <w:p w:rsidR="000C170C" w:rsidRDefault="000C170C">
      <w:pPr>
        <w:pStyle w:val="FootnoteText"/>
      </w:pPr>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072075"/>
    <w:multiLevelType w:val="hybridMultilevel"/>
    <w:tmpl w:val="83D4F226"/>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5D000D7C"/>
    <w:multiLevelType w:val="hybridMultilevel"/>
    <w:tmpl w:val="130404FC"/>
    <w:lvl w:ilvl="0" w:tplc="E17E2330">
      <w:start w:val="1"/>
      <w:numFmt w:val="decimal"/>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04FE"/>
    <w:rsid w:val="000004FF"/>
    <w:rsid w:val="00001139"/>
    <w:rsid w:val="00001267"/>
    <w:rsid w:val="0000167F"/>
    <w:rsid w:val="00002F2A"/>
    <w:rsid w:val="00004394"/>
    <w:rsid w:val="000043BA"/>
    <w:rsid w:val="00006102"/>
    <w:rsid w:val="000063E9"/>
    <w:rsid w:val="00007241"/>
    <w:rsid w:val="000074DC"/>
    <w:rsid w:val="00010322"/>
    <w:rsid w:val="0001099D"/>
    <w:rsid w:val="00011216"/>
    <w:rsid w:val="0001230A"/>
    <w:rsid w:val="000123D6"/>
    <w:rsid w:val="00012797"/>
    <w:rsid w:val="0001306C"/>
    <w:rsid w:val="00013EB9"/>
    <w:rsid w:val="0001411C"/>
    <w:rsid w:val="000148F5"/>
    <w:rsid w:val="000155FB"/>
    <w:rsid w:val="00015969"/>
    <w:rsid w:val="00015A01"/>
    <w:rsid w:val="00016515"/>
    <w:rsid w:val="0001668E"/>
    <w:rsid w:val="00016CE0"/>
    <w:rsid w:val="00017033"/>
    <w:rsid w:val="000178AA"/>
    <w:rsid w:val="00020E43"/>
    <w:rsid w:val="00020F8F"/>
    <w:rsid w:val="000210CE"/>
    <w:rsid w:val="00022799"/>
    <w:rsid w:val="00023546"/>
    <w:rsid w:val="00024987"/>
    <w:rsid w:val="00024DD1"/>
    <w:rsid w:val="00025686"/>
    <w:rsid w:val="0002585B"/>
    <w:rsid w:val="00025B28"/>
    <w:rsid w:val="000261D5"/>
    <w:rsid w:val="00026E4B"/>
    <w:rsid w:val="0002723A"/>
    <w:rsid w:val="0002744F"/>
    <w:rsid w:val="00027A80"/>
    <w:rsid w:val="00027F6F"/>
    <w:rsid w:val="000310BE"/>
    <w:rsid w:val="00031E93"/>
    <w:rsid w:val="00033543"/>
    <w:rsid w:val="0003479F"/>
    <w:rsid w:val="000378DC"/>
    <w:rsid w:val="0004043C"/>
    <w:rsid w:val="000405AC"/>
    <w:rsid w:val="0004437C"/>
    <w:rsid w:val="000450BE"/>
    <w:rsid w:val="000510D0"/>
    <w:rsid w:val="000510FD"/>
    <w:rsid w:val="000520F7"/>
    <w:rsid w:val="00052478"/>
    <w:rsid w:val="00052A0E"/>
    <w:rsid w:val="00053715"/>
    <w:rsid w:val="00053CED"/>
    <w:rsid w:val="0005544D"/>
    <w:rsid w:val="000566B1"/>
    <w:rsid w:val="00057057"/>
    <w:rsid w:val="00057DAB"/>
    <w:rsid w:val="000604A3"/>
    <w:rsid w:val="000610F9"/>
    <w:rsid w:val="00061850"/>
    <w:rsid w:val="000629CD"/>
    <w:rsid w:val="000634BD"/>
    <w:rsid w:val="00064980"/>
    <w:rsid w:val="00065DB6"/>
    <w:rsid w:val="00065E95"/>
    <w:rsid w:val="00067181"/>
    <w:rsid w:val="000673D1"/>
    <w:rsid w:val="00070B22"/>
    <w:rsid w:val="00070FF8"/>
    <w:rsid w:val="00070FFD"/>
    <w:rsid w:val="00071B8D"/>
    <w:rsid w:val="00072883"/>
    <w:rsid w:val="00073515"/>
    <w:rsid w:val="00073540"/>
    <w:rsid w:val="000735A0"/>
    <w:rsid w:val="00073C25"/>
    <w:rsid w:val="00074255"/>
    <w:rsid w:val="00075161"/>
    <w:rsid w:val="000757B0"/>
    <w:rsid w:val="00076E28"/>
    <w:rsid w:val="00077066"/>
    <w:rsid w:val="00077CBB"/>
    <w:rsid w:val="00080BE7"/>
    <w:rsid w:val="000830C7"/>
    <w:rsid w:val="0008328F"/>
    <w:rsid w:val="0008445E"/>
    <w:rsid w:val="00084A43"/>
    <w:rsid w:val="00085271"/>
    <w:rsid w:val="00085FFB"/>
    <w:rsid w:val="00086411"/>
    <w:rsid w:val="00086D0B"/>
    <w:rsid w:val="0008768F"/>
    <w:rsid w:val="00087D18"/>
    <w:rsid w:val="00087E3B"/>
    <w:rsid w:val="00091A97"/>
    <w:rsid w:val="0009207F"/>
    <w:rsid w:val="00092ABD"/>
    <w:rsid w:val="0009319F"/>
    <w:rsid w:val="000938C5"/>
    <w:rsid w:val="00093F82"/>
    <w:rsid w:val="00095BA9"/>
    <w:rsid w:val="00096187"/>
    <w:rsid w:val="000966DC"/>
    <w:rsid w:val="0009781B"/>
    <w:rsid w:val="000A056C"/>
    <w:rsid w:val="000A2F11"/>
    <w:rsid w:val="000A35F4"/>
    <w:rsid w:val="000A37E1"/>
    <w:rsid w:val="000A39CF"/>
    <w:rsid w:val="000A3B60"/>
    <w:rsid w:val="000A5BF7"/>
    <w:rsid w:val="000A770A"/>
    <w:rsid w:val="000A7F96"/>
    <w:rsid w:val="000B03F9"/>
    <w:rsid w:val="000B23F4"/>
    <w:rsid w:val="000B2A5C"/>
    <w:rsid w:val="000B2B80"/>
    <w:rsid w:val="000B3146"/>
    <w:rsid w:val="000B3FB4"/>
    <w:rsid w:val="000B432E"/>
    <w:rsid w:val="000B4744"/>
    <w:rsid w:val="000B4F29"/>
    <w:rsid w:val="000B5487"/>
    <w:rsid w:val="000B5DF8"/>
    <w:rsid w:val="000B63A8"/>
    <w:rsid w:val="000B67C9"/>
    <w:rsid w:val="000C0E37"/>
    <w:rsid w:val="000C1267"/>
    <w:rsid w:val="000C170C"/>
    <w:rsid w:val="000C17F5"/>
    <w:rsid w:val="000C2A2F"/>
    <w:rsid w:val="000C50C4"/>
    <w:rsid w:val="000C51BF"/>
    <w:rsid w:val="000C5CA8"/>
    <w:rsid w:val="000C5FB9"/>
    <w:rsid w:val="000C742F"/>
    <w:rsid w:val="000D0D75"/>
    <w:rsid w:val="000D1A34"/>
    <w:rsid w:val="000D40AA"/>
    <w:rsid w:val="000D74C4"/>
    <w:rsid w:val="000E0050"/>
    <w:rsid w:val="000E0225"/>
    <w:rsid w:val="000E1684"/>
    <w:rsid w:val="000E1CF4"/>
    <w:rsid w:val="000E27BB"/>
    <w:rsid w:val="000E3FDA"/>
    <w:rsid w:val="000E4BED"/>
    <w:rsid w:val="000F2540"/>
    <w:rsid w:val="000F292B"/>
    <w:rsid w:val="000F34FC"/>
    <w:rsid w:val="000F3505"/>
    <w:rsid w:val="000F3750"/>
    <w:rsid w:val="000F4144"/>
    <w:rsid w:val="000F6034"/>
    <w:rsid w:val="000F689F"/>
    <w:rsid w:val="000F6D5A"/>
    <w:rsid w:val="000F748E"/>
    <w:rsid w:val="0010013C"/>
    <w:rsid w:val="001006F0"/>
    <w:rsid w:val="00100BF3"/>
    <w:rsid w:val="00101745"/>
    <w:rsid w:val="00102738"/>
    <w:rsid w:val="0010357F"/>
    <w:rsid w:val="00103A52"/>
    <w:rsid w:val="00105084"/>
    <w:rsid w:val="00105104"/>
    <w:rsid w:val="00105193"/>
    <w:rsid w:val="00106537"/>
    <w:rsid w:val="00106BB1"/>
    <w:rsid w:val="00106BF9"/>
    <w:rsid w:val="00107316"/>
    <w:rsid w:val="00107338"/>
    <w:rsid w:val="00110301"/>
    <w:rsid w:val="0011244B"/>
    <w:rsid w:val="00112861"/>
    <w:rsid w:val="0011361B"/>
    <w:rsid w:val="00113B62"/>
    <w:rsid w:val="001146C7"/>
    <w:rsid w:val="00114D80"/>
    <w:rsid w:val="00115FD9"/>
    <w:rsid w:val="00116644"/>
    <w:rsid w:val="00116D79"/>
    <w:rsid w:val="0012019D"/>
    <w:rsid w:val="0012058D"/>
    <w:rsid w:val="00120A27"/>
    <w:rsid w:val="00124A50"/>
    <w:rsid w:val="00124E2B"/>
    <w:rsid w:val="001259FC"/>
    <w:rsid w:val="0012697D"/>
    <w:rsid w:val="00127BCC"/>
    <w:rsid w:val="00127C7C"/>
    <w:rsid w:val="00131B43"/>
    <w:rsid w:val="00132429"/>
    <w:rsid w:val="00133878"/>
    <w:rsid w:val="0013479A"/>
    <w:rsid w:val="00135FAF"/>
    <w:rsid w:val="00136229"/>
    <w:rsid w:val="00136593"/>
    <w:rsid w:val="001377DE"/>
    <w:rsid w:val="00137A60"/>
    <w:rsid w:val="00140CD4"/>
    <w:rsid w:val="00141882"/>
    <w:rsid w:val="0014191F"/>
    <w:rsid w:val="00141DF0"/>
    <w:rsid w:val="0014205C"/>
    <w:rsid w:val="00143689"/>
    <w:rsid w:val="00143F43"/>
    <w:rsid w:val="00144166"/>
    <w:rsid w:val="00145959"/>
    <w:rsid w:val="0014664F"/>
    <w:rsid w:val="00147415"/>
    <w:rsid w:val="00150989"/>
    <w:rsid w:val="001522EE"/>
    <w:rsid w:val="0015344F"/>
    <w:rsid w:val="0015621A"/>
    <w:rsid w:val="001562DD"/>
    <w:rsid w:val="0015662E"/>
    <w:rsid w:val="001572C5"/>
    <w:rsid w:val="00157C2F"/>
    <w:rsid w:val="0016005F"/>
    <w:rsid w:val="0016020F"/>
    <w:rsid w:val="001606BC"/>
    <w:rsid w:val="00161FCC"/>
    <w:rsid w:val="00162A24"/>
    <w:rsid w:val="00163AA3"/>
    <w:rsid w:val="00164715"/>
    <w:rsid w:val="00164C98"/>
    <w:rsid w:val="00165AB4"/>
    <w:rsid w:val="00165AED"/>
    <w:rsid w:val="001679F1"/>
    <w:rsid w:val="001701B3"/>
    <w:rsid w:val="001718CA"/>
    <w:rsid w:val="001741CB"/>
    <w:rsid w:val="00175EA0"/>
    <w:rsid w:val="00177A43"/>
    <w:rsid w:val="00181033"/>
    <w:rsid w:val="001811B8"/>
    <w:rsid w:val="00181A3D"/>
    <w:rsid w:val="001827DB"/>
    <w:rsid w:val="00183D96"/>
    <w:rsid w:val="00184A65"/>
    <w:rsid w:val="0018533E"/>
    <w:rsid w:val="00185B5E"/>
    <w:rsid w:val="00186887"/>
    <w:rsid w:val="00187782"/>
    <w:rsid w:val="00187DC4"/>
    <w:rsid w:val="001903F3"/>
    <w:rsid w:val="0019214E"/>
    <w:rsid w:val="0019318F"/>
    <w:rsid w:val="00193EF0"/>
    <w:rsid w:val="001967CA"/>
    <w:rsid w:val="00197920"/>
    <w:rsid w:val="00197C2F"/>
    <w:rsid w:val="00197F3D"/>
    <w:rsid w:val="001A0516"/>
    <w:rsid w:val="001A0557"/>
    <w:rsid w:val="001A1AD3"/>
    <w:rsid w:val="001A3201"/>
    <w:rsid w:val="001A3F04"/>
    <w:rsid w:val="001A4A0C"/>
    <w:rsid w:val="001A4D90"/>
    <w:rsid w:val="001A4FC3"/>
    <w:rsid w:val="001A5756"/>
    <w:rsid w:val="001A75AA"/>
    <w:rsid w:val="001B020D"/>
    <w:rsid w:val="001B2295"/>
    <w:rsid w:val="001B2E4F"/>
    <w:rsid w:val="001B423C"/>
    <w:rsid w:val="001B7A05"/>
    <w:rsid w:val="001B7BCB"/>
    <w:rsid w:val="001C1550"/>
    <w:rsid w:val="001C3929"/>
    <w:rsid w:val="001C3D75"/>
    <w:rsid w:val="001C53B1"/>
    <w:rsid w:val="001C6BCE"/>
    <w:rsid w:val="001C7DBD"/>
    <w:rsid w:val="001C7E91"/>
    <w:rsid w:val="001C7F88"/>
    <w:rsid w:val="001D01F1"/>
    <w:rsid w:val="001D02A2"/>
    <w:rsid w:val="001D252C"/>
    <w:rsid w:val="001D2979"/>
    <w:rsid w:val="001D2BAD"/>
    <w:rsid w:val="001D2D99"/>
    <w:rsid w:val="001D3E13"/>
    <w:rsid w:val="001D491F"/>
    <w:rsid w:val="001D5419"/>
    <w:rsid w:val="001D573E"/>
    <w:rsid w:val="001D6F93"/>
    <w:rsid w:val="001D70A6"/>
    <w:rsid w:val="001D7137"/>
    <w:rsid w:val="001E05C6"/>
    <w:rsid w:val="001E0B29"/>
    <w:rsid w:val="001E0D4B"/>
    <w:rsid w:val="001E19BC"/>
    <w:rsid w:val="001E2C3E"/>
    <w:rsid w:val="001E2CFB"/>
    <w:rsid w:val="001E2E27"/>
    <w:rsid w:val="001E2FEE"/>
    <w:rsid w:val="001E3574"/>
    <w:rsid w:val="001E3FBF"/>
    <w:rsid w:val="001E4181"/>
    <w:rsid w:val="001E4225"/>
    <w:rsid w:val="001E4A7C"/>
    <w:rsid w:val="001E54DA"/>
    <w:rsid w:val="001E6158"/>
    <w:rsid w:val="001F0488"/>
    <w:rsid w:val="001F12A5"/>
    <w:rsid w:val="001F3675"/>
    <w:rsid w:val="001F470A"/>
    <w:rsid w:val="001F55D5"/>
    <w:rsid w:val="001F5B0F"/>
    <w:rsid w:val="001F5E98"/>
    <w:rsid w:val="001F606C"/>
    <w:rsid w:val="001F739E"/>
    <w:rsid w:val="001F75D6"/>
    <w:rsid w:val="001F79C6"/>
    <w:rsid w:val="001F7B55"/>
    <w:rsid w:val="001F7BA3"/>
    <w:rsid w:val="001F7CBD"/>
    <w:rsid w:val="00200705"/>
    <w:rsid w:val="00201A5B"/>
    <w:rsid w:val="002026AB"/>
    <w:rsid w:val="00203345"/>
    <w:rsid w:val="00203702"/>
    <w:rsid w:val="00203A08"/>
    <w:rsid w:val="00203F27"/>
    <w:rsid w:val="0020502B"/>
    <w:rsid w:val="00205242"/>
    <w:rsid w:val="00205344"/>
    <w:rsid w:val="00205983"/>
    <w:rsid w:val="002063AE"/>
    <w:rsid w:val="00206877"/>
    <w:rsid w:val="00206D03"/>
    <w:rsid w:val="00207453"/>
    <w:rsid w:val="00210868"/>
    <w:rsid w:val="0021121F"/>
    <w:rsid w:val="002133B2"/>
    <w:rsid w:val="00213B95"/>
    <w:rsid w:val="002161A1"/>
    <w:rsid w:val="00217165"/>
    <w:rsid w:val="00217213"/>
    <w:rsid w:val="00217C4E"/>
    <w:rsid w:val="002227E9"/>
    <w:rsid w:val="002242F7"/>
    <w:rsid w:val="00224394"/>
    <w:rsid w:val="002258C4"/>
    <w:rsid w:val="00225A51"/>
    <w:rsid w:val="00225BD2"/>
    <w:rsid w:val="00225DEC"/>
    <w:rsid w:val="00226A3E"/>
    <w:rsid w:val="00227D76"/>
    <w:rsid w:val="00230396"/>
    <w:rsid w:val="0023097E"/>
    <w:rsid w:val="00230BAB"/>
    <w:rsid w:val="00231579"/>
    <w:rsid w:val="002326E8"/>
    <w:rsid w:val="002329E9"/>
    <w:rsid w:val="00232A03"/>
    <w:rsid w:val="0023535F"/>
    <w:rsid w:val="0023714A"/>
    <w:rsid w:val="00237A2B"/>
    <w:rsid w:val="00237CE3"/>
    <w:rsid w:val="002431F5"/>
    <w:rsid w:val="00243CC9"/>
    <w:rsid w:val="00243D48"/>
    <w:rsid w:val="002450F3"/>
    <w:rsid w:val="00246294"/>
    <w:rsid w:val="002469C9"/>
    <w:rsid w:val="00246C00"/>
    <w:rsid w:val="00247332"/>
    <w:rsid w:val="002473E7"/>
    <w:rsid w:val="00252313"/>
    <w:rsid w:val="00252D00"/>
    <w:rsid w:val="00253CC7"/>
    <w:rsid w:val="0025590A"/>
    <w:rsid w:val="0025592A"/>
    <w:rsid w:val="002564D7"/>
    <w:rsid w:val="00256A4C"/>
    <w:rsid w:val="0025718D"/>
    <w:rsid w:val="002572E5"/>
    <w:rsid w:val="00260374"/>
    <w:rsid w:val="002624F3"/>
    <w:rsid w:val="002631AF"/>
    <w:rsid w:val="0026419F"/>
    <w:rsid w:val="00264ABB"/>
    <w:rsid w:val="002652DF"/>
    <w:rsid w:val="00265BD8"/>
    <w:rsid w:val="00271DBF"/>
    <w:rsid w:val="00271E53"/>
    <w:rsid w:val="002723CB"/>
    <w:rsid w:val="002724ED"/>
    <w:rsid w:val="002724F5"/>
    <w:rsid w:val="00272DB6"/>
    <w:rsid w:val="00273123"/>
    <w:rsid w:val="00273450"/>
    <w:rsid w:val="00274EC0"/>
    <w:rsid w:val="002762CB"/>
    <w:rsid w:val="0027682A"/>
    <w:rsid w:val="002770D8"/>
    <w:rsid w:val="0028157C"/>
    <w:rsid w:val="00282019"/>
    <w:rsid w:val="002838E3"/>
    <w:rsid w:val="00283B73"/>
    <w:rsid w:val="002842BC"/>
    <w:rsid w:val="00284573"/>
    <w:rsid w:val="002848F6"/>
    <w:rsid w:val="002854BF"/>
    <w:rsid w:val="0028580D"/>
    <w:rsid w:val="00285856"/>
    <w:rsid w:val="00287528"/>
    <w:rsid w:val="00287BE6"/>
    <w:rsid w:val="002914E5"/>
    <w:rsid w:val="002919FB"/>
    <w:rsid w:val="002950D1"/>
    <w:rsid w:val="0029586B"/>
    <w:rsid w:val="00296477"/>
    <w:rsid w:val="00296493"/>
    <w:rsid w:val="00297CD9"/>
    <w:rsid w:val="00297DC9"/>
    <w:rsid w:val="002A0E7C"/>
    <w:rsid w:val="002A0E82"/>
    <w:rsid w:val="002A0FE5"/>
    <w:rsid w:val="002A3A6E"/>
    <w:rsid w:val="002A3AC8"/>
    <w:rsid w:val="002A4BA7"/>
    <w:rsid w:val="002A5399"/>
    <w:rsid w:val="002A5A92"/>
    <w:rsid w:val="002A740E"/>
    <w:rsid w:val="002B0089"/>
    <w:rsid w:val="002B0FCE"/>
    <w:rsid w:val="002B2D9D"/>
    <w:rsid w:val="002B3076"/>
    <w:rsid w:val="002B31AD"/>
    <w:rsid w:val="002B3382"/>
    <w:rsid w:val="002B3767"/>
    <w:rsid w:val="002B3EB6"/>
    <w:rsid w:val="002B4B0D"/>
    <w:rsid w:val="002B5078"/>
    <w:rsid w:val="002B61D4"/>
    <w:rsid w:val="002B684A"/>
    <w:rsid w:val="002C011D"/>
    <w:rsid w:val="002C076D"/>
    <w:rsid w:val="002C0E88"/>
    <w:rsid w:val="002C2703"/>
    <w:rsid w:val="002C2F02"/>
    <w:rsid w:val="002C4311"/>
    <w:rsid w:val="002D001B"/>
    <w:rsid w:val="002D08E2"/>
    <w:rsid w:val="002D0BD9"/>
    <w:rsid w:val="002D0C4F"/>
    <w:rsid w:val="002D20AC"/>
    <w:rsid w:val="002D33E8"/>
    <w:rsid w:val="002D3BF8"/>
    <w:rsid w:val="002D3DA8"/>
    <w:rsid w:val="002D4017"/>
    <w:rsid w:val="002D4BD0"/>
    <w:rsid w:val="002D5216"/>
    <w:rsid w:val="002D547E"/>
    <w:rsid w:val="002D5C5B"/>
    <w:rsid w:val="002D650D"/>
    <w:rsid w:val="002D677B"/>
    <w:rsid w:val="002E00A3"/>
    <w:rsid w:val="002E00E6"/>
    <w:rsid w:val="002E0503"/>
    <w:rsid w:val="002E06ED"/>
    <w:rsid w:val="002E32B5"/>
    <w:rsid w:val="002E3A55"/>
    <w:rsid w:val="002E4908"/>
    <w:rsid w:val="002E5DE4"/>
    <w:rsid w:val="002E6F2D"/>
    <w:rsid w:val="002F0238"/>
    <w:rsid w:val="002F1316"/>
    <w:rsid w:val="002F1385"/>
    <w:rsid w:val="002F1A9A"/>
    <w:rsid w:val="002F3B92"/>
    <w:rsid w:val="002F4D5E"/>
    <w:rsid w:val="002F52AC"/>
    <w:rsid w:val="002F5552"/>
    <w:rsid w:val="002F6563"/>
    <w:rsid w:val="00301405"/>
    <w:rsid w:val="00301857"/>
    <w:rsid w:val="00302830"/>
    <w:rsid w:val="00303915"/>
    <w:rsid w:val="00303DEF"/>
    <w:rsid w:val="00304ABF"/>
    <w:rsid w:val="00304E5F"/>
    <w:rsid w:val="00305383"/>
    <w:rsid w:val="0030541E"/>
    <w:rsid w:val="003054A6"/>
    <w:rsid w:val="00305684"/>
    <w:rsid w:val="00305CBB"/>
    <w:rsid w:val="00305D58"/>
    <w:rsid w:val="00306216"/>
    <w:rsid w:val="00306411"/>
    <w:rsid w:val="003064CD"/>
    <w:rsid w:val="0030678F"/>
    <w:rsid w:val="003074B0"/>
    <w:rsid w:val="003077A3"/>
    <w:rsid w:val="00307831"/>
    <w:rsid w:val="00307B01"/>
    <w:rsid w:val="00310BC5"/>
    <w:rsid w:val="00310CE1"/>
    <w:rsid w:val="00310D7E"/>
    <w:rsid w:val="0031278E"/>
    <w:rsid w:val="003160F1"/>
    <w:rsid w:val="00316BFA"/>
    <w:rsid w:val="003172C8"/>
    <w:rsid w:val="00320122"/>
    <w:rsid w:val="003214EA"/>
    <w:rsid w:val="00321B87"/>
    <w:rsid w:val="003227DE"/>
    <w:rsid w:val="00322A65"/>
    <w:rsid w:val="0032388C"/>
    <w:rsid w:val="00323A08"/>
    <w:rsid w:val="00323A60"/>
    <w:rsid w:val="00324791"/>
    <w:rsid w:val="00324B2C"/>
    <w:rsid w:val="00324E5B"/>
    <w:rsid w:val="00325440"/>
    <w:rsid w:val="0032579A"/>
    <w:rsid w:val="0032615A"/>
    <w:rsid w:val="00326A17"/>
    <w:rsid w:val="00327473"/>
    <w:rsid w:val="00330392"/>
    <w:rsid w:val="00331CAA"/>
    <w:rsid w:val="00335BFC"/>
    <w:rsid w:val="00337DFD"/>
    <w:rsid w:val="003408BA"/>
    <w:rsid w:val="00340991"/>
    <w:rsid w:val="003419DB"/>
    <w:rsid w:val="003430EC"/>
    <w:rsid w:val="00343419"/>
    <w:rsid w:val="00344064"/>
    <w:rsid w:val="00344581"/>
    <w:rsid w:val="0034532C"/>
    <w:rsid w:val="0034562E"/>
    <w:rsid w:val="003458AF"/>
    <w:rsid w:val="003459E2"/>
    <w:rsid w:val="003460E6"/>
    <w:rsid w:val="003475A0"/>
    <w:rsid w:val="00347B03"/>
    <w:rsid w:val="00350131"/>
    <w:rsid w:val="00350442"/>
    <w:rsid w:val="003506D7"/>
    <w:rsid w:val="00352BC7"/>
    <w:rsid w:val="00352C2E"/>
    <w:rsid w:val="00353800"/>
    <w:rsid w:val="00353B12"/>
    <w:rsid w:val="00353BBC"/>
    <w:rsid w:val="0035474E"/>
    <w:rsid w:val="00354EEE"/>
    <w:rsid w:val="00357B6E"/>
    <w:rsid w:val="00357D9A"/>
    <w:rsid w:val="00357E74"/>
    <w:rsid w:val="00360ED1"/>
    <w:rsid w:val="00362AC9"/>
    <w:rsid w:val="00362C7D"/>
    <w:rsid w:val="003631E5"/>
    <w:rsid w:val="00364146"/>
    <w:rsid w:val="00365CCC"/>
    <w:rsid w:val="003669C8"/>
    <w:rsid w:val="00366C32"/>
    <w:rsid w:val="0036706C"/>
    <w:rsid w:val="0037005D"/>
    <w:rsid w:val="00370193"/>
    <w:rsid w:val="00370414"/>
    <w:rsid w:val="003704B1"/>
    <w:rsid w:val="003708CD"/>
    <w:rsid w:val="00371228"/>
    <w:rsid w:val="003736E1"/>
    <w:rsid w:val="003742CF"/>
    <w:rsid w:val="003742D4"/>
    <w:rsid w:val="0037692B"/>
    <w:rsid w:val="00381C7A"/>
    <w:rsid w:val="003821D6"/>
    <w:rsid w:val="00383CF0"/>
    <w:rsid w:val="00385570"/>
    <w:rsid w:val="003871D3"/>
    <w:rsid w:val="00387A01"/>
    <w:rsid w:val="0039007A"/>
    <w:rsid w:val="00390FB3"/>
    <w:rsid w:val="00391B6F"/>
    <w:rsid w:val="00392B85"/>
    <w:rsid w:val="003934A5"/>
    <w:rsid w:val="003943C4"/>
    <w:rsid w:val="00394491"/>
    <w:rsid w:val="00394901"/>
    <w:rsid w:val="00394EBF"/>
    <w:rsid w:val="00395DD7"/>
    <w:rsid w:val="0039641D"/>
    <w:rsid w:val="00397937"/>
    <w:rsid w:val="00397DA0"/>
    <w:rsid w:val="003A0A8E"/>
    <w:rsid w:val="003A0C1E"/>
    <w:rsid w:val="003A1ABF"/>
    <w:rsid w:val="003A243B"/>
    <w:rsid w:val="003A2FF8"/>
    <w:rsid w:val="003A50AE"/>
    <w:rsid w:val="003A52F0"/>
    <w:rsid w:val="003A5385"/>
    <w:rsid w:val="003A54C7"/>
    <w:rsid w:val="003A610C"/>
    <w:rsid w:val="003A76DB"/>
    <w:rsid w:val="003A7E75"/>
    <w:rsid w:val="003B03A6"/>
    <w:rsid w:val="003B1BB4"/>
    <w:rsid w:val="003B221D"/>
    <w:rsid w:val="003B2F87"/>
    <w:rsid w:val="003B3893"/>
    <w:rsid w:val="003B3ABE"/>
    <w:rsid w:val="003B3CEA"/>
    <w:rsid w:val="003B3E5F"/>
    <w:rsid w:val="003B3F15"/>
    <w:rsid w:val="003B561F"/>
    <w:rsid w:val="003B5F78"/>
    <w:rsid w:val="003B6D2E"/>
    <w:rsid w:val="003B7738"/>
    <w:rsid w:val="003B7B99"/>
    <w:rsid w:val="003C042A"/>
    <w:rsid w:val="003C0F72"/>
    <w:rsid w:val="003C1B86"/>
    <w:rsid w:val="003C31AF"/>
    <w:rsid w:val="003C384E"/>
    <w:rsid w:val="003C4355"/>
    <w:rsid w:val="003C6CE7"/>
    <w:rsid w:val="003C729B"/>
    <w:rsid w:val="003D1D46"/>
    <w:rsid w:val="003D269B"/>
    <w:rsid w:val="003D4638"/>
    <w:rsid w:val="003D539E"/>
    <w:rsid w:val="003D6E02"/>
    <w:rsid w:val="003D6ECA"/>
    <w:rsid w:val="003D70DF"/>
    <w:rsid w:val="003D7416"/>
    <w:rsid w:val="003D7B3D"/>
    <w:rsid w:val="003D7B97"/>
    <w:rsid w:val="003E05BE"/>
    <w:rsid w:val="003E07E5"/>
    <w:rsid w:val="003E0C89"/>
    <w:rsid w:val="003E10E3"/>
    <w:rsid w:val="003E22D4"/>
    <w:rsid w:val="003E2B94"/>
    <w:rsid w:val="003E36EB"/>
    <w:rsid w:val="003E3836"/>
    <w:rsid w:val="003E4CD9"/>
    <w:rsid w:val="003E6368"/>
    <w:rsid w:val="003E73BC"/>
    <w:rsid w:val="003F07AF"/>
    <w:rsid w:val="003F0F6C"/>
    <w:rsid w:val="003F15C6"/>
    <w:rsid w:val="003F1C7C"/>
    <w:rsid w:val="003F21E1"/>
    <w:rsid w:val="003F24E3"/>
    <w:rsid w:val="003F27D1"/>
    <w:rsid w:val="003F287E"/>
    <w:rsid w:val="003F3939"/>
    <w:rsid w:val="003F5BA8"/>
    <w:rsid w:val="003F70EA"/>
    <w:rsid w:val="003F7E44"/>
    <w:rsid w:val="004023F4"/>
    <w:rsid w:val="00402479"/>
    <w:rsid w:val="00402A7D"/>
    <w:rsid w:val="00402DEF"/>
    <w:rsid w:val="00404C2C"/>
    <w:rsid w:val="0040555E"/>
    <w:rsid w:val="00406C01"/>
    <w:rsid w:val="00406EED"/>
    <w:rsid w:val="00410766"/>
    <w:rsid w:val="00411FED"/>
    <w:rsid w:val="004120D1"/>
    <w:rsid w:val="004140BA"/>
    <w:rsid w:val="004144EB"/>
    <w:rsid w:val="004144EE"/>
    <w:rsid w:val="004146BE"/>
    <w:rsid w:val="00414855"/>
    <w:rsid w:val="00415460"/>
    <w:rsid w:val="00415483"/>
    <w:rsid w:val="00415974"/>
    <w:rsid w:val="00415A5E"/>
    <w:rsid w:val="004169D5"/>
    <w:rsid w:val="00420902"/>
    <w:rsid w:val="00421514"/>
    <w:rsid w:val="00421E3B"/>
    <w:rsid w:val="004246D3"/>
    <w:rsid w:val="00427697"/>
    <w:rsid w:val="00430570"/>
    <w:rsid w:val="004305ED"/>
    <w:rsid w:val="00431621"/>
    <w:rsid w:val="00431F78"/>
    <w:rsid w:val="004321EA"/>
    <w:rsid w:val="00432723"/>
    <w:rsid w:val="0043392B"/>
    <w:rsid w:val="00434DD9"/>
    <w:rsid w:val="00435582"/>
    <w:rsid w:val="00436553"/>
    <w:rsid w:val="004368D0"/>
    <w:rsid w:val="00436D82"/>
    <w:rsid w:val="0044114D"/>
    <w:rsid w:val="004415D8"/>
    <w:rsid w:val="004415FA"/>
    <w:rsid w:val="00441920"/>
    <w:rsid w:val="00442945"/>
    <w:rsid w:val="004449BA"/>
    <w:rsid w:val="00445117"/>
    <w:rsid w:val="0044707B"/>
    <w:rsid w:val="004470A5"/>
    <w:rsid w:val="00447374"/>
    <w:rsid w:val="00447A41"/>
    <w:rsid w:val="00450EDE"/>
    <w:rsid w:val="00450F68"/>
    <w:rsid w:val="0045114C"/>
    <w:rsid w:val="0045134D"/>
    <w:rsid w:val="00451DD3"/>
    <w:rsid w:val="004521FD"/>
    <w:rsid w:val="00452B3B"/>
    <w:rsid w:val="00455C99"/>
    <w:rsid w:val="00456E0B"/>
    <w:rsid w:val="004572B4"/>
    <w:rsid w:val="00457386"/>
    <w:rsid w:val="004609B4"/>
    <w:rsid w:val="00461E0C"/>
    <w:rsid w:val="004622AF"/>
    <w:rsid w:val="00462AA4"/>
    <w:rsid w:val="004715B6"/>
    <w:rsid w:val="00472BEC"/>
    <w:rsid w:val="00472D66"/>
    <w:rsid w:val="0047307A"/>
    <w:rsid w:val="004731C2"/>
    <w:rsid w:val="004736FC"/>
    <w:rsid w:val="00473CA5"/>
    <w:rsid w:val="00474F36"/>
    <w:rsid w:val="00474FC8"/>
    <w:rsid w:val="00475B65"/>
    <w:rsid w:val="00475BF0"/>
    <w:rsid w:val="00475C82"/>
    <w:rsid w:val="004761B9"/>
    <w:rsid w:val="004765BE"/>
    <w:rsid w:val="00476C9C"/>
    <w:rsid w:val="00477363"/>
    <w:rsid w:val="00477BFC"/>
    <w:rsid w:val="00483A85"/>
    <w:rsid w:val="0048747D"/>
    <w:rsid w:val="00487688"/>
    <w:rsid w:val="00492432"/>
    <w:rsid w:val="0049291E"/>
    <w:rsid w:val="004938FA"/>
    <w:rsid w:val="004943EA"/>
    <w:rsid w:val="004949D0"/>
    <w:rsid w:val="00496914"/>
    <w:rsid w:val="0049771B"/>
    <w:rsid w:val="0049798B"/>
    <w:rsid w:val="00497BCA"/>
    <w:rsid w:val="004A0CC8"/>
    <w:rsid w:val="004A1DE4"/>
    <w:rsid w:val="004A2A28"/>
    <w:rsid w:val="004A3500"/>
    <w:rsid w:val="004A37F3"/>
    <w:rsid w:val="004A41B7"/>
    <w:rsid w:val="004A5066"/>
    <w:rsid w:val="004A555B"/>
    <w:rsid w:val="004A572B"/>
    <w:rsid w:val="004A6496"/>
    <w:rsid w:val="004A75A3"/>
    <w:rsid w:val="004A77D7"/>
    <w:rsid w:val="004A7831"/>
    <w:rsid w:val="004B14C4"/>
    <w:rsid w:val="004B30C3"/>
    <w:rsid w:val="004B533D"/>
    <w:rsid w:val="004C09C9"/>
    <w:rsid w:val="004C0F4E"/>
    <w:rsid w:val="004C39E2"/>
    <w:rsid w:val="004C40E8"/>
    <w:rsid w:val="004C4AA1"/>
    <w:rsid w:val="004C4F45"/>
    <w:rsid w:val="004C54A0"/>
    <w:rsid w:val="004C5F6F"/>
    <w:rsid w:val="004C749A"/>
    <w:rsid w:val="004D08F5"/>
    <w:rsid w:val="004D10E7"/>
    <w:rsid w:val="004D1308"/>
    <w:rsid w:val="004D1BE6"/>
    <w:rsid w:val="004D34E8"/>
    <w:rsid w:val="004D362A"/>
    <w:rsid w:val="004D5A16"/>
    <w:rsid w:val="004D5B29"/>
    <w:rsid w:val="004D5E02"/>
    <w:rsid w:val="004D75D8"/>
    <w:rsid w:val="004D7F3B"/>
    <w:rsid w:val="004E05E7"/>
    <w:rsid w:val="004E250D"/>
    <w:rsid w:val="004E2DD2"/>
    <w:rsid w:val="004E2E50"/>
    <w:rsid w:val="004E2F35"/>
    <w:rsid w:val="004E3204"/>
    <w:rsid w:val="004E3FFF"/>
    <w:rsid w:val="004E58C3"/>
    <w:rsid w:val="004E61BF"/>
    <w:rsid w:val="004E62D6"/>
    <w:rsid w:val="004E754E"/>
    <w:rsid w:val="004E75A8"/>
    <w:rsid w:val="004E79BD"/>
    <w:rsid w:val="004F06C2"/>
    <w:rsid w:val="004F0820"/>
    <w:rsid w:val="004F0A5C"/>
    <w:rsid w:val="004F2383"/>
    <w:rsid w:val="004F5854"/>
    <w:rsid w:val="004F77DA"/>
    <w:rsid w:val="004F7DAF"/>
    <w:rsid w:val="005009E2"/>
    <w:rsid w:val="00500EDA"/>
    <w:rsid w:val="00502D50"/>
    <w:rsid w:val="005035AC"/>
    <w:rsid w:val="00503A81"/>
    <w:rsid w:val="00503BBD"/>
    <w:rsid w:val="00503E65"/>
    <w:rsid w:val="00504444"/>
    <w:rsid w:val="00504D5D"/>
    <w:rsid w:val="005055F8"/>
    <w:rsid w:val="00505BA0"/>
    <w:rsid w:val="00505D5E"/>
    <w:rsid w:val="00505E50"/>
    <w:rsid w:val="00510147"/>
    <w:rsid w:val="00511418"/>
    <w:rsid w:val="00511BF3"/>
    <w:rsid w:val="00512B8C"/>
    <w:rsid w:val="00514988"/>
    <w:rsid w:val="00514F5F"/>
    <w:rsid w:val="00515110"/>
    <w:rsid w:val="005154BC"/>
    <w:rsid w:val="005166AF"/>
    <w:rsid w:val="00517839"/>
    <w:rsid w:val="00523193"/>
    <w:rsid w:val="00523347"/>
    <w:rsid w:val="00523D34"/>
    <w:rsid w:val="00524898"/>
    <w:rsid w:val="00525C1D"/>
    <w:rsid w:val="00525DBB"/>
    <w:rsid w:val="005260EB"/>
    <w:rsid w:val="005262C2"/>
    <w:rsid w:val="00526AD5"/>
    <w:rsid w:val="00526AD9"/>
    <w:rsid w:val="0052732D"/>
    <w:rsid w:val="00527A20"/>
    <w:rsid w:val="005300F6"/>
    <w:rsid w:val="00530F5B"/>
    <w:rsid w:val="005310AE"/>
    <w:rsid w:val="005311B2"/>
    <w:rsid w:val="005318B9"/>
    <w:rsid w:val="00531E07"/>
    <w:rsid w:val="0053205B"/>
    <w:rsid w:val="005321F4"/>
    <w:rsid w:val="005332F5"/>
    <w:rsid w:val="00533503"/>
    <w:rsid w:val="00533CE6"/>
    <w:rsid w:val="005349EE"/>
    <w:rsid w:val="00534A1D"/>
    <w:rsid w:val="00535439"/>
    <w:rsid w:val="00540F72"/>
    <w:rsid w:val="0054255F"/>
    <w:rsid w:val="00543C5A"/>
    <w:rsid w:val="00545FA2"/>
    <w:rsid w:val="00545FB5"/>
    <w:rsid w:val="00551BEE"/>
    <w:rsid w:val="00552D6D"/>
    <w:rsid w:val="00552F70"/>
    <w:rsid w:val="00552FA5"/>
    <w:rsid w:val="005542F5"/>
    <w:rsid w:val="0055430E"/>
    <w:rsid w:val="00554CD4"/>
    <w:rsid w:val="00555069"/>
    <w:rsid w:val="00555CA0"/>
    <w:rsid w:val="00560E96"/>
    <w:rsid w:val="0056333D"/>
    <w:rsid w:val="005644F4"/>
    <w:rsid w:val="0056564F"/>
    <w:rsid w:val="005673FC"/>
    <w:rsid w:val="00567CCE"/>
    <w:rsid w:val="00575664"/>
    <w:rsid w:val="0057705A"/>
    <w:rsid w:val="005774D8"/>
    <w:rsid w:val="005801B8"/>
    <w:rsid w:val="005804F5"/>
    <w:rsid w:val="0058254F"/>
    <w:rsid w:val="0058604C"/>
    <w:rsid w:val="00586D9C"/>
    <w:rsid w:val="00586DBE"/>
    <w:rsid w:val="00587811"/>
    <w:rsid w:val="00590A8E"/>
    <w:rsid w:val="00590E23"/>
    <w:rsid w:val="00591953"/>
    <w:rsid w:val="005921ED"/>
    <w:rsid w:val="00592CAB"/>
    <w:rsid w:val="00593628"/>
    <w:rsid w:val="005947CD"/>
    <w:rsid w:val="00594E5C"/>
    <w:rsid w:val="0059500A"/>
    <w:rsid w:val="005975E2"/>
    <w:rsid w:val="0059792E"/>
    <w:rsid w:val="005A08BE"/>
    <w:rsid w:val="005A1765"/>
    <w:rsid w:val="005A199F"/>
    <w:rsid w:val="005A1D87"/>
    <w:rsid w:val="005A4358"/>
    <w:rsid w:val="005A4947"/>
    <w:rsid w:val="005A5AAB"/>
    <w:rsid w:val="005A5F10"/>
    <w:rsid w:val="005A632A"/>
    <w:rsid w:val="005A6378"/>
    <w:rsid w:val="005A69E2"/>
    <w:rsid w:val="005A7032"/>
    <w:rsid w:val="005A7BEB"/>
    <w:rsid w:val="005B01F2"/>
    <w:rsid w:val="005B5378"/>
    <w:rsid w:val="005B5A86"/>
    <w:rsid w:val="005B5F54"/>
    <w:rsid w:val="005B71B8"/>
    <w:rsid w:val="005C0844"/>
    <w:rsid w:val="005C14B5"/>
    <w:rsid w:val="005C394F"/>
    <w:rsid w:val="005C5364"/>
    <w:rsid w:val="005C6304"/>
    <w:rsid w:val="005C7489"/>
    <w:rsid w:val="005D090E"/>
    <w:rsid w:val="005D099E"/>
    <w:rsid w:val="005D1916"/>
    <w:rsid w:val="005D40C7"/>
    <w:rsid w:val="005D4382"/>
    <w:rsid w:val="005D44F8"/>
    <w:rsid w:val="005D4B47"/>
    <w:rsid w:val="005D57C1"/>
    <w:rsid w:val="005D5B48"/>
    <w:rsid w:val="005D60FF"/>
    <w:rsid w:val="005D6922"/>
    <w:rsid w:val="005D75C3"/>
    <w:rsid w:val="005D765E"/>
    <w:rsid w:val="005D7857"/>
    <w:rsid w:val="005E0C51"/>
    <w:rsid w:val="005E0D7E"/>
    <w:rsid w:val="005E56CB"/>
    <w:rsid w:val="005E67ED"/>
    <w:rsid w:val="005E6E8C"/>
    <w:rsid w:val="005E7B86"/>
    <w:rsid w:val="005F10BC"/>
    <w:rsid w:val="005F178B"/>
    <w:rsid w:val="005F2E90"/>
    <w:rsid w:val="005F3BCB"/>
    <w:rsid w:val="005F4A9E"/>
    <w:rsid w:val="005F4C5B"/>
    <w:rsid w:val="005F4E8C"/>
    <w:rsid w:val="005F5031"/>
    <w:rsid w:val="005F5398"/>
    <w:rsid w:val="005F6740"/>
    <w:rsid w:val="005F7940"/>
    <w:rsid w:val="006000EA"/>
    <w:rsid w:val="00600271"/>
    <w:rsid w:val="00601030"/>
    <w:rsid w:val="006015C3"/>
    <w:rsid w:val="0060192A"/>
    <w:rsid w:val="00604B46"/>
    <w:rsid w:val="00604FAC"/>
    <w:rsid w:val="006059BE"/>
    <w:rsid w:val="006072C6"/>
    <w:rsid w:val="00607554"/>
    <w:rsid w:val="00607CD1"/>
    <w:rsid w:val="00610CFC"/>
    <w:rsid w:val="00612CD5"/>
    <w:rsid w:val="006130F6"/>
    <w:rsid w:val="00613C23"/>
    <w:rsid w:val="006152B9"/>
    <w:rsid w:val="006158BA"/>
    <w:rsid w:val="00615E2C"/>
    <w:rsid w:val="00617175"/>
    <w:rsid w:val="006171FD"/>
    <w:rsid w:val="006172CD"/>
    <w:rsid w:val="00620645"/>
    <w:rsid w:val="006216D9"/>
    <w:rsid w:val="00621E1D"/>
    <w:rsid w:val="00621F3C"/>
    <w:rsid w:val="00622BA1"/>
    <w:rsid w:val="00623C44"/>
    <w:rsid w:val="006258C1"/>
    <w:rsid w:val="00625C7F"/>
    <w:rsid w:val="00625F05"/>
    <w:rsid w:val="006301EB"/>
    <w:rsid w:val="00630C3B"/>
    <w:rsid w:val="00631505"/>
    <w:rsid w:val="006327F5"/>
    <w:rsid w:val="0063491D"/>
    <w:rsid w:val="00635172"/>
    <w:rsid w:val="00636298"/>
    <w:rsid w:val="006368C7"/>
    <w:rsid w:val="00636ECE"/>
    <w:rsid w:val="00640D08"/>
    <w:rsid w:val="00641F1F"/>
    <w:rsid w:val="00642706"/>
    <w:rsid w:val="00642A13"/>
    <w:rsid w:val="00642A8F"/>
    <w:rsid w:val="00642E8F"/>
    <w:rsid w:val="006437DA"/>
    <w:rsid w:val="00643ECB"/>
    <w:rsid w:val="0064401B"/>
    <w:rsid w:val="0064422C"/>
    <w:rsid w:val="00645170"/>
    <w:rsid w:val="00645391"/>
    <w:rsid w:val="0064584C"/>
    <w:rsid w:val="00650288"/>
    <w:rsid w:val="006521DC"/>
    <w:rsid w:val="0065242B"/>
    <w:rsid w:val="00652638"/>
    <w:rsid w:val="0065458B"/>
    <w:rsid w:val="00654A2F"/>
    <w:rsid w:val="00654ECC"/>
    <w:rsid w:val="00655A5B"/>
    <w:rsid w:val="00655AC4"/>
    <w:rsid w:val="00655DDC"/>
    <w:rsid w:val="0065703A"/>
    <w:rsid w:val="0065707C"/>
    <w:rsid w:val="00660C81"/>
    <w:rsid w:val="00662E16"/>
    <w:rsid w:val="00662E83"/>
    <w:rsid w:val="00663E95"/>
    <w:rsid w:val="00664263"/>
    <w:rsid w:val="00664F45"/>
    <w:rsid w:val="00666BF3"/>
    <w:rsid w:val="006706A5"/>
    <w:rsid w:val="006709E7"/>
    <w:rsid w:val="0067116A"/>
    <w:rsid w:val="00671D61"/>
    <w:rsid w:val="00672851"/>
    <w:rsid w:val="00673B03"/>
    <w:rsid w:val="006746E9"/>
    <w:rsid w:val="006751AD"/>
    <w:rsid w:val="00676853"/>
    <w:rsid w:val="00676F22"/>
    <w:rsid w:val="00677076"/>
    <w:rsid w:val="0067741C"/>
    <w:rsid w:val="00680204"/>
    <w:rsid w:val="00680324"/>
    <w:rsid w:val="006811E0"/>
    <w:rsid w:val="0068197D"/>
    <w:rsid w:val="00683377"/>
    <w:rsid w:val="0068375B"/>
    <w:rsid w:val="00685438"/>
    <w:rsid w:val="00685C47"/>
    <w:rsid w:val="00686195"/>
    <w:rsid w:val="00686FE9"/>
    <w:rsid w:val="0068734F"/>
    <w:rsid w:val="006873CB"/>
    <w:rsid w:val="006877D1"/>
    <w:rsid w:val="006878D9"/>
    <w:rsid w:val="00690974"/>
    <w:rsid w:val="00690B33"/>
    <w:rsid w:val="00690F25"/>
    <w:rsid w:val="00692A05"/>
    <w:rsid w:val="006935F0"/>
    <w:rsid w:val="00693910"/>
    <w:rsid w:val="00694333"/>
    <w:rsid w:val="00694551"/>
    <w:rsid w:val="00694B21"/>
    <w:rsid w:val="00695654"/>
    <w:rsid w:val="006963AB"/>
    <w:rsid w:val="006A0550"/>
    <w:rsid w:val="006A0B82"/>
    <w:rsid w:val="006A16AB"/>
    <w:rsid w:val="006A20F1"/>
    <w:rsid w:val="006A29BE"/>
    <w:rsid w:val="006A2B40"/>
    <w:rsid w:val="006A527D"/>
    <w:rsid w:val="006A5B62"/>
    <w:rsid w:val="006A67DC"/>
    <w:rsid w:val="006A695D"/>
    <w:rsid w:val="006A757F"/>
    <w:rsid w:val="006A780B"/>
    <w:rsid w:val="006B075F"/>
    <w:rsid w:val="006B0A91"/>
    <w:rsid w:val="006B1632"/>
    <w:rsid w:val="006B247F"/>
    <w:rsid w:val="006B2691"/>
    <w:rsid w:val="006B460D"/>
    <w:rsid w:val="006B5FB9"/>
    <w:rsid w:val="006C0C15"/>
    <w:rsid w:val="006C11F4"/>
    <w:rsid w:val="006C3399"/>
    <w:rsid w:val="006C56A5"/>
    <w:rsid w:val="006C5BFF"/>
    <w:rsid w:val="006C5D46"/>
    <w:rsid w:val="006C5DAF"/>
    <w:rsid w:val="006C77BF"/>
    <w:rsid w:val="006D0207"/>
    <w:rsid w:val="006D04EE"/>
    <w:rsid w:val="006D3169"/>
    <w:rsid w:val="006D4294"/>
    <w:rsid w:val="006D6913"/>
    <w:rsid w:val="006D6E56"/>
    <w:rsid w:val="006E0ACD"/>
    <w:rsid w:val="006E0E1A"/>
    <w:rsid w:val="006E14B3"/>
    <w:rsid w:val="006E270D"/>
    <w:rsid w:val="006E3777"/>
    <w:rsid w:val="006E431C"/>
    <w:rsid w:val="006E50F1"/>
    <w:rsid w:val="006E716B"/>
    <w:rsid w:val="006F1076"/>
    <w:rsid w:val="006F133A"/>
    <w:rsid w:val="006F1A23"/>
    <w:rsid w:val="006F1DE7"/>
    <w:rsid w:val="006F1E4B"/>
    <w:rsid w:val="006F32C7"/>
    <w:rsid w:val="006F381F"/>
    <w:rsid w:val="006F4482"/>
    <w:rsid w:val="006F4C0F"/>
    <w:rsid w:val="006F54FA"/>
    <w:rsid w:val="006F5674"/>
    <w:rsid w:val="006F5F45"/>
    <w:rsid w:val="00700664"/>
    <w:rsid w:val="0070183E"/>
    <w:rsid w:val="0070190A"/>
    <w:rsid w:val="00701FAC"/>
    <w:rsid w:val="00702EF7"/>
    <w:rsid w:val="007031BF"/>
    <w:rsid w:val="0070324F"/>
    <w:rsid w:val="00703DA2"/>
    <w:rsid w:val="00704A66"/>
    <w:rsid w:val="007050C7"/>
    <w:rsid w:val="00706691"/>
    <w:rsid w:val="007078B7"/>
    <w:rsid w:val="0071020E"/>
    <w:rsid w:val="007109BC"/>
    <w:rsid w:val="00710EAE"/>
    <w:rsid w:val="00711A13"/>
    <w:rsid w:val="007132B5"/>
    <w:rsid w:val="00714A84"/>
    <w:rsid w:val="00715D19"/>
    <w:rsid w:val="0071619B"/>
    <w:rsid w:val="00716DBB"/>
    <w:rsid w:val="00717887"/>
    <w:rsid w:val="00717AA6"/>
    <w:rsid w:val="007207FD"/>
    <w:rsid w:val="00721551"/>
    <w:rsid w:val="0072235F"/>
    <w:rsid w:val="00724505"/>
    <w:rsid w:val="0072487D"/>
    <w:rsid w:val="0072643C"/>
    <w:rsid w:val="00727163"/>
    <w:rsid w:val="00730AC7"/>
    <w:rsid w:val="0073142B"/>
    <w:rsid w:val="00731CEA"/>
    <w:rsid w:val="00733D05"/>
    <w:rsid w:val="00733D0F"/>
    <w:rsid w:val="00735260"/>
    <w:rsid w:val="007357F0"/>
    <w:rsid w:val="00737F05"/>
    <w:rsid w:val="007431F5"/>
    <w:rsid w:val="00745908"/>
    <w:rsid w:val="0074764A"/>
    <w:rsid w:val="007477F4"/>
    <w:rsid w:val="0075282E"/>
    <w:rsid w:val="00752F02"/>
    <w:rsid w:val="00754AB5"/>
    <w:rsid w:val="00755CA9"/>
    <w:rsid w:val="0075617D"/>
    <w:rsid w:val="00756930"/>
    <w:rsid w:val="00757C4B"/>
    <w:rsid w:val="00761B0B"/>
    <w:rsid w:val="0076287C"/>
    <w:rsid w:val="007631E0"/>
    <w:rsid w:val="00764153"/>
    <w:rsid w:val="00765781"/>
    <w:rsid w:val="00766353"/>
    <w:rsid w:val="0076653C"/>
    <w:rsid w:val="007714B1"/>
    <w:rsid w:val="007717D2"/>
    <w:rsid w:val="00771A9F"/>
    <w:rsid w:val="00771F21"/>
    <w:rsid w:val="00774681"/>
    <w:rsid w:val="00774DE4"/>
    <w:rsid w:val="00776960"/>
    <w:rsid w:val="00780296"/>
    <w:rsid w:val="00780972"/>
    <w:rsid w:val="00781D9D"/>
    <w:rsid w:val="007821F6"/>
    <w:rsid w:val="00782DB4"/>
    <w:rsid w:val="00782F4A"/>
    <w:rsid w:val="00786E8E"/>
    <w:rsid w:val="007873C3"/>
    <w:rsid w:val="00787B2C"/>
    <w:rsid w:val="00787D24"/>
    <w:rsid w:val="007903C1"/>
    <w:rsid w:val="0079143A"/>
    <w:rsid w:val="007915C2"/>
    <w:rsid w:val="00791813"/>
    <w:rsid w:val="00793F29"/>
    <w:rsid w:val="007945F6"/>
    <w:rsid w:val="00794DE7"/>
    <w:rsid w:val="007A0E89"/>
    <w:rsid w:val="007A1DC5"/>
    <w:rsid w:val="007A20AD"/>
    <w:rsid w:val="007A5D05"/>
    <w:rsid w:val="007A7331"/>
    <w:rsid w:val="007A7415"/>
    <w:rsid w:val="007B0CB0"/>
    <w:rsid w:val="007B1085"/>
    <w:rsid w:val="007B3749"/>
    <w:rsid w:val="007B3A86"/>
    <w:rsid w:val="007B3DF4"/>
    <w:rsid w:val="007B4689"/>
    <w:rsid w:val="007B4823"/>
    <w:rsid w:val="007B4E8A"/>
    <w:rsid w:val="007B54ED"/>
    <w:rsid w:val="007B555E"/>
    <w:rsid w:val="007B6F8A"/>
    <w:rsid w:val="007C0279"/>
    <w:rsid w:val="007C0CEC"/>
    <w:rsid w:val="007C17CC"/>
    <w:rsid w:val="007C2A81"/>
    <w:rsid w:val="007C2B78"/>
    <w:rsid w:val="007C2EBE"/>
    <w:rsid w:val="007C31CC"/>
    <w:rsid w:val="007C35E2"/>
    <w:rsid w:val="007C37F1"/>
    <w:rsid w:val="007C3E46"/>
    <w:rsid w:val="007C5B2A"/>
    <w:rsid w:val="007C62F5"/>
    <w:rsid w:val="007D0869"/>
    <w:rsid w:val="007D0E00"/>
    <w:rsid w:val="007D1913"/>
    <w:rsid w:val="007D298C"/>
    <w:rsid w:val="007D3420"/>
    <w:rsid w:val="007D5362"/>
    <w:rsid w:val="007D6C48"/>
    <w:rsid w:val="007D71F7"/>
    <w:rsid w:val="007D71FA"/>
    <w:rsid w:val="007E000F"/>
    <w:rsid w:val="007E156E"/>
    <w:rsid w:val="007E2C46"/>
    <w:rsid w:val="007E2E70"/>
    <w:rsid w:val="007E3501"/>
    <w:rsid w:val="007E3BBC"/>
    <w:rsid w:val="007E5E28"/>
    <w:rsid w:val="007E67E2"/>
    <w:rsid w:val="007E72CB"/>
    <w:rsid w:val="007E7953"/>
    <w:rsid w:val="007E7D04"/>
    <w:rsid w:val="007F1ABF"/>
    <w:rsid w:val="007F2956"/>
    <w:rsid w:val="007F2CB5"/>
    <w:rsid w:val="007F2E32"/>
    <w:rsid w:val="007F3D2A"/>
    <w:rsid w:val="007F4939"/>
    <w:rsid w:val="007F6285"/>
    <w:rsid w:val="007F682E"/>
    <w:rsid w:val="007F6A11"/>
    <w:rsid w:val="007F74EC"/>
    <w:rsid w:val="008002AA"/>
    <w:rsid w:val="008014C3"/>
    <w:rsid w:val="00802783"/>
    <w:rsid w:val="00803F05"/>
    <w:rsid w:val="00804AD7"/>
    <w:rsid w:val="00805434"/>
    <w:rsid w:val="00806C07"/>
    <w:rsid w:val="00814E45"/>
    <w:rsid w:val="00815A24"/>
    <w:rsid w:val="00820001"/>
    <w:rsid w:val="008239D0"/>
    <w:rsid w:val="00823AF1"/>
    <w:rsid w:val="00824CEF"/>
    <w:rsid w:val="00824E89"/>
    <w:rsid w:val="00826480"/>
    <w:rsid w:val="008274CA"/>
    <w:rsid w:val="00830148"/>
    <w:rsid w:val="008316AD"/>
    <w:rsid w:val="00831855"/>
    <w:rsid w:val="0083371C"/>
    <w:rsid w:val="00834307"/>
    <w:rsid w:val="00835315"/>
    <w:rsid w:val="00835AEB"/>
    <w:rsid w:val="0083732D"/>
    <w:rsid w:val="00837E03"/>
    <w:rsid w:val="00840003"/>
    <w:rsid w:val="00840D0F"/>
    <w:rsid w:val="00842120"/>
    <w:rsid w:val="00842809"/>
    <w:rsid w:val="00842A84"/>
    <w:rsid w:val="00842FDE"/>
    <w:rsid w:val="00843A89"/>
    <w:rsid w:val="00844049"/>
    <w:rsid w:val="008445D4"/>
    <w:rsid w:val="008446F1"/>
    <w:rsid w:val="00845FC6"/>
    <w:rsid w:val="00846649"/>
    <w:rsid w:val="00846A60"/>
    <w:rsid w:val="00846FF0"/>
    <w:rsid w:val="00847E9A"/>
    <w:rsid w:val="00852A09"/>
    <w:rsid w:val="00852CA4"/>
    <w:rsid w:val="00854B56"/>
    <w:rsid w:val="0085728C"/>
    <w:rsid w:val="008611A4"/>
    <w:rsid w:val="00861FD7"/>
    <w:rsid w:val="0086363F"/>
    <w:rsid w:val="00863BA3"/>
    <w:rsid w:val="00864226"/>
    <w:rsid w:val="00864DB3"/>
    <w:rsid w:val="00865B4A"/>
    <w:rsid w:val="00865E17"/>
    <w:rsid w:val="008664AC"/>
    <w:rsid w:val="00866766"/>
    <w:rsid w:val="00866D13"/>
    <w:rsid w:val="008671DC"/>
    <w:rsid w:val="008678A4"/>
    <w:rsid w:val="008678C2"/>
    <w:rsid w:val="00874350"/>
    <w:rsid w:val="008754DA"/>
    <w:rsid w:val="00875BC6"/>
    <w:rsid w:val="00876346"/>
    <w:rsid w:val="00876965"/>
    <w:rsid w:val="00880101"/>
    <w:rsid w:val="0088013C"/>
    <w:rsid w:val="008801A2"/>
    <w:rsid w:val="00880F2C"/>
    <w:rsid w:val="00881210"/>
    <w:rsid w:val="00881882"/>
    <w:rsid w:val="00882AC7"/>
    <w:rsid w:val="00884452"/>
    <w:rsid w:val="00886014"/>
    <w:rsid w:val="008876A5"/>
    <w:rsid w:val="00887D29"/>
    <w:rsid w:val="008905D7"/>
    <w:rsid w:val="00890EDB"/>
    <w:rsid w:val="008921DC"/>
    <w:rsid w:val="00892DB0"/>
    <w:rsid w:val="00893FA3"/>
    <w:rsid w:val="00894F4D"/>
    <w:rsid w:val="00895B87"/>
    <w:rsid w:val="00895F32"/>
    <w:rsid w:val="00895F57"/>
    <w:rsid w:val="008960B7"/>
    <w:rsid w:val="008962F2"/>
    <w:rsid w:val="00896511"/>
    <w:rsid w:val="008975E7"/>
    <w:rsid w:val="008A0297"/>
    <w:rsid w:val="008A067A"/>
    <w:rsid w:val="008A08D2"/>
    <w:rsid w:val="008A0DE1"/>
    <w:rsid w:val="008A109E"/>
    <w:rsid w:val="008A2E7B"/>
    <w:rsid w:val="008A4004"/>
    <w:rsid w:val="008A58C3"/>
    <w:rsid w:val="008A6BF1"/>
    <w:rsid w:val="008A7600"/>
    <w:rsid w:val="008B13E7"/>
    <w:rsid w:val="008B1727"/>
    <w:rsid w:val="008B1D85"/>
    <w:rsid w:val="008B2D32"/>
    <w:rsid w:val="008B38B1"/>
    <w:rsid w:val="008B3920"/>
    <w:rsid w:val="008B3CD2"/>
    <w:rsid w:val="008B4224"/>
    <w:rsid w:val="008B4229"/>
    <w:rsid w:val="008B478A"/>
    <w:rsid w:val="008B5B9D"/>
    <w:rsid w:val="008B602D"/>
    <w:rsid w:val="008B6AB2"/>
    <w:rsid w:val="008B6F16"/>
    <w:rsid w:val="008C01FE"/>
    <w:rsid w:val="008C0618"/>
    <w:rsid w:val="008C2B6F"/>
    <w:rsid w:val="008C465E"/>
    <w:rsid w:val="008C4752"/>
    <w:rsid w:val="008C4CE4"/>
    <w:rsid w:val="008C551F"/>
    <w:rsid w:val="008C554B"/>
    <w:rsid w:val="008C73D6"/>
    <w:rsid w:val="008D0C62"/>
    <w:rsid w:val="008D1C6C"/>
    <w:rsid w:val="008D2CD6"/>
    <w:rsid w:val="008D3565"/>
    <w:rsid w:val="008D40B9"/>
    <w:rsid w:val="008D4939"/>
    <w:rsid w:val="008D542A"/>
    <w:rsid w:val="008D6E6F"/>
    <w:rsid w:val="008D726D"/>
    <w:rsid w:val="008E30AD"/>
    <w:rsid w:val="008E3D60"/>
    <w:rsid w:val="008E5F6C"/>
    <w:rsid w:val="008E7390"/>
    <w:rsid w:val="008F05C2"/>
    <w:rsid w:val="008F1A58"/>
    <w:rsid w:val="008F1AF0"/>
    <w:rsid w:val="008F1F00"/>
    <w:rsid w:val="008F2382"/>
    <w:rsid w:val="008F2BA7"/>
    <w:rsid w:val="008F3BA8"/>
    <w:rsid w:val="008F42BB"/>
    <w:rsid w:val="008F4320"/>
    <w:rsid w:val="008F47D1"/>
    <w:rsid w:val="008F6BC5"/>
    <w:rsid w:val="008F6C87"/>
    <w:rsid w:val="008F79AE"/>
    <w:rsid w:val="009000CA"/>
    <w:rsid w:val="009005AB"/>
    <w:rsid w:val="0090192D"/>
    <w:rsid w:val="00905434"/>
    <w:rsid w:val="00905C39"/>
    <w:rsid w:val="00905C9B"/>
    <w:rsid w:val="00905FD8"/>
    <w:rsid w:val="009072F6"/>
    <w:rsid w:val="00907620"/>
    <w:rsid w:val="00907697"/>
    <w:rsid w:val="00910052"/>
    <w:rsid w:val="00910275"/>
    <w:rsid w:val="00910311"/>
    <w:rsid w:val="00910AE4"/>
    <w:rsid w:val="009113AE"/>
    <w:rsid w:val="009114A1"/>
    <w:rsid w:val="00912262"/>
    <w:rsid w:val="00914E96"/>
    <w:rsid w:val="009152F2"/>
    <w:rsid w:val="00920BD4"/>
    <w:rsid w:val="00921F3C"/>
    <w:rsid w:val="009231DE"/>
    <w:rsid w:val="009243B3"/>
    <w:rsid w:val="00924F4A"/>
    <w:rsid w:val="00925159"/>
    <w:rsid w:val="009259EF"/>
    <w:rsid w:val="009260A3"/>
    <w:rsid w:val="009273A0"/>
    <w:rsid w:val="00927529"/>
    <w:rsid w:val="00927725"/>
    <w:rsid w:val="00927DC4"/>
    <w:rsid w:val="009304FE"/>
    <w:rsid w:val="00930782"/>
    <w:rsid w:val="009310F0"/>
    <w:rsid w:val="009321A5"/>
    <w:rsid w:val="0093237C"/>
    <w:rsid w:val="0093422B"/>
    <w:rsid w:val="00934AA2"/>
    <w:rsid w:val="00934BDE"/>
    <w:rsid w:val="00934D92"/>
    <w:rsid w:val="00935660"/>
    <w:rsid w:val="0093570A"/>
    <w:rsid w:val="009363C8"/>
    <w:rsid w:val="00936EC8"/>
    <w:rsid w:val="0094101F"/>
    <w:rsid w:val="0094128D"/>
    <w:rsid w:val="00943F6E"/>
    <w:rsid w:val="00944BF1"/>
    <w:rsid w:val="00944CF4"/>
    <w:rsid w:val="00944D1A"/>
    <w:rsid w:val="00945828"/>
    <w:rsid w:val="00945D59"/>
    <w:rsid w:val="00946E1E"/>
    <w:rsid w:val="009477BA"/>
    <w:rsid w:val="00947F9D"/>
    <w:rsid w:val="00951D24"/>
    <w:rsid w:val="00952049"/>
    <w:rsid w:val="00952B2E"/>
    <w:rsid w:val="00953BC2"/>
    <w:rsid w:val="009565E3"/>
    <w:rsid w:val="00956972"/>
    <w:rsid w:val="009572B3"/>
    <w:rsid w:val="0095737A"/>
    <w:rsid w:val="00961E91"/>
    <w:rsid w:val="00961FE6"/>
    <w:rsid w:val="009623E5"/>
    <w:rsid w:val="0096368A"/>
    <w:rsid w:val="0096670F"/>
    <w:rsid w:val="00966A01"/>
    <w:rsid w:val="009720AE"/>
    <w:rsid w:val="00974568"/>
    <w:rsid w:val="00974C44"/>
    <w:rsid w:val="00977973"/>
    <w:rsid w:val="0098068B"/>
    <w:rsid w:val="00980D3F"/>
    <w:rsid w:val="00980E18"/>
    <w:rsid w:val="00981F79"/>
    <w:rsid w:val="009834E9"/>
    <w:rsid w:val="009836E9"/>
    <w:rsid w:val="00983C47"/>
    <w:rsid w:val="009850EF"/>
    <w:rsid w:val="0098682A"/>
    <w:rsid w:val="009868FC"/>
    <w:rsid w:val="00986B36"/>
    <w:rsid w:val="00987295"/>
    <w:rsid w:val="0099107A"/>
    <w:rsid w:val="00991A16"/>
    <w:rsid w:val="009920D5"/>
    <w:rsid w:val="009926A1"/>
    <w:rsid w:val="00992AC8"/>
    <w:rsid w:val="009939E6"/>
    <w:rsid w:val="00993BEE"/>
    <w:rsid w:val="00995287"/>
    <w:rsid w:val="009957BC"/>
    <w:rsid w:val="009961EE"/>
    <w:rsid w:val="009974C4"/>
    <w:rsid w:val="009A0BF1"/>
    <w:rsid w:val="009A3F78"/>
    <w:rsid w:val="009A43AF"/>
    <w:rsid w:val="009A6C41"/>
    <w:rsid w:val="009B0086"/>
    <w:rsid w:val="009B1FB6"/>
    <w:rsid w:val="009B34E6"/>
    <w:rsid w:val="009B4E8F"/>
    <w:rsid w:val="009B5F8C"/>
    <w:rsid w:val="009B7B80"/>
    <w:rsid w:val="009B7FCB"/>
    <w:rsid w:val="009C07DF"/>
    <w:rsid w:val="009C0E2E"/>
    <w:rsid w:val="009C190C"/>
    <w:rsid w:val="009C22A6"/>
    <w:rsid w:val="009C2436"/>
    <w:rsid w:val="009C3134"/>
    <w:rsid w:val="009C3A87"/>
    <w:rsid w:val="009C596F"/>
    <w:rsid w:val="009C6378"/>
    <w:rsid w:val="009C79CB"/>
    <w:rsid w:val="009D21D0"/>
    <w:rsid w:val="009D2FBA"/>
    <w:rsid w:val="009D351E"/>
    <w:rsid w:val="009D7787"/>
    <w:rsid w:val="009E02C9"/>
    <w:rsid w:val="009E24BA"/>
    <w:rsid w:val="009E2A96"/>
    <w:rsid w:val="009E3597"/>
    <w:rsid w:val="009E39DC"/>
    <w:rsid w:val="009E5645"/>
    <w:rsid w:val="009E56B4"/>
    <w:rsid w:val="009E5D11"/>
    <w:rsid w:val="009E6E80"/>
    <w:rsid w:val="009F11F6"/>
    <w:rsid w:val="009F1492"/>
    <w:rsid w:val="009F21C1"/>
    <w:rsid w:val="009F2690"/>
    <w:rsid w:val="009F3276"/>
    <w:rsid w:val="009F43C3"/>
    <w:rsid w:val="009F465A"/>
    <w:rsid w:val="009F4EFC"/>
    <w:rsid w:val="009F7A56"/>
    <w:rsid w:val="00A00BD3"/>
    <w:rsid w:val="00A013C6"/>
    <w:rsid w:val="00A020B4"/>
    <w:rsid w:val="00A043FE"/>
    <w:rsid w:val="00A04DF0"/>
    <w:rsid w:val="00A05916"/>
    <w:rsid w:val="00A05AA6"/>
    <w:rsid w:val="00A05CC7"/>
    <w:rsid w:val="00A05CDC"/>
    <w:rsid w:val="00A06192"/>
    <w:rsid w:val="00A06639"/>
    <w:rsid w:val="00A06FDB"/>
    <w:rsid w:val="00A07065"/>
    <w:rsid w:val="00A073EF"/>
    <w:rsid w:val="00A07A6A"/>
    <w:rsid w:val="00A07FC9"/>
    <w:rsid w:val="00A11861"/>
    <w:rsid w:val="00A11C29"/>
    <w:rsid w:val="00A1266A"/>
    <w:rsid w:val="00A13260"/>
    <w:rsid w:val="00A13608"/>
    <w:rsid w:val="00A1389B"/>
    <w:rsid w:val="00A1622A"/>
    <w:rsid w:val="00A16EEB"/>
    <w:rsid w:val="00A20D7E"/>
    <w:rsid w:val="00A2114F"/>
    <w:rsid w:val="00A21193"/>
    <w:rsid w:val="00A2216E"/>
    <w:rsid w:val="00A22D28"/>
    <w:rsid w:val="00A22F5A"/>
    <w:rsid w:val="00A2370B"/>
    <w:rsid w:val="00A23F13"/>
    <w:rsid w:val="00A27A18"/>
    <w:rsid w:val="00A27ACC"/>
    <w:rsid w:val="00A27C20"/>
    <w:rsid w:val="00A30EA6"/>
    <w:rsid w:val="00A31406"/>
    <w:rsid w:val="00A31523"/>
    <w:rsid w:val="00A31536"/>
    <w:rsid w:val="00A33D86"/>
    <w:rsid w:val="00A346FE"/>
    <w:rsid w:val="00A34920"/>
    <w:rsid w:val="00A36E14"/>
    <w:rsid w:val="00A40446"/>
    <w:rsid w:val="00A41988"/>
    <w:rsid w:val="00A42AA4"/>
    <w:rsid w:val="00A433AF"/>
    <w:rsid w:val="00A4347E"/>
    <w:rsid w:val="00A437BB"/>
    <w:rsid w:val="00A45E9D"/>
    <w:rsid w:val="00A46C9F"/>
    <w:rsid w:val="00A4716C"/>
    <w:rsid w:val="00A47535"/>
    <w:rsid w:val="00A5127C"/>
    <w:rsid w:val="00A5273A"/>
    <w:rsid w:val="00A52978"/>
    <w:rsid w:val="00A53130"/>
    <w:rsid w:val="00A5412B"/>
    <w:rsid w:val="00A54500"/>
    <w:rsid w:val="00A546C5"/>
    <w:rsid w:val="00A573A6"/>
    <w:rsid w:val="00A57780"/>
    <w:rsid w:val="00A57C4A"/>
    <w:rsid w:val="00A6042C"/>
    <w:rsid w:val="00A60B7E"/>
    <w:rsid w:val="00A6165D"/>
    <w:rsid w:val="00A64735"/>
    <w:rsid w:val="00A65C63"/>
    <w:rsid w:val="00A664A2"/>
    <w:rsid w:val="00A66ABD"/>
    <w:rsid w:val="00A66B50"/>
    <w:rsid w:val="00A66D18"/>
    <w:rsid w:val="00A70B90"/>
    <w:rsid w:val="00A71393"/>
    <w:rsid w:val="00A71720"/>
    <w:rsid w:val="00A7322E"/>
    <w:rsid w:val="00A747F4"/>
    <w:rsid w:val="00A77072"/>
    <w:rsid w:val="00A778F9"/>
    <w:rsid w:val="00A80F52"/>
    <w:rsid w:val="00A81BA0"/>
    <w:rsid w:val="00A82079"/>
    <w:rsid w:val="00A82732"/>
    <w:rsid w:val="00A830FA"/>
    <w:rsid w:val="00A84ECB"/>
    <w:rsid w:val="00A8510A"/>
    <w:rsid w:val="00A85226"/>
    <w:rsid w:val="00A860D4"/>
    <w:rsid w:val="00A86CE3"/>
    <w:rsid w:val="00A874F3"/>
    <w:rsid w:val="00A87BC8"/>
    <w:rsid w:val="00A910BC"/>
    <w:rsid w:val="00A92240"/>
    <w:rsid w:val="00A94058"/>
    <w:rsid w:val="00A944A8"/>
    <w:rsid w:val="00A973D1"/>
    <w:rsid w:val="00AA01D8"/>
    <w:rsid w:val="00AA0388"/>
    <w:rsid w:val="00AA1C62"/>
    <w:rsid w:val="00AA3DEA"/>
    <w:rsid w:val="00AA3F17"/>
    <w:rsid w:val="00AA4898"/>
    <w:rsid w:val="00AA5C5A"/>
    <w:rsid w:val="00AB1C24"/>
    <w:rsid w:val="00AB21B5"/>
    <w:rsid w:val="00AB2C4F"/>
    <w:rsid w:val="00AB3001"/>
    <w:rsid w:val="00AB437E"/>
    <w:rsid w:val="00AB4778"/>
    <w:rsid w:val="00AB4F4F"/>
    <w:rsid w:val="00AB5ABD"/>
    <w:rsid w:val="00AB5F73"/>
    <w:rsid w:val="00AB6968"/>
    <w:rsid w:val="00AB699B"/>
    <w:rsid w:val="00AB6B35"/>
    <w:rsid w:val="00AB6BB7"/>
    <w:rsid w:val="00AC113A"/>
    <w:rsid w:val="00AC1FB3"/>
    <w:rsid w:val="00AC2919"/>
    <w:rsid w:val="00AC2F74"/>
    <w:rsid w:val="00AC3473"/>
    <w:rsid w:val="00AC44BA"/>
    <w:rsid w:val="00AC4746"/>
    <w:rsid w:val="00AC5FB9"/>
    <w:rsid w:val="00AC7204"/>
    <w:rsid w:val="00AC7ED1"/>
    <w:rsid w:val="00AD07F3"/>
    <w:rsid w:val="00AD1159"/>
    <w:rsid w:val="00AD2369"/>
    <w:rsid w:val="00AD3BCB"/>
    <w:rsid w:val="00AD43A3"/>
    <w:rsid w:val="00AD4485"/>
    <w:rsid w:val="00AD5C38"/>
    <w:rsid w:val="00AD6935"/>
    <w:rsid w:val="00AD6E90"/>
    <w:rsid w:val="00AE2D37"/>
    <w:rsid w:val="00AE2D7B"/>
    <w:rsid w:val="00AE305E"/>
    <w:rsid w:val="00AE32BE"/>
    <w:rsid w:val="00AE3667"/>
    <w:rsid w:val="00AE3EE8"/>
    <w:rsid w:val="00AE5F4C"/>
    <w:rsid w:val="00AE63CC"/>
    <w:rsid w:val="00AE655A"/>
    <w:rsid w:val="00AE7F8B"/>
    <w:rsid w:val="00AF0AC1"/>
    <w:rsid w:val="00AF15D1"/>
    <w:rsid w:val="00AF16AA"/>
    <w:rsid w:val="00AF1F4E"/>
    <w:rsid w:val="00AF32B6"/>
    <w:rsid w:val="00AF4511"/>
    <w:rsid w:val="00AF4CD0"/>
    <w:rsid w:val="00AF4E66"/>
    <w:rsid w:val="00AF56AF"/>
    <w:rsid w:val="00AF6869"/>
    <w:rsid w:val="00AF6DD9"/>
    <w:rsid w:val="00AF781E"/>
    <w:rsid w:val="00B0023A"/>
    <w:rsid w:val="00B002DE"/>
    <w:rsid w:val="00B011C9"/>
    <w:rsid w:val="00B020FE"/>
    <w:rsid w:val="00B03703"/>
    <w:rsid w:val="00B03854"/>
    <w:rsid w:val="00B05067"/>
    <w:rsid w:val="00B05C76"/>
    <w:rsid w:val="00B05F40"/>
    <w:rsid w:val="00B06471"/>
    <w:rsid w:val="00B07E37"/>
    <w:rsid w:val="00B10CEB"/>
    <w:rsid w:val="00B10F4E"/>
    <w:rsid w:val="00B11775"/>
    <w:rsid w:val="00B11E5B"/>
    <w:rsid w:val="00B146AF"/>
    <w:rsid w:val="00B148A4"/>
    <w:rsid w:val="00B14F38"/>
    <w:rsid w:val="00B1511A"/>
    <w:rsid w:val="00B152A9"/>
    <w:rsid w:val="00B15D08"/>
    <w:rsid w:val="00B16C25"/>
    <w:rsid w:val="00B20655"/>
    <w:rsid w:val="00B20AC4"/>
    <w:rsid w:val="00B21832"/>
    <w:rsid w:val="00B2259A"/>
    <w:rsid w:val="00B22809"/>
    <w:rsid w:val="00B2631A"/>
    <w:rsid w:val="00B26502"/>
    <w:rsid w:val="00B265B1"/>
    <w:rsid w:val="00B303F0"/>
    <w:rsid w:val="00B312A4"/>
    <w:rsid w:val="00B32D74"/>
    <w:rsid w:val="00B34952"/>
    <w:rsid w:val="00B3533C"/>
    <w:rsid w:val="00B35695"/>
    <w:rsid w:val="00B35D17"/>
    <w:rsid w:val="00B36506"/>
    <w:rsid w:val="00B40231"/>
    <w:rsid w:val="00B40C7A"/>
    <w:rsid w:val="00B419E0"/>
    <w:rsid w:val="00B4266C"/>
    <w:rsid w:val="00B42686"/>
    <w:rsid w:val="00B42F5F"/>
    <w:rsid w:val="00B44516"/>
    <w:rsid w:val="00B45338"/>
    <w:rsid w:val="00B453B1"/>
    <w:rsid w:val="00B45F44"/>
    <w:rsid w:val="00B47C68"/>
    <w:rsid w:val="00B506EB"/>
    <w:rsid w:val="00B508E9"/>
    <w:rsid w:val="00B51B80"/>
    <w:rsid w:val="00B51BDE"/>
    <w:rsid w:val="00B52B1B"/>
    <w:rsid w:val="00B531EE"/>
    <w:rsid w:val="00B531F1"/>
    <w:rsid w:val="00B534AD"/>
    <w:rsid w:val="00B555ED"/>
    <w:rsid w:val="00B56E5D"/>
    <w:rsid w:val="00B60969"/>
    <w:rsid w:val="00B6106F"/>
    <w:rsid w:val="00B6173F"/>
    <w:rsid w:val="00B64617"/>
    <w:rsid w:val="00B64C58"/>
    <w:rsid w:val="00B676DC"/>
    <w:rsid w:val="00B70517"/>
    <w:rsid w:val="00B7181E"/>
    <w:rsid w:val="00B7212F"/>
    <w:rsid w:val="00B721B6"/>
    <w:rsid w:val="00B72809"/>
    <w:rsid w:val="00B751FF"/>
    <w:rsid w:val="00B75BB3"/>
    <w:rsid w:val="00B75E37"/>
    <w:rsid w:val="00B771A9"/>
    <w:rsid w:val="00B77961"/>
    <w:rsid w:val="00B8045B"/>
    <w:rsid w:val="00B80D03"/>
    <w:rsid w:val="00B81952"/>
    <w:rsid w:val="00B83FC6"/>
    <w:rsid w:val="00B84B02"/>
    <w:rsid w:val="00B87CF5"/>
    <w:rsid w:val="00B910D7"/>
    <w:rsid w:val="00B9185F"/>
    <w:rsid w:val="00B918B1"/>
    <w:rsid w:val="00B92D56"/>
    <w:rsid w:val="00B93967"/>
    <w:rsid w:val="00B94920"/>
    <w:rsid w:val="00B95A7D"/>
    <w:rsid w:val="00B96A3D"/>
    <w:rsid w:val="00BA26FE"/>
    <w:rsid w:val="00BA4EA6"/>
    <w:rsid w:val="00BA657A"/>
    <w:rsid w:val="00BA7BB4"/>
    <w:rsid w:val="00BB034D"/>
    <w:rsid w:val="00BB0434"/>
    <w:rsid w:val="00BB1D6C"/>
    <w:rsid w:val="00BB25C7"/>
    <w:rsid w:val="00BB276B"/>
    <w:rsid w:val="00BB2E66"/>
    <w:rsid w:val="00BB2F66"/>
    <w:rsid w:val="00BB354F"/>
    <w:rsid w:val="00BB36A8"/>
    <w:rsid w:val="00BB41BD"/>
    <w:rsid w:val="00BB46F7"/>
    <w:rsid w:val="00BB47B3"/>
    <w:rsid w:val="00BB4825"/>
    <w:rsid w:val="00BB4F94"/>
    <w:rsid w:val="00BB5B0A"/>
    <w:rsid w:val="00BB5CB3"/>
    <w:rsid w:val="00BB5DE9"/>
    <w:rsid w:val="00BB700A"/>
    <w:rsid w:val="00BC0183"/>
    <w:rsid w:val="00BC108B"/>
    <w:rsid w:val="00BC12B6"/>
    <w:rsid w:val="00BC207B"/>
    <w:rsid w:val="00BC22A6"/>
    <w:rsid w:val="00BC283F"/>
    <w:rsid w:val="00BC2DCC"/>
    <w:rsid w:val="00BC321A"/>
    <w:rsid w:val="00BC5C7E"/>
    <w:rsid w:val="00BC7CAF"/>
    <w:rsid w:val="00BD114E"/>
    <w:rsid w:val="00BD139C"/>
    <w:rsid w:val="00BD1E93"/>
    <w:rsid w:val="00BD2684"/>
    <w:rsid w:val="00BD273B"/>
    <w:rsid w:val="00BD27A4"/>
    <w:rsid w:val="00BD57A1"/>
    <w:rsid w:val="00BD57BE"/>
    <w:rsid w:val="00BD74CA"/>
    <w:rsid w:val="00BD7790"/>
    <w:rsid w:val="00BE1981"/>
    <w:rsid w:val="00BE1985"/>
    <w:rsid w:val="00BE1B63"/>
    <w:rsid w:val="00BE26EB"/>
    <w:rsid w:val="00BE2DFC"/>
    <w:rsid w:val="00BE37E1"/>
    <w:rsid w:val="00BE3875"/>
    <w:rsid w:val="00BE3F29"/>
    <w:rsid w:val="00BE689F"/>
    <w:rsid w:val="00BE6BBF"/>
    <w:rsid w:val="00BE7C36"/>
    <w:rsid w:val="00BF12D8"/>
    <w:rsid w:val="00BF335C"/>
    <w:rsid w:val="00BF422A"/>
    <w:rsid w:val="00BF48C1"/>
    <w:rsid w:val="00BF5828"/>
    <w:rsid w:val="00C00570"/>
    <w:rsid w:val="00C00AE5"/>
    <w:rsid w:val="00C00CE1"/>
    <w:rsid w:val="00C030B3"/>
    <w:rsid w:val="00C03981"/>
    <w:rsid w:val="00C03A4C"/>
    <w:rsid w:val="00C03D40"/>
    <w:rsid w:val="00C03E6B"/>
    <w:rsid w:val="00C03F51"/>
    <w:rsid w:val="00C04218"/>
    <w:rsid w:val="00C05103"/>
    <w:rsid w:val="00C0704F"/>
    <w:rsid w:val="00C07844"/>
    <w:rsid w:val="00C100FF"/>
    <w:rsid w:val="00C110E5"/>
    <w:rsid w:val="00C1118B"/>
    <w:rsid w:val="00C1369E"/>
    <w:rsid w:val="00C13ED1"/>
    <w:rsid w:val="00C1408E"/>
    <w:rsid w:val="00C14801"/>
    <w:rsid w:val="00C14D24"/>
    <w:rsid w:val="00C15225"/>
    <w:rsid w:val="00C16966"/>
    <w:rsid w:val="00C16BFE"/>
    <w:rsid w:val="00C16E50"/>
    <w:rsid w:val="00C20E8B"/>
    <w:rsid w:val="00C23C75"/>
    <w:rsid w:val="00C25EB9"/>
    <w:rsid w:val="00C26422"/>
    <w:rsid w:val="00C26866"/>
    <w:rsid w:val="00C26C7C"/>
    <w:rsid w:val="00C27327"/>
    <w:rsid w:val="00C27535"/>
    <w:rsid w:val="00C32484"/>
    <w:rsid w:val="00C3269F"/>
    <w:rsid w:val="00C34494"/>
    <w:rsid w:val="00C349D2"/>
    <w:rsid w:val="00C363DB"/>
    <w:rsid w:val="00C41F4A"/>
    <w:rsid w:val="00C42CFC"/>
    <w:rsid w:val="00C43468"/>
    <w:rsid w:val="00C44D0D"/>
    <w:rsid w:val="00C45358"/>
    <w:rsid w:val="00C45513"/>
    <w:rsid w:val="00C45969"/>
    <w:rsid w:val="00C4609E"/>
    <w:rsid w:val="00C46175"/>
    <w:rsid w:val="00C4681F"/>
    <w:rsid w:val="00C4799E"/>
    <w:rsid w:val="00C50E87"/>
    <w:rsid w:val="00C51391"/>
    <w:rsid w:val="00C52998"/>
    <w:rsid w:val="00C538C5"/>
    <w:rsid w:val="00C53D36"/>
    <w:rsid w:val="00C56BAE"/>
    <w:rsid w:val="00C56CDC"/>
    <w:rsid w:val="00C57286"/>
    <w:rsid w:val="00C6107C"/>
    <w:rsid w:val="00C61779"/>
    <w:rsid w:val="00C621F1"/>
    <w:rsid w:val="00C62588"/>
    <w:rsid w:val="00C648FC"/>
    <w:rsid w:val="00C65E9D"/>
    <w:rsid w:val="00C70179"/>
    <w:rsid w:val="00C70185"/>
    <w:rsid w:val="00C70497"/>
    <w:rsid w:val="00C704B8"/>
    <w:rsid w:val="00C71332"/>
    <w:rsid w:val="00C71C62"/>
    <w:rsid w:val="00C71F72"/>
    <w:rsid w:val="00C726B8"/>
    <w:rsid w:val="00C74BED"/>
    <w:rsid w:val="00C74E95"/>
    <w:rsid w:val="00C752DE"/>
    <w:rsid w:val="00C809A2"/>
    <w:rsid w:val="00C81097"/>
    <w:rsid w:val="00C81704"/>
    <w:rsid w:val="00C837CC"/>
    <w:rsid w:val="00C840A0"/>
    <w:rsid w:val="00C84DCE"/>
    <w:rsid w:val="00C869F3"/>
    <w:rsid w:val="00C86F0C"/>
    <w:rsid w:val="00C87880"/>
    <w:rsid w:val="00C90511"/>
    <w:rsid w:val="00C918DF"/>
    <w:rsid w:val="00C91D65"/>
    <w:rsid w:val="00C93939"/>
    <w:rsid w:val="00C93DC0"/>
    <w:rsid w:val="00C945C2"/>
    <w:rsid w:val="00C96BC5"/>
    <w:rsid w:val="00C97BC9"/>
    <w:rsid w:val="00C97D76"/>
    <w:rsid w:val="00CA00C1"/>
    <w:rsid w:val="00CA1710"/>
    <w:rsid w:val="00CA1972"/>
    <w:rsid w:val="00CA1ABC"/>
    <w:rsid w:val="00CA1C47"/>
    <w:rsid w:val="00CA1E09"/>
    <w:rsid w:val="00CA3612"/>
    <w:rsid w:val="00CA372D"/>
    <w:rsid w:val="00CA3C2D"/>
    <w:rsid w:val="00CA4026"/>
    <w:rsid w:val="00CA4637"/>
    <w:rsid w:val="00CA4C2D"/>
    <w:rsid w:val="00CA5B53"/>
    <w:rsid w:val="00CA63A8"/>
    <w:rsid w:val="00CA6536"/>
    <w:rsid w:val="00CA6B73"/>
    <w:rsid w:val="00CA6BAF"/>
    <w:rsid w:val="00CB064F"/>
    <w:rsid w:val="00CB0B66"/>
    <w:rsid w:val="00CB3197"/>
    <w:rsid w:val="00CB389F"/>
    <w:rsid w:val="00CB406E"/>
    <w:rsid w:val="00CB5982"/>
    <w:rsid w:val="00CB6336"/>
    <w:rsid w:val="00CB6432"/>
    <w:rsid w:val="00CB6E78"/>
    <w:rsid w:val="00CC14C4"/>
    <w:rsid w:val="00CC1F9E"/>
    <w:rsid w:val="00CC280A"/>
    <w:rsid w:val="00CC546C"/>
    <w:rsid w:val="00CC54C3"/>
    <w:rsid w:val="00CC5812"/>
    <w:rsid w:val="00CC65D0"/>
    <w:rsid w:val="00CC6BD1"/>
    <w:rsid w:val="00CC714E"/>
    <w:rsid w:val="00CD1C84"/>
    <w:rsid w:val="00CD32A8"/>
    <w:rsid w:val="00CD53E5"/>
    <w:rsid w:val="00CD57AA"/>
    <w:rsid w:val="00CD5D7F"/>
    <w:rsid w:val="00CD7494"/>
    <w:rsid w:val="00CD7578"/>
    <w:rsid w:val="00CD7D3D"/>
    <w:rsid w:val="00CD7F9D"/>
    <w:rsid w:val="00CE15B3"/>
    <w:rsid w:val="00CE186F"/>
    <w:rsid w:val="00CE1E14"/>
    <w:rsid w:val="00CE200F"/>
    <w:rsid w:val="00CE23AA"/>
    <w:rsid w:val="00CE3041"/>
    <w:rsid w:val="00CE3475"/>
    <w:rsid w:val="00CE4799"/>
    <w:rsid w:val="00CE55DA"/>
    <w:rsid w:val="00CE5DB6"/>
    <w:rsid w:val="00CE6615"/>
    <w:rsid w:val="00CE6674"/>
    <w:rsid w:val="00CE680F"/>
    <w:rsid w:val="00CE69C0"/>
    <w:rsid w:val="00CE715A"/>
    <w:rsid w:val="00CF0604"/>
    <w:rsid w:val="00CF0BAF"/>
    <w:rsid w:val="00CF170C"/>
    <w:rsid w:val="00CF1884"/>
    <w:rsid w:val="00CF20BB"/>
    <w:rsid w:val="00CF2E68"/>
    <w:rsid w:val="00CF303B"/>
    <w:rsid w:val="00CF30D7"/>
    <w:rsid w:val="00CF361F"/>
    <w:rsid w:val="00CF464C"/>
    <w:rsid w:val="00CF56F3"/>
    <w:rsid w:val="00CF5BE7"/>
    <w:rsid w:val="00D023DE"/>
    <w:rsid w:val="00D025A0"/>
    <w:rsid w:val="00D04516"/>
    <w:rsid w:val="00D04F78"/>
    <w:rsid w:val="00D05704"/>
    <w:rsid w:val="00D0593C"/>
    <w:rsid w:val="00D05DE9"/>
    <w:rsid w:val="00D05FC3"/>
    <w:rsid w:val="00D07274"/>
    <w:rsid w:val="00D07918"/>
    <w:rsid w:val="00D07E21"/>
    <w:rsid w:val="00D12493"/>
    <w:rsid w:val="00D14EF9"/>
    <w:rsid w:val="00D16E30"/>
    <w:rsid w:val="00D16FDD"/>
    <w:rsid w:val="00D201F0"/>
    <w:rsid w:val="00D20F50"/>
    <w:rsid w:val="00D21282"/>
    <w:rsid w:val="00D2155F"/>
    <w:rsid w:val="00D233EE"/>
    <w:rsid w:val="00D2377A"/>
    <w:rsid w:val="00D23D51"/>
    <w:rsid w:val="00D25376"/>
    <w:rsid w:val="00D2685E"/>
    <w:rsid w:val="00D26FD4"/>
    <w:rsid w:val="00D27632"/>
    <w:rsid w:val="00D304BF"/>
    <w:rsid w:val="00D307F8"/>
    <w:rsid w:val="00D30E85"/>
    <w:rsid w:val="00D31C7D"/>
    <w:rsid w:val="00D325CD"/>
    <w:rsid w:val="00D33BAD"/>
    <w:rsid w:val="00D33E7B"/>
    <w:rsid w:val="00D33F3E"/>
    <w:rsid w:val="00D3501F"/>
    <w:rsid w:val="00D36224"/>
    <w:rsid w:val="00D413C7"/>
    <w:rsid w:val="00D416AA"/>
    <w:rsid w:val="00D41A37"/>
    <w:rsid w:val="00D42052"/>
    <w:rsid w:val="00D42FCD"/>
    <w:rsid w:val="00D432B7"/>
    <w:rsid w:val="00D45752"/>
    <w:rsid w:val="00D4595E"/>
    <w:rsid w:val="00D46D7A"/>
    <w:rsid w:val="00D50742"/>
    <w:rsid w:val="00D50EE4"/>
    <w:rsid w:val="00D52077"/>
    <w:rsid w:val="00D540B2"/>
    <w:rsid w:val="00D5492C"/>
    <w:rsid w:val="00D55262"/>
    <w:rsid w:val="00D556A2"/>
    <w:rsid w:val="00D55FDF"/>
    <w:rsid w:val="00D5673B"/>
    <w:rsid w:val="00D56769"/>
    <w:rsid w:val="00D56AC2"/>
    <w:rsid w:val="00D56F3D"/>
    <w:rsid w:val="00D57D9C"/>
    <w:rsid w:val="00D62021"/>
    <w:rsid w:val="00D62A41"/>
    <w:rsid w:val="00D63483"/>
    <w:rsid w:val="00D63FC0"/>
    <w:rsid w:val="00D65037"/>
    <w:rsid w:val="00D655F2"/>
    <w:rsid w:val="00D66661"/>
    <w:rsid w:val="00D704C7"/>
    <w:rsid w:val="00D70B7A"/>
    <w:rsid w:val="00D7208D"/>
    <w:rsid w:val="00D722A6"/>
    <w:rsid w:val="00D74447"/>
    <w:rsid w:val="00D7499D"/>
    <w:rsid w:val="00D75B68"/>
    <w:rsid w:val="00D75DD0"/>
    <w:rsid w:val="00D76810"/>
    <w:rsid w:val="00D76EF3"/>
    <w:rsid w:val="00D81042"/>
    <w:rsid w:val="00D81263"/>
    <w:rsid w:val="00D8200D"/>
    <w:rsid w:val="00D833BF"/>
    <w:rsid w:val="00D83927"/>
    <w:rsid w:val="00D8402B"/>
    <w:rsid w:val="00D84DAA"/>
    <w:rsid w:val="00D85E86"/>
    <w:rsid w:val="00D860B0"/>
    <w:rsid w:val="00D867A5"/>
    <w:rsid w:val="00D86ACE"/>
    <w:rsid w:val="00D90427"/>
    <w:rsid w:val="00D93A22"/>
    <w:rsid w:val="00D954F4"/>
    <w:rsid w:val="00D958DD"/>
    <w:rsid w:val="00D964B5"/>
    <w:rsid w:val="00DA3675"/>
    <w:rsid w:val="00DA3CDB"/>
    <w:rsid w:val="00DA5CB5"/>
    <w:rsid w:val="00DA7199"/>
    <w:rsid w:val="00DB07BF"/>
    <w:rsid w:val="00DB363C"/>
    <w:rsid w:val="00DB56B4"/>
    <w:rsid w:val="00DB7A7C"/>
    <w:rsid w:val="00DC0448"/>
    <w:rsid w:val="00DC07A5"/>
    <w:rsid w:val="00DC0B14"/>
    <w:rsid w:val="00DC134F"/>
    <w:rsid w:val="00DC2DC4"/>
    <w:rsid w:val="00DC2E86"/>
    <w:rsid w:val="00DC4F0E"/>
    <w:rsid w:val="00DC5691"/>
    <w:rsid w:val="00DC5F21"/>
    <w:rsid w:val="00DC6174"/>
    <w:rsid w:val="00DC742C"/>
    <w:rsid w:val="00DD0028"/>
    <w:rsid w:val="00DD009F"/>
    <w:rsid w:val="00DD0EEF"/>
    <w:rsid w:val="00DD0FE1"/>
    <w:rsid w:val="00DD3C61"/>
    <w:rsid w:val="00DD461A"/>
    <w:rsid w:val="00DD479B"/>
    <w:rsid w:val="00DD4AD2"/>
    <w:rsid w:val="00DD4CA6"/>
    <w:rsid w:val="00DD58FD"/>
    <w:rsid w:val="00DD5F64"/>
    <w:rsid w:val="00DD6697"/>
    <w:rsid w:val="00DD7963"/>
    <w:rsid w:val="00DE06E8"/>
    <w:rsid w:val="00DE0C7E"/>
    <w:rsid w:val="00DE1030"/>
    <w:rsid w:val="00DE167F"/>
    <w:rsid w:val="00DE177E"/>
    <w:rsid w:val="00DE1F57"/>
    <w:rsid w:val="00DE2507"/>
    <w:rsid w:val="00DE2A20"/>
    <w:rsid w:val="00DE3207"/>
    <w:rsid w:val="00DE5045"/>
    <w:rsid w:val="00DE5D05"/>
    <w:rsid w:val="00DE5E2D"/>
    <w:rsid w:val="00DE6CE8"/>
    <w:rsid w:val="00DE6D44"/>
    <w:rsid w:val="00DE6DAB"/>
    <w:rsid w:val="00DE7AB3"/>
    <w:rsid w:val="00DF0036"/>
    <w:rsid w:val="00DF009D"/>
    <w:rsid w:val="00DF0724"/>
    <w:rsid w:val="00DF2C28"/>
    <w:rsid w:val="00DF2F96"/>
    <w:rsid w:val="00DF4141"/>
    <w:rsid w:val="00DF4AA9"/>
    <w:rsid w:val="00DF7AAA"/>
    <w:rsid w:val="00E0107E"/>
    <w:rsid w:val="00E05801"/>
    <w:rsid w:val="00E05C7D"/>
    <w:rsid w:val="00E06113"/>
    <w:rsid w:val="00E064FC"/>
    <w:rsid w:val="00E06526"/>
    <w:rsid w:val="00E1053D"/>
    <w:rsid w:val="00E10996"/>
    <w:rsid w:val="00E11730"/>
    <w:rsid w:val="00E12301"/>
    <w:rsid w:val="00E12E16"/>
    <w:rsid w:val="00E13CEA"/>
    <w:rsid w:val="00E14272"/>
    <w:rsid w:val="00E1555C"/>
    <w:rsid w:val="00E1648B"/>
    <w:rsid w:val="00E16A9D"/>
    <w:rsid w:val="00E1786B"/>
    <w:rsid w:val="00E20E2A"/>
    <w:rsid w:val="00E240F1"/>
    <w:rsid w:val="00E24C6A"/>
    <w:rsid w:val="00E25274"/>
    <w:rsid w:val="00E253EB"/>
    <w:rsid w:val="00E260D8"/>
    <w:rsid w:val="00E26111"/>
    <w:rsid w:val="00E266C1"/>
    <w:rsid w:val="00E26BB3"/>
    <w:rsid w:val="00E26C7A"/>
    <w:rsid w:val="00E26E0C"/>
    <w:rsid w:val="00E27DF4"/>
    <w:rsid w:val="00E3013E"/>
    <w:rsid w:val="00E302B8"/>
    <w:rsid w:val="00E31C44"/>
    <w:rsid w:val="00E31E59"/>
    <w:rsid w:val="00E32452"/>
    <w:rsid w:val="00E32C14"/>
    <w:rsid w:val="00E32EB4"/>
    <w:rsid w:val="00E337C7"/>
    <w:rsid w:val="00E340C9"/>
    <w:rsid w:val="00E34401"/>
    <w:rsid w:val="00E345FE"/>
    <w:rsid w:val="00E34738"/>
    <w:rsid w:val="00E35500"/>
    <w:rsid w:val="00E37300"/>
    <w:rsid w:val="00E37357"/>
    <w:rsid w:val="00E375EE"/>
    <w:rsid w:val="00E37A09"/>
    <w:rsid w:val="00E405F3"/>
    <w:rsid w:val="00E40E74"/>
    <w:rsid w:val="00E412C8"/>
    <w:rsid w:val="00E417FF"/>
    <w:rsid w:val="00E41E44"/>
    <w:rsid w:val="00E42464"/>
    <w:rsid w:val="00E44040"/>
    <w:rsid w:val="00E445C1"/>
    <w:rsid w:val="00E44678"/>
    <w:rsid w:val="00E45501"/>
    <w:rsid w:val="00E4620B"/>
    <w:rsid w:val="00E46C3A"/>
    <w:rsid w:val="00E4787B"/>
    <w:rsid w:val="00E501E9"/>
    <w:rsid w:val="00E50882"/>
    <w:rsid w:val="00E511F3"/>
    <w:rsid w:val="00E513C2"/>
    <w:rsid w:val="00E53865"/>
    <w:rsid w:val="00E54B68"/>
    <w:rsid w:val="00E54F24"/>
    <w:rsid w:val="00E565EA"/>
    <w:rsid w:val="00E5737B"/>
    <w:rsid w:val="00E574E0"/>
    <w:rsid w:val="00E576A7"/>
    <w:rsid w:val="00E57997"/>
    <w:rsid w:val="00E57D45"/>
    <w:rsid w:val="00E614A7"/>
    <w:rsid w:val="00E61A27"/>
    <w:rsid w:val="00E62BE3"/>
    <w:rsid w:val="00E63A60"/>
    <w:rsid w:val="00E6407B"/>
    <w:rsid w:val="00E64097"/>
    <w:rsid w:val="00E64DB9"/>
    <w:rsid w:val="00E65EBC"/>
    <w:rsid w:val="00E6625E"/>
    <w:rsid w:val="00E718F9"/>
    <w:rsid w:val="00E72017"/>
    <w:rsid w:val="00E72273"/>
    <w:rsid w:val="00E7297F"/>
    <w:rsid w:val="00E73C65"/>
    <w:rsid w:val="00E741A1"/>
    <w:rsid w:val="00E772D8"/>
    <w:rsid w:val="00E77ADD"/>
    <w:rsid w:val="00E80362"/>
    <w:rsid w:val="00E81E3D"/>
    <w:rsid w:val="00E849FB"/>
    <w:rsid w:val="00E85D60"/>
    <w:rsid w:val="00E86337"/>
    <w:rsid w:val="00E86EAE"/>
    <w:rsid w:val="00E9272A"/>
    <w:rsid w:val="00E931FD"/>
    <w:rsid w:val="00E933A5"/>
    <w:rsid w:val="00E93FDD"/>
    <w:rsid w:val="00E9423B"/>
    <w:rsid w:val="00E95165"/>
    <w:rsid w:val="00E966E3"/>
    <w:rsid w:val="00E968B2"/>
    <w:rsid w:val="00E97AB9"/>
    <w:rsid w:val="00E97BC1"/>
    <w:rsid w:val="00E97E10"/>
    <w:rsid w:val="00EA0459"/>
    <w:rsid w:val="00EA086B"/>
    <w:rsid w:val="00EA139A"/>
    <w:rsid w:val="00EA1B47"/>
    <w:rsid w:val="00EA3924"/>
    <w:rsid w:val="00EA4755"/>
    <w:rsid w:val="00EA4EBA"/>
    <w:rsid w:val="00EA50E2"/>
    <w:rsid w:val="00EA5AC9"/>
    <w:rsid w:val="00EA7014"/>
    <w:rsid w:val="00EB265A"/>
    <w:rsid w:val="00EB3425"/>
    <w:rsid w:val="00EB3F2D"/>
    <w:rsid w:val="00EB41FD"/>
    <w:rsid w:val="00EB4A69"/>
    <w:rsid w:val="00EB52D7"/>
    <w:rsid w:val="00EB5838"/>
    <w:rsid w:val="00EB5DBD"/>
    <w:rsid w:val="00EB5F4B"/>
    <w:rsid w:val="00EB6BBD"/>
    <w:rsid w:val="00EC0F12"/>
    <w:rsid w:val="00EC0FE8"/>
    <w:rsid w:val="00EC46A8"/>
    <w:rsid w:val="00EC4AB0"/>
    <w:rsid w:val="00EC4D1C"/>
    <w:rsid w:val="00EC5038"/>
    <w:rsid w:val="00EC56D6"/>
    <w:rsid w:val="00EC5EF0"/>
    <w:rsid w:val="00EC65B8"/>
    <w:rsid w:val="00EC73B4"/>
    <w:rsid w:val="00EC7C22"/>
    <w:rsid w:val="00ED075D"/>
    <w:rsid w:val="00ED08E4"/>
    <w:rsid w:val="00ED0A4E"/>
    <w:rsid w:val="00ED0D64"/>
    <w:rsid w:val="00ED114C"/>
    <w:rsid w:val="00ED1308"/>
    <w:rsid w:val="00ED3390"/>
    <w:rsid w:val="00ED343D"/>
    <w:rsid w:val="00ED619E"/>
    <w:rsid w:val="00ED6EB2"/>
    <w:rsid w:val="00ED75C7"/>
    <w:rsid w:val="00ED785A"/>
    <w:rsid w:val="00ED7F27"/>
    <w:rsid w:val="00EE05FE"/>
    <w:rsid w:val="00EE1FEB"/>
    <w:rsid w:val="00EE21F4"/>
    <w:rsid w:val="00EE5238"/>
    <w:rsid w:val="00EE7D50"/>
    <w:rsid w:val="00EF0212"/>
    <w:rsid w:val="00EF0F4B"/>
    <w:rsid w:val="00EF1579"/>
    <w:rsid w:val="00EF1B33"/>
    <w:rsid w:val="00EF1F73"/>
    <w:rsid w:val="00EF237A"/>
    <w:rsid w:val="00EF4C8D"/>
    <w:rsid w:val="00EF782F"/>
    <w:rsid w:val="00EF7CD6"/>
    <w:rsid w:val="00F00AA8"/>
    <w:rsid w:val="00F02ACE"/>
    <w:rsid w:val="00F0433E"/>
    <w:rsid w:val="00F058FD"/>
    <w:rsid w:val="00F05C39"/>
    <w:rsid w:val="00F07424"/>
    <w:rsid w:val="00F0744C"/>
    <w:rsid w:val="00F07D5F"/>
    <w:rsid w:val="00F12658"/>
    <w:rsid w:val="00F13F30"/>
    <w:rsid w:val="00F147F9"/>
    <w:rsid w:val="00F1501A"/>
    <w:rsid w:val="00F15951"/>
    <w:rsid w:val="00F15AA1"/>
    <w:rsid w:val="00F1605C"/>
    <w:rsid w:val="00F167EB"/>
    <w:rsid w:val="00F177E3"/>
    <w:rsid w:val="00F21E0D"/>
    <w:rsid w:val="00F24526"/>
    <w:rsid w:val="00F24C1C"/>
    <w:rsid w:val="00F26148"/>
    <w:rsid w:val="00F303DA"/>
    <w:rsid w:val="00F30B2E"/>
    <w:rsid w:val="00F322CA"/>
    <w:rsid w:val="00F32D74"/>
    <w:rsid w:val="00F332CF"/>
    <w:rsid w:val="00F357EB"/>
    <w:rsid w:val="00F35E63"/>
    <w:rsid w:val="00F3684A"/>
    <w:rsid w:val="00F4053C"/>
    <w:rsid w:val="00F409F0"/>
    <w:rsid w:val="00F40A17"/>
    <w:rsid w:val="00F40D89"/>
    <w:rsid w:val="00F41CC2"/>
    <w:rsid w:val="00F43676"/>
    <w:rsid w:val="00F438D7"/>
    <w:rsid w:val="00F458CA"/>
    <w:rsid w:val="00F45C6F"/>
    <w:rsid w:val="00F50C10"/>
    <w:rsid w:val="00F523EA"/>
    <w:rsid w:val="00F52A26"/>
    <w:rsid w:val="00F52C7E"/>
    <w:rsid w:val="00F553FC"/>
    <w:rsid w:val="00F55971"/>
    <w:rsid w:val="00F55A78"/>
    <w:rsid w:val="00F55BED"/>
    <w:rsid w:val="00F5729E"/>
    <w:rsid w:val="00F57956"/>
    <w:rsid w:val="00F62062"/>
    <w:rsid w:val="00F6348A"/>
    <w:rsid w:val="00F641B2"/>
    <w:rsid w:val="00F64418"/>
    <w:rsid w:val="00F65036"/>
    <w:rsid w:val="00F65147"/>
    <w:rsid w:val="00F652BB"/>
    <w:rsid w:val="00F65F24"/>
    <w:rsid w:val="00F663E4"/>
    <w:rsid w:val="00F66AF2"/>
    <w:rsid w:val="00F67658"/>
    <w:rsid w:val="00F701D2"/>
    <w:rsid w:val="00F70645"/>
    <w:rsid w:val="00F706D6"/>
    <w:rsid w:val="00F71034"/>
    <w:rsid w:val="00F73479"/>
    <w:rsid w:val="00F7384B"/>
    <w:rsid w:val="00F73CE8"/>
    <w:rsid w:val="00F74E8F"/>
    <w:rsid w:val="00F77FFA"/>
    <w:rsid w:val="00F8012C"/>
    <w:rsid w:val="00F8097F"/>
    <w:rsid w:val="00F82012"/>
    <w:rsid w:val="00F854D3"/>
    <w:rsid w:val="00F87100"/>
    <w:rsid w:val="00F900D2"/>
    <w:rsid w:val="00F910BD"/>
    <w:rsid w:val="00F93027"/>
    <w:rsid w:val="00F944C5"/>
    <w:rsid w:val="00F945B3"/>
    <w:rsid w:val="00F96208"/>
    <w:rsid w:val="00F96664"/>
    <w:rsid w:val="00F974B1"/>
    <w:rsid w:val="00F97807"/>
    <w:rsid w:val="00FA0A47"/>
    <w:rsid w:val="00FA13C6"/>
    <w:rsid w:val="00FA1E4A"/>
    <w:rsid w:val="00FA2C64"/>
    <w:rsid w:val="00FA4F12"/>
    <w:rsid w:val="00FA52F1"/>
    <w:rsid w:val="00FB0722"/>
    <w:rsid w:val="00FB1D58"/>
    <w:rsid w:val="00FB1DDB"/>
    <w:rsid w:val="00FB1E8D"/>
    <w:rsid w:val="00FB2808"/>
    <w:rsid w:val="00FB2916"/>
    <w:rsid w:val="00FB37EA"/>
    <w:rsid w:val="00FB3CF4"/>
    <w:rsid w:val="00FB65AC"/>
    <w:rsid w:val="00FB6C98"/>
    <w:rsid w:val="00FB6CD4"/>
    <w:rsid w:val="00FB7E12"/>
    <w:rsid w:val="00FC02B7"/>
    <w:rsid w:val="00FC18D3"/>
    <w:rsid w:val="00FC2513"/>
    <w:rsid w:val="00FC31DB"/>
    <w:rsid w:val="00FC3EFD"/>
    <w:rsid w:val="00FC4BD9"/>
    <w:rsid w:val="00FC4D9A"/>
    <w:rsid w:val="00FC501B"/>
    <w:rsid w:val="00FC5D3C"/>
    <w:rsid w:val="00FC660E"/>
    <w:rsid w:val="00FC6B1B"/>
    <w:rsid w:val="00FC71E8"/>
    <w:rsid w:val="00FC776E"/>
    <w:rsid w:val="00FD0122"/>
    <w:rsid w:val="00FD2521"/>
    <w:rsid w:val="00FD2B91"/>
    <w:rsid w:val="00FD3549"/>
    <w:rsid w:val="00FD497B"/>
    <w:rsid w:val="00FD57AC"/>
    <w:rsid w:val="00FD5BB3"/>
    <w:rsid w:val="00FD7BF5"/>
    <w:rsid w:val="00FE0478"/>
    <w:rsid w:val="00FE0C89"/>
    <w:rsid w:val="00FE2984"/>
    <w:rsid w:val="00FE29E1"/>
    <w:rsid w:val="00FE3446"/>
    <w:rsid w:val="00FE4072"/>
    <w:rsid w:val="00FE4202"/>
    <w:rsid w:val="00FE4393"/>
    <w:rsid w:val="00FE5E6D"/>
    <w:rsid w:val="00FE718A"/>
    <w:rsid w:val="00FF0555"/>
    <w:rsid w:val="00FF1256"/>
    <w:rsid w:val="00FF296D"/>
    <w:rsid w:val="00FF4A2A"/>
    <w:rsid w:val="00FF4F7F"/>
    <w:rsid w:val="00FF5F97"/>
    <w:rsid w:val="00FF64D2"/>
    <w:rsid w:val="00FF70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ostalCode"/>
  <w:smartTagType w:namespaceuri="urn:schemas-microsoft-com:office:smarttags" w:name="place"/>
  <w:smartTagType w:namespaceuri="urn:schemas-microsoft-com:office:smarttags" w:name="State"/>
  <w:smartTagType w:namespaceuri="urn:schemas-microsoft-com:office:smarttags" w:name="stocktick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caption" w:semiHidden="1" w:unhideWhenUsed="1" w:qFormat="1"/>
    <w:lsdException w:name="Title" w:qFormat="1"/>
    <w:lsdException w:name="Subtitle" w:qFormat="1"/>
    <w:lsdException w:name="Body Text 2" w:uiPriority="99"/>
    <w:lsdException w:name="Strong"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04F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9304FE"/>
    <w:pPr>
      <w:tabs>
        <w:tab w:val="center" w:pos="4320"/>
        <w:tab w:val="right" w:pos="8640"/>
      </w:tabs>
    </w:pPr>
  </w:style>
  <w:style w:type="character" w:styleId="PageNumber">
    <w:name w:val="page number"/>
    <w:basedOn w:val="DefaultParagraphFont"/>
    <w:rsid w:val="009304FE"/>
  </w:style>
  <w:style w:type="paragraph" w:styleId="FootnoteText">
    <w:name w:val="footnote text"/>
    <w:aliases w:val="Footnote Text Char2,Footnote Text Char1 Char,Footnote Text Char Char Char,Footnote Text Char2 Char Char Char,Footnote Text Char Char1 Char Char Char,Footnote Text Char1 Char Char Char Char Char,ALTS FOOTNOTE,fn,Footnote Text 2"/>
    <w:basedOn w:val="Normal"/>
    <w:link w:val="FootnoteTextChar"/>
    <w:autoRedefine/>
    <w:qFormat/>
    <w:rsid w:val="0094128D"/>
    <w:pPr>
      <w:keepNext/>
      <w:keepLines/>
      <w:tabs>
        <w:tab w:val="left" w:pos="720"/>
      </w:tabs>
    </w:pPr>
    <w:rPr>
      <w:sz w:val="26"/>
      <w:szCs w:val="20"/>
    </w:rPr>
  </w:style>
  <w:style w:type="character" w:styleId="FootnoteReference">
    <w:name w:val="footnote reference"/>
    <w:aliases w:val="o,fr"/>
    <w:basedOn w:val="DefaultParagraphFont"/>
    <w:rsid w:val="001A1AD3"/>
    <w:rPr>
      <w:sz w:val="26"/>
      <w:szCs w:val="26"/>
      <w:vertAlign w:val="superscript"/>
    </w:rPr>
  </w:style>
  <w:style w:type="paragraph" w:styleId="BodyText">
    <w:name w:val="Body Text"/>
    <w:basedOn w:val="Normal"/>
    <w:rsid w:val="001A1AD3"/>
    <w:pPr>
      <w:spacing w:line="360" w:lineRule="auto"/>
    </w:pPr>
    <w:rPr>
      <w:sz w:val="26"/>
      <w:szCs w:val="20"/>
    </w:rPr>
  </w:style>
  <w:style w:type="paragraph" w:customStyle="1" w:styleId="ParaTab1">
    <w:name w:val="ParaTab 1"/>
    <w:rsid w:val="009834E9"/>
    <w:pPr>
      <w:tabs>
        <w:tab w:val="left" w:pos="-720"/>
      </w:tabs>
      <w:suppressAutoHyphens/>
      <w:autoSpaceDE w:val="0"/>
      <w:autoSpaceDN w:val="0"/>
      <w:ind w:firstLine="1440"/>
    </w:pPr>
    <w:rPr>
      <w:rFonts w:ascii="CG Times" w:hAnsi="CG Times" w:cs="CG Times"/>
      <w:sz w:val="24"/>
      <w:szCs w:val="24"/>
    </w:rPr>
  </w:style>
  <w:style w:type="character" w:customStyle="1" w:styleId="FootnoteTextChar">
    <w:name w:val="Footnote Text Char"/>
    <w:aliases w:val="Footnote Text Char2 Char,Footnote Text Char1 Char Char,Footnote Text Char Char Char Char,Footnote Text Char2 Char Char Char Char,Footnote Text Char Char1 Char Char Char Char,Footnote Text Char1 Char Char Char Char Char Char,fn Char"/>
    <w:basedOn w:val="DefaultParagraphFont"/>
    <w:link w:val="FootnoteText"/>
    <w:rsid w:val="0094128D"/>
    <w:rPr>
      <w:sz w:val="26"/>
    </w:rPr>
  </w:style>
  <w:style w:type="paragraph" w:customStyle="1" w:styleId="TxBrp8">
    <w:name w:val="TxBr_p8"/>
    <w:basedOn w:val="Normal"/>
    <w:rsid w:val="00710EAE"/>
    <w:pPr>
      <w:widowControl w:val="0"/>
      <w:tabs>
        <w:tab w:val="left" w:pos="1468"/>
      </w:tabs>
      <w:autoSpaceDE w:val="0"/>
      <w:autoSpaceDN w:val="0"/>
      <w:adjustRightInd w:val="0"/>
      <w:spacing w:line="464" w:lineRule="atLeast"/>
      <w:ind w:firstLine="1468"/>
    </w:pPr>
  </w:style>
  <w:style w:type="character" w:styleId="Hyperlink">
    <w:name w:val="Hyperlink"/>
    <w:basedOn w:val="DefaultParagraphFont"/>
    <w:rsid w:val="0060192A"/>
    <w:rPr>
      <w:color w:val="0000FF"/>
      <w:u w:val="single"/>
    </w:rPr>
  </w:style>
  <w:style w:type="paragraph" w:styleId="BodyText2">
    <w:name w:val="Body Text 2"/>
    <w:basedOn w:val="Normal"/>
    <w:link w:val="BodyText2Char"/>
    <w:uiPriority w:val="99"/>
    <w:unhideWhenUsed/>
    <w:rsid w:val="004169D5"/>
    <w:pPr>
      <w:spacing w:after="120" w:line="480" w:lineRule="auto"/>
    </w:pPr>
  </w:style>
  <w:style w:type="character" w:customStyle="1" w:styleId="BodyText2Char">
    <w:name w:val="Body Text 2 Char"/>
    <w:basedOn w:val="DefaultParagraphFont"/>
    <w:link w:val="BodyText2"/>
    <w:uiPriority w:val="99"/>
    <w:rsid w:val="004169D5"/>
    <w:rPr>
      <w:sz w:val="24"/>
      <w:szCs w:val="24"/>
    </w:rPr>
  </w:style>
  <w:style w:type="paragraph" w:customStyle="1" w:styleId="IndentDouble">
    <w:name w:val="Indent Double"/>
    <w:basedOn w:val="Normal"/>
    <w:next w:val="BodyText"/>
    <w:rsid w:val="004169D5"/>
    <w:pPr>
      <w:spacing w:after="240"/>
      <w:ind w:left="2160" w:right="2160"/>
      <w:jc w:val="both"/>
    </w:pPr>
  </w:style>
  <w:style w:type="paragraph" w:customStyle="1" w:styleId="IndentSingle">
    <w:name w:val="Indent Single"/>
    <w:basedOn w:val="Normal"/>
    <w:next w:val="BodyText"/>
    <w:rsid w:val="004169D5"/>
    <w:pPr>
      <w:spacing w:after="240"/>
      <w:ind w:left="1440" w:right="1440"/>
      <w:jc w:val="both"/>
    </w:pPr>
  </w:style>
  <w:style w:type="paragraph" w:styleId="BalloonText">
    <w:name w:val="Balloon Text"/>
    <w:basedOn w:val="Normal"/>
    <w:link w:val="BalloonTextChar"/>
    <w:rsid w:val="00284573"/>
    <w:rPr>
      <w:rFonts w:ascii="Tahoma" w:hAnsi="Tahoma" w:cs="Tahoma"/>
      <w:sz w:val="16"/>
      <w:szCs w:val="16"/>
    </w:rPr>
  </w:style>
  <w:style w:type="character" w:customStyle="1" w:styleId="BalloonTextChar">
    <w:name w:val="Balloon Text Char"/>
    <w:basedOn w:val="DefaultParagraphFont"/>
    <w:link w:val="BalloonText"/>
    <w:rsid w:val="00284573"/>
    <w:rPr>
      <w:rFonts w:ascii="Tahoma" w:hAnsi="Tahoma" w:cs="Tahoma"/>
      <w:sz w:val="16"/>
      <w:szCs w:val="16"/>
    </w:rPr>
  </w:style>
  <w:style w:type="paragraph" w:styleId="NormalWeb">
    <w:name w:val="Normal (Web)"/>
    <w:basedOn w:val="Normal"/>
    <w:uiPriority w:val="99"/>
    <w:unhideWhenUsed/>
    <w:rsid w:val="00DD0FE1"/>
    <w:pPr>
      <w:spacing w:before="100" w:beforeAutospacing="1" w:after="100" w:afterAutospacing="1"/>
    </w:pPr>
  </w:style>
  <w:style w:type="character" w:styleId="CommentReference">
    <w:name w:val="annotation reference"/>
    <w:basedOn w:val="DefaultParagraphFont"/>
    <w:rsid w:val="003742D4"/>
    <w:rPr>
      <w:sz w:val="16"/>
      <w:szCs w:val="16"/>
    </w:rPr>
  </w:style>
  <w:style w:type="paragraph" w:styleId="CommentText">
    <w:name w:val="annotation text"/>
    <w:basedOn w:val="Normal"/>
    <w:link w:val="CommentTextChar"/>
    <w:rsid w:val="003742D4"/>
    <w:rPr>
      <w:sz w:val="20"/>
      <w:szCs w:val="20"/>
    </w:rPr>
  </w:style>
  <w:style w:type="character" w:customStyle="1" w:styleId="CommentTextChar">
    <w:name w:val="Comment Text Char"/>
    <w:basedOn w:val="DefaultParagraphFont"/>
    <w:link w:val="CommentText"/>
    <w:rsid w:val="003742D4"/>
  </w:style>
  <w:style w:type="paragraph" w:styleId="CommentSubject">
    <w:name w:val="annotation subject"/>
    <w:basedOn w:val="CommentText"/>
    <w:next w:val="CommentText"/>
    <w:link w:val="CommentSubjectChar"/>
    <w:rsid w:val="003742D4"/>
    <w:rPr>
      <w:b/>
      <w:bCs/>
    </w:rPr>
  </w:style>
  <w:style w:type="character" w:customStyle="1" w:styleId="CommentSubjectChar">
    <w:name w:val="Comment Subject Char"/>
    <w:basedOn w:val="CommentTextChar"/>
    <w:link w:val="CommentSubject"/>
    <w:rsid w:val="003742D4"/>
    <w:rPr>
      <w:b/>
      <w:bCs/>
    </w:rPr>
  </w:style>
  <w:style w:type="character" w:styleId="Emphasis">
    <w:name w:val="Emphasis"/>
    <w:basedOn w:val="DefaultParagraphFont"/>
    <w:qFormat/>
    <w:rsid w:val="00B16C25"/>
    <w:rPr>
      <w:i/>
      <w:iCs/>
    </w:rPr>
  </w:style>
  <w:style w:type="paragraph" w:styleId="Header">
    <w:name w:val="header"/>
    <w:basedOn w:val="Normal"/>
    <w:link w:val="HeaderChar"/>
    <w:rsid w:val="00084A43"/>
    <w:pPr>
      <w:tabs>
        <w:tab w:val="center" w:pos="4680"/>
        <w:tab w:val="right" w:pos="9360"/>
      </w:tabs>
    </w:pPr>
  </w:style>
  <w:style w:type="character" w:customStyle="1" w:styleId="HeaderChar">
    <w:name w:val="Header Char"/>
    <w:basedOn w:val="DefaultParagraphFont"/>
    <w:link w:val="Header"/>
    <w:rsid w:val="00084A43"/>
    <w:rPr>
      <w:sz w:val="24"/>
      <w:szCs w:val="24"/>
    </w:rPr>
  </w:style>
  <w:style w:type="paragraph" w:styleId="Revision">
    <w:name w:val="Revision"/>
    <w:hidden/>
    <w:uiPriority w:val="99"/>
    <w:semiHidden/>
    <w:rsid w:val="001259FC"/>
    <w:rPr>
      <w:sz w:val="24"/>
      <w:szCs w:val="24"/>
    </w:rPr>
  </w:style>
  <w:style w:type="paragraph" w:styleId="ListParagraph">
    <w:name w:val="List Paragraph"/>
    <w:basedOn w:val="Normal"/>
    <w:uiPriority w:val="34"/>
    <w:qFormat/>
    <w:rsid w:val="008664AC"/>
    <w:pPr>
      <w:ind w:left="720"/>
      <w:contextualSpacing/>
    </w:pPr>
  </w:style>
  <w:style w:type="paragraph" w:styleId="NormalIndent">
    <w:name w:val="Normal Indent"/>
    <w:basedOn w:val="Normal"/>
    <w:rsid w:val="008F6C87"/>
    <w:pPr>
      <w:ind w:left="720"/>
    </w:pPr>
  </w:style>
  <w:style w:type="paragraph" w:styleId="PlainText">
    <w:name w:val="Plain Text"/>
    <w:basedOn w:val="Normal"/>
    <w:link w:val="PlainTextChar"/>
    <w:uiPriority w:val="99"/>
    <w:unhideWhenUsed/>
    <w:rsid w:val="002D20AC"/>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2D20AC"/>
    <w:rPr>
      <w:rFonts w:ascii="Calibri" w:eastAsiaTheme="minorHAnsi" w:hAnsi="Calibri" w:cstheme="minorBidi"/>
      <w:sz w:val="22"/>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caption" w:semiHidden="1" w:unhideWhenUsed="1" w:qFormat="1"/>
    <w:lsdException w:name="Title" w:qFormat="1"/>
    <w:lsdException w:name="Subtitle" w:qFormat="1"/>
    <w:lsdException w:name="Body Text 2" w:uiPriority="99"/>
    <w:lsdException w:name="Strong"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04F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9304FE"/>
    <w:pPr>
      <w:tabs>
        <w:tab w:val="center" w:pos="4320"/>
        <w:tab w:val="right" w:pos="8640"/>
      </w:tabs>
    </w:pPr>
  </w:style>
  <w:style w:type="character" w:styleId="PageNumber">
    <w:name w:val="page number"/>
    <w:basedOn w:val="DefaultParagraphFont"/>
    <w:rsid w:val="009304FE"/>
  </w:style>
  <w:style w:type="paragraph" w:styleId="FootnoteText">
    <w:name w:val="footnote text"/>
    <w:aliases w:val="Footnote Text Char2,Footnote Text Char1 Char,Footnote Text Char Char Char,Footnote Text Char2 Char Char Char,Footnote Text Char Char1 Char Char Char,Footnote Text Char1 Char Char Char Char Char,ALTS FOOTNOTE,fn,Footnote Text 2"/>
    <w:basedOn w:val="Normal"/>
    <w:link w:val="FootnoteTextChar"/>
    <w:autoRedefine/>
    <w:qFormat/>
    <w:rsid w:val="0094128D"/>
    <w:pPr>
      <w:keepNext/>
      <w:keepLines/>
      <w:tabs>
        <w:tab w:val="left" w:pos="720"/>
      </w:tabs>
    </w:pPr>
    <w:rPr>
      <w:sz w:val="26"/>
      <w:szCs w:val="20"/>
    </w:rPr>
  </w:style>
  <w:style w:type="character" w:styleId="FootnoteReference">
    <w:name w:val="footnote reference"/>
    <w:aliases w:val="o,fr"/>
    <w:basedOn w:val="DefaultParagraphFont"/>
    <w:rsid w:val="001A1AD3"/>
    <w:rPr>
      <w:sz w:val="26"/>
      <w:szCs w:val="26"/>
      <w:vertAlign w:val="superscript"/>
    </w:rPr>
  </w:style>
  <w:style w:type="paragraph" w:styleId="BodyText">
    <w:name w:val="Body Text"/>
    <w:basedOn w:val="Normal"/>
    <w:rsid w:val="001A1AD3"/>
    <w:pPr>
      <w:spacing w:line="360" w:lineRule="auto"/>
    </w:pPr>
    <w:rPr>
      <w:sz w:val="26"/>
      <w:szCs w:val="20"/>
    </w:rPr>
  </w:style>
  <w:style w:type="paragraph" w:customStyle="1" w:styleId="ParaTab1">
    <w:name w:val="ParaTab 1"/>
    <w:rsid w:val="009834E9"/>
    <w:pPr>
      <w:tabs>
        <w:tab w:val="left" w:pos="-720"/>
      </w:tabs>
      <w:suppressAutoHyphens/>
      <w:autoSpaceDE w:val="0"/>
      <w:autoSpaceDN w:val="0"/>
      <w:ind w:firstLine="1440"/>
    </w:pPr>
    <w:rPr>
      <w:rFonts w:ascii="CG Times" w:hAnsi="CG Times" w:cs="CG Times"/>
      <w:sz w:val="24"/>
      <w:szCs w:val="24"/>
    </w:rPr>
  </w:style>
  <w:style w:type="character" w:customStyle="1" w:styleId="FootnoteTextChar">
    <w:name w:val="Footnote Text Char"/>
    <w:aliases w:val="Footnote Text Char2 Char,Footnote Text Char1 Char Char,Footnote Text Char Char Char Char,Footnote Text Char2 Char Char Char Char,Footnote Text Char Char1 Char Char Char Char,Footnote Text Char1 Char Char Char Char Char Char,fn Char"/>
    <w:basedOn w:val="DefaultParagraphFont"/>
    <w:link w:val="FootnoteText"/>
    <w:rsid w:val="0094128D"/>
    <w:rPr>
      <w:sz w:val="26"/>
    </w:rPr>
  </w:style>
  <w:style w:type="paragraph" w:customStyle="1" w:styleId="TxBrp8">
    <w:name w:val="TxBr_p8"/>
    <w:basedOn w:val="Normal"/>
    <w:rsid w:val="00710EAE"/>
    <w:pPr>
      <w:widowControl w:val="0"/>
      <w:tabs>
        <w:tab w:val="left" w:pos="1468"/>
      </w:tabs>
      <w:autoSpaceDE w:val="0"/>
      <w:autoSpaceDN w:val="0"/>
      <w:adjustRightInd w:val="0"/>
      <w:spacing w:line="464" w:lineRule="atLeast"/>
      <w:ind w:firstLine="1468"/>
    </w:pPr>
  </w:style>
  <w:style w:type="character" w:styleId="Hyperlink">
    <w:name w:val="Hyperlink"/>
    <w:basedOn w:val="DefaultParagraphFont"/>
    <w:rsid w:val="0060192A"/>
    <w:rPr>
      <w:color w:val="0000FF"/>
      <w:u w:val="single"/>
    </w:rPr>
  </w:style>
  <w:style w:type="paragraph" w:styleId="BodyText2">
    <w:name w:val="Body Text 2"/>
    <w:basedOn w:val="Normal"/>
    <w:link w:val="BodyText2Char"/>
    <w:uiPriority w:val="99"/>
    <w:unhideWhenUsed/>
    <w:rsid w:val="004169D5"/>
    <w:pPr>
      <w:spacing w:after="120" w:line="480" w:lineRule="auto"/>
    </w:pPr>
  </w:style>
  <w:style w:type="character" w:customStyle="1" w:styleId="BodyText2Char">
    <w:name w:val="Body Text 2 Char"/>
    <w:basedOn w:val="DefaultParagraphFont"/>
    <w:link w:val="BodyText2"/>
    <w:uiPriority w:val="99"/>
    <w:rsid w:val="004169D5"/>
    <w:rPr>
      <w:sz w:val="24"/>
      <w:szCs w:val="24"/>
    </w:rPr>
  </w:style>
  <w:style w:type="paragraph" w:customStyle="1" w:styleId="IndentDouble">
    <w:name w:val="Indent Double"/>
    <w:basedOn w:val="Normal"/>
    <w:next w:val="BodyText"/>
    <w:rsid w:val="004169D5"/>
    <w:pPr>
      <w:spacing w:after="240"/>
      <w:ind w:left="2160" w:right="2160"/>
      <w:jc w:val="both"/>
    </w:pPr>
  </w:style>
  <w:style w:type="paragraph" w:customStyle="1" w:styleId="IndentSingle">
    <w:name w:val="Indent Single"/>
    <w:basedOn w:val="Normal"/>
    <w:next w:val="BodyText"/>
    <w:rsid w:val="004169D5"/>
    <w:pPr>
      <w:spacing w:after="240"/>
      <w:ind w:left="1440" w:right="1440"/>
      <w:jc w:val="both"/>
    </w:pPr>
  </w:style>
  <w:style w:type="paragraph" w:styleId="BalloonText">
    <w:name w:val="Balloon Text"/>
    <w:basedOn w:val="Normal"/>
    <w:link w:val="BalloonTextChar"/>
    <w:rsid w:val="00284573"/>
    <w:rPr>
      <w:rFonts w:ascii="Tahoma" w:hAnsi="Tahoma" w:cs="Tahoma"/>
      <w:sz w:val="16"/>
      <w:szCs w:val="16"/>
    </w:rPr>
  </w:style>
  <w:style w:type="character" w:customStyle="1" w:styleId="BalloonTextChar">
    <w:name w:val="Balloon Text Char"/>
    <w:basedOn w:val="DefaultParagraphFont"/>
    <w:link w:val="BalloonText"/>
    <w:rsid w:val="00284573"/>
    <w:rPr>
      <w:rFonts w:ascii="Tahoma" w:hAnsi="Tahoma" w:cs="Tahoma"/>
      <w:sz w:val="16"/>
      <w:szCs w:val="16"/>
    </w:rPr>
  </w:style>
  <w:style w:type="paragraph" w:styleId="NormalWeb">
    <w:name w:val="Normal (Web)"/>
    <w:basedOn w:val="Normal"/>
    <w:uiPriority w:val="99"/>
    <w:unhideWhenUsed/>
    <w:rsid w:val="00DD0FE1"/>
    <w:pPr>
      <w:spacing w:before="100" w:beforeAutospacing="1" w:after="100" w:afterAutospacing="1"/>
    </w:pPr>
  </w:style>
  <w:style w:type="character" w:styleId="CommentReference">
    <w:name w:val="annotation reference"/>
    <w:basedOn w:val="DefaultParagraphFont"/>
    <w:rsid w:val="003742D4"/>
    <w:rPr>
      <w:sz w:val="16"/>
      <w:szCs w:val="16"/>
    </w:rPr>
  </w:style>
  <w:style w:type="paragraph" w:styleId="CommentText">
    <w:name w:val="annotation text"/>
    <w:basedOn w:val="Normal"/>
    <w:link w:val="CommentTextChar"/>
    <w:rsid w:val="003742D4"/>
    <w:rPr>
      <w:sz w:val="20"/>
      <w:szCs w:val="20"/>
    </w:rPr>
  </w:style>
  <w:style w:type="character" w:customStyle="1" w:styleId="CommentTextChar">
    <w:name w:val="Comment Text Char"/>
    <w:basedOn w:val="DefaultParagraphFont"/>
    <w:link w:val="CommentText"/>
    <w:rsid w:val="003742D4"/>
  </w:style>
  <w:style w:type="paragraph" w:styleId="CommentSubject">
    <w:name w:val="annotation subject"/>
    <w:basedOn w:val="CommentText"/>
    <w:next w:val="CommentText"/>
    <w:link w:val="CommentSubjectChar"/>
    <w:rsid w:val="003742D4"/>
    <w:rPr>
      <w:b/>
      <w:bCs/>
    </w:rPr>
  </w:style>
  <w:style w:type="character" w:customStyle="1" w:styleId="CommentSubjectChar">
    <w:name w:val="Comment Subject Char"/>
    <w:basedOn w:val="CommentTextChar"/>
    <w:link w:val="CommentSubject"/>
    <w:rsid w:val="003742D4"/>
    <w:rPr>
      <w:b/>
      <w:bCs/>
    </w:rPr>
  </w:style>
  <w:style w:type="character" w:styleId="Emphasis">
    <w:name w:val="Emphasis"/>
    <w:basedOn w:val="DefaultParagraphFont"/>
    <w:qFormat/>
    <w:rsid w:val="00B16C25"/>
    <w:rPr>
      <w:i/>
      <w:iCs/>
    </w:rPr>
  </w:style>
  <w:style w:type="paragraph" w:styleId="Header">
    <w:name w:val="header"/>
    <w:basedOn w:val="Normal"/>
    <w:link w:val="HeaderChar"/>
    <w:rsid w:val="00084A43"/>
    <w:pPr>
      <w:tabs>
        <w:tab w:val="center" w:pos="4680"/>
        <w:tab w:val="right" w:pos="9360"/>
      </w:tabs>
    </w:pPr>
  </w:style>
  <w:style w:type="character" w:customStyle="1" w:styleId="HeaderChar">
    <w:name w:val="Header Char"/>
    <w:basedOn w:val="DefaultParagraphFont"/>
    <w:link w:val="Header"/>
    <w:rsid w:val="00084A43"/>
    <w:rPr>
      <w:sz w:val="24"/>
      <w:szCs w:val="24"/>
    </w:rPr>
  </w:style>
  <w:style w:type="paragraph" w:styleId="Revision">
    <w:name w:val="Revision"/>
    <w:hidden/>
    <w:uiPriority w:val="99"/>
    <w:semiHidden/>
    <w:rsid w:val="001259FC"/>
    <w:rPr>
      <w:sz w:val="24"/>
      <w:szCs w:val="24"/>
    </w:rPr>
  </w:style>
  <w:style w:type="paragraph" w:styleId="ListParagraph">
    <w:name w:val="List Paragraph"/>
    <w:basedOn w:val="Normal"/>
    <w:uiPriority w:val="34"/>
    <w:qFormat/>
    <w:rsid w:val="008664AC"/>
    <w:pPr>
      <w:ind w:left="720"/>
      <w:contextualSpacing/>
    </w:pPr>
  </w:style>
  <w:style w:type="paragraph" w:styleId="NormalIndent">
    <w:name w:val="Normal Indent"/>
    <w:basedOn w:val="Normal"/>
    <w:rsid w:val="008F6C87"/>
    <w:pPr>
      <w:ind w:left="720"/>
    </w:pPr>
  </w:style>
  <w:style w:type="paragraph" w:styleId="PlainText">
    <w:name w:val="Plain Text"/>
    <w:basedOn w:val="Normal"/>
    <w:link w:val="PlainTextChar"/>
    <w:uiPriority w:val="99"/>
    <w:unhideWhenUsed/>
    <w:rsid w:val="002D20AC"/>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2D20AC"/>
    <w:rPr>
      <w:rFonts w:ascii="Calibri" w:eastAsiaTheme="minorHAnsi" w:hAnsi="Calibri" w:cstheme="minorBid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2016370">
      <w:bodyDiv w:val="1"/>
      <w:marLeft w:val="0"/>
      <w:marRight w:val="0"/>
      <w:marTop w:val="0"/>
      <w:marBottom w:val="0"/>
      <w:divBdr>
        <w:top w:val="none" w:sz="0" w:space="0" w:color="auto"/>
        <w:left w:val="none" w:sz="0" w:space="0" w:color="auto"/>
        <w:bottom w:val="none" w:sz="0" w:space="0" w:color="auto"/>
        <w:right w:val="none" w:sz="0" w:space="0" w:color="auto"/>
      </w:divBdr>
      <w:divsChild>
        <w:div w:id="18504404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64730329">
      <w:bodyDiv w:val="1"/>
      <w:marLeft w:val="0"/>
      <w:marRight w:val="0"/>
      <w:marTop w:val="0"/>
      <w:marBottom w:val="0"/>
      <w:divBdr>
        <w:top w:val="none" w:sz="0" w:space="0" w:color="auto"/>
        <w:left w:val="none" w:sz="0" w:space="0" w:color="auto"/>
        <w:bottom w:val="none" w:sz="0" w:space="0" w:color="auto"/>
        <w:right w:val="none" w:sz="0" w:space="0" w:color="auto"/>
      </w:divBdr>
      <w:divsChild>
        <w:div w:id="10515402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24617205">
      <w:bodyDiv w:val="1"/>
      <w:marLeft w:val="0"/>
      <w:marRight w:val="0"/>
      <w:marTop w:val="0"/>
      <w:marBottom w:val="0"/>
      <w:divBdr>
        <w:top w:val="none" w:sz="0" w:space="0" w:color="auto"/>
        <w:left w:val="none" w:sz="0" w:space="0" w:color="auto"/>
        <w:bottom w:val="none" w:sz="0" w:space="0" w:color="auto"/>
        <w:right w:val="none" w:sz="0" w:space="0" w:color="auto"/>
      </w:divBdr>
    </w:div>
    <w:div w:id="1840194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F90507-A130-40AD-A428-87CEB30790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10078</Words>
  <Characters>57448</Characters>
  <Application>Microsoft Office Word</Application>
  <DocSecurity>0</DocSecurity>
  <Lines>478</Lines>
  <Paragraphs>134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67392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2015-07-30T17:24:00Z</dcterms:created>
  <dcterms:modified xsi:type="dcterms:W3CDTF">2015-08-19T15:15:00Z</dcterms:modified>
</cp:coreProperties>
</file>