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2CB" w:rsidRPr="00F514FB" w:rsidRDefault="001322CB" w:rsidP="00B774A6">
      <w:pPr>
        <w:tabs>
          <w:tab w:val="center" w:pos="4680"/>
        </w:tabs>
        <w:suppressAutoHyphens/>
        <w:spacing w:line="240" w:lineRule="auto"/>
        <w:ind w:firstLine="0"/>
        <w:jc w:val="center"/>
        <w:rPr>
          <w:b/>
          <w:szCs w:val="26"/>
        </w:rPr>
      </w:pPr>
      <w:r w:rsidRPr="00F514FB">
        <w:rPr>
          <w:b/>
          <w:szCs w:val="26"/>
        </w:rPr>
        <w:t>PENNSYLVANIA</w:t>
      </w:r>
    </w:p>
    <w:p w:rsidR="001322CB" w:rsidRPr="00F514FB" w:rsidRDefault="001322CB" w:rsidP="00B774A6">
      <w:pPr>
        <w:tabs>
          <w:tab w:val="center" w:pos="4680"/>
        </w:tabs>
        <w:suppressAutoHyphens/>
        <w:spacing w:line="240" w:lineRule="auto"/>
        <w:ind w:firstLine="0"/>
        <w:jc w:val="center"/>
        <w:rPr>
          <w:szCs w:val="26"/>
        </w:rPr>
      </w:pPr>
      <w:r w:rsidRPr="00F514FB">
        <w:rPr>
          <w:b/>
          <w:szCs w:val="26"/>
        </w:rPr>
        <w:t>PUBLIC UTILITY COMMISSION</w:t>
      </w:r>
    </w:p>
    <w:p w:rsidR="001322CB" w:rsidRPr="00F514FB" w:rsidRDefault="001322CB" w:rsidP="00B774A6">
      <w:pPr>
        <w:tabs>
          <w:tab w:val="center" w:pos="4680"/>
        </w:tabs>
        <w:suppressAutoHyphens/>
        <w:spacing w:line="240" w:lineRule="auto"/>
        <w:ind w:firstLine="0"/>
        <w:jc w:val="center"/>
        <w:rPr>
          <w:szCs w:val="26"/>
        </w:rPr>
      </w:pPr>
      <w:r w:rsidRPr="00F514FB">
        <w:rPr>
          <w:b/>
          <w:szCs w:val="26"/>
        </w:rPr>
        <w:t>Harrisburg, PA 17105-3265</w:t>
      </w:r>
    </w:p>
    <w:p w:rsidR="001322CB" w:rsidRPr="00F514FB" w:rsidRDefault="001322CB" w:rsidP="00B774A6">
      <w:pPr>
        <w:tabs>
          <w:tab w:val="left" w:pos="-720"/>
        </w:tabs>
        <w:suppressAutoHyphens/>
        <w:spacing w:line="240" w:lineRule="auto"/>
        <w:ind w:firstLine="0"/>
        <w:rPr>
          <w:szCs w:val="26"/>
        </w:rPr>
      </w:pPr>
    </w:p>
    <w:p w:rsidR="001322CB" w:rsidRPr="00F514FB" w:rsidRDefault="001322CB" w:rsidP="00B774A6">
      <w:pPr>
        <w:spacing w:line="240" w:lineRule="auto"/>
        <w:ind w:firstLine="0"/>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1322CB" w:rsidRPr="00F514FB" w:rsidTr="00354BD0">
        <w:tc>
          <w:tcPr>
            <w:tcW w:w="5058" w:type="dxa"/>
          </w:tcPr>
          <w:p w:rsidR="001322CB" w:rsidRPr="00F514FB" w:rsidRDefault="001322CB" w:rsidP="00B774A6">
            <w:pPr>
              <w:spacing w:line="240" w:lineRule="auto"/>
              <w:ind w:firstLine="0"/>
              <w:rPr>
                <w:szCs w:val="26"/>
              </w:rPr>
            </w:pPr>
          </w:p>
        </w:tc>
        <w:tc>
          <w:tcPr>
            <w:tcW w:w="4428" w:type="dxa"/>
          </w:tcPr>
          <w:p w:rsidR="001322CB" w:rsidRPr="00F514FB" w:rsidRDefault="001322CB" w:rsidP="00B774A6">
            <w:pPr>
              <w:spacing w:line="240" w:lineRule="auto"/>
              <w:ind w:firstLine="0"/>
              <w:jc w:val="right"/>
              <w:rPr>
                <w:szCs w:val="26"/>
              </w:rPr>
            </w:pPr>
            <w:r w:rsidRPr="00F514FB">
              <w:rPr>
                <w:szCs w:val="26"/>
              </w:rPr>
              <w:t xml:space="preserve">Public Meeting held </w:t>
            </w:r>
            <w:r w:rsidR="00100858">
              <w:rPr>
                <w:szCs w:val="26"/>
              </w:rPr>
              <w:t>August 20,</w:t>
            </w:r>
            <w:r w:rsidR="00354BD0">
              <w:rPr>
                <w:szCs w:val="26"/>
              </w:rPr>
              <w:t xml:space="preserve"> 2015</w:t>
            </w:r>
          </w:p>
          <w:p w:rsidR="001322CB" w:rsidRPr="00F514FB" w:rsidRDefault="001322CB" w:rsidP="00B774A6">
            <w:pPr>
              <w:spacing w:line="240" w:lineRule="auto"/>
              <w:ind w:firstLine="0"/>
              <w:jc w:val="right"/>
              <w:rPr>
                <w:szCs w:val="26"/>
              </w:rPr>
            </w:pPr>
          </w:p>
          <w:p w:rsidR="001322CB" w:rsidRPr="00F514FB" w:rsidRDefault="001322CB" w:rsidP="00B774A6">
            <w:pPr>
              <w:spacing w:line="240" w:lineRule="auto"/>
              <w:ind w:firstLine="0"/>
              <w:jc w:val="right"/>
              <w:rPr>
                <w:szCs w:val="26"/>
              </w:rPr>
            </w:pPr>
          </w:p>
        </w:tc>
      </w:tr>
      <w:tr w:rsidR="001322CB" w:rsidRPr="00F514FB" w:rsidTr="00354BD0">
        <w:tc>
          <w:tcPr>
            <w:tcW w:w="5058" w:type="dxa"/>
          </w:tcPr>
          <w:p w:rsidR="001322CB" w:rsidRPr="00F514FB" w:rsidRDefault="001322CB" w:rsidP="00B774A6">
            <w:pPr>
              <w:spacing w:line="240" w:lineRule="auto"/>
              <w:ind w:firstLine="0"/>
              <w:rPr>
                <w:szCs w:val="26"/>
              </w:rPr>
            </w:pPr>
            <w:r w:rsidRPr="00F514FB">
              <w:rPr>
                <w:szCs w:val="26"/>
              </w:rPr>
              <w:t>Commissioners Present:</w:t>
            </w:r>
          </w:p>
          <w:p w:rsidR="001322CB" w:rsidRPr="00F514FB" w:rsidRDefault="001322CB" w:rsidP="00B774A6">
            <w:pPr>
              <w:spacing w:line="240" w:lineRule="auto"/>
              <w:ind w:firstLine="0"/>
              <w:rPr>
                <w:szCs w:val="26"/>
              </w:rPr>
            </w:pPr>
          </w:p>
          <w:p w:rsidR="001322CB" w:rsidRPr="00F514FB" w:rsidRDefault="00BD209F" w:rsidP="00B774A6">
            <w:pPr>
              <w:tabs>
                <w:tab w:val="left" w:pos="705"/>
              </w:tabs>
              <w:spacing w:line="240" w:lineRule="auto"/>
              <w:ind w:firstLine="0"/>
              <w:rPr>
                <w:szCs w:val="26"/>
              </w:rPr>
            </w:pPr>
            <w:r>
              <w:rPr>
                <w:szCs w:val="26"/>
              </w:rPr>
              <w:t>Gladys M. Brown,</w:t>
            </w:r>
            <w:r w:rsidR="001322CB" w:rsidRPr="00F514FB">
              <w:rPr>
                <w:szCs w:val="26"/>
              </w:rPr>
              <w:t xml:space="preserve"> Chairman</w:t>
            </w:r>
          </w:p>
          <w:p w:rsidR="001322CB" w:rsidRPr="00F514FB" w:rsidRDefault="001322CB" w:rsidP="00B774A6">
            <w:pPr>
              <w:tabs>
                <w:tab w:val="left" w:pos="705"/>
              </w:tabs>
              <w:spacing w:line="240" w:lineRule="auto"/>
              <w:ind w:firstLine="0"/>
              <w:rPr>
                <w:szCs w:val="26"/>
              </w:rPr>
            </w:pPr>
            <w:r w:rsidRPr="00F514FB">
              <w:rPr>
                <w:szCs w:val="26"/>
              </w:rPr>
              <w:t>John F. Coleman, Jr., Vice Chairman</w:t>
            </w:r>
          </w:p>
          <w:p w:rsidR="001322CB" w:rsidRPr="00F514FB" w:rsidRDefault="001322CB" w:rsidP="00B774A6">
            <w:pPr>
              <w:tabs>
                <w:tab w:val="left" w:pos="705"/>
              </w:tabs>
              <w:spacing w:line="240" w:lineRule="auto"/>
              <w:ind w:firstLine="0"/>
              <w:rPr>
                <w:szCs w:val="26"/>
              </w:rPr>
            </w:pPr>
            <w:r w:rsidRPr="00F514FB">
              <w:rPr>
                <w:szCs w:val="26"/>
              </w:rPr>
              <w:t>James H. Cawley</w:t>
            </w:r>
          </w:p>
          <w:p w:rsidR="001322CB" w:rsidRPr="00F514FB" w:rsidRDefault="001322CB" w:rsidP="00B774A6">
            <w:pPr>
              <w:tabs>
                <w:tab w:val="left" w:pos="705"/>
              </w:tabs>
              <w:spacing w:line="240" w:lineRule="auto"/>
              <w:ind w:firstLine="0"/>
              <w:rPr>
                <w:szCs w:val="26"/>
              </w:rPr>
            </w:pPr>
            <w:r w:rsidRPr="00F514FB">
              <w:rPr>
                <w:szCs w:val="26"/>
              </w:rPr>
              <w:t>Pamela A. Witmer</w:t>
            </w:r>
          </w:p>
          <w:p w:rsidR="001322CB" w:rsidRPr="00F514FB" w:rsidRDefault="00BD209F" w:rsidP="00B774A6">
            <w:pPr>
              <w:spacing w:line="240" w:lineRule="auto"/>
              <w:ind w:firstLine="0"/>
              <w:rPr>
                <w:szCs w:val="26"/>
              </w:rPr>
            </w:pPr>
            <w:r>
              <w:rPr>
                <w:szCs w:val="26"/>
              </w:rPr>
              <w:t>Robert F. Powelson</w:t>
            </w:r>
          </w:p>
          <w:p w:rsidR="001322CB" w:rsidRDefault="001322CB" w:rsidP="00B774A6">
            <w:pPr>
              <w:spacing w:line="240" w:lineRule="auto"/>
              <w:ind w:firstLine="0"/>
              <w:rPr>
                <w:szCs w:val="26"/>
              </w:rPr>
            </w:pPr>
          </w:p>
          <w:p w:rsidR="00813065" w:rsidRPr="00F514FB" w:rsidRDefault="00813065" w:rsidP="00B774A6">
            <w:pPr>
              <w:spacing w:line="240" w:lineRule="auto"/>
              <w:ind w:firstLine="0"/>
              <w:rPr>
                <w:szCs w:val="26"/>
              </w:rPr>
            </w:pPr>
          </w:p>
        </w:tc>
        <w:tc>
          <w:tcPr>
            <w:tcW w:w="4428" w:type="dxa"/>
          </w:tcPr>
          <w:p w:rsidR="001322CB" w:rsidRPr="00F514FB" w:rsidRDefault="001322CB" w:rsidP="00B774A6">
            <w:pPr>
              <w:spacing w:line="240" w:lineRule="auto"/>
              <w:ind w:firstLine="0"/>
              <w:jc w:val="right"/>
              <w:rPr>
                <w:szCs w:val="26"/>
              </w:rPr>
            </w:pPr>
          </w:p>
          <w:p w:rsidR="001322CB" w:rsidRPr="00F514FB" w:rsidRDefault="001322CB" w:rsidP="00B774A6">
            <w:pPr>
              <w:spacing w:line="240" w:lineRule="auto"/>
              <w:ind w:firstLine="0"/>
              <w:jc w:val="right"/>
              <w:rPr>
                <w:szCs w:val="26"/>
              </w:rPr>
            </w:pPr>
          </w:p>
        </w:tc>
      </w:tr>
      <w:tr w:rsidR="001322CB" w:rsidRPr="00F514FB" w:rsidTr="00354BD0">
        <w:tc>
          <w:tcPr>
            <w:tcW w:w="5058" w:type="dxa"/>
          </w:tcPr>
          <w:p w:rsidR="001322CB" w:rsidRDefault="00813065" w:rsidP="00813065">
            <w:pPr>
              <w:tabs>
                <w:tab w:val="left" w:pos="-720"/>
              </w:tabs>
              <w:suppressAutoHyphens/>
              <w:spacing w:line="240" w:lineRule="auto"/>
              <w:ind w:firstLine="0"/>
              <w:rPr>
                <w:spacing w:val="-3"/>
              </w:rPr>
            </w:pPr>
            <w:r w:rsidRPr="00867458">
              <w:rPr>
                <w:spacing w:val="-3"/>
              </w:rPr>
              <w:t>Dauphin County Industrial Development Authority</w:t>
            </w:r>
          </w:p>
          <w:p w:rsidR="00813065" w:rsidRDefault="00813065" w:rsidP="00813065">
            <w:pPr>
              <w:tabs>
                <w:tab w:val="left" w:pos="-720"/>
              </w:tabs>
              <w:suppressAutoHyphens/>
              <w:spacing w:line="240" w:lineRule="auto"/>
              <w:ind w:firstLine="0"/>
              <w:rPr>
                <w:spacing w:val="-3"/>
              </w:rPr>
            </w:pPr>
          </w:p>
          <w:p w:rsidR="00813065" w:rsidRDefault="00813065" w:rsidP="00813065">
            <w:pPr>
              <w:tabs>
                <w:tab w:val="left" w:pos="-720"/>
              </w:tabs>
              <w:suppressAutoHyphens/>
              <w:spacing w:line="240" w:lineRule="auto"/>
              <w:ind w:left="1440" w:firstLine="0"/>
              <w:rPr>
                <w:spacing w:val="-3"/>
              </w:rPr>
            </w:pPr>
            <w:proofErr w:type="gramStart"/>
            <w:r>
              <w:rPr>
                <w:spacing w:val="-3"/>
              </w:rPr>
              <w:t>v</w:t>
            </w:r>
            <w:proofErr w:type="gramEnd"/>
            <w:r>
              <w:rPr>
                <w:spacing w:val="-3"/>
              </w:rPr>
              <w:t>.</w:t>
            </w:r>
          </w:p>
          <w:p w:rsidR="00813065" w:rsidRDefault="00813065" w:rsidP="00813065">
            <w:pPr>
              <w:tabs>
                <w:tab w:val="left" w:pos="-720"/>
              </w:tabs>
              <w:suppressAutoHyphens/>
              <w:spacing w:line="240" w:lineRule="auto"/>
              <w:ind w:firstLine="0"/>
              <w:rPr>
                <w:spacing w:val="-3"/>
              </w:rPr>
            </w:pPr>
          </w:p>
          <w:p w:rsidR="00813065" w:rsidRDefault="00813065" w:rsidP="00813065">
            <w:pPr>
              <w:tabs>
                <w:tab w:val="left" w:pos="-720"/>
              </w:tabs>
              <w:suppressAutoHyphens/>
              <w:spacing w:line="240" w:lineRule="auto"/>
              <w:ind w:firstLine="0"/>
              <w:rPr>
                <w:spacing w:val="-3"/>
              </w:rPr>
            </w:pPr>
            <w:r w:rsidRPr="00867458">
              <w:rPr>
                <w:spacing w:val="-3"/>
              </w:rPr>
              <w:t>PPL Electric Utilities Corporation</w:t>
            </w:r>
          </w:p>
          <w:p w:rsidR="00813065" w:rsidRPr="00F514FB" w:rsidRDefault="00813065" w:rsidP="00813065">
            <w:pPr>
              <w:tabs>
                <w:tab w:val="left" w:pos="-720"/>
              </w:tabs>
              <w:suppressAutoHyphens/>
              <w:spacing w:line="240" w:lineRule="auto"/>
              <w:ind w:firstLine="0"/>
              <w:rPr>
                <w:szCs w:val="26"/>
              </w:rPr>
            </w:pPr>
          </w:p>
        </w:tc>
        <w:tc>
          <w:tcPr>
            <w:tcW w:w="4428" w:type="dxa"/>
          </w:tcPr>
          <w:p w:rsidR="001322CB" w:rsidRPr="00F514FB" w:rsidRDefault="00813065" w:rsidP="00073CC0">
            <w:pPr>
              <w:spacing w:line="240" w:lineRule="auto"/>
              <w:ind w:firstLine="0"/>
              <w:jc w:val="right"/>
              <w:rPr>
                <w:szCs w:val="26"/>
              </w:rPr>
            </w:pPr>
            <w:r>
              <w:rPr>
                <w:szCs w:val="26"/>
              </w:rPr>
              <w:t>C</w:t>
            </w:r>
            <w:r w:rsidR="00354BD0">
              <w:rPr>
                <w:szCs w:val="26"/>
              </w:rPr>
              <w:t>-201</w:t>
            </w:r>
            <w:r>
              <w:rPr>
                <w:szCs w:val="26"/>
              </w:rPr>
              <w:t>4</w:t>
            </w:r>
            <w:r w:rsidR="00354BD0">
              <w:rPr>
                <w:szCs w:val="26"/>
              </w:rPr>
              <w:t>-</w:t>
            </w:r>
            <w:r>
              <w:rPr>
                <w:szCs w:val="26"/>
              </w:rPr>
              <w:t>2450</w:t>
            </w:r>
            <w:r w:rsidR="00073CC0">
              <w:rPr>
                <w:szCs w:val="26"/>
              </w:rPr>
              <w:t>48</w:t>
            </w:r>
            <w:r>
              <w:rPr>
                <w:szCs w:val="26"/>
              </w:rPr>
              <w:t>3</w:t>
            </w:r>
          </w:p>
        </w:tc>
      </w:tr>
      <w:tr w:rsidR="001322CB" w:rsidRPr="00F514FB" w:rsidTr="00354BD0">
        <w:tc>
          <w:tcPr>
            <w:tcW w:w="5058" w:type="dxa"/>
          </w:tcPr>
          <w:p w:rsidR="001322CB" w:rsidRPr="00F514FB" w:rsidRDefault="001322CB" w:rsidP="00B774A6">
            <w:pPr>
              <w:spacing w:line="240" w:lineRule="auto"/>
              <w:ind w:firstLine="0"/>
              <w:rPr>
                <w:szCs w:val="26"/>
              </w:rPr>
            </w:pPr>
          </w:p>
        </w:tc>
        <w:tc>
          <w:tcPr>
            <w:tcW w:w="4428" w:type="dxa"/>
          </w:tcPr>
          <w:p w:rsidR="001322CB" w:rsidRPr="00F514FB" w:rsidRDefault="001322CB" w:rsidP="00B774A6">
            <w:pPr>
              <w:spacing w:line="240" w:lineRule="auto"/>
              <w:ind w:firstLine="0"/>
              <w:rPr>
                <w:szCs w:val="26"/>
              </w:rPr>
            </w:pPr>
          </w:p>
        </w:tc>
      </w:tr>
      <w:tr w:rsidR="001322CB" w:rsidRPr="00F514FB" w:rsidTr="00354BD0">
        <w:tc>
          <w:tcPr>
            <w:tcW w:w="5058" w:type="dxa"/>
          </w:tcPr>
          <w:p w:rsidR="001322CB" w:rsidRPr="00F514FB" w:rsidRDefault="001322CB" w:rsidP="00B774A6">
            <w:pPr>
              <w:spacing w:line="240" w:lineRule="auto"/>
              <w:ind w:firstLine="0"/>
              <w:rPr>
                <w:szCs w:val="26"/>
              </w:rPr>
            </w:pPr>
          </w:p>
        </w:tc>
        <w:tc>
          <w:tcPr>
            <w:tcW w:w="4428" w:type="dxa"/>
          </w:tcPr>
          <w:p w:rsidR="001322CB" w:rsidRPr="00F514FB" w:rsidRDefault="001322CB" w:rsidP="00B774A6">
            <w:pPr>
              <w:spacing w:line="240" w:lineRule="auto"/>
              <w:ind w:firstLine="0"/>
              <w:rPr>
                <w:szCs w:val="26"/>
              </w:rPr>
            </w:pPr>
          </w:p>
        </w:tc>
      </w:tr>
    </w:tbl>
    <w:p w:rsidR="001322CB" w:rsidRPr="00F514FB" w:rsidRDefault="001322CB" w:rsidP="00B774A6">
      <w:pPr>
        <w:spacing w:line="240" w:lineRule="auto"/>
        <w:ind w:firstLine="0"/>
        <w:rPr>
          <w:szCs w:val="26"/>
        </w:rPr>
      </w:pPr>
    </w:p>
    <w:p w:rsidR="001322CB" w:rsidRPr="00F514FB" w:rsidRDefault="001322CB" w:rsidP="00D32E9C">
      <w:pPr>
        <w:keepNext/>
        <w:keepLines/>
        <w:spacing w:line="240" w:lineRule="auto"/>
        <w:ind w:firstLine="0"/>
        <w:jc w:val="center"/>
        <w:rPr>
          <w:b/>
          <w:szCs w:val="26"/>
        </w:rPr>
      </w:pPr>
      <w:r w:rsidRPr="00F514FB">
        <w:rPr>
          <w:b/>
          <w:szCs w:val="26"/>
        </w:rPr>
        <w:t>OPINION AND ORDER</w:t>
      </w:r>
    </w:p>
    <w:p w:rsidR="001322CB" w:rsidRPr="00F514FB" w:rsidRDefault="001322CB" w:rsidP="00D32E9C">
      <w:pPr>
        <w:keepNext/>
        <w:keepLines/>
        <w:spacing w:line="240" w:lineRule="auto"/>
        <w:ind w:firstLine="0"/>
        <w:jc w:val="center"/>
        <w:rPr>
          <w:b/>
          <w:szCs w:val="26"/>
        </w:rPr>
      </w:pPr>
    </w:p>
    <w:p w:rsidR="001322CB" w:rsidRPr="00F514FB" w:rsidRDefault="001322CB" w:rsidP="00D32E9C">
      <w:pPr>
        <w:keepNext/>
        <w:keepLines/>
        <w:spacing w:line="240" w:lineRule="auto"/>
        <w:ind w:firstLine="0"/>
        <w:jc w:val="center"/>
        <w:rPr>
          <w:b/>
          <w:szCs w:val="26"/>
        </w:rPr>
      </w:pPr>
    </w:p>
    <w:p w:rsidR="001322CB" w:rsidRPr="00F514FB" w:rsidRDefault="001322CB" w:rsidP="00D32E9C">
      <w:pPr>
        <w:keepNext/>
        <w:keepLines/>
        <w:ind w:firstLine="0"/>
        <w:rPr>
          <w:b/>
          <w:szCs w:val="26"/>
        </w:rPr>
      </w:pPr>
      <w:r w:rsidRPr="00F514FB">
        <w:rPr>
          <w:b/>
          <w:szCs w:val="26"/>
        </w:rPr>
        <w:t>BY THE COMMISSION:</w:t>
      </w:r>
    </w:p>
    <w:p w:rsidR="001322CB" w:rsidRPr="00F514FB" w:rsidRDefault="001322CB" w:rsidP="00D32E9C">
      <w:pPr>
        <w:keepNext/>
        <w:keepLines/>
        <w:rPr>
          <w:szCs w:val="26"/>
        </w:rPr>
      </w:pPr>
    </w:p>
    <w:p w:rsidR="00644AA6" w:rsidRPr="00FD41DF" w:rsidRDefault="00644AA6" w:rsidP="00FD41DF">
      <w:r w:rsidRPr="00B01161">
        <w:rPr>
          <w:szCs w:val="26"/>
        </w:rPr>
        <w:t>Before the Pennsylvania Public U</w:t>
      </w:r>
      <w:r w:rsidR="00E65E6C" w:rsidRPr="00B01161">
        <w:rPr>
          <w:szCs w:val="26"/>
        </w:rPr>
        <w:t xml:space="preserve">tility Commission (Commission) for consideration and disposition </w:t>
      </w:r>
      <w:r w:rsidR="00813065">
        <w:rPr>
          <w:szCs w:val="26"/>
        </w:rPr>
        <w:t>are</w:t>
      </w:r>
      <w:r w:rsidR="00E65E6C" w:rsidRPr="00B01161">
        <w:rPr>
          <w:szCs w:val="26"/>
        </w:rPr>
        <w:t xml:space="preserve"> the </w:t>
      </w:r>
      <w:r w:rsidR="00813065">
        <w:rPr>
          <w:szCs w:val="26"/>
        </w:rPr>
        <w:t xml:space="preserve">Exceptions filed on April 30, 2015, by the Dauphin County Industrial Development Authority (DCIDA) to the Initial Decision </w:t>
      </w:r>
      <w:r w:rsidR="00B115C2">
        <w:rPr>
          <w:szCs w:val="26"/>
        </w:rPr>
        <w:t>of Administrative Law Judge (ALJ) David A. Salapa, issued on April 10, 2015</w:t>
      </w:r>
      <w:r w:rsidR="005C4EEA">
        <w:rPr>
          <w:szCs w:val="26"/>
        </w:rPr>
        <w:t xml:space="preserve">.  The </w:t>
      </w:r>
      <w:r w:rsidR="003838E4">
        <w:rPr>
          <w:szCs w:val="26"/>
        </w:rPr>
        <w:t xml:space="preserve">Initial </w:t>
      </w:r>
      <w:r w:rsidR="005C4EEA">
        <w:rPr>
          <w:szCs w:val="26"/>
        </w:rPr>
        <w:t xml:space="preserve">Decision, </w:t>
      </w:r>
      <w:r w:rsidR="005C4EEA" w:rsidRPr="005C4EEA">
        <w:rPr>
          <w:i/>
          <w:szCs w:val="26"/>
        </w:rPr>
        <w:t>inter alia</w:t>
      </w:r>
      <w:r w:rsidR="000138AE">
        <w:rPr>
          <w:szCs w:val="26"/>
        </w:rPr>
        <w:t>,</w:t>
      </w:r>
      <w:r w:rsidR="005C4EEA">
        <w:rPr>
          <w:szCs w:val="26"/>
        </w:rPr>
        <w:t xml:space="preserve"> granted PPL Electric Utilities’ (PPL or Company) preliminary Cross Motion for Judgment on the Pleadings. </w:t>
      </w:r>
      <w:r w:rsidR="00C24D98">
        <w:rPr>
          <w:szCs w:val="26"/>
        </w:rPr>
        <w:t xml:space="preserve"> </w:t>
      </w:r>
      <w:r w:rsidR="00B115C2">
        <w:rPr>
          <w:szCs w:val="26"/>
        </w:rPr>
        <w:t>Repl</w:t>
      </w:r>
      <w:r w:rsidR="002B3C90">
        <w:rPr>
          <w:szCs w:val="26"/>
        </w:rPr>
        <w:t>ies</w:t>
      </w:r>
      <w:r w:rsidR="00B115C2">
        <w:rPr>
          <w:szCs w:val="26"/>
        </w:rPr>
        <w:t xml:space="preserve"> </w:t>
      </w:r>
      <w:r w:rsidR="002B3C90">
        <w:rPr>
          <w:szCs w:val="26"/>
        </w:rPr>
        <w:t xml:space="preserve">to </w:t>
      </w:r>
      <w:r w:rsidR="00B115C2">
        <w:rPr>
          <w:szCs w:val="26"/>
        </w:rPr>
        <w:t xml:space="preserve">Exceptions were filed by PPL on </w:t>
      </w:r>
      <w:r w:rsidR="00B70661">
        <w:rPr>
          <w:szCs w:val="26"/>
        </w:rPr>
        <w:lastRenderedPageBreak/>
        <w:t>May</w:t>
      </w:r>
      <w:r w:rsidR="002B3C90">
        <w:rPr>
          <w:szCs w:val="26"/>
        </w:rPr>
        <w:t> </w:t>
      </w:r>
      <w:r w:rsidR="00B115C2">
        <w:rPr>
          <w:szCs w:val="26"/>
        </w:rPr>
        <w:t xml:space="preserve">11, 2015. </w:t>
      </w:r>
      <w:r w:rsidR="00B70661">
        <w:rPr>
          <w:szCs w:val="26"/>
        </w:rPr>
        <w:t xml:space="preserve"> </w:t>
      </w:r>
      <w:r w:rsidR="00B70661" w:rsidRPr="00FD41DF">
        <w:rPr>
          <w:szCs w:val="26"/>
        </w:rPr>
        <w:t xml:space="preserve">For the reasons set forth herein, we shall </w:t>
      </w:r>
      <w:r w:rsidR="00163646">
        <w:rPr>
          <w:szCs w:val="26"/>
        </w:rPr>
        <w:t>deny</w:t>
      </w:r>
      <w:r w:rsidR="00163646" w:rsidRPr="00FD41DF">
        <w:rPr>
          <w:szCs w:val="26"/>
        </w:rPr>
        <w:t xml:space="preserve"> </w:t>
      </w:r>
      <w:r w:rsidR="00FD41DF" w:rsidRPr="00FD41DF">
        <w:rPr>
          <w:szCs w:val="26"/>
        </w:rPr>
        <w:t xml:space="preserve">the Exceptions </w:t>
      </w:r>
      <w:r w:rsidR="00163646">
        <w:rPr>
          <w:szCs w:val="26"/>
        </w:rPr>
        <w:t xml:space="preserve">and adopt the </w:t>
      </w:r>
      <w:r w:rsidR="000E2C14">
        <w:rPr>
          <w:szCs w:val="26"/>
        </w:rPr>
        <w:t xml:space="preserve">ALJ’s </w:t>
      </w:r>
      <w:r w:rsidR="00886D2D">
        <w:rPr>
          <w:szCs w:val="26"/>
        </w:rPr>
        <w:t>Initial</w:t>
      </w:r>
      <w:r w:rsidR="00163646">
        <w:rPr>
          <w:szCs w:val="26"/>
        </w:rPr>
        <w:t xml:space="preserve"> Decision</w:t>
      </w:r>
      <w:r w:rsidR="000E2C14">
        <w:rPr>
          <w:szCs w:val="26"/>
        </w:rPr>
        <w:t>.</w:t>
      </w:r>
    </w:p>
    <w:p w:rsidR="00B01161" w:rsidRPr="0061313F" w:rsidRDefault="00B01161" w:rsidP="00644AA6">
      <w:pPr>
        <w:jc w:val="center"/>
        <w:rPr>
          <w:b/>
          <w:szCs w:val="26"/>
        </w:rPr>
      </w:pPr>
    </w:p>
    <w:p w:rsidR="00FD41DF" w:rsidRDefault="00FD41DF" w:rsidP="00D32E9C">
      <w:pPr>
        <w:pStyle w:val="Heading1"/>
        <w:ind w:left="360"/>
        <w:rPr>
          <w:rFonts w:eastAsiaTheme="minorHAnsi"/>
        </w:rPr>
      </w:pPr>
      <w:r>
        <w:rPr>
          <w:rFonts w:eastAsiaTheme="minorHAnsi"/>
        </w:rPr>
        <w:t>Background</w:t>
      </w:r>
    </w:p>
    <w:p w:rsidR="00FD41DF" w:rsidRDefault="00FD41DF" w:rsidP="00D32E9C">
      <w:pPr>
        <w:keepNext/>
        <w:keepLines/>
        <w:rPr>
          <w:rFonts w:eastAsiaTheme="minorHAnsi"/>
        </w:rPr>
      </w:pPr>
    </w:p>
    <w:p w:rsidR="00293C26" w:rsidRDefault="00293C26" w:rsidP="00293C26">
      <w:pPr>
        <w:rPr>
          <w:rFonts w:eastAsiaTheme="minorHAnsi"/>
        </w:rPr>
      </w:pPr>
      <w:r>
        <w:rPr>
          <w:rFonts w:eastAsiaTheme="minorHAnsi"/>
        </w:rPr>
        <w:t xml:space="preserve">In 2009, DCIDA began the planning and development process to construct a solar energy facility within the service area of PPL in Dauphin County.  DCIDA built the </w:t>
      </w:r>
      <w:r w:rsidR="00595BA4">
        <w:rPr>
          <w:rFonts w:eastAsiaTheme="minorHAnsi"/>
        </w:rPr>
        <w:t>s</w:t>
      </w:r>
      <w:r>
        <w:rPr>
          <w:rFonts w:eastAsiaTheme="minorHAnsi"/>
        </w:rPr>
        <w:t xml:space="preserve">olar </w:t>
      </w:r>
      <w:r w:rsidR="00595BA4">
        <w:rPr>
          <w:rFonts w:eastAsiaTheme="minorHAnsi"/>
        </w:rPr>
        <w:t>f</w:t>
      </w:r>
      <w:r>
        <w:rPr>
          <w:rFonts w:eastAsiaTheme="minorHAnsi"/>
        </w:rPr>
        <w:t xml:space="preserve">acility in two phases. </w:t>
      </w:r>
      <w:r w:rsidR="00595BA4">
        <w:rPr>
          <w:rFonts w:eastAsiaTheme="minorHAnsi"/>
        </w:rPr>
        <w:t xml:space="preserve"> </w:t>
      </w:r>
      <w:r>
        <w:rPr>
          <w:rFonts w:eastAsiaTheme="minorHAnsi"/>
        </w:rPr>
        <w:t>In October 2011, it completed and began operating Phase</w:t>
      </w:r>
      <w:r w:rsidR="000E2C14">
        <w:rPr>
          <w:rFonts w:eastAsiaTheme="minorHAnsi"/>
        </w:rPr>
        <w:t> </w:t>
      </w:r>
      <w:r>
        <w:rPr>
          <w:rFonts w:eastAsiaTheme="minorHAnsi"/>
        </w:rPr>
        <w:t xml:space="preserve">I, which had approximately one megawatt (MW) of generating capacity.  DCIDA completed and began operating Phase II in October 2013. Phase II added approximately one MW of generating capacity to the facility, which now has slightly more than two MW of generating capacity.  </w:t>
      </w:r>
      <w:proofErr w:type="gramStart"/>
      <w:r>
        <w:rPr>
          <w:rFonts w:eastAsiaTheme="minorHAnsi"/>
        </w:rPr>
        <w:t xml:space="preserve">Complaint at </w:t>
      </w:r>
      <w:r w:rsidR="008E1A33">
        <w:rPr>
          <w:rFonts w:eastAsiaTheme="minorHAnsi"/>
        </w:rPr>
        <w:t>6</w:t>
      </w:r>
      <w:r>
        <w:rPr>
          <w:rFonts w:eastAsiaTheme="minorHAnsi"/>
        </w:rPr>
        <w:t>.</w:t>
      </w:r>
      <w:proofErr w:type="gramEnd"/>
      <w:r w:rsidR="008B40AE">
        <w:rPr>
          <w:rStyle w:val="FootnoteReference"/>
          <w:rFonts w:eastAsiaTheme="minorHAnsi"/>
        </w:rPr>
        <w:footnoteReference w:id="1"/>
      </w:r>
      <w:r>
        <w:rPr>
          <w:rFonts w:eastAsiaTheme="minorHAnsi"/>
        </w:rPr>
        <w:t xml:space="preserve"> </w:t>
      </w:r>
    </w:p>
    <w:p w:rsidR="00293C26" w:rsidRDefault="00293C26" w:rsidP="00293C26">
      <w:pPr>
        <w:rPr>
          <w:rFonts w:eastAsiaTheme="minorHAnsi"/>
        </w:rPr>
      </w:pPr>
    </w:p>
    <w:p w:rsidR="00293C26" w:rsidRDefault="00293C26" w:rsidP="00293C26">
      <w:pPr>
        <w:rPr>
          <w:rFonts w:eastAsiaTheme="minorHAnsi"/>
        </w:rPr>
      </w:pPr>
      <w:r>
        <w:rPr>
          <w:rFonts w:eastAsiaTheme="minorHAnsi"/>
        </w:rPr>
        <w:t xml:space="preserve">At its </w:t>
      </w:r>
      <w:r w:rsidR="00595BA4">
        <w:rPr>
          <w:rFonts w:eastAsiaTheme="minorHAnsi"/>
        </w:rPr>
        <w:t>s</w:t>
      </w:r>
      <w:r>
        <w:rPr>
          <w:rFonts w:eastAsiaTheme="minorHAnsi"/>
        </w:rPr>
        <w:t xml:space="preserve">olar </w:t>
      </w:r>
      <w:r w:rsidR="00595BA4">
        <w:rPr>
          <w:rFonts w:eastAsiaTheme="minorHAnsi"/>
        </w:rPr>
        <w:t>f</w:t>
      </w:r>
      <w:r>
        <w:rPr>
          <w:rFonts w:eastAsiaTheme="minorHAnsi"/>
        </w:rPr>
        <w:t xml:space="preserve">acility, DCIDA is a Small General Service </w:t>
      </w:r>
      <w:r w:rsidR="00595BA4">
        <w:rPr>
          <w:rFonts w:eastAsiaTheme="minorHAnsi"/>
        </w:rPr>
        <w:t>1</w:t>
      </w:r>
      <w:r>
        <w:rPr>
          <w:rFonts w:eastAsiaTheme="minorHAnsi"/>
        </w:rPr>
        <w:t xml:space="preserve"> (GS-1) customer of PPL</w:t>
      </w:r>
      <w:r w:rsidR="008E1A33">
        <w:rPr>
          <w:rFonts w:eastAsiaTheme="minorHAnsi"/>
        </w:rPr>
        <w:t xml:space="preserve"> and has been </w:t>
      </w:r>
      <w:r>
        <w:rPr>
          <w:rFonts w:eastAsiaTheme="minorHAnsi"/>
        </w:rPr>
        <w:t xml:space="preserve">a net metering customer of PPL </w:t>
      </w:r>
      <w:r w:rsidR="008E1A33">
        <w:rPr>
          <w:rFonts w:eastAsiaTheme="minorHAnsi"/>
        </w:rPr>
        <w:t>since October 2011.</w:t>
      </w:r>
      <w:r>
        <w:rPr>
          <w:rFonts w:eastAsiaTheme="minorHAnsi"/>
        </w:rPr>
        <w:t xml:space="preserve">  In April 2013, DCIDA elected to participate in the </w:t>
      </w:r>
      <w:r w:rsidR="00595BA4">
        <w:rPr>
          <w:rFonts w:eastAsiaTheme="minorHAnsi"/>
        </w:rPr>
        <w:t>time of use (</w:t>
      </w:r>
      <w:r>
        <w:rPr>
          <w:rFonts w:eastAsiaTheme="minorHAnsi"/>
        </w:rPr>
        <w:t>TOU</w:t>
      </w:r>
      <w:r w:rsidR="00595BA4">
        <w:rPr>
          <w:rFonts w:eastAsiaTheme="minorHAnsi"/>
        </w:rPr>
        <w:t>)</w:t>
      </w:r>
      <w:r>
        <w:rPr>
          <w:rFonts w:eastAsiaTheme="minorHAnsi"/>
        </w:rPr>
        <w:t xml:space="preserve"> </w:t>
      </w:r>
      <w:r w:rsidR="00595BA4">
        <w:rPr>
          <w:rFonts w:eastAsiaTheme="minorHAnsi"/>
        </w:rPr>
        <w:t>default service price o</w:t>
      </w:r>
      <w:r>
        <w:rPr>
          <w:rFonts w:eastAsiaTheme="minorHAnsi"/>
        </w:rPr>
        <w:t>ption offered by PPL.</w:t>
      </w:r>
      <w:r w:rsidR="00595BA4">
        <w:rPr>
          <w:rFonts w:eastAsiaTheme="minorHAnsi"/>
        </w:rPr>
        <w:t xml:space="preserve">  </w:t>
      </w:r>
      <w:r w:rsidR="008E1A33">
        <w:rPr>
          <w:rFonts w:eastAsiaTheme="minorHAnsi"/>
        </w:rPr>
        <w:t xml:space="preserve">For the period June 1, 2013 to May 31, 2014, </w:t>
      </w:r>
      <w:r w:rsidR="00595BA4">
        <w:rPr>
          <w:rFonts w:eastAsiaTheme="minorHAnsi"/>
        </w:rPr>
        <w:t xml:space="preserve">DCIDA </w:t>
      </w:r>
      <w:r w:rsidR="008E1A33">
        <w:rPr>
          <w:rFonts w:eastAsiaTheme="minorHAnsi"/>
        </w:rPr>
        <w:t xml:space="preserve">supplied more energy (kWh) to PPL than </w:t>
      </w:r>
      <w:r w:rsidR="00FD41DF">
        <w:rPr>
          <w:rFonts w:eastAsiaTheme="minorHAnsi"/>
        </w:rPr>
        <w:t>the Company</w:t>
      </w:r>
      <w:r w:rsidR="008E1A33">
        <w:rPr>
          <w:rFonts w:eastAsiaTheme="minorHAnsi"/>
        </w:rPr>
        <w:t xml:space="preserve"> provided to DCIDA.</w:t>
      </w:r>
      <w:r w:rsidR="00304406">
        <w:rPr>
          <w:rFonts w:eastAsiaTheme="minorHAnsi"/>
        </w:rPr>
        <w:t xml:space="preserve">  </w:t>
      </w:r>
      <w:r w:rsidR="00595BA4">
        <w:rPr>
          <w:rFonts w:eastAsiaTheme="minorHAnsi"/>
        </w:rPr>
        <w:t xml:space="preserve">Complaint at </w:t>
      </w:r>
      <w:r w:rsidR="008E1A33">
        <w:rPr>
          <w:rFonts w:eastAsiaTheme="minorHAnsi"/>
        </w:rPr>
        <w:t>6-7.</w:t>
      </w:r>
      <w:r w:rsidR="005416F7">
        <w:rPr>
          <w:rFonts w:eastAsiaTheme="minorHAnsi"/>
        </w:rPr>
        <w:t xml:space="preserve">  </w:t>
      </w:r>
      <w:r w:rsidR="00A43F95">
        <w:rPr>
          <w:rFonts w:eastAsiaTheme="minorHAnsi"/>
        </w:rPr>
        <w:t xml:space="preserve">DCIDA received </w:t>
      </w:r>
      <w:r w:rsidR="0033210C">
        <w:rPr>
          <w:rFonts w:eastAsiaTheme="minorHAnsi"/>
        </w:rPr>
        <w:t xml:space="preserve">approximately </w:t>
      </w:r>
      <w:r w:rsidR="00A43F95">
        <w:rPr>
          <w:rFonts w:eastAsiaTheme="minorHAnsi"/>
        </w:rPr>
        <w:t>$246</w:t>
      </w:r>
      <w:r w:rsidR="0033210C">
        <w:rPr>
          <w:rFonts w:eastAsiaTheme="minorHAnsi"/>
        </w:rPr>
        <w:t xml:space="preserve">,000 for its 1,792,000 kWh of </w:t>
      </w:r>
      <w:r w:rsidR="00FD41DF">
        <w:rPr>
          <w:rFonts w:eastAsiaTheme="minorHAnsi"/>
        </w:rPr>
        <w:t>excess</w:t>
      </w:r>
      <w:r w:rsidR="0033210C">
        <w:rPr>
          <w:rFonts w:eastAsiaTheme="minorHAnsi"/>
        </w:rPr>
        <w:t xml:space="preserve"> accumulated kWh over the twelve-month period </w:t>
      </w:r>
      <w:r w:rsidR="000210E6">
        <w:rPr>
          <w:rFonts w:eastAsiaTheme="minorHAnsi"/>
        </w:rPr>
        <w:t>based on</w:t>
      </w:r>
      <w:r w:rsidR="0033210C">
        <w:rPr>
          <w:rFonts w:eastAsiaTheme="minorHAnsi"/>
        </w:rPr>
        <w:t xml:space="preserve"> a</w:t>
      </w:r>
      <w:r w:rsidR="00093397">
        <w:rPr>
          <w:rFonts w:eastAsiaTheme="minorHAnsi"/>
        </w:rPr>
        <w:t xml:space="preserve"> weighted </w:t>
      </w:r>
      <w:r w:rsidR="0033210C">
        <w:rPr>
          <w:rFonts w:eastAsiaTheme="minorHAnsi"/>
        </w:rPr>
        <w:t xml:space="preserve">average </w:t>
      </w:r>
      <w:r w:rsidR="00093397">
        <w:rPr>
          <w:rFonts w:eastAsiaTheme="minorHAnsi"/>
        </w:rPr>
        <w:t>price to compare (PTC)</w:t>
      </w:r>
      <w:r w:rsidR="00C24D98">
        <w:rPr>
          <w:rFonts w:eastAsiaTheme="minorHAnsi"/>
        </w:rPr>
        <w:t xml:space="preserve"> of </w:t>
      </w:r>
      <w:r w:rsidR="0033210C">
        <w:rPr>
          <w:rFonts w:eastAsiaTheme="minorHAnsi"/>
        </w:rPr>
        <w:t>$0.13736 per kWh.</w:t>
      </w:r>
      <w:r w:rsidR="001C392C" w:rsidRPr="001C392C">
        <w:rPr>
          <w:rStyle w:val="FootnoteReference"/>
          <w:rFonts w:eastAsiaTheme="minorHAnsi"/>
        </w:rPr>
        <w:t xml:space="preserve"> </w:t>
      </w:r>
      <w:r w:rsidR="001C392C">
        <w:rPr>
          <w:rStyle w:val="FootnoteReference"/>
          <w:rFonts w:eastAsiaTheme="minorHAnsi"/>
        </w:rPr>
        <w:footnoteReference w:id="2"/>
      </w:r>
      <w:r w:rsidR="001C392C">
        <w:rPr>
          <w:rFonts w:eastAsiaTheme="minorHAnsi"/>
        </w:rPr>
        <w:t xml:space="preserve"> </w:t>
      </w:r>
      <w:r w:rsidR="00C24D98">
        <w:rPr>
          <w:rFonts w:eastAsiaTheme="minorHAnsi"/>
        </w:rPr>
        <w:t xml:space="preserve"> </w:t>
      </w:r>
      <w:proofErr w:type="gramStart"/>
      <w:r w:rsidR="0033210C">
        <w:rPr>
          <w:rFonts w:eastAsiaTheme="minorHAnsi"/>
        </w:rPr>
        <w:t>PPL R.</w:t>
      </w:r>
      <w:r w:rsidR="003C7578">
        <w:rPr>
          <w:rFonts w:eastAsiaTheme="minorHAnsi"/>
        </w:rPr>
        <w:t xml:space="preserve"> </w:t>
      </w:r>
      <w:r w:rsidR="0033210C">
        <w:rPr>
          <w:rFonts w:eastAsiaTheme="minorHAnsi"/>
        </w:rPr>
        <w:t>E</w:t>
      </w:r>
      <w:r w:rsidR="00B00FF9">
        <w:rPr>
          <w:rFonts w:eastAsiaTheme="minorHAnsi"/>
        </w:rPr>
        <w:t>xc</w:t>
      </w:r>
      <w:r w:rsidR="0033210C">
        <w:rPr>
          <w:rFonts w:eastAsiaTheme="minorHAnsi"/>
        </w:rPr>
        <w:t>. at 3.</w:t>
      </w:r>
      <w:proofErr w:type="gramEnd"/>
      <w:r w:rsidR="0033210C">
        <w:rPr>
          <w:rFonts w:eastAsiaTheme="minorHAnsi"/>
        </w:rPr>
        <w:t xml:space="preserve"> </w:t>
      </w:r>
    </w:p>
    <w:p w:rsidR="001878B6" w:rsidRDefault="001878B6" w:rsidP="00293C26">
      <w:pPr>
        <w:rPr>
          <w:rFonts w:eastAsiaTheme="minorHAnsi"/>
        </w:rPr>
      </w:pPr>
    </w:p>
    <w:p w:rsidR="001878B6" w:rsidRDefault="001878B6" w:rsidP="00293C26">
      <w:pPr>
        <w:rPr>
          <w:rFonts w:eastAsiaTheme="minorHAnsi"/>
        </w:rPr>
      </w:pPr>
      <w:r>
        <w:rPr>
          <w:rFonts w:eastAsiaTheme="minorHAnsi"/>
        </w:rPr>
        <w:lastRenderedPageBreak/>
        <w:t xml:space="preserve">The </w:t>
      </w:r>
      <w:r w:rsidR="00CD63D8">
        <w:rPr>
          <w:rFonts w:eastAsiaTheme="minorHAnsi"/>
        </w:rPr>
        <w:t xml:space="preserve">PTC </w:t>
      </w:r>
      <w:r w:rsidR="006F50A9">
        <w:rPr>
          <w:rFonts w:eastAsiaTheme="minorHAnsi"/>
        </w:rPr>
        <w:t xml:space="preserve">that </w:t>
      </w:r>
      <w:r w:rsidR="00CD63D8">
        <w:rPr>
          <w:rFonts w:eastAsiaTheme="minorHAnsi"/>
        </w:rPr>
        <w:t>applied to DCIDA’s surplus energy</w:t>
      </w:r>
      <w:r>
        <w:rPr>
          <w:rFonts w:eastAsiaTheme="minorHAnsi"/>
        </w:rPr>
        <w:t xml:space="preserve"> was derived from a weighted average of the on-peak </w:t>
      </w:r>
      <w:r w:rsidR="00093397">
        <w:rPr>
          <w:rFonts w:eastAsiaTheme="minorHAnsi"/>
        </w:rPr>
        <w:t xml:space="preserve">PTC </w:t>
      </w:r>
      <w:r>
        <w:rPr>
          <w:rFonts w:eastAsiaTheme="minorHAnsi"/>
        </w:rPr>
        <w:t xml:space="preserve">rate for GS-1 customers of $0.15389 per kWh and the corresponding off-peak </w:t>
      </w:r>
      <w:r w:rsidR="00093397">
        <w:rPr>
          <w:rFonts w:eastAsiaTheme="minorHAnsi"/>
        </w:rPr>
        <w:t>PTC</w:t>
      </w:r>
      <w:r>
        <w:rPr>
          <w:rFonts w:eastAsiaTheme="minorHAnsi"/>
        </w:rPr>
        <w:t xml:space="preserve"> of $0.11588 per kWh.  PPL explain</w:t>
      </w:r>
      <w:r w:rsidR="002B3C90">
        <w:rPr>
          <w:rFonts w:eastAsiaTheme="minorHAnsi"/>
        </w:rPr>
        <w:t>ed</w:t>
      </w:r>
      <w:r>
        <w:rPr>
          <w:rFonts w:eastAsiaTheme="minorHAnsi"/>
        </w:rPr>
        <w:t xml:space="preserve"> that</w:t>
      </w:r>
      <w:r w:rsidR="00093397">
        <w:rPr>
          <w:rFonts w:eastAsiaTheme="minorHAnsi"/>
        </w:rPr>
        <w:t xml:space="preserve"> during the twelve-month period </w:t>
      </w:r>
      <w:r>
        <w:rPr>
          <w:rFonts w:eastAsiaTheme="minorHAnsi"/>
        </w:rPr>
        <w:t xml:space="preserve">there were </w:t>
      </w:r>
      <w:r w:rsidR="00FD41DF">
        <w:rPr>
          <w:rFonts w:eastAsiaTheme="minorHAnsi"/>
        </w:rPr>
        <w:t xml:space="preserve">a total of </w:t>
      </w:r>
      <w:r>
        <w:rPr>
          <w:rFonts w:eastAsiaTheme="minorHAnsi"/>
        </w:rPr>
        <w:t>3,024 on-peak hours and 5,</w:t>
      </w:r>
      <w:r w:rsidR="00093397">
        <w:rPr>
          <w:rFonts w:eastAsiaTheme="minorHAnsi"/>
        </w:rPr>
        <w:t>736 off-peak hours</w:t>
      </w:r>
      <w:r w:rsidR="002A0B4D">
        <w:rPr>
          <w:rFonts w:eastAsiaTheme="minorHAnsi"/>
        </w:rPr>
        <w:t>,</w:t>
      </w:r>
      <w:r w:rsidR="00093397">
        <w:rPr>
          <w:rFonts w:eastAsiaTheme="minorHAnsi"/>
        </w:rPr>
        <w:t xml:space="preserve"> which equates to thirty-five percent on-peak </w:t>
      </w:r>
      <w:r w:rsidR="001E38BE">
        <w:rPr>
          <w:rFonts w:eastAsiaTheme="minorHAnsi"/>
        </w:rPr>
        <w:t xml:space="preserve">hours </w:t>
      </w:r>
      <w:r w:rsidR="00093397">
        <w:rPr>
          <w:rFonts w:eastAsiaTheme="minorHAnsi"/>
        </w:rPr>
        <w:t>a</w:t>
      </w:r>
      <w:r w:rsidR="001E38BE">
        <w:rPr>
          <w:rFonts w:eastAsiaTheme="minorHAnsi"/>
        </w:rPr>
        <w:t>nd sixty-five percent off-peak hours.</w:t>
      </w:r>
      <w:r w:rsidR="00093397">
        <w:rPr>
          <w:rFonts w:eastAsiaTheme="minorHAnsi"/>
        </w:rPr>
        <w:t xml:space="preserve">  PPL submit</w:t>
      </w:r>
      <w:r w:rsidR="002B3C90">
        <w:rPr>
          <w:rFonts w:eastAsiaTheme="minorHAnsi"/>
        </w:rPr>
        <w:t>ted</w:t>
      </w:r>
      <w:r w:rsidR="00093397">
        <w:rPr>
          <w:rFonts w:eastAsiaTheme="minorHAnsi"/>
        </w:rPr>
        <w:t xml:space="preserve"> that the thirty-five percent and sixty-five percent weights were applied to the on-peak and off-peak PTCs to yield a weighted average PTC of </w:t>
      </w:r>
      <w:r w:rsidR="00CD63D8">
        <w:rPr>
          <w:rFonts w:eastAsiaTheme="minorHAnsi"/>
        </w:rPr>
        <w:t>$0.12918.  Applying PPL’s Transmission Service Charge and State Tax Adjustment Surcharge to the weighted average PTC result</w:t>
      </w:r>
      <w:r w:rsidR="00B00FF9">
        <w:rPr>
          <w:rFonts w:eastAsiaTheme="minorHAnsi"/>
        </w:rPr>
        <w:t>ed</w:t>
      </w:r>
      <w:r w:rsidR="00CD63D8">
        <w:rPr>
          <w:rFonts w:eastAsiaTheme="minorHAnsi"/>
        </w:rPr>
        <w:t xml:space="preserve"> in the </w:t>
      </w:r>
      <w:r w:rsidR="00A642F5">
        <w:rPr>
          <w:rFonts w:eastAsiaTheme="minorHAnsi"/>
        </w:rPr>
        <w:t xml:space="preserve">weighted </w:t>
      </w:r>
      <w:r w:rsidR="00CD63D8">
        <w:rPr>
          <w:rFonts w:eastAsiaTheme="minorHAnsi"/>
        </w:rPr>
        <w:t xml:space="preserve">PTC of $0.13736.  </w:t>
      </w:r>
      <w:proofErr w:type="gramStart"/>
      <w:r w:rsidR="00B00FF9">
        <w:rPr>
          <w:rFonts w:eastAsiaTheme="minorHAnsi"/>
        </w:rPr>
        <w:t xml:space="preserve">PPL </w:t>
      </w:r>
      <w:r w:rsidR="00CD63D8">
        <w:rPr>
          <w:rFonts w:eastAsiaTheme="minorHAnsi"/>
        </w:rPr>
        <w:t>R.</w:t>
      </w:r>
      <w:r w:rsidR="003C7578">
        <w:rPr>
          <w:rFonts w:eastAsiaTheme="minorHAnsi"/>
        </w:rPr>
        <w:t xml:space="preserve"> </w:t>
      </w:r>
      <w:r w:rsidR="00CD63D8">
        <w:rPr>
          <w:rFonts w:eastAsiaTheme="minorHAnsi"/>
        </w:rPr>
        <w:t>E</w:t>
      </w:r>
      <w:r w:rsidR="00B00FF9">
        <w:rPr>
          <w:rFonts w:eastAsiaTheme="minorHAnsi"/>
        </w:rPr>
        <w:t>xc.</w:t>
      </w:r>
      <w:r w:rsidR="00CD63D8">
        <w:rPr>
          <w:rFonts w:eastAsiaTheme="minorHAnsi"/>
        </w:rPr>
        <w:t xml:space="preserve"> at 3.</w:t>
      </w:r>
      <w:proofErr w:type="gramEnd"/>
      <w:r w:rsidR="00CD63D8">
        <w:rPr>
          <w:rFonts w:eastAsiaTheme="minorHAnsi"/>
        </w:rPr>
        <w:t xml:space="preserve"> </w:t>
      </w:r>
      <w:r w:rsidR="00093397">
        <w:rPr>
          <w:rFonts w:eastAsiaTheme="minorHAnsi"/>
        </w:rPr>
        <w:t xml:space="preserve"> </w:t>
      </w:r>
    </w:p>
    <w:p w:rsidR="001E38BE" w:rsidRDefault="001E38BE" w:rsidP="00293C26">
      <w:pPr>
        <w:rPr>
          <w:rFonts w:eastAsiaTheme="minorHAnsi"/>
        </w:rPr>
      </w:pPr>
    </w:p>
    <w:p w:rsidR="00293C26" w:rsidRDefault="00B24651" w:rsidP="00293C26">
      <w:pPr>
        <w:rPr>
          <w:rFonts w:eastAsiaTheme="minorHAnsi"/>
        </w:rPr>
      </w:pPr>
      <w:r>
        <w:rPr>
          <w:rFonts w:eastAsiaTheme="minorHAnsi"/>
        </w:rPr>
        <w:t xml:space="preserve">PPL </w:t>
      </w:r>
      <w:r w:rsidR="002B3C90">
        <w:rPr>
          <w:rFonts w:eastAsiaTheme="minorHAnsi"/>
        </w:rPr>
        <w:t xml:space="preserve">no longer directly offers a TOU </w:t>
      </w:r>
      <w:r w:rsidR="0052164A">
        <w:rPr>
          <w:rFonts w:eastAsiaTheme="minorHAnsi"/>
        </w:rPr>
        <w:t xml:space="preserve">rate </w:t>
      </w:r>
      <w:r w:rsidR="002B3C90">
        <w:rPr>
          <w:rFonts w:eastAsiaTheme="minorHAnsi"/>
        </w:rPr>
        <w:t xml:space="preserve">option and instead </w:t>
      </w:r>
      <w:r>
        <w:rPr>
          <w:rFonts w:eastAsiaTheme="minorHAnsi"/>
        </w:rPr>
        <w:t>utilizes electric generation suppliers (EGS) to offer a TOU rate option</w:t>
      </w:r>
      <w:r w:rsidR="00A642F5">
        <w:rPr>
          <w:rFonts w:eastAsiaTheme="minorHAnsi"/>
        </w:rPr>
        <w:t>.</w:t>
      </w:r>
      <w:r>
        <w:rPr>
          <w:rFonts w:eastAsiaTheme="minorHAnsi"/>
        </w:rPr>
        <w:t xml:space="preserve">  </w:t>
      </w:r>
      <w:r w:rsidR="002B3C90">
        <w:rPr>
          <w:rFonts w:eastAsiaTheme="minorHAnsi"/>
          <w:i/>
        </w:rPr>
        <w:t>S</w:t>
      </w:r>
      <w:r w:rsidR="0036248C" w:rsidRPr="00B24651">
        <w:rPr>
          <w:rFonts w:eastAsiaTheme="minorHAnsi"/>
          <w:i/>
        </w:rPr>
        <w:t>ee</w:t>
      </w:r>
      <w:r w:rsidR="0036248C">
        <w:rPr>
          <w:rFonts w:eastAsiaTheme="minorHAnsi"/>
        </w:rPr>
        <w:t xml:space="preserve"> </w:t>
      </w:r>
      <w:r w:rsidR="0036248C" w:rsidRPr="00886D2D">
        <w:rPr>
          <w:rFonts w:eastAsiaTheme="minorHAnsi"/>
          <w:i/>
        </w:rPr>
        <w:t>P</w:t>
      </w:r>
      <w:r w:rsidR="0036248C" w:rsidRPr="00B24651">
        <w:rPr>
          <w:rFonts w:eastAsiaTheme="minorHAnsi"/>
          <w:i/>
        </w:rPr>
        <w:t>etition of PPL Electric Utilities Corporation for Approval of a New Pilot Time-of-Use Program</w:t>
      </w:r>
      <w:r w:rsidR="0036248C">
        <w:rPr>
          <w:rFonts w:eastAsiaTheme="minorHAnsi"/>
        </w:rPr>
        <w:t xml:space="preserve">, Docket No. </w:t>
      </w:r>
      <w:r>
        <w:rPr>
          <w:rFonts w:eastAsiaTheme="minorHAnsi"/>
        </w:rPr>
        <w:t>P</w:t>
      </w:r>
      <w:r w:rsidR="000C2595">
        <w:rPr>
          <w:rFonts w:eastAsiaTheme="minorHAnsi"/>
        </w:rPr>
        <w:noBreakHyphen/>
      </w:r>
      <w:r>
        <w:rPr>
          <w:rFonts w:eastAsiaTheme="minorHAnsi"/>
        </w:rPr>
        <w:t>2013-2389572 (Order entered September 11, 2014)</w:t>
      </w:r>
      <w:r w:rsidR="001330C7">
        <w:rPr>
          <w:rFonts w:eastAsiaTheme="minorHAnsi"/>
        </w:rPr>
        <w:t xml:space="preserve"> (</w:t>
      </w:r>
      <w:r w:rsidR="001330C7" w:rsidRPr="001330C7">
        <w:rPr>
          <w:rFonts w:eastAsiaTheme="minorHAnsi"/>
          <w:i/>
        </w:rPr>
        <w:t xml:space="preserve">September 2014 </w:t>
      </w:r>
      <w:r w:rsidR="00506CEE">
        <w:rPr>
          <w:rFonts w:eastAsiaTheme="minorHAnsi"/>
          <w:i/>
        </w:rPr>
        <w:t xml:space="preserve">TOU </w:t>
      </w:r>
      <w:r w:rsidR="001330C7" w:rsidRPr="001330C7">
        <w:rPr>
          <w:rFonts w:eastAsiaTheme="minorHAnsi"/>
          <w:i/>
        </w:rPr>
        <w:t>Order</w:t>
      </w:r>
      <w:r w:rsidR="001330C7">
        <w:rPr>
          <w:rFonts w:eastAsiaTheme="minorHAnsi"/>
        </w:rPr>
        <w:t>)</w:t>
      </w:r>
      <w:r>
        <w:rPr>
          <w:rFonts w:eastAsiaTheme="minorHAnsi"/>
        </w:rPr>
        <w:t xml:space="preserve">.  </w:t>
      </w:r>
      <w:r w:rsidR="001330C7">
        <w:rPr>
          <w:rFonts w:eastAsiaTheme="minorHAnsi"/>
        </w:rPr>
        <w:t xml:space="preserve">Consequently, </w:t>
      </w:r>
      <w:r>
        <w:rPr>
          <w:rFonts w:eastAsiaTheme="minorHAnsi"/>
        </w:rPr>
        <w:t>PPL report</w:t>
      </w:r>
      <w:r w:rsidR="002B3C90">
        <w:rPr>
          <w:rFonts w:eastAsiaTheme="minorHAnsi"/>
        </w:rPr>
        <w:t>ed</w:t>
      </w:r>
      <w:r>
        <w:rPr>
          <w:rFonts w:eastAsiaTheme="minorHAnsi"/>
        </w:rPr>
        <w:t xml:space="preserve"> that it no longer provide</w:t>
      </w:r>
      <w:r w:rsidR="002B3C90">
        <w:rPr>
          <w:rFonts w:eastAsiaTheme="minorHAnsi"/>
        </w:rPr>
        <w:t>d</w:t>
      </w:r>
      <w:r>
        <w:rPr>
          <w:rFonts w:eastAsiaTheme="minorHAnsi"/>
        </w:rPr>
        <w:t xml:space="preserve"> compensation to net metering customers with a TOU option. </w:t>
      </w:r>
      <w:r w:rsidR="001330C7">
        <w:rPr>
          <w:rFonts w:eastAsiaTheme="minorHAnsi"/>
        </w:rPr>
        <w:t xml:space="preserve"> </w:t>
      </w:r>
      <w:r w:rsidR="00744BCC">
        <w:rPr>
          <w:rFonts w:eastAsiaTheme="minorHAnsi"/>
        </w:rPr>
        <w:t xml:space="preserve">PPL </w:t>
      </w:r>
      <w:r w:rsidR="001330C7">
        <w:rPr>
          <w:rFonts w:eastAsiaTheme="minorHAnsi"/>
        </w:rPr>
        <w:t>Answer to Motion at 17.</w:t>
      </w:r>
      <w:r w:rsidR="001330C7">
        <w:rPr>
          <w:rStyle w:val="FootnoteReference"/>
          <w:rFonts w:eastAsiaTheme="minorHAnsi"/>
        </w:rPr>
        <w:footnoteReference w:id="3"/>
      </w:r>
      <w:r w:rsidR="001330C7">
        <w:rPr>
          <w:rFonts w:eastAsiaTheme="minorHAnsi"/>
        </w:rPr>
        <w:t xml:space="preserve">  </w:t>
      </w:r>
    </w:p>
    <w:p w:rsidR="00B24651" w:rsidRDefault="00B24651" w:rsidP="00293C26">
      <w:pPr>
        <w:rPr>
          <w:rFonts w:eastAsiaTheme="minorHAnsi"/>
        </w:rPr>
      </w:pPr>
    </w:p>
    <w:p w:rsidR="000210E6" w:rsidRDefault="000210E6" w:rsidP="00D32E9C">
      <w:pPr>
        <w:pStyle w:val="Heading1"/>
        <w:ind w:left="360"/>
        <w:rPr>
          <w:rFonts w:eastAsiaTheme="minorHAnsi"/>
        </w:rPr>
      </w:pPr>
      <w:r>
        <w:rPr>
          <w:rFonts w:eastAsiaTheme="minorHAnsi"/>
        </w:rPr>
        <w:t>History of the Proceeding</w:t>
      </w:r>
    </w:p>
    <w:p w:rsidR="000210E6" w:rsidRDefault="000210E6" w:rsidP="00D32E9C">
      <w:pPr>
        <w:keepNext/>
        <w:keepLines/>
        <w:rPr>
          <w:rFonts w:eastAsiaTheme="minorHAnsi"/>
        </w:rPr>
      </w:pPr>
    </w:p>
    <w:p w:rsidR="0012681B" w:rsidRDefault="00001F69" w:rsidP="000210E6">
      <w:pPr>
        <w:rPr>
          <w:rFonts w:eastAsiaTheme="minorHAnsi"/>
        </w:rPr>
      </w:pPr>
      <w:r>
        <w:rPr>
          <w:rFonts w:eastAsiaTheme="minorHAnsi"/>
        </w:rPr>
        <w:t xml:space="preserve">On October 3, 2014, DCIDA filed a Formal Complaint with the Commission </w:t>
      </w:r>
      <w:r w:rsidR="000C4EDD">
        <w:rPr>
          <w:rFonts w:eastAsiaTheme="minorHAnsi"/>
        </w:rPr>
        <w:t xml:space="preserve">(Complaint) </w:t>
      </w:r>
      <w:r>
        <w:rPr>
          <w:rFonts w:eastAsiaTheme="minorHAnsi"/>
        </w:rPr>
        <w:t xml:space="preserve">alleging, </w:t>
      </w:r>
      <w:r w:rsidRPr="00001F69">
        <w:rPr>
          <w:rFonts w:eastAsiaTheme="minorHAnsi"/>
          <w:i/>
        </w:rPr>
        <w:t>inter alia</w:t>
      </w:r>
      <w:r>
        <w:rPr>
          <w:rFonts w:eastAsiaTheme="minorHAnsi"/>
        </w:rPr>
        <w:t xml:space="preserve">, that PPL is engaging in a </w:t>
      </w:r>
      <w:r w:rsidR="00933B0A">
        <w:rPr>
          <w:rFonts w:eastAsiaTheme="minorHAnsi"/>
        </w:rPr>
        <w:t>“</w:t>
      </w:r>
      <w:r>
        <w:rPr>
          <w:rFonts w:eastAsiaTheme="minorHAnsi"/>
        </w:rPr>
        <w:t>systematic and illegal process</w:t>
      </w:r>
      <w:r w:rsidR="00933B0A">
        <w:rPr>
          <w:rFonts w:eastAsiaTheme="minorHAnsi"/>
        </w:rPr>
        <w:t>”</w:t>
      </w:r>
      <w:r>
        <w:rPr>
          <w:rFonts w:eastAsiaTheme="minorHAnsi"/>
        </w:rPr>
        <w:t xml:space="preserve"> whereby TOU net metering customers</w:t>
      </w:r>
      <w:r w:rsidR="00933B0A">
        <w:rPr>
          <w:rFonts w:eastAsiaTheme="minorHAnsi"/>
        </w:rPr>
        <w:t xml:space="preserve">, including DCIDA, are not being properly compensated for their kWh received by PPL in excess of the kWh delivered by </w:t>
      </w:r>
      <w:r w:rsidR="00AD0AC8">
        <w:rPr>
          <w:rFonts w:eastAsiaTheme="minorHAnsi"/>
        </w:rPr>
        <w:t>the Company</w:t>
      </w:r>
      <w:r w:rsidR="00933B0A">
        <w:rPr>
          <w:rFonts w:eastAsiaTheme="minorHAnsi"/>
        </w:rPr>
        <w:t xml:space="preserve"> to the customer.  </w:t>
      </w:r>
      <w:proofErr w:type="gramStart"/>
      <w:r w:rsidR="00933B0A">
        <w:rPr>
          <w:rFonts w:eastAsiaTheme="minorHAnsi"/>
        </w:rPr>
        <w:t>Complaint at 1.</w:t>
      </w:r>
      <w:proofErr w:type="gramEnd"/>
      <w:r w:rsidR="00933B0A">
        <w:rPr>
          <w:rFonts w:eastAsiaTheme="minorHAnsi"/>
        </w:rPr>
        <w:t xml:space="preserve">  DCIDA opined that the Commission interprets Section 75.13 of its Regulations, 52 Pa. Code § 75.13, as requiring the end</w:t>
      </w:r>
      <w:r w:rsidR="00AD0AC8">
        <w:rPr>
          <w:rFonts w:eastAsiaTheme="minorHAnsi"/>
        </w:rPr>
        <w:t>-</w:t>
      </w:r>
      <w:r w:rsidR="00933B0A">
        <w:rPr>
          <w:rFonts w:eastAsiaTheme="minorHAnsi"/>
        </w:rPr>
        <w:t>of</w:t>
      </w:r>
      <w:r w:rsidR="00AD0AC8">
        <w:rPr>
          <w:rFonts w:eastAsiaTheme="minorHAnsi"/>
        </w:rPr>
        <w:t>-</w:t>
      </w:r>
      <w:r w:rsidR="00933B0A">
        <w:rPr>
          <w:rFonts w:eastAsiaTheme="minorHAnsi"/>
        </w:rPr>
        <w:t xml:space="preserve">year compensation to customer-generators to be calculated using a weighted average of </w:t>
      </w:r>
      <w:r w:rsidR="00933B0A">
        <w:rPr>
          <w:rFonts w:eastAsiaTheme="minorHAnsi"/>
        </w:rPr>
        <w:lastRenderedPageBreak/>
        <w:t xml:space="preserve">the PTC rates that were in effect when the monthly excess generation was </w:t>
      </w:r>
      <w:r w:rsidR="00C24D98">
        <w:rPr>
          <w:rFonts w:eastAsiaTheme="minorHAnsi"/>
        </w:rPr>
        <w:t>delivered</w:t>
      </w:r>
      <w:r w:rsidR="00933B0A">
        <w:rPr>
          <w:rFonts w:eastAsiaTheme="minorHAnsi"/>
        </w:rPr>
        <w:t xml:space="preserve"> to PPL.  </w:t>
      </w:r>
      <w:proofErr w:type="gramStart"/>
      <w:r w:rsidR="0012681B" w:rsidRPr="0012681B">
        <w:rPr>
          <w:rFonts w:eastAsiaTheme="minorHAnsi"/>
          <w:i/>
        </w:rPr>
        <w:t>Id</w:t>
      </w:r>
      <w:r w:rsidR="0012681B">
        <w:rPr>
          <w:rFonts w:eastAsiaTheme="minorHAnsi"/>
        </w:rPr>
        <w:t>. at 2.</w:t>
      </w:r>
      <w:proofErr w:type="gramEnd"/>
      <w:r w:rsidR="0012681B">
        <w:rPr>
          <w:rFonts w:eastAsiaTheme="minorHAnsi"/>
        </w:rPr>
        <w:t xml:space="preserve"> </w:t>
      </w:r>
    </w:p>
    <w:p w:rsidR="00C24D98" w:rsidRDefault="00C24D98" w:rsidP="000210E6">
      <w:pPr>
        <w:rPr>
          <w:rFonts w:eastAsiaTheme="minorHAnsi"/>
        </w:rPr>
      </w:pPr>
    </w:p>
    <w:p w:rsidR="000210E6" w:rsidRPr="000210E6" w:rsidRDefault="00933B0A" w:rsidP="000210E6">
      <w:pPr>
        <w:rPr>
          <w:rFonts w:eastAsiaTheme="minorHAnsi"/>
        </w:rPr>
      </w:pPr>
      <w:r>
        <w:rPr>
          <w:rFonts w:eastAsiaTheme="minorHAnsi"/>
        </w:rPr>
        <w:t xml:space="preserve">DCIDA </w:t>
      </w:r>
      <w:r w:rsidR="0012681B">
        <w:rPr>
          <w:rFonts w:eastAsiaTheme="minorHAnsi"/>
        </w:rPr>
        <w:t xml:space="preserve">averred </w:t>
      </w:r>
      <w:r>
        <w:rPr>
          <w:rFonts w:eastAsiaTheme="minorHAnsi"/>
        </w:rPr>
        <w:t>that PPL is not valuing unused accumulated kWh on a monthly or actual basis</w:t>
      </w:r>
      <w:r w:rsidR="00CB63BF">
        <w:rPr>
          <w:rFonts w:eastAsiaTheme="minorHAnsi"/>
        </w:rPr>
        <w:t xml:space="preserve">.  </w:t>
      </w:r>
      <w:proofErr w:type="gramStart"/>
      <w:r w:rsidR="00CB63BF">
        <w:rPr>
          <w:rFonts w:eastAsiaTheme="minorHAnsi"/>
        </w:rPr>
        <w:t>Complaint at 3.</w:t>
      </w:r>
      <w:proofErr w:type="gramEnd"/>
      <w:r w:rsidR="00CB63BF">
        <w:rPr>
          <w:rFonts w:eastAsiaTheme="minorHAnsi"/>
        </w:rPr>
        <w:t xml:space="preserve">  </w:t>
      </w:r>
      <w:r w:rsidR="0012681B">
        <w:rPr>
          <w:rFonts w:eastAsiaTheme="minorHAnsi"/>
        </w:rPr>
        <w:t>DCIDA argued that PPL’s</w:t>
      </w:r>
      <w:r w:rsidR="000C4EDD">
        <w:rPr>
          <w:rFonts w:eastAsiaTheme="minorHAnsi"/>
        </w:rPr>
        <w:t xml:space="preserve"> thirty-five percent on-peak and sixty-five percent off-peak </w:t>
      </w:r>
      <w:r w:rsidR="0012681B">
        <w:rPr>
          <w:rFonts w:eastAsiaTheme="minorHAnsi"/>
        </w:rPr>
        <w:t xml:space="preserve">calculations are not reasonable for its solar facility which can “(generally speaking) only generate electricity during daylight hours.”  </w:t>
      </w:r>
      <w:proofErr w:type="gramStart"/>
      <w:r w:rsidR="0012681B" w:rsidRPr="0012681B">
        <w:rPr>
          <w:rFonts w:eastAsiaTheme="minorHAnsi"/>
          <w:i/>
        </w:rPr>
        <w:t>Id</w:t>
      </w:r>
      <w:r w:rsidR="0012681B">
        <w:rPr>
          <w:rFonts w:eastAsiaTheme="minorHAnsi"/>
        </w:rPr>
        <w:t>. at 4.</w:t>
      </w:r>
      <w:proofErr w:type="gramEnd"/>
      <w:r w:rsidR="0012681B">
        <w:rPr>
          <w:rFonts w:eastAsiaTheme="minorHAnsi"/>
        </w:rPr>
        <w:t xml:space="preserve">  </w:t>
      </w:r>
      <w:r w:rsidR="000E1491">
        <w:rPr>
          <w:rFonts w:eastAsiaTheme="minorHAnsi"/>
        </w:rPr>
        <w:t>DCIDA submitted that those h</w:t>
      </w:r>
      <w:r w:rsidR="0012681B">
        <w:rPr>
          <w:rFonts w:eastAsiaTheme="minorHAnsi"/>
        </w:rPr>
        <w:t>our</w:t>
      </w:r>
      <w:r w:rsidR="000E1491">
        <w:rPr>
          <w:rFonts w:eastAsiaTheme="minorHAnsi"/>
        </w:rPr>
        <w:t xml:space="preserve">s largely fall </w:t>
      </w:r>
      <w:r w:rsidR="00A951FA">
        <w:rPr>
          <w:rFonts w:eastAsiaTheme="minorHAnsi"/>
        </w:rPr>
        <w:t>within</w:t>
      </w:r>
      <w:r w:rsidR="000E1491">
        <w:rPr>
          <w:rFonts w:eastAsiaTheme="minorHAnsi"/>
        </w:rPr>
        <w:t xml:space="preserve"> PPL’s on-peak TOU rates and </w:t>
      </w:r>
      <w:r w:rsidR="00AD0AC8">
        <w:rPr>
          <w:rFonts w:eastAsiaTheme="minorHAnsi"/>
        </w:rPr>
        <w:t>the Company’s</w:t>
      </w:r>
      <w:r w:rsidR="000E1491">
        <w:rPr>
          <w:rFonts w:eastAsiaTheme="minorHAnsi"/>
        </w:rPr>
        <w:t xml:space="preserve"> weighted average </w:t>
      </w:r>
      <w:r w:rsidR="006C411C">
        <w:rPr>
          <w:rFonts w:eastAsiaTheme="minorHAnsi"/>
        </w:rPr>
        <w:t>calculations</w:t>
      </w:r>
      <w:r w:rsidR="000E1491">
        <w:rPr>
          <w:rFonts w:eastAsiaTheme="minorHAnsi"/>
        </w:rPr>
        <w:t xml:space="preserve"> artificially depress the calculated price PPL is will</w:t>
      </w:r>
      <w:r w:rsidR="006C411C">
        <w:rPr>
          <w:rFonts w:eastAsiaTheme="minorHAnsi"/>
        </w:rPr>
        <w:t>ing</w:t>
      </w:r>
      <w:r w:rsidR="000E1491">
        <w:rPr>
          <w:rFonts w:eastAsiaTheme="minorHAnsi"/>
        </w:rPr>
        <w:t xml:space="preserve"> to pay DCIDA.  </w:t>
      </w:r>
      <w:r w:rsidR="00A951FA" w:rsidRPr="00A951FA">
        <w:rPr>
          <w:rFonts w:eastAsiaTheme="minorHAnsi"/>
          <w:i/>
        </w:rPr>
        <w:t>Id.</w:t>
      </w:r>
      <w:r w:rsidR="00A951FA">
        <w:rPr>
          <w:rFonts w:eastAsiaTheme="minorHAnsi"/>
        </w:rPr>
        <w:t xml:space="preserve"> </w:t>
      </w:r>
      <w:r>
        <w:rPr>
          <w:rFonts w:eastAsiaTheme="minorHAnsi"/>
        </w:rPr>
        <w:t xml:space="preserve"> </w:t>
      </w:r>
      <w:r w:rsidR="00001F69">
        <w:rPr>
          <w:rFonts w:eastAsiaTheme="minorHAnsi"/>
        </w:rPr>
        <w:t xml:space="preserve">  </w:t>
      </w:r>
    </w:p>
    <w:p w:rsidR="000210E6" w:rsidRDefault="000210E6" w:rsidP="000210E6">
      <w:pPr>
        <w:rPr>
          <w:rFonts w:eastAsiaTheme="minorHAnsi"/>
        </w:rPr>
      </w:pPr>
    </w:p>
    <w:p w:rsidR="00A951FA" w:rsidRDefault="00A951FA" w:rsidP="000210E6">
      <w:pPr>
        <w:rPr>
          <w:rFonts w:eastAsiaTheme="minorHAnsi"/>
        </w:rPr>
      </w:pPr>
      <w:r>
        <w:rPr>
          <w:rFonts w:eastAsiaTheme="minorHAnsi"/>
        </w:rPr>
        <w:t xml:space="preserve">As relief, DCIDA </w:t>
      </w:r>
      <w:r w:rsidR="00222C6F">
        <w:rPr>
          <w:rFonts w:eastAsiaTheme="minorHAnsi"/>
        </w:rPr>
        <w:t>recommended</w:t>
      </w:r>
      <w:r>
        <w:rPr>
          <w:rFonts w:eastAsiaTheme="minorHAnsi"/>
        </w:rPr>
        <w:t xml:space="preserve"> that the Commission determine and declare that PPL’s conduct violates the </w:t>
      </w:r>
      <w:r w:rsidR="00222C6F">
        <w:rPr>
          <w:rFonts w:eastAsiaTheme="minorHAnsi"/>
        </w:rPr>
        <w:t>Alternative Energy Portfolio Standards (AEPS) Act</w:t>
      </w:r>
      <w:r w:rsidR="00965DC9">
        <w:rPr>
          <w:rFonts w:eastAsiaTheme="minorHAnsi"/>
        </w:rPr>
        <w:t>,</w:t>
      </w:r>
      <w:r w:rsidR="00395518">
        <w:rPr>
          <w:rFonts w:eastAsiaTheme="minorHAnsi"/>
        </w:rPr>
        <w:t xml:space="preserve"> </w:t>
      </w:r>
      <w:r w:rsidR="00965DC9">
        <w:t>73 P.S. §</w:t>
      </w:r>
      <w:r w:rsidR="0052164A" w:rsidRPr="0052164A">
        <w:t>§</w:t>
      </w:r>
      <w:r w:rsidR="00965DC9">
        <w:t xml:space="preserve"> 1648.1 </w:t>
      </w:r>
      <w:proofErr w:type="gramStart"/>
      <w:r w:rsidR="00965DC9" w:rsidRPr="00965DC9">
        <w:rPr>
          <w:i/>
        </w:rPr>
        <w:t>et</w:t>
      </w:r>
      <w:proofErr w:type="gramEnd"/>
      <w:r w:rsidR="00965DC9" w:rsidRPr="00965DC9">
        <w:rPr>
          <w:i/>
        </w:rPr>
        <w:t xml:space="preserve">. </w:t>
      </w:r>
      <w:proofErr w:type="gramStart"/>
      <w:r w:rsidR="00965DC9" w:rsidRPr="00965DC9">
        <w:rPr>
          <w:i/>
        </w:rPr>
        <w:t>seq</w:t>
      </w:r>
      <w:r w:rsidR="00965DC9" w:rsidRPr="00965DC9">
        <w:t>.</w:t>
      </w:r>
      <w:r w:rsidR="00965DC9">
        <w:t>,</w:t>
      </w:r>
      <w:r w:rsidR="00222C6F" w:rsidRPr="00965DC9">
        <w:rPr>
          <w:rFonts w:eastAsiaTheme="minorHAnsi"/>
        </w:rPr>
        <w:t xml:space="preserve"> </w:t>
      </w:r>
      <w:r w:rsidR="00222C6F">
        <w:rPr>
          <w:rFonts w:eastAsiaTheme="minorHAnsi"/>
        </w:rPr>
        <w:t>the Commission’s Regulations and Commission Orders.</w:t>
      </w:r>
      <w:proofErr w:type="gramEnd"/>
      <w:r w:rsidR="00222C6F">
        <w:rPr>
          <w:rFonts w:eastAsiaTheme="minorHAnsi"/>
        </w:rPr>
        <w:t xml:space="preserve">  </w:t>
      </w:r>
      <w:r w:rsidR="0036248C">
        <w:rPr>
          <w:rFonts w:eastAsiaTheme="minorHAnsi"/>
        </w:rPr>
        <w:t>DCIDA requested that: (1) PPL be directed to apply refunds to DCIDA and other similarly-affected customer generators in accordance with Commission Regulations; (2)</w:t>
      </w:r>
      <w:r w:rsidR="00440C06">
        <w:rPr>
          <w:rFonts w:eastAsiaTheme="minorHAnsi"/>
        </w:rPr>
        <w:t> </w:t>
      </w:r>
      <w:r w:rsidR="0036248C">
        <w:rPr>
          <w:rFonts w:eastAsiaTheme="minorHAnsi"/>
        </w:rPr>
        <w:t>PPL’s tariff provisions be deemed “inoperative and superseded</w:t>
      </w:r>
      <w:r w:rsidR="0052164A">
        <w:rPr>
          <w:rFonts w:eastAsiaTheme="minorHAnsi"/>
        </w:rPr>
        <w:t>”</w:t>
      </w:r>
      <w:r w:rsidR="0036248C">
        <w:rPr>
          <w:rFonts w:eastAsiaTheme="minorHAnsi"/>
        </w:rPr>
        <w:t xml:space="preserve">; (3) PPL be required to revise its tariff; and (4) PPL cease and desist from calculating compensation in a manner inconsistent with the Commission’s Regulations, AEPS Act and Commission Orders.  </w:t>
      </w:r>
      <w:r w:rsidR="00222C6F">
        <w:rPr>
          <w:rFonts w:eastAsiaTheme="minorHAnsi"/>
        </w:rPr>
        <w:t xml:space="preserve">Complaint at </w:t>
      </w:r>
      <w:r w:rsidR="00EB2D98">
        <w:rPr>
          <w:rFonts w:eastAsiaTheme="minorHAnsi"/>
        </w:rPr>
        <w:t>1</w:t>
      </w:r>
      <w:r w:rsidR="00CB63BF">
        <w:rPr>
          <w:rFonts w:eastAsiaTheme="minorHAnsi"/>
        </w:rPr>
        <w:t>3</w:t>
      </w:r>
      <w:r w:rsidR="00EB2D98">
        <w:rPr>
          <w:rFonts w:eastAsiaTheme="minorHAnsi"/>
        </w:rPr>
        <w:t>-15</w:t>
      </w:r>
      <w:r w:rsidR="00222C6F">
        <w:rPr>
          <w:rFonts w:eastAsiaTheme="minorHAnsi"/>
        </w:rPr>
        <w:t xml:space="preserve">. </w:t>
      </w:r>
    </w:p>
    <w:p w:rsidR="00A951FA" w:rsidRPr="000210E6" w:rsidRDefault="00A951FA" w:rsidP="000210E6">
      <w:pPr>
        <w:rPr>
          <w:rFonts w:eastAsiaTheme="minorHAnsi"/>
        </w:rPr>
      </w:pPr>
    </w:p>
    <w:p w:rsidR="00395518" w:rsidRPr="00395518" w:rsidRDefault="00395518" w:rsidP="00293C26">
      <w:pPr>
        <w:rPr>
          <w:szCs w:val="26"/>
        </w:rPr>
      </w:pPr>
      <w:r w:rsidRPr="00395518">
        <w:rPr>
          <w:szCs w:val="26"/>
        </w:rPr>
        <w:t>On</w:t>
      </w:r>
      <w:r>
        <w:rPr>
          <w:szCs w:val="26"/>
        </w:rPr>
        <w:t xml:space="preserve"> November 18, 2014, PPL filed an Answer and New Matter (</w:t>
      </w:r>
      <w:r w:rsidR="00070D8A">
        <w:rPr>
          <w:szCs w:val="26"/>
        </w:rPr>
        <w:t xml:space="preserve">PPL </w:t>
      </w:r>
      <w:r>
        <w:rPr>
          <w:szCs w:val="26"/>
        </w:rPr>
        <w:t>Answer</w:t>
      </w:r>
      <w:r w:rsidR="007139B7">
        <w:rPr>
          <w:szCs w:val="26"/>
        </w:rPr>
        <w:t xml:space="preserve"> to Complaint</w:t>
      </w:r>
      <w:r>
        <w:rPr>
          <w:szCs w:val="26"/>
        </w:rPr>
        <w:t xml:space="preserve">).  </w:t>
      </w:r>
      <w:r w:rsidR="0038262D">
        <w:rPr>
          <w:szCs w:val="26"/>
        </w:rPr>
        <w:t xml:space="preserve">PPL argued, </w:t>
      </w:r>
      <w:r w:rsidR="0038262D" w:rsidRPr="0038262D">
        <w:rPr>
          <w:i/>
          <w:szCs w:val="26"/>
        </w:rPr>
        <w:t>inter alia</w:t>
      </w:r>
      <w:r w:rsidR="0038262D">
        <w:rPr>
          <w:szCs w:val="26"/>
        </w:rPr>
        <w:t xml:space="preserve">, that it calculated its compensation to DCIDA for excess generation on a weighted average basis in compliance with the terms of its Commission-approved tariff. </w:t>
      </w:r>
      <w:r w:rsidR="00ED3D28">
        <w:rPr>
          <w:szCs w:val="26"/>
        </w:rPr>
        <w:t xml:space="preserve"> PPL </w:t>
      </w:r>
      <w:r w:rsidR="0038262D">
        <w:rPr>
          <w:szCs w:val="26"/>
        </w:rPr>
        <w:t xml:space="preserve">Answer </w:t>
      </w:r>
      <w:r w:rsidR="007139B7">
        <w:rPr>
          <w:szCs w:val="26"/>
        </w:rPr>
        <w:t xml:space="preserve">to Complaint </w:t>
      </w:r>
      <w:r w:rsidR="0038262D">
        <w:rPr>
          <w:szCs w:val="26"/>
        </w:rPr>
        <w:t>at 6.  PPL</w:t>
      </w:r>
      <w:r w:rsidR="004F3B5E">
        <w:rPr>
          <w:szCs w:val="26"/>
        </w:rPr>
        <w:t xml:space="preserve">’s New Matter submitted </w:t>
      </w:r>
      <w:r w:rsidR="0038262D">
        <w:rPr>
          <w:szCs w:val="26"/>
        </w:rPr>
        <w:t>that</w:t>
      </w:r>
      <w:r w:rsidR="004F3B5E">
        <w:rPr>
          <w:szCs w:val="26"/>
        </w:rPr>
        <w:t>,</w:t>
      </w:r>
      <w:r w:rsidR="0038262D">
        <w:rPr>
          <w:szCs w:val="26"/>
        </w:rPr>
        <w:t xml:space="preserve"> as a matter of law, </w:t>
      </w:r>
      <w:r w:rsidR="004F3B5E">
        <w:rPr>
          <w:szCs w:val="26"/>
        </w:rPr>
        <w:t xml:space="preserve">PPL’s Commission-approved tariff may operate prospectively only, and cannot apply retroactively.  Therefore, PPL argued that any request for prior period refunds must be denied.  </w:t>
      </w:r>
      <w:proofErr w:type="gramStart"/>
      <w:r w:rsidR="007139B7" w:rsidRPr="007139B7">
        <w:rPr>
          <w:i/>
          <w:szCs w:val="26"/>
        </w:rPr>
        <w:t>Id</w:t>
      </w:r>
      <w:r w:rsidR="007139B7">
        <w:rPr>
          <w:szCs w:val="26"/>
        </w:rPr>
        <w:t xml:space="preserve">. </w:t>
      </w:r>
      <w:r w:rsidR="004F3B5E">
        <w:rPr>
          <w:szCs w:val="26"/>
        </w:rPr>
        <w:t>at 8.</w:t>
      </w:r>
      <w:proofErr w:type="gramEnd"/>
      <w:r w:rsidR="004F3B5E">
        <w:rPr>
          <w:szCs w:val="26"/>
        </w:rPr>
        <w:t xml:space="preserve"> </w:t>
      </w:r>
    </w:p>
    <w:p w:rsidR="00395518" w:rsidRDefault="00395518" w:rsidP="00293C26">
      <w:pPr>
        <w:rPr>
          <w:color w:val="00B050"/>
          <w:szCs w:val="26"/>
        </w:rPr>
      </w:pPr>
    </w:p>
    <w:p w:rsidR="004F3B5E" w:rsidRDefault="004F3B5E" w:rsidP="00293C26">
      <w:pPr>
        <w:rPr>
          <w:szCs w:val="26"/>
        </w:rPr>
      </w:pPr>
      <w:r w:rsidRPr="004F3B5E">
        <w:rPr>
          <w:szCs w:val="26"/>
        </w:rPr>
        <w:lastRenderedPageBreak/>
        <w:t xml:space="preserve">On December 8, 2014, </w:t>
      </w:r>
      <w:r>
        <w:rPr>
          <w:szCs w:val="26"/>
        </w:rPr>
        <w:t>DCIDA filed a Reply to PPL’s New Matter</w:t>
      </w:r>
      <w:r w:rsidR="00143D77">
        <w:rPr>
          <w:szCs w:val="26"/>
        </w:rPr>
        <w:t xml:space="preserve"> (</w:t>
      </w:r>
      <w:r w:rsidR="00ED3D28">
        <w:rPr>
          <w:szCs w:val="26"/>
        </w:rPr>
        <w:t xml:space="preserve">DCIDA </w:t>
      </w:r>
      <w:r w:rsidR="00143D77">
        <w:rPr>
          <w:szCs w:val="26"/>
        </w:rPr>
        <w:t xml:space="preserve">Reply to New Matter). </w:t>
      </w:r>
      <w:r>
        <w:rPr>
          <w:szCs w:val="26"/>
        </w:rPr>
        <w:t xml:space="preserve"> DCIDA argued that </w:t>
      </w:r>
      <w:r w:rsidR="00143D77">
        <w:rPr>
          <w:szCs w:val="26"/>
        </w:rPr>
        <w:t xml:space="preserve">the Commission has the power to issue refunds, reparations and other remedies based on conduct that violates the requirements of the AEPS Act, Commission Regulations and the Commission’s Orders.  </w:t>
      </w:r>
      <w:proofErr w:type="gramStart"/>
      <w:r w:rsidR="00ED3D28">
        <w:rPr>
          <w:szCs w:val="26"/>
        </w:rPr>
        <w:t xml:space="preserve">DCIDA </w:t>
      </w:r>
      <w:r w:rsidR="00143D77">
        <w:rPr>
          <w:szCs w:val="26"/>
        </w:rPr>
        <w:t>Reply to New Matter at 2.</w:t>
      </w:r>
      <w:proofErr w:type="gramEnd"/>
      <w:r w:rsidR="00143D77">
        <w:rPr>
          <w:szCs w:val="26"/>
        </w:rPr>
        <w:t xml:space="preserve"> </w:t>
      </w:r>
    </w:p>
    <w:p w:rsidR="002A2247" w:rsidRDefault="002A2247" w:rsidP="00293C26">
      <w:pPr>
        <w:rPr>
          <w:szCs w:val="26"/>
        </w:rPr>
      </w:pPr>
    </w:p>
    <w:p w:rsidR="002A2247" w:rsidRDefault="002A2247" w:rsidP="00293C26">
      <w:pPr>
        <w:rPr>
          <w:szCs w:val="26"/>
        </w:rPr>
      </w:pPr>
      <w:r>
        <w:rPr>
          <w:szCs w:val="26"/>
        </w:rPr>
        <w:t>On February 3, 2015, DCIDA filed a Motion for Judgment on the Pleadings (</w:t>
      </w:r>
      <w:r w:rsidR="00ED3D28">
        <w:rPr>
          <w:szCs w:val="26"/>
        </w:rPr>
        <w:t xml:space="preserve">DCIDA </w:t>
      </w:r>
      <w:r>
        <w:rPr>
          <w:szCs w:val="26"/>
        </w:rPr>
        <w:t>Motion)</w:t>
      </w:r>
      <w:r w:rsidR="003A766D">
        <w:rPr>
          <w:szCs w:val="26"/>
        </w:rPr>
        <w:t xml:space="preserve">.  </w:t>
      </w:r>
      <w:r w:rsidR="00471D82">
        <w:rPr>
          <w:szCs w:val="26"/>
        </w:rPr>
        <w:t xml:space="preserve">DCIDA argued that there are no material facts in dispute and that it is entitled to judgment as a matter of law.  As discussed, </w:t>
      </w:r>
      <w:r w:rsidR="00471D82" w:rsidRPr="00471D82">
        <w:rPr>
          <w:i/>
          <w:szCs w:val="26"/>
        </w:rPr>
        <w:t>infra</w:t>
      </w:r>
      <w:r w:rsidR="00471D82">
        <w:rPr>
          <w:szCs w:val="26"/>
        </w:rPr>
        <w:t xml:space="preserve">, DCIDA averred that the </w:t>
      </w:r>
      <w:r w:rsidR="007139B7">
        <w:rPr>
          <w:szCs w:val="26"/>
        </w:rPr>
        <w:t xml:space="preserve">Commission has already decided the legal issues presented in this matter and did so in its favor.  </w:t>
      </w:r>
      <w:proofErr w:type="gramStart"/>
      <w:r w:rsidR="00ED3D28">
        <w:rPr>
          <w:szCs w:val="26"/>
        </w:rPr>
        <w:t xml:space="preserve">DCIDA </w:t>
      </w:r>
      <w:r w:rsidR="007139B7">
        <w:rPr>
          <w:szCs w:val="26"/>
        </w:rPr>
        <w:t>Motion at 4.</w:t>
      </w:r>
      <w:proofErr w:type="gramEnd"/>
      <w:r w:rsidR="007139B7">
        <w:rPr>
          <w:szCs w:val="26"/>
        </w:rPr>
        <w:t xml:space="preserve">  </w:t>
      </w:r>
    </w:p>
    <w:p w:rsidR="007139B7" w:rsidRDefault="007139B7" w:rsidP="00293C26">
      <w:pPr>
        <w:rPr>
          <w:szCs w:val="26"/>
        </w:rPr>
      </w:pPr>
    </w:p>
    <w:p w:rsidR="004F3B5E" w:rsidRDefault="0036248C" w:rsidP="00293C26">
      <w:pPr>
        <w:rPr>
          <w:color w:val="00B050"/>
          <w:szCs w:val="26"/>
        </w:rPr>
      </w:pPr>
      <w:r>
        <w:rPr>
          <w:szCs w:val="26"/>
        </w:rPr>
        <w:t xml:space="preserve">On February 23, 2015, PPL filed </w:t>
      </w:r>
      <w:r w:rsidR="00304406">
        <w:rPr>
          <w:szCs w:val="26"/>
        </w:rPr>
        <w:t xml:space="preserve">its </w:t>
      </w:r>
      <w:r>
        <w:rPr>
          <w:szCs w:val="26"/>
        </w:rPr>
        <w:t>Answer to Motion wherein it argued that DCIDA has not met its burden to prove that it is entitled to a judgment as a matter of law</w:t>
      </w:r>
      <w:r w:rsidR="0089248A">
        <w:rPr>
          <w:szCs w:val="26"/>
        </w:rPr>
        <w:t xml:space="preserve"> because DCIDA has not shown that PPL’s payment for excess generation </w:t>
      </w:r>
      <w:r w:rsidR="00E867EC">
        <w:rPr>
          <w:szCs w:val="26"/>
        </w:rPr>
        <w:t>was contrary to its C</w:t>
      </w:r>
      <w:r w:rsidR="0086632C">
        <w:rPr>
          <w:szCs w:val="26"/>
        </w:rPr>
        <w:t>ommission-approved tariff</w:t>
      </w:r>
      <w:r>
        <w:rPr>
          <w:szCs w:val="26"/>
        </w:rPr>
        <w:t xml:space="preserve">.  </w:t>
      </w:r>
      <w:r w:rsidR="00B6377B">
        <w:rPr>
          <w:szCs w:val="26"/>
        </w:rPr>
        <w:t xml:space="preserve">PPL </w:t>
      </w:r>
      <w:r w:rsidR="0086632C">
        <w:rPr>
          <w:szCs w:val="26"/>
        </w:rPr>
        <w:t xml:space="preserve">also averred </w:t>
      </w:r>
      <w:r w:rsidR="00B6377B">
        <w:rPr>
          <w:szCs w:val="26"/>
        </w:rPr>
        <w:t xml:space="preserve">that DCIDA failed to show that there are not genuine issues </w:t>
      </w:r>
      <w:r w:rsidR="0086632C">
        <w:rPr>
          <w:szCs w:val="26"/>
        </w:rPr>
        <w:t xml:space="preserve">as </w:t>
      </w:r>
      <w:r w:rsidR="00B6377B">
        <w:rPr>
          <w:szCs w:val="26"/>
        </w:rPr>
        <w:t xml:space="preserve">to material facts relevant to its Complaint.  </w:t>
      </w:r>
      <w:r w:rsidR="0086632C">
        <w:rPr>
          <w:szCs w:val="26"/>
        </w:rPr>
        <w:t xml:space="preserve">PPL </w:t>
      </w:r>
      <w:r w:rsidR="00E867EC">
        <w:rPr>
          <w:szCs w:val="26"/>
        </w:rPr>
        <w:t xml:space="preserve">contended </w:t>
      </w:r>
      <w:r w:rsidR="0086632C">
        <w:rPr>
          <w:szCs w:val="26"/>
        </w:rPr>
        <w:t xml:space="preserve">that DCIDA offered no evidence regarding the time (on-peak and off-peak) that excess generation was generated during the annual period at issue.  PPL opined that DCIDA has not proven facts necessary to </w:t>
      </w:r>
      <w:r w:rsidR="00413754">
        <w:rPr>
          <w:szCs w:val="26"/>
        </w:rPr>
        <w:t xml:space="preserve">support </w:t>
      </w:r>
      <w:r w:rsidR="0086632C">
        <w:rPr>
          <w:szCs w:val="26"/>
        </w:rPr>
        <w:t>its claim, and on that basis alone, DCIDA’s Motion should be dismissed.</w:t>
      </w:r>
      <w:r w:rsidR="00413754">
        <w:rPr>
          <w:szCs w:val="26"/>
        </w:rPr>
        <w:t xml:space="preserve">  PPL Answer to Motion at 4-5. </w:t>
      </w:r>
      <w:r w:rsidR="0086632C">
        <w:rPr>
          <w:szCs w:val="26"/>
        </w:rPr>
        <w:t xml:space="preserve"> </w:t>
      </w:r>
      <w:r w:rsidR="00914BF0">
        <w:rPr>
          <w:szCs w:val="26"/>
        </w:rPr>
        <w:t xml:space="preserve">PPL also </w:t>
      </w:r>
      <w:r w:rsidR="00413754">
        <w:rPr>
          <w:szCs w:val="26"/>
        </w:rPr>
        <w:t>noted</w:t>
      </w:r>
      <w:r w:rsidR="00914BF0">
        <w:rPr>
          <w:szCs w:val="26"/>
        </w:rPr>
        <w:t xml:space="preserve"> that in September 2014, the Commission</w:t>
      </w:r>
      <w:r w:rsidR="00960183">
        <w:rPr>
          <w:szCs w:val="26"/>
        </w:rPr>
        <w:t>-</w:t>
      </w:r>
      <w:r w:rsidR="00914BF0">
        <w:rPr>
          <w:szCs w:val="26"/>
        </w:rPr>
        <w:t xml:space="preserve">approved PPL’s Pilot TOU Program to utilize EGSs to fulfill its obligations to offer a TOU rate option to default service customers.  As a result, PPL explained that it no longer provides compensation to net metering customers with a TOU option and </w:t>
      </w:r>
      <w:r w:rsidR="002A44C9">
        <w:rPr>
          <w:szCs w:val="26"/>
        </w:rPr>
        <w:t xml:space="preserve">opined that </w:t>
      </w:r>
      <w:r w:rsidR="00914BF0">
        <w:rPr>
          <w:szCs w:val="26"/>
        </w:rPr>
        <w:t xml:space="preserve">DCIDA’s request for prospective relief is moot.  </w:t>
      </w:r>
      <w:r w:rsidR="00413754">
        <w:rPr>
          <w:szCs w:val="26"/>
        </w:rPr>
        <w:t xml:space="preserve">PPL Answer to Motion </w:t>
      </w:r>
      <w:r w:rsidR="00914BF0">
        <w:rPr>
          <w:szCs w:val="26"/>
        </w:rPr>
        <w:t xml:space="preserve">at </w:t>
      </w:r>
      <w:r w:rsidR="0089248A">
        <w:rPr>
          <w:szCs w:val="26"/>
        </w:rPr>
        <w:t>17</w:t>
      </w:r>
      <w:r w:rsidR="00914BF0">
        <w:rPr>
          <w:szCs w:val="26"/>
        </w:rPr>
        <w:t xml:space="preserve">. </w:t>
      </w:r>
    </w:p>
    <w:p w:rsidR="00143D77" w:rsidRDefault="00143D77" w:rsidP="00293C26">
      <w:pPr>
        <w:rPr>
          <w:color w:val="00B050"/>
          <w:szCs w:val="26"/>
        </w:rPr>
      </w:pPr>
    </w:p>
    <w:p w:rsidR="00143D77" w:rsidRPr="00ED71F1" w:rsidRDefault="00ED71F1" w:rsidP="00293C26">
      <w:pPr>
        <w:rPr>
          <w:szCs w:val="26"/>
        </w:rPr>
      </w:pPr>
      <w:r w:rsidRPr="00ED71F1">
        <w:rPr>
          <w:szCs w:val="26"/>
        </w:rPr>
        <w:t xml:space="preserve">Also on </w:t>
      </w:r>
      <w:r w:rsidR="00FD47F7">
        <w:rPr>
          <w:szCs w:val="26"/>
        </w:rPr>
        <w:t>February 23, 2015, PPL filed a Cross Motion for Judgment on the Pleadings (</w:t>
      </w:r>
      <w:r w:rsidR="00ED3D28">
        <w:rPr>
          <w:szCs w:val="26"/>
        </w:rPr>
        <w:t xml:space="preserve">PPL </w:t>
      </w:r>
      <w:r w:rsidR="00FD47F7">
        <w:rPr>
          <w:szCs w:val="26"/>
        </w:rPr>
        <w:t xml:space="preserve">Cross Motion) </w:t>
      </w:r>
      <w:r w:rsidR="0052164A">
        <w:rPr>
          <w:szCs w:val="26"/>
        </w:rPr>
        <w:t xml:space="preserve">in </w:t>
      </w:r>
      <w:r w:rsidR="002A44C9">
        <w:rPr>
          <w:szCs w:val="26"/>
        </w:rPr>
        <w:t xml:space="preserve">which </w:t>
      </w:r>
      <w:r w:rsidR="00C7401F">
        <w:rPr>
          <w:szCs w:val="26"/>
        </w:rPr>
        <w:t xml:space="preserve">PPL argued that </w:t>
      </w:r>
      <w:r w:rsidR="002A44C9">
        <w:rPr>
          <w:szCs w:val="26"/>
        </w:rPr>
        <w:t xml:space="preserve">there are no </w:t>
      </w:r>
      <w:r w:rsidR="00C7401F">
        <w:rPr>
          <w:szCs w:val="26"/>
        </w:rPr>
        <w:t xml:space="preserve">disputed issues of </w:t>
      </w:r>
      <w:r w:rsidR="00C7401F">
        <w:rPr>
          <w:szCs w:val="26"/>
        </w:rPr>
        <w:lastRenderedPageBreak/>
        <w:t>material facts that would prevent resolution of the Cross Motion in PPL’s favor.</w:t>
      </w:r>
      <w:r w:rsidR="006B29E1">
        <w:rPr>
          <w:szCs w:val="26"/>
        </w:rPr>
        <w:t xml:space="preserve">  PPL </w:t>
      </w:r>
      <w:r w:rsidR="00FD47F7">
        <w:rPr>
          <w:szCs w:val="26"/>
        </w:rPr>
        <w:t>request</w:t>
      </w:r>
      <w:r w:rsidR="006B29E1">
        <w:rPr>
          <w:szCs w:val="26"/>
        </w:rPr>
        <w:t>ed</w:t>
      </w:r>
      <w:r w:rsidR="00FD47F7">
        <w:rPr>
          <w:szCs w:val="26"/>
        </w:rPr>
        <w:t xml:space="preserve"> that </w:t>
      </w:r>
      <w:r w:rsidR="006B29E1">
        <w:rPr>
          <w:szCs w:val="26"/>
        </w:rPr>
        <w:t xml:space="preserve">its Cross Motion be granted and </w:t>
      </w:r>
      <w:r w:rsidR="00FD47F7">
        <w:rPr>
          <w:szCs w:val="26"/>
        </w:rPr>
        <w:t xml:space="preserve">DCIDA’s Complaint be dismissed </w:t>
      </w:r>
      <w:r w:rsidR="006B29E1">
        <w:rPr>
          <w:szCs w:val="26"/>
        </w:rPr>
        <w:t xml:space="preserve">in its entirety </w:t>
      </w:r>
      <w:r w:rsidR="00FD47F7">
        <w:rPr>
          <w:szCs w:val="26"/>
        </w:rPr>
        <w:t xml:space="preserve">with prejudice.  </w:t>
      </w:r>
      <w:proofErr w:type="gramStart"/>
      <w:r w:rsidR="00ED3D28">
        <w:rPr>
          <w:szCs w:val="26"/>
        </w:rPr>
        <w:t xml:space="preserve">PPL </w:t>
      </w:r>
      <w:r w:rsidR="006B29E1">
        <w:rPr>
          <w:szCs w:val="26"/>
        </w:rPr>
        <w:t xml:space="preserve">Cross Motion at </w:t>
      </w:r>
      <w:r w:rsidR="00C7401F">
        <w:rPr>
          <w:szCs w:val="26"/>
        </w:rPr>
        <w:t>4</w:t>
      </w:r>
      <w:r w:rsidR="006B29E1">
        <w:rPr>
          <w:szCs w:val="26"/>
        </w:rPr>
        <w:t>.</w:t>
      </w:r>
      <w:proofErr w:type="gramEnd"/>
      <w:r w:rsidR="006B29E1">
        <w:rPr>
          <w:szCs w:val="26"/>
        </w:rPr>
        <w:t xml:space="preserve">  </w:t>
      </w:r>
    </w:p>
    <w:p w:rsidR="00ED71F1" w:rsidRDefault="00ED71F1" w:rsidP="00293C26">
      <w:pPr>
        <w:rPr>
          <w:color w:val="00B050"/>
          <w:szCs w:val="26"/>
        </w:rPr>
      </w:pPr>
    </w:p>
    <w:p w:rsidR="00F04831" w:rsidRPr="00F04831" w:rsidRDefault="00F04831" w:rsidP="00F04831">
      <w:pPr>
        <w:rPr>
          <w:szCs w:val="26"/>
        </w:rPr>
      </w:pPr>
      <w:r w:rsidRPr="00F04831">
        <w:rPr>
          <w:szCs w:val="26"/>
        </w:rPr>
        <w:t xml:space="preserve">By Motion Judge Assignment Notice dated February 24, 2015, the Parties were notified that ALJ Salapa was </w:t>
      </w:r>
      <w:r w:rsidR="0052164A">
        <w:rPr>
          <w:szCs w:val="26"/>
        </w:rPr>
        <w:t>assigned</w:t>
      </w:r>
      <w:r w:rsidR="0052164A" w:rsidRPr="00F04831">
        <w:rPr>
          <w:szCs w:val="26"/>
        </w:rPr>
        <w:t xml:space="preserve"> </w:t>
      </w:r>
      <w:r w:rsidRPr="00F04831">
        <w:rPr>
          <w:szCs w:val="26"/>
        </w:rPr>
        <w:t>to resolve any issues which may arise during th</w:t>
      </w:r>
      <w:r w:rsidR="006D3E51">
        <w:rPr>
          <w:szCs w:val="26"/>
        </w:rPr>
        <w:t>e</w:t>
      </w:r>
      <w:r w:rsidRPr="00F04831">
        <w:rPr>
          <w:szCs w:val="26"/>
        </w:rPr>
        <w:t xml:space="preserve"> preliminary phase of the proceeding.</w:t>
      </w:r>
    </w:p>
    <w:p w:rsidR="00ED71F1" w:rsidRDefault="00ED71F1" w:rsidP="00293C26">
      <w:pPr>
        <w:rPr>
          <w:color w:val="00B050"/>
          <w:szCs w:val="26"/>
        </w:rPr>
      </w:pPr>
    </w:p>
    <w:p w:rsidR="00321FFB" w:rsidRPr="009261FA" w:rsidRDefault="009261FA" w:rsidP="00293C26">
      <w:pPr>
        <w:rPr>
          <w:szCs w:val="26"/>
        </w:rPr>
      </w:pPr>
      <w:r w:rsidRPr="009261FA">
        <w:rPr>
          <w:szCs w:val="26"/>
        </w:rPr>
        <w:t xml:space="preserve">On March 16, 2015, </w:t>
      </w:r>
      <w:r>
        <w:rPr>
          <w:szCs w:val="26"/>
        </w:rPr>
        <w:t xml:space="preserve">DCIDA filed an Answer to the PPL’s Cross Motion.  </w:t>
      </w:r>
      <w:proofErr w:type="gramStart"/>
      <w:r>
        <w:rPr>
          <w:szCs w:val="26"/>
        </w:rPr>
        <w:t>(</w:t>
      </w:r>
      <w:r w:rsidR="00ED3D28">
        <w:rPr>
          <w:szCs w:val="26"/>
        </w:rPr>
        <w:t xml:space="preserve">DCIDA </w:t>
      </w:r>
      <w:r>
        <w:rPr>
          <w:szCs w:val="26"/>
        </w:rPr>
        <w:t>Answer to Cross Motion).</w:t>
      </w:r>
      <w:proofErr w:type="gramEnd"/>
      <w:r>
        <w:rPr>
          <w:szCs w:val="26"/>
        </w:rPr>
        <w:t xml:space="preserve">  DCIDA argued that PPL is not entitled to judgment on the pleadings because it has failed to demonstrate that i</w:t>
      </w:r>
      <w:r w:rsidR="0052164A">
        <w:rPr>
          <w:szCs w:val="26"/>
        </w:rPr>
        <w:t>t</w:t>
      </w:r>
      <w:r>
        <w:rPr>
          <w:szCs w:val="26"/>
        </w:rPr>
        <w:t xml:space="preserve"> has properly compensated DCIDA for its excess generation and that DCIDA is seeking a retroactive change to Commission-ma</w:t>
      </w:r>
      <w:r w:rsidR="006552ED">
        <w:rPr>
          <w:szCs w:val="26"/>
        </w:rPr>
        <w:t>d</w:t>
      </w:r>
      <w:r>
        <w:rPr>
          <w:szCs w:val="26"/>
        </w:rPr>
        <w:t xml:space="preserve">e rates.  </w:t>
      </w:r>
      <w:r w:rsidR="00ED3D28">
        <w:rPr>
          <w:szCs w:val="26"/>
        </w:rPr>
        <w:t xml:space="preserve">DCIDA </w:t>
      </w:r>
      <w:r>
        <w:rPr>
          <w:szCs w:val="26"/>
        </w:rPr>
        <w:t xml:space="preserve">Answer to Cross Motion at 4-7.  </w:t>
      </w:r>
    </w:p>
    <w:p w:rsidR="00321FFB" w:rsidRPr="009261FA" w:rsidRDefault="00321FFB" w:rsidP="00293C26">
      <w:pPr>
        <w:rPr>
          <w:szCs w:val="26"/>
        </w:rPr>
      </w:pPr>
    </w:p>
    <w:p w:rsidR="009261FA" w:rsidRPr="00B70661" w:rsidRDefault="00B70661" w:rsidP="00293C26">
      <w:pPr>
        <w:rPr>
          <w:szCs w:val="26"/>
        </w:rPr>
      </w:pPr>
      <w:r w:rsidRPr="00B70661">
        <w:rPr>
          <w:szCs w:val="26"/>
        </w:rPr>
        <w:t xml:space="preserve">By Initial Decision issued April 10, 2015, the ALJ granted PPL’s Cross Motion, denied DCIDA’s Motion and dismissed the Complaint.  </w:t>
      </w:r>
      <w:proofErr w:type="gramStart"/>
      <w:r w:rsidRPr="00B70661">
        <w:rPr>
          <w:szCs w:val="26"/>
        </w:rPr>
        <w:t>I.D.</w:t>
      </w:r>
      <w:r w:rsidR="00D90427">
        <w:rPr>
          <w:szCs w:val="26"/>
        </w:rPr>
        <w:t xml:space="preserve"> </w:t>
      </w:r>
      <w:r w:rsidRPr="00B70661">
        <w:rPr>
          <w:szCs w:val="26"/>
        </w:rPr>
        <w:t>at 13.</w:t>
      </w:r>
      <w:proofErr w:type="gramEnd"/>
      <w:r w:rsidRPr="00B70661">
        <w:rPr>
          <w:szCs w:val="26"/>
        </w:rPr>
        <w:t xml:space="preserve">  As discussed, </w:t>
      </w:r>
      <w:r w:rsidRPr="00B70661">
        <w:rPr>
          <w:i/>
          <w:szCs w:val="26"/>
        </w:rPr>
        <w:t>supra</w:t>
      </w:r>
      <w:r w:rsidRPr="00B70661">
        <w:rPr>
          <w:szCs w:val="26"/>
        </w:rPr>
        <w:t>, DCIDA filed Exceptions to the Initial Decision on April 30, 2015, and PPL filed Repl</w:t>
      </w:r>
      <w:r w:rsidR="0052164A">
        <w:rPr>
          <w:szCs w:val="26"/>
        </w:rPr>
        <w:t>ies to</w:t>
      </w:r>
      <w:r w:rsidRPr="00B70661">
        <w:rPr>
          <w:szCs w:val="26"/>
        </w:rPr>
        <w:t xml:space="preserve"> Exceptions on May 11, 2015.</w:t>
      </w:r>
    </w:p>
    <w:p w:rsidR="00321FFB" w:rsidRDefault="00321FFB" w:rsidP="00293C26">
      <w:pPr>
        <w:rPr>
          <w:color w:val="00B050"/>
          <w:szCs w:val="26"/>
        </w:rPr>
      </w:pPr>
    </w:p>
    <w:p w:rsidR="00E071E8" w:rsidRDefault="00E071E8" w:rsidP="00D32E9C">
      <w:pPr>
        <w:pStyle w:val="Heading1"/>
        <w:ind w:left="360"/>
      </w:pPr>
      <w:r>
        <w:t>Discussion</w:t>
      </w:r>
    </w:p>
    <w:p w:rsidR="00E071E8" w:rsidRDefault="00E071E8" w:rsidP="00D32E9C">
      <w:pPr>
        <w:keepNext/>
        <w:keepLines/>
      </w:pPr>
    </w:p>
    <w:p w:rsidR="00E071E8" w:rsidRDefault="00E071E8" w:rsidP="00D32E9C">
      <w:pPr>
        <w:pStyle w:val="Heading2"/>
      </w:pPr>
      <w:r>
        <w:t>Legal Standards</w:t>
      </w:r>
    </w:p>
    <w:p w:rsidR="00E071E8" w:rsidRDefault="00E071E8" w:rsidP="00D32E9C">
      <w:pPr>
        <w:keepNext/>
        <w:keepLines/>
      </w:pPr>
    </w:p>
    <w:p w:rsidR="008D1B74" w:rsidRDefault="00E071E8" w:rsidP="008D1B74">
      <w:pPr>
        <w:tabs>
          <w:tab w:val="left" w:pos="-720"/>
        </w:tabs>
        <w:suppressAutoHyphens/>
        <w:rPr>
          <w:szCs w:val="26"/>
        </w:rPr>
      </w:pPr>
      <w:r w:rsidRPr="0008326D">
        <w:rPr>
          <w:szCs w:val="26"/>
        </w:rPr>
        <w:t>As explained by the ALJ, the Commission’s Regulation at 52 Pa. Code §</w:t>
      </w:r>
      <w:r w:rsidR="00E91CA8">
        <w:rPr>
          <w:szCs w:val="26"/>
        </w:rPr>
        <w:t> </w:t>
      </w:r>
      <w:r w:rsidRPr="0008326D">
        <w:rPr>
          <w:szCs w:val="26"/>
        </w:rPr>
        <w:t>5.102 governs motions for judgment</w:t>
      </w:r>
      <w:r w:rsidR="00AF722D">
        <w:rPr>
          <w:szCs w:val="26"/>
        </w:rPr>
        <w:t xml:space="preserve"> on the pleadings</w:t>
      </w:r>
      <w:r w:rsidRPr="0008326D">
        <w:rPr>
          <w:szCs w:val="26"/>
        </w:rPr>
        <w:t xml:space="preserve">.  The Commission’s Regulation at 52 Pa. Code § 5.102(a) permits any party to move for summary judgment after the pleadings are closed, but within such time as not to delay a hearing.  A motion for summary judgment must be based on the pleadings, depositions, answers to interrogatories, admissions and supporting affidavits.  </w:t>
      </w:r>
      <w:proofErr w:type="gramStart"/>
      <w:r w:rsidRPr="0008326D">
        <w:rPr>
          <w:szCs w:val="26"/>
        </w:rPr>
        <w:t>52 Pa. Code §</w:t>
      </w:r>
      <w:r>
        <w:rPr>
          <w:szCs w:val="26"/>
        </w:rPr>
        <w:t xml:space="preserve"> </w:t>
      </w:r>
      <w:r w:rsidRPr="0008326D">
        <w:rPr>
          <w:szCs w:val="26"/>
        </w:rPr>
        <w:t>5.102(c).</w:t>
      </w:r>
      <w:proofErr w:type="gramEnd"/>
      <w:r w:rsidRPr="0008326D">
        <w:rPr>
          <w:szCs w:val="26"/>
        </w:rPr>
        <w:t xml:space="preserve">  The </w:t>
      </w:r>
      <w:r w:rsidRPr="0008326D">
        <w:rPr>
          <w:szCs w:val="26"/>
        </w:rPr>
        <w:lastRenderedPageBreak/>
        <w:t>presiding officer will grant a motion for summary judgment if the pleadings, depositions, answers to interrogatories, admissions and affidavits show that there is no genuine issue as to a material fact and that the moving party is entitled to judgment as a matter of law.  52 Pa. Code §</w:t>
      </w:r>
      <w:r>
        <w:rPr>
          <w:szCs w:val="26"/>
        </w:rPr>
        <w:t xml:space="preserve"> </w:t>
      </w:r>
      <w:r w:rsidRPr="0008326D">
        <w:rPr>
          <w:szCs w:val="26"/>
        </w:rPr>
        <w:t>5.102(d</w:t>
      </w:r>
      <w:proofErr w:type="gramStart"/>
      <w:r w:rsidRPr="0008326D">
        <w:rPr>
          <w:szCs w:val="26"/>
        </w:rPr>
        <w:t>)(</w:t>
      </w:r>
      <w:proofErr w:type="gramEnd"/>
      <w:r w:rsidRPr="0008326D">
        <w:rPr>
          <w:szCs w:val="26"/>
        </w:rPr>
        <w:t>1).</w:t>
      </w:r>
      <w:r>
        <w:rPr>
          <w:szCs w:val="26"/>
        </w:rPr>
        <w:t xml:space="preserve">  </w:t>
      </w:r>
      <w:r w:rsidR="008D1B74">
        <w:rPr>
          <w:szCs w:val="26"/>
        </w:rPr>
        <w:t>T</w:t>
      </w:r>
      <w:r w:rsidR="008D1B74" w:rsidRPr="00BE2AE6">
        <w:rPr>
          <w:szCs w:val="26"/>
        </w:rPr>
        <w:t>he provision at 52 Pa. Code §</w:t>
      </w:r>
      <w:r w:rsidR="008D1B74">
        <w:rPr>
          <w:szCs w:val="26"/>
        </w:rPr>
        <w:t xml:space="preserve"> </w:t>
      </w:r>
      <w:r w:rsidR="008D1B74" w:rsidRPr="00BE2AE6">
        <w:rPr>
          <w:szCs w:val="26"/>
        </w:rPr>
        <w:t>5.102(</w:t>
      </w:r>
      <w:r w:rsidR="008D1B74">
        <w:rPr>
          <w:szCs w:val="26"/>
        </w:rPr>
        <w:t>d</w:t>
      </w:r>
      <w:r w:rsidR="008D1B74" w:rsidRPr="00BE2AE6">
        <w:rPr>
          <w:szCs w:val="26"/>
        </w:rPr>
        <w:t xml:space="preserve">) serves judicial economy by avoiding a hearing where no factual dispute exists.  If no factual issue pertinent to the resolution of a case exists, a hearing is unnecessary.  </w:t>
      </w:r>
      <w:proofErr w:type="gramStart"/>
      <w:r w:rsidR="008D1B74" w:rsidRPr="00BE2AE6">
        <w:rPr>
          <w:szCs w:val="26"/>
        </w:rPr>
        <w:t>66 Pa. C.S.</w:t>
      </w:r>
      <w:r w:rsidR="008D1B74">
        <w:rPr>
          <w:szCs w:val="26"/>
        </w:rPr>
        <w:t xml:space="preserve"> </w:t>
      </w:r>
      <w:r w:rsidR="008D1B74" w:rsidRPr="00BE2AE6">
        <w:rPr>
          <w:szCs w:val="26"/>
        </w:rPr>
        <w:t>§</w:t>
      </w:r>
      <w:r w:rsidR="008D1B74">
        <w:rPr>
          <w:szCs w:val="26"/>
        </w:rPr>
        <w:t xml:space="preserve"> </w:t>
      </w:r>
      <w:r w:rsidR="008D1B74" w:rsidRPr="00BE2AE6">
        <w:rPr>
          <w:szCs w:val="26"/>
        </w:rPr>
        <w:t xml:space="preserve">703(a); </w:t>
      </w:r>
      <w:r w:rsidR="008D1B74" w:rsidRPr="00916B91">
        <w:rPr>
          <w:i/>
          <w:szCs w:val="26"/>
        </w:rPr>
        <w:t>Lehigh Valley Power Committee v. Pa. PUC</w:t>
      </w:r>
      <w:r w:rsidR="008D1B74" w:rsidRPr="00BE2AE6">
        <w:rPr>
          <w:szCs w:val="26"/>
        </w:rPr>
        <w:t xml:space="preserve">, 563 A.2d 557 (Pa. Cmwlth. 1989); </w:t>
      </w:r>
      <w:r w:rsidR="008D1B74" w:rsidRPr="00916B91">
        <w:rPr>
          <w:i/>
          <w:szCs w:val="26"/>
        </w:rPr>
        <w:t>S.M.E. Bessemer Cement, Inc. v. Pa. PUC</w:t>
      </w:r>
      <w:r w:rsidR="008D1B74" w:rsidRPr="00BE2AE6">
        <w:rPr>
          <w:szCs w:val="26"/>
        </w:rPr>
        <w:t xml:space="preserve">, 540 A.2d 1006 (Pa. Cmwlth. 1988); </w:t>
      </w:r>
      <w:r w:rsidR="008D1B74" w:rsidRPr="00916B91">
        <w:rPr>
          <w:i/>
          <w:szCs w:val="26"/>
        </w:rPr>
        <w:t>White Oak Borough Authority v. Pa. PUC</w:t>
      </w:r>
      <w:r w:rsidR="008D1B74" w:rsidRPr="00BE2AE6">
        <w:rPr>
          <w:szCs w:val="26"/>
        </w:rPr>
        <w:t>, 103 A.2d 502 (Pa. Super. 1954).</w:t>
      </w:r>
      <w:proofErr w:type="gramEnd"/>
      <w:r w:rsidR="008D1B74">
        <w:rPr>
          <w:szCs w:val="26"/>
        </w:rPr>
        <w:t xml:space="preserve">  </w:t>
      </w:r>
    </w:p>
    <w:p w:rsidR="00E071E8" w:rsidRDefault="00E071E8" w:rsidP="00E071E8">
      <w:pPr>
        <w:tabs>
          <w:tab w:val="left" w:pos="0"/>
          <w:tab w:val="left" w:pos="2160"/>
        </w:tabs>
        <w:autoSpaceDE w:val="0"/>
        <w:autoSpaceDN w:val="0"/>
        <w:rPr>
          <w:szCs w:val="26"/>
        </w:rPr>
      </w:pPr>
    </w:p>
    <w:p w:rsidR="006552ED" w:rsidRDefault="006552ED" w:rsidP="00D32E9C">
      <w:pPr>
        <w:pStyle w:val="Heading2"/>
      </w:pPr>
      <w:r>
        <w:t>Initial Decision</w:t>
      </w:r>
    </w:p>
    <w:p w:rsidR="006552ED" w:rsidRDefault="006552ED" w:rsidP="00D32E9C">
      <w:pPr>
        <w:keepNext/>
        <w:keepLines/>
      </w:pPr>
    </w:p>
    <w:p w:rsidR="007C7031" w:rsidRDefault="007C7031" w:rsidP="00D32E9C">
      <w:pPr>
        <w:tabs>
          <w:tab w:val="left" w:pos="-1440"/>
          <w:tab w:val="left" w:pos="-720"/>
        </w:tabs>
        <w:rPr>
          <w:kern w:val="1"/>
          <w:szCs w:val="26"/>
        </w:rPr>
      </w:pPr>
      <w:r>
        <w:rPr>
          <w:kern w:val="1"/>
          <w:szCs w:val="26"/>
        </w:rPr>
        <w:t xml:space="preserve">As a preliminary matter, we note that the ALJ issued fifteen Findings of Fact and </w:t>
      </w:r>
      <w:r w:rsidR="00253114">
        <w:rPr>
          <w:kern w:val="1"/>
          <w:szCs w:val="26"/>
        </w:rPr>
        <w:t xml:space="preserve">reached four Conclusions of Law. </w:t>
      </w:r>
      <w:r>
        <w:rPr>
          <w:kern w:val="1"/>
          <w:szCs w:val="26"/>
        </w:rPr>
        <w:t xml:space="preserve"> </w:t>
      </w:r>
      <w:proofErr w:type="gramStart"/>
      <w:r>
        <w:rPr>
          <w:kern w:val="1"/>
          <w:szCs w:val="26"/>
        </w:rPr>
        <w:t>I.D. at 5-7 and 13.</w:t>
      </w:r>
      <w:proofErr w:type="gramEnd"/>
      <w:r>
        <w:rPr>
          <w:kern w:val="1"/>
          <w:szCs w:val="26"/>
        </w:rPr>
        <w:t xml:space="preserve">  We will adopt the Findings of Fact and Conclusions of Law unless they are overruled expressly or by necessary implication.</w:t>
      </w:r>
    </w:p>
    <w:p w:rsidR="007C7031" w:rsidRDefault="007C7031" w:rsidP="00E071E8"/>
    <w:p w:rsidR="00571C7F" w:rsidRPr="00571C7F" w:rsidRDefault="00571C7F" w:rsidP="00571C7F">
      <w:pPr>
        <w:pStyle w:val="ParaTab1"/>
        <w:spacing w:line="360" w:lineRule="auto"/>
        <w:ind w:left="90" w:firstLine="1350"/>
        <w:rPr>
          <w:rFonts w:ascii="Times New Roman" w:hAnsi="Times New Roman" w:cs="Times New Roman"/>
          <w:sz w:val="26"/>
          <w:szCs w:val="26"/>
        </w:rPr>
      </w:pPr>
      <w:r w:rsidRPr="00571C7F">
        <w:rPr>
          <w:rFonts w:ascii="Times New Roman" w:hAnsi="Times New Roman" w:cs="Times New Roman"/>
          <w:sz w:val="26"/>
          <w:szCs w:val="26"/>
        </w:rPr>
        <w:t xml:space="preserve">In his Initial Decision, the ALJ agreed with PPL that its tariff clearly and unambiguously established how compensation is to be paid to net metering customers with a TOU option.  The ALJ further concurred that because PPL compensated DCIDA in accordance with its tariff, DCIDA is not entitled to further compensation.  </w:t>
      </w:r>
      <w:r w:rsidR="00253114">
        <w:rPr>
          <w:rFonts w:ascii="Times New Roman" w:hAnsi="Times New Roman" w:cs="Times New Roman"/>
          <w:sz w:val="26"/>
          <w:szCs w:val="26"/>
        </w:rPr>
        <w:t>I</w:t>
      </w:r>
      <w:r w:rsidRPr="00571C7F">
        <w:rPr>
          <w:rFonts w:ascii="Times New Roman" w:hAnsi="Times New Roman" w:cs="Times New Roman"/>
          <w:sz w:val="26"/>
          <w:szCs w:val="26"/>
        </w:rPr>
        <w:t xml:space="preserve">.D. at 7-8.  </w:t>
      </w:r>
      <w:r w:rsidR="00896D2F">
        <w:rPr>
          <w:rFonts w:ascii="Times New Roman" w:hAnsi="Times New Roman" w:cs="Times New Roman"/>
          <w:sz w:val="26"/>
          <w:szCs w:val="26"/>
        </w:rPr>
        <w:t xml:space="preserve">Both Parties and the ALJ presented the relevant portions of the PPL’s </w:t>
      </w:r>
      <w:r w:rsidR="00E00DEE">
        <w:rPr>
          <w:rFonts w:ascii="Times New Roman" w:hAnsi="Times New Roman" w:cs="Times New Roman"/>
          <w:sz w:val="26"/>
          <w:szCs w:val="26"/>
        </w:rPr>
        <w:t>t</w:t>
      </w:r>
      <w:r w:rsidR="00896D2F">
        <w:rPr>
          <w:rFonts w:ascii="Times New Roman" w:hAnsi="Times New Roman" w:cs="Times New Roman"/>
          <w:sz w:val="26"/>
          <w:szCs w:val="26"/>
        </w:rPr>
        <w:t>ariff provision entitled “Net Metering for Renewable Customer-Generators”</w:t>
      </w:r>
      <w:r w:rsidR="00F11F22">
        <w:rPr>
          <w:rStyle w:val="FootnoteReference"/>
          <w:rFonts w:ascii="Times New Roman" w:hAnsi="Times New Roman" w:cs="Times New Roman"/>
          <w:sz w:val="26"/>
          <w:szCs w:val="26"/>
        </w:rPr>
        <w:footnoteReference w:id="4"/>
      </w:r>
      <w:r w:rsidR="00896D2F">
        <w:rPr>
          <w:rFonts w:ascii="Times New Roman" w:hAnsi="Times New Roman" w:cs="Times New Roman"/>
          <w:sz w:val="26"/>
          <w:szCs w:val="26"/>
        </w:rPr>
        <w:t xml:space="preserve"> as follows:</w:t>
      </w:r>
    </w:p>
    <w:p w:rsidR="00571C7F" w:rsidRPr="00571C7F" w:rsidRDefault="00571C7F" w:rsidP="00571C7F">
      <w:pPr>
        <w:pStyle w:val="ParaTab1"/>
        <w:spacing w:line="360" w:lineRule="auto"/>
        <w:ind w:left="90" w:firstLine="1350"/>
        <w:rPr>
          <w:rFonts w:ascii="Times New Roman" w:hAnsi="Times New Roman" w:cs="Times New Roman"/>
          <w:sz w:val="26"/>
          <w:szCs w:val="26"/>
        </w:rPr>
      </w:pPr>
    </w:p>
    <w:p w:rsidR="00571C7F" w:rsidRDefault="00571C7F" w:rsidP="00CE2872">
      <w:pPr>
        <w:keepNext/>
        <w:adjustRightInd w:val="0"/>
        <w:spacing w:line="240" w:lineRule="auto"/>
        <w:ind w:left="1440" w:right="1440" w:firstLine="0"/>
        <w:rPr>
          <w:rFonts w:cs="Arial"/>
          <w:szCs w:val="22"/>
        </w:rPr>
      </w:pPr>
      <w:r w:rsidRPr="00867458">
        <w:rPr>
          <w:rFonts w:cs="Arial"/>
          <w:szCs w:val="22"/>
        </w:rPr>
        <w:lastRenderedPageBreak/>
        <w:t>BILLING PROVISIONS:</w:t>
      </w:r>
    </w:p>
    <w:p w:rsidR="00896D2F" w:rsidRPr="00867458" w:rsidRDefault="00896D2F" w:rsidP="00CE2872">
      <w:pPr>
        <w:keepNext/>
        <w:adjustRightInd w:val="0"/>
        <w:spacing w:line="240" w:lineRule="auto"/>
        <w:ind w:left="1440" w:right="1440" w:firstLine="0"/>
        <w:rPr>
          <w:rFonts w:cs="Arial"/>
          <w:szCs w:val="22"/>
        </w:rPr>
      </w:pPr>
    </w:p>
    <w:p w:rsidR="00571C7F" w:rsidRPr="00867458" w:rsidRDefault="00571C7F" w:rsidP="00CE2872">
      <w:pPr>
        <w:keepNext/>
        <w:adjustRightInd w:val="0"/>
        <w:spacing w:line="240" w:lineRule="auto"/>
        <w:ind w:left="1440" w:right="1440" w:firstLine="360"/>
        <w:rPr>
          <w:rFonts w:cs="Arial"/>
          <w:szCs w:val="21"/>
        </w:rPr>
      </w:pPr>
      <w:r w:rsidRPr="00867458">
        <w:rPr>
          <w:rFonts w:cs="Arial"/>
          <w:szCs w:val="21"/>
        </w:rPr>
        <w:t>The following billing provisions apply to customer-generators in conjunction with service under applicable Rate Schedules RS, GS-1, GS-3, or LP-4.</w:t>
      </w:r>
    </w:p>
    <w:p w:rsidR="00571C7F" w:rsidRPr="00867458" w:rsidRDefault="00571C7F" w:rsidP="00896D2F">
      <w:pPr>
        <w:adjustRightInd w:val="0"/>
        <w:spacing w:line="240" w:lineRule="auto"/>
        <w:ind w:left="1440" w:right="1440"/>
        <w:rPr>
          <w:rFonts w:cs="Arial"/>
          <w:szCs w:val="21"/>
        </w:rPr>
      </w:pPr>
    </w:p>
    <w:p w:rsidR="00571C7F" w:rsidRPr="00867458" w:rsidRDefault="00571C7F" w:rsidP="00896D2F">
      <w:pPr>
        <w:adjustRightInd w:val="0"/>
        <w:spacing w:line="240" w:lineRule="auto"/>
        <w:ind w:left="1800" w:right="1440" w:hanging="360"/>
      </w:pPr>
      <w:r>
        <w:rPr>
          <w:rFonts w:cs="Arial"/>
          <w:szCs w:val="21"/>
        </w:rPr>
        <w:t>1.</w:t>
      </w:r>
      <w:r>
        <w:rPr>
          <w:rFonts w:cs="Arial"/>
          <w:szCs w:val="21"/>
        </w:rPr>
        <w:tab/>
      </w:r>
      <w:r w:rsidRPr="00867458">
        <w:rPr>
          <w:rFonts w:cs="Arial"/>
          <w:szCs w:val="21"/>
        </w:rPr>
        <w:t xml:space="preserve">The customer-generator will receive a credit for each kilowatt-hour received by the Company up to the total amount of electricity delivered to the Customer by the Company during the billing period at the full retail rate consistent with Commission regulations. </w:t>
      </w:r>
      <w:r w:rsidR="00A45E46">
        <w:rPr>
          <w:rFonts w:cs="Arial"/>
          <w:szCs w:val="21"/>
        </w:rPr>
        <w:t xml:space="preserve"> </w:t>
      </w:r>
      <w:r w:rsidRPr="00867458">
        <w:rPr>
          <w:rFonts w:cs="Arial"/>
          <w:szCs w:val="21"/>
        </w:rPr>
        <w:t xml:space="preserve">If a customer generator supplies more electricity to the Company than the Company delivers to the customer-generator in a given billing period, the excess kilowatt hours shall be carried forward and credited against the customer-generator’s usage in subsequent billing periods at the full retail rate. </w:t>
      </w:r>
      <w:r w:rsidR="00A45E46">
        <w:rPr>
          <w:rFonts w:cs="Arial"/>
          <w:szCs w:val="21"/>
        </w:rPr>
        <w:t xml:space="preserve"> </w:t>
      </w:r>
      <w:r w:rsidRPr="00867458">
        <w:rPr>
          <w:rFonts w:cs="Arial"/>
          <w:szCs w:val="21"/>
        </w:rPr>
        <w:t xml:space="preserve">Any excess kilowatt hours will continue to accumulate until the end of the PJM planning period ending May 31 of each year. </w:t>
      </w:r>
      <w:r w:rsidR="00A45E46">
        <w:rPr>
          <w:rFonts w:cs="Arial"/>
          <w:szCs w:val="21"/>
        </w:rPr>
        <w:t xml:space="preserve"> </w:t>
      </w:r>
      <w:r w:rsidRPr="00867458">
        <w:rPr>
          <w:rFonts w:cs="Arial"/>
          <w:szCs w:val="21"/>
        </w:rPr>
        <w:t xml:space="preserve">On an annual basis consistent with the PJM planning period, the Company will compensate the customer-generator for kilowatt-hours received from the customer-generator in excess of the kilowatt hours delivered by Company to the customer-generator during the preceding year at the Company’s Rate Schedule Price </w:t>
      </w:r>
      <w:proofErr w:type="gramStart"/>
      <w:r w:rsidRPr="00867458">
        <w:rPr>
          <w:rFonts w:cs="Arial"/>
          <w:szCs w:val="21"/>
        </w:rPr>
        <w:t>To</w:t>
      </w:r>
      <w:proofErr w:type="gramEnd"/>
      <w:r w:rsidRPr="00867458">
        <w:rPr>
          <w:rFonts w:cs="Arial"/>
          <w:szCs w:val="21"/>
        </w:rPr>
        <w:t xml:space="preserve"> Compare consistent with Commission regulations. </w:t>
      </w:r>
      <w:r w:rsidR="00A45E46">
        <w:rPr>
          <w:rFonts w:cs="Arial"/>
          <w:szCs w:val="21"/>
        </w:rPr>
        <w:t xml:space="preserve"> </w:t>
      </w:r>
      <w:r w:rsidRPr="00867458">
        <w:rPr>
          <w:rFonts w:cs="Arial"/>
          <w:szCs w:val="21"/>
        </w:rPr>
        <w:t xml:space="preserve">For eligible customer-generators with a TOU rate provision, a weighted average of the on-peak and off-peak hours will be used to derive the Company’s Price </w:t>
      </w:r>
      <w:r w:rsidR="00C028DF">
        <w:rPr>
          <w:rFonts w:cs="Arial"/>
          <w:szCs w:val="21"/>
        </w:rPr>
        <w:t>t</w:t>
      </w:r>
      <w:r w:rsidRPr="00867458">
        <w:rPr>
          <w:rFonts w:cs="Arial"/>
          <w:szCs w:val="21"/>
        </w:rPr>
        <w:t xml:space="preserve">o </w:t>
      </w:r>
      <w:proofErr w:type="gramStart"/>
      <w:r w:rsidRPr="00867458">
        <w:rPr>
          <w:rFonts w:cs="Arial"/>
          <w:szCs w:val="21"/>
        </w:rPr>
        <w:t>Compare</w:t>
      </w:r>
      <w:proofErr w:type="gramEnd"/>
      <w:r w:rsidRPr="00867458">
        <w:rPr>
          <w:rFonts w:cs="Arial"/>
          <w:szCs w:val="21"/>
        </w:rPr>
        <w:t xml:space="preserve"> for that Rate Schedule. </w:t>
      </w:r>
      <w:r w:rsidR="00A45E46">
        <w:rPr>
          <w:rFonts w:cs="Arial"/>
          <w:szCs w:val="21"/>
        </w:rPr>
        <w:t xml:space="preserve"> </w:t>
      </w:r>
      <w:r w:rsidRPr="00867458">
        <w:rPr>
          <w:rFonts w:cs="Arial"/>
          <w:szCs w:val="21"/>
        </w:rPr>
        <w:t>The customer-generator is responsible for the customer charge, demand charge and other applicable charges under the applicable Rate Schedule.</w:t>
      </w:r>
    </w:p>
    <w:p w:rsidR="00571C7F" w:rsidRDefault="00571C7F" w:rsidP="00896D2F">
      <w:pPr>
        <w:spacing w:line="240" w:lineRule="auto"/>
      </w:pPr>
    </w:p>
    <w:p w:rsidR="00896D2F" w:rsidRDefault="00E00DEE" w:rsidP="00896D2F">
      <w:pPr>
        <w:ind w:firstLine="0"/>
      </w:pPr>
      <w:proofErr w:type="gramStart"/>
      <w:r>
        <w:t xml:space="preserve">I.D. at 8; </w:t>
      </w:r>
      <w:r w:rsidR="00ED3D28">
        <w:t xml:space="preserve">PPL </w:t>
      </w:r>
      <w:r>
        <w:t>Answer to Motion</w:t>
      </w:r>
      <w:r w:rsidR="00F11F22">
        <w:t xml:space="preserve"> at 2-3;</w:t>
      </w:r>
      <w:r>
        <w:t xml:space="preserve"> </w:t>
      </w:r>
      <w:r w:rsidR="00ED3D28">
        <w:t xml:space="preserve">DCIDA </w:t>
      </w:r>
      <w:r>
        <w:t>Exc. at 4.</w:t>
      </w:r>
      <w:proofErr w:type="gramEnd"/>
      <w:r>
        <w:t xml:space="preserve"> </w:t>
      </w:r>
    </w:p>
    <w:p w:rsidR="00E00DEE" w:rsidRPr="00867458" w:rsidRDefault="00E00DEE" w:rsidP="00896D2F">
      <w:pPr>
        <w:ind w:firstLine="0"/>
      </w:pPr>
    </w:p>
    <w:p w:rsidR="006859AB" w:rsidRDefault="006859AB" w:rsidP="006859AB">
      <w:r>
        <w:t>The ALJ explained that a</w:t>
      </w:r>
      <w:r w:rsidRPr="00867458">
        <w:t xml:space="preserve">s a tariff, PPL’s net metering provision is part of a set of operating rules imposed by the Commission that each public utility must follow in order to provide service to its customers.  </w:t>
      </w:r>
      <w:proofErr w:type="gramStart"/>
      <w:r>
        <w:t xml:space="preserve">I.D. at 10, </w:t>
      </w:r>
      <w:r w:rsidRPr="000E2011">
        <w:t>citing</w:t>
      </w:r>
      <w:r>
        <w:t xml:space="preserve"> </w:t>
      </w:r>
      <w:r w:rsidRPr="00292614">
        <w:rPr>
          <w:i/>
        </w:rPr>
        <w:t>PPL Electric Utilities Corp. v. Pa. P</w:t>
      </w:r>
      <w:r w:rsidR="00744BCC">
        <w:rPr>
          <w:i/>
        </w:rPr>
        <w:t>UC</w:t>
      </w:r>
      <w:r w:rsidRPr="00867458">
        <w:t>, 912 A.2d 386 (Pa. Cmwlth. 2006).</w:t>
      </w:r>
      <w:proofErr w:type="gramEnd"/>
      <w:r w:rsidRPr="00867458">
        <w:t xml:space="preserve">  </w:t>
      </w:r>
      <w:r>
        <w:t>The ALJ stated that e</w:t>
      </w:r>
      <w:r w:rsidRPr="00867458">
        <w:t xml:space="preserve">ach public utility must file a copy of its tariff with the Commission setting forth its rates, services, rules, </w:t>
      </w:r>
      <w:r w:rsidRPr="00867458">
        <w:lastRenderedPageBreak/>
        <w:t xml:space="preserve">regulations and practices so that the public may inspect its contents.  </w:t>
      </w:r>
      <w:proofErr w:type="gramStart"/>
      <w:r>
        <w:t xml:space="preserve">I.D. at 10, </w:t>
      </w:r>
      <w:r w:rsidRPr="000E2011">
        <w:t>citing</w:t>
      </w:r>
      <w:r>
        <w:t xml:space="preserve"> </w:t>
      </w:r>
      <w:r w:rsidRPr="00867458">
        <w:t xml:space="preserve">66 Pa. C.S. §1302; 52 Pa. Code §53.25; </w:t>
      </w:r>
      <w:r w:rsidRPr="00292614">
        <w:rPr>
          <w:i/>
        </w:rPr>
        <w:t xml:space="preserve">Philadelphia Suburban Water Co. v. Pa. </w:t>
      </w:r>
      <w:r w:rsidR="000E2011">
        <w:rPr>
          <w:i/>
        </w:rPr>
        <w:t>PUC</w:t>
      </w:r>
      <w:r w:rsidRPr="00292614">
        <w:t>,</w:t>
      </w:r>
      <w:r w:rsidRPr="00867458">
        <w:t xml:space="preserve"> 808 A.2d 1044 (Pa. Cmwlth. 2002).</w:t>
      </w:r>
      <w:proofErr w:type="gramEnd"/>
      <w:r w:rsidRPr="00867458">
        <w:t xml:space="preserve">  </w:t>
      </w:r>
      <w:r w:rsidR="00292614">
        <w:t>The ALJ noted that p</w:t>
      </w:r>
      <w:r w:rsidRPr="00867458">
        <w:t>ublic utility tariffs must be applied consistent with their language</w:t>
      </w:r>
      <w:r w:rsidR="00292614">
        <w:t xml:space="preserve"> and p</w:t>
      </w:r>
      <w:r w:rsidRPr="00867458">
        <w:t xml:space="preserve">ublic utility tariffs have the force and effect of law and are binding on the public utility and its customers.  </w:t>
      </w:r>
      <w:proofErr w:type="gramStart"/>
      <w:r w:rsidR="00292614">
        <w:t xml:space="preserve">I.D. at 10, </w:t>
      </w:r>
      <w:r w:rsidR="00292614" w:rsidRPr="000E2011">
        <w:t>citing</w:t>
      </w:r>
      <w:r w:rsidR="00292614" w:rsidRPr="00292614">
        <w:rPr>
          <w:i/>
        </w:rPr>
        <w:t xml:space="preserve"> </w:t>
      </w:r>
      <w:r w:rsidRPr="00292614">
        <w:rPr>
          <w:i/>
        </w:rPr>
        <w:t xml:space="preserve">Pennsylvania Electric Co. v. Pa. </w:t>
      </w:r>
      <w:r w:rsidR="000E2011">
        <w:rPr>
          <w:i/>
        </w:rPr>
        <w:t>PUC</w:t>
      </w:r>
      <w:r w:rsidRPr="00867458">
        <w:t>, 663 A.2d 281 (Pa. Cmwlth. 1995).</w:t>
      </w:r>
      <w:proofErr w:type="gramEnd"/>
      <w:r w:rsidRPr="00867458">
        <w:t xml:space="preserve">  </w:t>
      </w:r>
      <w:r w:rsidR="00292614">
        <w:t>The ALJ also state</w:t>
      </w:r>
      <w:r w:rsidR="000B4DA9">
        <w:t>d</w:t>
      </w:r>
      <w:r w:rsidR="00292614">
        <w:t xml:space="preserve"> that t</w:t>
      </w:r>
      <w:r w:rsidRPr="00867458">
        <w:t xml:space="preserve">he Commission has no authority to allow a public utility to deviate from its tariff even where the Commission concludes it is in the public interest.  </w:t>
      </w:r>
      <w:proofErr w:type="gramStart"/>
      <w:r w:rsidR="00292614">
        <w:t xml:space="preserve">I.D. at 10, </w:t>
      </w:r>
      <w:r w:rsidR="00292614" w:rsidRPr="000E2011">
        <w:t>citing</w:t>
      </w:r>
      <w:r w:rsidR="00292614">
        <w:t xml:space="preserve"> </w:t>
      </w:r>
      <w:r w:rsidRPr="00292614">
        <w:rPr>
          <w:i/>
        </w:rPr>
        <w:t>Philadelphia Suburban Water Co. v. Pa. P</w:t>
      </w:r>
      <w:r w:rsidR="000E2011">
        <w:rPr>
          <w:i/>
        </w:rPr>
        <w:t>UC</w:t>
      </w:r>
      <w:r w:rsidRPr="00867458">
        <w:t>, 808 A.2d 1044 (Pa. Cmwlth. 2002).</w:t>
      </w:r>
      <w:proofErr w:type="gramEnd"/>
      <w:r w:rsidRPr="00867458">
        <w:t xml:space="preserve"> </w:t>
      </w:r>
    </w:p>
    <w:p w:rsidR="004C5F73" w:rsidRDefault="004C5F73" w:rsidP="006859AB"/>
    <w:p w:rsidR="004C5F73" w:rsidRDefault="004C5F73" w:rsidP="004C5F73">
      <w:r>
        <w:t xml:space="preserve">As noted, </w:t>
      </w:r>
      <w:r w:rsidRPr="00292614">
        <w:rPr>
          <w:i/>
        </w:rPr>
        <w:t>supra</w:t>
      </w:r>
      <w:r>
        <w:t xml:space="preserve">, </w:t>
      </w:r>
      <w:r w:rsidRPr="00867458">
        <w:t>the Commission</w:t>
      </w:r>
      <w:r w:rsidR="00960183">
        <w:t>-</w:t>
      </w:r>
      <w:r w:rsidRPr="00867458">
        <w:t xml:space="preserve">approved PPL’s net metering </w:t>
      </w:r>
      <w:r w:rsidR="000138AE">
        <w:t xml:space="preserve">tariff provision </w:t>
      </w:r>
      <w:r w:rsidRPr="00867458">
        <w:t xml:space="preserve">following a fully litigated proceeding </w:t>
      </w:r>
      <w:r>
        <w:t>by Order entered December 28, 2012</w:t>
      </w:r>
      <w:r w:rsidR="0045129D">
        <w:t>,</w:t>
      </w:r>
      <w:r>
        <w:t xml:space="preserve"> at </w:t>
      </w:r>
      <w:r w:rsidRPr="00867458">
        <w:t xml:space="preserve">Docket No. </w:t>
      </w:r>
      <w:proofErr w:type="gramStart"/>
      <w:r w:rsidRPr="00867458">
        <w:t>R-2012-2290597</w:t>
      </w:r>
      <w:r w:rsidR="00253114">
        <w:t xml:space="preserve"> </w:t>
      </w:r>
      <w:r>
        <w:t>(</w:t>
      </w:r>
      <w:r w:rsidRPr="00965DC9">
        <w:rPr>
          <w:i/>
        </w:rPr>
        <w:t>December 20</w:t>
      </w:r>
      <w:r>
        <w:rPr>
          <w:i/>
        </w:rPr>
        <w:t>12</w:t>
      </w:r>
      <w:r w:rsidRPr="00965DC9">
        <w:rPr>
          <w:i/>
        </w:rPr>
        <w:t xml:space="preserve"> </w:t>
      </w:r>
      <w:r w:rsidR="005C4EEA">
        <w:rPr>
          <w:i/>
        </w:rPr>
        <w:t xml:space="preserve">Rate Case </w:t>
      </w:r>
      <w:r w:rsidRPr="00965DC9">
        <w:rPr>
          <w:i/>
        </w:rPr>
        <w:t>Order</w:t>
      </w:r>
      <w:r>
        <w:t>).</w:t>
      </w:r>
      <w:proofErr w:type="gramEnd"/>
      <w:r>
        <w:t xml:space="preserve">  The ALJ reasoned that since n</w:t>
      </w:r>
      <w:r w:rsidRPr="00867458">
        <w:t xml:space="preserve">o party to the proceeding at R-2012-2290597 appealed the portion of the </w:t>
      </w:r>
      <w:r w:rsidRPr="00965DC9">
        <w:rPr>
          <w:i/>
        </w:rPr>
        <w:t xml:space="preserve">December 2012 </w:t>
      </w:r>
      <w:r w:rsidR="005C4EEA">
        <w:rPr>
          <w:i/>
        </w:rPr>
        <w:t xml:space="preserve">Rate Case </w:t>
      </w:r>
      <w:r w:rsidRPr="00965DC9">
        <w:rPr>
          <w:i/>
        </w:rPr>
        <w:t>Order</w:t>
      </w:r>
      <w:r w:rsidRPr="00867458">
        <w:t xml:space="preserve"> approving the tariff</w:t>
      </w:r>
      <w:r>
        <w:t>, PPL’s</w:t>
      </w:r>
      <w:r w:rsidRPr="00867458">
        <w:t xml:space="preserve"> net metering tariff therefore has the force and effect of law and is binding on both PPL and DCIDA.  </w:t>
      </w:r>
      <w:proofErr w:type="gramStart"/>
      <w:r>
        <w:t>I.D. at 11.</w:t>
      </w:r>
      <w:proofErr w:type="gramEnd"/>
      <w:r>
        <w:t xml:space="preserve"> </w:t>
      </w:r>
    </w:p>
    <w:p w:rsidR="00E615C8" w:rsidRPr="00867458" w:rsidRDefault="00E615C8" w:rsidP="004C5F73"/>
    <w:p w:rsidR="004C5F73" w:rsidRPr="00867458" w:rsidRDefault="00292614" w:rsidP="004C5F73">
      <w:r>
        <w:t>The ALJ submitted that t</w:t>
      </w:r>
      <w:r w:rsidR="006859AB" w:rsidRPr="00867458">
        <w:t xml:space="preserve">ariff provisions previously approved by the Commission are </w:t>
      </w:r>
      <w:r w:rsidR="006859AB" w:rsidRPr="00292614">
        <w:rPr>
          <w:i/>
        </w:rPr>
        <w:t>prima facie</w:t>
      </w:r>
      <w:r w:rsidR="006859AB" w:rsidRPr="00867458">
        <w:t xml:space="preserve"> reasonable.  </w:t>
      </w:r>
      <w:proofErr w:type="gramStart"/>
      <w:r>
        <w:t>I.D. at 10,</w:t>
      </w:r>
      <w:r w:rsidRPr="00292614">
        <w:rPr>
          <w:i/>
        </w:rPr>
        <w:t xml:space="preserve"> </w:t>
      </w:r>
      <w:r w:rsidRPr="005C4EEA">
        <w:t>citing</w:t>
      </w:r>
      <w:r w:rsidRPr="00292614">
        <w:rPr>
          <w:i/>
        </w:rPr>
        <w:t xml:space="preserve"> </w:t>
      </w:r>
      <w:proofErr w:type="spellStart"/>
      <w:r w:rsidR="006859AB" w:rsidRPr="00292614">
        <w:rPr>
          <w:i/>
        </w:rPr>
        <w:t>Zucker</w:t>
      </w:r>
      <w:proofErr w:type="spellEnd"/>
      <w:r w:rsidR="006859AB" w:rsidRPr="00292614">
        <w:rPr>
          <w:i/>
        </w:rPr>
        <w:t xml:space="preserve"> v. Pa. </w:t>
      </w:r>
      <w:r w:rsidR="001C11C0">
        <w:rPr>
          <w:i/>
        </w:rPr>
        <w:t>PUC</w:t>
      </w:r>
      <w:r w:rsidR="006859AB" w:rsidRPr="00867458">
        <w:t>, 437 A.2d 1067 (Pa. Cmwlth. 1981).</w:t>
      </w:r>
      <w:proofErr w:type="gramEnd"/>
      <w:r w:rsidR="006859AB" w:rsidRPr="00867458">
        <w:t xml:space="preserve">  </w:t>
      </w:r>
      <w:r>
        <w:t>The ALJ opined that a</w:t>
      </w:r>
      <w:r w:rsidR="006859AB" w:rsidRPr="00867458">
        <w:t xml:space="preserve"> complainant seeking to evade the effect of an existing tariff provision carries a very heavy burden of proving that the facts and circumstances leading to the creation of the tariff provision have changed so drastically as to render the application of the tariff provision unreasonable.  </w:t>
      </w:r>
      <w:proofErr w:type="gramStart"/>
      <w:r>
        <w:t xml:space="preserve">I.D. at 10, </w:t>
      </w:r>
      <w:r w:rsidRPr="000E2011">
        <w:t>citing</w:t>
      </w:r>
      <w:r>
        <w:t xml:space="preserve"> </w:t>
      </w:r>
      <w:proofErr w:type="spellStart"/>
      <w:r w:rsidR="006859AB" w:rsidRPr="00292614">
        <w:rPr>
          <w:i/>
        </w:rPr>
        <w:t>Shenango</w:t>
      </w:r>
      <w:proofErr w:type="spellEnd"/>
      <w:r w:rsidR="006859AB" w:rsidRPr="00292614">
        <w:rPr>
          <w:i/>
        </w:rPr>
        <w:t xml:space="preserve"> Twp. v. Pa. </w:t>
      </w:r>
      <w:r w:rsidR="000E2011">
        <w:rPr>
          <w:i/>
        </w:rPr>
        <w:t>PUC</w:t>
      </w:r>
      <w:r w:rsidR="006859AB" w:rsidRPr="00867458">
        <w:t>, 686 A.2d 910 (Pa. Cmwlth. 1996).</w:t>
      </w:r>
      <w:proofErr w:type="gramEnd"/>
      <w:r w:rsidR="004C5F73">
        <w:t xml:space="preserve">  The ALJ concluded that </w:t>
      </w:r>
      <w:r w:rsidR="004C5F73" w:rsidRPr="00867458">
        <w:t xml:space="preserve">DCIDA has not done this.  </w:t>
      </w:r>
      <w:r w:rsidR="004C5F73">
        <w:t>I.D. at 11</w:t>
      </w:r>
    </w:p>
    <w:p w:rsidR="004C5F73" w:rsidRDefault="004C5F73" w:rsidP="006859AB"/>
    <w:p w:rsidR="006859AB" w:rsidRDefault="00965DC9" w:rsidP="006859AB">
      <w:r>
        <w:t xml:space="preserve">The ALJ </w:t>
      </w:r>
      <w:r w:rsidR="001554CF">
        <w:t>submitted</w:t>
      </w:r>
      <w:r>
        <w:t xml:space="preserve"> that, r</w:t>
      </w:r>
      <w:r w:rsidR="006859AB" w:rsidRPr="00867458">
        <w:t xml:space="preserve">ather than allege facts or circumstances that have changed since the creation of the net metering tariff approved by </w:t>
      </w:r>
      <w:r>
        <w:t xml:space="preserve">the </w:t>
      </w:r>
      <w:r w:rsidRPr="00965DC9">
        <w:rPr>
          <w:i/>
        </w:rPr>
        <w:t xml:space="preserve">December 2012 </w:t>
      </w:r>
      <w:r w:rsidR="005C4EEA">
        <w:rPr>
          <w:i/>
        </w:rPr>
        <w:t xml:space="preserve">Rate </w:t>
      </w:r>
      <w:r w:rsidR="00506CEE">
        <w:rPr>
          <w:i/>
        </w:rPr>
        <w:t xml:space="preserve">Case </w:t>
      </w:r>
      <w:r w:rsidRPr="00965DC9">
        <w:rPr>
          <w:i/>
        </w:rPr>
        <w:t>Order</w:t>
      </w:r>
      <w:r>
        <w:t xml:space="preserve">, </w:t>
      </w:r>
      <w:r w:rsidR="00A642F5">
        <w:t xml:space="preserve">DCIDA’s </w:t>
      </w:r>
      <w:r>
        <w:t>C</w:t>
      </w:r>
      <w:r w:rsidR="006859AB" w:rsidRPr="00867458">
        <w:t xml:space="preserve">omplaint and </w:t>
      </w:r>
      <w:r>
        <w:t>M</w:t>
      </w:r>
      <w:r w:rsidR="006859AB" w:rsidRPr="00867458">
        <w:t xml:space="preserve">otion </w:t>
      </w:r>
      <w:r w:rsidR="00A642F5">
        <w:t>a</w:t>
      </w:r>
      <w:r w:rsidR="006859AB" w:rsidRPr="00867458">
        <w:t>ssert</w:t>
      </w:r>
      <w:r w:rsidR="00A642F5">
        <w:t>ed</w:t>
      </w:r>
      <w:r w:rsidR="006859AB" w:rsidRPr="00867458">
        <w:t xml:space="preserve"> that PPL’s application of the </w:t>
      </w:r>
      <w:r w:rsidR="006859AB" w:rsidRPr="00867458">
        <w:lastRenderedPageBreak/>
        <w:t xml:space="preserve">tariff conflicts with the Commission’s </w:t>
      </w:r>
      <w:r>
        <w:t>R</w:t>
      </w:r>
      <w:r w:rsidR="006859AB" w:rsidRPr="00867458">
        <w:t>egulations</w:t>
      </w:r>
      <w:r w:rsidR="006859AB">
        <w:t xml:space="preserve"> implementing the AEPS Act, and the AEPS Act itself by failing to compensate DCIDA for the full retail value of the energy it has produced. </w:t>
      </w:r>
      <w:r w:rsidR="006859AB" w:rsidRPr="00867458">
        <w:t xml:space="preserve"> </w:t>
      </w:r>
      <w:proofErr w:type="gramStart"/>
      <w:r w:rsidR="001554CF">
        <w:t>I.D. at 11.</w:t>
      </w:r>
      <w:proofErr w:type="gramEnd"/>
      <w:r w:rsidR="001554CF">
        <w:t xml:space="preserve"> </w:t>
      </w:r>
    </w:p>
    <w:p w:rsidR="006859AB" w:rsidRDefault="006859AB" w:rsidP="006859AB"/>
    <w:p w:rsidR="006859AB" w:rsidRDefault="001554CF" w:rsidP="006859AB">
      <w:r>
        <w:t>The ALJ stated that, a</w:t>
      </w:r>
      <w:r w:rsidR="006859AB" w:rsidRPr="00867458">
        <w:t xml:space="preserve">ccording to DCIDA, PPL’s calculation of </w:t>
      </w:r>
      <w:r w:rsidR="006859AB">
        <w:t>DCIDA’s</w:t>
      </w:r>
      <w:r w:rsidR="006859AB" w:rsidRPr="00867458">
        <w:t xml:space="preserve"> </w:t>
      </w:r>
      <w:r w:rsidR="006859AB">
        <w:t xml:space="preserve">compensation using a weighted average </w:t>
      </w:r>
      <w:r w:rsidR="006859AB" w:rsidRPr="00867458">
        <w:t xml:space="preserve">does not accurately reflect the conditions at DCIDA’s solar farm since the solar farm only generates electricity during daylight hours.   </w:t>
      </w:r>
      <w:proofErr w:type="gramStart"/>
      <w:r>
        <w:t>I.D. at 11.</w:t>
      </w:r>
      <w:proofErr w:type="gramEnd"/>
      <w:r>
        <w:t xml:space="preserve"> </w:t>
      </w:r>
      <w:r w:rsidR="004C5F73">
        <w:t xml:space="preserve"> </w:t>
      </w:r>
      <w:r>
        <w:t xml:space="preserve">The ALJ observed that </w:t>
      </w:r>
      <w:r w:rsidR="006859AB" w:rsidRPr="00867458">
        <w:t xml:space="preserve">DCIDA raised these same arguments in the proceeding </w:t>
      </w:r>
      <w:r w:rsidR="00BE7B51">
        <w:t xml:space="preserve">that addressed PPL’s </w:t>
      </w:r>
      <w:r w:rsidR="006859AB" w:rsidRPr="00BE7B51">
        <w:t>Petition for Approval of a New Pilot Time-of-Use Program</w:t>
      </w:r>
      <w:r w:rsidR="00BE7B51">
        <w:rPr>
          <w:i/>
        </w:rPr>
        <w:t>.</w:t>
      </w:r>
      <w:r w:rsidR="006859AB" w:rsidRPr="00867458">
        <w:t xml:space="preserve">  </w:t>
      </w:r>
      <w:r>
        <w:t xml:space="preserve">The ALJ </w:t>
      </w:r>
      <w:r w:rsidR="00FE45EC">
        <w:t xml:space="preserve">submitted </w:t>
      </w:r>
      <w:r>
        <w:t>that s</w:t>
      </w:r>
      <w:r w:rsidR="006859AB" w:rsidRPr="00867458">
        <w:t>ince PPL’s net metering tariff was not before the Commission</w:t>
      </w:r>
      <w:r w:rsidR="001C11C0">
        <w:t xml:space="preserve"> in that proceeding</w:t>
      </w:r>
      <w:r w:rsidR="006859AB" w:rsidRPr="00867458">
        <w:t xml:space="preserve">, the Commission declined to address DCIDA’s arguments.  </w:t>
      </w:r>
      <w:proofErr w:type="gramStart"/>
      <w:r>
        <w:t xml:space="preserve">I.D. at 11-12, </w:t>
      </w:r>
      <w:r w:rsidRPr="000E2011">
        <w:t>citing</w:t>
      </w:r>
      <w:r>
        <w:t xml:space="preserve"> </w:t>
      </w:r>
      <w:r w:rsidR="00BE7B51" w:rsidRPr="001330C7">
        <w:rPr>
          <w:rFonts w:eastAsiaTheme="minorHAnsi"/>
          <w:i/>
        </w:rPr>
        <w:t xml:space="preserve">September 2014 </w:t>
      </w:r>
      <w:r w:rsidR="00506CEE">
        <w:rPr>
          <w:rFonts w:eastAsiaTheme="minorHAnsi"/>
          <w:i/>
        </w:rPr>
        <w:t xml:space="preserve">TOU </w:t>
      </w:r>
      <w:r w:rsidR="00BE7B51" w:rsidRPr="001330C7">
        <w:rPr>
          <w:rFonts w:eastAsiaTheme="minorHAnsi"/>
          <w:i/>
        </w:rPr>
        <w:t>Order</w:t>
      </w:r>
      <w:r w:rsidR="00BE7B51" w:rsidRPr="001554CF">
        <w:rPr>
          <w:i/>
        </w:rPr>
        <w:t xml:space="preserve"> </w:t>
      </w:r>
      <w:r>
        <w:t>at</w:t>
      </w:r>
      <w:r w:rsidR="006859AB" w:rsidRPr="00867458">
        <w:t xml:space="preserve"> 55.</w:t>
      </w:r>
      <w:proofErr w:type="gramEnd"/>
      <w:r w:rsidR="006859AB" w:rsidRPr="00867458">
        <w:t xml:space="preserve">  </w:t>
      </w:r>
      <w:r w:rsidR="00FE45EC">
        <w:t xml:space="preserve">The ALJ pointed out that </w:t>
      </w:r>
      <w:r w:rsidR="006859AB" w:rsidRPr="00867458">
        <w:t xml:space="preserve">the Commission did note that a TOU rate is primarily meant to affect a customer’s consumption of power, not a customer-generator’s production of power.  </w:t>
      </w:r>
      <w:proofErr w:type="gramStart"/>
      <w:r>
        <w:t xml:space="preserve">I.D. at 12, </w:t>
      </w:r>
      <w:r w:rsidRPr="000E2011">
        <w:t>citing</w:t>
      </w:r>
      <w:r>
        <w:t xml:space="preserve"> </w:t>
      </w:r>
      <w:r w:rsidR="00BE7B51" w:rsidRPr="001330C7">
        <w:rPr>
          <w:rFonts w:eastAsiaTheme="minorHAnsi"/>
          <w:i/>
        </w:rPr>
        <w:t xml:space="preserve">September 2014 </w:t>
      </w:r>
      <w:r w:rsidR="00506CEE">
        <w:rPr>
          <w:rFonts w:eastAsiaTheme="minorHAnsi"/>
          <w:i/>
        </w:rPr>
        <w:t xml:space="preserve">TOU </w:t>
      </w:r>
      <w:r w:rsidR="00BE7B51" w:rsidRPr="001330C7">
        <w:rPr>
          <w:rFonts w:eastAsiaTheme="minorHAnsi"/>
          <w:i/>
        </w:rPr>
        <w:t>Order</w:t>
      </w:r>
      <w:r w:rsidR="00BE7B51" w:rsidRPr="001554CF">
        <w:rPr>
          <w:i/>
        </w:rPr>
        <w:t xml:space="preserve"> </w:t>
      </w:r>
      <w:r w:rsidRPr="001554CF">
        <w:t>at</w:t>
      </w:r>
      <w:r w:rsidR="001C11C0">
        <w:t> </w:t>
      </w:r>
      <w:r w:rsidR="006859AB" w:rsidRPr="001554CF">
        <w:t>51</w:t>
      </w:r>
      <w:r w:rsidR="006859AB" w:rsidRPr="00867458">
        <w:t>.</w:t>
      </w:r>
      <w:proofErr w:type="gramEnd"/>
      <w:r w:rsidR="006859AB" w:rsidRPr="00867458">
        <w:t xml:space="preserve">  </w:t>
      </w:r>
    </w:p>
    <w:p w:rsidR="006859AB" w:rsidRDefault="006859AB" w:rsidP="006859AB"/>
    <w:p w:rsidR="006859AB" w:rsidRDefault="00FE45EC" w:rsidP="006859AB">
      <w:r>
        <w:t>The ALJ opined that</w:t>
      </w:r>
      <w:r w:rsidR="00C028DF">
        <w:t>,</w:t>
      </w:r>
      <w:r>
        <w:t xml:space="preserve"> </w:t>
      </w:r>
      <w:r w:rsidR="00C028DF">
        <w:t xml:space="preserve">based on </w:t>
      </w:r>
      <w:r w:rsidR="006859AB">
        <w:t xml:space="preserve">the Commission’s comment in the </w:t>
      </w:r>
      <w:r w:rsidR="00BE7B51" w:rsidRPr="001330C7">
        <w:rPr>
          <w:rFonts w:eastAsiaTheme="minorHAnsi"/>
          <w:i/>
        </w:rPr>
        <w:t xml:space="preserve">September 2014 </w:t>
      </w:r>
      <w:r w:rsidR="00506CEE">
        <w:rPr>
          <w:rFonts w:eastAsiaTheme="minorHAnsi"/>
          <w:i/>
        </w:rPr>
        <w:t xml:space="preserve">TOU </w:t>
      </w:r>
      <w:r w:rsidR="00BE7B51" w:rsidRPr="001330C7">
        <w:rPr>
          <w:rFonts w:eastAsiaTheme="minorHAnsi"/>
          <w:i/>
        </w:rPr>
        <w:t>Order</w:t>
      </w:r>
      <w:r w:rsidR="00BE7B51" w:rsidRPr="00FE45EC">
        <w:rPr>
          <w:i/>
        </w:rPr>
        <w:t xml:space="preserve"> </w:t>
      </w:r>
      <w:r w:rsidR="00C028DF">
        <w:t xml:space="preserve">and the Commission’s approval of </w:t>
      </w:r>
      <w:r w:rsidR="006859AB">
        <w:t xml:space="preserve">PPL’s net metering proposal in the </w:t>
      </w:r>
      <w:r w:rsidR="00F47246" w:rsidRPr="00F47246">
        <w:rPr>
          <w:i/>
        </w:rPr>
        <w:t xml:space="preserve">December 2012 </w:t>
      </w:r>
      <w:r w:rsidR="00506CEE">
        <w:rPr>
          <w:i/>
        </w:rPr>
        <w:t xml:space="preserve">Rate Case </w:t>
      </w:r>
      <w:r w:rsidR="00F47246" w:rsidRPr="00F47246">
        <w:rPr>
          <w:i/>
        </w:rPr>
        <w:t>Order</w:t>
      </w:r>
      <w:r w:rsidR="00C028DF">
        <w:rPr>
          <w:i/>
        </w:rPr>
        <w:t>,</w:t>
      </w:r>
      <w:r w:rsidR="006859AB">
        <w:t xml:space="preserve"> </w:t>
      </w:r>
      <w:r w:rsidR="00C028DF">
        <w:t xml:space="preserve">which </w:t>
      </w:r>
      <w:r w:rsidR="006859AB">
        <w:t>direct</w:t>
      </w:r>
      <w:r w:rsidR="00C028DF">
        <w:t>ed</w:t>
      </w:r>
      <w:r w:rsidR="006859AB">
        <w:t xml:space="preserve"> PPL to use a weighted average for TOU customers, </w:t>
      </w:r>
      <w:r w:rsidR="00C028DF">
        <w:t>it appears that the Commission “</w:t>
      </w:r>
      <w:r w:rsidR="006859AB">
        <w:t>balanced the competing goals of demand reduction and adequate alternative energy generator compensation to arrive at a determination that furthered both.</w:t>
      </w:r>
      <w:r w:rsidR="00C028DF">
        <w:t xml:space="preserve">” </w:t>
      </w:r>
      <w:proofErr w:type="gramStart"/>
      <w:r w:rsidR="00C028DF">
        <w:t>I.D. at 12.</w:t>
      </w:r>
      <w:proofErr w:type="gramEnd"/>
      <w:r w:rsidR="00C028DF">
        <w:t xml:space="preserve"> </w:t>
      </w:r>
      <w:r w:rsidR="006859AB">
        <w:t xml:space="preserve"> </w:t>
      </w:r>
      <w:r w:rsidR="00F47246">
        <w:t xml:space="preserve">The ALJ stated that </w:t>
      </w:r>
      <w:r w:rsidR="006859AB">
        <w:t>DCIDA has not alleged any change of circumstances since the</w:t>
      </w:r>
      <w:r w:rsidR="006859AB" w:rsidRPr="00867458">
        <w:t xml:space="preserve"> </w:t>
      </w:r>
      <w:r w:rsidR="006859AB" w:rsidRPr="00C028DF">
        <w:rPr>
          <w:i/>
        </w:rPr>
        <w:t xml:space="preserve">December 2012 </w:t>
      </w:r>
      <w:r w:rsidR="00506CEE">
        <w:rPr>
          <w:i/>
        </w:rPr>
        <w:t xml:space="preserve">Rate Case </w:t>
      </w:r>
      <w:r w:rsidR="006859AB" w:rsidRPr="00C028DF">
        <w:rPr>
          <w:i/>
        </w:rPr>
        <w:t>Order</w:t>
      </w:r>
      <w:r w:rsidR="006859AB">
        <w:t xml:space="preserve"> that would render the Commission’s approval of the net metering tariff unreasonable.  </w:t>
      </w:r>
      <w:r w:rsidR="00C028DF">
        <w:t>The ALJ concluded that s</w:t>
      </w:r>
      <w:r w:rsidR="006859AB" w:rsidRPr="00867458">
        <w:t xml:space="preserve">ince </w:t>
      </w:r>
      <w:r w:rsidR="006859AB">
        <w:t xml:space="preserve">the </w:t>
      </w:r>
      <w:r w:rsidR="006859AB" w:rsidRPr="00C028DF">
        <w:rPr>
          <w:i/>
        </w:rPr>
        <w:t xml:space="preserve">Commission’s December 2012 </w:t>
      </w:r>
      <w:r w:rsidR="00506CEE">
        <w:rPr>
          <w:i/>
        </w:rPr>
        <w:t xml:space="preserve">Rate Case </w:t>
      </w:r>
      <w:r w:rsidR="006859AB" w:rsidRPr="00C028DF">
        <w:rPr>
          <w:i/>
        </w:rPr>
        <w:t>Order</w:t>
      </w:r>
      <w:r w:rsidR="006859AB">
        <w:t xml:space="preserve"> balanced the competing goals of demand reduction and adequate alternative energy generator compensation in approving PPL’s net metering tariff provision, </w:t>
      </w:r>
      <w:r w:rsidR="006859AB" w:rsidRPr="00867458">
        <w:t>it is difficult to see how P</w:t>
      </w:r>
      <w:r w:rsidR="006859AB">
        <w:t>P</w:t>
      </w:r>
      <w:r w:rsidR="006859AB" w:rsidRPr="00867458">
        <w:t xml:space="preserve">L’s application of the tariff conflicts with the </w:t>
      </w:r>
      <w:r w:rsidR="00A80DF9">
        <w:t>Commission’s R</w:t>
      </w:r>
      <w:r w:rsidR="006859AB" w:rsidRPr="00867458">
        <w:t xml:space="preserve">egulations </w:t>
      </w:r>
      <w:r w:rsidR="006859AB">
        <w:t xml:space="preserve">or the AEPS </w:t>
      </w:r>
      <w:r w:rsidR="006859AB">
        <w:lastRenderedPageBreak/>
        <w:t>Act</w:t>
      </w:r>
      <w:r w:rsidR="006859AB" w:rsidRPr="00867458">
        <w:t xml:space="preserve"> simply because it fails to compensate DCIDA at the maximum amount possible.</w:t>
      </w:r>
      <w:r w:rsidR="006859AB">
        <w:t xml:space="preserve">  </w:t>
      </w:r>
      <w:proofErr w:type="gramStart"/>
      <w:r w:rsidR="00BE7B51">
        <w:t>I</w:t>
      </w:r>
      <w:r w:rsidR="00A80DF9">
        <w:t>.D. at 12.</w:t>
      </w:r>
      <w:proofErr w:type="gramEnd"/>
      <w:r w:rsidR="00A80DF9">
        <w:t xml:space="preserve"> </w:t>
      </w:r>
      <w:r w:rsidR="006859AB" w:rsidRPr="00867458">
        <w:t xml:space="preserve"> </w:t>
      </w:r>
    </w:p>
    <w:p w:rsidR="006859AB" w:rsidRDefault="006859AB" w:rsidP="006859AB"/>
    <w:p w:rsidR="006859AB" w:rsidRPr="00867458" w:rsidRDefault="00A80DF9" w:rsidP="006859AB">
      <w:r>
        <w:t xml:space="preserve">The ALJ submitted that, </w:t>
      </w:r>
      <w:r w:rsidR="001C11C0">
        <w:t>because</w:t>
      </w:r>
      <w:r w:rsidR="001C11C0" w:rsidRPr="00867458">
        <w:t xml:space="preserve"> </w:t>
      </w:r>
      <w:r w:rsidR="006859AB" w:rsidRPr="00867458">
        <w:t xml:space="preserve">the </w:t>
      </w:r>
      <w:r>
        <w:t>C</w:t>
      </w:r>
      <w:r w:rsidR="006859AB" w:rsidRPr="00867458">
        <w:t>omplaint fails to allege any change in circumstances</w:t>
      </w:r>
      <w:r w:rsidR="00314811" w:rsidRPr="00314811">
        <w:t xml:space="preserve"> </w:t>
      </w:r>
      <w:r w:rsidR="00314811" w:rsidRPr="00867458">
        <w:t xml:space="preserve">since the </w:t>
      </w:r>
      <w:r w:rsidR="00314811">
        <w:t xml:space="preserve">Commission’s </w:t>
      </w:r>
      <w:r w:rsidR="00314811" w:rsidRPr="00867458">
        <w:t>approval of the net metering tariff</w:t>
      </w:r>
      <w:r w:rsidR="006859AB" w:rsidRPr="00867458">
        <w:t xml:space="preserve">, a hearing is not necessary to allow DCIDA the opportunity to present evidence that application of the tariff provision in this case is unreasonable.  </w:t>
      </w:r>
      <w:r>
        <w:t>The ALJ opined that i</w:t>
      </w:r>
      <w:r w:rsidR="006859AB" w:rsidRPr="00867458">
        <w:t>n these circumstances, giving DCIDA the opportunity to explain its position at a hearing would be a fruitless exercise.</w:t>
      </w:r>
      <w:r>
        <w:t xml:space="preserve">  </w:t>
      </w:r>
      <w:proofErr w:type="gramStart"/>
      <w:r>
        <w:t>I.D. at 12.</w:t>
      </w:r>
      <w:proofErr w:type="gramEnd"/>
      <w:r>
        <w:t xml:space="preserve"> </w:t>
      </w:r>
    </w:p>
    <w:p w:rsidR="006859AB" w:rsidRPr="00867458" w:rsidRDefault="006859AB" w:rsidP="006859AB"/>
    <w:p w:rsidR="006859AB" w:rsidRDefault="00A80DF9" w:rsidP="006859AB">
      <w:r>
        <w:t>The ALJ concluded that s</w:t>
      </w:r>
      <w:r w:rsidR="006859AB" w:rsidRPr="00867458">
        <w:t>ince there are no material facts in dispute</w:t>
      </w:r>
      <w:r>
        <w:t>,</w:t>
      </w:r>
      <w:r w:rsidR="006859AB" w:rsidRPr="00867458">
        <w:t xml:space="preserve"> PPL is entitled to judgment as a matter of law</w:t>
      </w:r>
      <w:r>
        <w:t>.  Accordingly, the ALJ recommended that</w:t>
      </w:r>
      <w:r w:rsidR="00454296">
        <w:t xml:space="preserve"> PPL’s Cross Motion be granted and that DCIDA’s Complaint and Motion be denied.  </w:t>
      </w:r>
      <w:proofErr w:type="gramStart"/>
      <w:r w:rsidR="00454296">
        <w:t>I.D. at</w:t>
      </w:r>
      <w:r w:rsidR="00D32E9C">
        <w:t> </w:t>
      </w:r>
      <w:r w:rsidR="00454296">
        <w:t>12</w:t>
      </w:r>
      <w:r w:rsidR="00D32E9C">
        <w:noBreakHyphen/>
      </w:r>
      <w:r w:rsidR="00454296">
        <w:t>13.</w:t>
      </w:r>
      <w:proofErr w:type="gramEnd"/>
      <w:r w:rsidR="00454296">
        <w:t xml:space="preserve"> </w:t>
      </w:r>
    </w:p>
    <w:p w:rsidR="00314811" w:rsidRDefault="00314811" w:rsidP="006859AB"/>
    <w:p w:rsidR="00454296" w:rsidRDefault="00454296" w:rsidP="00D32E9C">
      <w:pPr>
        <w:pStyle w:val="Heading2"/>
      </w:pPr>
      <w:r>
        <w:t>Exceptions</w:t>
      </w:r>
      <w:r w:rsidR="00382558">
        <w:t xml:space="preserve"> and Replies</w:t>
      </w:r>
    </w:p>
    <w:p w:rsidR="007C7031" w:rsidRDefault="007C7031" w:rsidP="00D32E9C">
      <w:pPr>
        <w:keepNext/>
        <w:keepLines/>
      </w:pPr>
    </w:p>
    <w:p w:rsidR="007C7031" w:rsidRDefault="007C7031" w:rsidP="007C7031">
      <w:pPr>
        <w:tabs>
          <w:tab w:val="left" w:pos="204"/>
        </w:tabs>
        <w:rPr>
          <w:szCs w:val="26"/>
        </w:rPr>
      </w:pPr>
      <w:r>
        <w:rPr>
          <w:szCs w:val="26"/>
        </w:rPr>
        <w:t>As a preliminary matter, w</w:t>
      </w:r>
      <w:r w:rsidRPr="006D2CCB">
        <w:rPr>
          <w:szCs w:val="26"/>
        </w:rPr>
        <w:t>e</w:t>
      </w:r>
      <w:r>
        <w:rPr>
          <w:szCs w:val="26"/>
        </w:rPr>
        <w:t xml:space="preserve"> </w:t>
      </w:r>
      <w:r w:rsidRPr="006D2CCB">
        <w:rPr>
          <w:szCs w:val="26"/>
        </w:rPr>
        <w:t xml:space="preserve">note that any issue or </w:t>
      </w:r>
      <w:r>
        <w:rPr>
          <w:szCs w:val="26"/>
        </w:rPr>
        <w:t>e</w:t>
      </w:r>
      <w:r w:rsidRPr="006D2CCB">
        <w:rPr>
          <w:szCs w:val="26"/>
        </w:rPr>
        <w:t xml:space="preserve">xception, which we do not specifically address herein, has been duly considered and will be denied without further discussion.  It is well settled that we are not required to consider expressly or at length each contention or argument raised by the parties.  </w:t>
      </w:r>
      <w:r w:rsidRPr="006D2CCB">
        <w:rPr>
          <w:i/>
          <w:iCs/>
          <w:szCs w:val="26"/>
        </w:rPr>
        <w:t>Wheeling &amp; Lake Erie Railway Co. v. Pa. PUC</w:t>
      </w:r>
      <w:r w:rsidRPr="006D2CCB">
        <w:rPr>
          <w:szCs w:val="26"/>
        </w:rPr>
        <w:t>, 778 A.2d 785, 794 (Pa. Cmwlth. 2001)</w:t>
      </w:r>
      <w:r w:rsidRPr="006D2CCB">
        <w:rPr>
          <w:i/>
          <w:iCs/>
          <w:szCs w:val="26"/>
        </w:rPr>
        <w:t xml:space="preserve">, </w:t>
      </w:r>
      <w:r w:rsidRPr="00673586">
        <w:rPr>
          <w:i/>
          <w:szCs w:val="26"/>
        </w:rPr>
        <w:t>also</w:t>
      </w:r>
      <w:r w:rsidRPr="006D2CCB">
        <w:rPr>
          <w:szCs w:val="26"/>
        </w:rPr>
        <w:t xml:space="preserve"> </w:t>
      </w:r>
      <w:r w:rsidRPr="006D2CCB">
        <w:rPr>
          <w:i/>
          <w:iCs/>
          <w:szCs w:val="26"/>
        </w:rPr>
        <w:t>see, generally, University of Pennsylvania v. Pa. PUC</w:t>
      </w:r>
      <w:r w:rsidRPr="006D2CCB">
        <w:rPr>
          <w:szCs w:val="26"/>
        </w:rPr>
        <w:t>, 485 A.2d 1217 (Pa. Cmwlth. 1984).</w:t>
      </w:r>
    </w:p>
    <w:p w:rsidR="007C7031" w:rsidRPr="007C7031" w:rsidRDefault="007C7031" w:rsidP="007C7031"/>
    <w:p w:rsidR="001F58C5" w:rsidRDefault="001C58EE" w:rsidP="00D32E9C">
      <w:pPr>
        <w:pStyle w:val="Heading3"/>
      </w:pPr>
      <w:r>
        <w:t>Application of PPL’s Tariff</w:t>
      </w:r>
    </w:p>
    <w:p w:rsidR="006859AB" w:rsidRDefault="006859AB" w:rsidP="00D32E9C">
      <w:pPr>
        <w:pStyle w:val="ParaTab1"/>
        <w:keepNext/>
        <w:keepLines/>
        <w:spacing w:line="360" w:lineRule="auto"/>
        <w:ind w:firstLine="0"/>
        <w:jc w:val="center"/>
        <w:rPr>
          <w:rFonts w:ascii="Times New Roman" w:hAnsi="Times New Roman" w:cs="Times New Roman"/>
          <w:u w:val="single"/>
        </w:rPr>
      </w:pPr>
    </w:p>
    <w:p w:rsidR="00644AA6" w:rsidRDefault="00870FD2" w:rsidP="00870FD2">
      <w:r>
        <w:t xml:space="preserve">In its first Exception, DCIDA argues that “the Initial Decision improperly concludes that PPL properly compensated the DCIDA in accordance with its tariff.”  </w:t>
      </w:r>
      <w:r w:rsidR="00744BCC">
        <w:t xml:space="preserve">DCIDA </w:t>
      </w:r>
      <w:r>
        <w:t xml:space="preserve">Exc. at 4.  In its third Exception, DCIDA avers that the Initial Decision lacks any </w:t>
      </w:r>
      <w:r>
        <w:lastRenderedPageBreak/>
        <w:t xml:space="preserve">discussion on whether PPL’s newly-developed interpretation and application of its tariff is consistent with the AEPS Act, the Commission’s Regulations and Commission precedent.  </w:t>
      </w:r>
      <w:proofErr w:type="gramStart"/>
      <w:r w:rsidRPr="00870FD2">
        <w:rPr>
          <w:i/>
        </w:rPr>
        <w:t>Id.</w:t>
      </w:r>
      <w:r>
        <w:t xml:space="preserve"> at 11.</w:t>
      </w:r>
      <w:proofErr w:type="gramEnd"/>
      <w:r>
        <w:t xml:space="preserve"> </w:t>
      </w:r>
    </w:p>
    <w:p w:rsidR="00870FD2" w:rsidRDefault="00870FD2" w:rsidP="00870FD2"/>
    <w:p w:rsidR="00870FD2" w:rsidRDefault="00C631DB" w:rsidP="00870FD2">
      <w:pPr>
        <w:rPr>
          <w:szCs w:val="26"/>
        </w:rPr>
      </w:pPr>
      <w:r>
        <w:t xml:space="preserve">DCIDA submits that in seeking approval for its </w:t>
      </w:r>
      <w:r>
        <w:rPr>
          <w:szCs w:val="26"/>
        </w:rPr>
        <w:t>Net Metering for Renewable Customer-Generators tariff provision</w:t>
      </w:r>
      <w:r w:rsidR="001C11C0">
        <w:rPr>
          <w:szCs w:val="26"/>
        </w:rPr>
        <w:t xml:space="preserve"> in the 2012 </w:t>
      </w:r>
      <w:r w:rsidR="00C4551F">
        <w:rPr>
          <w:szCs w:val="26"/>
        </w:rPr>
        <w:t>R</w:t>
      </w:r>
      <w:r w:rsidR="001C11C0">
        <w:rPr>
          <w:szCs w:val="26"/>
        </w:rPr>
        <w:t xml:space="preserve">ate </w:t>
      </w:r>
      <w:r w:rsidR="00C4551F">
        <w:rPr>
          <w:szCs w:val="26"/>
        </w:rPr>
        <w:t>Proceeding</w:t>
      </w:r>
      <w:r>
        <w:rPr>
          <w:szCs w:val="26"/>
        </w:rPr>
        <w:t xml:space="preserve">, PPL represented to the parties </w:t>
      </w:r>
      <w:r w:rsidR="001C11C0">
        <w:rPr>
          <w:szCs w:val="26"/>
        </w:rPr>
        <w:t xml:space="preserve">to that proceeding </w:t>
      </w:r>
      <w:r>
        <w:rPr>
          <w:szCs w:val="26"/>
        </w:rPr>
        <w:t xml:space="preserve">and the Commission that its net metering proposal “helps </w:t>
      </w:r>
      <w:r w:rsidR="00DB05A2">
        <w:rPr>
          <w:szCs w:val="26"/>
        </w:rPr>
        <w:t>to</w:t>
      </w:r>
      <w:r>
        <w:rPr>
          <w:szCs w:val="26"/>
        </w:rPr>
        <w:t xml:space="preserve"> ensure that compensation for excess generation by TOU customer-</w:t>
      </w:r>
      <w:r w:rsidRPr="00BE7B51">
        <w:rPr>
          <w:szCs w:val="26"/>
        </w:rPr>
        <w:t>generators</w:t>
      </w:r>
      <w:r w:rsidRPr="002A0B4D">
        <w:rPr>
          <w:i/>
          <w:szCs w:val="26"/>
        </w:rPr>
        <w:t xml:space="preserve"> more closely reflects their actual on-peak and off-peak generation</w:t>
      </w:r>
      <w:r>
        <w:rPr>
          <w:szCs w:val="26"/>
        </w:rPr>
        <w:t xml:space="preserve">.”  </w:t>
      </w:r>
      <w:proofErr w:type="gramStart"/>
      <w:r w:rsidR="00744BCC">
        <w:rPr>
          <w:szCs w:val="26"/>
        </w:rPr>
        <w:t xml:space="preserve">DCIDA </w:t>
      </w:r>
      <w:r>
        <w:rPr>
          <w:szCs w:val="26"/>
        </w:rPr>
        <w:t xml:space="preserve">Exc. at 4-5, </w:t>
      </w:r>
      <w:r w:rsidRPr="00673586">
        <w:rPr>
          <w:szCs w:val="26"/>
        </w:rPr>
        <w:t>citing</w:t>
      </w:r>
      <w:r>
        <w:rPr>
          <w:szCs w:val="26"/>
        </w:rPr>
        <w:t xml:space="preserve"> PPL Main Brief </w:t>
      </w:r>
      <w:r w:rsidR="002A0B4D">
        <w:rPr>
          <w:szCs w:val="26"/>
        </w:rPr>
        <w:t xml:space="preserve">in the 2012 Rate Proceeding </w:t>
      </w:r>
      <w:r>
        <w:rPr>
          <w:szCs w:val="26"/>
        </w:rPr>
        <w:t>at 182</w:t>
      </w:r>
      <w:r w:rsidR="002A0B4D">
        <w:rPr>
          <w:szCs w:val="26"/>
        </w:rPr>
        <w:t xml:space="preserve"> (emphasis supplied).</w:t>
      </w:r>
      <w:proofErr w:type="gramEnd"/>
      <w:r w:rsidR="002A0B4D">
        <w:rPr>
          <w:szCs w:val="26"/>
        </w:rPr>
        <w:t xml:space="preserve"> </w:t>
      </w:r>
      <w:r>
        <w:rPr>
          <w:szCs w:val="26"/>
        </w:rPr>
        <w:t xml:space="preserve"> </w:t>
      </w:r>
      <w:r w:rsidR="002A0B4D">
        <w:rPr>
          <w:szCs w:val="26"/>
        </w:rPr>
        <w:t xml:space="preserve">DCIDA opines that the net metering tariff provision was intended to accurately represent the value </w:t>
      </w:r>
      <w:r w:rsidR="006D1127">
        <w:rPr>
          <w:szCs w:val="26"/>
        </w:rPr>
        <w:t>of the kWh based on the actual time that electric energy was delivered by a TOU customer</w:t>
      </w:r>
      <w:r w:rsidR="00C4551F">
        <w:rPr>
          <w:szCs w:val="26"/>
        </w:rPr>
        <w:t>-</w:t>
      </w:r>
      <w:r w:rsidR="006D1127">
        <w:rPr>
          <w:szCs w:val="26"/>
        </w:rPr>
        <w:t xml:space="preserve">generator to PPL.  </w:t>
      </w:r>
      <w:r w:rsidR="00744BCC">
        <w:rPr>
          <w:szCs w:val="26"/>
        </w:rPr>
        <w:t xml:space="preserve">DCIDA </w:t>
      </w:r>
      <w:r w:rsidR="006D1127">
        <w:rPr>
          <w:szCs w:val="26"/>
        </w:rPr>
        <w:t xml:space="preserve">Exc. at 5. </w:t>
      </w:r>
    </w:p>
    <w:p w:rsidR="006D1127" w:rsidRDefault="006D1127" w:rsidP="00870FD2">
      <w:pPr>
        <w:rPr>
          <w:szCs w:val="26"/>
        </w:rPr>
      </w:pPr>
    </w:p>
    <w:p w:rsidR="006D1127" w:rsidRDefault="006D1127" w:rsidP="00870FD2">
      <w:pPr>
        <w:rPr>
          <w:szCs w:val="26"/>
        </w:rPr>
      </w:pPr>
      <w:r>
        <w:rPr>
          <w:szCs w:val="26"/>
        </w:rPr>
        <w:t xml:space="preserve">DCIDA argues that PPL changed its explanation and interpretation of the tariff provision after it was approved by the Commission.  DCIDA points out that for the time period between June 1, 2013 and May 31, 2014, PPL applied its tariff provision in a way that </w:t>
      </w:r>
      <w:r w:rsidR="00C4551F">
        <w:rPr>
          <w:szCs w:val="26"/>
        </w:rPr>
        <w:t xml:space="preserve">bore </w:t>
      </w:r>
      <w:r>
        <w:rPr>
          <w:szCs w:val="26"/>
        </w:rPr>
        <w:t xml:space="preserve">no relationship to the actual usage of generation of a TOU customer.  DCIDA avers that PPL abandoned its “weighted average” approach and instead applied a “simple average” of the TOU prices for each hour in a yearly period.  </w:t>
      </w:r>
      <w:r w:rsidR="002B3C34">
        <w:rPr>
          <w:szCs w:val="26"/>
        </w:rPr>
        <w:t xml:space="preserve">DCIDA </w:t>
      </w:r>
      <w:r w:rsidR="000411E0">
        <w:rPr>
          <w:szCs w:val="26"/>
        </w:rPr>
        <w:t xml:space="preserve">Exc. at 5.  </w:t>
      </w:r>
      <w:r>
        <w:rPr>
          <w:szCs w:val="26"/>
        </w:rPr>
        <w:t xml:space="preserve">DCIDA </w:t>
      </w:r>
      <w:r w:rsidR="000411E0">
        <w:rPr>
          <w:szCs w:val="26"/>
        </w:rPr>
        <w:t xml:space="preserve">submits that, by definition, the price resulting from the “simple average” does not reflect the rates in effect during the time that the customer-generator delivered its generation to PPL.  </w:t>
      </w:r>
      <w:r w:rsidR="000411E0" w:rsidRPr="000411E0">
        <w:rPr>
          <w:i/>
          <w:szCs w:val="26"/>
        </w:rPr>
        <w:t>Id.</w:t>
      </w:r>
      <w:r w:rsidR="000411E0">
        <w:rPr>
          <w:szCs w:val="26"/>
        </w:rPr>
        <w:t xml:space="preserve"> </w:t>
      </w:r>
    </w:p>
    <w:p w:rsidR="00CB3CF0" w:rsidRDefault="00CB3CF0" w:rsidP="00870FD2">
      <w:pPr>
        <w:rPr>
          <w:szCs w:val="26"/>
        </w:rPr>
      </w:pPr>
    </w:p>
    <w:p w:rsidR="00CB3CF0" w:rsidRDefault="00CE39EA" w:rsidP="00870FD2">
      <w:pPr>
        <w:rPr>
          <w:szCs w:val="26"/>
        </w:rPr>
      </w:pPr>
      <w:r>
        <w:rPr>
          <w:szCs w:val="26"/>
        </w:rPr>
        <w:t>In response to DCIDA’s arguments regarding PPL’s revised interpretation of its tariff, PPL concurs with the ALJ that it is required by law to follow its Commission-approved tariff.</w:t>
      </w:r>
      <w:r w:rsidR="00DB05A2">
        <w:rPr>
          <w:szCs w:val="26"/>
        </w:rPr>
        <w:t xml:space="preserve">  </w:t>
      </w:r>
      <w:proofErr w:type="gramStart"/>
      <w:r w:rsidR="002B3C34">
        <w:rPr>
          <w:szCs w:val="26"/>
        </w:rPr>
        <w:t xml:space="preserve">PPL </w:t>
      </w:r>
      <w:r>
        <w:rPr>
          <w:szCs w:val="26"/>
        </w:rPr>
        <w:t>R.</w:t>
      </w:r>
      <w:r w:rsidR="0045129D">
        <w:rPr>
          <w:szCs w:val="26"/>
        </w:rPr>
        <w:t xml:space="preserve"> </w:t>
      </w:r>
      <w:r>
        <w:rPr>
          <w:szCs w:val="26"/>
        </w:rPr>
        <w:t>E</w:t>
      </w:r>
      <w:r w:rsidR="00673586">
        <w:rPr>
          <w:szCs w:val="26"/>
        </w:rPr>
        <w:t>xc</w:t>
      </w:r>
      <w:r>
        <w:rPr>
          <w:szCs w:val="26"/>
        </w:rPr>
        <w:t xml:space="preserve">. at 4, </w:t>
      </w:r>
      <w:r w:rsidRPr="00673586">
        <w:rPr>
          <w:szCs w:val="26"/>
        </w:rPr>
        <w:t>citing</w:t>
      </w:r>
      <w:r>
        <w:rPr>
          <w:szCs w:val="26"/>
        </w:rPr>
        <w:t xml:space="preserve"> 66 Pa. C.S. § 1303.</w:t>
      </w:r>
      <w:proofErr w:type="gramEnd"/>
      <w:r>
        <w:rPr>
          <w:szCs w:val="26"/>
        </w:rPr>
        <w:t xml:space="preserve">  PPL also states that it denies DCIDA’s claims that it changed its interpretation of its tariff and avers that DCIDA’s claims are not relevant to the disposition of its Complaint.  PPL </w:t>
      </w:r>
      <w:r w:rsidR="00E100B5">
        <w:rPr>
          <w:szCs w:val="26"/>
        </w:rPr>
        <w:lastRenderedPageBreak/>
        <w:t xml:space="preserve">submits </w:t>
      </w:r>
      <w:r>
        <w:rPr>
          <w:szCs w:val="26"/>
        </w:rPr>
        <w:t xml:space="preserve">that “the cannons of statutory construction provide appropriate guidance for interpreting public utility tariffs.”  </w:t>
      </w:r>
      <w:r w:rsidR="002B3C34">
        <w:rPr>
          <w:szCs w:val="26"/>
        </w:rPr>
        <w:t xml:space="preserve">PPL </w:t>
      </w:r>
      <w:r>
        <w:rPr>
          <w:szCs w:val="26"/>
        </w:rPr>
        <w:t>R.</w:t>
      </w:r>
      <w:r w:rsidR="0045129D">
        <w:rPr>
          <w:szCs w:val="26"/>
        </w:rPr>
        <w:t xml:space="preserve"> </w:t>
      </w:r>
      <w:r>
        <w:rPr>
          <w:szCs w:val="26"/>
        </w:rPr>
        <w:t>E</w:t>
      </w:r>
      <w:r w:rsidR="00673586">
        <w:rPr>
          <w:szCs w:val="26"/>
        </w:rPr>
        <w:t>xc</w:t>
      </w:r>
      <w:r>
        <w:rPr>
          <w:szCs w:val="26"/>
        </w:rPr>
        <w:t xml:space="preserve">. at 4-5, </w:t>
      </w:r>
      <w:r w:rsidRPr="00673586">
        <w:rPr>
          <w:szCs w:val="26"/>
        </w:rPr>
        <w:t>citing</w:t>
      </w:r>
      <w:r>
        <w:rPr>
          <w:szCs w:val="26"/>
        </w:rPr>
        <w:t xml:space="preserve"> </w:t>
      </w:r>
      <w:r w:rsidR="00E100B5" w:rsidRPr="00E100B5">
        <w:rPr>
          <w:i/>
          <w:szCs w:val="26"/>
        </w:rPr>
        <w:t xml:space="preserve">PPL Electric Utilities Corp. v. Pa. </w:t>
      </w:r>
      <w:r w:rsidR="006A34D2">
        <w:rPr>
          <w:i/>
          <w:szCs w:val="26"/>
        </w:rPr>
        <w:t>PUC</w:t>
      </w:r>
      <w:r w:rsidR="00E100B5">
        <w:rPr>
          <w:szCs w:val="26"/>
        </w:rPr>
        <w:t>, 912 A.2d 386 (Pa. Cmwlth 2006)</w:t>
      </w:r>
      <w:r w:rsidR="00996A23">
        <w:rPr>
          <w:szCs w:val="26"/>
        </w:rPr>
        <w:t xml:space="preserve"> (</w:t>
      </w:r>
      <w:r w:rsidR="00996A23" w:rsidRPr="00996A23">
        <w:rPr>
          <w:i/>
          <w:szCs w:val="26"/>
        </w:rPr>
        <w:t>PPL 2006</w:t>
      </w:r>
      <w:r w:rsidR="00996A23">
        <w:rPr>
          <w:szCs w:val="26"/>
        </w:rPr>
        <w:t>)</w:t>
      </w:r>
      <w:r w:rsidR="00E100B5">
        <w:rPr>
          <w:szCs w:val="26"/>
        </w:rPr>
        <w:t xml:space="preserve">.  PPL explains </w:t>
      </w:r>
      <w:r w:rsidR="00D846E0">
        <w:rPr>
          <w:szCs w:val="26"/>
        </w:rPr>
        <w:t xml:space="preserve">that </w:t>
      </w:r>
      <w:r w:rsidR="00E100B5">
        <w:rPr>
          <w:szCs w:val="26"/>
        </w:rPr>
        <w:t xml:space="preserve">in </w:t>
      </w:r>
      <w:r w:rsidR="00D846E0" w:rsidRPr="00D846E0">
        <w:rPr>
          <w:i/>
          <w:szCs w:val="26"/>
        </w:rPr>
        <w:t>PPL 2006</w:t>
      </w:r>
      <w:r w:rsidR="00E100B5">
        <w:rPr>
          <w:szCs w:val="26"/>
        </w:rPr>
        <w:t xml:space="preserve">, PPL argued that the Commission should consider additional evidence to understand the meaning of certain tariff provisions.  PPL notes that the </w:t>
      </w:r>
      <w:r w:rsidR="00996A23">
        <w:rPr>
          <w:szCs w:val="26"/>
        </w:rPr>
        <w:t>Court affirmed the Commission</w:t>
      </w:r>
      <w:r w:rsidR="00F343E6">
        <w:rPr>
          <w:szCs w:val="26"/>
        </w:rPr>
        <w:t>’s</w:t>
      </w:r>
      <w:r w:rsidR="00996A23">
        <w:rPr>
          <w:szCs w:val="26"/>
        </w:rPr>
        <w:t xml:space="preserve"> rejection of</w:t>
      </w:r>
      <w:r w:rsidR="00E100B5">
        <w:rPr>
          <w:szCs w:val="26"/>
        </w:rPr>
        <w:t xml:space="preserve"> PPL’s contention and the Court observ</w:t>
      </w:r>
      <w:r w:rsidR="00996A23">
        <w:rPr>
          <w:szCs w:val="26"/>
        </w:rPr>
        <w:t>ed</w:t>
      </w:r>
      <w:r w:rsidR="00E100B5">
        <w:rPr>
          <w:szCs w:val="26"/>
        </w:rPr>
        <w:t xml:space="preserve"> that the rules of interpretation instruct “a tariff, like a statute, must be </w:t>
      </w:r>
      <w:r w:rsidR="00E100B5" w:rsidRPr="0007683E">
        <w:rPr>
          <w:szCs w:val="26"/>
        </w:rPr>
        <w:t>construct</w:t>
      </w:r>
      <w:r w:rsidR="0007683E" w:rsidRPr="0007683E">
        <w:rPr>
          <w:szCs w:val="26"/>
        </w:rPr>
        <w:t>ed</w:t>
      </w:r>
      <w:r w:rsidR="00E100B5" w:rsidRPr="0007683E">
        <w:rPr>
          <w:szCs w:val="26"/>
        </w:rPr>
        <w:t xml:space="preserve"> </w:t>
      </w:r>
      <w:r w:rsidR="00E100B5">
        <w:rPr>
          <w:szCs w:val="26"/>
        </w:rPr>
        <w:t xml:space="preserve">as to give effect to all of its terms….”  </w:t>
      </w:r>
      <w:proofErr w:type="gramStart"/>
      <w:r w:rsidR="002B3C34">
        <w:rPr>
          <w:szCs w:val="26"/>
        </w:rPr>
        <w:t xml:space="preserve">PPL </w:t>
      </w:r>
      <w:r w:rsidR="00996A23">
        <w:rPr>
          <w:szCs w:val="26"/>
        </w:rPr>
        <w:t>R.</w:t>
      </w:r>
      <w:r w:rsidR="0045129D">
        <w:rPr>
          <w:szCs w:val="26"/>
        </w:rPr>
        <w:t xml:space="preserve"> </w:t>
      </w:r>
      <w:r w:rsidR="00996A23">
        <w:rPr>
          <w:szCs w:val="26"/>
        </w:rPr>
        <w:t>E</w:t>
      </w:r>
      <w:r w:rsidR="006A34D2">
        <w:rPr>
          <w:szCs w:val="26"/>
        </w:rPr>
        <w:t>xc</w:t>
      </w:r>
      <w:r w:rsidR="00996A23">
        <w:rPr>
          <w:szCs w:val="26"/>
        </w:rPr>
        <w:t xml:space="preserve">. at 5, </w:t>
      </w:r>
      <w:r w:rsidR="00996A23" w:rsidRPr="006A34D2">
        <w:rPr>
          <w:szCs w:val="26"/>
        </w:rPr>
        <w:t>citing</w:t>
      </w:r>
      <w:r w:rsidR="00996A23" w:rsidRPr="00996A23">
        <w:rPr>
          <w:i/>
          <w:szCs w:val="26"/>
        </w:rPr>
        <w:t xml:space="preserve"> PPL 2006</w:t>
      </w:r>
      <w:r w:rsidR="006A34D2">
        <w:rPr>
          <w:i/>
          <w:szCs w:val="26"/>
        </w:rPr>
        <w:t xml:space="preserve">, </w:t>
      </w:r>
      <w:r w:rsidR="006A34D2" w:rsidRPr="006A34D2">
        <w:rPr>
          <w:szCs w:val="26"/>
        </w:rPr>
        <w:t>912 A.2d</w:t>
      </w:r>
      <w:r w:rsidR="006A34D2">
        <w:rPr>
          <w:szCs w:val="26"/>
        </w:rPr>
        <w:t xml:space="preserve"> </w:t>
      </w:r>
      <w:r w:rsidR="00E100B5">
        <w:rPr>
          <w:szCs w:val="26"/>
        </w:rPr>
        <w:t>at 403.</w:t>
      </w:r>
      <w:proofErr w:type="gramEnd"/>
      <w:r w:rsidR="00E100B5">
        <w:rPr>
          <w:szCs w:val="26"/>
        </w:rPr>
        <w:t xml:space="preserve">  </w:t>
      </w:r>
      <w:r w:rsidR="00DB05A2">
        <w:rPr>
          <w:szCs w:val="26"/>
        </w:rPr>
        <w:t>PPL avers that “</w:t>
      </w:r>
      <w:r w:rsidR="00F343E6">
        <w:rPr>
          <w:szCs w:val="26"/>
        </w:rPr>
        <w:t>[u]</w:t>
      </w:r>
      <w:proofErr w:type="spellStart"/>
      <w:r w:rsidR="006A34D2">
        <w:rPr>
          <w:szCs w:val="26"/>
        </w:rPr>
        <w:t>nambig</w:t>
      </w:r>
      <w:r w:rsidR="0045129D">
        <w:rPr>
          <w:szCs w:val="26"/>
        </w:rPr>
        <w:t>u</w:t>
      </w:r>
      <w:r w:rsidR="006A34D2">
        <w:rPr>
          <w:szCs w:val="26"/>
        </w:rPr>
        <w:t>ous</w:t>
      </w:r>
      <w:proofErr w:type="spellEnd"/>
      <w:r w:rsidR="006A34D2">
        <w:rPr>
          <w:szCs w:val="26"/>
        </w:rPr>
        <w:t xml:space="preserve"> </w:t>
      </w:r>
      <w:r w:rsidR="00996A23">
        <w:rPr>
          <w:szCs w:val="26"/>
        </w:rPr>
        <w:t xml:space="preserve">language commands its plain meaning, and extrinsic material is not to be considered to determine the meaning of the tariff.”  </w:t>
      </w:r>
      <w:proofErr w:type="gramStart"/>
      <w:r w:rsidR="00996A23" w:rsidRPr="00996A23">
        <w:rPr>
          <w:i/>
          <w:szCs w:val="26"/>
        </w:rPr>
        <w:t>Id.</w:t>
      </w:r>
      <w:r w:rsidR="00996A23">
        <w:rPr>
          <w:szCs w:val="26"/>
        </w:rPr>
        <w:t xml:space="preserve"> at 400-01.</w:t>
      </w:r>
      <w:proofErr w:type="gramEnd"/>
      <w:r w:rsidR="00996A23">
        <w:rPr>
          <w:szCs w:val="26"/>
        </w:rPr>
        <w:t xml:space="preserve"> </w:t>
      </w:r>
    </w:p>
    <w:p w:rsidR="00CB3CF0" w:rsidRDefault="00CB3CF0" w:rsidP="00870FD2">
      <w:pPr>
        <w:rPr>
          <w:szCs w:val="26"/>
        </w:rPr>
      </w:pPr>
    </w:p>
    <w:p w:rsidR="00CB3CF0" w:rsidRDefault="00996A23" w:rsidP="00870FD2">
      <w:pPr>
        <w:rPr>
          <w:szCs w:val="26"/>
        </w:rPr>
      </w:pPr>
      <w:r>
        <w:rPr>
          <w:szCs w:val="26"/>
        </w:rPr>
        <w:t xml:space="preserve">PPL argues that the tariff clearly provides that it is to use a weighted average of on-peak and off-peak hours to derive a single TOU option for each rate schedule </w:t>
      </w:r>
      <w:r w:rsidR="0098607A">
        <w:rPr>
          <w:szCs w:val="26"/>
        </w:rPr>
        <w:t xml:space="preserve">and </w:t>
      </w:r>
      <w:r>
        <w:rPr>
          <w:szCs w:val="26"/>
        </w:rPr>
        <w:t>not an individual</w:t>
      </w:r>
      <w:r w:rsidR="00BE7B51">
        <w:rPr>
          <w:szCs w:val="26"/>
        </w:rPr>
        <w:t>-</w:t>
      </w:r>
      <w:r w:rsidR="0098607A">
        <w:rPr>
          <w:szCs w:val="26"/>
        </w:rPr>
        <w:t xml:space="preserve">customer basis.  PPL explains that, for example, all GS-1 rate schedule customers receiving net metering service with a TOU option are paid the same amount per kWh for excess generation over an annual period.  PPL states that it paid the compensation amount established by its tariff, as it could pay no other amount.  </w:t>
      </w:r>
      <w:proofErr w:type="gramStart"/>
      <w:r w:rsidR="002B3C34">
        <w:rPr>
          <w:szCs w:val="26"/>
        </w:rPr>
        <w:t xml:space="preserve">PPL </w:t>
      </w:r>
      <w:r w:rsidR="0098607A">
        <w:rPr>
          <w:szCs w:val="26"/>
        </w:rPr>
        <w:t>R.</w:t>
      </w:r>
      <w:r w:rsidR="0045129D">
        <w:rPr>
          <w:szCs w:val="26"/>
        </w:rPr>
        <w:t xml:space="preserve"> </w:t>
      </w:r>
      <w:r w:rsidR="0098607A">
        <w:rPr>
          <w:szCs w:val="26"/>
        </w:rPr>
        <w:t>E</w:t>
      </w:r>
      <w:r w:rsidR="0025766A">
        <w:rPr>
          <w:szCs w:val="26"/>
        </w:rPr>
        <w:t>xc</w:t>
      </w:r>
      <w:r w:rsidR="0098607A">
        <w:rPr>
          <w:szCs w:val="26"/>
        </w:rPr>
        <w:t>. at 5.</w:t>
      </w:r>
      <w:proofErr w:type="gramEnd"/>
      <w:r w:rsidR="0098607A">
        <w:rPr>
          <w:szCs w:val="26"/>
        </w:rPr>
        <w:t xml:space="preserve"> </w:t>
      </w:r>
    </w:p>
    <w:p w:rsidR="00CB3CF0" w:rsidRDefault="00CB3CF0" w:rsidP="00870FD2">
      <w:pPr>
        <w:rPr>
          <w:szCs w:val="26"/>
        </w:rPr>
      </w:pPr>
    </w:p>
    <w:p w:rsidR="00CB3CF0" w:rsidRDefault="00D30EFC" w:rsidP="00870FD2">
      <w:pPr>
        <w:rPr>
          <w:szCs w:val="26"/>
        </w:rPr>
      </w:pPr>
      <w:r>
        <w:rPr>
          <w:szCs w:val="26"/>
        </w:rPr>
        <w:t>DCIDA argues that PPL’s “newly developed” “simple average” calculation conflicts with Section 1648.5 of the AEPS Act, 73 P.S. § 1648.5, and Section 75.13(d) of the Commission’s Regulations</w:t>
      </w:r>
      <w:r w:rsidR="0025766A">
        <w:rPr>
          <w:szCs w:val="26"/>
        </w:rPr>
        <w:t>, 52 Pa. Code § 75.13(d)</w:t>
      </w:r>
      <w:r>
        <w:rPr>
          <w:szCs w:val="26"/>
        </w:rPr>
        <w:t xml:space="preserve">.  </w:t>
      </w:r>
      <w:r w:rsidR="002B3C34">
        <w:rPr>
          <w:szCs w:val="26"/>
        </w:rPr>
        <w:t xml:space="preserve">DCIDA </w:t>
      </w:r>
      <w:r>
        <w:rPr>
          <w:szCs w:val="26"/>
        </w:rPr>
        <w:t xml:space="preserve">Exc. at 5-6.  DCIDA submits that, pursuant to these </w:t>
      </w:r>
      <w:r w:rsidR="0025766A">
        <w:rPr>
          <w:szCs w:val="26"/>
        </w:rPr>
        <w:t>authori</w:t>
      </w:r>
      <w:r w:rsidR="006A34D2">
        <w:rPr>
          <w:szCs w:val="26"/>
        </w:rPr>
        <w:t>ti</w:t>
      </w:r>
      <w:r w:rsidR="0025766A">
        <w:rPr>
          <w:szCs w:val="26"/>
        </w:rPr>
        <w:t>es</w:t>
      </w:r>
      <w:r>
        <w:rPr>
          <w:szCs w:val="26"/>
        </w:rPr>
        <w:t xml:space="preserve">, the Commission requires that compensation under Section 75.13 be calculated in a manner that accurately represents the value of excess generation at the time the excess generation is delivered to the electric distribution company </w:t>
      </w:r>
      <w:r w:rsidR="00E463A6">
        <w:rPr>
          <w:szCs w:val="26"/>
        </w:rPr>
        <w:t xml:space="preserve">(EDC) </w:t>
      </w:r>
      <w:r>
        <w:rPr>
          <w:szCs w:val="26"/>
        </w:rPr>
        <w:t>or default service provider</w:t>
      </w:r>
      <w:r w:rsidR="00C47093">
        <w:rPr>
          <w:szCs w:val="26"/>
        </w:rPr>
        <w:t xml:space="preserve"> (DSP)</w:t>
      </w:r>
      <w:r>
        <w:rPr>
          <w:szCs w:val="26"/>
        </w:rPr>
        <w:t xml:space="preserve">.  </w:t>
      </w:r>
      <w:proofErr w:type="gramStart"/>
      <w:r w:rsidR="00FE370E" w:rsidRPr="00FE370E">
        <w:rPr>
          <w:i/>
          <w:szCs w:val="26"/>
        </w:rPr>
        <w:t>Id</w:t>
      </w:r>
      <w:r w:rsidR="00FE370E">
        <w:rPr>
          <w:szCs w:val="26"/>
        </w:rPr>
        <w:t>. at 6.</w:t>
      </w:r>
      <w:proofErr w:type="gramEnd"/>
      <w:r w:rsidR="00FE370E">
        <w:rPr>
          <w:szCs w:val="26"/>
        </w:rPr>
        <w:t xml:space="preserve"> </w:t>
      </w:r>
    </w:p>
    <w:p w:rsidR="00CB3CF0" w:rsidRDefault="00CB3CF0" w:rsidP="00870FD2">
      <w:pPr>
        <w:rPr>
          <w:szCs w:val="26"/>
        </w:rPr>
      </w:pPr>
    </w:p>
    <w:p w:rsidR="00CB3CF0" w:rsidRDefault="00FE370E" w:rsidP="00870FD2">
      <w:pPr>
        <w:rPr>
          <w:szCs w:val="26"/>
        </w:rPr>
      </w:pPr>
      <w:r>
        <w:rPr>
          <w:szCs w:val="26"/>
        </w:rPr>
        <w:t xml:space="preserve">DCIDA states that a recent Commission decision clearly resolved the same calculation issues presented </w:t>
      </w:r>
      <w:r w:rsidR="0025766A">
        <w:rPr>
          <w:szCs w:val="26"/>
        </w:rPr>
        <w:t xml:space="preserve">in </w:t>
      </w:r>
      <w:r>
        <w:rPr>
          <w:szCs w:val="26"/>
        </w:rPr>
        <w:t xml:space="preserve">this case.  </w:t>
      </w:r>
      <w:r w:rsidR="00FA2604">
        <w:rPr>
          <w:szCs w:val="26"/>
        </w:rPr>
        <w:t xml:space="preserve">DCIDA avers that in </w:t>
      </w:r>
      <w:r w:rsidR="00FA2604" w:rsidRPr="00FA2604">
        <w:rPr>
          <w:i/>
          <w:szCs w:val="26"/>
        </w:rPr>
        <w:t xml:space="preserve">Mary Jo Jensen v. PECO </w:t>
      </w:r>
      <w:r w:rsidR="00FA2604" w:rsidRPr="00FA2604">
        <w:rPr>
          <w:i/>
          <w:szCs w:val="26"/>
        </w:rPr>
        <w:lastRenderedPageBreak/>
        <w:t>Energy Compan</w:t>
      </w:r>
      <w:r w:rsidR="00FA2604" w:rsidRPr="006A34D2">
        <w:rPr>
          <w:i/>
          <w:szCs w:val="26"/>
        </w:rPr>
        <w:t>y</w:t>
      </w:r>
      <w:r w:rsidR="00FA2604">
        <w:rPr>
          <w:szCs w:val="26"/>
        </w:rPr>
        <w:t xml:space="preserve">, Docket No. F-2011-2270675 (Order entered December 20, 2012) </w:t>
      </w:r>
      <w:r w:rsidR="00E463A6">
        <w:rPr>
          <w:szCs w:val="26"/>
        </w:rPr>
        <w:t>(</w:t>
      </w:r>
      <w:r w:rsidR="00E463A6" w:rsidRPr="00E463A6">
        <w:rPr>
          <w:i/>
          <w:szCs w:val="26"/>
        </w:rPr>
        <w:t>Jensen</w:t>
      </w:r>
      <w:r w:rsidR="00E463A6">
        <w:rPr>
          <w:szCs w:val="26"/>
        </w:rPr>
        <w:t>)</w:t>
      </w:r>
      <w:r w:rsidR="00E463A6">
        <w:rPr>
          <w:rStyle w:val="FootnoteReference"/>
          <w:szCs w:val="26"/>
        </w:rPr>
        <w:footnoteReference w:id="5"/>
      </w:r>
      <w:r w:rsidR="00E463A6">
        <w:rPr>
          <w:szCs w:val="26"/>
        </w:rPr>
        <w:t xml:space="preserve"> the Commission concluded that Section 75.13(d) of the Regulations requires that end</w:t>
      </w:r>
      <w:r w:rsidR="0025766A">
        <w:rPr>
          <w:szCs w:val="26"/>
        </w:rPr>
        <w:t>-</w:t>
      </w:r>
      <w:r w:rsidR="00E463A6">
        <w:rPr>
          <w:szCs w:val="26"/>
        </w:rPr>
        <w:t>of</w:t>
      </w:r>
      <w:r w:rsidR="0025766A">
        <w:rPr>
          <w:szCs w:val="26"/>
        </w:rPr>
        <w:t>-</w:t>
      </w:r>
      <w:r w:rsidR="00E463A6">
        <w:rPr>
          <w:szCs w:val="26"/>
        </w:rPr>
        <w:t xml:space="preserve">year compensation to customer-generators be calculated using the weighted average of the PTC rates that were in effect when monthly excess generation was delivered to the EDC.  </w:t>
      </w:r>
      <w:r w:rsidR="002B3C34">
        <w:rPr>
          <w:szCs w:val="26"/>
        </w:rPr>
        <w:t xml:space="preserve">DCIDA </w:t>
      </w:r>
      <w:r w:rsidR="005726DB">
        <w:rPr>
          <w:szCs w:val="26"/>
        </w:rPr>
        <w:t xml:space="preserve">Exc. at 6.  </w:t>
      </w:r>
      <w:r w:rsidR="00A83C8B">
        <w:rPr>
          <w:szCs w:val="26"/>
        </w:rPr>
        <w:t xml:space="preserve">DCIDA </w:t>
      </w:r>
      <w:r w:rsidR="005726DB">
        <w:rPr>
          <w:szCs w:val="26"/>
        </w:rPr>
        <w:t xml:space="preserve">presented the following </w:t>
      </w:r>
      <w:r w:rsidR="00DB05A2">
        <w:rPr>
          <w:szCs w:val="26"/>
        </w:rPr>
        <w:t>excerpt from</w:t>
      </w:r>
      <w:r w:rsidR="005726DB">
        <w:rPr>
          <w:szCs w:val="26"/>
        </w:rPr>
        <w:t xml:space="preserve"> </w:t>
      </w:r>
      <w:r w:rsidR="005726DB" w:rsidRPr="005726DB">
        <w:rPr>
          <w:i/>
          <w:szCs w:val="26"/>
        </w:rPr>
        <w:t>Jensen</w:t>
      </w:r>
      <w:r w:rsidR="005726DB">
        <w:rPr>
          <w:szCs w:val="26"/>
        </w:rPr>
        <w:t xml:space="preserve">: </w:t>
      </w:r>
    </w:p>
    <w:p w:rsidR="00CB3CF0" w:rsidRDefault="00CB3CF0" w:rsidP="005726DB">
      <w:pPr>
        <w:spacing w:line="240" w:lineRule="auto"/>
        <w:rPr>
          <w:szCs w:val="26"/>
        </w:rPr>
      </w:pPr>
    </w:p>
    <w:p w:rsidR="00CB3CF0" w:rsidRDefault="00A83C8B" w:rsidP="00A83C8B">
      <w:pPr>
        <w:spacing w:line="240" w:lineRule="auto"/>
        <w:ind w:left="1440" w:right="1440" w:firstLine="720"/>
        <w:rPr>
          <w:szCs w:val="26"/>
        </w:rPr>
      </w:pPr>
      <w:r>
        <w:rPr>
          <w:szCs w:val="26"/>
        </w:rPr>
        <w:t xml:space="preserve">It is clear, based upon the language in our </w:t>
      </w:r>
      <w:r w:rsidRPr="008732FF">
        <w:rPr>
          <w:i/>
          <w:szCs w:val="26"/>
        </w:rPr>
        <w:t xml:space="preserve">Final Omitted Rulemaking </w:t>
      </w:r>
      <w:proofErr w:type="gramStart"/>
      <w:r w:rsidRPr="008732FF">
        <w:rPr>
          <w:i/>
          <w:szCs w:val="26"/>
        </w:rPr>
        <w:t>Order</w:t>
      </w:r>
      <w:r>
        <w:rPr>
          <w:szCs w:val="26"/>
        </w:rPr>
        <w:t>, that</w:t>
      </w:r>
      <w:proofErr w:type="gramEnd"/>
      <w:r>
        <w:rPr>
          <w:szCs w:val="26"/>
        </w:rPr>
        <w:t xml:space="preserve"> the proper interpretation of Section 75.13(d) is to use the weighted average PTC, </w:t>
      </w:r>
      <w:r w:rsidRPr="008422CA">
        <w:rPr>
          <w:spacing w:val="-3"/>
          <w:szCs w:val="26"/>
        </w:rPr>
        <w:t>with the weighting based on the rates in effect when the monthly excess generation actually was delivered by the customer-generator to the EDC</w:t>
      </w:r>
      <w:r>
        <w:rPr>
          <w:szCs w:val="26"/>
        </w:rPr>
        <w:t xml:space="preserve"> when calculating compensation to net metering customers.  Accordingly, we shall modify the Initial Decision on this issue and direct that PECO recalculate the compensation due to the Complainant using the methodology set forth in </w:t>
      </w:r>
      <w:r w:rsidRPr="009040DC">
        <w:rPr>
          <w:szCs w:val="26"/>
        </w:rPr>
        <w:t>our</w:t>
      </w:r>
      <w:r w:rsidRPr="008732FF">
        <w:rPr>
          <w:i/>
          <w:szCs w:val="26"/>
        </w:rPr>
        <w:t xml:space="preserve"> Final Omitted Rulemaking Order</w:t>
      </w:r>
      <w:r>
        <w:rPr>
          <w:szCs w:val="26"/>
        </w:rPr>
        <w:t>.</w:t>
      </w:r>
      <w:r w:rsidR="005726DB">
        <w:rPr>
          <w:szCs w:val="26"/>
        </w:rPr>
        <w:t xml:space="preserve"> </w:t>
      </w:r>
      <w:r>
        <w:rPr>
          <w:szCs w:val="26"/>
        </w:rPr>
        <w:t xml:space="preserve"> Further, we shall direct that PECO perform this </w:t>
      </w:r>
      <w:proofErr w:type="spellStart"/>
      <w:r>
        <w:rPr>
          <w:szCs w:val="26"/>
        </w:rPr>
        <w:t>recomputation</w:t>
      </w:r>
      <w:proofErr w:type="spellEnd"/>
      <w:r>
        <w:rPr>
          <w:szCs w:val="26"/>
        </w:rPr>
        <w:t xml:space="preserve"> and refund any monies due to the Complainant within thirty days of the date of entry of this Opinion and Order.  </w:t>
      </w:r>
    </w:p>
    <w:p w:rsidR="00CB3CF0" w:rsidRDefault="00CB3CF0" w:rsidP="005726DB">
      <w:pPr>
        <w:spacing w:line="240" w:lineRule="auto"/>
      </w:pPr>
    </w:p>
    <w:p w:rsidR="00BD209F" w:rsidRDefault="002B3C34" w:rsidP="005726DB">
      <w:pPr>
        <w:ind w:firstLine="0"/>
      </w:pPr>
      <w:proofErr w:type="gramStart"/>
      <w:r>
        <w:t xml:space="preserve">DCIDA </w:t>
      </w:r>
      <w:r w:rsidR="005726DB">
        <w:t xml:space="preserve">Exc. at 6-7, </w:t>
      </w:r>
      <w:r w:rsidR="005726DB" w:rsidRPr="006A34D2">
        <w:t>citing</w:t>
      </w:r>
      <w:r w:rsidR="005726DB">
        <w:t xml:space="preserve"> </w:t>
      </w:r>
      <w:r w:rsidR="005726DB" w:rsidRPr="00DB05A2">
        <w:rPr>
          <w:i/>
        </w:rPr>
        <w:t>Jensen</w:t>
      </w:r>
      <w:r w:rsidR="005726DB">
        <w:t xml:space="preserve"> at 8 (footnote omitted).</w:t>
      </w:r>
      <w:proofErr w:type="gramEnd"/>
      <w:r w:rsidR="005726DB">
        <w:t xml:space="preserve"> </w:t>
      </w:r>
    </w:p>
    <w:p w:rsidR="005726DB" w:rsidRDefault="005726DB" w:rsidP="005726DB">
      <w:pPr>
        <w:ind w:firstLine="0"/>
      </w:pPr>
    </w:p>
    <w:p w:rsidR="00342852" w:rsidRDefault="00342852" w:rsidP="00800FB0">
      <w:r>
        <w:t xml:space="preserve">DCIDA explains that the holding in </w:t>
      </w:r>
      <w:r w:rsidRPr="00342852">
        <w:rPr>
          <w:i/>
        </w:rPr>
        <w:t>Jensen</w:t>
      </w:r>
      <w:r>
        <w:t xml:space="preserve"> was based on the reasoning and interpretations </w:t>
      </w:r>
      <w:r w:rsidR="0025766A">
        <w:t xml:space="preserve">offered by </w:t>
      </w:r>
      <w:r>
        <w:t>the Commission</w:t>
      </w:r>
      <w:r w:rsidR="0025766A">
        <w:t xml:space="preserve"> in </w:t>
      </w:r>
      <w:r w:rsidR="00800FB0" w:rsidRPr="00800FB0">
        <w:rPr>
          <w:i/>
          <w:szCs w:val="26"/>
        </w:rPr>
        <w:t>Implementation of Act 35 of 2007</w:t>
      </w:r>
      <w:r w:rsidR="00800FB0">
        <w:rPr>
          <w:szCs w:val="26"/>
        </w:rPr>
        <w:t xml:space="preserve">, Docket No. </w:t>
      </w:r>
      <w:r w:rsidR="00800FB0" w:rsidRPr="006B3462">
        <w:rPr>
          <w:szCs w:val="26"/>
        </w:rPr>
        <w:t>L-00050174</w:t>
      </w:r>
      <w:r w:rsidR="00800FB0">
        <w:rPr>
          <w:szCs w:val="26"/>
        </w:rPr>
        <w:t xml:space="preserve">, </w:t>
      </w:r>
      <w:r w:rsidR="002C5B40">
        <w:t>(</w:t>
      </w:r>
      <w:r w:rsidR="00800FB0">
        <w:t xml:space="preserve">Final Omitted Rulemaking </w:t>
      </w:r>
      <w:r w:rsidR="002C5B40">
        <w:t>Order entered July 2, 2008) (</w:t>
      </w:r>
      <w:r w:rsidR="002C5B40" w:rsidRPr="002C5B40">
        <w:rPr>
          <w:i/>
        </w:rPr>
        <w:t>Final Omitted Rulemaking Order</w:t>
      </w:r>
      <w:r w:rsidR="002C5B40">
        <w:t xml:space="preserve">).  DCIDA submits that the </w:t>
      </w:r>
      <w:r w:rsidR="002C5B40" w:rsidRPr="002C5B40">
        <w:rPr>
          <w:i/>
        </w:rPr>
        <w:t>Final Omitted Rulemaking Order</w:t>
      </w:r>
      <w:r w:rsidR="002C5B40">
        <w:t xml:space="preserve"> further provided that “</w:t>
      </w:r>
      <w:r w:rsidR="0025766A">
        <w:t>[</w:t>
      </w:r>
      <w:proofErr w:type="spellStart"/>
      <w:r w:rsidR="0025766A">
        <w:t>i</w:t>
      </w:r>
      <w:proofErr w:type="spellEnd"/>
      <w:r w:rsidR="0025766A">
        <w:t>]</w:t>
      </w:r>
      <w:r w:rsidR="002C5B40">
        <w:t xml:space="preserve">f the transmission or generation rate designs incorporate time of use rates, the weighted average rate should reflect the rates in effect during the time that the </w:t>
      </w:r>
      <w:r w:rsidR="002C5B40">
        <w:lastRenderedPageBreak/>
        <w:t xml:space="preserve">customer-generator delivered its generation to the EDC.”  </w:t>
      </w:r>
      <w:r w:rsidR="009D0485">
        <w:t>DCIDA</w:t>
      </w:r>
      <w:r w:rsidR="002B3C34">
        <w:t xml:space="preserve"> </w:t>
      </w:r>
      <w:r w:rsidR="002C5B40">
        <w:t xml:space="preserve">Exc. at 7, </w:t>
      </w:r>
      <w:r w:rsidR="002C5B40" w:rsidRPr="00087EDB">
        <w:t>citing</w:t>
      </w:r>
      <w:r w:rsidR="002C5B40">
        <w:t xml:space="preserve"> </w:t>
      </w:r>
      <w:r w:rsidR="002C5B40" w:rsidRPr="002C5B40">
        <w:rPr>
          <w:i/>
        </w:rPr>
        <w:t>Final Omitted Rulemaking Order</w:t>
      </w:r>
      <w:r w:rsidR="002C5B40">
        <w:t xml:space="preserve"> at 20.  </w:t>
      </w:r>
    </w:p>
    <w:p w:rsidR="00342852" w:rsidRDefault="00342852" w:rsidP="00342852"/>
    <w:p w:rsidR="007600CD" w:rsidRDefault="00017BC6" w:rsidP="00342852">
      <w:r>
        <w:t xml:space="preserve">In response, </w:t>
      </w:r>
      <w:r w:rsidR="007600CD">
        <w:t xml:space="preserve">PPL argues that the Commission’s decision in </w:t>
      </w:r>
      <w:r w:rsidR="007600CD" w:rsidRPr="007600CD">
        <w:rPr>
          <w:i/>
        </w:rPr>
        <w:t>Jensen</w:t>
      </w:r>
      <w:r w:rsidR="007600CD">
        <w:t xml:space="preserve"> </w:t>
      </w:r>
      <w:r>
        <w:t>does not authorize a retroactive change to PPL’s Commission-approved tariff in violation of Section 1303 of the Public Utility Code</w:t>
      </w:r>
      <w:r w:rsidR="00D372F3">
        <w:t xml:space="preserve"> (Code)</w:t>
      </w:r>
      <w:r>
        <w:t>, 66 Pa. C.S. § 1303</w:t>
      </w:r>
      <w:r w:rsidR="00DB05A2">
        <w:t>,</w:t>
      </w:r>
      <w:r>
        <w:t xml:space="preserve"> or the Commission-made rate doctrine.  PPL submits that </w:t>
      </w:r>
      <w:r w:rsidRPr="00DB05A2">
        <w:rPr>
          <w:i/>
        </w:rPr>
        <w:t>Jensen</w:t>
      </w:r>
      <w:r>
        <w:t xml:space="preserve"> did not concern PPL’s tariff; rather it concerned an interpretation of PECO Energy Company’s (PECO) tariff.  As such, PPL opines, it does not represent controlling precedent regarding PPL’s tariff.</w:t>
      </w:r>
      <w:r w:rsidR="002B3C34">
        <w:t xml:space="preserve">  </w:t>
      </w:r>
      <w:proofErr w:type="gramStart"/>
      <w:r w:rsidR="002B3C34">
        <w:t xml:space="preserve">PPL </w:t>
      </w:r>
      <w:r>
        <w:t>R.</w:t>
      </w:r>
      <w:r w:rsidR="00B935A8">
        <w:t xml:space="preserve"> </w:t>
      </w:r>
      <w:r>
        <w:t>E</w:t>
      </w:r>
      <w:r w:rsidR="0025766A">
        <w:t>xc</w:t>
      </w:r>
      <w:r>
        <w:t>. at</w:t>
      </w:r>
      <w:r w:rsidR="00D32E9C">
        <w:t> </w:t>
      </w:r>
      <w:r>
        <w:t>8.</w:t>
      </w:r>
      <w:proofErr w:type="gramEnd"/>
    </w:p>
    <w:p w:rsidR="00017BC6" w:rsidRDefault="00017BC6" w:rsidP="00342852"/>
    <w:p w:rsidR="007600CD" w:rsidRDefault="0087600B" w:rsidP="00342852">
      <w:r>
        <w:t xml:space="preserve">PPL submits that the circumstances in </w:t>
      </w:r>
      <w:r w:rsidRPr="00DB05A2">
        <w:rPr>
          <w:i/>
        </w:rPr>
        <w:t>Jensen</w:t>
      </w:r>
      <w:r>
        <w:t xml:space="preserve"> are different than </w:t>
      </w:r>
      <w:r w:rsidR="00C70E8E">
        <w:t>those in this</w:t>
      </w:r>
      <w:r>
        <w:t xml:space="preserve"> case</w:t>
      </w:r>
      <w:r w:rsidR="004B1086">
        <w:t xml:space="preserve"> and do not operate to invalidate the terms of PPL’s tariff. </w:t>
      </w:r>
      <w:r>
        <w:t xml:space="preserve"> </w:t>
      </w:r>
      <w:r w:rsidR="00017BC6">
        <w:t xml:space="preserve">PPL points out that the issue in </w:t>
      </w:r>
      <w:r w:rsidR="00017BC6" w:rsidRPr="00017BC6">
        <w:rPr>
          <w:i/>
        </w:rPr>
        <w:t>Jensen</w:t>
      </w:r>
      <w:r w:rsidR="00017BC6">
        <w:t xml:space="preserve"> concerned the calculation of compensation for excess generation received over a period of time when PECO had in effect different quarterly rates for net metering service.  </w:t>
      </w:r>
      <w:r>
        <w:t xml:space="preserve">PPL explains that in contrast </w:t>
      </w:r>
      <w:r w:rsidR="0029786C">
        <w:t>to PECO, PPL’s rates for net metering customers with a TOU option had been fixed fro</w:t>
      </w:r>
      <w:r w:rsidR="004B1086">
        <w:t>m</w:t>
      </w:r>
      <w:r w:rsidR="0029786C">
        <w:t xml:space="preserve"> the period June</w:t>
      </w:r>
      <w:r w:rsidR="00C70E8E">
        <w:t> </w:t>
      </w:r>
      <w:r w:rsidR="0029786C">
        <w:t xml:space="preserve">1, 2013 through May 31, 2014.  </w:t>
      </w:r>
      <w:r w:rsidR="004B1086">
        <w:t xml:space="preserve">In addition, PPL states that </w:t>
      </w:r>
      <w:r w:rsidR="004B1086" w:rsidRPr="004B1086">
        <w:rPr>
          <w:i/>
        </w:rPr>
        <w:t xml:space="preserve">Jensen </w:t>
      </w:r>
      <w:r w:rsidR="004B1086">
        <w:t xml:space="preserve">did not concern the calculation of excess generation under a TOU option.  </w:t>
      </w:r>
      <w:r w:rsidR="003C4E20">
        <w:t>PPL</w:t>
      </w:r>
      <w:r w:rsidR="002B3C34">
        <w:t xml:space="preserve"> </w:t>
      </w:r>
      <w:r w:rsidR="00036463">
        <w:t>R.</w:t>
      </w:r>
      <w:r w:rsidR="00B75683">
        <w:t xml:space="preserve"> </w:t>
      </w:r>
      <w:r w:rsidR="004B1086">
        <w:t>E</w:t>
      </w:r>
      <w:r w:rsidR="0025766A">
        <w:t>xc</w:t>
      </w:r>
      <w:r w:rsidR="004B1086">
        <w:t xml:space="preserve">. at 8-9. </w:t>
      </w:r>
    </w:p>
    <w:p w:rsidR="004B1086" w:rsidRDefault="004B1086" w:rsidP="00342852"/>
    <w:p w:rsidR="00342852" w:rsidRPr="002D4A97" w:rsidRDefault="002C5B40" w:rsidP="00342852">
      <w:r>
        <w:t xml:space="preserve">DCIDA </w:t>
      </w:r>
      <w:r w:rsidR="00C47093">
        <w:t>avers</w:t>
      </w:r>
      <w:r>
        <w:t xml:space="preserve"> that in </w:t>
      </w:r>
      <w:r w:rsidR="00BF3799" w:rsidRPr="00BF3799">
        <w:rPr>
          <w:rStyle w:val="footnoteChar"/>
          <w:i/>
        </w:rPr>
        <w:t>Implementation of the Alternate Energy Portfolio Standards Act of 2008</w:t>
      </w:r>
      <w:r w:rsidR="0025766A">
        <w:rPr>
          <w:rStyle w:val="footnoteChar"/>
        </w:rPr>
        <w:t>,</w:t>
      </w:r>
      <w:r w:rsidR="00651292">
        <w:rPr>
          <w:rStyle w:val="footnoteChar"/>
          <w:i/>
        </w:rPr>
        <w:t xml:space="preserve"> </w:t>
      </w:r>
      <w:r w:rsidR="00CE2816">
        <w:t>Docket No. L-2014-2404361 (</w:t>
      </w:r>
      <w:r w:rsidR="0025766A" w:rsidRPr="0025766A">
        <w:t xml:space="preserve">Advance Notice of Final Rulemaking </w:t>
      </w:r>
      <w:r w:rsidR="00CE2816">
        <w:t>Order entered April 23, 2015)</w:t>
      </w:r>
      <w:r w:rsidR="00BF3799">
        <w:t xml:space="preserve"> </w:t>
      </w:r>
      <w:r w:rsidR="007600CD">
        <w:t>(</w:t>
      </w:r>
      <w:r w:rsidR="007600CD" w:rsidRPr="007600CD">
        <w:rPr>
          <w:i/>
        </w:rPr>
        <w:t>Advanced Notice</w:t>
      </w:r>
      <w:r w:rsidR="007600CD">
        <w:t xml:space="preserve">) </w:t>
      </w:r>
      <w:r w:rsidR="000A5591">
        <w:t xml:space="preserve">the Commission proposed the codification of the interpretation in the </w:t>
      </w:r>
      <w:r w:rsidR="000A5591" w:rsidRPr="000A5591">
        <w:rPr>
          <w:i/>
        </w:rPr>
        <w:t>Final Omitted Rulemaking Order</w:t>
      </w:r>
      <w:r w:rsidR="000A5591">
        <w:t xml:space="preserve"> and </w:t>
      </w:r>
      <w:r w:rsidR="000A5591" w:rsidRPr="000A5591">
        <w:rPr>
          <w:i/>
        </w:rPr>
        <w:t>Jensen</w:t>
      </w:r>
      <w:r w:rsidR="000A5591">
        <w:t xml:space="preserve">.  </w:t>
      </w:r>
      <w:r w:rsidR="00C47093">
        <w:t>DCIDA points to the proposed langu</w:t>
      </w:r>
      <w:r w:rsidR="00951C3F">
        <w:t>ag</w:t>
      </w:r>
      <w:r w:rsidR="00C47093">
        <w:t>e to Section 75.13(e) which states</w:t>
      </w:r>
      <w:r w:rsidR="009F1288">
        <w:t xml:space="preserve"> that </w:t>
      </w:r>
      <w:r w:rsidR="00C47093">
        <w:t>“</w:t>
      </w:r>
      <w:r w:rsidR="009F1288">
        <w:t>[</w:t>
      </w:r>
      <w:proofErr w:type="spellStart"/>
      <w:r w:rsidR="009F1288">
        <w:t>i</w:t>
      </w:r>
      <w:proofErr w:type="spellEnd"/>
      <w:r w:rsidR="009F1288">
        <w:t>]</w:t>
      </w:r>
      <w:r w:rsidR="00C47093">
        <w:t xml:space="preserve">n computing the compensation, the DSP </w:t>
      </w:r>
      <w:r w:rsidR="007600CD">
        <w:t xml:space="preserve">shall use a weighted average of the price to compare rate with the weighting based on the rate in effect when the excess generation was actually delivered by the customer generator to the DSP.”  </w:t>
      </w:r>
      <w:r w:rsidR="00800FB0">
        <w:t xml:space="preserve">DCIDA </w:t>
      </w:r>
      <w:r w:rsidR="007600CD">
        <w:t xml:space="preserve">Exc. at 8, </w:t>
      </w:r>
      <w:r w:rsidR="007600CD" w:rsidRPr="00087EDB">
        <w:t>citing</w:t>
      </w:r>
      <w:r w:rsidR="007600CD">
        <w:t xml:space="preserve"> </w:t>
      </w:r>
      <w:r w:rsidR="007600CD" w:rsidRPr="007600CD">
        <w:rPr>
          <w:i/>
        </w:rPr>
        <w:t>Advanced Notice</w:t>
      </w:r>
      <w:r w:rsidR="007600CD">
        <w:t xml:space="preserve">, Appendix A at 25. </w:t>
      </w:r>
      <w:r w:rsidR="00C47093">
        <w:t xml:space="preserve"> </w:t>
      </w:r>
      <w:r w:rsidR="002D4A97">
        <w:t xml:space="preserve">DCIDA explains that it is not proposing the </w:t>
      </w:r>
      <w:r w:rsidR="002D4A97">
        <w:lastRenderedPageBreak/>
        <w:t xml:space="preserve">application of </w:t>
      </w:r>
      <w:r w:rsidR="001F5AEF">
        <w:t xml:space="preserve">a </w:t>
      </w:r>
      <w:r w:rsidR="002D4A97">
        <w:t xml:space="preserve">proposed regulation to </w:t>
      </w:r>
      <w:r w:rsidR="00951C3F">
        <w:t>this proceeding</w:t>
      </w:r>
      <w:r w:rsidR="002D4A97">
        <w:t xml:space="preserve">.  DCIDA states that its reference to the pending regulation merely shows that the Commission has consistently applied the same interpretation to the compensation calculations since </w:t>
      </w:r>
      <w:r w:rsidR="002D4A97" w:rsidRPr="002D4A97">
        <w:t xml:space="preserve">2008 </w:t>
      </w:r>
      <w:r w:rsidR="001F5AEF">
        <w:t xml:space="preserve">and </w:t>
      </w:r>
      <w:r w:rsidR="002D4A97">
        <w:t xml:space="preserve">seeks to continue </w:t>
      </w:r>
      <w:r w:rsidR="00951C3F">
        <w:t xml:space="preserve">those </w:t>
      </w:r>
      <w:r w:rsidR="002D4A97">
        <w:t xml:space="preserve">same interpretations into the future.  </w:t>
      </w:r>
      <w:r w:rsidR="002B3C34">
        <w:t xml:space="preserve">DCIDA </w:t>
      </w:r>
      <w:r w:rsidR="002D4A97">
        <w:t xml:space="preserve">Exc. at 8. </w:t>
      </w:r>
    </w:p>
    <w:p w:rsidR="004B1086" w:rsidRDefault="004B1086" w:rsidP="00342852"/>
    <w:p w:rsidR="004B1086" w:rsidRPr="002D4A97" w:rsidRDefault="002D4A97" w:rsidP="00161D63">
      <w:pPr>
        <w:pStyle w:val="Heading3"/>
        <w:rPr>
          <w:color w:val="5F497A" w:themeColor="accent4" w:themeShade="BF"/>
        </w:rPr>
      </w:pPr>
      <w:r w:rsidRPr="002D4A97">
        <w:t>Changed Circumstances</w:t>
      </w:r>
    </w:p>
    <w:p w:rsidR="002D4A97" w:rsidRDefault="002D4A97" w:rsidP="00161D63">
      <w:pPr>
        <w:keepNext/>
        <w:keepLines/>
        <w:rPr>
          <w:color w:val="5F497A" w:themeColor="accent4" w:themeShade="BF"/>
        </w:rPr>
      </w:pPr>
    </w:p>
    <w:p w:rsidR="002D4A97" w:rsidRDefault="003C4E20" w:rsidP="00161D63">
      <w:pPr>
        <w:keepNext/>
        <w:keepLines/>
      </w:pPr>
      <w:r>
        <w:t xml:space="preserve">In its second Exception, </w:t>
      </w:r>
      <w:r w:rsidR="002D4A97" w:rsidRPr="002D4A97">
        <w:t xml:space="preserve">DCIDA argues that the ALJ wrongly concludes </w:t>
      </w:r>
      <w:r w:rsidR="002D4A97">
        <w:t xml:space="preserve">that it failed to allege any facts or circumstances </w:t>
      </w:r>
      <w:r w:rsidR="004C3B79">
        <w:t>that have changed since the Commission’s approval of the “weighted average</w:t>
      </w:r>
      <w:r w:rsidR="00590F41">
        <w:t>”</w:t>
      </w:r>
      <w:r w:rsidR="004C3B79">
        <w:t xml:space="preserve"> provision of PPL’s tariff.  </w:t>
      </w:r>
      <w:proofErr w:type="gramStart"/>
      <w:r w:rsidR="002B3C34">
        <w:t xml:space="preserve">DCIDA </w:t>
      </w:r>
      <w:r w:rsidR="004C3B79">
        <w:t xml:space="preserve">Exc. at 9, </w:t>
      </w:r>
      <w:r w:rsidR="004C3B79" w:rsidRPr="00087EDB">
        <w:t>citing</w:t>
      </w:r>
      <w:r w:rsidR="004C3B79">
        <w:t xml:space="preserve"> I.D. at 11, 12.</w:t>
      </w:r>
      <w:proofErr w:type="gramEnd"/>
      <w:r w:rsidR="004C3B79">
        <w:t xml:space="preserve">  </w:t>
      </w:r>
      <w:r w:rsidR="00944945">
        <w:t xml:space="preserve">As an initial matter, </w:t>
      </w:r>
      <w:r w:rsidR="004C3B79">
        <w:t xml:space="preserve">DCIDA avers that changed circumstances should not be required because PPL’s “simple average” calculation directly conflicts with Commission precedent such as </w:t>
      </w:r>
      <w:r w:rsidR="004C3B79" w:rsidRPr="004C3B79">
        <w:rPr>
          <w:i/>
        </w:rPr>
        <w:t>Jensen</w:t>
      </w:r>
      <w:r w:rsidR="004C3B79">
        <w:t xml:space="preserve"> and the </w:t>
      </w:r>
      <w:r w:rsidR="004C3B79" w:rsidRPr="004C3B79">
        <w:rPr>
          <w:i/>
        </w:rPr>
        <w:t>Final Omitted Rulemaking Order</w:t>
      </w:r>
      <w:r w:rsidR="004C3B79">
        <w:t xml:space="preserve">. </w:t>
      </w:r>
      <w:r w:rsidR="00944945">
        <w:t xml:space="preserve"> However, DCIDA submits that PPL departed from the original intention and interpretation </w:t>
      </w:r>
      <w:r w:rsidR="008C107E">
        <w:t>of the subject tariff language.  DCIDA opines that these changes are drastic and result not only in violations of the AEPS Act, Commission Regulations and precedent</w:t>
      </w:r>
      <w:r w:rsidR="00161D63">
        <w:t>,</w:t>
      </w:r>
      <w:r w:rsidR="008C107E">
        <w:t xml:space="preserve"> but also </w:t>
      </w:r>
      <w:r w:rsidR="001F5AEF">
        <w:t xml:space="preserve">in </w:t>
      </w:r>
      <w:r w:rsidR="008C107E">
        <w:t xml:space="preserve">unfair and unjust treatment of TOU customer-generators.  </w:t>
      </w:r>
      <w:r w:rsidR="002B3C34">
        <w:t xml:space="preserve">DCIDA </w:t>
      </w:r>
      <w:r w:rsidR="008C107E">
        <w:t xml:space="preserve">Exc. at 10.  </w:t>
      </w:r>
    </w:p>
    <w:p w:rsidR="008C107E" w:rsidRDefault="008C107E" w:rsidP="00342852"/>
    <w:p w:rsidR="001C0753" w:rsidRDefault="00CF7E9E" w:rsidP="001C0753">
      <w:r w:rsidRPr="00CF7E9E">
        <w:t xml:space="preserve">DCIDA </w:t>
      </w:r>
      <w:r>
        <w:t xml:space="preserve">states that PPL’s original intention </w:t>
      </w:r>
      <w:r w:rsidR="00AD69C9">
        <w:t xml:space="preserve">behind </w:t>
      </w:r>
      <w:r>
        <w:t xml:space="preserve">the subject tariff provisions are a matter of record.  DCIDA avers that believing that it would </w:t>
      </w:r>
      <w:r w:rsidR="001C31D8">
        <w:t>continue</w:t>
      </w:r>
      <w:r>
        <w:t xml:space="preserve"> to interpret and apply the subject tariff provision in a manner </w:t>
      </w:r>
      <w:r w:rsidR="001C31D8">
        <w:t>consistent</w:t>
      </w:r>
      <w:r>
        <w:t xml:space="preserve"> with PPL’s original intention and interpretation, there was no reason to challenge </w:t>
      </w:r>
      <w:r w:rsidR="001C31D8">
        <w:t>the tariff provision at that time.  DCIDA argues that now</w:t>
      </w:r>
      <w:r w:rsidR="00AD69C9">
        <w:t xml:space="preserve"> that</w:t>
      </w:r>
      <w:r w:rsidR="001C31D8">
        <w:t xml:space="preserve"> PPL</w:t>
      </w:r>
      <w:r w:rsidR="000E524E">
        <w:t xml:space="preserve"> </w:t>
      </w:r>
      <w:r w:rsidR="00342E21">
        <w:t>h</w:t>
      </w:r>
      <w:r w:rsidR="001C31D8">
        <w:t xml:space="preserve">as adopted and actually applied a different interpretation, it is proper </w:t>
      </w:r>
      <w:r w:rsidR="00342E21">
        <w:t xml:space="preserve">to challenge PPL’s newly developed “simple average” interpretation and its application to DCIDA and others.  </w:t>
      </w:r>
      <w:r w:rsidR="002B3C34">
        <w:t xml:space="preserve">DCIDA </w:t>
      </w:r>
      <w:r w:rsidR="00342E21">
        <w:t xml:space="preserve">Exc. at 10.  </w:t>
      </w:r>
    </w:p>
    <w:p w:rsidR="001C0753" w:rsidRDefault="001C0753" w:rsidP="001C0753"/>
    <w:p w:rsidR="004B53FD" w:rsidRPr="004B53FD" w:rsidRDefault="004B53FD" w:rsidP="00836012">
      <w:r>
        <w:t xml:space="preserve">PPL points to the following statement in its Initial Brief </w:t>
      </w:r>
      <w:r w:rsidRPr="004E0E4C">
        <w:t>in the 20</w:t>
      </w:r>
      <w:r w:rsidR="00AD69C9">
        <w:t>1</w:t>
      </w:r>
      <w:r w:rsidRPr="004E0E4C">
        <w:t>2 Rate Proceeding cited by DCIDA</w:t>
      </w:r>
      <w:r w:rsidR="001C0753">
        <w:t xml:space="preserve"> as follows</w:t>
      </w:r>
      <w:r w:rsidRPr="004E0E4C">
        <w:t>:</w:t>
      </w:r>
      <w:r w:rsidR="001C0753">
        <w:t xml:space="preserve"> </w:t>
      </w:r>
      <w:r w:rsidR="00836012">
        <w:t>“</w:t>
      </w:r>
      <w:r w:rsidR="001C0753">
        <w:t>[c]</w:t>
      </w:r>
      <w:proofErr w:type="spellStart"/>
      <w:r w:rsidRPr="004E0E4C">
        <w:t>ompensation</w:t>
      </w:r>
      <w:proofErr w:type="spellEnd"/>
      <w:r w:rsidRPr="004E0E4C">
        <w:t xml:space="preserve"> for exc</w:t>
      </w:r>
      <w:r w:rsidR="004E0E4C" w:rsidRPr="004E0E4C">
        <w:t xml:space="preserve">ess generation by TOU </w:t>
      </w:r>
      <w:r w:rsidR="004E0E4C" w:rsidRPr="004E0E4C">
        <w:lastRenderedPageBreak/>
        <w:t>customer-generators more closely reflects their actual on-peak and off-peak usage and generation.</w:t>
      </w:r>
      <w:r w:rsidR="001C0753">
        <w:t>”</w:t>
      </w:r>
      <w:r w:rsidR="004E0E4C" w:rsidRPr="004E0E4C">
        <w:t xml:space="preserve"> </w:t>
      </w:r>
      <w:proofErr w:type="gramStart"/>
      <w:r w:rsidR="002B3C34">
        <w:t xml:space="preserve">PPL </w:t>
      </w:r>
      <w:r w:rsidR="004E0E4C">
        <w:t>R.</w:t>
      </w:r>
      <w:r w:rsidR="00B935A8">
        <w:t xml:space="preserve"> </w:t>
      </w:r>
      <w:r w:rsidR="004E0E4C">
        <w:t>E</w:t>
      </w:r>
      <w:r w:rsidR="007F681A">
        <w:t>xc.</w:t>
      </w:r>
      <w:r w:rsidR="004E0E4C">
        <w:t xml:space="preserve"> at 10, </w:t>
      </w:r>
      <w:r w:rsidR="004E0E4C" w:rsidRPr="007F681A">
        <w:t>citing</w:t>
      </w:r>
      <w:r w:rsidR="004E0E4C">
        <w:t xml:space="preserve"> PPL Initial Brief in the 2102 Rate Proceeding at</w:t>
      </w:r>
      <w:r w:rsidR="00044D20">
        <w:t> </w:t>
      </w:r>
      <w:r w:rsidR="004E0E4C">
        <w:t>181.</w:t>
      </w:r>
      <w:proofErr w:type="gramEnd"/>
      <w:r w:rsidR="004E0E4C">
        <w:t xml:space="preserve">  </w:t>
      </w:r>
      <w:r w:rsidRPr="004B53FD">
        <w:t xml:space="preserve">PPL </w:t>
      </w:r>
      <w:r>
        <w:t xml:space="preserve">submits that nothing in its summary description of the unopposed tariff provision reflects an intent that is different than the plain tariff language.  </w:t>
      </w:r>
      <w:r w:rsidR="004E0E4C">
        <w:t xml:space="preserve">PPL avers that a weighted average of on-peak and off-peak TOU rates </w:t>
      </w:r>
      <w:r w:rsidR="002E4CF2">
        <w:t>more closely reflects class on-peak and off-peak usage an</w:t>
      </w:r>
      <w:r w:rsidR="00502702">
        <w:t>d</w:t>
      </w:r>
      <w:r w:rsidR="002E4CF2">
        <w:t xml:space="preserve"> generation.  PPL states that no commitment was made to calculate compensation on an individual customer basis</w:t>
      </w:r>
      <w:r w:rsidR="00A24B13">
        <w:t>.</w:t>
      </w:r>
      <w:r w:rsidR="002E4CF2">
        <w:t xml:space="preserve">  Therefore, PPL argues that the ALJ correctly concluded that there was no subsequent change in circumstances and that DCIDA’s second Exception should be denied.  </w:t>
      </w:r>
      <w:proofErr w:type="gramStart"/>
      <w:r w:rsidR="002B3C34">
        <w:t xml:space="preserve">PPL </w:t>
      </w:r>
      <w:r w:rsidR="002E4CF2">
        <w:t>R.</w:t>
      </w:r>
      <w:r w:rsidR="00736288">
        <w:t xml:space="preserve"> </w:t>
      </w:r>
      <w:r w:rsidR="002E4CF2">
        <w:t>E</w:t>
      </w:r>
      <w:r w:rsidR="007F681A">
        <w:t>xc</w:t>
      </w:r>
      <w:r w:rsidR="002E4CF2">
        <w:t>. at 10.</w:t>
      </w:r>
      <w:proofErr w:type="gramEnd"/>
      <w:r w:rsidR="002E4CF2">
        <w:t xml:space="preserve"> </w:t>
      </w:r>
    </w:p>
    <w:p w:rsidR="004B53FD" w:rsidRDefault="004B53FD" w:rsidP="00055068">
      <w:pPr>
        <w:rPr>
          <w:color w:val="5F497A" w:themeColor="accent4" w:themeShade="BF"/>
          <w:szCs w:val="26"/>
        </w:rPr>
      </w:pPr>
    </w:p>
    <w:p w:rsidR="004B53FD" w:rsidRDefault="002E4CF2" w:rsidP="00153AC7">
      <w:pPr>
        <w:pStyle w:val="Heading3"/>
      </w:pPr>
      <w:r w:rsidRPr="002E4CF2">
        <w:t>Accuracy of PPL</w:t>
      </w:r>
      <w:r w:rsidR="00161D63">
        <w:t>’</w:t>
      </w:r>
      <w:r w:rsidRPr="002E4CF2">
        <w:t>s Calculations</w:t>
      </w:r>
    </w:p>
    <w:p w:rsidR="002E4CF2" w:rsidRDefault="002E4CF2" w:rsidP="00153AC7">
      <w:pPr>
        <w:keepNext/>
        <w:keepLines/>
      </w:pPr>
    </w:p>
    <w:p w:rsidR="00386116" w:rsidRDefault="00386116" w:rsidP="001C0753">
      <w:r>
        <w:t>Finding of Fact No. 15 in the Initial Decision states as follows:</w:t>
      </w:r>
      <w:r w:rsidR="001C0753">
        <w:t xml:space="preserve"> “</w:t>
      </w:r>
      <w:r>
        <w:t>PPL tendered compensation in the amount of $246,000 to DCIDA for its unused accumulated kWh using the average of $0.13736 per kWh, in accordance with its net metering tariff.</w:t>
      </w:r>
      <w:r w:rsidR="001C0753">
        <w:t>”</w:t>
      </w:r>
      <w:r>
        <w:t xml:space="preserve">  </w:t>
      </w:r>
    </w:p>
    <w:p w:rsidR="002E4CF2" w:rsidRDefault="00386116" w:rsidP="00386116">
      <w:pPr>
        <w:ind w:firstLine="0"/>
      </w:pPr>
      <w:proofErr w:type="gramStart"/>
      <w:r>
        <w:t>I.D. at 7.</w:t>
      </w:r>
      <w:proofErr w:type="gramEnd"/>
      <w:r>
        <w:t xml:space="preserve">  The ALJ </w:t>
      </w:r>
      <w:r w:rsidR="000E524E">
        <w:t xml:space="preserve">also </w:t>
      </w:r>
      <w:r>
        <w:t xml:space="preserve">describes the compensation paid to DCIDA by PPL in other places in the Initial Decision. </w:t>
      </w:r>
    </w:p>
    <w:p w:rsidR="00386116" w:rsidRDefault="00386116" w:rsidP="00386116">
      <w:pPr>
        <w:ind w:firstLine="0"/>
      </w:pPr>
    </w:p>
    <w:p w:rsidR="00386116" w:rsidRDefault="00386116" w:rsidP="00386116">
      <w:r>
        <w:t xml:space="preserve">In its fourth Exception, DCIDA </w:t>
      </w:r>
      <w:r w:rsidR="00353A3F">
        <w:t xml:space="preserve">submits </w:t>
      </w:r>
      <w:r>
        <w:t xml:space="preserve">that there is no record or extrinsic evidence to support the conclusion that PPL’s calculations for the subject time period are accurate.  </w:t>
      </w:r>
      <w:r w:rsidR="00353A3F">
        <w:t xml:space="preserve">DCIDA states that the ALJ cannot rely on the “facts” averred by PPL related to PPL’s calculations.  DCIDA argues that no such “fact” was admitted by DCIDA, and in ruling on a motion for judgment on the pleadings, the ALJ can consider only those facts that the DCIDA specifically admitted.  </w:t>
      </w:r>
      <w:r w:rsidR="002B3C34">
        <w:t xml:space="preserve">DCIDA </w:t>
      </w:r>
      <w:r w:rsidR="00353A3F">
        <w:t xml:space="preserve">Exc. at 12.  </w:t>
      </w:r>
    </w:p>
    <w:p w:rsidR="00353A3F" w:rsidRDefault="00353A3F" w:rsidP="00386116"/>
    <w:p w:rsidR="00353A3F" w:rsidRPr="002E4CF2" w:rsidRDefault="00353A3F" w:rsidP="00386116">
      <w:r>
        <w:t>PPL notes that at no point in its Complaint</w:t>
      </w:r>
      <w:r w:rsidR="006651B5">
        <w:t xml:space="preserve"> did DCIDA assert that</w:t>
      </w:r>
      <w:r w:rsidR="00BD270D">
        <w:t xml:space="preserve"> PPL incorrectly stated</w:t>
      </w:r>
      <w:r w:rsidR="006651B5">
        <w:t xml:space="preserve">: (1) the thirty-five percent / sixty-five percent weighting of on-peak and off-peak hours; (2) the on-peak </w:t>
      </w:r>
      <w:r w:rsidR="00161D63">
        <w:t>and</w:t>
      </w:r>
      <w:r w:rsidR="006651B5">
        <w:t xml:space="preserve"> off-peak rates of $0.15389/kWh and $0.1159/kWh; or (3) the total excess generation under the TOU option for the period ending on </w:t>
      </w:r>
      <w:r w:rsidR="00153AC7">
        <w:t>May 31</w:t>
      </w:r>
      <w:r w:rsidR="006651B5">
        <w:t xml:space="preserve">, </w:t>
      </w:r>
      <w:r w:rsidR="006651B5">
        <w:lastRenderedPageBreak/>
        <w:t>2014</w:t>
      </w:r>
      <w:r w:rsidR="00EF015C">
        <w:t xml:space="preserve">.  Therefore, PPL argues that nothing in DCIDA’s Complaint reflects a challenge to the mathematical accuracy of PPL’s compensation to DCIDA and this Exception should be denied.  </w:t>
      </w:r>
      <w:proofErr w:type="gramStart"/>
      <w:r w:rsidR="002B3C34">
        <w:t xml:space="preserve">PPL </w:t>
      </w:r>
      <w:r w:rsidR="00EF015C">
        <w:t>R.</w:t>
      </w:r>
      <w:r w:rsidR="00B935A8">
        <w:t xml:space="preserve"> </w:t>
      </w:r>
      <w:r w:rsidR="00EF015C">
        <w:t>E</w:t>
      </w:r>
      <w:r w:rsidR="00744BCC">
        <w:t>xc.</w:t>
      </w:r>
      <w:r w:rsidR="00EF015C">
        <w:t xml:space="preserve"> at 13.</w:t>
      </w:r>
      <w:proofErr w:type="gramEnd"/>
    </w:p>
    <w:p w:rsidR="004B53FD" w:rsidRDefault="004B53FD" w:rsidP="00055068">
      <w:pPr>
        <w:rPr>
          <w:color w:val="5F497A" w:themeColor="accent4" w:themeShade="BF"/>
          <w:szCs w:val="26"/>
        </w:rPr>
      </w:pPr>
    </w:p>
    <w:p w:rsidR="000E524E" w:rsidRDefault="000E524E" w:rsidP="00161D63">
      <w:pPr>
        <w:pStyle w:val="Heading2"/>
      </w:pPr>
      <w:r>
        <w:t>Disposition</w:t>
      </w:r>
    </w:p>
    <w:p w:rsidR="000E524E" w:rsidRDefault="000E524E" w:rsidP="00153AC7">
      <w:pPr>
        <w:keepNext/>
        <w:rPr>
          <w:color w:val="5F497A" w:themeColor="accent4" w:themeShade="BF"/>
          <w:szCs w:val="26"/>
        </w:rPr>
      </w:pPr>
    </w:p>
    <w:p w:rsidR="001C392C" w:rsidRPr="001C392C" w:rsidRDefault="001C392C" w:rsidP="001C392C">
      <w:r w:rsidRPr="001C392C">
        <w:t>The threshold issue in this proceeding is whether PPL appropriately applied its tariff when it calculated the weighted average of its on-peak and off-peak PTCs that was used to value the excess energy supplied by DCIDA for the period June 1, 2013</w:t>
      </w:r>
      <w:r w:rsidR="00362259">
        <w:t>,</w:t>
      </w:r>
      <w:r w:rsidRPr="001C392C">
        <w:t xml:space="preserve"> to May 31, 2014.</w:t>
      </w:r>
    </w:p>
    <w:p w:rsidR="001C392C" w:rsidRPr="001C392C" w:rsidRDefault="001C392C" w:rsidP="001C392C"/>
    <w:p w:rsidR="001C392C" w:rsidRPr="001C392C" w:rsidRDefault="001C392C" w:rsidP="001C392C">
      <w:r w:rsidRPr="001C392C">
        <w:t xml:space="preserve">As noted, </w:t>
      </w:r>
      <w:r w:rsidRPr="001C392C">
        <w:rPr>
          <w:i/>
        </w:rPr>
        <w:t>supra</w:t>
      </w:r>
      <w:r w:rsidRPr="001C392C">
        <w:t>, both parties and the ALJ pointed to PPL’s tariff provision entitled “Net Metering for Renewable Customer-Generators.”  The relevant portion of the provision is as follows:</w:t>
      </w:r>
    </w:p>
    <w:p w:rsidR="001C392C" w:rsidRPr="001C392C" w:rsidRDefault="001C392C" w:rsidP="001C392C">
      <w:pPr>
        <w:spacing w:line="240" w:lineRule="auto"/>
      </w:pPr>
    </w:p>
    <w:p w:rsidR="001C392C" w:rsidRPr="001C392C" w:rsidRDefault="001C392C" w:rsidP="001C392C">
      <w:pPr>
        <w:spacing w:line="240" w:lineRule="auto"/>
        <w:ind w:left="1440" w:right="1440" w:firstLine="0"/>
      </w:pPr>
      <w:r w:rsidRPr="001C392C">
        <w:t xml:space="preserve">On an annual basis consistent with the PJM planning period, the Company will compensate the customer-generator for kilowatt-hours received from the customer-generator in excess of the kilowatt hours delivered by Company to the customer-generator during the preceding year at the Company’s Rate Schedule Price </w:t>
      </w:r>
      <w:proofErr w:type="gramStart"/>
      <w:r w:rsidRPr="001C392C">
        <w:t>To</w:t>
      </w:r>
      <w:proofErr w:type="gramEnd"/>
      <w:r w:rsidRPr="001C392C">
        <w:t xml:space="preserve"> Compare consistent with Commission regulations. For eligible customer-generators with a TOU rate provision, </w:t>
      </w:r>
      <w:r w:rsidRPr="001C392C">
        <w:rPr>
          <w:i/>
        </w:rPr>
        <w:t>a weighted average of the on-peak and off-peak hours</w:t>
      </w:r>
      <w:r w:rsidRPr="001C392C">
        <w:t xml:space="preserve"> will be used to derive the Company’s Price to </w:t>
      </w:r>
      <w:proofErr w:type="gramStart"/>
      <w:r w:rsidRPr="001C392C">
        <w:t>Compare</w:t>
      </w:r>
      <w:proofErr w:type="gramEnd"/>
      <w:r w:rsidRPr="001C392C">
        <w:t xml:space="preserve"> for </w:t>
      </w:r>
      <w:r w:rsidRPr="001C392C">
        <w:rPr>
          <w:i/>
        </w:rPr>
        <w:t>that Rate Schedule</w:t>
      </w:r>
      <w:r w:rsidRPr="001C392C">
        <w:t>.</w:t>
      </w:r>
    </w:p>
    <w:p w:rsidR="001C392C" w:rsidRPr="001C392C" w:rsidRDefault="001C392C" w:rsidP="001C392C">
      <w:pPr>
        <w:ind w:left="1440" w:right="720"/>
      </w:pPr>
    </w:p>
    <w:p w:rsidR="001C392C" w:rsidRPr="001C392C" w:rsidRDefault="001C392C" w:rsidP="001C392C">
      <w:pPr>
        <w:ind w:firstLine="0"/>
      </w:pPr>
      <w:r w:rsidRPr="001C392C">
        <w:t>PPL Supplement No. 125 to Electric PA. P.U.C. No. 201, Fifth Revised Page No. 19L.3 (submitted as Appendix A to PPL’s Answer to Motion) (emphasis added).</w:t>
      </w:r>
    </w:p>
    <w:p w:rsidR="001C392C" w:rsidRPr="001C392C" w:rsidRDefault="001C392C" w:rsidP="001C392C"/>
    <w:p w:rsidR="001C392C" w:rsidRPr="001C392C" w:rsidRDefault="001C392C" w:rsidP="001C392C">
      <w:r w:rsidRPr="001C392C">
        <w:t xml:space="preserve">We concur with the ALJ that the language in PPL’s tariff, </w:t>
      </w:r>
      <w:r w:rsidRPr="001C392C">
        <w:rPr>
          <w:i/>
        </w:rPr>
        <w:t>supra</w:t>
      </w:r>
      <w:r w:rsidRPr="001C392C">
        <w:t xml:space="preserve">, is unambiguous.  The tariff clearly states that the PTC for customer-generators electing the TOU rate provision will be derived from </w:t>
      </w:r>
      <w:r w:rsidRPr="001C392C">
        <w:rPr>
          <w:i/>
        </w:rPr>
        <w:t>a weighted average of the on-peak and off-peak hours</w:t>
      </w:r>
      <w:r w:rsidRPr="001C392C">
        <w:t xml:space="preserve">.  Therefore, we find that PPL’s utilization of a weighted average based on the ratio </w:t>
      </w:r>
      <w:r w:rsidRPr="001C392C">
        <w:lastRenderedPageBreak/>
        <w:t>of the total on-peak hours (3,024) and off-peak hours (5,736) during a twelve-month period (e.g. thirty-five percent / sixty-five percent) for customers in the GS-1 Rate Schedule is an appropriate application of PPL’s approved tariff.</w:t>
      </w:r>
    </w:p>
    <w:p w:rsidR="001C392C" w:rsidRPr="001C392C" w:rsidRDefault="001C392C" w:rsidP="001C392C"/>
    <w:p w:rsidR="001C392C" w:rsidRPr="001C392C" w:rsidRDefault="001C392C" w:rsidP="001C392C">
      <w:r w:rsidRPr="001C392C">
        <w:t xml:space="preserve">We also concur with PPL that the tariff clearly provides that it is to use a weighted average of on-peak and off-peak hours to derive a </w:t>
      </w:r>
      <w:r w:rsidRPr="001C392C">
        <w:rPr>
          <w:i/>
        </w:rPr>
        <w:t>single</w:t>
      </w:r>
      <w:r w:rsidRPr="001C392C">
        <w:t xml:space="preserve"> TOU PTC option for each rate schedule and not on an individual-customer hour-by-hour basis.  Therefore, we shall reject DCIDA’s request that the compensation for its excess generation be based on the unique times that its facility supplie</w:t>
      </w:r>
      <w:r w:rsidR="001E2BAE">
        <w:t>d</w:t>
      </w:r>
      <w:r w:rsidRPr="001C392C">
        <w:t xml:space="preserve"> energy into PPL’s distribution system.  </w:t>
      </w:r>
    </w:p>
    <w:p w:rsidR="001C392C" w:rsidRPr="001C392C" w:rsidRDefault="001C392C" w:rsidP="001C392C"/>
    <w:p w:rsidR="001C392C" w:rsidRPr="001C392C" w:rsidRDefault="001C392C" w:rsidP="001C392C">
      <w:r w:rsidRPr="001C392C">
        <w:t>Although not expressly stated by DCIDA, it appears that DCIDA is seeking payment as a utility generator, not as a customer-generator.</w:t>
      </w:r>
      <w:r w:rsidRPr="001C392C">
        <w:rPr>
          <w:vertAlign w:val="superscript"/>
        </w:rPr>
        <w:footnoteReference w:id="6"/>
      </w:r>
      <w:r w:rsidRPr="001C392C">
        <w:t xml:space="preserve">  A utility generator is compensated in the wholesale market for each megawatt-hour of electricity it delivers to the grid at the locational marginal price in effect during each hour the utility generator delivers its power.  This is purely a one-way street, where the utility generator sends power to the grid in compliance with the wholesale energy market rules established by PJM Interconnection LLC.    </w:t>
      </w:r>
    </w:p>
    <w:p w:rsidR="001C392C" w:rsidRPr="001C392C" w:rsidRDefault="001C392C" w:rsidP="001C392C"/>
    <w:p w:rsidR="001C392C" w:rsidRPr="001C392C" w:rsidRDefault="001C392C" w:rsidP="001C392C">
      <w:r w:rsidRPr="001C392C">
        <w:t xml:space="preserve">We find that such hour-by-hour computation sought by DCIDA to be onerous, unreasonable and not in accordance with our net metering Regulations.  Customer-generators receive net metering, which, in accordance with our Regulation, is “[t]he means of measuring the difference between the electricity supplied by an electric utility or EGS and the electricity generated by a customer-generator….”  52 Pa. Code </w:t>
      </w:r>
      <w:r w:rsidRPr="001C392C">
        <w:br/>
        <w:t xml:space="preserve">§ 75.12 (definition of net metering).  This involves a two-way street, where the customer-generator receives power as a customer of the electric utility, PPL in this case, and can send power to the grid from a qualifying alternative energy source when the customer is </w:t>
      </w:r>
      <w:r w:rsidRPr="001C392C">
        <w:lastRenderedPageBreak/>
        <w:t>using less power than that source is producing.  Our Regulations further define how net metering is to be implemented, as follows:</w:t>
      </w:r>
    </w:p>
    <w:p w:rsidR="001C392C" w:rsidRPr="001C392C" w:rsidRDefault="001C392C" w:rsidP="001C392C">
      <w:pPr>
        <w:spacing w:line="240" w:lineRule="auto"/>
        <w:ind w:left="1440" w:right="1440"/>
      </w:pPr>
    </w:p>
    <w:p w:rsidR="001C392C" w:rsidRPr="001C392C" w:rsidRDefault="001C392C" w:rsidP="001C392C">
      <w:pPr>
        <w:spacing w:line="240" w:lineRule="auto"/>
        <w:ind w:left="1440" w:right="1440" w:firstLine="288"/>
      </w:pPr>
      <w:r w:rsidRPr="001C392C">
        <w:t xml:space="preserve">(c)  The EDC shall credit a customer-generator at the full retail rate, which shall include generation, transmission and distribution charges, for each kilowatt-hour produced by a Tier I or Tier II resource installed on the customer-generator’s side of the electric revenue meter, up to the total amount of electricity used by that customer during </w:t>
      </w:r>
      <w:r w:rsidRPr="001C392C">
        <w:rPr>
          <w:i/>
        </w:rPr>
        <w:t>the billing period</w:t>
      </w:r>
      <w:r w:rsidRPr="001C392C">
        <w:t xml:space="preserve">.  If a customer generator supplies more electricity to the electric distribution system than the EDC delivers to the customer-generator in a given </w:t>
      </w:r>
      <w:r w:rsidRPr="001C392C">
        <w:rPr>
          <w:i/>
        </w:rPr>
        <w:t>billing period</w:t>
      </w:r>
      <w:r w:rsidRPr="001C392C">
        <w:t xml:space="preserve">, the excess kilowatt hours shall be carried forward and credited against the customer-generator’s usage in subsequent </w:t>
      </w:r>
      <w:r w:rsidRPr="001C392C">
        <w:rPr>
          <w:i/>
        </w:rPr>
        <w:t>billing periods</w:t>
      </w:r>
      <w:r w:rsidRPr="001C392C">
        <w:t xml:space="preserve"> at the full retail rate.  Any excess kilowatt hours shall continue to accumulate until the end of the year.</w:t>
      </w:r>
    </w:p>
    <w:p w:rsidR="001C392C" w:rsidRPr="001C392C" w:rsidRDefault="001C392C" w:rsidP="001C392C">
      <w:pPr>
        <w:spacing w:line="240" w:lineRule="auto"/>
        <w:ind w:left="1440" w:right="1440"/>
      </w:pPr>
    </w:p>
    <w:p w:rsidR="001C392C" w:rsidRPr="001C392C" w:rsidRDefault="001C392C" w:rsidP="001C392C">
      <w:pPr>
        <w:spacing w:line="240" w:lineRule="auto"/>
        <w:ind w:left="1440" w:right="1440"/>
      </w:pPr>
    </w:p>
    <w:p w:rsidR="001C392C" w:rsidRPr="001C392C" w:rsidRDefault="001C392C" w:rsidP="001C392C">
      <w:pPr>
        <w:ind w:firstLine="0"/>
      </w:pPr>
      <w:r w:rsidRPr="001C392C">
        <w:t xml:space="preserve">52 Pa. Code § 75.13(c) (emphasis added).  A billing period for an electric utility is a billing month, which is “[a] period of not less than 26 days and not more than 35 days,” with some exceptions.  </w:t>
      </w:r>
      <w:r w:rsidRPr="001C392C">
        <w:rPr>
          <w:i/>
        </w:rPr>
        <w:t>See</w:t>
      </w:r>
      <w:r w:rsidRPr="001C392C">
        <w:t xml:space="preserve"> 52 Pa</w:t>
      </w:r>
      <w:r w:rsidR="00362259">
        <w:t>.</w:t>
      </w:r>
      <w:r w:rsidRPr="001C392C">
        <w:t xml:space="preserve"> Code § 56.2 (definitions).  Thus, as dictated by our Regulations, net metering involves a monthly netting of electricity usage and production, not hourly netting, as DCIDA seeks.</w:t>
      </w:r>
    </w:p>
    <w:p w:rsidR="001C392C" w:rsidRPr="001C392C" w:rsidRDefault="001C392C" w:rsidP="001C392C"/>
    <w:p w:rsidR="001C392C" w:rsidRPr="001C392C" w:rsidRDefault="001C392C" w:rsidP="001C392C">
      <w:r w:rsidRPr="001C392C">
        <w:t xml:space="preserve">For any excess generation that is unused by the customer-generator at the end of the year our Regulations require EDCs to “compensate the customer-generator for any excess kilowatt-hours generated by the customer-generator over the amount of kilowatt hours delivered by the EDC during the same year at the EDC’s price to compare.”  </w:t>
      </w:r>
      <w:proofErr w:type="gramStart"/>
      <w:r w:rsidRPr="001C392C">
        <w:t>52 Pa. Code § 75.13(d).</w:t>
      </w:r>
      <w:proofErr w:type="gramEnd"/>
      <w:r w:rsidRPr="001C392C">
        <w:t xml:space="preserve">  As explained in our </w:t>
      </w:r>
      <w:r w:rsidRPr="001C392C">
        <w:rPr>
          <w:i/>
        </w:rPr>
        <w:t>Final Omitted Rulemaking Order</w:t>
      </w:r>
      <w:r w:rsidRPr="001C392C">
        <w:t>:</w:t>
      </w:r>
    </w:p>
    <w:p w:rsidR="001C392C" w:rsidRPr="001C392C" w:rsidRDefault="001C392C" w:rsidP="001C392C">
      <w:pPr>
        <w:spacing w:line="240" w:lineRule="auto"/>
        <w:ind w:left="1440" w:right="1440" w:firstLine="0"/>
      </w:pPr>
    </w:p>
    <w:p w:rsidR="001C392C" w:rsidRPr="001C392C" w:rsidRDefault="00362259" w:rsidP="001C392C">
      <w:pPr>
        <w:spacing w:line="240" w:lineRule="auto"/>
        <w:ind w:left="1440" w:right="1440" w:firstLine="0"/>
      </w:pPr>
      <w:r>
        <w:t>[T]</w:t>
      </w:r>
      <w:r w:rsidR="001C392C" w:rsidRPr="001C392C">
        <w:t xml:space="preserve">he Commission is amending 52 Pa. Code § 75.13(d) such that, for any unused kilowatt-hours accumulated at the end of the annualized period, compensation to the customer-generator shall equal the price-to-compare rate, as defined in 52 Pa. Code § 54.182, which includes the retail generation </w:t>
      </w:r>
      <w:r w:rsidR="001C392C" w:rsidRPr="001C392C">
        <w:lastRenderedPageBreak/>
        <w:t xml:space="preserve">and transmission components of the retail rate, and which consumers also utilize when choosing whether or not to obtain supply service from an EGS.  Since the EDC’s retail generation and transmission rates may fluctuate during a </w:t>
      </w:r>
      <w:r w:rsidR="001C392C" w:rsidRPr="001C392C">
        <w:rPr>
          <w:i/>
        </w:rPr>
        <w:t>year</w:t>
      </w:r>
      <w:r w:rsidR="001C392C" w:rsidRPr="001C392C">
        <w:t xml:space="preserve">, such compensation shall be calculated by using the weighted average generation and transmission rates, with the weighting based on the rates in effect when the </w:t>
      </w:r>
      <w:r w:rsidR="001C392C" w:rsidRPr="001C392C">
        <w:rPr>
          <w:i/>
        </w:rPr>
        <w:t>monthly</w:t>
      </w:r>
      <w:r w:rsidR="001C392C" w:rsidRPr="001C392C">
        <w:t xml:space="preserve"> excess generation actually was delivered by the customer-generator to the EDC.  </w:t>
      </w:r>
    </w:p>
    <w:p w:rsidR="001C392C" w:rsidRPr="001C392C" w:rsidRDefault="001C392C" w:rsidP="001C392C">
      <w:pPr>
        <w:ind w:left="1440" w:right="1440"/>
      </w:pPr>
    </w:p>
    <w:p w:rsidR="001C392C" w:rsidRPr="001C392C" w:rsidRDefault="001C392C" w:rsidP="001C392C">
      <w:pPr>
        <w:ind w:firstLine="0"/>
      </w:pPr>
      <w:r w:rsidRPr="001C392C">
        <w:rPr>
          <w:i/>
        </w:rPr>
        <w:t>Final Omitted Rulemaking Order</w:t>
      </w:r>
      <w:r w:rsidRPr="001C392C">
        <w:t xml:space="preserve"> at 20 (emphasis added).  As explained, </w:t>
      </w:r>
      <w:r w:rsidRPr="001C392C">
        <w:rPr>
          <w:i/>
        </w:rPr>
        <w:t>supra</w:t>
      </w:r>
      <w:r w:rsidRPr="001C392C">
        <w:t>, the end-of-year payment for excess generation is to be based on the PTC in place for each monthly excess generation that is not offset by subsequent energy delivered to the customer-generator.</w:t>
      </w:r>
      <w:r w:rsidRPr="001C392C">
        <w:rPr>
          <w:vertAlign w:val="superscript"/>
        </w:rPr>
        <w:t xml:space="preserve"> </w:t>
      </w:r>
      <w:r w:rsidRPr="001C392C">
        <w:t xml:space="preserve">  This appropriately accounts for the quarterly changes to the PTC during a year.</w:t>
      </w:r>
      <w:r w:rsidRPr="001C392C">
        <w:rPr>
          <w:vertAlign w:val="superscript"/>
        </w:rPr>
        <w:footnoteReference w:id="7"/>
      </w:r>
      <w:r w:rsidRPr="001C392C">
        <w:t xml:space="preserve">  This is what we directed PECO to do in </w:t>
      </w:r>
      <w:r w:rsidRPr="001C392C">
        <w:rPr>
          <w:i/>
        </w:rPr>
        <w:t>Jensen</w:t>
      </w:r>
      <w:r w:rsidRPr="001C392C">
        <w:t>, nothing more and nothing less.</w:t>
      </w:r>
    </w:p>
    <w:p w:rsidR="001C392C" w:rsidRPr="001C392C" w:rsidRDefault="001C392C" w:rsidP="001C392C"/>
    <w:p w:rsidR="001C392C" w:rsidRPr="001C392C" w:rsidRDefault="001C392C" w:rsidP="001C392C">
      <w:r w:rsidRPr="001C392C">
        <w:t xml:space="preserve">In addition, this explanation in the </w:t>
      </w:r>
      <w:r w:rsidRPr="001C392C">
        <w:rPr>
          <w:i/>
        </w:rPr>
        <w:t xml:space="preserve">Final Omitted Rulemaking Order, supra, </w:t>
      </w:r>
      <w:r w:rsidRPr="001C392C">
        <w:t>does not specifically state that such weighting is to be an actual, hour-by-hour, accounting of the energy delivered.  It simply states that the weighted average must reflect all the rates in effect during any given billing period, consistent with our net metering Regulations.</w:t>
      </w:r>
    </w:p>
    <w:p w:rsidR="001C392C" w:rsidRPr="001C392C" w:rsidRDefault="001C392C" w:rsidP="001C392C"/>
    <w:p w:rsidR="001C392C" w:rsidRPr="001C392C" w:rsidRDefault="001C392C" w:rsidP="001C392C">
      <w:r w:rsidRPr="001C392C">
        <w:t>We note that there are multiple types of TOU rates, such as critical peak pricing</w:t>
      </w:r>
      <w:r w:rsidR="00090BDF">
        <w:t xml:space="preserve">, </w:t>
      </w:r>
      <w:r w:rsidRPr="001C392C">
        <w:t xml:space="preserve">hourly pricing, </w:t>
      </w:r>
      <w:r w:rsidR="00090BDF">
        <w:t xml:space="preserve">and </w:t>
      </w:r>
      <w:r w:rsidRPr="001C392C">
        <w:t>weekday versus weekend pricing</w:t>
      </w:r>
      <w:r w:rsidR="00090BDF">
        <w:t>.</w:t>
      </w:r>
      <w:r w:rsidRPr="001C392C">
        <w:t xml:space="preserve"> The resolution implied by DCIDA does not necessarily work for all these TOU rates, or, as discussed, </w:t>
      </w:r>
      <w:r w:rsidRPr="001C392C">
        <w:rPr>
          <w:i/>
        </w:rPr>
        <w:t>infra</w:t>
      </w:r>
      <w:r w:rsidRPr="001C392C">
        <w:t xml:space="preserve">, for all </w:t>
      </w:r>
      <w:r w:rsidRPr="001C392C">
        <w:lastRenderedPageBreak/>
        <w:t xml:space="preserve">the alternative energy resources employed by customer-generators.  As such, we reject DCIDA’s implied interpretation of this direction in our </w:t>
      </w:r>
      <w:r w:rsidRPr="001C392C">
        <w:rPr>
          <w:i/>
        </w:rPr>
        <w:t>Final Omitted Rulemaking Order</w:t>
      </w:r>
      <w:r w:rsidRPr="001C392C">
        <w:t>.</w:t>
      </w:r>
    </w:p>
    <w:p w:rsidR="001C392C" w:rsidRPr="001C392C" w:rsidRDefault="001C392C" w:rsidP="001C392C"/>
    <w:p w:rsidR="001C392C" w:rsidRPr="001C392C" w:rsidRDefault="001C392C" w:rsidP="001C392C">
      <w:r w:rsidRPr="001C392C">
        <w:t>We also note that  this TOU rate weighting must apply to all Tier I and Tier II alternative energy resource</w:t>
      </w:r>
      <w:r w:rsidR="00090BDF">
        <w:t>s</w:t>
      </w:r>
      <w:r w:rsidRPr="001C392C">
        <w:t xml:space="preserve">, which includes qualifying resources such as wind, solar, geothermal energy, biologically derived methane gas, fuel cells, biomass energy, combined heat and power (CHP) units, and the utilization of by-products of the pulping process and wood manufacturing process.  Such varied resources operate during various times of a day, week, season or year.  For example, wind power typically provides most of its generation during the night, while solar photovoltaic sources generate only during daylight hours, whereas CHP units can operate for weeks at a time without interruption.  As a result, wind power typically produces more power during the winter season, whereas solar photovoltaic </w:t>
      </w:r>
      <w:r w:rsidR="00090BDF">
        <w:t xml:space="preserve">typically </w:t>
      </w:r>
      <w:r w:rsidRPr="001C392C">
        <w:t xml:space="preserve">produces less power in the winter due to short daylight hours and increased cloud cover.  Therefore, we find that PPL’s application of its tariff appropriately reflects the TOU rates </w:t>
      </w:r>
      <w:r w:rsidR="00090BDF">
        <w:t xml:space="preserve">for the diversity of customer-generators </w:t>
      </w:r>
      <w:r w:rsidRPr="001C392C">
        <w:t xml:space="preserve">in effect </w:t>
      </w:r>
      <w:r w:rsidR="00090BDF">
        <w:t xml:space="preserve">over </w:t>
      </w:r>
      <w:r w:rsidRPr="001C392C">
        <w:t xml:space="preserve">time that accounts for the monthly and seasonal variability and that is applicable to all Tier I and Tier II resources. </w:t>
      </w:r>
    </w:p>
    <w:p w:rsidR="001C392C" w:rsidRPr="001C392C" w:rsidRDefault="001C392C" w:rsidP="001C392C"/>
    <w:p w:rsidR="001C392C" w:rsidRDefault="001C392C" w:rsidP="001C392C">
      <w:r w:rsidRPr="001C392C">
        <w:t xml:space="preserve">In consideration of the foregoing, we conclude PPL’s tariff appropriately weights the on-peak and off-peak rates based on the hours in a year that each rate applies.  We find that this weighting appropriately reflects the rates in effect when </w:t>
      </w:r>
      <w:r w:rsidR="00090BDF">
        <w:t xml:space="preserve">the diversity of </w:t>
      </w:r>
      <w:r w:rsidRPr="001C392C">
        <w:t>customer-generator on the TOU rate offered by PPL delivers its generation</w:t>
      </w:r>
      <w:r w:rsidR="00090BDF">
        <w:t>.</w:t>
      </w:r>
      <w:r w:rsidR="00090BDF">
        <w:rPr>
          <w:rStyle w:val="FootnoteReference"/>
        </w:rPr>
        <w:footnoteReference w:id="8"/>
      </w:r>
      <w:r w:rsidRPr="001C392C">
        <w:t xml:space="preserve"> </w:t>
      </w:r>
    </w:p>
    <w:p w:rsidR="00090BDF" w:rsidRPr="001C392C" w:rsidRDefault="00090BDF" w:rsidP="001C392C"/>
    <w:p w:rsidR="00900272" w:rsidRPr="00900272" w:rsidRDefault="00900272" w:rsidP="00900272">
      <w:r w:rsidRPr="001C392C">
        <w:t xml:space="preserve">In its Exceptions, DCIDA opines that PPL’s application of its tariff for the last yearly period conflicts with Section 1648.5 of the AEPS Act, 73 P.S. § 1648.5, which </w:t>
      </w:r>
      <w:r w:rsidRPr="001C392C">
        <w:lastRenderedPageBreak/>
        <w:t>provides that “[e]</w:t>
      </w:r>
      <w:proofErr w:type="spellStart"/>
      <w:r w:rsidRPr="001C392C">
        <w:t>xcess</w:t>
      </w:r>
      <w:proofErr w:type="spellEnd"/>
      <w:r w:rsidRPr="001C392C">
        <w:t xml:space="preserve"> generation from net-metered customer generators shall receive full retail value for all energy produced on an annual basis.”  DCIDA Exc. </w:t>
      </w:r>
      <w:r>
        <w:t>a</w:t>
      </w:r>
      <w:r w:rsidRPr="001C392C">
        <w:t xml:space="preserve">t 5-6.  We disagree.  What DCIDA fails to acknowledge is that the AEPS Act does not define “full retail value.”  The General Assembly appropriately gave this Commission the discretion to determine what constitutes “full retail value” for all excess generation produced by customer-generators.  </w:t>
      </w:r>
      <w:r w:rsidRPr="00900272">
        <w:t xml:space="preserve">Through the rulemaking process, the Commission modified our Regulations to address the 2007 amendments to the AEPS Act, which included, </w:t>
      </w:r>
      <w:r w:rsidRPr="00900272">
        <w:rPr>
          <w:i/>
        </w:rPr>
        <w:t>inter alia</w:t>
      </w:r>
      <w:r w:rsidRPr="00900272">
        <w:t xml:space="preserve">, a determination of the meaning of “full retail value for all energy produced.”   </w:t>
      </w:r>
      <w:r w:rsidRPr="00900272">
        <w:rPr>
          <w:i/>
        </w:rPr>
        <w:t>See, Final Omitted Rulemaking Order</w:t>
      </w:r>
      <w:r w:rsidRPr="00900272">
        <w:t xml:space="preserve">.  For the reasons discussed, </w:t>
      </w:r>
      <w:r w:rsidRPr="00900272">
        <w:rPr>
          <w:i/>
        </w:rPr>
        <w:t>supra</w:t>
      </w:r>
      <w:r w:rsidRPr="00900272">
        <w:t xml:space="preserve">, we find that PPL’s Commission-approved tariff provision, as modified in PPL’s 2012 rate proceeding, and the manner in which the tariff was applied by PPL satisfies our Regulations.  Accordingly, we find that PPL’s application of its tariff complies with Section 1648.5 of the AEPS Act.  </w:t>
      </w:r>
    </w:p>
    <w:p w:rsidR="00900272" w:rsidRDefault="00900272" w:rsidP="00900272"/>
    <w:p w:rsidR="00900272" w:rsidRPr="00954B22" w:rsidRDefault="00900272" w:rsidP="00900272">
      <w:r>
        <w:t>We also note that r</w:t>
      </w:r>
      <w:r w:rsidRPr="00954B22">
        <w:t xml:space="preserve">etail rates are established through Commission proceedings, such as the PPL 2012 rate case that set the tariff provision at issue here.   Such retail rates were determined to be just and reasonable, and DCIDA has failed to demonstrate that they are now otherwise.  Therefore, we find that the rate DCIDA received for excess generation during the period of June 1, 2013, through May 31, 2014, to be a just and reasonable rate, compliant with PPL’s Commission-approved tariff and the Commission’s Regulations.  </w:t>
      </w:r>
    </w:p>
    <w:p w:rsidR="001C392C" w:rsidRPr="001C392C" w:rsidRDefault="001C392C" w:rsidP="001C392C"/>
    <w:p w:rsidR="001C392C" w:rsidRPr="001C392C" w:rsidRDefault="001C392C" w:rsidP="001C392C">
      <w:r w:rsidRPr="001C392C">
        <w:t xml:space="preserve">In its fourth Exception, DCIDA challenges the ALJ’s reliance on PPL’s statements that its calculations utilized to compute the payment to DCIDA are accurate.  However, as reflected in DCIDA’s Motion, there are no genuine issues of material fact.  DCIDA has not challenged the amount of its excess generation for the period, the prevailing off-peak and on-peak PTCs utilized by PPL, or the accuracy of PPL’s calculation using the thirty-five percent / sixty-five percent weights.  Therefore, </w:t>
      </w:r>
      <w:r w:rsidRPr="001C392C">
        <w:lastRenderedPageBreak/>
        <w:t>DCIDA’s Exceptions regarding the mathematical accuracy of PPL’s calculations are denied.</w:t>
      </w:r>
    </w:p>
    <w:p w:rsidR="001C392C" w:rsidRPr="001C392C" w:rsidRDefault="001C392C" w:rsidP="001C392C"/>
    <w:p w:rsidR="001C392C" w:rsidRPr="001C392C" w:rsidRDefault="001C392C" w:rsidP="001C392C">
      <w:r w:rsidRPr="001C392C">
        <w:t xml:space="preserve">We conclude that there was no commitment made, either in the tariff itself or in PPL’s summary description of that unopposed tariff change in PPL’s 2012 Rate Proceeding, that net metering calculations would be conducted on an individual customer basis, the effective result of DCIDA’s tariff interpretation.  Moreover, nothing in the tariff, the AEPS Act, or our Regulations, including the </w:t>
      </w:r>
      <w:r w:rsidRPr="001C392C">
        <w:rPr>
          <w:i/>
        </w:rPr>
        <w:t>Advanced Notice</w:t>
      </w:r>
      <w:r w:rsidRPr="001C392C">
        <w:t>, requires the exact, individual customer-by-customer and hour-by-hour calculation DCIDA seeks.</w:t>
      </w:r>
    </w:p>
    <w:p w:rsidR="008F759A" w:rsidRPr="003D12F5" w:rsidRDefault="008F759A" w:rsidP="00055068"/>
    <w:p w:rsidR="000E524E" w:rsidRPr="003D12F5" w:rsidRDefault="000E524E" w:rsidP="00F93915">
      <w:pPr>
        <w:pStyle w:val="Heading1"/>
        <w:ind w:left="360"/>
      </w:pPr>
      <w:r w:rsidRPr="003D12F5">
        <w:t>Conclusion</w:t>
      </w:r>
    </w:p>
    <w:p w:rsidR="00DE3090" w:rsidRPr="003D12F5" w:rsidRDefault="00DE3090" w:rsidP="00DE3090"/>
    <w:p w:rsidR="00644AA6" w:rsidRPr="003D12F5" w:rsidRDefault="00BD209F" w:rsidP="00055068">
      <w:pPr>
        <w:rPr>
          <w:b/>
          <w:szCs w:val="26"/>
        </w:rPr>
      </w:pPr>
      <w:r w:rsidRPr="003D12F5">
        <w:rPr>
          <w:szCs w:val="26"/>
        </w:rPr>
        <w:t xml:space="preserve">Consistent with the foregoing discussion, </w:t>
      </w:r>
      <w:r w:rsidR="0056415E" w:rsidRPr="003D12F5">
        <w:rPr>
          <w:szCs w:val="26"/>
        </w:rPr>
        <w:t xml:space="preserve">we shall deny </w:t>
      </w:r>
      <w:r w:rsidR="00D82418" w:rsidRPr="003D12F5">
        <w:rPr>
          <w:szCs w:val="26"/>
        </w:rPr>
        <w:t xml:space="preserve">DCIDA’s </w:t>
      </w:r>
      <w:r w:rsidR="0056415E" w:rsidRPr="003D12F5">
        <w:rPr>
          <w:szCs w:val="26"/>
        </w:rPr>
        <w:t>Exceptions</w:t>
      </w:r>
      <w:r w:rsidR="00D82418" w:rsidRPr="003D12F5">
        <w:rPr>
          <w:szCs w:val="26"/>
        </w:rPr>
        <w:t>,</w:t>
      </w:r>
      <w:r w:rsidR="00D628BE" w:rsidRPr="003D12F5">
        <w:rPr>
          <w:szCs w:val="26"/>
        </w:rPr>
        <w:t xml:space="preserve"> </w:t>
      </w:r>
      <w:r w:rsidR="00D82418" w:rsidRPr="003D12F5">
        <w:rPr>
          <w:szCs w:val="26"/>
        </w:rPr>
        <w:t xml:space="preserve">adopt </w:t>
      </w:r>
      <w:r w:rsidR="00D628BE" w:rsidRPr="003D12F5">
        <w:rPr>
          <w:szCs w:val="26"/>
        </w:rPr>
        <w:t>the Initial Decision</w:t>
      </w:r>
      <w:r w:rsidR="00D82418" w:rsidRPr="003D12F5">
        <w:rPr>
          <w:szCs w:val="26"/>
        </w:rPr>
        <w:t>,</w:t>
      </w:r>
      <w:r w:rsidR="00D628BE" w:rsidRPr="003D12F5">
        <w:rPr>
          <w:szCs w:val="26"/>
        </w:rPr>
        <w:t xml:space="preserve"> deny </w:t>
      </w:r>
      <w:r w:rsidR="00744BCC" w:rsidRPr="003D12F5">
        <w:rPr>
          <w:szCs w:val="26"/>
        </w:rPr>
        <w:t xml:space="preserve">DCIDA’s </w:t>
      </w:r>
      <w:r w:rsidR="003E553F" w:rsidRPr="003D12F5">
        <w:rPr>
          <w:szCs w:val="26"/>
        </w:rPr>
        <w:t>Motion</w:t>
      </w:r>
      <w:r w:rsidR="00D82418" w:rsidRPr="003D12F5">
        <w:rPr>
          <w:szCs w:val="26"/>
        </w:rPr>
        <w:t xml:space="preserve">, grant </w:t>
      </w:r>
      <w:r w:rsidR="00744BCC" w:rsidRPr="003D12F5">
        <w:rPr>
          <w:szCs w:val="26"/>
        </w:rPr>
        <w:t xml:space="preserve">PPL’s </w:t>
      </w:r>
      <w:r w:rsidR="003E553F" w:rsidRPr="003D12F5">
        <w:rPr>
          <w:szCs w:val="26"/>
        </w:rPr>
        <w:t>Cross Motion and dismiss the Complaint.</w:t>
      </w:r>
      <w:r w:rsidR="00BC7894" w:rsidRPr="003D12F5">
        <w:rPr>
          <w:szCs w:val="26"/>
        </w:rPr>
        <w:t xml:space="preserve"> </w:t>
      </w:r>
      <w:r w:rsidR="001C392C">
        <w:rPr>
          <w:szCs w:val="26"/>
        </w:rPr>
        <w:t xml:space="preserve"> </w:t>
      </w:r>
      <w:r w:rsidR="00053EB3" w:rsidRPr="003D12F5">
        <w:rPr>
          <w:b/>
          <w:szCs w:val="26"/>
        </w:rPr>
        <w:t xml:space="preserve">THEREFORE, </w:t>
      </w:r>
    </w:p>
    <w:p w:rsidR="00CE58C2" w:rsidRPr="003D12F5" w:rsidRDefault="00CE58C2" w:rsidP="00055068">
      <w:pPr>
        <w:rPr>
          <w:b/>
          <w:szCs w:val="26"/>
        </w:rPr>
      </w:pPr>
    </w:p>
    <w:p w:rsidR="006E0678" w:rsidRPr="003D12F5" w:rsidRDefault="006E0678" w:rsidP="00413B28">
      <w:pPr>
        <w:spacing w:line="240" w:lineRule="auto"/>
        <w:rPr>
          <w:b/>
          <w:szCs w:val="26"/>
        </w:rPr>
      </w:pPr>
      <w:r w:rsidRPr="003D12F5">
        <w:rPr>
          <w:b/>
          <w:szCs w:val="26"/>
        </w:rPr>
        <w:t>IT IS ORDERED:</w:t>
      </w:r>
    </w:p>
    <w:p w:rsidR="00DB222B" w:rsidRPr="003D12F5" w:rsidRDefault="00DB222B" w:rsidP="00055068">
      <w:pPr>
        <w:rPr>
          <w:szCs w:val="26"/>
        </w:rPr>
      </w:pPr>
    </w:p>
    <w:p w:rsidR="00DB222B" w:rsidRPr="003D12F5" w:rsidRDefault="003E553F" w:rsidP="00122B91">
      <w:pPr>
        <w:pStyle w:val="ListParagraph"/>
        <w:numPr>
          <w:ilvl w:val="0"/>
          <w:numId w:val="34"/>
        </w:numPr>
        <w:ind w:left="0" w:firstLine="1440"/>
        <w:rPr>
          <w:strike/>
          <w:szCs w:val="26"/>
        </w:rPr>
      </w:pPr>
      <w:r w:rsidRPr="003D12F5">
        <w:rPr>
          <w:szCs w:val="26"/>
        </w:rPr>
        <w:t>That the Exceptions of the Dauphin County Industrial Development Authority to the Initial Decision of Administrative Law Judge David A. Salapa, filed on April 30, 2015, are d</w:t>
      </w:r>
      <w:r w:rsidR="0091465F" w:rsidRPr="003D12F5">
        <w:rPr>
          <w:szCs w:val="26"/>
        </w:rPr>
        <w:t>enied</w:t>
      </w:r>
      <w:r w:rsidR="00D82418" w:rsidRPr="003D12F5">
        <w:rPr>
          <w:szCs w:val="26"/>
        </w:rPr>
        <w:t>.</w:t>
      </w:r>
    </w:p>
    <w:p w:rsidR="003E553F" w:rsidRPr="003D12F5" w:rsidRDefault="003E553F" w:rsidP="00122B91">
      <w:pPr>
        <w:rPr>
          <w:szCs w:val="26"/>
        </w:rPr>
      </w:pPr>
    </w:p>
    <w:p w:rsidR="003E553F" w:rsidRPr="003D12F5" w:rsidRDefault="003E553F" w:rsidP="00122B91">
      <w:pPr>
        <w:pStyle w:val="ListParagraph"/>
        <w:numPr>
          <w:ilvl w:val="0"/>
          <w:numId w:val="34"/>
        </w:numPr>
        <w:ind w:left="0" w:firstLine="1440"/>
        <w:rPr>
          <w:szCs w:val="26"/>
        </w:rPr>
      </w:pPr>
      <w:r w:rsidRPr="003D12F5">
        <w:rPr>
          <w:szCs w:val="26"/>
        </w:rPr>
        <w:t xml:space="preserve">That the Initial Decision of Administrative Law Judge David A. Salapa, issued on April 10, 2015, is </w:t>
      </w:r>
      <w:r w:rsidR="00D82418" w:rsidRPr="003D12F5">
        <w:rPr>
          <w:szCs w:val="26"/>
        </w:rPr>
        <w:t xml:space="preserve">adopted. </w:t>
      </w:r>
    </w:p>
    <w:p w:rsidR="00736288" w:rsidRPr="003D12F5" w:rsidRDefault="00736288" w:rsidP="00736288">
      <w:pPr>
        <w:ind w:left="1440" w:firstLine="0"/>
        <w:rPr>
          <w:szCs w:val="26"/>
        </w:rPr>
      </w:pPr>
    </w:p>
    <w:p w:rsidR="003E553F" w:rsidRPr="003D12F5" w:rsidRDefault="003E553F" w:rsidP="00122B91">
      <w:pPr>
        <w:pStyle w:val="ListParagraph"/>
        <w:numPr>
          <w:ilvl w:val="0"/>
          <w:numId w:val="34"/>
        </w:numPr>
        <w:ind w:left="0" w:firstLine="1440"/>
        <w:rPr>
          <w:szCs w:val="26"/>
        </w:rPr>
      </w:pPr>
      <w:r w:rsidRPr="003D12F5">
        <w:rPr>
          <w:szCs w:val="26"/>
        </w:rPr>
        <w:t xml:space="preserve">That the Motion for Judgment on the Pleadings filed by the Dauphin County Industrial Development Authority on February 3, 2015, is denied. </w:t>
      </w:r>
    </w:p>
    <w:p w:rsidR="003E553F" w:rsidRPr="003D12F5" w:rsidRDefault="003E553F" w:rsidP="00122B91">
      <w:pPr>
        <w:rPr>
          <w:szCs w:val="26"/>
        </w:rPr>
      </w:pPr>
    </w:p>
    <w:p w:rsidR="003E553F" w:rsidRPr="003D12F5" w:rsidRDefault="003E553F" w:rsidP="00122B91">
      <w:pPr>
        <w:pStyle w:val="ListParagraph"/>
        <w:numPr>
          <w:ilvl w:val="0"/>
          <w:numId w:val="34"/>
        </w:numPr>
        <w:ind w:left="0" w:firstLine="1440"/>
        <w:rPr>
          <w:szCs w:val="26"/>
        </w:rPr>
      </w:pPr>
      <w:r w:rsidRPr="003D12F5">
        <w:rPr>
          <w:szCs w:val="26"/>
        </w:rPr>
        <w:lastRenderedPageBreak/>
        <w:t xml:space="preserve">That the Cross Motion for Judgment on the Pleadings filed by PPL Electric Utilities Corporation on </w:t>
      </w:r>
      <w:r w:rsidR="00DD409A" w:rsidRPr="003D12F5">
        <w:rPr>
          <w:szCs w:val="26"/>
        </w:rPr>
        <w:t xml:space="preserve">February 23, 2015, </w:t>
      </w:r>
      <w:r w:rsidRPr="003D12F5">
        <w:rPr>
          <w:szCs w:val="26"/>
        </w:rPr>
        <w:t xml:space="preserve">is </w:t>
      </w:r>
      <w:r w:rsidR="00D82418" w:rsidRPr="003D12F5">
        <w:rPr>
          <w:szCs w:val="26"/>
        </w:rPr>
        <w:t>granted</w:t>
      </w:r>
      <w:r w:rsidR="00AE4121" w:rsidRPr="003D12F5">
        <w:rPr>
          <w:szCs w:val="26"/>
        </w:rPr>
        <w:t>.</w:t>
      </w:r>
      <w:r w:rsidR="00D82418" w:rsidRPr="003D12F5">
        <w:rPr>
          <w:szCs w:val="26"/>
        </w:rPr>
        <w:t xml:space="preserve"> </w:t>
      </w:r>
      <w:r w:rsidRPr="003D12F5">
        <w:rPr>
          <w:szCs w:val="26"/>
        </w:rPr>
        <w:t xml:space="preserve"> </w:t>
      </w:r>
    </w:p>
    <w:p w:rsidR="00DD409A" w:rsidRPr="003D12F5" w:rsidRDefault="00DD409A" w:rsidP="00122B91">
      <w:pPr>
        <w:rPr>
          <w:szCs w:val="26"/>
        </w:rPr>
      </w:pPr>
    </w:p>
    <w:p w:rsidR="00DD409A" w:rsidRPr="003D12F5" w:rsidRDefault="00DD409A" w:rsidP="00122B91">
      <w:pPr>
        <w:pStyle w:val="ListParagraph"/>
        <w:numPr>
          <w:ilvl w:val="0"/>
          <w:numId w:val="34"/>
        </w:numPr>
        <w:ind w:left="0" w:firstLine="1440"/>
        <w:rPr>
          <w:szCs w:val="26"/>
        </w:rPr>
      </w:pPr>
      <w:r w:rsidRPr="003D12F5">
        <w:rPr>
          <w:szCs w:val="26"/>
        </w:rPr>
        <w:t>That the Complaint filed by the Dauphin County Industrial Developm</w:t>
      </w:r>
      <w:r w:rsidR="003D12F5">
        <w:rPr>
          <w:szCs w:val="26"/>
        </w:rPr>
        <w:t>ent Authority on October 3, 2014</w:t>
      </w:r>
      <w:r w:rsidRPr="003D12F5">
        <w:rPr>
          <w:szCs w:val="26"/>
        </w:rPr>
        <w:t xml:space="preserve">, is </w:t>
      </w:r>
      <w:r w:rsidR="00D82418" w:rsidRPr="003D12F5">
        <w:rPr>
          <w:szCs w:val="26"/>
        </w:rPr>
        <w:t xml:space="preserve">dismissed. </w:t>
      </w:r>
    </w:p>
    <w:p w:rsidR="00AE4121" w:rsidRPr="003D12F5" w:rsidRDefault="00AE4121" w:rsidP="00AE4121">
      <w:pPr>
        <w:ind w:left="1440" w:firstLine="0"/>
        <w:rPr>
          <w:szCs w:val="26"/>
        </w:rPr>
      </w:pPr>
    </w:p>
    <w:p w:rsidR="005F0D1E" w:rsidRPr="003D12F5" w:rsidRDefault="005F0D1E" w:rsidP="00945F41">
      <w:pPr>
        <w:pStyle w:val="ListParagraph"/>
        <w:numPr>
          <w:ilvl w:val="0"/>
          <w:numId w:val="34"/>
        </w:numPr>
        <w:autoSpaceDE w:val="0"/>
        <w:autoSpaceDN w:val="0"/>
        <w:ind w:left="0" w:firstLine="1440"/>
        <w:rPr>
          <w:szCs w:val="26"/>
        </w:rPr>
      </w:pPr>
      <w:r w:rsidRPr="003D12F5">
        <w:rPr>
          <w:szCs w:val="26"/>
        </w:rPr>
        <w:t>That any directive, requirement, disposition, or the like contained in the body of this Opinion and Order, which is not the subject of an individual Ordering Paragraph, shall have the full force and effect as if fully contained in this part.</w:t>
      </w:r>
    </w:p>
    <w:p w:rsidR="005F0D1E" w:rsidRPr="003D12F5" w:rsidRDefault="005F0D1E" w:rsidP="00DB222B">
      <w:pPr>
        <w:rPr>
          <w:szCs w:val="26"/>
        </w:rPr>
      </w:pPr>
    </w:p>
    <w:p w:rsidR="00DB222B" w:rsidRPr="003D12F5" w:rsidRDefault="004D064B" w:rsidP="00C40DD1">
      <w:pPr>
        <w:tabs>
          <w:tab w:val="left" w:pos="-720"/>
        </w:tabs>
        <w:suppressAutoHyphens/>
        <w:ind w:firstLine="4320"/>
      </w:pPr>
      <w:bookmarkStart w:id="0" w:name="_GoBack"/>
      <w:r>
        <w:rPr>
          <w:noProof/>
        </w:rPr>
        <w:drawing>
          <wp:anchor distT="0" distB="0" distL="114300" distR="114300" simplePos="0" relativeHeight="251659264" behindDoc="1" locked="0" layoutInCell="1" allowOverlap="1" wp14:anchorId="4F9E9821" wp14:editId="123F142A">
            <wp:simplePos x="0" y="0"/>
            <wp:positionH relativeFrom="column">
              <wp:posOffset>2463800</wp:posOffset>
            </wp:positionH>
            <wp:positionV relativeFrom="paragraph">
              <wp:posOffset>18415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B222B" w:rsidRPr="003D12F5">
        <w:rPr>
          <w:b/>
        </w:rPr>
        <w:t>BY THE COMMISSION,</w:t>
      </w:r>
    </w:p>
    <w:p w:rsidR="00DB222B" w:rsidRPr="003D12F5" w:rsidRDefault="00DB222B" w:rsidP="00CF2EFF">
      <w:pPr>
        <w:tabs>
          <w:tab w:val="left" w:pos="-720"/>
        </w:tabs>
        <w:suppressAutoHyphens/>
        <w:ind w:firstLine="5040"/>
      </w:pPr>
    </w:p>
    <w:p w:rsidR="00DB222B" w:rsidRPr="003D12F5" w:rsidRDefault="00DB222B" w:rsidP="00CF2EFF">
      <w:pPr>
        <w:tabs>
          <w:tab w:val="left" w:pos="-720"/>
        </w:tabs>
        <w:suppressAutoHyphens/>
        <w:ind w:firstLine="5040"/>
      </w:pPr>
    </w:p>
    <w:p w:rsidR="00DB222B" w:rsidRPr="003D12F5" w:rsidRDefault="009D0D3C" w:rsidP="00C40DD1">
      <w:pPr>
        <w:tabs>
          <w:tab w:val="left" w:pos="-720"/>
        </w:tabs>
        <w:suppressAutoHyphens/>
        <w:spacing w:line="240" w:lineRule="auto"/>
        <w:ind w:firstLine="4320"/>
      </w:pPr>
      <w:r w:rsidRPr="003D12F5">
        <w:t>Rosemary Chiavetta</w:t>
      </w:r>
    </w:p>
    <w:p w:rsidR="00DB222B" w:rsidRPr="003D12F5" w:rsidRDefault="00CF2EFF" w:rsidP="00C40DD1">
      <w:pPr>
        <w:tabs>
          <w:tab w:val="left" w:pos="-720"/>
        </w:tabs>
        <w:suppressAutoHyphens/>
        <w:ind w:firstLine="4320"/>
      </w:pPr>
      <w:r w:rsidRPr="003D12F5">
        <w:t>S</w:t>
      </w:r>
      <w:r w:rsidR="00DB222B" w:rsidRPr="003D12F5">
        <w:t>ecretary</w:t>
      </w:r>
    </w:p>
    <w:p w:rsidR="00DB222B" w:rsidRPr="003D12F5" w:rsidRDefault="00DB222B" w:rsidP="00614A8E">
      <w:pPr>
        <w:tabs>
          <w:tab w:val="left" w:pos="-720"/>
        </w:tabs>
        <w:suppressAutoHyphens/>
        <w:ind w:firstLine="0"/>
      </w:pPr>
      <w:r w:rsidRPr="003D12F5">
        <w:t>(SEAL)</w:t>
      </w:r>
    </w:p>
    <w:p w:rsidR="00DB222B" w:rsidRPr="003D12F5" w:rsidRDefault="00DB222B" w:rsidP="00614A8E">
      <w:pPr>
        <w:tabs>
          <w:tab w:val="left" w:pos="-720"/>
        </w:tabs>
        <w:suppressAutoHyphens/>
        <w:ind w:firstLine="0"/>
      </w:pPr>
    </w:p>
    <w:p w:rsidR="00DB222B" w:rsidRPr="003D12F5" w:rsidRDefault="00EE2179" w:rsidP="00614A8E">
      <w:pPr>
        <w:tabs>
          <w:tab w:val="left" w:pos="-720"/>
        </w:tabs>
        <w:suppressAutoHyphens/>
        <w:ind w:firstLine="0"/>
      </w:pPr>
      <w:r w:rsidRPr="003D12F5">
        <w:t xml:space="preserve">ORDER </w:t>
      </w:r>
      <w:r w:rsidR="00CF2EFF" w:rsidRPr="003D12F5">
        <w:t xml:space="preserve">ADOPTED:  </w:t>
      </w:r>
      <w:r w:rsidR="00100858">
        <w:t>August 20,</w:t>
      </w:r>
      <w:r w:rsidR="00702DF9" w:rsidRPr="003D12F5">
        <w:t xml:space="preserve"> 2015</w:t>
      </w:r>
    </w:p>
    <w:p w:rsidR="00E35611" w:rsidRPr="003D12F5" w:rsidRDefault="00DB222B" w:rsidP="003F76CA">
      <w:pPr>
        <w:tabs>
          <w:tab w:val="left" w:pos="-720"/>
        </w:tabs>
        <w:suppressAutoHyphens/>
        <w:ind w:firstLine="0"/>
        <w:rPr>
          <w:szCs w:val="26"/>
        </w:rPr>
      </w:pPr>
      <w:r w:rsidRPr="003D12F5">
        <w:t xml:space="preserve">ORDER ENTERED: </w:t>
      </w:r>
      <w:r w:rsidR="004D064B">
        <w:t>August 20, 2015</w:t>
      </w:r>
    </w:p>
    <w:sectPr w:rsidR="00E35611" w:rsidRPr="003D12F5" w:rsidSect="00DF534B">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2B6" w:rsidRDefault="00A352B6" w:rsidP="005A3508">
      <w:r>
        <w:separator/>
      </w:r>
    </w:p>
  </w:endnote>
  <w:endnote w:type="continuationSeparator" w:id="0">
    <w:p w:rsidR="00A352B6" w:rsidRDefault="00A352B6" w:rsidP="005A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723422"/>
      <w:docPartObj>
        <w:docPartGallery w:val="Page Numbers (Bottom of Page)"/>
        <w:docPartUnique/>
      </w:docPartObj>
    </w:sdtPr>
    <w:sdtEndPr/>
    <w:sdtContent>
      <w:p w:rsidR="00AD69C9" w:rsidRDefault="00AD69C9" w:rsidP="00980193">
        <w:pPr>
          <w:pStyle w:val="Footer"/>
          <w:ind w:firstLine="0"/>
          <w:jc w:val="center"/>
        </w:pPr>
        <w:r>
          <w:fldChar w:fldCharType="begin"/>
        </w:r>
        <w:r>
          <w:instrText xml:space="preserve"> PAGE   \* MERGEFORMAT </w:instrText>
        </w:r>
        <w:r>
          <w:fldChar w:fldCharType="separate"/>
        </w:r>
        <w:r w:rsidR="004D064B">
          <w:rPr>
            <w:noProof/>
          </w:rPr>
          <w:t>25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2B6" w:rsidRDefault="00A352B6" w:rsidP="005A3508">
      <w:r>
        <w:separator/>
      </w:r>
    </w:p>
  </w:footnote>
  <w:footnote w:type="continuationSeparator" w:id="0">
    <w:p w:rsidR="00A352B6" w:rsidRDefault="00A352B6" w:rsidP="005A3508">
      <w:r>
        <w:continuationSeparator/>
      </w:r>
    </w:p>
  </w:footnote>
  <w:footnote w:id="1">
    <w:p w:rsidR="00AD69C9" w:rsidRPr="008B40AE" w:rsidRDefault="00AD69C9" w:rsidP="008B40AE">
      <w:pPr>
        <w:pStyle w:val="footnote"/>
        <w:rPr>
          <w:rStyle w:val="footnoteChar"/>
        </w:rPr>
      </w:pPr>
      <w:r>
        <w:rPr>
          <w:rStyle w:val="FootnoteReference"/>
        </w:rPr>
        <w:footnoteRef/>
      </w:r>
      <w:r>
        <w:t xml:space="preserve"> </w:t>
      </w:r>
      <w:r>
        <w:tab/>
      </w:r>
      <w:r w:rsidRPr="008B40AE">
        <w:rPr>
          <w:rStyle w:val="footnoteChar"/>
        </w:rPr>
        <w:t xml:space="preserve">As explained, </w:t>
      </w:r>
      <w:r w:rsidRPr="008B40AE">
        <w:rPr>
          <w:rStyle w:val="footnoteChar"/>
          <w:i/>
        </w:rPr>
        <w:t>infra</w:t>
      </w:r>
      <w:r w:rsidRPr="008B40AE">
        <w:rPr>
          <w:rStyle w:val="footnoteChar"/>
        </w:rPr>
        <w:t xml:space="preserve">, DCIDA filed a Formal Complaint against PPL on October 3, 2014.  </w:t>
      </w:r>
    </w:p>
  </w:footnote>
  <w:footnote w:id="2">
    <w:p w:rsidR="001C392C" w:rsidRPr="00304406" w:rsidRDefault="001C392C" w:rsidP="001C392C">
      <w:pPr>
        <w:pStyle w:val="FootnoteText"/>
        <w:spacing w:line="240" w:lineRule="auto"/>
        <w:ind w:firstLine="720"/>
        <w:rPr>
          <w:sz w:val="26"/>
          <w:szCs w:val="26"/>
        </w:rPr>
      </w:pPr>
      <w:r w:rsidRPr="00B259B1">
        <w:rPr>
          <w:rStyle w:val="FootnoteReference"/>
          <w:sz w:val="26"/>
          <w:szCs w:val="26"/>
        </w:rPr>
        <w:footnoteRef/>
      </w:r>
      <w:r>
        <w:t xml:space="preserve"> </w:t>
      </w:r>
      <w:r>
        <w:tab/>
      </w:r>
      <w:r w:rsidRPr="00304406">
        <w:rPr>
          <w:sz w:val="26"/>
          <w:szCs w:val="26"/>
        </w:rPr>
        <w:t xml:space="preserve">In its Answer to DCIDA’s Motion for Judgment on the Pleadings (PPL Answer to Motion), PPL explained that upon further investigation, it determined that DCIDA began receiving service under the TOU option in July 2013, and for the month of June 2013, it was served under a net metering rate without a TOU option.  PPL Answer to Motion at 2.  </w:t>
      </w:r>
    </w:p>
  </w:footnote>
  <w:footnote w:id="3">
    <w:p w:rsidR="00AD69C9" w:rsidRPr="008B40AE" w:rsidRDefault="00AD69C9" w:rsidP="001330C7">
      <w:pPr>
        <w:pStyle w:val="footnote"/>
        <w:rPr>
          <w:rStyle w:val="footnoteChar"/>
        </w:rPr>
      </w:pPr>
      <w:r>
        <w:rPr>
          <w:rStyle w:val="FootnoteReference"/>
        </w:rPr>
        <w:footnoteRef/>
      </w:r>
      <w:r>
        <w:t xml:space="preserve"> </w:t>
      </w:r>
      <w:r>
        <w:tab/>
      </w:r>
      <w:r w:rsidRPr="008B40AE">
        <w:rPr>
          <w:rStyle w:val="footnoteChar"/>
        </w:rPr>
        <w:t xml:space="preserve">As explained, </w:t>
      </w:r>
      <w:r w:rsidRPr="008B40AE">
        <w:rPr>
          <w:rStyle w:val="footnoteChar"/>
          <w:i/>
        </w:rPr>
        <w:t>infra</w:t>
      </w:r>
      <w:r w:rsidRPr="008B40AE">
        <w:rPr>
          <w:rStyle w:val="footnoteChar"/>
        </w:rPr>
        <w:t xml:space="preserve">, </w:t>
      </w:r>
      <w:r>
        <w:rPr>
          <w:rStyle w:val="footnoteChar"/>
        </w:rPr>
        <w:t>PPL filed an Answer to DCIDA’s Motion for Judgment on the Pleadings.</w:t>
      </w:r>
      <w:r w:rsidRPr="008B40AE">
        <w:rPr>
          <w:rStyle w:val="footnoteChar"/>
        </w:rPr>
        <w:t xml:space="preserve">  </w:t>
      </w:r>
    </w:p>
    <w:p w:rsidR="00AD69C9" w:rsidRDefault="00AD69C9">
      <w:pPr>
        <w:pStyle w:val="FootnoteText"/>
      </w:pPr>
    </w:p>
  </w:footnote>
  <w:footnote w:id="4">
    <w:p w:rsidR="00AD69C9" w:rsidRDefault="00AD69C9" w:rsidP="00FE44CC">
      <w:pPr>
        <w:pStyle w:val="footnote"/>
      </w:pPr>
      <w:r>
        <w:rPr>
          <w:rStyle w:val="FootnoteReference"/>
        </w:rPr>
        <w:footnoteRef/>
      </w:r>
      <w:r>
        <w:t xml:space="preserve"> </w:t>
      </w:r>
      <w:r>
        <w:tab/>
        <w:t xml:space="preserve">PPL explained that this tariff provision was part of Supplement No. 118 to Tariff Pa. P.U.C. No. 201 which proposed a general rate increase at Docket No. R-2012-2290597 (2012 Rate Proceeding).  PPL stated that following a fully-litigated proceeding, the Commission entered an Order on December 28, 2012, ruling on all issues in the case.  PPL submitted that, as part of the Order, this tariff provision was approved by the Commission.  </w:t>
      </w:r>
      <w:r w:rsidR="007160CC">
        <w:t xml:space="preserve">PPL </w:t>
      </w:r>
      <w:r>
        <w:t xml:space="preserve">Answer </w:t>
      </w:r>
      <w:r w:rsidR="007160CC">
        <w:t xml:space="preserve">to Complaint </w:t>
      </w:r>
      <w:r>
        <w:t xml:space="preserve">at 1-2. </w:t>
      </w:r>
    </w:p>
  </w:footnote>
  <w:footnote w:id="5">
    <w:p w:rsidR="00AD69C9" w:rsidRDefault="00AD69C9" w:rsidP="00E463A6">
      <w:pPr>
        <w:pStyle w:val="footnote"/>
      </w:pPr>
      <w:r>
        <w:rPr>
          <w:rStyle w:val="FootnoteReference"/>
        </w:rPr>
        <w:footnoteRef/>
      </w:r>
      <w:r>
        <w:t xml:space="preserve"> </w:t>
      </w:r>
      <w:r>
        <w:tab/>
      </w:r>
      <w:r w:rsidRPr="00314811">
        <w:rPr>
          <w:i/>
        </w:rPr>
        <w:t xml:space="preserve">Jensen </w:t>
      </w:r>
      <w:r>
        <w:t>was subsequently modified by the Reconsideration Opinion and Order entered May 23, 2013</w:t>
      </w:r>
      <w:r w:rsidR="00B935A8">
        <w:t>,</w:t>
      </w:r>
      <w:r>
        <w:t xml:space="preserve"> at the same Docket Number.</w:t>
      </w:r>
      <w:r w:rsidR="009D0485">
        <w:t xml:space="preserve"> </w:t>
      </w:r>
      <w:r w:rsidR="00323E41">
        <w:t xml:space="preserve"> The Reconsideration Opinion and Order, </w:t>
      </w:r>
      <w:r w:rsidR="00323E41" w:rsidRPr="00323E41">
        <w:rPr>
          <w:i/>
        </w:rPr>
        <w:t>inter alia</w:t>
      </w:r>
      <w:r w:rsidR="00323E41">
        <w:t>, extended the time period for the PECO Energy Company (PECO) to recalculate the refunds due to customer-generators and addressed PECO’s request for recovery of the costs of related upgrades to its billing system.</w:t>
      </w:r>
      <w:r>
        <w:t xml:space="preserve"> </w:t>
      </w:r>
    </w:p>
  </w:footnote>
  <w:footnote w:id="6">
    <w:p w:rsidR="001C392C" w:rsidRPr="00EC3E6A" w:rsidRDefault="001C392C" w:rsidP="001C392C">
      <w:pPr>
        <w:pStyle w:val="FootnoteText"/>
        <w:spacing w:line="240" w:lineRule="auto"/>
        <w:ind w:firstLine="720"/>
        <w:rPr>
          <w:sz w:val="26"/>
          <w:szCs w:val="26"/>
        </w:rPr>
      </w:pPr>
      <w:r w:rsidRPr="00EC3E6A">
        <w:rPr>
          <w:rStyle w:val="FootnoteReference"/>
          <w:sz w:val="26"/>
          <w:szCs w:val="26"/>
        </w:rPr>
        <w:footnoteRef/>
      </w:r>
      <w:r w:rsidRPr="00EC3E6A">
        <w:rPr>
          <w:sz w:val="26"/>
          <w:szCs w:val="26"/>
        </w:rPr>
        <w:t xml:space="preserve"> </w:t>
      </w:r>
      <w:r>
        <w:rPr>
          <w:sz w:val="26"/>
          <w:szCs w:val="26"/>
        </w:rPr>
        <w:tab/>
      </w:r>
      <w:r w:rsidRPr="00EC3E6A">
        <w:rPr>
          <w:sz w:val="26"/>
          <w:szCs w:val="26"/>
        </w:rPr>
        <w:t xml:space="preserve">The AEPS Act defines a customer-generator as “[a] </w:t>
      </w:r>
      <w:r w:rsidRPr="00EC3E6A">
        <w:rPr>
          <w:i/>
          <w:sz w:val="26"/>
          <w:szCs w:val="26"/>
        </w:rPr>
        <w:t>nonutility</w:t>
      </w:r>
      <w:r w:rsidRPr="00EC3E6A">
        <w:rPr>
          <w:sz w:val="26"/>
          <w:szCs w:val="26"/>
        </w:rPr>
        <w:t xml:space="preserve"> owner or operator of a net metered distributed generation system ….”  73 P.S. § 1648.2 (emphasis added).</w:t>
      </w:r>
    </w:p>
  </w:footnote>
  <w:footnote w:id="7">
    <w:p w:rsidR="001C392C" w:rsidRPr="001C392C" w:rsidRDefault="001C392C" w:rsidP="001C392C">
      <w:pPr>
        <w:spacing w:line="240" w:lineRule="auto"/>
        <w:ind w:firstLine="720"/>
      </w:pPr>
      <w:r>
        <w:rPr>
          <w:rStyle w:val="FootnoteReference"/>
        </w:rPr>
        <w:footnoteRef/>
      </w:r>
      <w:r>
        <w:t xml:space="preserve"> </w:t>
      </w:r>
      <w:r>
        <w:tab/>
      </w:r>
      <w:r w:rsidRPr="001C392C">
        <w:rPr>
          <w:szCs w:val="26"/>
        </w:rPr>
        <w:t>In its Replies to Exceptions, PPL explains that its TOU rates were constant during the entire period from June 1, 2013</w:t>
      </w:r>
      <w:r w:rsidR="00362259">
        <w:rPr>
          <w:szCs w:val="26"/>
        </w:rPr>
        <w:t>,</w:t>
      </w:r>
      <w:r w:rsidRPr="001C392C">
        <w:rPr>
          <w:szCs w:val="26"/>
        </w:rPr>
        <w:t xml:space="preserve"> through May 31, 2014, because its TOU PTCs were frozen by the Commission.  </w:t>
      </w:r>
      <w:proofErr w:type="gramStart"/>
      <w:r w:rsidRPr="001C392C">
        <w:rPr>
          <w:szCs w:val="26"/>
        </w:rPr>
        <w:t>PPL R. Exc. at 1.</w:t>
      </w:r>
      <w:proofErr w:type="gramEnd"/>
      <w:r w:rsidRPr="001C392C">
        <w:rPr>
          <w:szCs w:val="26"/>
        </w:rPr>
        <w:t xml:space="preserve">  As PPL contends, this fact distinguishes our decision in </w:t>
      </w:r>
      <w:r w:rsidRPr="001C392C">
        <w:rPr>
          <w:i/>
          <w:szCs w:val="26"/>
        </w:rPr>
        <w:t>Jensen</w:t>
      </w:r>
      <w:r w:rsidRPr="001C392C">
        <w:rPr>
          <w:szCs w:val="26"/>
        </w:rPr>
        <w:t xml:space="preserve">, in which the compensation had to be recalculated to account for the different quarterly PTC rates in effect.  </w:t>
      </w:r>
    </w:p>
    <w:p w:rsidR="001C392C" w:rsidRPr="001C392C" w:rsidRDefault="001C392C" w:rsidP="001C392C">
      <w:pPr>
        <w:pStyle w:val="FootnoteText"/>
        <w:ind w:firstLine="720"/>
        <w:rPr>
          <w:sz w:val="26"/>
          <w:szCs w:val="26"/>
        </w:rPr>
      </w:pPr>
    </w:p>
  </w:footnote>
  <w:footnote w:id="8">
    <w:p w:rsidR="00090BDF" w:rsidRPr="00090BDF" w:rsidRDefault="00090BDF" w:rsidP="00090BDF">
      <w:pPr>
        <w:pStyle w:val="FootnoteText"/>
        <w:spacing w:line="240" w:lineRule="auto"/>
        <w:ind w:firstLine="720"/>
        <w:rPr>
          <w:sz w:val="26"/>
          <w:szCs w:val="26"/>
        </w:rPr>
      </w:pPr>
      <w:r w:rsidRPr="00090BDF">
        <w:rPr>
          <w:rStyle w:val="FootnoteReference"/>
          <w:sz w:val="26"/>
          <w:szCs w:val="26"/>
        </w:rPr>
        <w:footnoteRef/>
      </w:r>
      <w:r>
        <w:rPr>
          <w:color w:val="00B050"/>
          <w:sz w:val="26"/>
          <w:szCs w:val="26"/>
        </w:rPr>
        <w:t xml:space="preserve"> </w:t>
      </w:r>
      <w:r>
        <w:rPr>
          <w:color w:val="00B050"/>
          <w:sz w:val="26"/>
          <w:szCs w:val="26"/>
        </w:rPr>
        <w:tab/>
      </w:r>
      <w:r w:rsidRPr="00090BDF">
        <w:rPr>
          <w:sz w:val="26"/>
          <w:szCs w:val="26"/>
        </w:rPr>
        <w:t xml:space="preserve">As noted, </w:t>
      </w:r>
      <w:r w:rsidRPr="00090BDF">
        <w:rPr>
          <w:i/>
          <w:iCs/>
          <w:sz w:val="26"/>
          <w:szCs w:val="26"/>
        </w:rPr>
        <w:t>supra</w:t>
      </w:r>
      <w:r w:rsidRPr="00090BDF">
        <w:rPr>
          <w:sz w:val="26"/>
          <w:szCs w:val="26"/>
        </w:rPr>
        <w:t>, PPL’s TOU PTCs were frozen by the Commission and PPL’s TOU rates remained constant for the entire period between June 1, 2013, and May 31, 2014.  Therefore, it was not necessary for PPL to weight the rate paid for DCIDA’s excess generation to reflect quarterly changes in the PTC</w:t>
      </w:r>
      <w:r>
        <w:rPr>
          <w:sz w:val="26"/>
          <w:szCs w:val="26"/>
        </w:rPr>
        <w:t>.</w:t>
      </w:r>
      <w:r w:rsidRPr="00090BDF">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FB0"/>
    <w:multiLevelType w:val="hybridMultilevel"/>
    <w:tmpl w:val="44B0615A"/>
    <w:lvl w:ilvl="0" w:tplc="62B6487A">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AD192A"/>
    <w:multiLevelType w:val="hybridMultilevel"/>
    <w:tmpl w:val="2862C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862D1"/>
    <w:multiLevelType w:val="hybridMultilevel"/>
    <w:tmpl w:val="56546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B42DA"/>
    <w:multiLevelType w:val="hybridMultilevel"/>
    <w:tmpl w:val="EFD20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365470C"/>
    <w:multiLevelType w:val="hybridMultilevel"/>
    <w:tmpl w:val="AF945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E1867"/>
    <w:multiLevelType w:val="hybridMultilevel"/>
    <w:tmpl w:val="A3F8F8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7A54842"/>
    <w:multiLevelType w:val="hybridMultilevel"/>
    <w:tmpl w:val="8034A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905B9"/>
    <w:multiLevelType w:val="hybridMultilevel"/>
    <w:tmpl w:val="84F2E08C"/>
    <w:lvl w:ilvl="0" w:tplc="FC1ED2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D30E4"/>
    <w:multiLevelType w:val="hybridMultilevel"/>
    <w:tmpl w:val="A5FE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6707F"/>
    <w:multiLevelType w:val="singleLevel"/>
    <w:tmpl w:val="2A823A38"/>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10">
    <w:nsid w:val="2BA45CD4"/>
    <w:multiLevelType w:val="hybridMultilevel"/>
    <w:tmpl w:val="E198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C52892"/>
    <w:multiLevelType w:val="hybridMultilevel"/>
    <w:tmpl w:val="6B262F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024188E"/>
    <w:multiLevelType w:val="hybridMultilevel"/>
    <w:tmpl w:val="6D3E7218"/>
    <w:lvl w:ilvl="0" w:tplc="E38C081C">
      <w:start w:val="1"/>
      <w:numFmt w:val="upperRoman"/>
      <w:pStyle w:val="Heading1"/>
      <w:lvlText w:val="%1."/>
      <w:lvlJc w:val="right"/>
      <w:pPr>
        <w:ind w:left="27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660384"/>
    <w:multiLevelType w:val="hybridMultilevel"/>
    <w:tmpl w:val="2F4A7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D5E5801"/>
    <w:multiLevelType w:val="hybridMultilevel"/>
    <w:tmpl w:val="72185B78"/>
    <w:lvl w:ilvl="0" w:tplc="68B09B54">
      <w:start w:val="1"/>
      <w:numFmt w:val="lowerLetter"/>
      <w:pStyle w:val="Heading4"/>
      <w:lvlText w:val="%1."/>
      <w:lvlJc w:val="left"/>
      <w:pPr>
        <w:ind w:left="1890" w:hanging="360"/>
      </w:pPr>
      <w:rPr>
        <w:color w:val="auto"/>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5">
    <w:nsid w:val="4F3E4B4B"/>
    <w:multiLevelType w:val="singleLevel"/>
    <w:tmpl w:val="FB20B622"/>
    <w:lvl w:ilvl="0">
      <w:start w:val="2"/>
      <w:numFmt w:val="decimal"/>
      <w:lvlText w:val="%1."/>
      <w:legacy w:legacy="1" w:legacySpace="0" w:legacyIndent="0"/>
      <w:lvlJc w:val="left"/>
      <w:rPr>
        <w:rFonts w:ascii="Times New Roman" w:hAnsi="Times New Roman" w:cs="Times New Roman" w:hint="default"/>
        <w:color w:val="000000"/>
      </w:rPr>
    </w:lvl>
  </w:abstractNum>
  <w:abstractNum w:abstractNumId="16">
    <w:nsid w:val="55795C5F"/>
    <w:multiLevelType w:val="hybridMultilevel"/>
    <w:tmpl w:val="777C2FCC"/>
    <w:lvl w:ilvl="0" w:tplc="0BC4AA1C">
      <w:start w:val="1"/>
      <w:numFmt w:val="decimal"/>
      <w:lvlText w:val="%1."/>
      <w:lvlJc w:val="left"/>
      <w:pPr>
        <w:ind w:left="1800" w:hanging="360"/>
      </w:pPr>
      <w:rPr>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A134EF9"/>
    <w:multiLevelType w:val="hybridMultilevel"/>
    <w:tmpl w:val="E474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56041"/>
    <w:multiLevelType w:val="singleLevel"/>
    <w:tmpl w:val="DFE606FA"/>
    <w:lvl w:ilvl="0">
      <w:start w:val="2"/>
      <w:numFmt w:val="decimal"/>
      <w:lvlText w:val="%1."/>
      <w:legacy w:legacy="1" w:legacySpace="0" w:legacyIndent="0"/>
      <w:lvlJc w:val="left"/>
      <w:rPr>
        <w:rFonts w:ascii="Times New Roman" w:hAnsi="Times New Roman" w:cs="Times New Roman" w:hint="default"/>
        <w:color w:val="000000"/>
      </w:rPr>
    </w:lvl>
  </w:abstractNum>
  <w:abstractNum w:abstractNumId="19">
    <w:nsid w:val="62551EF9"/>
    <w:multiLevelType w:val="hybridMultilevel"/>
    <w:tmpl w:val="E08A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9D18F5"/>
    <w:multiLevelType w:val="singleLevel"/>
    <w:tmpl w:val="594ABE26"/>
    <w:lvl w:ilvl="0">
      <w:start w:val="1"/>
      <w:numFmt w:val="upperLetter"/>
      <w:lvlText w:val="%1."/>
      <w:legacy w:legacy="1" w:legacySpace="0" w:legacyIndent="0"/>
      <w:lvlJc w:val="left"/>
      <w:rPr>
        <w:rFonts w:ascii="Times New Roman" w:hAnsi="Times New Roman" w:cs="Times New Roman" w:hint="default"/>
        <w:color w:val="000000"/>
      </w:rPr>
    </w:lvl>
  </w:abstractNum>
  <w:abstractNum w:abstractNumId="21">
    <w:nsid w:val="711A423A"/>
    <w:multiLevelType w:val="singleLevel"/>
    <w:tmpl w:val="DFA0B1F2"/>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22">
    <w:nsid w:val="71CE350C"/>
    <w:multiLevelType w:val="hybridMultilevel"/>
    <w:tmpl w:val="9A64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5B4345"/>
    <w:multiLevelType w:val="singleLevel"/>
    <w:tmpl w:val="DC8097DE"/>
    <w:lvl w:ilvl="0">
      <w:start w:val="2"/>
      <w:numFmt w:val="lowerLetter"/>
      <w:lvlText w:val="%1."/>
      <w:legacy w:legacy="1" w:legacySpace="0" w:legacyIndent="0"/>
      <w:lvlJc w:val="left"/>
      <w:rPr>
        <w:rFonts w:ascii="Times New Roman" w:hAnsi="Times New Roman" w:cs="Times New Roman" w:hint="default"/>
        <w:color w:val="000000"/>
      </w:rPr>
    </w:lvl>
  </w:abstractNum>
  <w:abstractNum w:abstractNumId="24">
    <w:nsid w:val="74C74AA9"/>
    <w:multiLevelType w:val="hybridMultilevel"/>
    <w:tmpl w:val="66322608"/>
    <w:lvl w:ilvl="0" w:tplc="03645358">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FC4AE3"/>
    <w:multiLevelType w:val="hybridMultilevel"/>
    <w:tmpl w:val="1FEC0C02"/>
    <w:lvl w:ilvl="0" w:tplc="52D403B8">
      <w:start w:val="1"/>
      <w:numFmt w:val="decimal"/>
      <w:lvlText w:val="%1."/>
      <w:lvlJc w:val="left"/>
      <w:pPr>
        <w:ind w:left="3120" w:hanging="9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7AEA3874"/>
    <w:multiLevelType w:val="hybridMultilevel"/>
    <w:tmpl w:val="02FA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D80CE4"/>
    <w:multiLevelType w:val="hybridMultilevel"/>
    <w:tmpl w:val="54689C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3"/>
  </w:num>
  <w:num w:numId="2">
    <w:abstractNumId w:val="13"/>
  </w:num>
  <w:num w:numId="3">
    <w:abstractNumId w:val="19"/>
  </w:num>
  <w:num w:numId="4">
    <w:abstractNumId w:val="17"/>
  </w:num>
  <w:num w:numId="5">
    <w:abstractNumId w:val="25"/>
  </w:num>
  <w:num w:numId="6">
    <w:abstractNumId w:val="18"/>
  </w:num>
  <w:num w:numId="7">
    <w:abstractNumId w:val="8"/>
  </w:num>
  <w:num w:numId="8">
    <w:abstractNumId w:val="26"/>
  </w:num>
  <w:num w:numId="9">
    <w:abstractNumId w:val="10"/>
  </w:num>
  <w:num w:numId="10">
    <w:abstractNumId w:val="27"/>
  </w:num>
  <w:num w:numId="11">
    <w:abstractNumId w:val="20"/>
  </w:num>
  <w:num w:numId="12">
    <w:abstractNumId w:val="9"/>
  </w:num>
  <w:num w:numId="13">
    <w:abstractNumId w:val="23"/>
  </w:num>
  <w:num w:numId="14">
    <w:abstractNumId w:val="23"/>
    <w:lvlOverride w:ilvl="0">
      <w:lvl w:ilvl="0">
        <w:start w:val="5"/>
        <w:numFmt w:val="lowerLetter"/>
        <w:lvlText w:val="%1."/>
        <w:legacy w:legacy="1" w:legacySpace="0" w:legacyIndent="0"/>
        <w:lvlJc w:val="left"/>
        <w:rPr>
          <w:rFonts w:ascii="Times New Roman" w:hAnsi="Times New Roman" w:cs="Times New Roman" w:hint="default"/>
          <w:color w:val="000000"/>
        </w:rPr>
      </w:lvl>
    </w:lvlOverride>
  </w:num>
  <w:num w:numId="15">
    <w:abstractNumId w:val="15"/>
  </w:num>
  <w:num w:numId="16">
    <w:abstractNumId w:val="21"/>
  </w:num>
  <w:num w:numId="17">
    <w:abstractNumId w:val="21"/>
    <w:lvlOverride w:ilvl="0">
      <w:lvl w:ilvl="0">
        <w:start w:val="2"/>
        <w:numFmt w:val="lowerLetter"/>
        <w:lvlText w:val="%1."/>
        <w:legacy w:legacy="1" w:legacySpace="0" w:legacyIndent="0"/>
        <w:lvlJc w:val="left"/>
        <w:rPr>
          <w:rFonts w:ascii="Times New Roman" w:hAnsi="Times New Roman" w:cs="Times New Roman" w:hint="default"/>
          <w:color w:val="000000"/>
        </w:rPr>
      </w:lvl>
    </w:lvlOverride>
  </w:num>
  <w:num w:numId="18">
    <w:abstractNumId w:val="21"/>
    <w:lvlOverride w:ilvl="0">
      <w:lvl w:ilvl="0">
        <w:start w:val="3"/>
        <w:numFmt w:val="lowerLetter"/>
        <w:lvlText w:val="%1."/>
        <w:legacy w:legacy="1" w:legacySpace="0" w:legacyIndent="0"/>
        <w:lvlJc w:val="left"/>
        <w:rPr>
          <w:rFonts w:ascii="Times New Roman" w:hAnsi="Times New Roman" w:cs="Times New Roman" w:hint="default"/>
          <w:color w:val="000000"/>
        </w:rPr>
      </w:lvl>
    </w:lvlOverride>
  </w:num>
  <w:num w:numId="19">
    <w:abstractNumId w:val="21"/>
    <w:lvlOverride w:ilvl="0">
      <w:lvl w:ilvl="0">
        <w:start w:val="4"/>
        <w:numFmt w:val="lowerLetter"/>
        <w:lvlText w:val="%1."/>
        <w:legacy w:legacy="1" w:legacySpace="0" w:legacyIndent="0"/>
        <w:lvlJc w:val="left"/>
        <w:rPr>
          <w:rFonts w:ascii="Times New Roman" w:hAnsi="Times New Roman" w:cs="Times New Roman" w:hint="default"/>
          <w:color w:val="000000"/>
        </w:rPr>
      </w:lvl>
    </w:lvlOverride>
  </w:num>
  <w:num w:numId="20">
    <w:abstractNumId w:val="21"/>
    <w:lvlOverride w:ilvl="0">
      <w:lvl w:ilvl="0">
        <w:start w:val="5"/>
        <w:numFmt w:val="lowerLetter"/>
        <w:lvlText w:val="%1."/>
        <w:legacy w:legacy="1" w:legacySpace="0" w:legacyIndent="0"/>
        <w:lvlJc w:val="left"/>
        <w:rPr>
          <w:rFonts w:ascii="Times New Roman" w:hAnsi="Times New Roman" w:cs="Times New Roman" w:hint="default"/>
          <w:color w:val="000000"/>
        </w:rPr>
      </w:lvl>
    </w:lvlOverride>
  </w:num>
  <w:num w:numId="21">
    <w:abstractNumId w:val="12"/>
  </w:num>
  <w:num w:numId="22">
    <w:abstractNumId w:val="24"/>
  </w:num>
  <w:num w:numId="23">
    <w:abstractNumId w:val="0"/>
  </w:num>
  <w:num w:numId="24">
    <w:abstractNumId w:val="0"/>
    <w:lvlOverride w:ilvl="0">
      <w:startOverride w:val="1"/>
    </w:lvlOverride>
  </w:num>
  <w:num w:numId="25">
    <w:abstractNumId w:val="7"/>
  </w:num>
  <w:num w:numId="26">
    <w:abstractNumId w:val="11"/>
  </w:num>
  <w:num w:numId="27">
    <w:abstractNumId w:val="2"/>
  </w:num>
  <w:num w:numId="28">
    <w:abstractNumId w:val="14"/>
  </w:num>
  <w:num w:numId="29">
    <w:abstractNumId w:val="14"/>
    <w:lvlOverride w:ilvl="0">
      <w:startOverride w:val="1"/>
    </w:lvlOverride>
  </w:num>
  <w:num w:numId="30">
    <w:abstractNumId w:val="1"/>
  </w:num>
  <w:num w:numId="31">
    <w:abstractNumId w:val="22"/>
  </w:num>
  <w:num w:numId="32">
    <w:abstractNumId w:val="6"/>
  </w:num>
  <w:num w:numId="33">
    <w:abstractNumId w:val="4"/>
  </w:num>
  <w:num w:numId="34">
    <w:abstractNumId w:val="16"/>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65"/>
    <w:rsid w:val="00001F69"/>
    <w:rsid w:val="00003D97"/>
    <w:rsid w:val="00003D98"/>
    <w:rsid w:val="0000559C"/>
    <w:rsid w:val="000113B7"/>
    <w:rsid w:val="000138AE"/>
    <w:rsid w:val="0001422F"/>
    <w:rsid w:val="00016D57"/>
    <w:rsid w:val="00017852"/>
    <w:rsid w:val="00017BC6"/>
    <w:rsid w:val="000210E6"/>
    <w:rsid w:val="00021E46"/>
    <w:rsid w:val="00022B74"/>
    <w:rsid w:val="0002395E"/>
    <w:rsid w:val="0002471C"/>
    <w:rsid w:val="00025F3F"/>
    <w:rsid w:val="00036463"/>
    <w:rsid w:val="00040AEA"/>
    <w:rsid w:val="000411E0"/>
    <w:rsid w:val="00044D20"/>
    <w:rsid w:val="00047874"/>
    <w:rsid w:val="00047F4A"/>
    <w:rsid w:val="00051979"/>
    <w:rsid w:val="00052B8F"/>
    <w:rsid w:val="00053EB3"/>
    <w:rsid w:val="00054612"/>
    <w:rsid w:val="00055068"/>
    <w:rsid w:val="00056286"/>
    <w:rsid w:val="0005785F"/>
    <w:rsid w:val="0005798B"/>
    <w:rsid w:val="00063258"/>
    <w:rsid w:val="000647FF"/>
    <w:rsid w:val="000649EC"/>
    <w:rsid w:val="000656D8"/>
    <w:rsid w:val="000704CA"/>
    <w:rsid w:val="00070A54"/>
    <w:rsid w:val="00070D8A"/>
    <w:rsid w:val="0007306A"/>
    <w:rsid w:val="000733C0"/>
    <w:rsid w:val="0007343F"/>
    <w:rsid w:val="00073CC0"/>
    <w:rsid w:val="00075B79"/>
    <w:rsid w:val="0007683E"/>
    <w:rsid w:val="0008329E"/>
    <w:rsid w:val="00084AF9"/>
    <w:rsid w:val="000866BD"/>
    <w:rsid w:val="00087768"/>
    <w:rsid w:val="00087EDB"/>
    <w:rsid w:val="00090704"/>
    <w:rsid w:val="00090BDF"/>
    <w:rsid w:val="000918D4"/>
    <w:rsid w:val="00093397"/>
    <w:rsid w:val="00097504"/>
    <w:rsid w:val="000A1FA9"/>
    <w:rsid w:val="000A365D"/>
    <w:rsid w:val="000A4534"/>
    <w:rsid w:val="000A5591"/>
    <w:rsid w:val="000A79A7"/>
    <w:rsid w:val="000B03B5"/>
    <w:rsid w:val="000B1BFA"/>
    <w:rsid w:val="000B216D"/>
    <w:rsid w:val="000B2B1C"/>
    <w:rsid w:val="000B3382"/>
    <w:rsid w:val="000B4DA9"/>
    <w:rsid w:val="000B4EAE"/>
    <w:rsid w:val="000B607A"/>
    <w:rsid w:val="000B6B15"/>
    <w:rsid w:val="000C2595"/>
    <w:rsid w:val="000C2AE3"/>
    <w:rsid w:val="000C4EAC"/>
    <w:rsid w:val="000C4EDD"/>
    <w:rsid w:val="000D047F"/>
    <w:rsid w:val="000D1E45"/>
    <w:rsid w:val="000E0DFB"/>
    <w:rsid w:val="000E0E77"/>
    <w:rsid w:val="000E1491"/>
    <w:rsid w:val="000E1EC7"/>
    <w:rsid w:val="000E2011"/>
    <w:rsid w:val="000E2C14"/>
    <w:rsid w:val="000E4727"/>
    <w:rsid w:val="000E524E"/>
    <w:rsid w:val="000E609A"/>
    <w:rsid w:val="000F508B"/>
    <w:rsid w:val="00100858"/>
    <w:rsid w:val="0010158F"/>
    <w:rsid w:val="00104410"/>
    <w:rsid w:val="00104750"/>
    <w:rsid w:val="00104D9B"/>
    <w:rsid w:val="00105888"/>
    <w:rsid w:val="00113DC8"/>
    <w:rsid w:val="00117CB2"/>
    <w:rsid w:val="00122AE3"/>
    <w:rsid w:val="00122B91"/>
    <w:rsid w:val="00123A2E"/>
    <w:rsid w:val="00126041"/>
    <w:rsid w:val="001267D4"/>
    <w:rsid w:val="0012681B"/>
    <w:rsid w:val="00131D1E"/>
    <w:rsid w:val="001322CB"/>
    <w:rsid w:val="001330C7"/>
    <w:rsid w:val="00135972"/>
    <w:rsid w:val="001360FC"/>
    <w:rsid w:val="00137DD9"/>
    <w:rsid w:val="00143D77"/>
    <w:rsid w:val="0014497F"/>
    <w:rsid w:val="001455C5"/>
    <w:rsid w:val="00147145"/>
    <w:rsid w:val="00151132"/>
    <w:rsid w:val="00151C1F"/>
    <w:rsid w:val="00153AC7"/>
    <w:rsid w:val="001554CF"/>
    <w:rsid w:val="00161D63"/>
    <w:rsid w:val="00163646"/>
    <w:rsid w:val="00163E3F"/>
    <w:rsid w:val="00164DA4"/>
    <w:rsid w:val="001663C8"/>
    <w:rsid w:val="001716F9"/>
    <w:rsid w:val="00173A7B"/>
    <w:rsid w:val="00174D3D"/>
    <w:rsid w:val="00175CD5"/>
    <w:rsid w:val="00176B32"/>
    <w:rsid w:val="00176B48"/>
    <w:rsid w:val="001819EC"/>
    <w:rsid w:val="00186A97"/>
    <w:rsid w:val="00187823"/>
    <w:rsid w:val="001878B6"/>
    <w:rsid w:val="00191404"/>
    <w:rsid w:val="00192CF9"/>
    <w:rsid w:val="00196E09"/>
    <w:rsid w:val="001A0136"/>
    <w:rsid w:val="001A1C8D"/>
    <w:rsid w:val="001B1DB4"/>
    <w:rsid w:val="001B7DD8"/>
    <w:rsid w:val="001C0753"/>
    <w:rsid w:val="001C11C0"/>
    <w:rsid w:val="001C1C5F"/>
    <w:rsid w:val="001C31D8"/>
    <w:rsid w:val="001C3767"/>
    <w:rsid w:val="001C392C"/>
    <w:rsid w:val="001C4978"/>
    <w:rsid w:val="001C58EE"/>
    <w:rsid w:val="001D397D"/>
    <w:rsid w:val="001D4E27"/>
    <w:rsid w:val="001D551A"/>
    <w:rsid w:val="001D7353"/>
    <w:rsid w:val="001E1276"/>
    <w:rsid w:val="001E2A84"/>
    <w:rsid w:val="001E2BAE"/>
    <w:rsid w:val="001E38BE"/>
    <w:rsid w:val="001F273D"/>
    <w:rsid w:val="001F3DEC"/>
    <w:rsid w:val="001F58C5"/>
    <w:rsid w:val="001F5AEF"/>
    <w:rsid w:val="0020063E"/>
    <w:rsid w:val="00200B89"/>
    <w:rsid w:val="00202524"/>
    <w:rsid w:val="002029AC"/>
    <w:rsid w:val="00203082"/>
    <w:rsid w:val="002062E5"/>
    <w:rsid w:val="0020678D"/>
    <w:rsid w:val="00206EC5"/>
    <w:rsid w:val="00210043"/>
    <w:rsid w:val="002100A8"/>
    <w:rsid w:val="00210F81"/>
    <w:rsid w:val="00211622"/>
    <w:rsid w:val="0022110C"/>
    <w:rsid w:val="00222C6F"/>
    <w:rsid w:val="002253D4"/>
    <w:rsid w:val="00233173"/>
    <w:rsid w:val="00236911"/>
    <w:rsid w:val="00240D7B"/>
    <w:rsid w:val="002509F0"/>
    <w:rsid w:val="00252A0C"/>
    <w:rsid w:val="00253114"/>
    <w:rsid w:val="0025766A"/>
    <w:rsid w:val="00260957"/>
    <w:rsid w:val="00265F89"/>
    <w:rsid w:val="0027232D"/>
    <w:rsid w:val="00274B88"/>
    <w:rsid w:val="00274DE5"/>
    <w:rsid w:val="00274F59"/>
    <w:rsid w:val="002806E8"/>
    <w:rsid w:val="00281E34"/>
    <w:rsid w:val="00291F68"/>
    <w:rsid w:val="00292614"/>
    <w:rsid w:val="002935B1"/>
    <w:rsid w:val="00293C26"/>
    <w:rsid w:val="00296798"/>
    <w:rsid w:val="00297656"/>
    <w:rsid w:val="0029786C"/>
    <w:rsid w:val="002A0B4D"/>
    <w:rsid w:val="002A2247"/>
    <w:rsid w:val="002A4450"/>
    <w:rsid w:val="002A44C9"/>
    <w:rsid w:val="002B3C34"/>
    <w:rsid w:val="002B3C90"/>
    <w:rsid w:val="002B67B7"/>
    <w:rsid w:val="002C0429"/>
    <w:rsid w:val="002C069A"/>
    <w:rsid w:val="002C5B40"/>
    <w:rsid w:val="002C65B4"/>
    <w:rsid w:val="002C6789"/>
    <w:rsid w:val="002C7BDC"/>
    <w:rsid w:val="002D13C4"/>
    <w:rsid w:val="002D275E"/>
    <w:rsid w:val="002D4A97"/>
    <w:rsid w:val="002D51C2"/>
    <w:rsid w:val="002D56B2"/>
    <w:rsid w:val="002D59EF"/>
    <w:rsid w:val="002D6357"/>
    <w:rsid w:val="002E3026"/>
    <w:rsid w:val="002E3E1A"/>
    <w:rsid w:val="002E3F06"/>
    <w:rsid w:val="002E4CF2"/>
    <w:rsid w:val="002F13BD"/>
    <w:rsid w:val="002F22EE"/>
    <w:rsid w:val="002F3F04"/>
    <w:rsid w:val="002F41BA"/>
    <w:rsid w:val="003002BA"/>
    <w:rsid w:val="00301890"/>
    <w:rsid w:val="003018AA"/>
    <w:rsid w:val="00301A19"/>
    <w:rsid w:val="00303B99"/>
    <w:rsid w:val="00304406"/>
    <w:rsid w:val="00304ACC"/>
    <w:rsid w:val="00304BED"/>
    <w:rsid w:val="0030714F"/>
    <w:rsid w:val="0031001A"/>
    <w:rsid w:val="00314811"/>
    <w:rsid w:val="00314A43"/>
    <w:rsid w:val="0031752C"/>
    <w:rsid w:val="003209F4"/>
    <w:rsid w:val="003215F1"/>
    <w:rsid w:val="00321FFB"/>
    <w:rsid w:val="00323191"/>
    <w:rsid w:val="00323E41"/>
    <w:rsid w:val="0033210C"/>
    <w:rsid w:val="003402D8"/>
    <w:rsid w:val="00342852"/>
    <w:rsid w:val="00342E21"/>
    <w:rsid w:val="0034425F"/>
    <w:rsid w:val="00353396"/>
    <w:rsid w:val="00353937"/>
    <w:rsid w:val="00353A3F"/>
    <w:rsid w:val="00354BD0"/>
    <w:rsid w:val="00357303"/>
    <w:rsid w:val="003601A0"/>
    <w:rsid w:val="00361C2D"/>
    <w:rsid w:val="00362259"/>
    <w:rsid w:val="003622CA"/>
    <w:rsid w:val="0036248C"/>
    <w:rsid w:val="00363030"/>
    <w:rsid w:val="0036462C"/>
    <w:rsid w:val="00364A42"/>
    <w:rsid w:val="003678FB"/>
    <w:rsid w:val="00370F88"/>
    <w:rsid w:val="003755FB"/>
    <w:rsid w:val="0037577C"/>
    <w:rsid w:val="0037684F"/>
    <w:rsid w:val="003774C7"/>
    <w:rsid w:val="00377B0A"/>
    <w:rsid w:val="00381F17"/>
    <w:rsid w:val="00382558"/>
    <w:rsid w:val="0038262D"/>
    <w:rsid w:val="003838E4"/>
    <w:rsid w:val="00385502"/>
    <w:rsid w:val="00386116"/>
    <w:rsid w:val="00390811"/>
    <w:rsid w:val="00393D98"/>
    <w:rsid w:val="00395518"/>
    <w:rsid w:val="0039697A"/>
    <w:rsid w:val="003A402B"/>
    <w:rsid w:val="003A766D"/>
    <w:rsid w:val="003B0611"/>
    <w:rsid w:val="003B56F7"/>
    <w:rsid w:val="003B6CB0"/>
    <w:rsid w:val="003C3140"/>
    <w:rsid w:val="003C3E02"/>
    <w:rsid w:val="003C3FE8"/>
    <w:rsid w:val="003C4E20"/>
    <w:rsid w:val="003C5E3E"/>
    <w:rsid w:val="003C7578"/>
    <w:rsid w:val="003C75C4"/>
    <w:rsid w:val="003D12F5"/>
    <w:rsid w:val="003D21C5"/>
    <w:rsid w:val="003D6AB5"/>
    <w:rsid w:val="003E376C"/>
    <w:rsid w:val="003E553F"/>
    <w:rsid w:val="003F29CC"/>
    <w:rsid w:val="003F7309"/>
    <w:rsid w:val="003F76CA"/>
    <w:rsid w:val="00403D6E"/>
    <w:rsid w:val="00406C17"/>
    <w:rsid w:val="00412B2F"/>
    <w:rsid w:val="00413754"/>
    <w:rsid w:val="00413B28"/>
    <w:rsid w:val="00414170"/>
    <w:rsid w:val="004158E7"/>
    <w:rsid w:val="004213E8"/>
    <w:rsid w:val="0043068A"/>
    <w:rsid w:val="00440C06"/>
    <w:rsid w:val="00441207"/>
    <w:rsid w:val="00444BA8"/>
    <w:rsid w:val="0044539E"/>
    <w:rsid w:val="00445D26"/>
    <w:rsid w:val="00445F4A"/>
    <w:rsid w:val="004462F7"/>
    <w:rsid w:val="0045129D"/>
    <w:rsid w:val="00454296"/>
    <w:rsid w:val="0046019D"/>
    <w:rsid w:val="00460483"/>
    <w:rsid w:val="0046514E"/>
    <w:rsid w:val="00471D82"/>
    <w:rsid w:val="00472D9E"/>
    <w:rsid w:val="0047475D"/>
    <w:rsid w:val="00474E22"/>
    <w:rsid w:val="0047608F"/>
    <w:rsid w:val="00476554"/>
    <w:rsid w:val="00490B05"/>
    <w:rsid w:val="00491D91"/>
    <w:rsid w:val="00491E00"/>
    <w:rsid w:val="0049768F"/>
    <w:rsid w:val="0049791B"/>
    <w:rsid w:val="004A04E5"/>
    <w:rsid w:val="004A0506"/>
    <w:rsid w:val="004A2165"/>
    <w:rsid w:val="004A283C"/>
    <w:rsid w:val="004B1052"/>
    <w:rsid w:val="004B1086"/>
    <w:rsid w:val="004B1C88"/>
    <w:rsid w:val="004B373F"/>
    <w:rsid w:val="004B37D0"/>
    <w:rsid w:val="004B3B19"/>
    <w:rsid w:val="004B53FD"/>
    <w:rsid w:val="004B5B65"/>
    <w:rsid w:val="004C19A0"/>
    <w:rsid w:val="004C3B79"/>
    <w:rsid w:val="004C5F73"/>
    <w:rsid w:val="004D064B"/>
    <w:rsid w:val="004D0910"/>
    <w:rsid w:val="004D1E1B"/>
    <w:rsid w:val="004E0E41"/>
    <w:rsid w:val="004E0E4C"/>
    <w:rsid w:val="004E4BDD"/>
    <w:rsid w:val="004E514F"/>
    <w:rsid w:val="004E5525"/>
    <w:rsid w:val="004E737F"/>
    <w:rsid w:val="004F22DA"/>
    <w:rsid w:val="004F3B5E"/>
    <w:rsid w:val="004F5A07"/>
    <w:rsid w:val="00502702"/>
    <w:rsid w:val="00503256"/>
    <w:rsid w:val="00504834"/>
    <w:rsid w:val="00505AEE"/>
    <w:rsid w:val="0050632E"/>
    <w:rsid w:val="00506CEE"/>
    <w:rsid w:val="00511EF3"/>
    <w:rsid w:val="00514507"/>
    <w:rsid w:val="00521350"/>
    <w:rsid w:val="0052164A"/>
    <w:rsid w:val="00533629"/>
    <w:rsid w:val="00533CD5"/>
    <w:rsid w:val="0053435C"/>
    <w:rsid w:val="00536011"/>
    <w:rsid w:val="00540789"/>
    <w:rsid w:val="005416F7"/>
    <w:rsid w:val="00547633"/>
    <w:rsid w:val="005532F9"/>
    <w:rsid w:val="0055440B"/>
    <w:rsid w:val="005551EA"/>
    <w:rsid w:val="0055708D"/>
    <w:rsid w:val="00561968"/>
    <w:rsid w:val="00561CA6"/>
    <w:rsid w:val="0056415E"/>
    <w:rsid w:val="00567CC8"/>
    <w:rsid w:val="00571C7F"/>
    <w:rsid w:val="005726DB"/>
    <w:rsid w:val="00573C54"/>
    <w:rsid w:val="005744D4"/>
    <w:rsid w:val="00576A91"/>
    <w:rsid w:val="00577DFB"/>
    <w:rsid w:val="005809E7"/>
    <w:rsid w:val="0058292F"/>
    <w:rsid w:val="00587E6A"/>
    <w:rsid w:val="00587E77"/>
    <w:rsid w:val="00590F41"/>
    <w:rsid w:val="00595BA4"/>
    <w:rsid w:val="00596A0B"/>
    <w:rsid w:val="00596E05"/>
    <w:rsid w:val="005970FA"/>
    <w:rsid w:val="005A2298"/>
    <w:rsid w:val="005A3508"/>
    <w:rsid w:val="005A72FC"/>
    <w:rsid w:val="005B0388"/>
    <w:rsid w:val="005B0E84"/>
    <w:rsid w:val="005B109A"/>
    <w:rsid w:val="005B27C8"/>
    <w:rsid w:val="005B52E9"/>
    <w:rsid w:val="005B7BCA"/>
    <w:rsid w:val="005B7EAA"/>
    <w:rsid w:val="005C4EEA"/>
    <w:rsid w:val="005C5D48"/>
    <w:rsid w:val="005C7970"/>
    <w:rsid w:val="005D040A"/>
    <w:rsid w:val="005D2668"/>
    <w:rsid w:val="005D2AB9"/>
    <w:rsid w:val="005D7960"/>
    <w:rsid w:val="005E6960"/>
    <w:rsid w:val="005E7D75"/>
    <w:rsid w:val="005F0D1E"/>
    <w:rsid w:val="005F17B4"/>
    <w:rsid w:val="005F2A95"/>
    <w:rsid w:val="005F3396"/>
    <w:rsid w:val="005F4488"/>
    <w:rsid w:val="005F5458"/>
    <w:rsid w:val="0060288C"/>
    <w:rsid w:val="00606C57"/>
    <w:rsid w:val="00607840"/>
    <w:rsid w:val="00610106"/>
    <w:rsid w:val="0061313F"/>
    <w:rsid w:val="00614A8E"/>
    <w:rsid w:val="006167B1"/>
    <w:rsid w:val="0061765B"/>
    <w:rsid w:val="0062231B"/>
    <w:rsid w:val="00624400"/>
    <w:rsid w:val="00626162"/>
    <w:rsid w:val="006275F0"/>
    <w:rsid w:val="00630F4E"/>
    <w:rsid w:val="006329CC"/>
    <w:rsid w:val="00635DBA"/>
    <w:rsid w:val="00644AA6"/>
    <w:rsid w:val="006508D6"/>
    <w:rsid w:val="00651292"/>
    <w:rsid w:val="006552ED"/>
    <w:rsid w:val="0065545A"/>
    <w:rsid w:val="00656374"/>
    <w:rsid w:val="00660F7C"/>
    <w:rsid w:val="00662F1E"/>
    <w:rsid w:val="00663ED4"/>
    <w:rsid w:val="006651B5"/>
    <w:rsid w:val="00671765"/>
    <w:rsid w:val="00673586"/>
    <w:rsid w:val="00681CEC"/>
    <w:rsid w:val="00682469"/>
    <w:rsid w:val="006859AB"/>
    <w:rsid w:val="00685E01"/>
    <w:rsid w:val="00686B5C"/>
    <w:rsid w:val="00691AE0"/>
    <w:rsid w:val="006A05D5"/>
    <w:rsid w:val="006A2147"/>
    <w:rsid w:val="006A34D2"/>
    <w:rsid w:val="006A68F1"/>
    <w:rsid w:val="006B29E1"/>
    <w:rsid w:val="006C2B61"/>
    <w:rsid w:val="006C2F82"/>
    <w:rsid w:val="006C3FEA"/>
    <w:rsid w:val="006C411C"/>
    <w:rsid w:val="006D01B3"/>
    <w:rsid w:val="006D1127"/>
    <w:rsid w:val="006D3E51"/>
    <w:rsid w:val="006D5072"/>
    <w:rsid w:val="006D71C8"/>
    <w:rsid w:val="006D7CA2"/>
    <w:rsid w:val="006E0678"/>
    <w:rsid w:val="006E1E6C"/>
    <w:rsid w:val="006E5505"/>
    <w:rsid w:val="006F187B"/>
    <w:rsid w:val="006F1EA6"/>
    <w:rsid w:val="006F240A"/>
    <w:rsid w:val="006F2FB3"/>
    <w:rsid w:val="006F50A9"/>
    <w:rsid w:val="006F62BC"/>
    <w:rsid w:val="006F76F7"/>
    <w:rsid w:val="00702DF9"/>
    <w:rsid w:val="00704CB3"/>
    <w:rsid w:val="00705736"/>
    <w:rsid w:val="00706C0C"/>
    <w:rsid w:val="007139B7"/>
    <w:rsid w:val="00714F3B"/>
    <w:rsid w:val="00715212"/>
    <w:rsid w:val="007160CC"/>
    <w:rsid w:val="007166F7"/>
    <w:rsid w:val="00716AEF"/>
    <w:rsid w:val="00717076"/>
    <w:rsid w:val="00720005"/>
    <w:rsid w:val="007254C6"/>
    <w:rsid w:val="00725A08"/>
    <w:rsid w:val="007260E3"/>
    <w:rsid w:val="0072699C"/>
    <w:rsid w:val="00727370"/>
    <w:rsid w:val="0073431C"/>
    <w:rsid w:val="00735D9E"/>
    <w:rsid w:val="00736288"/>
    <w:rsid w:val="0074109C"/>
    <w:rsid w:val="00744137"/>
    <w:rsid w:val="00744BCC"/>
    <w:rsid w:val="00744CF1"/>
    <w:rsid w:val="00751EA1"/>
    <w:rsid w:val="0075228D"/>
    <w:rsid w:val="007525A7"/>
    <w:rsid w:val="007543B0"/>
    <w:rsid w:val="0075498B"/>
    <w:rsid w:val="007551E5"/>
    <w:rsid w:val="007568A9"/>
    <w:rsid w:val="007600CD"/>
    <w:rsid w:val="00761514"/>
    <w:rsid w:val="00762215"/>
    <w:rsid w:val="00763CE7"/>
    <w:rsid w:val="00766435"/>
    <w:rsid w:val="0077639A"/>
    <w:rsid w:val="00776F33"/>
    <w:rsid w:val="0078100C"/>
    <w:rsid w:val="00782ACF"/>
    <w:rsid w:val="00783BCB"/>
    <w:rsid w:val="00786F48"/>
    <w:rsid w:val="0078772C"/>
    <w:rsid w:val="007878E4"/>
    <w:rsid w:val="00793BC8"/>
    <w:rsid w:val="00795050"/>
    <w:rsid w:val="007963BD"/>
    <w:rsid w:val="00797586"/>
    <w:rsid w:val="007A20E9"/>
    <w:rsid w:val="007A497E"/>
    <w:rsid w:val="007A505A"/>
    <w:rsid w:val="007A5191"/>
    <w:rsid w:val="007A5D62"/>
    <w:rsid w:val="007A637C"/>
    <w:rsid w:val="007B3AE8"/>
    <w:rsid w:val="007B4418"/>
    <w:rsid w:val="007B5F62"/>
    <w:rsid w:val="007B66B3"/>
    <w:rsid w:val="007C46DF"/>
    <w:rsid w:val="007C6AE9"/>
    <w:rsid w:val="007C7031"/>
    <w:rsid w:val="007D2970"/>
    <w:rsid w:val="007D3AA0"/>
    <w:rsid w:val="007D3FE2"/>
    <w:rsid w:val="007E2126"/>
    <w:rsid w:val="007E5E6F"/>
    <w:rsid w:val="007E78C5"/>
    <w:rsid w:val="007F681A"/>
    <w:rsid w:val="007F6A8C"/>
    <w:rsid w:val="00800FB0"/>
    <w:rsid w:val="00805C9A"/>
    <w:rsid w:val="00806240"/>
    <w:rsid w:val="00806278"/>
    <w:rsid w:val="00810603"/>
    <w:rsid w:val="00810802"/>
    <w:rsid w:val="00811F8F"/>
    <w:rsid w:val="00813065"/>
    <w:rsid w:val="00813219"/>
    <w:rsid w:val="00817710"/>
    <w:rsid w:val="00820FEC"/>
    <w:rsid w:val="00824AD0"/>
    <w:rsid w:val="00826A9A"/>
    <w:rsid w:val="00827295"/>
    <w:rsid w:val="00832F5F"/>
    <w:rsid w:val="0083324D"/>
    <w:rsid w:val="00836012"/>
    <w:rsid w:val="00841733"/>
    <w:rsid w:val="00844D38"/>
    <w:rsid w:val="00844D85"/>
    <w:rsid w:val="00850DBE"/>
    <w:rsid w:val="008524BE"/>
    <w:rsid w:val="00853BC2"/>
    <w:rsid w:val="00854278"/>
    <w:rsid w:val="008557C6"/>
    <w:rsid w:val="0086236A"/>
    <w:rsid w:val="00864C6E"/>
    <w:rsid w:val="0086632C"/>
    <w:rsid w:val="00867E48"/>
    <w:rsid w:val="0087035A"/>
    <w:rsid w:val="00870FD2"/>
    <w:rsid w:val="00873A67"/>
    <w:rsid w:val="0087600B"/>
    <w:rsid w:val="00882143"/>
    <w:rsid w:val="008827EB"/>
    <w:rsid w:val="00882DAD"/>
    <w:rsid w:val="00885B75"/>
    <w:rsid w:val="00886D2D"/>
    <w:rsid w:val="008874BA"/>
    <w:rsid w:val="0089248A"/>
    <w:rsid w:val="008941C9"/>
    <w:rsid w:val="008949B1"/>
    <w:rsid w:val="00896D2F"/>
    <w:rsid w:val="0089713E"/>
    <w:rsid w:val="008A4353"/>
    <w:rsid w:val="008A4B83"/>
    <w:rsid w:val="008B1D14"/>
    <w:rsid w:val="008B40AE"/>
    <w:rsid w:val="008B79DF"/>
    <w:rsid w:val="008C09C4"/>
    <w:rsid w:val="008C107E"/>
    <w:rsid w:val="008C1F44"/>
    <w:rsid w:val="008C4010"/>
    <w:rsid w:val="008C4081"/>
    <w:rsid w:val="008D1B74"/>
    <w:rsid w:val="008D47E2"/>
    <w:rsid w:val="008D5400"/>
    <w:rsid w:val="008E1A33"/>
    <w:rsid w:val="008E43A9"/>
    <w:rsid w:val="008E5DCC"/>
    <w:rsid w:val="008E7710"/>
    <w:rsid w:val="008F1F65"/>
    <w:rsid w:val="008F759A"/>
    <w:rsid w:val="00900272"/>
    <w:rsid w:val="00903F34"/>
    <w:rsid w:val="00905C0A"/>
    <w:rsid w:val="00907832"/>
    <w:rsid w:val="00907E4A"/>
    <w:rsid w:val="0091465F"/>
    <w:rsid w:val="00914BF0"/>
    <w:rsid w:val="00915634"/>
    <w:rsid w:val="00917001"/>
    <w:rsid w:val="00922D8D"/>
    <w:rsid w:val="009247F5"/>
    <w:rsid w:val="009261FA"/>
    <w:rsid w:val="009265D0"/>
    <w:rsid w:val="00927B91"/>
    <w:rsid w:val="00927DC8"/>
    <w:rsid w:val="00931314"/>
    <w:rsid w:val="00933B0A"/>
    <w:rsid w:val="00942436"/>
    <w:rsid w:val="00944288"/>
    <w:rsid w:val="00944945"/>
    <w:rsid w:val="0094573C"/>
    <w:rsid w:val="00945F41"/>
    <w:rsid w:val="00947881"/>
    <w:rsid w:val="00951C3F"/>
    <w:rsid w:val="009520E5"/>
    <w:rsid w:val="009523DD"/>
    <w:rsid w:val="0095573B"/>
    <w:rsid w:val="00957A1D"/>
    <w:rsid w:val="00960183"/>
    <w:rsid w:val="0096487B"/>
    <w:rsid w:val="00965DC9"/>
    <w:rsid w:val="00980193"/>
    <w:rsid w:val="00982740"/>
    <w:rsid w:val="00985537"/>
    <w:rsid w:val="0098607A"/>
    <w:rsid w:val="00992D1E"/>
    <w:rsid w:val="009961D3"/>
    <w:rsid w:val="00996A23"/>
    <w:rsid w:val="009A06F5"/>
    <w:rsid w:val="009A0788"/>
    <w:rsid w:val="009A5F23"/>
    <w:rsid w:val="009A5FAF"/>
    <w:rsid w:val="009A68E7"/>
    <w:rsid w:val="009B03DF"/>
    <w:rsid w:val="009B0B79"/>
    <w:rsid w:val="009B40D5"/>
    <w:rsid w:val="009B6AF0"/>
    <w:rsid w:val="009B6C3F"/>
    <w:rsid w:val="009C14AD"/>
    <w:rsid w:val="009C1C4B"/>
    <w:rsid w:val="009C3D71"/>
    <w:rsid w:val="009C5292"/>
    <w:rsid w:val="009C53D0"/>
    <w:rsid w:val="009D0485"/>
    <w:rsid w:val="009D0D3C"/>
    <w:rsid w:val="009D1035"/>
    <w:rsid w:val="009D2B87"/>
    <w:rsid w:val="009D7D33"/>
    <w:rsid w:val="009E7690"/>
    <w:rsid w:val="009F1288"/>
    <w:rsid w:val="009F1547"/>
    <w:rsid w:val="00A01B2A"/>
    <w:rsid w:val="00A03133"/>
    <w:rsid w:val="00A066AE"/>
    <w:rsid w:val="00A10C78"/>
    <w:rsid w:val="00A14D14"/>
    <w:rsid w:val="00A176FE"/>
    <w:rsid w:val="00A20F78"/>
    <w:rsid w:val="00A22B5D"/>
    <w:rsid w:val="00A24B13"/>
    <w:rsid w:val="00A24B65"/>
    <w:rsid w:val="00A25D5C"/>
    <w:rsid w:val="00A262B9"/>
    <w:rsid w:val="00A26938"/>
    <w:rsid w:val="00A27DEE"/>
    <w:rsid w:val="00A312C4"/>
    <w:rsid w:val="00A33CF8"/>
    <w:rsid w:val="00A352B6"/>
    <w:rsid w:val="00A369D1"/>
    <w:rsid w:val="00A40CF9"/>
    <w:rsid w:val="00A435DF"/>
    <w:rsid w:val="00A43F95"/>
    <w:rsid w:val="00A44150"/>
    <w:rsid w:val="00A45E46"/>
    <w:rsid w:val="00A4670E"/>
    <w:rsid w:val="00A528D5"/>
    <w:rsid w:val="00A54AFD"/>
    <w:rsid w:val="00A62113"/>
    <w:rsid w:val="00A642F5"/>
    <w:rsid w:val="00A67923"/>
    <w:rsid w:val="00A714B8"/>
    <w:rsid w:val="00A7516D"/>
    <w:rsid w:val="00A80DF9"/>
    <w:rsid w:val="00A82058"/>
    <w:rsid w:val="00A83C8B"/>
    <w:rsid w:val="00A83CEF"/>
    <w:rsid w:val="00A869B0"/>
    <w:rsid w:val="00A94EC9"/>
    <w:rsid w:val="00A951FA"/>
    <w:rsid w:val="00A95BC9"/>
    <w:rsid w:val="00A973FA"/>
    <w:rsid w:val="00AA012E"/>
    <w:rsid w:val="00AA0150"/>
    <w:rsid w:val="00AA0FBC"/>
    <w:rsid w:val="00AA204C"/>
    <w:rsid w:val="00AA2D57"/>
    <w:rsid w:val="00AB0A42"/>
    <w:rsid w:val="00AB10A5"/>
    <w:rsid w:val="00AB143A"/>
    <w:rsid w:val="00AB3D8C"/>
    <w:rsid w:val="00AC5B4D"/>
    <w:rsid w:val="00AC5C1F"/>
    <w:rsid w:val="00AC62C9"/>
    <w:rsid w:val="00AD0AC8"/>
    <w:rsid w:val="00AD2DAD"/>
    <w:rsid w:val="00AD3454"/>
    <w:rsid w:val="00AD69C9"/>
    <w:rsid w:val="00AE1A4A"/>
    <w:rsid w:val="00AE33FF"/>
    <w:rsid w:val="00AE4121"/>
    <w:rsid w:val="00AF06D5"/>
    <w:rsid w:val="00AF09DD"/>
    <w:rsid w:val="00AF722D"/>
    <w:rsid w:val="00B00FF9"/>
    <w:rsid w:val="00B01161"/>
    <w:rsid w:val="00B02655"/>
    <w:rsid w:val="00B05102"/>
    <w:rsid w:val="00B06FF0"/>
    <w:rsid w:val="00B0782F"/>
    <w:rsid w:val="00B07FF6"/>
    <w:rsid w:val="00B115C2"/>
    <w:rsid w:val="00B13117"/>
    <w:rsid w:val="00B14774"/>
    <w:rsid w:val="00B16A34"/>
    <w:rsid w:val="00B208AD"/>
    <w:rsid w:val="00B24651"/>
    <w:rsid w:val="00B259B1"/>
    <w:rsid w:val="00B31B9C"/>
    <w:rsid w:val="00B36185"/>
    <w:rsid w:val="00B4324A"/>
    <w:rsid w:val="00B43AAF"/>
    <w:rsid w:val="00B469D5"/>
    <w:rsid w:val="00B5544F"/>
    <w:rsid w:val="00B55E5D"/>
    <w:rsid w:val="00B60A36"/>
    <w:rsid w:val="00B626A4"/>
    <w:rsid w:val="00B6377B"/>
    <w:rsid w:val="00B65646"/>
    <w:rsid w:val="00B65FF2"/>
    <w:rsid w:val="00B66867"/>
    <w:rsid w:val="00B70661"/>
    <w:rsid w:val="00B713B8"/>
    <w:rsid w:val="00B73E0C"/>
    <w:rsid w:val="00B75683"/>
    <w:rsid w:val="00B756AA"/>
    <w:rsid w:val="00B774A6"/>
    <w:rsid w:val="00B83AB8"/>
    <w:rsid w:val="00B84232"/>
    <w:rsid w:val="00B85880"/>
    <w:rsid w:val="00B91726"/>
    <w:rsid w:val="00B91F9A"/>
    <w:rsid w:val="00B935A8"/>
    <w:rsid w:val="00B94653"/>
    <w:rsid w:val="00B94786"/>
    <w:rsid w:val="00B978CC"/>
    <w:rsid w:val="00BA1CCE"/>
    <w:rsid w:val="00BA493E"/>
    <w:rsid w:val="00BA5A8B"/>
    <w:rsid w:val="00BB26AD"/>
    <w:rsid w:val="00BB5713"/>
    <w:rsid w:val="00BB7F4C"/>
    <w:rsid w:val="00BC05FE"/>
    <w:rsid w:val="00BC7208"/>
    <w:rsid w:val="00BC7894"/>
    <w:rsid w:val="00BD209F"/>
    <w:rsid w:val="00BD270D"/>
    <w:rsid w:val="00BD589D"/>
    <w:rsid w:val="00BD7C68"/>
    <w:rsid w:val="00BE4290"/>
    <w:rsid w:val="00BE510A"/>
    <w:rsid w:val="00BE7B51"/>
    <w:rsid w:val="00BF096D"/>
    <w:rsid w:val="00BF3799"/>
    <w:rsid w:val="00BF77F1"/>
    <w:rsid w:val="00C0103A"/>
    <w:rsid w:val="00C020B1"/>
    <w:rsid w:val="00C020E1"/>
    <w:rsid w:val="00C028DF"/>
    <w:rsid w:val="00C03776"/>
    <w:rsid w:val="00C07F61"/>
    <w:rsid w:val="00C10808"/>
    <w:rsid w:val="00C13821"/>
    <w:rsid w:val="00C15F73"/>
    <w:rsid w:val="00C2037B"/>
    <w:rsid w:val="00C227C0"/>
    <w:rsid w:val="00C24735"/>
    <w:rsid w:val="00C24D98"/>
    <w:rsid w:val="00C30DA4"/>
    <w:rsid w:val="00C36C29"/>
    <w:rsid w:val="00C404A9"/>
    <w:rsid w:val="00C40DD1"/>
    <w:rsid w:val="00C45052"/>
    <w:rsid w:val="00C4551F"/>
    <w:rsid w:val="00C47093"/>
    <w:rsid w:val="00C50108"/>
    <w:rsid w:val="00C56E49"/>
    <w:rsid w:val="00C5778D"/>
    <w:rsid w:val="00C631DB"/>
    <w:rsid w:val="00C66923"/>
    <w:rsid w:val="00C70E8E"/>
    <w:rsid w:val="00C7222D"/>
    <w:rsid w:val="00C7401F"/>
    <w:rsid w:val="00C75655"/>
    <w:rsid w:val="00C81DBC"/>
    <w:rsid w:val="00C868F6"/>
    <w:rsid w:val="00C9137C"/>
    <w:rsid w:val="00C9663B"/>
    <w:rsid w:val="00C97611"/>
    <w:rsid w:val="00CA7DEF"/>
    <w:rsid w:val="00CB11B6"/>
    <w:rsid w:val="00CB3CF0"/>
    <w:rsid w:val="00CB4F7C"/>
    <w:rsid w:val="00CB63BF"/>
    <w:rsid w:val="00CB7302"/>
    <w:rsid w:val="00CC0EB5"/>
    <w:rsid w:val="00CC390E"/>
    <w:rsid w:val="00CC5EA7"/>
    <w:rsid w:val="00CC6CEA"/>
    <w:rsid w:val="00CD0333"/>
    <w:rsid w:val="00CD63D8"/>
    <w:rsid w:val="00CE13BE"/>
    <w:rsid w:val="00CE15D9"/>
    <w:rsid w:val="00CE27BD"/>
    <w:rsid w:val="00CE2816"/>
    <w:rsid w:val="00CE2872"/>
    <w:rsid w:val="00CE39EA"/>
    <w:rsid w:val="00CE58C2"/>
    <w:rsid w:val="00CE6070"/>
    <w:rsid w:val="00CE7599"/>
    <w:rsid w:val="00CF2EFF"/>
    <w:rsid w:val="00CF591A"/>
    <w:rsid w:val="00CF5B47"/>
    <w:rsid w:val="00CF7E9E"/>
    <w:rsid w:val="00D05AFE"/>
    <w:rsid w:val="00D15BDD"/>
    <w:rsid w:val="00D16008"/>
    <w:rsid w:val="00D30213"/>
    <w:rsid w:val="00D30EFC"/>
    <w:rsid w:val="00D32E9C"/>
    <w:rsid w:val="00D33D87"/>
    <w:rsid w:val="00D36EEC"/>
    <w:rsid w:val="00D372F3"/>
    <w:rsid w:val="00D37CCF"/>
    <w:rsid w:val="00D46202"/>
    <w:rsid w:val="00D46437"/>
    <w:rsid w:val="00D5204B"/>
    <w:rsid w:val="00D54C10"/>
    <w:rsid w:val="00D61174"/>
    <w:rsid w:val="00D628BE"/>
    <w:rsid w:val="00D659F0"/>
    <w:rsid w:val="00D674A2"/>
    <w:rsid w:val="00D722DF"/>
    <w:rsid w:val="00D81207"/>
    <w:rsid w:val="00D82418"/>
    <w:rsid w:val="00D84675"/>
    <w:rsid w:val="00D846E0"/>
    <w:rsid w:val="00D90427"/>
    <w:rsid w:val="00DA3AF3"/>
    <w:rsid w:val="00DA5455"/>
    <w:rsid w:val="00DA5C2B"/>
    <w:rsid w:val="00DB05A2"/>
    <w:rsid w:val="00DB222B"/>
    <w:rsid w:val="00DB29BF"/>
    <w:rsid w:val="00DB2D8B"/>
    <w:rsid w:val="00DB5EFB"/>
    <w:rsid w:val="00DB7AA6"/>
    <w:rsid w:val="00DC2787"/>
    <w:rsid w:val="00DC3073"/>
    <w:rsid w:val="00DC3C3A"/>
    <w:rsid w:val="00DC7233"/>
    <w:rsid w:val="00DD409A"/>
    <w:rsid w:val="00DE1703"/>
    <w:rsid w:val="00DE3090"/>
    <w:rsid w:val="00DE7004"/>
    <w:rsid w:val="00DF1299"/>
    <w:rsid w:val="00DF534B"/>
    <w:rsid w:val="00DF568D"/>
    <w:rsid w:val="00E00CCB"/>
    <w:rsid w:val="00E00DEE"/>
    <w:rsid w:val="00E03319"/>
    <w:rsid w:val="00E033E8"/>
    <w:rsid w:val="00E071E8"/>
    <w:rsid w:val="00E07DCB"/>
    <w:rsid w:val="00E100B5"/>
    <w:rsid w:val="00E12D95"/>
    <w:rsid w:val="00E175A7"/>
    <w:rsid w:val="00E20168"/>
    <w:rsid w:val="00E20740"/>
    <w:rsid w:val="00E20E92"/>
    <w:rsid w:val="00E24645"/>
    <w:rsid w:val="00E25D94"/>
    <w:rsid w:val="00E262F3"/>
    <w:rsid w:val="00E30328"/>
    <w:rsid w:val="00E337BC"/>
    <w:rsid w:val="00E350CD"/>
    <w:rsid w:val="00E35611"/>
    <w:rsid w:val="00E463A6"/>
    <w:rsid w:val="00E52BDF"/>
    <w:rsid w:val="00E537E7"/>
    <w:rsid w:val="00E600F1"/>
    <w:rsid w:val="00E60246"/>
    <w:rsid w:val="00E6159D"/>
    <w:rsid w:val="00E615C8"/>
    <w:rsid w:val="00E64729"/>
    <w:rsid w:val="00E6505F"/>
    <w:rsid w:val="00E65E6C"/>
    <w:rsid w:val="00E66724"/>
    <w:rsid w:val="00E67802"/>
    <w:rsid w:val="00E705B7"/>
    <w:rsid w:val="00E71A89"/>
    <w:rsid w:val="00E81E00"/>
    <w:rsid w:val="00E83AC9"/>
    <w:rsid w:val="00E8429A"/>
    <w:rsid w:val="00E867EC"/>
    <w:rsid w:val="00E90A15"/>
    <w:rsid w:val="00E91CA8"/>
    <w:rsid w:val="00EA2CA0"/>
    <w:rsid w:val="00EA7ECF"/>
    <w:rsid w:val="00EB055B"/>
    <w:rsid w:val="00EB2D98"/>
    <w:rsid w:val="00EB465F"/>
    <w:rsid w:val="00EC1212"/>
    <w:rsid w:val="00EC1D3D"/>
    <w:rsid w:val="00EC677E"/>
    <w:rsid w:val="00EC7E67"/>
    <w:rsid w:val="00ED3D28"/>
    <w:rsid w:val="00ED558A"/>
    <w:rsid w:val="00ED62B3"/>
    <w:rsid w:val="00ED71F1"/>
    <w:rsid w:val="00EE0B3E"/>
    <w:rsid w:val="00EE0F3A"/>
    <w:rsid w:val="00EE2179"/>
    <w:rsid w:val="00EE2440"/>
    <w:rsid w:val="00EE7E55"/>
    <w:rsid w:val="00EF015C"/>
    <w:rsid w:val="00EF2B8E"/>
    <w:rsid w:val="00EF67F9"/>
    <w:rsid w:val="00F0011B"/>
    <w:rsid w:val="00F00CF8"/>
    <w:rsid w:val="00F01C4C"/>
    <w:rsid w:val="00F047AE"/>
    <w:rsid w:val="00F04831"/>
    <w:rsid w:val="00F06F0D"/>
    <w:rsid w:val="00F0759D"/>
    <w:rsid w:val="00F10638"/>
    <w:rsid w:val="00F11F22"/>
    <w:rsid w:val="00F13036"/>
    <w:rsid w:val="00F16B74"/>
    <w:rsid w:val="00F23C56"/>
    <w:rsid w:val="00F246B1"/>
    <w:rsid w:val="00F24D75"/>
    <w:rsid w:val="00F261E3"/>
    <w:rsid w:val="00F2630A"/>
    <w:rsid w:val="00F26CA2"/>
    <w:rsid w:val="00F276AE"/>
    <w:rsid w:val="00F343E6"/>
    <w:rsid w:val="00F34F33"/>
    <w:rsid w:val="00F35C82"/>
    <w:rsid w:val="00F37B6B"/>
    <w:rsid w:val="00F41C2D"/>
    <w:rsid w:val="00F43C11"/>
    <w:rsid w:val="00F46151"/>
    <w:rsid w:val="00F47246"/>
    <w:rsid w:val="00F50611"/>
    <w:rsid w:val="00F521FE"/>
    <w:rsid w:val="00F55BC0"/>
    <w:rsid w:val="00F66FCA"/>
    <w:rsid w:val="00F71EED"/>
    <w:rsid w:val="00F746E4"/>
    <w:rsid w:val="00F82E85"/>
    <w:rsid w:val="00F8546E"/>
    <w:rsid w:val="00F93915"/>
    <w:rsid w:val="00F93F78"/>
    <w:rsid w:val="00F95DAF"/>
    <w:rsid w:val="00F97120"/>
    <w:rsid w:val="00FA2604"/>
    <w:rsid w:val="00FA5451"/>
    <w:rsid w:val="00FA774E"/>
    <w:rsid w:val="00FB0249"/>
    <w:rsid w:val="00FB0864"/>
    <w:rsid w:val="00FB1DD0"/>
    <w:rsid w:val="00FB4180"/>
    <w:rsid w:val="00FC06BA"/>
    <w:rsid w:val="00FC28EE"/>
    <w:rsid w:val="00FC6B26"/>
    <w:rsid w:val="00FD41DF"/>
    <w:rsid w:val="00FD47F7"/>
    <w:rsid w:val="00FD663A"/>
    <w:rsid w:val="00FD6657"/>
    <w:rsid w:val="00FE179F"/>
    <w:rsid w:val="00FE36C3"/>
    <w:rsid w:val="00FE370E"/>
    <w:rsid w:val="00FE44CC"/>
    <w:rsid w:val="00FE45EC"/>
    <w:rsid w:val="00FE4AD2"/>
    <w:rsid w:val="00FF1A54"/>
    <w:rsid w:val="00FF2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FE"/>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B774A6"/>
    <w:pPr>
      <w:keepNext/>
      <w:keepLines/>
      <w:numPr>
        <w:numId w:val="21"/>
      </w:numPr>
      <w:spacing w:line="240" w:lineRule="auto"/>
      <w:ind w:left="72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552ED"/>
    <w:pPr>
      <w:keepNext/>
      <w:keepLines/>
      <w:numPr>
        <w:numId w:val="22"/>
      </w:numPr>
      <w:spacing w:line="240" w:lineRule="auto"/>
      <w:ind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56E49"/>
    <w:pPr>
      <w:keepNext/>
      <w:keepLines/>
      <w:numPr>
        <w:numId w:val="23"/>
      </w:numPr>
      <w:spacing w:line="240" w:lineRule="auto"/>
      <w:ind w:hanging="720"/>
      <w:outlineLvl w:val="2"/>
    </w:pPr>
    <w:rPr>
      <w:rFonts w:eastAsiaTheme="majorEastAsia" w:cstheme="majorBidi"/>
      <w:b/>
      <w:bCs/>
    </w:rPr>
  </w:style>
  <w:style w:type="paragraph" w:styleId="Heading4">
    <w:name w:val="heading 4"/>
    <w:basedOn w:val="Normal"/>
    <w:link w:val="Heading4Char"/>
    <w:qFormat/>
    <w:rsid w:val="001C58EE"/>
    <w:pPr>
      <w:numPr>
        <w:numId w:val="28"/>
      </w:numPr>
      <w:spacing w:line="240" w:lineRule="auto"/>
      <w:ind w:left="2160"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08"/>
    <w:pPr>
      <w:tabs>
        <w:tab w:val="center" w:pos="4680"/>
        <w:tab w:val="right" w:pos="9360"/>
      </w:tabs>
    </w:pPr>
  </w:style>
  <w:style w:type="character" w:customStyle="1" w:styleId="HeaderChar">
    <w:name w:val="Header Char"/>
    <w:basedOn w:val="DefaultParagraphFont"/>
    <w:link w:val="Header"/>
    <w:uiPriority w:val="99"/>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paragraph" w:customStyle="1" w:styleId="Style">
    <w:name w:val="Style"/>
    <w:rsid w:val="001D4E27"/>
    <w:pPr>
      <w:widowControl w:val="0"/>
      <w:autoSpaceDE w:val="0"/>
      <w:autoSpaceDN w:val="0"/>
      <w:adjustRightInd w:val="0"/>
      <w:spacing w:after="0" w:line="240" w:lineRule="auto"/>
    </w:pPr>
    <w:rPr>
      <w:rFonts w:ascii="Courier New" w:eastAsiaTheme="minorEastAsia" w:hAnsi="Courier New" w:cs="Courier New"/>
      <w:sz w:val="24"/>
      <w:szCs w:val="24"/>
    </w:rPr>
  </w:style>
  <w:style w:type="table" w:styleId="TableGrid">
    <w:name w:val="Table Grid"/>
    <w:basedOn w:val="TableNormal"/>
    <w:uiPriority w:val="59"/>
    <w:rsid w:val="00104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B011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2 Char,Footnote Text Char Char1 Char,Footnote Text Char1 Char Char Char,Footnote Text Char Char Char Char Char,Footnote Text Char1 Char Char Char Char Char,Footnote Text Char1"/>
    <w:basedOn w:val="Normal"/>
    <w:link w:val="FootnoteTextChar"/>
    <w:uiPriority w:val="99"/>
    <w:rsid w:val="00B01161"/>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Footnote Text Char1 Char"/>
    <w:basedOn w:val="DefaultParagraphFont"/>
    <w:link w:val="FootnoteText"/>
    <w:uiPriority w:val="99"/>
    <w:rsid w:val="00B01161"/>
    <w:rPr>
      <w:rFonts w:ascii="Times New Roman" w:eastAsia="Times New Roman" w:hAnsi="Times New Roman" w:cs="Times New Roman"/>
      <w:sz w:val="20"/>
      <w:szCs w:val="20"/>
    </w:rPr>
  </w:style>
  <w:style w:type="character" w:styleId="FootnoteReference">
    <w:name w:val="footnote reference"/>
    <w:basedOn w:val="DefaultParagraphFont"/>
    <w:rsid w:val="00B01161"/>
    <w:rPr>
      <w:vertAlign w:val="superscript"/>
    </w:rPr>
  </w:style>
  <w:style w:type="character" w:customStyle="1" w:styleId="Heading1Char">
    <w:name w:val="Heading 1 Char"/>
    <w:basedOn w:val="DefaultParagraphFont"/>
    <w:link w:val="Heading1"/>
    <w:uiPriority w:val="9"/>
    <w:rsid w:val="00B774A6"/>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6552ED"/>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C56E49"/>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rsid w:val="001C58EE"/>
    <w:rPr>
      <w:rFonts w:ascii="Times New Roman" w:eastAsia="Times New Roman" w:hAnsi="Times New Roman" w:cs="Times New Roman"/>
      <w:b/>
      <w:bCs/>
      <w:sz w:val="26"/>
      <w:szCs w:val="24"/>
    </w:rPr>
  </w:style>
  <w:style w:type="paragraph" w:customStyle="1" w:styleId="ParaTab1">
    <w:name w:val="ParaTab 1"/>
    <w:rsid w:val="00571C7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footnote">
    <w:name w:val="footnote"/>
    <w:basedOn w:val="FootnoteText"/>
    <w:link w:val="footnoteChar"/>
    <w:qFormat/>
    <w:rsid w:val="008B40AE"/>
    <w:pPr>
      <w:spacing w:line="240" w:lineRule="auto"/>
      <w:ind w:firstLine="720"/>
    </w:pPr>
    <w:rPr>
      <w:sz w:val="26"/>
    </w:rPr>
  </w:style>
  <w:style w:type="character" w:customStyle="1" w:styleId="footnoteChar">
    <w:name w:val="footnote Char"/>
    <w:basedOn w:val="FootnoteTextChar"/>
    <w:link w:val="footnote"/>
    <w:rsid w:val="008B40AE"/>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2B3C90"/>
    <w:rPr>
      <w:sz w:val="16"/>
      <w:szCs w:val="16"/>
    </w:rPr>
  </w:style>
  <w:style w:type="paragraph" w:styleId="CommentText">
    <w:name w:val="annotation text"/>
    <w:basedOn w:val="Normal"/>
    <w:link w:val="CommentTextChar"/>
    <w:uiPriority w:val="99"/>
    <w:semiHidden/>
    <w:unhideWhenUsed/>
    <w:rsid w:val="002B3C90"/>
    <w:pPr>
      <w:spacing w:line="240" w:lineRule="auto"/>
    </w:pPr>
    <w:rPr>
      <w:sz w:val="20"/>
      <w:szCs w:val="20"/>
    </w:rPr>
  </w:style>
  <w:style w:type="character" w:customStyle="1" w:styleId="CommentTextChar">
    <w:name w:val="Comment Text Char"/>
    <w:basedOn w:val="DefaultParagraphFont"/>
    <w:link w:val="CommentText"/>
    <w:uiPriority w:val="99"/>
    <w:semiHidden/>
    <w:rsid w:val="002B3C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3C90"/>
    <w:rPr>
      <w:b/>
      <w:bCs/>
    </w:rPr>
  </w:style>
  <w:style w:type="character" w:customStyle="1" w:styleId="CommentSubjectChar">
    <w:name w:val="Comment Subject Char"/>
    <w:basedOn w:val="CommentTextChar"/>
    <w:link w:val="CommentSubject"/>
    <w:uiPriority w:val="99"/>
    <w:semiHidden/>
    <w:rsid w:val="002B3C9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FE"/>
    <w:pPr>
      <w:spacing w:after="0" w:line="360" w:lineRule="auto"/>
      <w:ind w:firstLine="1440"/>
    </w:pPr>
    <w:rPr>
      <w:rFonts w:ascii="Times New Roman" w:eastAsia="Times New Roman" w:hAnsi="Times New Roman" w:cs="Times New Roman"/>
      <w:sz w:val="26"/>
      <w:szCs w:val="24"/>
    </w:rPr>
  </w:style>
  <w:style w:type="paragraph" w:styleId="Heading1">
    <w:name w:val="heading 1"/>
    <w:basedOn w:val="Normal"/>
    <w:next w:val="Normal"/>
    <w:link w:val="Heading1Char"/>
    <w:uiPriority w:val="9"/>
    <w:qFormat/>
    <w:rsid w:val="00B774A6"/>
    <w:pPr>
      <w:keepNext/>
      <w:keepLines/>
      <w:numPr>
        <w:numId w:val="21"/>
      </w:numPr>
      <w:spacing w:line="240" w:lineRule="auto"/>
      <w:ind w:left="72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552ED"/>
    <w:pPr>
      <w:keepNext/>
      <w:keepLines/>
      <w:numPr>
        <w:numId w:val="22"/>
      </w:numPr>
      <w:spacing w:line="240" w:lineRule="auto"/>
      <w:ind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56E49"/>
    <w:pPr>
      <w:keepNext/>
      <w:keepLines/>
      <w:numPr>
        <w:numId w:val="23"/>
      </w:numPr>
      <w:spacing w:line="240" w:lineRule="auto"/>
      <w:ind w:hanging="720"/>
      <w:outlineLvl w:val="2"/>
    </w:pPr>
    <w:rPr>
      <w:rFonts w:eastAsiaTheme="majorEastAsia" w:cstheme="majorBidi"/>
      <w:b/>
      <w:bCs/>
    </w:rPr>
  </w:style>
  <w:style w:type="paragraph" w:styleId="Heading4">
    <w:name w:val="heading 4"/>
    <w:basedOn w:val="Normal"/>
    <w:link w:val="Heading4Char"/>
    <w:qFormat/>
    <w:rsid w:val="001C58EE"/>
    <w:pPr>
      <w:numPr>
        <w:numId w:val="28"/>
      </w:numPr>
      <w:spacing w:line="240" w:lineRule="auto"/>
      <w:ind w:left="2160"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08"/>
    <w:pPr>
      <w:tabs>
        <w:tab w:val="center" w:pos="4680"/>
        <w:tab w:val="right" w:pos="9360"/>
      </w:tabs>
    </w:pPr>
  </w:style>
  <w:style w:type="character" w:customStyle="1" w:styleId="HeaderChar">
    <w:name w:val="Header Char"/>
    <w:basedOn w:val="DefaultParagraphFont"/>
    <w:link w:val="Header"/>
    <w:uiPriority w:val="99"/>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paragraph" w:customStyle="1" w:styleId="Style">
    <w:name w:val="Style"/>
    <w:rsid w:val="001D4E27"/>
    <w:pPr>
      <w:widowControl w:val="0"/>
      <w:autoSpaceDE w:val="0"/>
      <w:autoSpaceDN w:val="0"/>
      <w:adjustRightInd w:val="0"/>
      <w:spacing w:after="0" w:line="240" w:lineRule="auto"/>
    </w:pPr>
    <w:rPr>
      <w:rFonts w:ascii="Courier New" w:eastAsiaTheme="minorEastAsia" w:hAnsi="Courier New" w:cs="Courier New"/>
      <w:sz w:val="24"/>
      <w:szCs w:val="24"/>
    </w:rPr>
  </w:style>
  <w:style w:type="table" w:styleId="TableGrid">
    <w:name w:val="Table Grid"/>
    <w:basedOn w:val="TableNormal"/>
    <w:uiPriority w:val="59"/>
    <w:rsid w:val="001047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B011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2 Char,Footnote Text Char Char1 Char,Footnote Text Char1 Char Char Char,Footnote Text Char Char Char Char Char,Footnote Text Char1 Char Char Char Char Char,Footnote Text Char1"/>
    <w:basedOn w:val="Normal"/>
    <w:link w:val="FootnoteTextChar"/>
    <w:uiPriority w:val="99"/>
    <w:rsid w:val="00B01161"/>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Footnote Text Char1 Char"/>
    <w:basedOn w:val="DefaultParagraphFont"/>
    <w:link w:val="FootnoteText"/>
    <w:uiPriority w:val="99"/>
    <w:rsid w:val="00B01161"/>
    <w:rPr>
      <w:rFonts w:ascii="Times New Roman" w:eastAsia="Times New Roman" w:hAnsi="Times New Roman" w:cs="Times New Roman"/>
      <w:sz w:val="20"/>
      <w:szCs w:val="20"/>
    </w:rPr>
  </w:style>
  <w:style w:type="character" w:styleId="FootnoteReference">
    <w:name w:val="footnote reference"/>
    <w:basedOn w:val="DefaultParagraphFont"/>
    <w:rsid w:val="00B01161"/>
    <w:rPr>
      <w:vertAlign w:val="superscript"/>
    </w:rPr>
  </w:style>
  <w:style w:type="character" w:customStyle="1" w:styleId="Heading1Char">
    <w:name w:val="Heading 1 Char"/>
    <w:basedOn w:val="DefaultParagraphFont"/>
    <w:link w:val="Heading1"/>
    <w:uiPriority w:val="9"/>
    <w:rsid w:val="00B774A6"/>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6552ED"/>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C56E49"/>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rsid w:val="001C58EE"/>
    <w:rPr>
      <w:rFonts w:ascii="Times New Roman" w:eastAsia="Times New Roman" w:hAnsi="Times New Roman" w:cs="Times New Roman"/>
      <w:b/>
      <w:bCs/>
      <w:sz w:val="26"/>
      <w:szCs w:val="24"/>
    </w:rPr>
  </w:style>
  <w:style w:type="paragraph" w:customStyle="1" w:styleId="ParaTab1">
    <w:name w:val="ParaTab 1"/>
    <w:rsid w:val="00571C7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footnote">
    <w:name w:val="footnote"/>
    <w:basedOn w:val="FootnoteText"/>
    <w:link w:val="footnoteChar"/>
    <w:qFormat/>
    <w:rsid w:val="008B40AE"/>
    <w:pPr>
      <w:spacing w:line="240" w:lineRule="auto"/>
      <w:ind w:firstLine="720"/>
    </w:pPr>
    <w:rPr>
      <w:sz w:val="26"/>
    </w:rPr>
  </w:style>
  <w:style w:type="character" w:customStyle="1" w:styleId="footnoteChar">
    <w:name w:val="footnote Char"/>
    <w:basedOn w:val="FootnoteTextChar"/>
    <w:link w:val="footnote"/>
    <w:rsid w:val="008B40AE"/>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2B3C90"/>
    <w:rPr>
      <w:sz w:val="16"/>
      <w:szCs w:val="16"/>
    </w:rPr>
  </w:style>
  <w:style w:type="paragraph" w:styleId="CommentText">
    <w:name w:val="annotation text"/>
    <w:basedOn w:val="Normal"/>
    <w:link w:val="CommentTextChar"/>
    <w:uiPriority w:val="99"/>
    <w:semiHidden/>
    <w:unhideWhenUsed/>
    <w:rsid w:val="002B3C90"/>
    <w:pPr>
      <w:spacing w:line="240" w:lineRule="auto"/>
    </w:pPr>
    <w:rPr>
      <w:sz w:val="20"/>
      <w:szCs w:val="20"/>
    </w:rPr>
  </w:style>
  <w:style w:type="character" w:customStyle="1" w:styleId="CommentTextChar">
    <w:name w:val="Comment Text Char"/>
    <w:basedOn w:val="DefaultParagraphFont"/>
    <w:link w:val="CommentText"/>
    <w:uiPriority w:val="99"/>
    <w:semiHidden/>
    <w:rsid w:val="002B3C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3C90"/>
    <w:rPr>
      <w:b/>
      <w:bCs/>
    </w:rPr>
  </w:style>
  <w:style w:type="character" w:customStyle="1" w:styleId="CommentSubjectChar">
    <w:name w:val="Comment Subject Char"/>
    <w:basedOn w:val="CommentTextChar"/>
    <w:link w:val="CommentSubject"/>
    <w:uiPriority w:val="99"/>
    <w:semiHidden/>
    <w:rsid w:val="002B3C9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70146-2E94-4B97-AB4C-9CA40B68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25</Pages>
  <Words>6497</Words>
  <Characters>37033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14</cp:revision>
  <cp:lastPrinted>2015-08-20T15:58:00Z</cp:lastPrinted>
  <dcterms:created xsi:type="dcterms:W3CDTF">2015-08-06T19:03:00Z</dcterms:created>
  <dcterms:modified xsi:type="dcterms:W3CDTF">2015-08-20T15:58:00Z</dcterms:modified>
</cp:coreProperties>
</file>