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D3" w:rsidRPr="005D1191" w:rsidRDefault="000117D3" w:rsidP="004603B3">
      <w:pPr>
        <w:pStyle w:val="Title"/>
        <w:ind w:right="-90"/>
        <w:contextualSpacing/>
        <w:rPr>
          <w:szCs w:val="26"/>
        </w:rPr>
      </w:pPr>
      <w:r w:rsidRPr="005D1191">
        <w:rPr>
          <w:szCs w:val="26"/>
        </w:rPr>
        <w:t>PENNSYLVANIA</w:t>
      </w:r>
    </w:p>
    <w:p w:rsidR="000117D3" w:rsidRPr="005D1191" w:rsidRDefault="000117D3" w:rsidP="004603B3">
      <w:pPr>
        <w:contextualSpacing/>
        <w:jc w:val="center"/>
        <w:rPr>
          <w:b/>
          <w:szCs w:val="26"/>
        </w:rPr>
      </w:pPr>
      <w:r w:rsidRPr="005D1191">
        <w:rPr>
          <w:b/>
          <w:szCs w:val="26"/>
        </w:rPr>
        <w:t>PUBLIC UTILITY COMMISSION</w:t>
      </w:r>
    </w:p>
    <w:p w:rsidR="000117D3" w:rsidRPr="005D1191" w:rsidRDefault="000117D3" w:rsidP="004603B3">
      <w:pPr>
        <w:pStyle w:val="Heading1"/>
        <w:contextualSpacing/>
        <w:rPr>
          <w:szCs w:val="26"/>
        </w:rPr>
      </w:pPr>
      <w:r w:rsidRPr="005D1191">
        <w:rPr>
          <w:szCs w:val="26"/>
        </w:rPr>
        <w:t>Harrisburg PA 17105-3265</w:t>
      </w:r>
    </w:p>
    <w:p w:rsidR="000117D3" w:rsidRPr="005D1191" w:rsidRDefault="000117D3" w:rsidP="004603B3">
      <w:pPr>
        <w:contextualSpacing/>
        <w:jc w:val="center"/>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248"/>
      </w:tblGrid>
      <w:tr w:rsidR="006B55F0" w:rsidRPr="005D1191" w:rsidTr="003B16A6">
        <w:tc>
          <w:tcPr>
            <w:tcW w:w="5238" w:type="dxa"/>
          </w:tcPr>
          <w:p w:rsidR="006B55F0" w:rsidRPr="005D1191" w:rsidRDefault="006B55F0" w:rsidP="004603B3">
            <w:pPr>
              <w:contextualSpacing/>
              <w:rPr>
                <w:szCs w:val="26"/>
              </w:rPr>
            </w:pPr>
          </w:p>
        </w:tc>
        <w:tc>
          <w:tcPr>
            <w:tcW w:w="4248" w:type="dxa"/>
          </w:tcPr>
          <w:p w:rsidR="006B55F0" w:rsidRPr="005D1191" w:rsidRDefault="006B55F0" w:rsidP="004603B3">
            <w:pPr>
              <w:contextualSpacing/>
              <w:jc w:val="right"/>
              <w:rPr>
                <w:szCs w:val="26"/>
              </w:rPr>
            </w:pPr>
            <w:r w:rsidRPr="005D1191">
              <w:rPr>
                <w:szCs w:val="26"/>
              </w:rPr>
              <w:t xml:space="preserve">Public Meeting held </w:t>
            </w:r>
            <w:r w:rsidR="00A956D2">
              <w:rPr>
                <w:szCs w:val="26"/>
              </w:rPr>
              <w:t>August 20</w:t>
            </w:r>
            <w:r w:rsidRPr="005D1191">
              <w:rPr>
                <w:szCs w:val="26"/>
              </w:rPr>
              <w:t>, 2015</w:t>
            </w:r>
          </w:p>
          <w:p w:rsidR="006B55F0" w:rsidRPr="005D1191" w:rsidRDefault="006B55F0" w:rsidP="004603B3">
            <w:pPr>
              <w:contextualSpacing/>
              <w:jc w:val="right"/>
              <w:rPr>
                <w:szCs w:val="26"/>
              </w:rPr>
            </w:pPr>
          </w:p>
          <w:p w:rsidR="006B55F0" w:rsidRPr="005D1191" w:rsidRDefault="006B55F0" w:rsidP="004603B3">
            <w:pPr>
              <w:contextualSpacing/>
              <w:jc w:val="right"/>
              <w:rPr>
                <w:szCs w:val="26"/>
              </w:rPr>
            </w:pPr>
          </w:p>
        </w:tc>
      </w:tr>
      <w:tr w:rsidR="006B55F0" w:rsidRPr="005D1191" w:rsidTr="003B16A6">
        <w:tc>
          <w:tcPr>
            <w:tcW w:w="5238" w:type="dxa"/>
          </w:tcPr>
          <w:p w:rsidR="006B55F0" w:rsidRPr="005D1191" w:rsidRDefault="006B55F0" w:rsidP="004603B3">
            <w:pPr>
              <w:contextualSpacing/>
              <w:rPr>
                <w:szCs w:val="26"/>
              </w:rPr>
            </w:pPr>
            <w:r w:rsidRPr="005D1191">
              <w:rPr>
                <w:szCs w:val="26"/>
              </w:rPr>
              <w:t>Commissioners Present:</w:t>
            </w:r>
          </w:p>
          <w:p w:rsidR="006B55F0" w:rsidRPr="005D1191" w:rsidRDefault="006B55F0" w:rsidP="004603B3">
            <w:pPr>
              <w:contextualSpacing/>
              <w:rPr>
                <w:szCs w:val="26"/>
              </w:rPr>
            </w:pPr>
          </w:p>
          <w:p w:rsidR="006B55F0" w:rsidRPr="005D1191" w:rsidRDefault="006B55F0" w:rsidP="004603B3">
            <w:pPr>
              <w:tabs>
                <w:tab w:val="left" w:pos="705"/>
              </w:tabs>
              <w:ind w:firstLine="720"/>
              <w:contextualSpacing/>
              <w:jc w:val="both"/>
              <w:rPr>
                <w:szCs w:val="26"/>
              </w:rPr>
            </w:pPr>
            <w:r w:rsidRPr="005D1191">
              <w:rPr>
                <w:szCs w:val="26"/>
              </w:rPr>
              <w:t>Gladys M. Brown, Chairman</w:t>
            </w:r>
            <w:r w:rsidR="003B16A6">
              <w:rPr>
                <w:szCs w:val="26"/>
              </w:rPr>
              <w:t>, Statement</w:t>
            </w:r>
          </w:p>
          <w:p w:rsidR="006B55F0" w:rsidRPr="005D1191" w:rsidRDefault="006B55F0" w:rsidP="004603B3">
            <w:pPr>
              <w:tabs>
                <w:tab w:val="left" w:pos="705"/>
              </w:tabs>
              <w:ind w:firstLine="720"/>
              <w:contextualSpacing/>
              <w:jc w:val="both"/>
              <w:rPr>
                <w:szCs w:val="26"/>
              </w:rPr>
            </w:pPr>
            <w:r w:rsidRPr="005D1191">
              <w:rPr>
                <w:szCs w:val="26"/>
              </w:rPr>
              <w:t>John F. Coleman, Jr., Vice Chairman</w:t>
            </w:r>
          </w:p>
          <w:p w:rsidR="006B55F0" w:rsidRPr="005D1191" w:rsidRDefault="006B55F0" w:rsidP="004603B3">
            <w:pPr>
              <w:tabs>
                <w:tab w:val="left" w:pos="705"/>
              </w:tabs>
              <w:ind w:firstLine="720"/>
              <w:contextualSpacing/>
              <w:jc w:val="both"/>
              <w:rPr>
                <w:szCs w:val="26"/>
              </w:rPr>
            </w:pPr>
            <w:r w:rsidRPr="005D1191">
              <w:rPr>
                <w:szCs w:val="26"/>
              </w:rPr>
              <w:t>James H. Cawley</w:t>
            </w:r>
          </w:p>
          <w:p w:rsidR="006B55F0" w:rsidRPr="005D1191" w:rsidRDefault="006B55F0" w:rsidP="004603B3">
            <w:pPr>
              <w:tabs>
                <w:tab w:val="left" w:pos="705"/>
              </w:tabs>
              <w:ind w:firstLine="720"/>
              <w:contextualSpacing/>
              <w:jc w:val="both"/>
              <w:rPr>
                <w:szCs w:val="26"/>
              </w:rPr>
            </w:pPr>
            <w:r w:rsidRPr="005D1191">
              <w:rPr>
                <w:szCs w:val="26"/>
              </w:rPr>
              <w:t>Pamela A. Witmer</w:t>
            </w:r>
          </w:p>
          <w:p w:rsidR="006B55F0" w:rsidRPr="005D1191" w:rsidRDefault="006B55F0" w:rsidP="004603B3">
            <w:pPr>
              <w:tabs>
                <w:tab w:val="left" w:pos="705"/>
              </w:tabs>
              <w:ind w:firstLine="720"/>
              <w:contextualSpacing/>
              <w:rPr>
                <w:szCs w:val="26"/>
              </w:rPr>
            </w:pPr>
            <w:r w:rsidRPr="005D1191">
              <w:rPr>
                <w:szCs w:val="26"/>
              </w:rPr>
              <w:t>Robert F. Powelson</w:t>
            </w:r>
          </w:p>
          <w:p w:rsidR="006B55F0" w:rsidRPr="005D1191" w:rsidRDefault="006B55F0" w:rsidP="004603B3">
            <w:pPr>
              <w:contextualSpacing/>
              <w:rPr>
                <w:szCs w:val="26"/>
              </w:rPr>
            </w:pPr>
          </w:p>
        </w:tc>
        <w:tc>
          <w:tcPr>
            <w:tcW w:w="4248" w:type="dxa"/>
          </w:tcPr>
          <w:p w:rsidR="006B55F0" w:rsidRPr="005D1191" w:rsidRDefault="006B55F0" w:rsidP="004603B3">
            <w:pPr>
              <w:contextualSpacing/>
              <w:jc w:val="right"/>
              <w:rPr>
                <w:szCs w:val="26"/>
              </w:rPr>
            </w:pPr>
          </w:p>
          <w:p w:rsidR="006B55F0" w:rsidRPr="005D1191" w:rsidRDefault="006B55F0" w:rsidP="004603B3">
            <w:pPr>
              <w:contextualSpacing/>
              <w:jc w:val="right"/>
              <w:rPr>
                <w:szCs w:val="26"/>
              </w:rPr>
            </w:pPr>
          </w:p>
        </w:tc>
      </w:tr>
    </w:tbl>
    <w:p w:rsidR="000117D3" w:rsidRPr="005D1191" w:rsidRDefault="000117D3" w:rsidP="004603B3">
      <w:pPr>
        <w:contextualSpacing/>
        <w:rPr>
          <w:szCs w:val="26"/>
        </w:rPr>
      </w:pPr>
    </w:p>
    <w:tbl>
      <w:tblPr>
        <w:tblW w:w="9468" w:type="dxa"/>
        <w:tblLook w:val="01E0" w:firstRow="1" w:lastRow="1" w:firstColumn="1" w:lastColumn="1" w:noHBand="0" w:noVBand="0"/>
      </w:tblPr>
      <w:tblGrid>
        <w:gridCol w:w="6768"/>
        <w:gridCol w:w="2700"/>
      </w:tblGrid>
      <w:tr w:rsidR="000117D3" w:rsidRPr="005D1191" w:rsidTr="00CC51E2">
        <w:tc>
          <w:tcPr>
            <w:tcW w:w="6768" w:type="dxa"/>
          </w:tcPr>
          <w:p w:rsidR="000117D3" w:rsidRPr="005D1191" w:rsidRDefault="000117D3" w:rsidP="004603B3">
            <w:pPr>
              <w:tabs>
                <w:tab w:val="left" w:pos="330"/>
              </w:tabs>
              <w:ind w:left="720" w:right="-720" w:hanging="720"/>
              <w:contextualSpacing/>
              <w:rPr>
                <w:szCs w:val="26"/>
              </w:rPr>
            </w:pPr>
            <w:r w:rsidRPr="005D1191">
              <w:rPr>
                <w:szCs w:val="26"/>
              </w:rPr>
              <w:t>Janet Armour</w:t>
            </w:r>
          </w:p>
          <w:p w:rsidR="000117D3" w:rsidRPr="005D1191" w:rsidRDefault="000117D3" w:rsidP="004603B3">
            <w:pPr>
              <w:tabs>
                <w:tab w:val="left" w:pos="330"/>
              </w:tabs>
              <w:ind w:left="720" w:right="-720" w:hanging="720"/>
              <w:contextualSpacing/>
              <w:rPr>
                <w:szCs w:val="26"/>
              </w:rPr>
            </w:pPr>
          </w:p>
          <w:p w:rsidR="000117D3" w:rsidRPr="005D1191" w:rsidRDefault="000117D3" w:rsidP="004603B3">
            <w:pPr>
              <w:tabs>
                <w:tab w:val="left" w:pos="720"/>
              </w:tabs>
              <w:ind w:left="720" w:right="-720" w:hanging="720"/>
              <w:contextualSpacing/>
              <w:rPr>
                <w:szCs w:val="26"/>
              </w:rPr>
            </w:pPr>
            <w:r w:rsidRPr="005D1191">
              <w:rPr>
                <w:szCs w:val="26"/>
              </w:rPr>
              <w:tab/>
              <w:t>v.</w:t>
            </w:r>
          </w:p>
          <w:p w:rsidR="000117D3" w:rsidRPr="005D1191" w:rsidRDefault="000117D3" w:rsidP="004603B3">
            <w:pPr>
              <w:tabs>
                <w:tab w:val="left" w:pos="330"/>
              </w:tabs>
              <w:ind w:left="720" w:right="-720" w:hanging="720"/>
              <w:contextualSpacing/>
              <w:rPr>
                <w:szCs w:val="26"/>
              </w:rPr>
            </w:pPr>
          </w:p>
          <w:p w:rsidR="000117D3" w:rsidRPr="005D1191" w:rsidRDefault="00C97006" w:rsidP="004603B3">
            <w:pPr>
              <w:tabs>
                <w:tab w:val="left" w:pos="330"/>
              </w:tabs>
              <w:ind w:left="720" w:right="-720" w:hanging="720"/>
              <w:contextualSpacing/>
              <w:rPr>
                <w:szCs w:val="26"/>
              </w:rPr>
            </w:pPr>
            <w:r>
              <w:rPr>
                <w:szCs w:val="26"/>
              </w:rPr>
              <w:t>Verizon PA</w:t>
            </w:r>
            <w:r w:rsidR="000117D3" w:rsidRPr="005D1191">
              <w:rPr>
                <w:szCs w:val="26"/>
              </w:rPr>
              <w:t xml:space="preserve"> Pennsylvania LLC</w:t>
            </w:r>
          </w:p>
        </w:tc>
        <w:tc>
          <w:tcPr>
            <w:tcW w:w="2700" w:type="dxa"/>
          </w:tcPr>
          <w:p w:rsidR="000117D3" w:rsidRPr="005D1191" w:rsidRDefault="000117D3" w:rsidP="004603B3">
            <w:pPr>
              <w:tabs>
                <w:tab w:val="left" w:pos="792"/>
              </w:tabs>
              <w:contextualSpacing/>
              <w:jc w:val="right"/>
              <w:rPr>
                <w:szCs w:val="26"/>
              </w:rPr>
            </w:pPr>
            <w:r w:rsidRPr="005D1191">
              <w:rPr>
                <w:szCs w:val="26"/>
              </w:rPr>
              <w:t>C-2013-2395643</w:t>
            </w:r>
          </w:p>
          <w:p w:rsidR="000117D3" w:rsidRPr="005D1191" w:rsidRDefault="000117D3" w:rsidP="004603B3">
            <w:pPr>
              <w:ind w:left="792" w:right="-720" w:hanging="792"/>
              <w:contextualSpacing/>
              <w:rPr>
                <w:b/>
                <w:szCs w:val="26"/>
              </w:rPr>
            </w:pPr>
          </w:p>
        </w:tc>
      </w:tr>
    </w:tbl>
    <w:p w:rsidR="000117D3" w:rsidRPr="005D1191" w:rsidRDefault="000117D3" w:rsidP="00F40165">
      <w:pPr>
        <w:pStyle w:val="Heading2"/>
        <w:spacing w:after="240" w:line="360" w:lineRule="auto"/>
        <w:contextualSpacing/>
        <w:rPr>
          <w:sz w:val="26"/>
          <w:szCs w:val="26"/>
        </w:rPr>
      </w:pPr>
    </w:p>
    <w:p w:rsidR="000117D3" w:rsidRPr="005D1191" w:rsidRDefault="000117D3" w:rsidP="004603B3">
      <w:pPr>
        <w:pStyle w:val="Heading2"/>
        <w:spacing w:after="240"/>
        <w:contextualSpacing/>
        <w:rPr>
          <w:sz w:val="26"/>
          <w:szCs w:val="26"/>
        </w:rPr>
      </w:pPr>
      <w:r w:rsidRPr="005D1191">
        <w:rPr>
          <w:sz w:val="26"/>
          <w:szCs w:val="26"/>
        </w:rPr>
        <w:t>OPINION AND ORDER</w:t>
      </w:r>
    </w:p>
    <w:p w:rsidR="000117D3" w:rsidRPr="005D1191" w:rsidRDefault="000117D3" w:rsidP="004603B3">
      <w:pPr>
        <w:spacing w:line="360" w:lineRule="auto"/>
        <w:contextualSpacing/>
        <w:rPr>
          <w:b/>
          <w:szCs w:val="26"/>
        </w:rPr>
      </w:pPr>
    </w:p>
    <w:p w:rsidR="000117D3" w:rsidRPr="005D1191" w:rsidRDefault="000117D3" w:rsidP="004603B3">
      <w:pPr>
        <w:spacing w:line="360" w:lineRule="auto"/>
        <w:contextualSpacing/>
        <w:rPr>
          <w:b/>
          <w:szCs w:val="26"/>
        </w:rPr>
      </w:pPr>
      <w:r w:rsidRPr="005D1191">
        <w:rPr>
          <w:b/>
          <w:szCs w:val="26"/>
        </w:rPr>
        <w:t>BY THE COMMISSION:</w:t>
      </w:r>
    </w:p>
    <w:p w:rsidR="002F56EC" w:rsidRPr="005D1191" w:rsidRDefault="002F56EC" w:rsidP="004603B3">
      <w:pPr>
        <w:spacing w:line="360" w:lineRule="auto"/>
        <w:contextualSpacing/>
        <w:rPr>
          <w:szCs w:val="26"/>
        </w:rPr>
      </w:pPr>
    </w:p>
    <w:p w:rsidR="002F31D9" w:rsidRPr="00C54EDD" w:rsidRDefault="002F31D9" w:rsidP="004603B3">
      <w:pPr>
        <w:spacing w:line="360" w:lineRule="auto"/>
        <w:ind w:firstLine="1440"/>
        <w:contextualSpacing/>
        <w:rPr>
          <w:szCs w:val="26"/>
        </w:rPr>
      </w:pPr>
      <w:r w:rsidRPr="005D1191">
        <w:rPr>
          <w:szCs w:val="26"/>
        </w:rPr>
        <w:t xml:space="preserve">Before the Pennsylvania Public Utility Commission (Commission) for consideration and disposition are the Exceptions (Exceptions) of Janet Armour (Complainant), filed on February 17, 2015 and February 26, 2015, </w:t>
      </w:r>
      <w:r w:rsidR="00F40165">
        <w:rPr>
          <w:szCs w:val="26"/>
        </w:rPr>
        <w:t xml:space="preserve">respectively, </w:t>
      </w:r>
      <w:r w:rsidRPr="005D1191">
        <w:rPr>
          <w:szCs w:val="26"/>
        </w:rPr>
        <w:t xml:space="preserve">to the Initial Decision (I.D.) of Administrative Law Judge (ALJ) </w:t>
      </w:r>
      <w:r w:rsidR="006B55F0" w:rsidRPr="005D1191">
        <w:rPr>
          <w:szCs w:val="26"/>
        </w:rPr>
        <w:t>Christopher P</w:t>
      </w:r>
      <w:r w:rsidRPr="005D1191">
        <w:rPr>
          <w:szCs w:val="26"/>
        </w:rPr>
        <w:t xml:space="preserve">. </w:t>
      </w:r>
      <w:r w:rsidR="006B55F0" w:rsidRPr="005D1191">
        <w:rPr>
          <w:szCs w:val="26"/>
        </w:rPr>
        <w:t>Pell</w:t>
      </w:r>
      <w:r w:rsidRPr="005D1191">
        <w:rPr>
          <w:szCs w:val="26"/>
        </w:rPr>
        <w:t xml:space="preserve">, which was issued on </w:t>
      </w:r>
      <w:r w:rsidR="006B55F0" w:rsidRPr="005D1191">
        <w:rPr>
          <w:szCs w:val="26"/>
        </w:rPr>
        <w:t>February 9, 2015</w:t>
      </w:r>
      <w:r w:rsidRPr="005D1191">
        <w:rPr>
          <w:szCs w:val="26"/>
        </w:rPr>
        <w:t xml:space="preserve">, in the above captioned proceeding.  </w:t>
      </w:r>
      <w:r w:rsidR="00C97006">
        <w:rPr>
          <w:szCs w:val="26"/>
        </w:rPr>
        <w:t xml:space="preserve">Verizon </w:t>
      </w:r>
      <w:r w:rsidR="006B55F0" w:rsidRPr="005D1191">
        <w:rPr>
          <w:szCs w:val="26"/>
        </w:rPr>
        <w:t>Pennsylvania</w:t>
      </w:r>
      <w:r w:rsidRPr="005D1191">
        <w:rPr>
          <w:szCs w:val="26"/>
        </w:rPr>
        <w:t xml:space="preserve"> LLC (</w:t>
      </w:r>
      <w:r w:rsidR="00C97006">
        <w:rPr>
          <w:szCs w:val="26"/>
        </w:rPr>
        <w:t>Verizon</w:t>
      </w:r>
      <w:r w:rsidR="006B55F0" w:rsidRPr="005D1191">
        <w:rPr>
          <w:szCs w:val="26"/>
        </w:rPr>
        <w:t xml:space="preserve"> PA</w:t>
      </w:r>
      <w:r w:rsidRPr="005D1191">
        <w:rPr>
          <w:szCs w:val="26"/>
        </w:rPr>
        <w:t xml:space="preserve">) filed Replies to Exceptions on </w:t>
      </w:r>
      <w:r w:rsidR="006B55F0" w:rsidRPr="005D1191">
        <w:rPr>
          <w:szCs w:val="26"/>
        </w:rPr>
        <w:t>March 12, 2015</w:t>
      </w:r>
      <w:r w:rsidRPr="005D1191">
        <w:rPr>
          <w:szCs w:val="26"/>
        </w:rPr>
        <w:t xml:space="preserve">.  For the reasons stated </w:t>
      </w:r>
      <w:r w:rsidRPr="00C54EDD">
        <w:rPr>
          <w:szCs w:val="26"/>
        </w:rPr>
        <w:t>below, we shall deny the Exceptions and adopt the Initial Decision.</w:t>
      </w:r>
    </w:p>
    <w:p w:rsidR="00E33449" w:rsidRPr="005D1191" w:rsidRDefault="00E33449" w:rsidP="004603B3">
      <w:pPr>
        <w:spacing w:line="360" w:lineRule="auto"/>
        <w:ind w:firstLine="1440"/>
        <w:contextualSpacing/>
        <w:rPr>
          <w:szCs w:val="26"/>
        </w:rPr>
      </w:pPr>
    </w:p>
    <w:p w:rsidR="00E33449" w:rsidRPr="005D1191" w:rsidRDefault="00E33449" w:rsidP="004603B3">
      <w:pPr>
        <w:spacing w:line="360" w:lineRule="auto"/>
        <w:ind w:firstLine="1440"/>
        <w:contextualSpacing/>
        <w:jc w:val="center"/>
        <w:rPr>
          <w:szCs w:val="26"/>
        </w:rPr>
      </w:pPr>
    </w:p>
    <w:p w:rsidR="00E33449" w:rsidRPr="005D1191" w:rsidRDefault="00E33449" w:rsidP="004603B3">
      <w:pPr>
        <w:keepNext/>
        <w:keepLines/>
        <w:spacing w:line="360" w:lineRule="auto"/>
        <w:contextualSpacing/>
        <w:jc w:val="center"/>
        <w:rPr>
          <w:b/>
          <w:szCs w:val="26"/>
        </w:rPr>
      </w:pPr>
      <w:r w:rsidRPr="005D1191">
        <w:rPr>
          <w:b/>
          <w:szCs w:val="26"/>
        </w:rPr>
        <w:lastRenderedPageBreak/>
        <w:t>History of the Proceeding</w:t>
      </w:r>
    </w:p>
    <w:p w:rsidR="00E33449" w:rsidRPr="005D1191" w:rsidRDefault="00E33449" w:rsidP="004603B3">
      <w:pPr>
        <w:keepNext/>
        <w:keepLines/>
        <w:spacing w:line="360" w:lineRule="auto"/>
        <w:ind w:firstLine="1440"/>
        <w:contextualSpacing/>
        <w:rPr>
          <w:szCs w:val="26"/>
        </w:rPr>
      </w:pPr>
    </w:p>
    <w:p w:rsidR="00E33449" w:rsidRPr="005D1191" w:rsidRDefault="00B52A91" w:rsidP="004603B3">
      <w:pPr>
        <w:spacing w:line="360" w:lineRule="auto"/>
        <w:ind w:firstLine="1440"/>
        <w:contextualSpacing/>
        <w:rPr>
          <w:szCs w:val="26"/>
        </w:rPr>
      </w:pPr>
      <w:r w:rsidRPr="005D1191">
        <w:rPr>
          <w:szCs w:val="26"/>
        </w:rPr>
        <w:t>On November 27, 2013, the Complainant filed a Formal Complaint (Complaint)</w:t>
      </w:r>
      <w:r w:rsidR="005A1211" w:rsidRPr="005D1191">
        <w:rPr>
          <w:rStyle w:val="FootnoteReference"/>
          <w:szCs w:val="26"/>
        </w:rPr>
        <w:footnoteReference w:id="1"/>
      </w:r>
      <w:r w:rsidRPr="005D1191">
        <w:rPr>
          <w:szCs w:val="26"/>
        </w:rPr>
        <w:t xml:space="preserve"> against </w:t>
      </w:r>
      <w:r w:rsidR="00C97006">
        <w:rPr>
          <w:szCs w:val="26"/>
        </w:rPr>
        <w:t xml:space="preserve">Verizon </w:t>
      </w:r>
      <w:r w:rsidRPr="005D1191">
        <w:rPr>
          <w:szCs w:val="26"/>
        </w:rPr>
        <w:t>PA alleging that on September 26, 2013</w:t>
      </w:r>
      <w:r w:rsidR="00D105BA">
        <w:rPr>
          <w:szCs w:val="26"/>
        </w:rPr>
        <w:t>,</w:t>
      </w:r>
      <w:r w:rsidR="00E635B3" w:rsidRPr="005D1191">
        <w:rPr>
          <w:szCs w:val="26"/>
        </w:rPr>
        <w:t xml:space="preserve"> </w:t>
      </w:r>
      <w:r w:rsidR="00C97006">
        <w:rPr>
          <w:szCs w:val="26"/>
        </w:rPr>
        <w:t>Verizon PA</w:t>
      </w:r>
      <w:r w:rsidRPr="005D1191">
        <w:rPr>
          <w:szCs w:val="26"/>
        </w:rPr>
        <w:t xml:space="preserve"> workers attached a wire to an exterior wall of her house without giving her notice.</w:t>
      </w:r>
      <w:r w:rsidR="00E635B3" w:rsidRPr="005D1191">
        <w:rPr>
          <w:szCs w:val="26"/>
        </w:rPr>
        <w:t xml:space="preserve">  The Complainant also alleged that the </w:t>
      </w:r>
      <w:r w:rsidR="00C97006">
        <w:rPr>
          <w:szCs w:val="26"/>
        </w:rPr>
        <w:t>Verizon PA</w:t>
      </w:r>
      <w:r w:rsidR="00E635B3" w:rsidRPr="005D1191">
        <w:rPr>
          <w:szCs w:val="26"/>
        </w:rPr>
        <w:t xml:space="preserve"> workers failed to identify themselves and kept working when she approached them.  Further, the Complainant alleged that the work was left unfinished and in an unsafe condition.  As relief, the Complainant stated that she does not want men without identification or work orders coming to her home again, and requested that the Commission instruct </w:t>
      </w:r>
      <w:r w:rsidR="00C97006">
        <w:rPr>
          <w:szCs w:val="26"/>
        </w:rPr>
        <w:t>Verizon PA</w:t>
      </w:r>
      <w:r w:rsidR="00C55A13" w:rsidRPr="005D1191">
        <w:rPr>
          <w:szCs w:val="26"/>
        </w:rPr>
        <w:t xml:space="preserve"> to remove the </w:t>
      </w:r>
      <w:r w:rsidR="00817E92">
        <w:rPr>
          <w:szCs w:val="26"/>
        </w:rPr>
        <w:t>facilities attached to her property</w:t>
      </w:r>
      <w:r w:rsidR="00C55A13" w:rsidRPr="005D1191">
        <w:rPr>
          <w:szCs w:val="26"/>
        </w:rPr>
        <w:t xml:space="preserve"> and </w:t>
      </w:r>
      <w:r w:rsidR="00E635B3" w:rsidRPr="005D1191">
        <w:rPr>
          <w:szCs w:val="26"/>
        </w:rPr>
        <w:t xml:space="preserve">to place </w:t>
      </w:r>
      <w:r w:rsidR="00817E92">
        <w:rPr>
          <w:szCs w:val="26"/>
        </w:rPr>
        <w:t xml:space="preserve">its </w:t>
      </w:r>
      <w:r w:rsidR="00E635B3" w:rsidRPr="005D1191">
        <w:rPr>
          <w:szCs w:val="26"/>
        </w:rPr>
        <w:t>utility pole elsewhere.  Complaint at ¶¶ 4-5.</w:t>
      </w:r>
    </w:p>
    <w:p w:rsidR="00B8700C" w:rsidRPr="005D1191" w:rsidRDefault="00B8700C" w:rsidP="004603B3">
      <w:pPr>
        <w:spacing w:line="360" w:lineRule="auto"/>
        <w:ind w:firstLine="1440"/>
        <w:contextualSpacing/>
        <w:rPr>
          <w:szCs w:val="26"/>
        </w:rPr>
      </w:pPr>
    </w:p>
    <w:p w:rsidR="00B8700C" w:rsidRPr="005D1191" w:rsidRDefault="00166759" w:rsidP="004603B3">
      <w:pPr>
        <w:spacing w:line="360" w:lineRule="auto"/>
        <w:ind w:firstLine="1440"/>
        <w:contextualSpacing/>
        <w:rPr>
          <w:szCs w:val="26"/>
        </w:rPr>
      </w:pPr>
      <w:r w:rsidRPr="005D1191">
        <w:rPr>
          <w:szCs w:val="26"/>
        </w:rPr>
        <w:t>On January 9, 2014,</w:t>
      </w:r>
      <w:r w:rsidR="008B7240">
        <w:rPr>
          <w:rStyle w:val="FootnoteReference"/>
          <w:szCs w:val="26"/>
        </w:rPr>
        <w:footnoteReference w:id="2"/>
      </w:r>
      <w:r w:rsidRPr="005D1191">
        <w:rPr>
          <w:szCs w:val="26"/>
        </w:rPr>
        <w:t xml:space="preserve"> </w:t>
      </w:r>
      <w:r w:rsidR="00C97006">
        <w:rPr>
          <w:szCs w:val="26"/>
        </w:rPr>
        <w:t>Verizon PA</w:t>
      </w:r>
      <w:r w:rsidRPr="005D1191">
        <w:rPr>
          <w:szCs w:val="26"/>
        </w:rPr>
        <w:t xml:space="preserve"> filed an Answer to the Complaint (Answer), New Matter, and Preliminary Objections.  In its Answer, </w:t>
      </w:r>
      <w:r w:rsidR="00C97006">
        <w:rPr>
          <w:szCs w:val="26"/>
        </w:rPr>
        <w:t>Verizon PA</w:t>
      </w:r>
      <w:r w:rsidRPr="005D1191">
        <w:rPr>
          <w:szCs w:val="26"/>
        </w:rPr>
        <w:t xml:space="preserve"> admitted that in September of 2013, </w:t>
      </w:r>
      <w:r w:rsidR="00C97006">
        <w:rPr>
          <w:szCs w:val="26"/>
        </w:rPr>
        <w:t>Verizon PA</w:t>
      </w:r>
      <w:r w:rsidRPr="005D1191">
        <w:rPr>
          <w:szCs w:val="26"/>
        </w:rPr>
        <w:t xml:space="preserve"> employees worked on facilities that are attached to the Complainant’s property.  </w:t>
      </w:r>
      <w:r w:rsidR="00C97006">
        <w:rPr>
          <w:szCs w:val="26"/>
        </w:rPr>
        <w:t>Verizon PA</w:t>
      </w:r>
      <w:r w:rsidRPr="005D1191">
        <w:rPr>
          <w:szCs w:val="26"/>
        </w:rPr>
        <w:t xml:space="preserve"> averred that, pursuant to a valid right-of-way agreement, it has the right to access and perform work on these facilities.  </w:t>
      </w:r>
      <w:r w:rsidR="00C97006">
        <w:rPr>
          <w:szCs w:val="26"/>
        </w:rPr>
        <w:t>Verizon PA</w:t>
      </w:r>
      <w:r w:rsidRPr="005D1191">
        <w:rPr>
          <w:szCs w:val="26"/>
        </w:rPr>
        <w:t xml:space="preserve"> denied that its employees lacked proper identification or that it damaged the Complainant’s premises.  Additionally, because of its assertion that it </w:t>
      </w:r>
      <w:r w:rsidR="003E2D6B" w:rsidRPr="005D1191">
        <w:rPr>
          <w:szCs w:val="26"/>
        </w:rPr>
        <w:t>possesses</w:t>
      </w:r>
      <w:r w:rsidRPr="005D1191">
        <w:rPr>
          <w:szCs w:val="26"/>
        </w:rPr>
        <w:t xml:space="preserve"> a valid right-of-way agreement, </w:t>
      </w:r>
      <w:r w:rsidR="00C97006">
        <w:rPr>
          <w:szCs w:val="26"/>
        </w:rPr>
        <w:t>Verizon PA</w:t>
      </w:r>
      <w:r w:rsidRPr="005D1191">
        <w:rPr>
          <w:szCs w:val="26"/>
        </w:rPr>
        <w:t xml:space="preserve"> denied that it should be required to remove its facilities located on the Complainant’s property.  </w:t>
      </w:r>
      <w:r w:rsidR="003E2D6B" w:rsidRPr="005D1191">
        <w:rPr>
          <w:szCs w:val="26"/>
        </w:rPr>
        <w:t>Answer at 1-2.</w:t>
      </w:r>
    </w:p>
    <w:p w:rsidR="003E2D6B" w:rsidRPr="005D1191" w:rsidRDefault="003E2D6B" w:rsidP="004603B3">
      <w:pPr>
        <w:spacing w:line="360" w:lineRule="auto"/>
        <w:ind w:firstLine="1440"/>
        <w:contextualSpacing/>
        <w:rPr>
          <w:szCs w:val="26"/>
        </w:rPr>
      </w:pPr>
    </w:p>
    <w:p w:rsidR="003E2D6B" w:rsidRPr="005D1191" w:rsidRDefault="003E2D6B" w:rsidP="004603B3">
      <w:pPr>
        <w:pStyle w:val="ParaTab1"/>
        <w:spacing w:line="360" w:lineRule="auto"/>
        <w:ind w:left="90" w:firstLine="1350"/>
        <w:contextualSpacing/>
        <w:rPr>
          <w:rFonts w:ascii="Times New Roman" w:hAnsi="Times New Roman" w:cs="Times New Roman"/>
          <w:sz w:val="26"/>
          <w:szCs w:val="26"/>
        </w:rPr>
      </w:pPr>
      <w:r w:rsidRPr="005D1191">
        <w:rPr>
          <w:rFonts w:ascii="Times New Roman" w:hAnsi="Times New Roman" w:cs="Times New Roman"/>
          <w:sz w:val="26"/>
          <w:szCs w:val="26"/>
        </w:rPr>
        <w:t xml:space="preserve">In its New Matter, </w:t>
      </w:r>
      <w:r w:rsidR="00C97006">
        <w:rPr>
          <w:rFonts w:ascii="Times New Roman" w:hAnsi="Times New Roman" w:cs="Times New Roman"/>
          <w:sz w:val="26"/>
          <w:szCs w:val="26"/>
        </w:rPr>
        <w:t>Verizon PA</w:t>
      </w:r>
      <w:r w:rsidRPr="005D1191">
        <w:rPr>
          <w:rFonts w:ascii="Times New Roman" w:hAnsi="Times New Roman" w:cs="Times New Roman"/>
          <w:sz w:val="26"/>
          <w:szCs w:val="26"/>
        </w:rPr>
        <w:t xml:space="preserve"> </w:t>
      </w:r>
      <w:r w:rsidR="00D105BA">
        <w:rPr>
          <w:rFonts w:ascii="Times New Roman" w:hAnsi="Times New Roman" w:cs="Times New Roman"/>
          <w:sz w:val="26"/>
          <w:szCs w:val="26"/>
        </w:rPr>
        <w:t>resta</w:t>
      </w:r>
      <w:r w:rsidRPr="005D1191">
        <w:rPr>
          <w:rFonts w:ascii="Times New Roman" w:hAnsi="Times New Roman" w:cs="Times New Roman"/>
          <w:sz w:val="26"/>
          <w:szCs w:val="26"/>
        </w:rPr>
        <w:t xml:space="preserve">ted that it owns the facilities attached to the Complainant’s property pursuant to a valid right-of-way agreement that was </w:t>
      </w:r>
      <w:r w:rsidRPr="005D1191">
        <w:rPr>
          <w:rFonts w:ascii="Times New Roman" w:hAnsi="Times New Roman" w:cs="Times New Roman"/>
          <w:sz w:val="26"/>
          <w:szCs w:val="26"/>
        </w:rPr>
        <w:lastRenderedPageBreak/>
        <w:t xml:space="preserve">originally executed in 1948.  </w:t>
      </w:r>
      <w:r w:rsidR="00C97006">
        <w:rPr>
          <w:rFonts w:ascii="Times New Roman" w:hAnsi="Times New Roman" w:cs="Times New Roman"/>
          <w:sz w:val="26"/>
          <w:szCs w:val="26"/>
        </w:rPr>
        <w:t>Verizon PA</w:t>
      </w:r>
      <w:r w:rsidR="00B5033F" w:rsidRPr="005D1191">
        <w:rPr>
          <w:rFonts w:ascii="Times New Roman" w:hAnsi="Times New Roman" w:cs="Times New Roman"/>
          <w:sz w:val="26"/>
          <w:szCs w:val="26"/>
        </w:rPr>
        <w:t xml:space="preserve"> </w:t>
      </w:r>
      <w:r w:rsidRPr="005D1191">
        <w:rPr>
          <w:rFonts w:ascii="Times New Roman" w:hAnsi="Times New Roman" w:cs="Times New Roman"/>
          <w:sz w:val="26"/>
          <w:szCs w:val="26"/>
        </w:rPr>
        <w:t xml:space="preserve">alleged that the Commission has no jurisdiction over private contractual disputes, allegations of trespass, </w:t>
      </w:r>
      <w:r w:rsidR="00986220">
        <w:rPr>
          <w:rFonts w:ascii="Times New Roman" w:hAnsi="Times New Roman" w:cs="Times New Roman"/>
          <w:sz w:val="26"/>
          <w:szCs w:val="26"/>
        </w:rPr>
        <w:t>or</w:t>
      </w:r>
      <w:r w:rsidRPr="005D1191">
        <w:rPr>
          <w:rFonts w:ascii="Times New Roman" w:hAnsi="Times New Roman" w:cs="Times New Roman"/>
          <w:sz w:val="26"/>
          <w:szCs w:val="26"/>
        </w:rPr>
        <w:t xml:space="preserve"> the proper use of right-of-ways.</w:t>
      </w:r>
      <w:r w:rsidR="00986220">
        <w:rPr>
          <w:rFonts w:ascii="Times New Roman" w:hAnsi="Times New Roman" w:cs="Times New Roman"/>
          <w:sz w:val="26"/>
          <w:szCs w:val="26"/>
        </w:rPr>
        <w:t xml:space="preserve"> </w:t>
      </w:r>
      <w:r w:rsidRPr="005D1191">
        <w:rPr>
          <w:rFonts w:ascii="Times New Roman" w:hAnsi="Times New Roman" w:cs="Times New Roman"/>
          <w:sz w:val="26"/>
          <w:szCs w:val="26"/>
        </w:rPr>
        <w:t xml:space="preserve"> </w:t>
      </w:r>
      <w:r w:rsidRPr="005D1191">
        <w:rPr>
          <w:rFonts w:ascii="Times New Roman" w:hAnsi="Times New Roman" w:cs="Times New Roman"/>
          <w:i/>
          <w:sz w:val="26"/>
          <w:szCs w:val="26"/>
        </w:rPr>
        <w:t>Id.</w:t>
      </w:r>
      <w:r w:rsidRPr="005D1191">
        <w:rPr>
          <w:rFonts w:ascii="Times New Roman" w:hAnsi="Times New Roman" w:cs="Times New Roman"/>
          <w:sz w:val="26"/>
          <w:szCs w:val="26"/>
        </w:rPr>
        <w:t xml:space="preserve"> at 2-3.</w:t>
      </w:r>
    </w:p>
    <w:p w:rsidR="00B5033F" w:rsidRPr="005D1191" w:rsidRDefault="00B5033F" w:rsidP="004603B3">
      <w:pPr>
        <w:pStyle w:val="ParaTab1"/>
        <w:spacing w:line="360" w:lineRule="auto"/>
        <w:ind w:left="90" w:firstLine="1350"/>
        <w:contextualSpacing/>
        <w:rPr>
          <w:rFonts w:ascii="Times New Roman" w:hAnsi="Times New Roman" w:cs="Times New Roman"/>
          <w:sz w:val="26"/>
          <w:szCs w:val="26"/>
        </w:rPr>
      </w:pPr>
    </w:p>
    <w:p w:rsidR="00B5033F" w:rsidRPr="005D1191" w:rsidRDefault="00B5033F" w:rsidP="004603B3">
      <w:pPr>
        <w:pStyle w:val="ParaTab1"/>
        <w:spacing w:line="360" w:lineRule="auto"/>
        <w:ind w:left="90" w:firstLine="1350"/>
        <w:contextualSpacing/>
        <w:rPr>
          <w:rFonts w:ascii="Times New Roman" w:hAnsi="Times New Roman" w:cs="Times New Roman"/>
          <w:sz w:val="26"/>
          <w:szCs w:val="26"/>
        </w:rPr>
      </w:pPr>
      <w:r w:rsidRPr="005D1191">
        <w:rPr>
          <w:rFonts w:ascii="Times New Roman" w:hAnsi="Times New Roman" w:cs="Times New Roman"/>
          <w:sz w:val="26"/>
          <w:szCs w:val="26"/>
        </w:rPr>
        <w:t xml:space="preserve">In its Preliminary Objections, </w:t>
      </w:r>
      <w:r w:rsidR="00C97006">
        <w:rPr>
          <w:rFonts w:ascii="Times New Roman" w:hAnsi="Times New Roman" w:cs="Times New Roman"/>
          <w:sz w:val="26"/>
          <w:szCs w:val="26"/>
        </w:rPr>
        <w:t>Verizon PA</w:t>
      </w:r>
      <w:r w:rsidRPr="005D1191">
        <w:rPr>
          <w:rFonts w:ascii="Times New Roman" w:hAnsi="Times New Roman" w:cs="Times New Roman"/>
          <w:sz w:val="26"/>
          <w:szCs w:val="26"/>
        </w:rPr>
        <w:t xml:space="preserve"> </w:t>
      </w:r>
      <w:r w:rsidR="009A4D06" w:rsidRPr="005D1191">
        <w:rPr>
          <w:rFonts w:ascii="Times New Roman" w:hAnsi="Times New Roman" w:cs="Times New Roman"/>
          <w:sz w:val="26"/>
          <w:szCs w:val="26"/>
        </w:rPr>
        <w:t>reaffirmed</w:t>
      </w:r>
      <w:r w:rsidRPr="005D1191">
        <w:rPr>
          <w:rFonts w:ascii="Times New Roman" w:hAnsi="Times New Roman" w:cs="Times New Roman"/>
          <w:sz w:val="26"/>
          <w:szCs w:val="26"/>
        </w:rPr>
        <w:t xml:space="preserve"> its assertion that the Commission does not have the jurisdiction to adjudicate private contractual matters.  Additionally, </w:t>
      </w:r>
      <w:r w:rsidR="00C97006">
        <w:rPr>
          <w:rFonts w:ascii="Times New Roman" w:hAnsi="Times New Roman" w:cs="Times New Roman"/>
          <w:sz w:val="26"/>
          <w:szCs w:val="26"/>
        </w:rPr>
        <w:t>Verizon PA</w:t>
      </w:r>
      <w:r w:rsidRPr="005D1191">
        <w:rPr>
          <w:rFonts w:ascii="Times New Roman" w:hAnsi="Times New Roman" w:cs="Times New Roman"/>
          <w:sz w:val="26"/>
          <w:szCs w:val="26"/>
        </w:rPr>
        <w:t xml:space="preserve"> contended that the Complainant failed to allege that </w:t>
      </w:r>
      <w:r w:rsidR="00C97006">
        <w:rPr>
          <w:rFonts w:ascii="Times New Roman" w:hAnsi="Times New Roman" w:cs="Times New Roman"/>
          <w:sz w:val="26"/>
          <w:szCs w:val="26"/>
        </w:rPr>
        <w:t>Verizon PA</w:t>
      </w:r>
      <w:r w:rsidRPr="005D1191">
        <w:rPr>
          <w:rFonts w:ascii="Times New Roman" w:hAnsi="Times New Roman" w:cs="Times New Roman"/>
          <w:sz w:val="26"/>
          <w:szCs w:val="26"/>
        </w:rPr>
        <w:t xml:space="preserve"> violated any provision of the </w:t>
      </w:r>
      <w:r w:rsidR="00817E92">
        <w:rPr>
          <w:rFonts w:ascii="Times New Roman" w:hAnsi="Times New Roman" w:cs="Times New Roman"/>
          <w:sz w:val="26"/>
          <w:szCs w:val="26"/>
        </w:rPr>
        <w:t xml:space="preserve">Pennsylvania </w:t>
      </w:r>
      <w:r w:rsidRPr="005D1191">
        <w:rPr>
          <w:rFonts w:ascii="Times New Roman" w:hAnsi="Times New Roman" w:cs="Times New Roman"/>
          <w:sz w:val="26"/>
          <w:szCs w:val="26"/>
        </w:rPr>
        <w:t xml:space="preserve">Public Utility Code (Code) or any Commission Regulations.  </w:t>
      </w:r>
      <w:r w:rsidR="00C97006">
        <w:rPr>
          <w:rFonts w:ascii="Times New Roman" w:hAnsi="Times New Roman" w:cs="Times New Roman"/>
          <w:sz w:val="26"/>
          <w:szCs w:val="26"/>
        </w:rPr>
        <w:t>Verizon PA</w:t>
      </w:r>
      <w:r w:rsidRPr="005D1191">
        <w:rPr>
          <w:rFonts w:ascii="Times New Roman" w:hAnsi="Times New Roman" w:cs="Times New Roman"/>
          <w:sz w:val="26"/>
          <w:szCs w:val="26"/>
        </w:rPr>
        <w:t xml:space="preserve"> requested that the Commission dismiss the Complaint for lack of jurisdiction.  Preliminary Objections at 2-5.</w:t>
      </w:r>
    </w:p>
    <w:p w:rsidR="00B5033F" w:rsidRPr="005D1191" w:rsidRDefault="00B5033F" w:rsidP="004603B3">
      <w:pPr>
        <w:pStyle w:val="ParaTab1"/>
        <w:spacing w:line="360" w:lineRule="auto"/>
        <w:ind w:left="90" w:firstLine="1350"/>
        <w:contextualSpacing/>
        <w:rPr>
          <w:rFonts w:ascii="Times New Roman" w:hAnsi="Times New Roman" w:cs="Times New Roman"/>
          <w:sz w:val="26"/>
          <w:szCs w:val="26"/>
        </w:rPr>
      </w:pPr>
    </w:p>
    <w:p w:rsidR="00B5033F" w:rsidRPr="005D1191" w:rsidRDefault="00B5033F" w:rsidP="004603B3">
      <w:pPr>
        <w:pStyle w:val="ParaTab1"/>
        <w:spacing w:line="360" w:lineRule="auto"/>
        <w:ind w:left="90" w:firstLine="1350"/>
        <w:contextualSpacing/>
        <w:rPr>
          <w:rFonts w:ascii="Times New Roman" w:hAnsi="Times New Roman" w:cs="Times New Roman"/>
          <w:sz w:val="26"/>
          <w:szCs w:val="26"/>
        </w:rPr>
      </w:pPr>
      <w:r w:rsidRPr="005D1191">
        <w:rPr>
          <w:rFonts w:ascii="Times New Roman" w:hAnsi="Times New Roman" w:cs="Times New Roman"/>
          <w:sz w:val="26"/>
          <w:szCs w:val="26"/>
        </w:rPr>
        <w:t xml:space="preserve">On January 23, 2014, ALJ Elizabeth Barnes issued an Order Denying </w:t>
      </w:r>
      <w:r w:rsidR="00986220">
        <w:rPr>
          <w:rFonts w:ascii="Times New Roman" w:hAnsi="Times New Roman" w:cs="Times New Roman"/>
          <w:sz w:val="26"/>
          <w:szCs w:val="26"/>
        </w:rPr>
        <w:t xml:space="preserve">Verizon PA’s </w:t>
      </w:r>
      <w:r w:rsidRPr="005D1191">
        <w:rPr>
          <w:rFonts w:ascii="Times New Roman" w:hAnsi="Times New Roman" w:cs="Times New Roman"/>
          <w:sz w:val="26"/>
          <w:szCs w:val="26"/>
        </w:rPr>
        <w:t xml:space="preserve">Preliminary Objections.  ALJ Barnes </w:t>
      </w:r>
      <w:r w:rsidR="00E24638">
        <w:rPr>
          <w:rFonts w:ascii="Times New Roman" w:hAnsi="Times New Roman" w:cs="Times New Roman"/>
          <w:sz w:val="26"/>
          <w:szCs w:val="26"/>
        </w:rPr>
        <w:t>affirmed</w:t>
      </w:r>
      <w:r w:rsidRPr="005D1191">
        <w:rPr>
          <w:rFonts w:ascii="Times New Roman" w:hAnsi="Times New Roman" w:cs="Times New Roman"/>
          <w:sz w:val="26"/>
          <w:szCs w:val="26"/>
        </w:rPr>
        <w:t xml:space="preserve"> </w:t>
      </w:r>
      <w:r w:rsidR="00C97006">
        <w:rPr>
          <w:rFonts w:ascii="Times New Roman" w:hAnsi="Times New Roman" w:cs="Times New Roman"/>
          <w:sz w:val="26"/>
          <w:szCs w:val="26"/>
        </w:rPr>
        <w:t>Verizon PA</w:t>
      </w:r>
      <w:r w:rsidR="00E24638">
        <w:rPr>
          <w:rFonts w:ascii="Times New Roman" w:hAnsi="Times New Roman" w:cs="Times New Roman"/>
          <w:sz w:val="26"/>
          <w:szCs w:val="26"/>
        </w:rPr>
        <w:t>’s position</w:t>
      </w:r>
      <w:r w:rsidRPr="005D1191">
        <w:rPr>
          <w:rFonts w:ascii="Times New Roman" w:hAnsi="Times New Roman" w:cs="Times New Roman"/>
          <w:sz w:val="26"/>
          <w:szCs w:val="26"/>
        </w:rPr>
        <w:t xml:space="preserve"> that the validity and enforceability of a right-of-way easement are issues outside the purview of the Commission’s jurisdiction.  However, ALJ Barnes denied the Preliminary Objections because the Complaint raised service issues regarding whether the </w:t>
      </w:r>
      <w:r w:rsidR="00C97006">
        <w:rPr>
          <w:rFonts w:ascii="Times New Roman" w:hAnsi="Times New Roman" w:cs="Times New Roman"/>
          <w:sz w:val="26"/>
          <w:szCs w:val="26"/>
        </w:rPr>
        <w:t>Verizon PA</w:t>
      </w:r>
      <w:r w:rsidRPr="005D1191">
        <w:rPr>
          <w:rFonts w:ascii="Times New Roman" w:hAnsi="Times New Roman" w:cs="Times New Roman"/>
          <w:sz w:val="26"/>
          <w:szCs w:val="26"/>
        </w:rPr>
        <w:t xml:space="preserve"> employees provided proper notice and identification before beginning work on the facilities attached at the Complainant’s Service Address, as well as whether the facilities were left in an unsafe condition.</w:t>
      </w:r>
    </w:p>
    <w:p w:rsidR="00B5033F" w:rsidRPr="005D1191" w:rsidRDefault="00B5033F" w:rsidP="004603B3">
      <w:pPr>
        <w:pStyle w:val="ParaTab1"/>
        <w:spacing w:line="360" w:lineRule="auto"/>
        <w:ind w:left="90" w:firstLine="1350"/>
        <w:contextualSpacing/>
        <w:rPr>
          <w:rFonts w:ascii="Times New Roman" w:hAnsi="Times New Roman" w:cs="Times New Roman"/>
          <w:sz w:val="26"/>
          <w:szCs w:val="26"/>
        </w:rPr>
      </w:pPr>
    </w:p>
    <w:p w:rsidR="00B5033F" w:rsidRPr="005D1191" w:rsidRDefault="00B5033F" w:rsidP="004603B3">
      <w:pPr>
        <w:pStyle w:val="ParaTab1"/>
        <w:spacing w:line="360" w:lineRule="auto"/>
        <w:ind w:left="90" w:firstLine="1350"/>
        <w:contextualSpacing/>
        <w:rPr>
          <w:rFonts w:ascii="Times New Roman" w:hAnsi="Times New Roman" w:cs="Times New Roman"/>
          <w:sz w:val="26"/>
          <w:szCs w:val="26"/>
        </w:rPr>
      </w:pPr>
      <w:r w:rsidRPr="005D1191">
        <w:rPr>
          <w:rFonts w:ascii="Times New Roman" w:hAnsi="Times New Roman" w:cs="Times New Roman"/>
          <w:sz w:val="26"/>
          <w:szCs w:val="26"/>
        </w:rPr>
        <w:t>On October 23, 2014, a hearing was held in the matter.  The Complainant app</w:t>
      </w:r>
      <w:r w:rsidR="006F6059">
        <w:rPr>
          <w:rFonts w:ascii="Times New Roman" w:hAnsi="Times New Roman" w:cs="Times New Roman"/>
          <w:sz w:val="26"/>
          <w:szCs w:val="26"/>
        </w:rPr>
        <w:t>eared</w:t>
      </w:r>
      <w:r w:rsidR="00E24638">
        <w:rPr>
          <w:rFonts w:ascii="Times New Roman" w:hAnsi="Times New Roman" w:cs="Times New Roman"/>
          <w:sz w:val="26"/>
          <w:szCs w:val="26"/>
        </w:rPr>
        <w:t>, provided testimony,</w:t>
      </w:r>
      <w:r w:rsidR="006F6059">
        <w:rPr>
          <w:rFonts w:ascii="Times New Roman" w:hAnsi="Times New Roman" w:cs="Times New Roman"/>
          <w:sz w:val="26"/>
          <w:szCs w:val="26"/>
        </w:rPr>
        <w:t xml:space="preserve"> and was represented by a c</w:t>
      </w:r>
      <w:r w:rsidRPr="005D1191">
        <w:rPr>
          <w:rFonts w:ascii="Times New Roman" w:hAnsi="Times New Roman" w:cs="Times New Roman"/>
          <w:sz w:val="26"/>
          <w:szCs w:val="26"/>
        </w:rPr>
        <w:t xml:space="preserve">ertified </w:t>
      </w:r>
      <w:r w:rsidR="006F6059">
        <w:rPr>
          <w:rFonts w:ascii="Times New Roman" w:hAnsi="Times New Roman" w:cs="Times New Roman"/>
          <w:sz w:val="26"/>
          <w:szCs w:val="26"/>
        </w:rPr>
        <w:t>legal i</w:t>
      </w:r>
      <w:r w:rsidRPr="005D1191">
        <w:rPr>
          <w:rFonts w:ascii="Times New Roman" w:hAnsi="Times New Roman" w:cs="Times New Roman"/>
          <w:sz w:val="26"/>
          <w:szCs w:val="26"/>
        </w:rPr>
        <w:t xml:space="preserve">ntern </w:t>
      </w:r>
      <w:r w:rsidR="00E24638">
        <w:rPr>
          <w:rFonts w:ascii="Times New Roman" w:hAnsi="Times New Roman" w:cs="Times New Roman"/>
          <w:sz w:val="26"/>
          <w:szCs w:val="26"/>
        </w:rPr>
        <w:t>from</w:t>
      </w:r>
      <w:r w:rsidRPr="005D1191">
        <w:rPr>
          <w:rFonts w:ascii="Times New Roman" w:hAnsi="Times New Roman" w:cs="Times New Roman"/>
          <w:sz w:val="26"/>
          <w:szCs w:val="26"/>
        </w:rPr>
        <w:t xml:space="preserve"> the Widener School of Law Civil Law Clinic.  </w:t>
      </w:r>
      <w:r w:rsidR="00C97006">
        <w:rPr>
          <w:rFonts w:ascii="Times New Roman" w:hAnsi="Times New Roman" w:cs="Times New Roman"/>
          <w:sz w:val="26"/>
          <w:szCs w:val="26"/>
        </w:rPr>
        <w:t>Verizon PA</w:t>
      </w:r>
      <w:r w:rsidRPr="005D1191">
        <w:rPr>
          <w:rFonts w:ascii="Times New Roman" w:hAnsi="Times New Roman" w:cs="Times New Roman"/>
          <w:sz w:val="26"/>
          <w:szCs w:val="26"/>
        </w:rPr>
        <w:t xml:space="preserve"> was represented by Counsel, presented the testimony of two witnesses, and proffered one exhibit which was admitted into the record.   </w:t>
      </w:r>
    </w:p>
    <w:p w:rsidR="003E2D6B" w:rsidRDefault="003E2D6B" w:rsidP="004603B3">
      <w:pPr>
        <w:spacing w:line="360" w:lineRule="auto"/>
        <w:ind w:firstLine="1440"/>
        <w:contextualSpacing/>
        <w:rPr>
          <w:szCs w:val="26"/>
        </w:rPr>
      </w:pPr>
    </w:p>
    <w:p w:rsidR="005A1211" w:rsidRDefault="000B582A" w:rsidP="004603B3">
      <w:pPr>
        <w:keepNext/>
        <w:keepLines/>
        <w:spacing w:line="360" w:lineRule="auto"/>
        <w:ind w:firstLine="1440"/>
        <w:contextualSpacing/>
        <w:rPr>
          <w:szCs w:val="26"/>
        </w:rPr>
      </w:pPr>
      <w:r>
        <w:rPr>
          <w:szCs w:val="26"/>
        </w:rPr>
        <w:lastRenderedPageBreak/>
        <w:t xml:space="preserve">On February 9, 2015, the Commission issued ALJ Pell’s Initial Decision, which dismissed the Complaint.  As noted, </w:t>
      </w:r>
      <w:r>
        <w:rPr>
          <w:i/>
          <w:szCs w:val="26"/>
        </w:rPr>
        <w:t>supra,</w:t>
      </w:r>
      <w:r>
        <w:rPr>
          <w:szCs w:val="26"/>
        </w:rPr>
        <w:t xml:space="preserve"> the Complainant filed Exceptions to the I.D. on February 17, 2015</w:t>
      </w:r>
      <w:r w:rsidR="00392AFC">
        <w:rPr>
          <w:szCs w:val="26"/>
        </w:rPr>
        <w:t xml:space="preserve"> (February 17 Exceptions)</w:t>
      </w:r>
      <w:r>
        <w:rPr>
          <w:szCs w:val="26"/>
        </w:rPr>
        <w:t xml:space="preserve"> and February 26, 2015</w:t>
      </w:r>
      <w:r w:rsidR="00392AFC">
        <w:rPr>
          <w:szCs w:val="26"/>
        </w:rPr>
        <w:t xml:space="preserve"> (February 26 Exceptions)</w:t>
      </w:r>
      <w:r>
        <w:rPr>
          <w:szCs w:val="26"/>
        </w:rPr>
        <w:t xml:space="preserve">.  </w:t>
      </w:r>
      <w:r w:rsidR="00C97006">
        <w:rPr>
          <w:szCs w:val="26"/>
        </w:rPr>
        <w:t>Verizon PA</w:t>
      </w:r>
      <w:r>
        <w:rPr>
          <w:szCs w:val="26"/>
        </w:rPr>
        <w:t xml:space="preserve"> filed Replies to Exceptions on March 12, 2015.</w:t>
      </w:r>
      <w:r w:rsidR="00570696">
        <w:rPr>
          <w:rStyle w:val="FootnoteReference"/>
          <w:szCs w:val="26"/>
        </w:rPr>
        <w:footnoteReference w:id="3"/>
      </w:r>
    </w:p>
    <w:p w:rsidR="007124EF" w:rsidRDefault="007124EF" w:rsidP="004603B3">
      <w:pPr>
        <w:keepNext/>
        <w:keepLines/>
        <w:spacing w:line="360" w:lineRule="auto"/>
        <w:ind w:firstLine="1440"/>
        <w:contextualSpacing/>
        <w:rPr>
          <w:szCs w:val="26"/>
        </w:rPr>
      </w:pPr>
    </w:p>
    <w:p w:rsidR="007124EF" w:rsidRPr="00CA43A5" w:rsidRDefault="007124EF" w:rsidP="004603B3">
      <w:pPr>
        <w:keepNext/>
        <w:keepLines/>
        <w:spacing w:line="360" w:lineRule="auto"/>
        <w:contextualSpacing/>
        <w:jc w:val="center"/>
        <w:rPr>
          <w:szCs w:val="26"/>
        </w:rPr>
      </w:pPr>
      <w:r w:rsidRPr="00CA43A5">
        <w:rPr>
          <w:b/>
          <w:szCs w:val="26"/>
        </w:rPr>
        <w:t>Discussion</w:t>
      </w:r>
    </w:p>
    <w:p w:rsidR="007124EF" w:rsidRDefault="007124EF" w:rsidP="004603B3">
      <w:pPr>
        <w:keepNext/>
        <w:keepLines/>
        <w:spacing w:line="360" w:lineRule="auto"/>
        <w:contextualSpacing/>
        <w:rPr>
          <w:szCs w:val="26"/>
        </w:rPr>
      </w:pPr>
      <w:r>
        <w:rPr>
          <w:szCs w:val="26"/>
        </w:rPr>
        <w:tab/>
      </w:r>
      <w:r>
        <w:rPr>
          <w:szCs w:val="26"/>
        </w:rPr>
        <w:tab/>
      </w:r>
    </w:p>
    <w:p w:rsidR="005239D5" w:rsidRDefault="007124EF" w:rsidP="004603B3">
      <w:pPr>
        <w:spacing w:line="360" w:lineRule="auto"/>
        <w:contextualSpacing/>
        <w:rPr>
          <w:b/>
          <w:szCs w:val="26"/>
        </w:rPr>
      </w:pPr>
      <w:r>
        <w:rPr>
          <w:b/>
          <w:szCs w:val="26"/>
        </w:rPr>
        <w:t>Legal Standards</w:t>
      </w:r>
    </w:p>
    <w:p w:rsidR="005239D5" w:rsidRDefault="005239D5" w:rsidP="004603B3">
      <w:pPr>
        <w:spacing w:line="360" w:lineRule="auto"/>
        <w:contextualSpacing/>
        <w:rPr>
          <w:szCs w:val="26"/>
        </w:rPr>
      </w:pPr>
    </w:p>
    <w:p w:rsidR="007124EF" w:rsidRDefault="007124EF" w:rsidP="004603B3">
      <w:pPr>
        <w:spacing w:line="360" w:lineRule="auto"/>
        <w:ind w:firstLine="1440"/>
        <w:contextualSpacing/>
        <w:rPr>
          <w:szCs w:val="26"/>
        </w:rPr>
      </w:pPr>
      <w:r w:rsidRPr="00CA43A5">
        <w:rPr>
          <w:szCs w:val="26"/>
        </w:rPr>
        <w:t xml:space="preserve">As the proponent of </w:t>
      </w:r>
      <w:r>
        <w:rPr>
          <w:szCs w:val="26"/>
        </w:rPr>
        <w:t>a rule or order, the Complainant</w:t>
      </w:r>
      <w:r w:rsidRPr="00CA43A5">
        <w:rPr>
          <w:szCs w:val="26"/>
        </w:rPr>
        <w:t xml:space="preserve"> in this proceeding bear</w:t>
      </w:r>
      <w:r w:rsidR="004536B2">
        <w:rPr>
          <w:szCs w:val="26"/>
        </w:rPr>
        <w:t>s</w:t>
      </w:r>
      <w:r w:rsidRPr="00CA43A5">
        <w:rPr>
          <w:szCs w:val="26"/>
        </w:rPr>
        <w:t xml:space="preserve"> the burden of proof pursuant to Section 332(a) of the Code.  66 Pa. C.S. § 332(a).  To establish a sufficient case and satisfy the burden of proof, the Complainant must show that </w:t>
      </w:r>
      <w:r w:rsidR="00C97006">
        <w:rPr>
          <w:szCs w:val="26"/>
        </w:rPr>
        <w:t>Verizon PA</w:t>
      </w:r>
      <w:r w:rsidRPr="00CA43A5">
        <w:rPr>
          <w:szCs w:val="26"/>
        </w:rPr>
        <w:t xml:space="preserve"> is responsible or accountable for the problem described in the Complaint.  </w:t>
      </w:r>
      <w:r w:rsidRPr="00CA43A5">
        <w:rPr>
          <w:i/>
          <w:szCs w:val="26"/>
        </w:rPr>
        <w:t xml:space="preserve">Patterson v. </w:t>
      </w:r>
      <w:r>
        <w:rPr>
          <w:i/>
          <w:szCs w:val="26"/>
        </w:rPr>
        <w:t xml:space="preserve">The </w:t>
      </w:r>
      <w:r w:rsidRPr="00CA43A5">
        <w:rPr>
          <w:i/>
          <w:szCs w:val="26"/>
        </w:rPr>
        <w:t>Bell Telephone Company of Pennsylvania</w:t>
      </w:r>
      <w:r w:rsidRPr="00CA43A5">
        <w:rPr>
          <w:szCs w:val="26"/>
        </w:rPr>
        <w:t xml:space="preserve">, 72 Pa. P.U.C. 196 (1990).  Such a showing must be by a preponderance of the evidence.  </w:t>
      </w:r>
      <w:r w:rsidRPr="00CA43A5">
        <w:rPr>
          <w:i/>
          <w:iCs/>
          <w:szCs w:val="26"/>
        </w:rPr>
        <w:t>Samuel J. Lansberry, Inc. v. Pa. PUC</w:t>
      </w:r>
      <w:r w:rsidRPr="00CA43A5">
        <w:rPr>
          <w:szCs w:val="26"/>
        </w:rPr>
        <w:t xml:space="preserve">, 578 A.2d 600 (Pa. Cmwlth. 1990), </w:t>
      </w:r>
      <w:r w:rsidRPr="00CA43A5">
        <w:rPr>
          <w:i/>
          <w:szCs w:val="26"/>
        </w:rPr>
        <w:t>alloc. denied,</w:t>
      </w:r>
      <w:r w:rsidRPr="00CA43A5">
        <w:rPr>
          <w:szCs w:val="26"/>
        </w:rPr>
        <w:t xml:space="preserve"> 529 Pa. 654, 602 A.2d 863 (1992).  That is, the Complainant</w:t>
      </w:r>
      <w:r w:rsidR="004536B2" w:rsidRPr="00CA43A5">
        <w:rPr>
          <w:szCs w:val="26"/>
        </w:rPr>
        <w:t>’</w:t>
      </w:r>
      <w:r>
        <w:rPr>
          <w:szCs w:val="26"/>
        </w:rPr>
        <w:t>s</w:t>
      </w:r>
      <w:r w:rsidRPr="00CA43A5">
        <w:rPr>
          <w:szCs w:val="26"/>
        </w:rPr>
        <w:t xml:space="preserve"> evidence must be more convincing, by even the smallest amount, th</w:t>
      </w:r>
      <w:r>
        <w:rPr>
          <w:szCs w:val="26"/>
        </w:rPr>
        <w:t>an that presented by the Respondent</w:t>
      </w:r>
      <w:r w:rsidRPr="00CA43A5">
        <w:rPr>
          <w:szCs w:val="26"/>
        </w:rPr>
        <w:t xml:space="preserve">.  </w:t>
      </w:r>
      <w:r w:rsidRPr="00CA43A5">
        <w:rPr>
          <w:i/>
          <w:szCs w:val="26"/>
        </w:rPr>
        <w:t>Se-Ling Hosiery</w:t>
      </w:r>
      <w:r>
        <w:rPr>
          <w:i/>
          <w:szCs w:val="26"/>
        </w:rPr>
        <w:t>, Inc.</w:t>
      </w:r>
      <w:r w:rsidRPr="00CA43A5">
        <w:rPr>
          <w:i/>
          <w:szCs w:val="26"/>
        </w:rPr>
        <w:t xml:space="preserve"> v. Margulies</w:t>
      </w:r>
      <w:r w:rsidRPr="00CA43A5">
        <w:rPr>
          <w:szCs w:val="26"/>
        </w:rPr>
        <w:t xml:space="preserve">, 364 Pa. 45, 70 A.2d 854 (1950).  Additionally, this Commission’s decision must be supported by substantial evidence in the record.  More is required than a mere trace of evidence or a suspicion of the existence of a fact sought to </w:t>
      </w:r>
      <w:r w:rsidRPr="00CA43A5">
        <w:rPr>
          <w:szCs w:val="26"/>
        </w:rPr>
        <w:lastRenderedPageBreak/>
        <w:t xml:space="preserve">be established.  </w:t>
      </w:r>
      <w:r w:rsidRPr="00CA43A5">
        <w:rPr>
          <w:i/>
          <w:szCs w:val="26"/>
        </w:rPr>
        <w:t xml:space="preserve">Norfolk &amp; Western Ry. Co. v. Pa. PUC, </w:t>
      </w:r>
      <w:r w:rsidRPr="00CA43A5">
        <w:rPr>
          <w:szCs w:val="26"/>
        </w:rPr>
        <w:t>489 Pa. 109, 413 A.2d 1037 (1980).</w:t>
      </w:r>
    </w:p>
    <w:p w:rsidR="007124EF" w:rsidRPr="00CA43A5" w:rsidRDefault="007124EF" w:rsidP="004603B3">
      <w:pPr>
        <w:spacing w:line="360" w:lineRule="auto"/>
        <w:contextualSpacing/>
        <w:rPr>
          <w:szCs w:val="26"/>
        </w:rPr>
      </w:pPr>
    </w:p>
    <w:p w:rsidR="007124EF" w:rsidRPr="004536B2" w:rsidRDefault="007124EF" w:rsidP="004603B3">
      <w:pPr>
        <w:spacing w:line="360" w:lineRule="auto"/>
        <w:ind w:firstLine="1440"/>
        <w:contextualSpacing/>
        <w:rPr>
          <w:rFonts w:ascii="Times New (W1)" w:hAnsi="Times New (W1)"/>
          <w:i/>
        </w:rPr>
      </w:pPr>
      <w:r w:rsidRPr="00472547">
        <w:t xml:space="preserve">Upon the presentation by </w:t>
      </w:r>
      <w:r>
        <w:t>the Complainant</w:t>
      </w:r>
      <w:r w:rsidRPr="00472547">
        <w:t xml:space="preserve"> of evidence sufficient to initially satisfy the</w:t>
      </w:r>
      <w:r>
        <w:t xml:space="preserve"> burden of proof, the burden </w:t>
      </w:r>
      <w:r w:rsidRPr="00472547">
        <w:t>of g</w:t>
      </w:r>
      <w:r>
        <w:t xml:space="preserve">oing forward with the evidence </w:t>
      </w:r>
      <w:r w:rsidRPr="00472547">
        <w:t xml:space="preserve">to rebut the evidence of the </w:t>
      </w:r>
      <w:r>
        <w:t xml:space="preserve">Complainant shifts to </w:t>
      </w:r>
      <w:r w:rsidR="00C97006">
        <w:t>Verizon PA</w:t>
      </w:r>
      <w:r w:rsidRPr="00472547">
        <w:t>. If</w:t>
      </w:r>
      <w:r>
        <w:t xml:space="preserve"> the evidence presented by </w:t>
      </w:r>
      <w:r w:rsidR="00C97006">
        <w:t>Verizon PA</w:t>
      </w:r>
      <w:r>
        <w:t xml:space="preserve"> is of co-equal value or “</w:t>
      </w:r>
      <w:r w:rsidRPr="00472547">
        <w:t>weight,</w:t>
      </w:r>
      <w:r>
        <w:t>”</w:t>
      </w:r>
      <w:r w:rsidRPr="00472547">
        <w:t xml:space="preserve"> the</w:t>
      </w:r>
      <w:r>
        <w:t xml:space="preserve"> burden of proof has not been satisfied. The C</w:t>
      </w:r>
      <w:r w:rsidRPr="00472547">
        <w:t>omplainant</w:t>
      </w:r>
      <w:r>
        <w:t>s</w:t>
      </w:r>
      <w:r w:rsidRPr="00472547">
        <w:t xml:space="preserve"> now ha</w:t>
      </w:r>
      <w:r>
        <w:t>ve</w:t>
      </w:r>
      <w:r w:rsidRPr="00472547">
        <w:t xml:space="preserve"> to provide some additional</w:t>
      </w:r>
      <w:r>
        <w:t xml:space="preserve"> evidence to rebut that of </w:t>
      </w:r>
      <w:r w:rsidR="00C97006">
        <w:t>Verizon PA</w:t>
      </w:r>
      <w:r w:rsidRPr="004536B2">
        <w:t xml:space="preserve">. </w:t>
      </w:r>
      <w:r w:rsidRPr="004536B2">
        <w:rPr>
          <w:iCs/>
        </w:rPr>
        <w:t xml:space="preserve"> </w:t>
      </w:r>
      <w:r w:rsidRPr="004536B2">
        <w:rPr>
          <w:rFonts w:ascii="Times New (W1)" w:hAnsi="Times New (W1)"/>
          <w:i/>
          <w:iCs/>
        </w:rPr>
        <w:t>Burleson v. Pa. PUC,</w:t>
      </w:r>
      <w:r w:rsidRPr="004536B2">
        <w:rPr>
          <w:rFonts w:ascii="Times New (W1)" w:hAnsi="Times New (W1)"/>
          <w:iCs/>
        </w:rPr>
        <w:t xml:space="preserve"> 443 A.2d 1373 (Pa. Cmwlth. 1982), </w:t>
      </w:r>
      <w:r w:rsidRPr="004536B2">
        <w:rPr>
          <w:rFonts w:ascii="Times New (W1)" w:hAnsi="Times New (W1)"/>
          <w:i/>
          <w:iCs/>
        </w:rPr>
        <w:t>aff’d,</w:t>
      </w:r>
      <w:r w:rsidRPr="004536B2">
        <w:rPr>
          <w:rFonts w:ascii="Times New (W1)" w:hAnsi="Times New (W1)"/>
          <w:iCs/>
        </w:rPr>
        <w:t xml:space="preserve"> 501 Pa. 433, 461 A.2d 1234 (1983).</w:t>
      </w:r>
    </w:p>
    <w:p w:rsidR="007124EF" w:rsidRPr="00182752" w:rsidRDefault="007124EF" w:rsidP="004603B3">
      <w:pPr>
        <w:spacing w:line="360" w:lineRule="auto"/>
        <w:ind w:firstLine="1440"/>
        <w:contextualSpacing/>
      </w:pPr>
    </w:p>
    <w:p w:rsidR="007124EF" w:rsidRDefault="007124EF" w:rsidP="004603B3">
      <w:pPr>
        <w:spacing w:line="360" w:lineRule="auto"/>
        <w:ind w:firstLine="1440"/>
        <w:contextualSpacing/>
      </w:pPr>
      <w:r w:rsidRPr="00182752">
        <w:t xml:space="preserve">While the burden of </w:t>
      </w:r>
      <w:r>
        <w:t>going forward with the evidence</w:t>
      </w:r>
      <w:r w:rsidRPr="00182752">
        <w:t xml:space="preserve"> may </w:t>
      </w:r>
      <w:r w:rsidRPr="008F16A1">
        <w:rPr>
          <w:rStyle w:val="term1"/>
          <w:b w:val="0"/>
        </w:rPr>
        <w:t>shift</w:t>
      </w:r>
      <w:r w:rsidRPr="008F16A1">
        <w:t xml:space="preserve"> back and forth during a proceeding, the </w:t>
      </w:r>
      <w:r w:rsidRPr="008F16A1">
        <w:rPr>
          <w:rStyle w:val="term1"/>
          <w:b w:val="0"/>
        </w:rPr>
        <w:t>burden of proof</w:t>
      </w:r>
      <w:r w:rsidRPr="008F16A1">
        <w:t xml:space="preserve"> never </w:t>
      </w:r>
      <w:r w:rsidRPr="008F16A1">
        <w:rPr>
          <w:rStyle w:val="term1"/>
          <w:b w:val="0"/>
        </w:rPr>
        <w:t xml:space="preserve">shifts. </w:t>
      </w:r>
      <w:r w:rsidR="001D5E60">
        <w:rPr>
          <w:rStyle w:val="term1"/>
          <w:b w:val="0"/>
        </w:rPr>
        <w:t xml:space="preserve"> </w:t>
      </w:r>
      <w:r w:rsidRPr="008F16A1">
        <w:rPr>
          <w:rStyle w:val="term1"/>
          <w:b w:val="0"/>
        </w:rPr>
        <w:t>The burden of proof</w:t>
      </w:r>
      <w:r w:rsidRPr="008F16A1">
        <w:t xml:space="preserve"> always remains on the party seeking affirmative relief from the Commission.</w:t>
      </w:r>
      <w:r>
        <w:t xml:space="preserve"> </w:t>
      </w:r>
      <w:r w:rsidRPr="008F16A1">
        <w:t xml:space="preserve"> </w:t>
      </w:r>
      <w:r>
        <w:rPr>
          <w:i/>
        </w:rPr>
        <w:t xml:space="preserve">Milkie v. Pa. PUC, </w:t>
      </w:r>
      <w:r>
        <w:t>768 A.2d 1217 (Pa. Cmwlth. 2001).</w:t>
      </w:r>
    </w:p>
    <w:p w:rsidR="00DB796A" w:rsidRDefault="00DB796A" w:rsidP="004603B3">
      <w:pPr>
        <w:spacing w:line="360" w:lineRule="auto"/>
        <w:ind w:firstLine="1440"/>
        <w:contextualSpacing/>
      </w:pPr>
    </w:p>
    <w:p w:rsidR="00DB796A" w:rsidRDefault="00DB796A" w:rsidP="004603B3">
      <w:pPr>
        <w:spacing w:line="360" w:lineRule="auto"/>
        <w:ind w:firstLine="1440"/>
        <w:contextualSpacing/>
        <w:rPr>
          <w:szCs w:val="26"/>
        </w:rPr>
      </w:pPr>
      <w:r>
        <w:rPr>
          <w:color w:val="000000"/>
          <w:szCs w:val="26"/>
        </w:rPr>
        <w:t>At the outset, we note that a</w:t>
      </w:r>
      <w:r w:rsidRPr="00CB10E4">
        <w:rPr>
          <w:color w:val="000000"/>
          <w:szCs w:val="26"/>
        </w:rPr>
        <w:t xml:space="preserve">ny issue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Cs w:val="26"/>
        </w:rPr>
        <w:t>Consolidated Rail Corporation v. Pa. PUC</w:t>
      </w:r>
      <w:r w:rsidRPr="00CB10E4">
        <w:rPr>
          <w:color w:val="000000"/>
          <w:szCs w:val="26"/>
        </w:rPr>
        <w:t xml:space="preserve">, 625 A.2d 741 (Pa. Cmwlth. 1993); see also, generally, </w:t>
      </w:r>
      <w:r w:rsidRPr="00843DF5">
        <w:rPr>
          <w:i/>
          <w:color w:val="000000"/>
          <w:szCs w:val="26"/>
        </w:rPr>
        <w:t>University of Pennsylvania v. Pa. PUC</w:t>
      </w:r>
      <w:r w:rsidRPr="00CB10E4">
        <w:rPr>
          <w:color w:val="000000"/>
          <w:szCs w:val="26"/>
        </w:rPr>
        <w:t>, 485 A.2d 1217 (Pa. Cmwlth. 1984).</w:t>
      </w:r>
    </w:p>
    <w:p w:rsidR="004536B2" w:rsidRDefault="004536B2" w:rsidP="004603B3">
      <w:pPr>
        <w:spacing w:line="360" w:lineRule="auto"/>
        <w:ind w:firstLine="1440"/>
        <w:contextualSpacing/>
      </w:pPr>
    </w:p>
    <w:p w:rsidR="004536B2" w:rsidRPr="00957BDC" w:rsidRDefault="004536B2" w:rsidP="004603B3">
      <w:pPr>
        <w:spacing w:line="360" w:lineRule="auto"/>
        <w:contextualSpacing/>
        <w:rPr>
          <w:b/>
        </w:rPr>
      </w:pPr>
      <w:r>
        <w:rPr>
          <w:b/>
        </w:rPr>
        <w:t>ALJ’s Initial Decision</w:t>
      </w:r>
    </w:p>
    <w:p w:rsidR="004536B2" w:rsidRDefault="004536B2" w:rsidP="004603B3">
      <w:pPr>
        <w:spacing w:line="360" w:lineRule="auto"/>
        <w:contextualSpacing/>
        <w:rPr>
          <w:szCs w:val="26"/>
        </w:rPr>
      </w:pPr>
    </w:p>
    <w:p w:rsidR="004536B2" w:rsidRDefault="004536B2" w:rsidP="004603B3">
      <w:pPr>
        <w:spacing w:line="360" w:lineRule="auto"/>
        <w:ind w:firstLine="1440"/>
        <w:contextualSpacing/>
        <w:rPr>
          <w:szCs w:val="26"/>
        </w:rPr>
      </w:pPr>
      <w:r>
        <w:rPr>
          <w:szCs w:val="26"/>
        </w:rPr>
        <w:t>ALJ Pell</w:t>
      </w:r>
      <w:r w:rsidRPr="00CA43A5">
        <w:rPr>
          <w:szCs w:val="26"/>
        </w:rPr>
        <w:t xml:space="preserve"> made </w:t>
      </w:r>
      <w:r>
        <w:rPr>
          <w:szCs w:val="26"/>
        </w:rPr>
        <w:t>seventeen</w:t>
      </w:r>
      <w:r w:rsidRPr="00CA43A5">
        <w:rPr>
          <w:szCs w:val="26"/>
        </w:rPr>
        <w:t xml:space="preserve"> Findings of Fact and reached </w:t>
      </w:r>
      <w:r>
        <w:rPr>
          <w:szCs w:val="26"/>
        </w:rPr>
        <w:t>five</w:t>
      </w:r>
      <w:r w:rsidRPr="00CA43A5">
        <w:rPr>
          <w:szCs w:val="26"/>
        </w:rPr>
        <w:t xml:space="preserve"> Conclusions of Law.</w:t>
      </w:r>
      <w:r>
        <w:rPr>
          <w:szCs w:val="26"/>
        </w:rPr>
        <w:t xml:space="preserve">  I.D. at 4-6, 10.</w:t>
      </w:r>
      <w:r w:rsidRPr="00CA43A5">
        <w:rPr>
          <w:szCs w:val="26"/>
        </w:rPr>
        <w:t xml:space="preserve">  </w:t>
      </w:r>
      <w:r w:rsidRPr="0016497B">
        <w:rPr>
          <w:szCs w:val="26"/>
        </w:rPr>
        <w:t>We shall adopt and incorporate herein by reference the ALJ’s Findings of Fact and Conclusions of Law, unless they are reversed or modified by this Opinion and Order, either expressly or by necessary implication</w:t>
      </w:r>
      <w:r>
        <w:rPr>
          <w:szCs w:val="26"/>
        </w:rPr>
        <w:t>.</w:t>
      </w:r>
    </w:p>
    <w:p w:rsidR="00262A69" w:rsidRDefault="00262A69" w:rsidP="004603B3">
      <w:pPr>
        <w:spacing w:line="360" w:lineRule="auto"/>
        <w:ind w:firstLine="1440"/>
        <w:contextualSpacing/>
        <w:rPr>
          <w:szCs w:val="26"/>
        </w:rPr>
      </w:pPr>
      <w:r>
        <w:rPr>
          <w:szCs w:val="26"/>
        </w:rPr>
        <w:lastRenderedPageBreak/>
        <w:t xml:space="preserve">The ALJ began </w:t>
      </w:r>
      <w:r w:rsidR="00C42726">
        <w:rPr>
          <w:szCs w:val="26"/>
        </w:rPr>
        <w:t xml:space="preserve">his discussion </w:t>
      </w:r>
      <w:r>
        <w:rPr>
          <w:szCs w:val="26"/>
        </w:rPr>
        <w:t xml:space="preserve">by </w:t>
      </w:r>
      <w:r w:rsidR="008D1775">
        <w:rPr>
          <w:szCs w:val="26"/>
        </w:rPr>
        <w:t xml:space="preserve">quoting </w:t>
      </w:r>
      <w:r>
        <w:rPr>
          <w:szCs w:val="26"/>
        </w:rPr>
        <w:t xml:space="preserve">Section 1501 of the Code.  The ALJ emphasized that although this section of the Code requires a utility to provide reasonable and adequate service, it does not mandate that the utility provide perfect service.  I.D. at 6-7.  </w:t>
      </w:r>
    </w:p>
    <w:p w:rsidR="007124EF" w:rsidRDefault="007124EF" w:rsidP="004603B3">
      <w:pPr>
        <w:spacing w:line="360" w:lineRule="auto"/>
        <w:ind w:firstLine="1440"/>
        <w:contextualSpacing/>
        <w:rPr>
          <w:szCs w:val="26"/>
        </w:rPr>
      </w:pPr>
    </w:p>
    <w:p w:rsidR="00262A69" w:rsidRDefault="00262A69" w:rsidP="004603B3">
      <w:pPr>
        <w:spacing w:line="360" w:lineRule="auto"/>
        <w:ind w:firstLine="1440"/>
        <w:contextualSpacing/>
        <w:rPr>
          <w:szCs w:val="26"/>
        </w:rPr>
      </w:pPr>
      <w:r>
        <w:rPr>
          <w:szCs w:val="26"/>
        </w:rPr>
        <w:t xml:space="preserve">The ALJ next addressed the Complainant’s allegation that </w:t>
      </w:r>
      <w:r w:rsidR="00C97006">
        <w:rPr>
          <w:szCs w:val="26"/>
        </w:rPr>
        <w:t>Verizon PA</w:t>
      </w:r>
      <w:r w:rsidR="008D1775">
        <w:rPr>
          <w:szCs w:val="26"/>
        </w:rPr>
        <w:t xml:space="preserve"> </w:t>
      </w:r>
      <w:r>
        <w:rPr>
          <w:szCs w:val="26"/>
        </w:rPr>
        <w:t>employees performed work on the outside rear wall of her Service Address on September</w:t>
      </w:r>
      <w:r w:rsidR="001D5E60">
        <w:rPr>
          <w:szCs w:val="26"/>
        </w:rPr>
        <w:t> </w:t>
      </w:r>
      <w:r>
        <w:rPr>
          <w:szCs w:val="26"/>
        </w:rPr>
        <w:t>26, 2013 without providing advance notice.  The ALJ noted that in response</w:t>
      </w:r>
      <w:r w:rsidR="001D5E60">
        <w:rPr>
          <w:szCs w:val="26"/>
        </w:rPr>
        <w:t xml:space="preserve"> to this allegation</w:t>
      </w:r>
      <w:r>
        <w:rPr>
          <w:szCs w:val="26"/>
        </w:rPr>
        <w:t xml:space="preserve">, </w:t>
      </w:r>
      <w:r w:rsidR="00C97006">
        <w:rPr>
          <w:szCs w:val="26"/>
        </w:rPr>
        <w:t xml:space="preserve">Verizon PA </w:t>
      </w:r>
      <w:r>
        <w:rPr>
          <w:szCs w:val="26"/>
        </w:rPr>
        <w:t xml:space="preserve">provided the testimony of a </w:t>
      </w:r>
      <w:r w:rsidR="00C97006">
        <w:rPr>
          <w:szCs w:val="26"/>
        </w:rPr>
        <w:t>Verizon PA</w:t>
      </w:r>
      <w:r>
        <w:rPr>
          <w:szCs w:val="26"/>
        </w:rPr>
        <w:t xml:space="preserve"> Local Manager for Construction </w:t>
      </w:r>
      <w:r w:rsidR="0055440C">
        <w:rPr>
          <w:szCs w:val="26"/>
        </w:rPr>
        <w:t xml:space="preserve">(Verizon PA Manager) </w:t>
      </w:r>
      <w:r>
        <w:rPr>
          <w:szCs w:val="26"/>
        </w:rPr>
        <w:t xml:space="preserve">who indicated that </w:t>
      </w:r>
      <w:r w:rsidR="00C97006">
        <w:rPr>
          <w:szCs w:val="26"/>
        </w:rPr>
        <w:t>Verizon PA</w:t>
      </w:r>
      <w:r>
        <w:rPr>
          <w:szCs w:val="26"/>
        </w:rPr>
        <w:t xml:space="preserve"> was operating in accordance with a right-of-way easement, and was not required to provide any notice to the Complainant. The ALJ stated that to the best of his knowledge, there are no requirements in the Code or our Regulations which would mandate that </w:t>
      </w:r>
      <w:r w:rsidR="00C97006">
        <w:rPr>
          <w:szCs w:val="26"/>
        </w:rPr>
        <w:t>Verizon PA</w:t>
      </w:r>
      <w:r>
        <w:rPr>
          <w:szCs w:val="26"/>
        </w:rPr>
        <w:t xml:space="preserve"> notify its </w:t>
      </w:r>
      <w:r w:rsidR="00AC7A92">
        <w:rPr>
          <w:szCs w:val="26"/>
        </w:rPr>
        <w:t>customers prior</w:t>
      </w:r>
      <w:r>
        <w:rPr>
          <w:szCs w:val="26"/>
        </w:rPr>
        <w:t xml:space="preserve"> to running a fiber optic cable along areas in which it has an existing right-of-way easement.  Accordingly, the ALJ ruled that pursuant to its right-of-way easement, </w:t>
      </w:r>
      <w:r w:rsidR="00C97006">
        <w:rPr>
          <w:szCs w:val="26"/>
        </w:rPr>
        <w:t>Verizon PA</w:t>
      </w:r>
      <w:r>
        <w:rPr>
          <w:szCs w:val="26"/>
        </w:rPr>
        <w:t xml:space="preserve"> was within its right to attach its fiber optic cable to its own copper wire which was already in place in the rear of the Complainant’s property.  I.D. at</w:t>
      </w:r>
      <w:r w:rsidR="001D5E60">
        <w:rPr>
          <w:szCs w:val="26"/>
        </w:rPr>
        <w:t> </w:t>
      </w:r>
      <w:r>
        <w:rPr>
          <w:szCs w:val="26"/>
        </w:rPr>
        <w:t>8-9.</w:t>
      </w:r>
    </w:p>
    <w:p w:rsidR="00262A69" w:rsidRDefault="00262A69" w:rsidP="004603B3">
      <w:pPr>
        <w:spacing w:line="360" w:lineRule="auto"/>
        <w:ind w:firstLine="1440"/>
        <w:contextualSpacing/>
        <w:rPr>
          <w:szCs w:val="26"/>
        </w:rPr>
      </w:pPr>
    </w:p>
    <w:p w:rsidR="00262A69" w:rsidRDefault="00262A69" w:rsidP="004603B3">
      <w:pPr>
        <w:spacing w:line="360" w:lineRule="auto"/>
        <w:ind w:firstLine="1440"/>
        <w:contextualSpacing/>
        <w:rPr>
          <w:szCs w:val="26"/>
        </w:rPr>
      </w:pPr>
      <w:r>
        <w:rPr>
          <w:szCs w:val="26"/>
        </w:rPr>
        <w:t xml:space="preserve">The ALJ also addressed the Complainant’s assertion that during a second encounter with </w:t>
      </w:r>
      <w:r w:rsidR="000E06E8">
        <w:rPr>
          <w:szCs w:val="26"/>
        </w:rPr>
        <w:t>Verizon PA’s workers</w:t>
      </w:r>
      <w:r w:rsidR="00ED1A0A">
        <w:rPr>
          <w:szCs w:val="26"/>
        </w:rPr>
        <w:t xml:space="preserve"> on September 26, 2013</w:t>
      </w:r>
      <w:r w:rsidR="000E06E8">
        <w:rPr>
          <w:szCs w:val="26"/>
        </w:rPr>
        <w:t>, a Verizon PA</w:t>
      </w:r>
      <w:r>
        <w:rPr>
          <w:szCs w:val="26"/>
        </w:rPr>
        <w:t xml:space="preserve"> employee was discourteous, refused to identify himself, and installed a wire in a new location on </w:t>
      </w:r>
      <w:r w:rsidR="00ED1A0A">
        <w:rPr>
          <w:szCs w:val="26"/>
        </w:rPr>
        <w:t>the rear wall of her property</w:t>
      </w:r>
      <w:r>
        <w:rPr>
          <w:szCs w:val="26"/>
        </w:rPr>
        <w:t xml:space="preserve">.  In response, </w:t>
      </w:r>
      <w:r w:rsidR="00C97006">
        <w:rPr>
          <w:szCs w:val="26"/>
        </w:rPr>
        <w:t>Verizon PA</w:t>
      </w:r>
      <w:r>
        <w:rPr>
          <w:szCs w:val="26"/>
        </w:rPr>
        <w:t xml:space="preserve"> presented the testimony of the </w:t>
      </w:r>
      <w:r w:rsidR="00C97006">
        <w:rPr>
          <w:szCs w:val="26"/>
        </w:rPr>
        <w:t>Verizon PA</w:t>
      </w:r>
      <w:r>
        <w:rPr>
          <w:szCs w:val="26"/>
        </w:rPr>
        <w:t xml:space="preserve"> Outside Plant Technician (OPT) who performed the work at the Complainant’s property and indicated that he was courteous.  The ALJ pointed to record evidence indicating that the </w:t>
      </w:r>
      <w:r w:rsidR="00C97006">
        <w:rPr>
          <w:szCs w:val="26"/>
        </w:rPr>
        <w:t>Verizon PA</w:t>
      </w:r>
      <w:r>
        <w:rPr>
          <w:szCs w:val="26"/>
        </w:rPr>
        <w:t xml:space="preserve"> workers wore uniforms and worked out of a truck, both of which clearly depicted the </w:t>
      </w:r>
      <w:r w:rsidR="00C97006">
        <w:rPr>
          <w:szCs w:val="26"/>
        </w:rPr>
        <w:t>Verizon PA</w:t>
      </w:r>
      <w:r>
        <w:rPr>
          <w:szCs w:val="26"/>
        </w:rPr>
        <w:t xml:space="preserve"> logo.  The ALJ noted the </w:t>
      </w:r>
      <w:r w:rsidR="00C97006">
        <w:rPr>
          <w:szCs w:val="26"/>
        </w:rPr>
        <w:t>Verizon PA</w:t>
      </w:r>
      <w:r>
        <w:rPr>
          <w:szCs w:val="26"/>
        </w:rPr>
        <w:t xml:space="preserve"> OPT’s testimony in which he averred that he was courteous and explained why the </w:t>
      </w:r>
      <w:r w:rsidR="00C97006">
        <w:rPr>
          <w:szCs w:val="26"/>
        </w:rPr>
        <w:t>Verizon PA</w:t>
      </w:r>
      <w:r>
        <w:rPr>
          <w:szCs w:val="26"/>
        </w:rPr>
        <w:t xml:space="preserve"> crew was present at her Service Address.  Based upon this information, the </w:t>
      </w:r>
      <w:r>
        <w:rPr>
          <w:szCs w:val="26"/>
        </w:rPr>
        <w:lastRenderedPageBreak/>
        <w:t xml:space="preserve">ALJ found that </w:t>
      </w:r>
      <w:r w:rsidR="00C97006">
        <w:rPr>
          <w:szCs w:val="26"/>
        </w:rPr>
        <w:t>Verizon PA</w:t>
      </w:r>
      <w:r>
        <w:rPr>
          <w:szCs w:val="26"/>
        </w:rPr>
        <w:t xml:space="preserve">’s crew completed its work without incident.  With respect to the Complainant’s claim regarding her interaction with a second worker, the ALJ ruled that the Complainant did not establish that this worker was a </w:t>
      </w:r>
      <w:r w:rsidR="00C97006">
        <w:rPr>
          <w:szCs w:val="26"/>
        </w:rPr>
        <w:t>Verizon PA</w:t>
      </w:r>
      <w:r>
        <w:rPr>
          <w:szCs w:val="26"/>
        </w:rPr>
        <w:t xml:space="preserve"> employee or that this newly installed wire belonged to </w:t>
      </w:r>
      <w:r w:rsidR="00C97006">
        <w:rPr>
          <w:szCs w:val="26"/>
        </w:rPr>
        <w:t>Verizon PA</w:t>
      </w:r>
      <w:r>
        <w:rPr>
          <w:szCs w:val="26"/>
        </w:rPr>
        <w:t xml:space="preserve">.  </w:t>
      </w:r>
      <w:r>
        <w:rPr>
          <w:i/>
          <w:szCs w:val="26"/>
        </w:rPr>
        <w:t>Id.</w:t>
      </w:r>
    </w:p>
    <w:p w:rsidR="00262A69" w:rsidRDefault="00262A69" w:rsidP="004603B3">
      <w:pPr>
        <w:spacing w:line="360" w:lineRule="auto"/>
        <w:ind w:firstLine="1440"/>
        <w:contextualSpacing/>
        <w:rPr>
          <w:szCs w:val="26"/>
        </w:rPr>
      </w:pPr>
    </w:p>
    <w:p w:rsidR="00262A69" w:rsidRDefault="00262A69" w:rsidP="004603B3">
      <w:pPr>
        <w:spacing w:line="360" w:lineRule="auto"/>
        <w:ind w:firstLine="1440"/>
        <w:contextualSpacing/>
        <w:rPr>
          <w:szCs w:val="26"/>
        </w:rPr>
      </w:pPr>
      <w:r>
        <w:rPr>
          <w:szCs w:val="26"/>
        </w:rPr>
        <w:t xml:space="preserve">Additionally, the ALJ addressed the Complainant’s claim that, upon completion of work at her Service Address, </w:t>
      </w:r>
      <w:r w:rsidR="00C97006">
        <w:rPr>
          <w:szCs w:val="26"/>
        </w:rPr>
        <w:t>Verizon PA</w:t>
      </w:r>
      <w:r>
        <w:rPr>
          <w:szCs w:val="26"/>
        </w:rPr>
        <w:t xml:space="preserve"> left behind debris on the ground near her back door, including a bracket with a nail sticking out of it.  In response</w:t>
      </w:r>
      <w:r w:rsidR="00AC7A92">
        <w:rPr>
          <w:szCs w:val="26"/>
        </w:rPr>
        <w:t>, Verizon</w:t>
      </w:r>
      <w:r w:rsidR="00C97006">
        <w:rPr>
          <w:szCs w:val="26"/>
        </w:rPr>
        <w:t xml:space="preserve"> PA</w:t>
      </w:r>
      <w:r>
        <w:rPr>
          <w:szCs w:val="26"/>
        </w:rPr>
        <w:t xml:space="preserve"> asserted that it had not caused any damage to the Complainant’s proper</w:t>
      </w:r>
      <w:r w:rsidR="00372732">
        <w:rPr>
          <w:szCs w:val="26"/>
        </w:rPr>
        <w:t>ty</w:t>
      </w:r>
      <w:r w:rsidR="001B538F">
        <w:rPr>
          <w:szCs w:val="26"/>
        </w:rPr>
        <w:t xml:space="preserve"> and</w:t>
      </w:r>
      <w:r w:rsidR="00372732">
        <w:rPr>
          <w:szCs w:val="26"/>
        </w:rPr>
        <w:t xml:space="preserve"> did not leave behind debr</w:t>
      </w:r>
      <w:r w:rsidR="0027198A">
        <w:rPr>
          <w:szCs w:val="26"/>
        </w:rPr>
        <w:t xml:space="preserve">is.  Although Verizon PA noted that the bracket referenced by the Complainant was the same type of bracket that Verizon PA uses to hold the U-guard that protects its copper cable when it comes up out of the ground, Verizon PA affirmed that it </w:t>
      </w:r>
      <w:r>
        <w:rPr>
          <w:szCs w:val="26"/>
        </w:rPr>
        <w:t xml:space="preserve">offered to secure </w:t>
      </w:r>
      <w:r w:rsidR="0027198A">
        <w:rPr>
          <w:szCs w:val="26"/>
        </w:rPr>
        <w:t xml:space="preserve">the bracket.  </w:t>
      </w:r>
      <w:r w:rsidR="00531307">
        <w:rPr>
          <w:szCs w:val="26"/>
        </w:rPr>
        <w:t xml:space="preserve">The ALJ found that </w:t>
      </w:r>
      <w:r w:rsidR="00C97006">
        <w:rPr>
          <w:szCs w:val="26"/>
        </w:rPr>
        <w:t>Verizon PA</w:t>
      </w:r>
      <w:r>
        <w:rPr>
          <w:szCs w:val="26"/>
        </w:rPr>
        <w:t xml:space="preserve"> did not provide unreasonable, unsafe, or inadequate service.  </w:t>
      </w:r>
      <w:r w:rsidR="00531307">
        <w:rPr>
          <w:szCs w:val="26"/>
        </w:rPr>
        <w:t xml:space="preserve">The ALJ reasoned that, even if Verizon PA had left behind debris or forgot to secure the bracket, these were small oversights.  </w:t>
      </w:r>
      <w:r>
        <w:rPr>
          <w:szCs w:val="26"/>
        </w:rPr>
        <w:t xml:space="preserve">The ALJ pointed out that </w:t>
      </w:r>
      <w:r w:rsidR="0055440C">
        <w:rPr>
          <w:szCs w:val="26"/>
        </w:rPr>
        <w:t xml:space="preserve">the Verizon PA Manager offered to have a Verizon PA employee </w:t>
      </w:r>
      <w:r w:rsidR="001B538F">
        <w:rPr>
          <w:szCs w:val="26"/>
        </w:rPr>
        <w:t xml:space="preserve">return </w:t>
      </w:r>
      <w:r w:rsidR="00FF3AEF">
        <w:rPr>
          <w:szCs w:val="26"/>
        </w:rPr>
        <w:t>to the Complainant’s Service Address to</w:t>
      </w:r>
      <w:r>
        <w:rPr>
          <w:szCs w:val="26"/>
        </w:rPr>
        <w:t xml:space="preserve"> secure the bracket with a second screw but that the Complainant declined this offer.  Further, the ALJ</w:t>
      </w:r>
      <w:r w:rsidR="00DC493F">
        <w:rPr>
          <w:szCs w:val="26"/>
        </w:rPr>
        <w:t xml:space="preserve"> </w:t>
      </w:r>
      <w:r w:rsidR="00C44F48">
        <w:rPr>
          <w:szCs w:val="26"/>
        </w:rPr>
        <w:t xml:space="preserve">took notice </w:t>
      </w:r>
      <w:r>
        <w:rPr>
          <w:szCs w:val="26"/>
        </w:rPr>
        <w:t xml:space="preserve">that a utility is not mandated under Section 1501 of the Code to provide perfect service.  </w:t>
      </w:r>
      <w:r>
        <w:rPr>
          <w:i/>
          <w:szCs w:val="26"/>
        </w:rPr>
        <w:t>Id.</w:t>
      </w:r>
    </w:p>
    <w:p w:rsidR="00262A69" w:rsidRDefault="00262A69" w:rsidP="004603B3">
      <w:pPr>
        <w:spacing w:line="360" w:lineRule="auto"/>
        <w:contextualSpacing/>
        <w:rPr>
          <w:szCs w:val="26"/>
        </w:rPr>
      </w:pPr>
    </w:p>
    <w:p w:rsidR="00262A69" w:rsidRDefault="00262A69" w:rsidP="004603B3">
      <w:pPr>
        <w:spacing w:line="360" w:lineRule="auto"/>
        <w:ind w:firstLine="1440"/>
        <w:contextualSpacing/>
        <w:rPr>
          <w:szCs w:val="26"/>
        </w:rPr>
      </w:pPr>
      <w:r>
        <w:rPr>
          <w:szCs w:val="26"/>
        </w:rPr>
        <w:t>For the above reasons, the ALJ found that the Complainant failed to meet her burden of proving her claims and denied the Complaint in its entirety.</w:t>
      </w:r>
    </w:p>
    <w:p w:rsidR="00F0493E" w:rsidRDefault="00F0493E" w:rsidP="004603B3">
      <w:pPr>
        <w:spacing w:line="360" w:lineRule="auto"/>
        <w:ind w:firstLine="1440"/>
        <w:contextualSpacing/>
        <w:rPr>
          <w:szCs w:val="26"/>
        </w:rPr>
      </w:pPr>
    </w:p>
    <w:p w:rsidR="00F0493E" w:rsidRPr="00004202" w:rsidRDefault="00F0493E" w:rsidP="004603B3">
      <w:pPr>
        <w:spacing w:line="360" w:lineRule="auto"/>
        <w:contextualSpacing/>
        <w:rPr>
          <w:b/>
          <w:szCs w:val="26"/>
        </w:rPr>
      </w:pPr>
      <w:r>
        <w:rPr>
          <w:b/>
          <w:szCs w:val="26"/>
        </w:rPr>
        <w:lastRenderedPageBreak/>
        <w:t>February 17</w:t>
      </w:r>
      <w:r w:rsidR="00C44F48" w:rsidRPr="00004202">
        <w:rPr>
          <w:b/>
          <w:szCs w:val="26"/>
          <w:vertAlign w:val="superscript"/>
        </w:rPr>
        <w:t>th</w:t>
      </w:r>
      <w:r>
        <w:rPr>
          <w:b/>
          <w:szCs w:val="26"/>
        </w:rPr>
        <w:t xml:space="preserve"> Exceptions and </w:t>
      </w:r>
      <w:r w:rsidR="00C97006">
        <w:rPr>
          <w:b/>
          <w:szCs w:val="26"/>
        </w:rPr>
        <w:t>Verizon PA</w:t>
      </w:r>
      <w:r>
        <w:rPr>
          <w:b/>
          <w:szCs w:val="26"/>
        </w:rPr>
        <w:t>’s Replies to Exceptions</w:t>
      </w:r>
      <w:r w:rsidR="006F6059" w:rsidRPr="006F6059">
        <w:rPr>
          <w:rStyle w:val="FootnoteReference"/>
          <w:szCs w:val="26"/>
        </w:rPr>
        <w:footnoteReference w:id="4"/>
      </w:r>
    </w:p>
    <w:p w:rsidR="00F0493E" w:rsidRDefault="00F0493E" w:rsidP="004603B3">
      <w:pPr>
        <w:spacing w:line="360" w:lineRule="auto"/>
        <w:ind w:firstLine="1440"/>
        <w:contextualSpacing/>
        <w:rPr>
          <w:szCs w:val="26"/>
        </w:rPr>
      </w:pPr>
    </w:p>
    <w:p w:rsidR="00F0493E" w:rsidRDefault="00F0493E" w:rsidP="004603B3">
      <w:pPr>
        <w:spacing w:line="360" w:lineRule="auto"/>
        <w:ind w:firstLine="1440"/>
        <w:contextualSpacing/>
        <w:rPr>
          <w:szCs w:val="26"/>
        </w:rPr>
      </w:pPr>
      <w:r>
        <w:rPr>
          <w:szCs w:val="26"/>
        </w:rPr>
        <w:t>The Complainant’s February 17</w:t>
      </w:r>
      <w:r w:rsidR="00C44F48" w:rsidRPr="00004202">
        <w:rPr>
          <w:szCs w:val="26"/>
          <w:vertAlign w:val="superscript"/>
        </w:rPr>
        <w:t>th</w:t>
      </w:r>
      <w:r>
        <w:rPr>
          <w:szCs w:val="26"/>
        </w:rPr>
        <w:t xml:space="preserve"> Exceptions consist of a single handwritten page in which she contends that</w:t>
      </w:r>
      <w:r w:rsidR="00CD6C44">
        <w:rPr>
          <w:szCs w:val="26"/>
        </w:rPr>
        <w:t>, contrary to the ALJ’s findings,</w:t>
      </w:r>
      <w:r>
        <w:rPr>
          <w:szCs w:val="26"/>
        </w:rPr>
        <w:t xml:space="preserve"> </w:t>
      </w:r>
      <w:r w:rsidR="00C97006">
        <w:rPr>
          <w:szCs w:val="26"/>
        </w:rPr>
        <w:t>Verizon PA</w:t>
      </w:r>
      <w:r>
        <w:rPr>
          <w:szCs w:val="26"/>
        </w:rPr>
        <w:t xml:space="preserve"> provided her with unsafe and unreasonable service because she found nails l</w:t>
      </w:r>
      <w:r w:rsidR="009135A7">
        <w:rPr>
          <w:szCs w:val="26"/>
        </w:rPr>
        <w:t>a</w:t>
      </w:r>
      <w:r>
        <w:rPr>
          <w:szCs w:val="26"/>
        </w:rPr>
        <w:t>yin</w:t>
      </w:r>
      <w:r w:rsidR="00C340E0">
        <w:rPr>
          <w:szCs w:val="26"/>
        </w:rPr>
        <w:t>g on the ground outside her Service A</w:t>
      </w:r>
      <w:r>
        <w:rPr>
          <w:szCs w:val="26"/>
        </w:rPr>
        <w:t>ddress. The Complainant rea</w:t>
      </w:r>
      <w:r w:rsidR="00C340E0">
        <w:rPr>
          <w:szCs w:val="26"/>
        </w:rPr>
        <w:t>sserts that the workers at her S</w:t>
      </w:r>
      <w:r>
        <w:rPr>
          <w:szCs w:val="26"/>
        </w:rPr>
        <w:t xml:space="preserve">ervice </w:t>
      </w:r>
      <w:r w:rsidR="00C340E0">
        <w:rPr>
          <w:szCs w:val="26"/>
        </w:rPr>
        <w:t>A</w:t>
      </w:r>
      <w:r>
        <w:rPr>
          <w:szCs w:val="26"/>
        </w:rPr>
        <w:t xml:space="preserve">ddress did not present identification to show that they were employees of </w:t>
      </w:r>
      <w:r w:rsidR="00C97006">
        <w:rPr>
          <w:szCs w:val="26"/>
        </w:rPr>
        <w:t>Verizon PA</w:t>
      </w:r>
      <w:r>
        <w:rPr>
          <w:szCs w:val="26"/>
        </w:rPr>
        <w:t>.  February 17</w:t>
      </w:r>
      <w:r w:rsidR="00D420A7" w:rsidRPr="00004202">
        <w:rPr>
          <w:szCs w:val="26"/>
          <w:vertAlign w:val="superscript"/>
        </w:rPr>
        <w:t>th</w:t>
      </w:r>
      <w:r>
        <w:rPr>
          <w:szCs w:val="26"/>
        </w:rPr>
        <w:t xml:space="preserve"> Exc. at 1.  </w:t>
      </w:r>
    </w:p>
    <w:p w:rsidR="00F0493E" w:rsidRDefault="00F0493E" w:rsidP="004603B3">
      <w:pPr>
        <w:spacing w:line="360" w:lineRule="auto"/>
        <w:contextualSpacing/>
        <w:rPr>
          <w:szCs w:val="26"/>
        </w:rPr>
      </w:pPr>
    </w:p>
    <w:p w:rsidR="00F0493E" w:rsidRDefault="00F0493E" w:rsidP="004603B3">
      <w:pPr>
        <w:spacing w:line="360" w:lineRule="auto"/>
        <w:ind w:firstLine="1440"/>
        <w:contextualSpacing/>
        <w:rPr>
          <w:szCs w:val="26"/>
        </w:rPr>
      </w:pPr>
      <w:r>
        <w:rPr>
          <w:szCs w:val="26"/>
        </w:rPr>
        <w:t xml:space="preserve">In response, </w:t>
      </w:r>
      <w:r w:rsidR="00C97006">
        <w:rPr>
          <w:szCs w:val="26"/>
        </w:rPr>
        <w:t>Verizon PA</w:t>
      </w:r>
      <w:r w:rsidR="008D1775">
        <w:rPr>
          <w:szCs w:val="26"/>
        </w:rPr>
        <w:t xml:space="preserve"> </w:t>
      </w:r>
      <w:r w:rsidR="00C44F48">
        <w:rPr>
          <w:szCs w:val="26"/>
        </w:rPr>
        <w:t>submits</w:t>
      </w:r>
      <w:r>
        <w:rPr>
          <w:szCs w:val="26"/>
        </w:rPr>
        <w:t xml:space="preserve"> that the Complainant’s February 17</w:t>
      </w:r>
      <w:r w:rsidR="00C44F48" w:rsidRPr="00004202">
        <w:rPr>
          <w:szCs w:val="26"/>
          <w:vertAlign w:val="superscript"/>
        </w:rPr>
        <w:t>th</w:t>
      </w:r>
      <w:r>
        <w:rPr>
          <w:szCs w:val="26"/>
        </w:rPr>
        <w:t xml:space="preserve"> Exceptions should be rejected by the Commission because the statement she makes offers no proof that </w:t>
      </w:r>
      <w:r w:rsidR="00C97006">
        <w:rPr>
          <w:szCs w:val="26"/>
        </w:rPr>
        <w:t>Verizon PA</w:t>
      </w:r>
      <w:r>
        <w:rPr>
          <w:szCs w:val="26"/>
        </w:rPr>
        <w:t xml:space="preserve"> provided her with unreasonable service.  </w:t>
      </w:r>
      <w:r w:rsidR="00C97006">
        <w:rPr>
          <w:szCs w:val="26"/>
        </w:rPr>
        <w:t>Verizon PA</w:t>
      </w:r>
      <w:r>
        <w:rPr>
          <w:szCs w:val="26"/>
        </w:rPr>
        <w:t xml:space="preserve"> R.</w:t>
      </w:r>
      <w:r w:rsidR="00C44F48">
        <w:rPr>
          <w:szCs w:val="26"/>
        </w:rPr>
        <w:t> </w:t>
      </w:r>
      <w:r>
        <w:rPr>
          <w:szCs w:val="26"/>
        </w:rPr>
        <w:t>Exc. at</w:t>
      </w:r>
      <w:r w:rsidR="00C44F48">
        <w:rPr>
          <w:szCs w:val="26"/>
        </w:rPr>
        <w:t> </w:t>
      </w:r>
      <w:r>
        <w:rPr>
          <w:szCs w:val="26"/>
        </w:rPr>
        <w:t>12.</w:t>
      </w:r>
    </w:p>
    <w:p w:rsidR="00DB796A" w:rsidRDefault="00DB796A" w:rsidP="004603B3">
      <w:pPr>
        <w:spacing w:line="360" w:lineRule="auto"/>
        <w:ind w:firstLine="1440"/>
        <w:contextualSpacing/>
        <w:rPr>
          <w:szCs w:val="26"/>
        </w:rPr>
      </w:pPr>
    </w:p>
    <w:p w:rsidR="00DB796A" w:rsidRDefault="00DB796A" w:rsidP="004603B3">
      <w:pPr>
        <w:spacing w:line="360" w:lineRule="auto"/>
        <w:contextualSpacing/>
        <w:rPr>
          <w:b/>
          <w:szCs w:val="26"/>
        </w:rPr>
      </w:pPr>
      <w:r>
        <w:rPr>
          <w:b/>
          <w:szCs w:val="26"/>
        </w:rPr>
        <w:t>February 26</w:t>
      </w:r>
      <w:r w:rsidR="00C44F48" w:rsidRPr="00004202">
        <w:rPr>
          <w:b/>
          <w:szCs w:val="26"/>
          <w:vertAlign w:val="superscript"/>
        </w:rPr>
        <w:t>th</w:t>
      </w:r>
      <w:r>
        <w:rPr>
          <w:b/>
          <w:szCs w:val="26"/>
        </w:rPr>
        <w:t xml:space="preserve"> Exceptions and </w:t>
      </w:r>
      <w:r w:rsidR="00C97006">
        <w:rPr>
          <w:b/>
          <w:szCs w:val="26"/>
        </w:rPr>
        <w:t>Verizon PA</w:t>
      </w:r>
      <w:r>
        <w:rPr>
          <w:b/>
          <w:szCs w:val="26"/>
        </w:rPr>
        <w:t>’s Replies to Exceptions</w:t>
      </w:r>
    </w:p>
    <w:p w:rsidR="00DB796A" w:rsidRDefault="00DB796A" w:rsidP="004603B3">
      <w:pPr>
        <w:spacing w:line="360" w:lineRule="auto"/>
        <w:contextualSpacing/>
        <w:rPr>
          <w:b/>
          <w:szCs w:val="26"/>
        </w:rPr>
      </w:pPr>
    </w:p>
    <w:p w:rsidR="009164B1" w:rsidRDefault="00DB796A" w:rsidP="004603B3">
      <w:pPr>
        <w:spacing w:line="360" w:lineRule="auto"/>
        <w:ind w:firstLine="1440"/>
        <w:contextualSpacing/>
        <w:rPr>
          <w:szCs w:val="26"/>
        </w:rPr>
      </w:pPr>
      <w:r>
        <w:rPr>
          <w:szCs w:val="26"/>
        </w:rPr>
        <w:t>The Complainant’s February 26</w:t>
      </w:r>
      <w:r w:rsidR="00C44F48" w:rsidRPr="00004202">
        <w:rPr>
          <w:szCs w:val="26"/>
          <w:vertAlign w:val="superscript"/>
        </w:rPr>
        <w:t>th</w:t>
      </w:r>
      <w:r>
        <w:rPr>
          <w:szCs w:val="26"/>
        </w:rPr>
        <w:t xml:space="preserve"> Exceptions consist of seven handwri</w:t>
      </w:r>
      <w:r w:rsidR="001E5799">
        <w:rPr>
          <w:szCs w:val="26"/>
        </w:rPr>
        <w:t>tten, non-sequentially numbered</w:t>
      </w:r>
      <w:r>
        <w:rPr>
          <w:szCs w:val="26"/>
        </w:rPr>
        <w:t xml:space="preserve"> pages in which the Complainant objects, in narrative form, to ALJ Pell’s Initial Decision.</w:t>
      </w:r>
      <w:r w:rsidR="009164B1">
        <w:rPr>
          <w:szCs w:val="26"/>
        </w:rPr>
        <w:t xml:space="preserve">  The Complainant reasserts that Verizon PA </w:t>
      </w:r>
      <w:r w:rsidR="0055440C">
        <w:rPr>
          <w:szCs w:val="26"/>
        </w:rPr>
        <w:t xml:space="preserve">improperly sent </w:t>
      </w:r>
      <w:r w:rsidR="009164B1">
        <w:rPr>
          <w:szCs w:val="26"/>
        </w:rPr>
        <w:t xml:space="preserve">workers </w:t>
      </w:r>
      <w:r w:rsidR="0055440C">
        <w:rPr>
          <w:szCs w:val="26"/>
        </w:rPr>
        <w:t>to perform maintenance</w:t>
      </w:r>
      <w:r w:rsidR="009164B1">
        <w:rPr>
          <w:szCs w:val="26"/>
        </w:rPr>
        <w:t xml:space="preserve"> at her Service Address on September 26, 2013</w:t>
      </w:r>
      <w:r w:rsidR="0055440C">
        <w:rPr>
          <w:szCs w:val="26"/>
        </w:rPr>
        <w:t xml:space="preserve"> without having provided her with advance notice.  The Complainant maintains that these workers </w:t>
      </w:r>
      <w:r w:rsidR="009164B1">
        <w:rPr>
          <w:szCs w:val="26"/>
        </w:rPr>
        <w:lastRenderedPageBreak/>
        <w:t xml:space="preserve">were discourteous when she asked their reasoning for working on her property </w:t>
      </w:r>
      <w:r w:rsidR="0055440C">
        <w:rPr>
          <w:szCs w:val="26"/>
        </w:rPr>
        <w:t xml:space="preserve">and that </w:t>
      </w:r>
      <w:r w:rsidR="009164B1">
        <w:rPr>
          <w:szCs w:val="26"/>
        </w:rPr>
        <w:t xml:space="preserve">certain of the employees </w:t>
      </w:r>
      <w:r w:rsidR="00CC3613">
        <w:rPr>
          <w:szCs w:val="26"/>
        </w:rPr>
        <w:t>refused to</w:t>
      </w:r>
      <w:r w:rsidR="0055440C">
        <w:rPr>
          <w:szCs w:val="26"/>
        </w:rPr>
        <w:t xml:space="preserve"> identify themselves.  The Complainant also restates that the workers </w:t>
      </w:r>
      <w:r w:rsidR="009164B1">
        <w:rPr>
          <w:szCs w:val="26"/>
        </w:rPr>
        <w:t xml:space="preserve">wore uniforms that did not depict Verizon PA’s logo.  Further, the Complainant </w:t>
      </w:r>
      <w:r w:rsidR="0055440C">
        <w:rPr>
          <w:szCs w:val="26"/>
        </w:rPr>
        <w:t>reiterates</w:t>
      </w:r>
      <w:r w:rsidR="009164B1">
        <w:rPr>
          <w:szCs w:val="26"/>
        </w:rPr>
        <w:t xml:space="preserve"> that </w:t>
      </w:r>
      <w:r w:rsidR="0055440C">
        <w:rPr>
          <w:szCs w:val="26"/>
        </w:rPr>
        <w:t xml:space="preserve">the workers </w:t>
      </w:r>
      <w:r w:rsidR="009164B1">
        <w:rPr>
          <w:szCs w:val="26"/>
        </w:rPr>
        <w:t>caused damage to her property and left the area outside her home unfinished and unsafe</w:t>
      </w:r>
      <w:r w:rsidR="00E66CD4">
        <w:rPr>
          <w:szCs w:val="26"/>
        </w:rPr>
        <w:t xml:space="preserve"> by leaving behind debris.  </w:t>
      </w:r>
      <w:r w:rsidR="009164B1">
        <w:rPr>
          <w:szCs w:val="26"/>
        </w:rPr>
        <w:t xml:space="preserve">The Complainant contends that the ALJ overlooked </w:t>
      </w:r>
      <w:r w:rsidR="00F35179">
        <w:rPr>
          <w:szCs w:val="26"/>
        </w:rPr>
        <w:t>the potential danger that this represented</w:t>
      </w:r>
      <w:r w:rsidR="009164B1">
        <w:rPr>
          <w:szCs w:val="26"/>
        </w:rPr>
        <w:t xml:space="preserve"> to her and her family.  The Complainant </w:t>
      </w:r>
      <w:r w:rsidR="00F35179">
        <w:rPr>
          <w:szCs w:val="26"/>
        </w:rPr>
        <w:t>submits</w:t>
      </w:r>
      <w:r w:rsidR="009164B1">
        <w:rPr>
          <w:szCs w:val="26"/>
        </w:rPr>
        <w:t xml:space="preserve"> that, contrary to the ALJ’s findings, she proved that Verizon PA provided her with inadequate, unsafe, and unreliable service.  </w:t>
      </w:r>
      <w:r w:rsidR="0017760F">
        <w:rPr>
          <w:szCs w:val="26"/>
        </w:rPr>
        <w:t>February 26</w:t>
      </w:r>
      <w:r w:rsidR="00D420A7" w:rsidRPr="00004202">
        <w:rPr>
          <w:szCs w:val="26"/>
          <w:vertAlign w:val="superscript"/>
        </w:rPr>
        <w:t>th</w:t>
      </w:r>
      <w:r w:rsidR="0017760F">
        <w:rPr>
          <w:szCs w:val="26"/>
        </w:rPr>
        <w:t xml:space="preserve"> </w:t>
      </w:r>
      <w:r w:rsidR="009164B1">
        <w:rPr>
          <w:szCs w:val="26"/>
        </w:rPr>
        <w:t>Exc. at 1-7.</w:t>
      </w:r>
    </w:p>
    <w:p w:rsidR="00DB796A" w:rsidRPr="00F0493E" w:rsidRDefault="00DB796A" w:rsidP="004603B3">
      <w:pPr>
        <w:spacing w:line="360" w:lineRule="auto"/>
        <w:ind w:firstLine="1440"/>
        <w:contextualSpacing/>
        <w:rPr>
          <w:szCs w:val="26"/>
        </w:rPr>
      </w:pPr>
    </w:p>
    <w:p w:rsidR="0017760F" w:rsidRDefault="00250C21" w:rsidP="004603B3">
      <w:pPr>
        <w:spacing w:line="360" w:lineRule="auto"/>
        <w:ind w:firstLine="1440"/>
        <w:contextualSpacing/>
        <w:rPr>
          <w:szCs w:val="26"/>
        </w:rPr>
      </w:pPr>
      <w:r>
        <w:rPr>
          <w:szCs w:val="26"/>
        </w:rPr>
        <w:t xml:space="preserve">In reply, </w:t>
      </w:r>
      <w:r w:rsidR="00794788">
        <w:rPr>
          <w:szCs w:val="26"/>
        </w:rPr>
        <w:t xml:space="preserve">Verizon PA </w:t>
      </w:r>
      <w:r>
        <w:rPr>
          <w:szCs w:val="26"/>
        </w:rPr>
        <w:t>refutes the Complainant’s claim that its workers were discourteous</w:t>
      </w:r>
      <w:r w:rsidR="00091125">
        <w:rPr>
          <w:szCs w:val="26"/>
        </w:rPr>
        <w:t xml:space="preserve"> when she asked their reasoning for working on her property.  On the contrary, Verizon submits that </w:t>
      </w:r>
      <w:r w:rsidR="00794788">
        <w:rPr>
          <w:szCs w:val="26"/>
        </w:rPr>
        <w:t xml:space="preserve">its OPT testified that he had a civil conversation with the Complainant during which </w:t>
      </w:r>
      <w:r w:rsidR="00F35179">
        <w:rPr>
          <w:szCs w:val="26"/>
        </w:rPr>
        <w:t>he</w:t>
      </w:r>
      <w:r w:rsidR="00794788">
        <w:rPr>
          <w:szCs w:val="26"/>
        </w:rPr>
        <w:t xml:space="preserve"> explained </w:t>
      </w:r>
      <w:r w:rsidR="00F35179">
        <w:rPr>
          <w:szCs w:val="26"/>
        </w:rPr>
        <w:t xml:space="preserve">to her </w:t>
      </w:r>
      <w:r w:rsidR="00794788">
        <w:rPr>
          <w:szCs w:val="26"/>
        </w:rPr>
        <w:t xml:space="preserve">the nature of the work Verizon </w:t>
      </w:r>
      <w:r w:rsidR="009A4D06">
        <w:rPr>
          <w:szCs w:val="26"/>
        </w:rPr>
        <w:t xml:space="preserve">PA </w:t>
      </w:r>
      <w:r w:rsidR="00794788">
        <w:rPr>
          <w:szCs w:val="26"/>
        </w:rPr>
        <w:t xml:space="preserve">would be performing.  Verizon PA also asserts that, </w:t>
      </w:r>
      <w:r w:rsidR="00F35179">
        <w:rPr>
          <w:szCs w:val="26"/>
        </w:rPr>
        <w:t>despite</w:t>
      </w:r>
      <w:r w:rsidR="00794788">
        <w:rPr>
          <w:szCs w:val="26"/>
        </w:rPr>
        <w:t xml:space="preserve"> the Complainant’s statement</w:t>
      </w:r>
      <w:r w:rsidR="006A4D8B">
        <w:rPr>
          <w:szCs w:val="26"/>
        </w:rPr>
        <w:t>s</w:t>
      </w:r>
      <w:r w:rsidR="00F35179">
        <w:rPr>
          <w:szCs w:val="26"/>
        </w:rPr>
        <w:t xml:space="preserve"> </w:t>
      </w:r>
      <w:r w:rsidR="00091125">
        <w:rPr>
          <w:szCs w:val="26"/>
        </w:rPr>
        <w:t xml:space="preserve">that the workers wore uniforms that did not depict Verizon PA’s logo, </w:t>
      </w:r>
      <w:r w:rsidR="00794788">
        <w:rPr>
          <w:szCs w:val="26"/>
        </w:rPr>
        <w:t xml:space="preserve">the OPT indicated that he and the other Verizon </w:t>
      </w:r>
      <w:r w:rsidR="009A4D06">
        <w:rPr>
          <w:szCs w:val="26"/>
        </w:rPr>
        <w:t xml:space="preserve">PA </w:t>
      </w:r>
      <w:r w:rsidR="00794788">
        <w:rPr>
          <w:szCs w:val="26"/>
        </w:rPr>
        <w:t>workers wore polo shirts and hard hats</w:t>
      </w:r>
      <w:r w:rsidR="00F35179">
        <w:rPr>
          <w:szCs w:val="26"/>
        </w:rPr>
        <w:t xml:space="preserve"> which</w:t>
      </w:r>
      <w:r w:rsidR="006A4D8B">
        <w:rPr>
          <w:szCs w:val="26"/>
        </w:rPr>
        <w:t xml:space="preserve"> depicted Verizon PA’s logo</w:t>
      </w:r>
      <w:r w:rsidR="00794788">
        <w:rPr>
          <w:szCs w:val="26"/>
        </w:rPr>
        <w:t xml:space="preserve"> and colors</w:t>
      </w:r>
      <w:r w:rsidR="006A4D8B">
        <w:rPr>
          <w:szCs w:val="26"/>
        </w:rPr>
        <w:t>.</w:t>
      </w:r>
      <w:r w:rsidR="00794788">
        <w:rPr>
          <w:szCs w:val="26"/>
        </w:rPr>
        <w:t xml:space="preserve"> </w:t>
      </w:r>
      <w:r w:rsidR="006A4D8B">
        <w:rPr>
          <w:szCs w:val="26"/>
        </w:rPr>
        <w:t xml:space="preserve"> </w:t>
      </w:r>
      <w:r w:rsidR="00794788">
        <w:rPr>
          <w:szCs w:val="26"/>
        </w:rPr>
        <w:t xml:space="preserve">Further, Verizon </w:t>
      </w:r>
      <w:r w:rsidR="009A4D06">
        <w:rPr>
          <w:szCs w:val="26"/>
        </w:rPr>
        <w:t xml:space="preserve">PA </w:t>
      </w:r>
      <w:r w:rsidR="00794788">
        <w:rPr>
          <w:szCs w:val="26"/>
        </w:rPr>
        <w:t xml:space="preserve">argues that the record indicates that </w:t>
      </w:r>
      <w:r w:rsidR="006A4D8B">
        <w:rPr>
          <w:szCs w:val="26"/>
        </w:rPr>
        <w:t xml:space="preserve">the Complainant did not ask </w:t>
      </w:r>
      <w:r w:rsidR="00794788">
        <w:rPr>
          <w:szCs w:val="26"/>
        </w:rPr>
        <w:t xml:space="preserve">for identification but that the workers would have identified themselves upon request.  R.Exc at 4-5, 7.  In response to the Complainant’s </w:t>
      </w:r>
      <w:r w:rsidR="006A4D8B">
        <w:rPr>
          <w:szCs w:val="26"/>
        </w:rPr>
        <w:t>contention t</w:t>
      </w:r>
      <w:r w:rsidR="00794788">
        <w:rPr>
          <w:szCs w:val="26"/>
        </w:rPr>
        <w:t xml:space="preserve">hat the ALJ failed to recognize that its workers left the area outside her home unfinished and unsafe, Verizon </w:t>
      </w:r>
      <w:r w:rsidR="006A4D8B">
        <w:rPr>
          <w:szCs w:val="26"/>
        </w:rPr>
        <w:t xml:space="preserve">PA points to the testimony of </w:t>
      </w:r>
      <w:r w:rsidR="00091125">
        <w:rPr>
          <w:szCs w:val="26"/>
        </w:rPr>
        <w:t>its</w:t>
      </w:r>
      <w:r w:rsidR="006A4D8B">
        <w:rPr>
          <w:szCs w:val="26"/>
        </w:rPr>
        <w:t xml:space="preserve"> OPT </w:t>
      </w:r>
      <w:r w:rsidR="00794788">
        <w:rPr>
          <w:szCs w:val="26"/>
        </w:rPr>
        <w:t xml:space="preserve">that his crew was running fiber optic cable along an entire block and simply attached this cable to the copper facilities that were already present and attached at the Complainant’s Service Address.  Verizon notes that the OPT stated that this work </w:t>
      </w:r>
      <w:r w:rsidR="006A4D8B">
        <w:rPr>
          <w:szCs w:val="26"/>
        </w:rPr>
        <w:t xml:space="preserve">did not involve any digging or drilling, but </w:t>
      </w:r>
      <w:r w:rsidR="00794788">
        <w:rPr>
          <w:szCs w:val="26"/>
        </w:rPr>
        <w:t>simply consisted of unscrewing the U</w:t>
      </w:r>
      <w:r w:rsidR="009E04ED">
        <w:rPr>
          <w:szCs w:val="26"/>
        </w:rPr>
        <w:t>-</w:t>
      </w:r>
      <w:r w:rsidR="00794788">
        <w:rPr>
          <w:szCs w:val="26"/>
        </w:rPr>
        <w:t xml:space="preserve">guard </w:t>
      </w:r>
      <w:r w:rsidR="00794788" w:rsidRPr="00855F7D">
        <w:rPr>
          <w:szCs w:val="26"/>
        </w:rPr>
        <w:t xml:space="preserve">that was used to shield the </w:t>
      </w:r>
      <w:r w:rsidR="00855F7D">
        <w:rPr>
          <w:szCs w:val="26"/>
        </w:rPr>
        <w:t xml:space="preserve">copper </w:t>
      </w:r>
      <w:r w:rsidR="00794788" w:rsidRPr="00855F7D">
        <w:rPr>
          <w:szCs w:val="26"/>
        </w:rPr>
        <w:t>cable when it comes out of the ground</w:t>
      </w:r>
      <w:r w:rsidR="00855F7D">
        <w:rPr>
          <w:szCs w:val="26"/>
        </w:rPr>
        <w:t xml:space="preserve"> </w:t>
      </w:r>
      <w:r w:rsidR="006A4D8B">
        <w:rPr>
          <w:szCs w:val="26"/>
        </w:rPr>
        <w:t>and</w:t>
      </w:r>
      <w:r w:rsidR="00794788">
        <w:rPr>
          <w:szCs w:val="26"/>
        </w:rPr>
        <w:t xml:space="preserve"> tie</w:t>
      </w:r>
      <w:r w:rsidR="009E04ED">
        <w:rPr>
          <w:szCs w:val="26"/>
        </w:rPr>
        <w:t>-</w:t>
      </w:r>
      <w:r w:rsidR="00794788">
        <w:rPr>
          <w:szCs w:val="26"/>
        </w:rPr>
        <w:t>wrapping the fiber cable to the existing copper facilities.  Verizon</w:t>
      </w:r>
      <w:r w:rsidR="006A4D8B">
        <w:rPr>
          <w:szCs w:val="26"/>
        </w:rPr>
        <w:t xml:space="preserve"> PA</w:t>
      </w:r>
      <w:r w:rsidR="00794788">
        <w:rPr>
          <w:szCs w:val="26"/>
        </w:rPr>
        <w:t xml:space="preserve"> maintains that the Complainant did not establish that it left behind debris</w:t>
      </w:r>
      <w:r w:rsidR="006A4D8B">
        <w:rPr>
          <w:szCs w:val="26"/>
        </w:rPr>
        <w:t>.  Further, Verizon PA points out</w:t>
      </w:r>
      <w:r w:rsidR="00794788">
        <w:rPr>
          <w:szCs w:val="26"/>
        </w:rPr>
        <w:t xml:space="preserve"> that it offered to secure the bracket to the U-guard </w:t>
      </w:r>
      <w:r w:rsidR="00794788">
        <w:rPr>
          <w:szCs w:val="26"/>
        </w:rPr>
        <w:lastRenderedPageBreak/>
        <w:t xml:space="preserve">with a second screw.  Verizon </w:t>
      </w:r>
      <w:r w:rsidR="006A4D8B">
        <w:rPr>
          <w:szCs w:val="26"/>
        </w:rPr>
        <w:t xml:space="preserve">PA </w:t>
      </w:r>
      <w:r w:rsidR="00794788">
        <w:rPr>
          <w:szCs w:val="26"/>
        </w:rPr>
        <w:t xml:space="preserve">submits that the Complainant has not set forth any evidence to indicate that </w:t>
      </w:r>
      <w:r w:rsidR="009E04ED">
        <w:rPr>
          <w:szCs w:val="26"/>
        </w:rPr>
        <w:t>it</w:t>
      </w:r>
      <w:r w:rsidR="00794788">
        <w:rPr>
          <w:szCs w:val="26"/>
        </w:rPr>
        <w:t xml:space="preserve"> provided her with unreasonable service.  </w:t>
      </w:r>
      <w:r w:rsidR="00794788">
        <w:rPr>
          <w:i/>
          <w:szCs w:val="26"/>
        </w:rPr>
        <w:t>Id.</w:t>
      </w:r>
      <w:r w:rsidR="00794788">
        <w:rPr>
          <w:szCs w:val="26"/>
        </w:rPr>
        <w:t xml:space="preserve"> at 6-12.</w:t>
      </w:r>
    </w:p>
    <w:p w:rsidR="006A4D8B" w:rsidRDefault="006A4D8B" w:rsidP="004603B3">
      <w:pPr>
        <w:spacing w:line="360" w:lineRule="auto"/>
        <w:ind w:firstLine="1440"/>
        <w:contextualSpacing/>
        <w:rPr>
          <w:szCs w:val="26"/>
        </w:rPr>
      </w:pPr>
    </w:p>
    <w:p w:rsidR="0017760F" w:rsidRDefault="0017760F" w:rsidP="004603B3">
      <w:pPr>
        <w:spacing w:line="360" w:lineRule="auto"/>
        <w:contextualSpacing/>
        <w:rPr>
          <w:szCs w:val="26"/>
        </w:rPr>
      </w:pPr>
      <w:r>
        <w:rPr>
          <w:b/>
          <w:szCs w:val="26"/>
        </w:rPr>
        <w:t>Disposition</w:t>
      </w:r>
    </w:p>
    <w:p w:rsidR="0017760F" w:rsidRPr="009B3F1A" w:rsidRDefault="0017760F" w:rsidP="004603B3">
      <w:pPr>
        <w:spacing w:line="360" w:lineRule="auto"/>
        <w:ind w:firstLine="1440"/>
        <w:contextualSpacing/>
        <w:rPr>
          <w:szCs w:val="26"/>
        </w:rPr>
      </w:pPr>
    </w:p>
    <w:p w:rsidR="00C34368" w:rsidRDefault="00C34368" w:rsidP="00C34368">
      <w:pPr>
        <w:spacing w:line="360" w:lineRule="auto"/>
        <w:ind w:firstLine="1440"/>
        <w:contextualSpacing/>
        <w:rPr>
          <w:szCs w:val="26"/>
        </w:rPr>
      </w:pPr>
      <w:r w:rsidRPr="009B3F1A">
        <w:rPr>
          <w:szCs w:val="26"/>
        </w:rPr>
        <w:t xml:space="preserve">At the outset, we note that in the instant case, the Complainant contends, </w:t>
      </w:r>
      <w:r w:rsidRPr="009B3F1A">
        <w:rPr>
          <w:i/>
          <w:szCs w:val="26"/>
        </w:rPr>
        <w:t xml:space="preserve">inter alia, </w:t>
      </w:r>
      <w:r w:rsidRPr="009B3F1A">
        <w:rPr>
          <w:szCs w:val="26"/>
        </w:rPr>
        <w:t xml:space="preserve">that Verizon PA improperly sent workers to perform maintenance work at her Service Address without first providing her with notice.  As discussed above, in rendering his Initial Decision, ALJ Pell indicated that </w:t>
      </w:r>
      <w:r>
        <w:rPr>
          <w:szCs w:val="26"/>
        </w:rPr>
        <w:t xml:space="preserve">he is not aware of any notice requirement in the Code or our Regulations which would obligate Verizon PA to notify affected property owners prior to performing work pursuant to an existing right-of-way easement.  We agree with the ALJ that there appears to be no such specific Regulation or Code </w:t>
      </w:r>
      <w:r w:rsidR="004E2E26">
        <w:rPr>
          <w:szCs w:val="26"/>
        </w:rPr>
        <w:t>p</w:t>
      </w:r>
      <w:r>
        <w:rPr>
          <w:szCs w:val="26"/>
        </w:rPr>
        <w:t xml:space="preserve">rovision.  Further, we note it is well settled that allegations relating to property rights and the interpretation of a valid right of way agreement are exclusively within the jurisdiction of the Courts of Common Pleas.  </w:t>
      </w:r>
      <w:r>
        <w:rPr>
          <w:i/>
          <w:szCs w:val="26"/>
        </w:rPr>
        <w:t>See e.g.</w:t>
      </w:r>
      <w:r>
        <w:rPr>
          <w:szCs w:val="26"/>
        </w:rPr>
        <w:t xml:space="preserve"> </w:t>
      </w:r>
      <w:r>
        <w:rPr>
          <w:i/>
          <w:szCs w:val="26"/>
        </w:rPr>
        <w:t xml:space="preserve">Fairview Water Co. v. Pa. Pub. Util. Comm’n., </w:t>
      </w:r>
      <w:r>
        <w:rPr>
          <w:szCs w:val="26"/>
        </w:rPr>
        <w:t xml:space="preserve">502 A.2d 162 (Pa.  1985).  </w:t>
      </w:r>
    </w:p>
    <w:p w:rsidR="00C34368" w:rsidRDefault="00C34368" w:rsidP="00C34368">
      <w:pPr>
        <w:spacing w:line="360" w:lineRule="auto"/>
        <w:ind w:firstLine="1440"/>
        <w:contextualSpacing/>
        <w:rPr>
          <w:szCs w:val="26"/>
        </w:rPr>
      </w:pPr>
    </w:p>
    <w:p w:rsidR="00C34368" w:rsidRPr="007E408C" w:rsidRDefault="00C34368" w:rsidP="00C34368">
      <w:pPr>
        <w:spacing w:line="360" w:lineRule="auto"/>
        <w:ind w:firstLine="1440"/>
        <w:contextualSpacing/>
        <w:rPr>
          <w:szCs w:val="26"/>
        </w:rPr>
      </w:pPr>
      <w:r>
        <w:rPr>
          <w:szCs w:val="26"/>
        </w:rPr>
        <w:t xml:space="preserve">At the same time, however, we also note the finding of the ALJ that Verizon PA is required by law to provide its customers with adequate, safe, and reasonable customer service.  As the ALJ observed, in the absence of specific regulations, Section 1501 of the Code governs a </w:t>
      </w:r>
      <w:r w:rsidR="00DC493F">
        <w:rPr>
          <w:szCs w:val="26"/>
        </w:rPr>
        <w:t>p</w:t>
      </w:r>
      <w:r>
        <w:rPr>
          <w:szCs w:val="26"/>
        </w:rPr>
        <w:t xml:space="preserve">ublic </w:t>
      </w:r>
      <w:r w:rsidR="00DC493F">
        <w:rPr>
          <w:szCs w:val="26"/>
        </w:rPr>
        <w:t>u</w:t>
      </w:r>
      <w:r>
        <w:rPr>
          <w:szCs w:val="26"/>
        </w:rPr>
        <w:t xml:space="preserve">tility’s obligation to provide reasonable service to its customers.  In this regard, we disagree with Verizon PA that simply referring to the existence of a </w:t>
      </w:r>
      <w:r w:rsidR="009B3F1A" w:rsidRPr="005D1191">
        <w:rPr>
          <w:szCs w:val="26"/>
        </w:rPr>
        <w:t>right-of-way</w:t>
      </w:r>
      <w:r>
        <w:rPr>
          <w:szCs w:val="26"/>
        </w:rPr>
        <w:t xml:space="preserve"> agreement </w:t>
      </w:r>
      <w:r w:rsidR="00DC493F">
        <w:rPr>
          <w:szCs w:val="26"/>
        </w:rPr>
        <w:t xml:space="preserve">is sufficient for </w:t>
      </w:r>
      <w:r w:rsidR="004E2E26">
        <w:rPr>
          <w:szCs w:val="26"/>
        </w:rPr>
        <w:t xml:space="preserve">a </w:t>
      </w:r>
      <w:r w:rsidR="00DC493F">
        <w:rPr>
          <w:szCs w:val="26"/>
        </w:rPr>
        <w:t>u</w:t>
      </w:r>
      <w:r>
        <w:rPr>
          <w:szCs w:val="26"/>
        </w:rPr>
        <w:t xml:space="preserve">tility to rebut substantial allegations of inadequate service under Section 1501.  Instead, we find that the Commission must examine the specific facts of the case to determine whether there has been a violation of Section 1501 of the Code.  For example, in </w:t>
      </w:r>
      <w:r>
        <w:rPr>
          <w:i/>
          <w:szCs w:val="26"/>
        </w:rPr>
        <w:t>Gallagher v Bell Telephone Co. of Pa.,</w:t>
      </w:r>
      <w:r>
        <w:rPr>
          <w:szCs w:val="26"/>
        </w:rPr>
        <w:t xml:space="preserve"> Docket No. F-8958314 (Final Order entered September 23, 1992), the Commission found that a </w:t>
      </w:r>
      <w:r w:rsidR="009E04ED">
        <w:rPr>
          <w:szCs w:val="26"/>
        </w:rPr>
        <w:t>p</w:t>
      </w:r>
      <w:r w:rsidR="004E2E26">
        <w:rPr>
          <w:szCs w:val="26"/>
        </w:rPr>
        <w:t xml:space="preserve">ublic </w:t>
      </w:r>
      <w:r w:rsidR="009E04ED">
        <w:rPr>
          <w:szCs w:val="26"/>
        </w:rPr>
        <w:t>u</w:t>
      </w:r>
      <w:r w:rsidR="004E2E26">
        <w:rPr>
          <w:szCs w:val="26"/>
        </w:rPr>
        <w:t>tility</w:t>
      </w:r>
      <w:r>
        <w:rPr>
          <w:szCs w:val="26"/>
        </w:rPr>
        <w:t xml:space="preserve"> had violated Section 1501 by allowing its customer service representatives to refuse to identify themselves to a complainant, by </w:t>
      </w:r>
      <w:r>
        <w:rPr>
          <w:szCs w:val="26"/>
        </w:rPr>
        <w:lastRenderedPageBreak/>
        <w:t xml:space="preserve">calling the complainant a rude name, and by hanging up on the complainant.  </w:t>
      </w:r>
      <w:r>
        <w:rPr>
          <w:i/>
          <w:szCs w:val="26"/>
        </w:rPr>
        <w:t>Id.</w:t>
      </w:r>
      <w:r>
        <w:rPr>
          <w:szCs w:val="26"/>
        </w:rPr>
        <w:t xml:space="preserve">; </w:t>
      </w:r>
      <w:r>
        <w:rPr>
          <w:i/>
          <w:szCs w:val="26"/>
        </w:rPr>
        <w:t>see also</w:t>
      </w:r>
      <w:r>
        <w:rPr>
          <w:szCs w:val="26"/>
        </w:rPr>
        <w:t xml:space="preserve"> </w:t>
      </w:r>
      <w:r>
        <w:rPr>
          <w:i/>
          <w:szCs w:val="26"/>
        </w:rPr>
        <w:t xml:space="preserve">Joel and James Haimes v. PPL Electric Utilities Corporation, </w:t>
      </w:r>
      <w:r>
        <w:rPr>
          <w:szCs w:val="26"/>
        </w:rPr>
        <w:t xml:space="preserve"> Docket No. F-002201447, (Final Order entered April 7, 2008);  </w:t>
      </w:r>
      <w:r>
        <w:rPr>
          <w:i/>
          <w:szCs w:val="26"/>
        </w:rPr>
        <w:t>Michael Moffa v. Verizon Pennsylvania Inc.</w:t>
      </w:r>
      <w:r>
        <w:rPr>
          <w:szCs w:val="26"/>
        </w:rPr>
        <w:t>, Docket No. C-2010-2212745, (Final Order entered March 22, 2012),</w:t>
      </w:r>
      <w:r>
        <w:rPr>
          <w:i/>
          <w:szCs w:val="26"/>
        </w:rPr>
        <w:t xml:space="preserve"> </w:t>
      </w:r>
      <w:r>
        <w:rPr>
          <w:szCs w:val="26"/>
        </w:rPr>
        <w:t xml:space="preserve"> </w:t>
      </w:r>
    </w:p>
    <w:p w:rsidR="00C34368" w:rsidRDefault="00C34368" w:rsidP="00C34368">
      <w:pPr>
        <w:spacing w:line="360" w:lineRule="auto"/>
        <w:ind w:firstLine="1440"/>
        <w:contextualSpacing/>
        <w:rPr>
          <w:szCs w:val="26"/>
        </w:rPr>
      </w:pPr>
    </w:p>
    <w:p w:rsidR="00C34368" w:rsidRPr="00D7535A" w:rsidRDefault="00C34368" w:rsidP="00C34368">
      <w:pPr>
        <w:spacing w:line="360" w:lineRule="auto"/>
        <w:ind w:firstLine="1440"/>
        <w:contextualSpacing/>
        <w:rPr>
          <w:szCs w:val="26"/>
        </w:rPr>
      </w:pPr>
      <w:r>
        <w:rPr>
          <w:szCs w:val="26"/>
        </w:rPr>
        <w:t>Based upon the record developed in the instant case and the applicable law, we find the Complainant’s February 17</w:t>
      </w:r>
      <w:r w:rsidR="009E04ED" w:rsidRPr="00004202">
        <w:rPr>
          <w:szCs w:val="26"/>
          <w:vertAlign w:val="superscript"/>
        </w:rPr>
        <w:t>th</w:t>
      </w:r>
      <w:r>
        <w:rPr>
          <w:szCs w:val="26"/>
        </w:rPr>
        <w:t xml:space="preserve"> and February 26</w:t>
      </w:r>
      <w:r w:rsidR="009E04ED" w:rsidRPr="00004202">
        <w:rPr>
          <w:szCs w:val="26"/>
          <w:vertAlign w:val="superscript"/>
        </w:rPr>
        <w:t>th</w:t>
      </w:r>
      <w:r>
        <w:rPr>
          <w:szCs w:val="26"/>
        </w:rPr>
        <w:t xml:space="preserve"> Exceptions to be without merit.  We concur with the ALJ that the Complainant failed to prove</w:t>
      </w:r>
      <w:r w:rsidR="0053595F">
        <w:rPr>
          <w:szCs w:val="26"/>
        </w:rPr>
        <w:t>,</w:t>
      </w:r>
      <w:r>
        <w:rPr>
          <w:szCs w:val="26"/>
        </w:rPr>
        <w:t xml:space="preserve"> by a preponderance of the evidence</w:t>
      </w:r>
      <w:r w:rsidR="0053595F">
        <w:rPr>
          <w:szCs w:val="26"/>
        </w:rPr>
        <w:t>,</w:t>
      </w:r>
      <w:r>
        <w:rPr>
          <w:szCs w:val="26"/>
        </w:rPr>
        <w:t xml:space="preserve"> that Verizon PA violated Section 1501 of the Code when it visited the Complainant’s Service Address on September 26, 2013.  As the ALJ observed, the Commission has found that although Section 1501 of the Code obligates a utility to furnish reasonable service to its customers, there is no such obligation that the utility furnish perfect service.  </w:t>
      </w:r>
      <w:r>
        <w:rPr>
          <w:i/>
          <w:szCs w:val="26"/>
        </w:rPr>
        <w:t xml:space="preserve">See. Re: Metropolitan Edison Company, </w:t>
      </w:r>
      <w:r>
        <w:rPr>
          <w:szCs w:val="26"/>
        </w:rPr>
        <w:t xml:space="preserve">80 Pa. PUC 663 (1993); </w:t>
      </w:r>
      <w:r>
        <w:rPr>
          <w:i/>
          <w:szCs w:val="26"/>
        </w:rPr>
        <w:t xml:space="preserve">McCauley v. Pennsylvania Electric Company, </w:t>
      </w:r>
      <w:r>
        <w:rPr>
          <w:szCs w:val="26"/>
        </w:rPr>
        <w:t>2014 WL 1390779 (Pa. P.U.C.).</w:t>
      </w:r>
    </w:p>
    <w:p w:rsidR="00C34368" w:rsidRDefault="00C34368" w:rsidP="00C34368">
      <w:pPr>
        <w:spacing w:line="360" w:lineRule="auto"/>
        <w:ind w:firstLine="1440"/>
        <w:contextualSpacing/>
        <w:rPr>
          <w:szCs w:val="26"/>
        </w:rPr>
      </w:pPr>
    </w:p>
    <w:p w:rsidR="00C34368" w:rsidRDefault="00C34368" w:rsidP="00C34368">
      <w:pPr>
        <w:spacing w:line="360" w:lineRule="auto"/>
        <w:ind w:firstLine="1440"/>
        <w:contextualSpacing/>
        <w:rPr>
          <w:szCs w:val="26"/>
        </w:rPr>
      </w:pPr>
      <w:r>
        <w:rPr>
          <w:szCs w:val="26"/>
        </w:rPr>
        <w:t>The record in the matter</w:t>
      </w:r>
      <w:r w:rsidR="004E2E26">
        <w:rPr>
          <w:szCs w:val="26"/>
        </w:rPr>
        <w:t xml:space="preserve"> before us</w:t>
      </w:r>
      <w:r>
        <w:rPr>
          <w:szCs w:val="26"/>
        </w:rPr>
        <w:t xml:space="preserve"> supports the ALJ’s finding that Verizon PA</w:t>
      </w:r>
      <w:r w:rsidR="009E04ED">
        <w:rPr>
          <w:szCs w:val="26"/>
        </w:rPr>
        <w:t>’s</w:t>
      </w:r>
      <w:r>
        <w:rPr>
          <w:szCs w:val="26"/>
        </w:rPr>
        <w:t xml:space="preserve"> employees wore uniforms </w:t>
      </w:r>
      <w:r w:rsidR="009E04ED">
        <w:rPr>
          <w:szCs w:val="26"/>
        </w:rPr>
        <w:t>that</w:t>
      </w:r>
      <w:r>
        <w:rPr>
          <w:szCs w:val="26"/>
        </w:rPr>
        <w:t xml:space="preserve"> displayed the Verizon PA logo while performing their work.  Tr. at 40.  Conversely, we find no evidence in the record to corroborate the Complainant’s assertion that </w:t>
      </w:r>
      <w:r w:rsidR="009E04ED">
        <w:rPr>
          <w:szCs w:val="26"/>
        </w:rPr>
        <w:t xml:space="preserve">the </w:t>
      </w:r>
      <w:r>
        <w:rPr>
          <w:szCs w:val="26"/>
        </w:rPr>
        <w:t xml:space="preserve">second worker </w:t>
      </w:r>
      <w:r w:rsidR="009E04ED">
        <w:rPr>
          <w:szCs w:val="26"/>
        </w:rPr>
        <w:t xml:space="preserve">with whom </w:t>
      </w:r>
      <w:r>
        <w:rPr>
          <w:szCs w:val="26"/>
        </w:rPr>
        <w:t>she had interact</w:t>
      </w:r>
      <w:r w:rsidR="009E04ED">
        <w:rPr>
          <w:szCs w:val="26"/>
        </w:rPr>
        <w:t>ed</w:t>
      </w:r>
      <w:r>
        <w:rPr>
          <w:szCs w:val="26"/>
        </w:rPr>
        <w:t xml:space="preserve"> was a Verizon PA employee or that Verizon PA left behind debris at her Service Address.  Further</w:t>
      </w:r>
      <w:r w:rsidR="009E04ED">
        <w:rPr>
          <w:szCs w:val="26"/>
        </w:rPr>
        <w:t>more</w:t>
      </w:r>
      <w:r>
        <w:rPr>
          <w:szCs w:val="26"/>
        </w:rPr>
        <w:t>, the record supports the ALJ’s finding that Verizon PA offered to remedy the Complainant’s concern regarding the bracket by securing the bracket to the U-guard</w:t>
      </w:r>
      <w:r w:rsidR="004E2E26">
        <w:rPr>
          <w:szCs w:val="26"/>
        </w:rPr>
        <w:t>,</w:t>
      </w:r>
      <w:r>
        <w:rPr>
          <w:szCs w:val="26"/>
        </w:rPr>
        <w:t xml:space="preserve"> but that the Complainant refused this offer.  </w:t>
      </w:r>
      <w:r>
        <w:rPr>
          <w:i/>
          <w:szCs w:val="26"/>
        </w:rPr>
        <w:t>Id</w:t>
      </w:r>
      <w:r>
        <w:rPr>
          <w:szCs w:val="26"/>
        </w:rPr>
        <w:t xml:space="preserve">. at 31-32.  In light of the above, we find no reason to reject or modify the </w:t>
      </w:r>
      <w:r w:rsidR="009E04ED">
        <w:rPr>
          <w:szCs w:val="26"/>
        </w:rPr>
        <w:t>ALJ’s Initial Decision</w:t>
      </w:r>
      <w:r>
        <w:rPr>
          <w:szCs w:val="26"/>
        </w:rPr>
        <w:t>.  Accordingly, the Complainant’s February 17</w:t>
      </w:r>
      <w:r w:rsidR="009E04ED" w:rsidRPr="00004202">
        <w:rPr>
          <w:szCs w:val="26"/>
          <w:vertAlign w:val="superscript"/>
        </w:rPr>
        <w:t>th</w:t>
      </w:r>
      <w:r>
        <w:rPr>
          <w:szCs w:val="26"/>
        </w:rPr>
        <w:t xml:space="preserve"> and February 26</w:t>
      </w:r>
      <w:r w:rsidR="009E04ED" w:rsidRPr="00004202">
        <w:rPr>
          <w:szCs w:val="26"/>
          <w:vertAlign w:val="superscript"/>
        </w:rPr>
        <w:t>th</w:t>
      </w:r>
      <w:r>
        <w:rPr>
          <w:szCs w:val="26"/>
        </w:rPr>
        <w:t xml:space="preserve"> Exceptions are denied.</w:t>
      </w:r>
    </w:p>
    <w:p w:rsidR="00BE0943" w:rsidRDefault="00BE0943" w:rsidP="004603B3">
      <w:pPr>
        <w:spacing w:line="360" w:lineRule="auto"/>
        <w:ind w:firstLine="1440"/>
        <w:contextualSpacing/>
        <w:rPr>
          <w:szCs w:val="26"/>
        </w:rPr>
      </w:pPr>
    </w:p>
    <w:p w:rsidR="00BE0943" w:rsidRPr="00172CC7" w:rsidRDefault="00BE0943" w:rsidP="00004202">
      <w:pPr>
        <w:keepNext/>
        <w:keepLines/>
        <w:spacing w:line="360" w:lineRule="auto"/>
        <w:contextualSpacing/>
        <w:jc w:val="center"/>
        <w:rPr>
          <w:b/>
          <w:szCs w:val="26"/>
        </w:rPr>
      </w:pPr>
      <w:r w:rsidRPr="00172CC7">
        <w:rPr>
          <w:b/>
          <w:szCs w:val="26"/>
        </w:rPr>
        <w:lastRenderedPageBreak/>
        <w:t>Conclusion</w:t>
      </w:r>
    </w:p>
    <w:p w:rsidR="00BE0943" w:rsidRPr="00172CC7" w:rsidRDefault="00BE0943" w:rsidP="00004202">
      <w:pPr>
        <w:keepNext/>
        <w:keepLines/>
        <w:spacing w:line="360" w:lineRule="auto"/>
        <w:ind w:firstLine="1440"/>
        <w:contextualSpacing/>
        <w:rPr>
          <w:szCs w:val="26"/>
        </w:rPr>
      </w:pPr>
    </w:p>
    <w:p w:rsidR="00BE0943" w:rsidRPr="00172CC7" w:rsidRDefault="00BE0943" w:rsidP="004603B3">
      <w:pPr>
        <w:spacing w:line="360" w:lineRule="auto"/>
        <w:ind w:firstLine="1440"/>
        <w:contextualSpacing/>
        <w:rPr>
          <w:szCs w:val="26"/>
        </w:rPr>
      </w:pPr>
      <w:r w:rsidRPr="00172CC7">
        <w:rPr>
          <w:szCs w:val="26"/>
        </w:rPr>
        <w:t xml:space="preserve">Based upon the foregoing discussion, we shall deny the Complainant’s Exceptions and adopt the Initial Decision, consistent with this Opinion and Order; </w:t>
      </w:r>
      <w:r w:rsidRPr="00172CC7">
        <w:rPr>
          <w:b/>
          <w:szCs w:val="26"/>
        </w:rPr>
        <w:t>THEREFORE,</w:t>
      </w:r>
      <w:r w:rsidRPr="00172CC7">
        <w:rPr>
          <w:szCs w:val="26"/>
        </w:rPr>
        <w:t xml:space="preserve"> </w:t>
      </w:r>
    </w:p>
    <w:p w:rsidR="00042FA1" w:rsidRDefault="00042FA1" w:rsidP="004603B3">
      <w:pPr>
        <w:keepNext/>
        <w:spacing w:line="360" w:lineRule="auto"/>
        <w:ind w:firstLine="1440"/>
        <w:contextualSpacing/>
        <w:rPr>
          <w:b/>
          <w:szCs w:val="26"/>
        </w:rPr>
      </w:pPr>
    </w:p>
    <w:p w:rsidR="00BE0943" w:rsidRPr="00172CC7" w:rsidRDefault="00BE0943" w:rsidP="004603B3">
      <w:pPr>
        <w:keepNext/>
        <w:spacing w:line="360" w:lineRule="auto"/>
        <w:ind w:firstLine="1440"/>
        <w:contextualSpacing/>
        <w:rPr>
          <w:b/>
          <w:szCs w:val="26"/>
        </w:rPr>
      </w:pPr>
      <w:r w:rsidRPr="00172CC7">
        <w:rPr>
          <w:b/>
          <w:szCs w:val="26"/>
        </w:rPr>
        <w:t>IT IS ORDERED:</w:t>
      </w:r>
    </w:p>
    <w:p w:rsidR="00BE0943" w:rsidRPr="00172CC7" w:rsidRDefault="00BE0943" w:rsidP="004603B3">
      <w:pPr>
        <w:keepNext/>
        <w:spacing w:line="360" w:lineRule="auto"/>
        <w:ind w:firstLine="1440"/>
        <w:contextualSpacing/>
        <w:rPr>
          <w:b/>
          <w:szCs w:val="26"/>
        </w:rPr>
      </w:pPr>
    </w:p>
    <w:p w:rsidR="00BE0943" w:rsidRDefault="00BE0943" w:rsidP="004603B3">
      <w:pPr>
        <w:keepNext/>
        <w:spacing w:line="360" w:lineRule="auto"/>
        <w:ind w:firstLine="1440"/>
        <w:contextualSpacing/>
        <w:rPr>
          <w:szCs w:val="26"/>
        </w:rPr>
      </w:pPr>
      <w:r>
        <w:rPr>
          <w:szCs w:val="26"/>
        </w:rPr>
        <w:t>1.</w:t>
      </w:r>
      <w:r>
        <w:rPr>
          <w:szCs w:val="26"/>
        </w:rPr>
        <w:tab/>
        <w:t>That the Exceptions of Janet Armour, filed on February 17, 2015 and February 26, 2015, are denied, consistent with this Opinion and Order.</w:t>
      </w:r>
    </w:p>
    <w:p w:rsidR="00BE0943" w:rsidRDefault="00BE0943" w:rsidP="004603B3">
      <w:pPr>
        <w:keepNext/>
        <w:spacing w:line="360" w:lineRule="auto"/>
        <w:ind w:firstLine="1440"/>
        <w:contextualSpacing/>
        <w:rPr>
          <w:szCs w:val="26"/>
        </w:rPr>
      </w:pPr>
    </w:p>
    <w:p w:rsidR="00BE0943" w:rsidRDefault="00BE0943" w:rsidP="004603B3">
      <w:pPr>
        <w:keepNext/>
        <w:spacing w:line="360" w:lineRule="auto"/>
        <w:ind w:firstLine="1440"/>
        <w:contextualSpacing/>
        <w:rPr>
          <w:szCs w:val="26"/>
        </w:rPr>
      </w:pPr>
      <w:r>
        <w:rPr>
          <w:szCs w:val="26"/>
        </w:rPr>
        <w:t>2.</w:t>
      </w:r>
      <w:r>
        <w:rPr>
          <w:szCs w:val="26"/>
        </w:rPr>
        <w:tab/>
        <w:t>That the Initial Decision of Administrative Law Judge Christopher</w:t>
      </w:r>
      <w:r w:rsidR="009E04ED">
        <w:rPr>
          <w:szCs w:val="26"/>
        </w:rPr>
        <w:t> </w:t>
      </w:r>
      <w:r>
        <w:rPr>
          <w:szCs w:val="26"/>
        </w:rPr>
        <w:t>P.</w:t>
      </w:r>
      <w:r w:rsidR="009E04ED">
        <w:rPr>
          <w:szCs w:val="26"/>
        </w:rPr>
        <w:t> </w:t>
      </w:r>
      <w:r>
        <w:rPr>
          <w:szCs w:val="26"/>
        </w:rPr>
        <w:t>Pell, issued on February 9, 2015, is adopted, consistent with this Opinion and Order.</w:t>
      </w:r>
    </w:p>
    <w:p w:rsidR="00BE0943" w:rsidRDefault="00BE0943" w:rsidP="004603B3">
      <w:pPr>
        <w:keepNext/>
        <w:spacing w:line="360" w:lineRule="auto"/>
        <w:ind w:firstLine="1440"/>
        <w:contextualSpacing/>
        <w:rPr>
          <w:szCs w:val="26"/>
        </w:rPr>
      </w:pPr>
    </w:p>
    <w:p w:rsidR="00BE0943" w:rsidRDefault="00BE0943" w:rsidP="004603B3">
      <w:pPr>
        <w:keepNext/>
        <w:spacing w:line="360" w:lineRule="auto"/>
        <w:ind w:firstLine="1440"/>
        <w:contextualSpacing/>
        <w:rPr>
          <w:szCs w:val="26"/>
        </w:rPr>
      </w:pPr>
      <w:r>
        <w:rPr>
          <w:szCs w:val="26"/>
        </w:rPr>
        <w:t>3.</w:t>
      </w:r>
      <w:r>
        <w:rPr>
          <w:szCs w:val="26"/>
        </w:rPr>
        <w:tab/>
        <w:t>That the Complaint of Janet Armour against Verizon Pennsylvania LLC, at Docket No. C-2013-2395643, is dismissed.</w:t>
      </w:r>
    </w:p>
    <w:p w:rsidR="00BE0943" w:rsidRDefault="00BE0943" w:rsidP="004603B3">
      <w:pPr>
        <w:keepNext/>
        <w:spacing w:line="360" w:lineRule="auto"/>
        <w:ind w:firstLine="1440"/>
        <w:contextualSpacing/>
        <w:rPr>
          <w:szCs w:val="26"/>
        </w:rPr>
      </w:pPr>
    </w:p>
    <w:p w:rsidR="00BE0943" w:rsidRDefault="00BE0943" w:rsidP="004603B3">
      <w:pPr>
        <w:keepNext/>
        <w:spacing w:line="360" w:lineRule="auto"/>
        <w:ind w:firstLine="1440"/>
        <w:contextualSpacing/>
        <w:rPr>
          <w:szCs w:val="26"/>
        </w:rPr>
      </w:pPr>
      <w:r>
        <w:rPr>
          <w:szCs w:val="26"/>
        </w:rPr>
        <w:t>4.</w:t>
      </w:r>
      <w:r>
        <w:rPr>
          <w:szCs w:val="26"/>
        </w:rPr>
        <w:tab/>
        <w:t>That this proceeding shall be marked closed.</w:t>
      </w:r>
    </w:p>
    <w:p w:rsidR="00BE0943" w:rsidRPr="004202C3" w:rsidRDefault="00BE0943" w:rsidP="004603B3">
      <w:pPr>
        <w:contextualSpacing/>
        <w:rPr>
          <w:color w:val="FF0000"/>
          <w:szCs w:val="26"/>
        </w:rPr>
      </w:pPr>
    </w:p>
    <w:p w:rsidR="00BE0943" w:rsidRPr="004202C3" w:rsidRDefault="00BE0943" w:rsidP="004603B3">
      <w:pPr>
        <w:contextualSpacing/>
        <w:rPr>
          <w:color w:val="FF0000"/>
          <w:szCs w:val="26"/>
        </w:rPr>
      </w:pPr>
    </w:p>
    <w:p w:rsidR="00BE0943" w:rsidRPr="004202C3" w:rsidRDefault="00AA3D82" w:rsidP="004603B3">
      <w:pPr>
        <w:tabs>
          <w:tab w:val="left" w:pos="-720"/>
        </w:tabs>
        <w:ind w:firstLine="5040"/>
        <w:contextualSpacing/>
        <w:rPr>
          <w:szCs w:val="26"/>
        </w:rPr>
      </w:pPr>
      <w:r>
        <w:rPr>
          <w:noProof/>
        </w:rPr>
        <w:drawing>
          <wp:anchor distT="0" distB="0" distL="114300" distR="114300" simplePos="0" relativeHeight="251659264" behindDoc="1" locked="0" layoutInCell="1" allowOverlap="1" wp14:anchorId="31092D1C" wp14:editId="48146A8E">
            <wp:simplePos x="0" y="0"/>
            <wp:positionH relativeFrom="column">
              <wp:posOffset>3105150</wp:posOffset>
            </wp:positionH>
            <wp:positionV relativeFrom="paragraph">
              <wp:posOffset>86360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E0943" w:rsidRPr="004202C3">
        <w:rPr>
          <w:b/>
          <w:szCs w:val="26"/>
        </w:rPr>
        <w:t>BY THE COMMISSION,</w:t>
      </w:r>
    </w:p>
    <w:p w:rsidR="00BE0943" w:rsidRPr="004202C3" w:rsidRDefault="00BE0943" w:rsidP="004603B3">
      <w:pPr>
        <w:tabs>
          <w:tab w:val="left" w:pos="-720"/>
        </w:tabs>
        <w:contextualSpacing/>
        <w:rPr>
          <w:szCs w:val="26"/>
        </w:rPr>
      </w:pPr>
    </w:p>
    <w:p w:rsidR="00BE0943" w:rsidRPr="004202C3" w:rsidRDefault="00BE0943" w:rsidP="004603B3">
      <w:pPr>
        <w:tabs>
          <w:tab w:val="left" w:pos="-720"/>
        </w:tabs>
        <w:contextualSpacing/>
        <w:rPr>
          <w:szCs w:val="26"/>
        </w:rPr>
      </w:pPr>
    </w:p>
    <w:p w:rsidR="00BE0943" w:rsidRPr="004202C3" w:rsidRDefault="00BE0943" w:rsidP="004603B3">
      <w:pPr>
        <w:tabs>
          <w:tab w:val="left" w:pos="-720"/>
        </w:tabs>
        <w:contextualSpacing/>
        <w:rPr>
          <w:szCs w:val="26"/>
        </w:rPr>
      </w:pPr>
    </w:p>
    <w:p w:rsidR="00BE0943" w:rsidRPr="004202C3" w:rsidRDefault="00BE0943" w:rsidP="004603B3">
      <w:pPr>
        <w:tabs>
          <w:tab w:val="left" w:pos="-720"/>
        </w:tabs>
        <w:ind w:firstLine="5040"/>
        <w:contextualSpacing/>
        <w:rPr>
          <w:b/>
          <w:szCs w:val="26"/>
        </w:rPr>
      </w:pPr>
      <w:r w:rsidRPr="004202C3">
        <w:rPr>
          <w:szCs w:val="26"/>
        </w:rPr>
        <w:t>Rosemary Chiavetta</w:t>
      </w:r>
    </w:p>
    <w:p w:rsidR="00BE0943" w:rsidRPr="004202C3" w:rsidRDefault="00BE0943" w:rsidP="004603B3">
      <w:pPr>
        <w:tabs>
          <w:tab w:val="left" w:pos="-720"/>
        </w:tabs>
        <w:ind w:firstLine="5040"/>
        <w:contextualSpacing/>
        <w:rPr>
          <w:color w:val="FF0000"/>
          <w:szCs w:val="26"/>
        </w:rPr>
      </w:pPr>
      <w:r w:rsidRPr="004202C3">
        <w:rPr>
          <w:szCs w:val="26"/>
        </w:rPr>
        <w:t>Secretary</w:t>
      </w:r>
    </w:p>
    <w:p w:rsidR="00BE0943" w:rsidRPr="004202C3" w:rsidRDefault="00BE0943" w:rsidP="004603B3">
      <w:pPr>
        <w:tabs>
          <w:tab w:val="left" w:pos="-720"/>
        </w:tabs>
        <w:contextualSpacing/>
        <w:rPr>
          <w:color w:val="FF0000"/>
          <w:szCs w:val="26"/>
        </w:rPr>
      </w:pPr>
    </w:p>
    <w:p w:rsidR="00BE0943" w:rsidRPr="00172CC7" w:rsidRDefault="00BE0943" w:rsidP="004603B3">
      <w:pPr>
        <w:tabs>
          <w:tab w:val="left" w:pos="-720"/>
        </w:tabs>
        <w:contextualSpacing/>
        <w:rPr>
          <w:szCs w:val="26"/>
        </w:rPr>
      </w:pPr>
      <w:r w:rsidRPr="00172CC7">
        <w:rPr>
          <w:szCs w:val="26"/>
        </w:rPr>
        <w:t>(SEAL)</w:t>
      </w:r>
    </w:p>
    <w:p w:rsidR="00BE0943" w:rsidRPr="00172CC7" w:rsidRDefault="00BE0943" w:rsidP="004603B3">
      <w:pPr>
        <w:tabs>
          <w:tab w:val="left" w:pos="-720"/>
        </w:tabs>
        <w:contextualSpacing/>
        <w:rPr>
          <w:szCs w:val="26"/>
        </w:rPr>
      </w:pPr>
    </w:p>
    <w:p w:rsidR="00BE0943" w:rsidRPr="00172CC7" w:rsidRDefault="00BE0943" w:rsidP="004603B3">
      <w:pPr>
        <w:tabs>
          <w:tab w:val="left" w:pos="-720"/>
        </w:tabs>
        <w:contextualSpacing/>
        <w:rPr>
          <w:szCs w:val="26"/>
        </w:rPr>
      </w:pPr>
      <w:r w:rsidRPr="00172CC7">
        <w:rPr>
          <w:szCs w:val="26"/>
        </w:rPr>
        <w:t xml:space="preserve">ORDER ADOPTED:  </w:t>
      </w:r>
      <w:r w:rsidR="00A956D2">
        <w:rPr>
          <w:szCs w:val="26"/>
        </w:rPr>
        <w:t>August 2</w:t>
      </w:r>
      <w:r>
        <w:rPr>
          <w:szCs w:val="26"/>
        </w:rPr>
        <w:t>0, 2015</w:t>
      </w:r>
      <w:r w:rsidRPr="00172CC7">
        <w:rPr>
          <w:szCs w:val="26"/>
        </w:rPr>
        <w:t xml:space="preserve"> </w:t>
      </w:r>
    </w:p>
    <w:p w:rsidR="00BE0943" w:rsidRPr="00172CC7" w:rsidRDefault="00BE0943" w:rsidP="004603B3">
      <w:pPr>
        <w:tabs>
          <w:tab w:val="left" w:pos="-720"/>
        </w:tabs>
        <w:contextualSpacing/>
        <w:rPr>
          <w:szCs w:val="26"/>
        </w:rPr>
      </w:pPr>
    </w:p>
    <w:p w:rsidR="00EB44CC" w:rsidRPr="000117D3" w:rsidRDefault="00BE0943" w:rsidP="009C37FC">
      <w:pPr>
        <w:tabs>
          <w:tab w:val="left" w:pos="-720"/>
        </w:tabs>
        <w:contextualSpacing/>
        <w:rPr>
          <w:szCs w:val="26"/>
        </w:rPr>
      </w:pPr>
      <w:r w:rsidRPr="00172CC7">
        <w:rPr>
          <w:szCs w:val="26"/>
        </w:rPr>
        <w:t xml:space="preserve">ORDER ENTERED:  </w:t>
      </w:r>
      <w:r w:rsidR="00AA3D82">
        <w:rPr>
          <w:szCs w:val="26"/>
        </w:rPr>
        <w:t>August 20, 2015</w:t>
      </w:r>
      <w:bookmarkStart w:id="0" w:name="_GoBack"/>
      <w:bookmarkEnd w:id="0"/>
    </w:p>
    <w:sectPr w:rsidR="00EB44CC" w:rsidRPr="000117D3" w:rsidSect="0000420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C67" w:rsidRDefault="00705C67" w:rsidP="005A1211">
      <w:r>
        <w:separator/>
      </w:r>
    </w:p>
  </w:endnote>
  <w:endnote w:type="continuationSeparator" w:id="0">
    <w:p w:rsidR="00705C67" w:rsidRDefault="00705C67" w:rsidP="005A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122411"/>
      <w:docPartObj>
        <w:docPartGallery w:val="Page Numbers (Bottom of Page)"/>
        <w:docPartUnique/>
      </w:docPartObj>
    </w:sdtPr>
    <w:sdtEndPr>
      <w:rPr>
        <w:noProof/>
      </w:rPr>
    </w:sdtEndPr>
    <w:sdtContent>
      <w:p w:rsidR="00D420A7" w:rsidRDefault="00D420A7">
        <w:pPr>
          <w:pStyle w:val="Footer"/>
          <w:jc w:val="center"/>
        </w:pPr>
        <w:r>
          <w:fldChar w:fldCharType="begin"/>
        </w:r>
        <w:r>
          <w:instrText xml:space="preserve"> PAGE   \* MERGEFORMAT </w:instrText>
        </w:r>
        <w:r>
          <w:fldChar w:fldCharType="separate"/>
        </w:r>
        <w:r w:rsidR="00AA3D82">
          <w:rPr>
            <w:noProof/>
          </w:rPr>
          <w:t>12</w:t>
        </w:r>
        <w:r>
          <w:rPr>
            <w:noProof/>
          </w:rPr>
          <w:fldChar w:fldCharType="end"/>
        </w:r>
      </w:p>
    </w:sdtContent>
  </w:sdt>
  <w:p w:rsidR="00D420A7" w:rsidRDefault="00D42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C67" w:rsidRDefault="00705C67" w:rsidP="005A1211">
      <w:r>
        <w:separator/>
      </w:r>
    </w:p>
  </w:footnote>
  <w:footnote w:type="continuationSeparator" w:id="0">
    <w:p w:rsidR="00705C67" w:rsidRDefault="00705C67" w:rsidP="005A1211">
      <w:r>
        <w:continuationSeparator/>
      </w:r>
    </w:p>
  </w:footnote>
  <w:footnote w:id="1">
    <w:p w:rsidR="005A1211" w:rsidRPr="00564D66" w:rsidRDefault="005A1211" w:rsidP="004603B3">
      <w:pPr>
        <w:pStyle w:val="FootnoteText"/>
        <w:keepLines/>
        <w:ind w:firstLine="720"/>
        <w:contextualSpacing/>
        <w:rPr>
          <w:sz w:val="26"/>
          <w:szCs w:val="26"/>
        </w:rPr>
      </w:pPr>
      <w:r w:rsidRPr="00564D66">
        <w:rPr>
          <w:rStyle w:val="FootnoteReference"/>
          <w:sz w:val="26"/>
          <w:szCs w:val="26"/>
        </w:rPr>
        <w:footnoteRef/>
      </w:r>
      <w:r w:rsidRPr="00564D66">
        <w:rPr>
          <w:sz w:val="26"/>
          <w:szCs w:val="26"/>
        </w:rPr>
        <w:tab/>
        <w:t>This Complaint is a timely appeal of an informal Bureau of Consumer Services (BCS) decision (Informal Decision), issued on November 22, 2013, at BCS Case No. 3154334.  Under this Informal Decision, BCS</w:t>
      </w:r>
      <w:r w:rsidR="00564D66">
        <w:rPr>
          <w:sz w:val="26"/>
          <w:szCs w:val="26"/>
        </w:rPr>
        <w:t xml:space="preserve"> found that </w:t>
      </w:r>
      <w:r w:rsidR="00C97006">
        <w:rPr>
          <w:sz w:val="26"/>
          <w:szCs w:val="26"/>
        </w:rPr>
        <w:t>Verizon PA</w:t>
      </w:r>
      <w:r w:rsidR="00564D66">
        <w:rPr>
          <w:sz w:val="26"/>
          <w:szCs w:val="26"/>
        </w:rPr>
        <w:t xml:space="preserve"> was upgrading its facilities and had the right of way to enter the Complainant’s property.</w:t>
      </w:r>
      <w:r w:rsidR="00564D66" w:rsidRPr="00564D66">
        <w:rPr>
          <w:sz w:val="26"/>
          <w:szCs w:val="26"/>
        </w:rPr>
        <w:t xml:space="preserve"> </w:t>
      </w:r>
    </w:p>
  </w:footnote>
  <w:footnote w:id="2">
    <w:p w:rsidR="008B7240" w:rsidRPr="008B7240" w:rsidRDefault="008B7240" w:rsidP="004603B3">
      <w:pPr>
        <w:pStyle w:val="FootnoteText"/>
        <w:keepLines/>
        <w:contextualSpacing/>
        <w:rPr>
          <w:sz w:val="26"/>
          <w:szCs w:val="26"/>
        </w:rPr>
      </w:pPr>
      <w:r>
        <w:rPr>
          <w:sz w:val="26"/>
          <w:szCs w:val="26"/>
        </w:rPr>
        <w:tab/>
      </w:r>
      <w:r w:rsidRPr="008B7240">
        <w:rPr>
          <w:rStyle w:val="FootnoteReference"/>
          <w:sz w:val="26"/>
          <w:szCs w:val="26"/>
        </w:rPr>
        <w:footnoteRef/>
      </w:r>
      <w:r w:rsidRPr="008B7240">
        <w:rPr>
          <w:sz w:val="26"/>
          <w:szCs w:val="26"/>
        </w:rPr>
        <w:t xml:space="preserve"> </w:t>
      </w:r>
      <w:r>
        <w:rPr>
          <w:sz w:val="26"/>
          <w:szCs w:val="26"/>
        </w:rPr>
        <w:tab/>
        <w:t xml:space="preserve">On December 20, 2013, the Commission issued a Secretarial Letter granting Verizon PA an extension of time, until January 9, 2014, to file its Answer. </w:t>
      </w:r>
    </w:p>
  </w:footnote>
  <w:footnote w:id="3">
    <w:p w:rsidR="00570696" w:rsidRDefault="005239D5" w:rsidP="000D24C3">
      <w:pPr>
        <w:pStyle w:val="FootnoteText"/>
        <w:keepLines/>
        <w:contextualSpacing/>
      </w:pPr>
      <w:r>
        <w:tab/>
      </w:r>
      <w:r w:rsidR="00570696" w:rsidRPr="00E24638">
        <w:rPr>
          <w:rStyle w:val="FootnoteReference"/>
          <w:sz w:val="26"/>
          <w:szCs w:val="26"/>
        </w:rPr>
        <w:footnoteRef/>
      </w:r>
      <w:r w:rsidR="00570696">
        <w:t xml:space="preserve"> </w:t>
      </w:r>
      <w:r>
        <w:tab/>
      </w:r>
      <w:r>
        <w:rPr>
          <w:sz w:val="26"/>
          <w:szCs w:val="26"/>
        </w:rPr>
        <w:t xml:space="preserve">On February 23, 2015, the Commission issued a </w:t>
      </w:r>
      <w:r w:rsidR="00E24638">
        <w:rPr>
          <w:sz w:val="26"/>
          <w:szCs w:val="26"/>
        </w:rPr>
        <w:t>Secretarial Letter</w:t>
      </w:r>
      <w:r>
        <w:rPr>
          <w:sz w:val="26"/>
          <w:szCs w:val="26"/>
        </w:rPr>
        <w:t xml:space="preserve"> to all Parties of Record indicating that the Complainant’s February 17 Exceptions had not previously been served on all Parties.  This </w:t>
      </w:r>
      <w:r w:rsidR="00E24638">
        <w:rPr>
          <w:sz w:val="26"/>
          <w:szCs w:val="26"/>
        </w:rPr>
        <w:t>Secretarial Letter</w:t>
      </w:r>
      <w:r>
        <w:rPr>
          <w:sz w:val="26"/>
          <w:szCs w:val="26"/>
        </w:rPr>
        <w:t xml:space="preserve"> granted Verizon </w:t>
      </w:r>
      <w:r w:rsidR="009A4D06">
        <w:rPr>
          <w:sz w:val="26"/>
          <w:szCs w:val="26"/>
        </w:rPr>
        <w:t xml:space="preserve">PA </w:t>
      </w:r>
      <w:r>
        <w:rPr>
          <w:sz w:val="26"/>
          <w:szCs w:val="26"/>
        </w:rPr>
        <w:t>an extension until March 12, 2015 to file Repl</w:t>
      </w:r>
      <w:r w:rsidR="00E24638">
        <w:rPr>
          <w:sz w:val="26"/>
          <w:szCs w:val="26"/>
        </w:rPr>
        <w:t>ies to the Complainant’s February 17</w:t>
      </w:r>
      <w:r>
        <w:rPr>
          <w:sz w:val="26"/>
          <w:szCs w:val="26"/>
        </w:rPr>
        <w:t xml:space="preserve"> Exceptions.  Similarly, on February 27, 2015, the Commission issued a </w:t>
      </w:r>
      <w:r w:rsidR="00E24638">
        <w:rPr>
          <w:sz w:val="26"/>
          <w:szCs w:val="26"/>
        </w:rPr>
        <w:t xml:space="preserve">Secretarial Letter </w:t>
      </w:r>
      <w:r>
        <w:rPr>
          <w:sz w:val="26"/>
          <w:szCs w:val="26"/>
        </w:rPr>
        <w:t xml:space="preserve">to all Parties of Record indicating that the Complainant’s February 26 Exceptions had not previously been served on all Parties.  This </w:t>
      </w:r>
      <w:r w:rsidR="00E24638">
        <w:rPr>
          <w:sz w:val="26"/>
          <w:szCs w:val="26"/>
        </w:rPr>
        <w:t>Secretarial Letter</w:t>
      </w:r>
      <w:r>
        <w:rPr>
          <w:sz w:val="26"/>
          <w:szCs w:val="26"/>
        </w:rPr>
        <w:t xml:space="preserve"> granted Verizon </w:t>
      </w:r>
      <w:r w:rsidR="009A4D06">
        <w:rPr>
          <w:sz w:val="26"/>
          <w:szCs w:val="26"/>
        </w:rPr>
        <w:t xml:space="preserve">PA </w:t>
      </w:r>
      <w:r>
        <w:rPr>
          <w:sz w:val="26"/>
          <w:szCs w:val="26"/>
        </w:rPr>
        <w:t>an extension un</w:t>
      </w:r>
      <w:r w:rsidR="00E24638">
        <w:rPr>
          <w:sz w:val="26"/>
          <w:szCs w:val="26"/>
        </w:rPr>
        <w:t>til March 12, 2015 to file Replies to the Complainant’s February 26</w:t>
      </w:r>
      <w:r>
        <w:rPr>
          <w:sz w:val="26"/>
          <w:szCs w:val="26"/>
        </w:rPr>
        <w:t xml:space="preserve"> Exceptions. </w:t>
      </w:r>
      <w:r w:rsidR="00E24638">
        <w:rPr>
          <w:sz w:val="26"/>
          <w:szCs w:val="26"/>
        </w:rPr>
        <w:t xml:space="preserve"> </w:t>
      </w:r>
      <w:r>
        <w:rPr>
          <w:sz w:val="26"/>
          <w:szCs w:val="26"/>
        </w:rPr>
        <w:t>On March 12, 2015, Verizon</w:t>
      </w:r>
      <w:r w:rsidR="00AC7A92">
        <w:rPr>
          <w:sz w:val="26"/>
          <w:szCs w:val="26"/>
        </w:rPr>
        <w:t xml:space="preserve"> PA</w:t>
      </w:r>
      <w:r>
        <w:rPr>
          <w:sz w:val="26"/>
          <w:szCs w:val="26"/>
        </w:rPr>
        <w:t xml:space="preserve"> filed a single set of Replies to Exceptions responding to both the Complainant’s February 17 Exceptions and February 26 Exceptions.</w:t>
      </w:r>
    </w:p>
  </w:footnote>
  <w:footnote w:id="4">
    <w:p w:rsidR="006F6059" w:rsidRDefault="006F6059" w:rsidP="000D24C3">
      <w:pPr>
        <w:keepNext/>
        <w:keepLines/>
        <w:tabs>
          <w:tab w:val="left" w:pos="720"/>
          <w:tab w:val="left" w:pos="1440"/>
        </w:tabs>
        <w:contextualSpacing/>
      </w:pPr>
      <w:r>
        <w:rPr>
          <w:szCs w:val="26"/>
        </w:rPr>
        <w:tab/>
      </w:r>
      <w:r w:rsidRPr="006F6059">
        <w:rPr>
          <w:rStyle w:val="FootnoteReference"/>
          <w:szCs w:val="26"/>
        </w:rPr>
        <w:footnoteRef/>
      </w:r>
      <w:r w:rsidRPr="006F6059">
        <w:rPr>
          <w:szCs w:val="26"/>
        </w:rPr>
        <w:t xml:space="preserve"> </w:t>
      </w:r>
      <w:r>
        <w:rPr>
          <w:szCs w:val="26"/>
        </w:rPr>
        <w:tab/>
        <w:t xml:space="preserve">As noted, </w:t>
      </w:r>
      <w:r>
        <w:rPr>
          <w:i/>
          <w:szCs w:val="26"/>
        </w:rPr>
        <w:t>supra,</w:t>
      </w:r>
      <w:r>
        <w:rPr>
          <w:szCs w:val="26"/>
        </w:rPr>
        <w:t xml:space="preserve"> the Complainant was represented at the hearing by a certified legal intern with the Widener School of Law Civil Law Clinic.  However, the Complainant filed both her February 17</w:t>
      </w:r>
      <w:r w:rsidR="00C44F48" w:rsidRPr="00004202">
        <w:rPr>
          <w:szCs w:val="26"/>
          <w:vertAlign w:val="superscript"/>
        </w:rPr>
        <w:t>th</w:t>
      </w:r>
      <w:r>
        <w:rPr>
          <w:szCs w:val="26"/>
        </w:rPr>
        <w:t xml:space="preserve"> and February 26</w:t>
      </w:r>
      <w:r w:rsidR="00C44F48" w:rsidRPr="00004202">
        <w:rPr>
          <w:szCs w:val="26"/>
          <w:vertAlign w:val="superscript"/>
        </w:rPr>
        <w:t>th</w:t>
      </w:r>
      <w:r>
        <w:rPr>
          <w:szCs w:val="26"/>
        </w:rPr>
        <w:t xml:space="preserve"> Exceptions </w:t>
      </w:r>
      <w:r>
        <w:rPr>
          <w:i/>
          <w:szCs w:val="26"/>
        </w:rPr>
        <w:t>pro se.</w:t>
      </w:r>
      <w:r>
        <w:rPr>
          <w:szCs w:val="26"/>
        </w:rPr>
        <w:t xml:space="preserve">  We note at the outset that neither the Complainant’s February 17</w:t>
      </w:r>
      <w:r w:rsidR="00C44F48" w:rsidRPr="00004202">
        <w:rPr>
          <w:szCs w:val="26"/>
          <w:vertAlign w:val="superscript"/>
        </w:rPr>
        <w:t>th</w:t>
      </w:r>
      <w:r>
        <w:rPr>
          <w:szCs w:val="26"/>
        </w:rPr>
        <w:t xml:space="preserve"> nor her February 26</w:t>
      </w:r>
      <w:r w:rsidR="00C44F48" w:rsidRPr="00004202">
        <w:rPr>
          <w:szCs w:val="26"/>
          <w:vertAlign w:val="superscript"/>
        </w:rPr>
        <w:t>th</w:t>
      </w:r>
      <w:r>
        <w:rPr>
          <w:szCs w:val="26"/>
        </w:rPr>
        <w:t xml:space="preserve"> Exceptions </w:t>
      </w:r>
      <w:r w:rsidRPr="00887EE1">
        <w:t>strictly comply with Section 5.533(b) of our Regulations, 52 Pa. Code §</w:t>
      </w:r>
      <w:r w:rsidR="00D420A7">
        <w:t> </w:t>
      </w:r>
      <w:r>
        <w:t>5.533(b), which requires that E</w:t>
      </w:r>
      <w:r w:rsidRPr="00887EE1">
        <w:t xml:space="preserve">xceptions be numbered, identify the finding of fact and conclusions of law to which exception is taken, and cite to the relevant pages of the Initial Decision.  Nevertheless, </w:t>
      </w:r>
      <w:r>
        <w:t xml:space="preserve">because the Complainant has filed these Exceptions </w:t>
      </w:r>
      <w:r w:rsidRPr="00887EE1">
        <w:rPr>
          <w:i/>
        </w:rPr>
        <w:t>pro se</w:t>
      </w:r>
      <w:r w:rsidRPr="00887EE1">
        <w:t>, we will accept the Exceptions</w:t>
      </w:r>
      <w:r w:rsidR="00F84E48">
        <w:t>,</w:t>
      </w:r>
      <w:r w:rsidRPr="00887EE1">
        <w:t xml:space="preserve"> as filed</w:t>
      </w:r>
      <w:r w:rsidR="00F84E48">
        <w:t>,</w:t>
      </w:r>
      <w:r w:rsidRPr="00887EE1">
        <w:t xml:space="preserve"> pursuant to Section 1.2(a) of our Regulations, 52</w:t>
      </w:r>
      <w:r w:rsidR="00D420A7">
        <w:t> </w:t>
      </w:r>
      <w:r w:rsidRPr="00887EE1">
        <w:t>Pa.</w:t>
      </w:r>
      <w:r w:rsidR="00D420A7">
        <w:t> </w:t>
      </w:r>
      <w:r w:rsidRPr="00887EE1">
        <w:t>Code § 1.2(a), in order to secure a just, speedy, and inexpensive determination.</w:t>
      </w:r>
    </w:p>
    <w:p w:rsidR="006F6059" w:rsidRPr="006F6059" w:rsidRDefault="006F6059" w:rsidP="000D24C3">
      <w:pPr>
        <w:pStyle w:val="FootnoteText"/>
        <w:keepLines/>
        <w:contextualSpacing/>
        <w:rPr>
          <w:sz w:val="26"/>
          <w:szCs w:val="2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D3"/>
    <w:rsid w:val="00000B64"/>
    <w:rsid w:val="00000BB5"/>
    <w:rsid w:val="000023BC"/>
    <w:rsid w:val="0000288E"/>
    <w:rsid w:val="00004202"/>
    <w:rsid w:val="000044B5"/>
    <w:rsid w:val="000058F0"/>
    <w:rsid w:val="000117D3"/>
    <w:rsid w:val="000320E9"/>
    <w:rsid w:val="00034198"/>
    <w:rsid w:val="00036525"/>
    <w:rsid w:val="00042FA1"/>
    <w:rsid w:val="0004696A"/>
    <w:rsid w:val="00047232"/>
    <w:rsid w:val="000511AB"/>
    <w:rsid w:val="00053AAD"/>
    <w:rsid w:val="000551C2"/>
    <w:rsid w:val="0005539F"/>
    <w:rsid w:val="00062703"/>
    <w:rsid w:val="00065769"/>
    <w:rsid w:val="00067935"/>
    <w:rsid w:val="00071A7B"/>
    <w:rsid w:val="000720E5"/>
    <w:rsid w:val="00073B40"/>
    <w:rsid w:val="00077ED4"/>
    <w:rsid w:val="00080661"/>
    <w:rsid w:val="000845F1"/>
    <w:rsid w:val="00085378"/>
    <w:rsid w:val="00087D6C"/>
    <w:rsid w:val="00087DB6"/>
    <w:rsid w:val="00091125"/>
    <w:rsid w:val="00094DF5"/>
    <w:rsid w:val="00097A2D"/>
    <w:rsid w:val="000A089B"/>
    <w:rsid w:val="000A2B96"/>
    <w:rsid w:val="000A3A3F"/>
    <w:rsid w:val="000A5A25"/>
    <w:rsid w:val="000A601C"/>
    <w:rsid w:val="000B0A87"/>
    <w:rsid w:val="000B120E"/>
    <w:rsid w:val="000B2F7C"/>
    <w:rsid w:val="000B3FAD"/>
    <w:rsid w:val="000B582A"/>
    <w:rsid w:val="000C015B"/>
    <w:rsid w:val="000C0861"/>
    <w:rsid w:val="000C167D"/>
    <w:rsid w:val="000C2C43"/>
    <w:rsid w:val="000C31E6"/>
    <w:rsid w:val="000C4B30"/>
    <w:rsid w:val="000C52E0"/>
    <w:rsid w:val="000C5A58"/>
    <w:rsid w:val="000D02C7"/>
    <w:rsid w:val="000D1828"/>
    <w:rsid w:val="000D24C3"/>
    <w:rsid w:val="000D40B2"/>
    <w:rsid w:val="000D63F0"/>
    <w:rsid w:val="000E06E8"/>
    <w:rsid w:val="000E156D"/>
    <w:rsid w:val="000F0E31"/>
    <w:rsid w:val="000F284F"/>
    <w:rsid w:val="000F3B20"/>
    <w:rsid w:val="000F5618"/>
    <w:rsid w:val="00102081"/>
    <w:rsid w:val="001027A0"/>
    <w:rsid w:val="00104959"/>
    <w:rsid w:val="00104CEE"/>
    <w:rsid w:val="0010567E"/>
    <w:rsid w:val="00105DA5"/>
    <w:rsid w:val="00112906"/>
    <w:rsid w:val="00120128"/>
    <w:rsid w:val="0012673A"/>
    <w:rsid w:val="001278F2"/>
    <w:rsid w:val="001346D8"/>
    <w:rsid w:val="0013692F"/>
    <w:rsid w:val="00136B31"/>
    <w:rsid w:val="0013712D"/>
    <w:rsid w:val="00137BFB"/>
    <w:rsid w:val="0014631F"/>
    <w:rsid w:val="00150589"/>
    <w:rsid w:val="001515F5"/>
    <w:rsid w:val="00151D78"/>
    <w:rsid w:val="0015451C"/>
    <w:rsid w:val="0015667A"/>
    <w:rsid w:val="00157B62"/>
    <w:rsid w:val="00161668"/>
    <w:rsid w:val="00161AAE"/>
    <w:rsid w:val="00164F12"/>
    <w:rsid w:val="00166759"/>
    <w:rsid w:val="00167B6C"/>
    <w:rsid w:val="001724B4"/>
    <w:rsid w:val="0017564C"/>
    <w:rsid w:val="0017760F"/>
    <w:rsid w:val="0018218E"/>
    <w:rsid w:val="00184B0E"/>
    <w:rsid w:val="00185DBC"/>
    <w:rsid w:val="00190323"/>
    <w:rsid w:val="001A25FA"/>
    <w:rsid w:val="001B1E17"/>
    <w:rsid w:val="001B34AC"/>
    <w:rsid w:val="001B522D"/>
    <w:rsid w:val="001B538F"/>
    <w:rsid w:val="001C1E42"/>
    <w:rsid w:val="001D2610"/>
    <w:rsid w:val="001D2C0D"/>
    <w:rsid w:val="001D5E60"/>
    <w:rsid w:val="001D6867"/>
    <w:rsid w:val="001E057B"/>
    <w:rsid w:val="001E385D"/>
    <w:rsid w:val="001E4697"/>
    <w:rsid w:val="001E5799"/>
    <w:rsid w:val="001E655A"/>
    <w:rsid w:val="001E7FE1"/>
    <w:rsid w:val="001F195C"/>
    <w:rsid w:val="001F1C87"/>
    <w:rsid w:val="001F2A83"/>
    <w:rsid w:val="001F7301"/>
    <w:rsid w:val="00200B57"/>
    <w:rsid w:val="00200E59"/>
    <w:rsid w:val="002014F9"/>
    <w:rsid w:val="002016DE"/>
    <w:rsid w:val="0020251D"/>
    <w:rsid w:val="00203C3C"/>
    <w:rsid w:val="0020435F"/>
    <w:rsid w:val="002065EF"/>
    <w:rsid w:val="00211252"/>
    <w:rsid w:val="0021532B"/>
    <w:rsid w:val="00215B80"/>
    <w:rsid w:val="00220749"/>
    <w:rsid w:val="0022385E"/>
    <w:rsid w:val="0022531C"/>
    <w:rsid w:val="0022713E"/>
    <w:rsid w:val="00230261"/>
    <w:rsid w:val="002325E8"/>
    <w:rsid w:val="00233160"/>
    <w:rsid w:val="002350B8"/>
    <w:rsid w:val="002352CC"/>
    <w:rsid w:val="0023656C"/>
    <w:rsid w:val="002375DE"/>
    <w:rsid w:val="00237B8C"/>
    <w:rsid w:val="002409BC"/>
    <w:rsid w:val="0024231F"/>
    <w:rsid w:val="00243B45"/>
    <w:rsid w:val="00250C21"/>
    <w:rsid w:val="00257DD4"/>
    <w:rsid w:val="00260AE5"/>
    <w:rsid w:val="00261FE9"/>
    <w:rsid w:val="00262A69"/>
    <w:rsid w:val="00264FBD"/>
    <w:rsid w:val="002654CB"/>
    <w:rsid w:val="00267D50"/>
    <w:rsid w:val="0027046D"/>
    <w:rsid w:val="00270C5E"/>
    <w:rsid w:val="0027198A"/>
    <w:rsid w:val="002753BB"/>
    <w:rsid w:val="0027716E"/>
    <w:rsid w:val="002824AC"/>
    <w:rsid w:val="00283918"/>
    <w:rsid w:val="00285E8B"/>
    <w:rsid w:val="002879DB"/>
    <w:rsid w:val="00290E23"/>
    <w:rsid w:val="00291738"/>
    <w:rsid w:val="002935E4"/>
    <w:rsid w:val="002939AD"/>
    <w:rsid w:val="002957CA"/>
    <w:rsid w:val="002A0802"/>
    <w:rsid w:val="002A1F08"/>
    <w:rsid w:val="002A4126"/>
    <w:rsid w:val="002A43B5"/>
    <w:rsid w:val="002A45B5"/>
    <w:rsid w:val="002A49E9"/>
    <w:rsid w:val="002A5D2F"/>
    <w:rsid w:val="002A60BA"/>
    <w:rsid w:val="002A6C5E"/>
    <w:rsid w:val="002B2D0F"/>
    <w:rsid w:val="002B5459"/>
    <w:rsid w:val="002C05C2"/>
    <w:rsid w:val="002C231A"/>
    <w:rsid w:val="002C31D0"/>
    <w:rsid w:val="002C4DA8"/>
    <w:rsid w:val="002C7EF4"/>
    <w:rsid w:val="002D22F7"/>
    <w:rsid w:val="002D28B5"/>
    <w:rsid w:val="002D496B"/>
    <w:rsid w:val="002E0C58"/>
    <w:rsid w:val="002E3867"/>
    <w:rsid w:val="002E685F"/>
    <w:rsid w:val="002F31D9"/>
    <w:rsid w:val="002F50DB"/>
    <w:rsid w:val="002F56EC"/>
    <w:rsid w:val="002F772E"/>
    <w:rsid w:val="00303061"/>
    <w:rsid w:val="003047E2"/>
    <w:rsid w:val="00305E34"/>
    <w:rsid w:val="00306E90"/>
    <w:rsid w:val="00307453"/>
    <w:rsid w:val="003104BE"/>
    <w:rsid w:val="00311659"/>
    <w:rsid w:val="0031338D"/>
    <w:rsid w:val="00315448"/>
    <w:rsid w:val="00315877"/>
    <w:rsid w:val="00315F63"/>
    <w:rsid w:val="00316F36"/>
    <w:rsid w:val="00322332"/>
    <w:rsid w:val="00324E71"/>
    <w:rsid w:val="0032524F"/>
    <w:rsid w:val="0032546E"/>
    <w:rsid w:val="00326697"/>
    <w:rsid w:val="00327E3D"/>
    <w:rsid w:val="00330E86"/>
    <w:rsid w:val="00332867"/>
    <w:rsid w:val="003368D7"/>
    <w:rsid w:val="003409C9"/>
    <w:rsid w:val="00341246"/>
    <w:rsid w:val="00341CA5"/>
    <w:rsid w:val="00345501"/>
    <w:rsid w:val="00345FA9"/>
    <w:rsid w:val="0034606D"/>
    <w:rsid w:val="00347333"/>
    <w:rsid w:val="003508DB"/>
    <w:rsid w:val="00355288"/>
    <w:rsid w:val="00361678"/>
    <w:rsid w:val="003638F0"/>
    <w:rsid w:val="00366F9E"/>
    <w:rsid w:val="003672FE"/>
    <w:rsid w:val="0036748F"/>
    <w:rsid w:val="00372732"/>
    <w:rsid w:val="00372A56"/>
    <w:rsid w:val="00372D60"/>
    <w:rsid w:val="00373B79"/>
    <w:rsid w:val="0037633A"/>
    <w:rsid w:val="00382DCF"/>
    <w:rsid w:val="00392AFC"/>
    <w:rsid w:val="00396067"/>
    <w:rsid w:val="003976A9"/>
    <w:rsid w:val="003A0829"/>
    <w:rsid w:val="003A2C1D"/>
    <w:rsid w:val="003B16A6"/>
    <w:rsid w:val="003B4C90"/>
    <w:rsid w:val="003B51B8"/>
    <w:rsid w:val="003B7C33"/>
    <w:rsid w:val="003C6AE5"/>
    <w:rsid w:val="003D15EF"/>
    <w:rsid w:val="003D2850"/>
    <w:rsid w:val="003D2FED"/>
    <w:rsid w:val="003E09C5"/>
    <w:rsid w:val="003E1B7B"/>
    <w:rsid w:val="003E2584"/>
    <w:rsid w:val="003E2D6B"/>
    <w:rsid w:val="003E2E9C"/>
    <w:rsid w:val="003E551A"/>
    <w:rsid w:val="003E5AB7"/>
    <w:rsid w:val="003E7827"/>
    <w:rsid w:val="003E7ED3"/>
    <w:rsid w:val="003F0FE5"/>
    <w:rsid w:val="003F215C"/>
    <w:rsid w:val="003F4FB3"/>
    <w:rsid w:val="003F69BC"/>
    <w:rsid w:val="00402BE3"/>
    <w:rsid w:val="00402CAB"/>
    <w:rsid w:val="0040643D"/>
    <w:rsid w:val="00412EE5"/>
    <w:rsid w:val="00414721"/>
    <w:rsid w:val="0041541C"/>
    <w:rsid w:val="00417DA3"/>
    <w:rsid w:val="004226EA"/>
    <w:rsid w:val="00425717"/>
    <w:rsid w:val="00425819"/>
    <w:rsid w:val="00425FB2"/>
    <w:rsid w:val="004331AB"/>
    <w:rsid w:val="00435E78"/>
    <w:rsid w:val="00452EAF"/>
    <w:rsid w:val="00452F0B"/>
    <w:rsid w:val="004536B2"/>
    <w:rsid w:val="004539E8"/>
    <w:rsid w:val="004603B3"/>
    <w:rsid w:val="004609B3"/>
    <w:rsid w:val="00462330"/>
    <w:rsid w:val="004628F9"/>
    <w:rsid w:val="00467C5B"/>
    <w:rsid w:val="00470C1B"/>
    <w:rsid w:val="00471E40"/>
    <w:rsid w:val="00474624"/>
    <w:rsid w:val="004760DC"/>
    <w:rsid w:val="00476A50"/>
    <w:rsid w:val="00490554"/>
    <w:rsid w:val="004908C4"/>
    <w:rsid w:val="00493576"/>
    <w:rsid w:val="00496110"/>
    <w:rsid w:val="00496FA9"/>
    <w:rsid w:val="004A2F1C"/>
    <w:rsid w:val="004A64A5"/>
    <w:rsid w:val="004B7459"/>
    <w:rsid w:val="004C3CF0"/>
    <w:rsid w:val="004C6D47"/>
    <w:rsid w:val="004D091E"/>
    <w:rsid w:val="004D0A7B"/>
    <w:rsid w:val="004D22F4"/>
    <w:rsid w:val="004D6A00"/>
    <w:rsid w:val="004E281A"/>
    <w:rsid w:val="004E2E26"/>
    <w:rsid w:val="004E6702"/>
    <w:rsid w:val="004F47C3"/>
    <w:rsid w:val="004F7695"/>
    <w:rsid w:val="004F7CA9"/>
    <w:rsid w:val="00500522"/>
    <w:rsid w:val="00500A00"/>
    <w:rsid w:val="00500CE1"/>
    <w:rsid w:val="00500FCC"/>
    <w:rsid w:val="005017C8"/>
    <w:rsid w:val="00503235"/>
    <w:rsid w:val="00513D16"/>
    <w:rsid w:val="00520C0C"/>
    <w:rsid w:val="0052118B"/>
    <w:rsid w:val="005239D5"/>
    <w:rsid w:val="0052746C"/>
    <w:rsid w:val="00531307"/>
    <w:rsid w:val="00533613"/>
    <w:rsid w:val="0053595F"/>
    <w:rsid w:val="00546336"/>
    <w:rsid w:val="00546864"/>
    <w:rsid w:val="00547A05"/>
    <w:rsid w:val="00551B9D"/>
    <w:rsid w:val="00553233"/>
    <w:rsid w:val="0055440C"/>
    <w:rsid w:val="005546F8"/>
    <w:rsid w:val="00556170"/>
    <w:rsid w:val="00556C3C"/>
    <w:rsid w:val="00556F2F"/>
    <w:rsid w:val="00564D66"/>
    <w:rsid w:val="0056674A"/>
    <w:rsid w:val="00570696"/>
    <w:rsid w:val="0057372A"/>
    <w:rsid w:val="00580D05"/>
    <w:rsid w:val="00580E82"/>
    <w:rsid w:val="005831B0"/>
    <w:rsid w:val="00586D60"/>
    <w:rsid w:val="005878A6"/>
    <w:rsid w:val="00587B52"/>
    <w:rsid w:val="00590596"/>
    <w:rsid w:val="005911FD"/>
    <w:rsid w:val="00594485"/>
    <w:rsid w:val="005A0CF8"/>
    <w:rsid w:val="005A1211"/>
    <w:rsid w:val="005A1D0F"/>
    <w:rsid w:val="005A2D63"/>
    <w:rsid w:val="005A7C8F"/>
    <w:rsid w:val="005B00BE"/>
    <w:rsid w:val="005B1C7F"/>
    <w:rsid w:val="005B2A56"/>
    <w:rsid w:val="005B4735"/>
    <w:rsid w:val="005B6348"/>
    <w:rsid w:val="005C6CE2"/>
    <w:rsid w:val="005C75EA"/>
    <w:rsid w:val="005D05A9"/>
    <w:rsid w:val="005D1191"/>
    <w:rsid w:val="005D322A"/>
    <w:rsid w:val="005D425B"/>
    <w:rsid w:val="005D46E7"/>
    <w:rsid w:val="005D4B33"/>
    <w:rsid w:val="005D6ABE"/>
    <w:rsid w:val="005D6ED6"/>
    <w:rsid w:val="005D6FE2"/>
    <w:rsid w:val="005E1892"/>
    <w:rsid w:val="005E2009"/>
    <w:rsid w:val="005E2969"/>
    <w:rsid w:val="005E429E"/>
    <w:rsid w:val="005E4FBE"/>
    <w:rsid w:val="005E6234"/>
    <w:rsid w:val="005F586C"/>
    <w:rsid w:val="005F7F8B"/>
    <w:rsid w:val="006036BF"/>
    <w:rsid w:val="006044A8"/>
    <w:rsid w:val="00606FFD"/>
    <w:rsid w:val="00607485"/>
    <w:rsid w:val="00613B32"/>
    <w:rsid w:val="006170F1"/>
    <w:rsid w:val="006213D7"/>
    <w:rsid w:val="00622982"/>
    <w:rsid w:val="00624B57"/>
    <w:rsid w:val="00624E95"/>
    <w:rsid w:val="0062707F"/>
    <w:rsid w:val="00632FBD"/>
    <w:rsid w:val="0063385D"/>
    <w:rsid w:val="006356F6"/>
    <w:rsid w:val="00636B17"/>
    <w:rsid w:val="00637387"/>
    <w:rsid w:val="006400D6"/>
    <w:rsid w:val="0064045C"/>
    <w:rsid w:val="006462EA"/>
    <w:rsid w:val="00646FEE"/>
    <w:rsid w:val="00647B6C"/>
    <w:rsid w:val="006503FD"/>
    <w:rsid w:val="006515DC"/>
    <w:rsid w:val="006519F1"/>
    <w:rsid w:val="0067164B"/>
    <w:rsid w:val="00673B03"/>
    <w:rsid w:val="00681DA8"/>
    <w:rsid w:val="00685730"/>
    <w:rsid w:val="006923A1"/>
    <w:rsid w:val="00692BEE"/>
    <w:rsid w:val="00696C9D"/>
    <w:rsid w:val="006A3951"/>
    <w:rsid w:val="006A4D8B"/>
    <w:rsid w:val="006A77F1"/>
    <w:rsid w:val="006B044F"/>
    <w:rsid w:val="006B29A4"/>
    <w:rsid w:val="006B3114"/>
    <w:rsid w:val="006B3138"/>
    <w:rsid w:val="006B459F"/>
    <w:rsid w:val="006B5380"/>
    <w:rsid w:val="006B55F0"/>
    <w:rsid w:val="006C0E40"/>
    <w:rsid w:val="006C3C8B"/>
    <w:rsid w:val="006D0085"/>
    <w:rsid w:val="006D4B47"/>
    <w:rsid w:val="006D596C"/>
    <w:rsid w:val="006D7691"/>
    <w:rsid w:val="006E02B7"/>
    <w:rsid w:val="006E3AB3"/>
    <w:rsid w:val="006E3E45"/>
    <w:rsid w:val="006F5060"/>
    <w:rsid w:val="006F6059"/>
    <w:rsid w:val="007004BD"/>
    <w:rsid w:val="00701FB4"/>
    <w:rsid w:val="00703139"/>
    <w:rsid w:val="0070428C"/>
    <w:rsid w:val="00705C67"/>
    <w:rsid w:val="00707FD1"/>
    <w:rsid w:val="007124EF"/>
    <w:rsid w:val="00712B88"/>
    <w:rsid w:val="0071399E"/>
    <w:rsid w:val="007170C1"/>
    <w:rsid w:val="00720B0E"/>
    <w:rsid w:val="007222D8"/>
    <w:rsid w:val="00723475"/>
    <w:rsid w:val="00726565"/>
    <w:rsid w:val="007400B9"/>
    <w:rsid w:val="0074184D"/>
    <w:rsid w:val="00743E72"/>
    <w:rsid w:val="0074635F"/>
    <w:rsid w:val="0075323C"/>
    <w:rsid w:val="00755C27"/>
    <w:rsid w:val="007614DF"/>
    <w:rsid w:val="00761B3E"/>
    <w:rsid w:val="0076210E"/>
    <w:rsid w:val="00766DE9"/>
    <w:rsid w:val="00770B1C"/>
    <w:rsid w:val="0077217A"/>
    <w:rsid w:val="00775CE8"/>
    <w:rsid w:val="0077683C"/>
    <w:rsid w:val="00777389"/>
    <w:rsid w:val="00781AF8"/>
    <w:rsid w:val="007868E1"/>
    <w:rsid w:val="00787329"/>
    <w:rsid w:val="00787A24"/>
    <w:rsid w:val="00791566"/>
    <w:rsid w:val="00791DD0"/>
    <w:rsid w:val="00791EA1"/>
    <w:rsid w:val="0079419C"/>
    <w:rsid w:val="00794788"/>
    <w:rsid w:val="007951B2"/>
    <w:rsid w:val="007972D1"/>
    <w:rsid w:val="007A4351"/>
    <w:rsid w:val="007A6A33"/>
    <w:rsid w:val="007B3194"/>
    <w:rsid w:val="007B342C"/>
    <w:rsid w:val="007B39BE"/>
    <w:rsid w:val="007B3F8C"/>
    <w:rsid w:val="007B5F9C"/>
    <w:rsid w:val="007B69F8"/>
    <w:rsid w:val="007B6DC4"/>
    <w:rsid w:val="007C1AEB"/>
    <w:rsid w:val="007C27B7"/>
    <w:rsid w:val="007C3B9C"/>
    <w:rsid w:val="007C44BE"/>
    <w:rsid w:val="007C520A"/>
    <w:rsid w:val="007D009A"/>
    <w:rsid w:val="007D2063"/>
    <w:rsid w:val="007D34D5"/>
    <w:rsid w:val="007D639D"/>
    <w:rsid w:val="007E0715"/>
    <w:rsid w:val="007E26DB"/>
    <w:rsid w:val="007E2B74"/>
    <w:rsid w:val="007E3299"/>
    <w:rsid w:val="007E715A"/>
    <w:rsid w:val="007F3BE6"/>
    <w:rsid w:val="007F4742"/>
    <w:rsid w:val="007F5017"/>
    <w:rsid w:val="007F5AF2"/>
    <w:rsid w:val="007F706A"/>
    <w:rsid w:val="007F76C2"/>
    <w:rsid w:val="0080504A"/>
    <w:rsid w:val="00806234"/>
    <w:rsid w:val="00806AF6"/>
    <w:rsid w:val="0081231B"/>
    <w:rsid w:val="008124B7"/>
    <w:rsid w:val="008143FC"/>
    <w:rsid w:val="00816940"/>
    <w:rsid w:val="00817E92"/>
    <w:rsid w:val="0082207C"/>
    <w:rsid w:val="0082217B"/>
    <w:rsid w:val="00830617"/>
    <w:rsid w:val="00832B63"/>
    <w:rsid w:val="00834C8E"/>
    <w:rsid w:val="00834F32"/>
    <w:rsid w:val="00834F3B"/>
    <w:rsid w:val="00835794"/>
    <w:rsid w:val="00840894"/>
    <w:rsid w:val="00841192"/>
    <w:rsid w:val="0084430C"/>
    <w:rsid w:val="0084444E"/>
    <w:rsid w:val="008445A4"/>
    <w:rsid w:val="00844CD8"/>
    <w:rsid w:val="00845A59"/>
    <w:rsid w:val="008469D2"/>
    <w:rsid w:val="00850C44"/>
    <w:rsid w:val="00853ADF"/>
    <w:rsid w:val="00853D66"/>
    <w:rsid w:val="00855423"/>
    <w:rsid w:val="00855F7D"/>
    <w:rsid w:val="00857F21"/>
    <w:rsid w:val="00861415"/>
    <w:rsid w:val="00861995"/>
    <w:rsid w:val="0086212E"/>
    <w:rsid w:val="00862C71"/>
    <w:rsid w:val="0086339E"/>
    <w:rsid w:val="0086600F"/>
    <w:rsid w:val="00866B15"/>
    <w:rsid w:val="00871EF7"/>
    <w:rsid w:val="0087503B"/>
    <w:rsid w:val="008764B5"/>
    <w:rsid w:val="00877475"/>
    <w:rsid w:val="00881BAC"/>
    <w:rsid w:val="0088244E"/>
    <w:rsid w:val="0088290A"/>
    <w:rsid w:val="00882D57"/>
    <w:rsid w:val="0088317F"/>
    <w:rsid w:val="00885E6D"/>
    <w:rsid w:val="00890ED0"/>
    <w:rsid w:val="0089194A"/>
    <w:rsid w:val="00892EDF"/>
    <w:rsid w:val="00894A87"/>
    <w:rsid w:val="00897074"/>
    <w:rsid w:val="00897CD6"/>
    <w:rsid w:val="008A3FE1"/>
    <w:rsid w:val="008A4238"/>
    <w:rsid w:val="008A4B50"/>
    <w:rsid w:val="008A668B"/>
    <w:rsid w:val="008A75EE"/>
    <w:rsid w:val="008B03DB"/>
    <w:rsid w:val="008B584F"/>
    <w:rsid w:val="008B7240"/>
    <w:rsid w:val="008B743E"/>
    <w:rsid w:val="008B7E39"/>
    <w:rsid w:val="008C126A"/>
    <w:rsid w:val="008C1E63"/>
    <w:rsid w:val="008C2139"/>
    <w:rsid w:val="008C27A0"/>
    <w:rsid w:val="008C3160"/>
    <w:rsid w:val="008C6884"/>
    <w:rsid w:val="008C7608"/>
    <w:rsid w:val="008D0841"/>
    <w:rsid w:val="008D14A2"/>
    <w:rsid w:val="008D1775"/>
    <w:rsid w:val="008D4AB2"/>
    <w:rsid w:val="008D64F3"/>
    <w:rsid w:val="008D6D55"/>
    <w:rsid w:val="008E7ADF"/>
    <w:rsid w:val="008F23D6"/>
    <w:rsid w:val="008F2D76"/>
    <w:rsid w:val="008F3162"/>
    <w:rsid w:val="008F385C"/>
    <w:rsid w:val="008F5713"/>
    <w:rsid w:val="00900DEF"/>
    <w:rsid w:val="0090181D"/>
    <w:rsid w:val="00901DBE"/>
    <w:rsid w:val="00902CB5"/>
    <w:rsid w:val="00906385"/>
    <w:rsid w:val="00907F85"/>
    <w:rsid w:val="00910FB9"/>
    <w:rsid w:val="009135A7"/>
    <w:rsid w:val="00915549"/>
    <w:rsid w:val="009164B1"/>
    <w:rsid w:val="00921578"/>
    <w:rsid w:val="00921921"/>
    <w:rsid w:val="00923181"/>
    <w:rsid w:val="00927353"/>
    <w:rsid w:val="0092754E"/>
    <w:rsid w:val="00927ADE"/>
    <w:rsid w:val="009313B5"/>
    <w:rsid w:val="0093244E"/>
    <w:rsid w:val="0093340F"/>
    <w:rsid w:val="00942CEE"/>
    <w:rsid w:val="009445D0"/>
    <w:rsid w:val="009513FC"/>
    <w:rsid w:val="00953B5A"/>
    <w:rsid w:val="00953B7E"/>
    <w:rsid w:val="00953C5D"/>
    <w:rsid w:val="00955AD4"/>
    <w:rsid w:val="00964804"/>
    <w:rsid w:val="00966FBC"/>
    <w:rsid w:val="00980F9E"/>
    <w:rsid w:val="0098189B"/>
    <w:rsid w:val="00982512"/>
    <w:rsid w:val="009848A6"/>
    <w:rsid w:val="00984E66"/>
    <w:rsid w:val="00986220"/>
    <w:rsid w:val="009878C6"/>
    <w:rsid w:val="009878EC"/>
    <w:rsid w:val="00987E2C"/>
    <w:rsid w:val="0099031A"/>
    <w:rsid w:val="009916BB"/>
    <w:rsid w:val="009A4D06"/>
    <w:rsid w:val="009A5EE7"/>
    <w:rsid w:val="009A6132"/>
    <w:rsid w:val="009A6B95"/>
    <w:rsid w:val="009B3EEB"/>
    <w:rsid w:val="009B3F1A"/>
    <w:rsid w:val="009B524C"/>
    <w:rsid w:val="009B58E7"/>
    <w:rsid w:val="009B7542"/>
    <w:rsid w:val="009C1A4B"/>
    <w:rsid w:val="009C1A64"/>
    <w:rsid w:val="009C37FC"/>
    <w:rsid w:val="009D13C1"/>
    <w:rsid w:val="009D13D2"/>
    <w:rsid w:val="009D24E3"/>
    <w:rsid w:val="009D6045"/>
    <w:rsid w:val="009E04B7"/>
    <w:rsid w:val="009E04ED"/>
    <w:rsid w:val="009E1D30"/>
    <w:rsid w:val="009E27D1"/>
    <w:rsid w:val="009E5224"/>
    <w:rsid w:val="009E69EB"/>
    <w:rsid w:val="009F0D24"/>
    <w:rsid w:val="009F2357"/>
    <w:rsid w:val="009F4F98"/>
    <w:rsid w:val="009F5148"/>
    <w:rsid w:val="009F5C33"/>
    <w:rsid w:val="00A03ADF"/>
    <w:rsid w:val="00A074D5"/>
    <w:rsid w:val="00A115B6"/>
    <w:rsid w:val="00A21278"/>
    <w:rsid w:val="00A2148C"/>
    <w:rsid w:val="00A23882"/>
    <w:rsid w:val="00A26C38"/>
    <w:rsid w:val="00A277FF"/>
    <w:rsid w:val="00A33854"/>
    <w:rsid w:val="00A33E47"/>
    <w:rsid w:val="00A33F13"/>
    <w:rsid w:val="00A34EE8"/>
    <w:rsid w:val="00A35B98"/>
    <w:rsid w:val="00A44FEC"/>
    <w:rsid w:val="00A45114"/>
    <w:rsid w:val="00A460D3"/>
    <w:rsid w:val="00A502D4"/>
    <w:rsid w:val="00A5033B"/>
    <w:rsid w:val="00A518DE"/>
    <w:rsid w:val="00A565BF"/>
    <w:rsid w:val="00A61047"/>
    <w:rsid w:val="00A6785D"/>
    <w:rsid w:val="00A67A77"/>
    <w:rsid w:val="00A70066"/>
    <w:rsid w:val="00A718D4"/>
    <w:rsid w:val="00A72A86"/>
    <w:rsid w:val="00A74E31"/>
    <w:rsid w:val="00A75915"/>
    <w:rsid w:val="00A81915"/>
    <w:rsid w:val="00A829D7"/>
    <w:rsid w:val="00A878F4"/>
    <w:rsid w:val="00A90CF5"/>
    <w:rsid w:val="00A90EE1"/>
    <w:rsid w:val="00A91410"/>
    <w:rsid w:val="00A91533"/>
    <w:rsid w:val="00A91D2E"/>
    <w:rsid w:val="00A956D2"/>
    <w:rsid w:val="00A97086"/>
    <w:rsid w:val="00A9709B"/>
    <w:rsid w:val="00A97C74"/>
    <w:rsid w:val="00AA05B8"/>
    <w:rsid w:val="00AA0EDD"/>
    <w:rsid w:val="00AA1B27"/>
    <w:rsid w:val="00AA25BF"/>
    <w:rsid w:val="00AA2BFA"/>
    <w:rsid w:val="00AA388E"/>
    <w:rsid w:val="00AA3D82"/>
    <w:rsid w:val="00AA50C7"/>
    <w:rsid w:val="00AA589D"/>
    <w:rsid w:val="00AA5AEB"/>
    <w:rsid w:val="00AA6BE1"/>
    <w:rsid w:val="00AA6F92"/>
    <w:rsid w:val="00AA78F4"/>
    <w:rsid w:val="00AA795B"/>
    <w:rsid w:val="00AA7CBB"/>
    <w:rsid w:val="00AA7CF7"/>
    <w:rsid w:val="00AB2299"/>
    <w:rsid w:val="00AB5864"/>
    <w:rsid w:val="00AB62AB"/>
    <w:rsid w:val="00AB6867"/>
    <w:rsid w:val="00AB6FFD"/>
    <w:rsid w:val="00AB7614"/>
    <w:rsid w:val="00AC1923"/>
    <w:rsid w:val="00AC3228"/>
    <w:rsid w:val="00AC61C1"/>
    <w:rsid w:val="00AC7A92"/>
    <w:rsid w:val="00AD0796"/>
    <w:rsid w:val="00AD3C1F"/>
    <w:rsid w:val="00AD47C5"/>
    <w:rsid w:val="00AD497E"/>
    <w:rsid w:val="00AD4EF8"/>
    <w:rsid w:val="00AD6AB5"/>
    <w:rsid w:val="00AF47D2"/>
    <w:rsid w:val="00AF4FCB"/>
    <w:rsid w:val="00AF5561"/>
    <w:rsid w:val="00AF5ABE"/>
    <w:rsid w:val="00AF5E76"/>
    <w:rsid w:val="00AF7A48"/>
    <w:rsid w:val="00B01189"/>
    <w:rsid w:val="00B0459C"/>
    <w:rsid w:val="00B051C4"/>
    <w:rsid w:val="00B05264"/>
    <w:rsid w:val="00B067D0"/>
    <w:rsid w:val="00B07CCB"/>
    <w:rsid w:val="00B103F2"/>
    <w:rsid w:val="00B1063D"/>
    <w:rsid w:val="00B10C8B"/>
    <w:rsid w:val="00B13D26"/>
    <w:rsid w:val="00B14286"/>
    <w:rsid w:val="00B150EA"/>
    <w:rsid w:val="00B15239"/>
    <w:rsid w:val="00B178D9"/>
    <w:rsid w:val="00B27F3E"/>
    <w:rsid w:val="00B30DFB"/>
    <w:rsid w:val="00B35DB3"/>
    <w:rsid w:val="00B3602F"/>
    <w:rsid w:val="00B36057"/>
    <w:rsid w:val="00B37010"/>
    <w:rsid w:val="00B379E5"/>
    <w:rsid w:val="00B4415E"/>
    <w:rsid w:val="00B445DD"/>
    <w:rsid w:val="00B46C69"/>
    <w:rsid w:val="00B5033F"/>
    <w:rsid w:val="00B52A91"/>
    <w:rsid w:val="00B541D7"/>
    <w:rsid w:val="00B62C4D"/>
    <w:rsid w:val="00B65ED7"/>
    <w:rsid w:val="00B66640"/>
    <w:rsid w:val="00B67F59"/>
    <w:rsid w:val="00B73726"/>
    <w:rsid w:val="00B7379E"/>
    <w:rsid w:val="00B7665A"/>
    <w:rsid w:val="00B81A11"/>
    <w:rsid w:val="00B8207C"/>
    <w:rsid w:val="00B82E20"/>
    <w:rsid w:val="00B83379"/>
    <w:rsid w:val="00B8700C"/>
    <w:rsid w:val="00B94DDC"/>
    <w:rsid w:val="00BA1A3D"/>
    <w:rsid w:val="00BA2A9E"/>
    <w:rsid w:val="00BA3446"/>
    <w:rsid w:val="00BB026F"/>
    <w:rsid w:val="00BB1979"/>
    <w:rsid w:val="00BB300E"/>
    <w:rsid w:val="00BB3654"/>
    <w:rsid w:val="00BB40DF"/>
    <w:rsid w:val="00BB531C"/>
    <w:rsid w:val="00BC478B"/>
    <w:rsid w:val="00BC76F8"/>
    <w:rsid w:val="00BD0447"/>
    <w:rsid w:val="00BD5BBB"/>
    <w:rsid w:val="00BE07F0"/>
    <w:rsid w:val="00BE0943"/>
    <w:rsid w:val="00BE1974"/>
    <w:rsid w:val="00BE313F"/>
    <w:rsid w:val="00BE730A"/>
    <w:rsid w:val="00BE7CAC"/>
    <w:rsid w:val="00BF6523"/>
    <w:rsid w:val="00BF65E0"/>
    <w:rsid w:val="00C00A7D"/>
    <w:rsid w:val="00C0218D"/>
    <w:rsid w:val="00C025BB"/>
    <w:rsid w:val="00C05A87"/>
    <w:rsid w:val="00C060F1"/>
    <w:rsid w:val="00C10691"/>
    <w:rsid w:val="00C10E63"/>
    <w:rsid w:val="00C12DC2"/>
    <w:rsid w:val="00C14213"/>
    <w:rsid w:val="00C22098"/>
    <w:rsid w:val="00C22159"/>
    <w:rsid w:val="00C222E9"/>
    <w:rsid w:val="00C263CA"/>
    <w:rsid w:val="00C26FFF"/>
    <w:rsid w:val="00C3008B"/>
    <w:rsid w:val="00C321DC"/>
    <w:rsid w:val="00C33CE1"/>
    <w:rsid w:val="00C340E0"/>
    <w:rsid w:val="00C34368"/>
    <w:rsid w:val="00C37A7B"/>
    <w:rsid w:val="00C41B47"/>
    <w:rsid w:val="00C42726"/>
    <w:rsid w:val="00C42A27"/>
    <w:rsid w:val="00C44F48"/>
    <w:rsid w:val="00C47077"/>
    <w:rsid w:val="00C47F4A"/>
    <w:rsid w:val="00C50D23"/>
    <w:rsid w:val="00C54EDD"/>
    <w:rsid w:val="00C55A13"/>
    <w:rsid w:val="00C60EDF"/>
    <w:rsid w:val="00C61B6D"/>
    <w:rsid w:val="00C643EC"/>
    <w:rsid w:val="00C66474"/>
    <w:rsid w:val="00C72608"/>
    <w:rsid w:val="00C72F10"/>
    <w:rsid w:val="00C73AAE"/>
    <w:rsid w:val="00C76A3B"/>
    <w:rsid w:val="00C77033"/>
    <w:rsid w:val="00C83B40"/>
    <w:rsid w:val="00C84297"/>
    <w:rsid w:val="00C8518C"/>
    <w:rsid w:val="00C852C5"/>
    <w:rsid w:val="00C86F76"/>
    <w:rsid w:val="00C87ECB"/>
    <w:rsid w:val="00C90A26"/>
    <w:rsid w:val="00C91312"/>
    <w:rsid w:val="00C91F8F"/>
    <w:rsid w:val="00C92D78"/>
    <w:rsid w:val="00C95EB7"/>
    <w:rsid w:val="00C96E60"/>
    <w:rsid w:val="00C97006"/>
    <w:rsid w:val="00C9770D"/>
    <w:rsid w:val="00CA079A"/>
    <w:rsid w:val="00CA33EF"/>
    <w:rsid w:val="00CA374D"/>
    <w:rsid w:val="00CA3947"/>
    <w:rsid w:val="00CA3EEE"/>
    <w:rsid w:val="00CA62AE"/>
    <w:rsid w:val="00CA647F"/>
    <w:rsid w:val="00CB4D5B"/>
    <w:rsid w:val="00CB65E1"/>
    <w:rsid w:val="00CB7B18"/>
    <w:rsid w:val="00CC3613"/>
    <w:rsid w:val="00CC3EF3"/>
    <w:rsid w:val="00CC5EE1"/>
    <w:rsid w:val="00CD0C19"/>
    <w:rsid w:val="00CD0F9C"/>
    <w:rsid w:val="00CD2956"/>
    <w:rsid w:val="00CD6C44"/>
    <w:rsid w:val="00CE2305"/>
    <w:rsid w:val="00CF296D"/>
    <w:rsid w:val="00CF34F6"/>
    <w:rsid w:val="00CF62EF"/>
    <w:rsid w:val="00D011A3"/>
    <w:rsid w:val="00D01BC4"/>
    <w:rsid w:val="00D05636"/>
    <w:rsid w:val="00D07D53"/>
    <w:rsid w:val="00D105BA"/>
    <w:rsid w:val="00D138CF"/>
    <w:rsid w:val="00D13FF2"/>
    <w:rsid w:val="00D16219"/>
    <w:rsid w:val="00D16CED"/>
    <w:rsid w:val="00D2390F"/>
    <w:rsid w:val="00D27FA7"/>
    <w:rsid w:val="00D35B63"/>
    <w:rsid w:val="00D37F1C"/>
    <w:rsid w:val="00D41653"/>
    <w:rsid w:val="00D41794"/>
    <w:rsid w:val="00D420A7"/>
    <w:rsid w:val="00D422F0"/>
    <w:rsid w:val="00D46AC6"/>
    <w:rsid w:val="00D4742D"/>
    <w:rsid w:val="00D5024D"/>
    <w:rsid w:val="00D51085"/>
    <w:rsid w:val="00D521D6"/>
    <w:rsid w:val="00D52E08"/>
    <w:rsid w:val="00D538BB"/>
    <w:rsid w:val="00D5421B"/>
    <w:rsid w:val="00D547B4"/>
    <w:rsid w:val="00D62EC2"/>
    <w:rsid w:val="00D63F5C"/>
    <w:rsid w:val="00D703AB"/>
    <w:rsid w:val="00D70919"/>
    <w:rsid w:val="00D70F58"/>
    <w:rsid w:val="00D74430"/>
    <w:rsid w:val="00D7535A"/>
    <w:rsid w:val="00D82042"/>
    <w:rsid w:val="00D827EC"/>
    <w:rsid w:val="00D82FDD"/>
    <w:rsid w:val="00D85043"/>
    <w:rsid w:val="00D864BF"/>
    <w:rsid w:val="00D86D82"/>
    <w:rsid w:val="00DA2B43"/>
    <w:rsid w:val="00DA3D11"/>
    <w:rsid w:val="00DA44F9"/>
    <w:rsid w:val="00DA6924"/>
    <w:rsid w:val="00DB1CF1"/>
    <w:rsid w:val="00DB1EDF"/>
    <w:rsid w:val="00DB2BC8"/>
    <w:rsid w:val="00DB4963"/>
    <w:rsid w:val="00DB5B51"/>
    <w:rsid w:val="00DB796A"/>
    <w:rsid w:val="00DC011F"/>
    <w:rsid w:val="00DC02CA"/>
    <w:rsid w:val="00DC1D6E"/>
    <w:rsid w:val="00DC493F"/>
    <w:rsid w:val="00DC5EFD"/>
    <w:rsid w:val="00DD1E32"/>
    <w:rsid w:val="00DD2957"/>
    <w:rsid w:val="00DD31BB"/>
    <w:rsid w:val="00DD4703"/>
    <w:rsid w:val="00DD4E9A"/>
    <w:rsid w:val="00DD62F4"/>
    <w:rsid w:val="00DE191D"/>
    <w:rsid w:val="00DE4F63"/>
    <w:rsid w:val="00DF0CCF"/>
    <w:rsid w:val="00DF30FF"/>
    <w:rsid w:val="00DF430D"/>
    <w:rsid w:val="00DF72D7"/>
    <w:rsid w:val="00DF7E8F"/>
    <w:rsid w:val="00E01CE6"/>
    <w:rsid w:val="00E02376"/>
    <w:rsid w:val="00E049DC"/>
    <w:rsid w:val="00E06B61"/>
    <w:rsid w:val="00E06D2A"/>
    <w:rsid w:val="00E0769E"/>
    <w:rsid w:val="00E07CF3"/>
    <w:rsid w:val="00E1017C"/>
    <w:rsid w:val="00E15111"/>
    <w:rsid w:val="00E21B95"/>
    <w:rsid w:val="00E24638"/>
    <w:rsid w:val="00E25D41"/>
    <w:rsid w:val="00E274C6"/>
    <w:rsid w:val="00E33449"/>
    <w:rsid w:val="00E33A86"/>
    <w:rsid w:val="00E37F45"/>
    <w:rsid w:val="00E411A9"/>
    <w:rsid w:val="00E452B4"/>
    <w:rsid w:val="00E465DA"/>
    <w:rsid w:val="00E466B5"/>
    <w:rsid w:val="00E51FA3"/>
    <w:rsid w:val="00E52724"/>
    <w:rsid w:val="00E56B4E"/>
    <w:rsid w:val="00E60074"/>
    <w:rsid w:val="00E61C21"/>
    <w:rsid w:val="00E62BD9"/>
    <w:rsid w:val="00E63538"/>
    <w:rsid w:val="00E635B3"/>
    <w:rsid w:val="00E66CD4"/>
    <w:rsid w:val="00E70BAF"/>
    <w:rsid w:val="00E732D6"/>
    <w:rsid w:val="00E765FB"/>
    <w:rsid w:val="00E77FDF"/>
    <w:rsid w:val="00E815D7"/>
    <w:rsid w:val="00E830EF"/>
    <w:rsid w:val="00E8441A"/>
    <w:rsid w:val="00E84A9F"/>
    <w:rsid w:val="00E85287"/>
    <w:rsid w:val="00E858DC"/>
    <w:rsid w:val="00E85C15"/>
    <w:rsid w:val="00E85F42"/>
    <w:rsid w:val="00E864E4"/>
    <w:rsid w:val="00E911EC"/>
    <w:rsid w:val="00EA0538"/>
    <w:rsid w:val="00EA2D5D"/>
    <w:rsid w:val="00EA4D69"/>
    <w:rsid w:val="00EB0688"/>
    <w:rsid w:val="00EB1991"/>
    <w:rsid w:val="00EB1E01"/>
    <w:rsid w:val="00EB3642"/>
    <w:rsid w:val="00EB3C11"/>
    <w:rsid w:val="00EB44CC"/>
    <w:rsid w:val="00EB73ED"/>
    <w:rsid w:val="00EB7882"/>
    <w:rsid w:val="00EC06B5"/>
    <w:rsid w:val="00EC105D"/>
    <w:rsid w:val="00EC4A2F"/>
    <w:rsid w:val="00ED1A0A"/>
    <w:rsid w:val="00ED2CE6"/>
    <w:rsid w:val="00ED338B"/>
    <w:rsid w:val="00ED4C75"/>
    <w:rsid w:val="00ED57CD"/>
    <w:rsid w:val="00ED6C83"/>
    <w:rsid w:val="00EE0223"/>
    <w:rsid w:val="00EE14CC"/>
    <w:rsid w:val="00EE16D6"/>
    <w:rsid w:val="00EE2731"/>
    <w:rsid w:val="00EE374D"/>
    <w:rsid w:val="00EE7E81"/>
    <w:rsid w:val="00EF28A4"/>
    <w:rsid w:val="00EF28B9"/>
    <w:rsid w:val="00EF40F6"/>
    <w:rsid w:val="00EF6D3E"/>
    <w:rsid w:val="00EF73D4"/>
    <w:rsid w:val="00F00F8D"/>
    <w:rsid w:val="00F0493E"/>
    <w:rsid w:val="00F05A10"/>
    <w:rsid w:val="00F06927"/>
    <w:rsid w:val="00F12241"/>
    <w:rsid w:val="00F140AC"/>
    <w:rsid w:val="00F148B4"/>
    <w:rsid w:val="00F165A8"/>
    <w:rsid w:val="00F20C65"/>
    <w:rsid w:val="00F21C96"/>
    <w:rsid w:val="00F22391"/>
    <w:rsid w:val="00F23EA4"/>
    <w:rsid w:val="00F26AAD"/>
    <w:rsid w:val="00F26E15"/>
    <w:rsid w:val="00F30CEB"/>
    <w:rsid w:val="00F35179"/>
    <w:rsid w:val="00F37112"/>
    <w:rsid w:val="00F40165"/>
    <w:rsid w:val="00F40F73"/>
    <w:rsid w:val="00F41D2E"/>
    <w:rsid w:val="00F4614B"/>
    <w:rsid w:val="00F52069"/>
    <w:rsid w:val="00F57DCF"/>
    <w:rsid w:val="00F6086A"/>
    <w:rsid w:val="00F623C3"/>
    <w:rsid w:val="00F65053"/>
    <w:rsid w:val="00F66D85"/>
    <w:rsid w:val="00F67B26"/>
    <w:rsid w:val="00F67BFC"/>
    <w:rsid w:val="00F67D4D"/>
    <w:rsid w:val="00F74284"/>
    <w:rsid w:val="00F74E42"/>
    <w:rsid w:val="00F752F3"/>
    <w:rsid w:val="00F804BA"/>
    <w:rsid w:val="00F84A4B"/>
    <w:rsid w:val="00F84E48"/>
    <w:rsid w:val="00F86B4B"/>
    <w:rsid w:val="00F8761E"/>
    <w:rsid w:val="00F91FD2"/>
    <w:rsid w:val="00F922E0"/>
    <w:rsid w:val="00F9497A"/>
    <w:rsid w:val="00FA1548"/>
    <w:rsid w:val="00FA324A"/>
    <w:rsid w:val="00FA3E66"/>
    <w:rsid w:val="00FA41AF"/>
    <w:rsid w:val="00FA5EEB"/>
    <w:rsid w:val="00FA6752"/>
    <w:rsid w:val="00FB16B2"/>
    <w:rsid w:val="00FB46EA"/>
    <w:rsid w:val="00FB4A96"/>
    <w:rsid w:val="00FC1196"/>
    <w:rsid w:val="00FC26DE"/>
    <w:rsid w:val="00FC41F3"/>
    <w:rsid w:val="00FC4907"/>
    <w:rsid w:val="00FC5565"/>
    <w:rsid w:val="00FC5B6B"/>
    <w:rsid w:val="00FC6651"/>
    <w:rsid w:val="00FD49DE"/>
    <w:rsid w:val="00FE3047"/>
    <w:rsid w:val="00FE3A60"/>
    <w:rsid w:val="00FE53BF"/>
    <w:rsid w:val="00FE5CD0"/>
    <w:rsid w:val="00FF1D18"/>
    <w:rsid w:val="00FF209E"/>
    <w:rsid w:val="00FF3AEF"/>
    <w:rsid w:val="00FF5975"/>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D3"/>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0117D3"/>
    <w:pPr>
      <w:keepNext/>
      <w:jc w:val="center"/>
      <w:outlineLvl w:val="0"/>
    </w:pPr>
    <w:rPr>
      <w:b/>
    </w:rPr>
  </w:style>
  <w:style w:type="paragraph" w:styleId="Heading2">
    <w:name w:val="heading 2"/>
    <w:basedOn w:val="Normal"/>
    <w:next w:val="Normal"/>
    <w:link w:val="Heading2Char"/>
    <w:qFormat/>
    <w:rsid w:val="000117D3"/>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7D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0117D3"/>
    <w:rPr>
      <w:rFonts w:ascii="Times New Roman" w:eastAsia="Times New Roman" w:hAnsi="Times New Roman" w:cs="Times New Roman"/>
      <w:b/>
      <w:sz w:val="28"/>
      <w:szCs w:val="20"/>
    </w:rPr>
  </w:style>
  <w:style w:type="paragraph" w:styleId="Title">
    <w:name w:val="Title"/>
    <w:basedOn w:val="Normal"/>
    <w:link w:val="TitleChar"/>
    <w:qFormat/>
    <w:rsid w:val="000117D3"/>
    <w:pPr>
      <w:jc w:val="center"/>
    </w:pPr>
    <w:rPr>
      <w:b/>
    </w:rPr>
  </w:style>
  <w:style w:type="character" w:customStyle="1" w:styleId="TitleChar">
    <w:name w:val="Title Char"/>
    <w:basedOn w:val="DefaultParagraphFont"/>
    <w:link w:val="Title"/>
    <w:rsid w:val="000117D3"/>
    <w:rPr>
      <w:rFonts w:ascii="Times New Roman" w:eastAsia="Times New Roman" w:hAnsi="Times New Roman" w:cs="Times New Roman"/>
      <w:b/>
      <w:sz w:val="26"/>
      <w:szCs w:val="20"/>
    </w:rPr>
  </w:style>
  <w:style w:type="table" w:styleId="TableGrid">
    <w:name w:val="Table Grid"/>
    <w:basedOn w:val="TableNormal"/>
    <w:uiPriority w:val="59"/>
    <w:rsid w:val="006B55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A1211"/>
    <w:rPr>
      <w:sz w:val="20"/>
    </w:rPr>
  </w:style>
  <w:style w:type="character" w:customStyle="1" w:styleId="FootnoteTextChar">
    <w:name w:val="Footnote Text Char"/>
    <w:basedOn w:val="DefaultParagraphFont"/>
    <w:link w:val="FootnoteText"/>
    <w:uiPriority w:val="99"/>
    <w:semiHidden/>
    <w:rsid w:val="005A12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1211"/>
    <w:rPr>
      <w:vertAlign w:val="superscript"/>
    </w:rPr>
  </w:style>
  <w:style w:type="paragraph" w:customStyle="1" w:styleId="ParaTab1">
    <w:name w:val="ParaTab 1"/>
    <w:rsid w:val="003E2D6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rsid w:val="007124EF"/>
    <w:rPr>
      <w:color w:val="0000FF"/>
      <w:u w:val="single"/>
    </w:rPr>
  </w:style>
  <w:style w:type="character" w:customStyle="1" w:styleId="term1">
    <w:name w:val="term1"/>
    <w:basedOn w:val="DefaultParagraphFont"/>
    <w:rsid w:val="007124EF"/>
    <w:rPr>
      <w:b/>
      <w:bCs/>
    </w:rPr>
  </w:style>
  <w:style w:type="paragraph" w:styleId="BalloonText">
    <w:name w:val="Balloon Text"/>
    <w:basedOn w:val="Normal"/>
    <w:link w:val="BalloonTextChar"/>
    <w:uiPriority w:val="99"/>
    <w:semiHidden/>
    <w:unhideWhenUsed/>
    <w:rsid w:val="00817E92"/>
    <w:rPr>
      <w:rFonts w:ascii="Tahoma" w:hAnsi="Tahoma" w:cs="Tahoma"/>
      <w:sz w:val="16"/>
      <w:szCs w:val="16"/>
    </w:rPr>
  </w:style>
  <w:style w:type="character" w:customStyle="1" w:styleId="BalloonTextChar">
    <w:name w:val="Balloon Text Char"/>
    <w:basedOn w:val="DefaultParagraphFont"/>
    <w:link w:val="BalloonText"/>
    <w:uiPriority w:val="99"/>
    <w:semiHidden/>
    <w:rsid w:val="00817E92"/>
    <w:rPr>
      <w:rFonts w:ascii="Tahoma" w:eastAsia="Times New Roman" w:hAnsi="Tahoma" w:cs="Tahoma"/>
      <w:sz w:val="16"/>
      <w:szCs w:val="16"/>
    </w:rPr>
  </w:style>
  <w:style w:type="paragraph" w:styleId="Header">
    <w:name w:val="header"/>
    <w:basedOn w:val="Normal"/>
    <w:link w:val="HeaderChar"/>
    <w:uiPriority w:val="99"/>
    <w:unhideWhenUsed/>
    <w:rsid w:val="00D420A7"/>
    <w:pPr>
      <w:tabs>
        <w:tab w:val="center" w:pos="4680"/>
        <w:tab w:val="right" w:pos="9360"/>
      </w:tabs>
    </w:pPr>
  </w:style>
  <w:style w:type="character" w:customStyle="1" w:styleId="HeaderChar">
    <w:name w:val="Header Char"/>
    <w:basedOn w:val="DefaultParagraphFont"/>
    <w:link w:val="Header"/>
    <w:uiPriority w:val="99"/>
    <w:rsid w:val="00D420A7"/>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D420A7"/>
    <w:pPr>
      <w:tabs>
        <w:tab w:val="center" w:pos="4680"/>
        <w:tab w:val="right" w:pos="9360"/>
      </w:tabs>
    </w:pPr>
  </w:style>
  <w:style w:type="character" w:customStyle="1" w:styleId="FooterChar">
    <w:name w:val="Footer Char"/>
    <w:basedOn w:val="DefaultParagraphFont"/>
    <w:link w:val="Footer"/>
    <w:uiPriority w:val="99"/>
    <w:rsid w:val="00D420A7"/>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D3"/>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0117D3"/>
    <w:pPr>
      <w:keepNext/>
      <w:jc w:val="center"/>
      <w:outlineLvl w:val="0"/>
    </w:pPr>
    <w:rPr>
      <w:b/>
    </w:rPr>
  </w:style>
  <w:style w:type="paragraph" w:styleId="Heading2">
    <w:name w:val="heading 2"/>
    <w:basedOn w:val="Normal"/>
    <w:next w:val="Normal"/>
    <w:link w:val="Heading2Char"/>
    <w:qFormat/>
    <w:rsid w:val="000117D3"/>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7D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0117D3"/>
    <w:rPr>
      <w:rFonts w:ascii="Times New Roman" w:eastAsia="Times New Roman" w:hAnsi="Times New Roman" w:cs="Times New Roman"/>
      <w:b/>
      <w:sz w:val="28"/>
      <w:szCs w:val="20"/>
    </w:rPr>
  </w:style>
  <w:style w:type="paragraph" w:styleId="Title">
    <w:name w:val="Title"/>
    <w:basedOn w:val="Normal"/>
    <w:link w:val="TitleChar"/>
    <w:qFormat/>
    <w:rsid w:val="000117D3"/>
    <w:pPr>
      <w:jc w:val="center"/>
    </w:pPr>
    <w:rPr>
      <w:b/>
    </w:rPr>
  </w:style>
  <w:style w:type="character" w:customStyle="1" w:styleId="TitleChar">
    <w:name w:val="Title Char"/>
    <w:basedOn w:val="DefaultParagraphFont"/>
    <w:link w:val="Title"/>
    <w:rsid w:val="000117D3"/>
    <w:rPr>
      <w:rFonts w:ascii="Times New Roman" w:eastAsia="Times New Roman" w:hAnsi="Times New Roman" w:cs="Times New Roman"/>
      <w:b/>
      <w:sz w:val="26"/>
      <w:szCs w:val="20"/>
    </w:rPr>
  </w:style>
  <w:style w:type="table" w:styleId="TableGrid">
    <w:name w:val="Table Grid"/>
    <w:basedOn w:val="TableNormal"/>
    <w:uiPriority w:val="59"/>
    <w:rsid w:val="006B55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A1211"/>
    <w:rPr>
      <w:sz w:val="20"/>
    </w:rPr>
  </w:style>
  <w:style w:type="character" w:customStyle="1" w:styleId="FootnoteTextChar">
    <w:name w:val="Footnote Text Char"/>
    <w:basedOn w:val="DefaultParagraphFont"/>
    <w:link w:val="FootnoteText"/>
    <w:uiPriority w:val="99"/>
    <w:semiHidden/>
    <w:rsid w:val="005A12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1211"/>
    <w:rPr>
      <w:vertAlign w:val="superscript"/>
    </w:rPr>
  </w:style>
  <w:style w:type="paragraph" w:customStyle="1" w:styleId="ParaTab1">
    <w:name w:val="ParaTab 1"/>
    <w:rsid w:val="003E2D6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rsid w:val="007124EF"/>
    <w:rPr>
      <w:color w:val="0000FF"/>
      <w:u w:val="single"/>
    </w:rPr>
  </w:style>
  <w:style w:type="character" w:customStyle="1" w:styleId="term1">
    <w:name w:val="term1"/>
    <w:basedOn w:val="DefaultParagraphFont"/>
    <w:rsid w:val="007124EF"/>
    <w:rPr>
      <w:b/>
      <w:bCs/>
    </w:rPr>
  </w:style>
  <w:style w:type="paragraph" w:styleId="BalloonText">
    <w:name w:val="Balloon Text"/>
    <w:basedOn w:val="Normal"/>
    <w:link w:val="BalloonTextChar"/>
    <w:uiPriority w:val="99"/>
    <w:semiHidden/>
    <w:unhideWhenUsed/>
    <w:rsid w:val="00817E92"/>
    <w:rPr>
      <w:rFonts w:ascii="Tahoma" w:hAnsi="Tahoma" w:cs="Tahoma"/>
      <w:sz w:val="16"/>
      <w:szCs w:val="16"/>
    </w:rPr>
  </w:style>
  <w:style w:type="character" w:customStyle="1" w:styleId="BalloonTextChar">
    <w:name w:val="Balloon Text Char"/>
    <w:basedOn w:val="DefaultParagraphFont"/>
    <w:link w:val="BalloonText"/>
    <w:uiPriority w:val="99"/>
    <w:semiHidden/>
    <w:rsid w:val="00817E92"/>
    <w:rPr>
      <w:rFonts w:ascii="Tahoma" w:eastAsia="Times New Roman" w:hAnsi="Tahoma" w:cs="Tahoma"/>
      <w:sz w:val="16"/>
      <w:szCs w:val="16"/>
    </w:rPr>
  </w:style>
  <w:style w:type="paragraph" w:styleId="Header">
    <w:name w:val="header"/>
    <w:basedOn w:val="Normal"/>
    <w:link w:val="HeaderChar"/>
    <w:uiPriority w:val="99"/>
    <w:unhideWhenUsed/>
    <w:rsid w:val="00D420A7"/>
    <w:pPr>
      <w:tabs>
        <w:tab w:val="center" w:pos="4680"/>
        <w:tab w:val="right" w:pos="9360"/>
      </w:tabs>
    </w:pPr>
  </w:style>
  <w:style w:type="character" w:customStyle="1" w:styleId="HeaderChar">
    <w:name w:val="Header Char"/>
    <w:basedOn w:val="DefaultParagraphFont"/>
    <w:link w:val="Header"/>
    <w:uiPriority w:val="99"/>
    <w:rsid w:val="00D420A7"/>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D420A7"/>
    <w:pPr>
      <w:tabs>
        <w:tab w:val="center" w:pos="4680"/>
        <w:tab w:val="right" w:pos="9360"/>
      </w:tabs>
    </w:pPr>
  </w:style>
  <w:style w:type="character" w:customStyle="1" w:styleId="FooterChar">
    <w:name w:val="Footer Char"/>
    <w:basedOn w:val="DefaultParagraphFont"/>
    <w:link w:val="Footer"/>
    <w:uiPriority w:val="99"/>
    <w:rsid w:val="00D420A7"/>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924">
      <w:bodyDiv w:val="1"/>
      <w:marLeft w:val="0"/>
      <w:marRight w:val="0"/>
      <w:marTop w:val="0"/>
      <w:marBottom w:val="0"/>
      <w:divBdr>
        <w:top w:val="none" w:sz="0" w:space="0" w:color="auto"/>
        <w:left w:val="none" w:sz="0" w:space="0" w:color="auto"/>
        <w:bottom w:val="none" w:sz="0" w:space="0" w:color="auto"/>
        <w:right w:val="none" w:sz="0" w:space="0" w:color="auto"/>
      </w:divBdr>
    </w:div>
    <w:div w:id="524289779">
      <w:bodyDiv w:val="1"/>
      <w:marLeft w:val="0"/>
      <w:marRight w:val="0"/>
      <w:marTop w:val="0"/>
      <w:marBottom w:val="0"/>
      <w:divBdr>
        <w:top w:val="none" w:sz="0" w:space="0" w:color="auto"/>
        <w:left w:val="none" w:sz="0" w:space="0" w:color="auto"/>
        <w:bottom w:val="none" w:sz="0" w:space="0" w:color="auto"/>
        <w:right w:val="none" w:sz="0" w:space="0" w:color="auto"/>
      </w:divBdr>
    </w:div>
    <w:div w:id="547453207">
      <w:bodyDiv w:val="1"/>
      <w:marLeft w:val="0"/>
      <w:marRight w:val="0"/>
      <w:marTop w:val="0"/>
      <w:marBottom w:val="0"/>
      <w:divBdr>
        <w:top w:val="none" w:sz="0" w:space="0" w:color="auto"/>
        <w:left w:val="none" w:sz="0" w:space="0" w:color="auto"/>
        <w:bottom w:val="none" w:sz="0" w:space="0" w:color="auto"/>
        <w:right w:val="none" w:sz="0" w:space="0" w:color="auto"/>
      </w:divBdr>
    </w:div>
    <w:div w:id="1084647378">
      <w:bodyDiv w:val="1"/>
      <w:marLeft w:val="0"/>
      <w:marRight w:val="0"/>
      <w:marTop w:val="0"/>
      <w:marBottom w:val="0"/>
      <w:divBdr>
        <w:top w:val="none" w:sz="0" w:space="0" w:color="auto"/>
        <w:left w:val="none" w:sz="0" w:space="0" w:color="auto"/>
        <w:bottom w:val="none" w:sz="0" w:space="0" w:color="auto"/>
        <w:right w:val="none" w:sz="0" w:space="0" w:color="auto"/>
      </w:divBdr>
    </w:div>
    <w:div w:id="1720856384">
      <w:bodyDiv w:val="1"/>
      <w:marLeft w:val="0"/>
      <w:marRight w:val="0"/>
      <w:marTop w:val="0"/>
      <w:marBottom w:val="0"/>
      <w:divBdr>
        <w:top w:val="none" w:sz="0" w:space="0" w:color="auto"/>
        <w:left w:val="none" w:sz="0" w:space="0" w:color="auto"/>
        <w:bottom w:val="none" w:sz="0" w:space="0" w:color="auto"/>
        <w:right w:val="none" w:sz="0" w:space="0" w:color="auto"/>
      </w:divBdr>
    </w:div>
    <w:div w:id="17557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E043-22CA-40B7-B75C-98EFC682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3</cp:revision>
  <cp:lastPrinted>2015-08-20T16:48:00Z</cp:lastPrinted>
  <dcterms:created xsi:type="dcterms:W3CDTF">2015-08-19T13:08:00Z</dcterms:created>
  <dcterms:modified xsi:type="dcterms:W3CDTF">2015-08-20T16:48:00Z</dcterms:modified>
</cp:coreProperties>
</file>