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BE7" w:rsidRDefault="00935BE7" w:rsidP="00935BE7">
      <w:pPr>
        <w:tabs>
          <w:tab w:val="left" w:pos="720"/>
        </w:tabs>
        <w:autoSpaceDE w:val="0"/>
        <w:autoSpaceDN w:val="0"/>
        <w:spacing w:after="0" w:line="240" w:lineRule="auto"/>
        <w:jc w:val="center"/>
        <w:rPr>
          <w:rFonts w:cs="CG Times (W1)"/>
          <w:b/>
          <w:szCs w:val="24"/>
        </w:rPr>
      </w:pPr>
      <w:bookmarkStart w:id="0" w:name="_GoBack"/>
      <w:bookmarkEnd w:id="0"/>
      <w:r>
        <w:rPr>
          <w:rFonts w:cs="CG Times (W1)"/>
          <w:b/>
          <w:szCs w:val="24"/>
        </w:rPr>
        <w:t>BEFORE THE</w:t>
      </w:r>
    </w:p>
    <w:p w:rsidR="00935BE7" w:rsidRDefault="00935BE7" w:rsidP="00935BE7">
      <w:pPr>
        <w:tabs>
          <w:tab w:val="left" w:pos="720"/>
        </w:tabs>
        <w:autoSpaceDE w:val="0"/>
        <w:autoSpaceDN w:val="0"/>
        <w:spacing w:after="0" w:line="240" w:lineRule="auto"/>
        <w:jc w:val="center"/>
        <w:rPr>
          <w:rFonts w:cs="CG Times (W1)"/>
          <w:b/>
          <w:szCs w:val="24"/>
        </w:rPr>
      </w:pPr>
      <w:r>
        <w:rPr>
          <w:rFonts w:cs="CG Times (W1)"/>
          <w:b/>
          <w:szCs w:val="24"/>
        </w:rPr>
        <w:t>PENNSYLVANIA PUBLIC UTILITY COMMISSION</w:t>
      </w:r>
    </w:p>
    <w:p w:rsidR="00935BE7" w:rsidRDefault="00935BE7" w:rsidP="00935BE7">
      <w:pPr>
        <w:tabs>
          <w:tab w:val="left" w:pos="720"/>
        </w:tabs>
        <w:autoSpaceDE w:val="0"/>
        <w:autoSpaceDN w:val="0"/>
        <w:spacing w:after="0" w:line="240" w:lineRule="auto"/>
        <w:rPr>
          <w:rFonts w:cs="CG Times (W1)"/>
          <w:b/>
          <w:szCs w:val="24"/>
        </w:rPr>
      </w:pPr>
    </w:p>
    <w:p w:rsidR="00935BE7" w:rsidRDefault="00935BE7" w:rsidP="00935BE7">
      <w:pPr>
        <w:tabs>
          <w:tab w:val="left" w:pos="720"/>
        </w:tabs>
        <w:autoSpaceDE w:val="0"/>
        <w:autoSpaceDN w:val="0"/>
        <w:spacing w:after="0" w:line="240" w:lineRule="auto"/>
        <w:rPr>
          <w:rFonts w:cs="CG Times (W1)"/>
          <w:b/>
          <w:szCs w:val="24"/>
        </w:rPr>
      </w:pPr>
    </w:p>
    <w:p w:rsidR="00935BE7" w:rsidRDefault="00935BE7" w:rsidP="00935BE7">
      <w:pPr>
        <w:tabs>
          <w:tab w:val="left" w:pos="720"/>
        </w:tabs>
        <w:autoSpaceDE w:val="0"/>
        <w:autoSpaceDN w:val="0"/>
        <w:spacing w:after="0" w:line="240" w:lineRule="auto"/>
        <w:rPr>
          <w:rFonts w:cs="CG Times (W1)"/>
          <w:szCs w:val="24"/>
        </w:rPr>
      </w:pPr>
    </w:p>
    <w:p w:rsidR="00935BE7" w:rsidRDefault="00935BE7" w:rsidP="00935BE7">
      <w:pPr>
        <w:tabs>
          <w:tab w:val="left" w:pos="720"/>
        </w:tabs>
        <w:autoSpaceDE w:val="0"/>
        <w:autoSpaceDN w:val="0"/>
        <w:spacing w:after="0" w:line="240" w:lineRule="auto"/>
        <w:rPr>
          <w:rFonts w:cs="CG Times (W1)"/>
          <w:szCs w:val="24"/>
        </w:rPr>
      </w:pPr>
      <w:r>
        <w:rPr>
          <w:rFonts w:cs="CG Times (W1)"/>
          <w:szCs w:val="24"/>
        </w:rPr>
        <w:t>Lavoris Mintz</w:t>
      </w:r>
      <w:r>
        <w:rPr>
          <w:rFonts w:cs="CG Times (W1)"/>
          <w:szCs w:val="24"/>
        </w:rPr>
        <w:tab/>
      </w:r>
      <w:r>
        <w:rPr>
          <w:rFonts w:cs="CG Times (W1)"/>
          <w:szCs w:val="24"/>
        </w:rPr>
        <w:tab/>
        <w:t xml:space="preserve"> </w:t>
      </w:r>
      <w:r>
        <w:rPr>
          <w:rFonts w:cs="CG Times (W1)"/>
          <w:szCs w:val="24"/>
        </w:rPr>
        <w:tab/>
      </w:r>
      <w:r>
        <w:rPr>
          <w:rFonts w:cs="CG Times (W1)"/>
          <w:szCs w:val="24"/>
        </w:rPr>
        <w:tab/>
      </w:r>
      <w:r>
        <w:rPr>
          <w:rFonts w:cs="CG Times (W1)"/>
          <w:szCs w:val="24"/>
        </w:rPr>
        <w:tab/>
      </w:r>
      <w:r>
        <w:rPr>
          <w:rFonts w:cs="CG Times (W1)"/>
          <w:szCs w:val="24"/>
        </w:rPr>
        <w:tab/>
        <w:t>:</w:t>
      </w:r>
    </w:p>
    <w:p w:rsidR="00935BE7" w:rsidRDefault="00935BE7" w:rsidP="00935BE7">
      <w:pPr>
        <w:tabs>
          <w:tab w:val="left" w:pos="720"/>
        </w:tabs>
        <w:autoSpaceDE w:val="0"/>
        <w:autoSpaceDN w:val="0"/>
        <w:spacing w:after="0" w:line="240" w:lineRule="auto"/>
        <w:ind w:left="4320" w:firstLine="720"/>
        <w:rPr>
          <w:rFonts w:cs="CG Times (W1)"/>
          <w:szCs w:val="24"/>
        </w:rPr>
      </w:pPr>
      <w:r>
        <w:rPr>
          <w:rFonts w:cs="CG Times (W1)"/>
          <w:szCs w:val="24"/>
        </w:rPr>
        <w:t>:</w:t>
      </w:r>
    </w:p>
    <w:p w:rsidR="00935BE7" w:rsidRDefault="00935BE7" w:rsidP="00935BE7">
      <w:pPr>
        <w:tabs>
          <w:tab w:val="left" w:pos="720"/>
        </w:tabs>
        <w:autoSpaceDE w:val="0"/>
        <w:autoSpaceDN w:val="0"/>
        <w:spacing w:after="0" w:line="240" w:lineRule="auto"/>
        <w:ind w:left="720" w:hanging="720"/>
        <w:rPr>
          <w:rFonts w:cs="CG Times (W1)"/>
          <w:szCs w:val="24"/>
        </w:rPr>
      </w:pPr>
      <w:r>
        <w:rPr>
          <w:rFonts w:cs="CG Times (W1)"/>
          <w:szCs w:val="24"/>
        </w:rPr>
        <w:tab/>
        <w:t>v.</w:t>
      </w:r>
      <w:r>
        <w:rPr>
          <w:rFonts w:cs="CG Times (W1)"/>
          <w:szCs w:val="24"/>
        </w:rPr>
        <w:tab/>
      </w:r>
      <w:r>
        <w:rPr>
          <w:rFonts w:cs="CG Times (W1)"/>
          <w:szCs w:val="24"/>
        </w:rPr>
        <w:tab/>
      </w:r>
      <w:r>
        <w:rPr>
          <w:rFonts w:cs="CG Times (W1)"/>
          <w:szCs w:val="24"/>
        </w:rPr>
        <w:tab/>
      </w:r>
      <w:r>
        <w:rPr>
          <w:rFonts w:cs="CG Times (W1)"/>
          <w:szCs w:val="24"/>
        </w:rPr>
        <w:tab/>
      </w:r>
      <w:r>
        <w:rPr>
          <w:rFonts w:cs="CG Times (W1)"/>
          <w:szCs w:val="24"/>
        </w:rPr>
        <w:tab/>
      </w:r>
      <w:r>
        <w:rPr>
          <w:rFonts w:cs="CG Times (W1)"/>
          <w:szCs w:val="24"/>
        </w:rPr>
        <w:tab/>
        <w:t>:</w:t>
      </w:r>
      <w:r>
        <w:rPr>
          <w:rFonts w:cs="CG Times (W1)"/>
          <w:szCs w:val="24"/>
        </w:rPr>
        <w:tab/>
      </w:r>
      <w:r>
        <w:rPr>
          <w:rFonts w:cs="CG Times (W1)"/>
          <w:szCs w:val="24"/>
        </w:rPr>
        <w:tab/>
        <w:t>F-2014-2460301</w:t>
      </w:r>
    </w:p>
    <w:p w:rsidR="00935BE7" w:rsidRDefault="00935BE7" w:rsidP="00935BE7">
      <w:pPr>
        <w:tabs>
          <w:tab w:val="left" w:pos="720"/>
        </w:tabs>
        <w:autoSpaceDE w:val="0"/>
        <w:autoSpaceDN w:val="0"/>
        <w:spacing w:after="0" w:line="240" w:lineRule="auto"/>
        <w:rPr>
          <w:rFonts w:cs="CG Times (W1)"/>
          <w:szCs w:val="24"/>
        </w:rPr>
      </w:pPr>
      <w:r>
        <w:rPr>
          <w:rFonts w:cs="CG Times (W1)"/>
          <w:szCs w:val="24"/>
        </w:rPr>
        <w:tab/>
      </w:r>
      <w:r>
        <w:rPr>
          <w:rFonts w:cs="CG Times (W1)"/>
          <w:szCs w:val="24"/>
        </w:rPr>
        <w:tab/>
      </w:r>
      <w:r>
        <w:rPr>
          <w:rFonts w:cs="CG Times (W1)"/>
          <w:szCs w:val="24"/>
        </w:rPr>
        <w:tab/>
      </w:r>
      <w:r>
        <w:rPr>
          <w:rFonts w:cs="CG Times (W1)"/>
          <w:szCs w:val="24"/>
        </w:rPr>
        <w:tab/>
      </w:r>
      <w:r>
        <w:rPr>
          <w:rFonts w:cs="CG Times (W1)"/>
          <w:szCs w:val="24"/>
        </w:rPr>
        <w:tab/>
      </w:r>
      <w:r>
        <w:rPr>
          <w:rFonts w:cs="CG Times (W1)"/>
          <w:szCs w:val="24"/>
        </w:rPr>
        <w:tab/>
      </w:r>
      <w:r>
        <w:rPr>
          <w:rFonts w:cs="CG Times (W1)"/>
          <w:szCs w:val="24"/>
        </w:rPr>
        <w:tab/>
        <w:t>:</w:t>
      </w:r>
    </w:p>
    <w:p w:rsidR="00935BE7" w:rsidRDefault="00935BE7" w:rsidP="00935BE7">
      <w:pPr>
        <w:tabs>
          <w:tab w:val="left" w:pos="720"/>
        </w:tabs>
        <w:autoSpaceDE w:val="0"/>
        <w:autoSpaceDN w:val="0"/>
        <w:spacing w:after="0" w:line="240" w:lineRule="auto"/>
        <w:rPr>
          <w:rFonts w:cs="CG Times (W1)"/>
          <w:szCs w:val="24"/>
        </w:rPr>
      </w:pPr>
      <w:r>
        <w:rPr>
          <w:rFonts w:cs="CG Times (W1)"/>
          <w:szCs w:val="24"/>
        </w:rPr>
        <w:t>Philadelphia Gas Works</w:t>
      </w:r>
      <w:r>
        <w:rPr>
          <w:rFonts w:cs="CG Times (W1)"/>
          <w:szCs w:val="24"/>
        </w:rPr>
        <w:tab/>
      </w:r>
      <w:r>
        <w:rPr>
          <w:rFonts w:cs="CG Times (W1)"/>
          <w:szCs w:val="24"/>
        </w:rPr>
        <w:tab/>
      </w:r>
      <w:r>
        <w:rPr>
          <w:rFonts w:cs="CG Times (W1)"/>
          <w:szCs w:val="24"/>
        </w:rPr>
        <w:tab/>
      </w:r>
      <w:r>
        <w:rPr>
          <w:rFonts w:cs="CG Times (W1)"/>
          <w:szCs w:val="24"/>
        </w:rPr>
        <w:tab/>
        <w:t>:</w:t>
      </w:r>
    </w:p>
    <w:p w:rsidR="00935BE7" w:rsidRDefault="00935BE7" w:rsidP="00935BE7">
      <w:pPr>
        <w:spacing w:after="0" w:line="240" w:lineRule="auto"/>
      </w:pPr>
    </w:p>
    <w:p w:rsidR="00935BE7" w:rsidRDefault="00935BE7" w:rsidP="00935BE7">
      <w:pPr>
        <w:spacing w:after="0" w:line="240" w:lineRule="auto"/>
      </w:pPr>
    </w:p>
    <w:p w:rsidR="00935BE7" w:rsidRDefault="00935BE7" w:rsidP="00935BE7">
      <w:pPr>
        <w:spacing w:after="0" w:line="240" w:lineRule="auto"/>
      </w:pPr>
    </w:p>
    <w:p w:rsidR="00FE23A0" w:rsidRDefault="00FE23A0" w:rsidP="00D51222">
      <w:pPr>
        <w:spacing w:after="0" w:line="240" w:lineRule="auto"/>
        <w:jc w:val="center"/>
        <w:rPr>
          <w:b/>
          <w:u w:val="single"/>
        </w:rPr>
      </w:pPr>
      <w:r w:rsidRPr="0085583D">
        <w:rPr>
          <w:b/>
          <w:u w:val="single"/>
        </w:rPr>
        <w:t>INITIAL DECISION</w:t>
      </w:r>
    </w:p>
    <w:p w:rsidR="00D51222" w:rsidRDefault="00D51222" w:rsidP="00D51222">
      <w:pPr>
        <w:spacing w:after="0" w:line="240" w:lineRule="auto"/>
        <w:jc w:val="center"/>
        <w:rPr>
          <w:b/>
          <w:u w:val="single"/>
        </w:rPr>
      </w:pPr>
    </w:p>
    <w:p w:rsidR="00D51222" w:rsidRPr="0085583D" w:rsidRDefault="00D51222" w:rsidP="00D51222">
      <w:pPr>
        <w:spacing w:after="0" w:line="240" w:lineRule="auto"/>
        <w:jc w:val="center"/>
        <w:rPr>
          <w:b/>
          <w:u w:val="single"/>
        </w:rPr>
      </w:pPr>
    </w:p>
    <w:p w:rsidR="00FE23A0" w:rsidRDefault="00FE23A0" w:rsidP="00D51222">
      <w:pPr>
        <w:spacing w:after="0" w:line="240" w:lineRule="auto"/>
        <w:jc w:val="center"/>
      </w:pPr>
      <w:r>
        <w:t>Before</w:t>
      </w:r>
    </w:p>
    <w:p w:rsidR="00FE23A0" w:rsidRDefault="00FE23A0" w:rsidP="00D51222">
      <w:pPr>
        <w:spacing w:after="0" w:line="240" w:lineRule="auto"/>
        <w:jc w:val="center"/>
      </w:pPr>
      <w:r>
        <w:t>Mary D. Long</w:t>
      </w:r>
    </w:p>
    <w:p w:rsidR="00FE23A0" w:rsidRDefault="00FE23A0" w:rsidP="00D51222">
      <w:pPr>
        <w:spacing w:after="0" w:line="240" w:lineRule="auto"/>
        <w:jc w:val="center"/>
      </w:pPr>
      <w:r>
        <w:t>Administrative Law Judge</w:t>
      </w:r>
    </w:p>
    <w:p w:rsidR="00D51222" w:rsidRDefault="00D51222" w:rsidP="00D51222">
      <w:pPr>
        <w:spacing w:after="0" w:line="240" w:lineRule="auto"/>
        <w:jc w:val="center"/>
      </w:pPr>
    </w:p>
    <w:p w:rsidR="0085583D" w:rsidRDefault="0085583D" w:rsidP="00D51222">
      <w:pPr>
        <w:spacing w:after="0" w:line="240" w:lineRule="auto"/>
        <w:jc w:val="center"/>
        <w:rPr>
          <w:u w:val="single"/>
        </w:rPr>
      </w:pPr>
    </w:p>
    <w:p w:rsidR="00FE23A0" w:rsidRDefault="00FE23A0" w:rsidP="00D51222">
      <w:pPr>
        <w:spacing w:after="0" w:line="240" w:lineRule="auto"/>
        <w:jc w:val="center"/>
        <w:rPr>
          <w:u w:val="single"/>
        </w:rPr>
      </w:pPr>
      <w:r w:rsidRPr="0085583D">
        <w:rPr>
          <w:u w:val="single"/>
        </w:rPr>
        <w:t>INTRODUCTION</w:t>
      </w:r>
    </w:p>
    <w:p w:rsidR="00D51222" w:rsidRDefault="00D51222" w:rsidP="00D51222">
      <w:pPr>
        <w:spacing w:after="0" w:line="240" w:lineRule="auto"/>
        <w:jc w:val="center"/>
        <w:rPr>
          <w:u w:val="single"/>
        </w:rPr>
      </w:pPr>
    </w:p>
    <w:p w:rsidR="00D51222" w:rsidRDefault="00D51222" w:rsidP="00D51222">
      <w:pPr>
        <w:spacing w:after="0" w:line="240" w:lineRule="auto"/>
        <w:jc w:val="center"/>
        <w:rPr>
          <w:u w:val="single"/>
        </w:rPr>
      </w:pPr>
    </w:p>
    <w:p w:rsidR="00FE23A0" w:rsidRDefault="009B54B1" w:rsidP="00257CFC">
      <w:pPr>
        <w:spacing w:after="0"/>
      </w:pPr>
      <w:r>
        <w:tab/>
        <w:t xml:space="preserve">A formal complaint by a consumer that she did not understand her balance with the utility and seeking reinstatement of service and a payment arrangement is sustained in part and dismissed in part.  The utility failed to render reasonable service because it did not effectively explain the consumer’s complicated account history to her such that she could understand how much she owed and how her payments were applied to her balance.  However, the consumer has failed to make regular payments on her account and therefore it is not appropriate to </w:t>
      </w:r>
      <w:r w:rsidR="007A2B53">
        <w:t>award her a payment arrangement or to require her service to be reinstated.</w:t>
      </w:r>
    </w:p>
    <w:p w:rsidR="00D51222" w:rsidRDefault="00D51222" w:rsidP="00257CFC">
      <w:pPr>
        <w:spacing w:after="0"/>
      </w:pPr>
    </w:p>
    <w:p w:rsidR="00FE23A0" w:rsidRDefault="00FE23A0" w:rsidP="00257CFC">
      <w:pPr>
        <w:spacing w:after="0"/>
        <w:jc w:val="center"/>
        <w:rPr>
          <w:u w:val="single"/>
        </w:rPr>
      </w:pPr>
      <w:r w:rsidRPr="0085583D">
        <w:rPr>
          <w:u w:val="single"/>
        </w:rPr>
        <w:t>PROCEDURAL HISTORY</w:t>
      </w:r>
    </w:p>
    <w:p w:rsidR="00D51222" w:rsidRPr="0085583D" w:rsidRDefault="00D51222" w:rsidP="00257CFC">
      <w:pPr>
        <w:spacing w:after="0"/>
        <w:jc w:val="center"/>
        <w:rPr>
          <w:u w:val="single"/>
        </w:rPr>
      </w:pPr>
    </w:p>
    <w:p w:rsidR="00FE23A0" w:rsidRDefault="00FE23A0" w:rsidP="00257CFC">
      <w:pPr>
        <w:spacing w:after="0"/>
      </w:pPr>
      <w:r>
        <w:tab/>
        <w:t>On December 29, 2014, Lavoris Mintz (Complainant) filed a formal complaint against Philadelphia Gas Works (PGW).  The Complainant states that her gas service has been terminated because she missed installm</w:t>
      </w:r>
      <w:r w:rsidR="00D31A5B">
        <w:t>ent payments on her payment arrangement</w:t>
      </w:r>
      <w:r>
        <w:t>.  She further claims that payments which she made were not credited to her balance.  As relief, she would like her gas service reinstated and a new payment arrangement.</w:t>
      </w:r>
    </w:p>
    <w:p w:rsidR="00FE23A0" w:rsidRDefault="00FE23A0" w:rsidP="00257CFC">
      <w:pPr>
        <w:spacing w:after="0"/>
      </w:pPr>
      <w:r>
        <w:lastRenderedPageBreak/>
        <w:tab/>
        <w:t>PGW filed an answer and new matter denying the material allegations of her complaint on January 20, 2015.  PGW also filed preliminary objections and a motion for summary judgment.  The Complainant did not file a response to the new matter or either of the motions.</w:t>
      </w:r>
    </w:p>
    <w:p w:rsidR="00E134B2" w:rsidRDefault="00E134B2" w:rsidP="00257CFC">
      <w:pPr>
        <w:spacing w:after="0"/>
      </w:pPr>
    </w:p>
    <w:p w:rsidR="00E134B2" w:rsidRDefault="00FE23A0" w:rsidP="00257CFC">
      <w:pPr>
        <w:spacing w:after="0"/>
      </w:pPr>
      <w:r>
        <w:tab/>
        <w:t>By notice dated February 11, 2015, the case was assigned to me for disposition.  PGW’s preliminary objections were dismissed by order dated March 9, 2015.  PGW’s motion for summary judgment was denied by order dated March 10, 2015.</w:t>
      </w:r>
    </w:p>
    <w:p w:rsidR="00FE23A0" w:rsidRDefault="00FE23A0" w:rsidP="00257CFC">
      <w:pPr>
        <w:spacing w:after="0"/>
      </w:pPr>
      <w:r>
        <w:t xml:space="preserve">  </w:t>
      </w:r>
    </w:p>
    <w:p w:rsidR="00FE23A0" w:rsidRDefault="00FE23A0" w:rsidP="00257CFC">
      <w:pPr>
        <w:spacing w:after="0"/>
      </w:pPr>
      <w:r>
        <w:tab/>
        <w:t>This matter was scheduled for a hearing on May 5, 2015</w:t>
      </w:r>
      <w:r w:rsidR="00E745F2">
        <w:t>,</w:t>
      </w:r>
      <w:r>
        <w:t xml:space="preserve"> by notice dated March</w:t>
      </w:r>
      <w:r w:rsidR="00825654">
        <w:t> </w:t>
      </w:r>
      <w:r>
        <w:t>11, 2015.  The hearing convened as scheduled.  The Complainant was self-represented and testified on her own behalf.  PGW was represented by Graciela Christlieb, Esquire.  PGW presented the t</w:t>
      </w:r>
      <w:r w:rsidR="00BA79A4">
        <w:t xml:space="preserve">estimony of one witness, Linda </w:t>
      </w:r>
      <w:r>
        <w:t>Pereira.</w:t>
      </w:r>
      <w:r w:rsidR="00566CF3">
        <w:t xml:space="preserve">  PGW also offered PGW Exhibits 1 and 2, which were admitted into the record without objection.  PGW also offered Exhibits 3 and 4, but neither of these exhibits was admitted into the record.</w:t>
      </w:r>
    </w:p>
    <w:p w:rsidR="00E134B2" w:rsidRDefault="00E134B2" w:rsidP="00257CFC">
      <w:pPr>
        <w:spacing w:after="0"/>
      </w:pPr>
    </w:p>
    <w:p w:rsidR="00566CF3" w:rsidRDefault="00566CF3" w:rsidP="00257CFC">
      <w:pPr>
        <w:spacing w:after="0"/>
      </w:pPr>
      <w:r>
        <w:tab/>
        <w:t>Both PGW and the Complainant sought leave to submit late-filed exhibits in support of the testimony offered at the hearing.  Leave was granted and by order dated June 2, 2015, PGW Exhibits 5, 6 and 7 were admitted</w:t>
      </w:r>
      <w:r w:rsidR="00BF2FE1">
        <w:t xml:space="preserve"> without objection</w:t>
      </w:r>
      <w:r>
        <w:t>.  Additionally, Complainant’s Exhibits 1,</w:t>
      </w:r>
      <w:r w:rsidR="00E745F2">
        <w:t xml:space="preserve"> </w:t>
      </w:r>
      <w:r>
        <w:t>2, and 3 were admitted</w:t>
      </w:r>
      <w:r w:rsidR="00252706">
        <w:t xml:space="preserve"> without objection</w:t>
      </w:r>
      <w:r>
        <w:t xml:space="preserve">.  The </w:t>
      </w:r>
      <w:r w:rsidR="00631B03">
        <w:t xml:space="preserve">80-page </w:t>
      </w:r>
      <w:r>
        <w:t>transcript of the hearing was received, and the record was also closed by the June 2, 2015 Interim Order.</w:t>
      </w:r>
    </w:p>
    <w:p w:rsidR="00E134B2" w:rsidRDefault="00E134B2" w:rsidP="00257CFC">
      <w:pPr>
        <w:spacing w:after="0"/>
      </w:pPr>
    </w:p>
    <w:p w:rsidR="00FE23A0" w:rsidRDefault="00FE23A0" w:rsidP="00257CFC">
      <w:pPr>
        <w:spacing w:after="0"/>
        <w:jc w:val="center"/>
        <w:rPr>
          <w:u w:val="single"/>
        </w:rPr>
      </w:pPr>
      <w:r w:rsidRPr="00225FCE">
        <w:rPr>
          <w:u w:val="single"/>
        </w:rPr>
        <w:t>FINDINGS OF FACT</w:t>
      </w:r>
    </w:p>
    <w:p w:rsidR="00E134B2" w:rsidRPr="00225FCE" w:rsidRDefault="00E134B2" w:rsidP="00257CFC">
      <w:pPr>
        <w:spacing w:after="0"/>
        <w:jc w:val="center"/>
        <w:rPr>
          <w:u w:val="single"/>
        </w:rPr>
      </w:pPr>
    </w:p>
    <w:p w:rsidR="00225FCE" w:rsidRDefault="00B14DDC" w:rsidP="0032423B">
      <w:pPr>
        <w:pStyle w:val="ListParagraph"/>
      </w:pPr>
      <w:r>
        <w:t>The Complainant is Lavoris Mintz</w:t>
      </w:r>
      <w:r w:rsidR="00AE3309">
        <w:t>.  She resides at 4918 North 11</w:t>
      </w:r>
      <w:r w:rsidR="00AE3309" w:rsidRPr="00AE3309">
        <w:rPr>
          <w:vertAlign w:val="superscript"/>
        </w:rPr>
        <w:t>th</w:t>
      </w:r>
      <w:r w:rsidR="00AE3309">
        <w:t xml:space="preserve"> Street, Philadelphia (service address).  (N.T. 9)</w:t>
      </w:r>
    </w:p>
    <w:p w:rsidR="005E31C5" w:rsidRDefault="005E31C5" w:rsidP="00257CFC">
      <w:pPr>
        <w:spacing w:after="0"/>
        <w:ind w:left="720"/>
      </w:pPr>
    </w:p>
    <w:p w:rsidR="00D31A5B" w:rsidRDefault="00D31A5B" w:rsidP="0032423B">
      <w:pPr>
        <w:pStyle w:val="ListParagraph"/>
      </w:pPr>
      <w:r>
        <w:t xml:space="preserve">The Complainant </w:t>
      </w:r>
      <w:r w:rsidR="00A27410">
        <w:t>has</w:t>
      </w:r>
      <w:r>
        <w:t xml:space="preserve"> not </w:t>
      </w:r>
      <w:r w:rsidR="00A27410">
        <w:t xml:space="preserve">received </w:t>
      </w:r>
      <w:r>
        <w:t>gas service</w:t>
      </w:r>
      <w:r w:rsidR="00A27410">
        <w:t xml:space="preserve"> since her service was terminated in 2011</w:t>
      </w:r>
      <w:r>
        <w:t>.  (N.T. 9-10)</w:t>
      </w:r>
    </w:p>
    <w:p w:rsidR="005E31C5" w:rsidRDefault="005E31C5" w:rsidP="00257CFC">
      <w:pPr>
        <w:spacing w:after="0"/>
        <w:ind w:left="720"/>
      </w:pPr>
    </w:p>
    <w:p w:rsidR="00B14DDC" w:rsidRDefault="00AE3309" w:rsidP="0032423B">
      <w:pPr>
        <w:pStyle w:val="ListParagraph"/>
      </w:pPr>
      <w:r>
        <w:lastRenderedPageBreak/>
        <w:t>The Respondent is Philadelphia Gas Works (PGW), a jurisdictional public utility.</w:t>
      </w:r>
    </w:p>
    <w:p w:rsidR="0032423B" w:rsidRDefault="0032423B" w:rsidP="0032423B">
      <w:pPr>
        <w:spacing w:after="0"/>
        <w:ind w:left="1440"/>
      </w:pPr>
    </w:p>
    <w:p w:rsidR="00E745F2" w:rsidRDefault="00B14DDC" w:rsidP="0032423B">
      <w:pPr>
        <w:pStyle w:val="ListParagraph"/>
      </w:pPr>
      <w:r>
        <w:t xml:space="preserve">In 2010 the Complainant disputed her balance.  </w:t>
      </w:r>
      <w:r w:rsidR="00E745F2">
        <w:t>(N.T. 32-33)</w:t>
      </w:r>
    </w:p>
    <w:p w:rsidR="005E31C5" w:rsidRDefault="005E31C5" w:rsidP="00257CFC">
      <w:pPr>
        <w:spacing w:after="0"/>
        <w:ind w:left="720"/>
      </w:pPr>
    </w:p>
    <w:p w:rsidR="00B14DDC" w:rsidRDefault="00B14DDC" w:rsidP="0032423B">
      <w:pPr>
        <w:pStyle w:val="ListParagraph"/>
      </w:pPr>
      <w:r>
        <w:t xml:space="preserve">On September 10, 2010, PGW sent the Complainant a statement which included the activity on her account from the initiation of service on November 4, 1997, through her </w:t>
      </w:r>
      <w:r w:rsidR="00D31A5B">
        <w:t>current bill date at the time</w:t>
      </w:r>
      <w:r>
        <w:t>.  (N.T. 32-33; PGW Ex. 2 a</w:t>
      </w:r>
      <w:r w:rsidR="008A3255">
        <w:t>t</w:t>
      </w:r>
      <w:r>
        <w:t xml:space="preserve"> p. 4</w:t>
      </w:r>
      <w:r w:rsidR="00D31A5B">
        <w:t>; PGW Ex. 5)</w:t>
      </w:r>
    </w:p>
    <w:p w:rsidR="005E31C5" w:rsidRDefault="005E31C5" w:rsidP="00257CFC">
      <w:pPr>
        <w:spacing w:after="0"/>
        <w:ind w:left="720"/>
      </w:pPr>
    </w:p>
    <w:p w:rsidR="00B14DDC" w:rsidRDefault="00B14DDC" w:rsidP="0032423B">
      <w:pPr>
        <w:pStyle w:val="ListParagraph"/>
      </w:pPr>
      <w:r>
        <w:t xml:space="preserve">The </w:t>
      </w:r>
      <w:r w:rsidR="00EC2D93">
        <w:t>Complainant filed</w:t>
      </w:r>
      <w:r>
        <w:t xml:space="preserve"> an informal complaint with the Commission’s Bureau of Consumer Services on Ju</w:t>
      </w:r>
      <w:r w:rsidR="008A19CD">
        <w:t>ne 29, 2010 at BCS # 2705373.  (</w:t>
      </w:r>
      <w:r>
        <w:t>PGW Ex. 2 at p. 5-6)</w:t>
      </w:r>
    </w:p>
    <w:p w:rsidR="005E31C5" w:rsidRDefault="005E31C5" w:rsidP="00257CFC">
      <w:pPr>
        <w:spacing w:after="0"/>
        <w:ind w:left="720"/>
      </w:pPr>
    </w:p>
    <w:p w:rsidR="005E31C5" w:rsidRDefault="004120AA" w:rsidP="0032423B">
      <w:pPr>
        <w:pStyle w:val="ListParagraph"/>
      </w:pPr>
      <w:r>
        <w:t>On July 1, 2010, BCS awarded</w:t>
      </w:r>
      <w:r w:rsidR="00B54A9A">
        <w:t xml:space="preserve"> the Complainant</w:t>
      </w:r>
      <w:r>
        <w:t xml:space="preserve"> a payment </w:t>
      </w:r>
      <w:r w:rsidR="00D31A5B">
        <w:t>arrangemen</w:t>
      </w:r>
      <w:r>
        <w:t>t.  (PGW Ex. 2 at p. 4)</w:t>
      </w:r>
    </w:p>
    <w:p w:rsidR="005E31C5" w:rsidRDefault="005E31C5" w:rsidP="00257CFC">
      <w:pPr>
        <w:spacing w:after="0"/>
        <w:ind w:left="720"/>
      </w:pPr>
    </w:p>
    <w:p w:rsidR="000904B8" w:rsidRDefault="00B14DDC" w:rsidP="0032423B">
      <w:pPr>
        <w:pStyle w:val="ListParagraph"/>
      </w:pPr>
      <w:r>
        <w:t>The Complainant filed a formal complaint</w:t>
      </w:r>
      <w:r w:rsidR="004120AA">
        <w:t xml:space="preserve"> at Docket No. F-2010-2191733</w:t>
      </w:r>
      <w:r w:rsidR="00E745F2">
        <w:t>,</w:t>
      </w:r>
      <w:r>
        <w:t xml:space="preserve"> with the</w:t>
      </w:r>
      <w:r w:rsidR="004120AA">
        <w:t xml:space="preserve"> Public Utility Commission challenging the BCS decision</w:t>
      </w:r>
      <w:r>
        <w:t xml:space="preserve">.  </w:t>
      </w:r>
    </w:p>
    <w:p w:rsidR="005E31C5" w:rsidRDefault="005E31C5" w:rsidP="00257CFC">
      <w:pPr>
        <w:spacing w:after="0"/>
        <w:ind w:left="720"/>
      </w:pPr>
    </w:p>
    <w:p w:rsidR="00B14DDC" w:rsidRDefault="00B14DDC" w:rsidP="0032423B">
      <w:pPr>
        <w:pStyle w:val="ListParagraph"/>
      </w:pPr>
      <w:r>
        <w:t>That complaint was resolved because the Complainant and PGW agreed to a payment arrangement and PGW filed a certificate of satisfaction with the Commission on April</w:t>
      </w:r>
      <w:r w:rsidR="00C973B4">
        <w:t> </w:t>
      </w:r>
      <w:r>
        <w:t xml:space="preserve">18, 2011.  (N.T. 3-35;  </w:t>
      </w:r>
      <w:r w:rsidR="00D27800">
        <w:t>PGW Ex. 6)</w:t>
      </w:r>
    </w:p>
    <w:p w:rsidR="005E31C5" w:rsidRDefault="005E31C5" w:rsidP="00257CFC">
      <w:pPr>
        <w:spacing w:after="0"/>
        <w:ind w:left="720"/>
      </w:pPr>
    </w:p>
    <w:p w:rsidR="00B14DDC" w:rsidRDefault="00B14DDC" w:rsidP="0032423B">
      <w:pPr>
        <w:pStyle w:val="ListParagraph"/>
      </w:pPr>
      <w:r>
        <w:t>As of April 2011, the Complainant’s account balance was $20,669.54.  (N.T. 35)</w:t>
      </w:r>
    </w:p>
    <w:p w:rsidR="005E31C5" w:rsidRDefault="005E31C5" w:rsidP="00257CFC">
      <w:pPr>
        <w:spacing w:after="0"/>
        <w:ind w:left="720"/>
      </w:pPr>
    </w:p>
    <w:p w:rsidR="00B14DDC" w:rsidRDefault="00B14DDC" w:rsidP="0032423B">
      <w:pPr>
        <w:pStyle w:val="ListParagraph"/>
      </w:pPr>
      <w:r>
        <w:t>The Complainant did not object to the certificate of satisfaction</w:t>
      </w:r>
      <w:r w:rsidR="00421F21">
        <w:t>.</w:t>
      </w:r>
      <w:r w:rsidR="00CD74A0">
        <w:t xml:space="preserve"> </w:t>
      </w:r>
      <w:r w:rsidR="00421F21">
        <w:t xml:space="preserve"> (N.T. 71)</w:t>
      </w:r>
    </w:p>
    <w:p w:rsidR="005E31C5" w:rsidRDefault="005E31C5" w:rsidP="00257CFC">
      <w:pPr>
        <w:spacing w:after="0"/>
        <w:ind w:left="720"/>
      </w:pPr>
    </w:p>
    <w:p w:rsidR="00B14DDC" w:rsidRDefault="00EE59EC" w:rsidP="0032423B">
      <w:pPr>
        <w:pStyle w:val="ListParagraph"/>
      </w:pPr>
      <w:r>
        <w:t>On September 22, 2014, the Complainant contacted PGW stating that she did not understand why her bill was so high.  (N.T. 36; PGW Ex. 2 at</w:t>
      </w:r>
      <w:r w:rsidR="008A3255">
        <w:t xml:space="preserve"> p.</w:t>
      </w:r>
      <w:r>
        <w:t xml:space="preserve"> 3</w:t>
      </w:r>
      <w:r w:rsidR="00D27800">
        <w:t>; PGW Ex. 5</w:t>
      </w:r>
      <w:r>
        <w:t>)</w:t>
      </w:r>
    </w:p>
    <w:p w:rsidR="005E31C5" w:rsidRDefault="005E31C5" w:rsidP="00257CFC">
      <w:pPr>
        <w:spacing w:after="0"/>
        <w:ind w:left="720"/>
      </w:pPr>
    </w:p>
    <w:p w:rsidR="00EE59EC" w:rsidRDefault="00EE59EC" w:rsidP="0032423B">
      <w:pPr>
        <w:pStyle w:val="ListParagraph"/>
      </w:pPr>
      <w:r>
        <w:lastRenderedPageBreak/>
        <w:t>On September 30, 2014, PGW sent the Complainant a letter which explained her usage</w:t>
      </w:r>
      <w:r w:rsidR="00C614ED">
        <w:t xml:space="preserve"> and consumption</w:t>
      </w:r>
      <w:r>
        <w:t xml:space="preserve"> analysis</w:t>
      </w:r>
      <w:r w:rsidR="00B54A9A">
        <w:t xml:space="preserve">, </w:t>
      </w:r>
      <w:r w:rsidR="00160F79">
        <w:t xml:space="preserve">the results of a </w:t>
      </w:r>
      <w:r w:rsidR="00B54A9A">
        <w:t>meter test</w:t>
      </w:r>
      <w:r>
        <w:t xml:space="preserve"> and a statement of account.  (N.T. 37-38; PGW Ex. 2 at</w:t>
      </w:r>
      <w:r w:rsidR="008A3255">
        <w:t xml:space="preserve"> p.</w:t>
      </w:r>
      <w:r>
        <w:t xml:space="preserve"> 2-3)</w:t>
      </w:r>
    </w:p>
    <w:p w:rsidR="005E31C5" w:rsidRDefault="005E31C5" w:rsidP="00257CFC">
      <w:pPr>
        <w:spacing w:after="0"/>
        <w:ind w:left="720"/>
      </w:pPr>
    </w:p>
    <w:p w:rsidR="00C614ED" w:rsidRDefault="00C614ED" w:rsidP="0032423B">
      <w:pPr>
        <w:pStyle w:val="ListParagraph"/>
      </w:pPr>
      <w:r>
        <w:t xml:space="preserve">The Complainant visited PGW’s </w:t>
      </w:r>
      <w:r w:rsidR="00B54A9A">
        <w:t>Center City District Office on October 7, 2014.  (PGW Ex. 2 at p. 2)</w:t>
      </w:r>
    </w:p>
    <w:p w:rsidR="005E31C5" w:rsidRDefault="005E31C5" w:rsidP="00257CFC">
      <w:pPr>
        <w:spacing w:after="0"/>
        <w:ind w:left="720"/>
      </w:pPr>
    </w:p>
    <w:p w:rsidR="00B54A9A" w:rsidRDefault="00D31A5B" w:rsidP="0032423B">
      <w:pPr>
        <w:pStyle w:val="ListParagraph"/>
      </w:pPr>
      <w:r>
        <w:t>PGW’s records indicate that o</w:t>
      </w:r>
      <w:r w:rsidR="00F94652">
        <w:t>n October 7, 2014, the</w:t>
      </w:r>
      <w:r w:rsidR="00B54A9A">
        <w:t xml:space="preserve"> customer service representative attempted to explain </w:t>
      </w:r>
      <w:r w:rsidR="008D5E93">
        <w:t>Complainant’s</w:t>
      </w:r>
      <w:r w:rsidR="00B54A9A">
        <w:t xml:space="preserve"> billing history to </w:t>
      </w:r>
      <w:r w:rsidR="008D5E93">
        <w:t>the Complainant</w:t>
      </w:r>
      <w:r w:rsidR="00B54A9A">
        <w:t>.  (N.T. 39</w:t>
      </w:r>
      <w:r w:rsidR="00BF32C4">
        <w:t>; PGW Ex. 2 at p. 2</w:t>
      </w:r>
      <w:r w:rsidR="00B54A9A">
        <w:t>)</w:t>
      </w:r>
    </w:p>
    <w:p w:rsidR="005E31C5" w:rsidRDefault="005E31C5" w:rsidP="00257CFC">
      <w:pPr>
        <w:spacing w:after="0"/>
        <w:ind w:left="720"/>
      </w:pPr>
    </w:p>
    <w:p w:rsidR="00D31A5B" w:rsidRDefault="00DF6813" w:rsidP="0032423B">
      <w:pPr>
        <w:pStyle w:val="ListParagraph"/>
      </w:pPr>
      <w:r>
        <w:t xml:space="preserve">The Complainant has been assigned at least two account numbers by PGW.  </w:t>
      </w:r>
    </w:p>
    <w:p w:rsidR="005E31C5" w:rsidRDefault="005E31C5" w:rsidP="00257CFC">
      <w:pPr>
        <w:spacing w:after="0"/>
        <w:ind w:left="720"/>
      </w:pPr>
    </w:p>
    <w:p w:rsidR="00BA79A4" w:rsidRDefault="00DF6813" w:rsidP="0032423B">
      <w:pPr>
        <w:pStyle w:val="ListParagraph"/>
      </w:pPr>
      <w:r>
        <w:t xml:space="preserve">From </w:t>
      </w:r>
      <w:r w:rsidR="00E75142">
        <w:t xml:space="preserve">November 4, 1997 until April </w:t>
      </w:r>
      <w:r>
        <w:t>2007, the Complainant was assigned an account number ending in 3689</w:t>
      </w:r>
      <w:r w:rsidR="00D31A5B">
        <w:t xml:space="preserve"> (Account 3689)</w:t>
      </w:r>
      <w:r>
        <w:t>.  (N.T. 51)</w:t>
      </w:r>
      <w:r w:rsidR="00BA79A4" w:rsidRPr="00BA79A4">
        <w:t xml:space="preserve"> </w:t>
      </w:r>
    </w:p>
    <w:p w:rsidR="005E31C5" w:rsidRDefault="005E31C5" w:rsidP="00257CFC">
      <w:pPr>
        <w:spacing w:after="0"/>
        <w:ind w:left="720"/>
      </w:pPr>
    </w:p>
    <w:p w:rsidR="00DF6813" w:rsidRDefault="00BA79A4" w:rsidP="0032423B">
      <w:pPr>
        <w:pStyle w:val="ListParagraph"/>
      </w:pPr>
      <w:r>
        <w:t>Account 3689 was terminated in April 2007 for nonpayment.  (N.T. 51)</w:t>
      </w:r>
    </w:p>
    <w:p w:rsidR="005E31C5" w:rsidRDefault="005E31C5" w:rsidP="00257CFC">
      <w:pPr>
        <w:spacing w:after="0"/>
        <w:ind w:left="720"/>
      </w:pPr>
    </w:p>
    <w:p w:rsidR="00DF6813" w:rsidRDefault="00DF6813" w:rsidP="0032423B">
      <w:pPr>
        <w:pStyle w:val="ListParagraph"/>
      </w:pPr>
      <w:r>
        <w:t xml:space="preserve"> </w:t>
      </w:r>
      <w:r w:rsidR="0054024B">
        <w:t xml:space="preserve">On </w:t>
      </w:r>
      <w:r w:rsidR="00E75142">
        <w:t>November 2007</w:t>
      </w:r>
      <w:r w:rsidR="00D31A5B">
        <w:t xml:space="preserve"> the Complainant’s gas service was reinstated and she </w:t>
      </w:r>
      <w:r>
        <w:t>was assigne</w:t>
      </w:r>
      <w:r w:rsidR="005234D8">
        <w:t>d the account number ending in 1</w:t>
      </w:r>
      <w:r>
        <w:t>860</w:t>
      </w:r>
      <w:r w:rsidR="00D31A5B">
        <w:t xml:space="preserve"> (Account 1860)</w:t>
      </w:r>
      <w:r>
        <w:t>.</w:t>
      </w:r>
      <w:r w:rsidR="00B94600">
        <w:t xml:space="preserve"> </w:t>
      </w:r>
      <w:r>
        <w:t xml:space="preserve"> (N.T. 52</w:t>
      </w:r>
      <w:r w:rsidR="0054024B">
        <w:t>; PGW Ex. 2 at p. 6</w:t>
      </w:r>
      <w:r>
        <w:t>)</w:t>
      </w:r>
    </w:p>
    <w:p w:rsidR="005E31C5" w:rsidRDefault="005E31C5" w:rsidP="00257CFC">
      <w:pPr>
        <w:spacing w:after="0"/>
        <w:ind w:left="720"/>
      </w:pPr>
    </w:p>
    <w:p w:rsidR="00DF6813" w:rsidRDefault="00160F79" w:rsidP="0032423B">
      <w:pPr>
        <w:pStyle w:val="ListParagraph"/>
      </w:pPr>
      <w:r>
        <w:t xml:space="preserve">The </w:t>
      </w:r>
      <w:r w:rsidR="00DF6813">
        <w:t xml:space="preserve">unpaid balance on </w:t>
      </w:r>
      <w:r w:rsidR="00D31A5B">
        <w:t xml:space="preserve">Account </w:t>
      </w:r>
      <w:r w:rsidR="00DF6813">
        <w:t>3689 was in write-off</w:t>
      </w:r>
      <w:r w:rsidR="00265AE8">
        <w:t xml:space="preserve"> and was not included on the new account</w:t>
      </w:r>
      <w:r w:rsidR="00DF6813">
        <w:t>.  (N.T. 52)</w:t>
      </w:r>
    </w:p>
    <w:p w:rsidR="005E31C5" w:rsidRDefault="005E31C5" w:rsidP="00257CFC">
      <w:pPr>
        <w:spacing w:after="0"/>
        <w:ind w:left="720"/>
      </w:pPr>
    </w:p>
    <w:p w:rsidR="00D31A5B" w:rsidRDefault="00D31A5B" w:rsidP="0032423B">
      <w:pPr>
        <w:pStyle w:val="ListParagraph"/>
      </w:pPr>
      <w:r>
        <w:t>The Complainant was not aware that her account number had changed.  (N.T. 61)</w:t>
      </w:r>
    </w:p>
    <w:p w:rsidR="005E31C5" w:rsidRDefault="005E31C5" w:rsidP="00257CFC">
      <w:pPr>
        <w:spacing w:after="0"/>
        <w:ind w:left="720"/>
      </w:pPr>
    </w:p>
    <w:p w:rsidR="00E75142" w:rsidRDefault="00E75142" w:rsidP="0032423B">
      <w:pPr>
        <w:pStyle w:val="ListParagraph"/>
      </w:pPr>
      <w:r>
        <w:t xml:space="preserve">PGW also assigned the Complainant several “service agreement” numbers.  When service is terminated and shut off for non-payment, the service agreement is finalized.  If service is restored a customer is assigned a new service agreement number.  </w:t>
      </w:r>
      <w:r w:rsidR="007F764F">
        <w:t xml:space="preserve">A </w:t>
      </w:r>
      <w:r w:rsidR="007F764F">
        <w:lastRenderedPageBreak/>
        <w:t xml:space="preserve">customer can have multiple service agreement numbers associated with their account number.  </w:t>
      </w:r>
      <w:r>
        <w:t>(N.T. 41)</w:t>
      </w:r>
    </w:p>
    <w:p w:rsidR="006C1CF9" w:rsidRDefault="006C1CF9" w:rsidP="006C1CF9">
      <w:pPr>
        <w:pStyle w:val="ListParagraph"/>
        <w:numPr>
          <w:ilvl w:val="0"/>
          <w:numId w:val="0"/>
        </w:numPr>
        <w:ind w:left="1440"/>
      </w:pPr>
    </w:p>
    <w:p w:rsidR="00FB2D0C" w:rsidRDefault="00FB2D0C" w:rsidP="0032423B">
      <w:pPr>
        <w:pStyle w:val="ListParagraph"/>
      </w:pPr>
      <w:r>
        <w:t xml:space="preserve">On </w:t>
      </w:r>
      <w:r w:rsidR="00D31A5B">
        <w:t>Account 1860</w:t>
      </w:r>
      <w:r>
        <w:t>, the Complainant has two service agreement n</w:t>
      </w:r>
      <w:r w:rsidR="00D31A5B">
        <w:t xml:space="preserve">umbers assigned, one ending in 681 (SA 681) and the other ending in </w:t>
      </w:r>
      <w:r>
        <w:t>263</w:t>
      </w:r>
      <w:r w:rsidR="00D31A5B">
        <w:t xml:space="preserve"> (SA 263)</w:t>
      </w:r>
      <w:r>
        <w:t>.  (N.T. 42; PGW Ex.</w:t>
      </w:r>
      <w:r w:rsidR="00404A01">
        <w:t> </w:t>
      </w:r>
      <w:r>
        <w:t>1)</w:t>
      </w:r>
    </w:p>
    <w:p w:rsidR="006C1CF9" w:rsidRDefault="006C1CF9" w:rsidP="006C1CF9">
      <w:pPr>
        <w:pStyle w:val="ListParagraph"/>
        <w:numPr>
          <w:ilvl w:val="0"/>
          <w:numId w:val="0"/>
        </w:numPr>
        <w:ind w:left="1440"/>
      </w:pPr>
    </w:p>
    <w:p w:rsidR="00BE6E96" w:rsidRDefault="00D31A5B" w:rsidP="0032423B">
      <w:pPr>
        <w:pStyle w:val="ListParagraph"/>
      </w:pPr>
      <w:r>
        <w:t>SA 681</w:t>
      </w:r>
      <w:r w:rsidR="00BE6E96">
        <w:t xml:space="preserve"> reflects an outstanding balance of </w:t>
      </w:r>
      <w:r w:rsidR="005234D8">
        <w:t>$4,982.05.</w:t>
      </w:r>
      <w:r w:rsidR="00182993">
        <w:t xml:space="preserve"> </w:t>
      </w:r>
      <w:r w:rsidR="00BE6E96">
        <w:t xml:space="preserve"> (PGW Ex. 1 at p. 3)</w:t>
      </w:r>
    </w:p>
    <w:p w:rsidR="005E31C5" w:rsidRDefault="005E31C5" w:rsidP="00257CFC">
      <w:pPr>
        <w:spacing w:after="0"/>
        <w:ind w:left="720"/>
      </w:pPr>
    </w:p>
    <w:p w:rsidR="00BE6E96" w:rsidRDefault="00D31A5B" w:rsidP="0032423B">
      <w:pPr>
        <w:pStyle w:val="ListParagraph"/>
      </w:pPr>
      <w:r>
        <w:t>SA 263</w:t>
      </w:r>
      <w:r w:rsidR="005234D8">
        <w:t xml:space="preserve"> was created </w:t>
      </w:r>
      <w:r w:rsidR="0030173D">
        <w:t xml:space="preserve">in 2010 </w:t>
      </w:r>
      <w:r w:rsidR="005234D8">
        <w:t>for the Complainant’s unpaid balance on her old account</w:t>
      </w:r>
      <w:r w:rsidR="00404A01">
        <w:t>, Account</w:t>
      </w:r>
      <w:r w:rsidR="005234D8">
        <w:t xml:space="preserve"> 3689</w:t>
      </w:r>
      <w:r w:rsidR="00BE6E96">
        <w:t>, in the amount of $16,979.76.  (PGW Ex. 1 at p. 4</w:t>
      </w:r>
      <w:r w:rsidR="005234D8">
        <w:t>; N.T. 57</w:t>
      </w:r>
      <w:r w:rsidR="00BE6E96">
        <w:t>)</w:t>
      </w:r>
    </w:p>
    <w:p w:rsidR="00404A01" w:rsidRDefault="00404A01" w:rsidP="0032423B">
      <w:pPr>
        <w:ind w:left="1440"/>
      </w:pPr>
    </w:p>
    <w:p w:rsidR="005E31C5" w:rsidRDefault="00D31A5B" w:rsidP="0032423B">
      <w:pPr>
        <w:pStyle w:val="ListParagraph"/>
      </w:pPr>
      <w:r>
        <w:t>SA 263</w:t>
      </w:r>
      <w:r w:rsidR="005234D8">
        <w:t xml:space="preserve"> does not include charges from the Complainant’s active service.  (N.T. 57)</w:t>
      </w:r>
      <w:r w:rsidR="00946D2F" w:rsidRPr="00946D2F">
        <w:t xml:space="preserve"> </w:t>
      </w:r>
    </w:p>
    <w:p w:rsidR="005E31C5" w:rsidRDefault="005E31C5" w:rsidP="00257CFC">
      <w:pPr>
        <w:spacing w:after="0"/>
        <w:ind w:left="720"/>
      </w:pPr>
    </w:p>
    <w:p w:rsidR="005234D8" w:rsidRDefault="00946D2F" w:rsidP="0032423B">
      <w:pPr>
        <w:pStyle w:val="ListParagraph"/>
      </w:pPr>
      <w:r>
        <w:t>As of the date of the hearing, SA 263 reflects an outstanding balance of $14,663.62.</w:t>
      </w:r>
      <w:r w:rsidR="00A736CF">
        <w:t xml:space="preserve"> </w:t>
      </w:r>
      <w:r>
        <w:t xml:space="preserve"> (PGW Ex. 1 at p. 4)</w:t>
      </w:r>
    </w:p>
    <w:p w:rsidR="005E31C5" w:rsidRDefault="005E31C5" w:rsidP="00257CFC">
      <w:pPr>
        <w:spacing w:after="0"/>
        <w:ind w:left="720"/>
      </w:pPr>
    </w:p>
    <w:p w:rsidR="002E794A" w:rsidRDefault="00BE6E96" w:rsidP="0032423B">
      <w:pPr>
        <w:pStyle w:val="ListParagraph"/>
      </w:pPr>
      <w:r>
        <w:t xml:space="preserve">The Complainant’s total outstanding balance is derived by adding the outstanding balance from </w:t>
      </w:r>
      <w:r w:rsidR="002E794A">
        <w:t>SA 681</w:t>
      </w:r>
      <w:r>
        <w:t xml:space="preserve"> and adding it to the outstanding balance from </w:t>
      </w:r>
      <w:r w:rsidR="002E794A">
        <w:t>SA 263</w:t>
      </w:r>
      <w:r>
        <w:t>.  (N.T.</w:t>
      </w:r>
      <w:r w:rsidR="002A455C">
        <w:t> </w:t>
      </w:r>
      <w:r>
        <w:t>46)</w:t>
      </w:r>
      <w:r w:rsidR="002E794A" w:rsidRPr="002E794A">
        <w:t xml:space="preserve"> </w:t>
      </w:r>
    </w:p>
    <w:p w:rsidR="005E31C5" w:rsidRDefault="005E31C5" w:rsidP="00257CFC">
      <w:pPr>
        <w:spacing w:after="0"/>
        <w:ind w:left="720"/>
      </w:pPr>
    </w:p>
    <w:p w:rsidR="00BD1062" w:rsidRDefault="002E794A" w:rsidP="0032423B">
      <w:pPr>
        <w:pStyle w:val="ListParagraph"/>
      </w:pPr>
      <w:r>
        <w:t>The Complainant’s</w:t>
      </w:r>
      <w:r w:rsidR="004D33CA">
        <w:t xml:space="preserve"> account statements reflect a </w:t>
      </w:r>
      <w:r w:rsidR="00946D2F">
        <w:t xml:space="preserve">total </w:t>
      </w:r>
      <w:r w:rsidR="003C7C1A">
        <w:t>outstanding balance of</w:t>
      </w:r>
      <w:r>
        <w:t xml:space="preserve"> $19,645.67.  (N.T. 46)</w:t>
      </w:r>
    </w:p>
    <w:p w:rsidR="005E31C5" w:rsidRDefault="005E31C5" w:rsidP="00257CFC">
      <w:pPr>
        <w:spacing w:after="0"/>
        <w:ind w:left="720"/>
      </w:pPr>
    </w:p>
    <w:p w:rsidR="00BD1062" w:rsidRDefault="00002434" w:rsidP="0032423B">
      <w:pPr>
        <w:pStyle w:val="ListParagraph"/>
      </w:pPr>
      <w:r>
        <w:t>From January 2009, until service was terminated</w:t>
      </w:r>
      <w:r w:rsidR="0030173D">
        <w:t xml:space="preserve"> in 2011</w:t>
      </w:r>
      <w:r>
        <w:t xml:space="preserve">, the Complainant made </w:t>
      </w:r>
      <w:r w:rsidR="00BD1062">
        <w:t xml:space="preserve">16 payments totaling </w:t>
      </w:r>
      <w:r w:rsidR="00B50BD9">
        <w:t>$</w:t>
      </w:r>
      <w:r w:rsidR="002468E2" w:rsidRPr="002468E2">
        <w:t>5</w:t>
      </w:r>
      <w:r w:rsidR="00946D2F">
        <w:t>,</w:t>
      </w:r>
      <w:r w:rsidR="002468E2" w:rsidRPr="002468E2">
        <w:t>334.86</w:t>
      </w:r>
      <w:r w:rsidR="00BD1062">
        <w:t>.</w:t>
      </w:r>
      <w:r w:rsidR="00D354F2">
        <w:t xml:space="preserve"> </w:t>
      </w:r>
      <w:r w:rsidR="00BD1062">
        <w:t xml:space="preserve"> (PGW Ex. 1)</w:t>
      </w:r>
    </w:p>
    <w:p w:rsidR="005E31C5" w:rsidRPr="00BD1062" w:rsidRDefault="005E31C5" w:rsidP="00257CFC">
      <w:pPr>
        <w:spacing w:after="0"/>
        <w:ind w:left="720"/>
      </w:pPr>
    </w:p>
    <w:p w:rsidR="00002434" w:rsidRDefault="00BD1062" w:rsidP="0032423B">
      <w:pPr>
        <w:pStyle w:val="ListParagraph"/>
      </w:pPr>
      <w:r>
        <w:t>The Complainant also received a grant in the amount of $800 on April 17, 2009.</w:t>
      </w:r>
      <w:r w:rsidR="00C073B7">
        <w:t xml:space="preserve"> </w:t>
      </w:r>
      <w:r>
        <w:t xml:space="preserve"> (N.T. 45; PGW Ex. 1)</w:t>
      </w:r>
    </w:p>
    <w:p w:rsidR="005E31C5" w:rsidRDefault="005E31C5" w:rsidP="00257CFC">
      <w:pPr>
        <w:spacing w:after="0"/>
        <w:ind w:left="720"/>
      </w:pPr>
    </w:p>
    <w:p w:rsidR="002E794A" w:rsidRDefault="00BE6E96" w:rsidP="0032423B">
      <w:pPr>
        <w:pStyle w:val="ListParagraph"/>
      </w:pPr>
      <w:r>
        <w:lastRenderedPageBreak/>
        <w:t>T</w:t>
      </w:r>
      <w:r w:rsidR="002E794A">
        <w:t xml:space="preserve">he billing statements for both SA </w:t>
      </w:r>
      <w:r>
        <w:t xml:space="preserve">681 and </w:t>
      </w:r>
      <w:r w:rsidR="002E794A">
        <w:t xml:space="preserve">SA </w:t>
      </w:r>
      <w:r>
        <w:t>263 not</w:t>
      </w:r>
      <w:r w:rsidR="00C3210E">
        <w:t>e</w:t>
      </w:r>
      <w:r>
        <w:t xml:space="preserve"> that a payment was made on January 5, 2015</w:t>
      </w:r>
      <w:r w:rsidR="003C7C1A">
        <w:t xml:space="preserve">, </w:t>
      </w:r>
      <w:r>
        <w:t xml:space="preserve">and March 9, 2015.  </w:t>
      </w:r>
      <w:r w:rsidR="00C3210E">
        <w:t>(PGW Ex. 1)</w:t>
      </w:r>
    </w:p>
    <w:p w:rsidR="005E31C5" w:rsidRDefault="005E31C5" w:rsidP="00257CFC">
      <w:pPr>
        <w:spacing w:after="0"/>
        <w:ind w:left="720"/>
      </w:pPr>
    </w:p>
    <w:p w:rsidR="00BE6E96" w:rsidRDefault="00BE6E96" w:rsidP="0032423B">
      <w:pPr>
        <w:pStyle w:val="ListParagraph"/>
      </w:pPr>
      <w:r>
        <w:t xml:space="preserve">However, the amount of the </w:t>
      </w:r>
      <w:r w:rsidR="008D5E93">
        <w:t xml:space="preserve">January 5, 2015 and March 9, 2015 payments were </w:t>
      </w:r>
      <w:r>
        <w:t xml:space="preserve">not reflected on the billing </w:t>
      </w:r>
      <w:r w:rsidR="002E794A">
        <w:t xml:space="preserve">activity </w:t>
      </w:r>
      <w:r>
        <w:t>statements, nor do the billing</w:t>
      </w:r>
      <w:r w:rsidR="002E794A">
        <w:t xml:space="preserve"> activity </w:t>
      </w:r>
      <w:r>
        <w:t>statements show the reduction of the outsta</w:t>
      </w:r>
      <w:r w:rsidR="005234D8">
        <w:t xml:space="preserve">nding balance on </w:t>
      </w:r>
      <w:r w:rsidR="00946D2F">
        <w:t>the account statement for either service agreement</w:t>
      </w:r>
      <w:r>
        <w:t>.  (PGW Ex. 1)</w:t>
      </w:r>
    </w:p>
    <w:p w:rsidR="005E31C5" w:rsidRDefault="005E31C5" w:rsidP="00257CFC">
      <w:pPr>
        <w:spacing w:after="0"/>
        <w:ind w:left="720"/>
      </w:pPr>
    </w:p>
    <w:p w:rsidR="005234D8" w:rsidRDefault="002E794A" w:rsidP="0032423B">
      <w:pPr>
        <w:pStyle w:val="ListParagraph"/>
      </w:pPr>
      <w:r>
        <w:t xml:space="preserve">Other </w:t>
      </w:r>
      <w:r w:rsidR="005234D8">
        <w:t xml:space="preserve">PGW records reflect that a cash payment was made on January 5, 2015 in the amount of $500 on </w:t>
      </w:r>
      <w:r w:rsidRPr="002E794A">
        <w:t>Account</w:t>
      </w:r>
      <w:r w:rsidR="005234D8" w:rsidRPr="002E794A">
        <w:t xml:space="preserve"> </w:t>
      </w:r>
      <w:r w:rsidR="005234D8">
        <w:t>1860.  (PGW Ex. 7 at p. 1; Complainant Ex. 1)</w:t>
      </w:r>
    </w:p>
    <w:p w:rsidR="00EA7EA1" w:rsidRDefault="00EA7EA1" w:rsidP="0032423B">
      <w:pPr>
        <w:ind w:left="1440"/>
      </w:pPr>
    </w:p>
    <w:p w:rsidR="005234D8" w:rsidRDefault="002E794A" w:rsidP="0032423B">
      <w:pPr>
        <w:pStyle w:val="ListParagraph"/>
      </w:pPr>
      <w:r>
        <w:t xml:space="preserve">Other </w:t>
      </w:r>
      <w:r w:rsidR="005234D8">
        <w:t xml:space="preserve">PGW records reflect that a cash payment was made on March 9, 2015, in the amount of $250 on </w:t>
      </w:r>
      <w:r>
        <w:t>Account</w:t>
      </w:r>
      <w:r w:rsidR="005234D8">
        <w:t xml:space="preserve"> 1860.  (PGW Ex. 7 at p. 2; Complainant Ex. 2)</w:t>
      </w:r>
    </w:p>
    <w:p w:rsidR="005E31C5" w:rsidRDefault="005E31C5" w:rsidP="00257CFC">
      <w:pPr>
        <w:spacing w:after="0"/>
        <w:ind w:left="720"/>
      </w:pPr>
    </w:p>
    <w:p w:rsidR="00C614ED" w:rsidRDefault="00C614ED" w:rsidP="0032423B">
      <w:pPr>
        <w:pStyle w:val="ListParagraph"/>
      </w:pPr>
      <w:r>
        <w:t>Although PGW has sent the Complainant copies of her billing history</w:t>
      </w:r>
      <w:r w:rsidR="002E794A">
        <w:t xml:space="preserve"> in the form of account statements</w:t>
      </w:r>
      <w:r>
        <w:t xml:space="preserve">, PGW has never included a narrative which explains </w:t>
      </w:r>
      <w:r w:rsidR="002E794A">
        <w:t>how to read and interpret the statements</w:t>
      </w:r>
      <w:r>
        <w:t>.</w:t>
      </w:r>
      <w:r w:rsidR="00D2199E">
        <w:t xml:space="preserve"> </w:t>
      </w:r>
      <w:r w:rsidR="001E6EE8">
        <w:t xml:space="preserve"> (N.T. 58-59</w:t>
      </w:r>
      <w:r w:rsidR="002E794A">
        <w:t>; PGW Ex. 5</w:t>
      </w:r>
      <w:r w:rsidR="001E6EE8">
        <w:t>)</w:t>
      </w:r>
    </w:p>
    <w:p w:rsidR="005E31C5" w:rsidRDefault="005E31C5" w:rsidP="00257CFC">
      <w:pPr>
        <w:spacing w:after="0"/>
        <w:ind w:left="720"/>
      </w:pPr>
    </w:p>
    <w:p w:rsidR="00C614ED" w:rsidRDefault="002C6CF9" w:rsidP="0032423B">
      <w:pPr>
        <w:pStyle w:val="ListParagraph"/>
      </w:pPr>
      <w:r>
        <w:t xml:space="preserve">Any payments made on the Complainant’s account are distributed between the service agreements.  For example, on July 27, 2011, the Complainant made a </w:t>
      </w:r>
      <w:r w:rsidR="00EA16C9">
        <w:t xml:space="preserve">payment in the amount of $557; </w:t>
      </w:r>
      <w:r>
        <w:t xml:space="preserve">$424.55 was applied to </w:t>
      </w:r>
      <w:r w:rsidR="002E794A">
        <w:t>SA 263</w:t>
      </w:r>
      <w:r w:rsidR="00240DE5">
        <w:t xml:space="preserve">; </w:t>
      </w:r>
      <w:r>
        <w:t xml:space="preserve">$132.45 was applied to </w:t>
      </w:r>
      <w:r w:rsidR="002E794A">
        <w:t xml:space="preserve">SA </w:t>
      </w:r>
      <w:r>
        <w:t xml:space="preserve">681.  (N.T. 60; PGW Ex. 1) </w:t>
      </w:r>
    </w:p>
    <w:p w:rsidR="005E31C5" w:rsidRDefault="005E31C5" w:rsidP="00257CFC">
      <w:pPr>
        <w:spacing w:after="0"/>
        <w:ind w:left="720"/>
      </w:pPr>
    </w:p>
    <w:p w:rsidR="00E65F3F" w:rsidRDefault="00E65F3F" w:rsidP="0032423B">
      <w:pPr>
        <w:pStyle w:val="ListParagraph"/>
      </w:pPr>
      <w:r>
        <w:t>Other than the account statements that PGW sent her when she asked for them, the Complainant does not routinely receive a bill or other statement</w:t>
      </w:r>
      <w:r w:rsidR="0030173D">
        <w:t xml:space="preserve"> of account</w:t>
      </w:r>
      <w:r>
        <w:t xml:space="preserve"> from PGW.  (N.T. 12)</w:t>
      </w:r>
    </w:p>
    <w:p w:rsidR="005E31C5" w:rsidRDefault="005E31C5" w:rsidP="00257CFC">
      <w:pPr>
        <w:spacing w:after="0"/>
        <w:ind w:left="720"/>
      </w:pPr>
    </w:p>
    <w:p w:rsidR="00E65F3F" w:rsidRDefault="00E65F3F" w:rsidP="0032423B">
      <w:pPr>
        <w:pStyle w:val="ListParagraph"/>
      </w:pPr>
      <w:r>
        <w:t>The Complainant resides with her adult brother.  (N.T. 14)</w:t>
      </w:r>
    </w:p>
    <w:p w:rsidR="005E31C5" w:rsidRDefault="005E31C5" w:rsidP="00257CFC">
      <w:pPr>
        <w:spacing w:after="0"/>
        <w:ind w:left="720"/>
      </w:pPr>
    </w:p>
    <w:p w:rsidR="00E65F3F" w:rsidRDefault="00BC575D" w:rsidP="0032423B">
      <w:pPr>
        <w:pStyle w:val="ListParagraph"/>
      </w:pPr>
      <w:r>
        <w:t>The Complainant’s brother receives SSI benefits in the amount of $504 per month.  (N.T. 14)</w:t>
      </w:r>
    </w:p>
    <w:p w:rsidR="00BC575D" w:rsidRDefault="00BC575D" w:rsidP="0032423B">
      <w:pPr>
        <w:pStyle w:val="ListParagraph"/>
      </w:pPr>
      <w:r>
        <w:lastRenderedPageBreak/>
        <w:t xml:space="preserve">The Complainant’s brother receives $100 per month in food stamps.  (N.T. </w:t>
      </w:r>
      <w:r w:rsidR="00556FA1">
        <w:t> </w:t>
      </w:r>
      <w:r>
        <w:t>5)</w:t>
      </w:r>
    </w:p>
    <w:p w:rsidR="005E31C5" w:rsidRDefault="005E31C5" w:rsidP="00257CFC">
      <w:pPr>
        <w:spacing w:after="0"/>
        <w:ind w:left="720"/>
      </w:pPr>
    </w:p>
    <w:p w:rsidR="00BC575D" w:rsidRDefault="00BC575D" w:rsidP="0032423B">
      <w:pPr>
        <w:pStyle w:val="ListParagraph"/>
      </w:pPr>
      <w:r>
        <w:t>The Complainant works as a post office clerk.  (N.T. 14)</w:t>
      </w:r>
    </w:p>
    <w:p w:rsidR="008D5E93" w:rsidRDefault="008D5E93" w:rsidP="0032423B">
      <w:pPr>
        <w:ind w:left="1440"/>
      </w:pPr>
    </w:p>
    <w:p w:rsidR="00BC575D" w:rsidRDefault="00BC575D" w:rsidP="0032423B">
      <w:pPr>
        <w:pStyle w:val="ListParagraph"/>
      </w:pPr>
      <w:r>
        <w:t>The Complainant earns $2,786 each month.  (N.T. 16)</w:t>
      </w:r>
    </w:p>
    <w:p w:rsidR="005E31C5" w:rsidRDefault="005E31C5" w:rsidP="00257CFC">
      <w:pPr>
        <w:spacing w:after="0"/>
      </w:pPr>
    </w:p>
    <w:p w:rsidR="00BC575D" w:rsidRDefault="00B50BD9" w:rsidP="00257CFC">
      <w:pPr>
        <w:spacing w:after="0"/>
        <w:jc w:val="center"/>
        <w:rPr>
          <w:u w:val="single"/>
        </w:rPr>
      </w:pPr>
      <w:r w:rsidRPr="00B50BD9">
        <w:rPr>
          <w:u w:val="single"/>
        </w:rPr>
        <w:t>DISCUSSION</w:t>
      </w:r>
    </w:p>
    <w:p w:rsidR="005E31C5" w:rsidRPr="00B50BD9" w:rsidRDefault="005E31C5" w:rsidP="00257CFC">
      <w:pPr>
        <w:spacing w:after="0"/>
        <w:rPr>
          <w:u w:val="single"/>
        </w:rPr>
      </w:pPr>
    </w:p>
    <w:p w:rsidR="00B50BD9" w:rsidRDefault="00B50BD9" w:rsidP="00257CFC">
      <w:pPr>
        <w:spacing w:after="0"/>
      </w:pPr>
      <w:r>
        <w:tab/>
      </w:r>
      <w:r w:rsidRPr="00284CBD">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284CBD">
        <w:rPr>
          <w:vertAlign w:val="superscript"/>
        </w:rPr>
        <w:footnoteReference w:id="1"/>
      </w:r>
      <w:r w:rsidRPr="00284CBD">
        <w:t xml:space="preserve">  A person seeking affirmative relief from the Commission has the burden of proof.</w:t>
      </w:r>
      <w:r w:rsidRPr="00284CBD">
        <w:rPr>
          <w:vertAlign w:val="superscript"/>
        </w:rPr>
        <w:footnoteReference w:id="2"/>
      </w:r>
    </w:p>
    <w:p w:rsidR="00B50BD9" w:rsidRPr="00284CBD" w:rsidRDefault="00B50BD9" w:rsidP="00257CFC">
      <w:pPr>
        <w:spacing w:after="0"/>
      </w:pPr>
    </w:p>
    <w:p w:rsidR="00B50BD9" w:rsidRDefault="00B50BD9" w:rsidP="00257CFC">
      <w:pPr>
        <w:spacing w:after="0"/>
      </w:pPr>
      <w:r>
        <w:tab/>
      </w:r>
      <w:r w:rsidRPr="00284CBD">
        <w:t xml:space="preserve">In this matter, the Complainant is the party seeking affirmative relief from the Commission; therefore, </w:t>
      </w:r>
      <w:r>
        <w:t>s</w:t>
      </w:r>
      <w:r w:rsidRPr="00284CBD">
        <w:t xml:space="preserve">he has the burden of proof.  This means that </w:t>
      </w:r>
      <w:r>
        <w:t>s</w:t>
      </w:r>
      <w:r w:rsidRPr="00284CBD">
        <w:t xml:space="preserve">he has the duty to establish </w:t>
      </w:r>
      <w:r>
        <w:t>facts in support of her claims</w:t>
      </w:r>
      <w:r w:rsidRPr="00284CBD">
        <w:t xml:space="preserve"> by a preponderance of the evidence, and</w:t>
      </w:r>
      <w:r w:rsidR="005F0138">
        <w:t xml:space="preserve"> she </w:t>
      </w:r>
      <w:r w:rsidRPr="00284CBD">
        <w:t xml:space="preserve">must show that </w:t>
      </w:r>
      <w:r>
        <w:t xml:space="preserve">PGW </w:t>
      </w:r>
      <w:r w:rsidRPr="00284CBD">
        <w:t>has violated the Public Utility Code or Commission regulations.</w:t>
      </w:r>
      <w:r w:rsidRPr="00284CBD">
        <w:rPr>
          <w:vertAlign w:val="superscript"/>
        </w:rPr>
        <w:footnoteReference w:id="3"/>
      </w:r>
      <w:r w:rsidRPr="00284CBD">
        <w:t xml:space="preserve">  </w:t>
      </w:r>
    </w:p>
    <w:p w:rsidR="002468E2" w:rsidRDefault="002468E2" w:rsidP="00257CFC">
      <w:pPr>
        <w:spacing w:after="0"/>
      </w:pPr>
    </w:p>
    <w:p w:rsidR="00FC67A7" w:rsidRDefault="002468E2" w:rsidP="00257CFC">
      <w:pPr>
        <w:spacing w:after="0"/>
      </w:pPr>
      <w:r>
        <w:tab/>
        <w:t>At the hearing the Complainant repeatedly stated that she did not understand why she still owed PGW so much money even though she had made payments on her balance.  PGW took the position that the Complainant had been provided with account statements on more than one occasion</w:t>
      </w:r>
      <w:r w:rsidR="008E793A">
        <w:t>,</w:t>
      </w:r>
      <w:r>
        <w:t xml:space="preserve"> and that she never communicated to PGW that she did not understand her balance after receiving the statements.  </w:t>
      </w:r>
    </w:p>
    <w:p w:rsidR="003D732F" w:rsidRDefault="003D732F" w:rsidP="00257CFC">
      <w:pPr>
        <w:spacing w:after="0"/>
      </w:pPr>
    </w:p>
    <w:p w:rsidR="003D732F" w:rsidRDefault="00FC67A7" w:rsidP="00257CFC">
      <w:pPr>
        <w:spacing w:after="0"/>
      </w:pPr>
      <w:r>
        <w:lastRenderedPageBreak/>
        <w:tab/>
        <w:t>The Complainant’s account history with PGW is complicated due to multiple terminations and reinstatements and the multiple locations of the Complainant’s records in PGW’s system.  Her confusion is understandable.</w:t>
      </w:r>
      <w:r w:rsidR="00C9235E">
        <w:t xml:space="preserve"> </w:t>
      </w:r>
      <w:r>
        <w:t xml:space="preserve"> </w:t>
      </w:r>
      <w:r w:rsidR="003D732F">
        <w:t>Although there is no indication that the Complainant’s account statement is incorrect, PGW has not effectively explained the Complainant’s account to her.</w:t>
      </w:r>
    </w:p>
    <w:p w:rsidR="00BA79A4" w:rsidRDefault="00BA79A4" w:rsidP="00257CFC">
      <w:pPr>
        <w:spacing w:after="0"/>
      </w:pPr>
    </w:p>
    <w:p w:rsidR="00BA79A4" w:rsidRDefault="00BA79A4" w:rsidP="00257CFC">
      <w:pPr>
        <w:spacing w:after="0"/>
      </w:pPr>
      <w:r>
        <w:tab/>
        <w:t xml:space="preserve">The Complainant has resided at the service address for 20 years. </w:t>
      </w:r>
      <w:r w:rsidR="00101B38">
        <w:t xml:space="preserve"> </w:t>
      </w:r>
      <w:r>
        <w:t xml:space="preserve">During that time, she has had a troubled history with PGW and has had her service terminated and reconnected a number of times.  From 1997 until April 2007, the Complainant’s account was identified by Account 3689.  In 2007, that account was terminated for non-payment.  The unpaid balance on that account, $16,979.76, was </w:t>
      </w:r>
      <w:r w:rsidR="00FB6FEB">
        <w:t>placed</w:t>
      </w:r>
      <w:r>
        <w:t xml:space="preserve"> into a write-off account by PGW.  Later in 2007, the Complainant’s service was restored. </w:t>
      </w:r>
      <w:r w:rsidR="00D8183F">
        <w:t xml:space="preserve"> </w:t>
      </w:r>
      <w:r>
        <w:t>She was assigned a new account number, Account 1860.  The Complainant was unaware that her account number had been changed.</w:t>
      </w:r>
    </w:p>
    <w:p w:rsidR="00F33AE9" w:rsidRDefault="00F33AE9" w:rsidP="00257CFC">
      <w:pPr>
        <w:spacing w:after="0"/>
      </w:pPr>
    </w:p>
    <w:p w:rsidR="00FE1D6A" w:rsidRDefault="00FE1D6A" w:rsidP="00257CFC">
      <w:pPr>
        <w:spacing w:after="0"/>
      </w:pPr>
      <w:r>
        <w:tab/>
        <w:t xml:space="preserve">The Complainant’s Account 1860 was also assigned a service agreement number.  PGW’s witness explained that service agreement numbers are used when service is terminated and shut off for non-payment, the service agreement is finalized.  If service is restored a customer is assigned a new service agreement number.  A customer can have multiple service agreement numbers associated with their account number.  </w:t>
      </w:r>
    </w:p>
    <w:p w:rsidR="00FE1D6A" w:rsidRDefault="00FE1D6A" w:rsidP="00257CFC">
      <w:pPr>
        <w:spacing w:after="0"/>
      </w:pPr>
    </w:p>
    <w:p w:rsidR="00FE1D6A" w:rsidRDefault="00FE1D6A" w:rsidP="00257CFC">
      <w:pPr>
        <w:spacing w:after="0"/>
      </w:pPr>
      <w:r>
        <w:tab/>
        <w:t>In the Complainant’s case, a second service agreement was assigned to Account 1860 in 2010 when PGW decided to reactivate the old unpaid balance from 2007.  PGW did not offer any testimony which explained why the balance was reactivated in 2010, nearly three years after it had been sent to write-off.</w:t>
      </w:r>
      <w:r w:rsidR="00FB6FEB">
        <w:rPr>
          <w:rStyle w:val="FootnoteReference"/>
        </w:rPr>
        <w:footnoteReference w:id="4"/>
      </w:r>
      <w:r>
        <w:t xml:space="preserve">  However, from this point forward the Complainant’s statement of account included activity on two service agreements.  PGW also distributed her </w:t>
      </w:r>
      <w:r>
        <w:lastRenderedPageBreak/>
        <w:t xml:space="preserve">payments between the two balances.  </w:t>
      </w:r>
      <w:r w:rsidR="005C3B98">
        <w:t xml:space="preserve">Therefore, to derive her total balance, she would have to add the balances from the two service agreements together.  Similarly, to match her payment receipts to her account statement, she would have to add the two recorded payments together for the total payment made.  </w:t>
      </w:r>
    </w:p>
    <w:p w:rsidR="005C3B98" w:rsidRDefault="005C3B98" w:rsidP="00257CFC">
      <w:pPr>
        <w:spacing w:after="0"/>
      </w:pPr>
    </w:p>
    <w:p w:rsidR="005C3B98" w:rsidRDefault="005C3B98" w:rsidP="00257CFC">
      <w:pPr>
        <w:spacing w:after="0"/>
      </w:pPr>
      <w:r>
        <w:tab/>
        <w:t xml:space="preserve">The multiple service agreements for balances from different time periods and distributed payments are not self-evident from the account statements which were sent to the Complainant.  PGW’s witness testified that when the Complainant asked for account statements, they were sent to her.  However, those statements did not include any guidance for how to interpret the information on the account statements.  Although PGW’s records reflect that customer service representatives spoke with the Complainant, none of those representatives </w:t>
      </w:r>
      <w:r w:rsidR="00E82532">
        <w:t>testified.  T</w:t>
      </w:r>
      <w:r>
        <w:t>herefore</w:t>
      </w:r>
      <w:r w:rsidR="00E82532">
        <w:t>,</w:t>
      </w:r>
      <w:r>
        <w:t xml:space="preserve"> it is impossible to conclude that the Complainant’s account activity was effectively communicated to her.</w:t>
      </w:r>
    </w:p>
    <w:p w:rsidR="003D732F" w:rsidRDefault="003D732F" w:rsidP="00257CFC">
      <w:pPr>
        <w:spacing w:after="0"/>
      </w:pPr>
      <w:r>
        <w:tab/>
      </w:r>
    </w:p>
    <w:p w:rsidR="00FC67A7" w:rsidRDefault="003D732F" w:rsidP="00257CFC">
      <w:pPr>
        <w:spacing w:after="0"/>
      </w:pPr>
      <w:r>
        <w:tab/>
        <w:t>Section 1501 of the Public Utility Code requires a public utility to render reasonable service.</w:t>
      </w:r>
      <w:r w:rsidR="00ED42ED">
        <w:rPr>
          <w:rStyle w:val="FootnoteReference"/>
        </w:rPr>
        <w:footnoteReference w:id="5"/>
      </w:r>
      <w:r w:rsidR="00FE1D6A">
        <w:t xml:space="preserve">  </w:t>
      </w:r>
      <w:r w:rsidR="008E793A">
        <w:t>T</w:t>
      </w:r>
      <w:r>
        <w:t>he handling of customer inquiries is an important aspect of reasonable service and is encompassed within the broad definition of “service” in the Public Utility Code.</w:t>
      </w:r>
      <w:r w:rsidR="00ED42ED">
        <w:rPr>
          <w:rStyle w:val="FootnoteReference"/>
        </w:rPr>
        <w:footnoteReference w:id="6"/>
      </w:r>
    </w:p>
    <w:p w:rsidR="00FC67A7" w:rsidRDefault="00FC67A7" w:rsidP="00257CFC">
      <w:pPr>
        <w:spacing w:after="0"/>
      </w:pPr>
    </w:p>
    <w:p w:rsidR="00D611FA" w:rsidRDefault="00FC67A7" w:rsidP="00257CFC">
      <w:pPr>
        <w:spacing w:after="0"/>
      </w:pPr>
      <w:r>
        <w:tab/>
        <w:t>PGW</w:t>
      </w:r>
      <w:r w:rsidR="00391252">
        <w:t xml:space="preserve"> has attempted to respond to the Complainant’s</w:t>
      </w:r>
      <w:r>
        <w:t xml:space="preserve"> questions about her balance by sending her account statements.  However, those account statements include balances identified by different account numbers and multiple “service agreement” numbers.  There is no evidence in the record that PGW ever explained to her how to read those statements and why </w:t>
      </w:r>
      <w:r>
        <w:lastRenderedPageBreak/>
        <w:t>different balances are associated by different account and service agreement numbers</w:t>
      </w:r>
      <w:r w:rsidR="00391252">
        <w:t>, despite the Complainant’s repeated contacts with the utility</w:t>
      </w:r>
      <w:r>
        <w:t xml:space="preserve">.  </w:t>
      </w:r>
    </w:p>
    <w:p w:rsidR="00D611FA" w:rsidRDefault="00D611FA" w:rsidP="00257CFC">
      <w:pPr>
        <w:spacing w:after="0"/>
      </w:pPr>
    </w:p>
    <w:p w:rsidR="00D611FA" w:rsidRDefault="00D611FA" w:rsidP="00257CFC">
      <w:pPr>
        <w:spacing w:after="0"/>
      </w:pPr>
      <w:r>
        <w:tab/>
      </w:r>
      <w:r w:rsidR="00FC67A7">
        <w:t xml:space="preserve">Nor is there any evidence that PGW ever explained to the Complainant that it was reactivating </w:t>
      </w:r>
      <w:r w:rsidR="005C3B98">
        <w:t>the 2007 balance</w:t>
      </w:r>
      <w:r w:rsidR="00FC67A7">
        <w:t xml:space="preserve"> from </w:t>
      </w:r>
      <w:r w:rsidR="00F767B6">
        <w:t xml:space="preserve">a prior </w:t>
      </w:r>
      <w:r w:rsidR="00ED42ED">
        <w:t>account that had been inactive</w:t>
      </w:r>
      <w:r w:rsidR="00FC67A7">
        <w:t xml:space="preserve"> for nearly three years</w:t>
      </w:r>
      <w:r w:rsidR="00ED42ED">
        <w:t xml:space="preserve">.  Further, it is not obvious from the face of these account statements that PGW was splitting her payments between two past due account balances identified by different service agreement numbers. </w:t>
      </w:r>
    </w:p>
    <w:p w:rsidR="00D611FA" w:rsidRDefault="00D611FA" w:rsidP="00257CFC">
      <w:pPr>
        <w:spacing w:after="0"/>
      </w:pPr>
    </w:p>
    <w:p w:rsidR="00F767B6" w:rsidRDefault="00D611FA" w:rsidP="00257CFC">
      <w:pPr>
        <w:spacing w:after="0"/>
      </w:pPr>
      <w:r>
        <w:tab/>
        <w:t>Finally</w:t>
      </w:r>
      <w:r w:rsidR="00376962">
        <w:t>, payments that the Complainant had made were recorded on the</w:t>
      </w:r>
      <w:r w:rsidR="00250D0A">
        <w:t xml:space="preserve"> account </w:t>
      </w:r>
      <w:r w:rsidR="00376962">
        <w:t xml:space="preserve">statement, but the amount received was not noted, nor was the balance reduced by the amount of the payment. </w:t>
      </w:r>
      <w:r w:rsidR="00F767B6">
        <w:t xml:space="preserve"> Indeed, </w:t>
      </w:r>
      <w:r w:rsidR="007D33A0">
        <w:t xml:space="preserve">during the hearing, </w:t>
      </w:r>
      <w:r w:rsidR="00F767B6">
        <w:t>PGW’s witness had to consult a variety of PGW records in order to fully explain the activity on the Complainant’s accounts and service agreements.</w:t>
      </w:r>
    </w:p>
    <w:p w:rsidR="00F767B6" w:rsidRDefault="00F767B6" w:rsidP="00257CFC">
      <w:pPr>
        <w:spacing w:after="0"/>
      </w:pPr>
    </w:p>
    <w:p w:rsidR="00FC67A7" w:rsidRDefault="00F767B6" w:rsidP="00257CFC">
      <w:pPr>
        <w:spacing w:after="0"/>
      </w:pPr>
      <w:r>
        <w:tab/>
      </w:r>
      <w:r w:rsidR="00ED42ED">
        <w:t>Finally, the Complainant testified that although her service has been terminated, she does not receive a statement noting her payments or her current balance.  All she gets is a receipt when she makes a payment in person.</w:t>
      </w:r>
    </w:p>
    <w:p w:rsidR="00ED42ED" w:rsidRDefault="00ED42ED" w:rsidP="00257CFC">
      <w:pPr>
        <w:spacing w:after="0"/>
      </w:pPr>
    </w:p>
    <w:p w:rsidR="00ED42ED" w:rsidRDefault="00ED42ED" w:rsidP="00257CFC">
      <w:pPr>
        <w:spacing w:after="0"/>
      </w:pPr>
      <w:r>
        <w:tab/>
        <w:t>I find that PGW’s failure to</w:t>
      </w:r>
      <w:r w:rsidR="00F767B6">
        <w:t xml:space="preserve"> provide the Complainant with an effective e</w:t>
      </w:r>
      <w:r>
        <w:t xml:space="preserve">xplanation of her account </w:t>
      </w:r>
      <w:r w:rsidR="00DF7F50">
        <w:t>activity</w:t>
      </w:r>
      <w:r>
        <w:t xml:space="preserve"> or to provide her with</w:t>
      </w:r>
      <w:r w:rsidR="00F767B6">
        <w:t xml:space="preserve"> a </w:t>
      </w:r>
      <w:r w:rsidR="005C3B98">
        <w:t>comprehensible a</w:t>
      </w:r>
      <w:r w:rsidR="00F767B6">
        <w:t xml:space="preserve">ccount statement when she complained that she could not understand why she still owed so much </w:t>
      </w:r>
      <w:proofErr w:type="gramStart"/>
      <w:r w:rsidR="00F767B6">
        <w:t>money</w:t>
      </w:r>
      <w:r w:rsidR="00E82532">
        <w:t>,</w:t>
      </w:r>
      <w:proofErr w:type="gramEnd"/>
      <w:r w:rsidR="00F767B6">
        <w:t xml:space="preserve"> is not reasonable service.  The account statements themselves are not easily understandable.  Nor is it obvious from the face of the statements that there are different balances identified by different service agreemen</w:t>
      </w:r>
      <w:r w:rsidR="0036205D">
        <w:t xml:space="preserve">t numbers which require a person to add the outstanding balances from each service agreement in order to derive the entire amount due.  Similarly, </w:t>
      </w:r>
      <w:r w:rsidR="005814A8">
        <w:t>the Complainant</w:t>
      </w:r>
      <w:r w:rsidR="0036205D">
        <w:t xml:space="preserve"> must add the payments recorded on each service agreement to derive the full amount of the payment that was made.</w:t>
      </w:r>
      <w:r w:rsidR="00EE6770">
        <w:t xml:space="preserve">  Such a scramble of records are inscrutable to the average customer and do not keep the customer informed about the amount of money that they owe to the utility.</w:t>
      </w:r>
      <w:r w:rsidR="005A196F">
        <w:t xml:space="preserve">  Therefore, PGW shall be required to recalculate the Complainant’s </w:t>
      </w:r>
      <w:r w:rsidR="005814A8">
        <w:t>balance</w:t>
      </w:r>
      <w:r w:rsidR="005A196F">
        <w:t xml:space="preserve">, including the payments recently made by the Complainant and provide her with a consolidated statement </w:t>
      </w:r>
      <w:r w:rsidR="00235D3B">
        <w:t xml:space="preserve">of activity for the last </w:t>
      </w:r>
      <w:r w:rsidR="00006334">
        <w:t xml:space="preserve">three </w:t>
      </w:r>
      <w:r w:rsidR="00006334">
        <w:lastRenderedPageBreak/>
        <w:t>years</w:t>
      </w:r>
      <w:r w:rsidR="00235D3B">
        <w:t xml:space="preserve"> </w:t>
      </w:r>
      <w:r w:rsidR="005A196F">
        <w:t xml:space="preserve">which </w:t>
      </w:r>
      <w:r w:rsidR="003E4F75">
        <w:t xml:space="preserve">clearly </w:t>
      </w:r>
      <w:r w:rsidR="005A196F">
        <w:t xml:space="preserve">shows </w:t>
      </w:r>
      <w:r w:rsidR="00235D3B">
        <w:t>the Complainant’s</w:t>
      </w:r>
      <w:r w:rsidR="005A196F">
        <w:t xml:space="preserve"> account activity</w:t>
      </w:r>
      <w:r w:rsidR="004C0BB0">
        <w:t xml:space="preserve"> and includes a clear statement of her current balance</w:t>
      </w:r>
      <w:r w:rsidR="005A196F">
        <w:t>.</w:t>
      </w:r>
    </w:p>
    <w:p w:rsidR="00102A51" w:rsidRDefault="00102A51" w:rsidP="00257CFC">
      <w:pPr>
        <w:spacing w:after="0"/>
      </w:pPr>
    </w:p>
    <w:p w:rsidR="00102A51" w:rsidRDefault="00102A51" w:rsidP="00257CFC">
      <w:pPr>
        <w:spacing w:after="0"/>
        <w:ind w:firstLine="1440"/>
        <w:rPr>
          <w:szCs w:val="24"/>
        </w:rPr>
      </w:pPr>
      <w:r>
        <w:t xml:space="preserve">Having concluded that PGW has rendered unreasonable service in violation of Section 1501 of the Public Utility Code, the assessment of a civil penalty is appropriate.  </w:t>
      </w:r>
      <w:r w:rsidRPr="0098528A">
        <w:rPr>
          <w:snapToGrid w:val="0"/>
          <w:szCs w:val="24"/>
        </w:rPr>
        <w:t>Section 3301 of the Public Utility Code provides that if any public utility fails to comply with any Commission regulation it shall forfeit and pay to the Commonwealth a sum not exceeding $1,000.00 per day of violation.</w:t>
      </w:r>
      <w:r w:rsidRPr="0098528A">
        <w:rPr>
          <w:rStyle w:val="FootnoteReference"/>
          <w:snapToGrid w:val="0"/>
          <w:szCs w:val="24"/>
        </w:rPr>
        <w:footnoteReference w:id="7"/>
      </w:r>
      <w:r w:rsidRPr="0098528A">
        <w:rPr>
          <w:snapToGrid w:val="0"/>
          <w:szCs w:val="24"/>
        </w:rPr>
        <w:t xml:space="preserve">  To implement this section, the Commission has adopted certain standards that must be applied when imposing a civil penalty for violations of Commission directives and regulations.</w:t>
      </w:r>
      <w:r w:rsidRPr="0098528A">
        <w:rPr>
          <w:rStyle w:val="FootnoteReference"/>
          <w:snapToGrid w:val="0"/>
          <w:szCs w:val="24"/>
        </w:rPr>
        <w:footnoteReference w:id="8"/>
      </w:r>
      <w:r w:rsidRPr="0098528A">
        <w:rPr>
          <w:snapToGrid w:val="0"/>
          <w:szCs w:val="24"/>
        </w:rPr>
        <w:t xml:space="preserve">  </w:t>
      </w:r>
      <w:r w:rsidRPr="0098528A">
        <w:rPr>
          <w:szCs w:val="24"/>
        </w:rPr>
        <w:t>Section 69.1201(a) of the Commission’s regulations states:</w:t>
      </w:r>
    </w:p>
    <w:p w:rsidR="00102A51" w:rsidRPr="0098528A" w:rsidRDefault="00102A51" w:rsidP="00102A51">
      <w:pPr>
        <w:spacing w:after="0" w:line="240" w:lineRule="auto"/>
        <w:ind w:firstLine="1440"/>
        <w:rPr>
          <w:szCs w:val="24"/>
        </w:rPr>
      </w:pPr>
    </w:p>
    <w:p w:rsidR="00102A51" w:rsidRPr="0098528A" w:rsidRDefault="00102A51" w:rsidP="007B6728">
      <w:pPr>
        <w:spacing w:after="0" w:line="240" w:lineRule="auto"/>
        <w:ind w:left="1440" w:right="1440"/>
        <w:rPr>
          <w:szCs w:val="24"/>
        </w:rPr>
      </w:pPr>
      <w:r w:rsidRPr="0098528A">
        <w:rPr>
          <w:szCs w:val="24"/>
        </w:rPr>
        <w:t>The Commission will consider specific factors and standards in evaluating litigated … cases involving violations of 66 Pa.C.S. (relating to the Public Utility Code) and this title.  These factors and standards will be utilized by the Commission in determining if a fine for violating a Commission order, regulation or statute is appropriate.</w:t>
      </w:r>
      <w:r w:rsidRPr="0098528A">
        <w:rPr>
          <w:rStyle w:val="FootnoteReference"/>
          <w:szCs w:val="24"/>
        </w:rPr>
        <w:footnoteReference w:id="9"/>
      </w:r>
      <w:r w:rsidRPr="0098528A">
        <w:rPr>
          <w:szCs w:val="24"/>
        </w:rPr>
        <w:t xml:space="preserve">  </w:t>
      </w:r>
    </w:p>
    <w:p w:rsidR="00102A51" w:rsidRPr="0098528A" w:rsidRDefault="00102A51" w:rsidP="00102A51">
      <w:pPr>
        <w:spacing w:after="0"/>
        <w:ind w:left="1440" w:right="1440"/>
        <w:rPr>
          <w:szCs w:val="24"/>
        </w:rPr>
      </w:pPr>
    </w:p>
    <w:p w:rsidR="00102A51" w:rsidRPr="0098528A" w:rsidRDefault="00102A51" w:rsidP="00102A51">
      <w:pPr>
        <w:spacing w:after="0" w:line="240" w:lineRule="auto"/>
        <w:outlineLvl w:val="0"/>
        <w:rPr>
          <w:szCs w:val="24"/>
        </w:rPr>
      </w:pPr>
      <w:r w:rsidRPr="0098528A">
        <w:rPr>
          <w:szCs w:val="24"/>
        </w:rPr>
        <w:t>These factors and standards to be considered are enumerated in subsection (c):</w:t>
      </w:r>
    </w:p>
    <w:p w:rsidR="00102A51" w:rsidRPr="0098528A" w:rsidRDefault="00102A51" w:rsidP="00102A51">
      <w:pPr>
        <w:spacing w:after="0" w:line="240" w:lineRule="auto"/>
        <w:ind w:left="1440" w:right="1440"/>
        <w:rPr>
          <w:szCs w:val="24"/>
        </w:rPr>
      </w:pPr>
    </w:p>
    <w:p w:rsidR="00102A51" w:rsidRDefault="00102A51" w:rsidP="007B6728">
      <w:pPr>
        <w:spacing w:after="0" w:line="240" w:lineRule="auto"/>
        <w:ind w:left="1440" w:right="1440" w:firstLine="720"/>
        <w:rPr>
          <w:szCs w:val="24"/>
        </w:rPr>
      </w:pPr>
      <w:r w:rsidRPr="0098528A">
        <w:rPr>
          <w:szCs w:val="24"/>
        </w:rPr>
        <w:t>(1)</w:t>
      </w:r>
      <w:r w:rsidRPr="0098528A">
        <w:rPr>
          <w:szCs w:val="24"/>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102A51" w:rsidRDefault="00102A51" w:rsidP="007B6728">
      <w:pPr>
        <w:spacing w:after="0" w:line="240" w:lineRule="auto"/>
        <w:ind w:left="1440" w:right="1440" w:firstLine="720"/>
        <w:rPr>
          <w:szCs w:val="24"/>
        </w:rPr>
      </w:pPr>
    </w:p>
    <w:p w:rsidR="00102A51" w:rsidRDefault="00102A51" w:rsidP="007B6728">
      <w:pPr>
        <w:spacing w:after="0" w:line="240" w:lineRule="auto"/>
        <w:ind w:left="1440" w:right="1440" w:firstLine="720"/>
        <w:rPr>
          <w:szCs w:val="24"/>
        </w:rPr>
      </w:pPr>
      <w:r w:rsidRPr="0098528A">
        <w:rPr>
          <w:szCs w:val="24"/>
        </w:rPr>
        <w:t>(2)</w:t>
      </w:r>
      <w:r w:rsidRPr="0098528A">
        <w:rPr>
          <w:szCs w:val="24"/>
        </w:rPr>
        <w:tab/>
        <w:t>Whether the resulting consequences of the conduct at issue were of a serious nature.  When consequences of a serious nature are involved, such as personal injury or property damage, the consequences may warrant a higher penalty.</w:t>
      </w:r>
    </w:p>
    <w:p w:rsidR="00102A51" w:rsidRDefault="00102A51" w:rsidP="007B6728">
      <w:pPr>
        <w:spacing w:after="0" w:line="240" w:lineRule="auto"/>
        <w:ind w:left="1440" w:right="1440" w:firstLine="720"/>
        <w:rPr>
          <w:szCs w:val="24"/>
        </w:rPr>
      </w:pPr>
    </w:p>
    <w:p w:rsidR="00102A51" w:rsidRDefault="00102A51" w:rsidP="007B6728">
      <w:pPr>
        <w:spacing w:after="0" w:line="240" w:lineRule="auto"/>
        <w:ind w:left="1440" w:right="1440" w:firstLine="720"/>
        <w:rPr>
          <w:szCs w:val="24"/>
        </w:rPr>
      </w:pPr>
      <w:r w:rsidRPr="0098528A">
        <w:rPr>
          <w:szCs w:val="24"/>
        </w:rPr>
        <w:t>(3)</w:t>
      </w:r>
      <w:r w:rsidRPr="0098528A">
        <w:rPr>
          <w:szCs w:val="24"/>
        </w:rPr>
        <w:tab/>
        <w:t xml:space="preserve">Whether the conduct at issue was deemed intentional or negligent.  This factor may only be considered in </w:t>
      </w:r>
      <w:r w:rsidRPr="0098528A">
        <w:rPr>
          <w:szCs w:val="24"/>
        </w:rPr>
        <w:lastRenderedPageBreak/>
        <w:t>evaluating litigated cases.  When conduct has been deemed intentional, the conduct may result in a higher penalty.</w:t>
      </w:r>
    </w:p>
    <w:p w:rsidR="00102A51" w:rsidRPr="0098528A" w:rsidRDefault="00102A51" w:rsidP="007B6728">
      <w:pPr>
        <w:spacing w:after="0" w:line="240" w:lineRule="auto"/>
        <w:ind w:left="1440" w:right="1440" w:firstLine="720"/>
        <w:rPr>
          <w:szCs w:val="24"/>
        </w:rPr>
      </w:pPr>
    </w:p>
    <w:p w:rsidR="00102A51" w:rsidRDefault="00102A51" w:rsidP="007B6728">
      <w:pPr>
        <w:spacing w:after="0" w:line="240" w:lineRule="auto"/>
        <w:ind w:left="1440" w:right="1440" w:firstLine="720"/>
        <w:rPr>
          <w:szCs w:val="24"/>
        </w:rPr>
      </w:pPr>
      <w:r w:rsidRPr="0098528A">
        <w:rPr>
          <w:szCs w:val="24"/>
        </w:rPr>
        <w:t>(4)</w:t>
      </w:r>
      <w:r w:rsidRPr="0098528A">
        <w:rPr>
          <w:szCs w:val="24"/>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102A51" w:rsidRPr="0098528A" w:rsidRDefault="00102A51" w:rsidP="007B6728">
      <w:pPr>
        <w:spacing w:after="0" w:line="240" w:lineRule="auto"/>
        <w:ind w:left="1440" w:right="1440" w:firstLine="720"/>
        <w:rPr>
          <w:szCs w:val="24"/>
        </w:rPr>
      </w:pPr>
    </w:p>
    <w:p w:rsidR="00102A51" w:rsidRDefault="00102A51" w:rsidP="007B6728">
      <w:pPr>
        <w:spacing w:after="0" w:line="240" w:lineRule="auto"/>
        <w:ind w:left="1440" w:right="1440" w:firstLine="720"/>
        <w:rPr>
          <w:szCs w:val="24"/>
        </w:rPr>
      </w:pPr>
      <w:r w:rsidRPr="0098528A">
        <w:rPr>
          <w:szCs w:val="24"/>
        </w:rPr>
        <w:t>(5)</w:t>
      </w:r>
      <w:r w:rsidRPr="0098528A">
        <w:rPr>
          <w:szCs w:val="24"/>
        </w:rPr>
        <w:tab/>
        <w:t>The number of customers affected and the duration of the violation.</w:t>
      </w:r>
    </w:p>
    <w:p w:rsidR="00102A51" w:rsidRPr="0098528A" w:rsidRDefault="00102A51" w:rsidP="007B6728">
      <w:pPr>
        <w:spacing w:after="0" w:line="240" w:lineRule="auto"/>
        <w:ind w:left="1440" w:right="1440" w:firstLine="720"/>
        <w:rPr>
          <w:szCs w:val="24"/>
        </w:rPr>
      </w:pPr>
    </w:p>
    <w:p w:rsidR="00102A51" w:rsidRDefault="00102A51" w:rsidP="007B6728">
      <w:pPr>
        <w:spacing w:after="0" w:line="240" w:lineRule="auto"/>
        <w:ind w:left="1440" w:right="1440" w:firstLine="720"/>
        <w:rPr>
          <w:szCs w:val="24"/>
        </w:rPr>
      </w:pPr>
      <w:r w:rsidRPr="0098528A">
        <w:rPr>
          <w:szCs w:val="24"/>
        </w:rPr>
        <w:t>(6)</w:t>
      </w:r>
      <w:r w:rsidRPr="0098528A">
        <w:rPr>
          <w:szCs w:val="24"/>
        </w:rPr>
        <w:tab/>
        <w:t>The compliance history of the regulated entity which committed the violation.  An isolated incident from an otherwise compliant utility may result in a lower penalty, whereas frequent, recurrent violations by a utility may result in a higher penalty.</w:t>
      </w:r>
    </w:p>
    <w:p w:rsidR="00102A51" w:rsidRPr="0098528A" w:rsidRDefault="00102A51" w:rsidP="007B6728">
      <w:pPr>
        <w:spacing w:after="0" w:line="240" w:lineRule="auto"/>
        <w:ind w:left="1440" w:right="1440" w:firstLine="720"/>
        <w:rPr>
          <w:szCs w:val="24"/>
        </w:rPr>
      </w:pPr>
    </w:p>
    <w:p w:rsidR="00102A51" w:rsidRDefault="00102A51" w:rsidP="007B6728">
      <w:pPr>
        <w:spacing w:after="0" w:line="240" w:lineRule="auto"/>
        <w:ind w:left="1440" w:right="1440" w:firstLine="720"/>
        <w:rPr>
          <w:szCs w:val="24"/>
        </w:rPr>
      </w:pPr>
      <w:r w:rsidRPr="0098528A">
        <w:rPr>
          <w:szCs w:val="24"/>
        </w:rPr>
        <w:t>(7)</w:t>
      </w:r>
      <w:r w:rsidRPr="0098528A">
        <w:rPr>
          <w:szCs w:val="24"/>
        </w:rPr>
        <w:tab/>
        <w:t>Whether the regulated entity cooperated with the Commission’s investigation.  Facts establishing bad faith, active concealment of violations or attempts to interfere with Commission investigations may result in a higher penalty.</w:t>
      </w:r>
    </w:p>
    <w:p w:rsidR="00A86F97" w:rsidRDefault="00A86F97" w:rsidP="007B6728">
      <w:pPr>
        <w:spacing w:after="0" w:line="240" w:lineRule="auto"/>
        <w:ind w:left="1440" w:right="1440" w:firstLine="720"/>
        <w:rPr>
          <w:szCs w:val="24"/>
        </w:rPr>
      </w:pPr>
    </w:p>
    <w:p w:rsidR="00102A51" w:rsidRDefault="00102A51" w:rsidP="00102A51">
      <w:pPr>
        <w:spacing w:after="0" w:line="240" w:lineRule="auto"/>
        <w:ind w:left="1440" w:right="1440" w:firstLine="720"/>
        <w:rPr>
          <w:szCs w:val="24"/>
        </w:rPr>
      </w:pPr>
      <w:r w:rsidRPr="0098528A">
        <w:rPr>
          <w:szCs w:val="24"/>
        </w:rPr>
        <w:t>(8)</w:t>
      </w:r>
      <w:r w:rsidRPr="0098528A">
        <w:rPr>
          <w:szCs w:val="24"/>
        </w:rPr>
        <w:tab/>
        <w:t>The amount of the civil penalty or fine necessary to deter future violations.  The size of the utility may be considered to determine an appropriate penalty amount.</w:t>
      </w:r>
    </w:p>
    <w:p w:rsidR="00102A51" w:rsidRPr="0098528A" w:rsidRDefault="00102A51" w:rsidP="00102A51">
      <w:pPr>
        <w:spacing w:after="0" w:line="240" w:lineRule="auto"/>
        <w:ind w:left="1440" w:right="1440" w:firstLine="720"/>
        <w:rPr>
          <w:szCs w:val="24"/>
        </w:rPr>
      </w:pPr>
    </w:p>
    <w:p w:rsidR="00102A51" w:rsidRDefault="00102A51" w:rsidP="00102A51">
      <w:pPr>
        <w:spacing w:after="0" w:line="240" w:lineRule="auto"/>
        <w:ind w:left="1440" w:right="1440" w:firstLine="720"/>
        <w:rPr>
          <w:szCs w:val="24"/>
        </w:rPr>
      </w:pPr>
      <w:r w:rsidRPr="0098528A">
        <w:rPr>
          <w:szCs w:val="24"/>
        </w:rPr>
        <w:t>(9)</w:t>
      </w:r>
      <w:r w:rsidRPr="0098528A">
        <w:rPr>
          <w:szCs w:val="24"/>
        </w:rPr>
        <w:tab/>
        <w:t>Past Commission decision</w:t>
      </w:r>
      <w:r>
        <w:rPr>
          <w:szCs w:val="24"/>
        </w:rPr>
        <w:t>s</w:t>
      </w:r>
      <w:r w:rsidRPr="0098528A">
        <w:rPr>
          <w:szCs w:val="24"/>
        </w:rPr>
        <w:t xml:space="preserve"> in similar situations.</w:t>
      </w:r>
    </w:p>
    <w:p w:rsidR="00102A51" w:rsidRPr="0098528A" w:rsidRDefault="00102A51" w:rsidP="00102A51">
      <w:pPr>
        <w:spacing w:after="0" w:line="240" w:lineRule="auto"/>
        <w:ind w:left="1440" w:right="1440" w:firstLine="720"/>
        <w:rPr>
          <w:szCs w:val="24"/>
        </w:rPr>
      </w:pPr>
    </w:p>
    <w:p w:rsidR="00102A51" w:rsidRDefault="00102A51" w:rsidP="00102A51">
      <w:pPr>
        <w:spacing w:after="0" w:line="240" w:lineRule="auto"/>
        <w:ind w:left="720" w:right="1440" w:firstLine="1440"/>
        <w:rPr>
          <w:szCs w:val="24"/>
        </w:rPr>
      </w:pPr>
      <w:r w:rsidRPr="0098528A">
        <w:rPr>
          <w:szCs w:val="24"/>
        </w:rPr>
        <w:t>(10)</w:t>
      </w:r>
      <w:r w:rsidRPr="0098528A">
        <w:rPr>
          <w:szCs w:val="24"/>
        </w:rPr>
        <w:tab/>
        <w:t>Other relevant factors.</w:t>
      </w:r>
      <w:r w:rsidRPr="0098528A">
        <w:rPr>
          <w:rStyle w:val="FootnoteReference"/>
          <w:szCs w:val="24"/>
        </w:rPr>
        <w:footnoteReference w:id="10"/>
      </w:r>
    </w:p>
    <w:p w:rsidR="00102A51" w:rsidRDefault="00102A51" w:rsidP="00102A51">
      <w:pPr>
        <w:spacing w:after="0"/>
      </w:pPr>
    </w:p>
    <w:p w:rsidR="00001F0F" w:rsidRDefault="00102A51" w:rsidP="00102A51">
      <w:pPr>
        <w:spacing w:after="0"/>
      </w:pPr>
      <w:r>
        <w:tab/>
        <w:t xml:space="preserve">A civil penalty in the amount of $500 is appropriate for this violation.  </w:t>
      </w:r>
      <w:r w:rsidR="00C75930">
        <w:t>This conduct by PGW was not serious in the sense that it had the potential to result in any injury to person or property.  As I have concluded that there is no evidence that the account statements are incorrect, there is certainly no indication of fraud or willful misrepresentation on the part of PGW.</w:t>
      </w:r>
      <w:r w:rsidR="00123741">
        <w:rPr>
          <w:rStyle w:val="FootnoteReference"/>
        </w:rPr>
        <w:footnoteReference w:id="11"/>
      </w:r>
      <w:r w:rsidR="00C75930">
        <w:t xml:space="preserve">  I do not have any evidence that other customers are </w:t>
      </w:r>
      <w:r w:rsidR="002F6267">
        <w:t>affected, or</w:t>
      </w:r>
      <w:r w:rsidR="00C75930">
        <w:t xml:space="preserve"> that this is a widespread </w:t>
      </w:r>
      <w:r w:rsidR="00C75930">
        <w:lastRenderedPageBreak/>
        <w:t>problem across the utility.</w:t>
      </w:r>
      <w:r w:rsidR="00123741">
        <w:rPr>
          <w:rStyle w:val="FootnoteReference"/>
        </w:rPr>
        <w:footnoteReference w:id="12"/>
      </w:r>
      <w:r w:rsidR="00C75930">
        <w:t xml:space="preserve">  PGW was of the view that sending the Complainant account statements upon request was adequate communication and has not had an opportunity to make</w:t>
      </w:r>
    </w:p>
    <w:p w:rsidR="00123741" w:rsidRDefault="00C75930" w:rsidP="00102A51">
      <w:pPr>
        <w:spacing w:after="0"/>
      </w:pPr>
      <w:proofErr w:type="gramStart"/>
      <w:r>
        <w:t>changes</w:t>
      </w:r>
      <w:proofErr w:type="gramEnd"/>
      <w:r>
        <w:t xml:space="preserve"> in their procedure going forward.  Accordingly, this factor is not a significant consideration.</w:t>
      </w:r>
      <w:r w:rsidR="00123741">
        <w:rPr>
          <w:rStyle w:val="FootnoteReference"/>
        </w:rPr>
        <w:footnoteReference w:id="13"/>
      </w:r>
      <w:r>
        <w:t xml:space="preserve">  </w:t>
      </w:r>
    </w:p>
    <w:p w:rsidR="00001F0F" w:rsidRDefault="00001F0F" w:rsidP="00102A51">
      <w:pPr>
        <w:spacing w:after="0"/>
      </w:pPr>
    </w:p>
    <w:p w:rsidR="00102A51" w:rsidRDefault="00123741" w:rsidP="00102A51">
      <w:pPr>
        <w:spacing w:after="0"/>
      </w:pPr>
      <w:r>
        <w:tab/>
      </w:r>
      <w:r w:rsidR="00C75930">
        <w:t>However, the penalty is significant and important to deter future violations and emphasize the need for better communication between PGW and its customers.</w:t>
      </w:r>
      <w:r>
        <w:rPr>
          <w:rStyle w:val="FootnoteReference"/>
        </w:rPr>
        <w:footnoteReference w:id="14"/>
      </w:r>
      <w:r w:rsidR="00C75930">
        <w:t xml:space="preserve">  Simply sending them account statements without including any guidance about how to read the account statements, particularly when a customer has a complicated and long-standing history with the utility is simply not effective communication.  PGW’s conduct here is at least negligent.</w:t>
      </w:r>
      <w:r>
        <w:rPr>
          <w:rStyle w:val="FootnoteReference"/>
        </w:rPr>
        <w:footnoteReference w:id="15"/>
      </w:r>
      <w:r w:rsidR="00C75930">
        <w:t xml:space="preserve">  The remaining factors set forth in Section 69.1201 are not relevant to the determination of the amount of thi</w:t>
      </w:r>
      <w:r>
        <w:t>s penalty.</w:t>
      </w:r>
      <w:r>
        <w:rPr>
          <w:rStyle w:val="FootnoteReference"/>
        </w:rPr>
        <w:footnoteReference w:id="16"/>
      </w:r>
    </w:p>
    <w:p w:rsidR="00FC67A7" w:rsidRDefault="00FC67A7" w:rsidP="00B50BD9">
      <w:pPr>
        <w:spacing w:after="0"/>
      </w:pPr>
    </w:p>
    <w:p w:rsidR="00B50BD9" w:rsidRDefault="00FC67A7" w:rsidP="00B50BD9">
      <w:pPr>
        <w:spacing w:after="0"/>
      </w:pPr>
      <w:r>
        <w:tab/>
      </w:r>
      <w:r w:rsidR="004A6BB9">
        <w:t>The Complainant stated that she would like her utility service reconnected and that she would like a payment agreement.</w:t>
      </w:r>
    </w:p>
    <w:p w:rsidR="004A6BB9" w:rsidRPr="00284CBD" w:rsidRDefault="004A6BB9" w:rsidP="00B50BD9">
      <w:pPr>
        <w:spacing w:after="0"/>
      </w:pPr>
    </w:p>
    <w:p w:rsidR="00B50BD9" w:rsidRPr="00DD7545" w:rsidRDefault="00B50BD9" w:rsidP="00B50BD9">
      <w:pPr>
        <w:tabs>
          <w:tab w:val="clear" w:pos="1440"/>
        </w:tabs>
        <w:spacing w:after="0"/>
        <w:ind w:firstLine="1440"/>
        <w:rPr>
          <w:szCs w:val="24"/>
        </w:rPr>
      </w:pPr>
      <w:r w:rsidRPr="00DD7545">
        <w:rPr>
          <w:szCs w:val="24"/>
        </w:rPr>
        <w:t>Chapter 14 of the Public Utility Code provides that in certain circumstances a customer</w:t>
      </w:r>
      <w:r>
        <w:rPr>
          <w:szCs w:val="24"/>
        </w:rPr>
        <w:t xml:space="preserve"> or an applicant</w:t>
      </w:r>
      <w:r w:rsidRPr="00DD7545">
        <w:rPr>
          <w:szCs w:val="24"/>
        </w:rPr>
        <w:t xml:space="preserve"> may be permitted to amortize the amount due on a utility account:</w:t>
      </w:r>
    </w:p>
    <w:p w:rsidR="00B50BD9" w:rsidRPr="00DD7545" w:rsidRDefault="00B50BD9" w:rsidP="00B50BD9">
      <w:pPr>
        <w:tabs>
          <w:tab w:val="clear" w:pos="1440"/>
        </w:tabs>
        <w:spacing w:after="0" w:line="240" w:lineRule="auto"/>
        <w:ind w:left="1440" w:right="1440"/>
        <w:rPr>
          <w:szCs w:val="24"/>
        </w:rPr>
      </w:pPr>
    </w:p>
    <w:p w:rsidR="00F47B87" w:rsidRDefault="00B50BD9" w:rsidP="00682A90">
      <w:pPr>
        <w:tabs>
          <w:tab w:val="clear" w:pos="1440"/>
        </w:tabs>
        <w:spacing w:after="0" w:line="240" w:lineRule="auto"/>
        <w:ind w:left="1440" w:right="1440"/>
        <w:rPr>
          <w:szCs w:val="24"/>
        </w:rPr>
      </w:pPr>
      <w:r w:rsidRPr="00DD7545">
        <w:rPr>
          <w:szCs w:val="24"/>
        </w:rPr>
        <w:t xml:space="preserve">The Commission is authorized to investigate complaints regarding payment disputes between a public utility, applicants and customers.  The Commission is authorized to establish payment </w:t>
      </w:r>
    </w:p>
    <w:p w:rsidR="00F47B87" w:rsidRDefault="00F47B87" w:rsidP="00682A90">
      <w:pPr>
        <w:tabs>
          <w:tab w:val="clear" w:pos="1440"/>
        </w:tabs>
        <w:spacing w:after="0" w:line="240" w:lineRule="auto"/>
        <w:ind w:left="1440" w:right="1440"/>
        <w:rPr>
          <w:szCs w:val="24"/>
        </w:rPr>
      </w:pPr>
    </w:p>
    <w:p w:rsidR="00F47B87" w:rsidRDefault="00F47B87" w:rsidP="00682A90">
      <w:pPr>
        <w:tabs>
          <w:tab w:val="clear" w:pos="1440"/>
        </w:tabs>
        <w:spacing w:after="0" w:line="240" w:lineRule="auto"/>
        <w:ind w:left="1440" w:right="1440"/>
        <w:rPr>
          <w:szCs w:val="24"/>
        </w:rPr>
      </w:pPr>
    </w:p>
    <w:p w:rsidR="00F47B87" w:rsidRDefault="00F47B87" w:rsidP="00682A90">
      <w:pPr>
        <w:tabs>
          <w:tab w:val="clear" w:pos="1440"/>
        </w:tabs>
        <w:spacing w:after="0" w:line="240" w:lineRule="auto"/>
        <w:ind w:left="1440" w:right="1440"/>
        <w:rPr>
          <w:szCs w:val="24"/>
        </w:rPr>
      </w:pPr>
    </w:p>
    <w:p w:rsidR="00B50BD9" w:rsidRPr="00DD7545" w:rsidRDefault="00B50BD9" w:rsidP="00682A90">
      <w:pPr>
        <w:tabs>
          <w:tab w:val="clear" w:pos="1440"/>
        </w:tabs>
        <w:spacing w:after="0" w:line="240" w:lineRule="auto"/>
        <w:ind w:left="1440" w:right="1440"/>
        <w:rPr>
          <w:szCs w:val="24"/>
        </w:rPr>
      </w:pPr>
      <w:proofErr w:type="gramStart"/>
      <w:r w:rsidRPr="00DD7545">
        <w:rPr>
          <w:szCs w:val="24"/>
        </w:rPr>
        <w:lastRenderedPageBreak/>
        <w:t>agreements</w:t>
      </w:r>
      <w:proofErr w:type="gramEnd"/>
      <w:r w:rsidRPr="00DD7545">
        <w:rPr>
          <w:szCs w:val="24"/>
        </w:rPr>
        <w:t xml:space="preserve"> between a public utility, customers and applicants within the time limits established by this chapter.</w:t>
      </w:r>
      <w:r w:rsidRPr="00DD7545">
        <w:rPr>
          <w:szCs w:val="24"/>
          <w:vertAlign w:val="superscript"/>
        </w:rPr>
        <w:footnoteReference w:id="17"/>
      </w:r>
    </w:p>
    <w:p w:rsidR="00F47B87" w:rsidRDefault="00F47B87" w:rsidP="00B50BD9">
      <w:pPr>
        <w:spacing w:after="0"/>
        <w:rPr>
          <w:szCs w:val="24"/>
        </w:rPr>
      </w:pPr>
    </w:p>
    <w:p w:rsidR="00B50BD9" w:rsidRDefault="00B50BD9" w:rsidP="00B50BD9">
      <w:pPr>
        <w:spacing w:after="0"/>
        <w:rPr>
          <w:szCs w:val="24"/>
        </w:rPr>
      </w:pPr>
      <w:r w:rsidRPr="00DD7545">
        <w:rPr>
          <w:szCs w:val="24"/>
        </w:rPr>
        <w:t>The award of a payment arrangement is not mandatory.</w:t>
      </w:r>
      <w:r w:rsidRPr="00DD7545">
        <w:rPr>
          <w:szCs w:val="24"/>
          <w:vertAlign w:val="superscript"/>
        </w:rPr>
        <w:footnoteReference w:id="18"/>
      </w:r>
    </w:p>
    <w:p w:rsidR="00001F0F" w:rsidRDefault="00001F0F" w:rsidP="00B50BD9">
      <w:pPr>
        <w:spacing w:after="0"/>
        <w:rPr>
          <w:szCs w:val="24"/>
        </w:rPr>
      </w:pPr>
    </w:p>
    <w:p w:rsidR="005A196F" w:rsidRDefault="00B50BD9" w:rsidP="00682A90">
      <w:pPr>
        <w:spacing w:after="0"/>
        <w:rPr>
          <w:szCs w:val="24"/>
        </w:rPr>
      </w:pPr>
      <w:r>
        <w:rPr>
          <w:szCs w:val="24"/>
        </w:rPr>
        <w:tab/>
      </w:r>
      <w:r w:rsidRPr="00953241">
        <w:t>A public utility is entitled to full payment for service provided to customers</w:t>
      </w:r>
      <w:r w:rsidR="008E793A">
        <w:t xml:space="preserve">, </w:t>
      </w:r>
      <w:r w:rsidRPr="00953241">
        <w:t>and all customers are obligated to pay for the utility service provided to them.  Otherwise, a customer’s unpaid bills are included in the utility’s uncollectible expenses and ultimately paid</w:t>
      </w:r>
      <w:r>
        <w:t xml:space="preserve"> for by other utility customers</w:t>
      </w:r>
      <w:r w:rsidRPr="00953241">
        <w:rPr>
          <w:szCs w:val="24"/>
        </w:rPr>
        <w:t>.</w:t>
      </w:r>
      <w:r w:rsidRPr="00DD7545">
        <w:rPr>
          <w:szCs w:val="24"/>
          <w:vertAlign w:val="superscript"/>
        </w:rPr>
        <w:footnoteReference w:id="19"/>
      </w:r>
      <w:r w:rsidR="005E7D80">
        <w:rPr>
          <w:szCs w:val="24"/>
        </w:rPr>
        <w:t xml:space="preserve">  Although the Complainant has made some payments on her account, they are not regular payments.  Nor are her payments in the amount agreed upon in her payment arrangement with PGW which settled her formal complaint filed in 2010.</w:t>
      </w:r>
      <w:r w:rsidR="005A196F">
        <w:rPr>
          <w:szCs w:val="24"/>
        </w:rPr>
        <w:t xml:space="preserve">  I find this failure to make regular timely payments on her substantial past due balance does not evidence a good faith attempt to pay PGW what she owes.</w:t>
      </w:r>
      <w:r w:rsidR="00FF3163">
        <w:rPr>
          <w:rStyle w:val="FootnoteReference"/>
          <w:szCs w:val="24"/>
        </w:rPr>
        <w:footnoteReference w:id="20"/>
      </w:r>
      <w:r w:rsidR="005A196F">
        <w:rPr>
          <w:szCs w:val="24"/>
        </w:rPr>
        <w:t xml:space="preserve">  Therefore, it is not appropriate to award her a further payment arrangement.  Similarly, PGW</w:t>
      </w:r>
      <w:r w:rsidR="005D70E1">
        <w:rPr>
          <w:szCs w:val="24"/>
        </w:rPr>
        <w:t>’s</w:t>
      </w:r>
      <w:r w:rsidR="005A196F">
        <w:rPr>
          <w:szCs w:val="24"/>
        </w:rPr>
        <w:t xml:space="preserve"> refusal t</w:t>
      </w:r>
      <w:r w:rsidR="005D70E1">
        <w:rPr>
          <w:szCs w:val="24"/>
        </w:rPr>
        <w:t>o reconnect her utility service is not unreasonable.</w:t>
      </w:r>
    </w:p>
    <w:p w:rsidR="007B6728" w:rsidRDefault="007B6728" w:rsidP="00682A90">
      <w:pPr>
        <w:spacing w:after="0"/>
        <w:rPr>
          <w:szCs w:val="24"/>
        </w:rPr>
      </w:pPr>
    </w:p>
    <w:p w:rsidR="00EC2F4E" w:rsidRPr="00EC2F4E" w:rsidRDefault="00EC2F4E" w:rsidP="00682A90">
      <w:pPr>
        <w:spacing w:after="0"/>
        <w:jc w:val="center"/>
        <w:rPr>
          <w:szCs w:val="24"/>
          <w:u w:val="single"/>
        </w:rPr>
      </w:pPr>
      <w:r w:rsidRPr="00EC2F4E">
        <w:rPr>
          <w:szCs w:val="24"/>
          <w:u w:val="single"/>
        </w:rPr>
        <w:t>CONCLUSIONS OF LAW</w:t>
      </w:r>
    </w:p>
    <w:p w:rsidR="00B50BD9" w:rsidRDefault="00B50BD9" w:rsidP="00682A90">
      <w:pPr>
        <w:spacing w:after="0"/>
      </w:pPr>
    </w:p>
    <w:p w:rsidR="00EC2F4E" w:rsidRDefault="00EC2F4E" w:rsidP="00682A90">
      <w:pPr>
        <w:spacing w:after="0"/>
      </w:pPr>
      <w:r>
        <w:tab/>
        <w:t>1.</w:t>
      </w:r>
      <w:r>
        <w:tab/>
        <w:t xml:space="preserve">The Commission has jurisdiction over the parties and subject-matter of this dispute.  </w:t>
      </w:r>
      <w:proofErr w:type="gramStart"/>
      <w:r>
        <w:t>66 Pa.C.S.</w:t>
      </w:r>
      <w:proofErr w:type="gramEnd"/>
      <w:r>
        <w:t xml:space="preserve"> § 701.</w:t>
      </w:r>
    </w:p>
    <w:p w:rsidR="00D76A3F" w:rsidRDefault="00D76A3F" w:rsidP="00682A90">
      <w:pPr>
        <w:spacing w:after="0"/>
      </w:pPr>
    </w:p>
    <w:p w:rsidR="00EC2F4E" w:rsidRDefault="00EC2F4E" w:rsidP="00682A90">
      <w:pPr>
        <w:spacing w:after="0"/>
      </w:pPr>
      <w:r>
        <w:tab/>
        <w:t>2.</w:t>
      </w:r>
      <w:r>
        <w:tab/>
        <w:t>The Complainant bears the burden of proof.  66 Pa.C.S. § 332.</w:t>
      </w:r>
    </w:p>
    <w:p w:rsidR="00D76A3F" w:rsidRDefault="00D76A3F" w:rsidP="00682A90">
      <w:pPr>
        <w:spacing w:after="0"/>
      </w:pPr>
    </w:p>
    <w:p w:rsidR="00EC2F4E" w:rsidRDefault="00EC2F4E" w:rsidP="00682A90">
      <w:pPr>
        <w:spacing w:after="0"/>
      </w:pPr>
      <w:r>
        <w:lastRenderedPageBreak/>
        <w:tab/>
        <w:t>3.</w:t>
      </w:r>
      <w:r>
        <w:tab/>
        <w:t>PGW violated Section 1501 of the Public Utility Code by failing to adequately explain the Complainant’s complicated account history and how her payments are applied to her account.  66 Pa.C.S. § 1501.</w:t>
      </w:r>
    </w:p>
    <w:p w:rsidR="00D76A3F" w:rsidRDefault="00D76A3F" w:rsidP="00682A90">
      <w:pPr>
        <w:spacing w:after="0"/>
      </w:pPr>
    </w:p>
    <w:p w:rsidR="00EC2F4E" w:rsidRDefault="00EC2F4E" w:rsidP="00682A90">
      <w:pPr>
        <w:spacing w:after="0"/>
      </w:pPr>
      <w:r>
        <w:tab/>
        <w:t>4.</w:t>
      </w:r>
      <w:r>
        <w:tab/>
        <w:t>It is appropriate to assess a civil penalty for a violation of Section 1501.  66 Pa.C.S. § 3301.</w:t>
      </w:r>
    </w:p>
    <w:p w:rsidR="00D76A3F" w:rsidRDefault="00D76A3F" w:rsidP="00682A90">
      <w:pPr>
        <w:spacing w:after="0"/>
      </w:pPr>
    </w:p>
    <w:p w:rsidR="00C408BC" w:rsidRDefault="00C408BC" w:rsidP="00682A90">
      <w:pPr>
        <w:spacing w:after="0"/>
        <w:rPr>
          <w:rFonts w:ascii="Sylfaen" w:hAnsi="Sylfaen"/>
        </w:rPr>
      </w:pPr>
      <w:r>
        <w:tab/>
        <w:t>5.</w:t>
      </w:r>
      <w:r>
        <w:tab/>
        <w:t>It is not appropriate to award the Complainant a payment arrangement because her failure to make full payments on or before the due date does not evidence a good faith attempt to pay</w:t>
      </w:r>
      <w:r w:rsidR="00311294">
        <w:t xml:space="preserve"> the utility what she owes.  66 Pa.C.S. § 1405</w:t>
      </w:r>
      <w:r w:rsidR="00311294">
        <w:rPr>
          <w:rFonts w:ascii="Sylfaen" w:hAnsi="Sylfaen"/>
        </w:rPr>
        <w:t>.</w:t>
      </w:r>
    </w:p>
    <w:p w:rsidR="00257CFC" w:rsidRDefault="00257CFC" w:rsidP="00682A90">
      <w:pPr>
        <w:spacing w:after="0"/>
        <w:rPr>
          <w:rFonts w:ascii="Sylfaen" w:hAnsi="Sylfaen"/>
        </w:rPr>
      </w:pPr>
    </w:p>
    <w:p w:rsidR="00006334" w:rsidRDefault="00006334" w:rsidP="00682A90">
      <w:pPr>
        <w:spacing w:after="0"/>
        <w:jc w:val="center"/>
        <w:rPr>
          <w:u w:val="single"/>
        </w:rPr>
      </w:pPr>
      <w:r w:rsidRPr="00006334">
        <w:rPr>
          <w:u w:val="single"/>
        </w:rPr>
        <w:t>ORDER</w:t>
      </w:r>
    </w:p>
    <w:p w:rsidR="00257CFC" w:rsidRDefault="00257CFC" w:rsidP="00682A90">
      <w:pPr>
        <w:spacing w:after="0"/>
        <w:jc w:val="center"/>
        <w:rPr>
          <w:u w:val="single"/>
        </w:rPr>
      </w:pPr>
    </w:p>
    <w:p w:rsidR="00257CFC" w:rsidRDefault="00257CFC" w:rsidP="00682A90">
      <w:pPr>
        <w:spacing w:after="0"/>
        <w:jc w:val="center"/>
      </w:pPr>
    </w:p>
    <w:p w:rsidR="00006334" w:rsidRDefault="00E959B9" w:rsidP="00682A90">
      <w:pPr>
        <w:spacing w:after="0"/>
      </w:pPr>
      <w:r>
        <w:tab/>
      </w:r>
      <w:r w:rsidR="00006334">
        <w:t>THEREFORE,</w:t>
      </w:r>
    </w:p>
    <w:p w:rsidR="00257CFC" w:rsidRDefault="00257CFC" w:rsidP="00682A90">
      <w:pPr>
        <w:spacing w:after="0"/>
      </w:pPr>
    </w:p>
    <w:p w:rsidR="00006334" w:rsidRDefault="00E959B9" w:rsidP="00682A90">
      <w:pPr>
        <w:spacing w:after="0"/>
      </w:pPr>
      <w:r>
        <w:tab/>
      </w:r>
      <w:r w:rsidR="00006334">
        <w:t>IT IS ORDERED:</w:t>
      </w:r>
    </w:p>
    <w:p w:rsidR="00257CFC" w:rsidRDefault="00257CFC" w:rsidP="00682A90">
      <w:pPr>
        <w:spacing w:after="0"/>
      </w:pPr>
    </w:p>
    <w:p w:rsidR="00006334" w:rsidRDefault="00006334" w:rsidP="00682A90">
      <w:pPr>
        <w:spacing w:after="0"/>
      </w:pPr>
      <w:r>
        <w:tab/>
        <w:t>1.</w:t>
      </w:r>
      <w:r>
        <w:tab/>
        <w:t xml:space="preserve">That the complaint of Lavoris Mintz against the Philadelphia Gas Works at Docket No. F-2014-2460301 is sustained to the extent that </w:t>
      </w:r>
      <w:r w:rsidR="00740546">
        <w:t>Philadelphia Gas Works</w:t>
      </w:r>
      <w:r>
        <w:t xml:space="preserve"> rendered unreasonable service.</w:t>
      </w:r>
    </w:p>
    <w:p w:rsidR="00A85E05" w:rsidRDefault="00A85E05" w:rsidP="00682A90">
      <w:pPr>
        <w:spacing w:after="0"/>
      </w:pPr>
    </w:p>
    <w:p w:rsidR="00A825C4" w:rsidRDefault="00006334" w:rsidP="00682A90">
      <w:pPr>
        <w:spacing w:after="0"/>
      </w:pPr>
      <w:r>
        <w:tab/>
        <w:t>2.</w:t>
      </w:r>
      <w:r>
        <w:tab/>
      </w:r>
      <w:r w:rsidR="00A825C4">
        <w:t>Th</w:t>
      </w:r>
      <w:r w:rsidR="00D76A3F">
        <w:t>at</w:t>
      </w:r>
      <w:r w:rsidR="00A825C4">
        <w:t xml:space="preserve"> within 30 days of </w:t>
      </w:r>
      <w:r w:rsidR="00740546">
        <w:t xml:space="preserve">entry of </w:t>
      </w:r>
      <w:r w:rsidR="00A825C4">
        <w:t>the Commission’</w:t>
      </w:r>
      <w:r w:rsidR="00554206">
        <w:t>s Final O</w:t>
      </w:r>
      <w:r w:rsidR="00A825C4">
        <w:t>rder</w:t>
      </w:r>
      <w:r w:rsidR="00A85E05">
        <w:t xml:space="preserve">, </w:t>
      </w:r>
      <w:r w:rsidR="00A825C4">
        <w:t xml:space="preserve">Philadelphia Gas Works shall recalculate the Complainant’s balance, including the payments recently made by the Complainant and provide her with a consolidated statement of activity for the last three years which clearly shows the application of payments made to the account and a clear statement of her current </w:t>
      </w:r>
      <w:r w:rsidR="00C82043">
        <w:t xml:space="preserve">consolidated </w:t>
      </w:r>
      <w:r w:rsidR="00A825C4">
        <w:t>balance.</w:t>
      </w:r>
    </w:p>
    <w:p w:rsidR="00A825C4" w:rsidRDefault="00A825C4" w:rsidP="00682A90">
      <w:pPr>
        <w:spacing w:after="0"/>
      </w:pPr>
    </w:p>
    <w:p w:rsidR="00631A16" w:rsidRDefault="00631A16" w:rsidP="00682A90">
      <w:pPr>
        <w:spacing w:after="0"/>
      </w:pPr>
    </w:p>
    <w:p w:rsidR="00631A16" w:rsidRDefault="00631A16" w:rsidP="00682A90">
      <w:pPr>
        <w:spacing w:after="0"/>
      </w:pPr>
    </w:p>
    <w:p w:rsidR="00631A16" w:rsidRDefault="00631A16" w:rsidP="00682A90">
      <w:pPr>
        <w:spacing w:after="0"/>
      </w:pPr>
    </w:p>
    <w:p w:rsidR="00A825C4" w:rsidRDefault="00A825C4" w:rsidP="00682A90">
      <w:pPr>
        <w:spacing w:after="0"/>
      </w:pPr>
      <w:r>
        <w:lastRenderedPageBreak/>
        <w:tab/>
        <w:t>3.</w:t>
      </w:r>
      <w:r>
        <w:tab/>
      </w:r>
      <w:r>
        <w:rPr>
          <w:szCs w:val="24"/>
        </w:rPr>
        <w:t xml:space="preserve">That the Philadelphia Gas Works </w:t>
      </w:r>
      <w:r>
        <w:t xml:space="preserve">shall pay a civil penalty in the amount of </w:t>
      </w:r>
    </w:p>
    <w:p w:rsidR="00A825C4" w:rsidRDefault="00A825C4" w:rsidP="00682A90">
      <w:pPr>
        <w:spacing w:after="0"/>
      </w:pPr>
      <w:r>
        <w:t xml:space="preserve">$500 for the violations of the Public Utility Code by sending a certified check or money order payable to the Commonwealth of Pennsylvania, within </w:t>
      </w:r>
      <w:r w:rsidR="00740546">
        <w:t>30</w:t>
      </w:r>
      <w:r>
        <w:t xml:space="preserve"> days from the entry of the Final Commission Order to:</w:t>
      </w:r>
    </w:p>
    <w:p w:rsidR="00A825C4" w:rsidRDefault="00A825C4" w:rsidP="00A85E05">
      <w:pPr>
        <w:spacing w:after="0" w:line="240" w:lineRule="auto"/>
      </w:pPr>
    </w:p>
    <w:p w:rsidR="00A825C4" w:rsidRDefault="00A825C4" w:rsidP="00A825C4">
      <w:pPr>
        <w:spacing w:after="0" w:line="240" w:lineRule="auto"/>
        <w:ind w:left="2160" w:firstLine="720"/>
      </w:pPr>
      <w:r>
        <w:t>Secretary</w:t>
      </w:r>
    </w:p>
    <w:p w:rsidR="00A825C4" w:rsidRDefault="00A825C4" w:rsidP="00A825C4">
      <w:pPr>
        <w:spacing w:after="0" w:line="240" w:lineRule="auto"/>
        <w:ind w:left="2160" w:firstLine="720"/>
      </w:pPr>
      <w:r>
        <w:t>Pennsylvania Public Utility Commission</w:t>
      </w:r>
    </w:p>
    <w:p w:rsidR="00A825C4" w:rsidRDefault="00A825C4" w:rsidP="00A825C4">
      <w:pPr>
        <w:spacing w:after="0" w:line="240" w:lineRule="auto"/>
        <w:ind w:left="2160" w:firstLine="720"/>
      </w:pPr>
      <w:r>
        <w:t>P.O. Box 3265</w:t>
      </w:r>
    </w:p>
    <w:p w:rsidR="00A825C4" w:rsidRDefault="00A825C4" w:rsidP="00A825C4">
      <w:pPr>
        <w:spacing w:after="0" w:line="240" w:lineRule="auto"/>
        <w:ind w:left="2160" w:firstLine="720"/>
      </w:pPr>
      <w:r>
        <w:t>Harrisburg, PA  17105-3265</w:t>
      </w:r>
    </w:p>
    <w:p w:rsidR="00D76A3F" w:rsidRDefault="00D76A3F" w:rsidP="00A85E05">
      <w:pPr>
        <w:spacing w:after="0"/>
        <w:ind w:left="2160" w:firstLine="720"/>
      </w:pPr>
    </w:p>
    <w:p w:rsidR="00A825C4" w:rsidRDefault="00A825C4" w:rsidP="00682A90">
      <w:pPr>
        <w:spacing w:after="0"/>
      </w:pPr>
      <w:r>
        <w:tab/>
        <w:t>4.</w:t>
      </w:r>
      <w:r>
        <w:tab/>
        <w:t>That the Philadelphia Gas Works shall cease and desist from further violations of Section 1501 of the Public Utility Code.</w:t>
      </w:r>
    </w:p>
    <w:p w:rsidR="00A825C4" w:rsidRDefault="00A825C4" w:rsidP="00682A90">
      <w:pPr>
        <w:spacing w:after="0"/>
      </w:pPr>
    </w:p>
    <w:p w:rsidR="00006334" w:rsidRDefault="00A825C4" w:rsidP="00682A90">
      <w:pPr>
        <w:spacing w:after="0"/>
      </w:pPr>
      <w:r>
        <w:tab/>
        <w:t>5.</w:t>
      </w:r>
      <w:r>
        <w:tab/>
      </w:r>
      <w:r w:rsidR="00006334">
        <w:t>That the complaint of Lavoris Mintz against Philadelphia Gas Works at Docket No. F-2014-2460301 is dismissed in all other respect.</w:t>
      </w:r>
    </w:p>
    <w:p w:rsidR="00257CFC" w:rsidRDefault="00257CFC" w:rsidP="00682A90">
      <w:pPr>
        <w:spacing w:after="0"/>
      </w:pPr>
    </w:p>
    <w:p w:rsidR="00A825C4" w:rsidRDefault="00A825C4" w:rsidP="00682A90">
      <w:pPr>
        <w:spacing w:after="0"/>
      </w:pPr>
      <w:r>
        <w:tab/>
        <w:t>6.</w:t>
      </w:r>
      <w:r>
        <w:tab/>
        <w:t>That the Secretary shall mark the docket closed.</w:t>
      </w:r>
    </w:p>
    <w:p w:rsidR="008D3D64" w:rsidRDefault="008D3D64" w:rsidP="00682A90">
      <w:pPr>
        <w:spacing w:after="0"/>
      </w:pPr>
    </w:p>
    <w:p w:rsidR="004E0645" w:rsidRDefault="004E0645" w:rsidP="00682A90">
      <w:pPr>
        <w:spacing w:after="0"/>
      </w:pPr>
    </w:p>
    <w:p w:rsidR="008D3D64" w:rsidRDefault="008D3D64" w:rsidP="00682A90">
      <w:pPr>
        <w:spacing w:after="0"/>
      </w:pPr>
    </w:p>
    <w:p w:rsidR="008D3D64" w:rsidRPr="008D3D64" w:rsidRDefault="008D3D64" w:rsidP="00682A90">
      <w:pPr>
        <w:tabs>
          <w:tab w:val="left" w:pos="0"/>
        </w:tabs>
        <w:spacing w:after="0" w:line="240" w:lineRule="auto"/>
        <w:jc w:val="both"/>
        <w:rPr>
          <w:szCs w:val="24"/>
          <w:u w:val="single"/>
        </w:rPr>
      </w:pPr>
      <w:r w:rsidRPr="008D3D64">
        <w:rPr>
          <w:szCs w:val="24"/>
        </w:rPr>
        <w:t xml:space="preserve">Date:  </w:t>
      </w:r>
      <w:r w:rsidR="005D70E1">
        <w:rPr>
          <w:szCs w:val="24"/>
          <w:u w:val="single"/>
        </w:rPr>
        <w:t>July</w:t>
      </w:r>
      <w:r w:rsidR="00257CFC">
        <w:rPr>
          <w:szCs w:val="24"/>
          <w:u w:val="single"/>
        </w:rPr>
        <w:t xml:space="preserve"> 23</w:t>
      </w:r>
      <w:r w:rsidRPr="008D3D64">
        <w:rPr>
          <w:szCs w:val="24"/>
          <w:u w:val="single"/>
        </w:rPr>
        <w:t>, 2015</w:t>
      </w:r>
      <w:r w:rsidRPr="008D3D64">
        <w:rPr>
          <w:szCs w:val="24"/>
        </w:rPr>
        <w:tab/>
      </w:r>
      <w:r w:rsidRPr="008D3D64">
        <w:rPr>
          <w:szCs w:val="24"/>
        </w:rPr>
        <w:tab/>
      </w:r>
      <w:r w:rsidRPr="008D3D64">
        <w:rPr>
          <w:szCs w:val="24"/>
        </w:rPr>
        <w:tab/>
      </w:r>
      <w:r w:rsidRPr="008D3D64">
        <w:rPr>
          <w:szCs w:val="24"/>
        </w:rPr>
        <w:tab/>
      </w:r>
      <w:r w:rsidRPr="008D3D64">
        <w:rPr>
          <w:szCs w:val="24"/>
        </w:rPr>
        <w:tab/>
      </w:r>
      <w:r w:rsidRPr="008D3D64">
        <w:rPr>
          <w:szCs w:val="24"/>
          <w:u w:val="single"/>
        </w:rPr>
        <w:tab/>
      </w:r>
      <w:r w:rsidRPr="008D3D64">
        <w:rPr>
          <w:szCs w:val="24"/>
          <w:u w:val="single"/>
        </w:rPr>
        <w:tab/>
        <w:t>/s/</w:t>
      </w:r>
      <w:r w:rsidRPr="008D3D64">
        <w:rPr>
          <w:szCs w:val="24"/>
          <w:u w:val="single"/>
        </w:rPr>
        <w:tab/>
      </w:r>
      <w:r w:rsidRPr="008D3D64">
        <w:rPr>
          <w:szCs w:val="24"/>
          <w:u w:val="single"/>
        </w:rPr>
        <w:tab/>
      </w:r>
      <w:r w:rsidRPr="008D3D64">
        <w:rPr>
          <w:szCs w:val="24"/>
          <w:u w:val="single"/>
        </w:rPr>
        <w:tab/>
      </w:r>
      <w:r w:rsidRPr="008D3D64">
        <w:rPr>
          <w:szCs w:val="24"/>
          <w:u w:val="single"/>
        </w:rPr>
        <w:tab/>
      </w:r>
    </w:p>
    <w:p w:rsidR="008D3D64" w:rsidRPr="008D3D64" w:rsidRDefault="008D3D64" w:rsidP="00682A90">
      <w:pPr>
        <w:tabs>
          <w:tab w:val="left" w:pos="0"/>
        </w:tabs>
        <w:spacing w:after="0" w:line="240" w:lineRule="auto"/>
        <w:jc w:val="both"/>
        <w:rPr>
          <w:szCs w:val="24"/>
        </w:rPr>
      </w:pPr>
      <w:r w:rsidRPr="008D3D64">
        <w:rPr>
          <w:szCs w:val="24"/>
        </w:rPr>
        <w:tab/>
      </w:r>
      <w:r w:rsidRPr="008D3D64">
        <w:rPr>
          <w:szCs w:val="24"/>
        </w:rPr>
        <w:tab/>
      </w:r>
      <w:r w:rsidRPr="008D3D64">
        <w:rPr>
          <w:szCs w:val="24"/>
        </w:rPr>
        <w:tab/>
      </w:r>
      <w:r w:rsidRPr="008D3D64">
        <w:rPr>
          <w:szCs w:val="24"/>
        </w:rPr>
        <w:tab/>
      </w:r>
      <w:r w:rsidRPr="008D3D64">
        <w:rPr>
          <w:szCs w:val="24"/>
        </w:rPr>
        <w:tab/>
      </w:r>
      <w:r w:rsidRPr="008D3D64">
        <w:rPr>
          <w:szCs w:val="24"/>
        </w:rPr>
        <w:tab/>
        <w:t>Mary D. Long</w:t>
      </w:r>
    </w:p>
    <w:p w:rsidR="008D3D64" w:rsidRPr="008D3D64" w:rsidRDefault="008D3D64" w:rsidP="00682A90">
      <w:pPr>
        <w:tabs>
          <w:tab w:val="left" w:pos="0"/>
        </w:tabs>
        <w:spacing w:after="0" w:line="240" w:lineRule="auto"/>
        <w:jc w:val="both"/>
        <w:rPr>
          <w:szCs w:val="24"/>
        </w:rPr>
      </w:pPr>
      <w:r w:rsidRPr="008D3D64">
        <w:rPr>
          <w:szCs w:val="24"/>
        </w:rPr>
        <w:tab/>
      </w:r>
      <w:r w:rsidRPr="008D3D64">
        <w:rPr>
          <w:szCs w:val="24"/>
        </w:rPr>
        <w:tab/>
      </w:r>
      <w:r w:rsidRPr="008D3D64">
        <w:rPr>
          <w:szCs w:val="24"/>
        </w:rPr>
        <w:tab/>
      </w:r>
      <w:r w:rsidRPr="008D3D64">
        <w:rPr>
          <w:szCs w:val="24"/>
        </w:rPr>
        <w:tab/>
      </w:r>
      <w:r w:rsidRPr="008D3D64">
        <w:rPr>
          <w:szCs w:val="24"/>
        </w:rPr>
        <w:tab/>
      </w:r>
      <w:r w:rsidRPr="008D3D64">
        <w:rPr>
          <w:szCs w:val="24"/>
        </w:rPr>
        <w:tab/>
        <w:t>Administrative Law Judge</w:t>
      </w:r>
    </w:p>
    <w:p w:rsidR="008D3D64" w:rsidRPr="008D3D64" w:rsidRDefault="008D3D64" w:rsidP="00682A90">
      <w:pPr>
        <w:tabs>
          <w:tab w:val="left" w:pos="0"/>
        </w:tabs>
        <w:spacing w:after="0"/>
        <w:jc w:val="both"/>
      </w:pPr>
    </w:p>
    <w:p w:rsidR="008D3D64" w:rsidRPr="008D3D64" w:rsidRDefault="008D3D64" w:rsidP="008D3D64">
      <w:pPr>
        <w:tabs>
          <w:tab w:val="left" w:pos="0"/>
        </w:tabs>
        <w:spacing w:after="0" w:line="240" w:lineRule="auto"/>
        <w:jc w:val="both"/>
      </w:pPr>
    </w:p>
    <w:p w:rsidR="00006334" w:rsidRPr="00006334" w:rsidRDefault="00006334" w:rsidP="00D76A3F"/>
    <w:sectPr w:rsidR="00006334" w:rsidRPr="00006334" w:rsidSect="00935BE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1FF" w:rsidRDefault="00DE21FF" w:rsidP="00935BE7">
      <w:pPr>
        <w:spacing w:after="0" w:line="240" w:lineRule="auto"/>
      </w:pPr>
      <w:r>
        <w:separator/>
      </w:r>
    </w:p>
  </w:endnote>
  <w:endnote w:type="continuationSeparator" w:id="0">
    <w:p w:rsidR="00DE21FF" w:rsidRDefault="00DE21FF" w:rsidP="0093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671626"/>
      <w:docPartObj>
        <w:docPartGallery w:val="Page Numbers (Bottom of Page)"/>
        <w:docPartUnique/>
      </w:docPartObj>
    </w:sdtPr>
    <w:sdtEndPr>
      <w:rPr>
        <w:noProof/>
      </w:rPr>
    </w:sdtEndPr>
    <w:sdtContent>
      <w:p w:rsidR="00935BE7" w:rsidRDefault="00935BE7">
        <w:pPr>
          <w:pStyle w:val="Footer"/>
          <w:jc w:val="center"/>
        </w:pPr>
        <w:r w:rsidRPr="007B6728">
          <w:rPr>
            <w:sz w:val="20"/>
          </w:rPr>
          <w:fldChar w:fldCharType="begin"/>
        </w:r>
        <w:r w:rsidRPr="007B6728">
          <w:rPr>
            <w:sz w:val="20"/>
          </w:rPr>
          <w:instrText xml:space="preserve"> PAGE   \* MERGEFORMAT </w:instrText>
        </w:r>
        <w:r w:rsidRPr="007B6728">
          <w:rPr>
            <w:sz w:val="20"/>
          </w:rPr>
          <w:fldChar w:fldCharType="separate"/>
        </w:r>
        <w:r w:rsidR="0043150B">
          <w:rPr>
            <w:noProof/>
            <w:sz w:val="20"/>
          </w:rPr>
          <w:t>16</w:t>
        </w:r>
        <w:r w:rsidRPr="007B6728">
          <w:rPr>
            <w:noProof/>
            <w:sz w:val="20"/>
          </w:rPr>
          <w:fldChar w:fldCharType="end"/>
        </w:r>
      </w:p>
    </w:sdtContent>
  </w:sdt>
  <w:p w:rsidR="00935BE7" w:rsidRDefault="00935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1FF" w:rsidRDefault="00DE21FF" w:rsidP="00935BE7">
      <w:pPr>
        <w:spacing w:after="0" w:line="240" w:lineRule="auto"/>
      </w:pPr>
      <w:r>
        <w:separator/>
      </w:r>
    </w:p>
  </w:footnote>
  <w:footnote w:type="continuationSeparator" w:id="0">
    <w:p w:rsidR="00DE21FF" w:rsidRDefault="00DE21FF" w:rsidP="00935BE7">
      <w:pPr>
        <w:spacing w:after="0" w:line="240" w:lineRule="auto"/>
      </w:pPr>
      <w:r>
        <w:continuationSeparator/>
      </w:r>
    </w:p>
  </w:footnote>
  <w:footnote w:id="1">
    <w:p w:rsidR="00B50BD9" w:rsidRDefault="00B50BD9" w:rsidP="00B50BD9">
      <w:pPr>
        <w:pStyle w:val="FootnoteText"/>
        <w:spacing w:after="0"/>
      </w:pPr>
      <w:r w:rsidRPr="00C81B96">
        <w:rPr>
          <w:rStyle w:val="FootnoteReference"/>
        </w:rPr>
        <w:footnoteRef/>
      </w:r>
      <w:r w:rsidRPr="00C81B96">
        <w:t xml:space="preserve"> </w:t>
      </w:r>
      <w:r>
        <w:tab/>
      </w:r>
      <w:proofErr w:type="gramStart"/>
      <w:r w:rsidRPr="00C81B96">
        <w:t>66 Pa.C.S.</w:t>
      </w:r>
      <w:proofErr w:type="gramEnd"/>
      <w:r w:rsidRPr="00C81B96">
        <w:t xml:space="preserve"> §</w:t>
      </w:r>
      <w:r>
        <w:t xml:space="preserve"> </w:t>
      </w:r>
      <w:r w:rsidRPr="00C81B96">
        <w:t>701.</w:t>
      </w:r>
    </w:p>
    <w:p w:rsidR="00B50BD9" w:rsidRPr="00C81B96" w:rsidRDefault="00B50BD9" w:rsidP="00B50BD9">
      <w:pPr>
        <w:pStyle w:val="FootnoteText"/>
        <w:spacing w:after="0"/>
        <w:ind w:firstLine="720"/>
      </w:pPr>
    </w:p>
  </w:footnote>
  <w:footnote w:id="2">
    <w:p w:rsidR="00B50BD9" w:rsidRDefault="00B50BD9" w:rsidP="00B50BD9">
      <w:pPr>
        <w:pStyle w:val="FootnoteText"/>
        <w:spacing w:after="0"/>
      </w:pPr>
      <w:r w:rsidRPr="00C81B96">
        <w:rPr>
          <w:rStyle w:val="FootnoteReference"/>
        </w:rPr>
        <w:footnoteRef/>
      </w:r>
      <w:r w:rsidRPr="00C81B96">
        <w:t xml:space="preserve"> </w:t>
      </w:r>
      <w:r>
        <w:tab/>
      </w:r>
      <w:proofErr w:type="gramStart"/>
      <w:r w:rsidRPr="00C81B96">
        <w:t>66 Pa.C.S.</w:t>
      </w:r>
      <w:proofErr w:type="gramEnd"/>
      <w:r w:rsidRPr="00C81B96">
        <w:t xml:space="preserve"> §</w:t>
      </w:r>
      <w:r>
        <w:t xml:space="preserve"> </w:t>
      </w:r>
      <w:r w:rsidRPr="00C81B96">
        <w:t>332(a).</w:t>
      </w:r>
    </w:p>
    <w:p w:rsidR="00B50BD9" w:rsidRPr="00C81B96" w:rsidRDefault="00B50BD9" w:rsidP="00B50BD9">
      <w:pPr>
        <w:pStyle w:val="FootnoteText"/>
        <w:spacing w:after="0"/>
        <w:ind w:firstLine="720"/>
      </w:pPr>
    </w:p>
  </w:footnote>
  <w:footnote w:id="3">
    <w:p w:rsidR="00B50BD9" w:rsidRDefault="00B50BD9" w:rsidP="00B50BD9">
      <w:pPr>
        <w:pStyle w:val="FootnoteText"/>
        <w:spacing w:after="0"/>
      </w:pPr>
      <w:r w:rsidRPr="00C81B96">
        <w:rPr>
          <w:rStyle w:val="FootnoteReference"/>
        </w:rPr>
        <w:footnoteRef/>
      </w:r>
      <w:r w:rsidRPr="00C81B96">
        <w:t xml:space="preserve"> </w:t>
      </w:r>
      <w:r>
        <w:tab/>
      </w:r>
      <w:proofErr w:type="gramStart"/>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PA PUC 300 (1976).</w:t>
      </w:r>
      <w:proofErr w:type="gramEnd"/>
    </w:p>
    <w:p w:rsidR="00B50BD9" w:rsidRPr="00C81B96" w:rsidRDefault="00B50BD9" w:rsidP="00B50BD9">
      <w:pPr>
        <w:pStyle w:val="FootnoteText"/>
        <w:spacing w:after="0"/>
        <w:ind w:firstLine="720"/>
      </w:pPr>
    </w:p>
  </w:footnote>
  <w:footnote w:id="4">
    <w:p w:rsidR="00FB6FEB" w:rsidRPr="00805D56" w:rsidRDefault="00FB6FEB" w:rsidP="00FB6FEB">
      <w:pPr>
        <w:tabs>
          <w:tab w:val="clear" w:pos="1440"/>
          <w:tab w:val="left" w:pos="720"/>
        </w:tabs>
        <w:spacing w:line="240" w:lineRule="auto"/>
        <w:rPr>
          <w:sz w:val="20"/>
        </w:rPr>
      </w:pPr>
      <w:r w:rsidRPr="00FB6FEB">
        <w:rPr>
          <w:rStyle w:val="FootnoteReference"/>
          <w:sz w:val="20"/>
        </w:rPr>
        <w:footnoteRef/>
      </w:r>
      <w:r w:rsidRPr="00FB6FEB">
        <w:rPr>
          <w:sz w:val="20"/>
        </w:rPr>
        <w:t xml:space="preserve"> </w:t>
      </w:r>
      <w:r>
        <w:rPr>
          <w:sz w:val="20"/>
        </w:rPr>
        <w:tab/>
      </w:r>
      <w:r w:rsidRPr="00805D56">
        <w:rPr>
          <w:sz w:val="20"/>
        </w:rPr>
        <w:t xml:space="preserve">The reactivation of the Complainant’s old balance may not have complied with Section 56.35 of the Commission’s regulations, if any of it accrued more than four years before the Complainant applied for service.  </w:t>
      </w:r>
      <w:proofErr w:type="gramStart"/>
      <w:r w:rsidRPr="00805D56">
        <w:rPr>
          <w:sz w:val="20"/>
        </w:rPr>
        <w:t>52 </w:t>
      </w:r>
      <w:proofErr w:type="spellStart"/>
      <w:r w:rsidRPr="00805D56">
        <w:rPr>
          <w:sz w:val="20"/>
        </w:rPr>
        <w:t>Pa.Code</w:t>
      </w:r>
      <w:proofErr w:type="spellEnd"/>
      <w:r w:rsidRPr="00805D56">
        <w:rPr>
          <w:sz w:val="20"/>
        </w:rPr>
        <w:t xml:space="preserve"> § 56.35(b).</w:t>
      </w:r>
      <w:proofErr w:type="gramEnd"/>
      <w:r w:rsidRPr="00805D56">
        <w:rPr>
          <w:sz w:val="20"/>
        </w:rPr>
        <w:t xml:space="preserve">  To the extent that the Complainant may have intended to challenge the reactivation of the balance, Section 3314 of the Public Utility Code divests the Commission of jurisdiction for claims brought after three years from the date at which the liability arose.  </w:t>
      </w:r>
      <w:proofErr w:type="gramStart"/>
      <w:r w:rsidRPr="00805D56">
        <w:rPr>
          <w:sz w:val="20"/>
        </w:rPr>
        <w:t xml:space="preserve">66 </w:t>
      </w:r>
      <w:proofErr w:type="spellStart"/>
      <w:r w:rsidRPr="00805D56">
        <w:rPr>
          <w:sz w:val="20"/>
        </w:rPr>
        <w:t>Pa.C.S</w:t>
      </w:r>
      <w:proofErr w:type="spellEnd"/>
      <w:r w:rsidRPr="00805D56">
        <w:rPr>
          <w:sz w:val="20"/>
        </w:rPr>
        <w:t>.</w:t>
      </w:r>
      <w:proofErr w:type="gramEnd"/>
      <w:r w:rsidRPr="00805D56">
        <w:rPr>
          <w:sz w:val="20"/>
        </w:rPr>
        <w:t xml:space="preserve"> § 3314.  </w:t>
      </w:r>
      <w:r w:rsidRPr="00805D56">
        <w:rPr>
          <w:i/>
          <w:sz w:val="20"/>
        </w:rPr>
        <w:t>Maloney v. West Penn Power Company</w:t>
      </w:r>
      <w:r w:rsidRPr="00805D56">
        <w:rPr>
          <w:sz w:val="20"/>
        </w:rPr>
        <w:t xml:space="preserve">, Docket No. F-2010-2189973 (Opinion and Order entered November 10, 2011).  Moreover, the Complainant filed a complaint in 2010 disputing her balance, which was resolved with a certificate of satisfaction.  </w:t>
      </w:r>
      <w:r w:rsidRPr="00805D56">
        <w:rPr>
          <w:i/>
          <w:sz w:val="20"/>
        </w:rPr>
        <w:t>See Wright v. Philadelphia Gas Works</w:t>
      </w:r>
      <w:r w:rsidRPr="00805D56">
        <w:rPr>
          <w:sz w:val="20"/>
        </w:rPr>
        <w:t>, Docket No. C-2013-2368462 (Opinion and Order entered October 23, 2014).</w:t>
      </w:r>
    </w:p>
    <w:p w:rsidR="00FB6FEB" w:rsidRDefault="00FB6FEB">
      <w:pPr>
        <w:pStyle w:val="FootnoteText"/>
      </w:pPr>
    </w:p>
  </w:footnote>
  <w:footnote w:id="5">
    <w:p w:rsidR="002A39E9" w:rsidRDefault="00ED42ED" w:rsidP="002A39E9">
      <w:pPr>
        <w:pStyle w:val="FootnoteText"/>
      </w:pPr>
      <w:r>
        <w:rPr>
          <w:rStyle w:val="FootnoteReference"/>
        </w:rPr>
        <w:footnoteRef/>
      </w:r>
      <w:r>
        <w:t xml:space="preserve"> </w:t>
      </w:r>
      <w:r w:rsidR="002A39E9">
        <w:t xml:space="preserve"> </w:t>
      </w:r>
      <w:r w:rsidR="002A39E9">
        <w:tab/>
        <w:t>Section 1501 provides:</w:t>
      </w:r>
    </w:p>
    <w:p w:rsidR="002A39E9" w:rsidRDefault="002A39E9" w:rsidP="002A39E9">
      <w:pPr>
        <w:pStyle w:val="FootnoteText"/>
        <w:ind w:left="1440" w:right="2070"/>
      </w:pPr>
      <w: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ED42ED" w:rsidRDefault="002A39E9" w:rsidP="001C0949">
      <w:pPr>
        <w:pStyle w:val="FootnoteText"/>
        <w:spacing w:after="0"/>
      </w:pPr>
      <w:proofErr w:type="gramStart"/>
      <w:r>
        <w:t xml:space="preserve">66 </w:t>
      </w:r>
      <w:proofErr w:type="spellStart"/>
      <w:r>
        <w:t>Pa.C.S</w:t>
      </w:r>
      <w:proofErr w:type="spellEnd"/>
      <w:r>
        <w:t>.</w:t>
      </w:r>
      <w:proofErr w:type="gramEnd"/>
      <w:r>
        <w:t xml:space="preserve"> §1501.</w:t>
      </w:r>
    </w:p>
    <w:p w:rsidR="001C0949" w:rsidRDefault="001C0949" w:rsidP="001C0949">
      <w:pPr>
        <w:pStyle w:val="FootnoteText"/>
        <w:spacing w:after="0"/>
      </w:pPr>
    </w:p>
  </w:footnote>
  <w:footnote w:id="6">
    <w:p w:rsidR="00ED42ED" w:rsidRPr="00251833" w:rsidRDefault="00ED42ED">
      <w:pPr>
        <w:pStyle w:val="FootnoteText"/>
      </w:pPr>
      <w:r>
        <w:rPr>
          <w:rStyle w:val="FootnoteReference"/>
        </w:rPr>
        <w:footnoteRef/>
      </w:r>
      <w:r>
        <w:t xml:space="preserve"> </w:t>
      </w:r>
      <w:r w:rsidR="002A39E9">
        <w:tab/>
      </w:r>
      <w:r w:rsidR="002A39E9">
        <w:rPr>
          <w:i/>
        </w:rPr>
        <w:t>Maisch v. PECO Energy Company</w:t>
      </w:r>
      <w:r w:rsidR="002A39E9">
        <w:t>, Docket No. C-2009-2118646 (Opinion and Order entered May 26, 2011</w:t>
      </w:r>
      <w:proofErr w:type="gramStart"/>
      <w:r w:rsidR="002A39E9">
        <w:t>)(</w:t>
      </w:r>
      <w:proofErr w:type="gramEnd"/>
      <w:r w:rsidR="002A39E9">
        <w:t>fining PECO for failing to adequate explain customer billing and account history).</w:t>
      </w:r>
      <w:r w:rsidR="00251833">
        <w:t xml:space="preserve">  </w:t>
      </w:r>
      <w:r w:rsidR="00251833">
        <w:rPr>
          <w:i/>
        </w:rPr>
        <w:t xml:space="preserve">See also </w:t>
      </w:r>
      <w:r w:rsidR="00251833">
        <w:t>Caiaccia</w:t>
      </w:r>
      <w:r w:rsidR="00251833">
        <w:tab/>
        <w:t xml:space="preserve">v. Duquesne Light Company, Docket No. </w:t>
      </w:r>
      <w:r w:rsidR="00251833" w:rsidRPr="00251833">
        <w:t>F-2011-2263256</w:t>
      </w:r>
      <w:r w:rsidR="00251833">
        <w:t xml:space="preserve"> (Initial Decision August 31, 2012, </w:t>
      </w:r>
      <w:r w:rsidR="00251833">
        <w:rPr>
          <w:i/>
        </w:rPr>
        <w:t xml:space="preserve">adopted by </w:t>
      </w:r>
      <w:r w:rsidR="00251833">
        <w:t>Opinion and Order entered February 28, 2013</w:t>
      </w:r>
      <w:proofErr w:type="gramStart"/>
      <w:r w:rsidR="00251833">
        <w:t>)(</w:t>
      </w:r>
      <w:proofErr w:type="gramEnd"/>
      <w:r w:rsidR="00251833">
        <w:t>utility billing failed to adequately communicate the application of CAP credits to the complainant’s account).</w:t>
      </w:r>
    </w:p>
  </w:footnote>
  <w:footnote w:id="7">
    <w:p w:rsidR="00102A51" w:rsidRDefault="00102A51" w:rsidP="00102A51">
      <w:pPr>
        <w:pStyle w:val="FootnoteText"/>
        <w:spacing w:after="0"/>
        <w:rPr>
          <w:snapToGrid w:val="0"/>
        </w:rPr>
      </w:pPr>
      <w:r>
        <w:rPr>
          <w:rStyle w:val="FootnoteReference"/>
        </w:rPr>
        <w:footnoteRef/>
      </w:r>
      <w:r>
        <w:t xml:space="preserve"> </w:t>
      </w:r>
      <w:r>
        <w:tab/>
      </w:r>
      <w:r>
        <w:rPr>
          <w:snapToGrid w:val="0"/>
        </w:rPr>
        <w:t xml:space="preserve">66 Pa.C.S. § 3301. </w:t>
      </w:r>
    </w:p>
    <w:p w:rsidR="00102A51" w:rsidRDefault="00102A51" w:rsidP="00102A51">
      <w:pPr>
        <w:pStyle w:val="FootnoteText"/>
        <w:spacing w:after="0"/>
        <w:ind w:firstLine="720"/>
      </w:pPr>
    </w:p>
  </w:footnote>
  <w:footnote w:id="8">
    <w:p w:rsidR="00102A51" w:rsidRPr="003D7B7B" w:rsidRDefault="00102A51" w:rsidP="00102A51">
      <w:pPr>
        <w:pStyle w:val="FootnoteText"/>
        <w:spacing w:after="0"/>
        <w:rPr>
          <w:snapToGrid w:val="0"/>
        </w:rPr>
      </w:pPr>
      <w:r>
        <w:rPr>
          <w:rStyle w:val="FootnoteReference"/>
        </w:rPr>
        <w:footnoteRef/>
      </w:r>
      <w:r>
        <w:t xml:space="preserve">  </w:t>
      </w:r>
      <w:r>
        <w:tab/>
      </w:r>
      <w:r>
        <w:rPr>
          <w:i/>
          <w:snapToGrid w:val="0"/>
        </w:rPr>
        <w:t>See</w:t>
      </w:r>
      <w:r>
        <w:rPr>
          <w:snapToGrid w:val="0"/>
        </w:rPr>
        <w:t xml:space="preserve"> 52 Pa.Code § 69.1201; </w:t>
      </w:r>
      <w:r>
        <w:rPr>
          <w:i/>
          <w:snapToGrid w:val="0"/>
        </w:rPr>
        <w:t>see also, Rosi v. Bell Atlantic-Pa., Inc. and Sprint Communica</w:t>
      </w:r>
      <w:r>
        <w:rPr>
          <w:i/>
          <w:snapToGrid w:val="0"/>
        </w:rPr>
        <w:softHyphen/>
        <w:t>tions Company</w:t>
      </w:r>
      <w:r>
        <w:rPr>
          <w:snapToGrid w:val="0"/>
        </w:rPr>
        <w:t>, Docket No. C</w:t>
      </w:r>
      <w:r>
        <w:rPr>
          <w:snapToGrid w:val="0"/>
        </w:rPr>
        <w:noBreakHyphen/>
        <w:t>00992409 (</w:t>
      </w:r>
      <w:r w:rsidR="001B54D2">
        <w:rPr>
          <w:snapToGrid w:val="0"/>
        </w:rPr>
        <w:t xml:space="preserve">Opinion and </w:t>
      </w:r>
      <w:r>
        <w:rPr>
          <w:snapToGrid w:val="0"/>
        </w:rPr>
        <w:t>Order entered February 10, 2000) (</w:t>
      </w:r>
      <w:r>
        <w:rPr>
          <w:i/>
          <w:snapToGrid w:val="0"/>
        </w:rPr>
        <w:t>Rosi</w:t>
      </w:r>
      <w:r>
        <w:rPr>
          <w:snapToGrid w:val="0"/>
        </w:rPr>
        <w:t>).</w:t>
      </w:r>
    </w:p>
    <w:p w:rsidR="00102A51" w:rsidRDefault="00102A51" w:rsidP="00102A51">
      <w:pPr>
        <w:pStyle w:val="FootnoteText"/>
        <w:spacing w:after="0"/>
        <w:ind w:firstLine="720"/>
      </w:pPr>
    </w:p>
  </w:footnote>
  <w:footnote w:id="9">
    <w:p w:rsidR="00102A51" w:rsidRDefault="00102A51" w:rsidP="00102A51">
      <w:pPr>
        <w:pStyle w:val="FootnoteText"/>
        <w:spacing w:after="0"/>
      </w:pPr>
      <w:r>
        <w:rPr>
          <w:rStyle w:val="FootnoteReference"/>
        </w:rPr>
        <w:footnoteRef/>
      </w:r>
      <w:r>
        <w:t xml:space="preserve"> </w:t>
      </w:r>
      <w:r>
        <w:tab/>
        <w:t xml:space="preserve"> 52 Pa.Code § 69.1201(a).  </w:t>
      </w:r>
    </w:p>
  </w:footnote>
  <w:footnote w:id="10">
    <w:p w:rsidR="00102A51" w:rsidRDefault="00102A51" w:rsidP="007B6728">
      <w:pPr>
        <w:pStyle w:val="FootnoteText"/>
        <w:spacing w:after="0"/>
      </w:pPr>
      <w:r>
        <w:rPr>
          <w:rStyle w:val="FootnoteReference"/>
        </w:rPr>
        <w:footnoteRef/>
      </w:r>
      <w:r>
        <w:t xml:space="preserve">  </w:t>
      </w:r>
      <w:r>
        <w:tab/>
        <w:t>52 Pa.Code § 69.1201(c).</w:t>
      </w:r>
    </w:p>
    <w:p w:rsidR="009B54B1" w:rsidRDefault="009B54B1" w:rsidP="007B6728">
      <w:pPr>
        <w:pStyle w:val="FootnoteText"/>
        <w:spacing w:after="0"/>
      </w:pPr>
    </w:p>
  </w:footnote>
  <w:footnote w:id="11">
    <w:p w:rsidR="00123741" w:rsidRDefault="00123741" w:rsidP="007B6728">
      <w:pPr>
        <w:pStyle w:val="FootnoteText"/>
        <w:spacing w:after="0"/>
      </w:pPr>
      <w:r>
        <w:rPr>
          <w:rStyle w:val="FootnoteReference"/>
        </w:rPr>
        <w:footnoteRef/>
      </w:r>
      <w:r>
        <w:t xml:space="preserve"> </w:t>
      </w:r>
      <w:r w:rsidR="008B25D3">
        <w:tab/>
      </w:r>
      <w:r w:rsidR="007373A4">
        <w:t>52 Pa.Code § 69.1201(c</w:t>
      </w:r>
      <w:proofErr w:type="gramStart"/>
      <w:r w:rsidR="007373A4">
        <w:t>)</w:t>
      </w:r>
      <w:r w:rsidR="008B25D3">
        <w:t>(</w:t>
      </w:r>
      <w:proofErr w:type="gramEnd"/>
      <w:r w:rsidR="008B25D3">
        <w:t>1)</w:t>
      </w:r>
      <w:r w:rsidR="00933B95">
        <w:t xml:space="preserve">, </w:t>
      </w:r>
      <w:r w:rsidR="008B25D3">
        <w:t>(c)(2)</w:t>
      </w:r>
      <w:r w:rsidR="007373A4">
        <w:t>.</w:t>
      </w:r>
    </w:p>
    <w:p w:rsidR="007B6728" w:rsidRDefault="007B6728" w:rsidP="007B6728">
      <w:pPr>
        <w:pStyle w:val="FootnoteText"/>
        <w:spacing w:after="0"/>
      </w:pPr>
    </w:p>
  </w:footnote>
  <w:footnote w:id="12">
    <w:p w:rsidR="00123741" w:rsidRDefault="00123741" w:rsidP="007B6728">
      <w:pPr>
        <w:pStyle w:val="FootnoteText"/>
        <w:spacing w:after="0"/>
      </w:pPr>
      <w:r>
        <w:rPr>
          <w:rStyle w:val="FootnoteReference"/>
        </w:rPr>
        <w:footnoteRef/>
      </w:r>
      <w:r>
        <w:t xml:space="preserve"> </w:t>
      </w:r>
      <w:r w:rsidR="008B25D3">
        <w:tab/>
      </w:r>
      <w:r w:rsidR="007373A4">
        <w:t>52 Pa.Code § 69.1201(c</w:t>
      </w:r>
      <w:proofErr w:type="gramStart"/>
      <w:r w:rsidR="007373A4">
        <w:t>)</w:t>
      </w:r>
      <w:r w:rsidR="008B25D3">
        <w:t>(</w:t>
      </w:r>
      <w:proofErr w:type="gramEnd"/>
      <w:r w:rsidR="008B25D3">
        <w:t>5)</w:t>
      </w:r>
      <w:r w:rsidR="007373A4">
        <w:t>.</w:t>
      </w:r>
    </w:p>
    <w:p w:rsidR="007B6728" w:rsidRDefault="007B6728" w:rsidP="007B6728">
      <w:pPr>
        <w:pStyle w:val="FootnoteText"/>
        <w:spacing w:after="0"/>
      </w:pPr>
    </w:p>
  </w:footnote>
  <w:footnote w:id="13">
    <w:p w:rsidR="00123741" w:rsidRDefault="00123741" w:rsidP="007B6728">
      <w:pPr>
        <w:pStyle w:val="FootnoteText"/>
        <w:spacing w:after="0"/>
      </w:pPr>
      <w:r>
        <w:rPr>
          <w:rStyle w:val="FootnoteReference"/>
        </w:rPr>
        <w:footnoteRef/>
      </w:r>
      <w:r>
        <w:t xml:space="preserve"> </w:t>
      </w:r>
      <w:r w:rsidR="008B25D3">
        <w:tab/>
      </w:r>
      <w:r w:rsidR="007373A4">
        <w:t>52 Pa.Code § 69.1201(c</w:t>
      </w:r>
      <w:proofErr w:type="gramStart"/>
      <w:r w:rsidR="007373A4">
        <w:t>)</w:t>
      </w:r>
      <w:r w:rsidR="008B25D3">
        <w:t>(</w:t>
      </w:r>
      <w:proofErr w:type="gramEnd"/>
      <w:r w:rsidR="008B25D3">
        <w:t>4)</w:t>
      </w:r>
      <w:r w:rsidR="007373A4">
        <w:t>.</w:t>
      </w:r>
    </w:p>
    <w:p w:rsidR="007B6728" w:rsidRDefault="007B6728" w:rsidP="007B6728">
      <w:pPr>
        <w:pStyle w:val="FootnoteText"/>
        <w:spacing w:after="0"/>
      </w:pPr>
    </w:p>
  </w:footnote>
  <w:footnote w:id="14">
    <w:p w:rsidR="00123741" w:rsidRDefault="00123741" w:rsidP="007B6728">
      <w:pPr>
        <w:pStyle w:val="FootnoteText"/>
        <w:spacing w:after="0"/>
      </w:pPr>
      <w:r>
        <w:rPr>
          <w:rStyle w:val="FootnoteReference"/>
        </w:rPr>
        <w:footnoteRef/>
      </w:r>
      <w:r>
        <w:t xml:space="preserve"> </w:t>
      </w:r>
      <w:r w:rsidR="008B25D3">
        <w:tab/>
      </w:r>
      <w:r w:rsidR="007373A4">
        <w:t>52 Pa.Code § 69.1201(c</w:t>
      </w:r>
      <w:proofErr w:type="gramStart"/>
      <w:r w:rsidR="007373A4">
        <w:t>)</w:t>
      </w:r>
      <w:r w:rsidR="008B25D3">
        <w:t>(</w:t>
      </w:r>
      <w:proofErr w:type="gramEnd"/>
      <w:r w:rsidR="008B25D3">
        <w:t>8)</w:t>
      </w:r>
      <w:r w:rsidR="007373A4">
        <w:t>.</w:t>
      </w:r>
    </w:p>
    <w:p w:rsidR="007B6728" w:rsidRDefault="007B6728" w:rsidP="007B6728">
      <w:pPr>
        <w:pStyle w:val="FootnoteText"/>
        <w:spacing w:after="0"/>
      </w:pPr>
    </w:p>
  </w:footnote>
  <w:footnote w:id="15">
    <w:p w:rsidR="00123741" w:rsidRDefault="00123741" w:rsidP="007B6728">
      <w:pPr>
        <w:pStyle w:val="FootnoteText"/>
        <w:spacing w:after="0"/>
      </w:pPr>
      <w:r>
        <w:rPr>
          <w:rStyle w:val="FootnoteReference"/>
        </w:rPr>
        <w:footnoteRef/>
      </w:r>
      <w:r w:rsidR="008B25D3">
        <w:t xml:space="preserve"> </w:t>
      </w:r>
      <w:r w:rsidR="008B25D3">
        <w:tab/>
      </w:r>
      <w:r w:rsidR="007373A4">
        <w:t>52 Pa.Code § 69.1201(c</w:t>
      </w:r>
      <w:proofErr w:type="gramStart"/>
      <w:r w:rsidR="007373A4">
        <w:t>)</w:t>
      </w:r>
      <w:r w:rsidR="008B25D3">
        <w:t>(</w:t>
      </w:r>
      <w:proofErr w:type="gramEnd"/>
      <w:r w:rsidR="008B25D3">
        <w:t>3)</w:t>
      </w:r>
      <w:r w:rsidR="007373A4">
        <w:t>.</w:t>
      </w:r>
    </w:p>
    <w:p w:rsidR="007B6728" w:rsidRDefault="007B6728" w:rsidP="007B6728">
      <w:pPr>
        <w:pStyle w:val="FootnoteText"/>
        <w:spacing w:after="0"/>
      </w:pPr>
    </w:p>
  </w:footnote>
  <w:footnote w:id="16">
    <w:p w:rsidR="003508A9" w:rsidRDefault="00123741" w:rsidP="007B6728">
      <w:pPr>
        <w:pStyle w:val="FootnoteText"/>
        <w:spacing w:after="0"/>
      </w:pPr>
      <w:r>
        <w:rPr>
          <w:rStyle w:val="FootnoteReference"/>
        </w:rPr>
        <w:footnoteRef/>
      </w:r>
      <w:r>
        <w:t xml:space="preserve"> </w:t>
      </w:r>
      <w:r w:rsidR="008B25D3">
        <w:tab/>
      </w:r>
      <w:r w:rsidR="007373A4">
        <w:t>52 Pa.Code § 69.1201(c</w:t>
      </w:r>
      <w:proofErr w:type="gramStart"/>
      <w:r w:rsidR="007373A4">
        <w:t>)</w:t>
      </w:r>
      <w:r w:rsidR="008B25D3">
        <w:t>(</w:t>
      </w:r>
      <w:proofErr w:type="gramEnd"/>
      <w:r w:rsidR="008B25D3">
        <w:t>6), (c)(7), and (c)(10</w:t>
      </w:r>
      <w:r w:rsidR="003508A9">
        <w:t>).</w:t>
      </w:r>
    </w:p>
    <w:p w:rsidR="00257CFC" w:rsidRDefault="00257CFC" w:rsidP="007B6728">
      <w:pPr>
        <w:pStyle w:val="FootnoteText"/>
        <w:spacing w:after="0"/>
      </w:pPr>
    </w:p>
  </w:footnote>
  <w:footnote w:id="17">
    <w:p w:rsidR="003508A9" w:rsidRDefault="00B50BD9" w:rsidP="007B6728">
      <w:pPr>
        <w:pStyle w:val="FootnoteText"/>
        <w:spacing w:after="0"/>
      </w:pPr>
      <w:r w:rsidRPr="00FA2394">
        <w:rPr>
          <w:rStyle w:val="FootnoteReference"/>
        </w:rPr>
        <w:footnoteRef/>
      </w:r>
      <w:r w:rsidRPr="00FA2394">
        <w:t xml:space="preserve"> </w:t>
      </w:r>
      <w:r w:rsidRPr="00FA2394">
        <w:tab/>
      </w:r>
      <w:proofErr w:type="gramStart"/>
      <w:r w:rsidRPr="00FA2394">
        <w:t>66 Pa</w:t>
      </w:r>
      <w:r>
        <w:t>.</w:t>
      </w:r>
      <w:r w:rsidRPr="00FA2394">
        <w:t>C.S.</w:t>
      </w:r>
      <w:proofErr w:type="gramEnd"/>
      <w:r w:rsidRPr="00FA2394">
        <w:t xml:space="preserve"> §</w:t>
      </w:r>
      <w:r>
        <w:t xml:space="preserve"> </w:t>
      </w:r>
      <w:r w:rsidRPr="003508A9">
        <w:t>1405</w:t>
      </w:r>
      <w:r w:rsidRPr="00FA2394">
        <w:t>.</w:t>
      </w:r>
      <w:r>
        <w:t xml:space="preserve">  </w:t>
      </w:r>
      <w:r>
        <w:rPr>
          <w:i/>
        </w:rPr>
        <w:t>Cobb v. UGI Penn Natural Gas</w:t>
      </w:r>
      <w:r>
        <w:t xml:space="preserve">, </w:t>
      </w:r>
      <w:r w:rsidRPr="00221A7D">
        <w:rPr>
          <w:i/>
        </w:rPr>
        <w:t>Inc.</w:t>
      </w:r>
      <w:r>
        <w:rPr>
          <w:i/>
        </w:rPr>
        <w:t>,</w:t>
      </w:r>
      <w:r>
        <w:t xml:space="preserve"> Docket No. F-2010-2207096 (Opinion and Order entered November 10, 2011).</w:t>
      </w:r>
    </w:p>
    <w:p w:rsidR="007B6728" w:rsidRPr="00FA2394" w:rsidRDefault="007B6728" w:rsidP="007B6728">
      <w:pPr>
        <w:pStyle w:val="FootnoteText"/>
        <w:spacing w:after="0"/>
      </w:pPr>
    </w:p>
  </w:footnote>
  <w:footnote w:id="18">
    <w:p w:rsidR="00B50BD9" w:rsidRDefault="00B50BD9" w:rsidP="007B6728">
      <w:pPr>
        <w:pStyle w:val="FootnoteText"/>
        <w:spacing w:after="0"/>
      </w:pPr>
      <w:r>
        <w:rPr>
          <w:rStyle w:val="FootnoteReference"/>
        </w:rPr>
        <w:footnoteRef/>
      </w:r>
      <w:r>
        <w:t xml:space="preserve">  </w:t>
      </w:r>
      <w:r>
        <w:tab/>
      </w:r>
      <w:proofErr w:type="gramStart"/>
      <w:r>
        <w:rPr>
          <w:i/>
        </w:rPr>
        <w:t>Buchanan v. Pike County Light and Power Company</w:t>
      </w:r>
      <w:r>
        <w:t>, PUC Docket No.</w:t>
      </w:r>
      <w:proofErr w:type="gramEnd"/>
      <w:r>
        <w:t xml:space="preserve"> F-2009-2137873 (Final Order entered December 12, 2011); </w:t>
      </w:r>
      <w:r>
        <w:rPr>
          <w:i/>
        </w:rPr>
        <w:t>Creekmur v. PECO Energy Company,</w:t>
      </w:r>
      <w:r>
        <w:t xml:space="preserve"> PUC Docket No. C-2008-2079322 (Final Order entered February 4, 2010); </w:t>
      </w:r>
      <w:r>
        <w:rPr>
          <w:i/>
        </w:rPr>
        <w:t>Crawford v. National Fuel Gas Distribution Corp</w:t>
      </w:r>
      <w:r>
        <w:t>., PUC Docket No. C-20066348 (Final Order entered December 6, 2007)</w:t>
      </w:r>
      <w:r w:rsidR="00984D49">
        <w:t xml:space="preserve">.  </w:t>
      </w:r>
      <w:r w:rsidR="00FF3163">
        <w:t>(</w:t>
      </w:r>
      <w:r w:rsidR="00FF3163" w:rsidRPr="00984D49">
        <w:rPr>
          <w:i/>
        </w:rPr>
        <w:t>Crawford</w:t>
      </w:r>
      <w:r w:rsidR="00FF3163">
        <w:t>)</w:t>
      </w:r>
      <w:r>
        <w:t>.</w:t>
      </w:r>
    </w:p>
    <w:p w:rsidR="00E50AA8" w:rsidRPr="00800102" w:rsidRDefault="00E50AA8" w:rsidP="007B6728">
      <w:pPr>
        <w:pStyle w:val="FootnoteText"/>
        <w:spacing w:after="0"/>
      </w:pPr>
    </w:p>
  </w:footnote>
  <w:footnote w:id="19">
    <w:p w:rsidR="00B50BD9" w:rsidRDefault="00B50BD9" w:rsidP="007B6728">
      <w:pPr>
        <w:pStyle w:val="FootnoteText"/>
        <w:spacing w:after="0"/>
        <w:rPr>
          <w:szCs w:val="24"/>
        </w:rPr>
      </w:pPr>
      <w:r>
        <w:rPr>
          <w:rStyle w:val="FootnoteReference"/>
        </w:rPr>
        <w:footnoteRef/>
      </w:r>
      <w:r>
        <w:t xml:space="preserve"> </w:t>
      </w:r>
      <w:r>
        <w:tab/>
      </w:r>
      <w:r w:rsidRPr="003C009E">
        <w:rPr>
          <w:i/>
        </w:rPr>
        <w:t>E.g., Scaccia v. West Penn Power Co.</w:t>
      </w:r>
      <w:r>
        <w:t>, 55 Pa.</w:t>
      </w:r>
      <w:r w:rsidRPr="003C009E">
        <w:t xml:space="preserve"> PUC 637 (1982)</w:t>
      </w:r>
      <w:r>
        <w:t xml:space="preserve"> </w:t>
      </w:r>
      <w:r w:rsidRPr="003C009E">
        <w:t>(holding that a public utility is entitled to payment for services provided to customers).</w:t>
      </w:r>
      <w:r>
        <w:t xml:space="preserve">  </w:t>
      </w:r>
      <w:r>
        <w:rPr>
          <w:i/>
        </w:rPr>
        <w:t xml:space="preserve">See also </w:t>
      </w:r>
      <w:r w:rsidRPr="00953241">
        <w:rPr>
          <w:i/>
          <w:szCs w:val="24"/>
        </w:rPr>
        <w:t>Mill v. Pa. Pub</w:t>
      </w:r>
      <w:r>
        <w:rPr>
          <w:i/>
          <w:szCs w:val="24"/>
        </w:rPr>
        <w:t>. Util. Comm’n</w:t>
      </w:r>
      <w:r w:rsidRPr="00953241">
        <w:rPr>
          <w:szCs w:val="24"/>
        </w:rPr>
        <w:t>, 447 A.2d 1100 (</w:t>
      </w:r>
      <w:r>
        <w:rPr>
          <w:szCs w:val="24"/>
        </w:rPr>
        <w:t xml:space="preserve">Pa.Cmwlth. </w:t>
      </w:r>
      <w:r w:rsidRPr="00953241">
        <w:rPr>
          <w:szCs w:val="24"/>
        </w:rPr>
        <w:t>1982)</w:t>
      </w:r>
      <w:r w:rsidR="00614857">
        <w:rPr>
          <w:szCs w:val="24"/>
        </w:rPr>
        <w:t>.</w:t>
      </w:r>
    </w:p>
    <w:p w:rsidR="00FF3163" w:rsidRDefault="00FF3163" w:rsidP="007B6728">
      <w:pPr>
        <w:pStyle w:val="FootnoteText"/>
        <w:spacing w:after="0"/>
      </w:pPr>
    </w:p>
  </w:footnote>
  <w:footnote w:id="20">
    <w:p w:rsidR="00FF3163" w:rsidRDefault="00FF3163">
      <w:pPr>
        <w:pStyle w:val="FootnoteText"/>
      </w:pPr>
      <w:r>
        <w:rPr>
          <w:rStyle w:val="FootnoteReference"/>
        </w:rPr>
        <w:footnoteRef/>
      </w:r>
      <w:r>
        <w:t xml:space="preserve"> </w:t>
      </w:r>
      <w:r>
        <w:tab/>
        <w:t xml:space="preserve">See </w:t>
      </w:r>
      <w:r w:rsidRPr="00984D49">
        <w:rPr>
          <w:i/>
        </w:rPr>
        <w:t>Crawford</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78A1E4"/>
    <w:lvl w:ilvl="0">
      <w:start w:val="1"/>
      <w:numFmt w:val="decimal"/>
      <w:lvlText w:val="%1."/>
      <w:lvlJc w:val="left"/>
      <w:pPr>
        <w:tabs>
          <w:tab w:val="num" w:pos="1800"/>
        </w:tabs>
        <w:ind w:left="1800" w:hanging="360"/>
      </w:pPr>
    </w:lvl>
  </w:abstractNum>
  <w:abstractNum w:abstractNumId="1">
    <w:nsid w:val="FFFFFF7D"/>
    <w:multiLevelType w:val="singleLevel"/>
    <w:tmpl w:val="32786B6E"/>
    <w:lvl w:ilvl="0">
      <w:start w:val="1"/>
      <w:numFmt w:val="decimal"/>
      <w:lvlText w:val="%1."/>
      <w:lvlJc w:val="left"/>
      <w:pPr>
        <w:tabs>
          <w:tab w:val="num" w:pos="1440"/>
        </w:tabs>
        <w:ind w:left="1440" w:hanging="360"/>
      </w:pPr>
    </w:lvl>
  </w:abstractNum>
  <w:abstractNum w:abstractNumId="2">
    <w:nsid w:val="FFFFFF7E"/>
    <w:multiLevelType w:val="singleLevel"/>
    <w:tmpl w:val="2BFCB11C"/>
    <w:lvl w:ilvl="0">
      <w:start w:val="1"/>
      <w:numFmt w:val="decimal"/>
      <w:lvlText w:val="%1."/>
      <w:lvlJc w:val="left"/>
      <w:pPr>
        <w:tabs>
          <w:tab w:val="num" w:pos="1080"/>
        </w:tabs>
        <w:ind w:left="1080" w:hanging="360"/>
      </w:pPr>
    </w:lvl>
  </w:abstractNum>
  <w:abstractNum w:abstractNumId="3">
    <w:nsid w:val="FFFFFF7F"/>
    <w:multiLevelType w:val="singleLevel"/>
    <w:tmpl w:val="B77470AE"/>
    <w:lvl w:ilvl="0">
      <w:start w:val="1"/>
      <w:numFmt w:val="decimal"/>
      <w:lvlText w:val="%1."/>
      <w:lvlJc w:val="left"/>
      <w:pPr>
        <w:tabs>
          <w:tab w:val="num" w:pos="720"/>
        </w:tabs>
        <w:ind w:left="720" w:hanging="360"/>
      </w:pPr>
    </w:lvl>
  </w:abstractNum>
  <w:abstractNum w:abstractNumId="4">
    <w:nsid w:val="FFFFFF80"/>
    <w:multiLevelType w:val="singleLevel"/>
    <w:tmpl w:val="D7F2FA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BE00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4624D3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ACA6C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4D8B20A"/>
    <w:lvl w:ilvl="0">
      <w:start w:val="1"/>
      <w:numFmt w:val="decimal"/>
      <w:lvlText w:val="%1."/>
      <w:lvlJc w:val="left"/>
      <w:pPr>
        <w:tabs>
          <w:tab w:val="num" w:pos="360"/>
        </w:tabs>
        <w:ind w:left="360" w:hanging="360"/>
      </w:pPr>
    </w:lvl>
  </w:abstractNum>
  <w:abstractNum w:abstractNumId="9">
    <w:nsid w:val="FFFFFF89"/>
    <w:multiLevelType w:val="singleLevel"/>
    <w:tmpl w:val="8DFC7AFC"/>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A5902F6"/>
    <w:multiLevelType w:val="hybridMultilevel"/>
    <w:tmpl w:val="A01CFAFC"/>
    <w:lvl w:ilvl="0" w:tplc="5F9A362C">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23"/>
  </w:num>
  <w:num w:numId="4">
    <w:abstractNumId w:val="27"/>
  </w:num>
  <w:num w:numId="5">
    <w:abstractNumId w:val="15"/>
  </w:num>
  <w:num w:numId="6">
    <w:abstractNumId w:val="13"/>
  </w:num>
  <w:num w:numId="7">
    <w:abstractNumId w:val="12"/>
  </w:num>
  <w:num w:numId="8">
    <w:abstractNumId w:val="26"/>
  </w:num>
  <w:num w:numId="9">
    <w:abstractNumId w:val="11"/>
  </w:num>
  <w:num w:numId="10">
    <w:abstractNumId w:val="20"/>
  </w:num>
  <w:num w:numId="11">
    <w:abstractNumId w:val="22"/>
  </w:num>
  <w:num w:numId="12">
    <w:abstractNumId w:val="16"/>
  </w:num>
  <w:num w:numId="13">
    <w:abstractNumId w:val="21"/>
  </w:num>
  <w:num w:numId="14">
    <w:abstractNumId w:val="24"/>
  </w:num>
  <w:num w:numId="15">
    <w:abstractNumId w:val="10"/>
  </w:num>
  <w:num w:numId="16">
    <w:abstractNumId w:val="19"/>
  </w:num>
  <w:num w:numId="17">
    <w:abstractNumId w:val="19"/>
  </w:num>
  <w:num w:numId="18">
    <w:abstractNumId w:val="14"/>
  </w:num>
  <w:num w:numId="19">
    <w:abstractNumId w:val="17"/>
  </w:num>
  <w:num w:numId="20">
    <w:abstractNumId w:val="2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3A0"/>
    <w:rsid w:val="00001F0F"/>
    <w:rsid w:val="00002434"/>
    <w:rsid w:val="00004C37"/>
    <w:rsid w:val="00006334"/>
    <w:rsid w:val="00007E3F"/>
    <w:rsid w:val="0001580A"/>
    <w:rsid w:val="00071F31"/>
    <w:rsid w:val="00075CB6"/>
    <w:rsid w:val="000904B8"/>
    <w:rsid w:val="0010018E"/>
    <w:rsid w:val="00101B38"/>
    <w:rsid w:val="00102A51"/>
    <w:rsid w:val="00123741"/>
    <w:rsid w:val="00160F79"/>
    <w:rsid w:val="00182993"/>
    <w:rsid w:val="001A21B6"/>
    <w:rsid w:val="001B1CBA"/>
    <w:rsid w:val="001B54D2"/>
    <w:rsid w:val="001C0949"/>
    <w:rsid w:val="001D2AF7"/>
    <w:rsid w:val="001E6EE8"/>
    <w:rsid w:val="001F1A22"/>
    <w:rsid w:val="00202DBA"/>
    <w:rsid w:val="00213167"/>
    <w:rsid w:val="00225FCE"/>
    <w:rsid w:val="00235D3B"/>
    <w:rsid w:val="00240DE5"/>
    <w:rsid w:val="002468E2"/>
    <w:rsid w:val="00250D0A"/>
    <w:rsid w:val="002512F9"/>
    <w:rsid w:val="00251833"/>
    <w:rsid w:val="00252706"/>
    <w:rsid w:val="00257CFC"/>
    <w:rsid w:val="002640B3"/>
    <w:rsid w:val="00265AE8"/>
    <w:rsid w:val="00287D98"/>
    <w:rsid w:val="002A39E9"/>
    <w:rsid w:val="002A455C"/>
    <w:rsid w:val="002C6CF9"/>
    <w:rsid w:val="002E794A"/>
    <w:rsid w:val="002F6267"/>
    <w:rsid w:val="0030173D"/>
    <w:rsid w:val="00311294"/>
    <w:rsid w:val="0032423B"/>
    <w:rsid w:val="003508A9"/>
    <w:rsid w:val="003511E2"/>
    <w:rsid w:val="0036205D"/>
    <w:rsid w:val="00376962"/>
    <w:rsid w:val="00391252"/>
    <w:rsid w:val="00393C92"/>
    <w:rsid w:val="003B2E99"/>
    <w:rsid w:val="003C7C1A"/>
    <w:rsid w:val="003D732F"/>
    <w:rsid w:val="003E4F75"/>
    <w:rsid w:val="003E7031"/>
    <w:rsid w:val="00404A01"/>
    <w:rsid w:val="004120AA"/>
    <w:rsid w:val="00421F21"/>
    <w:rsid w:val="00422A16"/>
    <w:rsid w:val="004275FD"/>
    <w:rsid w:val="0043150B"/>
    <w:rsid w:val="004879B1"/>
    <w:rsid w:val="004A6BB9"/>
    <w:rsid w:val="004C0BB0"/>
    <w:rsid w:val="004D33CA"/>
    <w:rsid w:val="004D523C"/>
    <w:rsid w:val="004E0645"/>
    <w:rsid w:val="005038ED"/>
    <w:rsid w:val="00512E1A"/>
    <w:rsid w:val="005234D8"/>
    <w:rsid w:val="0054024B"/>
    <w:rsid w:val="00550F79"/>
    <w:rsid w:val="00554206"/>
    <w:rsid w:val="00556FA1"/>
    <w:rsid w:val="00562602"/>
    <w:rsid w:val="0056484E"/>
    <w:rsid w:val="00566CF3"/>
    <w:rsid w:val="005814A8"/>
    <w:rsid w:val="005A086A"/>
    <w:rsid w:val="005A196F"/>
    <w:rsid w:val="005A1C17"/>
    <w:rsid w:val="005A2ABA"/>
    <w:rsid w:val="005C3B98"/>
    <w:rsid w:val="005D70E1"/>
    <w:rsid w:val="005E31C5"/>
    <w:rsid w:val="005E7B69"/>
    <w:rsid w:val="005E7D80"/>
    <w:rsid w:val="005F0138"/>
    <w:rsid w:val="005F456C"/>
    <w:rsid w:val="00601705"/>
    <w:rsid w:val="00611D4F"/>
    <w:rsid w:val="00614857"/>
    <w:rsid w:val="0061775F"/>
    <w:rsid w:val="00630523"/>
    <w:rsid w:val="00631A16"/>
    <w:rsid w:val="00631B03"/>
    <w:rsid w:val="00676F44"/>
    <w:rsid w:val="00682A90"/>
    <w:rsid w:val="006C1CF9"/>
    <w:rsid w:val="006F0329"/>
    <w:rsid w:val="00700807"/>
    <w:rsid w:val="00712E58"/>
    <w:rsid w:val="007373A4"/>
    <w:rsid w:val="00740546"/>
    <w:rsid w:val="00792796"/>
    <w:rsid w:val="007A2B53"/>
    <w:rsid w:val="007B6728"/>
    <w:rsid w:val="007D33A0"/>
    <w:rsid w:val="007E6779"/>
    <w:rsid w:val="007F764F"/>
    <w:rsid w:val="007F7F2E"/>
    <w:rsid w:val="00805D56"/>
    <w:rsid w:val="008208A0"/>
    <w:rsid w:val="00820B4C"/>
    <w:rsid w:val="00825654"/>
    <w:rsid w:val="00850F7D"/>
    <w:rsid w:val="008529D2"/>
    <w:rsid w:val="0085583D"/>
    <w:rsid w:val="00873041"/>
    <w:rsid w:val="008A19CD"/>
    <w:rsid w:val="008A3255"/>
    <w:rsid w:val="008B25D3"/>
    <w:rsid w:val="008D3D64"/>
    <w:rsid w:val="008D5E93"/>
    <w:rsid w:val="008E793A"/>
    <w:rsid w:val="00933B95"/>
    <w:rsid w:val="00935BE7"/>
    <w:rsid w:val="00946D2F"/>
    <w:rsid w:val="00976A7B"/>
    <w:rsid w:val="00981BCF"/>
    <w:rsid w:val="00984D49"/>
    <w:rsid w:val="009B54B1"/>
    <w:rsid w:val="00A27410"/>
    <w:rsid w:val="00A736CF"/>
    <w:rsid w:val="00A825C4"/>
    <w:rsid w:val="00A85E05"/>
    <w:rsid w:val="00A86F97"/>
    <w:rsid w:val="00AA2EC5"/>
    <w:rsid w:val="00AB4C73"/>
    <w:rsid w:val="00AE3309"/>
    <w:rsid w:val="00AE6F47"/>
    <w:rsid w:val="00B14DDC"/>
    <w:rsid w:val="00B50BD9"/>
    <w:rsid w:val="00B54A9A"/>
    <w:rsid w:val="00B94600"/>
    <w:rsid w:val="00BA79A4"/>
    <w:rsid w:val="00BC575D"/>
    <w:rsid w:val="00BC6B21"/>
    <w:rsid w:val="00BD1062"/>
    <w:rsid w:val="00BE6E96"/>
    <w:rsid w:val="00BF2FE1"/>
    <w:rsid w:val="00BF32C4"/>
    <w:rsid w:val="00C073B7"/>
    <w:rsid w:val="00C3210E"/>
    <w:rsid w:val="00C408BC"/>
    <w:rsid w:val="00C614ED"/>
    <w:rsid w:val="00C75930"/>
    <w:rsid w:val="00C82043"/>
    <w:rsid w:val="00C846B2"/>
    <w:rsid w:val="00C87E57"/>
    <w:rsid w:val="00C9235E"/>
    <w:rsid w:val="00C973B4"/>
    <w:rsid w:val="00CD4B75"/>
    <w:rsid w:val="00CD74A0"/>
    <w:rsid w:val="00D2199E"/>
    <w:rsid w:val="00D27800"/>
    <w:rsid w:val="00D31A5B"/>
    <w:rsid w:val="00D354F2"/>
    <w:rsid w:val="00D51222"/>
    <w:rsid w:val="00D55DD3"/>
    <w:rsid w:val="00D611FA"/>
    <w:rsid w:val="00D76A3F"/>
    <w:rsid w:val="00D8183F"/>
    <w:rsid w:val="00DA629E"/>
    <w:rsid w:val="00DB5AE9"/>
    <w:rsid w:val="00DD5C37"/>
    <w:rsid w:val="00DE21FF"/>
    <w:rsid w:val="00DE427F"/>
    <w:rsid w:val="00DF6813"/>
    <w:rsid w:val="00DF7F50"/>
    <w:rsid w:val="00E134B2"/>
    <w:rsid w:val="00E16EB4"/>
    <w:rsid w:val="00E21727"/>
    <w:rsid w:val="00E4239A"/>
    <w:rsid w:val="00E50AA8"/>
    <w:rsid w:val="00E65F3F"/>
    <w:rsid w:val="00E745F2"/>
    <w:rsid w:val="00E75142"/>
    <w:rsid w:val="00E82532"/>
    <w:rsid w:val="00E844EF"/>
    <w:rsid w:val="00E959B9"/>
    <w:rsid w:val="00EA16C9"/>
    <w:rsid w:val="00EA7EA1"/>
    <w:rsid w:val="00EC1CBA"/>
    <w:rsid w:val="00EC2D93"/>
    <w:rsid w:val="00EC2F4E"/>
    <w:rsid w:val="00ED42ED"/>
    <w:rsid w:val="00EE59EC"/>
    <w:rsid w:val="00EE6770"/>
    <w:rsid w:val="00EE7801"/>
    <w:rsid w:val="00EE782A"/>
    <w:rsid w:val="00F07A30"/>
    <w:rsid w:val="00F16554"/>
    <w:rsid w:val="00F33AE9"/>
    <w:rsid w:val="00F47B87"/>
    <w:rsid w:val="00F544E1"/>
    <w:rsid w:val="00F767B6"/>
    <w:rsid w:val="00F94652"/>
    <w:rsid w:val="00FB2D0C"/>
    <w:rsid w:val="00FB6FEB"/>
    <w:rsid w:val="00FC016C"/>
    <w:rsid w:val="00FC67A7"/>
    <w:rsid w:val="00FD5C10"/>
    <w:rsid w:val="00FD6590"/>
    <w:rsid w:val="00FE1D6A"/>
    <w:rsid w:val="00FE23A0"/>
    <w:rsid w:val="00FF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B69"/>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2423B"/>
    <w:pPr>
      <w:numPr>
        <w:numId w:val="20"/>
      </w:numPr>
      <w:spacing w:after="0"/>
      <w:ind w:left="0" w:firstLine="1440"/>
      <w:outlineLvl w:val="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935BE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935BE7"/>
    <w:rPr>
      <w:rFonts w:ascii="Times New Roman" w:hAnsi="Times New Roman" w:cs="Times New Roman"/>
      <w:sz w:val="24"/>
      <w:szCs w:val="20"/>
    </w:rPr>
  </w:style>
  <w:style w:type="paragraph" w:styleId="Footer">
    <w:name w:val="footer"/>
    <w:basedOn w:val="Normal"/>
    <w:link w:val="FooterChar"/>
    <w:uiPriority w:val="99"/>
    <w:unhideWhenUsed/>
    <w:rsid w:val="00935BE7"/>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935BE7"/>
    <w:rPr>
      <w:rFonts w:ascii="Times New Roman" w:hAnsi="Times New Roman" w:cs="Times New Roman"/>
      <w:sz w:val="24"/>
      <w:szCs w:val="20"/>
    </w:rPr>
  </w:style>
  <w:style w:type="character" w:styleId="FootnoteReference">
    <w:name w:val="footnote reference"/>
    <w:basedOn w:val="DefaultParagraphFont"/>
    <w:uiPriority w:val="99"/>
    <w:unhideWhenUsed/>
    <w:rsid w:val="00B50BD9"/>
    <w:rPr>
      <w:vertAlign w:val="superscript"/>
    </w:rPr>
  </w:style>
  <w:style w:type="paragraph" w:styleId="BalloonText">
    <w:name w:val="Balloon Text"/>
    <w:basedOn w:val="Normal"/>
    <w:link w:val="BalloonTextChar"/>
    <w:uiPriority w:val="99"/>
    <w:semiHidden/>
    <w:unhideWhenUsed/>
    <w:rsid w:val="00850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F7D"/>
    <w:rPr>
      <w:rFonts w:ascii="Tahoma" w:hAnsi="Tahoma" w:cs="Tahoma"/>
      <w:sz w:val="16"/>
      <w:szCs w:val="16"/>
    </w:rPr>
  </w:style>
  <w:style w:type="paragraph" w:styleId="EndnoteText">
    <w:name w:val="endnote text"/>
    <w:basedOn w:val="Normal"/>
    <w:link w:val="EndnoteTextChar"/>
    <w:uiPriority w:val="99"/>
    <w:semiHidden/>
    <w:unhideWhenUsed/>
    <w:rsid w:val="00FF3163"/>
    <w:pPr>
      <w:spacing w:after="0" w:line="240" w:lineRule="auto"/>
    </w:pPr>
    <w:rPr>
      <w:sz w:val="20"/>
    </w:rPr>
  </w:style>
  <w:style w:type="character" w:customStyle="1" w:styleId="EndnoteTextChar">
    <w:name w:val="Endnote Text Char"/>
    <w:basedOn w:val="DefaultParagraphFont"/>
    <w:link w:val="EndnoteText"/>
    <w:uiPriority w:val="99"/>
    <w:semiHidden/>
    <w:rsid w:val="00FF3163"/>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FF31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B69"/>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2423B"/>
    <w:pPr>
      <w:numPr>
        <w:numId w:val="20"/>
      </w:numPr>
      <w:spacing w:after="0"/>
      <w:ind w:left="0" w:firstLine="1440"/>
      <w:outlineLvl w:val="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935BE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935BE7"/>
    <w:rPr>
      <w:rFonts w:ascii="Times New Roman" w:hAnsi="Times New Roman" w:cs="Times New Roman"/>
      <w:sz w:val="24"/>
      <w:szCs w:val="20"/>
    </w:rPr>
  </w:style>
  <w:style w:type="paragraph" w:styleId="Footer">
    <w:name w:val="footer"/>
    <w:basedOn w:val="Normal"/>
    <w:link w:val="FooterChar"/>
    <w:uiPriority w:val="99"/>
    <w:unhideWhenUsed/>
    <w:rsid w:val="00935BE7"/>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935BE7"/>
    <w:rPr>
      <w:rFonts w:ascii="Times New Roman" w:hAnsi="Times New Roman" w:cs="Times New Roman"/>
      <w:sz w:val="24"/>
      <w:szCs w:val="20"/>
    </w:rPr>
  </w:style>
  <w:style w:type="character" w:styleId="FootnoteReference">
    <w:name w:val="footnote reference"/>
    <w:basedOn w:val="DefaultParagraphFont"/>
    <w:uiPriority w:val="99"/>
    <w:unhideWhenUsed/>
    <w:rsid w:val="00B50BD9"/>
    <w:rPr>
      <w:vertAlign w:val="superscript"/>
    </w:rPr>
  </w:style>
  <w:style w:type="paragraph" w:styleId="BalloonText">
    <w:name w:val="Balloon Text"/>
    <w:basedOn w:val="Normal"/>
    <w:link w:val="BalloonTextChar"/>
    <w:uiPriority w:val="99"/>
    <w:semiHidden/>
    <w:unhideWhenUsed/>
    <w:rsid w:val="00850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F7D"/>
    <w:rPr>
      <w:rFonts w:ascii="Tahoma" w:hAnsi="Tahoma" w:cs="Tahoma"/>
      <w:sz w:val="16"/>
      <w:szCs w:val="16"/>
    </w:rPr>
  </w:style>
  <w:style w:type="paragraph" w:styleId="EndnoteText">
    <w:name w:val="endnote text"/>
    <w:basedOn w:val="Normal"/>
    <w:link w:val="EndnoteTextChar"/>
    <w:uiPriority w:val="99"/>
    <w:semiHidden/>
    <w:unhideWhenUsed/>
    <w:rsid w:val="00FF3163"/>
    <w:pPr>
      <w:spacing w:after="0" w:line="240" w:lineRule="auto"/>
    </w:pPr>
    <w:rPr>
      <w:sz w:val="20"/>
    </w:rPr>
  </w:style>
  <w:style w:type="character" w:customStyle="1" w:styleId="EndnoteTextChar">
    <w:name w:val="Endnote Text Char"/>
    <w:basedOn w:val="DefaultParagraphFont"/>
    <w:link w:val="EndnoteText"/>
    <w:uiPriority w:val="99"/>
    <w:semiHidden/>
    <w:rsid w:val="00FF3163"/>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FF31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0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28409-0C2F-4678-8FE0-FC49F349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3513</Words>
  <Characters>20027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cp:revision>
  <cp:lastPrinted>2015-08-21T17:53:00Z</cp:lastPrinted>
  <dcterms:created xsi:type="dcterms:W3CDTF">2015-08-21T18:00:00Z</dcterms:created>
  <dcterms:modified xsi:type="dcterms:W3CDTF">2015-08-21T18:00:00Z</dcterms:modified>
</cp:coreProperties>
</file>