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Default="000F1894" w:rsidP="000F1894">
      <w:pPr>
        <w:jc w:val="center"/>
        <w:rPr>
          <w:sz w:val="24"/>
          <w:szCs w:val="24"/>
        </w:rPr>
      </w:pPr>
    </w:p>
    <w:p w:rsidR="00A87516" w:rsidRPr="00DE562E" w:rsidRDefault="00A87516" w:rsidP="000F1894">
      <w:pPr>
        <w:jc w:val="center"/>
        <w:rPr>
          <w:sz w:val="24"/>
          <w:szCs w:val="24"/>
        </w:rPr>
      </w:pPr>
    </w:p>
    <w:p w:rsidR="000F1894" w:rsidRDefault="000F1894" w:rsidP="00FF6833">
      <w:pPr>
        <w:ind w:left="3600" w:firstLine="720"/>
        <w:rPr>
          <w:sz w:val="24"/>
          <w:szCs w:val="24"/>
        </w:rPr>
      </w:pPr>
    </w:p>
    <w:p w:rsidR="005E3007" w:rsidRDefault="00FF6833" w:rsidP="00E52738">
      <w:pPr>
        <w:tabs>
          <w:tab w:val="left" w:pos="-720"/>
        </w:tabs>
        <w:suppressAutoHyphens/>
        <w:rPr>
          <w:bCs/>
          <w:spacing w:val="-3"/>
          <w:sz w:val="24"/>
          <w:szCs w:val="24"/>
        </w:rPr>
      </w:pPr>
      <w:r>
        <w:rPr>
          <w:bCs/>
          <w:spacing w:val="-3"/>
          <w:sz w:val="24"/>
          <w:szCs w:val="24"/>
        </w:rPr>
        <w:t>Michele Jones</w:t>
      </w:r>
      <w:r>
        <w:rPr>
          <w:bCs/>
          <w:spacing w:val="-3"/>
          <w:sz w:val="24"/>
          <w:szCs w:val="24"/>
        </w:rPr>
        <w:tab/>
      </w:r>
      <w:r>
        <w:rPr>
          <w:bCs/>
          <w:spacing w:val="-3"/>
          <w:sz w:val="24"/>
          <w:szCs w:val="24"/>
        </w:rPr>
        <w:tab/>
      </w:r>
      <w:r>
        <w:rPr>
          <w:bCs/>
          <w:spacing w:val="-3"/>
          <w:sz w:val="24"/>
          <w:szCs w:val="24"/>
        </w:rPr>
        <w:tab/>
      </w:r>
      <w:r>
        <w:rPr>
          <w:bCs/>
          <w:spacing w:val="-3"/>
          <w:sz w:val="24"/>
          <w:szCs w:val="24"/>
        </w:rPr>
        <w:tab/>
      </w:r>
      <w:r w:rsidR="00A87516">
        <w:rPr>
          <w:bCs/>
          <w:spacing w:val="-3"/>
          <w:sz w:val="24"/>
          <w:szCs w:val="24"/>
        </w:rPr>
        <w:tab/>
      </w:r>
      <w:r w:rsidR="00A87516">
        <w:rPr>
          <w:bCs/>
          <w:spacing w:val="-3"/>
          <w:sz w:val="24"/>
          <w:szCs w:val="24"/>
        </w:rPr>
        <w:tab/>
      </w:r>
      <w:r>
        <w:rPr>
          <w:bCs/>
          <w:spacing w:val="-3"/>
          <w:sz w:val="24"/>
          <w:szCs w:val="24"/>
        </w:rPr>
        <w:t>:</w:t>
      </w:r>
    </w:p>
    <w:p w:rsidR="001B29D3" w:rsidRDefault="00FF6833" w:rsidP="00E52738">
      <w:pPr>
        <w:tabs>
          <w:tab w:val="left" w:pos="-720"/>
        </w:tabs>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sidR="00A87516">
        <w:rPr>
          <w:bCs/>
          <w:spacing w:val="-3"/>
          <w:sz w:val="24"/>
          <w:szCs w:val="24"/>
        </w:rPr>
        <w:tab/>
      </w:r>
      <w:r>
        <w:rPr>
          <w:bCs/>
          <w:spacing w:val="-3"/>
          <w:sz w:val="24"/>
          <w:szCs w:val="24"/>
        </w:rPr>
        <w:t>:</w:t>
      </w:r>
      <w:r>
        <w:rPr>
          <w:bCs/>
          <w:spacing w:val="-3"/>
          <w:sz w:val="24"/>
          <w:szCs w:val="24"/>
        </w:rPr>
        <w:tab/>
      </w:r>
    </w:p>
    <w:p w:rsidR="004C4E35" w:rsidRDefault="001B29D3" w:rsidP="00E52738">
      <w:pPr>
        <w:tabs>
          <w:tab w:val="left" w:pos="-720"/>
        </w:tabs>
        <w:suppressAutoHyphens/>
        <w:rPr>
          <w:bCs/>
          <w:spacing w:val="-3"/>
          <w:sz w:val="24"/>
          <w:szCs w:val="24"/>
        </w:rPr>
      </w:pPr>
      <w:r>
        <w:rPr>
          <w:bCs/>
          <w:spacing w:val="-3"/>
          <w:sz w:val="24"/>
          <w:szCs w:val="24"/>
        </w:rPr>
        <w:tab/>
      </w:r>
      <w:r w:rsidR="00FF6833">
        <w:rPr>
          <w:bCs/>
          <w:spacing w:val="-3"/>
          <w:sz w:val="24"/>
          <w:szCs w:val="24"/>
        </w:rPr>
        <w:t>v.</w:t>
      </w:r>
      <w:r w:rsidR="00FF6833">
        <w:rPr>
          <w:bCs/>
          <w:spacing w:val="-3"/>
          <w:sz w:val="24"/>
          <w:szCs w:val="24"/>
        </w:rPr>
        <w:tab/>
      </w:r>
      <w:r w:rsidR="00112BB4">
        <w:rPr>
          <w:bCs/>
          <w:spacing w:val="-3"/>
          <w:sz w:val="24"/>
          <w:szCs w:val="24"/>
        </w:rPr>
        <w:tab/>
      </w:r>
      <w:r w:rsidR="00A87516">
        <w:rPr>
          <w:bCs/>
          <w:spacing w:val="-3"/>
          <w:sz w:val="24"/>
          <w:szCs w:val="24"/>
        </w:rPr>
        <w:tab/>
      </w:r>
      <w:r w:rsidR="00A87516">
        <w:rPr>
          <w:bCs/>
          <w:spacing w:val="-3"/>
          <w:sz w:val="24"/>
          <w:szCs w:val="24"/>
        </w:rPr>
        <w:tab/>
      </w:r>
      <w:r w:rsidR="00A87516">
        <w:rPr>
          <w:bCs/>
          <w:spacing w:val="-3"/>
          <w:sz w:val="24"/>
          <w:szCs w:val="24"/>
        </w:rPr>
        <w:tab/>
      </w:r>
      <w:r w:rsidR="00A87516">
        <w:rPr>
          <w:bCs/>
          <w:spacing w:val="-3"/>
          <w:sz w:val="24"/>
          <w:szCs w:val="24"/>
        </w:rPr>
        <w:tab/>
      </w:r>
      <w:r w:rsidR="00112BB4">
        <w:rPr>
          <w:bCs/>
          <w:spacing w:val="-3"/>
          <w:sz w:val="24"/>
          <w:szCs w:val="24"/>
        </w:rPr>
        <w:t>:</w:t>
      </w:r>
      <w:r w:rsidR="00FF6833">
        <w:rPr>
          <w:bCs/>
          <w:spacing w:val="-3"/>
          <w:sz w:val="24"/>
          <w:szCs w:val="24"/>
        </w:rPr>
        <w:tab/>
      </w:r>
      <w:r>
        <w:rPr>
          <w:bCs/>
          <w:spacing w:val="-3"/>
          <w:sz w:val="24"/>
          <w:szCs w:val="24"/>
        </w:rPr>
        <w:tab/>
        <w:t>F-2015-2469302</w:t>
      </w:r>
    </w:p>
    <w:p w:rsidR="00FF6833" w:rsidRDefault="00112BB4" w:rsidP="00E52738">
      <w:pPr>
        <w:tabs>
          <w:tab w:val="left" w:pos="-720"/>
        </w:tabs>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sidR="00A87516">
        <w:rPr>
          <w:bCs/>
          <w:spacing w:val="-3"/>
          <w:sz w:val="24"/>
          <w:szCs w:val="24"/>
        </w:rPr>
        <w:tab/>
      </w:r>
      <w:r w:rsidR="00FF6833">
        <w:rPr>
          <w:bCs/>
          <w:spacing w:val="-3"/>
          <w:sz w:val="24"/>
          <w:szCs w:val="24"/>
        </w:rPr>
        <w:t>:</w:t>
      </w:r>
    </w:p>
    <w:p w:rsidR="00FF6833" w:rsidRDefault="00FF6833" w:rsidP="00E52738">
      <w:pPr>
        <w:tabs>
          <w:tab w:val="left" w:pos="-720"/>
        </w:tabs>
        <w:suppressAutoHyphens/>
        <w:rPr>
          <w:bCs/>
          <w:spacing w:val="-3"/>
          <w:sz w:val="24"/>
          <w:szCs w:val="24"/>
        </w:rPr>
      </w:pPr>
      <w:r>
        <w:rPr>
          <w:bCs/>
          <w:spacing w:val="-3"/>
          <w:sz w:val="24"/>
          <w:szCs w:val="24"/>
        </w:rPr>
        <w:t>PECO Energy Company</w:t>
      </w:r>
      <w:r>
        <w:rPr>
          <w:bCs/>
          <w:spacing w:val="-3"/>
          <w:sz w:val="24"/>
          <w:szCs w:val="24"/>
        </w:rPr>
        <w:tab/>
      </w:r>
      <w:r w:rsidR="00A87516">
        <w:rPr>
          <w:bCs/>
          <w:spacing w:val="-3"/>
          <w:sz w:val="24"/>
          <w:szCs w:val="24"/>
        </w:rPr>
        <w:tab/>
      </w:r>
      <w:r w:rsidR="00A87516">
        <w:rPr>
          <w:bCs/>
          <w:spacing w:val="-3"/>
          <w:sz w:val="24"/>
          <w:szCs w:val="24"/>
        </w:rPr>
        <w:tab/>
      </w:r>
      <w:r>
        <w:rPr>
          <w:bCs/>
          <w:spacing w:val="-3"/>
          <w:sz w:val="24"/>
          <w:szCs w:val="24"/>
        </w:rPr>
        <w:tab/>
        <w:t>:</w:t>
      </w:r>
    </w:p>
    <w:p w:rsidR="00E52738" w:rsidRDefault="00E52738" w:rsidP="00E52738">
      <w:pPr>
        <w:tabs>
          <w:tab w:val="left" w:pos="-720"/>
        </w:tabs>
        <w:suppressAutoHyphens/>
        <w:rPr>
          <w:bCs/>
          <w:spacing w:val="-3"/>
          <w:sz w:val="24"/>
          <w:szCs w:val="24"/>
        </w:rPr>
      </w:pPr>
    </w:p>
    <w:p w:rsidR="00A87516" w:rsidRDefault="00A87516" w:rsidP="00E52738">
      <w:pPr>
        <w:tabs>
          <w:tab w:val="left" w:pos="-720"/>
        </w:tabs>
        <w:suppressAutoHyphens/>
        <w:rPr>
          <w:bCs/>
          <w:spacing w:val="-3"/>
          <w:sz w:val="24"/>
          <w:szCs w:val="24"/>
        </w:rPr>
      </w:pPr>
    </w:p>
    <w:p w:rsidR="00A87516" w:rsidRDefault="00A87516"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A87516" w:rsidRPr="00E514FA" w:rsidRDefault="00A87516"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6A3CAC" w:rsidRDefault="006A3CAC" w:rsidP="000F1894">
      <w:pPr>
        <w:jc w:val="center"/>
        <w:rPr>
          <w:sz w:val="24"/>
          <w:szCs w:val="24"/>
        </w:rPr>
      </w:pPr>
    </w:p>
    <w:p w:rsidR="006A3CAC" w:rsidRDefault="006A3CAC" w:rsidP="000F1894">
      <w:pPr>
        <w:jc w:val="center"/>
        <w:rPr>
          <w:sz w:val="24"/>
          <w:szCs w:val="24"/>
        </w:rPr>
      </w:pPr>
    </w:p>
    <w:p w:rsidR="004C4E35" w:rsidRDefault="00C006B5" w:rsidP="00F9425B">
      <w:pPr>
        <w:spacing w:line="360" w:lineRule="auto"/>
        <w:ind w:firstLine="1440"/>
        <w:rPr>
          <w:sz w:val="24"/>
          <w:szCs w:val="24"/>
        </w:rPr>
      </w:pPr>
      <w:r>
        <w:rPr>
          <w:sz w:val="24"/>
          <w:szCs w:val="24"/>
        </w:rPr>
        <w:t>This is a case of foreign load</w:t>
      </w:r>
      <w:r w:rsidR="00F9425B">
        <w:rPr>
          <w:rStyle w:val="FootnoteReference"/>
          <w:sz w:val="24"/>
          <w:szCs w:val="24"/>
        </w:rPr>
        <w:footnoteReference w:id="1"/>
      </w:r>
      <w:r>
        <w:rPr>
          <w:sz w:val="24"/>
          <w:szCs w:val="24"/>
        </w:rPr>
        <w:t xml:space="preserve"> and the account being placed in the owner’s (Complainant’s) name.  I find PECO properly followed the law</w:t>
      </w:r>
      <w:r w:rsidR="00F9425B">
        <w:rPr>
          <w:sz w:val="24"/>
          <w:szCs w:val="24"/>
        </w:rPr>
        <w:t>, was not in violation of the Public Utility Code, or any Commission rule of order.  T</w:t>
      </w:r>
      <w:r>
        <w:rPr>
          <w:sz w:val="24"/>
          <w:szCs w:val="24"/>
        </w:rPr>
        <w:t xml:space="preserve">he Formal Complaint is denied and dismissed.  </w:t>
      </w:r>
    </w:p>
    <w:p w:rsidR="00CB495C" w:rsidRDefault="00CB495C" w:rsidP="00B87557">
      <w:pPr>
        <w:spacing w:line="360" w:lineRule="auto"/>
        <w:jc w:val="center"/>
        <w:rPr>
          <w:sz w:val="24"/>
          <w:szCs w:val="24"/>
        </w:rPr>
      </w:pPr>
    </w:p>
    <w:p w:rsidR="00CB495C" w:rsidRPr="00FF02E6" w:rsidRDefault="006A21C2" w:rsidP="00B87557">
      <w:pPr>
        <w:spacing w:line="360" w:lineRule="auto"/>
        <w:jc w:val="center"/>
        <w:rPr>
          <w:sz w:val="24"/>
          <w:szCs w:val="24"/>
          <w:u w:val="single"/>
        </w:rPr>
      </w:pPr>
      <w:r>
        <w:rPr>
          <w:sz w:val="24"/>
          <w:szCs w:val="24"/>
        </w:rPr>
        <w:t xml:space="preserve"> </w:t>
      </w:r>
      <w:r w:rsidR="00CB495C" w:rsidRPr="00FF02E6">
        <w:rPr>
          <w:sz w:val="24"/>
          <w:szCs w:val="24"/>
          <w:u w:val="single"/>
        </w:rPr>
        <w:t>HISTORY OF THE PROCEEDING</w:t>
      </w:r>
    </w:p>
    <w:p w:rsidR="00CB495C" w:rsidRPr="004C4E35" w:rsidRDefault="00CB495C" w:rsidP="004C4E35">
      <w:pPr>
        <w:rPr>
          <w:sz w:val="24"/>
          <w:szCs w:val="24"/>
        </w:rPr>
      </w:pPr>
    </w:p>
    <w:p w:rsidR="00CB495C" w:rsidRDefault="001D7718" w:rsidP="001D7718">
      <w:pPr>
        <w:spacing w:line="360" w:lineRule="auto"/>
        <w:ind w:firstLine="1440"/>
        <w:rPr>
          <w:sz w:val="24"/>
          <w:szCs w:val="24"/>
        </w:rPr>
      </w:pPr>
      <w:r w:rsidRPr="001D7718">
        <w:rPr>
          <w:sz w:val="24"/>
          <w:szCs w:val="24"/>
        </w:rPr>
        <w:t xml:space="preserve">On February 18, 2015, Michele Jones </w:t>
      </w:r>
      <w:r>
        <w:rPr>
          <w:sz w:val="24"/>
          <w:szCs w:val="24"/>
        </w:rPr>
        <w:t>(“</w:t>
      </w:r>
      <w:r w:rsidRPr="001D7718">
        <w:rPr>
          <w:sz w:val="24"/>
          <w:szCs w:val="24"/>
        </w:rPr>
        <w:t>Complainant</w:t>
      </w:r>
      <w:r>
        <w:rPr>
          <w:sz w:val="24"/>
          <w:szCs w:val="24"/>
        </w:rPr>
        <w:t>”) filed a formal complaint against PECO Energy Company (“PECO”) alleging incorrect charges on her bill.  On March 12, 2015, PECO filed an Answer to the Formal Complaint.  The Formal Complaint is a timely appeal of a Bureau of Consumer Services (“BCS”) informal de</w:t>
      </w:r>
      <w:r w:rsidR="00F9425B">
        <w:rPr>
          <w:sz w:val="24"/>
          <w:szCs w:val="24"/>
        </w:rPr>
        <w:t>cision at Case Number 003241136, informal decision issued on January 30, 2015.</w:t>
      </w:r>
      <w:r>
        <w:rPr>
          <w:sz w:val="24"/>
          <w:szCs w:val="24"/>
        </w:rPr>
        <w:t xml:space="preserve">  BCS found that the Complainant was responsible for the arrearages.</w:t>
      </w:r>
    </w:p>
    <w:p w:rsidR="00BB38A0" w:rsidRDefault="00BB38A0" w:rsidP="001D7718">
      <w:pPr>
        <w:spacing w:line="360" w:lineRule="auto"/>
        <w:ind w:firstLine="1440"/>
        <w:rPr>
          <w:sz w:val="24"/>
          <w:szCs w:val="24"/>
        </w:rPr>
      </w:pPr>
    </w:p>
    <w:p w:rsidR="00BB38A0" w:rsidRDefault="00BB38A0" w:rsidP="001D7718">
      <w:pPr>
        <w:spacing w:line="360" w:lineRule="auto"/>
        <w:ind w:firstLine="1440"/>
        <w:rPr>
          <w:sz w:val="24"/>
          <w:szCs w:val="24"/>
        </w:rPr>
      </w:pPr>
      <w:r>
        <w:rPr>
          <w:sz w:val="24"/>
          <w:szCs w:val="24"/>
        </w:rPr>
        <w:lastRenderedPageBreak/>
        <w:t>An Initial Telephonic hearing was conducted on July 31, 2015.  The Complainant appeared on her own behalf and proffered one exhibit that was entered into the record.  PECO was represented by counsel who proffered fifteen (15) exhibits; all were entered into the record.</w:t>
      </w:r>
    </w:p>
    <w:p w:rsidR="00BB38A0" w:rsidRDefault="00BB38A0" w:rsidP="001D7718">
      <w:pPr>
        <w:spacing w:line="360" w:lineRule="auto"/>
        <w:ind w:firstLine="1440"/>
        <w:rPr>
          <w:sz w:val="24"/>
          <w:szCs w:val="24"/>
        </w:rPr>
      </w:pPr>
    </w:p>
    <w:p w:rsidR="00BB38A0" w:rsidRDefault="00F9425B" w:rsidP="006A3CAC">
      <w:pPr>
        <w:spacing w:line="360" w:lineRule="auto"/>
        <w:ind w:firstLine="1440"/>
        <w:rPr>
          <w:sz w:val="24"/>
          <w:szCs w:val="24"/>
        </w:rPr>
      </w:pPr>
      <w:r>
        <w:rPr>
          <w:sz w:val="24"/>
          <w:szCs w:val="24"/>
        </w:rPr>
        <w:t>The record closed on August 13</w:t>
      </w:r>
      <w:r w:rsidR="00BB38A0">
        <w:rPr>
          <w:sz w:val="24"/>
          <w:szCs w:val="24"/>
        </w:rPr>
        <w:t>, 2015 with receipt of the eighty-three (83) page typewritten transcript of the hearing.  This matter is now ready for disposition.</w:t>
      </w:r>
    </w:p>
    <w:p w:rsidR="001D7718" w:rsidRDefault="001D7718" w:rsidP="006A3CAC">
      <w:pPr>
        <w:spacing w:line="360" w:lineRule="auto"/>
        <w:ind w:firstLine="1440"/>
        <w:rPr>
          <w:sz w:val="24"/>
          <w:szCs w:val="24"/>
        </w:rPr>
      </w:pPr>
    </w:p>
    <w:p w:rsidR="00CB495C" w:rsidRPr="00FF02E6" w:rsidRDefault="00CB495C" w:rsidP="006A3CAC">
      <w:pPr>
        <w:spacing w:line="360" w:lineRule="auto"/>
        <w:jc w:val="center"/>
        <w:rPr>
          <w:sz w:val="24"/>
          <w:szCs w:val="24"/>
          <w:u w:val="single"/>
        </w:rPr>
      </w:pPr>
      <w:r w:rsidRPr="00FF02E6">
        <w:rPr>
          <w:sz w:val="24"/>
          <w:szCs w:val="24"/>
          <w:u w:val="single"/>
        </w:rPr>
        <w:t>FINDINGS OF FACT</w:t>
      </w:r>
    </w:p>
    <w:p w:rsidR="00864B38" w:rsidRPr="00FF02E6" w:rsidRDefault="00864B38" w:rsidP="006A3CAC">
      <w:pPr>
        <w:spacing w:line="360" w:lineRule="auto"/>
        <w:jc w:val="center"/>
        <w:rPr>
          <w:sz w:val="24"/>
          <w:szCs w:val="24"/>
          <w:u w:val="single"/>
        </w:rPr>
      </w:pPr>
    </w:p>
    <w:p w:rsidR="00CB495C" w:rsidRDefault="001D7718" w:rsidP="006A3CAC">
      <w:pPr>
        <w:pStyle w:val="ListParagraph"/>
        <w:numPr>
          <w:ilvl w:val="0"/>
          <w:numId w:val="31"/>
        </w:numPr>
        <w:spacing w:line="360" w:lineRule="auto"/>
        <w:ind w:left="0" w:firstLine="1440"/>
        <w:rPr>
          <w:sz w:val="24"/>
          <w:szCs w:val="24"/>
        </w:rPr>
      </w:pPr>
      <w:r>
        <w:rPr>
          <w:sz w:val="24"/>
          <w:szCs w:val="24"/>
        </w:rPr>
        <w:t>Michel</w:t>
      </w:r>
      <w:r w:rsidR="00864B38">
        <w:rPr>
          <w:sz w:val="24"/>
          <w:szCs w:val="24"/>
        </w:rPr>
        <w:t>e</w:t>
      </w:r>
      <w:r>
        <w:rPr>
          <w:sz w:val="24"/>
          <w:szCs w:val="24"/>
        </w:rPr>
        <w:t xml:space="preserve"> Jones </w:t>
      </w:r>
      <w:r w:rsidR="00864B38">
        <w:rPr>
          <w:sz w:val="24"/>
          <w:szCs w:val="24"/>
        </w:rPr>
        <w:t>of P.O.</w:t>
      </w:r>
      <w:r w:rsidR="00B87557">
        <w:rPr>
          <w:sz w:val="24"/>
          <w:szCs w:val="24"/>
        </w:rPr>
        <w:t xml:space="preserve"> </w:t>
      </w:r>
      <w:r w:rsidR="00864B38">
        <w:rPr>
          <w:sz w:val="24"/>
          <w:szCs w:val="24"/>
        </w:rPr>
        <w:t>Box 138, Drexel Hill, Pennsylvania 19026 is the Complainant.</w:t>
      </w:r>
    </w:p>
    <w:p w:rsidR="00864B38" w:rsidRDefault="00864B38" w:rsidP="006A3CAC">
      <w:pPr>
        <w:pStyle w:val="ListParagraph"/>
        <w:spacing w:line="360" w:lineRule="auto"/>
        <w:ind w:left="1440"/>
        <w:rPr>
          <w:sz w:val="24"/>
          <w:szCs w:val="24"/>
        </w:rPr>
      </w:pPr>
    </w:p>
    <w:p w:rsidR="00864B38" w:rsidRDefault="00864B38" w:rsidP="006A3CAC">
      <w:pPr>
        <w:pStyle w:val="ListParagraph"/>
        <w:numPr>
          <w:ilvl w:val="0"/>
          <w:numId w:val="31"/>
        </w:numPr>
        <w:spacing w:line="360" w:lineRule="auto"/>
        <w:ind w:left="0" w:firstLine="1440"/>
        <w:rPr>
          <w:sz w:val="24"/>
          <w:szCs w:val="24"/>
        </w:rPr>
      </w:pPr>
      <w:r>
        <w:rPr>
          <w:sz w:val="24"/>
          <w:szCs w:val="24"/>
        </w:rPr>
        <w:t>PECO Energy Compa</w:t>
      </w:r>
      <w:r w:rsidR="00BB38A0">
        <w:rPr>
          <w:sz w:val="24"/>
          <w:szCs w:val="24"/>
        </w:rPr>
        <w:t>ny, a jurisdictional public utility</w:t>
      </w:r>
      <w:r w:rsidR="00017435">
        <w:rPr>
          <w:sz w:val="24"/>
          <w:szCs w:val="24"/>
        </w:rPr>
        <w:t>,</w:t>
      </w:r>
      <w:r>
        <w:rPr>
          <w:sz w:val="24"/>
          <w:szCs w:val="24"/>
        </w:rPr>
        <w:t xml:space="preserve"> is the Respondent.</w:t>
      </w:r>
    </w:p>
    <w:p w:rsidR="00864B38" w:rsidRDefault="00864B38" w:rsidP="006A3CAC">
      <w:pPr>
        <w:pStyle w:val="ListParagraph"/>
        <w:spacing w:line="360" w:lineRule="auto"/>
        <w:ind w:left="1440"/>
        <w:rPr>
          <w:sz w:val="24"/>
          <w:szCs w:val="24"/>
        </w:rPr>
      </w:pPr>
    </w:p>
    <w:p w:rsidR="00864B38" w:rsidRDefault="00864B38" w:rsidP="006A3CAC">
      <w:pPr>
        <w:pStyle w:val="ListParagraph"/>
        <w:numPr>
          <w:ilvl w:val="0"/>
          <w:numId w:val="31"/>
        </w:numPr>
        <w:spacing w:line="360" w:lineRule="auto"/>
        <w:ind w:left="0" w:firstLine="1440"/>
        <w:rPr>
          <w:sz w:val="24"/>
          <w:szCs w:val="24"/>
        </w:rPr>
      </w:pPr>
      <w:r>
        <w:rPr>
          <w:sz w:val="24"/>
          <w:szCs w:val="24"/>
        </w:rPr>
        <w:t>The electric service involved in this Formal Complaint is 130 Abbey Terrace, First Floor, Drexel Hill, Pennsylvania, 19026</w:t>
      </w:r>
      <w:r w:rsidR="00E92265">
        <w:rPr>
          <w:sz w:val="24"/>
          <w:szCs w:val="24"/>
        </w:rPr>
        <w:t xml:space="preserve"> </w:t>
      </w:r>
      <w:r w:rsidR="00BB38A0">
        <w:rPr>
          <w:sz w:val="24"/>
          <w:szCs w:val="24"/>
        </w:rPr>
        <w:t xml:space="preserve">- </w:t>
      </w:r>
      <w:r w:rsidR="00E92265">
        <w:rPr>
          <w:sz w:val="24"/>
          <w:szCs w:val="24"/>
        </w:rPr>
        <w:t>an apa</w:t>
      </w:r>
      <w:r w:rsidR="00FF02E6">
        <w:rPr>
          <w:sz w:val="24"/>
          <w:szCs w:val="24"/>
        </w:rPr>
        <w:t>rtment owned by the Complainant and at one point leased by Michael Massey.</w:t>
      </w:r>
      <w:r>
        <w:rPr>
          <w:sz w:val="24"/>
          <w:szCs w:val="24"/>
        </w:rPr>
        <w:t xml:space="preserve">   </w:t>
      </w:r>
    </w:p>
    <w:p w:rsidR="00FF02E6" w:rsidRPr="00FF02E6" w:rsidRDefault="00FF02E6" w:rsidP="006A3CAC">
      <w:pPr>
        <w:pStyle w:val="ListParagraph"/>
        <w:spacing w:line="360" w:lineRule="auto"/>
        <w:rPr>
          <w:sz w:val="24"/>
          <w:szCs w:val="24"/>
        </w:rPr>
      </w:pPr>
    </w:p>
    <w:p w:rsidR="00FF02E6" w:rsidRDefault="00FF02E6" w:rsidP="006A3CAC">
      <w:pPr>
        <w:pStyle w:val="ListParagraph"/>
        <w:numPr>
          <w:ilvl w:val="0"/>
          <w:numId w:val="31"/>
        </w:numPr>
        <w:spacing w:line="360" w:lineRule="auto"/>
        <w:ind w:left="0" w:firstLine="1440"/>
        <w:rPr>
          <w:sz w:val="24"/>
          <w:szCs w:val="24"/>
        </w:rPr>
      </w:pPr>
      <w:r>
        <w:rPr>
          <w:sz w:val="24"/>
          <w:szCs w:val="24"/>
        </w:rPr>
        <w:t xml:space="preserve">The second floor apartment was leased by </w:t>
      </w:r>
      <w:proofErr w:type="spellStart"/>
      <w:r>
        <w:rPr>
          <w:sz w:val="24"/>
          <w:szCs w:val="24"/>
        </w:rPr>
        <w:t>Dionna</w:t>
      </w:r>
      <w:proofErr w:type="spellEnd"/>
      <w:r>
        <w:rPr>
          <w:sz w:val="24"/>
          <w:szCs w:val="24"/>
        </w:rPr>
        <w:t xml:space="preserve"> Davis.</w:t>
      </w:r>
    </w:p>
    <w:p w:rsidR="00864B38" w:rsidRDefault="00864B38" w:rsidP="006A3CAC">
      <w:pPr>
        <w:pStyle w:val="ListParagraph"/>
        <w:spacing w:line="360" w:lineRule="auto"/>
        <w:ind w:left="1440"/>
        <w:rPr>
          <w:sz w:val="24"/>
          <w:szCs w:val="24"/>
        </w:rPr>
      </w:pPr>
    </w:p>
    <w:p w:rsidR="00864B38" w:rsidRDefault="00861EB2" w:rsidP="006A3CAC">
      <w:pPr>
        <w:pStyle w:val="ListParagraph"/>
        <w:numPr>
          <w:ilvl w:val="0"/>
          <w:numId w:val="31"/>
        </w:numPr>
        <w:spacing w:line="360" w:lineRule="auto"/>
        <w:ind w:left="0" w:firstLine="1440"/>
        <w:rPr>
          <w:sz w:val="24"/>
          <w:szCs w:val="24"/>
        </w:rPr>
      </w:pPr>
      <w:r>
        <w:rPr>
          <w:sz w:val="24"/>
          <w:szCs w:val="24"/>
        </w:rPr>
        <w:t>The Complainant’s direct testimony and cross</w:t>
      </w:r>
      <w:r w:rsidR="00017435">
        <w:rPr>
          <w:sz w:val="24"/>
          <w:szCs w:val="24"/>
        </w:rPr>
        <w:t>-</w:t>
      </w:r>
      <w:r>
        <w:rPr>
          <w:sz w:val="24"/>
          <w:szCs w:val="24"/>
        </w:rPr>
        <w:t>examination testimony was highly disjointed and made little sense.  Tr. 1-30.</w:t>
      </w:r>
    </w:p>
    <w:p w:rsidR="00861EB2" w:rsidRPr="00861EB2" w:rsidRDefault="00861EB2" w:rsidP="0081165E">
      <w:pPr>
        <w:pStyle w:val="ListParagraph"/>
        <w:spacing w:line="360" w:lineRule="auto"/>
        <w:rPr>
          <w:sz w:val="24"/>
          <w:szCs w:val="24"/>
        </w:rPr>
      </w:pPr>
    </w:p>
    <w:p w:rsidR="00861EB2" w:rsidRDefault="00112BB4" w:rsidP="0081165E">
      <w:pPr>
        <w:pStyle w:val="ListParagraph"/>
        <w:numPr>
          <w:ilvl w:val="0"/>
          <w:numId w:val="31"/>
        </w:numPr>
        <w:spacing w:line="360" w:lineRule="auto"/>
        <w:ind w:left="0" w:firstLine="1440"/>
        <w:rPr>
          <w:sz w:val="24"/>
          <w:szCs w:val="24"/>
        </w:rPr>
      </w:pPr>
      <w:r>
        <w:rPr>
          <w:sz w:val="24"/>
          <w:szCs w:val="24"/>
        </w:rPr>
        <w:t xml:space="preserve">PECO </w:t>
      </w:r>
      <w:proofErr w:type="spellStart"/>
      <w:r>
        <w:rPr>
          <w:sz w:val="24"/>
          <w:szCs w:val="24"/>
        </w:rPr>
        <w:t>Exh</w:t>
      </w:r>
      <w:r w:rsidR="00017435">
        <w:rPr>
          <w:sz w:val="24"/>
          <w:szCs w:val="24"/>
        </w:rPr>
        <w:t>s</w:t>
      </w:r>
      <w:proofErr w:type="spellEnd"/>
      <w:r>
        <w:rPr>
          <w:sz w:val="24"/>
          <w:szCs w:val="24"/>
        </w:rPr>
        <w:t>. 1-4 relate to foreign wiring that is not part of this Formal Complaint.</w:t>
      </w:r>
    </w:p>
    <w:p w:rsidR="00112BB4" w:rsidRPr="00112BB4" w:rsidRDefault="00112BB4" w:rsidP="0081165E">
      <w:pPr>
        <w:pStyle w:val="ListParagraph"/>
        <w:spacing w:line="360" w:lineRule="auto"/>
        <w:rPr>
          <w:sz w:val="24"/>
          <w:szCs w:val="24"/>
        </w:rPr>
      </w:pPr>
    </w:p>
    <w:p w:rsidR="00112BB4" w:rsidRDefault="00112BB4" w:rsidP="0081165E">
      <w:pPr>
        <w:pStyle w:val="ListParagraph"/>
        <w:numPr>
          <w:ilvl w:val="0"/>
          <w:numId w:val="31"/>
        </w:numPr>
        <w:spacing w:line="360" w:lineRule="auto"/>
        <w:ind w:left="0" w:firstLine="1440"/>
        <w:rPr>
          <w:sz w:val="24"/>
          <w:szCs w:val="24"/>
        </w:rPr>
      </w:pPr>
      <w:r>
        <w:rPr>
          <w:sz w:val="24"/>
          <w:szCs w:val="24"/>
        </w:rPr>
        <w:t>PECO Exh. 5 is an account activity statement for Michael Massey.</w:t>
      </w:r>
    </w:p>
    <w:p w:rsidR="00112BB4" w:rsidRPr="00112BB4" w:rsidRDefault="00112BB4" w:rsidP="0081165E">
      <w:pPr>
        <w:pStyle w:val="ListParagraph"/>
        <w:spacing w:line="360" w:lineRule="auto"/>
        <w:rPr>
          <w:sz w:val="24"/>
          <w:szCs w:val="24"/>
        </w:rPr>
      </w:pPr>
    </w:p>
    <w:p w:rsidR="00112BB4" w:rsidRDefault="00112BB4" w:rsidP="0081165E">
      <w:pPr>
        <w:pStyle w:val="ListParagraph"/>
        <w:numPr>
          <w:ilvl w:val="0"/>
          <w:numId w:val="31"/>
        </w:numPr>
        <w:spacing w:line="360" w:lineRule="auto"/>
        <w:ind w:left="0" w:firstLine="1440"/>
        <w:rPr>
          <w:sz w:val="24"/>
          <w:szCs w:val="24"/>
        </w:rPr>
      </w:pPr>
      <w:r>
        <w:rPr>
          <w:sz w:val="24"/>
          <w:szCs w:val="24"/>
        </w:rPr>
        <w:t>PECO Exh. 6 is a 3</w:t>
      </w:r>
      <w:r w:rsidR="00017435">
        <w:rPr>
          <w:sz w:val="24"/>
          <w:szCs w:val="24"/>
        </w:rPr>
        <w:t>-</w:t>
      </w:r>
      <w:r>
        <w:rPr>
          <w:sz w:val="24"/>
          <w:szCs w:val="24"/>
        </w:rPr>
        <w:t>page high bill field follow-up sheet dated December 6, 2013.</w:t>
      </w:r>
    </w:p>
    <w:p w:rsidR="00112BB4" w:rsidRPr="00112BB4" w:rsidRDefault="00112BB4" w:rsidP="0081165E">
      <w:pPr>
        <w:pStyle w:val="ListParagraph"/>
        <w:spacing w:line="360" w:lineRule="auto"/>
        <w:rPr>
          <w:sz w:val="24"/>
          <w:szCs w:val="24"/>
        </w:rPr>
      </w:pPr>
    </w:p>
    <w:p w:rsidR="00112BB4" w:rsidRDefault="00112BB4" w:rsidP="0081165E">
      <w:pPr>
        <w:pStyle w:val="ListParagraph"/>
        <w:numPr>
          <w:ilvl w:val="0"/>
          <w:numId w:val="31"/>
        </w:numPr>
        <w:spacing w:line="360" w:lineRule="auto"/>
        <w:ind w:left="0" w:firstLine="1440"/>
        <w:rPr>
          <w:sz w:val="24"/>
          <w:szCs w:val="24"/>
        </w:rPr>
      </w:pPr>
      <w:r>
        <w:rPr>
          <w:sz w:val="24"/>
          <w:szCs w:val="24"/>
        </w:rPr>
        <w:t>PECO Exh. 7 is a 3</w:t>
      </w:r>
      <w:r w:rsidR="00017435">
        <w:rPr>
          <w:sz w:val="24"/>
          <w:szCs w:val="24"/>
        </w:rPr>
        <w:t>-</w:t>
      </w:r>
      <w:r>
        <w:rPr>
          <w:sz w:val="24"/>
          <w:szCs w:val="24"/>
        </w:rPr>
        <w:t xml:space="preserve">page document concerning the second floor apartment leased to </w:t>
      </w:r>
      <w:proofErr w:type="spellStart"/>
      <w:r>
        <w:rPr>
          <w:sz w:val="24"/>
          <w:szCs w:val="24"/>
        </w:rPr>
        <w:t>Dionna</w:t>
      </w:r>
      <w:proofErr w:type="spellEnd"/>
      <w:r>
        <w:rPr>
          <w:sz w:val="24"/>
          <w:szCs w:val="24"/>
        </w:rPr>
        <w:t xml:space="preserve"> Davis.</w:t>
      </w:r>
    </w:p>
    <w:p w:rsidR="00112BB4" w:rsidRPr="00112BB4" w:rsidRDefault="00112BB4" w:rsidP="0081165E">
      <w:pPr>
        <w:pStyle w:val="ListParagraph"/>
        <w:spacing w:line="360" w:lineRule="auto"/>
        <w:rPr>
          <w:sz w:val="24"/>
          <w:szCs w:val="24"/>
        </w:rPr>
      </w:pPr>
    </w:p>
    <w:p w:rsidR="00112BB4" w:rsidRDefault="00112BB4" w:rsidP="0081165E">
      <w:pPr>
        <w:pStyle w:val="ListParagraph"/>
        <w:numPr>
          <w:ilvl w:val="0"/>
          <w:numId w:val="31"/>
        </w:numPr>
        <w:spacing w:line="360" w:lineRule="auto"/>
        <w:ind w:left="0" w:firstLine="1440"/>
        <w:rPr>
          <w:sz w:val="24"/>
          <w:szCs w:val="24"/>
        </w:rPr>
      </w:pPr>
      <w:r>
        <w:rPr>
          <w:sz w:val="24"/>
          <w:szCs w:val="24"/>
        </w:rPr>
        <w:t>PECO Exh. 8 is a 1</w:t>
      </w:r>
      <w:r w:rsidR="00017435">
        <w:rPr>
          <w:sz w:val="24"/>
          <w:szCs w:val="24"/>
        </w:rPr>
        <w:t>-</w:t>
      </w:r>
      <w:r>
        <w:rPr>
          <w:sz w:val="24"/>
          <w:szCs w:val="24"/>
        </w:rPr>
        <w:t>page letter dated December 9, 2013, explaining the discovery of foreign wiring.</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9 is a 2</w:t>
      </w:r>
      <w:r w:rsidR="00017435">
        <w:rPr>
          <w:sz w:val="24"/>
          <w:szCs w:val="24"/>
        </w:rPr>
        <w:t>-</w:t>
      </w:r>
      <w:r>
        <w:rPr>
          <w:sz w:val="24"/>
          <w:szCs w:val="24"/>
        </w:rPr>
        <w:t>page Utility Company Report for Michael Massey.</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10 is an Account Activity Statement for Michele Jones.</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11 is a 2</w:t>
      </w:r>
      <w:r w:rsidR="00553DA3">
        <w:rPr>
          <w:sz w:val="24"/>
          <w:szCs w:val="24"/>
        </w:rPr>
        <w:t>-</w:t>
      </w:r>
      <w:r>
        <w:rPr>
          <w:sz w:val="24"/>
          <w:szCs w:val="24"/>
        </w:rPr>
        <w:t>page bill for Michele Jones Dated January 12, 2015.</w:t>
      </w:r>
    </w:p>
    <w:p w:rsidR="006A3CAC" w:rsidRDefault="006A3CAC" w:rsidP="006A3CAC">
      <w:pPr>
        <w:pStyle w:val="ListParagraph"/>
        <w:spacing w:line="360" w:lineRule="auto"/>
        <w:ind w:left="1440"/>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12 is 2</w:t>
      </w:r>
      <w:r w:rsidR="00697CE9">
        <w:rPr>
          <w:sz w:val="24"/>
          <w:szCs w:val="24"/>
        </w:rPr>
        <w:t>-</w:t>
      </w:r>
      <w:r>
        <w:rPr>
          <w:sz w:val="24"/>
          <w:szCs w:val="24"/>
        </w:rPr>
        <w:t>page BCS Case Details Report for Case No. 003241136.</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13 is a 2</w:t>
      </w:r>
      <w:r w:rsidR="00697CE9">
        <w:rPr>
          <w:sz w:val="24"/>
          <w:szCs w:val="24"/>
        </w:rPr>
        <w:t>-</w:t>
      </w:r>
      <w:r>
        <w:rPr>
          <w:sz w:val="24"/>
          <w:szCs w:val="24"/>
        </w:rPr>
        <w:t>page BCS Case Decision Report for Case No. 003241136.</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PECO Exh. 14 is a 4</w:t>
      </w:r>
      <w:r w:rsidR="00697CE9">
        <w:rPr>
          <w:sz w:val="24"/>
          <w:szCs w:val="24"/>
        </w:rPr>
        <w:t>-</w:t>
      </w:r>
      <w:r>
        <w:rPr>
          <w:sz w:val="24"/>
          <w:szCs w:val="24"/>
        </w:rPr>
        <w:t>page document comprising PECO’s answers to the Formal Complaint paragr</w:t>
      </w:r>
      <w:r w:rsidR="00595685">
        <w:rPr>
          <w:sz w:val="24"/>
          <w:szCs w:val="24"/>
        </w:rPr>
        <w:t>a</w:t>
      </w:r>
      <w:r>
        <w:rPr>
          <w:sz w:val="24"/>
          <w:szCs w:val="24"/>
        </w:rPr>
        <w:t>phs.</w:t>
      </w:r>
    </w:p>
    <w:p w:rsidR="008F4A38" w:rsidRPr="008F4A38" w:rsidRDefault="008F4A38" w:rsidP="0081165E">
      <w:pPr>
        <w:pStyle w:val="ListParagraph"/>
        <w:spacing w:line="360" w:lineRule="auto"/>
        <w:rPr>
          <w:sz w:val="24"/>
          <w:szCs w:val="24"/>
        </w:rPr>
      </w:pPr>
    </w:p>
    <w:p w:rsidR="008F4A38" w:rsidRDefault="008F4A38" w:rsidP="0081165E">
      <w:pPr>
        <w:pStyle w:val="ListParagraph"/>
        <w:numPr>
          <w:ilvl w:val="0"/>
          <w:numId w:val="31"/>
        </w:numPr>
        <w:spacing w:line="360" w:lineRule="auto"/>
        <w:ind w:left="0" w:firstLine="1440"/>
        <w:rPr>
          <w:sz w:val="24"/>
          <w:szCs w:val="24"/>
        </w:rPr>
      </w:pPr>
      <w:r>
        <w:rPr>
          <w:sz w:val="24"/>
          <w:szCs w:val="24"/>
        </w:rPr>
        <w:t xml:space="preserve">PECO Exh. 15 is a </w:t>
      </w:r>
      <w:r w:rsidR="00595685">
        <w:rPr>
          <w:sz w:val="24"/>
          <w:szCs w:val="24"/>
        </w:rPr>
        <w:t>2</w:t>
      </w:r>
      <w:r w:rsidR="00697CE9">
        <w:rPr>
          <w:sz w:val="24"/>
          <w:szCs w:val="24"/>
        </w:rPr>
        <w:t>-</w:t>
      </w:r>
      <w:r w:rsidR="00595685">
        <w:rPr>
          <w:sz w:val="24"/>
          <w:szCs w:val="24"/>
        </w:rPr>
        <w:t>page letter from PECO to the Complainant dated April 21, 2015</w:t>
      </w:r>
      <w:r>
        <w:rPr>
          <w:sz w:val="24"/>
          <w:szCs w:val="24"/>
        </w:rPr>
        <w:t xml:space="preserve">. </w:t>
      </w:r>
    </w:p>
    <w:p w:rsidR="00FF02E6" w:rsidRPr="00FF02E6" w:rsidRDefault="00FF02E6" w:rsidP="0081165E">
      <w:pPr>
        <w:pStyle w:val="ListParagraph"/>
        <w:spacing w:line="360" w:lineRule="auto"/>
        <w:rPr>
          <w:sz w:val="24"/>
          <w:szCs w:val="24"/>
        </w:rPr>
      </w:pPr>
    </w:p>
    <w:p w:rsidR="00FF02E6" w:rsidRDefault="00FF02E6" w:rsidP="0081165E">
      <w:pPr>
        <w:pStyle w:val="ListParagraph"/>
        <w:numPr>
          <w:ilvl w:val="0"/>
          <w:numId w:val="31"/>
        </w:numPr>
        <w:spacing w:line="360" w:lineRule="auto"/>
        <w:ind w:left="0" w:firstLine="1440"/>
        <w:rPr>
          <w:sz w:val="24"/>
          <w:szCs w:val="24"/>
        </w:rPr>
      </w:pPr>
      <w:r>
        <w:rPr>
          <w:sz w:val="24"/>
          <w:szCs w:val="24"/>
        </w:rPr>
        <w:t>On October 3, 2013, PECO went to the first floor apartment to terminate service to Michael Massey for delinquency.  Tr. at 34.</w:t>
      </w:r>
    </w:p>
    <w:p w:rsidR="00FF02E6" w:rsidRPr="00FF02E6" w:rsidRDefault="00FF02E6" w:rsidP="0081165E">
      <w:pPr>
        <w:pStyle w:val="ListParagraph"/>
        <w:spacing w:line="360" w:lineRule="auto"/>
        <w:rPr>
          <w:sz w:val="24"/>
          <w:szCs w:val="24"/>
        </w:rPr>
      </w:pPr>
    </w:p>
    <w:p w:rsidR="00FF02E6" w:rsidRPr="00FF02E6" w:rsidRDefault="00F9425B" w:rsidP="0081165E">
      <w:pPr>
        <w:pStyle w:val="ListParagraph"/>
        <w:numPr>
          <w:ilvl w:val="0"/>
          <w:numId w:val="31"/>
        </w:numPr>
        <w:spacing w:line="360" w:lineRule="auto"/>
        <w:ind w:left="0" w:firstLine="1440"/>
        <w:rPr>
          <w:sz w:val="24"/>
          <w:szCs w:val="24"/>
          <w:u w:val="single"/>
        </w:rPr>
      </w:pPr>
      <w:r>
        <w:rPr>
          <w:sz w:val="24"/>
          <w:szCs w:val="24"/>
        </w:rPr>
        <w:t>When PECO terminated service to Michael Massey, at least one electric service line to the second floor apartment lost power.</w:t>
      </w:r>
      <w:r w:rsidR="00FF02E6">
        <w:rPr>
          <w:sz w:val="24"/>
          <w:szCs w:val="24"/>
        </w:rPr>
        <w:t xml:space="preserve">  Tr. at 34.</w:t>
      </w:r>
    </w:p>
    <w:p w:rsidR="00FF02E6" w:rsidRPr="00FF02E6" w:rsidRDefault="00FF02E6" w:rsidP="0081165E">
      <w:pPr>
        <w:pStyle w:val="ListParagraph"/>
        <w:spacing w:line="360" w:lineRule="auto"/>
        <w:rPr>
          <w:sz w:val="24"/>
          <w:szCs w:val="24"/>
        </w:rPr>
      </w:pPr>
    </w:p>
    <w:p w:rsidR="00FF02E6" w:rsidRDefault="00FF02E6" w:rsidP="0081165E">
      <w:pPr>
        <w:pStyle w:val="ListParagraph"/>
        <w:numPr>
          <w:ilvl w:val="0"/>
          <w:numId w:val="31"/>
        </w:numPr>
        <w:spacing w:line="360" w:lineRule="auto"/>
        <w:ind w:left="0" w:firstLine="1440"/>
        <w:rPr>
          <w:sz w:val="24"/>
          <w:szCs w:val="24"/>
        </w:rPr>
      </w:pPr>
      <w:r w:rsidRPr="00FF02E6">
        <w:rPr>
          <w:sz w:val="24"/>
          <w:szCs w:val="24"/>
        </w:rPr>
        <w:t xml:space="preserve">PECO determined </w:t>
      </w:r>
      <w:r>
        <w:rPr>
          <w:sz w:val="24"/>
          <w:szCs w:val="24"/>
        </w:rPr>
        <w:t xml:space="preserve">that Michele Jones was the owner </w:t>
      </w:r>
      <w:r w:rsidR="00BB38A0">
        <w:rPr>
          <w:sz w:val="24"/>
          <w:szCs w:val="24"/>
        </w:rPr>
        <w:t xml:space="preserve">of the apartment </w:t>
      </w:r>
      <w:r w:rsidR="00F9425B">
        <w:rPr>
          <w:sz w:val="24"/>
          <w:szCs w:val="24"/>
        </w:rPr>
        <w:t>building.  PECO then</w:t>
      </w:r>
      <w:r>
        <w:rPr>
          <w:sz w:val="24"/>
          <w:szCs w:val="24"/>
        </w:rPr>
        <w:t xml:space="preserve"> transferred the</w:t>
      </w:r>
      <w:r w:rsidR="00F9425B">
        <w:rPr>
          <w:sz w:val="24"/>
          <w:szCs w:val="24"/>
        </w:rPr>
        <w:t xml:space="preserve"> Michael Massey</w:t>
      </w:r>
      <w:r>
        <w:rPr>
          <w:sz w:val="24"/>
          <w:szCs w:val="24"/>
        </w:rPr>
        <w:t xml:space="preserve"> account to her name.  PECO </w:t>
      </w:r>
      <w:proofErr w:type="spellStart"/>
      <w:r>
        <w:rPr>
          <w:sz w:val="24"/>
          <w:szCs w:val="24"/>
        </w:rPr>
        <w:t>Exhs</w:t>
      </w:r>
      <w:proofErr w:type="spellEnd"/>
      <w:r>
        <w:rPr>
          <w:sz w:val="24"/>
          <w:szCs w:val="24"/>
        </w:rPr>
        <w:t>. 6</w:t>
      </w:r>
      <w:r w:rsidR="00DE6069">
        <w:rPr>
          <w:sz w:val="24"/>
          <w:szCs w:val="24"/>
        </w:rPr>
        <w:t>,</w:t>
      </w:r>
      <w:r w:rsidR="00017435">
        <w:rPr>
          <w:sz w:val="24"/>
          <w:szCs w:val="24"/>
        </w:rPr>
        <w:t xml:space="preserve"> </w:t>
      </w:r>
      <w:r>
        <w:rPr>
          <w:sz w:val="24"/>
          <w:szCs w:val="24"/>
        </w:rPr>
        <w:t>8,</w:t>
      </w:r>
      <w:r w:rsidR="00017435">
        <w:rPr>
          <w:sz w:val="24"/>
          <w:szCs w:val="24"/>
        </w:rPr>
        <w:t xml:space="preserve"> </w:t>
      </w:r>
      <w:r w:rsidR="00DE6069">
        <w:rPr>
          <w:sz w:val="24"/>
          <w:szCs w:val="24"/>
        </w:rPr>
        <w:t>and 15</w:t>
      </w:r>
      <w:r w:rsidR="00017435">
        <w:rPr>
          <w:sz w:val="24"/>
          <w:szCs w:val="24"/>
        </w:rPr>
        <w:t>;</w:t>
      </w:r>
      <w:r w:rsidR="00DE6069">
        <w:rPr>
          <w:sz w:val="24"/>
          <w:szCs w:val="24"/>
        </w:rPr>
        <w:t xml:space="preserve"> </w:t>
      </w:r>
      <w:r>
        <w:rPr>
          <w:sz w:val="24"/>
          <w:szCs w:val="24"/>
        </w:rPr>
        <w:t>Tr. at 35.</w:t>
      </w:r>
    </w:p>
    <w:p w:rsidR="00FF02E6" w:rsidRPr="00FF02E6" w:rsidRDefault="00FF02E6" w:rsidP="0081165E">
      <w:pPr>
        <w:pStyle w:val="ListParagraph"/>
        <w:spacing w:line="360" w:lineRule="auto"/>
        <w:rPr>
          <w:sz w:val="24"/>
          <w:szCs w:val="24"/>
        </w:rPr>
      </w:pPr>
    </w:p>
    <w:p w:rsidR="00FF02E6" w:rsidRDefault="00DE6069" w:rsidP="0081165E">
      <w:pPr>
        <w:pStyle w:val="ListParagraph"/>
        <w:numPr>
          <w:ilvl w:val="0"/>
          <w:numId w:val="31"/>
        </w:numPr>
        <w:spacing w:line="360" w:lineRule="auto"/>
        <w:ind w:left="0" w:firstLine="1440"/>
        <w:rPr>
          <w:sz w:val="24"/>
          <w:szCs w:val="24"/>
        </w:rPr>
      </w:pPr>
      <w:r>
        <w:rPr>
          <w:sz w:val="24"/>
          <w:szCs w:val="24"/>
        </w:rPr>
        <w:t xml:space="preserve">PECO billed the unpaid charges for Michael Massey to </w:t>
      </w:r>
      <w:r w:rsidR="00E57F7D">
        <w:rPr>
          <w:sz w:val="24"/>
          <w:szCs w:val="24"/>
        </w:rPr>
        <w:t xml:space="preserve">the owner, </w:t>
      </w:r>
      <w:r>
        <w:rPr>
          <w:sz w:val="24"/>
          <w:szCs w:val="24"/>
        </w:rPr>
        <w:t>Michele Jones</w:t>
      </w:r>
      <w:r w:rsidR="00E57F7D">
        <w:rPr>
          <w:sz w:val="24"/>
          <w:szCs w:val="24"/>
        </w:rPr>
        <w:t xml:space="preserve"> (Complainant)</w:t>
      </w:r>
      <w:r>
        <w:rPr>
          <w:sz w:val="24"/>
          <w:szCs w:val="24"/>
        </w:rPr>
        <w:t xml:space="preserve"> due to the discovery of foreign wiring.  PECO Exh. 10</w:t>
      </w:r>
      <w:r w:rsidR="00017435">
        <w:rPr>
          <w:sz w:val="24"/>
          <w:szCs w:val="24"/>
        </w:rPr>
        <w:t>;</w:t>
      </w:r>
      <w:r>
        <w:rPr>
          <w:sz w:val="24"/>
          <w:szCs w:val="24"/>
        </w:rPr>
        <w:t xml:space="preserve"> Tr. at 28.</w:t>
      </w:r>
    </w:p>
    <w:p w:rsidR="00DE6069" w:rsidRPr="00DE6069" w:rsidRDefault="00DE6069" w:rsidP="0081165E">
      <w:pPr>
        <w:pStyle w:val="ListParagraph"/>
        <w:spacing w:line="360" w:lineRule="auto"/>
        <w:rPr>
          <w:sz w:val="24"/>
          <w:szCs w:val="24"/>
        </w:rPr>
      </w:pPr>
    </w:p>
    <w:p w:rsidR="00DE6069" w:rsidRDefault="00DE6069" w:rsidP="0081165E">
      <w:pPr>
        <w:pStyle w:val="ListParagraph"/>
        <w:numPr>
          <w:ilvl w:val="0"/>
          <w:numId w:val="31"/>
        </w:numPr>
        <w:spacing w:line="360" w:lineRule="auto"/>
        <w:ind w:left="0" w:firstLine="1440"/>
        <w:rPr>
          <w:sz w:val="24"/>
          <w:szCs w:val="24"/>
        </w:rPr>
      </w:pPr>
      <w:r>
        <w:rPr>
          <w:sz w:val="24"/>
          <w:szCs w:val="24"/>
        </w:rPr>
        <w:t>The Complainant did not make any payments on the account until February 13, 2015.  PECO Exh. 10</w:t>
      </w:r>
      <w:r w:rsidR="00017435">
        <w:rPr>
          <w:sz w:val="24"/>
          <w:szCs w:val="24"/>
        </w:rPr>
        <w:t>;</w:t>
      </w:r>
      <w:r>
        <w:rPr>
          <w:sz w:val="24"/>
          <w:szCs w:val="24"/>
        </w:rPr>
        <w:t xml:space="preserve"> Tr. at 39.</w:t>
      </w:r>
    </w:p>
    <w:p w:rsidR="00DE6069" w:rsidRPr="00DE6069" w:rsidRDefault="00DE6069" w:rsidP="0081165E">
      <w:pPr>
        <w:pStyle w:val="ListParagraph"/>
        <w:spacing w:line="360" w:lineRule="auto"/>
        <w:rPr>
          <w:sz w:val="24"/>
          <w:szCs w:val="24"/>
        </w:rPr>
      </w:pPr>
    </w:p>
    <w:p w:rsidR="00DE6069" w:rsidRDefault="00DE6069" w:rsidP="0081165E">
      <w:pPr>
        <w:pStyle w:val="ListParagraph"/>
        <w:numPr>
          <w:ilvl w:val="0"/>
          <w:numId w:val="31"/>
        </w:numPr>
        <w:spacing w:line="360" w:lineRule="auto"/>
        <w:ind w:left="0" w:firstLine="1440"/>
        <w:rPr>
          <w:sz w:val="24"/>
          <w:szCs w:val="24"/>
        </w:rPr>
      </w:pPr>
      <w:r>
        <w:rPr>
          <w:sz w:val="24"/>
          <w:szCs w:val="24"/>
        </w:rPr>
        <w:t xml:space="preserve">The balance of the </w:t>
      </w:r>
      <w:r w:rsidR="005A087C">
        <w:rPr>
          <w:sz w:val="24"/>
          <w:szCs w:val="24"/>
        </w:rPr>
        <w:t xml:space="preserve">Complainant’s </w:t>
      </w:r>
      <w:r>
        <w:rPr>
          <w:sz w:val="24"/>
          <w:szCs w:val="24"/>
        </w:rPr>
        <w:t>account at the time of the hearing was $1,930.88.  Tr. at 39.</w:t>
      </w:r>
    </w:p>
    <w:p w:rsidR="00DE6069" w:rsidRPr="00DE6069" w:rsidRDefault="00DE6069" w:rsidP="0081165E">
      <w:pPr>
        <w:pStyle w:val="ListParagraph"/>
        <w:spacing w:line="360" w:lineRule="auto"/>
        <w:rPr>
          <w:sz w:val="24"/>
          <w:szCs w:val="24"/>
        </w:rPr>
      </w:pPr>
    </w:p>
    <w:p w:rsidR="00DE6069" w:rsidRDefault="005A087C" w:rsidP="0081165E">
      <w:pPr>
        <w:pStyle w:val="ListParagraph"/>
        <w:numPr>
          <w:ilvl w:val="0"/>
          <w:numId w:val="31"/>
        </w:numPr>
        <w:spacing w:line="360" w:lineRule="auto"/>
        <w:ind w:left="0" w:firstLine="1440"/>
        <w:rPr>
          <w:sz w:val="24"/>
          <w:szCs w:val="24"/>
        </w:rPr>
      </w:pPr>
      <w:r>
        <w:rPr>
          <w:sz w:val="24"/>
          <w:szCs w:val="24"/>
        </w:rPr>
        <w:t>Repairs were made to resolve the foreign wiring on December 12, 2014.  Tr. at 45.</w:t>
      </w:r>
    </w:p>
    <w:p w:rsidR="005A087C" w:rsidRPr="005A087C" w:rsidRDefault="005A087C" w:rsidP="0081165E">
      <w:pPr>
        <w:pStyle w:val="ListParagraph"/>
        <w:spacing w:line="360" w:lineRule="auto"/>
        <w:rPr>
          <w:sz w:val="24"/>
          <w:szCs w:val="24"/>
        </w:rPr>
      </w:pPr>
    </w:p>
    <w:p w:rsidR="005A087C" w:rsidRDefault="002D22CB" w:rsidP="0081165E">
      <w:pPr>
        <w:pStyle w:val="ListParagraph"/>
        <w:numPr>
          <w:ilvl w:val="0"/>
          <w:numId w:val="31"/>
        </w:numPr>
        <w:spacing w:line="360" w:lineRule="auto"/>
        <w:ind w:left="0" w:firstLine="1440"/>
        <w:rPr>
          <w:sz w:val="24"/>
          <w:szCs w:val="24"/>
        </w:rPr>
      </w:pPr>
      <w:r>
        <w:rPr>
          <w:sz w:val="24"/>
          <w:szCs w:val="24"/>
        </w:rPr>
        <w:t>After December 6, 2013, the Complainant was responsible for the arrearages and late fees for the first floor account.</w:t>
      </w:r>
      <w:r w:rsidR="0081165E">
        <w:rPr>
          <w:sz w:val="24"/>
          <w:szCs w:val="24"/>
        </w:rPr>
        <w:t xml:space="preserve">  The account never went back into Michael Massey’s name as he had been evicted.  Tr. at 60.</w:t>
      </w:r>
    </w:p>
    <w:p w:rsidR="00E57F7D" w:rsidRPr="00E57F7D" w:rsidRDefault="00E57F7D" w:rsidP="00E57F7D">
      <w:pPr>
        <w:pStyle w:val="ListParagraph"/>
        <w:rPr>
          <w:sz w:val="24"/>
          <w:szCs w:val="24"/>
        </w:rPr>
      </w:pPr>
    </w:p>
    <w:p w:rsidR="00E57F7D" w:rsidRDefault="00E57F7D" w:rsidP="0081165E">
      <w:pPr>
        <w:pStyle w:val="ListParagraph"/>
        <w:numPr>
          <w:ilvl w:val="0"/>
          <w:numId w:val="31"/>
        </w:numPr>
        <w:spacing w:line="360" w:lineRule="auto"/>
        <w:ind w:left="0" w:firstLine="1440"/>
        <w:rPr>
          <w:sz w:val="24"/>
          <w:szCs w:val="24"/>
        </w:rPr>
      </w:pPr>
      <w:r>
        <w:rPr>
          <w:sz w:val="24"/>
          <w:szCs w:val="24"/>
        </w:rPr>
        <w:t xml:space="preserve">The Complainant’s issues regarding </w:t>
      </w:r>
      <w:r w:rsidR="00734893">
        <w:rPr>
          <w:sz w:val="24"/>
          <w:szCs w:val="24"/>
        </w:rPr>
        <w:t>the arrearage are between her and Michael Massey, not between her and the utility.</w:t>
      </w:r>
    </w:p>
    <w:p w:rsidR="0081165E" w:rsidRPr="0081165E" w:rsidRDefault="0081165E" w:rsidP="0081165E">
      <w:pPr>
        <w:pStyle w:val="ListParagraph"/>
        <w:rPr>
          <w:sz w:val="24"/>
          <w:szCs w:val="24"/>
        </w:rPr>
      </w:pPr>
    </w:p>
    <w:p w:rsidR="00CB495C" w:rsidRDefault="00E57F7D" w:rsidP="00E57F7D">
      <w:pPr>
        <w:pStyle w:val="ListParagraph"/>
        <w:spacing w:line="360" w:lineRule="auto"/>
        <w:ind w:left="0" w:hanging="90"/>
        <w:jc w:val="center"/>
        <w:rPr>
          <w:sz w:val="24"/>
          <w:szCs w:val="24"/>
          <w:u w:val="single"/>
        </w:rPr>
      </w:pPr>
      <w:r>
        <w:rPr>
          <w:sz w:val="24"/>
          <w:szCs w:val="24"/>
          <w:u w:val="single"/>
        </w:rPr>
        <w:t>D</w:t>
      </w:r>
      <w:r w:rsidR="00FF02E6" w:rsidRPr="00FF02E6">
        <w:rPr>
          <w:sz w:val="24"/>
          <w:szCs w:val="24"/>
          <w:u w:val="single"/>
        </w:rPr>
        <w:t>IS</w:t>
      </w:r>
      <w:r w:rsidR="00CB495C" w:rsidRPr="00FF02E6">
        <w:rPr>
          <w:sz w:val="24"/>
          <w:szCs w:val="24"/>
          <w:u w:val="single"/>
        </w:rPr>
        <w:t>CUSSION</w:t>
      </w:r>
    </w:p>
    <w:p w:rsidR="00734893" w:rsidRDefault="00734893" w:rsidP="00E57F7D">
      <w:pPr>
        <w:pStyle w:val="ListParagraph"/>
        <w:spacing w:line="360" w:lineRule="auto"/>
        <w:ind w:left="0" w:hanging="90"/>
        <w:jc w:val="center"/>
        <w:rPr>
          <w:sz w:val="24"/>
          <w:szCs w:val="24"/>
          <w:u w:val="single"/>
        </w:rPr>
      </w:pPr>
    </w:p>
    <w:p w:rsidR="00734893" w:rsidRPr="00734893" w:rsidRDefault="00734893" w:rsidP="00734893">
      <w:pPr>
        <w:spacing w:line="360" w:lineRule="auto"/>
        <w:ind w:firstLine="1440"/>
        <w:rPr>
          <w:rFonts w:eastAsiaTheme="minorHAnsi"/>
          <w:sz w:val="24"/>
          <w:szCs w:val="24"/>
        </w:rPr>
      </w:pPr>
      <w:r w:rsidRPr="00734893">
        <w:rPr>
          <w:rFonts w:eastAsiaTheme="minorHAnsi"/>
          <w:sz w:val="24"/>
          <w:szCs w:val="24"/>
        </w:rPr>
        <w:t xml:space="preserve">The party seeking affirmative relief from the Commission bears the burden of proof.  </w:t>
      </w:r>
      <w:proofErr w:type="gramStart"/>
      <w:r w:rsidRPr="00734893">
        <w:rPr>
          <w:rFonts w:eastAsiaTheme="minorHAnsi"/>
          <w:sz w:val="24"/>
          <w:szCs w:val="24"/>
        </w:rPr>
        <w:t>66 Pa.C.S.</w:t>
      </w:r>
      <w:proofErr w:type="gramEnd"/>
      <w:r w:rsidRPr="00734893">
        <w:rPr>
          <w:rFonts w:eastAsiaTheme="minorHAnsi"/>
          <w:sz w:val="24"/>
          <w:szCs w:val="24"/>
        </w:rPr>
        <w:t xml:space="preserve"> § 332(a).  As a matter of law, a complainant must show that the named utility is responsible or accountable for the problem described in the Complaint in order to prevail.  </w:t>
      </w:r>
      <w:proofErr w:type="gramStart"/>
      <w:r w:rsidRPr="00734893">
        <w:rPr>
          <w:rFonts w:eastAsiaTheme="minorHAnsi"/>
          <w:i/>
          <w:sz w:val="24"/>
          <w:szCs w:val="24"/>
        </w:rPr>
        <w:t>Patterson v. Bell Tel. Co. of PA</w:t>
      </w:r>
      <w:r w:rsidRPr="00734893">
        <w:rPr>
          <w:rFonts w:eastAsiaTheme="minorHAnsi"/>
          <w:sz w:val="24"/>
          <w:szCs w:val="24"/>
        </w:rPr>
        <w:t xml:space="preserve">, 72 Pa. PUC 196 (1990); </w:t>
      </w:r>
      <w:r w:rsidRPr="00734893">
        <w:rPr>
          <w:rFonts w:eastAsiaTheme="minorHAnsi"/>
          <w:i/>
          <w:sz w:val="24"/>
          <w:szCs w:val="24"/>
        </w:rPr>
        <w:t xml:space="preserve">Feinstein v. </w:t>
      </w:r>
      <w:proofErr w:type="spellStart"/>
      <w:r w:rsidRPr="00734893">
        <w:rPr>
          <w:rFonts w:eastAsiaTheme="minorHAnsi"/>
          <w:i/>
          <w:sz w:val="24"/>
          <w:szCs w:val="24"/>
        </w:rPr>
        <w:t>Phila</w:t>
      </w:r>
      <w:proofErr w:type="spellEnd"/>
      <w:r w:rsidRPr="00734893">
        <w:rPr>
          <w:rFonts w:eastAsiaTheme="minorHAnsi"/>
          <w:i/>
          <w:sz w:val="24"/>
          <w:szCs w:val="24"/>
        </w:rPr>
        <w:t>.</w:t>
      </w:r>
      <w:proofErr w:type="gramEnd"/>
      <w:r w:rsidRPr="00734893">
        <w:rPr>
          <w:rFonts w:eastAsiaTheme="minorHAnsi"/>
          <w:i/>
          <w:sz w:val="24"/>
          <w:szCs w:val="24"/>
        </w:rPr>
        <w:t xml:space="preserve"> </w:t>
      </w:r>
      <w:proofErr w:type="gramStart"/>
      <w:r w:rsidRPr="00734893">
        <w:rPr>
          <w:rFonts w:eastAsiaTheme="minorHAnsi"/>
          <w:i/>
          <w:sz w:val="24"/>
          <w:szCs w:val="24"/>
        </w:rPr>
        <w:t>Suburban Water Co.</w:t>
      </w:r>
      <w:r w:rsidRPr="00734893">
        <w:rPr>
          <w:rFonts w:eastAsiaTheme="minorHAnsi"/>
          <w:sz w:val="24"/>
          <w:szCs w:val="24"/>
        </w:rPr>
        <w:t>, 50 Pa. PUC 300 (1976).</w:t>
      </w:r>
      <w:proofErr w:type="gramEnd"/>
      <w:r w:rsidRPr="00734893">
        <w:rPr>
          <w:rFonts w:eastAsiaTheme="minorHAnsi"/>
          <w:sz w:val="24"/>
          <w:szCs w:val="24"/>
        </w:rPr>
        <w:t xml:space="preserve">  This must be shown by a preponderance of the evidence.  </w:t>
      </w:r>
      <w:proofErr w:type="gramStart"/>
      <w:r w:rsidRPr="00734893">
        <w:rPr>
          <w:rFonts w:eastAsiaTheme="minorHAnsi"/>
          <w:i/>
          <w:sz w:val="24"/>
          <w:szCs w:val="24"/>
        </w:rPr>
        <w:t>Samuel</w:t>
      </w:r>
      <w:r w:rsidR="009434E4">
        <w:rPr>
          <w:rFonts w:eastAsiaTheme="minorHAnsi"/>
          <w:i/>
          <w:sz w:val="24"/>
          <w:szCs w:val="24"/>
        </w:rPr>
        <w:t> </w:t>
      </w:r>
      <w:r w:rsidRPr="00734893">
        <w:rPr>
          <w:rFonts w:eastAsiaTheme="minorHAnsi"/>
          <w:i/>
          <w:sz w:val="24"/>
          <w:szCs w:val="24"/>
        </w:rPr>
        <w:t>J. Lansberry, Inc. v. Pa. Pub.</w:t>
      </w:r>
      <w:proofErr w:type="gramEnd"/>
      <w:r w:rsidRPr="00734893">
        <w:rPr>
          <w:rFonts w:eastAsiaTheme="minorHAnsi"/>
          <w:i/>
          <w:sz w:val="24"/>
          <w:szCs w:val="24"/>
        </w:rPr>
        <w:t xml:space="preserve"> </w:t>
      </w:r>
      <w:proofErr w:type="gramStart"/>
      <w:r w:rsidRPr="00734893">
        <w:rPr>
          <w:rFonts w:eastAsiaTheme="minorHAnsi"/>
          <w:i/>
          <w:sz w:val="24"/>
          <w:szCs w:val="24"/>
        </w:rPr>
        <w:t>Util. Comm’n,</w:t>
      </w:r>
      <w:r w:rsidRPr="00734893">
        <w:rPr>
          <w:rFonts w:eastAsiaTheme="minorHAnsi"/>
          <w:sz w:val="24"/>
          <w:szCs w:val="24"/>
        </w:rPr>
        <w:t xml:space="preserve"> 578 A.2d 600 (1990), </w:t>
      </w:r>
      <w:r w:rsidRPr="00734893">
        <w:rPr>
          <w:rFonts w:eastAsiaTheme="minorHAnsi"/>
          <w:i/>
          <w:sz w:val="24"/>
          <w:szCs w:val="24"/>
        </w:rPr>
        <w:t>alloc.</w:t>
      </w:r>
      <w:proofErr w:type="gramEnd"/>
      <w:r w:rsidRPr="00734893">
        <w:rPr>
          <w:rFonts w:eastAsiaTheme="minorHAnsi"/>
          <w:i/>
          <w:sz w:val="24"/>
          <w:szCs w:val="24"/>
        </w:rPr>
        <w:t xml:space="preserve"> </w:t>
      </w:r>
      <w:proofErr w:type="gramStart"/>
      <w:r w:rsidRPr="00734893">
        <w:rPr>
          <w:rFonts w:eastAsiaTheme="minorHAnsi"/>
          <w:i/>
          <w:sz w:val="24"/>
          <w:szCs w:val="24"/>
        </w:rPr>
        <w:t>denied</w:t>
      </w:r>
      <w:proofErr w:type="gramEnd"/>
      <w:r w:rsidRPr="00734893">
        <w:rPr>
          <w:rFonts w:eastAsiaTheme="minorHAnsi"/>
          <w:sz w:val="24"/>
          <w:szCs w:val="24"/>
        </w:rPr>
        <w:t xml:space="preserve">, 602 A.2d 863 (1992).  A preponderance of evidence is that which is more convincing, by even the smallest amount, than that presented by the other party.  </w:t>
      </w:r>
      <w:proofErr w:type="gramStart"/>
      <w:r w:rsidRPr="00734893">
        <w:rPr>
          <w:rFonts w:eastAsiaTheme="minorHAnsi"/>
          <w:i/>
          <w:sz w:val="24"/>
          <w:szCs w:val="24"/>
        </w:rPr>
        <w:t>Se-Ling Hosiery v. Margulies</w:t>
      </w:r>
      <w:r w:rsidRPr="00734893">
        <w:rPr>
          <w:rFonts w:eastAsiaTheme="minorHAnsi"/>
          <w:sz w:val="24"/>
          <w:szCs w:val="24"/>
        </w:rPr>
        <w:t>, 70 A.2d 854 (1950).</w:t>
      </w:r>
      <w:proofErr w:type="gramEnd"/>
    </w:p>
    <w:p w:rsidR="00734893" w:rsidRPr="00734893" w:rsidRDefault="00734893" w:rsidP="00734893">
      <w:pPr>
        <w:spacing w:line="360" w:lineRule="auto"/>
        <w:rPr>
          <w:rFonts w:eastAsiaTheme="minorHAnsi"/>
          <w:sz w:val="24"/>
          <w:szCs w:val="24"/>
        </w:rPr>
      </w:pPr>
    </w:p>
    <w:p w:rsidR="00734893" w:rsidRPr="00734893" w:rsidRDefault="00734893" w:rsidP="00734893">
      <w:pPr>
        <w:spacing w:line="360" w:lineRule="auto"/>
        <w:ind w:firstLine="1440"/>
        <w:rPr>
          <w:rFonts w:eastAsiaTheme="minorHAnsi"/>
          <w:spacing w:val="-3"/>
          <w:sz w:val="24"/>
          <w:szCs w:val="24"/>
        </w:rPr>
      </w:pPr>
      <w:r w:rsidRPr="00734893">
        <w:rPr>
          <w:rFonts w:eastAsiaTheme="minorHAnsi"/>
          <w:spacing w:val="-3"/>
          <w:sz w:val="24"/>
          <w:szCs w:val="24"/>
        </w:rPr>
        <w:t xml:space="preserve">Additionally, any finding of fact necessary to support the Commission’s adjudication must be based upon substantial evidence.  </w:t>
      </w:r>
      <w:proofErr w:type="gramStart"/>
      <w:r w:rsidRPr="00734893">
        <w:rPr>
          <w:rFonts w:eastAsiaTheme="minorHAnsi"/>
          <w:i/>
          <w:spacing w:val="-3"/>
          <w:sz w:val="24"/>
          <w:szCs w:val="24"/>
        </w:rPr>
        <w:t>Mill v. Pa. Pub.</w:t>
      </w:r>
      <w:proofErr w:type="gramEnd"/>
      <w:r w:rsidRPr="00734893">
        <w:rPr>
          <w:rFonts w:eastAsiaTheme="minorHAnsi"/>
          <w:i/>
          <w:spacing w:val="-3"/>
          <w:sz w:val="24"/>
          <w:szCs w:val="24"/>
        </w:rPr>
        <w:t xml:space="preserve"> </w:t>
      </w:r>
      <w:proofErr w:type="gramStart"/>
      <w:r w:rsidRPr="00734893">
        <w:rPr>
          <w:rFonts w:eastAsiaTheme="minorHAnsi"/>
          <w:i/>
          <w:spacing w:val="-3"/>
          <w:sz w:val="24"/>
          <w:szCs w:val="24"/>
        </w:rPr>
        <w:t>Util. Comm’n</w:t>
      </w:r>
      <w:r w:rsidRPr="00734893">
        <w:rPr>
          <w:rFonts w:eastAsiaTheme="minorHAnsi"/>
          <w:spacing w:val="-3"/>
          <w:sz w:val="24"/>
          <w:szCs w:val="24"/>
        </w:rPr>
        <w:t>, 447 A.2d 1100 (</w:t>
      </w:r>
      <w:proofErr w:type="spellStart"/>
      <w:r w:rsidRPr="00734893">
        <w:rPr>
          <w:rFonts w:eastAsiaTheme="minorHAnsi"/>
          <w:spacing w:val="-3"/>
          <w:sz w:val="24"/>
          <w:szCs w:val="24"/>
        </w:rPr>
        <w:t>Pa.Cmwlth</w:t>
      </w:r>
      <w:proofErr w:type="spellEnd"/>
      <w:r w:rsidRPr="00734893">
        <w:rPr>
          <w:rFonts w:eastAsiaTheme="minorHAnsi"/>
          <w:spacing w:val="-3"/>
          <w:sz w:val="24"/>
          <w:szCs w:val="24"/>
        </w:rPr>
        <w:t xml:space="preserve">. 1982); </w:t>
      </w:r>
      <w:r w:rsidRPr="00734893">
        <w:rPr>
          <w:rFonts w:eastAsiaTheme="minorHAnsi"/>
          <w:i/>
          <w:spacing w:val="-3"/>
          <w:sz w:val="24"/>
          <w:szCs w:val="24"/>
        </w:rPr>
        <w:t>Edan Transportation Corp. v. Pa. Pub.</w:t>
      </w:r>
      <w:proofErr w:type="gramEnd"/>
      <w:r w:rsidRPr="00734893">
        <w:rPr>
          <w:rFonts w:eastAsiaTheme="minorHAnsi"/>
          <w:i/>
          <w:spacing w:val="-3"/>
          <w:sz w:val="24"/>
          <w:szCs w:val="24"/>
        </w:rPr>
        <w:t xml:space="preserve"> </w:t>
      </w:r>
      <w:proofErr w:type="gramStart"/>
      <w:r w:rsidRPr="00734893">
        <w:rPr>
          <w:rFonts w:eastAsiaTheme="minorHAnsi"/>
          <w:i/>
          <w:spacing w:val="-3"/>
          <w:sz w:val="24"/>
          <w:szCs w:val="24"/>
        </w:rPr>
        <w:t>Util. Comm’n,</w:t>
      </w:r>
      <w:r w:rsidRPr="00734893">
        <w:rPr>
          <w:rFonts w:eastAsiaTheme="minorHAnsi"/>
          <w:spacing w:val="-3"/>
          <w:sz w:val="24"/>
          <w:szCs w:val="24"/>
        </w:rPr>
        <w:t xml:space="preserve"> 623 A.2d 6 (</w:t>
      </w:r>
      <w:proofErr w:type="spellStart"/>
      <w:r w:rsidRPr="00734893">
        <w:rPr>
          <w:rFonts w:eastAsiaTheme="minorHAnsi"/>
          <w:spacing w:val="-3"/>
          <w:sz w:val="24"/>
          <w:szCs w:val="24"/>
        </w:rPr>
        <w:t>Pa.Cmwlth</w:t>
      </w:r>
      <w:proofErr w:type="spellEnd"/>
      <w:r w:rsidRPr="00734893">
        <w:rPr>
          <w:rFonts w:eastAsiaTheme="minorHAnsi"/>
          <w:spacing w:val="-3"/>
          <w:sz w:val="24"/>
          <w:szCs w:val="24"/>
        </w:rPr>
        <w:t>. 1993), 2 Pa.C.S.</w:t>
      </w:r>
      <w:proofErr w:type="gramEnd"/>
      <w:r w:rsidRPr="00734893">
        <w:rPr>
          <w:rFonts w:eastAsiaTheme="minorHAnsi"/>
          <w:spacing w:val="-3"/>
          <w:sz w:val="24"/>
          <w:szCs w:val="24"/>
        </w:rPr>
        <w:t xml:space="preserve"> § 704.  More is required than a mere trace of evidence or a suspicion of the existence of a fact sought to be established.  </w:t>
      </w:r>
      <w:proofErr w:type="gramStart"/>
      <w:r w:rsidRPr="00734893">
        <w:rPr>
          <w:rFonts w:eastAsiaTheme="minorHAnsi"/>
          <w:i/>
          <w:spacing w:val="-3"/>
          <w:sz w:val="24"/>
          <w:szCs w:val="24"/>
        </w:rPr>
        <w:t>Norfolk and Western Ry. v. Pa. Pub.</w:t>
      </w:r>
      <w:proofErr w:type="gramEnd"/>
      <w:r w:rsidRPr="00734893">
        <w:rPr>
          <w:rFonts w:eastAsiaTheme="minorHAnsi"/>
          <w:i/>
          <w:spacing w:val="-3"/>
          <w:sz w:val="24"/>
          <w:szCs w:val="24"/>
        </w:rPr>
        <w:t xml:space="preserve"> </w:t>
      </w:r>
      <w:proofErr w:type="gramStart"/>
      <w:r w:rsidRPr="00734893">
        <w:rPr>
          <w:rFonts w:eastAsiaTheme="minorHAnsi"/>
          <w:i/>
          <w:spacing w:val="-3"/>
          <w:sz w:val="24"/>
          <w:szCs w:val="24"/>
        </w:rPr>
        <w:t>Util. Comm’n</w:t>
      </w:r>
      <w:r w:rsidRPr="00734893">
        <w:rPr>
          <w:rFonts w:eastAsiaTheme="minorHAnsi"/>
          <w:spacing w:val="-3"/>
          <w:sz w:val="24"/>
          <w:szCs w:val="24"/>
        </w:rPr>
        <w:t xml:space="preserve">, 489 Pa. 109, 413 A.2d 1037 (1980); </w:t>
      </w:r>
      <w:r w:rsidRPr="00734893">
        <w:rPr>
          <w:rFonts w:eastAsiaTheme="minorHAnsi"/>
          <w:i/>
          <w:spacing w:val="-3"/>
          <w:sz w:val="24"/>
          <w:szCs w:val="24"/>
        </w:rPr>
        <w:t>Erie Resistor Corp. v. Unemployment Compensation Bd. of Review</w:t>
      </w:r>
      <w:r w:rsidRPr="00734893">
        <w:rPr>
          <w:rFonts w:eastAsiaTheme="minorHAnsi"/>
          <w:spacing w:val="-3"/>
          <w:sz w:val="24"/>
          <w:szCs w:val="24"/>
        </w:rPr>
        <w:t>, 166 A.2d 96 (</w:t>
      </w:r>
      <w:proofErr w:type="spellStart"/>
      <w:r w:rsidRPr="00734893">
        <w:rPr>
          <w:rFonts w:eastAsiaTheme="minorHAnsi"/>
          <w:spacing w:val="-3"/>
          <w:sz w:val="24"/>
          <w:szCs w:val="24"/>
        </w:rPr>
        <w:t>Pa.Super</w:t>
      </w:r>
      <w:proofErr w:type="spellEnd"/>
      <w:r w:rsidRPr="00734893">
        <w:rPr>
          <w:rFonts w:eastAsiaTheme="minorHAnsi"/>
          <w:spacing w:val="-3"/>
          <w:sz w:val="24"/>
          <w:szCs w:val="24"/>
        </w:rPr>
        <w:t xml:space="preserve">. 1960); </w:t>
      </w:r>
      <w:r w:rsidRPr="00734893">
        <w:rPr>
          <w:rFonts w:eastAsiaTheme="minorHAnsi"/>
          <w:i/>
          <w:spacing w:val="-3"/>
          <w:sz w:val="24"/>
          <w:szCs w:val="24"/>
        </w:rPr>
        <w:t>Murphy v. Commonwealth, Dep’t.</w:t>
      </w:r>
      <w:proofErr w:type="gramEnd"/>
      <w:r w:rsidRPr="00734893">
        <w:rPr>
          <w:rFonts w:eastAsiaTheme="minorHAnsi"/>
          <w:i/>
          <w:spacing w:val="-3"/>
          <w:sz w:val="24"/>
          <w:szCs w:val="24"/>
        </w:rPr>
        <w:t xml:space="preserve"> </w:t>
      </w:r>
      <w:proofErr w:type="gramStart"/>
      <w:r w:rsidRPr="00734893">
        <w:rPr>
          <w:rFonts w:eastAsiaTheme="minorHAnsi"/>
          <w:i/>
          <w:spacing w:val="-3"/>
          <w:sz w:val="24"/>
          <w:szCs w:val="24"/>
        </w:rPr>
        <w:t>of</w:t>
      </w:r>
      <w:proofErr w:type="gramEnd"/>
      <w:r w:rsidRPr="00734893">
        <w:rPr>
          <w:rFonts w:eastAsiaTheme="minorHAnsi"/>
          <w:i/>
          <w:spacing w:val="-3"/>
          <w:sz w:val="24"/>
          <w:szCs w:val="24"/>
        </w:rPr>
        <w:t xml:space="preserve"> Public Welfare, White Haven Center</w:t>
      </w:r>
      <w:r w:rsidRPr="00734893">
        <w:rPr>
          <w:rFonts w:eastAsiaTheme="minorHAnsi"/>
          <w:spacing w:val="-3"/>
          <w:sz w:val="24"/>
          <w:szCs w:val="24"/>
        </w:rPr>
        <w:t>, 480 A.2d 382 (</w:t>
      </w:r>
      <w:proofErr w:type="spellStart"/>
      <w:r w:rsidRPr="00734893">
        <w:rPr>
          <w:rFonts w:eastAsiaTheme="minorHAnsi"/>
          <w:spacing w:val="-3"/>
          <w:sz w:val="24"/>
          <w:szCs w:val="24"/>
        </w:rPr>
        <w:t>Pa.Cmwlth</w:t>
      </w:r>
      <w:proofErr w:type="spellEnd"/>
      <w:r w:rsidRPr="00734893">
        <w:rPr>
          <w:rFonts w:eastAsiaTheme="minorHAnsi"/>
          <w:spacing w:val="-3"/>
          <w:sz w:val="24"/>
          <w:szCs w:val="24"/>
        </w:rPr>
        <w:t>. 1984).</w:t>
      </w:r>
    </w:p>
    <w:p w:rsidR="00734893" w:rsidRPr="00734893" w:rsidRDefault="00734893" w:rsidP="00734893">
      <w:pPr>
        <w:spacing w:line="360" w:lineRule="auto"/>
        <w:ind w:firstLine="1440"/>
        <w:rPr>
          <w:rFonts w:eastAsiaTheme="minorHAnsi"/>
          <w:spacing w:val="-3"/>
          <w:sz w:val="24"/>
          <w:szCs w:val="24"/>
        </w:rPr>
      </w:pPr>
    </w:p>
    <w:p w:rsidR="00734893" w:rsidRPr="00734893" w:rsidRDefault="00734893" w:rsidP="00734893">
      <w:pPr>
        <w:spacing w:line="360" w:lineRule="auto"/>
        <w:rPr>
          <w:rFonts w:eastAsiaTheme="minorHAnsi"/>
          <w:sz w:val="24"/>
          <w:szCs w:val="24"/>
        </w:rPr>
      </w:pPr>
      <w:r w:rsidRPr="00734893">
        <w:rPr>
          <w:rFonts w:eastAsiaTheme="minorHAnsi"/>
          <w:sz w:val="24"/>
          <w:szCs w:val="24"/>
        </w:rPr>
        <w:tab/>
      </w:r>
      <w:r w:rsidRPr="00734893">
        <w:rPr>
          <w:rFonts w:eastAsiaTheme="minorHAnsi"/>
          <w:sz w:val="24"/>
          <w:szCs w:val="24"/>
        </w:rPr>
        <w:tab/>
        <w:t xml:space="preserve">The offense must be a violation of the Public Utility Code, the Commission’s regulations, or an outstanding order of the Commission.  </w:t>
      </w:r>
      <w:proofErr w:type="gramStart"/>
      <w:r w:rsidRPr="00734893">
        <w:rPr>
          <w:rFonts w:eastAsiaTheme="minorHAnsi"/>
          <w:sz w:val="24"/>
          <w:szCs w:val="24"/>
        </w:rPr>
        <w:t>66 Pa.C.S.</w:t>
      </w:r>
      <w:proofErr w:type="gramEnd"/>
      <w:r w:rsidRPr="00734893">
        <w:rPr>
          <w:rFonts w:eastAsiaTheme="minorHAnsi"/>
          <w:sz w:val="24"/>
          <w:szCs w:val="24"/>
        </w:rPr>
        <w:t xml:space="preserve"> § 701.</w:t>
      </w:r>
    </w:p>
    <w:p w:rsidR="00734893" w:rsidRPr="00734893" w:rsidRDefault="00734893" w:rsidP="00734893">
      <w:pPr>
        <w:spacing w:line="360" w:lineRule="auto"/>
        <w:jc w:val="center"/>
        <w:rPr>
          <w:rFonts w:eastAsiaTheme="minorHAnsi"/>
          <w:sz w:val="24"/>
          <w:szCs w:val="24"/>
        </w:rPr>
      </w:pPr>
    </w:p>
    <w:p w:rsidR="00734893" w:rsidRPr="00734893" w:rsidRDefault="00734893" w:rsidP="00734893">
      <w:pPr>
        <w:spacing w:line="360" w:lineRule="auto"/>
        <w:rPr>
          <w:rFonts w:eastAsiaTheme="minorHAnsi"/>
          <w:spacing w:val="-3"/>
          <w:sz w:val="24"/>
          <w:szCs w:val="24"/>
        </w:rPr>
      </w:pPr>
      <w:r w:rsidRPr="00734893">
        <w:rPr>
          <w:rFonts w:eastAsiaTheme="minorHAnsi"/>
          <w:spacing w:val="-3"/>
          <w:sz w:val="24"/>
          <w:szCs w:val="24"/>
        </w:rPr>
        <w:tab/>
      </w:r>
      <w:r w:rsidRPr="00734893">
        <w:rPr>
          <w:rFonts w:eastAsiaTheme="minorHAnsi"/>
          <w:spacing w:val="-3"/>
          <w:sz w:val="24"/>
          <w:szCs w:val="24"/>
        </w:rPr>
        <w:tab/>
        <w:t>The “burden of proof” is composed of two distinct burdens:</w:t>
      </w:r>
      <w:r w:rsidR="005776CD">
        <w:rPr>
          <w:rFonts w:eastAsiaTheme="minorHAnsi"/>
          <w:spacing w:val="-3"/>
          <w:sz w:val="24"/>
          <w:szCs w:val="24"/>
        </w:rPr>
        <w:t xml:space="preserve"> </w:t>
      </w:r>
      <w:r w:rsidRPr="00734893">
        <w:rPr>
          <w:rFonts w:eastAsiaTheme="minorHAnsi"/>
          <w:spacing w:val="-3"/>
          <w:sz w:val="24"/>
          <w:szCs w:val="24"/>
        </w:rPr>
        <w:t xml:space="preserve"> the burden of production and the burden of persuasion.  </w:t>
      </w:r>
      <w:proofErr w:type="gramStart"/>
      <w:r w:rsidRPr="00734893">
        <w:rPr>
          <w:rFonts w:eastAsiaTheme="minorHAnsi"/>
          <w:i/>
          <w:spacing w:val="-3"/>
          <w:sz w:val="24"/>
          <w:szCs w:val="24"/>
        </w:rPr>
        <w:t>Hurley v. Hurley</w:t>
      </w:r>
      <w:r w:rsidRPr="00734893">
        <w:rPr>
          <w:rFonts w:eastAsiaTheme="minorHAnsi"/>
          <w:spacing w:val="-3"/>
          <w:sz w:val="24"/>
          <w:szCs w:val="24"/>
        </w:rPr>
        <w:t xml:space="preserve">, 2000 </w:t>
      </w:r>
      <w:r w:rsidR="00F9425B">
        <w:rPr>
          <w:rFonts w:eastAsiaTheme="minorHAnsi"/>
          <w:spacing w:val="-3"/>
          <w:sz w:val="24"/>
          <w:szCs w:val="24"/>
        </w:rPr>
        <w:t>(</w:t>
      </w:r>
      <w:proofErr w:type="spellStart"/>
      <w:r w:rsidRPr="00734893">
        <w:rPr>
          <w:rFonts w:eastAsiaTheme="minorHAnsi"/>
          <w:spacing w:val="-3"/>
          <w:sz w:val="24"/>
          <w:szCs w:val="24"/>
        </w:rPr>
        <w:t>Pa.Super</w:t>
      </w:r>
      <w:proofErr w:type="spellEnd"/>
      <w:r w:rsidRPr="00734893">
        <w:rPr>
          <w:rFonts w:eastAsiaTheme="minorHAnsi"/>
          <w:spacing w:val="-3"/>
          <w:sz w:val="24"/>
          <w:szCs w:val="24"/>
        </w:rPr>
        <w:t xml:space="preserve">. </w:t>
      </w:r>
      <w:r w:rsidR="00F9425B">
        <w:rPr>
          <w:rFonts w:eastAsiaTheme="minorHAnsi"/>
          <w:spacing w:val="-3"/>
          <w:sz w:val="24"/>
          <w:szCs w:val="24"/>
        </w:rPr>
        <w:t>2000), 754 A.2d 1283</w:t>
      </w:r>
      <w:r w:rsidRPr="00734893">
        <w:rPr>
          <w:rFonts w:eastAsiaTheme="minorHAnsi"/>
          <w:spacing w:val="-3"/>
          <w:sz w:val="24"/>
          <w:szCs w:val="24"/>
        </w:rPr>
        <w:t>.</w:t>
      </w:r>
      <w:proofErr w:type="gramEnd"/>
    </w:p>
    <w:p w:rsidR="00734893" w:rsidRPr="00734893" w:rsidRDefault="00734893" w:rsidP="00734893">
      <w:pPr>
        <w:spacing w:line="360" w:lineRule="auto"/>
        <w:rPr>
          <w:rFonts w:eastAsiaTheme="minorHAnsi"/>
          <w:spacing w:val="-3"/>
          <w:sz w:val="24"/>
          <w:szCs w:val="24"/>
        </w:rPr>
      </w:pPr>
    </w:p>
    <w:p w:rsidR="00734893" w:rsidRPr="00734893" w:rsidRDefault="00734893" w:rsidP="00734893">
      <w:pPr>
        <w:tabs>
          <w:tab w:val="left" w:pos="-1440"/>
          <w:tab w:val="left" w:pos="-720"/>
        </w:tabs>
        <w:suppressAutoHyphens/>
        <w:spacing w:line="360" w:lineRule="auto"/>
        <w:ind w:firstLine="1440"/>
        <w:rPr>
          <w:rFonts w:eastAsiaTheme="minorHAnsi"/>
          <w:spacing w:val="-3"/>
          <w:sz w:val="24"/>
          <w:szCs w:val="24"/>
        </w:rPr>
      </w:pPr>
      <w:r w:rsidRPr="00734893">
        <w:rPr>
          <w:rFonts w:eastAsiaTheme="minorHAnsi"/>
          <w:spacing w:val="-3"/>
          <w:sz w:val="24"/>
          <w:szCs w:val="24"/>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w:t>
      </w:r>
      <w:proofErr w:type="gramStart"/>
      <w:r w:rsidRPr="00734893">
        <w:rPr>
          <w:rFonts w:eastAsiaTheme="minorHAnsi"/>
          <w:spacing w:val="-3"/>
          <w:sz w:val="24"/>
          <w:szCs w:val="24"/>
        </w:rPr>
        <w:t xml:space="preserve">Once the party with the initial burden of production introduces sufficient evidence to make out a </w:t>
      </w:r>
      <w:r w:rsidRPr="00734893">
        <w:rPr>
          <w:rFonts w:eastAsiaTheme="minorHAnsi"/>
          <w:i/>
          <w:spacing w:val="-3"/>
          <w:sz w:val="24"/>
          <w:szCs w:val="24"/>
        </w:rPr>
        <w:t>prima facie</w:t>
      </w:r>
      <w:r w:rsidRPr="00734893">
        <w:rPr>
          <w:rFonts w:eastAsiaTheme="minorHAnsi"/>
          <w:spacing w:val="-3"/>
          <w:sz w:val="24"/>
          <w:szCs w:val="24"/>
        </w:rPr>
        <w:t xml:space="preserve"> case, the burden of production shifts to the opposing party.</w:t>
      </w:r>
      <w:proofErr w:type="gramEnd"/>
      <w:r w:rsidRPr="00734893">
        <w:rPr>
          <w:rFonts w:eastAsiaTheme="minorHAnsi"/>
          <w:spacing w:val="-3"/>
          <w:sz w:val="24"/>
          <w:szCs w:val="24"/>
        </w:rPr>
        <w:t xml:space="preserve">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734893" w:rsidRPr="00734893" w:rsidRDefault="00734893" w:rsidP="00734893">
      <w:pPr>
        <w:spacing w:line="360" w:lineRule="auto"/>
        <w:rPr>
          <w:rFonts w:eastAsiaTheme="minorHAnsi"/>
          <w:sz w:val="24"/>
          <w:szCs w:val="24"/>
        </w:rPr>
      </w:pPr>
    </w:p>
    <w:p w:rsidR="00E57F7D" w:rsidRDefault="00734893" w:rsidP="00734893">
      <w:pPr>
        <w:pStyle w:val="ListParagraph"/>
        <w:spacing w:line="360" w:lineRule="auto"/>
        <w:ind w:left="0" w:firstLine="1440"/>
        <w:rPr>
          <w:sz w:val="24"/>
          <w:szCs w:val="24"/>
        </w:rPr>
      </w:pPr>
      <w:r w:rsidRPr="00734893">
        <w:rPr>
          <w:sz w:val="24"/>
          <w:szCs w:val="24"/>
        </w:rPr>
        <w:t>Here, the Complainant</w:t>
      </w:r>
      <w:r>
        <w:rPr>
          <w:sz w:val="24"/>
          <w:szCs w:val="24"/>
        </w:rPr>
        <w:t xml:space="preserve"> does not believe she should be responsible for the arrearage amassed by her tenant and transferred to her (Complainant) when PECO found foreign load.  I disagree.  The law on foreign load is found at 66 Pa.C.S. § 1529.1</w:t>
      </w:r>
      <w:r w:rsidR="00154D3E">
        <w:rPr>
          <w:sz w:val="24"/>
          <w:szCs w:val="24"/>
        </w:rPr>
        <w:t>(b)</w:t>
      </w:r>
      <w:r>
        <w:rPr>
          <w:sz w:val="24"/>
          <w:szCs w:val="24"/>
        </w:rPr>
        <w:t xml:space="preserve"> and states:</w:t>
      </w:r>
    </w:p>
    <w:p w:rsidR="00E11649" w:rsidRDefault="00E11649" w:rsidP="00E11649">
      <w:pPr>
        <w:pStyle w:val="ListParagraph"/>
        <w:ind w:left="2160" w:right="2160"/>
        <w:rPr>
          <w:sz w:val="24"/>
          <w:szCs w:val="24"/>
        </w:rPr>
      </w:pPr>
    </w:p>
    <w:p w:rsidR="00734893" w:rsidRDefault="00154D3E" w:rsidP="00E11649">
      <w:pPr>
        <w:pStyle w:val="ListParagraph"/>
        <w:ind w:left="2160" w:right="2160"/>
        <w:rPr>
          <w:sz w:val="24"/>
          <w:szCs w:val="24"/>
        </w:rPr>
      </w:pPr>
      <w:r>
        <w:rPr>
          <w:sz w:val="24"/>
          <w:szCs w:val="24"/>
        </w:rPr>
        <w: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payment for the utility services rendered thereunder….66 Pa.C.S. § 1529.1(b).</w:t>
      </w:r>
    </w:p>
    <w:p w:rsidR="00154D3E" w:rsidRDefault="00154D3E" w:rsidP="00154D3E">
      <w:pPr>
        <w:pStyle w:val="ListParagraph"/>
        <w:spacing w:line="360" w:lineRule="auto"/>
        <w:ind w:left="2160" w:right="2160"/>
        <w:rPr>
          <w:sz w:val="24"/>
          <w:szCs w:val="24"/>
        </w:rPr>
      </w:pPr>
    </w:p>
    <w:p w:rsidR="00154D3E" w:rsidRDefault="00154D3E" w:rsidP="00154D3E">
      <w:pPr>
        <w:pStyle w:val="ListParagraph"/>
        <w:spacing w:line="360" w:lineRule="auto"/>
        <w:ind w:left="0" w:firstLine="1440"/>
        <w:rPr>
          <w:sz w:val="24"/>
          <w:szCs w:val="24"/>
        </w:rPr>
      </w:pPr>
      <w:r>
        <w:rPr>
          <w:sz w:val="24"/>
          <w:szCs w:val="24"/>
        </w:rPr>
        <w:t xml:space="preserve">On December 6, 2013, PECO conducted a high bill investigation and found foreign load between the apartments on the first and second floors.  </w:t>
      </w:r>
      <w:proofErr w:type="gramStart"/>
      <w:r>
        <w:rPr>
          <w:sz w:val="24"/>
          <w:szCs w:val="24"/>
        </w:rPr>
        <w:t>PECO Exh.</w:t>
      </w:r>
      <w:proofErr w:type="gramEnd"/>
      <w:r>
        <w:rPr>
          <w:sz w:val="24"/>
          <w:szCs w:val="24"/>
        </w:rPr>
        <w:t xml:space="preserve"> 6.  </w:t>
      </w:r>
      <w:r w:rsidR="00BB38A0">
        <w:rPr>
          <w:sz w:val="24"/>
          <w:szCs w:val="24"/>
        </w:rPr>
        <w:t xml:space="preserve">When PECO tried to turn service off to the first floor, the second floor service was affected, evidencing foreign load.  </w:t>
      </w:r>
      <w:r>
        <w:rPr>
          <w:sz w:val="24"/>
          <w:szCs w:val="24"/>
        </w:rPr>
        <w:t>On December</w:t>
      </w:r>
      <w:r w:rsidR="00E11649">
        <w:rPr>
          <w:sz w:val="24"/>
          <w:szCs w:val="24"/>
        </w:rPr>
        <w:t> </w:t>
      </w:r>
      <w:r>
        <w:rPr>
          <w:sz w:val="24"/>
          <w:szCs w:val="24"/>
        </w:rPr>
        <w:t xml:space="preserve">9, 2013, PECO sent a letter to the Complainant advising her of what they found and that service for the accounts in question would be transferred into her name immediately.  </w:t>
      </w:r>
      <w:proofErr w:type="gramStart"/>
      <w:r>
        <w:rPr>
          <w:sz w:val="24"/>
          <w:szCs w:val="24"/>
        </w:rPr>
        <w:t>PECO Exh.</w:t>
      </w:r>
      <w:proofErr w:type="gramEnd"/>
      <w:r w:rsidR="00AF50EA">
        <w:rPr>
          <w:sz w:val="24"/>
          <w:szCs w:val="24"/>
        </w:rPr>
        <w:t xml:space="preserve"> </w:t>
      </w:r>
      <w:r>
        <w:rPr>
          <w:sz w:val="24"/>
          <w:szCs w:val="24"/>
        </w:rPr>
        <w:t xml:space="preserve">8.  On December 19, 2013, PECO also alerted Michael Massey of the foreign load and the transferring of $1,126.59 to the Complainant’s account.  </w:t>
      </w:r>
      <w:proofErr w:type="gramStart"/>
      <w:r>
        <w:rPr>
          <w:sz w:val="24"/>
          <w:szCs w:val="24"/>
        </w:rPr>
        <w:t>PECO Exh</w:t>
      </w:r>
      <w:r w:rsidR="00AF50EA">
        <w:rPr>
          <w:sz w:val="24"/>
          <w:szCs w:val="24"/>
        </w:rPr>
        <w:t>.</w:t>
      </w:r>
      <w:proofErr w:type="gramEnd"/>
      <w:r>
        <w:rPr>
          <w:sz w:val="24"/>
          <w:szCs w:val="24"/>
        </w:rPr>
        <w:t xml:space="preserve"> 9.</w:t>
      </w:r>
    </w:p>
    <w:p w:rsidR="00C006B5" w:rsidRDefault="00C006B5" w:rsidP="00154D3E">
      <w:pPr>
        <w:pStyle w:val="ListParagraph"/>
        <w:spacing w:line="360" w:lineRule="auto"/>
        <w:ind w:left="0" w:firstLine="1440"/>
        <w:rPr>
          <w:sz w:val="24"/>
          <w:szCs w:val="24"/>
        </w:rPr>
      </w:pPr>
    </w:p>
    <w:p w:rsidR="00154D3E" w:rsidRDefault="00462EFF" w:rsidP="00154D3E">
      <w:pPr>
        <w:pStyle w:val="ListParagraph"/>
        <w:spacing w:line="360" w:lineRule="auto"/>
        <w:ind w:left="0" w:firstLine="1440"/>
        <w:rPr>
          <w:sz w:val="24"/>
          <w:szCs w:val="24"/>
        </w:rPr>
      </w:pPr>
      <w:r>
        <w:rPr>
          <w:sz w:val="24"/>
          <w:szCs w:val="24"/>
        </w:rPr>
        <w:t>PECO Exh</w:t>
      </w:r>
      <w:r w:rsidR="006D54FB">
        <w:rPr>
          <w:sz w:val="24"/>
          <w:szCs w:val="24"/>
        </w:rPr>
        <w:t>ibit</w:t>
      </w:r>
      <w:r>
        <w:rPr>
          <w:sz w:val="24"/>
          <w:szCs w:val="24"/>
        </w:rPr>
        <w:t xml:space="preserve"> 10 shows the new account set up for the Complainant and shows the transferred amount of $1,126.59, plus the regular monthly bills.  The account was never transferred back to Michael Massey </w:t>
      </w:r>
      <w:r w:rsidR="00C006B5">
        <w:rPr>
          <w:sz w:val="24"/>
          <w:szCs w:val="24"/>
        </w:rPr>
        <w:t xml:space="preserve">after the foreign load was corrected, </w:t>
      </w:r>
      <w:r>
        <w:rPr>
          <w:sz w:val="24"/>
          <w:szCs w:val="24"/>
        </w:rPr>
        <w:t xml:space="preserve">because he was evicted.  Therefore, the account stayed open and </w:t>
      </w:r>
      <w:r w:rsidR="00C006B5">
        <w:rPr>
          <w:sz w:val="24"/>
          <w:szCs w:val="24"/>
        </w:rPr>
        <w:t xml:space="preserve">basic </w:t>
      </w:r>
      <w:r>
        <w:rPr>
          <w:sz w:val="24"/>
          <w:szCs w:val="24"/>
        </w:rPr>
        <w:t>monthly charges accrued to the Complainant.</w:t>
      </w:r>
      <w:r w:rsidR="00D74B86">
        <w:rPr>
          <w:sz w:val="24"/>
          <w:szCs w:val="24"/>
        </w:rPr>
        <w:t xml:space="preserve">  All of this is exactly as it should be and is in accordance with the applicable law.</w:t>
      </w:r>
    </w:p>
    <w:p w:rsidR="00D74B86" w:rsidRDefault="00D74B86" w:rsidP="00154D3E">
      <w:pPr>
        <w:pStyle w:val="ListParagraph"/>
        <w:spacing w:line="360" w:lineRule="auto"/>
        <w:ind w:left="0" w:firstLine="1440"/>
        <w:rPr>
          <w:sz w:val="24"/>
          <w:szCs w:val="24"/>
        </w:rPr>
      </w:pPr>
    </w:p>
    <w:p w:rsidR="00D74B86" w:rsidRDefault="00D74B86" w:rsidP="00154D3E">
      <w:pPr>
        <w:pStyle w:val="ListParagraph"/>
        <w:spacing w:line="360" w:lineRule="auto"/>
        <w:ind w:left="0" w:firstLine="1440"/>
        <w:rPr>
          <w:sz w:val="24"/>
          <w:szCs w:val="24"/>
        </w:rPr>
      </w:pPr>
      <w:r>
        <w:rPr>
          <w:sz w:val="24"/>
          <w:szCs w:val="24"/>
        </w:rPr>
        <w:t>The Complainant does not want to pay the bill that was accrued</w:t>
      </w:r>
      <w:r w:rsidR="000E548A">
        <w:rPr>
          <w:sz w:val="24"/>
          <w:szCs w:val="24"/>
        </w:rPr>
        <w:t xml:space="preserve"> by her tenant</w:t>
      </w:r>
      <w:r>
        <w:rPr>
          <w:sz w:val="24"/>
          <w:szCs w:val="24"/>
        </w:rPr>
        <w:t xml:space="preserve"> Michael Massey and that is understandable.  However, her course of action is to bring a </w:t>
      </w:r>
      <w:r w:rsidR="0098458F">
        <w:rPr>
          <w:sz w:val="24"/>
          <w:szCs w:val="24"/>
        </w:rPr>
        <w:t>civil suit before the court of common p</w:t>
      </w:r>
      <w:r w:rsidR="000E548A">
        <w:rPr>
          <w:sz w:val="24"/>
          <w:szCs w:val="24"/>
        </w:rPr>
        <w:t>leas</w:t>
      </w:r>
      <w:r>
        <w:rPr>
          <w:sz w:val="24"/>
          <w:szCs w:val="24"/>
        </w:rPr>
        <w:t xml:space="preserve"> to recover the funds from her tenant.  The issue is not between the Complainant and PECO</w:t>
      </w:r>
      <w:r w:rsidR="000E548A">
        <w:rPr>
          <w:sz w:val="24"/>
          <w:szCs w:val="24"/>
        </w:rPr>
        <w:t xml:space="preserve"> </w:t>
      </w:r>
      <w:r w:rsidR="00AF50EA">
        <w:rPr>
          <w:sz w:val="24"/>
          <w:szCs w:val="24"/>
        </w:rPr>
        <w:t>–</w:t>
      </w:r>
      <w:r>
        <w:rPr>
          <w:sz w:val="24"/>
          <w:szCs w:val="24"/>
        </w:rPr>
        <w:t xml:space="preserve"> but rather between the Complainant and the tenant.  The Commission ha</w:t>
      </w:r>
      <w:r w:rsidR="00AF50EA">
        <w:rPr>
          <w:sz w:val="24"/>
          <w:szCs w:val="24"/>
        </w:rPr>
        <w:t>s</w:t>
      </w:r>
      <w:r>
        <w:rPr>
          <w:sz w:val="24"/>
          <w:szCs w:val="24"/>
        </w:rPr>
        <w:t xml:space="preserve"> no authority to address damages.  The </w:t>
      </w:r>
      <w:proofErr w:type="gramStart"/>
      <w:r w:rsidR="0098458F">
        <w:rPr>
          <w:sz w:val="24"/>
          <w:szCs w:val="24"/>
        </w:rPr>
        <w:t>c</w:t>
      </w:r>
      <w:r>
        <w:rPr>
          <w:sz w:val="24"/>
          <w:szCs w:val="24"/>
        </w:rPr>
        <w:t>ourt</w:t>
      </w:r>
      <w:r w:rsidR="0098458F">
        <w:rPr>
          <w:sz w:val="24"/>
          <w:szCs w:val="24"/>
        </w:rPr>
        <w:t>s of common p</w:t>
      </w:r>
      <w:r>
        <w:rPr>
          <w:sz w:val="24"/>
          <w:szCs w:val="24"/>
        </w:rPr>
        <w:t>leas has</w:t>
      </w:r>
      <w:proofErr w:type="gramEnd"/>
      <w:r>
        <w:rPr>
          <w:sz w:val="24"/>
          <w:szCs w:val="24"/>
        </w:rPr>
        <w:t xml:space="preserve"> that authority.</w:t>
      </w:r>
    </w:p>
    <w:p w:rsidR="000E548A" w:rsidRDefault="000E548A" w:rsidP="00154D3E">
      <w:pPr>
        <w:pStyle w:val="ListParagraph"/>
        <w:spacing w:line="360" w:lineRule="auto"/>
        <w:ind w:left="0" w:firstLine="1440"/>
        <w:rPr>
          <w:sz w:val="24"/>
          <w:szCs w:val="24"/>
        </w:rPr>
      </w:pPr>
    </w:p>
    <w:p w:rsidR="00CB495C" w:rsidRPr="00FF02E6" w:rsidRDefault="000E548A" w:rsidP="000E548A">
      <w:pPr>
        <w:pStyle w:val="ListParagraph"/>
        <w:spacing w:line="360" w:lineRule="auto"/>
        <w:ind w:left="0" w:firstLine="1440"/>
        <w:rPr>
          <w:sz w:val="24"/>
          <w:szCs w:val="24"/>
          <w:u w:val="single"/>
        </w:rPr>
      </w:pPr>
      <w:r>
        <w:rPr>
          <w:sz w:val="24"/>
          <w:szCs w:val="24"/>
        </w:rPr>
        <w:t xml:space="preserve">PECO properly followed the law when finding foreign load and </w:t>
      </w:r>
      <w:r w:rsidR="00C006B5">
        <w:rPr>
          <w:sz w:val="24"/>
          <w:szCs w:val="24"/>
        </w:rPr>
        <w:t xml:space="preserve">transferring the account to the owner (Complainant) therefore, </w:t>
      </w:r>
      <w:r>
        <w:rPr>
          <w:sz w:val="24"/>
          <w:szCs w:val="24"/>
        </w:rPr>
        <w:t>the Complainant’s Formal Complaint must be denied and dismissed for failure to meet her burden of proof.</w:t>
      </w:r>
    </w:p>
    <w:p w:rsidR="00CB495C" w:rsidRPr="00FF02E6" w:rsidRDefault="00CB495C" w:rsidP="0081165E">
      <w:pPr>
        <w:spacing w:line="360" w:lineRule="auto"/>
        <w:jc w:val="center"/>
        <w:rPr>
          <w:sz w:val="24"/>
          <w:szCs w:val="24"/>
          <w:u w:val="single"/>
        </w:rPr>
      </w:pPr>
    </w:p>
    <w:p w:rsidR="00CB495C" w:rsidRDefault="00CB495C" w:rsidP="0081165E">
      <w:pPr>
        <w:spacing w:line="360" w:lineRule="auto"/>
        <w:jc w:val="center"/>
        <w:rPr>
          <w:sz w:val="24"/>
          <w:szCs w:val="24"/>
          <w:u w:val="single"/>
        </w:rPr>
      </w:pPr>
      <w:r w:rsidRPr="00FF02E6">
        <w:rPr>
          <w:sz w:val="24"/>
          <w:szCs w:val="24"/>
          <w:u w:val="single"/>
        </w:rPr>
        <w:t>CONCLUSIONS OF LAW</w:t>
      </w:r>
    </w:p>
    <w:p w:rsidR="000E548A" w:rsidRPr="00FF02E6" w:rsidRDefault="000E548A" w:rsidP="0081165E">
      <w:pPr>
        <w:spacing w:line="360" w:lineRule="auto"/>
        <w:jc w:val="center"/>
        <w:rPr>
          <w:sz w:val="24"/>
          <w:szCs w:val="24"/>
          <w:u w:val="single"/>
        </w:rPr>
      </w:pPr>
    </w:p>
    <w:p w:rsidR="000E548A" w:rsidRDefault="000E548A" w:rsidP="000E548A">
      <w:pPr>
        <w:pStyle w:val="ListParagraph"/>
        <w:numPr>
          <w:ilvl w:val="0"/>
          <w:numId w:val="32"/>
        </w:numPr>
        <w:spacing w:line="360" w:lineRule="auto"/>
        <w:ind w:left="0" w:firstLine="1440"/>
        <w:rPr>
          <w:rFonts w:eastAsiaTheme="minorHAnsi"/>
          <w:sz w:val="24"/>
          <w:szCs w:val="24"/>
        </w:rPr>
      </w:pPr>
      <w:r w:rsidRPr="000E548A">
        <w:rPr>
          <w:rFonts w:eastAsiaTheme="minorHAnsi"/>
          <w:sz w:val="24"/>
          <w:szCs w:val="24"/>
        </w:rPr>
        <w:t xml:space="preserve">The party seeking affirmative relief from the Commission bears the burden of proof.  </w:t>
      </w:r>
      <w:proofErr w:type="gramStart"/>
      <w:r w:rsidRPr="000E548A">
        <w:rPr>
          <w:rFonts w:eastAsiaTheme="minorHAnsi"/>
          <w:sz w:val="24"/>
          <w:szCs w:val="24"/>
        </w:rPr>
        <w:t>66 Pa.C.S.</w:t>
      </w:r>
      <w:proofErr w:type="gramEnd"/>
      <w:r w:rsidRPr="000E548A">
        <w:rPr>
          <w:rFonts w:eastAsiaTheme="minorHAnsi"/>
          <w:sz w:val="24"/>
          <w:szCs w:val="24"/>
        </w:rPr>
        <w:t xml:space="preserve"> § 332(a).  </w:t>
      </w:r>
    </w:p>
    <w:p w:rsidR="000E548A" w:rsidRDefault="000E548A" w:rsidP="000E548A">
      <w:pPr>
        <w:pStyle w:val="ListParagraph"/>
        <w:spacing w:line="360" w:lineRule="auto"/>
        <w:ind w:left="1440"/>
        <w:rPr>
          <w:rFonts w:eastAsiaTheme="minorHAnsi"/>
          <w:sz w:val="24"/>
          <w:szCs w:val="24"/>
        </w:rPr>
      </w:pPr>
    </w:p>
    <w:p w:rsidR="000E548A" w:rsidRDefault="000E548A" w:rsidP="000E548A">
      <w:pPr>
        <w:pStyle w:val="ListParagraph"/>
        <w:numPr>
          <w:ilvl w:val="0"/>
          <w:numId w:val="32"/>
        </w:numPr>
        <w:spacing w:line="360" w:lineRule="auto"/>
        <w:ind w:left="0" w:firstLine="1440"/>
        <w:rPr>
          <w:rFonts w:eastAsiaTheme="minorHAnsi"/>
          <w:sz w:val="24"/>
          <w:szCs w:val="24"/>
        </w:rPr>
      </w:pPr>
      <w:r w:rsidRPr="000E548A">
        <w:rPr>
          <w:rFonts w:eastAsiaTheme="minorHAnsi"/>
          <w:sz w:val="24"/>
          <w:szCs w:val="24"/>
        </w:rPr>
        <w:t xml:space="preserve">As a matter of law, a complainant must show that the named utility is responsible or accountable for the problem described in the Complaint in order to prevail.  </w:t>
      </w:r>
      <w:r w:rsidRPr="000E548A">
        <w:rPr>
          <w:rFonts w:eastAsiaTheme="minorHAnsi"/>
          <w:i/>
          <w:sz w:val="24"/>
          <w:szCs w:val="24"/>
        </w:rPr>
        <w:t>Patterson v. Bell Tel. Co. of PA</w:t>
      </w:r>
      <w:r w:rsidRPr="000E548A">
        <w:rPr>
          <w:rFonts w:eastAsiaTheme="minorHAnsi"/>
          <w:sz w:val="24"/>
          <w:szCs w:val="24"/>
        </w:rPr>
        <w:t xml:space="preserve">, 72 Pa. PUC 196 (1990); </w:t>
      </w:r>
      <w:r w:rsidRPr="000E548A">
        <w:rPr>
          <w:rFonts w:eastAsiaTheme="minorHAnsi"/>
          <w:i/>
          <w:sz w:val="24"/>
          <w:szCs w:val="24"/>
        </w:rPr>
        <w:t xml:space="preserve">Feinstein v. </w:t>
      </w:r>
      <w:proofErr w:type="spellStart"/>
      <w:r w:rsidRPr="000E548A">
        <w:rPr>
          <w:rFonts w:eastAsiaTheme="minorHAnsi"/>
          <w:i/>
          <w:sz w:val="24"/>
          <w:szCs w:val="24"/>
        </w:rPr>
        <w:t>Phila</w:t>
      </w:r>
      <w:proofErr w:type="spellEnd"/>
      <w:r w:rsidRPr="000E548A">
        <w:rPr>
          <w:rFonts w:eastAsiaTheme="minorHAnsi"/>
          <w:i/>
          <w:sz w:val="24"/>
          <w:szCs w:val="24"/>
        </w:rPr>
        <w:t>. Suburban Water Co.</w:t>
      </w:r>
      <w:r w:rsidRPr="000E548A">
        <w:rPr>
          <w:rFonts w:eastAsiaTheme="minorHAnsi"/>
          <w:sz w:val="24"/>
          <w:szCs w:val="24"/>
        </w:rPr>
        <w:t xml:space="preserve">, 50 Pa. PUC 300 (1976).  </w:t>
      </w:r>
    </w:p>
    <w:p w:rsidR="000E548A" w:rsidRPr="000E548A" w:rsidRDefault="000E548A" w:rsidP="000E548A">
      <w:pPr>
        <w:spacing w:line="360" w:lineRule="auto"/>
        <w:rPr>
          <w:rFonts w:eastAsiaTheme="minorHAnsi"/>
          <w:sz w:val="24"/>
          <w:szCs w:val="24"/>
        </w:rPr>
      </w:pPr>
    </w:p>
    <w:p w:rsidR="00376EEC" w:rsidRDefault="000E548A" w:rsidP="000E548A">
      <w:pPr>
        <w:pStyle w:val="ListParagraph"/>
        <w:numPr>
          <w:ilvl w:val="0"/>
          <w:numId w:val="32"/>
        </w:numPr>
        <w:spacing w:line="360" w:lineRule="auto"/>
        <w:ind w:left="0" w:firstLine="1440"/>
        <w:rPr>
          <w:rFonts w:eastAsiaTheme="minorHAnsi"/>
          <w:sz w:val="24"/>
          <w:szCs w:val="24"/>
        </w:rPr>
      </w:pPr>
      <w:r w:rsidRPr="000E548A">
        <w:rPr>
          <w:rFonts w:eastAsiaTheme="minorHAnsi"/>
          <w:sz w:val="24"/>
          <w:szCs w:val="24"/>
        </w:rPr>
        <w:t xml:space="preserve">This must be shown by a preponderance of the evidence.  </w:t>
      </w:r>
      <w:r w:rsidRPr="000E548A">
        <w:rPr>
          <w:rFonts w:eastAsiaTheme="minorHAnsi"/>
          <w:i/>
          <w:sz w:val="24"/>
          <w:szCs w:val="24"/>
        </w:rPr>
        <w:t>Samuel J. Lansberry, Inc. v. Pa. Pub. Util. Comm’n,</w:t>
      </w:r>
      <w:r w:rsidRPr="000E548A">
        <w:rPr>
          <w:rFonts w:eastAsiaTheme="minorHAnsi"/>
          <w:sz w:val="24"/>
          <w:szCs w:val="24"/>
        </w:rPr>
        <w:t xml:space="preserve"> 578 A.2d 600 (1990), </w:t>
      </w:r>
      <w:r w:rsidRPr="000E548A">
        <w:rPr>
          <w:rFonts w:eastAsiaTheme="minorHAnsi"/>
          <w:i/>
          <w:sz w:val="24"/>
          <w:szCs w:val="24"/>
        </w:rPr>
        <w:t xml:space="preserve">alloc. </w:t>
      </w:r>
      <w:proofErr w:type="gramStart"/>
      <w:r w:rsidRPr="000E548A">
        <w:rPr>
          <w:rFonts w:eastAsiaTheme="minorHAnsi"/>
          <w:i/>
          <w:sz w:val="24"/>
          <w:szCs w:val="24"/>
        </w:rPr>
        <w:t>denied</w:t>
      </w:r>
      <w:proofErr w:type="gramEnd"/>
      <w:r w:rsidRPr="000E548A">
        <w:rPr>
          <w:rFonts w:eastAsiaTheme="minorHAnsi"/>
          <w:sz w:val="24"/>
          <w:szCs w:val="24"/>
        </w:rPr>
        <w:t xml:space="preserve">, 602 A.2d 863 (1992). </w:t>
      </w:r>
    </w:p>
    <w:p w:rsidR="000E548A" w:rsidRDefault="000E548A" w:rsidP="00376EEC">
      <w:pPr>
        <w:pStyle w:val="ListParagraph"/>
        <w:spacing w:line="360" w:lineRule="auto"/>
        <w:ind w:left="1440"/>
        <w:rPr>
          <w:rFonts w:eastAsiaTheme="minorHAnsi"/>
          <w:sz w:val="24"/>
          <w:szCs w:val="24"/>
        </w:rPr>
      </w:pPr>
      <w:r w:rsidRPr="000E548A">
        <w:rPr>
          <w:rFonts w:eastAsiaTheme="minorHAnsi"/>
          <w:sz w:val="24"/>
          <w:szCs w:val="24"/>
        </w:rPr>
        <w:t xml:space="preserve"> </w:t>
      </w:r>
    </w:p>
    <w:p w:rsidR="000E548A" w:rsidRPr="000E548A" w:rsidRDefault="000E548A" w:rsidP="000E548A">
      <w:pPr>
        <w:pStyle w:val="ListParagraph"/>
        <w:numPr>
          <w:ilvl w:val="0"/>
          <w:numId w:val="32"/>
        </w:numPr>
        <w:spacing w:line="360" w:lineRule="auto"/>
        <w:ind w:left="0" w:firstLine="1440"/>
        <w:rPr>
          <w:rFonts w:eastAsiaTheme="minorHAnsi"/>
          <w:sz w:val="24"/>
          <w:szCs w:val="24"/>
        </w:rPr>
      </w:pPr>
      <w:r w:rsidRPr="000E548A">
        <w:rPr>
          <w:rFonts w:eastAsiaTheme="minorHAnsi"/>
          <w:sz w:val="24"/>
          <w:szCs w:val="24"/>
        </w:rPr>
        <w:t xml:space="preserve">A preponderance of evidence is that which is more convincing, by even the smallest amount, than that presented by the other party.  </w:t>
      </w:r>
      <w:r w:rsidRPr="000E548A">
        <w:rPr>
          <w:rFonts w:eastAsiaTheme="minorHAnsi"/>
          <w:i/>
          <w:sz w:val="24"/>
          <w:szCs w:val="24"/>
        </w:rPr>
        <w:t>Se-Ling Hosiery v. Margulies</w:t>
      </w:r>
      <w:r w:rsidRPr="000E548A">
        <w:rPr>
          <w:rFonts w:eastAsiaTheme="minorHAnsi"/>
          <w:sz w:val="24"/>
          <w:szCs w:val="24"/>
        </w:rPr>
        <w:t>, 70 A.2d 854 (1950).</w:t>
      </w:r>
    </w:p>
    <w:p w:rsidR="000E548A" w:rsidRDefault="000E548A" w:rsidP="000E548A">
      <w:pPr>
        <w:pStyle w:val="ListParagraph"/>
        <w:spacing w:line="360" w:lineRule="auto"/>
        <w:ind w:left="1440"/>
        <w:rPr>
          <w:rFonts w:eastAsiaTheme="minorHAnsi"/>
          <w:spacing w:val="-3"/>
          <w:sz w:val="24"/>
          <w:szCs w:val="24"/>
        </w:rPr>
      </w:pPr>
    </w:p>
    <w:p w:rsidR="000E548A" w:rsidRDefault="000E548A" w:rsidP="000E548A">
      <w:pPr>
        <w:pStyle w:val="ListParagraph"/>
        <w:numPr>
          <w:ilvl w:val="0"/>
          <w:numId w:val="32"/>
        </w:numPr>
        <w:spacing w:line="360" w:lineRule="auto"/>
        <w:ind w:left="0" w:firstLine="1440"/>
        <w:rPr>
          <w:rFonts w:eastAsiaTheme="minorHAnsi"/>
          <w:spacing w:val="-3"/>
          <w:sz w:val="24"/>
          <w:szCs w:val="24"/>
        </w:rPr>
      </w:pPr>
      <w:r>
        <w:rPr>
          <w:rFonts w:eastAsiaTheme="minorHAnsi"/>
          <w:spacing w:val="-3"/>
          <w:sz w:val="24"/>
          <w:szCs w:val="24"/>
        </w:rPr>
        <w:t>An</w:t>
      </w:r>
      <w:r w:rsidRPr="000E548A">
        <w:rPr>
          <w:rFonts w:eastAsiaTheme="minorHAnsi"/>
          <w:spacing w:val="-3"/>
          <w:sz w:val="24"/>
          <w:szCs w:val="24"/>
        </w:rPr>
        <w:t xml:space="preserve">y finding of fact necessary to support the Commission’s adjudication must be based upon substantial evidence.  </w:t>
      </w:r>
      <w:r w:rsidRPr="000E548A">
        <w:rPr>
          <w:rFonts w:eastAsiaTheme="minorHAnsi"/>
          <w:i/>
          <w:spacing w:val="-3"/>
          <w:sz w:val="24"/>
          <w:szCs w:val="24"/>
        </w:rPr>
        <w:t>Mill v. Pa. Pub. Util. Comm’n</w:t>
      </w:r>
      <w:r w:rsidRPr="000E548A">
        <w:rPr>
          <w:rFonts w:eastAsiaTheme="minorHAnsi"/>
          <w:spacing w:val="-3"/>
          <w:sz w:val="24"/>
          <w:szCs w:val="24"/>
        </w:rPr>
        <w:t xml:space="preserve">, 447 A.2d 1100 (Pa. Cmwlth. 1982); </w:t>
      </w:r>
      <w:r w:rsidRPr="000E548A">
        <w:rPr>
          <w:rFonts w:eastAsiaTheme="minorHAnsi"/>
          <w:i/>
          <w:spacing w:val="-3"/>
          <w:sz w:val="24"/>
          <w:szCs w:val="24"/>
        </w:rPr>
        <w:t>Edan Transportation Corp. v. Pa. Pub. Util. Comm’n,</w:t>
      </w:r>
      <w:r w:rsidRPr="000E548A">
        <w:rPr>
          <w:rFonts w:eastAsiaTheme="minorHAnsi"/>
          <w:spacing w:val="-3"/>
          <w:sz w:val="24"/>
          <w:szCs w:val="24"/>
        </w:rPr>
        <w:t xml:space="preserve"> 623 A.2d 6 (</w:t>
      </w:r>
      <w:proofErr w:type="spellStart"/>
      <w:r w:rsidRPr="000E548A">
        <w:rPr>
          <w:rFonts w:eastAsiaTheme="minorHAnsi"/>
          <w:spacing w:val="-3"/>
          <w:sz w:val="24"/>
          <w:szCs w:val="24"/>
        </w:rPr>
        <w:t>Pa.Cmwlth</w:t>
      </w:r>
      <w:proofErr w:type="spellEnd"/>
      <w:r w:rsidRPr="000E548A">
        <w:rPr>
          <w:rFonts w:eastAsiaTheme="minorHAnsi"/>
          <w:spacing w:val="-3"/>
          <w:sz w:val="24"/>
          <w:szCs w:val="24"/>
        </w:rPr>
        <w:t xml:space="preserve">. 1993), 2 Pa.C.S. § 704.  </w:t>
      </w:r>
    </w:p>
    <w:p w:rsidR="000E548A" w:rsidRDefault="000E548A" w:rsidP="000E548A">
      <w:pPr>
        <w:pStyle w:val="ListParagraph"/>
        <w:spacing w:line="360" w:lineRule="auto"/>
        <w:ind w:left="1440"/>
        <w:rPr>
          <w:rFonts w:eastAsiaTheme="minorHAnsi"/>
          <w:spacing w:val="-3"/>
          <w:sz w:val="24"/>
          <w:szCs w:val="24"/>
        </w:rPr>
      </w:pPr>
    </w:p>
    <w:p w:rsidR="000E548A" w:rsidRPr="000E548A" w:rsidRDefault="000E548A" w:rsidP="000E548A">
      <w:pPr>
        <w:pStyle w:val="ListParagraph"/>
        <w:numPr>
          <w:ilvl w:val="0"/>
          <w:numId w:val="32"/>
        </w:numPr>
        <w:spacing w:line="360" w:lineRule="auto"/>
        <w:ind w:left="0" w:firstLine="1440"/>
        <w:rPr>
          <w:rFonts w:eastAsiaTheme="minorHAnsi"/>
          <w:spacing w:val="-3"/>
          <w:sz w:val="24"/>
          <w:szCs w:val="24"/>
        </w:rPr>
      </w:pPr>
      <w:r w:rsidRPr="000E548A">
        <w:rPr>
          <w:rFonts w:eastAsiaTheme="minorHAnsi"/>
          <w:spacing w:val="-3"/>
          <w:sz w:val="24"/>
          <w:szCs w:val="24"/>
        </w:rPr>
        <w:t xml:space="preserve">More is required than a mere trace of evidence or a suspicion of the existence of a fact sought to be established.  </w:t>
      </w:r>
      <w:r w:rsidRPr="000E548A">
        <w:rPr>
          <w:rFonts w:eastAsiaTheme="minorHAnsi"/>
          <w:i/>
          <w:spacing w:val="-3"/>
          <w:sz w:val="24"/>
          <w:szCs w:val="24"/>
        </w:rPr>
        <w:t>Norfolk and Western Ry. v. Pa. Pub. Util. Comm’n</w:t>
      </w:r>
      <w:r w:rsidRPr="000E548A">
        <w:rPr>
          <w:rFonts w:eastAsiaTheme="minorHAnsi"/>
          <w:spacing w:val="-3"/>
          <w:sz w:val="24"/>
          <w:szCs w:val="24"/>
        </w:rPr>
        <w:t xml:space="preserve">, 489 Pa. 109, 413 A.2d 1037 (1980); </w:t>
      </w:r>
      <w:r w:rsidRPr="000E548A">
        <w:rPr>
          <w:rFonts w:eastAsiaTheme="minorHAnsi"/>
          <w:i/>
          <w:spacing w:val="-3"/>
          <w:sz w:val="24"/>
          <w:szCs w:val="24"/>
        </w:rPr>
        <w:t>Erie Resistor Corp. v. Unemployment Compensation Bd. of Review</w:t>
      </w:r>
      <w:r w:rsidRPr="000E548A">
        <w:rPr>
          <w:rFonts w:eastAsiaTheme="minorHAnsi"/>
          <w:spacing w:val="-3"/>
          <w:sz w:val="24"/>
          <w:szCs w:val="24"/>
        </w:rPr>
        <w:t>, 166 A.2d 96 (</w:t>
      </w:r>
      <w:proofErr w:type="spellStart"/>
      <w:r w:rsidRPr="000E548A">
        <w:rPr>
          <w:rFonts w:eastAsiaTheme="minorHAnsi"/>
          <w:spacing w:val="-3"/>
          <w:sz w:val="24"/>
          <w:szCs w:val="24"/>
        </w:rPr>
        <w:t>Pa.Super</w:t>
      </w:r>
      <w:proofErr w:type="spellEnd"/>
      <w:r w:rsidRPr="000E548A">
        <w:rPr>
          <w:rFonts w:eastAsiaTheme="minorHAnsi"/>
          <w:spacing w:val="-3"/>
          <w:sz w:val="24"/>
          <w:szCs w:val="24"/>
        </w:rPr>
        <w:t xml:space="preserve">. 1960); </w:t>
      </w:r>
      <w:r w:rsidRPr="000E548A">
        <w:rPr>
          <w:rFonts w:eastAsiaTheme="minorHAnsi"/>
          <w:i/>
          <w:spacing w:val="-3"/>
          <w:sz w:val="24"/>
          <w:szCs w:val="24"/>
        </w:rPr>
        <w:t xml:space="preserve">Murphy v. Commonwealth, Dep’t. </w:t>
      </w:r>
      <w:proofErr w:type="gramStart"/>
      <w:r w:rsidRPr="000E548A">
        <w:rPr>
          <w:rFonts w:eastAsiaTheme="minorHAnsi"/>
          <w:i/>
          <w:spacing w:val="-3"/>
          <w:sz w:val="24"/>
          <w:szCs w:val="24"/>
        </w:rPr>
        <w:t>of</w:t>
      </w:r>
      <w:proofErr w:type="gramEnd"/>
      <w:r w:rsidRPr="000E548A">
        <w:rPr>
          <w:rFonts w:eastAsiaTheme="minorHAnsi"/>
          <w:i/>
          <w:spacing w:val="-3"/>
          <w:sz w:val="24"/>
          <w:szCs w:val="24"/>
        </w:rPr>
        <w:t xml:space="preserve"> Public Welfare, White Haven Center</w:t>
      </w:r>
      <w:r w:rsidRPr="000E548A">
        <w:rPr>
          <w:rFonts w:eastAsiaTheme="minorHAnsi"/>
          <w:spacing w:val="-3"/>
          <w:sz w:val="24"/>
          <w:szCs w:val="24"/>
        </w:rPr>
        <w:t>, 480 A.2d 382 (</w:t>
      </w:r>
      <w:proofErr w:type="spellStart"/>
      <w:r w:rsidRPr="000E548A">
        <w:rPr>
          <w:rFonts w:eastAsiaTheme="minorHAnsi"/>
          <w:spacing w:val="-3"/>
          <w:sz w:val="24"/>
          <w:szCs w:val="24"/>
        </w:rPr>
        <w:t>Pa.Cmwlth</w:t>
      </w:r>
      <w:proofErr w:type="spellEnd"/>
      <w:r w:rsidRPr="000E548A">
        <w:rPr>
          <w:rFonts w:eastAsiaTheme="minorHAnsi"/>
          <w:spacing w:val="-3"/>
          <w:sz w:val="24"/>
          <w:szCs w:val="24"/>
        </w:rPr>
        <w:t>. 1984).</w:t>
      </w:r>
    </w:p>
    <w:p w:rsidR="000E548A" w:rsidRPr="000E548A" w:rsidRDefault="000E548A" w:rsidP="000E548A">
      <w:pPr>
        <w:pStyle w:val="ListParagraph"/>
        <w:numPr>
          <w:ilvl w:val="0"/>
          <w:numId w:val="32"/>
        </w:numPr>
        <w:spacing w:line="360" w:lineRule="auto"/>
        <w:ind w:left="0" w:firstLine="1440"/>
        <w:rPr>
          <w:rFonts w:eastAsiaTheme="minorHAnsi"/>
          <w:sz w:val="24"/>
          <w:szCs w:val="24"/>
        </w:rPr>
      </w:pPr>
      <w:bookmarkStart w:id="0" w:name="_GoBack"/>
      <w:bookmarkEnd w:id="0"/>
      <w:r>
        <w:rPr>
          <w:rFonts w:eastAsiaTheme="minorHAnsi"/>
          <w:sz w:val="24"/>
          <w:szCs w:val="24"/>
        </w:rPr>
        <w:t>T</w:t>
      </w:r>
      <w:r w:rsidRPr="000E548A">
        <w:rPr>
          <w:rFonts w:eastAsiaTheme="minorHAnsi"/>
          <w:sz w:val="24"/>
          <w:szCs w:val="24"/>
        </w:rPr>
        <w:t xml:space="preserve">he offense must be a violation of the Public Utility Code, the Commission’s regulations, or an outstanding order of the Commission.  </w:t>
      </w:r>
      <w:proofErr w:type="gramStart"/>
      <w:r w:rsidRPr="000E548A">
        <w:rPr>
          <w:rFonts w:eastAsiaTheme="minorHAnsi"/>
          <w:sz w:val="24"/>
          <w:szCs w:val="24"/>
        </w:rPr>
        <w:t>66 Pa.C.S.</w:t>
      </w:r>
      <w:proofErr w:type="gramEnd"/>
      <w:r w:rsidRPr="000E548A">
        <w:rPr>
          <w:rFonts w:eastAsiaTheme="minorHAnsi"/>
          <w:sz w:val="24"/>
          <w:szCs w:val="24"/>
        </w:rPr>
        <w:t xml:space="preserve"> § 701.</w:t>
      </w:r>
    </w:p>
    <w:p w:rsidR="000E548A" w:rsidRDefault="000E548A" w:rsidP="000E548A">
      <w:pPr>
        <w:pStyle w:val="ListParagraph"/>
        <w:spacing w:line="360" w:lineRule="auto"/>
        <w:ind w:left="1440"/>
        <w:rPr>
          <w:sz w:val="24"/>
          <w:szCs w:val="24"/>
        </w:rPr>
      </w:pPr>
    </w:p>
    <w:p w:rsidR="000E548A" w:rsidRDefault="000E548A" w:rsidP="000E548A">
      <w:pPr>
        <w:pStyle w:val="ListParagraph"/>
        <w:numPr>
          <w:ilvl w:val="0"/>
          <w:numId w:val="32"/>
        </w:numPr>
        <w:spacing w:line="360" w:lineRule="auto"/>
        <w:ind w:left="0" w:firstLine="1440"/>
        <w:rPr>
          <w:sz w:val="24"/>
          <w:szCs w:val="24"/>
        </w:rPr>
      </w:pPr>
      <w:r>
        <w:rPr>
          <w:sz w:val="24"/>
          <w:szCs w:val="24"/>
        </w:rPr>
        <w: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payment for the utility services rendered thereunder….66 Pa.C.S. § 1529.1(b).</w:t>
      </w:r>
    </w:p>
    <w:p w:rsidR="000E548A" w:rsidRPr="000E548A" w:rsidRDefault="000E548A" w:rsidP="000E548A">
      <w:pPr>
        <w:pStyle w:val="ListParagraph"/>
        <w:spacing w:line="360" w:lineRule="auto"/>
        <w:ind w:left="1440"/>
        <w:rPr>
          <w:sz w:val="24"/>
          <w:szCs w:val="24"/>
          <w:u w:val="single"/>
        </w:rPr>
      </w:pPr>
    </w:p>
    <w:p w:rsidR="00CB495C" w:rsidRPr="000E548A" w:rsidRDefault="000E548A" w:rsidP="000E548A">
      <w:pPr>
        <w:pStyle w:val="ListParagraph"/>
        <w:numPr>
          <w:ilvl w:val="0"/>
          <w:numId w:val="32"/>
        </w:numPr>
        <w:spacing w:line="360" w:lineRule="auto"/>
        <w:ind w:left="0" w:firstLine="1440"/>
        <w:rPr>
          <w:sz w:val="24"/>
          <w:szCs w:val="24"/>
          <w:u w:val="single"/>
        </w:rPr>
      </w:pPr>
      <w:r>
        <w:rPr>
          <w:sz w:val="24"/>
          <w:szCs w:val="24"/>
        </w:rPr>
        <w:t xml:space="preserve">PECO followed the law by putting the account in the Complainant’s name.  </w:t>
      </w:r>
      <w:proofErr w:type="gramStart"/>
      <w:r>
        <w:rPr>
          <w:sz w:val="24"/>
          <w:szCs w:val="24"/>
        </w:rPr>
        <w:t>66 Pa.C.S.</w:t>
      </w:r>
      <w:proofErr w:type="gramEnd"/>
      <w:r>
        <w:rPr>
          <w:sz w:val="24"/>
          <w:szCs w:val="24"/>
        </w:rPr>
        <w:t xml:space="preserve"> § 1529.1(b)</w:t>
      </w:r>
    </w:p>
    <w:p w:rsidR="000E548A" w:rsidRPr="000E548A" w:rsidRDefault="000E548A" w:rsidP="000E548A">
      <w:pPr>
        <w:pStyle w:val="ListParagraph"/>
        <w:spacing w:line="360" w:lineRule="auto"/>
        <w:ind w:left="1440"/>
        <w:rPr>
          <w:sz w:val="24"/>
          <w:szCs w:val="24"/>
          <w:u w:val="single"/>
        </w:rPr>
      </w:pPr>
    </w:p>
    <w:p w:rsidR="000E548A" w:rsidRPr="000E548A" w:rsidRDefault="0098458F" w:rsidP="000E548A">
      <w:pPr>
        <w:pStyle w:val="ListParagraph"/>
        <w:numPr>
          <w:ilvl w:val="0"/>
          <w:numId w:val="32"/>
        </w:numPr>
        <w:spacing w:line="360" w:lineRule="auto"/>
        <w:ind w:left="0" w:firstLine="1440"/>
        <w:rPr>
          <w:sz w:val="24"/>
          <w:szCs w:val="24"/>
          <w:u w:val="single"/>
        </w:rPr>
      </w:pPr>
      <w:r>
        <w:rPr>
          <w:sz w:val="24"/>
          <w:szCs w:val="24"/>
        </w:rPr>
        <w:t xml:space="preserve">The </w:t>
      </w:r>
      <w:proofErr w:type="gramStart"/>
      <w:r>
        <w:rPr>
          <w:sz w:val="24"/>
          <w:szCs w:val="24"/>
        </w:rPr>
        <w:t>c</w:t>
      </w:r>
      <w:r w:rsidR="000E548A">
        <w:rPr>
          <w:sz w:val="24"/>
          <w:szCs w:val="24"/>
        </w:rPr>
        <w:t>ourt</w:t>
      </w:r>
      <w:r>
        <w:rPr>
          <w:sz w:val="24"/>
          <w:szCs w:val="24"/>
        </w:rPr>
        <w:t>s</w:t>
      </w:r>
      <w:r w:rsidR="000E548A">
        <w:rPr>
          <w:sz w:val="24"/>
          <w:szCs w:val="24"/>
        </w:rPr>
        <w:t xml:space="preserve"> of </w:t>
      </w:r>
      <w:r>
        <w:rPr>
          <w:sz w:val="24"/>
          <w:szCs w:val="24"/>
        </w:rPr>
        <w:t>c</w:t>
      </w:r>
      <w:r w:rsidR="000E548A">
        <w:rPr>
          <w:sz w:val="24"/>
          <w:szCs w:val="24"/>
        </w:rPr>
        <w:t xml:space="preserve">ommon </w:t>
      </w:r>
      <w:r>
        <w:rPr>
          <w:sz w:val="24"/>
          <w:szCs w:val="24"/>
        </w:rPr>
        <w:t>p</w:t>
      </w:r>
      <w:r w:rsidR="000E548A">
        <w:rPr>
          <w:sz w:val="24"/>
          <w:szCs w:val="24"/>
        </w:rPr>
        <w:t>leas ha</w:t>
      </w:r>
      <w:r w:rsidR="00AF50EA">
        <w:rPr>
          <w:sz w:val="24"/>
          <w:szCs w:val="24"/>
        </w:rPr>
        <w:t>s</w:t>
      </w:r>
      <w:proofErr w:type="gramEnd"/>
      <w:r w:rsidR="000E548A">
        <w:rPr>
          <w:sz w:val="24"/>
          <w:szCs w:val="24"/>
        </w:rPr>
        <w:t xml:space="preserve"> authority to hear civil suits for damages.</w:t>
      </w:r>
    </w:p>
    <w:p w:rsidR="00CB495C" w:rsidRPr="00FF02E6" w:rsidRDefault="00CB495C" w:rsidP="000E548A">
      <w:pPr>
        <w:spacing w:line="360" w:lineRule="auto"/>
        <w:ind w:firstLine="1440"/>
        <w:jc w:val="center"/>
        <w:rPr>
          <w:sz w:val="24"/>
          <w:szCs w:val="24"/>
          <w:u w:val="single"/>
        </w:rPr>
      </w:pPr>
    </w:p>
    <w:p w:rsidR="00CB495C" w:rsidRDefault="00CB495C" w:rsidP="0081165E">
      <w:pPr>
        <w:spacing w:line="360" w:lineRule="auto"/>
        <w:jc w:val="center"/>
        <w:rPr>
          <w:sz w:val="24"/>
          <w:szCs w:val="24"/>
          <w:u w:val="single"/>
        </w:rPr>
      </w:pPr>
      <w:r w:rsidRPr="00FF02E6">
        <w:rPr>
          <w:sz w:val="24"/>
          <w:szCs w:val="24"/>
          <w:u w:val="single"/>
        </w:rPr>
        <w:t>ORDER</w:t>
      </w:r>
    </w:p>
    <w:p w:rsidR="00FA4C3C" w:rsidRDefault="00FA4C3C" w:rsidP="0081165E">
      <w:pPr>
        <w:spacing w:line="360" w:lineRule="auto"/>
        <w:jc w:val="center"/>
        <w:rPr>
          <w:sz w:val="24"/>
          <w:szCs w:val="24"/>
          <w:u w:val="single"/>
        </w:rPr>
      </w:pPr>
    </w:p>
    <w:p w:rsidR="007B041C" w:rsidRPr="007B041C" w:rsidRDefault="00FA4C3C" w:rsidP="007B041C">
      <w:pPr>
        <w:spacing w:line="360" w:lineRule="auto"/>
        <w:rPr>
          <w:sz w:val="24"/>
          <w:szCs w:val="24"/>
        </w:rPr>
      </w:pPr>
      <w:r>
        <w:rPr>
          <w:sz w:val="24"/>
          <w:szCs w:val="24"/>
        </w:rPr>
        <w:tab/>
      </w:r>
      <w:r>
        <w:rPr>
          <w:sz w:val="24"/>
          <w:szCs w:val="24"/>
        </w:rPr>
        <w:tab/>
      </w:r>
      <w:r w:rsidR="007B041C" w:rsidRPr="007B041C">
        <w:rPr>
          <w:sz w:val="24"/>
          <w:szCs w:val="24"/>
        </w:rPr>
        <w:t>THEREFORE,</w:t>
      </w:r>
    </w:p>
    <w:p w:rsidR="007B041C" w:rsidRPr="00FF02E6" w:rsidRDefault="007B041C" w:rsidP="0081165E">
      <w:pPr>
        <w:spacing w:line="360" w:lineRule="auto"/>
        <w:jc w:val="center"/>
        <w:rPr>
          <w:sz w:val="24"/>
          <w:szCs w:val="24"/>
          <w:u w:val="single"/>
        </w:rPr>
      </w:pPr>
    </w:p>
    <w:p w:rsidR="005C3634" w:rsidRDefault="00FA4C3C" w:rsidP="000E548A">
      <w:pPr>
        <w:spacing w:line="360" w:lineRule="auto"/>
        <w:rPr>
          <w:sz w:val="24"/>
          <w:szCs w:val="24"/>
        </w:rPr>
      </w:pPr>
      <w:r>
        <w:rPr>
          <w:sz w:val="24"/>
          <w:szCs w:val="24"/>
        </w:rPr>
        <w:tab/>
      </w:r>
      <w:r>
        <w:rPr>
          <w:sz w:val="24"/>
          <w:szCs w:val="24"/>
        </w:rPr>
        <w:tab/>
      </w:r>
      <w:r w:rsidR="007B041C">
        <w:rPr>
          <w:sz w:val="24"/>
          <w:szCs w:val="24"/>
        </w:rPr>
        <w:t xml:space="preserve">IT </w:t>
      </w:r>
      <w:r w:rsidR="007B041C" w:rsidRPr="000E548A">
        <w:rPr>
          <w:sz w:val="24"/>
          <w:szCs w:val="24"/>
        </w:rPr>
        <w:t>IS ORDERED</w:t>
      </w:r>
      <w:r w:rsidR="007B041C">
        <w:rPr>
          <w:sz w:val="24"/>
          <w:szCs w:val="24"/>
        </w:rPr>
        <w:t>:</w:t>
      </w:r>
    </w:p>
    <w:p w:rsidR="007B041C" w:rsidRDefault="007B041C" w:rsidP="000E548A">
      <w:pPr>
        <w:spacing w:line="360" w:lineRule="auto"/>
        <w:rPr>
          <w:sz w:val="24"/>
          <w:szCs w:val="24"/>
        </w:rPr>
      </w:pPr>
    </w:p>
    <w:p w:rsidR="000E548A" w:rsidRDefault="000E548A" w:rsidP="000E548A">
      <w:pPr>
        <w:pStyle w:val="ListParagraph"/>
        <w:numPr>
          <w:ilvl w:val="0"/>
          <w:numId w:val="33"/>
        </w:numPr>
        <w:spacing w:line="360" w:lineRule="auto"/>
        <w:ind w:left="0" w:firstLine="1440"/>
        <w:rPr>
          <w:sz w:val="24"/>
          <w:szCs w:val="24"/>
        </w:rPr>
      </w:pPr>
      <w:r w:rsidRPr="000E548A">
        <w:rPr>
          <w:sz w:val="24"/>
          <w:szCs w:val="24"/>
        </w:rPr>
        <w:t>Th</w:t>
      </w:r>
      <w:r>
        <w:rPr>
          <w:sz w:val="24"/>
          <w:szCs w:val="24"/>
        </w:rPr>
        <w:t>at the Formal Complaint of Michele Jones is denied and dismissed.</w:t>
      </w:r>
    </w:p>
    <w:p w:rsidR="007B041C" w:rsidRDefault="007B041C" w:rsidP="007B041C">
      <w:pPr>
        <w:pStyle w:val="ListParagraph"/>
        <w:spacing w:line="360" w:lineRule="auto"/>
        <w:ind w:left="1440"/>
        <w:rPr>
          <w:sz w:val="24"/>
          <w:szCs w:val="24"/>
        </w:rPr>
      </w:pPr>
    </w:p>
    <w:p w:rsidR="000E548A" w:rsidRDefault="000E548A" w:rsidP="000E548A">
      <w:pPr>
        <w:pStyle w:val="ListParagraph"/>
        <w:numPr>
          <w:ilvl w:val="0"/>
          <w:numId w:val="33"/>
        </w:numPr>
        <w:spacing w:line="360" w:lineRule="auto"/>
        <w:ind w:left="0" w:firstLine="1440"/>
        <w:rPr>
          <w:sz w:val="24"/>
          <w:szCs w:val="24"/>
        </w:rPr>
      </w:pPr>
      <w:r>
        <w:rPr>
          <w:sz w:val="24"/>
          <w:szCs w:val="24"/>
        </w:rPr>
        <w:t xml:space="preserve">That PECO </w:t>
      </w:r>
      <w:r w:rsidR="00AF50EA">
        <w:rPr>
          <w:sz w:val="24"/>
          <w:szCs w:val="24"/>
        </w:rPr>
        <w:t xml:space="preserve">Energy Company </w:t>
      </w:r>
      <w:r>
        <w:rPr>
          <w:sz w:val="24"/>
          <w:szCs w:val="24"/>
        </w:rPr>
        <w:t>correctly followed the law at 66 Pa.C.S. § 1529.1(b) by placing the account in the Complainant’s</w:t>
      </w:r>
      <w:r w:rsidR="00C006B5">
        <w:rPr>
          <w:sz w:val="24"/>
          <w:szCs w:val="24"/>
        </w:rPr>
        <w:t xml:space="preserve"> </w:t>
      </w:r>
      <w:r>
        <w:rPr>
          <w:sz w:val="24"/>
          <w:szCs w:val="24"/>
        </w:rPr>
        <w:t>name.</w:t>
      </w:r>
    </w:p>
    <w:p w:rsidR="00F9425B" w:rsidRPr="00F9425B" w:rsidRDefault="00F9425B" w:rsidP="00F9425B">
      <w:pPr>
        <w:pStyle w:val="ListParagraph"/>
        <w:rPr>
          <w:sz w:val="24"/>
          <w:szCs w:val="24"/>
        </w:rPr>
      </w:pPr>
    </w:p>
    <w:p w:rsidR="00F9425B" w:rsidRDefault="00F9425B" w:rsidP="000E548A">
      <w:pPr>
        <w:pStyle w:val="ListParagraph"/>
        <w:numPr>
          <w:ilvl w:val="0"/>
          <w:numId w:val="33"/>
        </w:numPr>
        <w:spacing w:line="360" w:lineRule="auto"/>
        <w:ind w:left="0" w:firstLine="1440"/>
        <w:rPr>
          <w:sz w:val="24"/>
          <w:szCs w:val="24"/>
        </w:rPr>
      </w:pPr>
      <w:r>
        <w:rPr>
          <w:sz w:val="24"/>
          <w:szCs w:val="24"/>
        </w:rPr>
        <w:t>That the Secretary’s Bureau shall mark Docket No. F-2015-2469302 closed.</w:t>
      </w:r>
    </w:p>
    <w:p w:rsidR="00B87338" w:rsidRDefault="00B87338" w:rsidP="00B87338">
      <w:pPr>
        <w:pStyle w:val="ListParagraph"/>
        <w:spacing w:line="360" w:lineRule="auto"/>
        <w:ind w:left="1440"/>
        <w:rPr>
          <w:sz w:val="24"/>
          <w:szCs w:val="24"/>
        </w:rPr>
      </w:pPr>
    </w:p>
    <w:p w:rsidR="00C57C1A" w:rsidRPr="000E548A" w:rsidRDefault="00C57C1A" w:rsidP="00B87338">
      <w:pPr>
        <w:pStyle w:val="ListParagraph"/>
        <w:spacing w:line="360" w:lineRule="auto"/>
        <w:ind w:left="1440"/>
        <w:rPr>
          <w:sz w:val="24"/>
          <w:szCs w:val="24"/>
        </w:rPr>
      </w:pPr>
    </w:p>
    <w:p w:rsidR="00B87338" w:rsidRDefault="005C3634" w:rsidP="00B87338">
      <w:r w:rsidRPr="00B87338">
        <w:rPr>
          <w:sz w:val="24"/>
          <w:szCs w:val="24"/>
        </w:rPr>
        <w:t>Date:</w:t>
      </w:r>
      <w:r w:rsidR="007B041C" w:rsidRPr="00B87338">
        <w:rPr>
          <w:sz w:val="24"/>
          <w:szCs w:val="24"/>
        </w:rPr>
        <w:t xml:space="preserve"> </w:t>
      </w:r>
      <w:r w:rsidR="00C006B5" w:rsidRPr="00B87338">
        <w:rPr>
          <w:sz w:val="24"/>
          <w:szCs w:val="24"/>
        </w:rPr>
        <w:t xml:space="preserve"> </w:t>
      </w:r>
      <w:r w:rsidR="00C006B5">
        <w:rPr>
          <w:sz w:val="24"/>
          <w:szCs w:val="24"/>
          <w:u w:val="single"/>
        </w:rPr>
        <w:t>August 25, 2015</w:t>
      </w:r>
      <w:r w:rsidRPr="00FF02E6">
        <w:rPr>
          <w:sz w:val="24"/>
          <w:szCs w:val="24"/>
        </w:rPr>
        <w:tab/>
      </w:r>
      <w:r w:rsidRPr="00FF02E6">
        <w:rPr>
          <w:sz w:val="24"/>
          <w:szCs w:val="24"/>
        </w:rPr>
        <w:tab/>
      </w:r>
      <w:r w:rsidRPr="00FF02E6">
        <w:rPr>
          <w:sz w:val="24"/>
          <w:szCs w:val="24"/>
        </w:rPr>
        <w:tab/>
      </w:r>
      <w:r w:rsidR="00FF02E6">
        <w:rPr>
          <w:sz w:val="24"/>
          <w:szCs w:val="24"/>
        </w:rPr>
        <w:tab/>
      </w:r>
      <w:r w:rsidR="00B87338" w:rsidRPr="00B87338">
        <w:rPr>
          <w:sz w:val="24"/>
          <w:szCs w:val="24"/>
          <w:u w:val="single"/>
        </w:rPr>
        <w:tab/>
      </w:r>
      <w:r w:rsidR="00B87338" w:rsidRPr="00B87338">
        <w:rPr>
          <w:sz w:val="24"/>
          <w:szCs w:val="24"/>
          <w:u w:val="single"/>
        </w:rPr>
        <w:tab/>
        <w:t>/s/</w:t>
      </w:r>
      <w:r w:rsidR="00B87338" w:rsidRPr="00B87338">
        <w:rPr>
          <w:sz w:val="24"/>
          <w:szCs w:val="24"/>
          <w:u w:val="single"/>
        </w:rPr>
        <w:tab/>
      </w:r>
      <w:r w:rsidR="00B87338" w:rsidRPr="00B87338">
        <w:rPr>
          <w:sz w:val="24"/>
          <w:szCs w:val="24"/>
          <w:u w:val="single"/>
        </w:rPr>
        <w:tab/>
      </w:r>
      <w:r w:rsidR="00B87338" w:rsidRPr="00B87338">
        <w:rPr>
          <w:sz w:val="24"/>
          <w:szCs w:val="24"/>
          <w:u w:val="single"/>
        </w:rPr>
        <w:tab/>
      </w:r>
      <w:r w:rsidR="00B87338">
        <w:rPr>
          <w:u w:val="single"/>
        </w:rPr>
        <w:tab/>
      </w:r>
    </w:p>
    <w:p w:rsidR="005C3634" w:rsidRDefault="005C3634" w:rsidP="00B873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87338">
        <w:rPr>
          <w:sz w:val="24"/>
          <w:szCs w:val="24"/>
        </w:rPr>
        <w:tab/>
      </w:r>
      <w:r>
        <w:rPr>
          <w:sz w:val="24"/>
          <w:szCs w:val="24"/>
        </w:rPr>
        <w:t>Ember S. Jandebeur</w:t>
      </w:r>
    </w:p>
    <w:p w:rsidR="003D101B" w:rsidRDefault="005C3634" w:rsidP="00B873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3D101B" w:rsidSect="00C57C1A">
      <w:footerReference w:type="even" r:id="rId9"/>
      <w:footerReference w:type="defaul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71" w:rsidRDefault="00F07271">
      <w:r>
        <w:separator/>
      </w:r>
    </w:p>
  </w:endnote>
  <w:endnote w:type="continuationSeparator" w:id="0">
    <w:p w:rsidR="00F07271" w:rsidRDefault="00F0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C57C1A">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71" w:rsidRDefault="00F07271">
      <w:r>
        <w:separator/>
      </w:r>
    </w:p>
  </w:footnote>
  <w:footnote w:type="continuationSeparator" w:id="0">
    <w:p w:rsidR="00F07271" w:rsidRDefault="00F07271">
      <w:r>
        <w:continuationSeparator/>
      </w:r>
    </w:p>
  </w:footnote>
  <w:footnote w:id="1">
    <w:p w:rsidR="00F9425B" w:rsidRPr="006A3CAC" w:rsidRDefault="00F9425B">
      <w:pPr>
        <w:pStyle w:val="FootnoteText"/>
      </w:pPr>
      <w:r w:rsidRPr="006A3CAC">
        <w:rPr>
          <w:rStyle w:val="FootnoteReference"/>
        </w:rPr>
        <w:footnoteRef/>
      </w:r>
      <w:r w:rsidRPr="006A3CAC">
        <w:t xml:space="preserve"> </w:t>
      </w:r>
      <w:r w:rsidRPr="006A3CAC">
        <w:rPr>
          <w:color w:val="000000"/>
        </w:rPr>
        <w:t>"Foreign load" exists where tenants have a meter and are direct utility customers and utility service for other tenants or for the landlord is being billed through their meter.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675C55"/>
    <w:multiLevelType w:val="hybridMultilevel"/>
    <w:tmpl w:val="242E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420CAE"/>
    <w:multiLevelType w:val="hybridMultilevel"/>
    <w:tmpl w:val="5CA81D2E"/>
    <w:lvl w:ilvl="0" w:tplc="F8406D3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6A4F3203"/>
    <w:multiLevelType w:val="hybridMultilevel"/>
    <w:tmpl w:val="9428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4601AE"/>
    <w:multiLevelType w:val="hybridMultilevel"/>
    <w:tmpl w:val="1B92EFB6"/>
    <w:lvl w:ilvl="0" w:tplc="A5F89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6"/>
  </w:num>
  <w:num w:numId="3">
    <w:abstractNumId w:val="22"/>
  </w:num>
  <w:num w:numId="4">
    <w:abstractNumId w:val="3"/>
  </w:num>
  <w:num w:numId="5">
    <w:abstractNumId w:val="18"/>
  </w:num>
  <w:num w:numId="6">
    <w:abstractNumId w:val="11"/>
  </w:num>
  <w:num w:numId="7">
    <w:abstractNumId w:val="8"/>
  </w:num>
  <w:num w:numId="8">
    <w:abstractNumId w:val="0"/>
  </w:num>
  <w:num w:numId="9">
    <w:abstractNumId w:val="19"/>
  </w:num>
  <w:num w:numId="10">
    <w:abstractNumId w:val="23"/>
  </w:num>
  <w:num w:numId="11">
    <w:abstractNumId w:val="21"/>
  </w:num>
  <w:num w:numId="12">
    <w:abstractNumId w:val="34"/>
  </w:num>
  <w:num w:numId="13">
    <w:abstractNumId w:val="1"/>
  </w:num>
  <w:num w:numId="14">
    <w:abstractNumId w:val="9"/>
  </w:num>
  <w:num w:numId="15">
    <w:abstractNumId w:val="27"/>
  </w:num>
  <w:num w:numId="16">
    <w:abstractNumId w:val="31"/>
  </w:num>
  <w:num w:numId="17">
    <w:abstractNumId w:val="13"/>
  </w:num>
  <w:num w:numId="18">
    <w:abstractNumId w:val="6"/>
  </w:num>
  <w:num w:numId="19">
    <w:abstractNumId w:val="24"/>
  </w:num>
  <w:num w:numId="20">
    <w:abstractNumId w:val="4"/>
  </w:num>
  <w:num w:numId="21">
    <w:abstractNumId w:val="7"/>
  </w:num>
  <w:num w:numId="22">
    <w:abstractNumId w:val="16"/>
  </w:num>
  <w:num w:numId="23">
    <w:abstractNumId w:val="17"/>
  </w:num>
  <w:num w:numId="24">
    <w:abstractNumId w:val="33"/>
  </w:num>
  <w:num w:numId="25">
    <w:abstractNumId w:val="30"/>
  </w:num>
  <w:num w:numId="26">
    <w:abstractNumId w:val="5"/>
  </w:num>
  <w:num w:numId="27">
    <w:abstractNumId w:val="20"/>
  </w:num>
  <w:num w:numId="28">
    <w:abstractNumId w:val="12"/>
  </w:num>
  <w:num w:numId="29">
    <w:abstractNumId w:val="15"/>
  </w:num>
  <w:num w:numId="30">
    <w:abstractNumId w:val="10"/>
  </w:num>
  <w:num w:numId="31">
    <w:abstractNumId w:val="28"/>
  </w:num>
  <w:num w:numId="32">
    <w:abstractNumId w:val="2"/>
  </w:num>
  <w:num w:numId="33">
    <w:abstractNumId w:val="29"/>
  </w:num>
  <w:num w:numId="34">
    <w:abstractNumId w:val="3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7435"/>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3E9"/>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548A"/>
    <w:rsid w:val="000E6B17"/>
    <w:rsid w:val="000F0833"/>
    <w:rsid w:val="000F1894"/>
    <w:rsid w:val="000F1F62"/>
    <w:rsid w:val="000F2F0A"/>
    <w:rsid w:val="000F6118"/>
    <w:rsid w:val="0010177F"/>
    <w:rsid w:val="001027AA"/>
    <w:rsid w:val="00110C23"/>
    <w:rsid w:val="00111EA9"/>
    <w:rsid w:val="001122A9"/>
    <w:rsid w:val="00112BB4"/>
    <w:rsid w:val="001155B6"/>
    <w:rsid w:val="00116136"/>
    <w:rsid w:val="00125871"/>
    <w:rsid w:val="00126207"/>
    <w:rsid w:val="001312A6"/>
    <w:rsid w:val="00134E8D"/>
    <w:rsid w:val="001404C5"/>
    <w:rsid w:val="00141DF5"/>
    <w:rsid w:val="00143C49"/>
    <w:rsid w:val="00144488"/>
    <w:rsid w:val="00147DEE"/>
    <w:rsid w:val="00152C6B"/>
    <w:rsid w:val="00154D3E"/>
    <w:rsid w:val="0015646C"/>
    <w:rsid w:val="001620CA"/>
    <w:rsid w:val="00162898"/>
    <w:rsid w:val="00176F82"/>
    <w:rsid w:val="0018160C"/>
    <w:rsid w:val="00187B87"/>
    <w:rsid w:val="001930DE"/>
    <w:rsid w:val="00193B6C"/>
    <w:rsid w:val="001A4CC0"/>
    <w:rsid w:val="001A721E"/>
    <w:rsid w:val="001B123C"/>
    <w:rsid w:val="001B29D3"/>
    <w:rsid w:val="001B3235"/>
    <w:rsid w:val="001C20B7"/>
    <w:rsid w:val="001C715B"/>
    <w:rsid w:val="001D3206"/>
    <w:rsid w:val="001D6FCF"/>
    <w:rsid w:val="001D7718"/>
    <w:rsid w:val="001E4FAC"/>
    <w:rsid w:val="001F0787"/>
    <w:rsid w:val="001F08B4"/>
    <w:rsid w:val="001F2116"/>
    <w:rsid w:val="001F3112"/>
    <w:rsid w:val="001F6FC1"/>
    <w:rsid w:val="001F7F73"/>
    <w:rsid w:val="0020095D"/>
    <w:rsid w:val="00213999"/>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22CB"/>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76EEC"/>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C7FD8"/>
    <w:rsid w:val="003D101B"/>
    <w:rsid w:val="003D139F"/>
    <w:rsid w:val="003D15FA"/>
    <w:rsid w:val="003D77FF"/>
    <w:rsid w:val="003D7EC6"/>
    <w:rsid w:val="003E292B"/>
    <w:rsid w:val="003E594B"/>
    <w:rsid w:val="003F155A"/>
    <w:rsid w:val="003F5796"/>
    <w:rsid w:val="003F5965"/>
    <w:rsid w:val="003F69BF"/>
    <w:rsid w:val="00402359"/>
    <w:rsid w:val="004064A8"/>
    <w:rsid w:val="004107FD"/>
    <w:rsid w:val="00417087"/>
    <w:rsid w:val="0042160A"/>
    <w:rsid w:val="0042193A"/>
    <w:rsid w:val="00422E29"/>
    <w:rsid w:val="00424A76"/>
    <w:rsid w:val="004268BB"/>
    <w:rsid w:val="00427E73"/>
    <w:rsid w:val="004312BE"/>
    <w:rsid w:val="00431BEF"/>
    <w:rsid w:val="00441D70"/>
    <w:rsid w:val="00442854"/>
    <w:rsid w:val="00453B16"/>
    <w:rsid w:val="00462EFF"/>
    <w:rsid w:val="0046339D"/>
    <w:rsid w:val="00476C8A"/>
    <w:rsid w:val="00486535"/>
    <w:rsid w:val="00490174"/>
    <w:rsid w:val="004917C1"/>
    <w:rsid w:val="00491C99"/>
    <w:rsid w:val="00495450"/>
    <w:rsid w:val="004957CA"/>
    <w:rsid w:val="00495B88"/>
    <w:rsid w:val="004A1805"/>
    <w:rsid w:val="004A5AD6"/>
    <w:rsid w:val="004C2124"/>
    <w:rsid w:val="004C3EFA"/>
    <w:rsid w:val="004C4E35"/>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5DF7"/>
    <w:rsid w:val="00542107"/>
    <w:rsid w:val="00553DA3"/>
    <w:rsid w:val="00553EEB"/>
    <w:rsid w:val="00564C41"/>
    <w:rsid w:val="0056706A"/>
    <w:rsid w:val="005776CD"/>
    <w:rsid w:val="00582896"/>
    <w:rsid w:val="00584798"/>
    <w:rsid w:val="0059070D"/>
    <w:rsid w:val="00592C86"/>
    <w:rsid w:val="00595685"/>
    <w:rsid w:val="005A087C"/>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97CE9"/>
    <w:rsid w:val="006A21C2"/>
    <w:rsid w:val="006A3B47"/>
    <w:rsid w:val="006A3CAC"/>
    <w:rsid w:val="006A7A0A"/>
    <w:rsid w:val="006C1047"/>
    <w:rsid w:val="006C3226"/>
    <w:rsid w:val="006D4BB7"/>
    <w:rsid w:val="006D54FB"/>
    <w:rsid w:val="006D75BD"/>
    <w:rsid w:val="006E4407"/>
    <w:rsid w:val="006F44F9"/>
    <w:rsid w:val="007015FC"/>
    <w:rsid w:val="007114E7"/>
    <w:rsid w:val="0071588F"/>
    <w:rsid w:val="0072445B"/>
    <w:rsid w:val="0073239A"/>
    <w:rsid w:val="00734893"/>
    <w:rsid w:val="0073727C"/>
    <w:rsid w:val="00744AF3"/>
    <w:rsid w:val="00747E56"/>
    <w:rsid w:val="00751672"/>
    <w:rsid w:val="00755001"/>
    <w:rsid w:val="0075510C"/>
    <w:rsid w:val="00757802"/>
    <w:rsid w:val="00766C8E"/>
    <w:rsid w:val="0077255F"/>
    <w:rsid w:val="00775593"/>
    <w:rsid w:val="00782A08"/>
    <w:rsid w:val="00786153"/>
    <w:rsid w:val="00790EF3"/>
    <w:rsid w:val="00791ABB"/>
    <w:rsid w:val="00792C70"/>
    <w:rsid w:val="007965B0"/>
    <w:rsid w:val="007A49B5"/>
    <w:rsid w:val="007B041C"/>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165E"/>
    <w:rsid w:val="008142EB"/>
    <w:rsid w:val="0081669B"/>
    <w:rsid w:val="0081696C"/>
    <w:rsid w:val="008223E7"/>
    <w:rsid w:val="008228F3"/>
    <w:rsid w:val="00823F91"/>
    <w:rsid w:val="00824683"/>
    <w:rsid w:val="008354C5"/>
    <w:rsid w:val="0083691D"/>
    <w:rsid w:val="00840FD3"/>
    <w:rsid w:val="00841779"/>
    <w:rsid w:val="008506A0"/>
    <w:rsid w:val="00851A4F"/>
    <w:rsid w:val="00854773"/>
    <w:rsid w:val="00861EB2"/>
    <w:rsid w:val="00864B38"/>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C613E"/>
    <w:rsid w:val="008D6D09"/>
    <w:rsid w:val="008D761F"/>
    <w:rsid w:val="008E3BE1"/>
    <w:rsid w:val="008E5A53"/>
    <w:rsid w:val="008F013A"/>
    <w:rsid w:val="008F22F9"/>
    <w:rsid w:val="008F4A38"/>
    <w:rsid w:val="008F554F"/>
    <w:rsid w:val="008F6AC3"/>
    <w:rsid w:val="008F7785"/>
    <w:rsid w:val="009077E3"/>
    <w:rsid w:val="00910EF2"/>
    <w:rsid w:val="00913B17"/>
    <w:rsid w:val="009166DD"/>
    <w:rsid w:val="0091672D"/>
    <w:rsid w:val="00922FE6"/>
    <w:rsid w:val="0093170C"/>
    <w:rsid w:val="009342E4"/>
    <w:rsid w:val="009434E4"/>
    <w:rsid w:val="009445E9"/>
    <w:rsid w:val="00947175"/>
    <w:rsid w:val="00961314"/>
    <w:rsid w:val="009634B4"/>
    <w:rsid w:val="009643E3"/>
    <w:rsid w:val="009649FC"/>
    <w:rsid w:val="00965F82"/>
    <w:rsid w:val="00966FB7"/>
    <w:rsid w:val="0098237A"/>
    <w:rsid w:val="00982B8E"/>
    <w:rsid w:val="009830C8"/>
    <w:rsid w:val="00983B9A"/>
    <w:rsid w:val="0098458F"/>
    <w:rsid w:val="009870EF"/>
    <w:rsid w:val="009877CF"/>
    <w:rsid w:val="00987B98"/>
    <w:rsid w:val="00995E0A"/>
    <w:rsid w:val="009A475D"/>
    <w:rsid w:val="009A5C49"/>
    <w:rsid w:val="009B1C06"/>
    <w:rsid w:val="009B44FC"/>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87516"/>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50EA"/>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338"/>
    <w:rsid w:val="00B87557"/>
    <w:rsid w:val="00B87994"/>
    <w:rsid w:val="00B922CF"/>
    <w:rsid w:val="00B94E3D"/>
    <w:rsid w:val="00BA47D2"/>
    <w:rsid w:val="00BA61F7"/>
    <w:rsid w:val="00BB3104"/>
    <w:rsid w:val="00BB352A"/>
    <w:rsid w:val="00BB38A0"/>
    <w:rsid w:val="00BB7304"/>
    <w:rsid w:val="00BC2D8F"/>
    <w:rsid w:val="00BC2DE6"/>
    <w:rsid w:val="00BC7240"/>
    <w:rsid w:val="00BC7AF5"/>
    <w:rsid w:val="00BD42F1"/>
    <w:rsid w:val="00BE1D82"/>
    <w:rsid w:val="00BE6352"/>
    <w:rsid w:val="00BF5F04"/>
    <w:rsid w:val="00C006B5"/>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57C1A"/>
    <w:rsid w:val="00C61510"/>
    <w:rsid w:val="00C61561"/>
    <w:rsid w:val="00C6634A"/>
    <w:rsid w:val="00C7068E"/>
    <w:rsid w:val="00C73912"/>
    <w:rsid w:val="00C769EE"/>
    <w:rsid w:val="00C86201"/>
    <w:rsid w:val="00C908AD"/>
    <w:rsid w:val="00C920E5"/>
    <w:rsid w:val="00C94BB9"/>
    <w:rsid w:val="00CA1E0E"/>
    <w:rsid w:val="00CA3D3B"/>
    <w:rsid w:val="00CA5BA3"/>
    <w:rsid w:val="00CB0D2B"/>
    <w:rsid w:val="00CB495C"/>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74B86"/>
    <w:rsid w:val="00D8063C"/>
    <w:rsid w:val="00D926F9"/>
    <w:rsid w:val="00D93182"/>
    <w:rsid w:val="00D93786"/>
    <w:rsid w:val="00D961B5"/>
    <w:rsid w:val="00DA7FD6"/>
    <w:rsid w:val="00DB1328"/>
    <w:rsid w:val="00DB7EE0"/>
    <w:rsid w:val="00DD2411"/>
    <w:rsid w:val="00DD3E7F"/>
    <w:rsid w:val="00DE0ECC"/>
    <w:rsid w:val="00DE1193"/>
    <w:rsid w:val="00DE2348"/>
    <w:rsid w:val="00DE3943"/>
    <w:rsid w:val="00DE562E"/>
    <w:rsid w:val="00DE6069"/>
    <w:rsid w:val="00DE6FB0"/>
    <w:rsid w:val="00DE77F8"/>
    <w:rsid w:val="00DF0138"/>
    <w:rsid w:val="00DF294A"/>
    <w:rsid w:val="00E00EAF"/>
    <w:rsid w:val="00E02204"/>
    <w:rsid w:val="00E0236A"/>
    <w:rsid w:val="00E11649"/>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57F7D"/>
    <w:rsid w:val="00E6135C"/>
    <w:rsid w:val="00E659AC"/>
    <w:rsid w:val="00E66725"/>
    <w:rsid w:val="00E67591"/>
    <w:rsid w:val="00E67A2A"/>
    <w:rsid w:val="00E728B0"/>
    <w:rsid w:val="00E75758"/>
    <w:rsid w:val="00E75BC0"/>
    <w:rsid w:val="00E85ECC"/>
    <w:rsid w:val="00E92265"/>
    <w:rsid w:val="00E9292D"/>
    <w:rsid w:val="00EA2B0E"/>
    <w:rsid w:val="00EA319E"/>
    <w:rsid w:val="00EA56F6"/>
    <w:rsid w:val="00EA77CE"/>
    <w:rsid w:val="00EB1948"/>
    <w:rsid w:val="00EB1DAB"/>
    <w:rsid w:val="00EB1EEE"/>
    <w:rsid w:val="00EC15BD"/>
    <w:rsid w:val="00EC38D5"/>
    <w:rsid w:val="00EC41CE"/>
    <w:rsid w:val="00EC477B"/>
    <w:rsid w:val="00ED0F47"/>
    <w:rsid w:val="00EE34BE"/>
    <w:rsid w:val="00EE7E40"/>
    <w:rsid w:val="00EF4AF7"/>
    <w:rsid w:val="00EF6C7F"/>
    <w:rsid w:val="00F07271"/>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4088"/>
    <w:rsid w:val="00F9425B"/>
    <w:rsid w:val="00F95BD7"/>
    <w:rsid w:val="00FA1741"/>
    <w:rsid w:val="00FA2BEA"/>
    <w:rsid w:val="00FA4C3C"/>
    <w:rsid w:val="00FA53B2"/>
    <w:rsid w:val="00FA6242"/>
    <w:rsid w:val="00FA643C"/>
    <w:rsid w:val="00FA7894"/>
    <w:rsid w:val="00FC4DCA"/>
    <w:rsid w:val="00FC4DD1"/>
    <w:rsid w:val="00FD1DCC"/>
    <w:rsid w:val="00FD2E3D"/>
    <w:rsid w:val="00FE51AD"/>
    <w:rsid w:val="00FE5CAF"/>
    <w:rsid w:val="00FE6157"/>
    <w:rsid w:val="00FE74BE"/>
    <w:rsid w:val="00FF02E6"/>
    <w:rsid w:val="00FF0B73"/>
    <w:rsid w:val="00FF17C7"/>
    <w:rsid w:val="00FF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48A"/>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48A"/>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56DE-47FA-43B8-992D-5E4A7777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BEFORE THE</vt:lpstr>
      <vt:lpstr>BEFORE THE</vt:lpstr>
      <vt:lpstr>PENNSYLVANIA PUBLIC UTILITY COMMISSION</vt:lpstr>
      <vt:lpstr>Before</vt:lpstr>
    </vt:vector>
  </TitlesOfParts>
  <Company>Pa Public Utility Commission</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2015-08-25T19:07:00Z</cp:lastPrinted>
  <dcterms:created xsi:type="dcterms:W3CDTF">2015-09-01T15:28:00Z</dcterms:created>
  <dcterms:modified xsi:type="dcterms:W3CDTF">2015-09-01T15:28:00Z</dcterms:modified>
</cp:coreProperties>
</file>