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71A09" w14:textId="77777777" w:rsidR="009304FE" w:rsidRPr="007A3463" w:rsidRDefault="009304FE" w:rsidP="009304FE">
      <w:pPr>
        <w:jc w:val="center"/>
        <w:rPr>
          <w:b/>
          <w:sz w:val="26"/>
          <w:szCs w:val="26"/>
        </w:rPr>
      </w:pPr>
      <w:r w:rsidRPr="007A3463">
        <w:rPr>
          <w:b/>
          <w:sz w:val="26"/>
          <w:szCs w:val="26"/>
        </w:rPr>
        <w:t>PENNSYLVANIA</w:t>
      </w:r>
    </w:p>
    <w:p w14:paraId="165EA0C4" w14:textId="77777777" w:rsidR="009304FE" w:rsidRPr="007A3463" w:rsidRDefault="009304FE" w:rsidP="009304FE">
      <w:pPr>
        <w:jc w:val="center"/>
        <w:rPr>
          <w:b/>
          <w:sz w:val="26"/>
          <w:szCs w:val="26"/>
        </w:rPr>
      </w:pPr>
      <w:r w:rsidRPr="007A3463">
        <w:rPr>
          <w:b/>
          <w:sz w:val="26"/>
          <w:szCs w:val="26"/>
        </w:rPr>
        <w:t>PUBLIC UTILITY COMMISSION</w:t>
      </w:r>
    </w:p>
    <w:p w14:paraId="474A3C58" w14:textId="77777777" w:rsidR="009304FE" w:rsidRPr="007A3463" w:rsidRDefault="009304FE" w:rsidP="009304FE">
      <w:pPr>
        <w:jc w:val="center"/>
        <w:rPr>
          <w:b/>
          <w:sz w:val="26"/>
          <w:szCs w:val="26"/>
        </w:rPr>
      </w:pPr>
      <w:r w:rsidRPr="007A3463">
        <w:rPr>
          <w:b/>
          <w:sz w:val="26"/>
          <w:szCs w:val="26"/>
        </w:rPr>
        <w:t>Harrisburg, PA 17105-3265</w:t>
      </w:r>
    </w:p>
    <w:p w14:paraId="05F9DE34" w14:textId="77777777" w:rsidR="009304FE" w:rsidRPr="007A3463" w:rsidRDefault="009304FE" w:rsidP="009304FE">
      <w:pPr>
        <w:rPr>
          <w:sz w:val="26"/>
          <w:szCs w:val="26"/>
        </w:rPr>
      </w:pPr>
    </w:p>
    <w:p w14:paraId="5DCE2963" w14:textId="77777777" w:rsidR="00B01F47" w:rsidRPr="007A3463" w:rsidRDefault="00B01F47" w:rsidP="009304FE">
      <w:pPr>
        <w:rPr>
          <w:sz w:val="26"/>
          <w:szCs w:val="26"/>
        </w:rPr>
      </w:pPr>
    </w:p>
    <w:p w14:paraId="49169328" w14:textId="4232EAD5" w:rsidR="009304FE" w:rsidRPr="007A3463" w:rsidRDefault="009304FE" w:rsidP="00CB7C08">
      <w:pPr>
        <w:jc w:val="right"/>
        <w:rPr>
          <w:sz w:val="26"/>
          <w:szCs w:val="26"/>
        </w:rPr>
      </w:pPr>
      <w:r w:rsidRPr="007A3463">
        <w:rPr>
          <w:sz w:val="26"/>
          <w:szCs w:val="26"/>
        </w:rPr>
        <w:t xml:space="preserve">Public Meeting held </w:t>
      </w:r>
      <w:r w:rsidR="00F25784">
        <w:rPr>
          <w:sz w:val="26"/>
          <w:szCs w:val="26"/>
        </w:rPr>
        <w:t>August 20</w:t>
      </w:r>
      <w:r w:rsidR="00A00004">
        <w:rPr>
          <w:sz w:val="26"/>
          <w:szCs w:val="26"/>
        </w:rPr>
        <w:t>, 2015</w:t>
      </w:r>
      <w:r w:rsidR="00B01F47" w:rsidRPr="007A3463">
        <w:rPr>
          <w:sz w:val="26"/>
          <w:szCs w:val="26"/>
        </w:rPr>
        <w:t xml:space="preserve"> </w:t>
      </w:r>
    </w:p>
    <w:p w14:paraId="0218375B" w14:textId="77777777" w:rsidR="009304FE" w:rsidRPr="007A3463" w:rsidRDefault="009304FE" w:rsidP="009304FE">
      <w:pPr>
        <w:rPr>
          <w:sz w:val="26"/>
          <w:szCs w:val="26"/>
        </w:rPr>
      </w:pPr>
    </w:p>
    <w:p w14:paraId="76105F05" w14:textId="77777777" w:rsidR="00B01F47" w:rsidRPr="007A3463" w:rsidRDefault="00B01F47" w:rsidP="009304FE">
      <w:pPr>
        <w:rPr>
          <w:sz w:val="26"/>
          <w:szCs w:val="26"/>
        </w:rPr>
      </w:pPr>
    </w:p>
    <w:p w14:paraId="6D1A2F2A" w14:textId="77777777" w:rsidR="009304FE" w:rsidRPr="007A3463" w:rsidRDefault="009304FE" w:rsidP="009304FE">
      <w:pPr>
        <w:rPr>
          <w:sz w:val="26"/>
          <w:szCs w:val="26"/>
        </w:rPr>
      </w:pPr>
      <w:r w:rsidRPr="007A3463">
        <w:rPr>
          <w:sz w:val="26"/>
          <w:szCs w:val="26"/>
        </w:rPr>
        <w:t>Commissioners Present:</w:t>
      </w:r>
    </w:p>
    <w:p w14:paraId="209041B1" w14:textId="77777777" w:rsidR="009304FE" w:rsidRPr="007A3463" w:rsidRDefault="009304FE" w:rsidP="009304FE">
      <w:pPr>
        <w:rPr>
          <w:sz w:val="26"/>
          <w:szCs w:val="26"/>
        </w:rPr>
      </w:pPr>
    </w:p>
    <w:p w14:paraId="5934D846" w14:textId="4ACA5C8B" w:rsidR="009304FE" w:rsidRPr="007A3463" w:rsidRDefault="009304FE" w:rsidP="009304FE">
      <w:pPr>
        <w:rPr>
          <w:sz w:val="26"/>
          <w:szCs w:val="26"/>
        </w:rPr>
      </w:pPr>
      <w:r w:rsidRPr="007A3463">
        <w:rPr>
          <w:sz w:val="26"/>
          <w:szCs w:val="26"/>
        </w:rPr>
        <w:tab/>
      </w:r>
      <w:r w:rsidR="00F25784" w:rsidRPr="004A782C">
        <w:rPr>
          <w:sz w:val="26"/>
          <w:szCs w:val="26"/>
        </w:rPr>
        <w:t>Gladys M. Brown</w:t>
      </w:r>
      <w:r w:rsidRPr="007A3463">
        <w:rPr>
          <w:sz w:val="26"/>
          <w:szCs w:val="26"/>
        </w:rPr>
        <w:t>, Chairman</w:t>
      </w:r>
    </w:p>
    <w:p w14:paraId="5B59DF60" w14:textId="77777777" w:rsidR="009304FE" w:rsidRPr="007A3463" w:rsidRDefault="009304FE" w:rsidP="009304FE">
      <w:pPr>
        <w:rPr>
          <w:sz w:val="26"/>
          <w:szCs w:val="26"/>
        </w:rPr>
      </w:pPr>
      <w:r w:rsidRPr="007A3463">
        <w:rPr>
          <w:sz w:val="26"/>
          <w:szCs w:val="26"/>
        </w:rPr>
        <w:tab/>
      </w:r>
      <w:r w:rsidR="00847CD0" w:rsidRPr="007A3463">
        <w:rPr>
          <w:sz w:val="26"/>
          <w:szCs w:val="26"/>
        </w:rPr>
        <w:t>John F. Coleman, Jr.</w:t>
      </w:r>
      <w:r w:rsidRPr="007A3463">
        <w:rPr>
          <w:sz w:val="26"/>
          <w:szCs w:val="26"/>
        </w:rPr>
        <w:t>, Vice Chairman</w:t>
      </w:r>
    </w:p>
    <w:p w14:paraId="21DB5FEF" w14:textId="34594AC0" w:rsidR="009304FE" w:rsidRPr="007A3463" w:rsidRDefault="001C7F88" w:rsidP="009304FE">
      <w:pPr>
        <w:rPr>
          <w:sz w:val="26"/>
          <w:szCs w:val="26"/>
        </w:rPr>
      </w:pPr>
      <w:r w:rsidRPr="007A3463">
        <w:rPr>
          <w:sz w:val="26"/>
          <w:szCs w:val="26"/>
        </w:rPr>
        <w:tab/>
      </w:r>
      <w:r w:rsidR="00013EBC" w:rsidRPr="007A3463">
        <w:rPr>
          <w:sz w:val="26"/>
        </w:rPr>
        <w:t>Pamela A. Witmer</w:t>
      </w:r>
    </w:p>
    <w:p w14:paraId="77FC298A" w14:textId="7446D3BA" w:rsidR="009304FE" w:rsidRPr="007A3463" w:rsidRDefault="009304FE" w:rsidP="009304FE">
      <w:pPr>
        <w:rPr>
          <w:sz w:val="26"/>
          <w:szCs w:val="26"/>
        </w:rPr>
      </w:pPr>
      <w:r w:rsidRPr="007A3463">
        <w:rPr>
          <w:sz w:val="26"/>
          <w:szCs w:val="26"/>
        </w:rPr>
        <w:tab/>
      </w:r>
      <w:r w:rsidR="007A3463" w:rsidRPr="007A3463">
        <w:rPr>
          <w:sz w:val="26"/>
          <w:szCs w:val="26"/>
        </w:rPr>
        <w:t>James H. Cawley</w:t>
      </w:r>
    </w:p>
    <w:p w14:paraId="1FD28B8B" w14:textId="504D1D68" w:rsidR="009304FE" w:rsidRPr="004A782C" w:rsidRDefault="00AB0F2F" w:rsidP="009304FE">
      <w:pPr>
        <w:rPr>
          <w:sz w:val="26"/>
          <w:szCs w:val="26"/>
        </w:rPr>
      </w:pPr>
      <w:r w:rsidRPr="007A3463">
        <w:tab/>
      </w:r>
      <w:r w:rsidR="00F25784" w:rsidRPr="007A3463">
        <w:rPr>
          <w:sz w:val="26"/>
          <w:szCs w:val="26"/>
        </w:rPr>
        <w:t>Robert F. Powelson</w:t>
      </w:r>
    </w:p>
    <w:p w14:paraId="6B402970" w14:textId="77777777" w:rsidR="00AB0F2F" w:rsidRPr="007A3463" w:rsidRDefault="00AB0F2F" w:rsidP="009304FE"/>
    <w:p w14:paraId="178294A4" w14:textId="77777777" w:rsidR="009304FE" w:rsidRPr="007A3463" w:rsidRDefault="009304FE" w:rsidP="009304FE"/>
    <w:p w14:paraId="078D2116" w14:textId="4A61E70A" w:rsidR="00E050C0" w:rsidRPr="007A3463" w:rsidRDefault="00F25784" w:rsidP="00E050C0">
      <w:pPr>
        <w:tabs>
          <w:tab w:val="left" w:pos="-720"/>
          <w:tab w:val="left" w:pos="0"/>
        </w:tabs>
        <w:suppressAutoHyphens/>
        <w:rPr>
          <w:sz w:val="26"/>
          <w:szCs w:val="26"/>
        </w:rPr>
      </w:pPr>
      <w:r>
        <w:rPr>
          <w:sz w:val="26"/>
          <w:szCs w:val="26"/>
        </w:rPr>
        <w:t xml:space="preserve">Sharon </w:t>
      </w:r>
      <w:proofErr w:type="spellStart"/>
      <w:r>
        <w:rPr>
          <w:sz w:val="26"/>
          <w:szCs w:val="26"/>
        </w:rPr>
        <w:t>Laffey</w:t>
      </w:r>
      <w:proofErr w:type="spellEnd"/>
      <w:r w:rsidR="009E1660" w:rsidRPr="007A3463">
        <w:rPr>
          <w:sz w:val="26"/>
          <w:szCs w:val="26"/>
        </w:rPr>
        <w:tab/>
      </w:r>
      <w:r w:rsidR="009E1660" w:rsidRPr="007A3463">
        <w:rPr>
          <w:sz w:val="26"/>
          <w:szCs w:val="26"/>
        </w:rPr>
        <w:tab/>
      </w:r>
      <w:r w:rsidR="009E1660" w:rsidRPr="007A3463">
        <w:rPr>
          <w:sz w:val="26"/>
          <w:szCs w:val="26"/>
        </w:rPr>
        <w:tab/>
      </w:r>
      <w:r w:rsidR="009E1660" w:rsidRPr="007A3463">
        <w:rPr>
          <w:sz w:val="26"/>
          <w:szCs w:val="26"/>
        </w:rPr>
        <w:tab/>
      </w:r>
      <w:r w:rsidR="009E1660" w:rsidRPr="007A3463">
        <w:rPr>
          <w:sz w:val="26"/>
          <w:szCs w:val="26"/>
        </w:rPr>
        <w:tab/>
      </w:r>
      <w:r w:rsidR="009E1660" w:rsidRPr="007A3463">
        <w:rPr>
          <w:sz w:val="26"/>
          <w:szCs w:val="26"/>
        </w:rPr>
        <w:tab/>
      </w:r>
      <w:r w:rsidR="007A3463" w:rsidRPr="007A3463">
        <w:rPr>
          <w:sz w:val="26"/>
          <w:szCs w:val="26"/>
        </w:rPr>
        <w:tab/>
        <w:t xml:space="preserve">  </w:t>
      </w:r>
      <w:r w:rsidR="00550A92">
        <w:rPr>
          <w:sz w:val="26"/>
          <w:szCs w:val="26"/>
        </w:rPr>
        <w:t xml:space="preserve">   </w:t>
      </w:r>
      <w:r>
        <w:rPr>
          <w:sz w:val="26"/>
          <w:szCs w:val="26"/>
        </w:rPr>
        <w:t>C-2015-2462487</w:t>
      </w:r>
    </w:p>
    <w:p w14:paraId="4C3B03BC" w14:textId="77777777" w:rsidR="00E050C0" w:rsidRPr="007A3463" w:rsidRDefault="00E050C0" w:rsidP="00E050C0">
      <w:pPr>
        <w:tabs>
          <w:tab w:val="left" w:pos="-720"/>
          <w:tab w:val="left" w:pos="0"/>
        </w:tabs>
        <w:suppressAutoHyphens/>
        <w:rPr>
          <w:sz w:val="26"/>
          <w:szCs w:val="26"/>
        </w:rPr>
      </w:pPr>
    </w:p>
    <w:p w14:paraId="0F0B2CB9" w14:textId="77777777" w:rsidR="00E050C0" w:rsidRPr="007A3463" w:rsidRDefault="00E050C0" w:rsidP="00E050C0">
      <w:pPr>
        <w:tabs>
          <w:tab w:val="left" w:pos="-720"/>
          <w:tab w:val="left" w:pos="0"/>
        </w:tabs>
        <w:suppressAutoHyphens/>
        <w:rPr>
          <w:sz w:val="26"/>
          <w:szCs w:val="26"/>
        </w:rPr>
      </w:pPr>
      <w:r w:rsidRPr="007A3463">
        <w:rPr>
          <w:sz w:val="26"/>
          <w:szCs w:val="26"/>
        </w:rPr>
        <w:tab/>
      </w:r>
      <w:proofErr w:type="gramStart"/>
      <w:r w:rsidRPr="007A3463">
        <w:rPr>
          <w:sz w:val="26"/>
          <w:szCs w:val="26"/>
        </w:rPr>
        <w:t>v</w:t>
      </w:r>
      <w:proofErr w:type="gramEnd"/>
      <w:r w:rsidRPr="007A3463">
        <w:rPr>
          <w:sz w:val="26"/>
          <w:szCs w:val="26"/>
        </w:rPr>
        <w:t>.</w:t>
      </w:r>
    </w:p>
    <w:p w14:paraId="3ABF7E7D" w14:textId="77777777" w:rsidR="00E050C0" w:rsidRPr="007A3463" w:rsidRDefault="00E050C0" w:rsidP="00E050C0">
      <w:pPr>
        <w:tabs>
          <w:tab w:val="left" w:pos="-720"/>
          <w:tab w:val="left" w:pos="0"/>
        </w:tabs>
        <w:suppressAutoHyphens/>
        <w:rPr>
          <w:sz w:val="26"/>
          <w:szCs w:val="26"/>
        </w:rPr>
      </w:pPr>
    </w:p>
    <w:p w14:paraId="5F644D9C" w14:textId="15C140FB" w:rsidR="009304FE" w:rsidRPr="007A3463" w:rsidRDefault="00F25784" w:rsidP="00E050C0">
      <w:pPr>
        <w:tabs>
          <w:tab w:val="left" w:pos="-720"/>
          <w:tab w:val="left" w:pos="0"/>
        </w:tabs>
        <w:suppressAutoHyphens/>
        <w:rPr>
          <w:sz w:val="26"/>
          <w:szCs w:val="26"/>
        </w:rPr>
      </w:pPr>
      <w:r>
        <w:rPr>
          <w:sz w:val="26"/>
          <w:szCs w:val="26"/>
        </w:rPr>
        <w:t>Knox Energy Cooperative Association, Inc.</w:t>
      </w:r>
    </w:p>
    <w:p w14:paraId="26024F76" w14:textId="77777777" w:rsidR="009304FE" w:rsidRPr="007A3463" w:rsidRDefault="009304FE" w:rsidP="009304FE">
      <w:pPr>
        <w:rPr>
          <w:sz w:val="26"/>
          <w:szCs w:val="26"/>
        </w:rPr>
      </w:pPr>
    </w:p>
    <w:p w14:paraId="41AF2A06" w14:textId="77777777" w:rsidR="009304FE" w:rsidRPr="007A3463" w:rsidRDefault="009304FE" w:rsidP="009304FE">
      <w:pPr>
        <w:tabs>
          <w:tab w:val="left" w:pos="-720"/>
        </w:tabs>
        <w:suppressAutoHyphens/>
        <w:rPr>
          <w:sz w:val="26"/>
        </w:rPr>
      </w:pPr>
    </w:p>
    <w:p w14:paraId="77EBFEF2" w14:textId="77777777" w:rsidR="009304FE" w:rsidRPr="007A3463" w:rsidRDefault="009304FE" w:rsidP="009304FE">
      <w:pPr>
        <w:tabs>
          <w:tab w:val="center" w:pos="4680"/>
        </w:tabs>
        <w:suppressAutoHyphens/>
        <w:jc w:val="center"/>
        <w:rPr>
          <w:b/>
          <w:sz w:val="26"/>
        </w:rPr>
      </w:pPr>
      <w:r w:rsidRPr="007A3463">
        <w:rPr>
          <w:b/>
          <w:sz w:val="26"/>
        </w:rPr>
        <w:t>OPINION AND ORDER</w:t>
      </w:r>
    </w:p>
    <w:p w14:paraId="33A070CB" w14:textId="77777777" w:rsidR="00CA6BAF" w:rsidRPr="0045502C" w:rsidRDefault="00CA6BAF" w:rsidP="009304FE">
      <w:pPr>
        <w:tabs>
          <w:tab w:val="left" w:pos="-720"/>
        </w:tabs>
        <w:suppressAutoHyphens/>
        <w:spacing w:line="360" w:lineRule="auto"/>
        <w:rPr>
          <w:b/>
          <w:sz w:val="26"/>
          <w:szCs w:val="26"/>
        </w:rPr>
      </w:pPr>
    </w:p>
    <w:p w14:paraId="2D13DE5C" w14:textId="77777777" w:rsidR="009304FE" w:rsidRPr="0045502C" w:rsidRDefault="009304FE" w:rsidP="009304FE">
      <w:pPr>
        <w:tabs>
          <w:tab w:val="left" w:pos="-720"/>
        </w:tabs>
        <w:suppressAutoHyphens/>
        <w:spacing w:line="360" w:lineRule="auto"/>
        <w:rPr>
          <w:sz w:val="26"/>
          <w:szCs w:val="26"/>
        </w:rPr>
      </w:pPr>
      <w:r w:rsidRPr="0045502C">
        <w:rPr>
          <w:b/>
          <w:sz w:val="26"/>
          <w:szCs w:val="26"/>
        </w:rPr>
        <w:t>BY THE COMMISSION:</w:t>
      </w:r>
    </w:p>
    <w:p w14:paraId="6E463541" w14:textId="77777777" w:rsidR="009304FE" w:rsidRPr="0045502C" w:rsidRDefault="009304FE" w:rsidP="009304FE">
      <w:pPr>
        <w:rPr>
          <w:sz w:val="26"/>
          <w:szCs w:val="26"/>
        </w:rPr>
      </w:pPr>
    </w:p>
    <w:p w14:paraId="7C6D3BA3" w14:textId="50238592" w:rsidR="00B10F6A" w:rsidRDefault="00AE655A" w:rsidP="00DE0B22">
      <w:pPr>
        <w:spacing w:line="360" w:lineRule="auto"/>
        <w:rPr>
          <w:sz w:val="26"/>
          <w:szCs w:val="26"/>
        </w:rPr>
      </w:pPr>
      <w:r w:rsidRPr="0045502C">
        <w:rPr>
          <w:sz w:val="26"/>
          <w:szCs w:val="26"/>
        </w:rPr>
        <w:tab/>
      </w:r>
      <w:r w:rsidRPr="0045502C">
        <w:rPr>
          <w:sz w:val="26"/>
          <w:szCs w:val="26"/>
        </w:rPr>
        <w:tab/>
      </w:r>
      <w:r w:rsidR="009304FE" w:rsidRPr="0045502C">
        <w:rPr>
          <w:sz w:val="26"/>
          <w:szCs w:val="26"/>
        </w:rPr>
        <w:t xml:space="preserve">Before the Pennsylvania Public Utility Commission (Commission) for consideration and disposition </w:t>
      </w:r>
      <w:r w:rsidR="00AA3F68" w:rsidRPr="0045502C">
        <w:rPr>
          <w:sz w:val="26"/>
          <w:szCs w:val="26"/>
        </w:rPr>
        <w:t xml:space="preserve">is the Initial Decision (I.D.) of Administrative Law Judge (ALJ) </w:t>
      </w:r>
      <w:r w:rsidR="00F25784">
        <w:rPr>
          <w:sz w:val="26"/>
          <w:szCs w:val="26"/>
        </w:rPr>
        <w:t>Susan D. Colwell</w:t>
      </w:r>
      <w:r w:rsidR="00AA3F68" w:rsidRPr="0045502C">
        <w:rPr>
          <w:sz w:val="26"/>
          <w:szCs w:val="26"/>
        </w:rPr>
        <w:t xml:space="preserve">, issued on </w:t>
      </w:r>
      <w:r w:rsidR="00F25784">
        <w:rPr>
          <w:sz w:val="26"/>
          <w:szCs w:val="26"/>
        </w:rPr>
        <w:t>April 3,</w:t>
      </w:r>
      <w:r w:rsidR="00A00004">
        <w:rPr>
          <w:sz w:val="26"/>
          <w:szCs w:val="26"/>
        </w:rPr>
        <w:t xml:space="preserve"> 2015</w:t>
      </w:r>
      <w:r w:rsidR="00A50430" w:rsidRPr="0045502C">
        <w:rPr>
          <w:sz w:val="26"/>
          <w:szCs w:val="26"/>
        </w:rPr>
        <w:t>,</w:t>
      </w:r>
      <w:r w:rsidR="00B206E5" w:rsidRPr="0045502C">
        <w:rPr>
          <w:sz w:val="26"/>
          <w:szCs w:val="26"/>
        </w:rPr>
        <w:t xml:space="preserve"> in the above-captioned </w:t>
      </w:r>
      <w:r w:rsidR="00DE0B22">
        <w:rPr>
          <w:sz w:val="26"/>
          <w:szCs w:val="26"/>
        </w:rPr>
        <w:t xml:space="preserve">Formal Complaint (Complaint) </w:t>
      </w:r>
      <w:r w:rsidR="00B206E5" w:rsidRPr="0045502C">
        <w:rPr>
          <w:sz w:val="26"/>
          <w:szCs w:val="26"/>
        </w:rPr>
        <w:t xml:space="preserve">proceeding.  </w:t>
      </w:r>
      <w:r w:rsidR="00700E59" w:rsidRPr="0045502C">
        <w:rPr>
          <w:sz w:val="26"/>
          <w:szCs w:val="26"/>
        </w:rPr>
        <w:t xml:space="preserve">Exceptions have not been filed.  </w:t>
      </w:r>
      <w:r w:rsidR="00BE7433" w:rsidRPr="0045502C">
        <w:rPr>
          <w:sz w:val="26"/>
          <w:szCs w:val="26"/>
        </w:rPr>
        <w:t xml:space="preserve">However, we exercised our right to review </w:t>
      </w:r>
      <w:r w:rsidR="008B24E5" w:rsidRPr="0045502C">
        <w:rPr>
          <w:sz w:val="26"/>
          <w:szCs w:val="26"/>
        </w:rPr>
        <w:t>the Initial Decision pursuant to Section 332(h) of the Public Utility Code (Code), 66 Pa. C.S. §</w:t>
      </w:r>
      <w:r w:rsidR="007A3463" w:rsidRPr="0045502C">
        <w:rPr>
          <w:sz w:val="26"/>
          <w:szCs w:val="26"/>
        </w:rPr>
        <w:t> </w:t>
      </w:r>
      <w:r w:rsidR="008B24E5" w:rsidRPr="0045502C">
        <w:rPr>
          <w:sz w:val="26"/>
          <w:szCs w:val="26"/>
        </w:rPr>
        <w:t xml:space="preserve">332(h).  For the reasons stated below, we </w:t>
      </w:r>
      <w:r w:rsidR="009C1908" w:rsidRPr="0045502C">
        <w:rPr>
          <w:sz w:val="26"/>
          <w:szCs w:val="26"/>
        </w:rPr>
        <w:t xml:space="preserve">shall </w:t>
      </w:r>
      <w:r w:rsidR="00B90D1E">
        <w:rPr>
          <w:sz w:val="26"/>
          <w:szCs w:val="26"/>
        </w:rPr>
        <w:t>modify</w:t>
      </w:r>
      <w:r w:rsidR="00306310" w:rsidRPr="0045502C">
        <w:rPr>
          <w:sz w:val="26"/>
          <w:szCs w:val="26"/>
        </w:rPr>
        <w:t xml:space="preserve"> the ALJ’s Initial Decision</w:t>
      </w:r>
      <w:r w:rsidR="00B90D1E">
        <w:rPr>
          <w:sz w:val="26"/>
          <w:szCs w:val="26"/>
        </w:rPr>
        <w:t>,</w:t>
      </w:r>
      <w:r w:rsidR="00F25784">
        <w:rPr>
          <w:sz w:val="26"/>
          <w:szCs w:val="26"/>
        </w:rPr>
        <w:t xml:space="preserve"> remand the matter to the Commission’s Office of Administrative Law Judge (OALJ) for further proceedings</w:t>
      </w:r>
      <w:r w:rsidR="00B90D1E">
        <w:rPr>
          <w:sz w:val="26"/>
          <w:szCs w:val="26"/>
        </w:rPr>
        <w:t>, and refer this matter to the Commission’s Bureau of Investigation and Enforcement (I&amp;E) and the Law Bureau</w:t>
      </w:r>
      <w:r w:rsidR="008D4E6C">
        <w:rPr>
          <w:sz w:val="26"/>
          <w:szCs w:val="26"/>
        </w:rPr>
        <w:t xml:space="preserve">.  </w:t>
      </w:r>
    </w:p>
    <w:p w14:paraId="30F85ED9" w14:textId="77777777" w:rsidR="00C00DDC" w:rsidRDefault="00C00DDC" w:rsidP="00B10F6A">
      <w:pPr>
        <w:spacing w:line="360" w:lineRule="auto"/>
        <w:jc w:val="center"/>
        <w:rPr>
          <w:b/>
          <w:sz w:val="26"/>
          <w:szCs w:val="26"/>
        </w:rPr>
      </w:pPr>
    </w:p>
    <w:p w14:paraId="6169844A" w14:textId="77777777" w:rsidR="009304FE" w:rsidRPr="0045502C" w:rsidRDefault="00F55BED" w:rsidP="00B10F6A">
      <w:pPr>
        <w:spacing w:line="360" w:lineRule="auto"/>
        <w:jc w:val="center"/>
        <w:rPr>
          <w:b/>
          <w:sz w:val="26"/>
          <w:szCs w:val="26"/>
        </w:rPr>
      </w:pPr>
      <w:r w:rsidRPr="0045502C">
        <w:rPr>
          <w:b/>
          <w:sz w:val="26"/>
          <w:szCs w:val="26"/>
        </w:rPr>
        <w:lastRenderedPageBreak/>
        <w:t>History of the Proceeding</w:t>
      </w:r>
    </w:p>
    <w:p w14:paraId="44883B57" w14:textId="77777777" w:rsidR="00A269FC" w:rsidRDefault="00A269FC" w:rsidP="00A269FC">
      <w:pPr>
        <w:spacing w:line="360" w:lineRule="auto"/>
        <w:rPr>
          <w:rFonts w:eastAsiaTheme="minorHAnsi"/>
        </w:rPr>
      </w:pPr>
    </w:p>
    <w:p w14:paraId="05B1B741" w14:textId="391CFC0B" w:rsidR="00A269FC" w:rsidRPr="00A269FC" w:rsidRDefault="00A269FC" w:rsidP="00A269FC">
      <w:pPr>
        <w:spacing w:line="360" w:lineRule="auto"/>
        <w:ind w:firstLine="1440"/>
        <w:rPr>
          <w:rFonts w:eastAsiaTheme="minorHAnsi"/>
          <w:sz w:val="26"/>
          <w:szCs w:val="26"/>
        </w:rPr>
      </w:pPr>
      <w:r w:rsidRPr="00A269FC">
        <w:rPr>
          <w:rFonts w:eastAsiaTheme="minorHAnsi"/>
          <w:sz w:val="26"/>
          <w:szCs w:val="26"/>
        </w:rPr>
        <w:t xml:space="preserve">On </w:t>
      </w:r>
      <w:r w:rsidRPr="00BC589E">
        <w:rPr>
          <w:rFonts w:eastAsiaTheme="minorHAnsi"/>
          <w:sz w:val="26"/>
          <w:szCs w:val="26"/>
        </w:rPr>
        <w:t>December 12, 2014, Shar</w:t>
      </w:r>
      <w:r w:rsidRPr="00A269FC">
        <w:rPr>
          <w:rFonts w:eastAsiaTheme="minorHAnsi"/>
          <w:sz w:val="26"/>
          <w:szCs w:val="26"/>
        </w:rPr>
        <w:t xml:space="preserve">on </w:t>
      </w:r>
      <w:proofErr w:type="spellStart"/>
      <w:r w:rsidRPr="00A269FC">
        <w:rPr>
          <w:rFonts w:eastAsiaTheme="minorHAnsi"/>
          <w:sz w:val="26"/>
          <w:szCs w:val="26"/>
        </w:rPr>
        <w:t>Laffey</w:t>
      </w:r>
      <w:proofErr w:type="spellEnd"/>
      <w:r w:rsidRPr="00A269FC">
        <w:rPr>
          <w:rFonts w:eastAsiaTheme="minorHAnsi"/>
          <w:sz w:val="26"/>
          <w:szCs w:val="26"/>
        </w:rPr>
        <w:t xml:space="preserve"> (Complainant</w:t>
      </w:r>
      <w:r w:rsidRPr="00BC589E">
        <w:rPr>
          <w:rFonts w:eastAsiaTheme="minorHAnsi"/>
          <w:sz w:val="26"/>
          <w:szCs w:val="26"/>
        </w:rPr>
        <w:t xml:space="preserve"> </w:t>
      </w:r>
      <w:r w:rsidR="00BC589E">
        <w:rPr>
          <w:rFonts w:eastAsiaTheme="minorHAnsi"/>
          <w:sz w:val="26"/>
          <w:szCs w:val="26"/>
        </w:rPr>
        <w:t xml:space="preserve">or Ms. </w:t>
      </w:r>
      <w:proofErr w:type="spellStart"/>
      <w:r w:rsidR="00BC589E">
        <w:rPr>
          <w:rFonts w:eastAsiaTheme="minorHAnsi"/>
          <w:sz w:val="26"/>
          <w:szCs w:val="26"/>
        </w:rPr>
        <w:t>Laffey</w:t>
      </w:r>
      <w:proofErr w:type="spellEnd"/>
      <w:r w:rsidRPr="00A269FC">
        <w:rPr>
          <w:rFonts w:eastAsiaTheme="minorHAnsi"/>
          <w:sz w:val="26"/>
          <w:szCs w:val="26"/>
        </w:rPr>
        <w:t xml:space="preserve">) filed a Formal Complaint against Knox Energy Cooperative Association, Inc. (Knox or Respondent). </w:t>
      </w:r>
      <w:r w:rsidR="00BC589E">
        <w:rPr>
          <w:rFonts w:eastAsiaTheme="minorHAnsi"/>
          <w:sz w:val="26"/>
          <w:szCs w:val="26"/>
        </w:rPr>
        <w:t xml:space="preserve">  Ms. </w:t>
      </w:r>
      <w:proofErr w:type="spellStart"/>
      <w:r w:rsidR="00BC589E">
        <w:rPr>
          <w:rFonts w:eastAsiaTheme="minorHAnsi"/>
          <w:sz w:val="26"/>
          <w:szCs w:val="26"/>
        </w:rPr>
        <w:t>Laffey</w:t>
      </w:r>
      <w:proofErr w:type="spellEnd"/>
      <w:r w:rsidR="00BC589E">
        <w:rPr>
          <w:rFonts w:eastAsiaTheme="minorHAnsi"/>
          <w:sz w:val="26"/>
          <w:szCs w:val="26"/>
        </w:rPr>
        <w:t xml:space="preserve"> alleged that </w:t>
      </w:r>
      <w:r w:rsidRPr="00A269FC">
        <w:rPr>
          <w:rFonts w:eastAsiaTheme="minorHAnsi"/>
          <w:sz w:val="26"/>
          <w:szCs w:val="26"/>
        </w:rPr>
        <w:t xml:space="preserve">a portion of the gas line to her residence </w:t>
      </w:r>
      <w:r w:rsidR="00BC589E">
        <w:rPr>
          <w:rFonts w:eastAsiaTheme="minorHAnsi"/>
          <w:sz w:val="26"/>
          <w:szCs w:val="26"/>
        </w:rPr>
        <w:t>wa</w:t>
      </w:r>
      <w:r w:rsidRPr="00A269FC">
        <w:rPr>
          <w:rFonts w:eastAsiaTheme="minorHAnsi"/>
          <w:sz w:val="26"/>
          <w:szCs w:val="26"/>
        </w:rPr>
        <w:t>s</w:t>
      </w:r>
      <w:r w:rsidR="00BC589E">
        <w:rPr>
          <w:rFonts w:eastAsiaTheme="minorHAnsi"/>
          <w:sz w:val="26"/>
          <w:szCs w:val="26"/>
        </w:rPr>
        <w:t xml:space="preserve"> not buried and protruded</w:t>
      </w:r>
      <w:r w:rsidRPr="00A269FC">
        <w:rPr>
          <w:rFonts w:eastAsiaTheme="minorHAnsi"/>
          <w:sz w:val="26"/>
          <w:szCs w:val="26"/>
        </w:rPr>
        <w:t xml:space="preserve"> from the ground</w:t>
      </w:r>
      <w:r w:rsidR="00BC589E">
        <w:rPr>
          <w:rFonts w:eastAsiaTheme="minorHAnsi"/>
          <w:sz w:val="26"/>
          <w:szCs w:val="26"/>
        </w:rPr>
        <w:t xml:space="preserve">, which, </w:t>
      </w:r>
      <w:r w:rsidRPr="00A269FC">
        <w:rPr>
          <w:rFonts w:eastAsiaTheme="minorHAnsi"/>
          <w:sz w:val="26"/>
          <w:szCs w:val="26"/>
        </w:rPr>
        <w:t>she believe</w:t>
      </w:r>
      <w:r w:rsidR="00BC589E">
        <w:rPr>
          <w:rFonts w:eastAsiaTheme="minorHAnsi"/>
          <w:sz w:val="26"/>
          <w:szCs w:val="26"/>
        </w:rPr>
        <w:t>d, created</w:t>
      </w:r>
      <w:r w:rsidRPr="00A269FC">
        <w:rPr>
          <w:rFonts w:eastAsiaTheme="minorHAnsi"/>
          <w:sz w:val="26"/>
          <w:szCs w:val="26"/>
        </w:rPr>
        <w:t xml:space="preserve"> a hazardous condition.  </w:t>
      </w:r>
      <w:r w:rsidR="00BC589E">
        <w:rPr>
          <w:rFonts w:eastAsiaTheme="minorHAnsi"/>
          <w:sz w:val="26"/>
          <w:szCs w:val="26"/>
        </w:rPr>
        <w:t xml:space="preserve">The </w:t>
      </w:r>
      <w:r w:rsidRPr="00A269FC">
        <w:rPr>
          <w:rFonts w:eastAsiaTheme="minorHAnsi"/>
          <w:sz w:val="26"/>
          <w:szCs w:val="26"/>
        </w:rPr>
        <w:t xml:space="preserve">Complainant </w:t>
      </w:r>
      <w:r w:rsidR="00BC589E">
        <w:rPr>
          <w:rFonts w:eastAsiaTheme="minorHAnsi"/>
          <w:sz w:val="26"/>
          <w:szCs w:val="26"/>
        </w:rPr>
        <w:t xml:space="preserve">requested a </w:t>
      </w:r>
      <w:r w:rsidRPr="00A269FC">
        <w:rPr>
          <w:rFonts w:eastAsiaTheme="minorHAnsi"/>
          <w:sz w:val="26"/>
          <w:szCs w:val="26"/>
        </w:rPr>
        <w:t xml:space="preserve">Commission </w:t>
      </w:r>
      <w:r w:rsidR="00BC589E">
        <w:rPr>
          <w:rFonts w:eastAsiaTheme="minorHAnsi"/>
          <w:sz w:val="26"/>
          <w:szCs w:val="26"/>
        </w:rPr>
        <w:t>o</w:t>
      </w:r>
      <w:r w:rsidRPr="00A269FC">
        <w:rPr>
          <w:rFonts w:eastAsiaTheme="minorHAnsi"/>
          <w:sz w:val="26"/>
          <w:szCs w:val="26"/>
        </w:rPr>
        <w:t xml:space="preserve">rder </w:t>
      </w:r>
      <w:r w:rsidR="00BC589E">
        <w:rPr>
          <w:rFonts w:eastAsiaTheme="minorHAnsi"/>
          <w:sz w:val="26"/>
          <w:szCs w:val="26"/>
        </w:rPr>
        <w:t xml:space="preserve">directing the </w:t>
      </w:r>
      <w:r w:rsidRPr="00A269FC">
        <w:rPr>
          <w:rFonts w:eastAsiaTheme="minorHAnsi"/>
          <w:sz w:val="26"/>
          <w:szCs w:val="26"/>
        </w:rPr>
        <w:t xml:space="preserve">Respondent to bury the gas line.  </w:t>
      </w:r>
      <w:r w:rsidR="00BC589E">
        <w:rPr>
          <w:rFonts w:eastAsiaTheme="minorHAnsi"/>
          <w:sz w:val="26"/>
          <w:szCs w:val="26"/>
        </w:rPr>
        <w:t xml:space="preserve">Ms. </w:t>
      </w:r>
      <w:proofErr w:type="spellStart"/>
      <w:r w:rsidR="00BC589E">
        <w:rPr>
          <w:rFonts w:eastAsiaTheme="minorHAnsi"/>
          <w:sz w:val="26"/>
          <w:szCs w:val="26"/>
        </w:rPr>
        <w:t>Laffey</w:t>
      </w:r>
      <w:proofErr w:type="spellEnd"/>
      <w:r w:rsidR="00BC589E">
        <w:rPr>
          <w:rFonts w:eastAsiaTheme="minorHAnsi"/>
          <w:sz w:val="26"/>
          <w:szCs w:val="26"/>
        </w:rPr>
        <w:t xml:space="preserve"> further stated that Knox </w:t>
      </w:r>
      <w:r w:rsidRPr="00A269FC">
        <w:rPr>
          <w:rFonts w:eastAsiaTheme="minorHAnsi"/>
          <w:sz w:val="26"/>
          <w:szCs w:val="26"/>
        </w:rPr>
        <w:t xml:space="preserve">promised </w:t>
      </w:r>
      <w:r w:rsidR="00BC589E">
        <w:rPr>
          <w:rFonts w:eastAsiaTheme="minorHAnsi"/>
          <w:sz w:val="26"/>
          <w:szCs w:val="26"/>
        </w:rPr>
        <w:t xml:space="preserve">to </w:t>
      </w:r>
      <w:r w:rsidRPr="00A269FC">
        <w:rPr>
          <w:rFonts w:eastAsiaTheme="minorHAnsi"/>
          <w:sz w:val="26"/>
          <w:szCs w:val="26"/>
        </w:rPr>
        <w:t xml:space="preserve">bury the gas line in </w:t>
      </w:r>
      <w:r w:rsidR="00BC589E">
        <w:rPr>
          <w:rFonts w:eastAsiaTheme="minorHAnsi"/>
          <w:sz w:val="26"/>
          <w:szCs w:val="26"/>
        </w:rPr>
        <w:t xml:space="preserve">the </w:t>
      </w:r>
      <w:r w:rsidR="00BA688D" w:rsidRPr="00A269FC">
        <w:rPr>
          <w:rFonts w:eastAsiaTheme="minorHAnsi"/>
          <w:sz w:val="26"/>
          <w:szCs w:val="26"/>
        </w:rPr>
        <w:t>spring</w:t>
      </w:r>
      <w:r w:rsidRPr="00A269FC">
        <w:rPr>
          <w:rFonts w:eastAsiaTheme="minorHAnsi"/>
          <w:sz w:val="26"/>
          <w:szCs w:val="26"/>
        </w:rPr>
        <w:t xml:space="preserve"> </w:t>
      </w:r>
      <w:r w:rsidR="00BC589E">
        <w:rPr>
          <w:rFonts w:eastAsiaTheme="minorHAnsi"/>
          <w:sz w:val="26"/>
          <w:szCs w:val="26"/>
        </w:rPr>
        <w:t xml:space="preserve">of </w:t>
      </w:r>
      <w:r w:rsidRPr="00A269FC">
        <w:rPr>
          <w:rFonts w:eastAsiaTheme="minorHAnsi"/>
          <w:sz w:val="26"/>
          <w:szCs w:val="26"/>
        </w:rPr>
        <w:t xml:space="preserve">2014, but </w:t>
      </w:r>
      <w:r w:rsidR="00BC589E">
        <w:rPr>
          <w:rFonts w:eastAsiaTheme="minorHAnsi"/>
          <w:sz w:val="26"/>
          <w:szCs w:val="26"/>
        </w:rPr>
        <w:t xml:space="preserve">as of the date of the Complaint filing had not done so.  </w:t>
      </w:r>
      <w:r w:rsidR="00434DC1">
        <w:rPr>
          <w:rFonts w:eastAsiaTheme="minorHAnsi"/>
          <w:sz w:val="26"/>
          <w:szCs w:val="26"/>
        </w:rPr>
        <w:t>Complaint at 2-4.</w:t>
      </w:r>
    </w:p>
    <w:p w14:paraId="0DCFE6FF" w14:textId="77777777" w:rsidR="00A269FC" w:rsidRPr="00A269FC" w:rsidRDefault="00A269FC" w:rsidP="00A269FC">
      <w:pPr>
        <w:spacing w:line="360" w:lineRule="auto"/>
        <w:rPr>
          <w:rFonts w:eastAsiaTheme="minorHAnsi"/>
          <w:sz w:val="26"/>
          <w:szCs w:val="26"/>
        </w:rPr>
      </w:pPr>
    </w:p>
    <w:p w14:paraId="5FD9EC74" w14:textId="6929198B" w:rsidR="001A08C5" w:rsidRDefault="00A269FC" w:rsidP="00A269FC">
      <w:pPr>
        <w:spacing w:line="360" w:lineRule="auto"/>
        <w:rPr>
          <w:rFonts w:eastAsiaTheme="minorHAnsi"/>
          <w:sz w:val="26"/>
          <w:szCs w:val="26"/>
        </w:rPr>
      </w:pPr>
      <w:r w:rsidRPr="00A269FC">
        <w:rPr>
          <w:rFonts w:eastAsiaTheme="minorHAnsi"/>
          <w:sz w:val="26"/>
          <w:szCs w:val="26"/>
        </w:rPr>
        <w:tab/>
      </w:r>
      <w:r w:rsidRPr="00A269FC">
        <w:rPr>
          <w:rFonts w:eastAsiaTheme="minorHAnsi"/>
          <w:sz w:val="26"/>
          <w:szCs w:val="26"/>
        </w:rPr>
        <w:tab/>
        <w:t xml:space="preserve">On February 5, 2015, </w:t>
      </w:r>
      <w:r w:rsidR="00265D8B">
        <w:rPr>
          <w:rFonts w:eastAsiaTheme="minorHAnsi"/>
          <w:sz w:val="26"/>
          <w:szCs w:val="26"/>
        </w:rPr>
        <w:t xml:space="preserve">the Respondent </w:t>
      </w:r>
      <w:r w:rsidRPr="00A269FC">
        <w:rPr>
          <w:rFonts w:eastAsiaTheme="minorHAnsi"/>
          <w:sz w:val="26"/>
          <w:szCs w:val="26"/>
        </w:rPr>
        <w:t xml:space="preserve">filed an Answer and New Matter in response to the Complaint.  In its Answer, </w:t>
      </w:r>
      <w:r w:rsidR="00265D8B">
        <w:rPr>
          <w:rFonts w:eastAsiaTheme="minorHAnsi"/>
          <w:sz w:val="26"/>
          <w:szCs w:val="26"/>
        </w:rPr>
        <w:t>Knox</w:t>
      </w:r>
      <w:r w:rsidRPr="00A269FC">
        <w:rPr>
          <w:rFonts w:eastAsiaTheme="minorHAnsi"/>
          <w:sz w:val="26"/>
          <w:szCs w:val="26"/>
        </w:rPr>
        <w:t xml:space="preserve"> admitted that a </w:t>
      </w:r>
      <w:r w:rsidR="00265D8B">
        <w:rPr>
          <w:rFonts w:eastAsiaTheme="minorHAnsi"/>
          <w:sz w:val="26"/>
          <w:szCs w:val="26"/>
        </w:rPr>
        <w:t xml:space="preserve">section of its </w:t>
      </w:r>
      <w:r w:rsidRPr="00A269FC">
        <w:rPr>
          <w:rFonts w:eastAsiaTheme="minorHAnsi"/>
          <w:sz w:val="26"/>
          <w:szCs w:val="26"/>
        </w:rPr>
        <w:t>gas line travers</w:t>
      </w:r>
      <w:r w:rsidR="00265D8B">
        <w:rPr>
          <w:rFonts w:eastAsiaTheme="minorHAnsi"/>
          <w:sz w:val="26"/>
          <w:szCs w:val="26"/>
        </w:rPr>
        <w:t>es</w:t>
      </w:r>
      <w:r w:rsidRPr="00A269FC">
        <w:rPr>
          <w:rFonts w:eastAsiaTheme="minorHAnsi"/>
          <w:sz w:val="26"/>
          <w:szCs w:val="26"/>
        </w:rPr>
        <w:t xml:space="preserve"> </w:t>
      </w:r>
      <w:r w:rsidR="00265D8B">
        <w:rPr>
          <w:rFonts w:eastAsiaTheme="minorHAnsi"/>
          <w:sz w:val="26"/>
          <w:szCs w:val="26"/>
        </w:rPr>
        <w:t xml:space="preserve">the </w:t>
      </w:r>
      <w:r w:rsidRPr="00A269FC">
        <w:rPr>
          <w:rFonts w:eastAsiaTheme="minorHAnsi"/>
          <w:sz w:val="26"/>
          <w:szCs w:val="26"/>
        </w:rPr>
        <w:t xml:space="preserve">Complainant’s property </w:t>
      </w:r>
      <w:r w:rsidR="00265D8B">
        <w:rPr>
          <w:rFonts w:eastAsiaTheme="minorHAnsi"/>
          <w:sz w:val="26"/>
          <w:szCs w:val="26"/>
        </w:rPr>
        <w:t xml:space="preserve">and </w:t>
      </w:r>
      <w:r w:rsidRPr="00A269FC">
        <w:rPr>
          <w:rFonts w:eastAsiaTheme="minorHAnsi"/>
          <w:sz w:val="26"/>
          <w:szCs w:val="26"/>
        </w:rPr>
        <w:t xml:space="preserve">is above ground.  However, </w:t>
      </w:r>
      <w:r w:rsidR="00265D8B">
        <w:rPr>
          <w:rFonts w:eastAsiaTheme="minorHAnsi"/>
          <w:sz w:val="26"/>
          <w:szCs w:val="26"/>
        </w:rPr>
        <w:t xml:space="preserve">the </w:t>
      </w:r>
      <w:r w:rsidRPr="00A269FC">
        <w:rPr>
          <w:rFonts w:eastAsiaTheme="minorHAnsi"/>
          <w:sz w:val="26"/>
          <w:szCs w:val="26"/>
        </w:rPr>
        <w:t>Respondent denie</w:t>
      </w:r>
      <w:r w:rsidR="001A08C5">
        <w:rPr>
          <w:rFonts w:eastAsiaTheme="minorHAnsi"/>
          <w:sz w:val="26"/>
          <w:szCs w:val="26"/>
        </w:rPr>
        <w:t>d</w:t>
      </w:r>
      <w:r w:rsidRPr="00A269FC">
        <w:rPr>
          <w:rFonts w:eastAsiaTheme="minorHAnsi"/>
          <w:sz w:val="26"/>
          <w:szCs w:val="26"/>
        </w:rPr>
        <w:t xml:space="preserve"> that this exposed section of line constitutes a hazard.  </w:t>
      </w:r>
      <w:r w:rsidR="001A08C5">
        <w:rPr>
          <w:rFonts w:eastAsiaTheme="minorHAnsi"/>
          <w:sz w:val="26"/>
          <w:szCs w:val="26"/>
        </w:rPr>
        <w:t xml:space="preserve">Furthermore, Knox contended that its </w:t>
      </w:r>
      <w:r w:rsidRPr="00A269FC">
        <w:rPr>
          <w:rFonts w:eastAsiaTheme="minorHAnsi"/>
          <w:sz w:val="26"/>
          <w:szCs w:val="26"/>
        </w:rPr>
        <w:t xml:space="preserve">facilities are subject to annual Commission safety audits and that the most recent Commission audit </w:t>
      </w:r>
      <w:r w:rsidR="001A08C5">
        <w:rPr>
          <w:rFonts w:eastAsiaTheme="minorHAnsi"/>
          <w:sz w:val="26"/>
          <w:szCs w:val="26"/>
        </w:rPr>
        <w:t>of its</w:t>
      </w:r>
      <w:r w:rsidRPr="00A269FC">
        <w:rPr>
          <w:rFonts w:eastAsiaTheme="minorHAnsi"/>
          <w:sz w:val="26"/>
          <w:szCs w:val="26"/>
        </w:rPr>
        <w:t xml:space="preserve"> facilities was performed on September 26, 2014</w:t>
      </w:r>
      <w:r w:rsidR="001A08C5">
        <w:rPr>
          <w:rFonts w:eastAsiaTheme="minorHAnsi"/>
          <w:sz w:val="26"/>
          <w:szCs w:val="26"/>
        </w:rPr>
        <w:t xml:space="preserve">.  According to the Respondent, the Commission determined that Knox’s </w:t>
      </w:r>
      <w:r w:rsidRPr="00A269FC">
        <w:rPr>
          <w:rFonts w:eastAsiaTheme="minorHAnsi"/>
          <w:sz w:val="26"/>
          <w:szCs w:val="26"/>
        </w:rPr>
        <w:t xml:space="preserve">facilities </w:t>
      </w:r>
      <w:r w:rsidR="001A08C5">
        <w:rPr>
          <w:rFonts w:eastAsiaTheme="minorHAnsi"/>
          <w:sz w:val="26"/>
          <w:szCs w:val="26"/>
        </w:rPr>
        <w:t>were</w:t>
      </w:r>
      <w:r w:rsidRPr="00A269FC">
        <w:rPr>
          <w:rFonts w:eastAsiaTheme="minorHAnsi"/>
          <w:sz w:val="26"/>
          <w:szCs w:val="26"/>
        </w:rPr>
        <w:t xml:space="preserve"> in compliance with all applicable state and federal pipeline safety regulations</w:t>
      </w:r>
      <w:r w:rsidR="001A08C5">
        <w:rPr>
          <w:rFonts w:eastAsiaTheme="minorHAnsi"/>
          <w:sz w:val="26"/>
          <w:szCs w:val="26"/>
        </w:rPr>
        <w:t xml:space="preserve"> and </w:t>
      </w:r>
      <w:r w:rsidRPr="00A269FC">
        <w:rPr>
          <w:rFonts w:eastAsiaTheme="minorHAnsi"/>
          <w:sz w:val="26"/>
          <w:szCs w:val="26"/>
        </w:rPr>
        <w:t xml:space="preserve">that </w:t>
      </w:r>
      <w:r w:rsidR="001A08C5">
        <w:rPr>
          <w:rFonts w:eastAsiaTheme="minorHAnsi"/>
          <w:sz w:val="26"/>
          <w:szCs w:val="26"/>
        </w:rPr>
        <w:t xml:space="preserve">there were </w:t>
      </w:r>
      <w:r w:rsidRPr="00A269FC">
        <w:rPr>
          <w:rFonts w:eastAsiaTheme="minorHAnsi"/>
          <w:sz w:val="26"/>
          <w:szCs w:val="26"/>
        </w:rPr>
        <w:t xml:space="preserve">no enforcement actions </w:t>
      </w:r>
      <w:r w:rsidR="001A08C5">
        <w:rPr>
          <w:rFonts w:eastAsiaTheme="minorHAnsi"/>
          <w:sz w:val="26"/>
          <w:szCs w:val="26"/>
        </w:rPr>
        <w:t xml:space="preserve">or </w:t>
      </w:r>
      <w:r w:rsidRPr="00A269FC">
        <w:rPr>
          <w:rFonts w:eastAsiaTheme="minorHAnsi"/>
          <w:sz w:val="26"/>
          <w:szCs w:val="26"/>
        </w:rPr>
        <w:t xml:space="preserve">outstanding compliance issues with its system.  </w:t>
      </w:r>
      <w:r w:rsidR="001A08C5">
        <w:rPr>
          <w:rFonts w:eastAsiaTheme="minorHAnsi"/>
          <w:sz w:val="26"/>
          <w:szCs w:val="26"/>
        </w:rPr>
        <w:t>Knox also averred t</w:t>
      </w:r>
      <w:r w:rsidRPr="00A269FC">
        <w:rPr>
          <w:rFonts w:eastAsiaTheme="minorHAnsi"/>
          <w:sz w:val="26"/>
          <w:szCs w:val="26"/>
        </w:rPr>
        <w:t xml:space="preserve">hat it has been in contact with </w:t>
      </w:r>
      <w:r w:rsidR="001A08C5">
        <w:rPr>
          <w:rFonts w:eastAsiaTheme="minorHAnsi"/>
          <w:sz w:val="26"/>
          <w:szCs w:val="26"/>
        </w:rPr>
        <w:t xml:space="preserve">Ms. </w:t>
      </w:r>
      <w:proofErr w:type="spellStart"/>
      <w:r w:rsidR="001A08C5">
        <w:rPr>
          <w:rFonts w:eastAsiaTheme="minorHAnsi"/>
          <w:sz w:val="26"/>
          <w:szCs w:val="26"/>
        </w:rPr>
        <w:t>Laffey</w:t>
      </w:r>
      <w:proofErr w:type="spellEnd"/>
      <w:r w:rsidR="001A08C5">
        <w:rPr>
          <w:rFonts w:eastAsiaTheme="minorHAnsi"/>
          <w:sz w:val="26"/>
          <w:szCs w:val="26"/>
        </w:rPr>
        <w:t xml:space="preserve"> in an attempt to resolve the Complaint which includes the development of plans </w:t>
      </w:r>
      <w:r w:rsidRPr="00A269FC">
        <w:rPr>
          <w:rFonts w:eastAsiaTheme="minorHAnsi"/>
          <w:sz w:val="26"/>
          <w:szCs w:val="26"/>
        </w:rPr>
        <w:t xml:space="preserve">to relocate </w:t>
      </w:r>
      <w:r w:rsidR="00010C43">
        <w:rPr>
          <w:rFonts w:eastAsiaTheme="minorHAnsi"/>
          <w:sz w:val="26"/>
          <w:szCs w:val="26"/>
        </w:rPr>
        <w:t>her</w:t>
      </w:r>
      <w:r w:rsidRPr="00A269FC">
        <w:rPr>
          <w:rFonts w:eastAsiaTheme="minorHAnsi"/>
          <w:sz w:val="26"/>
          <w:szCs w:val="26"/>
        </w:rPr>
        <w:t xml:space="preserve"> gas</w:t>
      </w:r>
      <w:r w:rsidR="004F3D03">
        <w:rPr>
          <w:rFonts w:eastAsiaTheme="minorHAnsi"/>
          <w:sz w:val="26"/>
          <w:szCs w:val="26"/>
        </w:rPr>
        <w:t xml:space="preserve"> line</w:t>
      </w:r>
      <w:r w:rsidRPr="00A269FC">
        <w:rPr>
          <w:rFonts w:eastAsiaTheme="minorHAnsi"/>
          <w:sz w:val="26"/>
          <w:szCs w:val="26"/>
        </w:rPr>
        <w:t xml:space="preserve">.  </w:t>
      </w:r>
      <w:r w:rsidR="001A08C5">
        <w:rPr>
          <w:rFonts w:eastAsiaTheme="minorHAnsi"/>
          <w:sz w:val="26"/>
          <w:szCs w:val="26"/>
        </w:rPr>
        <w:t xml:space="preserve">However, Knox explained that the </w:t>
      </w:r>
      <w:r w:rsidR="00010C43">
        <w:rPr>
          <w:rFonts w:eastAsiaTheme="minorHAnsi"/>
          <w:sz w:val="26"/>
          <w:szCs w:val="26"/>
        </w:rPr>
        <w:t xml:space="preserve">planned </w:t>
      </w:r>
      <w:r w:rsidR="001A08C5">
        <w:rPr>
          <w:rFonts w:eastAsiaTheme="minorHAnsi"/>
          <w:sz w:val="26"/>
          <w:szCs w:val="26"/>
        </w:rPr>
        <w:t xml:space="preserve">relocation </w:t>
      </w:r>
      <w:r w:rsidRPr="00A269FC">
        <w:rPr>
          <w:rFonts w:eastAsiaTheme="minorHAnsi"/>
          <w:sz w:val="26"/>
          <w:szCs w:val="26"/>
        </w:rPr>
        <w:t xml:space="preserve">cannot be carried out until </w:t>
      </w:r>
      <w:r w:rsidR="00554DE5">
        <w:rPr>
          <w:rFonts w:eastAsiaTheme="minorHAnsi"/>
          <w:sz w:val="26"/>
          <w:szCs w:val="26"/>
        </w:rPr>
        <w:t xml:space="preserve">the </w:t>
      </w:r>
      <w:r w:rsidR="00BA688D" w:rsidRPr="00A269FC">
        <w:rPr>
          <w:rFonts w:eastAsiaTheme="minorHAnsi"/>
          <w:sz w:val="26"/>
          <w:szCs w:val="26"/>
        </w:rPr>
        <w:t>spring</w:t>
      </w:r>
      <w:r w:rsidRPr="00A269FC">
        <w:rPr>
          <w:rFonts w:eastAsiaTheme="minorHAnsi"/>
          <w:sz w:val="26"/>
          <w:szCs w:val="26"/>
        </w:rPr>
        <w:t xml:space="preserve"> </w:t>
      </w:r>
      <w:r w:rsidR="00554DE5">
        <w:rPr>
          <w:rFonts w:eastAsiaTheme="minorHAnsi"/>
          <w:sz w:val="26"/>
          <w:szCs w:val="26"/>
        </w:rPr>
        <w:t xml:space="preserve">of </w:t>
      </w:r>
      <w:r w:rsidRPr="00A269FC">
        <w:rPr>
          <w:rFonts w:eastAsiaTheme="minorHAnsi"/>
          <w:sz w:val="26"/>
          <w:szCs w:val="26"/>
        </w:rPr>
        <w:t xml:space="preserve">2015 when the weather </w:t>
      </w:r>
      <w:r w:rsidR="00554DE5">
        <w:rPr>
          <w:rFonts w:eastAsiaTheme="minorHAnsi"/>
          <w:sz w:val="26"/>
          <w:szCs w:val="26"/>
        </w:rPr>
        <w:t xml:space="preserve">is </w:t>
      </w:r>
      <w:r w:rsidRPr="00A269FC">
        <w:rPr>
          <w:rFonts w:eastAsiaTheme="minorHAnsi"/>
          <w:sz w:val="26"/>
          <w:szCs w:val="26"/>
        </w:rPr>
        <w:t xml:space="preserve">more suitable for such work.  </w:t>
      </w:r>
      <w:proofErr w:type="gramStart"/>
      <w:r w:rsidR="001A08C5">
        <w:rPr>
          <w:rFonts w:eastAsiaTheme="minorHAnsi"/>
          <w:sz w:val="26"/>
          <w:szCs w:val="26"/>
        </w:rPr>
        <w:t>Answer at 1-2.</w:t>
      </w:r>
      <w:proofErr w:type="gramEnd"/>
    </w:p>
    <w:p w14:paraId="2E205479" w14:textId="77777777" w:rsidR="001A08C5" w:rsidRDefault="001A08C5" w:rsidP="00A269FC">
      <w:pPr>
        <w:spacing w:line="360" w:lineRule="auto"/>
        <w:rPr>
          <w:rFonts w:eastAsiaTheme="minorHAnsi"/>
          <w:sz w:val="26"/>
          <w:szCs w:val="26"/>
        </w:rPr>
      </w:pPr>
    </w:p>
    <w:p w14:paraId="7BDD88D1" w14:textId="09B20014" w:rsidR="00A269FC" w:rsidRPr="00A269FC" w:rsidRDefault="00A269FC" w:rsidP="001A08C5">
      <w:pPr>
        <w:spacing w:line="360" w:lineRule="auto"/>
        <w:ind w:firstLine="1440"/>
        <w:rPr>
          <w:rFonts w:eastAsiaTheme="minorHAnsi"/>
          <w:sz w:val="26"/>
          <w:szCs w:val="26"/>
        </w:rPr>
      </w:pPr>
      <w:r w:rsidRPr="00A269FC">
        <w:rPr>
          <w:rFonts w:eastAsiaTheme="minorHAnsi"/>
          <w:sz w:val="26"/>
          <w:szCs w:val="26"/>
        </w:rPr>
        <w:t xml:space="preserve">In </w:t>
      </w:r>
      <w:r w:rsidR="001A08C5">
        <w:rPr>
          <w:rFonts w:eastAsiaTheme="minorHAnsi"/>
          <w:sz w:val="26"/>
          <w:szCs w:val="26"/>
        </w:rPr>
        <w:t xml:space="preserve">its </w:t>
      </w:r>
      <w:r w:rsidRPr="00A269FC">
        <w:rPr>
          <w:rFonts w:eastAsiaTheme="minorHAnsi"/>
          <w:sz w:val="26"/>
          <w:szCs w:val="26"/>
        </w:rPr>
        <w:t xml:space="preserve">New Matter, </w:t>
      </w:r>
      <w:r w:rsidR="001A08C5">
        <w:rPr>
          <w:rFonts w:eastAsiaTheme="minorHAnsi"/>
          <w:sz w:val="26"/>
          <w:szCs w:val="26"/>
        </w:rPr>
        <w:t xml:space="preserve">the Respondent averred that the Commission determined that Knox is a </w:t>
      </w:r>
      <w:r w:rsidRPr="00A269FC">
        <w:rPr>
          <w:rFonts w:eastAsiaTheme="minorHAnsi"/>
          <w:sz w:val="26"/>
          <w:szCs w:val="26"/>
        </w:rPr>
        <w:t xml:space="preserve">bona fide cooperative </w:t>
      </w:r>
      <w:r w:rsidR="001A08C5">
        <w:rPr>
          <w:rFonts w:eastAsiaTheme="minorHAnsi"/>
          <w:sz w:val="26"/>
          <w:szCs w:val="26"/>
        </w:rPr>
        <w:t xml:space="preserve">association as determined </w:t>
      </w:r>
      <w:r w:rsidR="00010C43">
        <w:rPr>
          <w:rFonts w:eastAsiaTheme="minorHAnsi"/>
          <w:sz w:val="26"/>
          <w:szCs w:val="26"/>
        </w:rPr>
        <w:t xml:space="preserve">in a prior proceeding </w:t>
      </w:r>
      <w:r w:rsidR="00010C43">
        <w:rPr>
          <w:rFonts w:eastAsiaTheme="minorHAnsi"/>
          <w:sz w:val="26"/>
          <w:szCs w:val="26"/>
        </w:rPr>
        <w:lastRenderedPageBreak/>
        <w:t>involving the transfer of a natural gas pipeline system to Knox.</w:t>
      </w:r>
      <w:r w:rsidR="00010C43" w:rsidRPr="00BC589E">
        <w:rPr>
          <w:rFonts w:eastAsiaTheme="minorHAnsi"/>
          <w:sz w:val="26"/>
          <w:szCs w:val="26"/>
          <w:vertAlign w:val="superscript"/>
        </w:rPr>
        <w:footnoteReference w:id="2"/>
      </w:r>
      <w:r w:rsidR="00010C43">
        <w:rPr>
          <w:rFonts w:eastAsiaTheme="minorHAnsi"/>
          <w:sz w:val="26"/>
          <w:szCs w:val="26"/>
        </w:rPr>
        <w:t xml:space="preserve">  The </w:t>
      </w:r>
      <w:r w:rsidRPr="00A269FC">
        <w:rPr>
          <w:rFonts w:eastAsiaTheme="minorHAnsi"/>
          <w:sz w:val="26"/>
          <w:szCs w:val="26"/>
        </w:rPr>
        <w:t xml:space="preserve">Respondent </w:t>
      </w:r>
      <w:r w:rsidR="00010C43">
        <w:rPr>
          <w:rFonts w:eastAsiaTheme="minorHAnsi"/>
          <w:sz w:val="26"/>
          <w:szCs w:val="26"/>
        </w:rPr>
        <w:t xml:space="preserve">also </w:t>
      </w:r>
      <w:r w:rsidRPr="00A269FC">
        <w:rPr>
          <w:rFonts w:eastAsiaTheme="minorHAnsi"/>
          <w:sz w:val="26"/>
          <w:szCs w:val="26"/>
        </w:rPr>
        <w:t xml:space="preserve">alleged that no changes have been made to its operating structure, and </w:t>
      </w:r>
      <w:proofErr w:type="gramStart"/>
      <w:r w:rsidRPr="00A269FC">
        <w:rPr>
          <w:rFonts w:eastAsiaTheme="minorHAnsi"/>
          <w:sz w:val="26"/>
          <w:szCs w:val="26"/>
        </w:rPr>
        <w:t>no</w:t>
      </w:r>
      <w:proofErr w:type="gramEnd"/>
      <w:r w:rsidRPr="00A269FC">
        <w:rPr>
          <w:rFonts w:eastAsiaTheme="minorHAnsi"/>
          <w:sz w:val="26"/>
          <w:szCs w:val="26"/>
        </w:rPr>
        <w:t xml:space="preserve"> orders, directives, or pronouncements from any state or federal agencies have altered its status as a bona fide cooperative association.  </w:t>
      </w:r>
      <w:r w:rsidR="00010C43">
        <w:rPr>
          <w:rFonts w:eastAsiaTheme="minorHAnsi"/>
          <w:sz w:val="26"/>
          <w:szCs w:val="26"/>
        </w:rPr>
        <w:t>The Responde</w:t>
      </w:r>
      <w:r w:rsidR="004F3D03">
        <w:rPr>
          <w:rFonts w:eastAsiaTheme="minorHAnsi"/>
          <w:sz w:val="26"/>
          <w:szCs w:val="26"/>
        </w:rPr>
        <w:t>nt</w:t>
      </w:r>
      <w:r w:rsidRPr="00A269FC">
        <w:rPr>
          <w:rFonts w:eastAsiaTheme="minorHAnsi"/>
          <w:sz w:val="26"/>
          <w:szCs w:val="26"/>
        </w:rPr>
        <w:t xml:space="preserve"> also </w:t>
      </w:r>
      <w:r w:rsidR="00010C43">
        <w:rPr>
          <w:rFonts w:eastAsiaTheme="minorHAnsi"/>
          <w:sz w:val="26"/>
          <w:szCs w:val="26"/>
        </w:rPr>
        <w:t xml:space="preserve">contended, in part, </w:t>
      </w:r>
      <w:r w:rsidRPr="00A269FC">
        <w:rPr>
          <w:rFonts w:eastAsiaTheme="minorHAnsi"/>
          <w:sz w:val="26"/>
          <w:szCs w:val="26"/>
        </w:rPr>
        <w:t xml:space="preserve">that </w:t>
      </w:r>
      <w:r w:rsidR="00010C43">
        <w:rPr>
          <w:rFonts w:eastAsiaTheme="minorHAnsi"/>
          <w:sz w:val="26"/>
          <w:szCs w:val="26"/>
        </w:rPr>
        <w:t xml:space="preserve">Ms. </w:t>
      </w:r>
      <w:proofErr w:type="spellStart"/>
      <w:r w:rsidR="00010C43">
        <w:rPr>
          <w:rFonts w:eastAsiaTheme="minorHAnsi"/>
          <w:sz w:val="26"/>
          <w:szCs w:val="26"/>
        </w:rPr>
        <w:t>Laffey</w:t>
      </w:r>
      <w:proofErr w:type="spellEnd"/>
      <w:r w:rsidR="00010C43">
        <w:rPr>
          <w:rFonts w:eastAsiaTheme="minorHAnsi"/>
          <w:sz w:val="26"/>
          <w:szCs w:val="26"/>
        </w:rPr>
        <w:t xml:space="preserve"> </w:t>
      </w:r>
      <w:r w:rsidRPr="00A269FC">
        <w:rPr>
          <w:rFonts w:eastAsiaTheme="minorHAnsi"/>
          <w:sz w:val="26"/>
          <w:szCs w:val="26"/>
        </w:rPr>
        <w:t>is a member of Knox and takes natural gas service from its Clay</w:t>
      </w:r>
      <w:r w:rsidR="00010C43">
        <w:rPr>
          <w:rFonts w:eastAsiaTheme="minorHAnsi"/>
          <w:sz w:val="26"/>
          <w:szCs w:val="26"/>
        </w:rPr>
        <w:t>s</w:t>
      </w:r>
      <w:r w:rsidRPr="00A269FC">
        <w:rPr>
          <w:rFonts w:eastAsiaTheme="minorHAnsi"/>
          <w:sz w:val="26"/>
          <w:szCs w:val="26"/>
        </w:rPr>
        <w:t xml:space="preserve">ville, Pennsylvania System, which </w:t>
      </w:r>
      <w:r w:rsidR="00010C43">
        <w:rPr>
          <w:rFonts w:eastAsiaTheme="minorHAnsi"/>
          <w:sz w:val="26"/>
          <w:szCs w:val="26"/>
        </w:rPr>
        <w:t>was</w:t>
      </w:r>
      <w:r w:rsidRPr="00A269FC">
        <w:rPr>
          <w:rFonts w:eastAsiaTheme="minorHAnsi"/>
          <w:sz w:val="26"/>
          <w:szCs w:val="26"/>
        </w:rPr>
        <w:t xml:space="preserve"> the system at issue in the </w:t>
      </w:r>
      <w:proofErr w:type="spellStart"/>
      <w:r w:rsidRPr="00A269FC">
        <w:rPr>
          <w:rFonts w:eastAsiaTheme="minorHAnsi"/>
          <w:i/>
          <w:sz w:val="26"/>
          <w:szCs w:val="26"/>
        </w:rPr>
        <w:t>Gasco</w:t>
      </w:r>
      <w:proofErr w:type="spellEnd"/>
      <w:r w:rsidRPr="00A269FC">
        <w:rPr>
          <w:rFonts w:eastAsiaTheme="minorHAnsi"/>
          <w:i/>
          <w:sz w:val="26"/>
          <w:szCs w:val="26"/>
        </w:rPr>
        <w:t xml:space="preserve"> Order</w:t>
      </w:r>
      <w:r w:rsidR="00010C43">
        <w:rPr>
          <w:rFonts w:eastAsiaTheme="minorHAnsi"/>
          <w:sz w:val="26"/>
          <w:szCs w:val="26"/>
        </w:rPr>
        <w:t>.  New Matter at 2-3.</w:t>
      </w:r>
      <w:r w:rsidRPr="00A269FC">
        <w:rPr>
          <w:rFonts w:eastAsiaTheme="minorHAnsi"/>
          <w:sz w:val="26"/>
          <w:szCs w:val="26"/>
        </w:rPr>
        <w:t xml:space="preserve"> </w:t>
      </w:r>
    </w:p>
    <w:p w14:paraId="7CD6C55D" w14:textId="77777777" w:rsidR="00A269FC" w:rsidRPr="00A269FC" w:rsidRDefault="00A269FC" w:rsidP="00A269FC">
      <w:pPr>
        <w:spacing w:line="360" w:lineRule="auto"/>
        <w:rPr>
          <w:rFonts w:eastAsiaTheme="minorHAnsi"/>
          <w:sz w:val="26"/>
          <w:szCs w:val="26"/>
        </w:rPr>
      </w:pPr>
    </w:p>
    <w:p w14:paraId="565E8256" w14:textId="748491B3" w:rsidR="00A269FC" w:rsidRPr="00A269FC" w:rsidRDefault="00A269FC" w:rsidP="00A269FC">
      <w:pPr>
        <w:spacing w:line="360" w:lineRule="auto"/>
        <w:rPr>
          <w:rFonts w:eastAsiaTheme="minorHAnsi"/>
          <w:sz w:val="26"/>
          <w:szCs w:val="26"/>
        </w:rPr>
      </w:pPr>
      <w:r w:rsidRPr="00A269FC">
        <w:rPr>
          <w:rFonts w:eastAsiaTheme="minorHAnsi"/>
          <w:sz w:val="26"/>
          <w:szCs w:val="26"/>
        </w:rPr>
        <w:tab/>
      </w:r>
      <w:r w:rsidRPr="00A269FC">
        <w:rPr>
          <w:rFonts w:eastAsiaTheme="minorHAnsi"/>
          <w:sz w:val="26"/>
          <w:szCs w:val="26"/>
        </w:rPr>
        <w:tab/>
      </w:r>
      <w:r w:rsidR="00714C51">
        <w:rPr>
          <w:rFonts w:eastAsiaTheme="minorHAnsi"/>
          <w:sz w:val="26"/>
          <w:szCs w:val="26"/>
        </w:rPr>
        <w:t xml:space="preserve">Also on February 5, 2015, the Respondent filed Preliminary Objections (POs).  </w:t>
      </w:r>
      <w:r w:rsidRPr="00A269FC">
        <w:rPr>
          <w:rFonts w:eastAsiaTheme="minorHAnsi"/>
          <w:sz w:val="26"/>
          <w:szCs w:val="26"/>
        </w:rPr>
        <w:t xml:space="preserve">In its POs, Knox asserted that the Complaint should be dismissed due to lack of jurisdiction because the Respondent is a bona fide cooperative association </w:t>
      </w:r>
      <w:r w:rsidR="00714C51">
        <w:rPr>
          <w:rFonts w:eastAsiaTheme="minorHAnsi"/>
          <w:sz w:val="26"/>
          <w:szCs w:val="26"/>
        </w:rPr>
        <w:t xml:space="preserve">as determined </w:t>
      </w:r>
      <w:r w:rsidRPr="00A269FC">
        <w:rPr>
          <w:rFonts w:eastAsiaTheme="minorHAnsi"/>
          <w:sz w:val="26"/>
          <w:szCs w:val="26"/>
        </w:rPr>
        <w:t xml:space="preserve">in the </w:t>
      </w:r>
      <w:proofErr w:type="spellStart"/>
      <w:r w:rsidRPr="00A269FC">
        <w:rPr>
          <w:rFonts w:eastAsiaTheme="minorHAnsi"/>
          <w:i/>
          <w:sz w:val="26"/>
          <w:szCs w:val="26"/>
        </w:rPr>
        <w:t>Gasco</w:t>
      </w:r>
      <w:proofErr w:type="spellEnd"/>
      <w:r w:rsidRPr="00A269FC">
        <w:rPr>
          <w:rFonts w:eastAsiaTheme="minorHAnsi"/>
          <w:i/>
          <w:sz w:val="26"/>
          <w:szCs w:val="26"/>
        </w:rPr>
        <w:t xml:space="preserve"> Order</w:t>
      </w:r>
      <w:r w:rsidR="00714C51">
        <w:rPr>
          <w:rFonts w:eastAsiaTheme="minorHAnsi"/>
          <w:sz w:val="26"/>
          <w:szCs w:val="26"/>
        </w:rPr>
        <w:t xml:space="preserve">.  The Respondent cited to </w:t>
      </w:r>
      <w:r w:rsidRPr="00A269FC">
        <w:rPr>
          <w:rFonts w:eastAsiaTheme="minorHAnsi"/>
          <w:sz w:val="26"/>
          <w:szCs w:val="26"/>
        </w:rPr>
        <w:t>66 Pa.</w:t>
      </w:r>
      <w:r w:rsidR="00714C51">
        <w:rPr>
          <w:rFonts w:eastAsiaTheme="minorHAnsi"/>
          <w:sz w:val="26"/>
          <w:szCs w:val="26"/>
        </w:rPr>
        <w:t xml:space="preserve"> </w:t>
      </w:r>
      <w:r w:rsidRPr="00A269FC">
        <w:rPr>
          <w:rFonts w:eastAsiaTheme="minorHAnsi"/>
          <w:sz w:val="26"/>
          <w:szCs w:val="26"/>
        </w:rPr>
        <w:t>C.S. § 102</w:t>
      </w:r>
      <w:r w:rsidR="00714C51">
        <w:rPr>
          <w:rFonts w:eastAsiaTheme="minorHAnsi"/>
          <w:sz w:val="26"/>
          <w:szCs w:val="26"/>
        </w:rPr>
        <w:t xml:space="preserve"> and argued that formal complaints against entities determined to be bona fide cooperative associations must be dismissed due to a lack of jurisdiction by the Commission</w:t>
      </w:r>
      <w:r w:rsidRPr="00A269FC">
        <w:rPr>
          <w:rFonts w:eastAsiaTheme="minorHAnsi"/>
          <w:sz w:val="26"/>
          <w:szCs w:val="26"/>
        </w:rPr>
        <w:t>.</w:t>
      </w:r>
      <w:r w:rsidR="00714C51">
        <w:rPr>
          <w:rStyle w:val="FootnoteReference"/>
          <w:rFonts w:eastAsiaTheme="minorHAnsi"/>
        </w:rPr>
        <w:footnoteReference w:id="3"/>
      </w:r>
      <w:r w:rsidRPr="00A269FC">
        <w:rPr>
          <w:rFonts w:eastAsiaTheme="minorHAnsi"/>
          <w:sz w:val="26"/>
          <w:szCs w:val="26"/>
        </w:rPr>
        <w:t xml:space="preserve"> </w:t>
      </w:r>
      <w:r w:rsidR="005E1491">
        <w:rPr>
          <w:rFonts w:eastAsiaTheme="minorHAnsi"/>
          <w:sz w:val="26"/>
          <w:szCs w:val="26"/>
        </w:rPr>
        <w:t xml:space="preserve"> POs at 5-6.</w:t>
      </w:r>
    </w:p>
    <w:p w14:paraId="02BAF955" w14:textId="77777777" w:rsidR="00A269FC" w:rsidRPr="00A269FC" w:rsidRDefault="00A269FC" w:rsidP="00A269FC">
      <w:pPr>
        <w:spacing w:line="360" w:lineRule="auto"/>
        <w:rPr>
          <w:rFonts w:eastAsiaTheme="minorHAnsi"/>
          <w:sz w:val="26"/>
          <w:szCs w:val="26"/>
        </w:rPr>
      </w:pPr>
    </w:p>
    <w:p w14:paraId="7A1CF418" w14:textId="19C3673E" w:rsidR="00A269FC" w:rsidRPr="00A269FC" w:rsidRDefault="00A269FC" w:rsidP="00A269FC">
      <w:pPr>
        <w:spacing w:line="360" w:lineRule="auto"/>
        <w:rPr>
          <w:rFonts w:eastAsiaTheme="minorHAnsi"/>
          <w:sz w:val="26"/>
          <w:szCs w:val="26"/>
        </w:rPr>
      </w:pPr>
      <w:r w:rsidRPr="00A269FC">
        <w:rPr>
          <w:rFonts w:eastAsia="Calibri"/>
          <w:color w:val="000000" w:themeColor="text1"/>
          <w:sz w:val="26"/>
          <w:szCs w:val="26"/>
        </w:rPr>
        <w:tab/>
      </w:r>
      <w:r w:rsidRPr="00A269FC">
        <w:rPr>
          <w:rFonts w:eastAsia="Calibri"/>
          <w:color w:val="000000" w:themeColor="text1"/>
          <w:sz w:val="26"/>
          <w:szCs w:val="26"/>
        </w:rPr>
        <w:tab/>
      </w:r>
      <w:r w:rsidR="00E9257C">
        <w:rPr>
          <w:rFonts w:eastAsia="Calibri"/>
          <w:color w:val="000000" w:themeColor="text1"/>
          <w:sz w:val="26"/>
          <w:szCs w:val="26"/>
        </w:rPr>
        <w:t xml:space="preserve">The Complainant did not file responsive pleadings to the New Matter or </w:t>
      </w:r>
      <w:proofErr w:type="spellStart"/>
      <w:r w:rsidR="00E9257C">
        <w:rPr>
          <w:rFonts w:eastAsia="Calibri"/>
          <w:color w:val="000000" w:themeColor="text1"/>
          <w:sz w:val="26"/>
          <w:szCs w:val="26"/>
        </w:rPr>
        <w:t>POs.</w:t>
      </w:r>
      <w:proofErr w:type="spellEnd"/>
      <w:r w:rsidR="00E9257C">
        <w:rPr>
          <w:rFonts w:eastAsia="Calibri"/>
          <w:color w:val="000000" w:themeColor="text1"/>
          <w:sz w:val="26"/>
          <w:szCs w:val="26"/>
        </w:rPr>
        <w:t xml:space="preserve">  </w:t>
      </w:r>
    </w:p>
    <w:p w14:paraId="0BA25D45" w14:textId="77777777" w:rsidR="00E9257C" w:rsidRDefault="00E9257C" w:rsidP="00394402">
      <w:pPr>
        <w:spacing w:line="360" w:lineRule="auto"/>
        <w:ind w:firstLine="1440"/>
        <w:rPr>
          <w:sz w:val="26"/>
          <w:szCs w:val="26"/>
        </w:rPr>
      </w:pPr>
    </w:p>
    <w:p w14:paraId="28EF2FF5" w14:textId="5C7AF9E9" w:rsidR="00394402" w:rsidRDefault="00012EE5" w:rsidP="00E9257C">
      <w:pPr>
        <w:spacing w:line="360" w:lineRule="auto"/>
        <w:ind w:firstLine="1440"/>
        <w:rPr>
          <w:sz w:val="26"/>
          <w:szCs w:val="26"/>
        </w:rPr>
      </w:pPr>
      <w:r>
        <w:rPr>
          <w:sz w:val="26"/>
          <w:szCs w:val="26"/>
        </w:rPr>
        <w:t>In</w:t>
      </w:r>
      <w:r w:rsidR="0072472D">
        <w:rPr>
          <w:sz w:val="26"/>
          <w:szCs w:val="26"/>
        </w:rPr>
        <w:t xml:space="preserve"> </w:t>
      </w:r>
      <w:r w:rsidR="00004B32">
        <w:rPr>
          <w:sz w:val="26"/>
          <w:szCs w:val="26"/>
        </w:rPr>
        <w:t>h</w:t>
      </w:r>
      <w:r w:rsidR="008B431A">
        <w:rPr>
          <w:sz w:val="26"/>
          <w:szCs w:val="26"/>
        </w:rPr>
        <w:t>er</w:t>
      </w:r>
      <w:r w:rsidR="0072472D">
        <w:rPr>
          <w:sz w:val="26"/>
          <w:szCs w:val="26"/>
        </w:rPr>
        <w:t xml:space="preserve"> Initial Decision</w:t>
      </w:r>
      <w:r>
        <w:rPr>
          <w:sz w:val="26"/>
          <w:szCs w:val="26"/>
        </w:rPr>
        <w:t>, ALJ</w:t>
      </w:r>
      <w:r w:rsidR="00004B32">
        <w:rPr>
          <w:sz w:val="26"/>
          <w:szCs w:val="26"/>
        </w:rPr>
        <w:t xml:space="preserve"> </w:t>
      </w:r>
      <w:r w:rsidR="00E9257C">
        <w:rPr>
          <w:sz w:val="26"/>
          <w:szCs w:val="26"/>
        </w:rPr>
        <w:t>Colwell determined that the POs should be treated as a Motion for Judgment on the Pleadings pursuant to 52 Pa. Code § 5.102.  The ALJ granted Knox’s Motion and dismissed the Complaint on the basis that the Respondent is a bona fide cooperative association and not regulated by the Commission.  I.D. at 8-9.</w:t>
      </w:r>
    </w:p>
    <w:p w14:paraId="73B2776D" w14:textId="77777777" w:rsidR="00394402" w:rsidRDefault="00394402" w:rsidP="00394402">
      <w:pPr>
        <w:spacing w:line="360" w:lineRule="auto"/>
        <w:ind w:firstLine="1440"/>
        <w:rPr>
          <w:sz w:val="26"/>
          <w:szCs w:val="26"/>
        </w:rPr>
      </w:pPr>
    </w:p>
    <w:p w14:paraId="2ECB387C" w14:textId="56F3CFCF" w:rsidR="00394402" w:rsidRPr="0045502C" w:rsidRDefault="00394402" w:rsidP="00394402">
      <w:pPr>
        <w:spacing w:line="360" w:lineRule="auto"/>
        <w:ind w:firstLine="1440"/>
        <w:rPr>
          <w:szCs w:val="26"/>
        </w:rPr>
      </w:pPr>
      <w:r>
        <w:rPr>
          <w:sz w:val="26"/>
          <w:szCs w:val="26"/>
        </w:rPr>
        <w:t xml:space="preserve">No Exceptions to the Initial Decision </w:t>
      </w:r>
      <w:r w:rsidR="00D76ACF">
        <w:rPr>
          <w:sz w:val="26"/>
          <w:szCs w:val="26"/>
        </w:rPr>
        <w:t>have been</w:t>
      </w:r>
      <w:r>
        <w:rPr>
          <w:sz w:val="26"/>
          <w:szCs w:val="26"/>
        </w:rPr>
        <w:t xml:space="preserve"> filed.  </w:t>
      </w:r>
    </w:p>
    <w:p w14:paraId="6E243159" w14:textId="77777777" w:rsidR="00A55E3E" w:rsidRDefault="00A55E3E" w:rsidP="00FE7087">
      <w:pPr>
        <w:pStyle w:val="BodyText"/>
        <w:tabs>
          <w:tab w:val="left" w:pos="0"/>
        </w:tabs>
        <w:rPr>
          <w:szCs w:val="26"/>
        </w:rPr>
      </w:pPr>
    </w:p>
    <w:p w14:paraId="7D860CAE" w14:textId="77777777" w:rsidR="001A1AD3" w:rsidRDefault="004419DA" w:rsidP="00F72C4A">
      <w:pPr>
        <w:spacing w:line="360" w:lineRule="auto"/>
        <w:jc w:val="center"/>
        <w:rPr>
          <w:b/>
          <w:sz w:val="26"/>
          <w:szCs w:val="26"/>
        </w:rPr>
      </w:pPr>
      <w:r w:rsidRPr="0045502C">
        <w:rPr>
          <w:b/>
          <w:sz w:val="26"/>
          <w:szCs w:val="26"/>
        </w:rPr>
        <w:t>Discussion</w:t>
      </w:r>
    </w:p>
    <w:p w14:paraId="1AA157E3" w14:textId="77777777" w:rsidR="00076A99" w:rsidRDefault="00076A99" w:rsidP="00F72C4A">
      <w:pPr>
        <w:spacing w:line="360" w:lineRule="auto"/>
        <w:jc w:val="center"/>
        <w:rPr>
          <w:b/>
          <w:sz w:val="26"/>
          <w:szCs w:val="26"/>
        </w:rPr>
      </w:pPr>
    </w:p>
    <w:p w14:paraId="3AB56FDD" w14:textId="77777777" w:rsidR="00076A99" w:rsidRPr="0045502C" w:rsidRDefault="00076A99" w:rsidP="00F72C4A">
      <w:pPr>
        <w:spacing w:line="360" w:lineRule="auto"/>
        <w:rPr>
          <w:b/>
          <w:sz w:val="26"/>
          <w:szCs w:val="26"/>
        </w:rPr>
      </w:pPr>
      <w:r>
        <w:rPr>
          <w:b/>
          <w:sz w:val="26"/>
          <w:szCs w:val="26"/>
        </w:rPr>
        <w:t>Legal Standards</w:t>
      </w:r>
    </w:p>
    <w:p w14:paraId="5D91474D" w14:textId="77777777" w:rsidR="00D5673B" w:rsidRPr="0045502C" w:rsidRDefault="00D5673B" w:rsidP="001A1AD3">
      <w:pPr>
        <w:spacing w:line="360" w:lineRule="auto"/>
        <w:jc w:val="center"/>
        <w:rPr>
          <w:color w:val="FF0000"/>
          <w:sz w:val="26"/>
          <w:szCs w:val="26"/>
        </w:rPr>
      </w:pPr>
    </w:p>
    <w:p w14:paraId="4D8E82D8" w14:textId="77777777" w:rsidR="0078516F" w:rsidRPr="000952BD" w:rsidRDefault="0078516F" w:rsidP="0078516F">
      <w:pPr>
        <w:keepNext/>
        <w:spacing w:line="360" w:lineRule="auto"/>
        <w:ind w:firstLine="1440"/>
        <w:rPr>
          <w:sz w:val="26"/>
          <w:szCs w:val="26"/>
        </w:rPr>
      </w:pPr>
      <w:r w:rsidRPr="000952BD">
        <w:rPr>
          <w:sz w:val="26"/>
          <w:szCs w:val="26"/>
        </w:rPr>
        <w:t>The Commission’s Rules of Practice and Procedure regarding motions for summary judgment and judgment on the pleadings are as follows:</w:t>
      </w:r>
    </w:p>
    <w:p w14:paraId="6F3E67D1" w14:textId="77777777" w:rsidR="0078516F" w:rsidRPr="000952BD" w:rsidRDefault="0078516F" w:rsidP="0078516F">
      <w:pPr>
        <w:spacing w:line="360" w:lineRule="auto"/>
        <w:ind w:firstLine="1440"/>
        <w:rPr>
          <w:sz w:val="26"/>
          <w:szCs w:val="26"/>
        </w:rPr>
      </w:pPr>
    </w:p>
    <w:p w14:paraId="4821A47A" w14:textId="77777777" w:rsidR="0078516F" w:rsidRDefault="0078516F" w:rsidP="0078516F">
      <w:pPr>
        <w:keepNext/>
        <w:ind w:left="1440" w:right="1440"/>
        <w:rPr>
          <w:b/>
          <w:sz w:val="26"/>
        </w:rPr>
      </w:pPr>
      <w:r>
        <w:rPr>
          <w:b/>
          <w:sz w:val="26"/>
        </w:rPr>
        <w:t xml:space="preserve">§ 5.102.  </w:t>
      </w:r>
      <w:proofErr w:type="gramStart"/>
      <w:r>
        <w:rPr>
          <w:b/>
          <w:sz w:val="26"/>
        </w:rPr>
        <w:t>Motions for summary judgment and judgment on the pleadings.</w:t>
      </w:r>
      <w:proofErr w:type="gramEnd"/>
    </w:p>
    <w:p w14:paraId="4DAFB75C" w14:textId="77777777" w:rsidR="0078516F" w:rsidRDefault="0078516F" w:rsidP="0078516F">
      <w:pPr>
        <w:keepNext/>
        <w:ind w:left="1440" w:right="1440"/>
        <w:rPr>
          <w:b/>
          <w:sz w:val="26"/>
        </w:rPr>
      </w:pPr>
    </w:p>
    <w:p w14:paraId="691A127F" w14:textId="77777777" w:rsidR="0078516F" w:rsidRDefault="0078516F" w:rsidP="0078516F">
      <w:pPr>
        <w:keepNext/>
        <w:ind w:left="1440" w:right="1440"/>
        <w:rPr>
          <w:sz w:val="26"/>
        </w:rPr>
      </w:pPr>
      <w:r>
        <w:rPr>
          <w:b/>
          <w:sz w:val="26"/>
        </w:rPr>
        <w:t xml:space="preserve"> </w:t>
      </w:r>
      <w:r>
        <w:rPr>
          <w:sz w:val="26"/>
        </w:rPr>
        <w:t xml:space="preserve">(a)  </w:t>
      </w:r>
      <w:r>
        <w:rPr>
          <w:i/>
          <w:sz w:val="26"/>
        </w:rPr>
        <w:t>Generally.</w:t>
      </w:r>
      <w:r>
        <w:rPr>
          <w:sz w:val="26"/>
        </w:rPr>
        <w:t xml:space="preserve">  </w:t>
      </w:r>
      <w:proofErr w:type="gramStart"/>
      <w:r>
        <w:rPr>
          <w:sz w:val="26"/>
        </w:rPr>
        <w:t>After the pleadings are closed, but within a time so that the hearing is not delayed, a party may move for judgment on the pleadings or summary judgment.</w:t>
      </w:r>
      <w:proofErr w:type="gramEnd"/>
      <w:r>
        <w:rPr>
          <w:sz w:val="26"/>
        </w:rPr>
        <w:t xml:space="preserve">  A motion must contain a notice which states that an answer or other responsive pleading shall be filed within 20 days of service of the motion.</w:t>
      </w:r>
    </w:p>
    <w:p w14:paraId="28447651" w14:textId="77777777" w:rsidR="0078516F" w:rsidRDefault="0078516F" w:rsidP="0078516F">
      <w:pPr>
        <w:ind w:left="1440" w:right="1440"/>
        <w:rPr>
          <w:sz w:val="26"/>
        </w:rPr>
      </w:pPr>
    </w:p>
    <w:p w14:paraId="657BD5A5" w14:textId="77777777" w:rsidR="0078516F" w:rsidRDefault="0078516F" w:rsidP="0078516F">
      <w:pPr>
        <w:ind w:left="1440" w:right="1440"/>
        <w:rPr>
          <w:sz w:val="26"/>
        </w:rPr>
      </w:pPr>
      <w:r>
        <w:rPr>
          <w:sz w:val="26"/>
        </w:rPr>
        <w:t xml:space="preserve">(b)  </w:t>
      </w:r>
      <w:r>
        <w:rPr>
          <w:i/>
          <w:sz w:val="26"/>
        </w:rPr>
        <w:t>Answers</w:t>
      </w:r>
      <w:r>
        <w:rPr>
          <w:sz w:val="26"/>
        </w:rPr>
        <w:t>.  An answer to a motion for judgment on the pleadings or summary judgment, including an opposing affidavit or verification to a motion for summary judgment, may be filed within 20 days of the date of service of the motion.  The answer to a motion for summary judgment may be supplemented by depositions, answers to interrogatories, or further affidavits and admissions.</w:t>
      </w:r>
    </w:p>
    <w:p w14:paraId="5ABFFB13" w14:textId="77777777" w:rsidR="0078516F" w:rsidRDefault="0078516F" w:rsidP="0078516F">
      <w:pPr>
        <w:ind w:left="1440" w:right="1440"/>
        <w:rPr>
          <w:sz w:val="26"/>
        </w:rPr>
      </w:pPr>
    </w:p>
    <w:p w14:paraId="120FE378" w14:textId="77777777" w:rsidR="0078516F" w:rsidRDefault="0078516F" w:rsidP="0078516F">
      <w:pPr>
        <w:ind w:left="1440" w:right="1440"/>
        <w:jc w:val="center"/>
        <w:rPr>
          <w:sz w:val="26"/>
        </w:rPr>
      </w:pPr>
      <w:r>
        <w:rPr>
          <w:sz w:val="26"/>
        </w:rPr>
        <w:t>*</w:t>
      </w:r>
      <w:r>
        <w:rPr>
          <w:sz w:val="26"/>
        </w:rPr>
        <w:tab/>
        <w:t>*</w:t>
      </w:r>
      <w:r>
        <w:rPr>
          <w:sz w:val="26"/>
        </w:rPr>
        <w:tab/>
        <w:t>*</w:t>
      </w:r>
    </w:p>
    <w:p w14:paraId="069624BA" w14:textId="77777777" w:rsidR="0078516F" w:rsidRDefault="0078516F" w:rsidP="0078516F">
      <w:pPr>
        <w:ind w:left="1440" w:right="1440"/>
        <w:rPr>
          <w:sz w:val="26"/>
        </w:rPr>
      </w:pPr>
    </w:p>
    <w:p w14:paraId="490B948A" w14:textId="77777777" w:rsidR="0078516F" w:rsidRDefault="0078516F" w:rsidP="0078516F">
      <w:pPr>
        <w:ind w:left="1440" w:right="1440"/>
        <w:rPr>
          <w:i/>
          <w:sz w:val="26"/>
        </w:rPr>
      </w:pPr>
      <w:r>
        <w:rPr>
          <w:sz w:val="26"/>
        </w:rPr>
        <w:t xml:space="preserve">(d)  </w:t>
      </w:r>
      <w:r>
        <w:rPr>
          <w:i/>
          <w:sz w:val="26"/>
        </w:rPr>
        <w:t>Decisions on motions.</w:t>
      </w:r>
    </w:p>
    <w:p w14:paraId="5C4E48F9" w14:textId="77777777" w:rsidR="0078516F" w:rsidRDefault="0078516F" w:rsidP="0078516F">
      <w:pPr>
        <w:ind w:left="1440" w:right="1440"/>
        <w:rPr>
          <w:i/>
          <w:sz w:val="26"/>
        </w:rPr>
      </w:pPr>
    </w:p>
    <w:p w14:paraId="4252664D" w14:textId="77777777" w:rsidR="0078516F" w:rsidRDefault="0078516F" w:rsidP="0078516F">
      <w:pPr>
        <w:ind w:left="1440" w:right="1440"/>
        <w:rPr>
          <w:sz w:val="26"/>
        </w:rPr>
      </w:pPr>
      <w:r>
        <w:rPr>
          <w:sz w:val="26"/>
        </w:rPr>
        <w:t xml:space="preserve">   (1) </w:t>
      </w:r>
      <w:r>
        <w:rPr>
          <w:i/>
          <w:sz w:val="26"/>
        </w:rPr>
        <w:t>Standard for grant or denial on all counts.</w:t>
      </w:r>
      <w:r>
        <w:rPr>
          <w:sz w:val="26"/>
        </w:rPr>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w:t>
      </w:r>
      <w:r>
        <w:rPr>
          <w:sz w:val="26"/>
        </w:rPr>
        <w:lastRenderedPageBreak/>
        <w:t>there is no genuine issue as to a material fact and that the moving party is entitled to a judgment as a matter of law.</w:t>
      </w:r>
    </w:p>
    <w:p w14:paraId="6E2B7CC0" w14:textId="77777777" w:rsidR="0078516F" w:rsidRPr="00A578A7" w:rsidRDefault="0078516F" w:rsidP="0078516F">
      <w:pPr>
        <w:ind w:left="1440" w:right="1440"/>
        <w:rPr>
          <w:sz w:val="26"/>
        </w:rPr>
      </w:pPr>
    </w:p>
    <w:p w14:paraId="155DB75B" w14:textId="77777777" w:rsidR="0078516F" w:rsidRPr="00F70B64" w:rsidRDefault="0078516F" w:rsidP="0078516F">
      <w:pPr>
        <w:spacing w:line="360" w:lineRule="auto"/>
        <w:rPr>
          <w:sz w:val="26"/>
          <w:szCs w:val="26"/>
        </w:rPr>
      </w:pPr>
      <w:proofErr w:type="gramStart"/>
      <w:r w:rsidRPr="00F70B64">
        <w:rPr>
          <w:sz w:val="26"/>
          <w:szCs w:val="26"/>
        </w:rPr>
        <w:t>52 Pa. Code § 5.102.</w:t>
      </w:r>
      <w:proofErr w:type="gramEnd"/>
    </w:p>
    <w:p w14:paraId="474FDD39" w14:textId="77777777" w:rsidR="0078516F" w:rsidRDefault="0078516F" w:rsidP="0078516F">
      <w:pPr>
        <w:spacing w:line="360" w:lineRule="auto"/>
        <w:rPr>
          <w:sz w:val="26"/>
          <w:szCs w:val="26"/>
        </w:rPr>
      </w:pPr>
    </w:p>
    <w:p w14:paraId="5DE6B244" w14:textId="0CB9A256" w:rsidR="0078516F" w:rsidRDefault="0078516F" w:rsidP="0078516F">
      <w:pPr>
        <w:spacing w:line="360" w:lineRule="auto"/>
        <w:ind w:firstLine="1440"/>
        <w:rPr>
          <w:sz w:val="26"/>
        </w:rPr>
      </w:pPr>
      <w:r w:rsidRPr="00A641AC">
        <w:rPr>
          <w:sz w:val="26"/>
        </w:rPr>
        <w:t xml:space="preserve">Judgment on the pleadings is available when the pleadings show that there is no genuine issue of material fact and the moving party is entitled to judgment as a matter of law.  Judgment on the pleadings should only be granted when the right to relief is clear and free from doubt.  In determining the absence of a genuine issue of material fact, the Commission must take the view of the evidence most favorable to the non-moving party and resolve any doubts against the entry of the judgment.  </w:t>
      </w:r>
      <w:proofErr w:type="gramStart"/>
      <w:r w:rsidRPr="00A641AC">
        <w:rPr>
          <w:i/>
          <w:sz w:val="26"/>
        </w:rPr>
        <w:t xml:space="preserve">Day v. </w:t>
      </w:r>
      <w:proofErr w:type="spellStart"/>
      <w:r w:rsidRPr="00A641AC">
        <w:rPr>
          <w:i/>
          <w:sz w:val="26"/>
        </w:rPr>
        <w:t>Volkswagenwerk</w:t>
      </w:r>
      <w:proofErr w:type="spellEnd"/>
      <w:r w:rsidRPr="00A641AC">
        <w:rPr>
          <w:i/>
          <w:sz w:val="26"/>
        </w:rPr>
        <w:t xml:space="preserve"> </w:t>
      </w:r>
      <w:proofErr w:type="spellStart"/>
      <w:r w:rsidRPr="00A641AC">
        <w:rPr>
          <w:i/>
          <w:sz w:val="26"/>
        </w:rPr>
        <w:t>Aktiengesellschaft</w:t>
      </w:r>
      <w:proofErr w:type="spellEnd"/>
      <w:r w:rsidRPr="00A641AC">
        <w:rPr>
          <w:sz w:val="26"/>
        </w:rPr>
        <w:t>, 464 A.2d 1313, 1316 (</w:t>
      </w:r>
      <w:r>
        <w:rPr>
          <w:sz w:val="26"/>
        </w:rPr>
        <w:t>Pa. Super.</w:t>
      </w:r>
      <w:proofErr w:type="gramEnd"/>
      <w:r>
        <w:rPr>
          <w:sz w:val="26"/>
        </w:rPr>
        <w:t xml:space="preserve"> </w:t>
      </w:r>
      <w:proofErr w:type="gramStart"/>
      <w:r w:rsidR="004F3D03">
        <w:rPr>
          <w:sz w:val="26"/>
        </w:rPr>
        <w:t xml:space="preserve">Ct. </w:t>
      </w:r>
      <w:r w:rsidRPr="00A641AC">
        <w:rPr>
          <w:sz w:val="26"/>
        </w:rPr>
        <w:t>1983).</w:t>
      </w:r>
      <w:proofErr w:type="gramEnd"/>
    </w:p>
    <w:p w14:paraId="7651BD61" w14:textId="77777777" w:rsidR="0078516F" w:rsidRPr="00F70B64" w:rsidRDefault="0078516F" w:rsidP="0078516F">
      <w:pPr>
        <w:spacing w:line="360" w:lineRule="auto"/>
        <w:ind w:firstLine="1440"/>
        <w:rPr>
          <w:sz w:val="26"/>
          <w:szCs w:val="26"/>
        </w:rPr>
      </w:pPr>
    </w:p>
    <w:p w14:paraId="38DB3AE9" w14:textId="7DA009C1" w:rsidR="0078516F" w:rsidRPr="00F70B64" w:rsidRDefault="0078516F" w:rsidP="0078516F">
      <w:pPr>
        <w:spacing w:line="360" w:lineRule="auto"/>
        <w:ind w:firstLine="1440"/>
        <w:rPr>
          <w:sz w:val="26"/>
          <w:szCs w:val="26"/>
        </w:rPr>
      </w:pPr>
      <w:r>
        <w:rPr>
          <w:sz w:val="26"/>
          <w:szCs w:val="26"/>
        </w:rPr>
        <w:t xml:space="preserve">ALJ Colwell </w:t>
      </w:r>
      <w:r w:rsidRPr="00F70B64">
        <w:rPr>
          <w:sz w:val="26"/>
          <w:szCs w:val="26"/>
        </w:rPr>
        <w:t xml:space="preserve">made </w:t>
      </w:r>
      <w:r>
        <w:rPr>
          <w:sz w:val="26"/>
          <w:szCs w:val="26"/>
        </w:rPr>
        <w:t>six</w:t>
      </w:r>
      <w:r w:rsidRPr="00F70B64">
        <w:rPr>
          <w:sz w:val="26"/>
          <w:szCs w:val="26"/>
        </w:rPr>
        <w:t xml:space="preserve"> Findings of Fact and reached </w:t>
      </w:r>
      <w:r>
        <w:rPr>
          <w:sz w:val="26"/>
          <w:szCs w:val="26"/>
        </w:rPr>
        <w:t>eleven</w:t>
      </w:r>
      <w:r w:rsidRPr="00F70B64">
        <w:rPr>
          <w:sz w:val="26"/>
          <w:szCs w:val="26"/>
        </w:rPr>
        <w:t xml:space="preserve"> Conclusions of Law.  I.D. at </w:t>
      </w:r>
      <w:r>
        <w:rPr>
          <w:sz w:val="26"/>
          <w:szCs w:val="26"/>
        </w:rPr>
        <w:t xml:space="preserve">3, 8-9.  </w:t>
      </w:r>
      <w:r w:rsidRPr="00F70B64">
        <w:rPr>
          <w:sz w:val="26"/>
          <w:szCs w:val="26"/>
        </w:rPr>
        <w:t>We shall adopt and incorpor</w:t>
      </w:r>
      <w:r>
        <w:rPr>
          <w:sz w:val="26"/>
          <w:szCs w:val="26"/>
        </w:rPr>
        <w:t>ate herein by reference the ALJ’</w:t>
      </w:r>
      <w:r w:rsidRPr="00F70B64">
        <w:rPr>
          <w:sz w:val="26"/>
          <w:szCs w:val="26"/>
        </w:rPr>
        <w:t>s Findings of Fact and Conclusions of Law, unless they are reversed or modified by this Opinion and Order, either express</w:t>
      </w:r>
      <w:r>
        <w:rPr>
          <w:sz w:val="26"/>
          <w:szCs w:val="26"/>
        </w:rPr>
        <w:t>ly or by necessary implication.</w:t>
      </w:r>
    </w:p>
    <w:p w14:paraId="4D6FBC1C" w14:textId="77777777" w:rsidR="0078516F" w:rsidRPr="00F70B64" w:rsidRDefault="0078516F" w:rsidP="0078516F">
      <w:pPr>
        <w:spacing w:line="360" w:lineRule="auto"/>
        <w:ind w:firstLine="1440"/>
        <w:rPr>
          <w:sz w:val="26"/>
          <w:szCs w:val="26"/>
        </w:rPr>
      </w:pPr>
    </w:p>
    <w:p w14:paraId="5290523E" w14:textId="639C841B" w:rsidR="0078516F" w:rsidRPr="00E25E67" w:rsidRDefault="0078516F" w:rsidP="0078516F">
      <w:pPr>
        <w:spacing w:line="360" w:lineRule="auto"/>
        <w:ind w:firstLine="1440"/>
        <w:rPr>
          <w:sz w:val="26"/>
        </w:rPr>
      </w:pPr>
      <w:r w:rsidRPr="00F70B64">
        <w:rPr>
          <w:sz w:val="26"/>
          <w:szCs w:val="26"/>
        </w:rPr>
        <w:t xml:space="preserve">As a preliminary matter, any issue that we do not specifically address has been duly considered and will be denied without further discussion.  It is well settled that we are not required to consider, expressly or at length, each contention or argument raised by the parties.  </w:t>
      </w:r>
      <w:proofErr w:type="gramStart"/>
      <w:r w:rsidRPr="00F70B64">
        <w:rPr>
          <w:i/>
          <w:sz w:val="26"/>
          <w:szCs w:val="26"/>
        </w:rPr>
        <w:t xml:space="preserve">Consolidated Rail Corporation v. Pa. PUC, </w:t>
      </w:r>
      <w:r w:rsidRPr="00F70B64">
        <w:rPr>
          <w:sz w:val="26"/>
          <w:szCs w:val="26"/>
        </w:rPr>
        <w:t>6</w:t>
      </w:r>
      <w:r>
        <w:rPr>
          <w:sz w:val="26"/>
          <w:szCs w:val="26"/>
        </w:rPr>
        <w:t xml:space="preserve">25 A.2d 741 (Pa. </w:t>
      </w:r>
      <w:proofErr w:type="spellStart"/>
      <w:r>
        <w:rPr>
          <w:sz w:val="26"/>
          <w:szCs w:val="26"/>
        </w:rPr>
        <w:t>Cmwlth</w:t>
      </w:r>
      <w:proofErr w:type="spellEnd"/>
      <w:r>
        <w:rPr>
          <w:sz w:val="26"/>
          <w:szCs w:val="26"/>
        </w:rPr>
        <w:t>. 1993);</w:t>
      </w:r>
      <w:r w:rsidRPr="00F70B64">
        <w:rPr>
          <w:sz w:val="26"/>
          <w:szCs w:val="26"/>
        </w:rPr>
        <w:t xml:space="preserve"> </w:t>
      </w:r>
      <w:r w:rsidRPr="00F70B64">
        <w:rPr>
          <w:i/>
          <w:sz w:val="26"/>
          <w:szCs w:val="26"/>
        </w:rPr>
        <w:t>see also, generally, University of Pennsylvania v. Pa. PUC,</w:t>
      </w:r>
      <w:r>
        <w:rPr>
          <w:sz w:val="26"/>
          <w:szCs w:val="26"/>
        </w:rPr>
        <w:t xml:space="preserve"> 485 A.2</w:t>
      </w:r>
      <w:r w:rsidRPr="00F70B64">
        <w:rPr>
          <w:sz w:val="26"/>
          <w:szCs w:val="26"/>
        </w:rPr>
        <w:t xml:space="preserve">d 1217 (Pa. </w:t>
      </w:r>
      <w:proofErr w:type="spellStart"/>
      <w:r w:rsidRPr="00F70B64">
        <w:rPr>
          <w:sz w:val="26"/>
          <w:szCs w:val="26"/>
        </w:rPr>
        <w:t>Cmwlth</w:t>
      </w:r>
      <w:proofErr w:type="spellEnd"/>
      <w:r w:rsidRPr="00F70B64">
        <w:rPr>
          <w:sz w:val="26"/>
          <w:szCs w:val="26"/>
        </w:rPr>
        <w:t>. 1984).</w:t>
      </w:r>
      <w:proofErr w:type="gramEnd"/>
    </w:p>
    <w:p w14:paraId="1D52B14D" w14:textId="77777777" w:rsidR="00DC4276" w:rsidRDefault="00DC4276" w:rsidP="000E05DD">
      <w:pPr>
        <w:spacing w:line="360" w:lineRule="auto"/>
        <w:jc w:val="center"/>
        <w:rPr>
          <w:b/>
          <w:sz w:val="26"/>
          <w:szCs w:val="26"/>
        </w:rPr>
      </w:pPr>
    </w:p>
    <w:p w14:paraId="21A7C25C" w14:textId="77777777" w:rsidR="0078516F" w:rsidRDefault="0078516F">
      <w:pPr>
        <w:rPr>
          <w:b/>
          <w:sz w:val="26"/>
          <w:szCs w:val="26"/>
        </w:rPr>
      </w:pPr>
      <w:r>
        <w:rPr>
          <w:b/>
          <w:sz w:val="26"/>
          <w:szCs w:val="26"/>
        </w:rPr>
        <w:br w:type="page"/>
      </w:r>
    </w:p>
    <w:p w14:paraId="4797B063" w14:textId="0612FE05" w:rsidR="00E27560" w:rsidRDefault="00E27560" w:rsidP="00E25E67">
      <w:pPr>
        <w:spacing w:line="360" w:lineRule="auto"/>
        <w:rPr>
          <w:b/>
          <w:sz w:val="26"/>
          <w:szCs w:val="26"/>
        </w:rPr>
      </w:pPr>
      <w:r>
        <w:rPr>
          <w:b/>
          <w:sz w:val="26"/>
          <w:szCs w:val="26"/>
        </w:rPr>
        <w:lastRenderedPageBreak/>
        <w:t>ALJ’s Decision</w:t>
      </w:r>
    </w:p>
    <w:p w14:paraId="5DA63DB1" w14:textId="77777777" w:rsidR="00E27560" w:rsidRDefault="00E27560" w:rsidP="00E25E67">
      <w:pPr>
        <w:spacing w:line="360" w:lineRule="auto"/>
        <w:rPr>
          <w:b/>
          <w:sz w:val="26"/>
          <w:szCs w:val="26"/>
        </w:rPr>
      </w:pPr>
    </w:p>
    <w:p w14:paraId="6D4CC204" w14:textId="3F5602D5" w:rsidR="00614A6C" w:rsidRDefault="005C0765" w:rsidP="005C0765">
      <w:pPr>
        <w:spacing w:line="360" w:lineRule="auto"/>
        <w:ind w:firstLine="1440"/>
        <w:rPr>
          <w:sz w:val="26"/>
          <w:szCs w:val="26"/>
        </w:rPr>
      </w:pPr>
      <w:r>
        <w:rPr>
          <w:sz w:val="26"/>
          <w:szCs w:val="26"/>
        </w:rPr>
        <w:t xml:space="preserve">Preliminarily, the ALJ noted that POs may be filed in response to a pleading and that lack of Commission jurisdiction is a legitimate ground for a PO.  </w:t>
      </w:r>
      <w:r w:rsidR="00614A6C">
        <w:rPr>
          <w:sz w:val="26"/>
          <w:szCs w:val="26"/>
        </w:rPr>
        <w:t xml:space="preserve">I.D. at 4 (citing 52 Pa. Code § 5.101).  </w:t>
      </w:r>
      <w:r>
        <w:rPr>
          <w:sz w:val="26"/>
          <w:szCs w:val="26"/>
        </w:rPr>
        <w:t>However, the ALJ explained that lack of jurisdiction is not evident from the Complaint and that the Respondent raised the jurisdi</w:t>
      </w:r>
      <w:r w:rsidR="00614A6C">
        <w:rPr>
          <w:sz w:val="26"/>
          <w:szCs w:val="26"/>
        </w:rPr>
        <w:t xml:space="preserve">ction issue in its New Matter.  Because a PO can only be based on facts set forth in the Complaint, the ALJ reasoned that any facts or issues raised in responsive pleadings such as New Matter cannot be considered in the disposition of the PO.  Nonetheless, the ALJ explained that lack of jurisdiction is an affirmative defense and that Knox raised it in a timely manner.  Accordingly, the ALJ determined that the Respondent’s POs would be treated as a Motion for Judgment on the Pleadings (MJOP) pursuant to 52 Pa. Code § 5.102.  </w:t>
      </w:r>
      <w:proofErr w:type="gramStart"/>
      <w:r w:rsidR="00614A6C">
        <w:rPr>
          <w:sz w:val="26"/>
          <w:szCs w:val="26"/>
        </w:rPr>
        <w:t>I.D. at 4.</w:t>
      </w:r>
      <w:proofErr w:type="gramEnd"/>
      <w:r w:rsidR="00614A6C">
        <w:rPr>
          <w:sz w:val="26"/>
          <w:szCs w:val="26"/>
        </w:rPr>
        <w:t xml:space="preserve">  </w:t>
      </w:r>
    </w:p>
    <w:p w14:paraId="29FB1771" w14:textId="77777777" w:rsidR="00614A6C" w:rsidRDefault="00614A6C" w:rsidP="005C0765">
      <w:pPr>
        <w:spacing w:line="360" w:lineRule="auto"/>
        <w:ind w:firstLine="1440"/>
        <w:rPr>
          <w:sz w:val="26"/>
          <w:szCs w:val="26"/>
        </w:rPr>
      </w:pPr>
    </w:p>
    <w:p w14:paraId="5C280EE1" w14:textId="2A93F319" w:rsidR="00650171" w:rsidRDefault="00BC0530" w:rsidP="005C0765">
      <w:pPr>
        <w:spacing w:line="360" w:lineRule="auto"/>
        <w:ind w:firstLine="1440"/>
        <w:rPr>
          <w:sz w:val="26"/>
          <w:szCs w:val="26"/>
        </w:rPr>
      </w:pPr>
      <w:r>
        <w:rPr>
          <w:sz w:val="26"/>
          <w:szCs w:val="26"/>
        </w:rPr>
        <w:t xml:space="preserve">In addressing the MJOP, the ALJ observed that there are no facts in dispute.   The only averment is that Knox has not buried a partially-exposed gas line on Ms. </w:t>
      </w:r>
      <w:proofErr w:type="spellStart"/>
      <w:r>
        <w:rPr>
          <w:sz w:val="26"/>
          <w:szCs w:val="26"/>
        </w:rPr>
        <w:t>Laffey’s</w:t>
      </w:r>
      <w:proofErr w:type="spellEnd"/>
      <w:r>
        <w:rPr>
          <w:sz w:val="26"/>
          <w:szCs w:val="26"/>
        </w:rPr>
        <w:t xml:space="preserve"> property, which the Respondent admit</w:t>
      </w:r>
      <w:r w:rsidR="00D904AB">
        <w:rPr>
          <w:sz w:val="26"/>
          <w:szCs w:val="26"/>
        </w:rPr>
        <w:t>ted</w:t>
      </w:r>
      <w:r>
        <w:rPr>
          <w:sz w:val="26"/>
          <w:szCs w:val="26"/>
        </w:rPr>
        <w:t xml:space="preserve">.   </w:t>
      </w:r>
      <w:proofErr w:type="gramStart"/>
      <w:r>
        <w:rPr>
          <w:sz w:val="26"/>
          <w:szCs w:val="26"/>
        </w:rPr>
        <w:t>I.D. at 5.</w:t>
      </w:r>
      <w:proofErr w:type="gramEnd"/>
      <w:r>
        <w:rPr>
          <w:sz w:val="26"/>
          <w:szCs w:val="26"/>
        </w:rPr>
        <w:t xml:space="preserve">  </w:t>
      </w:r>
      <w:r w:rsidR="00CC771C">
        <w:rPr>
          <w:sz w:val="26"/>
          <w:szCs w:val="26"/>
        </w:rPr>
        <w:t xml:space="preserve"> Additionally, the ALJ noted</w:t>
      </w:r>
      <w:r w:rsidR="00D904AB">
        <w:rPr>
          <w:sz w:val="26"/>
          <w:szCs w:val="26"/>
        </w:rPr>
        <w:t xml:space="preserve"> that Knox, in its Answer and New Matter, averred that: it is working to relocate and rebury the gas line on the Complainant’s property; Ms. </w:t>
      </w:r>
      <w:proofErr w:type="spellStart"/>
      <w:r w:rsidR="00D904AB">
        <w:rPr>
          <w:sz w:val="26"/>
          <w:szCs w:val="26"/>
        </w:rPr>
        <w:t>Laffey</w:t>
      </w:r>
      <w:proofErr w:type="spellEnd"/>
      <w:r w:rsidR="00D904AB">
        <w:rPr>
          <w:sz w:val="26"/>
          <w:szCs w:val="26"/>
        </w:rPr>
        <w:t xml:space="preserve"> is a member of Knox; and the </w:t>
      </w:r>
      <w:r>
        <w:rPr>
          <w:sz w:val="26"/>
          <w:szCs w:val="26"/>
        </w:rPr>
        <w:t xml:space="preserve">Respondent </w:t>
      </w:r>
      <w:r w:rsidR="00D904AB">
        <w:rPr>
          <w:sz w:val="26"/>
          <w:szCs w:val="26"/>
        </w:rPr>
        <w:t>is a bona fide cooperative association outside of the Commission’s regulatory jurisdiction.  By not responding to these averments, they are deemed admi</w:t>
      </w:r>
      <w:r w:rsidR="004F3D03">
        <w:rPr>
          <w:sz w:val="26"/>
          <w:szCs w:val="26"/>
        </w:rPr>
        <w:t>tted pursuant to 52 Pa. Code § 5</w:t>
      </w:r>
      <w:r w:rsidR="00D904AB">
        <w:rPr>
          <w:sz w:val="26"/>
          <w:szCs w:val="26"/>
        </w:rPr>
        <w:t>.63(</w:t>
      </w:r>
      <w:r w:rsidR="00A27F81">
        <w:rPr>
          <w:sz w:val="26"/>
          <w:szCs w:val="26"/>
        </w:rPr>
        <w:t>b</w:t>
      </w:r>
      <w:r w:rsidR="00D904AB">
        <w:rPr>
          <w:sz w:val="26"/>
          <w:szCs w:val="26"/>
        </w:rPr>
        <w:t xml:space="preserve">).  </w:t>
      </w:r>
      <w:proofErr w:type="gramStart"/>
      <w:r w:rsidR="00D904AB">
        <w:rPr>
          <w:sz w:val="26"/>
          <w:szCs w:val="26"/>
        </w:rPr>
        <w:t>I.D. at 5.</w:t>
      </w:r>
      <w:proofErr w:type="gramEnd"/>
    </w:p>
    <w:p w14:paraId="3FCC599D" w14:textId="77777777" w:rsidR="00D904AB" w:rsidRDefault="00D904AB" w:rsidP="005C0765">
      <w:pPr>
        <w:spacing w:line="360" w:lineRule="auto"/>
        <w:ind w:firstLine="1440"/>
        <w:rPr>
          <w:sz w:val="26"/>
          <w:szCs w:val="26"/>
        </w:rPr>
      </w:pPr>
    </w:p>
    <w:p w14:paraId="0B3C29A7" w14:textId="46C9E3F0" w:rsidR="00327A4A" w:rsidRDefault="007E2AE5" w:rsidP="005C0765">
      <w:pPr>
        <w:spacing w:line="360" w:lineRule="auto"/>
        <w:ind w:firstLine="1440"/>
        <w:rPr>
          <w:sz w:val="26"/>
          <w:szCs w:val="26"/>
        </w:rPr>
      </w:pPr>
      <w:r>
        <w:rPr>
          <w:sz w:val="26"/>
          <w:szCs w:val="26"/>
        </w:rPr>
        <w:t>ALJ Colwell</w:t>
      </w:r>
      <w:r w:rsidR="00D904AB">
        <w:rPr>
          <w:sz w:val="26"/>
          <w:szCs w:val="26"/>
        </w:rPr>
        <w:t xml:space="preserve"> explained the limits of the </w:t>
      </w:r>
      <w:r>
        <w:rPr>
          <w:sz w:val="26"/>
          <w:szCs w:val="26"/>
        </w:rPr>
        <w:t xml:space="preserve">Commission’s authority to supervise and regulate bona fide cooperative associations pursuant to the exclusion contained in 66 Pa. C.S. </w:t>
      </w:r>
      <w:r w:rsidRPr="007E2AE5">
        <w:rPr>
          <w:sz w:val="26"/>
          <w:szCs w:val="26"/>
        </w:rPr>
        <w:t>§</w:t>
      </w:r>
      <w:r w:rsidR="00A27F81">
        <w:rPr>
          <w:sz w:val="26"/>
          <w:szCs w:val="26"/>
        </w:rPr>
        <w:t xml:space="preserve"> </w:t>
      </w:r>
      <w:r w:rsidRPr="007E2AE5">
        <w:rPr>
          <w:sz w:val="26"/>
          <w:szCs w:val="26"/>
        </w:rPr>
        <w:t xml:space="preserve">102.  The ALJ also </w:t>
      </w:r>
      <w:r>
        <w:rPr>
          <w:sz w:val="26"/>
          <w:szCs w:val="26"/>
        </w:rPr>
        <w:t xml:space="preserve">cited to a prior Commission decision which ruled that formal complaints against entities determined to be bona fide cooperative associations must be dismissed due to lack of jurisdiction.  </w:t>
      </w:r>
      <w:proofErr w:type="gramStart"/>
      <w:r>
        <w:rPr>
          <w:sz w:val="26"/>
          <w:szCs w:val="26"/>
        </w:rPr>
        <w:t xml:space="preserve">I.D. at 6 (citing </w:t>
      </w:r>
      <w:r>
        <w:rPr>
          <w:i/>
          <w:sz w:val="26"/>
          <w:szCs w:val="26"/>
        </w:rPr>
        <w:t xml:space="preserve">John F. Mellon v. </w:t>
      </w:r>
      <w:proofErr w:type="spellStart"/>
      <w:r>
        <w:rPr>
          <w:i/>
          <w:sz w:val="26"/>
          <w:szCs w:val="26"/>
        </w:rPr>
        <w:t>Morea</w:t>
      </w:r>
      <w:proofErr w:type="spellEnd"/>
      <w:r>
        <w:rPr>
          <w:i/>
          <w:sz w:val="26"/>
          <w:szCs w:val="26"/>
        </w:rPr>
        <w:t xml:space="preserve"> Citizens Water Company</w:t>
      </w:r>
      <w:r>
        <w:rPr>
          <w:sz w:val="26"/>
          <w:szCs w:val="26"/>
        </w:rPr>
        <w:t>, Docket No.</w:t>
      </w:r>
      <w:proofErr w:type="gramEnd"/>
      <w:r>
        <w:rPr>
          <w:sz w:val="26"/>
          <w:szCs w:val="26"/>
        </w:rPr>
        <w:t xml:space="preserve"> </w:t>
      </w:r>
      <w:proofErr w:type="gramStart"/>
      <w:r>
        <w:rPr>
          <w:sz w:val="26"/>
          <w:szCs w:val="26"/>
        </w:rPr>
        <w:t xml:space="preserve">C-902997 (Order entered May 20, </w:t>
      </w:r>
      <w:r>
        <w:rPr>
          <w:sz w:val="26"/>
          <w:szCs w:val="26"/>
        </w:rPr>
        <w:lastRenderedPageBreak/>
        <w:t>1991)).</w:t>
      </w:r>
      <w:proofErr w:type="gramEnd"/>
      <w:r>
        <w:rPr>
          <w:sz w:val="26"/>
          <w:szCs w:val="26"/>
        </w:rPr>
        <w:t xml:space="preserve">  </w:t>
      </w:r>
      <w:r w:rsidR="00327A4A">
        <w:rPr>
          <w:sz w:val="26"/>
          <w:szCs w:val="26"/>
        </w:rPr>
        <w:t xml:space="preserve">Additionally, the ALJ referenced the Commission’s previous ruling in the </w:t>
      </w:r>
      <w:proofErr w:type="spellStart"/>
      <w:r w:rsidR="00327A4A">
        <w:rPr>
          <w:i/>
          <w:sz w:val="26"/>
          <w:szCs w:val="26"/>
        </w:rPr>
        <w:t>Gasco</w:t>
      </w:r>
      <w:proofErr w:type="spellEnd"/>
      <w:r w:rsidR="00327A4A">
        <w:rPr>
          <w:i/>
          <w:sz w:val="26"/>
          <w:szCs w:val="26"/>
        </w:rPr>
        <w:t xml:space="preserve"> Order </w:t>
      </w:r>
      <w:r w:rsidR="00327A4A">
        <w:rPr>
          <w:sz w:val="26"/>
          <w:szCs w:val="26"/>
        </w:rPr>
        <w:t xml:space="preserve">in which Knox established a </w:t>
      </w:r>
      <w:r w:rsidR="00327A4A" w:rsidRPr="00327A4A">
        <w:rPr>
          <w:i/>
          <w:sz w:val="26"/>
          <w:szCs w:val="26"/>
        </w:rPr>
        <w:t>prima facie</w:t>
      </w:r>
      <w:r w:rsidR="00327A4A">
        <w:rPr>
          <w:sz w:val="26"/>
          <w:szCs w:val="26"/>
        </w:rPr>
        <w:t xml:space="preserve"> case to support its classification as a bona fide cooperative association.   Consistent with the findings set forth in the </w:t>
      </w:r>
      <w:proofErr w:type="spellStart"/>
      <w:r w:rsidR="00327A4A">
        <w:rPr>
          <w:i/>
          <w:sz w:val="26"/>
          <w:szCs w:val="26"/>
        </w:rPr>
        <w:t>Gasco</w:t>
      </w:r>
      <w:proofErr w:type="spellEnd"/>
      <w:r w:rsidR="00327A4A">
        <w:rPr>
          <w:i/>
          <w:sz w:val="26"/>
          <w:szCs w:val="26"/>
        </w:rPr>
        <w:t xml:space="preserve"> Order</w:t>
      </w:r>
      <w:r w:rsidR="00327A4A">
        <w:rPr>
          <w:sz w:val="26"/>
          <w:szCs w:val="26"/>
        </w:rPr>
        <w:t>, the Respondent averred in its New Matter factors which support the characteristics of a bona fide cooperative association.  I.D. at 6-7.</w:t>
      </w:r>
    </w:p>
    <w:p w14:paraId="629F7A3C" w14:textId="77777777" w:rsidR="00327A4A" w:rsidRDefault="00327A4A" w:rsidP="005C0765">
      <w:pPr>
        <w:spacing w:line="360" w:lineRule="auto"/>
        <w:ind w:firstLine="1440"/>
        <w:rPr>
          <w:sz w:val="26"/>
          <w:szCs w:val="26"/>
        </w:rPr>
      </w:pPr>
    </w:p>
    <w:p w14:paraId="11515E54" w14:textId="47B424D3" w:rsidR="00650171" w:rsidRDefault="00327A4A" w:rsidP="00425D64">
      <w:pPr>
        <w:spacing w:line="360" w:lineRule="auto"/>
        <w:ind w:firstLine="1440"/>
        <w:rPr>
          <w:sz w:val="26"/>
          <w:szCs w:val="26"/>
        </w:rPr>
      </w:pPr>
      <w:r>
        <w:rPr>
          <w:sz w:val="26"/>
          <w:szCs w:val="26"/>
        </w:rPr>
        <w:t xml:space="preserve">Here, the ALJ determined that the sole count alleged in the </w:t>
      </w:r>
      <w:r w:rsidR="004E1E38">
        <w:rPr>
          <w:sz w:val="26"/>
          <w:szCs w:val="26"/>
        </w:rPr>
        <w:t xml:space="preserve">Complaint is not within the </w:t>
      </w:r>
      <w:r>
        <w:rPr>
          <w:sz w:val="26"/>
          <w:szCs w:val="26"/>
        </w:rPr>
        <w:t xml:space="preserve">jurisdiction of the Commission, granted the MJOP and dismissed the Complaint.  </w:t>
      </w:r>
    </w:p>
    <w:p w14:paraId="559A12EF" w14:textId="77777777" w:rsidR="00327A4A" w:rsidRPr="00F911E0" w:rsidRDefault="00327A4A" w:rsidP="00425D64">
      <w:pPr>
        <w:spacing w:line="360" w:lineRule="auto"/>
        <w:ind w:firstLine="1440"/>
        <w:rPr>
          <w:sz w:val="26"/>
          <w:szCs w:val="26"/>
        </w:rPr>
      </w:pPr>
    </w:p>
    <w:p w14:paraId="0868A8A6" w14:textId="79A53A8F" w:rsidR="000E05DD" w:rsidRDefault="00D76ACF" w:rsidP="00E25E67">
      <w:pPr>
        <w:spacing w:line="360" w:lineRule="auto"/>
        <w:rPr>
          <w:b/>
          <w:sz w:val="26"/>
          <w:szCs w:val="26"/>
        </w:rPr>
      </w:pPr>
      <w:r>
        <w:rPr>
          <w:b/>
          <w:sz w:val="26"/>
          <w:szCs w:val="26"/>
        </w:rPr>
        <w:t>Disposition</w:t>
      </w:r>
    </w:p>
    <w:p w14:paraId="365E4BF6" w14:textId="77777777" w:rsidR="002640BC" w:rsidRDefault="002640BC" w:rsidP="00E25E67">
      <w:pPr>
        <w:spacing w:line="360" w:lineRule="auto"/>
        <w:rPr>
          <w:b/>
          <w:sz w:val="26"/>
          <w:szCs w:val="26"/>
        </w:rPr>
      </w:pPr>
    </w:p>
    <w:p w14:paraId="5BEF5308" w14:textId="77777777" w:rsidR="009B15D0" w:rsidRDefault="009B15D0" w:rsidP="00AB3404">
      <w:pPr>
        <w:keepNext/>
        <w:tabs>
          <w:tab w:val="center" w:pos="0"/>
        </w:tabs>
        <w:suppressAutoHyphens/>
        <w:spacing w:line="360" w:lineRule="auto"/>
        <w:rPr>
          <w:sz w:val="26"/>
          <w:szCs w:val="26"/>
        </w:rPr>
      </w:pPr>
      <w:r>
        <w:rPr>
          <w:sz w:val="26"/>
          <w:szCs w:val="26"/>
        </w:rPr>
        <w:tab/>
      </w:r>
      <w:r>
        <w:rPr>
          <w:sz w:val="26"/>
          <w:szCs w:val="26"/>
        </w:rPr>
        <w:tab/>
        <w:t xml:space="preserve">Upon review, we agree that Knox is not a public utility as defined by Section 102 of the Code, 66 Pa. C.S. § 102.  However, neither the Parties to this proceeding nor the ALJ addressed the Commission’s potential jurisdiction over this matter under the Gas and Hazardous Liquids Pipelines Act of 2011 (Act 127), 58 P.S. </w:t>
      </w:r>
    </w:p>
    <w:p w14:paraId="458E47D9" w14:textId="01D26365" w:rsidR="002132B4" w:rsidRDefault="009B15D0" w:rsidP="00AB3404">
      <w:pPr>
        <w:keepNext/>
        <w:tabs>
          <w:tab w:val="center" w:pos="0"/>
        </w:tabs>
        <w:suppressAutoHyphens/>
        <w:spacing w:line="360" w:lineRule="auto"/>
        <w:rPr>
          <w:sz w:val="26"/>
          <w:szCs w:val="26"/>
        </w:rPr>
      </w:pPr>
      <w:proofErr w:type="gramStart"/>
      <w:r>
        <w:rPr>
          <w:sz w:val="26"/>
          <w:szCs w:val="26"/>
        </w:rPr>
        <w:t xml:space="preserve">§§ 801.101, </w:t>
      </w:r>
      <w:r>
        <w:rPr>
          <w:i/>
          <w:sz w:val="26"/>
          <w:szCs w:val="26"/>
        </w:rPr>
        <w:t>et seq.</w:t>
      </w:r>
      <w:proofErr w:type="gramEnd"/>
      <w:r>
        <w:rPr>
          <w:sz w:val="26"/>
          <w:szCs w:val="26"/>
        </w:rPr>
        <w:t xml:space="preserve">  Act 127 expanded the Commiss</w:t>
      </w:r>
      <w:r w:rsidR="00FE0870">
        <w:rPr>
          <w:sz w:val="26"/>
          <w:szCs w:val="26"/>
        </w:rPr>
        <w:t>ion’s authority to enforce the f</w:t>
      </w:r>
      <w:r>
        <w:rPr>
          <w:sz w:val="26"/>
          <w:szCs w:val="26"/>
        </w:rPr>
        <w:t>ederal pipeline safety laws as they relate to non-public utility gas and hazardous liquids pipeline equipment and facilities within the state.  The Commission is empowered to promulgate regulations, inv</w:t>
      </w:r>
      <w:r w:rsidR="002132B4">
        <w:rPr>
          <w:sz w:val="26"/>
          <w:szCs w:val="26"/>
        </w:rPr>
        <w:t xml:space="preserve">estigate pipeline operators’ facilities, practices and safety-related conditions, and where necessary, impose civil penalties or take other appropriate enforcement action for violations.  </w:t>
      </w:r>
    </w:p>
    <w:p w14:paraId="572977FB" w14:textId="77777777" w:rsidR="002132B4" w:rsidRDefault="002132B4" w:rsidP="00AB3404">
      <w:pPr>
        <w:keepNext/>
        <w:tabs>
          <w:tab w:val="center" w:pos="0"/>
        </w:tabs>
        <w:suppressAutoHyphens/>
        <w:spacing w:line="360" w:lineRule="auto"/>
        <w:rPr>
          <w:sz w:val="26"/>
          <w:szCs w:val="26"/>
        </w:rPr>
      </w:pPr>
    </w:p>
    <w:p w14:paraId="53F380B7" w14:textId="08E1E133" w:rsidR="00AB3404" w:rsidRDefault="002132B4" w:rsidP="00AB3404">
      <w:pPr>
        <w:keepNext/>
        <w:tabs>
          <w:tab w:val="center" w:pos="0"/>
        </w:tabs>
        <w:suppressAutoHyphens/>
        <w:spacing w:line="360" w:lineRule="auto"/>
        <w:rPr>
          <w:sz w:val="26"/>
          <w:szCs w:val="26"/>
        </w:rPr>
      </w:pPr>
      <w:r>
        <w:rPr>
          <w:sz w:val="26"/>
          <w:szCs w:val="26"/>
        </w:rPr>
        <w:tab/>
      </w:r>
      <w:r>
        <w:rPr>
          <w:sz w:val="26"/>
          <w:szCs w:val="26"/>
        </w:rPr>
        <w:tab/>
      </w:r>
      <w:r w:rsidR="00AB3404">
        <w:rPr>
          <w:sz w:val="26"/>
          <w:szCs w:val="26"/>
        </w:rPr>
        <w:t>Under Section 501(a) of Act 127, 58 P.S. § 801.501(a), the Commission has the authority to supervise and regulate pipeline operators within Pennsy</w:t>
      </w:r>
      <w:r w:rsidR="00FE0870">
        <w:rPr>
          <w:sz w:val="26"/>
          <w:szCs w:val="26"/>
        </w:rPr>
        <w:t>lvania consistent with f</w:t>
      </w:r>
      <w:r w:rsidR="009B15D0">
        <w:rPr>
          <w:sz w:val="26"/>
          <w:szCs w:val="26"/>
        </w:rPr>
        <w:t>ederal pipeline safety l</w:t>
      </w:r>
      <w:r w:rsidR="00AB3404">
        <w:rPr>
          <w:sz w:val="26"/>
          <w:szCs w:val="26"/>
        </w:rPr>
        <w:t xml:space="preserve">aws.  </w:t>
      </w:r>
      <w:r>
        <w:rPr>
          <w:sz w:val="26"/>
          <w:szCs w:val="26"/>
        </w:rPr>
        <w:t xml:space="preserve">Knox is a registered </w:t>
      </w:r>
      <w:r w:rsidR="004F3D03">
        <w:rPr>
          <w:sz w:val="26"/>
          <w:szCs w:val="26"/>
        </w:rPr>
        <w:t>“</w:t>
      </w:r>
      <w:r>
        <w:rPr>
          <w:sz w:val="26"/>
          <w:szCs w:val="26"/>
        </w:rPr>
        <w:t>pipeline operator</w:t>
      </w:r>
      <w:r w:rsidR="004F3D03">
        <w:rPr>
          <w:sz w:val="26"/>
          <w:szCs w:val="26"/>
        </w:rPr>
        <w:t>”</w:t>
      </w:r>
      <w:r>
        <w:rPr>
          <w:sz w:val="26"/>
          <w:szCs w:val="26"/>
        </w:rPr>
        <w:t xml:space="preserve"> </w:t>
      </w:r>
      <w:r w:rsidR="003D03D4">
        <w:rPr>
          <w:sz w:val="26"/>
          <w:szCs w:val="26"/>
        </w:rPr>
        <w:t xml:space="preserve">as </w:t>
      </w:r>
      <w:r w:rsidR="003D03D4">
        <w:rPr>
          <w:sz w:val="26"/>
          <w:szCs w:val="26"/>
        </w:rPr>
        <w:lastRenderedPageBreak/>
        <w:t>defined by Section 102 of Act 127.</w:t>
      </w:r>
      <w:r w:rsidR="003D03D4">
        <w:rPr>
          <w:rStyle w:val="FootnoteReference"/>
        </w:rPr>
        <w:footnoteReference w:id="4"/>
      </w:r>
      <w:r w:rsidR="003D03D4">
        <w:rPr>
          <w:sz w:val="26"/>
          <w:szCs w:val="26"/>
        </w:rPr>
        <w:t xml:space="preserve">  </w:t>
      </w:r>
      <w:r w:rsidR="005F057C">
        <w:rPr>
          <w:sz w:val="26"/>
          <w:szCs w:val="26"/>
        </w:rPr>
        <w:t>We will take official notice of the Respondent’s gas distribution facilities through its Act 127 Registration</w:t>
      </w:r>
      <w:r w:rsidR="00993DDB">
        <w:rPr>
          <w:sz w:val="26"/>
          <w:szCs w:val="26"/>
        </w:rPr>
        <w:t>s</w:t>
      </w:r>
      <w:r w:rsidR="005F057C">
        <w:rPr>
          <w:sz w:val="26"/>
          <w:szCs w:val="26"/>
        </w:rPr>
        <w:t xml:space="preserve"> pursuant to 52 Pa. Code § 5.408.</w:t>
      </w:r>
      <w:r w:rsidR="005F057C">
        <w:rPr>
          <w:rStyle w:val="FootnoteReference"/>
        </w:rPr>
        <w:footnoteReference w:id="5"/>
      </w:r>
      <w:r w:rsidR="005F057C">
        <w:rPr>
          <w:sz w:val="26"/>
          <w:szCs w:val="26"/>
        </w:rPr>
        <w:t xml:space="preserve"> </w:t>
      </w:r>
    </w:p>
    <w:p w14:paraId="3F9DD6CE" w14:textId="77777777" w:rsidR="00AB3404" w:rsidRDefault="00AB3404" w:rsidP="002640BC">
      <w:pPr>
        <w:spacing w:line="360" w:lineRule="auto"/>
        <w:ind w:firstLine="1440"/>
        <w:rPr>
          <w:sz w:val="26"/>
          <w:szCs w:val="26"/>
        </w:rPr>
      </w:pPr>
    </w:p>
    <w:p w14:paraId="6E092389" w14:textId="6DF43667" w:rsidR="002640BC" w:rsidRDefault="00C160B0" w:rsidP="00783363">
      <w:pPr>
        <w:spacing w:line="360" w:lineRule="auto"/>
        <w:ind w:firstLine="1440"/>
        <w:rPr>
          <w:sz w:val="26"/>
          <w:szCs w:val="26"/>
        </w:rPr>
      </w:pPr>
      <w:r>
        <w:rPr>
          <w:sz w:val="26"/>
          <w:szCs w:val="26"/>
        </w:rPr>
        <w:t>Accordingly, the facility at the center of this dispute, a gas service line, is a “pipeline facility” subject to our jurisdiction under Act 127.</w:t>
      </w:r>
      <w:r>
        <w:rPr>
          <w:rStyle w:val="FootnoteReference"/>
        </w:rPr>
        <w:footnoteReference w:id="6"/>
      </w:r>
      <w:r w:rsidR="00993DDB">
        <w:rPr>
          <w:sz w:val="26"/>
          <w:szCs w:val="26"/>
        </w:rPr>
        <w:t xml:space="preserve">  Because there is no evidentiary record, it is not known whether there is a safety-related condition that should be investigated by </w:t>
      </w:r>
      <w:proofErr w:type="gramStart"/>
      <w:r w:rsidR="00B90D1E">
        <w:rPr>
          <w:sz w:val="26"/>
          <w:szCs w:val="26"/>
        </w:rPr>
        <w:t>I&amp;E</w:t>
      </w:r>
      <w:proofErr w:type="gramEnd"/>
      <w:r w:rsidR="00993DDB">
        <w:rPr>
          <w:sz w:val="26"/>
          <w:szCs w:val="26"/>
        </w:rPr>
        <w:t xml:space="preserve">.  It is appropriate for </w:t>
      </w:r>
      <w:proofErr w:type="gramStart"/>
      <w:r w:rsidR="00993DDB">
        <w:rPr>
          <w:sz w:val="26"/>
          <w:szCs w:val="26"/>
        </w:rPr>
        <w:t>I&amp;E</w:t>
      </w:r>
      <w:proofErr w:type="gramEnd"/>
      <w:r w:rsidR="00993DDB">
        <w:rPr>
          <w:sz w:val="26"/>
          <w:szCs w:val="26"/>
        </w:rPr>
        <w:t xml:space="preserve"> to have the opportunity to examine the safety of the facilities at issue.</w:t>
      </w:r>
    </w:p>
    <w:p w14:paraId="058B7373" w14:textId="77777777" w:rsidR="00993DDB" w:rsidRDefault="00993DDB" w:rsidP="00783363">
      <w:pPr>
        <w:spacing w:line="360" w:lineRule="auto"/>
        <w:ind w:firstLine="1440"/>
        <w:rPr>
          <w:sz w:val="26"/>
          <w:szCs w:val="26"/>
        </w:rPr>
      </w:pPr>
    </w:p>
    <w:p w14:paraId="0310DF10" w14:textId="4A2D744D" w:rsidR="00993DDB" w:rsidRDefault="00993DDB" w:rsidP="00783363">
      <w:pPr>
        <w:spacing w:line="360" w:lineRule="auto"/>
        <w:ind w:firstLine="1440"/>
        <w:rPr>
          <w:sz w:val="26"/>
          <w:szCs w:val="26"/>
        </w:rPr>
      </w:pPr>
      <w:r>
        <w:rPr>
          <w:sz w:val="26"/>
          <w:szCs w:val="26"/>
        </w:rPr>
        <w:t>The scope of this review is a matter of first impression for the Commission.  Act 127 does not expressly address whether private party complaints are permitted.  In considering this question</w:t>
      </w:r>
      <w:r w:rsidR="004F3D03">
        <w:rPr>
          <w:sz w:val="26"/>
          <w:szCs w:val="26"/>
        </w:rPr>
        <w:t>, it is proper to consider the f</w:t>
      </w:r>
      <w:r>
        <w:rPr>
          <w:sz w:val="26"/>
          <w:szCs w:val="26"/>
        </w:rPr>
        <w:t>ederal regulatory scheme that the Commission is charged with enforcing.  The r</w:t>
      </w:r>
      <w:r w:rsidR="004F3D03">
        <w:rPr>
          <w:sz w:val="26"/>
          <w:szCs w:val="26"/>
        </w:rPr>
        <w:t xml:space="preserve">elevant pipeline safety laws </w:t>
      </w:r>
      <w:r>
        <w:rPr>
          <w:sz w:val="26"/>
          <w:szCs w:val="26"/>
        </w:rPr>
        <w:t xml:space="preserve">permit private </w:t>
      </w:r>
      <w:r>
        <w:rPr>
          <w:sz w:val="26"/>
          <w:szCs w:val="26"/>
        </w:rPr>
        <w:lastRenderedPageBreak/>
        <w:t xml:space="preserve">causes of action.  </w:t>
      </w:r>
      <w:proofErr w:type="gramStart"/>
      <w:r>
        <w:rPr>
          <w:sz w:val="26"/>
          <w:szCs w:val="26"/>
        </w:rPr>
        <w:t xml:space="preserve">49 U.S.C. </w:t>
      </w:r>
      <w:r w:rsidRPr="00993DDB">
        <w:rPr>
          <w:sz w:val="26"/>
          <w:szCs w:val="26"/>
        </w:rPr>
        <w:t>§</w:t>
      </w:r>
      <w:r w:rsidR="00B00A69">
        <w:rPr>
          <w:sz w:val="26"/>
          <w:szCs w:val="26"/>
        </w:rPr>
        <w:t xml:space="preserve"> </w:t>
      </w:r>
      <w:r w:rsidRPr="00993DDB">
        <w:rPr>
          <w:sz w:val="26"/>
          <w:szCs w:val="26"/>
        </w:rPr>
        <w:t>60121.</w:t>
      </w:r>
      <w:proofErr w:type="gramEnd"/>
      <w:r>
        <w:rPr>
          <w:rStyle w:val="FootnoteReference"/>
        </w:rPr>
        <w:footnoteReference w:id="7"/>
      </w:r>
      <w:r w:rsidR="003E5947">
        <w:rPr>
          <w:sz w:val="26"/>
          <w:szCs w:val="26"/>
        </w:rPr>
        <w:t xml:space="preserve">  However, the right is not absolute, and these complaints may be preempted in certain circumstances.  As we are charged with supervising pipeline operato</w:t>
      </w:r>
      <w:r w:rsidR="009D4C9C">
        <w:rPr>
          <w:sz w:val="26"/>
          <w:szCs w:val="26"/>
        </w:rPr>
        <w:t>rs in a manner consistent with f</w:t>
      </w:r>
      <w:r w:rsidR="003E5947">
        <w:rPr>
          <w:sz w:val="26"/>
          <w:szCs w:val="26"/>
        </w:rPr>
        <w:t xml:space="preserve">ederal pipeline safety laws, we find it appropriate to allow for private causes of action, consistent with 49 U.S.C. </w:t>
      </w:r>
      <w:r w:rsidR="00B00A69">
        <w:rPr>
          <w:sz w:val="26"/>
          <w:szCs w:val="26"/>
        </w:rPr>
        <w:br/>
      </w:r>
      <w:r w:rsidR="003E5947">
        <w:rPr>
          <w:sz w:val="26"/>
          <w:szCs w:val="26"/>
        </w:rPr>
        <w:t xml:space="preserve">§ 60121.  </w:t>
      </w:r>
    </w:p>
    <w:p w14:paraId="2A28CA0A" w14:textId="77777777" w:rsidR="003E5947" w:rsidRDefault="003E5947" w:rsidP="00783363">
      <w:pPr>
        <w:spacing w:line="360" w:lineRule="auto"/>
        <w:ind w:firstLine="1440"/>
        <w:rPr>
          <w:sz w:val="26"/>
          <w:szCs w:val="26"/>
        </w:rPr>
      </w:pPr>
    </w:p>
    <w:p w14:paraId="79DB9CE6" w14:textId="7DC81A7C" w:rsidR="003E5947" w:rsidRDefault="003E5947" w:rsidP="00783363">
      <w:pPr>
        <w:spacing w:line="360" w:lineRule="auto"/>
        <w:ind w:firstLine="1440"/>
        <w:rPr>
          <w:sz w:val="26"/>
          <w:szCs w:val="26"/>
        </w:rPr>
      </w:pPr>
      <w:r>
        <w:rPr>
          <w:sz w:val="26"/>
          <w:szCs w:val="26"/>
        </w:rPr>
        <w:t xml:space="preserve">For purposes of this proceeding, including the fact that the Complainant is </w:t>
      </w:r>
      <w:r>
        <w:rPr>
          <w:i/>
          <w:sz w:val="26"/>
          <w:szCs w:val="26"/>
        </w:rPr>
        <w:t>pro se</w:t>
      </w:r>
      <w:r>
        <w:rPr>
          <w:sz w:val="26"/>
          <w:szCs w:val="26"/>
        </w:rPr>
        <w:t xml:space="preserve"> and that this is a matter of first impression, we find that the Complainant has satisfied the requirements for bringing a private cause of action under Act 127.  Accordingly, we sh</w:t>
      </w:r>
      <w:r w:rsidR="009228BE">
        <w:rPr>
          <w:sz w:val="26"/>
          <w:szCs w:val="26"/>
        </w:rPr>
        <w:t xml:space="preserve">all remand this matter to the OALJ for further proceedings as deemed necessary.  Additionally, we direct the Law Bureau to review this matter and advise the Commission whether it is appropriate and necessary to revise the Commission’s internal procedures and/or promulgate regulations on the issue of private causes of action under Act 127.  </w:t>
      </w:r>
    </w:p>
    <w:p w14:paraId="388B74F3" w14:textId="77777777" w:rsidR="00275199" w:rsidRDefault="00275199" w:rsidP="00783363">
      <w:pPr>
        <w:spacing w:line="360" w:lineRule="auto"/>
        <w:ind w:firstLine="1440"/>
        <w:rPr>
          <w:sz w:val="26"/>
          <w:szCs w:val="26"/>
        </w:rPr>
      </w:pPr>
    </w:p>
    <w:p w14:paraId="591261AC" w14:textId="740341B4" w:rsidR="00275199" w:rsidRPr="003E5947" w:rsidRDefault="00275199" w:rsidP="00783363">
      <w:pPr>
        <w:spacing w:line="360" w:lineRule="auto"/>
        <w:ind w:firstLine="1440"/>
        <w:rPr>
          <w:sz w:val="26"/>
          <w:szCs w:val="26"/>
        </w:rPr>
      </w:pPr>
      <w:r>
        <w:rPr>
          <w:sz w:val="26"/>
          <w:szCs w:val="26"/>
        </w:rPr>
        <w:t xml:space="preserve">In its Answer and New Matter, Knox stated that it is working with the Complainant to relocate and bury the service line.  If this has occurred, and the Parties are satisfied with the resolution, they are encouraged to file a Certificate of Satisfaction consistent with 52 Pa. Code § 5.24.  Furthermore, the proceeding on remand shall be stayed for sixty days </w:t>
      </w:r>
      <w:r w:rsidR="00072514">
        <w:rPr>
          <w:sz w:val="26"/>
          <w:szCs w:val="26"/>
        </w:rPr>
        <w:t xml:space="preserve">from the date of entry of this Opinion and Order, </w:t>
      </w:r>
      <w:r>
        <w:rPr>
          <w:sz w:val="26"/>
          <w:szCs w:val="26"/>
        </w:rPr>
        <w:t xml:space="preserve">in order for </w:t>
      </w:r>
      <w:proofErr w:type="gramStart"/>
      <w:r>
        <w:rPr>
          <w:sz w:val="26"/>
          <w:szCs w:val="26"/>
        </w:rPr>
        <w:t>I&amp;E</w:t>
      </w:r>
      <w:proofErr w:type="gramEnd"/>
      <w:r>
        <w:rPr>
          <w:sz w:val="26"/>
          <w:szCs w:val="26"/>
        </w:rPr>
        <w:t xml:space="preserve"> to contact the Parties and to conduct an investigation into the Complainant’s allegations.  At </w:t>
      </w:r>
      <w:r>
        <w:rPr>
          <w:sz w:val="26"/>
          <w:szCs w:val="26"/>
        </w:rPr>
        <w:lastRenderedPageBreak/>
        <w:t xml:space="preserve">its discretion, I&amp;E may intervene in this proceeding or, if it chooses, may take additional action it deems to be warranted.  </w:t>
      </w:r>
    </w:p>
    <w:p w14:paraId="7865F182" w14:textId="77777777" w:rsidR="00EF35AA" w:rsidRPr="002640BC" w:rsidRDefault="00EF35AA" w:rsidP="00E25E67">
      <w:pPr>
        <w:spacing w:line="360" w:lineRule="auto"/>
        <w:rPr>
          <w:sz w:val="26"/>
          <w:szCs w:val="26"/>
        </w:rPr>
      </w:pPr>
    </w:p>
    <w:p w14:paraId="6A9B78B2" w14:textId="77777777" w:rsidR="00956972" w:rsidRPr="008618EB" w:rsidRDefault="00956972" w:rsidP="00B53E54">
      <w:pPr>
        <w:keepNext/>
        <w:spacing w:line="360" w:lineRule="auto"/>
        <w:jc w:val="center"/>
        <w:rPr>
          <w:b/>
          <w:sz w:val="26"/>
          <w:szCs w:val="26"/>
        </w:rPr>
      </w:pPr>
      <w:r w:rsidRPr="008618EB">
        <w:rPr>
          <w:b/>
          <w:sz w:val="26"/>
          <w:szCs w:val="26"/>
        </w:rPr>
        <w:t>Conclusion</w:t>
      </w:r>
    </w:p>
    <w:p w14:paraId="6972294A" w14:textId="77777777" w:rsidR="006C56A5" w:rsidRPr="008618EB" w:rsidRDefault="006C56A5" w:rsidP="00B53E54">
      <w:pPr>
        <w:keepNext/>
        <w:spacing w:line="360" w:lineRule="auto"/>
        <w:rPr>
          <w:sz w:val="26"/>
          <w:szCs w:val="26"/>
        </w:rPr>
      </w:pPr>
    </w:p>
    <w:p w14:paraId="5BA6F9E9" w14:textId="419B140B" w:rsidR="00956972" w:rsidRPr="008618EB" w:rsidRDefault="006C56A5" w:rsidP="007E3501">
      <w:pPr>
        <w:spacing w:line="360" w:lineRule="auto"/>
        <w:rPr>
          <w:sz w:val="26"/>
          <w:szCs w:val="26"/>
        </w:rPr>
      </w:pPr>
      <w:r w:rsidRPr="008618EB">
        <w:rPr>
          <w:sz w:val="26"/>
          <w:szCs w:val="26"/>
        </w:rPr>
        <w:tab/>
      </w:r>
      <w:r w:rsidRPr="008618EB">
        <w:rPr>
          <w:sz w:val="26"/>
          <w:szCs w:val="26"/>
        </w:rPr>
        <w:tab/>
      </w:r>
      <w:r w:rsidR="00BF6D1E">
        <w:rPr>
          <w:sz w:val="26"/>
          <w:szCs w:val="26"/>
        </w:rPr>
        <w:t>Consistent with this Opinion and Order</w:t>
      </w:r>
      <w:r w:rsidR="0023377F" w:rsidRPr="008618EB">
        <w:rPr>
          <w:sz w:val="26"/>
          <w:szCs w:val="26"/>
        </w:rPr>
        <w:t>,</w:t>
      </w:r>
      <w:r w:rsidR="00474DBB" w:rsidRPr="008618EB">
        <w:rPr>
          <w:sz w:val="26"/>
          <w:szCs w:val="26"/>
        </w:rPr>
        <w:t xml:space="preserve"> </w:t>
      </w:r>
      <w:r w:rsidR="00FD497B" w:rsidRPr="008618EB">
        <w:rPr>
          <w:sz w:val="26"/>
          <w:szCs w:val="26"/>
        </w:rPr>
        <w:t>w</w:t>
      </w:r>
      <w:r w:rsidR="00B265B1" w:rsidRPr="008618EB">
        <w:rPr>
          <w:sz w:val="26"/>
          <w:szCs w:val="26"/>
        </w:rPr>
        <w:t xml:space="preserve">e </w:t>
      </w:r>
      <w:r w:rsidR="00502D50" w:rsidRPr="008618EB">
        <w:rPr>
          <w:sz w:val="26"/>
          <w:szCs w:val="26"/>
        </w:rPr>
        <w:t>shall</w:t>
      </w:r>
      <w:r w:rsidR="0019318F" w:rsidRPr="008618EB">
        <w:rPr>
          <w:sz w:val="26"/>
          <w:szCs w:val="26"/>
        </w:rPr>
        <w:t xml:space="preserve"> </w:t>
      </w:r>
      <w:r w:rsidR="00BA688D">
        <w:rPr>
          <w:sz w:val="26"/>
          <w:szCs w:val="26"/>
        </w:rPr>
        <w:t>modify</w:t>
      </w:r>
      <w:r w:rsidR="00564D12">
        <w:rPr>
          <w:sz w:val="26"/>
          <w:szCs w:val="26"/>
        </w:rPr>
        <w:t xml:space="preserve"> </w:t>
      </w:r>
      <w:r w:rsidR="006652C6" w:rsidRPr="008618EB">
        <w:rPr>
          <w:sz w:val="26"/>
          <w:szCs w:val="26"/>
        </w:rPr>
        <w:t>the A</w:t>
      </w:r>
      <w:r w:rsidR="0023377F" w:rsidRPr="008618EB">
        <w:rPr>
          <w:sz w:val="26"/>
          <w:szCs w:val="26"/>
        </w:rPr>
        <w:t>LJ’s Initial Decision</w:t>
      </w:r>
      <w:r w:rsidR="00BF6D1E">
        <w:rPr>
          <w:sz w:val="26"/>
          <w:szCs w:val="26"/>
        </w:rPr>
        <w:t xml:space="preserve">, remand the proceeding to the OALJ, and refer the matter to </w:t>
      </w:r>
      <w:proofErr w:type="gramStart"/>
      <w:r w:rsidR="00BF6D1E">
        <w:rPr>
          <w:sz w:val="26"/>
          <w:szCs w:val="26"/>
        </w:rPr>
        <w:t>I&amp;E</w:t>
      </w:r>
      <w:proofErr w:type="gramEnd"/>
      <w:r w:rsidR="00BF6D1E">
        <w:rPr>
          <w:sz w:val="26"/>
          <w:szCs w:val="26"/>
        </w:rPr>
        <w:t xml:space="preserve"> and Law Bureau.  Additionally, we shall stay the remand proceeding for sixty days to permit I&amp;E </w:t>
      </w:r>
      <w:r w:rsidR="004F3D03">
        <w:rPr>
          <w:sz w:val="26"/>
          <w:szCs w:val="26"/>
        </w:rPr>
        <w:t xml:space="preserve">to </w:t>
      </w:r>
      <w:r w:rsidR="00335DEE">
        <w:rPr>
          <w:sz w:val="26"/>
          <w:szCs w:val="26"/>
        </w:rPr>
        <w:t xml:space="preserve">contact the Parties, </w:t>
      </w:r>
      <w:r w:rsidR="00BF6D1E">
        <w:rPr>
          <w:sz w:val="26"/>
          <w:szCs w:val="26"/>
        </w:rPr>
        <w:t>conduct an investigation into the Complainant’s allegations</w:t>
      </w:r>
      <w:r w:rsidR="00335DEE">
        <w:rPr>
          <w:sz w:val="26"/>
          <w:szCs w:val="26"/>
        </w:rPr>
        <w:t>, and intervene,</w:t>
      </w:r>
      <w:r w:rsidR="0026471D">
        <w:rPr>
          <w:sz w:val="26"/>
          <w:szCs w:val="26"/>
        </w:rPr>
        <w:t xml:space="preserve"> as it deems warranted</w:t>
      </w:r>
      <w:r w:rsidR="00905434" w:rsidRPr="008618EB">
        <w:rPr>
          <w:sz w:val="26"/>
          <w:szCs w:val="26"/>
        </w:rPr>
        <w:t>;</w:t>
      </w:r>
      <w:r w:rsidR="00956972" w:rsidRPr="008618EB">
        <w:rPr>
          <w:sz w:val="26"/>
          <w:szCs w:val="26"/>
        </w:rPr>
        <w:t xml:space="preserve"> </w:t>
      </w:r>
      <w:r w:rsidR="00956972" w:rsidRPr="008618EB">
        <w:rPr>
          <w:b/>
          <w:sz w:val="26"/>
          <w:szCs w:val="26"/>
        </w:rPr>
        <w:t>THEREFORE,</w:t>
      </w:r>
      <w:r w:rsidR="00956972" w:rsidRPr="008618EB">
        <w:rPr>
          <w:sz w:val="26"/>
          <w:szCs w:val="26"/>
        </w:rPr>
        <w:t xml:space="preserve"> </w:t>
      </w:r>
    </w:p>
    <w:p w14:paraId="41C83EFD" w14:textId="77777777" w:rsidR="005E12DC" w:rsidRDefault="00934A5A" w:rsidP="001A1AD3">
      <w:pPr>
        <w:spacing w:line="360" w:lineRule="auto"/>
        <w:rPr>
          <w:b/>
          <w:sz w:val="26"/>
          <w:szCs w:val="26"/>
        </w:rPr>
      </w:pPr>
      <w:r>
        <w:rPr>
          <w:b/>
          <w:sz w:val="26"/>
          <w:szCs w:val="26"/>
        </w:rPr>
        <w:tab/>
      </w:r>
      <w:r>
        <w:rPr>
          <w:b/>
          <w:sz w:val="26"/>
          <w:szCs w:val="26"/>
        </w:rPr>
        <w:tab/>
      </w:r>
    </w:p>
    <w:p w14:paraId="187CB952" w14:textId="34C3BB12" w:rsidR="001A1AD3" w:rsidRPr="007A3463" w:rsidRDefault="001A1AD3" w:rsidP="005E12DC">
      <w:pPr>
        <w:ind w:left="720" w:firstLine="720"/>
        <w:rPr>
          <w:b/>
          <w:sz w:val="26"/>
          <w:szCs w:val="26"/>
        </w:rPr>
      </w:pPr>
      <w:r w:rsidRPr="007A3463">
        <w:rPr>
          <w:b/>
          <w:sz w:val="26"/>
          <w:szCs w:val="26"/>
        </w:rPr>
        <w:t>IT IS ORDERED:</w:t>
      </w:r>
    </w:p>
    <w:p w14:paraId="03DE4227" w14:textId="77777777" w:rsidR="001A1AD3" w:rsidRPr="007A3463" w:rsidRDefault="001A1AD3" w:rsidP="001A1AD3">
      <w:pPr>
        <w:spacing w:line="360" w:lineRule="auto"/>
        <w:rPr>
          <w:sz w:val="26"/>
          <w:szCs w:val="26"/>
        </w:rPr>
      </w:pPr>
    </w:p>
    <w:p w14:paraId="009C90F6" w14:textId="4E7EF00A" w:rsidR="00F97807" w:rsidRDefault="001A1AD3" w:rsidP="00F97807">
      <w:pPr>
        <w:spacing w:line="360" w:lineRule="auto"/>
        <w:rPr>
          <w:sz w:val="26"/>
          <w:szCs w:val="26"/>
        </w:rPr>
      </w:pPr>
      <w:r w:rsidRPr="007A3463">
        <w:rPr>
          <w:sz w:val="26"/>
          <w:szCs w:val="26"/>
        </w:rPr>
        <w:tab/>
      </w:r>
      <w:r w:rsidRPr="007A3463">
        <w:rPr>
          <w:sz w:val="26"/>
          <w:szCs w:val="26"/>
        </w:rPr>
        <w:tab/>
      </w:r>
      <w:r w:rsidR="0019251E" w:rsidRPr="007A3463">
        <w:rPr>
          <w:sz w:val="26"/>
          <w:szCs w:val="26"/>
        </w:rPr>
        <w:t>1</w:t>
      </w:r>
      <w:r w:rsidR="00431F78" w:rsidRPr="007A3463">
        <w:rPr>
          <w:sz w:val="26"/>
          <w:szCs w:val="26"/>
        </w:rPr>
        <w:t>.</w:t>
      </w:r>
      <w:r w:rsidR="00431F78" w:rsidRPr="007A3463">
        <w:rPr>
          <w:b/>
          <w:sz w:val="26"/>
          <w:szCs w:val="26"/>
        </w:rPr>
        <w:tab/>
      </w:r>
      <w:r w:rsidR="00431F78" w:rsidRPr="007A3463">
        <w:rPr>
          <w:sz w:val="26"/>
          <w:szCs w:val="26"/>
        </w:rPr>
        <w:t xml:space="preserve">That the </w:t>
      </w:r>
      <w:r w:rsidR="00527A20" w:rsidRPr="007A3463">
        <w:rPr>
          <w:sz w:val="26"/>
          <w:szCs w:val="26"/>
        </w:rPr>
        <w:t xml:space="preserve">Initial Decision of </w:t>
      </w:r>
      <w:r w:rsidR="00DA4329" w:rsidRPr="0045502C">
        <w:rPr>
          <w:sz w:val="26"/>
          <w:szCs w:val="26"/>
        </w:rPr>
        <w:t xml:space="preserve">Administrative Law Judge </w:t>
      </w:r>
      <w:r w:rsidR="00335DEE">
        <w:rPr>
          <w:sz w:val="26"/>
          <w:szCs w:val="26"/>
        </w:rPr>
        <w:t>Susan D. Colwell</w:t>
      </w:r>
      <w:r w:rsidR="00DA4329" w:rsidRPr="0045502C">
        <w:rPr>
          <w:sz w:val="26"/>
          <w:szCs w:val="26"/>
        </w:rPr>
        <w:t xml:space="preserve">, issued on </w:t>
      </w:r>
      <w:r w:rsidR="00335DEE">
        <w:rPr>
          <w:sz w:val="26"/>
          <w:szCs w:val="26"/>
        </w:rPr>
        <w:t>April 3</w:t>
      </w:r>
      <w:r w:rsidR="00DA4329">
        <w:rPr>
          <w:sz w:val="26"/>
          <w:szCs w:val="26"/>
        </w:rPr>
        <w:t>, 2015</w:t>
      </w:r>
      <w:r w:rsidR="006652C6" w:rsidRPr="007A3463">
        <w:rPr>
          <w:sz w:val="26"/>
          <w:szCs w:val="26"/>
        </w:rPr>
        <w:t>,</w:t>
      </w:r>
      <w:r w:rsidR="008E45DB" w:rsidRPr="007A3463">
        <w:rPr>
          <w:sz w:val="26"/>
          <w:szCs w:val="26"/>
        </w:rPr>
        <w:t xml:space="preserve"> </w:t>
      </w:r>
      <w:r w:rsidR="005154BC" w:rsidRPr="007A3463">
        <w:rPr>
          <w:sz w:val="26"/>
          <w:szCs w:val="26"/>
        </w:rPr>
        <w:t xml:space="preserve">is </w:t>
      </w:r>
      <w:r w:rsidR="00B90D1E">
        <w:rPr>
          <w:sz w:val="26"/>
          <w:szCs w:val="26"/>
        </w:rPr>
        <w:t>modified</w:t>
      </w:r>
      <w:r w:rsidR="00564D12">
        <w:rPr>
          <w:sz w:val="26"/>
          <w:szCs w:val="26"/>
        </w:rPr>
        <w:t>, consistent with this Opinion and Order.</w:t>
      </w:r>
    </w:p>
    <w:p w14:paraId="1171E917" w14:textId="77777777" w:rsidR="008618EB" w:rsidRDefault="008618EB" w:rsidP="00F97807">
      <w:pPr>
        <w:spacing w:line="360" w:lineRule="auto"/>
        <w:rPr>
          <w:sz w:val="26"/>
          <w:szCs w:val="26"/>
        </w:rPr>
      </w:pPr>
    </w:p>
    <w:p w14:paraId="79883713" w14:textId="5C891035" w:rsidR="00B90D1E" w:rsidRDefault="008618EB" w:rsidP="00B90D1E">
      <w:pPr>
        <w:spacing w:line="360" w:lineRule="auto"/>
        <w:ind w:firstLine="1440"/>
        <w:rPr>
          <w:sz w:val="26"/>
          <w:szCs w:val="26"/>
        </w:rPr>
      </w:pPr>
      <w:r>
        <w:rPr>
          <w:sz w:val="26"/>
          <w:szCs w:val="26"/>
        </w:rPr>
        <w:t>2.</w:t>
      </w:r>
      <w:r>
        <w:rPr>
          <w:sz w:val="26"/>
          <w:szCs w:val="26"/>
        </w:rPr>
        <w:tab/>
      </w:r>
      <w:r w:rsidR="00B90D1E" w:rsidRPr="00B90D1E">
        <w:rPr>
          <w:sz w:val="26"/>
          <w:szCs w:val="26"/>
        </w:rPr>
        <w:t xml:space="preserve">That the matter docketed at </w:t>
      </w:r>
      <w:r w:rsidR="00B90D1E">
        <w:rPr>
          <w:sz w:val="26"/>
          <w:szCs w:val="26"/>
        </w:rPr>
        <w:t>C-2015-2462487</w:t>
      </w:r>
      <w:r w:rsidR="00B90D1E" w:rsidRPr="00B90D1E">
        <w:rPr>
          <w:sz w:val="26"/>
          <w:szCs w:val="26"/>
        </w:rPr>
        <w:t xml:space="preserve"> is remanded to the Office of Administrative Law </w:t>
      </w:r>
      <w:r w:rsidR="00072514">
        <w:rPr>
          <w:sz w:val="26"/>
          <w:szCs w:val="26"/>
        </w:rPr>
        <w:t>J</w:t>
      </w:r>
      <w:r w:rsidR="00B90D1E" w:rsidRPr="00B90D1E">
        <w:rPr>
          <w:sz w:val="26"/>
          <w:szCs w:val="26"/>
        </w:rPr>
        <w:t>udge for such further proceedings as may be warranted.</w:t>
      </w:r>
    </w:p>
    <w:p w14:paraId="4CD80ABC" w14:textId="77777777" w:rsidR="00B90D1E" w:rsidRDefault="00B90D1E" w:rsidP="00B90D1E">
      <w:pPr>
        <w:spacing w:line="360" w:lineRule="auto"/>
        <w:ind w:firstLine="1440"/>
        <w:rPr>
          <w:sz w:val="26"/>
          <w:szCs w:val="26"/>
        </w:rPr>
      </w:pPr>
    </w:p>
    <w:p w14:paraId="1720B387" w14:textId="6321A2DD" w:rsidR="00B90D1E" w:rsidRDefault="00B90D1E" w:rsidP="00B90D1E">
      <w:pPr>
        <w:spacing w:line="360" w:lineRule="auto"/>
        <w:ind w:firstLine="1440"/>
        <w:rPr>
          <w:sz w:val="26"/>
          <w:szCs w:val="26"/>
        </w:rPr>
      </w:pPr>
      <w:r>
        <w:rPr>
          <w:sz w:val="26"/>
          <w:szCs w:val="26"/>
        </w:rPr>
        <w:t xml:space="preserve">3. </w:t>
      </w:r>
      <w:r>
        <w:rPr>
          <w:sz w:val="26"/>
          <w:szCs w:val="26"/>
        </w:rPr>
        <w:tab/>
        <w:t xml:space="preserve">That </w:t>
      </w:r>
      <w:r w:rsidR="009D4C9C">
        <w:rPr>
          <w:sz w:val="26"/>
          <w:szCs w:val="26"/>
        </w:rPr>
        <w:t>the</w:t>
      </w:r>
      <w:r>
        <w:rPr>
          <w:sz w:val="26"/>
          <w:szCs w:val="26"/>
        </w:rPr>
        <w:t xml:space="preserve"> remand </w:t>
      </w:r>
      <w:r w:rsidR="009D4C9C">
        <w:rPr>
          <w:sz w:val="26"/>
          <w:szCs w:val="26"/>
        </w:rPr>
        <w:t xml:space="preserve">proceeding </w:t>
      </w:r>
      <w:r>
        <w:rPr>
          <w:sz w:val="26"/>
          <w:szCs w:val="26"/>
        </w:rPr>
        <w:t xml:space="preserve">shall be stayed for sixty </w:t>
      </w:r>
      <w:r w:rsidR="009D4C9C">
        <w:rPr>
          <w:sz w:val="26"/>
          <w:szCs w:val="26"/>
        </w:rPr>
        <w:t xml:space="preserve">(60) </w:t>
      </w:r>
      <w:r>
        <w:rPr>
          <w:sz w:val="26"/>
          <w:szCs w:val="26"/>
        </w:rPr>
        <w:t xml:space="preserve">days </w:t>
      </w:r>
      <w:r w:rsidR="00072514">
        <w:rPr>
          <w:sz w:val="26"/>
          <w:szCs w:val="26"/>
        </w:rPr>
        <w:t xml:space="preserve">from the date of entry of this Opinion and Order </w:t>
      </w:r>
      <w:r>
        <w:rPr>
          <w:sz w:val="26"/>
          <w:szCs w:val="26"/>
        </w:rPr>
        <w:t>to permit the Commission’s Bureau of Investigation and Enforcement to contact the Parties, conduct an investigation into the Complainant’s allegations</w:t>
      </w:r>
      <w:r w:rsidR="009D4C9C">
        <w:rPr>
          <w:sz w:val="26"/>
          <w:szCs w:val="26"/>
        </w:rPr>
        <w:t xml:space="preserve">, </w:t>
      </w:r>
      <w:r>
        <w:rPr>
          <w:sz w:val="26"/>
          <w:szCs w:val="26"/>
        </w:rPr>
        <w:t>intervene</w:t>
      </w:r>
      <w:r w:rsidR="00B6012C">
        <w:rPr>
          <w:sz w:val="26"/>
          <w:szCs w:val="26"/>
        </w:rPr>
        <w:t xml:space="preserve"> or </w:t>
      </w:r>
      <w:r w:rsidR="009D4C9C">
        <w:rPr>
          <w:sz w:val="26"/>
          <w:szCs w:val="26"/>
        </w:rPr>
        <w:t>take additional action, it deems to be warranted.</w:t>
      </w:r>
    </w:p>
    <w:p w14:paraId="5064315B" w14:textId="77777777" w:rsidR="009D4C9C" w:rsidRDefault="009D4C9C" w:rsidP="00B90D1E">
      <w:pPr>
        <w:spacing w:line="360" w:lineRule="auto"/>
        <w:ind w:firstLine="1440"/>
        <w:rPr>
          <w:sz w:val="26"/>
          <w:szCs w:val="26"/>
        </w:rPr>
      </w:pPr>
    </w:p>
    <w:p w14:paraId="0965E3C3" w14:textId="77777777" w:rsidR="00B6012C" w:rsidRDefault="00B6012C">
      <w:pPr>
        <w:rPr>
          <w:sz w:val="26"/>
          <w:szCs w:val="26"/>
        </w:rPr>
      </w:pPr>
      <w:r>
        <w:rPr>
          <w:sz w:val="26"/>
          <w:szCs w:val="26"/>
        </w:rPr>
        <w:br w:type="page"/>
      </w:r>
    </w:p>
    <w:p w14:paraId="076CD579" w14:textId="70690EB3" w:rsidR="009D4C9C" w:rsidRPr="00B90D1E" w:rsidRDefault="009D4C9C" w:rsidP="00B90D1E">
      <w:pPr>
        <w:spacing w:line="360" w:lineRule="auto"/>
        <w:ind w:firstLine="1440"/>
        <w:rPr>
          <w:sz w:val="26"/>
          <w:szCs w:val="26"/>
        </w:rPr>
      </w:pPr>
      <w:r>
        <w:rPr>
          <w:sz w:val="26"/>
          <w:szCs w:val="26"/>
        </w:rPr>
        <w:lastRenderedPageBreak/>
        <w:t xml:space="preserve">4.  </w:t>
      </w:r>
      <w:r>
        <w:rPr>
          <w:sz w:val="26"/>
          <w:szCs w:val="26"/>
        </w:rPr>
        <w:tab/>
        <w:t xml:space="preserve">That a copy of this Opinion and Order shall be served on the Bureau of Investigation </w:t>
      </w:r>
      <w:r w:rsidR="00B6012C">
        <w:rPr>
          <w:sz w:val="26"/>
          <w:szCs w:val="26"/>
        </w:rPr>
        <w:t xml:space="preserve">and Enforcement </w:t>
      </w:r>
      <w:r>
        <w:rPr>
          <w:sz w:val="26"/>
          <w:szCs w:val="26"/>
        </w:rPr>
        <w:t xml:space="preserve">and the Law Bureau. </w:t>
      </w:r>
    </w:p>
    <w:p w14:paraId="21A1A0F9" w14:textId="76CB8A5E" w:rsidR="004D2B3C" w:rsidRPr="004D2B3C" w:rsidRDefault="004D2B3C" w:rsidP="00335DEE">
      <w:pPr>
        <w:spacing w:line="360" w:lineRule="auto"/>
        <w:rPr>
          <w:sz w:val="26"/>
          <w:szCs w:val="26"/>
        </w:rPr>
      </w:pPr>
    </w:p>
    <w:p w14:paraId="5E516A88" w14:textId="7BB1B51F" w:rsidR="00503B2F" w:rsidRPr="007A3463" w:rsidRDefault="006752DC" w:rsidP="00E25E67">
      <w:pPr>
        <w:keepNext/>
        <w:spacing w:line="360" w:lineRule="auto"/>
        <w:rPr>
          <w:sz w:val="26"/>
        </w:rPr>
      </w:pPr>
      <w:bookmarkStart w:id="0" w:name="_GoBack"/>
      <w:r w:rsidRPr="00F45E06">
        <w:rPr>
          <w:b/>
          <w:noProof/>
        </w:rPr>
        <w:drawing>
          <wp:anchor distT="0" distB="0" distL="114300" distR="114300" simplePos="0" relativeHeight="251659264" behindDoc="1" locked="0" layoutInCell="1" allowOverlap="1" wp14:anchorId="4850DD2E" wp14:editId="6B7E5587">
            <wp:simplePos x="0" y="0"/>
            <wp:positionH relativeFrom="column">
              <wp:posOffset>3007360</wp:posOffset>
            </wp:positionH>
            <wp:positionV relativeFrom="paragraph">
              <wp:posOffset>149225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2E7206" w:rsidRPr="007A3463">
        <w:rPr>
          <w:sz w:val="26"/>
          <w:szCs w:val="26"/>
        </w:rPr>
        <w:tab/>
      </w:r>
      <w:r w:rsidR="002E7206" w:rsidRPr="007A3463">
        <w:rPr>
          <w:sz w:val="26"/>
          <w:szCs w:val="26"/>
        </w:rPr>
        <w:tab/>
      </w:r>
      <w:r w:rsidR="001A1AD3" w:rsidRPr="007A3463">
        <w:rPr>
          <w:sz w:val="26"/>
          <w:szCs w:val="26"/>
        </w:rPr>
        <w:tab/>
      </w:r>
      <w:r w:rsidR="001A1AD3" w:rsidRPr="007A3463">
        <w:rPr>
          <w:sz w:val="26"/>
          <w:szCs w:val="26"/>
        </w:rPr>
        <w:tab/>
      </w:r>
      <w:r w:rsidR="0019251E" w:rsidRPr="007A3463">
        <w:rPr>
          <w:sz w:val="26"/>
          <w:szCs w:val="26"/>
        </w:rPr>
        <w:tab/>
      </w:r>
      <w:r w:rsidR="001A1AD3" w:rsidRPr="007A3463">
        <w:rPr>
          <w:sz w:val="26"/>
          <w:szCs w:val="26"/>
        </w:rPr>
        <w:tab/>
      </w:r>
      <w:r w:rsidR="001A1AD3" w:rsidRPr="007A3463">
        <w:rPr>
          <w:sz w:val="26"/>
          <w:szCs w:val="26"/>
        </w:rPr>
        <w:tab/>
      </w:r>
      <w:r w:rsidR="00503B2F" w:rsidRPr="007A3463">
        <w:rPr>
          <w:b/>
          <w:sz w:val="26"/>
        </w:rPr>
        <w:t>BY THE COMMISSION,</w:t>
      </w:r>
    </w:p>
    <w:p w14:paraId="7470D957" w14:textId="77777777" w:rsidR="00503B2F" w:rsidRPr="007A3463" w:rsidRDefault="00503B2F" w:rsidP="00E25E67">
      <w:pPr>
        <w:keepNext/>
        <w:tabs>
          <w:tab w:val="left" w:pos="-720"/>
        </w:tabs>
        <w:suppressAutoHyphens/>
        <w:rPr>
          <w:sz w:val="26"/>
        </w:rPr>
      </w:pPr>
    </w:p>
    <w:p w14:paraId="284EDB10" w14:textId="2311C4A5" w:rsidR="00503B2F" w:rsidRPr="007A3463" w:rsidRDefault="00503B2F" w:rsidP="00E25E67">
      <w:pPr>
        <w:keepNext/>
        <w:tabs>
          <w:tab w:val="left" w:pos="-720"/>
        </w:tabs>
        <w:suppressAutoHyphens/>
        <w:rPr>
          <w:sz w:val="26"/>
        </w:rPr>
      </w:pPr>
    </w:p>
    <w:p w14:paraId="7436C369" w14:textId="77777777" w:rsidR="00503B2F" w:rsidRPr="007A3463" w:rsidRDefault="00503B2F" w:rsidP="00E25E67">
      <w:pPr>
        <w:keepNext/>
        <w:tabs>
          <w:tab w:val="left" w:pos="-720"/>
        </w:tabs>
        <w:suppressAutoHyphens/>
        <w:rPr>
          <w:sz w:val="26"/>
        </w:rPr>
      </w:pPr>
    </w:p>
    <w:p w14:paraId="73F381BC" w14:textId="77777777" w:rsidR="00503B2F" w:rsidRPr="007A3463" w:rsidRDefault="00503B2F" w:rsidP="00E25E67">
      <w:pPr>
        <w:keepNext/>
        <w:tabs>
          <w:tab w:val="left" w:pos="-720"/>
        </w:tabs>
        <w:suppressAutoHyphens/>
        <w:rPr>
          <w:sz w:val="26"/>
        </w:rPr>
      </w:pPr>
      <w:r w:rsidRPr="007A3463">
        <w:rPr>
          <w:sz w:val="26"/>
        </w:rPr>
        <w:tab/>
      </w:r>
      <w:r w:rsidRPr="007A3463">
        <w:rPr>
          <w:sz w:val="26"/>
        </w:rPr>
        <w:tab/>
      </w:r>
      <w:r w:rsidRPr="007A3463">
        <w:rPr>
          <w:sz w:val="26"/>
        </w:rPr>
        <w:tab/>
      </w:r>
      <w:r w:rsidRPr="007A3463">
        <w:rPr>
          <w:sz w:val="26"/>
        </w:rPr>
        <w:tab/>
      </w:r>
      <w:r w:rsidRPr="007A3463">
        <w:rPr>
          <w:sz w:val="26"/>
        </w:rPr>
        <w:tab/>
      </w:r>
      <w:r w:rsidRPr="007A3463">
        <w:rPr>
          <w:sz w:val="26"/>
        </w:rPr>
        <w:tab/>
      </w:r>
      <w:r w:rsidRPr="007A3463">
        <w:rPr>
          <w:sz w:val="26"/>
        </w:rPr>
        <w:tab/>
        <w:t>Rosemary Chiavetta</w:t>
      </w:r>
    </w:p>
    <w:p w14:paraId="5FC50D65" w14:textId="77777777" w:rsidR="00503B2F" w:rsidRPr="007A3463" w:rsidRDefault="00503B2F" w:rsidP="00E25E67">
      <w:pPr>
        <w:keepNext/>
        <w:tabs>
          <w:tab w:val="left" w:pos="-720"/>
        </w:tabs>
        <w:suppressAutoHyphens/>
        <w:rPr>
          <w:sz w:val="26"/>
        </w:rPr>
      </w:pPr>
      <w:r w:rsidRPr="007A3463">
        <w:rPr>
          <w:sz w:val="26"/>
        </w:rPr>
        <w:tab/>
      </w:r>
      <w:r w:rsidRPr="007A3463">
        <w:rPr>
          <w:sz w:val="26"/>
        </w:rPr>
        <w:tab/>
      </w:r>
      <w:r w:rsidRPr="007A3463">
        <w:rPr>
          <w:sz w:val="26"/>
        </w:rPr>
        <w:tab/>
      </w:r>
      <w:r w:rsidRPr="007A3463">
        <w:rPr>
          <w:sz w:val="26"/>
        </w:rPr>
        <w:tab/>
      </w:r>
      <w:r w:rsidRPr="007A3463">
        <w:rPr>
          <w:sz w:val="26"/>
        </w:rPr>
        <w:tab/>
      </w:r>
      <w:r w:rsidRPr="007A3463">
        <w:rPr>
          <w:sz w:val="26"/>
        </w:rPr>
        <w:tab/>
      </w:r>
      <w:r w:rsidRPr="007A3463">
        <w:rPr>
          <w:sz w:val="26"/>
        </w:rPr>
        <w:tab/>
        <w:t>Secretary</w:t>
      </w:r>
    </w:p>
    <w:p w14:paraId="259FBE86" w14:textId="77777777" w:rsidR="00503B2F" w:rsidRPr="007A3463" w:rsidRDefault="00503B2F" w:rsidP="00E25E67">
      <w:pPr>
        <w:keepNext/>
        <w:tabs>
          <w:tab w:val="left" w:pos="-720"/>
        </w:tabs>
        <w:suppressAutoHyphens/>
        <w:rPr>
          <w:sz w:val="26"/>
        </w:rPr>
      </w:pPr>
    </w:p>
    <w:p w14:paraId="7C5CE48E" w14:textId="77777777" w:rsidR="00503B2F" w:rsidRPr="007A3463" w:rsidRDefault="00503B2F" w:rsidP="00E25E67">
      <w:pPr>
        <w:keepNext/>
        <w:tabs>
          <w:tab w:val="left" w:pos="-720"/>
        </w:tabs>
        <w:suppressAutoHyphens/>
        <w:rPr>
          <w:sz w:val="26"/>
        </w:rPr>
      </w:pPr>
      <w:r w:rsidRPr="007A3463">
        <w:rPr>
          <w:sz w:val="26"/>
        </w:rPr>
        <w:t>(SEAL)</w:t>
      </w:r>
    </w:p>
    <w:p w14:paraId="12B91F8A" w14:textId="77777777" w:rsidR="00503B2F" w:rsidRPr="007A3463" w:rsidRDefault="00503B2F" w:rsidP="00E25E67">
      <w:pPr>
        <w:keepNext/>
        <w:tabs>
          <w:tab w:val="left" w:pos="-720"/>
        </w:tabs>
        <w:suppressAutoHyphens/>
        <w:rPr>
          <w:sz w:val="26"/>
        </w:rPr>
      </w:pPr>
    </w:p>
    <w:p w14:paraId="62FB9FA9" w14:textId="648310CE" w:rsidR="00503B2F" w:rsidRPr="007A3463" w:rsidRDefault="00503B2F" w:rsidP="00E25E67">
      <w:pPr>
        <w:keepNext/>
        <w:tabs>
          <w:tab w:val="left" w:pos="-720"/>
        </w:tabs>
        <w:suppressAutoHyphens/>
        <w:rPr>
          <w:sz w:val="26"/>
        </w:rPr>
      </w:pPr>
      <w:r w:rsidRPr="007A3463">
        <w:rPr>
          <w:sz w:val="26"/>
        </w:rPr>
        <w:t>ORDER ADOPTED:</w:t>
      </w:r>
      <w:r w:rsidR="00FF14E7" w:rsidRPr="007A3463">
        <w:rPr>
          <w:sz w:val="26"/>
        </w:rPr>
        <w:t xml:space="preserve">  </w:t>
      </w:r>
      <w:r w:rsidR="009D4C9C">
        <w:rPr>
          <w:sz w:val="26"/>
        </w:rPr>
        <w:t>August 20</w:t>
      </w:r>
      <w:r w:rsidR="00231600">
        <w:rPr>
          <w:sz w:val="26"/>
        </w:rPr>
        <w:t>, 2015</w:t>
      </w:r>
    </w:p>
    <w:p w14:paraId="6A290EE1" w14:textId="77777777" w:rsidR="00503B2F" w:rsidRPr="007A3463" w:rsidRDefault="00503B2F" w:rsidP="00E25E67">
      <w:pPr>
        <w:keepNext/>
        <w:tabs>
          <w:tab w:val="left" w:pos="-720"/>
        </w:tabs>
        <w:suppressAutoHyphens/>
        <w:rPr>
          <w:sz w:val="26"/>
        </w:rPr>
      </w:pPr>
    </w:p>
    <w:p w14:paraId="442CAA93" w14:textId="3940BC6C" w:rsidR="009304FE" w:rsidRPr="007A3463" w:rsidRDefault="00DD3119" w:rsidP="00E25E67">
      <w:pPr>
        <w:keepNext/>
        <w:tabs>
          <w:tab w:val="left" w:pos="-720"/>
        </w:tabs>
        <w:suppressAutoHyphens/>
      </w:pPr>
      <w:r w:rsidRPr="007A3463">
        <w:rPr>
          <w:sz w:val="26"/>
        </w:rPr>
        <w:t xml:space="preserve">ORDER ENTERED:  </w:t>
      </w:r>
      <w:r w:rsidR="006752DC">
        <w:rPr>
          <w:sz w:val="26"/>
        </w:rPr>
        <w:t>September 3, 2015</w:t>
      </w:r>
    </w:p>
    <w:sectPr w:rsidR="009304FE" w:rsidRPr="007A3463"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387BED" w14:textId="77777777" w:rsidR="002714F4" w:rsidRDefault="002714F4">
      <w:r>
        <w:separator/>
      </w:r>
    </w:p>
  </w:endnote>
  <w:endnote w:type="continuationSeparator" w:id="0">
    <w:p w14:paraId="7B6E6D47" w14:textId="77777777" w:rsidR="002714F4" w:rsidRDefault="002714F4">
      <w:r>
        <w:continuationSeparator/>
      </w:r>
    </w:p>
  </w:endnote>
  <w:endnote w:type="continuationNotice" w:id="1">
    <w:p w14:paraId="38FC8AD0" w14:textId="77777777" w:rsidR="002714F4" w:rsidRDefault="002714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G 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75CD3" w14:textId="77777777" w:rsidR="00743716" w:rsidRDefault="00743716"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10E95D" w14:textId="77777777" w:rsidR="00743716" w:rsidRDefault="007437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BDCB2" w14:textId="77777777" w:rsidR="00743716" w:rsidRDefault="00743716"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52DC">
      <w:rPr>
        <w:rStyle w:val="PageNumber"/>
        <w:noProof/>
      </w:rPr>
      <w:t>11</w:t>
    </w:r>
    <w:r>
      <w:rPr>
        <w:rStyle w:val="PageNumber"/>
      </w:rPr>
      <w:fldChar w:fldCharType="end"/>
    </w:r>
  </w:p>
  <w:p w14:paraId="753E7F3D" w14:textId="77777777" w:rsidR="00743716" w:rsidRDefault="007437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1A89B" w14:textId="77777777" w:rsidR="002714F4" w:rsidRDefault="002714F4">
      <w:r>
        <w:separator/>
      </w:r>
    </w:p>
  </w:footnote>
  <w:footnote w:type="continuationSeparator" w:id="0">
    <w:p w14:paraId="326C1423" w14:textId="77777777" w:rsidR="002714F4" w:rsidRDefault="002714F4">
      <w:r>
        <w:continuationSeparator/>
      </w:r>
    </w:p>
  </w:footnote>
  <w:footnote w:type="continuationNotice" w:id="1">
    <w:p w14:paraId="6A6F2D16" w14:textId="77777777" w:rsidR="002714F4" w:rsidRDefault="002714F4"/>
  </w:footnote>
  <w:footnote w:id="2">
    <w:p w14:paraId="397EBFD5" w14:textId="2EDDDEBD" w:rsidR="00010C43" w:rsidRDefault="00010C43" w:rsidP="009F44EB">
      <w:pPr>
        <w:pStyle w:val="FootnoteText"/>
        <w:spacing w:before="0" w:after="0"/>
      </w:pPr>
      <w:r>
        <w:tab/>
      </w:r>
      <w:r>
        <w:rPr>
          <w:rStyle w:val="FootnoteReference"/>
        </w:rPr>
        <w:footnoteRef/>
      </w:r>
      <w:r>
        <w:t xml:space="preserve"> </w:t>
      </w:r>
      <w:r>
        <w:tab/>
      </w:r>
      <w:proofErr w:type="gramStart"/>
      <w:r w:rsidRPr="001943F4">
        <w:rPr>
          <w:rFonts w:ascii="Times New Roman" w:hAnsi="Times New Roman"/>
          <w:i/>
          <w:sz w:val="26"/>
          <w:szCs w:val="26"/>
        </w:rPr>
        <w:t xml:space="preserve">See, Application of </w:t>
      </w:r>
      <w:proofErr w:type="spellStart"/>
      <w:r w:rsidRPr="001943F4">
        <w:rPr>
          <w:rFonts w:ascii="Times New Roman" w:hAnsi="Times New Roman"/>
          <w:i/>
          <w:sz w:val="26"/>
          <w:szCs w:val="26"/>
        </w:rPr>
        <w:t>Gasco</w:t>
      </w:r>
      <w:proofErr w:type="spellEnd"/>
      <w:r w:rsidRPr="001943F4">
        <w:rPr>
          <w:rFonts w:ascii="Times New Roman" w:hAnsi="Times New Roman"/>
          <w:i/>
          <w:sz w:val="26"/>
          <w:szCs w:val="26"/>
        </w:rPr>
        <w:t xml:space="preserve"> Distribution Systems, Inc. for approval of the transfer of its Claysville Division’s assets to Utility Pipeline Ltd. and immediately thereafter to Knox Energy Cooperative Association, Inc. and for the abandonment of service by </w:t>
      </w:r>
      <w:proofErr w:type="spellStart"/>
      <w:r w:rsidRPr="001943F4">
        <w:rPr>
          <w:rFonts w:ascii="Times New Roman" w:hAnsi="Times New Roman"/>
          <w:i/>
          <w:sz w:val="26"/>
          <w:szCs w:val="26"/>
        </w:rPr>
        <w:t>Gasco</w:t>
      </w:r>
      <w:proofErr w:type="spellEnd"/>
      <w:r w:rsidRPr="001943F4">
        <w:rPr>
          <w:rFonts w:ascii="Times New Roman" w:hAnsi="Times New Roman"/>
          <w:i/>
          <w:sz w:val="26"/>
          <w:szCs w:val="26"/>
        </w:rPr>
        <w:t xml:space="preserve"> Distribution Systems, Inc.</w:t>
      </w:r>
      <w:r w:rsidRPr="009F44EB">
        <w:rPr>
          <w:rFonts w:ascii="Times New Roman" w:hAnsi="Times New Roman"/>
          <w:sz w:val="26"/>
          <w:szCs w:val="26"/>
        </w:rPr>
        <w:t>, Docket No.</w:t>
      </w:r>
      <w:proofErr w:type="gramEnd"/>
      <w:r w:rsidRPr="009F44EB">
        <w:rPr>
          <w:rFonts w:ascii="Times New Roman" w:hAnsi="Times New Roman"/>
          <w:sz w:val="26"/>
          <w:szCs w:val="26"/>
        </w:rPr>
        <w:t xml:space="preserve"> A-120002F2001 (Order entered September 29, 2006) (</w:t>
      </w:r>
      <w:proofErr w:type="spellStart"/>
      <w:r w:rsidRPr="001943F4">
        <w:rPr>
          <w:rFonts w:ascii="Times New Roman" w:hAnsi="Times New Roman"/>
          <w:i/>
          <w:sz w:val="26"/>
          <w:szCs w:val="26"/>
        </w:rPr>
        <w:t>Gasco</w:t>
      </w:r>
      <w:proofErr w:type="spellEnd"/>
      <w:r w:rsidRPr="001943F4">
        <w:rPr>
          <w:rFonts w:ascii="Times New Roman" w:hAnsi="Times New Roman"/>
          <w:i/>
          <w:sz w:val="26"/>
          <w:szCs w:val="26"/>
        </w:rPr>
        <w:t xml:space="preserve"> Order</w:t>
      </w:r>
      <w:r w:rsidRPr="009F44EB">
        <w:rPr>
          <w:rFonts w:ascii="Times New Roman" w:hAnsi="Times New Roman"/>
          <w:sz w:val="26"/>
          <w:szCs w:val="26"/>
        </w:rPr>
        <w:t>).</w:t>
      </w:r>
    </w:p>
  </w:footnote>
  <w:footnote w:id="3">
    <w:p w14:paraId="445C658E" w14:textId="5D3BAA51" w:rsidR="00714C51" w:rsidRPr="00714C51" w:rsidRDefault="00714C51" w:rsidP="009F44EB">
      <w:pPr>
        <w:pStyle w:val="FootnoteText"/>
        <w:spacing w:before="0" w:after="0"/>
        <w:rPr>
          <w:rFonts w:ascii="Times New Roman" w:hAnsi="Times New Roman"/>
          <w:i/>
          <w:sz w:val="26"/>
          <w:szCs w:val="26"/>
        </w:rPr>
      </w:pPr>
      <w:r>
        <w:rPr>
          <w:rFonts w:ascii="Times New Roman" w:hAnsi="Times New Roman"/>
        </w:rPr>
        <w:tab/>
      </w:r>
      <w:r w:rsidRPr="00714C51">
        <w:rPr>
          <w:rStyle w:val="FootnoteReference"/>
          <w:rFonts w:ascii="Times New Roman" w:hAnsi="Times New Roman"/>
        </w:rPr>
        <w:footnoteRef/>
      </w:r>
      <w:r w:rsidRPr="00714C51">
        <w:rPr>
          <w:rFonts w:ascii="Times New Roman" w:hAnsi="Times New Roman"/>
          <w:sz w:val="26"/>
          <w:szCs w:val="26"/>
        </w:rPr>
        <w:t xml:space="preserve"> </w:t>
      </w:r>
      <w:r w:rsidRPr="00714C51">
        <w:rPr>
          <w:rFonts w:ascii="Times New Roman" w:hAnsi="Times New Roman"/>
          <w:sz w:val="26"/>
          <w:szCs w:val="26"/>
        </w:rPr>
        <w:tab/>
        <w:t xml:space="preserve">A “public utility” does not include “any bona fide cooperative association which furnishes service only to its stockholders or members on a nonprofit basis.” </w:t>
      </w:r>
      <w:r>
        <w:rPr>
          <w:rFonts w:ascii="Times New Roman" w:hAnsi="Times New Roman"/>
          <w:sz w:val="26"/>
          <w:szCs w:val="26"/>
        </w:rPr>
        <w:t xml:space="preserve"> </w:t>
      </w:r>
      <w:r w:rsidRPr="00714C51">
        <w:rPr>
          <w:rFonts w:ascii="Times New Roman" w:hAnsi="Times New Roman"/>
          <w:i/>
          <w:sz w:val="26"/>
          <w:szCs w:val="26"/>
        </w:rPr>
        <w:t>Id.</w:t>
      </w:r>
    </w:p>
  </w:footnote>
  <w:footnote w:id="4">
    <w:p w14:paraId="338D1CE4" w14:textId="113FA151" w:rsidR="00921A04" w:rsidRDefault="003D03D4" w:rsidP="009F44EB">
      <w:pPr>
        <w:pStyle w:val="FootnoteText"/>
        <w:spacing w:before="0" w:after="0"/>
        <w:ind w:firstLine="720"/>
        <w:rPr>
          <w:rFonts w:ascii="Times New Roman" w:hAnsi="Times New Roman"/>
          <w:sz w:val="26"/>
          <w:szCs w:val="26"/>
        </w:rPr>
      </w:pPr>
      <w:r w:rsidRPr="005A2DD1">
        <w:rPr>
          <w:rStyle w:val="FootnoteReference"/>
          <w:rFonts w:ascii="Times New Roman" w:hAnsi="Times New Roman"/>
        </w:rPr>
        <w:footnoteRef/>
      </w:r>
      <w:r w:rsidRPr="005A2DD1">
        <w:rPr>
          <w:rFonts w:ascii="Times New Roman" w:hAnsi="Times New Roman"/>
          <w:sz w:val="26"/>
          <w:szCs w:val="26"/>
        </w:rPr>
        <w:t xml:space="preserve"> </w:t>
      </w:r>
      <w:r>
        <w:rPr>
          <w:sz w:val="26"/>
          <w:szCs w:val="26"/>
        </w:rPr>
        <w:tab/>
      </w:r>
      <w:r>
        <w:rPr>
          <w:rFonts w:ascii="Times New Roman" w:hAnsi="Times New Roman"/>
          <w:sz w:val="26"/>
          <w:szCs w:val="26"/>
        </w:rPr>
        <w:t xml:space="preserve">A “pipeline operator” is </w:t>
      </w:r>
    </w:p>
    <w:p w14:paraId="7D982C56" w14:textId="77777777" w:rsidR="00921A04" w:rsidRDefault="00921A04" w:rsidP="009F44EB">
      <w:pPr>
        <w:pStyle w:val="FootnoteText"/>
        <w:spacing w:before="0" w:after="0"/>
        <w:ind w:firstLine="720"/>
        <w:rPr>
          <w:rFonts w:ascii="Times New Roman" w:hAnsi="Times New Roman"/>
          <w:sz w:val="26"/>
          <w:szCs w:val="26"/>
        </w:rPr>
      </w:pPr>
    </w:p>
    <w:p w14:paraId="6023547B" w14:textId="46025FA4" w:rsidR="00921A04" w:rsidRDefault="00B00A69" w:rsidP="009F44EB">
      <w:pPr>
        <w:pStyle w:val="FootnoteText"/>
        <w:spacing w:before="0" w:after="0"/>
        <w:ind w:left="1440" w:right="1440"/>
        <w:rPr>
          <w:rFonts w:ascii="Times New Roman" w:hAnsi="Times New Roman"/>
          <w:sz w:val="26"/>
          <w:szCs w:val="26"/>
        </w:rPr>
      </w:pPr>
      <w:r>
        <w:rPr>
          <w:rFonts w:ascii="Times New Roman" w:hAnsi="Times New Roman"/>
          <w:sz w:val="26"/>
          <w:szCs w:val="26"/>
        </w:rPr>
        <w:t xml:space="preserve">A </w:t>
      </w:r>
      <w:r w:rsidR="003D03D4">
        <w:rPr>
          <w:rFonts w:ascii="Times New Roman" w:hAnsi="Times New Roman"/>
          <w:sz w:val="26"/>
          <w:szCs w:val="26"/>
        </w:rPr>
        <w:t>person that owns or operates equipment or facilities in this Commonwealth for the transportation of gas or hazardous liquids by pipeline or pipeline facility regulated under Federal Pipeline Safety laws.  The term does not include a public utility or an ultimate consumer who owns a service line on his real property.</w:t>
      </w:r>
    </w:p>
    <w:p w14:paraId="589E2EF4" w14:textId="77777777" w:rsidR="00921A04" w:rsidRDefault="00921A04" w:rsidP="009F44EB">
      <w:pPr>
        <w:pStyle w:val="FootnoteText"/>
        <w:spacing w:before="0" w:after="0"/>
        <w:ind w:firstLine="720"/>
        <w:rPr>
          <w:rFonts w:ascii="Times New Roman" w:hAnsi="Times New Roman"/>
          <w:sz w:val="26"/>
          <w:szCs w:val="26"/>
        </w:rPr>
      </w:pPr>
    </w:p>
    <w:p w14:paraId="2335B2E5" w14:textId="641C03E6" w:rsidR="003D03D4" w:rsidRPr="003D03D4" w:rsidRDefault="003D03D4" w:rsidP="009F44EB">
      <w:pPr>
        <w:pStyle w:val="FootnoteText"/>
        <w:spacing w:before="0" w:after="0"/>
        <w:rPr>
          <w:rFonts w:ascii="Times New Roman" w:hAnsi="Times New Roman"/>
          <w:sz w:val="26"/>
          <w:szCs w:val="26"/>
        </w:rPr>
      </w:pPr>
      <w:proofErr w:type="gramStart"/>
      <w:r>
        <w:rPr>
          <w:rFonts w:ascii="Times New Roman" w:hAnsi="Times New Roman"/>
          <w:sz w:val="26"/>
          <w:szCs w:val="26"/>
        </w:rPr>
        <w:t>58 P.S. § 801.102.</w:t>
      </w:r>
      <w:proofErr w:type="gramEnd"/>
      <w:r>
        <w:rPr>
          <w:rFonts w:ascii="Times New Roman" w:hAnsi="Times New Roman"/>
          <w:sz w:val="26"/>
          <w:szCs w:val="26"/>
        </w:rPr>
        <w:t xml:space="preserve">  Knox is registered as a pipeline operator at Docket No. </w:t>
      </w:r>
      <w:r w:rsidR="0013689C">
        <w:rPr>
          <w:rFonts w:ascii="Times New Roman" w:hAnsi="Times New Roman"/>
          <w:sz w:val="26"/>
          <w:szCs w:val="26"/>
        </w:rPr>
        <w:br/>
      </w:r>
      <w:r>
        <w:rPr>
          <w:rFonts w:ascii="Times New Roman" w:hAnsi="Times New Roman"/>
          <w:sz w:val="26"/>
          <w:szCs w:val="26"/>
        </w:rPr>
        <w:t xml:space="preserve">A-2012-2294046 and has filed </w:t>
      </w:r>
      <w:r w:rsidR="005F057C">
        <w:rPr>
          <w:rFonts w:ascii="Times New Roman" w:hAnsi="Times New Roman"/>
          <w:sz w:val="26"/>
          <w:szCs w:val="26"/>
        </w:rPr>
        <w:t xml:space="preserve">Act 127 Pennsylvania </w:t>
      </w:r>
      <w:r>
        <w:rPr>
          <w:rFonts w:ascii="Times New Roman" w:hAnsi="Times New Roman"/>
          <w:sz w:val="26"/>
          <w:szCs w:val="26"/>
        </w:rPr>
        <w:t xml:space="preserve">Pipeline Operator Annual Registration Forms </w:t>
      </w:r>
      <w:r w:rsidR="005F057C">
        <w:rPr>
          <w:rFonts w:ascii="Times New Roman" w:hAnsi="Times New Roman"/>
          <w:sz w:val="26"/>
          <w:szCs w:val="26"/>
        </w:rPr>
        <w:t xml:space="preserve">(Act 127 Registrations) </w:t>
      </w:r>
      <w:r>
        <w:rPr>
          <w:rFonts w:ascii="Times New Roman" w:hAnsi="Times New Roman"/>
          <w:sz w:val="26"/>
          <w:szCs w:val="26"/>
        </w:rPr>
        <w:t xml:space="preserve">in 2013, 2014 and 2015.  </w:t>
      </w:r>
    </w:p>
  </w:footnote>
  <w:footnote w:id="5">
    <w:p w14:paraId="366C4B40" w14:textId="0E81F833" w:rsidR="005F057C" w:rsidRPr="00C160B0" w:rsidRDefault="005F057C" w:rsidP="009F44EB">
      <w:pPr>
        <w:pStyle w:val="FootnoteText"/>
        <w:spacing w:before="0" w:after="0"/>
        <w:rPr>
          <w:rFonts w:ascii="Times New Roman" w:hAnsi="Times New Roman"/>
          <w:sz w:val="26"/>
          <w:szCs w:val="26"/>
        </w:rPr>
      </w:pPr>
      <w:r>
        <w:rPr>
          <w:rFonts w:ascii="Times New Roman" w:hAnsi="Times New Roman"/>
        </w:rPr>
        <w:tab/>
      </w:r>
      <w:r w:rsidRPr="00C160B0">
        <w:rPr>
          <w:rStyle w:val="FootnoteReference"/>
          <w:rFonts w:ascii="Times New Roman" w:hAnsi="Times New Roman"/>
        </w:rPr>
        <w:footnoteRef/>
      </w:r>
      <w:r w:rsidRPr="00C160B0">
        <w:rPr>
          <w:rFonts w:ascii="Times New Roman" w:hAnsi="Times New Roman"/>
          <w:sz w:val="26"/>
          <w:szCs w:val="26"/>
        </w:rPr>
        <w:t xml:space="preserve"> </w:t>
      </w:r>
      <w:r w:rsidRPr="00C160B0">
        <w:rPr>
          <w:rFonts w:ascii="Times New Roman" w:hAnsi="Times New Roman"/>
          <w:sz w:val="26"/>
          <w:szCs w:val="26"/>
        </w:rPr>
        <w:tab/>
      </w:r>
      <w:r w:rsidR="00C160B0" w:rsidRPr="00C160B0">
        <w:rPr>
          <w:rFonts w:ascii="Times New Roman" w:hAnsi="Times New Roman"/>
          <w:sz w:val="26"/>
          <w:szCs w:val="26"/>
        </w:rPr>
        <w:t>“Upon notification tha</w:t>
      </w:r>
      <w:r w:rsidR="00C160B0">
        <w:rPr>
          <w:rFonts w:ascii="Times New Roman" w:hAnsi="Times New Roman"/>
          <w:sz w:val="26"/>
          <w:szCs w:val="26"/>
        </w:rPr>
        <w:t>t facts are about to be or have been noticed, a party adversely affected shall have the opportunity upon timely request to show that the facts are not properly notice</w:t>
      </w:r>
      <w:r w:rsidR="00335DEE">
        <w:rPr>
          <w:rFonts w:ascii="Times New Roman" w:hAnsi="Times New Roman"/>
          <w:sz w:val="26"/>
          <w:szCs w:val="26"/>
        </w:rPr>
        <w:t>d</w:t>
      </w:r>
      <w:r w:rsidR="00C160B0">
        <w:rPr>
          <w:rFonts w:ascii="Times New Roman" w:hAnsi="Times New Roman"/>
          <w:sz w:val="26"/>
          <w:szCs w:val="26"/>
        </w:rPr>
        <w:t xml:space="preserve"> or that alternative facts should be noticed.”  </w:t>
      </w:r>
      <w:proofErr w:type="gramStart"/>
      <w:r w:rsidR="00C160B0">
        <w:rPr>
          <w:rFonts w:ascii="Times New Roman" w:hAnsi="Times New Roman"/>
          <w:sz w:val="26"/>
          <w:szCs w:val="26"/>
        </w:rPr>
        <w:t xml:space="preserve">52 Pa. Code </w:t>
      </w:r>
      <w:r w:rsidR="0013689C">
        <w:rPr>
          <w:rFonts w:ascii="Times New Roman" w:hAnsi="Times New Roman"/>
          <w:sz w:val="26"/>
          <w:szCs w:val="26"/>
        </w:rPr>
        <w:br/>
      </w:r>
      <w:r w:rsidR="00C160B0">
        <w:rPr>
          <w:rFonts w:ascii="Times New Roman" w:hAnsi="Times New Roman"/>
          <w:sz w:val="26"/>
          <w:szCs w:val="26"/>
        </w:rPr>
        <w:t>§ 5.408(c).</w:t>
      </w:r>
      <w:proofErr w:type="gramEnd"/>
      <w:r w:rsidR="00C160B0">
        <w:rPr>
          <w:rFonts w:ascii="Times New Roman" w:hAnsi="Times New Roman"/>
          <w:sz w:val="26"/>
          <w:szCs w:val="26"/>
        </w:rPr>
        <w:t xml:space="preserve">  </w:t>
      </w:r>
      <w:r w:rsidR="00BF6D1E">
        <w:rPr>
          <w:rFonts w:ascii="Times New Roman" w:hAnsi="Times New Roman"/>
          <w:sz w:val="26"/>
          <w:szCs w:val="26"/>
        </w:rPr>
        <w:t xml:space="preserve">Any request to show that this official notice is not proper or that alternate facts should be noticed shall be addressed during the remand proceeding.  </w:t>
      </w:r>
    </w:p>
  </w:footnote>
  <w:footnote w:id="6">
    <w:p w14:paraId="29CFAF31" w14:textId="30423727" w:rsidR="00C160B0" w:rsidRPr="00C160B0" w:rsidRDefault="00C160B0" w:rsidP="009F44EB">
      <w:pPr>
        <w:pStyle w:val="FootnoteText"/>
        <w:spacing w:before="0" w:after="0"/>
        <w:rPr>
          <w:rFonts w:ascii="Times New Roman" w:hAnsi="Times New Roman"/>
          <w:sz w:val="26"/>
          <w:szCs w:val="26"/>
        </w:rPr>
      </w:pPr>
      <w:r>
        <w:rPr>
          <w:rFonts w:ascii="Times New Roman" w:hAnsi="Times New Roman"/>
        </w:rPr>
        <w:tab/>
      </w:r>
      <w:r w:rsidRPr="00C160B0">
        <w:rPr>
          <w:rStyle w:val="FootnoteReference"/>
          <w:rFonts w:ascii="Times New Roman" w:hAnsi="Times New Roman"/>
        </w:rPr>
        <w:footnoteRef/>
      </w:r>
      <w:r w:rsidRPr="00C160B0">
        <w:rPr>
          <w:rFonts w:ascii="Times New Roman" w:hAnsi="Times New Roman"/>
          <w:sz w:val="26"/>
          <w:szCs w:val="26"/>
        </w:rPr>
        <w:t xml:space="preserve"> </w:t>
      </w:r>
      <w:r w:rsidRPr="00C160B0">
        <w:rPr>
          <w:rFonts w:ascii="Times New Roman" w:hAnsi="Times New Roman"/>
          <w:sz w:val="26"/>
          <w:szCs w:val="26"/>
        </w:rPr>
        <w:tab/>
        <w:t xml:space="preserve">A “pipeline facility” is a “new or existing pipeline, right-of-way and any equipment, facility or building used in the transportation of gas or hazardous liquids….” 58 P.S. § 801.102.   </w:t>
      </w:r>
    </w:p>
  </w:footnote>
  <w:footnote w:id="7">
    <w:p w14:paraId="12F60FD2" w14:textId="17C4C864" w:rsidR="00993DDB" w:rsidRPr="003E5947" w:rsidRDefault="00993DDB" w:rsidP="003E5947">
      <w:pPr>
        <w:pStyle w:val="FootnoteText"/>
        <w:keepNext/>
        <w:keepLines/>
        <w:rPr>
          <w:rFonts w:ascii="Times New Roman" w:hAnsi="Times New Roman"/>
          <w:sz w:val="26"/>
          <w:szCs w:val="26"/>
        </w:rPr>
      </w:pPr>
      <w:r>
        <w:rPr>
          <w:rFonts w:ascii="Times New Roman" w:hAnsi="Times New Roman"/>
        </w:rPr>
        <w:tab/>
      </w:r>
      <w:r w:rsidRPr="003E5947">
        <w:rPr>
          <w:rStyle w:val="FootnoteReference"/>
          <w:rFonts w:ascii="Times New Roman" w:hAnsi="Times New Roman"/>
        </w:rPr>
        <w:footnoteRef/>
      </w:r>
      <w:r w:rsidRPr="003E5947">
        <w:rPr>
          <w:rFonts w:ascii="Times New Roman" w:hAnsi="Times New Roman"/>
          <w:sz w:val="26"/>
          <w:szCs w:val="26"/>
        </w:rPr>
        <w:t xml:space="preserve"> </w:t>
      </w:r>
      <w:r w:rsidRPr="003E5947">
        <w:rPr>
          <w:rFonts w:ascii="Times New Roman" w:hAnsi="Times New Roman"/>
          <w:sz w:val="26"/>
          <w:szCs w:val="26"/>
        </w:rPr>
        <w:tab/>
      </w:r>
      <w:r w:rsidR="00321385" w:rsidRPr="003E5947">
        <w:rPr>
          <w:rFonts w:ascii="Times New Roman" w:hAnsi="Times New Roman"/>
          <w:sz w:val="26"/>
          <w:szCs w:val="26"/>
        </w:rPr>
        <w:t xml:space="preserve">Pursuant to 49 U.S.C. § 60121(a), a “person may bring a civil action in an appropriate district court of the United States for injunction against another person … for a violation of this chapter or a regulation prescribed or order issued under this chapter.”  </w:t>
      </w:r>
      <w:r w:rsidR="00275199">
        <w:rPr>
          <w:rFonts w:ascii="Times New Roman" w:hAnsi="Times New Roman"/>
          <w:sz w:val="26"/>
          <w:szCs w:val="26"/>
        </w:rPr>
        <w:t>Furthermore</w:t>
      </w:r>
      <w:r w:rsidR="00321385" w:rsidRPr="003E5947">
        <w:rPr>
          <w:rFonts w:ascii="Times New Roman" w:hAnsi="Times New Roman"/>
          <w:sz w:val="26"/>
          <w:szCs w:val="26"/>
        </w:rPr>
        <w:t xml:space="preserve">, </w:t>
      </w:r>
      <w:r w:rsidR="003E5947" w:rsidRPr="003E5947">
        <w:rPr>
          <w:rFonts w:ascii="Times New Roman" w:hAnsi="Times New Roman"/>
          <w:sz w:val="26"/>
          <w:szCs w:val="26"/>
        </w:rPr>
        <w:t xml:space="preserve">49 U.S.C. § 60121(d) permits additional remedies as follows: “[a] remedy under this section is in addition to any other remedies provided by law.  This section does not restrict a right to relief that a person or a class of persons may have under another law or at common law.”  </w:t>
      </w:r>
      <w:r w:rsidR="00321385" w:rsidRPr="003E5947">
        <w:rPr>
          <w:rFonts w:ascii="Times New Roman" w:hAnsi="Times New Roman"/>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41B1"/>
    <w:multiLevelType w:val="hybridMultilevel"/>
    <w:tmpl w:val="C23628E2"/>
    <w:lvl w:ilvl="0" w:tplc="20D266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240E50"/>
    <w:multiLevelType w:val="hybridMultilevel"/>
    <w:tmpl w:val="907EC31E"/>
    <w:lvl w:ilvl="0" w:tplc="46989D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41124E"/>
    <w:multiLevelType w:val="hybridMultilevel"/>
    <w:tmpl w:val="41CC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14D6589"/>
    <w:multiLevelType w:val="hybridMultilevel"/>
    <w:tmpl w:val="54FEE6EC"/>
    <w:lvl w:ilvl="0" w:tplc="0A72F6A8">
      <w:start w:val="4"/>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2B5708C"/>
    <w:multiLevelType w:val="hybridMultilevel"/>
    <w:tmpl w:val="83AE09E0"/>
    <w:lvl w:ilvl="0" w:tplc="C88AEBC4">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3F24D9C"/>
    <w:multiLevelType w:val="hybridMultilevel"/>
    <w:tmpl w:val="1354C6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45C4184"/>
    <w:multiLevelType w:val="hybridMultilevel"/>
    <w:tmpl w:val="35B86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2D780B75"/>
    <w:multiLevelType w:val="hybridMultilevel"/>
    <w:tmpl w:val="A49EB976"/>
    <w:lvl w:ilvl="0" w:tplc="CDD85B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5D135AE0"/>
    <w:multiLevelType w:val="hybridMultilevel"/>
    <w:tmpl w:val="3B966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nsid w:val="6E020D67"/>
    <w:multiLevelType w:val="hybridMultilevel"/>
    <w:tmpl w:val="29D88B1C"/>
    <w:lvl w:ilvl="0" w:tplc="3C1208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2"/>
  </w:num>
  <w:num w:numId="3">
    <w:abstractNumId w:val="14"/>
  </w:num>
  <w:num w:numId="4">
    <w:abstractNumId w:val="4"/>
  </w:num>
  <w:num w:numId="5">
    <w:abstractNumId w:val="9"/>
  </w:num>
  <w:num w:numId="6">
    <w:abstractNumId w:val="7"/>
  </w:num>
  <w:num w:numId="7">
    <w:abstractNumId w:val="3"/>
  </w:num>
  <w:num w:numId="8">
    <w:abstractNumId w:val="8"/>
  </w:num>
  <w:num w:numId="9">
    <w:abstractNumId w:val="13"/>
  </w:num>
  <w:num w:numId="10">
    <w:abstractNumId w:val="1"/>
  </w:num>
  <w:num w:numId="11">
    <w:abstractNumId w:val="0"/>
  </w:num>
  <w:num w:numId="12">
    <w:abstractNumId w:val="15"/>
  </w:num>
  <w:num w:numId="13">
    <w:abstractNumId w:val="10"/>
  </w:num>
  <w:num w:numId="14">
    <w:abstractNumId w:val="5"/>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C15"/>
    <w:rsid w:val="00001139"/>
    <w:rsid w:val="0000209B"/>
    <w:rsid w:val="00002615"/>
    <w:rsid w:val="0000290A"/>
    <w:rsid w:val="00002F2A"/>
    <w:rsid w:val="00004B32"/>
    <w:rsid w:val="00004C36"/>
    <w:rsid w:val="000063E9"/>
    <w:rsid w:val="000064C2"/>
    <w:rsid w:val="00006E37"/>
    <w:rsid w:val="00007106"/>
    <w:rsid w:val="00007417"/>
    <w:rsid w:val="000074DC"/>
    <w:rsid w:val="00010322"/>
    <w:rsid w:val="0001099D"/>
    <w:rsid w:val="00010C43"/>
    <w:rsid w:val="00011888"/>
    <w:rsid w:val="00012A95"/>
    <w:rsid w:val="00012EE5"/>
    <w:rsid w:val="00013B94"/>
    <w:rsid w:val="00013EBC"/>
    <w:rsid w:val="0001411C"/>
    <w:rsid w:val="0001414B"/>
    <w:rsid w:val="0001434C"/>
    <w:rsid w:val="000148F5"/>
    <w:rsid w:val="00015969"/>
    <w:rsid w:val="00015A01"/>
    <w:rsid w:val="00016CE0"/>
    <w:rsid w:val="00017033"/>
    <w:rsid w:val="00020B46"/>
    <w:rsid w:val="00020E43"/>
    <w:rsid w:val="00020F8F"/>
    <w:rsid w:val="000215B4"/>
    <w:rsid w:val="00021864"/>
    <w:rsid w:val="000234F5"/>
    <w:rsid w:val="00024987"/>
    <w:rsid w:val="00024DD1"/>
    <w:rsid w:val="00025686"/>
    <w:rsid w:val="0002585B"/>
    <w:rsid w:val="00025B28"/>
    <w:rsid w:val="000261D5"/>
    <w:rsid w:val="00026E4B"/>
    <w:rsid w:val="0002723A"/>
    <w:rsid w:val="0002744F"/>
    <w:rsid w:val="00027EE5"/>
    <w:rsid w:val="000310BE"/>
    <w:rsid w:val="00031A0A"/>
    <w:rsid w:val="00031E93"/>
    <w:rsid w:val="0003278B"/>
    <w:rsid w:val="00032D5F"/>
    <w:rsid w:val="00033CB2"/>
    <w:rsid w:val="00034474"/>
    <w:rsid w:val="0003588B"/>
    <w:rsid w:val="00035F25"/>
    <w:rsid w:val="000378DC"/>
    <w:rsid w:val="0004071F"/>
    <w:rsid w:val="00040A0A"/>
    <w:rsid w:val="000416A9"/>
    <w:rsid w:val="000416ED"/>
    <w:rsid w:val="00044438"/>
    <w:rsid w:val="0004679E"/>
    <w:rsid w:val="000472A4"/>
    <w:rsid w:val="000510D0"/>
    <w:rsid w:val="000510FD"/>
    <w:rsid w:val="000537BC"/>
    <w:rsid w:val="00053CED"/>
    <w:rsid w:val="000541A0"/>
    <w:rsid w:val="00054407"/>
    <w:rsid w:val="00054F7A"/>
    <w:rsid w:val="00055EF9"/>
    <w:rsid w:val="00057057"/>
    <w:rsid w:val="000573BD"/>
    <w:rsid w:val="000610F9"/>
    <w:rsid w:val="00061284"/>
    <w:rsid w:val="00061850"/>
    <w:rsid w:val="000629CD"/>
    <w:rsid w:val="000630AF"/>
    <w:rsid w:val="000634BD"/>
    <w:rsid w:val="0006405C"/>
    <w:rsid w:val="00065DB6"/>
    <w:rsid w:val="00066A92"/>
    <w:rsid w:val="00066E55"/>
    <w:rsid w:val="000673D1"/>
    <w:rsid w:val="00070FF8"/>
    <w:rsid w:val="00070FFD"/>
    <w:rsid w:val="000711D9"/>
    <w:rsid w:val="000716A0"/>
    <w:rsid w:val="00072514"/>
    <w:rsid w:val="00072883"/>
    <w:rsid w:val="0007305F"/>
    <w:rsid w:val="000731DA"/>
    <w:rsid w:val="00073C25"/>
    <w:rsid w:val="000746C5"/>
    <w:rsid w:val="00075161"/>
    <w:rsid w:val="00075677"/>
    <w:rsid w:val="0007596A"/>
    <w:rsid w:val="00076A99"/>
    <w:rsid w:val="00076F62"/>
    <w:rsid w:val="000770D9"/>
    <w:rsid w:val="000777D8"/>
    <w:rsid w:val="00077822"/>
    <w:rsid w:val="00080C6A"/>
    <w:rsid w:val="000820F1"/>
    <w:rsid w:val="0008251E"/>
    <w:rsid w:val="0008328F"/>
    <w:rsid w:val="0008445E"/>
    <w:rsid w:val="00085FFB"/>
    <w:rsid w:val="00086411"/>
    <w:rsid w:val="00086D0B"/>
    <w:rsid w:val="0008768F"/>
    <w:rsid w:val="000876C2"/>
    <w:rsid w:val="00087C06"/>
    <w:rsid w:val="00087D18"/>
    <w:rsid w:val="00091937"/>
    <w:rsid w:val="00092384"/>
    <w:rsid w:val="00092ABD"/>
    <w:rsid w:val="00094D6F"/>
    <w:rsid w:val="00096187"/>
    <w:rsid w:val="000966DC"/>
    <w:rsid w:val="0009781B"/>
    <w:rsid w:val="000A1364"/>
    <w:rsid w:val="000A2F11"/>
    <w:rsid w:val="000A35F4"/>
    <w:rsid w:val="000A4C46"/>
    <w:rsid w:val="000A6A49"/>
    <w:rsid w:val="000A6EB3"/>
    <w:rsid w:val="000A770A"/>
    <w:rsid w:val="000A7F96"/>
    <w:rsid w:val="000B2688"/>
    <w:rsid w:val="000B27B4"/>
    <w:rsid w:val="000B2A1C"/>
    <w:rsid w:val="000B2B80"/>
    <w:rsid w:val="000B3FB4"/>
    <w:rsid w:val="000B4F29"/>
    <w:rsid w:val="000B5487"/>
    <w:rsid w:val="000B5DF8"/>
    <w:rsid w:val="000B71E3"/>
    <w:rsid w:val="000B77E2"/>
    <w:rsid w:val="000B7E7F"/>
    <w:rsid w:val="000B7F8F"/>
    <w:rsid w:val="000C33A1"/>
    <w:rsid w:val="000C3E68"/>
    <w:rsid w:val="000C4BFD"/>
    <w:rsid w:val="000C608B"/>
    <w:rsid w:val="000C6C92"/>
    <w:rsid w:val="000C742F"/>
    <w:rsid w:val="000D0BAC"/>
    <w:rsid w:val="000D0D75"/>
    <w:rsid w:val="000D17B4"/>
    <w:rsid w:val="000D1965"/>
    <w:rsid w:val="000D1D97"/>
    <w:rsid w:val="000D3C0D"/>
    <w:rsid w:val="000D6482"/>
    <w:rsid w:val="000D6C35"/>
    <w:rsid w:val="000D761A"/>
    <w:rsid w:val="000E0050"/>
    <w:rsid w:val="000E0311"/>
    <w:rsid w:val="000E05DD"/>
    <w:rsid w:val="000E0705"/>
    <w:rsid w:val="000E09BE"/>
    <w:rsid w:val="000E24DE"/>
    <w:rsid w:val="000E3AA7"/>
    <w:rsid w:val="000E3FDA"/>
    <w:rsid w:val="000E492B"/>
    <w:rsid w:val="000E4BED"/>
    <w:rsid w:val="000E7110"/>
    <w:rsid w:val="000E7B48"/>
    <w:rsid w:val="000F2540"/>
    <w:rsid w:val="000F292B"/>
    <w:rsid w:val="000F34DC"/>
    <w:rsid w:val="000F34FC"/>
    <w:rsid w:val="000F4144"/>
    <w:rsid w:val="000F5A80"/>
    <w:rsid w:val="000F6D5A"/>
    <w:rsid w:val="000F7F57"/>
    <w:rsid w:val="0010013C"/>
    <w:rsid w:val="001006F0"/>
    <w:rsid w:val="00100B90"/>
    <w:rsid w:val="00100BF3"/>
    <w:rsid w:val="00101745"/>
    <w:rsid w:val="001026AA"/>
    <w:rsid w:val="00103A52"/>
    <w:rsid w:val="00103EBA"/>
    <w:rsid w:val="001048B3"/>
    <w:rsid w:val="001049B1"/>
    <w:rsid w:val="00104A93"/>
    <w:rsid w:val="00105084"/>
    <w:rsid w:val="001050C5"/>
    <w:rsid w:val="00105104"/>
    <w:rsid w:val="00105193"/>
    <w:rsid w:val="00106537"/>
    <w:rsid w:val="001112D8"/>
    <w:rsid w:val="0011244B"/>
    <w:rsid w:val="0011311C"/>
    <w:rsid w:val="001133C8"/>
    <w:rsid w:val="00114213"/>
    <w:rsid w:val="00114D80"/>
    <w:rsid w:val="00115BA2"/>
    <w:rsid w:val="00115FD9"/>
    <w:rsid w:val="001160BA"/>
    <w:rsid w:val="00116467"/>
    <w:rsid w:val="00116D79"/>
    <w:rsid w:val="00120C2F"/>
    <w:rsid w:val="00121038"/>
    <w:rsid w:val="00122E0F"/>
    <w:rsid w:val="00123068"/>
    <w:rsid w:val="00124138"/>
    <w:rsid w:val="00124A50"/>
    <w:rsid w:val="00126152"/>
    <w:rsid w:val="0012697D"/>
    <w:rsid w:val="001270AB"/>
    <w:rsid w:val="00127623"/>
    <w:rsid w:val="00127671"/>
    <w:rsid w:val="00127C7C"/>
    <w:rsid w:val="00130C69"/>
    <w:rsid w:val="00130D74"/>
    <w:rsid w:val="00131B43"/>
    <w:rsid w:val="00132193"/>
    <w:rsid w:val="00132429"/>
    <w:rsid w:val="00133878"/>
    <w:rsid w:val="001350BC"/>
    <w:rsid w:val="00135C86"/>
    <w:rsid w:val="0013689C"/>
    <w:rsid w:val="00137A60"/>
    <w:rsid w:val="001401EC"/>
    <w:rsid w:val="00141877"/>
    <w:rsid w:val="00141882"/>
    <w:rsid w:val="00141DF0"/>
    <w:rsid w:val="0014205C"/>
    <w:rsid w:val="00142D3A"/>
    <w:rsid w:val="00143F43"/>
    <w:rsid w:val="00144166"/>
    <w:rsid w:val="001448EA"/>
    <w:rsid w:val="0014496C"/>
    <w:rsid w:val="00144E09"/>
    <w:rsid w:val="001457F2"/>
    <w:rsid w:val="00145EDC"/>
    <w:rsid w:val="00146E12"/>
    <w:rsid w:val="00147415"/>
    <w:rsid w:val="00150989"/>
    <w:rsid w:val="001509E0"/>
    <w:rsid w:val="00151536"/>
    <w:rsid w:val="001523CA"/>
    <w:rsid w:val="001546D8"/>
    <w:rsid w:val="0015662E"/>
    <w:rsid w:val="00156BCE"/>
    <w:rsid w:val="001572C5"/>
    <w:rsid w:val="00157EAD"/>
    <w:rsid w:val="0016005F"/>
    <w:rsid w:val="001606BC"/>
    <w:rsid w:val="00160F0A"/>
    <w:rsid w:val="0016115A"/>
    <w:rsid w:val="001617CB"/>
    <w:rsid w:val="00162A88"/>
    <w:rsid w:val="001636E2"/>
    <w:rsid w:val="00163AA3"/>
    <w:rsid w:val="00164012"/>
    <w:rsid w:val="0016441E"/>
    <w:rsid w:val="00164715"/>
    <w:rsid w:val="00164C98"/>
    <w:rsid w:val="00166006"/>
    <w:rsid w:val="001679F1"/>
    <w:rsid w:val="001701B3"/>
    <w:rsid w:val="001704F7"/>
    <w:rsid w:val="0017084A"/>
    <w:rsid w:val="00173EDA"/>
    <w:rsid w:val="0017591C"/>
    <w:rsid w:val="00175F2D"/>
    <w:rsid w:val="00177A43"/>
    <w:rsid w:val="00180E89"/>
    <w:rsid w:val="001811B8"/>
    <w:rsid w:val="001827DB"/>
    <w:rsid w:val="001828B9"/>
    <w:rsid w:val="00183D96"/>
    <w:rsid w:val="00185B5E"/>
    <w:rsid w:val="001865B9"/>
    <w:rsid w:val="001867FA"/>
    <w:rsid w:val="00186887"/>
    <w:rsid w:val="00187BC6"/>
    <w:rsid w:val="0019214E"/>
    <w:rsid w:val="0019251E"/>
    <w:rsid w:val="0019318F"/>
    <w:rsid w:val="00193EF0"/>
    <w:rsid w:val="001943F4"/>
    <w:rsid w:val="001971AD"/>
    <w:rsid w:val="00197920"/>
    <w:rsid w:val="00197C2F"/>
    <w:rsid w:val="00197F3D"/>
    <w:rsid w:val="001A0516"/>
    <w:rsid w:val="001A08C5"/>
    <w:rsid w:val="001A18D5"/>
    <w:rsid w:val="001A1AD3"/>
    <w:rsid w:val="001A3C6A"/>
    <w:rsid w:val="001A4A0C"/>
    <w:rsid w:val="001A4C6C"/>
    <w:rsid w:val="001A53ED"/>
    <w:rsid w:val="001A5711"/>
    <w:rsid w:val="001A5756"/>
    <w:rsid w:val="001A5804"/>
    <w:rsid w:val="001A5B0A"/>
    <w:rsid w:val="001A5C12"/>
    <w:rsid w:val="001A657F"/>
    <w:rsid w:val="001A6E4B"/>
    <w:rsid w:val="001A6FD4"/>
    <w:rsid w:val="001A75AA"/>
    <w:rsid w:val="001B00D9"/>
    <w:rsid w:val="001B06FC"/>
    <w:rsid w:val="001B07E7"/>
    <w:rsid w:val="001B423C"/>
    <w:rsid w:val="001B5CD3"/>
    <w:rsid w:val="001B7A05"/>
    <w:rsid w:val="001C37DD"/>
    <w:rsid w:val="001C396E"/>
    <w:rsid w:val="001C42FD"/>
    <w:rsid w:val="001C4B37"/>
    <w:rsid w:val="001C4CAD"/>
    <w:rsid w:val="001C53B1"/>
    <w:rsid w:val="001C6B32"/>
    <w:rsid w:val="001C7C10"/>
    <w:rsid w:val="001C7E91"/>
    <w:rsid w:val="001C7F88"/>
    <w:rsid w:val="001D01F1"/>
    <w:rsid w:val="001D02A2"/>
    <w:rsid w:val="001D0E29"/>
    <w:rsid w:val="001D24BD"/>
    <w:rsid w:val="001D2BAD"/>
    <w:rsid w:val="001D491F"/>
    <w:rsid w:val="001D5345"/>
    <w:rsid w:val="001D70A6"/>
    <w:rsid w:val="001D7137"/>
    <w:rsid w:val="001E05C6"/>
    <w:rsid w:val="001E0B29"/>
    <w:rsid w:val="001E19BC"/>
    <w:rsid w:val="001E1A53"/>
    <w:rsid w:val="001E2CFB"/>
    <w:rsid w:val="001E3574"/>
    <w:rsid w:val="001E3854"/>
    <w:rsid w:val="001E3F31"/>
    <w:rsid w:val="001E4225"/>
    <w:rsid w:val="001E5B8E"/>
    <w:rsid w:val="001F0488"/>
    <w:rsid w:val="001F3BF4"/>
    <w:rsid w:val="001F3C68"/>
    <w:rsid w:val="001F4194"/>
    <w:rsid w:val="001F49F1"/>
    <w:rsid w:val="001F55D5"/>
    <w:rsid w:val="001F5F40"/>
    <w:rsid w:val="001F75D6"/>
    <w:rsid w:val="001F79C6"/>
    <w:rsid w:val="001F7B55"/>
    <w:rsid w:val="0020092D"/>
    <w:rsid w:val="00200D0C"/>
    <w:rsid w:val="00203F27"/>
    <w:rsid w:val="0020478B"/>
    <w:rsid w:val="00205242"/>
    <w:rsid w:val="00205B95"/>
    <w:rsid w:val="0020640C"/>
    <w:rsid w:val="00206D03"/>
    <w:rsid w:val="00207453"/>
    <w:rsid w:val="0020784E"/>
    <w:rsid w:val="00210868"/>
    <w:rsid w:val="00210BB0"/>
    <w:rsid w:val="002132B4"/>
    <w:rsid w:val="00213B95"/>
    <w:rsid w:val="00214C25"/>
    <w:rsid w:val="00215192"/>
    <w:rsid w:val="002170BF"/>
    <w:rsid w:val="002174D8"/>
    <w:rsid w:val="00217C4E"/>
    <w:rsid w:val="00220E40"/>
    <w:rsid w:val="00223564"/>
    <w:rsid w:val="002242F7"/>
    <w:rsid w:val="002248B8"/>
    <w:rsid w:val="00225390"/>
    <w:rsid w:val="00225BD2"/>
    <w:rsid w:val="0022626D"/>
    <w:rsid w:val="00227759"/>
    <w:rsid w:val="002278A0"/>
    <w:rsid w:val="00230396"/>
    <w:rsid w:val="0023097E"/>
    <w:rsid w:val="00230BAB"/>
    <w:rsid w:val="00231600"/>
    <w:rsid w:val="00232A03"/>
    <w:rsid w:val="0023377F"/>
    <w:rsid w:val="00233A9F"/>
    <w:rsid w:val="0023535F"/>
    <w:rsid w:val="00237CE3"/>
    <w:rsid w:val="00241AA6"/>
    <w:rsid w:val="00243016"/>
    <w:rsid w:val="0024349F"/>
    <w:rsid w:val="00243BC7"/>
    <w:rsid w:val="00243CC9"/>
    <w:rsid w:val="00243D31"/>
    <w:rsid w:val="00244528"/>
    <w:rsid w:val="00244D32"/>
    <w:rsid w:val="002450F3"/>
    <w:rsid w:val="0024538D"/>
    <w:rsid w:val="00245B0C"/>
    <w:rsid w:val="002469C9"/>
    <w:rsid w:val="00247332"/>
    <w:rsid w:val="00250E63"/>
    <w:rsid w:val="00252313"/>
    <w:rsid w:val="00252626"/>
    <w:rsid w:val="00253CC7"/>
    <w:rsid w:val="00254560"/>
    <w:rsid w:val="00254840"/>
    <w:rsid w:val="00255125"/>
    <w:rsid w:val="002556E9"/>
    <w:rsid w:val="002564D7"/>
    <w:rsid w:val="00256A4C"/>
    <w:rsid w:val="0025718D"/>
    <w:rsid w:val="00260276"/>
    <w:rsid w:val="00260494"/>
    <w:rsid w:val="002618AC"/>
    <w:rsid w:val="0026312F"/>
    <w:rsid w:val="002640BC"/>
    <w:rsid w:val="0026471D"/>
    <w:rsid w:val="00264ABB"/>
    <w:rsid w:val="002652DF"/>
    <w:rsid w:val="00265BD8"/>
    <w:rsid w:val="00265D8B"/>
    <w:rsid w:val="0026727E"/>
    <w:rsid w:val="00271322"/>
    <w:rsid w:val="002714F4"/>
    <w:rsid w:val="00271DE6"/>
    <w:rsid w:val="002723CB"/>
    <w:rsid w:val="00273450"/>
    <w:rsid w:val="0027458E"/>
    <w:rsid w:val="00274EC0"/>
    <w:rsid w:val="00275199"/>
    <w:rsid w:val="00275533"/>
    <w:rsid w:val="00277BAB"/>
    <w:rsid w:val="00281587"/>
    <w:rsid w:val="00282019"/>
    <w:rsid w:val="002830F0"/>
    <w:rsid w:val="00283433"/>
    <w:rsid w:val="002838E3"/>
    <w:rsid w:val="002851CE"/>
    <w:rsid w:val="002854BF"/>
    <w:rsid w:val="00285856"/>
    <w:rsid w:val="00285EB1"/>
    <w:rsid w:val="00286C9A"/>
    <w:rsid w:val="00286DBE"/>
    <w:rsid w:val="00287BE6"/>
    <w:rsid w:val="00287EE2"/>
    <w:rsid w:val="00290876"/>
    <w:rsid w:val="002911A8"/>
    <w:rsid w:val="00291657"/>
    <w:rsid w:val="002916BB"/>
    <w:rsid w:val="002919FB"/>
    <w:rsid w:val="00293F54"/>
    <w:rsid w:val="00296493"/>
    <w:rsid w:val="00297040"/>
    <w:rsid w:val="00297213"/>
    <w:rsid w:val="002975FB"/>
    <w:rsid w:val="00297F40"/>
    <w:rsid w:val="002A0E82"/>
    <w:rsid w:val="002A17A4"/>
    <w:rsid w:val="002A3250"/>
    <w:rsid w:val="002A3A6E"/>
    <w:rsid w:val="002A3AC8"/>
    <w:rsid w:val="002A5223"/>
    <w:rsid w:val="002A5399"/>
    <w:rsid w:val="002A740E"/>
    <w:rsid w:val="002A782B"/>
    <w:rsid w:val="002B0089"/>
    <w:rsid w:val="002B03EA"/>
    <w:rsid w:val="002B121B"/>
    <w:rsid w:val="002B31AD"/>
    <w:rsid w:val="002B32CA"/>
    <w:rsid w:val="002B3767"/>
    <w:rsid w:val="002B4B0D"/>
    <w:rsid w:val="002B6B0C"/>
    <w:rsid w:val="002C011D"/>
    <w:rsid w:val="002C116F"/>
    <w:rsid w:val="002C2053"/>
    <w:rsid w:val="002C4014"/>
    <w:rsid w:val="002C4311"/>
    <w:rsid w:val="002C61A7"/>
    <w:rsid w:val="002C6681"/>
    <w:rsid w:val="002D0829"/>
    <w:rsid w:val="002D08E2"/>
    <w:rsid w:val="002D0BD9"/>
    <w:rsid w:val="002D13F6"/>
    <w:rsid w:val="002D1EFF"/>
    <w:rsid w:val="002D2B7F"/>
    <w:rsid w:val="002D331B"/>
    <w:rsid w:val="002D33E8"/>
    <w:rsid w:val="002D5216"/>
    <w:rsid w:val="002D5C5B"/>
    <w:rsid w:val="002D5D3F"/>
    <w:rsid w:val="002D650D"/>
    <w:rsid w:val="002D6769"/>
    <w:rsid w:val="002D6FE5"/>
    <w:rsid w:val="002D775A"/>
    <w:rsid w:val="002E00A3"/>
    <w:rsid w:val="002E0503"/>
    <w:rsid w:val="002E1CA7"/>
    <w:rsid w:val="002E3288"/>
    <w:rsid w:val="002E3BCA"/>
    <w:rsid w:val="002E4908"/>
    <w:rsid w:val="002E6F2D"/>
    <w:rsid w:val="002E7206"/>
    <w:rsid w:val="002F0238"/>
    <w:rsid w:val="002F1287"/>
    <w:rsid w:val="002F14FA"/>
    <w:rsid w:val="002F3B92"/>
    <w:rsid w:val="002F4D5E"/>
    <w:rsid w:val="002F50FB"/>
    <w:rsid w:val="002F6563"/>
    <w:rsid w:val="002F716A"/>
    <w:rsid w:val="00300C9D"/>
    <w:rsid w:val="00301735"/>
    <w:rsid w:val="00301857"/>
    <w:rsid w:val="00301E41"/>
    <w:rsid w:val="00302FC9"/>
    <w:rsid w:val="00303915"/>
    <w:rsid w:val="00304ABF"/>
    <w:rsid w:val="0030541E"/>
    <w:rsid w:val="003054A6"/>
    <w:rsid w:val="00305684"/>
    <w:rsid w:val="0030600D"/>
    <w:rsid w:val="00306310"/>
    <w:rsid w:val="00306411"/>
    <w:rsid w:val="00306AB1"/>
    <w:rsid w:val="003077A3"/>
    <w:rsid w:val="003100C8"/>
    <w:rsid w:val="00310CE1"/>
    <w:rsid w:val="00311849"/>
    <w:rsid w:val="0031247C"/>
    <w:rsid w:val="0031278E"/>
    <w:rsid w:val="003129BA"/>
    <w:rsid w:val="0031381F"/>
    <w:rsid w:val="00316B27"/>
    <w:rsid w:val="00316BFA"/>
    <w:rsid w:val="00321385"/>
    <w:rsid w:val="00321AF8"/>
    <w:rsid w:val="00322A65"/>
    <w:rsid w:val="0032388C"/>
    <w:rsid w:val="00324417"/>
    <w:rsid w:val="00324791"/>
    <w:rsid w:val="00324B2C"/>
    <w:rsid w:val="00324E5B"/>
    <w:rsid w:val="00325440"/>
    <w:rsid w:val="0032579A"/>
    <w:rsid w:val="0032615A"/>
    <w:rsid w:val="00326A17"/>
    <w:rsid w:val="00326AC4"/>
    <w:rsid w:val="0032716F"/>
    <w:rsid w:val="00327A4A"/>
    <w:rsid w:val="00327CBE"/>
    <w:rsid w:val="00330392"/>
    <w:rsid w:val="0033198B"/>
    <w:rsid w:val="0033589A"/>
    <w:rsid w:val="00335DEE"/>
    <w:rsid w:val="00335F88"/>
    <w:rsid w:val="0033666A"/>
    <w:rsid w:val="00337C48"/>
    <w:rsid w:val="00337DFD"/>
    <w:rsid w:val="00340164"/>
    <w:rsid w:val="00340B42"/>
    <w:rsid w:val="00342149"/>
    <w:rsid w:val="003428C1"/>
    <w:rsid w:val="003440BD"/>
    <w:rsid w:val="00344581"/>
    <w:rsid w:val="003459E2"/>
    <w:rsid w:val="00346964"/>
    <w:rsid w:val="003471B4"/>
    <w:rsid w:val="00350442"/>
    <w:rsid w:val="00350B3E"/>
    <w:rsid w:val="00352BC7"/>
    <w:rsid w:val="00353BBC"/>
    <w:rsid w:val="00353F42"/>
    <w:rsid w:val="0035474E"/>
    <w:rsid w:val="00354EEE"/>
    <w:rsid w:val="00356A26"/>
    <w:rsid w:val="003573EB"/>
    <w:rsid w:val="00357A93"/>
    <w:rsid w:val="00357B6E"/>
    <w:rsid w:val="00360EA4"/>
    <w:rsid w:val="00362AC9"/>
    <w:rsid w:val="00362C4B"/>
    <w:rsid w:val="003669C8"/>
    <w:rsid w:val="00366C32"/>
    <w:rsid w:val="00367224"/>
    <w:rsid w:val="00370193"/>
    <w:rsid w:val="003704B1"/>
    <w:rsid w:val="00370538"/>
    <w:rsid w:val="003708CD"/>
    <w:rsid w:val="00372E6D"/>
    <w:rsid w:val="00373021"/>
    <w:rsid w:val="00373918"/>
    <w:rsid w:val="003742CF"/>
    <w:rsid w:val="003745DB"/>
    <w:rsid w:val="0037549D"/>
    <w:rsid w:val="0037692B"/>
    <w:rsid w:val="003773AD"/>
    <w:rsid w:val="003807E7"/>
    <w:rsid w:val="0038091E"/>
    <w:rsid w:val="00381C7A"/>
    <w:rsid w:val="00383324"/>
    <w:rsid w:val="00383585"/>
    <w:rsid w:val="00384163"/>
    <w:rsid w:val="00384B25"/>
    <w:rsid w:val="00385898"/>
    <w:rsid w:val="00387E33"/>
    <w:rsid w:val="0039007A"/>
    <w:rsid w:val="00390A6D"/>
    <w:rsid w:val="00390D53"/>
    <w:rsid w:val="00390FB3"/>
    <w:rsid w:val="00391B6F"/>
    <w:rsid w:val="00391BFC"/>
    <w:rsid w:val="00392572"/>
    <w:rsid w:val="003928E1"/>
    <w:rsid w:val="00392B85"/>
    <w:rsid w:val="003943C4"/>
    <w:rsid w:val="00394402"/>
    <w:rsid w:val="00394901"/>
    <w:rsid w:val="00394AC2"/>
    <w:rsid w:val="00395F28"/>
    <w:rsid w:val="003967A2"/>
    <w:rsid w:val="00396C7A"/>
    <w:rsid w:val="00397F28"/>
    <w:rsid w:val="003A07CB"/>
    <w:rsid w:val="003A16F3"/>
    <w:rsid w:val="003A2DA0"/>
    <w:rsid w:val="003A2FF8"/>
    <w:rsid w:val="003A37DD"/>
    <w:rsid w:val="003A4184"/>
    <w:rsid w:val="003A50AE"/>
    <w:rsid w:val="003A5385"/>
    <w:rsid w:val="003A54C7"/>
    <w:rsid w:val="003A76DB"/>
    <w:rsid w:val="003B0BE3"/>
    <w:rsid w:val="003B3893"/>
    <w:rsid w:val="003B3CEA"/>
    <w:rsid w:val="003B3E5F"/>
    <w:rsid w:val="003B4E05"/>
    <w:rsid w:val="003B561F"/>
    <w:rsid w:val="003B6109"/>
    <w:rsid w:val="003B68C7"/>
    <w:rsid w:val="003B6D2E"/>
    <w:rsid w:val="003B6FE6"/>
    <w:rsid w:val="003B7522"/>
    <w:rsid w:val="003B7738"/>
    <w:rsid w:val="003B7B99"/>
    <w:rsid w:val="003C042A"/>
    <w:rsid w:val="003C0F72"/>
    <w:rsid w:val="003C31AF"/>
    <w:rsid w:val="003C384E"/>
    <w:rsid w:val="003C4355"/>
    <w:rsid w:val="003C446B"/>
    <w:rsid w:val="003C729B"/>
    <w:rsid w:val="003C75CF"/>
    <w:rsid w:val="003C7FAE"/>
    <w:rsid w:val="003D03D4"/>
    <w:rsid w:val="003D0F40"/>
    <w:rsid w:val="003D102F"/>
    <w:rsid w:val="003D1BB7"/>
    <w:rsid w:val="003D1CE4"/>
    <w:rsid w:val="003D283B"/>
    <w:rsid w:val="003D2936"/>
    <w:rsid w:val="003D3F4C"/>
    <w:rsid w:val="003D4446"/>
    <w:rsid w:val="003D4638"/>
    <w:rsid w:val="003D4D1D"/>
    <w:rsid w:val="003D6267"/>
    <w:rsid w:val="003D6E02"/>
    <w:rsid w:val="003D70DF"/>
    <w:rsid w:val="003D7753"/>
    <w:rsid w:val="003D7B97"/>
    <w:rsid w:val="003E0079"/>
    <w:rsid w:val="003E03BB"/>
    <w:rsid w:val="003E07E5"/>
    <w:rsid w:val="003E0C89"/>
    <w:rsid w:val="003E21F7"/>
    <w:rsid w:val="003E22D4"/>
    <w:rsid w:val="003E2B94"/>
    <w:rsid w:val="003E3157"/>
    <w:rsid w:val="003E3836"/>
    <w:rsid w:val="003E3E7D"/>
    <w:rsid w:val="003E441D"/>
    <w:rsid w:val="003E451B"/>
    <w:rsid w:val="003E4B1D"/>
    <w:rsid w:val="003E4CD9"/>
    <w:rsid w:val="003E5947"/>
    <w:rsid w:val="003E5CB0"/>
    <w:rsid w:val="003E73BC"/>
    <w:rsid w:val="003F07AF"/>
    <w:rsid w:val="003F0ABA"/>
    <w:rsid w:val="003F0B58"/>
    <w:rsid w:val="003F12B4"/>
    <w:rsid w:val="003F1C7C"/>
    <w:rsid w:val="003F25E5"/>
    <w:rsid w:val="003F27D1"/>
    <w:rsid w:val="003F287E"/>
    <w:rsid w:val="003F3939"/>
    <w:rsid w:val="003F5CC4"/>
    <w:rsid w:val="00400A4D"/>
    <w:rsid w:val="0040233B"/>
    <w:rsid w:val="004023F4"/>
    <w:rsid w:val="00402479"/>
    <w:rsid w:val="00404C07"/>
    <w:rsid w:val="004051BE"/>
    <w:rsid w:val="00406D11"/>
    <w:rsid w:val="00411FED"/>
    <w:rsid w:val="00413872"/>
    <w:rsid w:val="004140BA"/>
    <w:rsid w:val="004144EB"/>
    <w:rsid w:val="004144EE"/>
    <w:rsid w:val="004146BE"/>
    <w:rsid w:val="00414855"/>
    <w:rsid w:val="00415460"/>
    <w:rsid w:val="00415483"/>
    <w:rsid w:val="00415A5E"/>
    <w:rsid w:val="0041704E"/>
    <w:rsid w:val="00417CCE"/>
    <w:rsid w:val="00417EA3"/>
    <w:rsid w:val="00421E3B"/>
    <w:rsid w:val="004246D3"/>
    <w:rsid w:val="00425651"/>
    <w:rsid w:val="00425C2F"/>
    <w:rsid w:val="00425D64"/>
    <w:rsid w:val="00426953"/>
    <w:rsid w:val="00427697"/>
    <w:rsid w:val="00427D2C"/>
    <w:rsid w:val="0043042D"/>
    <w:rsid w:val="00430570"/>
    <w:rsid w:val="00431621"/>
    <w:rsid w:val="00431969"/>
    <w:rsid w:val="00431F78"/>
    <w:rsid w:val="00433F60"/>
    <w:rsid w:val="00434DC1"/>
    <w:rsid w:val="00435582"/>
    <w:rsid w:val="004357F8"/>
    <w:rsid w:val="00436B64"/>
    <w:rsid w:val="00436BF5"/>
    <w:rsid w:val="0043795F"/>
    <w:rsid w:val="0044114D"/>
    <w:rsid w:val="00441920"/>
    <w:rsid w:val="004419DA"/>
    <w:rsid w:val="004427E2"/>
    <w:rsid w:val="00442945"/>
    <w:rsid w:val="00442F70"/>
    <w:rsid w:val="004430A9"/>
    <w:rsid w:val="00443198"/>
    <w:rsid w:val="0044366E"/>
    <w:rsid w:val="00443A90"/>
    <w:rsid w:val="00443DE7"/>
    <w:rsid w:val="00446BCB"/>
    <w:rsid w:val="00447592"/>
    <w:rsid w:val="0045502C"/>
    <w:rsid w:val="00455C99"/>
    <w:rsid w:val="004572B4"/>
    <w:rsid w:val="00457386"/>
    <w:rsid w:val="004610A5"/>
    <w:rsid w:val="00461752"/>
    <w:rsid w:val="00461AC0"/>
    <w:rsid w:val="00461E0C"/>
    <w:rsid w:val="004622AF"/>
    <w:rsid w:val="00463C5C"/>
    <w:rsid w:val="004659EF"/>
    <w:rsid w:val="00470CC8"/>
    <w:rsid w:val="004715B6"/>
    <w:rsid w:val="0047307A"/>
    <w:rsid w:val="00473696"/>
    <w:rsid w:val="00473CA5"/>
    <w:rsid w:val="00474DBB"/>
    <w:rsid w:val="00474F36"/>
    <w:rsid w:val="00474FC8"/>
    <w:rsid w:val="00475639"/>
    <w:rsid w:val="004760F2"/>
    <w:rsid w:val="004761B9"/>
    <w:rsid w:val="00476B76"/>
    <w:rsid w:val="004800E9"/>
    <w:rsid w:val="00482696"/>
    <w:rsid w:val="004854BF"/>
    <w:rsid w:val="0048674B"/>
    <w:rsid w:val="0048747D"/>
    <w:rsid w:val="0049083D"/>
    <w:rsid w:val="00492432"/>
    <w:rsid w:val="00492787"/>
    <w:rsid w:val="004938FA"/>
    <w:rsid w:val="00493959"/>
    <w:rsid w:val="004949D0"/>
    <w:rsid w:val="00495D41"/>
    <w:rsid w:val="0049771B"/>
    <w:rsid w:val="0049798B"/>
    <w:rsid w:val="00497BCA"/>
    <w:rsid w:val="004A0DC5"/>
    <w:rsid w:val="004A228E"/>
    <w:rsid w:val="004A2A28"/>
    <w:rsid w:val="004A35EA"/>
    <w:rsid w:val="004A41B7"/>
    <w:rsid w:val="004A5287"/>
    <w:rsid w:val="004A53EA"/>
    <w:rsid w:val="004A572B"/>
    <w:rsid w:val="004A6496"/>
    <w:rsid w:val="004A782C"/>
    <w:rsid w:val="004A7831"/>
    <w:rsid w:val="004B0A55"/>
    <w:rsid w:val="004B1011"/>
    <w:rsid w:val="004B14C4"/>
    <w:rsid w:val="004B1F17"/>
    <w:rsid w:val="004B30C3"/>
    <w:rsid w:val="004B35DC"/>
    <w:rsid w:val="004B3AEB"/>
    <w:rsid w:val="004C1D84"/>
    <w:rsid w:val="004C40E8"/>
    <w:rsid w:val="004C4AC9"/>
    <w:rsid w:val="004C4F45"/>
    <w:rsid w:val="004C54A0"/>
    <w:rsid w:val="004C5B03"/>
    <w:rsid w:val="004C749A"/>
    <w:rsid w:val="004C7AC4"/>
    <w:rsid w:val="004D08F5"/>
    <w:rsid w:val="004D12A1"/>
    <w:rsid w:val="004D2B3C"/>
    <w:rsid w:val="004D2C34"/>
    <w:rsid w:val="004D311C"/>
    <w:rsid w:val="004D34A0"/>
    <w:rsid w:val="004D362A"/>
    <w:rsid w:val="004D3C08"/>
    <w:rsid w:val="004D55FA"/>
    <w:rsid w:val="004D5A16"/>
    <w:rsid w:val="004D5B29"/>
    <w:rsid w:val="004D5D76"/>
    <w:rsid w:val="004D5E02"/>
    <w:rsid w:val="004D5F70"/>
    <w:rsid w:val="004D75C4"/>
    <w:rsid w:val="004D75D8"/>
    <w:rsid w:val="004E05E7"/>
    <w:rsid w:val="004E1757"/>
    <w:rsid w:val="004E1E38"/>
    <w:rsid w:val="004E2F35"/>
    <w:rsid w:val="004E3204"/>
    <w:rsid w:val="004E3FFF"/>
    <w:rsid w:val="004E58C3"/>
    <w:rsid w:val="004E65E9"/>
    <w:rsid w:val="004E66DA"/>
    <w:rsid w:val="004E75A8"/>
    <w:rsid w:val="004E7901"/>
    <w:rsid w:val="004E79BD"/>
    <w:rsid w:val="004F2383"/>
    <w:rsid w:val="004F23E9"/>
    <w:rsid w:val="004F2FF1"/>
    <w:rsid w:val="004F366A"/>
    <w:rsid w:val="004F3D03"/>
    <w:rsid w:val="004F3D3B"/>
    <w:rsid w:val="004F53C9"/>
    <w:rsid w:val="004F5854"/>
    <w:rsid w:val="004F72E9"/>
    <w:rsid w:val="00500EDA"/>
    <w:rsid w:val="00502D50"/>
    <w:rsid w:val="00503295"/>
    <w:rsid w:val="00503466"/>
    <w:rsid w:val="00503571"/>
    <w:rsid w:val="00503A81"/>
    <w:rsid w:val="00503B2F"/>
    <w:rsid w:val="00503E65"/>
    <w:rsid w:val="005045AE"/>
    <w:rsid w:val="00504CED"/>
    <w:rsid w:val="00504D5D"/>
    <w:rsid w:val="005055E9"/>
    <w:rsid w:val="00505BA0"/>
    <w:rsid w:val="00505E50"/>
    <w:rsid w:val="00505FBC"/>
    <w:rsid w:val="005075B6"/>
    <w:rsid w:val="00512853"/>
    <w:rsid w:val="00512C92"/>
    <w:rsid w:val="00514497"/>
    <w:rsid w:val="00514988"/>
    <w:rsid w:val="00515110"/>
    <w:rsid w:val="005154BC"/>
    <w:rsid w:val="00516022"/>
    <w:rsid w:val="0051634A"/>
    <w:rsid w:val="0051662C"/>
    <w:rsid w:val="0051695D"/>
    <w:rsid w:val="00517704"/>
    <w:rsid w:val="00517839"/>
    <w:rsid w:val="00523193"/>
    <w:rsid w:val="005232A0"/>
    <w:rsid w:val="00523347"/>
    <w:rsid w:val="00523390"/>
    <w:rsid w:val="0052440C"/>
    <w:rsid w:val="00524898"/>
    <w:rsid w:val="005249F7"/>
    <w:rsid w:val="005250BF"/>
    <w:rsid w:val="00525620"/>
    <w:rsid w:val="00525715"/>
    <w:rsid w:val="00525DBB"/>
    <w:rsid w:val="005262C2"/>
    <w:rsid w:val="00526680"/>
    <w:rsid w:val="00527A20"/>
    <w:rsid w:val="005300C8"/>
    <w:rsid w:val="00530F5B"/>
    <w:rsid w:val="005310AE"/>
    <w:rsid w:val="005318B9"/>
    <w:rsid w:val="00531B5B"/>
    <w:rsid w:val="00531E07"/>
    <w:rsid w:val="005321F4"/>
    <w:rsid w:val="0053257C"/>
    <w:rsid w:val="0053271E"/>
    <w:rsid w:val="00533178"/>
    <w:rsid w:val="005332F5"/>
    <w:rsid w:val="00534585"/>
    <w:rsid w:val="0053478E"/>
    <w:rsid w:val="00534A1D"/>
    <w:rsid w:val="00535011"/>
    <w:rsid w:val="00535439"/>
    <w:rsid w:val="00536EE4"/>
    <w:rsid w:val="00540F72"/>
    <w:rsid w:val="00542F46"/>
    <w:rsid w:val="00543297"/>
    <w:rsid w:val="00543543"/>
    <w:rsid w:val="00543DB7"/>
    <w:rsid w:val="00545FB5"/>
    <w:rsid w:val="005460F4"/>
    <w:rsid w:val="005469D0"/>
    <w:rsid w:val="00550A92"/>
    <w:rsid w:val="005519BC"/>
    <w:rsid w:val="00551BEE"/>
    <w:rsid w:val="0055360E"/>
    <w:rsid w:val="005545BF"/>
    <w:rsid w:val="00554B81"/>
    <w:rsid w:val="00554DE5"/>
    <w:rsid w:val="00555069"/>
    <w:rsid w:val="00555A12"/>
    <w:rsid w:val="00555CA0"/>
    <w:rsid w:val="00557536"/>
    <w:rsid w:val="00557627"/>
    <w:rsid w:val="00560E96"/>
    <w:rsid w:val="005611AB"/>
    <w:rsid w:val="005618BC"/>
    <w:rsid w:val="00564D12"/>
    <w:rsid w:val="0056564F"/>
    <w:rsid w:val="00566962"/>
    <w:rsid w:val="005673FC"/>
    <w:rsid w:val="00567F85"/>
    <w:rsid w:val="005716DE"/>
    <w:rsid w:val="0057289E"/>
    <w:rsid w:val="00572F46"/>
    <w:rsid w:val="005777A9"/>
    <w:rsid w:val="00580871"/>
    <w:rsid w:val="0058183A"/>
    <w:rsid w:val="00584D1A"/>
    <w:rsid w:val="005850E9"/>
    <w:rsid w:val="00585605"/>
    <w:rsid w:val="00585FF4"/>
    <w:rsid w:val="00587D7D"/>
    <w:rsid w:val="00590A8E"/>
    <w:rsid w:val="005921ED"/>
    <w:rsid w:val="00592536"/>
    <w:rsid w:val="00592CAB"/>
    <w:rsid w:val="00593628"/>
    <w:rsid w:val="00593636"/>
    <w:rsid w:val="0059500A"/>
    <w:rsid w:val="00596A48"/>
    <w:rsid w:val="00597281"/>
    <w:rsid w:val="005A0588"/>
    <w:rsid w:val="005A08BE"/>
    <w:rsid w:val="005A098A"/>
    <w:rsid w:val="005A34F9"/>
    <w:rsid w:val="005A3BEF"/>
    <w:rsid w:val="005A3CB8"/>
    <w:rsid w:val="005A4358"/>
    <w:rsid w:val="005A4F7D"/>
    <w:rsid w:val="005A5F10"/>
    <w:rsid w:val="005A6378"/>
    <w:rsid w:val="005A69E2"/>
    <w:rsid w:val="005A6C7B"/>
    <w:rsid w:val="005A6CAA"/>
    <w:rsid w:val="005B01F2"/>
    <w:rsid w:val="005B4F29"/>
    <w:rsid w:val="005B5378"/>
    <w:rsid w:val="005B5F54"/>
    <w:rsid w:val="005C01C6"/>
    <w:rsid w:val="005C0765"/>
    <w:rsid w:val="005C0E15"/>
    <w:rsid w:val="005C1345"/>
    <w:rsid w:val="005C3D9A"/>
    <w:rsid w:val="005C4A93"/>
    <w:rsid w:val="005C4FA1"/>
    <w:rsid w:val="005C5271"/>
    <w:rsid w:val="005C55BC"/>
    <w:rsid w:val="005D090E"/>
    <w:rsid w:val="005D33F7"/>
    <w:rsid w:val="005D40C7"/>
    <w:rsid w:val="005D436B"/>
    <w:rsid w:val="005D4382"/>
    <w:rsid w:val="005D4D4F"/>
    <w:rsid w:val="005D528D"/>
    <w:rsid w:val="005D5B48"/>
    <w:rsid w:val="005D60FF"/>
    <w:rsid w:val="005D6922"/>
    <w:rsid w:val="005D6DBA"/>
    <w:rsid w:val="005D74D6"/>
    <w:rsid w:val="005D75C3"/>
    <w:rsid w:val="005E0C51"/>
    <w:rsid w:val="005E12DC"/>
    <w:rsid w:val="005E1491"/>
    <w:rsid w:val="005E214B"/>
    <w:rsid w:val="005E24EC"/>
    <w:rsid w:val="005E50A3"/>
    <w:rsid w:val="005E5393"/>
    <w:rsid w:val="005E56CB"/>
    <w:rsid w:val="005E6754"/>
    <w:rsid w:val="005E7204"/>
    <w:rsid w:val="005F057C"/>
    <w:rsid w:val="005F05CF"/>
    <w:rsid w:val="005F10BC"/>
    <w:rsid w:val="005F178B"/>
    <w:rsid w:val="005F2E90"/>
    <w:rsid w:val="005F3184"/>
    <w:rsid w:val="005F35E2"/>
    <w:rsid w:val="005F4702"/>
    <w:rsid w:val="005F4A9E"/>
    <w:rsid w:val="005F4C5B"/>
    <w:rsid w:val="005F5031"/>
    <w:rsid w:val="005F5398"/>
    <w:rsid w:val="005F6D05"/>
    <w:rsid w:val="005F7159"/>
    <w:rsid w:val="005F7940"/>
    <w:rsid w:val="006000EA"/>
    <w:rsid w:val="00600271"/>
    <w:rsid w:val="006015C3"/>
    <w:rsid w:val="0060192A"/>
    <w:rsid w:val="00601F67"/>
    <w:rsid w:val="00602E36"/>
    <w:rsid w:val="00603D1C"/>
    <w:rsid w:val="00603EE2"/>
    <w:rsid w:val="00604B46"/>
    <w:rsid w:val="00607554"/>
    <w:rsid w:val="00607CD1"/>
    <w:rsid w:val="00610F01"/>
    <w:rsid w:val="00611F5F"/>
    <w:rsid w:val="00613C23"/>
    <w:rsid w:val="00613EA0"/>
    <w:rsid w:val="00613F67"/>
    <w:rsid w:val="0061492A"/>
    <w:rsid w:val="00614A6C"/>
    <w:rsid w:val="0061524E"/>
    <w:rsid w:val="00615576"/>
    <w:rsid w:val="0061563D"/>
    <w:rsid w:val="006158BA"/>
    <w:rsid w:val="00615BEA"/>
    <w:rsid w:val="00617175"/>
    <w:rsid w:val="006172CD"/>
    <w:rsid w:val="006207F3"/>
    <w:rsid w:val="006212C0"/>
    <w:rsid w:val="006216D9"/>
    <w:rsid w:val="0062174A"/>
    <w:rsid w:val="00621F3C"/>
    <w:rsid w:val="00623C44"/>
    <w:rsid w:val="00625470"/>
    <w:rsid w:val="00625C7F"/>
    <w:rsid w:val="006301EB"/>
    <w:rsid w:val="006313B8"/>
    <w:rsid w:val="00631505"/>
    <w:rsid w:val="006327F5"/>
    <w:rsid w:val="0063491D"/>
    <w:rsid w:val="00635B90"/>
    <w:rsid w:val="00636992"/>
    <w:rsid w:val="00637857"/>
    <w:rsid w:val="00640D08"/>
    <w:rsid w:val="00640D3D"/>
    <w:rsid w:val="00642706"/>
    <w:rsid w:val="00642A13"/>
    <w:rsid w:val="00642A8F"/>
    <w:rsid w:val="006437DA"/>
    <w:rsid w:val="00643ECB"/>
    <w:rsid w:val="0064401B"/>
    <w:rsid w:val="0064422C"/>
    <w:rsid w:val="00644D7F"/>
    <w:rsid w:val="00645170"/>
    <w:rsid w:val="006451ED"/>
    <w:rsid w:val="00645E6F"/>
    <w:rsid w:val="00650171"/>
    <w:rsid w:val="0065242B"/>
    <w:rsid w:val="00652638"/>
    <w:rsid w:val="00653FDD"/>
    <w:rsid w:val="0065458B"/>
    <w:rsid w:val="00654A2F"/>
    <w:rsid w:val="00654DC2"/>
    <w:rsid w:val="00655AC4"/>
    <w:rsid w:val="00656EA0"/>
    <w:rsid w:val="0065707C"/>
    <w:rsid w:val="006574BB"/>
    <w:rsid w:val="00660C2B"/>
    <w:rsid w:val="00660C81"/>
    <w:rsid w:val="006614DA"/>
    <w:rsid w:val="00661644"/>
    <w:rsid w:val="006616C9"/>
    <w:rsid w:val="00661965"/>
    <w:rsid w:val="0066238B"/>
    <w:rsid w:val="00662E16"/>
    <w:rsid w:val="00662E83"/>
    <w:rsid w:val="006638DD"/>
    <w:rsid w:val="00663DDD"/>
    <w:rsid w:val="00664676"/>
    <w:rsid w:val="00664F45"/>
    <w:rsid w:val="006652C6"/>
    <w:rsid w:val="00665368"/>
    <w:rsid w:val="00666BF3"/>
    <w:rsid w:val="00667712"/>
    <w:rsid w:val="00667FDE"/>
    <w:rsid w:val="006706A5"/>
    <w:rsid w:val="006709E7"/>
    <w:rsid w:val="0067105F"/>
    <w:rsid w:val="00671138"/>
    <w:rsid w:val="0067116A"/>
    <w:rsid w:val="00671309"/>
    <w:rsid w:val="00671A52"/>
    <w:rsid w:val="00671D61"/>
    <w:rsid w:val="00672658"/>
    <w:rsid w:val="00672851"/>
    <w:rsid w:val="0067365B"/>
    <w:rsid w:val="00673BE6"/>
    <w:rsid w:val="006752DC"/>
    <w:rsid w:val="0067587A"/>
    <w:rsid w:val="00676A37"/>
    <w:rsid w:val="00677D41"/>
    <w:rsid w:val="00680324"/>
    <w:rsid w:val="00680C89"/>
    <w:rsid w:val="006811E0"/>
    <w:rsid w:val="006836BF"/>
    <w:rsid w:val="0068534E"/>
    <w:rsid w:val="00685438"/>
    <w:rsid w:val="00685C47"/>
    <w:rsid w:val="00686195"/>
    <w:rsid w:val="00686458"/>
    <w:rsid w:val="0068734F"/>
    <w:rsid w:val="006873CB"/>
    <w:rsid w:val="006878D9"/>
    <w:rsid w:val="006906C5"/>
    <w:rsid w:val="00690B33"/>
    <w:rsid w:val="00690F25"/>
    <w:rsid w:val="00691CB9"/>
    <w:rsid w:val="00692A55"/>
    <w:rsid w:val="00693910"/>
    <w:rsid w:val="00693A68"/>
    <w:rsid w:val="00694864"/>
    <w:rsid w:val="00694B21"/>
    <w:rsid w:val="00694C5E"/>
    <w:rsid w:val="00695654"/>
    <w:rsid w:val="006A0461"/>
    <w:rsid w:val="006A0550"/>
    <w:rsid w:val="006A0B82"/>
    <w:rsid w:val="006A172E"/>
    <w:rsid w:val="006A2550"/>
    <w:rsid w:val="006A29BE"/>
    <w:rsid w:val="006A4113"/>
    <w:rsid w:val="006A4C05"/>
    <w:rsid w:val="006A5CFC"/>
    <w:rsid w:val="006A5DB1"/>
    <w:rsid w:val="006A780B"/>
    <w:rsid w:val="006A7DB6"/>
    <w:rsid w:val="006B1632"/>
    <w:rsid w:val="006B23FF"/>
    <w:rsid w:val="006B247F"/>
    <w:rsid w:val="006B3C0B"/>
    <w:rsid w:val="006B460D"/>
    <w:rsid w:val="006B59EF"/>
    <w:rsid w:val="006C0F2D"/>
    <w:rsid w:val="006C2D84"/>
    <w:rsid w:val="006C3710"/>
    <w:rsid w:val="006C49EB"/>
    <w:rsid w:val="006C56A5"/>
    <w:rsid w:val="006C58A2"/>
    <w:rsid w:val="006C5BFF"/>
    <w:rsid w:val="006C5D46"/>
    <w:rsid w:val="006C5DAF"/>
    <w:rsid w:val="006C65F1"/>
    <w:rsid w:val="006D0207"/>
    <w:rsid w:val="006D04EE"/>
    <w:rsid w:val="006D1519"/>
    <w:rsid w:val="006D250A"/>
    <w:rsid w:val="006D260C"/>
    <w:rsid w:val="006D3169"/>
    <w:rsid w:val="006D4E3D"/>
    <w:rsid w:val="006D590F"/>
    <w:rsid w:val="006D60A4"/>
    <w:rsid w:val="006D6E56"/>
    <w:rsid w:val="006E0ACD"/>
    <w:rsid w:val="006E19CA"/>
    <w:rsid w:val="006E270D"/>
    <w:rsid w:val="006E2F84"/>
    <w:rsid w:val="006E3777"/>
    <w:rsid w:val="006E3E10"/>
    <w:rsid w:val="006E50F1"/>
    <w:rsid w:val="006E7B1A"/>
    <w:rsid w:val="006F0018"/>
    <w:rsid w:val="006F2FA2"/>
    <w:rsid w:val="006F32C7"/>
    <w:rsid w:val="006F381F"/>
    <w:rsid w:val="006F4482"/>
    <w:rsid w:val="006F45BC"/>
    <w:rsid w:val="006F472E"/>
    <w:rsid w:val="006F4D03"/>
    <w:rsid w:val="006F59DE"/>
    <w:rsid w:val="006F5C13"/>
    <w:rsid w:val="00700664"/>
    <w:rsid w:val="00700917"/>
    <w:rsid w:val="00700E59"/>
    <w:rsid w:val="00701FAC"/>
    <w:rsid w:val="00702EF7"/>
    <w:rsid w:val="00704460"/>
    <w:rsid w:val="007047B6"/>
    <w:rsid w:val="00704A66"/>
    <w:rsid w:val="007052E1"/>
    <w:rsid w:val="0070698C"/>
    <w:rsid w:val="00706A32"/>
    <w:rsid w:val="00706CA1"/>
    <w:rsid w:val="007078B7"/>
    <w:rsid w:val="00710EAE"/>
    <w:rsid w:val="007119DA"/>
    <w:rsid w:val="007132B5"/>
    <w:rsid w:val="0071440E"/>
    <w:rsid w:val="00714A09"/>
    <w:rsid w:val="00714C51"/>
    <w:rsid w:val="00715A44"/>
    <w:rsid w:val="00715D19"/>
    <w:rsid w:val="00716C70"/>
    <w:rsid w:val="00716DBB"/>
    <w:rsid w:val="00717887"/>
    <w:rsid w:val="00717AA6"/>
    <w:rsid w:val="00717AE2"/>
    <w:rsid w:val="00720090"/>
    <w:rsid w:val="007227BD"/>
    <w:rsid w:val="00723F00"/>
    <w:rsid w:val="0072472D"/>
    <w:rsid w:val="0072487D"/>
    <w:rsid w:val="007258B9"/>
    <w:rsid w:val="007262BB"/>
    <w:rsid w:val="007302CD"/>
    <w:rsid w:val="00732C4E"/>
    <w:rsid w:val="00733D05"/>
    <w:rsid w:val="0073478E"/>
    <w:rsid w:val="00735921"/>
    <w:rsid w:val="00736CA8"/>
    <w:rsid w:val="00737C3A"/>
    <w:rsid w:val="00737D14"/>
    <w:rsid w:val="00737F05"/>
    <w:rsid w:val="007431F5"/>
    <w:rsid w:val="00743716"/>
    <w:rsid w:val="00745223"/>
    <w:rsid w:val="00745908"/>
    <w:rsid w:val="00747304"/>
    <w:rsid w:val="007473AC"/>
    <w:rsid w:val="007477F4"/>
    <w:rsid w:val="0075077E"/>
    <w:rsid w:val="00752178"/>
    <w:rsid w:val="0075282E"/>
    <w:rsid w:val="00752F02"/>
    <w:rsid w:val="00754881"/>
    <w:rsid w:val="00754AB5"/>
    <w:rsid w:val="0075617D"/>
    <w:rsid w:val="007564AB"/>
    <w:rsid w:val="00756930"/>
    <w:rsid w:val="00756975"/>
    <w:rsid w:val="00756DFA"/>
    <w:rsid w:val="00757C4B"/>
    <w:rsid w:val="007611CB"/>
    <w:rsid w:val="00761B0B"/>
    <w:rsid w:val="007631E0"/>
    <w:rsid w:val="00765781"/>
    <w:rsid w:val="00766353"/>
    <w:rsid w:val="00766448"/>
    <w:rsid w:val="00766FE8"/>
    <w:rsid w:val="00771098"/>
    <w:rsid w:val="00773BDD"/>
    <w:rsid w:val="00774460"/>
    <w:rsid w:val="00774707"/>
    <w:rsid w:val="00776EC9"/>
    <w:rsid w:val="00780296"/>
    <w:rsid w:val="00780707"/>
    <w:rsid w:val="00780972"/>
    <w:rsid w:val="00780E2F"/>
    <w:rsid w:val="00781C27"/>
    <w:rsid w:val="00783363"/>
    <w:rsid w:val="00784FC3"/>
    <w:rsid w:val="0078516F"/>
    <w:rsid w:val="00787B2C"/>
    <w:rsid w:val="00787B36"/>
    <w:rsid w:val="00787D24"/>
    <w:rsid w:val="00791BEA"/>
    <w:rsid w:val="00791DBC"/>
    <w:rsid w:val="00791EEE"/>
    <w:rsid w:val="007946EB"/>
    <w:rsid w:val="0079543C"/>
    <w:rsid w:val="00795F8D"/>
    <w:rsid w:val="00796AEA"/>
    <w:rsid w:val="007A1316"/>
    <w:rsid w:val="007A1DC5"/>
    <w:rsid w:val="007A20AD"/>
    <w:rsid w:val="007A28CD"/>
    <w:rsid w:val="007A3463"/>
    <w:rsid w:val="007A5A18"/>
    <w:rsid w:val="007A5D05"/>
    <w:rsid w:val="007A5E2B"/>
    <w:rsid w:val="007A6BB9"/>
    <w:rsid w:val="007A7331"/>
    <w:rsid w:val="007A7415"/>
    <w:rsid w:val="007B0CB0"/>
    <w:rsid w:val="007B116D"/>
    <w:rsid w:val="007B1A13"/>
    <w:rsid w:val="007B1F99"/>
    <w:rsid w:val="007B27DF"/>
    <w:rsid w:val="007B3A86"/>
    <w:rsid w:val="007B3DF4"/>
    <w:rsid w:val="007B54ED"/>
    <w:rsid w:val="007B596C"/>
    <w:rsid w:val="007B63CE"/>
    <w:rsid w:val="007B6462"/>
    <w:rsid w:val="007B6EF3"/>
    <w:rsid w:val="007C1F95"/>
    <w:rsid w:val="007C2AE2"/>
    <w:rsid w:val="007C2F4E"/>
    <w:rsid w:val="007C31CC"/>
    <w:rsid w:val="007C32C3"/>
    <w:rsid w:val="007C3745"/>
    <w:rsid w:val="007C37E5"/>
    <w:rsid w:val="007C3E46"/>
    <w:rsid w:val="007C47D0"/>
    <w:rsid w:val="007C6751"/>
    <w:rsid w:val="007D0987"/>
    <w:rsid w:val="007D0E00"/>
    <w:rsid w:val="007D0FC5"/>
    <w:rsid w:val="007D16EA"/>
    <w:rsid w:val="007D1913"/>
    <w:rsid w:val="007D19CF"/>
    <w:rsid w:val="007D1DA4"/>
    <w:rsid w:val="007D20B0"/>
    <w:rsid w:val="007D2143"/>
    <w:rsid w:val="007D298C"/>
    <w:rsid w:val="007D2A4C"/>
    <w:rsid w:val="007D30DA"/>
    <w:rsid w:val="007D3420"/>
    <w:rsid w:val="007D5362"/>
    <w:rsid w:val="007D6110"/>
    <w:rsid w:val="007D6BBA"/>
    <w:rsid w:val="007D6C48"/>
    <w:rsid w:val="007D71F7"/>
    <w:rsid w:val="007E000F"/>
    <w:rsid w:val="007E156E"/>
    <w:rsid w:val="007E2AE5"/>
    <w:rsid w:val="007E2E70"/>
    <w:rsid w:val="007E3501"/>
    <w:rsid w:val="007E4C3F"/>
    <w:rsid w:val="007E52B4"/>
    <w:rsid w:val="007E65B1"/>
    <w:rsid w:val="007F0FF4"/>
    <w:rsid w:val="007F19ED"/>
    <w:rsid w:val="007F2683"/>
    <w:rsid w:val="007F2956"/>
    <w:rsid w:val="007F2E32"/>
    <w:rsid w:val="007F44AF"/>
    <w:rsid w:val="007F6940"/>
    <w:rsid w:val="007F6A11"/>
    <w:rsid w:val="007F7D0F"/>
    <w:rsid w:val="008002AA"/>
    <w:rsid w:val="008015EA"/>
    <w:rsid w:val="008018EF"/>
    <w:rsid w:val="0080230D"/>
    <w:rsid w:val="0080261F"/>
    <w:rsid w:val="0080369A"/>
    <w:rsid w:val="008036FD"/>
    <w:rsid w:val="0080383D"/>
    <w:rsid w:val="00806744"/>
    <w:rsid w:val="00807429"/>
    <w:rsid w:val="00810827"/>
    <w:rsid w:val="008127D6"/>
    <w:rsid w:val="00814E45"/>
    <w:rsid w:val="00815360"/>
    <w:rsid w:val="008177BC"/>
    <w:rsid w:val="00817DA7"/>
    <w:rsid w:val="0082161C"/>
    <w:rsid w:val="00821B16"/>
    <w:rsid w:val="00823378"/>
    <w:rsid w:val="008243DF"/>
    <w:rsid w:val="0082459D"/>
    <w:rsid w:val="00824CEF"/>
    <w:rsid w:val="008254AB"/>
    <w:rsid w:val="00825D30"/>
    <w:rsid w:val="00826480"/>
    <w:rsid w:val="00830148"/>
    <w:rsid w:val="008316AD"/>
    <w:rsid w:val="00831855"/>
    <w:rsid w:val="00832D13"/>
    <w:rsid w:val="0083362F"/>
    <w:rsid w:val="00835315"/>
    <w:rsid w:val="00835AEB"/>
    <w:rsid w:val="00836BE5"/>
    <w:rsid w:val="00837A0A"/>
    <w:rsid w:val="00840D0F"/>
    <w:rsid w:val="0084200E"/>
    <w:rsid w:val="00842A84"/>
    <w:rsid w:val="00842FDE"/>
    <w:rsid w:val="0084347A"/>
    <w:rsid w:val="008445D4"/>
    <w:rsid w:val="008446F1"/>
    <w:rsid w:val="00846FF0"/>
    <w:rsid w:val="00847CD0"/>
    <w:rsid w:val="0085253F"/>
    <w:rsid w:val="00854B56"/>
    <w:rsid w:val="00855374"/>
    <w:rsid w:val="00856680"/>
    <w:rsid w:val="0085728C"/>
    <w:rsid w:val="00857A42"/>
    <w:rsid w:val="00857F65"/>
    <w:rsid w:val="00860737"/>
    <w:rsid w:val="008611A4"/>
    <w:rsid w:val="008618EB"/>
    <w:rsid w:val="00861FD7"/>
    <w:rsid w:val="00862B1B"/>
    <w:rsid w:val="00862B56"/>
    <w:rsid w:val="0086363F"/>
    <w:rsid w:val="008639C9"/>
    <w:rsid w:val="00864FF6"/>
    <w:rsid w:val="008667AD"/>
    <w:rsid w:val="00866D13"/>
    <w:rsid w:val="008703CA"/>
    <w:rsid w:val="008732A2"/>
    <w:rsid w:val="00874491"/>
    <w:rsid w:val="00874DEF"/>
    <w:rsid w:val="00876D09"/>
    <w:rsid w:val="008771FE"/>
    <w:rsid w:val="00877308"/>
    <w:rsid w:val="00877619"/>
    <w:rsid w:val="0088013C"/>
    <w:rsid w:val="00881882"/>
    <w:rsid w:val="00882AC7"/>
    <w:rsid w:val="00882CC5"/>
    <w:rsid w:val="008835E3"/>
    <w:rsid w:val="008841A6"/>
    <w:rsid w:val="00884452"/>
    <w:rsid w:val="008901E5"/>
    <w:rsid w:val="008905D7"/>
    <w:rsid w:val="0089078C"/>
    <w:rsid w:val="0089213D"/>
    <w:rsid w:val="008934C7"/>
    <w:rsid w:val="008957C4"/>
    <w:rsid w:val="00895B87"/>
    <w:rsid w:val="00895EB5"/>
    <w:rsid w:val="008960B7"/>
    <w:rsid w:val="008962F2"/>
    <w:rsid w:val="0089636B"/>
    <w:rsid w:val="00896511"/>
    <w:rsid w:val="00896657"/>
    <w:rsid w:val="0089692A"/>
    <w:rsid w:val="00896F35"/>
    <w:rsid w:val="008975E7"/>
    <w:rsid w:val="008A08D2"/>
    <w:rsid w:val="008A0DE1"/>
    <w:rsid w:val="008A1D9A"/>
    <w:rsid w:val="008A2E7B"/>
    <w:rsid w:val="008A3967"/>
    <w:rsid w:val="008A3EA4"/>
    <w:rsid w:val="008A3FB1"/>
    <w:rsid w:val="008A7133"/>
    <w:rsid w:val="008A7AE9"/>
    <w:rsid w:val="008B0C5E"/>
    <w:rsid w:val="008B1D85"/>
    <w:rsid w:val="008B24E5"/>
    <w:rsid w:val="008B270A"/>
    <w:rsid w:val="008B3920"/>
    <w:rsid w:val="008B431A"/>
    <w:rsid w:val="008B496B"/>
    <w:rsid w:val="008B5813"/>
    <w:rsid w:val="008B5ADC"/>
    <w:rsid w:val="008B5B9D"/>
    <w:rsid w:val="008B68C6"/>
    <w:rsid w:val="008B6F16"/>
    <w:rsid w:val="008B6F4B"/>
    <w:rsid w:val="008C0156"/>
    <w:rsid w:val="008C0189"/>
    <w:rsid w:val="008C0257"/>
    <w:rsid w:val="008C0920"/>
    <w:rsid w:val="008C12FB"/>
    <w:rsid w:val="008C1B2A"/>
    <w:rsid w:val="008C2607"/>
    <w:rsid w:val="008C465E"/>
    <w:rsid w:val="008C4CE4"/>
    <w:rsid w:val="008C5AA7"/>
    <w:rsid w:val="008C6787"/>
    <w:rsid w:val="008C73D6"/>
    <w:rsid w:val="008D0C62"/>
    <w:rsid w:val="008D11D1"/>
    <w:rsid w:val="008D20C1"/>
    <w:rsid w:val="008D2CD6"/>
    <w:rsid w:val="008D4939"/>
    <w:rsid w:val="008D4E6C"/>
    <w:rsid w:val="008D50C8"/>
    <w:rsid w:val="008D790B"/>
    <w:rsid w:val="008D7FC7"/>
    <w:rsid w:val="008E0C04"/>
    <w:rsid w:val="008E0FE3"/>
    <w:rsid w:val="008E2737"/>
    <w:rsid w:val="008E3D60"/>
    <w:rsid w:val="008E45DB"/>
    <w:rsid w:val="008E4DCD"/>
    <w:rsid w:val="008E4E47"/>
    <w:rsid w:val="008E6098"/>
    <w:rsid w:val="008E60C9"/>
    <w:rsid w:val="008E7390"/>
    <w:rsid w:val="008E7B58"/>
    <w:rsid w:val="008F05C2"/>
    <w:rsid w:val="008F1D7A"/>
    <w:rsid w:val="008F1F00"/>
    <w:rsid w:val="008F41ED"/>
    <w:rsid w:val="008F42BB"/>
    <w:rsid w:val="008F47D1"/>
    <w:rsid w:val="008F4D6F"/>
    <w:rsid w:val="008F6D2B"/>
    <w:rsid w:val="008F7005"/>
    <w:rsid w:val="00901E6F"/>
    <w:rsid w:val="0090291C"/>
    <w:rsid w:val="009043BE"/>
    <w:rsid w:val="00905434"/>
    <w:rsid w:val="00905BBA"/>
    <w:rsid w:val="00905C39"/>
    <w:rsid w:val="00905E46"/>
    <w:rsid w:val="00906628"/>
    <w:rsid w:val="009072F6"/>
    <w:rsid w:val="00907697"/>
    <w:rsid w:val="00910B93"/>
    <w:rsid w:val="00910D1A"/>
    <w:rsid w:val="009113AE"/>
    <w:rsid w:val="009116CC"/>
    <w:rsid w:val="00911955"/>
    <w:rsid w:val="00911A3E"/>
    <w:rsid w:val="00912262"/>
    <w:rsid w:val="00912A52"/>
    <w:rsid w:val="00912BE1"/>
    <w:rsid w:val="00912F87"/>
    <w:rsid w:val="00913539"/>
    <w:rsid w:val="009160E0"/>
    <w:rsid w:val="00920363"/>
    <w:rsid w:val="00921A04"/>
    <w:rsid w:val="00921B80"/>
    <w:rsid w:val="00921F3C"/>
    <w:rsid w:val="009228BE"/>
    <w:rsid w:val="00922ACD"/>
    <w:rsid w:val="00923A05"/>
    <w:rsid w:val="00924F4A"/>
    <w:rsid w:val="009259EF"/>
    <w:rsid w:val="00926659"/>
    <w:rsid w:val="00927725"/>
    <w:rsid w:val="00927DC4"/>
    <w:rsid w:val="009304FE"/>
    <w:rsid w:val="00930782"/>
    <w:rsid w:val="009310F0"/>
    <w:rsid w:val="0093137A"/>
    <w:rsid w:val="0093251E"/>
    <w:rsid w:val="009334C5"/>
    <w:rsid w:val="0093422B"/>
    <w:rsid w:val="00934A5A"/>
    <w:rsid w:val="009353DF"/>
    <w:rsid w:val="0093570A"/>
    <w:rsid w:val="00935F40"/>
    <w:rsid w:val="009363C8"/>
    <w:rsid w:val="00936C3C"/>
    <w:rsid w:val="00936EC8"/>
    <w:rsid w:val="00936FE7"/>
    <w:rsid w:val="009378D2"/>
    <w:rsid w:val="00941138"/>
    <w:rsid w:val="00942DAE"/>
    <w:rsid w:val="009438D8"/>
    <w:rsid w:val="00943F6E"/>
    <w:rsid w:val="00945CCD"/>
    <w:rsid w:val="00945D59"/>
    <w:rsid w:val="009464BC"/>
    <w:rsid w:val="00947F9D"/>
    <w:rsid w:val="00951D24"/>
    <w:rsid w:val="00952049"/>
    <w:rsid w:val="00952C86"/>
    <w:rsid w:val="00953BC2"/>
    <w:rsid w:val="009542EE"/>
    <w:rsid w:val="00954986"/>
    <w:rsid w:val="00955385"/>
    <w:rsid w:val="00955739"/>
    <w:rsid w:val="009559AF"/>
    <w:rsid w:val="009564F3"/>
    <w:rsid w:val="009565E3"/>
    <w:rsid w:val="00956972"/>
    <w:rsid w:val="00956DDF"/>
    <w:rsid w:val="0095714D"/>
    <w:rsid w:val="00957687"/>
    <w:rsid w:val="00957E20"/>
    <w:rsid w:val="00961E91"/>
    <w:rsid w:val="00963876"/>
    <w:rsid w:val="00964A74"/>
    <w:rsid w:val="00964CD3"/>
    <w:rsid w:val="00964F54"/>
    <w:rsid w:val="00966051"/>
    <w:rsid w:val="00970E28"/>
    <w:rsid w:val="00973088"/>
    <w:rsid w:val="00974428"/>
    <w:rsid w:val="00974568"/>
    <w:rsid w:val="0097493A"/>
    <w:rsid w:val="0097619C"/>
    <w:rsid w:val="009765DF"/>
    <w:rsid w:val="00977973"/>
    <w:rsid w:val="00981EB5"/>
    <w:rsid w:val="00981F79"/>
    <w:rsid w:val="009834E9"/>
    <w:rsid w:val="00983A72"/>
    <w:rsid w:val="009850EF"/>
    <w:rsid w:val="009868FC"/>
    <w:rsid w:val="00986D78"/>
    <w:rsid w:val="0098776F"/>
    <w:rsid w:val="00987FE0"/>
    <w:rsid w:val="00990566"/>
    <w:rsid w:val="00991A16"/>
    <w:rsid w:val="00991AA5"/>
    <w:rsid w:val="00993BEE"/>
    <w:rsid w:val="00993DDB"/>
    <w:rsid w:val="00995CC1"/>
    <w:rsid w:val="009961EE"/>
    <w:rsid w:val="0099682E"/>
    <w:rsid w:val="00996FC8"/>
    <w:rsid w:val="00997386"/>
    <w:rsid w:val="009A08CF"/>
    <w:rsid w:val="009A0BF1"/>
    <w:rsid w:val="009A23A4"/>
    <w:rsid w:val="009A2E64"/>
    <w:rsid w:val="009A34CB"/>
    <w:rsid w:val="009A3BAF"/>
    <w:rsid w:val="009A43AF"/>
    <w:rsid w:val="009A4914"/>
    <w:rsid w:val="009A4ED0"/>
    <w:rsid w:val="009A6EF9"/>
    <w:rsid w:val="009B0086"/>
    <w:rsid w:val="009B044D"/>
    <w:rsid w:val="009B0DF1"/>
    <w:rsid w:val="009B15CF"/>
    <w:rsid w:val="009B15D0"/>
    <w:rsid w:val="009B32BB"/>
    <w:rsid w:val="009B4416"/>
    <w:rsid w:val="009B4B28"/>
    <w:rsid w:val="009B4E8F"/>
    <w:rsid w:val="009B5E0E"/>
    <w:rsid w:val="009B75B8"/>
    <w:rsid w:val="009B7FCB"/>
    <w:rsid w:val="009C07DF"/>
    <w:rsid w:val="009C0E2E"/>
    <w:rsid w:val="009C1047"/>
    <w:rsid w:val="009C1908"/>
    <w:rsid w:val="009C190C"/>
    <w:rsid w:val="009C2436"/>
    <w:rsid w:val="009C2FEF"/>
    <w:rsid w:val="009C302B"/>
    <w:rsid w:val="009C65B2"/>
    <w:rsid w:val="009C77A0"/>
    <w:rsid w:val="009C79CB"/>
    <w:rsid w:val="009C7C61"/>
    <w:rsid w:val="009D145F"/>
    <w:rsid w:val="009D1640"/>
    <w:rsid w:val="009D21D0"/>
    <w:rsid w:val="009D2D1D"/>
    <w:rsid w:val="009D2FBA"/>
    <w:rsid w:val="009D351E"/>
    <w:rsid w:val="009D4C9C"/>
    <w:rsid w:val="009D5EAE"/>
    <w:rsid w:val="009D6D73"/>
    <w:rsid w:val="009D73AC"/>
    <w:rsid w:val="009D7787"/>
    <w:rsid w:val="009E02C9"/>
    <w:rsid w:val="009E1660"/>
    <w:rsid w:val="009E1F68"/>
    <w:rsid w:val="009E2A96"/>
    <w:rsid w:val="009E359F"/>
    <w:rsid w:val="009E39DC"/>
    <w:rsid w:val="009E3FC0"/>
    <w:rsid w:val="009E44D4"/>
    <w:rsid w:val="009E455F"/>
    <w:rsid w:val="009E5645"/>
    <w:rsid w:val="009E56B4"/>
    <w:rsid w:val="009E59A2"/>
    <w:rsid w:val="009E67DD"/>
    <w:rsid w:val="009E7F5C"/>
    <w:rsid w:val="009F00E2"/>
    <w:rsid w:val="009F43C3"/>
    <w:rsid w:val="009F44EB"/>
    <w:rsid w:val="009F4C44"/>
    <w:rsid w:val="009F61A9"/>
    <w:rsid w:val="009F61B8"/>
    <w:rsid w:val="009F6A19"/>
    <w:rsid w:val="00A00004"/>
    <w:rsid w:val="00A020B4"/>
    <w:rsid w:val="00A02F3C"/>
    <w:rsid w:val="00A03358"/>
    <w:rsid w:val="00A03F03"/>
    <w:rsid w:val="00A043FE"/>
    <w:rsid w:val="00A044A3"/>
    <w:rsid w:val="00A0471E"/>
    <w:rsid w:val="00A05520"/>
    <w:rsid w:val="00A05916"/>
    <w:rsid w:val="00A05AA6"/>
    <w:rsid w:val="00A06192"/>
    <w:rsid w:val="00A07065"/>
    <w:rsid w:val="00A071FE"/>
    <w:rsid w:val="00A10886"/>
    <w:rsid w:val="00A11861"/>
    <w:rsid w:val="00A1266A"/>
    <w:rsid w:val="00A1389B"/>
    <w:rsid w:val="00A1622A"/>
    <w:rsid w:val="00A16E6B"/>
    <w:rsid w:val="00A16EEB"/>
    <w:rsid w:val="00A20575"/>
    <w:rsid w:val="00A208EB"/>
    <w:rsid w:val="00A2114F"/>
    <w:rsid w:val="00A2216E"/>
    <w:rsid w:val="00A228C1"/>
    <w:rsid w:val="00A22F5A"/>
    <w:rsid w:val="00A23508"/>
    <w:rsid w:val="00A2370B"/>
    <w:rsid w:val="00A23F13"/>
    <w:rsid w:val="00A26956"/>
    <w:rsid w:val="00A269FC"/>
    <w:rsid w:val="00A27ACC"/>
    <w:rsid w:val="00A27C20"/>
    <w:rsid w:val="00A27F81"/>
    <w:rsid w:val="00A303DA"/>
    <w:rsid w:val="00A30EA6"/>
    <w:rsid w:val="00A31499"/>
    <w:rsid w:val="00A31523"/>
    <w:rsid w:val="00A31536"/>
    <w:rsid w:val="00A31FAC"/>
    <w:rsid w:val="00A346FE"/>
    <w:rsid w:val="00A3596C"/>
    <w:rsid w:val="00A36B1D"/>
    <w:rsid w:val="00A36E14"/>
    <w:rsid w:val="00A40446"/>
    <w:rsid w:val="00A40A8F"/>
    <w:rsid w:val="00A41B06"/>
    <w:rsid w:val="00A4277B"/>
    <w:rsid w:val="00A43468"/>
    <w:rsid w:val="00A437BB"/>
    <w:rsid w:val="00A4716C"/>
    <w:rsid w:val="00A50430"/>
    <w:rsid w:val="00A50DA6"/>
    <w:rsid w:val="00A511E6"/>
    <w:rsid w:val="00A51BBE"/>
    <w:rsid w:val="00A52978"/>
    <w:rsid w:val="00A52C86"/>
    <w:rsid w:val="00A52E94"/>
    <w:rsid w:val="00A53130"/>
    <w:rsid w:val="00A5412B"/>
    <w:rsid w:val="00A55158"/>
    <w:rsid w:val="00A55E3E"/>
    <w:rsid w:val="00A578A7"/>
    <w:rsid w:val="00A57DA5"/>
    <w:rsid w:val="00A6042C"/>
    <w:rsid w:val="00A628DE"/>
    <w:rsid w:val="00A6301B"/>
    <w:rsid w:val="00A63B97"/>
    <w:rsid w:val="00A64735"/>
    <w:rsid w:val="00A64AC6"/>
    <w:rsid w:val="00A66253"/>
    <w:rsid w:val="00A666B7"/>
    <w:rsid w:val="00A66B50"/>
    <w:rsid w:val="00A677C0"/>
    <w:rsid w:val="00A67D68"/>
    <w:rsid w:val="00A67FAE"/>
    <w:rsid w:val="00A72556"/>
    <w:rsid w:val="00A72AF8"/>
    <w:rsid w:val="00A7322E"/>
    <w:rsid w:val="00A73601"/>
    <w:rsid w:val="00A7422E"/>
    <w:rsid w:val="00A746B4"/>
    <w:rsid w:val="00A74F96"/>
    <w:rsid w:val="00A80B08"/>
    <w:rsid w:val="00A81805"/>
    <w:rsid w:val="00A81E64"/>
    <w:rsid w:val="00A82AD7"/>
    <w:rsid w:val="00A8326A"/>
    <w:rsid w:val="00A8367E"/>
    <w:rsid w:val="00A84536"/>
    <w:rsid w:val="00A84FC0"/>
    <w:rsid w:val="00A8510A"/>
    <w:rsid w:val="00A85226"/>
    <w:rsid w:val="00A856D8"/>
    <w:rsid w:val="00A857A7"/>
    <w:rsid w:val="00A85CF2"/>
    <w:rsid w:val="00A860D4"/>
    <w:rsid w:val="00A92240"/>
    <w:rsid w:val="00A92D24"/>
    <w:rsid w:val="00A9350D"/>
    <w:rsid w:val="00A940EA"/>
    <w:rsid w:val="00A94442"/>
    <w:rsid w:val="00A944A8"/>
    <w:rsid w:val="00A94FA2"/>
    <w:rsid w:val="00A973D1"/>
    <w:rsid w:val="00A97F64"/>
    <w:rsid w:val="00AA0D13"/>
    <w:rsid w:val="00AA2F56"/>
    <w:rsid w:val="00AA32F4"/>
    <w:rsid w:val="00AA3F68"/>
    <w:rsid w:val="00AA3FE6"/>
    <w:rsid w:val="00AA59A9"/>
    <w:rsid w:val="00AA5C5A"/>
    <w:rsid w:val="00AA650E"/>
    <w:rsid w:val="00AA6C4C"/>
    <w:rsid w:val="00AA72B5"/>
    <w:rsid w:val="00AB0EFE"/>
    <w:rsid w:val="00AB0F2F"/>
    <w:rsid w:val="00AB12D9"/>
    <w:rsid w:val="00AB195F"/>
    <w:rsid w:val="00AB1C09"/>
    <w:rsid w:val="00AB2C4F"/>
    <w:rsid w:val="00AB3404"/>
    <w:rsid w:val="00AB3848"/>
    <w:rsid w:val="00AB3ACA"/>
    <w:rsid w:val="00AB5020"/>
    <w:rsid w:val="00AB5F73"/>
    <w:rsid w:val="00AB6968"/>
    <w:rsid w:val="00AB699B"/>
    <w:rsid w:val="00AB6EAA"/>
    <w:rsid w:val="00AC042B"/>
    <w:rsid w:val="00AC0A37"/>
    <w:rsid w:val="00AC113A"/>
    <w:rsid w:val="00AC1E64"/>
    <w:rsid w:val="00AC275F"/>
    <w:rsid w:val="00AC2919"/>
    <w:rsid w:val="00AC3473"/>
    <w:rsid w:val="00AC3CC5"/>
    <w:rsid w:val="00AC4230"/>
    <w:rsid w:val="00AC4746"/>
    <w:rsid w:val="00AC5FB9"/>
    <w:rsid w:val="00AC6001"/>
    <w:rsid w:val="00AC6F04"/>
    <w:rsid w:val="00AC7080"/>
    <w:rsid w:val="00AC7204"/>
    <w:rsid w:val="00AC72DE"/>
    <w:rsid w:val="00AD07F3"/>
    <w:rsid w:val="00AD1FB6"/>
    <w:rsid w:val="00AD20E2"/>
    <w:rsid w:val="00AD22B6"/>
    <w:rsid w:val="00AD2ADC"/>
    <w:rsid w:val="00AD2B54"/>
    <w:rsid w:val="00AD46E9"/>
    <w:rsid w:val="00AD5C38"/>
    <w:rsid w:val="00AD76C7"/>
    <w:rsid w:val="00AE2494"/>
    <w:rsid w:val="00AE2B63"/>
    <w:rsid w:val="00AE2D37"/>
    <w:rsid w:val="00AE2D7B"/>
    <w:rsid w:val="00AE402B"/>
    <w:rsid w:val="00AE5CF9"/>
    <w:rsid w:val="00AE646E"/>
    <w:rsid w:val="00AE655A"/>
    <w:rsid w:val="00AE7C84"/>
    <w:rsid w:val="00AF08B5"/>
    <w:rsid w:val="00AF0AC1"/>
    <w:rsid w:val="00AF16AA"/>
    <w:rsid w:val="00AF41FA"/>
    <w:rsid w:val="00AF4B50"/>
    <w:rsid w:val="00AF4BB9"/>
    <w:rsid w:val="00AF4E66"/>
    <w:rsid w:val="00AF545D"/>
    <w:rsid w:val="00AF6DD9"/>
    <w:rsid w:val="00B001CE"/>
    <w:rsid w:val="00B00A69"/>
    <w:rsid w:val="00B01F47"/>
    <w:rsid w:val="00B021F9"/>
    <w:rsid w:val="00B03703"/>
    <w:rsid w:val="00B044F4"/>
    <w:rsid w:val="00B05C76"/>
    <w:rsid w:val="00B068F0"/>
    <w:rsid w:val="00B077A2"/>
    <w:rsid w:val="00B07E37"/>
    <w:rsid w:val="00B101A9"/>
    <w:rsid w:val="00B1022D"/>
    <w:rsid w:val="00B106F6"/>
    <w:rsid w:val="00B10A00"/>
    <w:rsid w:val="00B10F4E"/>
    <w:rsid w:val="00B10F6A"/>
    <w:rsid w:val="00B11E5B"/>
    <w:rsid w:val="00B14669"/>
    <w:rsid w:val="00B146AF"/>
    <w:rsid w:val="00B1511A"/>
    <w:rsid w:val="00B15D08"/>
    <w:rsid w:val="00B16E7E"/>
    <w:rsid w:val="00B17456"/>
    <w:rsid w:val="00B20655"/>
    <w:rsid w:val="00B206E5"/>
    <w:rsid w:val="00B20AC4"/>
    <w:rsid w:val="00B213AB"/>
    <w:rsid w:val="00B21FFE"/>
    <w:rsid w:val="00B2244F"/>
    <w:rsid w:val="00B229D6"/>
    <w:rsid w:val="00B24127"/>
    <w:rsid w:val="00B24658"/>
    <w:rsid w:val="00B2631A"/>
    <w:rsid w:val="00B265B1"/>
    <w:rsid w:val="00B26D8F"/>
    <w:rsid w:val="00B300F8"/>
    <w:rsid w:val="00B301A2"/>
    <w:rsid w:val="00B303F0"/>
    <w:rsid w:val="00B30A47"/>
    <w:rsid w:val="00B31173"/>
    <w:rsid w:val="00B312A4"/>
    <w:rsid w:val="00B320CE"/>
    <w:rsid w:val="00B323CA"/>
    <w:rsid w:val="00B32735"/>
    <w:rsid w:val="00B32D74"/>
    <w:rsid w:val="00B3348E"/>
    <w:rsid w:val="00B338A5"/>
    <w:rsid w:val="00B33BDB"/>
    <w:rsid w:val="00B35695"/>
    <w:rsid w:val="00B36B21"/>
    <w:rsid w:val="00B36B32"/>
    <w:rsid w:val="00B40231"/>
    <w:rsid w:val="00B40C7A"/>
    <w:rsid w:val="00B419E0"/>
    <w:rsid w:val="00B4266C"/>
    <w:rsid w:val="00B42A6D"/>
    <w:rsid w:val="00B42ABB"/>
    <w:rsid w:val="00B42F5F"/>
    <w:rsid w:val="00B43670"/>
    <w:rsid w:val="00B444FF"/>
    <w:rsid w:val="00B45042"/>
    <w:rsid w:val="00B45348"/>
    <w:rsid w:val="00B453FA"/>
    <w:rsid w:val="00B46895"/>
    <w:rsid w:val="00B508E9"/>
    <w:rsid w:val="00B50A01"/>
    <w:rsid w:val="00B50EFF"/>
    <w:rsid w:val="00B513A5"/>
    <w:rsid w:val="00B52B1B"/>
    <w:rsid w:val="00B531F1"/>
    <w:rsid w:val="00B53E54"/>
    <w:rsid w:val="00B547FB"/>
    <w:rsid w:val="00B555ED"/>
    <w:rsid w:val="00B55B97"/>
    <w:rsid w:val="00B56E5D"/>
    <w:rsid w:val="00B5729D"/>
    <w:rsid w:val="00B5735F"/>
    <w:rsid w:val="00B573B5"/>
    <w:rsid w:val="00B57E11"/>
    <w:rsid w:val="00B6012C"/>
    <w:rsid w:val="00B61727"/>
    <w:rsid w:val="00B6173F"/>
    <w:rsid w:val="00B6325D"/>
    <w:rsid w:val="00B64C58"/>
    <w:rsid w:val="00B66BAE"/>
    <w:rsid w:val="00B66CCF"/>
    <w:rsid w:val="00B67590"/>
    <w:rsid w:val="00B6764B"/>
    <w:rsid w:val="00B70517"/>
    <w:rsid w:val="00B7116C"/>
    <w:rsid w:val="00B7181E"/>
    <w:rsid w:val="00B72736"/>
    <w:rsid w:val="00B72809"/>
    <w:rsid w:val="00B72A2A"/>
    <w:rsid w:val="00B72D9A"/>
    <w:rsid w:val="00B735FE"/>
    <w:rsid w:val="00B7409D"/>
    <w:rsid w:val="00B74F9D"/>
    <w:rsid w:val="00B751FF"/>
    <w:rsid w:val="00B75BB3"/>
    <w:rsid w:val="00B8045B"/>
    <w:rsid w:val="00B809EB"/>
    <w:rsid w:val="00B80D03"/>
    <w:rsid w:val="00B8177E"/>
    <w:rsid w:val="00B81FD1"/>
    <w:rsid w:val="00B82620"/>
    <w:rsid w:val="00B828BD"/>
    <w:rsid w:val="00B83C05"/>
    <w:rsid w:val="00B844F4"/>
    <w:rsid w:val="00B86396"/>
    <w:rsid w:val="00B866CA"/>
    <w:rsid w:val="00B9003F"/>
    <w:rsid w:val="00B902C9"/>
    <w:rsid w:val="00B903FE"/>
    <w:rsid w:val="00B90D1E"/>
    <w:rsid w:val="00B912BF"/>
    <w:rsid w:val="00B9185F"/>
    <w:rsid w:val="00B918B1"/>
    <w:rsid w:val="00B91E89"/>
    <w:rsid w:val="00B92D56"/>
    <w:rsid w:val="00B934B4"/>
    <w:rsid w:val="00B93DAD"/>
    <w:rsid w:val="00B93E64"/>
    <w:rsid w:val="00B9411D"/>
    <w:rsid w:val="00B94551"/>
    <w:rsid w:val="00B94598"/>
    <w:rsid w:val="00B951C0"/>
    <w:rsid w:val="00B95A7D"/>
    <w:rsid w:val="00B96137"/>
    <w:rsid w:val="00B96A3D"/>
    <w:rsid w:val="00BA09E4"/>
    <w:rsid w:val="00BA0B44"/>
    <w:rsid w:val="00BA188B"/>
    <w:rsid w:val="00BA4EA6"/>
    <w:rsid w:val="00BA657A"/>
    <w:rsid w:val="00BA688D"/>
    <w:rsid w:val="00BA7B9D"/>
    <w:rsid w:val="00BA7BD2"/>
    <w:rsid w:val="00BA7C42"/>
    <w:rsid w:val="00BB0832"/>
    <w:rsid w:val="00BB1257"/>
    <w:rsid w:val="00BB14EE"/>
    <w:rsid w:val="00BB25C7"/>
    <w:rsid w:val="00BB276B"/>
    <w:rsid w:val="00BB354F"/>
    <w:rsid w:val="00BB36A8"/>
    <w:rsid w:val="00BB3D84"/>
    <w:rsid w:val="00BB4228"/>
    <w:rsid w:val="00BB4825"/>
    <w:rsid w:val="00BB48C7"/>
    <w:rsid w:val="00BB5B0A"/>
    <w:rsid w:val="00BB700A"/>
    <w:rsid w:val="00BB7187"/>
    <w:rsid w:val="00BC0530"/>
    <w:rsid w:val="00BC0BCB"/>
    <w:rsid w:val="00BC108B"/>
    <w:rsid w:val="00BC12B6"/>
    <w:rsid w:val="00BC2DCC"/>
    <w:rsid w:val="00BC2DF0"/>
    <w:rsid w:val="00BC321A"/>
    <w:rsid w:val="00BC3F05"/>
    <w:rsid w:val="00BC45CB"/>
    <w:rsid w:val="00BC4D98"/>
    <w:rsid w:val="00BC589E"/>
    <w:rsid w:val="00BC5AB0"/>
    <w:rsid w:val="00BC5C7E"/>
    <w:rsid w:val="00BD074E"/>
    <w:rsid w:val="00BD1AD4"/>
    <w:rsid w:val="00BD1E93"/>
    <w:rsid w:val="00BD1F85"/>
    <w:rsid w:val="00BD223D"/>
    <w:rsid w:val="00BD27A4"/>
    <w:rsid w:val="00BD4D28"/>
    <w:rsid w:val="00BD57BE"/>
    <w:rsid w:val="00BD6587"/>
    <w:rsid w:val="00BD6AE9"/>
    <w:rsid w:val="00BD720D"/>
    <w:rsid w:val="00BE0162"/>
    <w:rsid w:val="00BE07AC"/>
    <w:rsid w:val="00BE0929"/>
    <w:rsid w:val="00BE1981"/>
    <w:rsid w:val="00BE1985"/>
    <w:rsid w:val="00BE2DFC"/>
    <w:rsid w:val="00BE33C9"/>
    <w:rsid w:val="00BE37E1"/>
    <w:rsid w:val="00BE448A"/>
    <w:rsid w:val="00BE62E8"/>
    <w:rsid w:val="00BE6B92"/>
    <w:rsid w:val="00BE6BBF"/>
    <w:rsid w:val="00BE7433"/>
    <w:rsid w:val="00BF0D7D"/>
    <w:rsid w:val="00BF335C"/>
    <w:rsid w:val="00BF3465"/>
    <w:rsid w:val="00BF3876"/>
    <w:rsid w:val="00BF4490"/>
    <w:rsid w:val="00BF48C1"/>
    <w:rsid w:val="00BF57E1"/>
    <w:rsid w:val="00BF5828"/>
    <w:rsid w:val="00BF6C75"/>
    <w:rsid w:val="00BF6D1E"/>
    <w:rsid w:val="00C00570"/>
    <w:rsid w:val="00C00AE5"/>
    <w:rsid w:val="00C00DDC"/>
    <w:rsid w:val="00C02DFA"/>
    <w:rsid w:val="00C03981"/>
    <w:rsid w:val="00C04218"/>
    <w:rsid w:val="00C04F43"/>
    <w:rsid w:val="00C05103"/>
    <w:rsid w:val="00C0704F"/>
    <w:rsid w:val="00C07844"/>
    <w:rsid w:val="00C07AD3"/>
    <w:rsid w:val="00C100E8"/>
    <w:rsid w:val="00C1059C"/>
    <w:rsid w:val="00C10BBC"/>
    <w:rsid w:val="00C12C16"/>
    <w:rsid w:val="00C1369E"/>
    <w:rsid w:val="00C13ED1"/>
    <w:rsid w:val="00C14024"/>
    <w:rsid w:val="00C1408E"/>
    <w:rsid w:val="00C14801"/>
    <w:rsid w:val="00C14D24"/>
    <w:rsid w:val="00C15225"/>
    <w:rsid w:val="00C152B8"/>
    <w:rsid w:val="00C160B0"/>
    <w:rsid w:val="00C16120"/>
    <w:rsid w:val="00C16966"/>
    <w:rsid w:val="00C16E1E"/>
    <w:rsid w:val="00C21F0C"/>
    <w:rsid w:val="00C22F84"/>
    <w:rsid w:val="00C2613F"/>
    <w:rsid w:val="00C26422"/>
    <w:rsid w:val="00C26763"/>
    <w:rsid w:val="00C267C0"/>
    <w:rsid w:val="00C26C7C"/>
    <w:rsid w:val="00C32484"/>
    <w:rsid w:val="00C3269F"/>
    <w:rsid w:val="00C32C00"/>
    <w:rsid w:val="00C334D7"/>
    <w:rsid w:val="00C33C89"/>
    <w:rsid w:val="00C33ED1"/>
    <w:rsid w:val="00C34D03"/>
    <w:rsid w:val="00C36E14"/>
    <w:rsid w:val="00C4047F"/>
    <w:rsid w:val="00C41F4A"/>
    <w:rsid w:val="00C45358"/>
    <w:rsid w:val="00C45513"/>
    <w:rsid w:val="00C4681F"/>
    <w:rsid w:val="00C51391"/>
    <w:rsid w:val="00C56CDC"/>
    <w:rsid w:val="00C56DC5"/>
    <w:rsid w:val="00C577BF"/>
    <w:rsid w:val="00C609DF"/>
    <w:rsid w:val="00C6107C"/>
    <w:rsid w:val="00C6111C"/>
    <w:rsid w:val="00C65A7D"/>
    <w:rsid w:val="00C65E9D"/>
    <w:rsid w:val="00C67EB5"/>
    <w:rsid w:val="00C70497"/>
    <w:rsid w:val="00C704B8"/>
    <w:rsid w:val="00C7149A"/>
    <w:rsid w:val="00C72CFB"/>
    <w:rsid w:val="00C72D10"/>
    <w:rsid w:val="00C72F81"/>
    <w:rsid w:val="00C73074"/>
    <w:rsid w:val="00C7441C"/>
    <w:rsid w:val="00C74E95"/>
    <w:rsid w:val="00C74FDD"/>
    <w:rsid w:val="00C760D9"/>
    <w:rsid w:val="00C81097"/>
    <w:rsid w:val="00C812A4"/>
    <w:rsid w:val="00C81445"/>
    <w:rsid w:val="00C81704"/>
    <w:rsid w:val="00C8216D"/>
    <w:rsid w:val="00C8399C"/>
    <w:rsid w:val="00C848D1"/>
    <w:rsid w:val="00C85B39"/>
    <w:rsid w:val="00C86351"/>
    <w:rsid w:val="00C869F3"/>
    <w:rsid w:val="00C86F0C"/>
    <w:rsid w:val="00C87880"/>
    <w:rsid w:val="00C918DF"/>
    <w:rsid w:val="00C93939"/>
    <w:rsid w:val="00C93C0C"/>
    <w:rsid w:val="00C95721"/>
    <w:rsid w:val="00C96027"/>
    <w:rsid w:val="00C96BC5"/>
    <w:rsid w:val="00C974C4"/>
    <w:rsid w:val="00C9797E"/>
    <w:rsid w:val="00C97BC9"/>
    <w:rsid w:val="00C97FC8"/>
    <w:rsid w:val="00CA0724"/>
    <w:rsid w:val="00CA0933"/>
    <w:rsid w:val="00CA1972"/>
    <w:rsid w:val="00CA1C47"/>
    <w:rsid w:val="00CA2E57"/>
    <w:rsid w:val="00CA3612"/>
    <w:rsid w:val="00CA372D"/>
    <w:rsid w:val="00CA3FCC"/>
    <w:rsid w:val="00CA4C2D"/>
    <w:rsid w:val="00CA574C"/>
    <w:rsid w:val="00CA630A"/>
    <w:rsid w:val="00CA63A8"/>
    <w:rsid w:val="00CA6536"/>
    <w:rsid w:val="00CA6891"/>
    <w:rsid w:val="00CA6B73"/>
    <w:rsid w:val="00CA6BAF"/>
    <w:rsid w:val="00CB0B66"/>
    <w:rsid w:val="00CB0FE1"/>
    <w:rsid w:val="00CB1C25"/>
    <w:rsid w:val="00CB3617"/>
    <w:rsid w:val="00CB6336"/>
    <w:rsid w:val="00CB7689"/>
    <w:rsid w:val="00CB7B1A"/>
    <w:rsid w:val="00CB7C08"/>
    <w:rsid w:val="00CC00F7"/>
    <w:rsid w:val="00CC0273"/>
    <w:rsid w:val="00CC044C"/>
    <w:rsid w:val="00CC14C4"/>
    <w:rsid w:val="00CC1E36"/>
    <w:rsid w:val="00CC3C93"/>
    <w:rsid w:val="00CC4198"/>
    <w:rsid w:val="00CC4EB1"/>
    <w:rsid w:val="00CC54C3"/>
    <w:rsid w:val="00CC5812"/>
    <w:rsid w:val="00CC6492"/>
    <w:rsid w:val="00CC6A7A"/>
    <w:rsid w:val="00CC6BD1"/>
    <w:rsid w:val="00CC714E"/>
    <w:rsid w:val="00CC771C"/>
    <w:rsid w:val="00CC7EF4"/>
    <w:rsid w:val="00CD0016"/>
    <w:rsid w:val="00CD1C84"/>
    <w:rsid w:val="00CD217E"/>
    <w:rsid w:val="00CD24A8"/>
    <w:rsid w:val="00CD2881"/>
    <w:rsid w:val="00CD2EDC"/>
    <w:rsid w:val="00CD32A8"/>
    <w:rsid w:val="00CD38B6"/>
    <w:rsid w:val="00CD5D7F"/>
    <w:rsid w:val="00CD7494"/>
    <w:rsid w:val="00CD7578"/>
    <w:rsid w:val="00CD7D3D"/>
    <w:rsid w:val="00CE025E"/>
    <w:rsid w:val="00CE0975"/>
    <w:rsid w:val="00CE186F"/>
    <w:rsid w:val="00CE1FF3"/>
    <w:rsid w:val="00CE200F"/>
    <w:rsid w:val="00CE23AA"/>
    <w:rsid w:val="00CE3041"/>
    <w:rsid w:val="00CE3475"/>
    <w:rsid w:val="00CE4799"/>
    <w:rsid w:val="00CE55DA"/>
    <w:rsid w:val="00CE61A3"/>
    <w:rsid w:val="00CE6615"/>
    <w:rsid w:val="00CE680F"/>
    <w:rsid w:val="00CE69C0"/>
    <w:rsid w:val="00CE799C"/>
    <w:rsid w:val="00CF0839"/>
    <w:rsid w:val="00CF0BAF"/>
    <w:rsid w:val="00CF1884"/>
    <w:rsid w:val="00CF1B89"/>
    <w:rsid w:val="00CF241F"/>
    <w:rsid w:val="00CF3380"/>
    <w:rsid w:val="00CF4910"/>
    <w:rsid w:val="00CF5A26"/>
    <w:rsid w:val="00CF5CE6"/>
    <w:rsid w:val="00CF6857"/>
    <w:rsid w:val="00CF6FAC"/>
    <w:rsid w:val="00D00F16"/>
    <w:rsid w:val="00D01C1F"/>
    <w:rsid w:val="00D025A0"/>
    <w:rsid w:val="00D03BD2"/>
    <w:rsid w:val="00D0441F"/>
    <w:rsid w:val="00D04F78"/>
    <w:rsid w:val="00D05208"/>
    <w:rsid w:val="00D05704"/>
    <w:rsid w:val="00D06C90"/>
    <w:rsid w:val="00D10B8D"/>
    <w:rsid w:val="00D11139"/>
    <w:rsid w:val="00D11D66"/>
    <w:rsid w:val="00D11EF2"/>
    <w:rsid w:val="00D12493"/>
    <w:rsid w:val="00D12E44"/>
    <w:rsid w:val="00D141F3"/>
    <w:rsid w:val="00D14BE7"/>
    <w:rsid w:val="00D14EF9"/>
    <w:rsid w:val="00D150E9"/>
    <w:rsid w:val="00D151DF"/>
    <w:rsid w:val="00D15AE9"/>
    <w:rsid w:val="00D21282"/>
    <w:rsid w:val="00D217EE"/>
    <w:rsid w:val="00D21CD0"/>
    <w:rsid w:val="00D222D0"/>
    <w:rsid w:val="00D2292C"/>
    <w:rsid w:val="00D229F9"/>
    <w:rsid w:val="00D2377A"/>
    <w:rsid w:val="00D23D51"/>
    <w:rsid w:val="00D24A7F"/>
    <w:rsid w:val="00D30E85"/>
    <w:rsid w:val="00D325CD"/>
    <w:rsid w:val="00D32B20"/>
    <w:rsid w:val="00D32E71"/>
    <w:rsid w:val="00D33BAD"/>
    <w:rsid w:val="00D33F51"/>
    <w:rsid w:val="00D3501F"/>
    <w:rsid w:val="00D35161"/>
    <w:rsid w:val="00D36224"/>
    <w:rsid w:val="00D36DE1"/>
    <w:rsid w:val="00D37CB2"/>
    <w:rsid w:val="00D40999"/>
    <w:rsid w:val="00D416AA"/>
    <w:rsid w:val="00D41FF6"/>
    <w:rsid w:val="00D4491E"/>
    <w:rsid w:val="00D45FDF"/>
    <w:rsid w:val="00D50742"/>
    <w:rsid w:val="00D50EE4"/>
    <w:rsid w:val="00D53BB6"/>
    <w:rsid w:val="00D540B2"/>
    <w:rsid w:val="00D54954"/>
    <w:rsid w:val="00D54BCD"/>
    <w:rsid w:val="00D55558"/>
    <w:rsid w:val="00D556A2"/>
    <w:rsid w:val="00D55FDF"/>
    <w:rsid w:val="00D5616B"/>
    <w:rsid w:val="00D5673B"/>
    <w:rsid w:val="00D56769"/>
    <w:rsid w:val="00D56F3D"/>
    <w:rsid w:val="00D57E6D"/>
    <w:rsid w:val="00D63483"/>
    <w:rsid w:val="00D63FC0"/>
    <w:rsid w:val="00D64655"/>
    <w:rsid w:val="00D65037"/>
    <w:rsid w:val="00D66349"/>
    <w:rsid w:val="00D66661"/>
    <w:rsid w:val="00D66F4D"/>
    <w:rsid w:val="00D74447"/>
    <w:rsid w:val="00D74833"/>
    <w:rsid w:val="00D7563C"/>
    <w:rsid w:val="00D75B68"/>
    <w:rsid w:val="00D75DD0"/>
    <w:rsid w:val="00D76810"/>
    <w:rsid w:val="00D76ACF"/>
    <w:rsid w:val="00D76EF3"/>
    <w:rsid w:val="00D80A47"/>
    <w:rsid w:val="00D81263"/>
    <w:rsid w:val="00D83927"/>
    <w:rsid w:val="00D848FA"/>
    <w:rsid w:val="00D85488"/>
    <w:rsid w:val="00D85E86"/>
    <w:rsid w:val="00D867A5"/>
    <w:rsid w:val="00D904AB"/>
    <w:rsid w:val="00D90AB8"/>
    <w:rsid w:val="00D923E5"/>
    <w:rsid w:val="00D92798"/>
    <w:rsid w:val="00D942D5"/>
    <w:rsid w:val="00D94DB6"/>
    <w:rsid w:val="00D964B5"/>
    <w:rsid w:val="00D9737F"/>
    <w:rsid w:val="00D97D9B"/>
    <w:rsid w:val="00DA11B1"/>
    <w:rsid w:val="00DA11D1"/>
    <w:rsid w:val="00DA1938"/>
    <w:rsid w:val="00DA2CEC"/>
    <w:rsid w:val="00DA3675"/>
    <w:rsid w:val="00DA3BAC"/>
    <w:rsid w:val="00DA4329"/>
    <w:rsid w:val="00DA4B4A"/>
    <w:rsid w:val="00DA5597"/>
    <w:rsid w:val="00DA6967"/>
    <w:rsid w:val="00DA7199"/>
    <w:rsid w:val="00DB07BF"/>
    <w:rsid w:val="00DB1610"/>
    <w:rsid w:val="00DB393B"/>
    <w:rsid w:val="00DB56B4"/>
    <w:rsid w:val="00DB61A8"/>
    <w:rsid w:val="00DB6E40"/>
    <w:rsid w:val="00DB75A7"/>
    <w:rsid w:val="00DC07A5"/>
    <w:rsid w:val="00DC0B14"/>
    <w:rsid w:val="00DC134F"/>
    <w:rsid w:val="00DC14DE"/>
    <w:rsid w:val="00DC1E0C"/>
    <w:rsid w:val="00DC29C4"/>
    <w:rsid w:val="00DC2DC4"/>
    <w:rsid w:val="00DC2FD3"/>
    <w:rsid w:val="00DC3A95"/>
    <w:rsid w:val="00DC3F16"/>
    <w:rsid w:val="00DC4276"/>
    <w:rsid w:val="00DC4F0E"/>
    <w:rsid w:val="00DC5992"/>
    <w:rsid w:val="00DC5F21"/>
    <w:rsid w:val="00DC6148"/>
    <w:rsid w:val="00DC6174"/>
    <w:rsid w:val="00DC6C80"/>
    <w:rsid w:val="00DD009F"/>
    <w:rsid w:val="00DD0EEF"/>
    <w:rsid w:val="00DD3119"/>
    <w:rsid w:val="00DD3E1A"/>
    <w:rsid w:val="00DD461A"/>
    <w:rsid w:val="00DD479B"/>
    <w:rsid w:val="00DD4AD2"/>
    <w:rsid w:val="00DD58FD"/>
    <w:rsid w:val="00DD5FC9"/>
    <w:rsid w:val="00DD6697"/>
    <w:rsid w:val="00DD6894"/>
    <w:rsid w:val="00DD6A5C"/>
    <w:rsid w:val="00DD6F0B"/>
    <w:rsid w:val="00DD7963"/>
    <w:rsid w:val="00DE06B7"/>
    <w:rsid w:val="00DE06E8"/>
    <w:rsid w:val="00DE0726"/>
    <w:rsid w:val="00DE0B22"/>
    <w:rsid w:val="00DE139F"/>
    <w:rsid w:val="00DE167F"/>
    <w:rsid w:val="00DE1F57"/>
    <w:rsid w:val="00DE3207"/>
    <w:rsid w:val="00DE4D90"/>
    <w:rsid w:val="00DE5D05"/>
    <w:rsid w:val="00DE6CE8"/>
    <w:rsid w:val="00DE6DAB"/>
    <w:rsid w:val="00DE7AB3"/>
    <w:rsid w:val="00DF0036"/>
    <w:rsid w:val="00DF04E0"/>
    <w:rsid w:val="00DF0724"/>
    <w:rsid w:val="00DF1A1E"/>
    <w:rsid w:val="00DF2BFF"/>
    <w:rsid w:val="00DF4141"/>
    <w:rsid w:val="00DF4AA9"/>
    <w:rsid w:val="00DF4B70"/>
    <w:rsid w:val="00DF591B"/>
    <w:rsid w:val="00DF6AC2"/>
    <w:rsid w:val="00DF7AAA"/>
    <w:rsid w:val="00E007AE"/>
    <w:rsid w:val="00E01407"/>
    <w:rsid w:val="00E01EC2"/>
    <w:rsid w:val="00E0249E"/>
    <w:rsid w:val="00E02C83"/>
    <w:rsid w:val="00E02E7F"/>
    <w:rsid w:val="00E04197"/>
    <w:rsid w:val="00E045C7"/>
    <w:rsid w:val="00E050C0"/>
    <w:rsid w:val="00E05189"/>
    <w:rsid w:val="00E055EC"/>
    <w:rsid w:val="00E05801"/>
    <w:rsid w:val="00E05C7D"/>
    <w:rsid w:val="00E06113"/>
    <w:rsid w:val="00E064FC"/>
    <w:rsid w:val="00E07E27"/>
    <w:rsid w:val="00E1053D"/>
    <w:rsid w:val="00E12301"/>
    <w:rsid w:val="00E12922"/>
    <w:rsid w:val="00E12E16"/>
    <w:rsid w:val="00E13204"/>
    <w:rsid w:val="00E139B4"/>
    <w:rsid w:val="00E13CEA"/>
    <w:rsid w:val="00E140A6"/>
    <w:rsid w:val="00E14272"/>
    <w:rsid w:val="00E148B8"/>
    <w:rsid w:val="00E14908"/>
    <w:rsid w:val="00E1561C"/>
    <w:rsid w:val="00E15FB5"/>
    <w:rsid w:val="00E1648B"/>
    <w:rsid w:val="00E16FE2"/>
    <w:rsid w:val="00E209D0"/>
    <w:rsid w:val="00E21E25"/>
    <w:rsid w:val="00E22AF2"/>
    <w:rsid w:val="00E22B89"/>
    <w:rsid w:val="00E231B1"/>
    <w:rsid w:val="00E235D2"/>
    <w:rsid w:val="00E23D74"/>
    <w:rsid w:val="00E240F1"/>
    <w:rsid w:val="00E245C5"/>
    <w:rsid w:val="00E25274"/>
    <w:rsid w:val="00E25E67"/>
    <w:rsid w:val="00E26111"/>
    <w:rsid w:val="00E2649B"/>
    <w:rsid w:val="00E266C1"/>
    <w:rsid w:val="00E26E0C"/>
    <w:rsid w:val="00E27560"/>
    <w:rsid w:val="00E302B8"/>
    <w:rsid w:val="00E31C44"/>
    <w:rsid w:val="00E32185"/>
    <w:rsid w:val="00E32765"/>
    <w:rsid w:val="00E34401"/>
    <w:rsid w:val="00E34836"/>
    <w:rsid w:val="00E34CCD"/>
    <w:rsid w:val="00E3553E"/>
    <w:rsid w:val="00E35C31"/>
    <w:rsid w:val="00E375A3"/>
    <w:rsid w:val="00E375EE"/>
    <w:rsid w:val="00E37A09"/>
    <w:rsid w:val="00E40E74"/>
    <w:rsid w:val="00E412C8"/>
    <w:rsid w:val="00E4139F"/>
    <w:rsid w:val="00E41FF0"/>
    <w:rsid w:val="00E42464"/>
    <w:rsid w:val="00E4269C"/>
    <w:rsid w:val="00E42B0D"/>
    <w:rsid w:val="00E44177"/>
    <w:rsid w:val="00E442D3"/>
    <w:rsid w:val="00E46795"/>
    <w:rsid w:val="00E46C3A"/>
    <w:rsid w:val="00E47B98"/>
    <w:rsid w:val="00E501E9"/>
    <w:rsid w:val="00E5059B"/>
    <w:rsid w:val="00E50CDF"/>
    <w:rsid w:val="00E53376"/>
    <w:rsid w:val="00E53916"/>
    <w:rsid w:val="00E54B68"/>
    <w:rsid w:val="00E54F24"/>
    <w:rsid w:val="00E55533"/>
    <w:rsid w:val="00E5737B"/>
    <w:rsid w:val="00E574E0"/>
    <w:rsid w:val="00E57997"/>
    <w:rsid w:val="00E60D4F"/>
    <w:rsid w:val="00E61152"/>
    <w:rsid w:val="00E614A7"/>
    <w:rsid w:val="00E61A14"/>
    <w:rsid w:val="00E61A27"/>
    <w:rsid w:val="00E629CF"/>
    <w:rsid w:val="00E62B3A"/>
    <w:rsid w:val="00E62BE3"/>
    <w:rsid w:val="00E631AE"/>
    <w:rsid w:val="00E63A60"/>
    <w:rsid w:val="00E64049"/>
    <w:rsid w:val="00E64CEB"/>
    <w:rsid w:val="00E64DB9"/>
    <w:rsid w:val="00E65353"/>
    <w:rsid w:val="00E6557C"/>
    <w:rsid w:val="00E724B4"/>
    <w:rsid w:val="00E72523"/>
    <w:rsid w:val="00E72AFC"/>
    <w:rsid w:val="00E73C65"/>
    <w:rsid w:val="00E741A1"/>
    <w:rsid w:val="00E743EC"/>
    <w:rsid w:val="00E74D5E"/>
    <w:rsid w:val="00E77ADD"/>
    <w:rsid w:val="00E83AD0"/>
    <w:rsid w:val="00E849FB"/>
    <w:rsid w:val="00E84A28"/>
    <w:rsid w:val="00E84AE9"/>
    <w:rsid w:val="00E865EA"/>
    <w:rsid w:val="00E912EB"/>
    <w:rsid w:val="00E91331"/>
    <w:rsid w:val="00E91896"/>
    <w:rsid w:val="00E9257C"/>
    <w:rsid w:val="00E9272A"/>
    <w:rsid w:val="00E93FDD"/>
    <w:rsid w:val="00E9423B"/>
    <w:rsid w:val="00E95165"/>
    <w:rsid w:val="00E966E3"/>
    <w:rsid w:val="00E968B2"/>
    <w:rsid w:val="00E97BC1"/>
    <w:rsid w:val="00EA086B"/>
    <w:rsid w:val="00EA1B47"/>
    <w:rsid w:val="00EA3B35"/>
    <w:rsid w:val="00EA4EBA"/>
    <w:rsid w:val="00EA5CCE"/>
    <w:rsid w:val="00EA7014"/>
    <w:rsid w:val="00EB0340"/>
    <w:rsid w:val="00EB3402"/>
    <w:rsid w:val="00EB3F2D"/>
    <w:rsid w:val="00EB41FD"/>
    <w:rsid w:val="00EB52D7"/>
    <w:rsid w:val="00EB5DBD"/>
    <w:rsid w:val="00EB6994"/>
    <w:rsid w:val="00EC0FE8"/>
    <w:rsid w:val="00EC2D4C"/>
    <w:rsid w:val="00EC3025"/>
    <w:rsid w:val="00EC3065"/>
    <w:rsid w:val="00EC3238"/>
    <w:rsid w:val="00EC3530"/>
    <w:rsid w:val="00EC3ED2"/>
    <w:rsid w:val="00EC46A8"/>
    <w:rsid w:val="00EC4AB0"/>
    <w:rsid w:val="00EC4D1C"/>
    <w:rsid w:val="00EC56D6"/>
    <w:rsid w:val="00EC5A64"/>
    <w:rsid w:val="00EC5EF0"/>
    <w:rsid w:val="00EC5F13"/>
    <w:rsid w:val="00EC6C58"/>
    <w:rsid w:val="00EC73B4"/>
    <w:rsid w:val="00EC7D98"/>
    <w:rsid w:val="00ED075D"/>
    <w:rsid w:val="00ED08E4"/>
    <w:rsid w:val="00ED114C"/>
    <w:rsid w:val="00ED1344"/>
    <w:rsid w:val="00ED1FAA"/>
    <w:rsid w:val="00ED249F"/>
    <w:rsid w:val="00ED3390"/>
    <w:rsid w:val="00ED3CE7"/>
    <w:rsid w:val="00ED64E6"/>
    <w:rsid w:val="00ED6560"/>
    <w:rsid w:val="00ED6C5C"/>
    <w:rsid w:val="00ED6EB2"/>
    <w:rsid w:val="00ED785A"/>
    <w:rsid w:val="00ED7F27"/>
    <w:rsid w:val="00EE0986"/>
    <w:rsid w:val="00EE1753"/>
    <w:rsid w:val="00EE21F4"/>
    <w:rsid w:val="00EE33DE"/>
    <w:rsid w:val="00EE37FC"/>
    <w:rsid w:val="00EE3C9B"/>
    <w:rsid w:val="00EE3F7C"/>
    <w:rsid w:val="00EE6603"/>
    <w:rsid w:val="00EF0212"/>
    <w:rsid w:val="00EF095C"/>
    <w:rsid w:val="00EF0F4B"/>
    <w:rsid w:val="00EF1579"/>
    <w:rsid w:val="00EF2791"/>
    <w:rsid w:val="00EF34E7"/>
    <w:rsid w:val="00EF35AA"/>
    <w:rsid w:val="00EF35F2"/>
    <w:rsid w:val="00EF3738"/>
    <w:rsid w:val="00EF782F"/>
    <w:rsid w:val="00EF79C5"/>
    <w:rsid w:val="00EF7CD6"/>
    <w:rsid w:val="00F00694"/>
    <w:rsid w:val="00F00C8E"/>
    <w:rsid w:val="00F00E17"/>
    <w:rsid w:val="00F02ACE"/>
    <w:rsid w:val="00F04D8F"/>
    <w:rsid w:val="00F0527F"/>
    <w:rsid w:val="00F06195"/>
    <w:rsid w:val="00F061E4"/>
    <w:rsid w:val="00F06524"/>
    <w:rsid w:val="00F0674E"/>
    <w:rsid w:val="00F06FD3"/>
    <w:rsid w:val="00F07424"/>
    <w:rsid w:val="00F07D5F"/>
    <w:rsid w:val="00F113F8"/>
    <w:rsid w:val="00F12408"/>
    <w:rsid w:val="00F12711"/>
    <w:rsid w:val="00F12DC2"/>
    <w:rsid w:val="00F139DD"/>
    <w:rsid w:val="00F13AE9"/>
    <w:rsid w:val="00F13EB8"/>
    <w:rsid w:val="00F147F9"/>
    <w:rsid w:val="00F1522A"/>
    <w:rsid w:val="00F1579D"/>
    <w:rsid w:val="00F15AA1"/>
    <w:rsid w:val="00F167EB"/>
    <w:rsid w:val="00F1720D"/>
    <w:rsid w:val="00F177E3"/>
    <w:rsid w:val="00F17C16"/>
    <w:rsid w:val="00F212CF"/>
    <w:rsid w:val="00F2175E"/>
    <w:rsid w:val="00F22792"/>
    <w:rsid w:val="00F23162"/>
    <w:rsid w:val="00F24526"/>
    <w:rsid w:val="00F24926"/>
    <w:rsid w:val="00F24C1C"/>
    <w:rsid w:val="00F25784"/>
    <w:rsid w:val="00F26C41"/>
    <w:rsid w:val="00F30621"/>
    <w:rsid w:val="00F30A79"/>
    <w:rsid w:val="00F32D74"/>
    <w:rsid w:val="00F332CF"/>
    <w:rsid w:val="00F35F83"/>
    <w:rsid w:val="00F3684A"/>
    <w:rsid w:val="00F37123"/>
    <w:rsid w:val="00F37CE2"/>
    <w:rsid w:val="00F409F0"/>
    <w:rsid w:val="00F40A17"/>
    <w:rsid w:val="00F4111B"/>
    <w:rsid w:val="00F4141C"/>
    <w:rsid w:val="00F41CC2"/>
    <w:rsid w:val="00F42E0F"/>
    <w:rsid w:val="00F43DE6"/>
    <w:rsid w:val="00F44E4B"/>
    <w:rsid w:val="00F458CA"/>
    <w:rsid w:val="00F45B85"/>
    <w:rsid w:val="00F45B98"/>
    <w:rsid w:val="00F45C6F"/>
    <w:rsid w:val="00F45DB2"/>
    <w:rsid w:val="00F46751"/>
    <w:rsid w:val="00F46D6C"/>
    <w:rsid w:val="00F4770C"/>
    <w:rsid w:val="00F47CD9"/>
    <w:rsid w:val="00F50C10"/>
    <w:rsid w:val="00F50F89"/>
    <w:rsid w:val="00F52C7E"/>
    <w:rsid w:val="00F54ECE"/>
    <w:rsid w:val="00F550EA"/>
    <w:rsid w:val="00F55BED"/>
    <w:rsid w:val="00F5729E"/>
    <w:rsid w:val="00F57956"/>
    <w:rsid w:val="00F60783"/>
    <w:rsid w:val="00F60984"/>
    <w:rsid w:val="00F620AF"/>
    <w:rsid w:val="00F62172"/>
    <w:rsid w:val="00F64418"/>
    <w:rsid w:val="00F647C8"/>
    <w:rsid w:val="00F65036"/>
    <w:rsid w:val="00F65147"/>
    <w:rsid w:val="00F652BB"/>
    <w:rsid w:val="00F6694C"/>
    <w:rsid w:val="00F66AF2"/>
    <w:rsid w:val="00F66D93"/>
    <w:rsid w:val="00F6700A"/>
    <w:rsid w:val="00F70645"/>
    <w:rsid w:val="00F70B64"/>
    <w:rsid w:val="00F717AF"/>
    <w:rsid w:val="00F72C4A"/>
    <w:rsid w:val="00F74101"/>
    <w:rsid w:val="00F7447F"/>
    <w:rsid w:val="00F74D99"/>
    <w:rsid w:val="00F803E8"/>
    <w:rsid w:val="00F8097F"/>
    <w:rsid w:val="00F8178D"/>
    <w:rsid w:val="00F82D2E"/>
    <w:rsid w:val="00F83BAD"/>
    <w:rsid w:val="00F86732"/>
    <w:rsid w:val="00F86CD7"/>
    <w:rsid w:val="00F87775"/>
    <w:rsid w:val="00F911E0"/>
    <w:rsid w:val="00F923D8"/>
    <w:rsid w:val="00F93027"/>
    <w:rsid w:val="00F9371E"/>
    <w:rsid w:val="00F945B3"/>
    <w:rsid w:val="00F948A6"/>
    <w:rsid w:val="00F95BA3"/>
    <w:rsid w:val="00F96208"/>
    <w:rsid w:val="00F96664"/>
    <w:rsid w:val="00F97807"/>
    <w:rsid w:val="00FA1E4A"/>
    <w:rsid w:val="00FA2C64"/>
    <w:rsid w:val="00FA4F12"/>
    <w:rsid w:val="00FA5043"/>
    <w:rsid w:val="00FA6787"/>
    <w:rsid w:val="00FA6846"/>
    <w:rsid w:val="00FB0336"/>
    <w:rsid w:val="00FB0722"/>
    <w:rsid w:val="00FB1225"/>
    <w:rsid w:val="00FB1D58"/>
    <w:rsid w:val="00FB1E40"/>
    <w:rsid w:val="00FB25DE"/>
    <w:rsid w:val="00FB26F7"/>
    <w:rsid w:val="00FB2808"/>
    <w:rsid w:val="00FB29D2"/>
    <w:rsid w:val="00FB32B4"/>
    <w:rsid w:val="00FB37EA"/>
    <w:rsid w:val="00FB65AC"/>
    <w:rsid w:val="00FB6C98"/>
    <w:rsid w:val="00FB6CD4"/>
    <w:rsid w:val="00FB6F86"/>
    <w:rsid w:val="00FC21C6"/>
    <w:rsid w:val="00FC42E4"/>
    <w:rsid w:val="00FC4BD9"/>
    <w:rsid w:val="00FC4D9A"/>
    <w:rsid w:val="00FC501B"/>
    <w:rsid w:val="00FC5547"/>
    <w:rsid w:val="00FC5E5D"/>
    <w:rsid w:val="00FC71E8"/>
    <w:rsid w:val="00FD2521"/>
    <w:rsid w:val="00FD286B"/>
    <w:rsid w:val="00FD2B91"/>
    <w:rsid w:val="00FD3549"/>
    <w:rsid w:val="00FD4876"/>
    <w:rsid w:val="00FD497B"/>
    <w:rsid w:val="00FD5BB3"/>
    <w:rsid w:val="00FD601A"/>
    <w:rsid w:val="00FD7D6E"/>
    <w:rsid w:val="00FE0478"/>
    <w:rsid w:val="00FE0870"/>
    <w:rsid w:val="00FE0C89"/>
    <w:rsid w:val="00FE3446"/>
    <w:rsid w:val="00FE36D7"/>
    <w:rsid w:val="00FE3E56"/>
    <w:rsid w:val="00FE4072"/>
    <w:rsid w:val="00FE4512"/>
    <w:rsid w:val="00FE479B"/>
    <w:rsid w:val="00FE50D7"/>
    <w:rsid w:val="00FE63DF"/>
    <w:rsid w:val="00FE7087"/>
    <w:rsid w:val="00FE7460"/>
    <w:rsid w:val="00FE7B3B"/>
    <w:rsid w:val="00FF0555"/>
    <w:rsid w:val="00FF0F23"/>
    <w:rsid w:val="00FF14E7"/>
    <w:rsid w:val="00FF296D"/>
    <w:rsid w:val="00FF3335"/>
    <w:rsid w:val="00FF3F67"/>
    <w:rsid w:val="00FF4547"/>
    <w:rsid w:val="00FF48B7"/>
    <w:rsid w:val="00FF4A2A"/>
    <w:rsid w:val="00FF4F7F"/>
    <w:rsid w:val="00FF5008"/>
    <w:rsid w:val="00FF6526"/>
    <w:rsid w:val="00FF6EF3"/>
    <w:rsid w:val="00FF7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paragraph" w:styleId="Header">
    <w:name w:val="header"/>
    <w:basedOn w:val="Normal"/>
    <w:link w:val="HeaderChar"/>
    <w:rsid w:val="00694C5E"/>
    <w:pPr>
      <w:tabs>
        <w:tab w:val="center" w:pos="4680"/>
        <w:tab w:val="right" w:pos="9360"/>
      </w:tabs>
    </w:pPr>
  </w:style>
  <w:style w:type="character" w:customStyle="1" w:styleId="HeaderChar">
    <w:name w:val="Header Char"/>
    <w:basedOn w:val="DefaultParagraphFont"/>
    <w:link w:val="Header"/>
    <w:rsid w:val="00694C5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paragraph" w:styleId="Header">
    <w:name w:val="header"/>
    <w:basedOn w:val="Normal"/>
    <w:link w:val="HeaderChar"/>
    <w:rsid w:val="00694C5E"/>
    <w:pPr>
      <w:tabs>
        <w:tab w:val="center" w:pos="4680"/>
        <w:tab w:val="right" w:pos="9360"/>
      </w:tabs>
    </w:pPr>
  </w:style>
  <w:style w:type="character" w:customStyle="1" w:styleId="HeaderChar">
    <w:name w:val="Header Char"/>
    <w:basedOn w:val="DefaultParagraphFont"/>
    <w:link w:val="Header"/>
    <w:rsid w:val="00694C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847081">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AE0D5-E488-44E0-BD1C-553DFDFA838B}">
  <ds:schemaRefs>
    <ds:schemaRef ds:uri="http://schemas.openxmlformats.org/officeDocument/2006/bibliography"/>
  </ds:schemaRefs>
</ds:datastoreItem>
</file>

<file path=customXml/itemProps2.xml><?xml version="1.0" encoding="utf-8"?>
<ds:datastoreItem xmlns:ds="http://schemas.openxmlformats.org/officeDocument/2006/customXml" ds:itemID="{8D2821B5-DA10-4E82-BF1C-4E4481C91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2206</Words>
  <Characters>12580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3</cp:revision>
  <cp:lastPrinted>2015-08-26T14:34:00Z</cp:lastPrinted>
  <dcterms:created xsi:type="dcterms:W3CDTF">2015-09-02T19:06:00Z</dcterms:created>
  <dcterms:modified xsi:type="dcterms:W3CDTF">2015-09-02T19:41:00Z</dcterms:modified>
</cp:coreProperties>
</file>