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38"/>
      </w:tblGrid>
      <w:tr w:rsidR="00F514FB" w:rsidRPr="00F1625F" w:rsidTr="00243002">
        <w:tc>
          <w:tcPr>
            <w:tcW w:w="5148" w:type="dxa"/>
          </w:tcPr>
          <w:p w:rsidR="00F514FB" w:rsidRPr="00F1625F" w:rsidRDefault="00F514FB" w:rsidP="004D1313">
            <w:pPr>
              <w:widowControl/>
              <w:rPr>
                <w:sz w:val="26"/>
                <w:szCs w:val="26"/>
              </w:rPr>
            </w:pPr>
          </w:p>
        </w:tc>
        <w:tc>
          <w:tcPr>
            <w:tcW w:w="4338" w:type="dxa"/>
          </w:tcPr>
          <w:p w:rsidR="00F514FB" w:rsidRPr="00F1625F" w:rsidRDefault="00DD5D3F" w:rsidP="004D1313">
            <w:pPr>
              <w:widowControl/>
              <w:jc w:val="right"/>
              <w:rPr>
                <w:sz w:val="26"/>
                <w:szCs w:val="26"/>
              </w:rPr>
            </w:pPr>
            <w:r w:rsidRPr="00F1625F">
              <w:rPr>
                <w:sz w:val="26"/>
                <w:szCs w:val="26"/>
              </w:rPr>
              <w:t xml:space="preserve">Public Meeting held </w:t>
            </w:r>
            <w:r w:rsidR="0014676F">
              <w:rPr>
                <w:sz w:val="26"/>
                <w:szCs w:val="26"/>
              </w:rPr>
              <w:t>September 3</w:t>
            </w:r>
            <w:r w:rsidR="00F1625F" w:rsidRPr="00F1625F">
              <w:rPr>
                <w:sz w:val="26"/>
                <w:szCs w:val="26"/>
              </w:rPr>
              <w:t>, 2015</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243002">
        <w:tc>
          <w:tcPr>
            <w:tcW w:w="514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r w:rsidR="00243002">
              <w:rPr>
                <w:sz w:val="26"/>
                <w:szCs w:val="26"/>
              </w:rPr>
              <w:t>, Statement</w:t>
            </w:r>
          </w:p>
          <w:p w:rsidR="00F514FB" w:rsidRDefault="00F514FB" w:rsidP="004D1313">
            <w:pPr>
              <w:widowControl/>
              <w:tabs>
                <w:tab w:val="left" w:pos="705"/>
              </w:tabs>
              <w:ind w:firstLine="720"/>
              <w:rPr>
                <w:sz w:val="26"/>
                <w:szCs w:val="26"/>
              </w:rPr>
            </w:pPr>
            <w:r w:rsidRPr="00F1625F">
              <w:rPr>
                <w:sz w:val="26"/>
                <w:szCs w:val="26"/>
              </w:rPr>
              <w:t>John F. Coleman, Jr., Vice Chairman</w:t>
            </w:r>
          </w:p>
          <w:p w:rsidR="00F514FB" w:rsidRPr="00F1625F" w:rsidRDefault="00F514FB" w:rsidP="004D1313">
            <w:pPr>
              <w:widowControl/>
              <w:tabs>
                <w:tab w:val="left" w:pos="705"/>
              </w:tabs>
              <w:ind w:firstLine="720"/>
              <w:rPr>
                <w:sz w:val="26"/>
                <w:szCs w:val="26"/>
              </w:rPr>
            </w:pPr>
            <w:r w:rsidRPr="00F1625F">
              <w:rPr>
                <w:sz w:val="26"/>
                <w:szCs w:val="26"/>
              </w:rPr>
              <w:t>James H. Cawley</w:t>
            </w:r>
          </w:p>
          <w:p w:rsidR="00F514FB" w:rsidRDefault="00F514FB" w:rsidP="004D1313">
            <w:pPr>
              <w:widowControl/>
              <w:tabs>
                <w:tab w:val="left" w:pos="705"/>
              </w:tabs>
              <w:ind w:firstLine="720"/>
              <w:rPr>
                <w:sz w:val="26"/>
                <w:szCs w:val="26"/>
              </w:rPr>
            </w:pPr>
            <w:r w:rsidRPr="00F1625F">
              <w:rPr>
                <w:sz w:val="26"/>
                <w:szCs w:val="26"/>
              </w:rPr>
              <w:t>Pamela A. Witmer</w:t>
            </w:r>
          </w:p>
          <w:p w:rsidR="00390584" w:rsidRPr="00390584" w:rsidRDefault="00390584" w:rsidP="00390584">
            <w:pPr>
              <w:widowControl/>
              <w:tabs>
                <w:tab w:val="left" w:pos="705"/>
              </w:tabs>
              <w:ind w:firstLine="720"/>
              <w:rPr>
                <w:sz w:val="26"/>
                <w:szCs w:val="26"/>
              </w:rPr>
            </w:pPr>
            <w:r w:rsidRPr="00390584">
              <w:rPr>
                <w:sz w:val="26"/>
                <w:szCs w:val="26"/>
              </w:rPr>
              <w:t>Robert F. Powelson</w:t>
            </w:r>
          </w:p>
          <w:p w:rsidR="00F514FB" w:rsidRDefault="00F514FB" w:rsidP="004D1313">
            <w:pPr>
              <w:widowControl/>
              <w:rPr>
                <w:sz w:val="26"/>
                <w:szCs w:val="26"/>
              </w:rPr>
            </w:pPr>
          </w:p>
          <w:p w:rsidR="00390584" w:rsidRPr="00F1625F" w:rsidRDefault="00390584" w:rsidP="004D1313">
            <w:pPr>
              <w:widowControl/>
              <w:rPr>
                <w:sz w:val="26"/>
                <w:szCs w:val="26"/>
              </w:rPr>
            </w:pPr>
          </w:p>
          <w:p w:rsidR="00F514FB" w:rsidRPr="00F1625F" w:rsidRDefault="00F514FB" w:rsidP="004D1313">
            <w:pPr>
              <w:widowControl/>
              <w:rPr>
                <w:sz w:val="26"/>
                <w:szCs w:val="26"/>
              </w:rPr>
            </w:pPr>
          </w:p>
        </w:tc>
        <w:tc>
          <w:tcPr>
            <w:tcW w:w="433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243002">
        <w:tc>
          <w:tcPr>
            <w:tcW w:w="5148" w:type="dxa"/>
          </w:tcPr>
          <w:p w:rsidR="00F514FB" w:rsidRPr="00F1625F" w:rsidRDefault="0014676F" w:rsidP="004D1313">
            <w:pPr>
              <w:widowControl/>
              <w:rPr>
                <w:sz w:val="26"/>
                <w:szCs w:val="26"/>
              </w:rPr>
            </w:pPr>
            <w:r>
              <w:rPr>
                <w:sz w:val="26"/>
                <w:szCs w:val="26"/>
              </w:rPr>
              <w:t>Cynthia Santore Smith</w:t>
            </w:r>
          </w:p>
          <w:p w:rsidR="00F514FB" w:rsidRPr="00F1625F" w:rsidRDefault="00F514FB" w:rsidP="004D1313">
            <w:pPr>
              <w:widowControl/>
              <w:rPr>
                <w:sz w:val="26"/>
                <w:szCs w:val="26"/>
              </w:rPr>
            </w:pPr>
          </w:p>
        </w:tc>
        <w:tc>
          <w:tcPr>
            <w:tcW w:w="4338" w:type="dxa"/>
          </w:tcPr>
          <w:p w:rsidR="00F514FB" w:rsidRPr="00F1625F" w:rsidRDefault="0014676F" w:rsidP="0014676F">
            <w:pPr>
              <w:widowControl/>
              <w:jc w:val="right"/>
              <w:rPr>
                <w:sz w:val="26"/>
                <w:szCs w:val="26"/>
              </w:rPr>
            </w:pPr>
            <w:r>
              <w:rPr>
                <w:sz w:val="26"/>
                <w:szCs w:val="26"/>
              </w:rPr>
              <w:t>F</w:t>
            </w:r>
            <w:r w:rsidR="00F1625F" w:rsidRPr="00F1625F">
              <w:rPr>
                <w:sz w:val="26"/>
                <w:szCs w:val="26"/>
              </w:rPr>
              <w:t>-2014-</w:t>
            </w:r>
            <w:r w:rsidR="00551E66">
              <w:rPr>
                <w:sz w:val="26"/>
                <w:szCs w:val="26"/>
              </w:rPr>
              <w:t>24</w:t>
            </w:r>
            <w:r>
              <w:rPr>
                <w:sz w:val="26"/>
                <w:szCs w:val="26"/>
              </w:rPr>
              <w:t>46204</w:t>
            </w:r>
          </w:p>
        </w:tc>
      </w:tr>
      <w:tr w:rsidR="00F514FB" w:rsidRPr="00F1625F" w:rsidTr="00243002">
        <w:tc>
          <w:tcPr>
            <w:tcW w:w="514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338" w:type="dxa"/>
          </w:tcPr>
          <w:p w:rsidR="00F514FB" w:rsidRPr="00F1625F" w:rsidRDefault="00F514FB" w:rsidP="004D1313">
            <w:pPr>
              <w:widowControl/>
              <w:rPr>
                <w:sz w:val="26"/>
                <w:szCs w:val="26"/>
              </w:rPr>
            </w:pPr>
          </w:p>
        </w:tc>
      </w:tr>
      <w:tr w:rsidR="00F514FB" w:rsidRPr="00F1625F" w:rsidTr="00243002">
        <w:tc>
          <w:tcPr>
            <w:tcW w:w="5148" w:type="dxa"/>
          </w:tcPr>
          <w:p w:rsidR="00F514FB" w:rsidRPr="00F1625F" w:rsidRDefault="00F1625F" w:rsidP="004D1313">
            <w:pPr>
              <w:widowControl/>
              <w:rPr>
                <w:sz w:val="26"/>
                <w:szCs w:val="26"/>
              </w:rPr>
            </w:pPr>
            <w:r w:rsidRPr="00F1625F">
              <w:rPr>
                <w:sz w:val="26"/>
                <w:szCs w:val="26"/>
              </w:rPr>
              <w:t>PECO Energy Company</w:t>
            </w:r>
          </w:p>
        </w:tc>
        <w:tc>
          <w:tcPr>
            <w:tcW w:w="433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P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14676F">
        <w:rPr>
          <w:sz w:val="26"/>
          <w:szCs w:val="26"/>
        </w:rPr>
        <w:t>Cynthia Santore Smith</w:t>
      </w:r>
      <w:r w:rsidRPr="00DB44D9">
        <w:rPr>
          <w:sz w:val="26"/>
        </w:rPr>
        <w:t xml:space="preserve"> (Complainant</w:t>
      </w:r>
      <w:r w:rsidR="00D239F8">
        <w:rPr>
          <w:sz w:val="26"/>
        </w:rPr>
        <w:t xml:space="preserve"> or M</w:t>
      </w:r>
      <w:r w:rsidR="009F5BEC">
        <w:rPr>
          <w:sz w:val="26"/>
        </w:rPr>
        <w:t>s</w:t>
      </w:r>
      <w:r w:rsidR="00D239F8">
        <w:rPr>
          <w:sz w:val="26"/>
        </w:rPr>
        <w:t>. </w:t>
      </w:r>
      <w:r w:rsidR="0014676F">
        <w:rPr>
          <w:sz w:val="26"/>
        </w:rPr>
        <w:t>Santore Smith</w:t>
      </w:r>
      <w:r w:rsidR="009F5BEC">
        <w:rPr>
          <w:sz w:val="26"/>
        </w:rPr>
        <w:t>)</w:t>
      </w:r>
      <w:r w:rsidRPr="00DB44D9">
        <w:rPr>
          <w:sz w:val="26"/>
        </w:rPr>
        <w:t xml:space="preserve"> on </w:t>
      </w:r>
      <w:r w:rsidR="00882072">
        <w:rPr>
          <w:sz w:val="26"/>
        </w:rPr>
        <w:t>March</w:t>
      </w:r>
      <w:r w:rsidR="0069670F" w:rsidRPr="0069670F">
        <w:rPr>
          <w:sz w:val="26"/>
        </w:rPr>
        <w:t xml:space="preserve"> </w:t>
      </w:r>
      <w:r w:rsidR="002624D6">
        <w:rPr>
          <w:sz w:val="26"/>
        </w:rPr>
        <w:t>9</w:t>
      </w:r>
      <w:r w:rsidR="0069670F" w:rsidRPr="0069670F">
        <w:rPr>
          <w:sz w:val="26"/>
        </w:rPr>
        <w:t>, 201</w:t>
      </w:r>
      <w:r w:rsidR="00882072">
        <w:rPr>
          <w:sz w:val="26"/>
        </w:rPr>
        <w:t>5</w:t>
      </w:r>
      <w:r w:rsidRPr="00DB44D9">
        <w:rPr>
          <w:sz w:val="26"/>
        </w:rPr>
        <w:t>, in response to the Initial Decision (I.D.) of Adminis</w:t>
      </w:r>
      <w:r w:rsidR="0069670F" w:rsidRPr="0069670F">
        <w:rPr>
          <w:sz w:val="26"/>
        </w:rPr>
        <w:t xml:space="preserve">trative Law Judge (ALJ) </w:t>
      </w:r>
      <w:r w:rsidR="002624D6">
        <w:rPr>
          <w:sz w:val="26"/>
        </w:rPr>
        <w:t>Cynthia Williams Fordham</w:t>
      </w:r>
      <w:r w:rsidRPr="00DB44D9">
        <w:rPr>
          <w:sz w:val="26"/>
        </w:rPr>
        <w:t xml:space="preserve"> issued on </w:t>
      </w:r>
      <w:r w:rsidR="002624D6">
        <w:rPr>
          <w:sz w:val="26"/>
        </w:rPr>
        <w:t xml:space="preserve">February </w:t>
      </w:r>
      <w:r w:rsidR="002624D6">
        <w:rPr>
          <w:sz w:val="26"/>
        </w:rPr>
        <w:lastRenderedPageBreak/>
        <w:t>24</w:t>
      </w:r>
      <w:r w:rsidR="0069670F" w:rsidRPr="0069670F">
        <w:rPr>
          <w:sz w:val="26"/>
        </w:rPr>
        <w:t>, 201</w:t>
      </w:r>
      <w:r w:rsidR="00882072">
        <w:rPr>
          <w:sz w:val="26"/>
        </w:rPr>
        <w:t>5</w:t>
      </w:r>
      <w:r w:rsidRPr="00DB44D9">
        <w:rPr>
          <w:sz w:val="26"/>
        </w:rPr>
        <w:t>.</w:t>
      </w:r>
      <w:r w:rsidR="009F5BEC">
        <w:rPr>
          <w:rStyle w:val="FootnoteReference"/>
          <w:sz w:val="26"/>
        </w:rPr>
        <w:footnoteReference w:id="1"/>
      </w:r>
      <w:r w:rsidRPr="00DB44D9">
        <w:rPr>
          <w:sz w:val="26"/>
        </w:rPr>
        <w:t xml:space="preserve">  </w:t>
      </w:r>
      <w:r w:rsidR="0069670F" w:rsidRPr="0069670F">
        <w:rPr>
          <w:sz w:val="26"/>
        </w:rPr>
        <w:t>PECO Energy Company (</w:t>
      </w:r>
      <w:r w:rsidR="002B47FE">
        <w:rPr>
          <w:sz w:val="26"/>
        </w:rPr>
        <w:t xml:space="preserve">Respondent or </w:t>
      </w:r>
      <w:r w:rsidR="0069670F" w:rsidRPr="0069670F">
        <w:rPr>
          <w:sz w:val="26"/>
        </w:rPr>
        <w:t xml:space="preserve">PECO) </w:t>
      </w:r>
      <w:r w:rsidR="002B47FE">
        <w:rPr>
          <w:sz w:val="26"/>
        </w:rPr>
        <w:t xml:space="preserve">filed Replies to Exceptions </w:t>
      </w:r>
      <w:r w:rsidR="00D93B33">
        <w:rPr>
          <w:sz w:val="26"/>
        </w:rPr>
        <w:t xml:space="preserve">on </w:t>
      </w:r>
      <w:r w:rsidR="006943B9">
        <w:rPr>
          <w:sz w:val="26"/>
        </w:rPr>
        <w:t>April 29</w:t>
      </w:r>
      <w:r w:rsidR="0069670F" w:rsidRPr="0069670F">
        <w:rPr>
          <w:sz w:val="26"/>
        </w:rPr>
        <w:t>, 201</w:t>
      </w:r>
      <w:r w:rsidR="00882072">
        <w:rPr>
          <w:sz w:val="26"/>
        </w:rPr>
        <w:t>5</w:t>
      </w:r>
      <w:r w:rsidR="0069670F" w:rsidRPr="0069670F">
        <w:rPr>
          <w:sz w:val="26"/>
        </w:rPr>
        <w:t>.  For the reasons stated below</w:t>
      </w:r>
      <w:r w:rsidRPr="00DB44D9">
        <w:rPr>
          <w:sz w:val="26"/>
        </w:rPr>
        <w:t>, we will de</w:t>
      </w:r>
      <w:r w:rsidR="0069670F" w:rsidRPr="0069670F">
        <w:rPr>
          <w:sz w:val="26"/>
        </w:rPr>
        <w:t>ny the Complainant’s Exceptions and</w:t>
      </w:r>
      <w:r w:rsidRPr="00DB44D9">
        <w:rPr>
          <w:sz w:val="26"/>
        </w:rPr>
        <w:t xml:space="preserve"> adopt the ALJ’s Initial Decision.</w:t>
      </w:r>
    </w:p>
    <w:p w:rsidR="00DB44D9" w:rsidRPr="00DB44D9" w:rsidRDefault="00DB44D9" w:rsidP="00DB44D9">
      <w:pPr>
        <w:widowControl/>
        <w:tabs>
          <w:tab w:val="left" w:pos="-720"/>
        </w:tabs>
        <w:suppressAutoHyphens/>
        <w:spacing w:line="360" w:lineRule="auto"/>
        <w:rPr>
          <w:sz w:val="26"/>
        </w:rPr>
      </w:pP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t>History of the Proceeding</w:t>
      </w:r>
    </w:p>
    <w:p w:rsidR="00DB44D9" w:rsidRPr="00B144AB" w:rsidRDefault="00DB44D9" w:rsidP="00DB44D9">
      <w:pPr>
        <w:keepNext/>
        <w:widowControl/>
        <w:tabs>
          <w:tab w:val="left" w:pos="-720"/>
        </w:tabs>
        <w:suppressAutoHyphens/>
        <w:spacing w:line="360" w:lineRule="auto"/>
        <w:jc w:val="center"/>
        <w:rPr>
          <w:b/>
          <w:sz w:val="26"/>
        </w:rPr>
      </w:pPr>
    </w:p>
    <w:p w:rsidR="00A45D1D" w:rsidRDefault="00B144AB" w:rsidP="00104748">
      <w:pPr>
        <w:pStyle w:val="BodyText"/>
        <w:tabs>
          <w:tab w:val="clear" w:pos="1980"/>
          <w:tab w:val="left" w:pos="0"/>
        </w:tabs>
        <w:spacing w:line="360" w:lineRule="auto"/>
        <w:jc w:val="left"/>
        <w:rPr>
          <w:rFonts w:ascii="Times New Roman" w:hAnsi="Times New Roman"/>
          <w:sz w:val="26"/>
          <w:szCs w:val="26"/>
        </w:rPr>
      </w:pPr>
      <w:r w:rsidRPr="00B144AB">
        <w:rPr>
          <w:sz w:val="26"/>
          <w:szCs w:val="26"/>
        </w:rPr>
        <w:tab/>
      </w:r>
      <w:r w:rsidR="00104748">
        <w:rPr>
          <w:sz w:val="26"/>
          <w:szCs w:val="26"/>
        </w:rPr>
        <w:tab/>
      </w:r>
      <w:r w:rsidRPr="00104748">
        <w:rPr>
          <w:rFonts w:ascii="Times New Roman" w:hAnsi="Times New Roman"/>
          <w:sz w:val="26"/>
          <w:szCs w:val="26"/>
        </w:rPr>
        <w:t xml:space="preserve">On </w:t>
      </w:r>
      <w:r w:rsidR="00104748" w:rsidRPr="00104748">
        <w:rPr>
          <w:rFonts w:ascii="Times New Roman" w:hAnsi="Times New Roman"/>
          <w:sz w:val="26"/>
          <w:szCs w:val="26"/>
        </w:rPr>
        <w:t>September 15</w:t>
      </w:r>
      <w:r w:rsidRPr="00104748">
        <w:rPr>
          <w:rFonts w:ascii="Times New Roman" w:hAnsi="Times New Roman"/>
          <w:sz w:val="26"/>
          <w:szCs w:val="26"/>
        </w:rPr>
        <w:t>, 2014</w:t>
      </w:r>
      <w:r w:rsidR="00DB44D9" w:rsidRPr="00104748">
        <w:rPr>
          <w:rFonts w:ascii="Times New Roman" w:hAnsi="Times New Roman"/>
          <w:sz w:val="26"/>
          <w:szCs w:val="26"/>
        </w:rPr>
        <w:t>, the Complainant filed a Formal Complaint</w:t>
      </w:r>
      <w:r w:rsidR="00D017A0" w:rsidRPr="00104748">
        <w:rPr>
          <w:rFonts w:ascii="Times New Roman" w:hAnsi="Times New Roman"/>
          <w:sz w:val="26"/>
          <w:szCs w:val="26"/>
        </w:rPr>
        <w:t xml:space="preserve"> (Complaint)</w:t>
      </w:r>
      <w:r w:rsidR="00DB44D9" w:rsidRPr="00104748">
        <w:rPr>
          <w:rFonts w:ascii="Times New Roman" w:hAnsi="Times New Roman"/>
          <w:sz w:val="26"/>
          <w:szCs w:val="26"/>
        </w:rPr>
        <w:t xml:space="preserve"> with </w:t>
      </w:r>
      <w:r w:rsidRPr="00104748">
        <w:rPr>
          <w:rFonts w:ascii="Times New Roman" w:hAnsi="Times New Roman"/>
          <w:sz w:val="26"/>
          <w:szCs w:val="26"/>
        </w:rPr>
        <w:t>the Commission against PECO</w:t>
      </w:r>
      <w:r w:rsidR="00DB44D9" w:rsidRPr="00104748">
        <w:rPr>
          <w:rFonts w:ascii="Times New Roman" w:hAnsi="Times New Roman"/>
          <w:sz w:val="26"/>
          <w:szCs w:val="26"/>
        </w:rPr>
        <w:t xml:space="preserve"> </w:t>
      </w:r>
      <w:r w:rsidR="0000220F" w:rsidRPr="00104748">
        <w:rPr>
          <w:rFonts w:ascii="Times New Roman" w:hAnsi="Times New Roman"/>
          <w:sz w:val="26"/>
          <w:szCs w:val="26"/>
        </w:rPr>
        <w:t xml:space="preserve">alleging </w:t>
      </w:r>
      <w:r w:rsidR="00104748">
        <w:rPr>
          <w:rFonts w:ascii="Times New Roman" w:hAnsi="Times New Roman"/>
          <w:sz w:val="26"/>
          <w:szCs w:val="26"/>
        </w:rPr>
        <w:t xml:space="preserve">the following: </w:t>
      </w:r>
      <w:r w:rsidR="00104748" w:rsidRPr="00104748">
        <w:rPr>
          <w:rFonts w:ascii="Times New Roman" w:hAnsi="Times New Roman"/>
          <w:sz w:val="26"/>
          <w:szCs w:val="26"/>
        </w:rPr>
        <w:t xml:space="preserve">there </w:t>
      </w:r>
      <w:r w:rsidR="003611A5">
        <w:rPr>
          <w:rFonts w:ascii="Times New Roman" w:hAnsi="Times New Roman"/>
          <w:sz w:val="26"/>
          <w:szCs w:val="26"/>
        </w:rPr>
        <w:t>were</w:t>
      </w:r>
      <w:r w:rsidR="00104748" w:rsidRPr="00104748">
        <w:rPr>
          <w:rFonts w:ascii="Times New Roman" w:hAnsi="Times New Roman"/>
          <w:sz w:val="26"/>
          <w:szCs w:val="26"/>
        </w:rPr>
        <w:t xml:space="preserve"> incorrect charges on her bill for electric service at </w:t>
      </w:r>
      <w:r w:rsidR="00104748">
        <w:rPr>
          <w:rFonts w:ascii="Times New Roman" w:hAnsi="Times New Roman"/>
          <w:sz w:val="26"/>
          <w:szCs w:val="26"/>
        </w:rPr>
        <w:t>her Service Address;</w:t>
      </w:r>
      <w:r w:rsidR="00104748" w:rsidRPr="00104748">
        <w:rPr>
          <w:rFonts w:ascii="Times New Roman" w:hAnsi="Times New Roman"/>
          <w:sz w:val="26"/>
          <w:szCs w:val="26"/>
        </w:rPr>
        <w:t xml:space="preserve"> the bills were too high for a two story, two bedroom row home; the bills for </w:t>
      </w:r>
      <w:r w:rsidR="00055BBB">
        <w:rPr>
          <w:rFonts w:ascii="Times New Roman" w:hAnsi="Times New Roman"/>
          <w:sz w:val="26"/>
          <w:szCs w:val="26"/>
        </w:rPr>
        <w:t xml:space="preserve">the prior </w:t>
      </w:r>
      <w:r w:rsidR="00104748" w:rsidRPr="00104748">
        <w:rPr>
          <w:rFonts w:ascii="Times New Roman" w:hAnsi="Times New Roman"/>
          <w:sz w:val="26"/>
          <w:szCs w:val="26"/>
        </w:rPr>
        <w:t xml:space="preserve">November, December and January </w:t>
      </w:r>
      <w:r w:rsidR="00055BBB">
        <w:rPr>
          <w:rFonts w:ascii="Times New Roman" w:hAnsi="Times New Roman"/>
          <w:sz w:val="26"/>
          <w:szCs w:val="26"/>
        </w:rPr>
        <w:t>ranged between</w:t>
      </w:r>
      <w:r w:rsidR="00104748" w:rsidRPr="00104748">
        <w:rPr>
          <w:rFonts w:ascii="Times New Roman" w:hAnsi="Times New Roman"/>
          <w:sz w:val="26"/>
          <w:szCs w:val="26"/>
        </w:rPr>
        <w:t xml:space="preserve"> $400</w:t>
      </w:r>
      <w:r w:rsidR="00055BBB">
        <w:rPr>
          <w:rFonts w:ascii="Times New Roman" w:hAnsi="Times New Roman"/>
          <w:sz w:val="26"/>
          <w:szCs w:val="26"/>
        </w:rPr>
        <w:t xml:space="preserve"> and </w:t>
      </w:r>
      <w:r w:rsidR="00104748" w:rsidRPr="00104748">
        <w:rPr>
          <w:rFonts w:ascii="Times New Roman" w:hAnsi="Times New Roman"/>
          <w:sz w:val="26"/>
          <w:szCs w:val="26"/>
        </w:rPr>
        <w:t xml:space="preserve">$900 a month; </w:t>
      </w:r>
      <w:r w:rsidR="001E5EAB">
        <w:rPr>
          <w:rFonts w:ascii="Times New Roman" w:hAnsi="Times New Roman"/>
          <w:sz w:val="26"/>
          <w:szCs w:val="26"/>
        </w:rPr>
        <w:t xml:space="preserve">and </w:t>
      </w:r>
      <w:r w:rsidR="00055BBB">
        <w:rPr>
          <w:rFonts w:ascii="Times New Roman" w:hAnsi="Times New Roman"/>
          <w:sz w:val="26"/>
          <w:szCs w:val="26"/>
        </w:rPr>
        <w:t>Ms. Santore Smith</w:t>
      </w:r>
      <w:r w:rsidR="00104748" w:rsidRPr="00104748">
        <w:rPr>
          <w:rFonts w:ascii="Times New Roman" w:hAnsi="Times New Roman"/>
          <w:sz w:val="26"/>
          <w:szCs w:val="26"/>
        </w:rPr>
        <w:t xml:space="preserve"> and her husband moved due to the high bills</w:t>
      </w:r>
      <w:r w:rsidR="00055BBB">
        <w:rPr>
          <w:rFonts w:ascii="Times New Roman" w:hAnsi="Times New Roman"/>
          <w:sz w:val="26"/>
          <w:szCs w:val="26"/>
        </w:rPr>
        <w:t xml:space="preserve">.  For relief, she requested a </w:t>
      </w:r>
      <w:r w:rsidR="00104748" w:rsidRPr="00104748">
        <w:rPr>
          <w:rFonts w:ascii="Times New Roman" w:hAnsi="Times New Roman"/>
          <w:sz w:val="26"/>
          <w:szCs w:val="26"/>
        </w:rPr>
        <w:t xml:space="preserve">refund.  </w:t>
      </w:r>
      <w:r w:rsidR="00055BBB">
        <w:rPr>
          <w:rFonts w:ascii="Times New Roman" w:hAnsi="Times New Roman"/>
          <w:sz w:val="26"/>
          <w:szCs w:val="26"/>
        </w:rPr>
        <w:t xml:space="preserve">Complaint at </w:t>
      </w:r>
    </w:p>
    <w:p w:rsidR="00104748" w:rsidRPr="00104748" w:rsidRDefault="00055BBB" w:rsidP="00104748">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 xml:space="preserve">2-3.  </w:t>
      </w:r>
      <w:r w:rsidR="00104748" w:rsidRPr="00104748">
        <w:rPr>
          <w:rFonts w:ascii="Times New Roman" w:hAnsi="Times New Roman"/>
          <w:sz w:val="26"/>
          <w:szCs w:val="26"/>
        </w:rPr>
        <w:t xml:space="preserve">This </w:t>
      </w:r>
      <w:r>
        <w:rPr>
          <w:rFonts w:ascii="Times New Roman" w:hAnsi="Times New Roman"/>
          <w:sz w:val="26"/>
          <w:szCs w:val="26"/>
        </w:rPr>
        <w:t xml:space="preserve">case </w:t>
      </w:r>
      <w:r w:rsidR="00104748" w:rsidRPr="00104748">
        <w:rPr>
          <w:rFonts w:ascii="Times New Roman" w:hAnsi="Times New Roman"/>
          <w:sz w:val="26"/>
          <w:szCs w:val="26"/>
        </w:rPr>
        <w:t>is a timely appeal of a</w:t>
      </w:r>
      <w:r>
        <w:rPr>
          <w:rFonts w:ascii="Times New Roman" w:hAnsi="Times New Roman"/>
          <w:sz w:val="26"/>
          <w:szCs w:val="26"/>
        </w:rPr>
        <w:t>n informal decision of the Commission’s</w:t>
      </w:r>
      <w:r w:rsidR="00104748" w:rsidRPr="00104748">
        <w:rPr>
          <w:rFonts w:ascii="Times New Roman" w:hAnsi="Times New Roman"/>
          <w:sz w:val="26"/>
          <w:szCs w:val="26"/>
        </w:rPr>
        <w:t xml:space="preserve"> Bureau of Consumer Services decision</w:t>
      </w:r>
      <w:r>
        <w:rPr>
          <w:rFonts w:ascii="Times New Roman" w:hAnsi="Times New Roman"/>
          <w:sz w:val="26"/>
          <w:szCs w:val="26"/>
        </w:rPr>
        <w:t xml:space="preserve"> at case number 3258302</w:t>
      </w:r>
      <w:r w:rsidR="00104748" w:rsidRPr="00104748">
        <w:rPr>
          <w:rFonts w:ascii="Times New Roman" w:hAnsi="Times New Roman"/>
          <w:sz w:val="26"/>
          <w:szCs w:val="26"/>
        </w:rPr>
        <w:t xml:space="preserve">. </w:t>
      </w:r>
    </w:p>
    <w:p w:rsidR="00104748" w:rsidRDefault="00104748" w:rsidP="00104748">
      <w:pPr>
        <w:pStyle w:val="BodyText"/>
        <w:tabs>
          <w:tab w:val="clear" w:pos="1980"/>
          <w:tab w:val="left" w:pos="0"/>
        </w:tabs>
        <w:spacing w:line="360" w:lineRule="auto"/>
        <w:jc w:val="left"/>
        <w:rPr>
          <w:rFonts w:ascii="Times New Roman" w:hAnsi="Times New Roman"/>
          <w:szCs w:val="24"/>
        </w:rPr>
      </w:pPr>
    </w:p>
    <w:p w:rsidR="00104748" w:rsidRPr="00055BBB" w:rsidRDefault="00104748" w:rsidP="00104748">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Cs w:val="24"/>
        </w:rPr>
        <w:tab/>
      </w:r>
      <w:r>
        <w:rPr>
          <w:rFonts w:ascii="Times New Roman" w:hAnsi="Times New Roman"/>
          <w:szCs w:val="24"/>
        </w:rPr>
        <w:tab/>
      </w:r>
      <w:r w:rsidRPr="00055BBB">
        <w:rPr>
          <w:rFonts w:ascii="Times New Roman" w:hAnsi="Times New Roman"/>
          <w:sz w:val="26"/>
          <w:szCs w:val="26"/>
        </w:rPr>
        <w:t xml:space="preserve">On October 20, 2014, </w:t>
      </w:r>
      <w:r w:rsidR="00732A22">
        <w:rPr>
          <w:rFonts w:ascii="Times New Roman" w:hAnsi="Times New Roman"/>
          <w:sz w:val="26"/>
          <w:szCs w:val="26"/>
        </w:rPr>
        <w:t>the Respondent</w:t>
      </w:r>
      <w:r w:rsidRPr="00055BBB">
        <w:rPr>
          <w:rFonts w:ascii="Times New Roman" w:hAnsi="Times New Roman"/>
          <w:sz w:val="26"/>
          <w:szCs w:val="26"/>
        </w:rPr>
        <w:t xml:space="preserve"> filed an </w:t>
      </w:r>
      <w:r w:rsidR="00055BBB">
        <w:rPr>
          <w:rFonts w:ascii="Times New Roman" w:hAnsi="Times New Roman"/>
          <w:sz w:val="26"/>
          <w:szCs w:val="26"/>
        </w:rPr>
        <w:t>A</w:t>
      </w:r>
      <w:r w:rsidRPr="00055BBB">
        <w:rPr>
          <w:rFonts w:ascii="Times New Roman" w:hAnsi="Times New Roman"/>
          <w:sz w:val="26"/>
          <w:szCs w:val="26"/>
        </w:rPr>
        <w:t>nswer</w:t>
      </w:r>
      <w:r w:rsidR="00055BBB">
        <w:rPr>
          <w:rFonts w:ascii="Times New Roman" w:hAnsi="Times New Roman"/>
          <w:sz w:val="26"/>
          <w:szCs w:val="26"/>
        </w:rPr>
        <w:t xml:space="preserve"> </w:t>
      </w:r>
      <w:r w:rsidR="008D6C7A">
        <w:rPr>
          <w:rFonts w:ascii="Times New Roman" w:hAnsi="Times New Roman"/>
          <w:sz w:val="26"/>
          <w:szCs w:val="26"/>
        </w:rPr>
        <w:t>to</w:t>
      </w:r>
      <w:r w:rsidR="001E5EAB">
        <w:rPr>
          <w:rFonts w:ascii="Times New Roman" w:hAnsi="Times New Roman"/>
          <w:sz w:val="26"/>
          <w:szCs w:val="26"/>
        </w:rPr>
        <w:t xml:space="preserve"> the </w:t>
      </w:r>
      <w:r w:rsidR="008D6C7A">
        <w:rPr>
          <w:rFonts w:ascii="Times New Roman" w:hAnsi="Times New Roman"/>
          <w:sz w:val="26"/>
          <w:szCs w:val="26"/>
        </w:rPr>
        <w:t xml:space="preserve">Complaint.  PECO denied that the Complainant was overcharged or that there were any meter issues or billing errors on the Complainant’s utility bills.  </w:t>
      </w:r>
      <w:r w:rsidR="00732A22">
        <w:rPr>
          <w:rFonts w:ascii="Times New Roman" w:hAnsi="Times New Roman"/>
          <w:sz w:val="26"/>
          <w:szCs w:val="26"/>
        </w:rPr>
        <w:t>T</w:t>
      </w:r>
      <w:r w:rsidR="008D6C7A">
        <w:rPr>
          <w:rFonts w:ascii="Times New Roman" w:hAnsi="Times New Roman"/>
          <w:sz w:val="26"/>
          <w:szCs w:val="26"/>
        </w:rPr>
        <w:t>he Respondent averred</w:t>
      </w:r>
      <w:r w:rsidR="00732A22">
        <w:rPr>
          <w:rFonts w:ascii="Times New Roman" w:hAnsi="Times New Roman"/>
          <w:sz w:val="26"/>
          <w:szCs w:val="26"/>
        </w:rPr>
        <w:t>, in part,</w:t>
      </w:r>
      <w:r w:rsidR="008D6C7A">
        <w:rPr>
          <w:rFonts w:ascii="Times New Roman" w:hAnsi="Times New Roman"/>
          <w:sz w:val="26"/>
          <w:szCs w:val="26"/>
        </w:rPr>
        <w:t xml:space="preserve"> that </w:t>
      </w:r>
      <w:r w:rsidR="00732A22">
        <w:rPr>
          <w:rFonts w:ascii="Times New Roman" w:hAnsi="Times New Roman"/>
          <w:sz w:val="26"/>
          <w:szCs w:val="26"/>
        </w:rPr>
        <w:t xml:space="preserve">it conducted high bill field investigations on February 18, 2011, and December 20, 2012, which found no issues with the meters.  PECO contended that the Complainant has been properly billed for her electric service.   Answer at 1-4.  </w:t>
      </w:r>
    </w:p>
    <w:p w:rsidR="00104748" w:rsidRPr="006C1205" w:rsidRDefault="00104748" w:rsidP="003611A5">
      <w:pPr>
        <w:pStyle w:val="BodyText"/>
        <w:tabs>
          <w:tab w:val="clear" w:pos="1980"/>
          <w:tab w:val="left" w:pos="0"/>
        </w:tabs>
        <w:spacing w:line="360" w:lineRule="auto"/>
        <w:jc w:val="left"/>
        <w:rPr>
          <w:rFonts w:ascii="Times New Roman" w:hAnsi="Times New Roman"/>
          <w:sz w:val="26"/>
          <w:szCs w:val="26"/>
        </w:rPr>
      </w:pPr>
      <w:r w:rsidRPr="00883663">
        <w:rPr>
          <w:rFonts w:ascii="Times New Roman" w:hAnsi="Times New Roman"/>
          <w:szCs w:val="24"/>
        </w:rPr>
        <w:lastRenderedPageBreak/>
        <w:tab/>
      </w:r>
      <w:r w:rsidRPr="00883663">
        <w:rPr>
          <w:rFonts w:ascii="Times New Roman" w:hAnsi="Times New Roman"/>
          <w:szCs w:val="24"/>
        </w:rPr>
        <w:tab/>
      </w:r>
      <w:r w:rsidR="006C1205" w:rsidRPr="006C1205">
        <w:rPr>
          <w:rFonts w:ascii="Times New Roman" w:hAnsi="Times New Roman"/>
          <w:sz w:val="26"/>
          <w:szCs w:val="26"/>
        </w:rPr>
        <w:t xml:space="preserve">On November 17, 2014, the Office of Administrative Law Judge issued a Hearing Notice to the Parties setting the initial hearing date for January 12, 2015.  Thereafter, ALJ Fordham issued a Prehearing Order on November 21, 2014, which, in part, reiterated the initial hearing date of January 12, 2015.  Additionally, the Prehearing Order explained the procedure for requesting a continuance of the scheduled initial hearing date.  </w:t>
      </w:r>
      <w:r w:rsidR="00FB655A">
        <w:rPr>
          <w:rFonts w:ascii="Times New Roman" w:hAnsi="Times New Roman"/>
          <w:sz w:val="26"/>
          <w:szCs w:val="26"/>
        </w:rPr>
        <w:t>Prehearing Order at 3.</w:t>
      </w:r>
    </w:p>
    <w:p w:rsidR="006C1205" w:rsidRPr="00883663" w:rsidRDefault="006C1205" w:rsidP="00104748">
      <w:pPr>
        <w:pStyle w:val="BodyText"/>
        <w:tabs>
          <w:tab w:val="clear" w:pos="1980"/>
          <w:tab w:val="left" w:pos="0"/>
        </w:tabs>
        <w:spacing w:line="360" w:lineRule="auto"/>
        <w:rPr>
          <w:rFonts w:ascii="Times New Roman" w:hAnsi="Times New Roman"/>
          <w:szCs w:val="24"/>
        </w:rPr>
      </w:pPr>
    </w:p>
    <w:p w:rsidR="00104748" w:rsidRPr="00455260" w:rsidRDefault="00104748" w:rsidP="006C1205">
      <w:pPr>
        <w:pStyle w:val="BodyText"/>
        <w:tabs>
          <w:tab w:val="clear" w:pos="1980"/>
          <w:tab w:val="left" w:pos="0"/>
        </w:tabs>
        <w:spacing w:line="360" w:lineRule="auto"/>
        <w:jc w:val="left"/>
        <w:rPr>
          <w:rFonts w:ascii="Times New Roman" w:hAnsi="Times New Roman"/>
          <w:sz w:val="26"/>
          <w:szCs w:val="26"/>
        </w:rPr>
      </w:pPr>
      <w:r w:rsidRPr="00AC6ADC">
        <w:rPr>
          <w:rFonts w:ascii="Times New Roman" w:hAnsi="Times New Roman"/>
          <w:szCs w:val="24"/>
        </w:rPr>
        <w:tab/>
      </w:r>
      <w:r w:rsidRPr="00AC6ADC">
        <w:rPr>
          <w:rFonts w:ascii="Times New Roman" w:hAnsi="Times New Roman"/>
          <w:szCs w:val="24"/>
        </w:rPr>
        <w:tab/>
      </w:r>
      <w:r w:rsidR="006C1205" w:rsidRPr="00455260">
        <w:rPr>
          <w:rFonts w:ascii="Times New Roman" w:hAnsi="Times New Roman"/>
          <w:sz w:val="26"/>
          <w:szCs w:val="26"/>
        </w:rPr>
        <w:t>The Initial Hearing convened as scheduled</w:t>
      </w:r>
      <w:r w:rsidRPr="00455260">
        <w:rPr>
          <w:rFonts w:ascii="Times New Roman" w:hAnsi="Times New Roman"/>
          <w:sz w:val="26"/>
          <w:szCs w:val="26"/>
        </w:rPr>
        <w:t xml:space="preserve"> on January 12, 2015</w:t>
      </w:r>
      <w:r w:rsidR="006C1205" w:rsidRPr="00455260">
        <w:rPr>
          <w:rFonts w:ascii="Times New Roman" w:hAnsi="Times New Roman"/>
          <w:sz w:val="26"/>
          <w:szCs w:val="26"/>
        </w:rPr>
        <w:t xml:space="preserve">.  However, the Complainant did not appear.  The Respondent was represented by counsel and two PECO witnesses were present, but did not testify.  </w:t>
      </w:r>
      <w:r w:rsidR="00455260" w:rsidRPr="00455260">
        <w:rPr>
          <w:rFonts w:ascii="Times New Roman" w:hAnsi="Times New Roman"/>
          <w:sz w:val="26"/>
          <w:szCs w:val="26"/>
        </w:rPr>
        <w:t>During the hearing, PECO</w:t>
      </w:r>
      <w:r w:rsidRPr="00455260">
        <w:rPr>
          <w:rFonts w:ascii="Times New Roman" w:hAnsi="Times New Roman"/>
          <w:sz w:val="26"/>
          <w:szCs w:val="26"/>
        </w:rPr>
        <w:t>’</w:t>
      </w:r>
      <w:r w:rsidR="00455260" w:rsidRPr="00455260">
        <w:rPr>
          <w:rFonts w:ascii="Times New Roman" w:hAnsi="Times New Roman"/>
          <w:sz w:val="26"/>
          <w:szCs w:val="26"/>
        </w:rPr>
        <w:t xml:space="preserve">s counsel </w:t>
      </w:r>
      <w:r w:rsidR="00F95051">
        <w:rPr>
          <w:rFonts w:ascii="Times New Roman" w:hAnsi="Times New Roman"/>
          <w:sz w:val="26"/>
          <w:szCs w:val="26"/>
        </w:rPr>
        <w:t>made an oral M</w:t>
      </w:r>
      <w:r w:rsidR="00455260" w:rsidRPr="00455260">
        <w:rPr>
          <w:rFonts w:ascii="Times New Roman" w:hAnsi="Times New Roman"/>
          <w:sz w:val="26"/>
          <w:szCs w:val="26"/>
        </w:rPr>
        <w:t xml:space="preserve">otion </w:t>
      </w:r>
      <w:r w:rsidR="00F95051">
        <w:rPr>
          <w:rFonts w:ascii="Times New Roman" w:hAnsi="Times New Roman"/>
          <w:sz w:val="26"/>
          <w:szCs w:val="26"/>
        </w:rPr>
        <w:t>to D</w:t>
      </w:r>
      <w:r w:rsidR="00455260" w:rsidRPr="00455260">
        <w:rPr>
          <w:rFonts w:ascii="Times New Roman" w:hAnsi="Times New Roman"/>
          <w:sz w:val="26"/>
          <w:szCs w:val="26"/>
        </w:rPr>
        <w:t>ismiss the C</w:t>
      </w:r>
      <w:r w:rsidRPr="00455260">
        <w:rPr>
          <w:rFonts w:ascii="Times New Roman" w:hAnsi="Times New Roman"/>
          <w:sz w:val="26"/>
          <w:szCs w:val="26"/>
        </w:rPr>
        <w:t>omplaint with prejudice for lack of prosecution.</w:t>
      </w:r>
    </w:p>
    <w:p w:rsidR="00455260" w:rsidRPr="00455260" w:rsidRDefault="00455260" w:rsidP="006C1205">
      <w:pPr>
        <w:pStyle w:val="BodyText"/>
        <w:tabs>
          <w:tab w:val="clear" w:pos="1980"/>
          <w:tab w:val="left" w:pos="0"/>
        </w:tabs>
        <w:spacing w:line="360" w:lineRule="auto"/>
        <w:jc w:val="left"/>
        <w:rPr>
          <w:rFonts w:ascii="Times New Roman" w:hAnsi="Times New Roman"/>
          <w:sz w:val="26"/>
          <w:szCs w:val="26"/>
        </w:rPr>
      </w:pPr>
    </w:p>
    <w:p w:rsidR="00104748" w:rsidRPr="00455260" w:rsidRDefault="00104748" w:rsidP="00455260">
      <w:pPr>
        <w:pStyle w:val="BodyText"/>
        <w:tabs>
          <w:tab w:val="clear" w:pos="1980"/>
          <w:tab w:val="left" w:pos="-90"/>
        </w:tabs>
        <w:spacing w:line="360" w:lineRule="auto"/>
        <w:jc w:val="left"/>
        <w:rPr>
          <w:rFonts w:ascii="Times New Roman" w:hAnsi="Times New Roman"/>
          <w:sz w:val="26"/>
          <w:szCs w:val="26"/>
        </w:rPr>
      </w:pPr>
      <w:r w:rsidRPr="00455260">
        <w:rPr>
          <w:rFonts w:ascii="Times New Roman" w:hAnsi="Times New Roman"/>
          <w:sz w:val="26"/>
          <w:szCs w:val="26"/>
        </w:rPr>
        <w:t xml:space="preserve"> </w:t>
      </w:r>
      <w:r w:rsidRPr="00455260">
        <w:rPr>
          <w:rFonts w:ascii="Times New Roman" w:hAnsi="Times New Roman"/>
          <w:sz w:val="26"/>
          <w:szCs w:val="26"/>
        </w:rPr>
        <w:tab/>
      </w:r>
      <w:r w:rsidRPr="00455260">
        <w:rPr>
          <w:rFonts w:ascii="Times New Roman" w:hAnsi="Times New Roman"/>
          <w:sz w:val="26"/>
          <w:szCs w:val="26"/>
        </w:rPr>
        <w:tab/>
        <w:t xml:space="preserve">The </w:t>
      </w:r>
      <w:r w:rsidR="00455260">
        <w:rPr>
          <w:rFonts w:ascii="Times New Roman" w:hAnsi="Times New Roman"/>
          <w:sz w:val="26"/>
          <w:szCs w:val="26"/>
        </w:rPr>
        <w:t xml:space="preserve">hearing produced a transcript of seven pages.  The record closed </w:t>
      </w:r>
      <w:r w:rsidR="00F95051">
        <w:rPr>
          <w:rFonts w:ascii="Times New Roman" w:hAnsi="Times New Roman"/>
          <w:sz w:val="26"/>
          <w:szCs w:val="26"/>
        </w:rPr>
        <w:t xml:space="preserve">on </w:t>
      </w:r>
      <w:r w:rsidR="00455260">
        <w:rPr>
          <w:rFonts w:ascii="Times New Roman" w:hAnsi="Times New Roman"/>
          <w:sz w:val="26"/>
          <w:szCs w:val="26"/>
        </w:rPr>
        <w:t>Janua</w:t>
      </w:r>
      <w:r w:rsidRPr="00455260">
        <w:rPr>
          <w:rFonts w:ascii="Times New Roman" w:hAnsi="Times New Roman"/>
          <w:sz w:val="26"/>
          <w:szCs w:val="26"/>
        </w:rPr>
        <w:t xml:space="preserve">ry 27, 2015, </w:t>
      </w:r>
      <w:r w:rsidR="00F95051">
        <w:rPr>
          <w:rFonts w:ascii="Times New Roman" w:hAnsi="Times New Roman"/>
          <w:sz w:val="26"/>
          <w:szCs w:val="26"/>
        </w:rPr>
        <w:t xml:space="preserve">after the receipt of </w:t>
      </w:r>
      <w:r w:rsidRPr="00455260">
        <w:rPr>
          <w:rFonts w:ascii="Times New Roman" w:hAnsi="Times New Roman"/>
          <w:sz w:val="26"/>
          <w:szCs w:val="26"/>
        </w:rPr>
        <w:t>the transcript.</w:t>
      </w:r>
    </w:p>
    <w:p w:rsidR="00772E1F" w:rsidRDefault="00772E1F" w:rsidP="00104748">
      <w:pPr>
        <w:widowControl/>
        <w:tabs>
          <w:tab w:val="left" w:pos="-720"/>
          <w:tab w:val="left" w:pos="1440"/>
        </w:tabs>
        <w:suppressAutoHyphens/>
        <w:autoSpaceDE w:val="0"/>
        <w:autoSpaceDN w:val="0"/>
        <w:spacing w:line="360" w:lineRule="auto"/>
        <w:rPr>
          <w:sz w:val="26"/>
          <w:szCs w:val="26"/>
        </w:rPr>
      </w:pPr>
    </w:p>
    <w:p w:rsidR="00EE759C" w:rsidRDefault="003C528E" w:rsidP="007C3BC4">
      <w:pPr>
        <w:widowControl/>
        <w:tabs>
          <w:tab w:val="left" w:pos="-720"/>
          <w:tab w:val="left" w:pos="1440"/>
        </w:tabs>
        <w:suppressAutoHyphens/>
        <w:autoSpaceDE w:val="0"/>
        <w:autoSpaceDN w:val="0"/>
        <w:spacing w:line="360" w:lineRule="auto"/>
        <w:rPr>
          <w:sz w:val="26"/>
          <w:szCs w:val="26"/>
        </w:rPr>
      </w:pPr>
      <w:r>
        <w:rPr>
          <w:sz w:val="26"/>
          <w:szCs w:val="26"/>
        </w:rPr>
        <w:tab/>
      </w:r>
      <w:r w:rsidR="00B8076D">
        <w:rPr>
          <w:sz w:val="26"/>
          <w:szCs w:val="26"/>
        </w:rPr>
        <w:t>In h</w:t>
      </w:r>
      <w:r w:rsidR="00455260">
        <w:rPr>
          <w:sz w:val="26"/>
          <w:szCs w:val="26"/>
        </w:rPr>
        <w:t>er</w:t>
      </w:r>
      <w:r w:rsidR="00B8076D">
        <w:rPr>
          <w:sz w:val="26"/>
          <w:szCs w:val="26"/>
        </w:rPr>
        <w:t xml:space="preserve"> Initial Decision issued on </w:t>
      </w:r>
      <w:r w:rsidR="00455260">
        <w:rPr>
          <w:sz w:val="26"/>
          <w:szCs w:val="26"/>
        </w:rPr>
        <w:t xml:space="preserve">February </w:t>
      </w:r>
      <w:r w:rsidR="00F95051">
        <w:rPr>
          <w:sz w:val="26"/>
          <w:szCs w:val="26"/>
        </w:rPr>
        <w:t>24</w:t>
      </w:r>
      <w:r w:rsidR="00B8076D">
        <w:rPr>
          <w:sz w:val="26"/>
          <w:szCs w:val="26"/>
        </w:rPr>
        <w:t xml:space="preserve">, 2015, ALJ </w:t>
      </w:r>
      <w:r w:rsidR="00F95051">
        <w:rPr>
          <w:sz w:val="26"/>
          <w:szCs w:val="26"/>
        </w:rPr>
        <w:t>Fordham granted the Respondent’s Motion to Dismiss</w:t>
      </w:r>
      <w:r w:rsidR="00B8076D">
        <w:rPr>
          <w:sz w:val="26"/>
          <w:szCs w:val="26"/>
        </w:rPr>
        <w:t xml:space="preserve"> </w:t>
      </w:r>
      <w:r w:rsidR="00F95051">
        <w:rPr>
          <w:sz w:val="26"/>
          <w:szCs w:val="26"/>
        </w:rPr>
        <w:t xml:space="preserve">the Complaint with prejudice because the Complainant failed to appear and prosecute her case.  </w:t>
      </w:r>
      <w:r w:rsidR="00D97DE4">
        <w:rPr>
          <w:sz w:val="26"/>
          <w:szCs w:val="26"/>
        </w:rPr>
        <w:t xml:space="preserve">As </w:t>
      </w:r>
      <w:r w:rsidR="00687ECA">
        <w:rPr>
          <w:sz w:val="26"/>
          <w:szCs w:val="26"/>
        </w:rPr>
        <w:t>previously indicated,</w:t>
      </w:r>
      <w:r w:rsidR="00D97DE4">
        <w:rPr>
          <w:sz w:val="26"/>
          <w:szCs w:val="26"/>
        </w:rPr>
        <w:t xml:space="preserve"> the Complainant filed Exceptions to</w:t>
      </w:r>
      <w:r w:rsidR="00687ECA">
        <w:rPr>
          <w:sz w:val="26"/>
          <w:szCs w:val="26"/>
        </w:rPr>
        <w:t xml:space="preserve"> </w:t>
      </w:r>
      <w:r w:rsidR="00F95051">
        <w:rPr>
          <w:sz w:val="26"/>
          <w:szCs w:val="26"/>
        </w:rPr>
        <w:t>the Initial Decision on March 9</w:t>
      </w:r>
      <w:r w:rsidR="00D97DE4">
        <w:rPr>
          <w:sz w:val="26"/>
          <w:szCs w:val="26"/>
        </w:rPr>
        <w:t xml:space="preserve">, 2015, and PECO filed </w:t>
      </w:r>
      <w:r w:rsidR="00687ECA">
        <w:rPr>
          <w:sz w:val="26"/>
          <w:szCs w:val="26"/>
        </w:rPr>
        <w:t xml:space="preserve">Replies to Exceptions on </w:t>
      </w:r>
      <w:r w:rsidR="00F95051">
        <w:rPr>
          <w:sz w:val="26"/>
          <w:szCs w:val="26"/>
        </w:rPr>
        <w:t>April 29</w:t>
      </w:r>
      <w:r w:rsidR="00D97DE4">
        <w:rPr>
          <w:sz w:val="26"/>
          <w:szCs w:val="26"/>
        </w:rPr>
        <w:t>, 2015.</w:t>
      </w:r>
    </w:p>
    <w:p w:rsidR="00687ECA" w:rsidRDefault="00687ECA" w:rsidP="007C3BC4">
      <w:pPr>
        <w:widowControl/>
        <w:tabs>
          <w:tab w:val="left" w:pos="-720"/>
          <w:tab w:val="left" w:pos="1440"/>
        </w:tabs>
        <w:suppressAutoHyphens/>
        <w:autoSpaceDE w:val="0"/>
        <w:autoSpaceDN w:val="0"/>
        <w:spacing w:line="360" w:lineRule="auto"/>
        <w:rPr>
          <w:sz w:val="26"/>
          <w:szCs w:val="26"/>
        </w:rPr>
      </w:pPr>
    </w:p>
    <w:p w:rsidR="008E5758" w:rsidRPr="008E5758" w:rsidRDefault="00DB44D9" w:rsidP="008E5758">
      <w:pPr>
        <w:widowControl/>
        <w:tabs>
          <w:tab w:val="left" w:pos="900"/>
        </w:tabs>
        <w:spacing w:line="360"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DB44D9" w:rsidRPr="00910FEF" w:rsidRDefault="00DB44D9" w:rsidP="00DB13EB">
      <w:pPr>
        <w:widowControl/>
        <w:tabs>
          <w:tab w:val="left" w:pos="-720"/>
        </w:tabs>
        <w:suppressAutoHyphens/>
        <w:spacing w:line="360" w:lineRule="auto"/>
        <w:rPr>
          <w:sz w:val="26"/>
        </w:rPr>
      </w:pPr>
      <w:r w:rsidRPr="00910FEF">
        <w:rPr>
          <w:b/>
          <w:sz w:val="26"/>
        </w:rPr>
        <w:t>Legal Standards</w:t>
      </w:r>
    </w:p>
    <w:p w:rsidR="00DB44D9" w:rsidRPr="00910FEF" w:rsidRDefault="00DB44D9" w:rsidP="00506975">
      <w:pPr>
        <w:keepNext/>
        <w:widowControl/>
        <w:spacing w:line="360" w:lineRule="auto"/>
        <w:ind w:firstLine="1440"/>
        <w:rPr>
          <w:sz w:val="26"/>
          <w:szCs w:val="26"/>
        </w:rPr>
      </w:pPr>
    </w:p>
    <w:p w:rsidR="00294890" w:rsidRDefault="00294890" w:rsidP="00294890">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Public Utility Code (</w:t>
      </w:r>
      <w:r w:rsidRPr="00CA43A5">
        <w:rPr>
          <w:sz w:val="26"/>
          <w:szCs w:val="26"/>
        </w:rPr>
        <w:t>Code</w:t>
      </w:r>
      <w:r>
        <w:rPr>
          <w:sz w:val="26"/>
          <w:szCs w:val="26"/>
        </w:rPr>
        <w:t>)</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w:t>
      </w:r>
      <w:r w:rsidRPr="00CA43A5">
        <w:rPr>
          <w:sz w:val="26"/>
          <w:szCs w:val="26"/>
        </w:rPr>
        <w:lastRenderedPageBreak/>
        <w:t xml:space="preserve">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294890" w:rsidRPr="00CA43A5" w:rsidRDefault="00294890" w:rsidP="00294890">
      <w:pPr>
        <w:widowControl/>
        <w:spacing w:line="360" w:lineRule="auto"/>
        <w:rPr>
          <w:sz w:val="26"/>
          <w:szCs w:val="26"/>
        </w:rPr>
      </w:pPr>
    </w:p>
    <w:p w:rsidR="00294890" w:rsidRPr="00CC1FD7" w:rsidRDefault="00294890" w:rsidP="00294890">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Pr>
          <w:sz w:val="26"/>
        </w:rPr>
        <w:t xml:space="preserve">oing forward with the evidence </w:t>
      </w:r>
      <w:r w:rsidRPr="00472547">
        <w:rPr>
          <w:sz w:val="26"/>
        </w:rPr>
        <w:t xml:space="preserve">to rebut the evidence of the </w:t>
      </w:r>
      <w:r>
        <w:rPr>
          <w:sz w:val="26"/>
        </w:rPr>
        <w:t>complainant shifts</w:t>
      </w:r>
      <w:r w:rsidRPr="00472547">
        <w:rPr>
          <w:sz w:val="26"/>
        </w:rPr>
        <w:t xml:space="preserve"> to the respondent. </w:t>
      </w:r>
      <w:r>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9" w:history="1">
        <w:r w:rsidRPr="00154CB6">
          <w:rPr>
            <w:rStyle w:val="Hyperlink"/>
            <w:rFonts w:ascii="Times New (W1)" w:hAnsi="Times New (W1)"/>
            <w:i/>
            <w:iCs/>
            <w:color w:val="auto"/>
            <w:sz w:val="26"/>
            <w:u w:val="none"/>
          </w:rPr>
          <w:t>Burleson v. Pa. PUC,</w:t>
        </w:r>
        <w:r w:rsidRPr="00154CB6">
          <w:rPr>
            <w:rStyle w:val="Hyperlink"/>
            <w:rFonts w:ascii="Times New (W1)" w:hAnsi="Times New (W1)"/>
            <w:iCs/>
            <w:color w:val="auto"/>
            <w:sz w:val="26"/>
            <w:u w:val="none"/>
          </w:rPr>
          <w:t xml:space="preserve"> 443 A.2d 1373 (Pa. Cmwlth. 1982), </w:t>
        </w:r>
        <w:r w:rsidRPr="00154CB6">
          <w:rPr>
            <w:rStyle w:val="Hyperlink"/>
            <w:rFonts w:ascii="Times New (W1)" w:hAnsi="Times New (W1)"/>
            <w:i/>
            <w:iCs/>
            <w:color w:val="auto"/>
            <w:sz w:val="26"/>
            <w:u w:val="none"/>
          </w:rPr>
          <w:t>aff’d,</w:t>
        </w:r>
        <w:r w:rsidRPr="00154CB6">
          <w:rPr>
            <w:rStyle w:val="Hyperlink"/>
            <w:rFonts w:ascii="Times New (W1)" w:hAnsi="Times New (W1)"/>
            <w:iCs/>
            <w:color w:val="auto"/>
            <w:sz w:val="26"/>
            <w:u w:val="none"/>
          </w:rPr>
          <w:t xml:space="preserve"> 501 Pa. 433, 461 A.2d 1234 (1983).</w:t>
        </w:r>
      </w:hyperlink>
    </w:p>
    <w:p w:rsidR="00294890" w:rsidRPr="00182752" w:rsidRDefault="00294890" w:rsidP="00294890">
      <w:pPr>
        <w:widowControl/>
        <w:spacing w:line="360" w:lineRule="auto"/>
        <w:ind w:firstLine="1440"/>
        <w:rPr>
          <w:sz w:val="26"/>
        </w:rPr>
      </w:pPr>
    </w:p>
    <w:p w:rsidR="00294890" w:rsidRDefault="00294890" w:rsidP="00294890">
      <w:pPr>
        <w:widowControl/>
        <w:spacing w:line="360" w:lineRule="auto"/>
        <w:ind w:firstLine="1440"/>
        <w:rPr>
          <w:sz w:val="26"/>
        </w:rPr>
      </w:pPr>
      <w:r w:rsidRPr="00182752">
        <w:rPr>
          <w:sz w:val="26"/>
        </w:rPr>
        <w:t xml:space="preserve">While the burden of </w:t>
      </w:r>
      <w:r>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Pr>
          <w:sz w:val="26"/>
        </w:rPr>
        <w:t xml:space="preserve"> </w:t>
      </w:r>
      <w:r w:rsidRPr="008F16A1">
        <w:rPr>
          <w:sz w:val="26"/>
        </w:rPr>
        <w:t xml:space="preserve"> </w:t>
      </w:r>
      <w:r>
        <w:rPr>
          <w:i/>
          <w:sz w:val="26"/>
        </w:rPr>
        <w:t xml:space="preserve">Milkie v. Pa. PUC, </w:t>
      </w:r>
      <w:r>
        <w:rPr>
          <w:sz w:val="26"/>
        </w:rPr>
        <w:t>768 A.2d 1217 (Pa. Cmwlth. 2001).</w:t>
      </w:r>
    </w:p>
    <w:p w:rsidR="00294890" w:rsidRDefault="00294890" w:rsidP="00294890">
      <w:pPr>
        <w:widowControl/>
        <w:spacing w:line="360" w:lineRule="auto"/>
        <w:ind w:firstLine="1440"/>
        <w:rPr>
          <w:sz w:val="26"/>
        </w:rPr>
      </w:pPr>
    </w:p>
    <w:p w:rsidR="00294890" w:rsidRDefault="00294890" w:rsidP="00294890">
      <w:pPr>
        <w:widowControl/>
        <w:spacing w:line="360" w:lineRule="auto"/>
        <w:ind w:firstLine="1440"/>
        <w:rPr>
          <w:color w:val="000000"/>
          <w:sz w:val="26"/>
          <w:szCs w:val="26"/>
        </w:rPr>
      </w:pPr>
      <w:r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 w:val="26"/>
          <w:szCs w:val="26"/>
        </w:rPr>
        <w:t>Consolidated Rail Corporation v. Pa. PUC</w:t>
      </w:r>
      <w:r w:rsidRPr="00CB10E4">
        <w:rPr>
          <w:color w:val="000000"/>
          <w:sz w:val="26"/>
          <w:szCs w:val="26"/>
        </w:rPr>
        <w:t xml:space="preserve">, 625 A.2d 741 (Pa. Cmwlth. 1993); </w:t>
      </w:r>
      <w:r w:rsidRPr="00CB10E4">
        <w:rPr>
          <w:color w:val="000000"/>
          <w:sz w:val="26"/>
          <w:szCs w:val="26"/>
        </w:rPr>
        <w:lastRenderedPageBreak/>
        <w:t xml:space="preserve">see also, generally, </w:t>
      </w:r>
      <w:r w:rsidRPr="00843DF5">
        <w:rPr>
          <w:i/>
          <w:color w:val="000000"/>
          <w:sz w:val="26"/>
          <w:szCs w:val="26"/>
        </w:rPr>
        <w:t>University of Pennsylvania v. Pa. PUC</w:t>
      </w:r>
      <w:r w:rsidRPr="00CB10E4">
        <w:rPr>
          <w:color w:val="000000"/>
          <w:sz w:val="26"/>
          <w:szCs w:val="26"/>
        </w:rPr>
        <w:t>, 485 A.2d 1217 (Pa. Cmwlth. 1984).</w:t>
      </w:r>
    </w:p>
    <w:p w:rsidR="00974CA6" w:rsidRDefault="00974CA6" w:rsidP="00DB44D9">
      <w:pPr>
        <w:widowControl/>
        <w:spacing w:line="360" w:lineRule="auto"/>
        <w:rPr>
          <w:b/>
          <w:sz w:val="26"/>
          <w:szCs w:val="26"/>
        </w:rPr>
      </w:pPr>
    </w:p>
    <w:p w:rsidR="00DB44D9" w:rsidRPr="001B6C10" w:rsidRDefault="00DB44D9" w:rsidP="00DB44D9">
      <w:pPr>
        <w:widowControl/>
        <w:spacing w:line="360" w:lineRule="auto"/>
        <w:rPr>
          <w:b/>
          <w:sz w:val="26"/>
          <w:szCs w:val="26"/>
        </w:rPr>
      </w:pPr>
      <w:r w:rsidRPr="001B6C10">
        <w:rPr>
          <w:b/>
          <w:sz w:val="26"/>
          <w:szCs w:val="26"/>
        </w:rPr>
        <w:t xml:space="preserve">ALJ’s Initial Decision </w:t>
      </w:r>
    </w:p>
    <w:p w:rsidR="000522FC" w:rsidRPr="001B6C10" w:rsidRDefault="000522FC" w:rsidP="00DB44D9">
      <w:pPr>
        <w:widowControl/>
        <w:spacing w:line="360" w:lineRule="auto"/>
        <w:rPr>
          <w:b/>
          <w:sz w:val="26"/>
          <w:szCs w:val="26"/>
        </w:rPr>
      </w:pPr>
    </w:p>
    <w:p w:rsidR="00294890" w:rsidRDefault="001B6C10" w:rsidP="00294890">
      <w:pPr>
        <w:widowControl/>
        <w:spacing w:line="360" w:lineRule="auto"/>
        <w:rPr>
          <w:sz w:val="26"/>
          <w:szCs w:val="26"/>
        </w:rPr>
      </w:pPr>
      <w:r>
        <w:rPr>
          <w:sz w:val="26"/>
          <w:szCs w:val="26"/>
        </w:rPr>
        <w:tab/>
      </w:r>
      <w:r>
        <w:rPr>
          <w:sz w:val="26"/>
          <w:szCs w:val="26"/>
        </w:rPr>
        <w:tab/>
      </w:r>
      <w:r w:rsidR="00294890" w:rsidRPr="000522FC">
        <w:rPr>
          <w:sz w:val="26"/>
          <w:szCs w:val="26"/>
        </w:rPr>
        <w:t xml:space="preserve">In </w:t>
      </w:r>
      <w:r w:rsidR="00294890">
        <w:rPr>
          <w:sz w:val="26"/>
          <w:szCs w:val="26"/>
        </w:rPr>
        <w:t>her</w:t>
      </w:r>
      <w:r w:rsidR="00294890" w:rsidRPr="000522FC">
        <w:rPr>
          <w:sz w:val="26"/>
          <w:szCs w:val="26"/>
        </w:rPr>
        <w:t xml:space="preserve"> Initial Decision, ALJ </w:t>
      </w:r>
      <w:r w:rsidR="00294890">
        <w:rPr>
          <w:sz w:val="26"/>
          <w:szCs w:val="26"/>
        </w:rPr>
        <w:t>Fordham</w:t>
      </w:r>
      <w:r w:rsidR="00294890" w:rsidRPr="000522FC">
        <w:rPr>
          <w:sz w:val="26"/>
          <w:szCs w:val="26"/>
        </w:rPr>
        <w:t xml:space="preserve"> made </w:t>
      </w:r>
      <w:r w:rsidR="00294890">
        <w:rPr>
          <w:sz w:val="26"/>
          <w:szCs w:val="26"/>
        </w:rPr>
        <w:t>five</w:t>
      </w:r>
      <w:r w:rsidR="00294890" w:rsidRPr="000522FC">
        <w:rPr>
          <w:sz w:val="26"/>
          <w:szCs w:val="26"/>
        </w:rPr>
        <w:t xml:space="preserve"> Findings of Fact and reached </w:t>
      </w:r>
      <w:r w:rsidR="00294890">
        <w:rPr>
          <w:sz w:val="26"/>
          <w:szCs w:val="26"/>
        </w:rPr>
        <w:t>six</w:t>
      </w:r>
      <w:r w:rsidR="00294890" w:rsidRPr="000522FC">
        <w:rPr>
          <w:sz w:val="26"/>
          <w:szCs w:val="26"/>
        </w:rPr>
        <w:t xml:space="preserve"> Conclusions of Law.  I.D. at </w:t>
      </w:r>
      <w:r w:rsidR="00294890">
        <w:rPr>
          <w:sz w:val="26"/>
          <w:szCs w:val="26"/>
        </w:rPr>
        <w:t>3, 5</w:t>
      </w:r>
      <w:r w:rsidR="00294890"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616F2B" w:rsidRDefault="00616F2B" w:rsidP="00853365">
      <w:pPr>
        <w:widowControl/>
        <w:spacing w:line="360" w:lineRule="auto"/>
        <w:rPr>
          <w:sz w:val="26"/>
          <w:szCs w:val="26"/>
        </w:rPr>
      </w:pPr>
    </w:p>
    <w:p w:rsidR="00294890" w:rsidRDefault="00616F2B" w:rsidP="00294890">
      <w:pPr>
        <w:widowControl/>
        <w:spacing w:line="360" w:lineRule="auto"/>
        <w:rPr>
          <w:sz w:val="26"/>
          <w:szCs w:val="26"/>
        </w:rPr>
      </w:pPr>
      <w:r>
        <w:rPr>
          <w:sz w:val="26"/>
          <w:szCs w:val="26"/>
        </w:rPr>
        <w:tab/>
      </w:r>
      <w:r>
        <w:rPr>
          <w:sz w:val="26"/>
          <w:szCs w:val="26"/>
        </w:rPr>
        <w:tab/>
      </w:r>
      <w:r w:rsidR="003611A5">
        <w:rPr>
          <w:sz w:val="26"/>
          <w:szCs w:val="26"/>
        </w:rPr>
        <w:t xml:space="preserve">The ALJ </w:t>
      </w:r>
      <w:r w:rsidR="00B57426">
        <w:rPr>
          <w:sz w:val="26"/>
          <w:szCs w:val="26"/>
        </w:rPr>
        <w:t>noted</w:t>
      </w:r>
      <w:r w:rsidR="003611A5">
        <w:rPr>
          <w:sz w:val="26"/>
          <w:szCs w:val="26"/>
        </w:rPr>
        <w:t xml:space="preserve"> that the Hearing Notice and the Prehearing Order were mailed to the Complainant </w:t>
      </w:r>
      <w:r w:rsidR="00CA4BC3">
        <w:rPr>
          <w:sz w:val="26"/>
          <w:szCs w:val="26"/>
        </w:rPr>
        <w:t xml:space="preserve">at the address on her Complaint.  Neither </w:t>
      </w:r>
      <w:r w:rsidR="00961CFA">
        <w:rPr>
          <w:sz w:val="26"/>
          <w:szCs w:val="26"/>
        </w:rPr>
        <w:t xml:space="preserve">document was </w:t>
      </w:r>
      <w:r w:rsidR="00CA4BC3">
        <w:rPr>
          <w:sz w:val="26"/>
          <w:szCs w:val="26"/>
        </w:rPr>
        <w:t xml:space="preserve">returned to the Commission by the United States Postal Service, which created a rebuttable presumption that Ms. Santore Smith received the </w:t>
      </w:r>
      <w:r w:rsidR="00961CFA">
        <w:rPr>
          <w:sz w:val="26"/>
          <w:szCs w:val="26"/>
        </w:rPr>
        <w:t>information</w:t>
      </w:r>
      <w:r w:rsidR="00CA4BC3">
        <w:rPr>
          <w:sz w:val="26"/>
          <w:szCs w:val="26"/>
        </w:rPr>
        <w:t xml:space="preserve"> containing the notification of the hearing date.  </w:t>
      </w:r>
      <w:r w:rsidR="00B57426">
        <w:rPr>
          <w:sz w:val="26"/>
          <w:szCs w:val="26"/>
        </w:rPr>
        <w:t xml:space="preserve">The ALJ explained that after notice of a hearing and the opportunity to be heard has been provided, it is the responsibility of the Parties to appear and participate in the hearing.  </w:t>
      </w:r>
      <w:r w:rsidR="00CA4BC3">
        <w:rPr>
          <w:sz w:val="26"/>
          <w:szCs w:val="26"/>
        </w:rPr>
        <w:t>I.D. at 4</w:t>
      </w:r>
      <w:r w:rsidR="00B57426">
        <w:rPr>
          <w:sz w:val="26"/>
          <w:szCs w:val="26"/>
        </w:rPr>
        <w:t xml:space="preserve">.   </w:t>
      </w:r>
    </w:p>
    <w:p w:rsidR="00B57426" w:rsidRDefault="00B57426" w:rsidP="00294890">
      <w:pPr>
        <w:widowControl/>
        <w:spacing w:line="360" w:lineRule="auto"/>
        <w:rPr>
          <w:sz w:val="26"/>
          <w:szCs w:val="26"/>
        </w:rPr>
      </w:pPr>
    </w:p>
    <w:p w:rsidR="00B57426" w:rsidRDefault="00B57426" w:rsidP="00294890">
      <w:pPr>
        <w:widowControl/>
        <w:spacing w:line="360" w:lineRule="auto"/>
        <w:rPr>
          <w:sz w:val="26"/>
          <w:szCs w:val="26"/>
        </w:rPr>
      </w:pPr>
      <w:r>
        <w:rPr>
          <w:sz w:val="26"/>
          <w:szCs w:val="26"/>
        </w:rPr>
        <w:tab/>
      </w:r>
      <w:r>
        <w:rPr>
          <w:sz w:val="26"/>
          <w:szCs w:val="26"/>
        </w:rPr>
        <w:tab/>
        <w:t>The Complainant did not attend or participate in the hearing</w:t>
      </w:r>
      <w:r w:rsidR="00291B02">
        <w:rPr>
          <w:sz w:val="26"/>
          <w:szCs w:val="26"/>
        </w:rPr>
        <w:t>.</w:t>
      </w:r>
      <w:r w:rsidR="000545A1">
        <w:rPr>
          <w:rStyle w:val="FootnoteReference"/>
          <w:sz w:val="26"/>
          <w:szCs w:val="26"/>
        </w:rPr>
        <w:footnoteReference w:id="2"/>
      </w:r>
      <w:r w:rsidR="00291B02">
        <w:rPr>
          <w:sz w:val="26"/>
          <w:szCs w:val="26"/>
        </w:rPr>
        <w:t xml:space="preserve">  According to the ALJ, the hearing was held in accordance with Section 332(f) of the Code, 66 Pa. C.S. </w:t>
      </w:r>
      <w:r w:rsidR="00291B02">
        <w:rPr>
          <w:sz w:val="26"/>
          <w:szCs w:val="26"/>
        </w:rPr>
        <w:lastRenderedPageBreak/>
        <w:t>§ 332(f), and Section 5.245 of our Regulations, 52 Pa. Code § 5.245.</w:t>
      </w:r>
      <w:r w:rsidR="00291B02">
        <w:rPr>
          <w:rStyle w:val="FootnoteReference"/>
          <w:sz w:val="26"/>
          <w:szCs w:val="26"/>
        </w:rPr>
        <w:footnoteReference w:id="3"/>
      </w:r>
      <w:r w:rsidR="007E70EE">
        <w:rPr>
          <w:sz w:val="26"/>
          <w:szCs w:val="26"/>
        </w:rPr>
        <w:t xml:space="preserve">  Because the Complainant did not present evidence in support of her allegations, the ALJ found that Ms. Santore Smith failed to satisfy her burden of proof.  Accordingly, the ALJ dismissed the Complaint with prejudice.  I.D. at 4-5.  </w:t>
      </w:r>
    </w:p>
    <w:p w:rsidR="00F26398" w:rsidRDefault="00F26398" w:rsidP="00E0520E">
      <w:pPr>
        <w:widowControl/>
        <w:spacing w:line="360" w:lineRule="auto"/>
        <w:rPr>
          <w:b/>
          <w:sz w:val="26"/>
          <w:szCs w:val="26"/>
        </w:rPr>
      </w:pPr>
    </w:p>
    <w:p w:rsidR="00E0520E" w:rsidRDefault="00DB44D9" w:rsidP="00E0520E">
      <w:pPr>
        <w:widowControl/>
        <w:spacing w:line="360" w:lineRule="auto"/>
        <w:rPr>
          <w:b/>
          <w:sz w:val="26"/>
          <w:szCs w:val="26"/>
        </w:rPr>
      </w:pPr>
      <w:r w:rsidRPr="00A23FC4">
        <w:rPr>
          <w:b/>
          <w:sz w:val="26"/>
          <w:szCs w:val="26"/>
        </w:rPr>
        <w:t>Exceptions</w:t>
      </w:r>
      <w:r w:rsidR="001F73BC">
        <w:rPr>
          <w:rStyle w:val="FootnoteReference"/>
          <w:sz w:val="26"/>
          <w:szCs w:val="26"/>
        </w:rPr>
        <w:footnoteReference w:id="4"/>
      </w:r>
      <w:r w:rsidRPr="00A23FC4">
        <w:rPr>
          <w:b/>
          <w:sz w:val="26"/>
          <w:szCs w:val="26"/>
        </w:rPr>
        <w:t xml:space="preserve"> and Replies</w:t>
      </w:r>
    </w:p>
    <w:p w:rsidR="00E0520E" w:rsidRPr="00E0520E" w:rsidRDefault="00E0520E" w:rsidP="00E0520E">
      <w:pPr>
        <w:widowControl/>
        <w:spacing w:line="360" w:lineRule="auto"/>
        <w:rPr>
          <w:sz w:val="26"/>
          <w:szCs w:val="26"/>
        </w:rPr>
      </w:pPr>
    </w:p>
    <w:p w:rsidR="00F26398" w:rsidRDefault="00A23FC4" w:rsidP="00E0520E">
      <w:pPr>
        <w:widowControl/>
        <w:spacing w:line="360" w:lineRule="auto"/>
        <w:rPr>
          <w:sz w:val="26"/>
          <w:szCs w:val="26"/>
        </w:rPr>
      </w:pPr>
      <w:r w:rsidRPr="00A23FC4">
        <w:rPr>
          <w:sz w:val="26"/>
          <w:szCs w:val="26"/>
        </w:rPr>
        <w:tab/>
      </w:r>
      <w:r w:rsidRPr="00A23FC4">
        <w:rPr>
          <w:sz w:val="26"/>
          <w:szCs w:val="26"/>
        </w:rPr>
        <w:tab/>
      </w:r>
      <w:r w:rsidR="0071167F">
        <w:rPr>
          <w:sz w:val="26"/>
          <w:szCs w:val="26"/>
        </w:rPr>
        <w:t xml:space="preserve">In </w:t>
      </w:r>
      <w:r w:rsidR="00300A0B">
        <w:rPr>
          <w:sz w:val="26"/>
          <w:szCs w:val="26"/>
        </w:rPr>
        <w:t>her</w:t>
      </w:r>
      <w:r w:rsidR="0071167F">
        <w:rPr>
          <w:sz w:val="26"/>
          <w:szCs w:val="26"/>
        </w:rPr>
        <w:t xml:space="preserve"> Exceptions, the Complainant </w:t>
      </w:r>
      <w:r w:rsidR="00F26398">
        <w:rPr>
          <w:sz w:val="26"/>
          <w:szCs w:val="26"/>
        </w:rPr>
        <w:t>acknowledges that PECO</w:t>
      </w:r>
      <w:r w:rsidR="001F73BC">
        <w:rPr>
          <w:sz w:val="26"/>
          <w:szCs w:val="26"/>
        </w:rPr>
        <w:t>’s</w:t>
      </w:r>
      <w:r w:rsidR="00F26398">
        <w:rPr>
          <w:sz w:val="26"/>
          <w:szCs w:val="26"/>
        </w:rPr>
        <w:t xml:space="preserve"> representatives visited her Service Address but that no one </w:t>
      </w:r>
      <w:r w:rsidR="00683133">
        <w:rPr>
          <w:sz w:val="26"/>
          <w:szCs w:val="26"/>
        </w:rPr>
        <w:t>has addressed</w:t>
      </w:r>
      <w:r w:rsidR="00F26398">
        <w:rPr>
          <w:sz w:val="26"/>
          <w:szCs w:val="26"/>
        </w:rPr>
        <w:t xml:space="preserve"> her high bill problems which she contends have been going on for five to six years.  She also states that no one has mentioned that she heated her home using a gas fire place and never used electricity for heat.  Exc. at 1.  </w:t>
      </w:r>
    </w:p>
    <w:p w:rsidR="001135F8" w:rsidRDefault="00F26398" w:rsidP="001F73BC">
      <w:pPr>
        <w:widowControl/>
        <w:spacing w:line="360" w:lineRule="auto"/>
        <w:ind w:firstLine="1440"/>
        <w:rPr>
          <w:sz w:val="26"/>
          <w:szCs w:val="26"/>
        </w:rPr>
      </w:pPr>
      <w:r>
        <w:rPr>
          <w:sz w:val="26"/>
          <w:szCs w:val="26"/>
        </w:rPr>
        <w:lastRenderedPageBreak/>
        <w:t xml:space="preserve">Regarding her failure to attend the hearing, Ms. Santore Smith argues that she had the flu and that she “called your office and also sent a letter.”  </w:t>
      </w:r>
      <w:r w:rsidR="001F73BC">
        <w:rPr>
          <w:i/>
          <w:sz w:val="26"/>
          <w:szCs w:val="26"/>
        </w:rPr>
        <w:t xml:space="preserve">Id. </w:t>
      </w:r>
      <w:r w:rsidR="001F73BC">
        <w:rPr>
          <w:sz w:val="26"/>
          <w:szCs w:val="26"/>
        </w:rPr>
        <w:t>at 2.</w:t>
      </w:r>
    </w:p>
    <w:p w:rsidR="001F73BC" w:rsidRDefault="001F73BC" w:rsidP="001F73BC">
      <w:pPr>
        <w:widowControl/>
        <w:spacing w:line="360" w:lineRule="auto"/>
        <w:ind w:firstLine="1440"/>
        <w:rPr>
          <w:sz w:val="26"/>
          <w:szCs w:val="26"/>
        </w:rPr>
      </w:pPr>
    </w:p>
    <w:p w:rsidR="00E06480" w:rsidRDefault="00D74907" w:rsidP="00E84991">
      <w:pPr>
        <w:widowControl/>
        <w:spacing w:line="360" w:lineRule="auto"/>
        <w:ind w:firstLine="1440"/>
        <w:rPr>
          <w:sz w:val="26"/>
          <w:szCs w:val="26"/>
        </w:rPr>
      </w:pPr>
      <w:r>
        <w:rPr>
          <w:sz w:val="26"/>
          <w:szCs w:val="26"/>
        </w:rPr>
        <w:t xml:space="preserve">In its Replies to Exceptions, PECO </w:t>
      </w:r>
      <w:r w:rsidR="001F73BC">
        <w:rPr>
          <w:sz w:val="26"/>
          <w:szCs w:val="26"/>
        </w:rPr>
        <w:t>asserts</w:t>
      </w:r>
      <w:r w:rsidR="00E15860">
        <w:rPr>
          <w:sz w:val="26"/>
          <w:szCs w:val="26"/>
        </w:rPr>
        <w:t xml:space="preserve"> that </w:t>
      </w:r>
      <w:r w:rsidR="004E2C79">
        <w:rPr>
          <w:sz w:val="26"/>
          <w:szCs w:val="26"/>
        </w:rPr>
        <w:t xml:space="preserve">the </w:t>
      </w:r>
      <w:r w:rsidR="001F73BC">
        <w:rPr>
          <w:sz w:val="26"/>
          <w:szCs w:val="26"/>
        </w:rPr>
        <w:t xml:space="preserve">Commission satisfied its due process obligations by providing notice of the hearing to the Complainant.  The failure of Ms. Santore Smith to attend the hearing, PECO argues, constituted a waiver of the opportunity to participate.  Citing to Section 332(f) of the Code, the Respondent avers that the </w:t>
      </w:r>
      <w:r w:rsidR="004E2C79">
        <w:rPr>
          <w:sz w:val="26"/>
          <w:szCs w:val="26"/>
        </w:rPr>
        <w:t>Complainant</w:t>
      </w:r>
      <w:r w:rsidR="001F73BC">
        <w:rPr>
          <w:sz w:val="26"/>
          <w:szCs w:val="26"/>
        </w:rPr>
        <w:t xml:space="preserve"> cannot reopen the record without proof that her failure to appear was unavoidable and that the interests of PECO and the public interest will not be prejudiced.   </w:t>
      </w:r>
      <w:r w:rsidR="00E06480">
        <w:rPr>
          <w:sz w:val="26"/>
          <w:szCs w:val="26"/>
        </w:rPr>
        <w:t>R. Exc. at 2-3.</w:t>
      </w:r>
    </w:p>
    <w:p w:rsidR="00E06480" w:rsidRDefault="00E06480" w:rsidP="00E84991">
      <w:pPr>
        <w:widowControl/>
        <w:spacing w:line="360" w:lineRule="auto"/>
        <w:ind w:firstLine="1440"/>
        <w:rPr>
          <w:sz w:val="26"/>
          <w:szCs w:val="26"/>
        </w:rPr>
      </w:pPr>
    </w:p>
    <w:p w:rsidR="004210DA" w:rsidRPr="00A56E16" w:rsidRDefault="00E84991" w:rsidP="00A56E16">
      <w:pPr>
        <w:widowControl/>
        <w:spacing w:line="360" w:lineRule="auto"/>
        <w:ind w:firstLine="1440"/>
        <w:rPr>
          <w:sz w:val="26"/>
          <w:szCs w:val="26"/>
        </w:rPr>
      </w:pPr>
      <w:r>
        <w:rPr>
          <w:sz w:val="26"/>
          <w:szCs w:val="26"/>
        </w:rPr>
        <w:t>Additionally, PECO states that the Complainant’s purported justification for failing to attend (</w:t>
      </w:r>
      <w:r w:rsidRPr="00E84991">
        <w:rPr>
          <w:i/>
          <w:sz w:val="26"/>
          <w:szCs w:val="26"/>
        </w:rPr>
        <w:t>i.e.</w:t>
      </w:r>
      <w:r>
        <w:rPr>
          <w:sz w:val="26"/>
          <w:szCs w:val="26"/>
        </w:rPr>
        <w:t>, the flu) does not satisfy th</w:t>
      </w:r>
      <w:r w:rsidR="00E06480">
        <w:rPr>
          <w:sz w:val="26"/>
          <w:szCs w:val="26"/>
        </w:rPr>
        <w:t xml:space="preserve">e heightened standard under Section 332(f) of the Code.  The Respondent alleges that the ALJ did not receive a letter or call to presumably request a continuance.  Further, PECO notes that the Complainant did not attach a copy of a letter or telephone record to substantiate her contention that she requested a continuance.  Moreover, the Respondent asserts, the Exceptions indicate that the Complainant knew about the hearing in advance and had ample time to inform the Commission and PECO that she would need a continuance.  Finally, PECO argues it </w:t>
      </w:r>
      <w:r w:rsidR="004D2210">
        <w:rPr>
          <w:sz w:val="26"/>
          <w:szCs w:val="26"/>
        </w:rPr>
        <w:t xml:space="preserve">would be prejudicial </w:t>
      </w:r>
      <w:r w:rsidR="00B2064A">
        <w:rPr>
          <w:sz w:val="26"/>
          <w:szCs w:val="26"/>
        </w:rPr>
        <w:t xml:space="preserve">to require the Respondent </w:t>
      </w:r>
      <w:r w:rsidR="004D2210">
        <w:rPr>
          <w:sz w:val="26"/>
          <w:szCs w:val="26"/>
        </w:rPr>
        <w:t xml:space="preserve">to expend </w:t>
      </w:r>
      <w:r w:rsidR="00E06480">
        <w:rPr>
          <w:sz w:val="26"/>
          <w:szCs w:val="26"/>
        </w:rPr>
        <w:t xml:space="preserve">resources to prepare for another hearing and that </w:t>
      </w:r>
      <w:r w:rsidR="00F55738">
        <w:rPr>
          <w:sz w:val="26"/>
          <w:szCs w:val="26"/>
        </w:rPr>
        <w:t>the Commission</w:t>
      </w:r>
      <w:r w:rsidR="00F85324">
        <w:rPr>
          <w:sz w:val="26"/>
          <w:szCs w:val="26"/>
        </w:rPr>
        <w:t xml:space="preserve"> </w:t>
      </w:r>
      <w:r w:rsidR="00F55738">
        <w:rPr>
          <w:sz w:val="26"/>
          <w:szCs w:val="26"/>
        </w:rPr>
        <w:t xml:space="preserve">would be prejudiced by the Complainant’s </w:t>
      </w:r>
      <w:r w:rsidR="00E06480">
        <w:rPr>
          <w:sz w:val="26"/>
          <w:szCs w:val="26"/>
        </w:rPr>
        <w:t xml:space="preserve">wasteful use of the resources.  R. Exc. at 3-4.  </w:t>
      </w:r>
    </w:p>
    <w:p w:rsidR="00DB44D9" w:rsidRPr="00A23FC4" w:rsidRDefault="00DB44D9" w:rsidP="00DB44D9">
      <w:pPr>
        <w:widowControl/>
        <w:spacing w:line="360" w:lineRule="auto"/>
        <w:ind w:firstLine="720"/>
        <w:rPr>
          <w:sz w:val="26"/>
          <w:szCs w:val="26"/>
        </w:rPr>
      </w:pPr>
    </w:p>
    <w:p w:rsidR="00DB44D9" w:rsidRPr="00C53C04" w:rsidRDefault="00DB44D9" w:rsidP="00574222">
      <w:pPr>
        <w:keepNext/>
        <w:widowControl/>
        <w:spacing w:line="360" w:lineRule="auto"/>
        <w:rPr>
          <w:sz w:val="26"/>
          <w:szCs w:val="26"/>
        </w:rPr>
      </w:pPr>
      <w:r w:rsidRPr="00C53C04">
        <w:rPr>
          <w:b/>
          <w:sz w:val="26"/>
          <w:szCs w:val="26"/>
        </w:rPr>
        <w:t>Disposition</w:t>
      </w:r>
    </w:p>
    <w:p w:rsidR="00DB44D9" w:rsidRPr="00C53C04" w:rsidRDefault="00DB44D9" w:rsidP="00DB44D9">
      <w:pPr>
        <w:keepNext/>
        <w:widowControl/>
        <w:spacing w:line="360" w:lineRule="auto"/>
        <w:ind w:firstLine="1440"/>
        <w:rPr>
          <w:sz w:val="26"/>
          <w:szCs w:val="26"/>
        </w:rPr>
      </w:pPr>
    </w:p>
    <w:p w:rsidR="00067F23" w:rsidRDefault="00F1361C" w:rsidP="004D2210">
      <w:pPr>
        <w:widowControl/>
        <w:spacing w:line="360" w:lineRule="auto"/>
        <w:rPr>
          <w:sz w:val="26"/>
          <w:szCs w:val="26"/>
        </w:rPr>
      </w:pPr>
      <w:r>
        <w:rPr>
          <w:sz w:val="26"/>
          <w:szCs w:val="26"/>
        </w:rPr>
        <w:tab/>
      </w:r>
      <w:r>
        <w:rPr>
          <w:sz w:val="26"/>
          <w:szCs w:val="26"/>
        </w:rPr>
        <w:tab/>
      </w:r>
      <w:r w:rsidR="00075131">
        <w:rPr>
          <w:sz w:val="26"/>
          <w:szCs w:val="26"/>
        </w:rPr>
        <w:t xml:space="preserve"> </w:t>
      </w:r>
      <w:r w:rsidR="00D96046" w:rsidRPr="005437CB">
        <w:rPr>
          <w:sz w:val="26"/>
          <w:szCs w:val="26"/>
        </w:rPr>
        <w:t>Based on our review of the record</w:t>
      </w:r>
      <w:r w:rsidR="00D96046">
        <w:rPr>
          <w:sz w:val="26"/>
          <w:szCs w:val="26"/>
        </w:rPr>
        <w:t xml:space="preserve"> and</w:t>
      </w:r>
      <w:r w:rsidR="00D96046" w:rsidRPr="005437CB">
        <w:rPr>
          <w:sz w:val="26"/>
          <w:szCs w:val="26"/>
        </w:rPr>
        <w:t xml:space="preserve"> the Exceptions and Replies to Exceptions, we shall deny the Complainant’s Exceptions.  We find that the ALJ properly dismissed the Complaint with prejudice based on the Complainant’s failure to appear for the scheduled hearing.  </w:t>
      </w:r>
    </w:p>
    <w:p w:rsidR="00D96046" w:rsidRDefault="00D96046" w:rsidP="004D2210">
      <w:pPr>
        <w:widowControl/>
        <w:spacing w:line="360" w:lineRule="auto"/>
        <w:rPr>
          <w:sz w:val="26"/>
          <w:szCs w:val="26"/>
        </w:rPr>
      </w:pPr>
      <w:r>
        <w:rPr>
          <w:sz w:val="26"/>
          <w:szCs w:val="26"/>
        </w:rPr>
        <w:lastRenderedPageBreak/>
        <w:tab/>
      </w:r>
      <w:r>
        <w:rPr>
          <w:sz w:val="26"/>
          <w:szCs w:val="26"/>
        </w:rPr>
        <w:tab/>
        <w:t xml:space="preserve">Preliminarily, we will address the Complainant’s </w:t>
      </w:r>
      <w:r w:rsidR="00E51562">
        <w:rPr>
          <w:sz w:val="26"/>
          <w:szCs w:val="26"/>
        </w:rPr>
        <w:t xml:space="preserve">apparent </w:t>
      </w:r>
      <w:r>
        <w:rPr>
          <w:sz w:val="26"/>
          <w:szCs w:val="26"/>
        </w:rPr>
        <w:t xml:space="preserve">contention that she requested a continuance by calling the Commission and sending a letter.  Exc. at 2.  </w:t>
      </w:r>
    </w:p>
    <w:p w:rsidR="00D96046" w:rsidRDefault="00D96046" w:rsidP="004D2210">
      <w:pPr>
        <w:widowControl/>
        <w:spacing w:line="360" w:lineRule="auto"/>
        <w:rPr>
          <w:sz w:val="26"/>
          <w:szCs w:val="26"/>
        </w:rPr>
      </w:pPr>
    </w:p>
    <w:p w:rsidR="00D96046" w:rsidRPr="00D96046" w:rsidRDefault="00D96046" w:rsidP="00D96046">
      <w:pPr>
        <w:tabs>
          <w:tab w:val="left" w:pos="0"/>
        </w:tabs>
        <w:spacing w:line="360" w:lineRule="auto"/>
        <w:ind w:firstLine="1440"/>
        <w:rPr>
          <w:sz w:val="26"/>
          <w:szCs w:val="24"/>
        </w:rPr>
      </w:pPr>
      <w:r w:rsidRPr="00D96046">
        <w:rPr>
          <w:sz w:val="26"/>
          <w:szCs w:val="24"/>
        </w:rPr>
        <w:t>Our Regulation at 52 Pa. Code § 1.15(b) provides, in pertinent part:</w:t>
      </w:r>
    </w:p>
    <w:p w:rsidR="00D96046" w:rsidRPr="00D96046" w:rsidRDefault="00D96046" w:rsidP="00D96046">
      <w:pPr>
        <w:widowControl/>
        <w:ind w:left="1440" w:right="1440"/>
        <w:rPr>
          <w:sz w:val="26"/>
          <w:szCs w:val="26"/>
        </w:rPr>
      </w:pPr>
    </w:p>
    <w:p w:rsidR="00D96046" w:rsidRDefault="00D96046" w:rsidP="00D96046">
      <w:pPr>
        <w:widowControl/>
        <w:ind w:left="1440" w:right="1440"/>
        <w:rPr>
          <w:sz w:val="26"/>
          <w:szCs w:val="26"/>
        </w:rPr>
      </w:pPr>
      <w:r w:rsidRPr="00D96046">
        <w:rPr>
          <w:sz w:val="26"/>
          <w:szCs w:val="26"/>
        </w:rPr>
        <w:t>(b)  Except as otherwise provided by statute, requests for continuance of hearings . . . shall be by motion in writing, timely filed with the Commission, stating the facts on which the application rests, except that during the course of a proceeding, the requests may be made by oral motion in the hearing before the Commission or the presiding officer.  Only for good cause shown will requests for continuance be considered.  The requests for a continuance should be filed at least 5 days prior to the hearing date.</w:t>
      </w:r>
    </w:p>
    <w:p w:rsidR="00506975" w:rsidRDefault="00506975" w:rsidP="007559E5">
      <w:pPr>
        <w:widowControl/>
        <w:spacing w:line="360" w:lineRule="auto"/>
        <w:rPr>
          <w:sz w:val="26"/>
          <w:szCs w:val="26"/>
        </w:rPr>
      </w:pPr>
    </w:p>
    <w:p w:rsidR="00D96046" w:rsidRDefault="00D96046" w:rsidP="007559E5">
      <w:pPr>
        <w:widowControl/>
        <w:spacing w:line="360" w:lineRule="auto"/>
        <w:rPr>
          <w:sz w:val="26"/>
          <w:szCs w:val="26"/>
        </w:rPr>
      </w:pPr>
      <w:r>
        <w:rPr>
          <w:sz w:val="26"/>
          <w:szCs w:val="26"/>
        </w:rPr>
        <w:tab/>
      </w:r>
      <w:r>
        <w:rPr>
          <w:sz w:val="26"/>
          <w:szCs w:val="26"/>
        </w:rPr>
        <w:tab/>
        <w:t>Here, the ALJ acknowledge</w:t>
      </w:r>
      <w:r w:rsidR="00E51562">
        <w:rPr>
          <w:sz w:val="26"/>
          <w:szCs w:val="26"/>
        </w:rPr>
        <w:t>d</w:t>
      </w:r>
      <w:r>
        <w:rPr>
          <w:sz w:val="26"/>
          <w:szCs w:val="26"/>
        </w:rPr>
        <w:t xml:space="preserve"> that the Complainant called to request a continuance and was advised to provide written documentation to explain why sh</w:t>
      </w:r>
      <w:r w:rsidR="00A52C78">
        <w:rPr>
          <w:sz w:val="26"/>
          <w:szCs w:val="26"/>
        </w:rPr>
        <w:t>e</w:t>
      </w:r>
      <w:r>
        <w:rPr>
          <w:sz w:val="26"/>
          <w:szCs w:val="26"/>
        </w:rPr>
        <w:t xml:space="preserve"> could not attend the hearing.  According to the ALJ, Ms. Santore Smith did not submit anything to support this oral request for a continuance.  I.D. at 2.  </w:t>
      </w:r>
      <w:r w:rsidR="00E23B42">
        <w:rPr>
          <w:sz w:val="26"/>
          <w:szCs w:val="26"/>
        </w:rPr>
        <w:t>T</w:t>
      </w:r>
      <w:r w:rsidR="00A52C78">
        <w:rPr>
          <w:sz w:val="26"/>
          <w:szCs w:val="26"/>
        </w:rPr>
        <w:t>he record does not contain a copy of the letter mentioned in her Exception.</w:t>
      </w:r>
    </w:p>
    <w:p w:rsidR="00A52C78" w:rsidRDefault="00A52C78" w:rsidP="007559E5">
      <w:pPr>
        <w:widowControl/>
        <w:spacing w:line="360" w:lineRule="auto"/>
        <w:rPr>
          <w:sz w:val="26"/>
          <w:szCs w:val="26"/>
        </w:rPr>
      </w:pPr>
    </w:p>
    <w:p w:rsidR="00A52C78" w:rsidRDefault="00A52C78" w:rsidP="007559E5">
      <w:pPr>
        <w:widowControl/>
        <w:spacing w:line="360" w:lineRule="auto"/>
        <w:rPr>
          <w:sz w:val="26"/>
          <w:szCs w:val="26"/>
        </w:rPr>
      </w:pPr>
      <w:r>
        <w:rPr>
          <w:sz w:val="26"/>
          <w:szCs w:val="26"/>
        </w:rPr>
        <w:tab/>
      </w:r>
      <w:r>
        <w:rPr>
          <w:sz w:val="26"/>
          <w:szCs w:val="26"/>
        </w:rPr>
        <w:tab/>
        <w:t xml:space="preserve">Under the circumstances, and in the absence of any supporting information to evaluate whether there was </w:t>
      </w:r>
      <w:r w:rsidR="00683133">
        <w:rPr>
          <w:sz w:val="26"/>
          <w:szCs w:val="26"/>
        </w:rPr>
        <w:t xml:space="preserve">an attempt to show </w:t>
      </w:r>
      <w:r>
        <w:rPr>
          <w:sz w:val="26"/>
          <w:szCs w:val="26"/>
        </w:rPr>
        <w:t xml:space="preserve">good cause to grant a continuance, we are constrained to find that the Complainant did not satisfy the requirements for obtaining a continuance of the hearing.  </w:t>
      </w:r>
      <w:r w:rsidR="00570B1A">
        <w:rPr>
          <w:sz w:val="26"/>
          <w:szCs w:val="26"/>
        </w:rPr>
        <w:t>Accordingly, it was proper for the ALJ to conduct the hearing as scheduled.</w:t>
      </w:r>
    </w:p>
    <w:p w:rsidR="00570B1A" w:rsidRDefault="00570B1A" w:rsidP="007559E5">
      <w:pPr>
        <w:widowControl/>
        <w:spacing w:line="360" w:lineRule="auto"/>
        <w:rPr>
          <w:sz w:val="26"/>
          <w:szCs w:val="26"/>
        </w:rPr>
      </w:pPr>
    </w:p>
    <w:p w:rsidR="004339EF" w:rsidRDefault="00570B1A" w:rsidP="004339EF">
      <w:pPr>
        <w:widowControl/>
        <w:spacing w:line="360" w:lineRule="auto"/>
        <w:rPr>
          <w:sz w:val="26"/>
          <w:szCs w:val="24"/>
        </w:rPr>
      </w:pPr>
      <w:r>
        <w:rPr>
          <w:sz w:val="26"/>
          <w:szCs w:val="26"/>
        </w:rPr>
        <w:tab/>
      </w:r>
      <w:r>
        <w:rPr>
          <w:sz w:val="26"/>
          <w:szCs w:val="26"/>
        </w:rPr>
        <w:tab/>
      </w:r>
      <w:r>
        <w:rPr>
          <w:sz w:val="26"/>
        </w:rPr>
        <w:t>Here, the Complainant does not dispute being notified about the scheduled hearing on January 12, 2015.</w:t>
      </w:r>
      <w:r w:rsidR="009E2A37">
        <w:rPr>
          <w:sz w:val="26"/>
          <w:szCs w:val="26"/>
        </w:rPr>
        <w:t xml:space="preserve">  </w:t>
      </w:r>
      <w:r w:rsidR="009E2A37" w:rsidRPr="009E2A37">
        <w:rPr>
          <w:sz w:val="26"/>
          <w:szCs w:val="24"/>
        </w:rPr>
        <w:t xml:space="preserve">By failing to attend the hearing, the Complainant is deemed to have waived the opportunity to participate and advance </w:t>
      </w:r>
      <w:r w:rsidR="009E2A37">
        <w:rPr>
          <w:sz w:val="26"/>
          <w:szCs w:val="24"/>
        </w:rPr>
        <w:t>her</w:t>
      </w:r>
      <w:r w:rsidR="009E2A37" w:rsidRPr="009E2A37">
        <w:rPr>
          <w:sz w:val="26"/>
          <w:szCs w:val="24"/>
        </w:rPr>
        <w:t xml:space="preserve"> Complaint.  In order to overcome this waiver, the Complainant must show that the failure to attend was unavoidable and that the interests of the other parties and the public would not be </w:t>
      </w:r>
      <w:r w:rsidR="009E2A37" w:rsidRPr="009E2A37">
        <w:rPr>
          <w:sz w:val="26"/>
          <w:szCs w:val="24"/>
        </w:rPr>
        <w:lastRenderedPageBreak/>
        <w:t xml:space="preserve">prejudiced by permitting the reopening of the case.  </w:t>
      </w:r>
      <w:r w:rsidR="009E2A37">
        <w:rPr>
          <w:sz w:val="26"/>
          <w:szCs w:val="24"/>
        </w:rPr>
        <w:t>The Exceptions do not address any of the factors necessary to overcome this waiver.</w:t>
      </w:r>
    </w:p>
    <w:p w:rsidR="00E51562" w:rsidRDefault="00E51562" w:rsidP="004339EF">
      <w:pPr>
        <w:widowControl/>
        <w:spacing w:line="360" w:lineRule="auto"/>
        <w:rPr>
          <w:sz w:val="26"/>
          <w:szCs w:val="24"/>
        </w:rPr>
      </w:pPr>
    </w:p>
    <w:p w:rsidR="00E51562" w:rsidRDefault="004339EF" w:rsidP="00E51562">
      <w:pPr>
        <w:widowControl/>
        <w:spacing w:line="360" w:lineRule="auto"/>
        <w:ind w:firstLine="1440"/>
        <w:rPr>
          <w:sz w:val="26"/>
          <w:szCs w:val="26"/>
        </w:rPr>
      </w:pPr>
      <w:r>
        <w:rPr>
          <w:sz w:val="26"/>
          <w:szCs w:val="24"/>
        </w:rPr>
        <w:t xml:space="preserve">In particular, the Complainant does not </w:t>
      </w:r>
      <w:r w:rsidR="00683133">
        <w:rPr>
          <w:sz w:val="26"/>
          <w:szCs w:val="24"/>
        </w:rPr>
        <w:t>discuss</w:t>
      </w:r>
      <w:r w:rsidR="009E2A37" w:rsidRPr="009E2A37">
        <w:rPr>
          <w:sz w:val="26"/>
          <w:szCs w:val="24"/>
        </w:rPr>
        <w:t xml:space="preserve"> the issue of lack of prejudice to the public or to Respondent.  We are of the opinion that </w:t>
      </w:r>
      <w:r w:rsidR="00683133">
        <w:rPr>
          <w:sz w:val="26"/>
          <w:szCs w:val="24"/>
        </w:rPr>
        <w:t xml:space="preserve">it </w:t>
      </w:r>
      <w:r w:rsidR="009E2A37" w:rsidRPr="009E2A37">
        <w:rPr>
          <w:sz w:val="26"/>
          <w:szCs w:val="24"/>
        </w:rPr>
        <w:t>would not serve the public interest</w:t>
      </w:r>
      <w:r w:rsidR="00683133">
        <w:rPr>
          <w:sz w:val="26"/>
          <w:szCs w:val="24"/>
        </w:rPr>
        <w:t xml:space="preserve"> to remand the case for further proceedings</w:t>
      </w:r>
      <w:r w:rsidR="009E2A37" w:rsidRPr="009E2A37">
        <w:rPr>
          <w:sz w:val="26"/>
          <w:szCs w:val="24"/>
        </w:rPr>
        <w:t xml:space="preserve">, as it would require the further expenditure of administrative and judicial resources.  Further, we believe that the interests of PECO would be prejudiced by giving the Complainant </w:t>
      </w:r>
      <w:r>
        <w:rPr>
          <w:sz w:val="26"/>
          <w:szCs w:val="24"/>
        </w:rPr>
        <w:t>a second</w:t>
      </w:r>
      <w:r w:rsidR="009E2A37" w:rsidRPr="009E2A37">
        <w:rPr>
          <w:sz w:val="26"/>
          <w:szCs w:val="24"/>
        </w:rPr>
        <w:t xml:space="preserve"> opportunity to present </w:t>
      </w:r>
      <w:r>
        <w:rPr>
          <w:sz w:val="26"/>
          <w:szCs w:val="24"/>
        </w:rPr>
        <w:t>her</w:t>
      </w:r>
      <w:r w:rsidR="009E2A37" w:rsidRPr="009E2A37">
        <w:rPr>
          <w:sz w:val="26"/>
          <w:szCs w:val="24"/>
        </w:rPr>
        <w:t xml:space="preserve"> case.  </w:t>
      </w:r>
      <w:r>
        <w:rPr>
          <w:sz w:val="26"/>
          <w:szCs w:val="24"/>
        </w:rPr>
        <w:t xml:space="preserve"> We acknowledge that </w:t>
      </w:r>
      <w:r w:rsidR="009E2A37" w:rsidRPr="009E2A37">
        <w:rPr>
          <w:sz w:val="26"/>
          <w:szCs w:val="24"/>
        </w:rPr>
        <w:t>PECO’s</w:t>
      </w:r>
      <w:r>
        <w:rPr>
          <w:sz w:val="26"/>
          <w:szCs w:val="24"/>
        </w:rPr>
        <w:t xml:space="preserve"> c</w:t>
      </w:r>
      <w:r w:rsidR="009E2A37" w:rsidRPr="009E2A37">
        <w:rPr>
          <w:sz w:val="26"/>
          <w:szCs w:val="24"/>
        </w:rPr>
        <w:t>ounsel</w:t>
      </w:r>
      <w:r>
        <w:rPr>
          <w:sz w:val="26"/>
          <w:szCs w:val="24"/>
        </w:rPr>
        <w:t xml:space="preserve"> and two</w:t>
      </w:r>
      <w:r w:rsidR="009E2A37" w:rsidRPr="009E2A37">
        <w:rPr>
          <w:sz w:val="26"/>
          <w:szCs w:val="24"/>
        </w:rPr>
        <w:t xml:space="preserve"> witness</w:t>
      </w:r>
      <w:r>
        <w:rPr>
          <w:sz w:val="26"/>
          <w:szCs w:val="24"/>
        </w:rPr>
        <w:t>es</w:t>
      </w:r>
      <w:r w:rsidR="009E2A37" w:rsidRPr="009E2A37">
        <w:rPr>
          <w:sz w:val="26"/>
          <w:szCs w:val="24"/>
        </w:rPr>
        <w:t xml:space="preserve"> were present on the date of the scheduled hearing in this proceeding and were prepared to proceed.  </w:t>
      </w:r>
      <w:r>
        <w:rPr>
          <w:sz w:val="26"/>
          <w:szCs w:val="24"/>
        </w:rPr>
        <w:t xml:space="preserve"> Therefore, w</w:t>
      </w:r>
      <w:r w:rsidR="009E2A37" w:rsidRPr="009E2A37">
        <w:rPr>
          <w:sz w:val="26"/>
          <w:szCs w:val="26"/>
        </w:rPr>
        <w:t xml:space="preserve">e agree with the ALJ that, by failing to appear </w:t>
      </w:r>
      <w:r>
        <w:rPr>
          <w:sz w:val="26"/>
          <w:szCs w:val="26"/>
        </w:rPr>
        <w:t xml:space="preserve">at the hearing </w:t>
      </w:r>
      <w:r w:rsidR="009E2A37" w:rsidRPr="009E2A37">
        <w:rPr>
          <w:sz w:val="26"/>
          <w:szCs w:val="26"/>
        </w:rPr>
        <w:t xml:space="preserve">the Complainant waived </w:t>
      </w:r>
      <w:r>
        <w:rPr>
          <w:sz w:val="26"/>
          <w:szCs w:val="26"/>
        </w:rPr>
        <w:t>her</w:t>
      </w:r>
      <w:r w:rsidR="009E2A37" w:rsidRPr="009E2A37">
        <w:rPr>
          <w:sz w:val="26"/>
          <w:szCs w:val="26"/>
        </w:rPr>
        <w:t xml:space="preserve"> opportunity to participate in the hearing and failed to meet </w:t>
      </w:r>
      <w:r w:rsidR="00A93316">
        <w:rPr>
          <w:sz w:val="26"/>
          <w:szCs w:val="26"/>
        </w:rPr>
        <w:t>her</w:t>
      </w:r>
      <w:r w:rsidR="009E2A37" w:rsidRPr="009E2A37">
        <w:rPr>
          <w:sz w:val="26"/>
          <w:szCs w:val="26"/>
        </w:rPr>
        <w:t xml:space="preserve"> burden of proof.</w:t>
      </w:r>
      <w:r>
        <w:rPr>
          <w:sz w:val="26"/>
          <w:szCs w:val="26"/>
        </w:rPr>
        <w:t xml:space="preserve">  </w:t>
      </w:r>
    </w:p>
    <w:p w:rsidR="00E51562" w:rsidRDefault="00E51562" w:rsidP="00E51562">
      <w:pPr>
        <w:widowControl/>
        <w:spacing w:line="360" w:lineRule="auto"/>
        <w:ind w:firstLine="1440"/>
        <w:rPr>
          <w:sz w:val="26"/>
          <w:szCs w:val="26"/>
        </w:rPr>
      </w:pPr>
    </w:p>
    <w:p w:rsidR="003D333E" w:rsidRDefault="003D333E" w:rsidP="00E51562">
      <w:pPr>
        <w:widowControl/>
        <w:spacing w:line="360" w:lineRule="auto"/>
        <w:ind w:firstLine="1440"/>
        <w:rPr>
          <w:sz w:val="26"/>
          <w:szCs w:val="26"/>
        </w:rPr>
      </w:pPr>
      <w:r>
        <w:rPr>
          <w:sz w:val="26"/>
          <w:szCs w:val="26"/>
        </w:rPr>
        <w:t>O</w:t>
      </w:r>
      <w:r w:rsidRPr="00DC4595">
        <w:rPr>
          <w:sz w:val="26"/>
          <w:szCs w:val="26"/>
        </w:rPr>
        <w:t>ut of concern fo</w:t>
      </w:r>
      <w:r>
        <w:rPr>
          <w:sz w:val="26"/>
          <w:szCs w:val="26"/>
        </w:rPr>
        <w:t xml:space="preserve">r the waste of the Commission’s (and </w:t>
      </w:r>
      <w:r w:rsidR="00857AC2">
        <w:rPr>
          <w:sz w:val="26"/>
          <w:szCs w:val="26"/>
        </w:rPr>
        <w:t>r</w:t>
      </w:r>
      <w:r>
        <w:rPr>
          <w:sz w:val="26"/>
          <w:szCs w:val="26"/>
        </w:rPr>
        <w:t>espondent</w:t>
      </w:r>
      <w:r w:rsidRPr="00DC4595">
        <w:rPr>
          <w:sz w:val="26"/>
          <w:szCs w:val="26"/>
        </w:rPr>
        <w:t>s</w:t>
      </w:r>
      <w:r>
        <w:rPr>
          <w:sz w:val="26"/>
          <w:szCs w:val="26"/>
        </w:rPr>
        <w:t>’</w:t>
      </w:r>
      <w:r w:rsidRPr="00DC4595">
        <w:rPr>
          <w:sz w:val="26"/>
          <w:szCs w:val="26"/>
        </w:rPr>
        <w:t>)</w:t>
      </w:r>
      <w:r>
        <w:rPr>
          <w:sz w:val="26"/>
          <w:szCs w:val="26"/>
        </w:rPr>
        <w:t xml:space="preserve"> time and resources, we have</w:t>
      </w:r>
      <w:r w:rsidRPr="00DC4595">
        <w:rPr>
          <w:sz w:val="26"/>
          <w:szCs w:val="26"/>
        </w:rPr>
        <w:t xml:space="preserve">, on many occasions, dismissed </w:t>
      </w:r>
      <w:r w:rsidRPr="00DC4595">
        <w:rPr>
          <w:i/>
          <w:sz w:val="26"/>
          <w:szCs w:val="26"/>
        </w:rPr>
        <w:t>pro se</w:t>
      </w:r>
      <w:r w:rsidRPr="00DC4595">
        <w:rPr>
          <w:sz w:val="26"/>
          <w:szCs w:val="26"/>
        </w:rPr>
        <w:t xml:space="preserve"> complaints with prejudice </w:t>
      </w:r>
      <w:r>
        <w:rPr>
          <w:sz w:val="26"/>
          <w:szCs w:val="26"/>
        </w:rPr>
        <w:t xml:space="preserve">for failure to </w:t>
      </w:r>
      <w:r w:rsidRPr="00DC4595">
        <w:rPr>
          <w:sz w:val="26"/>
          <w:szCs w:val="26"/>
        </w:rPr>
        <w:t xml:space="preserve">appear at a hearing.  </w:t>
      </w:r>
      <w:r>
        <w:rPr>
          <w:i/>
          <w:sz w:val="26"/>
          <w:szCs w:val="26"/>
        </w:rPr>
        <w:t xml:space="preserve">See, e.g., Marilyn Day v. PECO Energy </w:t>
      </w:r>
      <w:r w:rsidRPr="00AD7E00">
        <w:rPr>
          <w:i/>
          <w:sz w:val="26"/>
          <w:szCs w:val="26"/>
        </w:rPr>
        <w:t>Company</w:t>
      </w:r>
      <w:r>
        <w:rPr>
          <w:sz w:val="26"/>
          <w:szCs w:val="26"/>
        </w:rPr>
        <w:t xml:space="preserve">, Docket No. </w:t>
      </w:r>
      <w:r w:rsidR="00FD169F">
        <w:rPr>
          <w:sz w:val="26"/>
          <w:szCs w:val="26"/>
        </w:rPr>
        <w:t>C-</w:t>
      </w:r>
      <w:r>
        <w:rPr>
          <w:sz w:val="26"/>
          <w:szCs w:val="26"/>
        </w:rPr>
        <w:t>2010-2181515 (Order entered June 10, 2011); and</w:t>
      </w:r>
      <w:r>
        <w:rPr>
          <w:i/>
          <w:sz w:val="26"/>
          <w:szCs w:val="26"/>
        </w:rPr>
        <w:t xml:space="preserve"> </w:t>
      </w:r>
      <w:r w:rsidRPr="00AD7E00">
        <w:rPr>
          <w:i/>
          <w:sz w:val="26"/>
          <w:szCs w:val="26"/>
        </w:rPr>
        <w:t>Patricia</w:t>
      </w:r>
      <w:r>
        <w:rPr>
          <w:i/>
          <w:sz w:val="26"/>
          <w:szCs w:val="26"/>
        </w:rPr>
        <w:t xml:space="preserve"> Geary v. Verizon Pennsylvania, Inc.</w:t>
      </w:r>
      <w:r>
        <w:rPr>
          <w:sz w:val="26"/>
          <w:szCs w:val="26"/>
        </w:rPr>
        <w:t>, Docket No. C-2009-2118625 (</w:t>
      </w:r>
      <w:r w:rsidRPr="0079391F">
        <w:rPr>
          <w:sz w:val="26"/>
          <w:szCs w:val="26"/>
        </w:rPr>
        <w:t>Order entered September 16, 2010</w:t>
      </w:r>
      <w:r>
        <w:rPr>
          <w:sz w:val="26"/>
          <w:szCs w:val="26"/>
        </w:rPr>
        <w:t xml:space="preserve">).  However, we have also declined to dismiss complaints with prejudice if the complainants made good faith attempts to reach their hearings on time.  </w:t>
      </w:r>
      <w:r>
        <w:rPr>
          <w:i/>
          <w:sz w:val="26"/>
          <w:szCs w:val="26"/>
        </w:rPr>
        <w:t>See, e.g., Yomari Then v. Philadelphia Gas Works</w:t>
      </w:r>
      <w:r>
        <w:rPr>
          <w:sz w:val="26"/>
          <w:szCs w:val="26"/>
        </w:rPr>
        <w:t>, Docket No. F-2012-2318</w:t>
      </w:r>
      <w:r w:rsidR="00FD169F">
        <w:rPr>
          <w:sz w:val="26"/>
          <w:szCs w:val="26"/>
        </w:rPr>
        <w:t>264 (Order entered June 13, 2013</w:t>
      </w:r>
      <w:r>
        <w:rPr>
          <w:sz w:val="26"/>
          <w:szCs w:val="26"/>
        </w:rPr>
        <w:t xml:space="preserve">); </w:t>
      </w:r>
      <w:r>
        <w:rPr>
          <w:i/>
          <w:sz w:val="26"/>
          <w:szCs w:val="26"/>
        </w:rPr>
        <w:t>Windell C. Wiggins v. PECO Energy Company</w:t>
      </w:r>
      <w:r>
        <w:rPr>
          <w:sz w:val="26"/>
          <w:szCs w:val="26"/>
        </w:rPr>
        <w:t>, Docket No. C-2010-2190335 (Order entered October 27, 2011); and</w:t>
      </w:r>
      <w:r>
        <w:rPr>
          <w:i/>
          <w:sz w:val="26"/>
          <w:szCs w:val="26"/>
        </w:rPr>
        <w:t xml:space="preserve"> Edward B. Ference v. Equitable Gas Company</w:t>
      </w:r>
      <w:r>
        <w:rPr>
          <w:sz w:val="26"/>
          <w:szCs w:val="26"/>
        </w:rPr>
        <w:t xml:space="preserve">, Docket No. C-20015840 (Order entered February 12, 2002).   </w:t>
      </w:r>
      <w:r w:rsidR="00683133">
        <w:rPr>
          <w:sz w:val="26"/>
          <w:szCs w:val="26"/>
        </w:rPr>
        <w:t>In this matter, t</w:t>
      </w:r>
      <w:r>
        <w:rPr>
          <w:sz w:val="26"/>
          <w:szCs w:val="26"/>
        </w:rPr>
        <w:t xml:space="preserve">here is no indication that the Complainant made a good faith attempt to reach the hearing on January 12, 2015.  Thus, we find no error in the ALJ’s dismissal of the Complaint with prejudice.  </w:t>
      </w:r>
    </w:p>
    <w:p w:rsidR="00DB44D9" w:rsidRPr="00D32C49" w:rsidRDefault="00DB44D9" w:rsidP="003D333E">
      <w:pPr>
        <w:keepNext/>
        <w:widowControl/>
        <w:tabs>
          <w:tab w:val="left" w:pos="-720"/>
        </w:tabs>
        <w:suppressAutoHyphens/>
        <w:spacing w:line="360" w:lineRule="auto"/>
        <w:jc w:val="center"/>
        <w:outlineLvl w:val="1"/>
        <w:rPr>
          <w:sz w:val="26"/>
        </w:rPr>
      </w:pPr>
      <w:r w:rsidRPr="00D32C49">
        <w:rPr>
          <w:b/>
          <w:sz w:val="26"/>
        </w:rPr>
        <w:lastRenderedPageBreak/>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D32C49" w:rsidP="00574222">
      <w:pPr>
        <w:widowControl/>
        <w:tabs>
          <w:tab w:val="left" w:pos="-720"/>
        </w:tabs>
        <w:suppressAutoHyphens/>
        <w:spacing w:line="360" w:lineRule="auto"/>
        <w:ind w:firstLine="1440"/>
        <w:rPr>
          <w:sz w:val="26"/>
        </w:rPr>
      </w:pPr>
      <w:r w:rsidRPr="00D32C49">
        <w:rPr>
          <w:sz w:val="26"/>
        </w:rPr>
        <w:t>In light of the above discussion</w:t>
      </w:r>
      <w:r w:rsidR="00DB44D9" w:rsidRPr="00D32C49">
        <w:rPr>
          <w:sz w:val="26"/>
        </w:rPr>
        <w:t xml:space="preserve">, we shall:  (1) deny the Complainant’s Exceptions; (2) adopt the ALJ’s Initial Decision; </w:t>
      </w:r>
      <w:r w:rsidR="00EC2540">
        <w:rPr>
          <w:sz w:val="26"/>
        </w:rPr>
        <w:t>and (3) dismiss the Complaint,</w:t>
      </w:r>
      <w:r w:rsidR="00857AC2">
        <w:rPr>
          <w:sz w:val="26"/>
        </w:rPr>
        <w:t xml:space="preserve"> with prejudice,</w:t>
      </w:r>
      <w:r w:rsidR="00EC2540">
        <w:rPr>
          <w:sz w:val="26"/>
        </w:rPr>
        <w:t xml:space="preserve"> </w:t>
      </w:r>
      <w:r w:rsidR="00796D03">
        <w:rPr>
          <w:sz w:val="26"/>
        </w:rPr>
        <w:t xml:space="preserve">all consistent with this Opinion and Order. </w:t>
      </w:r>
      <w:r w:rsidR="00DB44D9" w:rsidRPr="00D32C49">
        <w:rPr>
          <w:b/>
          <w:sz w:val="26"/>
        </w:rPr>
        <w:t>THEREFORE,</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by </w:t>
      </w:r>
      <w:r w:rsidR="00A41275">
        <w:rPr>
          <w:sz w:val="26"/>
          <w:szCs w:val="26"/>
        </w:rPr>
        <w:t>Cynthia Santore Smith</w:t>
      </w:r>
      <w:r w:rsidR="00A41275" w:rsidRPr="00DB44D9">
        <w:rPr>
          <w:sz w:val="26"/>
        </w:rPr>
        <w:t xml:space="preserve"> </w:t>
      </w:r>
      <w:r w:rsidR="00D32C49" w:rsidRPr="00D32C49">
        <w:rPr>
          <w:sz w:val="26"/>
        </w:rPr>
        <w:t xml:space="preserve">on </w:t>
      </w:r>
      <w:r w:rsidR="000141BC">
        <w:rPr>
          <w:sz w:val="26"/>
        </w:rPr>
        <w:t>March</w:t>
      </w:r>
      <w:r w:rsidR="00D32C49" w:rsidRPr="00D32C49">
        <w:rPr>
          <w:sz w:val="26"/>
        </w:rPr>
        <w:t xml:space="preserve"> </w:t>
      </w:r>
      <w:r w:rsidR="00A41275">
        <w:rPr>
          <w:sz w:val="26"/>
        </w:rPr>
        <w:t>9</w:t>
      </w:r>
      <w:r w:rsidR="00D32C49" w:rsidRPr="00D32C49">
        <w:rPr>
          <w:sz w:val="26"/>
        </w:rPr>
        <w:t>, 201</w:t>
      </w:r>
      <w:r w:rsidR="000141BC">
        <w:rPr>
          <w:sz w:val="26"/>
        </w:rPr>
        <w:t>5</w:t>
      </w:r>
      <w:r w:rsidRPr="00D32C49">
        <w:rPr>
          <w:sz w:val="26"/>
        </w:rPr>
        <w:t>, to the Initial Decis</w:t>
      </w:r>
      <w:r w:rsidR="00D32C49" w:rsidRPr="00D32C49">
        <w:rPr>
          <w:sz w:val="26"/>
        </w:rPr>
        <w:t>ion of Administrative Law</w:t>
      </w:r>
      <w:r w:rsidR="000141BC">
        <w:rPr>
          <w:sz w:val="26"/>
        </w:rPr>
        <w:t xml:space="preserve"> Judge </w:t>
      </w:r>
      <w:r w:rsidR="00A41275">
        <w:rPr>
          <w:sz w:val="26"/>
        </w:rPr>
        <w:t>Cynthia Williams Fordham</w:t>
      </w:r>
      <w:r w:rsidRPr="00D32C49">
        <w:rPr>
          <w:sz w:val="26"/>
        </w:rPr>
        <w:t>, are denied.</w:t>
      </w:r>
    </w:p>
    <w:p w:rsidR="00DB44D9" w:rsidRPr="00D32C49" w:rsidRDefault="00DB44D9" w:rsidP="00DB44D9">
      <w:pPr>
        <w:widowControl/>
        <w:tabs>
          <w:tab w:val="left" w:pos="-720"/>
        </w:tabs>
        <w:suppressAutoHyphens/>
        <w:spacing w:line="360" w:lineRule="auto"/>
        <w:ind w:firstLine="1440"/>
        <w:rPr>
          <w:sz w:val="26"/>
        </w:rPr>
      </w:pPr>
    </w:p>
    <w:p w:rsidR="00DB44D9" w:rsidRPr="00D32C49" w:rsidRDefault="00D32C49" w:rsidP="00DB44D9">
      <w:pPr>
        <w:widowControl/>
        <w:tabs>
          <w:tab w:val="left" w:pos="-720"/>
        </w:tabs>
        <w:suppressAutoHyphens/>
        <w:spacing w:line="360" w:lineRule="auto"/>
        <w:ind w:firstLine="1440"/>
        <w:rPr>
          <w:b/>
          <w:sz w:val="26"/>
        </w:rPr>
      </w:pPr>
      <w:r w:rsidRPr="00D32C49">
        <w:rPr>
          <w:sz w:val="26"/>
        </w:rPr>
        <w:t>2.</w:t>
      </w:r>
      <w:r w:rsidRPr="00D32C49">
        <w:rPr>
          <w:sz w:val="26"/>
        </w:rPr>
        <w:tab/>
        <w:t xml:space="preserve">That the Initial Decision of Administrative Law </w:t>
      </w:r>
      <w:r w:rsidR="000141BC">
        <w:rPr>
          <w:sz w:val="26"/>
        </w:rPr>
        <w:t xml:space="preserve">Judge </w:t>
      </w:r>
      <w:r w:rsidR="00A41275">
        <w:rPr>
          <w:sz w:val="26"/>
        </w:rPr>
        <w:t>Cynthia Williams Fordham</w:t>
      </w:r>
      <w:r w:rsidRPr="00D32C49">
        <w:rPr>
          <w:sz w:val="26"/>
        </w:rPr>
        <w:t xml:space="preserve">, issued on </w:t>
      </w:r>
      <w:r w:rsidR="00A41275">
        <w:rPr>
          <w:sz w:val="26"/>
        </w:rPr>
        <w:t>February 24</w:t>
      </w:r>
      <w:r w:rsidRPr="00D32C49">
        <w:rPr>
          <w:sz w:val="26"/>
        </w:rPr>
        <w:t>, 201</w:t>
      </w:r>
      <w:r w:rsidR="000141BC">
        <w:rPr>
          <w:sz w:val="26"/>
        </w:rPr>
        <w:t>5</w:t>
      </w:r>
      <w:r w:rsidR="00DB44D9" w:rsidRPr="00D32C49">
        <w:rPr>
          <w:sz w:val="26"/>
        </w:rPr>
        <w:t>, is adopted.</w:t>
      </w:r>
    </w:p>
    <w:p w:rsidR="00DB44D9" w:rsidRPr="00D32C49" w:rsidRDefault="00DB44D9" w:rsidP="00DB44D9">
      <w:pPr>
        <w:widowControl/>
        <w:tabs>
          <w:tab w:val="left" w:pos="0"/>
        </w:tabs>
        <w:suppressAutoHyphens/>
        <w:spacing w:line="360" w:lineRule="auto"/>
        <w:ind w:firstLine="1440"/>
        <w:rPr>
          <w:spacing w:val="-3"/>
          <w:sz w:val="26"/>
        </w:rPr>
      </w:pPr>
    </w:p>
    <w:p w:rsidR="00DB44D9" w:rsidRDefault="00DB44D9" w:rsidP="00A41275">
      <w:pPr>
        <w:widowControl/>
        <w:spacing w:line="360" w:lineRule="auto"/>
        <w:ind w:firstLine="1440"/>
        <w:rPr>
          <w:sz w:val="26"/>
          <w:szCs w:val="26"/>
        </w:rPr>
      </w:pPr>
      <w:r w:rsidRPr="00D32C49">
        <w:rPr>
          <w:spacing w:val="-3"/>
          <w:sz w:val="26"/>
          <w:szCs w:val="24"/>
        </w:rPr>
        <w:t>3.</w:t>
      </w:r>
      <w:r w:rsidRPr="00D32C49">
        <w:rPr>
          <w:spacing w:val="-3"/>
          <w:sz w:val="26"/>
          <w:szCs w:val="24"/>
        </w:rPr>
        <w:tab/>
      </w:r>
      <w:r w:rsidRPr="00AB0977">
        <w:rPr>
          <w:sz w:val="26"/>
          <w:szCs w:val="26"/>
        </w:rPr>
        <w:t>That the Formal</w:t>
      </w:r>
      <w:r w:rsidR="00D32C49" w:rsidRPr="00AB0977">
        <w:rPr>
          <w:sz w:val="26"/>
          <w:szCs w:val="26"/>
        </w:rPr>
        <w:t xml:space="preserve"> Complaint filed on </w:t>
      </w:r>
      <w:r w:rsidR="00A41275" w:rsidRPr="00104748">
        <w:rPr>
          <w:sz w:val="26"/>
          <w:szCs w:val="26"/>
        </w:rPr>
        <w:t>September 15, 2014</w:t>
      </w:r>
      <w:r w:rsidR="000141BC">
        <w:rPr>
          <w:sz w:val="26"/>
          <w:szCs w:val="26"/>
        </w:rPr>
        <w:t>,</w:t>
      </w:r>
      <w:r w:rsidR="00D32C49" w:rsidRPr="00AB0977">
        <w:rPr>
          <w:sz w:val="26"/>
          <w:szCs w:val="26"/>
        </w:rPr>
        <w:t xml:space="preserve"> by </w:t>
      </w:r>
      <w:r w:rsidR="00A41275">
        <w:rPr>
          <w:sz w:val="26"/>
          <w:szCs w:val="26"/>
        </w:rPr>
        <w:t>Cynthia Santore Smith</w:t>
      </w:r>
      <w:r w:rsidR="00E138F8" w:rsidRPr="00DB44D9">
        <w:rPr>
          <w:sz w:val="26"/>
        </w:rPr>
        <w:t xml:space="preserve"> </w:t>
      </w:r>
      <w:r w:rsidR="00D32C49" w:rsidRPr="00AB0977">
        <w:rPr>
          <w:sz w:val="26"/>
          <w:szCs w:val="26"/>
        </w:rPr>
        <w:t xml:space="preserve">against </w:t>
      </w:r>
      <w:r w:rsidR="00D32C49" w:rsidRPr="005E1D9A">
        <w:rPr>
          <w:sz w:val="26"/>
          <w:szCs w:val="26"/>
        </w:rPr>
        <w:t>PECO Energy</w:t>
      </w:r>
      <w:r w:rsidR="00AB0977" w:rsidRPr="005E1D9A">
        <w:rPr>
          <w:sz w:val="26"/>
          <w:szCs w:val="26"/>
        </w:rPr>
        <w:t xml:space="preserve"> Company</w:t>
      </w:r>
      <w:r w:rsidRPr="005E1D9A">
        <w:rPr>
          <w:sz w:val="26"/>
          <w:szCs w:val="26"/>
        </w:rPr>
        <w:t xml:space="preserve"> is dismissed</w:t>
      </w:r>
      <w:r w:rsidR="00857AC2">
        <w:rPr>
          <w:sz w:val="26"/>
          <w:szCs w:val="26"/>
        </w:rPr>
        <w:t>, with prejudice</w:t>
      </w:r>
      <w:r w:rsidRPr="005E1D9A">
        <w:rPr>
          <w:sz w:val="26"/>
          <w:szCs w:val="26"/>
        </w:rPr>
        <w:t>.</w:t>
      </w:r>
    </w:p>
    <w:p w:rsidR="00A41275" w:rsidRDefault="00A41275" w:rsidP="00E51562">
      <w:pPr>
        <w:widowControl/>
        <w:spacing w:line="360" w:lineRule="auto"/>
        <w:rPr>
          <w:sz w:val="26"/>
          <w:szCs w:val="26"/>
        </w:rPr>
      </w:pPr>
    </w:p>
    <w:p w:rsidR="00DB44D9" w:rsidRPr="005E1D9A" w:rsidRDefault="00A41275" w:rsidP="00A41275">
      <w:pPr>
        <w:widowControl/>
        <w:spacing w:line="360" w:lineRule="auto"/>
        <w:ind w:firstLine="1440"/>
        <w:rPr>
          <w:spacing w:val="-3"/>
          <w:sz w:val="26"/>
          <w:szCs w:val="24"/>
        </w:rPr>
      </w:pPr>
      <w:r>
        <w:rPr>
          <w:sz w:val="26"/>
          <w:szCs w:val="26"/>
        </w:rPr>
        <w:t>4</w:t>
      </w:r>
      <w:r w:rsidR="000141BC">
        <w:rPr>
          <w:sz w:val="26"/>
          <w:szCs w:val="26"/>
        </w:rPr>
        <w:t>.</w:t>
      </w:r>
      <w:r w:rsidR="000141BC">
        <w:rPr>
          <w:sz w:val="26"/>
          <w:szCs w:val="26"/>
        </w:rPr>
        <w:tab/>
      </w:r>
      <w:r w:rsidR="00DB44D9" w:rsidRPr="005E1D9A">
        <w:rPr>
          <w:spacing w:val="-3"/>
          <w:sz w:val="26"/>
          <w:szCs w:val="24"/>
        </w:rPr>
        <w:t xml:space="preserve">That the proceeding at </w:t>
      </w:r>
      <w:r w:rsidR="00AB0977" w:rsidRPr="005E1D9A">
        <w:rPr>
          <w:sz w:val="26"/>
          <w:szCs w:val="26"/>
        </w:rPr>
        <w:t xml:space="preserve">Docket No. </w:t>
      </w:r>
      <w:r>
        <w:rPr>
          <w:sz w:val="26"/>
          <w:szCs w:val="26"/>
        </w:rPr>
        <w:t>F</w:t>
      </w:r>
      <w:r w:rsidRPr="00F1625F">
        <w:rPr>
          <w:sz w:val="26"/>
          <w:szCs w:val="26"/>
        </w:rPr>
        <w:t>-2014-</w:t>
      </w:r>
      <w:r>
        <w:rPr>
          <w:sz w:val="26"/>
          <w:szCs w:val="26"/>
        </w:rPr>
        <w:t xml:space="preserve">2446204 </w:t>
      </w:r>
      <w:r w:rsidR="00DB44D9" w:rsidRPr="005E1D9A">
        <w:rPr>
          <w:sz w:val="26"/>
          <w:szCs w:val="26"/>
        </w:rPr>
        <w:t>is marked closed.</w:t>
      </w:r>
    </w:p>
    <w:p w:rsidR="00DB44D9" w:rsidRPr="005E1D9A" w:rsidRDefault="00DB44D9" w:rsidP="00DB44D9">
      <w:pPr>
        <w:widowControl/>
        <w:tabs>
          <w:tab w:val="left" w:pos="-720"/>
        </w:tabs>
        <w:suppressAutoHyphens/>
        <w:rPr>
          <w:b/>
          <w:sz w:val="26"/>
        </w:rPr>
      </w:pPr>
    </w:p>
    <w:p w:rsidR="00DB44D9" w:rsidRPr="005E1D9A" w:rsidRDefault="00DB400D" w:rsidP="00DB44D9">
      <w:pPr>
        <w:widowControl/>
        <w:tabs>
          <w:tab w:val="left" w:pos="-720"/>
        </w:tabs>
        <w:suppressAutoHyphens/>
        <w:rPr>
          <w:b/>
          <w:sz w:val="26"/>
        </w:rPr>
      </w:pPr>
      <w:r>
        <w:rPr>
          <w:noProof/>
        </w:rPr>
        <w:drawing>
          <wp:anchor distT="0" distB="0" distL="114300" distR="114300" simplePos="0" relativeHeight="251659264" behindDoc="1" locked="0" layoutInCell="1" allowOverlap="1" wp14:anchorId="407FA01E" wp14:editId="7B2E7E21">
            <wp:simplePos x="0" y="0"/>
            <wp:positionH relativeFrom="column">
              <wp:posOffset>3138805</wp:posOffset>
            </wp:positionH>
            <wp:positionV relativeFrom="paragraph">
              <wp:posOffset>79375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t>BY THE COMMISSION,</w:t>
      </w:r>
    </w:p>
    <w:p w:rsidR="00DB44D9" w:rsidRPr="005E1D9A" w:rsidRDefault="00DB44D9" w:rsidP="00DB44D9">
      <w:pPr>
        <w:widowControl/>
        <w:tabs>
          <w:tab w:val="left" w:pos="-720"/>
        </w:tabs>
        <w:suppressAutoHyphens/>
        <w:rPr>
          <w:sz w:val="26"/>
        </w:rPr>
      </w:pPr>
      <w:bookmarkStart w:id="0" w:name="_GoBack"/>
      <w:bookmarkEnd w:id="0"/>
    </w:p>
    <w:p w:rsidR="00DB44D9" w:rsidRDefault="00DB44D9" w:rsidP="00DB44D9">
      <w:pPr>
        <w:widowControl/>
        <w:tabs>
          <w:tab w:val="left" w:pos="-720"/>
        </w:tabs>
        <w:suppressAutoHyphens/>
        <w:rPr>
          <w:sz w:val="26"/>
        </w:rPr>
      </w:pPr>
    </w:p>
    <w:p w:rsidR="00377D57" w:rsidRPr="005E1D9A" w:rsidRDefault="00377D57"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Pr="005E1D9A" w:rsidRDefault="006C7956" w:rsidP="00DB44D9">
      <w:pPr>
        <w:widowControl/>
        <w:tabs>
          <w:tab w:val="left" w:pos="-720"/>
        </w:tabs>
        <w:suppressAutoHyphens/>
        <w:rPr>
          <w:sz w:val="26"/>
        </w:rPr>
      </w:pPr>
      <w:r w:rsidRPr="005E1D9A">
        <w:rPr>
          <w:sz w:val="26"/>
        </w:rPr>
        <w:t xml:space="preserve">ORDER ADOPTED:  </w:t>
      </w:r>
      <w:r w:rsidR="00A41275">
        <w:rPr>
          <w:sz w:val="26"/>
        </w:rPr>
        <w:t>September 3</w:t>
      </w:r>
      <w:r w:rsidR="00EC2540">
        <w:rPr>
          <w:sz w:val="26"/>
        </w:rPr>
        <w:t>, 2015</w:t>
      </w: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DB400D">
        <w:rPr>
          <w:sz w:val="26"/>
        </w:rPr>
        <w:t>September 3, 2015</w:t>
      </w:r>
    </w:p>
    <w:p w:rsidR="00344804" w:rsidRPr="00CA43A5" w:rsidRDefault="00344804" w:rsidP="00DB44D9">
      <w:pPr>
        <w:widowControl/>
        <w:jc w:val="center"/>
        <w:rPr>
          <w:sz w:val="26"/>
          <w:szCs w:val="26"/>
        </w:rPr>
      </w:pPr>
    </w:p>
    <w:sectPr w:rsidR="00344804" w:rsidRPr="00CA43A5"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2FC" w:rsidRDefault="00EA52FC" w:rsidP="00F7174B">
      <w:r>
        <w:separator/>
      </w:r>
    </w:p>
  </w:endnote>
  <w:endnote w:type="continuationSeparator" w:id="0">
    <w:p w:rsidR="00EA52FC" w:rsidRDefault="00EA52FC"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DB400D">
          <w:rPr>
            <w:noProof/>
            <w:sz w:val="26"/>
            <w:szCs w:val="26"/>
          </w:rPr>
          <w:t>3</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2FC" w:rsidRDefault="00EA52FC" w:rsidP="00F7174B">
      <w:r>
        <w:separator/>
      </w:r>
    </w:p>
  </w:footnote>
  <w:footnote w:type="continuationSeparator" w:id="0">
    <w:p w:rsidR="00EA52FC" w:rsidRDefault="00EA52FC" w:rsidP="00F7174B">
      <w:r>
        <w:continuationSeparator/>
      </w:r>
    </w:p>
  </w:footnote>
  <w:footnote w:id="1">
    <w:p w:rsidR="009F5BEC" w:rsidRPr="009F5BEC" w:rsidRDefault="009F5BEC" w:rsidP="002624D6">
      <w:pPr>
        <w:pStyle w:val="FootnoteText"/>
        <w:keepNext/>
        <w:keepLines/>
        <w:ind w:firstLine="720"/>
        <w:rPr>
          <w:sz w:val="26"/>
          <w:szCs w:val="26"/>
        </w:rPr>
      </w:pPr>
      <w:r w:rsidRPr="009F5BEC">
        <w:rPr>
          <w:rStyle w:val="FootnoteReference"/>
          <w:sz w:val="26"/>
          <w:szCs w:val="26"/>
        </w:rPr>
        <w:footnoteRef/>
      </w:r>
      <w:r w:rsidRPr="009F5BEC">
        <w:rPr>
          <w:sz w:val="26"/>
          <w:szCs w:val="26"/>
        </w:rPr>
        <w:t xml:space="preserve"> </w:t>
      </w:r>
      <w:r>
        <w:rPr>
          <w:sz w:val="26"/>
          <w:szCs w:val="26"/>
        </w:rPr>
        <w:tab/>
      </w:r>
      <w:r w:rsidR="002624D6">
        <w:rPr>
          <w:sz w:val="26"/>
          <w:szCs w:val="26"/>
        </w:rPr>
        <w:t>On March 11</w:t>
      </w:r>
      <w:r w:rsidR="002B47FE">
        <w:rPr>
          <w:sz w:val="26"/>
          <w:szCs w:val="26"/>
        </w:rPr>
        <w:t xml:space="preserve">, 2015, the Commission’s Secretary’s Bureau issued a Secretarial Letter to </w:t>
      </w:r>
      <w:r w:rsidR="002624D6">
        <w:rPr>
          <w:sz w:val="26"/>
          <w:szCs w:val="26"/>
        </w:rPr>
        <w:t>Ms. Santore Smith</w:t>
      </w:r>
      <w:r w:rsidR="002B47FE">
        <w:rPr>
          <w:sz w:val="26"/>
          <w:szCs w:val="26"/>
        </w:rPr>
        <w:t xml:space="preserve"> stating that the Complainant’s Exceptions </w:t>
      </w:r>
      <w:r w:rsidR="002624D6">
        <w:rPr>
          <w:sz w:val="26"/>
          <w:szCs w:val="26"/>
        </w:rPr>
        <w:t>were being returned to her because they are required to have an original signature and Certificate of Service.  The Secretarial Letter directed the Complainant to sign the Exceptions and to return them to the Commission along with a Certificate of Service within ten days.  On March 17, 2015, the Complainant returned the Exceptions to the Commission with an original signature.  However, they did not cont</w:t>
      </w:r>
      <w:r w:rsidR="00250316">
        <w:rPr>
          <w:sz w:val="26"/>
          <w:szCs w:val="26"/>
        </w:rPr>
        <w:t xml:space="preserve">ain a Certificate of Service.  In its Replies to Exceptions, PECO states that the Exceptions were never served on the Respondent.  R. Exc. at 1. </w:t>
      </w:r>
      <w:r w:rsidR="003C4F45">
        <w:rPr>
          <w:sz w:val="26"/>
          <w:szCs w:val="26"/>
        </w:rPr>
        <w:t xml:space="preserve">Although the Replies to Exceptions were filed beyond the time for filing, we will consider them because it appears that the Complainant failed to properly serve the Exceptions on the Respondent.  </w:t>
      </w:r>
    </w:p>
  </w:footnote>
  <w:footnote w:id="2">
    <w:p w:rsidR="000545A1" w:rsidRPr="000545A1" w:rsidRDefault="000545A1" w:rsidP="000545A1">
      <w:pPr>
        <w:pStyle w:val="FootnoteText"/>
        <w:ind w:firstLine="720"/>
        <w:rPr>
          <w:sz w:val="26"/>
          <w:szCs w:val="26"/>
        </w:rPr>
      </w:pPr>
      <w:r w:rsidRPr="000545A1">
        <w:rPr>
          <w:rStyle w:val="FootnoteReference"/>
          <w:sz w:val="26"/>
          <w:szCs w:val="26"/>
        </w:rPr>
        <w:footnoteRef/>
      </w:r>
      <w:r w:rsidRPr="000545A1">
        <w:rPr>
          <w:sz w:val="26"/>
          <w:szCs w:val="26"/>
        </w:rPr>
        <w:t xml:space="preserve"> </w:t>
      </w:r>
      <w:r>
        <w:rPr>
          <w:sz w:val="26"/>
          <w:szCs w:val="26"/>
        </w:rPr>
        <w:tab/>
        <w:t>Additionally, after noting the failure of Ms. Santore Smith to attend, the ALJ stated: “[w]</w:t>
      </w:r>
      <w:r w:rsidRPr="000545A1">
        <w:rPr>
          <w:sz w:val="26"/>
          <w:szCs w:val="26"/>
        </w:rPr>
        <w:t>hen the Complainant called to request a continuance, she was advised to provide written documentation to explain why she could not attend the hearing.  To date the Complainant has not submitted anything to support her oral request for a continuance.</w:t>
      </w:r>
      <w:r>
        <w:rPr>
          <w:sz w:val="26"/>
          <w:szCs w:val="26"/>
        </w:rPr>
        <w:t>”  I.D. at 2.  It is unclear from the record when the Complainant called to request a continuance.</w:t>
      </w:r>
    </w:p>
  </w:footnote>
  <w:footnote w:id="3">
    <w:p w:rsidR="00291B02" w:rsidRDefault="00291B02" w:rsidP="00291B02">
      <w:pPr>
        <w:pStyle w:val="BodyText"/>
        <w:keepNext/>
        <w:keepLines/>
        <w:tabs>
          <w:tab w:val="clear" w:pos="1980"/>
          <w:tab w:val="left" w:pos="720"/>
          <w:tab w:val="left" w:pos="1440"/>
        </w:tabs>
        <w:spacing w:line="240" w:lineRule="auto"/>
        <w:ind w:left="1440" w:right="1440" w:hanging="1440"/>
        <w:jc w:val="left"/>
        <w:rPr>
          <w:rFonts w:ascii="Times New Roman" w:hAnsi="Times New Roman"/>
          <w:sz w:val="26"/>
          <w:szCs w:val="26"/>
        </w:rPr>
      </w:pPr>
      <w:r>
        <w:rPr>
          <w:sz w:val="26"/>
          <w:szCs w:val="26"/>
        </w:rPr>
        <w:tab/>
      </w:r>
      <w:r w:rsidRPr="00291B02">
        <w:rPr>
          <w:rStyle w:val="FootnoteReference"/>
          <w:rFonts w:ascii="Times New Roman" w:hAnsi="Times New Roman"/>
          <w:sz w:val="26"/>
          <w:szCs w:val="26"/>
        </w:rPr>
        <w:footnoteRef/>
      </w:r>
      <w:r>
        <w:rPr>
          <w:sz w:val="26"/>
          <w:szCs w:val="26"/>
        </w:rPr>
        <w:tab/>
      </w:r>
      <w:r w:rsidRPr="00291B02">
        <w:rPr>
          <w:rFonts w:ascii="Times New Roman" w:hAnsi="Times New Roman"/>
          <w:sz w:val="26"/>
          <w:szCs w:val="26"/>
        </w:rPr>
        <w:t>In relevant part, 66 Pa. C.S. § 332(f) provides:</w:t>
      </w:r>
    </w:p>
    <w:p w:rsidR="00291B02" w:rsidRDefault="00291B02" w:rsidP="00291B02">
      <w:pPr>
        <w:pStyle w:val="BodyText"/>
        <w:keepNext/>
        <w:keepLines/>
        <w:tabs>
          <w:tab w:val="clear" w:pos="1980"/>
          <w:tab w:val="left" w:pos="720"/>
          <w:tab w:val="left" w:pos="1440"/>
        </w:tabs>
        <w:spacing w:line="240" w:lineRule="auto"/>
        <w:ind w:left="1440" w:right="1440" w:hanging="1440"/>
        <w:jc w:val="left"/>
        <w:rPr>
          <w:sz w:val="26"/>
          <w:szCs w:val="26"/>
        </w:rPr>
      </w:pPr>
    </w:p>
    <w:p w:rsidR="00291B02" w:rsidRPr="00291B02" w:rsidRDefault="00291B02" w:rsidP="00291B02">
      <w:pPr>
        <w:pStyle w:val="BodyText"/>
        <w:keepNext/>
        <w:keepLines/>
        <w:tabs>
          <w:tab w:val="clear" w:pos="1980"/>
          <w:tab w:val="left" w:pos="720"/>
          <w:tab w:val="left" w:pos="1440"/>
        </w:tabs>
        <w:spacing w:line="240" w:lineRule="auto"/>
        <w:ind w:left="1440" w:right="1440" w:hanging="1440"/>
        <w:jc w:val="left"/>
        <w:rPr>
          <w:sz w:val="26"/>
          <w:szCs w:val="26"/>
        </w:rPr>
      </w:pPr>
      <w:r>
        <w:rPr>
          <w:sz w:val="26"/>
          <w:szCs w:val="26"/>
        </w:rPr>
        <w:tab/>
      </w:r>
      <w:r>
        <w:rPr>
          <w:sz w:val="26"/>
          <w:szCs w:val="26"/>
        </w:rPr>
        <w:tab/>
      </w:r>
      <w:r w:rsidRPr="00291B02">
        <w:rPr>
          <w:rFonts w:ascii="Times New Roman" w:hAnsi="Times New Roman"/>
          <w:sz w:val="26"/>
          <w:szCs w:val="26"/>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r>
        <w:rPr>
          <w:rFonts w:ascii="Times New Roman" w:hAnsi="Times New Roman"/>
          <w:sz w:val="26"/>
          <w:szCs w:val="26"/>
        </w:rPr>
        <w:t>, or to recall for further examination of witnesses who were excused, unless the presiding officer shall determine that failure to be represented was unavoidable and that the interests of the other parties would not be prejudiced by permitting such reopening or further examination</w:t>
      </w:r>
      <w:r w:rsidRPr="00291B02">
        <w:rPr>
          <w:rFonts w:ascii="Times New Roman" w:hAnsi="Times New Roman"/>
          <w:sz w:val="26"/>
          <w:szCs w:val="26"/>
        </w:rPr>
        <w:t>….</w:t>
      </w:r>
    </w:p>
    <w:p w:rsidR="007E70EE" w:rsidRDefault="007E70EE" w:rsidP="00291B02">
      <w:pPr>
        <w:pStyle w:val="FootnoteText"/>
        <w:ind w:firstLine="720"/>
        <w:rPr>
          <w:sz w:val="26"/>
          <w:szCs w:val="26"/>
        </w:rPr>
      </w:pPr>
    </w:p>
    <w:p w:rsidR="007E70EE" w:rsidRPr="00291B02" w:rsidRDefault="007E70EE" w:rsidP="007E70EE">
      <w:pPr>
        <w:pStyle w:val="FootnoteText"/>
        <w:ind w:firstLine="1440"/>
        <w:rPr>
          <w:sz w:val="26"/>
          <w:szCs w:val="26"/>
        </w:rPr>
      </w:pPr>
      <w:r>
        <w:rPr>
          <w:sz w:val="26"/>
          <w:szCs w:val="26"/>
        </w:rPr>
        <w:t>Under 52 Pa. Code § 5.245, a party who fails to attend a hearing after being notified is deemed to have waived the opportunity to participate in the hearing.</w:t>
      </w:r>
    </w:p>
  </w:footnote>
  <w:footnote w:id="4">
    <w:p w:rsidR="001F73BC" w:rsidRDefault="001F73BC" w:rsidP="001F73BC">
      <w:pPr>
        <w:pStyle w:val="FootnoteText"/>
        <w:tabs>
          <w:tab w:val="left" w:pos="720"/>
          <w:tab w:val="left" w:pos="1440"/>
        </w:tabs>
        <w:rPr>
          <w:sz w:val="26"/>
        </w:rPr>
      </w:pPr>
      <w:r>
        <w:rPr>
          <w:sz w:val="26"/>
          <w:szCs w:val="26"/>
        </w:rPr>
        <w:tab/>
      </w:r>
      <w:r w:rsidRPr="00974CA6">
        <w:rPr>
          <w:rStyle w:val="FootnoteReference"/>
          <w:sz w:val="26"/>
          <w:szCs w:val="26"/>
        </w:rPr>
        <w:footnoteRef/>
      </w:r>
      <w:r w:rsidRPr="00974CA6">
        <w:rPr>
          <w:sz w:val="26"/>
          <w:szCs w:val="26"/>
        </w:rPr>
        <w:t xml:space="preserve"> </w:t>
      </w:r>
      <w:r>
        <w:rPr>
          <w:sz w:val="26"/>
          <w:szCs w:val="26"/>
        </w:rPr>
        <w:tab/>
      </w:r>
      <w:r w:rsidRPr="00655657">
        <w:rPr>
          <w:sz w:val="26"/>
        </w:rPr>
        <w:t xml:space="preserve">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w:t>
      </w:r>
      <w:r>
        <w:rPr>
          <w:sz w:val="26"/>
        </w:rPr>
        <w:t xml:space="preserve"> </w:t>
      </w:r>
      <w:r w:rsidRPr="00655657">
        <w:rPr>
          <w:sz w:val="26"/>
        </w:rPr>
        <w:t xml:space="preserve">Code </w:t>
      </w:r>
    </w:p>
    <w:p w:rsidR="001F73BC" w:rsidRPr="00974CA6" w:rsidRDefault="001F73BC" w:rsidP="001F73BC">
      <w:pPr>
        <w:pStyle w:val="FootnoteText"/>
        <w:rPr>
          <w:sz w:val="26"/>
          <w:szCs w:val="26"/>
        </w:rPr>
      </w:pPr>
      <w:r w:rsidRPr="00655657">
        <w:rPr>
          <w:sz w:val="26"/>
        </w:rPr>
        <w:t>§ 1.2(</w:t>
      </w:r>
      <w:r>
        <w:rPr>
          <w:sz w:val="26"/>
        </w:rPr>
        <w:t>a</w:t>
      </w:r>
      <w:r w:rsidRPr="00655657">
        <w:rPr>
          <w:sz w:val="26"/>
        </w:rPr>
        <w:t>)</w:t>
      </w:r>
      <w:r>
        <w:rPr>
          <w:sz w:val="26"/>
        </w:rPr>
        <w:t>, in order to secure a just, speedy, and inexpensive determination</w:t>
      </w:r>
      <w:r w:rsidRPr="00655657">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FDC0372"/>
    <w:multiLevelType w:val="hybridMultilevel"/>
    <w:tmpl w:val="29503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20F"/>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282"/>
    <w:rsid w:val="0002332C"/>
    <w:rsid w:val="00023CFE"/>
    <w:rsid w:val="0002467F"/>
    <w:rsid w:val="00024F85"/>
    <w:rsid w:val="0002501D"/>
    <w:rsid w:val="0002524C"/>
    <w:rsid w:val="000259C5"/>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635"/>
    <w:rsid w:val="0003325E"/>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0F7D"/>
    <w:rsid w:val="00051A5C"/>
    <w:rsid w:val="000522FC"/>
    <w:rsid w:val="000523D1"/>
    <w:rsid w:val="00052B8F"/>
    <w:rsid w:val="00052FCD"/>
    <w:rsid w:val="000536BC"/>
    <w:rsid w:val="00053CA1"/>
    <w:rsid w:val="00053D76"/>
    <w:rsid w:val="000545A1"/>
    <w:rsid w:val="00054612"/>
    <w:rsid w:val="00054A0E"/>
    <w:rsid w:val="000556AB"/>
    <w:rsid w:val="0005572E"/>
    <w:rsid w:val="00055788"/>
    <w:rsid w:val="00055BAD"/>
    <w:rsid w:val="00055BBB"/>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4CD"/>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2E0"/>
    <w:rsid w:val="000D7AB5"/>
    <w:rsid w:val="000E02B6"/>
    <w:rsid w:val="000E1DC9"/>
    <w:rsid w:val="000E215E"/>
    <w:rsid w:val="000E231D"/>
    <w:rsid w:val="000E3310"/>
    <w:rsid w:val="000E35AE"/>
    <w:rsid w:val="000E64D8"/>
    <w:rsid w:val="000E6A73"/>
    <w:rsid w:val="000E6DC6"/>
    <w:rsid w:val="000E766F"/>
    <w:rsid w:val="000E7A90"/>
    <w:rsid w:val="000F0417"/>
    <w:rsid w:val="000F179E"/>
    <w:rsid w:val="000F1DC2"/>
    <w:rsid w:val="000F2397"/>
    <w:rsid w:val="000F27FE"/>
    <w:rsid w:val="000F2DE3"/>
    <w:rsid w:val="000F4307"/>
    <w:rsid w:val="000F551B"/>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25F"/>
    <w:rsid w:val="001044B6"/>
    <w:rsid w:val="00104748"/>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5F8"/>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3759"/>
    <w:rsid w:val="00134395"/>
    <w:rsid w:val="00134C8A"/>
    <w:rsid w:val="00135157"/>
    <w:rsid w:val="00135480"/>
    <w:rsid w:val="00135670"/>
    <w:rsid w:val="001358B2"/>
    <w:rsid w:val="00135972"/>
    <w:rsid w:val="001360FC"/>
    <w:rsid w:val="001361AC"/>
    <w:rsid w:val="00136C22"/>
    <w:rsid w:val="001370B5"/>
    <w:rsid w:val="00137B55"/>
    <w:rsid w:val="001400A9"/>
    <w:rsid w:val="001414CD"/>
    <w:rsid w:val="00142219"/>
    <w:rsid w:val="00142BD8"/>
    <w:rsid w:val="00142CF7"/>
    <w:rsid w:val="00143267"/>
    <w:rsid w:val="0014360F"/>
    <w:rsid w:val="00143F09"/>
    <w:rsid w:val="001447A0"/>
    <w:rsid w:val="0014497F"/>
    <w:rsid w:val="00144F43"/>
    <w:rsid w:val="00145197"/>
    <w:rsid w:val="0014676F"/>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FD6"/>
    <w:rsid w:val="001E2949"/>
    <w:rsid w:val="001E343F"/>
    <w:rsid w:val="001E3937"/>
    <w:rsid w:val="001E3F37"/>
    <w:rsid w:val="001E5807"/>
    <w:rsid w:val="001E5EAB"/>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3BC"/>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80B"/>
    <w:rsid w:val="00232AA6"/>
    <w:rsid w:val="00232E6B"/>
    <w:rsid w:val="00233488"/>
    <w:rsid w:val="002334D2"/>
    <w:rsid w:val="00234B16"/>
    <w:rsid w:val="0023519F"/>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002"/>
    <w:rsid w:val="00243162"/>
    <w:rsid w:val="00243350"/>
    <w:rsid w:val="002434EB"/>
    <w:rsid w:val="0024399A"/>
    <w:rsid w:val="0024441D"/>
    <w:rsid w:val="00244EBA"/>
    <w:rsid w:val="00245E13"/>
    <w:rsid w:val="00245E63"/>
    <w:rsid w:val="00246005"/>
    <w:rsid w:val="00246C59"/>
    <w:rsid w:val="002471BD"/>
    <w:rsid w:val="00247A24"/>
    <w:rsid w:val="00247F35"/>
    <w:rsid w:val="00250316"/>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4D6"/>
    <w:rsid w:val="00262909"/>
    <w:rsid w:val="00262D9F"/>
    <w:rsid w:val="002630E2"/>
    <w:rsid w:val="002643F9"/>
    <w:rsid w:val="00264646"/>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B02"/>
    <w:rsid w:val="00291F2F"/>
    <w:rsid w:val="00291F68"/>
    <w:rsid w:val="0029235E"/>
    <w:rsid w:val="00292927"/>
    <w:rsid w:val="0029356B"/>
    <w:rsid w:val="00294181"/>
    <w:rsid w:val="002946AB"/>
    <w:rsid w:val="002946B2"/>
    <w:rsid w:val="00294890"/>
    <w:rsid w:val="00294BD5"/>
    <w:rsid w:val="002959F3"/>
    <w:rsid w:val="0029672A"/>
    <w:rsid w:val="00296998"/>
    <w:rsid w:val="00297B94"/>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47FE"/>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648"/>
    <w:rsid w:val="002C6CC4"/>
    <w:rsid w:val="002C6EF5"/>
    <w:rsid w:val="002C7166"/>
    <w:rsid w:val="002C7542"/>
    <w:rsid w:val="002C79B8"/>
    <w:rsid w:val="002D13C4"/>
    <w:rsid w:val="002D1791"/>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0B"/>
    <w:rsid w:val="00300AD2"/>
    <w:rsid w:val="00300C2E"/>
    <w:rsid w:val="00300FDA"/>
    <w:rsid w:val="003010FC"/>
    <w:rsid w:val="003018AA"/>
    <w:rsid w:val="003020A5"/>
    <w:rsid w:val="003030BC"/>
    <w:rsid w:val="0030361D"/>
    <w:rsid w:val="00303885"/>
    <w:rsid w:val="00303B99"/>
    <w:rsid w:val="00303D6C"/>
    <w:rsid w:val="00304F5A"/>
    <w:rsid w:val="0030665C"/>
    <w:rsid w:val="0030682C"/>
    <w:rsid w:val="00306D1F"/>
    <w:rsid w:val="0030714F"/>
    <w:rsid w:val="003073E2"/>
    <w:rsid w:val="00307549"/>
    <w:rsid w:val="00307DDF"/>
    <w:rsid w:val="003104C7"/>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2040"/>
    <w:rsid w:val="00322AF6"/>
    <w:rsid w:val="003234FA"/>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0F0A"/>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410"/>
    <w:rsid w:val="00355CBC"/>
    <w:rsid w:val="00356024"/>
    <w:rsid w:val="003561D9"/>
    <w:rsid w:val="003568D9"/>
    <w:rsid w:val="0035728C"/>
    <w:rsid w:val="0036035C"/>
    <w:rsid w:val="00360426"/>
    <w:rsid w:val="0036063F"/>
    <w:rsid w:val="00360B65"/>
    <w:rsid w:val="00360C62"/>
    <w:rsid w:val="00361146"/>
    <w:rsid w:val="003611A5"/>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220B"/>
    <w:rsid w:val="003B2B48"/>
    <w:rsid w:val="003B2CB6"/>
    <w:rsid w:val="003B2DBB"/>
    <w:rsid w:val="003B3617"/>
    <w:rsid w:val="003B39E7"/>
    <w:rsid w:val="003B3A34"/>
    <w:rsid w:val="003B42D9"/>
    <w:rsid w:val="003B465B"/>
    <w:rsid w:val="003B50DA"/>
    <w:rsid w:val="003B5DA2"/>
    <w:rsid w:val="003B5F4E"/>
    <w:rsid w:val="003B6017"/>
    <w:rsid w:val="003B7029"/>
    <w:rsid w:val="003B7073"/>
    <w:rsid w:val="003C02BA"/>
    <w:rsid w:val="003C06D8"/>
    <w:rsid w:val="003C0F84"/>
    <w:rsid w:val="003C2E13"/>
    <w:rsid w:val="003C3140"/>
    <w:rsid w:val="003C327C"/>
    <w:rsid w:val="003C3A63"/>
    <w:rsid w:val="003C3E02"/>
    <w:rsid w:val="003C3FE8"/>
    <w:rsid w:val="003C4F45"/>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33E"/>
    <w:rsid w:val="003D394E"/>
    <w:rsid w:val="003D3971"/>
    <w:rsid w:val="003D3FE9"/>
    <w:rsid w:val="003D4168"/>
    <w:rsid w:val="003D447C"/>
    <w:rsid w:val="003D45F6"/>
    <w:rsid w:val="003D4D10"/>
    <w:rsid w:val="003D4DB8"/>
    <w:rsid w:val="003D51DE"/>
    <w:rsid w:val="003D57BB"/>
    <w:rsid w:val="003D5F07"/>
    <w:rsid w:val="003D6463"/>
    <w:rsid w:val="003D6AB5"/>
    <w:rsid w:val="003D6CF4"/>
    <w:rsid w:val="003D7161"/>
    <w:rsid w:val="003D7BF3"/>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6970"/>
    <w:rsid w:val="004073CB"/>
    <w:rsid w:val="004077D8"/>
    <w:rsid w:val="00407AC0"/>
    <w:rsid w:val="0041013B"/>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0DA"/>
    <w:rsid w:val="00421331"/>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9EF"/>
    <w:rsid w:val="00433E8D"/>
    <w:rsid w:val="004346C9"/>
    <w:rsid w:val="004348FB"/>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C48"/>
    <w:rsid w:val="00441E91"/>
    <w:rsid w:val="00441FEE"/>
    <w:rsid w:val="004422CA"/>
    <w:rsid w:val="00442FAD"/>
    <w:rsid w:val="00443807"/>
    <w:rsid w:val="00443A1C"/>
    <w:rsid w:val="00443EBB"/>
    <w:rsid w:val="00443F03"/>
    <w:rsid w:val="004443E1"/>
    <w:rsid w:val="004449AC"/>
    <w:rsid w:val="0044506F"/>
    <w:rsid w:val="00445680"/>
    <w:rsid w:val="00445C33"/>
    <w:rsid w:val="004462F7"/>
    <w:rsid w:val="0044636A"/>
    <w:rsid w:val="00451116"/>
    <w:rsid w:val="00451656"/>
    <w:rsid w:val="00453C7E"/>
    <w:rsid w:val="00454835"/>
    <w:rsid w:val="00454F06"/>
    <w:rsid w:val="004550AC"/>
    <w:rsid w:val="00455260"/>
    <w:rsid w:val="0045554B"/>
    <w:rsid w:val="00455726"/>
    <w:rsid w:val="00455AAF"/>
    <w:rsid w:val="0045650D"/>
    <w:rsid w:val="00456B5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4104"/>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51B"/>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748A"/>
    <w:rsid w:val="004C7B23"/>
    <w:rsid w:val="004D1201"/>
    <w:rsid w:val="004D1313"/>
    <w:rsid w:val="004D16E8"/>
    <w:rsid w:val="004D1D85"/>
    <w:rsid w:val="004D2210"/>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D46"/>
    <w:rsid w:val="004D6E81"/>
    <w:rsid w:val="004D7316"/>
    <w:rsid w:val="004E02AB"/>
    <w:rsid w:val="004E0DC3"/>
    <w:rsid w:val="004E1843"/>
    <w:rsid w:val="004E20B2"/>
    <w:rsid w:val="004E248A"/>
    <w:rsid w:val="004E2C79"/>
    <w:rsid w:val="004E2F87"/>
    <w:rsid w:val="004E3279"/>
    <w:rsid w:val="004E3A72"/>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218"/>
    <w:rsid w:val="00502432"/>
    <w:rsid w:val="005031DD"/>
    <w:rsid w:val="00504834"/>
    <w:rsid w:val="00504B4E"/>
    <w:rsid w:val="00504C7A"/>
    <w:rsid w:val="0050520C"/>
    <w:rsid w:val="0050537B"/>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FD"/>
    <w:rsid w:val="00525849"/>
    <w:rsid w:val="00525DDA"/>
    <w:rsid w:val="00526381"/>
    <w:rsid w:val="0052640D"/>
    <w:rsid w:val="005269E6"/>
    <w:rsid w:val="00526E71"/>
    <w:rsid w:val="00530AF6"/>
    <w:rsid w:val="00530BFA"/>
    <w:rsid w:val="00530EE7"/>
    <w:rsid w:val="0053112A"/>
    <w:rsid w:val="005321A1"/>
    <w:rsid w:val="00532271"/>
    <w:rsid w:val="0053247C"/>
    <w:rsid w:val="0053364E"/>
    <w:rsid w:val="00533B6E"/>
    <w:rsid w:val="0053400C"/>
    <w:rsid w:val="005346A9"/>
    <w:rsid w:val="0053471B"/>
    <w:rsid w:val="00534A7E"/>
    <w:rsid w:val="005351B9"/>
    <w:rsid w:val="00535C84"/>
    <w:rsid w:val="00535D6A"/>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67782"/>
    <w:rsid w:val="00570B1A"/>
    <w:rsid w:val="0057127D"/>
    <w:rsid w:val="00571B4B"/>
    <w:rsid w:val="00571DD4"/>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3A2"/>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536B"/>
    <w:rsid w:val="005B53AF"/>
    <w:rsid w:val="005B55F4"/>
    <w:rsid w:val="005B5C29"/>
    <w:rsid w:val="005B5D1F"/>
    <w:rsid w:val="005B5D33"/>
    <w:rsid w:val="005B6E15"/>
    <w:rsid w:val="005C0A3A"/>
    <w:rsid w:val="005C1BBA"/>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89C"/>
    <w:rsid w:val="005E590A"/>
    <w:rsid w:val="005E5E87"/>
    <w:rsid w:val="005E6960"/>
    <w:rsid w:val="005E6D97"/>
    <w:rsid w:val="005E6DE3"/>
    <w:rsid w:val="005E6E51"/>
    <w:rsid w:val="005E73F1"/>
    <w:rsid w:val="005E75AB"/>
    <w:rsid w:val="005E7D93"/>
    <w:rsid w:val="005E7EB8"/>
    <w:rsid w:val="005F0554"/>
    <w:rsid w:val="005F110E"/>
    <w:rsid w:val="005F149B"/>
    <w:rsid w:val="005F1577"/>
    <w:rsid w:val="005F184F"/>
    <w:rsid w:val="005F18D6"/>
    <w:rsid w:val="005F2BA8"/>
    <w:rsid w:val="005F3582"/>
    <w:rsid w:val="005F3FFE"/>
    <w:rsid w:val="005F40BA"/>
    <w:rsid w:val="005F4434"/>
    <w:rsid w:val="005F50DF"/>
    <w:rsid w:val="005F5324"/>
    <w:rsid w:val="005F58CD"/>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5C1"/>
    <w:rsid w:val="00606DD4"/>
    <w:rsid w:val="00607011"/>
    <w:rsid w:val="00607374"/>
    <w:rsid w:val="006075A4"/>
    <w:rsid w:val="006079B8"/>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DA1"/>
    <w:rsid w:val="006571E4"/>
    <w:rsid w:val="0065760C"/>
    <w:rsid w:val="00657DB9"/>
    <w:rsid w:val="0066037C"/>
    <w:rsid w:val="00660889"/>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133"/>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87ECA"/>
    <w:rsid w:val="00690276"/>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3B9"/>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368"/>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205"/>
    <w:rsid w:val="006C16A8"/>
    <w:rsid w:val="006C1EEC"/>
    <w:rsid w:val="006C319D"/>
    <w:rsid w:val="006C352C"/>
    <w:rsid w:val="006C3732"/>
    <w:rsid w:val="006C3FEA"/>
    <w:rsid w:val="006C4D9B"/>
    <w:rsid w:val="006C4FEE"/>
    <w:rsid w:val="006C65E9"/>
    <w:rsid w:val="006C6666"/>
    <w:rsid w:val="006C69E7"/>
    <w:rsid w:val="006C7956"/>
    <w:rsid w:val="006D03C2"/>
    <w:rsid w:val="006D10AE"/>
    <w:rsid w:val="006D125C"/>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5F8C"/>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2FF"/>
    <w:rsid w:val="006F3B4E"/>
    <w:rsid w:val="006F3CE3"/>
    <w:rsid w:val="006F3D23"/>
    <w:rsid w:val="006F4E35"/>
    <w:rsid w:val="006F5214"/>
    <w:rsid w:val="006F5261"/>
    <w:rsid w:val="006F531B"/>
    <w:rsid w:val="006F56B6"/>
    <w:rsid w:val="006F5AE6"/>
    <w:rsid w:val="006F5C09"/>
    <w:rsid w:val="006F62BC"/>
    <w:rsid w:val="006F670F"/>
    <w:rsid w:val="006F70BD"/>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2C21"/>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32A"/>
    <w:rsid w:val="0072295E"/>
    <w:rsid w:val="0072382C"/>
    <w:rsid w:val="00724543"/>
    <w:rsid w:val="007253B2"/>
    <w:rsid w:val="007253FF"/>
    <w:rsid w:val="00727370"/>
    <w:rsid w:val="00727551"/>
    <w:rsid w:val="007319AD"/>
    <w:rsid w:val="007320A9"/>
    <w:rsid w:val="007326A9"/>
    <w:rsid w:val="0073277B"/>
    <w:rsid w:val="00732A22"/>
    <w:rsid w:val="00732A29"/>
    <w:rsid w:val="00732B83"/>
    <w:rsid w:val="00732E51"/>
    <w:rsid w:val="00733589"/>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59E5"/>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43C"/>
    <w:rsid w:val="00770533"/>
    <w:rsid w:val="00770ABA"/>
    <w:rsid w:val="007715FC"/>
    <w:rsid w:val="00771830"/>
    <w:rsid w:val="00772177"/>
    <w:rsid w:val="0077265F"/>
    <w:rsid w:val="00772E1F"/>
    <w:rsid w:val="00773924"/>
    <w:rsid w:val="007749E4"/>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2F5C"/>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11D8"/>
    <w:rsid w:val="007E1600"/>
    <w:rsid w:val="007E1E93"/>
    <w:rsid w:val="007E2F09"/>
    <w:rsid w:val="007E38C7"/>
    <w:rsid w:val="007E3A75"/>
    <w:rsid w:val="007E3D73"/>
    <w:rsid w:val="007E3F3E"/>
    <w:rsid w:val="007E4641"/>
    <w:rsid w:val="007E4778"/>
    <w:rsid w:val="007E4D75"/>
    <w:rsid w:val="007E5504"/>
    <w:rsid w:val="007E5D6C"/>
    <w:rsid w:val="007E6838"/>
    <w:rsid w:val="007E70EE"/>
    <w:rsid w:val="007E7FA7"/>
    <w:rsid w:val="007F0288"/>
    <w:rsid w:val="007F02B9"/>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1B9"/>
    <w:rsid w:val="0083636A"/>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3E3"/>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57AC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5B1"/>
    <w:rsid w:val="008D4689"/>
    <w:rsid w:val="008D48FF"/>
    <w:rsid w:val="008D50EA"/>
    <w:rsid w:val="008D5321"/>
    <w:rsid w:val="008D53A4"/>
    <w:rsid w:val="008D61A7"/>
    <w:rsid w:val="008D62A9"/>
    <w:rsid w:val="008D64F1"/>
    <w:rsid w:val="008D6C7A"/>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080"/>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7B1"/>
    <w:rsid w:val="008F6978"/>
    <w:rsid w:val="008F7D12"/>
    <w:rsid w:val="008F7DB1"/>
    <w:rsid w:val="00900D4D"/>
    <w:rsid w:val="009010DF"/>
    <w:rsid w:val="009012FC"/>
    <w:rsid w:val="00901D76"/>
    <w:rsid w:val="00902CC3"/>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63A"/>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4E"/>
    <w:rsid w:val="00927C5C"/>
    <w:rsid w:val="00927CA6"/>
    <w:rsid w:val="00927CEF"/>
    <w:rsid w:val="009301F9"/>
    <w:rsid w:val="00931854"/>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2FCF"/>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1CFA"/>
    <w:rsid w:val="0096276A"/>
    <w:rsid w:val="0096316A"/>
    <w:rsid w:val="00963F8F"/>
    <w:rsid w:val="00964013"/>
    <w:rsid w:val="00964263"/>
    <w:rsid w:val="0096487B"/>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434E"/>
    <w:rsid w:val="00974CA6"/>
    <w:rsid w:val="009757D1"/>
    <w:rsid w:val="00975EB9"/>
    <w:rsid w:val="00976AB7"/>
    <w:rsid w:val="009777B0"/>
    <w:rsid w:val="00980381"/>
    <w:rsid w:val="00980754"/>
    <w:rsid w:val="00980F74"/>
    <w:rsid w:val="00981212"/>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63AE"/>
    <w:rsid w:val="009A65A0"/>
    <w:rsid w:val="009A667A"/>
    <w:rsid w:val="009A6DB2"/>
    <w:rsid w:val="009A7553"/>
    <w:rsid w:val="009A759F"/>
    <w:rsid w:val="009A79BB"/>
    <w:rsid w:val="009A7C0F"/>
    <w:rsid w:val="009A7E31"/>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C7F43"/>
    <w:rsid w:val="009D0B9E"/>
    <w:rsid w:val="009D0BD7"/>
    <w:rsid w:val="009D0C18"/>
    <w:rsid w:val="009D1035"/>
    <w:rsid w:val="009D13D0"/>
    <w:rsid w:val="009D1B09"/>
    <w:rsid w:val="009D2068"/>
    <w:rsid w:val="009D2836"/>
    <w:rsid w:val="009D29B5"/>
    <w:rsid w:val="009D363D"/>
    <w:rsid w:val="009D38C0"/>
    <w:rsid w:val="009D41CC"/>
    <w:rsid w:val="009D4D46"/>
    <w:rsid w:val="009D575B"/>
    <w:rsid w:val="009D6193"/>
    <w:rsid w:val="009D6BC5"/>
    <w:rsid w:val="009D6DA4"/>
    <w:rsid w:val="009D7470"/>
    <w:rsid w:val="009D7861"/>
    <w:rsid w:val="009D7C3C"/>
    <w:rsid w:val="009D7D33"/>
    <w:rsid w:val="009D7EA8"/>
    <w:rsid w:val="009E01FC"/>
    <w:rsid w:val="009E0317"/>
    <w:rsid w:val="009E0419"/>
    <w:rsid w:val="009E0685"/>
    <w:rsid w:val="009E0C8D"/>
    <w:rsid w:val="009E1999"/>
    <w:rsid w:val="009E237C"/>
    <w:rsid w:val="009E2A37"/>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5BEC"/>
    <w:rsid w:val="009F6FEF"/>
    <w:rsid w:val="009F71BE"/>
    <w:rsid w:val="009F7706"/>
    <w:rsid w:val="00A00317"/>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C6A"/>
    <w:rsid w:val="00A36F9C"/>
    <w:rsid w:val="00A3748C"/>
    <w:rsid w:val="00A375EF"/>
    <w:rsid w:val="00A377CD"/>
    <w:rsid w:val="00A37896"/>
    <w:rsid w:val="00A402F5"/>
    <w:rsid w:val="00A40643"/>
    <w:rsid w:val="00A40981"/>
    <w:rsid w:val="00A41275"/>
    <w:rsid w:val="00A41757"/>
    <w:rsid w:val="00A423C4"/>
    <w:rsid w:val="00A4294B"/>
    <w:rsid w:val="00A43195"/>
    <w:rsid w:val="00A4342E"/>
    <w:rsid w:val="00A444BE"/>
    <w:rsid w:val="00A457C2"/>
    <w:rsid w:val="00A45D1D"/>
    <w:rsid w:val="00A45DBE"/>
    <w:rsid w:val="00A46D7F"/>
    <w:rsid w:val="00A475C5"/>
    <w:rsid w:val="00A47B68"/>
    <w:rsid w:val="00A5001A"/>
    <w:rsid w:val="00A51751"/>
    <w:rsid w:val="00A517B6"/>
    <w:rsid w:val="00A517F5"/>
    <w:rsid w:val="00A519B0"/>
    <w:rsid w:val="00A5221B"/>
    <w:rsid w:val="00A528C2"/>
    <w:rsid w:val="00A52B18"/>
    <w:rsid w:val="00A52C78"/>
    <w:rsid w:val="00A53930"/>
    <w:rsid w:val="00A53A5D"/>
    <w:rsid w:val="00A53B8A"/>
    <w:rsid w:val="00A53BEB"/>
    <w:rsid w:val="00A5433A"/>
    <w:rsid w:val="00A54AFD"/>
    <w:rsid w:val="00A54E69"/>
    <w:rsid w:val="00A55857"/>
    <w:rsid w:val="00A567BB"/>
    <w:rsid w:val="00A56BFE"/>
    <w:rsid w:val="00A56D28"/>
    <w:rsid w:val="00A56E16"/>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580"/>
    <w:rsid w:val="00A75733"/>
    <w:rsid w:val="00A76308"/>
    <w:rsid w:val="00A768AA"/>
    <w:rsid w:val="00A776C7"/>
    <w:rsid w:val="00A77717"/>
    <w:rsid w:val="00A7781A"/>
    <w:rsid w:val="00A77AC1"/>
    <w:rsid w:val="00A77C08"/>
    <w:rsid w:val="00A80488"/>
    <w:rsid w:val="00A80ACB"/>
    <w:rsid w:val="00A81492"/>
    <w:rsid w:val="00A81527"/>
    <w:rsid w:val="00A815B9"/>
    <w:rsid w:val="00A82058"/>
    <w:rsid w:val="00A84AE7"/>
    <w:rsid w:val="00A84DAF"/>
    <w:rsid w:val="00A84E8D"/>
    <w:rsid w:val="00A851E6"/>
    <w:rsid w:val="00A8588D"/>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316"/>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8E"/>
    <w:rsid w:val="00AA610F"/>
    <w:rsid w:val="00AA6223"/>
    <w:rsid w:val="00AA6FF8"/>
    <w:rsid w:val="00AB005D"/>
    <w:rsid w:val="00AB008E"/>
    <w:rsid w:val="00AB01BE"/>
    <w:rsid w:val="00AB056E"/>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D7D5C"/>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DB4"/>
    <w:rsid w:val="00B009CC"/>
    <w:rsid w:val="00B016BB"/>
    <w:rsid w:val="00B01A94"/>
    <w:rsid w:val="00B01CEC"/>
    <w:rsid w:val="00B02655"/>
    <w:rsid w:val="00B0339B"/>
    <w:rsid w:val="00B05094"/>
    <w:rsid w:val="00B05102"/>
    <w:rsid w:val="00B058C6"/>
    <w:rsid w:val="00B05B47"/>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64A"/>
    <w:rsid w:val="00B2083E"/>
    <w:rsid w:val="00B20C58"/>
    <w:rsid w:val="00B213F2"/>
    <w:rsid w:val="00B217D6"/>
    <w:rsid w:val="00B21CB5"/>
    <w:rsid w:val="00B23933"/>
    <w:rsid w:val="00B24787"/>
    <w:rsid w:val="00B2489C"/>
    <w:rsid w:val="00B2489D"/>
    <w:rsid w:val="00B24FAF"/>
    <w:rsid w:val="00B24FB0"/>
    <w:rsid w:val="00B252F7"/>
    <w:rsid w:val="00B25453"/>
    <w:rsid w:val="00B25E56"/>
    <w:rsid w:val="00B25ED6"/>
    <w:rsid w:val="00B26968"/>
    <w:rsid w:val="00B274F7"/>
    <w:rsid w:val="00B27DA7"/>
    <w:rsid w:val="00B27E1D"/>
    <w:rsid w:val="00B300E9"/>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40417"/>
    <w:rsid w:val="00B40E9F"/>
    <w:rsid w:val="00B4118A"/>
    <w:rsid w:val="00B4145D"/>
    <w:rsid w:val="00B416C6"/>
    <w:rsid w:val="00B41AAE"/>
    <w:rsid w:val="00B42C50"/>
    <w:rsid w:val="00B43922"/>
    <w:rsid w:val="00B44FDB"/>
    <w:rsid w:val="00B45080"/>
    <w:rsid w:val="00B45350"/>
    <w:rsid w:val="00B466DA"/>
    <w:rsid w:val="00B46905"/>
    <w:rsid w:val="00B4696B"/>
    <w:rsid w:val="00B46A92"/>
    <w:rsid w:val="00B47113"/>
    <w:rsid w:val="00B47CC6"/>
    <w:rsid w:val="00B505B6"/>
    <w:rsid w:val="00B51514"/>
    <w:rsid w:val="00B5200E"/>
    <w:rsid w:val="00B530B3"/>
    <w:rsid w:val="00B53195"/>
    <w:rsid w:val="00B537FD"/>
    <w:rsid w:val="00B5384F"/>
    <w:rsid w:val="00B53CCF"/>
    <w:rsid w:val="00B54421"/>
    <w:rsid w:val="00B54430"/>
    <w:rsid w:val="00B549FB"/>
    <w:rsid w:val="00B54F04"/>
    <w:rsid w:val="00B552E3"/>
    <w:rsid w:val="00B5544F"/>
    <w:rsid w:val="00B55787"/>
    <w:rsid w:val="00B55C9A"/>
    <w:rsid w:val="00B55CFB"/>
    <w:rsid w:val="00B55E5D"/>
    <w:rsid w:val="00B56826"/>
    <w:rsid w:val="00B56FF7"/>
    <w:rsid w:val="00B57426"/>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4B9"/>
    <w:rsid w:val="00B769D7"/>
    <w:rsid w:val="00B76A88"/>
    <w:rsid w:val="00B76B19"/>
    <w:rsid w:val="00B8076D"/>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7B6D"/>
    <w:rsid w:val="00B87E7C"/>
    <w:rsid w:val="00B908A3"/>
    <w:rsid w:val="00B90B39"/>
    <w:rsid w:val="00B90DEF"/>
    <w:rsid w:val="00B90DF3"/>
    <w:rsid w:val="00B912C8"/>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6F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3DA6"/>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74D9"/>
    <w:rsid w:val="00C0753E"/>
    <w:rsid w:val="00C07C10"/>
    <w:rsid w:val="00C10A80"/>
    <w:rsid w:val="00C10A86"/>
    <w:rsid w:val="00C10C61"/>
    <w:rsid w:val="00C10F1C"/>
    <w:rsid w:val="00C111A3"/>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F76"/>
    <w:rsid w:val="00C868F6"/>
    <w:rsid w:val="00C86953"/>
    <w:rsid w:val="00C86A40"/>
    <w:rsid w:val="00C86ACE"/>
    <w:rsid w:val="00C87F6C"/>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97FB6"/>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3ECA"/>
    <w:rsid w:val="00CA43A5"/>
    <w:rsid w:val="00CA4BC3"/>
    <w:rsid w:val="00CA4EFA"/>
    <w:rsid w:val="00CA515E"/>
    <w:rsid w:val="00CA5AB3"/>
    <w:rsid w:val="00CA5FDE"/>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3BE6"/>
    <w:rsid w:val="00CB44E4"/>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BE1"/>
    <w:rsid w:val="00CF4FF0"/>
    <w:rsid w:val="00CF54B6"/>
    <w:rsid w:val="00CF57B0"/>
    <w:rsid w:val="00CF5B47"/>
    <w:rsid w:val="00CF607B"/>
    <w:rsid w:val="00CF6869"/>
    <w:rsid w:val="00CF6D28"/>
    <w:rsid w:val="00D00C6D"/>
    <w:rsid w:val="00D013CF"/>
    <w:rsid w:val="00D017A0"/>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37963"/>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275"/>
    <w:rsid w:val="00D57302"/>
    <w:rsid w:val="00D57467"/>
    <w:rsid w:val="00D57544"/>
    <w:rsid w:val="00D57973"/>
    <w:rsid w:val="00D60704"/>
    <w:rsid w:val="00D60758"/>
    <w:rsid w:val="00D60CE2"/>
    <w:rsid w:val="00D60CE9"/>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4907"/>
    <w:rsid w:val="00D7587C"/>
    <w:rsid w:val="00D769B9"/>
    <w:rsid w:val="00D76B71"/>
    <w:rsid w:val="00D76DEC"/>
    <w:rsid w:val="00D77699"/>
    <w:rsid w:val="00D7780F"/>
    <w:rsid w:val="00D80587"/>
    <w:rsid w:val="00D80A83"/>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C5"/>
    <w:rsid w:val="00D87DA9"/>
    <w:rsid w:val="00D909E0"/>
    <w:rsid w:val="00D910BE"/>
    <w:rsid w:val="00D917F3"/>
    <w:rsid w:val="00D92E61"/>
    <w:rsid w:val="00D935BB"/>
    <w:rsid w:val="00D9360A"/>
    <w:rsid w:val="00D93B33"/>
    <w:rsid w:val="00D93D91"/>
    <w:rsid w:val="00D94136"/>
    <w:rsid w:val="00D95091"/>
    <w:rsid w:val="00D95CB0"/>
    <w:rsid w:val="00D96046"/>
    <w:rsid w:val="00D966F5"/>
    <w:rsid w:val="00D967DE"/>
    <w:rsid w:val="00D96D38"/>
    <w:rsid w:val="00D96E1A"/>
    <w:rsid w:val="00D973B2"/>
    <w:rsid w:val="00D9779A"/>
    <w:rsid w:val="00D97968"/>
    <w:rsid w:val="00D97BAA"/>
    <w:rsid w:val="00D97DE4"/>
    <w:rsid w:val="00DA0146"/>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AA3"/>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00D"/>
    <w:rsid w:val="00DB422A"/>
    <w:rsid w:val="00DB44D9"/>
    <w:rsid w:val="00DB4568"/>
    <w:rsid w:val="00DB4754"/>
    <w:rsid w:val="00DB4F28"/>
    <w:rsid w:val="00DB57E5"/>
    <w:rsid w:val="00DB5EFB"/>
    <w:rsid w:val="00DB6758"/>
    <w:rsid w:val="00DB6C84"/>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2324"/>
    <w:rsid w:val="00DD24BD"/>
    <w:rsid w:val="00DD2711"/>
    <w:rsid w:val="00DD2CC2"/>
    <w:rsid w:val="00DD2CF3"/>
    <w:rsid w:val="00DD332A"/>
    <w:rsid w:val="00DD3482"/>
    <w:rsid w:val="00DD3D8D"/>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C7"/>
    <w:rsid w:val="00E04421"/>
    <w:rsid w:val="00E0465E"/>
    <w:rsid w:val="00E04C73"/>
    <w:rsid w:val="00E0520E"/>
    <w:rsid w:val="00E055E3"/>
    <w:rsid w:val="00E06010"/>
    <w:rsid w:val="00E06480"/>
    <w:rsid w:val="00E0651F"/>
    <w:rsid w:val="00E06BB6"/>
    <w:rsid w:val="00E073AC"/>
    <w:rsid w:val="00E0781A"/>
    <w:rsid w:val="00E07929"/>
    <w:rsid w:val="00E10B66"/>
    <w:rsid w:val="00E10B7B"/>
    <w:rsid w:val="00E11475"/>
    <w:rsid w:val="00E116C5"/>
    <w:rsid w:val="00E119E3"/>
    <w:rsid w:val="00E12A46"/>
    <w:rsid w:val="00E13165"/>
    <w:rsid w:val="00E134E0"/>
    <w:rsid w:val="00E138F8"/>
    <w:rsid w:val="00E13E04"/>
    <w:rsid w:val="00E14881"/>
    <w:rsid w:val="00E1494A"/>
    <w:rsid w:val="00E149C5"/>
    <w:rsid w:val="00E15860"/>
    <w:rsid w:val="00E167D3"/>
    <w:rsid w:val="00E16CC6"/>
    <w:rsid w:val="00E175A7"/>
    <w:rsid w:val="00E20168"/>
    <w:rsid w:val="00E20695"/>
    <w:rsid w:val="00E20740"/>
    <w:rsid w:val="00E20E92"/>
    <w:rsid w:val="00E21106"/>
    <w:rsid w:val="00E21CFC"/>
    <w:rsid w:val="00E21FA5"/>
    <w:rsid w:val="00E22C01"/>
    <w:rsid w:val="00E23622"/>
    <w:rsid w:val="00E23B4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560"/>
    <w:rsid w:val="00E30BAB"/>
    <w:rsid w:val="00E30C01"/>
    <w:rsid w:val="00E31B92"/>
    <w:rsid w:val="00E31BCB"/>
    <w:rsid w:val="00E3286C"/>
    <w:rsid w:val="00E32963"/>
    <w:rsid w:val="00E32D9B"/>
    <w:rsid w:val="00E32DF1"/>
    <w:rsid w:val="00E332A7"/>
    <w:rsid w:val="00E33359"/>
    <w:rsid w:val="00E337BC"/>
    <w:rsid w:val="00E34160"/>
    <w:rsid w:val="00E34602"/>
    <w:rsid w:val="00E34E11"/>
    <w:rsid w:val="00E350CD"/>
    <w:rsid w:val="00E35223"/>
    <w:rsid w:val="00E36A20"/>
    <w:rsid w:val="00E36B2E"/>
    <w:rsid w:val="00E36DD1"/>
    <w:rsid w:val="00E36DFD"/>
    <w:rsid w:val="00E36FC6"/>
    <w:rsid w:val="00E372A9"/>
    <w:rsid w:val="00E4001B"/>
    <w:rsid w:val="00E412A0"/>
    <w:rsid w:val="00E41737"/>
    <w:rsid w:val="00E41952"/>
    <w:rsid w:val="00E43094"/>
    <w:rsid w:val="00E43E14"/>
    <w:rsid w:val="00E45711"/>
    <w:rsid w:val="00E45A4C"/>
    <w:rsid w:val="00E45D3B"/>
    <w:rsid w:val="00E461C0"/>
    <w:rsid w:val="00E46B7C"/>
    <w:rsid w:val="00E46B9D"/>
    <w:rsid w:val="00E47262"/>
    <w:rsid w:val="00E477D3"/>
    <w:rsid w:val="00E50274"/>
    <w:rsid w:val="00E506CB"/>
    <w:rsid w:val="00E507F3"/>
    <w:rsid w:val="00E509CA"/>
    <w:rsid w:val="00E50B9E"/>
    <w:rsid w:val="00E50E3D"/>
    <w:rsid w:val="00E50F64"/>
    <w:rsid w:val="00E51562"/>
    <w:rsid w:val="00E51E10"/>
    <w:rsid w:val="00E51FDE"/>
    <w:rsid w:val="00E5333A"/>
    <w:rsid w:val="00E534B2"/>
    <w:rsid w:val="00E53CBB"/>
    <w:rsid w:val="00E54173"/>
    <w:rsid w:val="00E54730"/>
    <w:rsid w:val="00E55459"/>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991"/>
    <w:rsid w:val="00E84F5C"/>
    <w:rsid w:val="00E84FB3"/>
    <w:rsid w:val="00E856FD"/>
    <w:rsid w:val="00E86A3E"/>
    <w:rsid w:val="00E86E52"/>
    <w:rsid w:val="00E86F68"/>
    <w:rsid w:val="00E87037"/>
    <w:rsid w:val="00E87819"/>
    <w:rsid w:val="00E90092"/>
    <w:rsid w:val="00E90228"/>
    <w:rsid w:val="00E90ED5"/>
    <w:rsid w:val="00E921F3"/>
    <w:rsid w:val="00E92854"/>
    <w:rsid w:val="00E930AA"/>
    <w:rsid w:val="00E93749"/>
    <w:rsid w:val="00E940E0"/>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2FC"/>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A68"/>
    <w:rsid w:val="00EC1212"/>
    <w:rsid w:val="00EC13D6"/>
    <w:rsid w:val="00EC18EA"/>
    <w:rsid w:val="00EC1D3D"/>
    <w:rsid w:val="00EC1DF2"/>
    <w:rsid w:val="00EC2085"/>
    <w:rsid w:val="00EC2540"/>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A08"/>
    <w:rsid w:val="00ED4CE6"/>
    <w:rsid w:val="00ED4D0C"/>
    <w:rsid w:val="00ED5536"/>
    <w:rsid w:val="00ED56CF"/>
    <w:rsid w:val="00ED5B5C"/>
    <w:rsid w:val="00ED68F0"/>
    <w:rsid w:val="00ED6B5A"/>
    <w:rsid w:val="00ED6C38"/>
    <w:rsid w:val="00ED6D18"/>
    <w:rsid w:val="00ED70BD"/>
    <w:rsid w:val="00ED7934"/>
    <w:rsid w:val="00ED7D28"/>
    <w:rsid w:val="00ED7EE8"/>
    <w:rsid w:val="00EE08FC"/>
    <w:rsid w:val="00EE0B3E"/>
    <w:rsid w:val="00EE0BAA"/>
    <w:rsid w:val="00EE0CF5"/>
    <w:rsid w:val="00EE1FD6"/>
    <w:rsid w:val="00EE26E6"/>
    <w:rsid w:val="00EE3556"/>
    <w:rsid w:val="00EE37BB"/>
    <w:rsid w:val="00EE37C3"/>
    <w:rsid w:val="00EE433C"/>
    <w:rsid w:val="00EE45EA"/>
    <w:rsid w:val="00EE5100"/>
    <w:rsid w:val="00EE5259"/>
    <w:rsid w:val="00EE52BE"/>
    <w:rsid w:val="00EE5E03"/>
    <w:rsid w:val="00EE60E0"/>
    <w:rsid w:val="00EE6135"/>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DA2"/>
    <w:rsid w:val="00F1148B"/>
    <w:rsid w:val="00F11BB3"/>
    <w:rsid w:val="00F122ED"/>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267"/>
    <w:rsid w:val="00F261E3"/>
    <w:rsid w:val="00F26398"/>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836"/>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88D"/>
    <w:rsid w:val="00F50B4B"/>
    <w:rsid w:val="00F514FB"/>
    <w:rsid w:val="00F52B73"/>
    <w:rsid w:val="00F52B7B"/>
    <w:rsid w:val="00F53C92"/>
    <w:rsid w:val="00F550C7"/>
    <w:rsid w:val="00F55738"/>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501"/>
    <w:rsid w:val="00F67B6E"/>
    <w:rsid w:val="00F7022D"/>
    <w:rsid w:val="00F70B07"/>
    <w:rsid w:val="00F70BBD"/>
    <w:rsid w:val="00F7174B"/>
    <w:rsid w:val="00F71D1A"/>
    <w:rsid w:val="00F728DD"/>
    <w:rsid w:val="00F72953"/>
    <w:rsid w:val="00F72A85"/>
    <w:rsid w:val="00F72B0D"/>
    <w:rsid w:val="00F73B5B"/>
    <w:rsid w:val="00F73BBF"/>
    <w:rsid w:val="00F745AD"/>
    <w:rsid w:val="00F749AF"/>
    <w:rsid w:val="00F74D3B"/>
    <w:rsid w:val="00F75686"/>
    <w:rsid w:val="00F75EB5"/>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24"/>
    <w:rsid w:val="00F853B8"/>
    <w:rsid w:val="00F85E98"/>
    <w:rsid w:val="00F86F36"/>
    <w:rsid w:val="00F90F30"/>
    <w:rsid w:val="00F91762"/>
    <w:rsid w:val="00F91943"/>
    <w:rsid w:val="00F9231F"/>
    <w:rsid w:val="00F9242E"/>
    <w:rsid w:val="00F92924"/>
    <w:rsid w:val="00F92A6F"/>
    <w:rsid w:val="00F930B8"/>
    <w:rsid w:val="00F9388B"/>
    <w:rsid w:val="00F938FE"/>
    <w:rsid w:val="00F93A21"/>
    <w:rsid w:val="00F94181"/>
    <w:rsid w:val="00F945ED"/>
    <w:rsid w:val="00F94824"/>
    <w:rsid w:val="00F94C4E"/>
    <w:rsid w:val="00F94D42"/>
    <w:rsid w:val="00F95051"/>
    <w:rsid w:val="00F951A5"/>
    <w:rsid w:val="00F9596E"/>
    <w:rsid w:val="00F95989"/>
    <w:rsid w:val="00F96798"/>
    <w:rsid w:val="00F96907"/>
    <w:rsid w:val="00F96919"/>
    <w:rsid w:val="00F97B87"/>
    <w:rsid w:val="00FA0A7C"/>
    <w:rsid w:val="00FA10F4"/>
    <w:rsid w:val="00FA18D9"/>
    <w:rsid w:val="00FA1E4A"/>
    <w:rsid w:val="00FA1E93"/>
    <w:rsid w:val="00FA2F63"/>
    <w:rsid w:val="00FA320A"/>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655A"/>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69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E015F"/>
    <w:rsid w:val="00FE0276"/>
    <w:rsid w:val="00FE033E"/>
    <w:rsid w:val="00FE1622"/>
    <w:rsid w:val="00FE2EDE"/>
    <w:rsid w:val="00FE339F"/>
    <w:rsid w:val="00FE3B5F"/>
    <w:rsid w:val="00FE4FB6"/>
    <w:rsid w:val="00FE5873"/>
    <w:rsid w:val="00FE5B8E"/>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32CE"/>
    <w:rsid w:val="00FF40EF"/>
    <w:rsid w:val="00FF659E"/>
    <w:rsid w:val="00FF6B55"/>
    <w:rsid w:val="00FF75F6"/>
    <w:rsid w:val="00FF7D34"/>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04748"/>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104748"/>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04748"/>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104748"/>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C22E4-BEFB-43D5-B091-71CC28794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2015-09-02T18:12:00Z</dcterms:created>
  <dcterms:modified xsi:type="dcterms:W3CDTF">2015-09-03T15:47:00Z</dcterms:modified>
</cp:coreProperties>
</file>