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C253EC" w:rsidP="00C253EC">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r>
        <w:rPr>
          <w:sz w:val="24"/>
          <w:szCs w:val="24"/>
        </w:rPr>
        <w:t>September 4, 2015</w:t>
      </w:r>
    </w:p>
    <w:p w:rsidR="004376E3" w:rsidRPr="005824C2" w:rsidRDefault="004376E3" w:rsidP="004376E3">
      <w:pPr>
        <w:jc w:val="right"/>
        <w:rPr>
          <w:color w:val="000000" w:themeColor="text1"/>
          <w:szCs w:val="24"/>
        </w:rPr>
      </w:pPr>
      <w:r w:rsidRPr="005824C2">
        <w:rPr>
          <w:color w:val="000000" w:themeColor="text1"/>
          <w:szCs w:val="24"/>
        </w:rPr>
        <w:lastRenderedPageBreak/>
        <w:t>Docket No. R-20</w:t>
      </w:r>
      <w:r w:rsidR="005824C2" w:rsidRPr="005824C2">
        <w:rPr>
          <w:color w:val="000000" w:themeColor="text1"/>
          <w:szCs w:val="24"/>
        </w:rPr>
        <w:t>1</w:t>
      </w:r>
      <w:r w:rsidR="00910F79">
        <w:rPr>
          <w:color w:val="000000" w:themeColor="text1"/>
          <w:szCs w:val="24"/>
        </w:rPr>
        <w:t>5-2501253</w:t>
      </w:r>
      <w:r w:rsidR="002E5260" w:rsidRPr="005824C2">
        <w:rPr>
          <w:color w:val="000000" w:themeColor="text1"/>
          <w:szCs w:val="24"/>
        </w:rPr>
        <w:fldChar w:fldCharType="begin">
          <w:ffData>
            <w:name w:val="Text15"/>
            <w:enabled/>
            <w:calcOnExit w:val="0"/>
            <w:textInput/>
          </w:ffData>
        </w:fldChar>
      </w:r>
      <w:r w:rsidRPr="005824C2">
        <w:rPr>
          <w:color w:val="000000" w:themeColor="text1"/>
          <w:szCs w:val="24"/>
        </w:rPr>
        <w:instrText xml:space="preserve"> FORMTEXT </w:instrText>
      </w:r>
      <w:r w:rsidR="002D0C8A">
        <w:rPr>
          <w:color w:val="000000" w:themeColor="text1"/>
          <w:szCs w:val="24"/>
        </w:rPr>
      </w:r>
      <w:r w:rsidR="002D0C8A">
        <w:rPr>
          <w:color w:val="000000" w:themeColor="text1"/>
          <w:szCs w:val="24"/>
        </w:rPr>
        <w:fldChar w:fldCharType="separate"/>
      </w:r>
      <w:r w:rsidR="002E5260" w:rsidRPr="005824C2">
        <w:rPr>
          <w:color w:val="000000" w:themeColor="text1"/>
          <w:szCs w:val="24"/>
        </w:rPr>
        <w:fldChar w:fldCharType="end"/>
      </w:r>
    </w:p>
    <w:p w:rsidR="004376E3" w:rsidRPr="005824C2" w:rsidRDefault="004376E3" w:rsidP="004376E3">
      <w:pPr>
        <w:pStyle w:val="BodyText"/>
        <w:jc w:val="right"/>
        <w:rPr>
          <w:color w:val="000000" w:themeColor="text1"/>
        </w:rPr>
      </w:pPr>
      <w:r w:rsidRPr="005824C2">
        <w:rPr>
          <w:color w:val="000000" w:themeColor="text1"/>
          <w:szCs w:val="24"/>
        </w:rPr>
        <w:t xml:space="preserve">                                                                           </w:t>
      </w:r>
      <w:r w:rsidRPr="005824C2">
        <w:rPr>
          <w:color w:val="000000" w:themeColor="text1"/>
        </w:rPr>
        <w:t xml:space="preserve">Utility Code: </w:t>
      </w:r>
      <w:r w:rsidR="00302ED4">
        <w:rPr>
          <w:color w:val="000000" w:themeColor="text1"/>
        </w:rPr>
        <w:t>310800</w:t>
      </w:r>
    </w:p>
    <w:p w:rsidR="004376E3" w:rsidRPr="005824C2" w:rsidRDefault="005824C2" w:rsidP="004376E3">
      <w:pPr>
        <w:rPr>
          <w:caps/>
          <w:color w:val="000000" w:themeColor="text1"/>
          <w:szCs w:val="24"/>
        </w:rPr>
      </w:pPr>
      <w:r w:rsidRPr="005824C2">
        <w:rPr>
          <w:caps/>
          <w:color w:val="000000" w:themeColor="text1"/>
          <w:szCs w:val="24"/>
        </w:rPr>
        <w:t>JESSICA MATUSHEK</w:t>
      </w:r>
    </w:p>
    <w:p w:rsidR="005824C2" w:rsidRPr="005824C2" w:rsidRDefault="005824C2" w:rsidP="004376E3">
      <w:pPr>
        <w:rPr>
          <w:caps/>
          <w:color w:val="000000" w:themeColor="text1"/>
          <w:szCs w:val="24"/>
        </w:rPr>
      </w:pPr>
      <w:r w:rsidRPr="005824C2">
        <w:rPr>
          <w:caps/>
          <w:color w:val="000000" w:themeColor="text1"/>
          <w:szCs w:val="24"/>
        </w:rPr>
        <w:t>DIRECTOR ACCOUNTING</w:t>
      </w:r>
    </w:p>
    <w:p w:rsidR="005824C2" w:rsidRPr="005824C2" w:rsidRDefault="005824C2" w:rsidP="004376E3">
      <w:pPr>
        <w:rPr>
          <w:caps/>
          <w:color w:val="000000" w:themeColor="text1"/>
          <w:szCs w:val="24"/>
        </w:rPr>
      </w:pPr>
      <w:r w:rsidRPr="005824C2">
        <w:rPr>
          <w:caps/>
          <w:color w:val="000000" w:themeColor="text1"/>
          <w:szCs w:val="24"/>
        </w:rPr>
        <w:t>FRONTIER COMMUNICATIONS</w:t>
      </w:r>
    </w:p>
    <w:p w:rsidR="005824C2" w:rsidRPr="005824C2" w:rsidRDefault="005824C2" w:rsidP="004376E3">
      <w:pPr>
        <w:rPr>
          <w:caps/>
          <w:color w:val="000000" w:themeColor="text1"/>
          <w:szCs w:val="24"/>
        </w:rPr>
      </w:pPr>
      <w:r w:rsidRPr="005824C2">
        <w:rPr>
          <w:caps/>
          <w:color w:val="000000" w:themeColor="text1"/>
          <w:szCs w:val="24"/>
        </w:rPr>
        <w:t>100 CTE DRIVE</w:t>
      </w:r>
    </w:p>
    <w:p w:rsidR="005824C2" w:rsidRPr="005824C2" w:rsidRDefault="005824C2" w:rsidP="00302ED4">
      <w:pPr>
        <w:spacing w:after="120"/>
        <w:rPr>
          <w:color w:val="000000" w:themeColor="text1"/>
          <w:szCs w:val="24"/>
        </w:rPr>
      </w:pPr>
      <w:r w:rsidRPr="005824C2">
        <w:rPr>
          <w:caps/>
          <w:color w:val="000000" w:themeColor="text1"/>
          <w:szCs w:val="24"/>
        </w:rPr>
        <w:t>DALLAS PA 18612</w:t>
      </w:r>
    </w:p>
    <w:p w:rsidR="00302ED4" w:rsidRDefault="004376E3" w:rsidP="004376E3">
      <w:pPr>
        <w:ind w:left="1440" w:hanging="720"/>
        <w:jc w:val="both"/>
        <w:rPr>
          <w:color w:val="000000" w:themeColor="text1"/>
          <w:szCs w:val="24"/>
        </w:rPr>
      </w:pPr>
      <w:r w:rsidRPr="005824C2">
        <w:rPr>
          <w:color w:val="000000" w:themeColor="text1"/>
          <w:szCs w:val="24"/>
        </w:rPr>
        <w:t>Re:</w:t>
      </w:r>
      <w:r w:rsidRPr="005824C2">
        <w:rPr>
          <w:color w:val="000000" w:themeColor="text1"/>
          <w:szCs w:val="24"/>
        </w:rPr>
        <w:tab/>
      </w:r>
      <w:r w:rsidR="00302ED4">
        <w:rPr>
          <w:color w:val="000000" w:themeColor="text1"/>
          <w:szCs w:val="24"/>
        </w:rPr>
        <w:t xml:space="preserve">Commonwealth Telephone Company </w:t>
      </w:r>
    </w:p>
    <w:p w:rsidR="004376E3" w:rsidRPr="005824C2" w:rsidRDefault="00302ED4" w:rsidP="004376E3">
      <w:pPr>
        <w:ind w:left="1440" w:hanging="720"/>
        <w:jc w:val="both"/>
        <w:rPr>
          <w:color w:val="000000" w:themeColor="text1"/>
          <w:szCs w:val="24"/>
        </w:rPr>
      </w:pPr>
      <w:r>
        <w:rPr>
          <w:color w:val="000000" w:themeColor="text1"/>
          <w:szCs w:val="24"/>
        </w:rPr>
        <w:tab/>
      </w:r>
      <w:proofErr w:type="gramStart"/>
      <w:r>
        <w:rPr>
          <w:color w:val="000000" w:themeColor="text1"/>
          <w:szCs w:val="24"/>
        </w:rPr>
        <w:t>d/b/a</w:t>
      </w:r>
      <w:proofErr w:type="gramEnd"/>
      <w:r>
        <w:rPr>
          <w:color w:val="000000" w:themeColor="text1"/>
          <w:szCs w:val="24"/>
        </w:rPr>
        <w:t xml:space="preserve"> Frontier Communications Commonwealth Telephone Company</w:t>
      </w:r>
    </w:p>
    <w:p w:rsidR="004376E3" w:rsidRPr="005824C2" w:rsidRDefault="00910F79" w:rsidP="00302ED4">
      <w:pPr>
        <w:spacing w:after="120"/>
        <w:ind w:left="1440"/>
        <w:jc w:val="both"/>
        <w:rPr>
          <w:color w:val="000000" w:themeColor="text1"/>
          <w:szCs w:val="24"/>
        </w:rPr>
      </w:pPr>
      <w:r>
        <w:rPr>
          <w:color w:val="000000" w:themeColor="text1"/>
          <w:szCs w:val="24"/>
        </w:rPr>
        <w:t>2015</w:t>
      </w:r>
      <w:r w:rsidR="005824C2" w:rsidRPr="005824C2">
        <w:rPr>
          <w:color w:val="000000" w:themeColor="text1"/>
          <w:szCs w:val="24"/>
        </w:rPr>
        <w:t xml:space="preserve"> State Tax Adjustment Surcharge Filing</w:t>
      </w:r>
    </w:p>
    <w:p w:rsidR="004376E3" w:rsidRPr="005824C2" w:rsidRDefault="004376E3" w:rsidP="004376E3">
      <w:pPr>
        <w:rPr>
          <w:color w:val="000000" w:themeColor="text1"/>
          <w:szCs w:val="24"/>
        </w:rPr>
      </w:pPr>
      <w:r w:rsidRPr="005824C2">
        <w:rPr>
          <w:color w:val="000000" w:themeColor="text1"/>
          <w:szCs w:val="24"/>
        </w:rPr>
        <w:t>Dear M</w:t>
      </w:r>
      <w:r w:rsidR="005824C2" w:rsidRPr="005824C2">
        <w:rPr>
          <w:color w:val="000000" w:themeColor="text1"/>
          <w:szCs w:val="24"/>
        </w:rPr>
        <w:t xml:space="preserve">s. </w:t>
      </w:r>
      <w:proofErr w:type="spellStart"/>
      <w:r w:rsidR="005824C2" w:rsidRPr="005824C2">
        <w:rPr>
          <w:color w:val="000000" w:themeColor="text1"/>
          <w:szCs w:val="24"/>
        </w:rPr>
        <w:t>Matushek</w:t>
      </w:r>
      <w:proofErr w:type="spellEnd"/>
      <w:r w:rsidRPr="005824C2">
        <w:rPr>
          <w:color w:val="000000" w:themeColor="text1"/>
          <w:szCs w:val="24"/>
        </w:rPr>
        <w:t>:</w:t>
      </w:r>
    </w:p>
    <w:p w:rsidR="00641F56" w:rsidRPr="005824C2" w:rsidRDefault="00641F56" w:rsidP="004376E3">
      <w:pPr>
        <w:rPr>
          <w:color w:val="000000" w:themeColor="text1"/>
          <w:szCs w:val="24"/>
        </w:rPr>
      </w:pPr>
    </w:p>
    <w:p w:rsidR="00FB7FAC" w:rsidRPr="005824C2" w:rsidRDefault="00641F56" w:rsidP="00FB7FAC">
      <w:pPr>
        <w:pStyle w:val="BodyText"/>
        <w:ind w:firstLine="720"/>
        <w:rPr>
          <w:color w:val="000000" w:themeColor="text1"/>
          <w:szCs w:val="24"/>
        </w:rPr>
      </w:pPr>
      <w:r w:rsidRPr="005824C2">
        <w:rPr>
          <w:color w:val="000000" w:themeColor="text1"/>
          <w:szCs w:val="24"/>
        </w:rPr>
        <w:t>Commission Staf</w:t>
      </w:r>
      <w:r w:rsidR="005824C2" w:rsidRPr="005824C2">
        <w:rPr>
          <w:color w:val="000000" w:themeColor="text1"/>
          <w:szCs w:val="24"/>
        </w:rPr>
        <w:t>f has reviewed</w:t>
      </w:r>
      <w:r w:rsidR="00302ED4">
        <w:rPr>
          <w:color w:val="000000" w:themeColor="text1"/>
          <w:szCs w:val="24"/>
        </w:rPr>
        <w:t xml:space="preserve"> Commonwealth Telephone Company d/b/a Frontier Communications Commonwealth Telephone Company’s</w:t>
      </w:r>
      <w:r w:rsidR="005824C2" w:rsidRPr="005824C2">
        <w:rPr>
          <w:color w:val="000000" w:themeColor="text1"/>
          <w:szCs w:val="24"/>
        </w:rPr>
        <w:t xml:space="preserve"> (company)</w:t>
      </w:r>
      <w:r w:rsidRPr="005824C2">
        <w:rPr>
          <w:color w:val="000000" w:themeColor="text1"/>
          <w:szCs w:val="24"/>
        </w:rPr>
        <w:t xml:space="preserve"> State Tax Adjustment Surcharge (STAS)</w:t>
      </w:r>
      <w:r w:rsidR="005824C2" w:rsidRPr="005824C2">
        <w:rPr>
          <w:color w:val="000000" w:themeColor="text1"/>
          <w:szCs w:val="24"/>
        </w:rPr>
        <w:t xml:space="preserve"> </w:t>
      </w:r>
      <w:r w:rsidR="00FB7FAC" w:rsidRPr="005824C2">
        <w:rPr>
          <w:color w:val="000000" w:themeColor="text1"/>
          <w:szCs w:val="24"/>
        </w:rPr>
        <w:t xml:space="preserve">update filed on </w:t>
      </w:r>
      <w:r w:rsidR="00910F79">
        <w:rPr>
          <w:color w:val="000000" w:themeColor="text1"/>
          <w:szCs w:val="24"/>
        </w:rPr>
        <w:t>August 28, 2015</w:t>
      </w:r>
      <w:r w:rsidR="00FB7FAC" w:rsidRPr="005824C2">
        <w:rPr>
          <w:color w:val="000000" w:themeColor="text1"/>
          <w:szCs w:val="24"/>
        </w:rPr>
        <w:t>, which was made in response to changes to Pennsylvania corporate tax rates.  Suspension or further investigation does not appear warranted at this time.  Therefore, in accordance with 52 Pa. Code, the filing and waiver, as discussed below, are approved.  However, this does not preclude this Commission from investigating the financial affairs of the company and, in appropriates cases, ordering refunds or other remedies, but only that suspension or further investigation does not appear warranted at this time.</w:t>
      </w:r>
    </w:p>
    <w:p w:rsidR="00641F56" w:rsidRPr="005824C2" w:rsidRDefault="00641F56" w:rsidP="00641F56">
      <w:pPr>
        <w:autoSpaceDE w:val="0"/>
        <w:autoSpaceDN w:val="0"/>
        <w:adjustRightInd w:val="0"/>
        <w:rPr>
          <w:color w:val="000000" w:themeColor="text1"/>
          <w:szCs w:val="24"/>
        </w:rPr>
      </w:pPr>
    </w:p>
    <w:p w:rsidR="00641F56" w:rsidRPr="005824C2" w:rsidRDefault="005824C2" w:rsidP="00641F56">
      <w:pPr>
        <w:autoSpaceDE w:val="0"/>
        <w:autoSpaceDN w:val="0"/>
        <w:adjustRightInd w:val="0"/>
        <w:ind w:firstLine="720"/>
        <w:rPr>
          <w:color w:val="000000" w:themeColor="text1"/>
          <w:szCs w:val="24"/>
        </w:rPr>
      </w:pPr>
      <w:r w:rsidRPr="005824C2">
        <w:rPr>
          <w:color w:val="000000" w:themeColor="text1"/>
          <w:szCs w:val="24"/>
        </w:rPr>
        <w:t>The company</w:t>
      </w:r>
      <w:r w:rsidR="00641F56" w:rsidRPr="005824C2">
        <w:rPr>
          <w:color w:val="000000" w:themeColor="text1"/>
          <w:szCs w:val="24"/>
        </w:rPr>
        <w:t xml:space="preserve"> re-calculated its STAS rate with an effective date of </w:t>
      </w:r>
      <w:r w:rsidR="00910F79">
        <w:rPr>
          <w:color w:val="000000" w:themeColor="text1"/>
          <w:szCs w:val="24"/>
        </w:rPr>
        <w:t>September 1, 2015</w:t>
      </w:r>
      <w:r w:rsidR="00641F56" w:rsidRPr="005824C2">
        <w:rPr>
          <w:color w:val="000000" w:themeColor="text1"/>
          <w:szCs w:val="24"/>
        </w:rPr>
        <w:t>. With this process, the company maintains a zero STAS rate</w:t>
      </w:r>
      <w:r w:rsidR="00084061">
        <w:rPr>
          <w:color w:val="000000" w:themeColor="text1"/>
          <w:szCs w:val="24"/>
        </w:rPr>
        <w:t xml:space="preserve">.  This will be offset by either a reduction of the company’s banked PSI revenues </w:t>
      </w:r>
      <w:r w:rsidR="00FB7FAC">
        <w:rPr>
          <w:color w:val="000000" w:themeColor="text1"/>
          <w:szCs w:val="24"/>
        </w:rPr>
        <w:t>or a restatement of the company’s service price index</w:t>
      </w:r>
      <w:r w:rsidR="00910F79">
        <w:rPr>
          <w:color w:val="000000" w:themeColor="text1"/>
          <w:szCs w:val="24"/>
        </w:rPr>
        <w:t xml:space="preserve"> in its 2016</w:t>
      </w:r>
      <w:r w:rsidR="00084061">
        <w:rPr>
          <w:color w:val="000000" w:themeColor="text1"/>
          <w:szCs w:val="24"/>
        </w:rPr>
        <w:t xml:space="preserve"> PSI/SPI filing</w:t>
      </w:r>
      <w:r w:rsidR="00641F56" w:rsidRPr="005824C2">
        <w:rPr>
          <w:color w:val="000000" w:themeColor="text1"/>
          <w:szCs w:val="24"/>
        </w:rPr>
        <w:t xml:space="preserve">.  Since </w:t>
      </w:r>
      <w:r w:rsidRPr="005824C2">
        <w:rPr>
          <w:color w:val="000000" w:themeColor="text1"/>
          <w:szCs w:val="24"/>
        </w:rPr>
        <w:t>the company’s local exchange</w:t>
      </w:r>
      <w:r w:rsidR="00641F56" w:rsidRPr="005824C2">
        <w:rPr>
          <w:color w:val="000000" w:themeColor="text1"/>
          <w:szCs w:val="24"/>
        </w:rPr>
        <w:t xml:space="preserve"> tariff already reflects a zero STAS rate, no tariff supplement needed to be filed.  In addition, </w:t>
      </w:r>
      <w:r w:rsidRPr="005824C2">
        <w:rPr>
          <w:color w:val="000000" w:themeColor="text1"/>
          <w:szCs w:val="24"/>
        </w:rPr>
        <w:t>the company</w:t>
      </w:r>
      <w:r w:rsidR="00641F56" w:rsidRPr="005824C2">
        <w:rPr>
          <w:color w:val="000000" w:themeColor="text1"/>
          <w:szCs w:val="24"/>
        </w:rPr>
        <w:t xml:space="preserve"> requested a waiver of the regulation at 52 </w:t>
      </w:r>
      <w:r w:rsidRPr="005824C2">
        <w:rPr>
          <w:color w:val="000000" w:themeColor="text1"/>
          <w:szCs w:val="24"/>
        </w:rPr>
        <w:t>Pa.</w:t>
      </w:r>
      <w:r w:rsidR="00641F56" w:rsidRPr="005824C2">
        <w:rPr>
          <w:color w:val="000000" w:themeColor="text1"/>
          <w:szCs w:val="24"/>
        </w:rPr>
        <w:t xml:space="preserve"> Code § 69.52, STAS Procedures</w:t>
      </w:r>
      <w:r w:rsidRPr="005824C2">
        <w:rPr>
          <w:color w:val="000000" w:themeColor="text1"/>
          <w:szCs w:val="24"/>
        </w:rPr>
        <w:t>,</w:t>
      </w:r>
      <w:r w:rsidR="00641F56" w:rsidRPr="005824C2">
        <w:rPr>
          <w:color w:val="000000" w:themeColor="text1"/>
          <w:szCs w:val="24"/>
        </w:rPr>
        <w:t xml:space="preserve"> requiring an April</w:t>
      </w:r>
      <w:r w:rsidRPr="005824C2">
        <w:rPr>
          <w:color w:val="000000" w:themeColor="text1"/>
          <w:szCs w:val="24"/>
        </w:rPr>
        <w:t>,</w:t>
      </w:r>
      <w:r w:rsidR="00910F79">
        <w:rPr>
          <w:color w:val="000000" w:themeColor="text1"/>
          <w:szCs w:val="24"/>
        </w:rPr>
        <w:t xml:space="preserve"> 2016</w:t>
      </w:r>
      <w:r w:rsidR="00641F56" w:rsidRPr="005824C2">
        <w:rPr>
          <w:color w:val="000000" w:themeColor="text1"/>
          <w:szCs w:val="24"/>
        </w:rPr>
        <w:t xml:space="preserve">, STAS filing. </w:t>
      </w:r>
      <w:r w:rsidRPr="005824C2">
        <w:rPr>
          <w:color w:val="000000" w:themeColor="text1"/>
          <w:szCs w:val="24"/>
        </w:rPr>
        <w:t xml:space="preserve"> </w:t>
      </w:r>
      <w:r w:rsidR="00641F56" w:rsidRPr="005824C2">
        <w:rPr>
          <w:color w:val="000000" w:themeColor="text1"/>
          <w:szCs w:val="24"/>
        </w:rPr>
        <w:t xml:space="preserve">We shall approve the waiver and the current STAS filing shall be </w:t>
      </w:r>
      <w:r w:rsidR="00FB7FAC">
        <w:rPr>
          <w:color w:val="000000" w:themeColor="text1"/>
          <w:szCs w:val="24"/>
        </w:rPr>
        <w:t>in effect from September 1,</w:t>
      </w:r>
      <w:r w:rsidR="00910F79">
        <w:rPr>
          <w:color w:val="000000" w:themeColor="text1"/>
          <w:szCs w:val="24"/>
        </w:rPr>
        <w:t xml:space="preserve"> 2015, through August 31, 2016</w:t>
      </w:r>
      <w:r w:rsidR="00641F56" w:rsidRPr="005824C2">
        <w:rPr>
          <w:color w:val="000000" w:themeColor="text1"/>
          <w:szCs w:val="24"/>
        </w:rPr>
        <w:t>.</w:t>
      </w:r>
    </w:p>
    <w:p w:rsidR="009575BA" w:rsidRPr="005824C2" w:rsidRDefault="009575BA" w:rsidP="00641F56">
      <w:pPr>
        <w:autoSpaceDE w:val="0"/>
        <w:autoSpaceDN w:val="0"/>
        <w:adjustRightInd w:val="0"/>
        <w:rPr>
          <w:rFonts w:cs="Courier New"/>
          <w:color w:val="000000" w:themeColor="text1"/>
          <w:szCs w:val="24"/>
        </w:rPr>
      </w:pPr>
    </w:p>
    <w:p w:rsidR="009575BA" w:rsidRPr="00E9717D" w:rsidRDefault="009575BA" w:rsidP="009575BA">
      <w:pPr>
        <w:pStyle w:val="BodyText"/>
        <w:ind w:firstLine="720"/>
        <w:rPr>
          <w:color w:val="FF00FF"/>
          <w:szCs w:val="24"/>
        </w:rPr>
      </w:pPr>
      <w:r w:rsidRPr="005824C2">
        <w:rPr>
          <w:color w:val="000000" w:themeColor="text1"/>
          <w:szCs w:val="24"/>
        </w:rPr>
        <w:t>If you are dissatisfied with the resolution of this matter, you may, as set forth in 52 Pa. Code § 5.44, file a petition with the Commission within 20 days of the date of this letter.  If you have any questions</w:t>
      </w:r>
      <w:r w:rsidR="005824C2" w:rsidRPr="005824C2">
        <w:rPr>
          <w:color w:val="000000" w:themeColor="text1"/>
          <w:szCs w:val="24"/>
        </w:rPr>
        <w:t xml:space="preserve"> in this matter, please contact Derek Vogelsong</w:t>
      </w:r>
      <w:r w:rsidRPr="005824C2">
        <w:rPr>
          <w:color w:val="000000" w:themeColor="text1"/>
          <w:szCs w:val="24"/>
        </w:rPr>
        <w:t xml:space="preserve">, Telco </w:t>
      </w:r>
      <w:r w:rsidR="00E80250" w:rsidRPr="005824C2">
        <w:rPr>
          <w:color w:val="000000" w:themeColor="text1"/>
          <w:szCs w:val="24"/>
        </w:rPr>
        <w:t>Section</w:t>
      </w:r>
      <w:r w:rsidRPr="005824C2">
        <w:rPr>
          <w:color w:val="000000" w:themeColor="text1"/>
          <w:szCs w:val="24"/>
        </w:rPr>
        <w:t xml:space="preserve">, </w:t>
      </w:r>
      <w:proofErr w:type="gramStart"/>
      <w:r w:rsidRPr="005824C2">
        <w:rPr>
          <w:color w:val="000000" w:themeColor="text1"/>
          <w:szCs w:val="24"/>
        </w:rPr>
        <w:t>Bureau</w:t>
      </w:r>
      <w:proofErr w:type="gramEnd"/>
      <w:r w:rsidRPr="005824C2">
        <w:rPr>
          <w:color w:val="000000" w:themeColor="text1"/>
          <w:szCs w:val="24"/>
        </w:rPr>
        <w:t xml:space="preserve"> of </w:t>
      </w:r>
      <w:r w:rsidR="00AE4FCE" w:rsidRPr="005824C2">
        <w:rPr>
          <w:color w:val="000000" w:themeColor="text1"/>
          <w:szCs w:val="24"/>
        </w:rPr>
        <w:t>Technical</w:t>
      </w:r>
      <w:r w:rsidRPr="005824C2">
        <w:rPr>
          <w:color w:val="000000" w:themeColor="text1"/>
          <w:szCs w:val="24"/>
        </w:rPr>
        <w:t xml:space="preserve"> Utility Services at (717)</w:t>
      </w:r>
      <w:r w:rsidR="005824C2" w:rsidRPr="005824C2">
        <w:rPr>
          <w:color w:val="000000" w:themeColor="text1"/>
          <w:szCs w:val="24"/>
        </w:rPr>
        <w:t xml:space="preserve"> 787-3861</w:t>
      </w:r>
      <w:r w:rsidRPr="00E9717D">
        <w:rPr>
          <w:szCs w:val="24"/>
        </w:rPr>
        <w:t xml:space="preserve"> or </w:t>
      </w:r>
      <w:hyperlink r:id="rId8" w:history="1">
        <w:r w:rsidR="005824C2" w:rsidRPr="00705FE6">
          <w:rPr>
            <w:rStyle w:val="Hyperlink"/>
            <w:b/>
            <w:szCs w:val="24"/>
          </w:rPr>
          <w:t>devogelson@pa.gov</w:t>
        </w:r>
      </w:hyperlink>
      <w:r w:rsidR="005824C2" w:rsidRPr="00705FE6">
        <w:rPr>
          <w:color w:val="000000" w:themeColor="text1"/>
          <w:szCs w:val="24"/>
        </w:rPr>
        <w:t>.</w:t>
      </w:r>
    </w:p>
    <w:p w:rsidR="009575BA" w:rsidRPr="00E9717D" w:rsidRDefault="00C253EC" w:rsidP="009575BA">
      <w:pPr>
        <w:rPr>
          <w:szCs w:val="24"/>
        </w:rPr>
      </w:pPr>
      <w:r>
        <w:rPr>
          <w:noProof/>
        </w:rPr>
        <w:drawing>
          <wp:anchor distT="0" distB="0" distL="114300" distR="114300" simplePos="0" relativeHeight="251659264" behindDoc="1" locked="0" layoutInCell="1" allowOverlap="1" wp14:anchorId="67A5408F" wp14:editId="49AAA323">
            <wp:simplePos x="0" y="0"/>
            <wp:positionH relativeFrom="column">
              <wp:posOffset>2686050</wp:posOffset>
            </wp:positionH>
            <wp:positionV relativeFrom="paragraph">
              <wp:posOffset>67945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575BA" w:rsidRPr="00E9717D" w:rsidRDefault="009575BA" w:rsidP="009575BA">
      <w:pPr>
        <w:rPr>
          <w:szCs w:val="24"/>
        </w:rPr>
      </w:pPr>
      <w:r w:rsidRPr="00E9717D">
        <w:rPr>
          <w:szCs w:val="24"/>
        </w:rPr>
        <w:tab/>
      </w:r>
      <w:r w:rsidRPr="00E9717D">
        <w:rPr>
          <w:szCs w:val="24"/>
        </w:rPr>
        <w:tab/>
      </w:r>
      <w:r w:rsidRPr="00E9717D">
        <w:rPr>
          <w:szCs w:val="24"/>
        </w:rPr>
        <w:tab/>
      </w:r>
      <w:r w:rsidRPr="00E9717D">
        <w:rPr>
          <w:szCs w:val="24"/>
        </w:rPr>
        <w:tab/>
      </w:r>
      <w:bookmarkStart w:id="0" w:name="_GoBack"/>
      <w:bookmarkEnd w:id="0"/>
      <w:r w:rsidRPr="00E9717D">
        <w:rPr>
          <w:szCs w:val="24"/>
        </w:rPr>
        <w:tab/>
      </w:r>
      <w:r w:rsidRPr="00E9717D">
        <w:rPr>
          <w:szCs w:val="24"/>
        </w:rPr>
        <w:tab/>
        <w:t>Sincerely,</w:t>
      </w:r>
    </w:p>
    <w:p w:rsidR="009575BA"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5824C2">
      <w:pPr>
        <w:pStyle w:val="Heading2"/>
        <w:tabs>
          <w:tab w:val="left" w:pos="4320"/>
        </w:tabs>
        <w:ind w:left="0" w:firstLine="0"/>
        <w:rPr>
          <w:szCs w:val="24"/>
        </w:rPr>
      </w:pPr>
      <w:r w:rsidRPr="00E9717D">
        <w:rPr>
          <w:szCs w:val="24"/>
        </w:rPr>
        <w:tab/>
        <w:t>Secretary</w:t>
      </w:r>
    </w:p>
    <w:p w:rsidR="00A24641" w:rsidRPr="002E699B" w:rsidRDefault="009575BA" w:rsidP="002E699B">
      <w:pPr>
        <w:rPr>
          <w:color w:val="FF00FF"/>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8A" w:rsidRDefault="002D0C8A">
      <w:r>
        <w:separator/>
      </w:r>
    </w:p>
  </w:endnote>
  <w:endnote w:type="continuationSeparator" w:id="0">
    <w:p w:rsidR="002D0C8A" w:rsidRDefault="002D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8A" w:rsidRDefault="002D0C8A">
      <w:r>
        <w:separator/>
      </w:r>
    </w:p>
  </w:footnote>
  <w:footnote w:type="continuationSeparator" w:id="0">
    <w:p w:rsidR="002D0C8A" w:rsidRDefault="002D0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061"/>
    <w:rsid w:val="0008427B"/>
    <w:rsid w:val="000902EE"/>
    <w:rsid w:val="0009284F"/>
    <w:rsid w:val="000A2451"/>
    <w:rsid w:val="000A2F8D"/>
    <w:rsid w:val="000C1530"/>
    <w:rsid w:val="000D01DF"/>
    <w:rsid w:val="000D03CA"/>
    <w:rsid w:val="000D0FD9"/>
    <w:rsid w:val="000E07BF"/>
    <w:rsid w:val="000E3B2C"/>
    <w:rsid w:val="000E6A31"/>
    <w:rsid w:val="000F4339"/>
    <w:rsid w:val="001264B6"/>
    <w:rsid w:val="00131DDA"/>
    <w:rsid w:val="001334FC"/>
    <w:rsid w:val="00142BA3"/>
    <w:rsid w:val="00150A3B"/>
    <w:rsid w:val="00150F8B"/>
    <w:rsid w:val="001535C8"/>
    <w:rsid w:val="00156385"/>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84B79"/>
    <w:rsid w:val="00294B4B"/>
    <w:rsid w:val="002B1776"/>
    <w:rsid w:val="002D043D"/>
    <w:rsid w:val="002D0C8A"/>
    <w:rsid w:val="002E5260"/>
    <w:rsid w:val="002E699B"/>
    <w:rsid w:val="002F1221"/>
    <w:rsid w:val="002F2CF3"/>
    <w:rsid w:val="00302ED4"/>
    <w:rsid w:val="00303F21"/>
    <w:rsid w:val="003107D6"/>
    <w:rsid w:val="003212C6"/>
    <w:rsid w:val="00323D97"/>
    <w:rsid w:val="00331BA5"/>
    <w:rsid w:val="0033489B"/>
    <w:rsid w:val="0034777A"/>
    <w:rsid w:val="00352AFA"/>
    <w:rsid w:val="00386173"/>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24C2"/>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41F56"/>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464C"/>
    <w:rsid w:val="006E1263"/>
    <w:rsid w:val="006F6DD4"/>
    <w:rsid w:val="006F7BD8"/>
    <w:rsid w:val="00701979"/>
    <w:rsid w:val="00705FE6"/>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4FC"/>
    <w:rsid w:val="007F36B4"/>
    <w:rsid w:val="007F7700"/>
    <w:rsid w:val="007F78A1"/>
    <w:rsid w:val="008159FD"/>
    <w:rsid w:val="00833958"/>
    <w:rsid w:val="00834BEC"/>
    <w:rsid w:val="00841BD1"/>
    <w:rsid w:val="00851B65"/>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B7CFE"/>
    <w:rsid w:val="008C2E2F"/>
    <w:rsid w:val="008C37D1"/>
    <w:rsid w:val="008C5915"/>
    <w:rsid w:val="008D56BF"/>
    <w:rsid w:val="008E0D47"/>
    <w:rsid w:val="008E73B0"/>
    <w:rsid w:val="008F3AEB"/>
    <w:rsid w:val="008F4B6C"/>
    <w:rsid w:val="00900849"/>
    <w:rsid w:val="00903478"/>
    <w:rsid w:val="00905ACF"/>
    <w:rsid w:val="00910F79"/>
    <w:rsid w:val="00914CFE"/>
    <w:rsid w:val="009417CD"/>
    <w:rsid w:val="00944407"/>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35D4"/>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3D6"/>
    <w:rsid w:val="00BD6B09"/>
    <w:rsid w:val="00BE46FD"/>
    <w:rsid w:val="00BE51E5"/>
    <w:rsid w:val="00BE7C84"/>
    <w:rsid w:val="00BF0CE9"/>
    <w:rsid w:val="00C22074"/>
    <w:rsid w:val="00C253EC"/>
    <w:rsid w:val="00C25A0A"/>
    <w:rsid w:val="00C33E42"/>
    <w:rsid w:val="00C3562A"/>
    <w:rsid w:val="00C3746F"/>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95E"/>
    <w:rsid w:val="00E200A1"/>
    <w:rsid w:val="00E22A88"/>
    <w:rsid w:val="00E2671D"/>
    <w:rsid w:val="00E31FD0"/>
    <w:rsid w:val="00E32CF9"/>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00C23"/>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B7FAC"/>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gelso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2435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3</cp:revision>
  <cp:lastPrinted>2015-09-04T16:01:00Z</cp:lastPrinted>
  <dcterms:created xsi:type="dcterms:W3CDTF">2015-09-04T13:08:00Z</dcterms:created>
  <dcterms:modified xsi:type="dcterms:W3CDTF">2015-09-04T16:03:00Z</dcterms:modified>
</cp:coreProperties>
</file>