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PENNSYLVANIA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3402B" w:rsidRDefault="0003402B" w:rsidP="0003402B">
      <w:pPr>
        <w:rPr>
          <w:sz w:val="24"/>
          <w:szCs w:val="24"/>
        </w:rPr>
      </w:pPr>
    </w:p>
    <w:p w:rsidR="0003402B" w:rsidRDefault="0003402B" w:rsidP="0003402B">
      <w:pPr>
        <w:rPr>
          <w:sz w:val="24"/>
          <w:szCs w:val="24"/>
        </w:rPr>
      </w:pPr>
    </w:p>
    <w:p w:rsidR="000F1894" w:rsidRDefault="0003402B" w:rsidP="0003402B">
      <w:pPr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Salko</w:t>
      </w:r>
      <w:proofErr w:type="spellEnd"/>
      <w:r>
        <w:rPr>
          <w:sz w:val="24"/>
          <w:szCs w:val="24"/>
        </w:rPr>
        <w:t>, Jr.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BF6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406BF6" w:rsidRDefault="00406BF6" w:rsidP="000340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3402B" w:rsidRDefault="0003402B" w:rsidP="0003402B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BF6">
        <w:rPr>
          <w:sz w:val="24"/>
          <w:szCs w:val="24"/>
        </w:rPr>
        <w:tab/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06BF6">
        <w:rPr>
          <w:sz w:val="24"/>
          <w:szCs w:val="24"/>
        </w:rPr>
        <w:tab/>
      </w:r>
      <w:r>
        <w:rPr>
          <w:sz w:val="24"/>
          <w:szCs w:val="24"/>
        </w:rPr>
        <w:t>C-2014-2445387</w:t>
      </w:r>
    </w:p>
    <w:p w:rsidR="00406BF6" w:rsidRDefault="00406BF6" w:rsidP="000340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3402B" w:rsidRDefault="0003402B" w:rsidP="0003402B">
      <w:pPr>
        <w:rPr>
          <w:sz w:val="24"/>
          <w:szCs w:val="24"/>
        </w:rPr>
      </w:pPr>
      <w:r>
        <w:rPr>
          <w:sz w:val="24"/>
          <w:szCs w:val="24"/>
        </w:rPr>
        <w:t>Verizon Pennsylvania LLC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BF6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A14713" w:rsidRDefault="00A14713" w:rsidP="0003402B">
      <w:pPr>
        <w:rPr>
          <w:sz w:val="24"/>
          <w:szCs w:val="24"/>
        </w:rPr>
      </w:pPr>
    </w:p>
    <w:p w:rsidR="005E3007" w:rsidRDefault="005E3007" w:rsidP="00E52738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  <w:r w:rsidRPr="00966FB7">
        <w:rPr>
          <w:bCs/>
          <w:spacing w:val="-3"/>
          <w:sz w:val="24"/>
          <w:szCs w:val="24"/>
        </w:rPr>
        <w:tab/>
      </w:r>
    </w:p>
    <w:p w:rsidR="00E52738" w:rsidRDefault="00E52738" w:rsidP="00E52738">
      <w:pPr>
        <w:tabs>
          <w:tab w:val="left" w:pos="-720"/>
        </w:tabs>
        <w:suppressAutoHyphens/>
        <w:rPr>
          <w:bCs/>
          <w:spacing w:val="-3"/>
          <w:sz w:val="24"/>
          <w:szCs w:val="24"/>
        </w:rPr>
      </w:pPr>
    </w:p>
    <w:p w:rsidR="000F1894" w:rsidRDefault="00CB495C" w:rsidP="002E1E50">
      <w:pPr>
        <w:spacing w:line="360" w:lineRule="auto"/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INitial decision</w:t>
      </w:r>
    </w:p>
    <w:p w:rsidR="00406BF6" w:rsidRPr="00E514FA" w:rsidRDefault="00406BF6" w:rsidP="000F1894">
      <w:pPr>
        <w:jc w:val="center"/>
        <w:rPr>
          <w:b/>
          <w:sz w:val="24"/>
          <w:szCs w:val="24"/>
        </w:rPr>
      </w:pPr>
    </w:p>
    <w:p w:rsidR="006A21C2" w:rsidRPr="006A21C2" w:rsidRDefault="006A21C2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BC7AF5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</w:p>
    <w:p w:rsidR="002E1E50" w:rsidRDefault="002E1E50" w:rsidP="000F1894">
      <w:pPr>
        <w:jc w:val="center"/>
        <w:rPr>
          <w:sz w:val="24"/>
          <w:szCs w:val="24"/>
        </w:rPr>
      </w:pPr>
    </w:p>
    <w:p w:rsidR="0003402B" w:rsidRDefault="0003402B" w:rsidP="0003402B">
      <w:pPr>
        <w:spacing w:line="360" w:lineRule="auto"/>
        <w:jc w:val="center"/>
        <w:rPr>
          <w:sz w:val="24"/>
          <w:szCs w:val="24"/>
        </w:rPr>
      </w:pPr>
    </w:p>
    <w:p w:rsidR="00CB495C" w:rsidRDefault="0003402B" w:rsidP="0003402B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This Initial Decision denies and dismisses the Formal Complaint because the Complainant failed to meet his burden of proof.</w:t>
      </w:r>
    </w:p>
    <w:p w:rsidR="0003402B" w:rsidRDefault="0003402B" w:rsidP="0003402B">
      <w:pPr>
        <w:spacing w:line="360" w:lineRule="auto"/>
        <w:ind w:firstLine="1440"/>
        <w:rPr>
          <w:sz w:val="24"/>
          <w:szCs w:val="24"/>
        </w:rPr>
      </w:pPr>
    </w:p>
    <w:p w:rsidR="00CB495C" w:rsidRPr="00DC4452" w:rsidRDefault="006A21C2" w:rsidP="004D55EB">
      <w:pPr>
        <w:spacing w:line="360" w:lineRule="auto"/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</w:rPr>
        <w:t xml:space="preserve"> </w:t>
      </w:r>
      <w:r w:rsidR="00CB495C" w:rsidRPr="00DC4452">
        <w:rPr>
          <w:sz w:val="24"/>
          <w:szCs w:val="24"/>
          <w:u w:val="single"/>
        </w:rPr>
        <w:t>HISTORY OF THE PROCEEDING</w:t>
      </w:r>
    </w:p>
    <w:p w:rsidR="00CB495C" w:rsidRPr="0003402B" w:rsidRDefault="00CB495C" w:rsidP="000A1DAA">
      <w:pPr>
        <w:spacing w:line="360" w:lineRule="auto"/>
        <w:jc w:val="center"/>
        <w:rPr>
          <w:sz w:val="24"/>
          <w:szCs w:val="24"/>
        </w:rPr>
      </w:pPr>
    </w:p>
    <w:p w:rsidR="0003402B" w:rsidRDefault="0003402B" w:rsidP="00486AC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9870EF">
        <w:rPr>
          <w:sz w:val="24"/>
          <w:szCs w:val="24"/>
        </w:rPr>
        <w:t xml:space="preserve">On </w:t>
      </w:r>
      <w:r>
        <w:rPr>
          <w:sz w:val="24"/>
          <w:szCs w:val="24"/>
        </w:rPr>
        <w:t>September 9, 2014</w:t>
      </w:r>
      <w:r w:rsidRPr="009870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Salko</w:t>
      </w:r>
      <w:proofErr w:type="spellEnd"/>
      <w:r>
        <w:rPr>
          <w:sz w:val="24"/>
          <w:szCs w:val="24"/>
        </w:rPr>
        <w:t>, Jr.</w:t>
      </w:r>
      <w:r w:rsidRPr="009870EF">
        <w:rPr>
          <w:sz w:val="24"/>
          <w:szCs w:val="24"/>
        </w:rPr>
        <w:t xml:space="preserve"> (Complainant) filed a Formal Complaint with the Pennsylvania Public Utility Commission </w:t>
      </w:r>
      <w:r>
        <w:rPr>
          <w:sz w:val="24"/>
          <w:szCs w:val="24"/>
        </w:rPr>
        <w:t xml:space="preserve">(PUC or Commission) </w:t>
      </w:r>
      <w:r w:rsidRPr="009870EF">
        <w:rPr>
          <w:sz w:val="24"/>
          <w:szCs w:val="24"/>
        </w:rPr>
        <w:t xml:space="preserve">against </w:t>
      </w:r>
      <w:r>
        <w:rPr>
          <w:sz w:val="24"/>
          <w:szCs w:val="24"/>
        </w:rPr>
        <w:t>Verizon Pennsylvania LLC</w:t>
      </w:r>
      <w:r w:rsidRPr="009870EF">
        <w:rPr>
          <w:sz w:val="24"/>
          <w:szCs w:val="24"/>
        </w:rPr>
        <w:t xml:space="preserve"> (Respondent</w:t>
      </w:r>
      <w:r>
        <w:rPr>
          <w:sz w:val="24"/>
          <w:szCs w:val="24"/>
        </w:rPr>
        <w:t xml:space="preserve"> or Verizon</w:t>
      </w:r>
      <w:r w:rsidRPr="009870EF">
        <w:rPr>
          <w:sz w:val="24"/>
          <w:szCs w:val="24"/>
        </w:rPr>
        <w:t>) alleging</w:t>
      </w:r>
      <w:r w:rsidR="00486AC0">
        <w:rPr>
          <w:sz w:val="24"/>
          <w:szCs w:val="24"/>
        </w:rPr>
        <w:t xml:space="preserve"> a list of complaints.  The complaints </w:t>
      </w:r>
      <w:r>
        <w:rPr>
          <w:sz w:val="24"/>
          <w:szCs w:val="24"/>
        </w:rPr>
        <w:t>are:</w:t>
      </w:r>
      <w:r w:rsidR="001D2AEE">
        <w:rPr>
          <w:sz w:val="24"/>
          <w:szCs w:val="24"/>
        </w:rPr>
        <w:t xml:space="preserve"> </w:t>
      </w:r>
      <w:r w:rsidR="00486AC0">
        <w:rPr>
          <w:sz w:val="24"/>
          <w:szCs w:val="24"/>
        </w:rPr>
        <w:t xml:space="preserve"> </w:t>
      </w:r>
      <w:r w:rsidR="001D2AEE">
        <w:rPr>
          <w:sz w:val="24"/>
          <w:szCs w:val="24"/>
        </w:rPr>
        <w:t xml:space="preserve">(1) </w:t>
      </w:r>
      <w:r>
        <w:rPr>
          <w:sz w:val="24"/>
          <w:szCs w:val="24"/>
        </w:rPr>
        <w:t xml:space="preserve">Verizon is using devious threats; (2) I </w:t>
      </w:r>
      <w:r w:rsidR="00126014">
        <w:rPr>
          <w:sz w:val="24"/>
          <w:szCs w:val="24"/>
        </w:rPr>
        <w:t>(</w:t>
      </w:r>
      <w:proofErr w:type="spellStart"/>
      <w:r w:rsidR="00126014">
        <w:rPr>
          <w:sz w:val="24"/>
          <w:szCs w:val="24"/>
        </w:rPr>
        <w:t>Salko</w:t>
      </w:r>
      <w:proofErr w:type="spellEnd"/>
      <w:r w:rsidR="00126014">
        <w:rPr>
          <w:sz w:val="24"/>
          <w:szCs w:val="24"/>
        </w:rPr>
        <w:t xml:space="preserve">) </w:t>
      </w:r>
      <w:r>
        <w:rPr>
          <w:sz w:val="24"/>
          <w:szCs w:val="24"/>
        </w:rPr>
        <w:t>had the same issue on other legal notices (CPNI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); (3) account holders must read 4, 5, 6 pages of Verizon billing statements to determine what evil thing is going to be done; (4) changes, legal notices should be sent from Verizon in separate correspondence; and (5) I have requested Verizon not do the CPNI or the crediting of other billings to phone account…I have not been notified in writing as requested.  </w:t>
      </w:r>
      <w:r w:rsidRPr="00A25CDA">
        <w:rPr>
          <w:sz w:val="24"/>
          <w:szCs w:val="24"/>
        </w:rPr>
        <w:t xml:space="preserve">  </w:t>
      </w:r>
    </w:p>
    <w:p w:rsidR="0003402B" w:rsidRDefault="0003402B" w:rsidP="0003402B">
      <w:pPr>
        <w:pStyle w:val="ListParagraph"/>
        <w:tabs>
          <w:tab w:val="left" w:pos="-1440"/>
          <w:tab w:val="left" w:pos="-720"/>
          <w:tab w:val="left" w:pos="360"/>
        </w:tabs>
        <w:suppressAutoHyphens/>
        <w:spacing w:line="360" w:lineRule="auto"/>
        <w:ind w:left="0"/>
        <w:rPr>
          <w:sz w:val="24"/>
          <w:szCs w:val="24"/>
        </w:rPr>
      </w:pPr>
    </w:p>
    <w:p w:rsidR="0003402B" w:rsidRDefault="0003402B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  <w:r w:rsidRPr="00A25CDA">
        <w:rPr>
          <w:sz w:val="24"/>
          <w:szCs w:val="24"/>
        </w:rPr>
        <w:lastRenderedPageBreak/>
        <w:t xml:space="preserve">On </w:t>
      </w:r>
      <w:r>
        <w:rPr>
          <w:sz w:val="24"/>
          <w:szCs w:val="24"/>
        </w:rPr>
        <w:t>October 20, 2014, the</w:t>
      </w:r>
      <w:r w:rsidRPr="00A25CDA">
        <w:rPr>
          <w:sz w:val="24"/>
          <w:szCs w:val="24"/>
        </w:rPr>
        <w:t xml:space="preserve"> Respondent filed an </w:t>
      </w:r>
      <w:r w:rsidRPr="00A25CDA">
        <w:rPr>
          <w:spacing w:val="-3"/>
          <w:sz w:val="24"/>
          <w:szCs w:val="24"/>
        </w:rPr>
        <w:t xml:space="preserve">Answer denying the material allegations of the Complaint.  </w:t>
      </w:r>
      <w:r>
        <w:rPr>
          <w:spacing w:val="-3"/>
          <w:sz w:val="24"/>
          <w:szCs w:val="24"/>
        </w:rPr>
        <w:t>The Respondent also filed New Matter with the appropriate Notice to Plead attached to it.  No response to the New Matter was received.</w:t>
      </w:r>
    </w:p>
    <w:p w:rsidR="0003402B" w:rsidRDefault="0003402B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</w:p>
    <w:p w:rsidR="0003402B" w:rsidRDefault="0003402B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On October 20, 2014, the Respondent filed Preliminary Objections with the appropriate Notice to Plead.  No response to the Preliminary Objections was received.</w:t>
      </w:r>
    </w:p>
    <w:p w:rsidR="00406BF6" w:rsidRDefault="00406BF6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</w:p>
    <w:p w:rsidR="0003402B" w:rsidRDefault="00126014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On March 30, 2015, I issued an Interim Order Granting in Part and </w:t>
      </w:r>
      <w:proofErr w:type="gramStart"/>
      <w:r>
        <w:rPr>
          <w:spacing w:val="-3"/>
          <w:sz w:val="24"/>
          <w:szCs w:val="24"/>
        </w:rPr>
        <w:t>Denying</w:t>
      </w:r>
      <w:proofErr w:type="gramEnd"/>
      <w:r>
        <w:rPr>
          <w:spacing w:val="-3"/>
          <w:sz w:val="24"/>
          <w:szCs w:val="24"/>
        </w:rPr>
        <w:t xml:space="preserve"> in Part Preliminary Objections.</w:t>
      </w:r>
    </w:p>
    <w:p w:rsidR="00486AC0" w:rsidRDefault="00486AC0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</w:p>
    <w:p w:rsidR="00126014" w:rsidRDefault="00126014" w:rsidP="0003402B">
      <w:pPr>
        <w:pStyle w:val="ListParagraph"/>
        <w:tabs>
          <w:tab w:val="left" w:pos="-1440"/>
          <w:tab w:val="left" w:pos="-720"/>
        </w:tabs>
        <w:suppressAutoHyphens/>
        <w:spacing w:line="360" w:lineRule="auto"/>
        <w:ind w:left="0" w:firstLine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 hearing was scheduled</w:t>
      </w:r>
      <w:r w:rsidR="00F2370C">
        <w:rPr>
          <w:spacing w:val="-3"/>
          <w:sz w:val="24"/>
          <w:szCs w:val="24"/>
        </w:rPr>
        <w:t xml:space="preserve"> for July 14, 2015, </w:t>
      </w:r>
      <w:r>
        <w:rPr>
          <w:spacing w:val="-3"/>
          <w:sz w:val="24"/>
          <w:szCs w:val="24"/>
        </w:rPr>
        <w:t xml:space="preserve">and later rescheduled to August 24, 2015.  </w:t>
      </w:r>
      <w:r w:rsidR="00486AC0">
        <w:rPr>
          <w:spacing w:val="-3"/>
          <w:sz w:val="24"/>
          <w:szCs w:val="24"/>
        </w:rPr>
        <w:t xml:space="preserve">On August 24, 2015, </w:t>
      </w:r>
      <w:r>
        <w:rPr>
          <w:spacing w:val="-3"/>
          <w:sz w:val="24"/>
          <w:szCs w:val="24"/>
        </w:rPr>
        <w:t xml:space="preserve">Mr. </w:t>
      </w:r>
      <w:proofErr w:type="spellStart"/>
      <w:r>
        <w:rPr>
          <w:spacing w:val="-3"/>
          <w:sz w:val="24"/>
          <w:szCs w:val="24"/>
        </w:rPr>
        <w:t>Salko</w:t>
      </w:r>
      <w:proofErr w:type="spellEnd"/>
      <w:r>
        <w:rPr>
          <w:spacing w:val="-3"/>
          <w:sz w:val="24"/>
          <w:szCs w:val="24"/>
        </w:rPr>
        <w:t xml:space="preserve"> appeared on his own behalf and proffered no exhibits.  Verizon was repre</w:t>
      </w:r>
      <w:r w:rsidR="00F63A63">
        <w:rPr>
          <w:spacing w:val="-3"/>
          <w:sz w:val="24"/>
          <w:szCs w:val="24"/>
        </w:rPr>
        <w:t xml:space="preserve">sented by council and proffered no exhibits.  The record closed </w:t>
      </w:r>
      <w:r w:rsidR="00F2370C">
        <w:rPr>
          <w:spacing w:val="-3"/>
          <w:sz w:val="24"/>
          <w:szCs w:val="24"/>
        </w:rPr>
        <w:t>on September 2, 2015, with receipt of the typewritten transcript.</w:t>
      </w:r>
      <w:r w:rsidR="00F63A63">
        <w:rPr>
          <w:spacing w:val="-3"/>
          <w:sz w:val="24"/>
          <w:szCs w:val="24"/>
        </w:rPr>
        <w:t xml:space="preserve">  This matter is now ready for disposition.</w:t>
      </w:r>
    </w:p>
    <w:p w:rsidR="00CB495C" w:rsidRPr="00DC4452" w:rsidRDefault="00CB495C" w:rsidP="00CB495C">
      <w:pPr>
        <w:jc w:val="center"/>
        <w:rPr>
          <w:sz w:val="24"/>
          <w:szCs w:val="24"/>
          <w:u w:val="single"/>
        </w:rPr>
      </w:pPr>
    </w:p>
    <w:p w:rsidR="00CB495C" w:rsidRPr="00DC4452" w:rsidRDefault="00CB495C" w:rsidP="00406BF6">
      <w:pPr>
        <w:spacing w:line="360" w:lineRule="auto"/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FINDINGS OF FACT</w:t>
      </w:r>
    </w:p>
    <w:p w:rsidR="00CB495C" w:rsidRPr="00F63A63" w:rsidRDefault="00CB495C" w:rsidP="00CB495C">
      <w:pPr>
        <w:jc w:val="center"/>
        <w:rPr>
          <w:sz w:val="24"/>
          <w:szCs w:val="24"/>
        </w:rPr>
      </w:pPr>
    </w:p>
    <w:p w:rsidR="00CB495C" w:rsidRDefault="00F63A63" w:rsidP="003B4826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 w:rsidRPr="00F63A63">
        <w:rPr>
          <w:sz w:val="24"/>
          <w:szCs w:val="24"/>
        </w:rPr>
        <w:t xml:space="preserve">The Complainant </w:t>
      </w:r>
      <w:r>
        <w:rPr>
          <w:sz w:val="24"/>
          <w:szCs w:val="24"/>
        </w:rPr>
        <w:t xml:space="preserve">is Michael </w:t>
      </w:r>
      <w:proofErr w:type="spellStart"/>
      <w:r>
        <w:rPr>
          <w:sz w:val="24"/>
          <w:szCs w:val="24"/>
        </w:rPr>
        <w:t>Salko</w:t>
      </w:r>
      <w:proofErr w:type="spellEnd"/>
      <w:r>
        <w:rPr>
          <w:sz w:val="24"/>
          <w:szCs w:val="24"/>
        </w:rPr>
        <w:t>, Jr. of 92 Birch Street, Wilkes-Barre, Pennsylvania 18702.</w:t>
      </w:r>
    </w:p>
    <w:p w:rsidR="00F63A63" w:rsidRDefault="00F63A63" w:rsidP="003B4826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A63" w:rsidRDefault="00F63A63" w:rsidP="003B4826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 is Verizon Pennsylvania LLC, a jurisdictional public utility.</w:t>
      </w:r>
    </w:p>
    <w:p w:rsidR="00F63A63" w:rsidRPr="00F63A63" w:rsidRDefault="00F63A63" w:rsidP="003B4826">
      <w:pPr>
        <w:pStyle w:val="ListParagraph"/>
        <w:spacing w:line="360" w:lineRule="auto"/>
        <w:rPr>
          <w:sz w:val="24"/>
          <w:szCs w:val="24"/>
        </w:rPr>
      </w:pPr>
    </w:p>
    <w:p w:rsidR="00F63A63" w:rsidRDefault="00F63A63" w:rsidP="003B4826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Only </w:t>
      </w:r>
      <w:r w:rsidR="00F2370C">
        <w:rPr>
          <w:sz w:val="24"/>
          <w:szCs w:val="24"/>
        </w:rPr>
        <w:t>allegations</w:t>
      </w:r>
      <w:r>
        <w:rPr>
          <w:sz w:val="24"/>
          <w:szCs w:val="24"/>
        </w:rPr>
        <w:t xml:space="preserve"> 1,</w:t>
      </w:r>
      <w:r w:rsidR="00E76F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3, and 4 were heard at the August 24, 2015 hearing.  </w:t>
      </w:r>
      <w:r w:rsidR="00F2370C">
        <w:rPr>
          <w:sz w:val="24"/>
          <w:szCs w:val="24"/>
        </w:rPr>
        <w:t>Allegations</w:t>
      </w:r>
      <w:r>
        <w:rPr>
          <w:sz w:val="24"/>
          <w:szCs w:val="24"/>
        </w:rPr>
        <w:t xml:space="preserve"> 1 and 5 were dismissed through preliminary objections.</w:t>
      </w:r>
    </w:p>
    <w:p w:rsidR="00F63A63" w:rsidRPr="00F63A63" w:rsidRDefault="00F63A63" w:rsidP="003B4826">
      <w:pPr>
        <w:pStyle w:val="ListParagraph"/>
        <w:spacing w:line="360" w:lineRule="auto"/>
        <w:rPr>
          <w:sz w:val="24"/>
          <w:szCs w:val="24"/>
        </w:rPr>
      </w:pPr>
    </w:p>
    <w:p w:rsidR="00F63A63" w:rsidRDefault="00486AC0" w:rsidP="003B4826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2370C">
        <w:rPr>
          <w:sz w:val="24"/>
          <w:szCs w:val="24"/>
        </w:rPr>
        <w:t>allegations</w:t>
      </w:r>
      <w:r>
        <w:rPr>
          <w:sz w:val="24"/>
          <w:szCs w:val="24"/>
        </w:rPr>
        <w:t xml:space="preserve"> heard on August 24, 2015 include</w:t>
      </w:r>
      <w:r w:rsidR="00631DE9">
        <w:rPr>
          <w:sz w:val="24"/>
          <w:szCs w:val="24"/>
        </w:rPr>
        <w:t xml:space="preserve">: </w:t>
      </w:r>
      <w:r w:rsidR="00E76FF6">
        <w:rPr>
          <w:sz w:val="24"/>
          <w:szCs w:val="24"/>
        </w:rPr>
        <w:t xml:space="preserve"> </w:t>
      </w:r>
      <w:r w:rsidR="00631DE9">
        <w:rPr>
          <w:sz w:val="24"/>
          <w:szCs w:val="24"/>
        </w:rPr>
        <w:t>(1) Verizon is using devious threats; (3) account holders must read 4, 5, 6 pages of Verizon billing statements to determine what evil thing is going to be done; (4) changes, legal notices should be sent from Verizon in separate correspondence.</w:t>
      </w:r>
    </w:p>
    <w:p w:rsidR="00631DE9" w:rsidRPr="00631DE9" w:rsidRDefault="00631DE9" w:rsidP="003B4826">
      <w:pPr>
        <w:pStyle w:val="ListParagraph"/>
        <w:spacing w:line="360" w:lineRule="auto"/>
        <w:rPr>
          <w:sz w:val="24"/>
          <w:szCs w:val="24"/>
        </w:rPr>
      </w:pPr>
    </w:p>
    <w:p w:rsidR="00631DE9" w:rsidRDefault="00486AC0" w:rsidP="003B4826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F2370C">
        <w:rPr>
          <w:sz w:val="24"/>
          <w:szCs w:val="24"/>
        </w:rPr>
        <w:t>allegations</w:t>
      </w:r>
      <w:r w:rsidR="00631DE9">
        <w:rPr>
          <w:sz w:val="24"/>
          <w:szCs w:val="24"/>
        </w:rPr>
        <w:t xml:space="preserve"> related to notices of one sort or another that Verizon put into or onto its billing pages.</w:t>
      </w:r>
    </w:p>
    <w:p w:rsidR="00631DE9" w:rsidRPr="00631DE9" w:rsidRDefault="00631DE9" w:rsidP="00F64C0A">
      <w:pPr>
        <w:pStyle w:val="ListParagraph"/>
        <w:spacing w:line="360" w:lineRule="auto"/>
        <w:rPr>
          <w:sz w:val="24"/>
          <w:szCs w:val="24"/>
        </w:rPr>
      </w:pPr>
    </w:p>
    <w:p w:rsidR="00631DE9" w:rsidRDefault="00631DE9" w:rsidP="00F63A63">
      <w:pPr>
        <w:pStyle w:val="ListParagraph"/>
        <w:numPr>
          <w:ilvl w:val="0"/>
          <w:numId w:val="34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did not provide any of the notices about which he was complaining.</w:t>
      </w:r>
    </w:p>
    <w:p w:rsidR="00631DE9" w:rsidRPr="00631DE9" w:rsidRDefault="00631DE9" w:rsidP="00F64C0A">
      <w:pPr>
        <w:pStyle w:val="ListParagraph"/>
        <w:spacing w:line="360" w:lineRule="auto"/>
        <w:rPr>
          <w:sz w:val="24"/>
          <w:szCs w:val="24"/>
        </w:rPr>
      </w:pPr>
    </w:p>
    <w:p w:rsidR="00CB495C" w:rsidRPr="00DC4452" w:rsidRDefault="00CB495C" w:rsidP="00406BF6">
      <w:pPr>
        <w:spacing w:line="360" w:lineRule="auto"/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DISCUSSION</w:t>
      </w:r>
    </w:p>
    <w:p w:rsidR="00CB495C" w:rsidRPr="00631DE9" w:rsidRDefault="00CB495C" w:rsidP="00CB495C">
      <w:pPr>
        <w:jc w:val="center"/>
        <w:rPr>
          <w:sz w:val="24"/>
          <w:szCs w:val="24"/>
        </w:rPr>
      </w:pPr>
    </w:p>
    <w:p w:rsidR="00631DE9" w:rsidRPr="00734893" w:rsidRDefault="00631DE9" w:rsidP="00631DE9">
      <w:pPr>
        <w:spacing w:line="360" w:lineRule="auto"/>
        <w:ind w:firstLine="1440"/>
        <w:rPr>
          <w:rFonts w:eastAsiaTheme="minorHAnsi"/>
          <w:sz w:val="24"/>
          <w:szCs w:val="24"/>
        </w:rPr>
      </w:pPr>
      <w:r w:rsidRPr="00631DE9">
        <w:rPr>
          <w:sz w:val="24"/>
          <w:szCs w:val="24"/>
        </w:rPr>
        <w:t>The Complainant bears the burden of proof.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66 Pa.C.S.</w:t>
      </w:r>
      <w:proofErr w:type="gramEnd"/>
      <w:r>
        <w:rPr>
          <w:sz w:val="24"/>
          <w:szCs w:val="24"/>
        </w:rPr>
        <w:t xml:space="preserve"> § 332(a). </w:t>
      </w:r>
      <w:r w:rsidR="00DC22CD">
        <w:rPr>
          <w:sz w:val="24"/>
          <w:szCs w:val="24"/>
        </w:rPr>
        <w:t xml:space="preserve"> </w:t>
      </w:r>
      <w:r w:rsidRPr="00734893">
        <w:rPr>
          <w:rFonts w:eastAsiaTheme="minorHAnsi"/>
          <w:sz w:val="24"/>
          <w:szCs w:val="24"/>
        </w:rPr>
        <w:t xml:space="preserve">As a matter of law, a complainant must show that the named utility is responsible or accountable for the problem described in the Complaint in order to prevail.  </w:t>
      </w:r>
      <w:proofErr w:type="gramStart"/>
      <w:r w:rsidRPr="00734893">
        <w:rPr>
          <w:rFonts w:eastAsiaTheme="minorHAnsi"/>
          <w:i/>
          <w:sz w:val="24"/>
          <w:szCs w:val="24"/>
        </w:rPr>
        <w:t>Patterson v. Bell Tel. Co. of PA</w:t>
      </w:r>
      <w:r w:rsidRPr="00734893">
        <w:rPr>
          <w:rFonts w:eastAsiaTheme="minorHAnsi"/>
          <w:sz w:val="24"/>
          <w:szCs w:val="24"/>
        </w:rPr>
        <w:t xml:space="preserve">, 72 Pa. PUC 196 (1990); </w:t>
      </w:r>
      <w:r w:rsidRPr="00734893">
        <w:rPr>
          <w:rFonts w:eastAsiaTheme="minorHAnsi"/>
          <w:i/>
          <w:sz w:val="24"/>
          <w:szCs w:val="24"/>
        </w:rPr>
        <w:t xml:space="preserve">Feinstein v. </w:t>
      </w:r>
      <w:proofErr w:type="spellStart"/>
      <w:r w:rsidRPr="00734893">
        <w:rPr>
          <w:rFonts w:eastAsiaTheme="minorHAnsi"/>
          <w:i/>
          <w:sz w:val="24"/>
          <w:szCs w:val="24"/>
        </w:rPr>
        <w:t>Phila</w:t>
      </w:r>
      <w:proofErr w:type="spellEnd"/>
      <w:r w:rsidRPr="00734893">
        <w:rPr>
          <w:rFonts w:eastAsiaTheme="minorHAnsi"/>
          <w:i/>
          <w:sz w:val="24"/>
          <w:szCs w:val="24"/>
        </w:rPr>
        <w:t>.</w:t>
      </w:r>
      <w:proofErr w:type="gramEnd"/>
      <w:r w:rsidRPr="00734893">
        <w:rPr>
          <w:rFonts w:eastAsiaTheme="minorHAnsi"/>
          <w:i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z w:val="24"/>
          <w:szCs w:val="24"/>
        </w:rPr>
        <w:t>Suburban Water Co.</w:t>
      </w:r>
      <w:r w:rsidRPr="00734893">
        <w:rPr>
          <w:rFonts w:eastAsiaTheme="minorHAnsi"/>
          <w:sz w:val="24"/>
          <w:szCs w:val="24"/>
        </w:rPr>
        <w:t>, 50 Pa. PUC 300 (1976).</w:t>
      </w:r>
      <w:proofErr w:type="gramEnd"/>
      <w:r w:rsidRPr="00734893">
        <w:rPr>
          <w:rFonts w:eastAsiaTheme="minorHAnsi"/>
          <w:sz w:val="24"/>
          <w:szCs w:val="24"/>
        </w:rPr>
        <w:t xml:space="preserve">  This must be shown by a preponderance of the evidence.  </w:t>
      </w:r>
      <w:proofErr w:type="gramStart"/>
      <w:r w:rsidRPr="00734893">
        <w:rPr>
          <w:rFonts w:eastAsiaTheme="minorHAnsi"/>
          <w:i/>
          <w:sz w:val="24"/>
          <w:szCs w:val="24"/>
        </w:rPr>
        <w:t>Samuel J. Lansberry, Inc. v. Pa. Pub.</w:t>
      </w:r>
      <w:proofErr w:type="gramEnd"/>
      <w:r w:rsidRPr="00734893">
        <w:rPr>
          <w:rFonts w:eastAsiaTheme="minorHAnsi"/>
          <w:i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z w:val="24"/>
          <w:szCs w:val="24"/>
        </w:rPr>
        <w:t>Util. Comm’n,</w:t>
      </w:r>
      <w:r w:rsidRPr="00734893">
        <w:rPr>
          <w:rFonts w:eastAsiaTheme="minorHAnsi"/>
          <w:sz w:val="24"/>
          <w:szCs w:val="24"/>
        </w:rPr>
        <w:t xml:space="preserve"> 578 A.2d 600 (1990), </w:t>
      </w:r>
      <w:r w:rsidRPr="00734893">
        <w:rPr>
          <w:rFonts w:eastAsiaTheme="minorHAnsi"/>
          <w:i/>
          <w:sz w:val="24"/>
          <w:szCs w:val="24"/>
        </w:rPr>
        <w:t>alloc.</w:t>
      </w:r>
      <w:proofErr w:type="gramEnd"/>
      <w:r w:rsidRPr="00734893">
        <w:rPr>
          <w:rFonts w:eastAsiaTheme="minorHAnsi"/>
          <w:i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z w:val="24"/>
          <w:szCs w:val="24"/>
        </w:rPr>
        <w:t>denied</w:t>
      </w:r>
      <w:proofErr w:type="gramEnd"/>
      <w:r w:rsidRPr="00734893">
        <w:rPr>
          <w:rFonts w:eastAsiaTheme="minorHAnsi"/>
          <w:sz w:val="24"/>
          <w:szCs w:val="24"/>
        </w:rPr>
        <w:t xml:space="preserve">, 602 A.2d 863 (1992).  A preponderance of evidence is that which is more convincing, by even the smallest amount, than that presented by the other party.  </w:t>
      </w:r>
      <w:proofErr w:type="gramStart"/>
      <w:r w:rsidRPr="00734893">
        <w:rPr>
          <w:rFonts w:eastAsiaTheme="minorHAnsi"/>
          <w:i/>
          <w:sz w:val="24"/>
          <w:szCs w:val="24"/>
        </w:rPr>
        <w:t>Se-Ling Hosiery v. Margulies</w:t>
      </w:r>
      <w:r w:rsidRPr="00734893">
        <w:rPr>
          <w:rFonts w:eastAsiaTheme="minorHAnsi"/>
          <w:sz w:val="24"/>
          <w:szCs w:val="24"/>
        </w:rPr>
        <w:t>, 70 A.2d 854 (1950).</w:t>
      </w:r>
      <w:proofErr w:type="gramEnd"/>
    </w:p>
    <w:p w:rsidR="00631DE9" w:rsidRPr="00734893" w:rsidRDefault="00631DE9" w:rsidP="00631DE9">
      <w:pPr>
        <w:spacing w:line="360" w:lineRule="auto"/>
        <w:rPr>
          <w:rFonts w:eastAsiaTheme="minorHAnsi"/>
          <w:sz w:val="24"/>
          <w:szCs w:val="24"/>
        </w:rPr>
      </w:pPr>
    </w:p>
    <w:p w:rsidR="00631DE9" w:rsidRPr="00734893" w:rsidRDefault="00631DE9" w:rsidP="00631DE9">
      <w:pPr>
        <w:spacing w:line="360" w:lineRule="auto"/>
        <w:ind w:firstLine="1440"/>
        <w:rPr>
          <w:rFonts w:eastAsiaTheme="minorHAnsi"/>
          <w:spacing w:val="-3"/>
          <w:sz w:val="24"/>
          <w:szCs w:val="24"/>
        </w:rPr>
      </w:pPr>
      <w:r w:rsidRPr="00734893">
        <w:rPr>
          <w:rFonts w:eastAsiaTheme="minorHAnsi"/>
          <w:spacing w:val="-3"/>
          <w:sz w:val="24"/>
          <w:szCs w:val="24"/>
        </w:rPr>
        <w:t xml:space="preserve">Additionally, any finding of fact necessary to support the Commission’s adjudication must be based upon substantial evidence.  </w:t>
      </w:r>
      <w:proofErr w:type="gramStart"/>
      <w:r w:rsidRPr="00734893">
        <w:rPr>
          <w:rFonts w:eastAsiaTheme="minorHAnsi"/>
          <w:i/>
          <w:spacing w:val="-3"/>
          <w:sz w:val="24"/>
          <w:szCs w:val="24"/>
        </w:rPr>
        <w:t>Mill v. Pa. Pub.</w:t>
      </w:r>
      <w:proofErr w:type="gramEnd"/>
      <w:r w:rsidRPr="00734893">
        <w:rPr>
          <w:rFonts w:eastAsiaTheme="minorHAnsi"/>
          <w:i/>
          <w:spacing w:val="-3"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pacing w:val="-3"/>
          <w:sz w:val="24"/>
          <w:szCs w:val="24"/>
        </w:rPr>
        <w:t>Util. Comm’n</w:t>
      </w:r>
      <w:r w:rsidRPr="00734893">
        <w:rPr>
          <w:rFonts w:eastAsiaTheme="minorHAnsi"/>
          <w:spacing w:val="-3"/>
          <w:sz w:val="24"/>
          <w:szCs w:val="24"/>
        </w:rPr>
        <w:t>, 447 A.2d 1100 (</w:t>
      </w:r>
      <w:proofErr w:type="spellStart"/>
      <w:r w:rsidRPr="00734893">
        <w:rPr>
          <w:rFonts w:eastAsiaTheme="minorHAnsi"/>
          <w:spacing w:val="-3"/>
          <w:sz w:val="24"/>
          <w:szCs w:val="24"/>
        </w:rPr>
        <w:t>Pa.Cmwlth</w:t>
      </w:r>
      <w:proofErr w:type="spellEnd"/>
      <w:r w:rsidRPr="00734893">
        <w:rPr>
          <w:rFonts w:eastAsiaTheme="minorHAnsi"/>
          <w:spacing w:val="-3"/>
          <w:sz w:val="24"/>
          <w:szCs w:val="24"/>
        </w:rPr>
        <w:t xml:space="preserve">. 1982); </w:t>
      </w:r>
      <w:r w:rsidRPr="00734893">
        <w:rPr>
          <w:rFonts w:eastAsiaTheme="minorHAnsi"/>
          <w:i/>
          <w:spacing w:val="-3"/>
          <w:sz w:val="24"/>
          <w:szCs w:val="24"/>
        </w:rPr>
        <w:t>Edan Transportation Corp. v. Pa. Pub.</w:t>
      </w:r>
      <w:proofErr w:type="gramEnd"/>
      <w:r w:rsidRPr="00734893">
        <w:rPr>
          <w:rFonts w:eastAsiaTheme="minorHAnsi"/>
          <w:i/>
          <w:spacing w:val="-3"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pacing w:val="-3"/>
          <w:sz w:val="24"/>
          <w:szCs w:val="24"/>
        </w:rPr>
        <w:t>Util. Comm’n,</w:t>
      </w:r>
      <w:r w:rsidRPr="00734893">
        <w:rPr>
          <w:rFonts w:eastAsiaTheme="minorHAnsi"/>
          <w:spacing w:val="-3"/>
          <w:sz w:val="24"/>
          <w:szCs w:val="24"/>
        </w:rPr>
        <w:t xml:space="preserve"> 623 A.2d 6 (Pa. Cmwlth. 1993), 2 Pa.C.S.</w:t>
      </w:r>
      <w:proofErr w:type="gramEnd"/>
      <w:r w:rsidRPr="00734893">
        <w:rPr>
          <w:rFonts w:eastAsiaTheme="minorHAnsi"/>
          <w:spacing w:val="-3"/>
          <w:sz w:val="24"/>
          <w:szCs w:val="24"/>
        </w:rPr>
        <w:t xml:space="preserve"> § 704.  More is required than a mere trace of evidence or a suspicion of the existence of a fact sought to be established.  </w:t>
      </w:r>
      <w:proofErr w:type="gramStart"/>
      <w:r w:rsidRPr="00734893">
        <w:rPr>
          <w:rFonts w:eastAsiaTheme="minorHAnsi"/>
          <w:i/>
          <w:spacing w:val="-3"/>
          <w:sz w:val="24"/>
          <w:szCs w:val="24"/>
        </w:rPr>
        <w:t>Norfolk and Western Ry. v. Pa. Pub.</w:t>
      </w:r>
      <w:proofErr w:type="gramEnd"/>
      <w:r w:rsidRPr="00734893">
        <w:rPr>
          <w:rFonts w:eastAsiaTheme="minorHAnsi"/>
          <w:i/>
          <w:spacing w:val="-3"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pacing w:val="-3"/>
          <w:sz w:val="24"/>
          <w:szCs w:val="24"/>
        </w:rPr>
        <w:t>Util. Comm’n</w:t>
      </w:r>
      <w:r w:rsidRPr="00734893">
        <w:rPr>
          <w:rFonts w:eastAsiaTheme="minorHAnsi"/>
          <w:spacing w:val="-3"/>
          <w:sz w:val="24"/>
          <w:szCs w:val="24"/>
        </w:rPr>
        <w:t xml:space="preserve">, 489 Pa. 109, 413 A.2d 1037 (1980); </w:t>
      </w:r>
      <w:r w:rsidRPr="00734893">
        <w:rPr>
          <w:rFonts w:eastAsiaTheme="minorHAnsi"/>
          <w:i/>
          <w:spacing w:val="-3"/>
          <w:sz w:val="24"/>
          <w:szCs w:val="24"/>
        </w:rPr>
        <w:t>Erie Resistor Corp. v. Unemployment Compensation Bd. of Review</w:t>
      </w:r>
      <w:r w:rsidRPr="00734893">
        <w:rPr>
          <w:rFonts w:eastAsiaTheme="minorHAnsi"/>
          <w:spacing w:val="-3"/>
          <w:sz w:val="24"/>
          <w:szCs w:val="24"/>
        </w:rPr>
        <w:t>, 166 A.2d 96 (</w:t>
      </w:r>
      <w:proofErr w:type="spellStart"/>
      <w:r w:rsidRPr="00734893">
        <w:rPr>
          <w:rFonts w:eastAsiaTheme="minorHAnsi"/>
          <w:spacing w:val="-3"/>
          <w:sz w:val="24"/>
          <w:szCs w:val="24"/>
        </w:rPr>
        <w:t>Pa.Super</w:t>
      </w:r>
      <w:proofErr w:type="spellEnd"/>
      <w:r w:rsidRPr="00734893">
        <w:rPr>
          <w:rFonts w:eastAsiaTheme="minorHAnsi"/>
          <w:spacing w:val="-3"/>
          <w:sz w:val="24"/>
          <w:szCs w:val="24"/>
        </w:rPr>
        <w:t xml:space="preserve">. 1960); </w:t>
      </w:r>
      <w:r w:rsidRPr="00734893">
        <w:rPr>
          <w:rFonts w:eastAsiaTheme="minorHAnsi"/>
          <w:i/>
          <w:spacing w:val="-3"/>
          <w:sz w:val="24"/>
          <w:szCs w:val="24"/>
        </w:rPr>
        <w:t>Murphy v. Commonwealth, Dep’t.</w:t>
      </w:r>
      <w:proofErr w:type="gramEnd"/>
      <w:r w:rsidRPr="00734893">
        <w:rPr>
          <w:rFonts w:eastAsiaTheme="minorHAnsi"/>
          <w:i/>
          <w:spacing w:val="-3"/>
          <w:sz w:val="24"/>
          <w:szCs w:val="24"/>
        </w:rPr>
        <w:t xml:space="preserve"> </w:t>
      </w:r>
      <w:proofErr w:type="gramStart"/>
      <w:r w:rsidRPr="00734893">
        <w:rPr>
          <w:rFonts w:eastAsiaTheme="minorHAnsi"/>
          <w:i/>
          <w:spacing w:val="-3"/>
          <w:sz w:val="24"/>
          <w:szCs w:val="24"/>
        </w:rPr>
        <w:t>of</w:t>
      </w:r>
      <w:proofErr w:type="gramEnd"/>
      <w:r w:rsidRPr="00734893">
        <w:rPr>
          <w:rFonts w:eastAsiaTheme="minorHAnsi"/>
          <w:i/>
          <w:spacing w:val="-3"/>
          <w:sz w:val="24"/>
          <w:szCs w:val="24"/>
        </w:rPr>
        <w:t xml:space="preserve"> Public Welfare, White Haven Center</w:t>
      </w:r>
      <w:r w:rsidRPr="00734893">
        <w:rPr>
          <w:rFonts w:eastAsiaTheme="minorHAnsi"/>
          <w:spacing w:val="-3"/>
          <w:sz w:val="24"/>
          <w:szCs w:val="24"/>
        </w:rPr>
        <w:t>, 480 A.2d 382 (</w:t>
      </w:r>
      <w:proofErr w:type="spellStart"/>
      <w:r w:rsidRPr="00734893">
        <w:rPr>
          <w:rFonts w:eastAsiaTheme="minorHAnsi"/>
          <w:spacing w:val="-3"/>
          <w:sz w:val="24"/>
          <w:szCs w:val="24"/>
        </w:rPr>
        <w:t>Pa.Cmwlth</w:t>
      </w:r>
      <w:proofErr w:type="spellEnd"/>
      <w:r w:rsidRPr="00734893">
        <w:rPr>
          <w:rFonts w:eastAsiaTheme="minorHAnsi"/>
          <w:spacing w:val="-3"/>
          <w:sz w:val="24"/>
          <w:szCs w:val="24"/>
        </w:rPr>
        <w:t>. 1984).</w:t>
      </w:r>
    </w:p>
    <w:p w:rsidR="00631DE9" w:rsidRPr="00734893" w:rsidRDefault="00631DE9" w:rsidP="00631DE9">
      <w:pPr>
        <w:spacing w:line="360" w:lineRule="auto"/>
        <w:ind w:firstLine="1440"/>
        <w:rPr>
          <w:rFonts w:eastAsiaTheme="minorHAnsi"/>
          <w:spacing w:val="-3"/>
          <w:sz w:val="24"/>
          <w:szCs w:val="24"/>
        </w:rPr>
      </w:pPr>
    </w:p>
    <w:p w:rsidR="00631DE9" w:rsidRPr="00734893" w:rsidRDefault="00631DE9" w:rsidP="00631DE9">
      <w:pPr>
        <w:spacing w:line="360" w:lineRule="auto"/>
        <w:rPr>
          <w:rFonts w:eastAsiaTheme="minorHAnsi"/>
          <w:sz w:val="24"/>
          <w:szCs w:val="24"/>
        </w:rPr>
      </w:pPr>
      <w:r w:rsidRPr="00734893">
        <w:rPr>
          <w:rFonts w:eastAsiaTheme="minorHAnsi"/>
          <w:sz w:val="24"/>
          <w:szCs w:val="24"/>
        </w:rPr>
        <w:tab/>
      </w:r>
      <w:r w:rsidRPr="00734893">
        <w:rPr>
          <w:rFonts w:eastAsiaTheme="minorHAnsi"/>
          <w:sz w:val="24"/>
          <w:szCs w:val="24"/>
        </w:rPr>
        <w:tab/>
        <w:t xml:space="preserve">The offense must be a violation of the Public Utility Code, the Commission’s regulations, or an outstanding order of the Commission.  </w:t>
      </w:r>
      <w:proofErr w:type="gramStart"/>
      <w:r w:rsidRPr="00734893">
        <w:rPr>
          <w:rFonts w:eastAsiaTheme="minorHAnsi"/>
          <w:sz w:val="24"/>
          <w:szCs w:val="24"/>
        </w:rPr>
        <w:t>66 Pa.C.S.</w:t>
      </w:r>
      <w:proofErr w:type="gramEnd"/>
      <w:r w:rsidRPr="00734893">
        <w:rPr>
          <w:rFonts w:eastAsiaTheme="minorHAnsi"/>
          <w:sz w:val="24"/>
          <w:szCs w:val="24"/>
        </w:rPr>
        <w:t xml:space="preserve"> § 701.</w:t>
      </w:r>
    </w:p>
    <w:p w:rsidR="00631DE9" w:rsidRDefault="00631DE9" w:rsidP="00BC2178">
      <w:pPr>
        <w:spacing w:line="360" w:lineRule="auto"/>
        <w:ind w:firstLine="1440"/>
        <w:rPr>
          <w:sz w:val="24"/>
          <w:szCs w:val="24"/>
        </w:rPr>
      </w:pPr>
    </w:p>
    <w:p w:rsidR="00DB51B9" w:rsidRDefault="00631DE9" w:rsidP="00631DE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Here, the Complainant filed a Formal Complaint making serious allegations </w:t>
      </w:r>
      <w:r w:rsidRPr="00DC22CD">
        <w:rPr>
          <w:i/>
          <w:sz w:val="24"/>
          <w:szCs w:val="24"/>
        </w:rPr>
        <w:t>e.g</w:t>
      </w:r>
      <w:r>
        <w:rPr>
          <w:sz w:val="24"/>
          <w:szCs w:val="24"/>
        </w:rPr>
        <w:t>., “Verizon is using devious threats,” “</w:t>
      </w:r>
      <w:r w:rsidR="00DB51B9">
        <w:rPr>
          <w:sz w:val="24"/>
          <w:szCs w:val="24"/>
        </w:rPr>
        <w:t>a</w:t>
      </w:r>
      <w:r>
        <w:rPr>
          <w:sz w:val="24"/>
          <w:szCs w:val="24"/>
        </w:rPr>
        <w:t>cct hol</w:t>
      </w:r>
      <w:r w:rsidR="00DB51B9">
        <w:rPr>
          <w:sz w:val="24"/>
          <w:szCs w:val="24"/>
        </w:rPr>
        <w:t>d</w:t>
      </w:r>
      <w:r>
        <w:rPr>
          <w:sz w:val="24"/>
          <w:szCs w:val="24"/>
        </w:rPr>
        <w:t>ers must read 4,</w:t>
      </w:r>
      <w:r w:rsidR="00DB1711">
        <w:rPr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 w:rsidR="00DB1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pages of Verizon billing statements to determine what evil thing is going to be done.” </w:t>
      </w:r>
      <w:r w:rsidR="00D86E24">
        <w:rPr>
          <w:sz w:val="24"/>
          <w:szCs w:val="24"/>
        </w:rPr>
        <w:t xml:space="preserve"> </w:t>
      </w:r>
      <w:r w:rsidR="00DB51B9">
        <w:rPr>
          <w:sz w:val="24"/>
          <w:szCs w:val="24"/>
        </w:rPr>
        <w:t xml:space="preserve">But, the Complainant did not save the </w:t>
      </w:r>
      <w:r w:rsidR="00F2370C">
        <w:rPr>
          <w:sz w:val="24"/>
          <w:szCs w:val="24"/>
        </w:rPr>
        <w:t xml:space="preserve">alleged </w:t>
      </w:r>
      <w:r w:rsidR="00DB51B9">
        <w:rPr>
          <w:sz w:val="24"/>
          <w:szCs w:val="24"/>
        </w:rPr>
        <w:t>offending notices so we have only his allegation</w:t>
      </w:r>
      <w:r w:rsidR="00F2370C">
        <w:rPr>
          <w:sz w:val="24"/>
          <w:szCs w:val="24"/>
        </w:rPr>
        <w:t>s</w:t>
      </w:r>
      <w:r w:rsidR="00DB51B9">
        <w:rPr>
          <w:sz w:val="24"/>
          <w:szCs w:val="24"/>
        </w:rPr>
        <w:t xml:space="preserve"> and testimony to go by</w:t>
      </w:r>
      <w:r w:rsidR="00F2370C">
        <w:rPr>
          <w:sz w:val="24"/>
          <w:szCs w:val="24"/>
        </w:rPr>
        <w:t>.</w:t>
      </w:r>
    </w:p>
    <w:p w:rsidR="00F2370C" w:rsidRDefault="00F2370C" w:rsidP="00631DE9">
      <w:pPr>
        <w:spacing w:line="360" w:lineRule="auto"/>
        <w:ind w:firstLine="1440"/>
        <w:rPr>
          <w:sz w:val="24"/>
          <w:szCs w:val="24"/>
        </w:rPr>
      </w:pPr>
    </w:p>
    <w:p w:rsidR="00486AC0" w:rsidRDefault="00DB51B9" w:rsidP="00631DE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Salko</w:t>
      </w:r>
      <w:proofErr w:type="spellEnd"/>
      <w:r>
        <w:rPr>
          <w:sz w:val="24"/>
          <w:szCs w:val="24"/>
        </w:rPr>
        <w:t xml:space="preserve"> has file</w:t>
      </w:r>
      <w:r w:rsidR="00DB1711">
        <w:rPr>
          <w:sz w:val="24"/>
          <w:szCs w:val="24"/>
        </w:rPr>
        <w:t>d eight F</w:t>
      </w:r>
      <w:r>
        <w:rPr>
          <w:sz w:val="24"/>
          <w:szCs w:val="24"/>
        </w:rPr>
        <w:t xml:space="preserve">ormal </w:t>
      </w:r>
      <w:r w:rsidR="00DB1711">
        <w:rPr>
          <w:sz w:val="24"/>
          <w:szCs w:val="24"/>
        </w:rPr>
        <w:t>C</w:t>
      </w:r>
      <w:r>
        <w:rPr>
          <w:sz w:val="24"/>
          <w:szCs w:val="24"/>
        </w:rPr>
        <w:t xml:space="preserve">omplaints against Verizon since 2001.  </w:t>
      </w:r>
      <w:proofErr w:type="gramStart"/>
      <w:r>
        <w:rPr>
          <w:sz w:val="24"/>
          <w:szCs w:val="24"/>
        </w:rPr>
        <w:t>New Matter.</w:t>
      </w:r>
      <w:proofErr w:type="gramEnd"/>
      <w:r>
        <w:rPr>
          <w:sz w:val="24"/>
          <w:szCs w:val="24"/>
        </w:rPr>
        <w:t xml:space="preserve">  The current allegations all relate</w:t>
      </w:r>
      <w:r w:rsidR="004561FE">
        <w:rPr>
          <w:sz w:val="24"/>
          <w:szCs w:val="24"/>
        </w:rPr>
        <w:t xml:space="preserve"> to how Verizon gets notices</w:t>
      </w:r>
      <w:r>
        <w:rPr>
          <w:sz w:val="24"/>
          <w:szCs w:val="24"/>
        </w:rPr>
        <w:t xml:space="preserve"> to its customers and clearly, Mr. </w:t>
      </w:r>
      <w:proofErr w:type="spellStart"/>
      <w:r>
        <w:rPr>
          <w:sz w:val="24"/>
          <w:szCs w:val="24"/>
        </w:rPr>
        <w:t>Sa</w:t>
      </w:r>
      <w:r w:rsidR="00D637A5">
        <w:rPr>
          <w:sz w:val="24"/>
          <w:szCs w:val="24"/>
        </w:rPr>
        <w:t>l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does not like how </w:t>
      </w:r>
      <w:r w:rsidR="00F2370C">
        <w:rPr>
          <w:sz w:val="24"/>
          <w:szCs w:val="24"/>
        </w:rPr>
        <w:t xml:space="preserve">Verizon </w:t>
      </w:r>
      <w:r>
        <w:rPr>
          <w:sz w:val="24"/>
          <w:szCs w:val="24"/>
        </w:rPr>
        <w:t>do</w:t>
      </w:r>
      <w:r w:rsidR="00F2370C">
        <w:rPr>
          <w:sz w:val="24"/>
          <w:szCs w:val="24"/>
        </w:rPr>
        <w:t>es</w:t>
      </w:r>
      <w:r>
        <w:rPr>
          <w:sz w:val="24"/>
          <w:szCs w:val="24"/>
        </w:rPr>
        <w:t xml:space="preserve"> their business.  </w:t>
      </w:r>
      <w:r w:rsidR="00486AC0">
        <w:rPr>
          <w:sz w:val="24"/>
          <w:szCs w:val="24"/>
        </w:rPr>
        <w:t xml:space="preserve">Mr. </w:t>
      </w:r>
      <w:proofErr w:type="spellStart"/>
      <w:r w:rsidR="00486AC0">
        <w:rPr>
          <w:sz w:val="24"/>
          <w:szCs w:val="24"/>
        </w:rPr>
        <w:t>Salko</w:t>
      </w:r>
      <w:proofErr w:type="spellEnd"/>
      <w:r w:rsidR="00486AC0">
        <w:rPr>
          <w:sz w:val="24"/>
          <w:szCs w:val="24"/>
        </w:rPr>
        <w:t xml:space="preserve"> chose not to file </w:t>
      </w:r>
      <w:r w:rsidR="006E0A12">
        <w:rPr>
          <w:sz w:val="24"/>
          <w:szCs w:val="24"/>
        </w:rPr>
        <w:t xml:space="preserve">any </w:t>
      </w:r>
      <w:r w:rsidR="00486AC0">
        <w:rPr>
          <w:sz w:val="24"/>
          <w:szCs w:val="24"/>
        </w:rPr>
        <w:t>responses to New Matter and preliminary objections lending to a lack of credence</w:t>
      </w:r>
      <w:r w:rsidR="00DF1A38">
        <w:rPr>
          <w:sz w:val="24"/>
          <w:szCs w:val="24"/>
        </w:rPr>
        <w:t>,</w:t>
      </w:r>
      <w:r w:rsidR="00486AC0">
        <w:rPr>
          <w:sz w:val="24"/>
          <w:szCs w:val="24"/>
        </w:rPr>
        <w:t xml:space="preserve"> sincerity</w:t>
      </w:r>
      <w:r w:rsidR="00DF1A38">
        <w:rPr>
          <w:sz w:val="24"/>
          <w:szCs w:val="24"/>
        </w:rPr>
        <w:t>, and follow through</w:t>
      </w:r>
      <w:r w:rsidR="00486AC0">
        <w:rPr>
          <w:sz w:val="24"/>
          <w:szCs w:val="24"/>
        </w:rPr>
        <w:t xml:space="preserve"> </w:t>
      </w:r>
      <w:r w:rsidR="00F2370C">
        <w:rPr>
          <w:sz w:val="24"/>
          <w:szCs w:val="24"/>
        </w:rPr>
        <w:t>to his allegations</w:t>
      </w:r>
      <w:r w:rsidR="00486AC0">
        <w:rPr>
          <w:sz w:val="24"/>
          <w:szCs w:val="24"/>
        </w:rPr>
        <w:t xml:space="preserve">.  </w:t>
      </w:r>
      <w:r w:rsidR="00DF1A38">
        <w:rPr>
          <w:sz w:val="24"/>
          <w:szCs w:val="24"/>
        </w:rPr>
        <w:t xml:space="preserve">Mr. </w:t>
      </w:r>
      <w:proofErr w:type="spellStart"/>
      <w:r w:rsidR="00DF1A38">
        <w:rPr>
          <w:sz w:val="24"/>
          <w:szCs w:val="24"/>
        </w:rPr>
        <w:t>Salko’s</w:t>
      </w:r>
      <w:proofErr w:type="spellEnd"/>
      <w:r w:rsidR="00DF1A38">
        <w:rPr>
          <w:sz w:val="24"/>
          <w:szCs w:val="24"/>
        </w:rPr>
        <w:t xml:space="preserve"> testimony simply annotated how he does not like Verizon’s billing statements and notices.  He alleged non violation of statute, regulation nor order.  </w:t>
      </w:r>
    </w:p>
    <w:p w:rsidR="006E0A12" w:rsidRDefault="006E0A12" w:rsidP="00631DE9">
      <w:pPr>
        <w:spacing w:line="360" w:lineRule="auto"/>
        <w:ind w:firstLine="1440"/>
        <w:rPr>
          <w:sz w:val="24"/>
          <w:szCs w:val="24"/>
        </w:rPr>
      </w:pPr>
    </w:p>
    <w:p w:rsidR="006E0A12" w:rsidRDefault="006E0A12" w:rsidP="00631DE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Verizon successfully rebutted the allegations by testifying that notices to customers appear on the last page of a bill and comprise one page.  </w:t>
      </w:r>
      <w:proofErr w:type="gramStart"/>
      <w:r>
        <w:rPr>
          <w:sz w:val="24"/>
          <w:szCs w:val="24"/>
        </w:rPr>
        <w:t>Tr. at 22.</w:t>
      </w:r>
      <w:proofErr w:type="gramEnd"/>
      <w:r w:rsidR="00DF1A38">
        <w:rPr>
          <w:sz w:val="24"/>
          <w:szCs w:val="24"/>
        </w:rPr>
        <w:t xml:space="preserve">  Additionally, Verizon noted that none of the allegations by the Complainant alleged any violation of a Commission statute, regulation, or order.</w:t>
      </w:r>
    </w:p>
    <w:p w:rsidR="00F2370C" w:rsidRDefault="00F2370C" w:rsidP="00631DE9">
      <w:pPr>
        <w:spacing w:line="360" w:lineRule="auto"/>
        <w:ind w:firstLine="1440"/>
        <w:rPr>
          <w:sz w:val="24"/>
          <w:szCs w:val="24"/>
        </w:rPr>
      </w:pPr>
    </w:p>
    <w:p w:rsidR="00486AC0" w:rsidRDefault="00486AC0" w:rsidP="00631DE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New Matter not responded to may be accepted as admitted.  </w:t>
      </w:r>
      <w:proofErr w:type="gramStart"/>
      <w:r>
        <w:rPr>
          <w:sz w:val="24"/>
          <w:szCs w:val="24"/>
        </w:rPr>
        <w:t>52 Pa.Code § 5.63(b).</w:t>
      </w:r>
      <w:proofErr w:type="gramEnd"/>
      <w:r>
        <w:rPr>
          <w:sz w:val="24"/>
          <w:szCs w:val="24"/>
        </w:rPr>
        <w:t xml:space="preserve">  </w:t>
      </w:r>
      <w:r w:rsidR="00DB1711">
        <w:rPr>
          <w:sz w:val="24"/>
          <w:szCs w:val="24"/>
        </w:rPr>
        <w:t xml:space="preserve">The New Matter proffered by Verizon pertained to placing Mr. </w:t>
      </w:r>
      <w:proofErr w:type="spellStart"/>
      <w:r w:rsidR="00DB1711">
        <w:rPr>
          <w:sz w:val="24"/>
          <w:szCs w:val="24"/>
        </w:rPr>
        <w:t>Salko’s</w:t>
      </w:r>
      <w:proofErr w:type="spellEnd"/>
      <w:r w:rsidR="00DB1711">
        <w:rPr>
          <w:sz w:val="24"/>
          <w:szCs w:val="24"/>
        </w:rPr>
        <w:t xml:space="preserve"> name on a </w:t>
      </w:r>
      <w:r w:rsidR="00D86E24">
        <w:rPr>
          <w:sz w:val="24"/>
          <w:szCs w:val="24"/>
        </w:rPr>
        <w:t>“</w:t>
      </w:r>
      <w:r w:rsidR="00DB1711">
        <w:rPr>
          <w:sz w:val="24"/>
          <w:szCs w:val="24"/>
        </w:rPr>
        <w:t>do not contact</w:t>
      </w:r>
      <w:r w:rsidR="00D86E24">
        <w:rPr>
          <w:sz w:val="24"/>
          <w:szCs w:val="24"/>
        </w:rPr>
        <w:t>”</w:t>
      </w:r>
      <w:r w:rsidR="00DB1711">
        <w:rPr>
          <w:sz w:val="24"/>
          <w:szCs w:val="24"/>
        </w:rPr>
        <w:t xml:space="preserve"> list for email, mail, phone and door to door solicitations.  </w:t>
      </w:r>
      <w:proofErr w:type="gramStart"/>
      <w:r w:rsidR="00DB1711">
        <w:rPr>
          <w:sz w:val="24"/>
          <w:szCs w:val="24"/>
        </w:rPr>
        <w:t>New Matter.</w:t>
      </w:r>
      <w:proofErr w:type="gramEnd"/>
      <w:r w:rsidR="00DB1711">
        <w:rPr>
          <w:sz w:val="24"/>
          <w:szCs w:val="24"/>
        </w:rPr>
        <w:t xml:space="preserve">  The New Matter also noted that Verizon placed a block on Mr. </w:t>
      </w:r>
      <w:proofErr w:type="spellStart"/>
      <w:r w:rsidR="00DB1711">
        <w:rPr>
          <w:sz w:val="24"/>
          <w:szCs w:val="24"/>
        </w:rPr>
        <w:t>Salko’s</w:t>
      </w:r>
      <w:proofErr w:type="spellEnd"/>
      <w:r w:rsidR="00DB1711">
        <w:rPr>
          <w:sz w:val="24"/>
          <w:szCs w:val="24"/>
        </w:rPr>
        <w:t xml:space="preserve"> account to prevent any third party billing. </w:t>
      </w:r>
      <w:proofErr w:type="gramStart"/>
      <w:r w:rsidR="006F4BCE">
        <w:rPr>
          <w:sz w:val="24"/>
          <w:szCs w:val="24"/>
        </w:rPr>
        <w:t>New Matter.</w:t>
      </w:r>
      <w:proofErr w:type="gramEnd"/>
      <w:r w:rsidR="006F4BCE">
        <w:rPr>
          <w:sz w:val="24"/>
          <w:szCs w:val="24"/>
        </w:rPr>
        <w:t xml:space="preserve">  </w:t>
      </w:r>
      <w:r w:rsidR="00DB1711">
        <w:rPr>
          <w:sz w:val="24"/>
          <w:szCs w:val="24"/>
        </w:rPr>
        <w:t>These two actions by Verizon are accepted as admitted.</w:t>
      </w:r>
    </w:p>
    <w:p w:rsidR="004561FE" w:rsidRDefault="004561FE" w:rsidP="00631DE9">
      <w:pPr>
        <w:spacing w:line="360" w:lineRule="auto"/>
        <w:ind w:firstLine="1440"/>
        <w:rPr>
          <w:sz w:val="24"/>
          <w:szCs w:val="24"/>
        </w:rPr>
      </w:pPr>
    </w:p>
    <w:p w:rsidR="007C5504" w:rsidRDefault="004561FE" w:rsidP="00F2370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wholly failed to meet his burden of proof that Verizon </w:t>
      </w:r>
      <w:r w:rsidR="00DB1711">
        <w:rPr>
          <w:sz w:val="24"/>
          <w:szCs w:val="24"/>
        </w:rPr>
        <w:t>violated the Public Utility Code or any Commission rule, regulation or order.</w:t>
      </w:r>
    </w:p>
    <w:p w:rsidR="00F2370C" w:rsidRDefault="00F2370C" w:rsidP="00F2370C">
      <w:pPr>
        <w:spacing w:line="360" w:lineRule="auto"/>
        <w:ind w:firstLine="1440"/>
        <w:rPr>
          <w:sz w:val="24"/>
          <w:szCs w:val="24"/>
        </w:rPr>
      </w:pPr>
    </w:p>
    <w:p w:rsidR="00CB495C" w:rsidRDefault="00CB495C" w:rsidP="00406BF6">
      <w:pPr>
        <w:spacing w:line="360" w:lineRule="auto"/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CONCLUSIONS OF LAW</w:t>
      </w:r>
    </w:p>
    <w:p w:rsidR="004561FE" w:rsidRDefault="004561FE" w:rsidP="005B7E6A">
      <w:pPr>
        <w:spacing w:line="360" w:lineRule="auto"/>
        <w:jc w:val="center"/>
        <w:rPr>
          <w:sz w:val="24"/>
          <w:szCs w:val="24"/>
          <w:u w:val="single"/>
        </w:rPr>
      </w:pPr>
    </w:p>
    <w:p w:rsidR="004561FE" w:rsidRDefault="004561FE" w:rsidP="00406BF6">
      <w:pPr>
        <w:pStyle w:val="ListParagraph"/>
        <w:numPr>
          <w:ilvl w:val="0"/>
          <w:numId w:val="3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bears the burden of proof.  </w:t>
      </w:r>
      <w:proofErr w:type="gramStart"/>
      <w:r>
        <w:rPr>
          <w:sz w:val="24"/>
          <w:szCs w:val="24"/>
        </w:rPr>
        <w:t>66 Pa.C.S.</w:t>
      </w:r>
      <w:proofErr w:type="gramEnd"/>
      <w:r>
        <w:rPr>
          <w:sz w:val="24"/>
          <w:szCs w:val="24"/>
        </w:rPr>
        <w:t xml:space="preserve"> § 332(a).</w:t>
      </w:r>
    </w:p>
    <w:p w:rsidR="004561FE" w:rsidRDefault="004561FE" w:rsidP="00196ADF">
      <w:pPr>
        <w:pStyle w:val="ListParagraph"/>
        <w:spacing w:line="360" w:lineRule="auto"/>
        <w:ind w:left="2160" w:firstLine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61FE" w:rsidRPr="004561FE" w:rsidRDefault="004561FE" w:rsidP="004561FE">
      <w:pPr>
        <w:pStyle w:val="ListParagraph"/>
        <w:numPr>
          <w:ilvl w:val="0"/>
          <w:numId w:val="35"/>
        </w:numPr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failed to meet his burden of proof.</w:t>
      </w:r>
    </w:p>
    <w:p w:rsidR="00CB495C" w:rsidRPr="00DC4452" w:rsidRDefault="00CB495C" w:rsidP="004561FE">
      <w:pPr>
        <w:ind w:firstLine="1440"/>
        <w:jc w:val="center"/>
        <w:rPr>
          <w:sz w:val="24"/>
          <w:szCs w:val="24"/>
          <w:u w:val="single"/>
        </w:rPr>
      </w:pPr>
    </w:p>
    <w:p w:rsidR="00CB495C" w:rsidRPr="00DC4452" w:rsidRDefault="00CB495C" w:rsidP="00326026">
      <w:pPr>
        <w:spacing w:line="360" w:lineRule="auto"/>
        <w:jc w:val="center"/>
        <w:rPr>
          <w:sz w:val="24"/>
          <w:szCs w:val="24"/>
          <w:u w:val="single"/>
        </w:rPr>
      </w:pPr>
    </w:p>
    <w:p w:rsidR="00CB495C" w:rsidRDefault="00CB495C" w:rsidP="006F5CBC">
      <w:pPr>
        <w:spacing w:line="360" w:lineRule="auto"/>
        <w:jc w:val="center"/>
        <w:rPr>
          <w:sz w:val="24"/>
          <w:szCs w:val="24"/>
          <w:u w:val="single"/>
        </w:rPr>
      </w:pPr>
      <w:r w:rsidRPr="00DC4452">
        <w:rPr>
          <w:sz w:val="24"/>
          <w:szCs w:val="24"/>
          <w:u w:val="single"/>
        </w:rPr>
        <w:t>ORDER</w:t>
      </w:r>
    </w:p>
    <w:p w:rsidR="004C3922" w:rsidRDefault="004C3922" w:rsidP="00196ADF">
      <w:pPr>
        <w:spacing w:line="360" w:lineRule="auto"/>
        <w:jc w:val="center"/>
        <w:rPr>
          <w:sz w:val="24"/>
          <w:szCs w:val="24"/>
          <w:u w:val="single"/>
        </w:rPr>
      </w:pPr>
    </w:p>
    <w:p w:rsidR="00CB7D7F" w:rsidRDefault="00CB7D7F" w:rsidP="006F5CBC">
      <w:pPr>
        <w:jc w:val="center"/>
        <w:rPr>
          <w:sz w:val="24"/>
          <w:szCs w:val="24"/>
          <w:u w:val="single"/>
        </w:rPr>
      </w:pPr>
    </w:p>
    <w:p w:rsidR="00D637A5" w:rsidRDefault="00D637A5" w:rsidP="00D637A5">
      <w:pPr>
        <w:pStyle w:val="ListParagraph"/>
        <w:numPr>
          <w:ilvl w:val="0"/>
          <w:numId w:val="36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Michael </w:t>
      </w:r>
      <w:proofErr w:type="spellStart"/>
      <w:r w:rsidR="000F279D">
        <w:rPr>
          <w:sz w:val="24"/>
          <w:szCs w:val="24"/>
        </w:rPr>
        <w:t>Salko</w:t>
      </w:r>
      <w:proofErr w:type="spellEnd"/>
      <w:r w:rsidR="00117C73">
        <w:rPr>
          <w:sz w:val="24"/>
          <w:szCs w:val="24"/>
        </w:rPr>
        <w:t>, Jr.</w:t>
      </w:r>
      <w:r w:rsidR="000F279D">
        <w:rPr>
          <w:sz w:val="24"/>
          <w:szCs w:val="24"/>
        </w:rPr>
        <w:t>’s Formal Complaint at Doc</w:t>
      </w:r>
      <w:r>
        <w:rPr>
          <w:sz w:val="24"/>
          <w:szCs w:val="24"/>
        </w:rPr>
        <w:t>k</w:t>
      </w:r>
      <w:r w:rsidR="000F279D">
        <w:rPr>
          <w:sz w:val="24"/>
          <w:szCs w:val="24"/>
        </w:rPr>
        <w:t>e</w:t>
      </w:r>
      <w:r>
        <w:rPr>
          <w:sz w:val="24"/>
          <w:szCs w:val="24"/>
        </w:rPr>
        <w:t>t No. C-2014-2445387 is denied and dismissed.</w:t>
      </w:r>
    </w:p>
    <w:p w:rsidR="00DB1711" w:rsidRPr="00DB1711" w:rsidRDefault="00DB1711" w:rsidP="004C3922">
      <w:pPr>
        <w:pStyle w:val="ListParagraph"/>
        <w:spacing w:line="360" w:lineRule="auto"/>
        <w:rPr>
          <w:sz w:val="24"/>
          <w:szCs w:val="24"/>
        </w:rPr>
      </w:pPr>
    </w:p>
    <w:p w:rsidR="00DB1711" w:rsidRPr="00D637A5" w:rsidRDefault="00DB1711" w:rsidP="00D637A5">
      <w:pPr>
        <w:pStyle w:val="ListParagraph"/>
        <w:numPr>
          <w:ilvl w:val="0"/>
          <w:numId w:val="36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Secretary’s Bureau mark Docket No. C-2014-2445387 closed.</w:t>
      </w:r>
    </w:p>
    <w:p w:rsidR="005C3634" w:rsidRPr="00DC4452" w:rsidRDefault="005C3634" w:rsidP="00CB495C">
      <w:pPr>
        <w:jc w:val="center"/>
        <w:rPr>
          <w:sz w:val="24"/>
          <w:szCs w:val="24"/>
          <w:u w:val="single"/>
        </w:rPr>
      </w:pPr>
    </w:p>
    <w:p w:rsidR="005C3634" w:rsidRDefault="005C3634" w:rsidP="00CB495C">
      <w:pPr>
        <w:jc w:val="center"/>
        <w:rPr>
          <w:sz w:val="24"/>
          <w:szCs w:val="24"/>
          <w:u w:val="single"/>
        </w:rPr>
      </w:pPr>
    </w:p>
    <w:p w:rsidR="00406BF6" w:rsidRDefault="00406BF6" w:rsidP="00CB495C">
      <w:pPr>
        <w:jc w:val="center"/>
        <w:rPr>
          <w:sz w:val="24"/>
          <w:szCs w:val="24"/>
          <w:u w:val="single"/>
        </w:rPr>
      </w:pPr>
    </w:p>
    <w:p w:rsidR="00406BF6" w:rsidRPr="00DC4452" w:rsidRDefault="00406BF6" w:rsidP="00CB495C">
      <w:pPr>
        <w:jc w:val="center"/>
        <w:rPr>
          <w:sz w:val="24"/>
          <w:szCs w:val="24"/>
          <w:u w:val="single"/>
        </w:rPr>
      </w:pPr>
    </w:p>
    <w:p w:rsidR="00756182" w:rsidRDefault="005C3634" w:rsidP="00756182">
      <w:r w:rsidRPr="00406BF6">
        <w:rPr>
          <w:sz w:val="24"/>
          <w:szCs w:val="24"/>
        </w:rPr>
        <w:t>Date:</w:t>
      </w:r>
      <w:r w:rsidR="00406BF6">
        <w:rPr>
          <w:sz w:val="24"/>
          <w:szCs w:val="24"/>
        </w:rPr>
        <w:t xml:space="preserve">  </w:t>
      </w:r>
      <w:r w:rsidR="00D86E24" w:rsidRPr="00406BF6">
        <w:rPr>
          <w:sz w:val="24"/>
          <w:szCs w:val="24"/>
          <w:u w:val="single"/>
        </w:rPr>
        <w:t>September 4</w:t>
      </w:r>
      <w:r w:rsidR="000F279D" w:rsidRPr="00406BF6">
        <w:rPr>
          <w:sz w:val="24"/>
          <w:szCs w:val="24"/>
          <w:u w:val="single"/>
        </w:rPr>
        <w:t>,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452">
        <w:rPr>
          <w:sz w:val="24"/>
          <w:szCs w:val="24"/>
        </w:rPr>
        <w:tab/>
      </w:r>
      <w:r w:rsidR="00756182" w:rsidRPr="00756182">
        <w:rPr>
          <w:sz w:val="24"/>
          <w:szCs w:val="24"/>
          <w:u w:val="single"/>
        </w:rPr>
        <w:tab/>
      </w:r>
      <w:r w:rsidR="00756182" w:rsidRPr="00756182">
        <w:rPr>
          <w:sz w:val="24"/>
          <w:szCs w:val="24"/>
          <w:u w:val="single"/>
        </w:rPr>
        <w:tab/>
        <w:t>/s/</w:t>
      </w:r>
      <w:r w:rsidR="00756182" w:rsidRPr="00756182">
        <w:rPr>
          <w:sz w:val="24"/>
          <w:szCs w:val="24"/>
          <w:u w:val="single"/>
        </w:rPr>
        <w:tab/>
      </w:r>
      <w:r w:rsidR="00756182" w:rsidRPr="00756182">
        <w:rPr>
          <w:sz w:val="24"/>
          <w:szCs w:val="24"/>
          <w:u w:val="single"/>
        </w:rPr>
        <w:tab/>
      </w:r>
      <w:r w:rsidR="00756182" w:rsidRPr="00756182">
        <w:rPr>
          <w:sz w:val="24"/>
          <w:szCs w:val="24"/>
          <w:u w:val="single"/>
        </w:rPr>
        <w:tab/>
      </w:r>
      <w:r w:rsidR="00756182">
        <w:rPr>
          <w:u w:val="single"/>
        </w:rPr>
        <w:tab/>
      </w:r>
    </w:p>
    <w:p w:rsidR="005C3634" w:rsidRDefault="005C3634" w:rsidP="005C36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Ember S. Jandebeur</w:t>
      </w:r>
    </w:p>
    <w:p w:rsidR="00DC4452" w:rsidRDefault="005C3634" w:rsidP="005C36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DC4452" w:rsidRDefault="00DC4452">
      <w:pPr>
        <w:rPr>
          <w:sz w:val="24"/>
          <w:szCs w:val="24"/>
        </w:rPr>
      </w:pPr>
    </w:p>
    <w:sectPr w:rsidR="00DC4452" w:rsidSect="005F452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03" w:rsidRDefault="00AB5403">
      <w:r>
        <w:separator/>
      </w:r>
    </w:p>
  </w:endnote>
  <w:endnote w:type="continuationSeparator" w:id="0">
    <w:p w:rsidR="00AB5403" w:rsidRDefault="00AB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5301C5">
      <w:rPr>
        <w:rStyle w:val="PageNumber"/>
        <w:noProof/>
        <w:sz w:val="20"/>
        <w:szCs w:val="20"/>
      </w:rPr>
      <w:t>5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03" w:rsidRDefault="00AB5403">
      <w:r>
        <w:separator/>
      </w:r>
    </w:p>
  </w:footnote>
  <w:footnote w:type="continuationSeparator" w:id="0">
    <w:p w:rsidR="00AB5403" w:rsidRDefault="00AB5403">
      <w:r>
        <w:continuationSeparator/>
      </w:r>
    </w:p>
  </w:footnote>
  <w:footnote w:id="1">
    <w:p w:rsidR="0003402B" w:rsidRDefault="0003402B" w:rsidP="000340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6BF6">
        <w:tab/>
      </w:r>
      <w:proofErr w:type="gramStart"/>
      <w:r>
        <w:t>Customer Proprietary Network Information</w:t>
      </w:r>
      <w:r w:rsidR="00406BF6">
        <w:t>.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6571BB"/>
    <w:multiLevelType w:val="hybridMultilevel"/>
    <w:tmpl w:val="BFD24F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8A058B"/>
    <w:multiLevelType w:val="hybridMultilevel"/>
    <w:tmpl w:val="D07E1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6D34DB9"/>
    <w:multiLevelType w:val="hybridMultilevel"/>
    <w:tmpl w:val="F6C4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013FA5"/>
    <w:multiLevelType w:val="hybridMultilevel"/>
    <w:tmpl w:val="B298F4A2"/>
    <w:lvl w:ilvl="0" w:tplc="D0969C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14188"/>
    <w:multiLevelType w:val="hybridMultilevel"/>
    <w:tmpl w:val="195A10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01B289E"/>
    <w:multiLevelType w:val="hybridMultilevel"/>
    <w:tmpl w:val="407C4DF6"/>
    <w:lvl w:ilvl="0" w:tplc="3F527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35BE6C1E"/>
    <w:multiLevelType w:val="hybridMultilevel"/>
    <w:tmpl w:val="BBDEED0C"/>
    <w:lvl w:ilvl="0" w:tplc="3F527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C70D1"/>
    <w:multiLevelType w:val="hybridMultilevel"/>
    <w:tmpl w:val="3E12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66D07"/>
    <w:multiLevelType w:val="hybridMultilevel"/>
    <w:tmpl w:val="05249E4E"/>
    <w:lvl w:ilvl="0" w:tplc="DC5066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F8A599F"/>
    <w:multiLevelType w:val="hybridMultilevel"/>
    <w:tmpl w:val="0C0EF418"/>
    <w:lvl w:ilvl="0" w:tplc="C0C6053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F5D1A"/>
    <w:multiLevelType w:val="hybridMultilevel"/>
    <w:tmpl w:val="1736CC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4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F0596C"/>
    <w:multiLevelType w:val="hybridMultilevel"/>
    <w:tmpl w:val="2FEA996A"/>
    <w:lvl w:ilvl="0" w:tplc="5CDA72F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5E49544A"/>
    <w:multiLevelType w:val="hybridMultilevel"/>
    <w:tmpl w:val="AD08AD48"/>
    <w:lvl w:ilvl="0" w:tplc="D8364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>
    <w:nsid w:val="72644860"/>
    <w:multiLevelType w:val="hybridMultilevel"/>
    <w:tmpl w:val="AA2CD5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>
    <w:nsid w:val="72BA1A04"/>
    <w:multiLevelType w:val="hybridMultilevel"/>
    <w:tmpl w:val="40E05EEE"/>
    <w:lvl w:ilvl="0" w:tplc="5D4CBAFE">
      <w:start w:val="1"/>
      <w:numFmt w:val="lowerLetter"/>
      <w:lvlText w:val="(%1)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7889787C"/>
    <w:multiLevelType w:val="hybridMultilevel"/>
    <w:tmpl w:val="555AE3FE"/>
    <w:lvl w:ilvl="0" w:tplc="DC506610">
      <w:start w:val="1"/>
      <w:numFmt w:val="decimal"/>
      <w:lvlText w:val="%1."/>
      <w:lvlJc w:val="left"/>
      <w:pPr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DA3CCC9E">
      <w:start w:val="1"/>
      <w:numFmt w:val="decimal"/>
      <w:lvlText w:val="%3."/>
      <w:lvlJc w:val="lef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54453A"/>
    <w:multiLevelType w:val="hybridMultilevel"/>
    <w:tmpl w:val="1AD4B78A"/>
    <w:lvl w:ilvl="0" w:tplc="FA1489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23"/>
  </w:num>
  <w:num w:numId="4">
    <w:abstractNumId w:val="2"/>
  </w:num>
  <w:num w:numId="5">
    <w:abstractNumId w:val="18"/>
  </w:num>
  <w:num w:numId="6">
    <w:abstractNumId w:val="10"/>
  </w:num>
  <w:num w:numId="7">
    <w:abstractNumId w:val="7"/>
  </w:num>
  <w:num w:numId="8">
    <w:abstractNumId w:val="0"/>
  </w:num>
  <w:num w:numId="9">
    <w:abstractNumId w:val="19"/>
  </w:num>
  <w:num w:numId="10">
    <w:abstractNumId w:val="24"/>
  </w:num>
  <w:num w:numId="11">
    <w:abstractNumId w:val="22"/>
  </w:num>
  <w:num w:numId="12">
    <w:abstractNumId w:val="34"/>
  </w:num>
  <w:num w:numId="13">
    <w:abstractNumId w:val="1"/>
  </w:num>
  <w:num w:numId="14">
    <w:abstractNumId w:val="8"/>
  </w:num>
  <w:num w:numId="15">
    <w:abstractNumId w:val="29"/>
  </w:num>
  <w:num w:numId="16">
    <w:abstractNumId w:val="31"/>
  </w:num>
  <w:num w:numId="17">
    <w:abstractNumId w:val="13"/>
  </w:num>
  <w:num w:numId="18">
    <w:abstractNumId w:val="5"/>
  </w:num>
  <w:num w:numId="19">
    <w:abstractNumId w:val="25"/>
  </w:num>
  <w:num w:numId="20">
    <w:abstractNumId w:val="3"/>
  </w:num>
  <w:num w:numId="21">
    <w:abstractNumId w:val="6"/>
  </w:num>
  <w:num w:numId="22">
    <w:abstractNumId w:val="16"/>
  </w:num>
  <w:num w:numId="23">
    <w:abstractNumId w:val="17"/>
  </w:num>
  <w:num w:numId="24">
    <w:abstractNumId w:val="33"/>
  </w:num>
  <w:num w:numId="25">
    <w:abstractNumId w:val="30"/>
  </w:num>
  <w:num w:numId="26">
    <w:abstractNumId w:val="4"/>
  </w:num>
  <w:num w:numId="27">
    <w:abstractNumId w:val="21"/>
  </w:num>
  <w:num w:numId="28">
    <w:abstractNumId w:val="12"/>
  </w:num>
  <w:num w:numId="29">
    <w:abstractNumId w:val="15"/>
  </w:num>
  <w:num w:numId="30">
    <w:abstractNumId w:val="9"/>
  </w:num>
  <w:num w:numId="31">
    <w:abstractNumId w:val="32"/>
  </w:num>
  <w:num w:numId="32">
    <w:abstractNumId w:val="26"/>
  </w:num>
  <w:num w:numId="33">
    <w:abstractNumId w:val="27"/>
  </w:num>
  <w:num w:numId="34">
    <w:abstractNumId w:val="11"/>
  </w:num>
  <w:num w:numId="35">
    <w:abstractNumId w:val="2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03ED9"/>
    <w:rsid w:val="00020AB1"/>
    <w:rsid w:val="00022997"/>
    <w:rsid w:val="00022D67"/>
    <w:rsid w:val="0002512E"/>
    <w:rsid w:val="0003402B"/>
    <w:rsid w:val="00034A86"/>
    <w:rsid w:val="00035C05"/>
    <w:rsid w:val="00035E78"/>
    <w:rsid w:val="000376EF"/>
    <w:rsid w:val="00042626"/>
    <w:rsid w:val="00055A89"/>
    <w:rsid w:val="000573C2"/>
    <w:rsid w:val="00064F92"/>
    <w:rsid w:val="0006610A"/>
    <w:rsid w:val="0006622C"/>
    <w:rsid w:val="00070E25"/>
    <w:rsid w:val="0007126E"/>
    <w:rsid w:val="000728A4"/>
    <w:rsid w:val="00075A22"/>
    <w:rsid w:val="00082976"/>
    <w:rsid w:val="00091672"/>
    <w:rsid w:val="00091CE2"/>
    <w:rsid w:val="00093DB9"/>
    <w:rsid w:val="000967DB"/>
    <w:rsid w:val="000A001F"/>
    <w:rsid w:val="000A1CB9"/>
    <w:rsid w:val="000A1DAA"/>
    <w:rsid w:val="000A20A3"/>
    <w:rsid w:val="000B5F6A"/>
    <w:rsid w:val="000C6F32"/>
    <w:rsid w:val="000D2CE8"/>
    <w:rsid w:val="000E0BD8"/>
    <w:rsid w:val="000E277A"/>
    <w:rsid w:val="000E2934"/>
    <w:rsid w:val="000E6B17"/>
    <w:rsid w:val="000F0833"/>
    <w:rsid w:val="000F1894"/>
    <w:rsid w:val="000F1F62"/>
    <w:rsid w:val="000F279D"/>
    <w:rsid w:val="000F2F0A"/>
    <w:rsid w:val="000F6118"/>
    <w:rsid w:val="0010177F"/>
    <w:rsid w:val="001027AA"/>
    <w:rsid w:val="00110C23"/>
    <w:rsid w:val="00111EA9"/>
    <w:rsid w:val="001122A9"/>
    <w:rsid w:val="001155B6"/>
    <w:rsid w:val="00116136"/>
    <w:rsid w:val="00117C73"/>
    <w:rsid w:val="00125871"/>
    <w:rsid w:val="00126014"/>
    <w:rsid w:val="00126207"/>
    <w:rsid w:val="001312A6"/>
    <w:rsid w:val="00134E8D"/>
    <w:rsid w:val="00137999"/>
    <w:rsid w:val="001404C5"/>
    <w:rsid w:val="00141DF5"/>
    <w:rsid w:val="00143C49"/>
    <w:rsid w:val="00144488"/>
    <w:rsid w:val="00147DEE"/>
    <w:rsid w:val="00152C6B"/>
    <w:rsid w:val="0015646C"/>
    <w:rsid w:val="001620CA"/>
    <w:rsid w:val="00162898"/>
    <w:rsid w:val="00176F82"/>
    <w:rsid w:val="0018160C"/>
    <w:rsid w:val="00187B87"/>
    <w:rsid w:val="001930DE"/>
    <w:rsid w:val="00193B6C"/>
    <w:rsid w:val="00195779"/>
    <w:rsid w:val="00196ADF"/>
    <w:rsid w:val="001A4CC0"/>
    <w:rsid w:val="001A721E"/>
    <w:rsid w:val="001B123C"/>
    <w:rsid w:val="001B3235"/>
    <w:rsid w:val="001C20B7"/>
    <w:rsid w:val="001C715B"/>
    <w:rsid w:val="001D2AEE"/>
    <w:rsid w:val="001D3206"/>
    <w:rsid w:val="001D6FCF"/>
    <w:rsid w:val="001E4FAC"/>
    <w:rsid w:val="001F0787"/>
    <w:rsid w:val="001F08B4"/>
    <w:rsid w:val="001F2116"/>
    <w:rsid w:val="001F3112"/>
    <w:rsid w:val="001F6FC1"/>
    <w:rsid w:val="001F7F73"/>
    <w:rsid w:val="0020095D"/>
    <w:rsid w:val="00215221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1D19"/>
    <w:rsid w:val="0025370D"/>
    <w:rsid w:val="00260D19"/>
    <w:rsid w:val="002732DC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C486F"/>
    <w:rsid w:val="002D13C5"/>
    <w:rsid w:val="002D554B"/>
    <w:rsid w:val="002E0985"/>
    <w:rsid w:val="002E1E50"/>
    <w:rsid w:val="002F2EE4"/>
    <w:rsid w:val="002F66F9"/>
    <w:rsid w:val="002F6BC1"/>
    <w:rsid w:val="00300A0A"/>
    <w:rsid w:val="00300CB7"/>
    <w:rsid w:val="00300F91"/>
    <w:rsid w:val="0030207C"/>
    <w:rsid w:val="00306B0D"/>
    <w:rsid w:val="00311AD2"/>
    <w:rsid w:val="003129F7"/>
    <w:rsid w:val="00312E1C"/>
    <w:rsid w:val="00317B5C"/>
    <w:rsid w:val="00323AAE"/>
    <w:rsid w:val="00324F3E"/>
    <w:rsid w:val="00326026"/>
    <w:rsid w:val="0033043C"/>
    <w:rsid w:val="0033647C"/>
    <w:rsid w:val="00337C53"/>
    <w:rsid w:val="00340AB8"/>
    <w:rsid w:val="003421E0"/>
    <w:rsid w:val="0034312D"/>
    <w:rsid w:val="00346E30"/>
    <w:rsid w:val="003539D2"/>
    <w:rsid w:val="00354E6F"/>
    <w:rsid w:val="0035737A"/>
    <w:rsid w:val="00364519"/>
    <w:rsid w:val="003657A8"/>
    <w:rsid w:val="00380450"/>
    <w:rsid w:val="00380AD7"/>
    <w:rsid w:val="00382B1A"/>
    <w:rsid w:val="003857DF"/>
    <w:rsid w:val="00386CDC"/>
    <w:rsid w:val="00392382"/>
    <w:rsid w:val="00394493"/>
    <w:rsid w:val="003959AC"/>
    <w:rsid w:val="00395E03"/>
    <w:rsid w:val="00396DE1"/>
    <w:rsid w:val="003A167D"/>
    <w:rsid w:val="003B4826"/>
    <w:rsid w:val="003B715B"/>
    <w:rsid w:val="003C050F"/>
    <w:rsid w:val="003C0716"/>
    <w:rsid w:val="003C3664"/>
    <w:rsid w:val="003C7143"/>
    <w:rsid w:val="003D139F"/>
    <w:rsid w:val="003D15FA"/>
    <w:rsid w:val="003D77FF"/>
    <w:rsid w:val="003D7EC6"/>
    <w:rsid w:val="003E292B"/>
    <w:rsid w:val="003E594B"/>
    <w:rsid w:val="003F155A"/>
    <w:rsid w:val="003F5796"/>
    <w:rsid w:val="003F5965"/>
    <w:rsid w:val="003F69BF"/>
    <w:rsid w:val="00402359"/>
    <w:rsid w:val="004064A8"/>
    <w:rsid w:val="00406BF6"/>
    <w:rsid w:val="004107FD"/>
    <w:rsid w:val="00417087"/>
    <w:rsid w:val="0042160A"/>
    <w:rsid w:val="0042193A"/>
    <w:rsid w:val="00422E29"/>
    <w:rsid w:val="00424A76"/>
    <w:rsid w:val="00427E73"/>
    <w:rsid w:val="004312BE"/>
    <w:rsid w:val="00431BEF"/>
    <w:rsid w:val="00442854"/>
    <w:rsid w:val="00453B16"/>
    <w:rsid w:val="004561FE"/>
    <w:rsid w:val="0046339D"/>
    <w:rsid w:val="00476C8A"/>
    <w:rsid w:val="00486535"/>
    <w:rsid w:val="00486AC0"/>
    <w:rsid w:val="00490174"/>
    <w:rsid w:val="004917C1"/>
    <w:rsid w:val="00491C99"/>
    <w:rsid w:val="00495450"/>
    <w:rsid w:val="00495B88"/>
    <w:rsid w:val="004A1805"/>
    <w:rsid w:val="004A5AD6"/>
    <w:rsid w:val="004C2124"/>
    <w:rsid w:val="004C3922"/>
    <w:rsid w:val="004C3EFA"/>
    <w:rsid w:val="004D1B54"/>
    <w:rsid w:val="004D3062"/>
    <w:rsid w:val="004D3108"/>
    <w:rsid w:val="004D46FD"/>
    <w:rsid w:val="004D55EB"/>
    <w:rsid w:val="004D65F3"/>
    <w:rsid w:val="004E187E"/>
    <w:rsid w:val="004E20CB"/>
    <w:rsid w:val="004E2912"/>
    <w:rsid w:val="004E2B03"/>
    <w:rsid w:val="004E533F"/>
    <w:rsid w:val="004F2D3D"/>
    <w:rsid w:val="005032B5"/>
    <w:rsid w:val="00510572"/>
    <w:rsid w:val="00515937"/>
    <w:rsid w:val="00517AD1"/>
    <w:rsid w:val="00523780"/>
    <w:rsid w:val="00526B2A"/>
    <w:rsid w:val="005301C5"/>
    <w:rsid w:val="00530D1B"/>
    <w:rsid w:val="00531226"/>
    <w:rsid w:val="00531409"/>
    <w:rsid w:val="00535DF7"/>
    <w:rsid w:val="00542107"/>
    <w:rsid w:val="00545431"/>
    <w:rsid w:val="00553EEB"/>
    <w:rsid w:val="00564C41"/>
    <w:rsid w:val="0056706A"/>
    <w:rsid w:val="00582896"/>
    <w:rsid w:val="00584798"/>
    <w:rsid w:val="0059070D"/>
    <w:rsid w:val="00592C86"/>
    <w:rsid w:val="005A33D0"/>
    <w:rsid w:val="005B13B6"/>
    <w:rsid w:val="005B250B"/>
    <w:rsid w:val="005B3C00"/>
    <w:rsid w:val="005B6749"/>
    <w:rsid w:val="005B7834"/>
    <w:rsid w:val="005B7E6A"/>
    <w:rsid w:val="005C28EC"/>
    <w:rsid w:val="005C2971"/>
    <w:rsid w:val="005C3634"/>
    <w:rsid w:val="005D19C4"/>
    <w:rsid w:val="005D2DEE"/>
    <w:rsid w:val="005D4D0C"/>
    <w:rsid w:val="005D5E04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306EB"/>
    <w:rsid w:val="00631DE9"/>
    <w:rsid w:val="00634A5C"/>
    <w:rsid w:val="006352B9"/>
    <w:rsid w:val="00641596"/>
    <w:rsid w:val="0064329B"/>
    <w:rsid w:val="006441F5"/>
    <w:rsid w:val="00644E60"/>
    <w:rsid w:val="00645B55"/>
    <w:rsid w:val="00652C21"/>
    <w:rsid w:val="0066237B"/>
    <w:rsid w:val="006656FC"/>
    <w:rsid w:val="00675607"/>
    <w:rsid w:val="00675986"/>
    <w:rsid w:val="00694C52"/>
    <w:rsid w:val="00695694"/>
    <w:rsid w:val="006A21C2"/>
    <w:rsid w:val="006A3B47"/>
    <w:rsid w:val="006A7A0A"/>
    <w:rsid w:val="006C1047"/>
    <w:rsid w:val="006C3226"/>
    <w:rsid w:val="006D0B0F"/>
    <w:rsid w:val="006D4BB7"/>
    <w:rsid w:val="006D75BD"/>
    <w:rsid w:val="006E0A12"/>
    <w:rsid w:val="006E4407"/>
    <w:rsid w:val="006F44F9"/>
    <w:rsid w:val="006F4BCE"/>
    <w:rsid w:val="006F5CBC"/>
    <w:rsid w:val="007015FC"/>
    <w:rsid w:val="007114E7"/>
    <w:rsid w:val="0071588F"/>
    <w:rsid w:val="0073239A"/>
    <w:rsid w:val="0073727C"/>
    <w:rsid w:val="00744AF3"/>
    <w:rsid w:val="00747E56"/>
    <w:rsid w:val="00751672"/>
    <w:rsid w:val="0075510C"/>
    <w:rsid w:val="00756182"/>
    <w:rsid w:val="00766C8E"/>
    <w:rsid w:val="0077255F"/>
    <w:rsid w:val="00775593"/>
    <w:rsid w:val="00782A08"/>
    <w:rsid w:val="00784801"/>
    <w:rsid w:val="00786153"/>
    <w:rsid w:val="00790EF3"/>
    <w:rsid w:val="00791ABB"/>
    <w:rsid w:val="00792C70"/>
    <w:rsid w:val="007965B0"/>
    <w:rsid w:val="007A49B5"/>
    <w:rsid w:val="007B1672"/>
    <w:rsid w:val="007B1D2D"/>
    <w:rsid w:val="007B46F9"/>
    <w:rsid w:val="007B6CFE"/>
    <w:rsid w:val="007C36CE"/>
    <w:rsid w:val="007C5504"/>
    <w:rsid w:val="007C74E3"/>
    <w:rsid w:val="007D3E3E"/>
    <w:rsid w:val="007D6063"/>
    <w:rsid w:val="007E09E5"/>
    <w:rsid w:val="007E31DB"/>
    <w:rsid w:val="007E7871"/>
    <w:rsid w:val="00800FF3"/>
    <w:rsid w:val="00801DEE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506A0"/>
    <w:rsid w:val="00851A4F"/>
    <w:rsid w:val="00856AF2"/>
    <w:rsid w:val="00866264"/>
    <w:rsid w:val="008663C0"/>
    <w:rsid w:val="008746E1"/>
    <w:rsid w:val="0087572C"/>
    <w:rsid w:val="008803F7"/>
    <w:rsid w:val="00881C76"/>
    <w:rsid w:val="0088763C"/>
    <w:rsid w:val="00893B0E"/>
    <w:rsid w:val="00893F0B"/>
    <w:rsid w:val="00894839"/>
    <w:rsid w:val="0089761B"/>
    <w:rsid w:val="008A0235"/>
    <w:rsid w:val="008A60E2"/>
    <w:rsid w:val="008B1A8B"/>
    <w:rsid w:val="008B282A"/>
    <w:rsid w:val="008B2B8B"/>
    <w:rsid w:val="008D6D09"/>
    <w:rsid w:val="008D761F"/>
    <w:rsid w:val="008E3BE1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3170C"/>
    <w:rsid w:val="009342E4"/>
    <w:rsid w:val="009445E9"/>
    <w:rsid w:val="00947175"/>
    <w:rsid w:val="00961314"/>
    <w:rsid w:val="009634B4"/>
    <w:rsid w:val="009643E3"/>
    <w:rsid w:val="009649FC"/>
    <w:rsid w:val="00965F82"/>
    <w:rsid w:val="00966FB7"/>
    <w:rsid w:val="009700E6"/>
    <w:rsid w:val="0098237A"/>
    <w:rsid w:val="00982B8E"/>
    <w:rsid w:val="009830C8"/>
    <w:rsid w:val="00983B9A"/>
    <w:rsid w:val="009870EF"/>
    <w:rsid w:val="009877CF"/>
    <w:rsid w:val="00987B98"/>
    <w:rsid w:val="00995E0A"/>
    <w:rsid w:val="009A475D"/>
    <w:rsid w:val="009A5BCA"/>
    <w:rsid w:val="009A5C49"/>
    <w:rsid w:val="009B1C06"/>
    <w:rsid w:val="009B44FC"/>
    <w:rsid w:val="009B68C7"/>
    <w:rsid w:val="009C22D0"/>
    <w:rsid w:val="009D5A08"/>
    <w:rsid w:val="009E17BA"/>
    <w:rsid w:val="009E69A1"/>
    <w:rsid w:val="009F24FB"/>
    <w:rsid w:val="009F4939"/>
    <w:rsid w:val="009F620C"/>
    <w:rsid w:val="009F7BD8"/>
    <w:rsid w:val="00A022C7"/>
    <w:rsid w:val="00A02D20"/>
    <w:rsid w:val="00A0627A"/>
    <w:rsid w:val="00A14713"/>
    <w:rsid w:val="00A22653"/>
    <w:rsid w:val="00A23BC5"/>
    <w:rsid w:val="00A24F45"/>
    <w:rsid w:val="00A31EAA"/>
    <w:rsid w:val="00A345AE"/>
    <w:rsid w:val="00A409B8"/>
    <w:rsid w:val="00A4383B"/>
    <w:rsid w:val="00A470ED"/>
    <w:rsid w:val="00A475EE"/>
    <w:rsid w:val="00A523A9"/>
    <w:rsid w:val="00A52E9C"/>
    <w:rsid w:val="00A67786"/>
    <w:rsid w:val="00A67C1E"/>
    <w:rsid w:val="00A7050E"/>
    <w:rsid w:val="00A761ED"/>
    <w:rsid w:val="00A76B1D"/>
    <w:rsid w:val="00A86505"/>
    <w:rsid w:val="00AA00A9"/>
    <w:rsid w:val="00AA0438"/>
    <w:rsid w:val="00AA1DE2"/>
    <w:rsid w:val="00AA6434"/>
    <w:rsid w:val="00AA7B5D"/>
    <w:rsid w:val="00AB3A78"/>
    <w:rsid w:val="00AB5403"/>
    <w:rsid w:val="00AC4DB7"/>
    <w:rsid w:val="00AC7513"/>
    <w:rsid w:val="00AC7FED"/>
    <w:rsid w:val="00AD0497"/>
    <w:rsid w:val="00AD0503"/>
    <w:rsid w:val="00AD0929"/>
    <w:rsid w:val="00AD0A1F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23067"/>
    <w:rsid w:val="00B2590D"/>
    <w:rsid w:val="00B32E66"/>
    <w:rsid w:val="00B34848"/>
    <w:rsid w:val="00B40E21"/>
    <w:rsid w:val="00B45676"/>
    <w:rsid w:val="00B45F71"/>
    <w:rsid w:val="00B5018B"/>
    <w:rsid w:val="00B57687"/>
    <w:rsid w:val="00B60643"/>
    <w:rsid w:val="00B625D9"/>
    <w:rsid w:val="00B665D7"/>
    <w:rsid w:val="00B70860"/>
    <w:rsid w:val="00B71D02"/>
    <w:rsid w:val="00B87994"/>
    <w:rsid w:val="00B922CF"/>
    <w:rsid w:val="00B94E3D"/>
    <w:rsid w:val="00BA47D2"/>
    <w:rsid w:val="00BA61F7"/>
    <w:rsid w:val="00BB3104"/>
    <w:rsid w:val="00BB352A"/>
    <w:rsid w:val="00BB7304"/>
    <w:rsid w:val="00BC2178"/>
    <w:rsid w:val="00BC2D8F"/>
    <w:rsid w:val="00BC2DE6"/>
    <w:rsid w:val="00BC7240"/>
    <w:rsid w:val="00BC7AF5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02A8"/>
    <w:rsid w:val="00C322C5"/>
    <w:rsid w:val="00C34D87"/>
    <w:rsid w:val="00C37F96"/>
    <w:rsid w:val="00C419F9"/>
    <w:rsid w:val="00C426F5"/>
    <w:rsid w:val="00C45D4C"/>
    <w:rsid w:val="00C47400"/>
    <w:rsid w:val="00C477B5"/>
    <w:rsid w:val="00C546D2"/>
    <w:rsid w:val="00C61510"/>
    <w:rsid w:val="00C61561"/>
    <w:rsid w:val="00C6634A"/>
    <w:rsid w:val="00C7068E"/>
    <w:rsid w:val="00C73912"/>
    <w:rsid w:val="00C769EE"/>
    <w:rsid w:val="00C86201"/>
    <w:rsid w:val="00C908AD"/>
    <w:rsid w:val="00C920E5"/>
    <w:rsid w:val="00C94BB9"/>
    <w:rsid w:val="00CA1E0E"/>
    <w:rsid w:val="00CA5BA3"/>
    <w:rsid w:val="00CB0D2B"/>
    <w:rsid w:val="00CB495C"/>
    <w:rsid w:val="00CB4F5E"/>
    <w:rsid w:val="00CB6A72"/>
    <w:rsid w:val="00CB7D7F"/>
    <w:rsid w:val="00CC3CC1"/>
    <w:rsid w:val="00CC49DA"/>
    <w:rsid w:val="00CC5E96"/>
    <w:rsid w:val="00CD4A78"/>
    <w:rsid w:val="00CD6B6A"/>
    <w:rsid w:val="00CE43B4"/>
    <w:rsid w:val="00CE68C6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5720C"/>
    <w:rsid w:val="00D6261D"/>
    <w:rsid w:val="00D637A5"/>
    <w:rsid w:val="00D6598A"/>
    <w:rsid w:val="00D65F4B"/>
    <w:rsid w:val="00D671F6"/>
    <w:rsid w:val="00D71653"/>
    <w:rsid w:val="00D72436"/>
    <w:rsid w:val="00D8063C"/>
    <w:rsid w:val="00D86E24"/>
    <w:rsid w:val="00D926F9"/>
    <w:rsid w:val="00D93182"/>
    <w:rsid w:val="00D961B5"/>
    <w:rsid w:val="00D9791F"/>
    <w:rsid w:val="00DA00F3"/>
    <w:rsid w:val="00DA7FD6"/>
    <w:rsid w:val="00DB1328"/>
    <w:rsid w:val="00DB1711"/>
    <w:rsid w:val="00DB51B9"/>
    <w:rsid w:val="00DB7EE0"/>
    <w:rsid w:val="00DC22CD"/>
    <w:rsid w:val="00DC4452"/>
    <w:rsid w:val="00DD2411"/>
    <w:rsid w:val="00DD3E7F"/>
    <w:rsid w:val="00DE0ECC"/>
    <w:rsid w:val="00DE1193"/>
    <w:rsid w:val="00DE2348"/>
    <w:rsid w:val="00DE3943"/>
    <w:rsid w:val="00DE562E"/>
    <w:rsid w:val="00DE6FB0"/>
    <w:rsid w:val="00DE77F8"/>
    <w:rsid w:val="00DF0138"/>
    <w:rsid w:val="00DF1A38"/>
    <w:rsid w:val="00DF294A"/>
    <w:rsid w:val="00DF57F5"/>
    <w:rsid w:val="00E00EAF"/>
    <w:rsid w:val="00E01A78"/>
    <w:rsid w:val="00E0236A"/>
    <w:rsid w:val="00E11739"/>
    <w:rsid w:val="00E12F72"/>
    <w:rsid w:val="00E15A2D"/>
    <w:rsid w:val="00E15B2B"/>
    <w:rsid w:val="00E23F95"/>
    <w:rsid w:val="00E267A5"/>
    <w:rsid w:val="00E32DA2"/>
    <w:rsid w:val="00E35AC9"/>
    <w:rsid w:val="00E413A9"/>
    <w:rsid w:val="00E5003A"/>
    <w:rsid w:val="00E514FA"/>
    <w:rsid w:val="00E51D1F"/>
    <w:rsid w:val="00E52738"/>
    <w:rsid w:val="00E56529"/>
    <w:rsid w:val="00E6135C"/>
    <w:rsid w:val="00E659AC"/>
    <w:rsid w:val="00E66725"/>
    <w:rsid w:val="00E67591"/>
    <w:rsid w:val="00E67A2A"/>
    <w:rsid w:val="00E728B0"/>
    <w:rsid w:val="00E75758"/>
    <w:rsid w:val="00E75BC0"/>
    <w:rsid w:val="00E76FF6"/>
    <w:rsid w:val="00E85ECC"/>
    <w:rsid w:val="00E9292D"/>
    <w:rsid w:val="00EA2B0E"/>
    <w:rsid w:val="00EA319E"/>
    <w:rsid w:val="00EA56F6"/>
    <w:rsid w:val="00EA77CE"/>
    <w:rsid w:val="00EB1948"/>
    <w:rsid w:val="00EB1DAB"/>
    <w:rsid w:val="00EB1EEE"/>
    <w:rsid w:val="00EC15BD"/>
    <w:rsid w:val="00EC38D5"/>
    <w:rsid w:val="00EC41CE"/>
    <w:rsid w:val="00EC477B"/>
    <w:rsid w:val="00ED0F47"/>
    <w:rsid w:val="00EE34BE"/>
    <w:rsid w:val="00EE7E40"/>
    <w:rsid w:val="00EF6C7F"/>
    <w:rsid w:val="00F2180F"/>
    <w:rsid w:val="00F227A7"/>
    <w:rsid w:val="00F2370C"/>
    <w:rsid w:val="00F31732"/>
    <w:rsid w:val="00F31F04"/>
    <w:rsid w:val="00F327E2"/>
    <w:rsid w:val="00F32DE4"/>
    <w:rsid w:val="00F34A38"/>
    <w:rsid w:val="00F375FF"/>
    <w:rsid w:val="00F50C2B"/>
    <w:rsid w:val="00F566E6"/>
    <w:rsid w:val="00F63A63"/>
    <w:rsid w:val="00F64C0A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2BEA"/>
    <w:rsid w:val="00FA53B2"/>
    <w:rsid w:val="00FA6242"/>
    <w:rsid w:val="00FA643C"/>
    <w:rsid w:val="00FA7894"/>
    <w:rsid w:val="00FC4DCA"/>
    <w:rsid w:val="00FC4DD1"/>
    <w:rsid w:val="00FD1DCC"/>
    <w:rsid w:val="00FD2E3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link w:val="FootnoteTextChar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034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link w:val="FootnoteTextChar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03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B65B-9990-48F9-9AF2-0D18476B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BEFORE THE</vt:lpstr>
      <vt:lpstr>BEFORE THE</vt:lpstr>
      <vt:lpstr>PENNSYLVANIA PUBLIC UTILITY COMMISSION</vt:lpstr>
      <vt:lpstr>Before</vt:lpstr>
    </vt:vector>
  </TitlesOfParts>
  <Company>Pa Public Utility Commission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2</cp:revision>
  <cp:lastPrinted>2015-09-04T13:38:00Z</cp:lastPrinted>
  <dcterms:created xsi:type="dcterms:W3CDTF">2015-09-11T18:33:00Z</dcterms:created>
  <dcterms:modified xsi:type="dcterms:W3CDTF">2015-09-11T18:33:00Z</dcterms:modified>
</cp:coreProperties>
</file>