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0E13E9" w:rsidP="000E13E9">
      <w:pPr>
        <w:spacing w:line="240" w:lineRule="auto"/>
        <w:rPr>
          <w:b/>
        </w:rPr>
      </w:pPr>
      <w:r>
        <w:rPr>
          <w:b/>
        </w:rPr>
        <w:t>BEFORE THE</w:t>
      </w:r>
    </w:p>
    <w:p w:rsidR="000E13E9" w:rsidRDefault="000E13E9" w:rsidP="000E13E9">
      <w:pPr>
        <w:spacing w:line="240" w:lineRule="auto"/>
        <w:rPr>
          <w:b/>
        </w:rPr>
      </w:pPr>
      <w:r>
        <w:rPr>
          <w:b/>
        </w:rPr>
        <w:t>PENNSYLVANIA PUBLIC UTILITY COMMISSION</w:t>
      </w:r>
    </w:p>
    <w:p w:rsidR="000E13E9" w:rsidRDefault="000E13E9" w:rsidP="000E13E9">
      <w:pPr>
        <w:spacing w:line="240" w:lineRule="auto"/>
        <w:rPr>
          <w:b/>
        </w:rPr>
      </w:pPr>
    </w:p>
    <w:p w:rsidR="000E13E9" w:rsidRDefault="000E13E9" w:rsidP="000E13E9">
      <w:pPr>
        <w:spacing w:line="240" w:lineRule="auto"/>
        <w:rPr>
          <w:b/>
        </w:rPr>
      </w:pPr>
    </w:p>
    <w:p w:rsidR="00BB5CF4" w:rsidRDefault="00BB5CF4" w:rsidP="000E13E9">
      <w:pPr>
        <w:spacing w:line="240" w:lineRule="auto"/>
        <w:rPr>
          <w:b/>
        </w:rPr>
      </w:pPr>
    </w:p>
    <w:p w:rsidR="000E13E9" w:rsidRDefault="005200D5" w:rsidP="000E13E9">
      <w:pPr>
        <w:spacing w:line="240" w:lineRule="auto"/>
        <w:jc w:val="left"/>
      </w:pPr>
      <w:r>
        <w:t>Jess</w:t>
      </w:r>
      <w:r w:rsidR="004D149F">
        <w:t>e</w:t>
      </w:r>
      <w:r>
        <w:t xml:space="preserve"> Hunting</w:t>
      </w:r>
      <w:r>
        <w:tab/>
      </w:r>
      <w:r w:rsidR="000E13E9">
        <w:t xml:space="preserve"> </w:t>
      </w:r>
      <w:r w:rsidR="000E13E9">
        <w:tab/>
      </w:r>
      <w:r w:rsidR="000E13E9">
        <w:tab/>
      </w:r>
      <w:r w:rsidR="000E13E9">
        <w:tab/>
      </w:r>
      <w:r w:rsidR="000E13E9">
        <w:tab/>
        <w:t>:</w:t>
      </w:r>
    </w:p>
    <w:p w:rsidR="000E13E9" w:rsidRDefault="000E13E9" w:rsidP="000E13E9">
      <w:pPr>
        <w:spacing w:line="240" w:lineRule="auto"/>
        <w:jc w:val="left"/>
      </w:pPr>
      <w:r>
        <w:tab/>
      </w:r>
      <w:r>
        <w:tab/>
      </w:r>
      <w:r>
        <w:tab/>
      </w:r>
      <w:r>
        <w:tab/>
      </w:r>
      <w:r>
        <w:tab/>
      </w:r>
      <w:r>
        <w:tab/>
        <w:t>:</w:t>
      </w:r>
    </w:p>
    <w:p w:rsidR="000E13E9" w:rsidRDefault="000E13E9" w:rsidP="000E13E9">
      <w:pPr>
        <w:spacing w:line="240" w:lineRule="auto"/>
        <w:jc w:val="left"/>
      </w:pPr>
      <w:r>
        <w:tab/>
        <w:t>v.</w:t>
      </w:r>
      <w:r>
        <w:tab/>
      </w:r>
      <w:r>
        <w:tab/>
      </w:r>
      <w:r>
        <w:tab/>
      </w:r>
      <w:r>
        <w:tab/>
      </w:r>
      <w:r>
        <w:tab/>
        <w:t>:</w:t>
      </w:r>
      <w:r>
        <w:tab/>
      </w:r>
      <w:r>
        <w:tab/>
      </w:r>
      <w:r>
        <w:tab/>
        <w:t>F-201</w:t>
      </w:r>
      <w:r w:rsidR="005200D5">
        <w:t>5</w:t>
      </w:r>
      <w:r>
        <w:t>-249</w:t>
      </w:r>
      <w:r w:rsidR="005200D5">
        <w:t>1229</w:t>
      </w:r>
    </w:p>
    <w:p w:rsidR="000E13E9" w:rsidRDefault="000E13E9" w:rsidP="000E13E9">
      <w:pPr>
        <w:spacing w:line="240" w:lineRule="auto"/>
        <w:jc w:val="left"/>
      </w:pPr>
      <w:r>
        <w:tab/>
      </w:r>
      <w:r>
        <w:tab/>
      </w:r>
      <w:r>
        <w:tab/>
      </w:r>
      <w:r>
        <w:tab/>
      </w:r>
      <w:r>
        <w:tab/>
      </w:r>
      <w:r>
        <w:tab/>
        <w:t>:</w:t>
      </w:r>
    </w:p>
    <w:p w:rsidR="000E13E9" w:rsidRDefault="005200D5" w:rsidP="000E13E9">
      <w:pPr>
        <w:spacing w:line="240" w:lineRule="auto"/>
        <w:jc w:val="left"/>
      </w:pPr>
      <w:r>
        <w:t>PECO Energy</w:t>
      </w:r>
      <w:r w:rsidR="000E13E9">
        <w:t xml:space="preserve"> Company</w:t>
      </w:r>
      <w:r>
        <w:tab/>
      </w:r>
      <w:r w:rsidR="000E13E9">
        <w:tab/>
      </w:r>
      <w:r w:rsidR="000E13E9">
        <w:tab/>
        <w:t>:</w:t>
      </w:r>
    </w:p>
    <w:p w:rsidR="000E13E9" w:rsidRDefault="000E13E9" w:rsidP="000E13E9">
      <w:pPr>
        <w:spacing w:line="240" w:lineRule="auto"/>
        <w:jc w:val="left"/>
      </w:pPr>
    </w:p>
    <w:p w:rsidR="00822DE6" w:rsidRDefault="00822DE6" w:rsidP="000E13E9">
      <w:pPr>
        <w:spacing w:line="240" w:lineRule="auto"/>
        <w:jc w:val="left"/>
      </w:pPr>
    </w:p>
    <w:p w:rsidR="000E13E9" w:rsidRDefault="000E13E9" w:rsidP="000E13E9">
      <w:pPr>
        <w:spacing w:line="240" w:lineRule="auto"/>
        <w:jc w:val="left"/>
      </w:pPr>
    </w:p>
    <w:p w:rsidR="009A05A6" w:rsidRDefault="009A05A6" w:rsidP="009A05A6">
      <w:pPr>
        <w:spacing w:line="240" w:lineRule="auto"/>
        <w:rPr>
          <w:b/>
        </w:rPr>
      </w:pPr>
      <w:r>
        <w:rPr>
          <w:b/>
        </w:rPr>
        <w:t>ORDER GRANTING IN PART AND DENYING IN PART</w:t>
      </w:r>
    </w:p>
    <w:p w:rsidR="009A05A6" w:rsidRDefault="009A05A6" w:rsidP="009A05A6">
      <w:pPr>
        <w:spacing w:line="240" w:lineRule="auto"/>
        <w:rPr>
          <w:b/>
        </w:rPr>
      </w:pPr>
      <w:r>
        <w:rPr>
          <w:b/>
        </w:rPr>
        <w:t xml:space="preserve">THE PRELIMINARY OBJECTIONS FILED BY  </w:t>
      </w:r>
    </w:p>
    <w:p w:rsidR="009A05A6" w:rsidRDefault="009A05A6" w:rsidP="009A05A6">
      <w:pPr>
        <w:spacing w:line="240" w:lineRule="auto"/>
        <w:rPr>
          <w:b/>
        </w:rPr>
      </w:pPr>
      <w:r>
        <w:rPr>
          <w:b/>
        </w:rPr>
        <w:t xml:space="preserve">PECO ENERGY COMPANY </w:t>
      </w:r>
    </w:p>
    <w:p w:rsidR="000E13E9" w:rsidRDefault="000E13E9" w:rsidP="000E13E9">
      <w:pPr>
        <w:spacing w:line="240" w:lineRule="auto"/>
        <w:rPr>
          <w:u w:val="single"/>
        </w:rPr>
      </w:pPr>
    </w:p>
    <w:p w:rsidR="000E13E9" w:rsidRDefault="000E13E9" w:rsidP="000E13E9">
      <w:pPr>
        <w:spacing w:line="240" w:lineRule="auto"/>
        <w:rPr>
          <w:u w:val="single"/>
        </w:rPr>
      </w:pPr>
    </w:p>
    <w:p w:rsidR="000E13E9" w:rsidRPr="000E13E9" w:rsidRDefault="000E13E9" w:rsidP="000E13E9">
      <w:pPr>
        <w:spacing w:line="240" w:lineRule="auto"/>
        <w:rPr>
          <w:u w:val="single"/>
        </w:rPr>
      </w:pPr>
      <w:r w:rsidRPr="000E13E9">
        <w:rPr>
          <w:u w:val="single"/>
        </w:rPr>
        <w:t>HISTORY OF THE PROCEEDING</w:t>
      </w:r>
    </w:p>
    <w:p w:rsidR="000E13E9" w:rsidRDefault="000E13E9" w:rsidP="00BB5CF4"/>
    <w:p w:rsidR="00D55910" w:rsidRDefault="00D55910" w:rsidP="00BB5CF4">
      <w:pPr>
        <w:jc w:val="left"/>
      </w:pPr>
      <w:r>
        <w:tab/>
      </w:r>
      <w:r>
        <w:tab/>
        <w:t xml:space="preserve">This </w:t>
      </w:r>
      <w:r w:rsidR="009A05A6">
        <w:t>Order</w:t>
      </w:r>
      <w:r>
        <w:t xml:space="preserve"> </w:t>
      </w:r>
      <w:r w:rsidR="005200D5">
        <w:t xml:space="preserve">grants in part and denies in part the </w:t>
      </w:r>
      <w:r w:rsidR="00054A6D">
        <w:t>P</w:t>
      </w:r>
      <w:r w:rsidR="005200D5">
        <w:t xml:space="preserve">reliminary </w:t>
      </w:r>
      <w:r w:rsidR="00054A6D">
        <w:t>O</w:t>
      </w:r>
      <w:r w:rsidR="005200D5">
        <w:t>bjections (POs) filed by PECO Energy Company (PECO)</w:t>
      </w:r>
      <w:r w:rsidR="00522A37">
        <w:t xml:space="preserve">, wherein </w:t>
      </w:r>
      <w:r w:rsidR="004D149F">
        <w:t>PECO request</w:t>
      </w:r>
      <w:r w:rsidR="000C7166">
        <w:t>ed</w:t>
      </w:r>
      <w:r w:rsidR="004D149F">
        <w:t xml:space="preserve"> </w:t>
      </w:r>
      <w:r w:rsidR="005200D5">
        <w:t>di</w:t>
      </w:r>
      <w:r>
        <w:t>smiss</w:t>
      </w:r>
      <w:r w:rsidR="004D149F">
        <w:t>al of</w:t>
      </w:r>
      <w:r>
        <w:t xml:space="preserve"> a </w:t>
      </w:r>
      <w:r w:rsidR="006147B5">
        <w:t>C</w:t>
      </w:r>
      <w:r>
        <w:t xml:space="preserve">omplaint by a landlord </w:t>
      </w:r>
      <w:r w:rsidR="006F08E9">
        <w:t>who</w:t>
      </w:r>
      <w:r w:rsidR="005200D5">
        <w:t xml:space="preserve"> </w:t>
      </w:r>
      <w:r>
        <w:t xml:space="preserve">seeks to </w:t>
      </w:r>
      <w:r w:rsidR="00822DE6">
        <w:t>avoid responsibility for</w:t>
      </w:r>
      <w:r>
        <w:t xml:space="preserve"> an arrearage that had been </w:t>
      </w:r>
      <w:r w:rsidR="00822DE6">
        <w:t>transferr</w:t>
      </w:r>
      <w:r>
        <w:t>ed to</w:t>
      </w:r>
      <w:r w:rsidR="006F08E9">
        <w:t xml:space="preserve"> his</w:t>
      </w:r>
      <w:r>
        <w:t xml:space="preserve"> account after foreign load was discovered.  </w:t>
      </w:r>
    </w:p>
    <w:p w:rsidR="00D55910" w:rsidRDefault="00D55910" w:rsidP="00BB5CF4">
      <w:pPr>
        <w:jc w:val="left"/>
      </w:pPr>
    </w:p>
    <w:p w:rsidR="000E13E9" w:rsidRDefault="000E13E9" w:rsidP="00BB5CF4">
      <w:pPr>
        <w:jc w:val="left"/>
      </w:pPr>
      <w:r>
        <w:tab/>
      </w:r>
      <w:r>
        <w:tab/>
        <w:t xml:space="preserve">On </w:t>
      </w:r>
      <w:r w:rsidR="00390837">
        <w:t>June 19</w:t>
      </w:r>
      <w:r>
        <w:t>, 201</w:t>
      </w:r>
      <w:r w:rsidR="00390837">
        <w:t>5</w:t>
      </w:r>
      <w:r>
        <w:t xml:space="preserve">, </w:t>
      </w:r>
      <w:r w:rsidR="00390837">
        <w:t>Jesse Hunting</w:t>
      </w:r>
      <w:r>
        <w:t xml:space="preserve"> (Complainant</w:t>
      </w:r>
      <w:r w:rsidR="00390837">
        <w:t xml:space="preserve"> or Mr. Hunting</w:t>
      </w:r>
      <w:r>
        <w:t xml:space="preserve">) filed a </w:t>
      </w:r>
      <w:r w:rsidR="00390837">
        <w:t>F</w:t>
      </w:r>
      <w:r>
        <w:t xml:space="preserve">ormal Complaint against </w:t>
      </w:r>
      <w:r w:rsidR="00390837">
        <w:t>PECO</w:t>
      </w:r>
      <w:r w:rsidR="00054A6D">
        <w:t>,</w:t>
      </w:r>
      <w:r>
        <w:t xml:space="preserve"> alleging that </w:t>
      </w:r>
      <w:r w:rsidR="00390837">
        <w:t xml:space="preserve">PECO </w:t>
      </w:r>
      <w:r>
        <w:t xml:space="preserve">placed the unpaid bill of his tenant on his account as a result of the discovery of </w:t>
      </w:r>
      <w:r w:rsidR="00054A6D">
        <w:t xml:space="preserve">a </w:t>
      </w:r>
      <w:r>
        <w:t>shared metering</w:t>
      </w:r>
      <w:r w:rsidR="00390837">
        <w:t xml:space="preserve"> condition at </w:t>
      </w:r>
      <w:r w:rsidR="00054A6D">
        <w:t>his</w:t>
      </w:r>
      <w:r w:rsidR="00390837">
        <w:t xml:space="preserve"> </w:t>
      </w:r>
      <w:r w:rsidR="00522A37">
        <w:t xml:space="preserve">rental </w:t>
      </w:r>
      <w:r w:rsidR="00390837">
        <w:t xml:space="preserve">property.  </w:t>
      </w:r>
      <w:r w:rsidR="00054A6D">
        <w:t xml:space="preserve">He avers that a porch light and a hallway light are connected to the meter of the first floor unit in a building he owns at 1120 South Divinity Street, Philadelphia, PA.  Upon discovery of the shared meter condition </w:t>
      </w:r>
      <w:r w:rsidR="006147B5">
        <w:t>dur</w:t>
      </w:r>
      <w:r w:rsidR="00054A6D">
        <w:t xml:space="preserve">ing an inspection by PECO, the entire outstanding balance of the first floor unit was transferred to the Complainant.  Once Mr. Hunting had the shared meter condition corrected, electric service to the first floor unit was transferred back into the tenant’s name.  PECO </w:t>
      </w:r>
      <w:r w:rsidR="00242560">
        <w:t xml:space="preserve">continues to hold the Complainant responsible for the balance for service to the first floor unit up to the time the shared meter condition was corrected. </w:t>
      </w:r>
      <w:r>
        <w:t xml:space="preserve">The Complaint is a timely appeal of a BCS informal decision </w:t>
      </w:r>
      <w:r w:rsidR="0002474F">
        <w:t xml:space="preserve">issued on </w:t>
      </w:r>
      <w:r w:rsidR="00390837">
        <w:t>May 5, 2015</w:t>
      </w:r>
      <w:r w:rsidR="00054A6D">
        <w:t>,</w:t>
      </w:r>
      <w:r w:rsidR="0002474F">
        <w:t xml:space="preserve"> at </w:t>
      </w:r>
      <w:r w:rsidR="00390837">
        <w:t xml:space="preserve">BCS </w:t>
      </w:r>
      <w:r w:rsidR="0002474F">
        <w:t xml:space="preserve">No. </w:t>
      </w:r>
      <w:r w:rsidR="00390837">
        <w:t>3274695</w:t>
      </w:r>
      <w:r w:rsidR="0002474F">
        <w:t xml:space="preserve">. </w:t>
      </w:r>
    </w:p>
    <w:p w:rsidR="0002474F" w:rsidRDefault="0002474F" w:rsidP="00BB5CF4">
      <w:pPr>
        <w:jc w:val="left"/>
      </w:pPr>
    </w:p>
    <w:p w:rsidR="0002474F" w:rsidRDefault="0002474F" w:rsidP="000E13E9">
      <w:pPr>
        <w:jc w:val="left"/>
      </w:pPr>
      <w:r>
        <w:lastRenderedPageBreak/>
        <w:tab/>
      </w:r>
      <w:r>
        <w:tab/>
        <w:t xml:space="preserve">On </w:t>
      </w:r>
      <w:r w:rsidR="00390837">
        <w:t>July 27, 2015</w:t>
      </w:r>
      <w:r>
        <w:t xml:space="preserve">, </w:t>
      </w:r>
      <w:r w:rsidR="00390837">
        <w:t>PECO</w:t>
      </w:r>
      <w:r>
        <w:t xml:space="preserve"> filed </w:t>
      </w:r>
      <w:r w:rsidR="00390837">
        <w:t>an</w:t>
      </w:r>
      <w:r>
        <w:t xml:space="preserve"> Answer and </w:t>
      </w:r>
      <w:proofErr w:type="spellStart"/>
      <w:r>
        <w:t>POs.</w:t>
      </w:r>
      <w:proofErr w:type="spellEnd"/>
      <w:r>
        <w:t xml:space="preserve">  </w:t>
      </w:r>
      <w:r w:rsidR="00390837">
        <w:t xml:space="preserve">In its </w:t>
      </w:r>
      <w:r w:rsidR="00054A6D">
        <w:t>A</w:t>
      </w:r>
      <w:r>
        <w:t>nswer</w:t>
      </w:r>
      <w:r w:rsidR="00390837">
        <w:t>, PECO</w:t>
      </w:r>
      <w:r>
        <w:t xml:space="preserve"> admits</w:t>
      </w:r>
      <w:r w:rsidR="00242560">
        <w:t xml:space="preserve"> that, upon discovery of the share meter condition in May of 2014, it transferred the </w:t>
      </w:r>
      <w:r w:rsidR="00522A37">
        <w:t xml:space="preserve">service and outstanding </w:t>
      </w:r>
      <w:r w:rsidR="00242560">
        <w:t xml:space="preserve">balance </w:t>
      </w:r>
      <w:r w:rsidR="00522A37">
        <w:t>t</w:t>
      </w:r>
      <w:r w:rsidR="00242560">
        <w:t>o the Complainant’s account.  It further admits that, once the shared meter condition was corrected, service to the first floor unit was transferred back to the tenant’s account.  The final balance on the shared meter account was $1,694.33, which amount was transferred</w:t>
      </w:r>
      <w:r w:rsidR="00522A37">
        <w:t xml:space="preserve"> by PECO</w:t>
      </w:r>
      <w:r w:rsidR="00242560">
        <w:t xml:space="preserve"> to the Complainant’s active account for service to 2508 South 15</w:t>
      </w:r>
      <w:r w:rsidR="00242560" w:rsidRPr="00242560">
        <w:rPr>
          <w:vertAlign w:val="superscript"/>
        </w:rPr>
        <w:t>th</w:t>
      </w:r>
      <w:r w:rsidR="00BB5CF4">
        <w:t xml:space="preserve"> Street, Philadelphia, PA.</w:t>
      </w:r>
    </w:p>
    <w:p w:rsidR="00927BFA" w:rsidRDefault="00927BFA" w:rsidP="000E13E9">
      <w:pPr>
        <w:jc w:val="left"/>
      </w:pPr>
    </w:p>
    <w:p w:rsidR="00781867" w:rsidRDefault="00927BFA" w:rsidP="000E13E9">
      <w:pPr>
        <w:jc w:val="left"/>
      </w:pPr>
      <w:r>
        <w:tab/>
      </w:r>
      <w:r>
        <w:tab/>
        <w:t>In</w:t>
      </w:r>
      <w:r w:rsidR="00242560">
        <w:t xml:space="preserve"> its </w:t>
      </w:r>
      <w:r>
        <w:t xml:space="preserve">POs, </w:t>
      </w:r>
      <w:r w:rsidR="00242560">
        <w:t xml:space="preserve">PECO </w:t>
      </w:r>
      <w:r>
        <w:t xml:space="preserve">seeks dismissal of the </w:t>
      </w:r>
      <w:r w:rsidR="00781867">
        <w:t>F</w:t>
      </w:r>
      <w:r>
        <w:t xml:space="preserve">ormal Complaint </w:t>
      </w:r>
      <w:r w:rsidR="00242560">
        <w:t>on the basis that</w:t>
      </w:r>
      <w:r>
        <w:t xml:space="preserve"> the Complain</w:t>
      </w:r>
      <w:r w:rsidR="00242560">
        <w:t>ant</w:t>
      </w:r>
      <w:r>
        <w:t xml:space="preserve"> fails to state a claim upon which relief can be granted.  </w:t>
      </w:r>
      <w:r w:rsidR="00242560">
        <w:t xml:space="preserve">It argues that it is required, pursuant to 66 </w:t>
      </w:r>
      <w:proofErr w:type="spellStart"/>
      <w:r w:rsidR="00242560">
        <w:t>Pa.C.S</w:t>
      </w:r>
      <w:proofErr w:type="spellEnd"/>
      <w:r w:rsidR="00242560">
        <w:t>. §1529.1(a)</w:t>
      </w:r>
      <w:r w:rsidR="00822DE6">
        <w:t xml:space="preserve"> and</w:t>
      </w:r>
      <w:r w:rsidR="00781867">
        <w:t xml:space="preserve"> </w:t>
      </w:r>
      <w:r w:rsidR="00242560">
        <w:t>(c)</w:t>
      </w:r>
      <w:r w:rsidR="00822DE6">
        <w:t>,</w:t>
      </w:r>
      <w:r w:rsidR="00242560">
        <w:t xml:space="preserve"> and subsequent case law interpreting same, to transfer an account, including any arrearage, to the landlord </w:t>
      </w:r>
      <w:r w:rsidR="00781867">
        <w:t xml:space="preserve">upon discovery of a foreign load condition.  It </w:t>
      </w:r>
      <w:r w:rsidR="00522A37">
        <w:t xml:space="preserve">further </w:t>
      </w:r>
      <w:r w:rsidR="00781867">
        <w:t xml:space="preserve">argues that, upon correction of the foreign load condition, the account </w:t>
      </w:r>
      <w:r w:rsidR="00522A37">
        <w:t>is to be</w:t>
      </w:r>
      <w:r w:rsidR="00781867">
        <w:t xml:space="preserve"> transferred back to the tenant, but any arrearage will remain the landlord’s responsibility.</w:t>
      </w:r>
    </w:p>
    <w:p w:rsidR="00781867" w:rsidRDefault="00781867" w:rsidP="000E13E9">
      <w:pPr>
        <w:jc w:val="left"/>
      </w:pPr>
    </w:p>
    <w:p w:rsidR="00D55910" w:rsidRDefault="00781867" w:rsidP="000E13E9">
      <w:pPr>
        <w:jc w:val="left"/>
      </w:pPr>
      <w:r>
        <w:tab/>
      </w:r>
      <w:r>
        <w:tab/>
        <w:t xml:space="preserve">The Complainant filed a response to PECO’s POs on </w:t>
      </w:r>
      <w:r w:rsidR="00176AD9">
        <w:t>A</w:t>
      </w:r>
      <w:r>
        <w:t xml:space="preserve">ugust 6, 2015.  In his response, the Complainant makes three arguments in support of his position.  First, he notes that it took PECO approximately one month to notify him of the shared meter condition after it concluded its inspection and discovered the problem.  He argues he could have had the condition corrected sooner, with </w:t>
      </w:r>
      <w:r w:rsidR="00822DE6">
        <w:t>fewer</w:t>
      </w:r>
      <w:r>
        <w:t xml:space="preserve"> charges accruing on his shared meter account, if he had been notified </w:t>
      </w:r>
      <w:r w:rsidR="00176AD9">
        <w:t>earlier</w:t>
      </w:r>
      <w:r>
        <w:t>.  Second, he argues that, since the switches for the porch and hallway lights were located inside the first floor unit, the tenant had exclusive control over the lights at issue.  He argues, therefore, that she was only being billed for electricity that she alone was using.  Finally, he argues that the</w:t>
      </w:r>
      <w:r w:rsidR="00176AD9">
        <w:t xml:space="preserve"> arrearage began accumulatin</w:t>
      </w:r>
      <w:r w:rsidR="00522A37">
        <w:t>g</w:t>
      </w:r>
      <w:r w:rsidR="00176AD9">
        <w:t xml:space="preserve"> on the account in September of 2012, and that he did not purchase the property until March of 2014.  Accordingly, responsib</w:t>
      </w:r>
      <w:r w:rsidR="00522A37">
        <w:t xml:space="preserve">ility </w:t>
      </w:r>
      <w:r w:rsidR="00176AD9">
        <w:t>for the arrearage</w:t>
      </w:r>
      <w:r w:rsidR="00522A37">
        <w:t xml:space="preserve"> should fall on the prior owner, </w:t>
      </w:r>
      <w:r w:rsidR="00176AD9">
        <w:t xml:space="preserve">since most of it accrued before </w:t>
      </w:r>
      <w:r w:rsidR="00822DE6">
        <w:t>t</w:t>
      </w:r>
      <w:r w:rsidR="00176AD9">
        <w:t>he</w:t>
      </w:r>
      <w:r w:rsidR="00822DE6">
        <w:t xml:space="preserve"> Complainant</w:t>
      </w:r>
      <w:r w:rsidR="00BB5CF4">
        <w:t xml:space="preserve"> owned the property.</w:t>
      </w:r>
    </w:p>
    <w:p w:rsidR="00D55910" w:rsidRDefault="00D55910" w:rsidP="000E13E9">
      <w:pPr>
        <w:jc w:val="left"/>
      </w:pPr>
    </w:p>
    <w:p w:rsidR="0023334C" w:rsidRDefault="00D55910" w:rsidP="000E13E9">
      <w:pPr>
        <w:jc w:val="left"/>
      </w:pPr>
      <w:r>
        <w:tab/>
      </w:r>
      <w:r>
        <w:tab/>
        <w:t xml:space="preserve">By Motion Judge Assignment Notice </w:t>
      </w:r>
      <w:r w:rsidR="00781867">
        <w:t>dat</w:t>
      </w:r>
      <w:r>
        <w:t xml:space="preserve">ed </w:t>
      </w:r>
      <w:r w:rsidR="00781867">
        <w:t>August 18</w:t>
      </w:r>
      <w:r>
        <w:t>,</w:t>
      </w:r>
      <w:r w:rsidR="00781867">
        <w:t xml:space="preserve"> 2015,</w:t>
      </w:r>
      <w:r>
        <w:t xml:space="preserve"> the POs were assigned to me</w:t>
      </w:r>
      <w:r w:rsidR="00176AD9">
        <w:t xml:space="preserve"> for ruling</w:t>
      </w:r>
      <w:r>
        <w:t>.</w:t>
      </w:r>
      <w:r w:rsidR="00176AD9">
        <w:t xml:space="preserve">  </w:t>
      </w:r>
      <w:r w:rsidR="0023334C">
        <w:t xml:space="preserve">The POs are </w:t>
      </w:r>
      <w:r w:rsidR="00176AD9">
        <w:t xml:space="preserve">now </w:t>
      </w:r>
      <w:r w:rsidR="0023334C">
        <w:t>r</w:t>
      </w:r>
      <w:r w:rsidR="000808EF">
        <w:t>eady</w:t>
      </w:r>
      <w:r w:rsidR="0023334C">
        <w:t xml:space="preserve"> for disposition.</w:t>
      </w:r>
    </w:p>
    <w:p w:rsidR="0023334C" w:rsidRDefault="0023334C" w:rsidP="000E13E9">
      <w:pPr>
        <w:jc w:val="left"/>
      </w:pPr>
    </w:p>
    <w:p w:rsidR="000816A1" w:rsidRDefault="000816A1" w:rsidP="000816A1">
      <w:pPr>
        <w:rPr>
          <w:u w:val="single"/>
        </w:rPr>
      </w:pPr>
      <w:r>
        <w:rPr>
          <w:u w:val="single"/>
        </w:rPr>
        <w:lastRenderedPageBreak/>
        <w:t>DISCUSSION</w:t>
      </w:r>
    </w:p>
    <w:p w:rsidR="000816A1" w:rsidRDefault="000816A1" w:rsidP="00A304A4">
      <w:pPr>
        <w:jc w:val="left"/>
        <w:rPr>
          <w:u w:val="single"/>
        </w:rPr>
      </w:pPr>
    </w:p>
    <w:p w:rsidR="00BF5530" w:rsidRDefault="00BF5530" w:rsidP="00A304A4">
      <w:pPr>
        <w:jc w:val="left"/>
      </w:pPr>
      <w:r>
        <w:tab/>
      </w:r>
      <w:r>
        <w:tab/>
      </w:r>
      <w:r w:rsidR="00822DE6">
        <w:t xml:space="preserve">As noted, </w:t>
      </w:r>
      <w:r>
        <w:t xml:space="preserve">Complainant </w:t>
      </w:r>
      <w:r w:rsidR="0062795D">
        <w:t xml:space="preserve">is being held responsible by PECO for charges </w:t>
      </w:r>
      <w:r w:rsidR="00B73B63">
        <w:t xml:space="preserve">from a shared meter account </w:t>
      </w:r>
      <w:r w:rsidR="008D6E78">
        <w:t xml:space="preserve">that was </w:t>
      </w:r>
      <w:r w:rsidR="00B73B63">
        <w:t xml:space="preserve">established by the company upon discovery of </w:t>
      </w:r>
      <w:r w:rsidR="0062795D">
        <w:t>a porch light and a hall light located in common areas of the property</w:t>
      </w:r>
      <w:r w:rsidR="00B73B63">
        <w:t xml:space="preserve"> being connected to the meter </w:t>
      </w:r>
      <w:r w:rsidR="008D6E78">
        <w:t>of</w:t>
      </w:r>
      <w:r w:rsidR="00B73B63">
        <w:t xml:space="preserve"> the first floor unit.  </w:t>
      </w:r>
      <w:r w:rsidR="0062795D">
        <w:t xml:space="preserve">He seeks relief from this result on three bases:  (1) PECO did not notify him of the condition for approximately one month from the date the condition was discovered; (2) </w:t>
      </w:r>
      <w:r>
        <w:t>the</w:t>
      </w:r>
      <w:r w:rsidR="0062795D">
        <w:t xml:space="preserve"> tenant had exclusive control over the lights at issue and, accordingly, was only charged for electricity that she used; and (3) </w:t>
      </w:r>
      <w:r w:rsidR="006147B5">
        <w:t xml:space="preserve">most </w:t>
      </w:r>
      <w:r w:rsidR="0062795D">
        <w:t xml:space="preserve">of the total balance at issue accrued prior to the time the Complainant owned the property.  </w:t>
      </w:r>
      <w:r>
        <w:t xml:space="preserve">Respondent </w:t>
      </w:r>
      <w:r w:rsidR="0062795D">
        <w:t>argu</w:t>
      </w:r>
      <w:r w:rsidR="008D6E78">
        <w:t>es that the law require</w:t>
      </w:r>
      <w:r w:rsidR="006147B5">
        <w:t>d</w:t>
      </w:r>
      <w:r>
        <w:t xml:space="preserve"> it to place the account of the burdened tenant in the landlord's name when th</w:t>
      </w:r>
      <w:r w:rsidR="0062795D">
        <w:t>e</w:t>
      </w:r>
      <w:r>
        <w:t xml:space="preserve"> shared meter </w:t>
      </w:r>
      <w:r w:rsidR="0062795D">
        <w:t>condi</w:t>
      </w:r>
      <w:r>
        <w:t xml:space="preserve">tion </w:t>
      </w:r>
      <w:r w:rsidR="0062795D">
        <w:t>wa</w:t>
      </w:r>
      <w:r>
        <w:t>s identified</w:t>
      </w:r>
      <w:r w:rsidR="0062795D">
        <w:t xml:space="preserve">.  </w:t>
      </w:r>
    </w:p>
    <w:p w:rsidR="006F1702" w:rsidRDefault="006F1702" w:rsidP="00A304A4">
      <w:pPr>
        <w:jc w:val="left"/>
      </w:pPr>
    </w:p>
    <w:p w:rsidR="006F1702" w:rsidRPr="00F96FE9" w:rsidRDefault="006F1702" w:rsidP="00A304A4">
      <w:pPr>
        <w:contextualSpacing/>
        <w:jc w:val="left"/>
      </w:pPr>
      <w:r>
        <w:tab/>
      </w:r>
      <w:r>
        <w:tab/>
      </w:r>
      <w:r w:rsidRPr="00F96FE9">
        <w:t>The issue is whether the Complain</w:t>
      </w:r>
      <w:r w:rsidR="008D6E78">
        <w:t>an</w:t>
      </w:r>
      <w:r w:rsidRPr="00F96FE9">
        <w:t xml:space="preserve">t </w:t>
      </w:r>
      <w:r w:rsidR="00822DE6">
        <w:t>alleges</w:t>
      </w:r>
      <w:r w:rsidRPr="00F96FE9">
        <w:t xml:space="preserve"> a violation </w:t>
      </w:r>
      <w:r w:rsidR="00822DE6">
        <w:t xml:space="preserve">by the Respondent </w:t>
      </w:r>
      <w:r w:rsidRPr="00F96FE9">
        <w:t>that the Commission may adjudicate and for which the Commission may provide a remedy.  If so, then the POs will be denied.  If not, then the POs will be granted and the Complaint denied.</w:t>
      </w:r>
      <w:r w:rsidR="0062795D">
        <w:t xml:space="preserve">  As explained below, the POs will be denied in part and granted in part.</w:t>
      </w:r>
    </w:p>
    <w:p w:rsidR="00BF5530" w:rsidRDefault="00BF5530" w:rsidP="00A304A4">
      <w:pPr>
        <w:jc w:val="left"/>
        <w:rPr>
          <w:u w:val="single"/>
        </w:rPr>
      </w:pPr>
    </w:p>
    <w:p w:rsidR="005234E9" w:rsidRDefault="000816A1" w:rsidP="00A304A4">
      <w:pPr>
        <w:jc w:val="left"/>
      </w:pPr>
      <w:r>
        <w:tab/>
      </w:r>
      <w:r>
        <w:tab/>
      </w:r>
      <w:r w:rsidR="005234E9">
        <w:t xml:space="preserve">Commission preliminary objection practice is similar to Pennsylvania civil practice.  </w:t>
      </w:r>
      <w:r w:rsidR="005234E9">
        <w:rPr>
          <w:i/>
        </w:rPr>
        <w:t xml:space="preserve">Equitable Small Transportation Interveners v. Equitable Gas Company, </w:t>
      </w:r>
      <w:r w:rsidR="005234E9">
        <w:t xml:space="preserve">1994 </w:t>
      </w:r>
      <w:proofErr w:type="spellStart"/>
      <w:r w:rsidR="005234E9">
        <w:t>Pa.PUC</w:t>
      </w:r>
      <w:proofErr w:type="spellEnd"/>
      <w:r w:rsidR="005234E9">
        <w:t xml:space="preserve"> LEXIS 69, PUC Docket No. </w:t>
      </w:r>
      <w:proofErr w:type="gramStart"/>
      <w:r w:rsidR="005234E9">
        <w:t>C-000935435 (July 18, 1994).</w:t>
      </w:r>
      <w:proofErr w:type="gramEnd"/>
      <w:r w:rsidR="005234E9">
        <w:t xml:space="preserve"> </w:t>
      </w:r>
      <w:r w:rsidR="005234E9">
        <w:tab/>
        <w:t xml:space="preserve"> When considering preliminary objection</w:t>
      </w:r>
      <w:r w:rsidR="006D74BB">
        <w:t>s</w:t>
      </w:r>
      <w:r w:rsidR="005234E9">
        <w:t xml:space="preserve">, the Commission must determine “whether the law says with certainty, based on well-pleaded factual averments . . . that no recovery or relief is possible.  </w:t>
      </w:r>
      <w:proofErr w:type="gramStart"/>
      <w:r w:rsidR="005234E9">
        <w:rPr>
          <w:i/>
        </w:rPr>
        <w:t xml:space="preserve">P. J. S. v. Pa. State Ethics Commission, </w:t>
      </w:r>
      <w:r w:rsidR="005234E9">
        <w:t>669 A.2d 1105 (Pa.Cmwlth. 1996).</w:t>
      </w:r>
      <w:proofErr w:type="gramEnd"/>
      <w:r w:rsidR="005234E9">
        <w:t xml:space="preserve">  Any doubt must be resolved in favor of the non-moving party by refusing to sustain the preliminary objections.  </w:t>
      </w:r>
      <w:proofErr w:type="gramStart"/>
      <w:r w:rsidR="005234E9">
        <w:rPr>
          <w:i/>
        </w:rPr>
        <w:t xml:space="preserve">Boyd v. Ward, </w:t>
      </w:r>
      <w:r w:rsidR="005234E9">
        <w:t>802 A.2d 705 (Pa.Cmwlth. 2002).</w:t>
      </w:r>
      <w:r w:rsidR="006D74BB">
        <w:t>”</w:t>
      </w:r>
      <w:proofErr w:type="gramEnd"/>
      <w:r w:rsidR="005234E9">
        <w:t xml:space="preserve">  </w:t>
      </w:r>
      <w:proofErr w:type="gramStart"/>
      <w:r w:rsidR="005234E9" w:rsidRPr="00F87999">
        <w:rPr>
          <w:i/>
        </w:rPr>
        <w:t xml:space="preserve">Dept. of Auditor General, et al. v. State Employees’ Retirement System, et al., </w:t>
      </w:r>
      <w:r w:rsidR="005234E9">
        <w:t>836 A.2d 1053, 1064 (Pa.Cmwlth. 2003).</w:t>
      </w:r>
      <w:proofErr w:type="gramEnd"/>
      <w:r w:rsidR="005234E9">
        <w:t xml:space="preserve">  </w:t>
      </w:r>
      <w:r w:rsidR="005234E9">
        <w:rPr>
          <w:i/>
        </w:rPr>
        <w:t xml:space="preserve"> </w:t>
      </w:r>
    </w:p>
    <w:p w:rsidR="005234E9" w:rsidRDefault="005234E9" w:rsidP="00A304A4">
      <w:pPr>
        <w:jc w:val="left"/>
      </w:pPr>
    </w:p>
    <w:p w:rsidR="005234E9" w:rsidRDefault="005234E9" w:rsidP="00A304A4">
      <w:pPr>
        <w:jc w:val="left"/>
      </w:pPr>
      <w:r>
        <w:tab/>
      </w:r>
      <w:r>
        <w:tab/>
        <w:t>Commission regulations regarding preliminary objections are as follows:</w:t>
      </w:r>
    </w:p>
    <w:p w:rsidR="00BB5CF4" w:rsidRDefault="00BB5CF4" w:rsidP="00BB5CF4">
      <w:r>
        <w:br w:type="page"/>
      </w:r>
    </w:p>
    <w:p w:rsidR="005234E9" w:rsidRDefault="005234E9" w:rsidP="00BB5CF4"/>
    <w:p w:rsidR="005234E9" w:rsidRDefault="005234E9" w:rsidP="005234E9">
      <w:pPr>
        <w:spacing w:line="240" w:lineRule="auto"/>
        <w:ind w:left="1440" w:right="1440"/>
        <w:contextualSpacing/>
        <w:jc w:val="left"/>
        <w:rPr>
          <w:b/>
        </w:rPr>
      </w:pPr>
      <w:r>
        <w:rPr>
          <w:b/>
        </w:rPr>
        <w:t xml:space="preserve">§ 5.101.  </w:t>
      </w:r>
      <w:proofErr w:type="gramStart"/>
      <w:r>
        <w:rPr>
          <w:b/>
        </w:rPr>
        <w:t>Preliminary objections.</w:t>
      </w:r>
      <w:proofErr w:type="gramEnd"/>
    </w:p>
    <w:p w:rsidR="005234E9" w:rsidRDefault="005234E9" w:rsidP="005234E9">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234E9" w:rsidRDefault="005234E9" w:rsidP="005234E9">
      <w:pPr>
        <w:spacing w:line="240" w:lineRule="auto"/>
        <w:ind w:left="1440" w:right="1440"/>
        <w:contextualSpacing/>
        <w:jc w:val="left"/>
        <w:rPr>
          <w:i/>
        </w:rPr>
      </w:pPr>
    </w:p>
    <w:p w:rsidR="005234E9" w:rsidRDefault="005234E9" w:rsidP="005234E9">
      <w:pPr>
        <w:spacing w:line="240" w:lineRule="auto"/>
        <w:ind w:left="1440" w:right="1440"/>
        <w:contextualSpacing/>
        <w:jc w:val="left"/>
      </w:pPr>
      <w:r>
        <w:t>(1)  Lack of Commission jurisdiction or improper service of the pleading initiating the proceeding.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(2)  Failure of a pleading to conform to this chapter or the inclusion of scandalous or impertinent matter.</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(3)  Insufficient specificity of a pleading.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(4)  Legal insufficiency of a pleading.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(5) Lack of capacity to sue, nonjoinder of a necessary party or misjoinder of a cause of action.</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(6)  Pendency of a prior proceeding or agreement for alternative dispute resolution.</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(7)  Standing of a party to participate in the proceeding.</w:t>
      </w:r>
    </w:p>
    <w:p w:rsidR="005234E9" w:rsidRDefault="005234E9" w:rsidP="005234E9">
      <w:pPr>
        <w:spacing w:line="240" w:lineRule="auto"/>
        <w:ind w:left="1440" w:right="1440"/>
        <w:contextualSpacing/>
        <w:jc w:val="left"/>
      </w:pPr>
    </w:p>
    <w:p w:rsidR="005234E9" w:rsidRPr="00D10A1C" w:rsidRDefault="005234E9" w:rsidP="005234E9">
      <w:pPr>
        <w:spacing w:line="240" w:lineRule="auto"/>
        <w:ind w:left="1440" w:right="1440"/>
        <w:contextualSpacing/>
      </w:pPr>
      <w:r>
        <w:t>* * *</w:t>
      </w:r>
    </w:p>
    <w:p w:rsidR="005234E9" w:rsidRDefault="005234E9" w:rsidP="005234E9">
      <w:pPr>
        <w:spacing w:line="240" w:lineRule="auto"/>
        <w:ind w:left="1440" w:right="1440"/>
        <w:contextualSpacing/>
        <w:jc w:val="left"/>
      </w:pPr>
      <w:proofErr w:type="gramStart"/>
      <w:r>
        <w:t>52 Pa. Code § 5.101(a).</w:t>
      </w:r>
      <w:proofErr w:type="gramEnd"/>
      <w:r>
        <w:t xml:space="preserve">  </w:t>
      </w:r>
    </w:p>
    <w:p w:rsidR="005234E9" w:rsidRPr="009058F2" w:rsidRDefault="005234E9" w:rsidP="005234E9">
      <w:pPr>
        <w:contextualSpacing/>
        <w:jc w:val="left"/>
      </w:pPr>
    </w:p>
    <w:p w:rsidR="005234E9" w:rsidRDefault="005234E9" w:rsidP="005234E9">
      <w:pPr>
        <w:contextualSpacing/>
        <w:jc w:val="left"/>
      </w:pPr>
      <w:r>
        <w:tab/>
      </w:r>
      <w:r>
        <w:tab/>
        <w:t xml:space="preserve">Only the facts in the Complaint </w:t>
      </w:r>
      <w:r w:rsidR="006147B5">
        <w:t>may</w:t>
      </w:r>
      <w:r>
        <w:t xml:space="preserve"> be presumed to be true in order to determine whether recovery is possible.  </w:t>
      </w:r>
    </w:p>
    <w:p w:rsidR="005234E9" w:rsidRDefault="005234E9" w:rsidP="005234E9">
      <w:pPr>
        <w:jc w:val="left"/>
        <w:rPr>
          <w:u w:val="single"/>
        </w:rPr>
      </w:pPr>
    </w:p>
    <w:p w:rsidR="005234E9" w:rsidRDefault="005234E9" w:rsidP="005234E9">
      <w:pPr>
        <w:jc w:val="left"/>
      </w:pPr>
      <w:r>
        <w:tab/>
      </w:r>
      <w:r>
        <w:tab/>
      </w:r>
      <w:r w:rsidRPr="003D7E25">
        <w:t xml:space="preserve">The POs state that, even if all of the facts of the Complaint are proven to be true, the remedy sought cannot be granted.  </w:t>
      </w:r>
    </w:p>
    <w:p w:rsidR="00822DE6" w:rsidRDefault="00822DE6" w:rsidP="005234E9">
      <w:pPr>
        <w:jc w:val="left"/>
      </w:pPr>
    </w:p>
    <w:p w:rsidR="00BF5530" w:rsidRPr="00F96FE9" w:rsidRDefault="00D55910" w:rsidP="00BF5530">
      <w:pPr>
        <w:jc w:val="left"/>
      </w:pPr>
      <w:r>
        <w:tab/>
      </w:r>
      <w:r>
        <w:tab/>
      </w:r>
      <w:r w:rsidR="00BF5530" w:rsidRPr="00F96FE9">
        <w:t xml:space="preserve">In deciding preliminary objections, the Commission must determine whether, based on well-pleaded factual averments of the Complainant, recovery or relief is possible.  </w:t>
      </w:r>
      <w:proofErr w:type="gramStart"/>
      <w:r w:rsidR="00BF5530" w:rsidRPr="00F96FE9">
        <w:rPr>
          <w:i/>
        </w:rPr>
        <w:t>Dept. of Auditor General, et al v. SERS, et al.</w:t>
      </w:r>
      <w:r w:rsidR="00BF5530" w:rsidRPr="00F96FE9">
        <w:t>, 836 A.2d 1053, 1064 (</w:t>
      </w:r>
      <w:proofErr w:type="spellStart"/>
      <w:r w:rsidR="00BF5530" w:rsidRPr="00F96FE9">
        <w:t>Pa.Cmwlth</w:t>
      </w:r>
      <w:proofErr w:type="spellEnd"/>
      <w:r w:rsidR="00BF5530" w:rsidRPr="00F96FE9">
        <w:t>. 2003), 2003 Pa. Commw.</w:t>
      </w:r>
      <w:proofErr w:type="gramEnd"/>
      <w:r w:rsidR="00BF5530" w:rsidRPr="00F96FE9">
        <w:t xml:space="preserve"> </w:t>
      </w:r>
      <w:proofErr w:type="gramStart"/>
      <w:r w:rsidR="00BF5530" w:rsidRPr="00F96FE9">
        <w:t xml:space="preserve">LEXIS 849; </w:t>
      </w:r>
      <w:r w:rsidR="00BF5530" w:rsidRPr="00F96FE9">
        <w:rPr>
          <w:i/>
        </w:rPr>
        <w:t>P.J.S. v. Pa. State Ethics Comm’n,</w:t>
      </w:r>
      <w:r w:rsidR="00BF5530" w:rsidRPr="00F96FE9">
        <w:t xml:space="preserve"> 669 A.2d 1105 (</w:t>
      </w:r>
      <w:proofErr w:type="spellStart"/>
      <w:r w:rsidR="00BF5530" w:rsidRPr="00F96FE9">
        <w:t>Pa.Cmwlth</w:t>
      </w:r>
      <w:proofErr w:type="spellEnd"/>
      <w:r w:rsidR="00BF5530" w:rsidRPr="00F96FE9">
        <w:t>. 1996),</w:t>
      </w:r>
      <w:r w:rsidR="00BF5530">
        <w:t> </w:t>
      </w:r>
      <w:r w:rsidR="00BF5530" w:rsidRPr="00F96FE9">
        <w:t xml:space="preserve">1996 </w:t>
      </w:r>
      <w:proofErr w:type="spellStart"/>
      <w:r w:rsidR="00BF5530" w:rsidRPr="00F96FE9">
        <w:t>Pa.Commw</w:t>
      </w:r>
      <w:proofErr w:type="spellEnd"/>
      <w:r w:rsidR="00BF5530" w:rsidRPr="00F96FE9">
        <w:t>.</w:t>
      </w:r>
      <w:proofErr w:type="gramEnd"/>
      <w:r w:rsidR="00BF5530" w:rsidRPr="00F96FE9">
        <w:t xml:space="preserve"> </w:t>
      </w:r>
      <w:proofErr w:type="gramStart"/>
      <w:r w:rsidR="00BF5530" w:rsidRPr="00F96FE9">
        <w:t>LEXIS 11.</w:t>
      </w:r>
      <w:proofErr w:type="gramEnd"/>
      <w:r w:rsidR="00BF5530" w:rsidRPr="00F96FE9">
        <w:t xml:space="preserve">  Any doubt must be resolved in favor of the non-moving </w:t>
      </w:r>
      <w:r w:rsidR="00BF5530" w:rsidRPr="00F96FE9">
        <w:lastRenderedPageBreak/>
        <w:t xml:space="preserve">party by refusing to sustain the preliminary objections.  </w:t>
      </w:r>
      <w:proofErr w:type="gramStart"/>
      <w:r w:rsidR="00BF5530" w:rsidRPr="00F96FE9">
        <w:rPr>
          <w:i/>
        </w:rPr>
        <w:t xml:space="preserve">Boyd v. Ward, </w:t>
      </w:r>
      <w:r w:rsidR="00BF5530" w:rsidRPr="00F96FE9">
        <w:t xml:space="preserve">802 A.2d 705 (Pa.Cmwlth. 2002), 2002 </w:t>
      </w:r>
      <w:proofErr w:type="spellStart"/>
      <w:r w:rsidR="00BF5530" w:rsidRPr="00F96FE9">
        <w:t>Pa.Commw</w:t>
      </w:r>
      <w:proofErr w:type="spellEnd"/>
      <w:r w:rsidR="00BF5530" w:rsidRPr="00F96FE9">
        <w:t>.</w:t>
      </w:r>
      <w:proofErr w:type="gramEnd"/>
      <w:r w:rsidR="00BF5530" w:rsidRPr="00F96FE9">
        <w:t xml:space="preserve"> </w:t>
      </w:r>
      <w:proofErr w:type="gramStart"/>
      <w:r w:rsidR="00BF5530" w:rsidRPr="00F96FE9">
        <w:t>LEXIS 580.</w:t>
      </w:r>
      <w:proofErr w:type="gramEnd"/>
      <w:r w:rsidR="00BF5530" w:rsidRPr="00F96FE9">
        <w:t xml:space="preserve">  All of the non-moving party’s averments in the complaint must be </w:t>
      </w:r>
      <w:r w:rsidR="006147B5">
        <w:t>accept</w:t>
      </w:r>
      <w:r w:rsidR="00BF5530" w:rsidRPr="00F96FE9">
        <w:t xml:space="preserve">ed as true for purposes of deciding the preliminary objections, and only those facts specifically admitted may be considered against the non-moving party.  </w:t>
      </w:r>
      <w:proofErr w:type="gramStart"/>
      <w:r w:rsidR="00BF5530" w:rsidRPr="00F96FE9">
        <w:rPr>
          <w:i/>
        </w:rPr>
        <w:t>Ridge v. State Employees’ Retirement Board</w:t>
      </w:r>
      <w:r w:rsidR="00BF5530" w:rsidRPr="00F96FE9">
        <w:t>, 690 A.2d 1312 (</w:t>
      </w:r>
      <w:proofErr w:type="spellStart"/>
      <w:r w:rsidR="00BF5530" w:rsidRPr="00F96FE9">
        <w:t>Pa.Cmwlth</w:t>
      </w:r>
      <w:proofErr w:type="spellEnd"/>
      <w:r w:rsidR="00BF5530" w:rsidRPr="00F96FE9">
        <w:t xml:space="preserve">. 1997) 1997 </w:t>
      </w:r>
      <w:proofErr w:type="spellStart"/>
      <w:r w:rsidR="00BF5530" w:rsidRPr="00F96FE9">
        <w:t>Pa.Commw</w:t>
      </w:r>
      <w:proofErr w:type="spellEnd"/>
      <w:r w:rsidR="00BF5530" w:rsidRPr="00F96FE9">
        <w:t>.</w:t>
      </w:r>
      <w:proofErr w:type="gramEnd"/>
      <w:r w:rsidR="00BF5530" w:rsidRPr="00F96FE9">
        <w:t xml:space="preserve"> </w:t>
      </w:r>
      <w:proofErr w:type="gramStart"/>
      <w:r w:rsidR="00BF5530" w:rsidRPr="00F96FE9">
        <w:t>LEXIS 148.</w:t>
      </w:r>
      <w:proofErr w:type="gramEnd"/>
    </w:p>
    <w:p w:rsidR="00BF5530" w:rsidRPr="00F96FE9" w:rsidRDefault="00BF5530" w:rsidP="00BF5530">
      <w:pPr>
        <w:contextualSpacing/>
        <w:jc w:val="left"/>
      </w:pPr>
    </w:p>
    <w:p w:rsidR="00BF5530" w:rsidRPr="00F96FE9" w:rsidRDefault="00BF5530" w:rsidP="00BF5530">
      <w:pPr>
        <w:contextualSpacing/>
        <w:jc w:val="left"/>
      </w:pPr>
      <w:r w:rsidRPr="00F96FE9">
        <w:tab/>
      </w:r>
      <w:r w:rsidRPr="00F96FE9">
        <w:tab/>
      </w:r>
      <w:r w:rsidR="00DA07DD" w:rsidRPr="00E25D52">
        <w:t xml:space="preserve">Here, </w:t>
      </w:r>
      <w:r w:rsidRPr="00E25D52">
        <w:t xml:space="preserve">only the facts </w:t>
      </w:r>
      <w:r w:rsidR="008D6E78" w:rsidRPr="00E25D52">
        <w:t xml:space="preserve">averred </w:t>
      </w:r>
      <w:r w:rsidRPr="00E25D52">
        <w:t xml:space="preserve">in the Complaint </w:t>
      </w:r>
      <w:r w:rsidR="008D6E78" w:rsidRPr="00E25D52">
        <w:t>may</w:t>
      </w:r>
      <w:r w:rsidRPr="00E25D52">
        <w:t xml:space="preserve"> be presumed to be true in order to determine whether recovery is possible.</w:t>
      </w:r>
      <w:r w:rsidRPr="00F96FE9">
        <w:t xml:space="preserve"> </w:t>
      </w:r>
      <w:r>
        <w:t xml:space="preserve"> </w:t>
      </w:r>
      <w:r w:rsidRPr="00F96FE9">
        <w:t xml:space="preserve">Complainant </w:t>
      </w:r>
      <w:r w:rsidR="00C672BB">
        <w:t>aver</w:t>
      </w:r>
      <w:r w:rsidRPr="00F96FE9">
        <w:t>s that there was foreign load on the tenant's meter</w:t>
      </w:r>
      <w:r w:rsidR="008D6E78">
        <w:t xml:space="preserve"> and that PECO is holding him responsible for all charges incurred on the shared meter account prior to the time the condition was corrected.</w:t>
      </w:r>
      <w:r w:rsidR="00E25D52">
        <w:t xml:space="preserve">  </w:t>
      </w:r>
      <w:r w:rsidR="006147B5">
        <w:t xml:space="preserve">In addition, according to the Complainant: </w:t>
      </w:r>
      <w:r w:rsidR="00E25D52">
        <w:t>(1) PECO waited approximately one month to notify him of the shared meter condition after its discovery; (2) the first floor tenant had exclusive control over the porch and hallway lights and was only billed for electricity that she used; and (3) m</w:t>
      </w:r>
      <w:r w:rsidR="006147B5">
        <w:t>ost</w:t>
      </w:r>
      <w:r w:rsidR="00E25D52">
        <w:t xml:space="preserve"> of the arrearage from the shared meter account accrued before he owned the</w:t>
      </w:r>
      <w:r w:rsidR="00A304A4">
        <w:t xml:space="preserve"> property.</w:t>
      </w:r>
    </w:p>
    <w:p w:rsidR="00BF5530" w:rsidRDefault="00BF5530" w:rsidP="005234E9">
      <w:pPr>
        <w:jc w:val="left"/>
      </w:pPr>
    </w:p>
    <w:p w:rsidR="00BF5530" w:rsidRDefault="00BF5530" w:rsidP="00BF5530">
      <w:pPr>
        <w:jc w:val="left"/>
      </w:pPr>
      <w:r>
        <w:tab/>
      </w:r>
      <w:r>
        <w:tab/>
      </w:r>
      <w:r w:rsidRPr="00BF5530">
        <w:t>The law regarding shared meters or foreign load is well settled:  The express language of Section 1529.1 provides that the owner of a rental property is responsible for the payment of all utility services provided to the property when foreign wiring is discovered.</w:t>
      </w:r>
      <w:r w:rsidRPr="00BF5530">
        <w:rPr>
          <w:rStyle w:val="FootnoteReference"/>
        </w:rPr>
        <w:footnoteReference w:id="1"/>
      </w:r>
      <w:r w:rsidRPr="00BF5530">
        <w:t xml:space="preserve">  </w:t>
      </w:r>
    </w:p>
    <w:p w:rsidR="00822DE6" w:rsidRPr="00BF5530" w:rsidRDefault="00822DE6" w:rsidP="00BF5530">
      <w:pPr>
        <w:jc w:val="left"/>
      </w:pPr>
    </w:p>
    <w:p w:rsidR="007F349A" w:rsidRPr="00BF5530" w:rsidRDefault="006F1702" w:rsidP="00BF5530">
      <w:pPr>
        <w:jc w:val="left"/>
      </w:pPr>
      <w:r>
        <w:tab/>
      </w:r>
      <w:r>
        <w:tab/>
      </w:r>
      <w:r w:rsidR="007F349A" w:rsidRPr="00BF5530">
        <w:t xml:space="preserve">In interpreting this provision, the Commission has determined that well-established precedent “holds the property owner financially responsible for a tenant’s entire account, once foreign load is verified on the tenant’s service.”  </w:t>
      </w:r>
      <w:r w:rsidR="007F349A" w:rsidRPr="00BF5530">
        <w:rPr>
          <w:i/>
        </w:rPr>
        <w:t>Ace Check Cashing, Inc. v. Philadelphia Gas Works</w:t>
      </w:r>
      <w:r w:rsidR="007F349A" w:rsidRPr="00BF5530">
        <w:t>, Docket No. C-2008-2056428 (</w:t>
      </w:r>
      <w:proofErr w:type="gramStart"/>
      <w:r w:rsidR="007F349A" w:rsidRPr="00BF5530">
        <w:t>Order  entered</w:t>
      </w:r>
      <w:proofErr w:type="gramEnd"/>
      <w:r w:rsidR="007F349A" w:rsidRPr="00BF5530">
        <w:t xml:space="preserve"> May 21, 2010) at 6.  </w:t>
      </w:r>
      <w:r w:rsidR="007F349A" w:rsidRPr="00BF5530">
        <w:rPr>
          <w:i/>
        </w:rPr>
        <w:t>See also, Santos v. Metropolitan Edison Co.</w:t>
      </w:r>
      <w:r w:rsidR="007F349A" w:rsidRPr="00BF5530">
        <w:t xml:space="preserve">, 1997 Pa. PUC LEXIS 184 at 21 (finding that, upon discovery of foreign load, the utility must switch the account into the name of the landlord and bill the landlord’s account for any unpaid billing on the account).  The Commission’s foreign load policy was explained in detail in </w:t>
      </w:r>
      <w:r w:rsidR="007F349A" w:rsidRPr="00BF5530">
        <w:rPr>
          <w:i/>
        </w:rPr>
        <w:t>Ace Check Cashing</w:t>
      </w:r>
      <w:r w:rsidR="007F349A" w:rsidRPr="00BF5530">
        <w:t xml:space="preserve">, </w:t>
      </w:r>
      <w:r w:rsidR="007F349A" w:rsidRPr="00BF5530">
        <w:rPr>
          <w:i/>
        </w:rPr>
        <w:t>supra</w:t>
      </w:r>
      <w:r w:rsidR="007F349A" w:rsidRPr="00BF5530">
        <w:t xml:space="preserve">.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proofErr w:type="gramStart"/>
      <w:r w:rsidR="007F349A" w:rsidRPr="00BF5530">
        <w:rPr>
          <w:i/>
        </w:rPr>
        <w:t>Id</w:t>
      </w:r>
      <w:r w:rsidR="007F349A" w:rsidRPr="00BF5530">
        <w:t>. at 7.</w:t>
      </w:r>
      <w:proofErr w:type="gramEnd"/>
      <w:r w:rsidR="007F349A" w:rsidRPr="00BF5530">
        <w:t xml:space="preserve">  However, the landlord remains responsible for any arrearages on the tenant’s account.  </w:t>
      </w:r>
      <w:r w:rsidR="007F349A" w:rsidRPr="00BF5530">
        <w:rPr>
          <w:i/>
        </w:rPr>
        <w:t>Id</w:t>
      </w:r>
      <w:r w:rsidR="007F349A" w:rsidRPr="00BF5530">
        <w:t>. at 7-8.</w:t>
      </w:r>
    </w:p>
    <w:p w:rsidR="007F349A" w:rsidRDefault="007F349A" w:rsidP="006F1702">
      <w:pPr>
        <w:jc w:val="left"/>
        <w:rPr>
          <w:sz w:val="26"/>
          <w:szCs w:val="26"/>
        </w:rPr>
      </w:pPr>
    </w:p>
    <w:p w:rsidR="00BD6583" w:rsidRPr="002B7FCF" w:rsidRDefault="006F1702" w:rsidP="00BD6583">
      <w:pPr>
        <w:jc w:val="left"/>
      </w:pPr>
      <w:r>
        <w:rPr>
          <w:sz w:val="26"/>
          <w:szCs w:val="26"/>
        </w:rPr>
        <w:tab/>
      </w:r>
      <w:r>
        <w:rPr>
          <w:sz w:val="26"/>
          <w:szCs w:val="26"/>
        </w:rPr>
        <w:tab/>
      </w:r>
      <w:r w:rsidRPr="006F1702">
        <w:t>Specifically,</w:t>
      </w:r>
      <w:r>
        <w:t xml:space="preserve"> t</w:t>
      </w:r>
      <w:r w:rsidR="00BD6583" w:rsidRPr="002B7FCF">
        <w:t>he Commission has held:</w:t>
      </w:r>
    </w:p>
    <w:p w:rsidR="00BD6583" w:rsidRPr="002B7FCF" w:rsidRDefault="00BD6583" w:rsidP="00BD6583">
      <w:pPr>
        <w:jc w:val="left"/>
      </w:pPr>
    </w:p>
    <w:p w:rsidR="00BD6583" w:rsidRDefault="00BD6583" w:rsidP="00BD6583">
      <w:pPr>
        <w:spacing w:line="240" w:lineRule="auto"/>
        <w:ind w:left="1440" w:right="1440"/>
        <w:jc w:val="left"/>
      </w:pPr>
      <w:r w:rsidRPr="002B7FCF">
        <w:tab/>
        <w:t xml:space="preserve">The phrase "not individually metered" is defined as "the utility meter for the unit is registering a foreign load, or usage not exclusive to the dwelling unit or occupant.  </w:t>
      </w:r>
      <w:r w:rsidRPr="002B7FCF">
        <w:rPr>
          <w:i/>
        </w:rPr>
        <w:t xml:space="preserve">Del </w:t>
      </w:r>
      <w:proofErr w:type="spellStart"/>
      <w:r w:rsidRPr="002B7FCF">
        <w:rPr>
          <w:i/>
        </w:rPr>
        <w:t>Vecchio</w:t>
      </w:r>
      <w:proofErr w:type="spellEnd"/>
      <w:r w:rsidRPr="002B7FCF">
        <w:rPr>
          <w:i/>
        </w:rPr>
        <w:t xml:space="preserve"> v. PPL Elec. Util. Corp., </w:t>
      </w:r>
      <w:r w:rsidRPr="002B7FCF">
        <w:t xml:space="preserve">Docket No. Z-01464793 (Pa. PUC 2005); </w:t>
      </w:r>
      <w:r w:rsidRPr="002B7FCF">
        <w:rPr>
          <w:i/>
        </w:rPr>
        <w:t xml:space="preserve">see also </w:t>
      </w:r>
      <w:proofErr w:type="spellStart"/>
      <w:r w:rsidRPr="002B7FCF">
        <w:rPr>
          <w:i/>
        </w:rPr>
        <w:t>Cosme</w:t>
      </w:r>
      <w:proofErr w:type="spellEnd"/>
      <w:r w:rsidRPr="002B7FCF">
        <w:rPr>
          <w:i/>
        </w:rPr>
        <w:t xml:space="preserve"> v. PECO Energy Co.,</w:t>
      </w:r>
      <w:r w:rsidRPr="002B7FCF">
        <w:t xml:space="preserve"> Docket No. C-2010-2171497 (Pa. PUC 2012).</w:t>
      </w:r>
    </w:p>
    <w:p w:rsidR="00BD6583" w:rsidRPr="002B7FCF" w:rsidRDefault="00BD6583" w:rsidP="00A304A4">
      <w:pPr>
        <w:jc w:val="left"/>
      </w:pPr>
    </w:p>
    <w:p w:rsidR="00BD6583" w:rsidRPr="002B7FCF" w:rsidRDefault="00BD6583" w:rsidP="00A304A4">
      <w:pPr>
        <w:jc w:val="left"/>
      </w:pPr>
      <w:proofErr w:type="gramStart"/>
      <w:r w:rsidRPr="002B7FCF">
        <w:rPr>
          <w:i/>
        </w:rPr>
        <w:t>A-1 Realty v. Pa. Pub.</w:t>
      </w:r>
      <w:proofErr w:type="gramEnd"/>
      <w:r w:rsidRPr="002B7FCF">
        <w:rPr>
          <w:i/>
        </w:rPr>
        <w:t xml:space="preserve"> Util. Comm'n,</w:t>
      </w:r>
      <w:r w:rsidRPr="002B7FCF">
        <w:t xml:space="preserve"> Docket No. 63 A.3d 480, (Pa.Cmwlth. 2013), 2013 Pa. Commw. LEXIS 4, appeal denied 74 A.3d 1033 (Pa. 2013), 2013 Pa. LEXIS 1985.</w:t>
      </w:r>
    </w:p>
    <w:p w:rsidR="00BD6583" w:rsidRDefault="00BD6583" w:rsidP="00A304A4">
      <w:pPr>
        <w:jc w:val="left"/>
      </w:pPr>
    </w:p>
    <w:p w:rsidR="007F349A" w:rsidRPr="00F96FE9" w:rsidRDefault="006F1702" w:rsidP="00A304A4">
      <w:pPr>
        <w:jc w:val="left"/>
      </w:pPr>
      <w:r>
        <w:tab/>
      </w:r>
      <w:r>
        <w:tab/>
      </w:r>
      <w:proofErr w:type="gramStart"/>
      <w:r w:rsidR="007F349A" w:rsidRPr="00F96FE9">
        <w:t xml:space="preserve">In the </w:t>
      </w:r>
      <w:r>
        <w:t xml:space="preserve">seminal </w:t>
      </w:r>
      <w:r w:rsidR="007F349A" w:rsidRPr="00F96FE9">
        <w:t xml:space="preserve">case of </w:t>
      </w:r>
      <w:r w:rsidR="007F349A" w:rsidRPr="00F96FE9">
        <w:rPr>
          <w:i/>
        </w:rPr>
        <w:t>A-1 Realty v. Pa. Publ. Util. Comm'n,</w:t>
      </w:r>
      <w:r w:rsidR="007F349A">
        <w:t xml:space="preserve"> Docket No. 885 C.D. </w:t>
      </w:r>
      <w:r w:rsidR="007F349A" w:rsidRPr="00F96FE9">
        <w:t>2012 (January 4, 2013), 2013 Pa. Commw.</w:t>
      </w:r>
      <w:proofErr w:type="gramEnd"/>
      <w:r w:rsidR="007F349A" w:rsidRPr="00F96FE9">
        <w:t xml:space="preserve"> LEXIS 4, ("</w:t>
      </w:r>
      <w:r w:rsidR="007F349A" w:rsidRPr="00F96FE9">
        <w:rPr>
          <w:i/>
        </w:rPr>
        <w:t>A-1 Realty</w:t>
      </w:r>
      <w:r w:rsidR="007F349A" w:rsidRPr="00F96FE9">
        <w:t xml:space="preserve">"), the Commonwealth Court affirmed the PUC's order adopting an Initial Decision which dismissed a complaint for a similar issue.  In </w:t>
      </w:r>
      <w:r w:rsidR="007F349A" w:rsidRPr="00F96FE9">
        <w:rPr>
          <w:i/>
        </w:rPr>
        <w:t>A-1 Realty,</w:t>
      </w:r>
      <w:r w:rsidR="007F349A" w:rsidRPr="00F96FE9">
        <w:t xml:space="preserve"> lots for the placement of mobile homes were leased by the owner of the park, and wiring for communal street lighting was connected to the nearest lot's electric box, at an estimated cost of $6.54 to $9.67 per box per month.  The lot owner gave tenants to whose </w:t>
      </w:r>
      <w:r w:rsidR="007F349A" w:rsidRPr="00F96FE9">
        <w:lastRenderedPageBreak/>
        <w:t>property the street lights were wired a $10.00 monthly rental discount to compensate them for the additional electric expense.  When two lot lessors contacted the electric distribution company (EDC) to determine whether the $10 would be sufficient to cover a month's lighting, the EDC investigated, discovered the foreign load, and transferred the lot lessors' electric bills into the name of the lots' owner.  The foreign load was corrected, but the EDC refused to return the arrearage to the tenants' accounts.  The lot owner filed a complaint with the PUC, which found that the EDC's actions were consistent with the law.</w:t>
      </w:r>
    </w:p>
    <w:p w:rsidR="007F349A" w:rsidRDefault="007F349A" w:rsidP="00A304A4">
      <w:pPr>
        <w:jc w:val="left"/>
      </w:pPr>
    </w:p>
    <w:p w:rsidR="007F349A" w:rsidRPr="00F96FE9" w:rsidRDefault="006F1702" w:rsidP="006F1702">
      <w:pPr>
        <w:jc w:val="left"/>
      </w:pPr>
      <w:r>
        <w:tab/>
      </w:r>
      <w:r>
        <w:tab/>
      </w:r>
      <w:r w:rsidR="007F349A" w:rsidRPr="00F96FE9">
        <w:t>On appeal, the Commonwealth Court found that the Public Utility Code does not permit a utility customer to circumvent the wording of the statute by agree</w:t>
      </w:r>
      <w:r>
        <w:t xml:space="preserve">ment.  </w:t>
      </w:r>
      <w:r w:rsidR="007F349A" w:rsidRPr="00F96FE9">
        <w:t xml:space="preserve">The </w:t>
      </w:r>
      <w:r>
        <w:t>Court stated</w:t>
      </w:r>
      <w:r w:rsidR="007F349A" w:rsidRPr="00F96FE9">
        <w:t>:</w:t>
      </w:r>
    </w:p>
    <w:p w:rsidR="007F349A" w:rsidRPr="00F96FE9" w:rsidRDefault="007F349A" w:rsidP="007F349A">
      <w:pPr>
        <w:jc w:val="left"/>
      </w:pPr>
    </w:p>
    <w:p w:rsidR="007F349A" w:rsidRDefault="007F349A" w:rsidP="007F349A">
      <w:pPr>
        <w:spacing w:line="240" w:lineRule="auto"/>
        <w:ind w:left="1440" w:right="1440"/>
        <w:jc w:val="left"/>
        <w:rPr>
          <w:rFonts w:eastAsia="Times New Roman"/>
        </w:rPr>
      </w:pPr>
      <w:r w:rsidRPr="00F96FE9">
        <w:rPr>
          <w:rFonts w:eastAsia="Times New Roman"/>
          <w:b/>
          <w:bCs/>
        </w:rPr>
        <w:t>[I]f the mobile home park . . . contains one or more dwelling units not individually metered, an affected public utility shall forthwith list the account for the premises in question in the name of the owner</w:t>
      </w:r>
      <w:r w:rsidRPr="00F96FE9">
        <w:rPr>
          <w:rFonts w:eastAsia="Times New Roman"/>
        </w:rPr>
        <w:t xml:space="preserve">, and the owner shall thereafter be responsible for the payment for the utility services rendered thereunto. </w:t>
      </w:r>
      <w:r>
        <w:rPr>
          <w:rFonts w:eastAsia="Times New Roman"/>
        </w:rPr>
        <w:t xml:space="preserve"> </w:t>
      </w:r>
      <w:r w:rsidRPr="00F96FE9">
        <w:rPr>
          <w:rFonts w:eastAsia="Times New Roman"/>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822DE6" w:rsidRPr="00F96FE9" w:rsidRDefault="00822DE6" w:rsidP="00A304A4">
      <w:pPr>
        <w:ind w:left="1440" w:right="1440"/>
        <w:jc w:val="left"/>
        <w:rPr>
          <w:rFonts w:eastAsia="Times New Roman"/>
        </w:rPr>
      </w:pPr>
    </w:p>
    <w:p w:rsidR="007F349A" w:rsidRPr="00F96FE9" w:rsidRDefault="00C9576A" w:rsidP="007F349A">
      <w:pPr>
        <w:jc w:val="left"/>
        <w:rPr>
          <w:rFonts w:eastAsia="Times New Roman"/>
        </w:rPr>
      </w:pPr>
      <w:hyperlink r:id="rId9" w:history="1">
        <w:proofErr w:type="gramStart"/>
        <w:r w:rsidR="007F349A" w:rsidRPr="00F96FE9">
          <w:rPr>
            <w:rFonts w:eastAsia="Times New Roman"/>
          </w:rPr>
          <w:t>66 Pa.C.S.</w:t>
        </w:r>
        <w:proofErr w:type="gramEnd"/>
        <w:r w:rsidR="007F349A" w:rsidRPr="00F96FE9">
          <w:rPr>
            <w:rFonts w:eastAsia="Times New Roman"/>
          </w:rPr>
          <w:t xml:space="preserve"> § 1529.1(b)</w:t>
        </w:r>
      </w:hyperlink>
      <w:r w:rsidR="007F349A" w:rsidRPr="00F96FE9">
        <w:rPr>
          <w:rFonts w:eastAsia="Times New Roman"/>
        </w:rPr>
        <w:t xml:space="preserve"> (emphasis added by the Court).</w:t>
      </w:r>
    </w:p>
    <w:p w:rsidR="007F349A" w:rsidRPr="00F96FE9" w:rsidRDefault="007F349A" w:rsidP="007F349A">
      <w:pPr>
        <w:jc w:val="left"/>
        <w:rPr>
          <w:rFonts w:eastAsia="Times New Roman"/>
        </w:rPr>
      </w:pPr>
    </w:p>
    <w:p w:rsidR="00BB5CF4" w:rsidRDefault="007F349A" w:rsidP="00BB5CF4">
      <w:pPr>
        <w:spacing w:line="240" w:lineRule="auto"/>
        <w:ind w:left="1440" w:right="1440"/>
        <w:jc w:val="left"/>
      </w:pPr>
      <w:r w:rsidRPr="00F96FE9">
        <w:rPr>
          <w:rFonts w:eastAsia="Times New Roman"/>
        </w:rPr>
        <w:tab/>
        <w:t>The phrase "not individually metered"</w:t>
      </w:r>
      <w:bookmarkStart w:id="5" w:name="clsccl6"/>
      <w:bookmarkEnd w:id="5"/>
      <w:r w:rsidRPr="00F96FE9">
        <w:t xml:space="preserve"> is defined as "the utility meter for the unit is registering a foreign load, or usage not exclusive to the dwelling unit or its occupants." </w:t>
      </w:r>
      <w:r>
        <w:t xml:space="preserve"> </w:t>
      </w:r>
      <w:r w:rsidRPr="00F96FE9">
        <w:rPr>
          <w:i/>
          <w:iCs/>
        </w:rPr>
        <w:t xml:space="preserve">Del </w:t>
      </w:r>
      <w:proofErr w:type="spellStart"/>
      <w:r w:rsidRPr="00F96FE9">
        <w:rPr>
          <w:i/>
          <w:iCs/>
        </w:rPr>
        <w:t>Vecchio</w:t>
      </w:r>
      <w:proofErr w:type="spellEnd"/>
      <w:r w:rsidRPr="00F96FE9">
        <w:rPr>
          <w:i/>
          <w:iCs/>
        </w:rPr>
        <w:t xml:space="preserve"> v. PPL Elec. Util. Corp</w:t>
      </w:r>
      <w:r w:rsidRPr="00F96FE9">
        <w:t xml:space="preserve">., Docket No. Z-01464793 (Pa. PUC 2005); </w:t>
      </w:r>
      <w:r w:rsidRPr="00F96FE9">
        <w:rPr>
          <w:i/>
          <w:iCs/>
        </w:rPr>
        <w:t xml:space="preserve">see also </w:t>
      </w:r>
      <w:proofErr w:type="spellStart"/>
      <w:r w:rsidRPr="00F96FE9">
        <w:rPr>
          <w:i/>
          <w:iCs/>
        </w:rPr>
        <w:t>Cosme</w:t>
      </w:r>
      <w:proofErr w:type="spellEnd"/>
      <w:r w:rsidRPr="00F96FE9">
        <w:rPr>
          <w:i/>
          <w:iCs/>
        </w:rPr>
        <w:t xml:space="preserve"> v. PECO Energy Co</w:t>
      </w:r>
      <w:r w:rsidRPr="00F96FE9">
        <w:t xml:space="preserve">., Docket No. C-2010-2171497 (Pa. PUC 2012); </w:t>
      </w:r>
      <w:r w:rsidRPr="00F96FE9">
        <w:rPr>
          <w:i/>
          <w:iCs/>
        </w:rPr>
        <w:t>Albright v. UGI Penn Natural Gas Co., Inc</w:t>
      </w:r>
      <w:r w:rsidRPr="00F96FE9">
        <w:t>., Docket No. F-2009-2139408 (Pa. PUC 2012).</w:t>
      </w:r>
      <w:r w:rsidRPr="00F96FE9">
        <w:br/>
      </w:r>
      <w:r w:rsidRPr="00F96FE9">
        <w:br/>
        <w:t xml:space="preserve">Based upon the above conclusion, we must review </w:t>
      </w:r>
      <w:hyperlink r:id="rId10" w:history="1">
        <w:r>
          <w:rPr>
            <w:rStyle w:val="Hyperlink"/>
            <w:color w:val="auto"/>
          </w:rPr>
          <w:t>Section </w:t>
        </w:r>
        <w:r w:rsidRPr="00F96FE9">
          <w:rPr>
            <w:rStyle w:val="Hyperlink"/>
            <w:color w:val="auto"/>
          </w:rPr>
          <w:t>1529.1(b)</w:t>
        </w:r>
      </w:hyperlink>
      <w:r w:rsidRPr="00F96FE9">
        <w:t xml:space="preserve"> of the Code to determine whether it permits tenants to accept utility service which is not exclusive to their homes. </w:t>
      </w:r>
      <w:r>
        <w:t xml:space="preserve"> </w:t>
      </w:r>
      <w:hyperlink r:id="rId11" w:history="1">
        <w:r w:rsidRPr="00F96FE9">
          <w:rPr>
            <w:rStyle w:val="Hyperlink"/>
            <w:color w:val="auto"/>
          </w:rPr>
          <w:t>Section 1529.1(b)</w:t>
        </w:r>
      </w:hyperlink>
      <w:r w:rsidRPr="00F96FE9">
        <w:t xml:space="preserve"> of the Code specifically states: "if the mobile home park . . . contains one or more dwelling units </w:t>
      </w:r>
      <w:r w:rsidRPr="00F96FE9">
        <w:rPr>
          <w:b/>
          <w:bCs/>
        </w:rPr>
        <w:t>not individually metered</w:t>
      </w:r>
      <w:r w:rsidRPr="00F96FE9">
        <w:t xml:space="preserve">, an </w:t>
      </w:r>
      <w:r w:rsidRPr="00F96FE9">
        <w:rPr>
          <w:b/>
          <w:bCs/>
        </w:rPr>
        <w:t>affected public utility shall</w:t>
      </w:r>
      <w:r w:rsidRPr="00F96FE9">
        <w:t xml:space="preserve"> forthwith </w:t>
      </w:r>
      <w:r w:rsidRPr="00F96FE9">
        <w:rPr>
          <w:b/>
          <w:bCs/>
        </w:rPr>
        <w:lastRenderedPageBreak/>
        <w:t>list the account</w:t>
      </w:r>
      <w:r w:rsidRPr="00F96FE9">
        <w:t xml:space="preserve"> for the premises in question </w:t>
      </w:r>
      <w:r w:rsidRPr="00F96FE9">
        <w:rPr>
          <w:b/>
          <w:bCs/>
        </w:rPr>
        <w:t>in the name of the owner</w:t>
      </w:r>
      <w:r w:rsidRPr="00F96FE9">
        <w:t xml:space="preserve"> . . . ." (Emphasis added). </w:t>
      </w:r>
      <w:r>
        <w:t xml:space="preserve"> </w:t>
      </w:r>
      <w:r w:rsidRPr="00F96FE9">
        <w:t xml:space="preserve">It is well established that </w:t>
      </w:r>
      <w:bookmarkStart w:id="6" w:name="clsccl7"/>
      <w:bookmarkEnd w:id="6"/>
      <w:r w:rsidRPr="00F96FE9">
        <w:t xml:space="preserve">"shall' is mandatory for purposes of statutory construction when a statute is unambiguous." </w:t>
      </w:r>
      <w:r>
        <w:t xml:space="preserve"> </w:t>
      </w:r>
      <w:hyperlink r:id="rId12" w:history="1">
        <w:proofErr w:type="gramStart"/>
        <w:r w:rsidRPr="00F96FE9">
          <w:rPr>
            <w:rStyle w:val="Hyperlink"/>
            <w:i/>
            <w:iCs/>
            <w:color w:val="auto"/>
          </w:rPr>
          <w:t xml:space="preserve">Dep't of Transp. v. </w:t>
        </w:r>
        <w:proofErr w:type="spellStart"/>
        <w:r w:rsidRPr="00F96FE9">
          <w:rPr>
            <w:rStyle w:val="Hyperlink"/>
            <w:i/>
            <w:iCs/>
            <w:color w:val="auto"/>
          </w:rPr>
          <w:t>McCafferty</w:t>
        </w:r>
        <w:proofErr w:type="spellEnd"/>
        <w:r>
          <w:rPr>
            <w:rStyle w:val="Hyperlink"/>
            <w:color w:val="auto"/>
          </w:rPr>
          <w:t>, 563 Pa. 146, 163, </w:t>
        </w:r>
        <w:r w:rsidRPr="00F96FE9">
          <w:rPr>
            <w:rStyle w:val="Hyperlink"/>
            <w:color w:val="auto"/>
          </w:rPr>
          <w:t>758 A.2d 1155, 1164 (2000)</w:t>
        </w:r>
      </w:hyperlink>
      <w:r w:rsidRPr="00F96FE9">
        <w:t>.</w:t>
      </w:r>
      <w:proofErr w:type="gramEnd"/>
      <w:r w:rsidRPr="00F96FE9">
        <w:t xml:space="preserve"> Thus, tenants are not permitted to accept utility service which is not exclusive to their homes.</w:t>
      </w:r>
    </w:p>
    <w:p w:rsidR="00BB5CF4" w:rsidRDefault="00BB5CF4" w:rsidP="00BB5CF4">
      <w:pPr>
        <w:ind w:left="1440" w:right="1440"/>
        <w:jc w:val="left"/>
      </w:pPr>
    </w:p>
    <w:p w:rsidR="007F349A" w:rsidRPr="00F96FE9" w:rsidRDefault="007F349A" w:rsidP="007F349A">
      <w:pPr>
        <w:jc w:val="left"/>
      </w:pPr>
      <w:proofErr w:type="gramStart"/>
      <w:r w:rsidRPr="00F96FE9">
        <w:rPr>
          <w:i/>
        </w:rPr>
        <w:t>A-1 Realty</w:t>
      </w:r>
      <w:r w:rsidRPr="00F96FE9">
        <w:t xml:space="preserve"> at 6.</w:t>
      </w:r>
      <w:proofErr w:type="gramEnd"/>
    </w:p>
    <w:p w:rsidR="007F349A" w:rsidRPr="00E6731C" w:rsidRDefault="007F349A" w:rsidP="00BB5CF4">
      <w:pPr>
        <w:jc w:val="left"/>
        <w:rPr>
          <w:b/>
        </w:rPr>
      </w:pPr>
    </w:p>
    <w:p w:rsidR="00E304E3" w:rsidRDefault="007F349A" w:rsidP="00BB5CF4">
      <w:pPr>
        <w:jc w:val="left"/>
      </w:pPr>
      <w:r w:rsidRPr="00E6731C">
        <w:rPr>
          <w:b/>
        </w:rPr>
        <w:tab/>
      </w:r>
      <w:r w:rsidRPr="00E6731C">
        <w:rPr>
          <w:b/>
        </w:rPr>
        <w:tab/>
      </w:r>
      <w:r w:rsidR="005D2652">
        <w:t xml:space="preserve">As noted above, the Complainant raises several grounds for his position that he should not be held responsible for the shared meter charges.  He first argues that he was </w:t>
      </w:r>
      <w:r w:rsidR="004D5824">
        <w:t xml:space="preserve">not </w:t>
      </w:r>
      <w:r w:rsidR="005D2652">
        <w:t>notified by PECO of the shared meter condition</w:t>
      </w:r>
      <w:r w:rsidR="004D5824">
        <w:t xml:space="preserve"> until</w:t>
      </w:r>
      <w:r w:rsidR="005D2652">
        <w:t xml:space="preserve"> approximately one month after it was discovered.</w:t>
      </w:r>
      <w:r w:rsidR="004D5824">
        <w:t xml:space="preserve">  He argues that he could have had the condition corrected </w:t>
      </w:r>
      <w:r w:rsidR="000808EF">
        <w:t>earli</w:t>
      </w:r>
      <w:r w:rsidR="004D5824">
        <w:t xml:space="preserve">er, with fewer accumulated charges, if he had been notified </w:t>
      </w:r>
      <w:r w:rsidR="002E04F2">
        <w:t>soon</w:t>
      </w:r>
      <w:r w:rsidR="004D5824">
        <w:t xml:space="preserve">er.  I do not find this to be a persuasive argument </w:t>
      </w:r>
      <w:r w:rsidR="00E304E3">
        <w:t xml:space="preserve">sufficient </w:t>
      </w:r>
      <w:r w:rsidR="004D5824">
        <w:t xml:space="preserve">to overcome </w:t>
      </w:r>
      <w:r w:rsidR="00E6731C">
        <w:t xml:space="preserve">the Complainant’s responsibility for the charges at issue.  The </w:t>
      </w:r>
      <w:r w:rsidR="002E04F2">
        <w:t xml:space="preserve">one month </w:t>
      </w:r>
      <w:r w:rsidR="00E6731C">
        <w:t xml:space="preserve">time lapse noted by the Complainant is approximately one billing cycle.  </w:t>
      </w:r>
      <w:r w:rsidR="00F043E3">
        <w:t xml:space="preserve">This is not </w:t>
      </w:r>
      <w:r w:rsidR="00E6731C">
        <w:t>an unreasonable amount of time.  Also, as noted by the Complainant</w:t>
      </w:r>
      <w:r w:rsidR="00E304E3">
        <w:t xml:space="preserve"> himself</w:t>
      </w:r>
      <w:r w:rsidR="00E6731C">
        <w:t xml:space="preserve">, most of the arrearage accrued prior to the date he purchased the property.  Accordingly, very little of the total arrearage </w:t>
      </w:r>
      <w:r w:rsidR="002E04F2">
        <w:t xml:space="preserve">is </w:t>
      </w:r>
      <w:r w:rsidR="00E6731C">
        <w:t>attributable to the time period between discovery of the foreign load and the date the Complainant was notified</w:t>
      </w:r>
      <w:r w:rsidR="002E04F2">
        <w:t xml:space="preserve"> of its existence</w:t>
      </w:r>
      <w:r w:rsidR="00E6731C">
        <w:t xml:space="preserve"> by PECO.  </w:t>
      </w:r>
    </w:p>
    <w:p w:rsidR="00E304E3" w:rsidRDefault="00E304E3" w:rsidP="00BB5CF4">
      <w:pPr>
        <w:jc w:val="left"/>
      </w:pPr>
    </w:p>
    <w:p w:rsidR="006F1702" w:rsidRPr="00E25D52" w:rsidRDefault="00F043E3" w:rsidP="00BB5CF4">
      <w:pPr>
        <w:ind w:firstLine="1440"/>
        <w:jc w:val="left"/>
        <w:rPr>
          <w:b/>
        </w:rPr>
      </w:pPr>
      <w:r>
        <w:t>Complainant’s</w:t>
      </w:r>
      <w:r w:rsidR="00E6731C">
        <w:t xml:space="preserve"> argument that he should be relieved of responsibility for the arrearage because most of it accrued </w:t>
      </w:r>
      <w:r w:rsidR="002E04F2">
        <w:t>before he purchased the property</w:t>
      </w:r>
      <w:r w:rsidR="00E6731C">
        <w:t xml:space="preserve"> must also fail.  There are no provisions in the </w:t>
      </w:r>
      <w:r w:rsidR="002E04F2">
        <w:t>authority cited above that would relieve a current property owner from responsibility for shared meter charges billed before he or she owned the property.  Current law requires</w:t>
      </w:r>
      <w:r>
        <w:t xml:space="preserve"> only</w:t>
      </w:r>
      <w:r w:rsidR="002E04F2">
        <w:t xml:space="preserve"> that the shared meter arrearage be transferred to the current landlord, and that he or she remain responsible for the entire balance incurred up to the time the shared meter condition is corrected.  I find no provisions in the law to support the Complainant’s position that the arrearage that accumulated prior to his ownership of the property should remain with the prior owner.</w:t>
      </w:r>
      <w:r w:rsidR="000604FC">
        <w:t xml:space="preserve">  I note here that, w</w:t>
      </w:r>
      <w:r w:rsidR="00D55910" w:rsidRPr="000604FC">
        <w:t>hile r</w:t>
      </w:r>
      <w:r w:rsidR="006F1702" w:rsidRPr="000604FC">
        <w:t xml:space="preserve">ecovery of amounts in dispute </w:t>
      </w:r>
      <w:r w:rsidR="00D55910" w:rsidRPr="000604FC">
        <w:t>may</w:t>
      </w:r>
      <w:r w:rsidR="006F1702" w:rsidRPr="000604FC">
        <w:t xml:space="preserve"> </w:t>
      </w:r>
      <w:r w:rsidR="00801A80">
        <w:t xml:space="preserve">potentially </w:t>
      </w:r>
      <w:r w:rsidR="006F1702" w:rsidRPr="000604FC">
        <w:t xml:space="preserve">be </w:t>
      </w:r>
      <w:r w:rsidR="00D55910" w:rsidRPr="000604FC">
        <w:t>pursued</w:t>
      </w:r>
      <w:r w:rsidR="000604FC">
        <w:t xml:space="preserve"> by the Complainant</w:t>
      </w:r>
      <w:r w:rsidR="006F1702" w:rsidRPr="000604FC">
        <w:t xml:space="preserve"> in another forum</w:t>
      </w:r>
      <w:r w:rsidR="00D55910" w:rsidRPr="000604FC">
        <w:t>, they cannot be granted by the Commission</w:t>
      </w:r>
      <w:r w:rsidR="006F1702" w:rsidRPr="000604FC">
        <w:t>.</w:t>
      </w:r>
      <w:r w:rsidR="00C24DAB">
        <w:t xml:space="preserve"> </w:t>
      </w:r>
      <w:proofErr w:type="gramStart"/>
      <w:r w:rsidR="00C24DAB" w:rsidRPr="00BF5530">
        <w:rPr>
          <w:i/>
        </w:rPr>
        <w:t>Ace Check Cashing</w:t>
      </w:r>
      <w:r w:rsidR="00C24DAB">
        <w:t>.</w:t>
      </w:r>
      <w:proofErr w:type="gramEnd"/>
      <w:r w:rsidR="00C24DAB">
        <w:t xml:space="preserve"> </w:t>
      </w:r>
    </w:p>
    <w:p w:rsidR="007F349A" w:rsidRPr="00F96FE9" w:rsidRDefault="007F349A" w:rsidP="00BB5CF4">
      <w:pPr>
        <w:jc w:val="left"/>
      </w:pPr>
    </w:p>
    <w:p w:rsidR="00F043E3" w:rsidRDefault="00C24DAB" w:rsidP="00BB5CF4">
      <w:pPr>
        <w:jc w:val="left"/>
      </w:pPr>
      <w:r>
        <w:lastRenderedPageBreak/>
        <w:tab/>
      </w:r>
      <w:r>
        <w:tab/>
        <w:t>The Complainant’s third argument is that</w:t>
      </w:r>
      <w:r w:rsidR="00801A80">
        <w:t xml:space="preserve">, since </w:t>
      </w:r>
      <w:r>
        <w:t>the first floor tenant had exclusive control over the</w:t>
      </w:r>
      <w:r w:rsidR="00801A80">
        <w:t xml:space="preserve"> switches for the</w:t>
      </w:r>
      <w:r>
        <w:t xml:space="preserve"> porch and hallway lights</w:t>
      </w:r>
      <w:r w:rsidR="00801A80">
        <w:t xml:space="preserve">, </w:t>
      </w:r>
      <w:r>
        <w:t xml:space="preserve">she was only being billed for electricity that she </w:t>
      </w:r>
      <w:r w:rsidR="000808EF">
        <w:t xml:space="preserve">alone </w:t>
      </w:r>
      <w:r>
        <w:t>was using.</w:t>
      </w:r>
      <w:r w:rsidR="00801A80">
        <w:t xml:space="preserve">  He appears to be arguing that, under this scenario, there is no foreign load condition.  PECO, on the other hand, argues that the two lights are located in common areas of the property, thereby creating the shared meter situation that is at issue here.  If the Complainant’s contention that the two lights were under the first floor tenant’s control and were used exclusively by her</w:t>
      </w:r>
      <w:r w:rsidR="00E304E3">
        <w:t xml:space="preserve"> is accepted as true</w:t>
      </w:r>
      <w:r w:rsidR="00801A80">
        <w:t>, a factual dispute arguably exists as to whether a foreign load condition is</w:t>
      </w:r>
      <w:r w:rsidR="000808EF">
        <w:t>, in fact,</w:t>
      </w:r>
      <w:r w:rsidR="00801A80">
        <w:t xml:space="preserve"> present.  </w:t>
      </w:r>
    </w:p>
    <w:p w:rsidR="00F043E3" w:rsidRDefault="00F043E3" w:rsidP="00BB5CF4">
      <w:pPr>
        <w:jc w:val="left"/>
      </w:pPr>
    </w:p>
    <w:p w:rsidR="00E304E3" w:rsidRDefault="00590035" w:rsidP="00BB5CF4">
      <w:pPr>
        <w:ind w:firstLine="1440"/>
        <w:jc w:val="left"/>
      </w:pPr>
      <w:r>
        <w:t xml:space="preserve">In </w:t>
      </w:r>
      <w:proofErr w:type="spellStart"/>
      <w:r>
        <w:rPr>
          <w:i/>
        </w:rPr>
        <w:t>Maleszewski</w:t>
      </w:r>
      <w:proofErr w:type="spellEnd"/>
      <w:r>
        <w:rPr>
          <w:i/>
        </w:rPr>
        <w:t xml:space="preserve"> v Metropolitan Edison Company, </w:t>
      </w:r>
      <w:r>
        <w:t>Docket No. C-2013-2360862 (Initial Decision Dated October 31, 2013, Final Order entered December 17, 2013), the issue was whether usage from a hallway light attached to a tenant’s meter constituted foreign load where the tenant agreed by lease to pay for electricity associated with the light</w:t>
      </w:r>
      <w:r w:rsidR="00E304E3">
        <w:t>,</w:t>
      </w:r>
      <w:r>
        <w:t xml:space="preserve"> and where the hallway was accessible only to that tenant and the light was used exclusively by her.</w:t>
      </w:r>
    </w:p>
    <w:p w:rsidR="00E304E3" w:rsidRDefault="00E304E3" w:rsidP="00BB5CF4">
      <w:pPr>
        <w:jc w:val="left"/>
      </w:pPr>
    </w:p>
    <w:p w:rsidR="00F81A20" w:rsidRDefault="00590035" w:rsidP="00BB5CF4">
      <w:pPr>
        <w:ind w:firstLine="720"/>
        <w:jc w:val="left"/>
      </w:pPr>
      <w:r>
        <w:t xml:space="preserve">In her Initial Decision, Administrative Law Judge Susan D. Colwell </w:t>
      </w:r>
      <w:r w:rsidR="00F81A20">
        <w:t>stated:</w:t>
      </w:r>
    </w:p>
    <w:p w:rsidR="00F81A20" w:rsidRDefault="00590035" w:rsidP="00BB5CF4">
      <w:pPr>
        <w:jc w:val="left"/>
      </w:pPr>
      <w:r>
        <w:t xml:space="preserve"> “[u]</w:t>
      </w:r>
      <w:proofErr w:type="spellStart"/>
      <w:r>
        <w:t>ndisputed</w:t>
      </w:r>
      <w:proofErr w:type="spellEnd"/>
      <w:r>
        <w:t xml:space="preserve"> evidence shows that the door and hallway between the front door and the door into the living space of the second floor apartment are used exclusively by that unit. . . . It is exclusive to the dwelling unit, and therefore, when the light in that hallway was connected to the meter in that unit</w:t>
      </w:r>
      <w:r w:rsidR="00BB5CF4">
        <w:t>, there was no foreign load.”</w:t>
      </w:r>
    </w:p>
    <w:p w:rsidR="00F81A20" w:rsidRDefault="00F81A20" w:rsidP="00BB5CF4">
      <w:pPr>
        <w:jc w:val="left"/>
      </w:pPr>
    </w:p>
    <w:p w:rsidR="00C24DAB" w:rsidRDefault="00590035" w:rsidP="00BB5CF4">
      <w:pPr>
        <w:jc w:val="left"/>
      </w:pPr>
      <w:proofErr w:type="spellStart"/>
      <w:r>
        <w:rPr>
          <w:i/>
        </w:rPr>
        <w:t>Maleszewski</w:t>
      </w:r>
      <w:proofErr w:type="spellEnd"/>
      <w:r>
        <w:t xml:space="preserve">, </w:t>
      </w:r>
      <w:r w:rsidR="00BB5CF4">
        <w:t>Initial Decision at 10.</w:t>
      </w:r>
    </w:p>
    <w:p w:rsidR="00C24DAB" w:rsidRDefault="00C24DAB" w:rsidP="00BB5CF4">
      <w:pPr>
        <w:jc w:val="left"/>
      </w:pPr>
    </w:p>
    <w:p w:rsidR="00F043E3" w:rsidRDefault="00F81A20" w:rsidP="00BB5CF4">
      <w:pPr>
        <w:contextualSpacing/>
        <w:jc w:val="left"/>
      </w:pPr>
      <w:r>
        <w:tab/>
      </w:r>
      <w:r>
        <w:tab/>
        <w:t xml:space="preserve">Here, the Complainant avers in his response to PECO’s POs that the first floor tenant was fully aware of when and how much the porch and hallway lights were used because she had direct and exclusive control over them from her apartment and that, </w:t>
      </w:r>
      <w:r w:rsidR="00E304E3">
        <w:t>accordingly</w:t>
      </w:r>
      <w:r>
        <w:t xml:space="preserve">, she was only being billed for electricity that she </w:t>
      </w:r>
      <w:r w:rsidR="00F043E3">
        <w:t xml:space="preserve">alone </w:t>
      </w:r>
      <w:r>
        <w:t xml:space="preserve">was using.  Accepting this as true, the Complainant has arguably raised a factual issue as to whether or not a foreign load condition, in fact, existed.  If the Complainant can </w:t>
      </w:r>
      <w:r w:rsidR="00A959FE">
        <w:t>prove</w:t>
      </w:r>
      <w:r>
        <w:t xml:space="preserve"> </w:t>
      </w:r>
      <w:r w:rsidR="00A959FE">
        <w:t xml:space="preserve">at a hearing </w:t>
      </w:r>
      <w:r>
        <w:t xml:space="preserve">that the porch and hallway lights were only ever used by and benefitted </w:t>
      </w:r>
      <w:r w:rsidR="00A959FE">
        <w:t xml:space="preserve">the first floor tenant, it may be that, under </w:t>
      </w:r>
      <w:proofErr w:type="spellStart"/>
      <w:r w:rsidR="00A959FE">
        <w:rPr>
          <w:i/>
        </w:rPr>
        <w:t>Maleszewski</w:t>
      </w:r>
      <w:proofErr w:type="spellEnd"/>
      <w:r w:rsidR="00A959FE">
        <w:t xml:space="preserve">, there was no foreign </w:t>
      </w:r>
      <w:r w:rsidR="00A959FE">
        <w:lastRenderedPageBreak/>
        <w:t>load condition</w:t>
      </w:r>
      <w:r w:rsidR="00F043E3">
        <w:t>, thereby relieving the Complainant of responsibility for the arrearage</w:t>
      </w:r>
      <w:r w:rsidR="00A959FE">
        <w:t>.  The Complainant should be given an opportunity to offer such proof at a hearing.</w:t>
      </w:r>
    </w:p>
    <w:p w:rsidR="00F043E3" w:rsidRDefault="00F043E3" w:rsidP="00BB5CF4">
      <w:pPr>
        <w:contextualSpacing/>
        <w:jc w:val="left"/>
      </w:pPr>
    </w:p>
    <w:p w:rsidR="00F043E3" w:rsidRPr="00FC4CE0" w:rsidRDefault="00F043E3" w:rsidP="00BB5CF4">
      <w:pPr>
        <w:contextualSpacing/>
        <w:jc w:val="left"/>
        <w:rPr>
          <w:b/>
        </w:rPr>
      </w:pPr>
      <w:r>
        <w:tab/>
      </w:r>
      <w:r>
        <w:tab/>
      </w:r>
      <w:r w:rsidR="00A438F2" w:rsidRPr="000808EF">
        <w:t xml:space="preserve">Having concluded that the Complainant is entitled to a hearing to provide an opportunity to further present his argument that there was no foreign load condition, I believe it will be prudent to </w:t>
      </w:r>
      <w:r w:rsidR="00FC4CE0" w:rsidRPr="000808EF">
        <w:t xml:space="preserve">first </w:t>
      </w:r>
      <w:r w:rsidR="00A438F2" w:rsidRPr="000808EF">
        <w:t xml:space="preserve">give the parties an opportunity, in light of this Order, to attempt to resolve this matter informally, before proceeding to a formal hearing.  I therefore direct that this matter be referred to the Commission’s Mediation </w:t>
      </w:r>
      <w:r w:rsidR="00FC4CE0" w:rsidRPr="000808EF">
        <w:t>Unit</w:t>
      </w:r>
      <w:r w:rsidR="00A438F2" w:rsidRPr="000808EF">
        <w:t xml:space="preserve"> for </w:t>
      </w:r>
      <w:r w:rsidR="00FC4CE0" w:rsidRPr="000808EF">
        <w:t>mediation</w:t>
      </w:r>
      <w:r w:rsidR="00A438F2" w:rsidRPr="000808EF">
        <w:t xml:space="preserve"> review</w:t>
      </w:r>
      <w:r w:rsidR="00A438F2" w:rsidRPr="00FC4CE0">
        <w:rPr>
          <w:b/>
        </w:rPr>
        <w:t xml:space="preserve">. </w:t>
      </w:r>
    </w:p>
    <w:p w:rsidR="007F349A" w:rsidRDefault="007F349A" w:rsidP="00BB5CF4">
      <w:pPr>
        <w:contextualSpacing/>
        <w:jc w:val="left"/>
      </w:pPr>
    </w:p>
    <w:p w:rsidR="007F349A" w:rsidRPr="00BB5CF4" w:rsidRDefault="007F349A" w:rsidP="007F349A">
      <w:pPr>
        <w:rPr>
          <w:u w:val="single"/>
        </w:rPr>
      </w:pPr>
      <w:r w:rsidRPr="00BB5CF4">
        <w:rPr>
          <w:u w:val="single"/>
        </w:rPr>
        <w:t>ORDER</w:t>
      </w:r>
    </w:p>
    <w:p w:rsidR="007F349A" w:rsidRDefault="007F349A" w:rsidP="00A304A4">
      <w:pPr>
        <w:jc w:val="left"/>
        <w:rPr>
          <w:b/>
          <w:u w:val="single"/>
        </w:rPr>
      </w:pPr>
    </w:p>
    <w:p w:rsidR="007F349A" w:rsidRPr="00F96FE9" w:rsidRDefault="007F349A" w:rsidP="00A304A4">
      <w:pPr>
        <w:jc w:val="left"/>
        <w:rPr>
          <w:b/>
          <w:u w:val="single"/>
        </w:rPr>
      </w:pPr>
    </w:p>
    <w:p w:rsidR="007F349A" w:rsidRPr="00F96FE9" w:rsidRDefault="007F349A" w:rsidP="00A304A4">
      <w:pPr>
        <w:jc w:val="left"/>
      </w:pPr>
      <w:r w:rsidRPr="00F96FE9">
        <w:tab/>
      </w:r>
      <w:r w:rsidRPr="00F96FE9">
        <w:tab/>
        <w:t>THEREFORE,</w:t>
      </w:r>
    </w:p>
    <w:p w:rsidR="007F349A" w:rsidRPr="00F96FE9" w:rsidRDefault="007F349A" w:rsidP="00A304A4">
      <w:pPr>
        <w:jc w:val="left"/>
      </w:pPr>
    </w:p>
    <w:p w:rsidR="007F349A" w:rsidRPr="00F96FE9" w:rsidRDefault="007F349A" w:rsidP="00A304A4">
      <w:pPr>
        <w:jc w:val="left"/>
      </w:pPr>
      <w:r w:rsidRPr="00F96FE9">
        <w:tab/>
      </w:r>
      <w:r w:rsidRPr="00F96FE9">
        <w:tab/>
        <w:t>IT IS ORDERED:</w:t>
      </w:r>
    </w:p>
    <w:p w:rsidR="007F349A" w:rsidRPr="00F96FE9" w:rsidRDefault="007F349A" w:rsidP="00A304A4">
      <w:pPr>
        <w:jc w:val="left"/>
      </w:pPr>
    </w:p>
    <w:p w:rsidR="007F349A" w:rsidRPr="002401A9" w:rsidRDefault="007F349A" w:rsidP="00A304A4">
      <w:pPr>
        <w:jc w:val="left"/>
      </w:pPr>
      <w:r w:rsidRPr="00F96FE9">
        <w:tab/>
      </w:r>
      <w:r w:rsidRPr="00F96FE9">
        <w:tab/>
      </w:r>
      <w:r w:rsidRPr="002401A9">
        <w:t>1.</w:t>
      </w:r>
      <w:r w:rsidRPr="002401A9">
        <w:tab/>
        <w:t xml:space="preserve">That the Preliminary Objections filed by </w:t>
      </w:r>
      <w:r w:rsidR="00E304E3">
        <w:t>PECO Energy</w:t>
      </w:r>
      <w:r w:rsidRPr="002401A9">
        <w:t xml:space="preserve"> Company in the case captioned </w:t>
      </w:r>
      <w:r w:rsidR="00E304E3">
        <w:t>Jesse Hunting</w:t>
      </w:r>
      <w:r w:rsidR="006F1702">
        <w:t xml:space="preserve"> v. </w:t>
      </w:r>
      <w:r w:rsidR="00E304E3">
        <w:t>PECO Energy</w:t>
      </w:r>
      <w:r w:rsidRPr="002401A9">
        <w:t xml:space="preserve"> Company at Docket No. F-201</w:t>
      </w:r>
      <w:r w:rsidR="006F1702">
        <w:t>4</w:t>
      </w:r>
      <w:r w:rsidRPr="002401A9">
        <w:t>-24</w:t>
      </w:r>
      <w:r w:rsidR="006F1702">
        <w:t>9</w:t>
      </w:r>
      <w:r w:rsidR="00E304E3">
        <w:t>1229</w:t>
      </w:r>
      <w:r w:rsidRPr="002401A9">
        <w:t>, are</w:t>
      </w:r>
      <w:r w:rsidR="00E304E3">
        <w:t xml:space="preserve"> denied in part and</w:t>
      </w:r>
      <w:r w:rsidRPr="002401A9">
        <w:t xml:space="preserve"> granted</w:t>
      </w:r>
      <w:r w:rsidR="00E304E3">
        <w:t xml:space="preserve"> in part</w:t>
      </w:r>
      <w:r w:rsidR="00FC4CE0">
        <w:t>, as set forth in this Order</w:t>
      </w:r>
      <w:r w:rsidRPr="002401A9">
        <w:t>.</w:t>
      </w:r>
    </w:p>
    <w:p w:rsidR="007F349A" w:rsidRPr="002401A9" w:rsidRDefault="007F349A" w:rsidP="00A304A4">
      <w:pPr>
        <w:jc w:val="left"/>
      </w:pPr>
    </w:p>
    <w:p w:rsidR="007F349A" w:rsidRDefault="007F349A" w:rsidP="00A304A4">
      <w:pPr>
        <w:jc w:val="left"/>
      </w:pPr>
      <w:r w:rsidRPr="00F96FE9">
        <w:tab/>
      </w:r>
      <w:r w:rsidRPr="00F96FE9">
        <w:tab/>
        <w:t>2.</w:t>
      </w:r>
      <w:r w:rsidRPr="00F96FE9">
        <w:tab/>
        <w:t>That the</w:t>
      </w:r>
      <w:r w:rsidR="00E304E3">
        <w:t xml:space="preserve"> </w:t>
      </w:r>
      <w:r w:rsidR="00FC4CE0">
        <w:t>remaining matters be and hereby are referred to the Commission’s Mediat</w:t>
      </w:r>
      <w:r w:rsidR="00BB5CF4">
        <w:t>ion Unit for mediation review.</w:t>
      </w:r>
    </w:p>
    <w:p w:rsidR="007F349A" w:rsidRDefault="007F349A" w:rsidP="00A304A4">
      <w:pPr>
        <w:jc w:val="left"/>
      </w:pPr>
    </w:p>
    <w:p w:rsidR="00BB5CF4" w:rsidRPr="00F96FE9" w:rsidRDefault="00BB5CF4" w:rsidP="00A304A4">
      <w:pPr>
        <w:jc w:val="left"/>
      </w:pPr>
    </w:p>
    <w:p w:rsidR="007F349A" w:rsidRPr="00F96FE9" w:rsidRDefault="009D78B1" w:rsidP="007F349A">
      <w:pPr>
        <w:tabs>
          <w:tab w:val="left" w:pos="720"/>
          <w:tab w:val="left" w:pos="5040"/>
          <w:tab w:val="left" w:pos="5760"/>
          <w:tab w:val="left" w:pos="9180"/>
        </w:tabs>
        <w:spacing w:line="240" w:lineRule="auto"/>
        <w:jc w:val="left"/>
      </w:pPr>
      <w:r>
        <w:t>Dated:</w:t>
      </w:r>
      <w:r>
        <w:tab/>
      </w:r>
      <w:bookmarkStart w:id="7" w:name="_GoBack"/>
      <w:bookmarkEnd w:id="7"/>
      <w:r w:rsidR="00E0319A">
        <w:rPr>
          <w:u w:val="single"/>
        </w:rPr>
        <w:t xml:space="preserve">September </w:t>
      </w:r>
      <w:r w:rsidR="00A645C6">
        <w:rPr>
          <w:u w:val="single"/>
        </w:rPr>
        <w:t>15</w:t>
      </w:r>
      <w:r w:rsidR="00E0319A">
        <w:rPr>
          <w:u w:val="single"/>
        </w:rPr>
        <w:t>, 2015</w:t>
      </w:r>
      <w:r w:rsidR="007F349A" w:rsidRPr="00F96FE9">
        <w:tab/>
      </w:r>
      <w:r w:rsidR="007F349A">
        <w:rPr>
          <w:u w:val="single"/>
        </w:rPr>
        <w:tab/>
      </w:r>
      <w:r w:rsidR="007F349A">
        <w:rPr>
          <w:u w:val="single"/>
        </w:rPr>
        <w:tab/>
      </w:r>
      <w:r w:rsidR="007F349A" w:rsidRPr="00F96FE9">
        <w:tab/>
      </w:r>
    </w:p>
    <w:p w:rsidR="007F349A" w:rsidRPr="00F96FE9" w:rsidRDefault="007F349A" w:rsidP="007F349A">
      <w:pPr>
        <w:spacing w:line="240" w:lineRule="auto"/>
        <w:jc w:val="left"/>
      </w:pPr>
      <w:r w:rsidRPr="00F96FE9">
        <w:tab/>
      </w:r>
      <w:r w:rsidRPr="00F96FE9">
        <w:tab/>
      </w:r>
      <w:r w:rsidRPr="00F96FE9">
        <w:tab/>
      </w:r>
      <w:r w:rsidRPr="00F96FE9">
        <w:tab/>
      </w:r>
      <w:r w:rsidRPr="00F96FE9">
        <w:tab/>
      </w:r>
      <w:r w:rsidRPr="00F96FE9">
        <w:tab/>
      </w:r>
      <w:r w:rsidRPr="00F96FE9">
        <w:tab/>
      </w:r>
      <w:r w:rsidR="00E0319A">
        <w:t>Steven K. Haas</w:t>
      </w:r>
    </w:p>
    <w:p w:rsidR="009D78B1" w:rsidRDefault="007F349A" w:rsidP="00A438F2">
      <w:pPr>
        <w:spacing w:line="240" w:lineRule="auto"/>
        <w:jc w:val="left"/>
        <w:sectPr w:rsidR="009D78B1" w:rsidSect="006F1702">
          <w:footerReference w:type="default" r:id="rId13"/>
          <w:pgSz w:w="12240" w:h="15840"/>
          <w:pgMar w:top="1440" w:right="1440" w:bottom="1440" w:left="1440" w:header="720" w:footer="720" w:gutter="0"/>
          <w:cols w:space="720"/>
          <w:titlePg/>
          <w:docGrid w:linePitch="360"/>
        </w:sectPr>
      </w:pPr>
      <w:r w:rsidRPr="00F96FE9">
        <w:tab/>
      </w:r>
      <w:r w:rsidRPr="00F96FE9">
        <w:tab/>
      </w:r>
      <w:r w:rsidRPr="00F96FE9">
        <w:tab/>
      </w:r>
      <w:r w:rsidRPr="00F96FE9">
        <w:tab/>
      </w:r>
      <w:r w:rsidRPr="00F96FE9">
        <w:tab/>
      </w:r>
      <w:r w:rsidRPr="00F96FE9">
        <w:tab/>
      </w:r>
      <w:r w:rsidRPr="00F96FE9">
        <w:tab/>
        <w:t>Administrative Law Judge</w:t>
      </w:r>
    </w:p>
    <w:p w:rsidR="009D78B1" w:rsidRDefault="009D78B1" w:rsidP="009D78B1">
      <w:pPr>
        <w:spacing w:line="240" w:lineRule="auto"/>
        <w:contextualSpacing/>
        <w:jc w:val="left"/>
        <w:rPr>
          <w:rFonts w:ascii="Microsoft Sans Serif"/>
        </w:rPr>
      </w:pPr>
      <w:r>
        <w:rPr>
          <w:rFonts w:ascii="Microsoft Sans Serif"/>
          <w:b/>
          <w:u w:val="single"/>
        </w:rPr>
        <w:lastRenderedPageBreak/>
        <w:t>F-2015-2491229 - JESSE HUNTING v. PECO ENERGY COMPANY</w:t>
      </w:r>
      <w:r>
        <w:rPr>
          <w:rFonts w:ascii="Microsoft Sans Serif"/>
          <w:b/>
          <w:u w:val="single"/>
        </w:rPr>
        <w:cr/>
      </w:r>
      <w:r>
        <w:rPr>
          <w:rFonts w:ascii="Microsoft Sans Serif"/>
          <w:b/>
          <w:u w:val="single"/>
        </w:rPr>
        <w:cr/>
      </w:r>
      <w:r>
        <w:rPr>
          <w:rFonts w:ascii="Microsoft Sans Serif"/>
        </w:rPr>
        <w:t>JESSE HUNTING</w:t>
      </w:r>
      <w:r>
        <w:rPr>
          <w:rFonts w:ascii="Microsoft Sans Serif"/>
        </w:rPr>
        <w:cr/>
        <w:t>2508 SOUTH 15TH ST</w:t>
      </w:r>
      <w:r>
        <w:rPr>
          <w:rFonts w:ascii="Microsoft Sans Serif"/>
        </w:rPr>
        <w:cr/>
        <w:t xml:space="preserve">PHILADELPHIA </w:t>
      </w:r>
      <w:proofErr w:type="gramStart"/>
      <w:r>
        <w:rPr>
          <w:rFonts w:ascii="Microsoft Sans Serif"/>
        </w:rPr>
        <w:t>PA  191458</w:t>
      </w:r>
      <w:proofErr w:type="gramEnd"/>
      <w:r>
        <w:rPr>
          <w:rFonts w:ascii="Microsoft Sans Serif"/>
        </w:rPr>
        <w:cr/>
      </w:r>
      <w:r w:rsidRPr="0000501F">
        <w:rPr>
          <w:rFonts w:ascii="Microsoft Sans Serif"/>
          <w:b/>
        </w:rPr>
        <w:t>267.315.2678</w:t>
      </w:r>
      <w:r w:rsidRPr="0000501F">
        <w:rPr>
          <w:rFonts w:ascii="Microsoft Sans Serif"/>
          <w:b/>
        </w:rPr>
        <w:cr/>
      </w:r>
    </w:p>
    <w:p w:rsidR="009D78B1" w:rsidRPr="0000501F" w:rsidRDefault="009D78B1" w:rsidP="009D78B1">
      <w:pPr>
        <w:spacing w:line="240" w:lineRule="auto"/>
        <w:contextualSpacing/>
        <w:jc w:val="left"/>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00501F">
        <w:rPr>
          <w:rFonts w:ascii="Microsoft Sans Serif"/>
          <w:b/>
        </w:rPr>
        <w:t>215.841.6841</w:t>
      </w:r>
      <w:r w:rsidRPr="0000501F">
        <w:rPr>
          <w:rFonts w:ascii="Microsoft Sans Serif"/>
          <w:b/>
        </w:rPr>
        <w:cr/>
      </w:r>
      <w:r w:rsidRPr="0000501F">
        <w:rPr>
          <w:rFonts w:ascii="Microsoft Sans Serif"/>
          <w:i/>
        </w:rPr>
        <w:t>Accepts E-service</w:t>
      </w:r>
    </w:p>
    <w:p w:rsidR="009D78B1" w:rsidRPr="0000501F" w:rsidRDefault="009D78B1" w:rsidP="009D78B1">
      <w:pPr>
        <w:spacing w:line="240" w:lineRule="auto"/>
        <w:contextualSpacing/>
        <w:jc w:val="left"/>
        <w:rPr>
          <w:i/>
        </w:rPr>
      </w:pPr>
      <w:r w:rsidRPr="0000501F">
        <w:rPr>
          <w:rFonts w:ascii="Microsoft Sans Serif"/>
          <w:i/>
        </w:rPr>
        <w:t xml:space="preserve">Representing </w:t>
      </w:r>
      <w:r>
        <w:rPr>
          <w:rFonts w:ascii="Microsoft Sans Serif"/>
          <w:i/>
        </w:rPr>
        <w:t>PECO Energy Company</w:t>
      </w:r>
      <w:r w:rsidRPr="0000501F">
        <w:rPr>
          <w:rFonts w:ascii="Microsoft Sans Serif"/>
          <w:i/>
        </w:rPr>
        <w:cr/>
      </w:r>
    </w:p>
    <w:p w:rsidR="009D78B1" w:rsidRDefault="009D78B1" w:rsidP="009D78B1">
      <w:pPr>
        <w:jc w:val="left"/>
      </w:pPr>
    </w:p>
    <w:p w:rsidR="00BD6583" w:rsidRDefault="00BD6583" w:rsidP="009D78B1">
      <w:pPr>
        <w:spacing w:line="240" w:lineRule="auto"/>
        <w:jc w:val="left"/>
      </w:pPr>
    </w:p>
    <w:sectPr w:rsidR="00BD658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6A" w:rsidRDefault="00C9576A" w:rsidP="00BF5530">
      <w:pPr>
        <w:spacing w:line="240" w:lineRule="auto"/>
      </w:pPr>
      <w:r>
        <w:separator/>
      </w:r>
    </w:p>
  </w:endnote>
  <w:endnote w:type="continuationSeparator" w:id="0">
    <w:p w:rsidR="00C9576A" w:rsidRDefault="00C9576A" w:rsidP="00BF5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381209"/>
      <w:docPartObj>
        <w:docPartGallery w:val="Page Numbers (Bottom of Page)"/>
        <w:docPartUnique/>
      </w:docPartObj>
    </w:sdtPr>
    <w:sdtEndPr>
      <w:rPr>
        <w:noProof/>
        <w:sz w:val="20"/>
        <w:szCs w:val="20"/>
      </w:rPr>
    </w:sdtEndPr>
    <w:sdtContent>
      <w:p w:rsidR="006F1702" w:rsidRPr="00BB5CF4" w:rsidRDefault="006F1702">
        <w:pPr>
          <w:pStyle w:val="Footer"/>
          <w:rPr>
            <w:sz w:val="20"/>
            <w:szCs w:val="20"/>
          </w:rPr>
        </w:pPr>
        <w:r w:rsidRPr="00BB5CF4">
          <w:rPr>
            <w:sz w:val="20"/>
            <w:szCs w:val="20"/>
          </w:rPr>
          <w:fldChar w:fldCharType="begin"/>
        </w:r>
        <w:r w:rsidRPr="00BB5CF4">
          <w:rPr>
            <w:sz w:val="20"/>
            <w:szCs w:val="20"/>
          </w:rPr>
          <w:instrText xml:space="preserve"> PAGE   \* MERGEFORMAT </w:instrText>
        </w:r>
        <w:r w:rsidRPr="00BB5CF4">
          <w:rPr>
            <w:sz w:val="20"/>
            <w:szCs w:val="20"/>
          </w:rPr>
          <w:fldChar w:fldCharType="separate"/>
        </w:r>
        <w:r w:rsidR="009D78B1">
          <w:rPr>
            <w:noProof/>
            <w:sz w:val="20"/>
            <w:szCs w:val="20"/>
          </w:rPr>
          <w:t>10</w:t>
        </w:r>
        <w:r w:rsidRPr="00BB5CF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1" w:rsidRPr="00BB5CF4" w:rsidRDefault="009D78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6A" w:rsidRDefault="00C9576A" w:rsidP="00BB5CF4">
      <w:pPr>
        <w:spacing w:line="240" w:lineRule="auto"/>
        <w:jc w:val="both"/>
      </w:pPr>
      <w:r>
        <w:separator/>
      </w:r>
    </w:p>
  </w:footnote>
  <w:footnote w:type="continuationSeparator" w:id="0">
    <w:p w:rsidR="00C9576A" w:rsidRDefault="00C9576A" w:rsidP="00BF5530">
      <w:pPr>
        <w:spacing w:line="240" w:lineRule="auto"/>
      </w:pPr>
      <w:r>
        <w:continuationSeparator/>
      </w:r>
    </w:p>
  </w:footnote>
  <w:footnote w:id="1">
    <w:p w:rsidR="00BF5530" w:rsidRPr="00BF5530" w:rsidRDefault="00BF5530" w:rsidP="00BF5530">
      <w:pPr>
        <w:autoSpaceDE w:val="0"/>
        <w:autoSpaceDN w:val="0"/>
        <w:adjustRightInd w:val="0"/>
        <w:spacing w:line="240" w:lineRule="auto"/>
        <w:jc w:val="left"/>
        <w:rPr>
          <w:b/>
          <w:bCs/>
          <w:color w:val="000000"/>
          <w:sz w:val="20"/>
          <w:szCs w:val="20"/>
        </w:rPr>
      </w:pPr>
      <w:r w:rsidRPr="00BF5530">
        <w:rPr>
          <w:rStyle w:val="FootnoteReference"/>
          <w:sz w:val="20"/>
          <w:szCs w:val="20"/>
        </w:rPr>
        <w:footnoteRef/>
      </w:r>
      <w:r w:rsidRPr="00BF5530">
        <w:rPr>
          <w:sz w:val="20"/>
          <w:szCs w:val="20"/>
        </w:rPr>
        <w:t xml:space="preserve"> </w:t>
      </w:r>
      <w:r w:rsidRPr="00BF5530">
        <w:rPr>
          <w:b/>
          <w:bCs/>
          <w:color w:val="000000"/>
          <w:sz w:val="20"/>
          <w:szCs w:val="20"/>
        </w:rPr>
        <w:t xml:space="preserve">§ 1529.1.  </w:t>
      </w:r>
      <w:proofErr w:type="gramStart"/>
      <w:r w:rsidRPr="00BF5530">
        <w:rPr>
          <w:b/>
          <w:bCs/>
          <w:color w:val="000000"/>
          <w:sz w:val="20"/>
          <w:szCs w:val="20"/>
        </w:rPr>
        <w:t>Duty of owners of rental property.</w:t>
      </w:r>
      <w:proofErr w:type="gramEnd"/>
    </w:p>
    <w:p w:rsidR="00BF5530" w:rsidRPr="00BF5530" w:rsidRDefault="00BF5530" w:rsidP="00BF5530">
      <w:pPr>
        <w:autoSpaceDE w:val="0"/>
        <w:autoSpaceDN w:val="0"/>
        <w:adjustRightInd w:val="0"/>
        <w:spacing w:line="240" w:lineRule="auto"/>
        <w:jc w:val="left"/>
        <w:rPr>
          <w:b/>
          <w:bCs/>
          <w:color w:val="000000"/>
          <w:sz w:val="20"/>
          <w:szCs w:val="20"/>
        </w:rPr>
      </w:pPr>
    </w:p>
    <w:p w:rsidR="00BF5530" w:rsidRPr="00BF5530" w:rsidRDefault="00BF5530" w:rsidP="00BF5530">
      <w:pPr>
        <w:autoSpaceDE w:val="0"/>
        <w:autoSpaceDN w:val="0"/>
        <w:adjustRightInd w:val="0"/>
        <w:spacing w:line="240" w:lineRule="auto"/>
        <w:jc w:val="left"/>
        <w:rPr>
          <w:color w:val="000000"/>
          <w:sz w:val="20"/>
          <w:szCs w:val="20"/>
        </w:rPr>
      </w:pPr>
      <w:r w:rsidRPr="00BF5530">
        <w:rPr>
          <w:b/>
          <w:bCs/>
          <w:color w:val="000000"/>
          <w:sz w:val="20"/>
          <w:szCs w:val="20"/>
        </w:rPr>
        <w:t>(a)  Notice to public utility.—</w:t>
      </w:r>
      <w:proofErr w:type="gramStart"/>
      <w:r w:rsidRPr="00BF5530">
        <w:rPr>
          <w:color w:val="000000"/>
          <w:sz w:val="20"/>
          <w:szCs w:val="20"/>
        </w:rPr>
        <w:t>It</w:t>
      </w:r>
      <w:proofErr w:type="gramEnd"/>
      <w:r w:rsidRPr="00BF5530">
        <w:rPr>
          <w:color w:val="000000"/>
          <w:sz w:val="20"/>
          <w:szCs w:val="20"/>
        </w:rPr>
        <w:t xml:space="preserve">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0" w:name="IN;3"/>
      <w:bookmarkStart w:id="1" w:name="SP;a83b000018c76"/>
      <w:bookmarkEnd w:id="0"/>
      <w:bookmarkEnd w:id="1"/>
    </w:p>
    <w:p w:rsidR="00BF5530" w:rsidRPr="00BF5530" w:rsidRDefault="00BF5530" w:rsidP="00BF5530">
      <w:pPr>
        <w:autoSpaceDE w:val="0"/>
        <w:autoSpaceDN w:val="0"/>
        <w:adjustRightInd w:val="0"/>
        <w:spacing w:line="240" w:lineRule="auto"/>
        <w:jc w:val="left"/>
        <w:rPr>
          <w:b/>
          <w:bCs/>
          <w:color w:val="000000"/>
          <w:sz w:val="20"/>
          <w:szCs w:val="20"/>
        </w:rPr>
      </w:pPr>
    </w:p>
    <w:p w:rsidR="00BF5530" w:rsidRPr="00BF5530" w:rsidRDefault="00BF5530" w:rsidP="00BF5530">
      <w:pPr>
        <w:spacing w:line="240" w:lineRule="auto"/>
        <w:jc w:val="left"/>
        <w:rPr>
          <w:color w:val="000000"/>
          <w:sz w:val="20"/>
          <w:szCs w:val="20"/>
        </w:rPr>
      </w:pPr>
      <w:r w:rsidRPr="00BF5530">
        <w:rPr>
          <w:b/>
          <w:bCs/>
          <w:color w:val="000000"/>
          <w:sz w:val="20"/>
          <w:szCs w:val="20"/>
        </w:rPr>
        <w:t>(b)  History of account.—</w:t>
      </w:r>
      <w:r w:rsidRPr="00BF5530">
        <w:rPr>
          <w:color w:val="000000"/>
          <w:sz w:val="20"/>
          <w:szCs w:val="20"/>
        </w:rPr>
        <w:t xml:space="preserve">Upon receipt of the notice provided in this section, if the mobile home park or residential building contains one or more dwelling </w:t>
      </w:r>
      <w:bookmarkStart w:id="2" w:name="SDU_2"/>
      <w:bookmarkEnd w:id="2"/>
      <w:r w:rsidRPr="00BF5530">
        <w:rPr>
          <w:color w:val="000000"/>
          <w:sz w:val="20"/>
          <w:szCs w:val="20"/>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3" w:name="IN;4"/>
      <w:bookmarkStart w:id="4" w:name="SP;4b24000003ba5"/>
      <w:bookmarkEnd w:id="3"/>
      <w:bookmarkEnd w:id="4"/>
    </w:p>
    <w:p w:rsidR="00BF5530" w:rsidRPr="00BF5530" w:rsidRDefault="00BF5530" w:rsidP="00BF5530">
      <w:pPr>
        <w:spacing w:line="240" w:lineRule="auto"/>
        <w:jc w:val="left"/>
        <w:rPr>
          <w:b/>
          <w:bCs/>
          <w:color w:val="000000"/>
          <w:sz w:val="20"/>
          <w:szCs w:val="20"/>
        </w:rPr>
      </w:pPr>
    </w:p>
    <w:p w:rsidR="00BF5530" w:rsidRDefault="00BF5530" w:rsidP="00BF5530">
      <w:pPr>
        <w:spacing w:line="240" w:lineRule="auto"/>
        <w:jc w:val="left"/>
        <w:rPr>
          <w:color w:val="000000"/>
          <w:sz w:val="20"/>
          <w:szCs w:val="20"/>
        </w:rPr>
      </w:pPr>
      <w:r w:rsidRPr="00BF5530">
        <w:rPr>
          <w:b/>
          <w:bCs/>
          <w:color w:val="000000"/>
          <w:sz w:val="20"/>
          <w:szCs w:val="20"/>
        </w:rPr>
        <w:t>(c)  Failure to give notice.—</w:t>
      </w:r>
      <w:proofErr w:type="gramStart"/>
      <w:r w:rsidRPr="00BF5530">
        <w:rPr>
          <w:color w:val="000000"/>
          <w:sz w:val="20"/>
          <w:szCs w:val="20"/>
        </w:rPr>
        <w:t>Any</w:t>
      </w:r>
      <w:proofErr w:type="gramEnd"/>
      <w:r w:rsidRPr="00BF5530">
        <w:rPr>
          <w:color w:val="000000"/>
          <w:sz w:val="20"/>
          <w:szCs w:val="20"/>
        </w:rPr>
        <w:t xml:space="preserve"> owner of a residential building or mobile home park failing to notify affected public utilities as required by this section shall nonetheless be responsible for payment of the utility services as if the required notice had been given.</w:t>
      </w:r>
    </w:p>
    <w:p w:rsidR="00BF5530" w:rsidRPr="00BF5530" w:rsidRDefault="00BF5530" w:rsidP="00BF5530">
      <w:pPr>
        <w:spacing w:line="240" w:lineRule="auto"/>
        <w:jc w:val="left"/>
        <w:rPr>
          <w:color w:val="000000"/>
          <w:sz w:val="20"/>
          <w:szCs w:val="20"/>
        </w:rPr>
      </w:pPr>
      <w:proofErr w:type="gramStart"/>
      <w:r>
        <w:rPr>
          <w:color w:val="000000"/>
          <w:sz w:val="20"/>
          <w:szCs w:val="20"/>
        </w:rPr>
        <w:t>66 Pa.C.S.</w:t>
      </w:r>
      <w:proofErr w:type="gramEnd"/>
      <w:r>
        <w:rPr>
          <w:color w:val="000000"/>
          <w:sz w:val="20"/>
          <w:szCs w:val="20"/>
        </w:rPr>
        <w:t xml:space="preserve"> § 1529.1</w:t>
      </w:r>
    </w:p>
    <w:p w:rsidR="00BF5530" w:rsidRPr="00BF5530" w:rsidRDefault="00BF5530" w:rsidP="00BF5530">
      <w:pPr>
        <w:spacing w:line="240" w:lineRule="auto"/>
        <w:jc w:val="left"/>
        <w:rPr>
          <w:rFonts w:eastAsia="Calibri"/>
          <w:sz w:val="20"/>
          <w:szCs w:val="20"/>
        </w:rPr>
      </w:pPr>
    </w:p>
    <w:p w:rsidR="00BF5530" w:rsidRPr="00BF5530" w:rsidRDefault="00BF5530" w:rsidP="00BF5530">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7F3"/>
    <w:multiLevelType w:val="hybridMultilevel"/>
    <w:tmpl w:val="9664FFAA"/>
    <w:lvl w:ilvl="0" w:tplc="4E6ACD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E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74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A6D"/>
    <w:rsid w:val="00055078"/>
    <w:rsid w:val="00055CC5"/>
    <w:rsid w:val="000576ED"/>
    <w:rsid w:val="000604FC"/>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8EF"/>
    <w:rsid w:val="000816A1"/>
    <w:rsid w:val="00082363"/>
    <w:rsid w:val="00083558"/>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166"/>
    <w:rsid w:val="000C7A4F"/>
    <w:rsid w:val="000D29BA"/>
    <w:rsid w:val="000D3E49"/>
    <w:rsid w:val="000D5763"/>
    <w:rsid w:val="000E13E9"/>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AD9"/>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45F"/>
    <w:rsid w:val="001A1644"/>
    <w:rsid w:val="001A216A"/>
    <w:rsid w:val="001A33F5"/>
    <w:rsid w:val="001A3A31"/>
    <w:rsid w:val="001A3D48"/>
    <w:rsid w:val="001A5421"/>
    <w:rsid w:val="001A6541"/>
    <w:rsid w:val="001A7F95"/>
    <w:rsid w:val="001B06B8"/>
    <w:rsid w:val="001B1B1D"/>
    <w:rsid w:val="001B33E2"/>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34C"/>
    <w:rsid w:val="002337D7"/>
    <w:rsid w:val="00234DEB"/>
    <w:rsid w:val="0023584A"/>
    <w:rsid w:val="00236C44"/>
    <w:rsid w:val="00240343"/>
    <w:rsid w:val="002403E6"/>
    <w:rsid w:val="002422D0"/>
    <w:rsid w:val="0024256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6833"/>
    <w:rsid w:val="00277591"/>
    <w:rsid w:val="00283282"/>
    <w:rsid w:val="00284760"/>
    <w:rsid w:val="00286A34"/>
    <w:rsid w:val="002871C2"/>
    <w:rsid w:val="00287CB1"/>
    <w:rsid w:val="0029096F"/>
    <w:rsid w:val="00290AD2"/>
    <w:rsid w:val="00291B51"/>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4F2"/>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37"/>
    <w:rsid w:val="003908D7"/>
    <w:rsid w:val="00390929"/>
    <w:rsid w:val="00390DBB"/>
    <w:rsid w:val="00391CFF"/>
    <w:rsid w:val="003924CC"/>
    <w:rsid w:val="00396333"/>
    <w:rsid w:val="00396ADD"/>
    <w:rsid w:val="0039716B"/>
    <w:rsid w:val="00397B6F"/>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BF0"/>
    <w:rsid w:val="00465D71"/>
    <w:rsid w:val="00466D15"/>
    <w:rsid w:val="0047070D"/>
    <w:rsid w:val="00477A71"/>
    <w:rsid w:val="004800E7"/>
    <w:rsid w:val="00481269"/>
    <w:rsid w:val="004839FC"/>
    <w:rsid w:val="00483C70"/>
    <w:rsid w:val="00484589"/>
    <w:rsid w:val="00484BCE"/>
    <w:rsid w:val="00485E57"/>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9F"/>
    <w:rsid w:val="004D14F0"/>
    <w:rsid w:val="004D1505"/>
    <w:rsid w:val="004D17DF"/>
    <w:rsid w:val="004D38F8"/>
    <w:rsid w:val="004D4A68"/>
    <w:rsid w:val="004D5646"/>
    <w:rsid w:val="004D5824"/>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0F35"/>
    <w:rsid w:val="00503634"/>
    <w:rsid w:val="00504F92"/>
    <w:rsid w:val="00505551"/>
    <w:rsid w:val="005078B3"/>
    <w:rsid w:val="00510A28"/>
    <w:rsid w:val="00511C54"/>
    <w:rsid w:val="0051292E"/>
    <w:rsid w:val="00516207"/>
    <w:rsid w:val="005200D5"/>
    <w:rsid w:val="00520C27"/>
    <w:rsid w:val="00521B57"/>
    <w:rsid w:val="00522A37"/>
    <w:rsid w:val="00522DE9"/>
    <w:rsid w:val="00522EF8"/>
    <w:rsid w:val="005234E9"/>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18F"/>
    <w:rsid w:val="0058036C"/>
    <w:rsid w:val="0058073B"/>
    <w:rsid w:val="00580815"/>
    <w:rsid w:val="00582289"/>
    <w:rsid w:val="0058363F"/>
    <w:rsid w:val="00584CB9"/>
    <w:rsid w:val="00585BD9"/>
    <w:rsid w:val="00587B74"/>
    <w:rsid w:val="00590035"/>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65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47B5"/>
    <w:rsid w:val="006151E3"/>
    <w:rsid w:val="00616232"/>
    <w:rsid w:val="00620850"/>
    <w:rsid w:val="00620DB5"/>
    <w:rsid w:val="00621A59"/>
    <w:rsid w:val="0062201A"/>
    <w:rsid w:val="006225AC"/>
    <w:rsid w:val="006230A9"/>
    <w:rsid w:val="00623799"/>
    <w:rsid w:val="00624D32"/>
    <w:rsid w:val="006273ED"/>
    <w:rsid w:val="0062795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219"/>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F0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776"/>
    <w:rsid w:val="006C71BB"/>
    <w:rsid w:val="006D071F"/>
    <w:rsid w:val="006D1276"/>
    <w:rsid w:val="006D13C4"/>
    <w:rsid w:val="006D1E5C"/>
    <w:rsid w:val="006D2C14"/>
    <w:rsid w:val="006D3945"/>
    <w:rsid w:val="006D4C15"/>
    <w:rsid w:val="006D74BB"/>
    <w:rsid w:val="006D7692"/>
    <w:rsid w:val="006E1753"/>
    <w:rsid w:val="006E3BF0"/>
    <w:rsid w:val="006E4E29"/>
    <w:rsid w:val="006E5D2E"/>
    <w:rsid w:val="006E670A"/>
    <w:rsid w:val="006E7C63"/>
    <w:rsid w:val="006F08E9"/>
    <w:rsid w:val="006F15E9"/>
    <w:rsid w:val="006F170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86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3C3"/>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349A"/>
    <w:rsid w:val="007F6E2B"/>
    <w:rsid w:val="007F7699"/>
    <w:rsid w:val="007F773D"/>
    <w:rsid w:val="008003C8"/>
    <w:rsid w:val="00801A80"/>
    <w:rsid w:val="00802118"/>
    <w:rsid w:val="00804065"/>
    <w:rsid w:val="008047DD"/>
    <w:rsid w:val="0080611B"/>
    <w:rsid w:val="00806213"/>
    <w:rsid w:val="008121D7"/>
    <w:rsid w:val="00812B80"/>
    <w:rsid w:val="008168A2"/>
    <w:rsid w:val="00820421"/>
    <w:rsid w:val="008213E7"/>
    <w:rsid w:val="00821687"/>
    <w:rsid w:val="0082217D"/>
    <w:rsid w:val="00822A40"/>
    <w:rsid w:val="00822DE6"/>
    <w:rsid w:val="008236C7"/>
    <w:rsid w:val="00823E67"/>
    <w:rsid w:val="00826045"/>
    <w:rsid w:val="00826EE3"/>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E78"/>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91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48AC"/>
    <w:rsid w:val="009252D3"/>
    <w:rsid w:val="00926002"/>
    <w:rsid w:val="00927BFA"/>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05A6"/>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D78B1"/>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4A4"/>
    <w:rsid w:val="00A321F9"/>
    <w:rsid w:val="00A34AEC"/>
    <w:rsid w:val="00A35AFD"/>
    <w:rsid w:val="00A3659B"/>
    <w:rsid w:val="00A40295"/>
    <w:rsid w:val="00A40731"/>
    <w:rsid w:val="00A40A39"/>
    <w:rsid w:val="00A429D5"/>
    <w:rsid w:val="00A42E39"/>
    <w:rsid w:val="00A433E2"/>
    <w:rsid w:val="00A438F2"/>
    <w:rsid w:val="00A448EF"/>
    <w:rsid w:val="00A4598C"/>
    <w:rsid w:val="00A46087"/>
    <w:rsid w:val="00A510EE"/>
    <w:rsid w:val="00A51638"/>
    <w:rsid w:val="00A52A4E"/>
    <w:rsid w:val="00A5343C"/>
    <w:rsid w:val="00A55081"/>
    <w:rsid w:val="00A5538B"/>
    <w:rsid w:val="00A57796"/>
    <w:rsid w:val="00A57AB1"/>
    <w:rsid w:val="00A635D9"/>
    <w:rsid w:val="00A645C6"/>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9FE"/>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23F"/>
    <w:rsid w:val="00B11C89"/>
    <w:rsid w:val="00B134C7"/>
    <w:rsid w:val="00B136CC"/>
    <w:rsid w:val="00B143BA"/>
    <w:rsid w:val="00B17521"/>
    <w:rsid w:val="00B17683"/>
    <w:rsid w:val="00B20FAA"/>
    <w:rsid w:val="00B21806"/>
    <w:rsid w:val="00B21B0E"/>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63"/>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5CF4"/>
    <w:rsid w:val="00BB6BE1"/>
    <w:rsid w:val="00BC392E"/>
    <w:rsid w:val="00BC60A6"/>
    <w:rsid w:val="00BC62E0"/>
    <w:rsid w:val="00BC6FBF"/>
    <w:rsid w:val="00BD00D9"/>
    <w:rsid w:val="00BD1886"/>
    <w:rsid w:val="00BD23E3"/>
    <w:rsid w:val="00BD40BC"/>
    <w:rsid w:val="00BD6234"/>
    <w:rsid w:val="00BD6583"/>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30"/>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4DAB"/>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2BB"/>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76A"/>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4D22"/>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910"/>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1EE4"/>
    <w:rsid w:val="00D92D94"/>
    <w:rsid w:val="00D961DB"/>
    <w:rsid w:val="00DA0625"/>
    <w:rsid w:val="00DA07DD"/>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9CE"/>
    <w:rsid w:val="00DF4C70"/>
    <w:rsid w:val="00DF4D56"/>
    <w:rsid w:val="00DF63EB"/>
    <w:rsid w:val="00DF78BC"/>
    <w:rsid w:val="00E0212C"/>
    <w:rsid w:val="00E02A20"/>
    <w:rsid w:val="00E030AE"/>
    <w:rsid w:val="00E0319A"/>
    <w:rsid w:val="00E04587"/>
    <w:rsid w:val="00E04EFF"/>
    <w:rsid w:val="00E04F29"/>
    <w:rsid w:val="00E05116"/>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5D52"/>
    <w:rsid w:val="00E304E3"/>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31C"/>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4E17"/>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3E3"/>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A2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4CE0"/>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49A"/>
    <w:rPr>
      <w:strike w:val="0"/>
      <w:dstrike w:val="0"/>
      <w:color w:val="004B91"/>
      <w:u w:val="none"/>
      <w:effect w:val="none"/>
    </w:rPr>
  </w:style>
  <w:style w:type="paragraph" w:styleId="BalloonText">
    <w:name w:val="Balloon Text"/>
    <w:basedOn w:val="Normal"/>
    <w:link w:val="BalloonTextChar"/>
    <w:uiPriority w:val="99"/>
    <w:semiHidden/>
    <w:unhideWhenUsed/>
    <w:rsid w:val="007F34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9A"/>
    <w:rPr>
      <w:rFonts w:ascii="Tahoma" w:hAnsi="Tahoma" w:cs="Tahoma"/>
      <w:sz w:val="16"/>
      <w:szCs w:val="16"/>
    </w:rPr>
  </w:style>
  <w:style w:type="paragraph" w:styleId="FootnoteText">
    <w:name w:val="footnote text"/>
    <w:basedOn w:val="Normal"/>
    <w:link w:val="FootnoteTextChar"/>
    <w:uiPriority w:val="99"/>
    <w:semiHidden/>
    <w:unhideWhenUsed/>
    <w:rsid w:val="00BF5530"/>
    <w:pPr>
      <w:spacing w:line="240" w:lineRule="auto"/>
    </w:pPr>
    <w:rPr>
      <w:sz w:val="20"/>
      <w:szCs w:val="20"/>
    </w:rPr>
  </w:style>
  <w:style w:type="character" w:customStyle="1" w:styleId="FootnoteTextChar">
    <w:name w:val="Footnote Text Char"/>
    <w:basedOn w:val="DefaultParagraphFont"/>
    <w:link w:val="FootnoteText"/>
    <w:uiPriority w:val="99"/>
    <w:semiHidden/>
    <w:rsid w:val="00BF5530"/>
    <w:rPr>
      <w:sz w:val="20"/>
      <w:szCs w:val="20"/>
    </w:rPr>
  </w:style>
  <w:style w:type="character" w:styleId="FootnoteReference">
    <w:name w:val="footnote reference"/>
    <w:basedOn w:val="DefaultParagraphFont"/>
    <w:uiPriority w:val="99"/>
    <w:semiHidden/>
    <w:unhideWhenUsed/>
    <w:rsid w:val="00BF5530"/>
    <w:rPr>
      <w:vertAlign w:val="superscript"/>
    </w:rPr>
  </w:style>
  <w:style w:type="paragraph" w:styleId="Header">
    <w:name w:val="header"/>
    <w:basedOn w:val="Normal"/>
    <w:link w:val="HeaderChar"/>
    <w:uiPriority w:val="99"/>
    <w:unhideWhenUsed/>
    <w:rsid w:val="006F1702"/>
    <w:pPr>
      <w:tabs>
        <w:tab w:val="center" w:pos="4680"/>
        <w:tab w:val="right" w:pos="9360"/>
      </w:tabs>
      <w:spacing w:line="240" w:lineRule="auto"/>
    </w:pPr>
  </w:style>
  <w:style w:type="character" w:customStyle="1" w:styleId="HeaderChar">
    <w:name w:val="Header Char"/>
    <w:basedOn w:val="DefaultParagraphFont"/>
    <w:link w:val="Header"/>
    <w:uiPriority w:val="99"/>
    <w:rsid w:val="006F1702"/>
  </w:style>
  <w:style w:type="paragraph" w:styleId="Footer">
    <w:name w:val="footer"/>
    <w:basedOn w:val="Normal"/>
    <w:link w:val="FooterChar"/>
    <w:uiPriority w:val="99"/>
    <w:unhideWhenUsed/>
    <w:rsid w:val="006F1702"/>
    <w:pPr>
      <w:tabs>
        <w:tab w:val="center" w:pos="4680"/>
        <w:tab w:val="right" w:pos="9360"/>
      </w:tabs>
      <w:spacing w:line="240" w:lineRule="auto"/>
    </w:pPr>
  </w:style>
  <w:style w:type="character" w:customStyle="1" w:styleId="FooterChar">
    <w:name w:val="Footer Char"/>
    <w:basedOn w:val="DefaultParagraphFont"/>
    <w:link w:val="Footer"/>
    <w:uiPriority w:val="99"/>
    <w:rsid w:val="006F1702"/>
  </w:style>
  <w:style w:type="paragraph" w:styleId="ListParagraph">
    <w:name w:val="List Paragraph"/>
    <w:basedOn w:val="Normal"/>
    <w:uiPriority w:val="34"/>
    <w:qFormat/>
    <w:rsid w:val="00176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49A"/>
    <w:rPr>
      <w:strike w:val="0"/>
      <w:dstrike w:val="0"/>
      <w:color w:val="004B91"/>
      <w:u w:val="none"/>
      <w:effect w:val="none"/>
    </w:rPr>
  </w:style>
  <w:style w:type="paragraph" w:styleId="BalloonText">
    <w:name w:val="Balloon Text"/>
    <w:basedOn w:val="Normal"/>
    <w:link w:val="BalloonTextChar"/>
    <w:uiPriority w:val="99"/>
    <w:semiHidden/>
    <w:unhideWhenUsed/>
    <w:rsid w:val="007F34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9A"/>
    <w:rPr>
      <w:rFonts w:ascii="Tahoma" w:hAnsi="Tahoma" w:cs="Tahoma"/>
      <w:sz w:val="16"/>
      <w:szCs w:val="16"/>
    </w:rPr>
  </w:style>
  <w:style w:type="paragraph" w:styleId="FootnoteText">
    <w:name w:val="footnote text"/>
    <w:basedOn w:val="Normal"/>
    <w:link w:val="FootnoteTextChar"/>
    <w:uiPriority w:val="99"/>
    <w:semiHidden/>
    <w:unhideWhenUsed/>
    <w:rsid w:val="00BF5530"/>
    <w:pPr>
      <w:spacing w:line="240" w:lineRule="auto"/>
    </w:pPr>
    <w:rPr>
      <w:sz w:val="20"/>
      <w:szCs w:val="20"/>
    </w:rPr>
  </w:style>
  <w:style w:type="character" w:customStyle="1" w:styleId="FootnoteTextChar">
    <w:name w:val="Footnote Text Char"/>
    <w:basedOn w:val="DefaultParagraphFont"/>
    <w:link w:val="FootnoteText"/>
    <w:uiPriority w:val="99"/>
    <w:semiHidden/>
    <w:rsid w:val="00BF5530"/>
    <w:rPr>
      <w:sz w:val="20"/>
      <w:szCs w:val="20"/>
    </w:rPr>
  </w:style>
  <w:style w:type="character" w:styleId="FootnoteReference">
    <w:name w:val="footnote reference"/>
    <w:basedOn w:val="DefaultParagraphFont"/>
    <w:uiPriority w:val="99"/>
    <w:semiHidden/>
    <w:unhideWhenUsed/>
    <w:rsid w:val="00BF5530"/>
    <w:rPr>
      <w:vertAlign w:val="superscript"/>
    </w:rPr>
  </w:style>
  <w:style w:type="paragraph" w:styleId="Header">
    <w:name w:val="header"/>
    <w:basedOn w:val="Normal"/>
    <w:link w:val="HeaderChar"/>
    <w:uiPriority w:val="99"/>
    <w:unhideWhenUsed/>
    <w:rsid w:val="006F1702"/>
    <w:pPr>
      <w:tabs>
        <w:tab w:val="center" w:pos="4680"/>
        <w:tab w:val="right" w:pos="9360"/>
      </w:tabs>
      <w:spacing w:line="240" w:lineRule="auto"/>
    </w:pPr>
  </w:style>
  <w:style w:type="character" w:customStyle="1" w:styleId="HeaderChar">
    <w:name w:val="Header Char"/>
    <w:basedOn w:val="DefaultParagraphFont"/>
    <w:link w:val="Header"/>
    <w:uiPriority w:val="99"/>
    <w:rsid w:val="006F1702"/>
  </w:style>
  <w:style w:type="paragraph" w:styleId="Footer">
    <w:name w:val="footer"/>
    <w:basedOn w:val="Normal"/>
    <w:link w:val="FooterChar"/>
    <w:uiPriority w:val="99"/>
    <w:unhideWhenUsed/>
    <w:rsid w:val="006F1702"/>
    <w:pPr>
      <w:tabs>
        <w:tab w:val="center" w:pos="4680"/>
        <w:tab w:val="right" w:pos="9360"/>
      </w:tabs>
      <w:spacing w:line="240" w:lineRule="auto"/>
    </w:pPr>
  </w:style>
  <w:style w:type="character" w:customStyle="1" w:styleId="FooterChar">
    <w:name w:val="Footer Char"/>
    <w:basedOn w:val="DefaultParagraphFont"/>
    <w:link w:val="Footer"/>
    <w:uiPriority w:val="99"/>
    <w:rsid w:val="006F1702"/>
  </w:style>
  <w:style w:type="paragraph" w:styleId="ListParagraph">
    <w:name w:val="List Paragraph"/>
    <w:basedOn w:val="Normal"/>
    <w:uiPriority w:val="34"/>
    <w:qFormat/>
    <w:rsid w:val="00176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8872105b304ec7b9345d7e70e8285000&amp;_xfercite=%3ccite%20cc%3d%22USA%22%3e%3c%21%5bCDATA%5b2013%20Pa.%20Commw.%20LEXIS%204%5d%5d%3e%3c%2fcite%3e&amp;_butType=3&amp;_butStat=2&amp;_butNum=45&amp;_butInline=1&amp;_butinfo=%3ccite%20cc%3d%22USA%22%3e%3c%21%5bCDATA%5b563%20Pa.%20146%2c%20163%5d%5d%3e%3c%2fcite%3e&amp;_fmtstr=FULL&amp;docnum=1&amp;_startdoc=1&amp;wchp=dGLzVzB-zSkAl&amp;_md5=3ccffd1c4b81c7f6e281bd3d3f5b605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8872105b304ec7b9345d7e70e8285000&amp;_xfercite=%3ccite%20cc%3d%22USA%22%3e%3c%21%5bCDATA%5b2013%20Pa.%20Commw.%20LEXIS%204%5d%5d%3e%3c%2fcite%3e&amp;_butType=4&amp;_butStat=0&amp;_butNum=43&amp;_butInline=1&amp;_butinfo=66%20PA.C.S.%201529.1&amp;_fmtstr=FULL&amp;docnum=1&amp;_startdoc=1&amp;wchp=dGLzVzB-zSkAl&amp;_md5=340bd840f899e62fa0bb511f0219cd4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xis.com/research/buttonTFLink?_m=8872105b304ec7b9345d7e70e8285000&amp;_xfercite=%3ccite%20cc%3d%22USA%22%3e%3c%21%5bCDATA%5b2013%20Pa.%20Commw.%20LEXIS%204%5d%5d%3e%3c%2fcite%3e&amp;_butType=4&amp;_butStat=0&amp;_butNum=42&amp;_butInline=1&amp;_butinfo=66%20PA.C.S.%201529.1&amp;_fmtstr=FULL&amp;docnum=1&amp;_startdoc=1&amp;wchp=dGLzVzB-zSkAl&amp;_md5=b78a6422a6c0633f5cd81ecc6eebec5c" TargetMode="External"/><Relationship Id="rId4" Type="http://schemas.microsoft.com/office/2007/relationships/stylesWithEffects" Target="stylesWithEffects.xml"/><Relationship Id="rId9" Type="http://schemas.openxmlformats.org/officeDocument/2006/relationships/hyperlink" Target="https://www.lexis.com/research/buttonTFLink?_m=8872105b304ec7b9345d7e70e8285000&amp;_xfercite=%3ccite%20cc%3d%22USA%22%3e%3c%21%5bCDATA%5b2013%20Pa.%20Commw.%20LEXIS%204%5d%5d%3e%3c%2fcite%3e&amp;_butType=4&amp;_butStat=0&amp;_butNum=36&amp;_butInline=1&amp;_butinfo=66%20PA.C.S.%201529.1&amp;_fmtstr=FULL&amp;docnum=1&amp;_startdoc=1&amp;wchp=dGLzVzB-zSkAl&amp;_md5=accd0e0daae67d6d1b6d1b67529c02e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CE12-ACA4-48DB-8865-2938EB73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2014-04-03T17:19:00Z</cp:lastPrinted>
  <dcterms:created xsi:type="dcterms:W3CDTF">2015-09-15T16:51:00Z</dcterms:created>
  <dcterms:modified xsi:type="dcterms:W3CDTF">2015-09-15T16:54:00Z</dcterms:modified>
</cp:coreProperties>
</file>