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62" w:rsidRPr="0017046A" w:rsidRDefault="00E10E62" w:rsidP="0017046A">
      <w:pPr>
        <w:spacing w:after="0" w:line="240" w:lineRule="auto"/>
        <w:jc w:val="center"/>
        <w:rPr>
          <w:rFonts w:ascii="Times New Roman" w:eastAsia="Times New Roman" w:hAnsi="Times New Roman" w:cs="Times New Roman"/>
          <w:b/>
          <w:sz w:val="24"/>
          <w:szCs w:val="24"/>
        </w:rPr>
      </w:pPr>
      <w:r w:rsidRPr="0017046A">
        <w:rPr>
          <w:rFonts w:ascii="Times New Roman" w:eastAsia="Times New Roman" w:hAnsi="Times New Roman" w:cs="Times New Roman"/>
          <w:b/>
          <w:sz w:val="24"/>
          <w:szCs w:val="24"/>
        </w:rPr>
        <w:t>BEFORE THE</w:t>
      </w:r>
    </w:p>
    <w:p w:rsidR="00E10E62" w:rsidRPr="0017046A" w:rsidRDefault="00E10E62" w:rsidP="0017046A">
      <w:pPr>
        <w:spacing w:after="0" w:line="240" w:lineRule="auto"/>
        <w:jc w:val="center"/>
        <w:rPr>
          <w:rFonts w:ascii="Times New Roman" w:eastAsia="Times New Roman" w:hAnsi="Times New Roman" w:cs="Times New Roman"/>
          <w:b/>
          <w:sz w:val="24"/>
          <w:szCs w:val="24"/>
        </w:rPr>
      </w:pPr>
      <w:r w:rsidRPr="0017046A">
        <w:rPr>
          <w:rFonts w:ascii="Times New Roman" w:eastAsia="Times New Roman" w:hAnsi="Times New Roman" w:cs="Times New Roman"/>
          <w:b/>
          <w:sz w:val="24"/>
          <w:szCs w:val="24"/>
        </w:rPr>
        <w:t>PENNSYLVANIA PUBLIC UTILITY COMMISSION</w:t>
      </w:r>
    </w:p>
    <w:p w:rsidR="00E10E62" w:rsidRPr="0017046A" w:rsidRDefault="00E10E62" w:rsidP="0017046A">
      <w:pPr>
        <w:spacing w:after="0" w:line="240" w:lineRule="auto"/>
        <w:jc w:val="both"/>
        <w:rPr>
          <w:rFonts w:ascii="Times New Roman" w:eastAsia="Times New Roman" w:hAnsi="Times New Roman" w:cs="Times New Roman"/>
          <w:sz w:val="24"/>
          <w:szCs w:val="24"/>
        </w:rPr>
      </w:pPr>
    </w:p>
    <w:p w:rsidR="00E10E62" w:rsidRPr="0017046A" w:rsidRDefault="00E10E62" w:rsidP="0017046A">
      <w:pPr>
        <w:spacing w:after="0" w:line="240" w:lineRule="auto"/>
        <w:jc w:val="both"/>
        <w:rPr>
          <w:rFonts w:ascii="Times New Roman" w:eastAsia="Times New Roman" w:hAnsi="Times New Roman" w:cs="Times New Roman"/>
          <w:sz w:val="24"/>
          <w:szCs w:val="24"/>
        </w:rPr>
      </w:pPr>
    </w:p>
    <w:p w:rsidR="00E10E62" w:rsidRPr="0017046A" w:rsidRDefault="00E10E62" w:rsidP="0017046A">
      <w:pPr>
        <w:spacing w:after="0" w:line="240" w:lineRule="auto"/>
        <w:jc w:val="both"/>
        <w:rPr>
          <w:rFonts w:ascii="Times New Roman" w:eastAsia="Times New Roman" w:hAnsi="Times New Roman" w:cs="Times New Roman"/>
          <w:sz w:val="24"/>
          <w:szCs w:val="24"/>
        </w:rPr>
      </w:pPr>
    </w:p>
    <w:p w:rsidR="00E10E62" w:rsidRPr="0017046A" w:rsidRDefault="00E10E62" w:rsidP="0017046A">
      <w:pPr>
        <w:spacing w:after="0" w:line="240" w:lineRule="auto"/>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Melba Dawson</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p>
    <w:p w:rsidR="00E10E62" w:rsidRPr="0017046A" w:rsidRDefault="00E10E62" w:rsidP="0017046A">
      <w:pPr>
        <w:spacing w:after="0" w:line="240" w:lineRule="auto"/>
        <w:ind w:left="1440" w:firstLine="720"/>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p>
    <w:p w:rsidR="00E10E62" w:rsidRPr="0017046A" w:rsidRDefault="00E10E62" w:rsidP="0017046A">
      <w:pPr>
        <w:spacing w:after="0" w:line="240" w:lineRule="auto"/>
        <w:ind w:firstLine="720"/>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v.</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F-2014-2455608</w:t>
      </w:r>
    </w:p>
    <w:p w:rsidR="00E10E62" w:rsidRPr="0017046A" w:rsidRDefault="00E10E62" w:rsidP="0017046A">
      <w:pPr>
        <w:spacing w:after="0" w:line="240" w:lineRule="auto"/>
        <w:ind w:left="4320" w:firstLine="720"/>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w:t>
      </w:r>
    </w:p>
    <w:p w:rsidR="00E10E62" w:rsidRPr="0017046A" w:rsidRDefault="00E10E62" w:rsidP="0017046A">
      <w:pPr>
        <w:spacing w:after="0" w:line="240" w:lineRule="auto"/>
        <w:jc w:val="both"/>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Philadelphia Gas Works </w:t>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w:t>
      </w:r>
    </w:p>
    <w:p w:rsidR="00E10E62" w:rsidRPr="0017046A" w:rsidRDefault="00E10E62" w:rsidP="0017046A">
      <w:pPr>
        <w:spacing w:after="0" w:line="240" w:lineRule="auto"/>
        <w:jc w:val="both"/>
        <w:rPr>
          <w:rFonts w:ascii="Times New Roman" w:eastAsia="Times New Roman" w:hAnsi="Times New Roman" w:cs="Times New Roman"/>
          <w:sz w:val="24"/>
          <w:szCs w:val="24"/>
        </w:rPr>
      </w:pPr>
    </w:p>
    <w:p w:rsidR="00E10E62" w:rsidRDefault="00E10E62" w:rsidP="0017046A">
      <w:pPr>
        <w:spacing w:after="0" w:line="240" w:lineRule="auto"/>
        <w:jc w:val="both"/>
        <w:rPr>
          <w:rFonts w:ascii="Times New Roman" w:eastAsia="Times New Roman" w:hAnsi="Times New Roman" w:cs="Times New Roman"/>
          <w:sz w:val="24"/>
          <w:szCs w:val="24"/>
        </w:rPr>
      </w:pPr>
    </w:p>
    <w:p w:rsidR="0017046A" w:rsidRPr="0017046A" w:rsidRDefault="0017046A" w:rsidP="0017046A">
      <w:pPr>
        <w:spacing w:after="0" w:line="240" w:lineRule="auto"/>
        <w:jc w:val="both"/>
        <w:rPr>
          <w:rFonts w:ascii="Times New Roman" w:eastAsia="Times New Roman" w:hAnsi="Times New Roman" w:cs="Times New Roman"/>
          <w:sz w:val="24"/>
          <w:szCs w:val="24"/>
        </w:rPr>
      </w:pPr>
    </w:p>
    <w:p w:rsidR="00E10E62" w:rsidRPr="0017046A" w:rsidRDefault="00E10E62" w:rsidP="0017046A">
      <w:pPr>
        <w:keepNext/>
        <w:spacing w:after="0" w:line="240" w:lineRule="auto"/>
        <w:jc w:val="center"/>
        <w:outlineLvl w:val="0"/>
        <w:rPr>
          <w:rFonts w:ascii="Times New Roman" w:eastAsia="Times New Roman" w:hAnsi="Times New Roman" w:cs="Times New Roman"/>
          <w:b/>
          <w:sz w:val="24"/>
          <w:szCs w:val="24"/>
          <w:u w:val="single"/>
        </w:rPr>
      </w:pPr>
      <w:r w:rsidRPr="0017046A">
        <w:rPr>
          <w:rFonts w:ascii="Times New Roman" w:eastAsia="Times New Roman" w:hAnsi="Times New Roman" w:cs="Times New Roman"/>
          <w:b/>
          <w:sz w:val="24"/>
          <w:szCs w:val="24"/>
          <w:u w:val="single"/>
        </w:rPr>
        <w:t>INITIAL DECISION</w:t>
      </w:r>
    </w:p>
    <w:p w:rsidR="00E10E62" w:rsidRPr="0017046A" w:rsidRDefault="00E10E62" w:rsidP="0017046A">
      <w:pPr>
        <w:spacing w:after="0" w:line="240" w:lineRule="auto"/>
        <w:jc w:val="center"/>
        <w:rPr>
          <w:rFonts w:ascii="Times New Roman" w:eastAsia="Times New Roman" w:hAnsi="Times New Roman" w:cs="Times New Roman"/>
          <w:sz w:val="24"/>
          <w:szCs w:val="24"/>
        </w:rPr>
      </w:pPr>
    </w:p>
    <w:p w:rsidR="00E10E62" w:rsidRPr="0017046A" w:rsidRDefault="00E10E62" w:rsidP="0017046A">
      <w:pPr>
        <w:spacing w:after="0" w:line="240" w:lineRule="auto"/>
        <w:jc w:val="center"/>
        <w:rPr>
          <w:rFonts w:ascii="Times New Roman" w:eastAsia="Times New Roman" w:hAnsi="Times New Roman" w:cs="Times New Roman"/>
          <w:sz w:val="24"/>
          <w:szCs w:val="24"/>
        </w:rPr>
      </w:pPr>
    </w:p>
    <w:p w:rsidR="00E10E62" w:rsidRPr="0017046A" w:rsidRDefault="00E10E62" w:rsidP="0017046A">
      <w:pPr>
        <w:spacing w:after="0" w:line="240" w:lineRule="auto"/>
        <w:jc w:val="center"/>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Before</w:t>
      </w:r>
    </w:p>
    <w:p w:rsidR="00E10E62" w:rsidRPr="0017046A" w:rsidRDefault="00E10E62" w:rsidP="0017046A">
      <w:pPr>
        <w:spacing w:after="0" w:line="240" w:lineRule="auto"/>
        <w:jc w:val="center"/>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Eranda Vero</w:t>
      </w:r>
    </w:p>
    <w:p w:rsidR="00E10E62" w:rsidRPr="0017046A" w:rsidRDefault="00E10E62" w:rsidP="0017046A">
      <w:pPr>
        <w:spacing w:after="0" w:line="240" w:lineRule="auto"/>
        <w:jc w:val="center"/>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Administrative Law Judge</w:t>
      </w:r>
    </w:p>
    <w:p w:rsidR="00E10E62" w:rsidRPr="0017046A" w:rsidRDefault="00E10E62" w:rsidP="0017046A">
      <w:pPr>
        <w:spacing w:after="0" w:line="240" w:lineRule="auto"/>
        <w:jc w:val="center"/>
        <w:rPr>
          <w:rFonts w:ascii="Times New Roman" w:eastAsia="Times New Roman" w:hAnsi="Times New Roman" w:cs="Times New Roman"/>
          <w:sz w:val="24"/>
          <w:szCs w:val="24"/>
        </w:rPr>
      </w:pPr>
    </w:p>
    <w:p w:rsidR="00E10E62" w:rsidRPr="0017046A" w:rsidRDefault="00E10E62" w:rsidP="0017046A">
      <w:pPr>
        <w:spacing w:after="0" w:line="240" w:lineRule="auto"/>
        <w:jc w:val="center"/>
        <w:rPr>
          <w:rFonts w:ascii="Times New Roman" w:eastAsia="Times New Roman" w:hAnsi="Times New Roman" w:cs="Times New Roman"/>
          <w:sz w:val="24"/>
          <w:szCs w:val="24"/>
        </w:rPr>
      </w:pPr>
    </w:p>
    <w:p w:rsidR="00E10E62" w:rsidRPr="0017046A" w:rsidRDefault="00E10E62" w:rsidP="0017046A">
      <w:pPr>
        <w:spacing w:after="0" w:line="360" w:lineRule="auto"/>
        <w:jc w:val="center"/>
        <w:rPr>
          <w:rFonts w:ascii="Times New Roman" w:eastAsia="Times New Roman" w:hAnsi="Times New Roman" w:cs="Times New Roman"/>
          <w:caps/>
          <w:sz w:val="24"/>
          <w:szCs w:val="24"/>
          <w:u w:val="single"/>
        </w:rPr>
      </w:pPr>
      <w:r w:rsidRPr="0017046A">
        <w:rPr>
          <w:rFonts w:ascii="Times New Roman" w:eastAsia="Times New Roman" w:hAnsi="Times New Roman" w:cs="Times New Roman"/>
          <w:caps/>
          <w:sz w:val="24"/>
          <w:szCs w:val="24"/>
          <w:u w:val="single"/>
        </w:rPr>
        <w:t>history of the proceeding</w:t>
      </w:r>
    </w:p>
    <w:p w:rsidR="00E10E62" w:rsidRPr="0017046A" w:rsidRDefault="00E10E62" w:rsidP="0017046A">
      <w:pPr>
        <w:spacing w:after="0" w:line="360" w:lineRule="auto"/>
        <w:jc w:val="center"/>
        <w:rPr>
          <w:rFonts w:ascii="Times New Roman" w:eastAsia="Times New Roman" w:hAnsi="Times New Roman" w:cs="Times New Roman"/>
          <w:caps/>
          <w:sz w:val="24"/>
          <w:szCs w:val="24"/>
          <w:u w:val="single"/>
        </w:rPr>
      </w:pPr>
    </w:p>
    <w:p w:rsidR="00E10E62" w:rsidRPr="0017046A" w:rsidRDefault="00E10E62"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Calibri" w:hAnsi="Times New Roman" w:cs="Times New Roman"/>
          <w:sz w:val="24"/>
          <w:szCs w:val="24"/>
        </w:rPr>
        <w:t xml:space="preserve">This decision denies the formal Complaint which </w:t>
      </w:r>
      <w:r w:rsidRPr="0017046A">
        <w:rPr>
          <w:rFonts w:ascii="Times New Roman" w:eastAsia="Times New Roman" w:hAnsi="Times New Roman" w:cs="Times New Roman"/>
          <w:spacing w:val="-3"/>
          <w:sz w:val="24"/>
          <w:szCs w:val="24"/>
        </w:rPr>
        <w:t xml:space="preserve">Melba Dawson </w:t>
      </w:r>
      <w:r w:rsidRPr="0017046A">
        <w:rPr>
          <w:rFonts w:ascii="Times New Roman" w:eastAsia="Times New Roman" w:hAnsi="Times New Roman" w:cs="Times New Roman"/>
          <w:sz w:val="24"/>
          <w:szCs w:val="24"/>
        </w:rPr>
        <w:t xml:space="preserve">(Ms. Dawson or Complainant) </w:t>
      </w:r>
      <w:r w:rsidRPr="0017046A">
        <w:rPr>
          <w:rFonts w:ascii="Times New Roman" w:eastAsia="Calibri" w:hAnsi="Times New Roman" w:cs="Times New Roman"/>
          <w:sz w:val="24"/>
          <w:szCs w:val="24"/>
        </w:rPr>
        <w:t xml:space="preserve">filed with the Pennsylvania Public Utility Commission (Commission) against Philadelphia Gas Works (Respondent, PGW, or the Company) on November 13, 2014, at Docket No. F-2014-2455608.  The Complainant alleges </w:t>
      </w:r>
      <w:r w:rsidRPr="0017046A">
        <w:rPr>
          <w:rFonts w:ascii="Times New Roman" w:eastAsia="Times New Roman" w:hAnsi="Times New Roman" w:cs="Times New Roman"/>
          <w:sz w:val="24"/>
          <w:szCs w:val="24"/>
        </w:rPr>
        <w:t xml:space="preserve">that there are incorrect charges on her gas bills.  In particular, Ms. Dawson alleges that she did not have a heater until January 13, 2014, yet her February 14, 2014 gas bill was $525.67, and her March 22, 2014 bill was $333.05.  She avers that she conserves energy and that these bills are very high for a row house.  As relief, she requests that the Respondent issue corrected bills and </w:t>
      </w:r>
      <w:r w:rsidR="007F7428" w:rsidRPr="0017046A">
        <w:rPr>
          <w:rFonts w:ascii="Times New Roman" w:eastAsia="Times New Roman" w:hAnsi="Times New Roman" w:cs="Times New Roman"/>
          <w:sz w:val="24"/>
          <w:szCs w:val="24"/>
        </w:rPr>
        <w:t xml:space="preserve">refund </w:t>
      </w:r>
      <w:r w:rsidRPr="0017046A">
        <w:rPr>
          <w:rFonts w:ascii="Times New Roman" w:eastAsia="Times New Roman" w:hAnsi="Times New Roman" w:cs="Times New Roman"/>
          <w:sz w:val="24"/>
          <w:szCs w:val="24"/>
        </w:rPr>
        <w:t>any overpayment to her account.  She also requests to be refunded the $10.00 charge for the new meter that was installed at her property although her old meter was working properly.</w:t>
      </w:r>
    </w:p>
    <w:p w:rsidR="00FD30A9" w:rsidRPr="0017046A" w:rsidRDefault="00FD30A9" w:rsidP="0017046A">
      <w:pPr>
        <w:spacing w:after="0" w:line="360" w:lineRule="auto"/>
        <w:ind w:firstLine="1440"/>
        <w:rPr>
          <w:rFonts w:ascii="Times New Roman" w:eastAsia="Times New Roman" w:hAnsi="Times New Roman" w:cs="Times New Roman"/>
          <w:sz w:val="24"/>
          <w:szCs w:val="24"/>
        </w:rPr>
      </w:pPr>
    </w:p>
    <w:p w:rsidR="00FD30A9" w:rsidRDefault="00FD30A9"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This formal Complaint is an appeal to the informal decision issued by the Commission’s Bureau of Consumer Services (BCS) at BCS # 3220721.</w:t>
      </w:r>
    </w:p>
    <w:p w:rsidR="00D75783" w:rsidRPr="0017046A" w:rsidRDefault="00D75783" w:rsidP="0017046A">
      <w:pPr>
        <w:spacing w:after="0" w:line="360" w:lineRule="auto"/>
        <w:ind w:firstLine="1440"/>
        <w:rPr>
          <w:rFonts w:ascii="Times New Roman" w:eastAsia="Times New Roman" w:hAnsi="Times New Roman" w:cs="Times New Roman"/>
          <w:sz w:val="24"/>
          <w:szCs w:val="24"/>
        </w:rPr>
      </w:pPr>
    </w:p>
    <w:p w:rsidR="00E10E62" w:rsidRDefault="00E10E62"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lastRenderedPageBreak/>
        <w:t>On December 22, 2014, the Respondent filed an Answer denying the material allegations of the Complaint.</w:t>
      </w:r>
    </w:p>
    <w:p w:rsidR="00D75783" w:rsidRPr="0017046A" w:rsidRDefault="00D75783" w:rsidP="0017046A">
      <w:pPr>
        <w:spacing w:after="0" w:line="360" w:lineRule="auto"/>
        <w:ind w:firstLine="1440"/>
        <w:rPr>
          <w:rFonts w:ascii="Times New Roman" w:eastAsia="Times New Roman" w:hAnsi="Times New Roman" w:cs="Times New Roman"/>
          <w:sz w:val="24"/>
          <w:szCs w:val="24"/>
        </w:rPr>
      </w:pPr>
    </w:p>
    <w:p w:rsidR="00E10E62" w:rsidRPr="0017046A" w:rsidRDefault="00E10E62" w:rsidP="0017046A">
      <w:pPr>
        <w:spacing w:after="0" w:line="360" w:lineRule="auto"/>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ab/>
      </w:r>
      <w:r w:rsidRPr="0017046A">
        <w:rPr>
          <w:rFonts w:ascii="Times New Roman" w:eastAsia="Times New Roman" w:hAnsi="Times New Roman" w:cs="Times New Roman"/>
          <w:sz w:val="24"/>
          <w:szCs w:val="24"/>
        </w:rPr>
        <w:tab/>
        <w:t>A Hearing Notice dated February 25, 2015, notified the parties that an initial hearing was scheduled for Tuesday, April 7, 2015, at 10:00 a.m.</w:t>
      </w:r>
    </w:p>
    <w:p w:rsidR="00E10E62" w:rsidRPr="0017046A" w:rsidRDefault="00E10E62" w:rsidP="0017046A">
      <w:pPr>
        <w:spacing w:after="0" w:line="360" w:lineRule="auto"/>
        <w:rPr>
          <w:rFonts w:ascii="Times New Roman" w:eastAsia="Times New Roman" w:hAnsi="Times New Roman" w:cs="Times New Roman"/>
          <w:sz w:val="24"/>
          <w:szCs w:val="24"/>
        </w:rPr>
      </w:pPr>
    </w:p>
    <w:p w:rsidR="00E10E62" w:rsidRPr="0017046A" w:rsidRDefault="00E10E62"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A Prehearing Order was issued on March 5, 2015, advising the parties of the date and time of the scheduled hearing, informing them of the procedures applicable to this proceeding, and directing the submission of documents prior to the hearing.</w:t>
      </w:r>
    </w:p>
    <w:p w:rsidR="00E10E62" w:rsidRPr="0017046A"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E10E62" w:rsidRPr="0017046A"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7046A">
        <w:rPr>
          <w:rFonts w:ascii="Times New Roman" w:eastAsia="Calibri" w:hAnsi="Times New Roman" w:cs="Times New Roman"/>
          <w:sz w:val="24"/>
          <w:szCs w:val="24"/>
        </w:rPr>
        <w:t>The initial hearing convened as scheduled</w:t>
      </w:r>
      <w:r w:rsidRPr="0017046A">
        <w:rPr>
          <w:rFonts w:ascii="Times New Roman" w:eastAsia="Times New Roman" w:hAnsi="Times New Roman" w:cs="Times New Roman"/>
          <w:sz w:val="24"/>
          <w:szCs w:val="24"/>
        </w:rPr>
        <w:t xml:space="preserve">.  Melba Dawson appeared </w:t>
      </w:r>
      <w:r w:rsidRPr="0017046A">
        <w:rPr>
          <w:rFonts w:ascii="Times New Roman" w:eastAsia="Times New Roman" w:hAnsi="Times New Roman" w:cs="Times New Roman"/>
          <w:i/>
          <w:sz w:val="24"/>
          <w:szCs w:val="24"/>
        </w:rPr>
        <w:t xml:space="preserve">pro se </w:t>
      </w:r>
      <w:r w:rsidRPr="0017046A">
        <w:rPr>
          <w:rFonts w:ascii="Times New Roman" w:eastAsia="Times New Roman" w:hAnsi="Times New Roman" w:cs="Times New Roman"/>
          <w:sz w:val="24"/>
          <w:szCs w:val="24"/>
        </w:rPr>
        <w:t>and testified in support of the Complaint.  Ms. Dawson sponsored five exhibits (Complainant Exhibits 1-4, and 6)</w:t>
      </w:r>
      <w:r w:rsidR="00640C43" w:rsidRPr="0017046A">
        <w:rPr>
          <w:rFonts w:ascii="Times New Roman" w:eastAsia="Times New Roman" w:hAnsi="Times New Roman" w:cs="Times New Roman"/>
          <w:sz w:val="24"/>
          <w:szCs w:val="24"/>
        </w:rPr>
        <w:t>,</w:t>
      </w:r>
      <w:r w:rsidRPr="0017046A">
        <w:rPr>
          <w:rFonts w:ascii="Times New Roman" w:eastAsia="Times New Roman" w:hAnsi="Times New Roman" w:cs="Times New Roman"/>
          <w:sz w:val="24"/>
          <w:szCs w:val="24"/>
        </w:rPr>
        <w:t xml:space="preserve"> which were admitted into the record.  Graciela Christlieb, Esq. represented the Respondent, and presented the testimony of Jessica Glace, who is a Customer Review Unit Officer with PGW in charge of reviewing and investigating formal and informal complaints filed with the Commission.  The Respondent sponsored seven exhibits (PGW Exhibits 1-7)</w:t>
      </w:r>
      <w:r w:rsidR="00640C43" w:rsidRPr="0017046A">
        <w:rPr>
          <w:rFonts w:ascii="Times New Roman" w:eastAsia="Times New Roman" w:hAnsi="Times New Roman" w:cs="Times New Roman"/>
          <w:sz w:val="24"/>
          <w:szCs w:val="24"/>
        </w:rPr>
        <w:t>,</w:t>
      </w:r>
      <w:r w:rsidRPr="0017046A">
        <w:rPr>
          <w:rFonts w:ascii="Times New Roman" w:eastAsia="Times New Roman" w:hAnsi="Times New Roman" w:cs="Times New Roman"/>
          <w:sz w:val="24"/>
          <w:szCs w:val="24"/>
        </w:rPr>
        <w:t xml:space="preserve"> all of which were admitted into the record.</w:t>
      </w:r>
    </w:p>
    <w:p w:rsidR="00E10E62" w:rsidRPr="0017046A"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E10E62" w:rsidRPr="0017046A"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During the hearing, Ms. Christlieb made a Motion to Dismiss from Ms. Dawson’s Complaint any and all claims that fell outside of the statute of limitation (Motion to Dismiss).  </w:t>
      </w:r>
      <w:r w:rsidR="000B1797" w:rsidRPr="0017046A">
        <w:rPr>
          <w:rFonts w:ascii="Times New Roman" w:eastAsia="Times New Roman" w:hAnsi="Times New Roman" w:cs="Times New Roman"/>
          <w:sz w:val="24"/>
          <w:szCs w:val="24"/>
        </w:rPr>
        <w:t xml:space="preserve">Tr. 26.  </w:t>
      </w:r>
      <w:r w:rsidRPr="0017046A">
        <w:rPr>
          <w:rFonts w:ascii="Times New Roman" w:eastAsia="Times New Roman" w:hAnsi="Times New Roman" w:cs="Times New Roman"/>
          <w:sz w:val="24"/>
          <w:szCs w:val="24"/>
        </w:rPr>
        <w:t xml:space="preserve">After considering the record created during the hearing, I concluded that additional information was needed in order to rule on PGW's Motion to Dismiss.  Consequently, I directed the </w:t>
      </w:r>
      <w:r w:rsidR="00D91B05" w:rsidRPr="0017046A">
        <w:rPr>
          <w:rFonts w:ascii="Times New Roman" w:eastAsia="Times New Roman" w:hAnsi="Times New Roman" w:cs="Times New Roman"/>
          <w:sz w:val="24"/>
          <w:szCs w:val="24"/>
        </w:rPr>
        <w:t>Respondent to submit, as</w:t>
      </w:r>
      <w:r w:rsidRPr="0017046A">
        <w:rPr>
          <w:rFonts w:ascii="Times New Roman" w:eastAsia="Times New Roman" w:hAnsi="Times New Roman" w:cs="Times New Roman"/>
          <w:sz w:val="24"/>
          <w:szCs w:val="24"/>
        </w:rPr>
        <w:t xml:space="preserve"> late-filed exhibits, Ms. Dawson's Statement of Accounts covering the period February 2008 to September 2008, and the Contact History for the Service Address covering the period January 2009 to October 2012.  The parties were instructed that late-filed exhibits were due by April 21, 2015, with written objections due by May 5, 2015.  Tr. 120-21. </w:t>
      </w:r>
    </w:p>
    <w:p w:rsidR="00E10E62" w:rsidRPr="0017046A"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E10E62" w:rsidRPr="0017046A"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On April 15, 2015, PGW submitted Ms. Dawson's Statement of Accounts covering the period 2008 to 2010, and the Contact History for the Service Address covering the period January 2009 to October 2012.  These documents will be identified as PGW late-filed </w:t>
      </w:r>
      <w:r w:rsidRPr="0017046A">
        <w:rPr>
          <w:rFonts w:ascii="Times New Roman" w:eastAsia="Times New Roman" w:hAnsi="Times New Roman" w:cs="Times New Roman"/>
          <w:sz w:val="24"/>
          <w:szCs w:val="24"/>
        </w:rPr>
        <w:lastRenderedPageBreak/>
        <w:t>Exhibits 8 and 9.</w:t>
      </w:r>
      <w:r w:rsidRPr="0017046A">
        <w:rPr>
          <w:rStyle w:val="FootnoteReference"/>
          <w:rFonts w:ascii="Times New Roman" w:eastAsia="Times New Roman" w:hAnsi="Times New Roman" w:cs="Times New Roman"/>
          <w:sz w:val="24"/>
          <w:szCs w:val="24"/>
        </w:rPr>
        <w:footnoteReference w:id="1"/>
      </w:r>
      <w:r w:rsidRPr="0017046A">
        <w:rPr>
          <w:rFonts w:ascii="Times New Roman" w:eastAsia="Times New Roman" w:hAnsi="Times New Roman" w:cs="Times New Roman"/>
          <w:sz w:val="24"/>
          <w:szCs w:val="24"/>
        </w:rPr>
        <w:t xml:space="preserve">  As of the day of this Initial Decision, the Complainant has not submitted any written objections to PGW’s late-filed exhibits.  For this reason, PGW’s late-filed Exhibits 8 and 9 shall be admitted into the record in this matter.</w:t>
      </w:r>
    </w:p>
    <w:p w:rsidR="00E10E62" w:rsidRPr="0017046A" w:rsidRDefault="00E10E62" w:rsidP="0017046A">
      <w:pPr>
        <w:tabs>
          <w:tab w:val="left" w:pos="-1440"/>
          <w:tab w:val="left" w:pos="-720"/>
        </w:tabs>
        <w:suppressAutoHyphens/>
        <w:spacing w:after="0" w:line="360" w:lineRule="auto"/>
        <w:rPr>
          <w:rFonts w:ascii="Times New Roman" w:eastAsia="Times New Roman" w:hAnsi="Times New Roman" w:cs="Times New Roman"/>
          <w:sz w:val="24"/>
          <w:szCs w:val="24"/>
        </w:rPr>
      </w:pPr>
    </w:p>
    <w:p w:rsidR="00E10E62" w:rsidRPr="0017046A"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The record closed on May 7, 2015.</w:t>
      </w:r>
    </w:p>
    <w:p w:rsidR="00E10E62" w:rsidRPr="0017046A" w:rsidRDefault="00E10E62" w:rsidP="0017046A">
      <w:pPr>
        <w:tabs>
          <w:tab w:val="left" w:pos="2160"/>
        </w:tabs>
        <w:spacing w:after="0" w:line="360" w:lineRule="auto"/>
        <w:ind w:firstLine="1440"/>
        <w:rPr>
          <w:rFonts w:ascii="Times New Roman" w:eastAsia="Times New Roman" w:hAnsi="Times New Roman" w:cs="Times New Roman"/>
          <w:sz w:val="24"/>
          <w:szCs w:val="24"/>
        </w:rPr>
      </w:pPr>
    </w:p>
    <w:p w:rsidR="00E10E62" w:rsidRPr="0017046A" w:rsidRDefault="00E10E62" w:rsidP="0017046A">
      <w:pPr>
        <w:spacing w:after="0" w:line="360" w:lineRule="auto"/>
        <w:jc w:val="center"/>
        <w:rPr>
          <w:rFonts w:ascii="Times New Roman" w:eastAsia="Times New Roman" w:hAnsi="Times New Roman" w:cs="Times New Roman"/>
          <w:sz w:val="24"/>
          <w:szCs w:val="24"/>
          <w:u w:val="single"/>
        </w:rPr>
      </w:pPr>
      <w:r w:rsidRPr="0017046A">
        <w:rPr>
          <w:rFonts w:ascii="Times New Roman" w:eastAsia="Times New Roman" w:hAnsi="Times New Roman" w:cs="Times New Roman"/>
          <w:sz w:val="24"/>
          <w:szCs w:val="24"/>
          <w:u w:val="single"/>
        </w:rPr>
        <w:t>FINDINGS OF FACT</w:t>
      </w:r>
    </w:p>
    <w:p w:rsidR="00E10E62" w:rsidRPr="0017046A" w:rsidRDefault="00E10E62" w:rsidP="0017046A">
      <w:pPr>
        <w:spacing w:after="0" w:line="360" w:lineRule="auto"/>
        <w:jc w:val="center"/>
        <w:rPr>
          <w:rFonts w:ascii="Times New Roman" w:eastAsia="Times New Roman" w:hAnsi="Times New Roman" w:cs="Times New Roman"/>
          <w:sz w:val="24"/>
          <w:szCs w:val="24"/>
          <w:u w:val="single"/>
        </w:rPr>
      </w:pPr>
    </w:p>
    <w:p w:rsidR="00E10E62" w:rsidRPr="0017046A" w:rsidRDefault="00E10E62" w:rsidP="0017046A">
      <w:pPr>
        <w:numPr>
          <w:ilvl w:val="0"/>
          <w:numId w:val="1"/>
        </w:numPr>
        <w:spacing w:after="0" w:line="360" w:lineRule="auto"/>
        <w:ind w:left="0"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The Complainant is Melba Dawson, who resides at 929 E. Stafford Street, Philadelphia, PA 19138 (Service Address).  Tr. 7.</w:t>
      </w:r>
    </w:p>
    <w:p w:rsidR="00E10E62" w:rsidRPr="0017046A" w:rsidRDefault="00E10E62" w:rsidP="0017046A">
      <w:pPr>
        <w:spacing w:after="0" w:line="360" w:lineRule="auto"/>
        <w:ind w:firstLine="1440"/>
        <w:rPr>
          <w:rFonts w:ascii="Times New Roman" w:eastAsia="Times New Roman" w:hAnsi="Times New Roman" w:cs="Times New Roman"/>
          <w:sz w:val="24"/>
          <w:szCs w:val="24"/>
        </w:rPr>
      </w:pPr>
    </w:p>
    <w:p w:rsidR="00E10E62" w:rsidRPr="0017046A" w:rsidRDefault="00E10E62" w:rsidP="0017046A">
      <w:pPr>
        <w:numPr>
          <w:ilvl w:val="0"/>
          <w:numId w:val="1"/>
        </w:numPr>
        <w:spacing w:after="0" w:line="360" w:lineRule="auto"/>
        <w:ind w:left="0"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The Respondent is Philadelphia Gas Works.</w:t>
      </w:r>
    </w:p>
    <w:p w:rsidR="00E10E62" w:rsidRPr="0017046A" w:rsidRDefault="00E10E62" w:rsidP="0017046A">
      <w:pPr>
        <w:pStyle w:val="ListParagraph"/>
        <w:spacing w:after="0" w:line="360" w:lineRule="auto"/>
        <w:rPr>
          <w:rFonts w:ascii="Times New Roman" w:eastAsia="Times New Roman" w:hAnsi="Times New Roman" w:cs="Times New Roman"/>
          <w:sz w:val="24"/>
          <w:szCs w:val="24"/>
        </w:rPr>
      </w:pPr>
    </w:p>
    <w:p w:rsidR="00E10E62" w:rsidRPr="0017046A" w:rsidRDefault="00E10E62" w:rsidP="0017046A">
      <w:pPr>
        <w:numPr>
          <w:ilvl w:val="0"/>
          <w:numId w:val="1"/>
        </w:numPr>
        <w:spacing w:after="0" w:line="360" w:lineRule="auto"/>
        <w:ind w:left="0"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The Complainant first established service at the Service Address on</w:t>
      </w:r>
      <w:r w:rsidR="00CD6D92" w:rsidRPr="0017046A">
        <w:rPr>
          <w:rFonts w:ascii="Times New Roman" w:eastAsia="Times New Roman" w:hAnsi="Times New Roman" w:cs="Times New Roman"/>
          <w:sz w:val="24"/>
          <w:szCs w:val="24"/>
        </w:rPr>
        <w:t xml:space="preserve"> December 10, 1998.  Tr. 84</w:t>
      </w:r>
      <w:r w:rsidRPr="0017046A">
        <w:rPr>
          <w:rFonts w:ascii="Times New Roman" w:eastAsia="Times New Roman" w:hAnsi="Times New Roman" w:cs="Times New Roman"/>
          <w:sz w:val="24"/>
          <w:szCs w:val="24"/>
        </w:rPr>
        <w:t>.</w:t>
      </w:r>
      <w:r w:rsidR="00CD6D92" w:rsidRPr="0017046A">
        <w:rPr>
          <w:rFonts w:ascii="Times New Roman" w:eastAsia="Times New Roman" w:hAnsi="Times New Roman" w:cs="Times New Roman"/>
          <w:sz w:val="24"/>
          <w:szCs w:val="24"/>
        </w:rPr>
        <w:t xml:space="preserve"> </w:t>
      </w:r>
    </w:p>
    <w:p w:rsidR="00810795" w:rsidRPr="0017046A" w:rsidRDefault="00810795" w:rsidP="0017046A">
      <w:pPr>
        <w:pStyle w:val="ListParagraph"/>
        <w:spacing w:after="0"/>
        <w:rPr>
          <w:rFonts w:ascii="Times New Roman" w:eastAsia="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4.</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In 2007, Ms. Dawson suffered a stroke which reduced her mobility and rendered her unable to continue to reside by herself at the Service Address.  Tr. 8.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5.</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In April of 2008, Ms. Dawson moved to York House which provides assisted living to senior citizens.  Tr. 8, 28.  </w:t>
      </w:r>
    </w:p>
    <w:p w:rsidR="00EF2DB7" w:rsidRPr="0017046A" w:rsidRDefault="00EF2DB7"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6.</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When Ms. Dawson </w:t>
      </w:r>
      <w:r w:rsidR="0005368A" w:rsidRPr="0017046A">
        <w:rPr>
          <w:rFonts w:ascii="Times New Roman" w:hAnsi="Times New Roman" w:cs="Times New Roman"/>
          <w:sz w:val="24"/>
          <w:szCs w:val="24"/>
        </w:rPr>
        <w:t xml:space="preserve">went to </w:t>
      </w:r>
      <w:r w:rsidR="007F6FDD" w:rsidRPr="0017046A">
        <w:rPr>
          <w:rFonts w:ascii="Times New Roman" w:hAnsi="Times New Roman" w:cs="Times New Roman"/>
          <w:sz w:val="24"/>
          <w:szCs w:val="24"/>
        </w:rPr>
        <w:t xml:space="preserve">York House, she did not ask PGW to turn off her gas service or to </w:t>
      </w:r>
      <w:r w:rsidR="0005368A" w:rsidRPr="0017046A">
        <w:rPr>
          <w:rFonts w:ascii="Times New Roman" w:hAnsi="Times New Roman" w:cs="Times New Roman"/>
          <w:sz w:val="24"/>
          <w:szCs w:val="24"/>
        </w:rPr>
        <w:t xml:space="preserve">mail her gas bills to the </w:t>
      </w:r>
      <w:r w:rsidR="007F6FDD" w:rsidRPr="0017046A">
        <w:rPr>
          <w:rFonts w:ascii="Times New Roman" w:hAnsi="Times New Roman" w:cs="Times New Roman"/>
          <w:sz w:val="24"/>
          <w:szCs w:val="24"/>
        </w:rPr>
        <w:t xml:space="preserve">York House address.  Tr. 11-12, 29.  </w:t>
      </w:r>
    </w:p>
    <w:p w:rsidR="00EF2DB7" w:rsidRPr="0017046A" w:rsidRDefault="00EF2DB7"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7.</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The Service Address remained vacant until the latter half of 2009 when someone broke into the house</w:t>
      </w:r>
      <w:r w:rsidR="007F6FDD" w:rsidRPr="0017046A">
        <w:rPr>
          <w:rFonts w:ascii="Times New Roman" w:hAnsi="Times New Roman" w:cs="Times New Roman"/>
          <w:i/>
          <w:sz w:val="24"/>
          <w:szCs w:val="24"/>
        </w:rPr>
        <w:t xml:space="preserve">.  </w:t>
      </w:r>
      <w:r w:rsidR="007F6FDD" w:rsidRPr="0017046A">
        <w:rPr>
          <w:rFonts w:ascii="Times New Roman" w:hAnsi="Times New Roman" w:cs="Times New Roman"/>
          <w:sz w:val="24"/>
          <w:szCs w:val="24"/>
        </w:rPr>
        <w:t xml:space="preserve">Tr. 8-9.  </w:t>
      </w:r>
    </w:p>
    <w:p w:rsidR="00EF2DB7" w:rsidRPr="0017046A" w:rsidRDefault="00EF2DB7"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lastRenderedPageBreak/>
        <w:t>8.</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After the break-in, Ms. Dawson’s nephew moved into the Serv</w:t>
      </w:r>
      <w:r w:rsidR="00640C43" w:rsidRPr="0017046A">
        <w:rPr>
          <w:rFonts w:ascii="Times New Roman" w:hAnsi="Times New Roman" w:cs="Times New Roman"/>
          <w:sz w:val="24"/>
          <w:szCs w:val="24"/>
        </w:rPr>
        <w:t>ice Address</w:t>
      </w:r>
      <w:r w:rsidR="007F6FDD" w:rsidRPr="0017046A">
        <w:rPr>
          <w:rFonts w:ascii="Times New Roman" w:hAnsi="Times New Roman" w:cs="Times New Roman"/>
          <w:sz w:val="24"/>
          <w:szCs w:val="24"/>
        </w:rPr>
        <w:t xml:space="preserve">.  </w:t>
      </w:r>
      <w:r w:rsidR="007F6FDD" w:rsidRPr="0017046A">
        <w:rPr>
          <w:rFonts w:ascii="Times New Roman" w:hAnsi="Times New Roman" w:cs="Times New Roman"/>
          <w:i/>
          <w:sz w:val="24"/>
          <w:szCs w:val="24"/>
        </w:rPr>
        <w:t>Id.</w:t>
      </w:r>
      <w:r w:rsidR="007F6FDD" w:rsidRPr="0017046A">
        <w:rPr>
          <w:rFonts w:ascii="Times New Roman" w:hAnsi="Times New Roman" w:cs="Times New Roman"/>
          <w:sz w:val="24"/>
          <w:szCs w:val="24"/>
        </w:rPr>
        <w:t xml:space="preserve">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9.</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Ms. Dawson’s nephew resided at the Service Address until August 18, 2012, wh</w:t>
      </w:r>
      <w:r w:rsidR="0005368A" w:rsidRPr="0017046A">
        <w:rPr>
          <w:rFonts w:ascii="Times New Roman" w:hAnsi="Times New Roman" w:cs="Times New Roman"/>
          <w:sz w:val="24"/>
          <w:szCs w:val="24"/>
        </w:rPr>
        <w:t xml:space="preserve">en Ms. Dawson returned from </w:t>
      </w:r>
      <w:r w:rsidR="007F6FDD" w:rsidRPr="0017046A">
        <w:rPr>
          <w:rFonts w:ascii="Times New Roman" w:hAnsi="Times New Roman" w:cs="Times New Roman"/>
          <w:sz w:val="24"/>
          <w:szCs w:val="24"/>
        </w:rPr>
        <w:t xml:space="preserve">York House.  Tr. 8, 22, 29.  </w:t>
      </w:r>
    </w:p>
    <w:p w:rsidR="00175C85" w:rsidRPr="0017046A" w:rsidRDefault="00175C85"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10.</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 </w:t>
      </w:r>
      <w:r w:rsidR="00132467" w:rsidRPr="0017046A">
        <w:rPr>
          <w:rFonts w:ascii="Times New Roman" w:eastAsia="Times New Roman" w:hAnsi="Times New Roman" w:cs="Times New Roman"/>
          <w:sz w:val="24"/>
          <w:szCs w:val="24"/>
        </w:rPr>
        <w:t>On April 8, 2011, Ms. Dawson's gas service was shut off for non-payment.  Tr. 57, 103.</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11.</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The outstanding balance in Ms. Dawson’s account at the time </w:t>
      </w:r>
      <w:r w:rsidR="00132467" w:rsidRPr="0017046A">
        <w:rPr>
          <w:rFonts w:ascii="Times New Roman" w:hAnsi="Times New Roman" w:cs="Times New Roman"/>
          <w:sz w:val="24"/>
          <w:szCs w:val="24"/>
        </w:rPr>
        <w:t xml:space="preserve">of the termination </w:t>
      </w:r>
      <w:r w:rsidR="007F6FDD" w:rsidRPr="0017046A">
        <w:rPr>
          <w:rFonts w:ascii="Times New Roman" w:hAnsi="Times New Roman" w:cs="Times New Roman"/>
          <w:sz w:val="24"/>
          <w:szCs w:val="24"/>
        </w:rPr>
        <w:t xml:space="preserve">was $3,516.70.  </w:t>
      </w:r>
      <w:r w:rsidR="007F6FDD" w:rsidRPr="0017046A">
        <w:rPr>
          <w:rFonts w:ascii="Times New Roman" w:hAnsi="Times New Roman" w:cs="Times New Roman"/>
          <w:i/>
          <w:sz w:val="24"/>
          <w:szCs w:val="24"/>
        </w:rPr>
        <w:t>Id.</w:t>
      </w:r>
      <w:r w:rsidR="007F6FDD" w:rsidRPr="0017046A">
        <w:rPr>
          <w:rFonts w:ascii="Times New Roman" w:hAnsi="Times New Roman" w:cs="Times New Roman"/>
          <w:sz w:val="24"/>
          <w:szCs w:val="24"/>
        </w:rPr>
        <w:t xml:space="preserve">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12.</w:t>
      </w:r>
      <w:r w:rsidRPr="0017046A">
        <w:rPr>
          <w:rFonts w:ascii="Times New Roman" w:hAnsi="Times New Roman" w:cs="Times New Roman"/>
          <w:sz w:val="24"/>
          <w:szCs w:val="24"/>
        </w:rPr>
        <w:tab/>
      </w:r>
      <w:r w:rsidR="00600EB6" w:rsidRPr="0017046A">
        <w:rPr>
          <w:rFonts w:ascii="Times New Roman" w:hAnsi="Times New Roman" w:cs="Times New Roman"/>
          <w:sz w:val="24"/>
          <w:szCs w:val="24"/>
        </w:rPr>
        <w:t xml:space="preserve">Ms. Dawson’s </w:t>
      </w:r>
      <w:r w:rsidR="007F6FDD" w:rsidRPr="0017046A">
        <w:rPr>
          <w:rFonts w:ascii="Times New Roman" w:hAnsi="Times New Roman" w:cs="Times New Roman"/>
          <w:sz w:val="24"/>
          <w:szCs w:val="24"/>
        </w:rPr>
        <w:t>Servi</w:t>
      </w:r>
      <w:r w:rsidR="00600EB6" w:rsidRPr="0017046A">
        <w:rPr>
          <w:rFonts w:ascii="Times New Roman" w:hAnsi="Times New Roman" w:cs="Times New Roman"/>
          <w:sz w:val="24"/>
          <w:szCs w:val="24"/>
        </w:rPr>
        <w:t>ce Agreement</w:t>
      </w:r>
      <w:r w:rsidR="00640C43" w:rsidRPr="0017046A">
        <w:rPr>
          <w:rFonts w:ascii="Times New Roman" w:hAnsi="Times New Roman" w:cs="Times New Roman"/>
          <w:sz w:val="24"/>
          <w:szCs w:val="24"/>
        </w:rPr>
        <w:t xml:space="preserve"> (SA)</w:t>
      </w:r>
      <w:r w:rsidR="00600EB6" w:rsidRPr="0017046A">
        <w:rPr>
          <w:rFonts w:ascii="Times New Roman" w:hAnsi="Times New Roman" w:cs="Times New Roman"/>
          <w:sz w:val="24"/>
          <w:szCs w:val="24"/>
        </w:rPr>
        <w:t xml:space="preserve"> </w:t>
      </w:r>
      <w:r w:rsidR="007F6FDD" w:rsidRPr="0017046A">
        <w:rPr>
          <w:rFonts w:ascii="Times New Roman" w:hAnsi="Times New Roman" w:cs="Times New Roman"/>
          <w:sz w:val="24"/>
          <w:szCs w:val="24"/>
        </w:rPr>
        <w:t xml:space="preserve">with PGW was closed and the amount of $3,516.70 is currently in write–off status.  Tr. 58-63.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13.</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Ms. Dawson’s g</w:t>
      </w:r>
      <w:r w:rsidR="00CB4CE2">
        <w:rPr>
          <w:rFonts w:ascii="Times New Roman" w:hAnsi="Times New Roman" w:cs="Times New Roman"/>
          <w:sz w:val="24"/>
          <w:szCs w:val="24"/>
        </w:rPr>
        <w:t>as service was turned back on</w:t>
      </w:r>
      <w:r w:rsidR="007F6FDD" w:rsidRPr="0017046A">
        <w:rPr>
          <w:rFonts w:ascii="Times New Roman" w:hAnsi="Times New Roman" w:cs="Times New Roman"/>
          <w:sz w:val="24"/>
          <w:szCs w:val="24"/>
        </w:rPr>
        <w:t xml:space="preserve"> October 31, 2012, and a new SA was created for her.  Tr. 44, 57.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14.</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The PGW technician who visited the Service Address to restore service </w:t>
      </w:r>
      <w:r w:rsidR="00132467" w:rsidRPr="0017046A">
        <w:rPr>
          <w:rFonts w:ascii="Times New Roman" w:hAnsi="Times New Roman" w:cs="Times New Roman"/>
          <w:sz w:val="24"/>
          <w:szCs w:val="24"/>
        </w:rPr>
        <w:t xml:space="preserve">on October 31, 2012, </w:t>
      </w:r>
      <w:r w:rsidR="007F6FDD" w:rsidRPr="0017046A">
        <w:rPr>
          <w:rFonts w:ascii="Times New Roman" w:hAnsi="Times New Roman" w:cs="Times New Roman"/>
          <w:sz w:val="24"/>
          <w:szCs w:val="24"/>
        </w:rPr>
        <w:t xml:space="preserve">noted that he turned off Ms. Dawson’s heater at the valve because it was not controlled by a thermostat.  Tr. 44-45, PGW Exhibit 1.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15.</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PGW returned to the Service Address again on October 27, 2013, to check on a reported gas leak.  Tr. 45, PGW Exhibit 1.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i/>
          <w:sz w:val="24"/>
          <w:szCs w:val="24"/>
        </w:rPr>
      </w:pPr>
      <w:r w:rsidRPr="0017046A">
        <w:rPr>
          <w:rFonts w:ascii="Times New Roman" w:hAnsi="Times New Roman" w:cs="Times New Roman"/>
          <w:sz w:val="24"/>
          <w:szCs w:val="24"/>
        </w:rPr>
        <w:t>16.</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During the October 27, 2013 visit, the PGW technician discovered that Ms. Dawson’s oven burner was leaking gas.  </w:t>
      </w:r>
      <w:r w:rsidR="007F6FDD" w:rsidRPr="0017046A">
        <w:rPr>
          <w:rFonts w:ascii="Times New Roman" w:hAnsi="Times New Roman" w:cs="Times New Roman"/>
          <w:i/>
          <w:sz w:val="24"/>
          <w:szCs w:val="24"/>
        </w:rPr>
        <w:t xml:space="preserve">Id. </w:t>
      </w:r>
    </w:p>
    <w:p w:rsidR="007F6FDD" w:rsidRPr="0017046A" w:rsidRDefault="007F6FDD" w:rsidP="0017046A">
      <w:pPr>
        <w:spacing w:after="0" w:line="360" w:lineRule="auto"/>
        <w:ind w:firstLine="1440"/>
        <w:rPr>
          <w:rFonts w:ascii="Times New Roman" w:hAnsi="Times New Roman" w:cs="Times New Roman"/>
          <w:i/>
          <w:sz w:val="24"/>
          <w:szCs w:val="24"/>
        </w:rPr>
      </w:pPr>
    </w:p>
    <w:p w:rsidR="007F6FDD" w:rsidRPr="0017046A" w:rsidRDefault="009360D9" w:rsidP="0017046A">
      <w:pPr>
        <w:spacing w:after="0" w:line="360" w:lineRule="auto"/>
        <w:ind w:firstLine="1440"/>
        <w:rPr>
          <w:rFonts w:ascii="Times New Roman" w:hAnsi="Times New Roman" w:cs="Times New Roman"/>
          <w:i/>
          <w:sz w:val="24"/>
          <w:szCs w:val="24"/>
        </w:rPr>
      </w:pPr>
      <w:r w:rsidRPr="0017046A">
        <w:rPr>
          <w:rFonts w:ascii="Times New Roman" w:hAnsi="Times New Roman" w:cs="Times New Roman"/>
          <w:sz w:val="24"/>
          <w:szCs w:val="24"/>
        </w:rPr>
        <w:t>17.</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During the October 27, 2013 visit, the PGW technician turned the Complainant’s gas range off and noted that there were no active gas appliances on the premises.</w:t>
      </w:r>
      <w:r w:rsidR="007F6FDD" w:rsidRPr="0017046A">
        <w:rPr>
          <w:rFonts w:ascii="Times New Roman" w:hAnsi="Times New Roman" w:cs="Times New Roman"/>
          <w:i/>
          <w:sz w:val="24"/>
          <w:szCs w:val="24"/>
        </w:rPr>
        <w:t xml:space="preserve">  </w:t>
      </w:r>
      <w:r w:rsidR="007F6FDD" w:rsidRPr="0017046A">
        <w:rPr>
          <w:rFonts w:ascii="Times New Roman" w:hAnsi="Times New Roman" w:cs="Times New Roman"/>
          <w:sz w:val="24"/>
          <w:szCs w:val="24"/>
        </w:rPr>
        <w:lastRenderedPageBreak/>
        <w:t>He also issued a hazard tag for the gas range, turned gas off at the meter with a bike lock and instructed the Complainant to call PGW once she had one</w:t>
      </w:r>
      <w:r w:rsidR="005240EB">
        <w:rPr>
          <w:rFonts w:ascii="Times New Roman" w:hAnsi="Times New Roman" w:cs="Times New Roman"/>
          <w:sz w:val="24"/>
          <w:szCs w:val="24"/>
        </w:rPr>
        <w:t xml:space="preserve"> of the gas appliances fixed.  </w:t>
      </w:r>
      <w:r w:rsidR="007F6FDD" w:rsidRPr="0017046A">
        <w:rPr>
          <w:rFonts w:ascii="Times New Roman" w:hAnsi="Times New Roman" w:cs="Times New Roman"/>
          <w:i/>
          <w:sz w:val="24"/>
          <w:szCs w:val="24"/>
        </w:rPr>
        <w:t xml:space="preserve">Id.  </w:t>
      </w:r>
    </w:p>
    <w:p w:rsidR="007F6FDD" w:rsidRPr="0017046A" w:rsidRDefault="007F6FDD" w:rsidP="0017046A">
      <w:pPr>
        <w:spacing w:after="0" w:line="360" w:lineRule="auto"/>
        <w:ind w:firstLine="1440"/>
        <w:rPr>
          <w:rFonts w:ascii="Times New Roman" w:hAnsi="Times New Roman" w:cs="Times New Roman"/>
          <w:i/>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18.</w:t>
      </w:r>
      <w:r w:rsidRPr="0017046A">
        <w:rPr>
          <w:rFonts w:ascii="Times New Roman" w:hAnsi="Times New Roman" w:cs="Times New Roman"/>
          <w:sz w:val="24"/>
          <w:szCs w:val="24"/>
        </w:rPr>
        <w:tab/>
      </w:r>
      <w:r w:rsidR="00640C43" w:rsidRPr="0017046A">
        <w:rPr>
          <w:rFonts w:ascii="Times New Roman" w:hAnsi="Times New Roman" w:cs="Times New Roman"/>
          <w:sz w:val="24"/>
          <w:szCs w:val="24"/>
        </w:rPr>
        <w:t xml:space="preserve">On October 10, 2013, Ms. Dawson had no outstanding balance with PGW.  Tr. 69, PGW Exhibit 2.  </w:t>
      </w:r>
    </w:p>
    <w:p w:rsidR="007F6FDD" w:rsidRPr="0017046A" w:rsidRDefault="007F6FDD" w:rsidP="0017046A">
      <w:pPr>
        <w:spacing w:after="0" w:line="360" w:lineRule="auto"/>
        <w:ind w:firstLine="1440"/>
        <w:rPr>
          <w:rFonts w:ascii="Times New Roman" w:hAnsi="Times New Roman" w:cs="Times New Roman"/>
          <w:sz w:val="24"/>
          <w:szCs w:val="24"/>
        </w:rPr>
      </w:pPr>
    </w:p>
    <w:p w:rsidR="007F6FDD"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19.</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 </w:t>
      </w:r>
      <w:r w:rsidR="00640C43" w:rsidRPr="0017046A">
        <w:rPr>
          <w:rFonts w:ascii="Times New Roman" w:hAnsi="Times New Roman" w:cs="Times New Roman"/>
          <w:sz w:val="24"/>
          <w:szCs w:val="24"/>
        </w:rPr>
        <w:t>On October 30, 2013, PGW’s technicians returned to the Service Address to restore gas service.  Tr. 48-49, PGW Exhibit 1.</w:t>
      </w:r>
    </w:p>
    <w:p w:rsidR="007F6FDD" w:rsidRPr="0017046A" w:rsidRDefault="007F6FDD" w:rsidP="0017046A">
      <w:pPr>
        <w:spacing w:after="0" w:line="360" w:lineRule="auto"/>
        <w:ind w:firstLine="1440"/>
        <w:rPr>
          <w:rFonts w:ascii="Times New Roman" w:hAnsi="Times New Roman" w:cs="Times New Roman"/>
          <w:sz w:val="24"/>
          <w:szCs w:val="24"/>
        </w:rPr>
      </w:pPr>
    </w:p>
    <w:p w:rsidR="00CC2CB4" w:rsidRPr="0017046A" w:rsidRDefault="009360D9"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20.</w:t>
      </w:r>
      <w:r w:rsidRPr="0017046A">
        <w:rPr>
          <w:rFonts w:ascii="Times New Roman" w:hAnsi="Times New Roman" w:cs="Times New Roman"/>
          <w:sz w:val="24"/>
          <w:szCs w:val="24"/>
        </w:rPr>
        <w:tab/>
      </w:r>
      <w:r w:rsidR="007F6FDD" w:rsidRPr="0017046A">
        <w:rPr>
          <w:rFonts w:ascii="Times New Roman" w:hAnsi="Times New Roman" w:cs="Times New Roman"/>
          <w:sz w:val="24"/>
          <w:szCs w:val="24"/>
        </w:rPr>
        <w:t xml:space="preserve">Between October 10, 2013 and June 3, 2014, </w:t>
      </w:r>
      <w:r w:rsidR="00CC2CB4" w:rsidRPr="0017046A">
        <w:rPr>
          <w:rFonts w:ascii="Times New Roman" w:hAnsi="Times New Roman" w:cs="Times New Roman"/>
          <w:sz w:val="24"/>
          <w:szCs w:val="24"/>
        </w:rPr>
        <w:t xml:space="preserve">the following transactions occurred in </w:t>
      </w:r>
      <w:r w:rsidR="007F6FDD" w:rsidRPr="0017046A">
        <w:rPr>
          <w:rFonts w:ascii="Times New Roman" w:hAnsi="Times New Roman" w:cs="Times New Roman"/>
          <w:sz w:val="24"/>
          <w:szCs w:val="24"/>
        </w:rPr>
        <w:t>Ms. Dawson</w:t>
      </w:r>
      <w:r w:rsidR="00CC2CB4" w:rsidRPr="0017046A">
        <w:rPr>
          <w:rFonts w:ascii="Times New Roman" w:hAnsi="Times New Roman" w:cs="Times New Roman"/>
          <w:sz w:val="24"/>
          <w:szCs w:val="24"/>
        </w:rPr>
        <w:t>’s account with PGW:</w:t>
      </w:r>
    </w:p>
    <w:p w:rsidR="00CC2CB4" w:rsidRPr="0017046A" w:rsidRDefault="00CC2CB4" w:rsidP="0017046A">
      <w:pPr>
        <w:spacing w:after="0"/>
        <w:rPr>
          <w:rFonts w:ascii="Times New Roman" w:hAnsi="Times New Roman" w:cs="Times New Roman"/>
          <w:sz w:val="24"/>
          <w:szCs w:val="24"/>
        </w:rPr>
      </w:pPr>
    </w:p>
    <w:tbl>
      <w:tblPr>
        <w:tblStyle w:val="TableGrid"/>
        <w:tblW w:w="0" w:type="auto"/>
        <w:jc w:val="center"/>
        <w:tblInd w:w="720" w:type="dxa"/>
        <w:tblLook w:val="04A0" w:firstRow="1" w:lastRow="0" w:firstColumn="1" w:lastColumn="0" w:noHBand="0" w:noVBand="1"/>
      </w:tblPr>
      <w:tblGrid>
        <w:gridCol w:w="2481"/>
        <w:gridCol w:w="2481"/>
        <w:gridCol w:w="2481"/>
      </w:tblGrid>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sz w:val="24"/>
                <w:szCs w:val="24"/>
              </w:rPr>
            </w:pPr>
            <w:r w:rsidRPr="0017046A">
              <w:rPr>
                <w:rFonts w:ascii="Times New Roman" w:hAnsi="Times New Roman" w:cs="Times New Roman"/>
                <w:sz w:val="24"/>
                <w:szCs w:val="24"/>
              </w:rPr>
              <w:t>Transaction Date</w:t>
            </w:r>
          </w:p>
        </w:tc>
        <w:tc>
          <w:tcPr>
            <w:tcW w:w="2481" w:type="dxa"/>
          </w:tcPr>
          <w:p w:rsidR="00CC2CB4" w:rsidRPr="0017046A" w:rsidRDefault="00CC2CB4" w:rsidP="0017046A">
            <w:pPr>
              <w:rPr>
                <w:rFonts w:ascii="Times New Roman" w:hAnsi="Times New Roman" w:cs="Times New Roman"/>
                <w:sz w:val="24"/>
                <w:szCs w:val="24"/>
              </w:rPr>
            </w:pPr>
            <w:r w:rsidRPr="0017046A">
              <w:rPr>
                <w:rFonts w:ascii="Times New Roman" w:hAnsi="Times New Roman" w:cs="Times New Roman"/>
                <w:sz w:val="24"/>
                <w:szCs w:val="24"/>
              </w:rPr>
              <w:t xml:space="preserve">Transaction Type </w:t>
            </w:r>
          </w:p>
        </w:tc>
        <w:tc>
          <w:tcPr>
            <w:tcW w:w="2481" w:type="dxa"/>
          </w:tcPr>
          <w:p w:rsidR="00CC2CB4" w:rsidRPr="0017046A" w:rsidRDefault="00CC2CB4" w:rsidP="0017046A">
            <w:pPr>
              <w:rPr>
                <w:rFonts w:ascii="Times New Roman" w:hAnsi="Times New Roman" w:cs="Times New Roman"/>
                <w:sz w:val="24"/>
                <w:szCs w:val="24"/>
              </w:rPr>
            </w:pPr>
            <w:r w:rsidRPr="0017046A">
              <w:rPr>
                <w:rFonts w:ascii="Times New Roman" w:hAnsi="Times New Roman" w:cs="Times New Roman"/>
                <w:sz w:val="24"/>
                <w:szCs w:val="24"/>
              </w:rPr>
              <w:t>Transaction Amount</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10/19</w:t>
            </w:r>
            <w:r w:rsidR="00175C85">
              <w:rPr>
                <w:rFonts w:ascii="Times New Roman" w:hAnsi="Times New Roman" w:cs="Times New Roman"/>
                <w:b w:val="0"/>
                <w:sz w:val="24"/>
                <w:szCs w:val="24"/>
              </w:rPr>
              <w:t>/</w:t>
            </w:r>
            <w:r w:rsidRPr="0017046A">
              <w:rPr>
                <w:rFonts w:ascii="Times New Roman" w:hAnsi="Times New Roman" w:cs="Times New Roman"/>
                <w:b w:val="0"/>
                <w:sz w:val="24"/>
                <w:szCs w:val="24"/>
              </w:rPr>
              <w:t>2013</w:t>
            </w:r>
          </w:p>
        </w:tc>
        <w:tc>
          <w:tcPr>
            <w:tcW w:w="2481" w:type="dxa"/>
          </w:tcPr>
          <w:p w:rsidR="00CC2CB4" w:rsidRPr="0017046A" w:rsidRDefault="00175C85" w:rsidP="0017046A">
            <w:pPr>
              <w:rPr>
                <w:rFonts w:ascii="Times New Roman" w:hAnsi="Times New Roman" w:cs="Times New Roman"/>
                <w:b w:val="0"/>
                <w:sz w:val="24"/>
                <w:szCs w:val="24"/>
              </w:rPr>
            </w:pPr>
            <w:r>
              <w:rPr>
                <w:rFonts w:ascii="Times New Roman" w:hAnsi="Times New Roman" w:cs="Times New Roman"/>
                <w:b w:val="0"/>
                <w:sz w:val="24"/>
                <w:szCs w:val="24"/>
              </w:rPr>
              <w:t>B</w:t>
            </w:r>
            <w:r w:rsidR="00CC2CB4" w:rsidRPr="0017046A">
              <w:rPr>
                <w:rFonts w:ascii="Times New Roman" w:hAnsi="Times New Roman" w:cs="Times New Roman"/>
                <w:b w:val="0"/>
                <w:sz w:val="24"/>
                <w:szCs w:val="24"/>
              </w:rPr>
              <w:t>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$39.56</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11/19/2013</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LPC</w:t>
            </w:r>
            <w:r w:rsidRPr="0017046A">
              <w:rPr>
                <w:rStyle w:val="FootnoteReference"/>
                <w:rFonts w:ascii="Times New Roman" w:hAnsi="Times New Roman" w:cs="Times New Roman"/>
                <w:b w:val="0"/>
                <w:sz w:val="24"/>
                <w:szCs w:val="24"/>
              </w:rPr>
              <w:footnoteReference w:id="2"/>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$0.59</w:t>
            </w:r>
          </w:p>
        </w:tc>
      </w:tr>
      <w:tr w:rsidR="00CC2CB4" w:rsidRPr="0017046A" w:rsidTr="00CC2CB4">
        <w:trPr>
          <w:trHeight w:val="289"/>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11/19/2013</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Bill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$41.30</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12/18/2013</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LPC</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$1.21</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12/18/2013</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Bill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$83.58</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12/19/2013</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Payment</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$81.45</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1/22/2014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LPC</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$1.27</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1/22/2014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Bill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$77.19</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2/11/2014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Payment</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$86.06</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2/21/2014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LPC</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$1.15</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2/21/2014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Bill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$447.33</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3/22/2014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LPC</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$7.86</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3/22/2014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Bill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$333.05</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4/23/2014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Bill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$220.58</w:t>
            </w:r>
          </w:p>
        </w:tc>
      </w:tr>
      <w:tr w:rsidR="00CC2CB4" w:rsidRPr="0017046A" w:rsidTr="00CC2CB4">
        <w:trPr>
          <w:trHeight w:val="273"/>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5/20/2014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Bill</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$79.04</w:t>
            </w:r>
          </w:p>
        </w:tc>
      </w:tr>
      <w:tr w:rsidR="00CC2CB4" w:rsidRPr="0017046A" w:rsidTr="00CC2CB4">
        <w:trPr>
          <w:trHeight w:val="289"/>
          <w:jc w:val="center"/>
        </w:trPr>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6/3/2014</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Payment</w:t>
            </w:r>
          </w:p>
        </w:tc>
        <w:tc>
          <w:tcPr>
            <w:tcW w:w="24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$200.00</w:t>
            </w:r>
          </w:p>
        </w:tc>
      </w:tr>
    </w:tbl>
    <w:p w:rsidR="009360D9" w:rsidRPr="0017046A" w:rsidRDefault="009360D9" w:rsidP="0017046A">
      <w:pPr>
        <w:spacing w:after="0" w:line="360" w:lineRule="auto"/>
        <w:rPr>
          <w:rFonts w:ascii="Times New Roman" w:hAnsi="Times New Roman" w:cs="Times New Roman"/>
          <w:sz w:val="24"/>
          <w:szCs w:val="24"/>
        </w:rPr>
      </w:pPr>
    </w:p>
    <w:p w:rsidR="00CC2CB4" w:rsidRPr="0017046A" w:rsidRDefault="00CC2CB4" w:rsidP="0017046A">
      <w:pPr>
        <w:spacing w:after="0" w:line="360" w:lineRule="auto"/>
        <w:rPr>
          <w:rFonts w:ascii="Times New Roman" w:hAnsi="Times New Roman" w:cs="Times New Roman"/>
          <w:sz w:val="24"/>
          <w:szCs w:val="24"/>
        </w:rPr>
      </w:pPr>
      <w:r w:rsidRPr="0017046A">
        <w:rPr>
          <w:rFonts w:ascii="Times New Roman" w:hAnsi="Times New Roman" w:cs="Times New Roman"/>
          <w:sz w:val="24"/>
          <w:szCs w:val="24"/>
        </w:rPr>
        <w:t>PGW Exhibit 2.</w:t>
      </w:r>
    </w:p>
    <w:p w:rsidR="00CC2CB4" w:rsidRPr="0017046A" w:rsidRDefault="00CC2CB4" w:rsidP="0017046A">
      <w:pPr>
        <w:spacing w:after="0" w:line="360" w:lineRule="auto"/>
        <w:rPr>
          <w:rFonts w:ascii="Times New Roman" w:hAnsi="Times New Roman" w:cs="Times New Roman"/>
          <w:sz w:val="24"/>
          <w:szCs w:val="24"/>
        </w:rPr>
      </w:pPr>
    </w:p>
    <w:p w:rsidR="00CC2CB4" w:rsidRPr="0017046A" w:rsidRDefault="009360D9"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21.</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 xml:space="preserve">On April 10, 2014, the Complainant filed an informal complaint with the BCS at BCS Case # 3220721 disputing the accuracy of her bills and requesting a payment arrangement. </w:t>
      </w:r>
      <w:r w:rsidR="00A845E7">
        <w:rPr>
          <w:rFonts w:ascii="Times New Roman" w:hAnsi="Times New Roman" w:cs="Times New Roman"/>
          <w:sz w:val="24"/>
          <w:szCs w:val="24"/>
        </w:rPr>
        <w:t xml:space="preserve"> </w:t>
      </w:r>
      <w:r w:rsidR="00CC2CB4" w:rsidRPr="0017046A">
        <w:rPr>
          <w:rFonts w:ascii="Times New Roman" w:hAnsi="Times New Roman" w:cs="Times New Roman"/>
          <w:sz w:val="24"/>
          <w:szCs w:val="24"/>
        </w:rPr>
        <w:t xml:space="preserve">Tr. 49, PGW Exhibit 1.  </w:t>
      </w:r>
    </w:p>
    <w:p w:rsidR="00CC2CB4" w:rsidRPr="0017046A" w:rsidRDefault="009360D9"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lastRenderedPageBreak/>
        <w:t>22.</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 xml:space="preserve">On September 24, 2014, Complainant contacted PGW and inquired about having her gas meter tested.  Tr. 52, PGW Exhibit 1.  </w:t>
      </w:r>
    </w:p>
    <w:p w:rsidR="00CC2CB4" w:rsidRPr="0017046A" w:rsidRDefault="00CC2CB4" w:rsidP="0017046A">
      <w:pPr>
        <w:spacing w:after="0" w:line="360" w:lineRule="auto"/>
        <w:ind w:firstLine="1440"/>
        <w:contextualSpacing/>
        <w:rPr>
          <w:rFonts w:ascii="Times New Roman" w:hAnsi="Times New Roman" w:cs="Times New Roman"/>
          <w:sz w:val="24"/>
          <w:szCs w:val="24"/>
        </w:rPr>
      </w:pPr>
    </w:p>
    <w:p w:rsidR="00CC2CB4" w:rsidRPr="0017046A" w:rsidRDefault="009360D9"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23.</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Ms. Dawson was informed by the Respondent that there was a $</w:t>
      </w:r>
      <w:r w:rsidR="00640C43" w:rsidRPr="0017046A">
        <w:rPr>
          <w:rFonts w:ascii="Times New Roman" w:hAnsi="Times New Roman" w:cs="Times New Roman"/>
          <w:sz w:val="24"/>
          <w:szCs w:val="24"/>
        </w:rPr>
        <w:t>10.00 charge associated with</w:t>
      </w:r>
      <w:r w:rsidR="00CC2CB4" w:rsidRPr="0017046A">
        <w:rPr>
          <w:rFonts w:ascii="Times New Roman" w:hAnsi="Times New Roman" w:cs="Times New Roman"/>
          <w:sz w:val="24"/>
          <w:szCs w:val="24"/>
        </w:rPr>
        <w:t xml:space="preserve"> meter testing</w:t>
      </w:r>
      <w:r w:rsidR="00CC2CB4" w:rsidRPr="0017046A">
        <w:rPr>
          <w:rFonts w:ascii="Times New Roman" w:hAnsi="Times New Roman" w:cs="Times New Roman"/>
          <w:i/>
          <w:sz w:val="24"/>
          <w:szCs w:val="24"/>
        </w:rPr>
        <w:t>.  Id.</w:t>
      </w:r>
      <w:r w:rsidR="00CC2CB4" w:rsidRPr="0017046A">
        <w:rPr>
          <w:rFonts w:ascii="Times New Roman" w:hAnsi="Times New Roman" w:cs="Times New Roman"/>
          <w:sz w:val="24"/>
          <w:szCs w:val="24"/>
        </w:rPr>
        <w:t xml:space="preserve"> </w:t>
      </w:r>
    </w:p>
    <w:p w:rsidR="00600EB6" w:rsidRPr="0017046A" w:rsidRDefault="00600EB6" w:rsidP="0017046A">
      <w:pPr>
        <w:spacing w:after="0" w:line="360" w:lineRule="auto"/>
        <w:ind w:firstLine="1440"/>
        <w:contextualSpacing/>
        <w:rPr>
          <w:rFonts w:ascii="Times New Roman" w:hAnsi="Times New Roman" w:cs="Times New Roman"/>
          <w:sz w:val="24"/>
          <w:szCs w:val="24"/>
        </w:rPr>
      </w:pPr>
    </w:p>
    <w:p w:rsidR="00CC2CB4" w:rsidRPr="0017046A" w:rsidRDefault="009360D9" w:rsidP="0017046A">
      <w:pPr>
        <w:spacing w:after="0" w:line="360" w:lineRule="auto"/>
        <w:ind w:firstLine="1440"/>
        <w:contextualSpacing/>
        <w:rPr>
          <w:rFonts w:ascii="Times New Roman" w:eastAsia="Times New Roman" w:hAnsi="Times New Roman" w:cs="Times New Roman"/>
          <w:sz w:val="24"/>
          <w:szCs w:val="24"/>
        </w:rPr>
      </w:pPr>
      <w:r w:rsidRPr="0017046A">
        <w:rPr>
          <w:rFonts w:ascii="Times New Roman" w:hAnsi="Times New Roman" w:cs="Times New Roman"/>
          <w:sz w:val="24"/>
          <w:szCs w:val="24"/>
        </w:rPr>
        <w:t>24.</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On</w:t>
      </w:r>
      <w:r w:rsidR="00CC2CB4" w:rsidRPr="0017046A">
        <w:rPr>
          <w:rFonts w:ascii="Times New Roman" w:eastAsia="Times New Roman" w:hAnsi="Times New Roman" w:cs="Times New Roman"/>
          <w:sz w:val="24"/>
          <w:szCs w:val="24"/>
        </w:rPr>
        <w:t xml:space="preserve"> October 9, 2014, Respondent received a check for $10.00 from Ms. Dawson. </w:t>
      </w:r>
      <w:r w:rsidRPr="0017046A">
        <w:rPr>
          <w:rFonts w:ascii="Times New Roman" w:eastAsia="Times New Roman" w:hAnsi="Times New Roman" w:cs="Times New Roman"/>
          <w:sz w:val="24"/>
          <w:szCs w:val="24"/>
        </w:rPr>
        <w:t xml:space="preserve"> </w:t>
      </w:r>
      <w:r w:rsidR="00CC2CB4" w:rsidRPr="0017046A">
        <w:rPr>
          <w:rFonts w:ascii="Times New Roman" w:eastAsia="Times New Roman" w:hAnsi="Times New Roman" w:cs="Times New Roman"/>
          <w:sz w:val="24"/>
          <w:szCs w:val="24"/>
        </w:rPr>
        <w:t>PGW Exhibit 1.</w:t>
      </w:r>
    </w:p>
    <w:p w:rsidR="00CC2CB4" w:rsidRPr="0017046A" w:rsidRDefault="00CC2CB4" w:rsidP="0017046A">
      <w:pPr>
        <w:spacing w:after="0" w:line="360" w:lineRule="auto"/>
        <w:ind w:firstLine="1440"/>
        <w:contextualSpacing/>
        <w:rPr>
          <w:rFonts w:ascii="Times New Roman" w:eastAsia="Times New Roman" w:hAnsi="Times New Roman" w:cs="Times New Roman"/>
          <w:sz w:val="24"/>
          <w:szCs w:val="24"/>
        </w:rPr>
      </w:pPr>
    </w:p>
    <w:p w:rsidR="00CC2CB4" w:rsidRPr="0017046A" w:rsidRDefault="009360D9" w:rsidP="0017046A">
      <w:pPr>
        <w:spacing w:after="0" w:line="360" w:lineRule="auto"/>
        <w:ind w:firstLine="1440"/>
        <w:contextualSpacing/>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25.</w:t>
      </w:r>
      <w:r w:rsidRPr="0017046A">
        <w:rPr>
          <w:rFonts w:ascii="Times New Roman" w:eastAsia="Times New Roman" w:hAnsi="Times New Roman" w:cs="Times New Roman"/>
          <w:sz w:val="24"/>
          <w:szCs w:val="24"/>
        </w:rPr>
        <w:tab/>
      </w:r>
      <w:r w:rsidR="00CC2CB4" w:rsidRPr="0017046A">
        <w:rPr>
          <w:rFonts w:ascii="Times New Roman" w:eastAsia="Times New Roman" w:hAnsi="Times New Roman" w:cs="Times New Roman"/>
          <w:sz w:val="24"/>
          <w:szCs w:val="24"/>
        </w:rPr>
        <w:t>On October 10, 2014, PGW applied the $10.00 payment to a meter testing charge assessed against Ms. Dawson’s account on that same day.  PGW Exhibits 1 and 2.</w:t>
      </w:r>
    </w:p>
    <w:p w:rsidR="00CC2CB4" w:rsidRPr="0017046A" w:rsidRDefault="00CC2CB4" w:rsidP="0017046A">
      <w:pPr>
        <w:spacing w:after="0" w:line="360" w:lineRule="auto"/>
        <w:contextualSpacing/>
        <w:rPr>
          <w:rFonts w:ascii="Times New Roman" w:hAnsi="Times New Roman" w:cs="Times New Roman"/>
          <w:sz w:val="24"/>
          <w:szCs w:val="24"/>
        </w:rPr>
      </w:pPr>
    </w:p>
    <w:p w:rsidR="00CC2CB4" w:rsidRPr="0017046A" w:rsidRDefault="009360D9"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26.</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 xml:space="preserve">On October 10, 2014, BCS issued an informal decision in BCS Case # 3220721, finding that Ms. Dawson’s bills were correct as rendered and establishing a payment arrangement on behalf of the Complainant.  Tr. 53, 74, PGW Exhibits 2 and 7.  </w:t>
      </w:r>
    </w:p>
    <w:p w:rsidR="00CC2CB4" w:rsidRPr="0017046A" w:rsidRDefault="00CC2CB4" w:rsidP="0017046A">
      <w:pPr>
        <w:spacing w:after="0" w:line="360" w:lineRule="auto"/>
        <w:ind w:firstLine="1440"/>
        <w:contextualSpacing/>
        <w:rPr>
          <w:rFonts w:ascii="Times New Roman" w:hAnsi="Times New Roman" w:cs="Times New Roman"/>
          <w:sz w:val="24"/>
          <w:szCs w:val="24"/>
        </w:rPr>
      </w:pPr>
    </w:p>
    <w:p w:rsidR="00CC2CB4" w:rsidRPr="0017046A" w:rsidRDefault="009360D9"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27.</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 xml:space="preserve">The payment arrangement requested that the Complainant pay the special budget amount of $150.00 per month consisting of the regular budget billing amount of $114.00 per month, plus $36.00 per month towards the arrearages, beginning with the November 2014 due date.  </w:t>
      </w:r>
      <w:r w:rsidR="00CC2CB4" w:rsidRPr="0017046A">
        <w:rPr>
          <w:rFonts w:ascii="Times New Roman" w:hAnsi="Times New Roman" w:cs="Times New Roman"/>
          <w:i/>
          <w:sz w:val="24"/>
          <w:szCs w:val="24"/>
        </w:rPr>
        <w:t>Id.</w:t>
      </w:r>
      <w:r w:rsidR="00CC2CB4" w:rsidRPr="0017046A">
        <w:rPr>
          <w:rFonts w:ascii="Times New Roman" w:hAnsi="Times New Roman" w:cs="Times New Roman"/>
          <w:sz w:val="24"/>
          <w:szCs w:val="24"/>
        </w:rPr>
        <w:t xml:space="preserve"> </w:t>
      </w:r>
    </w:p>
    <w:p w:rsidR="00CC2CB4" w:rsidRPr="0017046A" w:rsidRDefault="00CC2CB4" w:rsidP="0017046A">
      <w:pPr>
        <w:spacing w:after="0" w:line="360" w:lineRule="auto"/>
        <w:ind w:firstLine="1440"/>
        <w:contextualSpacing/>
        <w:rPr>
          <w:rFonts w:ascii="Times New Roman" w:hAnsi="Times New Roman" w:cs="Times New Roman"/>
          <w:sz w:val="24"/>
          <w:szCs w:val="24"/>
        </w:rPr>
      </w:pPr>
    </w:p>
    <w:p w:rsidR="00CC2CB4" w:rsidRPr="0017046A" w:rsidRDefault="009360D9"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28.</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 xml:space="preserve">On October 15, 2014, PGW removed the gas meter serving the Service Address for testing.  Tr. 54.  </w:t>
      </w:r>
    </w:p>
    <w:p w:rsidR="00CC2CB4" w:rsidRPr="0017046A" w:rsidRDefault="00CC2CB4" w:rsidP="0017046A">
      <w:pPr>
        <w:spacing w:after="0" w:line="360" w:lineRule="auto"/>
        <w:ind w:firstLine="1440"/>
        <w:contextualSpacing/>
        <w:rPr>
          <w:rFonts w:ascii="Times New Roman" w:hAnsi="Times New Roman" w:cs="Times New Roman"/>
          <w:sz w:val="24"/>
          <w:szCs w:val="24"/>
        </w:rPr>
      </w:pPr>
    </w:p>
    <w:p w:rsidR="00CC2CB4" w:rsidRPr="0017046A" w:rsidRDefault="008E40A1"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29.</w:t>
      </w:r>
      <w:r w:rsidRPr="0017046A">
        <w:rPr>
          <w:rFonts w:ascii="Times New Roman" w:hAnsi="Times New Roman" w:cs="Times New Roman"/>
          <w:sz w:val="24"/>
          <w:szCs w:val="24"/>
        </w:rPr>
        <w:tab/>
      </w:r>
      <w:r w:rsidR="00CC2CB4" w:rsidRPr="0017046A">
        <w:rPr>
          <w:rFonts w:ascii="Times New Roman" w:hAnsi="Times New Roman" w:cs="Times New Roman"/>
          <w:sz w:val="24"/>
          <w:szCs w:val="24"/>
        </w:rPr>
        <w:t xml:space="preserve">The meter was tested on October 31, 2014, and the results indicated that it </w:t>
      </w:r>
      <w:r w:rsidRPr="0017046A">
        <w:rPr>
          <w:rFonts w:ascii="Times New Roman" w:eastAsia="Times New Roman" w:hAnsi="Times New Roman" w:cs="Times New Roman"/>
          <w:sz w:val="24"/>
          <w:szCs w:val="24"/>
        </w:rPr>
        <w:t>tested accurate within</w:t>
      </w:r>
      <w:r w:rsidRPr="0017046A">
        <w:rPr>
          <w:rFonts w:ascii="Times New Roman" w:eastAsia="Calibri" w:hAnsi="Times New Roman" w:cs="Times New Roman"/>
          <w:sz w:val="24"/>
          <w:szCs w:val="24"/>
        </w:rPr>
        <w:t xml:space="preserve"> </w:t>
      </w:r>
      <w:r w:rsidRPr="0017046A">
        <w:rPr>
          <w:rFonts w:ascii="Times New Roman" w:hAnsi="Times New Roman" w:cs="Times New Roman"/>
          <w:sz w:val="24"/>
          <w:szCs w:val="24"/>
        </w:rPr>
        <w:t xml:space="preserve">the </w:t>
      </w:r>
      <w:r w:rsidRPr="0017046A">
        <w:rPr>
          <w:rStyle w:val="term1"/>
          <w:rFonts w:ascii="Times New Roman" w:hAnsi="Times New Roman" w:cs="Times New Roman"/>
          <w:b w:val="0"/>
          <w:sz w:val="24"/>
          <w:szCs w:val="24"/>
        </w:rPr>
        <w:t>2%</w:t>
      </w:r>
      <w:r w:rsidRPr="0017046A">
        <w:rPr>
          <w:rFonts w:ascii="Times New Roman" w:hAnsi="Times New Roman" w:cs="Times New Roman"/>
          <w:b/>
          <w:sz w:val="24"/>
          <w:szCs w:val="24"/>
        </w:rPr>
        <w:t xml:space="preserve"> </w:t>
      </w:r>
      <w:r w:rsidRPr="0017046A">
        <w:rPr>
          <w:rFonts w:ascii="Times New Roman" w:hAnsi="Times New Roman" w:cs="Times New Roman"/>
          <w:sz w:val="24"/>
          <w:szCs w:val="24"/>
        </w:rPr>
        <w:t xml:space="preserve">margin of error </w:t>
      </w:r>
      <w:r w:rsidRPr="0017046A">
        <w:rPr>
          <w:rFonts w:ascii="Times New Roman" w:eastAsia="Times New Roman" w:hAnsi="Times New Roman" w:cs="Times New Roman"/>
          <w:sz w:val="24"/>
          <w:szCs w:val="24"/>
        </w:rPr>
        <w:t>allowed by the Commission’s regulation</w:t>
      </w:r>
      <w:r w:rsidRPr="0017046A">
        <w:rPr>
          <w:rFonts w:ascii="Times New Roman" w:hAnsi="Times New Roman" w:cs="Times New Roman"/>
          <w:sz w:val="24"/>
          <w:szCs w:val="24"/>
        </w:rPr>
        <w:t xml:space="preserve"> at 52 Pa.Code § 59.22.  </w:t>
      </w:r>
      <w:r w:rsidR="00CC2CB4" w:rsidRPr="0017046A">
        <w:rPr>
          <w:rFonts w:ascii="Times New Roman" w:hAnsi="Times New Roman" w:cs="Times New Roman"/>
          <w:sz w:val="24"/>
          <w:szCs w:val="24"/>
        </w:rPr>
        <w:t>Tr. 55-56, PGW Exhibit 5.</w:t>
      </w:r>
    </w:p>
    <w:p w:rsidR="00CC2CB4" w:rsidRPr="0017046A" w:rsidRDefault="00CC2CB4" w:rsidP="0017046A">
      <w:pPr>
        <w:spacing w:after="0" w:line="360" w:lineRule="auto"/>
        <w:ind w:firstLine="1440"/>
        <w:contextualSpacing/>
        <w:rPr>
          <w:rFonts w:ascii="Times New Roman" w:hAnsi="Times New Roman" w:cs="Times New Roman"/>
          <w:sz w:val="24"/>
          <w:szCs w:val="24"/>
        </w:rPr>
      </w:pPr>
    </w:p>
    <w:p w:rsidR="00356D2B" w:rsidRDefault="008E40A1"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30</w:t>
      </w:r>
      <w:r w:rsidR="009360D9" w:rsidRPr="0017046A">
        <w:rPr>
          <w:rFonts w:ascii="Times New Roman" w:hAnsi="Times New Roman" w:cs="Times New Roman"/>
          <w:sz w:val="24"/>
          <w:szCs w:val="24"/>
        </w:rPr>
        <w:t>.</w:t>
      </w:r>
      <w:r w:rsidR="009360D9" w:rsidRPr="0017046A">
        <w:rPr>
          <w:rFonts w:ascii="Times New Roman" w:hAnsi="Times New Roman" w:cs="Times New Roman"/>
          <w:sz w:val="24"/>
          <w:szCs w:val="24"/>
        </w:rPr>
        <w:tab/>
      </w:r>
      <w:r w:rsidR="00EF2DB7" w:rsidRPr="0017046A">
        <w:rPr>
          <w:rFonts w:ascii="Times New Roman" w:hAnsi="Times New Roman" w:cs="Times New Roman"/>
          <w:sz w:val="24"/>
          <w:szCs w:val="24"/>
        </w:rPr>
        <w:t xml:space="preserve">Ms. Dawson’s gas consumption history during the period January – April </w:t>
      </w:r>
    </w:p>
    <w:p w:rsidR="00356D2B" w:rsidRDefault="00356D2B">
      <w:pPr>
        <w:rPr>
          <w:rFonts w:ascii="Times New Roman" w:hAnsi="Times New Roman" w:cs="Times New Roman"/>
          <w:sz w:val="24"/>
          <w:szCs w:val="24"/>
        </w:rPr>
      </w:pPr>
      <w:r>
        <w:rPr>
          <w:rFonts w:ascii="Times New Roman" w:hAnsi="Times New Roman" w:cs="Times New Roman"/>
          <w:sz w:val="24"/>
          <w:szCs w:val="24"/>
        </w:rPr>
        <w:br w:type="page"/>
      </w:r>
    </w:p>
    <w:p w:rsidR="00EF2DB7" w:rsidRPr="0017046A" w:rsidRDefault="00EF2DB7" w:rsidP="00895708">
      <w:pPr>
        <w:spacing w:after="0" w:line="360" w:lineRule="auto"/>
        <w:contextualSpacing/>
        <w:rPr>
          <w:rFonts w:ascii="Times New Roman" w:hAnsi="Times New Roman" w:cs="Times New Roman"/>
          <w:sz w:val="24"/>
          <w:szCs w:val="24"/>
        </w:rPr>
      </w:pPr>
      <w:bookmarkStart w:id="0" w:name="_GoBack"/>
      <w:bookmarkEnd w:id="0"/>
      <w:r w:rsidRPr="0017046A">
        <w:rPr>
          <w:rFonts w:ascii="Times New Roman" w:hAnsi="Times New Roman" w:cs="Times New Roman"/>
          <w:sz w:val="24"/>
          <w:szCs w:val="24"/>
        </w:rPr>
        <w:lastRenderedPageBreak/>
        <w:t>2008 was as follows:</w:t>
      </w:r>
    </w:p>
    <w:p w:rsidR="008E2D9F" w:rsidRDefault="008E2D9F">
      <w:pPr>
        <w:rPr>
          <w:rFonts w:ascii="Times New Roman" w:hAnsi="Times New Roman" w:cs="Times New Roman"/>
          <w:sz w:val="24"/>
          <w:szCs w:val="24"/>
        </w:rPr>
      </w:pPr>
    </w:p>
    <w:tbl>
      <w:tblPr>
        <w:tblStyle w:val="TableGrid"/>
        <w:tblW w:w="0" w:type="auto"/>
        <w:jc w:val="center"/>
        <w:tblInd w:w="281" w:type="dxa"/>
        <w:tblLook w:val="04A0" w:firstRow="1" w:lastRow="0" w:firstColumn="1" w:lastColumn="0" w:noHBand="0" w:noVBand="1"/>
      </w:tblPr>
      <w:tblGrid>
        <w:gridCol w:w="1781"/>
        <w:gridCol w:w="1030"/>
        <w:gridCol w:w="1190"/>
      </w:tblGrid>
      <w:tr w:rsidR="00CC2CB4" w:rsidRPr="0017046A" w:rsidTr="00EF2DB7">
        <w:trPr>
          <w:jc w:val="center"/>
        </w:trPr>
        <w:tc>
          <w:tcPr>
            <w:tcW w:w="1781" w:type="dxa"/>
          </w:tcPr>
          <w:p w:rsidR="00CC2CB4" w:rsidRPr="0017046A" w:rsidRDefault="00CC2CB4" w:rsidP="0017046A">
            <w:pPr>
              <w:rPr>
                <w:rFonts w:ascii="Times New Roman" w:hAnsi="Times New Roman" w:cs="Times New Roman"/>
                <w:sz w:val="24"/>
                <w:szCs w:val="24"/>
              </w:rPr>
            </w:pPr>
            <w:r w:rsidRPr="0017046A">
              <w:rPr>
                <w:rFonts w:ascii="Times New Roman" w:hAnsi="Times New Roman" w:cs="Times New Roman"/>
                <w:sz w:val="24"/>
                <w:szCs w:val="24"/>
              </w:rPr>
              <w:t>Billing Date</w:t>
            </w:r>
          </w:p>
        </w:tc>
        <w:tc>
          <w:tcPr>
            <w:tcW w:w="1030" w:type="dxa"/>
          </w:tcPr>
          <w:p w:rsidR="00CC2CB4" w:rsidRPr="0017046A" w:rsidRDefault="00CC2CB4" w:rsidP="0017046A">
            <w:pPr>
              <w:rPr>
                <w:rFonts w:ascii="Times New Roman" w:hAnsi="Times New Roman" w:cs="Times New Roman"/>
                <w:sz w:val="24"/>
                <w:szCs w:val="24"/>
              </w:rPr>
            </w:pPr>
            <w:r w:rsidRPr="0017046A">
              <w:rPr>
                <w:rFonts w:ascii="Times New Roman" w:hAnsi="Times New Roman" w:cs="Times New Roman"/>
                <w:sz w:val="24"/>
                <w:szCs w:val="24"/>
              </w:rPr>
              <w:t>CCF</w:t>
            </w:r>
          </w:p>
        </w:tc>
        <w:tc>
          <w:tcPr>
            <w:tcW w:w="1190" w:type="dxa"/>
          </w:tcPr>
          <w:p w:rsidR="00CC2CB4" w:rsidRPr="0017046A" w:rsidRDefault="00CC2CB4" w:rsidP="0017046A">
            <w:pPr>
              <w:rPr>
                <w:rFonts w:ascii="Times New Roman" w:hAnsi="Times New Roman" w:cs="Times New Roman"/>
                <w:sz w:val="24"/>
                <w:szCs w:val="24"/>
              </w:rPr>
            </w:pPr>
            <w:r w:rsidRPr="0017046A">
              <w:rPr>
                <w:rFonts w:ascii="Times New Roman" w:hAnsi="Times New Roman" w:cs="Times New Roman"/>
                <w:sz w:val="24"/>
                <w:szCs w:val="24"/>
              </w:rPr>
              <w:t>HDD</w:t>
            </w:r>
            <w:r w:rsidR="009360D9" w:rsidRPr="0017046A">
              <w:rPr>
                <w:rStyle w:val="FootnoteReference"/>
                <w:rFonts w:ascii="Times New Roman" w:hAnsi="Times New Roman" w:cs="Times New Roman"/>
                <w:sz w:val="24"/>
                <w:szCs w:val="24"/>
              </w:rPr>
              <w:footnoteReference w:id="3"/>
            </w:r>
          </w:p>
        </w:tc>
      </w:tr>
      <w:tr w:rsidR="00CC2CB4" w:rsidRPr="0017046A" w:rsidTr="00EF2DB7">
        <w:trPr>
          <w:jc w:val="center"/>
        </w:trPr>
        <w:tc>
          <w:tcPr>
            <w:tcW w:w="17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1/23/08</w:t>
            </w:r>
          </w:p>
        </w:tc>
        <w:tc>
          <w:tcPr>
            <w:tcW w:w="103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176</w:t>
            </w:r>
          </w:p>
        </w:tc>
        <w:tc>
          <w:tcPr>
            <w:tcW w:w="119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889</w:t>
            </w:r>
          </w:p>
        </w:tc>
      </w:tr>
      <w:tr w:rsidR="00CC2CB4" w:rsidRPr="0017046A" w:rsidTr="00EF2DB7">
        <w:trPr>
          <w:jc w:val="center"/>
        </w:trPr>
        <w:tc>
          <w:tcPr>
            <w:tcW w:w="17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2/20/08</w:t>
            </w:r>
          </w:p>
        </w:tc>
        <w:tc>
          <w:tcPr>
            <w:tcW w:w="103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194</w:t>
            </w:r>
          </w:p>
        </w:tc>
        <w:tc>
          <w:tcPr>
            <w:tcW w:w="119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806</w:t>
            </w:r>
          </w:p>
        </w:tc>
      </w:tr>
      <w:tr w:rsidR="00CC2CB4" w:rsidRPr="0017046A" w:rsidTr="00EF2DB7">
        <w:trPr>
          <w:jc w:val="center"/>
        </w:trPr>
        <w:tc>
          <w:tcPr>
            <w:tcW w:w="17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3/20/08</w:t>
            </w:r>
          </w:p>
        </w:tc>
        <w:tc>
          <w:tcPr>
            <w:tcW w:w="103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156</w:t>
            </w:r>
          </w:p>
        </w:tc>
        <w:tc>
          <w:tcPr>
            <w:tcW w:w="119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672</w:t>
            </w:r>
          </w:p>
        </w:tc>
      </w:tr>
      <w:tr w:rsidR="00CC2CB4" w:rsidRPr="0017046A" w:rsidTr="00EF2DB7">
        <w:trPr>
          <w:jc w:val="center"/>
        </w:trPr>
        <w:tc>
          <w:tcPr>
            <w:tcW w:w="1781"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4/21/08</w:t>
            </w:r>
          </w:p>
        </w:tc>
        <w:tc>
          <w:tcPr>
            <w:tcW w:w="103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106</w:t>
            </w:r>
          </w:p>
        </w:tc>
        <w:tc>
          <w:tcPr>
            <w:tcW w:w="1190" w:type="dxa"/>
          </w:tcPr>
          <w:p w:rsidR="00CC2CB4" w:rsidRPr="0017046A" w:rsidRDefault="00CC2CB4" w:rsidP="0017046A">
            <w:pPr>
              <w:rPr>
                <w:rFonts w:ascii="Times New Roman" w:hAnsi="Times New Roman" w:cs="Times New Roman"/>
                <w:b w:val="0"/>
                <w:sz w:val="24"/>
                <w:szCs w:val="24"/>
              </w:rPr>
            </w:pPr>
            <w:r w:rsidRPr="0017046A">
              <w:rPr>
                <w:rFonts w:ascii="Times New Roman" w:hAnsi="Times New Roman" w:cs="Times New Roman"/>
                <w:b w:val="0"/>
                <w:sz w:val="24"/>
                <w:szCs w:val="24"/>
              </w:rPr>
              <w:t>434</w:t>
            </w:r>
          </w:p>
        </w:tc>
      </w:tr>
    </w:tbl>
    <w:p w:rsidR="00EF2DB7" w:rsidRPr="0017046A" w:rsidRDefault="00EF2DB7" w:rsidP="0017046A">
      <w:pPr>
        <w:spacing w:after="0"/>
        <w:rPr>
          <w:rFonts w:ascii="Times New Roman" w:hAnsi="Times New Roman" w:cs="Times New Roman"/>
          <w:sz w:val="24"/>
          <w:szCs w:val="24"/>
        </w:rPr>
      </w:pPr>
    </w:p>
    <w:p w:rsidR="00CC2CB4" w:rsidRPr="0017046A" w:rsidRDefault="00CC2CB4" w:rsidP="0017046A">
      <w:pPr>
        <w:spacing w:after="0"/>
        <w:rPr>
          <w:rFonts w:ascii="Times New Roman" w:hAnsi="Times New Roman" w:cs="Times New Roman"/>
          <w:sz w:val="24"/>
          <w:szCs w:val="24"/>
        </w:rPr>
      </w:pPr>
      <w:r w:rsidRPr="0017046A">
        <w:rPr>
          <w:rFonts w:ascii="Times New Roman" w:hAnsi="Times New Roman" w:cs="Times New Roman"/>
          <w:sz w:val="24"/>
          <w:szCs w:val="24"/>
        </w:rPr>
        <w:t xml:space="preserve">PGW late-filed Exhibit </w:t>
      </w:r>
      <w:r w:rsidR="00132467" w:rsidRPr="0017046A">
        <w:rPr>
          <w:rFonts w:ascii="Times New Roman" w:hAnsi="Times New Roman" w:cs="Times New Roman"/>
          <w:sz w:val="24"/>
          <w:szCs w:val="24"/>
        </w:rPr>
        <w:t>9.</w:t>
      </w:r>
    </w:p>
    <w:p w:rsidR="00EF2DB7" w:rsidRPr="0017046A" w:rsidRDefault="00EF2DB7" w:rsidP="0017046A">
      <w:pPr>
        <w:spacing w:after="0"/>
        <w:rPr>
          <w:rFonts w:ascii="Times New Roman" w:hAnsi="Times New Roman" w:cs="Times New Roman"/>
          <w:sz w:val="24"/>
          <w:szCs w:val="24"/>
        </w:rPr>
      </w:pPr>
    </w:p>
    <w:p w:rsidR="00EF2DB7" w:rsidRPr="0017046A" w:rsidRDefault="008E40A1"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t>31</w:t>
      </w:r>
      <w:r w:rsidR="009360D9" w:rsidRPr="0017046A">
        <w:rPr>
          <w:rFonts w:ascii="Times New Roman" w:hAnsi="Times New Roman" w:cs="Times New Roman"/>
          <w:sz w:val="24"/>
          <w:szCs w:val="24"/>
        </w:rPr>
        <w:t>.</w:t>
      </w:r>
      <w:r w:rsidR="009360D9" w:rsidRPr="0017046A">
        <w:rPr>
          <w:rFonts w:ascii="Times New Roman" w:hAnsi="Times New Roman" w:cs="Times New Roman"/>
          <w:sz w:val="24"/>
          <w:szCs w:val="24"/>
        </w:rPr>
        <w:tab/>
      </w:r>
      <w:r w:rsidR="00EF2DB7" w:rsidRPr="0017046A">
        <w:rPr>
          <w:rFonts w:ascii="Times New Roman" w:hAnsi="Times New Roman" w:cs="Times New Roman"/>
          <w:sz w:val="24"/>
          <w:szCs w:val="24"/>
        </w:rPr>
        <w:t>Ms. Dawson’s gas consumption history during the period January – April 2013, 2014, and 2015 was as follows:</w:t>
      </w:r>
    </w:p>
    <w:p w:rsidR="00EF2DB7" w:rsidRPr="0017046A" w:rsidRDefault="00EF2DB7" w:rsidP="0017046A">
      <w:pPr>
        <w:spacing w:after="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950"/>
        <w:gridCol w:w="879"/>
        <w:gridCol w:w="892"/>
        <w:gridCol w:w="950"/>
        <w:gridCol w:w="880"/>
        <w:gridCol w:w="892"/>
        <w:gridCol w:w="950"/>
        <w:gridCol w:w="880"/>
        <w:gridCol w:w="892"/>
      </w:tblGrid>
      <w:tr w:rsidR="00EF2DB7" w:rsidRPr="0017046A" w:rsidTr="00EF2DB7">
        <w:tc>
          <w:tcPr>
            <w:tcW w:w="950"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 xml:space="preserve">Billing Date </w:t>
            </w:r>
          </w:p>
        </w:tc>
        <w:tc>
          <w:tcPr>
            <w:tcW w:w="879"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CCF</w:t>
            </w:r>
          </w:p>
        </w:tc>
        <w:tc>
          <w:tcPr>
            <w:tcW w:w="892"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HDD</w:t>
            </w:r>
          </w:p>
        </w:tc>
        <w:tc>
          <w:tcPr>
            <w:tcW w:w="950"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Billing Date</w:t>
            </w:r>
          </w:p>
        </w:tc>
        <w:tc>
          <w:tcPr>
            <w:tcW w:w="880"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CCF</w:t>
            </w:r>
          </w:p>
        </w:tc>
        <w:tc>
          <w:tcPr>
            <w:tcW w:w="892"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HDD</w:t>
            </w:r>
          </w:p>
        </w:tc>
        <w:tc>
          <w:tcPr>
            <w:tcW w:w="950"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Billing Date</w:t>
            </w:r>
          </w:p>
        </w:tc>
        <w:tc>
          <w:tcPr>
            <w:tcW w:w="880"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CCF</w:t>
            </w:r>
          </w:p>
        </w:tc>
        <w:tc>
          <w:tcPr>
            <w:tcW w:w="892" w:type="dxa"/>
          </w:tcPr>
          <w:p w:rsidR="00EF2DB7" w:rsidRPr="0017046A" w:rsidRDefault="00EF2DB7" w:rsidP="0017046A">
            <w:pPr>
              <w:rPr>
                <w:rFonts w:ascii="Times New Roman" w:hAnsi="Times New Roman" w:cs="Times New Roman"/>
                <w:sz w:val="24"/>
                <w:szCs w:val="24"/>
              </w:rPr>
            </w:pPr>
            <w:r w:rsidRPr="0017046A">
              <w:rPr>
                <w:rFonts w:ascii="Times New Roman" w:hAnsi="Times New Roman" w:cs="Times New Roman"/>
                <w:sz w:val="24"/>
                <w:szCs w:val="24"/>
              </w:rPr>
              <w:t>HDD</w:t>
            </w:r>
          </w:p>
        </w:tc>
      </w:tr>
      <w:tr w:rsidR="00EF2DB7" w:rsidRPr="0017046A" w:rsidTr="00EF2DB7">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1/23/13</w:t>
            </w:r>
          </w:p>
        </w:tc>
        <w:tc>
          <w:tcPr>
            <w:tcW w:w="879"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85</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899</w:t>
            </w:r>
          </w:p>
        </w:tc>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1/22/14</w:t>
            </w:r>
          </w:p>
        </w:tc>
        <w:tc>
          <w:tcPr>
            <w:tcW w:w="88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45</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895</w:t>
            </w:r>
          </w:p>
        </w:tc>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1/22/15</w:t>
            </w:r>
          </w:p>
        </w:tc>
        <w:tc>
          <w:tcPr>
            <w:tcW w:w="88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284</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1011</w:t>
            </w:r>
          </w:p>
        </w:tc>
      </w:tr>
      <w:tr w:rsidR="00EF2DB7" w:rsidRPr="0017046A" w:rsidTr="00EF2DB7">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2/21/13</w:t>
            </w:r>
          </w:p>
        </w:tc>
        <w:tc>
          <w:tcPr>
            <w:tcW w:w="879"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27</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923</w:t>
            </w:r>
          </w:p>
        </w:tc>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2/21/14</w:t>
            </w:r>
          </w:p>
        </w:tc>
        <w:tc>
          <w:tcPr>
            <w:tcW w:w="88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323</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1222</w:t>
            </w:r>
          </w:p>
        </w:tc>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2/20/15</w:t>
            </w:r>
          </w:p>
        </w:tc>
        <w:tc>
          <w:tcPr>
            <w:tcW w:w="88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299</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1049</w:t>
            </w:r>
          </w:p>
        </w:tc>
      </w:tr>
      <w:tr w:rsidR="00EF2DB7" w:rsidRPr="0017046A" w:rsidTr="00EF2DB7">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3/21/13</w:t>
            </w:r>
          </w:p>
        </w:tc>
        <w:tc>
          <w:tcPr>
            <w:tcW w:w="879"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25</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680</w:t>
            </w:r>
          </w:p>
        </w:tc>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3/22/14</w:t>
            </w:r>
          </w:p>
        </w:tc>
        <w:tc>
          <w:tcPr>
            <w:tcW w:w="88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226</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810</w:t>
            </w:r>
          </w:p>
        </w:tc>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3/20/15</w:t>
            </w:r>
          </w:p>
        </w:tc>
        <w:tc>
          <w:tcPr>
            <w:tcW w:w="88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252</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887</w:t>
            </w:r>
          </w:p>
        </w:tc>
      </w:tr>
      <w:tr w:rsidR="00EF2DB7" w:rsidRPr="0017046A" w:rsidTr="00EF2DB7">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4/20/13</w:t>
            </w:r>
          </w:p>
        </w:tc>
        <w:tc>
          <w:tcPr>
            <w:tcW w:w="879"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28</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456</w:t>
            </w:r>
          </w:p>
        </w:tc>
        <w:tc>
          <w:tcPr>
            <w:tcW w:w="95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4/23/14</w:t>
            </w:r>
          </w:p>
        </w:tc>
        <w:tc>
          <w:tcPr>
            <w:tcW w:w="880"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142</w:t>
            </w:r>
          </w:p>
        </w:tc>
        <w:tc>
          <w:tcPr>
            <w:tcW w:w="892" w:type="dxa"/>
          </w:tcPr>
          <w:p w:rsidR="00EF2DB7" w:rsidRPr="0017046A" w:rsidRDefault="00EF2DB7" w:rsidP="0017046A">
            <w:pPr>
              <w:rPr>
                <w:rFonts w:ascii="Times New Roman" w:hAnsi="Times New Roman" w:cs="Times New Roman"/>
                <w:b w:val="0"/>
                <w:sz w:val="24"/>
                <w:szCs w:val="24"/>
              </w:rPr>
            </w:pPr>
            <w:r w:rsidRPr="0017046A">
              <w:rPr>
                <w:rFonts w:ascii="Times New Roman" w:hAnsi="Times New Roman" w:cs="Times New Roman"/>
                <w:b w:val="0"/>
                <w:sz w:val="24"/>
                <w:szCs w:val="24"/>
              </w:rPr>
              <w:t>505</w:t>
            </w:r>
          </w:p>
        </w:tc>
        <w:tc>
          <w:tcPr>
            <w:tcW w:w="950" w:type="dxa"/>
          </w:tcPr>
          <w:p w:rsidR="00EF2DB7" w:rsidRPr="0017046A" w:rsidRDefault="00EF2DB7" w:rsidP="0017046A">
            <w:pPr>
              <w:rPr>
                <w:rFonts w:ascii="Times New Roman" w:hAnsi="Times New Roman" w:cs="Times New Roman"/>
                <w:b w:val="0"/>
                <w:sz w:val="24"/>
                <w:szCs w:val="24"/>
              </w:rPr>
            </w:pPr>
          </w:p>
        </w:tc>
        <w:tc>
          <w:tcPr>
            <w:tcW w:w="880" w:type="dxa"/>
          </w:tcPr>
          <w:p w:rsidR="00EF2DB7" w:rsidRPr="0017046A" w:rsidRDefault="00EF2DB7" w:rsidP="0017046A">
            <w:pPr>
              <w:rPr>
                <w:rFonts w:ascii="Times New Roman" w:hAnsi="Times New Roman" w:cs="Times New Roman"/>
                <w:b w:val="0"/>
                <w:sz w:val="24"/>
                <w:szCs w:val="24"/>
              </w:rPr>
            </w:pPr>
          </w:p>
        </w:tc>
        <w:tc>
          <w:tcPr>
            <w:tcW w:w="892" w:type="dxa"/>
          </w:tcPr>
          <w:p w:rsidR="00EF2DB7" w:rsidRPr="0017046A" w:rsidRDefault="00EF2DB7" w:rsidP="0017046A">
            <w:pPr>
              <w:rPr>
                <w:rFonts w:ascii="Times New Roman" w:hAnsi="Times New Roman" w:cs="Times New Roman"/>
                <w:sz w:val="24"/>
                <w:szCs w:val="24"/>
              </w:rPr>
            </w:pPr>
          </w:p>
        </w:tc>
      </w:tr>
    </w:tbl>
    <w:p w:rsidR="00EF2DB7" w:rsidRPr="0017046A" w:rsidRDefault="00EF2DB7" w:rsidP="0017046A">
      <w:pPr>
        <w:spacing w:after="0"/>
        <w:rPr>
          <w:rFonts w:ascii="Times New Roman" w:hAnsi="Times New Roman" w:cs="Times New Roman"/>
          <w:sz w:val="24"/>
          <w:szCs w:val="24"/>
        </w:rPr>
      </w:pPr>
    </w:p>
    <w:p w:rsidR="00EF2DB7" w:rsidRPr="0017046A" w:rsidRDefault="00EF2DB7" w:rsidP="0017046A">
      <w:pPr>
        <w:spacing w:after="0"/>
        <w:rPr>
          <w:rFonts w:ascii="Times New Roman" w:hAnsi="Times New Roman" w:cs="Times New Roman"/>
          <w:sz w:val="24"/>
          <w:szCs w:val="24"/>
        </w:rPr>
      </w:pPr>
      <w:r w:rsidRPr="0017046A">
        <w:rPr>
          <w:rFonts w:ascii="Times New Roman" w:hAnsi="Times New Roman" w:cs="Times New Roman"/>
          <w:sz w:val="24"/>
          <w:szCs w:val="24"/>
        </w:rPr>
        <w:t>PGW Exhibit 2.</w:t>
      </w:r>
    </w:p>
    <w:p w:rsidR="00EF2DB7" w:rsidRPr="0017046A" w:rsidRDefault="00EF2DB7" w:rsidP="0017046A">
      <w:pPr>
        <w:spacing w:after="0" w:line="360" w:lineRule="auto"/>
        <w:ind w:firstLine="1440"/>
        <w:rPr>
          <w:rFonts w:ascii="Times New Roman" w:hAnsi="Times New Roman" w:cs="Times New Roman"/>
          <w:sz w:val="24"/>
          <w:szCs w:val="24"/>
        </w:rPr>
      </w:pPr>
    </w:p>
    <w:p w:rsidR="00CC2CB4" w:rsidRPr="0017046A" w:rsidRDefault="008E40A1"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32</w:t>
      </w:r>
      <w:r w:rsidR="009360D9" w:rsidRPr="0017046A">
        <w:rPr>
          <w:rFonts w:ascii="Times New Roman" w:hAnsi="Times New Roman" w:cs="Times New Roman"/>
          <w:sz w:val="24"/>
          <w:szCs w:val="24"/>
        </w:rPr>
        <w:t>.</w:t>
      </w:r>
      <w:r w:rsidR="009360D9" w:rsidRPr="0017046A">
        <w:rPr>
          <w:rFonts w:ascii="Times New Roman" w:hAnsi="Times New Roman" w:cs="Times New Roman"/>
          <w:sz w:val="24"/>
          <w:szCs w:val="24"/>
        </w:rPr>
        <w:tab/>
      </w:r>
      <w:r w:rsidR="00CC2CB4" w:rsidRPr="0017046A">
        <w:rPr>
          <w:rFonts w:ascii="Times New Roman" w:hAnsi="Times New Roman" w:cs="Times New Roman"/>
          <w:sz w:val="24"/>
          <w:szCs w:val="24"/>
        </w:rPr>
        <w:t>Ms. Dawson’s outstanding balance in her account with PGW is $1,638.17, which represents arrearages accumulated between October 31, 2012, and April 7, 2015.  Tr. 59-63.</w:t>
      </w:r>
    </w:p>
    <w:p w:rsidR="00640C43" w:rsidRPr="0017046A" w:rsidRDefault="00640C43" w:rsidP="0017046A">
      <w:pPr>
        <w:spacing w:after="0" w:line="360" w:lineRule="auto"/>
        <w:jc w:val="center"/>
        <w:rPr>
          <w:rFonts w:ascii="Times New Roman" w:eastAsia="Times New Roman" w:hAnsi="Times New Roman" w:cs="Times New Roman"/>
          <w:sz w:val="24"/>
          <w:szCs w:val="24"/>
          <w:u w:val="single"/>
        </w:rPr>
      </w:pPr>
    </w:p>
    <w:p w:rsidR="00E10E62" w:rsidRPr="0017046A" w:rsidRDefault="00E10E62" w:rsidP="0017046A">
      <w:pPr>
        <w:spacing w:after="0" w:line="360" w:lineRule="auto"/>
        <w:jc w:val="center"/>
        <w:rPr>
          <w:rFonts w:ascii="Times New Roman" w:eastAsia="Times New Roman" w:hAnsi="Times New Roman" w:cs="Times New Roman"/>
          <w:sz w:val="24"/>
          <w:szCs w:val="24"/>
          <w:u w:val="single"/>
        </w:rPr>
      </w:pPr>
      <w:r w:rsidRPr="0017046A">
        <w:rPr>
          <w:rFonts w:ascii="Times New Roman" w:eastAsia="Times New Roman" w:hAnsi="Times New Roman" w:cs="Times New Roman"/>
          <w:sz w:val="24"/>
          <w:szCs w:val="24"/>
          <w:u w:val="single"/>
        </w:rPr>
        <w:t>DISCUSSION</w:t>
      </w:r>
    </w:p>
    <w:p w:rsidR="00E10E62" w:rsidRPr="0017046A" w:rsidRDefault="00E10E62" w:rsidP="0017046A">
      <w:pPr>
        <w:spacing w:after="0" w:line="360" w:lineRule="auto"/>
        <w:rPr>
          <w:rFonts w:ascii="Times New Roman" w:eastAsia="Times New Roman" w:hAnsi="Times New Roman" w:cs="Times New Roman"/>
          <w:sz w:val="24"/>
          <w:szCs w:val="24"/>
        </w:rPr>
      </w:pPr>
    </w:p>
    <w:p w:rsidR="00640C43" w:rsidRPr="0017046A" w:rsidRDefault="00640C43"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In her formal Complaint, Ms. Dawson </w:t>
      </w:r>
      <w:r w:rsidRPr="0017046A">
        <w:rPr>
          <w:rFonts w:ascii="Times New Roman" w:eastAsia="Calibri" w:hAnsi="Times New Roman" w:cs="Times New Roman"/>
          <w:sz w:val="24"/>
          <w:szCs w:val="24"/>
        </w:rPr>
        <w:t xml:space="preserve">alleged </w:t>
      </w:r>
      <w:r w:rsidRPr="0017046A">
        <w:rPr>
          <w:rFonts w:ascii="Times New Roman" w:eastAsia="Times New Roman" w:hAnsi="Times New Roman" w:cs="Times New Roman"/>
          <w:sz w:val="24"/>
          <w:szCs w:val="24"/>
        </w:rPr>
        <w:t xml:space="preserve">that there are incorrect charges on her gas bills.  In particular, Ms. Dawson challenged her February 14, 2014 and March 22, 2014 gas bills. As relief, she requested that the Respondent issue corrected bills and refund any </w:t>
      </w:r>
      <w:r w:rsidRPr="0017046A">
        <w:rPr>
          <w:rFonts w:ascii="Times New Roman" w:eastAsia="Times New Roman" w:hAnsi="Times New Roman" w:cs="Times New Roman"/>
          <w:sz w:val="24"/>
          <w:szCs w:val="24"/>
        </w:rPr>
        <w:lastRenderedPageBreak/>
        <w:t>overpayments to her account.  She also requested to be refunded the $10.00 charge for the new meter that was installed at her property although her old meter was working properly.</w:t>
      </w:r>
    </w:p>
    <w:p w:rsidR="00640C43" w:rsidRPr="0017046A" w:rsidRDefault="00640C43" w:rsidP="0017046A">
      <w:pPr>
        <w:spacing w:after="0" w:line="360" w:lineRule="auto"/>
        <w:ind w:firstLine="1440"/>
        <w:rPr>
          <w:rFonts w:ascii="Times New Roman" w:eastAsia="Times New Roman" w:hAnsi="Times New Roman" w:cs="Times New Roman"/>
          <w:sz w:val="24"/>
          <w:szCs w:val="24"/>
        </w:rPr>
      </w:pPr>
    </w:p>
    <w:p w:rsidR="00E10E62" w:rsidRPr="0017046A" w:rsidRDefault="00E10E62"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Pa.C.S.A. § 332(a).  In </w:t>
      </w:r>
      <w:r w:rsidRPr="0017046A">
        <w:rPr>
          <w:rFonts w:ascii="Times New Roman" w:eastAsia="Times New Roman" w:hAnsi="Times New Roman" w:cs="Times New Roman"/>
          <w:i/>
          <w:sz w:val="24"/>
          <w:szCs w:val="24"/>
        </w:rPr>
        <w:t>Waldron v. Philadelphia Electric Company</w:t>
      </w:r>
      <w:r w:rsidRPr="0017046A">
        <w:rPr>
          <w:rFonts w:ascii="Times New Roman" w:eastAsia="Times New Roman" w:hAnsi="Times New Roman" w:cs="Times New Roman"/>
          <w:sz w:val="24"/>
          <w:szCs w:val="24"/>
        </w:rPr>
        <w:t>, 54 Pa. PUC 98 (1980) (</w:t>
      </w:r>
      <w:r w:rsidRPr="0017046A">
        <w:rPr>
          <w:rFonts w:ascii="Times New Roman" w:eastAsia="Times New Roman" w:hAnsi="Times New Roman" w:cs="Times New Roman"/>
          <w:i/>
          <w:sz w:val="24"/>
          <w:szCs w:val="24"/>
        </w:rPr>
        <w:t>Waldron</w:t>
      </w:r>
      <w:r w:rsidRPr="0017046A">
        <w:rPr>
          <w:rFonts w:ascii="Times New Roman" w:eastAsia="Times New Roman" w:hAnsi="Times New Roman" w:cs="Times New Roman"/>
          <w:sz w:val="24"/>
          <w:szCs w:val="24"/>
        </w:rPr>
        <w:t xml:space="preserve">), the Commission explained the process for initially meeting the burden of proof.  A complainant must first establish a </w:t>
      </w:r>
      <w:r w:rsidRPr="0017046A">
        <w:rPr>
          <w:rFonts w:ascii="Times New Roman" w:eastAsia="Times New Roman" w:hAnsi="Times New Roman" w:cs="Times New Roman"/>
          <w:bCs/>
          <w:i/>
          <w:sz w:val="24"/>
          <w:szCs w:val="24"/>
        </w:rPr>
        <w:t>prima facie</w:t>
      </w:r>
      <w:r w:rsidRPr="0017046A">
        <w:rPr>
          <w:rFonts w:ascii="Times New Roman" w:eastAsia="Times New Roman" w:hAnsi="Times New Roman" w:cs="Times New Roman"/>
          <w:sz w:val="24"/>
          <w:szCs w:val="24"/>
        </w:rPr>
        <w:t xml:space="preserve"> case, showing that the utility breached some duty owed to the complainant, in that the utility violated the Public Utility Code or a regulation or order of the Commission.  </w:t>
      </w:r>
      <w:hyperlink r:id="rId9" w:history="1">
        <w:r w:rsidRPr="0017046A">
          <w:rPr>
            <w:rFonts w:ascii="Times New Roman" w:eastAsia="Times New Roman" w:hAnsi="Times New Roman" w:cs="Times New Roman"/>
            <w:sz w:val="24"/>
            <w:szCs w:val="24"/>
          </w:rPr>
          <w:t>66 Pa.C.S.A. § 701</w:t>
        </w:r>
      </w:hyperlink>
      <w:r w:rsidRPr="0017046A">
        <w:rPr>
          <w:rFonts w:ascii="Times New Roman" w:eastAsia="Times New Roman" w:hAnsi="Times New Roman" w:cs="Times New Roman"/>
          <w:sz w:val="24"/>
          <w:szCs w:val="24"/>
        </w:rPr>
        <w:t xml:space="preserve">.  If the complainant establishes a </w:t>
      </w:r>
      <w:r w:rsidRPr="0017046A">
        <w:rPr>
          <w:rFonts w:ascii="Times New Roman" w:eastAsia="Times New Roman" w:hAnsi="Times New Roman" w:cs="Times New Roman"/>
          <w:bCs/>
          <w:i/>
          <w:sz w:val="24"/>
          <w:szCs w:val="24"/>
        </w:rPr>
        <w:t>prima facie</w:t>
      </w:r>
      <w:r w:rsidRPr="0017046A">
        <w:rPr>
          <w:rFonts w:ascii="Times New Roman" w:eastAsia="Times New Roman" w:hAnsi="Times New Roman" w:cs="Times New Roman"/>
          <w:sz w:val="24"/>
          <w:szCs w:val="24"/>
        </w:rPr>
        <w:t xml:space="preserve"> case, then the burden of going forward with the evidence, but not the ultimate burden of proof, shifts to the utility to rebut the </w:t>
      </w:r>
      <w:r w:rsidRPr="0017046A">
        <w:rPr>
          <w:rFonts w:ascii="Times New Roman" w:eastAsia="Times New Roman" w:hAnsi="Times New Roman" w:cs="Times New Roman"/>
          <w:bCs/>
          <w:i/>
          <w:sz w:val="24"/>
          <w:szCs w:val="24"/>
        </w:rPr>
        <w:t>prima facie</w:t>
      </w:r>
      <w:r w:rsidRPr="0017046A">
        <w:rPr>
          <w:rFonts w:ascii="Times New Roman" w:eastAsia="Times New Roman" w:hAnsi="Times New Roman" w:cs="Times New Roman"/>
          <w:sz w:val="24"/>
          <w:szCs w:val="24"/>
        </w:rPr>
        <w:t xml:space="preserve"> case with evidence which is at least co-equal.  If the utility presents co-equal evidence, the burden of going forward shifts back to the complainant, to rebut the utility’s case by a preponderance of the evidence.  </w:t>
      </w:r>
      <w:hyperlink r:id="rId10" w:history="1">
        <w:r w:rsidRPr="0017046A">
          <w:rPr>
            <w:rFonts w:ascii="Times New Roman" w:eastAsia="Times New Roman" w:hAnsi="Times New Roman" w:cs="Times New Roman"/>
            <w:i/>
            <w:sz w:val="24"/>
            <w:szCs w:val="24"/>
          </w:rPr>
          <w:t>Poorbaugh v. West Penn Power Company</w:t>
        </w:r>
        <w:r w:rsidRPr="0017046A">
          <w:rPr>
            <w:rFonts w:ascii="Times New Roman" w:eastAsia="Times New Roman" w:hAnsi="Times New Roman" w:cs="Times New Roman"/>
            <w:sz w:val="24"/>
            <w:szCs w:val="24"/>
          </w:rPr>
          <w:t>, 1994 Pa. PUC LEXIS 95</w:t>
        </w:r>
      </w:hyperlink>
      <w:r w:rsidRPr="0017046A">
        <w:rPr>
          <w:rFonts w:ascii="Times New Roman" w:eastAsia="Times New Roman" w:hAnsi="Times New Roman" w:cs="Times New Roman"/>
          <w:sz w:val="24"/>
          <w:szCs w:val="24"/>
        </w:rPr>
        <w:t xml:space="preserve"> (</w:t>
      </w:r>
      <w:r w:rsidRPr="0017046A">
        <w:rPr>
          <w:rFonts w:ascii="Times New Roman" w:eastAsia="Times New Roman" w:hAnsi="Times New Roman" w:cs="Times New Roman"/>
          <w:i/>
          <w:sz w:val="24"/>
          <w:szCs w:val="24"/>
        </w:rPr>
        <w:t>Poorbaugh</w:t>
      </w:r>
      <w:r w:rsidRPr="0017046A">
        <w:rPr>
          <w:rFonts w:ascii="Times New Roman" w:eastAsia="Times New Roman" w:hAnsi="Times New Roman" w:cs="Times New Roman"/>
          <w:sz w:val="24"/>
          <w:szCs w:val="24"/>
        </w:rPr>
        <w:t xml:space="preserve">).  Preponderance of the evidence means that the party with the burden of proof has presented evidence that is more convincing than that presented by the other party.  </w:t>
      </w:r>
      <w:r w:rsidRPr="0017046A">
        <w:rPr>
          <w:rFonts w:ascii="Times New Roman" w:eastAsia="Times New Roman" w:hAnsi="Times New Roman" w:cs="Times New Roman"/>
          <w:i/>
          <w:iCs/>
          <w:sz w:val="24"/>
          <w:szCs w:val="24"/>
        </w:rPr>
        <w:t>Samuel J. Lansberry, Inc. v. Pa. Pub. Util. Comm’n,</w:t>
      </w:r>
      <w:r w:rsidRPr="0017046A">
        <w:rPr>
          <w:rFonts w:ascii="Times New Roman" w:eastAsia="Times New Roman" w:hAnsi="Times New Roman" w:cs="Times New Roman"/>
          <w:sz w:val="24"/>
          <w:szCs w:val="24"/>
        </w:rPr>
        <w:t xml:space="preserve"> 578 A.2d 600 (Pa. Cmwlth. 1990) </w:t>
      </w:r>
      <w:r w:rsidRPr="0017046A">
        <w:rPr>
          <w:rFonts w:ascii="Times New Roman" w:eastAsia="Times New Roman" w:hAnsi="Times New Roman" w:cs="Times New Roman"/>
          <w:i/>
          <w:iCs/>
          <w:sz w:val="24"/>
          <w:szCs w:val="24"/>
        </w:rPr>
        <w:t>alloc. den.</w:t>
      </w:r>
      <w:r w:rsidRPr="0017046A">
        <w:rPr>
          <w:rFonts w:ascii="Times New Roman" w:eastAsia="Times New Roman" w:hAnsi="Times New Roman" w:cs="Times New Roman"/>
          <w:sz w:val="24"/>
          <w:szCs w:val="24"/>
        </w:rPr>
        <w:t xml:space="preserve">, 529 Pa. 654, 602 A.2d 863 (1992).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17046A">
        <w:rPr>
          <w:rFonts w:ascii="Times New Roman" w:eastAsia="Times New Roman" w:hAnsi="Times New Roman" w:cs="Times New Roman"/>
          <w:i/>
          <w:iCs/>
          <w:sz w:val="24"/>
          <w:szCs w:val="24"/>
        </w:rPr>
        <w:t>Norfolk and Western Railway Co. v. Pa. Pub. Util. Comm’n</w:t>
      </w:r>
      <w:r w:rsidRPr="0017046A">
        <w:rPr>
          <w:rFonts w:ascii="Times New Roman" w:eastAsia="Times New Roman" w:hAnsi="Times New Roman" w:cs="Times New Roman"/>
          <w:sz w:val="24"/>
          <w:szCs w:val="24"/>
        </w:rPr>
        <w:t>, 489 Pa. 109, 413 A.2d 1037 (1980).</w:t>
      </w:r>
    </w:p>
    <w:p w:rsidR="00E10E62" w:rsidRPr="0017046A" w:rsidRDefault="00E10E62" w:rsidP="0017046A">
      <w:pPr>
        <w:spacing w:after="0" w:line="360" w:lineRule="auto"/>
        <w:ind w:firstLine="1440"/>
        <w:rPr>
          <w:rFonts w:ascii="Times New Roman" w:eastAsia="Times New Roman" w:hAnsi="Times New Roman" w:cs="Times New Roman"/>
          <w:sz w:val="24"/>
          <w:szCs w:val="24"/>
        </w:rPr>
      </w:pPr>
    </w:p>
    <w:p w:rsidR="00E10E62" w:rsidRDefault="00E10E62"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her burden of proof.  The complainant would be required to provide additional evidence to rebut the evidence of the respondent.  </w:t>
      </w:r>
      <w:r w:rsidRPr="0017046A">
        <w:rPr>
          <w:rFonts w:ascii="Times New Roman" w:eastAsia="Times New Roman" w:hAnsi="Times New Roman" w:cs="Times New Roman"/>
          <w:i/>
          <w:iCs/>
          <w:sz w:val="24"/>
          <w:szCs w:val="24"/>
        </w:rPr>
        <w:t>Burleson v. Pa. Pub. Util. Comm’n</w:t>
      </w:r>
      <w:r w:rsidRPr="0017046A">
        <w:rPr>
          <w:rFonts w:ascii="Times New Roman" w:eastAsia="Times New Roman" w:hAnsi="Times New Roman" w:cs="Times New Roman"/>
          <w:sz w:val="24"/>
          <w:szCs w:val="24"/>
        </w:rPr>
        <w:t xml:space="preserve">, 443 A.2d 1373 (Pa. Cmwlth. 1982), </w:t>
      </w:r>
      <w:r w:rsidRPr="0017046A">
        <w:rPr>
          <w:rFonts w:ascii="Times New Roman" w:eastAsia="Times New Roman" w:hAnsi="Times New Roman" w:cs="Times New Roman"/>
          <w:i/>
          <w:iCs/>
          <w:sz w:val="24"/>
          <w:szCs w:val="24"/>
        </w:rPr>
        <w:t>aff'd</w:t>
      </w:r>
      <w:r w:rsidRPr="0017046A">
        <w:rPr>
          <w:rFonts w:ascii="Times New Roman" w:eastAsia="Times New Roman" w:hAnsi="Times New Roman" w:cs="Times New Roman"/>
          <w:sz w:val="24"/>
          <w:szCs w:val="24"/>
        </w:rPr>
        <w:t>, 501 Pa. 433, 461 A.2d 1234 (1983). </w:t>
      </w:r>
    </w:p>
    <w:p w:rsidR="00175C85" w:rsidRPr="0017046A" w:rsidRDefault="00175C85" w:rsidP="0017046A">
      <w:pPr>
        <w:spacing w:after="0" w:line="360" w:lineRule="auto"/>
        <w:ind w:firstLine="1440"/>
        <w:rPr>
          <w:rFonts w:ascii="Times New Roman" w:eastAsia="Times New Roman" w:hAnsi="Times New Roman" w:cs="Times New Roman"/>
          <w:sz w:val="24"/>
          <w:szCs w:val="24"/>
        </w:rPr>
      </w:pPr>
    </w:p>
    <w:p w:rsidR="00E10E62" w:rsidRDefault="00E10E62"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lastRenderedPageBreak/>
        <w:t xml:space="preserve">While the </w:t>
      </w:r>
      <w:r w:rsidRPr="0017046A">
        <w:rPr>
          <w:rFonts w:ascii="Times New Roman" w:eastAsia="Times New Roman" w:hAnsi="Times New Roman" w:cs="Times New Roman"/>
          <w:bCs/>
          <w:sz w:val="24"/>
          <w:szCs w:val="24"/>
        </w:rPr>
        <w:t>burden of persuasion</w:t>
      </w:r>
      <w:r w:rsidRPr="0017046A">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r w:rsidRPr="0017046A">
        <w:rPr>
          <w:rFonts w:ascii="Times New Roman" w:eastAsia="Times New Roman" w:hAnsi="Times New Roman" w:cs="Times New Roman"/>
          <w:i/>
          <w:iCs/>
          <w:sz w:val="24"/>
          <w:szCs w:val="24"/>
        </w:rPr>
        <w:t>Milkie v. Pa. Pub. Util. Comm’n</w:t>
      </w:r>
      <w:r w:rsidRPr="0017046A">
        <w:rPr>
          <w:rFonts w:ascii="Times New Roman" w:eastAsia="Times New Roman" w:hAnsi="Times New Roman" w:cs="Times New Roman"/>
          <w:sz w:val="24"/>
          <w:szCs w:val="24"/>
        </w:rPr>
        <w:t>, 768 A.2d 1217 (Pa. Cmwlth. 2001).</w:t>
      </w:r>
    </w:p>
    <w:p w:rsidR="00175C85" w:rsidRPr="0017046A" w:rsidRDefault="00175C85" w:rsidP="0017046A">
      <w:pPr>
        <w:spacing w:after="0" w:line="360" w:lineRule="auto"/>
        <w:ind w:firstLine="1440"/>
        <w:rPr>
          <w:rFonts w:ascii="Times New Roman" w:eastAsia="Times New Roman" w:hAnsi="Times New Roman" w:cs="Times New Roman"/>
          <w:sz w:val="24"/>
          <w:szCs w:val="24"/>
        </w:rPr>
      </w:pPr>
    </w:p>
    <w:p w:rsidR="003757B2" w:rsidRPr="0017046A" w:rsidRDefault="003757B2" w:rsidP="0017046A">
      <w:pPr>
        <w:spacing w:after="0" w:line="360" w:lineRule="auto"/>
        <w:ind w:firstLine="1440"/>
        <w:rPr>
          <w:rFonts w:ascii="Times New Roman" w:hAnsi="Times New Roman" w:cs="Times New Roman"/>
          <w:sz w:val="24"/>
          <w:szCs w:val="24"/>
        </w:rPr>
      </w:pPr>
      <w:r w:rsidRPr="0017046A">
        <w:rPr>
          <w:rFonts w:ascii="Times New Roman" w:eastAsia="Calibri" w:hAnsi="Times New Roman" w:cs="Times New Roman"/>
          <w:sz w:val="24"/>
          <w:szCs w:val="24"/>
        </w:rPr>
        <w:t xml:space="preserve">At the evidentiary hearing, </w:t>
      </w:r>
      <w:r w:rsidRPr="0017046A">
        <w:rPr>
          <w:rFonts w:ascii="Times New Roman" w:hAnsi="Times New Roman" w:cs="Times New Roman"/>
          <w:sz w:val="24"/>
          <w:szCs w:val="24"/>
        </w:rPr>
        <w:t xml:space="preserve">Ms. Dawson testified that in 2007 she suffered a stroke which affected her mobility. </w:t>
      </w:r>
      <w:r w:rsidR="001F2D69" w:rsidRPr="0017046A">
        <w:rPr>
          <w:rFonts w:ascii="Times New Roman" w:hAnsi="Times New Roman" w:cs="Times New Roman"/>
          <w:sz w:val="24"/>
          <w:szCs w:val="24"/>
        </w:rPr>
        <w:t xml:space="preserve"> </w:t>
      </w:r>
      <w:r w:rsidRPr="0017046A">
        <w:rPr>
          <w:rFonts w:ascii="Times New Roman" w:hAnsi="Times New Roman" w:cs="Times New Roman"/>
          <w:sz w:val="24"/>
          <w:szCs w:val="24"/>
        </w:rPr>
        <w:t>Tr. 8.  The effects of the stroke rendered her unable to continue to reside by herself at the Serv</w:t>
      </w:r>
      <w:r w:rsidR="00640C43" w:rsidRPr="0017046A">
        <w:rPr>
          <w:rFonts w:ascii="Times New Roman" w:hAnsi="Times New Roman" w:cs="Times New Roman"/>
          <w:sz w:val="24"/>
          <w:szCs w:val="24"/>
        </w:rPr>
        <w:t>ice Address, so in April of 200</w:t>
      </w:r>
      <w:r w:rsidR="00175C85">
        <w:rPr>
          <w:rFonts w:ascii="Times New Roman" w:hAnsi="Times New Roman" w:cs="Times New Roman"/>
          <w:sz w:val="24"/>
          <w:szCs w:val="24"/>
        </w:rPr>
        <w:t>8</w:t>
      </w:r>
      <w:r w:rsidR="00640C43" w:rsidRPr="0017046A">
        <w:rPr>
          <w:rFonts w:ascii="Times New Roman" w:hAnsi="Times New Roman" w:cs="Times New Roman"/>
          <w:sz w:val="24"/>
          <w:szCs w:val="24"/>
        </w:rPr>
        <w:t>, Ms. Dawson</w:t>
      </w:r>
      <w:r w:rsidRPr="0017046A">
        <w:rPr>
          <w:rFonts w:ascii="Times New Roman" w:hAnsi="Times New Roman" w:cs="Times New Roman"/>
          <w:sz w:val="24"/>
          <w:szCs w:val="24"/>
        </w:rPr>
        <w:t xml:space="preserve"> moved to York House</w:t>
      </w:r>
      <w:r w:rsidR="00640C43" w:rsidRPr="0017046A">
        <w:rPr>
          <w:rFonts w:ascii="Times New Roman" w:hAnsi="Times New Roman" w:cs="Times New Roman"/>
          <w:sz w:val="24"/>
          <w:szCs w:val="24"/>
        </w:rPr>
        <w:t>,</w:t>
      </w:r>
      <w:r w:rsidRPr="0017046A">
        <w:rPr>
          <w:rFonts w:ascii="Times New Roman" w:hAnsi="Times New Roman" w:cs="Times New Roman"/>
          <w:sz w:val="24"/>
          <w:szCs w:val="24"/>
        </w:rPr>
        <w:t xml:space="preserve"> which provides assisted living to senior citizens.  Tr. 8, 28.  The Service Address remained vacant until the latter half of 2009 when someone broke into the house</w:t>
      </w:r>
      <w:r w:rsidR="008035AD">
        <w:rPr>
          <w:rFonts w:ascii="Times New Roman" w:hAnsi="Times New Roman" w:cs="Times New Roman"/>
          <w:i/>
          <w:sz w:val="24"/>
          <w:szCs w:val="24"/>
        </w:rPr>
        <w:t>.</w:t>
      </w:r>
      <w:r w:rsidRPr="0017046A">
        <w:rPr>
          <w:rFonts w:ascii="Times New Roman" w:hAnsi="Times New Roman" w:cs="Times New Roman"/>
          <w:i/>
          <w:sz w:val="24"/>
          <w:szCs w:val="24"/>
        </w:rPr>
        <w:t xml:space="preserve">  </w:t>
      </w:r>
      <w:r w:rsidRPr="0017046A">
        <w:rPr>
          <w:rFonts w:ascii="Times New Roman" w:hAnsi="Times New Roman" w:cs="Times New Roman"/>
          <w:sz w:val="24"/>
          <w:szCs w:val="24"/>
        </w:rPr>
        <w:t xml:space="preserve">Tr. 8-9.  </w:t>
      </w:r>
      <w:r w:rsidR="00640C43" w:rsidRPr="0017046A">
        <w:rPr>
          <w:rFonts w:ascii="Times New Roman" w:hAnsi="Times New Roman" w:cs="Times New Roman"/>
          <w:sz w:val="24"/>
          <w:szCs w:val="24"/>
        </w:rPr>
        <w:t xml:space="preserve">Ms. Dawson </w:t>
      </w:r>
      <w:r w:rsidRPr="0017046A">
        <w:rPr>
          <w:rFonts w:ascii="Times New Roman" w:hAnsi="Times New Roman" w:cs="Times New Roman"/>
          <w:sz w:val="24"/>
          <w:szCs w:val="24"/>
        </w:rPr>
        <w:t xml:space="preserve">testified that after the break-in, her nephew </w:t>
      </w:r>
      <w:r w:rsidR="00640C43" w:rsidRPr="0017046A">
        <w:rPr>
          <w:rFonts w:ascii="Times New Roman" w:hAnsi="Times New Roman" w:cs="Times New Roman"/>
          <w:sz w:val="24"/>
          <w:szCs w:val="24"/>
        </w:rPr>
        <w:t>moved into the Service Address in order to prevent any further damage to her property</w:t>
      </w:r>
      <w:r w:rsidRPr="0017046A">
        <w:rPr>
          <w:rFonts w:ascii="Times New Roman" w:hAnsi="Times New Roman" w:cs="Times New Roman"/>
          <w:sz w:val="24"/>
          <w:szCs w:val="24"/>
        </w:rPr>
        <w:t xml:space="preserve">.  </w:t>
      </w:r>
      <w:r w:rsidRPr="0017046A">
        <w:rPr>
          <w:rFonts w:ascii="Times New Roman" w:hAnsi="Times New Roman" w:cs="Times New Roman"/>
          <w:i/>
          <w:sz w:val="24"/>
          <w:szCs w:val="24"/>
        </w:rPr>
        <w:t>Id.</w:t>
      </w:r>
      <w:r w:rsidRPr="0017046A">
        <w:rPr>
          <w:rFonts w:ascii="Times New Roman" w:hAnsi="Times New Roman" w:cs="Times New Roman"/>
          <w:sz w:val="24"/>
          <w:szCs w:val="24"/>
        </w:rPr>
        <w:t xml:space="preserve">  He resided at t</w:t>
      </w:r>
      <w:r w:rsidR="008035AD">
        <w:rPr>
          <w:rFonts w:ascii="Times New Roman" w:hAnsi="Times New Roman" w:cs="Times New Roman"/>
          <w:sz w:val="24"/>
          <w:szCs w:val="24"/>
        </w:rPr>
        <w:t>he Service Address until August </w:t>
      </w:r>
      <w:r w:rsidRPr="0017046A">
        <w:rPr>
          <w:rFonts w:ascii="Times New Roman" w:hAnsi="Times New Roman" w:cs="Times New Roman"/>
          <w:sz w:val="24"/>
          <w:szCs w:val="24"/>
        </w:rPr>
        <w:t>18, 2012</w:t>
      </w:r>
      <w:r w:rsidR="00640C43" w:rsidRPr="0017046A">
        <w:rPr>
          <w:rFonts w:ascii="Times New Roman" w:hAnsi="Times New Roman" w:cs="Times New Roman"/>
          <w:sz w:val="24"/>
          <w:szCs w:val="24"/>
        </w:rPr>
        <w:t>,</w:t>
      </w:r>
      <w:r w:rsidR="0005368A" w:rsidRPr="0017046A">
        <w:rPr>
          <w:rFonts w:ascii="Times New Roman" w:hAnsi="Times New Roman" w:cs="Times New Roman"/>
          <w:sz w:val="24"/>
          <w:szCs w:val="24"/>
        </w:rPr>
        <w:t xml:space="preserve"> when Ms. Dawson left York H</w:t>
      </w:r>
      <w:r w:rsidRPr="0017046A">
        <w:rPr>
          <w:rFonts w:ascii="Times New Roman" w:hAnsi="Times New Roman" w:cs="Times New Roman"/>
          <w:sz w:val="24"/>
          <w:szCs w:val="24"/>
        </w:rPr>
        <w:t xml:space="preserve">ouse and returned to the Service Address.  Tr. 8, 22, 29.  During this time, Ms. Dawson understood her nephew to have put gas service for the Service Address in his name.  Tr. 22, 29.  </w:t>
      </w:r>
    </w:p>
    <w:p w:rsidR="003757B2" w:rsidRPr="0017046A" w:rsidRDefault="003757B2" w:rsidP="0017046A">
      <w:pPr>
        <w:spacing w:after="0" w:line="360" w:lineRule="auto"/>
        <w:ind w:firstLine="1440"/>
        <w:rPr>
          <w:rFonts w:ascii="Times New Roman" w:hAnsi="Times New Roman" w:cs="Times New Roman"/>
          <w:sz w:val="24"/>
          <w:szCs w:val="24"/>
        </w:rPr>
      </w:pPr>
    </w:p>
    <w:p w:rsidR="003757B2" w:rsidRPr="0017046A" w:rsidRDefault="003757B2"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 xml:space="preserve">Ms. Dawson testified </w:t>
      </w:r>
      <w:r w:rsidR="00640C43" w:rsidRPr="0017046A">
        <w:rPr>
          <w:rFonts w:ascii="Times New Roman" w:hAnsi="Times New Roman" w:cs="Times New Roman"/>
          <w:sz w:val="24"/>
          <w:szCs w:val="24"/>
        </w:rPr>
        <w:t xml:space="preserve">that upon her return </w:t>
      </w:r>
      <w:r w:rsidRPr="0017046A">
        <w:rPr>
          <w:rFonts w:ascii="Times New Roman" w:hAnsi="Times New Roman" w:cs="Times New Roman"/>
          <w:sz w:val="24"/>
          <w:szCs w:val="24"/>
        </w:rPr>
        <w:t>to the Service Address on August 18, 2012</w:t>
      </w:r>
      <w:r w:rsidR="00640C43" w:rsidRPr="0017046A">
        <w:rPr>
          <w:rFonts w:ascii="Times New Roman" w:hAnsi="Times New Roman" w:cs="Times New Roman"/>
          <w:sz w:val="24"/>
          <w:szCs w:val="24"/>
        </w:rPr>
        <w:t xml:space="preserve">, </w:t>
      </w:r>
      <w:r w:rsidRPr="0017046A">
        <w:rPr>
          <w:rFonts w:ascii="Times New Roman" w:hAnsi="Times New Roman" w:cs="Times New Roman"/>
          <w:sz w:val="24"/>
          <w:szCs w:val="24"/>
        </w:rPr>
        <w:t xml:space="preserve">she discovered an old gas bill dated October 2008 for over $1,100.00.  Tr. </w:t>
      </w:r>
      <w:r w:rsidR="00640C43" w:rsidRPr="0017046A">
        <w:rPr>
          <w:rFonts w:ascii="Times New Roman" w:hAnsi="Times New Roman" w:cs="Times New Roman"/>
          <w:sz w:val="24"/>
          <w:szCs w:val="24"/>
        </w:rPr>
        <w:t>9-</w:t>
      </w:r>
      <w:r w:rsidRPr="0017046A">
        <w:rPr>
          <w:rFonts w:ascii="Times New Roman" w:hAnsi="Times New Roman" w:cs="Times New Roman"/>
          <w:sz w:val="24"/>
          <w:szCs w:val="24"/>
        </w:rPr>
        <w:t xml:space="preserve">10, 19.  She disagrees with the bill because it is for a period of time when no one was living at </w:t>
      </w:r>
      <w:r w:rsidR="00640C43" w:rsidRPr="0017046A">
        <w:rPr>
          <w:rFonts w:ascii="Times New Roman" w:hAnsi="Times New Roman" w:cs="Times New Roman"/>
          <w:sz w:val="24"/>
          <w:szCs w:val="24"/>
        </w:rPr>
        <w:t>the Service Address</w:t>
      </w:r>
      <w:r w:rsidRPr="0017046A">
        <w:rPr>
          <w:rFonts w:ascii="Times New Roman" w:hAnsi="Times New Roman" w:cs="Times New Roman"/>
          <w:sz w:val="24"/>
          <w:szCs w:val="24"/>
        </w:rPr>
        <w:t>.  Tr. 10.  The Complainant admit</w:t>
      </w:r>
      <w:r w:rsidR="0005368A" w:rsidRPr="0017046A">
        <w:rPr>
          <w:rFonts w:ascii="Times New Roman" w:hAnsi="Times New Roman" w:cs="Times New Roman"/>
          <w:sz w:val="24"/>
          <w:szCs w:val="24"/>
        </w:rPr>
        <w:t>ted that</w:t>
      </w:r>
      <w:r w:rsidR="00640C43" w:rsidRPr="0017046A">
        <w:rPr>
          <w:rFonts w:ascii="Times New Roman" w:hAnsi="Times New Roman" w:cs="Times New Roman"/>
          <w:sz w:val="24"/>
          <w:szCs w:val="24"/>
        </w:rPr>
        <w:t>,</w:t>
      </w:r>
      <w:r w:rsidR="0005368A" w:rsidRPr="0017046A">
        <w:rPr>
          <w:rFonts w:ascii="Times New Roman" w:hAnsi="Times New Roman" w:cs="Times New Roman"/>
          <w:sz w:val="24"/>
          <w:szCs w:val="24"/>
        </w:rPr>
        <w:t xml:space="preserve"> before she went to </w:t>
      </w:r>
      <w:r w:rsidRPr="0017046A">
        <w:rPr>
          <w:rFonts w:ascii="Times New Roman" w:hAnsi="Times New Roman" w:cs="Times New Roman"/>
          <w:sz w:val="24"/>
          <w:szCs w:val="24"/>
        </w:rPr>
        <w:t>York House in April of 2008</w:t>
      </w:r>
      <w:r w:rsidR="00640C43" w:rsidRPr="0017046A">
        <w:rPr>
          <w:rFonts w:ascii="Times New Roman" w:hAnsi="Times New Roman" w:cs="Times New Roman"/>
          <w:sz w:val="24"/>
          <w:szCs w:val="24"/>
        </w:rPr>
        <w:t>,</w:t>
      </w:r>
      <w:r w:rsidRPr="0017046A">
        <w:rPr>
          <w:rFonts w:ascii="Times New Roman" w:hAnsi="Times New Roman" w:cs="Times New Roman"/>
          <w:sz w:val="24"/>
          <w:szCs w:val="24"/>
        </w:rPr>
        <w:t xml:space="preserve"> she had an outstanding balance with PGW of about $500.00 to $600.00.  Tr. 11.  She also adm</w:t>
      </w:r>
      <w:r w:rsidR="0005368A" w:rsidRPr="0017046A">
        <w:rPr>
          <w:rFonts w:ascii="Times New Roman" w:hAnsi="Times New Roman" w:cs="Times New Roman"/>
          <w:sz w:val="24"/>
          <w:szCs w:val="24"/>
        </w:rPr>
        <w:t xml:space="preserve">itted that, when she went to </w:t>
      </w:r>
      <w:r w:rsidRPr="0017046A">
        <w:rPr>
          <w:rFonts w:ascii="Times New Roman" w:hAnsi="Times New Roman" w:cs="Times New Roman"/>
          <w:sz w:val="24"/>
          <w:szCs w:val="24"/>
        </w:rPr>
        <w:t>York House</w:t>
      </w:r>
      <w:r w:rsidR="0005368A" w:rsidRPr="0017046A">
        <w:rPr>
          <w:rFonts w:ascii="Times New Roman" w:hAnsi="Times New Roman" w:cs="Times New Roman"/>
          <w:sz w:val="24"/>
          <w:szCs w:val="24"/>
        </w:rPr>
        <w:t>,</w:t>
      </w:r>
      <w:r w:rsidRPr="0017046A">
        <w:rPr>
          <w:rFonts w:ascii="Times New Roman" w:hAnsi="Times New Roman" w:cs="Times New Roman"/>
          <w:sz w:val="24"/>
          <w:szCs w:val="24"/>
        </w:rPr>
        <w:t xml:space="preserve"> she did not ask PGW to turn off her gas service or </w:t>
      </w:r>
      <w:r w:rsidR="0005368A" w:rsidRPr="0017046A">
        <w:rPr>
          <w:rFonts w:ascii="Times New Roman" w:hAnsi="Times New Roman" w:cs="Times New Roman"/>
          <w:sz w:val="24"/>
          <w:szCs w:val="24"/>
        </w:rPr>
        <w:t xml:space="preserve">to </w:t>
      </w:r>
      <w:r w:rsidRPr="0017046A">
        <w:rPr>
          <w:rFonts w:ascii="Times New Roman" w:hAnsi="Times New Roman" w:cs="Times New Roman"/>
          <w:sz w:val="24"/>
          <w:szCs w:val="24"/>
        </w:rPr>
        <w:t xml:space="preserve">mail her gas bills to the York House address.  Tr. 11-12, 29.  </w:t>
      </w:r>
    </w:p>
    <w:p w:rsidR="003757B2" w:rsidRPr="0017046A" w:rsidRDefault="003757B2" w:rsidP="0017046A">
      <w:pPr>
        <w:spacing w:after="0" w:line="360" w:lineRule="auto"/>
        <w:ind w:firstLine="1440"/>
        <w:rPr>
          <w:rFonts w:ascii="Times New Roman" w:hAnsi="Times New Roman" w:cs="Times New Roman"/>
          <w:sz w:val="24"/>
          <w:szCs w:val="24"/>
        </w:rPr>
      </w:pPr>
    </w:p>
    <w:p w:rsidR="003757B2" w:rsidRPr="0017046A" w:rsidRDefault="003757B2"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 xml:space="preserve">Ms. Dawson testified that when she returned to the Service Address in August of 2012 she did not have any heat.  Tr. 13.  She hired a plumber, but there was a problem with the thermostat so she contacted PGW.  Tr. 13.  </w:t>
      </w:r>
      <w:r w:rsidR="00640C43" w:rsidRPr="0017046A">
        <w:rPr>
          <w:rFonts w:ascii="Times New Roman" w:hAnsi="Times New Roman" w:cs="Times New Roman"/>
          <w:sz w:val="24"/>
          <w:szCs w:val="24"/>
        </w:rPr>
        <w:t xml:space="preserve">According to Ms. Dawson, </w:t>
      </w:r>
      <w:r w:rsidRPr="0017046A">
        <w:rPr>
          <w:rFonts w:ascii="Times New Roman" w:hAnsi="Times New Roman" w:cs="Times New Roman"/>
          <w:sz w:val="24"/>
          <w:szCs w:val="24"/>
        </w:rPr>
        <w:t xml:space="preserve">PGW came and put a lock on the heater and instructed </w:t>
      </w:r>
      <w:r w:rsidR="00640C43" w:rsidRPr="0017046A">
        <w:rPr>
          <w:rFonts w:ascii="Times New Roman" w:hAnsi="Times New Roman" w:cs="Times New Roman"/>
          <w:sz w:val="24"/>
          <w:szCs w:val="24"/>
        </w:rPr>
        <w:t xml:space="preserve">her </w:t>
      </w:r>
      <w:r w:rsidRPr="0017046A">
        <w:rPr>
          <w:rFonts w:ascii="Times New Roman" w:hAnsi="Times New Roman" w:cs="Times New Roman"/>
          <w:sz w:val="24"/>
          <w:szCs w:val="24"/>
        </w:rPr>
        <w:t xml:space="preserve">to visit PGW's office.  Tr. 13-14.  </w:t>
      </w:r>
      <w:r w:rsidR="00640C43" w:rsidRPr="0017046A">
        <w:rPr>
          <w:rFonts w:ascii="Times New Roman" w:hAnsi="Times New Roman" w:cs="Times New Roman"/>
          <w:sz w:val="24"/>
          <w:szCs w:val="24"/>
        </w:rPr>
        <w:t xml:space="preserve">Ms. Dawson </w:t>
      </w:r>
      <w:r w:rsidRPr="0017046A">
        <w:rPr>
          <w:rFonts w:ascii="Times New Roman" w:hAnsi="Times New Roman" w:cs="Times New Roman"/>
          <w:sz w:val="24"/>
          <w:szCs w:val="24"/>
        </w:rPr>
        <w:t xml:space="preserve">testified that she visited PGW's offices in October of 2012 and was informed that she had an outstanding balance of $3,000.00 and that she needed to pay $382.00 before PGW could remove the lock it placed on her heater.  Tr. 14.  She made the payment, but she still spent the winter of 2012-2013 in a cold </w:t>
      </w:r>
      <w:r w:rsidRPr="0017046A">
        <w:rPr>
          <w:rFonts w:ascii="Times New Roman" w:hAnsi="Times New Roman" w:cs="Times New Roman"/>
          <w:sz w:val="24"/>
          <w:szCs w:val="24"/>
        </w:rPr>
        <w:lastRenderedPageBreak/>
        <w:t xml:space="preserve">house.  Tr. 15.  In January of 2013, she was informed that she needed a new heater.  Tr. 15.  On January 18, 2014, she put a new </w:t>
      </w:r>
      <w:r w:rsidR="006F051A">
        <w:rPr>
          <w:rFonts w:ascii="Times New Roman" w:hAnsi="Times New Roman" w:cs="Times New Roman"/>
          <w:sz w:val="24"/>
          <w:szCs w:val="24"/>
        </w:rPr>
        <w:t xml:space="preserve">heater at the Service Address. </w:t>
      </w:r>
      <w:r w:rsidRPr="0017046A">
        <w:rPr>
          <w:rFonts w:ascii="Times New Roman" w:hAnsi="Times New Roman" w:cs="Times New Roman"/>
          <w:sz w:val="24"/>
          <w:szCs w:val="24"/>
        </w:rPr>
        <w:t xml:space="preserve"> Tr. 15, 68.  She testified that in </w:t>
      </w:r>
      <w:r w:rsidR="00175C85">
        <w:rPr>
          <w:rFonts w:ascii="Times New Roman" w:hAnsi="Times New Roman" w:cs="Times New Roman"/>
          <w:sz w:val="24"/>
          <w:szCs w:val="24"/>
        </w:rPr>
        <w:t>February of 2014,</w:t>
      </w:r>
      <w:r w:rsidRPr="0017046A">
        <w:rPr>
          <w:rFonts w:ascii="Times New Roman" w:hAnsi="Times New Roman" w:cs="Times New Roman"/>
          <w:sz w:val="24"/>
          <w:szCs w:val="24"/>
        </w:rPr>
        <w:t xml:space="preserve"> she received a gas bill from PGW in the amount of $525.67 which she is disputing.  Tr. 19. 21.  </w:t>
      </w:r>
    </w:p>
    <w:p w:rsidR="003757B2" w:rsidRPr="0017046A" w:rsidRDefault="003757B2" w:rsidP="0017046A">
      <w:pPr>
        <w:spacing w:after="0" w:line="360" w:lineRule="auto"/>
        <w:rPr>
          <w:rFonts w:ascii="Times New Roman" w:hAnsi="Times New Roman" w:cs="Times New Roman"/>
          <w:sz w:val="24"/>
          <w:szCs w:val="24"/>
        </w:rPr>
      </w:pPr>
    </w:p>
    <w:p w:rsidR="009A267D" w:rsidRPr="0017046A" w:rsidRDefault="003757B2"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In response to Ms. Dawson’s testimony, Ms. Glace testified that the Complainant’s service was turned off on April 8, 2011</w:t>
      </w:r>
      <w:r w:rsidR="009A267D" w:rsidRPr="0017046A">
        <w:rPr>
          <w:rFonts w:ascii="Times New Roman" w:hAnsi="Times New Roman" w:cs="Times New Roman"/>
          <w:sz w:val="24"/>
          <w:szCs w:val="24"/>
        </w:rPr>
        <w:t xml:space="preserve"> for non-payment.  Tr. 50, 57.  The outstanding balance in Ms. Dawson’s account at the time was</w:t>
      </w:r>
      <w:r w:rsidRPr="0017046A">
        <w:rPr>
          <w:rFonts w:ascii="Times New Roman" w:hAnsi="Times New Roman" w:cs="Times New Roman"/>
          <w:sz w:val="24"/>
          <w:szCs w:val="24"/>
        </w:rPr>
        <w:t xml:space="preserve"> $3,516.70.  </w:t>
      </w:r>
      <w:r w:rsidR="009A267D" w:rsidRPr="0017046A">
        <w:rPr>
          <w:rFonts w:ascii="Times New Roman" w:hAnsi="Times New Roman" w:cs="Times New Roman"/>
          <w:i/>
          <w:sz w:val="24"/>
          <w:szCs w:val="24"/>
        </w:rPr>
        <w:t>Id</w:t>
      </w:r>
      <w:r w:rsidRPr="0017046A">
        <w:rPr>
          <w:rFonts w:ascii="Times New Roman" w:hAnsi="Times New Roman" w:cs="Times New Roman"/>
          <w:i/>
          <w:sz w:val="24"/>
          <w:szCs w:val="24"/>
        </w:rPr>
        <w:t>.</w:t>
      </w:r>
      <w:r w:rsidR="00600EB6" w:rsidRPr="0017046A">
        <w:rPr>
          <w:rFonts w:ascii="Times New Roman" w:hAnsi="Times New Roman" w:cs="Times New Roman"/>
          <w:sz w:val="24"/>
          <w:szCs w:val="24"/>
        </w:rPr>
        <w:t xml:space="preserve">  Her Service Agreement</w:t>
      </w:r>
      <w:r w:rsidR="00600EB6" w:rsidRPr="0017046A">
        <w:rPr>
          <w:rStyle w:val="FootnoteReference"/>
          <w:rFonts w:ascii="Times New Roman" w:hAnsi="Times New Roman" w:cs="Times New Roman"/>
          <w:sz w:val="24"/>
          <w:szCs w:val="24"/>
        </w:rPr>
        <w:footnoteReference w:id="4"/>
      </w:r>
      <w:r w:rsidRPr="0017046A">
        <w:rPr>
          <w:rFonts w:ascii="Times New Roman" w:hAnsi="Times New Roman" w:cs="Times New Roman"/>
          <w:sz w:val="24"/>
          <w:szCs w:val="24"/>
        </w:rPr>
        <w:t xml:space="preserve"> with PGW was closed and the amount of $3,516.70 is currently in write–off status.  Tr. 58-63.  Ms. Dawson’s gas service was turned back on October 31, 2012, and a new SA was created for her.  Tr. 44, 57.  The PGW technician who visited the Service Address</w:t>
      </w:r>
      <w:r w:rsidR="00FF0B60" w:rsidRPr="0017046A">
        <w:rPr>
          <w:rFonts w:ascii="Times New Roman" w:hAnsi="Times New Roman" w:cs="Times New Roman"/>
          <w:sz w:val="24"/>
          <w:szCs w:val="24"/>
        </w:rPr>
        <w:t xml:space="preserve"> </w:t>
      </w:r>
      <w:r w:rsidR="0063467D" w:rsidRPr="0017046A">
        <w:rPr>
          <w:rFonts w:ascii="Times New Roman" w:hAnsi="Times New Roman" w:cs="Times New Roman"/>
          <w:sz w:val="24"/>
          <w:szCs w:val="24"/>
        </w:rPr>
        <w:t>to restore</w:t>
      </w:r>
      <w:r w:rsidR="00132467" w:rsidRPr="0017046A">
        <w:rPr>
          <w:rFonts w:ascii="Times New Roman" w:hAnsi="Times New Roman" w:cs="Times New Roman"/>
          <w:sz w:val="24"/>
          <w:szCs w:val="24"/>
        </w:rPr>
        <w:t xml:space="preserve"> service </w:t>
      </w:r>
      <w:r w:rsidR="00FF0B60" w:rsidRPr="0017046A">
        <w:rPr>
          <w:rFonts w:ascii="Times New Roman" w:hAnsi="Times New Roman" w:cs="Times New Roman"/>
          <w:sz w:val="24"/>
          <w:szCs w:val="24"/>
        </w:rPr>
        <w:t>on October 31, 2012,</w:t>
      </w:r>
      <w:r w:rsidRPr="0017046A">
        <w:rPr>
          <w:rFonts w:ascii="Times New Roman" w:hAnsi="Times New Roman" w:cs="Times New Roman"/>
          <w:sz w:val="24"/>
          <w:szCs w:val="24"/>
        </w:rPr>
        <w:t xml:space="preserve"> noted that he turned off Ms. Dawson’s heater at the valve because it was not controlled by a thermostat.  Tr. 44-45, PGW Exhibit 1.  PGW returned to the Service Address again on October 27, 2013, to check on a reported gas leak.  Tr. 45, PGW Exhibit 1.  During that visit, the PGW technician discovered that Ms. Dawson’s oven burner was leaking gas.  </w:t>
      </w:r>
      <w:r w:rsidRPr="0017046A">
        <w:rPr>
          <w:rFonts w:ascii="Times New Roman" w:hAnsi="Times New Roman" w:cs="Times New Roman"/>
          <w:i/>
          <w:sz w:val="24"/>
          <w:szCs w:val="24"/>
        </w:rPr>
        <w:t xml:space="preserve">Id. </w:t>
      </w:r>
      <w:r w:rsidRPr="0017046A">
        <w:rPr>
          <w:rFonts w:ascii="Times New Roman" w:hAnsi="Times New Roman" w:cs="Times New Roman"/>
          <w:sz w:val="24"/>
          <w:szCs w:val="24"/>
        </w:rPr>
        <w:t xml:space="preserve"> He turned the Complainant’s gas range off and noted that there were no active gas appliances on the premises.  </w:t>
      </w:r>
      <w:r w:rsidRPr="0017046A">
        <w:rPr>
          <w:rFonts w:ascii="Times New Roman" w:hAnsi="Times New Roman" w:cs="Times New Roman"/>
          <w:i/>
          <w:sz w:val="24"/>
          <w:szCs w:val="24"/>
        </w:rPr>
        <w:t xml:space="preserve">Id.  </w:t>
      </w:r>
      <w:r w:rsidRPr="0017046A">
        <w:rPr>
          <w:rFonts w:ascii="Times New Roman" w:hAnsi="Times New Roman" w:cs="Times New Roman"/>
          <w:sz w:val="24"/>
          <w:szCs w:val="24"/>
        </w:rPr>
        <w:t xml:space="preserve">He also issued a hazard tag for the gas range, turned </w:t>
      </w:r>
      <w:r w:rsidR="00FF0B60" w:rsidRPr="0017046A">
        <w:rPr>
          <w:rFonts w:ascii="Times New Roman" w:hAnsi="Times New Roman" w:cs="Times New Roman"/>
          <w:sz w:val="24"/>
          <w:szCs w:val="24"/>
        </w:rPr>
        <w:t xml:space="preserve">the </w:t>
      </w:r>
      <w:r w:rsidRPr="0017046A">
        <w:rPr>
          <w:rFonts w:ascii="Times New Roman" w:hAnsi="Times New Roman" w:cs="Times New Roman"/>
          <w:sz w:val="24"/>
          <w:szCs w:val="24"/>
        </w:rPr>
        <w:t>gas off at the meter with a bike lock and instructed the Complainant to call PGW once she had one</w:t>
      </w:r>
      <w:r w:rsidR="00155872">
        <w:rPr>
          <w:rFonts w:ascii="Times New Roman" w:hAnsi="Times New Roman" w:cs="Times New Roman"/>
          <w:sz w:val="24"/>
          <w:szCs w:val="24"/>
        </w:rPr>
        <w:t xml:space="preserve"> of the gas appliances fixed.  </w:t>
      </w:r>
      <w:r w:rsidRPr="0017046A">
        <w:rPr>
          <w:rFonts w:ascii="Times New Roman" w:hAnsi="Times New Roman" w:cs="Times New Roman"/>
          <w:i/>
          <w:sz w:val="24"/>
          <w:szCs w:val="24"/>
        </w:rPr>
        <w:t xml:space="preserve">Id.  </w:t>
      </w:r>
      <w:r w:rsidRPr="0017046A">
        <w:rPr>
          <w:rFonts w:ascii="Times New Roman" w:hAnsi="Times New Roman" w:cs="Times New Roman"/>
          <w:sz w:val="24"/>
          <w:szCs w:val="24"/>
        </w:rPr>
        <w:t>On October 30, 2013, PGW’s technicians returned to the Service Address to restore gas servic</w:t>
      </w:r>
      <w:r w:rsidR="009A267D" w:rsidRPr="0017046A">
        <w:rPr>
          <w:rFonts w:ascii="Times New Roman" w:hAnsi="Times New Roman" w:cs="Times New Roman"/>
          <w:sz w:val="24"/>
          <w:szCs w:val="24"/>
        </w:rPr>
        <w:t>e.  Tr. 48-49, PGW Exhibit 1.</w:t>
      </w:r>
    </w:p>
    <w:p w:rsidR="00521942" w:rsidRPr="0017046A" w:rsidRDefault="00521942" w:rsidP="0017046A">
      <w:pPr>
        <w:spacing w:after="0" w:line="360" w:lineRule="auto"/>
        <w:ind w:firstLine="1440"/>
        <w:rPr>
          <w:rFonts w:ascii="Times New Roman" w:hAnsi="Times New Roman" w:cs="Times New Roman"/>
          <w:sz w:val="24"/>
          <w:szCs w:val="24"/>
        </w:rPr>
      </w:pPr>
    </w:p>
    <w:p w:rsidR="003757B2" w:rsidRPr="0017046A" w:rsidRDefault="003757B2"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Ms. Glace testified that on October 10, 2013, Ms. Dawson had no outstanding balance with PGW.  Tr. 69, PGW Exhibit 2.  After October 10, 2013, Ms. Dawson made only two partial payments of $81.45 and $86.06 until June 3, 2014.  However, in the interim she received eight bills with the following charges: October 19, 2013 bill for $39.56, November 19, 2013 bill for $41.30, December 18, 2013 bill for $83.58, January 22, 2014 bill for $77.19; February 21, 2014 bill for $447.33, March 22, 2014 bill for $333.05, April 23, 2014 bill for $220.58 and May 20, 2014 bi</w:t>
      </w:r>
      <w:r w:rsidR="00FF0B60" w:rsidRPr="0017046A">
        <w:rPr>
          <w:rFonts w:ascii="Times New Roman" w:hAnsi="Times New Roman" w:cs="Times New Roman"/>
          <w:sz w:val="24"/>
          <w:szCs w:val="24"/>
        </w:rPr>
        <w:t xml:space="preserve">ll for $79.04.  </w:t>
      </w:r>
      <w:r w:rsidR="009A267D" w:rsidRPr="0017046A">
        <w:rPr>
          <w:rFonts w:ascii="Times New Roman" w:hAnsi="Times New Roman" w:cs="Times New Roman"/>
          <w:sz w:val="24"/>
          <w:szCs w:val="24"/>
        </w:rPr>
        <w:t>PGW Exhibit 2.</w:t>
      </w:r>
    </w:p>
    <w:p w:rsidR="009A267D" w:rsidRPr="0017046A" w:rsidRDefault="009A267D" w:rsidP="0017046A">
      <w:pPr>
        <w:spacing w:after="0" w:line="360" w:lineRule="auto"/>
        <w:ind w:firstLine="1440"/>
        <w:contextualSpacing/>
        <w:rPr>
          <w:rFonts w:ascii="Times New Roman" w:hAnsi="Times New Roman" w:cs="Times New Roman"/>
          <w:sz w:val="24"/>
          <w:szCs w:val="24"/>
        </w:rPr>
      </w:pPr>
    </w:p>
    <w:p w:rsidR="003757B2" w:rsidRPr="0017046A" w:rsidRDefault="00576A16" w:rsidP="0017046A">
      <w:pPr>
        <w:spacing w:after="0" w:line="360" w:lineRule="auto"/>
        <w:ind w:firstLine="1440"/>
        <w:contextualSpacing/>
        <w:rPr>
          <w:rFonts w:ascii="Times New Roman" w:hAnsi="Times New Roman" w:cs="Times New Roman"/>
          <w:sz w:val="24"/>
          <w:szCs w:val="24"/>
        </w:rPr>
      </w:pPr>
      <w:r w:rsidRPr="0017046A">
        <w:rPr>
          <w:rFonts w:ascii="Times New Roman" w:hAnsi="Times New Roman" w:cs="Times New Roman"/>
          <w:sz w:val="24"/>
          <w:szCs w:val="24"/>
        </w:rPr>
        <w:lastRenderedPageBreak/>
        <w:t>According to Ms. Glace, o</w:t>
      </w:r>
      <w:r w:rsidR="003757B2" w:rsidRPr="0017046A">
        <w:rPr>
          <w:rFonts w:ascii="Times New Roman" w:hAnsi="Times New Roman" w:cs="Times New Roman"/>
          <w:sz w:val="24"/>
          <w:szCs w:val="24"/>
        </w:rPr>
        <w:t xml:space="preserve">n April 10, 2014, Complainant filed an informal complaint with the BCS at BCS Case # 3220721 disputing the accuracy of her bills and requesting a payment arrangement. Tr. 49, PGW Exhibit 1.  On September 24, 2014, Complainant contacted PGW and inquired about having her gas meter tested.  She was informed that there was a $10.00 charge associated with the meter testing.  Tr. 52, PGW Exhibit 1.  On October 10, 2014, BCS issued an informal decision in BCS Case # 3220721, finding that Ms. </w:t>
      </w:r>
      <w:r w:rsidR="00F36B2B" w:rsidRPr="0017046A">
        <w:rPr>
          <w:rFonts w:ascii="Times New Roman" w:hAnsi="Times New Roman" w:cs="Times New Roman"/>
          <w:sz w:val="24"/>
          <w:szCs w:val="24"/>
        </w:rPr>
        <w:t>Dawson’s</w:t>
      </w:r>
      <w:r w:rsidR="003757B2" w:rsidRPr="0017046A">
        <w:rPr>
          <w:rFonts w:ascii="Times New Roman" w:hAnsi="Times New Roman" w:cs="Times New Roman"/>
          <w:sz w:val="24"/>
          <w:szCs w:val="24"/>
        </w:rPr>
        <w:t xml:space="preserve"> bills were correct as rendered and establishing a payment arrangement on behalf of the Complainant.  The payment arrangement requested that the Complainant pay the special budget amount of $150.00 per month consisting of the regular budget billing amount of $114.00 per month, plus $36.00 per month towards the arrearages, beginning with the November 2014 due date.  Tr. 53, 74, PGW Exhibits 2 and 7.  On October 15, 2014, PGW removed the gas meter serving the Service Address for testing.  Tr. 54.  The meter was tested on October 31, 2014, and the results indicated that it registered within the 2% tolerance level of accur</w:t>
      </w:r>
      <w:r w:rsidR="009360D9" w:rsidRPr="0017046A">
        <w:rPr>
          <w:rFonts w:ascii="Times New Roman" w:hAnsi="Times New Roman" w:cs="Times New Roman"/>
          <w:sz w:val="24"/>
          <w:szCs w:val="24"/>
        </w:rPr>
        <w:t xml:space="preserve">acy.  Tr. 55-56, PGW Exhibit 5.  </w:t>
      </w:r>
      <w:r w:rsidR="003757B2" w:rsidRPr="0017046A">
        <w:rPr>
          <w:rFonts w:ascii="Times New Roman" w:hAnsi="Times New Roman" w:cs="Times New Roman"/>
          <w:sz w:val="24"/>
          <w:szCs w:val="24"/>
        </w:rPr>
        <w:t>Ms. Dawson’s outstanding balance in her account with PGW is $1,638.17, which represents arrearages accumulated between October 31, 2012, and April 7, 2015.  Tr. 59-63.</w:t>
      </w:r>
    </w:p>
    <w:p w:rsidR="003757B2" w:rsidRPr="0017046A" w:rsidRDefault="003757B2" w:rsidP="0017046A">
      <w:pPr>
        <w:spacing w:after="0" w:line="360" w:lineRule="auto"/>
        <w:ind w:firstLine="1440"/>
        <w:rPr>
          <w:rFonts w:ascii="Times New Roman" w:eastAsia="Times New Roman" w:hAnsi="Times New Roman" w:cs="Times New Roman"/>
          <w:sz w:val="24"/>
          <w:szCs w:val="24"/>
        </w:rPr>
      </w:pPr>
    </w:p>
    <w:p w:rsidR="003757B2" w:rsidRPr="0017046A" w:rsidRDefault="009A267D" w:rsidP="0017046A">
      <w:pPr>
        <w:spacing w:after="0" w:line="360" w:lineRule="auto"/>
        <w:ind w:firstLine="1440"/>
        <w:rPr>
          <w:rFonts w:ascii="Times New Roman" w:eastAsia="Times New Roman" w:hAnsi="Times New Roman" w:cs="Times New Roman"/>
          <w:b/>
          <w:sz w:val="24"/>
          <w:szCs w:val="24"/>
        </w:rPr>
      </w:pPr>
      <w:r w:rsidRPr="0017046A">
        <w:rPr>
          <w:rFonts w:ascii="Times New Roman" w:eastAsia="Times New Roman" w:hAnsi="Times New Roman" w:cs="Times New Roman"/>
          <w:b/>
          <w:sz w:val="24"/>
          <w:szCs w:val="24"/>
        </w:rPr>
        <w:t xml:space="preserve">High </w:t>
      </w:r>
      <w:r w:rsidR="00B81612" w:rsidRPr="0017046A">
        <w:rPr>
          <w:rFonts w:ascii="Times New Roman" w:eastAsia="Times New Roman" w:hAnsi="Times New Roman" w:cs="Times New Roman"/>
          <w:b/>
          <w:sz w:val="24"/>
          <w:szCs w:val="24"/>
        </w:rPr>
        <w:t>B</w:t>
      </w:r>
      <w:r w:rsidRPr="0017046A">
        <w:rPr>
          <w:rFonts w:ascii="Times New Roman" w:eastAsia="Times New Roman" w:hAnsi="Times New Roman" w:cs="Times New Roman"/>
          <w:b/>
          <w:sz w:val="24"/>
          <w:szCs w:val="24"/>
        </w:rPr>
        <w:t>illing Dispute</w:t>
      </w:r>
    </w:p>
    <w:p w:rsidR="00840A6E" w:rsidRPr="0017046A" w:rsidRDefault="00840A6E" w:rsidP="0017046A">
      <w:pPr>
        <w:spacing w:after="0" w:line="360" w:lineRule="auto"/>
        <w:ind w:firstLine="1440"/>
        <w:rPr>
          <w:rFonts w:ascii="Times New Roman" w:eastAsia="Times New Roman" w:hAnsi="Times New Roman" w:cs="Times New Roman"/>
          <w:b/>
          <w:sz w:val="24"/>
          <w:szCs w:val="24"/>
        </w:rPr>
      </w:pPr>
    </w:p>
    <w:p w:rsidR="00A10488" w:rsidRPr="0017046A" w:rsidRDefault="00B81612"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 xml:space="preserve">The </w:t>
      </w:r>
      <w:r w:rsidR="00A10488" w:rsidRPr="0017046A">
        <w:rPr>
          <w:rFonts w:ascii="Times New Roman" w:hAnsi="Times New Roman" w:cs="Times New Roman"/>
          <w:sz w:val="24"/>
          <w:szCs w:val="24"/>
        </w:rPr>
        <w:t>burden of proof for high billing complaints</w:t>
      </w:r>
      <w:r w:rsidRPr="0017046A">
        <w:rPr>
          <w:rFonts w:ascii="Times New Roman" w:hAnsi="Times New Roman" w:cs="Times New Roman"/>
          <w:sz w:val="24"/>
          <w:szCs w:val="24"/>
        </w:rPr>
        <w:t xml:space="preserve"> has been explained in </w:t>
      </w:r>
      <w:r w:rsidRPr="0017046A">
        <w:rPr>
          <w:rFonts w:ascii="Times New Roman" w:hAnsi="Times New Roman" w:cs="Times New Roman"/>
          <w:bCs/>
          <w:i/>
          <w:iCs/>
          <w:sz w:val="24"/>
          <w:szCs w:val="24"/>
        </w:rPr>
        <w:t>Waldron</w:t>
      </w:r>
      <w:r w:rsidRPr="0017046A">
        <w:rPr>
          <w:rFonts w:ascii="Times New Roman" w:hAnsi="Times New Roman" w:cs="Times New Roman"/>
          <w:i/>
          <w:iCs/>
          <w:sz w:val="24"/>
          <w:szCs w:val="24"/>
        </w:rPr>
        <w:t xml:space="preserve"> v. Philadelphia Electric Company</w:t>
      </w:r>
      <w:r w:rsidRPr="0017046A">
        <w:rPr>
          <w:rFonts w:ascii="Times New Roman" w:hAnsi="Times New Roman" w:cs="Times New Roman"/>
          <w:sz w:val="24"/>
          <w:szCs w:val="24"/>
        </w:rPr>
        <w:t xml:space="preserve">, 54 Pa. PUC 98 (1980), and its progeny. </w:t>
      </w:r>
      <w:r w:rsidR="00A10488" w:rsidRPr="0017046A">
        <w:rPr>
          <w:rFonts w:ascii="Times New Roman" w:hAnsi="Times New Roman" w:cs="Times New Roman"/>
          <w:sz w:val="24"/>
          <w:szCs w:val="24"/>
        </w:rPr>
        <w:t xml:space="preserve"> </w:t>
      </w:r>
      <w:r w:rsidRPr="0017046A">
        <w:rPr>
          <w:rFonts w:ascii="Times New Roman" w:hAnsi="Times New Roman" w:cs="Times New Roman"/>
          <w:sz w:val="24"/>
          <w:szCs w:val="24"/>
        </w:rPr>
        <w:t xml:space="preserve">In </w:t>
      </w:r>
      <w:r w:rsidRPr="0017046A">
        <w:rPr>
          <w:rFonts w:ascii="Times New Roman" w:hAnsi="Times New Roman" w:cs="Times New Roman"/>
          <w:bCs/>
          <w:i/>
          <w:iCs/>
          <w:sz w:val="24"/>
          <w:szCs w:val="24"/>
        </w:rPr>
        <w:t>Waldron</w:t>
      </w:r>
      <w:r w:rsidRPr="0017046A">
        <w:rPr>
          <w:rFonts w:ascii="Times New Roman" w:hAnsi="Times New Roman" w:cs="Times New Roman"/>
          <w:sz w:val="24"/>
          <w:szCs w:val="24"/>
        </w:rPr>
        <w:t xml:space="preserve">, the Commission adopted the Michigan Public Service Commission's (PSC's) policy annunciated in </w:t>
      </w:r>
      <w:r w:rsidRPr="0017046A">
        <w:rPr>
          <w:rFonts w:ascii="Times New Roman" w:hAnsi="Times New Roman" w:cs="Times New Roman"/>
          <w:i/>
          <w:iCs/>
          <w:sz w:val="24"/>
          <w:szCs w:val="24"/>
        </w:rPr>
        <w:t>Hallifax v. O &amp; A Electric Co-Op</w:t>
      </w:r>
      <w:r w:rsidRPr="0017046A">
        <w:rPr>
          <w:rFonts w:ascii="Times New Roman" w:hAnsi="Times New Roman" w:cs="Times New Roman"/>
          <w:sz w:val="24"/>
          <w:szCs w:val="24"/>
        </w:rPr>
        <w:t xml:space="preserve">, Case No. U-5825, May 1979, which stated that, while the accuracy of the meter is an important factor in resolving billing disputes, it is not the sole criterion. </w:t>
      </w:r>
      <w:r w:rsidR="00A10488" w:rsidRPr="0017046A">
        <w:rPr>
          <w:rFonts w:ascii="Times New Roman" w:hAnsi="Times New Roman" w:cs="Times New Roman"/>
          <w:sz w:val="24"/>
          <w:szCs w:val="24"/>
        </w:rPr>
        <w:t xml:space="preserve"> </w:t>
      </w:r>
      <w:r w:rsidRPr="0017046A">
        <w:rPr>
          <w:rFonts w:ascii="Times New Roman" w:hAnsi="Times New Roman" w:cs="Times New Roman"/>
          <w:sz w:val="24"/>
          <w:szCs w:val="24"/>
        </w:rPr>
        <w:t xml:space="preserve">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 </w:t>
      </w:r>
      <w:r w:rsidR="00A10488" w:rsidRPr="0017046A">
        <w:rPr>
          <w:rFonts w:ascii="Times New Roman" w:hAnsi="Times New Roman" w:cs="Times New Roman"/>
          <w:sz w:val="24"/>
          <w:szCs w:val="24"/>
        </w:rPr>
        <w:t xml:space="preserve"> </w:t>
      </w:r>
      <w:r w:rsidRPr="0017046A">
        <w:rPr>
          <w:rFonts w:ascii="Times New Roman" w:hAnsi="Times New Roman" w:cs="Times New Roman"/>
          <w:bCs/>
          <w:i/>
          <w:iCs/>
          <w:sz w:val="24"/>
          <w:szCs w:val="24"/>
        </w:rPr>
        <w:t>Waldron</w:t>
      </w:r>
      <w:r w:rsidRPr="0017046A">
        <w:rPr>
          <w:rFonts w:ascii="Times New Roman" w:hAnsi="Times New Roman" w:cs="Times New Roman"/>
          <w:sz w:val="24"/>
          <w:szCs w:val="24"/>
        </w:rPr>
        <w:t xml:space="preserve"> at 100.</w:t>
      </w:r>
      <w:r w:rsidRPr="0017046A">
        <w:rPr>
          <w:rFonts w:ascii="Times New Roman" w:hAnsi="Times New Roman" w:cs="Times New Roman"/>
          <w:sz w:val="24"/>
          <w:szCs w:val="24"/>
        </w:rPr>
        <w:br/>
      </w:r>
    </w:p>
    <w:p w:rsidR="00B81612" w:rsidRPr="0017046A" w:rsidRDefault="00B81612" w:rsidP="0017046A">
      <w:pPr>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 xml:space="preserve">Consistent with the Commission's holding in </w:t>
      </w:r>
      <w:r w:rsidRPr="0017046A">
        <w:rPr>
          <w:rFonts w:ascii="Times New Roman" w:hAnsi="Times New Roman" w:cs="Times New Roman"/>
          <w:i/>
          <w:iCs/>
          <w:sz w:val="24"/>
          <w:szCs w:val="24"/>
        </w:rPr>
        <w:t>Charisse Bennett v. Peoples Natural Gas Co.</w:t>
      </w:r>
      <w:r w:rsidRPr="0017046A">
        <w:rPr>
          <w:rFonts w:ascii="Times New Roman" w:hAnsi="Times New Roman" w:cs="Times New Roman"/>
          <w:sz w:val="24"/>
          <w:szCs w:val="24"/>
        </w:rPr>
        <w:t xml:space="preserve">, Docket No. C-2009-2122979 (Order entered October 13, 2010), the </w:t>
      </w:r>
      <w:r w:rsidRPr="0017046A">
        <w:rPr>
          <w:rFonts w:ascii="Times New Roman" w:hAnsi="Times New Roman" w:cs="Times New Roman"/>
          <w:bCs/>
          <w:i/>
          <w:iCs/>
          <w:sz w:val="24"/>
          <w:szCs w:val="24"/>
        </w:rPr>
        <w:t>Waldron</w:t>
      </w:r>
      <w:r w:rsidRPr="0017046A">
        <w:rPr>
          <w:rFonts w:ascii="Times New Roman" w:hAnsi="Times New Roman" w:cs="Times New Roman"/>
          <w:sz w:val="24"/>
          <w:szCs w:val="24"/>
        </w:rPr>
        <w:t xml:space="preserve"> Rule allows a complainant to establish a </w:t>
      </w:r>
      <w:r w:rsidRPr="0017046A">
        <w:rPr>
          <w:rFonts w:ascii="Times New Roman" w:hAnsi="Times New Roman" w:cs="Times New Roman"/>
          <w:i/>
          <w:iCs/>
          <w:sz w:val="24"/>
          <w:szCs w:val="24"/>
        </w:rPr>
        <w:t>prima facie</w:t>
      </w:r>
      <w:r w:rsidR="00A10488" w:rsidRPr="0017046A">
        <w:rPr>
          <w:rFonts w:ascii="Times New Roman" w:hAnsi="Times New Roman" w:cs="Times New Roman"/>
          <w:sz w:val="24"/>
          <w:szCs w:val="24"/>
        </w:rPr>
        <w:t xml:space="preserve"> case in a high bill</w:t>
      </w:r>
      <w:r w:rsidRPr="0017046A">
        <w:rPr>
          <w:rFonts w:ascii="Times New Roman" w:hAnsi="Times New Roman" w:cs="Times New Roman"/>
          <w:sz w:val="24"/>
          <w:szCs w:val="24"/>
        </w:rPr>
        <w:t xml:space="preserve"> complaint by showing that the </w:t>
      </w:r>
      <w:r w:rsidRPr="0017046A">
        <w:rPr>
          <w:rFonts w:ascii="Times New Roman" w:hAnsi="Times New Roman" w:cs="Times New Roman"/>
          <w:sz w:val="24"/>
          <w:szCs w:val="24"/>
        </w:rPr>
        <w:lastRenderedPageBreak/>
        <w:t xml:space="preserve">disputed bill is abnormally high when compared to prior usage patterns and his or her pattern of usage </w:t>
      </w:r>
      <w:r w:rsidR="00A10488" w:rsidRPr="0017046A">
        <w:rPr>
          <w:rFonts w:ascii="Times New Roman" w:hAnsi="Times New Roman" w:cs="Times New Roman"/>
          <w:sz w:val="24"/>
          <w:szCs w:val="24"/>
        </w:rPr>
        <w:t>has not changed or by providing</w:t>
      </w:r>
      <w:r w:rsidRPr="0017046A">
        <w:rPr>
          <w:rFonts w:ascii="Times New Roman" w:hAnsi="Times New Roman" w:cs="Times New Roman"/>
          <w:sz w:val="24"/>
          <w:szCs w:val="24"/>
        </w:rPr>
        <w:t xml:space="preserve"> other relevant evidence showing that the disputed bill is unreasonably high. </w:t>
      </w:r>
      <w:r w:rsidR="00A10488" w:rsidRPr="0017046A">
        <w:rPr>
          <w:rFonts w:ascii="Times New Roman" w:hAnsi="Times New Roman" w:cs="Times New Roman"/>
          <w:sz w:val="24"/>
          <w:szCs w:val="24"/>
        </w:rPr>
        <w:t xml:space="preserve"> In evaluating a high bill</w:t>
      </w:r>
      <w:r w:rsidRPr="0017046A">
        <w:rPr>
          <w:rFonts w:ascii="Times New Roman" w:hAnsi="Times New Roman" w:cs="Times New Roman"/>
          <w:sz w:val="24"/>
          <w:szCs w:val="24"/>
        </w:rPr>
        <w:t xml:space="preserve"> complaint, the Commission may consider such evidence as "the billing history of the account, any change in usage patterns (such as a change in the number of occupants residing in the household or potential energy utilization), and any other relevant facts or circumstances that come to light during the proceeding." </w:t>
      </w:r>
      <w:r w:rsidR="0024340F" w:rsidRPr="0017046A">
        <w:rPr>
          <w:rFonts w:ascii="Times New Roman" w:hAnsi="Times New Roman" w:cs="Times New Roman"/>
          <w:sz w:val="24"/>
          <w:szCs w:val="24"/>
        </w:rPr>
        <w:t xml:space="preserve"> </w:t>
      </w:r>
      <w:r w:rsidRPr="0017046A">
        <w:rPr>
          <w:rFonts w:ascii="Times New Roman" w:hAnsi="Times New Roman" w:cs="Times New Roman"/>
          <w:i/>
          <w:iCs/>
          <w:sz w:val="24"/>
          <w:szCs w:val="24"/>
        </w:rPr>
        <w:t>Id.</w:t>
      </w:r>
      <w:r w:rsidRPr="0017046A">
        <w:rPr>
          <w:rFonts w:ascii="Times New Roman" w:hAnsi="Times New Roman" w:cs="Times New Roman"/>
          <w:sz w:val="24"/>
          <w:szCs w:val="24"/>
        </w:rPr>
        <w:t xml:space="preserve"> at 6 (emphasis added). </w:t>
      </w:r>
      <w:r w:rsidR="00A10488" w:rsidRPr="0017046A">
        <w:rPr>
          <w:rFonts w:ascii="Times New Roman" w:hAnsi="Times New Roman" w:cs="Times New Roman"/>
          <w:sz w:val="24"/>
          <w:szCs w:val="24"/>
        </w:rPr>
        <w:t xml:space="preserve"> </w:t>
      </w:r>
      <w:r w:rsidRPr="0017046A">
        <w:rPr>
          <w:rFonts w:ascii="Times New Roman" w:hAnsi="Times New Roman" w:cs="Times New Roman"/>
          <w:i/>
          <w:iCs/>
          <w:sz w:val="24"/>
          <w:szCs w:val="24"/>
        </w:rPr>
        <w:t>See Nehemiah B. Thomas v. PECO Energy Company</w:t>
      </w:r>
      <w:r w:rsidRPr="0017046A">
        <w:rPr>
          <w:rFonts w:ascii="Times New Roman" w:hAnsi="Times New Roman" w:cs="Times New Roman"/>
          <w:sz w:val="24"/>
          <w:szCs w:val="24"/>
        </w:rPr>
        <w:t>, Docket No. C-2010-2187197 (Opinion and Order entered November 15, 2011)</w:t>
      </w:r>
      <w:r w:rsidR="00A10488" w:rsidRPr="0017046A">
        <w:rPr>
          <w:rFonts w:ascii="Times New Roman" w:hAnsi="Times New Roman" w:cs="Times New Roman"/>
          <w:sz w:val="24"/>
          <w:szCs w:val="24"/>
        </w:rPr>
        <w:t>.</w:t>
      </w:r>
    </w:p>
    <w:p w:rsidR="00A10488" w:rsidRPr="0017046A" w:rsidRDefault="00A10488" w:rsidP="0017046A">
      <w:pPr>
        <w:spacing w:after="0" w:line="360" w:lineRule="auto"/>
        <w:ind w:firstLine="1440"/>
        <w:rPr>
          <w:rFonts w:ascii="Times New Roman" w:hAnsi="Times New Roman" w:cs="Times New Roman"/>
          <w:sz w:val="24"/>
          <w:szCs w:val="24"/>
        </w:rPr>
      </w:pPr>
    </w:p>
    <w:p w:rsidR="00A10488" w:rsidRPr="0017046A" w:rsidRDefault="00A10488" w:rsidP="0017046A">
      <w:pPr>
        <w:spacing w:after="0" w:line="360" w:lineRule="auto"/>
        <w:ind w:firstLine="1440"/>
        <w:rPr>
          <w:rFonts w:ascii="Times New Roman" w:eastAsia="Times New Roman" w:hAnsi="Times New Roman" w:cs="Times New Roman"/>
          <w:sz w:val="24"/>
          <w:szCs w:val="24"/>
        </w:rPr>
      </w:pPr>
      <w:r w:rsidRPr="0017046A">
        <w:rPr>
          <w:rFonts w:ascii="Times New Roman" w:hAnsi="Times New Roman" w:cs="Times New Roman"/>
          <w:sz w:val="24"/>
          <w:szCs w:val="24"/>
        </w:rPr>
        <w:t xml:space="preserve">After carefully considering all the evidence collected in this matter, I find that the Complainant has failed to carry her burden of proving that her </w:t>
      </w:r>
      <w:r w:rsidRPr="0017046A">
        <w:rPr>
          <w:rFonts w:ascii="Times New Roman" w:eastAsia="Times New Roman" w:hAnsi="Times New Roman" w:cs="Times New Roman"/>
          <w:sz w:val="24"/>
          <w:szCs w:val="24"/>
        </w:rPr>
        <w:t>February 14, 2014</w:t>
      </w:r>
      <w:r w:rsidR="008B3026" w:rsidRPr="0017046A">
        <w:rPr>
          <w:rFonts w:ascii="Times New Roman" w:eastAsia="Times New Roman" w:hAnsi="Times New Roman" w:cs="Times New Roman"/>
          <w:sz w:val="24"/>
          <w:szCs w:val="24"/>
        </w:rPr>
        <w:t>, and March 22, 2014</w:t>
      </w:r>
      <w:r w:rsidRPr="0017046A">
        <w:rPr>
          <w:rFonts w:ascii="Times New Roman" w:eastAsia="Times New Roman" w:hAnsi="Times New Roman" w:cs="Times New Roman"/>
          <w:sz w:val="24"/>
          <w:szCs w:val="24"/>
        </w:rPr>
        <w:t xml:space="preserve"> gas bills were abnormally high.</w:t>
      </w:r>
      <w:r w:rsidR="0024340F" w:rsidRPr="0017046A">
        <w:rPr>
          <w:rFonts w:ascii="Times New Roman" w:eastAsia="Times New Roman" w:hAnsi="Times New Roman" w:cs="Times New Roman"/>
          <w:sz w:val="24"/>
          <w:szCs w:val="24"/>
        </w:rPr>
        <w:t xml:space="preserve">  On the contrary, her gas usage recorded in the heating months before April 2008 and after March 2014 is comparable to the usage reported in February 14, 2014, and March 22, 2014 bills.  See FOF ##</w:t>
      </w:r>
      <w:r w:rsidR="009360D9" w:rsidRPr="0017046A">
        <w:rPr>
          <w:rFonts w:ascii="Times New Roman" w:eastAsia="Times New Roman" w:hAnsi="Times New Roman" w:cs="Times New Roman"/>
          <w:sz w:val="24"/>
          <w:szCs w:val="24"/>
        </w:rPr>
        <w:t xml:space="preserve"> 29, 30</w:t>
      </w:r>
      <w:r w:rsidR="0024340F" w:rsidRPr="0017046A">
        <w:rPr>
          <w:rFonts w:ascii="Times New Roman" w:eastAsia="Times New Roman" w:hAnsi="Times New Roman" w:cs="Times New Roman"/>
          <w:sz w:val="24"/>
          <w:szCs w:val="24"/>
        </w:rPr>
        <w:t>.</w:t>
      </w:r>
      <w:r w:rsidR="00521942" w:rsidRPr="0017046A">
        <w:rPr>
          <w:rFonts w:ascii="Times New Roman" w:eastAsia="Times New Roman" w:hAnsi="Times New Roman" w:cs="Times New Roman"/>
          <w:sz w:val="24"/>
          <w:szCs w:val="24"/>
        </w:rPr>
        <w:t xml:space="preserve">  The only anomaly</w:t>
      </w:r>
      <w:r w:rsidR="008B3026" w:rsidRPr="0017046A">
        <w:rPr>
          <w:rFonts w:ascii="Times New Roman" w:eastAsia="Times New Roman" w:hAnsi="Times New Roman" w:cs="Times New Roman"/>
          <w:sz w:val="24"/>
          <w:szCs w:val="24"/>
        </w:rPr>
        <w:t xml:space="preserve"> in Ms. Dawson’s billing history</w:t>
      </w:r>
      <w:r w:rsidR="00521942" w:rsidRPr="0017046A">
        <w:rPr>
          <w:rFonts w:ascii="Times New Roman" w:eastAsia="Times New Roman" w:hAnsi="Times New Roman" w:cs="Times New Roman"/>
          <w:sz w:val="24"/>
          <w:szCs w:val="24"/>
        </w:rPr>
        <w:t xml:space="preserve"> is noted in the very low gas usage recorded in the heating months of 2013.  </w:t>
      </w:r>
      <w:r w:rsidR="00FF0B60" w:rsidRPr="0017046A">
        <w:rPr>
          <w:rFonts w:ascii="Times New Roman" w:eastAsia="Times New Roman" w:hAnsi="Times New Roman" w:cs="Times New Roman"/>
          <w:i/>
          <w:sz w:val="24"/>
          <w:szCs w:val="24"/>
        </w:rPr>
        <w:t xml:space="preserve">Id. </w:t>
      </w:r>
      <w:r w:rsidR="00521942" w:rsidRPr="0017046A">
        <w:rPr>
          <w:rFonts w:ascii="Times New Roman" w:eastAsia="Times New Roman" w:hAnsi="Times New Roman" w:cs="Times New Roman"/>
          <w:sz w:val="24"/>
          <w:szCs w:val="24"/>
        </w:rPr>
        <w:t xml:space="preserve">However, that occurrence is explained by the fact that that between October 2012 and January 2014 Ms. Dawson’s gas heater, and intermittently even her gas range, were not operational.  Ms. Dawson’s testified that she had a new heater installed at the Service Address on January 18, 2014. </w:t>
      </w:r>
      <w:r w:rsidR="008B3026" w:rsidRPr="0017046A">
        <w:rPr>
          <w:rFonts w:ascii="Times New Roman" w:eastAsia="Times New Roman" w:hAnsi="Times New Roman" w:cs="Times New Roman"/>
          <w:sz w:val="24"/>
          <w:szCs w:val="24"/>
        </w:rPr>
        <w:t xml:space="preserve"> The installation of the new heater was followed by the </w:t>
      </w:r>
      <w:r w:rsidR="00AA20A3" w:rsidRPr="0017046A">
        <w:rPr>
          <w:rFonts w:ascii="Times New Roman" w:eastAsia="Times New Roman" w:hAnsi="Times New Roman" w:cs="Times New Roman"/>
          <w:sz w:val="24"/>
          <w:szCs w:val="24"/>
        </w:rPr>
        <w:t xml:space="preserve">February 14, </w:t>
      </w:r>
      <w:r w:rsidR="00FF0B60" w:rsidRPr="0017046A">
        <w:rPr>
          <w:rFonts w:ascii="Times New Roman" w:eastAsia="Times New Roman" w:hAnsi="Times New Roman" w:cs="Times New Roman"/>
          <w:sz w:val="24"/>
          <w:szCs w:val="24"/>
        </w:rPr>
        <w:t>2014</w:t>
      </w:r>
      <w:r w:rsidR="00AA20A3" w:rsidRPr="0017046A">
        <w:rPr>
          <w:rFonts w:ascii="Times New Roman" w:eastAsia="Times New Roman" w:hAnsi="Times New Roman" w:cs="Times New Roman"/>
          <w:sz w:val="24"/>
          <w:szCs w:val="24"/>
        </w:rPr>
        <w:t xml:space="preserve"> and March 22, 2014 gas bills, which Ms. Dawson is disputing in the present Complaint.  </w:t>
      </w:r>
      <w:r w:rsidR="008B3026" w:rsidRPr="0017046A">
        <w:rPr>
          <w:rFonts w:ascii="Times New Roman" w:eastAsia="Times New Roman" w:hAnsi="Times New Roman" w:cs="Times New Roman"/>
          <w:sz w:val="24"/>
          <w:szCs w:val="24"/>
        </w:rPr>
        <w:t>After reviewing Ms. Dawson’s gas consumption during the period January – April for the years 2008, 2013, 2014, 2015, I find that that Complainant’s February 14, 20</w:t>
      </w:r>
      <w:r w:rsidR="00FF0B60" w:rsidRPr="0017046A">
        <w:rPr>
          <w:rFonts w:ascii="Times New Roman" w:eastAsia="Times New Roman" w:hAnsi="Times New Roman" w:cs="Times New Roman"/>
          <w:sz w:val="24"/>
          <w:szCs w:val="24"/>
        </w:rPr>
        <w:t>14</w:t>
      </w:r>
      <w:r w:rsidR="008B3026" w:rsidRPr="0017046A">
        <w:rPr>
          <w:rFonts w:ascii="Times New Roman" w:eastAsia="Times New Roman" w:hAnsi="Times New Roman" w:cs="Times New Roman"/>
          <w:sz w:val="24"/>
          <w:szCs w:val="24"/>
        </w:rPr>
        <w:t xml:space="preserve"> and March 22, 2014 gas bills reflect the resumed operation of a gas heater at the Service Address, as well as her poor payment history around that time, and are not incorrect or abnormally high.</w:t>
      </w:r>
    </w:p>
    <w:p w:rsidR="00A10488" w:rsidRPr="0017046A" w:rsidRDefault="00A10488" w:rsidP="0017046A">
      <w:pPr>
        <w:spacing w:after="0" w:line="360" w:lineRule="auto"/>
        <w:rPr>
          <w:rFonts w:ascii="Times New Roman" w:eastAsia="Times New Roman" w:hAnsi="Times New Roman" w:cs="Times New Roman"/>
          <w:sz w:val="24"/>
          <w:szCs w:val="24"/>
        </w:rPr>
      </w:pPr>
    </w:p>
    <w:p w:rsidR="009A267D" w:rsidRPr="0017046A" w:rsidRDefault="009A267D" w:rsidP="0017046A">
      <w:pPr>
        <w:spacing w:after="0" w:line="360" w:lineRule="auto"/>
        <w:ind w:firstLine="1440"/>
        <w:rPr>
          <w:rFonts w:ascii="Times New Roman" w:eastAsia="Times New Roman" w:hAnsi="Times New Roman" w:cs="Times New Roman"/>
          <w:b/>
          <w:sz w:val="24"/>
          <w:szCs w:val="24"/>
        </w:rPr>
      </w:pPr>
      <w:r w:rsidRPr="0017046A">
        <w:rPr>
          <w:rFonts w:ascii="Times New Roman" w:eastAsia="Times New Roman" w:hAnsi="Times New Roman" w:cs="Times New Roman"/>
          <w:b/>
          <w:sz w:val="24"/>
          <w:szCs w:val="24"/>
        </w:rPr>
        <w:t>Meter Testing Fee</w:t>
      </w:r>
    </w:p>
    <w:p w:rsidR="00FF0B60" w:rsidRPr="0017046A" w:rsidRDefault="00FF0B60" w:rsidP="0017046A">
      <w:pPr>
        <w:spacing w:after="0" w:line="360" w:lineRule="auto"/>
        <w:ind w:firstLine="1440"/>
        <w:rPr>
          <w:rFonts w:ascii="Times New Roman" w:eastAsia="Times New Roman" w:hAnsi="Times New Roman" w:cs="Times New Roman"/>
          <w:b/>
          <w:sz w:val="24"/>
          <w:szCs w:val="24"/>
        </w:rPr>
      </w:pPr>
    </w:p>
    <w:p w:rsidR="00AA20A3" w:rsidRDefault="00AA20A3"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In her formal Compla</w:t>
      </w:r>
      <w:r w:rsidR="00925AF4" w:rsidRPr="0017046A">
        <w:rPr>
          <w:rFonts w:ascii="Times New Roman" w:eastAsia="Times New Roman" w:hAnsi="Times New Roman" w:cs="Times New Roman"/>
          <w:sz w:val="24"/>
          <w:szCs w:val="24"/>
        </w:rPr>
        <w:t>i</w:t>
      </w:r>
      <w:r w:rsidRPr="0017046A">
        <w:rPr>
          <w:rFonts w:ascii="Times New Roman" w:eastAsia="Times New Roman" w:hAnsi="Times New Roman" w:cs="Times New Roman"/>
          <w:sz w:val="24"/>
          <w:szCs w:val="24"/>
        </w:rPr>
        <w:t>nt, Ms. Dawson challenged the meter testing fee charged by PGW and reque</w:t>
      </w:r>
      <w:r w:rsidR="00D24595" w:rsidRPr="0017046A">
        <w:rPr>
          <w:rFonts w:ascii="Times New Roman" w:eastAsia="Times New Roman" w:hAnsi="Times New Roman" w:cs="Times New Roman"/>
          <w:sz w:val="24"/>
          <w:szCs w:val="24"/>
        </w:rPr>
        <w:t xml:space="preserve">sted a refund of the said fee. </w:t>
      </w:r>
      <w:r w:rsidRPr="0017046A">
        <w:rPr>
          <w:rFonts w:ascii="Times New Roman" w:eastAsia="Times New Roman" w:hAnsi="Times New Roman" w:cs="Times New Roman"/>
          <w:sz w:val="24"/>
          <w:szCs w:val="24"/>
        </w:rPr>
        <w:t xml:space="preserve"> </w:t>
      </w:r>
      <w:r w:rsidR="00AD43A9" w:rsidRPr="0017046A">
        <w:rPr>
          <w:rFonts w:ascii="Times New Roman" w:eastAsia="Times New Roman" w:hAnsi="Times New Roman" w:cs="Times New Roman"/>
          <w:sz w:val="24"/>
          <w:szCs w:val="24"/>
        </w:rPr>
        <w:t xml:space="preserve">Pursuant to Commission regulation at 52 Pa.Code </w:t>
      </w:r>
      <w:r w:rsidR="005D04DA">
        <w:rPr>
          <w:rFonts w:ascii="Times New Roman" w:eastAsia="Times New Roman" w:hAnsi="Times New Roman" w:cs="Times New Roman"/>
          <w:sz w:val="24"/>
          <w:szCs w:val="24"/>
        </w:rPr>
        <w:t>§ </w:t>
      </w:r>
      <w:r w:rsidR="00AD43A9" w:rsidRPr="0017046A">
        <w:rPr>
          <w:rFonts w:ascii="Times New Roman" w:eastAsia="Times New Roman" w:hAnsi="Times New Roman" w:cs="Times New Roman"/>
          <w:sz w:val="24"/>
          <w:szCs w:val="24"/>
        </w:rPr>
        <w:t>59.21(f), a public utility is allowed to charge a fee for meter</w:t>
      </w:r>
      <w:r w:rsidR="00925AF4" w:rsidRPr="0017046A">
        <w:rPr>
          <w:rFonts w:ascii="Times New Roman" w:eastAsia="Times New Roman" w:hAnsi="Times New Roman" w:cs="Times New Roman"/>
          <w:sz w:val="24"/>
          <w:szCs w:val="24"/>
        </w:rPr>
        <w:t xml:space="preserve"> testing requested by consumers,</w:t>
      </w:r>
    </w:p>
    <w:p w:rsidR="00356D2B" w:rsidRPr="0017046A" w:rsidRDefault="00356D2B" w:rsidP="0017046A">
      <w:pPr>
        <w:spacing w:after="0" w:line="360" w:lineRule="auto"/>
        <w:ind w:firstLine="1440"/>
        <w:rPr>
          <w:rFonts w:ascii="Times New Roman" w:eastAsia="Times New Roman" w:hAnsi="Times New Roman" w:cs="Times New Roman"/>
          <w:sz w:val="24"/>
          <w:szCs w:val="24"/>
        </w:rPr>
      </w:pPr>
    </w:p>
    <w:p w:rsidR="00356D2B" w:rsidRDefault="00925AF4" w:rsidP="0017046A">
      <w:pPr>
        <w:spacing w:after="0" w:line="240" w:lineRule="auto"/>
        <w:ind w:left="1440" w:right="1440"/>
        <w:rPr>
          <w:rFonts w:ascii="Times New Roman" w:hAnsi="Times New Roman" w:cs="Times New Roman"/>
          <w:color w:val="333333"/>
          <w:sz w:val="24"/>
          <w:szCs w:val="24"/>
        </w:rPr>
      </w:pPr>
      <w:r w:rsidRPr="0017046A">
        <w:rPr>
          <w:rFonts w:ascii="Times New Roman" w:hAnsi="Times New Roman" w:cs="Times New Roman"/>
          <w:color w:val="333333"/>
          <w:sz w:val="24"/>
          <w:szCs w:val="24"/>
        </w:rPr>
        <w:lastRenderedPageBreak/>
        <w:t xml:space="preserve">(f) </w:t>
      </w:r>
      <w:r w:rsidRPr="0017046A">
        <w:rPr>
          <w:rFonts w:ascii="Times New Roman" w:hAnsi="Times New Roman" w:cs="Times New Roman"/>
          <w:i/>
          <w:iCs/>
          <w:color w:val="333333"/>
          <w:sz w:val="24"/>
          <w:szCs w:val="24"/>
        </w:rPr>
        <w:t>Meter test on request of customer.</w:t>
      </w:r>
      <w:r w:rsidRPr="0017046A">
        <w:rPr>
          <w:rFonts w:ascii="Times New Roman" w:hAnsi="Times New Roman" w:cs="Times New Roman"/>
          <w:color w:val="333333"/>
          <w:sz w:val="24"/>
          <w:szCs w:val="24"/>
        </w:rPr>
        <w:t xml:space="preserve"> Meter tests, if requested by a customer, shall conform </w:t>
      </w:r>
      <w:proofErr w:type="gramStart"/>
      <w:r w:rsidRPr="0017046A">
        <w:rPr>
          <w:rFonts w:ascii="Times New Roman" w:hAnsi="Times New Roman" w:cs="Times New Roman"/>
          <w:color w:val="333333"/>
          <w:sz w:val="24"/>
          <w:szCs w:val="24"/>
        </w:rPr>
        <w:t>with</w:t>
      </w:r>
      <w:proofErr w:type="gramEnd"/>
      <w:r w:rsidRPr="0017046A">
        <w:rPr>
          <w:rFonts w:ascii="Times New Roman" w:hAnsi="Times New Roman" w:cs="Times New Roman"/>
          <w:color w:val="333333"/>
          <w:sz w:val="24"/>
          <w:szCs w:val="24"/>
        </w:rPr>
        <w:t xml:space="preserve"> all of the following</w:t>
      </w:r>
      <w:r w:rsidR="006C5EE7" w:rsidRPr="0017046A">
        <w:rPr>
          <w:rFonts w:ascii="Times New Roman" w:hAnsi="Times New Roman" w:cs="Times New Roman"/>
          <w:color w:val="333333"/>
          <w:sz w:val="24"/>
          <w:szCs w:val="24"/>
        </w:rPr>
        <w:t xml:space="preserve">: </w:t>
      </w:r>
    </w:p>
    <w:p w:rsidR="00925AF4" w:rsidRPr="0017046A" w:rsidRDefault="00925AF4" w:rsidP="0017046A">
      <w:pPr>
        <w:spacing w:after="0" w:line="240" w:lineRule="auto"/>
        <w:ind w:left="1440" w:right="1440"/>
        <w:rPr>
          <w:rFonts w:ascii="Times New Roman" w:hAnsi="Times New Roman" w:cs="Times New Roman"/>
          <w:color w:val="333333"/>
          <w:sz w:val="24"/>
          <w:szCs w:val="24"/>
        </w:rPr>
      </w:pPr>
      <w:r w:rsidRPr="0017046A">
        <w:rPr>
          <w:rFonts w:ascii="Times New Roman" w:hAnsi="Times New Roman" w:cs="Times New Roman"/>
          <w:color w:val="333333"/>
          <w:sz w:val="24"/>
          <w:szCs w:val="24"/>
        </w:rPr>
        <w:br/>
        <w:t>(1) If a customer requests</w:t>
      </w:r>
      <w:r w:rsidRPr="0017046A">
        <w:rPr>
          <w:rFonts w:ascii="Times New Roman" w:hAnsi="Times New Roman" w:cs="Times New Roman"/>
          <w:b/>
          <w:color w:val="333333"/>
          <w:sz w:val="24"/>
          <w:szCs w:val="24"/>
        </w:rPr>
        <w:t>, in writing</w:t>
      </w:r>
      <w:r w:rsidRPr="0017046A">
        <w:rPr>
          <w:rFonts w:ascii="Times New Roman" w:hAnsi="Times New Roman" w:cs="Times New Roman"/>
          <w:color w:val="333333"/>
          <w:sz w:val="24"/>
          <w:szCs w:val="24"/>
        </w:rPr>
        <w:t>, a test of the accuracy of the meter through which gas service is supplied and the meter is not due for periodic test, the public utility shall notify the customer of the conditions under which the test will be made by the utility or by a referee. If the customer then requests the utility to proceed with the test and remits an amount equal to the scheduled cost of a referee test, the utility shall make the test promptly. If, when tested, the meter is found to be more than 2.0% fast or slow, the testing fee shall be promptly refunded to the customer.</w:t>
      </w:r>
      <w:r w:rsidRPr="0017046A">
        <w:rPr>
          <w:rFonts w:ascii="Times New Roman" w:hAnsi="Times New Roman" w:cs="Times New Roman"/>
          <w:color w:val="333333"/>
          <w:sz w:val="24"/>
          <w:szCs w:val="24"/>
        </w:rPr>
        <w:br/>
      </w:r>
      <w:r w:rsidRPr="0017046A">
        <w:rPr>
          <w:rFonts w:ascii="Times New Roman" w:hAnsi="Times New Roman" w:cs="Times New Roman"/>
          <w:color w:val="333333"/>
          <w:sz w:val="24"/>
          <w:szCs w:val="24"/>
        </w:rPr>
        <w:br/>
        <w:t>(2) A customer or his representative may be present when the public utility conducts the test on the meter.</w:t>
      </w:r>
      <w:r w:rsidRPr="0017046A">
        <w:rPr>
          <w:rFonts w:ascii="Times New Roman" w:hAnsi="Times New Roman" w:cs="Times New Roman"/>
          <w:color w:val="333333"/>
          <w:sz w:val="24"/>
          <w:szCs w:val="24"/>
        </w:rPr>
        <w:br/>
      </w:r>
      <w:r w:rsidRPr="0017046A">
        <w:rPr>
          <w:rFonts w:ascii="Times New Roman" w:hAnsi="Times New Roman" w:cs="Times New Roman"/>
          <w:color w:val="333333"/>
          <w:sz w:val="24"/>
          <w:szCs w:val="24"/>
        </w:rPr>
        <w:br/>
        <w:t>(3) A report giving the name of the customer requesting the test, the date of the request, the location of the premises where the meter had been installed, the type, make, size, and serial number of the meter, the date of removal, the date of the test, the result of the test and the amount of refund if the meter was found more than 2.0% fast, shall be supplied to the customer within 10 days after the completion of the test.</w:t>
      </w:r>
      <w:r w:rsidRPr="0017046A">
        <w:rPr>
          <w:rFonts w:ascii="Times New Roman" w:hAnsi="Times New Roman" w:cs="Times New Roman"/>
          <w:color w:val="333333"/>
          <w:sz w:val="24"/>
          <w:szCs w:val="24"/>
        </w:rPr>
        <w:br/>
      </w:r>
      <w:r w:rsidRPr="0017046A">
        <w:rPr>
          <w:rFonts w:ascii="Times New Roman" w:hAnsi="Times New Roman" w:cs="Times New Roman"/>
          <w:color w:val="333333"/>
          <w:sz w:val="24"/>
          <w:szCs w:val="24"/>
        </w:rPr>
        <w:br/>
        <w:t xml:space="preserve">(4) The amount of the fee which may be charged by the public utility for testing meters upon the </w:t>
      </w:r>
      <w:r w:rsidRPr="0017046A">
        <w:rPr>
          <w:rFonts w:ascii="Times New Roman" w:hAnsi="Times New Roman" w:cs="Times New Roman"/>
          <w:b/>
          <w:color w:val="333333"/>
          <w:sz w:val="24"/>
          <w:szCs w:val="24"/>
        </w:rPr>
        <w:t>written request</w:t>
      </w:r>
      <w:r w:rsidRPr="0017046A">
        <w:rPr>
          <w:rFonts w:ascii="Times New Roman" w:hAnsi="Times New Roman" w:cs="Times New Roman"/>
          <w:color w:val="333333"/>
          <w:sz w:val="24"/>
          <w:szCs w:val="24"/>
        </w:rPr>
        <w:t xml:space="preserve"> of a customer shall be determined by the designated rating of the manufacturer as follows. Displacement </w:t>
      </w:r>
      <w:r w:rsidRPr="0017046A">
        <w:rPr>
          <w:rStyle w:val="term1"/>
          <w:rFonts w:ascii="Times New Roman" w:hAnsi="Times New Roman" w:cs="Times New Roman"/>
          <w:b w:val="0"/>
          <w:color w:val="333333"/>
          <w:sz w:val="24"/>
          <w:szCs w:val="24"/>
        </w:rPr>
        <w:t>meters</w:t>
      </w:r>
      <w:r w:rsidRPr="0017046A">
        <w:rPr>
          <w:rFonts w:ascii="Times New Roman" w:hAnsi="Times New Roman" w:cs="Times New Roman"/>
          <w:color w:val="333333"/>
          <w:sz w:val="24"/>
          <w:szCs w:val="24"/>
        </w:rPr>
        <w:t xml:space="preserve"> shall be subject to the following fee schedule:</w:t>
      </w:r>
      <w:r w:rsidRPr="0017046A">
        <w:rPr>
          <w:rFonts w:ascii="Times New Roman" w:hAnsi="Times New Roman" w:cs="Times New Roman"/>
          <w:color w:val="333333"/>
          <w:sz w:val="24"/>
          <w:szCs w:val="24"/>
        </w:rPr>
        <w:br/>
      </w:r>
      <w:r w:rsidRPr="0017046A">
        <w:rPr>
          <w:rFonts w:ascii="Times New Roman" w:hAnsi="Times New Roman" w:cs="Times New Roman"/>
          <w:color w:val="333333"/>
          <w:sz w:val="24"/>
          <w:szCs w:val="24"/>
        </w:rPr>
        <w:br/>
        <w:t xml:space="preserve">(i) </w:t>
      </w:r>
      <w:r w:rsidRPr="0017046A">
        <w:rPr>
          <w:rStyle w:val="term1"/>
          <w:rFonts w:ascii="Times New Roman" w:hAnsi="Times New Roman" w:cs="Times New Roman"/>
          <w:b w:val="0"/>
          <w:color w:val="333333"/>
          <w:sz w:val="24"/>
          <w:szCs w:val="24"/>
        </w:rPr>
        <w:t>Meters</w:t>
      </w:r>
      <w:r w:rsidRPr="0017046A">
        <w:rPr>
          <w:rFonts w:ascii="Times New Roman" w:hAnsi="Times New Roman" w:cs="Times New Roman"/>
          <w:color w:val="333333"/>
          <w:sz w:val="24"/>
          <w:szCs w:val="24"/>
        </w:rPr>
        <w:t xml:space="preserve"> having a rated capacity of 500 cubic feet per hour or less -- $ 10.</w:t>
      </w:r>
      <w:r w:rsidRPr="0017046A">
        <w:rPr>
          <w:rFonts w:ascii="Times New Roman" w:hAnsi="Times New Roman" w:cs="Times New Roman"/>
          <w:color w:val="333333"/>
          <w:sz w:val="24"/>
          <w:szCs w:val="24"/>
        </w:rPr>
        <w:br/>
      </w:r>
      <w:r w:rsidRPr="0017046A">
        <w:rPr>
          <w:rFonts w:ascii="Times New Roman" w:hAnsi="Times New Roman" w:cs="Times New Roman"/>
          <w:color w:val="333333"/>
          <w:sz w:val="24"/>
          <w:szCs w:val="24"/>
        </w:rPr>
        <w:br/>
        <w:t>(ii) Meters having a rated capacity of over 500 cubic feet per hour, and not more than 1,500 cubic feet per hour -- $ 20.</w:t>
      </w:r>
      <w:r w:rsidRPr="0017046A">
        <w:rPr>
          <w:rFonts w:ascii="Times New Roman" w:hAnsi="Times New Roman" w:cs="Times New Roman"/>
          <w:color w:val="333333"/>
          <w:sz w:val="24"/>
          <w:szCs w:val="24"/>
        </w:rPr>
        <w:br/>
      </w:r>
      <w:r w:rsidRPr="0017046A">
        <w:rPr>
          <w:rFonts w:ascii="Times New Roman" w:hAnsi="Times New Roman" w:cs="Times New Roman"/>
          <w:color w:val="333333"/>
          <w:sz w:val="24"/>
          <w:szCs w:val="24"/>
        </w:rPr>
        <w:br/>
        <w:t>(iii) Meters having a rated capacity of over 1,500 cubic feet per hour, orifice meters, and any meters not a displacement type -- $ 30.</w:t>
      </w:r>
    </w:p>
    <w:p w:rsidR="003D7099" w:rsidRPr="0017046A" w:rsidRDefault="003D7099" w:rsidP="0017046A">
      <w:pPr>
        <w:spacing w:after="0" w:line="240" w:lineRule="auto"/>
        <w:ind w:left="1440" w:right="1440"/>
        <w:rPr>
          <w:rFonts w:ascii="Times New Roman" w:eastAsia="Times New Roman" w:hAnsi="Times New Roman" w:cs="Times New Roman"/>
          <w:sz w:val="24"/>
          <w:szCs w:val="24"/>
        </w:rPr>
      </w:pPr>
    </w:p>
    <w:p w:rsidR="00AD43A9" w:rsidRPr="0017046A" w:rsidRDefault="003D7099" w:rsidP="0017046A">
      <w:pPr>
        <w:spacing w:after="0" w:line="360" w:lineRule="auto"/>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52 Pa.Code § 59.21(f) (emphasis added).</w:t>
      </w:r>
    </w:p>
    <w:p w:rsidR="003D7099" w:rsidRPr="0017046A" w:rsidRDefault="003D7099" w:rsidP="0017046A">
      <w:pPr>
        <w:spacing w:after="0" w:line="360" w:lineRule="auto"/>
        <w:rPr>
          <w:rFonts w:ascii="Times New Roman" w:eastAsia="Times New Roman" w:hAnsi="Times New Roman" w:cs="Times New Roman"/>
          <w:sz w:val="24"/>
          <w:szCs w:val="24"/>
        </w:rPr>
      </w:pPr>
    </w:p>
    <w:p w:rsidR="00055939" w:rsidRDefault="005E6F73"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Ms. Dawson’s denied having requested a meter test, but PGW’s witness, Ms. Glace pointed out that PGW’s business records concerning the contact history for Ms. Dawsons’ account indicated that she contacted PGW on September 25, 2014, “and inquired about having </w:t>
      </w:r>
      <w:r w:rsidRPr="0017046A">
        <w:rPr>
          <w:rFonts w:ascii="Times New Roman" w:eastAsia="Times New Roman" w:hAnsi="Times New Roman" w:cs="Times New Roman"/>
          <w:sz w:val="24"/>
          <w:szCs w:val="24"/>
        </w:rPr>
        <w:lastRenderedPageBreak/>
        <w:t>the meter tested.  [PGW</w:t>
      </w:r>
      <w:r w:rsidR="003D7099" w:rsidRPr="0017046A">
        <w:rPr>
          <w:rFonts w:ascii="Times New Roman" w:eastAsia="Times New Roman" w:hAnsi="Times New Roman" w:cs="Times New Roman"/>
          <w:sz w:val="24"/>
          <w:szCs w:val="24"/>
        </w:rPr>
        <w:t>]</w:t>
      </w:r>
      <w:r w:rsidRPr="0017046A">
        <w:rPr>
          <w:rFonts w:ascii="Times New Roman" w:eastAsia="Times New Roman" w:hAnsi="Times New Roman" w:cs="Times New Roman"/>
          <w:sz w:val="24"/>
          <w:szCs w:val="24"/>
        </w:rPr>
        <w:t xml:space="preserve"> informed customer that she would need to make a payment of $10 first before [PGW</w:t>
      </w:r>
      <w:r w:rsidR="003D7099" w:rsidRPr="0017046A">
        <w:rPr>
          <w:rFonts w:ascii="Times New Roman" w:eastAsia="Times New Roman" w:hAnsi="Times New Roman" w:cs="Times New Roman"/>
          <w:sz w:val="24"/>
          <w:szCs w:val="24"/>
        </w:rPr>
        <w:t>]</w:t>
      </w:r>
      <w:r w:rsidRPr="0017046A">
        <w:rPr>
          <w:rFonts w:ascii="Times New Roman" w:eastAsia="Times New Roman" w:hAnsi="Times New Roman" w:cs="Times New Roman"/>
          <w:sz w:val="24"/>
          <w:szCs w:val="24"/>
        </w:rPr>
        <w:t xml:space="preserve"> would be able to do that.  [The customer was] satisfied.”  Tr. 52, PGW Exhibit 1, at 1.</w:t>
      </w:r>
      <w:r w:rsidR="003D7099" w:rsidRPr="0017046A">
        <w:rPr>
          <w:rFonts w:ascii="Times New Roman" w:eastAsia="Times New Roman" w:hAnsi="Times New Roman" w:cs="Times New Roman"/>
          <w:sz w:val="24"/>
          <w:szCs w:val="24"/>
        </w:rPr>
        <w:t xml:space="preserve">  PGW’s contact history for Ms. Dawson’s account also show</w:t>
      </w:r>
      <w:r w:rsidR="00600EB6" w:rsidRPr="0017046A">
        <w:rPr>
          <w:rFonts w:ascii="Times New Roman" w:eastAsia="Times New Roman" w:hAnsi="Times New Roman" w:cs="Times New Roman"/>
          <w:sz w:val="24"/>
          <w:szCs w:val="24"/>
        </w:rPr>
        <w:t>s</w:t>
      </w:r>
      <w:r w:rsidR="003D7099" w:rsidRPr="0017046A">
        <w:rPr>
          <w:rFonts w:ascii="Times New Roman" w:eastAsia="Times New Roman" w:hAnsi="Times New Roman" w:cs="Times New Roman"/>
          <w:sz w:val="24"/>
          <w:szCs w:val="24"/>
        </w:rPr>
        <w:t xml:space="preserve"> that on October 9, 2014, the Respondent received a check for $10.00 </w:t>
      </w:r>
      <w:r w:rsidR="00055939" w:rsidRPr="0017046A">
        <w:rPr>
          <w:rFonts w:ascii="Times New Roman" w:eastAsia="Times New Roman" w:hAnsi="Times New Roman" w:cs="Times New Roman"/>
          <w:sz w:val="24"/>
          <w:szCs w:val="24"/>
        </w:rPr>
        <w:t xml:space="preserve">from Ms. Dawson.  </w:t>
      </w:r>
      <w:r w:rsidR="00F90567" w:rsidRPr="0017046A">
        <w:rPr>
          <w:rFonts w:ascii="Times New Roman" w:eastAsia="Times New Roman" w:hAnsi="Times New Roman" w:cs="Times New Roman"/>
          <w:sz w:val="24"/>
          <w:szCs w:val="24"/>
        </w:rPr>
        <w:t xml:space="preserve">PGW Exhibit 1. </w:t>
      </w:r>
      <w:r w:rsidR="00055939" w:rsidRPr="0017046A">
        <w:rPr>
          <w:rFonts w:ascii="Times New Roman" w:eastAsia="Times New Roman" w:hAnsi="Times New Roman" w:cs="Times New Roman"/>
          <w:sz w:val="24"/>
          <w:szCs w:val="24"/>
        </w:rPr>
        <w:t xml:space="preserve">This payment was separate and distinct from another check for $40.00 posted on Ms. Dawson’s account shortly after the $10.00 one, </w:t>
      </w:r>
      <w:r w:rsidR="00F90567" w:rsidRPr="0017046A">
        <w:rPr>
          <w:rFonts w:ascii="Times New Roman" w:eastAsia="Times New Roman" w:hAnsi="Times New Roman" w:cs="Times New Roman"/>
          <w:sz w:val="24"/>
          <w:szCs w:val="24"/>
        </w:rPr>
        <w:t>on October 16, 2014</w:t>
      </w:r>
      <w:r w:rsidR="00055939" w:rsidRPr="0017046A">
        <w:rPr>
          <w:rFonts w:ascii="Times New Roman" w:eastAsia="Times New Roman" w:hAnsi="Times New Roman" w:cs="Times New Roman"/>
          <w:sz w:val="24"/>
          <w:szCs w:val="24"/>
        </w:rPr>
        <w:t>.  PGW Exhibits 1 and 2.</w:t>
      </w:r>
    </w:p>
    <w:p w:rsidR="00175C85" w:rsidRPr="0017046A" w:rsidRDefault="00175C85" w:rsidP="0017046A">
      <w:pPr>
        <w:spacing w:after="0" w:line="360" w:lineRule="auto"/>
        <w:ind w:firstLine="1440"/>
        <w:rPr>
          <w:rFonts w:ascii="Times New Roman" w:eastAsia="Times New Roman" w:hAnsi="Times New Roman" w:cs="Times New Roman"/>
          <w:sz w:val="24"/>
          <w:szCs w:val="24"/>
        </w:rPr>
      </w:pPr>
    </w:p>
    <w:p w:rsidR="00622A30" w:rsidRPr="0017046A" w:rsidRDefault="003D7099"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PGW did not submit any evidence showing that Ms. Dawson made a written request for a meter test. </w:t>
      </w:r>
      <w:r w:rsidR="00055939" w:rsidRPr="0017046A">
        <w:rPr>
          <w:rFonts w:ascii="Times New Roman" w:eastAsia="Times New Roman" w:hAnsi="Times New Roman" w:cs="Times New Roman"/>
          <w:sz w:val="24"/>
          <w:szCs w:val="24"/>
        </w:rPr>
        <w:t xml:space="preserve"> However, </w:t>
      </w:r>
      <w:r w:rsidR="00F90567" w:rsidRPr="0017046A">
        <w:rPr>
          <w:rFonts w:ascii="Times New Roman" w:eastAsia="Times New Roman" w:hAnsi="Times New Roman" w:cs="Times New Roman"/>
          <w:sz w:val="24"/>
          <w:szCs w:val="24"/>
        </w:rPr>
        <w:t xml:space="preserve">at the time of the inquiry and of the $10.00 payment Ms. Dawson had an informal complaint pending before the Commission, at BCS Case # 3220721, challenging the accuracy of her bills.  </w:t>
      </w:r>
      <w:r w:rsidR="009360D9" w:rsidRPr="0017046A">
        <w:rPr>
          <w:rFonts w:ascii="Times New Roman" w:eastAsia="Times New Roman" w:hAnsi="Times New Roman" w:cs="Times New Roman"/>
          <w:sz w:val="24"/>
          <w:szCs w:val="24"/>
        </w:rPr>
        <w:t xml:space="preserve">See PGW Exhibit 1, at1-2.  </w:t>
      </w:r>
      <w:r w:rsidR="00F90567" w:rsidRPr="0017046A">
        <w:rPr>
          <w:rFonts w:ascii="Times New Roman" w:eastAsia="Times New Roman" w:hAnsi="Times New Roman" w:cs="Times New Roman"/>
          <w:sz w:val="24"/>
          <w:szCs w:val="24"/>
        </w:rPr>
        <w:t xml:space="preserve">Moreover, </w:t>
      </w:r>
      <w:r w:rsidR="00055939" w:rsidRPr="0017046A">
        <w:rPr>
          <w:rFonts w:ascii="Times New Roman" w:eastAsia="Times New Roman" w:hAnsi="Times New Roman" w:cs="Times New Roman"/>
          <w:sz w:val="24"/>
          <w:szCs w:val="24"/>
        </w:rPr>
        <w:t>the fact that Ms. Dawson sent PGW a check for $10.00 a few days after she inquired about having her meter tested and for the same amount as the meter testing fee quoted to her by PGW,</w:t>
      </w:r>
      <w:r w:rsidR="00D80D88" w:rsidRPr="0017046A">
        <w:rPr>
          <w:rFonts w:ascii="Times New Roman" w:eastAsia="Times New Roman" w:hAnsi="Times New Roman" w:cs="Times New Roman"/>
          <w:sz w:val="24"/>
          <w:szCs w:val="24"/>
        </w:rPr>
        <w:t xml:space="preserve"> strongly indicates that Ms. Dawson intended to purchase the offered service</w:t>
      </w:r>
      <w:r w:rsidRPr="0017046A">
        <w:rPr>
          <w:rFonts w:ascii="Times New Roman" w:eastAsia="Times New Roman" w:hAnsi="Times New Roman" w:cs="Times New Roman"/>
          <w:sz w:val="24"/>
          <w:szCs w:val="24"/>
        </w:rPr>
        <w:t>.  In view of th</w:t>
      </w:r>
      <w:r w:rsidR="00D80D88" w:rsidRPr="0017046A">
        <w:rPr>
          <w:rFonts w:ascii="Times New Roman" w:eastAsia="Times New Roman" w:hAnsi="Times New Roman" w:cs="Times New Roman"/>
          <w:sz w:val="24"/>
          <w:szCs w:val="24"/>
        </w:rPr>
        <w:t xml:space="preserve">e above, I find </w:t>
      </w:r>
      <w:r w:rsidR="00F90567" w:rsidRPr="0017046A">
        <w:rPr>
          <w:rFonts w:ascii="Times New Roman" w:eastAsia="Times New Roman" w:hAnsi="Times New Roman" w:cs="Times New Roman"/>
          <w:sz w:val="24"/>
          <w:szCs w:val="24"/>
        </w:rPr>
        <w:t>that PGW acted reasonably in removing and testing Ms. Dawson’s meter in October of 2014.</w:t>
      </w:r>
    </w:p>
    <w:p w:rsidR="003D7099" w:rsidRPr="0017046A" w:rsidRDefault="003D7099" w:rsidP="0017046A">
      <w:pPr>
        <w:spacing w:after="0" w:line="360" w:lineRule="auto"/>
        <w:rPr>
          <w:rFonts w:ascii="Times New Roman" w:eastAsia="Times New Roman" w:hAnsi="Times New Roman" w:cs="Times New Roman"/>
          <w:sz w:val="24"/>
          <w:szCs w:val="24"/>
        </w:rPr>
      </w:pPr>
    </w:p>
    <w:p w:rsidR="009A267D" w:rsidRPr="0017046A" w:rsidRDefault="009A267D" w:rsidP="0017046A">
      <w:pPr>
        <w:spacing w:after="0" w:line="360" w:lineRule="auto"/>
        <w:ind w:firstLine="1440"/>
        <w:rPr>
          <w:rFonts w:ascii="Times New Roman" w:eastAsia="Times New Roman" w:hAnsi="Times New Roman" w:cs="Times New Roman"/>
          <w:b/>
          <w:sz w:val="24"/>
          <w:szCs w:val="24"/>
        </w:rPr>
      </w:pPr>
      <w:r w:rsidRPr="0017046A">
        <w:rPr>
          <w:rFonts w:ascii="Times New Roman" w:eastAsia="Times New Roman" w:hAnsi="Times New Roman" w:cs="Times New Roman"/>
          <w:b/>
          <w:sz w:val="24"/>
          <w:szCs w:val="24"/>
        </w:rPr>
        <w:t xml:space="preserve">October 2008 </w:t>
      </w:r>
      <w:r w:rsidR="000808CA" w:rsidRPr="0017046A">
        <w:rPr>
          <w:rFonts w:ascii="Times New Roman" w:eastAsia="Times New Roman" w:hAnsi="Times New Roman" w:cs="Times New Roman"/>
          <w:b/>
          <w:sz w:val="24"/>
          <w:szCs w:val="24"/>
        </w:rPr>
        <w:t>b</w:t>
      </w:r>
      <w:r w:rsidRPr="0017046A">
        <w:rPr>
          <w:rFonts w:ascii="Times New Roman" w:eastAsia="Times New Roman" w:hAnsi="Times New Roman" w:cs="Times New Roman"/>
          <w:b/>
          <w:sz w:val="24"/>
          <w:szCs w:val="24"/>
        </w:rPr>
        <w:t>ill</w:t>
      </w:r>
    </w:p>
    <w:p w:rsidR="00840A6E" w:rsidRPr="0017046A" w:rsidRDefault="00840A6E" w:rsidP="0017046A">
      <w:pPr>
        <w:spacing w:after="0" w:line="360" w:lineRule="auto"/>
        <w:ind w:firstLine="1440"/>
        <w:rPr>
          <w:rFonts w:ascii="Times New Roman" w:eastAsia="Times New Roman" w:hAnsi="Times New Roman" w:cs="Times New Roman"/>
          <w:b/>
          <w:sz w:val="24"/>
          <w:szCs w:val="24"/>
        </w:rPr>
      </w:pPr>
    </w:p>
    <w:p w:rsidR="00622A30" w:rsidRPr="0017046A" w:rsidRDefault="00622A30"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At the hearing Ms. Dawson challenged her gas bill </w:t>
      </w:r>
      <w:r w:rsidRPr="0017046A">
        <w:rPr>
          <w:rFonts w:ascii="Times New Roman" w:hAnsi="Times New Roman" w:cs="Times New Roman"/>
          <w:sz w:val="24"/>
          <w:szCs w:val="24"/>
        </w:rPr>
        <w:t xml:space="preserve">dated October 2008 for over $1,100.00.  Tr. 10, 19.  </w:t>
      </w:r>
      <w:r w:rsidRPr="0017046A">
        <w:rPr>
          <w:rFonts w:ascii="Times New Roman" w:eastAsia="Times New Roman" w:hAnsi="Times New Roman" w:cs="Times New Roman"/>
          <w:sz w:val="24"/>
          <w:szCs w:val="24"/>
        </w:rPr>
        <w:t xml:space="preserve">Counsel </w:t>
      </w:r>
      <w:r w:rsidR="00E10E62" w:rsidRPr="0017046A">
        <w:rPr>
          <w:rFonts w:ascii="Times New Roman" w:eastAsia="Times New Roman" w:hAnsi="Times New Roman" w:cs="Times New Roman"/>
          <w:sz w:val="24"/>
          <w:szCs w:val="24"/>
        </w:rPr>
        <w:t xml:space="preserve">for PGW, Ms. Christlieb, made a Motion to Dismiss </w:t>
      </w:r>
      <w:r w:rsidRPr="0017046A">
        <w:rPr>
          <w:rFonts w:ascii="Times New Roman" w:eastAsia="Times New Roman" w:hAnsi="Times New Roman" w:cs="Times New Roman"/>
          <w:sz w:val="24"/>
          <w:szCs w:val="24"/>
        </w:rPr>
        <w:t>this claim from Ms. Dawson’s Complaint as falling</w:t>
      </w:r>
      <w:r w:rsidR="00E10E62" w:rsidRPr="0017046A">
        <w:rPr>
          <w:rFonts w:ascii="Times New Roman" w:eastAsia="Times New Roman" w:hAnsi="Times New Roman" w:cs="Times New Roman"/>
          <w:sz w:val="24"/>
          <w:szCs w:val="24"/>
        </w:rPr>
        <w:t xml:space="preserve"> outside of the st</w:t>
      </w:r>
      <w:r w:rsidR="00FF0B60" w:rsidRPr="0017046A">
        <w:rPr>
          <w:rFonts w:ascii="Times New Roman" w:eastAsia="Times New Roman" w:hAnsi="Times New Roman" w:cs="Times New Roman"/>
          <w:sz w:val="24"/>
          <w:szCs w:val="24"/>
        </w:rPr>
        <w:t>atute of limitations</w:t>
      </w:r>
      <w:r w:rsidR="00E10E62" w:rsidRPr="0017046A">
        <w:rPr>
          <w:rFonts w:ascii="Times New Roman" w:eastAsia="Times New Roman" w:hAnsi="Times New Roman" w:cs="Times New Roman"/>
          <w:sz w:val="24"/>
          <w:szCs w:val="24"/>
        </w:rPr>
        <w:t xml:space="preserve">.  </w:t>
      </w:r>
      <w:r w:rsidRPr="0017046A">
        <w:rPr>
          <w:rFonts w:ascii="Times New Roman" w:eastAsia="Times New Roman" w:hAnsi="Times New Roman" w:cs="Times New Roman"/>
          <w:sz w:val="24"/>
          <w:szCs w:val="24"/>
        </w:rPr>
        <w:t xml:space="preserve">In view of Ms. Dawson’s testimony that she had no resided at the Service Address between April 2008 and August 2012, </w:t>
      </w:r>
      <w:r w:rsidR="00E10E62" w:rsidRPr="0017046A">
        <w:rPr>
          <w:rFonts w:ascii="Times New Roman" w:eastAsia="Times New Roman" w:hAnsi="Times New Roman" w:cs="Times New Roman"/>
          <w:sz w:val="24"/>
          <w:szCs w:val="24"/>
        </w:rPr>
        <w:t xml:space="preserve">I collected evidence on the record from the parties </w:t>
      </w:r>
      <w:r w:rsidRPr="0017046A">
        <w:rPr>
          <w:rFonts w:ascii="Times New Roman" w:eastAsia="Times New Roman" w:hAnsi="Times New Roman" w:cs="Times New Roman"/>
          <w:sz w:val="24"/>
          <w:szCs w:val="24"/>
        </w:rPr>
        <w:t xml:space="preserve">to determine when Ms. Dawson’s claim arouse with regard to the October 2008 bill.  </w:t>
      </w:r>
    </w:p>
    <w:p w:rsidR="00840A6E" w:rsidRPr="0017046A" w:rsidRDefault="00840A6E" w:rsidP="0017046A">
      <w:pPr>
        <w:spacing w:after="0" w:line="360" w:lineRule="auto"/>
        <w:ind w:firstLine="1440"/>
        <w:rPr>
          <w:rFonts w:ascii="Times New Roman" w:eastAsia="Times New Roman" w:hAnsi="Times New Roman" w:cs="Times New Roman"/>
          <w:sz w:val="24"/>
          <w:szCs w:val="24"/>
        </w:rPr>
      </w:pPr>
    </w:p>
    <w:p w:rsidR="00E10E62" w:rsidRPr="0017046A" w:rsidRDefault="00622A30" w:rsidP="0017046A">
      <w:pPr>
        <w:autoSpaceDE w:val="0"/>
        <w:autoSpaceDN w:val="0"/>
        <w:adjustRightInd w:val="0"/>
        <w:spacing w:after="0" w:line="360" w:lineRule="auto"/>
        <w:ind w:firstLine="1440"/>
        <w:rPr>
          <w:rFonts w:ascii="Times New Roman" w:hAnsi="Times New Roman" w:cs="Times New Roman"/>
          <w:sz w:val="24"/>
          <w:szCs w:val="24"/>
        </w:rPr>
      </w:pPr>
      <w:r w:rsidRPr="0017046A">
        <w:rPr>
          <w:rFonts w:ascii="Times New Roman" w:eastAsia="Times New Roman" w:hAnsi="Times New Roman" w:cs="Times New Roman"/>
          <w:sz w:val="24"/>
          <w:szCs w:val="24"/>
        </w:rPr>
        <w:t>After carefully reviewing the evidence collected in this case, I find that Ms. Dawson’s challenge of the October 2008 bill is barred by the running of the statute of limitations.</w:t>
      </w:r>
      <w:r w:rsidR="00840A6E" w:rsidRPr="0017046A">
        <w:rPr>
          <w:rFonts w:ascii="Times New Roman" w:eastAsia="Times New Roman" w:hAnsi="Times New Roman" w:cs="Times New Roman"/>
          <w:sz w:val="24"/>
          <w:szCs w:val="24"/>
        </w:rPr>
        <w:t xml:space="preserve">  </w:t>
      </w:r>
      <w:r w:rsidR="00840A6E" w:rsidRPr="0017046A">
        <w:rPr>
          <w:rFonts w:ascii="Times New Roman" w:hAnsi="Times New Roman" w:cs="Times New Roman"/>
          <w:sz w:val="24"/>
          <w:szCs w:val="24"/>
        </w:rPr>
        <w:t xml:space="preserve">Pursuant to PGW’s Tariff, a “customer is required to give the Company at least seven days notice to discontinue the supply of Gas specifying the date on which it is desired that service be discontinued.  </w:t>
      </w:r>
      <w:r w:rsidR="00840A6E" w:rsidRPr="0017046A">
        <w:rPr>
          <w:rFonts w:ascii="Times New Roman" w:hAnsi="Times New Roman" w:cs="Times New Roman"/>
          <w:sz w:val="24"/>
          <w:szCs w:val="24"/>
          <w:u w:val="single"/>
        </w:rPr>
        <w:t>In the absence of notice, the Customer shall be responsible for services rendered</w:t>
      </w:r>
      <w:r w:rsidR="00840A6E" w:rsidRPr="0017046A">
        <w:rPr>
          <w:rFonts w:ascii="Times New Roman" w:hAnsi="Times New Roman" w:cs="Times New Roman"/>
          <w:sz w:val="24"/>
          <w:szCs w:val="24"/>
        </w:rPr>
        <w:t xml:space="preserve">.” </w:t>
      </w:r>
      <w:r w:rsidR="00576A16" w:rsidRPr="0017046A">
        <w:rPr>
          <w:rFonts w:ascii="Times New Roman" w:hAnsi="Times New Roman" w:cs="Times New Roman"/>
          <w:sz w:val="24"/>
          <w:szCs w:val="24"/>
        </w:rPr>
        <w:t xml:space="preserve"> </w:t>
      </w:r>
      <w:r w:rsidR="00840A6E" w:rsidRPr="0017046A">
        <w:rPr>
          <w:rFonts w:ascii="Times New Roman" w:hAnsi="Times New Roman" w:cs="Times New Roman"/>
          <w:sz w:val="24"/>
          <w:szCs w:val="24"/>
        </w:rPr>
        <w:t xml:space="preserve">PGW’s Gas Service Tariff – Pa P.U.C. No. 2, Supplement No. 21, First Revised Page </w:t>
      </w:r>
      <w:r w:rsidR="00840A6E" w:rsidRPr="0017046A">
        <w:rPr>
          <w:rFonts w:ascii="Times New Roman" w:hAnsi="Times New Roman" w:cs="Times New Roman"/>
          <w:sz w:val="24"/>
          <w:szCs w:val="24"/>
        </w:rPr>
        <w:lastRenderedPageBreak/>
        <w:t>No. 31, Rule 5.5.A. (relati</w:t>
      </w:r>
      <w:r w:rsidR="00FF0B60" w:rsidRPr="0017046A">
        <w:rPr>
          <w:rFonts w:ascii="Times New Roman" w:hAnsi="Times New Roman" w:cs="Times New Roman"/>
          <w:sz w:val="24"/>
          <w:szCs w:val="24"/>
        </w:rPr>
        <w:t>ng to notice of discontinuance) (emphasis added);</w:t>
      </w:r>
      <w:r w:rsidR="00840A6E" w:rsidRPr="0017046A">
        <w:rPr>
          <w:rFonts w:ascii="Times New Roman" w:hAnsi="Times New Roman" w:cs="Times New Roman"/>
          <w:sz w:val="24"/>
          <w:szCs w:val="24"/>
        </w:rPr>
        <w:t xml:space="preserve"> see also 52 Pa.Code § 56.72 (relating to </w:t>
      </w:r>
      <w:r w:rsidR="00840A6E" w:rsidRPr="0017046A">
        <w:rPr>
          <w:rStyle w:val="term1"/>
          <w:rFonts w:ascii="Times New Roman" w:hAnsi="Times New Roman" w:cs="Times New Roman"/>
          <w:b w:val="0"/>
          <w:sz w:val="24"/>
          <w:szCs w:val="24"/>
        </w:rPr>
        <w:t>discontinuance</w:t>
      </w:r>
      <w:r w:rsidR="00840A6E" w:rsidRPr="0017046A">
        <w:rPr>
          <w:rFonts w:ascii="Times New Roman" w:hAnsi="Times New Roman" w:cs="Times New Roman"/>
          <w:sz w:val="24"/>
          <w:szCs w:val="24"/>
        </w:rPr>
        <w:t xml:space="preserve"> of service).  </w:t>
      </w:r>
      <w:r w:rsidR="00840A6E" w:rsidRPr="0017046A">
        <w:rPr>
          <w:rFonts w:ascii="Times New Roman" w:eastAsia="Times New Roman" w:hAnsi="Times New Roman" w:cs="Times New Roman"/>
          <w:sz w:val="24"/>
          <w:szCs w:val="24"/>
        </w:rPr>
        <w:t xml:space="preserve">It is an undisputed fact in this matter that Ms. Dawson did not </w:t>
      </w:r>
      <w:r w:rsidR="00840A6E" w:rsidRPr="0017046A">
        <w:rPr>
          <w:rFonts w:ascii="Times New Roman" w:hAnsi="Times New Roman" w:cs="Times New Roman"/>
          <w:sz w:val="24"/>
          <w:szCs w:val="24"/>
        </w:rPr>
        <w:t>ask PGW to turn off gas service at the Service Address, or to mail her gas bills to the York House address when she moved there in April of 2008.  Tr. 11-12, 29.  Therefore, she is not only responsible for the services rendered</w:t>
      </w:r>
      <w:r w:rsidR="002C7C4C" w:rsidRPr="0017046A">
        <w:rPr>
          <w:rFonts w:ascii="Times New Roman" w:hAnsi="Times New Roman" w:cs="Times New Roman"/>
          <w:sz w:val="24"/>
          <w:szCs w:val="24"/>
        </w:rPr>
        <w:t>, but also for reviewing the bill</w:t>
      </w:r>
      <w:r w:rsidR="00FF0B60" w:rsidRPr="0017046A">
        <w:rPr>
          <w:rFonts w:ascii="Times New Roman" w:hAnsi="Times New Roman" w:cs="Times New Roman"/>
          <w:sz w:val="24"/>
          <w:szCs w:val="24"/>
        </w:rPr>
        <w:t>s</w:t>
      </w:r>
      <w:r w:rsidR="002C7C4C" w:rsidRPr="0017046A">
        <w:rPr>
          <w:rFonts w:ascii="Times New Roman" w:hAnsi="Times New Roman" w:cs="Times New Roman"/>
          <w:sz w:val="24"/>
          <w:szCs w:val="24"/>
        </w:rPr>
        <w:t xml:space="preserve"> and bringing forth timely challenges with regard to the October 2008 bill.  </w:t>
      </w:r>
    </w:p>
    <w:p w:rsidR="002C7C4C" w:rsidRPr="0017046A" w:rsidRDefault="002C7C4C" w:rsidP="0017046A">
      <w:pPr>
        <w:autoSpaceDE w:val="0"/>
        <w:autoSpaceDN w:val="0"/>
        <w:adjustRightInd w:val="0"/>
        <w:spacing w:after="0" w:line="360" w:lineRule="auto"/>
        <w:ind w:firstLine="1440"/>
        <w:rPr>
          <w:rFonts w:ascii="Times New Roman" w:hAnsi="Times New Roman" w:cs="Times New Roman"/>
          <w:sz w:val="24"/>
          <w:szCs w:val="24"/>
        </w:rPr>
      </w:pPr>
    </w:p>
    <w:p w:rsidR="00E10E62" w:rsidRPr="0017046A" w:rsidRDefault="00E10E62"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Pursuant to Section 3314 of the Public Utility C</w:t>
      </w:r>
      <w:r w:rsidR="00A15245">
        <w:rPr>
          <w:rFonts w:ascii="Times New Roman" w:eastAsia="Times New Roman" w:hAnsi="Times New Roman" w:cs="Times New Roman"/>
          <w:sz w:val="24"/>
          <w:szCs w:val="24"/>
        </w:rPr>
        <w:t>ode (the Code), 66 Pa. C.S.A. § </w:t>
      </w:r>
      <w:r w:rsidRPr="0017046A">
        <w:rPr>
          <w:rFonts w:ascii="Times New Roman" w:eastAsia="Times New Roman" w:hAnsi="Times New Roman" w:cs="Times New Roman"/>
          <w:sz w:val="24"/>
          <w:szCs w:val="24"/>
        </w:rPr>
        <w:t xml:space="preserve">3314, </w:t>
      </w:r>
    </w:p>
    <w:p w:rsidR="00E10E62" w:rsidRPr="0017046A" w:rsidRDefault="00E10E62" w:rsidP="0017046A">
      <w:pPr>
        <w:autoSpaceDE w:val="0"/>
        <w:autoSpaceDN w:val="0"/>
        <w:spacing w:after="0" w:line="240" w:lineRule="auto"/>
        <w:ind w:left="1440" w:right="1440"/>
        <w:rPr>
          <w:rFonts w:ascii="Times New Roman" w:eastAsia="Times New Roman" w:hAnsi="Times New Roman" w:cs="Times New Roman"/>
          <w:sz w:val="24"/>
          <w:szCs w:val="24"/>
        </w:rPr>
      </w:pPr>
      <w:r w:rsidRPr="0017046A">
        <w:rPr>
          <w:rFonts w:ascii="Times New Roman" w:eastAsia="Times New Roman" w:hAnsi="Times New Roman" w:cs="Times New Roman"/>
          <w:sz w:val="24"/>
          <w:szCs w:val="24"/>
        </w:rPr>
        <w:t xml:space="preserve">No action for the recovery of any penalties or forfeitures incurred under the provisions of this part, and no prosecutions on account of any matter or thing mentioned in this part, shall be maintained </w:t>
      </w:r>
      <w:r w:rsidRPr="0017046A">
        <w:rPr>
          <w:rFonts w:ascii="Times New Roman" w:eastAsia="Times New Roman" w:hAnsi="Times New Roman" w:cs="Times New Roman"/>
          <w:sz w:val="24"/>
          <w:szCs w:val="24"/>
          <w:u w:val="single"/>
        </w:rPr>
        <w:t>unless brought within three years from the date at which the liability therefor arose</w:t>
      </w:r>
      <w:r w:rsidRPr="0017046A">
        <w:rPr>
          <w:rFonts w:ascii="Times New Roman" w:eastAsia="Times New Roman" w:hAnsi="Times New Roman" w:cs="Times New Roman"/>
          <w:sz w:val="24"/>
          <w:szCs w:val="24"/>
        </w:rPr>
        <w:t xml:space="preserve">, except as otherwise provided in this part. </w:t>
      </w:r>
    </w:p>
    <w:p w:rsidR="00E10E62" w:rsidRPr="0017046A" w:rsidRDefault="00E10E62" w:rsidP="00CF560E">
      <w:pPr>
        <w:autoSpaceDE w:val="0"/>
        <w:autoSpaceDN w:val="0"/>
        <w:spacing w:after="0" w:line="360" w:lineRule="auto"/>
        <w:ind w:left="1440" w:right="1440"/>
        <w:rPr>
          <w:rFonts w:ascii="Times New Roman" w:eastAsia="Times New Roman" w:hAnsi="Times New Roman" w:cs="Times New Roman"/>
          <w:sz w:val="24"/>
          <w:szCs w:val="24"/>
        </w:rPr>
      </w:pPr>
    </w:p>
    <w:p w:rsidR="002C7C4C" w:rsidRPr="0017046A" w:rsidRDefault="00E10E62" w:rsidP="0017046A">
      <w:pPr>
        <w:autoSpaceDE w:val="0"/>
        <w:autoSpaceDN w:val="0"/>
        <w:adjustRightInd w:val="0"/>
        <w:spacing w:after="0" w:line="360" w:lineRule="auto"/>
        <w:rPr>
          <w:rFonts w:ascii="Times New Roman" w:hAnsi="Times New Roman" w:cs="Times New Roman"/>
          <w:sz w:val="24"/>
          <w:szCs w:val="24"/>
        </w:rPr>
      </w:pPr>
      <w:r w:rsidRPr="0017046A">
        <w:rPr>
          <w:rFonts w:ascii="Times New Roman" w:eastAsia="Times New Roman" w:hAnsi="Times New Roman" w:cs="Times New Roman"/>
          <w:sz w:val="24"/>
          <w:szCs w:val="24"/>
        </w:rPr>
        <w:t>66 Pa. C.S.A. § 3314(a)</w:t>
      </w:r>
      <w:r w:rsidR="00FF0B60" w:rsidRPr="0017046A">
        <w:rPr>
          <w:rFonts w:ascii="Times New Roman" w:eastAsia="Times New Roman" w:hAnsi="Times New Roman" w:cs="Times New Roman"/>
          <w:sz w:val="24"/>
          <w:szCs w:val="24"/>
        </w:rPr>
        <w:t xml:space="preserve"> (emphasis added).</w:t>
      </w:r>
      <w:r w:rsidRPr="0017046A">
        <w:rPr>
          <w:rFonts w:ascii="Times New Roman" w:eastAsia="Times New Roman" w:hAnsi="Times New Roman" w:cs="Times New Roman"/>
          <w:sz w:val="24"/>
          <w:szCs w:val="24"/>
        </w:rPr>
        <w:t xml:space="preserve">  This provision provides a general limitation period of three years for any action under the Code, except as otherwise provided.  See, </w:t>
      </w:r>
      <w:r w:rsidRPr="0017046A">
        <w:rPr>
          <w:rFonts w:ascii="Times New Roman" w:eastAsia="Times New Roman" w:hAnsi="Times New Roman" w:cs="Times New Roman"/>
          <w:i/>
          <w:sz w:val="24"/>
          <w:szCs w:val="24"/>
        </w:rPr>
        <w:t>Duquesne Light Co. v. Pa. PUC, (Duquesne)</w:t>
      </w:r>
      <w:r w:rsidRPr="0017046A">
        <w:rPr>
          <w:rFonts w:ascii="Times New Roman" w:eastAsia="Times New Roman" w:hAnsi="Times New Roman" w:cs="Times New Roman"/>
          <w:sz w:val="24"/>
          <w:szCs w:val="24"/>
        </w:rPr>
        <w:t xml:space="preserve">, 611 A.2d 370 (Pa. Cmwlth. 1992).  The statute of limitations can be tolled by the doctrine of equitable estoppel, see </w:t>
      </w:r>
      <w:r w:rsidRPr="0017046A">
        <w:rPr>
          <w:rFonts w:ascii="Times New Roman" w:hAnsi="Times New Roman" w:cs="Times New Roman"/>
          <w:i/>
          <w:sz w:val="24"/>
          <w:szCs w:val="24"/>
        </w:rPr>
        <w:t>Lester Ely v. Pennsylvania American Water Compan</w:t>
      </w:r>
      <w:r w:rsidRPr="0017046A">
        <w:rPr>
          <w:rFonts w:ascii="Times New Roman" w:hAnsi="Times New Roman" w:cs="Times New Roman"/>
          <w:sz w:val="24"/>
          <w:szCs w:val="24"/>
        </w:rPr>
        <w:t xml:space="preserve">y, C-20055616 (Order entered July 10, 2006), </w:t>
      </w:r>
      <w:r w:rsidRPr="0017046A">
        <w:rPr>
          <w:rFonts w:ascii="Times New Roman" w:eastAsia="Times New Roman" w:hAnsi="Times New Roman" w:cs="Times New Roman"/>
          <w:sz w:val="24"/>
          <w:szCs w:val="24"/>
        </w:rPr>
        <w:t xml:space="preserve">and by the filing of an informal complaint with the Commission, see </w:t>
      </w:r>
      <w:r w:rsidRPr="0017046A">
        <w:rPr>
          <w:rFonts w:ascii="Times New Roman" w:eastAsia="Times New Roman" w:hAnsi="Times New Roman" w:cs="Times New Roman"/>
          <w:i/>
          <w:sz w:val="24"/>
          <w:szCs w:val="24"/>
        </w:rPr>
        <w:t>Duquesne</w:t>
      </w:r>
      <w:r w:rsidRPr="0017046A">
        <w:rPr>
          <w:rFonts w:ascii="Times New Roman" w:eastAsia="Times New Roman" w:hAnsi="Times New Roman" w:cs="Times New Roman"/>
          <w:sz w:val="24"/>
          <w:szCs w:val="24"/>
        </w:rPr>
        <w:t>, at 383.</w:t>
      </w:r>
      <w:r w:rsidR="002C7C4C" w:rsidRPr="0017046A">
        <w:rPr>
          <w:rFonts w:ascii="Times New Roman" w:eastAsia="Times New Roman" w:hAnsi="Times New Roman" w:cs="Times New Roman"/>
          <w:sz w:val="24"/>
          <w:szCs w:val="24"/>
        </w:rPr>
        <w:t xml:space="preserve">  There is no indication in this case that Ms. Dawson either filed a timely informal complaint with the BCS regarding the October 2008 bill or that PGW caused detrimental reliance on the part of Ms. Dawson with regard to the bill in question.</w:t>
      </w:r>
      <w:r w:rsidR="002C7C4C" w:rsidRPr="0017046A">
        <w:rPr>
          <w:rFonts w:ascii="Times New Roman" w:hAnsi="Times New Roman" w:cs="Times New Roman"/>
          <w:sz w:val="24"/>
          <w:szCs w:val="24"/>
        </w:rPr>
        <w:t xml:space="preserve"> Consequently, Ms. Dawson’s challenge of the October 2008 gas bill is barred by the running of the statute of limitations.</w:t>
      </w:r>
    </w:p>
    <w:p w:rsidR="007E662A" w:rsidRPr="0017046A" w:rsidRDefault="007E662A" w:rsidP="0017046A">
      <w:pPr>
        <w:spacing w:after="0" w:line="360" w:lineRule="auto"/>
        <w:rPr>
          <w:rFonts w:ascii="Times New Roman" w:eastAsia="Times New Roman" w:hAnsi="Times New Roman" w:cs="Times New Roman"/>
          <w:sz w:val="24"/>
          <w:szCs w:val="24"/>
        </w:rPr>
      </w:pPr>
    </w:p>
    <w:p w:rsidR="00E10E62" w:rsidRPr="0017046A" w:rsidRDefault="00E10E62" w:rsidP="0017046A">
      <w:pPr>
        <w:tabs>
          <w:tab w:val="left" w:pos="9810"/>
        </w:tabs>
        <w:spacing w:after="0" w:line="360" w:lineRule="auto"/>
        <w:jc w:val="center"/>
        <w:rPr>
          <w:rFonts w:ascii="Times New Roman" w:eastAsia="Calibri" w:hAnsi="Times New Roman" w:cs="Times New Roman"/>
          <w:sz w:val="24"/>
          <w:szCs w:val="24"/>
          <w:u w:val="single"/>
        </w:rPr>
      </w:pPr>
      <w:r w:rsidRPr="0017046A">
        <w:rPr>
          <w:rFonts w:ascii="Times New Roman" w:eastAsia="Calibri" w:hAnsi="Times New Roman" w:cs="Times New Roman"/>
          <w:sz w:val="24"/>
          <w:szCs w:val="24"/>
          <w:u w:val="single"/>
        </w:rPr>
        <w:t>CONCLUSIONS OF LAW</w:t>
      </w:r>
    </w:p>
    <w:p w:rsidR="00E10E62" w:rsidRPr="0017046A" w:rsidRDefault="00E10E62" w:rsidP="0017046A">
      <w:pPr>
        <w:tabs>
          <w:tab w:val="left" w:pos="1440"/>
          <w:tab w:val="left" w:pos="2160"/>
        </w:tabs>
        <w:spacing w:after="0" w:line="360" w:lineRule="auto"/>
        <w:ind w:firstLine="1440"/>
        <w:rPr>
          <w:rFonts w:ascii="Times New Roman" w:eastAsia="Calibri" w:hAnsi="Times New Roman" w:cs="Times New Roman"/>
          <w:sz w:val="24"/>
          <w:szCs w:val="24"/>
        </w:rPr>
      </w:pPr>
    </w:p>
    <w:p w:rsidR="002C7C4C" w:rsidRPr="0017046A" w:rsidRDefault="00E10E62" w:rsidP="0017046A">
      <w:pPr>
        <w:tabs>
          <w:tab w:val="left" w:pos="1440"/>
          <w:tab w:val="left" w:pos="2160"/>
        </w:tabs>
        <w:spacing w:after="0" w:line="360" w:lineRule="auto"/>
        <w:ind w:firstLine="1440"/>
        <w:rPr>
          <w:rFonts w:ascii="Times New Roman" w:eastAsia="Calibri" w:hAnsi="Times New Roman" w:cs="Times New Roman"/>
          <w:sz w:val="24"/>
          <w:szCs w:val="24"/>
        </w:rPr>
      </w:pPr>
      <w:r w:rsidRPr="0017046A">
        <w:rPr>
          <w:rFonts w:ascii="Times New Roman" w:eastAsia="Calibri" w:hAnsi="Times New Roman" w:cs="Times New Roman"/>
          <w:sz w:val="24"/>
          <w:szCs w:val="24"/>
        </w:rPr>
        <w:t xml:space="preserve">1. </w:t>
      </w:r>
      <w:r w:rsidRPr="0017046A">
        <w:rPr>
          <w:rFonts w:ascii="Times New Roman" w:eastAsia="Calibri" w:hAnsi="Times New Roman" w:cs="Times New Roman"/>
          <w:sz w:val="24"/>
          <w:szCs w:val="24"/>
        </w:rPr>
        <w:tab/>
      </w:r>
      <w:r w:rsidR="002C7C4C" w:rsidRPr="0017046A">
        <w:rPr>
          <w:rFonts w:ascii="Times New Roman" w:eastAsia="Calibri" w:hAnsi="Times New Roman" w:cs="Times New Roman"/>
          <w:sz w:val="24"/>
          <w:szCs w:val="24"/>
        </w:rPr>
        <w:t xml:space="preserve">The Commission has jurisdiction over the parties to and the subject matter of this proceeding.  66 Pa.C.S.A. § 701. </w:t>
      </w:r>
    </w:p>
    <w:p w:rsidR="002C7C4C" w:rsidRPr="0017046A" w:rsidRDefault="002C7C4C" w:rsidP="0017046A">
      <w:pPr>
        <w:tabs>
          <w:tab w:val="left" w:pos="1440"/>
          <w:tab w:val="left" w:pos="2160"/>
        </w:tabs>
        <w:spacing w:after="0" w:line="360" w:lineRule="auto"/>
        <w:ind w:firstLine="1440"/>
        <w:rPr>
          <w:rFonts w:ascii="Times New Roman" w:eastAsia="Calibri" w:hAnsi="Times New Roman" w:cs="Times New Roman"/>
          <w:sz w:val="24"/>
          <w:szCs w:val="24"/>
        </w:rPr>
      </w:pPr>
    </w:p>
    <w:p w:rsidR="00E10E62" w:rsidRPr="0017046A" w:rsidRDefault="002C7C4C" w:rsidP="0017046A">
      <w:pPr>
        <w:tabs>
          <w:tab w:val="left" w:pos="1440"/>
          <w:tab w:val="left" w:pos="2160"/>
        </w:tabs>
        <w:spacing w:after="0" w:line="360" w:lineRule="auto"/>
        <w:ind w:firstLine="1440"/>
        <w:rPr>
          <w:rFonts w:ascii="Times New Roman" w:eastAsia="Calibri" w:hAnsi="Times New Roman" w:cs="Times New Roman"/>
          <w:sz w:val="24"/>
          <w:szCs w:val="24"/>
        </w:rPr>
      </w:pPr>
      <w:r w:rsidRPr="0017046A">
        <w:rPr>
          <w:rFonts w:ascii="Times New Roman" w:eastAsia="Calibri" w:hAnsi="Times New Roman" w:cs="Times New Roman"/>
          <w:sz w:val="24"/>
          <w:szCs w:val="24"/>
        </w:rPr>
        <w:t>2.</w:t>
      </w:r>
      <w:r w:rsidRPr="0017046A">
        <w:rPr>
          <w:rFonts w:ascii="Times New Roman" w:eastAsia="Calibri" w:hAnsi="Times New Roman" w:cs="Times New Roman"/>
          <w:sz w:val="24"/>
          <w:szCs w:val="24"/>
        </w:rPr>
        <w:tab/>
      </w:r>
      <w:r w:rsidR="00E10E62" w:rsidRPr="0017046A">
        <w:rPr>
          <w:rFonts w:ascii="Times New Roman" w:eastAsia="Calibri" w:hAnsi="Times New Roman" w:cs="Times New Roman"/>
          <w:sz w:val="24"/>
          <w:szCs w:val="24"/>
        </w:rPr>
        <w:t xml:space="preserve">The party filing the Complaint bears the burden of proving that she is entitled to relief from the Commission. 66 Pa.C.S.A. § 332(a) </w:t>
      </w:r>
    </w:p>
    <w:p w:rsidR="007E662A" w:rsidRPr="0017046A" w:rsidRDefault="002C7C4C" w:rsidP="0017046A">
      <w:pPr>
        <w:tabs>
          <w:tab w:val="left" w:pos="1440"/>
          <w:tab w:val="left" w:pos="2160"/>
        </w:tabs>
        <w:spacing w:after="0" w:line="360" w:lineRule="auto"/>
        <w:ind w:firstLine="1440"/>
        <w:rPr>
          <w:rFonts w:ascii="Times New Roman" w:eastAsia="Calibri" w:hAnsi="Times New Roman" w:cs="Times New Roman"/>
          <w:sz w:val="24"/>
          <w:szCs w:val="24"/>
        </w:rPr>
      </w:pPr>
      <w:r w:rsidRPr="0017046A">
        <w:rPr>
          <w:rFonts w:ascii="Times New Roman" w:eastAsia="Calibri" w:hAnsi="Times New Roman" w:cs="Times New Roman"/>
          <w:sz w:val="24"/>
          <w:szCs w:val="24"/>
        </w:rPr>
        <w:lastRenderedPageBreak/>
        <w:t>3</w:t>
      </w:r>
      <w:r w:rsidR="00E10E62" w:rsidRPr="0017046A">
        <w:rPr>
          <w:rFonts w:ascii="Times New Roman" w:eastAsia="Calibri" w:hAnsi="Times New Roman" w:cs="Times New Roman"/>
          <w:sz w:val="24"/>
          <w:szCs w:val="24"/>
        </w:rPr>
        <w:t xml:space="preserve">. </w:t>
      </w:r>
      <w:r w:rsidR="00E10E62" w:rsidRPr="0017046A">
        <w:rPr>
          <w:rFonts w:ascii="Times New Roman" w:eastAsia="Calibri" w:hAnsi="Times New Roman" w:cs="Times New Roman"/>
          <w:sz w:val="24"/>
          <w:szCs w:val="24"/>
        </w:rPr>
        <w:tab/>
        <w:t xml:space="preserve">"Burden of proof" means a duty to establish one's case by a preponderance of the evidence, which requires that the evidence be more convincing by even the smallest degree, than the evidence presented by the other side.  </w:t>
      </w:r>
      <w:r w:rsidR="00E10E62" w:rsidRPr="0017046A">
        <w:rPr>
          <w:rFonts w:ascii="Times New Roman" w:eastAsia="Calibri" w:hAnsi="Times New Roman" w:cs="Times New Roman"/>
          <w:i/>
          <w:sz w:val="24"/>
          <w:szCs w:val="24"/>
        </w:rPr>
        <w:t>Se-Ling Hosiery, Inc. v. Margulies</w:t>
      </w:r>
      <w:r w:rsidR="00E10E62" w:rsidRPr="0017046A">
        <w:rPr>
          <w:rFonts w:ascii="Times New Roman" w:eastAsia="Calibri" w:hAnsi="Times New Roman" w:cs="Times New Roman"/>
          <w:sz w:val="24"/>
          <w:szCs w:val="24"/>
        </w:rPr>
        <w:t>, 364 Pa. 45, 70 A.2d 854 (1950).</w:t>
      </w:r>
    </w:p>
    <w:p w:rsidR="007E662A" w:rsidRPr="0017046A" w:rsidRDefault="007E662A" w:rsidP="0017046A">
      <w:pPr>
        <w:tabs>
          <w:tab w:val="left" w:pos="1440"/>
          <w:tab w:val="left" w:pos="2160"/>
        </w:tabs>
        <w:spacing w:after="0" w:line="360" w:lineRule="auto"/>
        <w:ind w:firstLine="1440"/>
        <w:rPr>
          <w:rFonts w:ascii="Times New Roman" w:hAnsi="Times New Roman" w:cs="Times New Roman"/>
          <w:sz w:val="24"/>
          <w:szCs w:val="24"/>
        </w:rPr>
      </w:pPr>
    </w:p>
    <w:p w:rsidR="007E662A" w:rsidRPr="0017046A" w:rsidRDefault="007E662A" w:rsidP="0017046A">
      <w:pPr>
        <w:tabs>
          <w:tab w:val="left" w:pos="1440"/>
          <w:tab w:val="left" w:pos="2160"/>
        </w:tabs>
        <w:spacing w:after="0" w:line="360" w:lineRule="auto"/>
        <w:ind w:firstLine="1440"/>
        <w:rPr>
          <w:rFonts w:ascii="Times New Roman" w:eastAsia="Calibri" w:hAnsi="Times New Roman" w:cs="Times New Roman"/>
          <w:sz w:val="24"/>
          <w:szCs w:val="24"/>
        </w:rPr>
      </w:pPr>
      <w:r w:rsidRPr="0017046A">
        <w:rPr>
          <w:rFonts w:ascii="Times New Roman" w:hAnsi="Times New Roman" w:cs="Times New Roman"/>
          <w:sz w:val="24"/>
          <w:szCs w:val="24"/>
        </w:rPr>
        <w:t>4.</w:t>
      </w:r>
      <w:r w:rsidRPr="0017046A">
        <w:rPr>
          <w:rFonts w:ascii="Times New Roman" w:hAnsi="Times New Roman" w:cs="Times New Roman"/>
          <w:sz w:val="24"/>
          <w:szCs w:val="24"/>
        </w:rPr>
        <w:tab/>
        <w:t xml:space="preserve">In establishing whether a "high bill" has been demonstrated, while the accuracy of the meter is an important factor in resolving billing disputes, the Commission will also consider the billing history of the Complainant; any change in the number of occupants residing at the household; the potential for energy utilization; and any other relevant facts or circumstances that are brought to light during the complaint proceeding.   </w:t>
      </w:r>
      <w:r w:rsidRPr="0017046A">
        <w:rPr>
          <w:rFonts w:ascii="Times New Roman" w:hAnsi="Times New Roman" w:cs="Times New Roman"/>
          <w:i/>
          <w:sz w:val="24"/>
          <w:szCs w:val="24"/>
        </w:rPr>
        <w:t>Waldron v. Philadelphia Electric Co.</w:t>
      </w:r>
      <w:r w:rsidRPr="0017046A">
        <w:rPr>
          <w:rFonts w:ascii="Times New Roman" w:hAnsi="Times New Roman" w:cs="Times New Roman"/>
          <w:sz w:val="24"/>
          <w:szCs w:val="24"/>
        </w:rPr>
        <w:t>, 54 Pa. PUC 98, 100 (1980).</w:t>
      </w:r>
    </w:p>
    <w:p w:rsidR="00E10E62" w:rsidRPr="0017046A" w:rsidRDefault="00E10E62" w:rsidP="0017046A">
      <w:pPr>
        <w:tabs>
          <w:tab w:val="left" w:pos="1440"/>
          <w:tab w:val="left" w:pos="2160"/>
        </w:tabs>
        <w:spacing w:after="0" w:line="360" w:lineRule="auto"/>
        <w:ind w:firstLine="1440"/>
        <w:rPr>
          <w:rFonts w:ascii="Times New Roman" w:eastAsia="Calibri" w:hAnsi="Times New Roman" w:cs="Times New Roman"/>
          <w:sz w:val="24"/>
          <w:szCs w:val="24"/>
        </w:rPr>
      </w:pPr>
    </w:p>
    <w:p w:rsidR="007E662A" w:rsidRPr="0017046A" w:rsidRDefault="007E662A" w:rsidP="0017046A">
      <w:pPr>
        <w:spacing w:after="0" w:line="360" w:lineRule="auto"/>
        <w:ind w:firstLine="1440"/>
        <w:rPr>
          <w:rFonts w:ascii="Times New Roman" w:eastAsia="Times New Roman" w:hAnsi="Times New Roman" w:cs="Times New Roman"/>
          <w:sz w:val="24"/>
          <w:szCs w:val="24"/>
        </w:rPr>
      </w:pPr>
      <w:r w:rsidRPr="0017046A">
        <w:rPr>
          <w:rFonts w:ascii="Times New Roman" w:eastAsia="Calibri" w:hAnsi="Times New Roman" w:cs="Times New Roman"/>
          <w:sz w:val="24"/>
          <w:szCs w:val="24"/>
        </w:rPr>
        <w:t>5</w:t>
      </w:r>
      <w:r w:rsidR="00E10E62" w:rsidRPr="0017046A">
        <w:rPr>
          <w:rFonts w:ascii="Times New Roman" w:eastAsia="Calibri" w:hAnsi="Times New Roman" w:cs="Times New Roman"/>
          <w:sz w:val="24"/>
          <w:szCs w:val="24"/>
        </w:rPr>
        <w:t xml:space="preserve">. </w:t>
      </w:r>
      <w:r w:rsidR="00E10E62" w:rsidRPr="0017046A">
        <w:rPr>
          <w:rFonts w:ascii="Times New Roman" w:eastAsia="Calibri" w:hAnsi="Times New Roman" w:cs="Times New Roman"/>
          <w:sz w:val="24"/>
          <w:szCs w:val="24"/>
        </w:rPr>
        <w:tab/>
      </w:r>
      <w:r w:rsidRPr="0017046A">
        <w:rPr>
          <w:rFonts w:ascii="Times New Roman" w:eastAsia="Times New Roman" w:hAnsi="Times New Roman" w:cs="Times New Roman"/>
          <w:sz w:val="24"/>
          <w:szCs w:val="24"/>
        </w:rPr>
        <w:t xml:space="preserve">A public utility is allowed to charge a fee for meter testing requested by consumers in </w:t>
      </w:r>
      <w:r w:rsidR="005F6862">
        <w:rPr>
          <w:rFonts w:ascii="Times New Roman" w:eastAsia="Times New Roman" w:hAnsi="Times New Roman" w:cs="Times New Roman"/>
          <w:sz w:val="24"/>
          <w:szCs w:val="24"/>
        </w:rPr>
        <w:t>writing.  52 Pa.Code § 59.21(f).</w:t>
      </w:r>
    </w:p>
    <w:p w:rsidR="007E662A" w:rsidRPr="0017046A" w:rsidRDefault="007E662A" w:rsidP="0017046A">
      <w:pPr>
        <w:tabs>
          <w:tab w:val="left" w:pos="1440"/>
          <w:tab w:val="left" w:pos="2160"/>
        </w:tabs>
        <w:spacing w:after="0" w:line="360" w:lineRule="auto"/>
        <w:ind w:firstLine="1440"/>
        <w:rPr>
          <w:rFonts w:ascii="Times New Roman" w:eastAsia="Calibri" w:hAnsi="Times New Roman" w:cs="Times New Roman"/>
          <w:sz w:val="24"/>
          <w:szCs w:val="24"/>
        </w:rPr>
      </w:pPr>
    </w:p>
    <w:p w:rsidR="00E10E62" w:rsidRPr="0017046A" w:rsidRDefault="007E662A" w:rsidP="0017046A">
      <w:pPr>
        <w:tabs>
          <w:tab w:val="left" w:pos="1440"/>
          <w:tab w:val="left" w:pos="2160"/>
        </w:tabs>
        <w:spacing w:after="0" w:line="360" w:lineRule="auto"/>
        <w:ind w:firstLine="1440"/>
        <w:rPr>
          <w:rFonts w:ascii="Times New Roman" w:hAnsi="Times New Roman" w:cs="Times New Roman"/>
          <w:sz w:val="24"/>
          <w:szCs w:val="24"/>
        </w:rPr>
      </w:pPr>
      <w:r w:rsidRPr="0017046A">
        <w:rPr>
          <w:rFonts w:ascii="Times New Roman" w:hAnsi="Times New Roman" w:cs="Times New Roman"/>
          <w:sz w:val="24"/>
          <w:szCs w:val="24"/>
        </w:rPr>
        <w:t>6.</w:t>
      </w:r>
      <w:r w:rsidRPr="0017046A">
        <w:rPr>
          <w:rFonts w:ascii="Times New Roman" w:hAnsi="Times New Roman" w:cs="Times New Roman"/>
          <w:sz w:val="24"/>
          <w:szCs w:val="24"/>
        </w:rPr>
        <w:tab/>
      </w:r>
      <w:r w:rsidR="00E10E62" w:rsidRPr="0017046A">
        <w:rPr>
          <w:rFonts w:ascii="Times New Roman" w:hAnsi="Times New Roman" w:cs="Times New Roman"/>
          <w:sz w:val="24"/>
          <w:szCs w:val="24"/>
        </w:rPr>
        <w:t>No action for the recovery of any penalties or forfeitures incurred under the provisions of this part, and no prosecutions on account of any matter or thing mentioned in this part, shall be maintained unless brought within three years from the date at which the liability therefor arose.  66 Pa</w:t>
      </w:r>
      <w:r w:rsidR="002C7C4C" w:rsidRPr="0017046A">
        <w:rPr>
          <w:rFonts w:ascii="Times New Roman" w:hAnsi="Times New Roman" w:cs="Times New Roman"/>
          <w:sz w:val="24"/>
          <w:szCs w:val="24"/>
        </w:rPr>
        <w:t>.</w:t>
      </w:r>
      <w:r w:rsidR="00E10E62" w:rsidRPr="0017046A">
        <w:rPr>
          <w:rFonts w:ascii="Times New Roman" w:hAnsi="Times New Roman" w:cs="Times New Roman"/>
          <w:sz w:val="24"/>
          <w:szCs w:val="24"/>
        </w:rPr>
        <w:t xml:space="preserve">C.S.A. § 3314(a).  </w:t>
      </w:r>
    </w:p>
    <w:p w:rsidR="00FF0B60" w:rsidRPr="0017046A" w:rsidRDefault="00FF0B60" w:rsidP="0017046A">
      <w:pPr>
        <w:tabs>
          <w:tab w:val="left" w:pos="1440"/>
          <w:tab w:val="left" w:pos="2160"/>
        </w:tabs>
        <w:spacing w:after="0" w:line="360" w:lineRule="auto"/>
        <w:ind w:firstLine="1440"/>
        <w:rPr>
          <w:rFonts w:ascii="Times New Roman" w:eastAsia="Calibri" w:hAnsi="Times New Roman" w:cs="Times New Roman"/>
          <w:sz w:val="24"/>
          <w:szCs w:val="24"/>
        </w:rPr>
      </w:pPr>
    </w:p>
    <w:p w:rsidR="00E10E62" w:rsidRPr="0017046A" w:rsidRDefault="00E10E62" w:rsidP="0017046A">
      <w:pPr>
        <w:spacing w:after="0" w:line="360" w:lineRule="auto"/>
        <w:jc w:val="center"/>
        <w:rPr>
          <w:rFonts w:ascii="Times New Roman" w:eastAsia="Calibri" w:hAnsi="Times New Roman" w:cs="Times New Roman"/>
          <w:sz w:val="24"/>
          <w:szCs w:val="24"/>
          <w:u w:val="single"/>
        </w:rPr>
      </w:pPr>
      <w:r w:rsidRPr="0017046A">
        <w:rPr>
          <w:rFonts w:ascii="Times New Roman" w:eastAsia="Calibri" w:hAnsi="Times New Roman" w:cs="Times New Roman"/>
          <w:sz w:val="24"/>
          <w:szCs w:val="24"/>
          <w:u w:val="single"/>
        </w:rPr>
        <w:t>ORDER</w:t>
      </w:r>
    </w:p>
    <w:p w:rsidR="00E10E62" w:rsidRDefault="00E10E62" w:rsidP="0017046A">
      <w:pPr>
        <w:spacing w:after="0" w:line="360" w:lineRule="auto"/>
        <w:jc w:val="center"/>
        <w:outlineLvl w:val="0"/>
        <w:rPr>
          <w:rFonts w:ascii="Times New Roman" w:eastAsia="Calibri" w:hAnsi="Times New Roman" w:cs="Times New Roman"/>
          <w:sz w:val="24"/>
          <w:szCs w:val="24"/>
          <w:u w:val="single"/>
        </w:rPr>
      </w:pPr>
    </w:p>
    <w:p w:rsidR="00C4636E" w:rsidRPr="0017046A" w:rsidRDefault="00C4636E" w:rsidP="0017046A">
      <w:pPr>
        <w:spacing w:after="0" w:line="360" w:lineRule="auto"/>
        <w:jc w:val="center"/>
        <w:outlineLvl w:val="0"/>
        <w:rPr>
          <w:rFonts w:ascii="Times New Roman" w:eastAsia="Calibri" w:hAnsi="Times New Roman" w:cs="Times New Roman"/>
          <w:sz w:val="24"/>
          <w:szCs w:val="24"/>
          <w:u w:val="single"/>
        </w:rPr>
      </w:pPr>
    </w:p>
    <w:p w:rsidR="00E10E62" w:rsidRPr="0017046A" w:rsidRDefault="00E10E62" w:rsidP="0017046A">
      <w:pPr>
        <w:tabs>
          <w:tab w:val="num" w:pos="2160"/>
        </w:tabs>
        <w:spacing w:after="0" w:line="360" w:lineRule="auto"/>
        <w:ind w:firstLine="1440"/>
        <w:rPr>
          <w:rFonts w:ascii="Times New Roman" w:eastAsia="Calibri" w:hAnsi="Times New Roman" w:cs="Times New Roman"/>
          <w:sz w:val="24"/>
          <w:szCs w:val="24"/>
        </w:rPr>
      </w:pPr>
      <w:r w:rsidRPr="0017046A">
        <w:rPr>
          <w:rFonts w:ascii="Times New Roman" w:eastAsia="Calibri" w:hAnsi="Times New Roman" w:cs="Times New Roman"/>
          <w:sz w:val="24"/>
          <w:szCs w:val="24"/>
        </w:rPr>
        <w:t>THEREFORE,</w:t>
      </w:r>
    </w:p>
    <w:p w:rsidR="00E10E62" w:rsidRPr="0017046A" w:rsidRDefault="00E10E62" w:rsidP="0017046A">
      <w:pPr>
        <w:tabs>
          <w:tab w:val="num" w:pos="2160"/>
        </w:tabs>
        <w:spacing w:after="0" w:line="360" w:lineRule="auto"/>
        <w:rPr>
          <w:rFonts w:ascii="Times New Roman" w:eastAsia="Calibri" w:hAnsi="Times New Roman" w:cs="Times New Roman"/>
          <w:sz w:val="24"/>
          <w:szCs w:val="24"/>
        </w:rPr>
      </w:pPr>
    </w:p>
    <w:p w:rsidR="00E10E62" w:rsidRPr="0017046A" w:rsidRDefault="00E10E62" w:rsidP="0017046A">
      <w:pPr>
        <w:tabs>
          <w:tab w:val="num" w:pos="2160"/>
        </w:tabs>
        <w:spacing w:after="0" w:line="360" w:lineRule="auto"/>
        <w:ind w:firstLine="1440"/>
        <w:outlineLvl w:val="0"/>
        <w:rPr>
          <w:rFonts w:ascii="Times New Roman" w:eastAsia="Calibri" w:hAnsi="Times New Roman" w:cs="Times New Roman"/>
          <w:sz w:val="24"/>
          <w:szCs w:val="24"/>
        </w:rPr>
      </w:pPr>
      <w:r w:rsidRPr="0017046A">
        <w:rPr>
          <w:rFonts w:ascii="Times New Roman" w:eastAsia="Calibri" w:hAnsi="Times New Roman" w:cs="Times New Roman"/>
          <w:sz w:val="24"/>
          <w:szCs w:val="24"/>
        </w:rPr>
        <w:t>IT IS ORDERED:</w:t>
      </w:r>
    </w:p>
    <w:p w:rsidR="00E10E62" w:rsidRPr="0017046A" w:rsidRDefault="00E10E62" w:rsidP="0017046A">
      <w:pPr>
        <w:tabs>
          <w:tab w:val="num" w:pos="2160"/>
        </w:tabs>
        <w:spacing w:after="0" w:line="360" w:lineRule="auto"/>
        <w:ind w:firstLine="1440"/>
        <w:outlineLvl w:val="0"/>
        <w:rPr>
          <w:rFonts w:ascii="Times New Roman" w:eastAsia="Calibri" w:hAnsi="Times New Roman" w:cs="Times New Roman"/>
          <w:sz w:val="24"/>
          <w:szCs w:val="24"/>
        </w:rPr>
      </w:pPr>
    </w:p>
    <w:p w:rsidR="00E10E62" w:rsidRDefault="00E10E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sidRPr="0017046A">
        <w:rPr>
          <w:rFonts w:ascii="Times New Roman" w:eastAsia="Times New Roman" w:hAnsi="Times New Roman" w:cs="Times New Roman"/>
          <w:spacing w:val="-3"/>
          <w:sz w:val="24"/>
          <w:szCs w:val="24"/>
        </w:rPr>
        <w:t>1.</w:t>
      </w:r>
      <w:r w:rsidRPr="0017046A">
        <w:rPr>
          <w:rFonts w:ascii="Times New Roman" w:eastAsia="Times New Roman" w:hAnsi="Times New Roman" w:cs="Times New Roman"/>
          <w:spacing w:val="-3"/>
          <w:sz w:val="24"/>
          <w:szCs w:val="24"/>
        </w:rPr>
        <w:tab/>
        <w:t xml:space="preserve">That </w:t>
      </w:r>
      <w:r w:rsidRPr="0017046A">
        <w:rPr>
          <w:rFonts w:ascii="Times New Roman" w:eastAsia="Times New Roman" w:hAnsi="Times New Roman" w:cs="Times New Roman"/>
          <w:sz w:val="24"/>
          <w:szCs w:val="24"/>
        </w:rPr>
        <w:t xml:space="preserve">Philadelphia </w:t>
      </w:r>
      <w:r w:rsidR="007E662A" w:rsidRPr="0017046A">
        <w:rPr>
          <w:rFonts w:ascii="Times New Roman" w:eastAsia="Times New Roman" w:hAnsi="Times New Roman" w:cs="Times New Roman"/>
          <w:sz w:val="24"/>
          <w:szCs w:val="24"/>
        </w:rPr>
        <w:t>Gas Works’ late-filed Exhibits 8 and 9</w:t>
      </w:r>
      <w:r w:rsidRPr="0017046A">
        <w:rPr>
          <w:rFonts w:ascii="Times New Roman" w:eastAsia="Times New Roman" w:hAnsi="Times New Roman" w:cs="Times New Roman"/>
          <w:sz w:val="24"/>
          <w:szCs w:val="24"/>
        </w:rPr>
        <w:t xml:space="preserve"> shall be admitted into the record in this matter.</w:t>
      </w:r>
    </w:p>
    <w:p w:rsidR="005F6862" w:rsidRPr="0017046A" w:rsidRDefault="005F6862" w:rsidP="0017046A">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7E662A" w:rsidRPr="0017046A" w:rsidRDefault="00E10E62" w:rsidP="0017046A">
      <w:pPr>
        <w:spacing w:after="0" w:line="360" w:lineRule="auto"/>
        <w:ind w:firstLine="1440"/>
        <w:rPr>
          <w:rFonts w:ascii="Times New Roman" w:eastAsia="Times New Roman" w:hAnsi="Times New Roman" w:cs="Times New Roman"/>
          <w:spacing w:val="-3"/>
          <w:sz w:val="24"/>
          <w:szCs w:val="24"/>
        </w:rPr>
      </w:pPr>
      <w:r w:rsidRPr="0017046A">
        <w:rPr>
          <w:rFonts w:ascii="Times New Roman" w:eastAsia="Times New Roman" w:hAnsi="Times New Roman" w:cs="Times New Roman"/>
          <w:spacing w:val="-3"/>
          <w:sz w:val="24"/>
          <w:szCs w:val="24"/>
        </w:rPr>
        <w:lastRenderedPageBreak/>
        <w:t>2.</w:t>
      </w:r>
      <w:r w:rsidRPr="0017046A">
        <w:rPr>
          <w:rFonts w:ascii="Times New Roman" w:eastAsia="Times New Roman" w:hAnsi="Times New Roman" w:cs="Times New Roman"/>
          <w:spacing w:val="-3"/>
          <w:sz w:val="24"/>
          <w:szCs w:val="24"/>
        </w:rPr>
        <w:tab/>
        <w:t>That the formal Complaint filed by Melba Dawson against Philadelphia Gas Works at Docket No. F-2014-2455608</w:t>
      </w:r>
      <w:r w:rsidR="007E662A" w:rsidRPr="0017046A">
        <w:rPr>
          <w:rFonts w:ascii="Times New Roman" w:eastAsia="Times New Roman" w:hAnsi="Times New Roman" w:cs="Times New Roman"/>
          <w:spacing w:val="-3"/>
          <w:sz w:val="24"/>
          <w:szCs w:val="24"/>
        </w:rPr>
        <w:t xml:space="preserve"> is dismissed </w:t>
      </w:r>
      <w:r w:rsidR="00F90567" w:rsidRPr="0017046A">
        <w:rPr>
          <w:rFonts w:ascii="Times New Roman" w:eastAsia="Times New Roman" w:hAnsi="Times New Roman" w:cs="Times New Roman"/>
          <w:spacing w:val="-3"/>
          <w:sz w:val="24"/>
          <w:szCs w:val="24"/>
        </w:rPr>
        <w:t>in its entirety.</w:t>
      </w:r>
    </w:p>
    <w:p w:rsidR="008E2D9F" w:rsidRDefault="008E2D9F">
      <w:pPr>
        <w:rPr>
          <w:rFonts w:ascii="Times New Roman" w:eastAsia="Times New Roman" w:hAnsi="Times New Roman" w:cs="Times New Roman"/>
          <w:spacing w:val="-3"/>
          <w:sz w:val="24"/>
          <w:szCs w:val="24"/>
        </w:rPr>
      </w:pPr>
    </w:p>
    <w:p w:rsidR="00E10E62" w:rsidRPr="0017046A" w:rsidRDefault="005F6862" w:rsidP="0017046A">
      <w:pPr>
        <w:tabs>
          <w:tab w:val="left" w:pos="-1440"/>
          <w:tab w:val="left" w:pos="-720"/>
        </w:tabs>
        <w:suppressAutoHyphens/>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3</w:t>
      </w:r>
      <w:r w:rsidR="00E10E62" w:rsidRPr="0017046A">
        <w:rPr>
          <w:rFonts w:ascii="Times New Roman" w:eastAsia="Times New Roman" w:hAnsi="Times New Roman" w:cs="Times New Roman"/>
          <w:spacing w:val="-3"/>
          <w:sz w:val="24"/>
          <w:szCs w:val="24"/>
        </w:rPr>
        <w:t>.</w:t>
      </w:r>
      <w:r w:rsidR="00E10E62" w:rsidRPr="0017046A">
        <w:rPr>
          <w:rFonts w:ascii="Times New Roman" w:eastAsia="Times New Roman" w:hAnsi="Times New Roman" w:cs="Times New Roman"/>
          <w:spacing w:val="-3"/>
          <w:sz w:val="24"/>
          <w:szCs w:val="24"/>
        </w:rPr>
        <w:tab/>
      </w:r>
      <w:r w:rsidR="00E10E62" w:rsidRPr="0017046A">
        <w:rPr>
          <w:rFonts w:ascii="Times New Roman" w:eastAsia="Calibri" w:hAnsi="Times New Roman" w:cs="Times New Roman"/>
          <w:sz w:val="24"/>
          <w:szCs w:val="24"/>
        </w:rPr>
        <w:t xml:space="preserve">That the Secretary </w:t>
      </w:r>
      <w:proofErr w:type="gramStart"/>
      <w:r w:rsidR="00E10E62" w:rsidRPr="0017046A">
        <w:rPr>
          <w:rFonts w:ascii="Times New Roman" w:eastAsia="Calibri" w:hAnsi="Times New Roman" w:cs="Times New Roman"/>
          <w:sz w:val="24"/>
          <w:szCs w:val="24"/>
        </w:rPr>
        <w:t>mark</w:t>
      </w:r>
      <w:proofErr w:type="gramEnd"/>
      <w:r w:rsidR="00E10E62" w:rsidRPr="0017046A">
        <w:rPr>
          <w:rFonts w:ascii="Times New Roman" w:eastAsia="Calibri" w:hAnsi="Times New Roman" w:cs="Times New Roman"/>
          <w:sz w:val="24"/>
          <w:szCs w:val="24"/>
        </w:rPr>
        <w:t xml:space="preserve"> this docket closed.</w:t>
      </w:r>
    </w:p>
    <w:p w:rsidR="00E10E62" w:rsidRPr="0017046A" w:rsidRDefault="00E10E62" w:rsidP="0017046A">
      <w:pPr>
        <w:autoSpaceDE w:val="0"/>
        <w:autoSpaceDN w:val="0"/>
        <w:spacing w:after="0" w:line="360" w:lineRule="auto"/>
        <w:ind w:firstLine="1440"/>
        <w:rPr>
          <w:rFonts w:ascii="Times New Roman" w:eastAsia="Times New Roman" w:hAnsi="Times New Roman" w:cs="Times New Roman"/>
          <w:spacing w:val="-3"/>
          <w:sz w:val="24"/>
          <w:szCs w:val="24"/>
        </w:rPr>
      </w:pPr>
    </w:p>
    <w:p w:rsidR="00E10E62" w:rsidRPr="0017046A" w:rsidRDefault="00E10E62" w:rsidP="0017046A">
      <w:pPr>
        <w:spacing w:after="0" w:line="360" w:lineRule="auto"/>
        <w:ind w:left="1440"/>
        <w:rPr>
          <w:rFonts w:ascii="Times New Roman" w:eastAsia="Times New Roman" w:hAnsi="Times New Roman" w:cs="Times New Roman"/>
          <w:spacing w:val="-3"/>
          <w:sz w:val="24"/>
          <w:szCs w:val="24"/>
        </w:rPr>
      </w:pPr>
    </w:p>
    <w:p w:rsidR="00E10E62" w:rsidRPr="0017046A" w:rsidRDefault="00E10E62" w:rsidP="0017046A">
      <w:pPr>
        <w:spacing w:after="0" w:line="240" w:lineRule="auto"/>
        <w:outlineLvl w:val="0"/>
        <w:rPr>
          <w:rFonts w:ascii="Times New Roman" w:eastAsia="Times New Roman" w:hAnsi="Times New Roman" w:cs="Times New Roman"/>
          <w:spacing w:val="-3"/>
          <w:sz w:val="24"/>
          <w:szCs w:val="24"/>
        </w:rPr>
      </w:pPr>
      <w:r w:rsidRPr="0017046A">
        <w:rPr>
          <w:rFonts w:ascii="Times New Roman" w:eastAsia="Times New Roman" w:hAnsi="Times New Roman" w:cs="Times New Roman"/>
          <w:spacing w:val="-3"/>
          <w:sz w:val="24"/>
          <w:szCs w:val="24"/>
        </w:rPr>
        <w:t>Dated:</w:t>
      </w:r>
      <w:r w:rsidRPr="0017046A">
        <w:rPr>
          <w:rFonts w:ascii="Times New Roman" w:eastAsia="Times New Roman" w:hAnsi="Times New Roman" w:cs="Times New Roman"/>
          <w:spacing w:val="-3"/>
          <w:sz w:val="24"/>
          <w:szCs w:val="24"/>
        </w:rPr>
        <w:tab/>
      </w:r>
      <w:r w:rsidR="00C2648B">
        <w:rPr>
          <w:rFonts w:ascii="Times New Roman" w:eastAsia="Times New Roman" w:hAnsi="Times New Roman" w:cs="Times New Roman"/>
          <w:spacing w:val="-3"/>
          <w:sz w:val="24"/>
          <w:szCs w:val="24"/>
          <w:u w:val="single"/>
        </w:rPr>
        <w:t>August 31</w:t>
      </w:r>
      <w:r w:rsidR="007E662A" w:rsidRPr="0017046A">
        <w:rPr>
          <w:rFonts w:ascii="Times New Roman" w:eastAsia="Times New Roman" w:hAnsi="Times New Roman" w:cs="Times New Roman"/>
          <w:spacing w:val="-3"/>
          <w:sz w:val="24"/>
          <w:szCs w:val="24"/>
          <w:u w:val="single"/>
        </w:rPr>
        <w:t>, 2015</w:t>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u w:val="single"/>
        </w:rPr>
        <w:tab/>
        <w:t>/s/</w:t>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r w:rsidRPr="0017046A">
        <w:rPr>
          <w:rFonts w:ascii="Times New Roman" w:eastAsia="Times New Roman" w:hAnsi="Times New Roman" w:cs="Times New Roman"/>
          <w:spacing w:val="-3"/>
          <w:sz w:val="24"/>
          <w:szCs w:val="24"/>
          <w:u w:val="single"/>
        </w:rPr>
        <w:tab/>
      </w:r>
    </w:p>
    <w:p w:rsidR="00E10E62" w:rsidRPr="0017046A" w:rsidRDefault="00E10E62" w:rsidP="0017046A">
      <w:pPr>
        <w:spacing w:after="0" w:line="240" w:lineRule="auto"/>
        <w:outlineLvl w:val="0"/>
        <w:rPr>
          <w:rFonts w:ascii="Times New Roman" w:eastAsia="Times New Roman" w:hAnsi="Times New Roman" w:cs="Times New Roman"/>
          <w:spacing w:val="-3"/>
          <w:sz w:val="24"/>
          <w:szCs w:val="24"/>
        </w:rPr>
      </w:pP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t>Eranda Vero</w:t>
      </w:r>
    </w:p>
    <w:p w:rsidR="00E10E62" w:rsidRPr="0017046A" w:rsidRDefault="00E10E62" w:rsidP="0017046A">
      <w:pPr>
        <w:spacing w:after="0" w:line="240" w:lineRule="auto"/>
        <w:rPr>
          <w:rFonts w:ascii="Times New Roman" w:eastAsia="Times New Roman" w:hAnsi="Times New Roman" w:cs="Times New Roman"/>
          <w:spacing w:val="-3"/>
          <w:sz w:val="24"/>
          <w:szCs w:val="24"/>
        </w:rPr>
      </w:pP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r>
      <w:r w:rsidRPr="0017046A">
        <w:rPr>
          <w:rFonts w:ascii="Times New Roman" w:eastAsia="Times New Roman" w:hAnsi="Times New Roman" w:cs="Times New Roman"/>
          <w:spacing w:val="-3"/>
          <w:sz w:val="24"/>
          <w:szCs w:val="24"/>
        </w:rPr>
        <w:tab/>
        <w:t>Administrative Law Judge</w:t>
      </w:r>
    </w:p>
    <w:p w:rsidR="00E10E62" w:rsidRPr="0017046A" w:rsidRDefault="00E10E62" w:rsidP="0017046A">
      <w:pPr>
        <w:spacing w:after="0" w:line="360" w:lineRule="auto"/>
        <w:ind w:firstLine="1440"/>
        <w:rPr>
          <w:rFonts w:ascii="Times New Roman" w:eastAsia="Calibri" w:hAnsi="Times New Roman" w:cs="Times New Roman"/>
          <w:sz w:val="24"/>
          <w:szCs w:val="24"/>
        </w:rPr>
      </w:pPr>
    </w:p>
    <w:p w:rsidR="00E10E62" w:rsidRPr="0017046A" w:rsidRDefault="00E10E62" w:rsidP="0017046A">
      <w:pPr>
        <w:spacing w:after="0"/>
        <w:rPr>
          <w:rFonts w:ascii="Times New Roman" w:eastAsia="Calibri" w:hAnsi="Times New Roman" w:cs="Times New Roman"/>
          <w:sz w:val="24"/>
          <w:szCs w:val="24"/>
        </w:rPr>
      </w:pPr>
    </w:p>
    <w:p w:rsidR="00E10E62" w:rsidRPr="0017046A" w:rsidRDefault="00E10E62" w:rsidP="0017046A">
      <w:pPr>
        <w:spacing w:after="0"/>
        <w:rPr>
          <w:rFonts w:ascii="Times New Roman" w:hAnsi="Times New Roman" w:cs="Times New Roman"/>
          <w:sz w:val="24"/>
          <w:szCs w:val="24"/>
        </w:rPr>
      </w:pPr>
    </w:p>
    <w:sectPr w:rsidR="00E10E62" w:rsidRPr="0017046A" w:rsidSect="00C4636E">
      <w:footerReference w:type="even" r:id="rId11"/>
      <w:footerReference w:type="default" r:id="rId12"/>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AFF" w:rsidRDefault="009A5AFF" w:rsidP="00E10E62">
      <w:pPr>
        <w:spacing w:after="0" w:line="240" w:lineRule="auto"/>
      </w:pPr>
      <w:r>
        <w:separator/>
      </w:r>
    </w:p>
  </w:endnote>
  <w:endnote w:type="continuationSeparator" w:id="0">
    <w:p w:rsidR="009A5AFF" w:rsidRDefault="009A5AFF" w:rsidP="00E1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B4" w:rsidRDefault="00CC2CB4" w:rsidP="00375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2CB4" w:rsidRDefault="00CC2C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B4" w:rsidRPr="00B0176E" w:rsidRDefault="00CC2CB4" w:rsidP="003757B2">
    <w:pPr>
      <w:pStyle w:val="Footer"/>
      <w:framePr w:wrap="around" w:vAnchor="text" w:hAnchor="margin" w:xAlign="center" w:y="1"/>
      <w:rPr>
        <w:rStyle w:val="PageNumber"/>
        <w:rFonts w:ascii="Times New Roman" w:hAnsi="Times New Roman"/>
        <w:sz w:val="20"/>
        <w:szCs w:val="20"/>
      </w:rPr>
    </w:pPr>
    <w:r w:rsidRPr="00B0176E">
      <w:rPr>
        <w:rStyle w:val="PageNumber"/>
        <w:rFonts w:ascii="Times New Roman" w:hAnsi="Times New Roman"/>
        <w:sz w:val="20"/>
        <w:szCs w:val="20"/>
      </w:rPr>
      <w:fldChar w:fldCharType="begin"/>
    </w:r>
    <w:r w:rsidRPr="00B0176E">
      <w:rPr>
        <w:rStyle w:val="PageNumber"/>
        <w:rFonts w:ascii="Times New Roman" w:hAnsi="Times New Roman"/>
        <w:sz w:val="20"/>
        <w:szCs w:val="20"/>
      </w:rPr>
      <w:instrText xml:space="preserve">PAGE  </w:instrText>
    </w:r>
    <w:r w:rsidRPr="00B0176E">
      <w:rPr>
        <w:rStyle w:val="PageNumber"/>
        <w:rFonts w:ascii="Times New Roman" w:hAnsi="Times New Roman"/>
        <w:sz w:val="20"/>
        <w:szCs w:val="20"/>
      </w:rPr>
      <w:fldChar w:fldCharType="separate"/>
    </w:r>
    <w:r w:rsidR="00895708">
      <w:rPr>
        <w:rStyle w:val="PageNumber"/>
        <w:rFonts w:ascii="Times New Roman" w:hAnsi="Times New Roman"/>
        <w:noProof/>
        <w:sz w:val="20"/>
        <w:szCs w:val="20"/>
      </w:rPr>
      <w:t>17</w:t>
    </w:r>
    <w:r w:rsidRPr="00B0176E">
      <w:rPr>
        <w:rStyle w:val="PageNumber"/>
        <w:rFonts w:ascii="Times New Roman" w:hAnsi="Times New Roman"/>
        <w:sz w:val="20"/>
        <w:szCs w:val="20"/>
      </w:rPr>
      <w:fldChar w:fldCharType="end"/>
    </w:r>
  </w:p>
  <w:p w:rsidR="00CC2CB4" w:rsidRDefault="00C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AFF" w:rsidRDefault="009A5AFF" w:rsidP="00E10E62">
      <w:pPr>
        <w:spacing w:after="0" w:line="240" w:lineRule="auto"/>
      </w:pPr>
      <w:r>
        <w:separator/>
      </w:r>
    </w:p>
  </w:footnote>
  <w:footnote w:type="continuationSeparator" w:id="0">
    <w:p w:rsidR="009A5AFF" w:rsidRDefault="009A5AFF" w:rsidP="00E10E62">
      <w:pPr>
        <w:spacing w:after="0" w:line="240" w:lineRule="auto"/>
      </w:pPr>
      <w:r>
        <w:continuationSeparator/>
      </w:r>
    </w:p>
  </w:footnote>
  <w:footnote w:id="1">
    <w:p w:rsidR="00CC2CB4" w:rsidRDefault="00CC2CB4" w:rsidP="00E10E62">
      <w:pPr>
        <w:pStyle w:val="FootnoteText"/>
      </w:pPr>
      <w:r>
        <w:rPr>
          <w:rStyle w:val="FootnoteReference"/>
        </w:rPr>
        <w:footnoteRef/>
      </w:r>
      <w:r>
        <w:t xml:space="preserve"> </w:t>
      </w:r>
      <w:r>
        <w:tab/>
      </w:r>
      <w:r w:rsidRPr="0081682D">
        <w:rPr>
          <w:rFonts w:ascii="Times New Roman" w:hAnsi="Times New Roman"/>
        </w:rPr>
        <w:t>PGW's cover letter for the late filed exhibits dated 15, 2015, identifies the exhibits as PGW's late-filed Exhibits 7 and 8.  However, because PGW's Exhibit 7 already exists, the late-filed exhibits submitted by the Respondent have been renumbered and re-identified as PGW late filed Exhibits 8 and 9, respectively.</w:t>
      </w:r>
    </w:p>
  </w:footnote>
  <w:footnote w:id="2">
    <w:p w:rsidR="00CC2CB4" w:rsidRDefault="00CC2CB4" w:rsidP="00CC2CB4">
      <w:pPr>
        <w:pStyle w:val="FootnoteText"/>
      </w:pPr>
      <w:r>
        <w:rPr>
          <w:rStyle w:val="FootnoteReference"/>
        </w:rPr>
        <w:footnoteRef/>
      </w:r>
      <w:r>
        <w:t xml:space="preserve"> </w:t>
      </w:r>
      <w:r w:rsidR="00640C43">
        <w:tab/>
      </w:r>
      <w:r w:rsidRPr="00DD4D3A">
        <w:rPr>
          <w:rFonts w:ascii="Times New Roman" w:hAnsi="Times New Roman"/>
        </w:rPr>
        <w:t>Late Payment Charge.</w:t>
      </w:r>
    </w:p>
  </w:footnote>
  <w:footnote w:id="3">
    <w:p w:rsidR="009360D9" w:rsidRDefault="009360D9">
      <w:pPr>
        <w:pStyle w:val="FootnoteText"/>
      </w:pPr>
      <w:r>
        <w:rPr>
          <w:rStyle w:val="FootnoteReference"/>
        </w:rPr>
        <w:footnoteRef/>
      </w:r>
      <w:r>
        <w:t xml:space="preserve"> </w:t>
      </w:r>
      <w:r>
        <w:tab/>
      </w:r>
      <w:r>
        <w:rPr>
          <w:rFonts w:ascii="Times New Roman" w:hAnsi="Times New Roman"/>
        </w:rPr>
        <w:t xml:space="preserve">Heating Degree Day (HDD) - A unit measuring the extent to which the outdoor mean (average of maximum and minimum) daily dry-bulb temperature falls below (in the case of heating) or rises above (in the case of cooling) an assumed base.  The base is normally taken as 65°F for heating and for cooling unless otherwise designated.  One degree-day is counted for each degree of deficiency below (for heating) or excess over (for cooling) the assumed base, for each calendar day on which such deficiency or excess occurs.  James H. Cawley and Norman Kennard, </w:t>
      </w:r>
      <w:r w:rsidRPr="009A743B">
        <w:rPr>
          <w:rFonts w:ascii="Times New Roman" w:hAnsi="Times New Roman"/>
          <w:i/>
        </w:rPr>
        <w:t>Rate Case Handbook, A Guide to Utility Ratemaking before the Pennsylvania Public Utility Commission</w:t>
      </w:r>
      <w:r>
        <w:rPr>
          <w:rFonts w:ascii="Times New Roman" w:hAnsi="Times New Roman"/>
        </w:rPr>
        <w:t>, Glossary of Terms, Appendix Q (Pa. PUC 1983).</w:t>
      </w:r>
    </w:p>
  </w:footnote>
  <w:footnote w:id="4">
    <w:p w:rsidR="00600EB6" w:rsidRDefault="00600EB6">
      <w:pPr>
        <w:pStyle w:val="FootnoteText"/>
      </w:pPr>
      <w:r>
        <w:rPr>
          <w:rStyle w:val="FootnoteReference"/>
        </w:rPr>
        <w:footnoteRef/>
      </w:r>
      <w:r>
        <w:t xml:space="preserve"> </w:t>
      </w:r>
      <w:r>
        <w:tab/>
      </w:r>
      <w:r w:rsidRPr="00600EB6">
        <w:rPr>
          <w:rFonts w:ascii="Times New Roman" w:hAnsi="Times New Roman"/>
        </w:rPr>
        <w:t>Ms. Glace explained that every time a customer’s gas service is terminated and then re-established at a later date, the customer is assigned a new Service Agreement Number by PGW, but keeps the same Account Number.  Tr. 86.</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62"/>
    <w:rsid w:val="0005368A"/>
    <w:rsid w:val="00055939"/>
    <w:rsid w:val="00070525"/>
    <w:rsid w:val="000808CA"/>
    <w:rsid w:val="000B1797"/>
    <w:rsid w:val="001229F7"/>
    <w:rsid w:val="00132467"/>
    <w:rsid w:val="00155872"/>
    <w:rsid w:val="0017046A"/>
    <w:rsid w:val="00175C85"/>
    <w:rsid w:val="00192CA4"/>
    <w:rsid w:val="001E39FA"/>
    <w:rsid w:val="001F2D69"/>
    <w:rsid w:val="00203635"/>
    <w:rsid w:val="0024340F"/>
    <w:rsid w:val="002855E7"/>
    <w:rsid w:val="002A10CA"/>
    <w:rsid w:val="002C7C4C"/>
    <w:rsid w:val="00356D2B"/>
    <w:rsid w:val="00374018"/>
    <w:rsid w:val="003757B2"/>
    <w:rsid w:val="003D7099"/>
    <w:rsid w:val="00406020"/>
    <w:rsid w:val="004A3586"/>
    <w:rsid w:val="004B48A8"/>
    <w:rsid w:val="004E45FE"/>
    <w:rsid w:val="004F646C"/>
    <w:rsid w:val="00521942"/>
    <w:rsid w:val="005240EB"/>
    <w:rsid w:val="00576A16"/>
    <w:rsid w:val="005A48C7"/>
    <w:rsid w:val="005D04DA"/>
    <w:rsid w:val="005E6F73"/>
    <w:rsid w:val="005F6862"/>
    <w:rsid w:val="00600EB6"/>
    <w:rsid w:val="00622A30"/>
    <w:rsid w:val="006239DD"/>
    <w:rsid w:val="00624E78"/>
    <w:rsid w:val="0063467D"/>
    <w:rsid w:val="00640C43"/>
    <w:rsid w:val="006956CA"/>
    <w:rsid w:val="006976D8"/>
    <w:rsid w:val="006C5EE7"/>
    <w:rsid w:val="006D5058"/>
    <w:rsid w:val="006F051A"/>
    <w:rsid w:val="007E662A"/>
    <w:rsid w:val="007F6FDD"/>
    <w:rsid w:val="007F7428"/>
    <w:rsid w:val="008035AD"/>
    <w:rsid w:val="00810795"/>
    <w:rsid w:val="00840A6E"/>
    <w:rsid w:val="00846F9C"/>
    <w:rsid w:val="008547BF"/>
    <w:rsid w:val="00895708"/>
    <w:rsid w:val="00897516"/>
    <w:rsid w:val="008B3026"/>
    <w:rsid w:val="008E2D9F"/>
    <w:rsid w:val="008E40A1"/>
    <w:rsid w:val="008F3DA0"/>
    <w:rsid w:val="008F48B0"/>
    <w:rsid w:val="009146DD"/>
    <w:rsid w:val="00925AF4"/>
    <w:rsid w:val="009360D9"/>
    <w:rsid w:val="009A267D"/>
    <w:rsid w:val="009A5AFF"/>
    <w:rsid w:val="009C2263"/>
    <w:rsid w:val="009C3DC2"/>
    <w:rsid w:val="009D0A75"/>
    <w:rsid w:val="00A10488"/>
    <w:rsid w:val="00A15245"/>
    <w:rsid w:val="00A845E7"/>
    <w:rsid w:val="00A96900"/>
    <w:rsid w:val="00AA20A3"/>
    <w:rsid w:val="00AD43A9"/>
    <w:rsid w:val="00B1660C"/>
    <w:rsid w:val="00B66D6B"/>
    <w:rsid w:val="00B81612"/>
    <w:rsid w:val="00BF5706"/>
    <w:rsid w:val="00C03590"/>
    <w:rsid w:val="00C2648B"/>
    <w:rsid w:val="00C4636E"/>
    <w:rsid w:val="00C52398"/>
    <w:rsid w:val="00C5401C"/>
    <w:rsid w:val="00C87E2A"/>
    <w:rsid w:val="00CB4CE2"/>
    <w:rsid w:val="00CB5D52"/>
    <w:rsid w:val="00CC2CB4"/>
    <w:rsid w:val="00CD6D92"/>
    <w:rsid w:val="00CF560E"/>
    <w:rsid w:val="00D24595"/>
    <w:rsid w:val="00D75783"/>
    <w:rsid w:val="00D80D88"/>
    <w:rsid w:val="00D91B05"/>
    <w:rsid w:val="00DD493C"/>
    <w:rsid w:val="00DD4D3A"/>
    <w:rsid w:val="00E1012F"/>
    <w:rsid w:val="00E10E62"/>
    <w:rsid w:val="00E2629B"/>
    <w:rsid w:val="00E517AA"/>
    <w:rsid w:val="00ED2884"/>
    <w:rsid w:val="00EE2BAE"/>
    <w:rsid w:val="00EF24F8"/>
    <w:rsid w:val="00EF2DB7"/>
    <w:rsid w:val="00EF3701"/>
    <w:rsid w:val="00F36B2B"/>
    <w:rsid w:val="00F77F31"/>
    <w:rsid w:val="00F90567"/>
    <w:rsid w:val="00FD30A9"/>
    <w:rsid w:val="00FF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arajita" w:eastAsiaTheme="minorHAnsi" w:hAnsi="Aparajita" w:cstheme="majorBidi"/>
        <w:b/>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E62"/>
    <w:rPr>
      <w:rFonts w:asciiTheme="minorHAnsi"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547BF"/>
    <w:pPr>
      <w:spacing w:after="0" w:line="240" w:lineRule="auto"/>
    </w:pPr>
    <w:rPr>
      <w:rFonts w:asciiTheme="majorHAnsi" w:eastAsiaTheme="majorEastAsia" w:hAnsiTheme="majorHAnsi"/>
      <w:sz w:val="20"/>
    </w:rPr>
  </w:style>
  <w:style w:type="paragraph" w:styleId="EnvelopeAddress">
    <w:name w:val="envelope address"/>
    <w:basedOn w:val="Normal"/>
    <w:uiPriority w:val="99"/>
    <w:semiHidden/>
    <w:unhideWhenUsed/>
    <w:rsid w:val="008547BF"/>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Footer">
    <w:name w:val="footer"/>
    <w:basedOn w:val="Normal"/>
    <w:link w:val="FooterChar"/>
    <w:uiPriority w:val="99"/>
    <w:unhideWhenUsed/>
    <w:rsid w:val="00E10E6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10E62"/>
    <w:rPr>
      <w:rFonts w:ascii="Calibri" w:eastAsia="Calibri" w:hAnsi="Calibri" w:cs="Times New Roman"/>
      <w:b w:val="0"/>
      <w:sz w:val="22"/>
      <w:szCs w:val="22"/>
    </w:rPr>
  </w:style>
  <w:style w:type="character" w:styleId="PageNumber">
    <w:name w:val="page number"/>
    <w:basedOn w:val="DefaultParagraphFont"/>
    <w:rsid w:val="00E10E62"/>
  </w:style>
  <w:style w:type="paragraph" w:styleId="FootnoteText">
    <w:name w:val="footnote text"/>
    <w:basedOn w:val="Normal"/>
    <w:link w:val="FootnoteTextChar"/>
    <w:uiPriority w:val="99"/>
    <w:semiHidden/>
    <w:unhideWhenUsed/>
    <w:rsid w:val="00E10E6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10E62"/>
    <w:rPr>
      <w:rFonts w:ascii="Calibri" w:eastAsia="Calibri" w:hAnsi="Calibri" w:cs="Times New Roman"/>
      <w:b w:val="0"/>
      <w:sz w:val="20"/>
    </w:rPr>
  </w:style>
  <w:style w:type="character" w:styleId="FootnoteReference">
    <w:name w:val="footnote reference"/>
    <w:uiPriority w:val="99"/>
    <w:unhideWhenUsed/>
    <w:rsid w:val="00E10E62"/>
    <w:rPr>
      <w:vertAlign w:val="superscript"/>
    </w:rPr>
  </w:style>
  <w:style w:type="table" w:styleId="TableGrid">
    <w:name w:val="Table Grid"/>
    <w:basedOn w:val="TableNormal"/>
    <w:uiPriority w:val="59"/>
    <w:rsid w:val="00E10E62"/>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E62"/>
    <w:pPr>
      <w:ind w:left="720"/>
      <w:contextualSpacing/>
    </w:pPr>
  </w:style>
  <w:style w:type="character" w:styleId="CommentReference">
    <w:name w:val="annotation reference"/>
    <w:basedOn w:val="DefaultParagraphFont"/>
    <w:uiPriority w:val="99"/>
    <w:semiHidden/>
    <w:unhideWhenUsed/>
    <w:rsid w:val="00E10E62"/>
    <w:rPr>
      <w:sz w:val="16"/>
      <w:szCs w:val="16"/>
    </w:rPr>
  </w:style>
  <w:style w:type="paragraph" w:styleId="CommentText">
    <w:name w:val="annotation text"/>
    <w:basedOn w:val="Normal"/>
    <w:link w:val="CommentTextChar"/>
    <w:uiPriority w:val="99"/>
    <w:unhideWhenUsed/>
    <w:rsid w:val="00E10E62"/>
    <w:pPr>
      <w:spacing w:line="240" w:lineRule="auto"/>
    </w:pPr>
    <w:rPr>
      <w:sz w:val="20"/>
      <w:szCs w:val="20"/>
    </w:rPr>
  </w:style>
  <w:style w:type="character" w:customStyle="1" w:styleId="CommentTextChar">
    <w:name w:val="Comment Text Char"/>
    <w:basedOn w:val="DefaultParagraphFont"/>
    <w:link w:val="CommentText"/>
    <w:uiPriority w:val="99"/>
    <w:rsid w:val="00E10E62"/>
    <w:rPr>
      <w:rFonts w:asciiTheme="minorHAnsi" w:hAnsiTheme="minorHAnsi" w:cstheme="minorBidi"/>
      <w:b w:val="0"/>
      <w:sz w:val="20"/>
    </w:rPr>
  </w:style>
  <w:style w:type="paragraph" w:styleId="BalloonText">
    <w:name w:val="Balloon Text"/>
    <w:basedOn w:val="Normal"/>
    <w:link w:val="BalloonTextChar"/>
    <w:uiPriority w:val="99"/>
    <w:semiHidden/>
    <w:unhideWhenUsed/>
    <w:rsid w:val="00E1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62"/>
    <w:rPr>
      <w:rFonts w:ascii="Tahoma" w:hAnsi="Tahoma" w:cs="Tahoma"/>
      <w:b w:val="0"/>
      <w:sz w:val="16"/>
      <w:szCs w:val="16"/>
    </w:rPr>
  </w:style>
  <w:style w:type="paragraph" w:styleId="CommentSubject">
    <w:name w:val="annotation subject"/>
    <w:basedOn w:val="CommentText"/>
    <w:next w:val="CommentText"/>
    <w:link w:val="CommentSubjectChar"/>
    <w:uiPriority w:val="99"/>
    <w:semiHidden/>
    <w:unhideWhenUsed/>
    <w:rsid w:val="00B66D6B"/>
    <w:rPr>
      <w:b/>
      <w:bCs/>
    </w:rPr>
  </w:style>
  <w:style w:type="character" w:customStyle="1" w:styleId="CommentSubjectChar">
    <w:name w:val="Comment Subject Char"/>
    <w:basedOn w:val="CommentTextChar"/>
    <w:link w:val="CommentSubject"/>
    <w:uiPriority w:val="99"/>
    <w:semiHidden/>
    <w:rsid w:val="00B66D6B"/>
    <w:rPr>
      <w:rFonts w:asciiTheme="minorHAnsi" w:hAnsiTheme="minorHAnsi" w:cstheme="minorBidi"/>
      <w:b/>
      <w:bCs/>
      <w:sz w:val="20"/>
    </w:rPr>
  </w:style>
  <w:style w:type="character" w:styleId="Hyperlink">
    <w:name w:val="Hyperlink"/>
    <w:basedOn w:val="DefaultParagraphFont"/>
    <w:uiPriority w:val="99"/>
    <w:semiHidden/>
    <w:unhideWhenUsed/>
    <w:rsid w:val="00374018"/>
    <w:rPr>
      <w:strike w:val="0"/>
      <w:dstrike w:val="0"/>
      <w:color w:val="004B91"/>
      <w:u w:val="none"/>
      <w:effect w:val="none"/>
    </w:rPr>
  </w:style>
  <w:style w:type="character" w:customStyle="1" w:styleId="term1">
    <w:name w:val="term1"/>
    <w:basedOn w:val="DefaultParagraphFont"/>
    <w:rsid w:val="00374018"/>
    <w:rPr>
      <w:b w:val="0"/>
      <w:bCs/>
    </w:rPr>
  </w:style>
  <w:style w:type="paragraph" w:styleId="Header">
    <w:name w:val="header"/>
    <w:basedOn w:val="Normal"/>
    <w:link w:val="HeaderChar"/>
    <w:uiPriority w:val="99"/>
    <w:unhideWhenUsed/>
    <w:rsid w:val="00C46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36E"/>
    <w:rPr>
      <w:rFonts w:asciiTheme="minorHAnsi" w:hAnsiTheme="minorHAnsi" w:cstheme="minorBidi"/>
      <w:b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arajita" w:eastAsiaTheme="minorHAnsi" w:hAnsi="Aparajita" w:cstheme="majorBidi"/>
        <w:b/>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E62"/>
    <w:rPr>
      <w:rFonts w:asciiTheme="minorHAnsi"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547BF"/>
    <w:pPr>
      <w:spacing w:after="0" w:line="240" w:lineRule="auto"/>
    </w:pPr>
    <w:rPr>
      <w:rFonts w:asciiTheme="majorHAnsi" w:eastAsiaTheme="majorEastAsia" w:hAnsiTheme="majorHAnsi"/>
      <w:sz w:val="20"/>
    </w:rPr>
  </w:style>
  <w:style w:type="paragraph" w:styleId="EnvelopeAddress">
    <w:name w:val="envelope address"/>
    <w:basedOn w:val="Normal"/>
    <w:uiPriority w:val="99"/>
    <w:semiHidden/>
    <w:unhideWhenUsed/>
    <w:rsid w:val="008547BF"/>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Footer">
    <w:name w:val="footer"/>
    <w:basedOn w:val="Normal"/>
    <w:link w:val="FooterChar"/>
    <w:uiPriority w:val="99"/>
    <w:unhideWhenUsed/>
    <w:rsid w:val="00E10E62"/>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10E62"/>
    <w:rPr>
      <w:rFonts w:ascii="Calibri" w:eastAsia="Calibri" w:hAnsi="Calibri" w:cs="Times New Roman"/>
      <w:b w:val="0"/>
      <w:sz w:val="22"/>
      <w:szCs w:val="22"/>
    </w:rPr>
  </w:style>
  <w:style w:type="character" w:styleId="PageNumber">
    <w:name w:val="page number"/>
    <w:basedOn w:val="DefaultParagraphFont"/>
    <w:rsid w:val="00E10E62"/>
  </w:style>
  <w:style w:type="paragraph" w:styleId="FootnoteText">
    <w:name w:val="footnote text"/>
    <w:basedOn w:val="Normal"/>
    <w:link w:val="FootnoteTextChar"/>
    <w:uiPriority w:val="99"/>
    <w:semiHidden/>
    <w:unhideWhenUsed/>
    <w:rsid w:val="00E10E6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10E62"/>
    <w:rPr>
      <w:rFonts w:ascii="Calibri" w:eastAsia="Calibri" w:hAnsi="Calibri" w:cs="Times New Roman"/>
      <w:b w:val="0"/>
      <w:sz w:val="20"/>
    </w:rPr>
  </w:style>
  <w:style w:type="character" w:styleId="FootnoteReference">
    <w:name w:val="footnote reference"/>
    <w:uiPriority w:val="99"/>
    <w:unhideWhenUsed/>
    <w:rsid w:val="00E10E62"/>
    <w:rPr>
      <w:vertAlign w:val="superscript"/>
    </w:rPr>
  </w:style>
  <w:style w:type="table" w:styleId="TableGrid">
    <w:name w:val="Table Grid"/>
    <w:basedOn w:val="TableNormal"/>
    <w:uiPriority w:val="59"/>
    <w:rsid w:val="00E10E62"/>
    <w:pPr>
      <w:spacing w:after="0" w:line="240" w:lineRule="auto"/>
    </w:pPr>
    <w:rPr>
      <w:rFonts w:ascii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E62"/>
    <w:pPr>
      <w:ind w:left="720"/>
      <w:contextualSpacing/>
    </w:pPr>
  </w:style>
  <w:style w:type="character" w:styleId="CommentReference">
    <w:name w:val="annotation reference"/>
    <w:basedOn w:val="DefaultParagraphFont"/>
    <w:uiPriority w:val="99"/>
    <w:semiHidden/>
    <w:unhideWhenUsed/>
    <w:rsid w:val="00E10E62"/>
    <w:rPr>
      <w:sz w:val="16"/>
      <w:szCs w:val="16"/>
    </w:rPr>
  </w:style>
  <w:style w:type="paragraph" w:styleId="CommentText">
    <w:name w:val="annotation text"/>
    <w:basedOn w:val="Normal"/>
    <w:link w:val="CommentTextChar"/>
    <w:uiPriority w:val="99"/>
    <w:unhideWhenUsed/>
    <w:rsid w:val="00E10E62"/>
    <w:pPr>
      <w:spacing w:line="240" w:lineRule="auto"/>
    </w:pPr>
    <w:rPr>
      <w:sz w:val="20"/>
      <w:szCs w:val="20"/>
    </w:rPr>
  </w:style>
  <w:style w:type="character" w:customStyle="1" w:styleId="CommentTextChar">
    <w:name w:val="Comment Text Char"/>
    <w:basedOn w:val="DefaultParagraphFont"/>
    <w:link w:val="CommentText"/>
    <w:uiPriority w:val="99"/>
    <w:rsid w:val="00E10E62"/>
    <w:rPr>
      <w:rFonts w:asciiTheme="minorHAnsi" w:hAnsiTheme="minorHAnsi" w:cstheme="minorBidi"/>
      <w:b w:val="0"/>
      <w:sz w:val="20"/>
    </w:rPr>
  </w:style>
  <w:style w:type="paragraph" w:styleId="BalloonText">
    <w:name w:val="Balloon Text"/>
    <w:basedOn w:val="Normal"/>
    <w:link w:val="BalloonTextChar"/>
    <w:uiPriority w:val="99"/>
    <w:semiHidden/>
    <w:unhideWhenUsed/>
    <w:rsid w:val="00E10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62"/>
    <w:rPr>
      <w:rFonts w:ascii="Tahoma" w:hAnsi="Tahoma" w:cs="Tahoma"/>
      <w:b w:val="0"/>
      <w:sz w:val="16"/>
      <w:szCs w:val="16"/>
    </w:rPr>
  </w:style>
  <w:style w:type="paragraph" w:styleId="CommentSubject">
    <w:name w:val="annotation subject"/>
    <w:basedOn w:val="CommentText"/>
    <w:next w:val="CommentText"/>
    <w:link w:val="CommentSubjectChar"/>
    <w:uiPriority w:val="99"/>
    <w:semiHidden/>
    <w:unhideWhenUsed/>
    <w:rsid w:val="00B66D6B"/>
    <w:rPr>
      <w:b/>
      <w:bCs/>
    </w:rPr>
  </w:style>
  <w:style w:type="character" w:customStyle="1" w:styleId="CommentSubjectChar">
    <w:name w:val="Comment Subject Char"/>
    <w:basedOn w:val="CommentTextChar"/>
    <w:link w:val="CommentSubject"/>
    <w:uiPriority w:val="99"/>
    <w:semiHidden/>
    <w:rsid w:val="00B66D6B"/>
    <w:rPr>
      <w:rFonts w:asciiTheme="minorHAnsi" w:hAnsiTheme="minorHAnsi" w:cstheme="minorBidi"/>
      <w:b/>
      <w:bCs/>
      <w:sz w:val="20"/>
    </w:rPr>
  </w:style>
  <w:style w:type="character" w:styleId="Hyperlink">
    <w:name w:val="Hyperlink"/>
    <w:basedOn w:val="DefaultParagraphFont"/>
    <w:uiPriority w:val="99"/>
    <w:semiHidden/>
    <w:unhideWhenUsed/>
    <w:rsid w:val="00374018"/>
    <w:rPr>
      <w:strike w:val="0"/>
      <w:dstrike w:val="0"/>
      <w:color w:val="004B91"/>
      <w:u w:val="none"/>
      <w:effect w:val="none"/>
    </w:rPr>
  </w:style>
  <w:style w:type="character" w:customStyle="1" w:styleId="term1">
    <w:name w:val="term1"/>
    <w:basedOn w:val="DefaultParagraphFont"/>
    <w:rsid w:val="00374018"/>
    <w:rPr>
      <w:b w:val="0"/>
      <w:bCs/>
    </w:rPr>
  </w:style>
  <w:style w:type="paragraph" w:styleId="Header">
    <w:name w:val="header"/>
    <w:basedOn w:val="Normal"/>
    <w:link w:val="HeaderChar"/>
    <w:uiPriority w:val="99"/>
    <w:unhideWhenUsed/>
    <w:rsid w:val="00C46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36E"/>
    <w:rPr>
      <w:rFonts w:asciiTheme="minorHAnsi" w:hAnsiTheme="minorHAnsi"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lexis.com/research/buttonTFLink?_m=34b0706af70b7bb2cbc788687249ab93&amp;_xfercite=%3ccite%20cc%3d%22USA%22%3e%3c%21%5bCDATA%5b2013%20Pa.%20PUC%20LEXIS%20180%5d%5d%3e%3c%2fcite%3e&amp;_butType=3&amp;_butStat=2&amp;_butNum=14&amp;_butInline=1&amp;_butinfo=%3ccite%20cc%3d%22USA%22%3e%3c%21%5bCDATA%5b1994%20Pa.%20PUC%20LEXIS%2095%5d%5d%3e%3c%2fcite%3e&amp;_fmtstr=FULL&amp;docnum=2&amp;_startdoc=1&amp;wchp=dGLbVzk-zSkAW&amp;_md5=94e0608abaf615523e83b2a864dd61f6" TargetMode="External"/><Relationship Id="rId4" Type="http://schemas.microsoft.com/office/2007/relationships/stylesWithEffects" Target="stylesWithEffects.xml"/><Relationship Id="rId9" Type="http://schemas.openxmlformats.org/officeDocument/2006/relationships/hyperlink" Target="https://www.lexis.com/research/buttonTFLink?_m=34b0706af70b7bb2cbc788687249ab93&amp;_xfercite=%3ccite%20cc%3d%22USA%22%3e%3c%21%5bCDATA%5b2013%20Pa.%20PUC%20LEXIS%20180%5d%5d%3e%3c%2fcite%3e&amp;_butType=4&amp;_butStat=0&amp;_butNum=13&amp;_butInline=1&amp;_butinfo=66%20PACS%20701&amp;_fmtstr=FULL&amp;docnum=2&amp;_startdoc=1&amp;wchp=dGLbVzk-zSkAW&amp;_md5=36b90ee8e35ea5a4c0f9d507936354c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B2F49-C918-4DBC-8814-3C9690DE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4530</Words>
  <Characters>25825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Llazar Vero</dc:creator>
  <cp:lastModifiedBy>McNeal, Pamela</cp:lastModifiedBy>
  <cp:revision>2</cp:revision>
  <cp:lastPrinted>2015-08-31T16:36:00Z</cp:lastPrinted>
  <dcterms:created xsi:type="dcterms:W3CDTF">2015-08-31T19:23:00Z</dcterms:created>
  <dcterms:modified xsi:type="dcterms:W3CDTF">2015-08-31T19:23:00Z</dcterms:modified>
</cp:coreProperties>
</file>