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770896" w:rsidRDefault="009304FE" w:rsidP="00D740A1">
      <w:pPr>
        <w:jc w:val="center"/>
        <w:rPr>
          <w:b/>
          <w:sz w:val="26"/>
          <w:szCs w:val="26"/>
        </w:rPr>
      </w:pPr>
      <w:r w:rsidRPr="00770896">
        <w:rPr>
          <w:b/>
          <w:sz w:val="26"/>
          <w:szCs w:val="26"/>
        </w:rPr>
        <w:t>PENNSYLVANIA</w:t>
      </w:r>
    </w:p>
    <w:p w:rsidR="009304FE" w:rsidRPr="00770896" w:rsidRDefault="009304FE" w:rsidP="00D740A1">
      <w:pPr>
        <w:jc w:val="center"/>
        <w:rPr>
          <w:b/>
          <w:sz w:val="26"/>
          <w:szCs w:val="26"/>
        </w:rPr>
      </w:pPr>
      <w:r w:rsidRPr="00770896">
        <w:rPr>
          <w:b/>
          <w:sz w:val="26"/>
          <w:szCs w:val="26"/>
        </w:rPr>
        <w:t>PUBLIC UTILITY COMMISSION</w:t>
      </w:r>
    </w:p>
    <w:p w:rsidR="009304FE" w:rsidRPr="00770896" w:rsidRDefault="009304FE" w:rsidP="00D740A1">
      <w:pPr>
        <w:jc w:val="center"/>
        <w:rPr>
          <w:b/>
          <w:sz w:val="26"/>
          <w:szCs w:val="26"/>
        </w:rPr>
      </w:pPr>
      <w:r w:rsidRPr="00770896">
        <w:rPr>
          <w:b/>
          <w:sz w:val="26"/>
          <w:szCs w:val="26"/>
        </w:rPr>
        <w:t>Harrisburg, PA 17105-3265</w:t>
      </w:r>
    </w:p>
    <w:p w:rsidR="00B01F47" w:rsidRDefault="00B01F47" w:rsidP="00690848">
      <w:pPr>
        <w:spacing w:line="360" w:lineRule="auto"/>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770896" w:rsidRPr="00770896" w:rsidTr="00414763">
        <w:tc>
          <w:tcPr>
            <w:tcW w:w="5058" w:type="dxa"/>
          </w:tcPr>
          <w:p w:rsidR="00157B94" w:rsidRPr="00770896" w:rsidRDefault="00157B94" w:rsidP="00690848">
            <w:pPr>
              <w:spacing w:line="360" w:lineRule="auto"/>
              <w:rPr>
                <w:rFonts w:ascii="Times New Roman" w:hAnsi="Times New Roman" w:cs="Times New Roman"/>
                <w:sz w:val="26"/>
                <w:szCs w:val="26"/>
              </w:rPr>
            </w:pPr>
          </w:p>
        </w:tc>
        <w:tc>
          <w:tcPr>
            <w:tcW w:w="4500" w:type="dxa"/>
          </w:tcPr>
          <w:p w:rsidR="00157B94" w:rsidRPr="00770896" w:rsidRDefault="00D236C8" w:rsidP="00690848">
            <w:pPr>
              <w:spacing w:line="360" w:lineRule="auto"/>
              <w:jc w:val="right"/>
              <w:rPr>
                <w:rFonts w:ascii="Times New Roman" w:hAnsi="Times New Roman" w:cs="Times New Roman"/>
                <w:sz w:val="26"/>
                <w:szCs w:val="26"/>
              </w:rPr>
            </w:pPr>
            <w:r>
              <w:rPr>
                <w:rFonts w:ascii="Times New Roman" w:hAnsi="Times New Roman" w:cs="Times New Roman"/>
                <w:sz w:val="26"/>
                <w:szCs w:val="26"/>
              </w:rPr>
              <w:t>Public Meeting held September 1</w:t>
            </w:r>
            <w:r w:rsidR="00690848" w:rsidRPr="00770896">
              <w:rPr>
                <w:rFonts w:ascii="Times New Roman" w:hAnsi="Times New Roman" w:cs="Times New Roman"/>
                <w:sz w:val="26"/>
                <w:szCs w:val="26"/>
              </w:rPr>
              <w:t>7</w:t>
            </w:r>
            <w:r w:rsidR="00157B94" w:rsidRPr="00770896">
              <w:rPr>
                <w:rFonts w:ascii="Times New Roman" w:hAnsi="Times New Roman" w:cs="Times New Roman"/>
                <w:sz w:val="26"/>
                <w:szCs w:val="26"/>
              </w:rPr>
              <w:t>, 2015</w:t>
            </w:r>
          </w:p>
          <w:p w:rsidR="00157B94" w:rsidRPr="00770896" w:rsidRDefault="00157B94" w:rsidP="00690848">
            <w:pPr>
              <w:spacing w:line="360" w:lineRule="auto"/>
              <w:jc w:val="right"/>
              <w:rPr>
                <w:rFonts w:ascii="Times New Roman" w:hAnsi="Times New Roman" w:cs="Times New Roman"/>
                <w:sz w:val="26"/>
                <w:szCs w:val="26"/>
              </w:rPr>
            </w:pPr>
          </w:p>
        </w:tc>
      </w:tr>
      <w:tr w:rsidR="00770896" w:rsidRPr="00770896" w:rsidTr="00414763">
        <w:tc>
          <w:tcPr>
            <w:tcW w:w="5058" w:type="dxa"/>
          </w:tcPr>
          <w:p w:rsidR="00837970" w:rsidRDefault="00837970" w:rsidP="00D740A1">
            <w:pPr>
              <w:rPr>
                <w:rFonts w:ascii="Times New Roman" w:hAnsi="Times New Roman" w:cs="Times New Roman"/>
                <w:sz w:val="26"/>
                <w:szCs w:val="26"/>
              </w:rPr>
            </w:pPr>
          </w:p>
          <w:p w:rsidR="00157B94" w:rsidRDefault="00157B94" w:rsidP="00D740A1">
            <w:pPr>
              <w:rPr>
                <w:rFonts w:ascii="Times New Roman" w:hAnsi="Times New Roman" w:cs="Times New Roman"/>
                <w:sz w:val="26"/>
                <w:szCs w:val="26"/>
              </w:rPr>
            </w:pPr>
            <w:r w:rsidRPr="00770896">
              <w:rPr>
                <w:rFonts w:ascii="Times New Roman" w:hAnsi="Times New Roman" w:cs="Times New Roman"/>
                <w:sz w:val="26"/>
                <w:szCs w:val="26"/>
              </w:rPr>
              <w:t>Commissioners Present:</w:t>
            </w:r>
          </w:p>
          <w:p w:rsidR="00D740A1" w:rsidRPr="00770896" w:rsidRDefault="00D740A1" w:rsidP="00D740A1">
            <w:pPr>
              <w:rPr>
                <w:rFonts w:ascii="Times New Roman" w:hAnsi="Times New Roman" w:cs="Times New Roman"/>
                <w:sz w:val="26"/>
                <w:szCs w:val="26"/>
              </w:rPr>
            </w:pPr>
          </w:p>
          <w:p w:rsidR="00D236C8" w:rsidRPr="00D236C8" w:rsidRDefault="00D236C8" w:rsidP="00D236C8">
            <w:pPr>
              <w:tabs>
                <w:tab w:val="left" w:pos="705"/>
              </w:tabs>
              <w:ind w:firstLine="720"/>
              <w:rPr>
                <w:rFonts w:ascii="Times New Roman" w:hAnsi="Times New Roman" w:cs="Times New Roman"/>
                <w:sz w:val="26"/>
                <w:szCs w:val="26"/>
              </w:rPr>
            </w:pPr>
            <w:r w:rsidRPr="00D236C8">
              <w:rPr>
                <w:rFonts w:ascii="Times New Roman" w:hAnsi="Times New Roman" w:cs="Times New Roman"/>
                <w:sz w:val="26"/>
                <w:szCs w:val="26"/>
              </w:rPr>
              <w:t>Gladys M. Brown, Chairman</w:t>
            </w:r>
          </w:p>
          <w:p w:rsidR="00D236C8" w:rsidRPr="00D236C8" w:rsidRDefault="00D236C8" w:rsidP="00D236C8">
            <w:pPr>
              <w:tabs>
                <w:tab w:val="left" w:pos="705"/>
              </w:tabs>
              <w:ind w:firstLine="720"/>
              <w:rPr>
                <w:rFonts w:ascii="Times New Roman" w:hAnsi="Times New Roman" w:cs="Times New Roman"/>
                <w:sz w:val="26"/>
                <w:szCs w:val="26"/>
              </w:rPr>
            </w:pPr>
            <w:r w:rsidRPr="00D236C8">
              <w:rPr>
                <w:rFonts w:ascii="Times New Roman" w:hAnsi="Times New Roman" w:cs="Times New Roman"/>
                <w:sz w:val="26"/>
                <w:szCs w:val="26"/>
              </w:rPr>
              <w:t>John F. Coleman, Jr., Vice Chairman</w:t>
            </w:r>
          </w:p>
          <w:p w:rsidR="00D236C8" w:rsidRPr="00D236C8" w:rsidRDefault="00D236C8" w:rsidP="00D236C8">
            <w:pPr>
              <w:tabs>
                <w:tab w:val="left" w:pos="705"/>
              </w:tabs>
              <w:ind w:firstLine="720"/>
              <w:rPr>
                <w:rFonts w:ascii="Times New Roman" w:hAnsi="Times New Roman" w:cs="Times New Roman"/>
                <w:sz w:val="26"/>
                <w:szCs w:val="26"/>
              </w:rPr>
            </w:pPr>
            <w:r w:rsidRPr="00D236C8">
              <w:rPr>
                <w:rFonts w:ascii="Times New Roman" w:hAnsi="Times New Roman" w:cs="Times New Roman"/>
                <w:sz w:val="26"/>
                <w:szCs w:val="26"/>
              </w:rPr>
              <w:t>James H. Cawley</w:t>
            </w:r>
          </w:p>
          <w:p w:rsidR="00D236C8" w:rsidRPr="00D236C8" w:rsidRDefault="00D236C8" w:rsidP="00D236C8">
            <w:pPr>
              <w:tabs>
                <w:tab w:val="left" w:pos="705"/>
              </w:tabs>
              <w:ind w:firstLine="720"/>
              <w:rPr>
                <w:rFonts w:ascii="Times New Roman" w:hAnsi="Times New Roman" w:cs="Times New Roman"/>
                <w:sz w:val="26"/>
                <w:szCs w:val="26"/>
              </w:rPr>
            </w:pPr>
            <w:r w:rsidRPr="00D236C8">
              <w:rPr>
                <w:rFonts w:ascii="Times New Roman" w:hAnsi="Times New Roman" w:cs="Times New Roman"/>
                <w:sz w:val="26"/>
                <w:szCs w:val="26"/>
              </w:rPr>
              <w:t>Pamela A. Witmer</w:t>
            </w:r>
          </w:p>
          <w:p w:rsidR="00D236C8" w:rsidRPr="00D236C8" w:rsidRDefault="00D236C8" w:rsidP="00D236C8">
            <w:pPr>
              <w:tabs>
                <w:tab w:val="left" w:pos="705"/>
              </w:tabs>
              <w:ind w:firstLine="720"/>
              <w:rPr>
                <w:rFonts w:ascii="Times New Roman" w:hAnsi="Times New Roman" w:cs="Times New Roman"/>
                <w:sz w:val="26"/>
                <w:szCs w:val="26"/>
              </w:rPr>
            </w:pPr>
            <w:r w:rsidRPr="00D236C8">
              <w:rPr>
                <w:rFonts w:ascii="Times New Roman" w:hAnsi="Times New Roman" w:cs="Times New Roman"/>
                <w:sz w:val="26"/>
                <w:szCs w:val="26"/>
              </w:rPr>
              <w:t>Robert F. Powelson</w:t>
            </w:r>
          </w:p>
          <w:p w:rsidR="00837970" w:rsidRPr="00D236C8" w:rsidRDefault="00837970" w:rsidP="00D740A1">
            <w:pPr>
              <w:rPr>
                <w:rFonts w:ascii="Times New Roman" w:hAnsi="Times New Roman" w:cs="Times New Roman"/>
                <w:sz w:val="26"/>
                <w:szCs w:val="26"/>
              </w:rPr>
            </w:pPr>
          </w:p>
          <w:p w:rsidR="00157B94" w:rsidRPr="00770896" w:rsidRDefault="00157B94" w:rsidP="00D740A1">
            <w:pPr>
              <w:rPr>
                <w:rFonts w:ascii="Times New Roman" w:hAnsi="Times New Roman" w:cs="Times New Roman"/>
                <w:sz w:val="26"/>
                <w:szCs w:val="26"/>
              </w:rPr>
            </w:pPr>
          </w:p>
        </w:tc>
        <w:tc>
          <w:tcPr>
            <w:tcW w:w="4500" w:type="dxa"/>
          </w:tcPr>
          <w:p w:rsidR="00157B94" w:rsidRPr="00770896" w:rsidRDefault="00157B94" w:rsidP="00D740A1">
            <w:pPr>
              <w:jc w:val="right"/>
              <w:rPr>
                <w:rFonts w:ascii="Times New Roman" w:hAnsi="Times New Roman" w:cs="Times New Roman"/>
                <w:sz w:val="26"/>
                <w:szCs w:val="26"/>
              </w:rPr>
            </w:pPr>
          </w:p>
          <w:p w:rsidR="00157B94" w:rsidRPr="00770896" w:rsidRDefault="00157B94" w:rsidP="00D740A1">
            <w:pPr>
              <w:jc w:val="right"/>
              <w:rPr>
                <w:rFonts w:ascii="Times New Roman" w:hAnsi="Times New Roman" w:cs="Times New Roman"/>
                <w:sz w:val="26"/>
                <w:szCs w:val="26"/>
              </w:rPr>
            </w:pPr>
          </w:p>
        </w:tc>
      </w:tr>
      <w:tr w:rsidR="00770896" w:rsidRPr="00770896" w:rsidTr="00414763">
        <w:tc>
          <w:tcPr>
            <w:tcW w:w="5058" w:type="dxa"/>
          </w:tcPr>
          <w:p w:rsidR="00157B94" w:rsidRPr="00770896" w:rsidRDefault="00D236C8" w:rsidP="00D740A1">
            <w:pPr>
              <w:rPr>
                <w:rFonts w:ascii="Times New Roman" w:hAnsi="Times New Roman" w:cs="Times New Roman"/>
                <w:sz w:val="26"/>
                <w:szCs w:val="26"/>
              </w:rPr>
            </w:pPr>
            <w:r>
              <w:rPr>
                <w:rFonts w:ascii="Times New Roman" w:hAnsi="Times New Roman" w:cs="Times New Roman"/>
                <w:sz w:val="26"/>
                <w:szCs w:val="26"/>
              </w:rPr>
              <w:t>Beatriz Mallory</w:t>
            </w:r>
          </w:p>
          <w:p w:rsidR="00157B94" w:rsidRPr="00770896" w:rsidRDefault="00157B94" w:rsidP="00D740A1">
            <w:pPr>
              <w:rPr>
                <w:rFonts w:ascii="Times New Roman" w:hAnsi="Times New Roman" w:cs="Times New Roman"/>
                <w:sz w:val="26"/>
                <w:szCs w:val="26"/>
              </w:rPr>
            </w:pPr>
          </w:p>
        </w:tc>
        <w:tc>
          <w:tcPr>
            <w:tcW w:w="4500" w:type="dxa"/>
          </w:tcPr>
          <w:p w:rsidR="00157B94" w:rsidRPr="00770896" w:rsidRDefault="00157B94" w:rsidP="00D740A1">
            <w:pPr>
              <w:jc w:val="right"/>
              <w:rPr>
                <w:rFonts w:ascii="Times New Roman" w:hAnsi="Times New Roman" w:cs="Times New Roman"/>
                <w:sz w:val="26"/>
                <w:szCs w:val="26"/>
              </w:rPr>
            </w:pPr>
            <w:r w:rsidRPr="00770896">
              <w:rPr>
                <w:rFonts w:ascii="Times New Roman" w:hAnsi="Times New Roman" w:cs="Times New Roman"/>
                <w:sz w:val="26"/>
                <w:szCs w:val="26"/>
              </w:rPr>
              <w:t>C-2014-24</w:t>
            </w:r>
            <w:r w:rsidR="00D236C8">
              <w:rPr>
                <w:rFonts w:ascii="Times New Roman" w:hAnsi="Times New Roman" w:cs="Times New Roman"/>
                <w:sz w:val="26"/>
                <w:szCs w:val="26"/>
              </w:rPr>
              <w:t>42906</w:t>
            </w:r>
          </w:p>
        </w:tc>
      </w:tr>
      <w:tr w:rsidR="00770896" w:rsidRPr="00770896" w:rsidTr="00414763">
        <w:tc>
          <w:tcPr>
            <w:tcW w:w="5058" w:type="dxa"/>
          </w:tcPr>
          <w:p w:rsidR="00157B94" w:rsidRPr="00770896" w:rsidRDefault="00D740A1" w:rsidP="00D740A1">
            <w:pPr>
              <w:rPr>
                <w:rFonts w:ascii="Times New Roman" w:hAnsi="Times New Roman" w:cs="Times New Roman"/>
                <w:sz w:val="26"/>
                <w:szCs w:val="26"/>
              </w:rPr>
            </w:pPr>
            <w:r>
              <w:rPr>
                <w:rFonts w:ascii="Times New Roman" w:hAnsi="Times New Roman" w:cs="Times New Roman"/>
                <w:sz w:val="26"/>
                <w:szCs w:val="26"/>
              </w:rPr>
              <w:tab/>
              <w:t xml:space="preserve">         </w:t>
            </w:r>
            <w:proofErr w:type="gramStart"/>
            <w:r w:rsidR="00157B94" w:rsidRPr="00770896">
              <w:rPr>
                <w:rFonts w:ascii="Times New Roman" w:hAnsi="Times New Roman" w:cs="Times New Roman"/>
                <w:sz w:val="26"/>
                <w:szCs w:val="26"/>
              </w:rPr>
              <w:t>v</w:t>
            </w:r>
            <w:proofErr w:type="gramEnd"/>
            <w:r w:rsidR="00157B94" w:rsidRPr="00770896">
              <w:rPr>
                <w:rFonts w:ascii="Times New Roman" w:hAnsi="Times New Roman" w:cs="Times New Roman"/>
                <w:sz w:val="26"/>
                <w:szCs w:val="26"/>
              </w:rPr>
              <w:t>.</w:t>
            </w:r>
          </w:p>
          <w:p w:rsidR="00157B94" w:rsidRPr="00770896" w:rsidRDefault="00157B94" w:rsidP="00D740A1">
            <w:pPr>
              <w:rPr>
                <w:rFonts w:ascii="Times New Roman" w:hAnsi="Times New Roman" w:cs="Times New Roman"/>
                <w:sz w:val="26"/>
                <w:szCs w:val="26"/>
              </w:rPr>
            </w:pPr>
          </w:p>
        </w:tc>
        <w:tc>
          <w:tcPr>
            <w:tcW w:w="4500" w:type="dxa"/>
          </w:tcPr>
          <w:p w:rsidR="00157B94" w:rsidRPr="00770896" w:rsidRDefault="00157B94" w:rsidP="00D740A1">
            <w:pPr>
              <w:rPr>
                <w:rFonts w:ascii="Times New Roman" w:hAnsi="Times New Roman" w:cs="Times New Roman"/>
                <w:sz w:val="26"/>
                <w:szCs w:val="26"/>
              </w:rPr>
            </w:pPr>
          </w:p>
        </w:tc>
      </w:tr>
      <w:tr w:rsidR="00837970" w:rsidRPr="00770896" w:rsidTr="00414763">
        <w:tc>
          <w:tcPr>
            <w:tcW w:w="5058" w:type="dxa"/>
          </w:tcPr>
          <w:p w:rsidR="00157B94" w:rsidRPr="00770896" w:rsidRDefault="00D236C8" w:rsidP="00D236C8">
            <w:pPr>
              <w:rPr>
                <w:rFonts w:ascii="Times New Roman" w:hAnsi="Times New Roman" w:cs="Times New Roman"/>
                <w:sz w:val="26"/>
                <w:szCs w:val="26"/>
              </w:rPr>
            </w:pPr>
            <w:r>
              <w:rPr>
                <w:rFonts w:ascii="Times New Roman" w:hAnsi="Times New Roman" w:cs="Times New Roman"/>
                <w:sz w:val="26"/>
                <w:szCs w:val="26"/>
              </w:rPr>
              <w:t>PPL</w:t>
            </w:r>
            <w:r w:rsidR="00157B94" w:rsidRPr="00770896">
              <w:rPr>
                <w:rFonts w:ascii="Times New Roman" w:hAnsi="Times New Roman" w:cs="Times New Roman"/>
                <w:sz w:val="26"/>
                <w:szCs w:val="26"/>
              </w:rPr>
              <w:t xml:space="preserve"> Electric</w:t>
            </w:r>
            <w:r>
              <w:rPr>
                <w:rFonts w:ascii="Times New Roman" w:hAnsi="Times New Roman" w:cs="Times New Roman"/>
                <w:sz w:val="26"/>
                <w:szCs w:val="26"/>
              </w:rPr>
              <w:t xml:space="preserve"> Utilities Corporation</w:t>
            </w:r>
          </w:p>
        </w:tc>
        <w:tc>
          <w:tcPr>
            <w:tcW w:w="4500" w:type="dxa"/>
          </w:tcPr>
          <w:p w:rsidR="00157B94" w:rsidRPr="00770896" w:rsidRDefault="00157B94" w:rsidP="00D740A1">
            <w:pPr>
              <w:rPr>
                <w:rFonts w:ascii="Times New Roman" w:hAnsi="Times New Roman" w:cs="Times New Roman"/>
                <w:sz w:val="26"/>
                <w:szCs w:val="26"/>
              </w:rPr>
            </w:pPr>
          </w:p>
        </w:tc>
      </w:tr>
    </w:tbl>
    <w:p w:rsidR="00157B94" w:rsidRDefault="00157B94" w:rsidP="00D740A1">
      <w:pPr>
        <w:rPr>
          <w:sz w:val="26"/>
          <w:szCs w:val="26"/>
        </w:rPr>
      </w:pPr>
    </w:p>
    <w:p w:rsidR="00837970" w:rsidRPr="00770896" w:rsidRDefault="00837970" w:rsidP="00D740A1">
      <w:pPr>
        <w:rPr>
          <w:sz w:val="26"/>
          <w:szCs w:val="26"/>
        </w:rPr>
      </w:pPr>
    </w:p>
    <w:p w:rsidR="00157B94" w:rsidRPr="00770896" w:rsidRDefault="00157B94" w:rsidP="00D740A1">
      <w:pPr>
        <w:rPr>
          <w:sz w:val="26"/>
          <w:szCs w:val="26"/>
        </w:rPr>
      </w:pPr>
    </w:p>
    <w:p w:rsidR="00157B94" w:rsidRPr="00770896" w:rsidRDefault="00157B94" w:rsidP="00D740A1">
      <w:pPr>
        <w:jc w:val="center"/>
        <w:rPr>
          <w:b/>
          <w:sz w:val="26"/>
          <w:szCs w:val="26"/>
        </w:rPr>
      </w:pPr>
      <w:r w:rsidRPr="00770896">
        <w:rPr>
          <w:b/>
          <w:sz w:val="26"/>
          <w:szCs w:val="26"/>
        </w:rPr>
        <w:t>OPINION AND ORDER</w:t>
      </w:r>
    </w:p>
    <w:p w:rsidR="00157B94" w:rsidRPr="00770896" w:rsidRDefault="00157B94" w:rsidP="00D740A1">
      <w:pPr>
        <w:jc w:val="center"/>
        <w:rPr>
          <w:b/>
          <w:sz w:val="26"/>
          <w:szCs w:val="26"/>
        </w:rPr>
      </w:pPr>
    </w:p>
    <w:p w:rsidR="00D740A1" w:rsidRDefault="00D740A1" w:rsidP="00D740A1">
      <w:pPr>
        <w:rPr>
          <w:b/>
          <w:sz w:val="26"/>
          <w:szCs w:val="26"/>
        </w:rPr>
      </w:pPr>
    </w:p>
    <w:p w:rsidR="00837970" w:rsidRDefault="00837970" w:rsidP="00D740A1">
      <w:pPr>
        <w:rPr>
          <w:b/>
          <w:sz w:val="26"/>
          <w:szCs w:val="26"/>
        </w:rPr>
      </w:pPr>
    </w:p>
    <w:p w:rsidR="00157B94" w:rsidRPr="00770896" w:rsidRDefault="00157B94" w:rsidP="00D740A1">
      <w:pPr>
        <w:rPr>
          <w:b/>
          <w:sz w:val="26"/>
          <w:szCs w:val="26"/>
        </w:rPr>
      </w:pPr>
      <w:r w:rsidRPr="00770896">
        <w:rPr>
          <w:b/>
          <w:sz w:val="26"/>
          <w:szCs w:val="26"/>
        </w:rPr>
        <w:t>BY THE COMMISSION:</w:t>
      </w:r>
    </w:p>
    <w:p w:rsidR="00157B94" w:rsidRDefault="00157B94" w:rsidP="00D740A1">
      <w:pPr>
        <w:rPr>
          <w:sz w:val="26"/>
          <w:szCs w:val="26"/>
        </w:rPr>
      </w:pPr>
    </w:p>
    <w:p w:rsidR="00837970" w:rsidRPr="00770896" w:rsidRDefault="00837970" w:rsidP="00D740A1">
      <w:pPr>
        <w:rPr>
          <w:sz w:val="26"/>
          <w:szCs w:val="26"/>
        </w:rPr>
      </w:pPr>
    </w:p>
    <w:p w:rsidR="00157B94" w:rsidRPr="00770896" w:rsidRDefault="00157B94" w:rsidP="00690848">
      <w:pPr>
        <w:spacing w:line="360" w:lineRule="auto"/>
        <w:ind w:firstLine="1440"/>
        <w:rPr>
          <w:sz w:val="26"/>
          <w:szCs w:val="26"/>
        </w:rPr>
      </w:pPr>
      <w:r w:rsidRPr="00770896">
        <w:rPr>
          <w:sz w:val="26"/>
          <w:szCs w:val="26"/>
        </w:rPr>
        <w:t xml:space="preserve">Before the Pennsylvania Public Utility Commission (Commission) for consideration and disposition </w:t>
      </w:r>
      <w:r w:rsidRPr="00770896">
        <w:rPr>
          <w:sz w:val="26"/>
        </w:rPr>
        <w:t xml:space="preserve">are the Exceptions of </w:t>
      </w:r>
      <w:r w:rsidR="00D236C8">
        <w:rPr>
          <w:sz w:val="26"/>
        </w:rPr>
        <w:t>Beatriz Mallory (Complainant) filed on February 21</w:t>
      </w:r>
      <w:r w:rsidRPr="00770896">
        <w:rPr>
          <w:sz w:val="26"/>
        </w:rPr>
        <w:t xml:space="preserve">, 2015, to the Initial Decision (I.D.) of </w:t>
      </w:r>
      <w:r w:rsidR="00D236C8">
        <w:rPr>
          <w:sz w:val="26"/>
        </w:rPr>
        <w:t>Administrative Law Judge</w:t>
      </w:r>
      <w:r w:rsidRPr="00770896">
        <w:rPr>
          <w:sz w:val="26"/>
        </w:rPr>
        <w:t xml:space="preserve"> </w:t>
      </w:r>
      <w:r w:rsidR="00D236C8">
        <w:rPr>
          <w:sz w:val="26"/>
        </w:rPr>
        <w:t xml:space="preserve">(ALJ) Ember S. </w:t>
      </w:r>
      <w:proofErr w:type="spellStart"/>
      <w:r w:rsidR="00D236C8">
        <w:rPr>
          <w:sz w:val="26"/>
        </w:rPr>
        <w:t>Jandebeur</w:t>
      </w:r>
      <w:proofErr w:type="spellEnd"/>
      <w:r w:rsidRPr="00770896">
        <w:rPr>
          <w:sz w:val="26"/>
        </w:rPr>
        <w:t xml:space="preserve"> issued on </w:t>
      </w:r>
      <w:r w:rsidR="00D236C8">
        <w:rPr>
          <w:sz w:val="26"/>
        </w:rPr>
        <w:t>February 3, 2015</w:t>
      </w:r>
      <w:r w:rsidRPr="00770896">
        <w:rPr>
          <w:sz w:val="26"/>
        </w:rPr>
        <w:t>, in the above-captioned proceeding. Replies to Exceptions w</w:t>
      </w:r>
      <w:r w:rsidR="0054487F" w:rsidRPr="00770896">
        <w:rPr>
          <w:sz w:val="26"/>
        </w:rPr>
        <w:t xml:space="preserve">ere filed by </w:t>
      </w:r>
      <w:r w:rsidR="00D236C8">
        <w:rPr>
          <w:sz w:val="26"/>
        </w:rPr>
        <w:t>PPL Electric Utilities Corporation</w:t>
      </w:r>
      <w:r w:rsidR="0054487F" w:rsidRPr="00770896">
        <w:rPr>
          <w:sz w:val="26"/>
        </w:rPr>
        <w:t xml:space="preserve"> </w:t>
      </w:r>
      <w:r w:rsidRPr="00770896">
        <w:rPr>
          <w:sz w:val="26"/>
        </w:rPr>
        <w:t>(</w:t>
      </w:r>
      <w:r w:rsidR="00D236C8">
        <w:rPr>
          <w:sz w:val="26"/>
        </w:rPr>
        <w:t>PPL</w:t>
      </w:r>
      <w:r w:rsidRPr="00770896">
        <w:rPr>
          <w:sz w:val="26"/>
        </w:rPr>
        <w:t xml:space="preserve"> or the Company) on </w:t>
      </w:r>
      <w:r w:rsidR="00D236C8">
        <w:rPr>
          <w:sz w:val="26"/>
        </w:rPr>
        <w:t>March 4,</w:t>
      </w:r>
      <w:r w:rsidRPr="00770896">
        <w:rPr>
          <w:sz w:val="26"/>
        </w:rPr>
        <w:t xml:space="preserve"> 2015.  </w:t>
      </w:r>
      <w:r w:rsidRPr="00770896">
        <w:rPr>
          <w:sz w:val="26"/>
          <w:szCs w:val="26"/>
        </w:rPr>
        <w:t xml:space="preserve">For the reasons stated below, we shall deny the </w:t>
      </w:r>
      <w:r w:rsidRPr="00770896">
        <w:rPr>
          <w:sz w:val="26"/>
          <w:szCs w:val="26"/>
        </w:rPr>
        <w:lastRenderedPageBreak/>
        <w:t xml:space="preserve">Complainant’s Exceptions and adopt </w:t>
      </w:r>
      <w:r w:rsidR="007C6BD6" w:rsidRPr="00770896">
        <w:rPr>
          <w:sz w:val="26"/>
          <w:szCs w:val="26"/>
        </w:rPr>
        <w:t xml:space="preserve">the </w:t>
      </w:r>
      <w:r w:rsidR="00D236C8">
        <w:rPr>
          <w:sz w:val="26"/>
          <w:szCs w:val="26"/>
        </w:rPr>
        <w:t>ALJ’s</w:t>
      </w:r>
      <w:r w:rsidRPr="00770896">
        <w:rPr>
          <w:sz w:val="26"/>
          <w:szCs w:val="26"/>
        </w:rPr>
        <w:t xml:space="preserve"> Initial Decision </w:t>
      </w:r>
      <w:r w:rsidR="00D35194" w:rsidRPr="00770896">
        <w:rPr>
          <w:sz w:val="26"/>
          <w:szCs w:val="26"/>
        </w:rPr>
        <w:t xml:space="preserve">that </w:t>
      </w:r>
      <w:r w:rsidRPr="00770896">
        <w:rPr>
          <w:sz w:val="26"/>
          <w:szCs w:val="26"/>
        </w:rPr>
        <w:t>dismiss</w:t>
      </w:r>
      <w:r w:rsidR="00D35194" w:rsidRPr="00770896">
        <w:rPr>
          <w:sz w:val="26"/>
          <w:szCs w:val="26"/>
        </w:rPr>
        <w:t>es</w:t>
      </w:r>
      <w:r w:rsidRPr="00770896">
        <w:rPr>
          <w:sz w:val="26"/>
          <w:szCs w:val="26"/>
        </w:rPr>
        <w:t xml:space="preserve"> the Complaint.</w:t>
      </w:r>
    </w:p>
    <w:p w:rsidR="00157B94" w:rsidRPr="00770896" w:rsidRDefault="00157B94" w:rsidP="00690848">
      <w:pPr>
        <w:keepNext/>
        <w:spacing w:line="360" w:lineRule="auto"/>
        <w:jc w:val="center"/>
        <w:rPr>
          <w:b/>
          <w:sz w:val="26"/>
          <w:szCs w:val="26"/>
        </w:rPr>
      </w:pPr>
    </w:p>
    <w:p w:rsidR="009304FE" w:rsidRPr="00770896" w:rsidRDefault="00F55BED" w:rsidP="00690848">
      <w:pPr>
        <w:keepNext/>
        <w:spacing w:line="360" w:lineRule="auto"/>
        <w:jc w:val="center"/>
        <w:rPr>
          <w:caps/>
          <w:sz w:val="26"/>
          <w:szCs w:val="26"/>
        </w:rPr>
      </w:pPr>
      <w:r w:rsidRPr="00770896">
        <w:rPr>
          <w:b/>
          <w:sz w:val="26"/>
          <w:szCs w:val="26"/>
        </w:rPr>
        <w:t>History of the Proceeding</w:t>
      </w:r>
    </w:p>
    <w:p w:rsidR="00527A20" w:rsidRPr="004B577F" w:rsidRDefault="00527A20" w:rsidP="00690848">
      <w:pPr>
        <w:keepNext/>
        <w:spacing w:line="360" w:lineRule="auto"/>
        <w:rPr>
          <w:sz w:val="26"/>
          <w:szCs w:val="26"/>
        </w:rPr>
      </w:pPr>
    </w:p>
    <w:p w:rsidR="0072736F" w:rsidRPr="004B577F" w:rsidRDefault="007C6BD6" w:rsidP="00690848">
      <w:pPr>
        <w:spacing w:line="360" w:lineRule="auto"/>
        <w:ind w:firstLine="1440"/>
        <w:rPr>
          <w:sz w:val="26"/>
          <w:szCs w:val="26"/>
        </w:rPr>
      </w:pPr>
      <w:r w:rsidRPr="004B577F">
        <w:rPr>
          <w:sz w:val="26"/>
          <w:szCs w:val="26"/>
        </w:rPr>
        <w:t xml:space="preserve">On </w:t>
      </w:r>
      <w:r w:rsidR="005C17A9" w:rsidRPr="004B577F">
        <w:rPr>
          <w:sz w:val="26"/>
          <w:szCs w:val="26"/>
        </w:rPr>
        <w:t>September 11</w:t>
      </w:r>
      <w:r w:rsidR="001F6F0D" w:rsidRPr="004B577F">
        <w:rPr>
          <w:sz w:val="26"/>
          <w:szCs w:val="26"/>
        </w:rPr>
        <w:t>,</w:t>
      </w:r>
      <w:r w:rsidRPr="004B577F">
        <w:rPr>
          <w:sz w:val="26"/>
          <w:szCs w:val="26"/>
        </w:rPr>
        <w:t xml:space="preserve"> 2014</w:t>
      </w:r>
      <w:r w:rsidR="006C3371" w:rsidRPr="004B577F">
        <w:rPr>
          <w:sz w:val="26"/>
          <w:szCs w:val="26"/>
        </w:rPr>
        <w:t>, the</w:t>
      </w:r>
      <w:r w:rsidR="00121DEA" w:rsidRPr="004B577F">
        <w:rPr>
          <w:sz w:val="26"/>
          <w:szCs w:val="26"/>
        </w:rPr>
        <w:t xml:space="preserve"> Complainant filed a Formal Complaint </w:t>
      </w:r>
      <w:r w:rsidR="00C82174" w:rsidRPr="004B577F">
        <w:rPr>
          <w:sz w:val="26"/>
          <w:szCs w:val="26"/>
        </w:rPr>
        <w:t xml:space="preserve">(Complaint) </w:t>
      </w:r>
      <w:r w:rsidR="00121DEA" w:rsidRPr="004B577F">
        <w:rPr>
          <w:sz w:val="26"/>
          <w:szCs w:val="26"/>
        </w:rPr>
        <w:t>against</w:t>
      </w:r>
      <w:r w:rsidRPr="004B577F">
        <w:rPr>
          <w:sz w:val="26"/>
          <w:szCs w:val="26"/>
        </w:rPr>
        <w:t xml:space="preserve"> </w:t>
      </w:r>
      <w:r w:rsidR="005C17A9" w:rsidRPr="004B577F">
        <w:rPr>
          <w:sz w:val="26"/>
          <w:szCs w:val="26"/>
        </w:rPr>
        <w:t xml:space="preserve">PPL </w:t>
      </w:r>
      <w:r w:rsidRPr="004B577F">
        <w:rPr>
          <w:sz w:val="26"/>
          <w:szCs w:val="26"/>
        </w:rPr>
        <w:t xml:space="preserve">alleging, </w:t>
      </w:r>
      <w:r w:rsidRPr="004B577F">
        <w:rPr>
          <w:i/>
          <w:sz w:val="26"/>
          <w:szCs w:val="26"/>
        </w:rPr>
        <w:t>inter alia</w:t>
      </w:r>
      <w:r w:rsidR="00ED1956" w:rsidRPr="004B577F">
        <w:rPr>
          <w:sz w:val="26"/>
          <w:szCs w:val="26"/>
        </w:rPr>
        <w:t>, an inability to pay her</w:t>
      </w:r>
      <w:r w:rsidR="00D067AE" w:rsidRPr="004B577F">
        <w:rPr>
          <w:sz w:val="26"/>
          <w:szCs w:val="26"/>
        </w:rPr>
        <w:t xml:space="preserve"> electric bills</w:t>
      </w:r>
      <w:r w:rsidR="004A6DF3">
        <w:rPr>
          <w:sz w:val="26"/>
          <w:szCs w:val="26"/>
        </w:rPr>
        <w:t xml:space="preserve"> and requesting</w:t>
      </w:r>
      <w:r w:rsidR="005C17A9" w:rsidRPr="004B577F">
        <w:rPr>
          <w:sz w:val="26"/>
          <w:szCs w:val="26"/>
        </w:rPr>
        <w:t xml:space="preserve"> a lower payment arrangement</w:t>
      </w:r>
      <w:r w:rsidR="00D067AE" w:rsidRPr="004B577F">
        <w:rPr>
          <w:sz w:val="26"/>
          <w:szCs w:val="26"/>
        </w:rPr>
        <w:t>.</w:t>
      </w:r>
      <w:r w:rsidR="007E2A76" w:rsidRPr="004B577F">
        <w:rPr>
          <w:rStyle w:val="FootnoteReference"/>
        </w:rPr>
        <w:footnoteReference w:id="1"/>
      </w:r>
      <w:r w:rsidR="00D067AE" w:rsidRPr="004B577F">
        <w:rPr>
          <w:sz w:val="26"/>
          <w:szCs w:val="26"/>
        </w:rPr>
        <w:t xml:space="preserve">  </w:t>
      </w:r>
      <w:r w:rsidR="005C17A9" w:rsidRPr="004B577F">
        <w:rPr>
          <w:bCs/>
          <w:color w:val="000000"/>
          <w:sz w:val="26"/>
          <w:szCs w:val="26"/>
        </w:rPr>
        <w:t xml:space="preserve">For relief, </w:t>
      </w:r>
      <w:r w:rsidR="007E2A76" w:rsidRPr="004B577F">
        <w:rPr>
          <w:bCs/>
          <w:color w:val="000000"/>
          <w:sz w:val="26"/>
          <w:szCs w:val="26"/>
        </w:rPr>
        <w:t>s</w:t>
      </w:r>
      <w:r w:rsidR="005C17A9" w:rsidRPr="004B577F">
        <w:rPr>
          <w:kern w:val="1"/>
          <w:sz w:val="26"/>
          <w:szCs w:val="26"/>
        </w:rPr>
        <w:t>he sought to</w:t>
      </w:r>
      <w:r w:rsidR="007E2A76" w:rsidRPr="004B577F">
        <w:rPr>
          <w:kern w:val="1"/>
          <w:sz w:val="26"/>
          <w:szCs w:val="26"/>
        </w:rPr>
        <w:t xml:space="preserve"> be </w:t>
      </w:r>
      <w:r w:rsidR="00ED1956" w:rsidRPr="004B577F">
        <w:rPr>
          <w:kern w:val="1"/>
          <w:sz w:val="26"/>
          <w:szCs w:val="26"/>
        </w:rPr>
        <w:t>placed on</w:t>
      </w:r>
      <w:r w:rsidR="007E2A76" w:rsidRPr="004B577F">
        <w:rPr>
          <w:kern w:val="1"/>
          <w:sz w:val="26"/>
          <w:szCs w:val="26"/>
        </w:rPr>
        <w:t xml:space="preserve"> PPL’s </w:t>
      </w:r>
      <w:r w:rsidR="00ED1956" w:rsidRPr="004B577F">
        <w:rPr>
          <w:kern w:val="1"/>
          <w:sz w:val="26"/>
          <w:szCs w:val="26"/>
        </w:rPr>
        <w:t>On Track</w:t>
      </w:r>
      <w:r w:rsidR="004346E3">
        <w:rPr>
          <w:kern w:val="1"/>
          <w:sz w:val="26"/>
          <w:szCs w:val="26"/>
        </w:rPr>
        <w:t xml:space="preserve"> and </w:t>
      </w:r>
      <w:r w:rsidR="007E2A76" w:rsidRPr="004B577F">
        <w:rPr>
          <w:kern w:val="1"/>
          <w:sz w:val="26"/>
          <w:szCs w:val="26"/>
        </w:rPr>
        <w:t>WRAP Program</w:t>
      </w:r>
      <w:r w:rsidR="00ED1956" w:rsidRPr="004B577F">
        <w:rPr>
          <w:kern w:val="1"/>
          <w:sz w:val="26"/>
          <w:szCs w:val="26"/>
        </w:rPr>
        <w:t xml:space="preserve">.  She also requested </w:t>
      </w:r>
      <w:r w:rsidR="007E2A76" w:rsidRPr="004B577F">
        <w:rPr>
          <w:kern w:val="1"/>
          <w:sz w:val="26"/>
          <w:szCs w:val="26"/>
        </w:rPr>
        <w:t xml:space="preserve">to be removed from budget billing </w:t>
      </w:r>
      <w:r w:rsidR="00ED1956" w:rsidRPr="004B577F">
        <w:rPr>
          <w:kern w:val="1"/>
          <w:sz w:val="26"/>
          <w:szCs w:val="26"/>
        </w:rPr>
        <w:t>and to be placed on</w:t>
      </w:r>
      <w:r w:rsidR="004346E3">
        <w:rPr>
          <w:kern w:val="1"/>
          <w:sz w:val="26"/>
          <w:szCs w:val="26"/>
        </w:rPr>
        <w:t xml:space="preserve"> </w:t>
      </w:r>
      <w:r w:rsidR="004A6DF3">
        <w:rPr>
          <w:kern w:val="1"/>
          <w:sz w:val="26"/>
          <w:szCs w:val="26"/>
        </w:rPr>
        <w:t xml:space="preserve">a </w:t>
      </w:r>
      <w:r w:rsidR="004346E3">
        <w:rPr>
          <w:kern w:val="1"/>
          <w:sz w:val="26"/>
          <w:szCs w:val="26"/>
        </w:rPr>
        <w:t>balloon payment arrangement</w:t>
      </w:r>
      <w:r w:rsidR="007E2A76" w:rsidRPr="004B577F">
        <w:rPr>
          <w:kern w:val="1"/>
          <w:sz w:val="26"/>
          <w:szCs w:val="26"/>
        </w:rPr>
        <w:t>.</w:t>
      </w:r>
      <w:r w:rsidR="00177B16" w:rsidRPr="004B577F">
        <w:rPr>
          <w:rStyle w:val="FootnoteReference"/>
          <w:kern w:val="1"/>
        </w:rPr>
        <w:footnoteReference w:id="2"/>
      </w:r>
      <w:r w:rsidR="007E2A76" w:rsidRPr="004B577F">
        <w:rPr>
          <w:kern w:val="1"/>
          <w:sz w:val="26"/>
          <w:szCs w:val="26"/>
        </w:rPr>
        <w:t xml:space="preserve">  </w:t>
      </w:r>
      <w:proofErr w:type="gramStart"/>
      <w:r w:rsidR="007E2A76" w:rsidRPr="004B577F">
        <w:rPr>
          <w:sz w:val="26"/>
          <w:szCs w:val="26"/>
        </w:rPr>
        <w:t>Complaint at 2-3</w:t>
      </w:r>
      <w:r w:rsidR="005C17A9" w:rsidRPr="004B577F">
        <w:rPr>
          <w:sz w:val="26"/>
          <w:szCs w:val="26"/>
        </w:rPr>
        <w:t xml:space="preserve">; I.D. at </w:t>
      </w:r>
      <w:r w:rsidR="007E2A76" w:rsidRPr="004B577F">
        <w:rPr>
          <w:sz w:val="26"/>
          <w:szCs w:val="26"/>
        </w:rPr>
        <w:t>1</w:t>
      </w:r>
      <w:r w:rsidR="006D0806" w:rsidRPr="004B577F">
        <w:rPr>
          <w:sz w:val="26"/>
          <w:szCs w:val="26"/>
        </w:rPr>
        <w:t>.</w:t>
      </w:r>
      <w:proofErr w:type="gramEnd"/>
    </w:p>
    <w:p w:rsidR="00284C5F" w:rsidRPr="004B577F" w:rsidRDefault="00284C5F" w:rsidP="00690848">
      <w:pPr>
        <w:spacing w:line="360" w:lineRule="auto"/>
        <w:ind w:firstLine="1440"/>
        <w:rPr>
          <w:sz w:val="26"/>
          <w:szCs w:val="26"/>
        </w:rPr>
      </w:pPr>
    </w:p>
    <w:p w:rsidR="00B56554" w:rsidRPr="004B577F" w:rsidRDefault="00ED1956" w:rsidP="00177B16">
      <w:pPr>
        <w:tabs>
          <w:tab w:val="left" w:pos="-1440"/>
          <w:tab w:val="left" w:pos="-720"/>
        </w:tabs>
        <w:suppressAutoHyphens/>
        <w:spacing w:line="360" w:lineRule="auto"/>
        <w:ind w:firstLine="1440"/>
        <w:rPr>
          <w:spacing w:val="-3"/>
          <w:sz w:val="26"/>
          <w:szCs w:val="26"/>
        </w:rPr>
      </w:pPr>
      <w:r w:rsidRPr="004B577F">
        <w:rPr>
          <w:sz w:val="26"/>
          <w:szCs w:val="26"/>
        </w:rPr>
        <w:t xml:space="preserve">On October 6, 2014, PPL filed an </w:t>
      </w:r>
      <w:r w:rsidRPr="004B577F">
        <w:rPr>
          <w:spacing w:val="-3"/>
          <w:sz w:val="26"/>
          <w:szCs w:val="26"/>
        </w:rPr>
        <w:t xml:space="preserve">Answer </w:t>
      </w:r>
      <w:r w:rsidR="008D5372" w:rsidRPr="004B577F">
        <w:rPr>
          <w:spacing w:val="-3"/>
          <w:sz w:val="26"/>
          <w:szCs w:val="26"/>
        </w:rPr>
        <w:t xml:space="preserve">to the Complaint (Answer) in which it averred that </w:t>
      </w:r>
      <w:r w:rsidRPr="004B577F">
        <w:rPr>
          <w:spacing w:val="-3"/>
          <w:sz w:val="26"/>
          <w:szCs w:val="26"/>
        </w:rPr>
        <w:t>it provided the Complainant with the most advantageous payment arrangement to which she was entitled.</w:t>
      </w:r>
      <w:r w:rsidR="00177B16" w:rsidRPr="004B577F">
        <w:rPr>
          <w:spacing w:val="-3"/>
          <w:sz w:val="26"/>
          <w:szCs w:val="26"/>
        </w:rPr>
        <w:t xml:space="preserve">  Answer at 1-2</w:t>
      </w:r>
      <w:r w:rsidR="00E8267E" w:rsidRPr="004B577F">
        <w:rPr>
          <w:spacing w:val="-3"/>
          <w:sz w:val="26"/>
          <w:szCs w:val="26"/>
        </w:rPr>
        <w:t>; I.D. at 1</w:t>
      </w:r>
      <w:r w:rsidR="00177B16" w:rsidRPr="004B577F">
        <w:rPr>
          <w:spacing w:val="-3"/>
          <w:sz w:val="26"/>
          <w:szCs w:val="26"/>
        </w:rPr>
        <w:t>.</w:t>
      </w:r>
    </w:p>
    <w:p w:rsidR="00177B16" w:rsidRPr="004B577F" w:rsidRDefault="00177B16" w:rsidP="00177B16">
      <w:pPr>
        <w:tabs>
          <w:tab w:val="left" w:pos="-1440"/>
          <w:tab w:val="left" w:pos="-720"/>
        </w:tabs>
        <w:suppressAutoHyphens/>
        <w:spacing w:line="360" w:lineRule="auto"/>
        <w:ind w:firstLine="1440"/>
        <w:rPr>
          <w:sz w:val="26"/>
          <w:szCs w:val="26"/>
        </w:rPr>
      </w:pPr>
    </w:p>
    <w:p w:rsidR="00CE2BF2" w:rsidRDefault="00177B16" w:rsidP="00690848">
      <w:pPr>
        <w:spacing w:line="360" w:lineRule="auto"/>
        <w:ind w:firstLine="1440"/>
        <w:rPr>
          <w:sz w:val="26"/>
          <w:szCs w:val="26"/>
        </w:rPr>
      </w:pPr>
      <w:r w:rsidRPr="004B577F">
        <w:rPr>
          <w:sz w:val="26"/>
          <w:szCs w:val="26"/>
        </w:rPr>
        <w:t>O</w:t>
      </w:r>
      <w:r w:rsidR="00052FA9" w:rsidRPr="004B577F">
        <w:rPr>
          <w:sz w:val="26"/>
          <w:szCs w:val="26"/>
        </w:rPr>
        <w:t xml:space="preserve">n </w:t>
      </w:r>
      <w:r w:rsidRPr="004B577F">
        <w:rPr>
          <w:sz w:val="26"/>
          <w:szCs w:val="26"/>
        </w:rPr>
        <w:t>December 4</w:t>
      </w:r>
      <w:r w:rsidR="00052FA9" w:rsidRPr="004B577F">
        <w:rPr>
          <w:sz w:val="26"/>
          <w:szCs w:val="26"/>
        </w:rPr>
        <w:t>, 2014</w:t>
      </w:r>
      <w:r w:rsidRPr="004B577F">
        <w:rPr>
          <w:sz w:val="26"/>
          <w:szCs w:val="26"/>
        </w:rPr>
        <w:t xml:space="preserve">, a hearing was held in this matter. </w:t>
      </w:r>
      <w:r w:rsidR="00385380" w:rsidRPr="004B577F">
        <w:rPr>
          <w:sz w:val="26"/>
          <w:szCs w:val="26"/>
        </w:rPr>
        <w:t xml:space="preserve"> </w:t>
      </w:r>
      <w:r w:rsidR="00E257D7" w:rsidRPr="004B577F">
        <w:rPr>
          <w:sz w:val="26"/>
          <w:szCs w:val="26"/>
        </w:rPr>
        <w:t>T</w:t>
      </w:r>
      <w:r w:rsidR="00B56554" w:rsidRPr="004B577F">
        <w:rPr>
          <w:sz w:val="26"/>
          <w:szCs w:val="26"/>
        </w:rPr>
        <w:t xml:space="preserve">he </w:t>
      </w:r>
      <w:r w:rsidR="00F85FFC" w:rsidRPr="004B577F">
        <w:rPr>
          <w:sz w:val="26"/>
          <w:szCs w:val="26"/>
        </w:rPr>
        <w:t xml:space="preserve">Complainant appeared </w:t>
      </w:r>
      <w:r w:rsidR="00A4134D" w:rsidRPr="004B577F">
        <w:rPr>
          <w:i/>
          <w:sz w:val="26"/>
          <w:szCs w:val="26"/>
        </w:rPr>
        <w:t>pro se</w:t>
      </w:r>
      <w:r w:rsidR="00F85FFC" w:rsidRPr="004B577F">
        <w:rPr>
          <w:sz w:val="26"/>
          <w:szCs w:val="26"/>
        </w:rPr>
        <w:t xml:space="preserve"> </w:t>
      </w:r>
      <w:r w:rsidR="00E8267E" w:rsidRPr="004B577F">
        <w:rPr>
          <w:sz w:val="26"/>
          <w:szCs w:val="26"/>
        </w:rPr>
        <w:t>and</w:t>
      </w:r>
      <w:r w:rsidRPr="004B577F">
        <w:rPr>
          <w:sz w:val="26"/>
          <w:szCs w:val="26"/>
        </w:rPr>
        <w:t xml:space="preserve"> her husband, Jerry Mallory</w:t>
      </w:r>
      <w:r w:rsidR="00E8267E" w:rsidRPr="004B577F">
        <w:rPr>
          <w:sz w:val="26"/>
          <w:szCs w:val="26"/>
        </w:rPr>
        <w:t>,</w:t>
      </w:r>
      <w:r w:rsidRPr="004B577F">
        <w:rPr>
          <w:sz w:val="26"/>
          <w:szCs w:val="26"/>
        </w:rPr>
        <w:t xml:space="preserve"> testif</w:t>
      </w:r>
      <w:r w:rsidR="00E8267E" w:rsidRPr="004B577F">
        <w:rPr>
          <w:sz w:val="26"/>
          <w:szCs w:val="26"/>
        </w:rPr>
        <w:t>ied</w:t>
      </w:r>
      <w:r w:rsidR="00F85FFC" w:rsidRPr="004B577F">
        <w:rPr>
          <w:sz w:val="26"/>
          <w:szCs w:val="26"/>
        </w:rPr>
        <w:t xml:space="preserve"> on </w:t>
      </w:r>
      <w:r w:rsidRPr="004B577F">
        <w:rPr>
          <w:sz w:val="26"/>
          <w:szCs w:val="26"/>
        </w:rPr>
        <w:t>her</w:t>
      </w:r>
      <w:r w:rsidR="00F85FFC" w:rsidRPr="004B577F">
        <w:rPr>
          <w:sz w:val="26"/>
          <w:szCs w:val="26"/>
        </w:rPr>
        <w:t xml:space="preserve"> behalf.</w:t>
      </w:r>
      <w:r w:rsidR="00560174" w:rsidRPr="004B577F">
        <w:rPr>
          <w:sz w:val="26"/>
          <w:szCs w:val="26"/>
        </w:rPr>
        <w:t xml:space="preserve">  </w:t>
      </w:r>
      <w:r w:rsidRPr="004B577F">
        <w:rPr>
          <w:sz w:val="26"/>
          <w:szCs w:val="26"/>
        </w:rPr>
        <w:t>PPL</w:t>
      </w:r>
      <w:r w:rsidR="00052FA9" w:rsidRPr="004B577F">
        <w:rPr>
          <w:sz w:val="26"/>
          <w:szCs w:val="26"/>
        </w:rPr>
        <w:t xml:space="preserve"> </w:t>
      </w:r>
      <w:r w:rsidR="00560174" w:rsidRPr="004B577F">
        <w:rPr>
          <w:sz w:val="26"/>
          <w:szCs w:val="26"/>
        </w:rPr>
        <w:t>was represented by counsel</w:t>
      </w:r>
      <w:r w:rsidR="007C4B84" w:rsidRPr="004B577F">
        <w:rPr>
          <w:sz w:val="26"/>
          <w:szCs w:val="26"/>
        </w:rPr>
        <w:t>,</w:t>
      </w:r>
      <w:r w:rsidR="00052FA9" w:rsidRPr="004B577F">
        <w:rPr>
          <w:sz w:val="26"/>
          <w:szCs w:val="26"/>
        </w:rPr>
        <w:t xml:space="preserve"> presented the testimony of one witness</w:t>
      </w:r>
      <w:r w:rsidR="007C4B84" w:rsidRPr="004B577F">
        <w:rPr>
          <w:sz w:val="26"/>
          <w:szCs w:val="26"/>
        </w:rPr>
        <w:t>,</w:t>
      </w:r>
      <w:r w:rsidR="00052FA9" w:rsidRPr="004B577F">
        <w:rPr>
          <w:sz w:val="26"/>
          <w:szCs w:val="26"/>
        </w:rPr>
        <w:t xml:space="preserve"> and introduced </w:t>
      </w:r>
      <w:r w:rsidRPr="004B577F">
        <w:rPr>
          <w:sz w:val="26"/>
          <w:szCs w:val="26"/>
        </w:rPr>
        <w:t xml:space="preserve">two </w:t>
      </w:r>
      <w:r w:rsidR="00560174" w:rsidRPr="004B577F">
        <w:rPr>
          <w:sz w:val="26"/>
          <w:szCs w:val="26"/>
        </w:rPr>
        <w:t>exhibits</w:t>
      </w:r>
      <w:r w:rsidR="00B00936" w:rsidRPr="004B577F">
        <w:rPr>
          <w:sz w:val="26"/>
          <w:szCs w:val="26"/>
        </w:rPr>
        <w:t xml:space="preserve"> (</w:t>
      </w:r>
      <w:r w:rsidRPr="004B577F">
        <w:rPr>
          <w:sz w:val="26"/>
          <w:szCs w:val="26"/>
        </w:rPr>
        <w:t xml:space="preserve">PPL </w:t>
      </w:r>
      <w:r w:rsidR="00B00936" w:rsidRPr="004B577F">
        <w:rPr>
          <w:sz w:val="26"/>
          <w:szCs w:val="26"/>
        </w:rPr>
        <w:t xml:space="preserve">Exhibits </w:t>
      </w:r>
      <w:r w:rsidRPr="004B577F">
        <w:rPr>
          <w:sz w:val="26"/>
          <w:szCs w:val="26"/>
        </w:rPr>
        <w:t>1 and 3</w:t>
      </w:r>
      <w:r w:rsidR="00B00936" w:rsidRPr="004B577F">
        <w:rPr>
          <w:sz w:val="26"/>
          <w:szCs w:val="26"/>
        </w:rPr>
        <w:t>)</w:t>
      </w:r>
      <w:r w:rsidR="007C4B84" w:rsidRPr="004B577F">
        <w:rPr>
          <w:sz w:val="26"/>
          <w:szCs w:val="26"/>
        </w:rPr>
        <w:t>, which were admitted</w:t>
      </w:r>
      <w:r w:rsidR="00560174" w:rsidRPr="004B577F">
        <w:rPr>
          <w:sz w:val="26"/>
          <w:szCs w:val="26"/>
        </w:rPr>
        <w:t xml:space="preserve"> into the record. </w:t>
      </w:r>
      <w:r w:rsidR="00CE2BF2" w:rsidRPr="004B577F">
        <w:rPr>
          <w:sz w:val="26"/>
          <w:szCs w:val="26"/>
        </w:rPr>
        <w:t xml:space="preserve"> </w:t>
      </w:r>
      <w:r w:rsidRPr="004B577F">
        <w:rPr>
          <w:sz w:val="26"/>
          <w:szCs w:val="26"/>
        </w:rPr>
        <w:t xml:space="preserve">The record in this </w:t>
      </w:r>
      <w:r w:rsidRPr="004B577F">
        <w:rPr>
          <w:sz w:val="26"/>
          <w:szCs w:val="26"/>
        </w:rPr>
        <w:lastRenderedPageBreak/>
        <w:t xml:space="preserve">case contains a thirty-one-page transcript and two exhibits. </w:t>
      </w:r>
      <w:r w:rsidR="00CE2BF2" w:rsidRPr="004B577F">
        <w:rPr>
          <w:sz w:val="26"/>
          <w:szCs w:val="26"/>
        </w:rPr>
        <w:t xml:space="preserve">The record </w:t>
      </w:r>
      <w:r w:rsidR="0072736F" w:rsidRPr="004B577F">
        <w:rPr>
          <w:sz w:val="26"/>
          <w:szCs w:val="26"/>
        </w:rPr>
        <w:t xml:space="preserve">was </w:t>
      </w:r>
      <w:r w:rsidR="00052FA9" w:rsidRPr="004B577F">
        <w:rPr>
          <w:sz w:val="26"/>
          <w:szCs w:val="26"/>
        </w:rPr>
        <w:t xml:space="preserve">closed on </w:t>
      </w:r>
      <w:r w:rsidRPr="004B577F">
        <w:rPr>
          <w:sz w:val="26"/>
          <w:szCs w:val="26"/>
        </w:rPr>
        <w:t>December 22</w:t>
      </w:r>
      <w:r w:rsidR="00CE2BF2" w:rsidRPr="004B577F">
        <w:rPr>
          <w:sz w:val="26"/>
          <w:szCs w:val="26"/>
        </w:rPr>
        <w:t>,</w:t>
      </w:r>
      <w:r w:rsidR="00472ADE" w:rsidRPr="004B577F">
        <w:rPr>
          <w:sz w:val="26"/>
          <w:szCs w:val="26"/>
        </w:rPr>
        <w:t> </w:t>
      </w:r>
      <w:r w:rsidR="00CE2BF2" w:rsidRPr="004B577F">
        <w:rPr>
          <w:sz w:val="26"/>
          <w:szCs w:val="26"/>
        </w:rPr>
        <w:t>201</w:t>
      </w:r>
      <w:r w:rsidR="00052FA9" w:rsidRPr="004B577F">
        <w:rPr>
          <w:sz w:val="26"/>
          <w:szCs w:val="26"/>
        </w:rPr>
        <w:t>4</w:t>
      </w:r>
      <w:r w:rsidR="00CE2BF2" w:rsidRPr="004B577F">
        <w:rPr>
          <w:sz w:val="26"/>
          <w:szCs w:val="26"/>
        </w:rPr>
        <w:t>.</w:t>
      </w:r>
    </w:p>
    <w:p w:rsidR="00502D2D" w:rsidRPr="004B577F" w:rsidRDefault="00502D2D" w:rsidP="00690848">
      <w:pPr>
        <w:spacing w:line="360" w:lineRule="auto"/>
        <w:ind w:firstLine="1440"/>
        <w:rPr>
          <w:sz w:val="26"/>
          <w:szCs w:val="26"/>
        </w:rPr>
      </w:pPr>
    </w:p>
    <w:p w:rsidR="00D24BF8" w:rsidRPr="004B577F" w:rsidRDefault="006E7A92" w:rsidP="00690848">
      <w:pPr>
        <w:spacing w:line="360" w:lineRule="auto"/>
        <w:ind w:firstLine="1440"/>
        <w:rPr>
          <w:sz w:val="26"/>
          <w:szCs w:val="26"/>
        </w:rPr>
      </w:pPr>
      <w:r w:rsidRPr="004B577F">
        <w:rPr>
          <w:sz w:val="26"/>
          <w:szCs w:val="26"/>
        </w:rPr>
        <w:t xml:space="preserve">In the Initial Decision, </w:t>
      </w:r>
      <w:r w:rsidR="00177B16" w:rsidRPr="004B577F">
        <w:rPr>
          <w:sz w:val="26"/>
          <w:szCs w:val="26"/>
        </w:rPr>
        <w:t>issued on February 3</w:t>
      </w:r>
      <w:r w:rsidR="001D1E1A" w:rsidRPr="004B577F">
        <w:rPr>
          <w:sz w:val="26"/>
          <w:szCs w:val="26"/>
        </w:rPr>
        <w:t xml:space="preserve">, 2014, </w:t>
      </w:r>
      <w:r w:rsidRPr="004B577F">
        <w:rPr>
          <w:sz w:val="26"/>
          <w:szCs w:val="26"/>
        </w:rPr>
        <w:t xml:space="preserve">the </w:t>
      </w:r>
      <w:r w:rsidR="00177B16" w:rsidRPr="004B577F">
        <w:rPr>
          <w:sz w:val="26"/>
          <w:szCs w:val="26"/>
        </w:rPr>
        <w:t>ALJ</w:t>
      </w:r>
      <w:r w:rsidRPr="004B577F">
        <w:rPr>
          <w:sz w:val="26"/>
          <w:szCs w:val="26"/>
        </w:rPr>
        <w:t xml:space="preserve"> </w:t>
      </w:r>
      <w:r w:rsidR="00011509" w:rsidRPr="004B577F">
        <w:rPr>
          <w:sz w:val="26"/>
          <w:szCs w:val="26"/>
        </w:rPr>
        <w:t>dismissed the Complaint</w:t>
      </w:r>
      <w:r w:rsidR="006C3371" w:rsidRPr="004B577F">
        <w:rPr>
          <w:sz w:val="26"/>
          <w:szCs w:val="26"/>
        </w:rPr>
        <w:t>, ruling that the Commission does not have the author</w:t>
      </w:r>
      <w:r w:rsidR="00052FA9" w:rsidRPr="004B577F">
        <w:rPr>
          <w:sz w:val="26"/>
          <w:szCs w:val="26"/>
        </w:rPr>
        <w:t>ity to order a</w:t>
      </w:r>
      <w:r w:rsidR="001D1E1A" w:rsidRPr="004B577F">
        <w:rPr>
          <w:sz w:val="26"/>
          <w:szCs w:val="26"/>
        </w:rPr>
        <w:t>nother</w:t>
      </w:r>
      <w:r w:rsidR="00052FA9" w:rsidRPr="004B577F">
        <w:rPr>
          <w:sz w:val="26"/>
          <w:szCs w:val="26"/>
        </w:rPr>
        <w:t xml:space="preserve"> payment arrangement</w:t>
      </w:r>
      <w:r w:rsidR="00890EBD" w:rsidRPr="004B577F">
        <w:rPr>
          <w:sz w:val="26"/>
          <w:szCs w:val="26"/>
        </w:rPr>
        <w:t xml:space="preserve">.  I.D. </w:t>
      </w:r>
      <w:r w:rsidR="00CC75CF" w:rsidRPr="004B577F">
        <w:rPr>
          <w:sz w:val="26"/>
          <w:szCs w:val="26"/>
        </w:rPr>
        <w:t xml:space="preserve">at </w:t>
      </w:r>
      <w:r w:rsidR="00052FA9" w:rsidRPr="004B577F">
        <w:rPr>
          <w:sz w:val="26"/>
          <w:szCs w:val="26"/>
        </w:rPr>
        <w:t>6-7</w:t>
      </w:r>
      <w:r w:rsidR="00CC75CF" w:rsidRPr="004B577F">
        <w:rPr>
          <w:sz w:val="26"/>
          <w:szCs w:val="26"/>
        </w:rPr>
        <w:t xml:space="preserve">.  As </w:t>
      </w:r>
      <w:r w:rsidR="006C3371" w:rsidRPr="004B577F">
        <w:rPr>
          <w:sz w:val="26"/>
          <w:szCs w:val="26"/>
        </w:rPr>
        <w:t xml:space="preserve">noted, </w:t>
      </w:r>
      <w:r w:rsidR="006C3371" w:rsidRPr="004B577F">
        <w:rPr>
          <w:i/>
          <w:sz w:val="26"/>
          <w:szCs w:val="26"/>
        </w:rPr>
        <w:t>supra</w:t>
      </w:r>
      <w:r w:rsidR="006C3371" w:rsidRPr="004B577F">
        <w:rPr>
          <w:sz w:val="26"/>
          <w:szCs w:val="26"/>
        </w:rPr>
        <w:t>,</w:t>
      </w:r>
      <w:r w:rsidR="00851CAE" w:rsidRPr="004B577F">
        <w:rPr>
          <w:sz w:val="26"/>
          <w:szCs w:val="26"/>
        </w:rPr>
        <w:t xml:space="preserve"> </w:t>
      </w:r>
      <w:r w:rsidR="0073322C" w:rsidRPr="004B577F">
        <w:rPr>
          <w:sz w:val="26"/>
          <w:szCs w:val="26"/>
        </w:rPr>
        <w:t xml:space="preserve">the Complainant </w:t>
      </w:r>
      <w:r w:rsidR="00052FA9" w:rsidRPr="004B577F">
        <w:rPr>
          <w:sz w:val="26"/>
          <w:szCs w:val="26"/>
        </w:rPr>
        <w:t xml:space="preserve">filed Exceptions on </w:t>
      </w:r>
      <w:r w:rsidR="00E8267E" w:rsidRPr="004B577F">
        <w:rPr>
          <w:sz w:val="26"/>
          <w:szCs w:val="26"/>
        </w:rPr>
        <w:t>February 21</w:t>
      </w:r>
      <w:r w:rsidR="00052FA9" w:rsidRPr="004B577F">
        <w:rPr>
          <w:sz w:val="26"/>
          <w:szCs w:val="26"/>
        </w:rPr>
        <w:t>, 2015</w:t>
      </w:r>
      <w:r w:rsidR="006402BA" w:rsidRPr="004B577F">
        <w:rPr>
          <w:sz w:val="26"/>
          <w:szCs w:val="26"/>
        </w:rPr>
        <w:t>.</w:t>
      </w:r>
      <w:r w:rsidR="001472DF">
        <w:rPr>
          <w:sz w:val="26"/>
          <w:szCs w:val="26"/>
        </w:rPr>
        <w:t xml:space="preserve">  PPL</w:t>
      </w:r>
      <w:r w:rsidR="0073322C" w:rsidRPr="004B577F">
        <w:rPr>
          <w:sz w:val="26"/>
          <w:szCs w:val="26"/>
        </w:rPr>
        <w:t xml:space="preserve"> filed</w:t>
      </w:r>
      <w:r w:rsidR="00D24BF8" w:rsidRPr="004B577F">
        <w:rPr>
          <w:sz w:val="26"/>
          <w:szCs w:val="26"/>
        </w:rPr>
        <w:t xml:space="preserve"> Replies to Exceptions </w:t>
      </w:r>
      <w:r w:rsidR="00052FA9" w:rsidRPr="004B577F">
        <w:rPr>
          <w:sz w:val="26"/>
          <w:szCs w:val="26"/>
        </w:rPr>
        <w:t xml:space="preserve">on </w:t>
      </w:r>
      <w:r w:rsidR="00E8267E" w:rsidRPr="004B577F">
        <w:rPr>
          <w:sz w:val="26"/>
          <w:szCs w:val="26"/>
        </w:rPr>
        <w:t>March 4</w:t>
      </w:r>
      <w:r w:rsidR="00052FA9" w:rsidRPr="004B577F">
        <w:rPr>
          <w:sz w:val="26"/>
          <w:szCs w:val="26"/>
        </w:rPr>
        <w:t>, 2015</w:t>
      </w:r>
      <w:r w:rsidR="0073322C" w:rsidRPr="004B577F">
        <w:rPr>
          <w:sz w:val="26"/>
          <w:szCs w:val="26"/>
        </w:rPr>
        <w:t>.</w:t>
      </w:r>
    </w:p>
    <w:p w:rsidR="008C7241" w:rsidRPr="004B577F" w:rsidRDefault="008C7241" w:rsidP="00690848">
      <w:pPr>
        <w:spacing w:line="360" w:lineRule="auto"/>
        <w:ind w:firstLine="1440"/>
        <w:rPr>
          <w:sz w:val="26"/>
          <w:szCs w:val="26"/>
        </w:rPr>
      </w:pPr>
    </w:p>
    <w:p w:rsidR="008C7241" w:rsidRPr="004B577F" w:rsidRDefault="008C7241" w:rsidP="008C7241">
      <w:pPr>
        <w:keepNext/>
        <w:ind w:left="2880" w:firstLine="720"/>
        <w:rPr>
          <w:b/>
          <w:sz w:val="26"/>
          <w:szCs w:val="26"/>
        </w:rPr>
      </w:pPr>
      <w:r w:rsidRPr="004B577F">
        <w:rPr>
          <w:b/>
          <w:sz w:val="26"/>
          <w:szCs w:val="26"/>
        </w:rPr>
        <w:t>Background</w:t>
      </w:r>
    </w:p>
    <w:p w:rsidR="008C7241" w:rsidRPr="004B577F" w:rsidRDefault="008C7241" w:rsidP="008C7241">
      <w:pPr>
        <w:keepNext/>
        <w:spacing w:line="360" w:lineRule="auto"/>
        <w:rPr>
          <w:b/>
          <w:sz w:val="26"/>
          <w:szCs w:val="26"/>
        </w:rPr>
      </w:pPr>
    </w:p>
    <w:p w:rsidR="00C35764" w:rsidRPr="004B577F" w:rsidRDefault="008C7241" w:rsidP="008C7241">
      <w:pPr>
        <w:spacing w:line="360" w:lineRule="auto"/>
        <w:ind w:firstLine="1440"/>
        <w:rPr>
          <w:sz w:val="26"/>
          <w:szCs w:val="26"/>
        </w:rPr>
      </w:pPr>
      <w:r w:rsidRPr="004B577F">
        <w:rPr>
          <w:sz w:val="26"/>
          <w:szCs w:val="26"/>
        </w:rPr>
        <w:t>The Complainant</w:t>
      </w:r>
      <w:r w:rsidR="00C35764" w:rsidRPr="004B577F">
        <w:rPr>
          <w:sz w:val="26"/>
          <w:szCs w:val="26"/>
        </w:rPr>
        <w:t xml:space="preserve"> and her husband</w:t>
      </w:r>
      <w:r w:rsidRPr="004B577F">
        <w:rPr>
          <w:sz w:val="26"/>
          <w:szCs w:val="26"/>
        </w:rPr>
        <w:t xml:space="preserve">, who receive mail at P.O. Box 650, reside at 19-D Hilltop Road, Newfoundland, </w:t>
      </w:r>
      <w:proofErr w:type="gramStart"/>
      <w:r w:rsidRPr="004B577F">
        <w:rPr>
          <w:sz w:val="26"/>
          <w:szCs w:val="26"/>
        </w:rPr>
        <w:t>Pennsylvania</w:t>
      </w:r>
      <w:proofErr w:type="gramEnd"/>
      <w:r w:rsidRPr="004B577F">
        <w:rPr>
          <w:sz w:val="26"/>
          <w:szCs w:val="26"/>
        </w:rPr>
        <w:t xml:space="preserve">.  </w:t>
      </w:r>
      <w:proofErr w:type="gramStart"/>
      <w:r w:rsidRPr="004B577F">
        <w:rPr>
          <w:sz w:val="26"/>
          <w:szCs w:val="26"/>
        </w:rPr>
        <w:t>Tr. at 5; I.D. at 2.</w:t>
      </w:r>
      <w:proofErr w:type="gramEnd"/>
      <w:r w:rsidRPr="004B577F">
        <w:rPr>
          <w:sz w:val="26"/>
          <w:szCs w:val="26"/>
        </w:rPr>
        <w:t xml:space="preserve">  The Complainant contended that she cannot pay the budget billing amount of approximately $400 per month.  The Complainant indicated that she would like the budget billing restructured so that she can make lower regular monthly payments for four to four-and-half years and then make a balloon </w:t>
      </w:r>
      <w:r w:rsidR="00502D2D">
        <w:rPr>
          <w:sz w:val="26"/>
          <w:szCs w:val="26"/>
        </w:rPr>
        <w:t>payment at the end of the fifth year</w:t>
      </w:r>
      <w:r w:rsidRPr="004B577F">
        <w:rPr>
          <w:sz w:val="26"/>
          <w:szCs w:val="26"/>
        </w:rPr>
        <w:t xml:space="preserve">.  Tr. at 7; I.D. at 4.  The Complainant and her </w:t>
      </w:r>
      <w:r w:rsidR="00C35764" w:rsidRPr="004B577F">
        <w:rPr>
          <w:sz w:val="26"/>
          <w:szCs w:val="26"/>
        </w:rPr>
        <w:t>husband make</w:t>
      </w:r>
      <w:r w:rsidRPr="004B577F">
        <w:rPr>
          <w:sz w:val="26"/>
          <w:szCs w:val="26"/>
        </w:rPr>
        <w:t xml:space="preserve"> </w:t>
      </w:r>
      <w:r w:rsidR="00502D2D">
        <w:rPr>
          <w:sz w:val="26"/>
          <w:szCs w:val="26"/>
        </w:rPr>
        <w:t xml:space="preserve">a combined annual income of </w:t>
      </w:r>
      <w:r w:rsidRPr="004B577F">
        <w:rPr>
          <w:sz w:val="26"/>
          <w:szCs w:val="26"/>
        </w:rPr>
        <w:t>between $10,000 to $</w:t>
      </w:r>
      <w:r w:rsidR="00502D2D" w:rsidRPr="004B577F">
        <w:rPr>
          <w:sz w:val="26"/>
          <w:szCs w:val="26"/>
        </w:rPr>
        <w:t xml:space="preserve">16,000 </w:t>
      </w:r>
      <w:r w:rsidR="00C35764" w:rsidRPr="004B577F">
        <w:rPr>
          <w:sz w:val="26"/>
          <w:szCs w:val="26"/>
        </w:rPr>
        <w:t>and do not receive Social Security payments</w:t>
      </w:r>
      <w:r w:rsidRPr="004B577F">
        <w:rPr>
          <w:sz w:val="26"/>
          <w:szCs w:val="26"/>
        </w:rPr>
        <w:t xml:space="preserve">.  </w:t>
      </w:r>
      <w:r w:rsidR="00C35764" w:rsidRPr="004B577F">
        <w:rPr>
          <w:sz w:val="26"/>
          <w:szCs w:val="26"/>
        </w:rPr>
        <w:t>The Complainant and her husband do not have any medical issues and have not had a change in income or a significant change in circumstance</w:t>
      </w:r>
      <w:r w:rsidR="00D71549">
        <w:rPr>
          <w:sz w:val="26"/>
          <w:szCs w:val="26"/>
        </w:rPr>
        <w:t xml:space="preserve"> subsequent to the July 2014 payment arrangement</w:t>
      </w:r>
      <w:r w:rsidR="00C35764" w:rsidRPr="004B577F">
        <w:rPr>
          <w:sz w:val="26"/>
          <w:szCs w:val="26"/>
        </w:rPr>
        <w:t>.  Tr. at 8-9; I.D. at 4-5.</w:t>
      </w:r>
    </w:p>
    <w:p w:rsidR="008C7241" w:rsidRPr="004B577F" w:rsidRDefault="008C7241" w:rsidP="008C7241">
      <w:pPr>
        <w:spacing w:line="360" w:lineRule="auto"/>
        <w:ind w:firstLine="1440"/>
        <w:rPr>
          <w:sz w:val="26"/>
          <w:szCs w:val="26"/>
        </w:rPr>
      </w:pPr>
    </w:p>
    <w:p w:rsidR="00C35764" w:rsidRPr="004B577F" w:rsidRDefault="00C35764" w:rsidP="008C7241">
      <w:pPr>
        <w:spacing w:line="360" w:lineRule="auto"/>
        <w:ind w:firstLine="1440"/>
        <w:rPr>
          <w:sz w:val="26"/>
          <w:szCs w:val="26"/>
        </w:rPr>
      </w:pPr>
      <w:r w:rsidRPr="004B577F">
        <w:rPr>
          <w:sz w:val="26"/>
          <w:szCs w:val="26"/>
        </w:rPr>
        <w:t>PPL</w:t>
      </w:r>
      <w:r w:rsidR="008C7241" w:rsidRPr="004B577F">
        <w:rPr>
          <w:sz w:val="26"/>
          <w:szCs w:val="26"/>
        </w:rPr>
        <w:t xml:space="preserve">, on the other hand, testified that </w:t>
      </w:r>
      <w:r w:rsidRPr="004B577F">
        <w:rPr>
          <w:sz w:val="26"/>
          <w:szCs w:val="26"/>
        </w:rPr>
        <w:t xml:space="preserve">as of November 7, 2014, </w:t>
      </w:r>
      <w:r w:rsidR="008C7241" w:rsidRPr="004B577F">
        <w:rPr>
          <w:sz w:val="26"/>
          <w:szCs w:val="26"/>
        </w:rPr>
        <w:t xml:space="preserve">the Complainant </w:t>
      </w:r>
      <w:r w:rsidRPr="004B577F">
        <w:rPr>
          <w:sz w:val="26"/>
          <w:szCs w:val="26"/>
        </w:rPr>
        <w:t xml:space="preserve">had an outstanding balance of $5,136.74, and </w:t>
      </w:r>
      <w:r w:rsidR="00CA46C9">
        <w:rPr>
          <w:sz w:val="26"/>
          <w:szCs w:val="26"/>
        </w:rPr>
        <w:t xml:space="preserve">she </w:t>
      </w:r>
      <w:r w:rsidRPr="004B577F">
        <w:rPr>
          <w:sz w:val="26"/>
          <w:szCs w:val="26"/>
        </w:rPr>
        <w:t xml:space="preserve">made only four payments in 2014.  Tr. at 16 and 18; </w:t>
      </w:r>
      <w:r w:rsidR="00534612">
        <w:rPr>
          <w:sz w:val="26"/>
          <w:szCs w:val="26"/>
        </w:rPr>
        <w:t xml:space="preserve">PPL </w:t>
      </w:r>
      <w:proofErr w:type="spellStart"/>
      <w:r w:rsidRPr="004B577F">
        <w:rPr>
          <w:sz w:val="26"/>
          <w:szCs w:val="26"/>
        </w:rPr>
        <w:t>Exh</w:t>
      </w:r>
      <w:proofErr w:type="spellEnd"/>
      <w:r w:rsidRPr="004B577F">
        <w:rPr>
          <w:sz w:val="26"/>
          <w:szCs w:val="26"/>
        </w:rPr>
        <w:t>. 1.  PPL</w:t>
      </w:r>
      <w:r w:rsidR="00CA46C9">
        <w:rPr>
          <w:sz w:val="26"/>
          <w:szCs w:val="26"/>
        </w:rPr>
        <w:t xml:space="preserve"> also indicated that</w:t>
      </w:r>
      <w:r w:rsidRPr="004B577F">
        <w:rPr>
          <w:sz w:val="26"/>
          <w:szCs w:val="26"/>
        </w:rPr>
        <w:t xml:space="preserve"> </w:t>
      </w:r>
      <w:r w:rsidR="00CA46C9">
        <w:rPr>
          <w:sz w:val="26"/>
          <w:szCs w:val="26"/>
        </w:rPr>
        <w:t xml:space="preserve">it offered the Complainant </w:t>
      </w:r>
      <w:r w:rsidR="00CA46C9" w:rsidRPr="004B577F">
        <w:rPr>
          <w:sz w:val="26"/>
          <w:szCs w:val="26"/>
        </w:rPr>
        <w:t xml:space="preserve">a total of thirty-six payment arrangements </w:t>
      </w:r>
      <w:r w:rsidRPr="004B577F">
        <w:rPr>
          <w:sz w:val="26"/>
          <w:szCs w:val="26"/>
        </w:rPr>
        <w:t>between June 15, 2005, and September 15, 2014</w:t>
      </w:r>
      <w:r w:rsidR="00CA46C9">
        <w:rPr>
          <w:sz w:val="26"/>
          <w:szCs w:val="26"/>
        </w:rPr>
        <w:t xml:space="preserve">, and that </w:t>
      </w:r>
      <w:r w:rsidR="001472DF">
        <w:rPr>
          <w:sz w:val="26"/>
          <w:szCs w:val="26"/>
        </w:rPr>
        <w:t>t</w:t>
      </w:r>
      <w:r w:rsidR="00D71549">
        <w:rPr>
          <w:sz w:val="26"/>
          <w:szCs w:val="26"/>
        </w:rPr>
        <w:t>he Complainant</w:t>
      </w:r>
      <w:r w:rsidRPr="004B577F">
        <w:rPr>
          <w:sz w:val="26"/>
          <w:szCs w:val="26"/>
        </w:rPr>
        <w:t xml:space="preserve"> defaulted on twenty-six of the thirty-six payment arrangements.  </w:t>
      </w:r>
      <w:r w:rsidR="00690C5F" w:rsidRPr="004B577F">
        <w:rPr>
          <w:sz w:val="26"/>
          <w:szCs w:val="26"/>
        </w:rPr>
        <w:t xml:space="preserve">Tr. at 17; </w:t>
      </w:r>
      <w:r w:rsidR="00534612">
        <w:rPr>
          <w:sz w:val="26"/>
          <w:szCs w:val="26"/>
        </w:rPr>
        <w:t xml:space="preserve">PPL </w:t>
      </w:r>
      <w:proofErr w:type="spellStart"/>
      <w:r w:rsidR="00690C5F" w:rsidRPr="004B577F">
        <w:rPr>
          <w:sz w:val="26"/>
          <w:szCs w:val="26"/>
        </w:rPr>
        <w:t>Exhs</w:t>
      </w:r>
      <w:proofErr w:type="spellEnd"/>
      <w:r w:rsidR="00690C5F" w:rsidRPr="004B577F">
        <w:rPr>
          <w:sz w:val="26"/>
          <w:szCs w:val="26"/>
        </w:rPr>
        <w:t xml:space="preserve">. 1 and 3.  PPL averred that the Complainant asked to be taken off the budget billing, to which it complied.  PPL asserted that while it </w:t>
      </w:r>
      <w:r w:rsidR="00690C5F" w:rsidRPr="004B577F">
        <w:rPr>
          <w:sz w:val="26"/>
          <w:szCs w:val="26"/>
        </w:rPr>
        <w:lastRenderedPageBreak/>
        <w:t xml:space="preserve">has accepted upfront payments in the past, it does not allow balloon payments at the back end </w:t>
      </w:r>
      <w:r w:rsidR="00CD2CC8">
        <w:rPr>
          <w:sz w:val="26"/>
          <w:szCs w:val="26"/>
        </w:rPr>
        <w:t xml:space="preserve">as requested </w:t>
      </w:r>
      <w:r w:rsidR="00690C5F" w:rsidRPr="004B577F">
        <w:rPr>
          <w:sz w:val="26"/>
          <w:szCs w:val="26"/>
        </w:rPr>
        <w:t xml:space="preserve">by the Complainant.  </w:t>
      </w:r>
      <w:r w:rsidR="00534612">
        <w:rPr>
          <w:sz w:val="26"/>
          <w:szCs w:val="26"/>
        </w:rPr>
        <w:t xml:space="preserve">Tr. at 19 and 24; </w:t>
      </w:r>
      <w:r w:rsidR="00690C5F" w:rsidRPr="004B577F">
        <w:rPr>
          <w:sz w:val="26"/>
          <w:szCs w:val="26"/>
        </w:rPr>
        <w:t xml:space="preserve">I.D. at 4.  </w:t>
      </w:r>
    </w:p>
    <w:p w:rsidR="00C35764" w:rsidRPr="004B577F" w:rsidRDefault="00C35764" w:rsidP="008C7241">
      <w:pPr>
        <w:spacing w:line="360" w:lineRule="auto"/>
        <w:ind w:firstLine="1440"/>
        <w:rPr>
          <w:sz w:val="26"/>
          <w:szCs w:val="26"/>
        </w:rPr>
      </w:pPr>
    </w:p>
    <w:p w:rsidR="00C64788" w:rsidRPr="004B577F" w:rsidRDefault="004419DA" w:rsidP="00690848">
      <w:pPr>
        <w:keepNext/>
        <w:spacing w:line="360" w:lineRule="auto"/>
        <w:jc w:val="center"/>
        <w:rPr>
          <w:b/>
          <w:sz w:val="26"/>
          <w:szCs w:val="26"/>
        </w:rPr>
      </w:pPr>
      <w:r w:rsidRPr="004B577F">
        <w:rPr>
          <w:b/>
          <w:sz w:val="26"/>
          <w:szCs w:val="26"/>
        </w:rPr>
        <w:t>Discussion</w:t>
      </w:r>
    </w:p>
    <w:p w:rsidR="006F4593" w:rsidRPr="004B577F" w:rsidRDefault="006F4593" w:rsidP="00690848">
      <w:pPr>
        <w:keepNext/>
        <w:spacing w:line="360" w:lineRule="auto"/>
        <w:jc w:val="center"/>
        <w:rPr>
          <w:b/>
          <w:sz w:val="26"/>
          <w:szCs w:val="26"/>
        </w:rPr>
      </w:pPr>
    </w:p>
    <w:p w:rsidR="006C3371" w:rsidRPr="004B577F" w:rsidRDefault="006C3371" w:rsidP="00690848">
      <w:pPr>
        <w:keepNext/>
        <w:spacing w:line="360" w:lineRule="auto"/>
        <w:rPr>
          <w:b/>
          <w:sz w:val="26"/>
          <w:szCs w:val="26"/>
        </w:rPr>
      </w:pPr>
      <w:r w:rsidRPr="004B577F">
        <w:rPr>
          <w:b/>
          <w:sz w:val="26"/>
          <w:szCs w:val="26"/>
        </w:rPr>
        <w:t xml:space="preserve">Legal Standards </w:t>
      </w:r>
    </w:p>
    <w:p w:rsidR="006C3371" w:rsidRPr="004B577F" w:rsidRDefault="006C3371" w:rsidP="00690848">
      <w:pPr>
        <w:keepNext/>
        <w:spacing w:line="360" w:lineRule="auto"/>
        <w:rPr>
          <w:b/>
          <w:sz w:val="26"/>
          <w:szCs w:val="26"/>
        </w:rPr>
      </w:pPr>
    </w:p>
    <w:p w:rsidR="00C64788" w:rsidRPr="004B577F" w:rsidRDefault="00C64788" w:rsidP="00690848">
      <w:pPr>
        <w:spacing w:line="360" w:lineRule="auto"/>
        <w:ind w:firstLine="1440"/>
        <w:rPr>
          <w:sz w:val="26"/>
          <w:szCs w:val="26"/>
        </w:rPr>
      </w:pPr>
      <w:r w:rsidRPr="004B577F">
        <w:rPr>
          <w:sz w:val="26"/>
          <w:szCs w:val="26"/>
        </w:rPr>
        <w:t>As the proponent of a rule or order, the Complainant in this proceeding bear</w:t>
      </w:r>
      <w:r w:rsidR="00385380" w:rsidRPr="004B577F">
        <w:rPr>
          <w:sz w:val="26"/>
          <w:szCs w:val="26"/>
        </w:rPr>
        <w:t>s</w:t>
      </w:r>
      <w:r w:rsidRPr="004B577F">
        <w:rPr>
          <w:sz w:val="26"/>
          <w:szCs w:val="26"/>
        </w:rPr>
        <w:t xml:space="preserve"> the burden of proof pursuant to Section 332(a) of the </w:t>
      </w:r>
      <w:r w:rsidR="00CC6252">
        <w:rPr>
          <w:sz w:val="26"/>
          <w:szCs w:val="26"/>
        </w:rPr>
        <w:t>Public Utility Code (</w:t>
      </w:r>
      <w:r w:rsidR="00136287" w:rsidRPr="004B577F">
        <w:rPr>
          <w:sz w:val="26"/>
          <w:szCs w:val="26"/>
        </w:rPr>
        <w:t>Code</w:t>
      </w:r>
      <w:r w:rsidR="00CC6252">
        <w:rPr>
          <w:sz w:val="26"/>
          <w:szCs w:val="26"/>
        </w:rPr>
        <w:t>)</w:t>
      </w:r>
      <w:r w:rsidRPr="004B577F">
        <w:rPr>
          <w:sz w:val="26"/>
          <w:szCs w:val="26"/>
        </w:rPr>
        <w:t xml:space="preserve">.  </w:t>
      </w:r>
      <w:proofErr w:type="gramStart"/>
      <w:r w:rsidRPr="004B577F">
        <w:rPr>
          <w:sz w:val="26"/>
          <w:szCs w:val="26"/>
        </w:rPr>
        <w:t>66 Pa. C.S. § 332(a).</w:t>
      </w:r>
      <w:proofErr w:type="gramEnd"/>
      <w:r w:rsidRPr="004B577F">
        <w:rPr>
          <w:sz w:val="26"/>
          <w:szCs w:val="26"/>
        </w:rPr>
        <w:t xml:space="preserve">  To establish a sufficient case and satisfy the burden of proof, the Complainant</w:t>
      </w:r>
      <w:r w:rsidR="00B3314E" w:rsidRPr="004B577F">
        <w:rPr>
          <w:sz w:val="26"/>
          <w:szCs w:val="26"/>
        </w:rPr>
        <w:t xml:space="preserve">, as the party seeking relief, </w:t>
      </w:r>
      <w:r w:rsidRPr="004B577F">
        <w:rPr>
          <w:sz w:val="26"/>
          <w:szCs w:val="26"/>
        </w:rPr>
        <w:t xml:space="preserve">must show that </w:t>
      </w:r>
      <w:r w:rsidR="002E0A80" w:rsidRPr="004B577F">
        <w:rPr>
          <w:sz w:val="26"/>
          <w:szCs w:val="26"/>
        </w:rPr>
        <w:t>PPL</w:t>
      </w:r>
      <w:r w:rsidRPr="004B577F">
        <w:rPr>
          <w:sz w:val="26"/>
          <w:szCs w:val="26"/>
        </w:rPr>
        <w:t xml:space="preserve"> is responsible or accountable for the problem described in the Complaint.  </w:t>
      </w:r>
      <w:proofErr w:type="gramStart"/>
      <w:r w:rsidRPr="004B577F">
        <w:rPr>
          <w:i/>
          <w:sz w:val="26"/>
          <w:szCs w:val="26"/>
        </w:rPr>
        <w:t>Patterson v.</w:t>
      </w:r>
      <w:proofErr w:type="gramEnd"/>
      <w:r w:rsidRPr="004B577F">
        <w:rPr>
          <w:i/>
          <w:sz w:val="26"/>
          <w:szCs w:val="26"/>
        </w:rPr>
        <w:t xml:space="preserve"> </w:t>
      </w:r>
      <w:proofErr w:type="gramStart"/>
      <w:r w:rsidRPr="004B577F">
        <w:rPr>
          <w:i/>
          <w:sz w:val="26"/>
          <w:szCs w:val="26"/>
        </w:rPr>
        <w:t>The Bell Telephone Company of Pennsylvania</w:t>
      </w:r>
      <w:r w:rsidRPr="004B577F">
        <w:rPr>
          <w:sz w:val="26"/>
          <w:szCs w:val="26"/>
        </w:rPr>
        <w:t>, 72 Pa. P.U.C. 196 (1990).</w:t>
      </w:r>
      <w:proofErr w:type="gramEnd"/>
      <w:r w:rsidRPr="004B577F">
        <w:rPr>
          <w:sz w:val="26"/>
          <w:szCs w:val="26"/>
        </w:rPr>
        <w:t xml:space="preserve">  Such a showing must be by a preponderance of the evidence.  </w:t>
      </w:r>
      <w:proofErr w:type="gramStart"/>
      <w:r w:rsidRPr="004B577F">
        <w:rPr>
          <w:i/>
          <w:iCs/>
          <w:sz w:val="26"/>
          <w:szCs w:val="26"/>
        </w:rPr>
        <w:t xml:space="preserve">Samuel J. </w:t>
      </w:r>
      <w:proofErr w:type="spellStart"/>
      <w:r w:rsidRPr="004B577F">
        <w:rPr>
          <w:i/>
          <w:iCs/>
          <w:sz w:val="26"/>
          <w:szCs w:val="26"/>
        </w:rPr>
        <w:t>Lansberry</w:t>
      </w:r>
      <w:proofErr w:type="spellEnd"/>
      <w:r w:rsidRPr="004B577F">
        <w:rPr>
          <w:i/>
          <w:iCs/>
          <w:sz w:val="26"/>
          <w:szCs w:val="26"/>
        </w:rPr>
        <w:t>, Inc. v. Pa. PUC</w:t>
      </w:r>
      <w:r w:rsidRPr="004B577F">
        <w:rPr>
          <w:sz w:val="26"/>
          <w:szCs w:val="26"/>
        </w:rPr>
        <w:t xml:space="preserve">, 578 A.2d 600 (Pa. </w:t>
      </w:r>
      <w:proofErr w:type="spellStart"/>
      <w:r w:rsidRPr="004B577F">
        <w:rPr>
          <w:sz w:val="26"/>
          <w:szCs w:val="26"/>
        </w:rPr>
        <w:t>Cmwlth</w:t>
      </w:r>
      <w:proofErr w:type="spellEnd"/>
      <w:r w:rsidRPr="004B577F">
        <w:rPr>
          <w:sz w:val="26"/>
          <w:szCs w:val="26"/>
        </w:rPr>
        <w:t xml:space="preserve">. 1990), </w:t>
      </w:r>
      <w:proofErr w:type="spellStart"/>
      <w:r w:rsidRPr="004B577F">
        <w:rPr>
          <w:i/>
          <w:sz w:val="26"/>
          <w:szCs w:val="26"/>
        </w:rPr>
        <w:t>alloc</w:t>
      </w:r>
      <w:proofErr w:type="spellEnd"/>
      <w:r w:rsidRPr="004B577F">
        <w:rPr>
          <w:i/>
          <w:sz w:val="26"/>
          <w:szCs w:val="26"/>
        </w:rPr>
        <w:t>.</w:t>
      </w:r>
      <w:proofErr w:type="gramEnd"/>
      <w:r w:rsidRPr="004B577F">
        <w:rPr>
          <w:i/>
          <w:sz w:val="26"/>
          <w:szCs w:val="26"/>
        </w:rPr>
        <w:t xml:space="preserve"> </w:t>
      </w:r>
      <w:proofErr w:type="gramStart"/>
      <w:r w:rsidRPr="004B577F">
        <w:rPr>
          <w:i/>
          <w:sz w:val="26"/>
          <w:szCs w:val="26"/>
        </w:rPr>
        <w:t>denied</w:t>
      </w:r>
      <w:proofErr w:type="gramEnd"/>
      <w:r w:rsidRPr="004B577F">
        <w:rPr>
          <w:i/>
          <w:sz w:val="26"/>
          <w:szCs w:val="26"/>
        </w:rPr>
        <w:t>,</w:t>
      </w:r>
      <w:r w:rsidRPr="004B577F">
        <w:rPr>
          <w:sz w:val="26"/>
          <w:szCs w:val="26"/>
        </w:rPr>
        <w:t xml:space="preserve"> 529 Pa. 654, 602 A.2d 863 (1992).  That is, the Complainant’s evidence must be more convincing, by even the smallest</w:t>
      </w:r>
      <w:r w:rsidR="00052FA9" w:rsidRPr="004B577F">
        <w:rPr>
          <w:sz w:val="26"/>
          <w:szCs w:val="26"/>
        </w:rPr>
        <w:t xml:space="preserve"> amount, than that presented by </w:t>
      </w:r>
      <w:r w:rsidR="002E0A80" w:rsidRPr="004B577F">
        <w:rPr>
          <w:sz w:val="26"/>
          <w:szCs w:val="26"/>
        </w:rPr>
        <w:t>PPL</w:t>
      </w:r>
      <w:r w:rsidRPr="004B577F">
        <w:rPr>
          <w:sz w:val="26"/>
          <w:szCs w:val="26"/>
        </w:rPr>
        <w:t xml:space="preserve">.  </w:t>
      </w:r>
      <w:proofErr w:type="gramStart"/>
      <w:r w:rsidRPr="004B577F">
        <w:rPr>
          <w:i/>
          <w:sz w:val="26"/>
          <w:szCs w:val="26"/>
        </w:rPr>
        <w:t>Se-Ling Hosiery, Inc. v. Margulies</w:t>
      </w:r>
      <w:r w:rsidRPr="004B577F">
        <w:rPr>
          <w:sz w:val="26"/>
          <w:szCs w:val="26"/>
        </w:rPr>
        <w:t>, 364 Pa. 45, 70 A.2d 854 (1950).</w:t>
      </w:r>
      <w:proofErr w:type="gramEnd"/>
      <w:r w:rsidRPr="004B577F">
        <w:rPr>
          <w:sz w:val="26"/>
          <w:szCs w:val="26"/>
        </w:rPr>
        <w:t xml:space="preserve">  Additionally, this Commission’s decision must be supported by substantial evidence in the record.  More is required than a mere trace of evidence or a suspicion of the existence of a fact sought to be established.  </w:t>
      </w:r>
      <w:proofErr w:type="gramStart"/>
      <w:r w:rsidRPr="004B577F">
        <w:rPr>
          <w:i/>
          <w:sz w:val="26"/>
          <w:szCs w:val="26"/>
        </w:rPr>
        <w:t xml:space="preserve">Norfolk &amp; Western Ry. Co. v. Pa. PUC, </w:t>
      </w:r>
      <w:r w:rsidRPr="004B577F">
        <w:rPr>
          <w:sz w:val="26"/>
          <w:szCs w:val="26"/>
        </w:rPr>
        <w:t>489 Pa. 109, 413 A.2d 1037 (1980).</w:t>
      </w:r>
      <w:proofErr w:type="gramEnd"/>
    </w:p>
    <w:p w:rsidR="0099563B" w:rsidRPr="004B577F" w:rsidRDefault="0099563B" w:rsidP="00690848">
      <w:pPr>
        <w:spacing w:line="360" w:lineRule="auto"/>
        <w:ind w:firstLine="1440"/>
        <w:rPr>
          <w:sz w:val="26"/>
          <w:szCs w:val="26"/>
        </w:rPr>
      </w:pPr>
    </w:p>
    <w:p w:rsidR="00D83164" w:rsidRPr="004B577F" w:rsidRDefault="00D83164" w:rsidP="00690848">
      <w:pPr>
        <w:spacing w:line="360" w:lineRule="auto"/>
        <w:ind w:firstLine="1440"/>
        <w:rPr>
          <w:iCs/>
          <w:sz w:val="26"/>
          <w:szCs w:val="26"/>
        </w:rPr>
      </w:pPr>
      <w:r w:rsidRPr="004B577F">
        <w:rPr>
          <w:sz w:val="26"/>
          <w:szCs w:val="26"/>
        </w:rPr>
        <w:t>Upon the presentation by the Complainant of evidence sufficient to initially satisfy the burden of proof, the burden of going forward with the evi</w:t>
      </w:r>
      <w:r w:rsidR="003B0C5F" w:rsidRPr="004B577F">
        <w:rPr>
          <w:sz w:val="26"/>
          <w:szCs w:val="26"/>
        </w:rPr>
        <w:t>dence</w:t>
      </w:r>
      <w:r w:rsidRPr="004B577F">
        <w:rPr>
          <w:sz w:val="26"/>
          <w:szCs w:val="26"/>
        </w:rPr>
        <w:t xml:space="preserve"> to rebut the evidenc</w:t>
      </w:r>
      <w:r w:rsidR="003B0C5F" w:rsidRPr="004B577F">
        <w:rPr>
          <w:sz w:val="26"/>
          <w:szCs w:val="26"/>
        </w:rPr>
        <w:t>e of the Complainant</w:t>
      </w:r>
      <w:r w:rsidR="002E0A80" w:rsidRPr="004B577F">
        <w:rPr>
          <w:sz w:val="26"/>
          <w:szCs w:val="26"/>
        </w:rPr>
        <w:t xml:space="preserve"> shifts to PPL</w:t>
      </w:r>
      <w:r w:rsidR="00052FA9" w:rsidRPr="004B577F">
        <w:rPr>
          <w:sz w:val="26"/>
          <w:szCs w:val="26"/>
        </w:rPr>
        <w:t xml:space="preserve">.  If the evidence presented by </w:t>
      </w:r>
      <w:r w:rsidR="002E0A80" w:rsidRPr="004B577F">
        <w:rPr>
          <w:sz w:val="26"/>
          <w:szCs w:val="26"/>
        </w:rPr>
        <w:t>PPL</w:t>
      </w:r>
      <w:r w:rsidRPr="004B577F">
        <w:rPr>
          <w:sz w:val="26"/>
          <w:szCs w:val="26"/>
        </w:rPr>
        <w:t xml:space="preserve"> </w:t>
      </w:r>
      <w:r w:rsidR="00CC1B18" w:rsidRPr="004B577F">
        <w:rPr>
          <w:sz w:val="26"/>
          <w:szCs w:val="26"/>
        </w:rPr>
        <w:t xml:space="preserve">is </w:t>
      </w:r>
      <w:r w:rsidRPr="004B577F">
        <w:rPr>
          <w:sz w:val="26"/>
          <w:szCs w:val="26"/>
        </w:rPr>
        <w:t>of co-equal weight, the Complainant ha</w:t>
      </w:r>
      <w:r w:rsidR="00843DF5" w:rsidRPr="004B577F">
        <w:rPr>
          <w:sz w:val="26"/>
          <w:szCs w:val="26"/>
        </w:rPr>
        <w:t>s</w:t>
      </w:r>
      <w:r w:rsidRPr="004B577F">
        <w:rPr>
          <w:sz w:val="26"/>
          <w:szCs w:val="26"/>
        </w:rPr>
        <w:t xml:space="preserve"> not satisfied </w:t>
      </w:r>
      <w:r w:rsidR="00843DF5" w:rsidRPr="004B577F">
        <w:rPr>
          <w:sz w:val="26"/>
          <w:szCs w:val="26"/>
        </w:rPr>
        <w:t>its</w:t>
      </w:r>
      <w:r w:rsidRPr="004B577F">
        <w:rPr>
          <w:sz w:val="26"/>
          <w:szCs w:val="26"/>
        </w:rPr>
        <w:t xml:space="preserve"> burden of proof.  The Complainant now ha</w:t>
      </w:r>
      <w:r w:rsidR="00843DF5" w:rsidRPr="004B577F">
        <w:rPr>
          <w:sz w:val="26"/>
          <w:szCs w:val="26"/>
        </w:rPr>
        <w:t>s</w:t>
      </w:r>
      <w:r w:rsidRPr="004B577F">
        <w:rPr>
          <w:sz w:val="26"/>
          <w:szCs w:val="26"/>
        </w:rPr>
        <w:t xml:space="preserve"> to provide some addit</w:t>
      </w:r>
      <w:r w:rsidR="002E0A80" w:rsidRPr="004B577F">
        <w:rPr>
          <w:sz w:val="26"/>
          <w:szCs w:val="26"/>
        </w:rPr>
        <w:t>ional evidence to rebut that of PPL</w:t>
      </w:r>
      <w:r w:rsidRPr="004B577F">
        <w:rPr>
          <w:sz w:val="26"/>
          <w:szCs w:val="26"/>
        </w:rPr>
        <w:t xml:space="preserve">. </w:t>
      </w:r>
      <w:r w:rsidRPr="004B577F">
        <w:rPr>
          <w:iCs/>
          <w:sz w:val="26"/>
          <w:szCs w:val="26"/>
        </w:rPr>
        <w:t xml:space="preserve"> </w:t>
      </w:r>
      <w:r w:rsidRPr="004B577F">
        <w:rPr>
          <w:i/>
          <w:iCs/>
          <w:sz w:val="26"/>
          <w:szCs w:val="26"/>
        </w:rPr>
        <w:t>Burleson v. Pa. PUC</w:t>
      </w:r>
      <w:r w:rsidRPr="004B577F">
        <w:rPr>
          <w:iCs/>
          <w:sz w:val="26"/>
          <w:szCs w:val="26"/>
        </w:rPr>
        <w:t xml:space="preserve">, 443 A.2d 1373 (Pa. </w:t>
      </w:r>
      <w:proofErr w:type="spellStart"/>
      <w:r w:rsidRPr="004B577F">
        <w:rPr>
          <w:iCs/>
          <w:sz w:val="26"/>
          <w:szCs w:val="26"/>
        </w:rPr>
        <w:t>Cmwlth</w:t>
      </w:r>
      <w:proofErr w:type="spellEnd"/>
      <w:r w:rsidRPr="004B577F">
        <w:rPr>
          <w:iCs/>
          <w:sz w:val="26"/>
          <w:szCs w:val="26"/>
        </w:rPr>
        <w:t xml:space="preserve">. 1982), </w:t>
      </w:r>
      <w:r w:rsidRPr="004B577F">
        <w:rPr>
          <w:i/>
          <w:iCs/>
          <w:sz w:val="26"/>
          <w:szCs w:val="26"/>
        </w:rPr>
        <w:t>aff’d</w:t>
      </w:r>
      <w:r w:rsidRPr="004B577F">
        <w:rPr>
          <w:iCs/>
          <w:sz w:val="26"/>
          <w:szCs w:val="26"/>
        </w:rPr>
        <w:t>, 501 Pa. 433, 461 A.2d 1234 (1983).</w:t>
      </w:r>
    </w:p>
    <w:p w:rsidR="0099563B" w:rsidRDefault="0099563B" w:rsidP="00690848">
      <w:pPr>
        <w:spacing w:line="360" w:lineRule="auto"/>
        <w:ind w:firstLine="1440"/>
        <w:rPr>
          <w:sz w:val="26"/>
          <w:szCs w:val="26"/>
        </w:rPr>
      </w:pPr>
      <w:r w:rsidRPr="004B577F">
        <w:rPr>
          <w:sz w:val="26"/>
          <w:szCs w:val="26"/>
        </w:rPr>
        <w:lastRenderedPageBreak/>
        <w:t>While the burden of persuasion may shift back and forth during a proceeding, the burden of proof never shifts.</w:t>
      </w:r>
      <w:r w:rsidR="00FD67A7" w:rsidRPr="004B577F">
        <w:rPr>
          <w:sz w:val="26"/>
          <w:szCs w:val="26"/>
        </w:rPr>
        <w:t xml:space="preserve"> </w:t>
      </w:r>
      <w:r w:rsidRPr="004B577F">
        <w:rPr>
          <w:sz w:val="26"/>
          <w:szCs w:val="26"/>
        </w:rPr>
        <w:t xml:space="preserve"> The burden of proof always remains on the party seeking affirmative relief from the Commission</w:t>
      </w:r>
      <w:r w:rsidRPr="004B577F">
        <w:rPr>
          <w:i/>
          <w:sz w:val="26"/>
          <w:szCs w:val="26"/>
        </w:rPr>
        <w:t xml:space="preserve">.  </w:t>
      </w:r>
      <w:proofErr w:type="spellStart"/>
      <w:r w:rsidRPr="004B577F">
        <w:rPr>
          <w:i/>
          <w:sz w:val="26"/>
          <w:szCs w:val="26"/>
        </w:rPr>
        <w:t>Milkie</w:t>
      </w:r>
      <w:proofErr w:type="spellEnd"/>
      <w:r w:rsidRPr="004B577F">
        <w:rPr>
          <w:i/>
          <w:sz w:val="26"/>
          <w:szCs w:val="26"/>
        </w:rPr>
        <w:t xml:space="preserve"> v. Pa</w:t>
      </w:r>
      <w:r w:rsidR="004F098B" w:rsidRPr="004B577F">
        <w:rPr>
          <w:i/>
          <w:sz w:val="26"/>
          <w:szCs w:val="26"/>
        </w:rPr>
        <w:t>.</w:t>
      </w:r>
      <w:r w:rsidRPr="004B577F">
        <w:rPr>
          <w:i/>
          <w:sz w:val="26"/>
          <w:szCs w:val="26"/>
        </w:rPr>
        <w:t xml:space="preserve"> PUC,</w:t>
      </w:r>
      <w:r w:rsidRPr="004B577F">
        <w:rPr>
          <w:sz w:val="26"/>
          <w:szCs w:val="26"/>
        </w:rPr>
        <w:t xml:space="preserve"> 768 A.2d 1217 (Pa. </w:t>
      </w:r>
      <w:proofErr w:type="spellStart"/>
      <w:r w:rsidRPr="004B577F">
        <w:rPr>
          <w:sz w:val="26"/>
          <w:szCs w:val="26"/>
        </w:rPr>
        <w:t>Cmwlth</w:t>
      </w:r>
      <w:proofErr w:type="spellEnd"/>
      <w:r w:rsidRPr="004B577F">
        <w:rPr>
          <w:sz w:val="26"/>
          <w:szCs w:val="26"/>
        </w:rPr>
        <w:t xml:space="preserve">. 2001).  </w:t>
      </w:r>
    </w:p>
    <w:p w:rsidR="00E016B2" w:rsidRDefault="00E016B2" w:rsidP="00690848">
      <w:pPr>
        <w:spacing w:line="360" w:lineRule="auto"/>
        <w:ind w:firstLine="1440"/>
        <w:rPr>
          <w:sz w:val="26"/>
          <w:szCs w:val="26"/>
        </w:rPr>
      </w:pPr>
    </w:p>
    <w:p w:rsidR="00E016B2" w:rsidRDefault="00D71549" w:rsidP="00690848">
      <w:pPr>
        <w:spacing w:line="360" w:lineRule="auto"/>
        <w:ind w:firstLine="1440"/>
        <w:rPr>
          <w:sz w:val="26"/>
          <w:szCs w:val="26"/>
        </w:rPr>
      </w:pPr>
      <w:r>
        <w:rPr>
          <w:sz w:val="26"/>
          <w:szCs w:val="26"/>
        </w:rPr>
        <w:t>Additionally, f</w:t>
      </w:r>
      <w:r w:rsidR="00E016B2">
        <w:rPr>
          <w:sz w:val="26"/>
          <w:szCs w:val="26"/>
        </w:rPr>
        <w:t xml:space="preserve">or issues involving disputes between a public utility and its customers regarding </w:t>
      </w:r>
      <w:r>
        <w:rPr>
          <w:sz w:val="26"/>
          <w:szCs w:val="26"/>
        </w:rPr>
        <w:t xml:space="preserve">an </w:t>
      </w:r>
      <w:r w:rsidR="00E016B2">
        <w:rPr>
          <w:sz w:val="26"/>
          <w:szCs w:val="26"/>
        </w:rPr>
        <w:t>inability to pay</w:t>
      </w:r>
      <w:r>
        <w:rPr>
          <w:sz w:val="26"/>
          <w:szCs w:val="26"/>
        </w:rPr>
        <w:t xml:space="preserve">, </w:t>
      </w:r>
      <w:r w:rsidR="00CD2CC8">
        <w:rPr>
          <w:sz w:val="26"/>
          <w:szCs w:val="26"/>
        </w:rPr>
        <w:t xml:space="preserve">Section 1405 of </w:t>
      </w:r>
      <w:r>
        <w:rPr>
          <w:sz w:val="26"/>
          <w:szCs w:val="26"/>
        </w:rPr>
        <w:t>the Code</w:t>
      </w:r>
      <w:r w:rsidR="00CD2CC8">
        <w:rPr>
          <w:sz w:val="26"/>
          <w:szCs w:val="26"/>
        </w:rPr>
        <w:t>, 66 Pa. C.S. § 1405,</w:t>
      </w:r>
      <w:r>
        <w:rPr>
          <w:sz w:val="26"/>
          <w:szCs w:val="26"/>
        </w:rPr>
        <w:t xml:space="preserve"> </w:t>
      </w:r>
      <w:r w:rsidR="00CD2CC8">
        <w:rPr>
          <w:sz w:val="26"/>
          <w:szCs w:val="26"/>
        </w:rPr>
        <w:t>which is quoted below</w:t>
      </w:r>
      <w:r w:rsidR="009E57CC">
        <w:rPr>
          <w:sz w:val="26"/>
          <w:szCs w:val="26"/>
        </w:rPr>
        <w:t xml:space="preserve"> in pertinent part</w:t>
      </w:r>
      <w:r w:rsidR="00CD2CC8">
        <w:rPr>
          <w:sz w:val="26"/>
          <w:szCs w:val="26"/>
        </w:rPr>
        <w:t xml:space="preserve">, </w:t>
      </w:r>
      <w:r>
        <w:rPr>
          <w:sz w:val="26"/>
          <w:szCs w:val="26"/>
        </w:rPr>
        <w:t>allows the Commission to establish</w:t>
      </w:r>
      <w:r w:rsidR="00E016B2">
        <w:rPr>
          <w:sz w:val="26"/>
          <w:szCs w:val="26"/>
        </w:rPr>
        <w:t xml:space="preserve"> a payment arrangement</w:t>
      </w:r>
      <w:r w:rsidR="008161DF">
        <w:rPr>
          <w:sz w:val="26"/>
          <w:szCs w:val="26"/>
        </w:rPr>
        <w:t>.</w:t>
      </w:r>
    </w:p>
    <w:p w:rsidR="00D71549" w:rsidRPr="004B577F" w:rsidRDefault="00D71549" w:rsidP="00690848">
      <w:pPr>
        <w:spacing w:line="360" w:lineRule="auto"/>
        <w:ind w:firstLine="1440"/>
        <w:rPr>
          <w:sz w:val="26"/>
          <w:szCs w:val="26"/>
        </w:rPr>
      </w:pPr>
    </w:p>
    <w:p w:rsidR="008B6098" w:rsidRPr="008B6098" w:rsidRDefault="008B6098" w:rsidP="008B6098">
      <w:pPr>
        <w:ind w:firstLine="1440"/>
        <w:rPr>
          <w:sz w:val="26"/>
          <w:szCs w:val="26"/>
        </w:rPr>
      </w:pPr>
      <w:r w:rsidRPr="008B6098">
        <w:rPr>
          <w:sz w:val="26"/>
          <w:szCs w:val="26"/>
        </w:rPr>
        <w:t xml:space="preserve">§ 1405.  Payment </w:t>
      </w:r>
      <w:r w:rsidR="00CE4394">
        <w:rPr>
          <w:sz w:val="26"/>
          <w:szCs w:val="26"/>
        </w:rPr>
        <w:t>arrangements</w:t>
      </w:r>
    </w:p>
    <w:p w:rsidR="008B6098" w:rsidRPr="008B6098" w:rsidRDefault="008B6098" w:rsidP="008B6098">
      <w:pPr>
        <w:ind w:firstLine="1440"/>
        <w:rPr>
          <w:sz w:val="26"/>
          <w:szCs w:val="26"/>
        </w:rPr>
      </w:pPr>
    </w:p>
    <w:p w:rsidR="008B6098" w:rsidRPr="009E57CC" w:rsidRDefault="009E57CC" w:rsidP="009E57CC">
      <w:pPr>
        <w:ind w:left="1530" w:right="1440"/>
        <w:rPr>
          <w:sz w:val="26"/>
          <w:szCs w:val="26"/>
        </w:rPr>
      </w:pPr>
      <w:r>
        <w:rPr>
          <w:sz w:val="26"/>
          <w:szCs w:val="26"/>
        </w:rPr>
        <w:tab/>
        <w:t>(a)</w:t>
      </w:r>
      <w:r>
        <w:rPr>
          <w:sz w:val="26"/>
          <w:szCs w:val="26"/>
        </w:rPr>
        <w:tab/>
      </w:r>
      <w:r w:rsidR="008B6098" w:rsidRPr="009E57CC">
        <w:rPr>
          <w:sz w:val="26"/>
          <w:szCs w:val="26"/>
        </w:rPr>
        <w:t xml:space="preserve">General rule. – The commission is authorized to investigate complaints regarding payment disputes between a public utility, applicants and customers.  The commission is authorized to establish payment </w:t>
      </w:r>
      <w:r w:rsidR="00CE4394">
        <w:rPr>
          <w:sz w:val="26"/>
          <w:szCs w:val="26"/>
        </w:rPr>
        <w:t xml:space="preserve">arrangements </w:t>
      </w:r>
      <w:r w:rsidR="008B6098" w:rsidRPr="009E57CC">
        <w:rPr>
          <w:sz w:val="26"/>
          <w:szCs w:val="26"/>
        </w:rPr>
        <w:t>between a public utility, customers and applicants within the limits established by this chapter.</w:t>
      </w:r>
    </w:p>
    <w:p w:rsidR="008B6098" w:rsidRPr="008B6098" w:rsidRDefault="008B6098" w:rsidP="00CC15D9">
      <w:pPr>
        <w:pStyle w:val="ListParagraph"/>
        <w:ind w:left="1440" w:right="1440"/>
        <w:rPr>
          <w:sz w:val="26"/>
          <w:szCs w:val="26"/>
        </w:rPr>
      </w:pPr>
    </w:p>
    <w:p w:rsidR="008B6098" w:rsidRPr="008B6098" w:rsidRDefault="009E57CC" w:rsidP="009E57CC">
      <w:pPr>
        <w:pStyle w:val="ListParagraph"/>
        <w:ind w:left="1620" w:right="1440"/>
        <w:rPr>
          <w:sz w:val="26"/>
          <w:szCs w:val="26"/>
        </w:rPr>
      </w:pPr>
      <w:r>
        <w:rPr>
          <w:sz w:val="26"/>
          <w:szCs w:val="26"/>
        </w:rPr>
        <w:tab/>
        <w:t>(b)</w:t>
      </w:r>
      <w:r>
        <w:rPr>
          <w:sz w:val="26"/>
          <w:szCs w:val="26"/>
        </w:rPr>
        <w:tab/>
      </w:r>
      <w:r w:rsidR="008B6098" w:rsidRPr="008B6098">
        <w:rPr>
          <w:sz w:val="26"/>
          <w:szCs w:val="26"/>
        </w:rPr>
        <w:t xml:space="preserve">Length of payment </w:t>
      </w:r>
      <w:r w:rsidR="00CE4394">
        <w:rPr>
          <w:sz w:val="26"/>
          <w:szCs w:val="26"/>
        </w:rPr>
        <w:t>arrangements</w:t>
      </w:r>
      <w:r w:rsidR="008B6098" w:rsidRPr="008B6098">
        <w:rPr>
          <w:sz w:val="26"/>
          <w:szCs w:val="26"/>
        </w:rPr>
        <w:t xml:space="preserve">. – The length of time for a customer to resolve an unpaid balance on an account that is subject to a payment </w:t>
      </w:r>
      <w:r w:rsidR="003C1679">
        <w:rPr>
          <w:sz w:val="26"/>
          <w:szCs w:val="26"/>
        </w:rPr>
        <w:t>arrangement</w:t>
      </w:r>
      <w:r w:rsidR="008B6098" w:rsidRPr="008B6098">
        <w:rPr>
          <w:sz w:val="26"/>
          <w:szCs w:val="26"/>
        </w:rPr>
        <w:t xml:space="preserve"> that is investigated by the commission and is entered into by a public utility and a customer shall not extend beyond:</w:t>
      </w:r>
    </w:p>
    <w:p w:rsidR="008B6098" w:rsidRPr="008B6098" w:rsidRDefault="008B6098" w:rsidP="00CC15D9">
      <w:pPr>
        <w:pStyle w:val="ListParagraph"/>
        <w:ind w:left="1440" w:right="1440"/>
        <w:rPr>
          <w:sz w:val="26"/>
          <w:szCs w:val="26"/>
        </w:rPr>
      </w:pPr>
    </w:p>
    <w:p w:rsidR="008B6098" w:rsidRDefault="009E57CC" w:rsidP="009E57CC">
      <w:pPr>
        <w:ind w:left="2160" w:right="1440"/>
        <w:rPr>
          <w:sz w:val="26"/>
          <w:szCs w:val="26"/>
        </w:rPr>
      </w:pPr>
      <w:r>
        <w:rPr>
          <w:b/>
          <w:sz w:val="26"/>
          <w:szCs w:val="26"/>
        </w:rPr>
        <w:t xml:space="preserve">(1) </w:t>
      </w:r>
      <w:r w:rsidR="008B6098" w:rsidRPr="009E57CC">
        <w:rPr>
          <w:b/>
          <w:sz w:val="26"/>
          <w:szCs w:val="26"/>
        </w:rPr>
        <w:t xml:space="preserve"> Five years for customers with a gross monthly household income level not exceeding 150% of the federal poverty level.</w:t>
      </w:r>
      <w:r w:rsidR="008B6098" w:rsidRPr="009E57CC">
        <w:rPr>
          <w:sz w:val="26"/>
          <w:szCs w:val="26"/>
        </w:rPr>
        <w:t xml:space="preserve"> </w:t>
      </w:r>
    </w:p>
    <w:p w:rsidR="009E57CC" w:rsidRDefault="009E57CC" w:rsidP="009E57CC">
      <w:pPr>
        <w:ind w:left="2160" w:right="1440"/>
        <w:rPr>
          <w:sz w:val="26"/>
          <w:szCs w:val="26"/>
        </w:rPr>
      </w:pPr>
    </w:p>
    <w:p w:rsidR="009E57CC" w:rsidRPr="009E57CC" w:rsidRDefault="009E57CC" w:rsidP="009E57CC">
      <w:pPr>
        <w:ind w:left="2160" w:right="1440"/>
        <w:jc w:val="center"/>
        <w:rPr>
          <w:sz w:val="26"/>
          <w:szCs w:val="26"/>
        </w:rPr>
      </w:pPr>
      <w:r>
        <w:rPr>
          <w:sz w:val="26"/>
          <w:szCs w:val="26"/>
        </w:rPr>
        <w:t>* * *</w:t>
      </w:r>
    </w:p>
    <w:p w:rsidR="004A6DF3" w:rsidRPr="004A6DF3" w:rsidRDefault="004A6DF3" w:rsidP="004A6DF3">
      <w:pPr>
        <w:pStyle w:val="ListParagraph"/>
        <w:ind w:left="1440" w:right="1440"/>
        <w:rPr>
          <w:sz w:val="26"/>
          <w:szCs w:val="26"/>
        </w:rPr>
      </w:pPr>
    </w:p>
    <w:p w:rsidR="009E57CC" w:rsidRDefault="009E57CC" w:rsidP="009E57CC">
      <w:pPr>
        <w:pStyle w:val="ListParagraph"/>
        <w:ind w:left="1620" w:right="1440"/>
        <w:rPr>
          <w:b/>
          <w:sz w:val="26"/>
          <w:szCs w:val="26"/>
        </w:rPr>
      </w:pPr>
      <w:r>
        <w:rPr>
          <w:sz w:val="26"/>
          <w:szCs w:val="26"/>
        </w:rPr>
        <w:tab/>
        <w:t>(d)</w:t>
      </w:r>
      <w:r>
        <w:rPr>
          <w:sz w:val="26"/>
          <w:szCs w:val="26"/>
        </w:rPr>
        <w:tab/>
      </w:r>
      <w:r w:rsidR="008B6098" w:rsidRPr="004A6DF3">
        <w:rPr>
          <w:sz w:val="26"/>
          <w:szCs w:val="26"/>
        </w:rPr>
        <w:t xml:space="preserve">Number of payment </w:t>
      </w:r>
      <w:r w:rsidR="00CE4394">
        <w:rPr>
          <w:sz w:val="26"/>
          <w:szCs w:val="26"/>
        </w:rPr>
        <w:t>arrangements</w:t>
      </w:r>
      <w:r w:rsidR="008B6098" w:rsidRPr="004A6DF3">
        <w:rPr>
          <w:sz w:val="26"/>
          <w:szCs w:val="26"/>
        </w:rPr>
        <w:t xml:space="preserve">. – Absent a change in income, </w:t>
      </w:r>
      <w:r w:rsidR="008B6098" w:rsidRPr="004A6DF3">
        <w:rPr>
          <w:b/>
          <w:sz w:val="26"/>
          <w:szCs w:val="26"/>
        </w:rPr>
        <w:t>the commission shall not establish or order a public utility to establish a second or subsequent payment a</w:t>
      </w:r>
      <w:r>
        <w:rPr>
          <w:b/>
          <w:sz w:val="26"/>
          <w:szCs w:val="26"/>
        </w:rPr>
        <w:t xml:space="preserve">rrangement </w:t>
      </w:r>
      <w:r w:rsidR="008B6098" w:rsidRPr="004A6DF3">
        <w:rPr>
          <w:b/>
          <w:sz w:val="26"/>
          <w:szCs w:val="26"/>
        </w:rPr>
        <w:t xml:space="preserve">if a customer has defaulted on a previous payment </w:t>
      </w:r>
      <w:r>
        <w:rPr>
          <w:b/>
          <w:sz w:val="26"/>
          <w:szCs w:val="26"/>
        </w:rPr>
        <w:t>arrangement established by a commission order or decision</w:t>
      </w:r>
      <w:r w:rsidR="008B6098" w:rsidRPr="004A6DF3">
        <w:rPr>
          <w:b/>
          <w:sz w:val="26"/>
          <w:szCs w:val="26"/>
        </w:rPr>
        <w:t>.</w:t>
      </w:r>
    </w:p>
    <w:p w:rsidR="009E57CC" w:rsidRDefault="009E57CC" w:rsidP="009E57CC">
      <w:pPr>
        <w:pStyle w:val="ListParagraph"/>
        <w:ind w:left="1620" w:right="1440"/>
        <w:rPr>
          <w:b/>
          <w:sz w:val="26"/>
          <w:szCs w:val="26"/>
        </w:rPr>
      </w:pPr>
    </w:p>
    <w:p w:rsidR="008B6098" w:rsidRPr="004A6DF3" w:rsidRDefault="009E57CC" w:rsidP="009E57CC">
      <w:pPr>
        <w:pStyle w:val="ListParagraph"/>
        <w:ind w:left="1620" w:right="1440"/>
        <w:jc w:val="center"/>
        <w:rPr>
          <w:sz w:val="26"/>
          <w:szCs w:val="26"/>
        </w:rPr>
      </w:pPr>
      <w:r>
        <w:rPr>
          <w:b/>
          <w:sz w:val="26"/>
          <w:szCs w:val="26"/>
        </w:rPr>
        <w:lastRenderedPageBreak/>
        <w:t>* * *</w:t>
      </w:r>
    </w:p>
    <w:p w:rsidR="008B6098" w:rsidRPr="008B6098" w:rsidRDefault="008B6098" w:rsidP="00CC15D9">
      <w:pPr>
        <w:pStyle w:val="ListParagraph"/>
        <w:ind w:left="1440" w:right="1440"/>
        <w:rPr>
          <w:sz w:val="26"/>
          <w:szCs w:val="26"/>
        </w:rPr>
      </w:pPr>
    </w:p>
    <w:p w:rsidR="008B6098" w:rsidRDefault="009E57CC" w:rsidP="009E57CC">
      <w:pPr>
        <w:ind w:left="1530" w:right="1440"/>
        <w:rPr>
          <w:sz w:val="26"/>
          <w:szCs w:val="26"/>
        </w:rPr>
      </w:pPr>
      <w:r>
        <w:rPr>
          <w:sz w:val="26"/>
          <w:szCs w:val="26"/>
        </w:rPr>
        <w:tab/>
        <w:t>(f)</w:t>
      </w:r>
      <w:r>
        <w:rPr>
          <w:sz w:val="26"/>
          <w:szCs w:val="26"/>
        </w:rPr>
        <w:tab/>
      </w:r>
      <w:r w:rsidR="008B6098" w:rsidRPr="009E57CC">
        <w:rPr>
          <w:sz w:val="26"/>
          <w:szCs w:val="26"/>
        </w:rPr>
        <w:t xml:space="preserve">Failure to comply with a payment </w:t>
      </w:r>
      <w:r w:rsidR="00CE4394">
        <w:rPr>
          <w:sz w:val="26"/>
          <w:szCs w:val="26"/>
        </w:rPr>
        <w:t>arrangement</w:t>
      </w:r>
      <w:r w:rsidR="008B6098" w:rsidRPr="009E57CC">
        <w:rPr>
          <w:sz w:val="26"/>
          <w:szCs w:val="26"/>
        </w:rPr>
        <w:t>. – Failure of a customer to comply with t</w:t>
      </w:r>
      <w:r w:rsidR="00572B82">
        <w:rPr>
          <w:sz w:val="26"/>
          <w:szCs w:val="26"/>
        </w:rPr>
        <w:t xml:space="preserve">he terms of a payment arrangement </w:t>
      </w:r>
      <w:r w:rsidR="008B6098" w:rsidRPr="009E57CC">
        <w:rPr>
          <w:sz w:val="26"/>
          <w:szCs w:val="26"/>
        </w:rPr>
        <w:t>shall be grounds for a public utility to terminate the customer’s service.  Pending the outcome of a complaint filed with the commission, a customer shall be obligated to pay th</w:t>
      </w:r>
      <w:r>
        <w:rPr>
          <w:sz w:val="26"/>
          <w:szCs w:val="26"/>
        </w:rPr>
        <w:t>at</w:t>
      </w:r>
      <w:r w:rsidR="008B6098" w:rsidRPr="009E57CC">
        <w:rPr>
          <w:sz w:val="26"/>
          <w:szCs w:val="26"/>
        </w:rPr>
        <w:t xml:space="preserve"> portion of the bill which is not in dispute and subsequent bills which are not in dispute.</w:t>
      </w:r>
    </w:p>
    <w:p w:rsidR="003C1679" w:rsidRPr="009E57CC" w:rsidRDefault="003C1679" w:rsidP="009E57CC">
      <w:pPr>
        <w:ind w:left="1530" w:right="1440"/>
        <w:rPr>
          <w:sz w:val="26"/>
          <w:szCs w:val="26"/>
        </w:rPr>
      </w:pPr>
    </w:p>
    <w:p w:rsidR="008B6098" w:rsidRPr="008B6098" w:rsidRDefault="008B6098" w:rsidP="008B6098">
      <w:pPr>
        <w:pStyle w:val="ListParagraph"/>
        <w:rPr>
          <w:sz w:val="26"/>
          <w:szCs w:val="26"/>
        </w:rPr>
      </w:pPr>
    </w:p>
    <w:p w:rsidR="008161DF" w:rsidRPr="008B6098" w:rsidRDefault="008161DF" w:rsidP="008161DF">
      <w:pPr>
        <w:spacing w:line="360" w:lineRule="auto"/>
        <w:rPr>
          <w:sz w:val="26"/>
          <w:szCs w:val="26"/>
        </w:rPr>
      </w:pPr>
      <w:r>
        <w:rPr>
          <w:sz w:val="26"/>
          <w:szCs w:val="26"/>
        </w:rPr>
        <w:t>66 Pa. C.S.</w:t>
      </w:r>
      <w:r w:rsidRPr="008B6098">
        <w:rPr>
          <w:sz w:val="26"/>
          <w:szCs w:val="26"/>
        </w:rPr>
        <w:t xml:space="preserve"> § 1405 (Emphasis added).</w:t>
      </w:r>
    </w:p>
    <w:p w:rsidR="008B6098" w:rsidRDefault="008B6098" w:rsidP="008B6098">
      <w:pPr>
        <w:rPr>
          <w:sz w:val="26"/>
          <w:szCs w:val="26"/>
        </w:rPr>
      </w:pPr>
    </w:p>
    <w:p w:rsidR="008161DF" w:rsidRDefault="008161DF" w:rsidP="008161DF">
      <w:pPr>
        <w:spacing w:line="360" w:lineRule="auto"/>
        <w:rPr>
          <w:sz w:val="26"/>
          <w:szCs w:val="26"/>
        </w:rPr>
      </w:pPr>
      <w:r>
        <w:rPr>
          <w:sz w:val="26"/>
          <w:szCs w:val="26"/>
        </w:rPr>
        <w:t>Also, the utility can terminate service for failure to comply with the terms of the payment arrangement pursuant to Section 1406 of the Code:</w:t>
      </w:r>
    </w:p>
    <w:p w:rsidR="008B6098" w:rsidRPr="008B6098" w:rsidRDefault="008B6098" w:rsidP="008B6098">
      <w:pPr>
        <w:spacing w:line="360" w:lineRule="auto"/>
        <w:rPr>
          <w:sz w:val="26"/>
          <w:szCs w:val="26"/>
        </w:rPr>
      </w:pPr>
    </w:p>
    <w:p w:rsidR="008B6098" w:rsidRPr="008B6098" w:rsidRDefault="008B6098" w:rsidP="008B6098">
      <w:pPr>
        <w:ind w:firstLine="1440"/>
        <w:rPr>
          <w:sz w:val="26"/>
          <w:szCs w:val="26"/>
        </w:rPr>
      </w:pPr>
      <w:r w:rsidRPr="008B6098">
        <w:rPr>
          <w:sz w:val="26"/>
          <w:szCs w:val="26"/>
        </w:rPr>
        <w:t>§ 1406.  Termination of utility service</w:t>
      </w:r>
    </w:p>
    <w:p w:rsidR="008B6098" w:rsidRPr="008B6098" w:rsidRDefault="008B6098" w:rsidP="008B6098">
      <w:pPr>
        <w:ind w:firstLine="1440"/>
        <w:rPr>
          <w:sz w:val="26"/>
          <w:szCs w:val="26"/>
        </w:rPr>
      </w:pPr>
    </w:p>
    <w:p w:rsidR="008B6098" w:rsidRPr="008B6098" w:rsidRDefault="009E57CC" w:rsidP="009E57CC">
      <w:pPr>
        <w:pStyle w:val="ListParagraph"/>
        <w:ind w:left="1620" w:right="1440"/>
        <w:rPr>
          <w:sz w:val="26"/>
          <w:szCs w:val="26"/>
        </w:rPr>
      </w:pPr>
      <w:r>
        <w:rPr>
          <w:sz w:val="26"/>
          <w:szCs w:val="26"/>
        </w:rPr>
        <w:tab/>
        <w:t>(a)</w:t>
      </w:r>
      <w:r>
        <w:rPr>
          <w:sz w:val="26"/>
          <w:szCs w:val="26"/>
        </w:rPr>
        <w:tab/>
      </w:r>
      <w:r w:rsidR="008B6098" w:rsidRPr="008B6098">
        <w:rPr>
          <w:sz w:val="26"/>
          <w:szCs w:val="26"/>
        </w:rPr>
        <w:t>Authorized termination. – A public utility may notify a customer and terminate service provided to a customer after notice as provided in subsection (b) for any of the following actions by the customer:</w:t>
      </w:r>
    </w:p>
    <w:p w:rsidR="008B6098" w:rsidRPr="008B6098" w:rsidRDefault="008B6098" w:rsidP="00CC15D9">
      <w:pPr>
        <w:pStyle w:val="ListParagraph"/>
        <w:ind w:left="1440" w:right="1440"/>
        <w:rPr>
          <w:sz w:val="26"/>
          <w:szCs w:val="26"/>
        </w:rPr>
      </w:pPr>
    </w:p>
    <w:p w:rsidR="008B6098" w:rsidRDefault="008161DF" w:rsidP="009E57CC">
      <w:pPr>
        <w:ind w:left="2160" w:right="1440"/>
        <w:rPr>
          <w:sz w:val="26"/>
          <w:szCs w:val="26"/>
        </w:rPr>
      </w:pPr>
      <w:r>
        <w:rPr>
          <w:sz w:val="26"/>
          <w:szCs w:val="26"/>
        </w:rPr>
        <w:tab/>
      </w:r>
      <w:r w:rsidR="009E57CC">
        <w:rPr>
          <w:sz w:val="26"/>
          <w:szCs w:val="26"/>
        </w:rPr>
        <w:t>(1)</w:t>
      </w:r>
      <w:r w:rsidR="009E57CC">
        <w:rPr>
          <w:sz w:val="26"/>
          <w:szCs w:val="26"/>
        </w:rPr>
        <w:tab/>
      </w:r>
      <w:r w:rsidR="008B6098" w:rsidRPr="009E57CC">
        <w:rPr>
          <w:sz w:val="26"/>
          <w:szCs w:val="26"/>
        </w:rPr>
        <w:t xml:space="preserve">Nonpayment of an undisputed </w:t>
      </w:r>
      <w:r w:rsidR="009E57CC">
        <w:rPr>
          <w:sz w:val="26"/>
          <w:szCs w:val="26"/>
        </w:rPr>
        <w:t xml:space="preserve">delinquent </w:t>
      </w:r>
      <w:r w:rsidR="008B6098" w:rsidRPr="009E57CC">
        <w:rPr>
          <w:sz w:val="26"/>
          <w:szCs w:val="26"/>
        </w:rPr>
        <w:t>account.</w:t>
      </w:r>
    </w:p>
    <w:p w:rsidR="009E57CC" w:rsidRDefault="009E57CC" w:rsidP="009E57CC">
      <w:pPr>
        <w:ind w:left="2160" w:right="1440"/>
        <w:rPr>
          <w:sz w:val="26"/>
          <w:szCs w:val="26"/>
        </w:rPr>
      </w:pPr>
    </w:p>
    <w:p w:rsidR="009E57CC" w:rsidRPr="009E57CC" w:rsidRDefault="009E57CC" w:rsidP="009E57CC">
      <w:pPr>
        <w:ind w:left="2160" w:right="1440"/>
        <w:jc w:val="center"/>
        <w:rPr>
          <w:sz w:val="26"/>
          <w:szCs w:val="26"/>
        </w:rPr>
      </w:pPr>
      <w:r>
        <w:rPr>
          <w:sz w:val="26"/>
          <w:szCs w:val="26"/>
        </w:rPr>
        <w:t>* * *</w:t>
      </w:r>
    </w:p>
    <w:p w:rsidR="008B6098" w:rsidRPr="008B6098" w:rsidRDefault="008B6098" w:rsidP="00CC15D9">
      <w:pPr>
        <w:pStyle w:val="ListParagraph"/>
        <w:ind w:left="1440" w:right="1440"/>
        <w:rPr>
          <w:sz w:val="26"/>
          <w:szCs w:val="26"/>
        </w:rPr>
      </w:pPr>
    </w:p>
    <w:p w:rsidR="008B6098" w:rsidRPr="008B6098" w:rsidRDefault="008B6098" w:rsidP="004A6DF3">
      <w:pPr>
        <w:ind w:left="1440" w:right="1440"/>
        <w:rPr>
          <w:sz w:val="26"/>
          <w:szCs w:val="26"/>
        </w:rPr>
      </w:pPr>
      <w:r w:rsidRPr="008B6098">
        <w:rPr>
          <w:sz w:val="26"/>
          <w:szCs w:val="26"/>
        </w:rPr>
        <w:tab/>
        <w:t xml:space="preserve">(e)  Winter termination. – </w:t>
      </w:r>
    </w:p>
    <w:p w:rsidR="008B6098" w:rsidRPr="008B6098" w:rsidRDefault="008B6098" w:rsidP="00CC15D9">
      <w:pPr>
        <w:ind w:left="1440" w:right="1440"/>
        <w:rPr>
          <w:sz w:val="26"/>
          <w:szCs w:val="26"/>
        </w:rPr>
      </w:pPr>
    </w:p>
    <w:p w:rsidR="008B6098" w:rsidRPr="008161DF" w:rsidRDefault="008161DF" w:rsidP="008161DF">
      <w:pPr>
        <w:ind w:left="2160" w:right="1440"/>
        <w:rPr>
          <w:sz w:val="26"/>
          <w:szCs w:val="26"/>
        </w:rPr>
      </w:pPr>
      <w:r>
        <w:rPr>
          <w:sz w:val="26"/>
          <w:szCs w:val="26"/>
        </w:rPr>
        <w:tab/>
        <w:t>(1)</w:t>
      </w:r>
      <w:r>
        <w:rPr>
          <w:sz w:val="26"/>
          <w:szCs w:val="26"/>
        </w:rPr>
        <w:tab/>
      </w:r>
      <w:r w:rsidR="008B6098" w:rsidRPr="008161DF">
        <w:rPr>
          <w:sz w:val="26"/>
          <w:szCs w:val="26"/>
        </w:rPr>
        <w:t xml:space="preserve">Unless otherwise authorized by the commission, after November </w:t>
      </w:r>
      <w:r>
        <w:rPr>
          <w:sz w:val="26"/>
          <w:szCs w:val="26"/>
        </w:rPr>
        <w:t>30</w:t>
      </w:r>
      <w:r w:rsidR="008B6098" w:rsidRPr="008161DF">
        <w:rPr>
          <w:sz w:val="26"/>
          <w:szCs w:val="26"/>
        </w:rPr>
        <w:t xml:space="preserve"> and before April 1, an electric distribution utility or natural gas distribution utility shall not terminate service to customers with household incomes at or below 250% of the </w:t>
      </w:r>
      <w:r>
        <w:rPr>
          <w:sz w:val="26"/>
          <w:szCs w:val="26"/>
        </w:rPr>
        <w:t>F</w:t>
      </w:r>
      <w:r w:rsidR="008B6098" w:rsidRPr="008161DF">
        <w:rPr>
          <w:sz w:val="26"/>
          <w:szCs w:val="26"/>
        </w:rPr>
        <w:t>ederal povert</w:t>
      </w:r>
      <w:r>
        <w:rPr>
          <w:sz w:val="26"/>
          <w:szCs w:val="26"/>
        </w:rPr>
        <w:t>y level except for customers whose actions conform to subsection (c)(1)</w:t>
      </w:r>
      <w:r w:rsidR="008B6098" w:rsidRPr="008161DF">
        <w:rPr>
          <w:sz w:val="26"/>
          <w:szCs w:val="26"/>
        </w:rPr>
        <w:t>.</w:t>
      </w:r>
    </w:p>
    <w:p w:rsidR="004A6DF3" w:rsidRPr="004A6DF3" w:rsidRDefault="004A6DF3" w:rsidP="004A6DF3">
      <w:pPr>
        <w:ind w:right="1440"/>
        <w:rPr>
          <w:sz w:val="26"/>
          <w:szCs w:val="26"/>
        </w:rPr>
      </w:pPr>
    </w:p>
    <w:p w:rsidR="008B6098" w:rsidRDefault="00AE2A43" w:rsidP="008B6098">
      <w:pPr>
        <w:spacing w:line="360" w:lineRule="auto"/>
        <w:rPr>
          <w:sz w:val="26"/>
          <w:szCs w:val="26"/>
        </w:rPr>
      </w:pPr>
      <w:r>
        <w:rPr>
          <w:sz w:val="26"/>
          <w:szCs w:val="26"/>
        </w:rPr>
        <w:t>66 Pa.C.S.</w:t>
      </w:r>
      <w:r w:rsidR="008B6098" w:rsidRPr="008B6098">
        <w:rPr>
          <w:sz w:val="26"/>
          <w:szCs w:val="26"/>
        </w:rPr>
        <w:t xml:space="preserve"> § 1406.</w:t>
      </w:r>
    </w:p>
    <w:p w:rsidR="00733E44" w:rsidRPr="004B577F" w:rsidRDefault="00AF084A" w:rsidP="00837970">
      <w:pPr>
        <w:keepNext/>
        <w:keepLines/>
        <w:spacing w:line="360" w:lineRule="auto"/>
        <w:rPr>
          <w:b/>
          <w:sz w:val="26"/>
          <w:szCs w:val="26"/>
        </w:rPr>
      </w:pPr>
      <w:r w:rsidRPr="004B577F">
        <w:rPr>
          <w:b/>
          <w:sz w:val="26"/>
          <w:szCs w:val="26"/>
        </w:rPr>
        <w:lastRenderedPageBreak/>
        <w:t>ALJ’s</w:t>
      </w:r>
      <w:r w:rsidR="00733E44" w:rsidRPr="004B577F">
        <w:rPr>
          <w:b/>
          <w:sz w:val="26"/>
          <w:szCs w:val="26"/>
        </w:rPr>
        <w:t xml:space="preserve"> Initial Decision</w:t>
      </w:r>
    </w:p>
    <w:p w:rsidR="00733E44" w:rsidRPr="004B577F" w:rsidRDefault="00733E44" w:rsidP="00837970">
      <w:pPr>
        <w:keepNext/>
        <w:keepLines/>
        <w:spacing w:line="360" w:lineRule="auto"/>
        <w:rPr>
          <w:b/>
          <w:sz w:val="26"/>
          <w:szCs w:val="26"/>
        </w:rPr>
      </w:pPr>
    </w:p>
    <w:p w:rsidR="0073322C" w:rsidRDefault="001D7FFE" w:rsidP="00690848">
      <w:pPr>
        <w:spacing w:line="360" w:lineRule="auto"/>
        <w:ind w:firstLine="1440"/>
        <w:rPr>
          <w:sz w:val="26"/>
          <w:szCs w:val="26"/>
        </w:rPr>
      </w:pPr>
      <w:r w:rsidRPr="004B577F">
        <w:rPr>
          <w:sz w:val="26"/>
          <w:szCs w:val="26"/>
        </w:rPr>
        <w:t xml:space="preserve">The </w:t>
      </w:r>
      <w:r w:rsidR="00AF084A" w:rsidRPr="004B577F">
        <w:rPr>
          <w:sz w:val="26"/>
          <w:szCs w:val="26"/>
        </w:rPr>
        <w:t>ALJ</w:t>
      </w:r>
      <w:r w:rsidR="000B0240" w:rsidRPr="004B577F">
        <w:rPr>
          <w:sz w:val="26"/>
          <w:szCs w:val="26"/>
        </w:rPr>
        <w:t xml:space="preserve"> </w:t>
      </w:r>
      <w:r w:rsidR="008651D6" w:rsidRPr="004B577F">
        <w:rPr>
          <w:sz w:val="26"/>
          <w:szCs w:val="26"/>
        </w:rPr>
        <w:t>made fourteen</w:t>
      </w:r>
      <w:r w:rsidR="00C72244" w:rsidRPr="004B577F">
        <w:rPr>
          <w:sz w:val="26"/>
          <w:szCs w:val="26"/>
        </w:rPr>
        <w:t xml:space="preserve"> </w:t>
      </w:r>
      <w:r w:rsidR="003440BD" w:rsidRPr="004B577F">
        <w:rPr>
          <w:sz w:val="26"/>
          <w:szCs w:val="26"/>
        </w:rPr>
        <w:t xml:space="preserve">Findings of Fact and </w:t>
      </w:r>
      <w:r w:rsidR="00301FE4" w:rsidRPr="004B577F">
        <w:rPr>
          <w:sz w:val="26"/>
          <w:szCs w:val="26"/>
        </w:rPr>
        <w:t xml:space="preserve">reached </w:t>
      </w:r>
      <w:r w:rsidR="00AF084A" w:rsidRPr="004B577F">
        <w:rPr>
          <w:sz w:val="26"/>
          <w:szCs w:val="26"/>
        </w:rPr>
        <w:t>four</w:t>
      </w:r>
      <w:r w:rsidR="003440BD" w:rsidRPr="004B577F">
        <w:rPr>
          <w:sz w:val="26"/>
          <w:szCs w:val="26"/>
        </w:rPr>
        <w:t xml:space="preserve"> Conclusions of Law.  I.D. at </w:t>
      </w:r>
      <w:r w:rsidR="008651D6" w:rsidRPr="004B577F">
        <w:rPr>
          <w:sz w:val="26"/>
          <w:szCs w:val="26"/>
        </w:rPr>
        <w:t>2-3, 6</w:t>
      </w:r>
      <w:r w:rsidR="00AF084A" w:rsidRPr="004B577F">
        <w:rPr>
          <w:sz w:val="26"/>
          <w:szCs w:val="26"/>
        </w:rPr>
        <w:t>-7</w:t>
      </w:r>
      <w:r w:rsidR="003440BD" w:rsidRPr="004B577F">
        <w:rPr>
          <w:sz w:val="26"/>
          <w:szCs w:val="26"/>
        </w:rPr>
        <w:t>.  We shall adopt and inco</w:t>
      </w:r>
      <w:r w:rsidR="00AF084A" w:rsidRPr="004B577F">
        <w:rPr>
          <w:sz w:val="26"/>
          <w:szCs w:val="26"/>
        </w:rPr>
        <w:t>rporate herein by reference the ALJ</w:t>
      </w:r>
      <w:r w:rsidR="003440BD" w:rsidRPr="004B577F">
        <w:rPr>
          <w:sz w:val="26"/>
          <w:szCs w:val="26"/>
        </w:rPr>
        <w:t>’s Findings of Fact and Conclusions of Law, unless they are reversed or modified by this Opinion and Order, either expressly or by necessary implication.</w:t>
      </w:r>
    </w:p>
    <w:p w:rsidR="0058180D" w:rsidRPr="004B577F" w:rsidRDefault="0058180D" w:rsidP="00690848">
      <w:pPr>
        <w:spacing w:line="360" w:lineRule="auto"/>
        <w:ind w:firstLine="1440"/>
        <w:rPr>
          <w:sz w:val="26"/>
          <w:szCs w:val="26"/>
        </w:rPr>
      </w:pPr>
    </w:p>
    <w:p w:rsidR="004B577F" w:rsidRPr="004B577F" w:rsidRDefault="0035606D" w:rsidP="00FC42CD">
      <w:pPr>
        <w:spacing w:line="360" w:lineRule="auto"/>
        <w:ind w:firstLine="1440"/>
        <w:rPr>
          <w:sz w:val="26"/>
          <w:szCs w:val="26"/>
        </w:rPr>
      </w:pPr>
      <w:r w:rsidRPr="004B577F">
        <w:rPr>
          <w:sz w:val="26"/>
          <w:szCs w:val="26"/>
        </w:rPr>
        <w:t>In addressing the Complain</w:t>
      </w:r>
      <w:r w:rsidR="006C6F74" w:rsidRPr="004B577F">
        <w:rPr>
          <w:sz w:val="26"/>
          <w:szCs w:val="26"/>
        </w:rPr>
        <w:t>an</w:t>
      </w:r>
      <w:r w:rsidRPr="004B577F">
        <w:rPr>
          <w:sz w:val="26"/>
          <w:szCs w:val="26"/>
        </w:rPr>
        <w:t xml:space="preserve">t’s request for a new payment </w:t>
      </w:r>
      <w:r w:rsidR="009C58B6" w:rsidRPr="004B577F">
        <w:rPr>
          <w:sz w:val="26"/>
          <w:szCs w:val="26"/>
        </w:rPr>
        <w:t>arrangement</w:t>
      </w:r>
      <w:r w:rsidRPr="004B577F">
        <w:rPr>
          <w:sz w:val="26"/>
          <w:szCs w:val="26"/>
        </w:rPr>
        <w:t>, t</w:t>
      </w:r>
      <w:r w:rsidR="0008229F" w:rsidRPr="004B577F">
        <w:rPr>
          <w:sz w:val="26"/>
          <w:szCs w:val="26"/>
        </w:rPr>
        <w:t>he</w:t>
      </w:r>
      <w:r w:rsidR="0086100F" w:rsidRPr="004B577F">
        <w:rPr>
          <w:sz w:val="26"/>
          <w:szCs w:val="26"/>
        </w:rPr>
        <w:t xml:space="preserve"> </w:t>
      </w:r>
      <w:r w:rsidR="00AF084A" w:rsidRPr="004B577F">
        <w:rPr>
          <w:sz w:val="26"/>
          <w:szCs w:val="26"/>
        </w:rPr>
        <w:t xml:space="preserve">ALJ found </w:t>
      </w:r>
      <w:r w:rsidR="007E1E9C" w:rsidRPr="004B577F">
        <w:rPr>
          <w:sz w:val="26"/>
          <w:szCs w:val="26"/>
        </w:rPr>
        <w:t xml:space="preserve">that the Complainant had </w:t>
      </w:r>
      <w:r w:rsidR="009C58B6" w:rsidRPr="004B577F">
        <w:rPr>
          <w:sz w:val="26"/>
          <w:szCs w:val="26"/>
        </w:rPr>
        <w:t>been granted a payment arrangement</w:t>
      </w:r>
      <w:r w:rsidR="007E1E9C" w:rsidRPr="004B577F">
        <w:rPr>
          <w:sz w:val="26"/>
          <w:szCs w:val="26"/>
        </w:rPr>
        <w:t xml:space="preserve"> by </w:t>
      </w:r>
      <w:r w:rsidR="006063A7" w:rsidRPr="004B577F">
        <w:rPr>
          <w:sz w:val="26"/>
          <w:szCs w:val="26"/>
        </w:rPr>
        <w:t>BCS but</w:t>
      </w:r>
      <w:r w:rsidR="006C6F74" w:rsidRPr="004B577F">
        <w:rPr>
          <w:sz w:val="26"/>
          <w:szCs w:val="26"/>
        </w:rPr>
        <w:t xml:space="preserve"> </w:t>
      </w:r>
      <w:r w:rsidR="007E1E9C" w:rsidRPr="004B577F">
        <w:rPr>
          <w:sz w:val="26"/>
          <w:szCs w:val="26"/>
        </w:rPr>
        <w:t>had defaulted on th</w:t>
      </w:r>
      <w:r w:rsidR="009C58B6" w:rsidRPr="004B577F">
        <w:rPr>
          <w:sz w:val="26"/>
          <w:szCs w:val="26"/>
        </w:rPr>
        <w:t>at payment arrangement</w:t>
      </w:r>
      <w:r w:rsidR="00AF084A" w:rsidRPr="004B577F">
        <w:rPr>
          <w:sz w:val="26"/>
          <w:szCs w:val="26"/>
        </w:rPr>
        <w:t xml:space="preserve">.  </w:t>
      </w:r>
      <w:proofErr w:type="gramStart"/>
      <w:r w:rsidR="00AF084A" w:rsidRPr="004B577F">
        <w:rPr>
          <w:sz w:val="26"/>
          <w:szCs w:val="26"/>
        </w:rPr>
        <w:t>I.D. at 6</w:t>
      </w:r>
      <w:r w:rsidR="0086100F" w:rsidRPr="004B577F">
        <w:rPr>
          <w:sz w:val="26"/>
          <w:szCs w:val="26"/>
        </w:rPr>
        <w:t>.</w:t>
      </w:r>
      <w:proofErr w:type="gramEnd"/>
      <w:r w:rsidR="0086100F" w:rsidRPr="004B577F">
        <w:rPr>
          <w:sz w:val="26"/>
          <w:szCs w:val="26"/>
        </w:rPr>
        <w:t xml:space="preserve">  </w:t>
      </w:r>
      <w:r w:rsidR="007E1E9C" w:rsidRPr="004B577F">
        <w:rPr>
          <w:sz w:val="26"/>
          <w:szCs w:val="26"/>
        </w:rPr>
        <w:t xml:space="preserve">The </w:t>
      </w:r>
      <w:r w:rsidR="00AF084A" w:rsidRPr="004B577F">
        <w:rPr>
          <w:sz w:val="26"/>
          <w:szCs w:val="26"/>
        </w:rPr>
        <w:t>ALJ</w:t>
      </w:r>
      <w:r w:rsidR="007E1E9C" w:rsidRPr="004B577F">
        <w:rPr>
          <w:sz w:val="26"/>
          <w:szCs w:val="26"/>
        </w:rPr>
        <w:t xml:space="preserve"> noted that in accordance with</w:t>
      </w:r>
      <w:r w:rsidR="0077234B" w:rsidRPr="004B577F">
        <w:rPr>
          <w:sz w:val="26"/>
          <w:szCs w:val="26"/>
        </w:rPr>
        <w:t xml:space="preserve"> Section 1405(d) of</w:t>
      </w:r>
      <w:r w:rsidR="007E1E9C" w:rsidRPr="004B577F">
        <w:rPr>
          <w:sz w:val="26"/>
          <w:szCs w:val="26"/>
        </w:rPr>
        <w:t xml:space="preserve"> the Code, 66 Pa. C.S. § 1405(d), the Commission is not authorized to </w:t>
      </w:r>
      <w:r w:rsidR="006C6F74" w:rsidRPr="004B577F">
        <w:rPr>
          <w:sz w:val="26"/>
          <w:szCs w:val="26"/>
        </w:rPr>
        <w:t>grant a second payment arrangement</w:t>
      </w:r>
      <w:r w:rsidR="007E1E9C" w:rsidRPr="004B577F">
        <w:rPr>
          <w:sz w:val="26"/>
          <w:szCs w:val="26"/>
        </w:rPr>
        <w:t xml:space="preserve"> in the absence of a </w:t>
      </w:r>
      <w:r w:rsidR="00770896" w:rsidRPr="004B577F">
        <w:rPr>
          <w:sz w:val="26"/>
          <w:szCs w:val="26"/>
        </w:rPr>
        <w:t xml:space="preserve">decreased </w:t>
      </w:r>
      <w:r w:rsidR="007E1E9C" w:rsidRPr="004B577F">
        <w:rPr>
          <w:sz w:val="26"/>
          <w:szCs w:val="26"/>
        </w:rPr>
        <w:t>change in income if the customer default</w:t>
      </w:r>
      <w:r w:rsidR="006063A7" w:rsidRPr="004B577F">
        <w:rPr>
          <w:sz w:val="26"/>
          <w:szCs w:val="26"/>
        </w:rPr>
        <w:t>s on the first payment arrangement</w:t>
      </w:r>
      <w:r w:rsidR="007E1E9C" w:rsidRPr="004B577F">
        <w:rPr>
          <w:sz w:val="26"/>
          <w:szCs w:val="26"/>
        </w:rPr>
        <w:t>.</w:t>
      </w:r>
      <w:r w:rsidR="0086100F" w:rsidRPr="004B577F">
        <w:rPr>
          <w:rStyle w:val="FootnoteReference"/>
        </w:rPr>
        <w:footnoteReference w:id="3"/>
      </w:r>
      <w:r w:rsidR="009C58B6" w:rsidRPr="004B577F">
        <w:rPr>
          <w:sz w:val="26"/>
          <w:szCs w:val="26"/>
        </w:rPr>
        <w:t xml:space="preserve">  </w:t>
      </w:r>
      <w:r w:rsidR="00FC42CD" w:rsidRPr="004B577F">
        <w:rPr>
          <w:sz w:val="26"/>
          <w:szCs w:val="26"/>
        </w:rPr>
        <w:t>Furthermore, the ALJ stated that pursuant to Section 1405(b</w:t>
      </w:r>
      <w:proofErr w:type="gramStart"/>
      <w:r w:rsidR="00FC42CD" w:rsidRPr="004B577F">
        <w:rPr>
          <w:sz w:val="26"/>
          <w:szCs w:val="26"/>
        </w:rPr>
        <w:t>)(</w:t>
      </w:r>
      <w:proofErr w:type="gramEnd"/>
      <w:r w:rsidR="00FC42CD" w:rsidRPr="004B577F">
        <w:rPr>
          <w:sz w:val="26"/>
          <w:szCs w:val="26"/>
        </w:rPr>
        <w:t>1) of the Code, 66 Pa. C.S. § 1405(b)(1), the Complainant has five years to pay off her arrearage</w:t>
      </w:r>
      <w:r w:rsidR="00A246B9">
        <w:rPr>
          <w:sz w:val="26"/>
          <w:szCs w:val="26"/>
        </w:rPr>
        <w:t xml:space="preserve"> and</w:t>
      </w:r>
      <w:r w:rsidR="00FC42CD" w:rsidRPr="004B577F">
        <w:rPr>
          <w:sz w:val="26"/>
          <w:szCs w:val="26"/>
        </w:rPr>
        <w:t xml:space="preserve"> that there is no provision for a balloon payment at the end.  Therefore, the ALJ concluded that PPL is correct </w:t>
      </w:r>
      <w:r w:rsidR="00A246B9">
        <w:rPr>
          <w:sz w:val="26"/>
          <w:szCs w:val="26"/>
        </w:rPr>
        <w:t xml:space="preserve">in </w:t>
      </w:r>
      <w:r w:rsidR="00A7645B" w:rsidRPr="004B577F">
        <w:rPr>
          <w:sz w:val="26"/>
          <w:szCs w:val="26"/>
        </w:rPr>
        <w:t>giving the</w:t>
      </w:r>
      <w:r w:rsidR="00FC42CD" w:rsidRPr="004B577F">
        <w:rPr>
          <w:sz w:val="26"/>
          <w:szCs w:val="26"/>
        </w:rPr>
        <w:t xml:space="preserve"> Complainant sixty months, or five years, to pay off her past due balance.  </w:t>
      </w:r>
      <w:r w:rsidR="00FC42CD" w:rsidRPr="004B577F">
        <w:rPr>
          <w:i/>
          <w:sz w:val="26"/>
          <w:szCs w:val="26"/>
        </w:rPr>
        <w:t>Id.</w:t>
      </w:r>
      <w:r w:rsidR="00FC42CD" w:rsidRPr="004B577F">
        <w:rPr>
          <w:sz w:val="26"/>
          <w:szCs w:val="26"/>
        </w:rPr>
        <w:t>, citing Tr. at 18.  Additionally, the ALJ concluded that PPL is correct in breaking the amount into equal monthly payment installments over the sixty</w:t>
      </w:r>
      <w:r w:rsidR="00204672">
        <w:rPr>
          <w:sz w:val="26"/>
          <w:szCs w:val="26"/>
        </w:rPr>
        <w:t>-</w:t>
      </w:r>
      <w:r w:rsidR="00FC42CD" w:rsidRPr="004B577F">
        <w:rPr>
          <w:sz w:val="26"/>
          <w:szCs w:val="26"/>
        </w:rPr>
        <w:t xml:space="preserve">month period.  </w:t>
      </w:r>
      <w:r w:rsidR="00FC42CD" w:rsidRPr="004B577F">
        <w:rPr>
          <w:i/>
          <w:sz w:val="26"/>
          <w:szCs w:val="26"/>
        </w:rPr>
        <w:t>Id</w:t>
      </w:r>
      <w:r w:rsidR="00FC42CD" w:rsidRPr="004B577F">
        <w:rPr>
          <w:sz w:val="26"/>
          <w:szCs w:val="26"/>
        </w:rPr>
        <w:t>.</w:t>
      </w:r>
    </w:p>
    <w:p w:rsidR="004B577F" w:rsidRPr="004B577F" w:rsidRDefault="004B577F" w:rsidP="00FC42CD">
      <w:pPr>
        <w:spacing w:line="360" w:lineRule="auto"/>
        <w:ind w:firstLine="1440"/>
        <w:rPr>
          <w:sz w:val="26"/>
          <w:szCs w:val="26"/>
        </w:rPr>
      </w:pPr>
    </w:p>
    <w:p w:rsidR="00FC42CD" w:rsidRDefault="00FC42CD" w:rsidP="00FC42CD">
      <w:pPr>
        <w:spacing w:line="360" w:lineRule="auto"/>
        <w:ind w:firstLine="1440"/>
        <w:rPr>
          <w:sz w:val="26"/>
          <w:szCs w:val="26"/>
        </w:rPr>
      </w:pPr>
      <w:r w:rsidRPr="004B577F">
        <w:rPr>
          <w:sz w:val="26"/>
          <w:szCs w:val="26"/>
        </w:rPr>
        <w:t>For all of the above reasons, the ALJ dismissed the Complaint and ruled that the Complainant must pay for the electric service provided by PPL.  I.D.</w:t>
      </w:r>
      <w:r w:rsidRPr="004B577F">
        <w:rPr>
          <w:i/>
          <w:sz w:val="26"/>
          <w:szCs w:val="26"/>
        </w:rPr>
        <w:t> </w:t>
      </w:r>
      <w:r w:rsidRPr="004B577F">
        <w:rPr>
          <w:sz w:val="26"/>
          <w:szCs w:val="26"/>
        </w:rPr>
        <w:t>at 7.</w:t>
      </w:r>
    </w:p>
    <w:p w:rsidR="00CC15D9" w:rsidRPr="004B577F" w:rsidRDefault="00CC15D9" w:rsidP="00FC42CD">
      <w:pPr>
        <w:spacing w:line="360" w:lineRule="auto"/>
        <w:ind w:firstLine="1440"/>
        <w:rPr>
          <w:sz w:val="26"/>
          <w:szCs w:val="26"/>
        </w:rPr>
      </w:pPr>
    </w:p>
    <w:p w:rsidR="00FC42CD" w:rsidRPr="004B577F" w:rsidRDefault="00FC42CD" w:rsidP="00690848">
      <w:pPr>
        <w:spacing w:line="360" w:lineRule="auto"/>
        <w:ind w:firstLine="1440"/>
        <w:rPr>
          <w:sz w:val="26"/>
          <w:szCs w:val="26"/>
        </w:rPr>
      </w:pPr>
    </w:p>
    <w:p w:rsidR="00733E44" w:rsidRPr="004B577F" w:rsidRDefault="00733E44" w:rsidP="008D2844">
      <w:pPr>
        <w:keepNext/>
        <w:keepLines/>
        <w:spacing w:line="360" w:lineRule="auto"/>
        <w:rPr>
          <w:b/>
          <w:sz w:val="26"/>
          <w:szCs w:val="26"/>
        </w:rPr>
      </w:pPr>
      <w:r w:rsidRPr="004B577F">
        <w:rPr>
          <w:b/>
          <w:sz w:val="26"/>
          <w:szCs w:val="26"/>
        </w:rPr>
        <w:lastRenderedPageBreak/>
        <w:t>Exceptions and Replies</w:t>
      </w:r>
    </w:p>
    <w:p w:rsidR="00FE2E57" w:rsidRPr="004B577F" w:rsidRDefault="00FE2E57" w:rsidP="008D2844">
      <w:pPr>
        <w:keepNext/>
        <w:keepLines/>
        <w:spacing w:line="360" w:lineRule="auto"/>
        <w:rPr>
          <w:b/>
          <w:sz w:val="26"/>
          <w:szCs w:val="26"/>
        </w:rPr>
      </w:pPr>
    </w:p>
    <w:p w:rsidR="00E55B00" w:rsidRPr="004B577F" w:rsidRDefault="00B66DD7" w:rsidP="00E55B00">
      <w:pPr>
        <w:spacing w:line="360" w:lineRule="auto"/>
        <w:ind w:firstLine="1440"/>
        <w:rPr>
          <w:sz w:val="26"/>
          <w:szCs w:val="26"/>
        </w:rPr>
      </w:pPr>
      <w:r w:rsidRPr="004B577F">
        <w:rPr>
          <w:sz w:val="26"/>
          <w:szCs w:val="26"/>
        </w:rPr>
        <w:t>A</w:t>
      </w:r>
      <w:r w:rsidR="00E55B00" w:rsidRPr="004B577F">
        <w:rPr>
          <w:sz w:val="26"/>
          <w:szCs w:val="26"/>
        </w:rPr>
        <w:t xml:space="preserve">ny issue or Exception that we do not specifically address has been duly considered and will be denied without further discussion.  It is well settled that we are not required to consider, expressly or at length, each contention or argument raised by the parties.  </w:t>
      </w:r>
      <w:proofErr w:type="gramStart"/>
      <w:r w:rsidR="00E55B00" w:rsidRPr="004B577F">
        <w:rPr>
          <w:i/>
          <w:sz w:val="26"/>
          <w:szCs w:val="26"/>
        </w:rPr>
        <w:t>Consolidated Rail Corporation v. Pa. PUC</w:t>
      </w:r>
      <w:r w:rsidR="00E55B00" w:rsidRPr="004B577F">
        <w:rPr>
          <w:sz w:val="26"/>
          <w:szCs w:val="26"/>
        </w:rPr>
        <w:t xml:space="preserve">, 625 A.2d 741 (Pa. </w:t>
      </w:r>
      <w:proofErr w:type="spellStart"/>
      <w:r w:rsidR="00E55B00" w:rsidRPr="004B577F">
        <w:rPr>
          <w:sz w:val="26"/>
          <w:szCs w:val="26"/>
        </w:rPr>
        <w:t>Cmwlth</w:t>
      </w:r>
      <w:proofErr w:type="spellEnd"/>
      <w:r w:rsidR="00E55B00" w:rsidRPr="004B577F">
        <w:rPr>
          <w:sz w:val="26"/>
          <w:szCs w:val="26"/>
        </w:rPr>
        <w:t xml:space="preserve">. 1993); </w:t>
      </w:r>
      <w:r w:rsidR="00E55B00" w:rsidRPr="004B577F">
        <w:rPr>
          <w:i/>
          <w:sz w:val="26"/>
          <w:szCs w:val="26"/>
        </w:rPr>
        <w:t>see also, generally</w:t>
      </w:r>
      <w:r w:rsidR="00E55B00" w:rsidRPr="004B577F">
        <w:rPr>
          <w:sz w:val="26"/>
          <w:szCs w:val="26"/>
        </w:rPr>
        <w:t xml:space="preserve">, </w:t>
      </w:r>
      <w:r w:rsidR="00E55B00" w:rsidRPr="004B577F">
        <w:rPr>
          <w:i/>
          <w:sz w:val="26"/>
          <w:szCs w:val="26"/>
        </w:rPr>
        <w:t>University of Pennsylvania v. Pa. PUC</w:t>
      </w:r>
      <w:r w:rsidR="00E55B00" w:rsidRPr="004B577F">
        <w:rPr>
          <w:sz w:val="26"/>
          <w:szCs w:val="26"/>
        </w:rPr>
        <w:t xml:space="preserve">, 485 A.2d 1217 (Pa. </w:t>
      </w:r>
      <w:proofErr w:type="spellStart"/>
      <w:r w:rsidR="00E55B00" w:rsidRPr="004B577F">
        <w:rPr>
          <w:sz w:val="26"/>
          <w:szCs w:val="26"/>
        </w:rPr>
        <w:t>Cmwlth</w:t>
      </w:r>
      <w:proofErr w:type="spellEnd"/>
      <w:r w:rsidR="00E55B00" w:rsidRPr="004B577F">
        <w:rPr>
          <w:sz w:val="26"/>
          <w:szCs w:val="26"/>
        </w:rPr>
        <w:t>. 1984).</w:t>
      </w:r>
      <w:proofErr w:type="gramEnd"/>
    </w:p>
    <w:p w:rsidR="00F74A7F" w:rsidRPr="004B577F" w:rsidRDefault="00F74A7F" w:rsidP="00690848">
      <w:pPr>
        <w:spacing w:line="360" w:lineRule="auto"/>
        <w:ind w:firstLine="1440"/>
        <w:rPr>
          <w:sz w:val="26"/>
          <w:szCs w:val="26"/>
        </w:rPr>
      </w:pPr>
      <w:r w:rsidRPr="004B577F">
        <w:rPr>
          <w:sz w:val="26"/>
          <w:szCs w:val="26"/>
        </w:rPr>
        <w:t xml:space="preserve">In her Exceptions, the Complaint challenges </w:t>
      </w:r>
      <w:r w:rsidR="00415DBA" w:rsidRPr="004B577F">
        <w:rPr>
          <w:sz w:val="26"/>
          <w:szCs w:val="26"/>
        </w:rPr>
        <w:t xml:space="preserve">every section of </w:t>
      </w:r>
      <w:r w:rsidR="00F5492F" w:rsidRPr="004B577F">
        <w:rPr>
          <w:sz w:val="26"/>
          <w:szCs w:val="26"/>
        </w:rPr>
        <w:t xml:space="preserve">the </w:t>
      </w:r>
      <w:r w:rsidR="00E55B00" w:rsidRPr="004B577F">
        <w:rPr>
          <w:sz w:val="26"/>
          <w:szCs w:val="26"/>
        </w:rPr>
        <w:t xml:space="preserve">ALJ’s </w:t>
      </w:r>
      <w:r w:rsidR="00F5492F" w:rsidRPr="004B577F">
        <w:rPr>
          <w:sz w:val="26"/>
          <w:szCs w:val="26"/>
        </w:rPr>
        <w:t>Initial</w:t>
      </w:r>
      <w:r w:rsidR="00415DBA" w:rsidRPr="004B577F">
        <w:rPr>
          <w:sz w:val="26"/>
          <w:szCs w:val="26"/>
        </w:rPr>
        <w:t xml:space="preserve"> Decision including the History of the Proceedings, </w:t>
      </w:r>
      <w:r w:rsidRPr="004B577F">
        <w:rPr>
          <w:sz w:val="26"/>
          <w:szCs w:val="26"/>
        </w:rPr>
        <w:t>Findings of Fact</w:t>
      </w:r>
      <w:r w:rsidR="00F5492F" w:rsidRPr="004B577F">
        <w:rPr>
          <w:sz w:val="26"/>
          <w:szCs w:val="26"/>
        </w:rPr>
        <w:t xml:space="preserve">, Discussion, </w:t>
      </w:r>
      <w:r w:rsidR="005E510F" w:rsidRPr="004B577F">
        <w:rPr>
          <w:sz w:val="26"/>
          <w:szCs w:val="26"/>
        </w:rPr>
        <w:t xml:space="preserve">Legal Standards, Conclusions of Law </w:t>
      </w:r>
      <w:r w:rsidR="00EF46F0" w:rsidRPr="004B577F">
        <w:rPr>
          <w:sz w:val="26"/>
          <w:szCs w:val="26"/>
        </w:rPr>
        <w:t>and</w:t>
      </w:r>
      <w:r w:rsidRPr="004B577F">
        <w:rPr>
          <w:sz w:val="26"/>
          <w:szCs w:val="26"/>
        </w:rPr>
        <w:t xml:space="preserve"> </w:t>
      </w:r>
      <w:r w:rsidR="00F5492F" w:rsidRPr="004B577F">
        <w:rPr>
          <w:sz w:val="26"/>
          <w:szCs w:val="26"/>
        </w:rPr>
        <w:t xml:space="preserve">the </w:t>
      </w:r>
      <w:r w:rsidRPr="004B577F">
        <w:rPr>
          <w:sz w:val="26"/>
          <w:szCs w:val="26"/>
        </w:rPr>
        <w:t xml:space="preserve">ALJ’s </w:t>
      </w:r>
      <w:r w:rsidR="005E510F" w:rsidRPr="004B577F">
        <w:rPr>
          <w:sz w:val="26"/>
          <w:szCs w:val="26"/>
        </w:rPr>
        <w:t>conclusion that dismisses</w:t>
      </w:r>
      <w:r w:rsidRPr="004B577F">
        <w:rPr>
          <w:sz w:val="26"/>
          <w:szCs w:val="26"/>
        </w:rPr>
        <w:t xml:space="preserve"> the Complaint.</w:t>
      </w:r>
      <w:r w:rsidR="00F5492F" w:rsidRPr="004B577F">
        <w:rPr>
          <w:sz w:val="26"/>
          <w:szCs w:val="26"/>
        </w:rPr>
        <w:t xml:space="preserve">  Exc. at 1-12.</w:t>
      </w:r>
    </w:p>
    <w:p w:rsidR="009C0BAE" w:rsidRPr="004B577F" w:rsidRDefault="009C0BAE" w:rsidP="00690848">
      <w:pPr>
        <w:spacing w:line="360" w:lineRule="auto"/>
        <w:ind w:firstLine="1440"/>
        <w:rPr>
          <w:sz w:val="26"/>
          <w:szCs w:val="26"/>
        </w:rPr>
      </w:pPr>
    </w:p>
    <w:p w:rsidR="00F5492F" w:rsidRPr="004B577F" w:rsidRDefault="00F5492F" w:rsidP="00690848">
      <w:pPr>
        <w:spacing w:line="360" w:lineRule="auto"/>
        <w:ind w:firstLine="1440"/>
        <w:rPr>
          <w:sz w:val="26"/>
          <w:szCs w:val="26"/>
        </w:rPr>
      </w:pPr>
      <w:r w:rsidRPr="004B577F">
        <w:rPr>
          <w:sz w:val="26"/>
          <w:szCs w:val="26"/>
        </w:rPr>
        <w:t>In her first Exception</w:t>
      </w:r>
      <w:r w:rsidR="00D12B75" w:rsidRPr="004B577F">
        <w:rPr>
          <w:sz w:val="26"/>
          <w:szCs w:val="26"/>
        </w:rPr>
        <w:t>, the Complainant</w:t>
      </w:r>
      <w:r w:rsidRPr="004B577F">
        <w:rPr>
          <w:sz w:val="26"/>
          <w:szCs w:val="26"/>
        </w:rPr>
        <w:t xml:space="preserve"> challenges Findings of Fact </w:t>
      </w:r>
      <w:r w:rsidR="00E55B00" w:rsidRPr="004B577F">
        <w:rPr>
          <w:sz w:val="26"/>
          <w:szCs w:val="26"/>
        </w:rPr>
        <w:t xml:space="preserve">(FOF) </w:t>
      </w:r>
      <w:r w:rsidRPr="004B577F">
        <w:rPr>
          <w:sz w:val="26"/>
          <w:szCs w:val="26"/>
        </w:rPr>
        <w:t>Nos. 10, 11, 13, and 14</w:t>
      </w:r>
      <w:r w:rsidR="00657A7F">
        <w:rPr>
          <w:sz w:val="26"/>
          <w:szCs w:val="26"/>
        </w:rPr>
        <w:t>, in the Initial Decision</w:t>
      </w:r>
      <w:r w:rsidRPr="004B577F">
        <w:rPr>
          <w:sz w:val="26"/>
          <w:szCs w:val="26"/>
        </w:rPr>
        <w:t>.</w:t>
      </w:r>
      <w:r w:rsidR="00340C4E" w:rsidRPr="004B577F">
        <w:rPr>
          <w:rStyle w:val="FootnoteReference"/>
        </w:rPr>
        <w:footnoteReference w:id="4"/>
      </w:r>
      <w:r w:rsidRPr="004B577F">
        <w:rPr>
          <w:sz w:val="26"/>
          <w:szCs w:val="26"/>
        </w:rPr>
        <w:t xml:space="preserve">  According to the Complainant, </w:t>
      </w:r>
      <w:r w:rsidR="00E55B00" w:rsidRPr="004B577F">
        <w:rPr>
          <w:sz w:val="26"/>
          <w:szCs w:val="26"/>
        </w:rPr>
        <w:t>FOF</w:t>
      </w:r>
      <w:r w:rsidRPr="004B577F">
        <w:rPr>
          <w:sz w:val="26"/>
          <w:szCs w:val="26"/>
        </w:rPr>
        <w:t xml:space="preserve"> No. 10 is incorrect </w:t>
      </w:r>
      <w:r w:rsidR="00204672">
        <w:rPr>
          <w:sz w:val="26"/>
          <w:szCs w:val="26"/>
        </w:rPr>
        <w:t xml:space="preserve">because she claims </w:t>
      </w:r>
      <w:r w:rsidR="0004431A" w:rsidRPr="004B577F">
        <w:rPr>
          <w:sz w:val="26"/>
          <w:szCs w:val="26"/>
        </w:rPr>
        <w:t>her past due balance was</w:t>
      </w:r>
      <w:r w:rsidR="00340C4E" w:rsidRPr="004B577F">
        <w:rPr>
          <w:sz w:val="26"/>
          <w:szCs w:val="26"/>
        </w:rPr>
        <w:t xml:space="preserve"> only $4,994.93 at the time of hearing.  The Complainant also avers that </w:t>
      </w:r>
      <w:r w:rsidR="00E55B00" w:rsidRPr="004B577F">
        <w:rPr>
          <w:sz w:val="26"/>
          <w:szCs w:val="26"/>
        </w:rPr>
        <w:t>FOF</w:t>
      </w:r>
      <w:r w:rsidR="00340C4E" w:rsidRPr="004B577F">
        <w:rPr>
          <w:sz w:val="26"/>
          <w:szCs w:val="26"/>
        </w:rPr>
        <w:t xml:space="preserve"> No. 11 is inaccurate </w:t>
      </w:r>
      <w:r w:rsidR="00204672">
        <w:rPr>
          <w:sz w:val="26"/>
          <w:szCs w:val="26"/>
        </w:rPr>
        <w:t xml:space="preserve">because she claims </w:t>
      </w:r>
      <w:r w:rsidR="00340C4E" w:rsidRPr="004B577F">
        <w:rPr>
          <w:sz w:val="26"/>
          <w:szCs w:val="26"/>
        </w:rPr>
        <w:t xml:space="preserve">she made five payments in 2014 as opposed to four in the Initial Decision.  </w:t>
      </w:r>
      <w:r w:rsidR="00DF3214">
        <w:rPr>
          <w:sz w:val="26"/>
          <w:szCs w:val="26"/>
        </w:rPr>
        <w:t>With regard to</w:t>
      </w:r>
      <w:r w:rsidR="0004431A" w:rsidRPr="004B577F">
        <w:rPr>
          <w:sz w:val="26"/>
          <w:szCs w:val="26"/>
        </w:rPr>
        <w:t xml:space="preserve"> </w:t>
      </w:r>
      <w:r w:rsidR="00E55B00" w:rsidRPr="004B577F">
        <w:rPr>
          <w:sz w:val="26"/>
          <w:szCs w:val="26"/>
        </w:rPr>
        <w:t>FOF</w:t>
      </w:r>
      <w:r w:rsidR="0004431A" w:rsidRPr="004B577F">
        <w:rPr>
          <w:sz w:val="26"/>
          <w:szCs w:val="26"/>
        </w:rPr>
        <w:t xml:space="preserve"> No. 13, the Complainant asserts that the payment arrangements were not </w:t>
      </w:r>
      <w:r w:rsidR="0004431A" w:rsidRPr="004B577F">
        <w:rPr>
          <w:sz w:val="26"/>
          <w:szCs w:val="26"/>
        </w:rPr>
        <w:lastRenderedPageBreak/>
        <w:t xml:space="preserve">terminated for non-payment but for late payment.  The Complainant asserts that </w:t>
      </w:r>
      <w:r w:rsidR="00782167" w:rsidRPr="004B577F">
        <w:rPr>
          <w:sz w:val="26"/>
          <w:szCs w:val="26"/>
        </w:rPr>
        <w:t xml:space="preserve">PPL’s system </w:t>
      </w:r>
      <w:r w:rsidR="0004431A" w:rsidRPr="004B577F">
        <w:rPr>
          <w:sz w:val="26"/>
          <w:szCs w:val="26"/>
        </w:rPr>
        <w:t>triggers a</w:t>
      </w:r>
      <w:r w:rsidR="00782167" w:rsidRPr="004B577F">
        <w:rPr>
          <w:sz w:val="26"/>
          <w:szCs w:val="26"/>
        </w:rPr>
        <w:t xml:space="preserve">n </w:t>
      </w:r>
      <w:r w:rsidR="0004431A" w:rsidRPr="004B577F">
        <w:rPr>
          <w:sz w:val="26"/>
          <w:szCs w:val="26"/>
        </w:rPr>
        <w:t xml:space="preserve">automatic termination </w:t>
      </w:r>
      <w:r w:rsidR="00782167" w:rsidRPr="004B577F">
        <w:rPr>
          <w:sz w:val="26"/>
          <w:szCs w:val="26"/>
        </w:rPr>
        <w:t>for late payment and automatically renewed the payment arrangements upon receipt of the late payments.  The Complainant also accuses PPL of profiting from each termination/renewal by assessing late f</w:t>
      </w:r>
      <w:r w:rsidR="00DF3214">
        <w:rPr>
          <w:sz w:val="26"/>
          <w:szCs w:val="26"/>
        </w:rPr>
        <w:t xml:space="preserve">ees, which she </w:t>
      </w:r>
      <w:r w:rsidR="00204672">
        <w:rPr>
          <w:sz w:val="26"/>
          <w:szCs w:val="26"/>
        </w:rPr>
        <w:t xml:space="preserve">claims she </w:t>
      </w:r>
      <w:r w:rsidR="00DF3214">
        <w:rPr>
          <w:sz w:val="26"/>
          <w:szCs w:val="26"/>
        </w:rPr>
        <w:t>duly paid</w:t>
      </w:r>
      <w:r w:rsidR="00782167" w:rsidRPr="004B577F">
        <w:rPr>
          <w:sz w:val="26"/>
          <w:szCs w:val="26"/>
        </w:rPr>
        <w:t xml:space="preserve">.  In addition, the Complainant asserts that contrary to </w:t>
      </w:r>
      <w:r w:rsidR="00E55B00" w:rsidRPr="004B577F">
        <w:rPr>
          <w:sz w:val="26"/>
          <w:szCs w:val="26"/>
        </w:rPr>
        <w:t>FOF</w:t>
      </w:r>
      <w:r w:rsidR="00782167" w:rsidRPr="004B577F">
        <w:rPr>
          <w:sz w:val="26"/>
          <w:szCs w:val="26"/>
        </w:rPr>
        <w:t xml:space="preserve"> No.</w:t>
      </w:r>
      <w:r w:rsidR="00657A7F">
        <w:rPr>
          <w:sz w:val="26"/>
          <w:szCs w:val="26"/>
        </w:rPr>
        <w:t xml:space="preserve"> 13, she did not default on the July 2014 </w:t>
      </w:r>
      <w:r w:rsidR="00782167" w:rsidRPr="004B577F">
        <w:rPr>
          <w:sz w:val="26"/>
          <w:szCs w:val="26"/>
        </w:rPr>
        <w:t xml:space="preserve">payment arrangement.  </w:t>
      </w:r>
      <w:r w:rsidR="00DF3214">
        <w:rPr>
          <w:sz w:val="26"/>
          <w:szCs w:val="26"/>
        </w:rPr>
        <w:t>Exc. at 2-3, citing I.D. at 2-3, 4 and</w:t>
      </w:r>
      <w:r w:rsidR="00204672">
        <w:rPr>
          <w:sz w:val="26"/>
          <w:szCs w:val="26"/>
        </w:rPr>
        <w:t> </w:t>
      </w:r>
      <w:r w:rsidR="00DF3214">
        <w:rPr>
          <w:sz w:val="26"/>
          <w:szCs w:val="26"/>
        </w:rPr>
        <w:t xml:space="preserve">6.  </w:t>
      </w:r>
      <w:r w:rsidR="00782167" w:rsidRPr="004B577F">
        <w:rPr>
          <w:sz w:val="26"/>
          <w:szCs w:val="26"/>
        </w:rPr>
        <w:t xml:space="preserve">Finally, with regard to </w:t>
      </w:r>
      <w:r w:rsidR="00E55B00" w:rsidRPr="004B577F">
        <w:rPr>
          <w:sz w:val="26"/>
          <w:szCs w:val="26"/>
        </w:rPr>
        <w:t>FOF</w:t>
      </w:r>
      <w:r w:rsidR="00782167" w:rsidRPr="004B577F">
        <w:rPr>
          <w:sz w:val="26"/>
          <w:szCs w:val="26"/>
        </w:rPr>
        <w:t xml:space="preserve"> No. 14, the Complainant </w:t>
      </w:r>
      <w:r w:rsidR="001E37CE" w:rsidRPr="004B577F">
        <w:rPr>
          <w:sz w:val="26"/>
          <w:szCs w:val="26"/>
        </w:rPr>
        <w:t>contends</w:t>
      </w:r>
      <w:r w:rsidR="00782167" w:rsidRPr="004B577F">
        <w:rPr>
          <w:sz w:val="26"/>
          <w:szCs w:val="26"/>
        </w:rPr>
        <w:t xml:space="preserve"> that just because PPL has not </w:t>
      </w:r>
      <w:r w:rsidR="001E37CE" w:rsidRPr="004B577F">
        <w:rPr>
          <w:sz w:val="26"/>
          <w:szCs w:val="26"/>
        </w:rPr>
        <w:t>been offered the</w:t>
      </w:r>
      <w:r w:rsidR="00782167" w:rsidRPr="004B577F">
        <w:rPr>
          <w:sz w:val="26"/>
          <w:szCs w:val="26"/>
        </w:rPr>
        <w:t xml:space="preserve"> </w:t>
      </w:r>
      <w:r w:rsidR="001E37CE" w:rsidRPr="004B577F">
        <w:rPr>
          <w:sz w:val="26"/>
          <w:szCs w:val="26"/>
        </w:rPr>
        <w:t xml:space="preserve">type of </w:t>
      </w:r>
      <w:r w:rsidR="00782167" w:rsidRPr="004B577F">
        <w:rPr>
          <w:sz w:val="26"/>
          <w:szCs w:val="26"/>
        </w:rPr>
        <w:t>balloon paymen</w:t>
      </w:r>
      <w:r w:rsidR="001E37CE" w:rsidRPr="004B577F">
        <w:rPr>
          <w:sz w:val="26"/>
          <w:szCs w:val="26"/>
        </w:rPr>
        <w:t xml:space="preserve">t she is requesting does not mean that PPL should not entertain her request.  The Complainant avers that the fact that PPL admitted to </w:t>
      </w:r>
      <w:r w:rsidR="00204672">
        <w:rPr>
          <w:sz w:val="26"/>
          <w:szCs w:val="26"/>
        </w:rPr>
        <w:t>accepting</w:t>
      </w:r>
      <w:r w:rsidR="001E37CE" w:rsidRPr="004B577F">
        <w:rPr>
          <w:sz w:val="26"/>
          <w:szCs w:val="26"/>
        </w:rPr>
        <w:t xml:space="preserve"> upfront payment in the past is enough reason for the Company to accept her offer.  Specifically, the Complainant notes that she is not requesting an extension of the </w:t>
      </w:r>
      <w:r w:rsidR="00204672">
        <w:rPr>
          <w:sz w:val="26"/>
          <w:szCs w:val="26"/>
        </w:rPr>
        <w:t>five</w:t>
      </w:r>
      <w:r w:rsidR="00DF3214">
        <w:rPr>
          <w:sz w:val="26"/>
          <w:szCs w:val="26"/>
        </w:rPr>
        <w:t>-year</w:t>
      </w:r>
      <w:r w:rsidR="001E37CE" w:rsidRPr="004B577F">
        <w:rPr>
          <w:sz w:val="26"/>
          <w:szCs w:val="26"/>
        </w:rPr>
        <w:t xml:space="preserve"> period but rather a revers</w:t>
      </w:r>
      <w:r w:rsidR="00204672">
        <w:rPr>
          <w:sz w:val="26"/>
          <w:szCs w:val="26"/>
        </w:rPr>
        <w:t>al</w:t>
      </w:r>
      <w:r w:rsidR="001E37CE" w:rsidRPr="004B577F">
        <w:rPr>
          <w:sz w:val="26"/>
          <w:szCs w:val="26"/>
        </w:rPr>
        <w:t xml:space="preserve"> to the type </w:t>
      </w:r>
      <w:r w:rsidR="00DF3214">
        <w:rPr>
          <w:sz w:val="26"/>
          <w:szCs w:val="26"/>
        </w:rPr>
        <w:t xml:space="preserve">of </w:t>
      </w:r>
      <w:r w:rsidR="001E37CE" w:rsidRPr="004B577F">
        <w:rPr>
          <w:sz w:val="26"/>
          <w:szCs w:val="26"/>
        </w:rPr>
        <w:t>upfront payment</w:t>
      </w:r>
      <w:r w:rsidR="00204672">
        <w:rPr>
          <w:sz w:val="26"/>
          <w:szCs w:val="26"/>
        </w:rPr>
        <w:t xml:space="preserve">s that </w:t>
      </w:r>
      <w:r w:rsidR="001E37CE" w:rsidRPr="004B577F">
        <w:rPr>
          <w:sz w:val="26"/>
          <w:szCs w:val="26"/>
        </w:rPr>
        <w:t xml:space="preserve">PPL </w:t>
      </w:r>
      <w:r w:rsidR="00572B82">
        <w:rPr>
          <w:sz w:val="26"/>
          <w:szCs w:val="26"/>
        </w:rPr>
        <w:t xml:space="preserve">has accepted </w:t>
      </w:r>
      <w:r w:rsidR="00204672">
        <w:rPr>
          <w:sz w:val="26"/>
          <w:szCs w:val="26"/>
        </w:rPr>
        <w:t xml:space="preserve">from </w:t>
      </w:r>
      <w:r w:rsidR="00572B82">
        <w:rPr>
          <w:sz w:val="26"/>
          <w:szCs w:val="26"/>
        </w:rPr>
        <w:t>other</w:t>
      </w:r>
      <w:r w:rsidR="00CE4394">
        <w:rPr>
          <w:sz w:val="26"/>
          <w:szCs w:val="26"/>
        </w:rPr>
        <w:t>s</w:t>
      </w:r>
      <w:r w:rsidR="00204672">
        <w:rPr>
          <w:sz w:val="26"/>
          <w:szCs w:val="26"/>
        </w:rPr>
        <w:t xml:space="preserve"> </w:t>
      </w:r>
      <w:r w:rsidR="001E37CE" w:rsidRPr="004B577F">
        <w:rPr>
          <w:sz w:val="26"/>
          <w:szCs w:val="26"/>
        </w:rPr>
        <w:t xml:space="preserve">in the past.  </w:t>
      </w:r>
      <w:r w:rsidR="00DF3214">
        <w:rPr>
          <w:sz w:val="26"/>
          <w:szCs w:val="26"/>
        </w:rPr>
        <w:t>Exc.</w:t>
      </w:r>
      <w:r w:rsidR="001E37CE" w:rsidRPr="004B577F">
        <w:rPr>
          <w:sz w:val="26"/>
          <w:szCs w:val="26"/>
        </w:rPr>
        <w:t xml:space="preserve"> at 3</w:t>
      </w:r>
      <w:r w:rsidR="00DF3214">
        <w:rPr>
          <w:sz w:val="26"/>
          <w:szCs w:val="26"/>
        </w:rPr>
        <w:t>-4</w:t>
      </w:r>
      <w:r w:rsidR="001E37CE" w:rsidRPr="004B577F">
        <w:rPr>
          <w:sz w:val="26"/>
          <w:szCs w:val="26"/>
        </w:rPr>
        <w:t>, citing Tr. at 19 and 24; I.D. at</w:t>
      </w:r>
      <w:r w:rsidR="00DF3214">
        <w:rPr>
          <w:sz w:val="26"/>
          <w:szCs w:val="26"/>
        </w:rPr>
        <w:t xml:space="preserve"> 2-3 and</w:t>
      </w:r>
      <w:r w:rsidR="001E37CE" w:rsidRPr="004B577F">
        <w:rPr>
          <w:sz w:val="26"/>
          <w:szCs w:val="26"/>
        </w:rPr>
        <w:t xml:space="preserve"> 5.</w:t>
      </w:r>
    </w:p>
    <w:p w:rsidR="00E55B00" w:rsidRPr="004B577F" w:rsidRDefault="00E55B00" w:rsidP="00690848">
      <w:pPr>
        <w:spacing w:line="360" w:lineRule="auto"/>
        <w:ind w:firstLine="1440"/>
        <w:rPr>
          <w:sz w:val="26"/>
          <w:szCs w:val="26"/>
        </w:rPr>
      </w:pPr>
    </w:p>
    <w:p w:rsidR="00E55B00" w:rsidRPr="004B577F" w:rsidRDefault="00E55B00" w:rsidP="00690848">
      <w:pPr>
        <w:spacing w:line="360" w:lineRule="auto"/>
        <w:ind w:firstLine="1440"/>
        <w:rPr>
          <w:sz w:val="26"/>
          <w:szCs w:val="26"/>
        </w:rPr>
      </w:pPr>
      <w:r w:rsidRPr="004B577F">
        <w:rPr>
          <w:sz w:val="26"/>
          <w:szCs w:val="26"/>
        </w:rPr>
        <w:t>In Reply, PPL denies the Complainant’s averments</w:t>
      </w:r>
      <w:r w:rsidR="0044689B" w:rsidRPr="004B577F">
        <w:rPr>
          <w:sz w:val="26"/>
          <w:szCs w:val="26"/>
        </w:rPr>
        <w:t xml:space="preserve"> regarding FOF Nos. 10, 11, 13, and 14</w:t>
      </w:r>
      <w:r w:rsidRPr="004B577F">
        <w:rPr>
          <w:sz w:val="26"/>
          <w:szCs w:val="26"/>
        </w:rPr>
        <w:t xml:space="preserve">.  With respect to </w:t>
      </w:r>
      <w:r w:rsidR="0044689B" w:rsidRPr="004B577F">
        <w:rPr>
          <w:sz w:val="26"/>
          <w:szCs w:val="26"/>
        </w:rPr>
        <w:t xml:space="preserve">the Complainant’s Exception regarding </w:t>
      </w:r>
      <w:r w:rsidRPr="004B577F">
        <w:rPr>
          <w:sz w:val="26"/>
          <w:szCs w:val="26"/>
        </w:rPr>
        <w:t xml:space="preserve">FOF No. 10, PPL asserts that contrary to the Complainant’s claim, </w:t>
      </w:r>
      <w:r w:rsidR="00977A6E" w:rsidRPr="004B577F">
        <w:rPr>
          <w:sz w:val="26"/>
          <w:szCs w:val="26"/>
        </w:rPr>
        <w:t>the evidence it submitted at the time of the hearing unequivocally demonstrated the Complainant’s account balance of $5,136.74.  PPL also denies the Complainant’s averment</w:t>
      </w:r>
      <w:r w:rsidR="00204672">
        <w:rPr>
          <w:sz w:val="26"/>
          <w:szCs w:val="26"/>
        </w:rPr>
        <w:t xml:space="preserve"> w</w:t>
      </w:r>
      <w:r w:rsidR="00204672" w:rsidRPr="004B577F">
        <w:rPr>
          <w:sz w:val="26"/>
          <w:szCs w:val="26"/>
        </w:rPr>
        <w:t xml:space="preserve">ith respect to </w:t>
      </w:r>
      <w:r w:rsidR="00204672">
        <w:rPr>
          <w:sz w:val="26"/>
          <w:szCs w:val="26"/>
        </w:rPr>
        <w:t>her</w:t>
      </w:r>
      <w:r w:rsidR="00204672" w:rsidRPr="004B577F">
        <w:rPr>
          <w:sz w:val="26"/>
          <w:szCs w:val="26"/>
        </w:rPr>
        <w:t xml:space="preserve"> Exception regarding FOF No. 11</w:t>
      </w:r>
      <w:r w:rsidR="00204672">
        <w:rPr>
          <w:sz w:val="26"/>
          <w:szCs w:val="26"/>
        </w:rPr>
        <w:t>.  PPL submits</w:t>
      </w:r>
      <w:r w:rsidR="00977A6E" w:rsidRPr="004B577F">
        <w:rPr>
          <w:sz w:val="26"/>
          <w:szCs w:val="26"/>
        </w:rPr>
        <w:t xml:space="preserve"> that the Complainant made only four payments in 2014 as highlighted in </w:t>
      </w:r>
      <w:r w:rsidR="00F019C7">
        <w:rPr>
          <w:sz w:val="26"/>
          <w:szCs w:val="26"/>
        </w:rPr>
        <w:t xml:space="preserve">PPL </w:t>
      </w:r>
      <w:proofErr w:type="spellStart"/>
      <w:r w:rsidR="00977A6E" w:rsidRPr="004B577F">
        <w:rPr>
          <w:sz w:val="26"/>
          <w:szCs w:val="26"/>
        </w:rPr>
        <w:t>Exh</w:t>
      </w:r>
      <w:proofErr w:type="spellEnd"/>
      <w:r w:rsidR="00977A6E" w:rsidRPr="004B577F">
        <w:rPr>
          <w:sz w:val="26"/>
          <w:szCs w:val="26"/>
        </w:rPr>
        <w:t>. 1.  PPL states that the Complainant made a payment of $280</w:t>
      </w:r>
      <w:r w:rsidR="00F019C7">
        <w:rPr>
          <w:sz w:val="26"/>
          <w:szCs w:val="26"/>
        </w:rPr>
        <w:t>.00</w:t>
      </w:r>
      <w:r w:rsidR="00977A6E" w:rsidRPr="004B577F">
        <w:rPr>
          <w:sz w:val="26"/>
          <w:szCs w:val="26"/>
        </w:rPr>
        <w:t xml:space="preserve"> on January 23, 2014, $127.66 on June 23, 2014, $90.37 on September 17, 2014, and $9</w:t>
      </w:r>
      <w:r w:rsidR="00D2107D">
        <w:rPr>
          <w:sz w:val="26"/>
          <w:szCs w:val="26"/>
        </w:rPr>
        <w:t>1.61 on October 29, 2014.  R.</w:t>
      </w:r>
      <w:r w:rsidR="00977A6E" w:rsidRPr="004B577F">
        <w:rPr>
          <w:sz w:val="26"/>
          <w:szCs w:val="26"/>
        </w:rPr>
        <w:t xml:space="preserve"> Exc. at 2-3, citing </w:t>
      </w:r>
      <w:r w:rsidR="00F019C7">
        <w:rPr>
          <w:sz w:val="26"/>
          <w:szCs w:val="26"/>
        </w:rPr>
        <w:t xml:space="preserve">PPL </w:t>
      </w:r>
      <w:proofErr w:type="spellStart"/>
      <w:r w:rsidR="00977A6E" w:rsidRPr="004B577F">
        <w:rPr>
          <w:sz w:val="26"/>
          <w:szCs w:val="26"/>
        </w:rPr>
        <w:t>Exh</w:t>
      </w:r>
      <w:proofErr w:type="spellEnd"/>
      <w:r w:rsidR="00977A6E" w:rsidRPr="004B577F">
        <w:rPr>
          <w:sz w:val="26"/>
          <w:szCs w:val="26"/>
        </w:rPr>
        <w:t xml:space="preserve">. 1.  With respect to </w:t>
      </w:r>
      <w:r w:rsidR="0044689B" w:rsidRPr="004B577F">
        <w:rPr>
          <w:sz w:val="26"/>
          <w:szCs w:val="26"/>
        </w:rPr>
        <w:t xml:space="preserve">the Complainant’s Exception regarding </w:t>
      </w:r>
      <w:r w:rsidR="00977A6E" w:rsidRPr="004B577F">
        <w:rPr>
          <w:sz w:val="26"/>
          <w:szCs w:val="26"/>
        </w:rPr>
        <w:t>FOF No. 13, PPL avers that the record clearly shows that the Complainant</w:t>
      </w:r>
      <w:r w:rsidR="00F019C7">
        <w:rPr>
          <w:sz w:val="26"/>
          <w:szCs w:val="26"/>
        </w:rPr>
        <w:t xml:space="preserve"> defaulted on a total of twenty-</w:t>
      </w:r>
      <w:r w:rsidR="00977A6E" w:rsidRPr="004B577F">
        <w:rPr>
          <w:sz w:val="26"/>
          <w:szCs w:val="26"/>
        </w:rPr>
        <w:t xml:space="preserve">six prior payment arrangements, one of which was </w:t>
      </w:r>
      <w:r w:rsidR="00657A7F">
        <w:rPr>
          <w:sz w:val="26"/>
          <w:szCs w:val="26"/>
        </w:rPr>
        <w:t>the July 2014</w:t>
      </w:r>
      <w:r w:rsidR="00977A6E" w:rsidRPr="004B577F">
        <w:rPr>
          <w:sz w:val="26"/>
          <w:szCs w:val="26"/>
        </w:rPr>
        <w:t xml:space="preserve"> payment arrangement </w:t>
      </w:r>
      <w:proofErr w:type="gramStart"/>
      <w:r w:rsidR="00204672">
        <w:rPr>
          <w:sz w:val="26"/>
          <w:szCs w:val="26"/>
        </w:rPr>
        <w:t xml:space="preserve">noted </w:t>
      </w:r>
      <w:r w:rsidR="00977A6E" w:rsidRPr="004B577F">
        <w:rPr>
          <w:sz w:val="26"/>
          <w:szCs w:val="26"/>
        </w:rPr>
        <w:t xml:space="preserve"> by</w:t>
      </w:r>
      <w:proofErr w:type="gramEnd"/>
      <w:r w:rsidR="00977A6E" w:rsidRPr="004B577F">
        <w:rPr>
          <w:sz w:val="26"/>
          <w:szCs w:val="26"/>
        </w:rPr>
        <w:t xml:space="preserve"> the ALJ</w:t>
      </w:r>
      <w:r w:rsidR="00D2107D">
        <w:rPr>
          <w:sz w:val="26"/>
          <w:szCs w:val="26"/>
        </w:rPr>
        <w:t xml:space="preserve"> in her Initial Decision.  R.</w:t>
      </w:r>
      <w:r w:rsidR="00977A6E" w:rsidRPr="004B577F">
        <w:rPr>
          <w:sz w:val="26"/>
          <w:szCs w:val="26"/>
        </w:rPr>
        <w:t xml:space="preserve"> Exc. at 3, citing </w:t>
      </w:r>
      <w:r w:rsidR="00F019C7">
        <w:rPr>
          <w:sz w:val="26"/>
          <w:szCs w:val="26"/>
        </w:rPr>
        <w:t xml:space="preserve">PPL </w:t>
      </w:r>
      <w:r w:rsidR="00977A6E" w:rsidRPr="004B577F">
        <w:rPr>
          <w:sz w:val="26"/>
          <w:szCs w:val="26"/>
        </w:rPr>
        <w:t xml:space="preserve">Exh.3.  </w:t>
      </w:r>
      <w:r w:rsidR="0044689B" w:rsidRPr="004B577F">
        <w:rPr>
          <w:sz w:val="26"/>
          <w:szCs w:val="26"/>
        </w:rPr>
        <w:t xml:space="preserve">Lastly, with respect to the Complainant’s Exception regarding FOF No. 14, PPL disagrees with the Complainant’s request that PPL </w:t>
      </w:r>
      <w:r w:rsidR="0044689B" w:rsidRPr="004B577F">
        <w:rPr>
          <w:sz w:val="26"/>
          <w:szCs w:val="26"/>
        </w:rPr>
        <w:lastRenderedPageBreak/>
        <w:t xml:space="preserve">accept </w:t>
      </w:r>
      <w:r w:rsidR="00F019C7">
        <w:rPr>
          <w:sz w:val="26"/>
          <w:szCs w:val="26"/>
        </w:rPr>
        <w:t xml:space="preserve">her offer </w:t>
      </w:r>
      <w:r w:rsidR="0044689B" w:rsidRPr="004B577F">
        <w:rPr>
          <w:sz w:val="26"/>
          <w:szCs w:val="26"/>
        </w:rPr>
        <w:t xml:space="preserve">or that </w:t>
      </w:r>
      <w:r w:rsidR="00204672">
        <w:rPr>
          <w:sz w:val="26"/>
          <w:szCs w:val="26"/>
        </w:rPr>
        <w:t xml:space="preserve">that </w:t>
      </w:r>
      <w:r w:rsidR="0044689B" w:rsidRPr="004B577F">
        <w:rPr>
          <w:sz w:val="26"/>
          <w:szCs w:val="26"/>
        </w:rPr>
        <w:t xml:space="preserve">the Commission direct PPL to issue a payment arrangement in the form of a balloon payment as requested by the Complainant.  PPL contends that </w:t>
      </w:r>
      <w:r w:rsidR="00D2107D">
        <w:rPr>
          <w:sz w:val="26"/>
          <w:szCs w:val="26"/>
        </w:rPr>
        <w:t xml:space="preserve">the Code authorizes the Commission to investigate complaints involving payment disputes between public utilities and their customers and also authorizes the Commission to establish payment arrangements between public utilities and their customers.  However, </w:t>
      </w:r>
      <w:r w:rsidR="00F019C7">
        <w:rPr>
          <w:sz w:val="26"/>
          <w:szCs w:val="26"/>
        </w:rPr>
        <w:t xml:space="preserve">PPL notes that there is </w:t>
      </w:r>
      <w:r w:rsidR="0044689B" w:rsidRPr="004B577F">
        <w:rPr>
          <w:sz w:val="26"/>
          <w:szCs w:val="26"/>
        </w:rPr>
        <w:t>nothing</w:t>
      </w:r>
      <w:r w:rsidR="00F019C7">
        <w:rPr>
          <w:sz w:val="26"/>
          <w:szCs w:val="26"/>
        </w:rPr>
        <w:t xml:space="preserve"> in the Code or Commission</w:t>
      </w:r>
      <w:r w:rsidR="0044689B" w:rsidRPr="004B577F">
        <w:rPr>
          <w:sz w:val="26"/>
          <w:szCs w:val="26"/>
        </w:rPr>
        <w:t xml:space="preserve"> Regulations </w:t>
      </w:r>
      <w:r w:rsidR="00F019C7">
        <w:rPr>
          <w:sz w:val="26"/>
          <w:szCs w:val="26"/>
        </w:rPr>
        <w:t xml:space="preserve">that </w:t>
      </w:r>
      <w:r w:rsidR="0044689B" w:rsidRPr="004B577F">
        <w:rPr>
          <w:sz w:val="26"/>
          <w:szCs w:val="26"/>
        </w:rPr>
        <w:t xml:space="preserve">stipulates </w:t>
      </w:r>
      <w:r w:rsidR="00D2107D">
        <w:rPr>
          <w:sz w:val="26"/>
          <w:szCs w:val="26"/>
        </w:rPr>
        <w:t xml:space="preserve">that </w:t>
      </w:r>
      <w:r w:rsidR="0044689B" w:rsidRPr="004B577F">
        <w:rPr>
          <w:sz w:val="26"/>
          <w:szCs w:val="26"/>
        </w:rPr>
        <w:t xml:space="preserve">the Commission order a balloon payment being requested by the Complainant.  </w:t>
      </w:r>
      <w:r w:rsidR="00D2107D">
        <w:rPr>
          <w:sz w:val="26"/>
          <w:szCs w:val="26"/>
        </w:rPr>
        <w:t>Furthermore, PPL avers that the maximum amount of time to be afforded a customer for such payment arrangements is five years and t</w:t>
      </w:r>
      <w:r w:rsidR="0044689B" w:rsidRPr="004B577F">
        <w:rPr>
          <w:sz w:val="26"/>
          <w:szCs w:val="26"/>
        </w:rPr>
        <w:t>hat the Code has</w:t>
      </w:r>
      <w:r w:rsidR="00D2107D">
        <w:rPr>
          <w:sz w:val="26"/>
          <w:szCs w:val="26"/>
        </w:rPr>
        <w:t xml:space="preserve"> </w:t>
      </w:r>
      <w:r w:rsidR="0044689B" w:rsidRPr="004B577F">
        <w:rPr>
          <w:sz w:val="26"/>
          <w:szCs w:val="26"/>
        </w:rPr>
        <w:t>consistently been interpreted to mean that payment arrangements shall be established in the form of equal monthly payments.</w:t>
      </w:r>
      <w:r w:rsidR="007C522B" w:rsidRPr="004B577F">
        <w:rPr>
          <w:rStyle w:val="FootnoteReference"/>
        </w:rPr>
        <w:footnoteReference w:id="5"/>
      </w:r>
      <w:r w:rsidR="007C522B" w:rsidRPr="004B577F">
        <w:rPr>
          <w:sz w:val="26"/>
          <w:szCs w:val="26"/>
        </w:rPr>
        <w:t xml:space="preserve">  </w:t>
      </w:r>
      <w:proofErr w:type="gramStart"/>
      <w:r w:rsidR="0044689B" w:rsidRPr="004B577F">
        <w:rPr>
          <w:sz w:val="26"/>
          <w:szCs w:val="26"/>
        </w:rPr>
        <w:t xml:space="preserve">R. Exc. </w:t>
      </w:r>
      <w:r w:rsidR="00EF3E42">
        <w:rPr>
          <w:sz w:val="26"/>
          <w:szCs w:val="26"/>
        </w:rPr>
        <w:t>3-4</w:t>
      </w:r>
      <w:r w:rsidR="00D2107D">
        <w:rPr>
          <w:sz w:val="26"/>
          <w:szCs w:val="26"/>
        </w:rPr>
        <w:t>, citing 66 Pa. C.S. § 1405(a</w:t>
      </w:r>
      <w:r w:rsidR="00D2107D" w:rsidRPr="004B577F">
        <w:rPr>
          <w:sz w:val="26"/>
          <w:szCs w:val="26"/>
        </w:rPr>
        <w:t>)</w:t>
      </w:r>
      <w:r w:rsidR="00D2107D">
        <w:rPr>
          <w:sz w:val="26"/>
          <w:szCs w:val="26"/>
        </w:rPr>
        <w:t xml:space="preserve"> and (b).</w:t>
      </w:r>
      <w:proofErr w:type="gramEnd"/>
    </w:p>
    <w:p w:rsidR="001E37CE" w:rsidRPr="004B577F" w:rsidRDefault="001E37CE" w:rsidP="00690848">
      <w:pPr>
        <w:spacing w:line="360" w:lineRule="auto"/>
        <w:ind w:firstLine="1440"/>
        <w:rPr>
          <w:sz w:val="26"/>
          <w:szCs w:val="26"/>
        </w:rPr>
      </w:pPr>
    </w:p>
    <w:p w:rsidR="001E37CE" w:rsidRDefault="001E37CE" w:rsidP="00690848">
      <w:pPr>
        <w:spacing w:line="360" w:lineRule="auto"/>
        <w:ind w:firstLine="1440"/>
        <w:rPr>
          <w:sz w:val="26"/>
          <w:szCs w:val="26"/>
        </w:rPr>
      </w:pPr>
      <w:r w:rsidRPr="004B577F">
        <w:rPr>
          <w:sz w:val="26"/>
          <w:szCs w:val="26"/>
        </w:rPr>
        <w:t xml:space="preserve">In her second Exception, the Complainant </w:t>
      </w:r>
      <w:r w:rsidR="00B66DD7" w:rsidRPr="004B577F">
        <w:rPr>
          <w:sz w:val="26"/>
          <w:szCs w:val="26"/>
        </w:rPr>
        <w:t xml:space="preserve">states </w:t>
      </w:r>
      <w:r w:rsidR="00657A7F">
        <w:rPr>
          <w:sz w:val="26"/>
          <w:szCs w:val="26"/>
        </w:rPr>
        <w:t xml:space="preserve">that </w:t>
      </w:r>
      <w:r w:rsidR="00B66DD7" w:rsidRPr="004B577F">
        <w:rPr>
          <w:sz w:val="26"/>
          <w:szCs w:val="26"/>
        </w:rPr>
        <w:t xml:space="preserve">she has satisfied her burden of proof and </w:t>
      </w:r>
      <w:r w:rsidRPr="004B577F">
        <w:rPr>
          <w:sz w:val="26"/>
          <w:szCs w:val="26"/>
        </w:rPr>
        <w:t xml:space="preserve">challenges several case citations </w:t>
      </w:r>
      <w:r w:rsidR="00755937" w:rsidRPr="004B577F">
        <w:rPr>
          <w:sz w:val="26"/>
          <w:szCs w:val="26"/>
        </w:rPr>
        <w:t>in</w:t>
      </w:r>
      <w:r w:rsidRPr="004B577F">
        <w:rPr>
          <w:sz w:val="26"/>
          <w:szCs w:val="26"/>
        </w:rPr>
        <w:t xml:space="preserve"> the ALJ’s Initial Decision regarding </w:t>
      </w:r>
      <w:r w:rsidR="00657A7F">
        <w:rPr>
          <w:sz w:val="26"/>
          <w:szCs w:val="26"/>
        </w:rPr>
        <w:t xml:space="preserve">her </w:t>
      </w:r>
      <w:r w:rsidRPr="004B577F">
        <w:rPr>
          <w:sz w:val="26"/>
          <w:szCs w:val="26"/>
        </w:rPr>
        <w:t xml:space="preserve">burden of proof.  </w:t>
      </w:r>
      <w:r w:rsidR="001B61D7" w:rsidRPr="004B577F">
        <w:rPr>
          <w:sz w:val="26"/>
          <w:szCs w:val="26"/>
        </w:rPr>
        <w:t>The Complainant also challenges the AL</w:t>
      </w:r>
      <w:r w:rsidR="008369EF">
        <w:rPr>
          <w:sz w:val="26"/>
          <w:szCs w:val="26"/>
        </w:rPr>
        <w:t>J’s discussion on the Complainant’s inability to pay her bills</w:t>
      </w:r>
      <w:r w:rsidR="001B61D7" w:rsidRPr="004B577F">
        <w:rPr>
          <w:sz w:val="26"/>
          <w:szCs w:val="26"/>
        </w:rPr>
        <w:t>.  The Complainant</w:t>
      </w:r>
      <w:r w:rsidR="00755937" w:rsidRPr="004B577F">
        <w:rPr>
          <w:sz w:val="26"/>
          <w:szCs w:val="26"/>
        </w:rPr>
        <w:t xml:space="preserve"> avers that </w:t>
      </w:r>
      <w:r w:rsidR="001B61D7" w:rsidRPr="004B577F">
        <w:rPr>
          <w:sz w:val="26"/>
          <w:szCs w:val="26"/>
        </w:rPr>
        <w:t>although</w:t>
      </w:r>
      <w:r w:rsidR="00755937" w:rsidRPr="004B577F">
        <w:rPr>
          <w:sz w:val="26"/>
          <w:szCs w:val="26"/>
        </w:rPr>
        <w:t xml:space="preserve"> she </w:t>
      </w:r>
      <w:r w:rsidR="001B61D7" w:rsidRPr="004B577F">
        <w:rPr>
          <w:sz w:val="26"/>
          <w:szCs w:val="26"/>
        </w:rPr>
        <w:t xml:space="preserve">is </w:t>
      </w:r>
      <w:r w:rsidR="00755937" w:rsidRPr="004B577F">
        <w:rPr>
          <w:sz w:val="26"/>
          <w:szCs w:val="26"/>
        </w:rPr>
        <w:t>requesting to make regular payments for four to four-and half years</w:t>
      </w:r>
      <w:r w:rsidR="001B61D7" w:rsidRPr="004B577F">
        <w:rPr>
          <w:sz w:val="26"/>
          <w:szCs w:val="26"/>
        </w:rPr>
        <w:t xml:space="preserve">, she is also requesting to </w:t>
      </w:r>
      <w:r w:rsidR="00755937" w:rsidRPr="004B577F">
        <w:rPr>
          <w:sz w:val="26"/>
          <w:szCs w:val="26"/>
        </w:rPr>
        <w:t xml:space="preserve">make a balloon payment at the end of </w:t>
      </w:r>
      <w:r w:rsidR="005E510F" w:rsidRPr="004B577F">
        <w:rPr>
          <w:sz w:val="26"/>
          <w:szCs w:val="26"/>
        </w:rPr>
        <w:t>the fifth year</w:t>
      </w:r>
      <w:r w:rsidR="008369EF">
        <w:rPr>
          <w:sz w:val="26"/>
          <w:szCs w:val="26"/>
        </w:rPr>
        <w:t>.  The Complainant a</w:t>
      </w:r>
      <w:r w:rsidR="00657A7F">
        <w:rPr>
          <w:sz w:val="26"/>
          <w:szCs w:val="26"/>
        </w:rPr>
        <w:t xml:space="preserve">sserts </w:t>
      </w:r>
      <w:r w:rsidR="008369EF">
        <w:rPr>
          <w:sz w:val="26"/>
          <w:szCs w:val="26"/>
        </w:rPr>
        <w:t>that</w:t>
      </w:r>
      <w:r w:rsidR="001B61D7" w:rsidRPr="004B577F">
        <w:rPr>
          <w:sz w:val="26"/>
          <w:szCs w:val="26"/>
        </w:rPr>
        <w:t xml:space="preserve"> </w:t>
      </w:r>
      <w:r w:rsidR="008369EF">
        <w:rPr>
          <w:sz w:val="26"/>
          <w:szCs w:val="26"/>
        </w:rPr>
        <w:t xml:space="preserve">she is </w:t>
      </w:r>
      <w:r w:rsidR="00657A7F">
        <w:rPr>
          <w:sz w:val="26"/>
          <w:szCs w:val="26"/>
        </w:rPr>
        <w:t xml:space="preserve">also </w:t>
      </w:r>
      <w:r w:rsidR="008369EF">
        <w:rPr>
          <w:sz w:val="26"/>
          <w:szCs w:val="26"/>
        </w:rPr>
        <w:t>offering to</w:t>
      </w:r>
      <w:r w:rsidR="001B61D7" w:rsidRPr="004B577F">
        <w:rPr>
          <w:sz w:val="26"/>
          <w:szCs w:val="26"/>
        </w:rPr>
        <w:t xml:space="preserve"> make </w:t>
      </w:r>
      <w:r w:rsidR="00755937" w:rsidRPr="004B577F">
        <w:rPr>
          <w:sz w:val="26"/>
          <w:szCs w:val="26"/>
        </w:rPr>
        <w:t>monthly payment</w:t>
      </w:r>
      <w:r w:rsidR="001B61D7" w:rsidRPr="004B577F">
        <w:rPr>
          <w:sz w:val="26"/>
          <w:szCs w:val="26"/>
        </w:rPr>
        <w:t>s</w:t>
      </w:r>
      <w:r w:rsidR="00755937" w:rsidRPr="004B577F">
        <w:rPr>
          <w:sz w:val="26"/>
          <w:szCs w:val="26"/>
        </w:rPr>
        <w:t xml:space="preserve"> toward her arrears.  </w:t>
      </w:r>
      <w:r w:rsidR="008369EF">
        <w:rPr>
          <w:sz w:val="26"/>
          <w:szCs w:val="26"/>
        </w:rPr>
        <w:t xml:space="preserve">However, the </w:t>
      </w:r>
      <w:r w:rsidR="00755937" w:rsidRPr="004B577F">
        <w:rPr>
          <w:sz w:val="26"/>
          <w:szCs w:val="26"/>
        </w:rPr>
        <w:t>only difference</w:t>
      </w:r>
      <w:r w:rsidR="005E510F" w:rsidRPr="004B577F">
        <w:rPr>
          <w:sz w:val="26"/>
          <w:szCs w:val="26"/>
        </w:rPr>
        <w:t xml:space="preserve"> between her offer and that of PPL</w:t>
      </w:r>
      <w:r w:rsidR="00755937" w:rsidRPr="004B577F">
        <w:rPr>
          <w:sz w:val="26"/>
          <w:szCs w:val="26"/>
        </w:rPr>
        <w:t xml:space="preserve"> is </w:t>
      </w:r>
      <w:r w:rsidR="005E510F" w:rsidRPr="004B577F">
        <w:rPr>
          <w:sz w:val="26"/>
          <w:szCs w:val="26"/>
        </w:rPr>
        <w:t xml:space="preserve">that </w:t>
      </w:r>
      <w:r w:rsidR="00755937" w:rsidRPr="004B577F">
        <w:rPr>
          <w:sz w:val="26"/>
          <w:szCs w:val="26"/>
        </w:rPr>
        <w:t xml:space="preserve">the monthly payment she is offering is less than that proffered by PPL in the </w:t>
      </w:r>
      <w:r w:rsidR="00657A7F">
        <w:rPr>
          <w:sz w:val="26"/>
          <w:szCs w:val="26"/>
        </w:rPr>
        <w:t>July 2014</w:t>
      </w:r>
      <w:r w:rsidR="00755937" w:rsidRPr="004B577F">
        <w:rPr>
          <w:sz w:val="26"/>
          <w:szCs w:val="26"/>
        </w:rPr>
        <w:t xml:space="preserve"> payment arrangement</w:t>
      </w:r>
      <w:r w:rsidR="0012144B">
        <w:rPr>
          <w:sz w:val="26"/>
          <w:szCs w:val="26"/>
        </w:rPr>
        <w:t xml:space="preserve"> and that she </w:t>
      </w:r>
      <w:r w:rsidR="008369EF" w:rsidRPr="004B577F">
        <w:rPr>
          <w:sz w:val="26"/>
          <w:szCs w:val="26"/>
        </w:rPr>
        <w:t>plans</w:t>
      </w:r>
      <w:r w:rsidR="008369EF">
        <w:rPr>
          <w:sz w:val="26"/>
          <w:szCs w:val="26"/>
        </w:rPr>
        <w:t xml:space="preserve"> to reconcile </w:t>
      </w:r>
      <w:r w:rsidR="00755937" w:rsidRPr="004B577F">
        <w:rPr>
          <w:sz w:val="26"/>
          <w:szCs w:val="26"/>
        </w:rPr>
        <w:t>the difference in the fifth year of the balloon payment</w:t>
      </w:r>
      <w:r w:rsidR="005E510F" w:rsidRPr="004B577F">
        <w:rPr>
          <w:sz w:val="26"/>
          <w:szCs w:val="26"/>
        </w:rPr>
        <w:t xml:space="preserve">.  Exc. at </w:t>
      </w:r>
      <w:r w:rsidR="008369EF">
        <w:rPr>
          <w:sz w:val="26"/>
          <w:szCs w:val="26"/>
        </w:rPr>
        <w:t>4-</w:t>
      </w:r>
      <w:r w:rsidR="005E510F" w:rsidRPr="004B577F">
        <w:rPr>
          <w:sz w:val="26"/>
          <w:szCs w:val="26"/>
        </w:rPr>
        <w:t>6.</w:t>
      </w:r>
    </w:p>
    <w:p w:rsidR="0012144B" w:rsidRPr="004B577F" w:rsidRDefault="0012144B" w:rsidP="00690848">
      <w:pPr>
        <w:spacing w:line="360" w:lineRule="auto"/>
        <w:ind w:firstLine="1440"/>
        <w:rPr>
          <w:sz w:val="26"/>
          <w:szCs w:val="26"/>
        </w:rPr>
      </w:pPr>
    </w:p>
    <w:p w:rsidR="00246489" w:rsidRPr="004B577F" w:rsidRDefault="00246489" w:rsidP="00690848">
      <w:pPr>
        <w:spacing w:line="360" w:lineRule="auto"/>
        <w:ind w:firstLine="1440"/>
        <w:rPr>
          <w:sz w:val="26"/>
          <w:szCs w:val="26"/>
        </w:rPr>
      </w:pPr>
      <w:r w:rsidRPr="004B577F">
        <w:rPr>
          <w:sz w:val="26"/>
          <w:szCs w:val="26"/>
        </w:rPr>
        <w:t>In Reply, PPL d</w:t>
      </w:r>
      <w:r w:rsidR="007E32F7">
        <w:rPr>
          <w:sz w:val="26"/>
          <w:szCs w:val="26"/>
        </w:rPr>
        <w:t>isagrees with</w:t>
      </w:r>
      <w:r w:rsidRPr="004B577F">
        <w:rPr>
          <w:sz w:val="26"/>
          <w:szCs w:val="26"/>
        </w:rPr>
        <w:t xml:space="preserve"> the Complainant’s assertions that she satisfied her burden of proof </w:t>
      </w:r>
      <w:r w:rsidR="001B61D7" w:rsidRPr="004B577F">
        <w:rPr>
          <w:sz w:val="26"/>
          <w:szCs w:val="26"/>
        </w:rPr>
        <w:t>in the instant proceeding</w:t>
      </w:r>
      <w:r w:rsidRPr="004B577F">
        <w:rPr>
          <w:sz w:val="26"/>
          <w:szCs w:val="26"/>
        </w:rPr>
        <w:t xml:space="preserve">.  PPL avers that there is overwhelming </w:t>
      </w:r>
      <w:r w:rsidRPr="004B577F">
        <w:rPr>
          <w:sz w:val="26"/>
          <w:szCs w:val="26"/>
        </w:rPr>
        <w:lastRenderedPageBreak/>
        <w:t xml:space="preserve">competent evidence in the record that supports the ALJ’s </w:t>
      </w:r>
      <w:r w:rsidR="007E32F7">
        <w:rPr>
          <w:sz w:val="26"/>
          <w:szCs w:val="26"/>
        </w:rPr>
        <w:t xml:space="preserve">conclusion </w:t>
      </w:r>
      <w:r w:rsidR="00657A7F">
        <w:rPr>
          <w:sz w:val="26"/>
          <w:szCs w:val="26"/>
        </w:rPr>
        <w:t xml:space="preserve">regarding </w:t>
      </w:r>
      <w:r w:rsidR="007E32F7">
        <w:rPr>
          <w:sz w:val="26"/>
          <w:szCs w:val="26"/>
        </w:rPr>
        <w:t>the Comp</w:t>
      </w:r>
      <w:r w:rsidR="00657A7F">
        <w:rPr>
          <w:sz w:val="26"/>
          <w:szCs w:val="26"/>
        </w:rPr>
        <w:t>lainant’s burden of proof in the</w:t>
      </w:r>
      <w:r w:rsidR="007E32F7">
        <w:rPr>
          <w:sz w:val="26"/>
          <w:szCs w:val="26"/>
        </w:rPr>
        <w:t xml:space="preserve"> </w:t>
      </w:r>
      <w:r w:rsidRPr="004B577F">
        <w:rPr>
          <w:sz w:val="26"/>
          <w:szCs w:val="26"/>
        </w:rPr>
        <w:t xml:space="preserve">Initial Decision.  PPL maintains that there is </w:t>
      </w:r>
      <w:r w:rsidR="000943A4" w:rsidRPr="004B577F">
        <w:rPr>
          <w:sz w:val="26"/>
          <w:szCs w:val="26"/>
        </w:rPr>
        <w:t xml:space="preserve">no Code or relevant case law that </w:t>
      </w:r>
      <w:r w:rsidR="0012144B">
        <w:rPr>
          <w:sz w:val="26"/>
          <w:szCs w:val="26"/>
        </w:rPr>
        <w:t xml:space="preserve">requires </w:t>
      </w:r>
      <w:r w:rsidR="000943A4" w:rsidRPr="004B577F">
        <w:rPr>
          <w:sz w:val="26"/>
          <w:szCs w:val="26"/>
        </w:rPr>
        <w:t>a public utility to offer a payment arrangement to a customer</w:t>
      </w:r>
      <w:r w:rsidR="001B61D7" w:rsidRPr="004B577F">
        <w:rPr>
          <w:sz w:val="26"/>
          <w:szCs w:val="26"/>
        </w:rPr>
        <w:t xml:space="preserve"> </w:t>
      </w:r>
      <w:proofErr w:type="gramStart"/>
      <w:r w:rsidR="000943A4" w:rsidRPr="004B577F">
        <w:rPr>
          <w:sz w:val="26"/>
          <w:szCs w:val="26"/>
        </w:rPr>
        <w:t>which</w:t>
      </w:r>
      <w:proofErr w:type="gramEnd"/>
      <w:r w:rsidR="000943A4" w:rsidRPr="004B577F">
        <w:rPr>
          <w:sz w:val="26"/>
          <w:szCs w:val="26"/>
        </w:rPr>
        <w:t xml:space="preserve"> includes a balloon payment, or that authorizes the Commission to establish a balloon payment arrangement.  In support of its position, PPL </w:t>
      </w:r>
      <w:r w:rsidR="00964C35" w:rsidRPr="004B577F">
        <w:rPr>
          <w:sz w:val="26"/>
          <w:szCs w:val="26"/>
        </w:rPr>
        <w:t>re-emphasizes</w:t>
      </w:r>
      <w:r w:rsidR="000943A4" w:rsidRPr="004B577F">
        <w:rPr>
          <w:sz w:val="26"/>
          <w:szCs w:val="26"/>
        </w:rPr>
        <w:t xml:space="preserve"> the Commission’s ruling in </w:t>
      </w:r>
      <w:proofErr w:type="spellStart"/>
      <w:r w:rsidR="000943A4" w:rsidRPr="004B577F">
        <w:rPr>
          <w:i/>
          <w:sz w:val="26"/>
          <w:szCs w:val="26"/>
        </w:rPr>
        <w:t>Edney</w:t>
      </w:r>
      <w:proofErr w:type="spellEnd"/>
      <w:r w:rsidR="000943A4" w:rsidRPr="004B577F">
        <w:rPr>
          <w:sz w:val="26"/>
          <w:szCs w:val="26"/>
        </w:rPr>
        <w:t>.  R. Exc. at 4.  Furthermore, PPL states that the Complainant was offered the most advantageous payment arrangement to which any customer is enti</w:t>
      </w:r>
      <w:r w:rsidR="00497082" w:rsidRPr="004B577F">
        <w:rPr>
          <w:sz w:val="26"/>
          <w:szCs w:val="26"/>
        </w:rPr>
        <w:t xml:space="preserve">tled.  </w:t>
      </w:r>
      <w:r w:rsidR="00497082" w:rsidRPr="004B577F">
        <w:rPr>
          <w:i/>
          <w:sz w:val="26"/>
          <w:szCs w:val="26"/>
        </w:rPr>
        <w:t>Id.</w:t>
      </w:r>
      <w:r w:rsidR="00497082" w:rsidRPr="004B577F">
        <w:rPr>
          <w:sz w:val="26"/>
          <w:szCs w:val="26"/>
        </w:rPr>
        <w:t xml:space="preserve"> at 5-6, citing I.D. at 6; 66 Pa. C.S. § 1405(b</w:t>
      </w:r>
      <w:proofErr w:type="gramStart"/>
      <w:r w:rsidR="00497082" w:rsidRPr="004B577F">
        <w:rPr>
          <w:sz w:val="26"/>
          <w:szCs w:val="26"/>
        </w:rPr>
        <w:t>)(</w:t>
      </w:r>
      <w:proofErr w:type="gramEnd"/>
      <w:r w:rsidR="00497082" w:rsidRPr="004B577F">
        <w:rPr>
          <w:sz w:val="26"/>
          <w:szCs w:val="26"/>
        </w:rPr>
        <w:t xml:space="preserve">1), </w:t>
      </w:r>
      <w:proofErr w:type="spellStart"/>
      <w:r w:rsidR="00497082" w:rsidRPr="004B577F">
        <w:rPr>
          <w:i/>
          <w:sz w:val="26"/>
          <w:szCs w:val="26"/>
        </w:rPr>
        <w:t>Edney</w:t>
      </w:r>
      <w:proofErr w:type="spellEnd"/>
      <w:r w:rsidR="00497082" w:rsidRPr="004B577F">
        <w:rPr>
          <w:sz w:val="26"/>
          <w:szCs w:val="26"/>
        </w:rPr>
        <w:t>.</w:t>
      </w:r>
    </w:p>
    <w:p w:rsidR="005E510F" w:rsidRPr="004B577F" w:rsidRDefault="005E510F" w:rsidP="00690848">
      <w:pPr>
        <w:spacing w:line="360" w:lineRule="auto"/>
        <w:ind w:firstLine="1440"/>
        <w:rPr>
          <w:sz w:val="26"/>
          <w:szCs w:val="26"/>
        </w:rPr>
      </w:pPr>
    </w:p>
    <w:p w:rsidR="005E510F" w:rsidRPr="004B577F" w:rsidRDefault="005E510F" w:rsidP="00690848">
      <w:pPr>
        <w:spacing w:line="360" w:lineRule="auto"/>
        <w:ind w:firstLine="1440"/>
        <w:rPr>
          <w:sz w:val="26"/>
          <w:szCs w:val="26"/>
        </w:rPr>
      </w:pPr>
      <w:r w:rsidRPr="004B577F">
        <w:rPr>
          <w:sz w:val="26"/>
          <w:szCs w:val="26"/>
        </w:rPr>
        <w:t>In her third Exception, the Complainant challenges the Legal Standards put forth by the ALJ in the Initial Dec</w:t>
      </w:r>
      <w:r w:rsidR="00F41198" w:rsidRPr="004B577F">
        <w:rPr>
          <w:sz w:val="26"/>
          <w:szCs w:val="26"/>
        </w:rPr>
        <w:t xml:space="preserve">ision.  Specifically, the Complainant challenges the ALJ’s citation of 66 Pa. C.S. § 1405 and its applicability to the Complainant’s annual income.  Furthermore, the Complainant </w:t>
      </w:r>
      <w:r w:rsidR="00CE2EF1">
        <w:rPr>
          <w:sz w:val="26"/>
          <w:szCs w:val="26"/>
        </w:rPr>
        <w:t>disputes</w:t>
      </w:r>
      <w:r w:rsidR="00F41198" w:rsidRPr="004B577F">
        <w:rPr>
          <w:sz w:val="26"/>
          <w:szCs w:val="26"/>
        </w:rPr>
        <w:t xml:space="preserve"> the relevance of </w:t>
      </w:r>
      <w:r w:rsidR="00CE2EF1">
        <w:rPr>
          <w:sz w:val="26"/>
          <w:szCs w:val="26"/>
        </w:rPr>
        <w:t xml:space="preserve">PPL </w:t>
      </w:r>
      <w:r w:rsidR="00F41198" w:rsidRPr="004B577F">
        <w:rPr>
          <w:sz w:val="26"/>
          <w:szCs w:val="26"/>
        </w:rPr>
        <w:t>Exhibit 3</w:t>
      </w:r>
      <w:r w:rsidR="00FB1113" w:rsidRPr="004B577F">
        <w:rPr>
          <w:sz w:val="26"/>
          <w:szCs w:val="26"/>
        </w:rPr>
        <w:t xml:space="preserve">, and it’s implication </w:t>
      </w:r>
      <w:r w:rsidR="0012144B">
        <w:rPr>
          <w:sz w:val="26"/>
          <w:szCs w:val="26"/>
        </w:rPr>
        <w:t>of</w:t>
      </w:r>
      <w:r w:rsidR="00FB1113" w:rsidRPr="004B577F">
        <w:rPr>
          <w:sz w:val="26"/>
          <w:szCs w:val="26"/>
        </w:rPr>
        <w:t xml:space="preserve"> the ALJ’s position o</w:t>
      </w:r>
      <w:r w:rsidR="00CE2EF1">
        <w:rPr>
          <w:sz w:val="26"/>
          <w:szCs w:val="26"/>
        </w:rPr>
        <w:t xml:space="preserve">n the Complainant’s request for balloon </w:t>
      </w:r>
      <w:r w:rsidR="00FB1113" w:rsidRPr="004B577F">
        <w:rPr>
          <w:sz w:val="26"/>
          <w:szCs w:val="26"/>
        </w:rPr>
        <w:t xml:space="preserve">payment arrangement.  Specifically, the Complainant faults the ALJ’s use of </w:t>
      </w:r>
      <w:r w:rsidR="00CE2EF1">
        <w:rPr>
          <w:sz w:val="26"/>
          <w:szCs w:val="26"/>
        </w:rPr>
        <w:t>PPL Exhibit 3 as it pertains to 6</w:t>
      </w:r>
      <w:r w:rsidR="00FB1113" w:rsidRPr="004B577F">
        <w:rPr>
          <w:sz w:val="26"/>
          <w:szCs w:val="26"/>
        </w:rPr>
        <w:t xml:space="preserve">6 Pa. C.S. § 1405(d), </w:t>
      </w:r>
      <w:r w:rsidR="00CE2EF1">
        <w:rPr>
          <w:sz w:val="26"/>
          <w:szCs w:val="26"/>
        </w:rPr>
        <w:t xml:space="preserve">and </w:t>
      </w:r>
      <w:r w:rsidR="00FB1113" w:rsidRPr="004B577F">
        <w:rPr>
          <w:sz w:val="26"/>
          <w:szCs w:val="26"/>
        </w:rPr>
        <w:t xml:space="preserve">as a basis </w:t>
      </w:r>
      <w:r w:rsidR="00CE2EF1">
        <w:rPr>
          <w:sz w:val="26"/>
          <w:szCs w:val="26"/>
        </w:rPr>
        <w:t xml:space="preserve">for the </w:t>
      </w:r>
      <w:r w:rsidR="00657A7F">
        <w:rPr>
          <w:sz w:val="26"/>
          <w:szCs w:val="26"/>
        </w:rPr>
        <w:t>ALJ’s conclusion in the Initial Decision</w:t>
      </w:r>
      <w:r w:rsidR="00F41198" w:rsidRPr="004B577F">
        <w:rPr>
          <w:sz w:val="26"/>
          <w:szCs w:val="26"/>
        </w:rPr>
        <w:t>.</w:t>
      </w:r>
      <w:r w:rsidR="00B50A86" w:rsidRPr="004B577F">
        <w:rPr>
          <w:sz w:val="26"/>
          <w:szCs w:val="26"/>
        </w:rPr>
        <w:t xml:space="preserve">  </w:t>
      </w:r>
      <w:r w:rsidR="000539B0">
        <w:rPr>
          <w:sz w:val="26"/>
          <w:szCs w:val="26"/>
        </w:rPr>
        <w:t>Exc.</w:t>
      </w:r>
      <w:r w:rsidR="00B50A86" w:rsidRPr="004B577F">
        <w:rPr>
          <w:sz w:val="26"/>
          <w:szCs w:val="26"/>
        </w:rPr>
        <w:t xml:space="preserve"> at 6-8.</w:t>
      </w:r>
    </w:p>
    <w:p w:rsidR="006951D1" w:rsidRPr="004B577F" w:rsidRDefault="006951D1" w:rsidP="00690848">
      <w:pPr>
        <w:spacing w:line="360" w:lineRule="auto"/>
        <w:ind w:firstLine="1440"/>
        <w:rPr>
          <w:sz w:val="26"/>
          <w:szCs w:val="26"/>
        </w:rPr>
      </w:pPr>
    </w:p>
    <w:p w:rsidR="006951D1" w:rsidRPr="004B577F" w:rsidRDefault="006951D1" w:rsidP="00690848">
      <w:pPr>
        <w:spacing w:line="360" w:lineRule="auto"/>
        <w:ind w:firstLine="1440"/>
        <w:rPr>
          <w:sz w:val="26"/>
          <w:szCs w:val="26"/>
        </w:rPr>
      </w:pPr>
      <w:r w:rsidRPr="004B577F">
        <w:rPr>
          <w:sz w:val="26"/>
          <w:szCs w:val="26"/>
        </w:rPr>
        <w:t xml:space="preserve">In Reply, </w:t>
      </w:r>
      <w:r w:rsidR="00FB1113" w:rsidRPr="004B577F">
        <w:rPr>
          <w:sz w:val="26"/>
          <w:szCs w:val="26"/>
        </w:rPr>
        <w:t xml:space="preserve">PPL disagrees with the Complainant’s contention about her annual income and her claim that she did not default on the </w:t>
      </w:r>
      <w:r w:rsidR="00657A7F">
        <w:rPr>
          <w:sz w:val="26"/>
          <w:szCs w:val="26"/>
        </w:rPr>
        <w:t>July 2014</w:t>
      </w:r>
      <w:r w:rsidR="00FB1113" w:rsidRPr="004B577F">
        <w:rPr>
          <w:sz w:val="26"/>
          <w:szCs w:val="26"/>
        </w:rPr>
        <w:t xml:space="preserve"> payment arrangement.  According to PPL, the record clearly indicates that the Complainant defaulted on the </w:t>
      </w:r>
      <w:r w:rsidR="00657A7F">
        <w:rPr>
          <w:sz w:val="26"/>
          <w:szCs w:val="26"/>
        </w:rPr>
        <w:t>July 2014</w:t>
      </w:r>
      <w:r w:rsidR="00FB1113" w:rsidRPr="004B577F">
        <w:rPr>
          <w:sz w:val="26"/>
          <w:szCs w:val="26"/>
        </w:rPr>
        <w:t xml:space="preserve"> payment arrangement.  R. Exc. at 7</w:t>
      </w:r>
      <w:r w:rsidR="001F6C5B" w:rsidRPr="004B577F">
        <w:rPr>
          <w:sz w:val="26"/>
          <w:szCs w:val="26"/>
        </w:rPr>
        <w:t xml:space="preserve">, citing Tr. at 8 </w:t>
      </w:r>
      <w:r w:rsidR="00B27E5C" w:rsidRPr="004B577F">
        <w:rPr>
          <w:sz w:val="26"/>
          <w:szCs w:val="26"/>
        </w:rPr>
        <w:t xml:space="preserve">and 18; </w:t>
      </w:r>
      <w:r w:rsidR="00614CD2">
        <w:rPr>
          <w:sz w:val="26"/>
          <w:szCs w:val="26"/>
        </w:rPr>
        <w:t xml:space="preserve">PPL </w:t>
      </w:r>
      <w:proofErr w:type="spellStart"/>
      <w:r w:rsidR="00B27E5C" w:rsidRPr="004B577F">
        <w:rPr>
          <w:sz w:val="26"/>
          <w:szCs w:val="26"/>
        </w:rPr>
        <w:t>Exh</w:t>
      </w:r>
      <w:proofErr w:type="spellEnd"/>
      <w:r w:rsidR="00B27E5C" w:rsidRPr="004B577F">
        <w:rPr>
          <w:sz w:val="26"/>
          <w:szCs w:val="26"/>
        </w:rPr>
        <w:t>. 3.</w:t>
      </w:r>
    </w:p>
    <w:p w:rsidR="00B50A86" w:rsidRPr="004B577F" w:rsidRDefault="00B50A86" w:rsidP="00690848">
      <w:pPr>
        <w:spacing w:line="360" w:lineRule="auto"/>
        <w:ind w:firstLine="1440"/>
        <w:rPr>
          <w:sz w:val="26"/>
          <w:szCs w:val="26"/>
        </w:rPr>
      </w:pPr>
    </w:p>
    <w:p w:rsidR="004B513F" w:rsidRPr="004B577F" w:rsidRDefault="00B50A86" w:rsidP="004B513F">
      <w:pPr>
        <w:spacing w:line="360" w:lineRule="auto"/>
        <w:ind w:firstLine="1440"/>
        <w:rPr>
          <w:sz w:val="26"/>
          <w:szCs w:val="26"/>
        </w:rPr>
      </w:pPr>
      <w:r w:rsidRPr="004B577F">
        <w:rPr>
          <w:sz w:val="26"/>
          <w:szCs w:val="26"/>
        </w:rPr>
        <w:t xml:space="preserve">In her fourth Exception, </w:t>
      </w:r>
      <w:r w:rsidR="005B2C9A" w:rsidRPr="004B577F">
        <w:rPr>
          <w:sz w:val="26"/>
          <w:szCs w:val="26"/>
        </w:rPr>
        <w:t xml:space="preserve">the Complainant once again faults the ALJ’s inclusion of </w:t>
      </w:r>
      <w:r w:rsidR="00477D5E">
        <w:rPr>
          <w:sz w:val="26"/>
          <w:szCs w:val="26"/>
        </w:rPr>
        <w:t xml:space="preserve">PPL </w:t>
      </w:r>
      <w:r w:rsidR="005B2C9A" w:rsidRPr="004B577F">
        <w:rPr>
          <w:sz w:val="26"/>
          <w:szCs w:val="26"/>
        </w:rPr>
        <w:t>Exhibit 3</w:t>
      </w:r>
      <w:r w:rsidR="00477D5E">
        <w:rPr>
          <w:sz w:val="26"/>
          <w:szCs w:val="26"/>
        </w:rPr>
        <w:t xml:space="preserve"> in the Initial Decision</w:t>
      </w:r>
      <w:r w:rsidR="005B2C9A" w:rsidRPr="004B577F">
        <w:rPr>
          <w:sz w:val="26"/>
          <w:szCs w:val="26"/>
        </w:rPr>
        <w:t xml:space="preserve">, describing it as egregious.  The Complainant accused the ALJ of </w:t>
      </w:r>
      <w:r w:rsidR="004B513F" w:rsidRPr="004B577F">
        <w:rPr>
          <w:sz w:val="26"/>
          <w:szCs w:val="26"/>
        </w:rPr>
        <w:t xml:space="preserve">being </w:t>
      </w:r>
      <w:r w:rsidR="00477D5E">
        <w:rPr>
          <w:sz w:val="26"/>
          <w:szCs w:val="26"/>
        </w:rPr>
        <w:t>biased</w:t>
      </w:r>
      <w:r w:rsidR="005B2C9A" w:rsidRPr="004B577F">
        <w:rPr>
          <w:sz w:val="26"/>
          <w:szCs w:val="26"/>
        </w:rPr>
        <w:t xml:space="preserve"> because during the hearing, </w:t>
      </w:r>
      <w:r w:rsidR="004B513F" w:rsidRPr="004B577F">
        <w:rPr>
          <w:sz w:val="26"/>
          <w:szCs w:val="26"/>
        </w:rPr>
        <w:t>in addressing the Complainant’s request for another payment arrangement</w:t>
      </w:r>
      <w:r w:rsidR="00477D5E">
        <w:rPr>
          <w:sz w:val="26"/>
          <w:szCs w:val="26"/>
        </w:rPr>
        <w:t>,</w:t>
      </w:r>
      <w:r w:rsidR="004B513F" w:rsidRPr="004B577F">
        <w:rPr>
          <w:sz w:val="26"/>
          <w:szCs w:val="26"/>
        </w:rPr>
        <w:t xml:space="preserve"> and upon </w:t>
      </w:r>
      <w:r w:rsidR="00477D5E">
        <w:rPr>
          <w:sz w:val="26"/>
          <w:szCs w:val="26"/>
        </w:rPr>
        <w:t>the</w:t>
      </w:r>
      <w:r w:rsidR="004B513F" w:rsidRPr="004B577F">
        <w:rPr>
          <w:sz w:val="26"/>
          <w:szCs w:val="26"/>
        </w:rPr>
        <w:t xml:space="preserve"> presentation of </w:t>
      </w:r>
      <w:r w:rsidR="00477D5E">
        <w:rPr>
          <w:sz w:val="26"/>
          <w:szCs w:val="26"/>
        </w:rPr>
        <w:t xml:space="preserve">PPL </w:t>
      </w:r>
      <w:r w:rsidR="004B513F" w:rsidRPr="004B577F">
        <w:rPr>
          <w:sz w:val="26"/>
          <w:szCs w:val="26"/>
        </w:rPr>
        <w:t xml:space="preserve">Exhibit 3, the ALJ stated </w:t>
      </w:r>
      <w:r w:rsidR="005B2C9A" w:rsidRPr="004B577F">
        <w:rPr>
          <w:sz w:val="26"/>
          <w:szCs w:val="26"/>
        </w:rPr>
        <w:t xml:space="preserve">“if I were PPL I would not grant you one.”  </w:t>
      </w:r>
      <w:r w:rsidR="004B513F" w:rsidRPr="004B577F">
        <w:rPr>
          <w:sz w:val="26"/>
          <w:szCs w:val="26"/>
        </w:rPr>
        <w:t xml:space="preserve">According to </w:t>
      </w:r>
      <w:r w:rsidR="004B513F" w:rsidRPr="004B577F">
        <w:rPr>
          <w:sz w:val="26"/>
          <w:szCs w:val="26"/>
        </w:rPr>
        <w:lastRenderedPageBreak/>
        <w:t>th</w:t>
      </w:r>
      <w:r w:rsidR="00477D5E">
        <w:rPr>
          <w:sz w:val="26"/>
          <w:szCs w:val="26"/>
        </w:rPr>
        <w:t>e Complainant, the ALJ made the</w:t>
      </w:r>
      <w:r w:rsidR="004B513F" w:rsidRPr="004B577F">
        <w:rPr>
          <w:sz w:val="26"/>
          <w:szCs w:val="26"/>
        </w:rPr>
        <w:t xml:space="preserve"> articulated personal opinion even before </w:t>
      </w:r>
      <w:r w:rsidR="00477D5E">
        <w:rPr>
          <w:sz w:val="26"/>
          <w:szCs w:val="26"/>
        </w:rPr>
        <w:t xml:space="preserve">PPL </w:t>
      </w:r>
      <w:r w:rsidR="004B513F" w:rsidRPr="004B577F">
        <w:rPr>
          <w:sz w:val="26"/>
          <w:szCs w:val="26"/>
        </w:rPr>
        <w:t>Exhibit</w:t>
      </w:r>
      <w:r w:rsidR="0012144B">
        <w:rPr>
          <w:sz w:val="26"/>
          <w:szCs w:val="26"/>
        </w:rPr>
        <w:t> </w:t>
      </w:r>
      <w:r w:rsidR="004B513F" w:rsidRPr="004B577F">
        <w:rPr>
          <w:sz w:val="26"/>
          <w:szCs w:val="26"/>
        </w:rPr>
        <w:t xml:space="preserve">3 was formally entered into the record.  In line with the above, the Complainant requests that the ALJ’s Initial Decision be vacated and another hearing be scheduled to hear her case.  </w:t>
      </w:r>
      <w:r w:rsidR="00477D5E">
        <w:rPr>
          <w:sz w:val="26"/>
          <w:szCs w:val="26"/>
        </w:rPr>
        <w:t>Exc.</w:t>
      </w:r>
      <w:r w:rsidR="004B513F" w:rsidRPr="004B577F">
        <w:rPr>
          <w:sz w:val="26"/>
          <w:szCs w:val="26"/>
        </w:rPr>
        <w:t xml:space="preserve"> at 8-9.</w:t>
      </w:r>
    </w:p>
    <w:p w:rsidR="001F6C5B" w:rsidRPr="004B577F" w:rsidRDefault="001F6C5B" w:rsidP="004B513F">
      <w:pPr>
        <w:spacing w:line="360" w:lineRule="auto"/>
        <w:ind w:firstLine="1440"/>
        <w:rPr>
          <w:sz w:val="26"/>
          <w:szCs w:val="26"/>
        </w:rPr>
      </w:pPr>
    </w:p>
    <w:p w:rsidR="00657A7F" w:rsidRDefault="0012144B" w:rsidP="004B513F">
      <w:pPr>
        <w:spacing w:line="360" w:lineRule="auto"/>
        <w:ind w:firstLine="1440"/>
        <w:rPr>
          <w:sz w:val="26"/>
          <w:szCs w:val="26"/>
        </w:rPr>
      </w:pPr>
      <w:r>
        <w:rPr>
          <w:sz w:val="26"/>
          <w:szCs w:val="26"/>
        </w:rPr>
        <w:t>PPL replies that it</w:t>
      </w:r>
      <w:r w:rsidR="001F6C5B" w:rsidRPr="004B577F">
        <w:rPr>
          <w:sz w:val="26"/>
          <w:szCs w:val="26"/>
        </w:rPr>
        <w:t xml:space="preserve"> disagrees with the Complainant’s accusation of the ALJ as a baseless attempt by the </w:t>
      </w:r>
      <w:r w:rsidR="0022047F">
        <w:rPr>
          <w:sz w:val="26"/>
          <w:szCs w:val="26"/>
        </w:rPr>
        <w:t>Complainant</w:t>
      </w:r>
      <w:r w:rsidR="001F6C5B" w:rsidRPr="004B577F">
        <w:rPr>
          <w:sz w:val="26"/>
          <w:szCs w:val="26"/>
        </w:rPr>
        <w:t xml:space="preserve"> to avoid paying for her electric service.  </w:t>
      </w:r>
      <w:r w:rsidR="00B27E5C" w:rsidRPr="004B577F">
        <w:rPr>
          <w:sz w:val="26"/>
          <w:szCs w:val="26"/>
        </w:rPr>
        <w:t>R. Exc. at</w:t>
      </w:r>
      <w:r w:rsidR="008D2844">
        <w:rPr>
          <w:sz w:val="26"/>
          <w:szCs w:val="26"/>
        </w:rPr>
        <w:t> </w:t>
      </w:r>
      <w:r w:rsidR="00B27E5C" w:rsidRPr="004B577F">
        <w:rPr>
          <w:sz w:val="26"/>
          <w:szCs w:val="26"/>
        </w:rPr>
        <w:t>7.</w:t>
      </w:r>
    </w:p>
    <w:p w:rsidR="00657A7F" w:rsidRDefault="00657A7F" w:rsidP="004B513F">
      <w:pPr>
        <w:spacing w:line="360" w:lineRule="auto"/>
        <w:ind w:firstLine="1440"/>
        <w:rPr>
          <w:sz w:val="26"/>
          <w:szCs w:val="26"/>
        </w:rPr>
      </w:pPr>
    </w:p>
    <w:p w:rsidR="004B513F" w:rsidRPr="004B577F" w:rsidRDefault="004B513F" w:rsidP="004B513F">
      <w:pPr>
        <w:spacing w:line="360" w:lineRule="auto"/>
        <w:ind w:firstLine="1440"/>
        <w:rPr>
          <w:sz w:val="26"/>
          <w:szCs w:val="26"/>
        </w:rPr>
      </w:pPr>
      <w:r w:rsidRPr="004B577F">
        <w:rPr>
          <w:sz w:val="26"/>
          <w:szCs w:val="26"/>
        </w:rPr>
        <w:t>In her fifth Exception, the Complainant asserts that the ALJ’</w:t>
      </w:r>
      <w:r w:rsidR="00FB5E84" w:rsidRPr="004B577F">
        <w:rPr>
          <w:sz w:val="26"/>
          <w:szCs w:val="26"/>
        </w:rPr>
        <w:t xml:space="preserve">s conclusion that </w:t>
      </w:r>
      <w:r w:rsidR="00EF46F0" w:rsidRPr="004B577F">
        <w:rPr>
          <w:sz w:val="26"/>
          <w:szCs w:val="26"/>
        </w:rPr>
        <w:t>she</w:t>
      </w:r>
      <w:r w:rsidR="00FB5E84" w:rsidRPr="004B577F">
        <w:rPr>
          <w:sz w:val="26"/>
          <w:szCs w:val="26"/>
        </w:rPr>
        <w:t xml:space="preserve"> defaulted on </w:t>
      </w:r>
      <w:r w:rsidR="001B5EAB">
        <w:rPr>
          <w:sz w:val="26"/>
          <w:szCs w:val="26"/>
        </w:rPr>
        <w:t>her payment arrangement is inaccurate</w:t>
      </w:r>
      <w:r w:rsidR="00FB5E84" w:rsidRPr="004B577F">
        <w:rPr>
          <w:sz w:val="26"/>
          <w:szCs w:val="26"/>
        </w:rPr>
        <w:t xml:space="preserve">.  The Complainant also avers that the ALJ’s conclusion that </w:t>
      </w:r>
      <w:r w:rsidR="0012144B">
        <w:rPr>
          <w:sz w:val="26"/>
          <w:szCs w:val="26"/>
        </w:rPr>
        <w:t xml:space="preserve">she did not have any change in </w:t>
      </w:r>
      <w:r w:rsidR="00FB5E84" w:rsidRPr="004B577F">
        <w:rPr>
          <w:sz w:val="26"/>
          <w:szCs w:val="26"/>
        </w:rPr>
        <w:t xml:space="preserve">income or a significant change in </w:t>
      </w:r>
      <w:r w:rsidR="001B5EAB">
        <w:rPr>
          <w:sz w:val="26"/>
          <w:szCs w:val="26"/>
        </w:rPr>
        <w:t>circumstance</w:t>
      </w:r>
      <w:r w:rsidR="00FB5E84" w:rsidRPr="004B577F">
        <w:rPr>
          <w:sz w:val="26"/>
          <w:szCs w:val="26"/>
        </w:rPr>
        <w:t xml:space="preserve"> is also </w:t>
      </w:r>
      <w:r w:rsidR="001B5EAB">
        <w:rPr>
          <w:sz w:val="26"/>
          <w:szCs w:val="26"/>
        </w:rPr>
        <w:t>inaccurate</w:t>
      </w:r>
      <w:r w:rsidR="00FB5E84" w:rsidRPr="004B577F">
        <w:rPr>
          <w:sz w:val="26"/>
          <w:szCs w:val="26"/>
        </w:rPr>
        <w:t xml:space="preserve"> and is not supported by the record.  </w:t>
      </w:r>
      <w:r w:rsidR="0012144B">
        <w:rPr>
          <w:sz w:val="26"/>
          <w:szCs w:val="26"/>
        </w:rPr>
        <w:t xml:space="preserve">The </w:t>
      </w:r>
      <w:r w:rsidR="00FB5E84" w:rsidRPr="004B577F">
        <w:rPr>
          <w:sz w:val="26"/>
          <w:szCs w:val="26"/>
        </w:rPr>
        <w:t xml:space="preserve">Complainant </w:t>
      </w:r>
      <w:r w:rsidR="0012144B">
        <w:rPr>
          <w:sz w:val="26"/>
          <w:szCs w:val="26"/>
        </w:rPr>
        <w:t xml:space="preserve">also </w:t>
      </w:r>
      <w:r w:rsidR="00FB5E84" w:rsidRPr="004B577F">
        <w:rPr>
          <w:sz w:val="26"/>
          <w:szCs w:val="26"/>
        </w:rPr>
        <w:t xml:space="preserve">challenges the ALJ’s </w:t>
      </w:r>
      <w:r w:rsidR="004E0903">
        <w:rPr>
          <w:sz w:val="26"/>
          <w:szCs w:val="26"/>
        </w:rPr>
        <w:t xml:space="preserve">ruling </w:t>
      </w:r>
      <w:r w:rsidR="00FB5E84" w:rsidRPr="004B577F">
        <w:rPr>
          <w:sz w:val="26"/>
          <w:szCs w:val="26"/>
        </w:rPr>
        <w:t xml:space="preserve">that there is no provision for a balloon payment </w:t>
      </w:r>
      <w:r w:rsidR="004E0903">
        <w:rPr>
          <w:sz w:val="26"/>
          <w:szCs w:val="26"/>
        </w:rPr>
        <w:t xml:space="preserve">pursuant to </w:t>
      </w:r>
      <w:r w:rsidR="00FB5E84" w:rsidRPr="004B577F">
        <w:rPr>
          <w:sz w:val="26"/>
          <w:szCs w:val="26"/>
        </w:rPr>
        <w:t xml:space="preserve">66 Pa. C.S. § 1405(d).  The Complainant compares her request for balloon payment to the extension </w:t>
      </w:r>
      <w:r w:rsidR="00EF46F0" w:rsidRPr="004B577F">
        <w:rPr>
          <w:sz w:val="26"/>
          <w:szCs w:val="26"/>
        </w:rPr>
        <w:t>of</w:t>
      </w:r>
      <w:r w:rsidR="00FB5E84" w:rsidRPr="004B577F">
        <w:rPr>
          <w:sz w:val="26"/>
          <w:szCs w:val="26"/>
        </w:rPr>
        <w:t xml:space="preserve"> payment arrangement provisions in 66 Pa. C.S. § 1405(e), noting the similarities in </w:t>
      </w:r>
      <w:r w:rsidR="00EF46F0" w:rsidRPr="004B577F">
        <w:rPr>
          <w:sz w:val="26"/>
          <w:szCs w:val="26"/>
        </w:rPr>
        <w:t xml:space="preserve">both situations.  </w:t>
      </w:r>
      <w:proofErr w:type="gramStart"/>
      <w:r w:rsidR="001B5EAB">
        <w:rPr>
          <w:sz w:val="26"/>
          <w:szCs w:val="26"/>
        </w:rPr>
        <w:t>Exc.</w:t>
      </w:r>
      <w:r w:rsidR="00EF46F0" w:rsidRPr="004B577F">
        <w:rPr>
          <w:sz w:val="26"/>
          <w:szCs w:val="26"/>
        </w:rPr>
        <w:t xml:space="preserve"> at 10-11, citing I.D. at 6-7.</w:t>
      </w:r>
      <w:proofErr w:type="gramEnd"/>
    </w:p>
    <w:p w:rsidR="001F6C5B" w:rsidRPr="004B577F" w:rsidRDefault="001F6C5B" w:rsidP="00690848">
      <w:pPr>
        <w:spacing w:line="360" w:lineRule="auto"/>
        <w:ind w:firstLine="1440"/>
        <w:rPr>
          <w:sz w:val="26"/>
          <w:szCs w:val="26"/>
        </w:rPr>
      </w:pPr>
    </w:p>
    <w:p w:rsidR="001F6C5B" w:rsidRPr="004B577F" w:rsidRDefault="001F6C5B" w:rsidP="00690848">
      <w:pPr>
        <w:spacing w:line="360" w:lineRule="auto"/>
        <w:ind w:firstLine="1440"/>
        <w:rPr>
          <w:sz w:val="26"/>
          <w:szCs w:val="26"/>
        </w:rPr>
      </w:pPr>
      <w:r w:rsidRPr="004B577F">
        <w:rPr>
          <w:sz w:val="26"/>
          <w:szCs w:val="26"/>
        </w:rPr>
        <w:t xml:space="preserve">In Reply, </w:t>
      </w:r>
      <w:r w:rsidR="00B27E5C" w:rsidRPr="004B577F">
        <w:rPr>
          <w:sz w:val="26"/>
          <w:szCs w:val="26"/>
        </w:rPr>
        <w:t xml:space="preserve">PPL maintains that nothing in the record supports the Complainant’s claim that she satisfied her burden of proof regarding her request for </w:t>
      </w:r>
      <w:r w:rsidR="0058180D">
        <w:rPr>
          <w:sz w:val="26"/>
          <w:szCs w:val="26"/>
        </w:rPr>
        <w:t xml:space="preserve">a </w:t>
      </w:r>
      <w:r w:rsidR="00B27E5C" w:rsidRPr="004B577F">
        <w:rPr>
          <w:sz w:val="26"/>
          <w:szCs w:val="26"/>
        </w:rPr>
        <w:t xml:space="preserve">balloon payment.  PPL </w:t>
      </w:r>
      <w:r w:rsidR="004E0903">
        <w:rPr>
          <w:sz w:val="26"/>
          <w:szCs w:val="26"/>
        </w:rPr>
        <w:t>submits</w:t>
      </w:r>
      <w:r w:rsidR="00B27E5C" w:rsidRPr="004B577F">
        <w:rPr>
          <w:sz w:val="26"/>
          <w:szCs w:val="26"/>
        </w:rPr>
        <w:t xml:space="preserve"> that the ALJ was </w:t>
      </w:r>
      <w:r w:rsidR="004E0903">
        <w:rPr>
          <w:sz w:val="26"/>
          <w:szCs w:val="26"/>
        </w:rPr>
        <w:t xml:space="preserve">correct concluding </w:t>
      </w:r>
      <w:r w:rsidR="00DC59DA">
        <w:rPr>
          <w:sz w:val="26"/>
          <w:szCs w:val="26"/>
        </w:rPr>
        <w:t xml:space="preserve">that the Complainant </w:t>
      </w:r>
      <w:r w:rsidR="00B27E5C" w:rsidRPr="004B577F">
        <w:rPr>
          <w:sz w:val="26"/>
          <w:szCs w:val="26"/>
        </w:rPr>
        <w:t xml:space="preserve">defaulted on </w:t>
      </w:r>
      <w:r w:rsidR="00657A7F">
        <w:rPr>
          <w:sz w:val="26"/>
          <w:szCs w:val="26"/>
        </w:rPr>
        <w:t>the July 2014</w:t>
      </w:r>
      <w:r w:rsidR="00D57411">
        <w:rPr>
          <w:sz w:val="26"/>
          <w:szCs w:val="26"/>
        </w:rPr>
        <w:t xml:space="preserve"> payment arrangement and </w:t>
      </w:r>
      <w:r w:rsidR="004E0903">
        <w:rPr>
          <w:sz w:val="26"/>
          <w:szCs w:val="26"/>
        </w:rPr>
        <w:t xml:space="preserve">the Complainant therefore is </w:t>
      </w:r>
      <w:r w:rsidR="00B27E5C" w:rsidRPr="004B577F">
        <w:rPr>
          <w:sz w:val="26"/>
          <w:szCs w:val="26"/>
        </w:rPr>
        <w:t xml:space="preserve">not </w:t>
      </w:r>
      <w:r w:rsidR="00DC59DA">
        <w:rPr>
          <w:sz w:val="26"/>
          <w:szCs w:val="26"/>
        </w:rPr>
        <w:t>entitled to</w:t>
      </w:r>
      <w:r w:rsidR="00B27E5C" w:rsidRPr="004B577F">
        <w:rPr>
          <w:sz w:val="26"/>
          <w:szCs w:val="26"/>
        </w:rPr>
        <w:t xml:space="preserve"> a second payment arrangement.  R. Exc. at 8.</w:t>
      </w:r>
    </w:p>
    <w:p w:rsidR="001F6C5B" w:rsidRPr="004B577F" w:rsidRDefault="001F6C5B" w:rsidP="00690848">
      <w:pPr>
        <w:spacing w:line="360" w:lineRule="auto"/>
        <w:ind w:firstLine="1440"/>
        <w:rPr>
          <w:sz w:val="26"/>
          <w:szCs w:val="26"/>
        </w:rPr>
      </w:pPr>
    </w:p>
    <w:p w:rsidR="00B50A86" w:rsidRPr="004B577F" w:rsidRDefault="00EF46F0" w:rsidP="00690848">
      <w:pPr>
        <w:spacing w:line="360" w:lineRule="auto"/>
        <w:ind w:firstLine="1440"/>
        <w:rPr>
          <w:sz w:val="26"/>
          <w:szCs w:val="26"/>
        </w:rPr>
      </w:pPr>
      <w:r w:rsidRPr="004B577F">
        <w:rPr>
          <w:sz w:val="26"/>
          <w:szCs w:val="26"/>
        </w:rPr>
        <w:t xml:space="preserve">In her sixth Exception, the Complainant challenges the Conclusions of Law </w:t>
      </w:r>
      <w:r w:rsidR="00371082" w:rsidRPr="004B577F">
        <w:rPr>
          <w:sz w:val="26"/>
          <w:szCs w:val="26"/>
        </w:rPr>
        <w:t xml:space="preserve">and Order </w:t>
      </w:r>
      <w:r w:rsidRPr="004B577F">
        <w:rPr>
          <w:sz w:val="26"/>
          <w:szCs w:val="26"/>
        </w:rPr>
        <w:t>in the ALJ’s Initial Decision</w:t>
      </w:r>
      <w:r w:rsidR="000C4280">
        <w:rPr>
          <w:sz w:val="26"/>
          <w:szCs w:val="26"/>
        </w:rPr>
        <w:t>,</w:t>
      </w:r>
      <w:r w:rsidR="00371082" w:rsidRPr="004B577F">
        <w:rPr>
          <w:sz w:val="26"/>
          <w:szCs w:val="26"/>
        </w:rPr>
        <w:t xml:space="preserve"> </w:t>
      </w:r>
      <w:r w:rsidRPr="004B577F">
        <w:rPr>
          <w:sz w:val="26"/>
          <w:szCs w:val="26"/>
        </w:rPr>
        <w:t xml:space="preserve">stating </w:t>
      </w:r>
      <w:r w:rsidR="00280417" w:rsidRPr="004B577F">
        <w:rPr>
          <w:sz w:val="26"/>
          <w:szCs w:val="26"/>
        </w:rPr>
        <w:t xml:space="preserve">that </w:t>
      </w:r>
      <w:r w:rsidRPr="004B577F">
        <w:rPr>
          <w:sz w:val="26"/>
          <w:szCs w:val="26"/>
        </w:rPr>
        <w:t>she has met her burden of proof pursuant to 66 Pa. C.S. § 332 (a)</w:t>
      </w:r>
      <w:r w:rsidR="00371082" w:rsidRPr="004B577F">
        <w:rPr>
          <w:sz w:val="26"/>
          <w:szCs w:val="26"/>
        </w:rPr>
        <w:t xml:space="preserve"> and faults the ALJ’s conclusion and ruling in the instant proceeding</w:t>
      </w:r>
      <w:r w:rsidRPr="004B577F">
        <w:rPr>
          <w:sz w:val="26"/>
          <w:szCs w:val="26"/>
        </w:rPr>
        <w:t xml:space="preserve">.  </w:t>
      </w:r>
      <w:r w:rsidR="00280417" w:rsidRPr="004B577F">
        <w:rPr>
          <w:sz w:val="26"/>
          <w:szCs w:val="26"/>
        </w:rPr>
        <w:t xml:space="preserve">The Complainant also contends that pursuant to 66 Pa. C.S. § 1405(e), she has demonstrated a change in income and </w:t>
      </w:r>
      <w:r w:rsidR="000C4280">
        <w:rPr>
          <w:sz w:val="26"/>
          <w:szCs w:val="26"/>
        </w:rPr>
        <w:t xml:space="preserve">compares her request for </w:t>
      </w:r>
      <w:r w:rsidR="004E0903">
        <w:rPr>
          <w:sz w:val="26"/>
          <w:szCs w:val="26"/>
        </w:rPr>
        <w:t xml:space="preserve">a </w:t>
      </w:r>
      <w:r w:rsidR="000C4280">
        <w:rPr>
          <w:sz w:val="26"/>
          <w:szCs w:val="26"/>
        </w:rPr>
        <w:t xml:space="preserve">balloon payment as </w:t>
      </w:r>
      <w:r w:rsidR="000C4280">
        <w:rPr>
          <w:sz w:val="26"/>
          <w:szCs w:val="26"/>
        </w:rPr>
        <w:lastRenderedPageBreak/>
        <w:t>akin</w:t>
      </w:r>
      <w:r w:rsidR="00280417" w:rsidRPr="004B577F">
        <w:rPr>
          <w:sz w:val="26"/>
          <w:szCs w:val="26"/>
        </w:rPr>
        <w:t xml:space="preserve"> </w:t>
      </w:r>
      <w:r w:rsidR="000C4280">
        <w:rPr>
          <w:sz w:val="26"/>
          <w:szCs w:val="26"/>
        </w:rPr>
        <w:t xml:space="preserve">to a request for an </w:t>
      </w:r>
      <w:r w:rsidR="00280417" w:rsidRPr="004B577F">
        <w:rPr>
          <w:sz w:val="26"/>
          <w:szCs w:val="26"/>
        </w:rPr>
        <w:t xml:space="preserve">extension of payment arrangement </w:t>
      </w:r>
      <w:r w:rsidR="004E0903">
        <w:rPr>
          <w:sz w:val="26"/>
          <w:szCs w:val="26"/>
        </w:rPr>
        <w:t xml:space="preserve">in accordance with </w:t>
      </w:r>
      <w:r w:rsidR="00280417" w:rsidRPr="004B577F">
        <w:rPr>
          <w:sz w:val="26"/>
          <w:szCs w:val="26"/>
        </w:rPr>
        <w:t>66 Pa. C.S. § 1405(b)(1).</w:t>
      </w:r>
      <w:r w:rsidR="000C4280">
        <w:rPr>
          <w:sz w:val="26"/>
          <w:szCs w:val="26"/>
        </w:rPr>
        <w:t xml:space="preserve">  </w:t>
      </w:r>
      <w:proofErr w:type="gramStart"/>
      <w:r w:rsidR="000C4280">
        <w:rPr>
          <w:sz w:val="26"/>
          <w:szCs w:val="26"/>
        </w:rPr>
        <w:t>Exc. at 11.</w:t>
      </w:r>
      <w:proofErr w:type="gramEnd"/>
    </w:p>
    <w:p w:rsidR="001116AF" w:rsidRPr="004B577F" w:rsidRDefault="001116AF" w:rsidP="00690848">
      <w:pPr>
        <w:spacing w:line="360" w:lineRule="auto"/>
        <w:ind w:firstLine="1440"/>
        <w:rPr>
          <w:sz w:val="26"/>
          <w:szCs w:val="26"/>
        </w:rPr>
      </w:pPr>
    </w:p>
    <w:p w:rsidR="001116AF" w:rsidRPr="004B577F" w:rsidRDefault="001116AF" w:rsidP="00690848">
      <w:pPr>
        <w:spacing w:line="360" w:lineRule="auto"/>
        <w:ind w:firstLine="1440"/>
        <w:rPr>
          <w:sz w:val="26"/>
          <w:szCs w:val="26"/>
        </w:rPr>
      </w:pPr>
      <w:r w:rsidRPr="004B577F">
        <w:rPr>
          <w:sz w:val="26"/>
          <w:szCs w:val="26"/>
        </w:rPr>
        <w:t>PPL disagrees with the Complainant’s averments concerning the Conclusions of Law and Order in the ALJ’s Initial Decision.  According to PPL, nothing in the record supports the Complainant’s averments that she satisfied her burden of proof regarding her request for balloon payment.  PPL main</w:t>
      </w:r>
      <w:r w:rsidR="000341DD">
        <w:rPr>
          <w:sz w:val="26"/>
          <w:szCs w:val="26"/>
        </w:rPr>
        <w:t>tains that there is no Code or Case L</w:t>
      </w:r>
      <w:r w:rsidRPr="004B577F">
        <w:rPr>
          <w:sz w:val="26"/>
          <w:szCs w:val="26"/>
        </w:rPr>
        <w:t>aw that supports the Complainant’s request.  R. Exc. 8-9.</w:t>
      </w:r>
    </w:p>
    <w:p w:rsidR="00371082" w:rsidRPr="004B577F" w:rsidRDefault="00371082" w:rsidP="00690848">
      <w:pPr>
        <w:spacing w:line="360" w:lineRule="auto"/>
        <w:ind w:firstLine="1440"/>
        <w:rPr>
          <w:sz w:val="26"/>
          <w:szCs w:val="26"/>
        </w:rPr>
      </w:pPr>
    </w:p>
    <w:p w:rsidR="00371082" w:rsidRPr="004B577F" w:rsidRDefault="00371082" w:rsidP="00690848">
      <w:pPr>
        <w:spacing w:line="360" w:lineRule="auto"/>
        <w:ind w:firstLine="1440"/>
        <w:rPr>
          <w:sz w:val="26"/>
          <w:szCs w:val="26"/>
        </w:rPr>
      </w:pPr>
      <w:r w:rsidRPr="004B577F">
        <w:rPr>
          <w:sz w:val="26"/>
          <w:szCs w:val="26"/>
        </w:rPr>
        <w:t>In her seventh Exception</w:t>
      </w:r>
      <w:r w:rsidR="00DE7897">
        <w:rPr>
          <w:sz w:val="26"/>
          <w:szCs w:val="26"/>
        </w:rPr>
        <w:t>,</w:t>
      </w:r>
      <w:r w:rsidRPr="004B577F">
        <w:rPr>
          <w:sz w:val="26"/>
          <w:szCs w:val="26"/>
        </w:rPr>
        <w:t xml:space="preserve"> </w:t>
      </w:r>
      <w:r w:rsidR="004E0903">
        <w:rPr>
          <w:sz w:val="26"/>
          <w:szCs w:val="26"/>
        </w:rPr>
        <w:t xml:space="preserve">which </w:t>
      </w:r>
      <w:r w:rsidR="00DE7897">
        <w:rPr>
          <w:sz w:val="26"/>
          <w:szCs w:val="26"/>
        </w:rPr>
        <w:t>the Complainant</w:t>
      </w:r>
      <w:r w:rsidR="004E0903">
        <w:rPr>
          <w:sz w:val="26"/>
          <w:szCs w:val="26"/>
        </w:rPr>
        <w:t xml:space="preserve"> </w:t>
      </w:r>
      <w:r w:rsidRPr="004B577F">
        <w:rPr>
          <w:sz w:val="26"/>
          <w:szCs w:val="26"/>
        </w:rPr>
        <w:t>titled “Exception Conclusions</w:t>
      </w:r>
      <w:r w:rsidR="00DE7897">
        <w:rPr>
          <w:sz w:val="26"/>
          <w:szCs w:val="26"/>
        </w:rPr>
        <w:t>,</w:t>
      </w:r>
      <w:r w:rsidRPr="004B577F">
        <w:rPr>
          <w:sz w:val="26"/>
          <w:szCs w:val="26"/>
        </w:rPr>
        <w:t xml:space="preserve">” the Complainant </w:t>
      </w:r>
      <w:r w:rsidR="000341DD">
        <w:rPr>
          <w:sz w:val="26"/>
          <w:szCs w:val="26"/>
        </w:rPr>
        <w:t>highlights</w:t>
      </w:r>
      <w:r w:rsidRPr="004B577F">
        <w:rPr>
          <w:sz w:val="26"/>
          <w:szCs w:val="26"/>
        </w:rPr>
        <w:t xml:space="preserve"> several </w:t>
      </w:r>
      <w:r w:rsidR="000341DD">
        <w:rPr>
          <w:sz w:val="26"/>
          <w:szCs w:val="26"/>
        </w:rPr>
        <w:t>position</w:t>
      </w:r>
      <w:r w:rsidR="00D57411">
        <w:rPr>
          <w:sz w:val="26"/>
          <w:szCs w:val="26"/>
        </w:rPr>
        <w:t>s</w:t>
      </w:r>
      <w:r w:rsidRPr="004B577F">
        <w:rPr>
          <w:sz w:val="26"/>
          <w:szCs w:val="26"/>
        </w:rPr>
        <w:t xml:space="preserve"> including a request that the </w:t>
      </w:r>
      <w:r w:rsidR="000341DD">
        <w:rPr>
          <w:sz w:val="26"/>
          <w:szCs w:val="26"/>
        </w:rPr>
        <w:t xml:space="preserve">ALJ’s </w:t>
      </w:r>
      <w:r w:rsidRPr="004B577F">
        <w:rPr>
          <w:sz w:val="26"/>
          <w:szCs w:val="26"/>
        </w:rPr>
        <w:t xml:space="preserve">Initial Decision be overruled and vacated.  The Complainant requests that another hearing be scheduled or in the alternative, the Commission </w:t>
      </w:r>
      <w:proofErr w:type="gramStart"/>
      <w:r w:rsidRPr="004B577F">
        <w:rPr>
          <w:sz w:val="26"/>
          <w:szCs w:val="26"/>
        </w:rPr>
        <w:t>grant</w:t>
      </w:r>
      <w:proofErr w:type="gramEnd"/>
      <w:r w:rsidRPr="004B577F">
        <w:rPr>
          <w:sz w:val="26"/>
          <w:szCs w:val="26"/>
        </w:rPr>
        <w:t xml:space="preserve"> her Exception</w:t>
      </w:r>
      <w:r w:rsidR="00D57411">
        <w:rPr>
          <w:sz w:val="26"/>
          <w:szCs w:val="26"/>
        </w:rPr>
        <w:t>s</w:t>
      </w:r>
      <w:r w:rsidRPr="004B577F">
        <w:rPr>
          <w:sz w:val="26"/>
          <w:szCs w:val="26"/>
        </w:rPr>
        <w:t xml:space="preserve"> and order PPL to comply with her request for a balloon payment arrangement.  </w:t>
      </w:r>
      <w:proofErr w:type="gramStart"/>
      <w:r w:rsidR="000341DD">
        <w:rPr>
          <w:sz w:val="26"/>
          <w:szCs w:val="26"/>
        </w:rPr>
        <w:t>Exc.</w:t>
      </w:r>
      <w:r w:rsidRPr="004B577F">
        <w:rPr>
          <w:i/>
          <w:sz w:val="26"/>
          <w:szCs w:val="26"/>
        </w:rPr>
        <w:t xml:space="preserve"> </w:t>
      </w:r>
      <w:r w:rsidRPr="004B577F">
        <w:rPr>
          <w:sz w:val="26"/>
          <w:szCs w:val="26"/>
        </w:rPr>
        <w:t>at 12.</w:t>
      </w:r>
      <w:proofErr w:type="gramEnd"/>
    </w:p>
    <w:p w:rsidR="00B47D0E" w:rsidRPr="004B577F" w:rsidRDefault="00B47D0E" w:rsidP="00690848">
      <w:pPr>
        <w:spacing w:line="360" w:lineRule="auto"/>
        <w:ind w:firstLine="1440"/>
        <w:rPr>
          <w:sz w:val="26"/>
          <w:szCs w:val="26"/>
        </w:rPr>
      </w:pPr>
    </w:p>
    <w:p w:rsidR="005C008E" w:rsidRPr="004B577F" w:rsidRDefault="00B47D0E" w:rsidP="00690848">
      <w:pPr>
        <w:spacing w:line="360" w:lineRule="auto"/>
        <w:ind w:firstLine="1440"/>
        <w:rPr>
          <w:sz w:val="26"/>
          <w:szCs w:val="26"/>
        </w:rPr>
      </w:pPr>
      <w:r w:rsidRPr="004B577F">
        <w:rPr>
          <w:sz w:val="26"/>
          <w:szCs w:val="26"/>
        </w:rPr>
        <w:t xml:space="preserve">PPL </w:t>
      </w:r>
      <w:r w:rsidR="004E0903">
        <w:rPr>
          <w:sz w:val="26"/>
          <w:szCs w:val="26"/>
        </w:rPr>
        <w:t xml:space="preserve">replies </w:t>
      </w:r>
      <w:r w:rsidRPr="004B577F">
        <w:rPr>
          <w:sz w:val="26"/>
          <w:szCs w:val="26"/>
        </w:rPr>
        <w:t xml:space="preserve">that the record supports </w:t>
      </w:r>
      <w:r w:rsidR="004E0903">
        <w:rPr>
          <w:sz w:val="26"/>
          <w:szCs w:val="26"/>
        </w:rPr>
        <w:t xml:space="preserve">all of </w:t>
      </w:r>
      <w:r w:rsidRPr="004B577F">
        <w:rPr>
          <w:sz w:val="26"/>
          <w:szCs w:val="26"/>
        </w:rPr>
        <w:t>the Findings of Fact and the Conclusions of Law in the ALJ’s Initial Decision</w:t>
      </w:r>
      <w:r w:rsidR="000341DD">
        <w:rPr>
          <w:sz w:val="26"/>
          <w:szCs w:val="26"/>
        </w:rPr>
        <w:t xml:space="preserve"> and</w:t>
      </w:r>
      <w:r w:rsidRPr="004B577F">
        <w:rPr>
          <w:sz w:val="26"/>
          <w:szCs w:val="26"/>
        </w:rPr>
        <w:t xml:space="preserve"> </w:t>
      </w:r>
      <w:r w:rsidR="000341DD">
        <w:rPr>
          <w:sz w:val="26"/>
          <w:szCs w:val="26"/>
        </w:rPr>
        <w:t>ask</w:t>
      </w:r>
      <w:r w:rsidRPr="004B577F">
        <w:rPr>
          <w:sz w:val="26"/>
          <w:szCs w:val="26"/>
        </w:rPr>
        <w:t>s the Com</w:t>
      </w:r>
      <w:r w:rsidR="000341DD">
        <w:rPr>
          <w:sz w:val="26"/>
          <w:szCs w:val="26"/>
        </w:rPr>
        <w:t xml:space="preserve">mission </w:t>
      </w:r>
      <w:r w:rsidR="004E0903">
        <w:rPr>
          <w:sz w:val="26"/>
          <w:szCs w:val="26"/>
        </w:rPr>
        <w:t xml:space="preserve">to </w:t>
      </w:r>
      <w:r w:rsidR="000341DD">
        <w:rPr>
          <w:sz w:val="26"/>
          <w:szCs w:val="26"/>
        </w:rPr>
        <w:t>deny the Complainant’s request</w:t>
      </w:r>
      <w:r w:rsidRPr="004B577F">
        <w:rPr>
          <w:sz w:val="26"/>
          <w:szCs w:val="26"/>
        </w:rPr>
        <w:t>.  R. Exc. at 9.</w:t>
      </w:r>
    </w:p>
    <w:p w:rsidR="003C1679" w:rsidRDefault="003C1679" w:rsidP="003C1679">
      <w:pPr>
        <w:pStyle w:val="ListParagraph"/>
        <w:keepNext/>
        <w:keepLines/>
        <w:spacing w:line="360" w:lineRule="auto"/>
        <w:ind w:left="0"/>
        <w:rPr>
          <w:rFonts w:eastAsia="MS Mincho"/>
          <w:b/>
          <w:sz w:val="26"/>
          <w:szCs w:val="26"/>
        </w:rPr>
      </w:pPr>
    </w:p>
    <w:p w:rsidR="002266C4" w:rsidRPr="004B577F" w:rsidRDefault="00E15B83" w:rsidP="003C1679">
      <w:pPr>
        <w:pStyle w:val="ListParagraph"/>
        <w:keepNext/>
        <w:keepLines/>
        <w:spacing w:line="360" w:lineRule="auto"/>
        <w:ind w:left="0"/>
        <w:rPr>
          <w:rFonts w:eastAsia="MS Mincho"/>
          <w:b/>
          <w:sz w:val="26"/>
          <w:szCs w:val="26"/>
        </w:rPr>
      </w:pPr>
      <w:r w:rsidRPr="004B577F">
        <w:rPr>
          <w:rFonts w:eastAsia="MS Mincho"/>
          <w:b/>
          <w:sz w:val="26"/>
          <w:szCs w:val="26"/>
        </w:rPr>
        <w:t>Disposition</w:t>
      </w:r>
    </w:p>
    <w:p w:rsidR="004D3B7E" w:rsidRPr="004B577F" w:rsidRDefault="004D3B7E" w:rsidP="00837970">
      <w:pPr>
        <w:pStyle w:val="ListParagraph"/>
        <w:keepNext/>
        <w:keepLines/>
        <w:spacing w:line="360" w:lineRule="auto"/>
        <w:ind w:left="0"/>
        <w:rPr>
          <w:rFonts w:eastAsia="MS Mincho"/>
          <w:b/>
          <w:sz w:val="26"/>
          <w:szCs w:val="26"/>
        </w:rPr>
      </w:pPr>
    </w:p>
    <w:p w:rsidR="00C42163" w:rsidRDefault="00E15B83" w:rsidP="00C42163">
      <w:pPr>
        <w:spacing w:line="360" w:lineRule="auto"/>
        <w:ind w:firstLine="1440"/>
        <w:rPr>
          <w:sz w:val="26"/>
          <w:szCs w:val="26"/>
        </w:rPr>
      </w:pPr>
      <w:r w:rsidRPr="004B577F">
        <w:rPr>
          <w:rFonts w:eastAsia="MS Mincho"/>
          <w:sz w:val="26"/>
          <w:szCs w:val="26"/>
        </w:rPr>
        <w:t>Upon our review and consi</w:t>
      </w:r>
      <w:r w:rsidR="00414763" w:rsidRPr="004B577F">
        <w:rPr>
          <w:rFonts w:eastAsia="MS Mincho"/>
          <w:sz w:val="26"/>
          <w:szCs w:val="26"/>
        </w:rPr>
        <w:t xml:space="preserve">deration of the record </w:t>
      </w:r>
      <w:r w:rsidRPr="004B577F">
        <w:rPr>
          <w:rFonts w:eastAsia="MS Mincho"/>
          <w:sz w:val="26"/>
          <w:szCs w:val="26"/>
        </w:rPr>
        <w:t xml:space="preserve">and the Complainant’s </w:t>
      </w:r>
      <w:r w:rsidR="004E4BAF" w:rsidRPr="004B577F">
        <w:rPr>
          <w:rFonts w:eastAsia="MS Mincho"/>
          <w:sz w:val="26"/>
          <w:szCs w:val="26"/>
        </w:rPr>
        <w:t>E</w:t>
      </w:r>
      <w:r w:rsidRPr="004B577F">
        <w:rPr>
          <w:rFonts w:eastAsia="MS Mincho"/>
          <w:sz w:val="26"/>
          <w:szCs w:val="26"/>
        </w:rPr>
        <w:t xml:space="preserve">xceptions, </w:t>
      </w:r>
      <w:r w:rsidR="00A6538D" w:rsidRPr="004B577F">
        <w:rPr>
          <w:rFonts w:eastAsia="MS Mincho"/>
          <w:bCs/>
          <w:sz w:val="26"/>
          <w:szCs w:val="26"/>
        </w:rPr>
        <w:t>w</w:t>
      </w:r>
      <w:r w:rsidR="004C151D" w:rsidRPr="004B577F">
        <w:rPr>
          <w:rFonts w:eastAsia="MS Mincho"/>
          <w:bCs/>
          <w:sz w:val="26"/>
          <w:szCs w:val="26"/>
        </w:rPr>
        <w:t xml:space="preserve">e </w:t>
      </w:r>
      <w:r w:rsidR="00AA73BB" w:rsidRPr="004B577F">
        <w:rPr>
          <w:rFonts w:eastAsia="MS Mincho"/>
          <w:bCs/>
          <w:sz w:val="26"/>
          <w:szCs w:val="26"/>
        </w:rPr>
        <w:t xml:space="preserve">are of the opinion that </w:t>
      </w:r>
      <w:r w:rsidR="00FD72A2" w:rsidRPr="004B577F">
        <w:rPr>
          <w:rFonts w:eastAsia="MS Mincho"/>
          <w:bCs/>
          <w:sz w:val="26"/>
          <w:szCs w:val="26"/>
        </w:rPr>
        <w:t>t</w:t>
      </w:r>
      <w:r w:rsidR="00B47697" w:rsidRPr="004B577F">
        <w:rPr>
          <w:rFonts w:eastAsia="MS Mincho"/>
          <w:bCs/>
          <w:sz w:val="26"/>
          <w:szCs w:val="26"/>
        </w:rPr>
        <w:t xml:space="preserve">he Complainant </w:t>
      </w:r>
      <w:r w:rsidR="00FD72A2" w:rsidRPr="004B577F">
        <w:rPr>
          <w:rFonts w:eastAsia="MS Mincho"/>
          <w:bCs/>
          <w:sz w:val="26"/>
          <w:szCs w:val="26"/>
        </w:rPr>
        <w:t>ha</w:t>
      </w:r>
      <w:r w:rsidR="00FB0871" w:rsidRPr="004B577F">
        <w:rPr>
          <w:rFonts w:eastAsia="MS Mincho"/>
          <w:bCs/>
          <w:sz w:val="26"/>
          <w:szCs w:val="26"/>
        </w:rPr>
        <w:t>s</w:t>
      </w:r>
      <w:r w:rsidR="00FD72A2" w:rsidRPr="004B577F">
        <w:rPr>
          <w:rFonts w:eastAsia="MS Mincho"/>
          <w:bCs/>
          <w:sz w:val="26"/>
          <w:szCs w:val="26"/>
        </w:rPr>
        <w:t xml:space="preserve"> </w:t>
      </w:r>
      <w:r w:rsidR="00B47697" w:rsidRPr="004B577F">
        <w:rPr>
          <w:rFonts w:eastAsia="MS Mincho"/>
          <w:bCs/>
          <w:sz w:val="26"/>
          <w:szCs w:val="26"/>
        </w:rPr>
        <w:t>failed to meet h</w:t>
      </w:r>
      <w:r w:rsidR="00414763" w:rsidRPr="004B577F">
        <w:rPr>
          <w:rFonts w:eastAsia="MS Mincho"/>
          <w:bCs/>
          <w:sz w:val="26"/>
          <w:szCs w:val="26"/>
        </w:rPr>
        <w:t>er</w:t>
      </w:r>
      <w:r w:rsidR="00B47697" w:rsidRPr="004B577F">
        <w:rPr>
          <w:rFonts w:eastAsia="MS Mincho"/>
          <w:bCs/>
          <w:sz w:val="26"/>
          <w:szCs w:val="26"/>
        </w:rPr>
        <w:t xml:space="preserve"> burden of pro</w:t>
      </w:r>
      <w:r w:rsidR="00C87529" w:rsidRPr="004B577F">
        <w:rPr>
          <w:rFonts w:eastAsia="MS Mincho"/>
          <w:bCs/>
          <w:sz w:val="26"/>
          <w:szCs w:val="26"/>
        </w:rPr>
        <w:t>ving</w:t>
      </w:r>
      <w:r w:rsidR="002266C4" w:rsidRPr="004B577F">
        <w:rPr>
          <w:rFonts w:eastAsia="MS Mincho"/>
          <w:bCs/>
          <w:sz w:val="26"/>
          <w:szCs w:val="26"/>
        </w:rPr>
        <w:t xml:space="preserve"> that </w:t>
      </w:r>
      <w:r w:rsidR="00414763" w:rsidRPr="004B577F">
        <w:rPr>
          <w:rFonts w:eastAsia="MS Mincho"/>
          <w:bCs/>
          <w:sz w:val="26"/>
          <w:szCs w:val="26"/>
        </w:rPr>
        <w:t>s</w:t>
      </w:r>
      <w:r w:rsidR="00767EE2" w:rsidRPr="004B577F">
        <w:rPr>
          <w:rFonts w:eastAsia="MS Mincho"/>
          <w:bCs/>
          <w:sz w:val="26"/>
          <w:szCs w:val="26"/>
        </w:rPr>
        <w:t xml:space="preserve">he is entitled to a new Commission-issued </w:t>
      </w:r>
      <w:r w:rsidR="002266C4" w:rsidRPr="004B577F">
        <w:rPr>
          <w:rFonts w:eastAsia="MS Mincho"/>
          <w:bCs/>
          <w:sz w:val="26"/>
          <w:szCs w:val="26"/>
        </w:rPr>
        <w:t xml:space="preserve">payment </w:t>
      </w:r>
      <w:r w:rsidR="002C1F79" w:rsidRPr="004B577F">
        <w:rPr>
          <w:rFonts w:eastAsia="MS Mincho"/>
          <w:bCs/>
          <w:sz w:val="26"/>
          <w:szCs w:val="26"/>
        </w:rPr>
        <w:t>arrangement</w:t>
      </w:r>
      <w:r w:rsidR="00767EE2" w:rsidRPr="004B577F">
        <w:rPr>
          <w:rFonts w:eastAsia="MS Mincho"/>
          <w:bCs/>
          <w:sz w:val="26"/>
          <w:szCs w:val="26"/>
        </w:rPr>
        <w:t>.</w:t>
      </w:r>
      <w:r w:rsidR="00391792" w:rsidRPr="004B577F">
        <w:rPr>
          <w:rFonts w:eastAsia="MS Mincho"/>
          <w:bCs/>
          <w:sz w:val="26"/>
          <w:szCs w:val="26"/>
        </w:rPr>
        <w:t xml:space="preserve">  </w:t>
      </w:r>
      <w:r w:rsidR="00391792" w:rsidRPr="004B577F">
        <w:rPr>
          <w:sz w:val="26"/>
          <w:szCs w:val="26"/>
        </w:rPr>
        <w:t xml:space="preserve">The Responsible Utility Customer Protection Act, </w:t>
      </w:r>
      <w:proofErr w:type="gramStart"/>
      <w:r w:rsidR="00391792" w:rsidRPr="004B577F">
        <w:rPr>
          <w:sz w:val="26"/>
          <w:szCs w:val="26"/>
        </w:rPr>
        <w:t xml:space="preserve">66 </w:t>
      </w:r>
      <w:proofErr w:type="spellStart"/>
      <w:r w:rsidR="00391792" w:rsidRPr="004B577F">
        <w:rPr>
          <w:sz w:val="26"/>
          <w:szCs w:val="26"/>
        </w:rPr>
        <w:t>Pa.C.S</w:t>
      </w:r>
      <w:proofErr w:type="spellEnd"/>
      <w:proofErr w:type="gramEnd"/>
      <w:r w:rsidR="00391792" w:rsidRPr="004B577F">
        <w:rPr>
          <w:sz w:val="26"/>
          <w:szCs w:val="26"/>
        </w:rPr>
        <w:t xml:space="preserve">. §§ 1401, </w:t>
      </w:r>
      <w:r w:rsidR="00391792" w:rsidRPr="004B577F">
        <w:rPr>
          <w:i/>
          <w:sz w:val="26"/>
          <w:szCs w:val="26"/>
        </w:rPr>
        <w:t>et seq</w:t>
      </w:r>
      <w:r w:rsidR="00391792" w:rsidRPr="004B577F">
        <w:rPr>
          <w:sz w:val="26"/>
          <w:szCs w:val="26"/>
        </w:rPr>
        <w:t xml:space="preserve">. (the Act or Chapter 14) applies to complaints alleging inability to pay and requests for Commission-issued payment arrangements.  This law provides strict guidelines that </w:t>
      </w:r>
      <w:r w:rsidR="004E0903">
        <w:rPr>
          <w:sz w:val="26"/>
          <w:szCs w:val="26"/>
        </w:rPr>
        <w:t>we</w:t>
      </w:r>
      <w:r w:rsidR="00391792" w:rsidRPr="004B577F">
        <w:rPr>
          <w:sz w:val="26"/>
          <w:szCs w:val="26"/>
        </w:rPr>
        <w:t xml:space="preserve"> must follow in handling customer complaints.  Under Chapter 14, </w:t>
      </w:r>
      <w:r w:rsidR="004E0903">
        <w:rPr>
          <w:sz w:val="26"/>
          <w:szCs w:val="26"/>
        </w:rPr>
        <w:t xml:space="preserve">we </w:t>
      </w:r>
      <w:r w:rsidR="00391792" w:rsidRPr="004B577F">
        <w:rPr>
          <w:sz w:val="26"/>
          <w:szCs w:val="26"/>
        </w:rPr>
        <w:t xml:space="preserve">may grant one payment arrangement and dictates its terms.  </w:t>
      </w:r>
      <w:proofErr w:type="gramStart"/>
      <w:r w:rsidR="00391792" w:rsidRPr="004B577F">
        <w:rPr>
          <w:sz w:val="26"/>
          <w:szCs w:val="26"/>
        </w:rPr>
        <w:t xml:space="preserve">66 </w:t>
      </w:r>
      <w:proofErr w:type="spellStart"/>
      <w:r w:rsidR="00391792" w:rsidRPr="004B577F">
        <w:rPr>
          <w:sz w:val="26"/>
          <w:szCs w:val="26"/>
        </w:rPr>
        <w:t>Pa.C.S</w:t>
      </w:r>
      <w:proofErr w:type="spellEnd"/>
      <w:r w:rsidR="00391792" w:rsidRPr="004B577F">
        <w:rPr>
          <w:sz w:val="26"/>
          <w:szCs w:val="26"/>
        </w:rPr>
        <w:t>.</w:t>
      </w:r>
      <w:proofErr w:type="gramEnd"/>
      <w:r w:rsidR="00391792" w:rsidRPr="004B577F">
        <w:rPr>
          <w:sz w:val="26"/>
          <w:szCs w:val="26"/>
        </w:rPr>
        <w:t xml:space="preserve"> § 1405(b).  Absent a change in income, </w:t>
      </w:r>
      <w:r w:rsidR="004E0903">
        <w:rPr>
          <w:sz w:val="26"/>
          <w:szCs w:val="26"/>
        </w:rPr>
        <w:lastRenderedPageBreak/>
        <w:t>we</w:t>
      </w:r>
      <w:r w:rsidR="00391792" w:rsidRPr="004B577F">
        <w:rPr>
          <w:sz w:val="26"/>
          <w:szCs w:val="26"/>
        </w:rPr>
        <w:t xml:space="preserve"> cannot grant a second or subsequent payment arrangement, if the customer defaults on the first payment arrangement.  </w:t>
      </w:r>
      <w:proofErr w:type="gramStart"/>
      <w:r w:rsidR="00391792" w:rsidRPr="004B577F">
        <w:rPr>
          <w:sz w:val="26"/>
          <w:szCs w:val="26"/>
        </w:rPr>
        <w:t xml:space="preserve">66 </w:t>
      </w:r>
      <w:proofErr w:type="spellStart"/>
      <w:r w:rsidR="00391792" w:rsidRPr="004B577F">
        <w:rPr>
          <w:sz w:val="26"/>
          <w:szCs w:val="26"/>
        </w:rPr>
        <w:t>Pa.C.S</w:t>
      </w:r>
      <w:proofErr w:type="spellEnd"/>
      <w:r w:rsidR="00391792" w:rsidRPr="004B577F">
        <w:rPr>
          <w:sz w:val="26"/>
          <w:szCs w:val="26"/>
        </w:rPr>
        <w:t>.</w:t>
      </w:r>
      <w:proofErr w:type="gramEnd"/>
      <w:r w:rsidR="00391792" w:rsidRPr="004B577F">
        <w:rPr>
          <w:sz w:val="26"/>
          <w:szCs w:val="26"/>
        </w:rPr>
        <w:t xml:space="preserve"> </w:t>
      </w:r>
      <w:proofErr w:type="gramStart"/>
      <w:r w:rsidR="00391792" w:rsidRPr="004B577F">
        <w:rPr>
          <w:sz w:val="26"/>
          <w:szCs w:val="26"/>
        </w:rPr>
        <w:t>§ 1405(d).</w:t>
      </w:r>
      <w:proofErr w:type="gramEnd"/>
      <w:r w:rsidR="004E0903">
        <w:rPr>
          <w:sz w:val="26"/>
          <w:szCs w:val="26"/>
        </w:rPr>
        <w:t xml:space="preserve"> </w:t>
      </w:r>
    </w:p>
    <w:p w:rsidR="004E0903" w:rsidRPr="004B577F" w:rsidRDefault="004E0903" w:rsidP="00C42163">
      <w:pPr>
        <w:spacing w:line="360" w:lineRule="auto"/>
        <w:ind w:firstLine="1440"/>
        <w:rPr>
          <w:sz w:val="26"/>
          <w:szCs w:val="26"/>
        </w:rPr>
      </w:pPr>
    </w:p>
    <w:p w:rsidR="00C42163" w:rsidRDefault="00414763" w:rsidP="00690848">
      <w:pPr>
        <w:autoSpaceDE w:val="0"/>
        <w:autoSpaceDN w:val="0"/>
        <w:adjustRightInd w:val="0"/>
        <w:spacing w:line="360" w:lineRule="auto"/>
        <w:ind w:firstLine="1440"/>
        <w:rPr>
          <w:sz w:val="26"/>
          <w:szCs w:val="26"/>
        </w:rPr>
      </w:pPr>
      <w:r w:rsidRPr="004B577F">
        <w:rPr>
          <w:rFonts w:eastAsia="MS Mincho"/>
          <w:bCs/>
          <w:sz w:val="26"/>
          <w:szCs w:val="26"/>
        </w:rPr>
        <w:t>With regard to the Complainant</w:t>
      </w:r>
      <w:r w:rsidR="00BF0A10" w:rsidRPr="004B577F">
        <w:rPr>
          <w:rFonts w:eastAsia="MS Mincho"/>
          <w:bCs/>
          <w:sz w:val="26"/>
          <w:szCs w:val="26"/>
        </w:rPr>
        <w:t>’</w:t>
      </w:r>
      <w:r w:rsidRPr="004B577F">
        <w:rPr>
          <w:rFonts w:eastAsia="MS Mincho"/>
          <w:bCs/>
          <w:sz w:val="26"/>
          <w:szCs w:val="26"/>
        </w:rPr>
        <w:t>s Exception challenging FOF No. 10</w:t>
      </w:r>
      <w:r w:rsidR="00D57411">
        <w:rPr>
          <w:rFonts w:eastAsia="MS Mincho"/>
          <w:bCs/>
          <w:sz w:val="26"/>
          <w:szCs w:val="26"/>
        </w:rPr>
        <w:t xml:space="preserve"> in the Initial Decision</w:t>
      </w:r>
      <w:r w:rsidRPr="004B577F">
        <w:rPr>
          <w:rFonts w:eastAsia="MS Mincho"/>
          <w:bCs/>
          <w:sz w:val="26"/>
          <w:szCs w:val="26"/>
        </w:rPr>
        <w:t xml:space="preserve">, we agree with the ALJ and PPL that the Complainant’s past due balance at the time of hearing </w:t>
      </w:r>
      <w:r w:rsidR="00D57411">
        <w:rPr>
          <w:rFonts w:eastAsia="MS Mincho"/>
          <w:bCs/>
          <w:sz w:val="26"/>
          <w:szCs w:val="26"/>
        </w:rPr>
        <w:t>was $</w:t>
      </w:r>
      <w:r w:rsidR="006043E7" w:rsidRPr="004B577F">
        <w:rPr>
          <w:rFonts w:eastAsia="MS Mincho"/>
          <w:bCs/>
          <w:sz w:val="26"/>
          <w:szCs w:val="26"/>
        </w:rPr>
        <w:t>5</w:t>
      </w:r>
      <w:r w:rsidR="00D57411">
        <w:rPr>
          <w:rFonts w:eastAsia="MS Mincho"/>
          <w:bCs/>
          <w:sz w:val="26"/>
          <w:szCs w:val="26"/>
        </w:rPr>
        <w:t>,</w:t>
      </w:r>
      <w:r w:rsidR="006043E7" w:rsidRPr="004B577F">
        <w:rPr>
          <w:rFonts w:eastAsia="MS Mincho"/>
          <w:bCs/>
          <w:sz w:val="26"/>
          <w:szCs w:val="26"/>
        </w:rPr>
        <w:t>136.74</w:t>
      </w:r>
      <w:r w:rsidR="00BF0A10" w:rsidRPr="004B577F">
        <w:rPr>
          <w:rFonts w:eastAsia="MS Mincho"/>
          <w:bCs/>
          <w:sz w:val="26"/>
          <w:szCs w:val="26"/>
        </w:rPr>
        <w:t xml:space="preserve">, as shown on </w:t>
      </w:r>
      <w:r w:rsidR="00284D08">
        <w:rPr>
          <w:rFonts w:eastAsia="MS Mincho"/>
          <w:bCs/>
          <w:sz w:val="26"/>
          <w:szCs w:val="26"/>
        </w:rPr>
        <w:t xml:space="preserve">PPL </w:t>
      </w:r>
      <w:r w:rsidR="00BF0A10" w:rsidRPr="004B577F">
        <w:rPr>
          <w:rFonts w:eastAsia="MS Mincho"/>
          <w:bCs/>
          <w:sz w:val="26"/>
          <w:szCs w:val="26"/>
        </w:rPr>
        <w:t>Exh.1</w:t>
      </w:r>
      <w:r w:rsidRPr="004B577F">
        <w:rPr>
          <w:rFonts w:eastAsia="MS Mincho"/>
          <w:bCs/>
          <w:sz w:val="26"/>
          <w:szCs w:val="26"/>
        </w:rPr>
        <w:t>.</w:t>
      </w:r>
      <w:r w:rsidR="00BF0A10" w:rsidRPr="004B577F">
        <w:rPr>
          <w:rStyle w:val="FootnoteReference"/>
          <w:rFonts w:eastAsia="MS Mincho"/>
          <w:bCs/>
        </w:rPr>
        <w:footnoteReference w:id="6"/>
      </w:r>
      <w:r w:rsidRPr="004B577F">
        <w:rPr>
          <w:rFonts w:eastAsia="MS Mincho"/>
          <w:bCs/>
          <w:sz w:val="26"/>
          <w:szCs w:val="26"/>
        </w:rPr>
        <w:t xml:space="preserve">  During the hearing, the Complainant contended that </w:t>
      </w:r>
      <w:r w:rsidR="00BF0A10" w:rsidRPr="004B577F">
        <w:rPr>
          <w:rFonts w:eastAsia="MS Mincho"/>
          <w:bCs/>
          <w:sz w:val="26"/>
          <w:szCs w:val="26"/>
        </w:rPr>
        <w:t xml:space="preserve">she made </w:t>
      </w:r>
      <w:r w:rsidRPr="004B577F">
        <w:rPr>
          <w:rFonts w:eastAsia="MS Mincho"/>
          <w:bCs/>
          <w:sz w:val="26"/>
          <w:szCs w:val="26"/>
        </w:rPr>
        <w:t xml:space="preserve">a payment </w:t>
      </w:r>
      <w:r w:rsidR="00BF0A10" w:rsidRPr="004B577F">
        <w:rPr>
          <w:rFonts w:eastAsia="MS Mincho"/>
          <w:bCs/>
          <w:sz w:val="26"/>
          <w:szCs w:val="26"/>
        </w:rPr>
        <w:t xml:space="preserve">to PPL </w:t>
      </w:r>
      <w:r w:rsidRPr="004B577F">
        <w:rPr>
          <w:rFonts w:eastAsia="MS Mincho"/>
          <w:bCs/>
          <w:sz w:val="26"/>
          <w:szCs w:val="26"/>
        </w:rPr>
        <w:t xml:space="preserve">on December 1, 2014, prior to the hearing on December 4, 2014.  </w:t>
      </w:r>
      <w:r w:rsidR="00BF0A10" w:rsidRPr="004B577F">
        <w:rPr>
          <w:rFonts w:eastAsia="MS Mincho"/>
          <w:bCs/>
          <w:sz w:val="26"/>
          <w:szCs w:val="26"/>
        </w:rPr>
        <w:t xml:space="preserve">Tr. at 20-21.  </w:t>
      </w:r>
      <w:r w:rsidRPr="004B577F">
        <w:rPr>
          <w:rFonts w:eastAsia="MS Mincho"/>
          <w:bCs/>
          <w:sz w:val="26"/>
          <w:szCs w:val="26"/>
        </w:rPr>
        <w:t xml:space="preserve">Nonetheless, the </w:t>
      </w:r>
      <w:r w:rsidR="00BF0A10" w:rsidRPr="004B577F">
        <w:rPr>
          <w:rFonts w:eastAsia="MS Mincho"/>
          <w:bCs/>
          <w:sz w:val="26"/>
          <w:szCs w:val="26"/>
        </w:rPr>
        <w:t>Complainant failed to indic</w:t>
      </w:r>
      <w:r w:rsidR="00CC15D9">
        <w:rPr>
          <w:rFonts w:eastAsia="MS Mincho"/>
          <w:bCs/>
          <w:sz w:val="26"/>
          <w:szCs w:val="26"/>
        </w:rPr>
        <w:t xml:space="preserve">ate the amount that was paid </w:t>
      </w:r>
      <w:r w:rsidR="0058180D">
        <w:rPr>
          <w:rFonts w:eastAsia="MS Mincho"/>
          <w:bCs/>
          <w:sz w:val="26"/>
          <w:szCs w:val="26"/>
        </w:rPr>
        <w:t>and failed to</w:t>
      </w:r>
      <w:r w:rsidR="00CC15D9">
        <w:rPr>
          <w:rFonts w:eastAsia="MS Mincho"/>
          <w:bCs/>
          <w:sz w:val="26"/>
          <w:szCs w:val="26"/>
        </w:rPr>
        <w:t xml:space="preserve"> </w:t>
      </w:r>
      <w:r w:rsidR="00BF0A10" w:rsidRPr="004B577F">
        <w:rPr>
          <w:rFonts w:eastAsia="MS Mincho"/>
          <w:bCs/>
          <w:sz w:val="26"/>
          <w:szCs w:val="26"/>
        </w:rPr>
        <w:t>provide</w:t>
      </w:r>
      <w:r w:rsidR="00284D08">
        <w:rPr>
          <w:rFonts w:eastAsia="MS Mincho"/>
          <w:bCs/>
          <w:sz w:val="26"/>
          <w:szCs w:val="26"/>
        </w:rPr>
        <w:t xml:space="preserve"> any evidence to prove that she did make the payment </w:t>
      </w:r>
      <w:r w:rsidR="0058180D">
        <w:rPr>
          <w:rFonts w:eastAsia="MS Mincho"/>
          <w:bCs/>
          <w:sz w:val="26"/>
          <w:szCs w:val="26"/>
        </w:rPr>
        <w:t xml:space="preserve">as </w:t>
      </w:r>
      <w:r w:rsidR="00284D08">
        <w:rPr>
          <w:rFonts w:eastAsia="MS Mincho"/>
          <w:bCs/>
          <w:sz w:val="26"/>
          <w:szCs w:val="26"/>
        </w:rPr>
        <w:t>claimed</w:t>
      </w:r>
      <w:r w:rsidR="00BF0A10" w:rsidRPr="004B577F">
        <w:rPr>
          <w:rFonts w:eastAsia="MS Mincho"/>
          <w:bCs/>
          <w:sz w:val="26"/>
          <w:szCs w:val="26"/>
        </w:rPr>
        <w:t xml:space="preserve">.  Absent the Complainant providing a proof of payment and the amount paid on December 1, 2014, we </w:t>
      </w:r>
      <w:r w:rsidR="00FC0EBB">
        <w:rPr>
          <w:rFonts w:eastAsia="MS Mincho"/>
          <w:bCs/>
          <w:sz w:val="26"/>
          <w:szCs w:val="26"/>
        </w:rPr>
        <w:t>conclude t</w:t>
      </w:r>
      <w:r w:rsidR="00BF0A10" w:rsidRPr="004B577F">
        <w:rPr>
          <w:rFonts w:eastAsia="MS Mincho"/>
          <w:bCs/>
          <w:sz w:val="26"/>
          <w:szCs w:val="26"/>
        </w:rPr>
        <w:t xml:space="preserve">hat the Complainant has failed to meet her burden of proving that the outstanding balance reflected in </w:t>
      </w:r>
      <w:r w:rsidR="00284D08">
        <w:rPr>
          <w:rFonts w:eastAsia="MS Mincho"/>
          <w:bCs/>
          <w:sz w:val="26"/>
          <w:szCs w:val="26"/>
        </w:rPr>
        <w:t>PPL Exhibit 1</w:t>
      </w:r>
      <w:r w:rsidR="00BF0A10" w:rsidRPr="004B577F">
        <w:rPr>
          <w:rFonts w:eastAsia="MS Mincho"/>
          <w:bCs/>
          <w:sz w:val="26"/>
          <w:szCs w:val="26"/>
        </w:rPr>
        <w:t xml:space="preserve"> is inaccurate.  With regard to the Complainant’s Exception to FOF No. 11, we again</w:t>
      </w:r>
      <w:r w:rsidR="00FC0EBB">
        <w:rPr>
          <w:rFonts w:eastAsia="MS Mincho"/>
          <w:bCs/>
          <w:sz w:val="26"/>
          <w:szCs w:val="26"/>
        </w:rPr>
        <w:t xml:space="preserve"> are of the opinion </w:t>
      </w:r>
      <w:r w:rsidR="00BF0A10" w:rsidRPr="004B577F">
        <w:rPr>
          <w:rFonts w:eastAsia="MS Mincho"/>
          <w:bCs/>
          <w:sz w:val="26"/>
          <w:szCs w:val="26"/>
        </w:rPr>
        <w:t>that the Complainant</w:t>
      </w:r>
      <w:r w:rsidR="00FC0EBB">
        <w:rPr>
          <w:rFonts w:eastAsia="MS Mincho"/>
          <w:bCs/>
          <w:sz w:val="26"/>
          <w:szCs w:val="26"/>
        </w:rPr>
        <w:t xml:space="preserve"> </w:t>
      </w:r>
      <w:r w:rsidR="00BF0A10" w:rsidRPr="004B577F">
        <w:rPr>
          <w:rFonts w:eastAsia="MS Mincho"/>
          <w:bCs/>
          <w:sz w:val="26"/>
          <w:szCs w:val="26"/>
        </w:rPr>
        <w:t>failed to provide any evidence to support her assertion</w:t>
      </w:r>
      <w:r w:rsidR="00FC0EBB">
        <w:rPr>
          <w:rFonts w:eastAsia="MS Mincho"/>
          <w:bCs/>
          <w:sz w:val="26"/>
          <w:szCs w:val="26"/>
        </w:rPr>
        <w:t xml:space="preserve"> that she made five payments</w:t>
      </w:r>
      <w:r w:rsidR="00BF0A10" w:rsidRPr="004B577F">
        <w:rPr>
          <w:rFonts w:eastAsia="MS Mincho"/>
          <w:bCs/>
          <w:sz w:val="26"/>
          <w:szCs w:val="26"/>
        </w:rPr>
        <w:t xml:space="preserve">.  </w:t>
      </w:r>
      <w:r w:rsidR="00FC0EBB">
        <w:rPr>
          <w:rFonts w:eastAsia="MS Mincho"/>
          <w:bCs/>
          <w:sz w:val="26"/>
          <w:szCs w:val="26"/>
        </w:rPr>
        <w:t xml:space="preserve">Record evidence as reflected in PPL Exhibit 1 clearly shows that the </w:t>
      </w:r>
      <w:r w:rsidR="00BF0A10" w:rsidRPr="004B577F">
        <w:rPr>
          <w:rFonts w:eastAsia="MS Mincho"/>
          <w:bCs/>
          <w:sz w:val="26"/>
          <w:szCs w:val="26"/>
        </w:rPr>
        <w:t xml:space="preserve">Complainant </w:t>
      </w:r>
      <w:r w:rsidR="006043E7" w:rsidRPr="004B577F">
        <w:rPr>
          <w:rFonts w:eastAsia="MS Mincho"/>
          <w:bCs/>
          <w:sz w:val="26"/>
          <w:szCs w:val="26"/>
        </w:rPr>
        <w:t xml:space="preserve">made </w:t>
      </w:r>
      <w:r w:rsidR="00FC0EBB">
        <w:rPr>
          <w:rFonts w:eastAsia="MS Mincho"/>
          <w:bCs/>
          <w:sz w:val="26"/>
          <w:szCs w:val="26"/>
        </w:rPr>
        <w:t>only four payments.</w:t>
      </w:r>
      <w:r w:rsidR="006043E7" w:rsidRPr="004B577F">
        <w:rPr>
          <w:rFonts w:eastAsia="MS Mincho"/>
          <w:bCs/>
          <w:sz w:val="26"/>
          <w:szCs w:val="26"/>
        </w:rPr>
        <w:t xml:space="preserve">  With regard to the Complainant’s Exception to FOF No. 13, we </w:t>
      </w:r>
      <w:r w:rsidR="00FC0EBB">
        <w:rPr>
          <w:rFonts w:eastAsia="MS Mincho"/>
          <w:bCs/>
          <w:sz w:val="26"/>
          <w:szCs w:val="26"/>
        </w:rPr>
        <w:t xml:space="preserve">find that </w:t>
      </w:r>
      <w:r w:rsidR="006043E7" w:rsidRPr="004B577F">
        <w:rPr>
          <w:rFonts w:eastAsia="MS Mincho"/>
          <w:bCs/>
          <w:sz w:val="26"/>
          <w:szCs w:val="26"/>
        </w:rPr>
        <w:t xml:space="preserve">the Complainant did not provide any </w:t>
      </w:r>
      <w:r w:rsidR="00FC0EBB">
        <w:rPr>
          <w:rFonts w:eastAsia="MS Mincho"/>
          <w:bCs/>
          <w:sz w:val="26"/>
          <w:szCs w:val="26"/>
        </w:rPr>
        <w:t xml:space="preserve">credible </w:t>
      </w:r>
      <w:r w:rsidR="006043E7" w:rsidRPr="004B577F">
        <w:rPr>
          <w:rFonts w:eastAsia="MS Mincho"/>
          <w:bCs/>
          <w:sz w:val="26"/>
          <w:szCs w:val="26"/>
        </w:rPr>
        <w:t xml:space="preserve">evidence to support her claim that </w:t>
      </w:r>
      <w:r w:rsidR="006043E7" w:rsidRPr="004B577F">
        <w:rPr>
          <w:sz w:val="26"/>
          <w:szCs w:val="26"/>
        </w:rPr>
        <w:t xml:space="preserve">the payment arrangements were terminated for </w:t>
      </w:r>
      <w:r w:rsidR="00FC0EBB">
        <w:rPr>
          <w:sz w:val="26"/>
          <w:szCs w:val="26"/>
        </w:rPr>
        <w:t xml:space="preserve">late payment rather than for </w:t>
      </w:r>
      <w:r w:rsidR="006043E7" w:rsidRPr="004B577F">
        <w:rPr>
          <w:sz w:val="26"/>
          <w:szCs w:val="26"/>
        </w:rPr>
        <w:t>non-payment</w:t>
      </w:r>
      <w:r w:rsidR="00FC0EBB">
        <w:rPr>
          <w:sz w:val="26"/>
          <w:szCs w:val="26"/>
        </w:rPr>
        <w:t>.</w:t>
      </w:r>
      <w:r w:rsidR="006043E7" w:rsidRPr="004B577F">
        <w:rPr>
          <w:sz w:val="26"/>
          <w:szCs w:val="26"/>
        </w:rPr>
        <w:t xml:space="preserve"> </w:t>
      </w:r>
    </w:p>
    <w:p w:rsidR="00C42163" w:rsidRDefault="00C42163" w:rsidP="00690848">
      <w:pPr>
        <w:autoSpaceDE w:val="0"/>
        <w:autoSpaceDN w:val="0"/>
        <w:adjustRightInd w:val="0"/>
        <w:spacing w:line="360" w:lineRule="auto"/>
        <w:ind w:firstLine="1440"/>
        <w:rPr>
          <w:sz w:val="26"/>
          <w:szCs w:val="26"/>
        </w:rPr>
      </w:pPr>
    </w:p>
    <w:p w:rsidR="00414763" w:rsidRDefault="00C42163" w:rsidP="00C42163">
      <w:pPr>
        <w:spacing w:line="360" w:lineRule="auto"/>
        <w:ind w:firstLine="1440"/>
        <w:rPr>
          <w:sz w:val="26"/>
          <w:szCs w:val="26"/>
        </w:rPr>
      </w:pPr>
      <w:r>
        <w:rPr>
          <w:sz w:val="26"/>
          <w:szCs w:val="26"/>
        </w:rPr>
        <w:t>Additionally</w:t>
      </w:r>
      <w:r w:rsidR="006043E7" w:rsidRPr="004B577F">
        <w:rPr>
          <w:sz w:val="26"/>
          <w:szCs w:val="26"/>
        </w:rPr>
        <w:t xml:space="preserve">, contrary to the Complainant’s claim that she did not default on the </w:t>
      </w:r>
      <w:r w:rsidR="00D57411">
        <w:rPr>
          <w:sz w:val="26"/>
          <w:szCs w:val="26"/>
        </w:rPr>
        <w:t>July 2014</w:t>
      </w:r>
      <w:r w:rsidR="006043E7" w:rsidRPr="004B577F">
        <w:rPr>
          <w:sz w:val="26"/>
          <w:szCs w:val="26"/>
        </w:rPr>
        <w:t xml:space="preserve"> payment arrangement, the record reflects otherwise.  The record indicates that the Complainant was offered a budget billing </w:t>
      </w:r>
      <w:r w:rsidR="00DC32D9" w:rsidRPr="004B577F">
        <w:rPr>
          <w:sz w:val="26"/>
          <w:szCs w:val="26"/>
        </w:rPr>
        <w:t xml:space="preserve">of approximately $400 per month </w:t>
      </w:r>
      <w:r>
        <w:rPr>
          <w:sz w:val="26"/>
          <w:szCs w:val="26"/>
        </w:rPr>
        <w:t>as reflected in the July 2014 payment arrangement</w:t>
      </w:r>
      <w:r w:rsidR="006305E8">
        <w:rPr>
          <w:sz w:val="26"/>
          <w:szCs w:val="26"/>
        </w:rPr>
        <w:t xml:space="preserve"> and that </w:t>
      </w:r>
      <w:r w:rsidR="00AA014A" w:rsidRPr="004B577F">
        <w:rPr>
          <w:sz w:val="26"/>
          <w:szCs w:val="26"/>
        </w:rPr>
        <w:t xml:space="preserve">the Complainant defaulted on the </w:t>
      </w:r>
      <w:r>
        <w:rPr>
          <w:sz w:val="26"/>
          <w:szCs w:val="26"/>
        </w:rPr>
        <w:t>July 2014</w:t>
      </w:r>
      <w:r w:rsidR="00AA014A" w:rsidRPr="004B577F">
        <w:rPr>
          <w:sz w:val="26"/>
          <w:szCs w:val="26"/>
        </w:rPr>
        <w:t xml:space="preserve"> payment arrangement</w:t>
      </w:r>
      <w:r>
        <w:rPr>
          <w:sz w:val="26"/>
          <w:szCs w:val="26"/>
        </w:rPr>
        <w:t xml:space="preserve"> </w:t>
      </w:r>
      <w:r w:rsidRPr="004B577F">
        <w:rPr>
          <w:sz w:val="26"/>
          <w:szCs w:val="26"/>
        </w:rPr>
        <w:t>in August 2014</w:t>
      </w:r>
      <w:r>
        <w:rPr>
          <w:sz w:val="26"/>
          <w:szCs w:val="26"/>
        </w:rPr>
        <w:t xml:space="preserve">, </w:t>
      </w:r>
      <w:r w:rsidR="00AA014A" w:rsidRPr="004B577F">
        <w:rPr>
          <w:sz w:val="26"/>
          <w:szCs w:val="26"/>
        </w:rPr>
        <w:t xml:space="preserve">a month after </w:t>
      </w:r>
      <w:r w:rsidR="006305E8">
        <w:rPr>
          <w:sz w:val="26"/>
          <w:szCs w:val="26"/>
        </w:rPr>
        <w:t>it was offered to her.</w:t>
      </w:r>
      <w:r w:rsidR="00AA014A" w:rsidRPr="004B577F">
        <w:rPr>
          <w:sz w:val="26"/>
          <w:szCs w:val="26"/>
        </w:rPr>
        <w:t xml:space="preserve"> The record also shows that the Compla</w:t>
      </w:r>
      <w:r>
        <w:rPr>
          <w:sz w:val="26"/>
          <w:szCs w:val="26"/>
        </w:rPr>
        <w:t xml:space="preserve">inant made only two payments </w:t>
      </w:r>
      <w:r>
        <w:rPr>
          <w:sz w:val="26"/>
          <w:szCs w:val="26"/>
        </w:rPr>
        <w:lastRenderedPageBreak/>
        <w:t>subsequent to the July 2014 payment arrangement.</w:t>
      </w:r>
      <w:r w:rsidR="006305E8" w:rsidRPr="006305E8">
        <w:rPr>
          <w:rStyle w:val="FootnoteReference"/>
        </w:rPr>
        <w:t xml:space="preserve"> </w:t>
      </w:r>
      <w:r w:rsidR="006305E8">
        <w:rPr>
          <w:rStyle w:val="FootnoteReference"/>
        </w:rPr>
        <w:footnoteReference w:id="7"/>
      </w:r>
      <w:r>
        <w:rPr>
          <w:sz w:val="26"/>
          <w:szCs w:val="26"/>
        </w:rPr>
        <w:t xml:space="preserve">  </w:t>
      </w:r>
      <w:r w:rsidR="00AA014A" w:rsidRPr="004B577F">
        <w:rPr>
          <w:sz w:val="26"/>
          <w:szCs w:val="26"/>
        </w:rPr>
        <w:t xml:space="preserve">This confirms PPL’s claim that the Complainant defaulted on the </w:t>
      </w:r>
      <w:r>
        <w:rPr>
          <w:sz w:val="26"/>
          <w:szCs w:val="26"/>
        </w:rPr>
        <w:t>July 2014</w:t>
      </w:r>
      <w:r w:rsidRPr="004B577F">
        <w:rPr>
          <w:sz w:val="26"/>
          <w:szCs w:val="26"/>
        </w:rPr>
        <w:t xml:space="preserve"> payment</w:t>
      </w:r>
      <w:r w:rsidR="00AA014A" w:rsidRPr="004B577F">
        <w:rPr>
          <w:sz w:val="26"/>
          <w:szCs w:val="26"/>
        </w:rPr>
        <w:t xml:space="preserve"> arrangement.  </w:t>
      </w:r>
      <w:proofErr w:type="gramStart"/>
      <w:r w:rsidR="00AA014A" w:rsidRPr="004B577F">
        <w:rPr>
          <w:sz w:val="26"/>
          <w:szCs w:val="26"/>
        </w:rPr>
        <w:t xml:space="preserve">I.D. at 3, citing PPL </w:t>
      </w:r>
      <w:proofErr w:type="spellStart"/>
      <w:r w:rsidR="00AA014A" w:rsidRPr="004B577F">
        <w:rPr>
          <w:sz w:val="26"/>
          <w:szCs w:val="26"/>
        </w:rPr>
        <w:t>Exhs</w:t>
      </w:r>
      <w:proofErr w:type="spellEnd"/>
      <w:r w:rsidR="00AA014A" w:rsidRPr="004B577F">
        <w:rPr>
          <w:sz w:val="26"/>
          <w:szCs w:val="26"/>
        </w:rPr>
        <w:t>.</w:t>
      </w:r>
      <w:proofErr w:type="gramEnd"/>
      <w:r w:rsidR="00AA014A" w:rsidRPr="004B577F">
        <w:rPr>
          <w:sz w:val="26"/>
          <w:szCs w:val="26"/>
        </w:rPr>
        <w:t xml:space="preserve"> </w:t>
      </w:r>
      <w:proofErr w:type="gramStart"/>
      <w:r w:rsidR="00AA014A" w:rsidRPr="004B577F">
        <w:rPr>
          <w:sz w:val="26"/>
          <w:szCs w:val="26"/>
        </w:rPr>
        <w:t>1 and 3.</w:t>
      </w:r>
      <w:proofErr w:type="gramEnd"/>
      <w:r w:rsidR="00AA014A" w:rsidRPr="004B577F">
        <w:rPr>
          <w:sz w:val="26"/>
          <w:szCs w:val="26"/>
        </w:rPr>
        <w:t xml:space="preserve">  On the Complainant’s Exception regarding FOF No. 14, we agree with PPL that </w:t>
      </w:r>
      <w:r>
        <w:rPr>
          <w:sz w:val="26"/>
          <w:szCs w:val="26"/>
        </w:rPr>
        <w:t>nothing in the Code or Commission</w:t>
      </w:r>
      <w:r w:rsidR="009A484D" w:rsidRPr="004B577F">
        <w:rPr>
          <w:sz w:val="26"/>
          <w:szCs w:val="26"/>
        </w:rPr>
        <w:t xml:space="preserve"> Regulations stipulates </w:t>
      </w:r>
      <w:r w:rsidR="00CC6828">
        <w:rPr>
          <w:sz w:val="26"/>
          <w:szCs w:val="26"/>
        </w:rPr>
        <w:t xml:space="preserve">that </w:t>
      </w:r>
      <w:r w:rsidR="009A484D" w:rsidRPr="004B577F">
        <w:rPr>
          <w:sz w:val="26"/>
          <w:szCs w:val="26"/>
        </w:rPr>
        <w:t xml:space="preserve">the Commission order a balloon payment of the type being requested by the Complainant.  </w:t>
      </w:r>
      <w:r w:rsidRPr="004B577F">
        <w:rPr>
          <w:sz w:val="26"/>
          <w:szCs w:val="26"/>
        </w:rPr>
        <w:t xml:space="preserve">Accordingly, we shall deny the Complainant’s Exceptions. </w:t>
      </w:r>
    </w:p>
    <w:p w:rsidR="00C42163" w:rsidRPr="004B577F" w:rsidRDefault="00C42163" w:rsidP="00C42163">
      <w:pPr>
        <w:spacing w:line="360" w:lineRule="auto"/>
        <w:ind w:firstLine="1440"/>
        <w:rPr>
          <w:rFonts w:eastAsia="MS Mincho"/>
          <w:bCs/>
          <w:sz w:val="26"/>
          <w:szCs w:val="26"/>
        </w:rPr>
      </w:pPr>
    </w:p>
    <w:p w:rsidR="00414763" w:rsidRPr="004B577F" w:rsidRDefault="00497082" w:rsidP="00690848">
      <w:pPr>
        <w:autoSpaceDE w:val="0"/>
        <w:autoSpaceDN w:val="0"/>
        <w:adjustRightInd w:val="0"/>
        <w:spacing w:line="360" w:lineRule="auto"/>
        <w:ind w:firstLine="1440"/>
        <w:rPr>
          <w:rFonts w:eastAsia="MS Mincho"/>
          <w:bCs/>
          <w:sz w:val="26"/>
          <w:szCs w:val="26"/>
        </w:rPr>
      </w:pPr>
      <w:r w:rsidRPr="004B577F">
        <w:rPr>
          <w:rFonts w:eastAsia="MS Mincho"/>
          <w:bCs/>
          <w:sz w:val="26"/>
          <w:szCs w:val="26"/>
        </w:rPr>
        <w:t>With regard to the Complainan</w:t>
      </w:r>
      <w:r w:rsidR="006305E8">
        <w:rPr>
          <w:rFonts w:eastAsia="MS Mincho"/>
          <w:bCs/>
          <w:sz w:val="26"/>
          <w:szCs w:val="26"/>
        </w:rPr>
        <w:t xml:space="preserve">t’s Exception stating that she met </w:t>
      </w:r>
      <w:r w:rsidRPr="004B577F">
        <w:rPr>
          <w:rFonts w:eastAsia="MS Mincho"/>
          <w:bCs/>
          <w:sz w:val="26"/>
          <w:szCs w:val="26"/>
        </w:rPr>
        <w:t xml:space="preserve">her burden of proof, we </w:t>
      </w:r>
      <w:r w:rsidR="00783034">
        <w:rPr>
          <w:rFonts w:eastAsia="MS Mincho"/>
          <w:bCs/>
          <w:sz w:val="26"/>
          <w:szCs w:val="26"/>
        </w:rPr>
        <w:t>note that nothing in the record supports the Complainant’s assertions.</w:t>
      </w:r>
      <w:r w:rsidRPr="004B577F">
        <w:rPr>
          <w:rFonts w:eastAsia="MS Mincho"/>
          <w:bCs/>
          <w:sz w:val="26"/>
          <w:szCs w:val="26"/>
        </w:rPr>
        <w:t xml:space="preserve">  Rather, we </w:t>
      </w:r>
      <w:r w:rsidR="006951D1" w:rsidRPr="004B577F">
        <w:rPr>
          <w:rFonts w:eastAsia="MS Mincho"/>
          <w:bCs/>
          <w:sz w:val="26"/>
          <w:szCs w:val="26"/>
        </w:rPr>
        <w:t xml:space="preserve">agree with </w:t>
      </w:r>
      <w:r w:rsidR="00964C35" w:rsidRPr="004B577F">
        <w:rPr>
          <w:rFonts w:eastAsia="MS Mincho"/>
          <w:bCs/>
          <w:sz w:val="26"/>
          <w:szCs w:val="26"/>
        </w:rPr>
        <w:t xml:space="preserve">PPL </w:t>
      </w:r>
      <w:r w:rsidR="006951D1" w:rsidRPr="004B577F">
        <w:rPr>
          <w:rFonts w:eastAsia="MS Mincho"/>
          <w:bCs/>
          <w:sz w:val="26"/>
          <w:szCs w:val="26"/>
        </w:rPr>
        <w:t xml:space="preserve">and the ALJ’s Initial Decision </w:t>
      </w:r>
      <w:r w:rsidR="00964C35" w:rsidRPr="004B577F">
        <w:rPr>
          <w:rFonts w:eastAsia="MS Mincho"/>
          <w:bCs/>
          <w:sz w:val="26"/>
          <w:szCs w:val="26"/>
        </w:rPr>
        <w:t xml:space="preserve">that </w:t>
      </w:r>
      <w:r w:rsidR="006951D1" w:rsidRPr="004B577F">
        <w:rPr>
          <w:rFonts w:eastAsia="MS Mincho"/>
          <w:bCs/>
          <w:sz w:val="26"/>
          <w:szCs w:val="26"/>
        </w:rPr>
        <w:t xml:space="preserve">the Complainant failed to meet her burden of proof </w:t>
      </w:r>
      <w:r w:rsidR="006305E8">
        <w:rPr>
          <w:rFonts w:eastAsia="MS Mincho"/>
          <w:bCs/>
          <w:sz w:val="26"/>
          <w:szCs w:val="26"/>
        </w:rPr>
        <w:t xml:space="preserve">with </w:t>
      </w:r>
      <w:r w:rsidR="006951D1" w:rsidRPr="004B577F">
        <w:rPr>
          <w:rFonts w:eastAsia="MS Mincho"/>
          <w:bCs/>
          <w:sz w:val="26"/>
          <w:szCs w:val="26"/>
        </w:rPr>
        <w:t>regard</w:t>
      </w:r>
      <w:r w:rsidR="006305E8">
        <w:rPr>
          <w:rFonts w:eastAsia="MS Mincho"/>
          <w:bCs/>
          <w:sz w:val="26"/>
          <w:szCs w:val="26"/>
        </w:rPr>
        <w:t xml:space="preserve"> to</w:t>
      </w:r>
      <w:r w:rsidR="006951D1" w:rsidRPr="004B577F">
        <w:rPr>
          <w:rFonts w:eastAsia="MS Mincho"/>
          <w:bCs/>
          <w:sz w:val="26"/>
          <w:szCs w:val="26"/>
        </w:rPr>
        <w:t xml:space="preserve"> her request for a second Commission-issued balloon payment.  I.D. at 6-7.</w:t>
      </w:r>
      <w:r w:rsidR="00407F60" w:rsidRPr="004B577F">
        <w:rPr>
          <w:rFonts w:eastAsia="MS Mincho"/>
          <w:bCs/>
          <w:sz w:val="26"/>
          <w:szCs w:val="26"/>
        </w:rPr>
        <w:t xml:space="preserve">  </w:t>
      </w:r>
      <w:r w:rsidR="006305E8">
        <w:rPr>
          <w:rFonts w:eastAsia="MS Mincho"/>
          <w:bCs/>
          <w:sz w:val="26"/>
          <w:szCs w:val="26"/>
        </w:rPr>
        <w:t xml:space="preserve">For this reason, </w:t>
      </w:r>
      <w:r w:rsidR="00407F60" w:rsidRPr="004B577F">
        <w:rPr>
          <w:rFonts w:eastAsia="MS Mincho"/>
          <w:bCs/>
          <w:sz w:val="26"/>
          <w:szCs w:val="26"/>
        </w:rPr>
        <w:t xml:space="preserve">this Exception is denied.  </w:t>
      </w:r>
    </w:p>
    <w:p w:rsidR="00414763" w:rsidRPr="004B577F" w:rsidRDefault="00414763" w:rsidP="00690848">
      <w:pPr>
        <w:autoSpaceDE w:val="0"/>
        <w:autoSpaceDN w:val="0"/>
        <w:adjustRightInd w:val="0"/>
        <w:spacing w:line="360" w:lineRule="auto"/>
        <w:ind w:firstLine="1440"/>
        <w:rPr>
          <w:rFonts w:eastAsia="MS Mincho"/>
          <w:bCs/>
          <w:sz w:val="26"/>
          <w:szCs w:val="26"/>
        </w:rPr>
      </w:pPr>
    </w:p>
    <w:p w:rsidR="00407F60" w:rsidRPr="004B577F" w:rsidRDefault="00407F60" w:rsidP="00690848">
      <w:pPr>
        <w:autoSpaceDE w:val="0"/>
        <w:autoSpaceDN w:val="0"/>
        <w:adjustRightInd w:val="0"/>
        <w:spacing w:line="360" w:lineRule="auto"/>
        <w:ind w:firstLine="1440"/>
        <w:rPr>
          <w:rFonts w:eastAsia="MS Mincho"/>
          <w:bCs/>
          <w:sz w:val="26"/>
          <w:szCs w:val="26"/>
        </w:rPr>
      </w:pPr>
      <w:r w:rsidRPr="004B577F">
        <w:rPr>
          <w:rFonts w:eastAsia="MS Mincho"/>
          <w:bCs/>
          <w:sz w:val="26"/>
          <w:szCs w:val="26"/>
        </w:rPr>
        <w:t xml:space="preserve">With regard to the Complainant’s Exception </w:t>
      </w:r>
      <w:r w:rsidR="006305E8">
        <w:rPr>
          <w:rFonts w:eastAsia="MS Mincho"/>
          <w:bCs/>
          <w:sz w:val="26"/>
          <w:szCs w:val="26"/>
        </w:rPr>
        <w:t xml:space="preserve">concerning </w:t>
      </w:r>
      <w:r w:rsidRPr="004B577F">
        <w:rPr>
          <w:rFonts w:eastAsia="MS Mincho"/>
          <w:bCs/>
          <w:sz w:val="26"/>
          <w:szCs w:val="26"/>
        </w:rPr>
        <w:t xml:space="preserve">the Legal Standards and the ALJ’s ruling on her income, we </w:t>
      </w:r>
      <w:r w:rsidR="006305E8">
        <w:rPr>
          <w:rFonts w:eastAsia="MS Mincho"/>
          <w:bCs/>
          <w:sz w:val="26"/>
          <w:szCs w:val="26"/>
        </w:rPr>
        <w:t xml:space="preserve">again </w:t>
      </w:r>
      <w:r w:rsidRPr="004B577F">
        <w:rPr>
          <w:rFonts w:eastAsia="MS Mincho"/>
          <w:bCs/>
          <w:sz w:val="26"/>
          <w:szCs w:val="26"/>
        </w:rPr>
        <w:t>note that based on record</w:t>
      </w:r>
      <w:r w:rsidR="006305E8">
        <w:rPr>
          <w:rFonts w:eastAsia="MS Mincho"/>
          <w:bCs/>
          <w:sz w:val="26"/>
          <w:szCs w:val="26"/>
        </w:rPr>
        <w:t xml:space="preserve"> evidence</w:t>
      </w:r>
      <w:r w:rsidRPr="004B577F">
        <w:rPr>
          <w:rFonts w:eastAsia="MS Mincho"/>
          <w:bCs/>
          <w:sz w:val="26"/>
          <w:szCs w:val="26"/>
        </w:rPr>
        <w:t xml:space="preserve">, the ALJ was correct in her assessment </w:t>
      </w:r>
      <w:r w:rsidR="006305E8">
        <w:rPr>
          <w:rFonts w:eastAsia="MS Mincho"/>
          <w:bCs/>
          <w:sz w:val="26"/>
          <w:szCs w:val="26"/>
        </w:rPr>
        <w:t>about</w:t>
      </w:r>
      <w:r w:rsidRPr="004B577F">
        <w:rPr>
          <w:rFonts w:eastAsia="MS Mincho"/>
          <w:bCs/>
          <w:sz w:val="26"/>
          <w:szCs w:val="26"/>
        </w:rPr>
        <w:t xml:space="preserve"> the Complainant’s annual income.  We also note </w:t>
      </w:r>
      <w:r w:rsidR="00783034">
        <w:rPr>
          <w:rFonts w:eastAsia="MS Mincho"/>
          <w:bCs/>
          <w:sz w:val="26"/>
          <w:szCs w:val="26"/>
        </w:rPr>
        <w:t>that based on the record in the instant preceding, as shown in PPL Exhibit</w:t>
      </w:r>
      <w:r w:rsidR="00C3431F">
        <w:rPr>
          <w:rFonts w:eastAsia="MS Mincho"/>
          <w:bCs/>
          <w:sz w:val="26"/>
          <w:szCs w:val="26"/>
        </w:rPr>
        <w:t>s</w:t>
      </w:r>
      <w:r w:rsidR="00783034">
        <w:rPr>
          <w:rFonts w:eastAsia="MS Mincho"/>
          <w:bCs/>
          <w:sz w:val="26"/>
          <w:szCs w:val="26"/>
        </w:rPr>
        <w:t xml:space="preserve"> 1 and 3, </w:t>
      </w:r>
      <w:r w:rsidRPr="004B577F">
        <w:rPr>
          <w:rFonts w:eastAsia="MS Mincho"/>
          <w:bCs/>
          <w:sz w:val="26"/>
          <w:szCs w:val="26"/>
        </w:rPr>
        <w:t xml:space="preserve">the ALJ was accurate in stating that the Complainant defaulted on the </w:t>
      </w:r>
      <w:r w:rsidR="00CC6828">
        <w:rPr>
          <w:rFonts w:eastAsia="MS Mincho"/>
          <w:bCs/>
          <w:sz w:val="26"/>
          <w:szCs w:val="26"/>
        </w:rPr>
        <w:t>July 2014</w:t>
      </w:r>
      <w:r w:rsidRPr="004B577F">
        <w:rPr>
          <w:rFonts w:eastAsia="MS Mincho"/>
          <w:bCs/>
          <w:sz w:val="26"/>
          <w:szCs w:val="26"/>
        </w:rPr>
        <w:t xml:space="preserve"> payment arrangement.  As such, this Exception is also denied.</w:t>
      </w:r>
    </w:p>
    <w:p w:rsidR="001F6C5B" w:rsidRPr="004B577F" w:rsidRDefault="001F6C5B" w:rsidP="00690848">
      <w:pPr>
        <w:autoSpaceDE w:val="0"/>
        <w:autoSpaceDN w:val="0"/>
        <w:adjustRightInd w:val="0"/>
        <w:spacing w:line="360" w:lineRule="auto"/>
        <w:ind w:firstLine="1440"/>
        <w:rPr>
          <w:rFonts w:eastAsia="MS Mincho"/>
          <w:bCs/>
          <w:sz w:val="26"/>
          <w:szCs w:val="26"/>
        </w:rPr>
      </w:pPr>
    </w:p>
    <w:p w:rsidR="001F6C5B" w:rsidRPr="004B577F" w:rsidRDefault="001F6C5B" w:rsidP="00690848">
      <w:pPr>
        <w:autoSpaceDE w:val="0"/>
        <w:autoSpaceDN w:val="0"/>
        <w:adjustRightInd w:val="0"/>
        <w:spacing w:line="360" w:lineRule="auto"/>
        <w:ind w:firstLine="1440"/>
        <w:rPr>
          <w:rFonts w:eastAsia="MS Mincho"/>
          <w:bCs/>
          <w:sz w:val="26"/>
          <w:szCs w:val="26"/>
        </w:rPr>
      </w:pPr>
      <w:r w:rsidRPr="004B577F">
        <w:rPr>
          <w:rFonts w:eastAsia="MS Mincho"/>
          <w:bCs/>
          <w:sz w:val="26"/>
          <w:szCs w:val="26"/>
        </w:rPr>
        <w:t xml:space="preserve">With regard to the Complainant’s Exception accusing </w:t>
      </w:r>
      <w:r w:rsidR="00C3431F">
        <w:rPr>
          <w:rFonts w:eastAsia="MS Mincho"/>
          <w:bCs/>
          <w:sz w:val="26"/>
          <w:szCs w:val="26"/>
        </w:rPr>
        <w:t xml:space="preserve">the ALJ of being </w:t>
      </w:r>
      <w:r w:rsidR="00783034">
        <w:rPr>
          <w:rFonts w:eastAsia="MS Mincho"/>
          <w:bCs/>
          <w:sz w:val="26"/>
          <w:szCs w:val="26"/>
        </w:rPr>
        <w:t>biased</w:t>
      </w:r>
      <w:r w:rsidRPr="004B577F">
        <w:rPr>
          <w:rFonts w:eastAsia="MS Mincho"/>
          <w:bCs/>
          <w:sz w:val="26"/>
          <w:szCs w:val="26"/>
        </w:rPr>
        <w:t xml:space="preserve">, we agree with PPL that nothing in the record supports </w:t>
      </w:r>
      <w:r w:rsidR="00783034">
        <w:rPr>
          <w:rFonts w:eastAsia="MS Mincho"/>
          <w:bCs/>
          <w:sz w:val="26"/>
          <w:szCs w:val="26"/>
        </w:rPr>
        <w:t xml:space="preserve">such an accusation.  </w:t>
      </w:r>
      <w:r w:rsidR="00C3431F">
        <w:rPr>
          <w:rFonts w:eastAsia="MS Mincho"/>
          <w:bCs/>
          <w:sz w:val="26"/>
          <w:szCs w:val="26"/>
        </w:rPr>
        <w:t xml:space="preserve">We are of the opinion that the record supports the </w:t>
      </w:r>
      <w:r w:rsidR="006305E8">
        <w:rPr>
          <w:rFonts w:eastAsia="MS Mincho"/>
          <w:bCs/>
          <w:sz w:val="26"/>
          <w:szCs w:val="26"/>
        </w:rPr>
        <w:t xml:space="preserve">sentiment of the </w:t>
      </w:r>
      <w:r w:rsidR="00C3431F">
        <w:rPr>
          <w:rFonts w:eastAsia="MS Mincho"/>
          <w:bCs/>
          <w:sz w:val="26"/>
          <w:szCs w:val="26"/>
        </w:rPr>
        <w:t>ALJ’s statement.  Specifically,</w:t>
      </w:r>
      <w:r w:rsidR="006305E8">
        <w:rPr>
          <w:rFonts w:eastAsia="MS Mincho"/>
          <w:bCs/>
          <w:sz w:val="26"/>
          <w:szCs w:val="26"/>
        </w:rPr>
        <w:t xml:space="preserve"> in consideration of </w:t>
      </w:r>
      <w:r w:rsidR="00C3431F">
        <w:rPr>
          <w:rFonts w:eastAsia="MS Mincho"/>
          <w:bCs/>
          <w:sz w:val="26"/>
          <w:szCs w:val="26"/>
        </w:rPr>
        <w:t xml:space="preserve">the number of payment agreements </w:t>
      </w:r>
      <w:r w:rsidR="006305E8">
        <w:rPr>
          <w:rFonts w:eastAsia="MS Mincho"/>
          <w:bCs/>
          <w:sz w:val="26"/>
          <w:szCs w:val="26"/>
        </w:rPr>
        <w:t xml:space="preserve">on which </w:t>
      </w:r>
      <w:r w:rsidR="00C3431F">
        <w:rPr>
          <w:rFonts w:eastAsia="MS Mincho"/>
          <w:bCs/>
          <w:sz w:val="26"/>
          <w:szCs w:val="26"/>
        </w:rPr>
        <w:t>the Complainant has defaulted</w:t>
      </w:r>
      <w:r w:rsidR="006305E8">
        <w:rPr>
          <w:rFonts w:eastAsia="MS Mincho"/>
          <w:bCs/>
          <w:sz w:val="26"/>
          <w:szCs w:val="26"/>
        </w:rPr>
        <w:t>,</w:t>
      </w:r>
      <w:r w:rsidR="00C3431F">
        <w:rPr>
          <w:rFonts w:eastAsia="MS Mincho"/>
          <w:bCs/>
          <w:sz w:val="26"/>
          <w:szCs w:val="26"/>
        </w:rPr>
        <w:t xml:space="preserve"> including the July 2014 payment arrangement, the Complainant is </w:t>
      </w:r>
      <w:r w:rsidR="006305E8">
        <w:rPr>
          <w:rFonts w:eastAsia="MS Mincho"/>
          <w:bCs/>
          <w:sz w:val="26"/>
          <w:szCs w:val="26"/>
        </w:rPr>
        <w:t xml:space="preserve">not </w:t>
      </w:r>
      <w:r w:rsidR="00C3431F">
        <w:rPr>
          <w:rFonts w:eastAsia="MS Mincho"/>
          <w:bCs/>
          <w:sz w:val="26"/>
          <w:szCs w:val="26"/>
        </w:rPr>
        <w:t>entitled to another payment arrangement</w:t>
      </w:r>
      <w:r w:rsidR="006305E8">
        <w:rPr>
          <w:rFonts w:eastAsia="MS Mincho"/>
          <w:bCs/>
          <w:sz w:val="26"/>
          <w:szCs w:val="26"/>
        </w:rPr>
        <w:t xml:space="preserve"> in accordance with Section 1405(d) of the Code</w:t>
      </w:r>
      <w:r w:rsidR="00C3431F">
        <w:rPr>
          <w:rFonts w:eastAsia="MS Mincho"/>
          <w:bCs/>
          <w:sz w:val="26"/>
          <w:szCs w:val="26"/>
        </w:rPr>
        <w:t xml:space="preserve">.  Therefore, </w:t>
      </w:r>
      <w:r w:rsidR="006305E8">
        <w:rPr>
          <w:rFonts w:eastAsia="MS Mincho"/>
          <w:bCs/>
          <w:sz w:val="26"/>
          <w:szCs w:val="26"/>
        </w:rPr>
        <w:t xml:space="preserve">this </w:t>
      </w:r>
      <w:proofErr w:type="gramStart"/>
      <w:r w:rsidR="006305E8">
        <w:rPr>
          <w:rFonts w:eastAsia="MS Mincho"/>
          <w:bCs/>
          <w:sz w:val="26"/>
          <w:szCs w:val="26"/>
        </w:rPr>
        <w:t>Exceptions</w:t>
      </w:r>
      <w:proofErr w:type="gramEnd"/>
      <w:r w:rsidR="006305E8">
        <w:rPr>
          <w:rFonts w:eastAsia="MS Mincho"/>
          <w:bCs/>
          <w:sz w:val="26"/>
          <w:szCs w:val="26"/>
        </w:rPr>
        <w:t xml:space="preserve"> is </w:t>
      </w:r>
      <w:r w:rsidR="00F078D6">
        <w:rPr>
          <w:rFonts w:eastAsia="MS Mincho"/>
          <w:bCs/>
          <w:sz w:val="26"/>
          <w:szCs w:val="26"/>
        </w:rPr>
        <w:t xml:space="preserve">also </w:t>
      </w:r>
      <w:r w:rsidR="006305E8">
        <w:rPr>
          <w:rFonts w:eastAsia="MS Mincho"/>
          <w:bCs/>
          <w:sz w:val="26"/>
          <w:szCs w:val="26"/>
        </w:rPr>
        <w:t>denied</w:t>
      </w:r>
      <w:r w:rsidR="00F078D6">
        <w:rPr>
          <w:rFonts w:eastAsia="MS Mincho"/>
          <w:bCs/>
          <w:sz w:val="26"/>
          <w:szCs w:val="26"/>
        </w:rPr>
        <w:t>.</w:t>
      </w:r>
      <w:r w:rsidR="00C3431F" w:rsidRPr="004B577F">
        <w:rPr>
          <w:rFonts w:eastAsia="MS Mincho"/>
          <w:bCs/>
          <w:sz w:val="26"/>
          <w:szCs w:val="26"/>
        </w:rPr>
        <w:t xml:space="preserve"> </w:t>
      </w:r>
    </w:p>
    <w:p w:rsidR="00783034" w:rsidRDefault="00783034" w:rsidP="00690848">
      <w:pPr>
        <w:autoSpaceDE w:val="0"/>
        <w:autoSpaceDN w:val="0"/>
        <w:adjustRightInd w:val="0"/>
        <w:spacing w:line="360" w:lineRule="auto"/>
        <w:ind w:firstLine="1440"/>
        <w:rPr>
          <w:rFonts w:eastAsia="MS Mincho"/>
          <w:bCs/>
          <w:sz w:val="26"/>
          <w:szCs w:val="26"/>
        </w:rPr>
      </w:pPr>
    </w:p>
    <w:p w:rsidR="00B27E5C" w:rsidRPr="004B577F" w:rsidRDefault="00B27E5C" w:rsidP="00690848">
      <w:pPr>
        <w:autoSpaceDE w:val="0"/>
        <w:autoSpaceDN w:val="0"/>
        <w:adjustRightInd w:val="0"/>
        <w:spacing w:line="360" w:lineRule="auto"/>
        <w:ind w:firstLine="1440"/>
        <w:rPr>
          <w:rFonts w:eastAsia="MS Mincho"/>
          <w:bCs/>
          <w:sz w:val="26"/>
          <w:szCs w:val="26"/>
        </w:rPr>
      </w:pPr>
      <w:r w:rsidRPr="004B577F">
        <w:rPr>
          <w:rFonts w:eastAsia="MS Mincho"/>
          <w:bCs/>
          <w:sz w:val="26"/>
          <w:szCs w:val="26"/>
        </w:rPr>
        <w:t xml:space="preserve">With regard to the Complainant’s Exception on the ALJ’s conclusion </w:t>
      </w:r>
      <w:r w:rsidR="00A7645B" w:rsidRPr="004B577F">
        <w:rPr>
          <w:rFonts w:eastAsia="MS Mincho"/>
          <w:bCs/>
          <w:sz w:val="26"/>
          <w:szCs w:val="26"/>
        </w:rPr>
        <w:t xml:space="preserve">that </w:t>
      </w:r>
      <w:r w:rsidR="000D0389">
        <w:rPr>
          <w:rFonts w:eastAsia="MS Mincho"/>
          <w:bCs/>
          <w:sz w:val="26"/>
          <w:szCs w:val="26"/>
        </w:rPr>
        <w:t xml:space="preserve">she is not </w:t>
      </w:r>
      <w:r w:rsidR="000D0389" w:rsidRPr="004B577F">
        <w:rPr>
          <w:rFonts w:eastAsia="MS Mincho"/>
          <w:bCs/>
          <w:sz w:val="26"/>
          <w:szCs w:val="26"/>
        </w:rPr>
        <w:t xml:space="preserve">entitled to another payment arrangement </w:t>
      </w:r>
      <w:r w:rsidR="000D0389">
        <w:rPr>
          <w:rFonts w:eastAsia="MS Mincho"/>
          <w:bCs/>
          <w:sz w:val="26"/>
          <w:szCs w:val="26"/>
        </w:rPr>
        <w:t xml:space="preserve">because </w:t>
      </w:r>
      <w:r w:rsidR="00A7645B" w:rsidRPr="004B577F">
        <w:rPr>
          <w:rFonts w:eastAsia="MS Mincho"/>
          <w:bCs/>
          <w:sz w:val="26"/>
          <w:szCs w:val="26"/>
        </w:rPr>
        <w:t xml:space="preserve">she defaulted on </w:t>
      </w:r>
      <w:r w:rsidR="00CC6828">
        <w:rPr>
          <w:rFonts w:eastAsia="MS Mincho"/>
          <w:bCs/>
          <w:sz w:val="26"/>
          <w:szCs w:val="26"/>
        </w:rPr>
        <w:t>the July 2014</w:t>
      </w:r>
      <w:r w:rsidR="00A7645B" w:rsidRPr="004B577F">
        <w:rPr>
          <w:rFonts w:eastAsia="MS Mincho"/>
          <w:bCs/>
          <w:sz w:val="26"/>
          <w:szCs w:val="26"/>
        </w:rPr>
        <w:t xml:space="preserve"> payment arrangement, we agree with the ALJ.  We also agree with the ALJ that there is no provision for a balloon payment </w:t>
      </w:r>
      <w:r w:rsidR="00A7645B" w:rsidRPr="004B577F">
        <w:rPr>
          <w:sz w:val="26"/>
          <w:szCs w:val="26"/>
        </w:rPr>
        <w:t xml:space="preserve">under 66 Pa. C.S. § 1405(d).  </w:t>
      </w:r>
      <w:r w:rsidR="00850844">
        <w:rPr>
          <w:sz w:val="26"/>
          <w:szCs w:val="26"/>
        </w:rPr>
        <w:t xml:space="preserve">PPL, at its discretion may, pursuant to Section 1405(d) of the Code, enter into another payment arrangement with the Complainant and choose the methodology, but there is no requirement that would require PPL to offer a balloon-type of payment arrangement.  </w:t>
      </w:r>
      <w:r w:rsidR="00A7645B" w:rsidRPr="004B577F">
        <w:rPr>
          <w:sz w:val="26"/>
          <w:szCs w:val="26"/>
        </w:rPr>
        <w:t xml:space="preserve">Furthermore, </w:t>
      </w:r>
      <w:r w:rsidR="00850844">
        <w:rPr>
          <w:sz w:val="26"/>
          <w:szCs w:val="26"/>
        </w:rPr>
        <w:t xml:space="preserve">as discussed in more detail, </w:t>
      </w:r>
      <w:r w:rsidR="00850844">
        <w:rPr>
          <w:i/>
          <w:sz w:val="26"/>
          <w:szCs w:val="26"/>
        </w:rPr>
        <w:t>infra</w:t>
      </w:r>
      <w:r w:rsidR="00850844">
        <w:rPr>
          <w:sz w:val="26"/>
          <w:szCs w:val="26"/>
        </w:rPr>
        <w:t xml:space="preserve">, </w:t>
      </w:r>
      <w:r w:rsidR="00A7645B" w:rsidRPr="004B577F">
        <w:rPr>
          <w:sz w:val="26"/>
          <w:szCs w:val="26"/>
        </w:rPr>
        <w:t>we note that pursuant to Secti</w:t>
      </w:r>
      <w:r w:rsidR="00783034">
        <w:rPr>
          <w:sz w:val="26"/>
          <w:szCs w:val="26"/>
        </w:rPr>
        <w:t>on 1405(e) of the</w:t>
      </w:r>
      <w:r w:rsidR="00A7645B" w:rsidRPr="004B577F">
        <w:rPr>
          <w:sz w:val="26"/>
          <w:szCs w:val="26"/>
        </w:rPr>
        <w:t xml:space="preserve"> Code, 66 Pa. C.S. §</w:t>
      </w:r>
      <w:r w:rsidR="00850844">
        <w:rPr>
          <w:sz w:val="26"/>
          <w:szCs w:val="26"/>
        </w:rPr>
        <w:t> </w:t>
      </w:r>
      <w:r w:rsidR="00A7645B" w:rsidRPr="004B577F">
        <w:rPr>
          <w:sz w:val="26"/>
          <w:szCs w:val="26"/>
        </w:rPr>
        <w:t>1405(d), the Co</w:t>
      </w:r>
      <w:r w:rsidR="00783034">
        <w:rPr>
          <w:sz w:val="26"/>
          <w:szCs w:val="26"/>
        </w:rPr>
        <w:t xml:space="preserve">mplainant is not entitled to an </w:t>
      </w:r>
      <w:r w:rsidR="00A7645B" w:rsidRPr="004B577F">
        <w:rPr>
          <w:sz w:val="26"/>
          <w:szCs w:val="26"/>
        </w:rPr>
        <w:t xml:space="preserve">extension of </w:t>
      </w:r>
      <w:r w:rsidR="00CC6828">
        <w:rPr>
          <w:sz w:val="26"/>
          <w:szCs w:val="26"/>
        </w:rPr>
        <w:t>the July 2014</w:t>
      </w:r>
      <w:r w:rsidR="00A7645B" w:rsidRPr="004B577F">
        <w:rPr>
          <w:sz w:val="26"/>
          <w:szCs w:val="26"/>
        </w:rPr>
        <w:t xml:space="preserve"> payment arrangement</w:t>
      </w:r>
      <w:r w:rsidR="00783034">
        <w:rPr>
          <w:sz w:val="26"/>
          <w:szCs w:val="26"/>
        </w:rPr>
        <w:t xml:space="preserve"> or the balloon payment </w:t>
      </w:r>
      <w:r w:rsidR="00CC6828">
        <w:rPr>
          <w:sz w:val="26"/>
          <w:szCs w:val="26"/>
        </w:rPr>
        <w:t xml:space="preserve">arrangement </w:t>
      </w:r>
      <w:r w:rsidR="00783034">
        <w:rPr>
          <w:sz w:val="26"/>
          <w:szCs w:val="26"/>
        </w:rPr>
        <w:t>she is requesting</w:t>
      </w:r>
      <w:r w:rsidR="00850844">
        <w:rPr>
          <w:sz w:val="26"/>
          <w:szCs w:val="26"/>
        </w:rPr>
        <w:t xml:space="preserve"> because she has not adequately demonstrated a significant change in circumstance</w:t>
      </w:r>
      <w:r w:rsidR="00A7645B" w:rsidRPr="004B577F">
        <w:rPr>
          <w:sz w:val="26"/>
          <w:szCs w:val="26"/>
        </w:rPr>
        <w:t>.</w:t>
      </w:r>
    </w:p>
    <w:p w:rsidR="00B27E5C" w:rsidRPr="004B577F" w:rsidRDefault="00B27E5C" w:rsidP="00690848">
      <w:pPr>
        <w:autoSpaceDE w:val="0"/>
        <w:autoSpaceDN w:val="0"/>
        <w:adjustRightInd w:val="0"/>
        <w:spacing w:line="360" w:lineRule="auto"/>
        <w:ind w:firstLine="1440"/>
        <w:rPr>
          <w:rFonts w:eastAsia="MS Mincho"/>
          <w:bCs/>
          <w:sz w:val="26"/>
          <w:szCs w:val="26"/>
        </w:rPr>
      </w:pPr>
    </w:p>
    <w:p w:rsidR="00B27E5C" w:rsidRPr="004B577F" w:rsidRDefault="001116AF" w:rsidP="00690848">
      <w:pPr>
        <w:autoSpaceDE w:val="0"/>
        <w:autoSpaceDN w:val="0"/>
        <w:adjustRightInd w:val="0"/>
        <w:spacing w:line="360" w:lineRule="auto"/>
        <w:ind w:firstLine="1440"/>
        <w:rPr>
          <w:sz w:val="26"/>
          <w:szCs w:val="26"/>
        </w:rPr>
      </w:pPr>
      <w:r w:rsidRPr="004B577F">
        <w:rPr>
          <w:rFonts w:eastAsia="MS Mincho"/>
          <w:bCs/>
          <w:sz w:val="26"/>
          <w:szCs w:val="26"/>
        </w:rPr>
        <w:t xml:space="preserve">With regard to the Complainant’s Exceptions on the Conclusions of Law and Order in the ALJ’s Initial Decision, we disagree with the Complainant.  </w:t>
      </w:r>
      <w:r w:rsidR="00850844">
        <w:rPr>
          <w:rFonts w:eastAsia="MS Mincho"/>
          <w:bCs/>
          <w:sz w:val="26"/>
          <w:szCs w:val="26"/>
        </w:rPr>
        <w:t xml:space="preserve">Nothing </w:t>
      </w:r>
      <w:r w:rsidRPr="004B577F">
        <w:rPr>
          <w:rFonts w:eastAsia="MS Mincho"/>
          <w:bCs/>
          <w:sz w:val="26"/>
          <w:szCs w:val="26"/>
        </w:rPr>
        <w:t xml:space="preserve">in the record supports the Complainant’s claim that </w:t>
      </w:r>
      <w:r w:rsidR="00126D3B" w:rsidRPr="004B577F">
        <w:rPr>
          <w:rFonts w:eastAsia="MS Mincho"/>
          <w:bCs/>
          <w:sz w:val="26"/>
          <w:szCs w:val="26"/>
        </w:rPr>
        <w:t xml:space="preserve">she satisfied her burden of proof in the instant proceeding.  </w:t>
      </w:r>
      <w:r w:rsidR="00850844">
        <w:rPr>
          <w:rFonts w:eastAsia="MS Mincho"/>
          <w:bCs/>
          <w:sz w:val="26"/>
          <w:szCs w:val="26"/>
        </w:rPr>
        <w:t xml:space="preserve">We disagree with </w:t>
      </w:r>
      <w:r w:rsidR="00126D3B" w:rsidRPr="004B577F">
        <w:rPr>
          <w:rFonts w:eastAsia="MS Mincho"/>
          <w:bCs/>
          <w:sz w:val="26"/>
          <w:szCs w:val="26"/>
        </w:rPr>
        <w:t xml:space="preserve">the Complainant’s contention that </w:t>
      </w:r>
      <w:r w:rsidR="00850844" w:rsidRPr="004B577F">
        <w:rPr>
          <w:sz w:val="26"/>
          <w:szCs w:val="26"/>
        </w:rPr>
        <w:t xml:space="preserve">she </w:t>
      </w:r>
      <w:r w:rsidR="00564C98">
        <w:rPr>
          <w:sz w:val="26"/>
          <w:szCs w:val="26"/>
        </w:rPr>
        <w:t xml:space="preserve">has sufficiently </w:t>
      </w:r>
      <w:r w:rsidR="00850844" w:rsidRPr="004B577F">
        <w:rPr>
          <w:sz w:val="26"/>
          <w:szCs w:val="26"/>
        </w:rPr>
        <w:t xml:space="preserve">demonstrated a change in </w:t>
      </w:r>
      <w:r w:rsidR="00564C98">
        <w:rPr>
          <w:sz w:val="26"/>
          <w:szCs w:val="26"/>
        </w:rPr>
        <w:t xml:space="preserve">her </w:t>
      </w:r>
      <w:r w:rsidR="00850844" w:rsidRPr="004B577F">
        <w:rPr>
          <w:sz w:val="26"/>
          <w:szCs w:val="26"/>
        </w:rPr>
        <w:t xml:space="preserve">income and </w:t>
      </w:r>
      <w:r w:rsidR="00E403F3">
        <w:rPr>
          <w:sz w:val="26"/>
          <w:szCs w:val="26"/>
        </w:rPr>
        <w:t xml:space="preserve">her position that </w:t>
      </w:r>
      <w:r w:rsidR="00850844">
        <w:rPr>
          <w:sz w:val="26"/>
          <w:szCs w:val="26"/>
        </w:rPr>
        <w:t xml:space="preserve">her request </w:t>
      </w:r>
      <w:r w:rsidR="00E403F3">
        <w:rPr>
          <w:sz w:val="26"/>
          <w:szCs w:val="26"/>
        </w:rPr>
        <w:t xml:space="preserve">is similar to </w:t>
      </w:r>
      <w:r w:rsidR="00850844">
        <w:rPr>
          <w:sz w:val="26"/>
          <w:szCs w:val="26"/>
        </w:rPr>
        <w:t>an</w:t>
      </w:r>
      <w:r w:rsidR="003C1679">
        <w:rPr>
          <w:sz w:val="26"/>
          <w:szCs w:val="26"/>
        </w:rPr>
        <w:t xml:space="preserve"> </w:t>
      </w:r>
      <w:r w:rsidR="00850844" w:rsidRPr="004B577F">
        <w:rPr>
          <w:sz w:val="26"/>
          <w:szCs w:val="26"/>
        </w:rPr>
        <w:t xml:space="preserve">extension of her payment arrangement </w:t>
      </w:r>
      <w:r w:rsidR="00126D3B" w:rsidRPr="004B577F">
        <w:rPr>
          <w:sz w:val="26"/>
          <w:szCs w:val="26"/>
        </w:rPr>
        <w:t xml:space="preserve">pursuant to </w:t>
      </w:r>
      <w:r w:rsidR="00850844">
        <w:rPr>
          <w:sz w:val="26"/>
          <w:szCs w:val="26"/>
        </w:rPr>
        <w:t>Section</w:t>
      </w:r>
      <w:r w:rsidR="00564C98">
        <w:rPr>
          <w:sz w:val="26"/>
          <w:szCs w:val="26"/>
        </w:rPr>
        <w:t>s 1405(b</w:t>
      </w:r>
      <w:proofErr w:type="gramStart"/>
      <w:r w:rsidR="00564C98">
        <w:rPr>
          <w:sz w:val="26"/>
          <w:szCs w:val="26"/>
        </w:rPr>
        <w:t>)(</w:t>
      </w:r>
      <w:proofErr w:type="gramEnd"/>
      <w:r w:rsidR="00564C98">
        <w:rPr>
          <w:sz w:val="26"/>
          <w:szCs w:val="26"/>
        </w:rPr>
        <w:t xml:space="preserve">1) and </w:t>
      </w:r>
      <w:r w:rsidR="00850844">
        <w:rPr>
          <w:sz w:val="26"/>
          <w:szCs w:val="26"/>
        </w:rPr>
        <w:t>1405(e) of the Code</w:t>
      </w:r>
      <w:r w:rsidR="00564C98">
        <w:rPr>
          <w:sz w:val="26"/>
          <w:szCs w:val="26"/>
        </w:rPr>
        <w:t>.</w:t>
      </w:r>
      <w:r w:rsidR="00783034">
        <w:rPr>
          <w:sz w:val="26"/>
          <w:szCs w:val="26"/>
        </w:rPr>
        <w:t xml:space="preserve">  </w:t>
      </w:r>
      <w:r w:rsidR="00564C98">
        <w:rPr>
          <w:sz w:val="26"/>
          <w:szCs w:val="26"/>
        </w:rPr>
        <w:t>Our review of th</w:t>
      </w:r>
      <w:r w:rsidR="00783034">
        <w:rPr>
          <w:sz w:val="26"/>
          <w:szCs w:val="26"/>
        </w:rPr>
        <w:t xml:space="preserve">e record </w:t>
      </w:r>
      <w:r w:rsidR="00564C98">
        <w:rPr>
          <w:sz w:val="26"/>
          <w:szCs w:val="26"/>
        </w:rPr>
        <w:t xml:space="preserve">clearly shows </w:t>
      </w:r>
      <w:r w:rsidR="00783034">
        <w:rPr>
          <w:sz w:val="26"/>
          <w:szCs w:val="26"/>
        </w:rPr>
        <w:t xml:space="preserve">that </w:t>
      </w:r>
      <w:r w:rsidR="00126D3B" w:rsidRPr="004B577F">
        <w:rPr>
          <w:sz w:val="26"/>
          <w:szCs w:val="26"/>
        </w:rPr>
        <w:t xml:space="preserve">when asked by the ALJ during the hearing if she has experienced a change in income or a significant medical circumstance since the </w:t>
      </w:r>
      <w:r w:rsidR="00783034">
        <w:rPr>
          <w:sz w:val="26"/>
          <w:szCs w:val="26"/>
        </w:rPr>
        <w:t xml:space="preserve">July </w:t>
      </w:r>
      <w:r w:rsidR="00B36AE2" w:rsidRPr="004B577F">
        <w:rPr>
          <w:sz w:val="26"/>
          <w:szCs w:val="26"/>
        </w:rPr>
        <w:t>2014</w:t>
      </w:r>
      <w:r w:rsidR="00783034">
        <w:rPr>
          <w:sz w:val="26"/>
          <w:szCs w:val="26"/>
        </w:rPr>
        <w:t xml:space="preserve"> payment arrangement</w:t>
      </w:r>
      <w:r w:rsidR="00126D3B" w:rsidRPr="004B577F">
        <w:rPr>
          <w:sz w:val="26"/>
          <w:szCs w:val="26"/>
        </w:rPr>
        <w:t xml:space="preserve">, the Complainant responded in the negative.  </w:t>
      </w:r>
      <w:proofErr w:type="gramStart"/>
      <w:r w:rsidR="00126D3B" w:rsidRPr="004B577F">
        <w:rPr>
          <w:sz w:val="26"/>
          <w:szCs w:val="26"/>
        </w:rPr>
        <w:t>Tr. at 9.</w:t>
      </w:r>
      <w:proofErr w:type="gramEnd"/>
      <w:r w:rsidR="00126D3B" w:rsidRPr="004B577F">
        <w:rPr>
          <w:sz w:val="26"/>
          <w:szCs w:val="26"/>
        </w:rPr>
        <w:t xml:space="preserve">  </w:t>
      </w:r>
      <w:r w:rsidR="00783034">
        <w:rPr>
          <w:sz w:val="26"/>
          <w:szCs w:val="26"/>
        </w:rPr>
        <w:t>Therefore, based on the Complainant’s testimony</w:t>
      </w:r>
      <w:r w:rsidR="007D7245">
        <w:rPr>
          <w:sz w:val="26"/>
          <w:szCs w:val="26"/>
        </w:rPr>
        <w:t>,</w:t>
      </w:r>
      <w:r w:rsidR="00783034">
        <w:rPr>
          <w:sz w:val="26"/>
          <w:szCs w:val="26"/>
        </w:rPr>
        <w:t xml:space="preserve"> </w:t>
      </w:r>
      <w:r w:rsidR="00564C98">
        <w:rPr>
          <w:sz w:val="26"/>
          <w:szCs w:val="26"/>
        </w:rPr>
        <w:t xml:space="preserve">we conclude that </w:t>
      </w:r>
      <w:r w:rsidR="00783034">
        <w:rPr>
          <w:sz w:val="26"/>
          <w:szCs w:val="26"/>
        </w:rPr>
        <w:t xml:space="preserve">she has not experienced a change in income or a significant </w:t>
      </w:r>
      <w:r w:rsidR="007D7245">
        <w:rPr>
          <w:sz w:val="26"/>
          <w:szCs w:val="26"/>
        </w:rPr>
        <w:t xml:space="preserve">change in circumstance subsequent to the July </w:t>
      </w:r>
      <w:r w:rsidR="007D7245" w:rsidRPr="004B577F">
        <w:rPr>
          <w:sz w:val="26"/>
          <w:szCs w:val="26"/>
        </w:rPr>
        <w:t>2014</w:t>
      </w:r>
      <w:r w:rsidR="007D7245">
        <w:rPr>
          <w:sz w:val="26"/>
          <w:szCs w:val="26"/>
        </w:rPr>
        <w:t xml:space="preserve"> payment arrangement.</w:t>
      </w:r>
    </w:p>
    <w:p w:rsidR="00B36AE2" w:rsidRPr="004B577F" w:rsidRDefault="00B36AE2" w:rsidP="00690848">
      <w:pPr>
        <w:autoSpaceDE w:val="0"/>
        <w:autoSpaceDN w:val="0"/>
        <w:adjustRightInd w:val="0"/>
        <w:spacing w:line="360" w:lineRule="auto"/>
        <w:ind w:firstLine="1440"/>
        <w:rPr>
          <w:rFonts w:eastAsia="MS Mincho"/>
          <w:bCs/>
          <w:sz w:val="26"/>
          <w:szCs w:val="26"/>
        </w:rPr>
      </w:pPr>
    </w:p>
    <w:p w:rsidR="00EC7120" w:rsidRPr="004B577F" w:rsidRDefault="00564C98" w:rsidP="00690848">
      <w:pPr>
        <w:autoSpaceDE w:val="0"/>
        <w:autoSpaceDN w:val="0"/>
        <w:adjustRightInd w:val="0"/>
        <w:spacing w:line="360" w:lineRule="auto"/>
        <w:ind w:firstLine="1440"/>
        <w:rPr>
          <w:rFonts w:eastAsia="MS Mincho"/>
          <w:bCs/>
          <w:sz w:val="26"/>
          <w:szCs w:val="26"/>
        </w:rPr>
      </w:pPr>
      <w:r>
        <w:rPr>
          <w:sz w:val="26"/>
          <w:szCs w:val="26"/>
        </w:rPr>
        <w:t xml:space="preserve">It is </w:t>
      </w:r>
      <w:r w:rsidR="00B90DBA">
        <w:rPr>
          <w:sz w:val="26"/>
          <w:szCs w:val="26"/>
        </w:rPr>
        <w:t xml:space="preserve">also </w:t>
      </w:r>
      <w:r>
        <w:rPr>
          <w:sz w:val="26"/>
          <w:szCs w:val="26"/>
        </w:rPr>
        <w:t xml:space="preserve">important to note that </w:t>
      </w:r>
      <w:r w:rsidR="00B36AE2" w:rsidRPr="004B577F">
        <w:rPr>
          <w:sz w:val="26"/>
          <w:szCs w:val="26"/>
        </w:rPr>
        <w:t>pursuant to Section 1405(e) of the Code, 66</w:t>
      </w:r>
      <w:r w:rsidR="00B90DBA">
        <w:rPr>
          <w:sz w:val="26"/>
          <w:szCs w:val="26"/>
        </w:rPr>
        <w:t> </w:t>
      </w:r>
      <w:r w:rsidR="00B36AE2" w:rsidRPr="004B577F">
        <w:rPr>
          <w:sz w:val="26"/>
          <w:szCs w:val="26"/>
        </w:rPr>
        <w:t xml:space="preserve">Pa. C.S. § 1405(e), </w:t>
      </w:r>
      <w:r>
        <w:rPr>
          <w:sz w:val="26"/>
          <w:szCs w:val="26"/>
        </w:rPr>
        <w:t>we are</w:t>
      </w:r>
      <w:r w:rsidR="00B36AE2" w:rsidRPr="004B577F">
        <w:rPr>
          <w:sz w:val="26"/>
          <w:szCs w:val="26"/>
        </w:rPr>
        <w:t xml:space="preserve"> authorized to reinstate a payment arrangement and extend the remaining term for an initial period of six months in those instances where a customer </w:t>
      </w:r>
      <w:r w:rsidR="00B36AE2" w:rsidRPr="004B577F">
        <w:rPr>
          <w:sz w:val="26"/>
          <w:szCs w:val="26"/>
        </w:rPr>
        <w:lastRenderedPageBreak/>
        <w:t>has defaulted on a payment arrangement as a result of a significant change in circumstance.</w:t>
      </w:r>
      <w:r w:rsidR="00B36AE2" w:rsidRPr="004B577F">
        <w:rPr>
          <w:rStyle w:val="FootnoteReference"/>
        </w:rPr>
        <w:footnoteReference w:id="8"/>
      </w:r>
      <w:r w:rsidR="00B36AE2" w:rsidRPr="004B577F">
        <w:rPr>
          <w:sz w:val="26"/>
          <w:szCs w:val="26"/>
        </w:rPr>
        <w:t xml:space="preserve">  </w:t>
      </w:r>
      <w:r>
        <w:rPr>
          <w:sz w:val="26"/>
          <w:szCs w:val="26"/>
        </w:rPr>
        <w:t>A</w:t>
      </w:r>
      <w:r w:rsidR="00EC7120" w:rsidRPr="004B577F">
        <w:rPr>
          <w:rFonts w:eastAsia="MS Mincho"/>
          <w:bCs/>
          <w:sz w:val="26"/>
          <w:szCs w:val="26"/>
        </w:rPr>
        <w:t xml:space="preserve"> </w:t>
      </w:r>
      <w:r w:rsidR="0084769B" w:rsidRPr="004B577F">
        <w:rPr>
          <w:rFonts w:eastAsia="MS Mincho"/>
          <w:bCs/>
          <w:sz w:val="26"/>
          <w:szCs w:val="26"/>
        </w:rPr>
        <w:t>“</w:t>
      </w:r>
      <w:r w:rsidR="00EC7120" w:rsidRPr="004B577F">
        <w:rPr>
          <w:rFonts w:eastAsia="MS Mincho"/>
          <w:bCs/>
          <w:sz w:val="26"/>
          <w:szCs w:val="26"/>
        </w:rPr>
        <w:t>Significant Change in Circumstance</w:t>
      </w:r>
      <w:r w:rsidR="0084769B" w:rsidRPr="004B577F">
        <w:rPr>
          <w:rFonts w:eastAsia="MS Mincho"/>
          <w:bCs/>
          <w:sz w:val="26"/>
          <w:szCs w:val="26"/>
        </w:rPr>
        <w:t>”</w:t>
      </w:r>
      <w:r w:rsidR="00EC7120" w:rsidRPr="004B577F">
        <w:rPr>
          <w:rFonts w:eastAsia="MS Mincho"/>
          <w:bCs/>
          <w:sz w:val="26"/>
          <w:szCs w:val="26"/>
        </w:rPr>
        <w:t xml:space="preserve"> in Section 1403 of the Code</w:t>
      </w:r>
      <w:r>
        <w:rPr>
          <w:rFonts w:eastAsia="MS Mincho"/>
          <w:bCs/>
          <w:sz w:val="26"/>
          <w:szCs w:val="26"/>
        </w:rPr>
        <w:t xml:space="preserve"> is defined </w:t>
      </w:r>
      <w:r w:rsidR="00EC7120" w:rsidRPr="004B577F">
        <w:rPr>
          <w:rFonts w:eastAsia="MS Mincho"/>
          <w:bCs/>
          <w:sz w:val="26"/>
          <w:szCs w:val="26"/>
        </w:rPr>
        <w:t>as follows</w:t>
      </w:r>
      <w:r w:rsidR="00864386" w:rsidRPr="004B577F">
        <w:rPr>
          <w:rFonts w:eastAsia="MS Mincho"/>
          <w:bCs/>
          <w:sz w:val="26"/>
          <w:szCs w:val="26"/>
        </w:rPr>
        <w:t>:</w:t>
      </w:r>
    </w:p>
    <w:p w:rsidR="00EC7120" w:rsidRPr="004B577F" w:rsidRDefault="00EC7120" w:rsidP="00690848">
      <w:pPr>
        <w:autoSpaceDE w:val="0"/>
        <w:autoSpaceDN w:val="0"/>
        <w:adjustRightInd w:val="0"/>
        <w:spacing w:line="360" w:lineRule="auto"/>
        <w:rPr>
          <w:rFonts w:eastAsia="MS Mincho"/>
          <w:bCs/>
          <w:sz w:val="26"/>
          <w:szCs w:val="26"/>
        </w:rPr>
      </w:pPr>
    </w:p>
    <w:p w:rsidR="0033155D" w:rsidRPr="004B577F" w:rsidRDefault="0033155D" w:rsidP="005D58EF">
      <w:pPr>
        <w:autoSpaceDE w:val="0"/>
        <w:autoSpaceDN w:val="0"/>
        <w:adjustRightInd w:val="0"/>
        <w:ind w:left="1440" w:right="1440"/>
        <w:rPr>
          <w:rFonts w:eastAsia="MS Mincho"/>
          <w:bCs/>
          <w:sz w:val="26"/>
          <w:szCs w:val="26"/>
        </w:rPr>
      </w:pPr>
      <w:r w:rsidRPr="004B577F">
        <w:rPr>
          <w:rFonts w:eastAsia="MS Mincho"/>
          <w:bCs/>
          <w:sz w:val="26"/>
          <w:szCs w:val="26"/>
        </w:rPr>
        <w:t>“Significant change in circumstance.”  Any of the following criteria when verified by the public utility and experienced by customers with household income less than 300% of the Federal poverty level:</w:t>
      </w:r>
    </w:p>
    <w:p w:rsidR="0033155D" w:rsidRPr="004B577F" w:rsidRDefault="0033155D" w:rsidP="005D58EF">
      <w:pPr>
        <w:autoSpaceDE w:val="0"/>
        <w:autoSpaceDN w:val="0"/>
        <w:adjustRightInd w:val="0"/>
        <w:ind w:left="1440" w:right="1440"/>
        <w:rPr>
          <w:rFonts w:eastAsia="MS Mincho"/>
          <w:bCs/>
          <w:sz w:val="26"/>
          <w:szCs w:val="26"/>
        </w:rPr>
      </w:pPr>
    </w:p>
    <w:p w:rsidR="0033155D" w:rsidRPr="004B577F" w:rsidRDefault="0033155D" w:rsidP="004B577F">
      <w:pPr>
        <w:autoSpaceDE w:val="0"/>
        <w:autoSpaceDN w:val="0"/>
        <w:adjustRightInd w:val="0"/>
        <w:ind w:left="2160" w:right="1440" w:hanging="720"/>
        <w:rPr>
          <w:rFonts w:eastAsia="MS Mincho"/>
          <w:bCs/>
          <w:sz w:val="26"/>
          <w:szCs w:val="26"/>
        </w:rPr>
      </w:pPr>
      <w:r w:rsidRPr="004B577F">
        <w:rPr>
          <w:rFonts w:eastAsia="MS Mincho"/>
          <w:bCs/>
          <w:sz w:val="26"/>
          <w:szCs w:val="26"/>
        </w:rPr>
        <w:t>(1)</w:t>
      </w:r>
      <w:r w:rsidRPr="004B577F">
        <w:rPr>
          <w:rFonts w:eastAsia="MS Mincho"/>
          <w:bCs/>
          <w:sz w:val="26"/>
          <w:szCs w:val="26"/>
        </w:rPr>
        <w:tab/>
        <w:t>The onset of a chronic or acute illness resulting in a significant loss in the customer’s household income.</w:t>
      </w:r>
    </w:p>
    <w:p w:rsidR="0033155D" w:rsidRPr="004B577F" w:rsidRDefault="0033155D" w:rsidP="00690848">
      <w:pPr>
        <w:autoSpaceDE w:val="0"/>
        <w:autoSpaceDN w:val="0"/>
        <w:adjustRightInd w:val="0"/>
        <w:spacing w:line="360" w:lineRule="auto"/>
        <w:ind w:left="1440" w:right="1440"/>
        <w:rPr>
          <w:rFonts w:eastAsia="MS Mincho"/>
          <w:bCs/>
          <w:sz w:val="26"/>
          <w:szCs w:val="26"/>
        </w:rPr>
      </w:pPr>
    </w:p>
    <w:p w:rsidR="004B577F" w:rsidRPr="004B577F" w:rsidRDefault="004B577F" w:rsidP="004B577F">
      <w:pPr>
        <w:ind w:left="2160" w:right="1440" w:hanging="720"/>
        <w:rPr>
          <w:sz w:val="26"/>
          <w:szCs w:val="26"/>
        </w:rPr>
      </w:pPr>
      <w:r w:rsidRPr="004B577F">
        <w:rPr>
          <w:sz w:val="26"/>
          <w:szCs w:val="26"/>
        </w:rPr>
        <w:t xml:space="preserve">(2) </w:t>
      </w:r>
      <w:r w:rsidRPr="004B577F">
        <w:rPr>
          <w:sz w:val="26"/>
          <w:szCs w:val="26"/>
        </w:rPr>
        <w:tab/>
        <w:t>Catastrophic damage to the customer’s residence resulting in a significant net cost to the customer’s household.</w:t>
      </w:r>
    </w:p>
    <w:p w:rsidR="004B577F" w:rsidRPr="004B577F" w:rsidRDefault="004B577F" w:rsidP="004B577F">
      <w:pPr>
        <w:ind w:left="2160" w:right="1440" w:hanging="720"/>
        <w:rPr>
          <w:sz w:val="26"/>
          <w:szCs w:val="26"/>
        </w:rPr>
      </w:pPr>
    </w:p>
    <w:p w:rsidR="004B577F" w:rsidRPr="004B577F" w:rsidRDefault="004B577F" w:rsidP="004B577F">
      <w:pPr>
        <w:ind w:left="2160" w:right="1440" w:hanging="720"/>
        <w:rPr>
          <w:sz w:val="26"/>
          <w:szCs w:val="26"/>
        </w:rPr>
      </w:pPr>
      <w:r w:rsidRPr="004B577F">
        <w:rPr>
          <w:sz w:val="26"/>
          <w:szCs w:val="26"/>
        </w:rPr>
        <w:t>(3)</w:t>
      </w:r>
      <w:r w:rsidRPr="004B577F">
        <w:rPr>
          <w:sz w:val="26"/>
          <w:szCs w:val="26"/>
        </w:rPr>
        <w:tab/>
        <w:t>Loss of the customer’s residence.</w:t>
      </w:r>
    </w:p>
    <w:p w:rsidR="004B577F" w:rsidRPr="004B577F" w:rsidRDefault="004B577F" w:rsidP="004B577F">
      <w:pPr>
        <w:ind w:left="2160" w:right="1440" w:hanging="720"/>
        <w:rPr>
          <w:sz w:val="26"/>
          <w:szCs w:val="26"/>
        </w:rPr>
      </w:pPr>
    </w:p>
    <w:p w:rsidR="004B577F" w:rsidRPr="004B577F" w:rsidRDefault="004B577F" w:rsidP="004B577F">
      <w:pPr>
        <w:ind w:left="2160" w:right="1440" w:hanging="720"/>
        <w:rPr>
          <w:rFonts w:eastAsia="MS Mincho"/>
          <w:bCs/>
          <w:sz w:val="26"/>
          <w:szCs w:val="26"/>
        </w:rPr>
      </w:pPr>
      <w:r w:rsidRPr="004B577F">
        <w:rPr>
          <w:sz w:val="26"/>
          <w:szCs w:val="26"/>
        </w:rPr>
        <w:t>(4)</w:t>
      </w:r>
      <w:r w:rsidRPr="004B577F">
        <w:rPr>
          <w:sz w:val="26"/>
          <w:szCs w:val="26"/>
        </w:rPr>
        <w:tab/>
        <w:t>Increase in the customer’s number of dependents in the household.</w:t>
      </w:r>
    </w:p>
    <w:p w:rsidR="00CC6828" w:rsidRDefault="00CC6828" w:rsidP="00CC6828">
      <w:pPr>
        <w:autoSpaceDE w:val="0"/>
        <w:autoSpaceDN w:val="0"/>
        <w:adjustRightInd w:val="0"/>
        <w:spacing w:line="360" w:lineRule="auto"/>
        <w:rPr>
          <w:rFonts w:eastAsia="MS Mincho"/>
          <w:bCs/>
          <w:sz w:val="26"/>
          <w:szCs w:val="26"/>
        </w:rPr>
      </w:pPr>
    </w:p>
    <w:p w:rsidR="00B47D0E" w:rsidRPr="004B577F" w:rsidRDefault="00EC7120" w:rsidP="00CC6828">
      <w:pPr>
        <w:autoSpaceDE w:val="0"/>
        <w:autoSpaceDN w:val="0"/>
        <w:adjustRightInd w:val="0"/>
        <w:spacing w:line="360" w:lineRule="auto"/>
        <w:rPr>
          <w:sz w:val="26"/>
          <w:szCs w:val="26"/>
        </w:rPr>
      </w:pPr>
      <w:proofErr w:type="gramStart"/>
      <w:r w:rsidRPr="004B577F">
        <w:rPr>
          <w:rFonts w:eastAsia="MS Mincho"/>
          <w:bCs/>
          <w:sz w:val="26"/>
          <w:szCs w:val="26"/>
        </w:rPr>
        <w:t>66 Pa C.S. § 1403.</w:t>
      </w:r>
      <w:proofErr w:type="gramEnd"/>
      <w:r w:rsidRPr="004B577F">
        <w:rPr>
          <w:rFonts w:eastAsia="MS Mincho"/>
          <w:bCs/>
          <w:sz w:val="26"/>
          <w:szCs w:val="26"/>
        </w:rPr>
        <w:t xml:space="preserve">  </w:t>
      </w:r>
      <w:r w:rsidR="00333B3E" w:rsidRPr="004B577F">
        <w:rPr>
          <w:rFonts w:eastAsia="MS Mincho"/>
          <w:bCs/>
          <w:sz w:val="26"/>
          <w:szCs w:val="26"/>
        </w:rPr>
        <w:t>While t</w:t>
      </w:r>
      <w:r w:rsidRPr="004B577F">
        <w:rPr>
          <w:rFonts w:eastAsia="MS Mincho"/>
          <w:bCs/>
          <w:sz w:val="26"/>
          <w:szCs w:val="26"/>
        </w:rPr>
        <w:t>he Complainant’s te</w:t>
      </w:r>
      <w:r w:rsidR="00333B3E" w:rsidRPr="004B577F">
        <w:rPr>
          <w:rFonts w:eastAsia="MS Mincho"/>
          <w:bCs/>
          <w:sz w:val="26"/>
          <w:szCs w:val="26"/>
        </w:rPr>
        <w:t xml:space="preserve">stimony indicates </w:t>
      </w:r>
      <w:r w:rsidR="00B36AE2" w:rsidRPr="004B577F">
        <w:rPr>
          <w:sz w:val="26"/>
          <w:szCs w:val="26"/>
        </w:rPr>
        <w:t xml:space="preserve">that her annual income is between $10,000 and </w:t>
      </w:r>
      <w:r w:rsidR="00B47D0E" w:rsidRPr="004B577F">
        <w:rPr>
          <w:sz w:val="26"/>
          <w:szCs w:val="26"/>
        </w:rPr>
        <w:t xml:space="preserve">$16,000 annually, there is no evidence in the record to </w:t>
      </w:r>
      <w:r w:rsidR="00B36AE2" w:rsidRPr="004B577F">
        <w:rPr>
          <w:sz w:val="26"/>
          <w:szCs w:val="26"/>
        </w:rPr>
        <w:t>substantiate</w:t>
      </w:r>
      <w:r w:rsidR="00B47D0E" w:rsidRPr="004B577F">
        <w:rPr>
          <w:sz w:val="26"/>
          <w:szCs w:val="26"/>
        </w:rPr>
        <w:t xml:space="preserve"> the Complainant’s</w:t>
      </w:r>
      <w:r w:rsidR="00B36AE2" w:rsidRPr="004B577F">
        <w:rPr>
          <w:sz w:val="26"/>
          <w:szCs w:val="26"/>
        </w:rPr>
        <w:t xml:space="preserve"> claim that she experienced a change in income.  </w:t>
      </w:r>
      <w:r w:rsidR="00B47D0E" w:rsidRPr="004B577F">
        <w:rPr>
          <w:sz w:val="26"/>
          <w:szCs w:val="26"/>
        </w:rPr>
        <w:t xml:space="preserve">Furthermore, </w:t>
      </w:r>
      <w:r w:rsidR="00333B3E" w:rsidRPr="004B577F">
        <w:rPr>
          <w:rFonts w:eastAsia="MS Mincho"/>
          <w:bCs/>
          <w:sz w:val="26"/>
          <w:szCs w:val="26"/>
        </w:rPr>
        <w:t xml:space="preserve">there is no evidence in the record that </w:t>
      </w:r>
      <w:r w:rsidR="00B47D0E" w:rsidRPr="004B577F">
        <w:rPr>
          <w:rFonts w:eastAsia="MS Mincho"/>
          <w:bCs/>
          <w:sz w:val="26"/>
          <w:szCs w:val="26"/>
        </w:rPr>
        <w:t xml:space="preserve">the Complainant experienced a significant change in circumstance </w:t>
      </w:r>
      <w:r w:rsidR="00333B3E" w:rsidRPr="004B577F">
        <w:rPr>
          <w:rFonts w:eastAsia="MS Mincho"/>
          <w:bCs/>
          <w:sz w:val="26"/>
          <w:szCs w:val="26"/>
        </w:rPr>
        <w:t>subsequent to the</w:t>
      </w:r>
      <w:r w:rsidRPr="004B577F">
        <w:rPr>
          <w:rFonts w:eastAsia="MS Mincho"/>
          <w:bCs/>
          <w:sz w:val="26"/>
          <w:szCs w:val="26"/>
        </w:rPr>
        <w:t xml:space="preserve"> </w:t>
      </w:r>
      <w:r w:rsidR="007D7245">
        <w:rPr>
          <w:sz w:val="26"/>
          <w:szCs w:val="26"/>
        </w:rPr>
        <w:t xml:space="preserve">July </w:t>
      </w:r>
      <w:r w:rsidR="007D7245" w:rsidRPr="004B577F">
        <w:rPr>
          <w:sz w:val="26"/>
          <w:szCs w:val="26"/>
        </w:rPr>
        <w:t>2014</w:t>
      </w:r>
      <w:r w:rsidR="007D7245">
        <w:rPr>
          <w:sz w:val="26"/>
          <w:szCs w:val="26"/>
        </w:rPr>
        <w:t xml:space="preserve"> payment arrangement.  </w:t>
      </w:r>
      <w:r w:rsidR="00830DA9" w:rsidRPr="004B577F">
        <w:rPr>
          <w:rFonts w:eastAsia="MS Mincho"/>
          <w:bCs/>
          <w:sz w:val="26"/>
          <w:szCs w:val="26"/>
        </w:rPr>
        <w:t>For these reasons, this Exception is denied.</w:t>
      </w:r>
    </w:p>
    <w:p w:rsidR="00B47D0E" w:rsidRPr="004B577F" w:rsidRDefault="00B47D0E" w:rsidP="00B47D0E">
      <w:pPr>
        <w:autoSpaceDE w:val="0"/>
        <w:autoSpaceDN w:val="0"/>
        <w:adjustRightInd w:val="0"/>
        <w:spacing w:line="360" w:lineRule="auto"/>
        <w:rPr>
          <w:rFonts w:eastAsia="MS Mincho"/>
          <w:bCs/>
          <w:sz w:val="26"/>
          <w:szCs w:val="26"/>
        </w:rPr>
      </w:pPr>
    </w:p>
    <w:p w:rsidR="00B47D0E" w:rsidRDefault="00B47D0E" w:rsidP="0031182C">
      <w:pPr>
        <w:spacing w:line="360" w:lineRule="auto"/>
        <w:ind w:firstLine="1440"/>
        <w:rPr>
          <w:sz w:val="26"/>
          <w:szCs w:val="26"/>
        </w:rPr>
      </w:pPr>
      <w:r w:rsidRPr="004B577F">
        <w:rPr>
          <w:rFonts w:eastAsia="MS Mincho"/>
          <w:bCs/>
          <w:sz w:val="26"/>
          <w:szCs w:val="26"/>
        </w:rPr>
        <w:lastRenderedPageBreak/>
        <w:t xml:space="preserve">With regard to the Complainant’s final </w:t>
      </w:r>
      <w:r w:rsidR="003212C9">
        <w:rPr>
          <w:rFonts w:eastAsia="MS Mincho"/>
          <w:bCs/>
          <w:sz w:val="26"/>
          <w:szCs w:val="26"/>
        </w:rPr>
        <w:t>Exception</w:t>
      </w:r>
      <w:r w:rsidRPr="004B577F">
        <w:rPr>
          <w:rFonts w:eastAsia="MS Mincho"/>
          <w:bCs/>
          <w:sz w:val="26"/>
          <w:szCs w:val="26"/>
        </w:rPr>
        <w:t xml:space="preserve"> titled “</w:t>
      </w:r>
      <w:r w:rsidR="0079221D">
        <w:rPr>
          <w:rFonts w:eastAsia="MS Mincho"/>
          <w:bCs/>
          <w:sz w:val="26"/>
          <w:szCs w:val="26"/>
        </w:rPr>
        <w:t>Exception Conclusions</w:t>
      </w:r>
      <w:r w:rsidR="006405ED" w:rsidRPr="004B577F">
        <w:rPr>
          <w:rFonts w:eastAsia="MS Mincho"/>
          <w:bCs/>
          <w:sz w:val="26"/>
          <w:szCs w:val="26"/>
        </w:rPr>
        <w:t xml:space="preserve">,” we reject the Complainant’s request that the ALJ’s Initial Decision be overruled or vacated.  </w:t>
      </w:r>
      <w:r w:rsidR="0031182C" w:rsidRPr="004B577F">
        <w:rPr>
          <w:rFonts w:eastAsia="MS Mincho"/>
          <w:bCs/>
          <w:sz w:val="26"/>
          <w:szCs w:val="26"/>
        </w:rPr>
        <w:t>We note that there is nothing in the record</w:t>
      </w:r>
      <w:r w:rsidR="00F3250D">
        <w:rPr>
          <w:rFonts w:eastAsia="MS Mincho"/>
          <w:bCs/>
          <w:sz w:val="26"/>
          <w:szCs w:val="26"/>
        </w:rPr>
        <w:t xml:space="preserve"> that</w:t>
      </w:r>
      <w:r w:rsidR="0031182C" w:rsidRPr="004B577F">
        <w:rPr>
          <w:rFonts w:eastAsia="MS Mincho"/>
          <w:bCs/>
          <w:sz w:val="26"/>
          <w:szCs w:val="26"/>
        </w:rPr>
        <w:t xml:space="preserve"> warrant</w:t>
      </w:r>
      <w:r w:rsidR="00F3250D">
        <w:rPr>
          <w:rFonts w:eastAsia="MS Mincho"/>
          <w:bCs/>
          <w:sz w:val="26"/>
          <w:szCs w:val="26"/>
        </w:rPr>
        <w:t>s</w:t>
      </w:r>
      <w:r w:rsidR="0031182C" w:rsidRPr="004B577F">
        <w:rPr>
          <w:rFonts w:eastAsia="MS Mincho"/>
          <w:bCs/>
          <w:sz w:val="26"/>
          <w:szCs w:val="26"/>
        </w:rPr>
        <w:t xml:space="preserve"> such an action.  </w:t>
      </w:r>
      <w:r w:rsidR="006405ED" w:rsidRPr="004B577F">
        <w:rPr>
          <w:rFonts w:eastAsia="MS Mincho"/>
          <w:bCs/>
          <w:sz w:val="26"/>
          <w:szCs w:val="26"/>
        </w:rPr>
        <w:t>We also reject the Complainant’s request for another hearing or in the alternative that the Commission grant her Exception</w:t>
      </w:r>
      <w:r w:rsidR="007D7245">
        <w:rPr>
          <w:rFonts w:eastAsia="MS Mincho"/>
          <w:bCs/>
          <w:sz w:val="26"/>
          <w:szCs w:val="26"/>
        </w:rPr>
        <w:t>s</w:t>
      </w:r>
      <w:r w:rsidR="006405ED" w:rsidRPr="004B577F">
        <w:rPr>
          <w:rFonts w:eastAsia="MS Mincho"/>
          <w:bCs/>
          <w:sz w:val="26"/>
          <w:szCs w:val="26"/>
        </w:rPr>
        <w:t xml:space="preserve"> and direct PPL to comply with her request for </w:t>
      </w:r>
      <w:r w:rsidR="003212C9">
        <w:rPr>
          <w:rFonts w:eastAsia="MS Mincho"/>
          <w:bCs/>
          <w:sz w:val="26"/>
          <w:szCs w:val="26"/>
        </w:rPr>
        <w:t xml:space="preserve">a </w:t>
      </w:r>
      <w:r w:rsidR="006405ED" w:rsidRPr="004B577F">
        <w:rPr>
          <w:rFonts w:eastAsia="MS Mincho"/>
          <w:bCs/>
          <w:sz w:val="26"/>
          <w:szCs w:val="26"/>
        </w:rPr>
        <w:t xml:space="preserve">balloon payment arrangement.  </w:t>
      </w:r>
      <w:r w:rsidR="0031182C" w:rsidRPr="004B577F">
        <w:rPr>
          <w:rFonts w:eastAsia="MS Mincho"/>
          <w:bCs/>
          <w:sz w:val="26"/>
          <w:szCs w:val="26"/>
        </w:rPr>
        <w:t xml:space="preserve">Again, we note that </w:t>
      </w:r>
      <w:r w:rsidR="0031182C" w:rsidRPr="004B577F">
        <w:rPr>
          <w:sz w:val="26"/>
          <w:szCs w:val="26"/>
        </w:rPr>
        <w:t>the Complainant is not entitled to another Commission-issued payment arrangement because of her past default and because she has failed to prove that he has experienced a change in income or other significant change in circumstance that would entitle her to a new Commission-issued payment arrangement.</w:t>
      </w:r>
      <w:r w:rsidR="00B90DBA">
        <w:rPr>
          <w:sz w:val="26"/>
          <w:szCs w:val="26"/>
        </w:rPr>
        <w:t xml:space="preserve"> </w:t>
      </w:r>
    </w:p>
    <w:p w:rsidR="00C42163" w:rsidRDefault="00C42163" w:rsidP="0031182C">
      <w:pPr>
        <w:spacing w:line="360" w:lineRule="auto"/>
        <w:ind w:firstLine="1440"/>
        <w:rPr>
          <w:sz w:val="26"/>
          <w:szCs w:val="26"/>
        </w:rPr>
      </w:pPr>
    </w:p>
    <w:p w:rsidR="004E4837" w:rsidRDefault="007D7245" w:rsidP="007D7245">
      <w:pPr>
        <w:spacing w:line="360" w:lineRule="auto"/>
        <w:ind w:firstLine="1440"/>
        <w:rPr>
          <w:sz w:val="26"/>
          <w:szCs w:val="26"/>
        </w:rPr>
      </w:pPr>
      <w:r>
        <w:rPr>
          <w:sz w:val="26"/>
          <w:szCs w:val="26"/>
        </w:rPr>
        <w:t>In conclusion, o</w:t>
      </w:r>
      <w:r w:rsidRPr="004B577F">
        <w:rPr>
          <w:sz w:val="26"/>
          <w:szCs w:val="26"/>
        </w:rPr>
        <w:t>ur review of the record indicates that the Complainant failed to comply with the terms of a previous</w:t>
      </w:r>
      <w:r w:rsidR="00B90DBA">
        <w:rPr>
          <w:sz w:val="26"/>
          <w:szCs w:val="26"/>
        </w:rPr>
        <w:t>,</w:t>
      </w:r>
      <w:r w:rsidRPr="004B577F">
        <w:rPr>
          <w:sz w:val="26"/>
          <w:szCs w:val="26"/>
        </w:rPr>
        <w:t xml:space="preserve"> Commission-issued payment arrangement and did not offer any evidence to indicate that either her household income or her circumstances changed in the period since the issuance of that Commission-issued arrangement.  </w:t>
      </w:r>
      <w:r w:rsidR="00B90DBA">
        <w:rPr>
          <w:sz w:val="26"/>
          <w:szCs w:val="26"/>
        </w:rPr>
        <w:t>As noted, t</w:t>
      </w:r>
      <w:r w:rsidR="00C42163" w:rsidRPr="004B577F">
        <w:rPr>
          <w:sz w:val="26"/>
          <w:szCs w:val="26"/>
        </w:rPr>
        <w:t xml:space="preserve">he statutory criteria under 66 Pa. C.S. §§ 1403 and 1405(d) prohibit us from establishing a second payment arrangement in this case because </w:t>
      </w:r>
      <w:r w:rsidR="00B90DBA">
        <w:rPr>
          <w:sz w:val="26"/>
          <w:szCs w:val="26"/>
        </w:rPr>
        <w:t>we</w:t>
      </w:r>
      <w:r w:rsidR="00C42163" w:rsidRPr="004B577F">
        <w:rPr>
          <w:sz w:val="26"/>
          <w:szCs w:val="26"/>
        </w:rPr>
        <w:t xml:space="preserve"> already issued one payment arrangement and the Complainant has not demonstrated a change in income that would permit </w:t>
      </w:r>
      <w:r w:rsidR="00B90DBA">
        <w:rPr>
          <w:sz w:val="26"/>
          <w:szCs w:val="26"/>
        </w:rPr>
        <w:t>us</w:t>
      </w:r>
      <w:r w:rsidR="00C42163" w:rsidRPr="004B577F">
        <w:rPr>
          <w:sz w:val="26"/>
          <w:szCs w:val="26"/>
        </w:rPr>
        <w:t xml:space="preserve"> to issue a</w:t>
      </w:r>
      <w:r w:rsidR="00B90DBA">
        <w:rPr>
          <w:sz w:val="26"/>
          <w:szCs w:val="26"/>
        </w:rPr>
        <w:t>nother one.</w:t>
      </w:r>
      <w:r w:rsidR="00C42163" w:rsidRPr="004B577F">
        <w:rPr>
          <w:sz w:val="26"/>
          <w:szCs w:val="26"/>
        </w:rPr>
        <w:t xml:space="preserve">  Additionally, the statutory criteria under 66 Pa. C.S. § 1405(e) prohibit us from reinstating a payment arrangement in this case.  </w:t>
      </w:r>
    </w:p>
    <w:p w:rsidR="007D7245" w:rsidRPr="004B577F" w:rsidRDefault="007D7245" w:rsidP="007D7245">
      <w:pPr>
        <w:spacing w:line="360" w:lineRule="auto"/>
        <w:ind w:firstLine="1440"/>
        <w:rPr>
          <w:sz w:val="26"/>
          <w:szCs w:val="26"/>
        </w:rPr>
      </w:pPr>
    </w:p>
    <w:p w:rsidR="00A967C0" w:rsidRPr="004B577F" w:rsidRDefault="00AA73BB" w:rsidP="00690848">
      <w:pPr>
        <w:spacing w:line="360" w:lineRule="auto"/>
        <w:ind w:firstLine="1440"/>
        <w:rPr>
          <w:sz w:val="26"/>
          <w:szCs w:val="26"/>
        </w:rPr>
      </w:pPr>
      <w:r w:rsidRPr="004B577F">
        <w:rPr>
          <w:sz w:val="26"/>
          <w:szCs w:val="26"/>
        </w:rPr>
        <w:t>In light of the above, we</w:t>
      </w:r>
      <w:r w:rsidR="00271E54" w:rsidRPr="004B577F">
        <w:rPr>
          <w:sz w:val="26"/>
          <w:szCs w:val="26"/>
        </w:rPr>
        <w:t xml:space="preserve"> concur with the </w:t>
      </w:r>
      <w:r w:rsidR="00B27E5C" w:rsidRPr="004B577F">
        <w:rPr>
          <w:sz w:val="26"/>
          <w:szCs w:val="26"/>
        </w:rPr>
        <w:t xml:space="preserve">ALJ’s </w:t>
      </w:r>
      <w:r w:rsidR="00271E54" w:rsidRPr="004B577F">
        <w:rPr>
          <w:sz w:val="26"/>
          <w:szCs w:val="26"/>
        </w:rPr>
        <w:t>analysis and conclusions</w:t>
      </w:r>
      <w:r w:rsidR="009A27B4" w:rsidRPr="004B577F">
        <w:rPr>
          <w:sz w:val="26"/>
          <w:szCs w:val="26"/>
        </w:rPr>
        <w:t>,</w:t>
      </w:r>
      <w:r w:rsidR="00F70C8A" w:rsidRPr="004B577F">
        <w:rPr>
          <w:sz w:val="26"/>
          <w:szCs w:val="26"/>
        </w:rPr>
        <w:t xml:space="preserve"> a</w:t>
      </w:r>
      <w:r w:rsidR="00333B3E" w:rsidRPr="004B577F">
        <w:rPr>
          <w:sz w:val="26"/>
          <w:szCs w:val="26"/>
        </w:rPr>
        <w:t>s well as</w:t>
      </w:r>
      <w:r w:rsidR="00F70C8A" w:rsidRPr="004B577F">
        <w:rPr>
          <w:sz w:val="26"/>
          <w:szCs w:val="26"/>
        </w:rPr>
        <w:t xml:space="preserve"> </w:t>
      </w:r>
      <w:r w:rsidR="00271E54" w:rsidRPr="004B577F">
        <w:rPr>
          <w:sz w:val="26"/>
          <w:szCs w:val="26"/>
        </w:rPr>
        <w:t>her decision to dismiss the Complaint</w:t>
      </w:r>
      <w:r w:rsidR="00A967C0" w:rsidRPr="004B577F">
        <w:rPr>
          <w:sz w:val="26"/>
          <w:szCs w:val="26"/>
        </w:rPr>
        <w:t xml:space="preserve"> </w:t>
      </w:r>
      <w:r w:rsidR="009734F1" w:rsidRPr="004B577F">
        <w:rPr>
          <w:sz w:val="26"/>
          <w:szCs w:val="26"/>
        </w:rPr>
        <w:t>based on</w:t>
      </w:r>
      <w:r w:rsidR="00A967C0" w:rsidRPr="004B577F">
        <w:rPr>
          <w:sz w:val="26"/>
          <w:szCs w:val="26"/>
        </w:rPr>
        <w:t xml:space="preserve"> the Complainant</w:t>
      </w:r>
      <w:r w:rsidR="009734F1" w:rsidRPr="004B577F">
        <w:rPr>
          <w:sz w:val="26"/>
          <w:szCs w:val="26"/>
        </w:rPr>
        <w:t>’s failure</w:t>
      </w:r>
      <w:r w:rsidR="00A967C0" w:rsidRPr="004B577F">
        <w:rPr>
          <w:sz w:val="26"/>
          <w:szCs w:val="26"/>
        </w:rPr>
        <w:t xml:space="preserve"> to ca</w:t>
      </w:r>
      <w:r w:rsidR="00B27E5C" w:rsidRPr="004B577F">
        <w:rPr>
          <w:sz w:val="26"/>
          <w:szCs w:val="26"/>
        </w:rPr>
        <w:t>rry her</w:t>
      </w:r>
      <w:r w:rsidR="00C706B4" w:rsidRPr="004B577F">
        <w:rPr>
          <w:sz w:val="26"/>
          <w:szCs w:val="26"/>
        </w:rPr>
        <w:t xml:space="preserve"> burden of proving that </w:t>
      </w:r>
      <w:r w:rsidR="00B27E5C" w:rsidRPr="004B577F">
        <w:rPr>
          <w:sz w:val="26"/>
          <w:szCs w:val="26"/>
        </w:rPr>
        <w:t>s</w:t>
      </w:r>
      <w:r w:rsidR="00A967C0" w:rsidRPr="004B577F">
        <w:rPr>
          <w:sz w:val="26"/>
          <w:szCs w:val="26"/>
        </w:rPr>
        <w:t>he is entitled to a new Com</w:t>
      </w:r>
      <w:r w:rsidR="00C706B4" w:rsidRPr="004B577F">
        <w:rPr>
          <w:sz w:val="26"/>
          <w:szCs w:val="26"/>
        </w:rPr>
        <w:t>mission-issued payment arrangement</w:t>
      </w:r>
      <w:r w:rsidR="00271E54" w:rsidRPr="004B577F">
        <w:rPr>
          <w:sz w:val="26"/>
          <w:szCs w:val="26"/>
        </w:rPr>
        <w:t>.</w:t>
      </w:r>
    </w:p>
    <w:p w:rsidR="00956972" w:rsidRPr="004B577F" w:rsidRDefault="002060E6" w:rsidP="00690848">
      <w:pPr>
        <w:keepNext/>
        <w:keepLines/>
        <w:spacing w:line="360" w:lineRule="auto"/>
        <w:jc w:val="center"/>
        <w:rPr>
          <w:b/>
          <w:sz w:val="26"/>
          <w:szCs w:val="26"/>
        </w:rPr>
      </w:pPr>
      <w:r w:rsidRPr="004B577F">
        <w:rPr>
          <w:b/>
          <w:sz w:val="26"/>
          <w:szCs w:val="26"/>
        </w:rPr>
        <w:lastRenderedPageBreak/>
        <w:t>C</w:t>
      </w:r>
      <w:r w:rsidR="00956972" w:rsidRPr="004B577F">
        <w:rPr>
          <w:b/>
          <w:sz w:val="26"/>
          <w:szCs w:val="26"/>
        </w:rPr>
        <w:t>onclusion</w:t>
      </w:r>
    </w:p>
    <w:p w:rsidR="00E37683" w:rsidRPr="004B577F" w:rsidRDefault="00E37683" w:rsidP="00690848">
      <w:pPr>
        <w:keepNext/>
        <w:keepLines/>
        <w:spacing w:line="360" w:lineRule="auto"/>
        <w:rPr>
          <w:sz w:val="26"/>
          <w:szCs w:val="26"/>
        </w:rPr>
      </w:pPr>
    </w:p>
    <w:p w:rsidR="00ED0EE2" w:rsidRPr="004B577F" w:rsidRDefault="006C56A5" w:rsidP="00690848">
      <w:pPr>
        <w:spacing w:line="360" w:lineRule="auto"/>
        <w:rPr>
          <w:b/>
          <w:sz w:val="26"/>
          <w:szCs w:val="26"/>
        </w:rPr>
      </w:pPr>
      <w:r w:rsidRPr="004B577F">
        <w:rPr>
          <w:sz w:val="26"/>
          <w:szCs w:val="26"/>
        </w:rPr>
        <w:tab/>
      </w:r>
      <w:r w:rsidRPr="004B577F">
        <w:rPr>
          <w:sz w:val="26"/>
          <w:szCs w:val="26"/>
        </w:rPr>
        <w:tab/>
      </w:r>
      <w:r w:rsidR="00B90DBA">
        <w:rPr>
          <w:sz w:val="26"/>
          <w:szCs w:val="26"/>
        </w:rPr>
        <w:t>In light of the foregoing discussion and b</w:t>
      </w:r>
      <w:r w:rsidR="00971AA0" w:rsidRPr="004B577F">
        <w:rPr>
          <w:sz w:val="26"/>
          <w:szCs w:val="26"/>
        </w:rPr>
        <w:t xml:space="preserve">ased on </w:t>
      </w:r>
      <w:r w:rsidR="00F315C0" w:rsidRPr="004B577F">
        <w:rPr>
          <w:sz w:val="26"/>
          <w:szCs w:val="26"/>
        </w:rPr>
        <w:t xml:space="preserve">our review of the Exceptions, </w:t>
      </w:r>
      <w:r w:rsidR="0021622A">
        <w:rPr>
          <w:sz w:val="26"/>
          <w:szCs w:val="26"/>
        </w:rPr>
        <w:t xml:space="preserve">the Replies to Exceptions, </w:t>
      </w:r>
      <w:r w:rsidR="00F315C0" w:rsidRPr="004B577F">
        <w:rPr>
          <w:sz w:val="26"/>
          <w:szCs w:val="26"/>
        </w:rPr>
        <w:t>the Initial Decision, and the record in this proceeding</w:t>
      </w:r>
      <w:r w:rsidR="00FD497B" w:rsidRPr="004B577F">
        <w:rPr>
          <w:sz w:val="26"/>
          <w:szCs w:val="26"/>
        </w:rPr>
        <w:t>, w</w:t>
      </w:r>
      <w:r w:rsidR="00B265B1" w:rsidRPr="004B577F">
        <w:rPr>
          <w:sz w:val="26"/>
          <w:szCs w:val="26"/>
        </w:rPr>
        <w:t xml:space="preserve">e </w:t>
      </w:r>
      <w:r w:rsidR="00502D50" w:rsidRPr="004B577F">
        <w:rPr>
          <w:sz w:val="26"/>
          <w:szCs w:val="26"/>
        </w:rPr>
        <w:t>shall</w:t>
      </w:r>
      <w:r w:rsidR="0019318F" w:rsidRPr="004B577F">
        <w:rPr>
          <w:sz w:val="26"/>
          <w:szCs w:val="26"/>
        </w:rPr>
        <w:t xml:space="preserve"> </w:t>
      </w:r>
      <w:r w:rsidR="007832BE" w:rsidRPr="004B577F">
        <w:rPr>
          <w:sz w:val="26"/>
          <w:szCs w:val="26"/>
        </w:rPr>
        <w:t xml:space="preserve">deny the </w:t>
      </w:r>
      <w:r w:rsidR="0019318F" w:rsidRPr="004B577F">
        <w:rPr>
          <w:sz w:val="26"/>
          <w:szCs w:val="26"/>
        </w:rPr>
        <w:t>Exceptions</w:t>
      </w:r>
      <w:r w:rsidR="002F39A8" w:rsidRPr="004B577F">
        <w:rPr>
          <w:sz w:val="26"/>
          <w:szCs w:val="26"/>
        </w:rPr>
        <w:t xml:space="preserve"> </w:t>
      </w:r>
      <w:r w:rsidR="00157B94" w:rsidRPr="004B577F">
        <w:rPr>
          <w:sz w:val="26"/>
          <w:szCs w:val="26"/>
        </w:rPr>
        <w:t xml:space="preserve">of </w:t>
      </w:r>
      <w:r w:rsidR="00407F60" w:rsidRPr="004B577F">
        <w:rPr>
          <w:sz w:val="26"/>
          <w:szCs w:val="26"/>
        </w:rPr>
        <w:t>Beatriz Mallory</w:t>
      </w:r>
      <w:r w:rsidR="004117F2" w:rsidRPr="004B577F">
        <w:rPr>
          <w:sz w:val="26"/>
          <w:szCs w:val="26"/>
        </w:rPr>
        <w:t xml:space="preserve"> </w:t>
      </w:r>
      <w:r w:rsidR="0019318F" w:rsidRPr="004B577F">
        <w:rPr>
          <w:sz w:val="26"/>
          <w:szCs w:val="26"/>
        </w:rPr>
        <w:t xml:space="preserve">and </w:t>
      </w:r>
      <w:r w:rsidR="0084769B" w:rsidRPr="004B577F">
        <w:rPr>
          <w:sz w:val="26"/>
          <w:szCs w:val="26"/>
        </w:rPr>
        <w:t>adopt the</w:t>
      </w:r>
      <w:r w:rsidR="00407F60" w:rsidRPr="004B577F">
        <w:rPr>
          <w:sz w:val="26"/>
          <w:szCs w:val="26"/>
        </w:rPr>
        <w:t xml:space="preserve"> ALJ</w:t>
      </w:r>
      <w:r w:rsidR="001544EA" w:rsidRPr="004B577F">
        <w:rPr>
          <w:sz w:val="26"/>
          <w:szCs w:val="26"/>
        </w:rPr>
        <w:t xml:space="preserve">’s </w:t>
      </w:r>
      <w:r w:rsidR="00DE3207" w:rsidRPr="004B577F">
        <w:rPr>
          <w:sz w:val="26"/>
          <w:szCs w:val="26"/>
        </w:rPr>
        <w:t>Initial Decision</w:t>
      </w:r>
      <w:r w:rsidR="00905434" w:rsidRPr="004B577F">
        <w:rPr>
          <w:sz w:val="26"/>
          <w:szCs w:val="26"/>
        </w:rPr>
        <w:t>;</w:t>
      </w:r>
      <w:r w:rsidR="00956972" w:rsidRPr="004B577F">
        <w:rPr>
          <w:sz w:val="26"/>
          <w:szCs w:val="26"/>
        </w:rPr>
        <w:t xml:space="preserve"> </w:t>
      </w:r>
      <w:r w:rsidR="00956972" w:rsidRPr="004B577F">
        <w:rPr>
          <w:b/>
          <w:sz w:val="26"/>
          <w:szCs w:val="26"/>
        </w:rPr>
        <w:t>THEREFORE,</w:t>
      </w:r>
    </w:p>
    <w:p w:rsidR="0084769B" w:rsidRPr="004B577F" w:rsidRDefault="0084769B" w:rsidP="00690848">
      <w:pPr>
        <w:spacing w:line="360" w:lineRule="auto"/>
        <w:ind w:left="720" w:firstLine="720"/>
        <w:rPr>
          <w:b/>
          <w:sz w:val="26"/>
          <w:szCs w:val="26"/>
        </w:rPr>
      </w:pPr>
    </w:p>
    <w:p w:rsidR="001A1AD3" w:rsidRPr="004B577F" w:rsidRDefault="001A1AD3" w:rsidP="00690848">
      <w:pPr>
        <w:spacing w:line="360" w:lineRule="auto"/>
        <w:ind w:left="720" w:firstLine="720"/>
        <w:rPr>
          <w:b/>
          <w:sz w:val="26"/>
          <w:szCs w:val="26"/>
        </w:rPr>
      </w:pPr>
      <w:r w:rsidRPr="004B577F">
        <w:rPr>
          <w:b/>
          <w:sz w:val="26"/>
          <w:szCs w:val="26"/>
        </w:rPr>
        <w:t>IT IS ORDERED:</w:t>
      </w:r>
    </w:p>
    <w:p w:rsidR="00ED0EE2" w:rsidRPr="004B577F" w:rsidRDefault="00ED0EE2" w:rsidP="00690848">
      <w:pPr>
        <w:spacing w:line="360" w:lineRule="auto"/>
        <w:rPr>
          <w:sz w:val="26"/>
          <w:szCs w:val="26"/>
        </w:rPr>
      </w:pPr>
    </w:p>
    <w:p w:rsidR="001A1AD3" w:rsidRPr="004B577F" w:rsidRDefault="001A1AD3" w:rsidP="00690848">
      <w:pPr>
        <w:spacing w:line="360" w:lineRule="auto"/>
        <w:rPr>
          <w:sz w:val="26"/>
          <w:szCs w:val="26"/>
        </w:rPr>
      </w:pPr>
      <w:r w:rsidRPr="004B577F">
        <w:rPr>
          <w:sz w:val="26"/>
          <w:szCs w:val="26"/>
        </w:rPr>
        <w:tab/>
      </w:r>
      <w:r w:rsidRPr="004B577F">
        <w:rPr>
          <w:sz w:val="26"/>
          <w:szCs w:val="26"/>
        </w:rPr>
        <w:tab/>
      </w:r>
      <w:r w:rsidR="00431F78" w:rsidRPr="004B577F">
        <w:rPr>
          <w:sz w:val="26"/>
          <w:szCs w:val="26"/>
        </w:rPr>
        <w:t>1</w:t>
      </w:r>
      <w:r w:rsidR="00FB37EA" w:rsidRPr="004B577F">
        <w:rPr>
          <w:sz w:val="26"/>
          <w:szCs w:val="26"/>
        </w:rPr>
        <w:t>.</w:t>
      </w:r>
      <w:r w:rsidR="00FB37EA" w:rsidRPr="004B577F">
        <w:rPr>
          <w:sz w:val="26"/>
          <w:szCs w:val="26"/>
        </w:rPr>
        <w:tab/>
        <w:t>That the Exceptions of</w:t>
      </w:r>
      <w:r w:rsidR="00157B94" w:rsidRPr="004B577F">
        <w:rPr>
          <w:sz w:val="26"/>
          <w:szCs w:val="26"/>
        </w:rPr>
        <w:t xml:space="preserve"> </w:t>
      </w:r>
      <w:r w:rsidR="00C30CDE" w:rsidRPr="004B577F">
        <w:rPr>
          <w:sz w:val="26"/>
          <w:szCs w:val="26"/>
        </w:rPr>
        <w:t>Beatriz Mallory,</w:t>
      </w:r>
      <w:r w:rsidR="00157B94" w:rsidRPr="004B577F">
        <w:rPr>
          <w:sz w:val="26"/>
          <w:szCs w:val="26"/>
        </w:rPr>
        <w:t xml:space="preserve"> filed on </w:t>
      </w:r>
      <w:r w:rsidR="00C30CDE" w:rsidRPr="004B577F">
        <w:rPr>
          <w:sz w:val="26"/>
          <w:szCs w:val="26"/>
        </w:rPr>
        <w:t>February 21</w:t>
      </w:r>
      <w:r w:rsidR="00157B94" w:rsidRPr="004B577F">
        <w:rPr>
          <w:sz w:val="26"/>
          <w:szCs w:val="26"/>
        </w:rPr>
        <w:t>, 2015</w:t>
      </w:r>
      <w:r w:rsidR="00C82174" w:rsidRPr="004B577F">
        <w:rPr>
          <w:sz w:val="26"/>
          <w:szCs w:val="26"/>
        </w:rPr>
        <w:t xml:space="preserve">, </w:t>
      </w:r>
      <w:r w:rsidR="00971AA0" w:rsidRPr="004B577F">
        <w:rPr>
          <w:sz w:val="26"/>
          <w:szCs w:val="26"/>
        </w:rPr>
        <w:t xml:space="preserve">to the Initial Decision of </w:t>
      </w:r>
      <w:r w:rsidR="00C30CDE" w:rsidRPr="004B577F">
        <w:rPr>
          <w:sz w:val="26"/>
          <w:szCs w:val="26"/>
        </w:rPr>
        <w:t xml:space="preserve">ALJ Ember S. </w:t>
      </w:r>
      <w:proofErr w:type="spellStart"/>
      <w:r w:rsidR="00C30CDE" w:rsidRPr="004B577F">
        <w:rPr>
          <w:sz w:val="26"/>
          <w:szCs w:val="26"/>
        </w:rPr>
        <w:t>Jandebeur</w:t>
      </w:r>
      <w:proofErr w:type="spellEnd"/>
      <w:r w:rsidR="00971AA0" w:rsidRPr="004B577F">
        <w:rPr>
          <w:sz w:val="26"/>
          <w:szCs w:val="26"/>
        </w:rPr>
        <w:t xml:space="preserve"> </w:t>
      </w:r>
      <w:r w:rsidR="007F15AC" w:rsidRPr="004B577F">
        <w:rPr>
          <w:sz w:val="26"/>
          <w:szCs w:val="26"/>
        </w:rPr>
        <w:t>a</w:t>
      </w:r>
      <w:r w:rsidR="00D556A2" w:rsidRPr="004B577F">
        <w:rPr>
          <w:sz w:val="26"/>
          <w:szCs w:val="26"/>
        </w:rPr>
        <w:t xml:space="preserve">re </w:t>
      </w:r>
      <w:r w:rsidR="00354589" w:rsidRPr="004B577F">
        <w:rPr>
          <w:sz w:val="26"/>
          <w:szCs w:val="26"/>
        </w:rPr>
        <w:t>denied</w:t>
      </w:r>
      <w:r w:rsidR="00CE13AD" w:rsidRPr="004B577F">
        <w:rPr>
          <w:sz w:val="26"/>
          <w:szCs w:val="26"/>
        </w:rPr>
        <w:t>, consistent with this Opinion and Order</w:t>
      </w:r>
      <w:r w:rsidR="00B265B1" w:rsidRPr="004B577F">
        <w:rPr>
          <w:sz w:val="26"/>
          <w:szCs w:val="26"/>
        </w:rPr>
        <w:t>.</w:t>
      </w:r>
    </w:p>
    <w:p w:rsidR="00C82174" w:rsidRPr="004B577F" w:rsidRDefault="00C82174" w:rsidP="00690848">
      <w:pPr>
        <w:spacing w:line="360" w:lineRule="auto"/>
        <w:ind w:firstLine="1440"/>
        <w:rPr>
          <w:sz w:val="26"/>
          <w:szCs w:val="26"/>
        </w:rPr>
      </w:pPr>
    </w:p>
    <w:p w:rsidR="00C82174" w:rsidRPr="004B577F" w:rsidRDefault="00C82174" w:rsidP="00690848">
      <w:pPr>
        <w:spacing w:line="360" w:lineRule="auto"/>
        <w:ind w:firstLine="1440"/>
        <w:rPr>
          <w:sz w:val="26"/>
          <w:szCs w:val="26"/>
        </w:rPr>
      </w:pPr>
      <w:r w:rsidRPr="004B577F">
        <w:rPr>
          <w:sz w:val="26"/>
          <w:szCs w:val="26"/>
        </w:rPr>
        <w:t>2.</w:t>
      </w:r>
      <w:r w:rsidRPr="004B577F">
        <w:rPr>
          <w:sz w:val="26"/>
          <w:szCs w:val="26"/>
        </w:rPr>
        <w:tab/>
        <w:t xml:space="preserve">That the Initial Decision of </w:t>
      </w:r>
      <w:r w:rsidR="00C30CDE" w:rsidRPr="004B577F">
        <w:rPr>
          <w:sz w:val="26"/>
          <w:szCs w:val="26"/>
        </w:rPr>
        <w:t xml:space="preserve">ALJ Ember S. </w:t>
      </w:r>
      <w:proofErr w:type="spellStart"/>
      <w:r w:rsidR="00C30CDE" w:rsidRPr="004B577F">
        <w:rPr>
          <w:sz w:val="26"/>
          <w:szCs w:val="26"/>
        </w:rPr>
        <w:t>Jandebeur</w:t>
      </w:r>
      <w:proofErr w:type="spellEnd"/>
      <w:r w:rsidR="00B251E6" w:rsidRPr="004B577F">
        <w:rPr>
          <w:sz w:val="26"/>
          <w:szCs w:val="26"/>
        </w:rPr>
        <w:t>,</w:t>
      </w:r>
      <w:r w:rsidR="00157B94" w:rsidRPr="004B577F">
        <w:rPr>
          <w:sz w:val="26"/>
          <w:szCs w:val="26"/>
        </w:rPr>
        <w:t xml:space="preserve"> issued </w:t>
      </w:r>
      <w:r w:rsidR="00C30CDE" w:rsidRPr="004B577F">
        <w:rPr>
          <w:sz w:val="26"/>
          <w:szCs w:val="26"/>
        </w:rPr>
        <w:t>February 3</w:t>
      </w:r>
      <w:r w:rsidR="00157B94" w:rsidRPr="004B577F">
        <w:rPr>
          <w:sz w:val="26"/>
          <w:szCs w:val="26"/>
        </w:rPr>
        <w:t>, 2015</w:t>
      </w:r>
      <w:r w:rsidRPr="004B577F">
        <w:rPr>
          <w:sz w:val="26"/>
          <w:szCs w:val="26"/>
        </w:rPr>
        <w:t>, is adopted.</w:t>
      </w:r>
    </w:p>
    <w:p w:rsidR="00407F60" w:rsidRPr="004B577F" w:rsidRDefault="00407F60" w:rsidP="00690848">
      <w:pPr>
        <w:spacing w:line="360" w:lineRule="auto"/>
        <w:ind w:firstLine="1440"/>
        <w:rPr>
          <w:sz w:val="26"/>
          <w:szCs w:val="26"/>
        </w:rPr>
      </w:pPr>
    </w:p>
    <w:p w:rsidR="00856594" w:rsidRPr="004B577F" w:rsidRDefault="00C82174" w:rsidP="00690848">
      <w:pPr>
        <w:spacing w:line="360" w:lineRule="auto"/>
        <w:ind w:firstLine="1440"/>
        <w:rPr>
          <w:sz w:val="26"/>
          <w:szCs w:val="26"/>
        </w:rPr>
      </w:pPr>
      <w:r w:rsidRPr="004B577F">
        <w:rPr>
          <w:sz w:val="26"/>
          <w:szCs w:val="26"/>
        </w:rPr>
        <w:t>3</w:t>
      </w:r>
      <w:r w:rsidR="00431F78" w:rsidRPr="004B577F">
        <w:rPr>
          <w:sz w:val="26"/>
          <w:szCs w:val="26"/>
        </w:rPr>
        <w:t>.</w:t>
      </w:r>
      <w:r w:rsidR="00431F78" w:rsidRPr="004B577F">
        <w:rPr>
          <w:b/>
          <w:sz w:val="26"/>
          <w:szCs w:val="26"/>
        </w:rPr>
        <w:tab/>
      </w:r>
      <w:r w:rsidR="00971AA0" w:rsidRPr="004B577F">
        <w:rPr>
          <w:sz w:val="26"/>
          <w:szCs w:val="26"/>
        </w:rPr>
        <w:t xml:space="preserve">That the Formal Complaint </w:t>
      </w:r>
      <w:r w:rsidR="00643F4E" w:rsidRPr="004B577F">
        <w:rPr>
          <w:sz w:val="26"/>
          <w:szCs w:val="26"/>
        </w:rPr>
        <w:t>filed</w:t>
      </w:r>
      <w:r w:rsidR="00157B94" w:rsidRPr="004B577F">
        <w:rPr>
          <w:sz w:val="26"/>
          <w:szCs w:val="26"/>
        </w:rPr>
        <w:t xml:space="preserve"> </w:t>
      </w:r>
      <w:r w:rsidR="00C30CDE" w:rsidRPr="004B577F">
        <w:rPr>
          <w:sz w:val="26"/>
          <w:szCs w:val="26"/>
        </w:rPr>
        <w:t>on September 11</w:t>
      </w:r>
      <w:r w:rsidR="00643F4E" w:rsidRPr="004B577F">
        <w:rPr>
          <w:sz w:val="26"/>
          <w:szCs w:val="26"/>
        </w:rPr>
        <w:t xml:space="preserve">, 2014, by </w:t>
      </w:r>
      <w:r w:rsidR="00C30CDE" w:rsidRPr="004B577F">
        <w:rPr>
          <w:sz w:val="26"/>
          <w:szCs w:val="26"/>
        </w:rPr>
        <w:t>Beatriz Mallory,</w:t>
      </w:r>
      <w:r w:rsidR="00157B94" w:rsidRPr="004B577F">
        <w:rPr>
          <w:sz w:val="26"/>
          <w:szCs w:val="26"/>
        </w:rPr>
        <w:t xml:space="preserve"> against </w:t>
      </w:r>
      <w:r w:rsidR="00C30CDE" w:rsidRPr="004B577F">
        <w:rPr>
          <w:sz w:val="26"/>
          <w:szCs w:val="26"/>
        </w:rPr>
        <w:t>PPL Electric Utilities Corporation</w:t>
      </w:r>
      <w:r w:rsidR="00157B94" w:rsidRPr="004B577F">
        <w:rPr>
          <w:sz w:val="26"/>
          <w:szCs w:val="26"/>
        </w:rPr>
        <w:t xml:space="preserve"> </w:t>
      </w:r>
      <w:r w:rsidR="00B251E6" w:rsidRPr="004B577F">
        <w:rPr>
          <w:sz w:val="26"/>
          <w:szCs w:val="26"/>
        </w:rPr>
        <w:t>at</w:t>
      </w:r>
      <w:r w:rsidR="00971AA0" w:rsidRPr="004B577F">
        <w:rPr>
          <w:sz w:val="26"/>
          <w:szCs w:val="26"/>
        </w:rPr>
        <w:t xml:space="preserve"> Docket No. </w:t>
      </w:r>
      <w:r w:rsidR="00157B94" w:rsidRPr="004B577F">
        <w:rPr>
          <w:sz w:val="26"/>
          <w:szCs w:val="26"/>
        </w:rPr>
        <w:t>C</w:t>
      </w:r>
      <w:r w:rsidR="00971AA0" w:rsidRPr="004B577F">
        <w:rPr>
          <w:sz w:val="26"/>
          <w:szCs w:val="26"/>
        </w:rPr>
        <w:t>-</w:t>
      </w:r>
      <w:r w:rsidR="00157B94" w:rsidRPr="004B577F">
        <w:rPr>
          <w:sz w:val="26"/>
          <w:szCs w:val="26"/>
        </w:rPr>
        <w:t>2014</w:t>
      </w:r>
      <w:r w:rsidR="00B251E6" w:rsidRPr="004B577F">
        <w:rPr>
          <w:sz w:val="26"/>
          <w:szCs w:val="26"/>
        </w:rPr>
        <w:t>-</w:t>
      </w:r>
      <w:r w:rsidR="00C30CDE" w:rsidRPr="004B577F">
        <w:rPr>
          <w:sz w:val="26"/>
          <w:szCs w:val="26"/>
        </w:rPr>
        <w:t>2442906</w:t>
      </w:r>
      <w:r w:rsidR="00971AA0" w:rsidRPr="004B577F">
        <w:rPr>
          <w:sz w:val="26"/>
          <w:szCs w:val="26"/>
        </w:rPr>
        <w:t xml:space="preserve"> is </w:t>
      </w:r>
      <w:r w:rsidR="00B251E6" w:rsidRPr="004B577F">
        <w:rPr>
          <w:sz w:val="26"/>
          <w:szCs w:val="26"/>
        </w:rPr>
        <w:t>d</w:t>
      </w:r>
      <w:r w:rsidR="00CE13AD" w:rsidRPr="004B577F">
        <w:rPr>
          <w:sz w:val="26"/>
          <w:szCs w:val="26"/>
        </w:rPr>
        <w:t>ismissed, consistent with this Opinion and Order</w:t>
      </w:r>
      <w:r w:rsidR="00B251E6" w:rsidRPr="004B577F">
        <w:rPr>
          <w:sz w:val="26"/>
          <w:szCs w:val="26"/>
        </w:rPr>
        <w:t>.</w:t>
      </w:r>
    </w:p>
    <w:p w:rsidR="00333B3E" w:rsidRPr="004B577F" w:rsidRDefault="00333B3E" w:rsidP="00690848">
      <w:pPr>
        <w:spacing w:line="360" w:lineRule="auto"/>
        <w:ind w:firstLine="1440"/>
        <w:rPr>
          <w:sz w:val="26"/>
          <w:szCs w:val="26"/>
        </w:rPr>
      </w:pPr>
    </w:p>
    <w:p w:rsidR="00D00001" w:rsidRPr="004B577F" w:rsidRDefault="00856594" w:rsidP="00830DA9">
      <w:pPr>
        <w:keepNext/>
        <w:keepLines/>
        <w:spacing w:line="360" w:lineRule="auto"/>
        <w:rPr>
          <w:sz w:val="26"/>
          <w:szCs w:val="26"/>
        </w:rPr>
      </w:pPr>
      <w:r w:rsidRPr="004B577F">
        <w:rPr>
          <w:sz w:val="26"/>
          <w:szCs w:val="26"/>
        </w:rPr>
        <w:tab/>
      </w:r>
      <w:r w:rsidRPr="004B577F">
        <w:rPr>
          <w:sz w:val="26"/>
          <w:szCs w:val="26"/>
        </w:rPr>
        <w:tab/>
      </w:r>
      <w:r w:rsidR="007D383E" w:rsidRPr="004B577F">
        <w:rPr>
          <w:sz w:val="26"/>
          <w:szCs w:val="26"/>
        </w:rPr>
        <w:t>4.</w:t>
      </w:r>
      <w:r w:rsidR="007D383E" w:rsidRPr="004B577F">
        <w:rPr>
          <w:sz w:val="26"/>
          <w:szCs w:val="26"/>
        </w:rPr>
        <w:tab/>
      </w:r>
      <w:r w:rsidR="00F24526" w:rsidRPr="004B577F">
        <w:rPr>
          <w:sz w:val="26"/>
          <w:szCs w:val="26"/>
        </w:rPr>
        <w:t>That</w:t>
      </w:r>
      <w:r w:rsidR="00145315" w:rsidRPr="004B577F">
        <w:rPr>
          <w:sz w:val="26"/>
          <w:szCs w:val="26"/>
        </w:rPr>
        <w:t xml:space="preserve"> </w:t>
      </w:r>
      <w:r w:rsidR="00F24526" w:rsidRPr="004B577F">
        <w:rPr>
          <w:sz w:val="26"/>
          <w:szCs w:val="26"/>
        </w:rPr>
        <w:t xml:space="preserve">the proceeding docketed at </w:t>
      </w:r>
      <w:r w:rsidR="00C30CDE" w:rsidRPr="004B577F">
        <w:rPr>
          <w:sz w:val="26"/>
          <w:szCs w:val="26"/>
        </w:rPr>
        <w:t>C-2014-2442906</w:t>
      </w:r>
      <w:r w:rsidR="00157B94" w:rsidRPr="004B577F">
        <w:rPr>
          <w:sz w:val="26"/>
          <w:szCs w:val="26"/>
        </w:rPr>
        <w:t xml:space="preserve"> be</w:t>
      </w:r>
      <w:r w:rsidR="00F24526" w:rsidRPr="004B577F">
        <w:rPr>
          <w:sz w:val="26"/>
          <w:szCs w:val="26"/>
        </w:rPr>
        <w:t xml:space="preserve"> </w:t>
      </w:r>
      <w:r w:rsidR="00F97807" w:rsidRPr="004B577F">
        <w:rPr>
          <w:sz w:val="26"/>
          <w:szCs w:val="26"/>
        </w:rPr>
        <w:t xml:space="preserve">marked closed. </w:t>
      </w:r>
    </w:p>
    <w:p w:rsidR="002530C1" w:rsidRPr="004B577F" w:rsidRDefault="002530C1" w:rsidP="00830DA9">
      <w:pPr>
        <w:keepNext/>
        <w:keepLines/>
        <w:tabs>
          <w:tab w:val="left" w:pos="-720"/>
          <w:tab w:val="left" w:pos="0"/>
        </w:tabs>
        <w:suppressAutoHyphens/>
        <w:spacing w:line="360" w:lineRule="auto"/>
        <w:ind w:firstLine="1440"/>
        <w:rPr>
          <w:sz w:val="26"/>
          <w:szCs w:val="26"/>
        </w:rPr>
      </w:pPr>
    </w:p>
    <w:p w:rsidR="00503B2F" w:rsidRPr="004B577F" w:rsidRDefault="004E74D8" w:rsidP="00830DA9">
      <w:pPr>
        <w:keepNext/>
        <w:keepLines/>
        <w:tabs>
          <w:tab w:val="left" w:pos="-720"/>
        </w:tabs>
        <w:suppressAutoHyphens/>
        <w:rPr>
          <w:sz w:val="26"/>
          <w:szCs w:val="26"/>
        </w:rPr>
      </w:pPr>
      <w:r>
        <w:rPr>
          <w:noProof/>
        </w:rPr>
        <w:drawing>
          <wp:anchor distT="0" distB="0" distL="114300" distR="114300" simplePos="0" relativeHeight="251659264" behindDoc="1" locked="0" layoutInCell="1" allowOverlap="1" wp14:anchorId="2A9A71CB" wp14:editId="020C3717">
            <wp:simplePos x="0" y="0"/>
            <wp:positionH relativeFrom="column">
              <wp:posOffset>3115310</wp:posOffset>
            </wp:positionH>
            <wp:positionV relativeFrom="paragraph">
              <wp:posOffset>97155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A1AD3" w:rsidRPr="004B577F">
        <w:rPr>
          <w:sz w:val="26"/>
          <w:szCs w:val="26"/>
        </w:rPr>
        <w:tab/>
      </w:r>
      <w:r w:rsidR="001A1AD3" w:rsidRPr="004B577F">
        <w:rPr>
          <w:sz w:val="26"/>
          <w:szCs w:val="26"/>
        </w:rPr>
        <w:tab/>
      </w:r>
      <w:r w:rsidR="001A1AD3" w:rsidRPr="004B577F">
        <w:rPr>
          <w:sz w:val="26"/>
          <w:szCs w:val="26"/>
        </w:rPr>
        <w:tab/>
      </w:r>
      <w:r w:rsidR="001A1AD3" w:rsidRPr="004B577F">
        <w:rPr>
          <w:sz w:val="26"/>
          <w:szCs w:val="26"/>
        </w:rPr>
        <w:tab/>
      </w:r>
      <w:r w:rsidR="001A1AD3" w:rsidRPr="004B577F">
        <w:rPr>
          <w:sz w:val="26"/>
          <w:szCs w:val="26"/>
        </w:rPr>
        <w:tab/>
      </w:r>
      <w:r w:rsidR="001A1AD3" w:rsidRPr="004B577F">
        <w:rPr>
          <w:sz w:val="26"/>
          <w:szCs w:val="26"/>
        </w:rPr>
        <w:tab/>
      </w:r>
      <w:r w:rsidR="001A1AD3" w:rsidRPr="004B577F">
        <w:rPr>
          <w:sz w:val="26"/>
          <w:szCs w:val="26"/>
        </w:rPr>
        <w:tab/>
      </w:r>
      <w:r w:rsidR="00503B2F" w:rsidRPr="004B577F">
        <w:rPr>
          <w:b/>
          <w:sz w:val="26"/>
          <w:szCs w:val="26"/>
        </w:rPr>
        <w:t>BY THE COMMISSION,</w:t>
      </w:r>
    </w:p>
    <w:p w:rsidR="00503B2F" w:rsidRPr="004B577F" w:rsidRDefault="00503B2F" w:rsidP="00830DA9">
      <w:pPr>
        <w:keepNext/>
        <w:keepLines/>
        <w:tabs>
          <w:tab w:val="left" w:pos="-720"/>
        </w:tabs>
        <w:suppressAutoHyphens/>
        <w:rPr>
          <w:sz w:val="26"/>
          <w:szCs w:val="26"/>
        </w:rPr>
      </w:pPr>
    </w:p>
    <w:p w:rsidR="00830DA9" w:rsidRPr="004B577F" w:rsidRDefault="00830DA9" w:rsidP="00830DA9">
      <w:pPr>
        <w:keepNext/>
        <w:keepLines/>
        <w:tabs>
          <w:tab w:val="left" w:pos="-720"/>
        </w:tabs>
        <w:suppressAutoHyphens/>
        <w:rPr>
          <w:sz w:val="26"/>
          <w:szCs w:val="26"/>
        </w:rPr>
      </w:pPr>
    </w:p>
    <w:p w:rsidR="008C4269" w:rsidRPr="004B577F" w:rsidRDefault="008C4269" w:rsidP="00830DA9">
      <w:pPr>
        <w:keepNext/>
        <w:keepLines/>
        <w:tabs>
          <w:tab w:val="left" w:pos="-720"/>
        </w:tabs>
        <w:suppressAutoHyphens/>
        <w:rPr>
          <w:sz w:val="26"/>
          <w:szCs w:val="26"/>
        </w:rPr>
      </w:pPr>
    </w:p>
    <w:p w:rsidR="00503B2F" w:rsidRPr="004B577F" w:rsidRDefault="00503B2F" w:rsidP="00830DA9">
      <w:pPr>
        <w:keepNext/>
        <w:keepLines/>
        <w:tabs>
          <w:tab w:val="left" w:pos="-720"/>
        </w:tabs>
        <w:suppressAutoHyphens/>
        <w:rPr>
          <w:sz w:val="26"/>
          <w:szCs w:val="26"/>
        </w:rPr>
      </w:pPr>
      <w:r w:rsidRPr="004B577F">
        <w:rPr>
          <w:sz w:val="26"/>
          <w:szCs w:val="26"/>
        </w:rPr>
        <w:tab/>
      </w:r>
      <w:r w:rsidRPr="004B577F">
        <w:rPr>
          <w:sz w:val="26"/>
          <w:szCs w:val="26"/>
        </w:rPr>
        <w:tab/>
      </w:r>
      <w:r w:rsidRPr="004B577F">
        <w:rPr>
          <w:sz w:val="26"/>
          <w:szCs w:val="26"/>
        </w:rPr>
        <w:tab/>
      </w:r>
      <w:r w:rsidRPr="004B577F">
        <w:rPr>
          <w:sz w:val="26"/>
          <w:szCs w:val="26"/>
        </w:rPr>
        <w:tab/>
      </w:r>
      <w:r w:rsidRPr="004B577F">
        <w:rPr>
          <w:sz w:val="26"/>
          <w:szCs w:val="26"/>
        </w:rPr>
        <w:tab/>
      </w:r>
      <w:r w:rsidRPr="004B577F">
        <w:rPr>
          <w:sz w:val="26"/>
          <w:szCs w:val="26"/>
        </w:rPr>
        <w:tab/>
      </w:r>
      <w:r w:rsidRPr="004B577F">
        <w:rPr>
          <w:sz w:val="26"/>
          <w:szCs w:val="26"/>
        </w:rPr>
        <w:tab/>
        <w:t>Rosemary Chiavetta</w:t>
      </w:r>
    </w:p>
    <w:p w:rsidR="00503B2F" w:rsidRPr="004B577F" w:rsidRDefault="00503B2F" w:rsidP="00830DA9">
      <w:pPr>
        <w:keepNext/>
        <w:keepLines/>
        <w:tabs>
          <w:tab w:val="left" w:pos="-720"/>
        </w:tabs>
        <w:suppressAutoHyphens/>
        <w:rPr>
          <w:sz w:val="26"/>
          <w:szCs w:val="26"/>
        </w:rPr>
      </w:pPr>
      <w:r w:rsidRPr="004B577F">
        <w:rPr>
          <w:sz w:val="26"/>
          <w:szCs w:val="26"/>
        </w:rPr>
        <w:tab/>
      </w:r>
      <w:r w:rsidRPr="004B577F">
        <w:rPr>
          <w:sz w:val="26"/>
          <w:szCs w:val="26"/>
        </w:rPr>
        <w:tab/>
      </w:r>
      <w:r w:rsidRPr="004B577F">
        <w:rPr>
          <w:sz w:val="26"/>
          <w:szCs w:val="26"/>
        </w:rPr>
        <w:tab/>
      </w:r>
      <w:r w:rsidRPr="004B577F">
        <w:rPr>
          <w:sz w:val="26"/>
          <w:szCs w:val="26"/>
        </w:rPr>
        <w:tab/>
      </w:r>
      <w:r w:rsidRPr="004B577F">
        <w:rPr>
          <w:sz w:val="26"/>
          <w:szCs w:val="26"/>
        </w:rPr>
        <w:tab/>
      </w:r>
      <w:r w:rsidRPr="004B577F">
        <w:rPr>
          <w:sz w:val="26"/>
          <w:szCs w:val="26"/>
        </w:rPr>
        <w:tab/>
      </w:r>
      <w:r w:rsidRPr="004B577F">
        <w:rPr>
          <w:sz w:val="26"/>
          <w:szCs w:val="26"/>
        </w:rPr>
        <w:tab/>
        <w:t>Secretary</w:t>
      </w:r>
    </w:p>
    <w:p w:rsidR="00F01186" w:rsidRPr="004B577F" w:rsidRDefault="00F01186" w:rsidP="00830DA9">
      <w:pPr>
        <w:keepNext/>
        <w:keepLines/>
        <w:tabs>
          <w:tab w:val="left" w:pos="-720"/>
        </w:tabs>
        <w:suppressAutoHyphens/>
        <w:rPr>
          <w:sz w:val="26"/>
          <w:szCs w:val="26"/>
        </w:rPr>
      </w:pPr>
    </w:p>
    <w:p w:rsidR="00503B2F" w:rsidRPr="004B577F" w:rsidRDefault="00503B2F" w:rsidP="00830DA9">
      <w:pPr>
        <w:keepNext/>
        <w:keepLines/>
        <w:tabs>
          <w:tab w:val="left" w:pos="-720"/>
        </w:tabs>
        <w:suppressAutoHyphens/>
        <w:rPr>
          <w:sz w:val="26"/>
          <w:szCs w:val="26"/>
        </w:rPr>
      </w:pPr>
      <w:r w:rsidRPr="004B577F">
        <w:rPr>
          <w:sz w:val="26"/>
          <w:szCs w:val="26"/>
        </w:rPr>
        <w:t>(SEAL)</w:t>
      </w:r>
    </w:p>
    <w:p w:rsidR="00503B2F" w:rsidRPr="004B577F" w:rsidRDefault="00157B94" w:rsidP="00830DA9">
      <w:pPr>
        <w:keepNext/>
        <w:keepLines/>
        <w:tabs>
          <w:tab w:val="left" w:pos="-720"/>
        </w:tabs>
        <w:suppressAutoHyphens/>
        <w:rPr>
          <w:sz w:val="26"/>
          <w:szCs w:val="26"/>
        </w:rPr>
      </w:pPr>
      <w:r w:rsidRPr="004B577F">
        <w:rPr>
          <w:sz w:val="26"/>
          <w:szCs w:val="26"/>
        </w:rPr>
        <w:t xml:space="preserve">ORDER ADOPTED: </w:t>
      </w:r>
      <w:r w:rsidR="00C30CDE" w:rsidRPr="004B577F">
        <w:rPr>
          <w:sz w:val="26"/>
          <w:szCs w:val="26"/>
        </w:rPr>
        <w:t>September 17</w:t>
      </w:r>
      <w:r w:rsidRPr="004B577F">
        <w:rPr>
          <w:sz w:val="26"/>
          <w:szCs w:val="26"/>
        </w:rPr>
        <w:t>, 2015</w:t>
      </w:r>
    </w:p>
    <w:p w:rsidR="009304FE" w:rsidRPr="004B577F" w:rsidRDefault="00503B2F" w:rsidP="00830DA9">
      <w:pPr>
        <w:keepNext/>
        <w:keepLines/>
        <w:tabs>
          <w:tab w:val="left" w:pos="-720"/>
        </w:tabs>
        <w:suppressAutoHyphens/>
        <w:rPr>
          <w:sz w:val="26"/>
          <w:szCs w:val="26"/>
        </w:rPr>
      </w:pPr>
      <w:r w:rsidRPr="004B577F">
        <w:rPr>
          <w:sz w:val="26"/>
          <w:szCs w:val="26"/>
        </w:rPr>
        <w:t xml:space="preserve">ORDER ENTERED: </w:t>
      </w:r>
      <w:bookmarkStart w:id="0" w:name="_GoBack"/>
      <w:bookmarkEnd w:id="0"/>
      <w:r w:rsidR="004E74D8">
        <w:rPr>
          <w:sz w:val="26"/>
          <w:szCs w:val="26"/>
        </w:rPr>
        <w:t>September 17, 2015</w:t>
      </w:r>
    </w:p>
    <w:sectPr w:rsidR="009304FE" w:rsidRPr="004B577F"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A44" w:rsidRDefault="00E82A44">
      <w:r>
        <w:separator/>
      </w:r>
    </w:p>
  </w:endnote>
  <w:endnote w:type="continuationSeparator" w:id="0">
    <w:p w:rsidR="00E82A44" w:rsidRDefault="00E8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763" w:rsidRDefault="00414763"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4763" w:rsidRDefault="004147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763" w:rsidRPr="009D0349" w:rsidRDefault="00414763" w:rsidP="00654A2F">
    <w:pPr>
      <w:pStyle w:val="Footer"/>
      <w:framePr w:wrap="around" w:vAnchor="text" w:hAnchor="margin" w:xAlign="center" w:y="1"/>
      <w:rPr>
        <w:rStyle w:val="PageNumber"/>
        <w:sz w:val="26"/>
        <w:szCs w:val="26"/>
      </w:rPr>
    </w:pPr>
    <w:r w:rsidRPr="009D0349">
      <w:rPr>
        <w:rStyle w:val="PageNumber"/>
        <w:sz w:val="26"/>
        <w:szCs w:val="26"/>
      </w:rPr>
      <w:fldChar w:fldCharType="begin"/>
    </w:r>
    <w:r w:rsidRPr="009D0349">
      <w:rPr>
        <w:rStyle w:val="PageNumber"/>
        <w:sz w:val="26"/>
        <w:szCs w:val="26"/>
      </w:rPr>
      <w:instrText xml:space="preserve">PAGE  </w:instrText>
    </w:r>
    <w:r w:rsidRPr="009D0349">
      <w:rPr>
        <w:rStyle w:val="PageNumber"/>
        <w:sz w:val="26"/>
        <w:szCs w:val="26"/>
      </w:rPr>
      <w:fldChar w:fldCharType="separate"/>
    </w:r>
    <w:r w:rsidR="004E74D8">
      <w:rPr>
        <w:rStyle w:val="PageNumber"/>
        <w:noProof/>
        <w:sz w:val="26"/>
        <w:szCs w:val="26"/>
      </w:rPr>
      <w:t>19</w:t>
    </w:r>
    <w:r w:rsidRPr="009D0349">
      <w:rPr>
        <w:rStyle w:val="PageNumber"/>
        <w:sz w:val="26"/>
        <w:szCs w:val="26"/>
      </w:rPr>
      <w:fldChar w:fldCharType="end"/>
    </w:r>
  </w:p>
  <w:p w:rsidR="00414763" w:rsidRDefault="004147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A44" w:rsidRDefault="00E82A44">
      <w:r>
        <w:separator/>
      </w:r>
    </w:p>
  </w:footnote>
  <w:footnote w:type="continuationSeparator" w:id="0">
    <w:p w:rsidR="00E82A44" w:rsidRDefault="00E82A44">
      <w:r>
        <w:continuationSeparator/>
      </w:r>
    </w:p>
  </w:footnote>
  <w:footnote w:id="1">
    <w:p w:rsidR="00414763" w:rsidRDefault="00414763">
      <w:pPr>
        <w:pStyle w:val="FootnoteText"/>
      </w:pPr>
      <w:r>
        <w:tab/>
      </w:r>
      <w:r>
        <w:rPr>
          <w:rStyle w:val="FootnoteReference"/>
        </w:rPr>
        <w:footnoteRef/>
      </w:r>
      <w:r>
        <w:t xml:space="preserve"> </w:t>
      </w:r>
      <w:r>
        <w:tab/>
      </w:r>
      <w:r w:rsidRPr="00D365A7">
        <w:rPr>
          <w:sz w:val="26"/>
          <w:szCs w:val="26"/>
        </w:rPr>
        <w:t>This Complaint is</w:t>
      </w:r>
      <w:r>
        <w:rPr>
          <w:sz w:val="26"/>
          <w:szCs w:val="26"/>
        </w:rPr>
        <w:t xml:space="preserve"> an untimely appeal of a </w:t>
      </w:r>
      <w:r w:rsidRPr="00D365A7">
        <w:rPr>
          <w:sz w:val="26"/>
          <w:szCs w:val="26"/>
        </w:rPr>
        <w:t>Bureau of Consumer Services</w:t>
      </w:r>
      <w:r>
        <w:rPr>
          <w:sz w:val="26"/>
          <w:szCs w:val="26"/>
        </w:rPr>
        <w:t xml:space="preserve"> (BCS)</w:t>
      </w:r>
      <w:r w:rsidRPr="00D365A7">
        <w:rPr>
          <w:sz w:val="26"/>
          <w:szCs w:val="26"/>
        </w:rPr>
        <w:t xml:space="preserve"> </w:t>
      </w:r>
      <w:r>
        <w:rPr>
          <w:sz w:val="26"/>
          <w:szCs w:val="26"/>
        </w:rPr>
        <w:t xml:space="preserve">informal </w:t>
      </w:r>
      <w:r w:rsidRPr="00D365A7">
        <w:rPr>
          <w:sz w:val="26"/>
          <w:szCs w:val="26"/>
        </w:rPr>
        <w:t>decision at BCS Ca</w:t>
      </w:r>
      <w:r>
        <w:rPr>
          <w:sz w:val="26"/>
          <w:szCs w:val="26"/>
        </w:rPr>
        <w:t>se No. 3255117, dated July 21, 2014</w:t>
      </w:r>
      <w:r w:rsidR="004346E3">
        <w:rPr>
          <w:sz w:val="26"/>
          <w:szCs w:val="26"/>
        </w:rPr>
        <w:t xml:space="preserve"> (July 2014 payment arrangement)</w:t>
      </w:r>
      <w:r>
        <w:rPr>
          <w:sz w:val="26"/>
          <w:szCs w:val="26"/>
        </w:rPr>
        <w:t>.  The BCS informal decision directed the Complainant to pay a monthly budget bill of $328 each month and an additional $71 per month</w:t>
      </w:r>
      <w:r w:rsidR="004346E3">
        <w:rPr>
          <w:sz w:val="26"/>
          <w:szCs w:val="26"/>
        </w:rPr>
        <w:t xml:space="preserve"> towards her past due balances </w:t>
      </w:r>
      <w:r>
        <w:rPr>
          <w:sz w:val="26"/>
          <w:szCs w:val="26"/>
        </w:rPr>
        <w:t>for a total of $399 per month.  At the time of the BCS informal decision</w:t>
      </w:r>
      <w:r w:rsidR="00D71549">
        <w:rPr>
          <w:sz w:val="26"/>
          <w:szCs w:val="26"/>
        </w:rPr>
        <w:t>,</w:t>
      </w:r>
      <w:r w:rsidR="00CA46C9">
        <w:rPr>
          <w:sz w:val="26"/>
          <w:szCs w:val="26"/>
        </w:rPr>
        <w:t xml:space="preserve"> the Complainant had a total, past due balance </w:t>
      </w:r>
      <w:r>
        <w:rPr>
          <w:sz w:val="26"/>
          <w:szCs w:val="26"/>
        </w:rPr>
        <w:t xml:space="preserve">of $4,250 in her account. </w:t>
      </w:r>
      <w:r w:rsidRPr="00822460">
        <w:rPr>
          <w:sz w:val="26"/>
          <w:szCs w:val="26"/>
        </w:rPr>
        <w:t xml:space="preserve"> </w:t>
      </w:r>
      <w:r>
        <w:rPr>
          <w:sz w:val="26"/>
          <w:szCs w:val="26"/>
        </w:rPr>
        <w:t>The budget billing is</w:t>
      </w:r>
      <w:r w:rsidR="004346E3">
        <w:rPr>
          <w:sz w:val="26"/>
          <w:szCs w:val="26"/>
        </w:rPr>
        <w:t xml:space="preserve"> a breakdown of the Complainant’s past due balances into equal monthly insta</w:t>
      </w:r>
      <w:r w:rsidR="004A6DF3">
        <w:rPr>
          <w:sz w:val="26"/>
          <w:szCs w:val="26"/>
        </w:rPr>
        <w:t>llments over sixty months or a five</w:t>
      </w:r>
      <w:r w:rsidR="004346E3">
        <w:rPr>
          <w:sz w:val="26"/>
          <w:szCs w:val="26"/>
        </w:rPr>
        <w:t>-year period.</w:t>
      </w:r>
    </w:p>
  </w:footnote>
  <w:footnote w:id="2">
    <w:p w:rsidR="00414763" w:rsidRPr="00E8267E" w:rsidRDefault="004346E3">
      <w:pPr>
        <w:pStyle w:val="FootnoteText"/>
        <w:rPr>
          <w:rFonts w:ascii="Times New Roman" w:hAnsi="Times New Roman"/>
          <w:sz w:val="26"/>
          <w:szCs w:val="26"/>
        </w:rPr>
      </w:pPr>
      <w:r>
        <w:rPr>
          <w:rFonts w:ascii="Times New Roman" w:hAnsi="Times New Roman"/>
          <w:sz w:val="26"/>
          <w:szCs w:val="26"/>
        </w:rPr>
        <w:tab/>
      </w:r>
      <w:r w:rsidR="00414763" w:rsidRPr="00E8267E">
        <w:rPr>
          <w:rStyle w:val="FootnoteReference"/>
          <w:rFonts w:ascii="Times New Roman" w:hAnsi="Times New Roman"/>
        </w:rPr>
        <w:footnoteRef/>
      </w:r>
      <w:r w:rsidR="00414763" w:rsidRPr="00E8267E">
        <w:rPr>
          <w:rFonts w:ascii="Times New Roman" w:hAnsi="Times New Roman"/>
          <w:sz w:val="26"/>
          <w:szCs w:val="26"/>
        </w:rPr>
        <w:t xml:space="preserve"> </w:t>
      </w:r>
      <w:r w:rsidR="00414763" w:rsidRPr="00E8267E">
        <w:rPr>
          <w:rFonts w:ascii="Times New Roman" w:hAnsi="Times New Roman"/>
          <w:sz w:val="26"/>
          <w:szCs w:val="26"/>
        </w:rPr>
        <w:tab/>
        <w:t>According to the Complainant</w:t>
      </w:r>
      <w:r>
        <w:rPr>
          <w:rFonts w:ascii="Times New Roman" w:hAnsi="Times New Roman"/>
          <w:sz w:val="26"/>
          <w:szCs w:val="26"/>
        </w:rPr>
        <w:t>, for the balloon payment arrangement</w:t>
      </w:r>
      <w:r w:rsidR="00414763" w:rsidRPr="00E8267E">
        <w:rPr>
          <w:rFonts w:ascii="Times New Roman" w:hAnsi="Times New Roman"/>
          <w:sz w:val="26"/>
          <w:szCs w:val="26"/>
        </w:rPr>
        <w:t xml:space="preserve">, </w:t>
      </w:r>
      <w:r>
        <w:rPr>
          <w:rFonts w:ascii="Times New Roman" w:hAnsi="Times New Roman"/>
          <w:sz w:val="26"/>
          <w:szCs w:val="26"/>
        </w:rPr>
        <w:t xml:space="preserve">she would make </w:t>
      </w:r>
      <w:r w:rsidR="00414763" w:rsidRPr="00E8267E">
        <w:rPr>
          <w:rFonts w:ascii="Times New Roman" w:hAnsi="Times New Roman"/>
          <w:sz w:val="26"/>
          <w:szCs w:val="26"/>
        </w:rPr>
        <w:t xml:space="preserve">an agreed </w:t>
      </w:r>
      <w:r>
        <w:rPr>
          <w:rFonts w:ascii="Times New Roman" w:hAnsi="Times New Roman"/>
          <w:sz w:val="26"/>
          <w:szCs w:val="26"/>
        </w:rPr>
        <w:t>lower monthly payment</w:t>
      </w:r>
      <w:r w:rsidR="00414763" w:rsidRPr="00E8267E">
        <w:rPr>
          <w:rFonts w:ascii="Times New Roman" w:hAnsi="Times New Roman"/>
          <w:sz w:val="26"/>
          <w:szCs w:val="26"/>
        </w:rPr>
        <w:t xml:space="preserve"> for the first four or four-and-half years, and then make a balloon paym</w:t>
      </w:r>
      <w:r>
        <w:rPr>
          <w:rFonts w:ascii="Times New Roman" w:hAnsi="Times New Roman"/>
          <w:sz w:val="26"/>
          <w:szCs w:val="26"/>
        </w:rPr>
        <w:t>ent at the end of the fifth year</w:t>
      </w:r>
      <w:r w:rsidR="00414763" w:rsidRPr="00E8267E">
        <w:rPr>
          <w:rFonts w:ascii="Times New Roman" w:hAnsi="Times New Roman"/>
          <w:sz w:val="26"/>
          <w:szCs w:val="26"/>
        </w:rPr>
        <w:t xml:space="preserve">.  </w:t>
      </w:r>
      <w:proofErr w:type="gramStart"/>
      <w:r w:rsidR="00414763" w:rsidRPr="00E8267E">
        <w:rPr>
          <w:rFonts w:ascii="Times New Roman" w:hAnsi="Times New Roman"/>
          <w:sz w:val="26"/>
          <w:szCs w:val="26"/>
        </w:rPr>
        <w:t>Tr. at 7.</w:t>
      </w:r>
      <w:proofErr w:type="gramEnd"/>
    </w:p>
  </w:footnote>
  <w:footnote w:id="3">
    <w:p w:rsidR="00414763" w:rsidRPr="0086100F" w:rsidRDefault="00414763" w:rsidP="00D740A1">
      <w:pPr>
        <w:keepNext/>
        <w:keepLines/>
        <w:ind w:firstLine="720"/>
        <w:rPr>
          <w:sz w:val="26"/>
          <w:szCs w:val="26"/>
        </w:rPr>
      </w:pPr>
      <w:r w:rsidRPr="0086100F">
        <w:rPr>
          <w:rStyle w:val="FootnoteReference"/>
        </w:rPr>
        <w:footnoteRef/>
      </w:r>
      <w:r w:rsidRPr="0086100F">
        <w:rPr>
          <w:sz w:val="26"/>
          <w:szCs w:val="26"/>
        </w:rPr>
        <w:tab/>
      </w:r>
      <w:r>
        <w:rPr>
          <w:sz w:val="26"/>
          <w:szCs w:val="26"/>
        </w:rPr>
        <w:t xml:space="preserve">Section 1403 of the Code, </w:t>
      </w:r>
      <w:r w:rsidRPr="00770896">
        <w:rPr>
          <w:sz w:val="26"/>
          <w:szCs w:val="26"/>
        </w:rPr>
        <w:t>66 Pa. C.S. § 1403</w:t>
      </w:r>
      <w:r>
        <w:rPr>
          <w:sz w:val="26"/>
          <w:szCs w:val="26"/>
        </w:rPr>
        <w:t xml:space="preserve">, defines </w:t>
      </w:r>
      <w:r w:rsidRPr="0086100F">
        <w:rPr>
          <w:sz w:val="26"/>
          <w:szCs w:val="26"/>
        </w:rPr>
        <w:t>“Change in Income”</w:t>
      </w:r>
      <w:r>
        <w:rPr>
          <w:sz w:val="26"/>
          <w:szCs w:val="26"/>
        </w:rPr>
        <w:t xml:space="preserve"> as “[a]</w:t>
      </w:r>
      <w:r w:rsidRPr="0086100F">
        <w:rPr>
          <w:sz w:val="26"/>
          <w:szCs w:val="26"/>
        </w:rPr>
        <w:t xml:space="preserve"> decrease in household income of 20% or more if the customer’s household income level exceeds 200% of the federal poverty level or a decrease in household income of 10% or more if the customer’s household income level is 200% or less of the </w:t>
      </w:r>
      <w:r>
        <w:rPr>
          <w:sz w:val="26"/>
          <w:szCs w:val="26"/>
        </w:rPr>
        <w:t>f</w:t>
      </w:r>
      <w:r w:rsidRPr="0086100F">
        <w:rPr>
          <w:sz w:val="26"/>
          <w:szCs w:val="26"/>
        </w:rPr>
        <w:t>ederal poverty level.</w:t>
      </w:r>
      <w:r>
        <w:rPr>
          <w:sz w:val="26"/>
          <w:szCs w:val="26"/>
        </w:rPr>
        <w:t>”</w:t>
      </w:r>
    </w:p>
  </w:footnote>
  <w:footnote w:id="4">
    <w:p w:rsidR="008948F7" w:rsidRDefault="00414763" w:rsidP="00340C4E">
      <w:pPr>
        <w:ind w:firstLine="720"/>
        <w:rPr>
          <w:sz w:val="26"/>
          <w:szCs w:val="26"/>
        </w:rPr>
      </w:pPr>
      <w:r w:rsidRPr="0004431A">
        <w:rPr>
          <w:rStyle w:val="FootnoteReference"/>
        </w:rPr>
        <w:footnoteRef/>
      </w:r>
      <w:r w:rsidRPr="0004431A">
        <w:rPr>
          <w:sz w:val="26"/>
          <w:szCs w:val="26"/>
        </w:rPr>
        <w:tab/>
      </w:r>
      <w:r w:rsidR="008948F7">
        <w:rPr>
          <w:sz w:val="26"/>
          <w:szCs w:val="26"/>
        </w:rPr>
        <w:t xml:space="preserve">FOF Nos. 10, 11, 13 and 14 are </w:t>
      </w:r>
      <w:r w:rsidR="00204672">
        <w:rPr>
          <w:sz w:val="26"/>
          <w:szCs w:val="26"/>
        </w:rPr>
        <w:t xml:space="preserve">listed </w:t>
      </w:r>
      <w:r w:rsidR="008948F7">
        <w:rPr>
          <w:sz w:val="26"/>
          <w:szCs w:val="26"/>
        </w:rPr>
        <w:t>below</w:t>
      </w:r>
      <w:r w:rsidR="00204672">
        <w:rPr>
          <w:sz w:val="26"/>
          <w:szCs w:val="26"/>
        </w:rPr>
        <w:t>:</w:t>
      </w:r>
    </w:p>
    <w:p w:rsidR="008948F7" w:rsidRDefault="008948F7" w:rsidP="00340C4E">
      <w:pPr>
        <w:ind w:firstLine="720"/>
        <w:rPr>
          <w:sz w:val="26"/>
          <w:szCs w:val="26"/>
        </w:rPr>
      </w:pPr>
    </w:p>
    <w:p w:rsidR="00414763" w:rsidRPr="0004431A" w:rsidRDefault="00414763" w:rsidP="00C2347A">
      <w:pPr>
        <w:rPr>
          <w:sz w:val="26"/>
          <w:szCs w:val="26"/>
        </w:rPr>
      </w:pPr>
      <w:r>
        <w:rPr>
          <w:sz w:val="26"/>
          <w:szCs w:val="26"/>
        </w:rPr>
        <w:t>FOF</w:t>
      </w:r>
      <w:r w:rsidRPr="0004431A">
        <w:rPr>
          <w:sz w:val="26"/>
          <w:szCs w:val="26"/>
        </w:rPr>
        <w:t xml:space="preserve"> No. 10: PPL Exhibit 1 is an acc</w:t>
      </w:r>
      <w:r w:rsidR="0058180D">
        <w:rPr>
          <w:sz w:val="26"/>
          <w:szCs w:val="26"/>
        </w:rPr>
        <w:t xml:space="preserve">ount activity statement for the </w:t>
      </w:r>
      <w:r w:rsidRPr="0004431A">
        <w:rPr>
          <w:sz w:val="26"/>
          <w:szCs w:val="26"/>
        </w:rPr>
        <w:t xml:space="preserve">Complainant showing a past due balance of $5,136.74.  </w:t>
      </w:r>
      <w:proofErr w:type="gramStart"/>
      <w:r w:rsidRPr="0004431A">
        <w:rPr>
          <w:sz w:val="26"/>
          <w:szCs w:val="26"/>
        </w:rPr>
        <w:t xml:space="preserve">I.D. at 3, citing Tr. at 15-16; </w:t>
      </w:r>
      <w:r w:rsidR="00F946BE">
        <w:rPr>
          <w:sz w:val="26"/>
          <w:szCs w:val="26"/>
        </w:rPr>
        <w:t xml:space="preserve">PPL </w:t>
      </w:r>
      <w:proofErr w:type="spellStart"/>
      <w:r w:rsidRPr="0004431A">
        <w:rPr>
          <w:sz w:val="26"/>
          <w:szCs w:val="26"/>
        </w:rPr>
        <w:t>Exh</w:t>
      </w:r>
      <w:proofErr w:type="spellEnd"/>
      <w:r w:rsidRPr="0004431A">
        <w:rPr>
          <w:sz w:val="26"/>
          <w:szCs w:val="26"/>
        </w:rPr>
        <w:t>.</w:t>
      </w:r>
      <w:proofErr w:type="gramEnd"/>
      <w:r w:rsidRPr="0004431A">
        <w:rPr>
          <w:sz w:val="26"/>
          <w:szCs w:val="26"/>
        </w:rPr>
        <w:t xml:space="preserve"> 1.  </w:t>
      </w:r>
    </w:p>
    <w:p w:rsidR="00414763" w:rsidRPr="0004431A" w:rsidRDefault="00414763" w:rsidP="00340C4E">
      <w:pPr>
        <w:ind w:firstLine="720"/>
        <w:rPr>
          <w:sz w:val="26"/>
          <w:szCs w:val="26"/>
        </w:rPr>
      </w:pPr>
    </w:p>
    <w:p w:rsidR="00414763" w:rsidRPr="0004431A" w:rsidRDefault="00414763" w:rsidP="00C2347A">
      <w:pPr>
        <w:rPr>
          <w:sz w:val="26"/>
          <w:szCs w:val="26"/>
        </w:rPr>
      </w:pPr>
      <w:r>
        <w:rPr>
          <w:sz w:val="26"/>
          <w:szCs w:val="26"/>
        </w:rPr>
        <w:t>FOF</w:t>
      </w:r>
      <w:r w:rsidRPr="0004431A">
        <w:rPr>
          <w:sz w:val="26"/>
          <w:szCs w:val="26"/>
        </w:rPr>
        <w:t xml:space="preserve"> No. 11: The Complainant made four payments for all of 2014 up to the time of the hearing. </w:t>
      </w:r>
      <w:proofErr w:type="gramStart"/>
      <w:r w:rsidRPr="0004431A">
        <w:rPr>
          <w:sz w:val="26"/>
          <w:szCs w:val="26"/>
        </w:rPr>
        <w:t xml:space="preserve">I.D. at 3, citing Tr. at 16; </w:t>
      </w:r>
      <w:r w:rsidR="00F946BE">
        <w:rPr>
          <w:sz w:val="26"/>
          <w:szCs w:val="26"/>
        </w:rPr>
        <w:t xml:space="preserve">PPL </w:t>
      </w:r>
      <w:proofErr w:type="spellStart"/>
      <w:r w:rsidRPr="0004431A">
        <w:rPr>
          <w:sz w:val="26"/>
          <w:szCs w:val="26"/>
        </w:rPr>
        <w:t>Exh</w:t>
      </w:r>
      <w:proofErr w:type="spellEnd"/>
      <w:r w:rsidRPr="0004431A">
        <w:rPr>
          <w:sz w:val="26"/>
          <w:szCs w:val="26"/>
        </w:rPr>
        <w:t>.</w:t>
      </w:r>
      <w:proofErr w:type="gramEnd"/>
      <w:r w:rsidRPr="0004431A">
        <w:rPr>
          <w:sz w:val="26"/>
          <w:szCs w:val="26"/>
        </w:rPr>
        <w:t xml:space="preserve"> 1.  </w:t>
      </w:r>
    </w:p>
    <w:p w:rsidR="00414763" w:rsidRPr="0004431A" w:rsidRDefault="00414763" w:rsidP="0004431A">
      <w:pPr>
        <w:ind w:firstLine="720"/>
        <w:rPr>
          <w:sz w:val="26"/>
          <w:szCs w:val="26"/>
        </w:rPr>
      </w:pPr>
    </w:p>
    <w:p w:rsidR="00414763" w:rsidRPr="0004431A" w:rsidRDefault="00414763" w:rsidP="00C2347A">
      <w:pPr>
        <w:rPr>
          <w:sz w:val="26"/>
          <w:szCs w:val="26"/>
        </w:rPr>
      </w:pPr>
      <w:r>
        <w:rPr>
          <w:sz w:val="26"/>
          <w:szCs w:val="26"/>
        </w:rPr>
        <w:t>FOF</w:t>
      </w:r>
      <w:r w:rsidRPr="0004431A">
        <w:rPr>
          <w:sz w:val="26"/>
          <w:szCs w:val="26"/>
        </w:rPr>
        <w:t xml:space="preserve"> No. 13: The Complainant has defaulted on </w:t>
      </w:r>
      <w:r w:rsidR="00F946BE">
        <w:rPr>
          <w:sz w:val="26"/>
          <w:szCs w:val="26"/>
        </w:rPr>
        <w:t xml:space="preserve">twenty-six </w:t>
      </w:r>
      <w:r w:rsidRPr="0004431A">
        <w:rPr>
          <w:sz w:val="26"/>
          <w:szCs w:val="26"/>
        </w:rPr>
        <w:t>payment a</w:t>
      </w:r>
      <w:r>
        <w:rPr>
          <w:sz w:val="26"/>
          <w:szCs w:val="26"/>
        </w:rPr>
        <w:t>rrangements</w:t>
      </w:r>
      <w:r w:rsidRPr="0004431A">
        <w:rPr>
          <w:sz w:val="26"/>
          <w:szCs w:val="26"/>
        </w:rPr>
        <w:t>.  One wa</w:t>
      </w:r>
      <w:r>
        <w:rPr>
          <w:sz w:val="26"/>
          <w:szCs w:val="26"/>
        </w:rPr>
        <w:t xml:space="preserve">s a </w:t>
      </w:r>
      <w:r w:rsidR="00F946BE">
        <w:rPr>
          <w:sz w:val="26"/>
          <w:szCs w:val="26"/>
        </w:rPr>
        <w:t>Commission-</w:t>
      </w:r>
      <w:r>
        <w:rPr>
          <w:sz w:val="26"/>
          <w:szCs w:val="26"/>
        </w:rPr>
        <w:t xml:space="preserve"> issued payment arrangement</w:t>
      </w:r>
      <w:r w:rsidRPr="0004431A">
        <w:rPr>
          <w:sz w:val="26"/>
          <w:szCs w:val="26"/>
        </w:rPr>
        <w:t xml:space="preserve">. </w:t>
      </w:r>
      <w:proofErr w:type="gramStart"/>
      <w:r w:rsidRPr="0004431A">
        <w:rPr>
          <w:sz w:val="26"/>
          <w:szCs w:val="26"/>
        </w:rPr>
        <w:t xml:space="preserve">I.D. at 3, citing Tr. at 17; </w:t>
      </w:r>
      <w:r w:rsidR="00F946BE">
        <w:rPr>
          <w:sz w:val="26"/>
          <w:szCs w:val="26"/>
        </w:rPr>
        <w:t xml:space="preserve">PPL </w:t>
      </w:r>
      <w:proofErr w:type="spellStart"/>
      <w:r w:rsidRPr="0004431A">
        <w:rPr>
          <w:sz w:val="26"/>
          <w:szCs w:val="26"/>
        </w:rPr>
        <w:t>Exh</w:t>
      </w:r>
      <w:proofErr w:type="spellEnd"/>
      <w:r w:rsidRPr="0004431A">
        <w:rPr>
          <w:sz w:val="26"/>
          <w:szCs w:val="26"/>
        </w:rPr>
        <w:t>.</w:t>
      </w:r>
      <w:proofErr w:type="gramEnd"/>
      <w:r w:rsidRPr="0004431A">
        <w:rPr>
          <w:sz w:val="26"/>
          <w:szCs w:val="26"/>
        </w:rPr>
        <w:t xml:space="preserve"> 3.  </w:t>
      </w:r>
    </w:p>
    <w:p w:rsidR="00414763" w:rsidRPr="0004431A" w:rsidRDefault="00414763" w:rsidP="0004431A">
      <w:pPr>
        <w:ind w:firstLine="720"/>
        <w:rPr>
          <w:sz w:val="26"/>
          <w:szCs w:val="26"/>
        </w:rPr>
      </w:pPr>
    </w:p>
    <w:p w:rsidR="00414763" w:rsidRDefault="00414763" w:rsidP="00204672">
      <w:r>
        <w:rPr>
          <w:sz w:val="26"/>
          <w:szCs w:val="26"/>
        </w:rPr>
        <w:t>FOF</w:t>
      </w:r>
      <w:r w:rsidRPr="0004431A">
        <w:rPr>
          <w:sz w:val="26"/>
          <w:szCs w:val="26"/>
        </w:rPr>
        <w:t xml:space="preserve"> No. 14: PPL has not entertained a “balloon payment” as described by Jerry Mallory.  PPL has in the past required an up-front payment, but not a balloon payment at the end.  </w:t>
      </w:r>
      <w:proofErr w:type="gramStart"/>
      <w:r w:rsidRPr="0004431A">
        <w:rPr>
          <w:sz w:val="26"/>
          <w:szCs w:val="26"/>
        </w:rPr>
        <w:t>I.D. at 3, citing Tr. at 19 and 24.</w:t>
      </w:r>
      <w:proofErr w:type="gramEnd"/>
      <w:r w:rsidRPr="0004431A">
        <w:rPr>
          <w:sz w:val="26"/>
          <w:szCs w:val="26"/>
        </w:rPr>
        <w:t xml:space="preserve">  </w:t>
      </w:r>
    </w:p>
  </w:footnote>
  <w:footnote w:id="5">
    <w:p w:rsidR="00414763" w:rsidRPr="007C522B" w:rsidRDefault="00414763">
      <w:pPr>
        <w:pStyle w:val="FootnoteText"/>
        <w:rPr>
          <w:rFonts w:ascii="Times New Roman" w:hAnsi="Times New Roman"/>
          <w:sz w:val="26"/>
          <w:szCs w:val="26"/>
        </w:rPr>
      </w:pPr>
      <w:r>
        <w:tab/>
      </w:r>
      <w:r w:rsidRPr="007C522B">
        <w:rPr>
          <w:rStyle w:val="FootnoteReference"/>
          <w:rFonts w:ascii="Times New Roman" w:hAnsi="Times New Roman"/>
        </w:rPr>
        <w:footnoteRef/>
      </w:r>
      <w:r w:rsidRPr="007C522B">
        <w:rPr>
          <w:rFonts w:ascii="Times New Roman" w:hAnsi="Times New Roman"/>
          <w:sz w:val="26"/>
          <w:szCs w:val="26"/>
        </w:rPr>
        <w:t xml:space="preserve"> </w:t>
      </w:r>
      <w:r w:rsidRPr="007C522B">
        <w:rPr>
          <w:rFonts w:ascii="Times New Roman" w:hAnsi="Times New Roman"/>
          <w:sz w:val="26"/>
          <w:szCs w:val="26"/>
        </w:rPr>
        <w:tab/>
      </w:r>
      <w:r w:rsidRPr="007C522B">
        <w:rPr>
          <w:rFonts w:ascii="Times New Roman" w:hAnsi="Times New Roman"/>
          <w:i/>
          <w:sz w:val="26"/>
          <w:szCs w:val="26"/>
        </w:rPr>
        <w:t xml:space="preserve">See, William </w:t>
      </w:r>
      <w:proofErr w:type="spellStart"/>
      <w:r w:rsidRPr="007C522B">
        <w:rPr>
          <w:rFonts w:ascii="Times New Roman" w:hAnsi="Times New Roman"/>
          <w:i/>
          <w:sz w:val="26"/>
          <w:szCs w:val="26"/>
        </w:rPr>
        <w:t>Edney</w:t>
      </w:r>
      <w:proofErr w:type="spellEnd"/>
      <w:r w:rsidRPr="007C522B">
        <w:rPr>
          <w:rFonts w:ascii="Times New Roman" w:hAnsi="Times New Roman"/>
          <w:i/>
          <w:sz w:val="26"/>
          <w:szCs w:val="26"/>
        </w:rPr>
        <w:t xml:space="preserve"> v. Philadelphia Gas Works</w:t>
      </w:r>
      <w:r w:rsidRPr="007C522B">
        <w:rPr>
          <w:rFonts w:ascii="Times New Roman" w:hAnsi="Times New Roman"/>
          <w:sz w:val="26"/>
          <w:szCs w:val="26"/>
        </w:rPr>
        <w:t>, 2014 WL 7339536 (Pa. P.U.C., Dec. 18, 2014)</w:t>
      </w:r>
      <w:r w:rsidR="000943A4">
        <w:rPr>
          <w:rFonts w:ascii="Times New Roman" w:hAnsi="Times New Roman"/>
          <w:sz w:val="26"/>
          <w:szCs w:val="26"/>
        </w:rPr>
        <w:t xml:space="preserve"> (</w:t>
      </w:r>
      <w:proofErr w:type="spellStart"/>
      <w:r w:rsidR="000943A4" w:rsidRPr="000943A4">
        <w:rPr>
          <w:rFonts w:ascii="Times New Roman" w:hAnsi="Times New Roman"/>
          <w:i/>
          <w:sz w:val="26"/>
          <w:szCs w:val="26"/>
        </w:rPr>
        <w:t>Edney</w:t>
      </w:r>
      <w:proofErr w:type="spellEnd"/>
      <w:r w:rsidR="000943A4">
        <w:rPr>
          <w:rFonts w:ascii="Times New Roman" w:hAnsi="Times New Roman"/>
          <w:sz w:val="26"/>
          <w:szCs w:val="26"/>
        </w:rPr>
        <w:t xml:space="preserve">).  According to PPL, in </w:t>
      </w:r>
      <w:proofErr w:type="spellStart"/>
      <w:r w:rsidR="000943A4">
        <w:rPr>
          <w:rFonts w:ascii="Times New Roman" w:hAnsi="Times New Roman"/>
          <w:sz w:val="26"/>
          <w:szCs w:val="26"/>
        </w:rPr>
        <w:t>Edney</w:t>
      </w:r>
      <w:proofErr w:type="spellEnd"/>
      <w:r w:rsidR="000943A4">
        <w:rPr>
          <w:rFonts w:ascii="Times New Roman" w:hAnsi="Times New Roman"/>
          <w:sz w:val="26"/>
          <w:szCs w:val="26"/>
        </w:rPr>
        <w:t xml:space="preserve">, </w:t>
      </w:r>
      <w:r w:rsidRPr="007C522B">
        <w:rPr>
          <w:rFonts w:ascii="Times New Roman" w:hAnsi="Times New Roman"/>
          <w:sz w:val="26"/>
          <w:szCs w:val="26"/>
        </w:rPr>
        <w:t>the Commission imposed a forty-eight month payment arrangement to be pai</w:t>
      </w:r>
      <w:r w:rsidR="000943A4">
        <w:rPr>
          <w:rFonts w:ascii="Times New Roman" w:hAnsi="Times New Roman"/>
          <w:sz w:val="26"/>
          <w:szCs w:val="26"/>
        </w:rPr>
        <w:t>d in equal monthly installments</w:t>
      </w:r>
      <w:r w:rsidRPr="007C522B">
        <w:rPr>
          <w:rFonts w:ascii="Times New Roman" w:hAnsi="Times New Roman"/>
          <w:sz w:val="26"/>
          <w:szCs w:val="26"/>
        </w:rPr>
        <w:t>.</w:t>
      </w:r>
      <w:r w:rsidR="00D2107D">
        <w:rPr>
          <w:rFonts w:ascii="Times New Roman" w:hAnsi="Times New Roman"/>
          <w:sz w:val="26"/>
          <w:szCs w:val="26"/>
        </w:rPr>
        <w:t xml:space="preserve">  R.</w:t>
      </w:r>
      <w:r w:rsidR="008D2844">
        <w:rPr>
          <w:rFonts w:ascii="Times New Roman" w:hAnsi="Times New Roman"/>
          <w:sz w:val="26"/>
          <w:szCs w:val="26"/>
        </w:rPr>
        <w:t> </w:t>
      </w:r>
      <w:r w:rsidR="00D2107D">
        <w:rPr>
          <w:rFonts w:ascii="Times New Roman" w:hAnsi="Times New Roman"/>
          <w:sz w:val="26"/>
          <w:szCs w:val="26"/>
        </w:rPr>
        <w:t>Exc. at 4.</w:t>
      </w:r>
    </w:p>
  </w:footnote>
  <w:footnote w:id="6">
    <w:p w:rsidR="00BF0A10" w:rsidRPr="004B577F" w:rsidRDefault="00BF0A10">
      <w:pPr>
        <w:pStyle w:val="FootnoteText"/>
        <w:rPr>
          <w:rFonts w:ascii="Times New Roman" w:hAnsi="Times New Roman"/>
        </w:rPr>
      </w:pPr>
      <w:r>
        <w:tab/>
      </w:r>
      <w:r w:rsidRPr="004B577F">
        <w:rPr>
          <w:rStyle w:val="FootnoteReference"/>
          <w:rFonts w:ascii="Times New Roman" w:hAnsi="Times New Roman"/>
        </w:rPr>
        <w:footnoteRef/>
      </w:r>
      <w:r w:rsidRPr="004B577F">
        <w:rPr>
          <w:rFonts w:ascii="Times New Roman" w:hAnsi="Times New Roman"/>
        </w:rPr>
        <w:t xml:space="preserve"> </w:t>
      </w:r>
      <w:r w:rsidRPr="004B577F">
        <w:rPr>
          <w:rFonts w:ascii="Times New Roman" w:hAnsi="Times New Roman"/>
        </w:rPr>
        <w:tab/>
      </w:r>
      <w:r w:rsidRPr="004B577F">
        <w:rPr>
          <w:rFonts w:ascii="Times New Roman" w:eastAsia="MS Mincho" w:hAnsi="Times New Roman"/>
          <w:bCs/>
          <w:sz w:val="26"/>
        </w:rPr>
        <w:t xml:space="preserve">PPL’s witness indicated during the hearing that the past due balance of $5,136.74 was the outstanding balance as of November 7, 2014.  </w:t>
      </w:r>
      <w:proofErr w:type="gramStart"/>
      <w:r w:rsidR="00D57411">
        <w:rPr>
          <w:rFonts w:ascii="Times New Roman" w:eastAsia="MS Mincho" w:hAnsi="Times New Roman"/>
          <w:bCs/>
          <w:sz w:val="26"/>
        </w:rPr>
        <w:t xml:space="preserve">Tr. at 18; PPL </w:t>
      </w:r>
      <w:proofErr w:type="spellStart"/>
      <w:r w:rsidR="00D57411">
        <w:rPr>
          <w:rFonts w:ascii="Times New Roman" w:eastAsia="MS Mincho" w:hAnsi="Times New Roman"/>
          <w:bCs/>
          <w:sz w:val="26"/>
        </w:rPr>
        <w:t>Exh</w:t>
      </w:r>
      <w:proofErr w:type="spellEnd"/>
      <w:r w:rsidR="00D57411">
        <w:rPr>
          <w:rFonts w:ascii="Times New Roman" w:eastAsia="MS Mincho" w:hAnsi="Times New Roman"/>
          <w:bCs/>
          <w:sz w:val="26"/>
        </w:rPr>
        <w:t>.</w:t>
      </w:r>
      <w:proofErr w:type="gramEnd"/>
      <w:r w:rsidR="00D57411">
        <w:rPr>
          <w:rFonts w:ascii="Times New Roman" w:eastAsia="MS Mincho" w:hAnsi="Times New Roman"/>
          <w:bCs/>
          <w:sz w:val="26"/>
        </w:rPr>
        <w:t xml:space="preserve"> 1.</w:t>
      </w:r>
    </w:p>
  </w:footnote>
  <w:footnote w:id="7">
    <w:p w:rsidR="006305E8" w:rsidRPr="00C42163" w:rsidRDefault="006305E8" w:rsidP="006305E8">
      <w:pPr>
        <w:pStyle w:val="FootnoteText"/>
        <w:rPr>
          <w:rFonts w:ascii="Times New Roman" w:hAnsi="Times New Roman"/>
          <w:sz w:val="26"/>
          <w:szCs w:val="26"/>
        </w:rPr>
      </w:pPr>
      <w:r>
        <w:tab/>
      </w:r>
      <w:r w:rsidRPr="00C42163">
        <w:rPr>
          <w:rStyle w:val="FootnoteReference"/>
          <w:rFonts w:ascii="Times New Roman" w:hAnsi="Times New Roman"/>
        </w:rPr>
        <w:footnoteRef/>
      </w:r>
      <w:r w:rsidRPr="00C42163">
        <w:rPr>
          <w:rFonts w:ascii="Times New Roman" w:hAnsi="Times New Roman"/>
          <w:sz w:val="26"/>
          <w:szCs w:val="26"/>
        </w:rPr>
        <w:t xml:space="preserve"> </w:t>
      </w:r>
      <w:r w:rsidRPr="00C42163">
        <w:rPr>
          <w:rFonts w:ascii="Times New Roman" w:hAnsi="Times New Roman"/>
          <w:sz w:val="26"/>
          <w:szCs w:val="26"/>
        </w:rPr>
        <w:tab/>
      </w:r>
      <w:proofErr w:type="gramStart"/>
      <w:r>
        <w:rPr>
          <w:rFonts w:ascii="Times New Roman" w:hAnsi="Times New Roman"/>
          <w:sz w:val="26"/>
          <w:szCs w:val="26"/>
        </w:rPr>
        <w:t xml:space="preserve">According to PPL </w:t>
      </w:r>
      <w:proofErr w:type="spellStart"/>
      <w:r>
        <w:rPr>
          <w:rFonts w:ascii="Times New Roman" w:hAnsi="Times New Roman"/>
          <w:sz w:val="26"/>
          <w:szCs w:val="26"/>
        </w:rPr>
        <w:t>Exh</w:t>
      </w:r>
      <w:proofErr w:type="spellEnd"/>
      <w:r>
        <w:rPr>
          <w:rFonts w:ascii="Times New Roman" w:hAnsi="Times New Roman"/>
          <w:sz w:val="26"/>
          <w:szCs w:val="26"/>
        </w:rPr>
        <w:t>.</w:t>
      </w:r>
      <w:proofErr w:type="gramEnd"/>
      <w:r>
        <w:rPr>
          <w:rFonts w:ascii="Times New Roman" w:hAnsi="Times New Roman"/>
          <w:sz w:val="26"/>
          <w:szCs w:val="26"/>
        </w:rPr>
        <w:t xml:space="preserve"> 1, </w:t>
      </w:r>
      <w:proofErr w:type="gramStart"/>
      <w:r>
        <w:rPr>
          <w:rFonts w:ascii="Times New Roman" w:hAnsi="Times New Roman"/>
          <w:sz w:val="26"/>
          <w:szCs w:val="26"/>
        </w:rPr>
        <w:t xml:space="preserve">the </w:t>
      </w:r>
      <w:r w:rsidRPr="00C42163">
        <w:rPr>
          <w:rFonts w:ascii="Times New Roman" w:hAnsi="Times New Roman"/>
          <w:sz w:val="26"/>
          <w:szCs w:val="26"/>
        </w:rPr>
        <w:t xml:space="preserve"> Complainant</w:t>
      </w:r>
      <w:proofErr w:type="gramEnd"/>
      <w:r w:rsidRPr="00C42163">
        <w:rPr>
          <w:rFonts w:ascii="Times New Roman" w:hAnsi="Times New Roman"/>
          <w:sz w:val="26"/>
          <w:szCs w:val="26"/>
        </w:rPr>
        <w:t xml:space="preserve"> made a payment of $90.37 on September 17, 2014, and another payment of $91.61 on October 29, 2014.</w:t>
      </w:r>
      <w:r>
        <w:rPr>
          <w:rFonts w:ascii="Times New Roman" w:hAnsi="Times New Roman"/>
          <w:sz w:val="26"/>
          <w:szCs w:val="26"/>
        </w:rPr>
        <w:t xml:space="preserve"> </w:t>
      </w:r>
    </w:p>
  </w:footnote>
  <w:footnote w:id="8">
    <w:p w:rsidR="00B36AE2" w:rsidRPr="006B2A37" w:rsidRDefault="00B36AE2" w:rsidP="00B36AE2">
      <w:pPr>
        <w:keepNext/>
        <w:keepLines/>
        <w:rPr>
          <w:sz w:val="26"/>
          <w:szCs w:val="26"/>
        </w:rPr>
      </w:pPr>
      <w:r>
        <w:tab/>
      </w:r>
      <w:r>
        <w:rPr>
          <w:rStyle w:val="FootnoteReference"/>
        </w:rPr>
        <w:footnoteRef/>
      </w:r>
      <w:r>
        <w:tab/>
      </w:r>
      <w:r>
        <w:rPr>
          <w:bCs/>
          <w:sz w:val="26"/>
          <w:szCs w:val="26"/>
        </w:rPr>
        <w:t>“</w:t>
      </w:r>
      <w:r w:rsidRPr="006B2A37">
        <w:rPr>
          <w:bCs/>
          <w:sz w:val="26"/>
          <w:szCs w:val="26"/>
        </w:rPr>
        <w:t>Exte</w:t>
      </w:r>
      <w:r>
        <w:rPr>
          <w:bCs/>
          <w:sz w:val="26"/>
          <w:szCs w:val="26"/>
        </w:rPr>
        <w:t xml:space="preserve">nsion of payment arrangements.” - </w:t>
      </w:r>
      <w:r w:rsidRPr="006B2A37">
        <w:rPr>
          <w:sz w:val="26"/>
          <w:szCs w:val="26"/>
        </w:rPr>
        <w:t>If the customer defaults on a payment arrangement established under subsections (a) and (b) as a result of a significant change in circumstance, the commission may reinstate the payment arrangement and extend the remaining term for an initial period of six months. The initial extension period may be extended for an additional six months for good cause shown.</w:t>
      </w:r>
      <w:r>
        <w:rPr>
          <w:sz w:val="26"/>
          <w:szCs w:val="26"/>
        </w:rPr>
        <w:t xml:space="preserve">  </w:t>
      </w:r>
      <w:r w:rsidRPr="0086100F">
        <w:rPr>
          <w:sz w:val="26"/>
          <w:szCs w:val="26"/>
        </w:rPr>
        <w:t>66 Pa.</w:t>
      </w:r>
      <w:r>
        <w:rPr>
          <w:sz w:val="26"/>
          <w:szCs w:val="26"/>
        </w:rPr>
        <w:t xml:space="preserve"> </w:t>
      </w:r>
      <w:r w:rsidRPr="0086100F">
        <w:rPr>
          <w:sz w:val="26"/>
          <w:szCs w:val="26"/>
        </w:rPr>
        <w:t>C.S. §</w:t>
      </w:r>
      <w:r>
        <w:rPr>
          <w:sz w:val="26"/>
          <w:szCs w:val="26"/>
        </w:rPr>
        <w:t> </w:t>
      </w:r>
      <w:r w:rsidRPr="00AC03E5">
        <w:rPr>
          <w:sz w:val="26"/>
          <w:szCs w:val="26"/>
        </w:rPr>
        <w:t>1405(e)</w:t>
      </w:r>
      <w:r>
        <w:rPr>
          <w:sz w:val="26"/>
          <w:szCs w:val="26"/>
        </w:rPr>
        <w:t>.</w:t>
      </w:r>
    </w:p>
    <w:p w:rsidR="00B36AE2" w:rsidRDefault="00B36AE2" w:rsidP="00B36AE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7A7683"/>
    <w:multiLevelType w:val="hybridMultilevel"/>
    <w:tmpl w:val="B642B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1C6E0F"/>
    <w:multiLevelType w:val="hybridMultilevel"/>
    <w:tmpl w:val="245C4318"/>
    <w:lvl w:ilvl="0" w:tplc="0394B868">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nsid w:val="1D6D057E"/>
    <w:multiLevelType w:val="hybridMultilevel"/>
    <w:tmpl w:val="54FEFAF0"/>
    <w:lvl w:ilvl="0" w:tplc="29EED7A4">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nsid w:val="3DA111D2"/>
    <w:multiLevelType w:val="hybridMultilevel"/>
    <w:tmpl w:val="B1E89F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C7B422E"/>
    <w:multiLevelType w:val="hybridMultilevel"/>
    <w:tmpl w:val="A56253B8"/>
    <w:lvl w:ilvl="0" w:tplc="D85604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EE87313"/>
    <w:multiLevelType w:val="hybridMultilevel"/>
    <w:tmpl w:val="F4C0084C"/>
    <w:lvl w:ilvl="0" w:tplc="EB1C1C7A">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
    <w:nsid w:val="53CF6DBE"/>
    <w:multiLevelType w:val="hybridMultilevel"/>
    <w:tmpl w:val="49DA9388"/>
    <w:lvl w:ilvl="0" w:tplc="39DC250C">
      <w:start w:val="1"/>
      <w:numFmt w:val="lowerLetter"/>
      <w:lvlText w:val="(%1)"/>
      <w:lvlJc w:val="left"/>
      <w:pPr>
        <w:ind w:left="189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58E50A01"/>
    <w:multiLevelType w:val="hybridMultilevel"/>
    <w:tmpl w:val="9A04FA4C"/>
    <w:lvl w:ilvl="0" w:tplc="8A00A41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nsid w:val="6B48661A"/>
    <w:multiLevelType w:val="hybridMultilevel"/>
    <w:tmpl w:val="6E4A8F2C"/>
    <w:lvl w:ilvl="0" w:tplc="03C6312A">
      <w:start w:val="1"/>
      <w:numFmt w:val="decimal"/>
      <w:lvlText w:val="(%1)"/>
      <w:lvlJc w:val="left"/>
      <w:pPr>
        <w:ind w:left="2520" w:hanging="360"/>
      </w:pPr>
      <w:rPr>
        <w:b/>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2">
    <w:nsid w:val="76527460"/>
    <w:multiLevelType w:val="hybridMultilevel"/>
    <w:tmpl w:val="A3BCE5F4"/>
    <w:lvl w:ilvl="0" w:tplc="497A40A6">
      <w:start w:val="9"/>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7A3E65D0"/>
    <w:multiLevelType w:val="hybridMultilevel"/>
    <w:tmpl w:val="460CAE1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9"/>
  </w:num>
  <w:num w:numId="2">
    <w:abstractNumId w:val="0"/>
  </w:num>
  <w:num w:numId="3">
    <w:abstractNumId w:val="10"/>
  </w:num>
  <w:num w:numId="4">
    <w:abstractNumId w:val="1"/>
  </w:num>
  <w:num w:numId="5">
    <w:abstractNumId w:val="8"/>
  </w:num>
  <w:num w:numId="6">
    <w:abstractNumId w:val="12"/>
  </w:num>
  <w:num w:numId="7">
    <w:abstractNumId w:val="13"/>
  </w:num>
  <w:num w:numId="8">
    <w:abstractNumId w:val="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F2A"/>
    <w:rsid w:val="000063E9"/>
    <w:rsid w:val="00007106"/>
    <w:rsid w:val="000074DC"/>
    <w:rsid w:val="00010322"/>
    <w:rsid w:val="0001099D"/>
    <w:rsid w:val="00011509"/>
    <w:rsid w:val="000129EC"/>
    <w:rsid w:val="00012F29"/>
    <w:rsid w:val="00013B94"/>
    <w:rsid w:val="0001411C"/>
    <w:rsid w:val="000148F5"/>
    <w:rsid w:val="00015969"/>
    <w:rsid w:val="00015A01"/>
    <w:rsid w:val="00016CE0"/>
    <w:rsid w:val="00017033"/>
    <w:rsid w:val="00017C56"/>
    <w:rsid w:val="00020C87"/>
    <w:rsid w:val="00020E43"/>
    <w:rsid w:val="00020F8F"/>
    <w:rsid w:val="00021EDC"/>
    <w:rsid w:val="000234F5"/>
    <w:rsid w:val="00024987"/>
    <w:rsid w:val="00024DD1"/>
    <w:rsid w:val="00025686"/>
    <w:rsid w:val="0002585B"/>
    <w:rsid w:val="00025B28"/>
    <w:rsid w:val="000261D5"/>
    <w:rsid w:val="00026AAB"/>
    <w:rsid w:val="00026E4B"/>
    <w:rsid w:val="00027171"/>
    <w:rsid w:val="0002723A"/>
    <w:rsid w:val="0002744F"/>
    <w:rsid w:val="00027EE5"/>
    <w:rsid w:val="00030F9E"/>
    <w:rsid w:val="000310BE"/>
    <w:rsid w:val="00031E93"/>
    <w:rsid w:val="00033C2F"/>
    <w:rsid w:val="00033CB2"/>
    <w:rsid w:val="00033F89"/>
    <w:rsid w:val="000341DD"/>
    <w:rsid w:val="00035546"/>
    <w:rsid w:val="000378DC"/>
    <w:rsid w:val="00040C89"/>
    <w:rsid w:val="00040EC3"/>
    <w:rsid w:val="00040EED"/>
    <w:rsid w:val="00040F4B"/>
    <w:rsid w:val="00041EB9"/>
    <w:rsid w:val="00043B8B"/>
    <w:rsid w:val="0004431A"/>
    <w:rsid w:val="00044438"/>
    <w:rsid w:val="00045819"/>
    <w:rsid w:val="000465AD"/>
    <w:rsid w:val="000510D0"/>
    <w:rsid w:val="000510FD"/>
    <w:rsid w:val="0005122E"/>
    <w:rsid w:val="00052FA9"/>
    <w:rsid w:val="000539B0"/>
    <w:rsid w:val="00053CED"/>
    <w:rsid w:val="00054407"/>
    <w:rsid w:val="00054F7A"/>
    <w:rsid w:val="000553DF"/>
    <w:rsid w:val="00056753"/>
    <w:rsid w:val="00057057"/>
    <w:rsid w:val="000610F9"/>
    <w:rsid w:val="00061284"/>
    <w:rsid w:val="00061850"/>
    <w:rsid w:val="000629CD"/>
    <w:rsid w:val="000634BD"/>
    <w:rsid w:val="0006405C"/>
    <w:rsid w:val="00065B60"/>
    <w:rsid w:val="00065DB6"/>
    <w:rsid w:val="000661C8"/>
    <w:rsid w:val="000673D1"/>
    <w:rsid w:val="000673F1"/>
    <w:rsid w:val="000700D1"/>
    <w:rsid w:val="00070FF8"/>
    <w:rsid w:val="00070FFD"/>
    <w:rsid w:val="000711D9"/>
    <w:rsid w:val="00071762"/>
    <w:rsid w:val="00072883"/>
    <w:rsid w:val="00073C25"/>
    <w:rsid w:val="00075161"/>
    <w:rsid w:val="00075677"/>
    <w:rsid w:val="0007596A"/>
    <w:rsid w:val="000777D8"/>
    <w:rsid w:val="00080C6A"/>
    <w:rsid w:val="00081697"/>
    <w:rsid w:val="00081E74"/>
    <w:rsid w:val="0008229F"/>
    <w:rsid w:val="00083151"/>
    <w:rsid w:val="0008328F"/>
    <w:rsid w:val="000842FA"/>
    <w:rsid w:val="0008445E"/>
    <w:rsid w:val="00084724"/>
    <w:rsid w:val="0008576C"/>
    <w:rsid w:val="00085D06"/>
    <w:rsid w:val="00085FFB"/>
    <w:rsid w:val="00086411"/>
    <w:rsid w:val="00086D0B"/>
    <w:rsid w:val="0008768F"/>
    <w:rsid w:val="000878DA"/>
    <w:rsid w:val="00087C06"/>
    <w:rsid w:val="00087D18"/>
    <w:rsid w:val="00092384"/>
    <w:rsid w:val="00092ABD"/>
    <w:rsid w:val="00093C1B"/>
    <w:rsid w:val="00093F6C"/>
    <w:rsid w:val="000943A4"/>
    <w:rsid w:val="00094C32"/>
    <w:rsid w:val="00094D6F"/>
    <w:rsid w:val="00096187"/>
    <w:rsid w:val="000966DC"/>
    <w:rsid w:val="0009781B"/>
    <w:rsid w:val="000A1508"/>
    <w:rsid w:val="000A1EAA"/>
    <w:rsid w:val="000A2F11"/>
    <w:rsid w:val="000A35F4"/>
    <w:rsid w:val="000A39DC"/>
    <w:rsid w:val="000A43E6"/>
    <w:rsid w:val="000A6228"/>
    <w:rsid w:val="000A6EB3"/>
    <w:rsid w:val="000A72FB"/>
    <w:rsid w:val="000A770A"/>
    <w:rsid w:val="000A7E5E"/>
    <w:rsid w:val="000A7F96"/>
    <w:rsid w:val="000B0240"/>
    <w:rsid w:val="000B1E89"/>
    <w:rsid w:val="000B2B80"/>
    <w:rsid w:val="000B2D3F"/>
    <w:rsid w:val="000B3310"/>
    <w:rsid w:val="000B3FB4"/>
    <w:rsid w:val="000B416C"/>
    <w:rsid w:val="000B4F29"/>
    <w:rsid w:val="000B5487"/>
    <w:rsid w:val="000B5DF8"/>
    <w:rsid w:val="000B71E3"/>
    <w:rsid w:val="000B77E2"/>
    <w:rsid w:val="000C2166"/>
    <w:rsid w:val="000C4280"/>
    <w:rsid w:val="000C4BFD"/>
    <w:rsid w:val="000C7272"/>
    <w:rsid w:val="000C742F"/>
    <w:rsid w:val="000C75AE"/>
    <w:rsid w:val="000D0389"/>
    <w:rsid w:val="000D0D75"/>
    <w:rsid w:val="000D1FF6"/>
    <w:rsid w:val="000D2029"/>
    <w:rsid w:val="000D3357"/>
    <w:rsid w:val="000D53A6"/>
    <w:rsid w:val="000D6076"/>
    <w:rsid w:val="000D62F9"/>
    <w:rsid w:val="000D6C35"/>
    <w:rsid w:val="000D7C87"/>
    <w:rsid w:val="000E0050"/>
    <w:rsid w:val="000E0311"/>
    <w:rsid w:val="000E09BE"/>
    <w:rsid w:val="000E24DE"/>
    <w:rsid w:val="000E3472"/>
    <w:rsid w:val="000E3E49"/>
    <w:rsid w:val="000E3FDA"/>
    <w:rsid w:val="000E492B"/>
    <w:rsid w:val="000E4BED"/>
    <w:rsid w:val="000E5D08"/>
    <w:rsid w:val="000E6A3C"/>
    <w:rsid w:val="000E7110"/>
    <w:rsid w:val="000F020C"/>
    <w:rsid w:val="000F076F"/>
    <w:rsid w:val="000F11C3"/>
    <w:rsid w:val="000F2540"/>
    <w:rsid w:val="000F292B"/>
    <w:rsid w:val="000F34DC"/>
    <w:rsid w:val="000F34FC"/>
    <w:rsid w:val="000F4144"/>
    <w:rsid w:val="000F4618"/>
    <w:rsid w:val="000F5F36"/>
    <w:rsid w:val="000F6D5A"/>
    <w:rsid w:val="000F6D8B"/>
    <w:rsid w:val="000F7054"/>
    <w:rsid w:val="000F782B"/>
    <w:rsid w:val="000F7F8F"/>
    <w:rsid w:val="0010013C"/>
    <w:rsid w:val="001006F0"/>
    <w:rsid w:val="00100B90"/>
    <w:rsid w:val="00100BF3"/>
    <w:rsid w:val="0010139A"/>
    <w:rsid w:val="00101745"/>
    <w:rsid w:val="00102459"/>
    <w:rsid w:val="001026AA"/>
    <w:rsid w:val="00102EBA"/>
    <w:rsid w:val="00103A52"/>
    <w:rsid w:val="001048B3"/>
    <w:rsid w:val="00105084"/>
    <w:rsid w:val="00105104"/>
    <w:rsid w:val="00105193"/>
    <w:rsid w:val="00106537"/>
    <w:rsid w:val="00111209"/>
    <w:rsid w:val="001112D8"/>
    <w:rsid w:val="001116AF"/>
    <w:rsid w:val="0011244B"/>
    <w:rsid w:val="00112DC4"/>
    <w:rsid w:val="00112FB6"/>
    <w:rsid w:val="001133C8"/>
    <w:rsid w:val="00113400"/>
    <w:rsid w:val="00114D80"/>
    <w:rsid w:val="00115C74"/>
    <w:rsid w:val="00115FD9"/>
    <w:rsid w:val="0011607C"/>
    <w:rsid w:val="00116357"/>
    <w:rsid w:val="001169CD"/>
    <w:rsid w:val="00116ABC"/>
    <w:rsid w:val="00116D79"/>
    <w:rsid w:val="00116F14"/>
    <w:rsid w:val="0011759D"/>
    <w:rsid w:val="00120C2F"/>
    <w:rsid w:val="0012144B"/>
    <w:rsid w:val="00121DEA"/>
    <w:rsid w:val="00122A70"/>
    <w:rsid w:val="00122AF9"/>
    <w:rsid w:val="00123068"/>
    <w:rsid w:val="00123A30"/>
    <w:rsid w:val="00124A50"/>
    <w:rsid w:val="00124C60"/>
    <w:rsid w:val="0012581D"/>
    <w:rsid w:val="00126152"/>
    <w:rsid w:val="00126597"/>
    <w:rsid w:val="00126866"/>
    <w:rsid w:val="0012697D"/>
    <w:rsid w:val="00126D3B"/>
    <w:rsid w:val="00127371"/>
    <w:rsid w:val="00127623"/>
    <w:rsid w:val="00127C7C"/>
    <w:rsid w:val="00130D74"/>
    <w:rsid w:val="00130D7E"/>
    <w:rsid w:val="00131B43"/>
    <w:rsid w:val="00132429"/>
    <w:rsid w:val="00133878"/>
    <w:rsid w:val="00133A54"/>
    <w:rsid w:val="001349A1"/>
    <w:rsid w:val="0013590B"/>
    <w:rsid w:val="00136287"/>
    <w:rsid w:val="00136462"/>
    <w:rsid w:val="00137992"/>
    <w:rsid w:val="00137A60"/>
    <w:rsid w:val="001401EC"/>
    <w:rsid w:val="00141882"/>
    <w:rsid w:val="00141DF0"/>
    <w:rsid w:val="0014205C"/>
    <w:rsid w:val="0014255C"/>
    <w:rsid w:val="0014296F"/>
    <w:rsid w:val="00143F43"/>
    <w:rsid w:val="00144166"/>
    <w:rsid w:val="00144E09"/>
    <w:rsid w:val="00145315"/>
    <w:rsid w:val="00145413"/>
    <w:rsid w:val="00145D64"/>
    <w:rsid w:val="00145EDC"/>
    <w:rsid w:val="00146488"/>
    <w:rsid w:val="00146B77"/>
    <w:rsid w:val="001472DF"/>
    <w:rsid w:val="00147415"/>
    <w:rsid w:val="00150989"/>
    <w:rsid w:val="001509E0"/>
    <w:rsid w:val="001523E9"/>
    <w:rsid w:val="00154498"/>
    <w:rsid w:val="001544EA"/>
    <w:rsid w:val="00155D76"/>
    <w:rsid w:val="0015662E"/>
    <w:rsid w:val="00156C5B"/>
    <w:rsid w:val="001572C5"/>
    <w:rsid w:val="00157401"/>
    <w:rsid w:val="00157B94"/>
    <w:rsid w:val="0016005F"/>
    <w:rsid w:val="001606BC"/>
    <w:rsid w:val="00160AD0"/>
    <w:rsid w:val="00161FFE"/>
    <w:rsid w:val="00163AA3"/>
    <w:rsid w:val="0016441E"/>
    <w:rsid w:val="00164715"/>
    <w:rsid w:val="00164C98"/>
    <w:rsid w:val="001679F1"/>
    <w:rsid w:val="001701B3"/>
    <w:rsid w:val="001704F7"/>
    <w:rsid w:val="00172F37"/>
    <w:rsid w:val="001732C2"/>
    <w:rsid w:val="001744BC"/>
    <w:rsid w:val="001761EE"/>
    <w:rsid w:val="001768EE"/>
    <w:rsid w:val="00177831"/>
    <w:rsid w:val="00177A43"/>
    <w:rsid w:val="00177B16"/>
    <w:rsid w:val="001806BD"/>
    <w:rsid w:val="001811B8"/>
    <w:rsid w:val="00181BC1"/>
    <w:rsid w:val="001827DB"/>
    <w:rsid w:val="00182CD1"/>
    <w:rsid w:val="00183D96"/>
    <w:rsid w:val="001854C4"/>
    <w:rsid w:val="001857CB"/>
    <w:rsid w:val="00185B5E"/>
    <w:rsid w:val="00185FF1"/>
    <w:rsid w:val="00186023"/>
    <w:rsid w:val="001866A4"/>
    <w:rsid w:val="00186887"/>
    <w:rsid w:val="001876CF"/>
    <w:rsid w:val="0019214E"/>
    <w:rsid w:val="0019318F"/>
    <w:rsid w:val="00193EF0"/>
    <w:rsid w:val="0019421F"/>
    <w:rsid w:val="00194B04"/>
    <w:rsid w:val="001957F1"/>
    <w:rsid w:val="00195E5E"/>
    <w:rsid w:val="0019654E"/>
    <w:rsid w:val="001970B1"/>
    <w:rsid w:val="00197920"/>
    <w:rsid w:val="00197C2F"/>
    <w:rsid w:val="00197F3D"/>
    <w:rsid w:val="001A0516"/>
    <w:rsid w:val="001A180F"/>
    <w:rsid w:val="001A1AD3"/>
    <w:rsid w:val="001A2D00"/>
    <w:rsid w:val="001A2D77"/>
    <w:rsid w:val="001A32A9"/>
    <w:rsid w:val="001A3AF2"/>
    <w:rsid w:val="001A3E89"/>
    <w:rsid w:val="001A413A"/>
    <w:rsid w:val="001A4A0C"/>
    <w:rsid w:val="001A4C6C"/>
    <w:rsid w:val="001A5756"/>
    <w:rsid w:val="001A6FD4"/>
    <w:rsid w:val="001A75AA"/>
    <w:rsid w:val="001A7668"/>
    <w:rsid w:val="001B2829"/>
    <w:rsid w:val="001B3D40"/>
    <w:rsid w:val="001B423C"/>
    <w:rsid w:val="001B5CD3"/>
    <w:rsid w:val="001B5EAB"/>
    <w:rsid w:val="001B61D7"/>
    <w:rsid w:val="001B7A05"/>
    <w:rsid w:val="001C01F2"/>
    <w:rsid w:val="001C07F9"/>
    <w:rsid w:val="001C396E"/>
    <w:rsid w:val="001C3CE8"/>
    <w:rsid w:val="001C42FD"/>
    <w:rsid w:val="001C4B37"/>
    <w:rsid w:val="001C529E"/>
    <w:rsid w:val="001C53B1"/>
    <w:rsid w:val="001C5BE3"/>
    <w:rsid w:val="001C71DB"/>
    <w:rsid w:val="001C7635"/>
    <w:rsid w:val="001C7E91"/>
    <w:rsid w:val="001C7F88"/>
    <w:rsid w:val="001D01F1"/>
    <w:rsid w:val="001D02A2"/>
    <w:rsid w:val="001D0E29"/>
    <w:rsid w:val="001D1E1A"/>
    <w:rsid w:val="001D2A49"/>
    <w:rsid w:val="001D2BAD"/>
    <w:rsid w:val="001D4162"/>
    <w:rsid w:val="001D491F"/>
    <w:rsid w:val="001D4BFA"/>
    <w:rsid w:val="001D663B"/>
    <w:rsid w:val="001D70A6"/>
    <w:rsid w:val="001D7137"/>
    <w:rsid w:val="001D7203"/>
    <w:rsid w:val="001D7FFE"/>
    <w:rsid w:val="001E05C6"/>
    <w:rsid w:val="001E072C"/>
    <w:rsid w:val="001E074A"/>
    <w:rsid w:val="001E0B29"/>
    <w:rsid w:val="001E19BC"/>
    <w:rsid w:val="001E1A53"/>
    <w:rsid w:val="001E22FA"/>
    <w:rsid w:val="001E2CFB"/>
    <w:rsid w:val="001E2F58"/>
    <w:rsid w:val="001E3574"/>
    <w:rsid w:val="001E37A8"/>
    <w:rsid w:val="001E37CE"/>
    <w:rsid w:val="001E4225"/>
    <w:rsid w:val="001E4A9E"/>
    <w:rsid w:val="001E5B8E"/>
    <w:rsid w:val="001E7E70"/>
    <w:rsid w:val="001F0488"/>
    <w:rsid w:val="001F13B6"/>
    <w:rsid w:val="001F1437"/>
    <w:rsid w:val="001F3528"/>
    <w:rsid w:val="001F4358"/>
    <w:rsid w:val="001F55D5"/>
    <w:rsid w:val="001F5F40"/>
    <w:rsid w:val="001F6C5B"/>
    <w:rsid w:val="001F6F0D"/>
    <w:rsid w:val="001F75D6"/>
    <w:rsid w:val="001F79C6"/>
    <w:rsid w:val="001F7B55"/>
    <w:rsid w:val="001F7FA4"/>
    <w:rsid w:val="00201A1D"/>
    <w:rsid w:val="00203F27"/>
    <w:rsid w:val="00204672"/>
    <w:rsid w:val="00205195"/>
    <w:rsid w:val="00205242"/>
    <w:rsid w:val="00205B95"/>
    <w:rsid w:val="002060E6"/>
    <w:rsid w:val="00206751"/>
    <w:rsid w:val="00206D03"/>
    <w:rsid w:val="0020709D"/>
    <w:rsid w:val="00207453"/>
    <w:rsid w:val="0020784E"/>
    <w:rsid w:val="00210868"/>
    <w:rsid w:val="00212E4B"/>
    <w:rsid w:val="00213B95"/>
    <w:rsid w:val="0021457F"/>
    <w:rsid w:val="00214C25"/>
    <w:rsid w:val="0021622A"/>
    <w:rsid w:val="002168CD"/>
    <w:rsid w:val="002170BF"/>
    <w:rsid w:val="002177F7"/>
    <w:rsid w:val="00217851"/>
    <w:rsid w:val="00217C4E"/>
    <w:rsid w:val="0022047F"/>
    <w:rsid w:val="00223064"/>
    <w:rsid w:val="00223564"/>
    <w:rsid w:val="002242F7"/>
    <w:rsid w:val="0022576A"/>
    <w:rsid w:val="00225BD2"/>
    <w:rsid w:val="002266C4"/>
    <w:rsid w:val="00226C12"/>
    <w:rsid w:val="00227652"/>
    <w:rsid w:val="00230263"/>
    <w:rsid w:val="00230396"/>
    <w:rsid w:val="0023097E"/>
    <w:rsid w:val="00230BAB"/>
    <w:rsid w:val="00232A03"/>
    <w:rsid w:val="0023535F"/>
    <w:rsid w:val="00237C9E"/>
    <w:rsid w:val="00237CE3"/>
    <w:rsid w:val="0024102C"/>
    <w:rsid w:val="00241A31"/>
    <w:rsid w:val="0024349F"/>
    <w:rsid w:val="0024373B"/>
    <w:rsid w:val="002439C0"/>
    <w:rsid w:val="00243CC9"/>
    <w:rsid w:val="00243D31"/>
    <w:rsid w:val="002450F3"/>
    <w:rsid w:val="002455F1"/>
    <w:rsid w:val="00245B0C"/>
    <w:rsid w:val="00246489"/>
    <w:rsid w:val="002464E4"/>
    <w:rsid w:val="002469C9"/>
    <w:rsid w:val="00247332"/>
    <w:rsid w:val="0025088B"/>
    <w:rsid w:val="00250E63"/>
    <w:rsid w:val="00252313"/>
    <w:rsid w:val="00252626"/>
    <w:rsid w:val="002530C1"/>
    <w:rsid w:val="00253870"/>
    <w:rsid w:val="00253CC7"/>
    <w:rsid w:val="00254560"/>
    <w:rsid w:val="00255141"/>
    <w:rsid w:val="00255498"/>
    <w:rsid w:val="002556E9"/>
    <w:rsid w:val="002564D7"/>
    <w:rsid w:val="00256A4C"/>
    <w:rsid w:val="0025718D"/>
    <w:rsid w:val="00257B09"/>
    <w:rsid w:val="00260D40"/>
    <w:rsid w:val="0026312F"/>
    <w:rsid w:val="00263595"/>
    <w:rsid w:val="00263C88"/>
    <w:rsid w:val="00264ABB"/>
    <w:rsid w:val="00264F3D"/>
    <w:rsid w:val="002652DF"/>
    <w:rsid w:val="00265BD8"/>
    <w:rsid w:val="00270186"/>
    <w:rsid w:val="002706E9"/>
    <w:rsid w:val="00271322"/>
    <w:rsid w:val="002718BE"/>
    <w:rsid w:val="00271E54"/>
    <w:rsid w:val="002723CB"/>
    <w:rsid w:val="00273450"/>
    <w:rsid w:val="00273C56"/>
    <w:rsid w:val="0027458E"/>
    <w:rsid w:val="00274EC0"/>
    <w:rsid w:val="00275261"/>
    <w:rsid w:val="00275CCC"/>
    <w:rsid w:val="00280417"/>
    <w:rsid w:val="00280D23"/>
    <w:rsid w:val="0028196B"/>
    <w:rsid w:val="00282019"/>
    <w:rsid w:val="00283433"/>
    <w:rsid w:val="00283435"/>
    <w:rsid w:val="002838E3"/>
    <w:rsid w:val="00284C5F"/>
    <w:rsid w:val="00284D08"/>
    <w:rsid w:val="002851CE"/>
    <w:rsid w:val="002854BF"/>
    <w:rsid w:val="00285856"/>
    <w:rsid w:val="0028725D"/>
    <w:rsid w:val="0028738B"/>
    <w:rsid w:val="00287BE6"/>
    <w:rsid w:val="00291657"/>
    <w:rsid w:val="002919FB"/>
    <w:rsid w:val="0029325A"/>
    <w:rsid w:val="002932BD"/>
    <w:rsid w:val="0029408F"/>
    <w:rsid w:val="00296493"/>
    <w:rsid w:val="00297040"/>
    <w:rsid w:val="002A0E82"/>
    <w:rsid w:val="002A3A6E"/>
    <w:rsid w:val="002A3AC8"/>
    <w:rsid w:val="002A45EC"/>
    <w:rsid w:val="002A5399"/>
    <w:rsid w:val="002A5990"/>
    <w:rsid w:val="002A6FB4"/>
    <w:rsid w:val="002A740E"/>
    <w:rsid w:val="002A782B"/>
    <w:rsid w:val="002B0089"/>
    <w:rsid w:val="002B0563"/>
    <w:rsid w:val="002B0932"/>
    <w:rsid w:val="002B24DB"/>
    <w:rsid w:val="002B31AD"/>
    <w:rsid w:val="002B3538"/>
    <w:rsid w:val="002B36A1"/>
    <w:rsid w:val="002B3767"/>
    <w:rsid w:val="002B4282"/>
    <w:rsid w:val="002B4B0D"/>
    <w:rsid w:val="002B532F"/>
    <w:rsid w:val="002B5723"/>
    <w:rsid w:val="002B64F8"/>
    <w:rsid w:val="002C011D"/>
    <w:rsid w:val="002C12A1"/>
    <w:rsid w:val="002C1F79"/>
    <w:rsid w:val="002C3007"/>
    <w:rsid w:val="002C4311"/>
    <w:rsid w:val="002C51A7"/>
    <w:rsid w:val="002C61A7"/>
    <w:rsid w:val="002D08E2"/>
    <w:rsid w:val="002D0BD9"/>
    <w:rsid w:val="002D33E8"/>
    <w:rsid w:val="002D5216"/>
    <w:rsid w:val="002D5C5B"/>
    <w:rsid w:val="002D650D"/>
    <w:rsid w:val="002E00A3"/>
    <w:rsid w:val="002E0503"/>
    <w:rsid w:val="002E0A80"/>
    <w:rsid w:val="002E2E34"/>
    <w:rsid w:val="002E393E"/>
    <w:rsid w:val="002E4908"/>
    <w:rsid w:val="002E5443"/>
    <w:rsid w:val="002E6F2D"/>
    <w:rsid w:val="002F0238"/>
    <w:rsid w:val="002F047A"/>
    <w:rsid w:val="002F28A9"/>
    <w:rsid w:val="002F30A4"/>
    <w:rsid w:val="002F39A8"/>
    <w:rsid w:val="002F3B92"/>
    <w:rsid w:val="002F4D5E"/>
    <w:rsid w:val="002F50FB"/>
    <w:rsid w:val="002F6563"/>
    <w:rsid w:val="00300C9D"/>
    <w:rsid w:val="0030168D"/>
    <w:rsid w:val="00301857"/>
    <w:rsid w:val="00301C5F"/>
    <w:rsid w:val="00301D75"/>
    <w:rsid w:val="00301FE4"/>
    <w:rsid w:val="00302272"/>
    <w:rsid w:val="0030248D"/>
    <w:rsid w:val="00302934"/>
    <w:rsid w:val="003034D6"/>
    <w:rsid w:val="00303915"/>
    <w:rsid w:val="00304ABF"/>
    <w:rsid w:val="00304F17"/>
    <w:rsid w:val="0030541E"/>
    <w:rsid w:val="003054A6"/>
    <w:rsid w:val="00305684"/>
    <w:rsid w:val="0030621E"/>
    <w:rsid w:val="00306411"/>
    <w:rsid w:val="003077A3"/>
    <w:rsid w:val="003100C8"/>
    <w:rsid w:val="003108D5"/>
    <w:rsid w:val="00310CE1"/>
    <w:rsid w:val="0031182C"/>
    <w:rsid w:val="0031247C"/>
    <w:rsid w:val="0031278E"/>
    <w:rsid w:val="00312F47"/>
    <w:rsid w:val="0031381F"/>
    <w:rsid w:val="00316B27"/>
    <w:rsid w:val="00316BFA"/>
    <w:rsid w:val="00317AF2"/>
    <w:rsid w:val="003212C9"/>
    <w:rsid w:val="00321B08"/>
    <w:rsid w:val="00322A65"/>
    <w:rsid w:val="0032388C"/>
    <w:rsid w:val="00324417"/>
    <w:rsid w:val="00324791"/>
    <w:rsid w:val="00324B2C"/>
    <w:rsid w:val="00324E5B"/>
    <w:rsid w:val="00325440"/>
    <w:rsid w:val="0032579A"/>
    <w:rsid w:val="0032615A"/>
    <w:rsid w:val="00326A17"/>
    <w:rsid w:val="00330392"/>
    <w:rsid w:val="00330E71"/>
    <w:rsid w:val="0033155D"/>
    <w:rsid w:val="00332B50"/>
    <w:rsid w:val="00333B3E"/>
    <w:rsid w:val="003354F7"/>
    <w:rsid w:val="00335836"/>
    <w:rsid w:val="00337836"/>
    <w:rsid w:val="00337C48"/>
    <w:rsid w:val="00337DFD"/>
    <w:rsid w:val="00337FA7"/>
    <w:rsid w:val="00340C4E"/>
    <w:rsid w:val="00342666"/>
    <w:rsid w:val="003440BD"/>
    <w:rsid w:val="00344581"/>
    <w:rsid w:val="0034473C"/>
    <w:rsid w:val="003449BF"/>
    <w:rsid w:val="003459E2"/>
    <w:rsid w:val="00345A9D"/>
    <w:rsid w:val="00346964"/>
    <w:rsid w:val="00346E3B"/>
    <w:rsid w:val="00347D12"/>
    <w:rsid w:val="00350442"/>
    <w:rsid w:val="00350B3E"/>
    <w:rsid w:val="0035148C"/>
    <w:rsid w:val="003522B8"/>
    <w:rsid w:val="00352BC7"/>
    <w:rsid w:val="00353BBC"/>
    <w:rsid w:val="00353F42"/>
    <w:rsid w:val="003544F5"/>
    <w:rsid w:val="00354589"/>
    <w:rsid w:val="0035474E"/>
    <w:rsid w:val="0035499F"/>
    <w:rsid w:val="00354EEE"/>
    <w:rsid w:val="003555F1"/>
    <w:rsid w:val="0035606D"/>
    <w:rsid w:val="003573EB"/>
    <w:rsid w:val="00357B6E"/>
    <w:rsid w:val="003610F1"/>
    <w:rsid w:val="003614F6"/>
    <w:rsid w:val="003623D6"/>
    <w:rsid w:val="003627B9"/>
    <w:rsid w:val="003629D2"/>
    <w:rsid w:val="00362AC9"/>
    <w:rsid w:val="00363F68"/>
    <w:rsid w:val="003644E6"/>
    <w:rsid w:val="0036603E"/>
    <w:rsid w:val="003669C8"/>
    <w:rsid w:val="00366C32"/>
    <w:rsid w:val="00367224"/>
    <w:rsid w:val="00370193"/>
    <w:rsid w:val="003702C7"/>
    <w:rsid w:val="003704B1"/>
    <w:rsid w:val="003708CD"/>
    <w:rsid w:val="00371082"/>
    <w:rsid w:val="0037145A"/>
    <w:rsid w:val="00372CC2"/>
    <w:rsid w:val="00372D53"/>
    <w:rsid w:val="00372E6D"/>
    <w:rsid w:val="00373188"/>
    <w:rsid w:val="003742CF"/>
    <w:rsid w:val="0037549D"/>
    <w:rsid w:val="0037692B"/>
    <w:rsid w:val="003775D1"/>
    <w:rsid w:val="003807E7"/>
    <w:rsid w:val="00381C7A"/>
    <w:rsid w:val="00381F8E"/>
    <w:rsid w:val="00383585"/>
    <w:rsid w:val="00385380"/>
    <w:rsid w:val="00385797"/>
    <w:rsid w:val="00386C88"/>
    <w:rsid w:val="0039007A"/>
    <w:rsid w:val="00390FB3"/>
    <w:rsid w:val="00390FDE"/>
    <w:rsid w:val="003914C3"/>
    <w:rsid w:val="00391792"/>
    <w:rsid w:val="00391B6F"/>
    <w:rsid w:val="00391BD6"/>
    <w:rsid w:val="003928EC"/>
    <w:rsid w:val="00392B85"/>
    <w:rsid w:val="00392EEF"/>
    <w:rsid w:val="003943C4"/>
    <w:rsid w:val="00394901"/>
    <w:rsid w:val="00395278"/>
    <w:rsid w:val="00396604"/>
    <w:rsid w:val="003967A2"/>
    <w:rsid w:val="00397F28"/>
    <w:rsid w:val="003A07CB"/>
    <w:rsid w:val="003A2FF8"/>
    <w:rsid w:val="003A37DD"/>
    <w:rsid w:val="003A49F8"/>
    <w:rsid w:val="003A4EEB"/>
    <w:rsid w:val="003A50AE"/>
    <w:rsid w:val="003A5385"/>
    <w:rsid w:val="003A54C7"/>
    <w:rsid w:val="003A704B"/>
    <w:rsid w:val="003A76DB"/>
    <w:rsid w:val="003B0C5F"/>
    <w:rsid w:val="003B129D"/>
    <w:rsid w:val="003B2E47"/>
    <w:rsid w:val="003B3893"/>
    <w:rsid w:val="003B3CEA"/>
    <w:rsid w:val="003B3E5F"/>
    <w:rsid w:val="003B4A41"/>
    <w:rsid w:val="003B561F"/>
    <w:rsid w:val="003B68C7"/>
    <w:rsid w:val="003B6D2E"/>
    <w:rsid w:val="003B7738"/>
    <w:rsid w:val="003B7B99"/>
    <w:rsid w:val="003C042A"/>
    <w:rsid w:val="003C0F72"/>
    <w:rsid w:val="003C1679"/>
    <w:rsid w:val="003C31AF"/>
    <w:rsid w:val="003C384E"/>
    <w:rsid w:val="003C4355"/>
    <w:rsid w:val="003C446B"/>
    <w:rsid w:val="003C7185"/>
    <w:rsid w:val="003C729B"/>
    <w:rsid w:val="003C7FAE"/>
    <w:rsid w:val="003D0096"/>
    <w:rsid w:val="003D03F1"/>
    <w:rsid w:val="003D4446"/>
    <w:rsid w:val="003D4638"/>
    <w:rsid w:val="003D4D1D"/>
    <w:rsid w:val="003D6E02"/>
    <w:rsid w:val="003D70DF"/>
    <w:rsid w:val="003D7753"/>
    <w:rsid w:val="003D7B97"/>
    <w:rsid w:val="003E038A"/>
    <w:rsid w:val="003E07E5"/>
    <w:rsid w:val="003E0C89"/>
    <w:rsid w:val="003E0F88"/>
    <w:rsid w:val="003E22D4"/>
    <w:rsid w:val="003E2B94"/>
    <w:rsid w:val="003E3725"/>
    <w:rsid w:val="003E3836"/>
    <w:rsid w:val="003E4B1D"/>
    <w:rsid w:val="003E4CD9"/>
    <w:rsid w:val="003E5330"/>
    <w:rsid w:val="003E5574"/>
    <w:rsid w:val="003E5711"/>
    <w:rsid w:val="003E61F1"/>
    <w:rsid w:val="003E73BC"/>
    <w:rsid w:val="003F0213"/>
    <w:rsid w:val="003F07AF"/>
    <w:rsid w:val="003F0ABA"/>
    <w:rsid w:val="003F17E8"/>
    <w:rsid w:val="003F1C7C"/>
    <w:rsid w:val="003F27D1"/>
    <w:rsid w:val="003F287E"/>
    <w:rsid w:val="003F3939"/>
    <w:rsid w:val="003F5ADF"/>
    <w:rsid w:val="003F7266"/>
    <w:rsid w:val="003F7291"/>
    <w:rsid w:val="003F7CFD"/>
    <w:rsid w:val="004023F4"/>
    <w:rsid w:val="00402479"/>
    <w:rsid w:val="004034A7"/>
    <w:rsid w:val="0040517B"/>
    <w:rsid w:val="004051BE"/>
    <w:rsid w:val="00405814"/>
    <w:rsid w:val="00406349"/>
    <w:rsid w:val="00406D11"/>
    <w:rsid w:val="00407F60"/>
    <w:rsid w:val="004117F2"/>
    <w:rsid w:val="00411C1F"/>
    <w:rsid w:val="00411FED"/>
    <w:rsid w:val="00413E04"/>
    <w:rsid w:val="004140BA"/>
    <w:rsid w:val="004144EB"/>
    <w:rsid w:val="004144EE"/>
    <w:rsid w:val="004146BE"/>
    <w:rsid w:val="00414763"/>
    <w:rsid w:val="00414855"/>
    <w:rsid w:val="004149DF"/>
    <w:rsid w:val="00415460"/>
    <w:rsid w:val="00415483"/>
    <w:rsid w:val="00415A5E"/>
    <w:rsid w:val="00415C89"/>
    <w:rsid w:val="00415DBA"/>
    <w:rsid w:val="00416377"/>
    <w:rsid w:val="004170E1"/>
    <w:rsid w:val="00417CCE"/>
    <w:rsid w:val="00417D58"/>
    <w:rsid w:val="004200C1"/>
    <w:rsid w:val="00421E3B"/>
    <w:rsid w:val="00422EF7"/>
    <w:rsid w:val="004246D3"/>
    <w:rsid w:val="004263CA"/>
    <w:rsid w:val="00426663"/>
    <w:rsid w:val="004269FE"/>
    <w:rsid w:val="00427697"/>
    <w:rsid w:val="00430570"/>
    <w:rsid w:val="00431621"/>
    <w:rsid w:val="00431969"/>
    <w:rsid w:val="00431F78"/>
    <w:rsid w:val="00433F60"/>
    <w:rsid w:val="004346E3"/>
    <w:rsid w:val="00435294"/>
    <w:rsid w:val="00435582"/>
    <w:rsid w:val="004359D9"/>
    <w:rsid w:val="00436E27"/>
    <w:rsid w:val="00437511"/>
    <w:rsid w:val="004403B1"/>
    <w:rsid w:val="0044114D"/>
    <w:rsid w:val="00441274"/>
    <w:rsid w:val="00441920"/>
    <w:rsid w:val="004419DA"/>
    <w:rsid w:val="004421E7"/>
    <w:rsid w:val="00442206"/>
    <w:rsid w:val="00442945"/>
    <w:rsid w:val="00442D26"/>
    <w:rsid w:val="00443198"/>
    <w:rsid w:val="0044689B"/>
    <w:rsid w:val="00446BCB"/>
    <w:rsid w:val="00447592"/>
    <w:rsid w:val="00447DBA"/>
    <w:rsid w:val="0045290B"/>
    <w:rsid w:val="004533D3"/>
    <w:rsid w:val="00455C99"/>
    <w:rsid w:val="004572B4"/>
    <w:rsid w:val="00457386"/>
    <w:rsid w:val="004610A5"/>
    <w:rsid w:val="00461DAA"/>
    <w:rsid w:val="00461E0C"/>
    <w:rsid w:val="00462100"/>
    <w:rsid w:val="004622AF"/>
    <w:rsid w:val="00470133"/>
    <w:rsid w:val="004708BC"/>
    <w:rsid w:val="00470A26"/>
    <w:rsid w:val="004715B6"/>
    <w:rsid w:val="00472ADE"/>
    <w:rsid w:val="0047307A"/>
    <w:rsid w:val="00473CA5"/>
    <w:rsid w:val="00474F36"/>
    <w:rsid w:val="00474FC8"/>
    <w:rsid w:val="004759A6"/>
    <w:rsid w:val="004760F2"/>
    <w:rsid w:val="004761B9"/>
    <w:rsid w:val="00476C9B"/>
    <w:rsid w:val="0047775E"/>
    <w:rsid w:val="00477D5E"/>
    <w:rsid w:val="00482760"/>
    <w:rsid w:val="004846E0"/>
    <w:rsid w:val="004854BF"/>
    <w:rsid w:val="0048674B"/>
    <w:rsid w:val="004870BD"/>
    <w:rsid w:val="0048747D"/>
    <w:rsid w:val="00492432"/>
    <w:rsid w:val="00492787"/>
    <w:rsid w:val="0049279D"/>
    <w:rsid w:val="004932AF"/>
    <w:rsid w:val="004938FA"/>
    <w:rsid w:val="004948A8"/>
    <w:rsid w:val="004949D0"/>
    <w:rsid w:val="004949E6"/>
    <w:rsid w:val="00496CD9"/>
    <w:rsid w:val="00497082"/>
    <w:rsid w:val="0049771B"/>
    <w:rsid w:val="0049798B"/>
    <w:rsid w:val="00497BCA"/>
    <w:rsid w:val="00497D63"/>
    <w:rsid w:val="004A021A"/>
    <w:rsid w:val="004A0DE6"/>
    <w:rsid w:val="004A1200"/>
    <w:rsid w:val="004A2A28"/>
    <w:rsid w:val="004A41B7"/>
    <w:rsid w:val="004A5287"/>
    <w:rsid w:val="004A572B"/>
    <w:rsid w:val="004A6496"/>
    <w:rsid w:val="004A68B4"/>
    <w:rsid w:val="004A6DF3"/>
    <w:rsid w:val="004A7831"/>
    <w:rsid w:val="004B07AB"/>
    <w:rsid w:val="004B1011"/>
    <w:rsid w:val="004B14C4"/>
    <w:rsid w:val="004B14F6"/>
    <w:rsid w:val="004B1968"/>
    <w:rsid w:val="004B29EB"/>
    <w:rsid w:val="004B30C3"/>
    <w:rsid w:val="004B513F"/>
    <w:rsid w:val="004B5248"/>
    <w:rsid w:val="004B577F"/>
    <w:rsid w:val="004B7E9F"/>
    <w:rsid w:val="004C151D"/>
    <w:rsid w:val="004C40E8"/>
    <w:rsid w:val="004C4F45"/>
    <w:rsid w:val="004C54A0"/>
    <w:rsid w:val="004C5B03"/>
    <w:rsid w:val="004C5BCA"/>
    <w:rsid w:val="004C6AE4"/>
    <w:rsid w:val="004C749A"/>
    <w:rsid w:val="004C7AC4"/>
    <w:rsid w:val="004D08F5"/>
    <w:rsid w:val="004D0A03"/>
    <w:rsid w:val="004D23FD"/>
    <w:rsid w:val="004D362A"/>
    <w:rsid w:val="004D3B7E"/>
    <w:rsid w:val="004D3FF0"/>
    <w:rsid w:val="004D4106"/>
    <w:rsid w:val="004D44A4"/>
    <w:rsid w:val="004D4E9B"/>
    <w:rsid w:val="004D5A16"/>
    <w:rsid w:val="004D5B29"/>
    <w:rsid w:val="004D5E02"/>
    <w:rsid w:val="004D5F70"/>
    <w:rsid w:val="004D682D"/>
    <w:rsid w:val="004D75D8"/>
    <w:rsid w:val="004D7BD8"/>
    <w:rsid w:val="004E05E7"/>
    <w:rsid w:val="004E0903"/>
    <w:rsid w:val="004E13AD"/>
    <w:rsid w:val="004E1670"/>
    <w:rsid w:val="004E1757"/>
    <w:rsid w:val="004E27CA"/>
    <w:rsid w:val="004E2F35"/>
    <w:rsid w:val="004E3204"/>
    <w:rsid w:val="004E3FFF"/>
    <w:rsid w:val="004E4837"/>
    <w:rsid w:val="004E4B08"/>
    <w:rsid w:val="004E4BAF"/>
    <w:rsid w:val="004E537D"/>
    <w:rsid w:val="004E58C3"/>
    <w:rsid w:val="004E697A"/>
    <w:rsid w:val="004E74D8"/>
    <w:rsid w:val="004E75A8"/>
    <w:rsid w:val="004E79BD"/>
    <w:rsid w:val="004F098B"/>
    <w:rsid w:val="004F1948"/>
    <w:rsid w:val="004F194B"/>
    <w:rsid w:val="004F1C7B"/>
    <w:rsid w:val="004F2383"/>
    <w:rsid w:val="004F23E9"/>
    <w:rsid w:val="004F2FF1"/>
    <w:rsid w:val="004F4028"/>
    <w:rsid w:val="004F454B"/>
    <w:rsid w:val="004F5854"/>
    <w:rsid w:val="004F5EBC"/>
    <w:rsid w:val="004F6778"/>
    <w:rsid w:val="004F72E9"/>
    <w:rsid w:val="004F7924"/>
    <w:rsid w:val="00500158"/>
    <w:rsid w:val="00500EDA"/>
    <w:rsid w:val="00501495"/>
    <w:rsid w:val="0050291C"/>
    <w:rsid w:val="00502D2D"/>
    <w:rsid w:val="00502D50"/>
    <w:rsid w:val="00503295"/>
    <w:rsid w:val="00503571"/>
    <w:rsid w:val="00503A81"/>
    <w:rsid w:val="00503B2F"/>
    <w:rsid w:val="00503E65"/>
    <w:rsid w:val="00504A06"/>
    <w:rsid w:val="00504CED"/>
    <w:rsid w:val="00504D5D"/>
    <w:rsid w:val="00504FA3"/>
    <w:rsid w:val="00505BA0"/>
    <w:rsid w:val="00505E50"/>
    <w:rsid w:val="0050697E"/>
    <w:rsid w:val="00506AF6"/>
    <w:rsid w:val="00506C6B"/>
    <w:rsid w:val="00507B5E"/>
    <w:rsid w:val="00512C92"/>
    <w:rsid w:val="00514497"/>
    <w:rsid w:val="00514988"/>
    <w:rsid w:val="00515110"/>
    <w:rsid w:val="005154BC"/>
    <w:rsid w:val="0051747A"/>
    <w:rsid w:val="00517839"/>
    <w:rsid w:val="005206BE"/>
    <w:rsid w:val="00520BB9"/>
    <w:rsid w:val="00522DE1"/>
    <w:rsid w:val="00523193"/>
    <w:rsid w:val="00523347"/>
    <w:rsid w:val="00523D61"/>
    <w:rsid w:val="00524898"/>
    <w:rsid w:val="00525715"/>
    <w:rsid w:val="00525DBB"/>
    <w:rsid w:val="005262C2"/>
    <w:rsid w:val="00527A20"/>
    <w:rsid w:val="00527A49"/>
    <w:rsid w:val="00530C6A"/>
    <w:rsid w:val="00530F5B"/>
    <w:rsid w:val="005310AE"/>
    <w:rsid w:val="005318B9"/>
    <w:rsid w:val="00531E07"/>
    <w:rsid w:val="005321F4"/>
    <w:rsid w:val="0053271E"/>
    <w:rsid w:val="00532C1B"/>
    <w:rsid w:val="005332F5"/>
    <w:rsid w:val="00534585"/>
    <w:rsid w:val="00534612"/>
    <w:rsid w:val="00534A1D"/>
    <w:rsid w:val="00535011"/>
    <w:rsid w:val="00535439"/>
    <w:rsid w:val="00535609"/>
    <w:rsid w:val="005371CA"/>
    <w:rsid w:val="00537662"/>
    <w:rsid w:val="00540872"/>
    <w:rsid w:val="00540F72"/>
    <w:rsid w:val="00542839"/>
    <w:rsid w:val="00543297"/>
    <w:rsid w:val="00543DB7"/>
    <w:rsid w:val="0054487F"/>
    <w:rsid w:val="00545FB5"/>
    <w:rsid w:val="005460F4"/>
    <w:rsid w:val="005469D0"/>
    <w:rsid w:val="00547F17"/>
    <w:rsid w:val="00550BFE"/>
    <w:rsid w:val="00551BEE"/>
    <w:rsid w:val="005527CF"/>
    <w:rsid w:val="00554B4C"/>
    <w:rsid w:val="00555069"/>
    <w:rsid w:val="0055587E"/>
    <w:rsid w:val="005558A8"/>
    <w:rsid w:val="00555CA0"/>
    <w:rsid w:val="00557A5D"/>
    <w:rsid w:val="00560174"/>
    <w:rsid w:val="00560E96"/>
    <w:rsid w:val="005611AB"/>
    <w:rsid w:val="005613D2"/>
    <w:rsid w:val="00562F43"/>
    <w:rsid w:val="00564473"/>
    <w:rsid w:val="00564C98"/>
    <w:rsid w:val="0056564F"/>
    <w:rsid w:val="005673FC"/>
    <w:rsid w:val="0056779F"/>
    <w:rsid w:val="00570635"/>
    <w:rsid w:val="0057127D"/>
    <w:rsid w:val="00572B82"/>
    <w:rsid w:val="00572F46"/>
    <w:rsid w:val="005753D2"/>
    <w:rsid w:val="005756B2"/>
    <w:rsid w:val="0058016C"/>
    <w:rsid w:val="0058180D"/>
    <w:rsid w:val="005841F2"/>
    <w:rsid w:val="005850E9"/>
    <w:rsid w:val="005857C7"/>
    <w:rsid w:val="00587C8B"/>
    <w:rsid w:val="00590A8E"/>
    <w:rsid w:val="00591AD4"/>
    <w:rsid w:val="00591BE9"/>
    <w:rsid w:val="005921ED"/>
    <w:rsid w:val="0059238B"/>
    <w:rsid w:val="00592CAB"/>
    <w:rsid w:val="0059358C"/>
    <w:rsid w:val="00593628"/>
    <w:rsid w:val="0059500A"/>
    <w:rsid w:val="00597CE3"/>
    <w:rsid w:val="00597F8A"/>
    <w:rsid w:val="005A08BE"/>
    <w:rsid w:val="005A3DF0"/>
    <w:rsid w:val="005A4358"/>
    <w:rsid w:val="005A4CA6"/>
    <w:rsid w:val="005A5F10"/>
    <w:rsid w:val="005A635B"/>
    <w:rsid w:val="005A6378"/>
    <w:rsid w:val="005A65C4"/>
    <w:rsid w:val="005A6766"/>
    <w:rsid w:val="005A69E2"/>
    <w:rsid w:val="005A6C7B"/>
    <w:rsid w:val="005A711E"/>
    <w:rsid w:val="005B0093"/>
    <w:rsid w:val="005B01F2"/>
    <w:rsid w:val="005B1D32"/>
    <w:rsid w:val="005B2C9A"/>
    <w:rsid w:val="005B4A37"/>
    <w:rsid w:val="005B4F29"/>
    <w:rsid w:val="005B5378"/>
    <w:rsid w:val="005B5F54"/>
    <w:rsid w:val="005B6A4F"/>
    <w:rsid w:val="005B7341"/>
    <w:rsid w:val="005B79BE"/>
    <w:rsid w:val="005C008E"/>
    <w:rsid w:val="005C17A9"/>
    <w:rsid w:val="005C3D9A"/>
    <w:rsid w:val="005C45C4"/>
    <w:rsid w:val="005C545E"/>
    <w:rsid w:val="005C793B"/>
    <w:rsid w:val="005D090E"/>
    <w:rsid w:val="005D0E51"/>
    <w:rsid w:val="005D12BF"/>
    <w:rsid w:val="005D40C7"/>
    <w:rsid w:val="005D4382"/>
    <w:rsid w:val="005D48A0"/>
    <w:rsid w:val="005D4D4F"/>
    <w:rsid w:val="005D58EF"/>
    <w:rsid w:val="005D5B48"/>
    <w:rsid w:val="005D60FF"/>
    <w:rsid w:val="005D6922"/>
    <w:rsid w:val="005D75C3"/>
    <w:rsid w:val="005E0C51"/>
    <w:rsid w:val="005E2F78"/>
    <w:rsid w:val="005E5083"/>
    <w:rsid w:val="005E510F"/>
    <w:rsid w:val="005E56CB"/>
    <w:rsid w:val="005E6754"/>
    <w:rsid w:val="005F05CF"/>
    <w:rsid w:val="005F0F95"/>
    <w:rsid w:val="005F10BC"/>
    <w:rsid w:val="005F178B"/>
    <w:rsid w:val="005F1E44"/>
    <w:rsid w:val="005F2774"/>
    <w:rsid w:val="005F2E90"/>
    <w:rsid w:val="005F3184"/>
    <w:rsid w:val="005F35E2"/>
    <w:rsid w:val="005F3CA8"/>
    <w:rsid w:val="005F4702"/>
    <w:rsid w:val="005F4A9E"/>
    <w:rsid w:val="005F4C5B"/>
    <w:rsid w:val="005F5031"/>
    <w:rsid w:val="005F5398"/>
    <w:rsid w:val="005F5A60"/>
    <w:rsid w:val="005F5FB7"/>
    <w:rsid w:val="005F6D05"/>
    <w:rsid w:val="005F713D"/>
    <w:rsid w:val="005F7940"/>
    <w:rsid w:val="006000EA"/>
    <w:rsid w:val="00600271"/>
    <w:rsid w:val="006015C3"/>
    <w:rsid w:val="0060192A"/>
    <w:rsid w:val="00601A17"/>
    <w:rsid w:val="00603D1C"/>
    <w:rsid w:val="0060426A"/>
    <w:rsid w:val="006043E7"/>
    <w:rsid w:val="00604B46"/>
    <w:rsid w:val="006054FF"/>
    <w:rsid w:val="006063A7"/>
    <w:rsid w:val="00606CB4"/>
    <w:rsid w:val="00607454"/>
    <w:rsid w:val="00607554"/>
    <w:rsid w:val="00607CD1"/>
    <w:rsid w:val="00607DC8"/>
    <w:rsid w:val="006113B1"/>
    <w:rsid w:val="00612C62"/>
    <w:rsid w:val="006136BD"/>
    <w:rsid w:val="00613A23"/>
    <w:rsid w:val="00613C23"/>
    <w:rsid w:val="00613D7E"/>
    <w:rsid w:val="00613EA0"/>
    <w:rsid w:val="0061404E"/>
    <w:rsid w:val="0061492A"/>
    <w:rsid w:val="00614CD2"/>
    <w:rsid w:val="0061524E"/>
    <w:rsid w:val="006153F5"/>
    <w:rsid w:val="00615576"/>
    <w:rsid w:val="0061563D"/>
    <w:rsid w:val="006158BA"/>
    <w:rsid w:val="00617175"/>
    <w:rsid w:val="006172CD"/>
    <w:rsid w:val="006179D4"/>
    <w:rsid w:val="006207F3"/>
    <w:rsid w:val="006216D9"/>
    <w:rsid w:val="00621F3C"/>
    <w:rsid w:val="00623C44"/>
    <w:rsid w:val="00623C5F"/>
    <w:rsid w:val="00624D93"/>
    <w:rsid w:val="00625279"/>
    <w:rsid w:val="00625C7F"/>
    <w:rsid w:val="00626D0C"/>
    <w:rsid w:val="00626E80"/>
    <w:rsid w:val="006271F0"/>
    <w:rsid w:val="006301EB"/>
    <w:rsid w:val="0063035B"/>
    <w:rsid w:val="006305E8"/>
    <w:rsid w:val="0063086B"/>
    <w:rsid w:val="006309C3"/>
    <w:rsid w:val="00630C20"/>
    <w:rsid w:val="00631505"/>
    <w:rsid w:val="006327F5"/>
    <w:rsid w:val="0063491D"/>
    <w:rsid w:val="006358E6"/>
    <w:rsid w:val="00636988"/>
    <w:rsid w:val="006379FD"/>
    <w:rsid w:val="006402BA"/>
    <w:rsid w:val="006405ED"/>
    <w:rsid w:val="00640D08"/>
    <w:rsid w:val="00642706"/>
    <w:rsid w:val="00642A13"/>
    <w:rsid w:val="00642A8F"/>
    <w:rsid w:val="006437DA"/>
    <w:rsid w:val="00643ECB"/>
    <w:rsid w:val="00643F4E"/>
    <w:rsid w:val="0064401B"/>
    <w:rsid w:val="0064422C"/>
    <w:rsid w:val="00645170"/>
    <w:rsid w:val="00645F61"/>
    <w:rsid w:val="00650409"/>
    <w:rsid w:val="0065242B"/>
    <w:rsid w:val="00652638"/>
    <w:rsid w:val="00652C89"/>
    <w:rsid w:val="00653D4B"/>
    <w:rsid w:val="0065458B"/>
    <w:rsid w:val="00654A2F"/>
    <w:rsid w:val="00654DC2"/>
    <w:rsid w:val="00655AC4"/>
    <w:rsid w:val="00656C96"/>
    <w:rsid w:val="0065707C"/>
    <w:rsid w:val="006574BB"/>
    <w:rsid w:val="00657A7F"/>
    <w:rsid w:val="00657E9E"/>
    <w:rsid w:val="00660C81"/>
    <w:rsid w:val="00661965"/>
    <w:rsid w:val="00662660"/>
    <w:rsid w:val="00662BCB"/>
    <w:rsid w:val="00662E16"/>
    <w:rsid w:val="00662E83"/>
    <w:rsid w:val="00663DDD"/>
    <w:rsid w:val="00664202"/>
    <w:rsid w:val="00664F45"/>
    <w:rsid w:val="00666BF3"/>
    <w:rsid w:val="006706A5"/>
    <w:rsid w:val="006709E7"/>
    <w:rsid w:val="00670ABF"/>
    <w:rsid w:val="0067116A"/>
    <w:rsid w:val="00671A52"/>
    <w:rsid w:val="00671D61"/>
    <w:rsid w:val="00672851"/>
    <w:rsid w:val="00673E28"/>
    <w:rsid w:val="006758A3"/>
    <w:rsid w:val="00677519"/>
    <w:rsid w:val="00680324"/>
    <w:rsid w:val="006811E0"/>
    <w:rsid w:val="006818F1"/>
    <w:rsid w:val="006821CF"/>
    <w:rsid w:val="0068321D"/>
    <w:rsid w:val="006836BF"/>
    <w:rsid w:val="00685438"/>
    <w:rsid w:val="00685552"/>
    <w:rsid w:val="00685C47"/>
    <w:rsid w:val="00686195"/>
    <w:rsid w:val="00686C3D"/>
    <w:rsid w:val="0068707E"/>
    <w:rsid w:val="006870AC"/>
    <w:rsid w:val="0068734F"/>
    <w:rsid w:val="006873CB"/>
    <w:rsid w:val="006878D9"/>
    <w:rsid w:val="00687945"/>
    <w:rsid w:val="00690848"/>
    <w:rsid w:val="00690B33"/>
    <w:rsid w:val="00690B57"/>
    <w:rsid w:val="00690C5F"/>
    <w:rsid w:val="00690F25"/>
    <w:rsid w:val="006914A4"/>
    <w:rsid w:val="006929B2"/>
    <w:rsid w:val="00692C3B"/>
    <w:rsid w:val="00693910"/>
    <w:rsid w:val="00693BD1"/>
    <w:rsid w:val="00694B21"/>
    <w:rsid w:val="006951D1"/>
    <w:rsid w:val="00695567"/>
    <w:rsid w:val="00695654"/>
    <w:rsid w:val="006A0461"/>
    <w:rsid w:val="006A0550"/>
    <w:rsid w:val="006A087B"/>
    <w:rsid w:val="006A0A88"/>
    <w:rsid w:val="006A0B82"/>
    <w:rsid w:val="006A0DAA"/>
    <w:rsid w:val="006A2102"/>
    <w:rsid w:val="006A29BE"/>
    <w:rsid w:val="006A4113"/>
    <w:rsid w:val="006A43CE"/>
    <w:rsid w:val="006A5CFC"/>
    <w:rsid w:val="006A5DB1"/>
    <w:rsid w:val="006A6194"/>
    <w:rsid w:val="006A731A"/>
    <w:rsid w:val="006A7508"/>
    <w:rsid w:val="006A780B"/>
    <w:rsid w:val="006A79F9"/>
    <w:rsid w:val="006A7DB6"/>
    <w:rsid w:val="006B1632"/>
    <w:rsid w:val="006B247F"/>
    <w:rsid w:val="006B460D"/>
    <w:rsid w:val="006B48B4"/>
    <w:rsid w:val="006B4E7B"/>
    <w:rsid w:val="006B5960"/>
    <w:rsid w:val="006B5EC6"/>
    <w:rsid w:val="006C1577"/>
    <w:rsid w:val="006C3371"/>
    <w:rsid w:val="006C3BF1"/>
    <w:rsid w:val="006C3FA1"/>
    <w:rsid w:val="006C56A5"/>
    <w:rsid w:val="006C58A2"/>
    <w:rsid w:val="006C5B0C"/>
    <w:rsid w:val="006C5BFF"/>
    <w:rsid w:val="006C5D46"/>
    <w:rsid w:val="006C5DAF"/>
    <w:rsid w:val="006C6F74"/>
    <w:rsid w:val="006D0207"/>
    <w:rsid w:val="006D04EE"/>
    <w:rsid w:val="006D0806"/>
    <w:rsid w:val="006D1C88"/>
    <w:rsid w:val="006D310A"/>
    <w:rsid w:val="006D3169"/>
    <w:rsid w:val="006D590F"/>
    <w:rsid w:val="006D601C"/>
    <w:rsid w:val="006D6E56"/>
    <w:rsid w:val="006E0ACD"/>
    <w:rsid w:val="006E1652"/>
    <w:rsid w:val="006E19CA"/>
    <w:rsid w:val="006E270D"/>
    <w:rsid w:val="006E34A6"/>
    <w:rsid w:val="006E3777"/>
    <w:rsid w:val="006E50F1"/>
    <w:rsid w:val="006E6EB7"/>
    <w:rsid w:val="006E7405"/>
    <w:rsid w:val="006E7A92"/>
    <w:rsid w:val="006F0018"/>
    <w:rsid w:val="006F1714"/>
    <w:rsid w:val="006F1AE4"/>
    <w:rsid w:val="006F2FFD"/>
    <w:rsid w:val="006F32C7"/>
    <w:rsid w:val="006F381F"/>
    <w:rsid w:val="006F4482"/>
    <w:rsid w:val="006F4593"/>
    <w:rsid w:val="006F5730"/>
    <w:rsid w:val="006F59DE"/>
    <w:rsid w:val="00700664"/>
    <w:rsid w:val="007014FC"/>
    <w:rsid w:val="00701FAC"/>
    <w:rsid w:val="0070234E"/>
    <w:rsid w:val="00702D61"/>
    <w:rsid w:val="00702EF7"/>
    <w:rsid w:val="00703323"/>
    <w:rsid w:val="00703A1F"/>
    <w:rsid w:val="00704460"/>
    <w:rsid w:val="00704A66"/>
    <w:rsid w:val="007052E1"/>
    <w:rsid w:val="0070698C"/>
    <w:rsid w:val="00706A32"/>
    <w:rsid w:val="007076F3"/>
    <w:rsid w:val="007078B7"/>
    <w:rsid w:val="00710EAE"/>
    <w:rsid w:val="00712B83"/>
    <w:rsid w:val="007132B5"/>
    <w:rsid w:val="00715A44"/>
    <w:rsid w:val="00715D19"/>
    <w:rsid w:val="00715E57"/>
    <w:rsid w:val="00716DBB"/>
    <w:rsid w:val="00717887"/>
    <w:rsid w:val="00717AA6"/>
    <w:rsid w:val="00720090"/>
    <w:rsid w:val="007205EB"/>
    <w:rsid w:val="0072089E"/>
    <w:rsid w:val="0072487D"/>
    <w:rsid w:val="007258B9"/>
    <w:rsid w:val="007261F0"/>
    <w:rsid w:val="0072736F"/>
    <w:rsid w:val="00727561"/>
    <w:rsid w:val="00730681"/>
    <w:rsid w:val="007313B8"/>
    <w:rsid w:val="0073166F"/>
    <w:rsid w:val="007319F1"/>
    <w:rsid w:val="00732C4E"/>
    <w:rsid w:val="0073322C"/>
    <w:rsid w:val="00733D05"/>
    <w:rsid w:val="00733E44"/>
    <w:rsid w:val="00734531"/>
    <w:rsid w:val="00736402"/>
    <w:rsid w:val="00736CA8"/>
    <w:rsid w:val="00737C3A"/>
    <w:rsid w:val="00737F05"/>
    <w:rsid w:val="007431F5"/>
    <w:rsid w:val="00743873"/>
    <w:rsid w:val="007443F9"/>
    <w:rsid w:val="00745223"/>
    <w:rsid w:val="00745908"/>
    <w:rsid w:val="00745D22"/>
    <w:rsid w:val="00745D2C"/>
    <w:rsid w:val="007477F4"/>
    <w:rsid w:val="00747E7A"/>
    <w:rsid w:val="007520D2"/>
    <w:rsid w:val="00752178"/>
    <w:rsid w:val="0075282E"/>
    <w:rsid w:val="00752F02"/>
    <w:rsid w:val="00754881"/>
    <w:rsid w:val="00754AB5"/>
    <w:rsid w:val="00755937"/>
    <w:rsid w:val="0075617D"/>
    <w:rsid w:val="007564AB"/>
    <w:rsid w:val="00756930"/>
    <w:rsid w:val="00756A18"/>
    <w:rsid w:val="00756DFA"/>
    <w:rsid w:val="00757C4B"/>
    <w:rsid w:val="00761B0B"/>
    <w:rsid w:val="00761CBA"/>
    <w:rsid w:val="007631E0"/>
    <w:rsid w:val="00764021"/>
    <w:rsid w:val="00765781"/>
    <w:rsid w:val="00765A8B"/>
    <w:rsid w:val="00766353"/>
    <w:rsid w:val="007668BC"/>
    <w:rsid w:val="00767EE2"/>
    <w:rsid w:val="00770896"/>
    <w:rsid w:val="00772081"/>
    <w:rsid w:val="00772087"/>
    <w:rsid w:val="0077234B"/>
    <w:rsid w:val="00772AF9"/>
    <w:rsid w:val="00774460"/>
    <w:rsid w:val="007744EB"/>
    <w:rsid w:val="00774CFE"/>
    <w:rsid w:val="0077543A"/>
    <w:rsid w:val="007756D9"/>
    <w:rsid w:val="00775CDC"/>
    <w:rsid w:val="00780296"/>
    <w:rsid w:val="00780707"/>
    <w:rsid w:val="00780972"/>
    <w:rsid w:val="00780F07"/>
    <w:rsid w:val="00782167"/>
    <w:rsid w:val="00783034"/>
    <w:rsid w:val="007832BE"/>
    <w:rsid w:val="00784FF2"/>
    <w:rsid w:val="00785B2D"/>
    <w:rsid w:val="00787B2C"/>
    <w:rsid w:val="00787D24"/>
    <w:rsid w:val="00790C99"/>
    <w:rsid w:val="0079221D"/>
    <w:rsid w:val="00792853"/>
    <w:rsid w:val="007967E9"/>
    <w:rsid w:val="00796E42"/>
    <w:rsid w:val="007A036A"/>
    <w:rsid w:val="007A1DC5"/>
    <w:rsid w:val="007A20AD"/>
    <w:rsid w:val="007A4D34"/>
    <w:rsid w:val="007A5D05"/>
    <w:rsid w:val="007A7331"/>
    <w:rsid w:val="007A7415"/>
    <w:rsid w:val="007B0CB0"/>
    <w:rsid w:val="007B1F99"/>
    <w:rsid w:val="007B301D"/>
    <w:rsid w:val="007B3A86"/>
    <w:rsid w:val="007B3DF4"/>
    <w:rsid w:val="007B4D67"/>
    <w:rsid w:val="007B54ED"/>
    <w:rsid w:val="007B596C"/>
    <w:rsid w:val="007C1A79"/>
    <w:rsid w:val="007C2B55"/>
    <w:rsid w:val="007C31CC"/>
    <w:rsid w:val="007C38BA"/>
    <w:rsid w:val="007C3E46"/>
    <w:rsid w:val="007C440C"/>
    <w:rsid w:val="007C4B84"/>
    <w:rsid w:val="007C4DEF"/>
    <w:rsid w:val="007C522B"/>
    <w:rsid w:val="007C6751"/>
    <w:rsid w:val="007C68BA"/>
    <w:rsid w:val="007C6994"/>
    <w:rsid w:val="007C6BD6"/>
    <w:rsid w:val="007D0AE9"/>
    <w:rsid w:val="007D0E00"/>
    <w:rsid w:val="007D0FC5"/>
    <w:rsid w:val="007D15FD"/>
    <w:rsid w:val="007D1913"/>
    <w:rsid w:val="007D298A"/>
    <w:rsid w:val="007D298C"/>
    <w:rsid w:val="007D3420"/>
    <w:rsid w:val="007D383E"/>
    <w:rsid w:val="007D44FE"/>
    <w:rsid w:val="007D5362"/>
    <w:rsid w:val="007D5809"/>
    <w:rsid w:val="007D6110"/>
    <w:rsid w:val="007D6C48"/>
    <w:rsid w:val="007D71F7"/>
    <w:rsid w:val="007D7245"/>
    <w:rsid w:val="007E000F"/>
    <w:rsid w:val="007E0BDB"/>
    <w:rsid w:val="007E0D95"/>
    <w:rsid w:val="007E1118"/>
    <w:rsid w:val="007E156E"/>
    <w:rsid w:val="007E1E9C"/>
    <w:rsid w:val="007E2A76"/>
    <w:rsid w:val="007E2E70"/>
    <w:rsid w:val="007E32F7"/>
    <w:rsid w:val="007E3501"/>
    <w:rsid w:val="007E4C3F"/>
    <w:rsid w:val="007E508A"/>
    <w:rsid w:val="007E525B"/>
    <w:rsid w:val="007E621E"/>
    <w:rsid w:val="007E6A79"/>
    <w:rsid w:val="007F103A"/>
    <w:rsid w:val="007F15AC"/>
    <w:rsid w:val="007F2683"/>
    <w:rsid w:val="007F2956"/>
    <w:rsid w:val="007F2E32"/>
    <w:rsid w:val="007F385A"/>
    <w:rsid w:val="007F38FD"/>
    <w:rsid w:val="007F4DCE"/>
    <w:rsid w:val="007F6A11"/>
    <w:rsid w:val="007F7112"/>
    <w:rsid w:val="007F71E4"/>
    <w:rsid w:val="007F7C82"/>
    <w:rsid w:val="007F7FB6"/>
    <w:rsid w:val="008002AA"/>
    <w:rsid w:val="0080230D"/>
    <w:rsid w:val="00810827"/>
    <w:rsid w:val="008112F9"/>
    <w:rsid w:val="008123C6"/>
    <w:rsid w:val="008127D6"/>
    <w:rsid w:val="008136DF"/>
    <w:rsid w:val="00813B97"/>
    <w:rsid w:val="00814192"/>
    <w:rsid w:val="00814E45"/>
    <w:rsid w:val="008161DF"/>
    <w:rsid w:val="00817DA7"/>
    <w:rsid w:val="00821B16"/>
    <w:rsid w:val="00821C95"/>
    <w:rsid w:val="00822D1E"/>
    <w:rsid w:val="0082425D"/>
    <w:rsid w:val="00824CEF"/>
    <w:rsid w:val="008254AB"/>
    <w:rsid w:val="00826480"/>
    <w:rsid w:val="008265E6"/>
    <w:rsid w:val="0082691B"/>
    <w:rsid w:val="00830148"/>
    <w:rsid w:val="00830DA9"/>
    <w:rsid w:val="00830F0D"/>
    <w:rsid w:val="008316AD"/>
    <w:rsid w:val="00831855"/>
    <w:rsid w:val="0083346E"/>
    <w:rsid w:val="00834437"/>
    <w:rsid w:val="0083466C"/>
    <w:rsid w:val="00835315"/>
    <w:rsid w:val="008355D1"/>
    <w:rsid w:val="00835AEB"/>
    <w:rsid w:val="008369EF"/>
    <w:rsid w:val="00837970"/>
    <w:rsid w:val="00840D0F"/>
    <w:rsid w:val="008414EC"/>
    <w:rsid w:val="0084200E"/>
    <w:rsid w:val="00842A84"/>
    <w:rsid w:val="00842FDE"/>
    <w:rsid w:val="00843DF5"/>
    <w:rsid w:val="008445D4"/>
    <w:rsid w:val="008446F1"/>
    <w:rsid w:val="00845508"/>
    <w:rsid w:val="00845BF0"/>
    <w:rsid w:val="00846FF0"/>
    <w:rsid w:val="0084769B"/>
    <w:rsid w:val="00850844"/>
    <w:rsid w:val="0085175C"/>
    <w:rsid w:val="00851835"/>
    <w:rsid w:val="00851CAE"/>
    <w:rsid w:val="00854B56"/>
    <w:rsid w:val="008562D0"/>
    <w:rsid w:val="00856594"/>
    <w:rsid w:val="0085728C"/>
    <w:rsid w:val="0085748B"/>
    <w:rsid w:val="00857A42"/>
    <w:rsid w:val="0086100F"/>
    <w:rsid w:val="00861179"/>
    <w:rsid w:val="008611A4"/>
    <w:rsid w:val="008611E0"/>
    <w:rsid w:val="00861D9F"/>
    <w:rsid w:val="00861F2E"/>
    <w:rsid w:val="00861FD7"/>
    <w:rsid w:val="00862EC0"/>
    <w:rsid w:val="0086363F"/>
    <w:rsid w:val="008639C9"/>
    <w:rsid w:val="00864386"/>
    <w:rsid w:val="008651D6"/>
    <w:rsid w:val="008667AD"/>
    <w:rsid w:val="00866C23"/>
    <w:rsid w:val="00866D13"/>
    <w:rsid w:val="008677AC"/>
    <w:rsid w:val="00870594"/>
    <w:rsid w:val="00870EC1"/>
    <w:rsid w:val="00871D68"/>
    <w:rsid w:val="00874DEF"/>
    <w:rsid w:val="00874E1E"/>
    <w:rsid w:val="008758F4"/>
    <w:rsid w:val="0087638C"/>
    <w:rsid w:val="00877148"/>
    <w:rsid w:val="00877872"/>
    <w:rsid w:val="0088013C"/>
    <w:rsid w:val="00880252"/>
    <w:rsid w:val="00881882"/>
    <w:rsid w:val="00881AFA"/>
    <w:rsid w:val="00882AC7"/>
    <w:rsid w:val="00882CC5"/>
    <w:rsid w:val="008835E3"/>
    <w:rsid w:val="00884452"/>
    <w:rsid w:val="00886D8D"/>
    <w:rsid w:val="008905D4"/>
    <w:rsid w:val="008905D7"/>
    <w:rsid w:val="00890EBD"/>
    <w:rsid w:val="008934C7"/>
    <w:rsid w:val="00893CFF"/>
    <w:rsid w:val="00893F33"/>
    <w:rsid w:val="008948F7"/>
    <w:rsid w:val="008957C4"/>
    <w:rsid w:val="00895B87"/>
    <w:rsid w:val="00895DE0"/>
    <w:rsid w:val="00895EB5"/>
    <w:rsid w:val="008960B7"/>
    <w:rsid w:val="008962F2"/>
    <w:rsid w:val="00896511"/>
    <w:rsid w:val="0089692A"/>
    <w:rsid w:val="00896F35"/>
    <w:rsid w:val="008975E7"/>
    <w:rsid w:val="008A08A5"/>
    <w:rsid w:val="008A08D2"/>
    <w:rsid w:val="008A0DE1"/>
    <w:rsid w:val="008A2E7B"/>
    <w:rsid w:val="008A3B62"/>
    <w:rsid w:val="008A3EA4"/>
    <w:rsid w:val="008A5A12"/>
    <w:rsid w:val="008A5CA9"/>
    <w:rsid w:val="008A7133"/>
    <w:rsid w:val="008A7789"/>
    <w:rsid w:val="008B05D5"/>
    <w:rsid w:val="008B125B"/>
    <w:rsid w:val="008B1BB3"/>
    <w:rsid w:val="008B1D85"/>
    <w:rsid w:val="008B3920"/>
    <w:rsid w:val="008B57D5"/>
    <w:rsid w:val="008B5B9D"/>
    <w:rsid w:val="008B6098"/>
    <w:rsid w:val="008B68C6"/>
    <w:rsid w:val="008B6F16"/>
    <w:rsid w:val="008B6F4B"/>
    <w:rsid w:val="008C0189"/>
    <w:rsid w:val="008C12FB"/>
    <w:rsid w:val="008C21FC"/>
    <w:rsid w:val="008C3700"/>
    <w:rsid w:val="008C4269"/>
    <w:rsid w:val="008C4590"/>
    <w:rsid w:val="008C465E"/>
    <w:rsid w:val="008C4CE4"/>
    <w:rsid w:val="008C4D69"/>
    <w:rsid w:val="008C5D6D"/>
    <w:rsid w:val="008C6196"/>
    <w:rsid w:val="008C6787"/>
    <w:rsid w:val="008C7241"/>
    <w:rsid w:val="008C73D6"/>
    <w:rsid w:val="008D0C62"/>
    <w:rsid w:val="008D2844"/>
    <w:rsid w:val="008D2CD6"/>
    <w:rsid w:val="008D4939"/>
    <w:rsid w:val="008D4C5A"/>
    <w:rsid w:val="008D50C8"/>
    <w:rsid w:val="008D5372"/>
    <w:rsid w:val="008D5DDB"/>
    <w:rsid w:val="008D7FC7"/>
    <w:rsid w:val="008E1C92"/>
    <w:rsid w:val="008E2790"/>
    <w:rsid w:val="008E3D60"/>
    <w:rsid w:val="008E45DB"/>
    <w:rsid w:val="008E4DBC"/>
    <w:rsid w:val="008E7390"/>
    <w:rsid w:val="008F05C2"/>
    <w:rsid w:val="008F1AA2"/>
    <w:rsid w:val="008F1BA1"/>
    <w:rsid w:val="008F1F00"/>
    <w:rsid w:val="008F3D38"/>
    <w:rsid w:val="008F42BB"/>
    <w:rsid w:val="008F47D1"/>
    <w:rsid w:val="008F4EE4"/>
    <w:rsid w:val="008F5EBB"/>
    <w:rsid w:val="0090052C"/>
    <w:rsid w:val="00903728"/>
    <w:rsid w:val="00903D9F"/>
    <w:rsid w:val="009046AE"/>
    <w:rsid w:val="00905434"/>
    <w:rsid w:val="00905C39"/>
    <w:rsid w:val="009072B9"/>
    <w:rsid w:val="009072F6"/>
    <w:rsid w:val="00907697"/>
    <w:rsid w:val="00907706"/>
    <w:rsid w:val="009113AE"/>
    <w:rsid w:val="009116CC"/>
    <w:rsid w:val="00912262"/>
    <w:rsid w:val="009125BC"/>
    <w:rsid w:val="00912A52"/>
    <w:rsid w:val="00912BE1"/>
    <w:rsid w:val="00914210"/>
    <w:rsid w:val="00920F5A"/>
    <w:rsid w:val="009216CE"/>
    <w:rsid w:val="009219EC"/>
    <w:rsid w:val="00921F3C"/>
    <w:rsid w:val="009220F5"/>
    <w:rsid w:val="00922F0F"/>
    <w:rsid w:val="00923A05"/>
    <w:rsid w:val="00923B3A"/>
    <w:rsid w:val="00924470"/>
    <w:rsid w:val="00924F4A"/>
    <w:rsid w:val="00925139"/>
    <w:rsid w:val="0092567B"/>
    <w:rsid w:val="009259EF"/>
    <w:rsid w:val="00925DCA"/>
    <w:rsid w:val="00927725"/>
    <w:rsid w:val="00927DC4"/>
    <w:rsid w:val="00930137"/>
    <w:rsid w:val="009304FE"/>
    <w:rsid w:val="00930782"/>
    <w:rsid w:val="0093099D"/>
    <w:rsid w:val="009310F0"/>
    <w:rsid w:val="00932603"/>
    <w:rsid w:val="0093289B"/>
    <w:rsid w:val="009336C6"/>
    <w:rsid w:val="00933F3A"/>
    <w:rsid w:val="0093422B"/>
    <w:rsid w:val="0093570A"/>
    <w:rsid w:val="009363C8"/>
    <w:rsid w:val="00936C3C"/>
    <w:rsid w:val="00936EC8"/>
    <w:rsid w:val="00937E3E"/>
    <w:rsid w:val="00941138"/>
    <w:rsid w:val="00942DAE"/>
    <w:rsid w:val="00943A6D"/>
    <w:rsid w:val="00943F6E"/>
    <w:rsid w:val="00945D59"/>
    <w:rsid w:val="009466C8"/>
    <w:rsid w:val="00947F9D"/>
    <w:rsid w:val="00950452"/>
    <w:rsid w:val="00951D24"/>
    <w:rsid w:val="00952049"/>
    <w:rsid w:val="00953917"/>
    <w:rsid w:val="00953BC2"/>
    <w:rsid w:val="009564F3"/>
    <w:rsid w:val="009565E3"/>
    <w:rsid w:val="00956972"/>
    <w:rsid w:val="00957FEC"/>
    <w:rsid w:val="0096048E"/>
    <w:rsid w:val="00960899"/>
    <w:rsid w:val="00960E02"/>
    <w:rsid w:val="00961E91"/>
    <w:rsid w:val="00961F51"/>
    <w:rsid w:val="0096308C"/>
    <w:rsid w:val="00963876"/>
    <w:rsid w:val="00963DC7"/>
    <w:rsid w:val="00963F9F"/>
    <w:rsid w:val="009647BC"/>
    <w:rsid w:val="00964C35"/>
    <w:rsid w:val="00965754"/>
    <w:rsid w:val="00965BFF"/>
    <w:rsid w:val="00966051"/>
    <w:rsid w:val="00966A46"/>
    <w:rsid w:val="0097030E"/>
    <w:rsid w:val="00971AA0"/>
    <w:rsid w:val="009734F1"/>
    <w:rsid w:val="00974568"/>
    <w:rsid w:val="0097493A"/>
    <w:rsid w:val="0097685E"/>
    <w:rsid w:val="00977973"/>
    <w:rsid w:val="00977A6E"/>
    <w:rsid w:val="00981F79"/>
    <w:rsid w:val="0098324B"/>
    <w:rsid w:val="009832E5"/>
    <w:rsid w:val="009834E9"/>
    <w:rsid w:val="00983A04"/>
    <w:rsid w:val="00983F62"/>
    <w:rsid w:val="009850EF"/>
    <w:rsid w:val="009853DD"/>
    <w:rsid w:val="009868FC"/>
    <w:rsid w:val="0098727E"/>
    <w:rsid w:val="009907A5"/>
    <w:rsid w:val="00990C1E"/>
    <w:rsid w:val="0099169B"/>
    <w:rsid w:val="00991A16"/>
    <w:rsid w:val="0099230F"/>
    <w:rsid w:val="00993157"/>
    <w:rsid w:val="00993BEE"/>
    <w:rsid w:val="00994102"/>
    <w:rsid w:val="0099563B"/>
    <w:rsid w:val="00995D44"/>
    <w:rsid w:val="009961EE"/>
    <w:rsid w:val="00996C75"/>
    <w:rsid w:val="00996C9C"/>
    <w:rsid w:val="00996FC8"/>
    <w:rsid w:val="00997C98"/>
    <w:rsid w:val="009A0BF1"/>
    <w:rsid w:val="009A1E7B"/>
    <w:rsid w:val="009A23A4"/>
    <w:rsid w:val="009A27B4"/>
    <w:rsid w:val="009A2ED9"/>
    <w:rsid w:val="009A3911"/>
    <w:rsid w:val="009A43AF"/>
    <w:rsid w:val="009A484D"/>
    <w:rsid w:val="009A4CF1"/>
    <w:rsid w:val="009A5BE3"/>
    <w:rsid w:val="009A7AD8"/>
    <w:rsid w:val="009B0086"/>
    <w:rsid w:val="009B0DF1"/>
    <w:rsid w:val="009B3688"/>
    <w:rsid w:val="009B4416"/>
    <w:rsid w:val="009B4E8F"/>
    <w:rsid w:val="009B5E0E"/>
    <w:rsid w:val="009B648D"/>
    <w:rsid w:val="009B753C"/>
    <w:rsid w:val="009B75B8"/>
    <w:rsid w:val="009B7FCB"/>
    <w:rsid w:val="009C07DF"/>
    <w:rsid w:val="009C0BAE"/>
    <w:rsid w:val="009C0E2E"/>
    <w:rsid w:val="009C151A"/>
    <w:rsid w:val="009C190C"/>
    <w:rsid w:val="009C1D56"/>
    <w:rsid w:val="009C2432"/>
    <w:rsid w:val="009C2436"/>
    <w:rsid w:val="009C496A"/>
    <w:rsid w:val="009C4D0F"/>
    <w:rsid w:val="009C58B6"/>
    <w:rsid w:val="009C77A0"/>
    <w:rsid w:val="009C79CB"/>
    <w:rsid w:val="009C7F81"/>
    <w:rsid w:val="009D0349"/>
    <w:rsid w:val="009D140E"/>
    <w:rsid w:val="009D14E9"/>
    <w:rsid w:val="009D1640"/>
    <w:rsid w:val="009D21D0"/>
    <w:rsid w:val="009D2FBA"/>
    <w:rsid w:val="009D351E"/>
    <w:rsid w:val="009D5162"/>
    <w:rsid w:val="009D53BA"/>
    <w:rsid w:val="009D7787"/>
    <w:rsid w:val="009D7D44"/>
    <w:rsid w:val="009E02C9"/>
    <w:rsid w:val="009E2A43"/>
    <w:rsid w:val="009E2A96"/>
    <w:rsid w:val="009E31CC"/>
    <w:rsid w:val="009E39DC"/>
    <w:rsid w:val="009E3A92"/>
    <w:rsid w:val="009E418B"/>
    <w:rsid w:val="009E44D4"/>
    <w:rsid w:val="009E455F"/>
    <w:rsid w:val="009E5645"/>
    <w:rsid w:val="009E56B4"/>
    <w:rsid w:val="009E57CC"/>
    <w:rsid w:val="009E67DD"/>
    <w:rsid w:val="009F021C"/>
    <w:rsid w:val="009F1350"/>
    <w:rsid w:val="009F24BE"/>
    <w:rsid w:val="009F36FC"/>
    <w:rsid w:val="009F43C3"/>
    <w:rsid w:val="009F4A94"/>
    <w:rsid w:val="009F4C44"/>
    <w:rsid w:val="009F6096"/>
    <w:rsid w:val="009F7837"/>
    <w:rsid w:val="00A00EEE"/>
    <w:rsid w:val="00A01F3F"/>
    <w:rsid w:val="00A020B4"/>
    <w:rsid w:val="00A02CC6"/>
    <w:rsid w:val="00A02F3C"/>
    <w:rsid w:val="00A03C1F"/>
    <w:rsid w:val="00A043FE"/>
    <w:rsid w:val="00A0568F"/>
    <w:rsid w:val="00A05916"/>
    <w:rsid w:val="00A05AA6"/>
    <w:rsid w:val="00A06192"/>
    <w:rsid w:val="00A07065"/>
    <w:rsid w:val="00A10886"/>
    <w:rsid w:val="00A11861"/>
    <w:rsid w:val="00A123EE"/>
    <w:rsid w:val="00A1266A"/>
    <w:rsid w:val="00A12B23"/>
    <w:rsid w:val="00A137EB"/>
    <w:rsid w:val="00A1389B"/>
    <w:rsid w:val="00A1622A"/>
    <w:rsid w:val="00A16CDB"/>
    <w:rsid w:val="00A16EEB"/>
    <w:rsid w:val="00A20575"/>
    <w:rsid w:val="00A2104B"/>
    <w:rsid w:val="00A2114F"/>
    <w:rsid w:val="00A213AC"/>
    <w:rsid w:val="00A2214B"/>
    <w:rsid w:val="00A2216E"/>
    <w:rsid w:val="00A22F5A"/>
    <w:rsid w:val="00A2370B"/>
    <w:rsid w:val="00A23F13"/>
    <w:rsid w:val="00A246B9"/>
    <w:rsid w:val="00A26956"/>
    <w:rsid w:val="00A26FEE"/>
    <w:rsid w:val="00A27ACC"/>
    <w:rsid w:val="00A27C20"/>
    <w:rsid w:val="00A30EA6"/>
    <w:rsid w:val="00A30EB2"/>
    <w:rsid w:val="00A30F77"/>
    <w:rsid w:val="00A3119D"/>
    <w:rsid w:val="00A31523"/>
    <w:rsid w:val="00A31536"/>
    <w:rsid w:val="00A316C6"/>
    <w:rsid w:val="00A31FAC"/>
    <w:rsid w:val="00A327D3"/>
    <w:rsid w:val="00A346FE"/>
    <w:rsid w:val="00A34C98"/>
    <w:rsid w:val="00A3596C"/>
    <w:rsid w:val="00A36B1D"/>
    <w:rsid w:val="00A36E14"/>
    <w:rsid w:val="00A37155"/>
    <w:rsid w:val="00A37A54"/>
    <w:rsid w:val="00A40440"/>
    <w:rsid w:val="00A40446"/>
    <w:rsid w:val="00A4050A"/>
    <w:rsid w:val="00A4134D"/>
    <w:rsid w:val="00A41712"/>
    <w:rsid w:val="00A437BB"/>
    <w:rsid w:val="00A4716C"/>
    <w:rsid w:val="00A526B6"/>
    <w:rsid w:val="00A52978"/>
    <w:rsid w:val="00A5304C"/>
    <w:rsid w:val="00A53130"/>
    <w:rsid w:val="00A5412B"/>
    <w:rsid w:val="00A544CA"/>
    <w:rsid w:val="00A6042C"/>
    <w:rsid w:val="00A60694"/>
    <w:rsid w:val="00A628DE"/>
    <w:rsid w:val="00A64735"/>
    <w:rsid w:val="00A64AC6"/>
    <w:rsid w:val="00A651E0"/>
    <w:rsid w:val="00A652CB"/>
    <w:rsid w:val="00A6538D"/>
    <w:rsid w:val="00A65F5E"/>
    <w:rsid w:val="00A6624D"/>
    <w:rsid w:val="00A666B7"/>
    <w:rsid w:val="00A66B50"/>
    <w:rsid w:val="00A67088"/>
    <w:rsid w:val="00A6772D"/>
    <w:rsid w:val="00A70323"/>
    <w:rsid w:val="00A704A9"/>
    <w:rsid w:val="00A70FAF"/>
    <w:rsid w:val="00A719FA"/>
    <w:rsid w:val="00A724A0"/>
    <w:rsid w:val="00A72556"/>
    <w:rsid w:val="00A7322E"/>
    <w:rsid w:val="00A73601"/>
    <w:rsid w:val="00A73897"/>
    <w:rsid w:val="00A7422E"/>
    <w:rsid w:val="00A746B4"/>
    <w:rsid w:val="00A7645B"/>
    <w:rsid w:val="00A7669A"/>
    <w:rsid w:val="00A772E7"/>
    <w:rsid w:val="00A80B08"/>
    <w:rsid w:val="00A8147F"/>
    <w:rsid w:val="00A84536"/>
    <w:rsid w:val="00A8510A"/>
    <w:rsid w:val="00A85226"/>
    <w:rsid w:val="00A8570C"/>
    <w:rsid w:val="00A857A7"/>
    <w:rsid w:val="00A860D4"/>
    <w:rsid w:val="00A872C9"/>
    <w:rsid w:val="00A87678"/>
    <w:rsid w:val="00A90F74"/>
    <w:rsid w:val="00A92240"/>
    <w:rsid w:val="00A92C6B"/>
    <w:rsid w:val="00A933D5"/>
    <w:rsid w:val="00A944A8"/>
    <w:rsid w:val="00A95A85"/>
    <w:rsid w:val="00A95D1C"/>
    <w:rsid w:val="00A967C0"/>
    <w:rsid w:val="00A97335"/>
    <w:rsid w:val="00A973D1"/>
    <w:rsid w:val="00A974AE"/>
    <w:rsid w:val="00A97811"/>
    <w:rsid w:val="00AA014A"/>
    <w:rsid w:val="00AA1622"/>
    <w:rsid w:val="00AA36B5"/>
    <w:rsid w:val="00AA438D"/>
    <w:rsid w:val="00AA4FFE"/>
    <w:rsid w:val="00AA5C5A"/>
    <w:rsid w:val="00AA60EA"/>
    <w:rsid w:val="00AA67DB"/>
    <w:rsid w:val="00AA72B5"/>
    <w:rsid w:val="00AA73BB"/>
    <w:rsid w:val="00AB009C"/>
    <w:rsid w:val="00AB074A"/>
    <w:rsid w:val="00AB2C4F"/>
    <w:rsid w:val="00AB2CA8"/>
    <w:rsid w:val="00AB482A"/>
    <w:rsid w:val="00AB5020"/>
    <w:rsid w:val="00AB5DC2"/>
    <w:rsid w:val="00AB5F73"/>
    <w:rsid w:val="00AB6968"/>
    <w:rsid w:val="00AB699B"/>
    <w:rsid w:val="00AB6EAA"/>
    <w:rsid w:val="00AB6FD8"/>
    <w:rsid w:val="00AC03E5"/>
    <w:rsid w:val="00AC113A"/>
    <w:rsid w:val="00AC12FB"/>
    <w:rsid w:val="00AC1E64"/>
    <w:rsid w:val="00AC259C"/>
    <w:rsid w:val="00AC2919"/>
    <w:rsid w:val="00AC3473"/>
    <w:rsid w:val="00AC4230"/>
    <w:rsid w:val="00AC4746"/>
    <w:rsid w:val="00AC5FB9"/>
    <w:rsid w:val="00AC6F04"/>
    <w:rsid w:val="00AC70F3"/>
    <w:rsid w:val="00AC7204"/>
    <w:rsid w:val="00AC7EE4"/>
    <w:rsid w:val="00AD07F3"/>
    <w:rsid w:val="00AD1327"/>
    <w:rsid w:val="00AD160E"/>
    <w:rsid w:val="00AD1FB6"/>
    <w:rsid w:val="00AD22B6"/>
    <w:rsid w:val="00AD34F0"/>
    <w:rsid w:val="00AD5C38"/>
    <w:rsid w:val="00AD7355"/>
    <w:rsid w:val="00AE1AC7"/>
    <w:rsid w:val="00AE2494"/>
    <w:rsid w:val="00AE27D5"/>
    <w:rsid w:val="00AE2A43"/>
    <w:rsid w:val="00AE2D37"/>
    <w:rsid w:val="00AE2D7B"/>
    <w:rsid w:val="00AE5478"/>
    <w:rsid w:val="00AE655A"/>
    <w:rsid w:val="00AE6EE8"/>
    <w:rsid w:val="00AF084A"/>
    <w:rsid w:val="00AF0AC1"/>
    <w:rsid w:val="00AF16AA"/>
    <w:rsid w:val="00AF351B"/>
    <w:rsid w:val="00AF41FA"/>
    <w:rsid w:val="00AF4B50"/>
    <w:rsid w:val="00AF4E66"/>
    <w:rsid w:val="00AF6A43"/>
    <w:rsid w:val="00AF6DD9"/>
    <w:rsid w:val="00B0017C"/>
    <w:rsid w:val="00B001CE"/>
    <w:rsid w:val="00B00936"/>
    <w:rsid w:val="00B01F47"/>
    <w:rsid w:val="00B021F9"/>
    <w:rsid w:val="00B02A2B"/>
    <w:rsid w:val="00B03703"/>
    <w:rsid w:val="00B044F4"/>
    <w:rsid w:val="00B057E0"/>
    <w:rsid w:val="00B05C76"/>
    <w:rsid w:val="00B07E37"/>
    <w:rsid w:val="00B101A9"/>
    <w:rsid w:val="00B104A1"/>
    <w:rsid w:val="00B106F6"/>
    <w:rsid w:val="00B10F4E"/>
    <w:rsid w:val="00B11E5B"/>
    <w:rsid w:val="00B14213"/>
    <w:rsid w:val="00B1454D"/>
    <w:rsid w:val="00B146AF"/>
    <w:rsid w:val="00B1511A"/>
    <w:rsid w:val="00B15D08"/>
    <w:rsid w:val="00B16E7E"/>
    <w:rsid w:val="00B17E98"/>
    <w:rsid w:val="00B20655"/>
    <w:rsid w:val="00B20AC4"/>
    <w:rsid w:val="00B21153"/>
    <w:rsid w:val="00B2131E"/>
    <w:rsid w:val="00B233D9"/>
    <w:rsid w:val="00B245DC"/>
    <w:rsid w:val="00B247CF"/>
    <w:rsid w:val="00B24940"/>
    <w:rsid w:val="00B24EAC"/>
    <w:rsid w:val="00B2506C"/>
    <w:rsid w:val="00B251E6"/>
    <w:rsid w:val="00B26136"/>
    <w:rsid w:val="00B2631A"/>
    <w:rsid w:val="00B265B1"/>
    <w:rsid w:val="00B26D8F"/>
    <w:rsid w:val="00B27E5C"/>
    <w:rsid w:val="00B27EE4"/>
    <w:rsid w:val="00B301A2"/>
    <w:rsid w:val="00B303F0"/>
    <w:rsid w:val="00B304DC"/>
    <w:rsid w:val="00B30A47"/>
    <w:rsid w:val="00B312A4"/>
    <w:rsid w:val="00B3184F"/>
    <w:rsid w:val="00B32D74"/>
    <w:rsid w:val="00B3314E"/>
    <w:rsid w:val="00B3348E"/>
    <w:rsid w:val="00B338F7"/>
    <w:rsid w:val="00B3412E"/>
    <w:rsid w:val="00B35695"/>
    <w:rsid w:val="00B36AE2"/>
    <w:rsid w:val="00B40231"/>
    <w:rsid w:val="00B40C7A"/>
    <w:rsid w:val="00B419E0"/>
    <w:rsid w:val="00B4266C"/>
    <w:rsid w:val="00B42ABB"/>
    <w:rsid w:val="00B42F5F"/>
    <w:rsid w:val="00B45042"/>
    <w:rsid w:val="00B45856"/>
    <w:rsid w:val="00B4655F"/>
    <w:rsid w:val="00B47697"/>
    <w:rsid w:val="00B47D0E"/>
    <w:rsid w:val="00B508E9"/>
    <w:rsid w:val="00B50A86"/>
    <w:rsid w:val="00B513A5"/>
    <w:rsid w:val="00B52B1B"/>
    <w:rsid w:val="00B52F2B"/>
    <w:rsid w:val="00B531F1"/>
    <w:rsid w:val="00B540FF"/>
    <w:rsid w:val="00B547FB"/>
    <w:rsid w:val="00B553B1"/>
    <w:rsid w:val="00B555ED"/>
    <w:rsid w:val="00B5573C"/>
    <w:rsid w:val="00B55B97"/>
    <w:rsid w:val="00B56554"/>
    <w:rsid w:val="00B5693B"/>
    <w:rsid w:val="00B56E5D"/>
    <w:rsid w:val="00B5729D"/>
    <w:rsid w:val="00B57983"/>
    <w:rsid w:val="00B57E11"/>
    <w:rsid w:val="00B60AD3"/>
    <w:rsid w:val="00B61727"/>
    <w:rsid w:val="00B6173F"/>
    <w:rsid w:val="00B63997"/>
    <w:rsid w:val="00B63E0E"/>
    <w:rsid w:val="00B64C58"/>
    <w:rsid w:val="00B6611A"/>
    <w:rsid w:val="00B6688D"/>
    <w:rsid w:val="00B66BAE"/>
    <w:rsid w:val="00B66DD7"/>
    <w:rsid w:val="00B70517"/>
    <w:rsid w:val="00B70D8E"/>
    <w:rsid w:val="00B715F8"/>
    <w:rsid w:val="00B7181E"/>
    <w:rsid w:val="00B7216E"/>
    <w:rsid w:val="00B72736"/>
    <w:rsid w:val="00B72809"/>
    <w:rsid w:val="00B72A2A"/>
    <w:rsid w:val="00B72D9A"/>
    <w:rsid w:val="00B73E69"/>
    <w:rsid w:val="00B74F9D"/>
    <w:rsid w:val="00B751FF"/>
    <w:rsid w:val="00B756FD"/>
    <w:rsid w:val="00B75BB3"/>
    <w:rsid w:val="00B77A27"/>
    <w:rsid w:val="00B77B6B"/>
    <w:rsid w:val="00B8045B"/>
    <w:rsid w:val="00B80D03"/>
    <w:rsid w:val="00B8177E"/>
    <w:rsid w:val="00B81F6A"/>
    <w:rsid w:val="00B81FD1"/>
    <w:rsid w:val="00B84653"/>
    <w:rsid w:val="00B8617A"/>
    <w:rsid w:val="00B866CA"/>
    <w:rsid w:val="00B86E4E"/>
    <w:rsid w:val="00B90DBA"/>
    <w:rsid w:val="00B90F6A"/>
    <w:rsid w:val="00B9106A"/>
    <w:rsid w:val="00B9185F"/>
    <w:rsid w:val="00B918B1"/>
    <w:rsid w:val="00B92D56"/>
    <w:rsid w:val="00B951C0"/>
    <w:rsid w:val="00B95A7D"/>
    <w:rsid w:val="00B96A3D"/>
    <w:rsid w:val="00BA04AA"/>
    <w:rsid w:val="00BA0575"/>
    <w:rsid w:val="00BA1D7B"/>
    <w:rsid w:val="00BA1E65"/>
    <w:rsid w:val="00BA3848"/>
    <w:rsid w:val="00BA4EA6"/>
    <w:rsid w:val="00BA52C0"/>
    <w:rsid w:val="00BA574F"/>
    <w:rsid w:val="00BA657A"/>
    <w:rsid w:val="00BA7BD2"/>
    <w:rsid w:val="00BB1257"/>
    <w:rsid w:val="00BB25C7"/>
    <w:rsid w:val="00BB276B"/>
    <w:rsid w:val="00BB354F"/>
    <w:rsid w:val="00BB36A8"/>
    <w:rsid w:val="00BB3EE5"/>
    <w:rsid w:val="00BB3F53"/>
    <w:rsid w:val="00BB4228"/>
    <w:rsid w:val="00BB4825"/>
    <w:rsid w:val="00BB5B0A"/>
    <w:rsid w:val="00BB5BBF"/>
    <w:rsid w:val="00BB627A"/>
    <w:rsid w:val="00BB700A"/>
    <w:rsid w:val="00BB7187"/>
    <w:rsid w:val="00BC0A21"/>
    <w:rsid w:val="00BC0BCB"/>
    <w:rsid w:val="00BC108B"/>
    <w:rsid w:val="00BC12B6"/>
    <w:rsid w:val="00BC2710"/>
    <w:rsid w:val="00BC2DCC"/>
    <w:rsid w:val="00BC2DF0"/>
    <w:rsid w:val="00BC321A"/>
    <w:rsid w:val="00BC3F05"/>
    <w:rsid w:val="00BC45CB"/>
    <w:rsid w:val="00BC4750"/>
    <w:rsid w:val="00BC53B7"/>
    <w:rsid w:val="00BC5C7E"/>
    <w:rsid w:val="00BC6B57"/>
    <w:rsid w:val="00BD05B2"/>
    <w:rsid w:val="00BD1E93"/>
    <w:rsid w:val="00BD1EB6"/>
    <w:rsid w:val="00BD1F85"/>
    <w:rsid w:val="00BD27A4"/>
    <w:rsid w:val="00BD2A7B"/>
    <w:rsid w:val="00BD2CD5"/>
    <w:rsid w:val="00BD2EBC"/>
    <w:rsid w:val="00BD4BCE"/>
    <w:rsid w:val="00BD5434"/>
    <w:rsid w:val="00BD57BE"/>
    <w:rsid w:val="00BD59EC"/>
    <w:rsid w:val="00BD6A08"/>
    <w:rsid w:val="00BD720D"/>
    <w:rsid w:val="00BE1740"/>
    <w:rsid w:val="00BE1981"/>
    <w:rsid w:val="00BE1985"/>
    <w:rsid w:val="00BE2DFC"/>
    <w:rsid w:val="00BE3527"/>
    <w:rsid w:val="00BE36F5"/>
    <w:rsid w:val="00BE37E1"/>
    <w:rsid w:val="00BE448A"/>
    <w:rsid w:val="00BE6B92"/>
    <w:rsid w:val="00BE6BBF"/>
    <w:rsid w:val="00BE6ED1"/>
    <w:rsid w:val="00BF0A10"/>
    <w:rsid w:val="00BF0F45"/>
    <w:rsid w:val="00BF1807"/>
    <w:rsid w:val="00BF1B5F"/>
    <w:rsid w:val="00BF2A46"/>
    <w:rsid w:val="00BF335C"/>
    <w:rsid w:val="00BF48C1"/>
    <w:rsid w:val="00BF5828"/>
    <w:rsid w:val="00BF6C75"/>
    <w:rsid w:val="00BF74DD"/>
    <w:rsid w:val="00C00570"/>
    <w:rsid w:val="00C00AE5"/>
    <w:rsid w:val="00C017CD"/>
    <w:rsid w:val="00C01CF2"/>
    <w:rsid w:val="00C022AF"/>
    <w:rsid w:val="00C03981"/>
    <w:rsid w:val="00C04218"/>
    <w:rsid w:val="00C04ED2"/>
    <w:rsid w:val="00C05103"/>
    <w:rsid w:val="00C05509"/>
    <w:rsid w:val="00C062B9"/>
    <w:rsid w:val="00C068FB"/>
    <w:rsid w:val="00C0704F"/>
    <w:rsid w:val="00C07844"/>
    <w:rsid w:val="00C07AD3"/>
    <w:rsid w:val="00C100E8"/>
    <w:rsid w:val="00C10E43"/>
    <w:rsid w:val="00C11D00"/>
    <w:rsid w:val="00C124B4"/>
    <w:rsid w:val="00C1369E"/>
    <w:rsid w:val="00C13ED1"/>
    <w:rsid w:val="00C1408E"/>
    <w:rsid w:val="00C14801"/>
    <w:rsid w:val="00C14D24"/>
    <w:rsid w:val="00C15225"/>
    <w:rsid w:val="00C152B8"/>
    <w:rsid w:val="00C16966"/>
    <w:rsid w:val="00C16E1E"/>
    <w:rsid w:val="00C20AE7"/>
    <w:rsid w:val="00C2347A"/>
    <w:rsid w:val="00C2590E"/>
    <w:rsid w:val="00C26422"/>
    <w:rsid w:val="00C26763"/>
    <w:rsid w:val="00C267EF"/>
    <w:rsid w:val="00C26C7C"/>
    <w:rsid w:val="00C2713B"/>
    <w:rsid w:val="00C30CDE"/>
    <w:rsid w:val="00C319AC"/>
    <w:rsid w:val="00C31ED5"/>
    <w:rsid w:val="00C320C2"/>
    <w:rsid w:val="00C320F1"/>
    <w:rsid w:val="00C32484"/>
    <w:rsid w:val="00C3269F"/>
    <w:rsid w:val="00C33C89"/>
    <w:rsid w:val="00C3431F"/>
    <w:rsid w:val="00C34D03"/>
    <w:rsid w:val="00C35764"/>
    <w:rsid w:val="00C41EE0"/>
    <w:rsid w:val="00C41F4A"/>
    <w:rsid w:val="00C42163"/>
    <w:rsid w:val="00C43873"/>
    <w:rsid w:val="00C45358"/>
    <w:rsid w:val="00C45513"/>
    <w:rsid w:val="00C4681F"/>
    <w:rsid w:val="00C46E9A"/>
    <w:rsid w:val="00C51391"/>
    <w:rsid w:val="00C53F3E"/>
    <w:rsid w:val="00C562F4"/>
    <w:rsid w:val="00C56603"/>
    <w:rsid w:val="00C56CDC"/>
    <w:rsid w:val="00C577BF"/>
    <w:rsid w:val="00C609DF"/>
    <w:rsid w:val="00C60A86"/>
    <w:rsid w:val="00C6107C"/>
    <w:rsid w:val="00C6111C"/>
    <w:rsid w:val="00C6160D"/>
    <w:rsid w:val="00C64788"/>
    <w:rsid w:val="00C65A7D"/>
    <w:rsid w:val="00C65E9D"/>
    <w:rsid w:val="00C66AA8"/>
    <w:rsid w:val="00C70497"/>
    <w:rsid w:val="00C704B8"/>
    <w:rsid w:val="00C706B4"/>
    <w:rsid w:val="00C7149A"/>
    <w:rsid w:val="00C72244"/>
    <w:rsid w:val="00C72E5F"/>
    <w:rsid w:val="00C73675"/>
    <w:rsid w:val="00C74E95"/>
    <w:rsid w:val="00C74FDD"/>
    <w:rsid w:val="00C764E5"/>
    <w:rsid w:val="00C77B17"/>
    <w:rsid w:val="00C81097"/>
    <w:rsid w:val="00C81704"/>
    <w:rsid w:val="00C82174"/>
    <w:rsid w:val="00C82C6C"/>
    <w:rsid w:val="00C848D1"/>
    <w:rsid w:val="00C8601D"/>
    <w:rsid w:val="00C869F3"/>
    <w:rsid w:val="00C86F0C"/>
    <w:rsid w:val="00C87529"/>
    <w:rsid w:val="00C87746"/>
    <w:rsid w:val="00C87880"/>
    <w:rsid w:val="00C87916"/>
    <w:rsid w:val="00C87E16"/>
    <w:rsid w:val="00C90677"/>
    <w:rsid w:val="00C90ED9"/>
    <w:rsid w:val="00C918DF"/>
    <w:rsid w:val="00C92C8E"/>
    <w:rsid w:val="00C932EA"/>
    <w:rsid w:val="00C93939"/>
    <w:rsid w:val="00C93CBD"/>
    <w:rsid w:val="00C93E88"/>
    <w:rsid w:val="00C94784"/>
    <w:rsid w:val="00C952D0"/>
    <w:rsid w:val="00C96027"/>
    <w:rsid w:val="00C96BC5"/>
    <w:rsid w:val="00C96C2F"/>
    <w:rsid w:val="00C96C44"/>
    <w:rsid w:val="00C96DD4"/>
    <w:rsid w:val="00C96DEE"/>
    <w:rsid w:val="00C97AEC"/>
    <w:rsid w:val="00C97BC9"/>
    <w:rsid w:val="00C97FC8"/>
    <w:rsid w:val="00CA00D5"/>
    <w:rsid w:val="00CA0724"/>
    <w:rsid w:val="00CA1068"/>
    <w:rsid w:val="00CA1972"/>
    <w:rsid w:val="00CA1C47"/>
    <w:rsid w:val="00CA277D"/>
    <w:rsid w:val="00CA3612"/>
    <w:rsid w:val="00CA372D"/>
    <w:rsid w:val="00CA3749"/>
    <w:rsid w:val="00CA3FCC"/>
    <w:rsid w:val="00CA46C9"/>
    <w:rsid w:val="00CA4C2D"/>
    <w:rsid w:val="00CA4CF1"/>
    <w:rsid w:val="00CA5540"/>
    <w:rsid w:val="00CA574C"/>
    <w:rsid w:val="00CA5C3D"/>
    <w:rsid w:val="00CA630A"/>
    <w:rsid w:val="00CA63A8"/>
    <w:rsid w:val="00CA6536"/>
    <w:rsid w:val="00CA6B73"/>
    <w:rsid w:val="00CA6BAF"/>
    <w:rsid w:val="00CA7E0A"/>
    <w:rsid w:val="00CB02CE"/>
    <w:rsid w:val="00CB0B66"/>
    <w:rsid w:val="00CB10E4"/>
    <w:rsid w:val="00CB1C25"/>
    <w:rsid w:val="00CB394C"/>
    <w:rsid w:val="00CB40A4"/>
    <w:rsid w:val="00CB5847"/>
    <w:rsid w:val="00CB6336"/>
    <w:rsid w:val="00CC05A7"/>
    <w:rsid w:val="00CC14C4"/>
    <w:rsid w:val="00CC15D9"/>
    <w:rsid w:val="00CC1B18"/>
    <w:rsid w:val="00CC261B"/>
    <w:rsid w:val="00CC4EB1"/>
    <w:rsid w:val="00CC54C3"/>
    <w:rsid w:val="00CC5812"/>
    <w:rsid w:val="00CC6252"/>
    <w:rsid w:val="00CC6828"/>
    <w:rsid w:val="00CC6BD1"/>
    <w:rsid w:val="00CC714E"/>
    <w:rsid w:val="00CC7465"/>
    <w:rsid w:val="00CC75CF"/>
    <w:rsid w:val="00CC7CC1"/>
    <w:rsid w:val="00CD1C84"/>
    <w:rsid w:val="00CD24A8"/>
    <w:rsid w:val="00CD29CF"/>
    <w:rsid w:val="00CD2CC8"/>
    <w:rsid w:val="00CD32A8"/>
    <w:rsid w:val="00CD38B6"/>
    <w:rsid w:val="00CD38C4"/>
    <w:rsid w:val="00CD51F7"/>
    <w:rsid w:val="00CD5507"/>
    <w:rsid w:val="00CD5D7F"/>
    <w:rsid w:val="00CD65EE"/>
    <w:rsid w:val="00CD7494"/>
    <w:rsid w:val="00CD7578"/>
    <w:rsid w:val="00CD7D3D"/>
    <w:rsid w:val="00CE0CD0"/>
    <w:rsid w:val="00CE13AD"/>
    <w:rsid w:val="00CE186F"/>
    <w:rsid w:val="00CE1FF3"/>
    <w:rsid w:val="00CE200F"/>
    <w:rsid w:val="00CE21DD"/>
    <w:rsid w:val="00CE23AA"/>
    <w:rsid w:val="00CE2BF2"/>
    <w:rsid w:val="00CE2EF1"/>
    <w:rsid w:val="00CE3041"/>
    <w:rsid w:val="00CE3461"/>
    <w:rsid w:val="00CE3475"/>
    <w:rsid w:val="00CE4394"/>
    <w:rsid w:val="00CE4799"/>
    <w:rsid w:val="00CE55DA"/>
    <w:rsid w:val="00CE5B91"/>
    <w:rsid w:val="00CE6615"/>
    <w:rsid w:val="00CE680F"/>
    <w:rsid w:val="00CE69C0"/>
    <w:rsid w:val="00CE7001"/>
    <w:rsid w:val="00CE799C"/>
    <w:rsid w:val="00CF03E7"/>
    <w:rsid w:val="00CF0839"/>
    <w:rsid w:val="00CF0BAF"/>
    <w:rsid w:val="00CF1884"/>
    <w:rsid w:val="00CF1B89"/>
    <w:rsid w:val="00CF23F0"/>
    <w:rsid w:val="00CF241F"/>
    <w:rsid w:val="00CF2DDA"/>
    <w:rsid w:val="00CF5174"/>
    <w:rsid w:val="00CF52EF"/>
    <w:rsid w:val="00CF74CF"/>
    <w:rsid w:val="00CF7840"/>
    <w:rsid w:val="00CF795E"/>
    <w:rsid w:val="00D00001"/>
    <w:rsid w:val="00D00734"/>
    <w:rsid w:val="00D01C1F"/>
    <w:rsid w:val="00D025A0"/>
    <w:rsid w:val="00D03001"/>
    <w:rsid w:val="00D03CD7"/>
    <w:rsid w:val="00D04D4B"/>
    <w:rsid w:val="00D04F78"/>
    <w:rsid w:val="00D050BF"/>
    <w:rsid w:val="00D05704"/>
    <w:rsid w:val="00D06389"/>
    <w:rsid w:val="00D065E4"/>
    <w:rsid w:val="00D067AE"/>
    <w:rsid w:val="00D069E1"/>
    <w:rsid w:val="00D076E2"/>
    <w:rsid w:val="00D1082B"/>
    <w:rsid w:val="00D12493"/>
    <w:rsid w:val="00D12B75"/>
    <w:rsid w:val="00D14EF9"/>
    <w:rsid w:val="00D15AE9"/>
    <w:rsid w:val="00D15F90"/>
    <w:rsid w:val="00D16F51"/>
    <w:rsid w:val="00D2107D"/>
    <w:rsid w:val="00D21282"/>
    <w:rsid w:val="00D21CD0"/>
    <w:rsid w:val="00D222D0"/>
    <w:rsid w:val="00D236C8"/>
    <w:rsid w:val="00D2377A"/>
    <w:rsid w:val="00D23D51"/>
    <w:rsid w:val="00D24033"/>
    <w:rsid w:val="00D2434F"/>
    <w:rsid w:val="00D24BF8"/>
    <w:rsid w:val="00D25B73"/>
    <w:rsid w:val="00D27FE9"/>
    <w:rsid w:val="00D30E85"/>
    <w:rsid w:val="00D325CD"/>
    <w:rsid w:val="00D32B20"/>
    <w:rsid w:val="00D3324B"/>
    <w:rsid w:val="00D339C6"/>
    <w:rsid w:val="00D33BAD"/>
    <w:rsid w:val="00D33C5E"/>
    <w:rsid w:val="00D34905"/>
    <w:rsid w:val="00D3501F"/>
    <w:rsid w:val="00D35194"/>
    <w:rsid w:val="00D36224"/>
    <w:rsid w:val="00D4028A"/>
    <w:rsid w:val="00D4075A"/>
    <w:rsid w:val="00D4158C"/>
    <w:rsid w:val="00D416AA"/>
    <w:rsid w:val="00D41FF6"/>
    <w:rsid w:val="00D44FD4"/>
    <w:rsid w:val="00D4543B"/>
    <w:rsid w:val="00D459E1"/>
    <w:rsid w:val="00D45FDF"/>
    <w:rsid w:val="00D46612"/>
    <w:rsid w:val="00D47D91"/>
    <w:rsid w:val="00D47E6A"/>
    <w:rsid w:val="00D50742"/>
    <w:rsid w:val="00D50BDC"/>
    <w:rsid w:val="00D50EE4"/>
    <w:rsid w:val="00D51221"/>
    <w:rsid w:val="00D516E8"/>
    <w:rsid w:val="00D52586"/>
    <w:rsid w:val="00D540B2"/>
    <w:rsid w:val="00D552BF"/>
    <w:rsid w:val="00D55558"/>
    <w:rsid w:val="00D556A2"/>
    <w:rsid w:val="00D55FDF"/>
    <w:rsid w:val="00D5616B"/>
    <w:rsid w:val="00D5673B"/>
    <w:rsid w:val="00D56769"/>
    <w:rsid w:val="00D56F3D"/>
    <w:rsid w:val="00D57411"/>
    <w:rsid w:val="00D61884"/>
    <w:rsid w:val="00D61A25"/>
    <w:rsid w:val="00D61ECA"/>
    <w:rsid w:val="00D628E3"/>
    <w:rsid w:val="00D63483"/>
    <w:rsid w:val="00D63C05"/>
    <w:rsid w:val="00D63FC0"/>
    <w:rsid w:val="00D6423E"/>
    <w:rsid w:val="00D65037"/>
    <w:rsid w:val="00D6547C"/>
    <w:rsid w:val="00D66349"/>
    <w:rsid w:val="00D66661"/>
    <w:rsid w:val="00D66F4D"/>
    <w:rsid w:val="00D6754F"/>
    <w:rsid w:val="00D71549"/>
    <w:rsid w:val="00D71C11"/>
    <w:rsid w:val="00D740A1"/>
    <w:rsid w:val="00D74447"/>
    <w:rsid w:val="00D75B68"/>
    <w:rsid w:val="00D75DD0"/>
    <w:rsid w:val="00D75EED"/>
    <w:rsid w:val="00D76810"/>
    <w:rsid w:val="00D76EF3"/>
    <w:rsid w:val="00D80707"/>
    <w:rsid w:val="00D80A47"/>
    <w:rsid w:val="00D81263"/>
    <w:rsid w:val="00D83164"/>
    <w:rsid w:val="00D83927"/>
    <w:rsid w:val="00D839C0"/>
    <w:rsid w:val="00D8591C"/>
    <w:rsid w:val="00D859A0"/>
    <w:rsid w:val="00D85B4C"/>
    <w:rsid w:val="00D85E86"/>
    <w:rsid w:val="00D867A5"/>
    <w:rsid w:val="00D86BD5"/>
    <w:rsid w:val="00D87899"/>
    <w:rsid w:val="00D9029A"/>
    <w:rsid w:val="00D903DF"/>
    <w:rsid w:val="00D9123F"/>
    <w:rsid w:val="00D91ED5"/>
    <w:rsid w:val="00D923E5"/>
    <w:rsid w:val="00D942D5"/>
    <w:rsid w:val="00D94DB6"/>
    <w:rsid w:val="00D952E0"/>
    <w:rsid w:val="00D964B5"/>
    <w:rsid w:val="00D96E49"/>
    <w:rsid w:val="00DA0106"/>
    <w:rsid w:val="00DA1938"/>
    <w:rsid w:val="00DA1957"/>
    <w:rsid w:val="00DA3468"/>
    <w:rsid w:val="00DA3675"/>
    <w:rsid w:val="00DA3902"/>
    <w:rsid w:val="00DA3FF9"/>
    <w:rsid w:val="00DA4B4A"/>
    <w:rsid w:val="00DA4CFE"/>
    <w:rsid w:val="00DA5F2B"/>
    <w:rsid w:val="00DA6357"/>
    <w:rsid w:val="00DA7199"/>
    <w:rsid w:val="00DA71AD"/>
    <w:rsid w:val="00DB07BF"/>
    <w:rsid w:val="00DB19B7"/>
    <w:rsid w:val="00DB1C1F"/>
    <w:rsid w:val="00DB56B4"/>
    <w:rsid w:val="00DB5805"/>
    <w:rsid w:val="00DB61A8"/>
    <w:rsid w:val="00DB6DB9"/>
    <w:rsid w:val="00DC07A5"/>
    <w:rsid w:val="00DC0B14"/>
    <w:rsid w:val="00DC134F"/>
    <w:rsid w:val="00DC13B3"/>
    <w:rsid w:val="00DC2DC4"/>
    <w:rsid w:val="00DC2FD3"/>
    <w:rsid w:val="00DC32D9"/>
    <w:rsid w:val="00DC4339"/>
    <w:rsid w:val="00DC4F0E"/>
    <w:rsid w:val="00DC59DA"/>
    <w:rsid w:val="00DC5F21"/>
    <w:rsid w:val="00DC6174"/>
    <w:rsid w:val="00DC6C80"/>
    <w:rsid w:val="00DD009F"/>
    <w:rsid w:val="00DD0EEF"/>
    <w:rsid w:val="00DD1E9C"/>
    <w:rsid w:val="00DD1F56"/>
    <w:rsid w:val="00DD461A"/>
    <w:rsid w:val="00DD479B"/>
    <w:rsid w:val="00DD4AD2"/>
    <w:rsid w:val="00DD58FD"/>
    <w:rsid w:val="00DD5FC9"/>
    <w:rsid w:val="00DD6697"/>
    <w:rsid w:val="00DD6A0E"/>
    <w:rsid w:val="00DD7963"/>
    <w:rsid w:val="00DE06E8"/>
    <w:rsid w:val="00DE0A95"/>
    <w:rsid w:val="00DE167F"/>
    <w:rsid w:val="00DE1F57"/>
    <w:rsid w:val="00DE21BB"/>
    <w:rsid w:val="00DE3207"/>
    <w:rsid w:val="00DE4725"/>
    <w:rsid w:val="00DE49C7"/>
    <w:rsid w:val="00DE5D05"/>
    <w:rsid w:val="00DE6729"/>
    <w:rsid w:val="00DE6CE8"/>
    <w:rsid w:val="00DE6DAB"/>
    <w:rsid w:val="00DE7897"/>
    <w:rsid w:val="00DE791D"/>
    <w:rsid w:val="00DE7AB3"/>
    <w:rsid w:val="00DF0036"/>
    <w:rsid w:val="00DF048E"/>
    <w:rsid w:val="00DF0724"/>
    <w:rsid w:val="00DF10AB"/>
    <w:rsid w:val="00DF312F"/>
    <w:rsid w:val="00DF3214"/>
    <w:rsid w:val="00DF4141"/>
    <w:rsid w:val="00DF4AA9"/>
    <w:rsid w:val="00DF5864"/>
    <w:rsid w:val="00DF6AC2"/>
    <w:rsid w:val="00DF7AA3"/>
    <w:rsid w:val="00DF7AAA"/>
    <w:rsid w:val="00E007AE"/>
    <w:rsid w:val="00E00828"/>
    <w:rsid w:val="00E016B2"/>
    <w:rsid w:val="00E035A9"/>
    <w:rsid w:val="00E03AD6"/>
    <w:rsid w:val="00E03FB1"/>
    <w:rsid w:val="00E04197"/>
    <w:rsid w:val="00E05189"/>
    <w:rsid w:val="00E0574B"/>
    <w:rsid w:val="00E05801"/>
    <w:rsid w:val="00E05C7D"/>
    <w:rsid w:val="00E06113"/>
    <w:rsid w:val="00E064FC"/>
    <w:rsid w:val="00E06DB8"/>
    <w:rsid w:val="00E10495"/>
    <w:rsid w:val="00E1053D"/>
    <w:rsid w:val="00E10E76"/>
    <w:rsid w:val="00E11A55"/>
    <w:rsid w:val="00E1205C"/>
    <w:rsid w:val="00E12301"/>
    <w:rsid w:val="00E12436"/>
    <w:rsid w:val="00E12922"/>
    <w:rsid w:val="00E12E16"/>
    <w:rsid w:val="00E13117"/>
    <w:rsid w:val="00E13BE0"/>
    <w:rsid w:val="00E13CEA"/>
    <w:rsid w:val="00E13DFA"/>
    <w:rsid w:val="00E14272"/>
    <w:rsid w:val="00E14E0A"/>
    <w:rsid w:val="00E153AE"/>
    <w:rsid w:val="00E154B0"/>
    <w:rsid w:val="00E1561C"/>
    <w:rsid w:val="00E15713"/>
    <w:rsid w:val="00E15B83"/>
    <w:rsid w:val="00E1648B"/>
    <w:rsid w:val="00E16B85"/>
    <w:rsid w:val="00E2074C"/>
    <w:rsid w:val="00E22AF2"/>
    <w:rsid w:val="00E240F1"/>
    <w:rsid w:val="00E25274"/>
    <w:rsid w:val="00E257D7"/>
    <w:rsid w:val="00E26111"/>
    <w:rsid w:val="00E266C1"/>
    <w:rsid w:val="00E26E0C"/>
    <w:rsid w:val="00E27B90"/>
    <w:rsid w:val="00E302B8"/>
    <w:rsid w:val="00E3042C"/>
    <w:rsid w:val="00E316B0"/>
    <w:rsid w:val="00E31C44"/>
    <w:rsid w:val="00E33A8F"/>
    <w:rsid w:val="00E34401"/>
    <w:rsid w:val="00E34CCD"/>
    <w:rsid w:val="00E3553E"/>
    <w:rsid w:val="00E36626"/>
    <w:rsid w:val="00E375A3"/>
    <w:rsid w:val="00E375EE"/>
    <w:rsid w:val="00E37683"/>
    <w:rsid w:val="00E37A09"/>
    <w:rsid w:val="00E403F3"/>
    <w:rsid w:val="00E40CC4"/>
    <w:rsid w:val="00E40E74"/>
    <w:rsid w:val="00E412C8"/>
    <w:rsid w:val="00E4139F"/>
    <w:rsid w:val="00E42464"/>
    <w:rsid w:val="00E42EEE"/>
    <w:rsid w:val="00E442D3"/>
    <w:rsid w:val="00E46700"/>
    <w:rsid w:val="00E46C3A"/>
    <w:rsid w:val="00E501E9"/>
    <w:rsid w:val="00E509A7"/>
    <w:rsid w:val="00E522BD"/>
    <w:rsid w:val="00E52689"/>
    <w:rsid w:val="00E53916"/>
    <w:rsid w:val="00E54B37"/>
    <w:rsid w:val="00E54B68"/>
    <w:rsid w:val="00E54F24"/>
    <w:rsid w:val="00E55B00"/>
    <w:rsid w:val="00E55C8B"/>
    <w:rsid w:val="00E5737B"/>
    <w:rsid w:val="00E574E0"/>
    <w:rsid w:val="00E57997"/>
    <w:rsid w:val="00E60D4F"/>
    <w:rsid w:val="00E614A7"/>
    <w:rsid w:val="00E61A27"/>
    <w:rsid w:val="00E62BE3"/>
    <w:rsid w:val="00E62D1A"/>
    <w:rsid w:val="00E6341A"/>
    <w:rsid w:val="00E63A60"/>
    <w:rsid w:val="00E64049"/>
    <w:rsid w:val="00E64DB9"/>
    <w:rsid w:val="00E64F77"/>
    <w:rsid w:val="00E66116"/>
    <w:rsid w:val="00E677D8"/>
    <w:rsid w:val="00E72523"/>
    <w:rsid w:val="00E729F6"/>
    <w:rsid w:val="00E73C65"/>
    <w:rsid w:val="00E741A1"/>
    <w:rsid w:val="00E7420F"/>
    <w:rsid w:val="00E742AC"/>
    <w:rsid w:val="00E74D5E"/>
    <w:rsid w:val="00E75229"/>
    <w:rsid w:val="00E75342"/>
    <w:rsid w:val="00E753DF"/>
    <w:rsid w:val="00E76BAC"/>
    <w:rsid w:val="00E77ADD"/>
    <w:rsid w:val="00E8159E"/>
    <w:rsid w:val="00E8199B"/>
    <w:rsid w:val="00E8267E"/>
    <w:rsid w:val="00E82A44"/>
    <w:rsid w:val="00E82F5D"/>
    <w:rsid w:val="00E849FB"/>
    <w:rsid w:val="00E865EA"/>
    <w:rsid w:val="00E8660B"/>
    <w:rsid w:val="00E86D13"/>
    <w:rsid w:val="00E87AA6"/>
    <w:rsid w:val="00E90B2F"/>
    <w:rsid w:val="00E90E42"/>
    <w:rsid w:val="00E91896"/>
    <w:rsid w:val="00E9272A"/>
    <w:rsid w:val="00E927B4"/>
    <w:rsid w:val="00E93FDD"/>
    <w:rsid w:val="00E9423B"/>
    <w:rsid w:val="00E94F24"/>
    <w:rsid w:val="00E95165"/>
    <w:rsid w:val="00E95C58"/>
    <w:rsid w:val="00E9616F"/>
    <w:rsid w:val="00E966E3"/>
    <w:rsid w:val="00E968B2"/>
    <w:rsid w:val="00E97BC1"/>
    <w:rsid w:val="00EA086B"/>
    <w:rsid w:val="00EA0D8D"/>
    <w:rsid w:val="00EA1B47"/>
    <w:rsid w:val="00EA1CC1"/>
    <w:rsid w:val="00EA1DD8"/>
    <w:rsid w:val="00EA2D18"/>
    <w:rsid w:val="00EA2D49"/>
    <w:rsid w:val="00EA4EBA"/>
    <w:rsid w:val="00EA5955"/>
    <w:rsid w:val="00EA5EB3"/>
    <w:rsid w:val="00EA6785"/>
    <w:rsid w:val="00EA7014"/>
    <w:rsid w:val="00EB29A9"/>
    <w:rsid w:val="00EB3F2D"/>
    <w:rsid w:val="00EB41FD"/>
    <w:rsid w:val="00EB429E"/>
    <w:rsid w:val="00EB52D7"/>
    <w:rsid w:val="00EB5DBD"/>
    <w:rsid w:val="00EC0FE8"/>
    <w:rsid w:val="00EC2D4C"/>
    <w:rsid w:val="00EC3530"/>
    <w:rsid w:val="00EC3ED2"/>
    <w:rsid w:val="00EC46A8"/>
    <w:rsid w:val="00EC47FD"/>
    <w:rsid w:val="00EC49EF"/>
    <w:rsid w:val="00EC4AB0"/>
    <w:rsid w:val="00EC4D1C"/>
    <w:rsid w:val="00EC56D6"/>
    <w:rsid w:val="00EC5B94"/>
    <w:rsid w:val="00EC5EF0"/>
    <w:rsid w:val="00EC5F13"/>
    <w:rsid w:val="00EC7120"/>
    <w:rsid w:val="00EC73B4"/>
    <w:rsid w:val="00ED075D"/>
    <w:rsid w:val="00ED08E4"/>
    <w:rsid w:val="00ED0EE2"/>
    <w:rsid w:val="00ED114C"/>
    <w:rsid w:val="00ED1956"/>
    <w:rsid w:val="00ED23B3"/>
    <w:rsid w:val="00ED3390"/>
    <w:rsid w:val="00ED4382"/>
    <w:rsid w:val="00ED63B0"/>
    <w:rsid w:val="00ED6560"/>
    <w:rsid w:val="00ED6B46"/>
    <w:rsid w:val="00ED6EB2"/>
    <w:rsid w:val="00ED785A"/>
    <w:rsid w:val="00ED7F27"/>
    <w:rsid w:val="00EE20C3"/>
    <w:rsid w:val="00EE21F4"/>
    <w:rsid w:val="00EE45B9"/>
    <w:rsid w:val="00EE48FC"/>
    <w:rsid w:val="00EE5F46"/>
    <w:rsid w:val="00EF0212"/>
    <w:rsid w:val="00EF095C"/>
    <w:rsid w:val="00EF0F4B"/>
    <w:rsid w:val="00EF1579"/>
    <w:rsid w:val="00EF1D91"/>
    <w:rsid w:val="00EF2808"/>
    <w:rsid w:val="00EF2CA1"/>
    <w:rsid w:val="00EF3738"/>
    <w:rsid w:val="00EF3C56"/>
    <w:rsid w:val="00EF3E42"/>
    <w:rsid w:val="00EF46F0"/>
    <w:rsid w:val="00EF782F"/>
    <w:rsid w:val="00EF79D8"/>
    <w:rsid w:val="00EF7CD6"/>
    <w:rsid w:val="00F00505"/>
    <w:rsid w:val="00F00A4F"/>
    <w:rsid w:val="00F00FD2"/>
    <w:rsid w:val="00F01186"/>
    <w:rsid w:val="00F019C7"/>
    <w:rsid w:val="00F02ACE"/>
    <w:rsid w:val="00F038B6"/>
    <w:rsid w:val="00F03C06"/>
    <w:rsid w:val="00F03C6F"/>
    <w:rsid w:val="00F061E4"/>
    <w:rsid w:val="00F07424"/>
    <w:rsid w:val="00F078D6"/>
    <w:rsid w:val="00F07D5F"/>
    <w:rsid w:val="00F11DBE"/>
    <w:rsid w:val="00F12408"/>
    <w:rsid w:val="00F127FF"/>
    <w:rsid w:val="00F12DC2"/>
    <w:rsid w:val="00F139DD"/>
    <w:rsid w:val="00F147F9"/>
    <w:rsid w:val="00F15AA1"/>
    <w:rsid w:val="00F167EB"/>
    <w:rsid w:val="00F177E3"/>
    <w:rsid w:val="00F22A93"/>
    <w:rsid w:val="00F23EAD"/>
    <w:rsid w:val="00F24526"/>
    <w:rsid w:val="00F24834"/>
    <w:rsid w:val="00F24C1C"/>
    <w:rsid w:val="00F26978"/>
    <w:rsid w:val="00F30138"/>
    <w:rsid w:val="00F315C0"/>
    <w:rsid w:val="00F31643"/>
    <w:rsid w:val="00F31AF1"/>
    <w:rsid w:val="00F3250D"/>
    <w:rsid w:val="00F32D74"/>
    <w:rsid w:val="00F32FD7"/>
    <w:rsid w:val="00F332CF"/>
    <w:rsid w:val="00F334F8"/>
    <w:rsid w:val="00F341DE"/>
    <w:rsid w:val="00F34FA5"/>
    <w:rsid w:val="00F3684A"/>
    <w:rsid w:val="00F4070F"/>
    <w:rsid w:val="00F409F0"/>
    <w:rsid w:val="00F40A17"/>
    <w:rsid w:val="00F41198"/>
    <w:rsid w:val="00F41C63"/>
    <w:rsid w:val="00F41CC2"/>
    <w:rsid w:val="00F44E4B"/>
    <w:rsid w:val="00F44E75"/>
    <w:rsid w:val="00F454AF"/>
    <w:rsid w:val="00F458CA"/>
    <w:rsid w:val="00F45B85"/>
    <w:rsid w:val="00F45C6F"/>
    <w:rsid w:val="00F45DB2"/>
    <w:rsid w:val="00F47CD9"/>
    <w:rsid w:val="00F50C10"/>
    <w:rsid w:val="00F50D89"/>
    <w:rsid w:val="00F52C7E"/>
    <w:rsid w:val="00F5492F"/>
    <w:rsid w:val="00F550EA"/>
    <w:rsid w:val="00F55BED"/>
    <w:rsid w:val="00F5729E"/>
    <w:rsid w:val="00F57956"/>
    <w:rsid w:val="00F60984"/>
    <w:rsid w:val="00F61843"/>
    <w:rsid w:val="00F61988"/>
    <w:rsid w:val="00F629B6"/>
    <w:rsid w:val="00F64418"/>
    <w:rsid w:val="00F65036"/>
    <w:rsid w:val="00F65147"/>
    <w:rsid w:val="00F652BB"/>
    <w:rsid w:val="00F6694C"/>
    <w:rsid w:val="00F66AF2"/>
    <w:rsid w:val="00F70645"/>
    <w:rsid w:val="00F70C8A"/>
    <w:rsid w:val="00F74904"/>
    <w:rsid w:val="00F74A7F"/>
    <w:rsid w:val="00F762FB"/>
    <w:rsid w:val="00F76513"/>
    <w:rsid w:val="00F77885"/>
    <w:rsid w:val="00F80041"/>
    <w:rsid w:val="00F8097F"/>
    <w:rsid w:val="00F8178D"/>
    <w:rsid w:val="00F83BAD"/>
    <w:rsid w:val="00F857B9"/>
    <w:rsid w:val="00F85FFC"/>
    <w:rsid w:val="00F86732"/>
    <w:rsid w:val="00F86D78"/>
    <w:rsid w:val="00F911BE"/>
    <w:rsid w:val="00F923D8"/>
    <w:rsid w:val="00F93027"/>
    <w:rsid w:val="00F945B3"/>
    <w:rsid w:val="00F946BE"/>
    <w:rsid w:val="00F9567B"/>
    <w:rsid w:val="00F96208"/>
    <w:rsid w:val="00F96664"/>
    <w:rsid w:val="00F97474"/>
    <w:rsid w:val="00F97807"/>
    <w:rsid w:val="00FA1E4A"/>
    <w:rsid w:val="00FA2C64"/>
    <w:rsid w:val="00FA3659"/>
    <w:rsid w:val="00FA3AB7"/>
    <w:rsid w:val="00FA420E"/>
    <w:rsid w:val="00FA4664"/>
    <w:rsid w:val="00FA4C78"/>
    <w:rsid w:val="00FA4F12"/>
    <w:rsid w:val="00FA7D9B"/>
    <w:rsid w:val="00FA7E31"/>
    <w:rsid w:val="00FB0722"/>
    <w:rsid w:val="00FB0871"/>
    <w:rsid w:val="00FB1113"/>
    <w:rsid w:val="00FB1A41"/>
    <w:rsid w:val="00FB1D58"/>
    <w:rsid w:val="00FB1DAB"/>
    <w:rsid w:val="00FB2808"/>
    <w:rsid w:val="00FB29D2"/>
    <w:rsid w:val="00FB37EA"/>
    <w:rsid w:val="00FB5E84"/>
    <w:rsid w:val="00FB65AC"/>
    <w:rsid w:val="00FB6C98"/>
    <w:rsid w:val="00FB6CD4"/>
    <w:rsid w:val="00FB7AC9"/>
    <w:rsid w:val="00FC01D7"/>
    <w:rsid w:val="00FC0CAF"/>
    <w:rsid w:val="00FC0EBB"/>
    <w:rsid w:val="00FC2BAF"/>
    <w:rsid w:val="00FC2C98"/>
    <w:rsid w:val="00FC42CD"/>
    <w:rsid w:val="00FC4BD9"/>
    <w:rsid w:val="00FC4D9A"/>
    <w:rsid w:val="00FC501B"/>
    <w:rsid w:val="00FC5547"/>
    <w:rsid w:val="00FC5D8D"/>
    <w:rsid w:val="00FC71E8"/>
    <w:rsid w:val="00FD2521"/>
    <w:rsid w:val="00FD25CF"/>
    <w:rsid w:val="00FD286B"/>
    <w:rsid w:val="00FD2B91"/>
    <w:rsid w:val="00FD348C"/>
    <w:rsid w:val="00FD3549"/>
    <w:rsid w:val="00FD497B"/>
    <w:rsid w:val="00FD4D59"/>
    <w:rsid w:val="00FD5BB3"/>
    <w:rsid w:val="00FD6727"/>
    <w:rsid w:val="00FD67A7"/>
    <w:rsid w:val="00FD72A2"/>
    <w:rsid w:val="00FD78D0"/>
    <w:rsid w:val="00FE0478"/>
    <w:rsid w:val="00FE0C89"/>
    <w:rsid w:val="00FE1524"/>
    <w:rsid w:val="00FE21BD"/>
    <w:rsid w:val="00FE2E57"/>
    <w:rsid w:val="00FE30CB"/>
    <w:rsid w:val="00FE3446"/>
    <w:rsid w:val="00FE38A4"/>
    <w:rsid w:val="00FE4072"/>
    <w:rsid w:val="00FE479B"/>
    <w:rsid w:val="00FE488E"/>
    <w:rsid w:val="00FE4FF8"/>
    <w:rsid w:val="00FE5DA5"/>
    <w:rsid w:val="00FE63DF"/>
    <w:rsid w:val="00FE7460"/>
    <w:rsid w:val="00FE7CF6"/>
    <w:rsid w:val="00FF0555"/>
    <w:rsid w:val="00FF083B"/>
    <w:rsid w:val="00FF296D"/>
    <w:rsid w:val="00FF4086"/>
    <w:rsid w:val="00FF49B5"/>
    <w:rsid w:val="00FF4A2A"/>
    <w:rsid w:val="00FF4F7F"/>
    <w:rsid w:val="00FF58B7"/>
    <w:rsid w:val="00FF604C"/>
    <w:rsid w:val="00FF6296"/>
    <w:rsid w:val="00FF6526"/>
    <w:rsid w:val="00FF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 w:type="paragraph" w:styleId="Header">
    <w:name w:val="header"/>
    <w:basedOn w:val="Normal"/>
    <w:link w:val="HeaderChar"/>
    <w:rsid w:val="009D0349"/>
    <w:pPr>
      <w:tabs>
        <w:tab w:val="center" w:pos="4680"/>
        <w:tab w:val="right" w:pos="9360"/>
      </w:tabs>
    </w:pPr>
  </w:style>
  <w:style w:type="character" w:customStyle="1" w:styleId="HeaderChar">
    <w:name w:val="Header Char"/>
    <w:basedOn w:val="DefaultParagraphFont"/>
    <w:link w:val="Header"/>
    <w:rsid w:val="009D0349"/>
    <w:rPr>
      <w:sz w:val="24"/>
      <w:szCs w:val="24"/>
    </w:rPr>
  </w:style>
  <w:style w:type="table" w:styleId="TableGrid">
    <w:name w:val="Table Grid"/>
    <w:basedOn w:val="TableNormal"/>
    <w:uiPriority w:val="59"/>
    <w:rsid w:val="00157B9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 w:type="paragraph" w:styleId="Header">
    <w:name w:val="header"/>
    <w:basedOn w:val="Normal"/>
    <w:link w:val="HeaderChar"/>
    <w:rsid w:val="009D0349"/>
    <w:pPr>
      <w:tabs>
        <w:tab w:val="center" w:pos="4680"/>
        <w:tab w:val="right" w:pos="9360"/>
      </w:tabs>
    </w:pPr>
  </w:style>
  <w:style w:type="character" w:customStyle="1" w:styleId="HeaderChar">
    <w:name w:val="Header Char"/>
    <w:basedOn w:val="DefaultParagraphFont"/>
    <w:link w:val="Header"/>
    <w:rsid w:val="009D0349"/>
    <w:rPr>
      <w:sz w:val="24"/>
      <w:szCs w:val="24"/>
    </w:rPr>
  </w:style>
  <w:style w:type="table" w:styleId="TableGrid">
    <w:name w:val="Table Grid"/>
    <w:basedOn w:val="TableNormal"/>
    <w:uiPriority w:val="59"/>
    <w:rsid w:val="00157B9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2663">
      <w:bodyDiv w:val="1"/>
      <w:marLeft w:val="0"/>
      <w:marRight w:val="0"/>
      <w:marTop w:val="0"/>
      <w:marBottom w:val="0"/>
      <w:divBdr>
        <w:top w:val="none" w:sz="0" w:space="0" w:color="auto"/>
        <w:left w:val="none" w:sz="0" w:space="0" w:color="auto"/>
        <w:bottom w:val="none" w:sz="0" w:space="0" w:color="auto"/>
        <w:right w:val="none" w:sz="0" w:space="0" w:color="auto"/>
      </w:divBdr>
    </w:div>
    <w:div w:id="529339641">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2341633">
      <w:bodyDiv w:val="1"/>
      <w:marLeft w:val="0"/>
      <w:marRight w:val="0"/>
      <w:marTop w:val="0"/>
      <w:marBottom w:val="0"/>
      <w:divBdr>
        <w:top w:val="none" w:sz="0" w:space="0" w:color="auto"/>
        <w:left w:val="none" w:sz="0" w:space="0" w:color="auto"/>
        <w:bottom w:val="none" w:sz="0" w:space="0" w:color="auto"/>
        <w:right w:val="none" w:sz="0" w:space="0" w:color="auto"/>
      </w:divBdr>
      <w:divsChild>
        <w:div w:id="392847725">
          <w:marLeft w:val="0"/>
          <w:marRight w:val="0"/>
          <w:marTop w:val="0"/>
          <w:marBottom w:val="0"/>
          <w:divBdr>
            <w:top w:val="none" w:sz="0" w:space="0" w:color="auto"/>
            <w:left w:val="none" w:sz="0" w:space="0" w:color="auto"/>
            <w:bottom w:val="none" w:sz="0" w:space="0" w:color="auto"/>
            <w:right w:val="none" w:sz="0" w:space="0" w:color="auto"/>
          </w:divBdr>
          <w:divsChild>
            <w:div w:id="1854031437">
              <w:marLeft w:val="0"/>
              <w:marRight w:val="0"/>
              <w:marTop w:val="0"/>
              <w:marBottom w:val="0"/>
              <w:divBdr>
                <w:top w:val="none" w:sz="0" w:space="0" w:color="auto"/>
                <w:left w:val="none" w:sz="0" w:space="0" w:color="auto"/>
                <w:bottom w:val="none" w:sz="0" w:space="0" w:color="auto"/>
                <w:right w:val="none" w:sz="0" w:space="0" w:color="auto"/>
              </w:divBdr>
              <w:divsChild>
                <w:div w:id="1555236570">
                  <w:marLeft w:val="0"/>
                  <w:marRight w:val="0"/>
                  <w:marTop w:val="0"/>
                  <w:marBottom w:val="0"/>
                  <w:divBdr>
                    <w:top w:val="none" w:sz="0" w:space="0" w:color="auto"/>
                    <w:left w:val="none" w:sz="0" w:space="0" w:color="auto"/>
                    <w:bottom w:val="none" w:sz="0" w:space="0" w:color="auto"/>
                    <w:right w:val="none" w:sz="0" w:space="0" w:color="auto"/>
                  </w:divBdr>
                  <w:divsChild>
                    <w:div w:id="15136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024066">
      <w:bodyDiv w:val="1"/>
      <w:marLeft w:val="0"/>
      <w:marRight w:val="0"/>
      <w:marTop w:val="0"/>
      <w:marBottom w:val="0"/>
      <w:divBdr>
        <w:top w:val="none" w:sz="0" w:space="0" w:color="auto"/>
        <w:left w:val="none" w:sz="0" w:space="0" w:color="auto"/>
        <w:bottom w:val="none" w:sz="0" w:space="0" w:color="auto"/>
        <w:right w:val="none" w:sz="0" w:space="0" w:color="auto"/>
      </w:divBdr>
      <w:divsChild>
        <w:div w:id="2106145544">
          <w:marLeft w:val="0"/>
          <w:marRight w:val="0"/>
          <w:marTop w:val="0"/>
          <w:marBottom w:val="0"/>
          <w:divBdr>
            <w:top w:val="none" w:sz="0" w:space="0" w:color="auto"/>
            <w:left w:val="none" w:sz="0" w:space="0" w:color="auto"/>
            <w:bottom w:val="none" w:sz="0" w:space="0" w:color="auto"/>
            <w:right w:val="none" w:sz="0" w:space="0" w:color="auto"/>
          </w:divBdr>
          <w:divsChild>
            <w:div w:id="1323659615">
              <w:marLeft w:val="0"/>
              <w:marRight w:val="0"/>
              <w:marTop w:val="0"/>
              <w:marBottom w:val="0"/>
              <w:divBdr>
                <w:top w:val="none" w:sz="0" w:space="0" w:color="auto"/>
                <w:left w:val="none" w:sz="0" w:space="0" w:color="auto"/>
                <w:bottom w:val="none" w:sz="0" w:space="0" w:color="auto"/>
                <w:right w:val="none" w:sz="0" w:space="0" w:color="auto"/>
              </w:divBdr>
              <w:divsChild>
                <w:div w:id="1011762620">
                  <w:marLeft w:val="0"/>
                  <w:marRight w:val="0"/>
                  <w:marTop w:val="0"/>
                  <w:marBottom w:val="0"/>
                  <w:divBdr>
                    <w:top w:val="none" w:sz="0" w:space="0" w:color="auto"/>
                    <w:left w:val="none" w:sz="0" w:space="0" w:color="auto"/>
                    <w:bottom w:val="none" w:sz="0" w:space="0" w:color="auto"/>
                    <w:right w:val="none" w:sz="0" w:space="0" w:color="auto"/>
                  </w:divBdr>
                  <w:divsChild>
                    <w:div w:id="172818580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583691">
      <w:bodyDiv w:val="1"/>
      <w:marLeft w:val="0"/>
      <w:marRight w:val="0"/>
      <w:marTop w:val="0"/>
      <w:marBottom w:val="0"/>
      <w:divBdr>
        <w:top w:val="none" w:sz="0" w:space="0" w:color="auto"/>
        <w:left w:val="none" w:sz="0" w:space="0" w:color="auto"/>
        <w:bottom w:val="none" w:sz="0" w:space="0" w:color="auto"/>
        <w:right w:val="none" w:sz="0" w:space="0" w:color="auto"/>
      </w:divBdr>
    </w:div>
    <w:div w:id="1591622041">
      <w:bodyDiv w:val="1"/>
      <w:marLeft w:val="0"/>
      <w:marRight w:val="0"/>
      <w:marTop w:val="0"/>
      <w:marBottom w:val="0"/>
      <w:divBdr>
        <w:top w:val="none" w:sz="0" w:space="0" w:color="auto"/>
        <w:left w:val="none" w:sz="0" w:space="0" w:color="auto"/>
        <w:bottom w:val="none" w:sz="0" w:space="0" w:color="auto"/>
        <w:right w:val="none" w:sz="0" w:space="0" w:color="auto"/>
      </w:divBdr>
    </w:div>
    <w:div w:id="189990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C12D5-CD15-476D-8903-246028A62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19</Pages>
  <Words>4666</Words>
  <Characters>26599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31203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Wagner, Nathan R</cp:lastModifiedBy>
  <cp:revision>10</cp:revision>
  <cp:lastPrinted>2015-09-17T11:47:00Z</cp:lastPrinted>
  <dcterms:created xsi:type="dcterms:W3CDTF">2015-09-01T21:31:00Z</dcterms:created>
  <dcterms:modified xsi:type="dcterms:W3CDTF">2015-09-17T11:47:00Z</dcterms:modified>
</cp:coreProperties>
</file>