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D25369">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D25369">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D25369">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D25369">
      <w:pPr>
        <w:widowControl/>
        <w:tabs>
          <w:tab w:val="left" w:pos="-720"/>
        </w:tabs>
        <w:suppressAutoHyphens/>
        <w:rPr>
          <w:sz w:val="26"/>
          <w:szCs w:val="26"/>
        </w:rPr>
      </w:pPr>
    </w:p>
    <w:p w:rsidR="00F514FB" w:rsidRPr="00D365A7" w:rsidRDefault="00F514FB" w:rsidP="00D25369">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D25369">
            <w:pPr>
              <w:widowControl/>
              <w:rPr>
                <w:sz w:val="26"/>
                <w:szCs w:val="26"/>
              </w:rPr>
            </w:pPr>
          </w:p>
        </w:tc>
        <w:tc>
          <w:tcPr>
            <w:tcW w:w="4500" w:type="dxa"/>
          </w:tcPr>
          <w:p w:rsidR="00F514FB" w:rsidRPr="00D365A7" w:rsidRDefault="00B402F4" w:rsidP="00D25369">
            <w:pPr>
              <w:widowControl/>
              <w:jc w:val="right"/>
              <w:rPr>
                <w:sz w:val="26"/>
                <w:szCs w:val="26"/>
              </w:rPr>
            </w:pPr>
            <w:r>
              <w:rPr>
                <w:sz w:val="26"/>
                <w:szCs w:val="26"/>
              </w:rPr>
              <w:t>Public Meeting held October 1</w:t>
            </w:r>
            <w:r w:rsidR="00D54B2B">
              <w:rPr>
                <w:sz w:val="26"/>
                <w:szCs w:val="26"/>
              </w:rPr>
              <w:t>, 2015</w:t>
            </w:r>
          </w:p>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716C74">
        <w:tc>
          <w:tcPr>
            <w:tcW w:w="5058" w:type="dxa"/>
          </w:tcPr>
          <w:p w:rsidR="00F514FB" w:rsidRPr="00D365A7" w:rsidRDefault="00F514FB" w:rsidP="00D25369">
            <w:pPr>
              <w:widowControl/>
              <w:rPr>
                <w:sz w:val="26"/>
                <w:szCs w:val="26"/>
              </w:rPr>
            </w:pPr>
            <w:r w:rsidRPr="00D365A7">
              <w:rPr>
                <w:sz w:val="26"/>
                <w:szCs w:val="26"/>
              </w:rPr>
              <w:t>Commissioners Present:</w:t>
            </w:r>
          </w:p>
          <w:p w:rsidR="00F514FB" w:rsidRPr="00D365A7" w:rsidRDefault="00F514FB" w:rsidP="00D25369">
            <w:pPr>
              <w:widowControl/>
              <w:rPr>
                <w:sz w:val="26"/>
                <w:szCs w:val="26"/>
              </w:rPr>
            </w:pPr>
          </w:p>
          <w:p w:rsidR="00F514FB" w:rsidRPr="00D365A7" w:rsidRDefault="00E854DD" w:rsidP="00D25369">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F514FB" w:rsidP="00D25369">
            <w:pPr>
              <w:widowControl/>
              <w:tabs>
                <w:tab w:val="left" w:pos="705"/>
              </w:tabs>
              <w:ind w:firstLine="720"/>
              <w:rPr>
                <w:sz w:val="26"/>
                <w:szCs w:val="26"/>
              </w:rPr>
            </w:pPr>
            <w:r w:rsidRPr="00D365A7">
              <w:rPr>
                <w:sz w:val="26"/>
                <w:szCs w:val="26"/>
              </w:rPr>
              <w:t>John F. Coleman, Jr., Vice Chairman</w:t>
            </w:r>
          </w:p>
          <w:p w:rsidR="00F514FB" w:rsidRDefault="00F514FB" w:rsidP="00D25369">
            <w:pPr>
              <w:widowControl/>
              <w:tabs>
                <w:tab w:val="left" w:pos="705"/>
              </w:tabs>
              <w:ind w:firstLine="720"/>
              <w:rPr>
                <w:sz w:val="26"/>
                <w:szCs w:val="26"/>
              </w:rPr>
            </w:pPr>
            <w:r w:rsidRPr="00D365A7">
              <w:rPr>
                <w:sz w:val="26"/>
                <w:szCs w:val="26"/>
              </w:rPr>
              <w:t>Pamela A. Witmer</w:t>
            </w:r>
          </w:p>
          <w:p w:rsidR="00DF7069" w:rsidRPr="00D365A7" w:rsidRDefault="00E854DD" w:rsidP="00D25369">
            <w:pPr>
              <w:widowControl/>
              <w:tabs>
                <w:tab w:val="left" w:pos="705"/>
              </w:tabs>
              <w:ind w:firstLine="720"/>
              <w:rPr>
                <w:sz w:val="26"/>
                <w:szCs w:val="26"/>
              </w:rPr>
            </w:pPr>
            <w:r w:rsidRPr="00D365A7">
              <w:rPr>
                <w:sz w:val="26"/>
                <w:szCs w:val="26"/>
              </w:rPr>
              <w:t>Robert F. Powelson</w:t>
            </w:r>
          </w:p>
          <w:p w:rsidR="00F514FB" w:rsidRPr="00D365A7" w:rsidRDefault="00F514FB" w:rsidP="00D25369">
            <w:pPr>
              <w:widowControl/>
              <w:rPr>
                <w:sz w:val="26"/>
                <w:szCs w:val="26"/>
              </w:rPr>
            </w:pPr>
          </w:p>
          <w:p w:rsidR="00F514FB" w:rsidRPr="00D365A7" w:rsidRDefault="00F514FB" w:rsidP="00D25369">
            <w:pPr>
              <w:widowControl/>
              <w:rPr>
                <w:sz w:val="26"/>
                <w:szCs w:val="26"/>
              </w:rPr>
            </w:pPr>
          </w:p>
        </w:tc>
        <w:tc>
          <w:tcPr>
            <w:tcW w:w="4500" w:type="dxa"/>
          </w:tcPr>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6C1EE9">
        <w:trPr>
          <w:trHeight w:val="675"/>
        </w:trPr>
        <w:tc>
          <w:tcPr>
            <w:tcW w:w="5058" w:type="dxa"/>
          </w:tcPr>
          <w:p w:rsidR="00F514FB" w:rsidRPr="00D365A7" w:rsidRDefault="00CE2E09" w:rsidP="00D25369">
            <w:pPr>
              <w:widowControl/>
              <w:rPr>
                <w:sz w:val="26"/>
                <w:szCs w:val="26"/>
              </w:rPr>
            </w:pPr>
            <w:r>
              <w:rPr>
                <w:sz w:val="26"/>
                <w:szCs w:val="26"/>
              </w:rPr>
              <w:t>Rashida Pickett</w:t>
            </w:r>
          </w:p>
          <w:p w:rsidR="00F514FB" w:rsidRDefault="00F514FB" w:rsidP="00D25369">
            <w:pPr>
              <w:widowControl/>
              <w:rPr>
                <w:sz w:val="26"/>
                <w:szCs w:val="26"/>
              </w:rPr>
            </w:pPr>
          </w:p>
          <w:p w:rsidR="00CE2E09" w:rsidRPr="00D365A7" w:rsidRDefault="00CE2E09" w:rsidP="00D25369">
            <w:pPr>
              <w:widowControl/>
              <w:rPr>
                <w:sz w:val="26"/>
                <w:szCs w:val="26"/>
              </w:rPr>
            </w:pPr>
          </w:p>
        </w:tc>
        <w:tc>
          <w:tcPr>
            <w:tcW w:w="4500" w:type="dxa"/>
          </w:tcPr>
          <w:p w:rsidR="00F514FB" w:rsidRPr="00D365A7" w:rsidRDefault="00CE2E09" w:rsidP="00D25369">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Pr>
                <w:sz w:val="26"/>
                <w:szCs w:val="26"/>
              </w:rPr>
              <w:t>2444967</w:t>
            </w:r>
          </w:p>
        </w:tc>
      </w:tr>
      <w:tr w:rsidR="00D365A7" w:rsidRPr="00D365A7" w:rsidTr="00716C74">
        <w:tc>
          <w:tcPr>
            <w:tcW w:w="5058" w:type="dxa"/>
          </w:tcPr>
          <w:p w:rsidR="00F514FB" w:rsidRPr="00D365A7" w:rsidRDefault="00F514FB" w:rsidP="00D25369">
            <w:pPr>
              <w:widowControl/>
              <w:ind w:firstLine="900"/>
              <w:rPr>
                <w:sz w:val="26"/>
                <w:szCs w:val="26"/>
              </w:rPr>
            </w:pPr>
            <w:r w:rsidRPr="00D365A7">
              <w:rPr>
                <w:sz w:val="26"/>
                <w:szCs w:val="26"/>
              </w:rPr>
              <w:t>v.</w:t>
            </w:r>
          </w:p>
          <w:p w:rsidR="00F514FB" w:rsidRDefault="00F514FB" w:rsidP="00D25369">
            <w:pPr>
              <w:widowControl/>
              <w:ind w:firstLine="1440"/>
              <w:rPr>
                <w:sz w:val="26"/>
                <w:szCs w:val="26"/>
              </w:rPr>
            </w:pPr>
          </w:p>
          <w:p w:rsidR="00CE2E09" w:rsidRPr="00D365A7" w:rsidRDefault="00CE2E09" w:rsidP="00D25369">
            <w:pPr>
              <w:widowControl/>
              <w:ind w:firstLine="1440"/>
              <w:rPr>
                <w:sz w:val="26"/>
                <w:szCs w:val="26"/>
              </w:rPr>
            </w:pPr>
          </w:p>
        </w:tc>
        <w:tc>
          <w:tcPr>
            <w:tcW w:w="4500" w:type="dxa"/>
          </w:tcPr>
          <w:p w:rsidR="00F514FB" w:rsidRPr="00D365A7" w:rsidRDefault="00F514FB" w:rsidP="00D25369">
            <w:pPr>
              <w:widowControl/>
              <w:rPr>
                <w:sz w:val="26"/>
                <w:szCs w:val="26"/>
              </w:rPr>
            </w:pPr>
          </w:p>
        </w:tc>
      </w:tr>
      <w:tr w:rsidR="00F514FB" w:rsidRPr="00D365A7" w:rsidTr="00716C74">
        <w:tc>
          <w:tcPr>
            <w:tcW w:w="5058" w:type="dxa"/>
          </w:tcPr>
          <w:p w:rsidR="00F514FB" w:rsidRPr="00D365A7" w:rsidRDefault="00CE2E09" w:rsidP="00D25369">
            <w:pPr>
              <w:widowControl/>
              <w:rPr>
                <w:sz w:val="26"/>
                <w:szCs w:val="26"/>
              </w:rPr>
            </w:pPr>
            <w:r>
              <w:rPr>
                <w:sz w:val="26"/>
                <w:szCs w:val="26"/>
              </w:rPr>
              <w:t>Philadelphia Gas Works</w:t>
            </w:r>
          </w:p>
        </w:tc>
        <w:tc>
          <w:tcPr>
            <w:tcW w:w="4500" w:type="dxa"/>
          </w:tcPr>
          <w:p w:rsidR="00F514FB" w:rsidRPr="00D365A7" w:rsidRDefault="00F514FB" w:rsidP="00D25369">
            <w:pPr>
              <w:widowControl/>
              <w:rPr>
                <w:sz w:val="26"/>
                <w:szCs w:val="26"/>
              </w:rPr>
            </w:pPr>
          </w:p>
        </w:tc>
      </w:tr>
    </w:tbl>
    <w:p w:rsidR="00F514FB" w:rsidRPr="00D365A7" w:rsidRDefault="00F514FB" w:rsidP="00D25369">
      <w:pPr>
        <w:widowControl/>
        <w:rPr>
          <w:sz w:val="26"/>
          <w:szCs w:val="26"/>
        </w:rPr>
      </w:pPr>
    </w:p>
    <w:p w:rsidR="00F514FB" w:rsidRDefault="00F514FB" w:rsidP="00D25369">
      <w:pPr>
        <w:widowControl/>
        <w:rPr>
          <w:sz w:val="26"/>
          <w:szCs w:val="26"/>
        </w:rPr>
      </w:pPr>
    </w:p>
    <w:p w:rsidR="00C46B34" w:rsidRDefault="00C46B34" w:rsidP="00D25369">
      <w:pPr>
        <w:widowControl/>
        <w:jc w:val="center"/>
        <w:rPr>
          <w:b/>
          <w:sz w:val="26"/>
          <w:szCs w:val="26"/>
        </w:rPr>
      </w:pPr>
    </w:p>
    <w:p w:rsidR="00F514FB" w:rsidRPr="00D365A7" w:rsidRDefault="00F514FB" w:rsidP="00D25369">
      <w:pPr>
        <w:widowControl/>
        <w:jc w:val="center"/>
        <w:rPr>
          <w:b/>
          <w:sz w:val="26"/>
          <w:szCs w:val="26"/>
        </w:rPr>
      </w:pPr>
      <w:r w:rsidRPr="00D365A7">
        <w:rPr>
          <w:b/>
          <w:sz w:val="26"/>
          <w:szCs w:val="26"/>
        </w:rPr>
        <w:t>OPINION AND ORDER</w:t>
      </w:r>
    </w:p>
    <w:p w:rsidR="00F514FB" w:rsidRPr="00D365A7" w:rsidRDefault="00F514FB" w:rsidP="00D25369">
      <w:pPr>
        <w:widowControl/>
        <w:jc w:val="center"/>
        <w:rPr>
          <w:b/>
          <w:sz w:val="26"/>
          <w:szCs w:val="26"/>
        </w:rPr>
      </w:pPr>
    </w:p>
    <w:p w:rsidR="00F514FB" w:rsidRPr="00D365A7" w:rsidRDefault="00F514FB" w:rsidP="00D25369">
      <w:pPr>
        <w:widowControl/>
        <w:jc w:val="center"/>
        <w:rPr>
          <w:b/>
          <w:sz w:val="26"/>
          <w:szCs w:val="26"/>
        </w:rPr>
      </w:pPr>
    </w:p>
    <w:p w:rsidR="00F514FB" w:rsidRPr="00D365A7" w:rsidRDefault="00F514FB" w:rsidP="00D25369">
      <w:pPr>
        <w:widowControl/>
        <w:rPr>
          <w:b/>
          <w:sz w:val="26"/>
          <w:szCs w:val="26"/>
        </w:rPr>
      </w:pPr>
      <w:r w:rsidRPr="00D365A7">
        <w:rPr>
          <w:b/>
          <w:sz w:val="26"/>
          <w:szCs w:val="26"/>
        </w:rPr>
        <w:t>BY THE COMMISSION:</w:t>
      </w:r>
    </w:p>
    <w:p w:rsidR="00F514FB" w:rsidRPr="00D365A7" w:rsidRDefault="00F514FB" w:rsidP="00D25369">
      <w:pPr>
        <w:widowControl/>
        <w:rPr>
          <w:sz w:val="26"/>
          <w:szCs w:val="26"/>
        </w:rPr>
      </w:pPr>
    </w:p>
    <w:p w:rsidR="00E22C75" w:rsidRDefault="00CA43A5" w:rsidP="00423310">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A16587" w:rsidRPr="00D365A7">
        <w:rPr>
          <w:sz w:val="26"/>
        </w:rPr>
        <w:t xml:space="preserve"> </w:t>
      </w:r>
      <w:r w:rsidR="00CE2E09">
        <w:rPr>
          <w:sz w:val="26"/>
        </w:rPr>
        <w:t>Rashida Pickett</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CE2E09">
        <w:rPr>
          <w:sz w:val="26"/>
        </w:rPr>
        <w:t xml:space="preserve"> or Ms. Pickett</w:t>
      </w:r>
      <w:r w:rsidR="00D54B2B">
        <w:rPr>
          <w:sz w:val="26"/>
        </w:rPr>
        <w:t>) filed on</w:t>
      </w:r>
      <w:r w:rsidR="00CE2E09">
        <w:rPr>
          <w:sz w:val="26"/>
        </w:rPr>
        <w:t xml:space="preserve"> June</w:t>
      </w:r>
      <w:r w:rsidR="00311378">
        <w:rPr>
          <w:sz w:val="26"/>
        </w:rPr>
        <w:t xml:space="preserve"> 16</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311378">
        <w:rPr>
          <w:sz w:val="26"/>
        </w:rPr>
        <w:t xml:space="preserve">udge (ALJ) </w:t>
      </w:r>
      <w:r w:rsidR="00CE2E09">
        <w:rPr>
          <w:sz w:val="26"/>
        </w:rPr>
        <w:t>Darlene R. Davis Heep</w:t>
      </w:r>
      <w:r w:rsidR="004E31FF">
        <w:rPr>
          <w:sz w:val="26"/>
        </w:rPr>
        <w:t>, i</w:t>
      </w:r>
      <w:r w:rsidR="00CE2E09">
        <w:rPr>
          <w:sz w:val="26"/>
        </w:rPr>
        <w:t>ssued on June 2</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8C71F0">
        <w:rPr>
          <w:rStyle w:val="FootnoteReference"/>
          <w:sz w:val="26"/>
        </w:rPr>
        <w:footnoteReference w:id="1"/>
      </w:r>
      <w:r w:rsidR="00937995">
        <w:rPr>
          <w:sz w:val="26"/>
        </w:rPr>
        <w:t xml:space="preserve">  </w:t>
      </w:r>
      <w:r w:rsidR="00CE2E09">
        <w:rPr>
          <w:sz w:val="26"/>
        </w:rPr>
        <w:t>Philadelphia Gas Works</w:t>
      </w:r>
      <w:r w:rsidR="00E97BD6">
        <w:rPr>
          <w:sz w:val="26"/>
        </w:rPr>
        <w:t xml:space="preserve"> (</w:t>
      </w:r>
      <w:r w:rsidR="00CE2E09">
        <w:rPr>
          <w:sz w:val="26"/>
          <w:szCs w:val="26"/>
        </w:rPr>
        <w:t>PGW</w:t>
      </w:r>
      <w:r w:rsidR="00E97BD6">
        <w:rPr>
          <w:sz w:val="26"/>
          <w:szCs w:val="26"/>
        </w:rPr>
        <w:t>) filed Replies t</w:t>
      </w:r>
      <w:r w:rsidR="00CE2E09">
        <w:rPr>
          <w:sz w:val="26"/>
          <w:szCs w:val="26"/>
        </w:rPr>
        <w:t>o Exceptions on July 1</w:t>
      </w:r>
      <w:r w:rsidR="00C6669C">
        <w:rPr>
          <w:sz w:val="26"/>
          <w:szCs w:val="26"/>
        </w:rPr>
        <w:t xml:space="preserve">, </w:t>
      </w:r>
      <w:r w:rsidR="00C6669C">
        <w:rPr>
          <w:sz w:val="26"/>
          <w:szCs w:val="26"/>
        </w:rPr>
        <w:lastRenderedPageBreak/>
        <w:t>2015.</w:t>
      </w:r>
      <w:r w:rsidR="00E97BD6">
        <w:rPr>
          <w:rStyle w:val="FootnoteReference"/>
          <w:sz w:val="26"/>
        </w:rPr>
        <w:footnoteReference w:id="2"/>
      </w:r>
      <w:r w:rsidR="00CE2E09">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BC5A72">
        <w:rPr>
          <w:sz w:val="26"/>
          <w:szCs w:val="26"/>
        </w:rPr>
        <w:t xml:space="preserve"> and adopt the Initial Decision</w:t>
      </w:r>
      <w:r w:rsidR="00E22C75">
        <w:rPr>
          <w:sz w:val="26"/>
          <w:szCs w:val="26"/>
        </w:rPr>
        <w:t>.</w:t>
      </w:r>
    </w:p>
    <w:p w:rsidR="00CA43A5" w:rsidRPr="00D365A7" w:rsidRDefault="00CA43A5" w:rsidP="00D25369">
      <w:pPr>
        <w:widowControl/>
        <w:spacing w:line="360" w:lineRule="auto"/>
        <w:rPr>
          <w:sz w:val="26"/>
          <w:szCs w:val="26"/>
        </w:rPr>
      </w:pPr>
    </w:p>
    <w:p w:rsidR="00CE2E09" w:rsidRDefault="00CE2E09" w:rsidP="00C17323">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C17323" w:rsidRPr="00D365A7" w:rsidRDefault="00C17323" w:rsidP="00C17323">
      <w:pPr>
        <w:keepNext/>
        <w:widowControl/>
        <w:spacing w:line="360" w:lineRule="auto"/>
        <w:jc w:val="center"/>
        <w:rPr>
          <w:sz w:val="26"/>
          <w:szCs w:val="26"/>
        </w:rPr>
      </w:pPr>
    </w:p>
    <w:p w:rsidR="00A96603" w:rsidRDefault="00C17323" w:rsidP="00A96603">
      <w:pPr>
        <w:pStyle w:val="Style"/>
        <w:widowControl/>
        <w:spacing w:line="360" w:lineRule="auto"/>
        <w:ind w:firstLine="1440"/>
        <w:rPr>
          <w:sz w:val="26"/>
          <w:szCs w:val="26"/>
        </w:rPr>
      </w:pPr>
      <w:r>
        <w:rPr>
          <w:bCs/>
          <w:color w:val="000000"/>
          <w:sz w:val="26"/>
          <w:szCs w:val="26"/>
        </w:rPr>
        <w:t xml:space="preserve">On September 17, 2014,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Pr>
          <w:bCs/>
          <w:color w:val="000000"/>
          <w:sz w:val="26"/>
          <w:szCs w:val="26"/>
        </w:rPr>
        <w:t>) against PGW</w:t>
      </w:r>
      <w:r w:rsidR="00CE2E09" w:rsidRPr="008B28D0">
        <w:rPr>
          <w:bCs/>
          <w:color w:val="000000"/>
          <w:sz w:val="26"/>
          <w:szCs w:val="26"/>
        </w:rPr>
        <w:t xml:space="preserve"> </w:t>
      </w:r>
      <w:r>
        <w:rPr>
          <w:bCs/>
          <w:color w:val="000000"/>
          <w:sz w:val="26"/>
          <w:szCs w:val="26"/>
        </w:rPr>
        <w:t>claiming that she c</w:t>
      </w:r>
      <w:r w:rsidR="00593A99">
        <w:rPr>
          <w:bCs/>
          <w:color w:val="000000"/>
          <w:sz w:val="26"/>
          <w:szCs w:val="26"/>
        </w:rPr>
        <w:t>ould not</w:t>
      </w:r>
      <w:r>
        <w:rPr>
          <w:bCs/>
          <w:color w:val="000000"/>
          <w:sz w:val="26"/>
          <w:szCs w:val="26"/>
        </w:rPr>
        <w:t xml:space="preserve"> make the over $2,000 payment requested by PGW </w:t>
      </w:r>
      <w:r w:rsidR="006D6983">
        <w:rPr>
          <w:bCs/>
          <w:color w:val="000000"/>
          <w:sz w:val="26"/>
          <w:szCs w:val="26"/>
        </w:rPr>
        <w:t xml:space="preserve">to re-enroll her in its </w:t>
      </w:r>
      <w:r>
        <w:rPr>
          <w:bCs/>
          <w:color w:val="000000"/>
          <w:sz w:val="26"/>
          <w:szCs w:val="26"/>
        </w:rPr>
        <w:t>Customer Responsibility Program (CRP)</w:t>
      </w:r>
      <w:r w:rsidR="00A96603">
        <w:rPr>
          <w:bCs/>
          <w:color w:val="000000"/>
          <w:sz w:val="26"/>
          <w:szCs w:val="26"/>
        </w:rPr>
        <w:t>.</w:t>
      </w:r>
      <w:r w:rsidR="00A96603">
        <w:rPr>
          <w:rStyle w:val="FootnoteReference"/>
          <w:sz w:val="26"/>
          <w:szCs w:val="26"/>
        </w:rPr>
        <w:footnoteReference w:id="3"/>
      </w:r>
      <w:r w:rsidR="006D6983">
        <w:rPr>
          <w:bCs/>
          <w:color w:val="000000"/>
          <w:sz w:val="26"/>
          <w:szCs w:val="26"/>
        </w:rPr>
        <w:t xml:space="preserve">  </w:t>
      </w:r>
      <w:r w:rsidR="00CE2E09">
        <w:rPr>
          <w:bCs/>
          <w:color w:val="000000"/>
          <w:sz w:val="26"/>
          <w:szCs w:val="26"/>
        </w:rPr>
        <w:t xml:space="preserve">For relief, </w:t>
      </w:r>
      <w:r w:rsidR="00A96603">
        <w:rPr>
          <w:bCs/>
          <w:color w:val="000000"/>
          <w:sz w:val="26"/>
          <w:szCs w:val="26"/>
        </w:rPr>
        <w:t>s</w:t>
      </w:r>
      <w:r w:rsidR="00CE2E09">
        <w:rPr>
          <w:kern w:val="1"/>
          <w:sz w:val="26"/>
          <w:szCs w:val="26"/>
        </w:rPr>
        <w:t xml:space="preserve">he </w:t>
      </w:r>
      <w:r w:rsidR="00A96603">
        <w:rPr>
          <w:bCs/>
          <w:color w:val="000000"/>
          <w:sz w:val="26"/>
          <w:szCs w:val="26"/>
        </w:rPr>
        <w:t xml:space="preserve">requested to pay $250 or $275 on some kind of payment arrangement to avoid service termination.  </w:t>
      </w:r>
      <w:r w:rsidR="00A96603">
        <w:rPr>
          <w:sz w:val="26"/>
          <w:szCs w:val="26"/>
        </w:rPr>
        <w:t>Complaint at 2-3</w:t>
      </w:r>
      <w:r w:rsidR="00CE2E09">
        <w:rPr>
          <w:sz w:val="26"/>
          <w:szCs w:val="26"/>
        </w:rPr>
        <w:t>; I.D. at</w:t>
      </w:r>
      <w:r w:rsidR="00A96603">
        <w:rPr>
          <w:sz w:val="26"/>
          <w:szCs w:val="26"/>
        </w:rPr>
        <w:t xml:space="preserve"> 1</w:t>
      </w:r>
      <w:r w:rsidR="00CE2E09">
        <w:rPr>
          <w:sz w:val="26"/>
          <w:szCs w:val="26"/>
        </w:rPr>
        <w:t>.</w:t>
      </w:r>
    </w:p>
    <w:p w:rsidR="00CE2E09" w:rsidRDefault="00CE2E09" w:rsidP="00A96603">
      <w:pPr>
        <w:pStyle w:val="Style"/>
        <w:widowControl/>
        <w:spacing w:line="360" w:lineRule="auto"/>
        <w:ind w:firstLine="1440"/>
        <w:rPr>
          <w:sz w:val="26"/>
          <w:szCs w:val="26"/>
        </w:rPr>
      </w:pPr>
      <w:r>
        <w:rPr>
          <w:sz w:val="26"/>
          <w:szCs w:val="26"/>
        </w:rPr>
        <w:tab/>
      </w:r>
      <w:r>
        <w:rPr>
          <w:sz w:val="26"/>
          <w:szCs w:val="26"/>
        </w:rPr>
        <w:tab/>
      </w:r>
    </w:p>
    <w:p w:rsidR="00CE2E09" w:rsidRDefault="00A96603" w:rsidP="00CE2E09">
      <w:pPr>
        <w:pStyle w:val="Style"/>
        <w:widowControl/>
        <w:spacing w:line="360" w:lineRule="auto"/>
        <w:ind w:firstLine="1440"/>
        <w:rPr>
          <w:bCs/>
          <w:color w:val="000000"/>
          <w:sz w:val="26"/>
          <w:szCs w:val="26"/>
        </w:rPr>
      </w:pPr>
      <w:r>
        <w:rPr>
          <w:sz w:val="26"/>
          <w:szCs w:val="26"/>
        </w:rPr>
        <w:t>On October 20, 2014, PGW</w:t>
      </w:r>
      <w:r w:rsidR="00CE2E09" w:rsidRPr="008B1B88">
        <w:rPr>
          <w:sz w:val="26"/>
          <w:szCs w:val="26"/>
        </w:rPr>
        <w:t xml:space="preserve"> filed an Answer to the Complaint (Answer) in which it</w:t>
      </w:r>
      <w:r w:rsidR="00CE2E09" w:rsidRPr="008B1B88">
        <w:rPr>
          <w:bCs/>
          <w:color w:val="000000"/>
          <w:sz w:val="26"/>
          <w:szCs w:val="26"/>
        </w:rPr>
        <w:t xml:space="preserve"> aver</w:t>
      </w:r>
      <w:r w:rsidR="00593A99">
        <w:rPr>
          <w:bCs/>
          <w:color w:val="000000"/>
          <w:sz w:val="26"/>
          <w:szCs w:val="26"/>
        </w:rPr>
        <w:t xml:space="preserve">red that the Complainant had previously broken three PGW-issued payment arrangements and had been suspended from the CRP three times. </w:t>
      </w:r>
      <w:r w:rsidR="00CE2E09" w:rsidRPr="008B1B88">
        <w:rPr>
          <w:bCs/>
          <w:color w:val="000000"/>
          <w:sz w:val="26"/>
          <w:szCs w:val="26"/>
        </w:rPr>
        <w:t xml:space="preserve"> </w:t>
      </w:r>
      <w:r w:rsidR="00593A99">
        <w:rPr>
          <w:bCs/>
          <w:color w:val="000000"/>
          <w:sz w:val="26"/>
          <w:szCs w:val="26"/>
        </w:rPr>
        <w:t xml:space="preserve">PGW </w:t>
      </w:r>
      <w:r w:rsidR="00CE2E09" w:rsidRPr="008B1B88">
        <w:rPr>
          <w:bCs/>
          <w:color w:val="000000"/>
          <w:sz w:val="26"/>
          <w:szCs w:val="26"/>
        </w:rPr>
        <w:t>re</w:t>
      </w:r>
      <w:r w:rsidR="00CE2E09">
        <w:rPr>
          <w:bCs/>
          <w:color w:val="000000"/>
          <w:sz w:val="26"/>
          <w:szCs w:val="26"/>
        </w:rPr>
        <w:t>quested that the Commission dismiss</w:t>
      </w:r>
      <w:r w:rsidR="00C37AD6">
        <w:rPr>
          <w:bCs/>
          <w:color w:val="000000"/>
          <w:sz w:val="26"/>
          <w:szCs w:val="26"/>
        </w:rPr>
        <w:t xml:space="preserve"> the Complaint</w:t>
      </w:r>
      <w:r w:rsidR="00CE2E09" w:rsidRPr="008B1B88">
        <w:rPr>
          <w:bCs/>
          <w:color w:val="000000"/>
          <w:sz w:val="26"/>
          <w:szCs w:val="26"/>
        </w:rPr>
        <w:t>.</w:t>
      </w:r>
    </w:p>
    <w:p w:rsidR="00CE2E09" w:rsidRPr="008B28D0" w:rsidRDefault="00CE2E09" w:rsidP="00CE2E09">
      <w:pPr>
        <w:pStyle w:val="Style"/>
        <w:widowControl/>
        <w:spacing w:line="360" w:lineRule="auto"/>
        <w:ind w:firstLine="1440"/>
        <w:rPr>
          <w:sz w:val="26"/>
          <w:szCs w:val="26"/>
        </w:rPr>
      </w:pPr>
    </w:p>
    <w:p w:rsidR="00CE2E09" w:rsidRDefault="00CE2E09" w:rsidP="00CC010F">
      <w:pPr>
        <w:widowControl/>
        <w:spacing w:line="360" w:lineRule="auto"/>
        <w:rPr>
          <w:sz w:val="26"/>
          <w:szCs w:val="26"/>
        </w:rPr>
      </w:pPr>
      <w:r w:rsidRPr="00D365A7">
        <w:rPr>
          <w:sz w:val="26"/>
          <w:szCs w:val="26"/>
        </w:rPr>
        <w:tab/>
      </w:r>
      <w:r w:rsidR="001012C7">
        <w:rPr>
          <w:sz w:val="26"/>
          <w:szCs w:val="26"/>
        </w:rPr>
        <w:tab/>
      </w:r>
      <w:r w:rsidR="00C37AD6">
        <w:rPr>
          <w:sz w:val="26"/>
          <w:szCs w:val="26"/>
        </w:rPr>
        <w:t>On January 22, 2015, a</w:t>
      </w:r>
      <w:r w:rsidRPr="00EB0468">
        <w:rPr>
          <w:sz w:val="26"/>
          <w:szCs w:val="26"/>
        </w:rPr>
        <w:t xml:space="preserve"> hearing was held in this matter.  The Complainant appeared </w:t>
      </w:r>
      <w:r w:rsidRPr="00C135B8">
        <w:rPr>
          <w:i/>
          <w:sz w:val="26"/>
          <w:szCs w:val="26"/>
        </w:rPr>
        <w:t>pro se</w:t>
      </w:r>
      <w:r w:rsidRPr="00EB0468">
        <w:rPr>
          <w:sz w:val="26"/>
          <w:szCs w:val="26"/>
        </w:rPr>
        <w:t xml:space="preserve"> and testified</w:t>
      </w:r>
      <w:r w:rsidR="00324AE2">
        <w:rPr>
          <w:sz w:val="26"/>
          <w:szCs w:val="26"/>
        </w:rPr>
        <w:t xml:space="preserve"> on her own behalf</w:t>
      </w:r>
      <w:r>
        <w:rPr>
          <w:sz w:val="26"/>
          <w:szCs w:val="26"/>
        </w:rPr>
        <w:t xml:space="preserve">.  </w:t>
      </w:r>
      <w:r w:rsidR="007A0298">
        <w:rPr>
          <w:sz w:val="26"/>
          <w:szCs w:val="26"/>
        </w:rPr>
        <w:t>PGW</w:t>
      </w:r>
      <w:r w:rsidR="007A0298" w:rsidRPr="00EB0468">
        <w:rPr>
          <w:sz w:val="26"/>
          <w:szCs w:val="26"/>
        </w:rPr>
        <w:t xml:space="preserve"> was</w:t>
      </w:r>
      <w:r w:rsidRPr="00EB0468">
        <w:rPr>
          <w:sz w:val="26"/>
          <w:szCs w:val="26"/>
        </w:rPr>
        <w:t xml:space="preserve"> represented by </w:t>
      </w:r>
      <w:r>
        <w:rPr>
          <w:sz w:val="26"/>
          <w:szCs w:val="26"/>
        </w:rPr>
        <w:t>its counsel</w:t>
      </w:r>
      <w:r w:rsidRPr="00EB0468">
        <w:rPr>
          <w:sz w:val="26"/>
          <w:szCs w:val="26"/>
        </w:rPr>
        <w:t xml:space="preserve"> who presente</w:t>
      </w:r>
      <w:r w:rsidR="00FF63A5">
        <w:rPr>
          <w:sz w:val="26"/>
          <w:szCs w:val="26"/>
        </w:rPr>
        <w:t>d the testimony of one witness</w:t>
      </w:r>
      <w:r>
        <w:rPr>
          <w:sz w:val="26"/>
          <w:szCs w:val="26"/>
        </w:rPr>
        <w:t xml:space="preserve"> and offered five</w:t>
      </w:r>
      <w:r w:rsidRPr="00EB0468">
        <w:rPr>
          <w:sz w:val="26"/>
          <w:szCs w:val="26"/>
        </w:rPr>
        <w:t xml:space="preserve"> </w:t>
      </w:r>
      <w:r w:rsidR="007A0298">
        <w:rPr>
          <w:sz w:val="26"/>
          <w:szCs w:val="26"/>
        </w:rPr>
        <w:t xml:space="preserve">exhibits </w:t>
      </w:r>
      <w:r w:rsidR="007A0298" w:rsidRPr="00EB0468">
        <w:rPr>
          <w:sz w:val="26"/>
          <w:szCs w:val="26"/>
        </w:rPr>
        <w:t>which</w:t>
      </w:r>
      <w:r w:rsidRPr="00EB0468">
        <w:rPr>
          <w:sz w:val="26"/>
          <w:szCs w:val="26"/>
        </w:rPr>
        <w:t xml:space="preserve"> </w:t>
      </w:r>
      <w:r w:rsidR="007A0298" w:rsidRPr="00EB0468">
        <w:rPr>
          <w:sz w:val="26"/>
          <w:szCs w:val="26"/>
        </w:rPr>
        <w:t>were admitted</w:t>
      </w:r>
      <w:r w:rsidRPr="00EB0468">
        <w:rPr>
          <w:sz w:val="26"/>
          <w:szCs w:val="26"/>
        </w:rPr>
        <w:t xml:space="preserve"> into the record.  The</w:t>
      </w:r>
      <w:r>
        <w:rPr>
          <w:sz w:val="26"/>
          <w:szCs w:val="26"/>
        </w:rPr>
        <w:t xml:space="preserve"> </w:t>
      </w:r>
      <w:r w:rsidR="007A0298">
        <w:rPr>
          <w:sz w:val="26"/>
          <w:szCs w:val="26"/>
        </w:rPr>
        <w:t>record contains</w:t>
      </w:r>
      <w:r w:rsidR="00C37AD6">
        <w:rPr>
          <w:sz w:val="26"/>
          <w:szCs w:val="26"/>
        </w:rPr>
        <w:t xml:space="preserve"> a twenty-nine page transcript and five </w:t>
      </w:r>
      <w:r w:rsidRPr="00EB0468">
        <w:rPr>
          <w:sz w:val="26"/>
          <w:szCs w:val="26"/>
        </w:rPr>
        <w:t>exhibits.  T</w:t>
      </w:r>
      <w:r>
        <w:rPr>
          <w:sz w:val="26"/>
          <w:szCs w:val="26"/>
        </w:rPr>
        <w:t>he r</w:t>
      </w:r>
      <w:r w:rsidR="00C37AD6">
        <w:rPr>
          <w:sz w:val="26"/>
          <w:szCs w:val="26"/>
        </w:rPr>
        <w:t>ecord was closed on February 19, 2015</w:t>
      </w:r>
      <w:r w:rsidRPr="00EB0468">
        <w:rPr>
          <w:sz w:val="26"/>
          <w:szCs w:val="26"/>
        </w:rPr>
        <w:t xml:space="preserve">.  </w:t>
      </w:r>
    </w:p>
    <w:p w:rsidR="00CE2E09" w:rsidRDefault="00CE2E09" w:rsidP="00CE2E09">
      <w:pPr>
        <w:widowControl/>
        <w:spacing w:line="360" w:lineRule="auto"/>
        <w:ind w:firstLine="1440"/>
        <w:rPr>
          <w:sz w:val="26"/>
          <w:szCs w:val="26"/>
        </w:rPr>
      </w:pPr>
    </w:p>
    <w:p w:rsidR="004C57CC" w:rsidRDefault="00CE2E09" w:rsidP="00CE2E09">
      <w:pPr>
        <w:widowControl/>
        <w:spacing w:line="360" w:lineRule="auto"/>
        <w:rPr>
          <w:sz w:val="26"/>
          <w:szCs w:val="26"/>
        </w:rPr>
      </w:pPr>
      <w:r w:rsidRPr="00D365A7">
        <w:rPr>
          <w:sz w:val="26"/>
          <w:szCs w:val="26"/>
        </w:rPr>
        <w:tab/>
      </w:r>
      <w:r w:rsidRPr="00D365A7">
        <w:rPr>
          <w:sz w:val="26"/>
          <w:szCs w:val="26"/>
        </w:rPr>
        <w:tab/>
      </w:r>
      <w:r w:rsidR="003103D6">
        <w:rPr>
          <w:sz w:val="26"/>
          <w:szCs w:val="26"/>
        </w:rPr>
        <w:t>In her</w:t>
      </w:r>
      <w:r w:rsidRPr="00D365A7">
        <w:rPr>
          <w:sz w:val="26"/>
          <w:szCs w:val="26"/>
        </w:rPr>
        <w:t xml:space="preserve"> Init</w:t>
      </w:r>
      <w:r>
        <w:rPr>
          <w:sz w:val="26"/>
          <w:szCs w:val="26"/>
        </w:rPr>
        <w:t xml:space="preserve">ial </w:t>
      </w:r>
      <w:r w:rsidR="004C57CC">
        <w:rPr>
          <w:sz w:val="26"/>
          <w:szCs w:val="26"/>
        </w:rPr>
        <w:t>Decision, issued on June 2</w:t>
      </w:r>
      <w:r>
        <w:rPr>
          <w:sz w:val="26"/>
          <w:szCs w:val="26"/>
        </w:rPr>
        <w:t xml:space="preserve">, 2015, the ALJ dismissed </w:t>
      </w:r>
      <w:r w:rsidRPr="00D365A7">
        <w:rPr>
          <w:sz w:val="26"/>
          <w:szCs w:val="26"/>
        </w:rPr>
        <w:t>the Complaint</w:t>
      </w:r>
      <w:r>
        <w:rPr>
          <w:sz w:val="26"/>
          <w:szCs w:val="26"/>
        </w:rPr>
        <w:t>.</w:t>
      </w:r>
      <w:r w:rsidRPr="00D365A7">
        <w:rPr>
          <w:sz w:val="26"/>
          <w:szCs w:val="26"/>
        </w:rPr>
        <w:t xml:space="preserve">  I.D. at </w:t>
      </w:r>
      <w:r w:rsidR="004C57CC">
        <w:rPr>
          <w:sz w:val="26"/>
          <w:szCs w:val="26"/>
        </w:rPr>
        <w:t>8</w:t>
      </w:r>
      <w:r w:rsidRPr="00D365A7">
        <w:rPr>
          <w:sz w:val="26"/>
          <w:szCs w:val="26"/>
        </w:rPr>
        <w:t xml:space="preserve">.  As noted, </w:t>
      </w:r>
      <w:r w:rsidRPr="00D365A7">
        <w:rPr>
          <w:i/>
          <w:sz w:val="26"/>
          <w:szCs w:val="26"/>
        </w:rPr>
        <w:t>supra</w:t>
      </w:r>
      <w:r w:rsidRPr="00D365A7">
        <w:rPr>
          <w:sz w:val="26"/>
          <w:szCs w:val="26"/>
        </w:rPr>
        <w:t xml:space="preserve">, the Complainant filed </w:t>
      </w:r>
      <w:r>
        <w:rPr>
          <w:sz w:val="26"/>
          <w:szCs w:val="26"/>
        </w:rPr>
        <w:t>Exceptions on</w:t>
      </w:r>
      <w:r w:rsidR="004C57CC">
        <w:rPr>
          <w:sz w:val="26"/>
          <w:szCs w:val="26"/>
        </w:rPr>
        <w:t xml:space="preserve"> June</w:t>
      </w:r>
      <w:r>
        <w:rPr>
          <w:sz w:val="26"/>
          <w:szCs w:val="26"/>
        </w:rPr>
        <w:t xml:space="preserve"> 16, </w:t>
      </w:r>
      <w:r>
        <w:rPr>
          <w:sz w:val="26"/>
          <w:szCs w:val="26"/>
        </w:rPr>
        <w:lastRenderedPageBreak/>
        <w:t xml:space="preserve">2015.  </w:t>
      </w:r>
      <w:r w:rsidR="004C57CC">
        <w:rPr>
          <w:sz w:val="26"/>
          <w:szCs w:val="26"/>
        </w:rPr>
        <w:t>PGW</w:t>
      </w:r>
      <w:r>
        <w:rPr>
          <w:sz w:val="26"/>
          <w:szCs w:val="26"/>
        </w:rPr>
        <w:t xml:space="preserve"> filed R</w:t>
      </w:r>
      <w:r w:rsidR="004C57CC">
        <w:rPr>
          <w:sz w:val="26"/>
          <w:szCs w:val="26"/>
        </w:rPr>
        <w:t>eplies to Exceptions on July 1</w:t>
      </w:r>
      <w:r>
        <w:rPr>
          <w:sz w:val="26"/>
          <w:szCs w:val="26"/>
        </w:rPr>
        <w:t xml:space="preserve">, 2015.  </w:t>
      </w:r>
      <w:r w:rsidR="0055230F">
        <w:rPr>
          <w:sz w:val="26"/>
          <w:szCs w:val="26"/>
        </w:rPr>
        <w:t>On July 16, 2015,</w:t>
      </w:r>
      <w:r w:rsidR="0055230F">
        <w:rPr>
          <w:rStyle w:val="FootnoteReference"/>
          <w:sz w:val="26"/>
          <w:szCs w:val="26"/>
        </w:rPr>
        <w:footnoteReference w:id="4"/>
      </w:r>
      <w:r w:rsidR="0055230F">
        <w:rPr>
          <w:sz w:val="26"/>
          <w:szCs w:val="26"/>
        </w:rPr>
        <w:t xml:space="preserve"> the Complainant filed a Response to the Replies to Exceptions.</w:t>
      </w:r>
      <w:r w:rsidR="0055230F">
        <w:rPr>
          <w:rStyle w:val="FootnoteReference"/>
          <w:sz w:val="26"/>
          <w:szCs w:val="26"/>
        </w:rPr>
        <w:footnoteReference w:id="5"/>
      </w:r>
      <w:r w:rsidR="0055230F">
        <w:rPr>
          <w:sz w:val="26"/>
          <w:szCs w:val="26"/>
        </w:rPr>
        <w:t xml:space="preserve">  </w:t>
      </w:r>
    </w:p>
    <w:p w:rsidR="00CE2E09" w:rsidRPr="00D365A7" w:rsidRDefault="00CE2E09" w:rsidP="00CE2E09">
      <w:pPr>
        <w:widowControl/>
        <w:spacing w:line="360" w:lineRule="auto"/>
        <w:rPr>
          <w:sz w:val="26"/>
          <w:szCs w:val="26"/>
        </w:rPr>
      </w:pPr>
    </w:p>
    <w:bookmarkEnd w:id="0"/>
    <w:bookmarkEnd w:id="1"/>
    <w:p w:rsidR="00CE2E09" w:rsidRDefault="00CE2E09" w:rsidP="001A4982">
      <w:pPr>
        <w:keepNext/>
        <w:widowControl/>
        <w:spacing w:line="360" w:lineRule="auto"/>
        <w:jc w:val="center"/>
        <w:rPr>
          <w:b/>
          <w:sz w:val="26"/>
          <w:szCs w:val="26"/>
        </w:rPr>
      </w:pPr>
      <w:r w:rsidRPr="00D365A7">
        <w:rPr>
          <w:b/>
          <w:sz w:val="26"/>
          <w:szCs w:val="26"/>
        </w:rPr>
        <w:t>Discussion</w:t>
      </w:r>
    </w:p>
    <w:p w:rsidR="001A4982" w:rsidRDefault="001A4982" w:rsidP="001A4982">
      <w:pPr>
        <w:keepNext/>
        <w:widowControl/>
        <w:spacing w:line="360" w:lineRule="auto"/>
        <w:jc w:val="center"/>
        <w:rPr>
          <w:b/>
          <w:sz w:val="26"/>
          <w:szCs w:val="26"/>
        </w:rPr>
      </w:pPr>
    </w:p>
    <w:p w:rsidR="00CE2E09" w:rsidRPr="00D365A7" w:rsidRDefault="00CE2E09" w:rsidP="00CE2E09">
      <w:pPr>
        <w:keepNext/>
        <w:widowControl/>
        <w:spacing w:line="360" w:lineRule="auto"/>
        <w:rPr>
          <w:b/>
          <w:sz w:val="26"/>
          <w:szCs w:val="26"/>
        </w:rPr>
      </w:pPr>
      <w:r w:rsidRPr="00D365A7">
        <w:rPr>
          <w:b/>
          <w:sz w:val="26"/>
          <w:szCs w:val="26"/>
        </w:rPr>
        <w:t>Legal Standards</w:t>
      </w:r>
    </w:p>
    <w:p w:rsidR="00CE2E09" w:rsidRPr="00D365A7" w:rsidRDefault="00CE2E09" w:rsidP="00CE2E09">
      <w:pPr>
        <w:keepNext/>
        <w:widowControl/>
        <w:spacing w:line="360" w:lineRule="auto"/>
        <w:rPr>
          <w:sz w:val="26"/>
          <w:szCs w:val="26"/>
        </w:rPr>
      </w:pPr>
    </w:p>
    <w:p w:rsidR="00CE2E09" w:rsidRPr="00770896" w:rsidRDefault="00CE2E09" w:rsidP="00CE2E09">
      <w:pPr>
        <w:widowControl/>
        <w:spacing w:line="360" w:lineRule="auto"/>
        <w:ind w:firstLine="1440"/>
        <w:rPr>
          <w:sz w:val="26"/>
        </w:rPr>
      </w:pPr>
      <w:r w:rsidRPr="00770896">
        <w:rPr>
          <w:sz w:val="26"/>
          <w:szCs w:val="26"/>
        </w:rPr>
        <w:t>As the proponent of a rule or order, the Complainant in this proceeding bears the burden of proof pu</w:t>
      </w:r>
      <w:r w:rsidR="00701994">
        <w:rPr>
          <w:sz w:val="26"/>
          <w:szCs w:val="26"/>
        </w:rPr>
        <w:t>rsuant to Section 332(a) of the Public Utility Code (Code</w:t>
      </w:r>
      <w:r w:rsidR="00701994" w:rsidRPr="00701994">
        <w:rPr>
          <w:sz w:val="26"/>
          <w:szCs w:val="26"/>
        </w:rPr>
        <w:t>)</w:t>
      </w:r>
      <w:r w:rsidRPr="00770896">
        <w:rPr>
          <w:sz w:val="26"/>
          <w:szCs w:val="26"/>
        </w:rPr>
        <w:t>.  66 Pa. C.S. § 332(a).  To establish a sufficient case and satisfy the burden of proof, the Complainant, as the party seeking relief, must show that</w:t>
      </w:r>
      <w:r>
        <w:rPr>
          <w:sz w:val="26"/>
          <w:szCs w:val="26"/>
        </w:rPr>
        <w:t xml:space="preserve"> </w:t>
      </w:r>
      <w:r w:rsidR="001A4982">
        <w:rPr>
          <w:sz w:val="26"/>
          <w:szCs w:val="26"/>
        </w:rPr>
        <w:t>PGW is</w:t>
      </w:r>
      <w:r w:rsidRPr="00770896">
        <w:rPr>
          <w:sz w:val="26"/>
          <w:szCs w:val="26"/>
        </w:rPr>
        <w:t xml:space="preserve"> responsible or accountable for the problem described in the Complaint.  </w:t>
      </w:r>
      <w:r w:rsidRPr="00770896">
        <w:rPr>
          <w:i/>
          <w:sz w:val="26"/>
          <w:szCs w:val="26"/>
        </w:rPr>
        <w:t>Patterson v. The Bell Telephone Company of Pennsylvania</w:t>
      </w:r>
      <w:r w:rsidRPr="00770896">
        <w:rPr>
          <w:sz w:val="26"/>
          <w:szCs w:val="26"/>
        </w:rPr>
        <w:t xml:space="preserve">, 72 Pa. P.U.C. 196 (1990).  Such a showing must be by a preponderance of the evidence.  </w:t>
      </w:r>
      <w:r w:rsidRPr="00770896">
        <w:rPr>
          <w:i/>
          <w:iCs/>
          <w:sz w:val="26"/>
          <w:szCs w:val="26"/>
        </w:rPr>
        <w:t xml:space="preserve">Samuel J. </w:t>
      </w:r>
      <w:proofErr w:type="spellStart"/>
      <w:r w:rsidRPr="00770896">
        <w:rPr>
          <w:i/>
          <w:iCs/>
          <w:sz w:val="26"/>
          <w:szCs w:val="26"/>
        </w:rPr>
        <w:t>Lansberry</w:t>
      </w:r>
      <w:proofErr w:type="spellEnd"/>
      <w:r w:rsidRPr="00770896">
        <w:rPr>
          <w:i/>
          <w:iCs/>
          <w:sz w:val="26"/>
          <w:szCs w:val="26"/>
        </w:rPr>
        <w:t>, Inc. v. Pa. PUC</w:t>
      </w:r>
      <w:r w:rsidRPr="00770896">
        <w:rPr>
          <w:sz w:val="26"/>
          <w:szCs w:val="26"/>
        </w:rPr>
        <w:t xml:space="preserve">, 578 A.2d 600 (Pa. </w:t>
      </w:r>
      <w:proofErr w:type="spellStart"/>
      <w:r w:rsidRPr="00770896">
        <w:rPr>
          <w:sz w:val="26"/>
          <w:szCs w:val="26"/>
        </w:rPr>
        <w:t>Cmwlth</w:t>
      </w:r>
      <w:proofErr w:type="spellEnd"/>
      <w:r w:rsidRPr="00770896">
        <w:rPr>
          <w:sz w:val="26"/>
          <w:szCs w:val="26"/>
        </w:rPr>
        <w:t xml:space="preserve">. 1990), </w:t>
      </w:r>
      <w:proofErr w:type="spellStart"/>
      <w:r w:rsidRPr="00770896">
        <w:rPr>
          <w:i/>
          <w:sz w:val="26"/>
          <w:szCs w:val="26"/>
        </w:rPr>
        <w:t>alloc</w:t>
      </w:r>
      <w:proofErr w:type="spellEnd"/>
      <w:r w:rsidRPr="00770896">
        <w:rPr>
          <w:i/>
          <w:sz w:val="26"/>
          <w:szCs w:val="26"/>
        </w:rPr>
        <w:t>. denied,</w:t>
      </w:r>
      <w:r w:rsidRPr="00770896">
        <w:rPr>
          <w:sz w:val="26"/>
          <w:szCs w:val="26"/>
        </w:rPr>
        <w:t xml:space="preserve"> 529 Pa. 654, 602 A.2d 863 (1992).  That is, the Complainant’s evidence must be more convincing, by even the smallest am</w:t>
      </w:r>
      <w:r>
        <w:rPr>
          <w:sz w:val="26"/>
          <w:szCs w:val="26"/>
        </w:rPr>
        <w:t xml:space="preserve">ount, than that presented by </w:t>
      </w:r>
      <w:r w:rsidR="001A4982">
        <w:rPr>
          <w:sz w:val="26"/>
          <w:szCs w:val="26"/>
        </w:rPr>
        <w:t>PGW</w:t>
      </w:r>
      <w:r w:rsidRPr="00770896">
        <w:rPr>
          <w:sz w:val="26"/>
          <w:szCs w:val="26"/>
        </w:rPr>
        <w:t xml:space="preserve">.  </w:t>
      </w:r>
      <w:r w:rsidRPr="00770896">
        <w:rPr>
          <w:i/>
          <w:sz w:val="26"/>
          <w:szCs w:val="26"/>
        </w:rPr>
        <w:t>Se-Ling Hosiery, Inc. v. Margulies</w:t>
      </w:r>
      <w:r w:rsidRPr="00770896">
        <w:rPr>
          <w:sz w:val="26"/>
          <w:szCs w:val="26"/>
        </w:rPr>
        <w:t xml:space="preserve">, 364 Pa. 45, 70 A.2d 854 (1950).  Additionally, this Commission’s </w:t>
      </w:r>
      <w:r w:rsidRPr="00770896">
        <w:rPr>
          <w:sz w:val="26"/>
        </w:rPr>
        <w:t xml:space="preserve">decision must be supported by substantial evidence in the record.  More is required than a mere trace of evidence or a suspicion of the existence of a fact sought to be established.  </w:t>
      </w:r>
      <w:r w:rsidRPr="00770896">
        <w:rPr>
          <w:i/>
          <w:sz w:val="26"/>
        </w:rPr>
        <w:t xml:space="preserve">Norfolk &amp; Western Ry. Co. v. Pa. PUC, </w:t>
      </w:r>
      <w:r w:rsidRPr="00770896">
        <w:rPr>
          <w:sz w:val="26"/>
        </w:rPr>
        <w:t>489 Pa. 109, 413 A.2d 1037 (1980).</w:t>
      </w:r>
    </w:p>
    <w:p w:rsidR="00CE2E09" w:rsidRPr="00770896" w:rsidRDefault="00CE2E09" w:rsidP="00CE2E09">
      <w:pPr>
        <w:widowControl/>
        <w:spacing w:line="360" w:lineRule="auto"/>
        <w:ind w:firstLine="1440"/>
        <w:rPr>
          <w:sz w:val="26"/>
        </w:rPr>
      </w:pPr>
    </w:p>
    <w:p w:rsidR="00CE2E09" w:rsidRPr="00770896" w:rsidRDefault="00CE2E09" w:rsidP="00CE2E09">
      <w:pPr>
        <w:widowControl/>
        <w:spacing w:line="360" w:lineRule="auto"/>
        <w:ind w:firstLine="1440"/>
        <w:rPr>
          <w:sz w:val="26"/>
          <w:szCs w:val="26"/>
        </w:rPr>
      </w:pPr>
      <w:r w:rsidRPr="00770896">
        <w:rPr>
          <w:sz w:val="26"/>
          <w:szCs w:val="26"/>
        </w:rPr>
        <w:lastRenderedPageBreak/>
        <w:t>Upon the presentation by the Complainant of evidence sufficient to initially satisfy the burden of proof, the burden of going forward with the evidence to rebut the evidence of the Complainant</w:t>
      </w:r>
      <w:r>
        <w:rPr>
          <w:sz w:val="26"/>
          <w:szCs w:val="26"/>
        </w:rPr>
        <w:t xml:space="preserve"> shifts to </w:t>
      </w:r>
      <w:r w:rsidR="001A4982">
        <w:rPr>
          <w:sz w:val="26"/>
          <w:szCs w:val="26"/>
        </w:rPr>
        <w:t>PGW</w:t>
      </w:r>
      <w:r w:rsidRPr="00770896">
        <w:rPr>
          <w:sz w:val="26"/>
          <w:szCs w:val="26"/>
        </w:rPr>
        <w:t xml:space="preserve">.  </w:t>
      </w:r>
      <w:r>
        <w:rPr>
          <w:sz w:val="26"/>
          <w:szCs w:val="26"/>
        </w:rPr>
        <w:t xml:space="preserve">If the evidence presented by </w:t>
      </w:r>
      <w:r w:rsidR="001A4982">
        <w:rPr>
          <w:sz w:val="26"/>
          <w:szCs w:val="26"/>
        </w:rPr>
        <w:t>PGW</w:t>
      </w:r>
      <w:r w:rsidRPr="00770896">
        <w:rPr>
          <w:sz w:val="26"/>
          <w:szCs w:val="26"/>
        </w:rPr>
        <w:t xml:space="preserve"> is of co-equal weight, the Complainant has not satisfied </w:t>
      </w:r>
      <w:r w:rsidR="007403BF">
        <w:rPr>
          <w:sz w:val="26"/>
          <w:szCs w:val="26"/>
        </w:rPr>
        <w:t>the</w:t>
      </w:r>
      <w:r w:rsidRPr="00770896">
        <w:rPr>
          <w:sz w:val="26"/>
          <w:szCs w:val="26"/>
        </w:rPr>
        <w:t xml:space="preserve"> burden of proof.  The Complainant now has to provide some addit</w:t>
      </w:r>
      <w:r>
        <w:rPr>
          <w:sz w:val="26"/>
          <w:szCs w:val="26"/>
        </w:rPr>
        <w:t xml:space="preserve">ional evidence to rebut that of </w:t>
      </w:r>
      <w:r w:rsidR="00701994">
        <w:rPr>
          <w:sz w:val="26"/>
          <w:szCs w:val="26"/>
        </w:rPr>
        <w:t>PGW</w:t>
      </w:r>
      <w:r w:rsidRPr="00770896">
        <w:rPr>
          <w:sz w:val="26"/>
          <w:szCs w:val="26"/>
        </w:rPr>
        <w:t xml:space="preserve">. </w:t>
      </w:r>
      <w:r w:rsidRPr="00770896">
        <w:rPr>
          <w:iCs/>
          <w:sz w:val="26"/>
          <w:szCs w:val="26"/>
        </w:rPr>
        <w:t xml:space="preserve"> </w:t>
      </w:r>
      <w:r w:rsidRPr="00770896">
        <w:rPr>
          <w:i/>
          <w:iCs/>
          <w:sz w:val="26"/>
          <w:szCs w:val="26"/>
        </w:rPr>
        <w:t>Burleson v. Pa. PUC</w:t>
      </w:r>
      <w:r w:rsidRPr="00770896">
        <w:rPr>
          <w:iCs/>
          <w:sz w:val="26"/>
          <w:szCs w:val="26"/>
        </w:rPr>
        <w:t xml:space="preserve">, 443 A.2d 1373 (Pa. </w:t>
      </w:r>
      <w:proofErr w:type="spellStart"/>
      <w:r w:rsidRPr="00770896">
        <w:rPr>
          <w:iCs/>
          <w:sz w:val="26"/>
          <w:szCs w:val="26"/>
        </w:rPr>
        <w:t>Cmwlth</w:t>
      </w:r>
      <w:proofErr w:type="spellEnd"/>
      <w:r w:rsidRPr="00770896">
        <w:rPr>
          <w:iCs/>
          <w:sz w:val="26"/>
          <w:szCs w:val="26"/>
        </w:rPr>
        <w:t xml:space="preserve">. 1982), </w:t>
      </w:r>
      <w:r w:rsidRPr="00770896">
        <w:rPr>
          <w:i/>
          <w:iCs/>
          <w:sz w:val="26"/>
          <w:szCs w:val="26"/>
        </w:rPr>
        <w:t>aff’d</w:t>
      </w:r>
      <w:r w:rsidRPr="00770896">
        <w:rPr>
          <w:iCs/>
          <w:sz w:val="26"/>
          <w:szCs w:val="26"/>
        </w:rPr>
        <w:t>, 501 Pa. 433, 461 A.2d 1234 (1983).</w:t>
      </w:r>
    </w:p>
    <w:p w:rsidR="00CE2E09" w:rsidRPr="00770896" w:rsidRDefault="00CE2E09" w:rsidP="00CE2E09">
      <w:pPr>
        <w:widowControl/>
        <w:tabs>
          <w:tab w:val="left" w:pos="204"/>
        </w:tabs>
        <w:spacing w:line="360" w:lineRule="auto"/>
        <w:rPr>
          <w:sz w:val="26"/>
        </w:rPr>
      </w:pPr>
    </w:p>
    <w:p w:rsidR="00701994" w:rsidRDefault="00CE2E09" w:rsidP="00CE2E09">
      <w:pPr>
        <w:widowControl/>
        <w:spacing w:line="360" w:lineRule="auto"/>
        <w:ind w:firstLine="1440"/>
        <w:rPr>
          <w:sz w:val="26"/>
          <w:szCs w:val="26"/>
        </w:rPr>
      </w:pPr>
      <w:r w:rsidRPr="00770896">
        <w:rPr>
          <w:sz w:val="26"/>
          <w:szCs w:val="26"/>
        </w:rPr>
        <w:t>While the burden of persuasion may shift back and forth during a proceeding, the burden of proof never shifts.  The burden of proof always remains on the party seeking affirmative relief from the Commission</w:t>
      </w:r>
      <w:r w:rsidRPr="00770896">
        <w:rPr>
          <w:i/>
          <w:sz w:val="26"/>
          <w:szCs w:val="26"/>
        </w:rPr>
        <w:t xml:space="preserve">.  </w:t>
      </w:r>
      <w:proofErr w:type="spellStart"/>
      <w:r w:rsidRPr="00770896">
        <w:rPr>
          <w:i/>
          <w:sz w:val="26"/>
          <w:szCs w:val="26"/>
        </w:rPr>
        <w:t>Milkie</w:t>
      </w:r>
      <w:proofErr w:type="spellEnd"/>
      <w:r w:rsidRPr="00770896">
        <w:rPr>
          <w:i/>
          <w:sz w:val="26"/>
          <w:szCs w:val="26"/>
        </w:rPr>
        <w:t xml:space="preserve"> v. Pa. PUC,</w:t>
      </w:r>
      <w:r w:rsidRPr="00770896">
        <w:rPr>
          <w:sz w:val="26"/>
          <w:szCs w:val="26"/>
        </w:rPr>
        <w:t xml:space="preserve"> 768 A.2d 1217 (Pa. </w:t>
      </w:r>
      <w:proofErr w:type="spellStart"/>
      <w:r w:rsidRPr="00770896">
        <w:rPr>
          <w:sz w:val="26"/>
          <w:szCs w:val="26"/>
        </w:rPr>
        <w:t>Cmwlth</w:t>
      </w:r>
      <w:proofErr w:type="spellEnd"/>
      <w:r w:rsidRPr="00770896">
        <w:rPr>
          <w:sz w:val="26"/>
          <w:szCs w:val="26"/>
        </w:rPr>
        <w:t xml:space="preserve">. 2001).  </w:t>
      </w:r>
    </w:p>
    <w:p w:rsidR="00701994" w:rsidRDefault="00701994" w:rsidP="00701994">
      <w:pPr>
        <w:widowControl/>
        <w:spacing w:line="360" w:lineRule="auto"/>
        <w:rPr>
          <w:sz w:val="26"/>
          <w:szCs w:val="26"/>
        </w:rPr>
      </w:pPr>
    </w:p>
    <w:p w:rsidR="00701994" w:rsidRPr="00701994" w:rsidRDefault="00701994" w:rsidP="00701994">
      <w:pPr>
        <w:pStyle w:val="NormalWeb"/>
        <w:spacing w:line="360" w:lineRule="auto"/>
        <w:rPr>
          <w:sz w:val="26"/>
          <w:szCs w:val="26"/>
        </w:rPr>
      </w:pPr>
      <w:r>
        <w:rPr>
          <w:sz w:val="26"/>
          <w:szCs w:val="26"/>
        </w:rPr>
        <w:tab/>
      </w:r>
      <w:r>
        <w:rPr>
          <w:sz w:val="26"/>
          <w:szCs w:val="26"/>
        </w:rPr>
        <w:tab/>
      </w:r>
      <w:r w:rsidRPr="00701994">
        <w:rPr>
          <w:sz w:val="26"/>
          <w:szCs w:val="26"/>
        </w:rPr>
        <w:t>Furthermore, the Responsible Utility Customer Protection Act (Chapter 14</w:t>
      </w:r>
      <w:r w:rsidR="00242D76">
        <w:rPr>
          <w:sz w:val="26"/>
          <w:szCs w:val="26"/>
        </w:rPr>
        <w:t xml:space="preserve"> or the Act</w:t>
      </w:r>
      <w:r w:rsidRPr="00701994">
        <w:rPr>
          <w:sz w:val="26"/>
          <w:szCs w:val="26"/>
        </w:rPr>
        <w:t xml:space="preserve">) applies when a Complainant is seeking a payment arrangement.  </w:t>
      </w:r>
      <w:r w:rsidR="00D47B0C">
        <w:rPr>
          <w:sz w:val="26"/>
          <w:szCs w:val="26"/>
        </w:rPr>
        <w:t>Chapter 14</w:t>
      </w:r>
      <w:r w:rsidRPr="00701994">
        <w:rPr>
          <w:sz w:val="26"/>
          <w:szCs w:val="26"/>
        </w:rPr>
        <w:t xml:space="preserve"> authorizes the Commission to establish payment agreements between a public utility, customers and applicants within the limits </w:t>
      </w:r>
      <w:r w:rsidR="00D47B0C">
        <w:rPr>
          <w:sz w:val="26"/>
          <w:szCs w:val="26"/>
        </w:rPr>
        <w:t>set forth in the Act</w:t>
      </w:r>
      <w:r w:rsidRPr="00701994">
        <w:rPr>
          <w:sz w:val="26"/>
          <w:szCs w:val="26"/>
        </w:rPr>
        <w:t>.</w:t>
      </w:r>
      <w:r w:rsidR="00423310">
        <w:rPr>
          <w:sz w:val="26"/>
          <w:szCs w:val="26"/>
        </w:rPr>
        <w:t xml:space="preserve">  </w:t>
      </w:r>
      <w:hyperlink r:id="rId9" w:history="1">
        <w:r w:rsidRPr="00701994">
          <w:rPr>
            <w:rStyle w:val="Hyperlink"/>
            <w:color w:val="auto"/>
            <w:sz w:val="26"/>
            <w:szCs w:val="26"/>
            <w:u w:val="none"/>
          </w:rPr>
          <w:t>66 Pa.</w:t>
        </w:r>
        <w:r w:rsidR="00746D93">
          <w:rPr>
            <w:rStyle w:val="Hyperlink"/>
            <w:color w:val="auto"/>
            <w:sz w:val="26"/>
            <w:szCs w:val="26"/>
            <w:u w:val="none"/>
          </w:rPr>
          <w:t xml:space="preserve"> </w:t>
        </w:r>
        <w:r w:rsidRPr="00701994">
          <w:rPr>
            <w:rStyle w:val="Hyperlink"/>
            <w:color w:val="auto"/>
            <w:sz w:val="26"/>
            <w:szCs w:val="26"/>
            <w:u w:val="none"/>
          </w:rPr>
          <w:t>C.S. § 1405(a)</w:t>
        </w:r>
      </w:hyperlink>
      <w:r w:rsidRPr="00701994">
        <w:rPr>
          <w:sz w:val="26"/>
          <w:szCs w:val="26"/>
        </w:rPr>
        <w:t xml:space="preserve">.  </w:t>
      </w:r>
      <w:r w:rsidR="00746D93">
        <w:rPr>
          <w:sz w:val="26"/>
          <w:szCs w:val="26"/>
        </w:rPr>
        <w:t>Section 1405(a)</w:t>
      </w:r>
      <w:r w:rsidRPr="00701994">
        <w:rPr>
          <w:sz w:val="26"/>
          <w:szCs w:val="26"/>
        </w:rPr>
        <w:t xml:space="preserve">, in pertinent part, provides as follows: </w:t>
      </w:r>
    </w:p>
    <w:p w:rsidR="00701994" w:rsidRPr="00701994" w:rsidRDefault="00701994" w:rsidP="00701994">
      <w:pPr>
        <w:pStyle w:val="NoSpacing"/>
        <w:spacing w:line="360" w:lineRule="auto"/>
        <w:rPr>
          <w:sz w:val="26"/>
          <w:szCs w:val="26"/>
        </w:rPr>
      </w:pPr>
    </w:p>
    <w:p w:rsidR="00701994" w:rsidRPr="00CC010F" w:rsidRDefault="00701994" w:rsidP="00701994">
      <w:pPr>
        <w:pStyle w:val="NormalWeb"/>
        <w:spacing w:line="232" w:lineRule="atLeast"/>
        <w:ind w:left="1440" w:right="1440" w:firstLine="27"/>
        <w:rPr>
          <w:b/>
          <w:bCs/>
          <w:sz w:val="26"/>
          <w:szCs w:val="26"/>
        </w:rPr>
      </w:pPr>
      <w:r w:rsidRPr="00CC010F">
        <w:rPr>
          <w:b/>
          <w:bCs/>
          <w:sz w:val="26"/>
          <w:szCs w:val="26"/>
        </w:rPr>
        <w:t>§ 1405.  Payment arrangements.</w:t>
      </w:r>
    </w:p>
    <w:p w:rsidR="00701994" w:rsidRPr="00CC010F" w:rsidRDefault="00701994" w:rsidP="00701994">
      <w:pPr>
        <w:pStyle w:val="NormalWeb"/>
        <w:spacing w:line="232" w:lineRule="atLeast"/>
        <w:ind w:left="2313" w:right="1440" w:hanging="1593"/>
        <w:rPr>
          <w:b/>
          <w:sz w:val="26"/>
          <w:szCs w:val="26"/>
        </w:rPr>
      </w:pPr>
    </w:p>
    <w:p w:rsidR="00701994" w:rsidRPr="00701994" w:rsidRDefault="0089664B" w:rsidP="00701994">
      <w:pPr>
        <w:pStyle w:val="NormalWeb"/>
        <w:spacing w:line="232" w:lineRule="atLeast"/>
        <w:ind w:left="1440" w:right="1440"/>
        <w:rPr>
          <w:sz w:val="26"/>
          <w:szCs w:val="26"/>
        </w:rPr>
      </w:pPr>
      <w:r>
        <w:rPr>
          <w:b/>
          <w:bCs/>
          <w:sz w:val="26"/>
          <w:szCs w:val="26"/>
        </w:rPr>
        <w:tab/>
      </w:r>
      <w:r w:rsidR="00701994" w:rsidRPr="00CC010F">
        <w:rPr>
          <w:b/>
          <w:bCs/>
          <w:sz w:val="26"/>
          <w:szCs w:val="26"/>
        </w:rPr>
        <w:t>(a)</w:t>
      </w:r>
      <w:r w:rsidR="00701994" w:rsidRPr="00701994">
        <w:rPr>
          <w:bCs/>
          <w:sz w:val="26"/>
          <w:szCs w:val="26"/>
        </w:rPr>
        <w:t xml:space="preserve"> </w:t>
      </w:r>
      <w:r w:rsidR="00701994" w:rsidRPr="00CC010F">
        <w:rPr>
          <w:b/>
          <w:bCs/>
          <w:sz w:val="26"/>
          <w:szCs w:val="26"/>
        </w:rPr>
        <w:t>General rule.--</w:t>
      </w:r>
      <w:r w:rsidR="00701994" w:rsidRPr="00701994">
        <w:rPr>
          <w:sz w:val="26"/>
          <w:szCs w:val="26"/>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rsidR="00701994" w:rsidRPr="00701994" w:rsidRDefault="00701994" w:rsidP="00701994">
      <w:pPr>
        <w:pStyle w:val="NormalWeb"/>
        <w:spacing w:line="232" w:lineRule="atLeast"/>
        <w:ind w:left="1440" w:right="1440"/>
        <w:rPr>
          <w:sz w:val="26"/>
          <w:szCs w:val="26"/>
        </w:rPr>
      </w:pPr>
    </w:p>
    <w:p w:rsidR="00701994" w:rsidRPr="00701994" w:rsidRDefault="00701994" w:rsidP="00701994">
      <w:pPr>
        <w:pStyle w:val="NormalWeb"/>
        <w:spacing w:line="232" w:lineRule="atLeast"/>
        <w:ind w:left="1440" w:right="1440"/>
        <w:jc w:val="center"/>
        <w:rPr>
          <w:sz w:val="26"/>
          <w:szCs w:val="26"/>
        </w:rPr>
      </w:pPr>
      <w:r w:rsidRPr="00701994">
        <w:rPr>
          <w:sz w:val="26"/>
          <w:szCs w:val="26"/>
        </w:rPr>
        <w:t>. . .</w:t>
      </w:r>
    </w:p>
    <w:p w:rsidR="00701994" w:rsidRPr="00701994" w:rsidRDefault="00701994" w:rsidP="00701994">
      <w:pPr>
        <w:pStyle w:val="NormalWeb"/>
        <w:spacing w:line="232" w:lineRule="atLeast"/>
        <w:ind w:right="1440"/>
        <w:rPr>
          <w:sz w:val="26"/>
          <w:szCs w:val="26"/>
        </w:rPr>
      </w:pPr>
    </w:p>
    <w:p w:rsidR="00701994" w:rsidRPr="00701994" w:rsidRDefault="0089664B" w:rsidP="00701994">
      <w:pPr>
        <w:pStyle w:val="NormalWeb"/>
        <w:spacing w:line="232" w:lineRule="atLeast"/>
        <w:ind w:left="1440" w:right="1440"/>
        <w:rPr>
          <w:sz w:val="26"/>
          <w:szCs w:val="26"/>
        </w:rPr>
      </w:pPr>
      <w:r>
        <w:rPr>
          <w:b/>
          <w:bCs/>
          <w:sz w:val="26"/>
          <w:szCs w:val="26"/>
        </w:rPr>
        <w:tab/>
      </w:r>
      <w:r w:rsidR="00701994" w:rsidRPr="00CC010F">
        <w:rPr>
          <w:b/>
          <w:bCs/>
          <w:sz w:val="26"/>
          <w:szCs w:val="26"/>
        </w:rPr>
        <w:t>(c) Customer assistance programs.--</w:t>
      </w:r>
      <w:r w:rsidR="00701994" w:rsidRPr="00701994">
        <w:rPr>
          <w:sz w:val="26"/>
          <w:szCs w:val="26"/>
        </w:rPr>
        <w:t xml:space="preserve">Customer assistance program rates shall be timely paid and shall not be the subject of payment arrangements negotiated or approved by the commission. </w:t>
      </w:r>
    </w:p>
    <w:p w:rsidR="00701994" w:rsidRPr="00701994" w:rsidRDefault="00701994" w:rsidP="00701994">
      <w:pPr>
        <w:pStyle w:val="NormalWeb"/>
        <w:spacing w:line="232" w:lineRule="atLeast"/>
        <w:ind w:left="1440" w:right="1440"/>
        <w:rPr>
          <w:sz w:val="26"/>
          <w:szCs w:val="26"/>
        </w:rPr>
      </w:pPr>
    </w:p>
    <w:p w:rsidR="00701994" w:rsidRPr="00701994" w:rsidRDefault="0089664B" w:rsidP="00701994">
      <w:pPr>
        <w:pStyle w:val="NormalWeb"/>
        <w:spacing w:line="232" w:lineRule="atLeast"/>
        <w:ind w:left="1440" w:right="1440"/>
        <w:rPr>
          <w:sz w:val="26"/>
          <w:szCs w:val="26"/>
        </w:rPr>
      </w:pPr>
      <w:r>
        <w:rPr>
          <w:b/>
          <w:bCs/>
          <w:sz w:val="26"/>
          <w:szCs w:val="26"/>
        </w:rPr>
        <w:lastRenderedPageBreak/>
        <w:tab/>
      </w:r>
      <w:r w:rsidR="00701994" w:rsidRPr="00CC010F">
        <w:rPr>
          <w:b/>
          <w:bCs/>
          <w:sz w:val="26"/>
          <w:szCs w:val="26"/>
        </w:rPr>
        <w:t>(d) Number of payment arrangements.--</w:t>
      </w:r>
      <w:r w:rsidR="00701994" w:rsidRPr="00701994">
        <w:rPr>
          <w:sz w:val="26"/>
          <w:szCs w:val="26"/>
        </w:rPr>
        <w:t xml:space="preserve">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 </w:t>
      </w:r>
    </w:p>
    <w:p w:rsidR="00701994" w:rsidRPr="00701994" w:rsidRDefault="00701994" w:rsidP="00701994">
      <w:pPr>
        <w:pStyle w:val="NormalWeb"/>
        <w:spacing w:line="232" w:lineRule="atLeast"/>
        <w:ind w:left="1440" w:right="1440"/>
        <w:rPr>
          <w:sz w:val="26"/>
          <w:szCs w:val="26"/>
        </w:rPr>
      </w:pPr>
    </w:p>
    <w:p w:rsidR="00701994" w:rsidRPr="00701994" w:rsidRDefault="00701994" w:rsidP="00701994">
      <w:pPr>
        <w:pStyle w:val="NormalWeb"/>
        <w:spacing w:line="232" w:lineRule="atLeast"/>
        <w:ind w:left="1440" w:right="1440" w:firstLine="27"/>
        <w:jc w:val="center"/>
        <w:rPr>
          <w:sz w:val="26"/>
          <w:szCs w:val="26"/>
        </w:rPr>
      </w:pPr>
      <w:r w:rsidRPr="00701994">
        <w:rPr>
          <w:sz w:val="26"/>
          <w:szCs w:val="26"/>
        </w:rPr>
        <w:t>. . .</w:t>
      </w:r>
    </w:p>
    <w:p w:rsidR="00701994" w:rsidRPr="00701994" w:rsidRDefault="00701994" w:rsidP="00701994">
      <w:pPr>
        <w:pStyle w:val="NormalWeb"/>
        <w:spacing w:line="232" w:lineRule="atLeast"/>
        <w:ind w:left="1440" w:right="1440" w:firstLine="27"/>
        <w:rPr>
          <w:sz w:val="26"/>
          <w:szCs w:val="26"/>
        </w:rPr>
      </w:pPr>
    </w:p>
    <w:p w:rsidR="00701994" w:rsidRDefault="0089664B" w:rsidP="00B74A83">
      <w:pPr>
        <w:pStyle w:val="NormalWeb"/>
        <w:spacing w:line="232" w:lineRule="atLeast"/>
        <w:ind w:left="1440" w:right="1440"/>
        <w:rPr>
          <w:sz w:val="26"/>
          <w:szCs w:val="26"/>
        </w:rPr>
      </w:pPr>
      <w:r>
        <w:rPr>
          <w:b/>
          <w:bCs/>
          <w:sz w:val="26"/>
          <w:szCs w:val="26"/>
        </w:rPr>
        <w:tab/>
      </w:r>
      <w:r w:rsidR="00701994" w:rsidRPr="00CC010F">
        <w:rPr>
          <w:b/>
          <w:bCs/>
          <w:sz w:val="26"/>
          <w:szCs w:val="26"/>
        </w:rPr>
        <w:t>(f) Failure to comply with payment arrangement.--</w:t>
      </w:r>
      <w:r w:rsidR="00701994" w:rsidRPr="00701994">
        <w:rPr>
          <w:sz w:val="26"/>
          <w:szCs w:val="26"/>
        </w:rPr>
        <w:t xml:space="preserve">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 </w:t>
      </w:r>
    </w:p>
    <w:p w:rsidR="00423310" w:rsidRDefault="00423310" w:rsidP="00A84010">
      <w:pPr>
        <w:widowControl/>
        <w:tabs>
          <w:tab w:val="left" w:pos="720"/>
          <w:tab w:val="left" w:pos="1440"/>
        </w:tabs>
        <w:spacing w:line="360" w:lineRule="auto"/>
        <w:rPr>
          <w:b/>
          <w:sz w:val="26"/>
          <w:szCs w:val="26"/>
        </w:rPr>
      </w:pPr>
    </w:p>
    <w:p w:rsidR="00423310" w:rsidRDefault="00423310" w:rsidP="00A84010">
      <w:pPr>
        <w:widowControl/>
        <w:tabs>
          <w:tab w:val="left" w:pos="720"/>
          <w:tab w:val="left" w:pos="1440"/>
        </w:tabs>
        <w:spacing w:line="360" w:lineRule="auto"/>
        <w:rPr>
          <w:b/>
          <w:sz w:val="26"/>
          <w:szCs w:val="26"/>
        </w:rPr>
      </w:pPr>
    </w:p>
    <w:p w:rsidR="00CE2E09" w:rsidRDefault="00CE2E09" w:rsidP="00A84010">
      <w:pPr>
        <w:widowControl/>
        <w:tabs>
          <w:tab w:val="left" w:pos="720"/>
          <w:tab w:val="left" w:pos="1440"/>
        </w:tabs>
        <w:spacing w:line="360" w:lineRule="auto"/>
        <w:rPr>
          <w:b/>
          <w:sz w:val="26"/>
          <w:szCs w:val="26"/>
        </w:rPr>
      </w:pPr>
      <w:r w:rsidRPr="00D365A7">
        <w:rPr>
          <w:b/>
          <w:sz w:val="26"/>
          <w:szCs w:val="26"/>
        </w:rPr>
        <w:t>ALJ’s Initial Decision</w:t>
      </w:r>
    </w:p>
    <w:p w:rsidR="00A84010" w:rsidRDefault="00A84010" w:rsidP="00A84010">
      <w:pPr>
        <w:widowControl/>
        <w:tabs>
          <w:tab w:val="left" w:pos="720"/>
          <w:tab w:val="left" w:pos="1440"/>
        </w:tabs>
        <w:spacing w:line="360" w:lineRule="auto"/>
        <w:rPr>
          <w:b/>
          <w:sz w:val="26"/>
          <w:szCs w:val="26"/>
        </w:rPr>
      </w:pPr>
    </w:p>
    <w:p w:rsidR="00A84010" w:rsidRDefault="00A84010" w:rsidP="00A84010">
      <w:pPr>
        <w:widowControl/>
        <w:tabs>
          <w:tab w:val="left" w:pos="720"/>
          <w:tab w:val="left" w:pos="1440"/>
        </w:tabs>
        <w:spacing w:line="360" w:lineRule="auto"/>
        <w:rPr>
          <w:b/>
          <w:sz w:val="26"/>
          <w:szCs w:val="26"/>
        </w:rPr>
      </w:pPr>
      <w:r>
        <w:rPr>
          <w:sz w:val="26"/>
          <w:szCs w:val="26"/>
        </w:rPr>
        <w:tab/>
      </w:r>
      <w:r>
        <w:rPr>
          <w:sz w:val="26"/>
          <w:szCs w:val="26"/>
        </w:rPr>
        <w:tab/>
        <w:t xml:space="preserve">ALJ Heep made twelve </w:t>
      </w:r>
      <w:r w:rsidRPr="00D365A7">
        <w:rPr>
          <w:sz w:val="26"/>
          <w:szCs w:val="26"/>
        </w:rPr>
        <w:t>Find</w:t>
      </w:r>
      <w:r>
        <w:rPr>
          <w:sz w:val="26"/>
          <w:szCs w:val="26"/>
        </w:rPr>
        <w:t xml:space="preserve">ings of Fact and reached four </w:t>
      </w:r>
      <w:r w:rsidRPr="00D365A7">
        <w:rPr>
          <w:sz w:val="26"/>
          <w:szCs w:val="26"/>
        </w:rPr>
        <w:t xml:space="preserve">Conclusions of Law.  </w:t>
      </w:r>
      <w:r>
        <w:rPr>
          <w:sz w:val="26"/>
          <w:szCs w:val="26"/>
        </w:rPr>
        <w:t>I.D. at 2-3, 7</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CE2E09" w:rsidRPr="00D365A7" w:rsidRDefault="00CE2E09" w:rsidP="00423310">
      <w:pPr>
        <w:widowControl/>
        <w:spacing w:line="360" w:lineRule="auto"/>
        <w:rPr>
          <w:sz w:val="26"/>
          <w:szCs w:val="26"/>
        </w:rPr>
      </w:pPr>
    </w:p>
    <w:p w:rsidR="00B74A83" w:rsidRDefault="009F423D" w:rsidP="00F92808">
      <w:pPr>
        <w:widowControl/>
        <w:tabs>
          <w:tab w:val="left" w:pos="720"/>
          <w:tab w:val="left" w:pos="1440"/>
        </w:tabs>
        <w:spacing w:line="360" w:lineRule="auto"/>
        <w:rPr>
          <w:sz w:val="26"/>
          <w:szCs w:val="26"/>
        </w:rPr>
      </w:pPr>
      <w:r>
        <w:rPr>
          <w:sz w:val="26"/>
          <w:szCs w:val="26"/>
        </w:rPr>
        <w:tab/>
      </w:r>
      <w:r>
        <w:rPr>
          <w:sz w:val="26"/>
          <w:szCs w:val="26"/>
        </w:rPr>
        <w:tab/>
      </w:r>
      <w:r w:rsidR="00CE2E09" w:rsidRPr="004408CD">
        <w:rPr>
          <w:sz w:val="26"/>
          <w:szCs w:val="26"/>
        </w:rPr>
        <w:t xml:space="preserve">In discussing this case, the ALJ emphasized that </w:t>
      </w:r>
      <w:r w:rsidR="004408CD" w:rsidRPr="004408CD">
        <w:rPr>
          <w:sz w:val="26"/>
          <w:szCs w:val="26"/>
        </w:rPr>
        <w:t xml:space="preserve">when a Complainant has arrearages that </w:t>
      </w:r>
      <w:r w:rsidR="0020136C">
        <w:rPr>
          <w:sz w:val="26"/>
          <w:szCs w:val="26"/>
        </w:rPr>
        <w:t>are</w:t>
      </w:r>
      <w:r w:rsidR="004408CD" w:rsidRPr="004408CD">
        <w:rPr>
          <w:sz w:val="26"/>
          <w:szCs w:val="26"/>
        </w:rPr>
        <w:t xml:space="preserve"> comprised of both Customer Assistance Program (CAP) charges and non-CAP charges, the Commission may bifurcate the arrearage and establish a payment arrangement on the non-CAP arrearage.  However, the ALJ </w:t>
      </w:r>
      <w:r w:rsidR="00DA46BF">
        <w:rPr>
          <w:sz w:val="26"/>
          <w:szCs w:val="26"/>
        </w:rPr>
        <w:t>noted</w:t>
      </w:r>
      <w:r w:rsidR="004408CD" w:rsidRPr="004408CD">
        <w:rPr>
          <w:sz w:val="26"/>
          <w:szCs w:val="26"/>
        </w:rPr>
        <w:t xml:space="preserve"> that the Commission is not required to set a payment arrangement on a bifurcated arrearage and may decline to do so if the Complainant has exhibited a poor payment history and </w:t>
      </w:r>
      <w:r w:rsidR="000833F3">
        <w:rPr>
          <w:sz w:val="26"/>
          <w:szCs w:val="26"/>
        </w:rPr>
        <w:t xml:space="preserve">an </w:t>
      </w:r>
      <w:r w:rsidR="004408CD" w:rsidRPr="004408CD">
        <w:rPr>
          <w:sz w:val="26"/>
          <w:szCs w:val="26"/>
        </w:rPr>
        <w:t xml:space="preserve">inability to keep </w:t>
      </w:r>
      <w:r w:rsidR="004408CD" w:rsidRPr="004408CD">
        <w:rPr>
          <w:sz w:val="26"/>
          <w:szCs w:val="26"/>
        </w:rPr>
        <w:lastRenderedPageBreak/>
        <w:t>prior payment a</w:t>
      </w:r>
      <w:r w:rsidR="00B570F4">
        <w:rPr>
          <w:sz w:val="26"/>
          <w:szCs w:val="26"/>
        </w:rPr>
        <w:t>rrangements</w:t>
      </w:r>
      <w:r w:rsidR="000833F3">
        <w:rPr>
          <w:sz w:val="26"/>
          <w:szCs w:val="26"/>
        </w:rPr>
        <w:t xml:space="preserve"> with the C</w:t>
      </w:r>
      <w:r w:rsidR="004408CD" w:rsidRPr="004408CD">
        <w:rPr>
          <w:sz w:val="26"/>
          <w:szCs w:val="26"/>
        </w:rPr>
        <w:t>ompany.</w:t>
      </w:r>
      <w:r w:rsidR="004408CD" w:rsidRPr="004408CD">
        <w:rPr>
          <w:rStyle w:val="FootnoteReference"/>
          <w:sz w:val="26"/>
          <w:szCs w:val="26"/>
        </w:rPr>
        <w:footnoteReference w:id="6"/>
      </w:r>
      <w:r w:rsidR="004408CD" w:rsidRPr="004408CD">
        <w:rPr>
          <w:sz w:val="26"/>
          <w:szCs w:val="26"/>
        </w:rPr>
        <w:t xml:space="preserve">  Furthermore, the ALJ </w:t>
      </w:r>
      <w:r w:rsidR="004408CD">
        <w:rPr>
          <w:sz w:val="26"/>
          <w:szCs w:val="26"/>
        </w:rPr>
        <w:t>noted</w:t>
      </w:r>
      <w:r w:rsidR="004408CD" w:rsidRPr="004408CD">
        <w:rPr>
          <w:sz w:val="26"/>
          <w:szCs w:val="26"/>
        </w:rPr>
        <w:t xml:space="preserve"> that since the Commission can only give a limited number of payment arrangements, a payment arrangement issued on a non-CAP arrearage in a scenario where the Complainant is </w:t>
      </w:r>
    </w:p>
    <w:p w:rsidR="00F92808" w:rsidRDefault="004408CD" w:rsidP="00F92808">
      <w:pPr>
        <w:widowControl/>
        <w:tabs>
          <w:tab w:val="left" w:pos="720"/>
          <w:tab w:val="left" w:pos="1440"/>
        </w:tabs>
        <w:spacing w:line="360" w:lineRule="auto"/>
        <w:rPr>
          <w:sz w:val="26"/>
          <w:szCs w:val="26"/>
        </w:rPr>
      </w:pPr>
      <w:r w:rsidRPr="004408CD">
        <w:rPr>
          <w:sz w:val="26"/>
          <w:szCs w:val="26"/>
        </w:rPr>
        <w:t xml:space="preserve">likely to default is not in the </w:t>
      </w:r>
      <w:r>
        <w:rPr>
          <w:sz w:val="26"/>
          <w:szCs w:val="26"/>
        </w:rPr>
        <w:t>Complainant’s</w:t>
      </w:r>
      <w:r w:rsidRPr="004408CD">
        <w:rPr>
          <w:sz w:val="26"/>
          <w:szCs w:val="26"/>
        </w:rPr>
        <w:t xml:space="preserve"> best interest.</w:t>
      </w:r>
      <w:r w:rsidRPr="004408CD">
        <w:rPr>
          <w:rStyle w:val="FootnoteReference"/>
          <w:sz w:val="26"/>
          <w:szCs w:val="26"/>
        </w:rPr>
        <w:footnoteReference w:id="7"/>
      </w:r>
      <w:r>
        <w:rPr>
          <w:sz w:val="26"/>
          <w:szCs w:val="26"/>
        </w:rPr>
        <w:t xml:space="preserve">  </w:t>
      </w:r>
      <w:r w:rsidR="00F92808">
        <w:rPr>
          <w:sz w:val="26"/>
          <w:szCs w:val="26"/>
        </w:rPr>
        <w:t>I.D. at 5-6.</w:t>
      </w:r>
    </w:p>
    <w:p w:rsidR="00F92808" w:rsidRDefault="00F92808" w:rsidP="00F92808">
      <w:pPr>
        <w:widowControl/>
        <w:tabs>
          <w:tab w:val="left" w:pos="720"/>
          <w:tab w:val="left" w:pos="1440"/>
        </w:tabs>
        <w:spacing w:line="360" w:lineRule="auto"/>
        <w:rPr>
          <w:sz w:val="26"/>
          <w:szCs w:val="26"/>
        </w:rPr>
      </w:pPr>
    </w:p>
    <w:p w:rsidR="00B570F4" w:rsidRDefault="00F92808" w:rsidP="002265E2">
      <w:pPr>
        <w:pStyle w:val="NoSpacing"/>
        <w:spacing w:line="360" w:lineRule="auto"/>
        <w:rPr>
          <w:sz w:val="26"/>
          <w:szCs w:val="26"/>
        </w:rPr>
      </w:pPr>
      <w:r>
        <w:rPr>
          <w:sz w:val="26"/>
          <w:szCs w:val="26"/>
        </w:rPr>
        <w:tab/>
      </w:r>
      <w:r>
        <w:rPr>
          <w:sz w:val="26"/>
          <w:szCs w:val="26"/>
        </w:rPr>
        <w:tab/>
      </w:r>
      <w:r w:rsidR="00B570F4" w:rsidRPr="002265E2">
        <w:rPr>
          <w:sz w:val="26"/>
          <w:szCs w:val="26"/>
        </w:rPr>
        <w:t xml:space="preserve">Specifically, the ALJ noted that relief is not available in the instant proceeding because the Complainant indicated that while she is interested in getting back on PGW’s CRP program, she cannot afford the huge payment required for </w:t>
      </w:r>
      <w:r w:rsidR="00680F4B">
        <w:rPr>
          <w:sz w:val="26"/>
          <w:szCs w:val="26"/>
        </w:rPr>
        <w:t>her to re-enroll in</w:t>
      </w:r>
      <w:r w:rsidR="00B570F4" w:rsidRPr="002265E2">
        <w:rPr>
          <w:sz w:val="26"/>
          <w:szCs w:val="26"/>
        </w:rPr>
        <w:t xml:space="preserve"> the program.  A</w:t>
      </w:r>
      <w:r w:rsidRPr="002265E2">
        <w:rPr>
          <w:sz w:val="26"/>
          <w:szCs w:val="26"/>
        </w:rPr>
        <w:t>dditionally, the ALJ</w:t>
      </w:r>
      <w:r w:rsidR="002265E2">
        <w:rPr>
          <w:sz w:val="26"/>
          <w:szCs w:val="26"/>
        </w:rPr>
        <w:t xml:space="preserve"> noted that </w:t>
      </w:r>
      <w:r w:rsidR="001D3548">
        <w:rPr>
          <w:sz w:val="26"/>
          <w:szCs w:val="26"/>
        </w:rPr>
        <w:t xml:space="preserve">Section 69.265 of the </w:t>
      </w:r>
      <w:r w:rsidR="00A84010">
        <w:rPr>
          <w:sz w:val="26"/>
          <w:szCs w:val="26"/>
        </w:rPr>
        <w:t>Commission</w:t>
      </w:r>
      <w:r w:rsidR="001D3548">
        <w:rPr>
          <w:sz w:val="26"/>
          <w:szCs w:val="26"/>
        </w:rPr>
        <w:t>’s</w:t>
      </w:r>
      <w:r w:rsidR="00A84010">
        <w:rPr>
          <w:sz w:val="26"/>
          <w:szCs w:val="26"/>
        </w:rPr>
        <w:t xml:space="preserve"> </w:t>
      </w:r>
      <w:r w:rsidRPr="002265E2">
        <w:rPr>
          <w:sz w:val="26"/>
          <w:szCs w:val="26"/>
        </w:rPr>
        <w:t>R</w:t>
      </w:r>
      <w:r w:rsidR="00B570F4" w:rsidRPr="002265E2">
        <w:rPr>
          <w:sz w:val="26"/>
          <w:szCs w:val="26"/>
        </w:rPr>
        <w:t>egulations</w:t>
      </w:r>
      <w:r w:rsidR="001D3548">
        <w:rPr>
          <w:sz w:val="26"/>
          <w:szCs w:val="26"/>
        </w:rPr>
        <w:t>,</w:t>
      </w:r>
      <w:r w:rsidR="00B570F4" w:rsidRPr="002265E2">
        <w:rPr>
          <w:sz w:val="26"/>
          <w:szCs w:val="26"/>
        </w:rPr>
        <w:t xml:space="preserve"> 52 Pa.</w:t>
      </w:r>
      <w:r w:rsidR="00A84010">
        <w:rPr>
          <w:sz w:val="26"/>
          <w:szCs w:val="26"/>
        </w:rPr>
        <w:t xml:space="preserve"> </w:t>
      </w:r>
      <w:r w:rsidR="00B570F4" w:rsidRPr="002265E2">
        <w:rPr>
          <w:sz w:val="26"/>
          <w:szCs w:val="26"/>
        </w:rPr>
        <w:t>Code § 69.265</w:t>
      </w:r>
      <w:r w:rsidR="00A84010">
        <w:rPr>
          <w:sz w:val="26"/>
          <w:szCs w:val="26"/>
        </w:rPr>
        <w:t>,</w:t>
      </w:r>
      <w:r w:rsidR="00B570F4" w:rsidRPr="002265E2">
        <w:rPr>
          <w:sz w:val="26"/>
          <w:szCs w:val="26"/>
        </w:rPr>
        <w:t xml:space="preserve"> </w:t>
      </w:r>
      <w:r w:rsidRPr="002265E2">
        <w:rPr>
          <w:sz w:val="26"/>
          <w:szCs w:val="26"/>
        </w:rPr>
        <w:t>address</w:t>
      </w:r>
      <w:r w:rsidR="00A84010">
        <w:rPr>
          <w:sz w:val="26"/>
          <w:szCs w:val="26"/>
        </w:rPr>
        <w:t>es</w:t>
      </w:r>
      <w:r w:rsidR="00B570F4" w:rsidRPr="002265E2">
        <w:rPr>
          <w:sz w:val="26"/>
          <w:szCs w:val="26"/>
        </w:rPr>
        <w:t xml:space="preserve"> the elements of design for CAP programs such as the CRP</w:t>
      </w:r>
      <w:r w:rsidR="001D3548">
        <w:rPr>
          <w:sz w:val="26"/>
          <w:szCs w:val="26"/>
        </w:rPr>
        <w:t>,</w:t>
      </w:r>
      <w:r w:rsidR="00B570F4" w:rsidRPr="002265E2">
        <w:rPr>
          <w:sz w:val="26"/>
          <w:szCs w:val="26"/>
        </w:rPr>
        <w:t xml:space="preserve"> and </w:t>
      </w:r>
      <w:r w:rsidR="001D3548">
        <w:rPr>
          <w:sz w:val="26"/>
          <w:szCs w:val="26"/>
        </w:rPr>
        <w:t xml:space="preserve">Section 69.265(8) of the Commission’s Regulations, </w:t>
      </w:r>
      <w:r w:rsidR="00B25677" w:rsidRPr="002265E2">
        <w:rPr>
          <w:sz w:val="26"/>
          <w:szCs w:val="26"/>
        </w:rPr>
        <w:t>52 Pa.</w:t>
      </w:r>
      <w:r w:rsidR="00A84010">
        <w:rPr>
          <w:sz w:val="26"/>
          <w:szCs w:val="26"/>
        </w:rPr>
        <w:t xml:space="preserve"> </w:t>
      </w:r>
      <w:r w:rsidR="00B25677" w:rsidRPr="002265E2">
        <w:rPr>
          <w:sz w:val="26"/>
          <w:szCs w:val="26"/>
        </w:rPr>
        <w:t xml:space="preserve">Code </w:t>
      </w:r>
      <w:r w:rsidR="00B570F4" w:rsidRPr="002265E2">
        <w:rPr>
          <w:sz w:val="26"/>
          <w:szCs w:val="26"/>
        </w:rPr>
        <w:t>§ 69.265(8)</w:t>
      </w:r>
      <w:r w:rsidR="00A84010">
        <w:rPr>
          <w:sz w:val="26"/>
          <w:szCs w:val="26"/>
        </w:rPr>
        <w:t>,</w:t>
      </w:r>
      <w:r w:rsidR="00B570F4" w:rsidRPr="002265E2">
        <w:rPr>
          <w:sz w:val="26"/>
          <w:szCs w:val="26"/>
        </w:rPr>
        <w:t xml:space="preserve"> </w:t>
      </w:r>
      <w:r w:rsidR="001D3548">
        <w:rPr>
          <w:sz w:val="26"/>
          <w:szCs w:val="26"/>
        </w:rPr>
        <w:t xml:space="preserve">provides </w:t>
      </w:r>
      <w:r w:rsidR="00B570F4" w:rsidRPr="002265E2">
        <w:rPr>
          <w:sz w:val="26"/>
          <w:szCs w:val="26"/>
        </w:rPr>
        <w:t xml:space="preserve">that a person removed from such a program may be reinstated at the utility’s discretion.  </w:t>
      </w:r>
      <w:r w:rsidR="00A84010">
        <w:rPr>
          <w:sz w:val="26"/>
          <w:szCs w:val="26"/>
        </w:rPr>
        <w:t>A</w:t>
      </w:r>
      <w:r w:rsidR="002265E2">
        <w:rPr>
          <w:sz w:val="26"/>
          <w:szCs w:val="26"/>
        </w:rPr>
        <w:t>ccording to the ALJ, i</w:t>
      </w:r>
      <w:r w:rsidR="001F3812">
        <w:rPr>
          <w:sz w:val="26"/>
          <w:szCs w:val="26"/>
        </w:rPr>
        <w:t xml:space="preserve">n the instant proceeding, </w:t>
      </w:r>
      <w:r w:rsidR="001F3812" w:rsidRPr="002265E2">
        <w:rPr>
          <w:sz w:val="26"/>
          <w:szCs w:val="26"/>
        </w:rPr>
        <w:t>PGW</w:t>
      </w:r>
      <w:r w:rsidR="00B570F4" w:rsidRPr="002265E2">
        <w:rPr>
          <w:sz w:val="26"/>
          <w:szCs w:val="26"/>
        </w:rPr>
        <w:t xml:space="preserve"> has chosen to require payment of a cure amount, or unpaid CRP</w:t>
      </w:r>
      <w:r w:rsidR="00A84010">
        <w:rPr>
          <w:sz w:val="26"/>
          <w:szCs w:val="26"/>
        </w:rPr>
        <w:t xml:space="preserve"> charges, prior to re-enrolling the Complainant</w:t>
      </w:r>
      <w:r w:rsidR="00B570F4" w:rsidRPr="002265E2">
        <w:rPr>
          <w:sz w:val="26"/>
          <w:szCs w:val="26"/>
        </w:rPr>
        <w:t xml:space="preserve"> in the CRP program</w:t>
      </w:r>
      <w:r w:rsidR="000833F3">
        <w:rPr>
          <w:sz w:val="26"/>
          <w:szCs w:val="26"/>
        </w:rPr>
        <w:t xml:space="preserve">.  The ALJ noted that </w:t>
      </w:r>
      <w:r w:rsidRPr="002265E2">
        <w:rPr>
          <w:sz w:val="26"/>
          <w:szCs w:val="26"/>
        </w:rPr>
        <w:t>n</w:t>
      </w:r>
      <w:r w:rsidR="00B570F4" w:rsidRPr="002265E2">
        <w:rPr>
          <w:sz w:val="26"/>
          <w:szCs w:val="26"/>
        </w:rPr>
        <w:t xml:space="preserve">othing in the record supports a finding that the required </w:t>
      </w:r>
      <w:r w:rsidRPr="002265E2">
        <w:rPr>
          <w:sz w:val="26"/>
          <w:szCs w:val="26"/>
        </w:rPr>
        <w:t xml:space="preserve">payment is in violation of any Regulation, </w:t>
      </w:r>
      <w:r w:rsidR="00680F4B">
        <w:rPr>
          <w:sz w:val="26"/>
          <w:szCs w:val="26"/>
        </w:rPr>
        <w:t xml:space="preserve">the </w:t>
      </w:r>
      <w:r w:rsidRPr="002265E2">
        <w:rPr>
          <w:sz w:val="26"/>
          <w:szCs w:val="26"/>
        </w:rPr>
        <w:t xml:space="preserve">Code, </w:t>
      </w:r>
      <w:r w:rsidR="000833F3">
        <w:rPr>
          <w:sz w:val="26"/>
          <w:szCs w:val="26"/>
        </w:rPr>
        <w:t>PGW</w:t>
      </w:r>
      <w:r w:rsidR="00680F4B">
        <w:rPr>
          <w:sz w:val="26"/>
          <w:szCs w:val="26"/>
        </w:rPr>
        <w:t>’s</w:t>
      </w:r>
      <w:r w:rsidR="000833F3">
        <w:rPr>
          <w:sz w:val="26"/>
          <w:szCs w:val="26"/>
        </w:rPr>
        <w:t xml:space="preserve"> tariff or a Commission O</w:t>
      </w:r>
      <w:r w:rsidR="00B570F4" w:rsidRPr="002265E2">
        <w:rPr>
          <w:sz w:val="26"/>
          <w:szCs w:val="26"/>
        </w:rPr>
        <w:t>rder.</w:t>
      </w:r>
      <w:r w:rsidRPr="002265E2">
        <w:rPr>
          <w:sz w:val="26"/>
          <w:szCs w:val="26"/>
        </w:rPr>
        <w:t xml:space="preserve">  Furthermore, the ALJ stated that even if the Complain</w:t>
      </w:r>
      <w:r w:rsidR="000833F3">
        <w:rPr>
          <w:sz w:val="26"/>
          <w:szCs w:val="26"/>
        </w:rPr>
        <w:t>an</w:t>
      </w:r>
      <w:r w:rsidRPr="002265E2">
        <w:rPr>
          <w:sz w:val="26"/>
          <w:szCs w:val="26"/>
        </w:rPr>
        <w:t xml:space="preserve">t is only seeking a payment arrangement, relief is still </w:t>
      </w:r>
      <w:r w:rsidR="002265E2" w:rsidRPr="002265E2">
        <w:rPr>
          <w:sz w:val="26"/>
          <w:szCs w:val="26"/>
        </w:rPr>
        <w:t>not available</w:t>
      </w:r>
      <w:r w:rsidR="002265E2">
        <w:rPr>
          <w:sz w:val="26"/>
          <w:szCs w:val="26"/>
        </w:rPr>
        <w:t>.  The ALJ stressed</w:t>
      </w:r>
      <w:r w:rsidR="002265E2" w:rsidRPr="002265E2">
        <w:rPr>
          <w:sz w:val="26"/>
          <w:szCs w:val="26"/>
        </w:rPr>
        <w:t xml:space="preserve"> that </w:t>
      </w:r>
      <w:r w:rsidR="00A84010">
        <w:rPr>
          <w:sz w:val="26"/>
          <w:szCs w:val="26"/>
        </w:rPr>
        <w:t xml:space="preserve">although </w:t>
      </w:r>
      <w:r w:rsidR="002265E2" w:rsidRPr="002265E2">
        <w:rPr>
          <w:sz w:val="26"/>
          <w:szCs w:val="26"/>
        </w:rPr>
        <w:t xml:space="preserve">the </w:t>
      </w:r>
      <w:r w:rsidRPr="002265E2">
        <w:rPr>
          <w:sz w:val="26"/>
          <w:szCs w:val="26"/>
        </w:rPr>
        <w:t>Complainant has not previously had a Commission</w:t>
      </w:r>
      <w:r w:rsidR="00680F4B">
        <w:rPr>
          <w:sz w:val="26"/>
          <w:szCs w:val="26"/>
        </w:rPr>
        <w:t>-ordered</w:t>
      </w:r>
      <w:r w:rsidRPr="002265E2">
        <w:rPr>
          <w:sz w:val="26"/>
          <w:szCs w:val="26"/>
        </w:rPr>
        <w:t xml:space="preserve"> payment arrangement </w:t>
      </w:r>
      <w:r w:rsidR="002265E2" w:rsidRPr="002265E2">
        <w:rPr>
          <w:sz w:val="26"/>
          <w:szCs w:val="26"/>
        </w:rPr>
        <w:t>and is eligible for one</w:t>
      </w:r>
      <w:r w:rsidR="00A84010">
        <w:rPr>
          <w:sz w:val="26"/>
          <w:szCs w:val="26"/>
        </w:rPr>
        <w:t xml:space="preserve"> </w:t>
      </w:r>
      <w:r w:rsidR="002265E2" w:rsidRPr="002265E2">
        <w:rPr>
          <w:sz w:val="26"/>
          <w:szCs w:val="26"/>
        </w:rPr>
        <w:t>pursuant to 66 Pa.</w:t>
      </w:r>
      <w:r w:rsidR="00124ED6">
        <w:rPr>
          <w:sz w:val="26"/>
          <w:szCs w:val="26"/>
        </w:rPr>
        <w:t xml:space="preserve"> </w:t>
      </w:r>
      <w:r w:rsidR="002265E2" w:rsidRPr="002265E2">
        <w:rPr>
          <w:sz w:val="26"/>
          <w:szCs w:val="26"/>
        </w:rPr>
        <w:t xml:space="preserve">C.S. § 1405(d), </w:t>
      </w:r>
      <w:r w:rsidRPr="002265E2">
        <w:rPr>
          <w:sz w:val="26"/>
          <w:szCs w:val="26"/>
        </w:rPr>
        <w:t>her arrearages</w:t>
      </w:r>
      <w:r w:rsidR="002265E2">
        <w:rPr>
          <w:sz w:val="26"/>
          <w:szCs w:val="26"/>
        </w:rPr>
        <w:t xml:space="preserve"> </w:t>
      </w:r>
      <w:r w:rsidRPr="002265E2">
        <w:rPr>
          <w:sz w:val="26"/>
          <w:szCs w:val="26"/>
        </w:rPr>
        <w:t xml:space="preserve">are </w:t>
      </w:r>
      <w:r w:rsidR="002265E2">
        <w:rPr>
          <w:sz w:val="26"/>
          <w:szCs w:val="26"/>
        </w:rPr>
        <w:t xml:space="preserve"> </w:t>
      </w:r>
      <w:r w:rsidRPr="002265E2">
        <w:rPr>
          <w:sz w:val="26"/>
          <w:szCs w:val="26"/>
        </w:rPr>
        <w:t xml:space="preserve">comprised of both </w:t>
      </w:r>
      <w:r w:rsidR="002265E2" w:rsidRPr="002265E2">
        <w:rPr>
          <w:sz w:val="26"/>
          <w:szCs w:val="26"/>
        </w:rPr>
        <w:t>CAP</w:t>
      </w:r>
      <w:r w:rsidR="000833F3">
        <w:rPr>
          <w:sz w:val="26"/>
          <w:szCs w:val="26"/>
        </w:rPr>
        <w:t>/CRP</w:t>
      </w:r>
      <w:r w:rsidR="002265E2" w:rsidRPr="002265E2">
        <w:rPr>
          <w:sz w:val="26"/>
          <w:szCs w:val="26"/>
        </w:rPr>
        <w:t xml:space="preserve"> and non-CAP</w:t>
      </w:r>
      <w:r w:rsidR="002265E2">
        <w:rPr>
          <w:sz w:val="26"/>
          <w:szCs w:val="26"/>
        </w:rPr>
        <w:t xml:space="preserve"> charges and no Commission-ordered </w:t>
      </w:r>
      <w:r w:rsidRPr="002265E2">
        <w:rPr>
          <w:sz w:val="26"/>
          <w:szCs w:val="26"/>
        </w:rPr>
        <w:t>payment arrangement can</w:t>
      </w:r>
      <w:r w:rsidR="002265E2" w:rsidRPr="002265E2">
        <w:rPr>
          <w:sz w:val="26"/>
          <w:szCs w:val="26"/>
        </w:rPr>
        <w:t xml:space="preserve"> be awarded on the </w:t>
      </w:r>
      <w:r w:rsidR="000833F3">
        <w:rPr>
          <w:sz w:val="26"/>
          <w:szCs w:val="26"/>
        </w:rPr>
        <w:t>CAP/</w:t>
      </w:r>
      <w:r w:rsidR="002265E2" w:rsidRPr="002265E2">
        <w:rPr>
          <w:sz w:val="26"/>
          <w:szCs w:val="26"/>
        </w:rPr>
        <w:t xml:space="preserve">CRP portion.  </w:t>
      </w:r>
      <w:r w:rsidRPr="002265E2">
        <w:rPr>
          <w:i/>
          <w:sz w:val="26"/>
          <w:szCs w:val="26"/>
        </w:rPr>
        <w:t>Id</w:t>
      </w:r>
      <w:r w:rsidRPr="002265E2">
        <w:rPr>
          <w:sz w:val="26"/>
          <w:szCs w:val="26"/>
        </w:rPr>
        <w:t>. at 6.</w:t>
      </w:r>
    </w:p>
    <w:p w:rsidR="002265E2" w:rsidRDefault="002265E2" w:rsidP="002265E2">
      <w:pPr>
        <w:pStyle w:val="NoSpacing"/>
        <w:spacing w:line="360" w:lineRule="auto"/>
        <w:rPr>
          <w:sz w:val="26"/>
          <w:szCs w:val="26"/>
        </w:rPr>
      </w:pPr>
    </w:p>
    <w:p w:rsidR="00CE2E09" w:rsidRDefault="002265E2" w:rsidP="00EE6A61">
      <w:pPr>
        <w:spacing w:line="360" w:lineRule="auto"/>
        <w:ind w:firstLine="720"/>
        <w:rPr>
          <w:szCs w:val="26"/>
        </w:rPr>
      </w:pPr>
      <w:r>
        <w:rPr>
          <w:sz w:val="26"/>
          <w:szCs w:val="26"/>
        </w:rPr>
        <w:tab/>
      </w:r>
      <w:r w:rsidRPr="002265E2">
        <w:rPr>
          <w:sz w:val="26"/>
          <w:szCs w:val="26"/>
        </w:rPr>
        <w:t xml:space="preserve">The ALJ further </w:t>
      </w:r>
      <w:r w:rsidR="00680F4B">
        <w:rPr>
          <w:sz w:val="26"/>
          <w:szCs w:val="26"/>
        </w:rPr>
        <w:t>noted</w:t>
      </w:r>
      <w:r w:rsidRPr="002265E2">
        <w:rPr>
          <w:sz w:val="26"/>
          <w:szCs w:val="26"/>
        </w:rPr>
        <w:t xml:space="preserve"> that even if the Commission decides to bifurcate the arrearage and establish a payment arrangement on the non-CAP arrearage, the </w:t>
      </w:r>
      <w:r w:rsidRPr="002265E2">
        <w:rPr>
          <w:sz w:val="26"/>
          <w:szCs w:val="26"/>
        </w:rPr>
        <w:lastRenderedPageBreak/>
        <w:t>Complainant is still faced with the hurdle of overcoming a record showing that she has not kept prior</w:t>
      </w:r>
      <w:r w:rsidR="00007630">
        <w:rPr>
          <w:sz w:val="26"/>
          <w:szCs w:val="26"/>
        </w:rPr>
        <w:t xml:space="preserve"> payment arrangements with the C</w:t>
      </w:r>
      <w:r w:rsidRPr="002265E2">
        <w:rPr>
          <w:sz w:val="26"/>
          <w:szCs w:val="26"/>
        </w:rPr>
        <w:t>ompany</w:t>
      </w:r>
      <w:r w:rsidR="002663C7">
        <w:rPr>
          <w:sz w:val="26"/>
          <w:szCs w:val="26"/>
        </w:rPr>
        <w:t>.</w:t>
      </w:r>
      <w:r w:rsidR="00007630">
        <w:rPr>
          <w:i/>
          <w:iCs/>
          <w:sz w:val="26"/>
          <w:szCs w:val="26"/>
        </w:rPr>
        <w:t xml:space="preserve">  </w:t>
      </w:r>
      <w:r w:rsidR="00007630">
        <w:rPr>
          <w:iCs/>
          <w:sz w:val="26"/>
          <w:szCs w:val="26"/>
        </w:rPr>
        <w:t xml:space="preserve">The Complainant is also faced with </w:t>
      </w:r>
      <w:r w:rsidRPr="002265E2">
        <w:rPr>
          <w:sz w:val="26"/>
          <w:szCs w:val="26"/>
        </w:rPr>
        <w:t xml:space="preserve">the burden of showing that it is not in her best interest </w:t>
      </w:r>
      <w:r w:rsidR="00007630">
        <w:rPr>
          <w:sz w:val="26"/>
          <w:szCs w:val="26"/>
        </w:rPr>
        <w:t xml:space="preserve">for the Commission to </w:t>
      </w:r>
      <w:r w:rsidRPr="002265E2">
        <w:rPr>
          <w:sz w:val="26"/>
          <w:szCs w:val="26"/>
        </w:rPr>
        <w:t>deny her a payment arrangement at this time bec</w:t>
      </w:r>
      <w:r w:rsidR="00007630">
        <w:rPr>
          <w:sz w:val="26"/>
          <w:szCs w:val="26"/>
        </w:rPr>
        <w:t>ause she is likely to default</w:t>
      </w:r>
      <w:r w:rsidRPr="002265E2">
        <w:rPr>
          <w:i/>
          <w:iCs/>
          <w:sz w:val="26"/>
          <w:szCs w:val="26"/>
        </w:rPr>
        <w:t xml:space="preserve">. </w:t>
      </w:r>
      <w:r w:rsidRPr="002265E2">
        <w:rPr>
          <w:sz w:val="26"/>
          <w:szCs w:val="26"/>
        </w:rPr>
        <w:t xml:space="preserve"> The </w:t>
      </w:r>
      <w:r w:rsidR="00007630">
        <w:rPr>
          <w:sz w:val="26"/>
          <w:szCs w:val="26"/>
        </w:rPr>
        <w:t xml:space="preserve">ALJ </w:t>
      </w:r>
      <w:r w:rsidR="00EE6A61">
        <w:rPr>
          <w:sz w:val="26"/>
          <w:szCs w:val="26"/>
        </w:rPr>
        <w:t xml:space="preserve">noted that the Commission may issue the Complainant one Commission-ordered payment arrangement and may even extend it under very limited and specific circumstances.  However, a payment arrangement on the current non-CAP portion of the Complainant’s bill would still leave her with a </w:t>
      </w:r>
      <w:r w:rsidR="000833F3">
        <w:rPr>
          <w:sz w:val="26"/>
          <w:szCs w:val="26"/>
        </w:rPr>
        <w:t xml:space="preserve">substantial </w:t>
      </w:r>
      <w:r w:rsidR="00EE6A61">
        <w:rPr>
          <w:sz w:val="26"/>
          <w:szCs w:val="26"/>
        </w:rPr>
        <w:t>CAP/CRP balance of about $3,000.  The ALJ</w:t>
      </w:r>
      <w:r w:rsidR="000833F3">
        <w:rPr>
          <w:sz w:val="26"/>
          <w:szCs w:val="26"/>
        </w:rPr>
        <w:t>, therefore,</w:t>
      </w:r>
      <w:r w:rsidR="00EE6A61">
        <w:rPr>
          <w:sz w:val="26"/>
          <w:szCs w:val="26"/>
        </w:rPr>
        <w:t xml:space="preserve"> </w:t>
      </w:r>
      <w:r w:rsidR="00007630">
        <w:rPr>
          <w:sz w:val="26"/>
          <w:szCs w:val="26"/>
        </w:rPr>
        <w:t xml:space="preserve">concluded </w:t>
      </w:r>
      <w:r w:rsidR="00EE6A61">
        <w:rPr>
          <w:sz w:val="26"/>
          <w:szCs w:val="26"/>
        </w:rPr>
        <w:t xml:space="preserve">that given the </w:t>
      </w:r>
      <w:r w:rsidR="00680F4B">
        <w:rPr>
          <w:sz w:val="26"/>
          <w:szCs w:val="26"/>
        </w:rPr>
        <w:t>existing circumstances</w:t>
      </w:r>
      <w:r w:rsidR="00EE6A61">
        <w:rPr>
          <w:sz w:val="26"/>
          <w:szCs w:val="26"/>
        </w:rPr>
        <w:t xml:space="preserve">, </w:t>
      </w:r>
      <w:r w:rsidR="002663C7">
        <w:rPr>
          <w:sz w:val="26"/>
          <w:szCs w:val="26"/>
        </w:rPr>
        <w:t>awarding a Commission-issued payment arrangement to the Complainant was</w:t>
      </w:r>
      <w:r w:rsidR="00EE6A61">
        <w:rPr>
          <w:sz w:val="26"/>
          <w:szCs w:val="26"/>
        </w:rPr>
        <w:t xml:space="preserve"> not in the best interest of the Complainant</w:t>
      </w:r>
      <w:r w:rsidR="00450768">
        <w:rPr>
          <w:sz w:val="26"/>
          <w:szCs w:val="26"/>
        </w:rPr>
        <w:t xml:space="preserve"> </w:t>
      </w:r>
      <w:r w:rsidR="00EE6A61">
        <w:rPr>
          <w:sz w:val="26"/>
          <w:szCs w:val="26"/>
        </w:rPr>
        <w:t>at this time</w:t>
      </w:r>
      <w:r w:rsidR="00DD68E2">
        <w:rPr>
          <w:sz w:val="26"/>
          <w:szCs w:val="26"/>
        </w:rPr>
        <w:t xml:space="preserve">.  </w:t>
      </w:r>
      <w:r w:rsidR="00007630" w:rsidRPr="002265E2">
        <w:rPr>
          <w:i/>
          <w:sz w:val="26"/>
          <w:szCs w:val="26"/>
        </w:rPr>
        <w:t>Id</w:t>
      </w:r>
      <w:r w:rsidR="00007630" w:rsidRPr="002265E2">
        <w:rPr>
          <w:sz w:val="26"/>
          <w:szCs w:val="26"/>
        </w:rPr>
        <w:t>.</w:t>
      </w:r>
      <w:r w:rsidR="00EE6A61">
        <w:rPr>
          <w:sz w:val="26"/>
          <w:szCs w:val="26"/>
        </w:rPr>
        <w:t xml:space="preserve"> at 6-7.</w:t>
      </w:r>
    </w:p>
    <w:p w:rsidR="00CE2E09" w:rsidRDefault="00CE2E09" w:rsidP="00CE2E09">
      <w:pPr>
        <w:pStyle w:val="Style"/>
        <w:widowControl/>
        <w:spacing w:line="360" w:lineRule="auto"/>
        <w:ind w:firstLine="1440"/>
        <w:rPr>
          <w:sz w:val="26"/>
          <w:szCs w:val="26"/>
        </w:rPr>
      </w:pPr>
    </w:p>
    <w:p w:rsidR="00DD68E2" w:rsidRPr="00DD68E2" w:rsidRDefault="00CE2E09" w:rsidP="00DD68E2">
      <w:pPr>
        <w:spacing w:line="360" w:lineRule="auto"/>
        <w:ind w:firstLine="1440"/>
        <w:rPr>
          <w:sz w:val="26"/>
          <w:szCs w:val="26"/>
        </w:rPr>
      </w:pPr>
      <w:r w:rsidRPr="00E91230">
        <w:rPr>
          <w:rFonts w:eastAsia="Calibri"/>
          <w:sz w:val="26"/>
          <w:szCs w:val="26"/>
        </w:rPr>
        <w:t xml:space="preserve">Consistent with all of the above findings, </w:t>
      </w:r>
      <w:r w:rsidR="00DD68E2">
        <w:rPr>
          <w:rFonts w:eastAsia="Calibri"/>
          <w:sz w:val="26"/>
          <w:szCs w:val="26"/>
        </w:rPr>
        <w:t>the ALJ dismissed the Complaint but noted</w:t>
      </w:r>
      <w:r w:rsidR="00DD68E2" w:rsidRPr="00DD68E2">
        <w:rPr>
          <w:sz w:val="26"/>
          <w:szCs w:val="26"/>
        </w:rPr>
        <w:t xml:space="preserve"> that </w:t>
      </w:r>
      <w:r w:rsidR="00DD68E2">
        <w:rPr>
          <w:sz w:val="26"/>
          <w:szCs w:val="26"/>
        </w:rPr>
        <w:t xml:space="preserve">the </w:t>
      </w:r>
      <w:r w:rsidR="00FF63A5">
        <w:rPr>
          <w:sz w:val="26"/>
          <w:szCs w:val="26"/>
        </w:rPr>
        <w:t>ruling does not preclude</w:t>
      </w:r>
      <w:r w:rsidR="00DD68E2" w:rsidRPr="00DD68E2">
        <w:rPr>
          <w:sz w:val="26"/>
          <w:szCs w:val="26"/>
        </w:rPr>
        <w:t xml:space="preserve"> the Complainant from meeting with PGW to further discuss the CRP and payment arrangements and terms presented by PGW during the hearing</w:t>
      </w:r>
      <w:r w:rsidR="00DD68E2">
        <w:rPr>
          <w:sz w:val="26"/>
          <w:szCs w:val="26"/>
        </w:rPr>
        <w:t>, as reflected in Finding of Fact No. 12 of</w:t>
      </w:r>
      <w:r w:rsidR="00DD68E2" w:rsidRPr="00DD68E2">
        <w:rPr>
          <w:sz w:val="26"/>
          <w:szCs w:val="26"/>
        </w:rPr>
        <w:t xml:space="preserve"> </w:t>
      </w:r>
      <w:r w:rsidR="00DD68E2">
        <w:rPr>
          <w:sz w:val="26"/>
          <w:szCs w:val="26"/>
        </w:rPr>
        <w:t>the ALJ’s</w:t>
      </w:r>
      <w:r w:rsidR="00DD68E2" w:rsidRPr="00DD68E2">
        <w:rPr>
          <w:sz w:val="26"/>
          <w:szCs w:val="26"/>
        </w:rPr>
        <w:t xml:space="preserve"> Initial Decision, given the Complainant’s recent positive payment his</w:t>
      </w:r>
      <w:r w:rsidR="00DD68E2">
        <w:rPr>
          <w:sz w:val="26"/>
          <w:szCs w:val="26"/>
        </w:rPr>
        <w:t xml:space="preserve">tory.  </w:t>
      </w:r>
      <w:r w:rsidR="00DD68E2" w:rsidRPr="002265E2">
        <w:rPr>
          <w:i/>
          <w:sz w:val="26"/>
          <w:szCs w:val="26"/>
        </w:rPr>
        <w:t>Id</w:t>
      </w:r>
      <w:r w:rsidR="00DD68E2" w:rsidRPr="002265E2">
        <w:rPr>
          <w:sz w:val="26"/>
          <w:szCs w:val="26"/>
        </w:rPr>
        <w:t>.</w:t>
      </w:r>
      <w:r w:rsidR="00DD68E2">
        <w:rPr>
          <w:sz w:val="26"/>
          <w:szCs w:val="26"/>
        </w:rPr>
        <w:t xml:space="preserve"> at 7-8.</w:t>
      </w:r>
    </w:p>
    <w:p w:rsidR="00CE2E09" w:rsidRPr="00E91230" w:rsidRDefault="00CE2E09" w:rsidP="00CE2E09">
      <w:pPr>
        <w:pStyle w:val="Style"/>
        <w:widowControl/>
        <w:spacing w:line="360" w:lineRule="auto"/>
        <w:ind w:firstLine="1440"/>
        <w:rPr>
          <w:rFonts w:eastAsia="Calibri"/>
          <w:sz w:val="26"/>
          <w:szCs w:val="26"/>
        </w:rPr>
      </w:pPr>
    </w:p>
    <w:p w:rsidR="00CE2E09" w:rsidRPr="00770896" w:rsidRDefault="00CE2E09" w:rsidP="00CE2E09">
      <w:pPr>
        <w:widowControl/>
        <w:spacing w:line="360" w:lineRule="auto"/>
        <w:rPr>
          <w:b/>
          <w:sz w:val="26"/>
          <w:szCs w:val="26"/>
        </w:rPr>
      </w:pPr>
      <w:r w:rsidRPr="00770896">
        <w:rPr>
          <w:b/>
          <w:sz w:val="26"/>
          <w:szCs w:val="26"/>
        </w:rPr>
        <w:t>Exceptions and Replies</w:t>
      </w:r>
    </w:p>
    <w:p w:rsidR="00CE2E09" w:rsidRPr="00770896" w:rsidRDefault="00CE2E09" w:rsidP="00CE2E09">
      <w:pPr>
        <w:widowControl/>
        <w:spacing w:line="360" w:lineRule="auto"/>
        <w:rPr>
          <w:b/>
          <w:sz w:val="26"/>
          <w:szCs w:val="26"/>
        </w:rPr>
      </w:pPr>
    </w:p>
    <w:p w:rsidR="00CE2E09" w:rsidRPr="00770896" w:rsidRDefault="00CE2E09" w:rsidP="00CE2E09">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CE2E09" w:rsidRPr="00770896" w:rsidRDefault="00CE2E09" w:rsidP="00CE2E09">
      <w:pPr>
        <w:widowControl/>
        <w:spacing w:line="360" w:lineRule="auto"/>
        <w:ind w:firstLine="1440"/>
        <w:rPr>
          <w:sz w:val="26"/>
          <w:szCs w:val="26"/>
        </w:rPr>
      </w:pPr>
    </w:p>
    <w:p w:rsidR="00CE2E09" w:rsidRPr="00770896" w:rsidRDefault="00CE2E09" w:rsidP="00CE2E09">
      <w:pPr>
        <w:widowControl/>
        <w:ind w:left="1440" w:right="1440"/>
        <w:rPr>
          <w:sz w:val="26"/>
          <w:szCs w:val="26"/>
        </w:rPr>
      </w:pPr>
      <w:r w:rsidRPr="00770896">
        <w:rPr>
          <w:sz w:val="26"/>
          <w:szCs w:val="26"/>
        </w:rPr>
        <w:t xml:space="preserve">(b) </w:t>
      </w:r>
      <w:r w:rsidR="00747B17">
        <w:rPr>
          <w:sz w:val="26"/>
          <w:szCs w:val="26"/>
        </w:rPr>
        <w:t>Each</w:t>
      </w:r>
      <w:r w:rsidRPr="00770896">
        <w:rPr>
          <w:sz w:val="26"/>
          <w:szCs w:val="26"/>
        </w:rPr>
        <w:t xml:space="preserve"> exception </w:t>
      </w:r>
      <w:r w:rsidR="00F95AC9">
        <w:rPr>
          <w:sz w:val="26"/>
          <w:szCs w:val="26"/>
        </w:rPr>
        <w:t xml:space="preserve">must be numbered </w:t>
      </w:r>
      <w:r w:rsidR="00450768">
        <w:rPr>
          <w:sz w:val="26"/>
          <w:szCs w:val="26"/>
        </w:rPr>
        <w:t xml:space="preserve">and </w:t>
      </w:r>
      <w:r w:rsidR="00450768" w:rsidRPr="00770896">
        <w:rPr>
          <w:sz w:val="26"/>
          <w:szCs w:val="26"/>
        </w:rPr>
        <w:t>identify</w:t>
      </w:r>
      <w:r w:rsidRPr="00770896">
        <w:rPr>
          <w:sz w:val="26"/>
          <w:szCs w:val="26"/>
        </w:rPr>
        <w:t xml:space="preserve"> the finding of fact or conclusion of law to which exception is taken and cite relevant pages of the decision. </w:t>
      </w:r>
      <w:r w:rsidR="00F95AC9">
        <w:rPr>
          <w:sz w:val="26"/>
          <w:szCs w:val="26"/>
        </w:rPr>
        <w:t xml:space="preserve"> </w:t>
      </w:r>
      <w:r w:rsidRPr="00770896">
        <w:rPr>
          <w:sz w:val="26"/>
          <w:szCs w:val="26"/>
        </w:rPr>
        <w:t>Supporting reasons for the exception</w:t>
      </w:r>
      <w:r w:rsidR="00F95AC9">
        <w:rPr>
          <w:sz w:val="26"/>
          <w:szCs w:val="26"/>
        </w:rPr>
        <w:t>s</w:t>
      </w:r>
      <w:r w:rsidRPr="00770896">
        <w:rPr>
          <w:sz w:val="26"/>
          <w:szCs w:val="26"/>
        </w:rPr>
        <w:t xml:space="preserve"> shall follow </w:t>
      </w:r>
      <w:r w:rsidR="00F95AC9">
        <w:rPr>
          <w:sz w:val="26"/>
          <w:szCs w:val="26"/>
        </w:rPr>
        <w:t>each</w:t>
      </w:r>
      <w:r w:rsidRPr="00770896">
        <w:rPr>
          <w:sz w:val="26"/>
          <w:szCs w:val="26"/>
        </w:rPr>
        <w:t xml:space="preserve"> specific exception.</w:t>
      </w:r>
    </w:p>
    <w:p w:rsidR="00CE2E09" w:rsidRPr="00770896" w:rsidRDefault="00CE2E09" w:rsidP="00CE2E09">
      <w:pPr>
        <w:widowControl/>
        <w:spacing w:line="360" w:lineRule="auto"/>
        <w:ind w:left="1440" w:right="1440"/>
        <w:rPr>
          <w:sz w:val="26"/>
          <w:szCs w:val="26"/>
        </w:rPr>
      </w:pPr>
    </w:p>
    <w:p w:rsidR="00CE2E09" w:rsidRDefault="00CE2E09" w:rsidP="00CC010F">
      <w:pPr>
        <w:widowControl/>
        <w:spacing w:line="360" w:lineRule="auto"/>
        <w:rPr>
          <w:sz w:val="26"/>
          <w:szCs w:val="26"/>
        </w:rPr>
      </w:pPr>
      <w:r w:rsidRPr="002C537A">
        <w:rPr>
          <w:sz w:val="26"/>
          <w:szCs w:val="26"/>
        </w:rPr>
        <w:lastRenderedPageBreak/>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F95AC9" w:rsidRDefault="00F95AC9" w:rsidP="00CC010F">
      <w:pPr>
        <w:widowControl/>
        <w:spacing w:line="360" w:lineRule="auto"/>
        <w:rPr>
          <w:sz w:val="26"/>
          <w:szCs w:val="26"/>
        </w:rPr>
      </w:pPr>
    </w:p>
    <w:p w:rsidR="00CE2E09" w:rsidRDefault="00CE2E09" w:rsidP="00CE2E09">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proofErr w:type="spellStart"/>
      <w:r w:rsidRPr="00770896">
        <w:rPr>
          <w:sz w:val="26"/>
          <w:szCs w:val="26"/>
        </w:rPr>
        <w:t>Cmwlth</w:t>
      </w:r>
      <w:proofErr w:type="spellEnd"/>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proofErr w:type="spellStart"/>
      <w:r w:rsidRPr="00770896">
        <w:rPr>
          <w:sz w:val="26"/>
          <w:szCs w:val="26"/>
        </w:rPr>
        <w:t>Cmwlth</w:t>
      </w:r>
      <w:proofErr w:type="spellEnd"/>
      <w:r w:rsidRPr="00770896">
        <w:rPr>
          <w:sz w:val="26"/>
          <w:szCs w:val="26"/>
        </w:rPr>
        <w:t>. 1984).</w:t>
      </w:r>
    </w:p>
    <w:p w:rsidR="00CE2E09" w:rsidRDefault="00CE2E09" w:rsidP="00CE2E09">
      <w:pPr>
        <w:widowControl/>
        <w:spacing w:line="360" w:lineRule="auto"/>
        <w:ind w:firstLine="1440"/>
        <w:rPr>
          <w:sz w:val="26"/>
          <w:szCs w:val="26"/>
        </w:rPr>
      </w:pPr>
    </w:p>
    <w:p w:rsidR="00CE2E09" w:rsidRDefault="00B25677" w:rsidP="00CE2E09">
      <w:pPr>
        <w:widowControl/>
        <w:spacing w:line="360" w:lineRule="auto"/>
        <w:ind w:firstLine="1440"/>
        <w:rPr>
          <w:sz w:val="26"/>
          <w:szCs w:val="26"/>
        </w:rPr>
      </w:pPr>
      <w:r>
        <w:rPr>
          <w:sz w:val="26"/>
          <w:szCs w:val="26"/>
        </w:rPr>
        <w:t>In her</w:t>
      </w:r>
      <w:r w:rsidR="00CE2E09">
        <w:rPr>
          <w:sz w:val="26"/>
          <w:szCs w:val="26"/>
        </w:rPr>
        <w:t xml:space="preserve"> Exceptions, the Complainant </w:t>
      </w:r>
      <w:r>
        <w:rPr>
          <w:sz w:val="26"/>
          <w:szCs w:val="26"/>
        </w:rPr>
        <w:t xml:space="preserve">states that she did not intentionally default on the three previous Company-issued </w:t>
      </w:r>
      <w:r w:rsidR="00F84FE8">
        <w:rPr>
          <w:sz w:val="26"/>
          <w:szCs w:val="26"/>
        </w:rPr>
        <w:t xml:space="preserve">payment arrangements </w:t>
      </w:r>
      <w:r>
        <w:rPr>
          <w:sz w:val="26"/>
          <w:szCs w:val="26"/>
        </w:rPr>
        <w:t xml:space="preserve">but was forced to do so as a result of circumstances beyond her control.  </w:t>
      </w:r>
      <w:r w:rsidR="008E7771">
        <w:rPr>
          <w:sz w:val="26"/>
          <w:szCs w:val="26"/>
        </w:rPr>
        <w:t xml:space="preserve">According to the Complainant, she defaulted on the payment arrangements because she had financial difficulties which resulted </w:t>
      </w:r>
      <w:r w:rsidR="00450768">
        <w:rPr>
          <w:sz w:val="26"/>
          <w:szCs w:val="26"/>
        </w:rPr>
        <w:t>from health</w:t>
      </w:r>
      <w:r w:rsidR="008E7771">
        <w:rPr>
          <w:sz w:val="26"/>
          <w:szCs w:val="26"/>
        </w:rPr>
        <w:t xml:space="preserve"> issues</w:t>
      </w:r>
      <w:r w:rsidR="005D10FF">
        <w:rPr>
          <w:sz w:val="26"/>
          <w:szCs w:val="26"/>
        </w:rPr>
        <w:t xml:space="preserve"> and termination of her job</w:t>
      </w:r>
      <w:r w:rsidR="008E7771">
        <w:rPr>
          <w:sz w:val="26"/>
          <w:szCs w:val="26"/>
        </w:rPr>
        <w:t xml:space="preserve">.  </w:t>
      </w:r>
      <w:r w:rsidR="00115EF5">
        <w:rPr>
          <w:sz w:val="26"/>
          <w:szCs w:val="26"/>
        </w:rPr>
        <w:t>The Complainant</w:t>
      </w:r>
      <w:r>
        <w:rPr>
          <w:sz w:val="26"/>
          <w:szCs w:val="26"/>
        </w:rPr>
        <w:t xml:space="preserve"> also avers that </w:t>
      </w:r>
      <w:r w:rsidR="00115EF5">
        <w:rPr>
          <w:sz w:val="26"/>
          <w:szCs w:val="26"/>
        </w:rPr>
        <w:t xml:space="preserve">if offered a payment arrangement without having to pay the substantial </w:t>
      </w:r>
      <w:r w:rsidR="00F84FE8">
        <w:rPr>
          <w:sz w:val="26"/>
          <w:szCs w:val="26"/>
        </w:rPr>
        <w:t>amount</w:t>
      </w:r>
      <w:r w:rsidR="00115EF5">
        <w:rPr>
          <w:sz w:val="26"/>
          <w:szCs w:val="26"/>
        </w:rPr>
        <w:t xml:space="preserve"> PGW is requesting, </w:t>
      </w:r>
      <w:r>
        <w:rPr>
          <w:sz w:val="26"/>
          <w:szCs w:val="26"/>
        </w:rPr>
        <w:t xml:space="preserve">she can make </w:t>
      </w:r>
      <w:r w:rsidR="00B402F4">
        <w:rPr>
          <w:sz w:val="26"/>
          <w:szCs w:val="26"/>
        </w:rPr>
        <w:t xml:space="preserve">full </w:t>
      </w:r>
      <w:r w:rsidR="008E7771">
        <w:rPr>
          <w:sz w:val="26"/>
          <w:szCs w:val="26"/>
        </w:rPr>
        <w:t xml:space="preserve">and timely </w:t>
      </w:r>
      <w:r>
        <w:rPr>
          <w:sz w:val="26"/>
          <w:szCs w:val="26"/>
        </w:rPr>
        <w:t xml:space="preserve">payments as evidenced by her recent positive payment history with the Company.  </w:t>
      </w:r>
      <w:r w:rsidR="00CE2E09">
        <w:rPr>
          <w:sz w:val="26"/>
          <w:szCs w:val="26"/>
        </w:rPr>
        <w:t>Exc. at 1-2.</w:t>
      </w:r>
    </w:p>
    <w:p w:rsidR="00CE2E09" w:rsidRDefault="00CE2E09" w:rsidP="00CE2E09">
      <w:pPr>
        <w:widowControl/>
        <w:spacing w:line="360" w:lineRule="auto"/>
        <w:ind w:firstLine="1440"/>
        <w:rPr>
          <w:sz w:val="26"/>
          <w:szCs w:val="26"/>
        </w:rPr>
      </w:pPr>
    </w:p>
    <w:p w:rsidR="00CE2E09" w:rsidRDefault="00CE2E09" w:rsidP="00CE2E09">
      <w:pPr>
        <w:widowControl/>
        <w:spacing w:line="360" w:lineRule="auto"/>
        <w:ind w:firstLine="1440"/>
        <w:rPr>
          <w:sz w:val="26"/>
          <w:szCs w:val="26"/>
        </w:rPr>
      </w:pPr>
      <w:r>
        <w:rPr>
          <w:sz w:val="26"/>
          <w:szCs w:val="26"/>
        </w:rPr>
        <w:t>In its Replies to Exceptions, P</w:t>
      </w:r>
      <w:r w:rsidR="00B25677">
        <w:rPr>
          <w:sz w:val="26"/>
          <w:szCs w:val="26"/>
        </w:rPr>
        <w:t xml:space="preserve">GW </w:t>
      </w:r>
      <w:r w:rsidR="005D10FF">
        <w:rPr>
          <w:sz w:val="26"/>
          <w:szCs w:val="26"/>
        </w:rPr>
        <w:t xml:space="preserve">contends </w:t>
      </w:r>
      <w:r>
        <w:rPr>
          <w:sz w:val="26"/>
          <w:szCs w:val="26"/>
        </w:rPr>
        <w:t xml:space="preserve">that the </w:t>
      </w:r>
      <w:r w:rsidR="00B25677">
        <w:rPr>
          <w:sz w:val="26"/>
          <w:szCs w:val="26"/>
        </w:rPr>
        <w:t xml:space="preserve">Complainant’s Exceptions </w:t>
      </w:r>
      <w:r w:rsidR="00353D65">
        <w:rPr>
          <w:sz w:val="26"/>
          <w:szCs w:val="26"/>
        </w:rPr>
        <w:t xml:space="preserve">should be denied because they </w:t>
      </w:r>
      <w:r w:rsidR="00B25677">
        <w:rPr>
          <w:sz w:val="26"/>
          <w:szCs w:val="26"/>
        </w:rPr>
        <w:t>fail to demonstrate that the ALJ’s Initial Decis</w:t>
      </w:r>
      <w:r w:rsidR="00F84FE8">
        <w:rPr>
          <w:sz w:val="26"/>
          <w:szCs w:val="26"/>
        </w:rPr>
        <w:t xml:space="preserve">ion is not </w:t>
      </w:r>
      <w:r w:rsidR="00B25677">
        <w:rPr>
          <w:sz w:val="26"/>
          <w:szCs w:val="26"/>
        </w:rPr>
        <w:t xml:space="preserve">supported by substantial evidence </w:t>
      </w:r>
      <w:r w:rsidR="008E7771">
        <w:rPr>
          <w:sz w:val="26"/>
          <w:szCs w:val="26"/>
        </w:rPr>
        <w:t xml:space="preserve">but merely reiterates </w:t>
      </w:r>
      <w:r w:rsidR="00F84FE8">
        <w:rPr>
          <w:sz w:val="26"/>
          <w:szCs w:val="26"/>
        </w:rPr>
        <w:t>the Complainant’s</w:t>
      </w:r>
      <w:r w:rsidR="008E7771">
        <w:rPr>
          <w:sz w:val="26"/>
          <w:szCs w:val="26"/>
        </w:rPr>
        <w:t xml:space="preserve"> testimony during the hearing.</w:t>
      </w:r>
      <w:r w:rsidR="00F84FE8">
        <w:rPr>
          <w:sz w:val="26"/>
          <w:szCs w:val="26"/>
        </w:rPr>
        <w:t xml:space="preserve">  PGW asserts that </w:t>
      </w:r>
      <w:r w:rsidR="008E7771">
        <w:rPr>
          <w:sz w:val="26"/>
          <w:szCs w:val="26"/>
        </w:rPr>
        <w:t>the Complainant’</w:t>
      </w:r>
      <w:r w:rsidR="005D10FF">
        <w:rPr>
          <w:sz w:val="26"/>
          <w:szCs w:val="26"/>
        </w:rPr>
        <w:t xml:space="preserve">s averments in her Exceptions are not corroborated by her poor payment history with the Company.  PGW states that the Complainant currently </w:t>
      </w:r>
      <w:r w:rsidR="008E7771">
        <w:rPr>
          <w:sz w:val="26"/>
          <w:szCs w:val="26"/>
        </w:rPr>
        <w:t>has a substantial outstanding balance on her account due to missed pa</w:t>
      </w:r>
      <w:r w:rsidR="005D10FF">
        <w:rPr>
          <w:sz w:val="26"/>
          <w:szCs w:val="26"/>
        </w:rPr>
        <w:t>yments and late payment charges and that she made only six payments in the last twelve months prior to the hearing.  R. Exc. at 2.</w:t>
      </w:r>
    </w:p>
    <w:p w:rsidR="00CE2E09" w:rsidRPr="00D365A7" w:rsidRDefault="00CE2E09" w:rsidP="00CE2E09">
      <w:pPr>
        <w:keepNext/>
        <w:widowControl/>
        <w:spacing w:line="360" w:lineRule="auto"/>
        <w:rPr>
          <w:b/>
          <w:sz w:val="26"/>
          <w:szCs w:val="26"/>
        </w:rPr>
      </w:pPr>
      <w:r w:rsidRPr="00D365A7">
        <w:rPr>
          <w:b/>
          <w:sz w:val="26"/>
          <w:szCs w:val="26"/>
        </w:rPr>
        <w:lastRenderedPageBreak/>
        <w:t>Disposition</w:t>
      </w:r>
    </w:p>
    <w:p w:rsidR="00CE2E09" w:rsidRDefault="00CE2E09" w:rsidP="00CE2E09">
      <w:pPr>
        <w:widowControl/>
        <w:spacing w:line="360" w:lineRule="auto"/>
        <w:rPr>
          <w:sz w:val="26"/>
          <w:szCs w:val="26"/>
        </w:rPr>
      </w:pPr>
    </w:p>
    <w:p w:rsidR="007774C6" w:rsidRDefault="00CE2E09" w:rsidP="0055230F">
      <w:pPr>
        <w:widowControl/>
        <w:spacing w:line="360" w:lineRule="auto"/>
        <w:ind w:firstLine="1440"/>
        <w:rPr>
          <w:bCs/>
          <w:color w:val="000000"/>
          <w:sz w:val="26"/>
          <w:szCs w:val="26"/>
        </w:rPr>
      </w:pPr>
      <w:r w:rsidRPr="00D365A7">
        <w:rPr>
          <w:sz w:val="26"/>
          <w:szCs w:val="26"/>
        </w:rPr>
        <w:t xml:space="preserve">Upon consideration of the </w:t>
      </w:r>
      <w:r w:rsidR="001012C7" w:rsidRPr="00D365A7">
        <w:rPr>
          <w:sz w:val="26"/>
          <w:szCs w:val="26"/>
        </w:rPr>
        <w:t>record in</w:t>
      </w:r>
      <w:r w:rsidRPr="00D365A7">
        <w:rPr>
          <w:sz w:val="26"/>
          <w:szCs w:val="26"/>
        </w:rPr>
        <w:t xml:space="preserve"> this proceeding, we will deny the Complainant’s Exceptions and adopt the ALJ’s Initial Decision.</w:t>
      </w:r>
      <w:r>
        <w:rPr>
          <w:sz w:val="26"/>
          <w:szCs w:val="26"/>
        </w:rPr>
        <w:t xml:space="preserve">  </w:t>
      </w:r>
      <w:r w:rsidR="0055230F">
        <w:rPr>
          <w:sz w:val="26"/>
          <w:szCs w:val="26"/>
        </w:rPr>
        <w:t xml:space="preserve">The Complainant in this case stated that she was out of work for nine months in 2011 after a medical diagnosis.  According to the Complainant, this caused her to default on an existing Company-issued payment arrangement.  The Complainant indicated that in 2013, she was laid off permanently from her job of thirteen years.  Tr. at 10; I.D. at 2.  The Complainant, who obtained a full-time job one month before the hearing, contented that </w:t>
      </w:r>
      <w:r w:rsidR="0055230F">
        <w:rPr>
          <w:bCs/>
          <w:color w:val="000000"/>
          <w:sz w:val="26"/>
          <w:szCs w:val="26"/>
        </w:rPr>
        <w:t>she c</w:t>
      </w:r>
      <w:r w:rsidR="007774C6">
        <w:rPr>
          <w:bCs/>
          <w:color w:val="000000"/>
          <w:sz w:val="26"/>
          <w:szCs w:val="26"/>
        </w:rPr>
        <w:t>ould not</w:t>
      </w:r>
      <w:r w:rsidR="0055230F">
        <w:rPr>
          <w:bCs/>
          <w:color w:val="000000"/>
          <w:sz w:val="26"/>
          <w:szCs w:val="26"/>
        </w:rPr>
        <w:t xml:space="preserve"> make the over $2,000 payment requested by PGW to re-enroll her in its CRP program, after she was taken off the program for defaulting on a prior payment arrangement.  The Complainant requested that PGW reduce the payment to $250 or $275 on some kind of payment arrangement.  Tr. at 11 and 15; I.D. at 3.  </w:t>
      </w:r>
    </w:p>
    <w:p w:rsidR="007774C6" w:rsidRDefault="007774C6" w:rsidP="0055230F">
      <w:pPr>
        <w:widowControl/>
        <w:spacing w:line="360" w:lineRule="auto"/>
        <w:ind w:firstLine="1440"/>
        <w:rPr>
          <w:bCs/>
          <w:color w:val="000000"/>
          <w:sz w:val="26"/>
          <w:szCs w:val="26"/>
        </w:rPr>
      </w:pPr>
    </w:p>
    <w:p w:rsidR="0055230F" w:rsidRDefault="0055230F" w:rsidP="0055230F">
      <w:pPr>
        <w:widowControl/>
        <w:spacing w:line="360" w:lineRule="auto"/>
        <w:ind w:firstLine="1440"/>
        <w:rPr>
          <w:sz w:val="26"/>
          <w:szCs w:val="26"/>
        </w:rPr>
      </w:pPr>
      <w:r>
        <w:rPr>
          <w:sz w:val="26"/>
          <w:szCs w:val="26"/>
        </w:rPr>
        <w:t>PGW, on the other hand, contended that the Complainant started falling behind on her bills in April 2008 and her service was terminated that year for non-payment.  According to PGW, the Complainant filed for bankruptcy in 2008, and so she again became a customer of PGW and her account with the Company started with a zero balance that same year.  Tr. at 18.  PGW stated that despite starting again at zero balance, the Complainant, subsequently, was late in her payments and perpetually missed payments on her account.  PGW indicated that the Complainant has defaulted on three Company-issued payment arrangements and has also defaulted on three CRP agreements, thereby resulting in the suspension of the agreements.</w:t>
      </w:r>
      <w:r>
        <w:rPr>
          <w:rStyle w:val="FootnoteReference"/>
          <w:sz w:val="26"/>
          <w:szCs w:val="26"/>
        </w:rPr>
        <w:footnoteReference w:id="8"/>
      </w:r>
      <w:r>
        <w:rPr>
          <w:sz w:val="26"/>
          <w:szCs w:val="26"/>
        </w:rPr>
        <w:t xml:space="preserve">  Tr. at 19 and 22, PGW </w:t>
      </w:r>
      <w:proofErr w:type="spellStart"/>
      <w:r>
        <w:rPr>
          <w:sz w:val="26"/>
          <w:szCs w:val="26"/>
        </w:rPr>
        <w:t>Exh</w:t>
      </w:r>
      <w:proofErr w:type="spellEnd"/>
      <w:r>
        <w:rPr>
          <w:sz w:val="26"/>
          <w:szCs w:val="26"/>
        </w:rPr>
        <w:t xml:space="preserve">. 3; I.D. at 3.  PGW stated that the current balance on the Complainant’s account is $5,345.47, which is an accumulation of missed payments and late payment charges on the Complainant’s account.  Additionally, PGW averred that the Complainant only made six payments out of the twelve months leading to the hearing.  Tr. at 17 and 21; I.D. at 3.  PGW averred that the Complainant, who is currently seeking to re-enroll in its CRP </w:t>
      </w:r>
      <w:r>
        <w:rPr>
          <w:sz w:val="26"/>
          <w:szCs w:val="26"/>
        </w:rPr>
        <w:lastRenderedPageBreak/>
        <w:t>program, first enrolled in the program from April 3, 2009, to May 25, 2010.  The Complainant again enrolled in the program from October 29, 2010, to September 7, 2012.  Furthermore, the Complainant was enrolled in the program from September 7, 2012, to October 31, 2013.  According to PGW, for the Complainant to be re-enrolled in the CRP program, she would have to pay the sum of $3,530.17 and also provide Social Security Cards and proof of income for everyone in her household.</w:t>
      </w:r>
      <w:r>
        <w:rPr>
          <w:rStyle w:val="FootnoteReference"/>
          <w:sz w:val="26"/>
          <w:szCs w:val="26"/>
        </w:rPr>
        <w:footnoteReference w:id="9"/>
      </w:r>
      <w:r>
        <w:rPr>
          <w:sz w:val="26"/>
          <w:szCs w:val="26"/>
        </w:rPr>
        <w:t xml:space="preserve">  Tr. at 24-25.</w:t>
      </w:r>
    </w:p>
    <w:p w:rsidR="0055230F" w:rsidRDefault="0055230F" w:rsidP="0055230F">
      <w:pPr>
        <w:widowControl/>
        <w:spacing w:line="360" w:lineRule="auto"/>
        <w:ind w:firstLine="1440"/>
        <w:rPr>
          <w:sz w:val="26"/>
          <w:szCs w:val="26"/>
        </w:rPr>
      </w:pPr>
    </w:p>
    <w:p w:rsidR="00E64F7F" w:rsidRDefault="007774C6" w:rsidP="00CE2E09">
      <w:pPr>
        <w:widowControl/>
        <w:spacing w:line="360" w:lineRule="auto"/>
        <w:ind w:firstLine="1440"/>
        <w:rPr>
          <w:rFonts w:ascii="Times New (W1)" w:hAnsi="Times New (W1)"/>
          <w:sz w:val="26"/>
          <w:szCs w:val="26"/>
        </w:rPr>
      </w:pPr>
      <w:r>
        <w:rPr>
          <w:sz w:val="26"/>
          <w:szCs w:val="26"/>
        </w:rPr>
        <w:t>Based on our</w:t>
      </w:r>
      <w:r w:rsidR="0055230F">
        <w:rPr>
          <w:sz w:val="26"/>
          <w:szCs w:val="26"/>
        </w:rPr>
        <w:t xml:space="preserve"> review of the evidence, w</w:t>
      </w:r>
      <w:r w:rsidR="00B9153C">
        <w:rPr>
          <w:sz w:val="26"/>
          <w:szCs w:val="26"/>
        </w:rPr>
        <w:t xml:space="preserve">e agree with the ALJ that </w:t>
      </w:r>
      <w:r w:rsidR="00162F21">
        <w:rPr>
          <w:sz w:val="26"/>
          <w:szCs w:val="26"/>
        </w:rPr>
        <w:t>the record d</w:t>
      </w:r>
      <w:r w:rsidR="00123FEA">
        <w:rPr>
          <w:sz w:val="26"/>
          <w:szCs w:val="26"/>
        </w:rPr>
        <w:t>id</w:t>
      </w:r>
      <w:r w:rsidR="00162F21">
        <w:rPr>
          <w:sz w:val="26"/>
          <w:szCs w:val="26"/>
        </w:rPr>
        <w:t xml:space="preserve"> not demonstrate that PGW’s requirement that the Complainant must pay a </w:t>
      </w:r>
      <w:r w:rsidR="00B9153C" w:rsidRPr="002265E2">
        <w:rPr>
          <w:sz w:val="26"/>
          <w:szCs w:val="26"/>
        </w:rPr>
        <w:t>cure amo</w:t>
      </w:r>
      <w:r w:rsidR="00123FEA">
        <w:rPr>
          <w:sz w:val="26"/>
          <w:szCs w:val="26"/>
        </w:rPr>
        <w:t>unt</w:t>
      </w:r>
      <w:r w:rsidR="00B9153C" w:rsidRPr="002265E2">
        <w:rPr>
          <w:sz w:val="26"/>
          <w:szCs w:val="26"/>
        </w:rPr>
        <w:t xml:space="preserve"> or unpaid CRP</w:t>
      </w:r>
      <w:r w:rsidR="00B9153C">
        <w:rPr>
          <w:sz w:val="26"/>
          <w:szCs w:val="26"/>
        </w:rPr>
        <w:t xml:space="preserve"> charges </w:t>
      </w:r>
      <w:r w:rsidR="00162F21">
        <w:rPr>
          <w:sz w:val="26"/>
          <w:szCs w:val="26"/>
        </w:rPr>
        <w:t>p</w:t>
      </w:r>
      <w:r w:rsidR="00B9153C">
        <w:rPr>
          <w:sz w:val="26"/>
          <w:szCs w:val="26"/>
        </w:rPr>
        <w:t xml:space="preserve">rior to re-enrolling </w:t>
      </w:r>
      <w:r w:rsidR="00B9153C" w:rsidRPr="002265E2">
        <w:rPr>
          <w:sz w:val="26"/>
          <w:szCs w:val="26"/>
        </w:rPr>
        <w:t>in the CRP program</w:t>
      </w:r>
      <w:r w:rsidR="00162F21">
        <w:rPr>
          <w:sz w:val="26"/>
          <w:szCs w:val="26"/>
        </w:rPr>
        <w:t xml:space="preserve"> did not amount to a </w:t>
      </w:r>
      <w:r w:rsidR="00B9153C" w:rsidRPr="002265E2">
        <w:rPr>
          <w:sz w:val="26"/>
          <w:szCs w:val="26"/>
        </w:rPr>
        <w:t xml:space="preserve">violation of a </w:t>
      </w:r>
      <w:r w:rsidR="00162F21">
        <w:rPr>
          <w:sz w:val="26"/>
          <w:szCs w:val="26"/>
        </w:rPr>
        <w:t xml:space="preserve">Commission </w:t>
      </w:r>
      <w:r w:rsidR="00B9153C" w:rsidRPr="002265E2">
        <w:rPr>
          <w:sz w:val="26"/>
          <w:szCs w:val="26"/>
        </w:rPr>
        <w:t xml:space="preserve">Regulation, </w:t>
      </w:r>
      <w:r w:rsidR="00B9153C">
        <w:rPr>
          <w:sz w:val="26"/>
          <w:szCs w:val="26"/>
        </w:rPr>
        <w:t xml:space="preserve">the </w:t>
      </w:r>
      <w:r w:rsidR="00B9153C" w:rsidRPr="002265E2">
        <w:rPr>
          <w:sz w:val="26"/>
          <w:szCs w:val="26"/>
        </w:rPr>
        <w:t xml:space="preserve">Code, </w:t>
      </w:r>
      <w:r w:rsidR="00B9153C">
        <w:rPr>
          <w:sz w:val="26"/>
          <w:szCs w:val="26"/>
        </w:rPr>
        <w:t>PGW’s tariff</w:t>
      </w:r>
      <w:r w:rsidR="00162F21">
        <w:rPr>
          <w:sz w:val="26"/>
          <w:szCs w:val="26"/>
        </w:rPr>
        <w:t>,</w:t>
      </w:r>
      <w:r w:rsidR="00B9153C">
        <w:rPr>
          <w:sz w:val="26"/>
          <w:szCs w:val="26"/>
        </w:rPr>
        <w:t xml:space="preserve"> or a Commission O</w:t>
      </w:r>
      <w:r w:rsidR="00B9153C" w:rsidRPr="002265E2">
        <w:rPr>
          <w:sz w:val="26"/>
          <w:szCs w:val="26"/>
        </w:rPr>
        <w:t xml:space="preserve">rder.  </w:t>
      </w:r>
      <w:r>
        <w:rPr>
          <w:sz w:val="26"/>
          <w:szCs w:val="26"/>
        </w:rPr>
        <w:t xml:space="preserve">We note that </w:t>
      </w:r>
      <w:r w:rsidR="0055230F">
        <w:rPr>
          <w:sz w:val="26"/>
          <w:szCs w:val="26"/>
        </w:rPr>
        <w:t xml:space="preserve">PGW’s Universal Service Plan allows the Company to require customers to pay outstanding arrears </w:t>
      </w:r>
      <w:r w:rsidR="006871F0">
        <w:rPr>
          <w:sz w:val="26"/>
          <w:szCs w:val="26"/>
        </w:rPr>
        <w:t xml:space="preserve">in full </w:t>
      </w:r>
      <w:r w:rsidR="0055230F">
        <w:rPr>
          <w:sz w:val="26"/>
          <w:szCs w:val="26"/>
        </w:rPr>
        <w:t>prior to reenrollment in the CRP.</w:t>
      </w:r>
      <w:r w:rsidR="0055230F">
        <w:rPr>
          <w:rStyle w:val="FootnoteReference"/>
          <w:sz w:val="26"/>
          <w:szCs w:val="26"/>
        </w:rPr>
        <w:footnoteReference w:id="10"/>
      </w:r>
      <w:r w:rsidR="0055230F">
        <w:rPr>
          <w:sz w:val="26"/>
          <w:szCs w:val="26"/>
        </w:rPr>
        <w:t xml:space="preserve"> </w:t>
      </w:r>
      <w:r w:rsidR="00BF0AD0">
        <w:rPr>
          <w:sz w:val="26"/>
          <w:szCs w:val="26"/>
        </w:rPr>
        <w:t xml:space="preserve">Additionally, we concur with the ALJ that providing the Complainant with a Commission-issued payment arrangement is not appropriate under the circumstances in this case.  </w:t>
      </w:r>
      <w:r w:rsidR="00565F74">
        <w:rPr>
          <w:sz w:val="26"/>
          <w:szCs w:val="26"/>
        </w:rPr>
        <w:t xml:space="preserve">As indicated by the ALJ, in a case </w:t>
      </w:r>
      <w:r w:rsidR="009B2A33">
        <w:rPr>
          <w:sz w:val="26"/>
          <w:szCs w:val="26"/>
        </w:rPr>
        <w:t>like this</w:t>
      </w:r>
      <w:r w:rsidR="00123FEA">
        <w:rPr>
          <w:sz w:val="26"/>
          <w:szCs w:val="26"/>
        </w:rPr>
        <w:t>,</w:t>
      </w:r>
      <w:r w:rsidR="009B2A33">
        <w:rPr>
          <w:sz w:val="26"/>
          <w:szCs w:val="26"/>
        </w:rPr>
        <w:t xml:space="preserve"> </w:t>
      </w:r>
      <w:r w:rsidR="00565F74">
        <w:rPr>
          <w:sz w:val="26"/>
          <w:szCs w:val="26"/>
        </w:rPr>
        <w:t xml:space="preserve">in which the Complainant has a mixed arrearage consisting of CAP and non-CAP </w:t>
      </w:r>
      <w:r w:rsidR="002D68D2">
        <w:rPr>
          <w:sz w:val="26"/>
          <w:szCs w:val="26"/>
        </w:rPr>
        <w:t xml:space="preserve">amounts, we may bifurcate the arrearage and set a payment on the non-CAP arrearage.  However, we are not required to set a payment arrangement on the bifurcated arrearage and may decline to do so if the Complainant has shown a poor payment history and an inability to maintain prior payment arrangements with the utility company.  </w:t>
      </w:r>
      <w:r w:rsidR="002D68D2" w:rsidRPr="00CC010F">
        <w:rPr>
          <w:i/>
          <w:sz w:val="26"/>
          <w:szCs w:val="26"/>
        </w:rPr>
        <w:t>Turner</w:t>
      </w:r>
      <w:r w:rsidR="002D68D2">
        <w:rPr>
          <w:sz w:val="26"/>
          <w:szCs w:val="26"/>
        </w:rPr>
        <w:t xml:space="preserve">, </w:t>
      </w:r>
      <w:r w:rsidR="002D68D2" w:rsidRPr="00CC010F">
        <w:rPr>
          <w:i/>
          <w:sz w:val="26"/>
          <w:szCs w:val="26"/>
        </w:rPr>
        <w:t>supra</w:t>
      </w:r>
      <w:r w:rsidR="002D68D2">
        <w:rPr>
          <w:sz w:val="26"/>
          <w:szCs w:val="26"/>
        </w:rPr>
        <w:t xml:space="preserve">, at 5-6; </w:t>
      </w:r>
      <w:r w:rsidR="002D68D2" w:rsidRPr="00CC010F">
        <w:rPr>
          <w:i/>
          <w:sz w:val="26"/>
          <w:szCs w:val="26"/>
        </w:rPr>
        <w:t>Hewitt</w:t>
      </w:r>
      <w:r w:rsidR="002D68D2">
        <w:rPr>
          <w:sz w:val="26"/>
          <w:szCs w:val="26"/>
        </w:rPr>
        <w:t xml:space="preserve">, </w:t>
      </w:r>
      <w:r w:rsidR="002D68D2" w:rsidRPr="00CC010F">
        <w:rPr>
          <w:i/>
          <w:sz w:val="26"/>
          <w:szCs w:val="26"/>
        </w:rPr>
        <w:t>supra</w:t>
      </w:r>
      <w:r w:rsidR="002D68D2">
        <w:rPr>
          <w:sz w:val="26"/>
          <w:szCs w:val="26"/>
        </w:rPr>
        <w:t xml:space="preserve">, at 11-12.  </w:t>
      </w:r>
      <w:r w:rsidR="00F52C8E">
        <w:rPr>
          <w:sz w:val="26"/>
          <w:szCs w:val="26"/>
        </w:rPr>
        <w:t xml:space="preserve">We may also determine that issuing a payment arrangement on which the </w:t>
      </w:r>
      <w:r w:rsidR="0094111C">
        <w:rPr>
          <w:sz w:val="26"/>
          <w:szCs w:val="26"/>
        </w:rPr>
        <w:t>customer</w:t>
      </w:r>
      <w:r w:rsidR="00F52C8E">
        <w:rPr>
          <w:sz w:val="26"/>
          <w:szCs w:val="26"/>
        </w:rPr>
        <w:t xml:space="preserve"> is likely to default is not in the customer’s best interest.  </w:t>
      </w:r>
      <w:r w:rsidR="00F52C8E" w:rsidRPr="00CC010F">
        <w:rPr>
          <w:i/>
          <w:sz w:val="26"/>
          <w:szCs w:val="26"/>
        </w:rPr>
        <w:t>Hewitt</w:t>
      </w:r>
      <w:r w:rsidR="00F52C8E">
        <w:rPr>
          <w:sz w:val="26"/>
          <w:szCs w:val="26"/>
        </w:rPr>
        <w:t xml:space="preserve">, </w:t>
      </w:r>
      <w:r w:rsidR="00F52C8E" w:rsidRPr="00CC010F">
        <w:rPr>
          <w:i/>
          <w:sz w:val="26"/>
          <w:szCs w:val="26"/>
        </w:rPr>
        <w:t>supra</w:t>
      </w:r>
      <w:r w:rsidR="00F52C8E">
        <w:rPr>
          <w:sz w:val="26"/>
          <w:szCs w:val="26"/>
        </w:rPr>
        <w:t xml:space="preserve">, at 11 n.4.  </w:t>
      </w:r>
      <w:r w:rsidR="00A45FA3">
        <w:rPr>
          <w:sz w:val="26"/>
          <w:szCs w:val="26"/>
        </w:rPr>
        <w:t xml:space="preserve">In this case, </w:t>
      </w:r>
      <w:r w:rsidR="00242D76">
        <w:rPr>
          <w:sz w:val="26"/>
          <w:szCs w:val="26"/>
        </w:rPr>
        <w:t xml:space="preserve">the evidence and testimony provided by PGW </w:t>
      </w:r>
      <w:r w:rsidR="00A45FA3">
        <w:rPr>
          <w:sz w:val="26"/>
          <w:szCs w:val="26"/>
        </w:rPr>
        <w:t xml:space="preserve">demonstrates </w:t>
      </w:r>
      <w:r w:rsidR="00242D76">
        <w:rPr>
          <w:sz w:val="26"/>
          <w:szCs w:val="26"/>
        </w:rPr>
        <w:t xml:space="preserve">that the Complainant has defaulted on several Company-issued payment arrangements and has </w:t>
      </w:r>
      <w:r w:rsidR="001012C7">
        <w:rPr>
          <w:sz w:val="26"/>
          <w:szCs w:val="26"/>
        </w:rPr>
        <w:t xml:space="preserve">a </w:t>
      </w:r>
      <w:r w:rsidR="001012C7">
        <w:rPr>
          <w:sz w:val="26"/>
          <w:szCs w:val="26"/>
        </w:rPr>
        <w:lastRenderedPageBreak/>
        <w:t>poor</w:t>
      </w:r>
      <w:r w:rsidR="00242D76">
        <w:rPr>
          <w:sz w:val="26"/>
          <w:szCs w:val="26"/>
        </w:rPr>
        <w:t xml:space="preserve"> payment history with the Company.  </w:t>
      </w:r>
      <w:r w:rsidR="00A45FA3">
        <w:rPr>
          <w:sz w:val="26"/>
          <w:szCs w:val="26"/>
        </w:rPr>
        <w:t>Given the record in this proceeding</w:t>
      </w:r>
      <w:r w:rsidR="001012C7">
        <w:rPr>
          <w:sz w:val="26"/>
          <w:szCs w:val="26"/>
        </w:rPr>
        <w:t>, we</w:t>
      </w:r>
      <w:r w:rsidR="00242D76">
        <w:rPr>
          <w:rFonts w:eastAsia="MS Mincho"/>
          <w:bCs/>
          <w:sz w:val="26"/>
        </w:rPr>
        <w:t xml:space="preserve"> </w:t>
      </w:r>
      <w:r w:rsidR="001012C7">
        <w:rPr>
          <w:rFonts w:eastAsia="MS Mincho"/>
          <w:bCs/>
          <w:sz w:val="26"/>
        </w:rPr>
        <w:t>find that</w:t>
      </w:r>
      <w:r w:rsidR="00242D76">
        <w:rPr>
          <w:rFonts w:eastAsia="MS Mincho"/>
          <w:bCs/>
          <w:sz w:val="26"/>
        </w:rPr>
        <w:t xml:space="preserve"> the Complainant has not provided sufficient evidence to substantiate her burden of proving that a Commission-issued payment arrangement is in her best interest at this time.</w:t>
      </w:r>
      <w:r w:rsidR="00A45FA3">
        <w:rPr>
          <w:rFonts w:eastAsia="MS Mincho"/>
          <w:bCs/>
          <w:sz w:val="26"/>
        </w:rPr>
        <w:t xml:space="preserve">  </w:t>
      </w:r>
      <w:r w:rsidR="00CE2E09" w:rsidRPr="00767EE2">
        <w:rPr>
          <w:rFonts w:ascii="Times New (W1)" w:hAnsi="Times New (W1)"/>
          <w:sz w:val="26"/>
          <w:szCs w:val="26"/>
        </w:rPr>
        <w:t xml:space="preserve">Accordingly, </w:t>
      </w:r>
      <w:r w:rsidR="00CE2E09">
        <w:rPr>
          <w:rFonts w:ascii="Times New (W1)" w:hAnsi="Times New (W1)"/>
          <w:sz w:val="26"/>
          <w:szCs w:val="26"/>
        </w:rPr>
        <w:t>the Complainant’s Exceptions are denied.</w:t>
      </w:r>
      <w:r w:rsidR="00CE2E09" w:rsidRPr="00767EE2">
        <w:rPr>
          <w:rFonts w:ascii="Times New (W1)" w:hAnsi="Times New (W1)"/>
          <w:sz w:val="26"/>
          <w:szCs w:val="26"/>
        </w:rPr>
        <w:t xml:space="preserve"> </w:t>
      </w:r>
    </w:p>
    <w:p w:rsidR="00E64F7F" w:rsidRDefault="00E64F7F" w:rsidP="00E64F7F">
      <w:pPr>
        <w:widowControl/>
        <w:spacing w:line="360" w:lineRule="auto"/>
        <w:ind w:firstLine="1440"/>
        <w:rPr>
          <w:sz w:val="26"/>
          <w:szCs w:val="26"/>
        </w:rPr>
      </w:pPr>
    </w:p>
    <w:p w:rsidR="00E64F7F" w:rsidRDefault="00E64F7F" w:rsidP="00B402F4">
      <w:pPr>
        <w:widowControl/>
        <w:spacing w:line="360" w:lineRule="auto"/>
        <w:rPr>
          <w:sz w:val="26"/>
          <w:szCs w:val="26"/>
        </w:rPr>
      </w:pPr>
      <w:r>
        <w:rPr>
          <w:sz w:val="26"/>
          <w:szCs w:val="26"/>
        </w:rPr>
        <w:tab/>
      </w:r>
      <w:r>
        <w:rPr>
          <w:sz w:val="26"/>
          <w:szCs w:val="26"/>
        </w:rPr>
        <w:tab/>
      </w:r>
      <w:r w:rsidR="00B402F4">
        <w:rPr>
          <w:sz w:val="26"/>
          <w:szCs w:val="26"/>
        </w:rPr>
        <w:t>I</w:t>
      </w:r>
      <w:r>
        <w:rPr>
          <w:sz w:val="26"/>
          <w:szCs w:val="26"/>
        </w:rPr>
        <w:t xml:space="preserve">n light of the above, we concur with the ALJ’s analysis and conclusions, as well as her decision to dismiss the Complaint based on the Complainant’s failure to carry her burden of proving </w:t>
      </w:r>
      <w:r w:rsidR="007556B5">
        <w:rPr>
          <w:sz w:val="26"/>
          <w:szCs w:val="26"/>
        </w:rPr>
        <w:t xml:space="preserve">that she is entitled to a </w:t>
      </w:r>
      <w:r>
        <w:rPr>
          <w:sz w:val="26"/>
          <w:szCs w:val="26"/>
        </w:rPr>
        <w:t>Commission-issued payment arrangement</w:t>
      </w:r>
      <w:r w:rsidR="007556B5">
        <w:rPr>
          <w:sz w:val="26"/>
          <w:szCs w:val="26"/>
        </w:rPr>
        <w:t xml:space="preserve"> at this time</w:t>
      </w:r>
      <w:r>
        <w:rPr>
          <w:sz w:val="26"/>
          <w:szCs w:val="26"/>
        </w:rPr>
        <w:t xml:space="preserve">.  </w:t>
      </w:r>
      <w:r w:rsidR="001012C7">
        <w:rPr>
          <w:sz w:val="26"/>
          <w:szCs w:val="26"/>
        </w:rPr>
        <w:t>However, we again reiterate that this ruling does not preclude</w:t>
      </w:r>
      <w:r w:rsidR="001012C7" w:rsidRPr="00DD68E2">
        <w:rPr>
          <w:sz w:val="26"/>
          <w:szCs w:val="26"/>
        </w:rPr>
        <w:t xml:space="preserve"> the Complainant from meeting with PGW to further discuss the CRP and payment arrangements and terms presented by PGW during the hearing, given the Complainant’s recent positive payment his</w:t>
      </w:r>
      <w:r w:rsidR="001012C7">
        <w:rPr>
          <w:sz w:val="26"/>
          <w:szCs w:val="26"/>
        </w:rPr>
        <w:t xml:space="preserve">tory.  </w:t>
      </w:r>
    </w:p>
    <w:p w:rsidR="001012C7" w:rsidRDefault="001012C7" w:rsidP="00B402F4">
      <w:pPr>
        <w:widowControl/>
        <w:spacing w:line="360" w:lineRule="auto"/>
        <w:rPr>
          <w:rFonts w:ascii="Times New (W1)" w:hAnsi="Times New (W1)"/>
          <w:sz w:val="26"/>
          <w:szCs w:val="26"/>
        </w:rPr>
      </w:pPr>
    </w:p>
    <w:p w:rsidR="00CE2E09" w:rsidRPr="00D365A7" w:rsidRDefault="00CE2E09" w:rsidP="00CE2E09">
      <w:pPr>
        <w:keepNext/>
        <w:widowControl/>
        <w:spacing w:line="360" w:lineRule="auto"/>
        <w:jc w:val="center"/>
        <w:rPr>
          <w:b/>
          <w:sz w:val="26"/>
          <w:szCs w:val="26"/>
        </w:rPr>
      </w:pPr>
      <w:r w:rsidRPr="00D365A7">
        <w:rPr>
          <w:b/>
          <w:sz w:val="26"/>
          <w:szCs w:val="26"/>
        </w:rPr>
        <w:t>Conclusion</w:t>
      </w:r>
    </w:p>
    <w:p w:rsidR="00CE2E09" w:rsidRPr="00D365A7" w:rsidRDefault="00CE2E09" w:rsidP="00CE2E09">
      <w:pPr>
        <w:keepNext/>
        <w:widowControl/>
        <w:ind w:firstLine="1440"/>
        <w:rPr>
          <w:sz w:val="26"/>
          <w:szCs w:val="26"/>
        </w:rPr>
      </w:pPr>
    </w:p>
    <w:p w:rsidR="00CE2E09" w:rsidRDefault="00CE2E09" w:rsidP="00CE2E09">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sidR="0080639C">
        <w:rPr>
          <w:sz w:val="26"/>
          <w:szCs w:val="26"/>
        </w:rPr>
        <w:t>of Rashida Pickett</w:t>
      </w:r>
      <w:r>
        <w:rPr>
          <w:sz w:val="26"/>
          <w:szCs w:val="26"/>
        </w:rPr>
        <w:t>,</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CE2E09" w:rsidRPr="009F1350" w:rsidRDefault="00CE2E09" w:rsidP="00CE2E09">
      <w:pPr>
        <w:widowControl/>
        <w:spacing w:line="360" w:lineRule="auto"/>
        <w:ind w:firstLine="1440"/>
        <w:rPr>
          <w:b/>
          <w:sz w:val="26"/>
          <w:szCs w:val="26"/>
        </w:rPr>
      </w:pPr>
    </w:p>
    <w:p w:rsidR="00CE2E09" w:rsidRPr="00D365A7" w:rsidRDefault="00CE2E09" w:rsidP="00CE2E09">
      <w:pPr>
        <w:keepNext/>
        <w:widowControl/>
        <w:ind w:firstLine="1440"/>
        <w:rPr>
          <w:b/>
          <w:sz w:val="26"/>
          <w:szCs w:val="26"/>
        </w:rPr>
      </w:pPr>
      <w:r w:rsidRPr="00D365A7">
        <w:rPr>
          <w:b/>
          <w:sz w:val="26"/>
          <w:szCs w:val="26"/>
        </w:rPr>
        <w:t>IT IS ORDERED:</w:t>
      </w:r>
    </w:p>
    <w:p w:rsidR="00CE2E09" w:rsidRPr="00B50BFA" w:rsidRDefault="00CE2E09" w:rsidP="00CE2E09">
      <w:pPr>
        <w:pStyle w:val="ListParagraph"/>
        <w:widowControl/>
        <w:spacing w:line="360" w:lineRule="auto"/>
        <w:ind w:left="1440"/>
        <w:rPr>
          <w:sz w:val="26"/>
          <w:szCs w:val="26"/>
        </w:rPr>
      </w:pPr>
    </w:p>
    <w:p w:rsidR="00CE2E09" w:rsidRDefault="00CE2E09" w:rsidP="00CE2E09">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sidR="0080639C">
        <w:rPr>
          <w:sz w:val="26"/>
          <w:szCs w:val="26"/>
        </w:rPr>
        <w:t xml:space="preserve"> Exceptions of Rashida Pickett, filed on June</w:t>
      </w:r>
      <w:r w:rsidRPr="000C398A">
        <w:rPr>
          <w:sz w:val="26"/>
          <w:szCs w:val="26"/>
        </w:rPr>
        <w:t xml:space="preserve"> 16, 2015, to the Initial Decision of Administ</w:t>
      </w:r>
      <w:r w:rsidR="007556B5">
        <w:rPr>
          <w:sz w:val="26"/>
          <w:szCs w:val="26"/>
        </w:rPr>
        <w:t>rative Law Judge Darlene R. Davis Heep</w:t>
      </w:r>
      <w:r w:rsidRPr="000C398A">
        <w:rPr>
          <w:sz w:val="26"/>
          <w:szCs w:val="26"/>
        </w:rPr>
        <w:t xml:space="preserve"> are denied, consistent with this Opinion and Order.</w:t>
      </w:r>
    </w:p>
    <w:p w:rsidR="00CE2E09" w:rsidRPr="000C398A" w:rsidRDefault="00CE2E09" w:rsidP="00CE2E09">
      <w:pPr>
        <w:widowControl/>
        <w:spacing w:line="360" w:lineRule="auto"/>
        <w:ind w:left="1440"/>
        <w:rPr>
          <w:sz w:val="26"/>
          <w:szCs w:val="26"/>
        </w:rPr>
      </w:pPr>
    </w:p>
    <w:p w:rsidR="00CE2E09" w:rsidRPr="00D365A7" w:rsidRDefault="00CE2E09" w:rsidP="00CE2E09">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sidR="0080639C">
        <w:rPr>
          <w:sz w:val="26"/>
          <w:szCs w:val="26"/>
        </w:rPr>
        <w:t>tive Law Judge Darlene</w:t>
      </w:r>
      <w:r w:rsidR="00353D65">
        <w:rPr>
          <w:sz w:val="26"/>
          <w:szCs w:val="26"/>
        </w:rPr>
        <w:t> </w:t>
      </w:r>
      <w:r w:rsidR="0080639C">
        <w:rPr>
          <w:sz w:val="26"/>
          <w:szCs w:val="26"/>
        </w:rPr>
        <w:t>R.</w:t>
      </w:r>
      <w:r w:rsidR="00353D65">
        <w:rPr>
          <w:sz w:val="26"/>
          <w:szCs w:val="26"/>
        </w:rPr>
        <w:t> </w:t>
      </w:r>
      <w:r w:rsidR="0080639C">
        <w:rPr>
          <w:sz w:val="26"/>
          <w:szCs w:val="26"/>
        </w:rPr>
        <w:t>Davis Heep</w:t>
      </w:r>
      <w:r w:rsidRPr="00D365A7">
        <w:rPr>
          <w:sz w:val="26"/>
          <w:szCs w:val="26"/>
        </w:rPr>
        <w:t xml:space="preserve">, issued </w:t>
      </w:r>
      <w:r w:rsidR="0080639C">
        <w:rPr>
          <w:sz w:val="26"/>
          <w:szCs w:val="26"/>
        </w:rPr>
        <w:t>June 2</w:t>
      </w:r>
      <w:r>
        <w:rPr>
          <w:sz w:val="26"/>
          <w:szCs w:val="26"/>
        </w:rPr>
        <w:t>, 2015</w:t>
      </w:r>
      <w:r w:rsidRPr="00D365A7">
        <w:rPr>
          <w:sz w:val="26"/>
          <w:szCs w:val="26"/>
        </w:rPr>
        <w:t>, is adopted, consistent with this Opinion and Order.</w:t>
      </w:r>
    </w:p>
    <w:p w:rsidR="00CE2E09" w:rsidRPr="004216B9" w:rsidRDefault="00CE2E09" w:rsidP="00CE2E09">
      <w:pPr>
        <w:pStyle w:val="ListParagraph"/>
        <w:widowControl/>
        <w:rPr>
          <w:sz w:val="26"/>
          <w:szCs w:val="26"/>
        </w:rPr>
      </w:pPr>
    </w:p>
    <w:p w:rsidR="00CE2E09" w:rsidRDefault="00CE2E09" w:rsidP="00CE2E09">
      <w:pPr>
        <w:pStyle w:val="ListParagraph"/>
        <w:widowControl/>
        <w:numPr>
          <w:ilvl w:val="0"/>
          <w:numId w:val="1"/>
        </w:numPr>
        <w:spacing w:line="360" w:lineRule="auto"/>
        <w:ind w:left="0" w:firstLine="1440"/>
        <w:rPr>
          <w:sz w:val="26"/>
          <w:szCs w:val="26"/>
        </w:rPr>
      </w:pPr>
      <w:r w:rsidRPr="004B59A8">
        <w:rPr>
          <w:sz w:val="26"/>
          <w:szCs w:val="26"/>
        </w:rPr>
        <w:lastRenderedPageBreak/>
        <w:t xml:space="preserve">That the Formal Complaint filed by </w:t>
      </w:r>
      <w:r w:rsidR="0080639C">
        <w:rPr>
          <w:sz w:val="26"/>
          <w:szCs w:val="26"/>
        </w:rPr>
        <w:t>Rashida Pickett on September</w:t>
      </w:r>
      <w:r w:rsidR="00353D65">
        <w:rPr>
          <w:sz w:val="26"/>
          <w:szCs w:val="26"/>
        </w:rPr>
        <w:t> </w:t>
      </w:r>
      <w:r w:rsidR="0080639C">
        <w:rPr>
          <w:sz w:val="26"/>
          <w:szCs w:val="26"/>
        </w:rPr>
        <w:t>17</w:t>
      </w:r>
      <w:r w:rsidR="007A0298">
        <w:rPr>
          <w:sz w:val="26"/>
          <w:szCs w:val="26"/>
        </w:rPr>
        <w:t xml:space="preserve">, 2014, against </w:t>
      </w:r>
      <w:r w:rsidR="000453AF">
        <w:rPr>
          <w:sz w:val="26"/>
          <w:szCs w:val="26"/>
        </w:rPr>
        <w:t>Philadelphia</w:t>
      </w:r>
      <w:r w:rsidR="0080639C">
        <w:rPr>
          <w:sz w:val="26"/>
          <w:szCs w:val="26"/>
        </w:rPr>
        <w:t xml:space="preserve"> Gas Work</w:t>
      </w:r>
      <w:r w:rsidR="00FF63A5">
        <w:rPr>
          <w:sz w:val="26"/>
          <w:szCs w:val="26"/>
        </w:rPr>
        <w:t>s</w:t>
      </w:r>
      <w:r w:rsidR="0080639C">
        <w:rPr>
          <w:sz w:val="26"/>
          <w:szCs w:val="26"/>
        </w:rPr>
        <w:t xml:space="preserve"> </w:t>
      </w:r>
      <w:r w:rsidRPr="004B59A8">
        <w:rPr>
          <w:sz w:val="26"/>
          <w:szCs w:val="26"/>
        </w:rPr>
        <w:t>is dismissed in its entirety, consistent with this Opinion and Order.</w:t>
      </w:r>
    </w:p>
    <w:p w:rsidR="0080639C" w:rsidRPr="0080639C" w:rsidRDefault="0080639C" w:rsidP="0080639C">
      <w:pPr>
        <w:pStyle w:val="ListParagraph"/>
        <w:rPr>
          <w:sz w:val="26"/>
          <w:szCs w:val="26"/>
        </w:rPr>
      </w:pPr>
    </w:p>
    <w:p w:rsidR="00CE2E09" w:rsidRPr="00D365A7" w:rsidRDefault="00CE2E09" w:rsidP="00CE2E09">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w:t>
      </w:r>
      <w:r w:rsidR="000453AF">
        <w:rPr>
          <w:sz w:val="26"/>
          <w:szCs w:val="26"/>
        </w:rPr>
        <w:t>i</w:t>
      </w:r>
      <w:r>
        <w:rPr>
          <w:sz w:val="26"/>
          <w:szCs w:val="26"/>
        </w:rPr>
        <w:t xml:space="preserve">s docket </w:t>
      </w:r>
      <w:r w:rsidRPr="00D365A7">
        <w:rPr>
          <w:sz w:val="26"/>
          <w:szCs w:val="26"/>
        </w:rPr>
        <w:t>be marked closed.</w:t>
      </w:r>
    </w:p>
    <w:p w:rsidR="00CE2E09" w:rsidRPr="00D365A7" w:rsidRDefault="00CE2E09" w:rsidP="00CE2E09">
      <w:pPr>
        <w:keepNext/>
        <w:keepLines/>
        <w:widowControl/>
        <w:rPr>
          <w:sz w:val="26"/>
          <w:szCs w:val="26"/>
        </w:rPr>
      </w:pPr>
    </w:p>
    <w:p w:rsidR="00CE2E09" w:rsidRPr="00D365A7" w:rsidRDefault="004D5395" w:rsidP="00CE2E09">
      <w:pPr>
        <w:keepNext/>
        <w:keepLines/>
        <w:widowControl/>
        <w:rPr>
          <w:sz w:val="26"/>
          <w:szCs w:val="26"/>
        </w:rPr>
      </w:pPr>
      <w:bookmarkStart w:id="2" w:name="_GoBack"/>
      <w:r>
        <w:rPr>
          <w:noProof/>
        </w:rPr>
        <w:drawing>
          <wp:anchor distT="0" distB="0" distL="114300" distR="114300" simplePos="0" relativeHeight="251659264" behindDoc="1" locked="0" layoutInCell="1" allowOverlap="1" wp14:anchorId="15A651BD" wp14:editId="289A851F">
            <wp:simplePos x="0" y="0"/>
            <wp:positionH relativeFrom="column">
              <wp:posOffset>2907030</wp:posOffset>
            </wp:positionH>
            <wp:positionV relativeFrom="paragraph">
              <wp:posOffset>176530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E2E09" w:rsidRPr="00D365A7" w:rsidRDefault="00CE2E09" w:rsidP="00CE2E09">
      <w:pPr>
        <w:keepNext/>
        <w:keepLines/>
        <w:widowControl/>
        <w:tabs>
          <w:tab w:val="left" w:pos="-720"/>
        </w:tabs>
        <w:ind w:firstLine="5040"/>
        <w:rPr>
          <w:sz w:val="26"/>
          <w:szCs w:val="26"/>
        </w:rPr>
      </w:pPr>
      <w:r w:rsidRPr="00D365A7">
        <w:rPr>
          <w:b/>
          <w:sz w:val="26"/>
          <w:szCs w:val="26"/>
        </w:rPr>
        <w:t>BY THE COMMISSION,</w:t>
      </w: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ind w:firstLine="5040"/>
        <w:rPr>
          <w:b/>
          <w:sz w:val="26"/>
          <w:szCs w:val="26"/>
        </w:rPr>
      </w:pPr>
      <w:r w:rsidRPr="00D365A7">
        <w:rPr>
          <w:sz w:val="26"/>
          <w:szCs w:val="26"/>
        </w:rPr>
        <w:t>Rosemary Chiavetta</w:t>
      </w:r>
    </w:p>
    <w:p w:rsidR="00CE2E09" w:rsidRPr="00D365A7" w:rsidRDefault="00CE2E09" w:rsidP="00CE2E09">
      <w:pPr>
        <w:keepNext/>
        <w:keepLines/>
        <w:widowControl/>
        <w:tabs>
          <w:tab w:val="left" w:pos="-720"/>
        </w:tabs>
        <w:ind w:firstLine="5040"/>
        <w:rPr>
          <w:sz w:val="26"/>
          <w:szCs w:val="26"/>
        </w:rPr>
      </w:pPr>
      <w:r w:rsidRPr="00D365A7">
        <w:rPr>
          <w:sz w:val="26"/>
          <w:szCs w:val="26"/>
        </w:rPr>
        <w:t>Secretary</w:t>
      </w: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r w:rsidRPr="00D365A7">
        <w:rPr>
          <w:sz w:val="26"/>
          <w:szCs w:val="26"/>
        </w:rPr>
        <w:t>(SEAL)</w:t>
      </w:r>
    </w:p>
    <w:p w:rsidR="00CE2E09"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p>
    <w:p w:rsidR="00CE2E09" w:rsidRPr="00D365A7" w:rsidRDefault="00CE2E09" w:rsidP="00CE2E09">
      <w:pPr>
        <w:keepNext/>
        <w:keepLines/>
        <w:widowControl/>
        <w:tabs>
          <w:tab w:val="left" w:pos="-720"/>
        </w:tabs>
        <w:rPr>
          <w:sz w:val="26"/>
          <w:szCs w:val="26"/>
        </w:rPr>
      </w:pPr>
      <w:r w:rsidRPr="00D365A7">
        <w:rPr>
          <w:sz w:val="26"/>
          <w:szCs w:val="26"/>
        </w:rPr>
        <w:t xml:space="preserve">ORDER ADOPTED: </w:t>
      </w:r>
      <w:r w:rsidR="007556B5">
        <w:rPr>
          <w:sz w:val="26"/>
          <w:szCs w:val="26"/>
        </w:rPr>
        <w:t>October 1</w:t>
      </w:r>
      <w:r>
        <w:rPr>
          <w:sz w:val="26"/>
          <w:szCs w:val="26"/>
        </w:rPr>
        <w:t>, 2015</w:t>
      </w:r>
    </w:p>
    <w:p w:rsidR="00CE2E09" w:rsidRPr="00D365A7" w:rsidRDefault="00CE2E09" w:rsidP="00CE2E09">
      <w:pPr>
        <w:keepNext/>
        <w:keepLines/>
        <w:widowControl/>
        <w:tabs>
          <w:tab w:val="left" w:pos="-720"/>
        </w:tabs>
        <w:rPr>
          <w:sz w:val="26"/>
          <w:szCs w:val="26"/>
        </w:rPr>
      </w:pPr>
    </w:p>
    <w:p w:rsidR="00CE2E09" w:rsidRDefault="00CE2E09" w:rsidP="00CE2E09">
      <w:pPr>
        <w:keepNext/>
        <w:keepLines/>
        <w:widowControl/>
        <w:tabs>
          <w:tab w:val="left" w:pos="-720"/>
        </w:tabs>
        <w:rPr>
          <w:sz w:val="26"/>
          <w:szCs w:val="26"/>
        </w:rPr>
      </w:pPr>
      <w:r w:rsidRPr="00D365A7">
        <w:rPr>
          <w:sz w:val="26"/>
          <w:szCs w:val="26"/>
        </w:rPr>
        <w:t xml:space="preserve">ORDER ENTERED:  </w:t>
      </w:r>
      <w:r w:rsidR="004D5395">
        <w:rPr>
          <w:sz w:val="26"/>
          <w:szCs w:val="26"/>
        </w:rPr>
        <w:t>October 1, 2015</w:t>
      </w:r>
    </w:p>
    <w:p w:rsidR="00CE2E09" w:rsidRDefault="00CE2E09" w:rsidP="00CE2E09">
      <w:pPr>
        <w:keepNext/>
        <w:keepLines/>
        <w:widowControl/>
        <w:tabs>
          <w:tab w:val="left" w:pos="-720"/>
        </w:tabs>
        <w:rPr>
          <w:sz w:val="26"/>
          <w:szCs w:val="26"/>
        </w:rPr>
      </w:pPr>
    </w:p>
    <w:p w:rsidR="00CE2E09" w:rsidRDefault="00CE2E09" w:rsidP="00CE2E09">
      <w:pPr>
        <w:keepNext/>
        <w:keepLines/>
        <w:widowControl/>
        <w:tabs>
          <w:tab w:val="left" w:pos="-720"/>
        </w:tabs>
        <w:rPr>
          <w:sz w:val="26"/>
          <w:szCs w:val="26"/>
        </w:rPr>
      </w:pPr>
    </w:p>
    <w:p w:rsidR="00ED5466" w:rsidRDefault="00ED5466" w:rsidP="00CE2E09">
      <w:pPr>
        <w:keepNext/>
        <w:widowControl/>
        <w:spacing w:line="360" w:lineRule="auto"/>
        <w:jc w:val="center"/>
        <w:rPr>
          <w:sz w:val="26"/>
          <w:szCs w:val="26"/>
        </w:rPr>
      </w:pPr>
    </w:p>
    <w:sectPr w:rsidR="00ED5466"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9AF" w:rsidRDefault="003679AF" w:rsidP="00F7174B">
      <w:r>
        <w:separator/>
      </w:r>
    </w:p>
  </w:endnote>
  <w:endnote w:type="continuationSeparator" w:id="0">
    <w:p w:rsidR="003679AF" w:rsidRDefault="003679A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242D76" w:rsidRPr="009F1A08" w:rsidRDefault="00242D7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4D5395">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9AF" w:rsidRDefault="003679AF" w:rsidP="00F7174B">
      <w:r>
        <w:separator/>
      </w:r>
    </w:p>
  </w:footnote>
  <w:footnote w:type="continuationSeparator" w:id="0">
    <w:p w:rsidR="003679AF" w:rsidRDefault="003679AF" w:rsidP="00F7174B">
      <w:r>
        <w:continuationSeparator/>
      </w:r>
    </w:p>
  </w:footnote>
  <w:footnote w:id="1">
    <w:p w:rsidR="00242D76" w:rsidRPr="008C71F0" w:rsidRDefault="00242D76" w:rsidP="005B2141">
      <w:pPr>
        <w:pStyle w:val="FootnoteText"/>
        <w:keepNext/>
        <w:keepLines/>
        <w:widowControl/>
        <w:ind w:firstLine="720"/>
        <w:rPr>
          <w:sz w:val="26"/>
          <w:szCs w:val="26"/>
        </w:rPr>
      </w:pPr>
      <w:r w:rsidRPr="008C71F0">
        <w:rPr>
          <w:rStyle w:val="FootnoteReference"/>
          <w:sz w:val="26"/>
          <w:szCs w:val="26"/>
        </w:rPr>
        <w:footnoteRef/>
      </w:r>
      <w:r w:rsidRPr="008C71F0">
        <w:rPr>
          <w:sz w:val="26"/>
          <w:szCs w:val="26"/>
        </w:rPr>
        <w:t xml:space="preserve"> </w:t>
      </w:r>
      <w:r>
        <w:rPr>
          <w:sz w:val="26"/>
          <w:szCs w:val="26"/>
        </w:rPr>
        <w:tab/>
      </w:r>
      <w:r w:rsidR="00870517">
        <w:rPr>
          <w:sz w:val="26"/>
          <w:szCs w:val="26"/>
        </w:rPr>
        <w:t xml:space="preserve">The </w:t>
      </w:r>
      <w:r>
        <w:rPr>
          <w:sz w:val="26"/>
          <w:szCs w:val="26"/>
        </w:rPr>
        <w:t>Complainant e</w:t>
      </w:r>
      <w:r w:rsidR="00423310">
        <w:rPr>
          <w:sz w:val="26"/>
          <w:szCs w:val="26"/>
        </w:rPr>
        <w:t>-</w:t>
      </w:r>
      <w:r>
        <w:rPr>
          <w:sz w:val="26"/>
          <w:szCs w:val="26"/>
        </w:rPr>
        <w:t xml:space="preserve">mailed a courtesy copy of her </w:t>
      </w:r>
      <w:r w:rsidRPr="008C71F0">
        <w:rPr>
          <w:sz w:val="26"/>
          <w:szCs w:val="26"/>
        </w:rPr>
        <w:t xml:space="preserve">Exceptions to the Commission’s Office of Special </w:t>
      </w:r>
      <w:r w:rsidR="00BF5DF9" w:rsidRPr="008C71F0">
        <w:rPr>
          <w:sz w:val="26"/>
          <w:szCs w:val="26"/>
        </w:rPr>
        <w:t>Assistants on</w:t>
      </w:r>
      <w:r w:rsidRPr="008C71F0">
        <w:rPr>
          <w:sz w:val="26"/>
          <w:szCs w:val="26"/>
        </w:rPr>
        <w:t xml:space="preserve"> June 5, 2015, but later filed </w:t>
      </w:r>
      <w:r w:rsidR="00BF5DF9">
        <w:rPr>
          <w:sz w:val="26"/>
          <w:szCs w:val="26"/>
        </w:rPr>
        <w:t>her</w:t>
      </w:r>
      <w:r w:rsidR="00BF5DF9" w:rsidRPr="008C71F0">
        <w:rPr>
          <w:sz w:val="26"/>
          <w:szCs w:val="26"/>
        </w:rPr>
        <w:t xml:space="preserve"> Exceptions</w:t>
      </w:r>
      <w:r w:rsidRPr="008C71F0">
        <w:rPr>
          <w:sz w:val="26"/>
          <w:szCs w:val="26"/>
        </w:rPr>
        <w:t xml:space="preserve"> </w:t>
      </w:r>
      <w:r w:rsidR="00870517">
        <w:rPr>
          <w:sz w:val="26"/>
          <w:szCs w:val="26"/>
        </w:rPr>
        <w:t xml:space="preserve">in a timely manner </w:t>
      </w:r>
      <w:r w:rsidRPr="008C71F0">
        <w:rPr>
          <w:sz w:val="26"/>
          <w:szCs w:val="26"/>
        </w:rPr>
        <w:t>with the Secretary’s Bureau on June 16, 2015.</w:t>
      </w:r>
    </w:p>
  </w:footnote>
  <w:footnote w:id="2">
    <w:p w:rsidR="00242D76" w:rsidRPr="00D61A4B" w:rsidRDefault="00242D76" w:rsidP="005B2141">
      <w:pPr>
        <w:pStyle w:val="FootnoteText"/>
        <w:keepNext/>
        <w:keepLines/>
        <w:widowControl/>
        <w:ind w:firstLine="720"/>
        <w:rPr>
          <w:sz w:val="26"/>
          <w:szCs w:val="26"/>
        </w:rPr>
      </w:pPr>
      <w:r w:rsidRPr="00D61A4B">
        <w:rPr>
          <w:rStyle w:val="FootnoteReference"/>
          <w:sz w:val="26"/>
          <w:szCs w:val="26"/>
        </w:rPr>
        <w:footnoteRef/>
      </w:r>
      <w:r w:rsidRPr="00D61A4B">
        <w:rPr>
          <w:sz w:val="26"/>
          <w:szCs w:val="26"/>
        </w:rPr>
        <w:t xml:space="preserve"> </w:t>
      </w:r>
      <w:r w:rsidRPr="00D61A4B">
        <w:rPr>
          <w:sz w:val="26"/>
          <w:szCs w:val="26"/>
        </w:rPr>
        <w:tab/>
        <w:t xml:space="preserve">On June 17, 2015, the Commission’s Secretary issued a </w:t>
      </w:r>
      <w:r w:rsidR="00BC5A72">
        <w:rPr>
          <w:sz w:val="26"/>
          <w:szCs w:val="26"/>
        </w:rPr>
        <w:t>Secretarial L</w:t>
      </w:r>
      <w:r w:rsidRPr="00D61A4B">
        <w:rPr>
          <w:sz w:val="26"/>
          <w:szCs w:val="26"/>
        </w:rPr>
        <w:t>etter to the Parties</w:t>
      </w:r>
      <w:r w:rsidR="00BC5A72">
        <w:rPr>
          <w:sz w:val="26"/>
          <w:szCs w:val="26"/>
        </w:rPr>
        <w:t>,</w:t>
      </w:r>
      <w:r w:rsidRPr="00D61A4B">
        <w:rPr>
          <w:sz w:val="26"/>
          <w:szCs w:val="26"/>
        </w:rPr>
        <w:t xml:space="preserve"> stating that the Complainant’s timely</w:t>
      </w:r>
      <w:r w:rsidR="00423310">
        <w:rPr>
          <w:sz w:val="26"/>
          <w:szCs w:val="26"/>
        </w:rPr>
        <w:t>-</w:t>
      </w:r>
      <w:r w:rsidRPr="00D61A4B">
        <w:rPr>
          <w:sz w:val="26"/>
          <w:szCs w:val="26"/>
        </w:rPr>
        <w:t xml:space="preserve">filed Exceptions did not contain a certificate of service or other indication that </w:t>
      </w:r>
      <w:r w:rsidR="00BC5A72">
        <w:rPr>
          <w:sz w:val="26"/>
          <w:szCs w:val="26"/>
        </w:rPr>
        <w:t>the Complainant</w:t>
      </w:r>
      <w:r w:rsidRPr="00D61A4B">
        <w:rPr>
          <w:sz w:val="26"/>
          <w:szCs w:val="26"/>
        </w:rPr>
        <w:t xml:space="preserve"> served the Respondent with the Exceptions.  Thus, the Secretary’s Bureau enclosed a copy of the Exceptions and notified the Respondent that any Replies to Exceptions w</w:t>
      </w:r>
      <w:r w:rsidR="00423310">
        <w:rPr>
          <w:sz w:val="26"/>
          <w:szCs w:val="26"/>
        </w:rPr>
        <w:t xml:space="preserve">ould be </w:t>
      </w:r>
      <w:r w:rsidRPr="00D61A4B">
        <w:rPr>
          <w:sz w:val="26"/>
          <w:szCs w:val="26"/>
        </w:rPr>
        <w:t xml:space="preserve">due by July 6, 2015. </w:t>
      </w:r>
    </w:p>
  </w:footnote>
  <w:footnote w:id="3">
    <w:p w:rsidR="00242D76" w:rsidRPr="00D61A4B" w:rsidRDefault="00242D76" w:rsidP="005B2141">
      <w:pPr>
        <w:pStyle w:val="FootnoteText"/>
        <w:keepNext/>
        <w:keepLines/>
        <w:widowControl/>
        <w:ind w:firstLine="720"/>
        <w:rPr>
          <w:sz w:val="26"/>
          <w:szCs w:val="26"/>
        </w:rPr>
      </w:pPr>
      <w:r w:rsidRPr="00D61A4B">
        <w:rPr>
          <w:rStyle w:val="FootnoteReference"/>
          <w:sz w:val="26"/>
          <w:szCs w:val="26"/>
        </w:rPr>
        <w:footnoteRef/>
      </w:r>
      <w:r w:rsidRPr="00D61A4B">
        <w:rPr>
          <w:sz w:val="26"/>
          <w:szCs w:val="26"/>
        </w:rPr>
        <w:tab/>
        <w:t xml:space="preserve">This Complaint is an appeal of a Bureau of Consumer Services (BCS) informal decision at BCS Case No. 3248123, dated September 9, 2014.  </w:t>
      </w:r>
    </w:p>
  </w:footnote>
  <w:footnote w:id="4">
    <w:p w:rsidR="0055230F" w:rsidRPr="00D61A4B" w:rsidRDefault="0055230F" w:rsidP="005B2141">
      <w:pPr>
        <w:pStyle w:val="FootnoteText"/>
        <w:keepNext/>
        <w:keepLines/>
        <w:widowControl/>
        <w:ind w:firstLine="720"/>
        <w:rPr>
          <w:sz w:val="26"/>
          <w:szCs w:val="26"/>
        </w:rPr>
      </w:pPr>
      <w:r w:rsidRPr="00D61A4B">
        <w:rPr>
          <w:rStyle w:val="FootnoteReference"/>
          <w:sz w:val="26"/>
          <w:szCs w:val="26"/>
        </w:rPr>
        <w:footnoteRef/>
      </w:r>
      <w:r w:rsidRPr="00D61A4B">
        <w:rPr>
          <w:sz w:val="26"/>
          <w:szCs w:val="26"/>
        </w:rPr>
        <w:tab/>
        <w:t xml:space="preserve">On July 8, 2015, prior to filing her </w:t>
      </w:r>
      <w:r>
        <w:rPr>
          <w:sz w:val="26"/>
          <w:szCs w:val="26"/>
        </w:rPr>
        <w:t>Response</w:t>
      </w:r>
      <w:r w:rsidRPr="00D61A4B">
        <w:rPr>
          <w:sz w:val="26"/>
          <w:szCs w:val="26"/>
        </w:rPr>
        <w:t xml:space="preserve"> to PGW’s Replies to Exceptions, the Complainant filed additional information regarding the ALJ’s Initial Decision.</w:t>
      </w:r>
    </w:p>
  </w:footnote>
  <w:footnote w:id="5">
    <w:p w:rsidR="0055230F" w:rsidRPr="00D61A4B" w:rsidRDefault="0055230F" w:rsidP="005B2141">
      <w:pPr>
        <w:keepNext/>
        <w:keepLines/>
        <w:widowControl/>
        <w:ind w:firstLine="720"/>
        <w:rPr>
          <w:sz w:val="26"/>
          <w:szCs w:val="26"/>
        </w:rPr>
      </w:pPr>
      <w:r w:rsidRPr="00D61A4B">
        <w:rPr>
          <w:rStyle w:val="FootnoteReference"/>
          <w:sz w:val="26"/>
          <w:szCs w:val="26"/>
        </w:rPr>
        <w:footnoteRef/>
      </w:r>
      <w:r w:rsidRPr="00D61A4B">
        <w:rPr>
          <w:sz w:val="26"/>
          <w:szCs w:val="26"/>
        </w:rPr>
        <w:tab/>
        <w:t>In regard to Formal Proceedings, our Regulations at 52 Pa. Code §§ 5.533 and 5.535 allow for the filing of Exceptions and Replies to Exceptions when an ALJ issues an Initial Decision.  However, there is no provision in our Regulations that allows a party to file a Response to Replies to Exceptions.  Consequently, we will not consider the Complainant’s Response to the Replies to Exceptions</w:t>
      </w:r>
      <w:r w:rsidR="00423310">
        <w:rPr>
          <w:sz w:val="26"/>
          <w:szCs w:val="26"/>
        </w:rPr>
        <w:t xml:space="preserve"> in this proceeding</w:t>
      </w:r>
      <w:r w:rsidRPr="00D61A4B">
        <w:rPr>
          <w:sz w:val="26"/>
          <w:szCs w:val="26"/>
        </w:rPr>
        <w:t xml:space="preserve">. </w:t>
      </w:r>
      <w:r w:rsidRPr="00D61A4B">
        <w:rPr>
          <w:rFonts w:eastAsia="Calibri"/>
          <w:sz w:val="26"/>
          <w:szCs w:val="26"/>
        </w:rPr>
        <w:t xml:space="preserve"> </w:t>
      </w:r>
    </w:p>
  </w:footnote>
  <w:footnote w:id="6">
    <w:p w:rsidR="00242D76" w:rsidRPr="00B74A83" w:rsidRDefault="00242D76" w:rsidP="005B2141">
      <w:pPr>
        <w:pStyle w:val="FootnoteText"/>
        <w:keepNext/>
        <w:keepLines/>
        <w:widowControl/>
        <w:ind w:firstLine="720"/>
        <w:rPr>
          <w:sz w:val="26"/>
          <w:szCs w:val="26"/>
        </w:rPr>
      </w:pPr>
      <w:r w:rsidRPr="00B74A83">
        <w:rPr>
          <w:rStyle w:val="FootnoteReference"/>
          <w:sz w:val="26"/>
          <w:szCs w:val="26"/>
        </w:rPr>
        <w:footnoteRef/>
      </w:r>
      <w:r w:rsidRPr="00B74A83">
        <w:rPr>
          <w:sz w:val="26"/>
          <w:szCs w:val="26"/>
        </w:rPr>
        <w:t xml:space="preserve"> </w:t>
      </w:r>
      <w:r w:rsidRPr="00B74A83">
        <w:rPr>
          <w:sz w:val="26"/>
          <w:szCs w:val="26"/>
        </w:rPr>
        <w:tab/>
      </w:r>
      <w:r w:rsidRPr="00CC010F">
        <w:rPr>
          <w:i/>
          <w:sz w:val="26"/>
          <w:szCs w:val="26"/>
        </w:rPr>
        <w:t>See</w:t>
      </w:r>
      <w:r w:rsidRPr="00B74A83">
        <w:rPr>
          <w:sz w:val="26"/>
          <w:szCs w:val="26"/>
        </w:rPr>
        <w:t xml:space="preserve">, </w:t>
      </w:r>
      <w:r w:rsidRPr="00B74A83">
        <w:rPr>
          <w:i/>
          <w:iCs/>
          <w:sz w:val="26"/>
          <w:szCs w:val="26"/>
        </w:rPr>
        <w:t>Hewitt v. PECO Energy Co</w:t>
      </w:r>
      <w:r w:rsidRPr="00B74A83">
        <w:rPr>
          <w:sz w:val="26"/>
          <w:szCs w:val="26"/>
        </w:rPr>
        <w:t xml:space="preserve">., Docket No. F-2011-2273271 (Order entered September 12, 2013) </w:t>
      </w:r>
      <w:r w:rsidRPr="00B74A83">
        <w:rPr>
          <w:i/>
          <w:sz w:val="26"/>
          <w:szCs w:val="26"/>
        </w:rPr>
        <w:t>(Hewitt)</w:t>
      </w:r>
      <w:r w:rsidRPr="00B74A83">
        <w:rPr>
          <w:sz w:val="26"/>
          <w:szCs w:val="26"/>
        </w:rPr>
        <w:t xml:space="preserve">.  </w:t>
      </w:r>
      <w:proofErr w:type="gramStart"/>
      <w:r w:rsidR="00B74A83">
        <w:rPr>
          <w:sz w:val="26"/>
          <w:szCs w:val="26"/>
        </w:rPr>
        <w:t>I.D. at 5.</w:t>
      </w:r>
      <w:proofErr w:type="gramEnd"/>
    </w:p>
  </w:footnote>
  <w:footnote w:id="7">
    <w:p w:rsidR="00242D76" w:rsidRPr="00B74A83" w:rsidRDefault="00242D76" w:rsidP="005B2141">
      <w:pPr>
        <w:keepNext/>
        <w:keepLines/>
        <w:widowControl/>
        <w:ind w:firstLine="720"/>
        <w:rPr>
          <w:sz w:val="26"/>
          <w:szCs w:val="26"/>
        </w:rPr>
      </w:pPr>
      <w:r w:rsidRPr="00B74A83">
        <w:rPr>
          <w:rStyle w:val="FootnoteReference"/>
          <w:sz w:val="26"/>
          <w:szCs w:val="26"/>
        </w:rPr>
        <w:footnoteRef/>
      </w:r>
      <w:r w:rsidRPr="00B74A83">
        <w:rPr>
          <w:sz w:val="26"/>
          <w:szCs w:val="26"/>
        </w:rPr>
        <w:t xml:space="preserve"> </w:t>
      </w:r>
      <w:r w:rsidRPr="00B74A83">
        <w:rPr>
          <w:sz w:val="26"/>
          <w:szCs w:val="26"/>
        </w:rPr>
        <w:tab/>
      </w:r>
      <w:r w:rsidRPr="00CC010F">
        <w:rPr>
          <w:i/>
          <w:sz w:val="26"/>
          <w:szCs w:val="26"/>
        </w:rPr>
        <w:t>See</w:t>
      </w:r>
      <w:r w:rsidRPr="00B74A83">
        <w:rPr>
          <w:sz w:val="26"/>
          <w:szCs w:val="26"/>
        </w:rPr>
        <w:t xml:space="preserve">, </w:t>
      </w:r>
      <w:r w:rsidRPr="00B74A83">
        <w:rPr>
          <w:i/>
          <w:iCs/>
          <w:sz w:val="26"/>
          <w:szCs w:val="26"/>
        </w:rPr>
        <w:t>Joy Turner v</w:t>
      </w:r>
      <w:r w:rsidR="001D3548">
        <w:rPr>
          <w:i/>
          <w:iCs/>
          <w:sz w:val="26"/>
          <w:szCs w:val="26"/>
        </w:rPr>
        <w:t>.</w:t>
      </w:r>
      <w:r w:rsidRPr="00B74A83">
        <w:rPr>
          <w:i/>
          <w:iCs/>
          <w:sz w:val="26"/>
          <w:szCs w:val="26"/>
        </w:rPr>
        <w:t xml:space="preserve"> Philadelphia Gas Works</w:t>
      </w:r>
      <w:r w:rsidRPr="00B74A83">
        <w:rPr>
          <w:sz w:val="26"/>
          <w:szCs w:val="26"/>
        </w:rPr>
        <w:t xml:space="preserve">, Docket No. C-2013-2388319 (Order Entered June 19, 2014) </w:t>
      </w:r>
      <w:r w:rsidRPr="00B74A83">
        <w:rPr>
          <w:i/>
          <w:sz w:val="26"/>
          <w:szCs w:val="26"/>
        </w:rPr>
        <w:t>(Turner)</w:t>
      </w:r>
      <w:r w:rsidRPr="00B74A83">
        <w:rPr>
          <w:sz w:val="26"/>
          <w:szCs w:val="26"/>
        </w:rPr>
        <w:t>.</w:t>
      </w:r>
      <w:r w:rsidR="00B74A83">
        <w:rPr>
          <w:sz w:val="26"/>
          <w:szCs w:val="26"/>
        </w:rPr>
        <w:t xml:space="preserve">  </w:t>
      </w:r>
      <w:proofErr w:type="gramStart"/>
      <w:r w:rsidR="00B74A83">
        <w:rPr>
          <w:sz w:val="26"/>
          <w:szCs w:val="26"/>
        </w:rPr>
        <w:t>I.D. at 6.</w:t>
      </w:r>
      <w:proofErr w:type="gramEnd"/>
    </w:p>
    <w:p w:rsidR="00242D76" w:rsidRDefault="00242D76" w:rsidP="005B2141">
      <w:pPr>
        <w:pStyle w:val="FootnoteText"/>
        <w:keepNext/>
        <w:keepLines/>
        <w:widowControl/>
        <w:ind w:firstLine="720"/>
      </w:pPr>
    </w:p>
  </w:footnote>
  <w:footnote w:id="8">
    <w:p w:rsidR="0055230F" w:rsidRPr="008C14EA" w:rsidRDefault="0055230F" w:rsidP="005B2141">
      <w:pPr>
        <w:pStyle w:val="FootnoteText"/>
        <w:keepNext/>
        <w:keepLines/>
        <w:widowControl/>
        <w:ind w:firstLine="720"/>
        <w:rPr>
          <w:sz w:val="26"/>
          <w:szCs w:val="26"/>
        </w:rPr>
      </w:pPr>
      <w:r w:rsidRPr="008C14EA">
        <w:rPr>
          <w:rStyle w:val="FootnoteReference"/>
          <w:sz w:val="26"/>
          <w:szCs w:val="26"/>
        </w:rPr>
        <w:footnoteRef/>
      </w:r>
      <w:r w:rsidRPr="008C14EA">
        <w:rPr>
          <w:sz w:val="26"/>
          <w:szCs w:val="26"/>
        </w:rPr>
        <w:t xml:space="preserve"> </w:t>
      </w:r>
      <w:r w:rsidRPr="008C14EA">
        <w:rPr>
          <w:sz w:val="26"/>
          <w:szCs w:val="26"/>
        </w:rPr>
        <w:tab/>
        <w:t xml:space="preserve">The most recent </w:t>
      </w:r>
      <w:r>
        <w:rPr>
          <w:sz w:val="26"/>
          <w:szCs w:val="26"/>
        </w:rPr>
        <w:t xml:space="preserve">Company-issued </w:t>
      </w:r>
      <w:r w:rsidRPr="008C14EA">
        <w:rPr>
          <w:sz w:val="26"/>
          <w:szCs w:val="26"/>
        </w:rPr>
        <w:t>agreement was on June 2, 2014.</w:t>
      </w:r>
    </w:p>
  </w:footnote>
  <w:footnote w:id="9">
    <w:p w:rsidR="0055230F" w:rsidRPr="001A4982" w:rsidRDefault="0055230F" w:rsidP="005B2141">
      <w:pPr>
        <w:pStyle w:val="FootnoteText"/>
        <w:keepNext/>
        <w:keepLines/>
        <w:widowControl/>
        <w:ind w:firstLine="720"/>
        <w:rPr>
          <w:sz w:val="26"/>
          <w:szCs w:val="26"/>
        </w:rPr>
      </w:pPr>
      <w:r w:rsidRPr="001A4982">
        <w:rPr>
          <w:rStyle w:val="FootnoteReference"/>
          <w:sz w:val="26"/>
          <w:szCs w:val="26"/>
        </w:rPr>
        <w:footnoteRef/>
      </w:r>
      <w:r w:rsidRPr="001A4982">
        <w:rPr>
          <w:sz w:val="26"/>
          <w:szCs w:val="26"/>
        </w:rPr>
        <w:t xml:space="preserve"> </w:t>
      </w:r>
      <w:r w:rsidRPr="001A4982">
        <w:rPr>
          <w:sz w:val="26"/>
          <w:szCs w:val="26"/>
        </w:rPr>
        <w:tab/>
        <w:t>The $3,530.17 payment requested by PGW includes $964.99 in arrears.</w:t>
      </w:r>
    </w:p>
  </w:footnote>
  <w:footnote w:id="10">
    <w:p w:rsidR="0055230F" w:rsidRPr="006871F0" w:rsidRDefault="0055230F" w:rsidP="005B2141">
      <w:pPr>
        <w:keepNext/>
        <w:keepLines/>
        <w:widowControl/>
        <w:ind w:firstLine="720"/>
        <w:rPr>
          <w:sz w:val="26"/>
          <w:szCs w:val="26"/>
        </w:rPr>
      </w:pPr>
      <w:r w:rsidRPr="006871F0">
        <w:rPr>
          <w:rStyle w:val="FootnoteReference"/>
          <w:sz w:val="26"/>
          <w:szCs w:val="26"/>
        </w:rPr>
        <w:footnoteRef/>
      </w:r>
      <w:r w:rsidRPr="006871F0">
        <w:rPr>
          <w:sz w:val="26"/>
          <w:szCs w:val="26"/>
        </w:rPr>
        <w:t xml:space="preserve"> </w:t>
      </w:r>
      <w:r w:rsidRPr="006871F0">
        <w:rPr>
          <w:sz w:val="26"/>
          <w:szCs w:val="26"/>
        </w:rPr>
        <w:tab/>
        <w:t>Philadelphia Gas Works Revised Universal Service and Energy Conservation Plan 2014-2016</w:t>
      </w:r>
      <w:r w:rsidR="006871F0" w:rsidRPr="006871F0">
        <w:rPr>
          <w:sz w:val="26"/>
          <w:szCs w:val="26"/>
        </w:rPr>
        <w:t xml:space="preserve"> </w:t>
      </w:r>
      <w:r w:rsidR="006871F0">
        <w:rPr>
          <w:sz w:val="26"/>
          <w:szCs w:val="26"/>
        </w:rPr>
        <w:t>submitted in c</w:t>
      </w:r>
      <w:r w:rsidR="006871F0" w:rsidRPr="006871F0">
        <w:rPr>
          <w:sz w:val="26"/>
          <w:szCs w:val="26"/>
        </w:rPr>
        <w:t>ompliance with 52 Pa. Code § 62.4</w:t>
      </w:r>
      <w:r w:rsidR="007774C6" w:rsidRPr="006871F0">
        <w:rPr>
          <w:sz w:val="26"/>
          <w:szCs w:val="26"/>
        </w:rPr>
        <w:t xml:space="preserve">, </w:t>
      </w:r>
      <w:r w:rsidR="007B28E4">
        <w:rPr>
          <w:sz w:val="26"/>
          <w:szCs w:val="26"/>
        </w:rPr>
        <w:t xml:space="preserve">and </w:t>
      </w:r>
      <w:r w:rsidR="007774C6" w:rsidRPr="006871F0">
        <w:rPr>
          <w:sz w:val="26"/>
          <w:szCs w:val="26"/>
        </w:rPr>
        <w:t xml:space="preserve">updated on September 22, 2014, pursuant to Final Order entered on August 22, 2014, at Docket No. </w:t>
      </w:r>
      <w:proofErr w:type="gramStart"/>
      <w:r w:rsidR="007774C6" w:rsidRPr="006871F0">
        <w:rPr>
          <w:sz w:val="26"/>
          <w:szCs w:val="26"/>
        </w:rPr>
        <w:t>M-2013-2366301 (</w:t>
      </w:r>
      <w:r w:rsidR="007774C6" w:rsidRPr="007B28E4">
        <w:rPr>
          <w:i/>
          <w:sz w:val="26"/>
          <w:szCs w:val="26"/>
        </w:rPr>
        <w:t>PGW’s Universal Service Plan</w:t>
      </w:r>
      <w:r w:rsidR="007774C6" w:rsidRPr="006871F0">
        <w:rPr>
          <w:sz w:val="26"/>
          <w:szCs w:val="26"/>
        </w:rPr>
        <w:t>).</w:t>
      </w:r>
      <w:proofErr w:type="gramEnd"/>
      <w:r w:rsidR="007774C6" w:rsidRPr="006871F0">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5FB"/>
    <w:rsid w:val="00006685"/>
    <w:rsid w:val="00006A65"/>
    <w:rsid w:val="00006AB6"/>
    <w:rsid w:val="00006F35"/>
    <w:rsid w:val="00006FEE"/>
    <w:rsid w:val="0000721A"/>
    <w:rsid w:val="00007630"/>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341"/>
    <w:rsid w:val="00037FC0"/>
    <w:rsid w:val="00040A8E"/>
    <w:rsid w:val="00040AEA"/>
    <w:rsid w:val="000441C7"/>
    <w:rsid w:val="00044CDF"/>
    <w:rsid w:val="00045363"/>
    <w:rsid w:val="000453AF"/>
    <w:rsid w:val="00045800"/>
    <w:rsid w:val="00045AE7"/>
    <w:rsid w:val="0004710C"/>
    <w:rsid w:val="00047874"/>
    <w:rsid w:val="00047F4A"/>
    <w:rsid w:val="0005113F"/>
    <w:rsid w:val="000523D1"/>
    <w:rsid w:val="00052B8F"/>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6F35"/>
    <w:rsid w:val="00081416"/>
    <w:rsid w:val="00083125"/>
    <w:rsid w:val="000833F3"/>
    <w:rsid w:val="0008379F"/>
    <w:rsid w:val="00084573"/>
    <w:rsid w:val="00084891"/>
    <w:rsid w:val="0008490E"/>
    <w:rsid w:val="00084AF9"/>
    <w:rsid w:val="00085513"/>
    <w:rsid w:val="00085B98"/>
    <w:rsid w:val="00085E78"/>
    <w:rsid w:val="00087299"/>
    <w:rsid w:val="000878C9"/>
    <w:rsid w:val="000918D4"/>
    <w:rsid w:val="00093164"/>
    <w:rsid w:val="00094851"/>
    <w:rsid w:val="0009612D"/>
    <w:rsid w:val="00096F08"/>
    <w:rsid w:val="00097457"/>
    <w:rsid w:val="00097504"/>
    <w:rsid w:val="000A013F"/>
    <w:rsid w:val="000A04E4"/>
    <w:rsid w:val="000A06E0"/>
    <w:rsid w:val="000A1358"/>
    <w:rsid w:val="000A35C0"/>
    <w:rsid w:val="000A365D"/>
    <w:rsid w:val="000A443E"/>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DC3"/>
    <w:rsid w:val="000C1A75"/>
    <w:rsid w:val="000C2AE3"/>
    <w:rsid w:val="000C31E4"/>
    <w:rsid w:val="000C398A"/>
    <w:rsid w:val="000C55FE"/>
    <w:rsid w:val="000C5927"/>
    <w:rsid w:val="000C67F5"/>
    <w:rsid w:val="000C709A"/>
    <w:rsid w:val="000C7255"/>
    <w:rsid w:val="000C7D21"/>
    <w:rsid w:val="000D008C"/>
    <w:rsid w:val="000D01E0"/>
    <w:rsid w:val="000D02FE"/>
    <w:rsid w:val="000D0A77"/>
    <w:rsid w:val="000D0BA5"/>
    <w:rsid w:val="000D29C8"/>
    <w:rsid w:val="000D3B0E"/>
    <w:rsid w:val="000D3CAA"/>
    <w:rsid w:val="000D3E1C"/>
    <w:rsid w:val="000D4A7B"/>
    <w:rsid w:val="000D4B93"/>
    <w:rsid w:val="000D5306"/>
    <w:rsid w:val="000D65F2"/>
    <w:rsid w:val="000D6E1E"/>
    <w:rsid w:val="000E0295"/>
    <w:rsid w:val="000E0395"/>
    <w:rsid w:val="000E2AF5"/>
    <w:rsid w:val="000E5778"/>
    <w:rsid w:val="000E6DC6"/>
    <w:rsid w:val="000E75FD"/>
    <w:rsid w:val="000E7B10"/>
    <w:rsid w:val="000F179E"/>
    <w:rsid w:val="000F1DC2"/>
    <w:rsid w:val="000F255C"/>
    <w:rsid w:val="000F27FE"/>
    <w:rsid w:val="000F2DE3"/>
    <w:rsid w:val="000F4307"/>
    <w:rsid w:val="000F4A97"/>
    <w:rsid w:val="000F55F7"/>
    <w:rsid w:val="000F7B08"/>
    <w:rsid w:val="001006A8"/>
    <w:rsid w:val="00100A7C"/>
    <w:rsid w:val="00100F06"/>
    <w:rsid w:val="001012C7"/>
    <w:rsid w:val="00101387"/>
    <w:rsid w:val="0010147F"/>
    <w:rsid w:val="0010158F"/>
    <w:rsid w:val="001017F6"/>
    <w:rsid w:val="00101F51"/>
    <w:rsid w:val="00101F7F"/>
    <w:rsid w:val="001026CA"/>
    <w:rsid w:val="00102E71"/>
    <w:rsid w:val="00103242"/>
    <w:rsid w:val="001035AF"/>
    <w:rsid w:val="00103797"/>
    <w:rsid w:val="00103ACC"/>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5EF5"/>
    <w:rsid w:val="0011757D"/>
    <w:rsid w:val="00117A05"/>
    <w:rsid w:val="00117CB2"/>
    <w:rsid w:val="00120B39"/>
    <w:rsid w:val="00120B8F"/>
    <w:rsid w:val="00120C0D"/>
    <w:rsid w:val="00120CC2"/>
    <w:rsid w:val="00120D10"/>
    <w:rsid w:val="00121167"/>
    <w:rsid w:val="0012370F"/>
    <w:rsid w:val="001238E5"/>
    <w:rsid w:val="001239CD"/>
    <w:rsid w:val="00123A2E"/>
    <w:rsid w:val="00123FEA"/>
    <w:rsid w:val="00124071"/>
    <w:rsid w:val="00124ED6"/>
    <w:rsid w:val="001253FB"/>
    <w:rsid w:val="00125EB4"/>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3AA8"/>
    <w:rsid w:val="001542D1"/>
    <w:rsid w:val="00154CB6"/>
    <w:rsid w:val="00156329"/>
    <w:rsid w:val="001568FD"/>
    <w:rsid w:val="001629AF"/>
    <w:rsid w:val="00162F21"/>
    <w:rsid w:val="00163D79"/>
    <w:rsid w:val="001645C9"/>
    <w:rsid w:val="00164D32"/>
    <w:rsid w:val="00164DA4"/>
    <w:rsid w:val="00166298"/>
    <w:rsid w:val="001663C8"/>
    <w:rsid w:val="00167CF6"/>
    <w:rsid w:val="00171F3E"/>
    <w:rsid w:val="0017211B"/>
    <w:rsid w:val="001728FC"/>
    <w:rsid w:val="00172A96"/>
    <w:rsid w:val="00172AB2"/>
    <w:rsid w:val="00174A09"/>
    <w:rsid w:val="00174D3D"/>
    <w:rsid w:val="00174E3F"/>
    <w:rsid w:val="0017563E"/>
    <w:rsid w:val="00175FA8"/>
    <w:rsid w:val="0017682B"/>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1F65"/>
    <w:rsid w:val="00193757"/>
    <w:rsid w:val="001946AC"/>
    <w:rsid w:val="00194940"/>
    <w:rsid w:val="00194E02"/>
    <w:rsid w:val="0019530E"/>
    <w:rsid w:val="00195C58"/>
    <w:rsid w:val="00195D34"/>
    <w:rsid w:val="00195F2E"/>
    <w:rsid w:val="00195F83"/>
    <w:rsid w:val="00196538"/>
    <w:rsid w:val="001A0219"/>
    <w:rsid w:val="001A16F3"/>
    <w:rsid w:val="001A280F"/>
    <w:rsid w:val="001A4982"/>
    <w:rsid w:val="001A4A8A"/>
    <w:rsid w:val="001A61B5"/>
    <w:rsid w:val="001A6A04"/>
    <w:rsid w:val="001B0C7B"/>
    <w:rsid w:val="001B1151"/>
    <w:rsid w:val="001B1DB4"/>
    <w:rsid w:val="001B2603"/>
    <w:rsid w:val="001B5865"/>
    <w:rsid w:val="001B59F0"/>
    <w:rsid w:val="001C0809"/>
    <w:rsid w:val="001C0ACD"/>
    <w:rsid w:val="001C1183"/>
    <w:rsid w:val="001C1F06"/>
    <w:rsid w:val="001C4978"/>
    <w:rsid w:val="001C5E5D"/>
    <w:rsid w:val="001C7AAE"/>
    <w:rsid w:val="001D0ED2"/>
    <w:rsid w:val="001D1D6B"/>
    <w:rsid w:val="001D25F3"/>
    <w:rsid w:val="001D3548"/>
    <w:rsid w:val="001D3751"/>
    <w:rsid w:val="001D38E9"/>
    <w:rsid w:val="001D3B01"/>
    <w:rsid w:val="001D4BB5"/>
    <w:rsid w:val="001D537B"/>
    <w:rsid w:val="001D6778"/>
    <w:rsid w:val="001D69F4"/>
    <w:rsid w:val="001E0A39"/>
    <w:rsid w:val="001E0B61"/>
    <w:rsid w:val="001E1276"/>
    <w:rsid w:val="001E1FD6"/>
    <w:rsid w:val="001E2949"/>
    <w:rsid w:val="001E44A3"/>
    <w:rsid w:val="001E5286"/>
    <w:rsid w:val="001E60EE"/>
    <w:rsid w:val="001E6734"/>
    <w:rsid w:val="001E6885"/>
    <w:rsid w:val="001F0509"/>
    <w:rsid w:val="001F12C4"/>
    <w:rsid w:val="001F22FA"/>
    <w:rsid w:val="001F285E"/>
    <w:rsid w:val="001F2D64"/>
    <w:rsid w:val="001F3812"/>
    <w:rsid w:val="001F3F2F"/>
    <w:rsid w:val="001F43D6"/>
    <w:rsid w:val="001F4BCA"/>
    <w:rsid w:val="001F67C2"/>
    <w:rsid w:val="0020016F"/>
    <w:rsid w:val="00200AE5"/>
    <w:rsid w:val="0020136C"/>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1533"/>
    <w:rsid w:val="00221BF0"/>
    <w:rsid w:val="00221F1A"/>
    <w:rsid w:val="002224A0"/>
    <w:rsid w:val="00223CCB"/>
    <w:rsid w:val="00223CD5"/>
    <w:rsid w:val="00223F5F"/>
    <w:rsid w:val="002265E2"/>
    <w:rsid w:val="0022698E"/>
    <w:rsid w:val="002276B4"/>
    <w:rsid w:val="00227912"/>
    <w:rsid w:val="002305D8"/>
    <w:rsid w:val="002311C3"/>
    <w:rsid w:val="002311EE"/>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C59"/>
    <w:rsid w:val="00250A1F"/>
    <w:rsid w:val="0025157C"/>
    <w:rsid w:val="00251918"/>
    <w:rsid w:val="002537EF"/>
    <w:rsid w:val="00254995"/>
    <w:rsid w:val="00255462"/>
    <w:rsid w:val="00256233"/>
    <w:rsid w:val="0025655C"/>
    <w:rsid w:val="00256BA9"/>
    <w:rsid w:val="00257D32"/>
    <w:rsid w:val="00260957"/>
    <w:rsid w:val="00262D9F"/>
    <w:rsid w:val="002643F9"/>
    <w:rsid w:val="00264646"/>
    <w:rsid w:val="0026468B"/>
    <w:rsid w:val="002663C7"/>
    <w:rsid w:val="00266D46"/>
    <w:rsid w:val="00267188"/>
    <w:rsid w:val="00267B63"/>
    <w:rsid w:val="00270455"/>
    <w:rsid w:val="00270DFB"/>
    <w:rsid w:val="00271BBD"/>
    <w:rsid w:val="0027215A"/>
    <w:rsid w:val="0027232D"/>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3E65"/>
    <w:rsid w:val="00294BD5"/>
    <w:rsid w:val="0029672A"/>
    <w:rsid w:val="00296998"/>
    <w:rsid w:val="00297B94"/>
    <w:rsid w:val="002A060A"/>
    <w:rsid w:val="002A2BEB"/>
    <w:rsid w:val="002A4450"/>
    <w:rsid w:val="002A4485"/>
    <w:rsid w:val="002A555B"/>
    <w:rsid w:val="002A60F1"/>
    <w:rsid w:val="002A6750"/>
    <w:rsid w:val="002B11AA"/>
    <w:rsid w:val="002B2296"/>
    <w:rsid w:val="002B28A9"/>
    <w:rsid w:val="002B3040"/>
    <w:rsid w:val="002B333B"/>
    <w:rsid w:val="002B4407"/>
    <w:rsid w:val="002B4E21"/>
    <w:rsid w:val="002B5411"/>
    <w:rsid w:val="002B67B7"/>
    <w:rsid w:val="002B75A1"/>
    <w:rsid w:val="002B7FD9"/>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4C3C"/>
    <w:rsid w:val="002D5320"/>
    <w:rsid w:val="002D6357"/>
    <w:rsid w:val="002D68D2"/>
    <w:rsid w:val="002D71CD"/>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78C"/>
    <w:rsid w:val="003159E5"/>
    <w:rsid w:val="00315A0E"/>
    <w:rsid w:val="003169F2"/>
    <w:rsid w:val="00320FE4"/>
    <w:rsid w:val="00322040"/>
    <w:rsid w:val="003228F9"/>
    <w:rsid w:val="003229AB"/>
    <w:rsid w:val="00323EAB"/>
    <w:rsid w:val="003240B8"/>
    <w:rsid w:val="003247AF"/>
    <w:rsid w:val="00324AE2"/>
    <w:rsid w:val="00325422"/>
    <w:rsid w:val="003258AF"/>
    <w:rsid w:val="00325A3F"/>
    <w:rsid w:val="003268C2"/>
    <w:rsid w:val="00326BC5"/>
    <w:rsid w:val="00331EB6"/>
    <w:rsid w:val="00333FDA"/>
    <w:rsid w:val="003340DE"/>
    <w:rsid w:val="00334887"/>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3D65"/>
    <w:rsid w:val="0035408E"/>
    <w:rsid w:val="003542D3"/>
    <w:rsid w:val="003553F8"/>
    <w:rsid w:val="00355A2F"/>
    <w:rsid w:val="00356024"/>
    <w:rsid w:val="0035728C"/>
    <w:rsid w:val="00357853"/>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679AF"/>
    <w:rsid w:val="003708B3"/>
    <w:rsid w:val="00370962"/>
    <w:rsid w:val="00371DCB"/>
    <w:rsid w:val="0037352F"/>
    <w:rsid w:val="00373AB4"/>
    <w:rsid w:val="00374099"/>
    <w:rsid w:val="003743C4"/>
    <w:rsid w:val="003755FB"/>
    <w:rsid w:val="0037577C"/>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2FA"/>
    <w:rsid w:val="003B26B5"/>
    <w:rsid w:val="003B2CB6"/>
    <w:rsid w:val="003B2E21"/>
    <w:rsid w:val="003B30D8"/>
    <w:rsid w:val="003B3617"/>
    <w:rsid w:val="003B38FD"/>
    <w:rsid w:val="003B42D9"/>
    <w:rsid w:val="003B6445"/>
    <w:rsid w:val="003B7849"/>
    <w:rsid w:val="003C01ED"/>
    <w:rsid w:val="003C06D8"/>
    <w:rsid w:val="003C2620"/>
    <w:rsid w:val="003C29DA"/>
    <w:rsid w:val="003C3140"/>
    <w:rsid w:val="003C3E02"/>
    <w:rsid w:val="003C3FE8"/>
    <w:rsid w:val="003C5150"/>
    <w:rsid w:val="003C73F9"/>
    <w:rsid w:val="003C7940"/>
    <w:rsid w:val="003D2152"/>
    <w:rsid w:val="003D330B"/>
    <w:rsid w:val="003D3FE9"/>
    <w:rsid w:val="003D5F07"/>
    <w:rsid w:val="003D69C7"/>
    <w:rsid w:val="003D6AB5"/>
    <w:rsid w:val="003D75DC"/>
    <w:rsid w:val="003E02E7"/>
    <w:rsid w:val="003E071C"/>
    <w:rsid w:val="003E253D"/>
    <w:rsid w:val="003E34AB"/>
    <w:rsid w:val="003E3FF5"/>
    <w:rsid w:val="003E4B34"/>
    <w:rsid w:val="003E5354"/>
    <w:rsid w:val="003E5C36"/>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3D6E"/>
    <w:rsid w:val="00405083"/>
    <w:rsid w:val="00405C4E"/>
    <w:rsid w:val="004064EA"/>
    <w:rsid w:val="00406897"/>
    <w:rsid w:val="00407AC0"/>
    <w:rsid w:val="0041061C"/>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16B9"/>
    <w:rsid w:val="004222F5"/>
    <w:rsid w:val="00422C55"/>
    <w:rsid w:val="00423004"/>
    <w:rsid w:val="00423310"/>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4061D"/>
    <w:rsid w:val="004408CD"/>
    <w:rsid w:val="00440BEA"/>
    <w:rsid w:val="004411B9"/>
    <w:rsid w:val="00441207"/>
    <w:rsid w:val="00441462"/>
    <w:rsid w:val="0044189B"/>
    <w:rsid w:val="004422CA"/>
    <w:rsid w:val="00442CDF"/>
    <w:rsid w:val="00443807"/>
    <w:rsid w:val="004449AC"/>
    <w:rsid w:val="0044511F"/>
    <w:rsid w:val="004462F7"/>
    <w:rsid w:val="00450768"/>
    <w:rsid w:val="004516D0"/>
    <w:rsid w:val="00454F06"/>
    <w:rsid w:val="0045650D"/>
    <w:rsid w:val="00457E8A"/>
    <w:rsid w:val="0046019D"/>
    <w:rsid w:val="004626A5"/>
    <w:rsid w:val="0046361F"/>
    <w:rsid w:val="00464536"/>
    <w:rsid w:val="0046514E"/>
    <w:rsid w:val="00465716"/>
    <w:rsid w:val="0046623C"/>
    <w:rsid w:val="004672EE"/>
    <w:rsid w:val="00467739"/>
    <w:rsid w:val="00470391"/>
    <w:rsid w:val="00470472"/>
    <w:rsid w:val="00470D0C"/>
    <w:rsid w:val="00471AAB"/>
    <w:rsid w:val="00471EAB"/>
    <w:rsid w:val="004722BA"/>
    <w:rsid w:val="00474E22"/>
    <w:rsid w:val="00475D86"/>
    <w:rsid w:val="0047608F"/>
    <w:rsid w:val="004762EF"/>
    <w:rsid w:val="00476554"/>
    <w:rsid w:val="004765F6"/>
    <w:rsid w:val="00476E70"/>
    <w:rsid w:val="004770D4"/>
    <w:rsid w:val="0047739F"/>
    <w:rsid w:val="004813D4"/>
    <w:rsid w:val="00482DB7"/>
    <w:rsid w:val="00483108"/>
    <w:rsid w:val="0048456B"/>
    <w:rsid w:val="00485279"/>
    <w:rsid w:val="004861C3"/>
    <w:rsid w:val="00487FD3"/>
    <w:rsid w:val="004912CE"/>
    <w:rsid w:val="00491D91"/>
    <w:rsid w:val="00492DCE"/>
    <w:rsid w:val="0049580C"/>
    <w:rsid w:val="00496874"/>
    <w:rsid w:val="0049768F"/>
    <w:rsid w:val="004A04E5"/>
    <w:rsid w:val="004A04EE"/>
    <w:rsid w:val="004A0768"/>
    <w:rsid w:val="004A13AE"/>
    <w:rsid w:val="004A1495"/>
    <w:rsid w:val="004A17BE"/>
    <w:rsid w:val="004A1C0F"/>
    <w:rsid w:val="004A2089"/>
    <w:rsid w:val="004A2165"/>
    <w:rsid w:val="004A3E61"/>
    <w:rsid w:val="004A4993"/>
    <w:rsid w:val="004A5084"/>
    <w:rsid w:val="004A5F74"/>
    <w:rsid w:val="004A7071"/>
    <w:rsid w:val="004B0043"/>
    <w:rsid w:val="004B04C8"/>
    <w:rsid w:val="004B1052"/>
    <w:rsid w:val="004B35AF"/>
    <w:rsid w:val="004B59A8"/>
    <w:rsid w:val="004B604A"/>
    <w:rsid w:val="004B6A8C"/>
    <w:rsid w:val="004B6B14"/>
    <w:rsid w:val="004C07BB"/>
    <w:rsid w:val="004C324B"/>
    <w:rsid w:val="004C3390"/>
    <w:rsid w:val="004C3AD9"/>
    <w:rsid w:val="004C4E4F"/>
    <w:rsid w:val="004C57CC"/>
    <w:rsid w:val="004C68A0"/>
    <w:rsid w:val="004C748A"/>
    <w:rsid w:val="004D0897"/>
    <w:rsid w:val="004D0AF9"/>
    <w:rsid w:val="004D1201"/>
    <w:rsid w:val="004D1D7C"/>
    <w:rsid w:val="004D227B"/>
    <w:rsid w:val="004D2D46"/>
    <w:rsid w:val="004D3155"/>
    <w:rsid w:val="004D3E98"/>
    <w:rsid w:val="004D5395"/>
    <w:rsid w:val="004D5EDC"/>
    <w:rsid w:val="004D61A6"/>
    <w:rsid w:val="004D78E9"/>
    <w:rsid w:val="004E1BB9"/>
    <w:rsid w:val="004E31FF"/>
    <w:rsid w:val="004E32F2"/>
    <w:rsid w:val="004E47EC"/>
    <w:rsid w:val="004E514F"/>
    <w:rsid w:val="004E638F"/>
    <w:rsid w:val="004E6E06"/>
    <w:rsid w:val="004E737F"/>
    <w:rsid w:val="004E7D5B"/>
    <w:rsid w:val="004F0378"/>
    <w:rsid w:val="004F03DE"/>
    <w:rsid w:val="004F1674"/>
    <w:rsid w:val="004F22DA"/>
    <w:rsid w:val="004F2512"/>
    <w:rsid w:val="004F2B86"/>
    <w:rsid w:val="004F315D"/>
    <w:rsid w:val="004F40B5"/>
    <w:rsid w:val="004F428B"/>
    <w:rsid w:val="004F547D"/>
    <w:rsid w:val="00500E33"/>
    <w:rsid w:val="00502165"/>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1849"/>
    <w:rsid w:val="00532271"/>
    <w:rsid w:val="005351B9"/>
    <w:rsid w:val="00536011"/>
    <w:rsid w:val="005369AC"/>
    <w:rsid w:val="00537F9D"/>
    <w:rsid w:val="00540006"/>
    <w:rsid w:val="00543903"/>
    <w:rsid w:val="00543C89"/>
    <w:rsid w:val="0054498C"/>
    <w:rsid w:val="00544FD6"/>
    <w:rsid w:val="00545A45"/>
    <w:rsid w:val="00545CD4"/>
    <w:rsid w:val="00545DB1"/>
    <w:rsid w:val="0054659E"/>
    <w:rsid w:val="005465B4"/>
    <w:rsid w:val="005466AD"/>
    <w:rsid w:val="00547606"/>
    <w:rsid w:val="005500C7"/>
    <w:rsid w:val="00550B79"/>
    <w:rsid w:val="0055150B"/>
    <w:rsid w:val="005519A7"/>
    <w:rsid w:val="0055230F"/>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74"/>
    <w:rsid w:val="00565FD3"/>
    <w:rsid w:val="0056603A"/>
    <w:rsid w:val="00566299"/>
    <w:rsid w:val="00566B47"/>
    <w:rsid w:val="00567984"/>
    <w:rsid w:val="005707D2"/>
    <w:rsid w:val="00571B4B"/>
    <w:rsid w:val="005722F6"/>
    <w:rsid w:val="005725F6"/>
    <w:rsid w:val="005749CC"/>
    <w:rsid w:val="00574DB8"/>
    <w:rsid w:val="00576197"/>
    <w:rsid w:val="005772AA"/>
    <w:rsid w:val="005802AF"/>
    <w:rsid w:val="00581B06"/>
    <w:rsid w:val="005829DD"/>
    <w:rsid w:val="00583C85"/>
    <w:rsid w:val="00586817"/>
    <w:rsid w:val="00586D92"/>
    <w:rsid w:val="00586FB7"/>
    <w:rsid w:val="00587507"/>
    <w:rsid w:val="00587939"/>
    <w:rsid w:val="00591466"/>
    <w:rsid w:val="005922FA"/>
    <w:rsid w:val="00593755"/>
    <w:rsid w:val="00593A99"/>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1C8B"/>
    <w:rsid w:val="005B2141"/>
    <w:rsid w:val="005B28C5"/>
    <w:rsid w:val="005B2F1E"/>
    <w:rsid w:val="005B36E8"/>
    <w:rsid w:val="005B4219"/>
    <w:rsid w:val="005B47E8"/>
    <w:rsid w:val="005B5606"/>
    <w:rsid w:val="005B5D1F"/>
    <w:rsid w:val="005B6E15"/>
    <w:rsid w:val="005B7A67"/>
    <w:rsid w:val="005C07F7"/>
    <w:rsid w:val="005C0E58"/>
    <w:rsid w:val="005C10E3"/>
    <w:rsid w:val="005C2FD5"/>
    <w:rsid w:val="005C31EB"/>
    <w:rsid w:val="005C399D"/>
    <w:rsid w:val="005C3F5A"/>
    <w:rsid w:val="005C4EFD"/>
    <w:rsid w:val="005C5378"/>
    <w:rsid w:val="005C7D13"/>
    <w:rsid w:val="005C7F30"/>
    <w:rsid w:val="005D08D2"/>
    <w:rsid w:val="005D10FF"/>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108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FF1"/>
    <w:rsid w:val="0061747B"/>
    <w:rsid w:val="00617B95"/>
    <w:rsid w:val="00620B76"/>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586F"/>
    <w:rsid w:val="00647E2D"/>
    <w:rsid w:val="006503E8"/>
    <w:rsid w:val="00650570"/>
    <w:rsid w:val="0065104F"/>
    <w:rsid w:val="00652143"/>
    <w:rsid w:val="00652747"/>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D90"/>
    <w:rsid w:val="00676500"/>
    <w:rsid w:val="006770DB"/>
    <w:rsid w:val="00677350"/>
    <w:rsid w:val="00680771"/>
    <w:rsid w:val="00680F4B"/>
    <w:rsid w:val="0068139E"/>
    <w:rsid w:val="006818A8"/>
    <w:rsid w:val="00681A51"/>
    <w:rsid w:val="00682424"/>
    <w:rsid w:val="00682469"/>
    <w:rsid w:val="0068337B"/>
    <w:rsid w:val="00683D97"/>
    <w:rsid w:val="00684FCA"/>
    <w:rsid w:val="00685B44"/>
    <w:rsid w:val="00685E4A"/>
    <w:rsid w:val="00686B5C"/>
    <w:rsid w:val="00686F01"/>
    <w:rsid w:val="006871F0"/>
    <w:rsid w:val="006872D9"/>
    <w:rsid w:val="00691BFE"/>
    <w:rsid w:val="0069232B"/>
    <w:rsid w:val="00692850"/>
    <w:rsid w:val="0069347D"/>
    <w:rsid w:val="0069418C"/>
    <w:rsid w:val="00694FE9"/>
    <w:rsid w:val="0069620F"/>
    <w:rsid w:val="00696997"/>
    <w:rsid w:val="006A02D6"/>
    <w:rsid w:val="006A1FE8"/>
    <w:rsid w:val="006A22B6"/>
    <w:rsid w:val="006A37FF"/>
    <w:rsid w:val="006A4295"/>
    <w:rsid w:val="006A6375"/>
    <w:rsid w:val="006A684C"/>
    <w:rsid w:val="006A6D0E"/>
    <w:rsid w:val="006A758C"/>
    <w:rsid w:val="006B1D18"/>
    <w:rsid w:val="006B2718"/>
    <w:rsid w:val="006B4493"/>
    <w:rsid w:val="006B72FB"/>
    <w:rsid w:val="006C0744"/>
    <w:rsid w:val="006C0C51"/>
    <w:rsid w:val="006C0F46"/>
    <w:rsid w:val="006C1271"/>
    <w:rsid w:val="006C1EE9"/>
    <w:rsid w:val="006C1EEC"/>
    <w:rsid w:val="006C352C"/>
    <w:rsid w:val="006C3C12"/>
    <w:rsid w:val="006C3FEA"/>
    <w:rsid w:val="006C65E9"/>
    <w:rsid w:val="006C69E7"/>
    <w:rsid w:val="006D10AE"/>
    <w:rsid w:val="006D1E54"/>
    <w:rsid w:val="006D24DC"/>
    <w:rsid w:val="006D29F2"/>
    <w:rsid w:val="006D3AFE"/>
    <w:rsid w:val="006D4CAB"/>
    <w:rsid w:val="006D6983"/>
    <w:rsid w:val="006D6F85"/>
    <w:rsid w:val="006D71F9"/>
    <w:rsid w:val="006D7CA2"/>
    <w:rsid w:val="006E025F"/>
    <w:rsid w:val="006E065B"/>
    <w:rsid w:val="006E09D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0817"/>
    <w:rsid w:val="00701994"/>
    <w:rsid w:val="00702493"/>
    <w:rsid w:val="007034D1"/>
    <w:rsid w:val="0070417A"/>
    <w:rsid w:val="0070676F"/>
    <w:rsid w:val="00706A77"/>
    <w:rsid w:val="00707EC3"/>
    <w:rsid w:val="0071035D"/>
    <w:rsid w:val="007109EA"/>
    <w:rsid w:val="00710D4D"/>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3BF"/>
    <w:rsid w:val="00740561"/>
    <w:rsid w:val="007405F1"/>
    <w:rsid w:val="0074109C"/>
    <w:rsid w:val="0074124E"/>
    <w:rsid w:val="00742335"/>
    <w:rsid w:val="00742842"/>
    <w:rsid w:val="0074492D"/>
    <w:rsid w:val="00745E99"/>
    <w:rsid w:val="0074620D"/>
    <w:rsid w:val="00746D93"/>
    <w:rsid w:val="00747B17"/>
    <w:rsid w:val="00751216"/>
    <w:rsid w:val="007516A1"/>
    <w:rsid w:val="00753376"/>
    <w:rsid w:val="00753909"/>
    <w:rsid w:val="007543B0"/>
    <w:rsid w:val="007556B5"/>
    <w:rsid w:val="007568A9"/>
    <w:rsid w:val="00756DEC"/>
    <w:rsid w:val="00761514"/>
    <w:rsid w:val="00761CF7"/>
    <w:rsid w:val="0076267A"/>
    <w:rsid w:val="00763C22"/>
    <w:rsid w:val="00763CE7"/>
    <w:rsid w:val="00764885"/>
    <w:rsid w:val="007661BD"/>
    <w:rsid w:val="00767793"/>
    <w:rsid w:val="00770127"/>
    <w:rsid w:val="0077168C"/>
    <w:rsid w:val="00771830"/>
    <w:rsid w:val="0077187D"/>
    <w:rsid w:val="00772177"/>
    <w:rsid w:val="0077265F"/>
    <w:rsid w:val="00772B76"/>
    <w:rsid w:val="00774B7C"/>
    <w:rsid w:val="0077576E"/>
    <w:rsid w:val="00775C65"/>
    <w:rsid w:val="0077639A"/>
    <w:rsid w:val="007774C6"/>
    <w:rsid w:val="007800AF"/>
    <w:rsid w:val="0078100C"/>
    <w:rsid w:val="0078157F"/>
    <w:rsid w:val="0078185E"/>
    <w:rsid w:val="00782799"/>
    <w:rsid w:val="00783D3B"/>
    <w:rsid w:val="0078470C"/>
    <w:rsid w:val="00784FFE"/>
    <w:rsid w:val="00786F48"/>
    <w:rsid w:val="0078772C"/>
    <w:rsid w:val="00787866"/>
    <w:rsid w:val="007878E4"/>
    <w:rsid w:val="0079090E"/>
    <w:rsid w:val="00792289"/>
    <w:rsid w:val="00792396"/>
    <w:rsid w:val="0079267C"/>
    <w:rsid w:val="0079419B"/>
    <w:rsid w:val="0079552B"/>
    <w:rsid w:val="00795E1B"/>
    <w:rsid w:val="007963BD"/>
    <w:rsid w:val="00796FED"/>
    <w:rsid w:val="007A0169"/>
    <w:rsid w:val="007A0298"/>
    <w:rsid w:val="007A0505"/>
    <w:rsid w:val="007A1190"/>
    <w:rsid w:val="007A1B38"/>
    <w:rsid w:val="007A1D1F"/>
    <w:rsid w:val="007A2779"/>
    <w:rsid w:val="007A4783"/>
    <w:rsid w:val="007A5191"/>
    <w:rsid w:val="007A647F"/>
    <w:rsid w:val="007A6ED6"/>
    <w:rsid w:val="007B032F"/>
    <w:rsid w:val="007B0500"/>
    <w:rsid w:val="007B111B"/>
    <w:rsid w:val="007B1441"/>
    <w:rsid w:val="007B25E8"/>
    <w:rsid w:val="007B25FE"/>
    <w:rsid w:val="007B28E4"/>
    <w:rsid w:val="007B374F"/>
    <w:rsid w:val="007B3AE8"/>
    <w:rsid w:val="007B4418"/>
    <w:rsid w:val="007B5BFA"/>
    <w:rsid w:val="007B5DAC"/>
    <w:rsid w:val="007B5F62"/>
    <w:rsid w:val="007B625E"/>
    <w:rsid w:val="007B66B3"/>
    <w:rsid w:val="007B7077"/>
    <w:rsid w:val="007B73FD"/>
    <w:rsid w:val="007C1042"/>
    <w:rsid w:val="007C20B1"/>
    <w:rsid w:val="007C3003"/>
    <w:rsid w:val="007C5403"/>
    <w:rsid w:val="007C5923"/>
    <w:rsid w:val="007C69BD"/>
    <w:rsid w:val="007C6B60"/>
    <w:rsid w:val="007C6F85"/>
    <w:rsid w:val="007C7871"/>
    <w:rsid w:val="007C7B99"/>
    <w:rsid w:val="007C7D88"/>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7358"/>
    <w:rsid w:val="007F766C"/>
    <w:rsid w:val="007F77B2"/>
    <w:rsid w:val="007F7883"/>
    <w:rsid w:val="008001AC"/>
    <w:rsid w:val="00800499"/>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6A5E"/>
    <w:rsid w:val="00816C67"/>
    <w:rsid w:val="00817B30"/>
    <w:rsid w:val="00820209"/>
    <w:rsid w:val="00820F35"/>
    <w:rsid w:val="00820FEC"/>
    <w:rsid w:val="00821F27"/>
    <w:rsid w:val="0082393D"/>
    <w:rsid w:val="008239D1"/>
    <w:rsid w:val="008239D9"/>
    <w:rsid w:val="00823DE0"/>
    <w:rsid w:val="00824BFC"/>
    <w:rsid w:val="00824FAC"/>
    <w:rsid w:val="00830821"/>
    <w:rsid w:val="00831BC7"/>
    <w:rsid w:val="00832177"/>
    <w:rsid w:val="0083324D"/>
    <w:rsid w:val="008350A0"/>
    <w:rsid w:val="0083551E"/>
    <w:rsid w:val="00835642"/>
    <w:rsid w:val="00840600"/>
    <w:rsid w:val="00841733"/>
    <w:rsid w:val="00842484"/>
    <w:rsid w:val="00843447"/>
    <w:rsid w:val="00844764"/>
    <w:rsid w:val="00844A1A"/>
    <w:rsid w:val="00844D38"/>
    <w:rsid w:val="00844D85"/>
    <w:rsid w:val="008450D6"/>
    <w:rsid w:val="0084563E"/>
    <w:rsid w:val="00845D6B"/>
    <w:rsid w:val="00850E71"/>
    <w:rsid w:val="00851B6E"/>
    <w:rsid w:val="008524BE"/>
    <w:rsid w:val="0085269A"/>
    <w:rsid w:val="0085306F"/>
    <w:rsid w:val="00853243"/>
    <w:rsid w:val="008537C9"/>
    <w:rsid w:val="00853BC2"/>
    <w:rsid w:val="00853C7E"/>
    <w:rsid w:val="00854278"/>
    <w:rsid w:val="00854AC0"/>
    <w:rsid w:val="00855E31"/>
    <w:rsid w:val="00856063"/>
    <w:rsid w:val="008566B2"/>
    <w:rsid w:val="00857172"/>
    <w:rsid w:val="00860DE4"/>
    <w:rsid w:val="0086236A"/>
    <w:rsid w:val="0086569A"/>
    <w:rsid w:val="0086581C"/>
    <w:rsid w:val="00866FC8"/>
    <w:rsid w:val="00867A36"/>
    <w:rsid w:val="00867C3F"/>
    <w:rsid w:val="00870002"/>
    <w:rsid w:val="008702A8"/>
    <w:rsid w:val="0087035A"/>
    <w:rsid w:val="00870517"/>
    <w:rsid w:val="00870FD4"/>
    <w:rsid w:val="00871A61"/>
    <w:rsid w:val="008726DF"/>
    <w:rsid w:val="00872B3E"/>
    <w:rsid w:val="0087347D"/>
    <w:rsid w:val="00873CA1"/>
    <w:rsid w:val="00876F90"/>
    <w:rsid w:val="00877B0B"/>
    <w:rsid w:val="00880121"/>
    <w:rsid w:val="00881F6E"/>
    <w:rsid w:val="00882DAD"/>
    <w:rsid w:val="008843F5"/>
    <w:rsid w:val="00884F32"/>
    <w:rsid w:val="00885263"/>
    <w:rsid w:val="008868A8"/>
    <w:rsid w:val="00886EAF"/>
    <w:rsid w:val="00887EE1"/>
    <w:rsid w:val="008902F2"/>
    <w:rsid w:val="00890D93"/>
    <w:rsid w:val="00892DA5"/>
    <w:rsid w:val="00892FA4"/>
    <w:rsid w:val="00893AAE"/>
    <w:rsid w:val="00893C9B"/>
    <w:rsid w:val="008949B1"/>
    <w:rsid w:val="00895391"/>
    <w:rsid w:val="00895ADC"/>
    <w:rsid w:val="00895D15"/>
    <w:rsid w:val="0089664B"/>
    <w:rsid w:val="00896DA2"/>
    <w:rsid w:val="00896E2B"/>
    <w:rsid w:val="0089713E"/>
    <w:rsid w:val="008972AA"/>
    <w:rsid w:val="00897829"/>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74D8"/>
    <w:rsid w:val="008B7A43"/>
    <w:rsid w:val="008B7C3A"/>
    <w:rsid w:val="008C09C4"/>
    <w:rsid w:val="008C14EA"/>
    <w:rsid w:val="008C1598"/>
    <w:rsid w:val="008C1F44"/>
    <w:rsid w:val="008C646F"/>
    <w:rsid w:val="008C71F0"/>
    <w:rsid w:val="008C7864"/>
    <w:rsid w:val="008C7AF2"/>
    <w:rsid w:val="008D1072"/>
    <w:rsid w:val="008D15B6"/>
    <w:rsid w:val="008D1BE5"/>
    <w:rsid w:val="008D2AC2"/>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17AB"/>
    <w:rsid w:val="009238F7"/>
    <w:rsid w:val="00923C63"/>
    <w:rsid w:val="00924605"/>
    <w:rsid w:val="009247F5"/>
    <w:rsid w:val="00924966"/>
    <w:rsid w:val="00925717"/>
    <w:rsid w:val="00926AB2"/>
    <w:rsid w:val="00926FBD"/>
    <w:rsid w:val="00927C5C"/>
    <w:rsid w:val="00927CEF"/>
    <w:rsid w:val="009315B0"/>
    <w:rsid w:val="00931CB5"/>
    <w:rsid w:val="00931F26"/>
    <w:rsid w:val="00932B80"/>
    <w:rsid w:val="00932FF5"/>
    <w:rsid w:val="0093409F"/>
    <w:rsid w:val="009356BA"/>
    <w:rsid w:val="009373D3"/>
    <w:rsid w:val="00937995"/>
    <w:rsid w:val="009407FE"/>
    <w:rsid w:val="0094111C"/>
    <w:rsid w:val="00941E3E"/>
    <w:rsid w:val="00942436"/>
    <w:rsid w:val="00943263"/>
    <w:rsid w:val="00945F18"/>
    <w:rsid w:val="009479D1"/>
    <w:rsid w:val="00951719"/>
    <w:rsid w:val="009535DE"/>
    <w:rsid w:val="0095361B"/>
    <w:rsid w:val="00953D70"/>
    <w:rsid w:val="00953EE0"/>
    <w:rsid w:val="00954A61"/>
    <w:rsid w:val="00954E70"/>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1B48"/>
    <w:rsid w:val="00972AA3"/>
    <w:rsid w:val="00972ECE"/>
    <w:rsid w:val="009734B3"/>
    <w:rsid w:val="00974E79"/>
    <w:rsid w:val="009757D1"/>
    <w:rsid w:val="00975EB9"/>
    <w:rsid w:val="0097646A"/>
    <w:rsid w:val="00980754"/>
    <w:rsid w:val="00980975"/>
    <w:rsid w:val="00981535"/>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4E89"/>
    <w:rsid w:val="009A5F65"/>
    <w:rsid w:val="009B0054"/>
    <w:rsid w:val="009B03DF"/>
    <w:rsid w:val="009B1766"/>
    <w:rsid w:val="009B208D"/>
    <w:rsid w:val="009B2A33"/>
    <w:rsid w:val="009B3192"/>
    <w:rsid w:val="009B38A6"/>
    <w:rsid w:val="009B6AF0"/>
    <w:rsid w:val="009B6F99"/>
    <w:rsid w:val="009C09F3"/>
    <w:rsid w:val="009C0CEE"/>
    <w:rsid w:val="009C128C"/>
    <w:rsid w:val="009C1FC8"/>
    <w:rsid w:val="009C292D"/>
    <w:rsid w:val="009C3747"/>
    <w:rsid w:val="009C4C87"/>
    <w:rsid w:val="009C56F0"/>
    <w:rsid w:val="009C5F0C"/>
    <w:rsid w:val="009C67C0"/>
    <w:rsid w:val="009C6C4B"/>
    <w:rsid w:val="009C6EB0"/>
    <w:rsid w:val="009D1035"/>
    <w:rsid w:val="009D13D0"/>
    <w:rsid w:val="009D1B09"/>
    <w:rsid w:val="009D1E5D"/>
    <w:rsid w:val="009D2068"/>
    <w:rsid w:val="009D3D3E"/>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423D"/>
    <w:rsid w:val="009F47E8"/>
    <w:rsid w:val="009F4ABA"/>
    <w:rsid w:val="009F55FF"/>
    <w:rsid w:val="009F67A9"/>
    <w:rsid w:val="009F71BE"/>
    <w:rsid w:val="009F7706"/>
    <w:rsid w:val="00A00317"/>
    <w:rsid w:val="00A02D14"/>
    <w:rsid w:val="00A02E64"/>
    <w:rsid w:val="00A046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0A39"/>
    <w:rsid w:val="00A31B93"/>
    <w:rsid w:val="00A32EB7"/>
    <w:rsid w:val="00A34C4D"/>
    <w:rsid w:val="00A34E06"/>
    <w:rsid w:val="00A34FFC"/>
    <w:rsid w:val="00A35D32"/>
    <w:rsid w:val="00A375EF"/>
    <w:rsid w:val="00A376BB"/>
    <w:rsid w:val="00A42061"/>
    <w:rsid w:val="00A42360"/>
    <w:rsid w:val="00A430ED"/>
    <w:rsid w:val="00A4342E"/>
    <w:rsid w:val="00A455A4"/>
    <w:rsid w:val="00A4578E"/>
    <w:rsid w:val="00A45FA3"/>
    <w:rsid w:val="00A465C1"/>
    <w:rsid w:val="00A47EAC"/>
    <w:rsid w:val="00A508FB"/>
    <w:rsid w:val="00A517B6"/>
    <w:rsid w:val="00A52333"/>
    <w:rsid w:val="00A528C2"/>
    <w:rsid w:val="00A53BEB"/>
    <w:rsid w:val="00A53E55"/>
    <w:rsid w:val="00A5433A"/>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ACB"/>
    <w:rsid w:val="00A81058"/>
    <w:rsid w:val="00A81527"/>
    <w:rsid w:val="00A82058"/>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633"/>
    <w:rsid w:val="00A95617"/>
    <w:rsid w:val="00A96603"/>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497"/>
    <w:rsid w:val="00AC7650"/>
    <w:rsid w:val="00AD039F"/>
    <w:rsid w:val="00AD0F88"/>
    <w:rsid w:val="00AD3902"/>
    <w:rsid w:val="00AD3A93"/>
    <w:rsid w:val="00AD3C07"/>
    <w:rsid w:val="00AD57F8"/>
    <w:rsid w:val="00AD5833"/>
    <w:rsid w:val="00AD5B73"/>
    <w:rsid w:val="00AD6010"/>
    <w:rsid w:val="00AE09A7"/>
    <w:rsid w:val="00AE33FF"/>
    <w:rsid w:val="00AE498D"/>
    <w:rsid w:val="00AE4B14"/>
    <w:rsid w:val="00AE4F6D"/>
    <w:rsid w:val="00AE5E94"/>
    <w:rsid w:val="00AE741F"/>
    <w:rsid w:val="00AF026B"/>
    <w:rsid w:val="00AF02BF"/>
    <w:rsid w:val="00AF06D5"/>
    <w:rsid w:val="00AF09DD"/>
    <w:rsid w:val="00AF246B"/>
    <w:rsid w:val="00AF26B5"/>
    <w:rsid w:val="00AF31C3"/>
    <w:rsid w:val="00AF5B2F"/>
    <w:rsid w:val="00AF6446"/>
    <w:rsid w:val="00AF712A"/>
    <w:rsid w:val="00AF7DB4"/>
    <w:rsid w:val="00B00105"/>
    <w:rsid w:val="00B00C02"/>
    <w:rsid w:val="00B01A94"/>
    <w:rsid w:val="00B02655"/>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677"/>
    <w:rsid w:val="00B25E56"/>
    <w:rsid w:val="00B25ED6"/>
    <w:rsid w:val="00B26109"/>
    <w:rsid w:val="00B26DE7"/>
    <w:rsid w:val="00B3057E"/>
    <w:rsid w:val="00B3064D"/>
    <w:rsid w:val="00B31B9C"/>
    <w:rsid w:val="00B333F2"/>
    <w:rsid w:val="00B33653"/>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1530"/>
    <w:rsid w:val="00B9153C"/>
    <w:rsid w:val="00B92D7C"/>
    <w:rsid w:val="00B9355C"/>
    <w:rsid w:val="00B94786"/>
    <w:rsid w:val="00B9486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683B"/>
    <w:rsid w:val="00BB6D2B"/>
    <w:rsid w:val="00BB79BD"/>
    <w:rsid w:val="00BC0422"/>
    <w:rsid w:val="00BC10E6"/>
    <w:rsid w:val="00BC3516"/>
    <w:rsid w:val="00BC55A3"/>
    <w:rsid w:val="00BC5A72"/>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2D2A"/>
    <w:rsid w:val="00BE5393"/>
    <w:rsid w:val="00BE5435"/>
    <w:rsid w:val="00BE5C7D"/>
    <w:rsid w:val="00BE6BD1"/>
    <w:rsid w:val="00BF0AD0"/>
    <w:rsid w:val="00BF1EA0"/>
    <w:rsid w:val="00BF4BED"/>
    <w:rsid w:val="00BF5DA3"/>
    <w:rsid w:val="00BF5DF9"/>
    <w:rsid w:val="00BF68F0"/>
    <w:rsid w:val="00BF697A"/>
    <w:rsid w:val="00BF6A0A"/>
    <w:rsid w:val="00BF6ADB"/>
    <w:rsid w:val="00BF6D5A"/>
    <w:rsid w:val="00BF74B5"/>
    <w:rsid w:val="00C00DFE"/>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1732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37AD6"/>
    <w:rsid w:val="00C427CE"/>
    <w:rsid w:val="00C429B0"/>
    <w:rsid w:val="00C42E1E"/>
    <w:rsid w:val="00C4337B"/>
    <w:rsid w:val="00C44719"/>
    <w:rsid w:val="00C44A9B"/>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C8D"/>
    <w:rsid w:val="00C81DE1"/>
    <w:rsid w:val="00C8255A"/>
    <w:rsid w:val="00C82FC8"/>
    <w:rsid w:val="00C837C3"/>
    <w:rsid w:val="00C84497"/>
    <w:rsid w:val="00C868F6"/>
    <w:rsid w:val="00C86953"/>
    <w:rsid w:val="00C90BF2"/>
    <w:rsid w:val="00C9137C"/>
    <w:rsid w:val="00C91644"/>
    <w:rsid w:val="00C930D3"/>
    <w:rsid w:val="00C9443A"/>
    <w:rsid w:val="00C9663B"/>
    <w:rsid w:val="00CA10FF"/>
    <w:rsid w:val="00CA1356"/>
    <w:rsid w:val="00CA269E"/>
    <w:rsid w:val="00CA2E99"/>
    <w:rsid w:val="00CA35C7"/>
    <w:rsid w:val="00CA3669"/>
    <w:rsid w:val="00CA43A5"/>
    <w:rsid w:val="00CA4960"/>
    <w:rsid w:val="00CA5FDE"/>
    <w:rsid w:val="00CA63F0"/>
    <w:rsid w:val="00CA67AD"/>
    <w:rsid w:val="00CA7C0B"/>
    <w:rsid w:val="00CA7F1D"/>
    <w:rsid w:val="00CB0C1D"/>
    <w:rsid w:val="00CB0C94"/>
    <w:rsid w:val="00CB18EB"/>
    <w:rsid w:val="00CB18FC"/>
    <w:rsid w:val="00CB2039"/>
    <w:rsid w:val="00CB21D2"/>
    <w:rsid w:val="00CB2301"/>
    <w:rsid w:val="00CB244C"/>
    <w:rsid w:val="00CB50CC"/>
    <w:rsid w:val="00CB56AB"/>
    <w:rsid w:val="00CB65BF"/>
    <w:rsid w:val="00CB6E2B"/>
    <w:rsid w:val="00CB6FF7"/>
    <w:rsid w:val="00CB7302"/>
    <w:rsid w:val="00CB792D"/>
    <w:rsid w:val="00CC010F"/>
    <w:rsid w:val="00CC1E9F"/>
    <w:rsid w:val="00CC505E"/>
    <w:rsid w:val="00CC5896"/>
    <w:rsid w:val="00CC6F89"/>
    <w:rsid w:val="00CD045F"/>
    <w:rsid w:val="00CD12FE"/>
    <w:rsid w:val="00CD2B54"/>
    <w:rsid w:val="00CD4158"/>
    <w:rsid w:val="00CD50AF"/>
    <w:rsid w:val="00CD5A0D"/>
    <w:rsid w:val="00CD6514"/>
    <w:rsid w:val="00CD665A"/>
    <w:rsid w:val="00CE0C35"/>
    <w:rsid w:val="00CE17C2"/>
    <w:rsid w:val="00CE2E09"/>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1F02"/>
    <w:rsid w:val="00D12DD6"/>
    <w:rsid w:val="00D13005"/>
    <w:rsid w:val="00D14323"/>
    <w:rsid w:val="00D157F0"/>
    <w:rsid w:val="00D1581D"/>
    <w:rsid w:val="00D15D9F"/>
    <w:rsid w:val="00D16008"/>
    <w:rsid w:val="00D166D4"/>
    <w:rsid w:val="00D2099C"/>
    <w:rsid w:val="00D209C9"/>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47B0C"/>
    <w:rsid w:val="00D50721"/>
    <w:rsid w:val="00D51346"/>
    <w:rsid w:val="00D51C8F"/>
    <w:rsid w:val="00D5204B"/>
    <w:rsid w:val="00D525BB"/>
    <w:rsid w:val="00D528B0"/>
    <w:rsid w:val="00D53034"/>
    <w:rsid w:val="00D53460"/>
    <w:rsid w:val="00D54B2B"/>
    <w:rsid w:val="00D54C10"/>
    <w:rsid w:val="00D55191"/>
    <w:rsid w:val="00D55240"/>
    <w:rsid w:val="00D55CD0"/>
    <w:rsid w:val="00D57275"/>
    <w:rsid w:val="00D57544"/>
    <w:rsid w:val="00D57973"/>
    <w:rsid w:val="00D60704"/>
    <w:rsid w:val="00D60CE2"/>
    <w:rsid w:val="00D612EC"/>
    <w:rsid w:val="00D6153E"/>
    <w:rsid w:val="00D61893"/>
    <w:rsid w:val="00D61A4B"/>
    <w:rsid w:val="00D61B65"/>
    <w:rsid w:val="00D623C4"/>
    <w:rsid w:val="00D62708"/>
    <w:rsid w:val="00D62932"/>
    <w:rsid w:val="00D62CE8"/>
    <w:rsid w:val="00D669D3"/>
    <w:rsid w:val="00D67FD8"/>
    <w:rsid w:val="00D70501"/>
    <w:rsid w:val="00D7065C"/>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5091"/>
    <w:rsid w:val="00D95CB0"/>
    <w:rsid w:val="00D9636F"/>
    <w:rsid w:val="00D96D38"/>
    <w:rsid w:val="00D973B2"/>
    <w:rsid w:val="00D9761F"/>
    <w:rsid w:val="00D97BAA"/>
    <w:rsid w:val="00DA0435"/>
    <w:rsid w:val="00DA0773"/>
    <w:rsid w:val="00DA1902"/>
    <w:rsid w:val="00DA2866"/>
    <w:rsid w:val="00DA3AF3"/>
    <w:rsid w:val="00DA46BF"/>
    <w:rsid w:val="00DA495A"/>
    <w:rsid w:val="00DA4C31"/>
    <w:rsid w:val="00DA544F"/>
    <w:rsid w:val="00DA5455"/>
    <w:rsid w:val="00DA57F0"/>
    <w:rsid w:val="00DA5C2B"/>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494"/>
    <w:rsid w:val="00DC19BB"/>
    <w:rsid w:val="00DC217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21C1"/>
    <w:rsid w:val="00E22C75"/>
    <w:rsid w:val="00E245DA"/>
    <w:rsid w:val="00E24645"/>
    <w:rsid w:val="00E24817"/>
    <w:rsid w:val="00E24A2B"/>
    <w:rsid w:val="00E25257"/>
    <w:rsid w:val="00E25496"/>
    <w:rsid w:val="00E260C5"/>
    <w:rsid w:val="00E27177"/>
    <w:rsid w:val="00E274B5"/>
    <w:rsid w:val="00E30D61"/>
    <w:rsid w:val="00E30F1B"/>
    <w:rsid w:val="00E31BCB"/>
    <w:rsid w:val="00E32963"/>
    <w:rsid w:val="00E32C81"/>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4F7F"/>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4FB3"/>
    <w:rsid w:val="00E8523F"/>
    <w:rsid w:val="00E854DD"/>
    <w:rsid w:val="00E86A3E"/>
    <w:rsid w:val="00E87037"/>
    <w:rsid w:val="00E9026A"/>
    <w:rsid w:val="00E91230"/>
    <w:rsid w:val="00E940E0"/>
    <w:rsid w:val="00E964CA"/>
    <w:rsid w:val="00E96D70"/>
    <w:rsid w:val="00E96E05"/>
    <w:rsid w:val="00E9767C"/>
    <w:rsid w:val="00E97BD6"/>
    <w:rsid w:val="00E97E67"/>
    <w:rsid w:val="00EA0F03"/>
    <w:rsid w:val="00EA1EF9"/>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1504"/>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34C9"/>
    <w:rsid w:val="00EC518F"/>
    <w:rsid w:val="00EC5B5B"/>
    <w:rsid w:val="00EC677E"/>
    <w:rsid w:val="00EC7071"/>
    <w:rsid w:val="00EC7E67"/>
    <w:rsid w:val="00ED0903"/>
    <w:rsid w:val="00ED0DF3"/>
    <w:rsid w:val="00ED1F5D"/>
    <w:rsid w:val="00ED3143"/>
    <w:rsid w:val="00ED3E97"/>
    <w:rsid w:val="00ED3F10"/>
    <w:rsid w:val="00ED4CE6"/>
    <w:rsid w:val="00ED5466"/>
    <w:rsid w:val="00ED5536"/>
    <w:rsid w:val="00ED56CF"/>
    <w:rsid w:val="00ED5B5C"/>
    <w:rsid w:val="00ED6B5A"/>
    <w:rsid w:val="00ED70BD"/>
    <w:rsid w:val="00ED7934"/>
    <w:rsid w:val="00EE0B3E"/>
    <w:rsid w:val="00EE1208"/>
    <w:rsid w:val="00EE1FD6"/>
    <w:rsid w:val="00EE37BB"/>
    <w:rsid w:val="00EE37C3"/>
    <w:rsid w:val="00EE4952"/>
    <w:rsid w:val="00EE6A61"/>
    <w:rsid w:val="00EF063D"/>
    <w:rsid w:val="00EF1830"/>
    <w:rsid w:val="00EF2EA9"/>
    <w:rsid w:val="00EF37CF"/>
    <w:rsid w:val="00EF3F1B"/>
    <w:rsid w:val="00EF4058"/>
    <w:rsid w:val="00EF4099"/>
    <w:rsid w:val="00EF4DA7"/>
    <w:rsid w:val="00EF4F82"/>
    <w:rsid w:val="00EF59CA"/>
    <w:rsid w:val="00EF6BDC"/>
    <w:rsid w:val="00F0190F"/>
    <w:rsid w:val="00F01C4C"/>
    <w:rsid w:val="00F02786"/>
    <w:rsid w:val="00F0434F"/>
    <w:rsid w:val="00F05566"/>
    <w:rsid w:val="00F058A3"/>
    <w:rsid w:val="00F05D0A"/>
    <w:rsid w:val="00F0670F"/>
    <w:rsid w:val="00F068E9"/>
    <w:rsid w:val="00F0692E"/>
    <w:rsid w:val="00F06A1F"/>
    <w:rsid w:val="00F0722A"/>
    <w:rsid w:val="00F07FA6"/>
    <w:rsid w:val="00F11BB3"/>
    <w:rsid w:val="00F12E1B"/>
    <w:rsid w:val="00F13036"/>
    <w:rsid w:val="00F14DC1"/>
    <w:rsid w:val="00F15C3C"/>
    <w:rsid w:val="00F16EB0"/>
    <w:rsid w:val="00F209BB"/>
    <w:rsid w:val="00F2127D"/>
    <w:rsid w:val="00F215DE"/>
    <w:rsid w:val="00F21D1A"/>
    <w:rsid w:val="00F22865"/>
    <w:rsid w:val="00F2411E"/>
    <w:rsid w:val="00F244C9"/>
    <w:rsid w:val="00F24BF5"/>
    <w:rsid w:val="00F24D75"/>
    <w:rsid w:val="00F24F4E"/>
    <w:rsid w:val="00F261E3"/>
    <w:rsid w:val="00F30EB3"/>
    <w:rsid w:val="00F31995"/>
    <w:rsid w:val="00F32E80"/>
    <w:rsid w:val="00F33948"/>
    <w:rsid w:val="00F34B2F"/>
    <w:rsid w:val="00F34F33"/>
    <w:rsid w:val="00F35472"/>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2C8E"/>
    <w:rsid w:val="00F54F4B"/>
    <w:rsid w:val="00F55062"/>
    <w:rsid w:val="00F55B9C"/>
    <w:rsid w:val="00F56A79"/>
    <w:rsid w:val="00F56CE9"/>
    <w:rsid w:val="00F60793"/>
    <w:rsid w:val="00F61151"/>
    <w:rsid w:val="00F63723"/>
    <w:rsid w:val="00F64E44"/>
    <w:rsid w:val="00F64ECE"/>
    <w:rsid w:val="00F67B6E"/>
    <w:rsid w:val="00F7174B"/>
    <w:rsid w:val="00F72583"/>
    <w:rsid w:val="00F72A85"/>
    <w:rsid w:val="00F73B0B"/>
    <w:rsid w:val="00F77765"/>
    <w:rsid w:val="00F77907"/>
    <w:rsid w:val="00F77EC3"/>
    <w:rsid w:val="00F8049C"/>
    <w:rsid w:val="00F816B4"/>
    <w:rsid w:val="00F823C6"/>
    <w:rsid w:val="00F83E63"/>
    <w:rsid w:val="00F842C0"/>
    <w:rsid w:val="00F84E26"/>
    <w:rsid w:val="00F84FE8"/>
    <w:rsid w:val="00F853B8"/>
    <w:rsid w:val="00F85E98"/>
    <w:rsid w:val="00F90F30"/>
    <w:rsid w:val="00F91762"/>
    <w:rsid w:val="00F91943"/>
    <w:rsid w:val="00F92808"/>
    <w:rsid w:val="00F92924"/>
    <w:rsid w:val="00F9310B"/>
    <w:rsid w:val="00F9342E"/>
    <w:rsid w:val="00F9388B"/>
    <w:rsid w:val="00F945ED"/>
    <w:rsid w:val="00F951A5"/>
    <w:rsid w:val="00F95989"/>
    <w:rsid w:val="00F95AC9"/>
    <w:rsid w:val="00F963F4"/>
    <w:rsid w:val="00F97843"/>
    <w:rsid w:val="00FA00C9"/>
    <w:rsid w:val="00FA0EEA"/>
    <w:rsid w:val="00FA320A"/>
    <w:rsid w:val="00FA4E75"/>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451"/>
    <w:rsid w:val="00FC6961"/>
    <w:rsid w:val="00FC718B"/>
    <w:rsid w:val="00FC74FE"/>
    <w:rsid w:val="00FD07DD"/>
    <w:rsid w:val="00FD2233"/>
    <w:rsid w:val="00FD6657"/>
    <w:rsid w:val="00FD7187"/>
    <w:rsid w:val="00FD7B20"/>
    <w:rsid w:val="00FE015F"/>
    <w:rsid w:val="00FE0276"/>
    <w:rsid w:val="00FE3498"/>
    <w:rsid w:val="00FE5873"/>
    <w:rsid w:val="00FE61B0"/>
    <w:rsid w:val="00FE6527"/>
    <w:rsid w:val="00FE6ADE"/>
    <w:rsid w:val="00FE7387"/>
    <w:rsid w:val="00FE76E3"/>
    <w:rsid w:val="00FF0584"/>
    <w:rsid w:val="00FF1A54"/>
    <w:rsid w:val="00FF55DD"/>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lexis.com/research/buttonTFLink?_m=c6ea10d698a88aab31fc41765f7fb262&amp;_xfercite=%3ccite%20cc%3d%22USA%22%3e%3c%21%5bCDATA%5b2014%20Pa.%20PUC%20LEXIS%20249%5d%5d%3e%3c%2fcite%3e&amp;_butType=4&amp;_butStat=0&amp;_butNum=15&amp;_butInline=1&amp;_butinfo=66%20PACS%201405&amp;_fmtstr=FULL&amp;docnum=10&amp;_startdoc=1&amp;wchp=dGLbVzt-zSkAl&amp;_md5=c7ae4d2decd227bacc28b004a5f02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1A3B-9648-4023-ADE5-B5E72C3B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2015-10-01T11:24:00Z</cp:lastPrinted>
  <dcterms:created xsi:type="dcterms:W3CDTF">2015-09-30T20:28:00Z</dcterms:created>
  <dcterms:modified xsi:type="dcterms:W3CDTF">2015-10-01T11:24:00Z</dcterms:modified>
</cp:coreProperties>
</file>