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E65CA" w:rsidP="00D65D31">
      <w:pPr>
        <w:widowControl w:val="0"/>
        <w:adjustRightInd w:val="0"/>
        <w:rPr>
          <w:bCs/>
          <w:color w:val="000000"/>
        </w:rPr>
      </w:pPr>
      <w:r>
        <w:rPr>
          <w:bCs/>
          <w:color w:val="000000"/>
        </w:rPr>
        <w:t>Robert Crump</w:t>
      </w:r>
      <w:r>
        <w:rPr>
          <w:bCs/>
          <w:color w:val="000000"/>
        </w:rPr>
        <w:tab/>
      </w:r>
      <w:r w:rsidR="00AC7AB7">
        <w:rPr>
          <w:bCs/>
          <w:color w:val="000000"/>
        </w:rPr>
        <w:tab/>
      </w:r>
      <w:r w:rsidR="00AC7AB7">
        <w:rPr>
          <w:bCs/>
          <w:color w:val="000000"/>
        </w:rPr>
        <w:tab/>
      </w:r>
      <w:r w:rsidR="00AC7AB7">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r>
      <w:r w:rsidR="008E65CA">
        <w:rPr>
          <w:bCs/>
          <w:color w:val="000000"/>
        </w:rPr>
        <w:t>C-2015-2497434</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8E65CA" w:rsidP="00D65D31">
      <w:pPr>
        <w:widowControl w:val="0"/>
        <w:adjustRightInd w:val="0"/>
        <w:rPr>
          <w:bCs/>
          <w:color w:val="000000"/>
        </w:rPr>
      </w:pPr>
      <w:r>
        <w:rPr>
          <w:bCs/>
          <w:color w:val="000000"/>
        </w:rPr>
        <w:t>PECO Energy Company</w:t>
      </w:r>
      <w:r w:rsidR="00897507">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C438C1" w:rsidRPr="00550B34" w:rsidRDefault="00C438C1" w:rsidP="0062545F">
      <w:pPr>
        <w:tabs>
          <w:tab w:val="center" w:pos="4680"/>
        </w:tabs>
        <w:suppressAutoHyphens/>
        <w:jc w:val="center"/>
        <w:rPr>
          <w:b/>
          <w:bCs/>
          <w:spacing w:val="-3"/>
          <w:u w:val="single"/>
        </w:rPr>
      </w:pPr>
      <w:r w:rsidRPr="004A3DB7">
        <w:rPr>
          <w:b/>
          <w:bCs/>
          <w:spacing w:val="-3"/>
          <w:u w:val="single"/>
        </w:rPr>
        <w:t xml:space="preserve">DENYING </w:t>
      </w:r>
      <w:r>
        <w:rPr>
          <w:b/>
          <w:bCs/>
          <w:spacing w:val="-3"/>
          <w:u w:val="single"/>
        </w:rPr>
        <w:t>PRELIMINARY OBJECTION</w:t>
      </w:r>
      <w:r w:rsidR="00F21B5D">
        <w:rPr>
          <w:b/>
          <w:bCs/>
          <w:spacing w:val="-3"/>
          <w:u w:val="single"/>
        </w:rPr>
        <w:t xml:space="preserve"> </w:t>
      </w:r>
    </w:p>
    <w:p w:rsidR="000629B2" w:rsidRDefault="000629B2" w:rsidP="0047182C">
      <w:pPr>
        <w:widowControl w:val="0"/>
        <w:adjustRightInd w:val="0"/>
        <w:rPr>
          <w:b/>
          <w:bCs/>
          <w:spacing w:val="-3"/>
          <w:u w:val="single"/>
        </w:rPr>
      </w:pPr>
    </w:p>
    <w:p w:rsidR="0047182C" w:rsidRDefault="0047182C" w:rsidP="0047182C">
      <w:pPr>
        <w:widowControl w:val="0"/>
        <w:adjustRightInd w:val="0"/>
        <w:rPr>
          <w:b/>
          <w:bCs/>
          <w:spacing w:val="-3"/>
          <w:u w:val="single"/>
        </w:rPr>
      </w:pPr>
    </w:p>
    <w:p w:rsidR="008E65CA" w:rsidRPr="008E65CA" w:rsidRDefault="00F21B5D" w:rsidP="0047182C">
      <w:pPr>
        <w:pStyle w:val="Style"/>
        <w:widowControl/>
        <w:spacing w:line="360" w:lineRule="auto"/>
        <w:rPr>
          <w:bCs/>
          <w:color w:val="000000"/>
        </w:rPr>
      </w:pPr>
      <w:r>
        <w:rPr>
          <w:bCs/>
          <w:color w:val="000000"/>
        </w:rPr>
        <w:tab/>
      </w:r>
      <w:r>
        <w:rPr>
          <w:bCs/>
          <w:color w:val="000000"/>
        </w:rPr>
        <w:tab/>
      </w:r>
      <w:r w:rsidR="008E65CA" w:rsidRPr="008E65CA">
        <w:rPr>
          <w:bCs/>
          <w:color w:val="000000"/>
        </w:rPr>
        <w:t xml:space="preserve">On July 29, 2015, Robert Crump filed with the Pennsylvania Public Utility Commission a formal Complaint against PECO Energy Company (Company or PECO), Docket Number C-2015-2497434.  In his Complaint, Mr. Crump requested that he would like permission to continue to use his analog meter and would not like an upgrade to his meter because he is concerned about how this may adversely affect his health.  Mr. Crump attached various documents to his Complaint, including a letter from a medical provider that indicates that Mr. Crump has Wolf-Parkinson-White Syndrome.  </w:t>
      </w:r>
    </w:p>
    <w:p w:rsidR="008E65CA" w:rsidRPr="008E65CA" w:rsidRDefault="008E65CA" w:rsidP="0047182C">
      <w:pPr>
        <w:adjustRightInd w:val="0"/>
        <w:spacing w:line="360" w:lineRule="auto"/>
        <w:ind w:firstLine="1440"/>
        <w:rPr>
          <w:bCs/>
          <w:color w:val="000000"/>
        </w:rPr>
      </w:pPr>
    </w:p>
    <w:p w:rsidR="008E65CA" w:rsidRPr="008E65CA" w:rsidRDefault="008E65CA" w:rsidP="0047182C">
      <w:pPr>
        <w:adjustRightInd w:val="0"/>
        <w:spacing w:line="360" w:lineRule="auto"/>
        <w:ind w:firstLine="1440"/>
        <w:rPr>
          <w:bCs/>
          <w:color w:val="000000"/>
        </w:rPr>
      </w:pPr>
      <w:r w:rsidRPr="008E65CA">
        <w:rPr>
          <w:bCs/>
          <w:color w:val="000000"/>
        </w:rPr>
        <w:t>On August 20, 2015, PECO filed an Answer with New Matter to Mr. Crump’s Complaint.  In its Answer, PECO admitted or denied the various averments made by Mr. Crump in his Complaint.  In particular, PECO stated that the Company is required to install AMI, or “smart” meters</w:t>
      </w:r>
      <w:r w:rsidR="00C55CE2">
        <w:rPr>
          <w:bCs/>
          <w:color w:val="000000"/>
        </w:rPr>
        <w:t>,</w:t>
      </w:r>
      <w:r w:rsidRPr="008E65CA">
        <w:rPr>
          <w:bCs/>
          <w:color w:val="000000"/>
        </w:rPr>
        <w:t xml:space="preserve"> for its electric distribution customers subject to the requirements of Act 129.  PECO </w:t>
      </w:r>
      <w:proofErr w:type="gramStart"/>
      <w:r w:rsidRPr="008E65CA">
        <w:rPr>
          <w:bCs/>
          <w:color w:val="000000"/>
        </w:rPr>
        <w:t>added,</w:t>
      </w:r>
      <w:proofErr w:type="gramEnd"/>
      <w:r w:rsidRPr="008E65CA">
        <w:rPr>
          <w:bCs/>
          <w:color w:val="000000"/>
        </w:rPr>
        <w:t xml:space="preserve"> that as part of the deployment of smart meters, it is terminating service to customers who, after repeated requests, do not give the Company access to install the meter.  In its New Matter, which was accompanied by a Notice to Plead, PECO reiterated its position that it is required to deploy smart meters throughout its service territory and provide</w:t>
      </w:r>
      <w:r w:rsidR="00D266A2">
        <w:rPr>
          <w:bCs/>
          <w:color w:val="000000"/>
        </w:rPr>
        <w:t>d</w:t>
      </w:r>
      <w:r w:rsidRPr="008E65CA">
        <w:rPr>
          <w:bCs/>
          <w:color w:val="000000"/>
        </w:rPr>
        <w:t xml:space="preserve"> substantial legal history in support of its position.  PECO concluded that Mr. Crump’s Complaint should be dismissed.</w:t>
      </w:r>
    </w:p>
    <w:p w:rsidR="008E65CA" w:rsidRPr="008E65CA" w:rsidRDefault="008E65CA" w:rsidP="0047182C">
      <w:pPr>
        <w:adjustRightInd w:val="0"/>
        <w:spacing w:line="360" w:lineRule="auto"/>
        <w:ind w:firstLine="1440"/>
        <w:rPr>
          <w:bCs/>
          <w:color w:val="000000"/>
        </w:rPr>
      </w:pPr>
    </w:p>
    <w:p w:rsidR="008E65CA" w:rsidRPr="008E65CA" w:rsidRDefault="008E65CA" w:rsidP="0047182C">
      <w:pPr>
        <w:adjustRightInd w:val="0"/>
        <w:spacing w:line="360" w:lineRule="auto"/>
        <w:ind w:firstLine="1440"/>
        <w:rPr>
          <w:bCs/>
          <w:color w:val="000000"/>
        </w:rPr>
      </w:pPr>
      <w:r w:rsidRPr="008E65CA">
        <w:rPr>
          <w:bCs/>
          <w:color w:val="000000"/>
        </w:rPr>
        <w:lastRenderedPageBreak/>
        <w:t>Also on August 20, 2015, PECO filed a Preliminary Objection in response to Mr. Crump’s Complaint.  In its Preliminary Objection, which was also accompanied by a Notice to Plead, PECO argued that the Complaint is legally insufficient and should be dismissed because there are no genuine issues of fact and PECO is entitled to judgment as a matter of law with respect to all allegations.  PECO again reiterated its position that the Company is required to deploy smart meters throughout its service territory and stated that customers are not permitted to “opt out” of receiving a smart meter, as Mr. Crump requested.  PECO again concluded by requesting that the Commission dismiss the Complaint as a matter of law.</w:t>
      </w:r>
    </w:p>
    <w:p w:rsidR="008E65CA" w:rsidRPr="008E65CA" w:rsidRDefault="008E65CA" w:rsidP="0047182C">
      <w:pPr>
        <w:adjustRightInd w:val="0"/>
        <w:spacing w:line="360" w:lineRule="auto"/>
        <w:ind w:firstLine="1440"/>
        <w:rPr>
          <w:bCs/>
          <w:color w:val="000000"/>
        </w:rPr>
      </w:pPr>
    </w:p>
    <w:p w:rsidR="008E65CA" w:rsidRPr="008E65CA" w:rsidRDefault="008E65CA" w:rsidP="0047182C">
      <w:pPr>
        <w:adjustRightInd w:val="0"/>
        <w:spacing w:line="360" w:lineRule="auto"/>
        <w:ind w:firstLine="1440"/>
        <w:rPr>
          <w:bCs/>
          <w:color w:val="000000"/>
        </w:rPr>
      </w:pPr>
      <w:r w:rsidRPr="008E65CA">
        <w:rPr>
          <w:bCs/>
          <w:color w:val="000000"/>
        </w:rPr>
        <w:t xml:space="preserve">Mr. Crump’s Answer to PECO’s Preliminary Objection was due no later than September 2, 2015.  52 </w:t>
      </w:r>
      <w:proofErr w:type="spellStart"/>
      <w:r w:rsidRPr="008E65CA">
        <w:rPr>
          <w:bCs/>
          <w:color w:val="000000"/>
        </w:rPr>
        <w:t>Pa.Code</w:t>
      </w:r>
      <w:proofErr w:type="spellEnd"/>
      <w:r w:rsidRPr="008E65CA">
        <w:rPr>
          <w:bCs/>
          <w:color w:val="000000"/>
        </w:rPr>
        <w:t xml:space="preserve"> §§ 5.101(f</w:t>
      </w:r>
      <w:proofErr w:type="gramStart"/>
      <w:r w:rsidRPr="008E65CA">
        <w:rPr>
          <w:bCs/>
          <w:color w:val="000000"/>
        </w:rPr>
        <w:t>)(</w:t>
      </w:r>
      <w:proofErr w:type="gramEnd"/>
      <w:r w:rsidRPr="008E65CA">
        <w:rPr>
          <w:bCs/>
          <w:color w:val="000000"/>
        </w:rPr>
        <w:t xml:space="preserve">1), 1.12(a), 1.56(a)(1) and (b).  Mr. Crump’s Answer to PECO’s New Matter was due no later than September 14, 2015.  52 </w:t>
      </w:r>
      <w:proofErr w:type="spellStart"/>
      <w:r w:rsidRPr="008E65CA">
        <w:rPr>
          <w:bCs/>
          <w:color w:val="000000"/>
        </w:rPr>
        <w:t>Pa.Code</w:t>
      </w:r>
      <w:proofErr w:type="spellEnd"/>
      <w:r w:rsidRPr="008E65CA">
        <w:rPr>
          <w:bCs/>
          <w:color w:val="000000"/>
        </w:rPr>
        <w:t xml:space="preserve"> §§ 5.63(a), 1.12(a), 1.56(a</w:t>
      </w:r>
      <w:proofErr w:type="gramStart"/>
      <w:r w:rsidRPr="008E65CA">
        <w:rPr>
          <w:bCs/>
          <w:color w:val="000000"/>
        </w:rPr>
        <w:t>)(</w:t>
      </w:r>
      <w:proofErr w:type="gramEnd"/>
      <w:r w:rsidRPr="008E65CA">
        <w:rPr>
          <w:bCs/>
          <w:color w:val="000000"/>
        </w:rPr>
        <w:t>1) and (b).  Mr. Crump filed neither an Answer to PECO’s Preliminary Objection nor to its New Matter.</w:t>
      </w:r>
    </w:p>
    <w:p w:rsidR="008E65CA" w:rsidRPr="008E65CA" w:rsidRDefault="008E65CA" w:rsidP="0047182C">
      <w:pPr>
        <w:adjustRightInd w:val="0"/>
        <w:spacing w:line="360" w:lineRule="auto"/>
        <w:rPr>
          <w:bCs/>
          <w:color w:val="000000"/>
        </w:rPr>
      </w:pPr>
    </w:p>
    <w:p w:rsidR="008E65CA" w:rsidRPr="008E65CA" w:rsidRDefault="008E65CA" w:rsidP="0047182C">
      <w:pPr>
        <w:adjustRightInd w:val="0"/>
        <w:spacing w:line="360" w:lineRule="auto"/>
        <w:rPr>
          <w:bCs/>
          <w:color w:val="000000"/>
        </w:rPr>
      </w:pPr>
      <w:r w:rsidRPr="008E65CA">
        <w:rPr>
          <w:bCs/>
          <w:color w:val="000000"/>
        </w:rPr>
        <w:tab/>
      </w:r>
      <w:r w:rsidRPr="008E65CA">
        <w:rPr>
          <w:bCs/>
          <w:color w:val="000000"/>
        </w:rPr>
        <w:tab/>
        <w:t xml:space="preserve">By Motion Judge Assignment Notice dated September 16, 2015, the parties were informed that I was assigned as the Presiding Officer in this matter and responsible for resolving any issues which may arise during the preliminary phase of this proceeding.  PECO’s Preliminary Objection is procedurally ready to be ruled upon.  For the reasons discussed below, PECO’s Preliminary Objection will be </w:t>
      </w:r>
      <w:r w:rsidR="00180B7F">
        <w:rPr>
          <w:bCs/>
          <w:color w:val="000000"/>
        </w:rPr>
        <w:t>denied</w:t>
      </w:r>
      <w:r w:rsidRPr="008E65CA">
        <w:rPr>
          <w:bCs/>
          <w:color w:val="000000"/>
        </w:rPr>
        <w:t xml:space="preserve"> and Mr. Crump’s Complaint will be </w:t>
      </w:r>
      <w:r w:rsidR="00180B7F">
        <w:rPr>
          <w:bCs/>
          <w:color w:val="000000"/>
        </w:rPr>
        <w:t>heard before an Administrative Law Judge</w:t>
      </w:r>
      <w:r w:rsidRPr="008E65CA">
        <w:rPr>
          <w:bCs/>
          <w:color w:val="000000"/>
        </w:rPr>
        <w:t>.</w:t>
      </w:r>
    </w:p>
    <w:p w:rsidR="00F81B45" w:rsidRPr="00AC7AB7" w:rsidRDefault="00F81B45" w:rsidP="0047182C">
      <w:pPr>
        <w:adjustRightInd w:val="0"/>
        <w:spacing w:line="360" w:lineRule="auto"/>
        <w:rPr>
          <w:bCs/>
          <w:strike/>
          <w:color w:val="000000"/>
        </w:rPr>
      </w:pPr>
    </w:p>
    <w:p w:rsidR="00D44FF7" w:rsidRPr="007228C9" w:rsidRDefault="00D44FF7" w:rsidP="0047182C">
      <w:pPr>
        <w:adjustRightInd w:val="0"/>
        <w:spacing w:line="360" w:lineRule="auto"/>
        <w:ind w:firstLine="1440"/>
        <w:rPr>
          <w:color w:val="000000"/>
        </w:rPr>
      </w:pPr>
      <w:r w:rsidRPr="007228C9">
        <w:rPr>
          <w:color w:val="000000"/>
        </w:rPr>
        <w:t xml:space="preserve">Section 5.101 of the Commission’s Rules of Administrative Practice and Procedure provides for the filing of Preliminary Objections.  </w:t>
      </w:r>
      <w:proofErr w:type="gramStart"/>
      <w:r w:rsidRPr="007228C9">
        <w:rPr>
          <w:color w:val="000000"/>
        </w:rPr>
        <w:t xml:space="preserve">52 </w:t>
      </w:r>
      <w:proofErr w:type="spellStart"/>
      <w:r w:rsidRPr="007228C9">
        <w:rPr>
          <w:color w:val="000000"/>
        </w:rPr>
        <w:t>Pa.Code</w:t>
      </w:r>
      <w:proofErr w:type="spellEnd"/>
      <w:r w:rsidRPr="007228C9">
        <w:rPr>
          <w:color w:val="000000"/>
        </w:rPr>
        <w:t xml:space="preserve"> </w:t>
      </w:r>
      <w:r w:rsidRPr="007228C9">
        <w:rPr>
          <w:color w:val="000000"/>
          <w:w w:val="86"/>
        </w:rPr>
        <w:t xml:space="preserve">§ </w:t>
      </w:r>
      <w:r w:rsidRPr="007228C9">
        <w:rPr>
          <w:color w:val="000000"/>
        </w:rPr>
        <w:t>5.101.</w:t>
      </w:r>
      <w:proofErr w:type="gramEnd"/>
      <w:r w:rsidRPr="007228C9">
        <w:rPr>
          <w:color w:val="000000"/>
        </w:rPr>
        <w:t xml:space="preserve">  Commission Preliminary Objection practice is comparable to Pennsylvania civil practice respecting the filing of Preliminary Objections.  </w:t>
      </w:r>
      <w:r w:rsidRPr="007228C9">
        <w:rPr>
          <w:iCs/>
          <w:color w:val="000000"/>
          <w:u w:val="single"/>
        </w:rPr>
        <w:t>Equitable Small Transportation Intervenors v. Equitable Gas Company</w:t>
      </w:r>
      <w:r w:rsidRPr="007228C9">
        <w:rPr>
          <w:i/>
          <w:iCs/>
          <w:color w:val="000000"/>
        </w:rPr>
        <w:t xml:space="preserve">, </w:t>
      </w:r>
      <w:r w:rsidRPr="007228C9">
        <w:rPr>
          <w:color w:val="000000"/>
        </w:rPr>
        <w:t xml:space="preserve">1994 Pa PUC LEXIS 69, Docket No. </w:t>
      </w:r>
      <w:proofErr w:type="gramStart"/>
      <w:r w:rsidRPr="007228C9">
        <w:rPr>
          <w:color w:val="000000"/>
        </w:rPr>
        <w:t>C-00935435 (July 18, 1994) (</w:t>
      </w:r>
      <w:r w:rsidRPr="007228C9">
        <w:rPr>
          <w:color w:val="000000"/>
          <w:u w:val="single"/>
        </w:rPr>
        <w:t>Equitable</w:t>
      </w:r>
      <w:r w:rsidRPr="007228C9">
        <w:rPr>
          <w:color w:val="000000"/>
        </w:rPr>
        <w:t>).</w:t>
      </w:r>
      <w:proofErr w:type="gramEnd"/>
      <w:r w:rsidRPr="007228C9">
        <w:rPr>
          <w:color w:val="000000"/>
        </w:rPr>
        <w:t xml:space="preserve">  Section 5.101(a) provides:</w:t>
      </w:r>
    </w:p>
    <w:p w:rsidR="00D44FF7" w:rsidRPr="007228C9" w:rsidRDefault="00D44FF7" w:rsidP="0047182C">
      <w:pPr>
        <w:tabs>
          <w:tab w:val="left" w:pos="1469"/>
          <w:tab w:val="left" w:pos="2196"/>
        </w:tabs>
        <w:adjustRightInd w:val="0"/>
        <w:spacing w:line="360" w:lineRule="auto"/>
        <w:rPr>
          <w:color w:val="000000"/>
        </w:rPr>
      </w:pPr>
    </w:p>
    <w:p w:rsidR="00D44FF7" w:rsidRPr="007228C9" w:rsidRDefault="00D44FF7" w:rsidP="00D44FF7">
      <w:pPr>
        <w:widowControl w:val="0"/>
        <w:tabs>
          <w:tab w:val="left" w:pos="1469"/>
          <w:tab w:val="left" w:pos="2196"/>
        </w:tabs>
        <w:adjustRightInd w:val="0"/>
        <w:ind w:left="1440" w:right="1440"/>
        <w:rPr>
          <w:color w:val="000000"/>
        </w:rPr>
      </w:pPr>
      <w:r w:rsidRPr="007228C9">
        <w:rPr>
          <w:color w:val="000000"/>
        </w:rPr>
        <w:t xml:space="preserve">(a) </w:t>
      </w:r>
      <w:r w:rsidRPr="007228C9">
        <w:rPr>
          <w:color w:val="000000"/>
        </w:rPr>
        <w:tab/>
      </w:r>
      <w:r w:rsidRPr="007228C9">
        <w:rPr>
          <w:i/>
          <w:iCs/>
          <w:color w:val="000000"/>
        </w:rPr>
        <w:t xml:space="preserve">Grounds.  </w:t>
      </w:r>
      <w:r w:rsidRPr="007228C9">
        <w:rPr>
          <w:color w:val="000000"/>
        </w:rPr>
        <w:t xml:space="preserve">Preliminary objections are available to </w:t>
      </w:r>
      <w:r w:rsidRPr="007228C9">
        <w:rPr>
          <w:color w:val="000000"/>
        </w:rPr>
        <w:lastRenderedPageBreak/>
        <w:t>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44FF7" w:rsidRPr="007228C9" w:rsidRDefault="00D44FF7" w:rsidP="0047182C">
      <w:pPr>
        <w:widowControl w:val="0"/>
        <w:tabs>
          <w:tab w:val="left" w:pos="2203"/>
          <w:tab w:val="left" w:pos="2909"/>
        </w:tabs>
        <w:adjustRightInd w:val="0"/>
        <w:spacing w:line="360" w:lineRule="auto"/>
        <w:ind w:right="1440"/>
      </w:pPr>
    </w:p>
    <w:p w:rsidR="00D44FF7" w:rsidRPr="007228C9" w:rsidRDefault="00D44FF7" w:rsidP="00D44FF7">
      <w:pPr>
        <w:widowControl w:val="0"/>
        <w:numPr>
          <w:ilvl w:val="0"/>
          <w:numId w:val="18"/>
        </w:numPr>
        <w:tabs>
          <w:tab w:val="left" w:pos="2203"/>
          <w:tab w:val="left" w:pos="2909"/>
        </w:tabs>
        <w:autoSpaceDE/>
        <w:autoSpaceDN/>
        <w:adjustRightInd w:val="0"/>
        <w:ind w:right="1440"/>
        <w:rPr>
          <w:color w:val="000000"/>
        </w:rPr>
      </w:pPr>
      <w:r w:rsidRPr="007228C9">
        <w:rPr>
          <w:color w:val="000000"/>
        </w:rPr>
        <w:t>Lack of Commission jurisdiction or improper service of the pleading initiating the proceeding.</w:t>
      </w:r>
    </w:p>
    <w:p w:rsidR="00D44FF7" w:rsidRPr="007228C9" w:rsidRDefault="00D44FF7" w:rsidP="00D44FF7">
      <w:pPr>
        <w:widowControl w:val="0"/>
        <w:tabs>
          <w:tab w:val="left" w:pos="2203"/>
          <w:tab w:val="left" w:pos="2909"/>
        </w:tabs>
        <w:adjustRightInd w:val="0"/>
        <w:ind w:left="2520" w:right="1440" w:hanging="360"/>
        <w:rPr>
          <w:color w:val="000000"/>
        </w:rPr>
      </w:pPr>
    </w:p>
    <w:p w:rsidR="00D44FF7" w:rsidRPr="007228C9" w:rsidRDefault="00D44FF7" w:rsidP="00D44FF7">
      <w:pPr>
        <w:widowControl w:val="0"/>
        <w:numPr>
          <w:ilvl w:val="0"/>
          <w:numId w:val="18"/>
        </w:numPr>
        <w:tabs>
          <w:tab w:val="left" w:pos="2203"/>
          <w:tab w:val="left" w:pos="2909"/>
        </w:tabs>
        <w:autoSpaceDE/>
        <w:autoSpaceDN/>
        <w:adjustRightInd w:val="0"/>
        <w:ind w:right="1440"/>
        <w:rPr>
          <w:color w:val="000000"/>
        </w:rPr>
      </w:pPr>
      <w:r w:rsidRPr="007228C9">
        <w:rPr>
          <w:color w:val="000000"/>
        </w:rPr>
        <w:t>Failure of a pleading to conform to this chapter or the inclusion of scandalous or impertinent matter.</w:t>
      </w:r>
    </w:p>
    <w:p w:rsidR="00D44FF7" w:rsidRPr="007228C9" w:rsidRDefault="00D44FF7" w:rsidP="00D44FF7">
      <w:pPr>
        <w:autoSpaceDE/>
        <w:autoSpaceDN/>
        <w:ind w:left="720"/>
        <w:contextualSpacing/>
        <w:rPr>
          <w:rFonts w:eastAsiaTheme="minorEastAsia"/>
          <w:color w:val="000000"/>
        </w:rPr>
      </w:pPr>
    </w:p>
    <w:p w:rsidR="00D44FF7" w:rsidRPr="007228C9" w:rsidRDefault="00D44FF7" w:rsidP="00D44FF7">
      <w:pPr>
        <w:widowControl w:val="0"/>
        <w:numPr>
          <w:ilvl w:val="0"/>
          <w:numId w:val="18"/>
        </w:numPr>
        <w:tabs>
          <w:tab w:val="left" w:pos="2203"/>
          <w:tab w:val="left" w:pos="2909"/>
        </w:tabs>
        <w:autoSpaceDE/>
        <w:autoSpaceDN/>
        <w:adjustRightInd w:val="0"/>
        <w:ind w:right="1440"/>
        <w:rPr>
          <w:color w:val="000000"/>
        </w:rPr>
      </w:pPr>
      <w:r w:rsidRPr="007228C9">
        <w:rPr>
          <w:color w:val="000000"/>
        </w:rPr>
        <w:t>Insufficient specificity of a pleading.</w:t>
      </w:r>
    </w:p>
    <w:p w:rsidR="00D44FF7" w:rsidRPr="007228C9" w:rsidRDefault="00D44FF7" w:rsidP="00D44FF7">
      <w:pPr>
        <w:autoSpaceDE/>
        <w:autoSpaceDN/>
        <w:ind w:left="720"/>
        <w:contextualSpacing/>
        <w:rPr>
          <w:rFonts w:eastAsiaTheme="minorEastAsia"/>
          <w:color w:val="000000"/>
        </w:rPr>
      </w:pPr>
    </w:p>
    <w:p w:rsidR="00D44FF7" w:rsidRPr="007228C9" w:rsidRDefault="00D44FF7" w:rsidP="00D44FF7">
      <w:pPr>
        <w:widowControl w:val="0"/>
        <w:numPr>
          <w:ilvl w:val="0"/>
          <w:numId w:val="18"/>
        </w:numPr>
        <w:tabs>
          <w:tab w:val="left" w:pos="2203"/>
          <w:tab w:val="left" w:pos="2909"/>
        </w:tabs>
        <w:autoSpaceDE/>
        <w:autoSpaceDN/>
        <w:adjustRightInd w:val="0"/>
        <w:ind w:right="1440"/>
        <w:rPr>
          <w:color w:val="000000"/>
        </w:rPr>
      </w:pPr>
      <w:r w:rsidRPr="007228C9">
        <w:rPr>
          <w:color w:val="000000"/>
        </w:rPr>
        <w:t>Legal insufficiency of a pleading.</w:t>
      </w:r>
    </w:p>
    <w:p w:rsidR="00D44FF7" w:rsidRPr="007228C9" w:rsidRDefault="00D44FF7" w:rsidP="00D44FF7">
      <w:pPr>
        <w:autoSpaceDE/>
        <w:autoSpaceDN/>
        <w:ind w:left="720"/>
        <w:contextualSpacing/>
        <w:rPr>
          <w:rFonts w:eastAsiaTheme="minorEastAsia"/>
          <w:color w:val="000000"/>
        </w:rPr>
      </w:pPr>
    </w:p>
    <w:p w:rsidR="00D44FF7" w:rsidRPr="007228C9" w:rsidRDefault="00D44FF7" w:rsidP="00D44FF7">
      <w:pPr>
        <w:widowControl w:val="0"/>
        <w:numPr>
          <w:ilvl w:val="0"/>
          <w:numId w:val="18"/>
        </w:numPr>
        <w:tabs>
          <w:tab w:val="left" w:pos="2203"/>
          <w:tab w:val="left" w:pos="2909"/>
        </w:tabs>
        <w:autoSpaceDE/>
        <w:autoSpaceDN/>
        <w:adjustRightInd w:val="0"/>
        <w:ind w:right="1440"/>
        <w:rPr>
          <w:color w:val="000000"/>
        </w:rPr>
      </w:pPr>
      <w:r w:rsidRPr="007228C9">
        <w:rPr>
          <w:color w:val="000000"/>
        </w:rPr>
        <w:t xml:space="preserve">Lack of capacity to sue, </w:t>
      </w:r>
      <w:proofErr w:type="spellStart"/>
      <w:r w:rsidRPr="007228C9">
        <w:rPr>
          <w:color w:val="000000"/>
        </w:rPr>
        <w:t>nonjoinder</w:t>
      </w:r>
      <w:proofErr w:type="spellEnd"/>
      <w:r w:rsidRPr="007228C9">
        <w:rPr>
          <w:color w:val="000000"/>
        </w:rPr>
        <w:t xml:space="preserve"> of a necessary party or misjoinder of a cause of action.</w:t>
      </w:r>
    </w:p>
    <w:p w:rsidR="00D44FF7" w:rsidRPr="007228C9" w:rsidRDefault="00D44FF7" w:rsidP="00D44FF7">
      <w:pPr>
        <w:autoSpaceDE/>
        <w:autoSpaceDN/>
        <w:ind w:left="720"/>
        <w:contextualSpacing/>
        <w:rPr>
          <w:rFonts w:eastAsiaTheme="minorEastAsia"/>
          <w:color w:val="000000"/>
        </w:rPr>
      </w:pPr>
    </w:p>
    <w:p w:rsidR="00D44FF7" w:rsidRPr="007228C9" w:rsidRDefault="00D44FF7" w:rsidP="00D44FF7">
      <w:pPr>
        <w:widowControl w:val="0"/>
        <w:numPr>
          <w:ilvl w:val="0"/>
          <w:numId w:val="18"/>
        </w:numPr>
        <w:tabs>
          <w:tab w:val="left" w:pos="2203"/>
          <w:tab w:val="left" w:pos="2909"/>
        </w:tabs>
        <w:autoSpaceDE/>
        <w:autoSpaceDN/>
        <w:adjustRightInd w:val="0"/>
        <w:ind w:right="1440"/>
        <w:rPr>
          <w:color w:val="000000"/>
        </w:rPr>
      </w:pPr>
      <w:r w:rsidRPr="007228C9">
        <w:rPr>
          <w:color w:val="000000"/>
        </w:rPr>
        <w:t>Pendency of a prior proceeding or agreement for alternative dispute resolution.</w:t>
      </w:r>
    </w:p>
    <w:p w:rsidR="00D44FF7" w:rsidRPr="007228C9" w:rsidRDefault="00D44FF7" w:rsidP="00D44FF7">
      <w:pPr>
        <w:autoSpaceDE/>
        <w:autoSpaceDN/>
        <w:ind w:left="720"/>
        <w:contextualSpacing/>
        <w:rPr>
          <w:color w:val="000000"/>
        </w:rPr>
      </w:pPr>
    </w:p>
    <w:p w:rsidR="00D44FF7" w:rsidRPr="007228C9" w:rsidRDefault="00D44FF7" w:rsidP="00D44FF7">
      <w:pPr>
        <w:widowControl w:val="0"/>
        <w:numPr>
          <w:ilvl w:val="0"/>
          <w:numId w:val="18"/>
        </w:numPr>
        <w:tabs>
          <w:tab w:val="left" w:pos="2203"/>
          <w:tab w:val="left" w:pos="2909"/>
        </w:tabs>
        <w:autoSpaceDE/>
        <w:autoSpaceDN/>
        <w:adjustRightInd w:val="0"/>
        <w:ind w:right="1440"/>
        <w:rPr>
          <w:color w:val="000000"/>
        </w:rPr>
      </w:pPr>
      <w:r w:rsidRPr="007228C9">
        <w:rPr>
          <w:color w:val="000000"/>
        </w:rPr>
        <w:t>Standing of a party to participate in a proceeding.</w:t>
      </w:r>
    </w:p>
    <w:p w:rsidR="00D44FF7" w:rsidRPr="007228C9" w:rsidRDefault="00D44FF7" w:rsidP="0047182C">
      <w:pPr>
        <w:widowControl w:val="0"/>
        <w:tabs>
          <w:tab w:val="left" w:pos="2203"/>
          <w:tab w:val="left" w:pos="2909"/>
        </w:tabs>
        <w:adjustRightInd w:val="0"/>
        <w:spacing w:line="360" w:lineRule="auto"/>
        <w:ind w:left="1440" w:right="1440"/>
        <w:rPr>
          <w:color w:val="000000"/>
        </w:rPr>
      </w:pPr>
    </w:p>
    <w:p w:rsidR="00D44FF7" w:rsidRPr="007228C9" w:rsidRDefault="00D44FF7" w:rsidP="00D44FF7">
      <w:pPr>
        <w:widowControl w:val="0"/>
        <w:adjustRightInd w:val="0"/>
        <w:ind w:right="1440"/>
        <w:rPr>
          <w:color w:val="000000"/>
        </w:rPr>
      </w:pPr>
      <w:r w:rsidRPr="007228C9">
        <w:rPr>
          <w:color w:val="000000"/>
        </w:rPr>
        <w:t xml:space="preserve">52 </w:t>
      </w:r>
      <w:proofErr w:type="spellStart"/>
      <w:r w:rsidRPr="007228C9">
        <w:rPr>
          <w:color w:val="000000"/>
        </w:rPr>
        <w:t>Pa.Code</w:t>
      </w:r>
      <w:proofErr w:type="spellEnd"/>
      <w:r w:rsidRPr="007228C9">
        <w:rPr>
          <w:color w:val="000000"/>
        </w:rPr>
        <w:t xml:space="preserve"> § 5.101(a</w:t>
      </w:r>
      <w:proofErr w:type="gramStart"/>
      <w:r w:rsidRPr="007228C9">
        <w:rPr>
          <w:color w:val="000000"/>
        </w:rPr>
        <w:t>)(</w:t>
      </w:r>
      <w:proofErr w:type="gramEnd"/>
      <w:r w:rsidRPr="007228C9">
        <w:rPr>
          <w:color w:val="000000"/>
        </w:rPr>
        <w:t>1)-(7).</w:t>
      </w:r>
    </w:p>
    <w:p w:rsidR="00D44FF7" w:rsidRPr="007228C9" w:rsidRDefault="00D44FF7" w:rsidP="00D44FF7">
      <w:pPr>
        <w:widowControl w:val="0"/>
        <w:adjustRightInd w:val="0"/>
        <w:spacing w:line="360" w:lineRule="auto"/>
        <w:ind w:right="200"/>
        <w:rPr>
          <w:color w:val="000000"/>
        </w:rPr>
      </w:pPr>
    </w:p>
    <w:p w:rsidR="00D44FF7" w:rsidRDefault="00D44FF7" w:rsidP="0047182C">
      <w:pPr>
        <w:tabs>
          <w:tab w:val="left" w:pos="-720"/>
        </w:tabs>
        <w:suppressAutoHyphens/>
        <w:spacing w:line="360" w:lineRule="auto"/>
        <w:ind w:firstLine="1440"/>
      </w:pPr>
      <w:r w:rsidRPr="007228C9">
        <w:t xml:space="preserve">For purposes of disposing of Preliminary Objections, the Commission must accept as true all well </w:t>
      </w:r>
      <w:proofErr w:type="gramStart"/>
      <w:r w:rsidRPr="007228C9">
        <w:t>pleaded,</w:t>
      </w:r>
      <w:proofErr w:type="gramEnd"/>
      <w:r w:rsidRPr="007228C9">
        <w:t xml:space="preserve"> material facts of the nonmoving party, as well as every reasonable inference from those facts.  </w:t>
      </w:r>
      <w:proofErr w:type="gramStart"/>
      <w:r w:rsidRPr="007228C9">
        <w:rPr>
          <w:u w:val="single"/>
        </w:rPr>
        <w:t>County of Allegheny v. Commonwealth of Pennsylvania</w:t>
      </w:r>
      <w:r w:rsidRPr="007228C9">
        <w:t xml:space="preserve">, 490 A.2d 402 (Pa. 1985); </w:t>
      </w:r>
      <w:r w:rsidRPr="007228C9">
        <w:rPr>
          <w:u w:val="single"/>
        </w:rPr>
        <w:t>Commonwealth of Pennsylvania v. Bell Telephone Co. of Pa.</w:t>
      </w:r>
      <w:r w:rsidRPr="007228C9">
        <w:t xml:space="preserve">, 551 A.2d 602 (Pa. </w:t>
      </w:r>
      <w:proofErr w:type="spellStart"/>
      <w:r w:rsidRPr="007228C9">
        <w:t>Cmwlth</w:t>
      </w:r>
      <w:proofErr w:type="spellEnd"/>
      <w:r w:rsidRPr="007228C9">
        <w:t>. 1988).</w:t>
      </w:r>
      <w:proofErr w:type="gramEnd"/>
      <w:r w:rsidRPr="007228C9">
        <w:t xml:space="preserve">  The Commission must view the Complaint in this case in the light most favorable to </w:t>
      </w:r>
      <w:r w:rsidR="009011DC">
        <w:t xml:space="preserve">Mr. </w:t>
      </w:r>
      <w:r w:rsidR="00180B7F">
        <w:t>Crump</w:t>
      </w:r>
      <w:r w:rsidRPr="007228C9">
        <w:t xml:space="preserve"> and should dismiss the Complaint only if it appears that </w:t>
      </w:r>
      <w:r w:rsidR="009011DC">
        <w:t xml:space="preserve">Mr. </w:t>
      </w:r>
      <w:r w:rsidR="00180B7F">
        <w:t xml:space="preserve">Crump </w:t>
      </w:r>
      <w:r w:rsidRPr="007228C9">
        <w:t xml:space="preserve">would not be entitled to relief under any circumstances as a matter of law.  </w:t>
      </w:r>
      <w:r w:rsidRPr="007228C9">
        <w:rPr>
          <w:u w:val="single"/>
        </w:rPr>
        <w:t>Equitable</w:t>
      </w:r>
      <w:r w:rsidRPr="007228C9">
        <w:t xml:space="preserve">, </w:t>
      </w:r>
      <w:r w:rsidRPr="007228C9">
        <w:rPr>
          <w:i/>
        </w:rPr>
        <w:t>supra</w:t>
      </w:r>
      <w:r w:rsidRPr="007228C9">
        <w:t xml:space="preserve">; </w:t>
      </w:r>
      <w:r w:rsidRPr="007228C9">
        <w:rPr>
          <w:i/>
        </w:rPr>
        <w:t>see also</w:t>
      </w:r>
      <w:r w:rsidRPr="007228C9">
        <w:t xml:space="preserve">, </w:t>
      </w:r>
      <w:r w:rsidRPr="007228C9">
        <w:rPr>
          <w:u w:val="single"/>
        </w:rPr>
        <w:t>Interstate Traveler Services, Inc. v. Commonwealth, Department of Environmental Resources</w:t>
      </w:r>
      <w:r w:rsidRPr="007228C9">
        <w:t>, 406 A.2d 1020 (Pa. 1979).</w:t>
      </w:r>
    </w:p>
    <w:p w:rsidR="00CA2D56" w:rsidRDefault="00CA2D56" w:rsidP="0047182C">
      <w:pPr>
        <w:tabs>
          <w:tab w:val="left" w:pos="-720"/>
        </w:tabs>
        <w:suppressAutoHyphens/>
        <w:spacing w:line="360" w:lineRule="auto"/>
        <w:ind w:firstLine="1440"/>
      </w:pPr>
    </w:p>
    <w:p w:rsidR="0008210E" w:rsidRDefault="0008210E" w:rsidP="0047182C">
      <w:pPr>
        <w:tabs>
          <w:tab w:val="left" w:pos="-720"/>
        </w:tabs>
        <w:suppressAutoHyphens/>
        <w:spacing w:line="360" w:lineRule="auto"/>
      </w:pPr>
      <w:r>
        <w:lastRenderedPageBreak/>
        <w:tab/>
      </w:r>
      <w:r>
        <w:tab/>
      </w:r>
      <w:r w:rsidRPr="00E3227F">
        <w:t xml:space="preserve">In civil practice, a Preliminary Objection based on legal insufficiency is referred to as a demurrer.  Preliminary Objections in the form of a demurrer will be sustained only in cases which are free and clear of doubt and where dismissal is clearly warranted by the record.  </w:t>
      </w:r>
      <w:proofErr w:type="gramStart"/>
      <w:r w:rsidRPr="00E3227F">
        <w:rPr>
          <w:u w:val="single"/>
        </w:rPr>
        <w:t xml:space="preserve">Community Life Support Systems, Inc., </w:t>
      </w:r>
      <w:r w:rsidRPr="00E3227F">
        <w:rPr>
          <w:i/>
          <w:u w:val="single"/>
        </w:rPr>
        <w:t>et al</w:t>
      </w:r>
      <w:r w:rsidRPr="00E3227F">
        <w:rPr>
          <w:u w:val="single"/>
        </w:rPr>
        <w:t>. v. Commonwealth of Pennsylvania</w:t>
      </w:r>
      <w:r w:rsidRPr="00E3227F">
        <w:t xml:space="preserve">, 689 A.2d 1014, 1017 (Pa. </w:t>
      </w:r>
      <w:proofErr w:type="spellStart"/>
      <w:r w:rsidRPr="00E3227F">
        <w:t>Cmwlth</w:t>
      </w:r>
      <w:proofErr w:type="spellEnd"/>
      <w:r w:rsidRPr="00E3227F">
        <w:t>. 1997</w:t>
      </w:r>
      <w:r>
        <w:t>) (</w:t>
      </w:r>
      <w:r w:rsidRPr="00E3227F">
        <w:rPr>
          <w:u w:val="single"/>
        </w:rPr>
        <w:t>Community Life</w:t>
      </w:r>
      <w:r w:rsidRPr="00E3227F">
        <w:t>).</w:t>
      </w:r>
      <w:proofErr w:type="gramEnd"/>
      <w:r w:rsidRPr="00E3227F">
        <w:t xml:space="preserve">  Any doubt must be resolved in favor of overruling a demurrer.  </w:t>
      </w:r>
      <w:r w:rsidRPr="00E3227F">
        <w:rPr>
          <w:u w:val="single"/>
        </w:rPr>
        <w:t>Id.</w:t>
      </w:r>
      <w:r w:rsidRPr="00E3227F">
        <w:t xml:space="preserve">; </w:t>
      </w:r>
      <w:r w:rsidRPr="00E3227F">
        <w:rPr>
          <w:i/>
        </w:rPr>
        <w:t>see also</w:t>
      </w:r>
      <w:r w:rsidRPr="00E3227F">
        <w:t xml:space="preserve">, </w:t>
      </w:r>
      <w:r w:rsidRPr="00E3227F">
        <w:rPr>
          <w:u w:val="single"/>
        </w:rPr>
        <w:t>Hoffman v. Misericordia Hospital of Philadelphia</w:t>
      </w:r>
      <w:r w:rsidRPr="00E3227F">
        <w:t xml:space="preserve">, 439 Pa. 501, 267 A.2d 867 (1970) </w:t>
      </w:r>
      <w:r>
        <w:t>(</w:t>
      </w:r>
      <w:r>
        <w:rPr>
          <w:u w:val="single"/>
        </w:rPr>
        <w:t>Hoffman</w:t>
      </w:r>
      <w:r>
        <w:t xml:space="preserve">) </w:t>
      </w:r>
      <w:r w:rsidRPr="00E3227F">
        <w:t>(“the question presented by the demurrer is whether on the facts averred, the law states with certainty that no recovery is possible”).</w:t>
      </w:r>
    </w:p>
    <w:p w:rsidR="00180B7F" w:rsidRDefault="00180B7F" w:rsidP="0047182C">
      <w:pPr>
        <w:tabs>
          <w:tab w:val="left" w:pos="-720"/>
        </w:tabs>
        <w:suppressAutoHyphens/>
        <w:spacing w:line="360" w:lineRule="auto"/>
      </w:pPr>
    </w:p>
    <w:p w:rsidR="00180B7F" w:rsidRDefault="00180B7F" w:rsidP="0047182C">
      <w:pPr>
        <w:tabs>
          <w:tab w:val="left" w:pos="-720"/>
        </w:tabs>
        <w:suppressAutoHyphens/>
        <w:spacing w:line="360" w:lineRule="auto"/>
      </w:pPr>
      <w:r>
        <w:tab/>
      </w:r>
      <w:r>
        <w:tab/>
        <w:t xml:space="preserve">PECO’s Preliminary Objection will be denied and Mr. Crump’s Complaint will be heard before an Administrative Law Judge.  </w:t>
      </w:r>
      <w:r w:rsidR="00C55CE2">
        <w:t>W</w:t>
      </w:r>
      <w:r>
        <w:t>hen accepting as true all well pleaded material facts, and every reasonable inference from those facts, and viewing the Complaint in the light most favorable to Mr. Crump, it is not clear and free from doubt that Mr. Crump is not entitled to any relief under the circumstances as a matter of law and that dismissal is clearly warranted by the record.</w:t>
      </w:r>
    </w:p>
    <w:p w:rsidR="00CA2D56" w:rsidRPr="007228C9" w:rsidRDefault="00CA2D56" w:rsidP="0047182C">
      <w:pPr>
        <w:tabs>
          <w:tab w:val="left" w:pos="-720"/>
        </w:tabs>
        <w:suppressAutoHyphens/>
        <w:spacing w:line="360" w:lineRule="auto"/>
        <w:ind w:firstLine="1440"/>
      </w:pPr>
    </w:p>
    <w:p w:rsidR="00180B7F" w:rsidRDefault="00C55CE2" w:rsidP="0047182C">
      <w:pPr>
        <w:adjustRightInd w:val="0"/>
        <w:spacing w:line="360" w:lineRule="auto"/>
        <w:ind w:firstLine="1440"/>
      </w:pPr>
      <w:r>
        <w:t>In its Preliminary Objection</w:t>
      </w:r>
      <w:r w:rsidR="00D44FF7" w:rsidRPr="007228C9">
        <w:t xml:space="preserve">, </w:t>
      </w:r>
      <w:r w:rsidR="00180B7F">
        <w:t xml:space="preserve">PECO provided extensive legal discussion </w:t>
      </w:r>
      <w:r w:rsidR="0019791B">
        <w:t>in support of</w:t>
      </w:r>
      <w:r w:rsidR="00180B7F">
        <w:t xml:space="preserve"> its position that there are no genuine issues of material fact and that PECO is entitled to judgment as a matter of law with respect to all allegations in the Complaint.  In particular, PECO </w:t>
      </w:r>
      <w:r w:rsidR="0019791B">
        <w:t>reference</w:t>
      </w:r>
      <w:r>
        <w:t>d</w:t>
      </w:r>
      <w:r w:rsidR="0019791B">
        <w:t xml:space="preserve"> </w:t>
      </w:r>
      <w:r w:rsidR="00180B7F">
        <w:t>1) its Smart Meter installation plan approved by the Commission on May 6, 2010 as part of its Smart Meter Technology Procurement and Installation Plan, 2) Act 129 of 2008 signed into law by Governor Rendell on October 15, 2008, 3) the Commission’s Smart Meter Procurement and Installation Implementation Order, 4) multiple Commission decisions and 5) other precedent in supp</w:t>
      </w:r>
      <w:r w:rsidR="00463D1D">
        <w:t>ort of its position.  PECO conclude</w:t>
      </w:r>
      <w:r>
        <w:t>d</w:t>
      </w:r>
      <w:r w:rsidR="00463D1D">
        <w:t xml:space="preserve"> its Preliminary Objection by requesting that Mr. Crump’s Complaint be dismissed.</w:t>
      </w:r>
    </w:p>
    <w:p w:rsidR="00463D1D" w:rsidRDefault="00463D1D" w:rsidP="0047182C">
      <w:pPr>
        <w:adjustRightInd w:val="0"/>
        <w:spacing w:line="360" w:lineRule="auto"/>
        <w:ind w:firstLine="1440"/>
      </w:pPr>
    </w:p>
    <w:p w:rsidR="00C8536F" w:rsidRDefault="00463D1D" w:rsidP="0047182C">
      <w:pPr>
        <w:adjustRightInd w:val="0"/>
        <w:spacing w:line="360" w:lineRule="auto"/>
        <w:ind w:firstLine="1440"/>
      </w:pPr>
      <w:r>
        <w:t xml:space="preserve">As noted above, PECO’s Preliminary Objection was submitted on August 20, 2015.  On September 3, 2015, the Commission entered an Opinion and Order in </w:t>
      </w:r>
      <w:r>
        <w:rPr>
          <w:u w:val="single"/>
        </w:rPr>
        <w:t xml:space="preserve">Susan </w:t>
      </w:r>
      <w:proofErr w:type="spellStart"/>
      <w:r>
        <w:rPr>
          <w:u w:val="single"/>
        </w:rPr>
        <w:t>Kreider</w:t>
      </w:r>
      <w:proofErr w:type="spellEnd"/>
      <w:r>
        <w:rPr>
          <w:u w:val="single"/>
        </w:rPr>
        <w:t xml:space="preserve"> v. PECO Energy Company</w:t>
      </w:r>
      <w:r>
        <w:t xml:space="preserve">, Docket No. P-2009-2495064 (Opinion and </w:t>
      </w:r>
      <w:r>
        <w:lastRenderedPageBreak/>
        <w:t>Order entered September 3, 2015) (</w:t>
      </w:r>
      <w:proofErr w:type="spellStart"/>
      <w:r>
        <w:rPr>
          <w:u w:val="single"/>
        </w:rPr>
        <w:t>Kreider</w:t>
      </w:r>
      <w:proofErr w:type="spellEnd"/>
      <w:r>
        <w:rPr>
          <w:u w:val="single"/>
        </w:rPr>
        <w:t xml:space="preserve"> Order</w:t>
      </w:r>
      <w:r>
        <w:t xml:space="preserve">).  In the </w:t>
      </w:r>
      <w:proofErr w:type="spellStart"/>
      <w:r>
        <w:rPr>
          <w:u w:val="single"/>
        </w:rPr>
        <w:t>Kreider</w:t>
      </w:r>
      <w:proofErr w:type="spellEnd"/>
      <w:r>
        <w:rPr>
          <w:u w:val="single"/>
        </w:rPr>
        <w:t xml:space="preserve"> Order</w:t>
      </w:r>
      <w:r>
        <w:t xml:space="preserve">, </w:t>
      </w:r>
      <w:r w:rsidR="000D064B">
        <w:t xml:space="preserve">PECO filed a Petition for Interlocutory Review and Answer to Material Question </w:t>
      </w:r>
      <w:r w:rsidR="00C55CE2">
        <w:t xml:space="preserve">seeking </w:t>
      </w:r>
      <w:r w:rsidR="000D064B">
        <w:t xml:space="preserve">Commission guidance on whether the decision of the Presiding Officer to deny a Motion in </w:t>
      </w:r>
      <w:proofErr w:type="spellStart"/>
      <w:r w:rsidR="000D064B">
        <w:t>Limine</w:t>
      </w:r>
      <w:proofErr w:type="spellEnd"/>
      <w:r w:rsidR="000D064B">
        <w:t xml:space="preserve"> seeking to exclude a complainant’s claim of health effects and disability arisin</w:t>
      </w:r>
      <w:r w:rsidR="00C8536F">
        <w:t>g from a smart meter should be rev</w:t>
      </w:r>
      <w:r w:rsidR="0019791B">
        <w:t>i</w:t>
      </w:r>
      <w:r w:rsidR="00C8536F">
        <w:t xml:space="preserve">sed.  The facts and circumstances in the </w:t>
      </w:r>
      <w:proofErr w:type="spellStart"/>
      <w:r w:rsidR="00C8536F">
        <w:rPr>
          <w:u w:val="single"/>
        </w:rPr>
        <w:t>Kreider</w:t>
      </w:r>
      <w:proofErr w:type="spellEnd"/>
      <w:r w:rsidR="00C8536F">
        <w:rPr>
          <w:u w:val="single"/>
        </w:rPr>
        <w:t xml:space="preserve"> Order</w:t>
      </w:r>
      <w:r w:rsidR="00C8536F">
        <w:t xml:space="preserve"> are substantially similar to those in Mr. Crump’s Complaint.  </w:t>
      </w:r>
    </w:p>
    <w:p w:rsidR="00C8536F" w:rsidRDefault="00C8536F" w:rsidP="0047182C">
      <w:pPr>
        <w:adjustRightInd w:val="0"/>
        <w:spacing w:line="360" w:lineRule="auto"/>
        <w:ind w:firstLine="1440"/>
      </w:pPr>
    </w:p>
    <w:p w:rsidR="00463D1D" w:rsidRPr="00C8536F" w:rsidRDefault="00C8536F" w:rsidP="0047182C">
      <w:pPr>
        <w:adjustRightInd w:val="0"/>
        <w:spacing w:line="360" w:lineRule="auto"/>
        <w:ind w:firstLine="1440"/>
      </w:pPr>
      <w:r>
        <w:t xml:space="preserve">For example, the Commission noted that, in her Complaint, Ms. </w:t>
      </w:r>
      <w:proofErr w:type="spellStart"/>
      <w:r>
        <w:t>Kreider</w:t>
      </w:r>
      <w:proofErr w:type="spellEnd"/>
      <w:r>
        <w:t xml:space="preserve"> raised factual averments regarding the specific health effects she has experienced after the smart meter was installed outside her bedroom, noting that she is diagnosed with a Vaccine Injury, a variant of Guillain-Barre Syndrome that makes her particular</w:t>
      </w:r>
      <w:r w:rsidR="0019791B">
        <w:t xml:space="preserve">ly susceptible </w:t>
      </w:r>
      <w:r>
        <w:t xml:space="preserve">to the signal from the smart meter.  </w:t>
      </w:r>
      <w:proofErr w:type="spellStart"/>
      <w:proofErr w:type="gramStart"/>
      <w:r w:rsidR="0019791B" w:rsidRPr="00C8536F">
        <w:rPr>
          <w:u w:val="single"/>
        </w:rPr>
        <w:t>Kreider</w:t>
      </w:r>
      <w:proofErr w:type="spellEnd"/>
      <w:r w:rsidR="0019791B" w:rsidRPr="00C8536F">
        <w:rPr>
          <w:u w:val="single"/>
        </w:rPr>
        <w:t xml:space="preserve"> Order</w:t>
      </w:r>
      <w:r w:rsidR="0019791B">
        <w:t xml:space="preserve"> at 16.</w:t>
      </w:r>
      <w:proofErr w:type="gramEnd"/>
      <w:r w:rsidR="0019791B">
        <w:t xml:space="preserve">  </w:t>
      </w:r>
      <w:r>
        <w:t xml:space="preserve">Ms. </w:t>
      </w:r>
      <w:proofErr w:type="spellStart"/>
      <w:r>
        <w:t>Kreider</w:t>
      </w:r>
      <w:proofErr w:type="spellEnd"/>
      <w:r>
        <w:t xml:space="preserve"> also averred in her complaint, among other things, that she experienced new deleterious health symptoms, increasing in severity with time and exposure, after the smart meter was installed outside her home. </w:t>
      </w:r>
      <w:r w:rsidR="0019791B">
        <w:t xml:space="preserve"> </w:t>
      </w:r>
      <w:r w:rsidR="0019791B">
        <w:rPr>
          <w:u w:val="single"/>
        </w:rPr>
        <w:t>Id.</w:t>
      </w:r>
      <w:r>
        <w:t xml:space="preserve"> at 15-16.  </w:t>
      </w:r>
      <w:r w:rsidRPr="00C8536F">
        <w:t>Likewise</w:t>
      </w:r>
      <w:r>
        <w:t xml:space="preserve">, PECO provided similar legal argument </w:t>
      </w:r>
      <w:r w:rsidR="0019791B">
        <w:t xml:space="preserve">in that case </w:t>
      </w:r>
      <w:r>
        <w:t xml:space="preserve">regarding why the alleged health effects caused by the smart meter should be stricken from Ms. </w:t>
      </w:r>
      <w:proofErr w:type="spellStart"/>
      <w:r>
        <w:t>Kreider’s</w:t>
      </w:r>
      <w:proofErr w:type="spellEnd"/>
      <w:r>
        <w:t xml:space="preserve"> complaint.  </w:t>
      </w:r>
      <w:r>
        <w:rPr>
          <w:u w:val="single"/>
        </w:rPr>
        <w:t>Id.</w:t>
      </w:r>
      <w:r>
        <w:t xml:space="preserve"> at 3-4.</w:t>
      </w:r>
    </w:p>
    <w:p w:rsidR="00C8536F" w:rsidRDefault="00C8536F" w:rsidP="0047182C">
      <w:pPr>
        <w:adjustRightInd w:val="0"/>
        <w:spacing w:line="360" w:lineRule="auto"/>
        <w:ind w:firstLine="1440"/>
      </w:pPr>
    </w:p>
    <w:p w:rsidR="00C8536F" w:rsidRDefault="00C8536F" w:rsidP="0047182C">
      <w:pPr>
        <w:adjustRightInd w:val="0"/>
        <w:spacing w:line="360" w:lineRule="auto"/>
        <w:ind w:firstLine="1440"/>
      </w:pPr>
      <w:r>
        <w:t xml:space="preserve">In </w:t>
      </w:r>
      <w:r w:rsidR="0019791B">
        <w:t>disposing of PECO’s Petition</w:t>
      </w:r>
      <w:r>
        <w:t xml:space="preserve">, the Commission held: “we conclude that the law does not prohibit us from considering or holding a hearing on issues related to the safety of smart meters, consistent with our statutory authority in Section 1501 of the Code, when a legally sufficient claim is present.”  </w:t>
      </w:r>
      <w:proofErr w:type="gramStart"/>
      <w:r>
        <w:rPr>
          <w:u w:val="single"/>
        </w:rPr>
        <w:t>Id.</w:t>
      </w:r>
      <w:r>
        <w:t xml:space="preserve"> at 17.</w:t>
      </w:r>
      <w:proofErr w:type="gramEnd"/>
      <w:r w:rsidR="005B5086">
        <w:rPr>
          <w:rStyle w:val="FootnoteReference"/>
        </w:rPr>
        <w:footnoteReference w:id="1"/>
      </w:r>
      <w:r>
        <w:t xml:space="preserve">  Furthermore, the Commission held: “</w:t>
      </w:r>
      <w:r w:rsidR="00475213">
        <w:t xml:space="preserve">the Complainant will have the burden of proof during the proceeding to demonstrate, by a preponderance of the evidence, that PECO is responsible or accountable for the problem described in the Complaint.”  </w:t>
      </w:r>
      <w:proofErr w:type="gramStart"/>
      <w:r w:rsidR="00475213">
        <w:rPr>
          <w:u w:val="single"/>
        </w:rPr>
        <w:t>Id.</w:t>
      </w:r>
      <w:r w:rsidR="00475213">
        <w:t xml:space="preserve"> at 18.</w:t>
      </w:r>
      <w:proofErr w:type="gramEnd"/>
      <w:r w:rsidR="00475213">
        <w:t xml:space="preserve">  The Commission returned the matter to the presiding officer for hearings, noting that the decision allowing “the averments regarding health effects relating to the smart meter to be scheduled for hearing is based on the specific allegations by the complainant under the circumstances in </w:t>
      </w:r>
      <w:r w:rsidR="00475213">
        <w:lastRenderedPageBreak/>
        <w:t xml:space="preserve">this case and is not intended to create the broad-reaching precedent that PECO alludes to in its Petition.”  </w:t>
      </w:r>
      <w:proofErr w:type="gramStart"/>
      <w:r w:rsidR="00475213">
        <w:rPr>
          <w:u w:val="single"/>
        </w:rPr>
        <w:t>Id.</w:t>
      </w:r>
      <w:r w:rsidR="00475213">
        <w:t xml:space="preserve"> at 19.</w:t>
      </w:r>
      <w:proofErr w:type="gramEnd"/>
    </w:p>
    <w:p w:rsidR="00475213" w:rsidRDefault="00475213" w:rsidP="0047182C">
      <w:pPr>
        <w:adjustRightInd w:val="0"/>
        <w:spacing w:line="360" w:lineRule="auto"/>
        <w:ind w:firstLine="1440"/>
      </w:pPr>
    </w:p>
    <w:p w:rsidR="00AB26AA" w:rsidRDefault="00475213" w:rsidP="0047182C">
      <w:pPr>
        <w:adjustRightInd w:val="0"/>
        <w:spacing w:line="360" w:lineRule="auto"/>
        <w:ind w:firstLine="1440"/>
      </w:pPr>
      <w:r>
        <w:t xml:space="preserve">As a result, it appears from a plain reading of the </w:t>
      </w:r>
      <w:proofErr w:type="spellStart"/>
      <w:r>
        <w:rPr>
          <w:u w:val="single"/>
        </w:rPr>
        <w:t>Kreider</w:t>
      </w:r>
      <w:proofErr w:type="spellEnd"/>
      <w:r>
        <w:rPr>
          <w:u w:val="single"/>
        </w:rPr>
        <w:t xml:space="preserve"> Order</w:t>
      </w:r>
      <w:r>
        <w:t xml:space="preserve"> that complaints regarding smart meters should not be dismissed on a preliminary motion when a “legally sufficient claim is present”</w:t>
      </w:r>
      <w:r w:rsidR="0019791B">
        <w:t xml:space="preserve"> regarding the safety of the meter.</w:t>
      </w:r>
      <w:r>
        <w:t xml:space="preserve">  In this case, a legally sufficient claim is present based on Mr. Crump’s averment in his Complaint that he does not wish to have his meter upgraded because he is “concerned how it may adversely affect my heart health” and the accompanying letter on professional stationery which states that “Mr. Robert Crump has been a patient in my care since June of 2011.  His diagnosis is Wolf-Parkinson-White Syndrome.”</w:t>
      </w:r>
      <w:r w:rsidR="00DD4BEA">
        <w:rPr>
          <w:rStyle w:val="FootnoteReference"/>
        </w:rPr>
        <w:footnoteReference w:id="2"/>
      </w:r>
      <w:r>
        <w:t xml:space="preserve">  Although Mr. Crump’s averment regarding his </w:t>
      </w:r>
      <w:r w:rsidR="005B5086">
        <w:t xml:space="preserve">health </w:t>
      </w:r>
      <w:r>
        <w:t xml:space="preserve">claim does not appear to be as detailed as Ms. </w:t>
      </w:r>
      <w:proofErr w:type="spellStart"/>
      <w:r>
        <w:t>Kreider’s</w:t>
      </w:r>
      <w:proofErr w:type="spellEnd"/>
      <w:r>
        <w:t xml:space="preserve"> claim was in her complaint, Mr. Crump’s averment regarding his “heart health” is sufficient to allow his Complaint to proceed to a hearing and not be dismissed on a preliminary basis.  </w:t>
      </w:r>
    </w:p>
    <w:p w:rsidR="00AB26AA" w:rsidRDefault="00AB26AA" w:rsidP="0047182C">
      <w:pPr>
        <w:adjustRightInd w:val="0"/>
        <w:spacing w:line="360" w:lineRule="auto"/>
        <w:ind w:firstLine="1440"/>
      </w:pPr>
    </w:p>
    <w:p w:rsidR="00A01DF5" w:rsidRDefault="00475213" w:rsidP="0047182C">
      <w:pPr>
        <w:pStyle w:val="Style"/>
        <w:widowControl/>
        <w:spacing w:line="360" w:lineRule="auto"/>
        <w:ind w:firstLine="1440"/>
        <w:rPr>
          <w:color w:val="000000"/>
        </w:rPr>
      </w:pPr>
      <w:r>
        <w:t xml:space="preserve">This is true in light of </w:t>
      </w:r>
      <w:r w:rsidR="00A01DF5" w:rsidRPr="00571F41">
        <w:rPr>
          <w:color w:val="000000"/>
          <w:u w:val="single"/>
        </w:rPr>
        <w:t xml:space="preserve">Richard </w:t>
      </w:r>
      <w:proofErr w:type="spellStart"/>
      <w:r w:rsidR="00A01DF5" w:rsidRPr="00571F41">
        <w:rPr>
          <w:color w:val="000000"/>
          <w:u w:val="single"/>
        </w:rPr>
        <w:t>Carlock</w:t>
      </w:r>
      <w:proofErr w:type="spellEnd"/>
      <w:r w:rsidR="00A01DF5" w:rsidRPr="00571F41">
        <w:rPr>
          <w:color w:val="000000"/>
          <w:u w:val="single"/>
        </w:rPr>
        <w:t xml:space="preserve"> v</w:t>
      </w:r>
      <w:r w:rsidR="00A01DF5" w:rsidRPr="00476CF0">
        <w:rPr>
          <w:color w:val="000000"/>
          <w:u w:val="single"/>
        </w:rPr>
        <w:t xml:space="preserve">. </w:t>
      </w:r>
      <w:r w:rsidR="00A01DF5">
        <w:rPr>
          <w:color w:val="000000"/>
          <w:u w:val="single"/>
        </w:rPr>
        <w:t>The United Telephone Company of Pennsylvania</w:t>
      </w:r>
      <w:r w:rsidR="00A01DF5">
        <w:rPr>
          <w:color w:val="000000"/>
        </w:rPr>
        <w:t>, Docket No. F-00163617</w:t>
      </w:r>
      <w:r w:rsidR="00D266A2">
        <w:rPr>
          <w:color w:val="000000"/>
        </w:rPr>
        <w:t xml:space="preserve"> (O</w:t>
      </w:r>
      <w:r w:rsidR="00A01DF5">
        <w:rPr>
          <w:color w:val="000000"/>
        </w:rPr>
        <w:t>rder entered July 14, 1993</w:t>
      </w:r>
      <w:proofErr w:type="gramStart"/>
      <w:r w:rsidR="00A01DF5">
        <w:rPr>
          <w:color w:val="000000"/>
        </w:rPr>
        <w:t>)(</w:t>
      </w:r>
      <w:proofErr w:type="spellStart"/>
      <w:proofErr w:type="gramEnd"/>
      <w:r w:rsidR="00A01DF5">
        <w:rPr>
          <w:color w:val="000000"/>
          <w:u w:val="single"/>
        </w:rPr>
        <w:t>Carlock</w:t>
      </w:r>
      <w:proofErr w:type="spellEnd"/>
      <w:r w:rsidR="00A01DF5">
        <w:rPr>
          <w:color w:val="000000"/>
        </w:rPr>
        <w:t xml:space="preserve">).  In </w:t>
      </w:r>
      <w:proofErr w:type="spellStart"/>
      <w:r w:rsidR="00A01DF5">
        <w:rPr>
          <w:color w:val="000000"/>
          <w:u w:val="single"/>
        </w:rPr>
        <w:t>Carlock</w:t>
      </w:r>
      <w:proofErr w:type="spellEnd"/>
      <w:r w:rsidR="00A01DF5">
        <w:rPr>
          <w:color w:val="000000"/>
        </w:rPr>
        <w:t xml:space="preserve">, the Commission determined that unrepresented complainants should have an opportunity to be heard orally, and not have their case dismissed on the basis of a preliminary pleading.  </w:t>
      </w:r>
      <w:r w:rsidR="00A01DF5">
        <w:rPr>
          <w:color w:val="000000"/>
          <w:u w:val="single"/>
        </w:rPr>
        <w:t>Id.</w:t>
      </w:r>
      <w:r w:rsidR="00A01DF5">
        <w:rPr>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00A01DF5">
        <w:rPr>
          <w:i/>
          <w:color w:val="000000"/>
        </w:rPr>
        <w:t>citing</w:t>
      </w:r>
      <w:r w:rsidR="00A01DF5">
        <w:rPr>
          <w:color w:val="000000"/>
        </w:rPr>
        <w:t xml:space="preserve">, </w:t>
      </w:r>
      <w:r w:rsidR="00A01DF5">
        <w:rPr>
          <w:color w:val="000000"/>
          <w:u w:val="single"/>
        </w:rPr>
        <w:t>Halpern v. The Bell Telephone Company of Pennsylvania</w:t>
      </w:r>
      <w:r w:rsidR="00A01DF5">
        <w:rPr>
          <w:color w:val="000000"/>
        </w:rPr>
        <w:t xml:space="preserve">, Docket No. </w:t>
      </w:r>
      <w:proofErr w:type="gramStart"/>
      <w:r w:rsidR="00A01DF5">
        <w:rPr>
          <w:color w:val="000000"/>
        </w:rPr>
        <w:t>C-00923950</w:t>
      </w:r>
      <w:r w:rsidR="00D266A2">
        <w:rPr>
          <w:color w:val="000000"/>
        </w:rPr>
        <w:t xml:space="preserve"> (</w:t>
      </w:r>
      <w:r w:rsidR="00A01DF5">
        <w:rPr>
          <w:color w:val="000000"/>
        </w:rPr>
        <w:t xml:space="preserve">Order entered October 1992) and </w:t>
      </w:r>
      <w:r w:rsidR="00A01DF5">
        <w:rPr>
          <w:color w:val="000000"/>
          <w:u w:val="single"/>
        </w:rPr>
        <w:t xml:space="preserve">William </w:t>
      </w:r>
      <w:proofErr w:type="spellStart"/>
      <w:r w:rsidR="00A01DF5">
        <w:rPr>
          <w:color w:val="000000"/>
          <w:u w:val="single"/>
        </w:rPr>
        <w:t>Schleisher</w:t>
      </w:r>
      <w:proofErr w:type="spellEnd"/>
      <w:r w:rsidR="00A01DF5">
        <w:rPr>
          <w:color w:val="000000"/>
          <w:u w:val="single"/>
        </w:rPr>
        <w:t xml:space="preserve"> v.</w:t>
      </w:r>
      <w:proofErr w:type="gramEnd"/>
      <w:r w:rsidR="00A01DF5">
        <w:rPr>
          <w:color w:val="000000"/>
          <w:u w:val="single"/>
        </w:rPr>
        <w:t xml:space="preserve"> The Bell Telephone Company of Pennsylvania</w:t>
      </w:r>
      <w:r w:rsidR="00A01DF5">
        <w:rPr>
          <w:color w:val="000000"/>
        </w:rPr>
        <w:t xml:space="preserve">, Docket </w:t>
      </w:r>
      <w:r w:rsidR="00A01DF5">
        <w:rPr>
          <w:color w:val="000000"/>
        </w:rPr>
        <w:lastRenderedPageBreak/>
        <w:t>No. F-00161252 (</w:t>
      </w:r>
      <w:r w:rsidR="00D266A2">
        <w:rPr>
          <w:color w:val="000000"/>
        </w:rPr>
        <w:t xml:space="preserve">Order entered </w:t>
      </w:r>
      <w:r w:rsidR="00A01DF5">
        <w:rPr>
          <w:color w:val="000000"/>
        </w:rPr>
        <w:t xml:space="preserve">December 17, 1992); </w:t>
      </w:r>
      <w:r w:rsidR="00A01DF5">
        <w:rPr>
          <w:i/>
          <w:color w:val="000000"/>
        </w:rPr>
        <w:t>see also</w:t>
      </w:r>
      <w:r w:rsidR="00A01DF5">
        <w:rPr>
          <w:color w:val="000000"/>
        </w:rPr>
        <w:t xml:space="preserve">, </w:t>
      </w:r>
      <w:r w:rsidR="00A01DF5">
        <w:rPr>
          <w:color w:val="000000"/>
          <w:u w:val="single"/>
        </w:rPr>
        <w:t>John M. Gera v. PPL Electric Utilities Corporation</w:t>
      </w:r>
      <w:r w:rsidR="00A01DF5">
        <w:rPr>
          <w:color w:val="000000"/>
        </w:rPr>
        <w:t>, Docket No. C-20054657</w:t>
      </w:r>
      <w:r w:rsidR="00D266A2">
        <w:rPr>
          <w:color w:val="000000"/>
        </w:rPr>
        <w:t xml:space="preserve"> (Opinion and Order </w:t>
      </w:r>
      <w:r w:rsidR="00A01DF5">
        <w:rPr>
          <w:color w:val="000000"/>
        </w:rPr>
        <w:t>entered November 2, 2005).</w:t>
      </w:r>
      <w:r w:rsidR="00A01DF5">
        <w:rPr>
          <w:rStyle w:val="FootnoteReference"/>
          <w:color w:val="000000"/>
        </w:rPr>
        <w:footnoteReference w:id="3"/>
      </w:r>
      <w:r w:rsidR="00A01DF5">
        <w:rPr>
          <w:color w:val="000000"/>
        </w:rPr>
        <w:t xml:space="preserve">  The Commission specifically referenced </w:t>
      </w:r>
      <w:proofErr w:type="spellStart"/>
      <w:r w:rsidR="00A01DF5">
        <w:rPr>
          <w:color w:val="000000"/>
          <w:u w:val="single"/>
        </w:rPr>
        <w:t>Carlock</w:t>
      </w:r>
      <w:proofErr w:type="spellEnd"/>
      <w:r w:rsidR="00A01DF5">
        <w:rPr>
          <w:color w:val="000000"/>
        </w:rPr>
        <w:t xml:space="preserve"> in the </w:t>
      </w:r>
      <w:proofErr w:type="spellStart"/>
      <w:r w:rsidR="00A01DF5">
        <w:rPr>
          <w:color w:val="000000"/>
          <w:u w:val="single"/>
        </w:rPr>
        <w:t>Kreider</w:t>
      </w:r>
      <w:proofErr w:type="spellEnd"/>
      <w:r w:rsidR="00A01DF5">
        <w:rPr>
          <w:color w:val="000000"/>
          <w:u w:val="single"/>
        </w:rPr>
        <w:t xml:space="preserve"> Order</w:t>
      </w:r>
      <w:r w:rsidR="00A01DF5">
        <w:rPr>
          <w:color w:val="000000"/>
        </w:rPr>
        <w:t xml:space="preserve">.  As a result, in this case, it may be the case that Mr. Crump, for example, could demonstrate orally why he should be allowed to keep his analog meter and not have a smart meter installed because a smart meter would be unsafe and therefore inconsistent with the Commission’s statutory authority in Section 1501. </w:t>
      </w:r>
    </w:p>
    <w:p w:rsidR="00A01DF5" w:rsidRDefault="00A01DF5" w:rsidP="0047182C">
      <w:pPr>
        <w:pStyle w:val="Style"/>
        <w:widowControl/>
        <w:spacing w:line="360" w:lineRule="auto"/>
        <w:ind w:firstLine="1440"/>
        <w:rPr>
          <w:color w:val="000000"/>
        </w:rPr>
      </w:pPr>
    </w:p>
    <w:p w:rsidR="005B5086" w:rsidRPr="005B5086" w:rsidRDefault="00D266A2" w:rsidP="0047182C">
      <w:pPr>
        <w:pStyle w:val="Style"/>
        <w:widowControl/>
        <w:spacing w:line="360" w:lineRule="auto"/>
        <w:ind w:firstLine="1440"/>
        <w:rPr>
          <w:color w:val="000000"/>
        </w:rPr>
      </w:pPr>
      <w:r>
        <w:rPr>
          <w:color w:val="000000"/>
        </w:rPr>
        <w:t>Furthermore, i</w:t>
      </w:r>
      <w:r w:rsidR="005B5086">
        <w:rPr>
          <w:color w:val="000000"/>
        </w:rPr>
        <w:t xml:space="preserve">n its Preliminary Objection, PECO referenced </w:t>
      </w:r>
      <w:r w:rsidR="005B5086">
        <w:rPr>
          <w:color w:val="000000"/>
          <w:u w:val="single"/>
        </w:rPr>
        <w:t>Paul v. PECO Energy</w:t>
      </w:r>
      <w:r w:rsidR="005B5086">
        <w:rPr>
          <w:color w:val="000000"/>
        </w:rPr>
        <w:t xml:space="preserve">, Docket No. C-2015-2475355 (Initial Decision issued July 15, 2015) </w:t>
      </w:r>
      <w:r>
        <w:rPr>
          <w:color w:val="000000"/>
        </w:rPr>
        <w:t>(</w:t>
      </w:r>
      <w:r w:rsidRPr="00D266A2">
        <w:rPr>
          <w:color w:val="000000"/>
          <w:u w:val="single"/>
        </w:rPr>
        <w:t>Paul</w:t>
      </w:r>
      <w:r>
        <w:rPr>
          <w:color w:val="000000"/>
        </w:rPr>
        <w:t xml:space="preserve">) </w:t>
      </w:r>
      <w:r w:rsidR="005B5086" w:rsidRPr="00D266A2">
        <w:rPr>
          <w:color w:val="000000"/>
        </w:rPr>
        <w:t>where</w:t>
      </w:r>
      <w:r w:rsidR="005B5086">
        <w:rPr>
          <w:color w:val="000000"/>
        </w:rPr>
        <w:t xml:space="preserve"> the Company’s preliminary objection </w:t>
      </w:r>
      <w:r w:rsidR="008D52F8">
        <w:rPr>
          <w:color w:val="000000"/>
        </w:rPr>
        <w:t xml:space="preserve">was granted </w:t>
      </w:r>
      <w:r w:rsidR="005B5086">
        <w:rPr>
          <w:color w:val="000000"/>
        </w:rPr>
        <w:t xml:space="preserve">and the complaint </w:t>
      </w:r>
      <w:r w:rsidR="008D52F8">
        <w:rPr>
          <w:color w:val="000000"/>
        </w:rPr>
        <w:t xml:space="preserve">was dismissed.  In that order I, it was noted </w:t>
      </w:r>
      <w:r w:rsidR="005B5086">
        <w:rPr>
          <w:color w:val="000000"/>
        </w:rPr>
        <w:t xml:space="preserve">that “the Commission has previously rejected arguments regarding any medical implications caused by smart meters as reasons for opting out of smart meter installation.”  Yet, </w:t>
      </w:r>
      <w:r>
        <w:rPr>
          <w:color w:val="000000"/>
        </w:rPr>
        <w:t xml:space="preserve">the decision in </w:t>
      </w:r>
      <w:r>
        <w:rPr>
          <w:color w:val="000000"/>
          <w:u w:val="single"/>
        </w:rPr>
        <w:t>Paul</w:t>
      </w:r>
      <w:r>
        <w:rPr>
          <w:color w:val="000000"/>
        </w:rPr>
        <w:t xml:space="preserve"> </w:t>
      </w:r>
      <w:r w:rsidR="005B5086">
        <w:rPr>
          <w:color w:val="000000"/>
        </w:rPr>
        <w:t xml:space="preserve">was made prior to the Commission’s recent decision in the </w:t>
      </w:r>
      <w:proofErr w:type="spellStart"/>
      <w:r w:rsidR="005B5086">
        <w:rPr>
          <w:color w:val="000000"/>
          <w:u w:val="single"/>
        </w:rPr>
        <w:t>Kreider</w:t>
      </w:r>
      <w:proofErr w:type="spellEnd"/>
      <w:r w:rsidR="005B5086">
        <w:rPr>
          <w:color w:val="000000"/>
          <w:u w:val="single"/>
        </w:rPr>
        <w:t xml:space="preserve"> Order</w:t>
      </w:r>
      <w:r w:rsidR="005B5086">
        <w:rPr>
          <w:color w:val="000000"/>
        </w:rPr>
        <w:t xml:space="preserve">.  In light of the </w:t>
      </w:r>
      <w:proofErr w:type="spellStart"/>
      <w:r w:rsidR="005B5086">
        <w:rPr>
          <w:color w:val="000000"/>
          <w:u w:val="single"/>
        </w:rPr>
        <w:t>Kreider</w:t>
      </w:r>
      <w:proofErr w:type="spellEnd"/>
      <w:r w:rsidR="005B5086">
        <w:rPr>
          <w:color w:val="000000"/>
          <w:u w:val="single"/>
        </w:rPr>
        <w:t xml:space="preserve"> Order</w:t>
      </w:r>
      <w:r w:rsidR="005B5086">
        <w:rPr>
          <w:color w:val="000000"/>
        </w:rPr>
        <w:t>, medical implications caused by smart meters, such as the one raised by Mr. Crump in this case, should not be dismissed on a preliminary basis if a legally sufficient claim is present.  PECO’s Preliminary Objection should be denied because Mr. Crump has made such a legally sufficient claim.</w:t>
      </w:r>
    </w:p>
    <w:p w:rsidR="005B5086" w:rsidRDefault="005B5086" w:rsidP="0047182C">
      <w:pPr>
        <w:pStyle w:val="Style"/>
        <w:widowControl/>
        <w:spacing w:line="360" w:lineRule="auto"/>
        <w:ind w:firstLine="1440"/>
        <w:rPr>
          <w:color w:val="000000"/>
        </w:rPr>
      </w:pPr>
    </w:p>
    <w:p w:rsidR="00C8536F" w:rsidRDefault="00A01DF5" w:rsidP="0047182C">
      <w:pPr>
        <w:adjustRightInd w:val="0"/>
        <w:spacing w:line="360" w:lineRule="auto"/>
        <w:ind w:firstLine="1440"/>
      </w:pPr>
      <w:r>
        <w:t xml:space="preserve">Finally, it is noted that PECO filed a Petition for Reconsideration of the </w:t>
      </w:r>
      <w:proofErr w:type="spellStart"/>
      <w:r>
        <w:rPr>
          <w:u w:val="single"/>
        </w:rPr>
        <w:t>Kreider</w:t>
      </w:r>
      <w:proofErr w:type="spellEnd"/>
      <w:r>
        <w:rPr>
          <w:u w:val="single"/>
        </w:rPr>
        <w:t xml:space="preserve"> Order</w:t>
      </w:r>
      <w:r w:rsidR="00085CCF">
        <w:t xml:space="preserve"> on September 18, 2015.  In its Petition, PECO argued </w:t>
      </w:r>
      <w:r w:rsidR="00F06E9A">
        <w:t xml:space="preserve">that the Commission’s decision is a “significant reversal of established law and policy with respect to advanced metering infrastructure” and requested that the Commission reconsider and reverse its decision.  PECO argued, among other things, that the General Assembly and the Commission have previously concluded that smart meters constitute safe and reasonable utility service in accordance with Section 1501 and reiterated the </w:t>
      </w:r>
      <w:r w:rsidR="005B5086">
        <w:t xml:space="preserve">multiple </w:t>
      </w:r>
      <w:r w:rsidR="00F06E9A">
        <w:t xml:space="preserve">prior Commission decisions on this issue.  Having only recently been filed, </w:t>
      </w:r>
      <w:r w:rsidR="00F06E9A">
        <w:lastRenderedPageBreak/>
        <w:t xml:space="preserve">PECO’s Petition remains outstanding.  </w:t>
      </w:r>
      <w:r w:rsidR="00085CCF">
        <w:t xml:space="preserve">It, therefore, may be the case that the Commission modifies or reverses its position articulated in the </w:t>
      </w:r>
      <w:proofErr w:type="spellStart"/>
      <w:r w:rsidR="00085CCF">
        <w:rPr>
          <w:u w:val="single"/>
        </w:rPr>
        <w:t>Kreider</w:t>
      </w:r>
      <w:proofErr w:type="spellEnd"/>
      <w:r w:rsidR="00085CCF">
        <w:rPr>
          <w:u w:val="single"/>
        </w:rPr>
        <w:t xml:space="preserve"> Order</w:t>
      </w:r>
      <w:r w:rsidR="00085CCF">
        <w:t xml:space="preserve">.  To the extent such Commission action occurs during the pendency of Mr. Crump’s Complaint, </w:t>
      </w:r>
      <w:r w:rsidR="005B5086">
        <w:t xml:space="preserve">PECO can </w:t>
      </w:r>
      <w:r w:rsidR="00D266A2">
        <w:t>take such action as it may deem appropriate here</w:t>
      </w:r>
      <w:r w:rsidR="00085CCF">
        <w:t xml:space="preserve">.  At this time, however, the </w:t>
      </w:r>
      <w:proofErr w:type="spellStart"/>
      <w:r w:rsidR="00085CCF">
        <w:rPr>
          <w:u w:val="single"/>
        </w:rPr>
        <w:t>Kreider</w:t>
      </w:r>
      <w:proofErr w:type="spellEnd"/>
      <w:r w:rsidR="00085CCF">
        <w:rPr>
          <w:u w:val="single"/>
        </w:rPr>
        <w:t xml:space="preserve"> Order</w:t>
      </w:r>
      <w:r w:rsidR="00085CCF">
        <w:t xml:space="preserve"> remains applicable to the averments presented by Mr. Crump in his Complaint and will govern this proceeding.</w:t>
      </w:r>
    </w:p>
    <w:p w:rsidR="00BF4D56" w:rsidRDefault="00BF4D56" w:rsidP="0047182C">
      <w:pPr>
        <w:adjustRightInd w:val="0"/>
        <w:spacing w:line="360" w:lineRule="auto"/>
        <w:ind w:firstLine="1440"/>
      </w:pPr>
    </w:p>
    <w:p w:rsidR="00180B7F" w:rsidRPr="00BF4D56" w:rsidRDefault="00BF4D56" w:rsidP="0047182C">
      <w:pPr>
        <w:adjustRightInd w:val="0"/>
        <w:spacing w:line="360" w:lineRule="auto"/>
        <w:ind w:firstLine="1440"/>
      </w:pPr>
      <w:r>
        <w:t xml:space="preserve">As a result, PECO’s Preliminary Objection will be denied and Mr. Crump’s Complaint will be allowed to proceed to a hearing.  </w:t>
      </w:r>
      <w:r w:rsidR="005B5086">
        <w:t>W</w:t>
      </w:r>
      <w:r>
        <w:t>hen accepting as true all well pleaded material facts, and every reasonable inference from those facts, and viewing the Complaint in the light most favorable to Mr. Crump, it is not clear and free from doubt that Mr. Crump is not entitled to any relief under the circumstances as a matter of law and that dismissal is clearly warranted by the record.</w:t>
      </w:r>
    </w:p>
    <w:p w:rsidR="00192A66" w:rsidRPr="00BF4D56" w:rsidRDefault="00192A66" w:rsidP="0047182C">
      <w:pPr>
        <w:tabs>
          <w:tab w:val="left" w:pos="-720"/>
        </w:tabs>
        <w:suppressAutoHyphens/>
        <w:spacing w:line="360" w:lineRule="auto"/>
      </w:pPr>
    </w:p>
    <w:p w:rsidR="00AA5A3B" w:rsidRPr="00BF4D56" w:rsidRDefault="00FA0DC0" w:rsidP="00FA0DC0">
      <w:pPr>
        <w:spacing w:line="360" w:lineRule="auto"/>
        <w:jc w:val="center"/>
      </w:pPr>
      <w:r w:rsidRPr="00BF4D56">
        <w:rPr>
          <w:u w:val="single"/>
        </w:rPr>
        <w:t>ORDER</w:t>
      </w:r>
    </w:p>
    <w:p w:rsidR="005E7BB9" w:rsidRDefault="005E7BB9" w:rsidP="0047182C">
      <w:pPr>
        <w:spacing w:line="360" w:lineRule="auto"/>
      </w:pPr>
    </w:p>
    <w:p w:rsidR="0047182C" w:rsidRPr="00BF4D56" w:rsidRDefault="0047182C" w:rsidP="0047182C">
      <w:pPr>
        <w:spacing w:line="360" w:lineRule="auto"/>
      </w:pPr>
    </w:p>
    <w:p w:rsidR="006D33B5" w:rsidRPr="00BF4D56" w:rsidRDefault="006D33B5" w:rsidP="0047182C">
      <w:pPr>
        <w:spacing w:line="360" w:lineRule="auto"/>
        <w:ind w:firstLine="1440"/>
        <w:rPr>
          <w:bCs/>
        </w:rPr>
      </w:pPr>
      <w:r w:rsidRPr="00BF4D56">
        <w:rPr>
          <w:bCs/>
        </w:rPr>
        <w:t>THEREFORE,</w:t>
      </w:r>
    </w:p>
    <w:p w:rsidR="006D33B5" w:rsidRPr="00BF4D56" w:rsidRDefault="006D33B5" w:rsidP="0047182C">
      <w:pPr>
        <w:spacing w:line="360" w:lineRule="auto"/>
        <w:ind w:firstLine="1440"/>
      </w:pPr>
    </w:p>
    <w:p w:rsidR="0013770C" w:rsidRPr="00BF4D56" w:rsidRDefault="006D33B5" w:rsidP="0047182C">
      <w:pPr>
        <w:spacing w:line="360" w:lineRule="auto"/>
        <w:ind w:firstLine="1440"/>
        <w:rPr>
          <w:bCs/>
        </w:rPr>
      </w:pPr>
      <w:r w:rsidRPr="00BF4D56">
        <w:rPr>
          <w:bCs/>
        </w:rPr>
        <w:t>IT IS ORDERED:</w:t>
      </w:r>
    </w:p>
    <w:p w:rsidR="0013770C" w:rsidRPr="00BF4D56" w:rsidRDefault="0013770C" w:rsidP="0047182C">
      <w:pPr>
        <w:spacing w:line="360" w:lineRule="auto"/>
        <w:ind w:firstLine="1440"/>
        <w:rPr>
          <w:bCs/>
        </w:rPr>
      </w:pPr>
    </w:p>
    <w:p w:rsidR="009011DC" w:rsidRPr="00BF4D56" w:rsidRDefault="009011DC" w:rsidP="0047182C">
      <w:pPr>
        <w:numPr>
          <w:ilvl w:val="0"/>
          <w:numId w:val="24"/>
        </w:numPr>
        <w:tabs>
          <w:tab w:val="left" w:pos="-720"/>
        </w:tabs>
        <w:suppressAutoHyphens/>
        <w:autoSpaceDE/>
        <w:autoSpaceDN/>
        <w:spacing w:line="360" w:lineRule="auto"/>
        <w:ind w:left="0" w:firstLine="1440"/>
        <w:rPr>
          <w:spacing w:val="-3"/>
        </w:rPr>
      </w:pPr>
      <w:r w:rsidRPr="00BF4D56">
        <w:rPr>
          <w:spacing w:val="-3"/>
        </w:rPr>
        <w:t xml:space="preserve">That the Preliminary Objection filed by </w:t>
      </w:r>
      <w:r w:rsidR="00BF4D56">
        <w:rPr>
          <w:spacing w:val="-3"/>
        </w:rPr>
        <w:t xml:space="preserve">PECO Energy Company </w:t>
      </w:r>
      <w:r w:rsidRPr="00BF4D56">
        <w:rPr>
          <w:spacing w:val="-3"/>
        </w:rPr>
        <w:t xml:space="preserve">at Docket Number </w:t>
      </w:r>
      <w:r w:rsidR="00BF4D56">
        <w:rPr>
          <w:spacing w:val="-3"/>
        </w:rPr>
        <w:t xml:space="preserve">C-2015-2497434 </w:t>
      </w:r>
      <w:r w:rsidRPr="00BF4D56">
        <w:rPr>
          <w:spacing w:val="-3"/>
        </w:rPr>
        <w:t xml:space="preserve">on </w:t>
      </w:r>
      <w:r w:rsidR="00BF4D56">
        <w:rPr>
          <w:spacing w:val="-3"/>
        </w:rPr>
        <w:t xml:space="preserve">August 20, 2015 is </w:t>
      </w:r>
      <w:r w:rsidRPr="00BF4D56">
        <w:rPr>
          <w:spacing w:val="-3"/>
        </w:rPr>
        <w:t>hereby denied.</w:t>
      </w:r>
    </w:p>
    <w:p w:rsidR="009011DC" w:rsidRPr="00BF4D56" w:rsidRDefault="009011DC" w:rsidP="0047182C">
      <w:pPr>
        <w:tabs>
          <w:tab w:val="left" w:pos="-720"/>
        </w:tabs>
        <w:suppressAutoHyphens/>
        <w:spacing w:line="360" w:lineRule="auto"/>
        <w:rPr>
          <w:spacing w:val="-3"/>
        </w:rPr>
      </w:pPr>
    </w:p>
    <w:p w:rsidR="009011DC" w:rsidRPr="00BF4D56" w:rsidRDefault="009011DC" w:rsidP="0047182C">
      <w:pPr>
        <w:numPr>
          <w:ilvl w:val="0"/>
          <w:numId w:val="24"/>
        </w:numPr>
        <w:tabs>
          <w:tab w:val="left" w:pos="-720"/>
        </w:tabs>
        <w:suppressAutoHyphens/>
        <w:autoSpaceDE/>
        <w:autoSpaceDN/>
        <w:spacing w:line="360" w:lineRule="auto"/>
        <w:ind w:left="0" w:firstLine="1440"/>
        <w:rPr>
          <w:spacing w:val="-3"/>
        </w:rPr>
      </w:pPr>
      <w:r w:rsidRPr="00BF4D56">
        <w:rPr>
          <w:spacing w:val="-3"/>
        </w:rPr>
        <w:t xml:space="preserve">That the formal Complaint filed by </w:t>
      </w:r>
      <w:r w:rsidR="00BF4D56">
        <w:rPr>
          <w:spacing w:val="-3"/>
        </w:rPr>
        <w:t xml:space="preserve">Robert Crump </w:t>
      </w:r>
      <w:r w:rsidRPr="00BF4D56">
        <w:rPr>
          <w:spacing w:val="-3"/>
        </w:rPr>
        <w:t xml:space="preserve">at Docket Number </w:t>
      </w:r>
      <w:r w:rsidR="00BF4D56">
        <w:rPr>
          <w:spacing w:val="-3"/>
        </w:rPr>
        <w:t xml:space="preserve">C-2015-2497434 </w:t>
      </w:r>
      <w:r w:rsidRPr="00BF4D56">
        <w:rPr>
          <w:spacing w:val="-3"/>
        </w:rPr>
        <w:t xml:space="preserve">will be heard in an </w:t>
      </w:r>
      <w:r w:rsidRPr="00BF4D56">
        <w:rPr>
          <w:rFonts w:eastAsiaTheme="minorEastAsia"/>
        </w:rPr>
        <w:t>Initial Hearing before an Administrative Law Judge</w:t>
      </w:r>
      <w:r w:rsidRPr="00BF4D56">
        <w:rPr>
          <w:spacing w:val="-3"/>
        </w:rPr>
        <w:t>.</w:t>
      </w:r>
    </w:p>
    <w:p w:rsidR="00860410" w:rsidRPr="00BF4D56" w:rsidRDefault="00860410" w:rsidP="0047182C">
      <w:pPr>
        <w:pStyle w:val="ListParagraph"/>
        <w:spacing w:line="360" w:lineRule="auto"/>
        <w:ind w:left="0"/>
      </w:pPr>
    </w:p>
    <w:p w:rsidR="00C773A3" w:rsidRPr="00BF4D56" w:rsidRDefault="00C773A3" w:rsidP="0047182C">
      <w:pPr>
        <w:spacing w:line="360" w:lineRule="auto"/>
      </w:pPr>
    </w:p>
    <w:p w:rsidR="00897507" w:rsidRPr="0047182C" w:rsidRDefault="00444E27" w:rsidP="00897507">
      <w:pPr>
        <w:rPr>
          <w:u w:val="single"/>
        </w:rPr>
      </w:pPr>
      <w:r w:rsidRPr="00550B34">
        <w:t xml:space="preserve">Date: </w:t>
      </w:r>
      <w:r w:rsidR="00180B7F">
        <w:rPr>
          <w:u w:val="single"/>
        </w:rPr>
        <w:t xml:space="preserve">September </w:t>
      </w:r>
      <w:r w:rsidR="007D0E2D">
        <w:rPr>
          <w:u w:val="single"/>
        </w:rPr>
        <w:t>30</w:t>
      </w:r>
      <w:r w:rsidRPr="00550B34">
        <w:rPr>
          <w:u w:val="single"/>
        </w:rPr>
        <w:t>, 201</w:t>
      </w:r>
      <w:r w:rsidR="00180B7F">
        <w:rPr>
          <w:u w:val="single"/>
        </w:rPr>
        <w:t>5</w:t>
      </w:r>
      <w:r w:rsidRPr="00550B34">
        <w:tab/>
      </w:r>
      <w:r w:rsidRPr="00550B34">
        <w:tab/>
      </w:r>
      <w:r w:rsidR="0047182C">
        <w:tab/>
      </w:r>
      <w:r w:rsidR="0047182C">
        <w:tab/>
      </w:r>
      <w:r w:rsidR="0047182C">
        <w:rPr>
          <w:u w:val="single"/>
        </w:rPr>
        <w:tab/>
      </w:r>
      <w:r w:rsidR="0047182C">
        <w:rPr>
          <w:u w:val="single"/>
        </w:rPr>
        <w:tab/>
      </w:r>
      <w:r w:rsidR="0047182C">
        <w:rPr>
          <w:u w:val="single"/>
        </w:rPr>
        <w:tab/>
      </w:r>
      <w:r w:rsidR="0047182C">
        <w:rPr>
          <w:u w:val="single"/>
        </w:rPr>
        <w:tab/>
      </w:r>
      <w:r w:rsidR="0047182C">
        <w:rPr>
          <w:u w:val="single"/>
        </w:rPr>
        <w:tab/>
      </w:r>
    </w:p>
    <w:p w:rsidR="00444E27" w:rsidRPr="00550B34" w:rsidRDefault="00897507" w:rsidP="00444E27">
      <w:r w:rsidRPr="00550B34">
        <w:tab/>
      </w:r>
      <w:r w:rsidRPr="00550B34">
        <w:tab/>
      </w:r>
      <w:r w:rsidRPr="00550B34">
        <w:tab/>
      </w:r>
      <w:r w:rsidRPr="00550B34">
        <w:tab/>
      </w:r>
      <w:r w:rsidRPr="00550B34">
        <w:tab/>
      </w:r>
      <w:r w:rsidR="0047182C">
        <w:tab/>
      </w:r>
      <w:r w:rsidR="0047182C">
        <w:tab/>
      </w:r>
      <w:r w:rsidR="0062545F" w:rsidRPr="00550B34">
        <w:t xml:space="preserve">Joel H. Cheskis </w:t>
      </w:r>
    </w:p>
    <w:p w:rsidR="00E14C36" w:rsidRDefault="00444E27" w:rsidP="00444E27">
      <w:pPr>
        <w:sectPr w:rsidR="00E14C36" w:rsidSect="00713D64">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sectPr>
      </w:pPr>
      <w:r w:rsidRPr="00550B34">
        <w:tab/>
      </w:r>
      <w:r w:rsidRPr="00550B34">
        <w:tab/>
      </w:r>
      <w:r w:rsidRPr="00550B34">
        <w:tab/>
      </w:r>
      <w:r w:rsidRPr="00550B34">
        <w:tab/>
      </w:r>
      <w:r w:rsidRPr="00550B34">
        <w:tab/>
      </w:r>
      <w:r w:rsidR="0047182C">
        <w:tab/>
      </w:r>
      <w:r w:rsidR="0047182C">
        <w:tab/>
      </w:r>
      <w:r w:rsidRPr="00550B34">
        <w:t>Administrative Law Judge</w:t>
      </w:r>
    </w:p>
    <w:p w:rsidR="00E14C36" w:rsidRPr="0019222A" w:rsidRDefault="00E14C36" w:rsidP="00E14C36">
      <w:pPr>
        <w:contextualSpacing/>
        <w:rPr>
          <w:rFonts w:ascii="Microsoft Sans Serif"/>
          <w:b/>
        </w:rPr>
      </w:pPr>
      <w:r>
        <w:rPr>
          <w:rFonts w:ascii="Microsoft Sans Serif"/>
          <w:b/>
          <w:u w:val="single"/>
        </w:rPr>
        <w:lastRenderedPageBreak/>
        <w:t>C-2015-2497434 - ROBERT CRUMP v. PECO ENERGY COMPANY</w:t>
      </w:r>
      <w:r>
        <w:rPr>
          <w:rFonts w:ascii="Microsoft Sans Serif"/>
          <w:b/>
          <w:u w:val="single"/>
        </w:rPr>
        <w:cr/>
      </w:r>
      <w:r>
        <w:rPr>
          <w:rFonts w:ascii="Microsoft Sans Serif"/>
          <w:b/>
          <w:u w:val="single"/>
        </w:rPr>
        <w:cr/>
      </w:r>
      <w:r>
        <w:rPr>
          <w:rFonts w:ascii="Microsoft Sans Serif"/>
        </w:rPr>
        <w:t>ROBERT CRUMP</w:t>
      </w:r>
      <w:r>
        <w:rPr>
          <w:rFonts w:ascii="Microsoft Sans Serif"/>
        </w:rPr>
        <w:cr/>
        <w:t>5548 WILLOWS AVENUE</w:t>
      </w:r>
      <w:r>
        <w:rPr>
          <w:rFonts w:ascii="Microsoft Sans Serif"/>
        </w:rPr>
        <w:cr/>
        <w:t>PHILADELPHIA PA  19143-4025</w:t>
      </w:r>
      <w:r>
        <w:rPr>
          <w:rFonts w:ascii="Microsoft Sans Serif"/>
        </w:rPr>
        <w:cr/>
      </w:r>
      <w:r>
        <w:rPr>
          <w:rFonts w:ascii="Microsoft Sans Serif"/>
          <w:b/>
        </w:rPr>
        <w:t>267.815.</w:t>
      </w:r>
      <w:r w:rsidRPr="0019222A">
        <w:rPr>
          <w:rFonts w:ascii="Microsoft Sans Serif"/>
          <w:b/>
        </w:rPr>
        <w:t>6174</w:t>
      </w:r>
      <w:r w:rsidRPr="0019222A">
        <w:rPr>
          <w:rFonts w:ascii="Microsoft Sans Serif"/>
          <w:b/>
        </w:rPr>
        <w:cr/>
      </w:r>
      <w:r>
        <w:rPr>
          <w:rFonts w:ascii="Microsoft Sans Serif"/>
        </w:rPr>
        <w:cr/>
      </w:r>
      <w:r w:rsidRPr="0019222A">
        <w:rPr>
          <w:rFonts w:ascii="Microsoft Sans Serif"/>
        </w:rPr>
        <w:t>SHAWANE L LEE ESQUIRE</w:t>
      </w:r>
      <w:r w:rsidRPr="0019222A">
        <w:rPr>
          <w:rFonts w:ascii="Microsoft Sans Serif"/>
        </w:rPr>
        <w:cr/>
        <w:t>EXELON BUSINESS SERVICES</w:t>
      </w:r>
      <w:r w:rsidRPr="0019222A">
        <w:rPr>
          <w:rFonts w:ascii="Microsoft Sans Serif"/>
        </w:rPr>
        <w:cr/>
        <w:t>2301 MARKET STREET S23-1</w:t>
      </w:r>
      <w:r w:rsidRPr="0019222A">
        <w:rPr>
          <w:rFonts w:ascii="Microsoft Sans Serif"/>
        </w:rPr>
        <w:cr/>
        <w:t>PO BOX 8699</w:t>
      </w:r>
      <w:r w:rsidRPr="0019222A">
        <w:rPr>
          <w:rFonts w:ascii="Microsoft Sans Serif"/>
        </w:rPr>
        <w:cr/>
        <w:t>PHILADELPHIA PA  19101-8699</w:t>
      </w:r>
      <w:r w:rsidRPr="0019222A">
        <w:rPr>
          <w:rFonts w:ascii="Microsoft Sans Serif"/>
        </w:rPr>
        <w:cr/>
      </w:r>
      <w:r w:rsidRPr="0019222A">
        <w:rPr>
          <w:rFonts w:ascii="Microsoft Sans Serif"/>
          <w:b/>
        </w:rPr>
        <w:t>215.841.6841</w:t>
      </w:r>
    </w:p>
    <w:p w:rsidR="00E14C36" w:rsidRPr="0019222A" w:rsidRDefault="00E14C36" w:rsidP="00E14C36">
      <w:pPr>
        <w:contextualSpacing/>
        <w:rPr>
          <w:rFonts w:ascii="Microsoft Sans Serif"/>
          <w:i/>
        </w:rPr>
      </w:pPr>
      <w:r w:rsidRPr="0019222A">
        <w:rPr>
          <w:rFonts w:ascii="Microsoft Sans Serif"/>
          <w:i/>
        </w:rPr>
        <w:t>Accepts E-service</w:t>
      </w:r>
    </w:p>
    <w:p w:rsidR="00E14C36" w:rsidRDefault="00E14C36" w:rsidP="00E14C36">
      <w:pPr>
        <w:contextualSpacing/>
      </w:pPr>
      <w:r w:rsidRPr="0019222A">
        <w:rPr>
          <w:rFonts w:ascii="Microsoft Sans Serif"/>
          <w:i/>
        </w:rPr>
        <w:t>Representing PECO Energy Company</w:t>
      </w:r>
      <w:r w:rsidRPr="0019222A">
        <w:rPr>
          <w:rFonts w:ascii="Microsoft Sans Serif"/>
        </w:rPr>
        <w:t xml:space="preserve"> </w:t>
      </w:r>
      <w:r>
        <w:rPr>
          <w:rFonts w:ascii="Microsoft Sans Serif"/>
        </w:rPr>
        <w:cr/>
      </w:r>
    </w:p>
    <w:p w:rsidR="00E14C36" w:rsidRDefault="00E14C36" w:rsidP="00E14C36">
      <w:pPr>
        <w:contextualSpacing/>
      </w:pPr>
    </w:p>
    <w:p w:rsidR="00444E27" w:rsidRPr="00550B34" w:rsidRDefault="00444E27" w:rsidP="00444E27"/>
    <w:sectPr w:rsidR="00444E27" w:rsidRPr="00550B3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173" w:rsidRDefault="00807173">
      <w:r>
        <w:separator/>
      </w:r>
    </w:p>
  </w:endnote>
  <w:endnote w:type="continuationSeparator" w:id="0">
    <w:p w:rsidR="00807173" w:rsidRDefault="0080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36" w:rsidRDefault="00E14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E14C36" w:rsidRDefault="00B806F4">
    <w:pPr>
      <w:pStyle w:val="Footer"/>
      <w:framePr w:wrap="auto" w:vAnchor="text" w:hAnchor="margin" w:xAlign="center" w:y="1"/>
      <w:rPr>
        <w:rStyle w:val="PageNumber"/>
        <w:sz w:val="20"/>
        <w:szCs w:val="20"/>
      </w:rPr>
    </w:pPr>
    <w:r w:rsidRPr="00E14C36">
      <w:rPr>
        <w:rStyle w:val="PageNumber"/>
        <w:sz w:val="20"/>
        <w:szCs w:val="20"/>
      </w:rPr>
      <w:fldChar w:fldCharType="begin"/>
    </w:r>
    <w:r w:rsidR="006D33B5" w:rsidRPr="00E14C36">
      <w:rPr>
        <w:rStyle w:val="PageNumber"/>
        <w:sz w:val="20"/>
        <w:szCs w:val="20"/>
      </w:rPr>
      <w:instrText xml:space="preserve">PAGE  </w:instrText>
    </w:r>
    <w:r w:rsidRPr="00E14C36">
      <w:rPr>
        <w:rStyle w:val="PageNumber"/>
        <w:sz w:val="20"/>
        <w:szCs w:val="20"/>
      </w:rPr>
      <w:fldChar w:fldCharType="separate"/>
    </w:r>
    <w:r w:rsidR="00E14C36">
      <w:rPr>
        <w:rStyle w:val="PageNumber"/>
        <w:noProof/>
        <w:sz w:val="20"/>
        <w:szCs w:val="20"/>
      </w:rPr>
      <w:t>8</w:t>
    </w:r>
    <w:r w:rsidRPr="00E14C36">
      <w:rPr>
        <w:rStyle w:val="PageNumber"/>
        <w:sz w:val="20"/>
        <w:szCs w:val="20"/>
      </w:rPr>
      <w:fldChar w:fldCharType="end"/>
    </w:r>
  </w:p>
  <w:p w:rsidR="006D33B5" w:rsidRPr="003C02CC" w:rsidRDefault="006D33B5">
    <w:pPr>
      <w:pStyle w:val="Footer"/>
      <w:rPr>
        <w:sz w:val="23"/>
        <w:szCs w:val="23"/>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36" w:rsidRDefault="00E14C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36" w:rsidRPr="003C02CC" w:rsidRDefault="00E14C36">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173" w:rsidRDefault="00807173">
      <w:r>
        <w:separator/>
      </w:r>
    </w:p>
  </w:footnote>
  <w:footnote w:type="continuationSeparator" w:id="0">
    <w:p w:rsidR="00807173" w:rsidRDefault="00807173">
      <w:r>
        <w:continuationSeparator/>
      </w:r>
    </w:p>
  </w:footnote>
  <w:footnote w:id="1">
    <w:p w:rsidR="005B5086" w:rsidRDefault="005B5086">
      <w:pPr>
        <w:pStyle w:val="FootnoteText"/>
      </w:pPr>
      <w:r>
        <w:rPr>
          <w:rStyle w:val="FootnoteReference"/>
        </w:rPr>
        <w:footnoteRef/>
      </w:r>
      <w:r>
        <w:t xml:space="preserve"> </w:t>
      </w:r>
      <w:r>
        <w:tab/>
        <w:t>Section 1501 of the Public Utility Code provides, in pertinent part, that: “Every public utility shall furnish and maintain adequate, efficient, safe and reasonable service and facilities</w:t>
      </w:r>
      <w:proofErr w:type="gramStart"/>
      <w:r>
        <w:t>… .”</w:t>
      </w:r>
      <w:proofErr w:type="gramEnd"/>
      <w:r>
        <w:t xml:space="preserve">  </w:t>
      </w:r>
      <w:proofErr w:type="gramStart"/>
      <w:r>
        <w:t>66 Pa. C.S. § 1501.</w:t>
      </w:r>
      <w:proofErr w:type="gramEnd"/>
    </w:p>
  </w:footnote>
  <w:footnote w:id="2">
    <w:p w:rsidR="00DD4BEA" w:rsidRDefault="00DD4BEA">
      <w:pPr>
        <w:pStyle w:val="FootnoteText"/>
      </w:pPr>
      <w:r>
        <w:rPr>
          <w:rStyle w:val="FootnoteReference"/>
        </w:rPr>
        <w:footnoteRef/>
      </w:r>
      <w:r>
        <w:t xml:space="preserve"> </w:t>
      </w:r>
      <w:r>
        <w:tab/>
        <w:t xml:space="preserve">Wolff-Parkinson-White (WPW) Syndrome occurs when an extra electrical pathway between </w:t>
      </w:r>
      <w:r w:rsidR="0093209E">
        <w:t>the</w:t>
      </w:r>
      <w:r>
        <w:t xml:space="preserve"> heart’s upper chambers (atria) and lower chambers (ventricles) causes a rapid heartbeat (tachycardia) and is detected in about 4 out of every 100,000 people.  The episodes of fast heartbeats are not usually life-threatening but serious heart problems can occur.  If untreated, people with WPW may experience fainting spells (syncope)</w:t>
      </w:r>
      <w:proofErr w:type="gramStart"/>
      <w:r>
        <w:t>,</w:t>
      </w:r>
      <w:proofErr w:type="gramEnd"/>
      <w:r>
        <w:t xml:space="preserve"> fast heart beats (tachycardia) and rarely, sudden death, particularly if other heart conditions are present.  </w:t>
      </w:r>
      <w:r>
        <w:rPr>
          <w:i/>
        </w:rPr>
        <w:t>See</w:t>
      </w:r>
      <w:r>
        <w:t xml:space="preserve">, </w:t>
      </w:r>
      <w:hyperlink r:id="rId1" w:history="1">
        <w:r w:rsidRPr="00102215">
          <w:rPr>
            <w:rStyle w:val="Hyperlink"/>
          </w:rPr>
          <w:t>www.mayoclinic.org/diseases-conditions/wolff-parkinson-white/basics</w:t>
        </w:r>
      </w:hyperlink>
      <w:r>
        <w:t xml:space="preserve"> (accessed September 24, 2015).</w:t>
      </w:r>
    </w:p>
    <w:p w:rsidR="00BF4D56" w:rsidRPr="00DD4BEA" w:rsidRDefault="00BF4D56">
      <w:pPr>
        <w:pStyle w:val="FootnoteText"/>
      </w:pPr>
    </w:p>
  </w:footnote>
  <w:footnote w:id="3">
    <w:p w:rsidR="00A01DF5" w:rsidRPr="005B33EB" w:rsidRDefault="00A01DF5" w:rsidP="00A01DF5">
      <w:pPr>
        <w:pStyle w:val="Style"/>
        <w:rPr>
          <w:color w:val="000000"/>
          <w:sz w:val="20"/>
          <w:szCs w:val="20"/>
        </w:rPr>
      </w:pPr>
      <w:r w:rsidRPr="005B33EB">
        <w:rPr>
          <w:rStyle w:val="FootnoteReference"/>
          <w:sz w:val="20"/>
          <w:szCs w:val="20"/>
        </w:rPr>
        <w:footnoteRef/>
      </w:r>
      <w:r w:rsidRPr="005B33EB">
        <w:rPr>
          <w:sz w:val="20"/>
          <w:szCs w:val="20"/>
        </w:rPr>
        <w:t xml:space="preserve"> </w:t>
      </w:r>
      <w:r w:rsidRPr="005B33EB">
        <w:rPr>
          <w:sz w:val="20"/>
          <w:szCs w:val="20"/>
        </w:rPr>
        <w:tab/>
      </w:r>
      <w:r w:rsidRPr="005B33EB">
        <w:rPr>
          <w:color w:val="000000"/>
          <w:sz w:val="20"/>
          <w:szCs w:val="20"/>
        </w:rPr>
        <w:t xml:space="preserve">The Commission’s decision in </w:t>
      </w:r>
      <w:proofErr w:type="spellStart"/>
      <w:r w:rsidRPr="005B33EB">
        <w:rPr>
          <w:color w:val="000000"/>
          <w:sz w:val="20"/>
          <w:szCs w:val="20"/>
          <w:u w:val="single"/>
        </w:rPr>
        <w:t>Carlock</w:t>
      </w:r>
      <w:proofErr w:type="spellEnd"/>
      <w:r w:rsidRPr="005B33EB">
        <w:rPr>
          <w:color w:val="000000"/>
          <w:sz w:val="20"/>
          <w:szCs w:val="20"/>
        </w:rPr>
        <w:t xml:space="preserve"> was subsequently clarified to allow ALJ’s the discretion to dispose of the pleadings in a proceeding provided that the action is </w:t>
      </w:r>
      <w:r>
        <w:rPr>
          <w:color w:val="000000"/>
          <w:sz w:val="20"/>
          <w:szCs w:val="20"/>
        </w:rPr>
        <w:t>neither</w:t>
      </w:r>
      <w:r w:rsidRPr="005B33EB">
        <w:rPr>
          <w:color w:val="000000"/>
          <w:sz w:val="20"/>
          <w:szCs w:val="20"/>
        </w:rPr>
        <w:t xml:space="preserve"> arbitrary nor capricious, and that it is in accordance with the law.  </w:t>
      </w:r>
      <w:r w:rsidRPr="005B33EB">
        <w:rPr>
          <w:color w:val="000000"/>
          <w:sz w:val="20"/>
          <w:szCs w:val="20"/>
          <w:u w:val="single"/>
        </w:rPr>
        <w:t>John A. Graham Jr. v. Philadelphia Suburban Water Company and Bell Atlantic-Pennsylvania, Inc.</w:t>
      </w:r>
      <w:r w:rsidRPr="005B33EB">
        <w:rPr>
          <w:color w:val="000000"/>
          <w:sz w:val="20"/>
          <w:szCs w:val="20"/>
        </w:rPr>
        <w:t xml:space="preserve">, Docket No. </w:t>
      </w:r>
      <w:proofErr w:type="gramStart"/>
      <w:r w:rsidRPr="005B33EB">
        <w:rPr>
          <w:color w:val="000000"/>
          <w:sz w:val="20"/>
          <w:szCs w:val="20"/>
        </w:rPr>
        <w:t>C-00957557</w:t>
      </w:r>
      <w:r w:rsidR="00D266A2">
        <w:rPr>
          <w:color w:val="000000"/>
          <w:sz w:val="20"/>
          <w:szCs w:val="20"/>
        </w:rPr>
        <w:t xml:space="preserve"> (</w:t>
      </w:r>
      <w:r w:rsidRPr="005B33EB">
        <w:rPr>
          <w:color w:val="000000"/>
          <w:sz w:val="20"/>
          <w:szCs w:val="20"/>
        </w:rPr>
        <w:t>Opinion and Order entered June 12, 1996).</w:t>
      </w:r>
      <w:proofErr w:type="gramEnd"/>
      <w:r w:rsidRPr="005B33EB">
        <w:rPr>
          <w:color w:val="000000"/>
          <w:sz w:val="20"/>
          <w:szCs w:val="20"/>
        </w:rPr>
        <w:t xml:space="preserve"> </w:t>
      </w:r>
    </w:p>
    <w:p w:rsidR="00A01DF5" w:rsidRDefault="00A01DF5" w:rsidP="00A01DF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36" w:rsidRDefault="00E14C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36" w:rsidRDefault="00E14C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36" w:rsidRDefault="00E14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2"/>
  </w:num>
  <w:num w:numId="4">
    <w:abstractNumId w:val="18"/>
  </w:num>
  <w:num w:numId="5">
    <w:abstractNumId w:val="4"/>
  </w:num>
  <w:num w:numId="6">
    <w:abstractNumId w:val="23"/>
  </w:num>
  <w:num w:numId="7">
    <w:abstractNumId w:val="1"/>
  </w:num>
  <w:num w:numId="8">
    <w:abstractNumId w:val="13"/>
  </w:num>
  <w:num w:numId="9">
    <w:abstractNumId w:val="8"/>
  </w:num>
  <w:num w:numId="10">
    <w:abstractNumId w:val="22"/>
  </w:num>
  <w:num w:numId="11">
    <w:abstractNumId w:val="16"/>
  </w:num>
  <w:num w:numId="12">
    <w:abstractNumId w:val="6"/>
  </w:num>
  <w:num w:numId="13">
    <w:abstractNumId w:val="15"/>
  </w:num>
  <w:num w:numId="14">
    <w:abstractNumId w:val="0"/>
  </w:num>
  <w:num w:numId="15">
    <w:abstractNumId w:val="17"/>
  </w:num>
  <w:num w:numId="16">
    <w:abstractNumId w:val="11"/>
  </w:num>
  <w:num w:numId="17">
    <w:abstractNumId w:val="12"/>
  </w:num>
  <w:num w:numId="18">
    <w:abstractNumId w:val="5"/>
  </w:num>
  <w:num w:numId="19">
    <w:abstractNumId w:val="14"/>
  </w:num>
  <w:num w:numId="20">
    <w:abstractNumId w:val="3"/>
  </w:num>
  <w:num w:numId="21">
    <w:abstractNumId w:val="20"/>
  </w:num>
  <w:num w:numId="22">
    <w:abstractNumId w:val="7"/>
  </w:num>
  <w:num w:numId="23">
    <w:abstractNumId w:val="19"/>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3858"/>
    <w:rsid w:val="00037E8B"/>
    <w:rsid w:val="00040542"/>
    <w:rsid w:val="000447F9"/>
    <w:rsid w:val="00045479"/>
    <w:rsid w:val="00050489"/>
    <w:rsid w:val="00050AF1"/>
    <w:rsid w:val="00054540"/>
    <w:rsid w:val="00054A10"/>
    <w:rsid w:val="00055FCB"/>
    <w:rsid w:val="00060BB1"/>
    <w:rsid w:val="000629B2"/>
    <w:rsid w:val="00063F87"/>
    <w:rsid w:val="00073240"/>
    <w:rsid w:val="00080E54"/>
    <w:rsid w:val="00081A6A"/>
    <w:rsid w:val="0008210E"/>
    <w:rsid w:val="000851FC"/>
    <w:rsid w:val="00085CCF"/>
    <w:rsid w:val="000878EC"/>
    <w:rsid w:val="00092274"/>
    <w:rsid w:val="000A1610"/>
    <w:rsid w:val="000A248E"/>
    <w:rsid w:val="000A74A8"/>
    <w:rsid w:val="000B27E2"/>
    <w:rsid w:val="000B2BD1"/>
    <w:rsid w:val="000B6D6C"/>
    <w:rsid w:val="000C3A73"/>
    <w:rsid w:val="000C5271"/>
    <w:rsid w:val="000C541F"/>
    <w:rsid w:val="000C5888"/>
    <w:rsid w:val="000D04DF"/>
    <w:rsid w:val="000D064B"/>
    <w:rsid w:val="000D2CCA"/>
    <w:rsid w:val="000D3CEC"/>
    <w:rsid w:val="000D4032"/>
    <w:rsid w:val="000D67B4"/>
    <w:rsid w:val="000D6D75"/>
    <w:rsid w:val="000E2E49"/>
    <w:rsid w:val="000E6B3B"/>
    <w:rsid w:val="000E74D8"/>
    <w:rsid w:val="000F0A49"/>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2928"/>
    <w:rsid w:val="0013576E"/>
    <w:rsid w:val="00135EAF"/>
    <w:rsid w:val="0013770C"/>
    <w:rsid w:val="00140883"/>
    <w:rsid w:val="00141DCE"/>
    <w:rsid w:val="00142EE0"/>
    <w:rsid w:val="00143290"/>
    <w:rsid w:val="001441F9"/>
    <w:rsid w:val="00144EB5"/>
    <w:rsid w:val="00153529"/>
    <w:rsid w:val="001547B2"/>
    <w:rsid w:val="001611E5"/>
    <w:rsid w:val="0016484C"/>
    <w:rsid w:val="001714A2"/>
    <w:rsid w:val="001767DF"/>
    <w:rsid w:val="00180B7F"/>
    <w:rsid w:val="00181BAB"/>
    <w:rsid w:val="00182ECA"/>
    <w:rsid w:val="00185A9D"/>
    <w:rsid w:val="00187495"/>
    <w:rsid w:val="00187940"/>
    <w:rsid w:val="001900E6"/>
    <w:rsid w:val="00190843"/>
    <w:rsid w:val="00192A66"/>
    <w:rsid w:val="00193F4C"/>
    <w:rsid w:val="0019509B"/>
    <w:rsid w:val="0019791B"/>
    <w:rsid w:val="00197B84"/>
    <w:rsid w:val="001A1495"/>
    <w:rsid w:val="001A397D"/>
    <w:rsid w:val="001A62B0"/>
    <w:rsid w:val="001B596F"/>
    <w:rsid w:val="001B6119"/>
    <w:rsid w:val="001B7656"/>
    <w:rsid w:val="001C23B6"/>
    <w:rsid w:val="001C4B7B"/>
    <w:rsid w:val="001C7376"/>
    <w:rsid w:val="001C7DC7"/>
    <w:rsid w:val="001C7E2F"/>
    <w:rsid w:val="001D0606"/>
    <w:rsid w:val="001D1D69"/>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3008A"/>
    <w:rsid w:val="00240576"/>
    <w:rsid w:val="0024311B"/>
    <w:rsid w:val="002508B3"/>
    <w:rsid w:val="00252F51"/>
    <w:rsid w:val="0025436A"/>
    <w:rsid w:val="0026329B"/>
    <w:rsid w:val="002636A2"/>
    <w:rsid w:val="00266583"/>
    <w:rsid w:val="0027269F"/>
    <w:rsid w:val="00276158"/>
    <w:rsid w:val="002825EF"/>
    <w:rsid w:val="00284DC6"/>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5C82"/>
    <w:rsid w:val="00326FA4"/>
    <w:rsid w:val="00330C99"/>
    <w:rsid w:val="00331314"/>
    <w:rsid w:val="003328D0"/>
    <w:rsid w:val="00333A41"/>
    <w:rsid w:val="00334E63"/>
    <w:rsid w:val="00337DC7"/>
    <w:rsid w:val="00342A79"/>
    <w:rsid w:val="00345906"/>
    <w:rsid w:val="00345AF2"/>
    <w:rsid w:val="00347167"/>
    <w:rsid w:val="00353CE7"/>
    <w:rsid w:val="00360A2F"/>
    <w:rsid w:val="0036322E"/>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96C68"/>
    <w:rsid w:val="003A5AD2"/>
    <w:rsid w:val="003A5D44"/>
    <w:rsid w:val="003A5D4E"/>
    <w:rsid w:val="003A64CC"/>
    <w:rsid w:val="003B2470"/>
    <w:rsid w:val="003B2B0E"/>
    <w:rsid w:val="003B2D14"/>
    <w:rsid w:val="003B4C91"/>
    <w:rsid w:val="003B4D8F"/>
    <w:rsid w:val="003C02CC"/>
    <w:rsid w:val="003C424C"/>
    <w:rsid w:val="003C4478"/>
    <w:rsid w:val="003C50EB"/>
    <w:rsid w:val="003C66F8"/>
    <w:rsid w:val="003D419D"/>
    <w:rsid w:val="003E04E8"/>
    <w:rsid w:val="003E112F"/>
    <w:rsid w:val="003E3839"/>
    <w:rsid w:val="003E44F8"/>
    <w:rsid w:val="003E5E54"/>
    <w:rsid w:val="003F06E9"/>
    <w:rsid w:val="003F0F78"/>
    <w:rsid w:val="003F21D9"/>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363A"/>
    <w:rsid w:val="00463D1D"/>
    <w:rsid w:val="004677A9"/>
    <w:rsid w:val="0046782D"/>
    <w:rsid w:val="0047182C"/>
    <w:rsid w:val="00474D65"/>
    <w:rsid w:val="00475213"/>
    <w:rsid w:val="004764E1"/>
    <w:rsid w:val="00476814"/>
    <w:rsid w:val="0048022D"/>
    <w:rsid w:val="00480D1C"/>
    <w:rsid w:val="00484CA9"/>
    <w:rsid w:val="00485942"/>
    <w:rsid w:val="00486F2F"/>
    <w:rsid w:val="00487C67"/>
    <w:rsid w:val="0049010E"/>
    <w:rsid w:val="004907E0"/>
    <w:rsid w:val="00490F28"/>
    <w:rsid w:val="00491200"/>
    <w:rsid w:val="004A335A"/>
    <w:rsid w:val="004A3DB7"/>
    <w:rsid w:val="004A44C7"/>
    <w:rsid w:val="004A6217"/>
    <w:rsid w:val="004A744B"/>
    <w:rsid w:val="004B12AD"/>
    <w:rsid w:val="004B3128"/>
    <w:rsid w:val="004B66DA"/>
    <w:rsid w:val="004B73DA"/>
    <w:rsid w:val="004C0C8D"/>
    <w:rsid w:val="004C19EA"/>
    <w:rsid w:val="004C3AC8"/>
    <w:rsid w:val="004C54A1"/>
    <w:rsid w:val="004C5959"/>
    <w:rsid w:val="004C5F5B"/>
    <w:rsid w:val="004D1B9A"/>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539"/>
    <w:rsid w:val="00512803"/>
    <w:rsid w:val="0051332A"/>
    <w:rsid w:val="005173E3"/>
    <w:rsid w:val="0052063B"/>
    <w:rsid w:val="00522D71"/>
    <w:rsid w:val="00526B7E"/>
    <w:rsid w:val="0053143A"/>
    <w:rsid w:val="00531C6A"/>
    <w:rsid w:val="0053303C"/>
    <w:rsid w:val="0053542E"/>
    <w:rsid w:val="00535728"/>
    <w:rsid w:val="00535B47"/>
    <w:rsid w:val="0054044D"/>
    <w:rsid w:val="00541FA5"/>
    <w:rsid w:val="00550B34"/>
    <w:rsid w:val="005534AB"/>
    <w:rsid w:val="00555AB2"/>
    <w:rsid w:val="0056090B"/>
    <w:rsid w:val="00562740"/>
    <w:rsid w:val="0056328E"/>
    <w:rsid w:val="00564A1C"/>
    <w:rsid w:val="00565DDE"/>
    <w:rsid w:val="0056671B"/>
    <w:rsid w:val="00566D50"/>
    <w:rsid w:val="00575E98"/>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49D8"/>
    <w:rsid w:val="005B4B32"/>
    <w:rsid w:val="005B5086"/>
    <w:rsid w:val="005B6C33"/>
    <w:rsid w:val="005C038C"/>
    <w:rsid w:val="005C1B4B"/>
    <w:rsid w:val="005C7120"/>
    <w:rsid w:val="005D0602"/>
    <w:rsid w:val="005D092D"/>
    <w:rsid w:val="005D470C"/>
    <w:rsid w:val="005E5B28"/>
    <w:rsid w:val="005E7BB9"/>
    <w:rsid w:val="005F179B"/>
    <w:rsid w:val="005F1FD3"/>
    <w:rsid w:val="005F2817"/>
    <w:rsid w:val="005F3E44"/>
    <w:rsid w:val="005F56D5"/>
    <w:rsid w:val="005F5D43"/>
    <w:rsid w:val="005F7C7E"/>
    <w:rsid w:val="006031D8"/>
    <w:rsid w:val="006044E1"/>
    <w:rsid w:val="00605117"/>
    <w:rsid w:val="006056AF"/>
    <w:rsid w:val="0060777D"/>
    <w:rsid w:val="006151E8"/>
    <w:rsid w:val="00617F66"/>
    <w:rsid w:val="006200E0"/>
    <w:rsid w:val="006235A7"/>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4BE4"/>
    <w:rsid w:val="00657239"/>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71DC"/>
    <w:rsid w:val="00687CAD"/>
    <w:rsid w:val="0069081F"/>
    <w:rsid w:val="006943C2"/>
    <w:rsid w:val="00694651"/>
    <w:rsid w:val="0069608E"/>
    <w:rsid w:val="0069608F"/>
    <w:rsid w:val="006A01EF"/>
    <w:rsid w:val="006A0D09"/>
    <w:rsid w:val="006A2304"/>
    <w:rsid w:val="006A45DF"/>
    <w:rsid w:val="006A5824"/>
    <w:rsid w:val="006A7A0E"/>
    <w:rsid w:val="006B0982"/>
    <w:rsid w:val="006C2C4C"/>
    <w:rsid w:val="006C393A"/>
    <w:rsid w:val="006C5A4D"/>
    <w:rsid w:val="006C5B56"/>
    <w:rsid w:val="006D0F1E"/>
    <w:rsid w:val="006D1934"/>
    <w:rsid w:val="006D33B5"/>
    <w:rsid w:val="006D3EAA"/>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28C9"/>
    <w:rsid w:val="00723CC9"/>
    <w:rsid w:val="00724ABE"/>
    <w:rsid w:val="00725BFC"/>
    <w:rsid w:val="00726EC8"/>
    <w:rsid w:val="00735291"/>
    <w:rsid w:val="0074212A"/>
    <w:rsid w:val="00746EC7"/>
    <w:rsid w:val="00752614"/>
    <w:rsid w:val="0075751F"/>
    <w:rsid w:val="00757D11"/>
    <w:rsid w:val="00761AAA"/>
    <w:rsid w:val="00763DA0"/>
    <w:rsid w:val="007653FA"/>
    <w:rsid w:val="00771158"/>
    <w:rsid w:val="00771201"/>
    <w:rsid w:val="00773E3C"/>
    <w:rsid w:val="00774975"/>
    <w:rsid w:val="00780958"/>
    <w:rsid w:val="00783F05"/>
    <w:rsid w:val="00784AE9"/>
    <w:rsid w:val="007876C7"/>
    <w:rsid w:val="00787F5D"/>
    <w:rsid w:val="007945B3"/>
    <w:rsid w:val="007A68A4"/>
    <w:rsid w:val="007B135C"/>
    <w:rsid w:val="007B19DA"/>
    <w:rsid w:val="007B2C93"/>
    <w:rsid w:val="007B76C4"/>
    <w:rsid w:val="007C6559"/>
    <w:rsid w:val="007D0E2D"/>
    <w:rsid w:val="007F19A5"/>
    <w:rsid w:val="007F24B0"/>
    <w:rsid w:val="007F2A67"/>
    <w:rsid w:val="007F2D04"/>
    <w:rsid w:val="007F6BDD"/>
    <w:rsid w:val="007F6F2B"/>
    <w:rsid w:val="007F7EA4"/>
    <w:rsid w:val="00801014"/>
    <w:rsid w:val="008027C4"/>
    <w:rsid w:val="00802923"/>
    <w:rsid w:val="00807173"/>
    <w:rsid w:val="00816880"/>
    <w:rsid w:val="00817C41"/>
    <w:rsid w:val="0082084D"/>
    <w:rsid w:val="00820EA8"/>
    <w:rsid w:val="008253A9"/>
    <w:rsid w:val="00830CF6"/>
    <w:rsid w:val="0083648A"/>
    <w:rsid w:val="008413F8"/>
    <w:rsid w:val="00842C17"/>
    <w:rsid w:val="008438CF"/>
    <w:rsid w:val="00843D58"/>
    <w:rsid w:val="00845486"/>
    <w:rsid w:val="008454B9"/>
    <w:rsid w:val="00845A5B"/>
    <w:rsid w:val="0084613F"/>
    <w:rsid w:val="00852A8C"/>
    <w:rsid w:val="008540FD"/>
    <w:rsid w:val="00854EC8"/>
    <w:rsid w:val="00860410"/>
    <w:rsid w:val="00861C19"/>
    <w:rsid w:val="0086399C"/>
    <w:rsid w:val="0086500C"/>
    <w:rsid w:val="008652EF"/>
    <w:rsid w:val="008733C7"/>
    <w:rsid w:val="00874F41"/>
    <w:rsid w:val="008773BF"/>
    <w:rsid w:val="0088262B"/>
    <w:rsid w:val="00883E39"/>
    <w:rsid w:val="00884C0B"/>
    <w:rsid w:val="00886427"/>
    <w:rsid w:val="008921ED"/>
    <w:rsid w:val="00894A7C"/>
    <w:rsid w:val="00897507"/>
    <w:rsid w:val="008A048B"/>
    <w:rsid w:val="008A28B8"/>
    <w:rsid w:val="008A6027"/>
    <w:rsid w:val="008A62F7"/>
    <w:rsid w:val="008A7776"/>
    <w:rsid w:val="008B038D"/>
    <w:rsid w:val="008C0504"/>
    <w:rsid w:val="008C17E3"/>
    <w:rsid w:val="008C2266"/>
    <w:rsid w:val="008C2B8B"/>
    <w:rsid w:val="008C53F0"/>
    <w:rsid w:val="008C6629"/>
    <w:rsid w:val="008C690A"/>
    <w:rsid w:val="008C6C08"/>
    <w:rsid w:val="008C7929"/>
    <w:rsid w:val="008D27F4"/>
    <w:rsid w:val="008D2A90"/>
    <w:rsid w:val="008D34B8"/>
    <w:rsid w:val="008D52F8"/>
    <w:rsid w:val="008D59A2"/>
    <w:rsid w:val="008D71F8"/>
    <w:rsid w:val="008E65CA"/>
    <w:rsid w:val="008E6D84"/>
    <w:rsid w:val="008E79BF"/>
    <w:rsid w:val="008F755E"/>
    <w:rsid w:val="009011DC"/>
    <w:rsid w:val="009065DB"/>
    <w:rsid w:val="00907551"/>
    <w:rsid w:val="00907E93"/>
    <w:rsid w:val="0091132C"/>
    <w:rsid w:val="00922597"/>
    <w:rsid w:val="009242C7"/>
    <w:rsid w:val="00926832"/>
    <w:rsid w:val="0093209E"/>
    <w:rsid w:val="00933A0A"/>
    <w:rsid w:val="00935A17"/>
    <w:rsid w:val="00940C6A"/>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E46"/>
    <w:rsid w:val="0098199E"/>
    <w:rsid w:val="00985B9C"/>
    <w:rsid w:val="00986603"/>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5C90"/>
    <w:rsid w:val="009F6BF1"/>
    <w:rsid w:val="00A004FE"/>
    <w:rsid w:val="00A01DF5"/>
    <w:rsid w:val="00A050EC"/>
    <w:rsid w:val="00A06973"/>
    <w:rsid w:val="00A07A16"/>
    <w:rsid w:val="00A17814"/>
    <w:rsid w:val="00A21C65"/>
    <w:rsid w:val="00A24EEC"/>
    <w:rsid w:val="00A30723"/>
    <w:rsid w:val="00A319FB"/>
    <w:rsid w:val="00A33DC1"/>
    <w:rsid w:val="00A4123B"/>
    <w:rsid w:val="00A414FB"/>
    <w:rsid w:val="00A43247"/>
    <w:rsid w:val="00A442D1"/>
    <w:rsid w:val="00A452AA"/>
    <w:rsid w:val="00A45F35"/>
    <w:rsid w:val="00A543D6"/>
    <w:rsid w:val="00A545FB"/>
    <w:rsid w:val="00A54F8A"/>
    <w:rsid w:val="00A61874"/>
    <w:rsid w:val="00A62BBE"/>
    <w:rsid w:val="00A74AF3"/>
    <w:rsid w:val="00A76336"/>
    <w:rsid w:val="00A76480"/>
    <w:rsid w:val="00A77426"/>
    <w:rsid w:val="00A80EB1"/>
    <w:rsid w:val="00A83C59"/>
    <w:rsid w:val="00A8749E"/>
    <w:rsid w:val="00A92373"/>
    <w:rsid w:val="00A93FB7"/>
    <w:rsid w:val="00A97FF2"/>
    <w:rsid w:val="00AA23BA"/>
    <w:rsid w:val="00AA3B44"/>
    <w:rsid w:val="00AA3DE8"/>
    <w:rsid w:val="00AA5A3B"/>
    <w:rsid w:val="00AB26AA"/>
    <w:rsid w:val="00AB2C39"/>
    <w:rsid w:val="00AB35A6"/>
    <w:rsid w:val="00AC1F47"/>
    <w:rsid w:val="00AC425C"/>
    <w:rsid w:val="00AC54DB"/>
    <w:rsid w:val="00AC56B3"/>
    <w:rsid w:val="00AC6D5D"/>
    <w:rsid w:val="00AC7AB7"/>
    <w:rsid w:val="00AD2E4C"/>
    <w:rsid w:val="00AD6AC6"/>
    <w:rsid w:val="00AE5112"/>
    <w:rsid w:val="00AE7C1B"/>
    <w:rsid w:val="00AF43A3"/>
    <w:rsid w:val="00AF4DD8"/>
    <w:rsid w:val="00AF5EBD"/>
    <w:rsid w:val="00AF6655"/>
    <w:rsid w:val="00AF754F"/>
    <w:rsid w:val="00B01228"/>
    <w:rsid w:val="00B01460"/>
    <w:rsid w:val="00B04A94"/>
    <w:rsid w:val="00B067D4"/>
    <w:rsid w:val="00B07324"/>
    <w:rsid w:val="00B105BD"/>
    <w:rsid w:val="00B10BE1"/>
    <w:rsid w:val="00B10D74"/>
    <w:rsid w:val="00B1232D"/>
    <w:rsid w:val="00B12632"/>
    <w:rsid w:val="00B13E2F"/>
    <w:rsid w:val="00B150EE"/>
    <w:rsid w:val="00B16B10"/>
    <w:rsid w:val="00B17D2D"/>
    <w:rsid w:val="00B17E29"/>
    <w:rsid w:val="00B22385"/>
    <w:rsid w:val="00B2251B"/>
    <w:rsid w:val="00B22579"/>
    <w:rsid w:val="00B25A1A"/>
    <w:rsid w:val="00B26384"/>
    <w:rsid w:val="00B34D51"/>
    <w:rsid w:val="00B356D9"/>
    <w:rsid w:val="00B42052"/>
    <w:rsid w:val="00B42143"/>
    <w:rsid w:val="00B4231E"/>
    <w:rsid w:val="00B4241D"/>
    <w:rsid w:val="00B428B5"/>
    <w:rsid w:val="00B44A3E"/>
    <w:rsid w:val="00B50F61"/>
    <w:rsid w:val="00B51C90"/>
    <w:rsid w:val="00B606E5"/>
    <w:rsid w:val="00B62154"/>
    <w:rsid w:val="00B6233D"/>
    <w:rsid w:val="00B65A70"/>
    <w:rsid w:val="00B701AA"/>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1B7C"/>
    <w:rsid w:val="00BC484E"/>
    <w:rsid w:val="00BC5CA3"/>
    <w:rsid w:val="00BC689D"/>
    <w:rsid w:val="00BD080F"/>
    <w:rsid w:val="00BD2783"/>
    <w:rsid w:val="00BD6458"/>
    <w:rsid w:val="00BE0854"/>
    <w:rsid w:val="00BE1ED2"/>
    <w:rsid w:val="00BE2FE3"/>
    <w:rsid w:val="00BE726C"/>
    <w:rsid w:val="00BF25F0"/>
    <w:rsid w:val="00BF3079"/>
    <w:rsid w:val="00BF341D"/>
    <w:rsid w:val="00BF3473"/>
    <w:rsid w:val="00BF4D56"/>
    <w:rsid w:val="00BF5D32"/>
    <w:rsid w:val="00BF6876"/>
    <w:rsid w:val="00BF718F"/>
    <w:rsid w:val="00C0065E"/>
    <w:rsid w:val="00C11814"/>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55CE2"/>
    <w:rsid w:val="00C5657B"/>
    <w:rsid w:val="00C56AEC"/>
    <w:rsid w:val="00C60A73"/>
    <w:rsid w:val="00C610DB"/>
    <w:rsid w:val="00C6203D"/>
    <w:rsid w:val="00C643D7"/>
    <w:rsid w:val="00C67551"/>
    <w:rsid w:val="00C72120"/>
    <w:rsid w:val="00C75DCE"/>
    <w:rsid w:val="00C773A3"/>
    <w:rsid w:val="00C77DA0"/>
    <w:rsid w:val="00C843D7"/>
    <w:rsid w:val="00C8536F"/>
    <w:rsid w:val="00C90325"/>
    <w:rsid w:val="00C90EDA"/>
    <w:rsid w:val="00C91C93"/>
    <w:rsid w:val="00C92C0C"/>
    <w:rsid w:val="00C97272"/>
    <w:rsid w:val="00CA22A8"/>
    <w:rsid w:val="00CA2D56"/>
    <w:rsid w:val="00CA3396"/>
    <w:rsid w:val="00CA3B90"/>
    <w:rsid w:val="00CA4020"/>
    <w:rsid w:val="00CA666C"/>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E33"/>
    <w:rsid w:val="00CF2A61"/>
    <w:rsid w:val="00CF4490"/>
    <w:rsid w:val="00CF5705"/>
    <w:rsid w:val="00CF5A8F"/>
    <w:rsid w:val="00D00379"/>
    <w:rsid w:val="00D02279"/>
    <w:rsid w:val="00D03829"/>
    <w:rsid w:val="00D04FB2"/>
    <w:rsid w:val="00D10467"/>
    <w:rsid w:val="00D10652"/>
    <w:rsid w:val="00D12806"/>
    <w:rsid w:val="00D13DB2"/>
    <w:rsid w:val="00D209B6"/>
    <w:rsid w:val="00D22294"/>
    <w:rsid w:val="00D22442"/>
    <w:rsid w:val="00D2255F"/>
    <w:rsid w:val="00D22EBC"/>
    <w:rsid w:val="00D23214"/>
    <w:rsid w:val="00D24374"/>
    <w:rsid w:val="00D24620"/>
    <w:rsid w:val="00D266A2"/>
    <w:rsid w:val="00D3123C"/>
    <w:rsid w:val="00D346DA"/>
    <w:rsid w:val="00D3584A"/>
    <w:rsid w:val="00D44B05"/>
    <w:rsid w:val="00D44FF7"/>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4BEA"/>
    <w:rsid w:val="00DD6A64"/>
    <w:rsid w:val="00DE09BF"/>
    <w:rsid w:val="00DE3721"/>
    <w:rsid w:val="00DF1668"/>
    <w:rsid w:val="00DF252A"/>
    <w:rsid w:val="00DF2742"/>
    <w:rsid w:val="00DF3A9C"/>
    <w:rsid w:val="00DF448C"/>
    <w:rsid w:val="00DF71A5"/>
    <w:rsid w:val="00E061D8"/>
    <w:rsid w:val="00E07EE4"/>
    <w:rsid w:val="00E14245"/>
    <w:rsid w:val="00E14396"/>
    <w:rsid w:val="00E14C36"/>
    <w:rsid w:val="00E20D55"/>
    <w:rsid w:val="00E21F02"/>
    <w:rsid w:val="00E22703"/>
    <w:rsid w:val="00E2272C"/>
    <w:rsid w:val="00E24228"/>
    <w:rsid w:val="00E25125"/>
    <w:rsid w:val="00E27B5F"/>
    <w:rsid w:val="00E32F69"/>
    <w:rsid w:val="00E445D8"/>
    <w:rsid w:val="00E46ACA"/>
    <w:rsid w:val="00E47B07"/>
    <w:rsid w:val="00E50FFA"/>
    <w:rsid w:val="00E526F5"/>
    <w:rsid w:val="00E53FAB"/>
    <w:rsid w:val="00E5528B"/>
    <w:rsid w:val="00E5593B"/>
    <w:rsid w:val="00E63742"/>
    <w:rsid w:val="00E63F24"/>
    <w:rsid w:val="00E70A61"/>
    <w:rsid w:val="00E77251"/>
    <w:rsid w:val="00E817EE"/>
    <w:rsid w:val="00E818B6"/>
    <w:rsid w:val="00E81B85"/>
    <w:rsid w:val="00E83487"/>
    <w:rsid w:val="00E87CF0"/>
    <w:rsid w:val="00E9187B"/>
    <w:rsid w:val="00E91EAA"/>
    <w:rsid w:val="00E92FD0"/>
    <w:rsid w:val="00E93A91"/>
    <w:rsid w:val="00E93B0A"/>
    <w:rsid w:val="00E93D93"/>
    <w:rsid w:val="00EA5C78"/>
    <w:rsid w:val="00EB045D"/>
    <w:rsid w:val="00EB318D"/>
    <w:rsid w:val="00EB41C4"/>
    <w:rsid w:val="00EB5149"/>
    <w:rsid w:val="00EB5B7B"/>
    <w:rsid w:val="00EC1909"/>
    <w:rsid w:val="00EC1DDA"/>
    <w:rsid w:val="00EC2835"/>
    <w:rsid w:val="00EC2C15"/>
    <w:rsid w:val="00EC41FA"/>
    <w:rsid w:val="00EC4455"/>
    <w:rsid w:val="00EC77BB"/>
    <w:rsid w:val="00EC7E13"/>
    <w:rsid w:val="00ED1828"/>
    <w:rsid w:val="00ED4EEA"/>
    <w:rsid w:val="00EE16DD"/>
    <w:rsid w:val="00EE7BAA"/>
    <w:rsid w:val="00EF1081"/>
    <w:rsid w:val="00EF1723"/>
    <w:rsid w:val="00EF26AE"/>
    <w:rsid w:val="00F00D62"/>
    <w:rsid w:val="00F01005"/>
    <w:rsid w:val="00F0305C"/>
    <w:rsid w:val="00F03989"/>
    <w:rsid w:val="00F06E9A"/>
    <w:rsid w:val="00F12B16"/>
    <w:rsid w:val="00F139D5"/>
    <w:rsid w:val="00F13DFB"/>
    <w:rsid w:val="00F1692D"/>
    <w:rsid w:val="00F21B5D"/>
    <w:rsid w:val="00F23018"/>
    <w:rsid w:val="00F25BF4"/>
    <w:rsid w:val="00F27105"/>
    <w:rsid w:val="00F27B16"/>
    <w:rsid w:val="00F31467"/>
    <w:rsid w:val="00F32383"/>
    <w:rsid w:val="00F33096"/>
    <w:rsid w:val="00F336A1"/>
    <w:rsid w:val="00F40D25"/>
    <w:rsid w:val="00F441B2"/>
    <w:rsid w:val="00F46A84"/>
    <w:rsid w:val="00F476E8"/>
    <w:rsid w:val="00F5660C"/>
    <w:rsid w:val="00F63836"/>
    <w:rsid w:val="00F750F4"/>
    <w:rsid w:val="00F76819"/>
    <w:rsid w:val="00F77924"/>
    <w:rsid w:val="00F808F8"/>
    <w:rsid w:val="00F81B45"/>
    <w:rsid w:val="00F824FC"/>
    <w:rsid w:val="00F9081A"/>
    <w:rsid w:val="00F90A9D"/>
    <w:rsid w:val="00F91D36"/>
    <w:rsid w:val="00FA0DC0"/>
    <w:rsid w:val="00FA0E84"/>
    <w:rsid w:val="00FA5B52"/>
    <w:rsid w:val="00FA66AD"/>
    <w:rsid w:val="00FA73C3"/>
    <w:rsid w:val="00FA7A69"/>
    <w:rsid w:val="00FA7F14"/>
    <w:rsid w:val="00FB4D87"/>
    <w:rsid w:val="00FC4FC1"/>
    <w:rsid w:val="00FD1E5D"/>
    <w:rsid w:val="00FD221C"/>
    <w:rsid w:val="00FD25D2"/>
    <w:rsid w:val="00FD342D"/>
    <w:rsid w:val="00FD417F"/>
    <w:rsid w:val="00FD4C02"/>
    <w:rsid w:val="00FD636E"/>
    <w:rsid w:val="00FD795C"/>
    <w:rsid w:val="00FD7E41"/>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character" w:styleId="Hyperlink">
    <w:name w:val="Hyperlink"/>
    <w:basedOn w:val="DefaultParagraphFont"/>
    <w:rsid w:val="00DD4BEA"/>
    <w:rPr>
      <w:color w:val="0000FF" w:themeColor="hyperlink"/>
      <w:u w:val="single"/>
    </w:rPr>
  </w:style>
  <w:style w:type="character" w:customStyle="1" w:styleId="FootnoteTextChar">
    <w:name w:val="Footnote Text Char"/>
    <w:basedOn w:val="DefaultParagraphFont"/>
    <w:link w:val="FootnoteText"/>
    <w:uiPriority w:val="99"/>
    <w:semiHidden/>
    <w:rsid w:val="00A01D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character" w:styleId="Hyperlink">
    <w:name w:val="Hyperlink"/>
    <w:basedOn w:val="DefaultParagraphFont"/>
    <w:rsid w:val="00DD4BEA"/>
    <w:rPr>
      <w:color w:val="0000FF" w:themeColor="hyperlink"/>
      <w:u w:val="single"/>
    </w:rPr>
  </w:style>
  <w:style w:type="character" w:customStyle="1" w:styleId="FootnoteTextChar">
    <w:name w:val="Footnote Text Char"/>
    <w:basedOn w:val="DefaultParagraphFont"/>
    <w:link w:val="FootnoteText"/>
    <w:uiPriority w:val="99"/>
    <w:semiHidden/>
    <w:rsid w:val="00A01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mayoclinic.org/diseases-conditions/wolff-parkinson-white/ba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FA5AE-7997-4BAB-A23A-0018D46C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4</cp:revision>
  <cp:lastPrinted>2015-09-30T18:43:00Z</cp:lastPrinted>
  <dcterms:created xsi:type="dcterms:W3CDTF">2015-10-01T16:19:00Z</dcterms:created>
  <dcterms:modified xsi:type="dcterms:W3CDTF">2015-10-01T16:21:00Z</dcterms:modified>
</cp:coreProperties>
</file>