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CD9" w:rsidRPr="007E56EB" w:rsidRDefault="003A5CD9" w:rsidP="003A5CD9">
      <w:pPr>
        <w:jc w:val="center"/>
        <w:rPr>
          <w:b/>
          <w:bCs/>
          <w:sz w:val="24"/>
          <w:szCs w:val="24"/>
        </w:rPr>
      </w:pPr>
      <w:r w:rsidRPr="007E56EB">
        <w:rPr>
          <w:b/>
          <w:bCs/>
          <w:sz w:val="24"/>
          <w:szCs w:val="24"/>
        </w:rPr>
        <w:t>BEFORE THE</w:t>
      </w:r>
    </w:p>
    <w:p w:rsidR="003A5CD9" w:rsidRPr="007E56EB" w:rsidRDefault="003A5CD9" w:rsidP="003A5CD9">
      <w:pPr>
        <w:jc w:val="center"/>
        <w:rPr>
          <w:b/>
          <w:bCs/>
          <w:sz w:val="24"/>
          <w:szCs w:val="24"/>
        </w:rPr>
      </w:pPr>
      <w:r w:rsidRPr="007E56EB">
        <w:rPr>
          <w:b/>
          <w:bCs/>
          <w:sz w:val="24"/>
          <w:szCs w:val="24"/>
        </w:rPr>
        <w:t>PENNSYLVANIA PUBLIC UTILITY COMMISSION</w:t>
      </w:r>
    </w:p>
    <w:p w:rsidR="003A5CD9" w:rsidRPr="007E56EB" w:rsidRDefault="003A5CD9" w:rsidP="003A5CD9">
      <w:pPr>
        <w:rPr>
          <w:bCs/>
          <w:sz w:val="24"/>
          <w:szCs w:val="24"/>
        </w:rPr>
      </w:pPr>
    </w:p>
    <w:p w:rsidR="003A5CD9" w:rsidRPr="007E56EB" w:rsidRDefault="003A5CD9" w:rsidP="003A5CD9">
      <w:pPr>
        <w:rPr>
          <w:bCs/>
          <w:sz w:val="24"/>
          <w:szCs w:val="24"/>
        </w:rPr>
      </w:pPr>
    </w:p>
    <w:p w:rsidR="003A5CD9" w:rsidRPr="007E56EB" w:rsidRDefault="003A5CD9" w:rsidP="003A5CD9">
      <w:pPr>
        <w:rPr>
          <w:bCs/>
          <w:sz w:val="24"/>
          <w:szCs w:val="24"/>
        </w:rPr>
      </w:pPr>
    </w:p>
    <w:p w:rsidR="008F2FCF" w:rsidRPr="008F2FCF" w:rsidRDefault="008F2FCF" w:rsidP="008F2FCF">
      <w:pPr>
        <w:widowControl w:val="0"/>
        <w:adjustRightInd w:val="0"/>
        <w:rPr>
          <w:bCs/>
          <w:color w:val="000000"/>
          <w:sz w:val="24"/>
          <w:szCs w:val="24"/>
        </w:rPr>
      </w:pPr>
      <w:proofErr w:type="gramStart"/>
      <w:r w:rsidRPr="008F2FCF">
        <w:rPr>
          <w:bCs/>
          <w:color w:val="000000"/>
          <w:sz w:val="24"/>
          <w:szCs w:val="24"/>
        </w:rPr>
        <w:t xml:space="preserve">Commonwealth of Pennsylvania, </w:t>
      </w:r>
      <w:r w:rsidRPr="008F2FCF">
        <w:rPr>
          <w:bCs/>
          <w:i/>
          <w:color w:val="000000"/>
          <w:sz w:val="24"/>
          <w:szCs w:val="24"/>
        </w:rPr>
        <w:t>et al.</w:t>
      </w:r>
      <w:proofErr w:type="gramEnd"/>
      <w:r w:rsidRPr="008F2FCF">
        <w:rPr>
          <w:bCs/>
          <w:color w:val="000000"/>
          <w:sz w:val="24"/>
          <w:szCs w:val="24"/>
        </w:rPr>
        <w:tab/>
      </w:r>
      <w:r w:rsidRPr="008F2FCF">
        <w:rPr>
          <w:bCs/>
          <w:color w:val="000000"/>
          <w:sz w:val="24"/>
          <w:szCs w:val="24"/>
        </w:rPr>
        <w:tab/>
        <w:t>:</w:t>
      </w:r>
    </w:p>
    <w:p w:rsidR="008F2FCF" w:rsidRPr="008F2FCF" w:rsidRDefault="008F2FCF" w:rsidP="008F2FCF">
      <w:pPr>
        <w:widowControl w:val="0"/>
        <w:adjustRightInd w:val="0"/>
        <w:rPr>
          <w:bCs/>
          <w:color w:val="000000"/>
          <w:sz w:val="24"/>
          <w:szCs w:val="24"/>
        </w:rPr>
      </w:pP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t>:</w:t>
      </w:r>
    </w:p>
    <w:p w:rsidR="008F2FCF" w:rsidRPr="008F2FCF" w:rsidRDefault="008F2FCF" w:rsidP="008F2FCF">
      <w:pPr>
        <w:widowControl w:val="0"/>
        <w:adjustRightInd w:val="0"/>
        <w:rPr>
          <w:bCs/>
          <w:color w:val="000000"/>
          <w:sz w:val="24"/>
          <w:szCs w:val="24"/>
        </w:rPr>
      </w:pPr>
      <w:r w:rsidRPr="008F2FCF">
        <w:rPr>
          <w:bCs/>
          <w:color w:val="000000"/>
          <w:sz w:val="24"/>
          <w:szCs w:val="24"/>
        </w:rPr>
        <w:tab/>
        <w:t>v.</w:t>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t>:</w:t>
      </w:r>
      <w:r w:rsidRPr="008F2FCF">
        <w:rPr>
          <w:bCs/>
          <w:color w:val="000000"/>
          <w:sz w:val="24"/>
          <w:szCs w:val="24"/>
        </w:rPr>
        <w:tab/>
      </w:r>
      <w:r w:rsidRPr="008F2FCF">
        <w:rPr>
          <w:bCs/>
          <w:color w:val="000000"/>
          <w:sz w:val="24"/>
          <w:szCs w:val="24"/>
        </w:rPr>
        <w:tab/>
        <w:t>C-2014-2427659</w:t>
      </w:r>
    </w:p>
    <w:p w:rsidR="008F2FCF" w:rsidRPr="008F2FCF" w:rsidRDefault="008F2FCF" w:rsidP="008F2FCF">
      <w:pPr>
        <w:widowControl w:val="0"/>
        <w:adjustRightInd w:val="0"/>
        <w:rPr>
          <w:bCs/>
          <w:color w:val="000000"/>
          <w:sz w:val="24"/>
          <w:szCs w:val="24"/>
        </w:rPr>
      </w:pP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t>:</w:t>
      </w:r>
    </w:p>
    <w:p w:rsidR="008F2FCF" w:rsidRPr="008F2FCF" w:rsidRDefault="008F2FCF" w:rsidP="008F2FCF">
      <w:pPr>
        <w:widowControl w:val="0"/>
        <w:adjustRightInd w:val="0"/>
        <w:rPr>
          <w:bCs/>
          <w:color w:val="000000"/>
          <w:sz w:val="24"/>
          <w:szCs w:val="24"/>
        </w:rPr>
      </w:pPr>
      <w:r w:rsidRPr="008F2FCF">
        <w:rPr>
          <w:bCs/>
          <w:color w:val="000000"/>
          <w:sz w:val="24"/>
          <w:szCs w:val="24"/>
        </w:rPr>
        <w:t>Respond Power LLC</w:t>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t>:</w:t>
      </w:r>
    </w:p>
    <w:p w:rsidR="008F2FCF" w:rsidRPr="008F2FCF" w:rsidRDefault="004322C7" w:rsidP="008F2FCF">
      <w:pPr>
        <w:widowControl w:val="0"/>
        <w:adjustRightInd w:val="0"/>
        <w:rPr>
          <w:bCs/>
          <w:color w:val="000000"/>
          <w:sz w:val="24"/>
          <w:szCs w:val="24"/>
        </w:rPr>
      </w:pP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t>:</w:t>
      </w:r>
    </w:p>
    <w:p w:rsidR="008F2FCF" w:rsidRPr="008F2FCF" w:rsidRDefault="004322C7" w:rsidP="008F2FCF">
      <w:pPr>
        <w:widowControl w:val="0"/>
        <w:adjustRightInd w:val="0"/>
        <w:rPr>
          <w:bCs/>
          <w:color w:val="000000"/>
          <w:sz w:val="24"/>
          <w:szCs w:val="24"/>
        </w:rPr>
      </w:pP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t>:</w:t>
      </w:r>
    </w:p>
    <w:p w:rsidR="008F2FCF" w:rsidRPr="008F2FCF" w:rsidRDefault="008F2FCF" w:rsidP="008F2FCF">
      <w:pPr>
        <w:widowControl w:val="0"/>
        <w:adjustRightInd w:val="0"/>
        <w:rPr>
          <w:bCs/>
          <w:color w:val="000000"/>
          <w:sz w:val="24"/>
          <w:szCs w:val="24"/>
        </w:rPr>
      </w:pPr>
      <w:r w:rsidRPr="008F2FCF">
        <w:rPr>
          <w:bCs/>
          <w:color w:val="000000"/>
          <w:sz w:val="24"/>
          <w:szCs w:val="24"/>
        </w:rPr>
        <w:t xml:space="preserve">Pennsylvania Public Utility </w:t>
      </w:r>
      <w:proofErr w:type="gramStart"/>
      <w:r w:rsidRPr="008F2FCF">
        <w:rPr>
          <w:bCs/>
          <w:color w:val="000000"/>
          <w:sz w:val="24"/>
          <w:szCs w:val="24"/>
        </w:rPr>
        <w:t xml:space="preserve">Commission, </w:t>
      </w:r>
      <w:r w:rsidRPr="008F2FCF">
        <w:rPr>
          <w:bCs/>
          <w:color w:val="000000"/>
          <w:sz w:val="24"/>
          <w:szCs w:val="24"/>
        </w:rPr>
        <w:tab/>
      </w:r>
      <w:r w:rsidRPr="008F2FCF">
        <w:rPr>
          <w:bCs/>
          <w:color w:val="000000"/>
          <w:sz w:val="24"/>
          <w:szCs w:val="24"/>
        </w:rPr>
        <w:tab/>
        <w:t>:</w:t>
      </w:r>
      <w:proofErr w:type="gramEnd"/>
    </w:p>
    <w:p w:rsidR="008F2FCF" w:rsidRPr="008F2FCF" w:rsidRDefault="008F2FCF" w:rsidP="008F2FCF">
      <w:pPr>
        <w:widowControl w:val="0"/>
        <w:adjustRightInd w:val="0"/>
        <w:rPr>
          <w:bCs/>
          <w:color w:val="000000"/>
          <w:sz w:val="24"/>
          <w:szCs w:val="24"/>
        </w:rPr>
      </w:pPr>
      <w:r w:rsidRPr="008F2FCF">
        <w:rPr>
          <w:bCs/>
          <w:color w:val="000000"/>
          <w:sz w:val="24"/>
          <w:szCs w:val="24"/>
        </w:rPr>
        <w:t>Bureau of Investigation and Enforcement</w:t>
      </w:r>
      <w:r w:rsidRPr="008F2FCF">
        <w:rPr>
          <w:bCs/>
          <w:color w:val="000000"/>
          <w:sz w:val="24"/>
          <w:szCs w:val="24"/>
        </w:rPr>
        <w:tab/>
      </w:r>
      <w:r w:rsidRPr="008F2FCF">
        <w:rPr>
          <w:bCs/>
          <w:color w:val="000000"/>
          <w:sz w:val="24"/>
          <w:szCs w:val="24"/>
        </w:rPr>
        <w:tab/>
        <w:t>:</w:t>
      </w:r>
      <w:r w:rsidRPr="008F2FCF">
        <w:rPr>
          <w:bCs/>
          <w:color w:val="000000"/>
          <w:sz w:val="24"/>
          <w:szCs w:val="24"/>
        </w:rPr>
        <w:tab/>
      </w:r>
      <w:r w:rsidRPr="008F2FCF">
        <w:rPr>
          <w:bCs/>
          <w:color w:val="000000"/>
          <w:sz w:val="24"/>
          <w:szCs w:val="24"/>
        </w:rPr>
        <w:tab/>
        <w:t>C-2014-2438640</w:t>
      </w:r>
    </w:p>
    <w:p w:rsidR="008F2FCF" w:rsidRPr="008F2FCF" w:rsidRDefault="008F2FCF" w:rsidP="008F2FCF">
      <w:pPr>
        <w:widowControl w:val="0"/>
        <w:adjustRightInd w:val="0"/>
        <w:rPr>
          <w:bCs/>
          <w:color w:val="000000"/>
          <w:sz w:val="24"/>
          <w:szCs w:val="24"/>
        </w:rPr>
      </w:pP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t>:</w:t>
      </w:r>
    </w:p>
    <w:p w:rsidR="008F2FCF" w:rsidRPr="008F2FCF" w:rsidRDefault="008F2FCF" w:rsidP="008F2FCF">
      <w:pPr>
        <w:widowControl w:val="0"/>
        <w:adjustRightInd w:val="0"/>
        <w:rPr>
          <w:bCs/>
          <w:color w:val="000000"/>
          <w:sz w:val="24"/>
          <w:szCs w:val="24"/>
        </w:rPr>
      </w:pPr>
      <w:r w:rsidRPr="008F2FCF">
        <w:rPr>
          <w:bCs/>
          <w:color w:val="000000"/>
          <w:sz w:val="24"/>
          <w:szCs w:val="24"/>
        </w:rPr>
        <w:tab/>
        <w:t>v.</w:t>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t>:</w:t>
      </w:r>
    </w:p>
    <w:p w:rsidR="008F2FCF" w:rsidRPr="008F2FCF" w:rsidRDefault="008F2FCF" w:rsidP="008F2FCF">
      <w:pPr>
        <w:widowControl w:val="0"/>
        <w:adjustRightInd w:val="0"/>
        <w:rPr>
          <w:bCs/>
          <w:color w:val="000000"/>
          <w:sz w:val="24"/>
          <w:szCs w:val="24"/>
        </w:rPr>
      </w:pP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t>:</w:t>
      </w:r>
    </w:p>
    <w:p w:rsidR="008F2FCF" w:rsidRPr="008F2FCF" w:rsidRDefault="008F2FCF" w:rsidP="008F2FCF">
      <w:pPr>
        <w:widowControl w:val="0"/>
        <w:adjustRightInd w:val="0"/>
        <w:rPr>
          <w:bCs/>
          <w:color w:val="000000"/>
          <w:sz w:val="24"/>
          <w:szCs w:val="24"/>
        </w:rPr>
      </w:pPr>
      <w:r w:rsidRPr="008F2FCF">
        <w:rPr>
          <w:bCs/>
          <w:color w:val="000000"/>
          <w:sz w:val="24"/>
          <w:szCs w:val="24"/>
        </w:rPr>
        <w:t>Respond Power LLC</w:t>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t>:</w:t>
      </w:r>
    </w:p>
    <w:p w:rsidR="003A5CD9" w:rsidRDefault="003A5CD9" w:rsidP="003A5CD9">
      <w:pPr>
        <w:tabs>
          <w:tab w:val="left" w:pos="-720"/>
        </w:tabs>
        <w:suppressAutoHyphens/>
        <w:jc w:val="both"/>
        <w:rPr>
          <w:spacing w:val="-3"/>
          <w:sz w:val="24"/>
          <w:szCs w:val="24"/>
        </w:rPr>
      </w:pPr>
    </w:p>
    <w:p w:rsidR="008F2FCF" w:rsidRDefault="008F2FCF" w:rsidP="003A5CD9">
      <w:pPr>
        <w:tabs>
          <w:tab w:val="left" w:pos="-720"/>
        </w:tabs>
        <w:suppressAutoHyphens/>
        <w:jc w:val="both"/>
        <w:rPr>
          <w:spacing w:val="-3"/>
          <w:sz w:val="24"/>
          <w:szCs w:val="24"/>
        </w:rPr>
      </w:pPr>
    </w:p>
    <w:p w:rsidR="004322C7" w:rsidRPr="007E56EB" w:rsidRDefault="004322C7" w:rsidP="003A5CD9">
      <w:pPr>
        <w:tabs>
          <w:tab w:val="left" w:pos="-720"/>
        </w:tabs>
        <w:suppressAutoHyphens/>
        <w:jc w:val="both"/>
        <w:rPr>
          <w:spacing w:val="-3"/>
          <w:sz w:val="24"/>
          <w:szCs w:val="24"/>
        </w:rPr>
      </w:pPr>
    </w:p>
    <w:p w:rsidR="003A5CD9" w:rsidRPr="007E56EB" w:rsidRDefault="00E3299D" w:rsidP="003A5CD9">
      <w:pPr>
        <w:jc w:val="center"/>
        <w:rPr>
          <w:b/>
          <w:sz w:val="24"/>
          <w:szCs w:val="24"/>
          <w:u w:val="single"/>
        </w:rPr>
      </w:pPr>
      <w:r>
        <w:rPr>
          <w:b/>
          <w:sz w:val="24"/>
          <w:szCs w:val="24"/>
          <w:u w:val="single"/>
        </w:rPr>
        <w:t>PROCEDURAL</w:t>
      </w:r>
      <w:r w:rsidR="003A5CD9" w:rsidRPr="007E56EB">
        <w:rPr>
          <w:b/>
          <w:sz w:val="24"/>
          <w:szCs w:val="24"/>
          <w:u w:val="single"/>
        </w:rPr>
        <w:t xml:space="preserve"> ORDER</w:t>
      </w:r>
      <w:r>
        <w:rPr>
          <w:b/>
          <w:sz w:val="24"/>
          <w:szCs w:val="24"/>
          <w:u w:val="single"/>
        </w:rPr>
        <w:t xml:space="preserve"> #</w:t>
      </w:r>
      <w:r w:rsidR="009B30A0">
        <w:rPr>
          <w:b/>
          <w:sz w:val="24"/>
          <w:szCs w:val="24"/>
          <w:u w:val="single"/>
        </w:rPr>
        <w:t>6</w:t>
      </w:r>
    </w:p>
    <w:p w:rsidR="003A5CD9" w:rsidRPr="007E56EB" w:rsidRDefault="003A5CD9" w:rsidP="003A5CD9">
      <w:pPr>
        <w:jc w:val="center"/>
        <w:rPr>
          <w:sz w:val="24"/>
          <w:szCs w:val="24"/>
        </w:rPr>
      </w:pPr>
    </w:p>
    <w:p w:rsidR="003A5CD9" w:rsidRPr="007E56EB" w:rsidRDefault="003A5CD9" w:rsidP="003A5CD9">
      <w:pPr>
        <w:jc w:val="center"/>
        <w:rPr>
          <w:sz w:val="24"/>
          <w:szCs w:val="24"/>
        </w:rPr>
      </w:pPr>
    </w:p>
    <w:p w:rsidR="00796D63" w:rsidRDefault="00D269E9" w:rsidP="004322C7">
      <w:pPr>
        <w:adjustRightInd w:val="0"/>
        <w:spacing w:line="360" w:lineRule="auto"/>
        <w:ind w:firstLine="1440"/>
        <w:rPr>
          <w:bCs/>
          <w:color w:val="000000"/>
          <w:sz w:val="24"/>
          <w:szCs w:val="24"/>
        </w:rPr>
      </w:pPr>
      <w:r w:rsidRPr="00D269E9">
        <w:rPr>
          <w:bCs/>
          <w:color w:val="000000"/>
          <w:sz w:val="24"/>
          <w:szCs w:val="24"/>
        </w:rPr>
        <w:t xml:space="preserve">On </w:t>
      </w:r>
      <w:r w:rsidR="009B30A0">
        <w:rPr>
          <w:bCs/>
          <w:color w:val="000000"/>
          <w:sz w:val="24"/>
          <w:szCs w:val="24"/>
        </w:rPr>
        <w:t>August 2</w:t>
      </w:r>
      <w:r w:rsidR="00CC5D50">
        <w:rPr>
          <w:bCs/>
          <w:color w:val="000000"/>
          <w:sz w:val="24"/>
          <w:szCs w:val="24"/>
        </w:rPr>
        <w:t>5</w:t>
      </w:r>
      <w:r w:rsidR="009B30A0">
        <w:rPr>
          <w:bCs/>
          <w:color w:val="000000"/>
          <w:sz w:val="24"/>
          <w:szCs w:val="24"/>
        </w:rPr>
        <w:t xml:space="preserve">, 2015, Respond Power LLC (Respond) and the Bureau of Investigation and Enforcement (I&amp;E) </w:t>
      </w:r>
      <w:r w:rsidR="00CC5D50">
        <w:rPr>
          <w:bCs/>
          <w:color w:val="000000"/>
          <w:sz w:val="24"/>
          <w:szCs w:val="24"/>
        </w:rPr>
        <w:t xml:space="preserve">filed a Petition for Approval of Settlement </w:t>
      </w:r>
      <w:r w:rsidR="00796D63">
        <w:rPr>
          <w:bCs/>
          <w:color w:val="000000"/>
          <w:sz w:val="24"/>
          <w:szCs w:val="24"/>
        </w:rPr>
        <w:t xml:space="preserve">seeking to settle a formal complaint filed by I&amp;E against Respond </w:t>
      </w:r>
      <w:r w:rsidR="00CC5D50">
        <w:rPr>
          <w:bCs/>
          <w:color w:val="000000"/>
          <w:sz w:val="24"/>
          <w:szCs w:val="24"/>
        </w:rPr>
        <w:t>at Docket Number C-2014-2438640</w:t>
      </w:r>
      <w:r w:rsidR="00796D63">
        <w:rPr>
          <w:bCs/>
          <w:color w:val="000000"/>
          <w:sz w:val="24"/>
          <w:szCs w:val="24"/>
        </w:rPr>
        <w:t>.</w:t>
      </w:r>
      <w:r w:rsidR="00CC5D50">
        <w:rPr>
          <w:bCs/>
          <w:color w:val="000000"/>
          <w:sz w:val="24"/>
          <w:szCs w:val="24"/>
        </w:rPr>
        <w:t xml:space="preserve">  On August 26, 2015, a previously scheduled hearing was convened that involved </w:t>
      </w:r>
      <w:r w:rsidR="00796D63">
        <w:rPr>
          <w:bCs/>
          <w:color w:val="000000"/>
          <w:sz w:val="24"/>
          <w:szCs w:val="24"/>
        </w:rPr>
        <w:t>the formal complaint filed by I&amp;E against Respond and a formal complaint filed by the Commonwealth of Pennsylvania, Office of Attorney General (OAG) and the Office of Consumer Advocate (OCA)</w:t>
      </w:r>
      <w:r w:rsidR="007322ED">
        <w:rPr>
          <w:bCs/>
          <w:color w:val="000000"/>
          <w:sz w:val="24"/>
          <w:szCs w:val="24"/>
        </w:rPr>
        <w:t xml:space="preserve"> against Respond</w:t>
      </w:r>
      <w:r w:rsidR="00796D63">
        <w:rPr>
          <w:bCs/>
          <w:color w:val="000000"/>
          <w:sz w:val="24"/>
          <w:szCs w:val="24"/>
        </w:rPr>
        <w:t xml:space="preserve">.  The complaint filed by I&amp;E </w:t>
      </w:r>
      <w:r w:rsidR="007322ED">
        <w:rPr>
          <w:bCs/>
          <w:color w:val="000000"/>
          <w:sz w:val="24"/>
          <w:szCs w:val="24"/>
        </w:rPr>
        <w:t xml:space="preserve">against Respond </w:t>
      </w:r>
      <w:r w:rsidR="00796D63">
        <w:rPr>
          <w:bCs/>
          <w:color w:val="000000"/>
          <w:sz w:val="24"/>
          <w:szCs w:val="24"/>
        </w:rPr>
        <w:t>had previously been consolidated with the complaint filed by the OAG and OCA</w:t>
      </w:r>
      <w:r w:rsidR="007322ED">
        <w:rPr>
          <w:bCs/>
          <w:color w:val="000000"/>
          <w:sz w:val="24"/>
          <w:szCs w:val="24"/>
        </w:rPr>
        <w:t xml:space="preserve"> against Respond</w:t>
      </w:r>
      <w:r w:rsidR="00796D63">
        <w:rPr>
          <w:bCs/>
          <w:color w:val="000000"/>
          <w:sz w:val="24"/>
          <w:szCs w:val="24"/>
        </w:rPr>
        <w:t xml:space="preserve">.  </w:t>
      </w:r>
    </w:p>
    <w:p w:rsidR="00796D63" w:rsidRDefault="00796D63" w:rsidP="004322C7">
      <w:pPr>
        <w:adjustRightInd w:val="0"/>
        <w:spacing w:line="360" w:lineRule="auto"/>
        <w:ind w:firstLine="1440"/>
        <w:rPr>
          <w:bCs/>
          <w:color w:val="000000"/>
          <w:sz w:val="24"/>
          <w:szCs w:val="24"/>
        </w:rPr>
      </w:pPr>
    </w:p>
    <w:p w:rsidR="009B30A0" w:rsidRDefault="00796D63" w:rsidP="004322C7">
      <w:pPr>
        <w:adjustRightInd w:val="0"/>
        <w:spacing w:line="360" w:lineRule="auto"/>
        <w:ind w:firstLine="1440"/>
        <w:rPr>
          <w:bCs/>
          <w:color w:val="000000"/>
          <w:sz w:val="24"/>
          <w:szCs w:val="24"/>
        </w:rPr>
      </w:pPr>
      <w:r>
        <w:rPr>
          <w:bCs/>
          <w:color w:val="000000"/>
          <w:sz w:val="24"/>
          <w:szCs w:val="24"/>
        </w:rPr>
        <w:t>At the beginning of the August 26, 2015 hearing, the OAG and OCA raised several procedural and substantive objections to the settlement.  At the conclusion of a length</w:t>
      </w:r>
      <w:r w:rsidR="007322ED">
        <w:rPr>
          <w:bCs/>
          <w:color w:val="000000"/>
          <w:sz w:val="24"/>
          <w:szCs w:val="24"/>
        </w:rPr>
        <w:t>y</w:t>
      </w:r>
      <w:r>
        <w:rPr>
          <w:bCs/>
          <w:color w:val="000000"/>
          <w:sz w:val="24"/>
          <w:szCs w:val="24"/>
        </w:rPr>
        <w:t xml:space="preserve"> discussion between the parties and the Presiding Officers</w:t>
      </w:r>
      <w:r w:rsidR="007322ED">
        <w:rPr>
          <w:bCs/>
          <w:color w:val="000000"/>
          <w:sz w:val="24"/>
          <w:szCs w:val="24"/>
        </w:rPr>
        <w:t xml:space="preserve"> regarding the settlement and the issues raised by the OAG and OCA</w:t>
      </w:r>
      <w:r>
        <w:rPr>
          <w:bCs/>
          <w:color w:val="000000"/>
          <w:sz w:val="24"/>
          <w:szCs w:val="24"/>
        </w:rPr>
        <w:t xml:space="preserve">, it was determined that </w:t>
      </w:r>
      <w:proofErr w:type="gramStart"/>
      <w:r w:rsidR="00662F45">
        <w:rPr>
          <w:bCs/>
          <w:color w:val="000000"/>
          <w:sz w:val="24"/>
          <w:szCs w:val="24"/>
        </w:rPr>
        <w:t>Respond</w:t>
      </w:r>
      <w:proofErr w:type="gramEnd"/>
      <w:r w:rsidR="00662F45">
        <w:rPr>
          <w:bCs/>
          <w:color w:val="000000"/>
          <w:sz w:val="24"/>
          <w:szCs w:val="24"/>
        </w:rPr>
        <w:t xml:space="preserve"> and I&amp;E would file their statements in support of the settlement along with any stipulation of facts in support of the settlement by September 11, 2015</w:t>
      </w:r>
      <w:r w:rsidR="007322ED">
        <w:rPr>
          <w:bCs/>
          <w:color w:val="000000"/>
          <w:sz w:val="24"/>
          <w:szCs w:val="24"/>
        </w:rPr>
        <w:t xml:space="preserve">.  It was also agreed that the OAG and OCA would indicate by September </w:t>
      </w:r>
      <w:r w:rsidR="00B72075">
        <w:rPr>
          <w:bCs/>
          <w:color w:val="000000"/>
          <w:sz w:val="24"/>
          <w:szCs w:val="24"/>
        </w:rPr>
        <w:t>21</w:t>
      </w:r>
      <w:r w:rsidR="007322ED">
        <w:rPr>
          <w:bCs/>
          <w:color w:val="000000"/>
          <w:sz w:val="24"/>
          <w:szCs w:val="24"/>
        </w:rPr>
        <w:t xml:space="preserve">, 2015 what their initial response to the settlement was </w:t>
      </w:r>
      <w:r w:rsidR="00B72075">
        <w:rPr>
          <w:bCs/>
          <w:color w:val="000000"/>
          <w:sz w:val="24"/>
          <w:szCs w:val="24"/>
        </w:rPr>
        <w:t xml:space="preserve">and that the parties would </w:t>
      </w:r>
      <w:r w:rsidR="00B72075">
        <w:rPr>
          <w:bCs/>
          <w:color w:val="000000"/>
          <w:sz w:val="24"/>
          <w:szCs w:val="24"/>
        </w:rPr>
        <w:lastRenderedPageBreak/>
        <w:t>reconvene on October 15, 2015 for a further hearing on the settlement, as may be necessary.  Subsequently, the date for submission of statements in support and any stipulation of facts in support of the settlement, and OAG and OCA’s response, were moved back one week.</w:t>
      </w:r>
    </w:p>
    <w:p w:rsidR="007322ED" w:rsidRDefault="007322ED" w:rsidP="004322C7">
      <w:pPr>
        <w:adjustRightInd w:val="0"/>
        <w:spacing w:line="360" w:lineRule="auto"/>
        <w:ind w:firstLine="1440"/>
        <w:rPr>
          <w:bCs/>
          <w:color w:val="000000"/>
          <w:sz w:val="24"/>
          <w:szCs w:val="24"/>
        </w:rPr>
      </w:pPr>
    </w:p>
    <w:p w:rsidR="00B72075" w:rsidRDefault="007322ED" w:rsidP="004322C7">
      <w:pPr>
        <w:adjustRightInd w:val="0"/>
        <w:spacing w:line="360" w:lineRule="auto"/>
        <w:ind w:firstLine="1440"/>
        <w:rPr>
          <w:bCs/>
          <w:color w:val="000000"/>
          <w:sz w:val="24"/>
          <w:szCs w:val="24"/>
        </w:rPr>
      </w:pPr>
      <w:r>
        <w:rPr>
          <w:bCs/>
          <w:color w:val="000000"/>
          <w:sz w:val="24"/>
          <w:szCs w:val="24"/>
        </w:rPr>
        <w:t>On September 18, 2015</w:t>
      </w:r>
      <w:r w:rsidR="00B72075">
        <w:rPr>
          <w:bCs/>
          <w:color w:val="000000"/>
          <w:sz w:val="24"/>
          <w:szCs w:val="24"/>
        </w:rPr>
        <w:t xml:space="preserve">, Respond and I&amp;E submitted an Amended Petition for Approval of Settlement along with a Stipulation of Facts in Support of the Settlement and Statements in Support of the Settlement.  Respond and I&amp;E requested that the settlement be approved in its entirety without modification.  </w:t>
      </w:r>
    </w:p>
    <w:p w:rsidR="00B72075" w:rsidRDefault="00B72075" w:rsidP="004322C7">
      <w:pPr>
        <w:adjustRightInd w:val="0"/>
        <w:spacing w:line="360" w:lineRule="auto"/>
        <w:ind w:firstLine="1440"/>
        <w:rPr>
          <w:bCs/>
          <w:color w:val="000000"/>
          <w:sz w:val="24"/>
          <w:szCs w:val="24"/>
        </w:rPr>
      </w:pPr>
    </w:p>
    <w:p w:rsidR="007322ED" w:rsidRDefault="00B72075" w:rsidP="004322C7">
      <w:pPr>
        <w:adjustRightInd w:val="0"/>
        <w:spacing w:line="360" w:lineRule="auto"/>
        <w:ind w:firstLine="1440"/>
        <w:rPr>
          <w:bCs/>
          <w:color w:val="000000"/>
          <w:sz w:val="24"/>
          <w:szCs w:val="24"/>
        </w:rPr>
      </w:pPr>
      <w:r>
        <w:rPr>
          <w:bCs/>
          <w:color w:val="000000"/>
          <w:sz w:val="24"/>
          <w:szCs w:val="24"/>
        </w:rPr>
        <w:t>On September 28, 2015, the OAG and OCA filed Joint Initial Objections setting forth various reasons why the settlement should be rejected.  The OAG and OCA requested that the October 15, 2015 hearing be convened so that they can question witnesses regarding the settlement and present evidence if necessary regarding objections to the settlement.  The OAG and OCA also requested that I&amp;E and Respond be directed to produce witnesses able to answer questions about the settlement and that they also be given 30 days after the close of the record to present their full legal analysis in written objections to the settlement.</w:t>
      </w:r>
      <w:r w:rsidR="005F1268">
        <w:rPr>
          <w:rStyle w:val="FootnoteReference"/>
          <w:bCs/>
          <w:color w:val="000000"/>
          <w:sz w:val="24"/>
          <w:szCs w:val="24"/>
        </w:rPr>
        <w:footnoteReference w:id="1"/>
      </w:r>
    </w:p>
    <w:p w:rsidR="00B72075" w:rsidRDefault="00B72075" w:rsidP="004322C7">
      <w:pPr>
        <w:adjustRightInd w:val="0"/>
        <w:spacing w:line="360" w:lineRule="auto"/>
        <w:ind w:firstLine="1440"/>
        <w:rPr>
          <w:bCs/>
          <w:color w:val="000000"/>
          <w:sz w:val="24"/>
          <w:szCs w:val="24"/>
        </w:rPr>
      </w:pPr>
    </w:p>
    <w:p w:rsidR="00B72075" w:rsidRDefault="00B72075" w:rsidP="004322C7">
      <w:pPr>
        <w:adjustRightInd w:val="0"/>
        <w:spacing w:line="360" w:lineRule="auto"/>
        <w:ind w:firstLine="1440"/>
        <w:rPr>
          <w:bCs/>
          <w:color w:val="000000"/>
          <w:sz w:val="24"/>
          <w:szCs w:val="24"/>
        </w:rPr>
      </w:pPr>
      <w:r>
        <w:rPr>
          <w:bCs/>
          <w:color w:val="000000"/>
          <w:sz w:val="24"/>
          <w:szCs w:val="24"/>
        </w:rPr>
        <w:t>On October 5, 2015, Respond filed its response to the OAG and OCA Joint Initial Objections.  In its response, Respond argued</w:t>
      </w:r>
      <w:r w:rsidR="00344F00">
        <w:rPr>
          <w:bCs/>
          <w:color w:val="000000"/>
          <w:sz w:val="24"/>
          <w:szCs w:val="24"/>
        </w:rPr>
        <w:t>, among other things,</w:t>
      </w:r>
      <w:r w:rsidR="00F13A8F">
        <w:rPr>
          <w:bCs/>
          <w:color w:val="000000"/>
          <w:sz w:val="24"/>
          <w:szCs w:val="24"/>
        </w:rPr>
        <w:t xml:space="preserve"> that the requests of the OAG and OCA are unprecedented and would exceed any process that is legally due to those parties.  Respond also argued that the OAG and OCA’s proposal would only serve to delay review of the settlement which, it contended is supported by substantial record evidence and in the public interest.  Respond argued that adopting the OAG and OCA’s proposal would discourage parties in future proceedings from entering into non-unanimous settlement</w:t>
      </w:r>
      <w:r w:rsidR="00344F00">
        <w:rPr>
          <w:bCs/>
          <w:color w:val="000000"/>
          <w:sz w:val="24"/>
          <w:szCs w:val="24"/>
        </w:rPr>
        <w:t>s</w:t>
      </w:r>
      <w:r w:rsidR="00F13A8F">
        <w:rPr>
          <w:bCs/>
          <w:color w:val="000000"/>
          <w:sz w:val="24"/>
          <w:szCs w:val="24"/>
        </w:rPr>
        <w:t xml:space="preserve"> and is, therefore, contrary to the Commission’s policy promoting settlement.  Respond also responded to each of the substantive issues raised by in the Joint Initial Objections and concluded that the October 15, 2015 hearing be limited to the “housekeeping matters” and any questions on the settlement from the Presiding Officers with the OAG and OCA able to conduct cross-examination only in </w:t>
      </w:r>
      <w:r w:rsidR="00F13A8F">
        <w:rPr>
          <w:bCs/>
          <w:color w:val="000000"/>
          <w:sz w:val="24"/>
          <w:szCs w:val="24"/>
        </w:rPr>
        <w:lastRenderedPageBreak/>
        <w:t>response to the Presiding Officers’ questions.  Respond added that a procedural schedule should be established for concluding the litigation of the OAG and OCA complaint.</w:t>
      </w:r>
    </w:p>
    <w:p w:rsidR="00B72075" w:rsidRDefault="00B72075" w:rsidP="004322C7">
      <w:pPr>
        <w:adjustRightInd w:val="0"/>
        <w:spacing w:line="360" w:lineRule="auto"/>
        <w:ind w:firstLine="1440"/>
        <w:rPr>
          <w:bCs/>
          <w:color w:val="000000"/>
          <w:sz w:val="24"/>
          <w:szCs w:val="24"/>
        </w:rPr>
      </w:pPr>
    </w:p>
    <w:p w:rsidR="00B72075" w:rsidRDefault="00B72075" w:rsidP="004322C7">
      <w:pPr>
        <w:adjustRightInd w:val="0"/>
        <w:spacing w:line="360" w:lineRule="auto"/>
        <w:ind w:firstLine="1440"/>
        <w:rPr>
          <w:bCs/>
          <w:color w:val="000000"/>
          <w:sz w:val="24"/>
          <w:szCs w:val="24"/>
        </w:rPr>
      </w:pPr>
      <w:r>
        <w:rPr>
          <w:bCs/>
          <w:color w:val="000000"/>
          <w:sz w:val="24"/>
          <w:szCs w:val="24"/>
        </w:rPr>
        <w:t>Also on October 5, 2015, I&amp;E filed its response to the OAG and OCA Joint Initial Objections.  In its response, I&amp;E argued</w:t>
      </w:r>
      <w:r w:rsidR="00344F00">
        <w:rPr>
          <w:bCs/>
          <w:color w:val="000000"/>
          <w:sz w:val="24"/>
          <w:szCs w:val="24"/>
        </w:rPr>
        <w:t>, among other things, that</w:t>
      </w:r>
      <w:r>
        <w:rPr>
          <w:bCs/>
          <w:color w:val="000000"/>
          <w:sz w:val="24"/>
          <w:szCs w:val="24"/>
        </w:rPr>
        <w:t xml:space="preserve"> </w:t>
      </w:r>
      <w:r w:rsidR="00F13A8F">
        <w:rPr>
          <w:bCs/>
          <w:color w:val="000000"/>
          <w:sz w:val="24"/>
          <w:szCs w:val="24"/>
        </w:rPr>
        <w:t xml:space="preserve">conducting a further hearing on the terms of the settlement is not only unnecessary but contrary to the Commission’s regulations regarding review of the settlement and the Commission’s policy encouraging settlement.  I&amp;E reiterated several times throughout its response that the issues raised in the Joint Initial Objections are legal issues and no material facts are alleged warranting further testimony but, rather, are for the Presiding Officers and the Commission to decide.  I&amp;E also addressed each of the substantive issues contained in the Joint Initial Objections and concluded that </w:t>
      </w:r>
      <w:r w:rsidR="00344F00">
        <w:rPr>
          <w:bCs/>
          <w:color w:val="000000"/>
          <w:sz w:val="24"/>
          <w:szCs w:val="24"/>
        </w:rPr>
        <w:t xml:space="preserve">a  </w:t>
      </w:r>
      <w:r w:rsidR="00F13A8F">
        <w:rPr>
          <w:bCs/>
          <w:color w:val="000000"/>
          <w:sz w:val="24"/>
          <w:szCs w:val="24"/>
        </w:rPr>
        <w:t>further evidentiary hearing could result in substantial due process violations for the settling parties.</w:t>
      </w:r>
    </w:p>
    <w:p w:rsidR="00B72075" w:rsidRDefault="00B72075" w:rsidP="004322C7">
      <w:pPr>
        <w:adjustRightInd w:val="0"/>
        <w:spacing w:line="360" w:lineRule="auto"/>
        <w:ind w:firstLine="1440"/>
        <w:rPr>
          <w:bCs/>
          <w:color w:val="000000"/>
          <w:sz w:val="24"/>
          <w:szCs w:val="24"/>
        </w:rPr>
      </w:pPr>
    </w:p>
    <w:p w:rsidR="00B72075" w:rsidRDefault="00B72075" w:rsidP="004322C7">
      <w:pPr>
        <w:adjustRightInd w:val="0"/>
        <w:spacing w:line="360" w:lineRule="auto"/>
        <w:ind w:firstLine="1440"/>
        <w:rPr>
          <w:bCs/>
          <w:color w:val="000000"/>
          <w:sz w:val="24"/>
          <w:szCs w:val="24"/>
        </w:rPr>
      </w:pPr>
      <w:r>
        <w:rPr>
          <w:bCs/>
          <w:color w:val="000000"/>
          <w:sz w:val="24"/>
          <w:szCs w:val="24"/>
        </w:rPr>
        <w:t>The purpose of this Order is to reconcile the contrasting requests for concluding this</w:t>
      </w:r>
      <w:r w:rsidR="009F5ECA">
        <w:rPr>
          <w:bCs/>
          <w:color w:val="000000"/>
          <w:sz w:val="24"/>
          <w:szCs w:val="24"/>
        </w:rPr>
        <w:t xml:space="preserve"> consolidated</w:t>
      </w:r>
      <w:r>
        <w:rPr>
          <w:bCs/>
          <w:color w:val="000000"/>
          <w:sz w:val="24"/>
          <w:szCs w:val="24"/>
        </w:rPr>
        <w:t xml:space="preserve"> proceeding</w:t>
      </w:r>
      <w:r w:rsidR="00432ACE">
        <w:rPr>
          <w:bCs/>
          <w:color w:val="000000"/>
          <w:sz w:val="24"/>
          <w:szCs w:val="24"/>
        </w:rPr>
        <w:t xml:space="preserve"> and preserve the due process rights of all parties</w:t>
      </w:r>
      <w:r>
        <w:rPr>
          <w:bCs/>
          <w:color w:val="000000"/>
          <w:sz w:val="24"/>
          <w:szCs w:val="24"/>
        </w:rPr>
        <w:t xml:space="preserve">.  In consideration of the Joint Initial Objections and the responses to it filed by Respond and I&amp;E, we have determined </w:t>
      </w:r>
      <w:r w:rsidR="00F17DEA">
        <w:rPr>
          <w:bCs/>
          <w:color w:val="000000"/>
          <w:sz w:val="24"/>
          <w:szCs w:val="24"/>
        </w:rPr>
        <w:t xml:space="preserve">that </w:t>
      </w:r>
      <w:r w:rsidR="005F1268">
        <w:rPr>
          <w:bCs/>
          <w:color w:val="000000"/>
          <w:sz w:val="24"/>
          <w:szCs w:val="24"/>
        </w:rPr>
        <w:t xml:space="preserve">the OAG and OCA will be given the opportunity to submit written supplemental testimony setting forth their formal objections to the settlement </w:t>
      </w:r>
      <w:r w:rsidR="00F17DEA">
        <w:rPr>
          <w:bCs/>
          <w:color w:val="000000"/>
          <w:sz w:val="24"/>
          <w:szCs w:val="24"/>
        </w:rPr>
        <w:t xml:space="preserve">submitted on September 18, 2015 by Respond and I&amp;E </w:t>
      </w:r>
      <w:r w:rsidR="00F17DEA" w:rsidRPr="00344F00">
        <w:rPr>
          <w:b/>
          <w:bCs/>
          <w:color w:val="000000"/>
          <w:sz w:val="24"/>
          <w:szCs w:val="24"/>
          <w:u w:val="single"/>
        </w:rPr>
        <w:t>no later than</w:t>
      </w:r>
      <w:r w:rsidR="005F1268" w:rsidRPr="00344F00">
        <w:rPr>
          <w:b/>
          <w:bCs/>
          <w:color w:val="000000"/>
          <w:sz w:val="24"/>
          <w:szCs w:val="24"/>
          <w:u w:val="single"/>
        </w:rPr>
        <w:t xml:space="preserve"> 4:30 </w:t>
      </w:r>
      <w:r w:rsidR="00F17DEA" w:rsidRPr="00344F00">
        <w:rPr>
          <w:b/>
          <w:bCs/>
          <w:color w:val="000000"/>
          <w:sz w:val="24"/>
          <w:szCs w:val="24"/>
          <w:u w:val="single"/>
        </w:rPr>
        <w:t xml:space="preserve">p.m. </w:t>
      </w:r>
      <w:r w:rsidR="005F1268" w:rsidRPr="00344F00">
        <w:rPr>
          <w:b/>
          <w:bCs/>
          <w:color w:val="000000"/>
          <w:sz w:val="24"/>
          <w:szCs w:val="24"/>
          <w:u w:val="single"/>
        </w:rPr>
        <w:t>on Tuesday October 13, 2015</w:t>
      </w:r>
      <w:r w:rsidR="005F1268">
        <w:rPr>
          <w:bCs/>
          <w:color w:val="000000"/>
          <w:sz w:val="24"/>
          <w:szCs w:val="24"/>
        </w:rPr>
        <w:t xml:space="preserve">.  </w:t>
      </w:r>
      <w:r w:rsidR="009E6091">
        <w:rPr>
          <w:bCs/>
          <w:color w:val="000000"/>
          <w:sz w:val="24"/>
          <w:szCs w:val="24"/>
        </w:rPr>
        <w:t xml:space="preserve">Any </w:t>
      </w:r>
      <w:r w:rsidR="005F1268">
        <w:rPr>
          <w:bCs/>
          <w:color w:val="000000"/>
          <w:sz w:val="24"/>
          <w:szCs w:val="24"/>
        </w:rPr>
        <w:t xml:space="preserve">testimony </w:t>
      </w:r>
      <w:r w:rsidR="009E6091">
        <w:rPr>
          <w:bCs/>
          <w:color w:val="000000"/>
          <w:sz w:val="24"/>
          <w:szCs w:val="24"/>
        </w:rPr>
        <w:t xml:space="preserve">filed by the OAG and OCA </w:t>
      </w:r>
      <w:r w:rsidR="005F1268">
        <w:rPr>
          <w:bCs/>
          <w:color w:val="000000"/>
          <w:sz w:val="24"/>
          <w:szCs w:val="24"/>
        </w:rPr>
        <w:t>will be admitted in to the record subject to cross-examination and any timely motions during the hearing on October 15, 2015</w:t>
      </w:r>
      <w:r w:rsidR="009E6091">
        <w:rPr>
          <w:bCs/>
          <w:color w:val="000000"/>
          <w:sz w:val="24"/>
          <w:szCs w:val="24"/>
        </w:rPr>
        <w:t>, at which time the additional “housekeeping matters” discussed above will also be addressed</w:t>
      </w:r>
      <w:r w:rsidR="005F1268">
        <w:rPr>
          <w:bCs/>
          <w:color w:val="000000"/>
          <w:sz w:val="24"/>
          <w:szCs w:val="24"/>
        </w:rPr>
        <w:t xml:space="preserve">.  Furthermore, </w:t>
      </w:r>
      <w:proofErr w:type="gramStart"/>
      <w:r w:rsidR="005F1268">
        <w:rPr>
          <w:bCs/>
          <w:color w:val="000000"/>
          <w:sz w:val="24"/>
          <w:szCs w:val="24"/>
        </w:rPr>
        <w:t>Respond</w:t>
      </w:r>
      <w:proofErr w:type="gramEnd"/>
      <w:r w:rsidR="005F1268">
        <w:rPr>
          <w:bCs/>
          <w:color w:val="000000"/>
          <w:sz w:val="24"/>
          <w:szCs w:val="24"/>
        </w:rPr>
        <w:t xml:space="preserve"> and I&amp;E will have the opportunity during that hearing to present oral responsive testimony</w:t>
      </w:r>
      <w:r w:rsidR="00344F00">
        <w:rPr>
          <w:bCs/>
          <w:color w:val="000000"/>
          <w:sz w:val="24"/>
          <w:szCs w:val="24"/>
        </w:rPr>
        <w:t xml:space="preserve"> in response</w:t>
      </w:r>
      <w:r w:rsidR="005F1268">
        <w:rPr>
          <w:bCs/>
          <w:color w:val="000000"/>
          <w:sz w:val="24"/>
          <w:szCs w:val="24"/>
        </w:rPr>
        <w:t xml:space="preserve"> to </w:t>
      </w:r>
      <w:r w:rsidR="00696BBF">
        <w:rPr>
          <w:bCs/>
          <w:color w:val="000000"/>
          <w:sz w:val="24"/>
          <w:szCs w:val="24"/>
        </w:rPr>
        <w:t xml:space="preserve">any supplemental testimony filed by </w:t>
      </w:r>
      <w:r w:rsidR="004F0C15">
        <w:rPr>
          <w:bCs/>
          <w:color w:val="000000"/>
          <w:sz w:val="24"/>
          <w:szCs w:val="24"/>
        </w:rPr>
        <w:t xml:space="preserve">the OAG and OCA.  </w:t>
      </w:r>
      <w:r w:rsidR="00C20E1C">
        <w:rPr>
          <w:bCs/>
          <w:color w:val="000000"/>
          <w:sz w:val="24"/>
          <w:szCs w:val="24"/>
        </w:rPr>
        <w:t>As a result</w:t>
      </w:r>
      <w:r w:rsidR="004F0C15">
        <w:rPr>
          <w:bCs/>
          <w:color w:val="000000"/>
          <w:sz w:val="24"/>
          <w:szCs w:val="24"/>
        </w:rPr>
        <w:t xml:space="preserve">, I&amp;E and Respond are directed to have witnesses available for that hearing who are knowledgeable about the settlement and able to answer questions about the settlement.  All witnesses can appear telephonically but counsel should be present in the hearing room.  </w:t>
      </w:r>
      <w:r w:rsidR="00344F00">
        <w:rPr>
          <w:bCs/>
          <w:color w:val="000000"/>
          <w:sz w:val="24"/>
          <w:szCs w:val="24"/>
        </w:rPr>
        <w:t>A</w:t>
      </w:r>
      <w:r w:rsidR="004F0C15">
        <w:rPr>
          <w:bCs/>
          <w:color w:val="000000"/>
          <w:sz w:val="24"/>
          <w:szCs w:val="24"/>
        </w:rPr>
        <w:t>t the conclusion of the hearing</w:t>
      </w:r>
      <w:r w:rsidR="00344F00">
        <w:rPr>
          <w:bCs/>
          <w:color w:val="000000"/>
          <w:sz w:val="24"/>
          <w:szCs w:val="24"/>
        </w:rPr>
        <w:t xml:space="preserve"> on October 15, 2015</w:t>
      </w:r>
      <w:r w:rsidR="004F0C15">
        <w:rPr>
          <w:bCs/>
          <w:color w:val="000000"/>
          <w:sz w:val="24"/>
          <w:szCs w:val="24"/>
        </w:rPr>
        <w:t>, a schedule will be set for the submission of main and reply briefs regarding all issues</w:t>
      </w:r>
      <w:r w:rsidR="00344F00">
        <w:rPr>
          <w:bCs/>
          <w:color w:val="000000"/>
          <w:sz w:val="24"/>
          <w:szCs w:val="24"/>
        </w:rPr>
        <w:t xml:space="preserve">, including those regarding the settlement between </w:t>
      </w:r>
      <w:proofErr w:type="gramStart"/>
      <w:r w:rsidR="00344F00">
        <w:rPr>
          <w:bCs/>
          <w:color w:val="000000"/>
          <w:sz w:val="24"/>
          <w:szCs w:val="24"/>
        </w:rPr>
        <w:t>I&amp;E</w:t>
      </w:r>
      <w:proofErr w:type="gramEnd"/>
      <w:r w:rsidR="00344F00">
        <w:rPr>
          <w:bCs/>
          <w:color w:val="000000"/>
          <w:sz w:val="24"/>
          <w:szCs w:val="24"/>
        </w:rPr>
        <w:t xml:space="preserve"> and Respond and those that remain unsettled regarding the complaint file by OAG and OCA</w:t>
      </w:r>
      <w:r w:rsidR="004F0C15">
        <w:rPr>
          <w:bCs/>
          <w:color w:val="000000"/>
          <w:sz w:val="24"/>
          <w:szCs w:val="24"/>
        </w:rPr>
        <w:t>.</w:t>
      </w:r>
    </w:p>
    <w:p w:rsidR="009E6091" w:rsidRDefault="009E6091" w:rsidP="004322C7">
      <w:pPr>
        <w:adjustRightInd w:val="0"/>
        <w:spacing w:line="360" w:lineRule="auto"/>
        <w:ind w:firstLine="1440"/>
        <w:rPr>
          <w:bCs/>
          <w:color w:val="000000"/>
          <w:sz w:val="24"/>
          <w:szCs w:val="24"/>
        </w:rPr>
      </w:pPr>
    </w:p>
    <w:p w:rsidR="009E6091" w:rsidRDefault="009E6091" w:rsidP="004322C7">
      <w:pPr>
        <w:adjustRightInd w:val="0"/>
        <w:spacing w:line="360" w:lineRule="auto"/>
        <w:ind w:firstLine="1440"/>
        <w:rPr>
          <w:bCs/>
          <w:color w:val="000000"/>
          <w:sz w:val="24"/>
          <w:szCs w:val="24"/>
        </w:rPr>
      </w:pPr>
      <w:r>
        <w:rPr>
          <w:bCs/>
          <w:color w:val="000000"/>
          <w:sz w:val="24"/>
          <w:szCs w:val="24"/>
        </w:rPr>
        <w:lastRenderedPageBreak/>
        <w:t xml:space="preserve">We note, in particular, that the settlement between Respond and I&amp;E was first presented late in the day on the day before the evidentiary hearing in this case (and subsequently modified via email later on the day it was presented).  As a non-unanimous settlement, the opposing parties must have an opportunity to respond to the proposed settlement.  Had the settlement been provided earlier, the non-settling parties may have been able to raise any concerns with the settlement during the August 26, 2015 hearing.  Given the short period between when the settlement was first provided and the August 26, 2015 hearing, </w:t>
      </w:r>
      <w:r w:rsidR="00344F00">
        <w:rPr>
          <w:bCs/>
          <w:color w:val="000000"/>
          <w:sz w:val="24"/>
          <w:szCs w:val="24"/>
        </w:rPr>
        <w:t xml:space="preserve">however, </w:t>
      </w:r>
      <w:r w:rsidR="00C20E1C">
        <w:rPr>
          <w:bCs/>
          <w:color w:val="000000"/>
          <w:sz w:val="24"/>
          <w:szCs w:val="24"/>
        </w:rPr>
        <w:t>such a response at that time was not possible.  W</w:t>
      </w:r>
      <w:r>
        <w:rPr>
          <w:bCs/>
          <w:color w:val="000000"/>
          <w:sz w:val="24"/>
          <w:szCs w:val="24"/>
        </w:rPr>
        <w:t>e</w:t>
      </w:r>
      <w:r w:rsidR="00C20E1C">
        <w:rPr>
          <w:bCs/>
          <w:color w:val="000000"/>
          <w:sz w:val="24"/>
          <w:szCs w:val="24"/>
        </w:rPr>
        <w:t>,</w:t>
      </w:r>
      <w:r>
        <w:rPr>
          <w:bCs/>
          <w:color w:val="000000"/>
          <w:sz w:val="24"/>
          <w:szCs w:val="24"/>
        </w:rPr>
        <w:t xml:space="preserve"> </w:t>
      </w:r>
      <w:r w:rsidR="00C20E1C">
        <w:rPr>
          <w:bCs/>
          <w:color w:val="000000"/>
          <w:sz w:val="24"/>
          <w:szCs w:val="24"/>
        </w:rPr>
        <w:t xml:space="preserve">therefore, </w:t>
      </w:r>
      <w:r>
        <w:rPr>
          <w:bCs/>
          <w:color w:val="000000"/>
          <w:sz w:val="24"/>
          <w:szCs w:val="24"/>
        </w:rPr>
        <w:t xml:space="preserve">believe that it is appropriate to give the non-settling parties an opportunity to review the settlement and present their response to it.  As a result, the parties were instructed </w:t>
      </w:r>
      <w:r w:rsidR="00C20E1C">
        <w:rPr>
          <w:bCs/>
          <w:color w:val="000000"/>
          <w:sz w:val="24"/>
          <w:szCs w:val="24"/>
        </w:rPr>
        <w:t xml:space="preserve">during the August 26, 2015 hearing </w:t>
      </w:r>
      <w:r>
        <w:rPr>
          <w:bCs/>
          <w:color w:val="000000"/>
          <w:sz w:val="24"/>
          <w:szCs w:val="24"/>
        </w:rPr>
        <w:t xml:space="preserve">to reserve October 15, 2015 for the date for that opportunity.  </w:t>
      </w:r>
      <w:proofErr w:type="gramStart"/>
      <w:r w:rsidR="00344F00">
        <w:rPr>
          <w:bCs/>
          <w:color w:val="000000"/>
          <w:sz w:val="24"/>
          <w:szCs w:val="24"/>
        </w:rPr>
        <w:t xml:space="preserve">Holding that hearing </w:t>
      </w:r>
      <w:r>
        <w:rPr>
          <w:bCs/>
          <w:color w:val="000000"/>
          <w:sz w:val="24"/>
          <w:szCs w:val="24"/>
        </w:rPr>
        <w:t>will be consistent with the Commission’s policy to promote settlement</w:t>
      </w:r>
      <w:r w:rsidR="00344F00">
        <w:rPr>
          <w:bCs/>
          <w:color w:val="000000"/>
          <w:sz w:val="24"/>
          <w:szCs w:val="24"/>
        </w:rPr>
        <w:t>s</w:t>
      </w:r>
      <w:r>
        <w:rPr>
          <w:bCs/>
          <w:color w:val="000000"/>
          <w:sz w:val="24"/>
          <w:szCs w:val="24"/>
        </w:rPr>
        <w:t xml:space="preserve"> while still pre</w:t>
      </w:r>
      <w:r w:rsidR="00344F00">
        <w:rPr>
          <w:bCs/>
          <w:color w:val="000000"/>
          <w:sz w:val="24"/>
          <w:szCs w:val="24"/>
        </w:rPr>
        <w:t>serving the</w:t>
      </w:r>
      <w:r>
        <w:rPr>
          <w:bCs/>
          <w:color w:val="000000"/>
          <w:sz w:val="24"/>
          <w:szCs w:val="24"/>
        </w:rPr>
        <w:t xml:space="preserve"> due process rights of the non-settling parties in response to the settlement.</w:t>
      </w:r>
      <w:proofErr w:type="gramEnd"/>
      <w:r>
        <w:rPr>
          <w:bCs/>
          <w:color w:val="000000"/>
          <w:sz w:val="24"/>
          <w:szCs w:val="24"/>
        </w:rPr>
        <w:t xml:space="preserve">  Similarly, the due process rights of the settling</w:t>
      </w:r>
      <w:r w:rsidR="00632B8D">
        <w:rPr>
          <w:bCs/>
          <w:color w:val="000000"/>
          <w:sz w:val="24"/>
          <w:szCs w:val="24"/>
        </w:rPr>
        <w:t xml:space="preserve"> will also be preserved because they will have an opportunity</w:t>
      </w:r>
      <w:r w:rsidR="00344F00">
        <w:rPr>
          <w:bCs/>
          <w:color w:val="000000"/>
          <w:sz w:val="24"/>
          <w:szCs w:val="24"/>
        </w:rPr>
        <w:t xml:space="preserve"> during the October 15, 2015 hearing</w:t>
      </w:r>
      <w:r w:rsidR="00632B8D">
        <w:rPr>
          <w:bCs/>
          <w:color w:val="000000"/>
          <w:sz w:val="24"/>
          <w:szCs w:val="24"/>
        </w:rPr>
        <w:t xml:space="preserve"> to present oral responsive testimony to any supplemental testimony filed by the OAG and OCA.</w:t>
      </w:r>
      <w:r w:rsidR="00C20E1C">
        <w:rPr>
          <w:bCs/>
          <w:color w:val="000000"/>
          <w:sz w:val="24"/>
          <w:szCs w:val="24"/>
        </w:rPr>
        <w:t xml:space="preserve">  In the interim, Respond, OAG and OCA are further encouraged to continue settlement discussions in the event the remaining contested issues can be resolved as well.</w:t>
      </w:r>
    </w:p>
    <w:p w:rsidR="00134414" w:rsidRDefault="00134414" w:rsidP="004322C7">
      <w:pPr>
        <w:adjustRightInd w:val="0"/>
        <w:spacing w:line="360" w:lineRule="auto"/>
        <w:ind w:firstLine="1440"/>
        <w:rPr>
          <w:bCs/>
          <w:color w:val="000000"/>
          <w:sz w:val="24"/>
          <w:szCs w:val="24"/>
        </w:rPr>
      </w:pPr>
    </w:p>
    <w:p w:rsidR="002750F9" w:rsidRPr="004F0C15" w:rsidRDefault="002750F9" w:rsidP="00AE186E">
      <w:pPr>
        <w:adjustRightInd w:val="0"/>
        <w:spacing w:line="360" w:lineRule="auto"/>
        <w:jc w:val="center"/>
        <w:rPr>
          <w:sz w:val="24"/>
          <w:szCs w:val="24"/>
        </w:rPr>
      </w:pPr>
      <w:r w:rsidRPr="004F0C15">
        <w:rPr>
          <w:sz w:val="24"/>
          <w:szCs w:val="24"/>
          <w:u w:val="single"/>
        </w:rPr>
        <w:t>ORDER</w:t>
      </w:r>
    </w:p>
    <w:p w:rsidR="002750F9" w:rsidRDefault="002750F9" w:rsidP="002750F9">
      <w:pPr>
        <w:spacing w:line="360" w:lineRule="auto"/>
        <w:rPr>
          <w:sz w:val="24"/>
          <w:szCs w:val="24"/>
        </w:rPr>
      </w:pPr>
    </w:p>
    <w:p w:rsidR="004322C7" w:rsidRPr="004F0C15" w:rsidRDefault="004322C7" w:rsidP="002750F9">
      <w:pPr>
        <w:spacing w:line="360" w:lineRule="auto"/>
        <w:rPr>
          <w:sz w:val="24"/>
          <w:szCs w:val="24"/>
        </w:rPr>
      </w:pPr>
    </w:p>
    <w:p w:rsidR="002750F9" w:rsidRPr="004F0C15" w:rsidRDefault="002750F9" w:rsidP="002750F9">
      <w:pPr>
        <w:spacing w:line="360" w:lineRule="auto"/>
        <w:ind w:firstLine="1440"/>
        <w:rPr>
          <w:bCs/>
          <w:sz w:val="24"/>
          <w:szCs w:val="24"/>
        </w:rPr>
      </w:pPr>
      <w:r w:rsidRPr="004F0C15">
        <w:rPr>
          <w:bCs/>
          <w:sz w:val="24"/>
          <w:szCs w:val="24"/>
        </w:rPr>
        <w:t>THEREFORE,</w:t>
      </w:r>
    </w:p>
    <w:p w:rsidR="002750F9" w:rsidRPr="004F0C15" w:rsidRDefault="002750F9" w:rsidP="002750F9">
      <w:pPr>
        <w:spacing w:line="360" w:lineRule="auto"/>
        <w:ind w:firstLine="1440"/>
        <w:rPr>
          <w:sz w:val="24"/>
          <w:szCs w:val="24"/>
        </w:rPr>
      </w:pPr>
    </w:p>
    <w:p w:rsidR="002750F9" w:rsidRPr="004F0C15" w:rsidRDefault="002750F9" w:rsidP="002750F9">
      <w:pPr>
        <w:spacing w:line="360" w:lineRule="auto"/>
        <w:ind w:firstLine="1440"/>
        <w:rPr>
          <w:bCs/>
          <w:sz w:val="24"/>
          <w:szCs w:val="24"/>
        </w:rPr>
      </w:pPr>
      <w:r w:rsidRPr="004F0C15">
        <w:rPr>
          <w:bCs/>
          <w:sz w:val="24"/>
          <w:szCs w:val="24"/>
        </w:rPr>
        <w:t>IT IS ORDERED:</w:t>
      </w:r>
    </w:p>
    <w:p w:rsidR="002750F9" w:rsidRPr="004F0C15" w:rsidRDefault="002750F9" w:rsidP="002750F9">
      <w:pPr>
        <w:spacing w:line="360" w:lineRule="auto"/>
        <w:ind w:firstLine="1440"/>
        <w:rPr>
          <w:bCs/>
          <w:sz w:val="24"/>
          <w:szCs w:val="24"/>
        </w:rPr>
      </w:pPr>
    </w:p>
    <w:p w:rsidR="002750F9" w:rsidRDefault="002750F9" w:rsidP="004F0C15">
      <w:pPr>
        <w:numPr>
          <w:ilvl w:val="0"/>
          <w:numId w:val="3"/>
        </w:numPr>
        <w:spacing w:line="360" w:lineRule="auto"/>
        <w:ind w:left="0" w:firstLine="1440"/>
        <w:rPr>
          <w:sz w:val="24"/>
          <w:szCs w:val="24"/>
        </w:rPr>
      </w:pPr>
      <w:r w:rsidRPr="004F0C15">
        <w:rPr>
          <w:sz w:val="24"/>
          <w:szCs w:val="24"/>
        </w:rPr>
        <w:t>That</w:t>
      </w:r>
      <w:r w:rsidR="004F0C15">
        <w:rPr>
          <w:sz w:val="24"/>
          <w:szCs w:val="24"/>
        </w:rPr>
        <w:t xml:space="preserve"> </w:t>
      </w:r>
      <w:r w:rsidR="00060F59">
        <w:rPr>
          <w:sz w:val="24"/>
          <w:szCs w:val="24"/>
        </w:rPr>
        <w:t>the Office of Attorney General and the Office of Consumer Advocate will submit</w:t>
      </w:r>
      <w:r w:rsidR="00C20E1C">
        <w:rPr>
          <w:sz w:val="24"/>
          <w:szCs w:val="24"/>
        </w:rPr>
        <w:t>,</w:t>
      </w:r>
      <w:r w:rsidR="00060F59">
        <w:rPr>
          <w:sz w:val="24"/>
          <w:szCs w:val="24"/>
        </w:rPr>
        <w:t xml:space="preserve"> </w:t>
      </w:r>
      <w:r w:rsidR="00C20E1C" w:rsidRPr="00344F00">
        <w:rPr>
          <w:b/>
          <w:sz w:val="24"/>
          <w:szCs w:val="24"/>
          <w:u w:val="single"/>
        </w:rPr>
        <w:t>no later than 4:30 on Tuesday, October 13, 2015</w:t>
      </w:r>
      <w:r w:rsidR="00C20E1C">
        <w:rPr>
          <w:sz w:val="24"/>
          <w:szCs w:val="24"/>
        </w:rPr>
        <w:t xml:space="preserve">, </w:t>
      </w:r>
      <w:r w:rsidR="00060F59">
        <w:rPr>
          <w:sz w:val="24"/>
          <w:szCs w:val="24"/>
        </w:rPr>
        <w:t>written supplemental testimony in response to the Amended Petition for Approval of Settlement filed by Respond Power LLC and the Bureau of Investigation and Enforcement</w:t>
      </w:r>
      <w:r w:rsidR="00344F00">
        <w:rPr>
          <w:sz w:val="24"/>
          <w:szCs w:val="24"/>
        </w:rPr>
        <w:t xml:space="preserve"> that was submitted on September 18, 2015</w:t>
      </w:r>
      <w:r w:rsidR="00060F59">
        <w:rPr>
          <w:sz w:val="24"/>
          <w:szCs w:val="24"/>
        </w:rPr>
        <w:t>.</w:t>
      </w:r>
    </w:p>
    <w:p w:rsidR="00060F59" w:rsidRDefault="00060F59" w:rsidP="00060F59">
      <w:pPr>
        <w:spacing w:line="360" w:lineRule="auto"/>
        <w:ind w:left="1440"/>
        <w:rPr>
          <w:sz w:val="24"/>
          <w:szCs w:val="24"/>
        </w:rPr>
      </w:pPr>
    </w:p>
    <w:p w:rsidR="00060F59" w:rsidRDefault="00060F59" w:rsidP="004F0C15">
      <w:pPr>
        <w:numPr>
          <w:ilvl w:val="0"/>
          <w:numId w:val="3"/>
        </w:numPr>
        <w:spacing w:line="360" w:lineRule="auto"/>
        <w:ind w:left="0" w:firstLine="1440"/>
        <w:rPr>
          <w:sz w:val="24"/>
          <w:szCs w:val="24"/>
        </w:rPr>
      </w:pPr>
      <w:r>
        <w:rPr>
          <w:sz w:val="24"/>
          <w:szCs w:val="24"/>
        </w:rPr>
        <w:lastRenderedPageBreak/>
        <w:t xml:space="preserve">That any written supplemental testimony submitted pursuant to paragraph 1 will be admitted into the record subject to cross-examination and timely motions during the hearing </w:t>
      </w:r>
      <w:r w:rsidR="00C20E1C">
        <w:rPr>
          <w:sz w:val="24"/>
          <w:szCs w:val="24"/>
        </w:rPr>
        <w:t>scheduled for</w:t>
      </w:r>
      <w:r>
        <w:rPr>
          <w:sz w:val="24"/>
          <w:szCs w:val="24"/>
        </w:rPr>
        <w:t xml:space="preserve"> Thursday, October 15, 2015.</w:t>
      </w:r>
    </w:p>
    <w:p w:rsidR="00060F59" w:rsidRDefault="00060F59" w:rsidP="00060F59">
      <w:pPr>
        <w:pStyle w:val="ListParagraph"/>
      </w:pPr>
    </w:p>
    <w:p w:rsidR="00060F59" w:rsidRDefault="00060F59" w:rsidP="004F0C15">
      <w:pPr>
        <w:numPr>
          <w:ilvl w:val="0"/>
          <w:numId w:val="3"/>
        </w:numPr>
        <w:spacing w:line="360" w:lineRule="auto"/>
        <w:ind w:left="0" w:firstLine="1440"/>
        <w:rPr>
          <w:sz w:val="24"/>
          <w:szCs w:val="24"/>
        </w:rPr>
      </w:pPr>
      <w:r>
        <w:rPr>
          <w:sz w:val="24"/>
          <w:szCs w:val="24"/>
        </w:rPr>
        <w:t>That Respond Power LLC and the Bureau of Investigation and Enforcement will be given the opportunity during the hearing on October 15, 2015 to present oral responsive testimony to any written supplemental testimony submitted pursuant to paragraph 1.</w:t>
      </w:r>
    </w:p>
    <w:p w:rsidR="00060F59" w:rsidRDefault="00060F59" w:rsidP="00060F59">
      <w:pPr>
        <w:pStyle w:val="ListParagraph"/>
      </w:pPr>
    </w:p>
    <w:p w:rsidR="00060F59" w:rsidRPr="004F0C15" w:rsidRDefault="00060F59" w:rsidP="004F0C15">
      <w:pPr>
        <w:numPr>
          <w:ilvl w:val="0"/>
          <w:numId w:val="3"/>
        </w:numPr>
        <w:spacing w:line="360" w:lineRule="auto"/>
        <w:ind w:left="0" w:firstLine="1440"/>
        <w:rPr>
          <w:sz w:val="24"/>
          <w:szCs w:val="24"/>
        </w:rPr>
      </w:pPr>
      <w:r>
        <w:rPr>
          <w:sz w:val="24"/>
          <w:szCs w:val="24"/>
        </w:rPr>
        <w:t xml:space="preserve">That Respond Power LLC and the Bureau of Investigation and Enforcement </w:t>
      </w:r>
      <w:r w:rsidR="00344F00">
        <w:rPr>
          <w:sz w:val="24"/>
          <w:szCs w:val="24"/>
        </w:rPr>
        <w:t xml:space="preserve">are directed to </w:t>
      </w:r>
      <w:r>
        <w:rPr>
          <w:sz w:val="24"/>
          <w:szCs w:val="24"/>
        </w:rPr>
        <w:t>have witnesses available for the hearing on October 15, 2015 who are knowledgeable about the settlement and able to answer questions about the settlement.</w:t>
      </w:r>
    </w:p>
    <w:p w:rsidR="002750F9" w:rsidRDefault="002750F9" w:rsidP="004322C7">
      <w:pPr>
        <w:spacing w:line="360" w:lineRule="auto"/>
        <w:rPr>
          <w:sz w:val="24"/>
          <w:szCs w:val="24"/>
        </w:rPr>
      </w:pPr>
    </w:p>
    <w:p w:rsidR="00344F00" w:rsidRDefault="00344F00" w:rsidP="004322C7">
      <w:pPr>
        <w:spacing w:line="360" w:lineRule="auto"/>
        <w:rPr>
          <w:sz w:val="24"/>
          <w:szCs w:val="24"/>
        </w:rPr>
      </w:pPr>
    </w:p>
    <w:p w:rsidR="002750F9" w:rsidRPr="004322C7" w:rsidRDefault="002750F9" w:rsidP="002750F9">
      <w:pPr>
        <w:rPr>
          <w:sz w:val="24"/>
          <w:szCs w:val="24"/>
          <w:u w:val="single"/>
        </w:rPr>
      </w:pPr>
      <w:r w:rsidRPr="002750F9">
        <w:rPr>
          <w:sz w:val="24"/>
          <w:szCs w:val="24"/>
        </w:rPr>
        <w:t xml:space="preserve">Date: </w:t>
      </w:r>
      <w:r w:rsidR="004F0C15">
        <w:rPr>
          <w:sz w:val="24"/>
          <w:szCs w:val="24"/>
          <w:u w:val="single"/>
        </w:rPr>
        <w:t>October 7,</w:t>
      </w:r>
      <w:r w:rsidRPr="002750F9">
        <w:rPr>
          <w:sz w:val="24"/>
          <w:szCs w:val="24"/>
          <w:u w:val="single"/>
        </w:rPr>
        <w:t xml:space="preserve"> 2015</w:t>
      </w:r>
      <w:r w:rsidRPr="002750F9">
        <w:rPr>
          <w:sz w:val="24"/>
          <w:szCs w:val="24"/>
        </w:rPr>
        <w:tab/>
      </w:r>
      <w:r w:rsidR="001A74F5">
        <w:rPr>
          <w:sz w:val="24"/>
          <w:szCs w:val="24"/>
        </w:rPr>
        <w:tab/>
      </w:r>
      <w:r w:rsidRPr="002750F9">
        <w:rPr>
          <w:sz w:val="24"/>
          <w:szCs w:val="24"/>
        </w:rPr>
        <w:tab/>
      </w:r>
      <w:r w:rsidR="004322C7">
        <w:rPr>
          <w:sz w:val="24"/>
          <w:szCs w:val="24"/>
        </w:rPr>
        <w:tab/>
      </w:r>
      <w:r w:rsidR="004322C7">
        <w:rPr>
          <w:sz w:val="24"/>
          <w:szCs w:val="24"/>
        </w:rPr>
        <w:tab/>
      </w:r>
      <w:r w:rsidR="004322C7">
        <w:rPr>
          <w:sz w:val="24"/>
          <w:szCs w:val="24"/>
          <w:u w:val="single"/>
        </w:rPr>
        <w:tab/>
      </w:r>
      <w:r w:rsidR="004322C7">
        <w:rPr>
          <w:sz w:val="24"/>
          <w:szCs w:val="24"/>
          <w:u w:val="single"/>
        </w:rPr>
        <w:tab/>
      </w:r>
      <w:r w:rsidR="004322C7">
        <w:rPr>
          <w:sz w:val="24"/>
          <w:szCs w:val="24"/>
          <w:u w:val="single"/>
        </w:rPr>
        <w:tab/>
      </w:r>
      <w:r w:rsidR="004322C7">
        <w:rPr>
          <w:sz w:val="24"/>
          <w:szCs w:val="24"/>
          <w:u w:val="single"/>
        </w:rPr>
        <w:tab/>
      </w:r>
      <w:r w:rsidR="004322C7">
        <w:rPr>
          <w:sz w:val="24"/>
          <w:szCs w:val="24"/>
          <w:u w:val="single"/>
        </w:rPr>
        <w:tab/>
      </w:r>
    </w:p>
    <w:p w:rsidR="002750F9" w:rsidRPr="002750F9" w:rsidRDefault="002750F9" w:rsidP="002750F9">
      <w:pPr>
        <w:rPr>
          <w:sz w:val="24"/>
          <w:szCs w:val="24"/>
        </w:rPr>
      </w:pPr>
      <w:r w:rsidRPr="002750F9">
        <w:rPr>
          <w:sz w:val="24"/>
          <w:szCs w:val="24"/>
        </w:rPr>
        <w:tab/>
      </w:r>
      <w:r w:rsidRPr="002750F9">
        <w:rPr>
          <w:sz w:val="24"/>
          <w:szCs w:val="24"/>
        </w:rPr>
        <w:tab/>
      </w:r>
      <w:r w:rsidRPr="002750F9">
        <w:rPr>
          <w:sz w:val="24"/>
          <w:szCs w:val="24"/>
        </w:rPr>
        <w:tab/>
      </w:r>
      <w:r w:rsidRPr="002750F9">
        <w:rPr>
          <w:sz w:val="24"/>
          <w:szCs w:val="24"/>
        </w:rPr>
        <w:tab/>
      </w:r>
      <w:r w:rsidRPr="002750F9">
        <w:rPr>
          <w:sz w:val="24"/>
          <w:szCs w:val="24"/>
        </w:rPr>
        <w:tab/>
      </w:r>
      <w:r w:rsidR="004322C7">
        <w:rPr>
          <w:sz w:val="24"/>
          <w:szCs w:val="24"/>
        </w:rPr>
        <w:tab/>
      </w:r>
      <w:r w:rsidR="004322C7">
        <w:rPr>
          <w:sz w:val="24"/>
          <w:szCs w:val="24"/>
        </w:rPr>
        <w:tab/>
      </w:r>
      <w:r w:rsidRPr="002750F9">
        <w:rPr>
          <w:sz w:val="24"/>
          <w:szCs w:val="24"/>
        </w:rPr>
        <w:t>Elizabeth Barnes</w:t>
      </w:r>
    </w:p>
    <w:p w:rsidR="002750F9" w:rsidRPr="002750F9" w:rsidRDefault="002750F9" w:rsidP="002750F9">
      <w:pPr>
        <w:rPr>
          <w:sz w:val="24"/>
          <w:szCs w:val="24"/>
        </w:rPr>
      </w:pPr>
      <w:r w:rsidRPr="002750F9">
        <w:rPr>
          <w:sz w:val="24"/>
          <w:szCs w:val="24"/>
        </w:rPr>
        <w:tab/>
      </w:r>
      <w:r w:rsidRPr="002750F9">
        <w:rPr>
          <w:sz w:val="24"/>
          <w:szCs w:val="24"/>
        </w:rPr>
        <w:tab/>
      </w:r>
      <w:r w:rsidRPr="002750F9">
        <w:rPr>
          <w:sz w:val="24"/>
          <w:szCs w:val="24"/>
        </w:rPr>
        <w:tab/>
      </w:r>
      <w:r w:rsidRPr="002750F9">
        <w:rPr>
          <w:sz w:val="24"/>
          <w:szCs w:val="24"/>
        </w:rPr>
        <w:tab/>
      </w:r>
      <w:r w:rsidRPr="002750F9">
        <w:rPr>
          <w:sz w:val="24"/>
          <w:szCs w:val="24"/>
        </w:rPr>
        <w:tab/>
      </w:r>
      <w:r w:rsidR="004322C7">
        <w:rPr>
          <w:sz w:val="24"/>
          <w:szCs w:val="24"/>
        </w:rPr>
        <w:tab/>
      </w:r>
      <w:r w:rsidR="004322C7">
        <w:rPr>
          <w:sz w:val="24"/>
          <w:szCs w:val="24"/>
        </w:rPr>
        <w:tab/>
      </w:r>
      <w:r w:rsidRPr="002750F9">
        <w:rPr>
          <w:sz w:val="24"/>
          <w:szCs w:val="24"/>
        </w:rPr>
        <w:t>Administrative Law Judge</w:t>
      </w:r>
    </w:p>
    <w:p w:rsidR="002750F9" w:rsidRDefault="002750F9" w:rsidP="004322C7">
      <w:pPr>
        <w:spacing w:line="360" w:lineRule="auto"/>
        <w:rPr>
          <w:sz w:val="24"/>
          <w:szCs w:val="24"/>
          <w:u w:val="single"/>
        </w:rPr>
      </w:pPr>
    </w:p>
    <w:p w:rsidR="001A74F5" w:rsidRPr="002750F9" w:rsidRDefault="001A74F5" w:rsidP="004322C7">
      <w:pPr>
        <w:spacing w:line="360" w:lineRule="auto"/>
        <w:rPr>
          <w:sz w:val="24"/>
          <w:szCs w:val="24"/>
          <w:u w:val="single"/>
        </w:rPr>
      </w:pPr>
    </w:p>
    <w:p w:rsidR="002750F9" w:rsidRPr="004322C7" w:rsidRDefault="002750F9" w:rsidP="002750F9">
      <w:pPr>
        <w:rPr>
          <w:sz w:val="24"/>
          <w:szCs w:val="24"/>
          <w:u w:val="single"/>
        </w:rPr>
      </w:pPr>
      <w:r w:rsidRPr="002750F9">
        <w:rPr>
          <w:sz w:val="24"/>
          <w:szCs w:val="24"/>
        </w:rPr>
        <w:tab/>
      </w:r>
      <w:r w:rsidRPr="002750F9">
        <w:rPr>
          <w:sz w:val="24"/>
          <w:szCs w:val="24"/>
        </w:rPr>
        <w:tab/>
      </w:r>
      <w:r w:rsidRPr="002750F9">
        <w:rPr>
          <w:sz w:val="24"/>
          <w:szCs w:val="24"/>
        </w:rPr>
        <w:tab/>
      </w:r>
      <w:r w:rsidRPr="002750F9">
        <w:rPr>
          <w:sz w:val="24"/>
          <w:szCs w:val="24"/>
        </w:rPr>
        <w:tab/>
      </w:r>
      <w:r w:rsidRPr="002750F9">
        <w:rPr>
          <w:sz w:val="24"/>
          <w:szCs w:val="24"/>
        </w:rPr>
        <w:tab/>
      </w:r>
      <w:r w:rsidR="004322C7">
        <w:rPr>
          <w:sz w:val="24"/>
          <w:szCs w:val="24"/>
        </w:rPr>
        <w:tab/>
      </w:r>
      <w:r w:rsidR="004322C7">
        <w:rPr>
          <w:sz w:val="24"/>
          <w:szCs w:val="24"/>
        </w:rPr>
        <w:tab/>
      </w:r>
      <w:r w:rsidR="004322C7">
        <w:rPr>
          <w:sz w:val="24"/>
          <w:szCs w:val="24"/>
          <w:u w:val="single"/>
        </w:rPr>
        <w:tab/>
      </w:r>
      <w:r w:rsidR="004322C7">
        <w:rPr>
          <w:sz w:val="24"/>
          <w:szCs w:val="24"/>
          <w:u w:val="single"/>
        </w:rPr>
        <w:tab/>
      </w:r>
      <w:r w:rsidR="004322C7">
        <w:rPr>
          <w:sz w:val="24"/>
          <w:szCs w:val="24"/>
          <w:u w:val="single"/>
        </w:rPr>
        <w:tab/>
      </w:r>
      <w:r w:rsidR="004322C7">
        <w:rPr>
          <w:sz w:val="24"/>
          <w:szCs w:val="24"/>
          <w:u w:val="single"/>
        </w:rPr>
        <w:tab/>
      </w:r>
      <w:r w:rsidR="004322C7">
        <w:rPr>
          <w:sz w:val="24"/>
          <w:szCs w:val="24"/>
          <w:u w:val="single"/>
        </w:rPr>
        <w:tab/>
      </w:r>
    </w:p>
    <w:p w:rsidR="002750F9" w:rsidRPr="002750F9" w:rsidRDefault="002750F9" w:rsidP="002750F9">
      <w:pPr>
        <w:rPr>
          <w:sz w:val="24"/>
          <w:szCs w:val="24"/>
        </w:rPr>
      </w:pPr>
      <w:r w:rsidRPr="002750F9">
        <w:rPr>
          <w:sz w:val="24"/>
          <w:szCs w:val="24"/>
        </w:rPr>
        <w:tab/>
      </w:r>
      <w:r w:rsidRPr="002750F9">
        <w:rPr>
          <w:sz w:val="24"/>
          <w:szCs w:val="24"/>
        </w:rPr>
        <w:tab/>
      </w:r>
      <w:r w:rsidRPr="002750F9">
        <w:rPr>
          <w:sz w:val="24"/>
          <w:szCs w:val="24"/>
        </w:rPr>
        <w:tab/>
      </w:r>
      <w:r w:rsidRPr="002750F9">
        <w:rPr>
          <w:sz w:val="24"/>
          <w:szCs w:val="24"/>
        </w:rPr>
        <w:tab/>
      </w:r>
      <w:r w:rsidRPr="002750F9">
        <w:rPr>
          <w:sz w:val="24"/>
          <w:szCs w:val="24"/>
        </w:rPr>
        <w:tab/>
      </w:r>
      <w:r w:rsidR="004322C7">
        <w:rPr>
          <w:sz w:val="24"/>
          <w:szCs w:val="24"/>
        </w:rPr>
        <w:tab/>
      </w:r>
      <w:r w:rsidR="004322C7">
        <w:rPr>
          <w:sz w:val="24"/>
          <w:szCs w:val="24"/>
        </w:rPr>
        <w:tab/>
      </w:r>
      <w:r w:rsidRPr="002750F9">
        <w:rPr>
          <w:sz w:val="24"/>
          <w:szCs w:val="24"/>
        </w:rPr>
        <w:t xml:space="preserve">Joel H. Cheskis </w:t>
      </w:r>
    </w:p>
    <w:p w:rsidR="00AE186E" w:rsidRDefault="002750F9" w:rsidP="001A74F5">
      <w:pPr>
        <w:rPr>
          <w:sz w:val="24"/>
          <w:szCs w:val="24"/>
        </w:rPr>
        <w:sectPr w:rsidR="00AE186E" w:rsidSect="004322C7">
          <w:footerReference w:type="default" r:id="rId9"/>
          <w:footerReference w:type="first" r:id="rId10"/>
          <w:pgSz w:w="12240" w:h="15840" w:code="1"/>
          <w:pgMar w:top="1296" w:right="1440" w:bottom="1296" w:left="1440" w:header="720" w:footer="720" w:gutter="0"/>
          <w:cols w:space="720"/>
          <w:titlePg/>
          <w:docGrid w:linePitch="360"/>
        </w:sectPr>
      </w:pPr>
      <w:r w:rsidRPr="002750F9">
        <w:rPr>
          <w:sz w:val="24"/>
          <w:szCs w:val="24"/>
        </w:rPr>
        <w:tab/>
      </w:r>
      <w:r w:rsidRPr="002750F9">
        <w:rPr>
          <w:sz w:val="24"/>
          <w:szCs w:val="24"/>
        </w:rPr>
        <w:tab/>
      </w:r>
      <w:r w:rsidRPr="002750F9">
        <w:rPr>
          <w:sz w:val="24"/>
          <w:szCs w:val="24"/>
        </w:rPr>
        <w:tab/>
      </w:r>
      <w:r w:rsidRPr="002750F9">
        <w:rPr>
          <w:sz w:val="24"/>
          <w:szCs w:val="24"/>
        </w:rPr>
        <w:tab/>
      </w:r>
      <w:r w:rsidRPr="002750F9">
        <w:rPr>
          <w:sz w:val="24"/>
          <w:szCs w:val="24"/>
        </w:rPr>
        <w:tab/>
      </w:r>
      <w:r w:rsidR="004322C7">
        <w:rPr>
          <w:sz w:val="24"/>
          <w:szCs w:val="24"/>
        </w:rPr>
        <w:tab/>
      </w:r>
      <w:r w:rsidR="004322C7">
        <w:rPr>
          <w:sz w:val="24"/>
          <w:szCs w:val="24"/>
        </w:rPr>
        <w:tab/>
      </w:r>
      <w:r w:rsidRPr="002750F9">
        <w:rPr>
          <w:sz w:val="24"/>
          <w:szCs w:val="24"/>
        </w:rPr>
        <w:t>Administrative Law Judge</w:t>
      </w:r>
    </w:p>
    <w:p w:rsidR="00AE186E" w:rsidRPr="00483E47" w:rsidRDefault="00AE186E" w:rsidP="00AE186E">
      <w:pPr>
        <w:rPr>
          <w:rFonts w:ascii="Microsoft Sans Serif" w:hAnsi="Microsoft Sans Serif" w:cs="Microsoft Sans Serif"/>
          <w:b/>
          <w:sz w:val="24"/>
          <w:szCs w:val="24"/>
          <w:u w:val="single"/>
        </w:rPr>
      </w:pPr>
      <w:r w:rsidRPr="00483E47">
        <w:rPr>
          <w:rFonts w:ascii="Microsoft Sans Serif" w:hAnsi="Microsoft Sans Serif" w:cs="Microsoft Sans Serif"/>
          <w:b/>
          <w:sz w:val="24"/>
          <w:szCs w:val="24"/>
          <w:u w:val="single"/>
        </w:rPr>
        <w:lastRenderedPageBreak/>
        <w:t>C-2014-242765</w:t>
      </w:r>
      <w:r>
        <w:rPr>
          <w:rFonts w:ascii="Microsoft Sans Serif" w:hAnsi="Microsoft Sans Serif" w:cs="Microsoft Sans Serif"/>
          <w:b/>
          <w:sz w:val="24"/>
          <w:szCs w:val="24"/>
          <w:u w:val="single"/>
        </w:rPr>
        <w:t>9</w:t>
      </w:r>
      <w:r w:rsidRPr="00483E47">
        <w:rPr>
          <w:rFonts w:ascii="Microsoft Sans Serif" w:hAnsi="Microsoft Sans Serif" w:cs="Microsoft Sans Serif"/>
          <w:b/>
          <w:sz w:val="24"/>
          <w:szCs w:val="24"/>
          <w:u w:val="single"/>
        </w:rPr>
        <w:t xml:space="preserve"> - ATTORNEY GENERAL PA &amp; OFFICE OF CONSUMER ADVOCATE v. </w:t>
      </w:r>
      <w:r>
        <w:rPr>
          <w:rFonts w:ascii="Microsoft Sans Serif" w:hAnsi="Microsoft Sans Serif" w:cs="Microsoft Sans Serif"/>
          <w:b/>
          <w:sz w:val="24"/>
          <w:szCs w:val="24"/>
          <w:u w:val="single"/>
        </w:rPr>
        <w:t>RESPOND POWER LLC</w:t>
      </w:r>
      <w:r w:rsidRPr="00483E47">
        <w:rPr>
          <w:rFonts w:ascii="Microsoft Sans Serif" w:hAnsi="Microsoft Sans Serif" w:cs="Microsoft Sans Serif"/>
          <w:b/>
          <w:sz w:val="24"/>
          <w:szCs w:val="24"/>
          <w:u w:val="single"/>
        </w:rPr>
        <w:cr/>
      </w:r>
    </w:p>
    <w:p w:rsidR="00AE186E" w:rsidRPr="00E91C8E" w:rsidRDefault="00AE186E" w:rsidP="00AE186E">
      <w:pPr>
        <w:rPr>
          <w:rFonts w:ascii="Microsoft Sans Serif" w:hAnsi="Microsoft Sans Serif" w:cs="Microsoft Sans Serif"/>
          <w:b/>
          <w:i/>
          <w:sz w:val="24"/>
          <w:szCs w:val="24"/>
          <w:u w:val="single"/>
        </w:rPr>
      </w:pPr>
      <w:r>
        <w:rPr>
          <w:rFonts w:ascii="Microsoft Sans Serif" w:hAnsi="Microsoft Sans Serif" w:cs="Microsoft Sans Serif"/>
          <w:b/>
          <w:i/>
          <w:sz w:val="24"/>
          <w:szCs w:val="24"/>
          <w:u w:val="single"/>
        </w:rPr>
        <w:t>REVISED 10/5/15</w:t>
      </w:r>
    </w:p>
    <w:p w:rsidR="00AE186E" w:rsidRPr="00483E47" w:rsidRDefault="00AE186E" w:rsidP="00AE186E">
      <w:pPr>
        <w:rPr>
          <w:rFonts w:ascii="Microsoft Sans Serif" w:hAnsi="Microsoft Sans Serif" w:cs="Microsoft Sans Serif"/>
          <w:sz w:val="24"/>
          <w:szCs w:val="24"/>
        </w:rPr>
      </w:pPr>
      <w:r w:rsidRPr="00483E47">
        <w:rPr>
          <w:rFonts w:ascii="Microsoft Sans Serif" w:hAnsi="Microsoft Sans Serif" w:cs="Microsoft Sans Serif"/>
          <w:b/>
          <w:sz w:val="24"/>
          <w:szCs w:val="24"/>
          <w:u w:val="single"/>
        </w:rPr>
        <w:cr/>
      </w:r>
      <w:r w:rsidRPr="00483E47">
        <w:rPr>
          <w:rFonts w:ascii="Microsoft Sans Serif" w:hAnsi="Microsoft Sans Serif" w:cs="Microsoft Sans Serif"/>
          <w:sz w:val="24"/>
          <w:szCs w:val="24"/>
        </w:rPr>
        <w:t>JOHN M ABEL ESQUIRE</w:t>
      </w:r>
      <w:r w:rsidRPr="00483E47">
        <w:rPr>
          <w:rFonts w:ascii="Microsoft Sans Serif" w:hAnsi="Microsoft Sans Serif" w:cs="Microsoft Sans Serif"/>
          <w:sz w:val="24"/>
          <w:szCs w:val="24"/>
        </w:rPr>
        <w:cr/>
      </w:r>
      <w:r>
        <w:rPr>
          <w:rFonts w:ascii="Microsoft Sans Serif" w:hAnsi="Microsoft Sans Serif" w:cs="Microsoft Sans Serif"/>
          <w:sz w:val="24"/>
          <w:szCs w:val="24"/>
        </w:rPr>
        <w:t>NICOLE R BECK</w:t>
      </w:r>
      <w:r w:rsidRPr="00483E47">
        <w:rPr>
          <w:rFonts w:ascii="Microsoft Sans Serif" w:hAnsi="Microsoft Sans Serif" w:cs="Microsoft Sans Serif"/>
          <w:sz w:val="24"/>
          <w:szCs w:val="24"/>
        </w:rPr>
        <w:t xml:space="preserve"> ESQUIRE</w:t>
      </w:r>
    </w:p>
    <w:p w:rsidR="00AE186E" w:rsidRDefault="00AE186E" w:rsidP="00AE186E">
      <w:pPr>
        <w:rPr>
          <w:rFonts w:ascii="Microsoft Sans Serif" w:hAnsi="Microsoft Sans Serif" w:cs="Microsoft Sans Serif"/>
          <w:sz w:val="24"/>
          <w:szCs w:val="24"/>
        </w:rPr>
      </w:pPr>
      <w:r w:rsidRPr="00483E47">
        <w:rPr>
          <w:rFonts w:ascii="Microsoft Sans Serif" w:hAnsi="Microsoft Sans Serif" w:cs="Microsoft Sans Serif"/>
          <w:sz w:val="24"/>
          <w:szCs w:val="24"/>
        </w:rPr>
        <w:t>PA OFFICE OF ATTORNEY GENERAL</w:t>
      </w:r>
      <w:r w:rsidRPr="00483E47">
        <w:rPr>
          <w:rFonts w:ascii="Microsoft Sans Serif" w:hAnsi="Microsoft Sans Serif" w:cs="Microsoft Sans Serif"/>
          <w:sz w:val="24"/>
          <w:szCs w:val="24"/>
        </w:rPr>
        <w:cr/>
        <w:t>BUREAU OF CONSUMER PROTECTION</w:t>
      </w:r>
      <w:r w:rsidRPr="00483E47">
        <w:rPr>
          <w:rFonts w:ascii="Microsoft Sans Serif" w:hAnsi="Microsoft Sans Serif" w:cs="Microsoft Sans Serif"/>
          <w:sz w:val="24"/>
          <w:szCs w:val="24"/>
        </w:rPr>
        <w:cr/>
        <w:t>15</w:t>
      </w:r>
      <w:r w:rsidRPr="00483E47">
        <w:rPr>
          <w:rFonts w:ascii="Microsoft Sans Serif" w:hAnsi="Microsoft Sans Serif" w:cs="Microsoft Sans Serif"/>
          <w:sz w:val="24"/>
          <w:szCs w:val="24"/>
          <w:vertAlign w:val="superscript"/>
        </w:rPr>
        <w:t>TH</w:t>
      </w:r>
      <w:r w:rsidRPr="00483E47">
        <w:rPr>
          <w:rFonts w:ascii="Microsoft Sans Serif" w:hAnsi="Microsoft Sans Serif" w:cs="Microsoft Sans Serif"/>
          <w:sz w:val="24"/>
          <w:szCs w:val="24"/>
        </w:rPr>
        <w:t xml:space="preserve"> FL STRAWBERRY SQUARE</w:t>
      </w:r>
      <w:r w:rsidRPr="00483E47">
        <w:rPr>
          <w:rFonts w:ascii="Microsoft Sans Serif" w:hAnsi="Microsoft Sans Serif" w:cs="Microsoft Sans Serif"/>
          <w:sz w:val="24"/>
          <w:szCs w:val="24"/>
        </w:rPr>
        <w:cr/>
        <w:t>HARRISBURG PA  17120</w:t>
      </w:r>
      <w:r w:rsidRPr="00483E47">
        <w:rPr>
          <w:rFonts w:ascii="Microsoft Sans Serif" w:hAnsi="Microsoft Sans Serif" w:cs="Microsoft Sans Serif"/>
          <w:sz w:val="24"/>
          <w:szCs w:val="24"/>
        </w:rPr>
        <w:cr/>
      </w:r>
      <w:r w:rsidRPr="00483E47">
        <w:rPr>
          <w:rFonts w:ascii="Microsoft Sans Serif" w:hAnsi="Microsoft Sans Serif" w:cs="Microsoft Sans Serif"/>
          <w:sz w:val="24"/>
          <w:szCs w:val="24"/>
        </w:rPr>
        <w:cr/>
        <w:t xml:space="preserve">CANDIS A TUNILO </w:t>
      </w:r>
      <w:r>
        <w:rPr>
          <w:rFonts w:ascii="Microsoft Sans Serif" w:hAnsi="Microsoft Sans Serif" w:cs="Microsoft Sans Serif"/>
          <w:sz w:val="24"/>
          <w:szCs w:val="24"/>
        </w:rPr>
        <w:t>ESQUIRE</w:t>
      </w:r>
      <w:r>
        <w:rPr>
          <w:rFonts w:ascii="Microsoft Sans Serif" w:hAnsi="Microsoft Sans Serif" w:cs="Microsoft Sans Serif"/>
          <w:sz w:val="24"/>
          <w:szCs w:val="24"/>
        </w:rPr>
        <w:cr/>
        <w:t>**CHRISTY APPLEBY ESQUIRE*</w:t>
      </w:r>
    </w:p>
    <w:p w:rsidR="00AE186E" w:rsidRPr="00483E47" w:rsidRDefault="00AE186E" w:rsidP="00AE186E">
      <w:pPr>
        <w:rPr>
          <w:rFonts w:ascii="Microsoft Sans Serif" w:hAnsi="Microsoft Sans Serif" w:cs="Microsoft Sans Serif"/>
          <w:sz w:val="24"/>
          <w:szCs w:val="24"/>
        </w:rPr>
      </w:pPr>
      <w:r w:rsidRPr="00483E47">
        <w:rPr>
          <w:rFonts w:ascii="Microsoft Sans Serif" w:hAnsi="Microsoft Sans Serif" w:cs="Microsoft Sans Serif"/>
          <w:sz w:val="24"/>
          <w:szCs w:val="24"/>
        </w:rPr>
        <w:t>KRISTINE E ROBINSON ESQUIRE</w:t>
      </w:r>
    </w:p>
    <w:p w:rsidR="00AE186E" w:rsidRPr="00E91C8E" w:rsidRDefault="00AE186E" w:rsidP="00AE186E">
      <w:pPr>
        <w:rPr>
          <w:rFonts w:ascii="Microsoft Sans Serif" w:hAnsi="Microsoft Sans Serif" w:cs="Microsoft Sans Serif"/>
          <w:b/>
          <w:i/>
          <w:sz w:val="24"/>
          <w:szCs w:val="24"/>
          <w:u w:val="single"/>
        </w:rPr>
      </w:pPr>
      <w:r w:rsidRPr="00483E47">
        <w:rPr>
          <w:rFonts w:ascii="Microsoft Sans Serif" w:hAnsi="Microsoft Sans Serif" w:cs="Microsoft Sans Serif"/>
          <w:sz w:val="24"/>
          <w:szCs w:val="24"/>
        </w:rPr>
        <w:t>OFFICE OF CONSUMER ADVOCATE</w:t>
      </w:r>
      <w:r w:rsidRPr="00483E47">
        <w:rPr>
          <w:rFonts w:ascii="Microsoft Sans Serif" w:hAnsi="Microsoft Sans Serif" w:cs="Microsoft Sans Serif"/>
          <w:sz w:val="24"/>
          <w:szCs w:val="24"/>
        </w:rPr>
        <w:cr/>
        <w:t>5</w:t>
      </w:r>
      <w:r w:rsidRPr="00483E47">
        <w:rPr>
          <w:rFonts w:ascii="Microsoft Sans Serif" w:hAnsi="Microsoft Sans Serif" w:cs="Microsoft Sans Serif"/>
          <w:sz w:val="24"/>
          <w:szCs w:val="24"/>
          <w:vertAlign w:val="superscript"/>
        </w:rPr>
        <w:t>TH</w:t>
      </w:r>
      <w:r w:rsidRPr="00483E47">
        <w:rPr>
          <w:rFonts w:ascii="Microsoft Sans Serif" w:hAnsi="Microsoft Sans Serif" w:cs="Microsoft Sans Serif"/>
          <w:sz w:val="24"/>
          <w:szCs w:val="24"/>
        </w:rPr>
        <w:t xml:space="preserve"> FLOOR FORUM PLACE</w:t>
      </w:r>
      <w:r w:rsidRPr="00483E47">
        <w:rPr>
          <w:rFonts w:ascii="Microsoft Sans Serif" w:hAnsi="Microsoft Sans Serif" w:cs="Microsoft Sans Serif"/>
          <w:sz w:val="24"/>
          <w:szCs w:val="24"/>
        </w:rPr>
        <w:cr/>
        <w:t>555 WALNUT STREET</w:t>
      </w:r>
      <w:r w:rsidRPr="00483E47">
        <w:rPr>
          <w:rFonts w:ascii="Microsoft Sans Serif" w:hAnsi="Microsoft Sans Serif" w:cs="Microsoft Sans Serif"/>
          <w:sz w:val="24"/>
          <w:szCs w:val="24"/>
        </w:rPr>
        <w:cr/>
        <w:t>HARRISBURG PA  17101-1923</w:t>
      </w:r>
      <w:r w:rsidRPr="00483E47">
        <w:rPr>
          <w:rFonts w:ascii="Microsoft Sans Serif" w:hAnsi="Microsoft Sans Serif" w:cs="Microsoft Sans Serif"/>
          <w:sz w:val="24"/>
          <w:szCs w:val="24"/>
        </w:rPr>
        <w:cr/>
      </w:r>
      <w:r w:rsidRPr="00BB0DFF">
        <w:rPr>
          <w:rFonts w:ascii="Microsoft Sans Serif" w:hAnsi="Microsoft Sans Serif" w:cs="Microsoft Sans Serif"/>
          <w:sz w:val="24"/>
          <w:szCs w:val="24"/>
          <w:u w:val="single"/>
        </w:rPr>
        <w:t>**</w:t>
      </w:r>
      <w:r w:rsidRPr="00E91C8E">
        <w:rPr>
          <w:rFonts w:ascii="Microsoft Sans Serif" w:hAnsi="Microsoft Sans Serif" w:cs="Microsoft Sans Serif"/>
          <w:b/>
          <w:i/>
          <w:sz w:val="24"/>
          <w:szCs w:val="24"/>
          <w:u w:val="single"/>
        </w:rPr>
        <w:t>Accepts eService</w:t>
      </w:r>
    </w:p>
    <w:p w:rsidR="00AE186E" w:rsidRDefault="00AE186E" w:rsidP="00AE186E">
      <w:pPr>
        <w:rPr>
          <w:rFonts w:ascii="Microsoft Sans Serif" w:hAnsi="Microsoft Sans Serif" w:cs="Microsoft Sans Serif"/>
          <w:b/>
          <w:i/>
          <w:sz w:val="24"/>
          <w:szCs w:val="24"/>
          <w:u w:val="single"/>
        </w:rPr>
      </w:pPr>
      <w:r w:rsidRPr="00483E47">
        <w:rPr>
          <w:rFonts w:ascii="Microsoft Sans Serif" w:hAnsi="Microsoft Sans Serif" w:cs="Microsoft Sans Serif"/>
          <w:sz w:val="24"/>
          <w:szCs w:val="24"/>
        </w:rPr>
        <w:cr/>
        <w:t>SHARON WEBB ESQUIRE</w:t>
      </w:r>
      <w:r w:rsidRPr="00483E47">
        <w:rPr>
          <w:rFonts w:ascii="Microsoft Sans Serif" w:hAnsi="Microsoft Sans Serif" w:cs="Microsoft Sans Serif"/>
          <w:sz w:val="24"/>
          <w:szCs w:val="24"/>
        </w:rPr>
        <w:cr/>
        <w:t xml:space="preserve">OFFICE OF </w:t>
      </w:r>
      <w:r>
        <w:rPr>
          <w:rFonts w:ascii="Microsoft Sans Serif" w:hAnsi="Microsoft Sans Serif" w:cs="Microsoft Sans Serif"/>
          <w:sz w:val="24"/>
          <w:szCs w:val="24"/>
        </w:rPr>
        <w:t>SMALL BUSINESS ADVOCATE</w:t>
      </w:r>
      <w:r>
        <w:rPr>
          <w:rFonts w:ascii="Microsoft Sans Serif" w:hAnsi="Microsoft Sans Serif" w:cs="Microsoft Sans Serif"/>
          <w:sz w:val="24"/>
          <w:szCs w:val="24"/>
        </w:rPr>
        <w:cr/>
        <w:t>SUITE 2</w:t>
      </w:r>
      <w:r w:rsidRPr="00483E47">
        <w:rPr>
          <w:rFonts w:ascii="Microsoft Sans Serif" w:hAnsi="Microsoft Sans Serif" w:cs="Microsoft Sans Serif"/>
          <w:sz w:val="24"/>
          <w:szCs w:val="24"/>
        </w:rPr>
        <w:t>02</w:t>
      </w:r>
      <w:r w:rsidRPr="00483E47">
        <w:rPr>
          <w:rFonts w:ascii="Microsoft Sans Serif" w:hAnsi="Microsoft Sans Serif" w:cs="Microsoft Sans Serif"/>
          <w:sz w:val="24"/>
          <w:szCs w:val="24"/>
        </w:rPr>
        <w:cr/>
        <w:t xml:space="preserve">300 NORTH SECOND </w:t>
      </w:r>
      <w:proofErr w:type="gramStart"/>
      <w:r w:rsidRPr="00483E47">
        <w:rPr>
          <w:rFonts w:ascii="Microsoft Sans Serif" w:hAnsi="Microsoft Sans Serif" w:cs="Microsoft Sans Serif"/>
          <w:sz w:val="24"/>
          <w:szCs w:val="24"/>
        </w:rPr>
        <w:t>STREET</w:t>
      </w:r>
      <w:proofErr w:type="gramEnd"/>
      <w:r w:rsidRPr="00483E47">
        <w:rPr>
          <w:rFonts w:ascii="Microsoft Sans Serif" w:hAnsi="Microsoft Sans Serif" w:cs="Microsoft Sans Serif"/>
          <w:sz w:val="24"/>
          <w:szCs w:val="24"/>
        </w:rPr>
        <w:cr/>
      </w:r>
      <w:r w:rsidRPr="00E91C8E">
        <w:rPr>
          <w:rFonts w:ascii="Microsoft Sans Serif" w:hAnsi="Microsoft Sans Serif" w:cs="Microsoft Sans Serif"/>
          <w:sz w:val="24"/>
          <w:szCs w:val="24"/>
        </w:rPr>
        <w:t>HARRISBURG PA  17101</w:t>
      </w:r>
      <w:r w:rsidRPr="00E91C8E">
        <w:rPr>
          <w:rFonts w:ascii="Microsoft Sans Serif" w:hAnsi="Microsoft Sans Serif" w:cs="Microsoft Sans Serif"/>
          <w:sz w:val="24"/>
          <w:szCs w:val="24"/>
        </w:rPr>
        <w:cr/>
      </w:r>
      <w:r w:rsidRPr="00AE186E">
        <w:rPr>
          <w:rFonts w:ascii="Microsoft Sans Serif" w:hAnsi="Microsoft Sans Serif" w:cs="Microsoft Sans Serif"/>
          <w:i/>
          <w:sz w:val="24"/>
          <w:szCs w:val="24"/>
          <w:u w:val="single"/>
        </w:rPr>
        <w:t>Does not</w:t>
      </w:r>
      <w:r w:rsidRPr="00AE186E">
        <w:rPr>
          <w:rFonts w:ascii="Microsoft Sans Serif" w:hAnsi="Microsoft Sans Serif" w:cs="Microsoft Sans Serif"/>
          <w:sz w:val="24"/>
          <w:szCs w:val="24"/>
          <w:u w:val="single"/>
        </w:rPr>
        <w:t xml:space="preserve"> </w:t>
      </w:r>
      <w:r w:rsidRPr="00AE186E">
        <w:rPr>
          <w:rFonts w:ascii="Microsoft Sans Serif" w:hAnsi="Microsoft Sans Serif" w:cs="Microsoft Sans Serif"/>
          <w:i/>
          <w:sz w:val="24"/>
          <w:szCs w:val="24"/>
          <w:u w:val="single"/>
        </w:rPr>
        <w:t>a</w:t>
      </w:r>
      <w:r w:rsidRPr="00AE186E">
        <w:rPr>
          <w:rFonts w:ascii="Microsoft Sans Serif" w:hAnsi="Microsoft Sans Serif" w:cs="Microsoft Sans Serif"/>
          <w:i/>
          <w:sz w:val="24"/>
          <w:szCs w:val="24"/>
          <w:u w:val="single"/>
        </w:rPr>
        <w:t>ccepts eService</w:t>
      </w:r>
    </w:p>
    <w:p w:rsidR="00AE186E" w:rsidRPr="00E91C8E" w:rsidRDefault="00AE186E" w:rsidP="00AE186E">
      <w:pPr>
        <w:rPr>
          <w:rFonts w:ascii="Microsoft Sans Serif" w:hAnsi="Microsoft Sans Serif" w:cs="Microsoft Sans Serif"/>
          <w:sz w:val="24"/>
          <w:szCs w:val="24"/>
        </w:rPr>
      </w:pPr>
    </w:p>
    <w:p w:rsidR="00AE186E" w:rsidRDefault="00AE186E" w:rsidP="00AE186E">
      <w:pPr>
        <w:rPr>
          <w:rFonts w:ascii="Microsoft Sans Serif" w:hAnsi="Microsoft Sans Serif" w:cs="Microsoft Sans Serif"/>
          <w:sz w:val="24"/>
          <w:szCs w:val="24"/>
        </w:rPr>
      </w:pPr>
      <w:r>
        <w:rPr>
          <w:rFonts w:ascii="Microsoft Sans Serif" w:hAnsi="Microsoft Sans Serif" w:cs="Microsoft Sans Serif"/>
          <w:sz w:val="24"/>
          <w:szCs w:val="24"/>
        </w:rPr>
        <w:t>ADAM YOUNG</w:t>
      </w:r>
      <w:r w:rsidRPr="00E91C8E">
        <w:rPr>
          <w:rFonts w:ascii="Microsoft Sans Serif" w:hAnsi="Microsoft Sans Serif" w:cs="Microsoft Sans Serif"/>
          <w:sz w:val="24"/>
          <w:szCs w:val="24"/>
        </w:rPr>
        <w:t xml:space="preserve"> ESQUIRE</w:t>
      </w:r>
      <w:bookmarkStart w:id="0" w:name="_GoBack"/>
      <w:bookmarkEnd w:id="0"/>
    </w:p>
    <w:p w:rsidR="00AE186E" w:rsidRDefault="00AE186E" w:rsidP="00AE186E">
      <w:pPr>
        <w:rPr>
          <w:rFonts w:ascii="Microsoft Sans Serif" w:hAnsi="Microsoft Sans Serif" w:cs="Microsoft Sans Serif"/>
          <w:sz w:val="24"/>
          <w:szCs w:val="24"/>
        </w:rPr>
      </w:pPr>
      <w:r>
        <w:rPr>
          <w:rFonts w:ascii="Microsoft Sans Serif" w:hAnsi="Microsoft Sans Serif" w:cs="Microsoft Sans Serif"/>
          <w:sz w:val="24"/>
          <w:szCs w:val="24"/>
        </w:rPr>
        <w:t>MICHAEL L SWINDLER ESQUIRE</w:t>
      </w:r>
    </w:p>
    <w:p w:rsidR="00AE186E" w:rsidRPr="00E91C8E" w:rsidRDefault="00AE186E" w:rsidP="00AE186E">
      <w:pPr>
        <w:rPr>
          <w:rFonts w:ascii="Microsoft Sans Serif" w:hAnsi="Microsoft Sans Serif" w:cs="Microsoft Sans Serif"/>
          <w:sz w:val="24"/>
          <w:szCs w:val="24"/>
        </w:rPr>
      </w:pPr>
      <w:r>
        <w:rPr>
          <w:rFonts w:ascii="Microsoft Sans Serif" w:hAnsi="Microsoft Sans Serif" w:cs="Microsoft Sans Serif"/>
          <w:sz w:val="24"/>
          <w:szCs w:val="24"/>
        </w:rPr>
        <w:t>WAYNE T SCOTT ESQUIRE</w:t>
      </w:r>
    </w:p>
    <w:p w:rsidR="00AE186E" w:rsidRPr="00E91C8E" w:rsidRDefault="00AE186E" w:rsidP="00AE186E">
      <w:pPr>
        <w:rPr>
          <w:rFonts w:ascii="Microsoft Sans Serif" w:hAnsi="Microsoft Sans Serif" w:cs="Microsoft Sans Serif"/>
          <w:sz w:val="24"/>
          <w:szCs w:val="24"/>
        </w:rPr>
      </w:pPr>
      <w:r w:rsidRPr="00E91C8E">
        <w:rPr>
          <w:rFonts w:ascii="Microsoft Sans Serif" w:hAnsi="Microsoft Sans Serif" w:cs="Microsoft Sans Serif"/>
          <w:sz w:val="24"/>
          <w:szCs w:val="24"/>
        </w:rPr>
        <w:t xml:space="preserve">PA PUC </w:t>
      </w:r>
      <w:r>
        <w:rPr>
          <w:rFonts w:ascii="Microsoft Sans Serif" w:hAnsi="Microsoft Sans Serif" w:cs="Microsoft Sans Serif"/>
          <w:sz w:val="24"/>
          <w:szCs w:val="24"/>
        </w:rPr>
        <w:t>I&amp;E</w:t>
      </w:r>
    </w:p>
    <w:p w:rsidR="00AE186E" w:rsidRPr="00E91C8E" w:rsidRDefault="00AE186E" w:rsidP="00AE186E">
      <w:pPr>
        <w:rPr>
          <w:rFonts w:ascii="Microsoft Sans Serif" w:hAnsi="Microsoft Sans Serif" w:cs="Microsoft Sans Serif"/>
          <w:sz w:val="24"/>
          <w:szCs w:val="24"/>
        </w:rPr>
      </w:pPr>
      <w:r w:rsidRPr="00E91C8E">
        <w:rPr>
          <w:rFonts w:ascii="Microsoft Sans Serif" w:hAnsi="Microsoft Sans Serif" w:cs="Microsoft Sans Serif"/>
          <w:sz w:val="24"/>
          <w:szCs w:val="24"/>
        </w:rPr>
        <w:t>PO BOX 3265</w:t>
      </w:r>
    </w:p>
    <w:p w:rsidR="00AE186E" w:rsidRPr="00E91C8E" w:rsidRDefault="00AE186E" w:rsidP="00AE186E">
      <w:pPr>
        <w:rPr>
          <w:rFonts w:ascii="Microsoft Sans Serif" w:hAnsi="Microsoft Sans Serif" w:cs="Microsoft Sans Serif"/>
          <w:sz w:val="24"/>
          <w:szCs w:val="24"/>
        </w:rPr>
      </w:pPr>
      <w:r w:rsidRPr="00E91C8E">
        <w:rPr>
          <w:rFonts w:ascii="Microsoft Sans Serif" w:hAnsi="Microsoft Sans Serif" w:cs="Microsoft Sans Serif"/>
          <w:sz w:val="24"/>
          <w:szCs w:val="24"/>
        </w:rPr>
        <w:t>HARRISBURG PA  17105-3265</w:t>
      </w:r>
    </w:p>
    <w:p w:rsidR="00AE186E" w:rsidRPr="00E91C8E" w:rsidRDefault="00AE186E" w:rsidP="00AE186E">
      <w:pPr>
        <w:rPr>
          <w:rFonts w:ascii="Microsoft Sans Serif" w:hAnsi="Microsoft Sans Serif" w:cs="Microsoft Sans Serif"/>
          <w:b/>
          <w:i/>
          <w:sz w:val="24"/>
          <w:szCs w:val="24"/>
          <w:u w:val="single"/>
        </w:rPr>
      </w:pPr>
      <w:r w:rsidRPr="00E91C8E">
        <w:rPr>
          <w:rFonts w:ascii="Microsoft Sans Serif" w:hAnsi="Microsoft Sans Serif" w:cs="Microsoft Sans Serif"/>
          <w:b/>
          <w:i/>
          <w:sz w:val="24"/>
          <w:szCs w:val="24"/>
          <w:u w:val="single"/>
        </w:rPr>
        <w:t>Accepts eService</w:t>
      </w:r>
    </w:p>
    <w:p w:rsidR="00AE186E" w:rsidRPr="00E91C8E" w:rsidRDefault="00AE186E" w:rsidP="00AE186E">
      <w:pPr>
        <w:rPr>
          <w:rFonts w:ascii="Microsoft Sans Serif" w:hAnsi="Microsoft Sans Serif" w:cs="Microsoft Sans Serif"/>
          <w:sz w:val="24"/>
          <w:szCs w:val="24"/>
        </w:rPr>
      </w:pPr>
    </w:p>
    <w:p w:rsidR="00AE186E" w:rsidRPr="003672B8" w:rsidRDefault="00AE186E" w:rsidP="00AE186E">
      <w:pPr>
        <w:rPr>
          <w:rFonts w:ascii="Microsoft Sans Serif" w:hAnsi="Microsoft Sans Serif" w:cs="Microsoft Sans Serif"/>
          <w:sz w:val="24"/>
          <w:szCs w:val="24"/>
        </w:rPr>
      </w:pPr>
      <w:r w:rsidRPr="003672B8">
        <w:rPr>
          <w:rFonts w:ascii="Microsoft Sans Serif" w:hAnsi="Microsoft Sans Serif" w:cs="Microsoft Sans Serif"/>
          <w:sz w:val="24"/>
          <w:szCs w:val="24"/>
        </w:rPr>
        <w:t>KAREN MOURY ESQUIRE</w:t>
      </w:r>
    </w:p>
    <w:p w:rsidR="00AE186E" w:rsidRPr="003672B8" w:rsidRDefault="00AE186E" w:rsidP="00AE186E">
      <w:pPr>
        <w:rPr>
          <w:rFonts w:ascii="Microsoft Sans Serif" w:hAnsi="Microsoft Sans Serif" w:cs="Microsoft Sans Serif"/>
          <w:sz w:val="24"/>
          <w:szCs w:val="24"/>
        </w:rPr>
      </w:pPr>
      <w:r w:rsidRPr="003672B8">
        <w:rPr>
          <w:rFonts w:ascii="Microsoft Sans Serif" w:hAnsi="Microsoft Sans Serif" w:cs="Microsoft Sans Serif"/>
          <w:bCs/>
          <w:iCs/>
          <w:sz w:val="24"/>
          <w:szCs w:val="24"/>
        </w:rPr>
        <w:t>JOHN F POVILAITIS ESQUIRE</w:t>
      </w:r>
    </w:p>
    <w:p w:rsidR="00AE186E" w:rsidRPr="003672B8" w:rsidRDefault="00AE186E" w:rsidP="00AE186E">
      <w:pPr>
        <w:rPr>
          <w:rFonts w:ascii="Microsoft Sans Serif" w:hAnsi="Microsoft Sans Serif" w:cs="Microsoft Sans Serif"/>
          <w:sz w:val="24"/>
          <w:szCs w:val="24"/>
        </w:rPr>
      </w:pPr>
      <w:r w:rsidRPr="003672B8">
        <w:rPr>
          <w:rFonts w:ascii="Microsoft Sans Serif" w:hAnsi="Microsoft Sans Serif" w:cs="Microsoft Sans Serif"/>
          <w:sz w:val="24"/>
          <w:szCs w:val="24"/>
        </w:rPr>
        <w:t>BUCHANAN INGERSOLL ROONEY PC</w:t>
      </w:r>
      <w:r w:rsidRPr="003672B8">
        <w:rPr>
          <w:rFonts w:ascii="Microsoft Sans Serif" w:hAnsi="Microsoft Sans Serif" w:cs="Microsoft Sans Serif"/>
          <w:sz w:val="24"/>
          <w:szCs w:val="24"/>
        </w:rPr>
        <w:cr/>
        <w:t xml:space="preserve">409 NORTH SECOND </w:t>
      </w:r>
      <w:proofErr w:type="gramStart"/>
      <w:r w:rsidRPr="003672B8">
        <w:rPr>
          <w:rFonts w:ascii="Microsoft Sans Serif" w:hAnsi="Microsoft Sans Serif" w:cs="Microsoft Sans Serif"/>
          <w:sz w:val="24"/>
          <w:szCs w:val="24"/>
        </w:rPr>
        <w:t>STREET</w:t>
      </w:r>
      <w:proofErr w:type="gramEnd"/>
      <w:r w:rsidRPr="003672B8">
        <w:rPr>
          <w:rFonts w:ascii="Microsoft Sans Serif" w:hAnsi="Microsoft Sans Serif" w:cs="Microsoft Sans Serif"/>
          <w:sz w:val="24"/>
          <w:szCs w:val="24"/>
        </w:rPr>
        <w:cr/>
        <w:t>SUITE 500</w:t>
      </w:r>
      <w:r w:rsidRPr="003672B8">
        <w:rPr>
          <w:rFonts w:ascii="Microsoft Sans Serif" w:hAnsi="Microsoft Sans Serif" w:cs="Microsoft Sans Serif"/>
          <w:sz w:val="24"/>
          <w:szCs w:val="24"/>
        </w:rPr>
        <w:cr/>
        <w:t>HARRISBURG PA  17101</w:t>
      </w:r>
    </w:p>
    <w:p w:rsidR="00AE186E" w:rsidRPr="003672B8" w:rsidRDefault="00AE186E" w:rsidP="00AE186E">
      <w:pPr>
        <w:rPr>
          <w:rFonts w:ascii="Microsoft Sans Serif" w:hAnsi="Microsoft Sans Serif" w:cs="Microsoft Sans Serif"/>
          <w:b/>
          <w:i/>
          <w:sz w:val="24"/>
          <w:szCs w:val="24"/>
          <w:u w:val="single"/>
        </w:rPr>
      </w:pPr>
      <w:r w:rsidRPr="003672B8">
        <w:rPr>
          <w:rFonts w:ascii="Microsoft Sans Serif" w:hAnsi="Microsoft Sans Serif" w:cs="Microsoft Sans Serif"/>
          <w:b/>
          <w:i/>
          <w:sz w:val="24"/>
          <w:szCs w:val="24"/>
          <w:u w:val="single"/>
        </w:rPr>
        <w:t>Accepts eService</w:t>
      </w:r>
    </w:p>
    <w:p w:rsidR="00AE186E" w:rsidRPr="0004261B" w:rsidRDefault="00AE186E" w:rsidP="00AE186E">
      <w:pPr>
        <w:rPr>
          <w:rFonts w:ascii="Microsoft Sans Serif" w:hAnsi="Microsoft Sans Serif" w:cs="Microsoft Sans Serif"/>
          <w:sz w:val="24"/>
          <w:szCs w:val="24"/>
        </w:rPr>
      </w:pPr>
    </w:p>
    <w:p w:rsidR="00AE186E" w:rsidRPr="0015650C" w:rsidRDefault="00AE186E" w:rsidP="00AE186E">
      <w:pPr>
        <w:adjustRightInd w:val="0"/>
        <w:rPr>
          <w:rFonts w:ascii="Microsoft Sans Serif" w:eastAsiaTheme="minorHAnsi" w:hAnsi="Microsoft Sans Serif" w:cs="Microsoft Sans Serif"/>
          <w:sz w:val="24"/>
          <w:szCs w:val="24"/>
          <w:u w:val="double"/>
        </w:rPr>
      </w:pPr>
      <w:r w:rsidRPr="0015650C">
        <w:rPr>
          <w:rFonts w:ascii="Microsoft Sans Serif" w:eastAsiaTheme="minorHAnsi" w:hAnsi="Microsoft Sans Serif" w:cs="Microsoft Sans Serif"/>
          <w:sz w:val="24"/>
          <w:szCs w:val="24"/>
          <w:u w:val="double"/>
        </w:rPr>
        <w:t>DAVID P ZAMBITO ESQUIRE</w:t>
      </w:r>
    </w:p>
    <w:p w:rsidR="00AE186E" w:rsidRPr="0015650C" w:rsidRDefault="00AE186E" w:rsidP="00AE186E">
      <w:pPr>
        <w:adjustRightInd w:val="0"/>
        <w:rPr>
          <w:rFonts w:ascii="Microsoft Sans Serif" w:eastAsiaTheme="minorHAnsi" w:hAnsi="Microsoft Sans Serif" w:cs="Microsoft Sans Serif"/>
          <w:sz w:val="24"/>
          <w:szCs w:val="24"/>
          <w:u w:val="double"/>
        </w:rPr>
      </w:pPr>
      <w:r w:rsidRPr="0015650C">
        <w:rPr>
          <w:rFonts w:ascii="Microsoft Sans Serif" w:eastAsiaTheme="minorHAnsi" w:hAnsi="Microsoft Sans Serif" w:cs="Microsoft Sans Serif"/>
          <w:sz w:val="24"/>
          <w:szCs w:val="24"/>
          <w:u w:val="double"/>
        </w:rPr>
        <w:t>D TROY SELLARS ESQUIRE</w:t>
      </w:r>
    </w:p>
    <w:p w:rsidR="00AE186E" w:rsidRPr="0015650C" w:rsidRDefault="00AE186E" w:rsidP="00AE186E">
      <w:pPr>
        <w:adjustRightInd w:val="0"/>
        <w:rPr>
          <w:rFonts w:ascii="Microsoft Sans Serif" w:eastAsiaTheme="minorHAnsi" w:hAnsi="Microsoft Sans Serif" w:cs="Microsoft Sans Serif"/>
          <w:sz w:val="24"/>
          <w:szCs w:val="24"/>
          <w:u w:val="double"/>
        </w:rPr>
      </w:pPr>
      <w:r w:rsidRPr="0015650C">
        <w:rPr>
          <w:rFonts w:ascii="Microsoft Sans Serif" w:eastAsiaTheme="minorHAnsi" w:hAnsi="Microsoft Sans Serif" w:cs="Microsoft Sans Serif"/>
          <w:sz w:val="24"/>
          <w:szCs w:val="24"/>
          <w:u w:val="double"/>
        </w:rPr>
        <w:t>COZEN O'CONNOR</w:t>
      </w:r>
    </w:p>
    <w:p w:rsidR="00AE186E" w:rsidRPr="0015650C" w:rsidRDefault="00AE186E" w:rsidP="00AE186E">
      <w:pPr>
        <w:adjustRightInd w:val="0"/>
        <w:rPr>
          <w:rFonts w:ascii="Microsoft Sans Serif" w:eastAsiaTheme="minorHAnsi" w:hAnsi="Microsoft Sans Serif" w:cs="Microsoft Sans Serif"/>
          <w:sz w:val="24"/>
          <w:szCs w:val="24"/>
          <w:u w:val="double"/>
        </w:rPr>
      </w:pPr>
      <w:r w:rsidRPr="0015650C">
        <w:rPr>
          <w:rFonts w:ascii="Microsoft Sans Serif" w:eastAsiaTheme="minorHAnsi" w:hAnsi="Microsoft Sans Serif" w:cs="Microsoft Sans Serif"/>
          <w:sz w:val="24"/>
          <w:szCs w:val="24"/>
          <w:u w:val="double"/>
        </w:rPr>
        <w:t>17 NORTH 2</w:t>
      </w:r>
      <w:r w:rsidRPr="0015650C">
        <w:rPr>
          <w:rFonts w:ascii="Microsoft Sans Serif" w:eastAsiaTheme="minorHAnsi" w:hAnsi="Microsoft Sans Serif" w:cs="Microsoft Sans Serif"/>
          <w:sz w:val="24"/>
          <w:szCs w:val="24"/>
          <w:u w:val="double"/>
          <w:vertAlign w:val="superscript"/>
        </w:rPr>
        <w:t>ND</w:t>
      </w:r>
      <w:r w:rsidRPr="0015650C">
        <w:rPr>
          <w:rFonts w:ascii="Microsoft Sans Serif" w:eastAsiaTheme="minorHAnsi" w:hAnsi="Microsoft Sans Serif" w:cs="Microsoft Sans Serif"/>
          <w:sz w:val="24"/>
          <w:szCs w:val="24"/>
          <w:u w:val="double"/>
        </w:rPr>
        <w:t xml:space="preserve"> STREET SUITE 1410</w:t>
      </w:r>
    </w:p>
    <w:p w:rsidR="00AE186E" w:rsidRPr="0015650C" w:rsidRDefault="00AE186E" w:rsidP="00AE186E">
      <w:pPr>
        <w:adjustRightInd w:val="0"/>
        <w:rPr>
          <w:rFonts w:ascii="Microsoft Sans Serif" w:eastAsiaTheme="minorHAnsi" w:hAnsi="Microsoft Sans Serif" w:cs="Microsoft Sans Serif"/>
          <w:sz w:val="24"/>
          <w:szCs w:val="24"/>
          <w:u w:val="double"/>
        </w:rPr>
      </w:pPr>
      <w:r w:rsidRPr="0015650C">
        <w:rPr>
          <w:rFonts w:ascii="Microsoft Sans Serif" w:eastAsiaTheme="minorHAnsi" w:hAnsi="Microsoft Sans Serif" w:cs="Microsoft Sans Serif"/>
          <w:sz w:val="24"/>
          <w:szCs w:val="24"/>
          <w:u w:val="double"/>
        </w:rPr>
        <w:t>HARRISBURG, PA 17101</w:t>
      </w:r>
    </w:p>
    <w:p w:rsidR="00AE186E" w:rsidRPr="00F37524" w:rsidRDefault="00AE186E" w:rsidP="00AE186E">
      <w:pPr>
        <w:adjustRightInd w:val="0"/>
        <w:rPr>
          <w:rFonts w:ascii="Microsoft Sans Serif" w:eastAsiaTheme="minorHAnsi" w:hAnsi="Microsoft Sans Serif" w:cs="Microsoft Sans Serif"/>
          <w:b/>
          <w:i/>
          <w:sz w:val="24"/>
          <w:szCs w:val="24"/>
          <w:u w:val="single"/>
        </w:rPr>
      </w:pPr>
      <w:r>
        <w:rPr>
          <w:rFonts w:ascii="Microsoft Sans Serif" w:eastAsiaTheme="minorHAnsi" w:hAnsi="Microsoft Sans Serif" w:cs="Microsoft Sans Serif"/>
          <w:b/>
          <w:i/>
          <w:sz w:val="24"/>
          <w:szCs w:val="24"/>
          <w:u w:val="single"/>
        </w:rPr>
        <w:t>Accepts e-Service</w:t>
      </w:r>
    </w:p>
    <w:p w:rsidR="003551D8" w:rsidRDefault="003551D8" w:rsidP="001A74F5">
      <w:pPr>
        <w:rPr>
          <w:sz w:val="24"/>
          <w:szCs w:val="24"/>
        </w:rPr>
      </w:pPr>
    </w:p>
    <w:sectPr w:rsidR="003551D8" w:rsidSect="0015714D">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BCD" w:rsidRDefault="00A86BCD">
      <w:r>
        <w:separator/>
      </w:r>
    </w:p>
  </w:endnote>
  <w:endnote w:type="continuationSeparator" w:id="0">
    <w:p w:rsidR="00A86BCD" w:rsidRDefault="00A86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369684"/>
      <w:docPartObj>
        <w:docPartGallery w:val="Page Numbers (Bottom of Page)"/>
        <w:docPartUnique/>
      </w:docPartObj>
    </w:sdtPr>
    <w:sdtEndPr>
      <w:rPr>
        <w:noProof/>
      </w:rPr>
    </w:sdtEndPr>
    <w:sdtContent>
      <w:p w:rsidR="00662F45" w:rsidRDefault="00662F45">
        <w:pPr>
          <w:pStyle w:val="Footer"/>
          <w:jc w:val="center"/>
        </w:pPr>
        <w:r w:rsidRPr="004322C7">
          <w:fldChar w:fldCharType="begin"/>
        </w:r>
        <w:r w:rsidRPr="004322C7">
          <w:instrText xml:space="preserve"> PAGE   \* MERGEFORMAT </w:instrText>
        </w:r>
        <w:r w:rsidRPr="004322C7">
          <w:fldChar w:fldCharType="separate"/>
        </w:r>
        <w:r w:rsidR="00AE186E">
          <w:rPr>
            <w:noProof/>
          </w:rPr>
          <w:t>5</w:t>
        </w:r>
        <w:r w:rsidRPr="004322C7">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F45" w:rsidRDefault="00662F45">
    <w:pPr>
      <w:pStyle w:val="Footer"/>
      <w:jc w:val="center"/>
    </w:pPr>
  </w:p>
  <w:p w:rsidR="00662F45" w:rsidRDefault="00662F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86E" w:rsidRDefault="00AE186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BCD" w:rsidRDefault="00A86BCD">
      <w:r>
        <w:separator/>
      </w:r>
    </w:p>
  </w:footnote>
  <w:footnote w:type="continuationSeparator" w:id="0">
    <w:p w:rsidR="00A86BCD" w:rsidRDefault="00A86BCD">
      <w:r>
        <w:continuationSeparator/>
      </w:r>
    </w:p>
  </w:footnote>
  <w:footnote w:id="1">
    <w:p w:rsidR="005F1268" w:rsidRDefault="005F1268">
      <w:pPr>
        <w:pStyle w:val="FootnoteText"/>
      </w:pPr>
      <w:r>
        <w:rPr>
          <w:rStyle w:val="FootnoteReference"/>
        </w:rPr>
        <w:footnoteRef/>
      </w:r>
      <w:r>
        <w:t xml:space="preserve"> </w:t>
      </w:r>
      <w:r>
        <w:tab/>
        <w:t>Additional “housekeeping matters” were also discussed in the Joint Initial Objections.  This includes written supplement testimony regarding re-billing/re-rating as discussed during the August 26, 2015 hearing and admission of a stipulation regarding certain exhibits that remained outstanding from the August 26, 2015</w:t>
      </w:r>
      <w:r w:rsidR="00344F00">
        <w:t xml:space="preserve"> hearing</w:t>
      </w:r>
      <w:r>
        <w:t xml:space="preserve">.  Neither of those issues </w:t>
      </w:r>
      <w:proofErr w:type="gramStart"/>
      <w:r>
        <w:t>were</w:t>
      </w:r>
      <w:proofErr w:type="gramEnd"/>
      <w:r>
        <w:t xml:space="preserve"> objected to by</w:t>
      </w:r>
      <w:r w:rsidR="00344F00">
        <w:t xml:space="preserve"> either</w:t>
      </w:r>
      <w:r>
        <w:t xml:space="preserve"> I&amp;E or Respond and, therefore, will not be discussed in this Order</w:t>
      </w:r>
      <w:r w:rsidR="00F13A8F">
        <w:t xml:space="preserve"> and will be addressed during the October 15, 2015 hearing</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52DF3"/>
    <w:multiLevelType w:val="hybridMultilevel"/>
    <w:tmpl w:val="26AAB7F0"/>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7A474DFA"/>
    <w:multiLevelType w:val="hybridMultilevel"/>
    <w:tmpl w:val="08BC827E"/>
    <w:lvl w:ilvl="0" w:tplc="AB22C982">
      <w:start w:val="10"/>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CC4"/>
    <w:rsid w:val="00026F22"/>
    <w:rsid w:val="000535FC"/>
    <w:rsid w:val="00060F59"/>
    <w:rsid w:val="00067AA0"/>
    <w:rsid w:val="00071F40"/>
    <w:rsid w:val="00087F9D"/>
    <w:rsid w:val="000B1A3F"/>
    <w:rsid w:val="000B40DB"/>
    <w:rsid w:val="000D39CD"/>
    <w:rsid w:val="000E64D7"/>
    <w:rsid w:val="000F0E92"/>
    <w:rsid w:val="00115F44"/>
    <w:rsid w:val="00120926"/>
    <w:rsid w:val="00122DFB"/>
    <w:rsid w:val="00134414"/>
    <w:rsid w:val="00143247"/>
    <w:rsid w:val="00150EB1"/>
    <w:rsid w:val="00160071"/>
    <w:rsid w:val="001600B8"/>
    <w:rsid w:val="00163C9A"/>
    <w:rsid w:val="0016688B"/>
    <w:rsid w:val="00166B0E"/>
    <w:rsid w:val="001765C3"/>
    <w:rsid w:val="001A0634"/>
    <w:rsid w:val="001A74F5"/>
    <w:rsid w:val="001B3CA8"/>
    <w:rsid w:val="001C5B6F"/>
    <w:rsid w:val="001F7F8A"/>
    <w:rsid w:val="00251B56"/>
    <w:rsid w:val="002750F9"/>
    <w:rsid w:val="002D1370"/>
    <w:rsid w:val="003112BF"/>
    <w:rsid w:val="00317B08"/>
    <w:rsid w:val="00337F8B"/>
    <w:rsid w:val="00344F00"/>
    <w:rsid w:val="003551D8"/>
    <w:rsid w:val="00355692"/>
    <w:rsid w:val="00361125"/>
    <w:rsid w:val="00375B1F"/>
    <w:rsid w:val="00377F83"/>
    <w:rsid w:val="0039005C"/>
    <w:rsid w:val="003A3CED"/>
    <w:rsid w:val="003A5CD9"/>
    <w:rsid w:val="003A6970"/>
    <w:rsid w:val="003F2366"/>
    <w:rsid w:val="003F308E"/>
    <w:rsid w:val="003F6F58"/>
    <w:rsid w:val="0040234D"/>
    <w:rsid w:val="00407A27"/>
    <w:rsid w:val="004322C7"/>
    <w:rsid w:val="00432ACE"/>
    <w:rsid w:val="0044429F"/>
    <w:rsid w:val="004602AD"/>
    <w:rsid w:val="00462D04"/>
    <w:rsid w:val="00463D5C"/>
    <w:rsid w:val="0046497E"/>
    <w:rsid w:val="00466F8B"/>
    <w:rsid w:val="00471E24"/>
    <w:rsid w:val="00496408"/>
    <w:rsid w:val="00496B51"/>
    <w:rsid w:val="004B306D"/>
    <w:rsid w:val="004D09CF"/>
    <w:rsid w:val="004D5341"/>
    <w:rsid w:val="004E2873"/>
    <w:rsid w:val="004F0C15"/>
    <w:rsid w:val="005031B5"/>
    <w:rsid w:val="0050701F"/>
    <w:rsid w:val="0051329C"/>
    <w:rsid w:val="00540BA5"/>
    <w:rsid w:val="005414E2"/>
    <w:rsid w:val="00546E24"/>
    <w:rsid w:val="00571EDD"/>
    <w:rsid w:val="005A7648"/>
    <w:rsid w:val="005B1756"/>
    <w:rsid w:val="005B53D0"/>
    <w:rsid w:val="005E7F5F"/>
    <w:rsid w:val="005F1268"/>
    <w:rsid w:val="00604E56"/>
    <w:rsid w:val="006327B7"/>
    <w:rsid w:val="00632B8D"/>
    <w:rsid w:val="00662F45"/>
    <w:rsid w:val="0067197F"/>
    <w:rsid w:val="00685397"/>
    <w:rsid w:val="0069128C"/>
    <w:rsid w:val="00696BBF"/>
    <w:rsid w:val="006A18BD"/>
    <w:rsid w:val="006A75B3"/>
    <w:rsid w:val="006B08C2"/>
    <w:rsid w:val="006B3980"/>
    <w:rsid w:val="006C49F8"/>
    <w:rsid w:val="006E0F54"/>
    <w:rsid w:val="006E16E6"/>
    <w:rsid w:val="00701ABD"/>
    <w:rsid w:val="00702F40"/>
    <w:rsid w:val="00723A87"/>
    <w:rsid w:val="00726AAE"/>
    <w:rsid w:val="007322ED"/>
    <w:rsid w:val="00736CC4"/>
    <w:rsid w:val="007404D4"/>
    <w:rsid w:val="00770378"/>
    <w:rsid w:val="00771959"/>
    <w:rsid w:val="0077461C"/>
    <w:rsid w:val="007751E5"/>
    <w:rsid w:val="00777417"/>
    <w:rsid w:val="00796D63"/>
    <w:rsid w:val="007C4C3B"/>
    <w:rsid w:val="007D464D"/>
    <w:rsid w:val="007E56EB"/>
    <w:rsid w:val="007E5F82"/>
    <w:rsid w:val="007E6BA7"/>
    <w:rsid w:val="007F29A5"/>
    <w:rsid w:val="008009A4"/>
    <w:rsid w:val="008011FE"/>
    <w:rsid w:val="00807CE1"/>
    <w:rsid w:val="008103F7"/>
    <w:rsid w:val="00833A51"/>
    <w:rsid w:val="00834E99"/>
    <w:rsid w:val="008675F2"/>
    <w:rsid w:val="0087075E"/>
    <w:rsid w:val="00882840"/>
    <w:rsid w:val="008D3EE7"/>
    <w:rsid w:val="008F2FCF"/>
    <w:rsid w:val="009119CA"/>
    <w:rsid w:val="009123FF"/>
    <w:rsid w:val="009152CE"/>
    <w:rsid w:val="00925D67"/>
    <w:rsid w:val="0093282A"/>
    <w:rsid w:val="00933192"/>
    <w:rsid w:val="0094378D"/>
    <w:rsid w:val="00961DD4"/>
    <w:rsid w:val="00981D63"/>
    <w:rsid w:val="00983AC6"/>
    <w:rsid w:val="009B30A0"/>
    <w:rsid w:val="009D205E"/>
    <w:rsid w:val="009D67F1"/>
    <w:rsid w:val="009E6091"/>
    <w:rsid w:val="009F5ECA"/>
    <w:rsid w:val="00A01330"/>
    <w:rsid w:val="00A346E8"/>
    <w:rsid w:val="00A4149A"/>
    <w:rsid w:val="00A51AA0"/>
    <w:rsid w:val="00A60A44"/>
    <w:rsid w:val="00A66698"/>
    <w:rsid w:val="00A67E94"/>
    <w:rsid w:val="00A82EF8"/>
    <w:rsid w:val="00A86BCD"/>
    <w:rsid w:val="00AB2A2D"/>
    <w:rsid w:val="00AB6E9E"/>
    <w:rsid w:val="00AE186E"/>
    <w:rsid w:val="00AE6262"/>
    <w:rsid w:val="00AE7B10"/>
    <w:rsid w:val="00AF288A"/>
    <w:rsid w:val="00B07A45"/>
    <w:rsid w:val="00B218EC"/>
    <w:rsid w:val="00B23652"/>
    <w:rsid w:val="00B33E3D"/>
    <w:rsid w:val="00B61D35"/>
    <w:rsid w:val="00B642D1"/>
    <w:rsid w:val="00B72075"/>
    <w:rsid w:val="00B86061"/>
    <w:rsid w:val="00BA3167"/>
    <w:rsid w:val="00BB63B5"/>
    <w:rsid w:val="00BE36CD"/>
    <w:rsid w:val="00BE5276"/>
    <w:rsid w:val="00BE5915"/>
    <w:rsid w:val="00C02B4D"/>
    <w:rsid w:val="00C07D26"/>
    <w:rsid w:val="00C170D9"/>
    <w:rsid w:val="00C20E1C"/>
    <w:rsid w:val="00C751CE"/>
    <w:rsid w:val="00C82AA0"/>
    <w:rsid w:val="00C851DD"/>
    <w:rsid w:val="00CA63AA"/>
    <w:rsid w:val="00CB7E48"/>
    <w:rsid w:val="00CC5D50"/>
    <w:rsid w:val="00CF2C2D"/>
    <w:rsid w:val="00D13544"/>
    <w:rsid w:val="00D25A4C"/>
    <w:rsid w:val="00D269E9"/>
    <w:rsid w:val="00D52DAE"/>
    <w:rsid w:val="00D55527"/>
    <w:rsid w:val="00D651E3"/>
    <w:rsid w:val="00D90B13"/>
    <w:rsid w:val="00DA1FE4"/>
    <w:rsid w:val="00DA7DB3"/>
    <w:rsid w:val="00DB273F"/>
    <w:rsid w:val="00DC3FC7"/>
    <w:rsid w:val="00DF0230"/>
    <w:rsid w:val="00DF0E50"/>
    <w:rsid w:val="00DF545D"/>
    <w:rsid w:val="00E0098E"/>
    <w:rsid w:val="00E01DD4"/>
    <w:rsid w:val="00E04142"/>
    <w:rsid w:val="00E3299D"/>
    <w:rsid w:val="00E6317E"/>
    <w:rsid w:val="00E64228"/>
    <w:rsid w:val="00F10EDB"/>
    <w:rsid w:val="00F13A8F"/>
    <w:rsid w:val="00F17DEA"/>
    <w:rsid w:val="00F2122C"/>
    <w:rsid w:val="00F25271"/>
    <w:rsid w:val="00F26904"/>
    <w:rsid w:val="00F278E4"/>
    <w:rsid w:val="00F63855"/>
    <w:rsid w:val="00F953C0"/>
    <w:rsid w:val="00F967C6"/>
    <w:rsid w:val="00F968FF"/>
    <w:rsid w:val="00FA6CB2"/>
    <w:rsid w:val="00FD756D"/>
    <w:rsid w:val="00FE2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3CED"/>
    <w:pPr>
      <w:autoSpaceDE w:val="0"/>
      <w:autoSpaceDN w:val="0"/>
    </w:pPr>
  </w:style>
  <w:style w:type="paragraph" w:styleId="Heading1">
    <w:name w:val="heading 1"/>
    <w:basedOn w:val="Normal"/>
    <w:next w:val="Normal"/>
    <w:qFormat/>
    <w:rsid w:val="003A3CED"/>
    <w:pPr>
      <w:keepNext/>
      <w:widowControl w:val="0"/>
      <w:outlineLvl w:val="0"/>
    </w:pPr>
    <w:rPr>
      <w:sz w:val="26"/>
      <w:szCs w:val="26"/>
    </w:rPr>
  </w:style>
  <w:style w:type="paragraph" w:styleId="Heading2">
    <w:name w:val="heading 2"/>
    <w:basedOn w:val="Normal"/>
    <w:next w:val="Normal"/>
    <w:qFormat/>
    <w:rsid w:val="003A3CED"/>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A3CED"/>
    <w:pPr>
      <w:widowControl w:val="0"/>
      <w:spacing w:line="360" w:lineRule="auto"/>
      <w:ind w:firstLine="1440"/>
    </w:pPr>
    <w:rPr>
      <w:sz w:val="26"/>
      <w:szCs w:val="26"/>
    </w:rPr>
  </w:style>
  <w:style w:type="paragraph" w:styleId="BodyTextIndent2">
    <w:name w:val="Body Text Indent 2"/>
    <w:basedOn w:val="Normal"/>
    <w:rsid w:val="003A3CED"/>
    <w:pPr>
      <w:widowControl w:val="0"/>
      <w:spacing w:line="360" w:lineRule="auto"/>
      <w:ind w:left="1440" w:firstLine="720"/>
    </w:pPr>
    <w:rPr>
      <w:sz w:val="26"/>
      <w:szCs w:val="26"/>
    </w:rPr>
  </w:style>
  <w:style w:type="paragraph" w:styleId="BodyTextIndent3">
    <w:name w:val="Body Text Indent 3"/>
    <w:basedOn w:val="Normal"/>
    <w:rsid w:val="003A3CED"/>
    <w:pPr>
      <w:widowControl w:val="0"/>
      <w:spacing w:line="480" w:lineRule="atLeast"/>
      <w:ind w:firstLine="720"/>
      <w:jc w:val="both"/>
    </w:pPr>
    <w:rPr>
      <w:sz w:val="26"/>
      <w:szCs w:val="26"/>
    </w:rPr>
  </w:style>
  <w:style w:type="paragraph" w:customStyle="1" w:styleId="ParaTab1">
    <w:name w:val="ParaTab 1"/>
    <w:rsid w:val="003A3CED"/>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B08C2"/>
    <w:pPr>
      <w:tabs>
        <w:tab w:val="center" w:pos="4320"/>
        <w:tab w:val="right" w:pos="8640"/>
      </w:tabs>
    </w:pPr>
  </w:style>
  <w:style w:type="character" w:styleId="PageNumber">
    <w:name w:val="page number"/>
    <w:basedOn w:val="DefaultParagraphFont"/>
    <w:rsid w:val="006B08C2"/>
  </w:style>
  <w:style w:type="paragraph" w:styleId="Header">
    <w:name w:val="header"/>
    <w:basedOn w:val="Normal"/>
    <w:link w:val="HeaderChar"/>
    <w:rsid w:val="006C49F8"/>
    <w:pPr>
      <w:tabs>
        <w:tab w:val="center" w:pos="4680"/>
        <w:tab w:val="right" w:pos="9360"/>
      </w:tabs>
    </w:pPr>
  </w:style>
  <w:style w:type="character" w:customStyle="1" w:styleId="HeaderChar">
    <w:name w:val="Header Char"/>
    <w:basedOn w:val="DefaultParagraphFont"/>
    <w:link w:val="Header"/>
    <w:rsid w:val="006C49F8"/>
  </w:style>
  <w:style w:type="character" w:customStyle="1" w:styleId="FooterChar">
    <w:name w:val="Footer Char"/>
    <w:basedOn w:val="DefaultParagraphFont"/>
    <w:link w:val="Footer"/>
    <w:uiPriority w:val="99"/>
    <w:rsid w:val="00981D63"/>
  </w:style>
  <w:style w:type="paragraph" w:styleId="BalloonText">
    <w:name w:val="Balloon Text"/>
    <w:basedOn w:val="Normal"/>
    <w:link w:val="BalloonTextChar"/>
    <w:rsid w:val="00981D63"/>
    <w:rPr>
      <w:rFonts w:ascii="Tahoma" w:hAnsi="Tahoma" w:cs="Tahoma"/>
      <w:sz w:val="16"/>
      <w:szCs w:val="16"/>
    </w:rPr>
  </w:style>
  <w:style w:type="character" w:customStyle="1" w:styleId="BalloonTextChar">
    <w:name w:val="Balloon Text Char"/>
    <w:basedOn w:val="DefaultParagraphFont"/>
    <w:link w:val="BalloonText"/>
    <w:rsid w:val="00981D63"/>
    <w:rPr>
      <w:rFonts w:ascii="Tahoma" w:hAnsi="Tahoma" w:cs="Tahoma"/>
      <w:sz w:val="16"/>
      <w:szCs w:val="16"/>
    </w:rPr>
  </w:style>
  <w:style w:type="character" w:styleId="Hyperlink">
    <w:name w:val="Hyperlink"/>
    <w:basedOn w:val="DefaultParagraphFont"/>
    <w:uiPriority w:val="99"/>
    <w:unhideWhenUsed/>
    <w:rsid w:val="007E56EB"/>
    <w:rPr>
      <w:color w:val="0000FF" w:themeColor="hyperlink"/>
      <w:u w:val="single"/>
    </w:rPr>
  </w:style>
  <w:style w:type="paragraph" w:styleId="ListParagraph">
    <w:name w:val="List Paragraph"/>
    <w:basedOn w:val="Normal"/>
    <w:uiPriority w:val="34"/>
    <w:qFormat/>
    <w:rsid w:val="007E56EB"/>
    <w:pPr>
      <w:ind w:left="720"/>
      <w:contextualSpacing/>
    </w:pPr>
    <w:rPr>
      <w:rFonts w:ascii="CG Times" w:hAnsi="CG Times" w:cs="CG Times"/>
      <w:sz w:val="24"/>
      <w:szCs w:val="24"/>
    </w:rPr>
  </w:style>
  <w:style w:type="character" w:styleId="FootnoteReference">
    <w:name w:val="footnote reference"/>
    <w:basedOn w:val="DefaultParagraphFont"/>
    <w:uiPriority w:val="99"/>
    <w:unhideWhenUsed/>
    <w:rsid w:val="007E56EB"/>
    <w:rPr>
      <w:vertAlign w:val="superscript"/>
    </w:rPr>
  </w:style>
  <w:style w:type="table" w:styleId="TableGrid">
    <w:name w:val="Table Grid"/>
    <w:basedOn w:val="TableNormal"/>
    <w:rsid w:val="00275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1268"/>
  </w:style>
  <w:style w:type="character" w:customStyle="1" w:styleId="FootnoteTextChar">
    <w:name w:val="Footnote Text Char"/>
    <w:basedOn w:val="DefaultParagraphFont"/>
    <w:link w:val="FootnoteText"/>
    <w:rsid w:val="005F12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3CED"/>
    <w:pPr>
      <w:autoSpaceDE w:val="0"/>
      <w:autoSpaceDN w:val="0"/>
    </w:pPr>
  </w:style>
  <w:style w:type="paragraph" w:styleId="Heading1">
    <w:name w:val="heading 1"/>
    <w:basedOn w:val="Normal"/>
    <w:next w:val="Normal"/>
    <w:qFormat/>
    <w:rsid w:val="003A3CED"/>
    <w:pPr>
      <w:keepNext/>
      <w:widowControl w:val="0"/>
      <w:outlineLvl w:val="0"/>
    </w:pPr>
    <w:rPr>
      <w:sz w:val="26"/>
      <w:szCs w:val="26"/>
    </w:rPr>
  </w:style>
  <w:style w:type="paragraph" w:styleId="Heading2">
    <w:name w:val="heading 2"/>
    <w:basedOn w:val="Normal"/>
    <w:next w:val="Normal"/>
    <w:qFormat/>
    <w:rsid w:val="003A3CED"/>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A3CED"/>
    <w:pPr>
      <w:widowControl w:val="0"/>
      <w:spacing w:line="360" w:lineRule="auto"/>
      <w:ind w:firstLine="1440"/>
    </w:pPr>
    <w:rPr>
      <w:sz w:val="26"/>
      <w:szCs w:val="26"/>
    </w:rPr>
  </w:style>
  <w:style w:type="paragraph" w:styleId="BodyTextIndent2">
    <w:name w:val="Body Text Indent 2"/>
    <w:basedOn w:val="Normal"/>
    <w:rsid w:val="003A3CED"/>
    <w:pPr>
      <w:widowControl w:val="0"/>
      <w:spacing w:line="360" w:lineRule="auto"/>
      <w:ind w:left="1440" w:firstLine="720"/>
    </w:pPr>
    <w:rPr>
      <w:sz w:val="26"/>
      <w:szCs w:val="26"/>
    </w:rPr>
  </w:style>
  <w:style w:type="paragraph" w:styleId="BodyTextIndent3">
    <w:name w:val="Body Text Indent 3"/>
    <w:basedOn w:val="Normal"/>
    <w:rsid w:val="003A3CED"/>
    <w:pPr>
      <w:widowControl w:val="0"/>
      <w:spacing w:line="480" w:lineRule="atLeast"/>
      <w:ind w:firstLine="720"/>
      <w:jc w:val="both"/>
    </w:pPr>
    <w:rPr>
      <w:sz w:val="26"/>
      <w:szCs w:val="26"/>
    </w:rPr>
  </w:style>
  <w:style w:type="paragraph" w:customStyle="1" w:styleId="ParaTab1">
    <w:name w:val="ParaTab 1"/>
    <w:rsid w:val="003A3CED"/>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B08C2"/>
    <w:pPr>
      <w:tabs>
        <w:tab w:val="center" w:pos="4320"/>
        <w:tab w:val="right" w:pos="8640"/>
      </w:tabs>
    </w:pPr>
  </w:style>
  <w:style w:type="character" w:styleId="PageNumber">
    <w:name w:val="page number"/>
    <w:basedOn w:val="DefaultParagraphFont"/>
    <w:rsid w:val="006B08C2"/>
  </w:style>
  <w:style w:type="paragraph" w:styleId="Header">
    <w:name w:val="header"/>
    <w:basedOn w:val="Normal"/>
    <w:link w:val="HeaderChar"/>
    <w:rsid w:val="006C49F8"/>
    <w:pPr>
      <w:tabs>
        <w:tab w:val="center" w:pos="4680"/>
        <w:tab w:val="right" w:pos="9360"/>
      </w:tabs>
    </w:pPr>
  </w:style>
  <w:style w:type="character" w:customStyle="1" w:styleId="HeaderChar">
    <w:name w:val="Header Char"/>
    <w:basedOn w:val="DefaultParagraphFont"/>
    <w:link w:val="Header"/>
    <w:rsid w:val="006C49F8"/>
  </w:style>
  <w:style w:type="character" w:customStyle="1" w:styleId="FooterChar">
    <w:name w:val="Footer Char"/>
    <w:basedOn w:val="DefaultParagraphFont"/>
    <w:link w:val="Footer"/>
    <w:uiPriority w:val="99"/>
    <w:rsid w:val="00981D63"/>
  </w:style>
  <w:style w:type="paragraph" w:styleId="BalloonText">
    <w:name w:val="Balloon Text"/>
    <w:basedOn w:val="Normal"/>
    <w:link w:val="BalloonTextChar"/>
    <w:rsid w:val="00981D63"/>
    <w:rPr>
      <w:rFonts w:ascii="Tahoma" w:hAnsi="Tahoma" w:cs="Tahoma"/>
      <w:sz w:val="16"/>
      <w:szCs w:val="16"/>
    </w:rPr>
  </w:style>
  <w:style w:type="character" w:customStyle="1" w:styleId="BalloonTextChar">
    <w:name w:val="Balloon Text Char"/>
    <w:basedOn w:val="DefaultParagraphFont"/>
    <w:link w:val="BalloonText"/>
    <w:rsid w:val="00981D63"/>
    <w:rPr>
      <w:rFonts w:ascii="Tahoma" w:hAnsi="Tahoma" w:cs="Tahoma"/>
      <w:sz w:val="16"/>
      <w:szCs w:val="16"/>
    </w:rPr>
  </w:style>
  <w:style w:type="character" w:styleId="Hyperlink">
    <w:name w:val="Hyperlink"/>
    <w:basedOn w:val="DefaultParagraphFont"/>
    <w:uiPriority w:val="99"/>
    <w:unhideWhenUsed/>
    <w:rsid w:val="007E56EB"/>
    <w:rPr>
      <w:color w:val="0000FF" w:themeColor="hyperlink"/>
      <w:u w:val="single"/>
    </w:rPr>
  </w:style>
  <w:style w:type="paragraph" w:styleId="ListParagraph">
    <w:name w:val="List Paragraph"/>
    <w:basedOn w:val="Normal"/>
    <w:uiPriority w:val="34"/>
    <w:qFormat/>
    <w:rsid w:val="007E56EB"/>
    <w:pPr>
      <w:ind w:left="720"/>
      <w:contextualSpacing/>
    </w:pPr>
    <w:rPr>
      <w:rFonts w:ascii="CG Times" w:hAnsi="CG Times" w:cs="CG Times"/>
      <w:sz w:val="24"/>
      <w:szCs w:val="24"/>
    </w:rPr>
  </w:style>
  <w:style w:type="character" w:styleId="FootnoteReference">
    <w:name w:val="footnote reference"/>
    <w:basedOn w:val="DefaultParagraphFont"/>
    <w:uiPriority w:val="99"/>
    <w:unhideWhenUsed/>
    <w:rsid w:val="007E56EB"/>
    <w:rPr>
      <w:vertAlign w:val="superscript"/>
    </w:rPr>
  </w:style>
  <w:style w:type="table" w:styleId="TableGrid">
    <w:name w:val="Table Grid"/>
    <w:basedOn w:val="TableNormal"/>
    <w:rsid w:val="00275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1268"/>
  </w:style>
  <w:style w:type="character" w:customStyle="1" w:styleId="FootnoteTextChar">
    <w:name w:val="Footnote Text Char"/>
    <w:basedOn w:val="DefaultParagraphFont"/>
    <w:link w:val="FootnoteText"/>
    <w:rsid w:val="005F1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BC4E3-F8F8-47FF-98F3-89AFC74B2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1530</Words>
  <Characters>8723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10233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ALJCOMMON</dc:creator>
  <cp:lastModifiedBy>Lewis, Meska</cp:lastModifiedBy>
  <cp:revision>3</cp:revision>
  <cp:lastPrinted>2015-10-07T16:56:00Z</cp:lastPrinted>
  <dcterms:created xsi:type="dcterms:W3CDTF">2015-10-07T18:53:00Z</dcterms:created>
  <dcterms:modified xsi:type="dcterms:W3CDTF">2015-10-07T19:16:00Z</dcterms:modified>
</cp:coreProperties>
</file>