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E562E" w:rsidRDefault="000F1894" w:rsidP="0081696C">
      <w:pPr>
        <w:jc w:val="center"/>
        <w:outlineLvl w:val="0"/>
        <w:rPr>
          <w:b/>
          <w:sz w:val="24"/>
          <w:szCs w:val="24"/>
        </w:rPr>
      </w:pPr>
      <w:bookmarkStart w:id="0" w:name="_GoBack"/>
      <w:bookmarkEnd w:id="0"/>
      <w:r w:rsidRPr="00DE562E">
        <w:rPr>
          <w:b/>
          <w:sz w:val="24"/>
          <w:szCs w:val="24"/>
        </w:rPr>
        <w:t>BEFORE THE</w:t>
      </w:r>
    </w:p>
    <w:p w:rsidR="0088763C" w:rsidRPr="001027AA" w:rsidRDefault="000F1894" w:rsidP="0081696C">
      <w:pPr>
        <w:jc w:val="center"/>
        <w:outlineLvl w:val="0"/>
        <w:rPr>
          <w:b/>
          <w:sz w:val="24"/>
          <w:szCs w:val="24"/>
        </w:rPr>
      </w:pPr>
      <w:r w:rsidRPr="00DE562E">
        <w:rPr>
          <w:b/>
          <w:sz w:val="24"/>
          <w:szCs w:val="24"/>
        </w:rPr>
        <w:t>PENNSYLVANIA PUBLIC UTILITY COMMISSION</w:t>
      </w:r>
    </w:p>
    <w:p w:rsidR="000F1894" w:rsidRPr="00DE562E" w:rsidRDefault="000F1894" w:rsidP="000F1894">
      <w:pPr>
        <w:jc w:val="center"/>
        <w:rPr>
          <w:sz w:val="24"/>
          <w:szCs w:val="24"/>
        </w:rPr>
      </w:pPr>
    </w:p>
    <w:p w:rsidR="000F1894" w:rsidRDefault="000F1894" w:rsidP="000F1894">
      <w:pPr>
        <w:jc w:val="center"/>
        <w:rPr>
          <w:sz w:val="24"/>
          <w:szCs w:val="24"/>
        </w:rPr>
      </w:pPr>
    </w:p>
    <w:p w:rsidR="000F1894" w:rsidRPr="00AF1D71" w:rsidRDefault="000F1894" w:rsidP="000F1894">
      <w:pPr>
        <w:jc w:val="center"/>
        <w:rPr>
          <w:sz w:val="24"/>
          <w:szCs w:val="24"/>
        </w:rPr>
      </w:pPr>
    </w:p>
    <w:p w:rsidR="00CE43B4" w:rsidRPr="00354E6F" w:rsidRDefault="001F7BE4" w:rsidP="00CE43B4">
      <w:pPr>
        <w:tabs>
          <w:tab w:val="left" w:pos="-720"/>
        </w:tabs>
        <w:suppressAutoHyphens/>
        <w:rPr>
          <w:spacing w:val="-3"/>
          <w:sz w:val="24"/>
          <w:szCs w:val="24"/>
        </w:rPr>
      </w:pPr>
      <w:r>
        <w:rPr>
          <w:bCs/>
          <w:spacing w:val="-3"/>
          <w:sz w:val="24"/>
          <w:szCs w:val="24"/>
        </w:rPr>
        <w:t>Denise Jubilee</w:t>
      </w:r>
      <w:r>
        <w:rPr>
          <w:bCs/>
          <w:spacing w:val="-3"/>
          <w:sz w:val="24"/>
          <w:szCs w:val="24"/>
        </w:rPr>
        <w:tab/>
      </w:r>
      <w:r w:rsidR="00A470ED">
        <w:rPr>
          <w:b/>
          <w:bCs/>
          <w:spacing w:val="-3"/>
          <w:sz w:val="24"/>
          <w:szCs w:val="24"/>
        </w:rPr>
        <w:tab/>
      </w:r>
      <w:r w:rsidR="00A470ED">
        <w:rPr>
          <w:b/>
          <w:bCs/>
          <w:spacing w:val="-3"/>
          <w:sz w:val="24"/>
          <w:szCs w:val="24"/>
        </w:rPr>
        <w:tab/>
      </w:r>
      <w:r w:rsidR="00354E6F">
        <w:rPr>
          <w:bCs/>
          <w:spacing w:val="-3"/>
          <w:sz w:val="24"/>
          <w:szCs w:val="24"/>
        </w:rPr>
        <w:tab/>
      </w:r>
      <w:r w:rsidR="006A7330">
        <w:rPr>
          <w:bCs/>
          <w:spacing w:val="-3"/>
          <w:sz w:val="24"/>
          <w:szCs w:val="24"/>
        </w:rPr>
        <w:tab/>
      </w:r>
      <w:r w:rsidR="006A7330">
        <w:rPr>
          <w:bCs/>
          <w:spacing w:val="-3"/>
          <w:sz w:val="24"/>
          <w:szCs w:val="24"/>
        </w:rPr>
        <w:tab/>
      </w:r>
      <w:r w:rsidR="00412B37">
        <w:rPr>
          <w:bCs/>
          <w:spacing w:val="-3"/>
          <w:sz w:val="24"/>
          <w:szCs w:val="24"/>
        </w:rPr>
        <w:t>:</w:t>
      </w:r>
    </w:p>
    <w:p w:rsidR="002E0985" w:rsidRPr="002E0985" w:rsidRDefault="00526B2A" w:rsidP="006A7330">
      <w:pPr>
        <w:rPr>
          <w:spacing w:val="-3"/>
          <w:sz w:val="24"/>
          <w:szCs w:val="20"/>
        </w:rPr>
      </w:pPr>
      <w:r>
        <w:tab/>
      </w:r>
      <w:r>
        <w:tab/>
      </w:r>
      <w:r w:rsidR="009A475D">
        <w:tab/>
      </w:r>
      <w:r w:rsidR="00CC3CC1">
        <w:tab/>
      </w:r>
      <w:r w:rsidR="00CC3CC1">
        <w:tab/>
      </w:r>
      <w:r w:rsidR="002E0985" w:rsidRPr="002E0985">
        <w:tab/>
      </w:r>
      <w:r w:rsidR="00412B37">
        <w:rPr>
          <w:spacing w:val="-3"/>
          <w:sz w:val="24"/>
          <w:szCs w:val="20"/>
        </w:rPr>
        <w:tab/>
        <w:t>:</w:t>
      </w:r>
    </w:p>
    <w:p w:rsidR="002E0985" w:rsidRPr="002E0985" w:rsidRDefault="002E0985" w:rsidP="002E0985">
      <w:pPr>
        <w:tabs>
          <w:tab w:val="left" w:pos="-720"/>
        </w:tabs>
        <w:suppressAutoHyphens/>
        <w:rPr>
          <w:spacing w:val="-3"/>
          <w:sz w:val="24"/>
          <w:szCs w:val="20"/>
        </w:rPr>
      </w:pPr>
      <w:r w:rsidRPr="002E0985">
        <w:rPr>
          <w:spacing w:val="-3"/>
          <w:sz w:val="24"/>
          <w:szCs w:val="20"/>
        </w:rPr>
        <w:tab/>
      </w:r>
      <w:r w:rsidR="008A068A">
        <w:rPr>
          <w:spacing w:val="-3"/>
          <w:sz w:val="24"/>
          <w:szCs w:val="20"/>
        </w:rPr>
        <w:t>v.</w:t>
      </w:r>
      <w:r w:rsidRPr="002E0985">
        <w:rPr>
          <w:spacing w:val="-3"/>
          <w:sz w:val="24"/>
          <w:szCs w:val="20"/>
        </w:rPr>
        <w:tab/>
      </w:r>
      <w:r w:rsidRPr="002E0985">
        <w:rPr>
          <w:spacing w:val="-3"/>
          <w:sz w:val="24"/>
          <w:szCs w:val="20"/>
        </w:rPr>
        <w:tab/>
      </w:r>
      <w:r w:rsidRPr="002E0985">
        <w:rPr>
          <w:spacing w:val="-3"/>
          <w:sz w:val="24"/>
          <w:szCs w:val="20"/>
        </w:rPr>
        <w:tab/>
      </w:r>
      <w:r w:rsidR="006A7330">
        <w:rPr>
          <w:spacing w:val="-3"/>
          <w:sz w:val="24"/>
          <w:szCs w:val="20"/>
        </w:rPr>
        <w:tab/>
      </w:r>
      <w:r w:rsidR="006A7330">
        <w:rPr>
          <w:spacing w:val="-3"/>
          <w:sz w:val="24"/>
          <w:szCs w:val="20"/>
        </w:rPr>
        <w:tab/>
      </w:r>
      <w:r w:rsidR="006A7330">
        <w:rPr>
          <w:spacing w:val="-3"/>
          <w:sz w:val="24"/>
          <w:szCs w:val="20"/>
        </w:rPr>
        <w:tab/>
      </w:r>
      <w:r w:rsidRPr="002E0985">
        <w:rPr>
          <w:spacing w:val="-3"/>
          <w:sz w:val="24"/>
          <w:szCs w:val="20"/>
        </w:rPr>
        <w:t>:</w:t>
      </w:r>
      <w:r w:rsidR="008A068A">
        <w:rPr>
          <w:spacing w:val="-3"/>
          <w:sz w:val="24"/>
          <w:szCs w:val="20"/>
        </w:rPr>
        <w:tab/>
      </w:r>
      <w:r w:rsidR="006A7330">
        <w:rPr>
          <w:spacing w:val="-3"/>
          <w:sz w:val="24"/>
          <w:szCs w:val="20"/>
        </w:rPr>
        <w:tab/>
      </w:r>
      <w:r w:rsidR="00580F2E">
        <w:rPr>
          <w:spacing w:val="-3"/>
          <w:sz w:val="24"/>
          <w:szCs w:val="20"/>
        </w:rPr>
        <w:t>C</w:t>
      </w:r>
      <w:r w:rsidR="008A068A">
        <w:rPr>
          <w:spacing w:val="-3"/>
          <w:sz w:val="24"/>
          <w:szCs w:val="20"/>
        </w:rPr>
        <w:t>-201</w:t>
      </w:r>
      <w:r w:rsidR="001F7BE4">
        <w:rPr>
          <w:spacing w:val="-3"/>
          <w:sz w:val="24"/>
          <w:szCs w:val="20"/>
        </w:rPr>
        <w:t>5</w:t>
      </w:r>
      <w:r w:rsidR="008A068A">
        <w:rPr>
          <w:spacing w:val="-3"/>
          <w:sz w:val="24"/>
          <w:szCs w:val="20"/>
        </w:rPr>
        <w:t>-</w:t>
      </w:r>
      <w:r w:rsidR="001F7BE4">
        <w:rPr>
          <w:spacing w:val="-3"/>
          <w:sz w:val="24"/>
          <w:szCs w:val="20"/>
        </w:rPr>
        <w:t>2494986</w:t>
      </w:r>
    </w:p>
    <w:p w:rsidR="002E0985" w:rsidRPr="002E0985" w:rsidRDefault="002E0985" w:rsidP="002E0985">
      <w:pPr>
        <w:tabs>
          <w:tab w:val="left" w:pos="-720"/>
        </w:tabs>
        <w:suppressAutoHyphens/>
        <w:rPr>
          <w:spacing w:val="-3"/>
          <w:sz w:val="24"/>
          <w:szCs w:val="20"/>
        </w:rPr>
      </w:pPr>
      <w:r w:rsidRPr="002E0985">
        <w:rPr>
          <w:spacing w:val="-3"/>
          <w:sz w:val="24"/>
          <w:szCs w:val="20"/>
        </w:rPr>
        <w:tab/>
      </w:r>
      <w:r w:rsidRPr="002E0985">
        <w:rPr>
          <w:spacing w:val="-3"/>
          <w:sz w:val="24"/>
          <w:szCs w:val="20"/>
        </w:rPr>
        <w:tab/>
      </w:r>
      <w:r w:rsidRPr="002E0985">
        <w:rPr>
          <w:spacing w:val="-3"/>
          <w:sz w:val="24"/>
          <w:szCs w:val="20"/>
        </w:rPr>
        <w:tab/>
      </w:r>
      <w:r w:rsidRPr="002E0985">
        <w:rPr>
          <w:spacing w:val="-3"/>
          <w:sz w:val="24"/>
          <w:szCs w:val="20"/>
        </w:rPr>
        <w:tab/>
      </w:r>
      <w:r w:rsidRPr="002E0985">
        <w:rPr>
          <w:spacing w:val="-3"/>
          <w:sz w:val="24"/>
          <w:szCs w:val="20"/>
        </w:rPr>
        <w:tab/>
      </w:r>
      <w:r>
        <w:rPr>
          <w:spacing w:val="-3"/>
          <w:sz w:val="24"/>
          <w:szCs w:val="20"/>
        </w:rPr>
        <w:tab/>
      </w:r>
      <w:r>
        <w:rPr>
          <w:spacing w:val="-3"/>
          <w:sz w:val="24"/>
          <w:szCs w:val="20"/>
        </w:rPr>
        <w:tab/>
        <w:t>:</w:t>
      </w:r>
    </w:p>
    <w:p w:rsidR="00CE43B4" w:rsidRPr="002E0985" w:rsidRDefault="008A068A" w:rsidP="002E0985">
      <w:pPr>
        <w:tabs>
          <w:tab w:val="left" w:pos="-720"/>
        </w:tabs>
        <w:suppressAutoHyphens/>
        <w:rPr>
          <w:spacing w:val="-3"/>
          <w:sz w:val="24"/>
          <w:szCs w:val="20"/>
        </w:rPr>
      </w:pPr>
      <w:r>
        <w:rPr>
          <w:spacing w:val="-3"/>
          <w:sz w:val="24"/>
          <w:szCs w:val="20"/>
        </w:rPr>
        <w:t>Philadelphia Gas Works</w:t>
      </w:r>
      <w:r w:rsidR="00CC3CC1">
        <w:rPr>
          <w:spacing w:val="-3"/>
          <w:sz w:val="24"/>
          <w:szCs w:val="20"/>
        </w:rPr>
        <w:tab/>
      </w:r>
      <w:r w:rsidR="00CC3CC1">
        <w:rPr>
          <w:spacing w:val="-3"/>
          <w:sz w:val="24"/>
          <w:szCs w:val="20"/>
        </w:rPr>
        <w:tab/>
      </w:r>
      <w:r w:rsidR="006A7330">
        <w:rPr>
          <w:spacing w:val="-3"/>
          <w:sz w:val="24"/>
          <w:szCs w:val="20"/>
        </w:rPr>
        <w:tab/>
      </w:r>
      <w:r w:rsidR="006A7330">
        <w:rPr>
          <w:spacing w:val="-3"/>
          <w:sz w:val="24"/>
          <w:szCs w:val="20"/>
        </w:rPr>
        <w:tab/>
      </w:r>
      <w:r w:rsidR="002E0985" w:rsidRPr="002E0985">
        <w:rPr>
          <w:spacing w:val="-3"/>
          <w:sz w:val="24"/>
          <w:szCs w:val="20"/>
        </w:rPr>
        <w:t>:</w:t>
      </w:r>
    </w:p>
    <w:p w:rsidR="005E3007" w:rsidRDefault="005E3007" w:rsidP="00CE43B4">
      <w:pPr>
        <w:tabs>
          <w:tab w:val="left" w:pos="-720"/>
        </w:tabs>
        <w:suppressAutoHyphens/>
        <w:rPr>
          <w:spacing w:val="-3"/>
          <w:sz w:val="24"/>
          <w:szCs w:val="24"/>
        </w:rPr>
      </w:pPr>
    </w:p>
    <w:p w:rsidR="00412B37" w:rsidRDefault="00412B37" w:rsidP="00CE43B4">
      <w:pPr>
        <w:tabs>
          <w:tab w:val="left" w:pos="-720"/>
        </w:tabs>
        <w:suppressAutoHyphens/>
        <w:rPr>
          <w:spacing w:val="-3"/>
          <w:sz w:val="24"/>
          <w:szCs w:val="24"/>
        </w:rPr>
      </w:pPr>
    </w:p>
    <w:p w:rsidR="005E3007" w:rsidRDefault="005E3007" w:rsidP="00CE43B4">
      <w:pPr>
        <w:tabs>
          <w:tab w:val="left" w:pos="-720"/>
        </w:tabs>
        <w:suppressAutoHyphens/>
        <w:rPr>
          <w:spacing w:val="-3"/>
          <w:sz w:val="24"/>
          <w:szCs w:val="24"/>
        </w:rPr>
      </w:pPr>
    </w:p>
    <w:p w:rsidR="000F1894" w:rsidRDefault="00E22665" w:rsidP="000F1894">
      <w:pPr>
        <w:jc w:val="center"/>
        <w:rPr>
          <w:b/>
          <w:caps/>
          <w:sz w:val="24"/>
          <w:szCs w:val="24"/>
          <w:u w:val="single"/>
        </w:rPr>
      </w:pPr>
      <w:r>
        <w:rPr>
          <w:b/>
          <w:caps/>
          <w:sz w:val="24"/>
          <w:szCs w:val="24"/>
          <w:u w:val="single"/>
        </w:rPr>
        <w:t>initial decision</w:t>
      </w:r>
    </w:p>
    <w:p w:rsidR="006A7330" w:rsidRPr="00E514FA" w:rsidRDefault="006A7330" w:rsidP="000F1894">
      <w:pPr>
        <w:jc w:val="center"/>
        <w:rPr>
          <w:b/>
          <w:sz w:val="24"/>
          <w:szCs w:val="24"/>
        </w:rPr>
      </w:pPr>
    </w:p>
    <w:p w:rsidR="006A21C2" w:rsidRPr="006A21C2" w:rsidRDefault="006A21C2"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BE4" w:rsidP="000F1894">
      <w:pPr>
        <w:jc w:val="center"/>
        <w:rPr>
          <w:sz w:val="24"/>
          <w:szCs w:val="24"/>
        </w:rPr>
      </w:pPr>
      <w:r>
        <w:rPr>
          <w:sz w:val="24"/>
          <w:szCs w:val="24"/>
        </w:rPr>
        <w:t>Elizabeth H. Barnes</w:t>
      </w:r>
    </w:p>
    <w:p w:rsidR="000F1894" w:rsidRDefault="000F1894" w:rsidP="000F1894">
      <w:pPr>
        <w:jc w:val="center"/>
        <w:rPr>
          <w:sz w:val="24"/>
          <w:szCs w:val="24"/>
        </w:rPr>
      </w:pPr>
      <w:r w:rsidRPr="00DE562E">
        <w:rPr>
          <w:sz w:val="24"/>
          <w:szCs w:val="24"/>
        </w:rPr>
        <w:t>Administrative Law Judge</w:t>
      </w:r>
      <w:r w:rsidR="006A21C2">
        <w:rPr>
          <w:sz w:val="24"/>
          <w:szCs w:val="24"/>
        </w:rPr>
        <w:t xml:space="preserve"> </w:t>
      </w:r>
    </w:p>
    <w:p w:rsidR="00DE2348" w:rsidRPr="006A21C2" w:rsidRDefault="00DE2348" w:rsidP="000F1894">
      <w:pPr>
        <w:jc w:val="center"/>
        <w:rPr>
          <w:b/>
          <w:sz w:val="24"/>
          <w:szCs w:val="24"/>
        </w:rPr>
      </w:pPr>
    </w:p>
    <w:p w:rsidR="000F1894" w:rsidRPr="006A21C2" w:rsidRDefault="000F1894" w:rsidP="000F1894">
      <w:pPr>
        <w:jc w:val="center"/>
        <w:rPr>
          <w:b/>
          <w:sz w:val="24"/>
          <w:szCs w:val="24"/>
        </w:rPr>
      </w:pPr>
    </w:p>
    <w:p w:rsidR="007965B0" w:rsidRDefault="000967DB" w:rsidP="00DD2411">
      <w:pPr>
        <w:spacing w:line="360" w:lineRule="auto"/>
        <w:jc w:val="center"/>
        <w:rPr>
          <w:sz w:val="24"/>
          <w:szCs w:val="24"/>
          <w:u w:val="single"/>
        </w:rPr>
      </w:pPr>
      <w:r>
        <w:rPr>
          <w:sz w:val="24"/>
          <w:szCs w:val="24"/>
          <w:u w:val="single"/>
        </w:rPr>
        <w:t>HISTORY OF THE PROCEEDINGS</w:t>
      </w:r>
    </w:p>
    <w:p w:rsidR="008D1CA9" w:rsidRDefault="008D1CA9" w:rsidP="00DD2411">
      <w:pPr>
        <w:spacing w:line="360" w:lineRule="auto"/>
        <w:jc w:val="center"/>
        <w:rPr>
          <w:sz w:val="24"/>
          <w:szCs w:val="24"/>
        </w:rPr>
      </w:pPr>
    </w:p>
    <w:p w:rsidR="001F7BE4" w:rsidRDefault="009870EF" w:rsidP="008A068A">
      <w:pPr>
        <w:tabs>
          <w:tab w:val="left" w:pos="-1440"/>
          <w:tab w:val="left" w:pos="-720"/>
        </w:tabs>
        <w:suppressAutoHyphens/>
        <w:spacing w:line="360" w:lineRule="auto"/>
        <w:ind w:firstLine="1440"/>
        <w:rPr>
          <w:sz w:val="24"/>
          <w:szCs w:val="24"/>
        </w:rPr>
      </w:pPr>
      <w:r w:rsidRPr="009870EF">
        <w:rPr>
          <w:sz w:val="24"/>
          <w:szCs w:val="24"/>
        </w:rPr>
        <w:t xml:space="preserve">On </w:t>
      </w:r>
      <w:r w:rsidR="001F7BE4">
        <w:rPr>
          <w:sz w:val="24"/>
          <w:szCs w:val="24"/>
        </w:rPr>
        <w:t>July 13, 2015, Denise Jubilee</w:t>
      </w:r>
      <w:r w:rsidRPr="009870EF">
        <w:rPr>
          <w:sz w:val="24"/>
          <w:szCs w:val="24"/>
        </w:rPr>
        <w:t xml:space="preserve"> (Complainant) filed a Formal Complaint with the Pennsylvania Public Utility Commission </w:t>
      </w:r>
      <w:r w:rsidR="007F0D51">
        <w:rPr>
          <w:sz w:val="24"/>
          <w:szCs w:val="24"/>
        </w:rPr>
        <w:t xml:space="preserve">(Commission) </w:t>
      </w:r>
      <w:r w:rsidRPr="009870EF">
        <w:rPr>
          <w:sz w:val="24"/>
          <w:szCs w:val="24"/>
        </w:rPr>
        <w:t xml:space="preserve">against </w:t>
      </w:r>
      <w:r w:rsidR="008A068A">
        <w:rPr>
          <w:sz w:val="24"/>
          <w:szCs w:val="24"/>
        </w:rPr>
        <w:t>Philadelphia Gas Works</w:t>
      </w:r>
      <w:r w:rsidRPr="009870EF">
        <w:rPr>
          <w:sz w:val="24"/>
          <w:szCs w:val="24"/>
        </w:rPr>
        <w:t xml:space="preserve"> (</w:t>
      </w:r>
      <w:r w:rsidR="008A068A">
        <w:rPr>
          <w:sz w:val="24"/>
          <w:szCs w:val="24"/>
        </w:rPr>
        <w:t>PGW</w:t>
      </w:r>
      <w:r w:rsidRPr="009870EF">
        <w:rPr>
          <w:sz w:val="24"/>
          <w:szCs w:val="24"/>
        </w:rPr>
        <w:t xml:space="preserve">) </w:t>
      </w:r>
      <w:r w:rsidR="001F7BE4">
        <w:rPr>
          <w:sz w:val="24"/>
          <w:szCs w:val="24"/>
        </w:rPr>
        <w:t xml:space="preserve">requesting a </w:t>
      </w:r>
      <w:r w:rsidR="00580F2E">
        <w:rPr>
          <w:sz w:val="24"/>
          <w:szCs w:val="24"/>
        </w:rPr>
        <w:t>municipal lien</w:t>
      </w:r>
      <w:r w:rsidR="001F7BE4">
        <w:rPr>
          <w:sz w:val="24"/>
          <w:szCs w:val="24"/>
        </w:rPr>
        <w:t xml:space="preserve"> be stricken, “street dig up charges” be eliminated from her bill, and that she be charged a new estimated bill based on her home usage with readings estimated solely from the new meter usage history. </w:t>
      </w:r>
    </w:p>
    <w:p w:rsidR="001F7BE4" w:rsidRDefault="001F7BE4" w:rsidP="008A068A">
      <w:pPr>
        <w:tabs>
          <w:tab w:val="left" w:pos="-1440"/>
          <w:tab w:val="left" w:pos="-720"/>
        </w:tabs>
        <w:suppressAutoHyphens/>
        <w:spacing w:line="360" w:lineRule="auto"/>
        <w:ind w:firstLine="1440"/>
        <w:rPr>
          <w:sz w:val="24"/>
          <w:szCs w:val="24"/>
        </w:rPr>
      </w:pPr>
    </w:p>
    <w:p w:rsidR="001F7BE4" w:rsidRDefault="009870EF" w:rsidP="008A068A">
      <w:pPr>
        <w:tabs>
          <w:tab w:val="left" w:pos="-1440"/>
          <w:tab w:val="left" w:pos="-720"/>
        </w:tabs>
        <w:suppressAutoHyphens/>
        <w:spacing w:line="360" w:lineRule="auto"/>
        <w:ind w:firstLine="1440"/>
        <w:rPr>
          <w:spacing w:val="-3"/>
          <w:sz w:val="24"/>
          <w:szCs w:val="24"/>
        </w:rPr>
      </w:pPr>
      <w:r w:rsidRPr="009870EF">
        <w:rPr>
          <w:sz w:val="24"/>
          <w:szCs w:val="24"/>
        </w:rPr>
        <w:t xml:space="preserve">On </w:t>
      </w:r>
      <w:r w:rsidR="001F7BE4">
        <w:rPr>
          <w:sz w:val="24"/>
          <w:szCs w:val="24"/>
        </w:rPr>
        <w:t xml:space="preserve">July 29, 2015, the Complaint was e-served on PGW.  On August 17, 2015, PGW </w:t>
      </w:r>
      <w:r w:rsidRPr="009870EF">
        <w:rPr>
          <w:sz w:val="24"/>
          <w:szCs w:val="24"/>
        </w:rPr>
        <w:t xml:space="preserve">filed an </w:t>
      </w:r>
      <w:r w:rsidRPr="009870EF">
        <w:rPr>
          <w:spacing w:val="-3"/>
          <w:sz w:val="24"/>
          <w:szCs w:val="24"/>
        </w:rPr>
        <w:t xml:space="preserve">Answer denying the material allegations of the Complaint. </w:t>
      </w:r>
      <w:r w:rsidR="008A068A">
        <w:rPr>
          <w:spacing w:val="-3"/>
          <w:sz w:val="24"/>
          <w:szCs w:val="24"/>
        </w:rPr>
        <w:t xml:space="preserve"> Also on </w:t>
      </w:r>
      <w:r w:rsidR="001F7BE4">
        <w:rPr>
          <w:spacing w:val="-3"/>
          <w:sz w:val="24"/>
          <w:szCs w:val="24"/>
        </w:rPr>
        <w:t>August 17, 2015, PGW filed Preliminary Objections</w:t>
      </w:r>
      <w:r w:rsidR="00580F2E">
        <w:rPr>
          <w:spacing w:val="-3"/>
          <w:sz w:val="24"/>
          <w:szCs w:val="24"/>
        </w:rPr>
        <w:t>, a Motion to Strike,</w:t>
      </w:r>
      <w:r w:rsidR="001F7BE4">
        <w:rPr>
          <w:spacing w:val="-3"/>
          <w:sz w:val="24"/>
          <w:szCs w:val="24"/>
        </w:rPr>
        <w:t xml:space="preserve"> and a Motion for Summary Judgment.  On August 26, 2015, Complainant filed an Answer</w:t>
      </w:r>
      <w:r w:rsidR="00161F29">
        <w:rPr>
          <w:spacing w:val="-3"/>
          <w:sz w:val="24"/>
          <w:szCs w:val="24"/>
        </w:rPr>
        <w:t xml:space="preserve"> to these preliminary objections and motions.</w:t>
      </w:r>
      <w:r w:rsidR="001F7BE4">
        <w:rPr>
          <w:spacing w:val="-3"/>
          <w:sz w:val="24"/>
          <w:szCs w:val="24"/>
        </w:rPr>
        <w:t xml:space="preserve">  </w:t>
      </w:r>
    </w:p>
    <w:p w:rsidR="00580F2E" w:rsidRDefault="00580F2E" w:rsidP="008A068A">
      <w:pPr>
        <w:tabs>
          <w:tab w:val="left" w:pos="-1440"/>
          <w:tab w:val="left" w:pos="-720"/>
        </w:tabs>
        <w:suppressAutoHyphens/>
        <w:spacing w:line="360" w:lineRule="auto"/>
        <w:ind w:firstLine="1440"/>
        <w:rPr>
          <w:spacing w:val="-3"/>
          <w:sz w:val="24"/>
          <w:szCs w:val="24"/>
        </w:rPr>
      </w:pPr>
    </w:p>
    <w:p w:rsidR="00580F2E" w:rsidRDefault="007F0D51" w:rsidP="00580F2E">
      <w:pPr>
        <w:tabs>
          <w:tab w:val="left" w:pos="-1440"/>
          <w:tab w:val="left" w:pos="-720"/>
        </w:tabs>
        <w:suppressAutoHyphens/>
        <w:spacing w:line="360" w:lineRule="auto"/>
        <w:ind w:firstLine="1440"/>
        <w:rPr>
          <w:spacing w:val="-3"/>
          <w:sz w:val="24"/>
          <w:szCs w:val="24"/>
        </w:rPr>
      </w:pPr>
      <w:r>
        <w:rPr>
          <w:spacing w:val="-3"/>
          <w:sz w:val="24"/>
          <w:szCs w:val="24"/>
        </w:rPr>
        <w:t xml:space="preserve">On </w:t>
      </w:r>
      <w:r w:rsidR="00580F2E">
        <w:rPr>
          <w:spacing w:val="-3"/>
          <w:sz w:val="24"/>
          <w:szCs w:val="24"/>
        </w:rPr>
        <w:t xml:space="preserve">September 16, 2015, </w:t>
      </w:r>
      <w:r>
        <w:rPr>
          <w:spacing w:val="-3"/>
          <w:sz w:val="24"/>
          <w:szCs w:val="24"/>
        </w:rPr>
        <w:t>the matter was assigned to me to rule on the preliminary motions.</w:t>
      </w:r>
      <w:r w:rsidR="008A068A">
        <w:rPr>
          <w:spacing w:val="-3"/>
          <w:sz w:val="24"/>
          <w:szCs w:val="24"/>
        </w:rPr>
        <w:t xml:space="preserve"> </w:t>
      </w:r>
      <w:r w:rsidR="00580F2E">
        <w:rPr>
          <w:spacing w:val="-3"/>
          <w:sz w:val="24"/>
          <w:szCs w:val="24"/>
        </w:rPr>
        <w:t xml:space="preserve"> The Preliminary Objections and Motion for Summary Judgment are ripe for a decision.</w:t>
      </w:r>
    </w:p>
    <w:p w:rsidR="00412B37" w:rsidRDefault="00412B37" w:rsidP="008A068A">
      <w:pPr>
        <w:tabs>
          <w:tab w:val="left" w:pos="-1440"/>
          <w:tab w:val="left" w:pos="-720"/>
        </w:tabs>
        <w:suppressAutoHyphens/>
        <w:spacing w:line="360" w:lineRule="auto"/>
        <w:ind w:firstLine="1440"/>
        <w:rPr>
          <w:spacing w:val="-3"/>
          <w:sz w:val="24"/>
          <w:szCs w:val="24"/>
        </w:rPr>
      </w:pPr>
      <w:r>
        <w:rPr>
          <w:spacing w:val="-3"/>
          <w:sz w:val="24"/>
          <w:szCs w:val="24"/>
        </w:rPr>
        <w:br w:type="page"/>
      </w:r>
    </w:p>
    <w:p w:rsidR="008D1CA9" w:rsidRDefault="00E22665" w:rsidP="00E22665">
      <w:pPr>
        <w:tabs>
          <w:tab w:val="left" w:pos="-1440"/>
          <w:tab w:val="left" w:pos="-720"/>
        </w:tabs>
        <w:suppressAutoHyphens/>
        <w:spacing w:line="360" w:lineRule="auto"/>
        <w:jc w:val="center"/>
        <w:rPr>
          <w:spacing w:val="-3"/>
          <w:sz w:val="24"/>
          <w:szCs w:val="24"/>
          <w:u w:val="single"/>
        </w:rPr>
      </w:pPr>
      <w:r>
        <w:rPr>
          <w:spacing w:val="-3"/>
          <w:sz w:val="24"/>
          <w:szCs w:val="24"/>
          <w:u w:val="single"/>
        </w:rPr>
        <w:lastRenderedPageBreak/>
        <w:t>FINDINGS OF FACT</w:t>
      </w:r>
    </w:p>
    <w:p w:rsidR="00C31251" w:rsidRDefault="00C31251" w:rsidP="00D0460E">
      <w:pPr>
        <w:tabs>
          <w:tab w:val="left" w:pos="-1440"/>
          <w:tab w:val="left" w:pos="-720"/>
        </w:tabs>
        <w:suppressAutoHyphens/>
        <w:spacing w:line="360" w:lineRule="auto"/>
        <w:rPr>
          <w:spacing w:val="-3"/>
          <w:sz w:val="24"/>
          <w:szCs w:val="24"/>
          <w:u w:val="single"/>
        </w:rPr>
      </w:pPr>
    </w:p>
    <w:p w:rsidR="00C31251" w:rsidRPr="007F0D51" w:rsidRDefault="00C31251" w:rsidP="00D0460E">
      <w:pPr>
        <w:pStyle w:val="ListParagraph"/>
        <w:numPr>
          <w:ilvl w:val="0"/>
          <w:numId w:val="27"/>
        </w:numPr>
        <w:tabs>
          <w:tab w:val="left" w:pos="-1440"/>
          <w:tab w:val="left" w:pos="-720"/>
        </w:tabs>
        <w:suppressAutoHyphens/>
        <w:spacing w:line="360" w:lineRule="auto"/>
        <w:ind w:left="0" w:firstLine="1440"/>
        <w:rPr>
          <w:spacing w:val="-3"/>
          <w:sz w:val="24"/>
          <w:szCs w:val="24"/>
          <w:u w:val="single"/>
        </w:rPr>
      </w:pPr>
      <w:r w:rsidRPr="009870EF">
        <w:rPr>
          <w:sz w:val="24"/>
          <w:szCs w:val="24"/>
        </w:rPr>
        <w:t xml:space="preserve">On </w:t>
      </w:r>
      <w:r w:rsidR="00580F2E">
        <w:rPr>
          <w:sz w:val="24"/>
          <w:szCs w:val="24"/>
        </w:rPr>
        <w:t>July 13, 2015</w:t>
      </w:r>
      <w:r w:rsidRPr="009870EF">
        <w:rPr>
          <w:sz w:val="24"/>
          <w:szCs w:val="24"/>
        </w:rPr>
        <w:t xml:space="preserve">, </w:t>
      </w:r>
      <w:r w:rsidR="00580F2E">
        <w:rPr>
          <w:sz w:val="24"/>
          <w:szCs w:val="24"/>
        </w:rPr>
        <w:t>Denise Jubilee</w:t>
      </w:r>
      <w:r w:rsidR="00580F2E" w:rsidRPr="009870EF">
        <w:rPr>
          <w:sz w:val="24"/>
          <w:szCs w:val="24"/>
        </w:rPr>
        <w:t xml:space="preserve"> </w:t>
      </w:r>
      <w:r w:rsidRPr="009870EF">
        <w:rPr>
          <w:sz w:val="24"/>
          <w:szCs w:val="24"/>
        </w:rPr>
        <w:t xml:space="preserve">filed a Formal Complaint with the Pennsylvania Public Utility Commission against </w:t>
      </w:r>
      <w:r>
        <w:rPr>
          <w:sz w:val="24"/>
          <w:szCs w:val="24"/>
        </w:rPr>
        <w:t>Philadelphia Gas Works</w:t>
      </w:r>
      <w:r w:rsidRPr="009870EF">
        <w:rPr>
          <w:sz w:val="24"/>
          <w:szCs w:val="24"/>
        </w:rPr>
        <w:t xml:space="preserve"> alleging</w:t>
      </w:r>
      <w:r>
        <w:rPr>
          <w:sz w:val="24"/>
          <w:szCs w:val="24"/>
        </w:rPr>
        <w:t xml:space="preserve"> </w:t>
      </w:r>
      <w:r w:rsidR="00580F2E">
        <w:rPr>
          <w:sz w:val="24"/>
          <w:szCs w:val="24"/>
        </w:rPr>
        <w:t xml:space="preserve">there was an improper lien placed on her residence, and that there were incorrect charges on her account. </w:t>
      </w:r>
      <w:r w:rsidRPr="009870EF">
        <w:rPr>
          <w:sz w:val="24"/>
          <w:szCs w:val="24"/>
        </w:rPr>
        <w:t xml:space="preserve"> </w:t>
      </w:r>
    </w:p>
    <w:p w:rsidR="007F0D51" w:rsidRPr="007F0D51" w:rsidRDefault="007F0D51" w:rsidP="00D0460E">
      <w:pPr>
        <w:pStyle w:val="ListParagraph"/>
        <w:tabs>
          <w:tab w:val="left" w:pos="-1440"/>
          <w:tab w:val="left" w:pos="-720"/>
        </w:tabs>
        <w:suppressAutoHyphens/>
        <w:spacing w:line="360" w:lineRule="auto"/>
        <w:ind w:left="0"/>
        <w:rPr>
          <w:spacing w:val="-3"/>
          <w:sz w:val="24"/>
          <w:szCs w:val="24"/>
          <w:u w:val="single"/>
        </w:rPr>
      </w:pPr>
      <w:r>
        <w:rPr>
          <w:sz w:val="24"/>
          <w:szCs w:val="24"/>
        </w:rPr>
        <w:t xml:space="preserve"> </w:t>
      </w:r>
    </w:p>
    <w:p w:rsidR="007F0D51" w:rsidRPr="007F0D51" w:rsidRDefault="00580F2E" w:rsidP="00D0460E">
      <w:pPr>
        <w:pStyle w:val="ListParagraph"/>
        <w:numPr>
          <w:ilvl w:val="0"/>
          <w:numId w:val="27"/>
        </w:numPr>
        <w:tabs>
          <w:tab w:val="left" w:pos="-1440"/>
          <w:tab w:val="left" w:pos="-720"/>
        </w:tabs>
        <w:suppressAutoHyphens/>
        <w:spacing w:line="360" w:lineRule="auto"/>
        <w:ind w:left="0" w:firstLine="1440"/>
        <w:rPr>
          <w:spacing w:val="-3"/>
          <w:sz w:val="24"/>
          <w:szCs w:val="24"/>
          <w:u w:val="single"/>
        </w:rPr>
      </w:pPr>
      <w:r>
        <w:rPr>
          <w:spacing w:val="-3"/>
          <w:sz w:val="24"/>
          <w:szCs w:val="24"/>
        </w:rPr>
        <w:t xml:space="preserve">Denise Jubilee </w:t>
      </w:r>
      <w:r w:rsidR="007F0D51">
        <w:rPr>
          <w:spacing w:val="-3"/>
          <w:sz w:val="24"/>
          <w:szCs w:val="24"/>
        </w:rPr>
        <w:t xml:space="preserve">resides at </w:t>
      </w:r>
      <w:r>
        <w:rPr>
          <w:spacing w:val="-3"/>
          <w:sz w:val="24"/>
          <w:szCs w:val="24"/>
        </w:rPr>
        <w:t>7012 McCallum St., Philadelphia, P</w:t>
      </w:r>
      <w:r w:rsidR="007F0D51">
        <w:rPr>
          <w:spacing w:val="-3"/>
          <w:sz w:val="24"/>
          <w:szCs w:val="24"/>
        </w:rPr>
        <w:t>ennsylvania 191</w:t>
      </w:r>
      <w:r>
        <w:rPr>
          <w:spacing w:val="-3"/>
          <w:sz w:val="24"/>
          <w:szCs w:val="24"/>
        </w:rPr>
        <w:t>19</w:t>
      </w:r>
      <w:r w:rsidR="007F0D51">
        <w:rPr>
          <w:spacing w:val="-3"/>
          <w:sz w:val="24"/>
          <w:szCs w:val="24"/>
        </w:rPr>
        <w:t xml:space="preserve"> and receives service from PGW, the Respondent.</w:t>
      </w:r>
    </w:p>
    <w:p w:rsidR="007F0D51" w:rsidRPr="007F0D51" w:rsidRDefault="007F0D51" w:rsidP="00D0460E">
      <w:pPr>
        <w:pStyle w:val="ListParagraph"/>
        <w:spacing w:line="360" w:lineRule="auto"/>
        <w:ind w:left="0"/>
        <w:rPr>
          <w:spacing w:val="-3"/>
          <w:sz w:val="24"/>
          <w:szCs w:val="24"/>
          <w:u w:val="single"/>
        </w:rPr>
      </w:pPr>
    </w:p>
    <w:p w:rsidR="00161F29" w:rsidRDefault="007F0D51" w:rsidP="00D0460E">
      <w:pPr>
        <w:pStyle w:val="ListParagraph"/>
        <w:numPr>
          <w:ilvl w:val="0"/>
          <w:numId w:val="27"/>
        </w:numPr>
        <w:tabs>
          <w:tab w:val="left" w:pos="-1440"/>
          <w:tab w:val="left" w:pos="-720"/>
        </w:tabs>
        <w:suppressAutoHyphens/>
        <w:spacing w:line="360" w:lineRule="auto"/>
        <w:ind w:left="0" w:firstLine="1440"/>
        <w:rPr>
          <w:spacing w:val="-3"/>
          <w:sz w:val="24"/>
          <w:szCs w:val="24"/>
        </w:rPr>
      </w:pPr>
      <w:r w:rsidRPr="00161F29">
        <w:rPr>
          <w:spacing w:val="-3"/>
          <w:sz w:val="24"/>
          <w:szCs w:val="24"/>
        </w:rPr>
        <w:t>PGW, the Respondent is a jurisdictional utility providing natural gas service to Pennsylvania residents.</w:t>
      </w:r>
    </w:p>
    <w:p w:rsidR="00161F29" w:rsidRDefault="00161F29" w:rsidP="00161F29">
      <w:pPr>
        <w:pStyle w:val="ListParagraph"/>
        <w:tabs>
          <w:tab w:val="left" w:pos="-1440"/>
          <w:tab w:val="left" w:pos="-720"/>
        </w:tabs>
        <w:suppressAutoHyphens/>
        <w:spacing w:line="360" w:lineRule="auto"/>
        <w:ind w:left="1440"/>
        <w:rPr>
          <w:spacing w:val="-3"/>
          <w:sz w:val="24"/>
          <w:szCs w:val="24"/>
        </w:rPr>
      </w:pPr>
    </w:p>
    <w:p w:rsidR="00F4540D" w:rsidRDefault="007F0D51" w:rsidP="00D0460E">
      <w:pPr>
        <w:pStyle w:val="ListParagraph"/>
        <w:numPr>
          <w:ilvl w:val="0"/>
          <w:numId w:val="27"/>
        </w:numPr>
        <w:tabs>
          <w:tab w:val="left" w:pos="-1440"/>
          <w:tab w:val="left" w:pos="-720"/>
        </w:tabs>
        <w:suppressAutoHyphens/>
        <w:spacing w:line="360" w:lineRule="auto"/>
        <w:ind w:left="0" w:firstLine="1440"/>
        <w:rPr>
          <w:spacing w:val="-3"/>
          <w:sz w:val="24"/>
          <w:szCs w:val="24"/>
        </w:rPr>
      </w:pPr>
      <w:r w:rsidRPr="007F0D51">
        <w:rPr>
          <w:sz w:val="24"/>
          <w:szCs w:val="24"/>
        </w:rPr>
        <w:t xml:space="preserve">On </w:t>
      </w:r>
      <w:r w:rsidR="00433F1B">
        <w:rPr>
          <w:sz w:val="24"/>
          <w:szCs w:val="24"/>
        </w:rPr>
        <w:t xml:space="preserve">August 17, 2015, </w:t>
      </w:r>
      <w:r w:rsidRPr="007F0D51">
        <w:rPr>
          <w:sz w:val="24"/>
          <w:szCs w:val="24"/>
        </w:rPr>
        <w:t xml:space="preserve">PGW filed an </w:t>
      </w:r>
      <w:r w:rsidRPr="007F0D51">
        <w:rPr>
          <w:spacing w:val="-3"/>
          <w:sz w:val="24"/>
          <w:szCs w:val="24"/>
        </w:rPr>
        <w:t>Answer denying the material allegations of the Complaint.</w:t>
      </w:r>
    </w:p>
    <w:p w:rsidR="00F4540D" w:rsidRDefault="007F0D51" w:rsidP="00F4540D">
      <w:pPr>
        <w:pStyle w:val="ListParagraph"/>
        <w:tabs>
          <w:tab w:val="left" w:pos="-1440"/>
          <w:tab w:val="left" w:pos="-720"/>
        </w:tabs>
        <w:suppressAutoHyphens/>
        <w:spacing w:line="360" w:lineRule="auto"/>
        <w:ind w:left="1440"/>
        <w:rPr>
          <w:spacing w:val="-3"/>
          <w:sz w:val="24"/>
          <w:szCs w:val="24"/>
        </w:rPr>
      </w:pPr>
      <w:r w:rsidRPr="007F0D51">
        <w:rPr>
          <w:spacing w:val="-3"/>
          <w:sz w:val="24"/>
          <w:szCs w:val="24"/>
        </w:rPr>
        <w:t xml:space="preserve">  </w:t>
      </w:r>
    </w:p>
    <w:p w:rsidR="007F0D51" w:rsidRDefault="00F4540D" w:rsidP="00D0460E">
      <w:pPr>
        <w:pStyle w:val="ListParagraph"/>
        <w:numPr>
          <w:ilvl w:val="0"/>
          <w:numId w:val="27"/>
        </w:numPr>
        <w:tabs>
          <w:tab w:val="left" w:pos="-1440"/>
          <w:tab w:val="left" w:pos="-720"/>
        </w:tabs>
        <w:suppressAutoHyphens/>
        <w:spacing w:line="360" w:lineRule="auto"/>
        <w:ind w:left="0" w:firstLine="1440"/>
        <w:rPr>
          <w:spacing w:val="-3"/>
          <w:sz w:val="24"/>
          <w:szCs w:val="24"/>
        </w:rPr>
      </w:pPr>
      <w:r>
        <w:rPr>
          <w:spacing w:val="-3"/>
          <w:sz w:val="24"/>
          <w:szCs w:val="24"/>
        </w:rPr>
        <w:t>O</w:t>
      </w:r>
      <w:r w:rsidR="007F0D51" w:rsidRPr="007F0D51">
        <w:rPr>
          <w:spacing w:val="-3"/>
          <w:sz w:val="24"/>
          <w:szCs w:val="24"/>
        </w:rPr>
        <w:t xml:space="preserve">n </w:t>
      </w:r>
      <w:r w:rsidR="00433F1B">
        <w:rPr>
          <w:spacing w:val="-3"/>
          <w:sz w:val="24"/>
          <w:szCs w:val="24"/>
        </w:rPr>
        <w:t xml:space="preserve">August 17, 2015, </w:t>
      </w:r>
      <w:r w:rsidR="007F0D51" w:rsidRPr="007F0D51">
        <w:rPr>
          <w:spacing w:val="-3"/>
          <w:sz w:val="24"/>
          <w:szCs w:val="24"/>
        </w:rPr>
        <w:t>PGW filed a Motion for Summary Judgment</w:t>
      </w:r>
      <w:r w:rsidR="00433F1B">
        <w:rPr>
          <w:spacing w:val="-3"/>
          <w:sz w:val="24"/>
          <w:szCs w:val="24"/>
        </w:rPr>
        <w:t>,</w:t>
      </w:r>
      <w:r w:rsidR="007F0D51" w:rsidRPr="007F0D51">
        <w:rPr>
          <w:spacing w:val="-3"/>
          <w:sz w:val="24"/>
          <w:szCs w:val="24"/>
        </w:rPr>
        <w:t xml:space="preserve"> </w:t>
      </w:r>
      <w:r w:rsidR="00433F1B">
        <w:rPr>
          <w:spacing w:val="-3"/>
          <w:sz w:val="24"/>
          <w:szCs w:val="24"/>
        </w:rPr>
        <w:t xml:space="preserve">as well as </w:t>
      </w:r>
      <w:r w:rsidR="007F0D51" w:rsidRPr="007F0D51">
        <w:rPr>
          <w:spacing w:val="-3"/>
          <w:sz w:val="24"/>
          <w:szCs w:val="24"/>
        </w:rPr>
        <w:t>Preliminary Objections</w:t>
      </w:r>
      <w:r w:rsidR="00433F1B">
        <w:rPr>
          <w:spacing w:val="-3"/>
          <w:sz w:val="24"/>
          <w:szCs w:val="24"/>
        </w:rPr>
        <w:t xml:space="preserve"> and a Motion to Strike</w:t>
      </w:r>
      <w:r w:rsidR="007F0D51" w:rsidRPr="007F0D51">
        <w:rPr>
          <w:spacing w:val="-3"/>
          <w:sz w:val="24"/>
          <w:szCs w:val="24"/>
        </w:rPr>
        <w:t xml:space="preserve">.  </w:t>
      </w:r>
    </w:p>
    <w:p w:rsidR="007F0D51" w:rsidRPr="007F0D51" w:rsidRDefault="007F0D51" w:rsidP="00D0460E">
      <w:pPr>
        <w:pStyle w:val="ListParagraph"/>
        <w:spacing w:line="360" w:lineRule="auto"/>
        <w:ind w:left="0"/>
        <w:rPr>
          <w:spacing w:val="-3"/>
          <w:sz w:val="24"/>
          <w:szCs w:val="24"/>
        </w:rPr>
      </w:pPr>
    </w:p>
    <w:p w:rsidR="007F0D51" w:rsidRPr="007F0D51" w:rsidRDefault="00433F1B" w:rsidP="00D0460E">
      <w:pPr>
        <w:pStyle w:val="ListParagraph"/>
        <w:numPr>
          <w:ilvl w:val="0"/>
          <w:numId w:val="27"/>
        </w:numPr>
        <w:tabs>
          <w:tab w:val="left" w:pos="-1440"/>
          <w:tab w:val="left" w:pos="-720"/>
        </w:tabs>
        <w:suppressAutoHyphens/>
        <w:spacing w:line="360" w:lineRule="auto"/>
        <w:ind w:left="0" w:firstLine="1440"/>
        <w:rPr>
          <w:spacing w:val="-3"/>
          <w:sz w:val="24"/>
          <w:szCs w:val="24"/>
        </w:rPr>
      </w:pPr>
      <w:r>
        <w:rPr>
          <w:spacing w:val="-3"/>
          <w:sz w:val="24"/>
          <w:szCs w:val="24"/>
        </w:rPr>
        <w:t>On August 26, 2015</w:t>
      </w:r>
      <w:r w:rsidR="00E5018F">
        <w:rPr>
          <w:spacing w:val="-3"/>
          <w:sz w:val="24"/>
          <w:szCs w:val="24"/>
        </w:rPr>
        <w:t>, Complainant filed an Answer</w:t>
      </w:r>
      <w:r w:rsidR="00161F29">
        <w:rPr>
          <w:spacing w:val="-3"/>
          <w:sz w:val="24"/>
          <w:szCs w:val="24"/>
        </w:rPr>
        <w:t xml:space="preserve"> to these preliminary objections and motions</w:t>
      </w:r>
      <w:r w:rsidR="00E5018F">
        <w:rPr>
          <w:spacing w:val="-3"/>
          <w:sz w:val="24"/>
          <w:szCs w:val="24"/>
        </w:rPr>
        <w:t>.</w:t>
      </w:r>
    </w:p>
    <w:p w:rsidR="007F0D51" w:rsidRDefault="007F0D51" w:rsidP="00D0460E">
      <w:pPr>
        <w:tabs>
          <w:tab w:val="left" w:pos="-1440"/>
          <w:tab w:val="left" w:pos="-720"/>
        </w:tabs>
        <w:suppressAutoHyphens/>
        <w:spacing w:line="360" w:lineRule="auto"/>
        <w:ind w:firstLine="1440"/>
        <w:rPr>
          <w:spacing w:val="-3"/>
          <w:sz w:val="24"/>
          <w:szCs w:val="24"/>
        </w:rPr>
      </w:pPr>
    </w:p>
    <w:p w:rsidR="00E22665" w:rsidRDefault="00E22665" w:rsidP="00E22665">
      <w:pPr>
        <w:tabs>
          <w:tab w:val="left" w:pos="-1440"/>
          <w:tab w:val="left" w:pos="-720"/>
        </w:tabs>
        <w:suppressAutoHyphens/>
        <w:spacing w:line="360" w:lineRule="auto"/>
        <w:jc w:val="center"/>
        <w:rPr>
          <w:spacing w:val="-3"/>
          <w:sz w:val="24"/>
          <w:szCs w:val="24"/>
          <w:u w:val="single"/>
        </w:rPr>
      </w:pPr>
      <w:r>
        <w:rPr>
          <w:spacing w:val="-3"/>
          <w:sz w:val="24"/>
          <w:szCs w:val="24"/>
          <w:u w:val="single"/>
        </w:rPr>
        <w:t>DISCUSSION</w:t>
      </w:r>
    </w:p>
    <w:p w:rsidR="00E43C96" w:rsidRDefault="00E43C96" w:rsidP="00E22665">
      <w:pPr>
        <w:tabs>
          <w:tab w:val="left" w:pos="-1440"/>
          <w:tab w:val="left" w:pos="-720"/>
        </w:tabs>
        <w:suppressAutoHyphens/>
        <w:spacing w:line="360" w:lineRule="auto"/>
        <w:jc w:val="center"/>
        <w:rPr>
          <w:spacing w:val="-3"/>
          <w:sz w:val="24"/>
          <w:szCs w:val="24"/>
          <w:u w:val="single"/>
        </w:rPr>
      </w:pPr>
    </w:p>
    <w:p w:rsidR="00E22665" w:rsidRDefault="00161F29" w:rsidP="00F31B90">
      <w:pPr>
        <w:tabs>
          <w:tab w:val="left" w:pos="-1440"/>
          <w:tab w:val="left" w:pos="-720"/>
        </w:tabs>
        <w:suppressAutoHyphens/>
        <w:spacing w:line="360" w:lineRule="auto"/>
        <w:rPr>
          <w:spacing w:val="-3"/>
          <w:sz w:val="24"/>
          <w:szCs w:val="24"/>
        </w:rPr>
      </w:pPr>
      <w:r>
        <w:rPr>
          <w:spacing w:val="-3"/>
          <w:sz w:val="24"/>
          <w:szCs w:val="24"/>
        </w:rPr>
        <w:tab/>
      </w:r>
      <w:r>
        <w:rPr>
          <w:spacing w:val="-3"/>
          <w:sz w:val="24"/>
          <w:szCs w:val="24"/>
        </w:rPr>
        <w:tab/>
      </w:r>
      <w:r w:rsidR="00BC5AD6">
        <w:rPr>
          <w:spacing w:val="-3"/>
          <w:sz w:val="24"/>
          <w:szCs w:val="24"/>
        </w:rPr>
        <w:t xml:space="preserve">The </w:t>
      </w:r>
      <w:r>
        <w:rPr>
          <w:spacing w:val="-3"/>
          <w:sz w:val="24"/>
          <w:szCs w:val="24"/>
        </w:rPr>
        <w:t>Commission’s regulations at 52 Pa. Code § 5.102 govern motions for summary judgment.  Section 5.102(d) states in pertinent part:</w:t>
      </w:r>
    </w:p>
    <w:p w:rsidR="00DF4B3C" w:rsidRDefault="008D6448" w:rsidP="00DF4B3C">
      <w:pPr>
        <w:pStyle w:val="NormalWeb"/>
        <w:ind w:left="1440" w:right="1440"/>
      </w:pPr>
      <w:bookmarkStart w:id="1" w:name="5.102."/>
      <w:r>
        <w:t xml:space="preserve">(d) </w:t>
      </w:r>
      <w:r>
        <w:rPr>
          <w:i/>
          <w:iCs/>
        </w:rPr>
        <w:t>Decisions on motions</w:t>
      </w:r>
      <w:r>
        <w:t xml:space="preserve">. </w:t>
      </w:r>
    </w:p>
    <w:p w:rsidR="008D6448" w:rsidRDefault="008D6448" w:rsidP="00DF4B3C">
      <w:pPr>
        <w:pStyle w:val="NormalWeb"/>
        <w:ind w:left="1440" w:right="1440"/>
      </w:pPr>
      <w:r>
        <w:t xml:space="preserve">(1) </w:t>
      </w:r>
      <w:r>
        <w:rPr>
          <w:i/>
          <w:iCs/>
        </w:rPr>
        <w:t>Standard for grant or denial on all counts</w:t>
      </w:r>
      <w:r>
        <w:t xml:space="preserve">.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w:t>
      </w:r>
      <w:r w:rsidRPr="008D6448">
        <w:rPr>
          <w:b/>
        </w:rPr>
        <w:t xml:space="preserve">show that there is no genuine issue as to a material fact </w:t>
      </w:r>
      <w:r w:rsidRPr="008D6448">
        <w:rPr>
          <w:b/>
        </w:rPr>
        <w:lastRenderedPageBreak/>
        <w:t>and that the moving party is entitled to a judgment as a matter of law.</w:t>
      </w:r>
      <w:r>
        <w:t xml:space="preserve"> </w:t>
      </w:r>
    </w:p>
    <w:p w:rsidR="008D6448" w:rsidRDefault="008D6448" w:rsidP="008D6448">
      <w:pPr>
        <w:pStyle w:val="NormalWeb"/>
        <w:ind w:left="1440" w:right="1440"/>
      </w:pPr>
      <w:r>
        <w:t xml:space="preserve">(2) </w:t>
      </w:r>
      <w:r>
        <w:rPr>
          <w:i/>
          <w:iCs/>
        </w:rPr>
        <w:t>Standard for grant or denial in part</w:t>
      </w:r>
      <w:r>
        <w:t xml:space="preserve">. The presiding officer may grant a partial summary judgment if the pleadings, depositions, answers to interrogatories and admissions, together with affidavits, if any, show that there is no genuine issue as to a material fact and that the moving party is entitled to a judgment as a matter of law on one or more but not all outstanding issues. </w:t>
      </w:r>
    </w:p>
    <w:p w:rsidR="008D6448" w:rsidRDefault="008D6448" w:rsidP="008D6448">
      <w:pPr>
        <w:pStyle w:val="NormalWeb"/>
        <w:ind w:left="1440" w:right="1440"/>
      </w:pPr>
      <w:r>
        <w:t xml:space="preserve">(3) </w:t>
      </w:r>
      <w:r>
        <w:rPr>
          <w:i/>
          <w:iCs/>
        </w:rPr>
        <w:t>Form of decision</w:t>
      </w:r>
      <w:r>
        <w:t>. The presiding officer will grant, in whole or in part, the motion in the form of an initial or recommended decision which shall be subject to exceptions as set forth in § 5.533 (relating to exceptions). Denial of a motion will be in the form of a written order.</w:t>
      </w:r>
    </w:p>
    <w:p w:rsidR="008D6448" w:rsidRDefault="008D6448" w:rsidP="00161F29">
      <w:pPr>
        <w:pStyle w:val="NormalWeb"/>
        <w:spacing w:line="360" w:lineRule="auto"/>
        <w:ind w:right="1440"/>
      </w:pPr>
      <w:r>
        <w:t>52 Pa.Code § 5.102(d) (Emphasis added.)</w:t>
      </w:r>
    </w:p>
    <w:p w:rsidR="008D6448" w:rsidRDefault="001E58BF" w:rsidP="00D0460E">
      <w:pPr>
        <w:pStyle w:val="NormalWeb"/>
        <w:spacing w:before="0" w:beforeAutospacing="0" w:after="0" w:afterAutospacing="0" w:line="360" w:lineRule="auto"/>
        <w:ind w:firstLine="1440"/>
      </w:pPr>
      <w:r>
        <w:t>The Respondent argues that “</w:t>
      </w:r>
      <w:r w:rsidR="007E7345">
        <w:t>[t]</w:t>
      </w:r>
      <w:r>
        <w:t>he statute of limitations at 66 Pa.C.S. § 3314 provides that no action for recovery of penalties or forfei</w:t>
      </w:r>
      <w:r w:rsidR="008D3059">
        <w:t>tures, or any prosecution, may b</w:t>
      </w:r>
      <w:r>
        <w:t>e maintained unless brought within three years from the date the liability arose.”</w:t>
      </w:r>
      <w:r w:rsidR="00133E45">
        <w:rPr>
          <w:rStyle w:val="FootnoteReference"/>
        </w:rPr>
        <w:footnoteReference w:id="1"/>
      </w:r>
      <w:r>
        <w:t xml:space="preserve">  </w:t>
      </w:r>
      <w:proofErr w:type="gramStart"/>
      <w:r>
        <w:t>(Motion at 9.)</w:t>
      </w:r>
      <w:proofErr w:type="gramEnd"/>
    </w:p>
    <w:p w:rsidR="00D0460E" w:rsidRDefault="00D0460E" w:rsidP="00D0460E">
      <w:pPr>
        <w:pStyle w:val="NormalWeb"/>
        <w:spacing w:before="0" w:beforeAutospacing="0" w:after="0" w:afterAutospacing="0" w:line="360" w:lineRule="auto"/>
        <w:ind w:firstLine="1440"/>
      </w:pPr>
    </w:p>
    <w:p w:rsidR="00433F1B" w:rsidRDefault="00E43C96" w:rsidP="00D0460E">
      <w:pPr>
        <w:pStyle w:val="NormalWeb"/>
        <w:spacing w:before="0" w:beforeAutospacing="0" w:after="0" w:afterAutospacing="0" w:line="360" w:lineRule="auto"/>
        <w:ind w:firstLine="1440"/>
      </w:pPr>
      <w:r>
        <w:t xml:space="preserve">The Complainant is seeking a review </w:t>
      </w:r>
      <w:r w:rsidR="00433F1B">
        <w:t>of a municipal lien placed u</w:t>
      </w:r>
      <w:r w:rsidR="00272BD7">
        <w:t>p</w:t>
      </w:r>
      <w:r w:rsidR="00433F1B">
        <w:t xml:space="preserve">on her property by the City of Philadelphia on November 11, </w:t>
      </w:r>
      <w:r w:rsidR="00161F29">
        <w:t>1</w:t>
      </w:r>
      <w:r w:rsidR="00433F1B">
        <w:t>997, in the amount of $2,694.31 and for charges related to “digging up her street” that ar</w:t>
      </w:r>
      <w:r w:rsidR="00D0460E">
        <w:t>e included in the lien amount.</w:t>
      </w:r>
    </w:p>
    <w:p w:rsidR="00D0460E" w:rsidRDefault="00D0460E" w:rsidP="00D0460E">
      <w:pPr>
        <w:pStyle w:val="NormalWeb"/>
        <w:spacing w:before="0" w:beforeAutospacing="0" w:after="0" w:afterAutospacing="0" w:line="360" w:lineRule="auto"/>
        <w:ind w:firstLine="1440"/>
      </w:pPr>
    </w:p>
    <w:p w:rsidR="00E43C96" w:rsidRDefault="00433F1B" w:rsidP="00D0460E">
      <w:pPr>
        <w:pStyle w:val="NormalWeb"/>
        <w:spacing w:before="0" w:beforeAutospacing="0" w:after="0" w:afterAutospacing="0" w:line="360" w:lineRule="auto"/>
        <w:ind w:firstLine="1440"/>
      </w:pPr>
      <w:r>
        <w:t>As it appears on the surface of the Complaint that the charges occurred and stem from actions done more than three years prior to July 13, 2015, a</w:t>
      </w:r>
      <w:r w:rsidR="00E43C96">
        <w:t xml:space="preserve"> review and </w:t>
      </w:r>
      <w:r w:rsidR="00BC5AD6">
        <w:t>refund</w:t>
      </w:r>
      <w:r w:rsidR="00E43C96">
        <w:t xml:space="preserve"> of </w:t>
      </w:r>
      <w:r>
        <w:t xml:space="preserve">charges </w:t>
      </w:r>
      <w:r w:rsidR="00E43C96">
        <w:t xml:space="preserve">is barred by the Pennsylvania Public Utility Code statute of limitations.  The Complainant’s Formal Complaint was filed </w:t>
      </w:r>
      <w:r>
        <w:t xml:space="preserve">July 13, 2015.  </w:t>
      </w:r>
      <w:r w:rsidR="00E43C96">
        <w:t xml:space="preserve">That means that the Commission has the authority to look back to </w:t>
      </w:r>
      <w:r>
        <w:t>July 13, 2012</w:t>
      </w:r>
      <w:r w:rsidR="00E43C96">
        <w:t>, or three years</w:t>
      </w:r>
      <w:r w:rsidR="008C594A">
        <w:t xml:space="preserve"> from the time the Complainant brought the Formal Complaint</w:t>
      </w:r>
      <w:r w:rsidR="00E43C96">
        <w:t>.</w:t>
      </w:r>
      <w:r w:rsidR="00832224">
        <w:t xml:space="preserve"> </w:t>
      </w:r>
      <w:r w:rsidR="00E43C96">
        <w:t xml:space="preserve"> 66 Pa.C.S. § 3314.  Therefore, </w:t>
      </w:r>
      <w:r w:rsidR="00BC5AD6">
        <w:t>PGW</w:t>
      </w:r>
      <w:r w:rsidR="00E43C96">
        <w:t xml:space="preserve"> is correct</w:t>
      </w:r>
      <w:r w:rsidR="00BC5AD6">
        <w:t>.</w:t>
      </w:r>
      <w:r w:rsidR="00E43C96">
        <w:t xml:space="preserve"> </w:t>
      </w:r>
      <w:bookmarkEnd w:id="1"/>
      <w:r w:rsidR="00BC5AD6">
        <w:t>T</w:t>
      </w:r>
      <w:r w:rsidR="00E43C96" w:rsidRPr="00E43C96">
        <w:t xml:space="preserve">here is no genuine issue as to a material fact and the moving party is entitled to </w:t>
      </w:r>
      <w:r w:rsidR="008D3059">
        <w:t xml:space="preserve">a </w:t>
      </w:r>
      <w:r w:rsidR="00E43C96" w:rsidRPr="00E43C96">
        <w:t xml:space="preserve">judgment as a matter of law. </w:t>
      </w:r>
      <w:r w:rsidR="00E43C96">
        <w:t xml:space="preserve"> 52 Pa.Code § 5.102(d)(1).  </w:t>
      </w:r>
      <w:r w:rsidR="00E43C96" w:rsidRPr="00E43C96">
        <w:rPr>
          <w:u w:val="single"/>
        </w:rPr>
        <w:t xml:space="preserve">Duquesne Light Co. v. Pa. Pub. </w:t>
      </w:r>
      <w:proofErr w:type="gramStart"/>
      <w:r w:rsidR="00E43C96" w:rsidRPr="00E43C96">
        <w:rPr>
          <w:u w:val="single"/>
        </w:rPr>
        <w:t>Util. Comm</w:t>
      </w:r>
      <w:r w:rsidR="00984A3E">
        <w:rPr>
          <w:u w:val="single"/>
        </w:rPr>
        <w:t>’</w:t>
      </w:r>
      <w:r w:rsidR="00E43C96" w:rsidRPr="00E43C96">
        <w:rPr>
          <w:u w:val="single"/>
        </w:rPr>
        <w:t>n</w:t>
      </w:r>
      <w:r w:rsidR="00E43C96" w:rsidRPr="00E43C96">
        <w:t>, 611 A.2d 370</w:t>
      </w:r>
      <w:r w:rsidR="00984A3E">
        <w:t xml:space="preserve"> (</w:t>
      </w:r>
      <w:r w:rsidR="00E43C96" w:rsidRPr="00E43C96">
        <w:t>Pa.C</w:t>
      </w:r>
      <w:r w:rsidR="00736D34">
        <w:t>mwlth</w:t>
      </w:r>
      <w:r w:rsidR="00E43C96" w:rsidRPr="00E43C96">
        <w:t>.</w:t>
      </w:r>
      <w:r w:rsidR="00984A3E">
        <w:t xml:space="preserve"> 1992).</w:t>
      </w:r>
      <w:proofErr w:type="gramEnd"/>
    </w:p>
    <w:p w:rsidR="00D0460E" w:rsidRPr="00E43C96" w:rsidRDefault="00351185" w:rsidP="00351185">
      <w:pPr>
        <w:pStyle w:val="NormalWeb"/>
        <w:spacing w:before="0" w:beforeAutospacing="0" w:after="0" w:afterAutospacing="0" w:line="360" w:lineRule="auto"/>
        <w:ind w:firstLine="1440"/>
      </w:pPr>
      <w:r>
        <w:br w:type="page"/>
      </w:r>
    </w:p>
    <w:p w:rsidR="00272BD7" w:rsidRDefault="00272BD7" w:rsidP="00D0460E">
      <w:pPr>
        <w:spacing w:line="360" w:lineRule="auto"/>
        <w:ind w:firstLine="1440"/>
        <w:rPr>
          <w:color w:val="000000" w:themeColor="text1"/>
          <w:sz w:val="24"/>
          <w:szCs w:val="24"/>
        </w:rPr>
      </w:pPr>
      <w:r>
        <w:rPr>
          <w:color w:val="000000" w:themeColor="text1"/>
          <w:sz w:val="24"/>
          <w:szCs w:val="24"/>
        </w:rPr>
        <w:lastRenderedPageBreak/>
        <w:t>Further, regarding the Commission’s jurisdiction with regard to municipal liens, t</w:t>
      </w:r>
      <w:r w:rsidRPr="00EC5C8A">
        <w:rPr>
          <w:color w:val="000000" w:themeColor="text1"/>
          <w:sz w:val="24"/>
          <w:szCs w:val="24"/>
        </w:rPr>
        <w:t xml:space="preserve">his issue was considered in the case of </w:t>
      </w:r>
      <w:r w:rsidRPr="00EC5C8A">
        <w:rPr>
          <w:i/>
          <w:color w:val="000000" w:themeColor="text1"/>
          <w:sz w:val="24"/>
          <w:szCs w:val="24"/>
        </w:rPr>
        <w:t>Josephine Pitt v. Philadelphia Gas Works</w:t>
      </w:r>
      <w:r w:rsidRPr="00EC5C8A">
        <w:rPr>
          <w:color w:val="000000" w:themeColor="text1"/>
          <w:sz w:val="24"/>
          <w:szCs w:val="24"/>
        </w:rPr>
        <w:t xml:space="preserve">, C-2009-2140025 (I.D. March 24, 2010, Weismandel, ALJ), (Final Order April 29, 2010), wherein the City of Philadelphia’s Municipal Lien practice and authority with respect to PGW was thoroughly reviewed.  There, it was held that the entire proceeding for the effectuation of and defense to the statutory lien of the City is within the jurisdiction of the Court of Common Pleas </w:t>
      </w:r>
    </w:p>
    <w:p w:rsidR="00272BD7" w:rsidRDefault="00272BD7" w:rsidP="00272BD7">
      <w:pPr>
        <w:spacing w:line="360" w:lineRule="auto"/>
        <w:rPr>
          <w:color w:val="000000" w:themeColor="text1"/>
          <w:sz w:val="24"/>
          <w:szCs w:val="24"/>
        </w:rPr>
      </w:pPr>
      <w:r w:rsidRPr="00EC5C8A">
        <w:rPr>
          <w:color w:val="000000" w:themeColor="text1"/>
          <w:sz w:val="24"/>
          <w:szCs w:val="24"/>
        </w:rPr>
        <w:t xml:space="preserve">of Philadelphia County (or Municipal Court of Philadelphia, if the amount is within its jurisdiction.  </w:t>
      </w:r>
      <w:proofErr w:type="gramStart"/>
      <w:r w:rsidRPr="00EC5C8A">
        <w:rPr>
          <w:color w:val="000000" w:themeColor="text1"/>
          <w:sz w:val="24"/>
          <w:szCs w:val="24"/>
        </w:rPr>
        <w:t>53 P.S. § 7101 et seq.)</w:t>
      </w:r>
      <w:proofErr w:type="gramEnd"/>
      <w:r w:rsidRPr="00EC5C8A">
        <w:rPr>
          <w:rStyle w:val="FootnoteReference"/>
          <w:color w:val="000000" w:themeColor="text1"/>
          <w:sz w:val="24"/>
          <w:szCs w:val="24"/>
        </w:rPr>
        <w:footnoteReference w:id="2"/>
      </w:r>
      <w:r w:rsidRPr="00EC5C8A">
        <w:rPr>
          <w:color w:val="000000" w:themeColor="text1"/>
          <w:sz w:val="24"/>
          <w:szCs w:val="24"/>
        </w:rPr>
        <w:t xml:space="preserve"> </w:t>
      </w:r>
      <w:proofErr w:type="gramStart"/>
      <w:r w:rsidRPr="00EC5C8A">
        <w:rPr>
          <w:color w:val="000000" w:themeColor="text1"/>
          <w:sz w:val="24"/>
          <w:szCs w:val="24"/>
        </w:rPr>
        <w:t>and</w:t>
      </w:r>
      <w:proofErr w:type="gramEnd"/>
      <w:r w:rsidRPr="00EC5C8A">
        <w:rPr>
          <w:color w:val="000000" w:themeColor="text1"/>
          <w:sz w:val="24"/>
          <w:szCs w:val="24"/>
        </w:rPr>
        <w:t xml:space="preserve"> not the Commission; and that municipal lien proceedings are exclusively matters of judicial, not administrative, jurisdiction.  </w:t>
      </w:r>
    </w:p>
    <w:p w:rsidR="00161F29" w:rsidRPr="00EC5C8A" w:rsidRDefault="00161F29" w:rsidP="00272BD7">
      <w:pPr>
        <w:spacing w:line="360" w:lineRule="auto"/>
        <w:rPr>
          <w:color w:val="000000" w:themeColor="text1"/>
          <w:sz w:val="24"/>
          <w:szCs w:val="24"/>
        </w:rPr>
      </w:pPr>
    </w:p>
    <w:p w:rsidR="00272BD7" w:rsidRPr="00EC5C8A" w:rsidRDefault="00272BD7" w:rsidP="00272BD7">
      <w:pPr>
        <w:spacing w:line="360" w:lineRule="auto"/>
        <w:ind w:firstLine="1440"/>
        <w:rPr>
          <w:color w:val="000000" w:themeColor="text1"/>
          <w:sz w:val="24"/>
          <w:szCs w:val="24"/>
        </w:rPr>
      </w:pPr>
      <w:r w:rsidRPr="00EC5C8A">
        <w:rPr>
          <w:color w:val="000000" w:themeColor="text1"/>
          <w:sz w:val="24"/>
          <w:szCs w:val="24"/>
        </w:rPr>
        <w:t xml:space="preserve">In </w:t>
      </w:r>
      <w:r w:rsidRPr="00EC5C8A">
        <w:rPr>
          <w:i/>
          <w:color w:val="000000" w:themeColor="text1"/>
          <w:sz w:val="24"/>
          <w:szCs w:val="24"/>
        </w:rPr>
        <w:t>Pitt v. Philadelphia Gas Works</w:t>
      </w:r>
      <w:r w:rsidRPr="00EC5C8A">
        <w:rPr>
          <w:color w:val="000000" w:themeColor="text1"/>
          <w:sz w:val="24"/>
          <w:szCs w:val="24"/>
        </w:rPr>
        <w:t xml:space="preserve">, </w:t>
      </w:r>
      <w:r w:rsidRPr="00EC5C8A">
        <w:rPr>
          <w:i/>
          <w:color w:val="000000" w:themeColor="text1"/>
          <w:sz w:val="24"/>
          <w:szCs w:val="24"/>
        </w:rPr>
        <w:t>supra</w:t>
      </w:r>
      <w:r w:rsidRPr="00EC5C8A">
        <w:rPr>
          <w:color w:val="000000" w:themeColor="text1"/>
          <w:sz w:val="24"/>
          <w:szCs w:val="24"/>
        </w:rPr>
        <w:t>, it is emphasized that the Commission has repeatedly recognized its lack of subject matter jurisdiction in cases involving a dispute over a municipal lien placed upon a property</w:t>
      </w:r>
      <w:r>
        <w:rPr>
          <w:color w:val="000000" w:themeColor="text1"/>
          <w:sz w:val="24"/>
          <w:szCs w:val="24"/>
        </w:rPr>
        <w:t>.</w:t>
      </w:r>
      <w:r w:rsidRPr="00EC5C8A">
        <w:rPr>
          <w:color w:val="000000" w:themeColor="text1"/>
          <w:sz w:val="24"/>
          <w:szCs w:val="24"/>
        </w:rPr>
        <w:t xml:space="preserve"> </w:t>
      </w:r>
      <w:r>
        <w:rPr>
          <w:i/>
          <w:color w:val="000000" w:themeColor="text1"/>
          <w:sz w:val="24"/>
          <w:szCs w:val="24"/>
        </w:rPr>
        <w:t xml:space="preserve">See also, </w:t>
      </w:r>
      <w:r w:rsidRPr="00EC5C8A">
        <w:rPr>
          <w:i/>
          <w:color w:val="000000" w:themeColor="text1"/>
          <w:sz w:val="24"/>
          <w:szCs w:val="24"/>
        </w:rPr>
        <w:t>Debra Williams Lawrence v. Philadelphia Gas Works</w:t>
      </w:r>
      <w:r w:rsidRPr="00EC5C8A">
        <w:rPr>
          <w:color w:val="000000" w:themeColor="text1"/>
          <w:sz w:val="24"/>
          <w:szCs w:val="24"/>
        </w:rPr>
        <w:t>, Docket Number C-20066672, Final Order entered January 22, 2007 (</w:t>
      </w:r>
      <w:r w:rsidRPr="00EC5C8A">
        <w:rPr>
          <w:i/>
          <w:color w:val="000000" w:themeColor="text1"/>
          <w:sz w:val="24"/>
          <w:szCs w:val="24"/>
        </w:rPr>
        <w:t>Lawrence</w:t>
      </w:r>
      <w:r w:rsidRPr="00EC5C8A">
        <w:rPr>
          <w:color w:val="000000" w:themeColor="text1"/>
          <w:sz w:val="24"/>
          <w:szCs w:val="24"/>
        </w:rPr>
        <w:t xml:space="preserve">); </w:t>
      </w:r>
      <w:r w:rsidRPr="00EC5C8A">
        <w:rPr>
          <w:i/>
          <w:color w:val="000000" w:themeColor="text1"/>
          <w:sz w:val="24"/>
          <w:szCs w:val="24"/>
        </w:rPr>
        <w:t>Tina L. Francis-Young v. Philadelphia Gas Works</w:t>
      </w:r>
      <w:r w:rsidRPr="00EC5C8A">
        <w:rPr>
          <w:color w:val="000000" w:themeColor="text1"/>
          <w:sz w:val="24"/>
          <w:szCs w:val="24"/>
        </w:rPr>
        <w:t>, Docket Number C-2008-2029672, Final Order entered February 23, 2009 (</w:t>
      </w:r>
      <w:r w:rsidRPr="00EC5C8A">
        <w:rPr>
          <w:i/>
          <w:color w:val="000000" w:themeColor="text1"/>
          <w:sz w:val="24"/>
          <w:szCs w:val="24"/>
        </w:rPr>
        <w:t>Young</w:t>
      </w:r>
      <w:r w:rsidRPr="00EC5C8A">
        <w:rPr>
          <w:color w:val="000000" w:themeColor="text1"/>
          <w:sz w:val="24"/>
          <w:szCs w:val="24"/>
        </w:rPr>
        <w:t xml:space="preserve">), </w:t>
      </w:r>
      <w:r w:rsidRPr="00EC5C8A">
        <w:rPr>
          <w:i/>
          <w:color w:val="000000" w:themeColor="text1"/>
          <w:sz w:val="24"/>
          <w:szCs w:val="24"/>
        </w:rPr>
        <w:t>Dung Phat, LLC v. Philadelphia Gas Works</w:t>
      </w:r>
      <w:r w:rsidRPr="00EC5C8A">
        <w:rPr>
          <w:color w:val="000000" w:themeColor="text1"/>
          <w:sz w:val="24"/>
          <w:szCs w:val="24"/>
        </w:rPr>
        <w:t>, Docket Number C-2009-2135667, Final Order entered January 13, 2010 (</w:t>
      </w:r>
      <w:r w:rsidRPr="00EC5C8A">
        <w:rPr>
          <w:i/>
          <w:color w:val="000000" w:themeColor="text1"/>
          <w:sz w:val="24"/>
          <w:szCs w:val="24"/>
        </w:rPr>
        <w:t>Dung Phat</w:t>
      </w:r>
      <w:r w:rsidRPr="00EC5C8A">
        <w:rPr>
          <w:color w:val="000000" w:themeColor="text1"/>
          <w:sz w:val="24"/>
          <w:szCs w:val="24"/>
        </w:rPr>
        <w:t xml:space="preserve">); </w:t>
      </w:r>
      <w:r w:rsidRPr="00EC5C8A">
        <w:rPr>
          <w:i/>
          <w:color w:val="000000" w:themeColor="text1"/>
          <w:sz w:val="24"/>
          <w:szCs w:val="24"/>
        </w:rPr>
        <w:t>David Golan v. Philadelphia Gas Works</w:t>
      </w:r>
      <w:r w:rsidRPr="00EC5C8A">
        <w:rPr>
          <w:color w:val="000000" w:themeColor="text1"/>
          <w:sz w:val="24"/>
          <w:szCs w:val="24"/>
        </w:rPr>
        <w:t>, Docket Number C-2009-2138115, Final Order entered February 4, 2010 (</w:t>
      </w:r>
      <w:r w:rsidRPr="00EC5C8A">
        <w:rPr>
          <w:i/>
          <w:color w:val="000000" w:themeColor="text1"/>
          <w:sz w:val="24"/>
          <w:szCs w:val="24"/>
        </w:rPr>
        <w:t>Golan</w:t>
      </w:r>
      <w:r w:rsidRPr="00EC5C8A">
        <w:rPr>
          <w:color w:val="000000" w:themeColor="text1"/>
          <w:sz w:val="24"/>
          <w:szCs w:val="24"/>
        </w:rPr>
        <w:t xml:space="preserve">); </w:t>
      </w:r>
      <w:r w:rsidRPr="00EC5C8A">
        <w:rPr>
          <w:i/>
          <w:color w:val="000000" w:themeColor="text1"/>
          <w:sz w:val="24"/>
          <w:szCs w:val="24"/>
        </w:rPr>
        <w:t>2020 West Passyunk Avenue Inc. v. Philadelphia Gas Works</w:t>
      </w:r>
      <w:r w:rsidRPr="00EC5C8A">
        <w:rPr>
          <w:color w:val="000000" w:themeColor="text1"/>
          <w:sz w:val="24"/>
          <w:szCs w:val="24"/>
        </w:rPr>
        <w:t>, Docket Number C-2009-2138727, Final Order entered February 4, 2010 (</w:t>
      </w:r>
      <w:r w:rsidRPr="00EC5C8A">
        <w:rPr>
          <w:i/>
          <w:color w:val="000000" w:themeColor="text1"/>
          <w:sz w:val="24"/>
          <w:szCs w:val="24"/>
        </w:rPr>
        <w:t>2020 West Passyunk</w:t>
      </w:r>
      <w:r w:rsidRPr="00EC5C8A">
        <w:rPr>
          <w:color w:val="000000" w:themeColor="text1"/>
          <w:sz w:val="24"/>
          <w:szCs w:val="24"/>
        </w:rPr>
        <w:t xml:space="preserve">); </w:t>
      </w:r>
      <w:r w:rsidRPr="00EC5C8A">
        <w:rPr>
          <w:i/>
          <w:color w:val="000000" w:themeColor="text1"/>
          <w:sz w:val="24"/>
          <w:szCs w:val="24"/>
        </w:rPr>
        <w:t>Jean Charles v. Philadelphia Gas Works</w:t>
      </w:r>
      <w:r w:rsidRPr="00EC5C8A">
        <w:rPr>
          <w:color w:val="000000" w:themeColor="text1"/>
          <w:sz w:val="24"/>
          <w:szCs w:val="24"/>
        </w:rPr>
        <w:t>, Docket Number C-2009-2138638, Final Order entered February 5, 2010 (</w:t>
      </w:r>
      <w:r w:rsidRPr="00EC5C8A">
        <w:rPr>
          <w:i/>
          <w:color w:val="000000" w:themeColor="text1"/>
          <w:sz w:val="24"/>
          <w:szCs w:val="24"/>
        </w:rPr>
        <w:t>Charles</w:t>
      </w:r>
      <w:r w:rsidRPr="00EC5C8A">
        <w:rPr>
          <w:color w:val="000000" w:themeColor="text1"/>
          <w:sz w:val="24"/>
          <w:szCs w:val="24"/>
        </w:rPr>
        <w:t>).</w:t>
      </w:r>
    </w:p>
    <w:p w:rsidR="00272BD7" w:rsidRPr="00EC5C8A" w:rsidRDefault="00272BD7" w:rsidP="00272BD7">
      <w:pPr>
        <w:spacing w:line="360" w:lineRule="auto"/>
        <w:rPr>
          <w:color w:val="000000" w:themeColor="text1"/>
          <w:sz w:val="24"/>
          <w:szCs w:val="24"/>
        </w:rPr>
      </w:pPr>
    </w:p>
    <w:p w:rsidR="00272BD7" w:rsidRPr="00EC5C8A" w:rsidRDefault="00272BD7" w:rsidP="00272BD7">
      <w:pPr>
        <w:spacing w:line="360" w:lineRule="auto"/>
        <w:rPr>
          <w:color w:val="000000" w:themeColor="text1"/>
          <w:sz w:val="24"/>
          <w:szCs w:val="24"/>
        </w:rPr>
      </w:pPr>
      <w:r w:rsidRPr="00EC5C8A">
        <w:rPr>
          <w:color w:val="000000" w:themeColor="text1"/>
          <w:sz w:val="24"/>
          <w:szCs w:val="24"/>
        </w:rPr>
        <w:lastRenderedPageBreak/>
        <w:tab/>
      </w:r>
      <w:r w:rsidRPr="00EC5C8A">
        <w:rPr>
          <w:color w:val="000000" w:themeColor="text1"/>
          <w:sz w:val="24"/>
          <w:szCs w:val="24"/>
        </w:rPr>
        <w:tab/>
        <w:t>The foregoing decisions are consistent with the Public Utility Code, 66 Pa.C.S.  §§ 1414(a) and 2212(n) which provide, as follows:</w:t>
      </w:r>
    </w:p>
    <w:p w:rsidR="00272BD7" w:rsidRPr="00EC5C8A" w:rsidRDefault="00272BD7" w:rsidP="00272BD7">
      <w:pPr>
        <w:spacing w:line="360" w:lineRule="auto"/>
        <w:rPr>
          <w:color w:val="000000" w:themeColor="text1"/>
          <w:sz w:val="24"/>
          <w:szCs w:val="24"/>
        </w:rPr>
      </w:pPr>
    </w:p>
    <w:p w:rsidR="00272BD7" w:rsidRPr="00EC5C8A" w:rsidRDefault="00272BD7" w:rsidP="00272BD7">
      <w:pPr>
        <w:spacing w:line="360" w:lineRule="auto"/>
        <w:rPr>
          <w:color w:val="000000" w:themeColor="text1"/>
          <w:sz w:val="24"/>
          <w:szCs w:val="24"/>
        </w:rPr>
      </w:pPr>
      <w:r w:rsidRPr="00EC5C8A">
        <w:rPr>
          <w:color w:val="000000" w:themeColor="text1"/>
          <w:sz w:val="24"/>
          <w:szCs w:val="24"/>
        </w:rPr>
        <w:tab/>
      </w:r>
      <w:r w:rsidRPr="00EC5C8A">
        <w:rPr>
          <w:color w:val="000000" w:themeColor="text1"/>
          <w:sz w:val="24"/>
          <w:szCs w:val="24"/>
        </w:rPr>
        <w:tab/>
        <w:t>66 Pa.C.S. § 1414(a):</w:t>
      </w:r>
    </w:p>
    <w:p w:rsidR="00272BD7" w:rsidRPr="00EC5C8A" w:rsidRDefault="00272BD7" w:rsidP="00272BD7">
      <w:pPr>
        <w:spacing w:line="360" w:lineRule="auto"/>
        <w:rPr>
          <w:color w:val="000000" w:themeColor="text1"/>
          <w:sz w:val="24"/>
          <w:szCs w:val="24"/>
        </w:rPr>
      </w:pPr>
    </w:p>
    <w:p w:rsidR="00272BD7" w:rsidRPr="00EC5C8A" w:rsidRDefault="00272BD7" w:rsidP="00272BD7">
      <w:pPr>
        <w:numPr>
          <w:ilvl w:val="0"/>
          <w:numId w:val="29"/>
        </w:numPr>
        <w:ind w:left="2160" w:right="1440" w:hanging="720"/>
        <w:rPr>
          <w:color w:val="000000" w:themeColor="text1"/>
          <w:sz w:val="24"/>
          <w:szCs w:val="24"/>
        </w:rPr>
      </w:pPr>
      <w:r w:rsidRPr="00EC5C8A">
        <w:rPr>
          <w:b/>
          <w:color w:val="000000" w:themeColor="text1"/>
          <w:sz w:val="24"/>
          <w:szCs w:val="24"/>
        </w:rPr>
        <w:t>General rule</w:t>
      </w:r>
      <w:r w:rsidRPr="00EC5C8A">
        <w:rPr>
          <w:color w:val="000000" w:themeColor="text1"/>
          <w:sz w:val="24"/>
          <w:szCs w:val="24"/>
        </w:rPr>
        <w:t xml:space="preserve">.—A city natural gas distribution operation </w:t>
      </w:r>
    </w:p>
    <w:p w:rsidR="00272BD7" w:rsidRPr="00EC5C8A" w:rsidRDefault="00272BD7" w:rsidP="00272BD7">
      <w:pPr>
        <w:ind w:left="1440" w:right="1440"/>
        <w:rPr>
          <w:color w:val="000000" w:themeColor="text1"/>
          <w:sz w:val="24"/>
          <w:szCs w:val="24"/>
        </w:rPr>
      </w:pPr>
      <w:r w:rsidRPr="00EC5C8A">
        <w:rPr>
          <w:color w:val="000000" w:themeColor="text1"/>
          <w:sz w:val="24"/>
          <w:szCs w:val="24"/>
        </w:rPr>
        <w:t>furnishing gas service to a property is entitled to impose or assess a municipal claim against the property and file as liens or record claims for unpaid natural gas distribution service and other related costs, including natural gas supply, in the court of common pleas of the county in which the property is situated or, if the claim for the unpaid natural gas distribution service does not exceed the maximum amount over which the Municipal Court of Philadelphia has jurisdiction, in the Municipal Court of Philadelphia, pursuant to sections 3 and 9 of the act of May 16, 1923 (P.L. 207, No. 153), referred to as the Municipal Claim and Tax Lien Law, and chapter 22 (relating to natural gas competition).</w:t>
      </w:r>
    </w:p>
    <w:p w:rsidR="00272BD7" w:rsidRPr="00EC5C8A" w:rsidRDefault="00272BD7" w:rsidP="00272BD7">
      <w:pPr>
        <w:ind w:left="1440" w:right="1440"/>
        <w:rPr>
          <w:color w:val="000000" w:themeColor="text1"/>
          <w:sz w:val="24"/>
          <w:szCs w:val="24"/>
        </w:rPr>
      </w:pPr>
    </w:p>
    <w:p w:rsidR="00272BD7" w:rsidRPr="00EC5C8A" w:rsidRDefault="00272BD7" w:rsidP="00272BD7">
      <w:pPr>
        <w:spacing w:line="360" w:lineRule="auto"/>
        <w:rPr>
          <w:color w:val="000000" w:themeColor="text1"/>
          <w:sz w:val="24"/>
          <w:szCs w:val="24"/>
        </w:rPr>
      </w:pPr>
      <w:r w:rsidRPr="00EC5C8A">
        <w:rPr>
          <w:color w:val="000000" w:themeColor="text1"/>
          <w:sz w:val="24"/>
          <w:szCs w:val="24"/>
        </w:rPr>
        <w:t>66 Pa.C.S. § 1414(a)(footnotes omitted).</w:t>
      </w:r>
    </w:p>
    <w:p w:rsidR="00272BD7" w:rsidRPr="00EC5C8A" w:rsidRDefault="00272BD7" w:rsidP="00272BD7">
      <w:pPr>
        <w:ind w:left="1440"/>
        <w:rPr>
          <w:color w:val="000000" w:themeColor="text1"/>
          <w:sz w:val="24"/>
          <w:szCs w:val="24"/>
        </w:rPr>
      </w:pPr>
    </w:p>
    <w:p w:rsidR="00272BD7" w:rsidRPr="00EC5C8A" w:rsidRDefault="00272BD7" w:rsidP="00272BD7">
      <w:pPr>
        <w:spacing w:line="360" w:lineRule="auto"/>
        <w:ind w:left="720"/>
        <w:jc w:val="center"/>
        <w:rPr>
          <w:color w:val="000000" w:themeColor="text1"/>
          <w:sz w:val="24"/>
          <w:szCs w:val="24"/>
        </w:rPr>
      </w:pPr>
      <w:r w:rsidRPr="00EC5C8A">
        <w:rPr>
          <w:color w:val="000000" w:themeColor="text1"/>
          <w:sz w:val="24"/>
          <w:szCs w:val="24"/>
        </w:rPr>
        <w:t xml:space="preserve">* * * </w:t>
      </w:r>
    </w:p>
    <w:p w:rsidR="00272BD7" w:rsidRPr="00EC5C8A" w:rsidRDefault="00272BD7" w:rsidP="00272BD7">
      <w:pPr>
        <w:spacing w:line="360" w:lineRule="auto"/>
        <w:ind w:left="720"/>
        <w:jc w:val="center"/>
        <w:rPr>
          <w:color w:val="000000" w:themeColor="text1"/>
          <w:sz w:val="24"/>
          <w:szCs w:val="24"/>
        </w:rPr>
      </w:pPr>
    </w:p>
    <w:p w:rsidR="00272BD7" w:rsidRPr="00EC5C8A" w:rsidRDefault="00272BD7" w:rsidP="00272BD7">
      <w:pPr>
        <w:spacing w:line="360" w:lineRule="auto"/>
        <w:jc w:val="both"/>
        <w:rPr>
          <w:color w:val="000000" w:themeColor="text1"/>
          <w:sz w:val="24"/>
          <w:szCs w:val="24"/>
        </w:rPr>
      </w:pPr>
      <w:r w:rsidRPr="00EC5C8A">
        <w:rPr>
          <w:color w:val="000000" w:themeColor="text1"/>
          <w:sz w:val="24"/>
          <w:szCs w:val="24"/>
        </w:rPr>
        <w:tab/>
      </w:r>
      <w:r w:rsidRPr="00EC5C8A">
        <w:rPr>
          <w:color w:val="000000" w:themeColor="text1"/>
          <w:sz w:val="24"/>
          <w:szCs w:val="24"/>
        </w:rPr>
        <w:tab/>
        <w:t>66 Pa.C.S. § 2212(n):</w:t>
      </w:r>
    </w:p>
    <w:p w:rsidR="00272BD7" w:rsidRPr="00EC5C8A" w:rsidRDefault="00272BD7" w:rsidP="00272BD7">
      <w:pPr>
        <w:spacing w:line="360" w:lineRule="auto"/>
        <w:jc w:val="both"/>
        <w:rPr>
          <w:color w:val="000000" w:themeColor="text1"/>
          <w:sz w:val="24"/>
          <w:szCs w:val="24"/>
        </w:rPr>
      </w:pPr>
    </w:p>
    <w:p w:rsidR="00272BD7" w:rsidRPr="00EC5C8A" w:rsidRDefault="00272BD7" w:rsidP="00272BD7">
      <w:pPr>
        <w:ind w:right="1440"/>
        <w:rPr>
          <w:color w:val="000000" w:themeColor="text1"/>
          <w:sz w:val="24"/>
          <w:szCs w:val="24"/>
        </w:rPr>
      </w:pPr>
      <w:r w:rsidRPr="00EC5C8A">
        <w:rPr>
          <w:color w:val="000000" w:themeColor="text1"/>
          <w:sz w:val="24"/>
          <w:szCs w:val="24"/>
        </w:rPr>
        <w:tab/>
      </w:r>
      <w:r w:rsidRPr="00EC5C8A">
        <w:rPr>
          <w:color w:val="000000" w:themeColor="text1"/>
          <w:sz w:val="24"/>
          <w:szCs w:val="24"/>
        </w:rPr>
        <w:tab/>
      </w:r>
      <w:r w:rsidRPr="00EC5C8A">
        <w:rPr>
          <w:b/>
          <w:color w:val="000000" w:themeColor="text1"/>
          <w:sz w:val="24"/>
          <w:szCs w:val="24"/>
        </w:rPr>
        <w:t>(n)</w:t>
      </w:r>
      <w:r w:rsidRPr="00EC5C8A">
        <w:rPr>
          <w:color w:val="000000" w:themeColor="text1"/>
          <w:sz w:val="24"/>
          <w:szCs w:val="24"/>
        </w:rPr>
        <w:tab/>
      </w:r>
      <w:r w:rsidRPr="00EC5C8A">
        <w:rPr>
          <w:b/>
          <w:color w:val="000000" w:themeColor="text1"/>
          <w:sz w:val="24"/>
          <w:szCs w:val="24"/>
        </w:rPr>
        <w:t>Collections</w:t>
      </w:r>
      <w:r w:rsidRPr="00EC5C8A">
        <w:rPr>
          <w:color w:val="000000" w:themeColor="text1"/>
          <w:sz w:val="24"/>
          <w:szCs w:val="24"/>
        </w:rPr>
        <w:t>.—Nothing contained in this title shall abrogate</w:t>
      </w:r>
    </w:p>
    <w:p w:rsidR="00272BD7" w:rsidRPr="00EC5C8A" w:rsidRDefault="00272BD7" w:rsidP="00272BD7">
      <w:pPr>
        <w:ind w:left="1440" w:right="1440"/>
        <w:rPr>
          <w:color w:val="000000" w:themeColor="text1"/>
          <w:sz w:val="24"/>
          <w:szCs w:val="24"/>
        </w:rPr>
      </w:pPr>
      <w:r w:rsidRPr="00EC5C8A">
        <w:rPr>
          <w:color w:val="000000" w:themeColor="text1"/>
          <w:sz w:val="24"/>
          <w:szCs w:val="24"/>
        </w:rPr>
        <w:t>the power of a city natural gas distribution operation to collect delinquent receivables through the imposition of liens pursuant to section 3 of the act of May 16, 1923 (P.L. 207, No. 153), referred to as the Municipal Claim and Tax Lien, or otherwise.</w:t>
      </w:r>
    </w:p>
    <w:p w:rsidR="00272BD7" w:rsidRPr="00EC5C8A" w:rsidRDefault="00272BD7" w:rsidP="00272BD7">
      <w:pPr>
        <w:ind w:left="1440" w:right="1440"/>
        <w:rPr>
          <w:color w:val="000000" w:themeColor="text1"/>
          <w:sz w:val="24"/>
          <w:szCs w:val="24"/>
        </w:rPr>
      </w:pPr>
    </w:p>
    <w:p w:rsidR="00272BD7" w:rsidRPr="00EC5C8A" w:rsidRDefault="00272BD7" w:rsidP="00272BD7">
      <w:pPr>
        <w:spacing w:line="360" w:lineRule="auto"/>
        <w:rPr>
          <w:color w:val="000000" w:themeColor="text1"/>
          <w:sz w:val="24"/>
          <w:szCs w:val="24"/>
        </w:rPr>
      </w:pPr>
      <w:r w:rsidRPr="00EC5C8A">
        <w:rPr>
          <w:color w:val="000000" w:themeColor="text1"/>
          <w:sz w:val="24"/>
          <w:szCs w:val="24"/>
        </w:rPr>
        <w:t>66 Pa.C.S. § 2212(n)(footnote omitted).</w:t>
      </w:r>
    </w:p>
    <w:p w:rsidR="00272BD7" w:rsidRPr="00F556F6" w:rsidRDefault="00272BD7" w:rsidP="00272BD7">
      <w:pPr>
        <w:spacing w:line="360" w:lineRule="auto"/>
        <w:rPr>
          <w:color w:val="FF0000"/>
          <w:sz w:val="24"/>
          <w:szCs w:val="24"/>
        </w:rPr>
      </w:pPr>
      <w:r w:rsidRPr="00F556F6">
        <w:rPr>
          <w:color w:val="FF0000"/>
          <w:sz w:val="24"/>
          <w:szCs w:val="24"/>
        </w:rPr>
        <w:tab/>
      </w:r>
      <w:r w:rsidRPr="00F556F6">
        <w:rPr>
          <w:color w:val="FF0000"/>
          <w:sz w:val="24"/>
          <w:szCs w:val="24"/>
        </w:rPr>
        <w:tab/>
      </w:r>
    </w:p>
    <w:p w:rsidR="00272BD7" w:rsidRDefault="00272BD7" w:rsidP="00272BD7">
      <w:pPr>
        <w:tabs>
          <w:tab w:val="left" w:pos="-1440"/>
          <w:tab w:val="left" w:pos="-720"/>
        </w:tabs>
        <w:suppressAutoHyphens/>
        <w:spacing w:line="360" w:lineRule="auto"/>
        <w:ind w:firstLine="1440"/>
        <w:rPr>
          <w:spacing w:val="-3"/>
          <w:sz w:val="24"/>
          <w:szCs w:val="24"/>
        </w:rPr>
      </w:pPr>
      <w:r>
        <w:rPr>
          <w:spacing w:val="-3"/>
          <w:sz w:val="24"/>
          <w:szCs w:val="24"/>
        </w:rPr>
        <w:t>Accordingly, for all of these aforementioned reasons, PGW’s Motion for Summary Judgment will be granted and summary judgment will be entered in favor of PGW.</w:t>
      </w:r>
    </w:p>
    <w:p w:rsidR="00272BD7" w:rsidRPr="00272BD7" w:rsidRDefault="00272BD7" w:rsidP="00272BD7">
      <w:pPr>
        <w:tabs>
          <w:tab w:val="left" w:pos="-1440"/>
          <w:tab w:val="left" w:pos="-720"/>
        </w:tabs>
        <w:suppressAutoHyphens/>
        <w:spacing w:line="360" w:lineRule="auto"/>
        <w:ind w:firstLine="1440"/>
        <w:rPr>
          <w:spacing w:val="-3"/>
          <w:sz w:val="24"/>
          <w:szCs w:val="24"/>
        </w:rPr>
      </w:pPr>
    </w:p>
    <w:p w:rsidR="00E22665" w:rsidRDefault="00E22665" w:rsidP="00E22665">
      <w:pPr>
        <w:tabs>
          <w:tab w:val="left" w:pos="-1440"/>
          <w:tab w:val="left" w:pos="-720"/>
        </w:tabs>
        <w:suppressAutoHyphens/>
        <w:spacing w:line="360" w:lineRule="auto"/>
        <w:jc w:val="center"/>
        <w:rPr>
          <w:spacing w:val="-3"/>
          <w:sz w:val="24"/>
          <w:szCs w:val="24"/>
          <w:u w:val="single"/>
        </w:rPr>
      </w:pPr>
      <w:r>
        <w:rPr>
          <w:spacing w:val="-3"/>
          <w:sz w:val="24"/>
          <w:szCs w:val="24"/>
          <w:u w:val="single"/>
        </w:rPr>
        <w:t>CONCLUSIONS OF LAW</w:t>
      </w:r>
    </w:p>
    <w:p w:rsidR="00606DA5" w:rsidRDefault="00606DA5" w:rsidP="00E22665">
      <w:pPr>
        <w:tabs>
          <w:tab w:val="left" w:pos="-1440"/>
          <w:tab w:val="left" w:pos="-720"/>
        </w:tabs>
        <w:suppressAutoHyphens/>
        <w:spacing w:line="360" w:lineRule="auto"/>
        <w:jc w:val="center"/>
        <w:rPr>
          <w:spacing w:val="-3"/>
          <w:sz w:val="24"/>
          <w:szCs w:val="24"/>
          <w:u w:val="single"/>
        </w:rPr>
      </w:pPr>
    </w:p>
    <w:p w:rsidR="00BC5AD6" w:rsidRDefault="00161F29" w:rsidP="00D0460E">
      <w:pPr>
        <w:pStyle w:val="NormalWeb"/>
        <w:numPr>
          <w:ilvl w:val="0"/>
          <w:numId w:val="28"/>
        </w:numPr>
        <w:tabs>
          <w:tab w:val="left" w:pos="2160"/>
        </w:tabs>
        <w:spacing w:before="0" w:beforeAutospacing="0" w:after="0" w:afterAutospacing="0" w:line="360" w:lineRule="auto"/>
        <w:ind w:left="0" w:firstLine="1440"/>
      </w:pPr>
      <w:r>
        <w:t xml:space="preserve">In </w:t>
      </w:r>
      <w:r w:rsidR="008D3059">
        <w:t xml:space="preserve">a motion for summary judgment, </w:t>
      </w:r>
      <w:r w:rsidR="00D3450C">
        <w:t xml:space="preserve">the </w:t>
      </w:r>
      <w:r w:rsidR="008D3059">
        <w:t xml:space="preserve">judgment sought will be rendered if the applicable pleadings, depositions, answers to interrogatories and admissions, together with </w:t>
      </w:r>
      <w:r w:rsidR="008D3059">
        <w:lastRenderedPageBreak/>
        <w:t xml:space="preserve">affidavits, if any, </w:t>
      </w:r>
      <w:r w:rsidR="008D3059" w:rsidRPr="008D3059">
        <w:t>show that there is no genuine issue as to a material fact and that the moving party is entitled to a judgment as a matter of law.</w:t>
      </w:r>
      <w:r w:rsidR="008D3059">
        <w:t xml:space="preserve">  52 Pa.Code § 5.102(d).</w:t>
      </w:r>
    </w:p>
    <w:p w:rsidR="00606DA5" w:rsidRDefault="00606DA5" w:rsidP="00606DA5">
      <w:pPr>
        <w:pStyle w:val="NormalWeb"/>
        <w:tabs>
          <w:tab w:val="left" w:pos="2160"/>
        </w:tabs>
        <w:spacing w:before="0" w:beforeAutospacing="0" w:after="0" w:afterAutospacing="0" w:line="360" w:lineRule="auto"/>
        <w:ind w:left="1440"/>
      </w:pPr>
    </w:p>
    <w:p w:rsidR="008D3059" w:rsidRDefault="008D3059" w:rsidP="00D0460E">
      <w:pPr>
        <w:pStyle w:val="NormalWeb"/>
        <w:numPr>
          <w:ilvl w:val="0"/>
          <w:numId w:val="28"/>
        </w:numPr>
        <w:tabs>
          <w:tab w:val="left" w:pos="2160"/>
        </w:tabs>
        <w:spacing w:before="0" w:beforeAutospacing="0" w:after="0" w:afterAutospacing="0" w:line="360" w:lineRule="auto"/>
        <w:ind w:left="0" w:firstLine="1440"/>
      </w:pPr>
      <w:r>
        <w:t>T</w:t>
      </w:r>
      <w:r w:rsidRPr="00E43C96">
        <w:t>here is no genuine issu</w:t>
      </w:r>
      <w:r>
        <w:t>e as to a material fact and</w:t>
      </w:r>
      <w:r w:rsidRPr="00E43C96">
        <w:t xml:space="preserve"> the</w:t>
      </w:r>
      <w:r>
        <w:t xml:space="preserve"> Respondent </w:t>
      </w:r>
      <w:r w:rsidRPr="00E43C96">
        <w:t xml:space="preserve">is entitled to </w:t>
      </w:r>
      <w:r>
        <w:t xml:space="preserve">a </w:t>
      </w:r>
      <w:r w:rsidRPr="00E43C96">
        <w:t xml:space="preserve">judgment as a matter of law. </w:t>
      </w:r>
      <w:r>
        <w:t xml:space="preserve"> 52 Pa.Code § 5.102(d)(1).  </w:t>
      </w:r>
      <w:r w:rsidRPr="00E43C96">
        <w:rPr>
          <w:u w:val="single"/>
        </w:rPr>
        <w:t>Duquesne Light Co. v. Pa. Pub. Util. Comm</w:t>
      </w:r>
      <w:r w:rsidR="00CF1C21">
        <w:rPr>
          <w:u w:val="single"/>
        </w:rPr>
        <w:t>’</w:t>
      </w:r>
      <w:r w:rsidRPr="00E43C96">
        <w:rPr>
          <w:u w:val="single"/>
        </w:rPr>
        <w:t>n</w:t>
      </w:r>
      <w:r>
        <w:t xml:space="preserve">, 611 A.2d 370 </w:t>
      </w:r>
      <w:r w:rsidR="00CF1C21">
        <w:t>(</w:t>
      </w:r>
      <w:r>
        <w:t>Pa.C</w:t>
      </w:r>
      <w:r w:rsidR="001C5A7C">
        <w:t>mwlth</w:t>
      </w:r>
      <w:r>
        <w:t>.</w:t>
      </w:r>
      <w:r w:rsidR="00CF1C21">
        <w:t xml:space="preserve"> 1992).</w:t>
      </w:r>
    </w:p>
    <w:p w:rsidR="001C5A7C" w:rsidRDefault="001C5A7C" w:rsidP="00D0460E">
      <w:pPr>
        <w:spacing w:line="360" w:lineRule="auto"/>
        <w:rPr>
          <w:sz w:val="24"/>
          <w:szCs w:val="24"/>
          <w:u w:val="single"/>
        </w:rPr>
      </w:pPr>
    </w:p>
    <w:p w:rsidR="009649FC" w:rsidRDefault="009649FC" w:rsidP="00A470ED">
      <w:pPr>
        <w:spacing w:line="360" w:lineRule="auto"/>
        <w:jc w:val="center"/>
        <w:rPr>
          <w:sz w:val="24"/>
          <w:szCs w:val="24"/>
          <w:u w:val="single"/>
        </w:rPr>
      </w:pPr>
      <w:r w:rsidRPr="009649FC">
        <w:rPr>
          <w:sz w:val="24"/>
          <w:szCs w:val="24"/>
          <w:u w:val="single"/>
        </w:rPr>
        <w:t>ORDER</w:t>
      </w:r>
    </w:p>
    <w:p w:rsidR="00311AD2" w:rsidRDefault="00311AD2" w:rsidP="00D0460E">
      <w:pPr>
        <w:spacing w:line="360" w:lineRule="auto"/>
        <w:ind w:firstLine="1440"/>
        <w:rPr>
          <w:sz w:val="24"/>
          <w:szCs w:val="24"/>
        </w:rPr>
      </w:pPr>
    </w:p>
    <w:p w:rsidR="00D0460E" w:rsidRPr="00311AD2" w:rsidRDefault="00D0460E" w:rsidP="00D0460E">
      <w:pPr>
        <w:spacing w:line="360" w:lineRule="auto"/>
        <w:ind w:firstLine="1440"/>
        <w:rPr>
          <w:sz w:val="24"/>
          <w:szCs w:val="24"/>
        </w:rPr>
      </w:pPr>
    </w:p>
    <w:p w:rsidR="00DE562E" w:rsidRDefault="00DE562E" w:rsidP="00D0460E">
      <w:pPr>
        <w:spacing w:line="360" w:lineRule="auto"/>
        <w:ind w:firstLine="1440"/>
        <w:rPr>
          <w:b/>
          <w:sz w:val="24"/>
          <w:szCs w:val="24"/>
        </w:rPr>
      </w:pPr>
      <w:r w:rsidRPr="00DE562E">
        <w:rPr>
          <w:sz w:val="24"/>
          <w:szCs w:val="24"/>
        </w:rPr>
        <w:t>THEREFORE,</w:t>
      </w:r>
      <w:r w:rsidR="00FE6157">
        <w:rPr>
          <w:sz w:val="24"/>
          <w:szCs w:val="24"/>
        </w:rPr>
        <w:t xml:space="preserve"> </w:t>
      </w:r>
    </w:p>
    <w:p w:rsidR="00BB3104" w:rsidRPr="002B19D4" w:rsidRDefault="00BB3104" w:rsidP="00D0460E">
      <w:pPr>
        <w:spacing w:line="360" w:lineRule="auto"/>
        <w:rPr>
          <w:b/>
          <w:sz w:val="24"/>
          <w:szCs w:val="24"/>
        </w:rPr>
      </w:pPr>
    </w:p>
    <w:p w:rsidR="00DE562E" w:rsidRDefault="00DE562E" w:rsidP="00D0460E">
      <w:pPr>
        <w:spacing w:line="360" w:lineRule="auto"/>
        <w:ind w:firstLine="1440"/>
        <w:rPr>
          <w:sz w:val="24"/>
          <w:szCs w:val="24"/>
        </w:rPr>
      </w:pPr>
      <w:r w:rsidRPr="00DE562E">
        <w:rPr>
          <w:sz w:val="24"/>
          <w:szCs w:val="24"/>
        </w:rPr>
        <w:t>IT IS ORDERED:</w:t>
      </w:r>
      <w:r w:rsidR="006D4BB7" w:rsidRPr="00DD2411">
        <w:rPr>
          <w:sz w:val="24"/>
          <w:szCs w:val="24"/>
        </w:rPr>
        <w:t xml:space="preserve"> </w:t>
      </w:r>
    </w:p>
    <w:p w:rsidR="008D1CA9" w:rsidRDefault="008D1CA9" w:rsidP="00D0460E">
      <w:pPr>
        <w:spacing w:line="360" w:lineRule="auto"/>
        <w:ind w:firstLine="1440"/>
        <w:rPr>
          <w:sz w:val="24"/>
          <w:szCs w:val="24"/>
        </w:rPr>
      </w:pPr>
    </w:p>
    <w:p w:rsidR="00D3450C" w:rsidRDefault="008D3059" w:rsidP="00606DA5">
      <w:pPr>
        <w:pStyle w:val="ListParagraph"/>
        <w:numPr>
          <w:ilvl w:val="0"/>
          <w:numId w:val="26"/>
        </w:numPr>
        <w:spacing w:line="360" w:lineRule="auto"/>
        <w:ind w:left="0" w:firstLine="1440"/>
        <w:rPr>
          <w:sz w:val="24"/>
          <w:szCs w:val="24"/>
        </w:rPr>
      </w:pPr>
      <w:r>
        <w:rPr>
          <w:sz w:val="24"/>
          <w:szCs w:val="24"/>
        </w:rPr>
        <w:t xml:space="preserve">That the Motion for Summary Judgment filed by Philadelphia Gas Works at Docket No. </w:t>
      </w:r>
      <w:r w:rsidR="00832224">
        <w:rPr>
          <w:sz w:val="24"/>
          <w:szCs w:val="24"/>
        </w:rPr>
        <w:t>C-2015-2494986</w:t>
      </w:r>
      <w:r>
        <w:rPr>
          <w:sz w:val="24"/>
          <w:szCs w:val="24"/>
        </w:rPr>
        <w:t xml:space="preserve"> is granted</w:t>
      </w:r>
      <w:r w:rsidR="00D3450C">
        <w:rPr>
          <w:sz w:val="24"/>
          <w:szCs w:val="24"/>
        </w:rPr>
        <w:t>.</w:t>
      </w:r>
    </w:p>
    <w:p w:rsidR="00D3450C" w:rsidRDefault="00D3450C" w:rsidP="00D3450C">
      <w:pPr>
        <w:pStyle w:val="ListParagraph"/>
        <w:spacing w:line="360" w:lineRule="auto"/>
        <w:ind w:left="1440"/>
        <w:rPr>
          <w:sz w:val="24"/>
          <w:szCs w:val="24"/>
        </w:rPr>
      </w:pPr>
    </w:p>
    <w:p w:rsidR="00272BD7" w:rsidRPr="00606DA5" w:rsidRDefault="00D3450C" w:rsidP="00606DA5">
      <w:pPr>
        <w:pStyle w:val="ListParagraph"/>
        <w:numPr>
          <w:ilvl w:val="0"/>
          <w:numId w:val="26"/>
        </w:numPr>
        <w:spacing w:line="360" w:lineRule="auto"/>
        <w:ind w:left="0" w:firstLine="1440"/>
        <w:rPr>
          <w:sz w:val="24"/>
          <w:szCs w:val="24"/>
        </w:rPr>
      </w:pPr>
      <w:r>
        <w:rPr>
          <w:sz w:val="24"/>
          <w:szCs w:val="24"/>
        </w:rPr>
        <w:t xml:space="preserve">That Philadelphia Gas Works’ </w:t>
      </w:r>
      <w:r w:rsidR="007F0D51">
        <w:rPr>
          <w:sz w:val="24"/>
          <w:szCs w:val="24"/>
        </w:rPr>
        <w:t xml:space="preserve">Preliminary Objections </w:t>
      </w:r>
      <w:r>
        <w:rPr>
          <w:sz w:val="24"/>
          <w:szCs w:val="24"/>
        </w:rPr>
        <w:t xml:space="preserve">and Motion to Strike </w:t>
      </w:r>
      <w:r w:rsidR="00F4540D">
        <w:rPr>
          <w:sz w:val="24"/>
          <w:szCs w:val="24"/>
        </w:rPr>
        <w:t xml:space="preserve">at Docket No. C-2015-2494986 </w:t>
      </w:r>
      <w:proofErr w:type="gramStart"/>
      <w:r w:rsidR="007F0D51">
        <w:rPr>
          <w:sz w:val="24"/>
          <w:szCs w:val="24"/>
        </w:rPr>
        <w:t>are</w:t>
      </w:r>
      <w:proofErr w:type="gramEnd"/>
      <w:r w:rsidR="007F0D51">
        <w:rPr>
          <w:sz w:val="24"/>
          <w:szCs w:val="24"/>
        </w:rPr>
        <w:t xml:space="preserve"> </w:t>
      </w:r>
      <w:r>
        <w:rPr>
          <w:sz w:val="24"/>
          <w:szCs w:val="24"/>
        </w:rPr>
        <w:t xml:space="preserve">denied </w:t>
      </w:r>
      <w:r w:rsidR="00F4540D">
        <w:rPr>
          <w:sz w:val="24"/>
          <w:szCs w:val="24"/>
        </w:rPr>
        <w:t xml:space="preserve">as </w:t>
      </w:r>
      <w:r w:rsidR="007F0D51">
        <w:rPr>
          <w:sz w:val="24"/>
          <w:szCs w:val="24"/>
        </w:rPr>
        <w:t>moot.</w:t>
      </w:r>
    </w:p>
    <w:p w:rsidR="00272BD7" w:rsidRDefault="00272BD7" w:rsidP="00272BD7">
      <w:pPr>
        <w:pStyle w:val="ListParagraph"/>
        <w:spacing w:line="360" w:lineRule="auto"/>
        <w:ind w:left="1440"/>
        <w:outlineLvl w:val="0"/>
        <w:rPr>
          <w:sz w:val="24"/>
          <w:szCs w:val="24"/>
        </w:rPr>
      </w:pPr>
    </w:p>
    <w:p w:rsidR="008D1CA9" w:rsidRPr="008A068A" w:rsidRDefault="00D3450C" w:rsidP="008A068A">
      <w:pPr>
        <w:pStyle w:val="ListParagraph"/>
        <w:numPr>
          <w:ilvl w:val="0"/>
          <w:numId w:val="26"/>
        </w:numPr>
        <w:spacing w:line="360" w:lineRule="auto"/>
        <w:ind w:left="0" w:firstLine="1440"/>
        <w:outlineLvl w:val="0"/>
        <w:rPr>
          <w:sz w:val="24"/>
          <w:szCs w:val="24"/>
        </w:rPr>
      </w:pPr>
      <w:r>
        <w:rPr>
          <w:sz w:val="24"/>
          <w:szCs w:val="24"/>
        </w:rPr>
        <w:t>That judgment is entered in favor of Philadelphia Gas Works at Docket No. C-2015-24986 and</w:t>
      </w:r>
      <w:r w:rsidR="008D3059">
        <w:rPr>
          <w:sz w:val="24"/>
          <w:szCs w:val="24"/>
        </w:rPr>
        <w:t xml:space="preserve"> the Formal Complaint of </w:t>
      </w:r>
      <w:r w:rsidR="00832224">
        <w:rPr>
          <w:sz w:val="24"/>
          <w:szCs w:val="24"/>
        </w:rPr>
        <w:t>Denise Jubilee</w:t>
      </w:r>
      <w:r w:rsidR="008D3059">
        <w:rPr>
          <w:sz w:val="24"/>
          <w:szCs w:val="24"/>
        </w:rPr>
        <w:t xml:space="preserve"> is denied and dismissed.</w:t>
      </w:r>
    </w:p>
    <w:p w:rsidR="00311AD2" w:rsidRDefault="00311AD2" w:rsidP="0081696C">
      <w:pPr>
        <w:spacing w:line="360" w:lineRule="auto"/>
        <w:ind w:firstLine="1440"/>
        <w:outlineLvl w:val="0"/>
        <w:rPr>
          <w:sz w:val="24"/>
          <w:szCs w:val="24"/>
        </w:rPr>
      </w:pPr>
    </w:p>
    <w:p w:rsidR="00541C4A" w:rsidRPr="00DD2411" w:rsidRDefault="00541C4A" w:rsidP="0081696C">
      <w:pPr>
        <w:spacing w:line="360" w:lineRule="auto"/>
        <w:ind w:firstLine="1440"/>
        <w:outlineLvl w:val="0"/>
        <w:rPr>
          <w:sz w:val="24"/>
          <w:szCs w:val="24"/>
        </w:rPr>
      </w:pPr>
    </w:p>
    <w:p w:rsidR="00541C4A" w:rsidRPr="00D0460E" w:rsidRDefault="00DE562E" w:rsidP="00541C4A">
      <w:pPr>
        <w:rPr>
          <w:sz w:val="24"/>
          <w:szCs w:val="24"/>
          <w:u w:val="single"/>
        </w:rPr>
      </w:pPr>
      <w:r w:rsidRPr="00DE562E">
        <w:rPr>
          <w:sz w:val="24"/>
          <w:szCs w:val="24"/>
        </w:rPr>
        <w:t>Date:</w:t>
      </w:r>
      <w:r w:rsidR="008D3059">
        <w:rPr>
          <w:sz w:val="24"/>
          <w:szCs w:val="24"/>
        </w:rPr>
        <w:t xml:space="preserve"> </w:t>
      </w:r>
      <w:r w:rsidR="001C5A7C">
        <w:rPr>
          <w:sz w:val="24"/>
          <w:szCs w:val="24"/>
        </w:rPr>
        <w:t xml:space="preserve"> </w:t>
      </w:r>
      <w:r w:rsidR="00F4540D">
        <w:rPr>
          <w:sz w:val="24"/>
          <w:szCs w:val="24"/>
          <w:u w:val="single"/>
        </w:rPr>
        <w:t>October 5, 2015</w:t>
      </w:r>
      <w:r w:rsidR="001F7F73">
        <w:rPr>
          <w:sz w:val="24"/>
          <w:szCs w:val="24"/>
        </w:rPr>
        <w:tab/>
      </w:r>
      <w:r w:rsidR="001F7F73">
        <w:rPr>
          <w:sz w:val="24"/>
          <w:szCs w:val="24"/>
        </w:rPr>
        <w:tab/>
      </w:r>
      <w:r w:rsidR="001F7F73">
        <w:rPr>
          <w:sz w:val="24"/>
          <w:szCs w:val="24"/>
        </w:rPr>
        <w:tab/>
      </w:r>
      <w:r w:rsidR="001F7F73">
        <w:rPr>
          <w:sz w:val="24"/>
          <w:szCs w:val="24"/>
        </w:rPr>
        <w:tab/>
      </w:r>
      <w:r w:rsidR="00D0460E">
        <w:rPr>
          <w:sz w:val="24"/>
          <w:szCs w:val="24"/>
          <w:u w:val="single"/>
        </w:rPr>
        <w:tab/>
      </w:r>
      <w:r w:rsidR="00D0460E">
        <w:rPr>
          <w:sz w:val="24"/>
          <w:szCs w:val="24"/>
          <w:u w:val="single"/>
        </w:rPr>
        <w:tab/>
        <w:t>/s/</w:t>
      </w:r>
      <w:r w:rsidR="00D0460E">
        <w:rPr>
          <w:sz w:val="24"/>
          <w:szCs w:val="24"/>
          <w:u w:val="single"/>
        </w:rPr>
        <w:tab/>
      </w:r>
      <w:r w:rsidR="00D0460E">
        <w:rPr>
          <w:sz w:val="24"/>
          <w:szCs w:val="24"/>
          <w:u w:val="single"/>
        </w:rPr>
        <w:tab/>
      </w:r>
      <w:r w:rsidR="00D0460E">
        <w:rPr>
          <w:sz w:val="24"/>
          <w:szCs w:val="24"/>
          <w:u w:val="single"/>
        </w:rPr>
        <w:tab/>
      </w:r>
    </w:p>
    <w:p w:rsidR="00DE562E" w:rsidRPr="00DE562E" w:rsidRDefault="001F7F73" w:rsidP="00DE562E">
      <w:pPr>
        <w:jc w:val="both"/>
        <w:rPr>
          <w:sz w:val="24"/>
          <w:szCs w:val="24"/>
        </w:rPr>
      </w:pPr>
      <w:r>
        <w:rPr>
          <w:sz w:val="24"/>
          <w:szCs w:val="24"/>
        </w:rPr>
        <w:tab/>
      </w:r>
      <w:r>
        <w:rPr>
          <w:sz w:val="24"/>
          <w:szCs w:val="24"/>
        </w:rPr>
        <w:tab/>
      </w:r>
      <w:r w:rsidR="00C21F78">
        <w:rPr>
          <w:b/>
          <w:sz w:val="24"/>
          <w:szCs w:val="24"/>
        </w:rPr>
        <w:tab/>
      </w:r>
      <w:r w:rsidR="00DE562E" w:rsidRPr="00DE562E">
        <w:rPr>
          <w:sz w:val="24"/>
          <w:szCs w:val="24"/>
        </w:rPr>
        <w:tab/>
      </w:r>
      <w:r w:rsidR="00DE562E" w:rsidRPr="00DE562E">
        <w:rPr>
          <w:sz w:val="24"/>
          <w:szCs w:val="24"/>
        </w:rPr>
        <w:tab/>
      </w:r>
      <w:r w:rsidR="007114E7">
        <w:rPr>
          <w:sz w:val="24"/>
          <w:szCs w:val="24"/>
        </w:rPr>
        <w:tab/>
      </w:r>
      <w:r w:rsidR="007114E7">
        <w:rPr>
          <w:sz w:val="24"/>
          <w:szCs w:val="24"/>
        </w:rPr>
        <w:tab/>
      </w:r>
      <w:r>
        <w:rPr>
          <w:sz w:val="24"/>
          <w:szCs w:val="24"/>
        </w:rPr>
        <w:t>E</w:t>
      </w:r>
      <w:r w:rsidR="00832224">
        <w:rPr>
          <w:sz w:val="24"/>
          <w:szCs w:val="24"/>
        </w:rPr>
        <w:t>lizabeth H. Barnes</w:t>
      </w:r>
    </w:p>
    <w:p w:rsidR="00CD2823" w:rsidRDefault="00DE562E" w:rsidP="00DD2411">
      <w:pPr>
        <w:jc w:val="both"/>
        <w:rPr>
          <w:sz w:val="24"/>
          <w:szCs w:val="24"/>
        </w:rPr>
      </w:pPr>
      <w:r w:rsidRPr="00DE562E">
        <w:rPr>
          <w:sz w:val="24"/>
          <w:szCs w:val="24"/>
        </w:rPr>
        <w:tab/>
      </w:r>
      <w:r w:rsidRPr="00DE562E">
        <w:rPr>
          <w:sz w:val="24"/>
          <w:szCs w:val="24"/>
        </w:rPr>
        <w:tab/>
      </w:r>
      <w:r w:rsidRPr="00DE562E">
        <w:rPr>
          <w:sz w:val="24"/>
          <w:szCs w:val="24"/>
        </w:rPr>
        <w:tab/>
      </w:r>
      <w:r w:rsidRPr="00DE562E">
        <w:rPr>
          <w:sz w:val="24"/>
          <w:szCs w:val="24"/>
        </w:rPr>
        <w:tab/>
      </w:r>
      <w:r w:rsidRPr="00DE562E">
        <w:rPr>
          <w:sz w:val="24"/>
          <w:szCs w:val="24"/>
        </w:rPr>
        <w:tab/>
      </w:r>
      <w:r w:rsidR="007114E7">
        <w:rPr>
          <w:sz w:val="24"/>
          <w:szCs w:val="24"/>
        </w:rPr>
        <w:tab/>
      </w:r>
      <w:r w:rsidR="007114E7">
        <w:rPr>
          <w:sz w:val="24"/>
          <w:szCs w:val="24"/>
        </w:rPr>
        <w:tab/>
      </w:r>
      <w:r w:rsidRPr="00DE562E">
        <w:rPr>
          <w:sz w:val="24"/>
          <w:szCs w:val="24"/>
        </w:rPr>
        <w:t>Administrative Law Judge</w:t>
      </w:r>
    </w:p>
    <w:sectPr w:rsidR="00CD2823" w:rsidSect="00606DA5">
      <w:footerReference w:type="even" r:id="rId9"/>
      <w:footerReference w:type="default" r:id="rId10"/>
      <w:pgSz w:w="12240" w:h="15840" w:code="1"/>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711" w:rsidRDefault="00303711">
      <w:r>
        <w:separator/>
      </w:r>
    </w:p>
  </w:endnote>
  <w:endnote w:type="continuationSeparator" w:id="0">
    <w:p w:rsidR="00303711" w:rsidRDefault="00303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F1B" w:rsidRDefault="00433F1B" w:rsidP="002811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33F1B" w:rsidRDefault="00433F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F1B" w:rsidRPr="0028114B" w:rsidRDefault="00433F1B"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Pr="0028114B">
      <w:rPr>
        <w:rStyle w:val="PageNumber"/>
        <w:sz w:val="20"/>
        <w:szCs w:val="20"/>
      </w:rPr>
      <w:instrText xml:space="preserve">PAGE  </w:instrText>
    </w:r>
    <w:r w:rsidRPr="0028114B">
      <w:rPr>
        <w:rStyle w:val="PageNumber"/>
        <w:sz w:val="20"/>
        <w:szCs w:val="20"/>
      </w:rPr>
      <w:fldChar w:fldCharType="separate"/>
    </w:r>
    <w:r w:rsidR="00F4540D">
      <w:rPr>
        <w:rStyle w:val="PageNumber"/>
        <w:noProof/>
        <w:sz w:val="20"/>
        <w:szCs w:val="20"/>
      </w:rPr>
      <w:t>6</w:t>
    </w:r>
    <w:r w:rsidRPr="0028114B">
      <w:rPr>
        <w:rStyle w:val="PageNumber"/>
        <w:sz w:val="20"/>
        <w:szCs w:val="20"/>
      </w:rPr>
      <w:fldChar w:fldCharType="end"/>
    </w:r>
  </w:p>
  <w:p w:rsidR="00433F1B" w:rsidRDefault="00433F1B"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711" w:rsidRDefault="00303711">
      <w:r>
        <w:separator/>
      </w:r>
    </w:p>
  </w:footnote>
  <w:footnote w:type="continuationSeparator" w:id="0">
    <w:p w:rsidR="00303711" w:rsidRDefault="00303711">
      <w:r>
        <w:continuationSeparator/>
      </w:r>
    </w:p>
  </w:footnote>
  <w:footnote w:id="1">
    <w:p w:rsidR="00433F1B" w:rsidRDefault="00433F1B">
      <w:pPr>
        <w:pStyle w:val="FootnoteText"/>
      </w:pPr>
      <w:r>
        <w:rPr>
          <w:rStyle w:val="FootnoteReference"/>
        </w:rPr>
        <w:footnoteRef/>
      </w:r>
      <w:r>
        <w:t xml:space="preserve"> </w:t>
      </w:r>
      <w:r w:rsidR="00606DA5">
        <w:tab/>
      </w:r>
      <w:r>
        <w:t>PGW filed simultaneous motions, one for summary judgment and one as preliminary objections.  Both motions raised the same issue, i.e., the statute of limitations.  I have addressed the Motion for Summary Judgment, and the Preliminary Objections are moot.</w:t>
      </w:r>
    </w:p>
  </w:footnote>
  <w:footnote w:id="2">
    <w:p w:rsidR="00272BD7" w:rsidRPr="00E2446D" w:rsidRDefault="00272BD7" w:rsidP="00272BD7">
      <w:pPr>
        <w:rPr>
          <w:sz w:val="20"/>
          <w:szCs w:val="20"/>
        </w:rPr>
      </w:pPr>
      <w:r w:rsidRPr="00E2446D">
        <w:rPr>
          <w:rStyle w:val="FootnoteReference"/>
          <w:sz w:val="20"/>
          <w:szCs w:val="20"/>
        </w:rPr>
        <w:footnoteRef/>
      </w:r>
      <w:r w:rsidRPr="00E2446D">
        <w:rPr>
          <w:sz w:val="20"/>
          <w:szCs w:val="20"/>
        </w:rPr>
        <w:t xml:space="preserve"> </w:t>
      </w:r>
      <w:r w:rsidRPr="00E2446D">
        <w:rPr>
          <w:sz w:val="20"/>
          <w:szCs w:val="20"/>
        </w:rPr>
        <w:tab/>
        <w:t xml:space="preserve">The procedure which the City must follow to establish a lien on a specific property, such as the Premises, is set forth in the Municipal Claim and Tax Lien Law.  See, 53 P.S. §§ 7106(b), (c), 7143.  The lien is docketed with the Prothonotary (a clerk of the court) and maintained in an in rem index (an index maintained by property identification rather than by party name).  See, 53 P.S. § 7106(b).  Enforcement of the lien is a judicial procedure controlled by the Court of Common Pleas, with due process safeguards provided to protect the rights of interested parties.  See, </w:t>
      </w:r>
      <w:r w:rsidRPr="00E2446D">
        <w:rPr>
          <w:i/>
          <w:sz w:val="20"/>
          <w:szCs w:val="20"/>
        </w:rPr>
        <w:t>Newberry Twp. v. Stambaugh</w:t>
      </w:r>
      <w:r w:rsidRPr="00E2446D">
        <w:rPr>
          <w:sz w:val="20"/>
          <w:szCs w:val="20"/>
        </w:rPr>
        <w:t>, 848 A.2d 173 (Pa.Cmwlth. 2004), app. denied, 580 Pa. 708, 860 A.2d 491 (2004), 53 P.S. §§ 7106(c), 7283.  Ultimate recovery of the amount of the municipal claims resulting in the lien is effectuated by a court ordered sheriff’s sale.  53 P.S. § 7283.</w:t>
      </w:r>
    </w:p>
    <w:p w:rsidR="00272BD7" w:rsidRPr="00606DA5" w:rsidRDefault="00272BD7" w:rsidP="00606DA5">
      <w:pPr>
        <w:ind w:firstLine="720"/>
        <w:rPr>
          <w:sz w:val="20"/>
          <w:szCs w:val="20"/>
        </w:rPr>
      </w:pPr>
      <w:r w:rsidRPr="00E2446D">
        <w:rPr>
          <w:sz w:val="20"/>
          <w:szCs w:val="20"/>
        </w:rPr>
        <w:t xml:space="preserve">The proceeding to obtain and enforce the City’s municipal claim lien is an </w:t>
      </w:r>
      <w:r w:rsidRPr="00E2446D">
        <w:rPr>
          <w:i/>
          <w:sz w:val="20"/>
          <w:szCs w:val="20"/>
        </w:rPr>
        <w:t>in rem</w:t>
      </w:r>
      <w:r w:rsidRPr="00E2446D">
        <w:rPr>
          <w:sz w:val="20"/>
          <w:szCs w:val="20"/>
        </w:rPr>
        <w:t xml:space="preserve"> proceeding.  “Accordingly, the lien is either valid or invalid as to the property in question rather than as to the respective property interests involved.”  </w:t>
      </w:r>
      <w:r w:rsidRPr="00E2446D">
        <w:rPr>
          <w:i/>
          <w:sz w:val="20"/>
          <w:szCs w:val="20"/>
        </w:rPr>
        <w:t>Borough of Towanda v. Brannaka</w:t>
      </w:r>
      <w:r w:rsidRPr="00E2446D">
        <w:rPr>
          <w:sz w:val="20"/>
          <w:szCs w:val="20"/>
        </w:rPr>
        <w:t xml:space="preserve">, 61 Pa.Cmwlth. </w:t>
      </w:r>
      <w:proofErr w:type="gramStart"/>
      <w:r w:rsidRPr="00E2446D">
        <w:rPr>
          <w:sz w:val="20"/>
          <w:szCs w:val="20"/>
        </w:rPr>
        <w:t>622; 625-626, 434 A.2d 889; 891 (1981).</w:t>
      </w:r>
      <w:proofErr w:type="gramEnd"/>
      <w:r w:rsidRPr="00E2446D">
        <w:rPr>
          <w:sz w:val="20"/>
          <w:szCs w:val="20"/>
        </w:rPr>
        <w:t xml:space="preserve">  What this means is </w:t>
      </w:r>
      <w:proofErr w:type="gramStart"/>
      <w:r w:rsidRPr="00E2446D">
        <w:rPr>
          <w:sz w:val="20"/>
          <w:szCs w:val="20"/>
        </w:rPr>
        <w:t>that the</w:t>
      </w:r>
      <w:proofErr w:type="gramEnd"/>
      <w:r w:rsidRPr="00E2446D">
        <w:rPr>
          <w:sz w:val="20"/>
          <w:szCs w:val="20"/>
        </w:rPr>
        <w:t xml:space="preserve"> Premises, not complainant nor her tenant, is responsible for satisfying the claim secured by the municipal lien.  No personal responsibility is asserted against the complainant by the filing of the lien on the Premises.  </w:t>
      </w:r>
      <w:proofErr w:type="gramStart"/>
      <w:r w:rsidRPr="00E2446D">
        <w:rPr>
          <w:i/>
          <w:sz w:val="20"/>
          <w:szCs w:val="20"/>
        </w:rPr>
        <w:t>Philadelphia v. Northwood Textile Mills, Inc.</w:t>
      </w:r>
      <w:r w:rsidRPr="00E2446D">
        <w:rPr>
          <w:sz w:val="20"/>
          <w:szCs w:val="20"/>
        </w:rPr>
        <w:t>, 395 Pa. 112, 149 A.2d 60 (1959).</w:t>
      </w:r>
      <w:proofErr w:type="gramEnd"/>
      <w:r w:rsidRPr="00E2446D">
        <w:rPr>
          <w:sz w:val="20"/>
          <w:szCs w:val="20"/>
        </w:rPr>
        <w:t xml:space="preserve">  See, also, </w:t>
      </w:r>
      <w:r w:rsidRPr="00E2446D">
        <w:rPr>
          <w:i/>
          <w:sz w:val="20"/>
          <w:szCs w:val="20"/>
        </w:rPr>
        <w:t xml:space="preserve">Ransom v. </w:t>
      </w:r>
      <w:proofErr w:type="spellStart"/>
      <w:r w:rsidRPr="00E2446D">
        <w:rPr>
          <w:i/>
          <w:sz w:val="20"/>
          <w:szCs w:val="20"/>
        </w:rPr>
        <w:t>Marrazzo</w:t>
      </w:r>
      <w:proofErr w:type="spellEnd"/>
      <w:r w:rsidRPr="00E2446D">
        <w:rPr>
          <w:sz w:val="20"/>
          <w:szCs w:val="20"/>
        </w:rPr>
        <w:t>, 848 F.2d 398 (3d Cir. 1988).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16571BB"/>
    <w:multiLevelType w:val="hybridMultilevel"/>
    <w:tmpl w:val="BFD24F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553473C"/>
    <w:multiLevelType w:val="hybridMultilevel"/>
    <w:tmpl w:val="36301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D34DB9"/>
    <w:multiLevelType w:val="hybridMultilevel"/>
    <w:tmpl w:val="F6C48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34A26945"/>
    <w:multiLevelType w:val="hybridMultilevel"/>
    <w:tmpl w:val="8696CE68"/>
    <w:lvl w:ilvl="0" w:tplc="2150474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7BC70D1"/>
    <w:multiLevelType w:val="hybridMultilevel"/>
    <w:tmpl w:val="3E12A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066D07"/>
    <w:multiLevelType w:val="hybridMultilevel"/>
    <w:tmpl w:val="05249E4E"/>
    <w:lvl w:ilvl="0" w:tplc="DC5066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462A0403"/>
    <w:multiLevelType w:val="hybridMultilevel"/>
    <w:tmpl w:val="0F1CE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20">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4">
    <w:nsid w:val="63E05298"/>
    <w:multiLevelType w:val="hybridMultilevel"/>
    <w:tmpl w:val="A5A2DFE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72644860"/>
    <w:multiLevelType w:val="hybridMultilevel"/>
    <w:tmpl w:val="AA2CD5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nsid w:val="7889787C"/>
    <w:multiLevelType w:val="hybridMultilevel"/>
    <w:tmpl w:val="555AE3FE"/>
    <w:lvl w:ilvl="0" w:tplc="DC506610">
      <w:start w:val="1"/>
      <w:numFmt w:val="decimal"/>
      <w:lvlText w:val="%1."/>
      <w:lvlJc w:val="left"/>
      <w:pPr>
        <w:ind w:left="5040" w:hanging="2160"/>
      </w:pPr>
      <w:rPr>
        <w:rFonts w:hint="default"/>
      </w:rPr>
    </w:lvl>
    <w:lvl w:ilvl="1" w:tplc="04090019" w:tentative="1">
      <w:start w:val="1"/>
      <w:numFmt w:val="lowerLetter"/>
      <w:lvlText w:val="%2."/>
      <w:lvlJc w:val="left"/>
      <w:pPr>
        <w:ind w:left="2880" w:hanging="360"/>
      </w:pPr>
    </w:lvl>
    <w:lvl w:ilvl="2" w:tplc="DA3CCC9E">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22"/>
  </w:num>
  <w:num w:numId="3">
    <w:abstractNumId w:val="19"/>
  </w:num>
  <w:num w:numId="4">
    <w:abstractNumId w:val="2"/>
  </w:num>
  <w:num w:numId="5">
    <w:abstractNumId w:val="15"/>
  </w:num>
  <w:num w:numId="6">
    <w:abstractNumId w:val="9"/>
  </w:num>
  <w:num w:numId="7">
    <w:abstractNumId w:val="7"/>
  </w:num>
  <w:num w:numId="8">
    <w:abstractNumId w:val="0"/>
  </w:num>
  <w:num w:numId="9">
    <w:abstractNumId w:val="16"/>
  </w:num>
  <w:num w:numId="10">
    <w:abstractNumId w:val="20"/>
  </w:num>
  <w:num w:numId="11">
    <w:abstractNumId w:val="17"/>
  </w:num>
  <w:num w:numId="12">
    <w:abstractNumId w:val="28"/>
  </w:num>
  <w:num w:numId="13">
    <w:abstractNumId w:val="1"/>
  </w:num>
  <w:num w:numId="14">
    <w:abstractNumId w:val="8"/>
  </w:num>
  <w:num w:numId="15">
    <w:abstractNumId w:val="23"/>
  </w:num>
  <w:num w:numId="16">
    <w:abstractNumId w:val="26"/>
  </w:num>
  <w:num w:numId="17">
    <w:abstractNumId w:val="10"/>
  </w:num>
  <w:num w:numId="18">
    <w:abstractNumId w:val="4"/>
  </w:num>
  <w:num w:numId="19">
    <w:abstractNumId w:val="21"/>
  </w:num>
  <w:num w:numId="20">
    <w:abstractNumId w:val="3"/>
  </w:num>
  <w:num w:numId="21">
    <w:abstractNumId w:val="6"/>
  </w:num>
  <w:num w:numId="22">
    <w:abstractNumId w:val="13"/>
  </w:num>
  <w:num w:numId="23">
    <w:abstractNumId w:val="14"/>
  </w:num>
  <w:num w:numId="24">
    <w:abstractNumId w:val="27"/>
  </w:num>
  <w:num w:numId="25">
    <w:abstractNumId w:val="25"/>
  </w:num>
  <w:num w:numId="26">
    <w:abstractNumId w:val="24"/>
  </w:num>
  <w:num w:numId="27">
    <w:abstractNumId w:val="5"/>
  </w:num>
  <w:num w:numId="28">
    <w:abstractNumId w:val="18"/>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03ED9"/>
    <w:rsid w:val="00020AB1"/>
    <w:rsid w:val="00022997"/>
    <w:rsid w:val="00022D67"/>
    <w:rsid w:val="0002512E"/>
    <w:rsid w:val="00025523"/>
    <w:rsid w:val="00034A86"/>
    <w:rsid w:val="00035C05"/>
    <w:rsid w:val="00035E78"/>
    <w:rsid w:val="000376EF"/>
    <w:rsid w:val="00042626"/>
    <w:rsid w:val="00055A89"/>
    <w:rsid w:val="000573C2"/>
    <w:rsid w:val="00064F92"/>
    <w:rsid w:val="0006610A"/>
    <w:rsid w:val="0006622C"/>
    <w:rsid w:val="00070E25"/>
    <w:rsid w:val="0007126E"/>
    <w:rsid w:val="000728A4"/>
    <w:rsid w:val="00075A22"/>
    <w:rsid w:val="00082976"/>
    <w:rsid w:val="00091672"/>
    <w:rsid w:val="00091CE2"/>
    <w:rsid w:val="00093DB9"/>
    <w:rsid w:val="000967DB"/>
    <w:rsid w:val="000A001F"/>
    <w:rsid w:val="000A1CB9"/>
    <w:rsid w:val="000A20A3"/>
    <w:rsid w:val="000B5F6A"/>
    <w:rsid w:val="000C6F32"/>
    <w:rsid w:val="000D2CE8"/>
    <w:rsid w:val="000E0BD8"/>
    <w:rsid w:val="000E277A"/>
    <w:rsid w:val="000E2934"/>
    <w:rsid w:val="000E6B17"/>
    <w:rsid w:val="000F0833"/>
    <w:rsid w:val="000F1894"/>
    <w:rsid w:val="000F1F62"/>
    <w:rsid w:val="000F2F0A"/>
    <w:rsid w:val="000F6118"/>
    <w:rsid w:val="0010177F"/>
    <w:rsid w:val="001027AA"/>
    <w:rsid w:val="00110C23"/>
    <w:rsid w:val="00111EA9"/>
    <w:rsid w:val="001122A9"/>
    <w:rsid w:val="001155B6"/>
    <w:rsid w:val="00116136"/>
    <w:rsid w:val="001241CB"/>
    <w:rsid w:val="00125871"/>
    <w:rsid w:val="00126207"/>
    <w:rsid w:val="001312A6"/>
    <w:rsid w:val="00133E45"/>
    <w:rsid w:val="00134E8D"/>
    <w:rsid w:val="001404C5"/>
    <w:rsid w:val="00141DF5"/>
    <w:rsid w:val="00143C49"/>
    <w:rsid w:val="00144488"/>
    <w:rsid w:val="00147DEE"/>
    <w:rsid w:val="00152C6B"/>
    <w:rsid w:val="0015646C"/>
    <w:rsid w:val="00161F29"/>
    <w:rsid w:val="001620CA"/>
    <w:rsid w:val="00162898"/>
    <w:rsid w:val="00176F82"/>
    <w:rsid w:val="0018160C"/>
    <w:rsid w:val="00186A08"/>
    <w:rsid w:val="00187B87"/>
    <w:rsid w:val="001930DE"/>
    <w:rsid w:val="00193B6C"/>
    <w:rsid w:val="001A4CC0"/>
    <w:rsid w:val="001A721E"/>
    <w:rsid w:val="001B123C"/>
    <w:rsid w:val="001B3235"/>
    <w:rsid w:val="001C20B7"/>
    <w:rsid w:val="001C5A7C"/>
    <w:rsid w:val="001C5F11"/>
    <w:rsid w:val="001C715B"/>
    <w:rsid w:val="001D3206"/>
    <w:rsid w:val="001D5360"/>
    <w:rsid w:val="001D5BA0"/>
    <w:rsid w:val="001D6FCF"/>
    <w:rsid w:val="001E4FAC"/>
    <w:rsid w:val="001E58BF"/>
    <w:rsid w:val="001F0787"/>
    <w:rsid w:val="001F08B4"/>
    <w:rsid w:val="001F2116"/>
    <w:rsid w:val="001F6FC1"/>
    <w:rsid w:val="001F7BE4"/>
    <w:rsid w:val="001F7F73"/>
    <w:rsid w:val="0020095D"/>
    <w:rsid w:val="00215221"/>
    <w:rsid w:val="00220C5E"/>
    <w:rsid w:val="00223E7E"/>
    <w:rsid w:val="00231562"/>
    <w:rsid w:val="00234619"/>
    <w:rsid w:val="0023520D"/>
    <w:rsid w:val="00235C44"/>
    <w:rsid w:val="00236FF7"/>
    <w:rsid w:val="002416AB"/>
    <w:rsid w:val="0024496F"/>
    <w:rsid w:val="00244D86"/>
    <w:rsid w:val="00251D19"/>
    <w:rsid w:val="0025370D"/>
    <w:rsid w:val="00260D19"/>
    <w:rsid w:val="00263BA2"/>
    <w:rsid w:val="00272BD7"/>
    <w:rsid w:val="002732DC"/>
    <w:rsid w:val="0028114B"/>
    <w:rsid w:val="0028185A"/>
    <w:rsid w:val="00290918"/>
    <w:rsid w:val="002919C6"/>
    <w:rsid w:val="00293557"/>
    <w:rsid w:val="002959E3"/>
    <w:rsid w:val="002A7C1C"/>
    <w:rsid w:val="002B19D4"/>
    <w:rsid w:val="002B3489"/>
    <w:rsid w:val="002B4EAE"/>
    <w:rsid w:val="002C3FDE"/>
    <w:rsid w:val="002C486F"/>
    <w:rsid w:val="002C5356"/>
    <w:rsid w:val="002D13C5"/>
    <w:rsid w:val="002D554B"/>
    <w:rsid w:val="002E0985"/>
    <w:rsid w:val="002F66F9"/>
    <w:rsid w:val="002F6BC1"/>
    <w:rsid w:val="00300A0A"/>
    <w:rsid w:val="00300CB7"/>
    <w:rsid w:val="00300F91"/>
    <w:rsid w:val="0030207C"/>
    <w:rsid w:val="00303711"/>
    <w:rsid w:val="00306B0D"/>
    <w:rsid w:val="00311AD2"/>
    <w:rsid w:val="003129F7"/>
    <w:rsid w:val="00312E1C"/>
    <w:rsid w:val="00317B5C"/>
    <w:rsid w:val="00323AAE"/>
    <w:rsid w:val="00324F3E"/>
    <w:rsid w:val="0033043C"/>
    <w:rsid w:val="0033647C"/>
    <w:rsid w:val="00337C53"/>
    <w:rsid w:val="00340AB8"/>
    <w:rsid w:val="003421E0"/>
    <w:rsid w:val="0034312D"/>
    <w:rsid w:val="00346E30"/>
    <w:rsid w:val="00351185"/>
    <w:rsid w:val="003539D2"/>
    <w:rsid w:val="00354E6F"/>
    <w:rsid w:val="0035737A"/>
    <w:rsid w:val="003657A8"/>
    <w:rsid w:val="00380450"/>
    <w:rsid w:val="00380AD7"/>
    <w:rsid w:val="00382B1A"/>
    <w:rsid w:val="003857DF"/>
    <w:rsid w:val="00386CDC"/>
    <w:rsid w:val="00392382"/>
    <w:rsid w:val="00394493"/>
    <w:rsid w:val="003959AC"/>
    <w:rsid w:val="00395E03"/>
    <w:rsid w:val="00396DE1"/>
    <w:rsid w:val="003A167D"/>
    <w:rsid w:val="003B715B"/>
    <w:rsid w:val="003C050F"/>
    <w:rsid w:val="003C0716"/>
    <w:rsid w:val="003C3664"/>
    <w:rsid w:val="003C7143"/>
    <w:rsid w:val="003D139F"/>
    <w:rsid w:val="003D15FA"/>
    <w:rsid w:val="003D7EC6"/>
    <w:rsid w:val="003E292B"/>
    <w:rsid w:val="003E594B"/>
    <w:rsid w:val="003F3119"/>
    <w:rsid w:val="003F4B4A"/>
    <w:rsid w:val="003F5796"/>
    <w:rsid w:val="003F5965"/>
    <w:rsid w:val="003F69BF"/>
    <w:rsid w:val="004006D9"/>
    <w:rsid w:val="00402359"/>
    <w:rsid w:val="004064A8"/>
    <w:rsid w:val="004107FD"/>
    <w:rsid w:val="00412B37"/>
    <w:rsid w:val="00417087"/>
    <w:rsid w:val="0042160A"/>
    <w:rsid w:val="0042193A"/>
    <w:rsid w:val="00422E29"/>
    <w:rsid w:val="00424A76"/>
    <w:rsid w:val="00427E73"/>
    <w:rsid w:val="004312BE"/>
    <w:rsid w:val="00431BEF"/>
    <w:rsid w:val="00433F1B"/>
    <w:rsid w:val="00435CC3"/>
    <w:rsid w:val="00442854"/>
    <w:rsid w:val="0046339D"/>
    <w:rsid w:val="00476C8A"/>
    <w:rsid w:val="00486535"/>
    <w:rsid w:val="00490174"/>
    <w:rsid w:val="004917C1"/>
    <w:rsid w:val="00491C99"/>
    <w:rsid w:val="00495450"/>
    <w:rsid w:val="00495B88"/>
    <w:rsid w:val="004A1805"/>
    <w:rsid w:val="004A5AD6"/>
    <w:rsid w:val="004C3EFA"/>
    <w:rsid w:val="004D1B54"/>
    <w:rsid w:val="004D3108"/>
    <w:rsid w:val="004D46FD"/>
    <w:rsid w:val="004D65F3"/>
    <w:rsid w:val="004D6E92"/>
    <w:rsid w:val="004E187E"/>
    <w:rsid w:val="004E20CB"/>
    <w:rsid w:val="004E2912"/>
    <w:rsid w:val="004E533F"/>
    <w:rsid w:val="004F2D3D"/>
    <w:rsid w:val="005032B5"/>
    <w:rsid w:val="00515937"/>
    <w:rsid w:val="00517AD1"/>
    <w:rsid w:val="00523780"/>
    <w:rsid w:val="00526B2A"/>
    <w:rsid w:val="00530D1B"/>
    <w:rsid w:val="00531226"/>
    <w:rsid w:val="00531409"/>
    <w:rsid w:val="00535DF7"/>
    <w:rsid w:val="00541C4A"/>
    <w:rsid w:val="00542107"/>
    <w:rsid w:val="00553EEB"/>
    <w:rsid w:val="00564C41"/>
    <w:rsid w:val="0056706A"/>
    <w:rsid w:val="00580F2E"/>
    <w:rsid w:val="00582896"/>
    <w:rsid w:val="00584798"/>
    <w:rsid w:val="0059070D"/>
    <w:rsid w:val="00592C86"/>
    <w:rsid w:val="005A33D0"/>
    <w:rsid w:val="005B13B6"/>
    <w:rsid w:val="005B250B"/>
    <w:rsid w:val="005B3C00"/>
    <w:rsid w:val="005B6749"/>
    <w:rsid w:val="005B7834"/>
    <w:rsid w:val="005C28EC"/>
    <w:rsid w:val="005D19C4"/>
    <w:rsid w:val="005D269F"/>
    <w:rsid w:val="005D2DEE"/>
    <w:rsid w:val="005D4D0C"/>
    <w:rsid w:val="005E2068"/>
    <w:rsid w:val="005E3007"/>
    <w:rsid w:val="005E6321"/>
    <w:rsid w:val="005E6C27"/>
    <w:rsid w:val="005F17F5"/>
    <w:rsid w:val="005F38EC"/>
    <w:rsid w:val="005F3B50"/>
    <w:rsid w:val="005F452A"/>
    <w:rsid w:val="006034D3"/>
    <w:rsid w:val="00606DA5"/>
    <w:rsid w:val="0062087D"/>
    <w:rsid w:val="006215E0"/>
    <w:rsid w:val="006306EB"/>
    <w:rsid w:val="00634A5C"/>
    <w:rsid w:val="006352B9"/>
    <w:rsid w:val="00641596"/>
    <w:rsid w:val="0064329B"/>
    <w:rsid w:val="006441F5"/>
    <w:rsid w:val="00644E60"/>
    <w:rsid w:val="00645B55"/>
    <w:rsid w:val="00652C21"/>
    <w:rsid w:val="0066237B"/>
    <w:rsid w:val="006656FC"/>
    <w:rsid w:val="00675607"/>
    <w:rsid w:val="00675986"/>
    <w:rsid w:val="00695694"/>
    <w:rsid w:val="006A21C2"/>
    <w:rsid w:val="006A3B47"/>
    <w:rsid w:val="006A7330"/>
    <w:rsid w:val="006A7A0A"/>
    <w:rsid w:val="006C1047"/>
    <w:rsid w:val="006C3226"/>
    <w:rsid w:val="006D4B5F"/>
    <w:rsid w:val="006D4BB7"/>
    <w:rsid w:val="006D75BD"/>
    <w:rsid w:val="006E4407"/>
    <w:rsid w:val="006F44F9"/>
    <w:rsid w:val="007015FC"/>
    <w:rsid w:val="007114E7"/>
    <w:rsid w:val="0071588F"/>
    <w:rsid w:val="0073239A"/>
    <w:rsid w:val="00736D34"/>
    <w:rsid w:val="0073727C"/>
    <w:rsid w:val="00744AF3"/>
    <w:rsid w:val="00747E56"/>
    <w:rsid w:val="00751672"/>
    <w:rsid w:val="0075510C"/>
    <w:rsid w:val="00766C8E"/>
    <w:rsid w:val="0077255F"/>
    <w:rsid w:val="00775593"/>
    <w:rsid w:val="00782A08"/>
    <w:rsid w:val="00786153"/>
    <w:rsid w:val="00790EF3"/>
    <w:rsid w:val="00791ABB"/>
    <w:rsid w:val="00792C70"/>
    <w:rsid w:val="007965B0"/>
    <w:rsid w:val="00797F03"/>
    <w:rsid w:val="007A02C9"/>
    <w:rsid w:val="007A49B5"/>
    <w:rsid w:val="007B1672"/>
    <w:rsid w:val="007B1D2D"/>
    <w:rsid w:val="007B46F9"/>
    <w:rsid w:val="007B6CFE"/>
    <w:rsid w:val="007C36CE"/>
    <w:rsid w:val="007C74E3"/>
    <w:rsid w:val="007D3E3E"/>
    <w:rsid w:val="007D6063"/>
    <w:rsid w:val="007E09E5"/>
    <w:rsid w:val="007E31DB"/>
    <w:rsid w:val="007E7345"/>
    <w:rsid w:val="007E7871"/>
    <w:rsid w:val="007F0D51"/>
    <w:rsid w:val="007F4160"/>
    <w:rsid w:val="00801DEE"/>
    <w:rsid w:val="00803141"/>
    <w:rsid w:val="0081070B"/>
    <w:rsid w:val="008142EB"/>
    <w:rsid w:val="0081669B"/>
    <w:rsid w:val="0081696C"/>
    <w:rsid w:val="008228F3"/>
    <w:rsid w:val="00823F91"/>
    <w:rsid w:val="00824683"/>
    <w:rsid w:val="00832224"/>
    <w:rsid w:val="008354C5"/>
    <w:rsid w:val="0083691D"/>
    <w:rsid w:val="008378B3"/>
    <w:rsid w:val="00840FD3"/>
    <w:rsid w:val="00841779"/>
    <w:rsid w:val="008506A0"/>
    <w:rsid w:val="00851A4F"/>
    <w:rsid w:val="008651DD"/>
    <w:rsid w:val="00866264"/>
    <w:rsid w:val="008663C0"/>
    <w:rsid w:val="008746E1"/>
    <w:rsid w:val="0087572C"/>
    <w:rsid w:val="00876F47"/>
    <w:rsid w:val="008803F7"/>
    <w:rsid w:val="00881C76"/>
    <w:rsid w:val="0088763C"/>
    <w:rsid w:val="00893B0E"/>
    <w:rsid w:val="00893F0B"/>
    <w:rsid w:val="00894839"/>
    <w:rsid w:val="0089761B"/>
    <w:rsid w:val="008A0235"/>
    <w:rsid w:val="008A068A"/>
    <w:rsid w:val="008A60E2"/>
    <w:rsid w:val="008B1A8B"/>
    <w:rsid w:val="008B282A"/>
    <w:rsid w:val="008B2B8B"/>
    <w:rsid w:val="008C594A"/>
    <w:rsid w:val="008D1CA9"/>
    <w:rsid w:val="008D3059"/>
    <w:rsid w:val="008D6448"/>
    <w:rsid w:val="008D6D09"/>
    <w:rsid w:val="008D761F"/>
    <w:rsid w:val="008E3BE1"/>
    <w:rsid w:val="008E5A53"/>
    <w:rsid w:val="008F013A"/>
    <w:rsid w:val="008F22F9"/>
    <w:rsid w:val="008F2B35"/>
    <w:rsid w:val="008F554F"/>
    <w:rsid w:val="008F6257"/>
    <w:rsid w:val="008F6AC3"/>
    <w:rsid w:val="009077E3"/>
    <w:rsid w:val="00910EF2"/>
    <w:rsid w:val="00913B17"/>
    <w:rsid w:val="009166DD"/>
    <w:rsid w:val="0091672D"/>
    <w:rsid w:val="00922FE6"/>
    <w:rsid w:val="009319E3"/>
    <w:rsid w:val="009342E4"/>
    <w:rsid w:val="009445E9"/>
    <w:rsid w:val="009634B4"/>
    <w:rsid w:val="009643E3"/>
    <w:rsid w:val="009649FC"/>
    <w:rsid w:val="00965F82"/>
    <w:rsid w:val="0097140B"/>
    <w:rsid w:val="009779C7"/>
    <w:rsid w:val="0098237A"/>
    <w:rsid w:val="00982B8E"/>
    <w:rsid w:val="009830C8"/>
    <w:rsid w:val="00983B9A"/>
    <w:rsid w:val="00984A3E"/>
    <w:rsid w:val="009870EF"/>
    <w:rsid w:val="009877CF"/>
    <w:rsid w:val="00987B98"/>
    <w:rsid w:val="00995E0A"/>
    <w:rsid w:val="009A475D"/>
    <w:rsid w:val="009A5C49"/>
    <w:rsid w:val="009B1C06"/>
    <w:rsid w:val="009C22D0"/>
    <w:rsid w:val="009D5A08"/>
    <w:rsid w:val="009E69A1"/>
    <w:rsid w:val="009F24FB"/>
    <w:rsid w:val="009F4939"/>
    <w:rsid w:val="009F620C"/>
    <w:rsid w:val="009F7BD8"/>
    <w:rsid w:val="00A022C7"/>
    <w:rsid w:val="00A02D20"/>
    <w:rsid w:val="00A0627A"/>
    <w:rsid w:val="00A22653"/>
    <w:rsid w:val="00A23BC5"/>
    <w:rsid w:val="00A24F45"/>
    <w:rsid w:val="00A26D2F"/>
    <w:rsid w:val="00A345AE"/>
    <w:rsid w:val="00A409B8"/>
    <w:rsid w:val="00A436D9"/>
    <w:rsid w:val="00A4383B"/>
    <w:rsid w:val="00A470ED"/>
    <w:rsid w:val="00A475EE"/>
    <w:rsid w:val="00A523A9"/>
    <w:rsid w:val="00A52E9C"/>
    <w:rsid w:val="00A55A2A"/>
    <w:rsid w:val="00A67786"/>
    <w:rsid w:val="00A67C1E"/>
    <w:rsid w:val="00A7050E"/>
    <w:rsid w:val="00A761ED"/>
    <w:rsid w:val="00A76B1D"/>
    <w:rsid w:val="00A86505"/>
    <w:rsid w:val="00AA00A9"/>
    <w:rsid w:val="00AA0438"/>
    <w:rsid w:val="00AA1DE2"/>
    <w:rsid w:val="00AA6434"/>
    <w:rsid w:val="00AA7B5D"/>
    <w:rsid w:val="00AB3A78"/>
    <w:rsid w:val="00AC4DB7"/>
    <w:rsid w:val="00AC7513"/>
    <w:rsid w:val="00AC7FED"/>
    <w:rsid w:val="00AD0497"/>
    <w:rsid w:val="00AD0503"/>
    <w:rsid w:val="00AD0929"/>
    <w:rsid w:val="00AD258A"/>
    <w:rsid w:val="00AD507E"/>
    <w:rsid w:val="00AE00BA"/>
    <w:rsid w:val="00AE3E93"/>
    <w:rsid w:val="00AE6D1F"/>
    <w:rsid w:val="00AF1D71"/>
    <w:rsid w:val="00AF2068"/>
    <w:rsid w:val="00AF7EAE"/>
    <w:rsid w:val="00B03092"/>
    <w:rsid w:val="00B0541E"/>
    <w:rsid w:val="00B13849"/>
    <w:rsid w:val="00B23067"/>
    <w:rsid w:val="00B2590D"/>
    <w:rsid w:val="00B32E66"/>
    <w:rsid w:val="00B34848"/>
    <w:rsid w:val="00B40E21"/>
    <w:rsid w:val="00B45676"/>
    <w:rsid w:val="00B45F71"/>
    <w:rsid w:val="00B5018B"/>
    <w:rsid w:val="00B57687"/>
    <w:rsid w:val="00B625D9"/>
    <w:rsid w:val="00B665D7"/>
    <w:rsid w:val="00B70860"/>
    <w:rsid w:val="00B71D02"/>
    <w:rsid w:val="00B87994"/>
    <w:rsid w:val="00B922CF"/>
    <w:rsid w:val="00B94E3D"/>
    <w:rsid w:val="00BA47D2"/>
    <w:rsid w:val="00BA61F7"/>
    <w:rsid w:val="00BA6F60"/>
    <w:rsid w:val="00BB3104"/>
    <w:rsid w:val="00BB352A"/>
    <w:rsid w:val="00BB7304"/>
    <w:rsid w:val="00BC2D8F"/>
    <w:rsid w:val="00BC2DE6"/>
    <w:rsid w:val="00BC5AD6"/>
    <w:rsid w:val="00BC7240"/>
    <w:rsid w:val="00BD42F1"/>
    <w:rsid w:val="00BE1D82"/>
    <w:rsid w:val="00BE6352"/>
    <w:rsid w:val="00BF0F4E"/>
    <w:rsid w:val="00BF5F04"/>
    <w:rsid w:val="00C052E4"/>
    <w:rsid w:val="00C1140C"/>
    <w:rsid w:val="00C1195C"/>
    <w:rsid w:val="00C136F0"/>
    <w:rsid w:val="00C150A5"/>
    <w:rsid w:val="00C21F78"/>
    <w:rsid w:val="00C224B0"/>
    <w:rsid w:val="00C25C02"/>
    <w:rsid w:val="00C27A38"/>
    <w:rsid w:val="00C302A8"/>
    <w:rsid w:val="00C31251"/>
    <w:rsid w:val="00C322C5"/>
    <w:rsid w:val="00C34D87"/>
    <w:rsid w:val="00C37F96"/>
    <w:rsid w:val="00C419F9"/>
    <w:rsid w:val="00C426F5"/>
    <w:rsid w:val="00C45D4C"/>
    <w:rsid w:val="00C477B5"/>
    <w:rsid w:val="00C546D2"/>
    <w:rsid w:val="00C61510"/>
    <w:rsid w:val="00C61561"/>
    <w:rsid w:val="00C6634A"/>
    <w:rsid w:val="00C7068E"/>
    <w:rsid w:val="00C769EE"/>
    <w:rsid w:val="00C86201"/>
    <w:rsid w:val="00C908AD"/>
    <w:rsid w:val="00C920E5"/>
    <w:rsid w:val="00C94BB9"/>
    <w:rsid w:val="00CA1E0E"/>
    <w:rsid w:val="00CA5BA3"/>
    <w:rsid w:val="00CB0D2B"/>
    <w:rsid w:val="00CB4F5E"/>
    <w:rsid w:val="00CB6A72"/>
    <w:rsid w:val="00CC16E4"/>
    <w:rsid w:val="00CC3CC1"/>
    <w:rsid w:val="00CC49DA"/>
    <w:rsid w:val="00CC5E96"/>
    <w:rsid w:val="00CD2823"/>
    <w:rsid w:val="00CD4A78"/>
    <w:rsid w:val="00CD6B6A"/>
    <w:rsid w:val="00CE43B4"/>
    <w:rsid w:val="00CE68C6"/>
    <w:rsid w:val="00CF1C21"/>
    <w:rsid w:val="00CF3BB0"/>
    <w:rsid w:val="00CF7138"/>
    <w:rsid w:val="00D02084"/>
    <w:rsid w:val="00D0460E"/>
    <w:rsid w:val="00D050DE"/>
    <w:rsid w:val="00D077EC"/>
    <w:rsid w:val="00D13B06"/>
    <w:rsid w:val="00D1728D"/>
    <w:rsid w:val="00D21BFC"/>
    <w:rsid w:val="00D21D55"/>
    <w:rsid w:val="00D21EF9"/>
    <w:rsid w:val="00D22F4A"/>
    <w:rsid w:val="00D23330"/>
    <w:rsid w:val="00D32326"/>
    <w:rsid w:val="00D3450C"/>
    <w:rsid w:val="00D34B76"/>
    <w:rsid w:val="00D35F74"/>
    <w:rsid w:val="00D4029A"/>
    <w:rsid w:val="00D416A5"/>
    <w:rsid w:val="00D50C56"/>
    <w:rsid w:val="00D5488B"/>
    <w:rsid w:val="00D55074"/>
    <w:rsid w:val="00D55AA4"/>
    <w:rsid w:val="00D5720C"/>
    <w:rsid w:val="00D6261D"/>
    <w:rsid w:val="00D64B21"/>
    <w:rsid w:val="00D6598A"/>
    <w:rsid w:val="00D65F4B"/>
    <w:rsid w:val="00D671F6"/>
    <w:rsid w:val="00D71653"/>
    <w:rsid w:val="00D72436"/>
    <w:rsid w:val="00D8063C"/>
    <w:rsid w:val="00D926F9"/>
    <w:rsid w:val="00D93182"/>
    <w:rsid w:val="00D961B5"/>
    <w:rsid w:val="00DA7FD6"/>
    <w:rsid w:val="00DB1328"/>
    <w:rsid w:val="00DB7EE0"/>
    <w:rsid w:val="00DD2411"/>
    <w:rsid w:val="00DD3E7F"/>
    <w:rsid w:val="00DE0ECC"/>
    <w:rsid w:val="00DE2348"/>
    <w:rsid w:val="00DE3943"/>
    <w:rsid w:val="00DE562E"/>
    <w:rsid w:val="00DE6FB0"/>
    <w:rsid w:val="00DE77F8"/>
    <w:rsid w:val="00DF0138"/>
    <w:rsid w:val="00DF294A"/>
    <w:rsid w:val="00DF4B3C"/>
    <w:rsid w:val="00E00EAF"/>
    <w:rsid w:val="00E0236A"/>
    <w:rsid w:val="00E11739"/>
    <w:rsid w:val="00E12F72"/>
    <w:rsid w:val="00E15A2D"/>
    <w:rsid w:val="00E15B2B"/>
    <w:rsid w:val="00E22665"/>
    <w:rsid w:val="00E23F95"/>
    <w:rsid w:val="00E267A5"/>
    <w:rsid w:val="00E32DA2"/>
    <w:rsid w:val="00E35AC9"/>
    <w:rsid w:val="00E413A9"/>
    <w:rsid w:val="00E43C96"/>
    <w:rsid w:val="00E5003A"/>
    <w:rsid w:val="00E5018F"/>
    <w:rsid w:val="00E514FA"/>
    <w:rsid w:val="00E51D1F"/>
    <w:rsid w:val="00E56529"/>
    <w:rsid w:val="00E6135C"/>
    <w:rsid w:val="00E659AC"/>
    <w:rsid w:val="00E66725"/>
    <w:rsid w:val="00E67591"/>
    <w:rsid w:val="00E678F1"/>
    <w:rsid w:val="00E67A2A"/>
    <w:rsid w:val="00E728B0"/>
    <w:rsid w:val="00E73BA2"/>
    <w:rsid w:val="00E75758"/>
    <w:rsid w:val="00E75BC0"/>
    <w:rsid w:val="00E85ECC"/>
    <w:rsid w:val="00E9292D"/>
    <w:rsid w:val="00EA2B0E"/>
    <w:rsid w:val="00EA319E"/>
    <w:rsid w:val="00EA56F6"/>
    <w:rsid w:val="00EA77CE"/>
    <w:rsid w:val="00EB1DAB"/>
    <w:rsid w:val="00EB1EEE"/>
    <w:rsid w:val="00EC15BD"/>
    <w:rsid w:val="00EC38D5"/>
    <w:rsid w:val="00EC41CE"/>
    <w:rsid w:val="00EC477B"/>
    <w:rsid w:val="00ED0F47"/>
    <w:rsid w:val="00EE34BE"/>
    <w:rsid w:val="00EE394D"/>
    <w:rsid w:val="00EE4BEF"/>
    <w:rsid w:val="00EF6C7F"/>
    <w:rsid w:val="00F2180F"/>
    <w:rsid w:val="00F31732"/>
    <w:rsid w:val="00F31B90"/>
    <w:rsid w:val="00F31F04"/>
    <w:rsid w:val="00F327E2"/>
    <w:rsid w:val="00F34A38"/>
    <w:rsid w:val="00F375FF"/>
    <w:rsid w:val="00F4540D"/>
    <w:rsid w:val="00F50C2B"/>
    <w:rsid w:val="00F566E6"/>
    <w:rsid w:val="00F6181D"/>
    <w:rsid w:val="00F702DD"/>
    <w:rsid w:val="00F721A2"/>
    <w:rsid w:val="00F72B51"/>
    <w:rsid w:val="00F734B6"/>
    <w:rsid w:val="00F7591B"/>
    <w:rsid w:val="00F76C50"/>
    <w:rsid w:val="00F84427"/>
    <w:rsid w:val="00F85050"/>
    <w:rsid w:val="00F86303"/>
    <w:rsid w:val="00F95BD7"/>
    <w:rsid w:val="00FA1741"/>
    <w:rsid w:val="00FA53B2"/>
    <w:rsid w:val="00FA6242"/>
    <w:rsid w:val="00FA643C"/>
    <w:rsid w:val="00FA7894"/>
    <w:rsid w:val="00FC4DCA"/>
    <w:rsid w:val="00FC4DD1"/>
    <w:rsid w:val="00FD0BE2"/>
    <w:rsid w:val="00FD1DCC"/>
    <w:rsid w:val="00FD2E3D"/>
    <w:rsid w:val="00FD56C9"/>
    <w:rsid w:val="00FE51AD"/>
    <w:rsid w:val="00FE5CAF"/>
    <w:rsid w:val="00FE6157"/>
    <w:rsid w:val="00FE74BE"/>
    <w:rsid w:val="00FF0B73"/>
    <w:rsid w:val="00FF17C7"/>
    <w:rsid w:val="00FF7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aliases w:val="TBG Style,ALTS FOOTNOTE,Footnote Text 2,fn,Footnote text,FOOTNOTE"/>
    <w:basedOn w:val="Normal"/>
    <w:link w:val="FootnoteTextChar"/>
    <w:rsid w:val="00E85ECC"/>
    <w:rPr>
      <w:sz w:val="20"/>
      <w:szCs w:val="20"/>
    </w:rPr>
  </w:style>
  <w:style w:type="character" w:styleId="FootnoteReference">
    <w:name w:val="footnote reference"/>
    <w:basedOn w:val="DefaultParagraphFont"/>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 w:type="paragraph" w:styleId="NormalWeb">
    <w:name w:val="Normal (Web)"/>
    <w:basedOn w:val="Normal"/>
    <w:uiPriority w:val="99"/>
    <w:unhideWhenUsed/>
    <w:rsid w:val="008D6448"/>
    <w:pPr>
      <w:spacing w:before="100" w:beforeAutospacing="1" w:after="100" w:afterAutospacing="1"/>
    </w:pPr>
    <w:rPr>
      <w:sz w:val="24"/>
      <w:szCs w:val="24"/>
    </w:rPr>
  </w:style>
  <w:style w:type="character" w:customStyle="1" w:styleId="FooterChar">
    <w:name w:val="Footer Char"/>
    <w:link w:val="Footer"/>
    <w:uiPriority w:val="99"/>
    <w:rsid w:val="00272BD7"/>
    <w:rPr>
      <w:sz w:val="26"/>
      <w:szCs w:val="26"/>
    </w:rPr>
  </w:style>
  <w:style w:type="character" w:customStyle="1" w:styleId="FootnoteTextChar">
    <w:name w:val="Footnote Text Char"/>
    <w:aliases w:val="TBG Style Char,ALTS FOOTNOTE Char,Footnote Text 2 Char,fn Char,Footnote text Char,FOOTNOTE Char"/>
    <w:link w:val="FootnoteText"/>
    <w:rsid w:val="00272B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aliases w:val="TBG Style,ALTS FOOTNOTE,Footnote Text 2,fn,Footnote text,FOOTNOTE"/>
    <w:basedOn w:val="Normal"/>
    <w:link w:val="FootnoteTextChar"/>
    <w:rsid w:val="00E85ECC"/>
    <w:rPr>
      <w:sz w:val="20"/>
      <w:szCs w:val="20"/>
    </w:rPr>
  </w:style>
  <w:style w:type="character" w:styleId="FootnoteReference">
    <w:name w:val="footnote reference"/>
    <w:basedOn w:val="DefaultParagraphFont"/>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 w:type="paragraph" w:styleId="NormalWeb">
    <w:name w:val="Normal (Web)"/>
    <w:basedOn w:val="Normal"/>
    <w:uiPriority w:val="99"/>
    <w:unhideWhenUsed/>
    <w:rsid w:val="008D6448"/>
    <w:pPr>
      <w:spacing w:before="100" w:beforeAutospacing="1" w:after="100" w:afterAutospacing="1"/>
    </w:pPr>
    <w:rPr>
      <w:sz w:val="24"/>
      <w:szCs w:val="24"/>
    </w:rPr>
  </w:style>
  <w:style w:type="character" w:customStyle="1" w:styleId="FooterChar">
    <w:name w:val="Footer Char"/>
    <w:link w:val="Footer"/>
    <w:uiPriority w:val="99"/>
    <w:rsid w:val="00272BD7"/>
    <w:rPr>
      <w:sz w:val="26"/>
      <w:szCs w:val="26"/>
    </w:rPr>
  </w:style>
  <w:style w:type="character" w:customStyle="1" w:styleId="FootnoteTextChar">
    <w:name w:val="Footnote Text Char"/>
    <w:aliases w:val="TBG Style Char,ALTS FOOTNOTE Char,Footnote Text 2 Char,fn Char,Footnote text Char,FOOTNOTE Char"/>
    <w:link w:val="FootnoteText"/>
    <w:rsid w:val="00272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24476">
      <w:bodyDiv w:val="1"/>
      <w:marLeft w:val="0"/>
      <w:marRight w:val="0"/>
      <w:marTop w:val="0"/>
      <w:marBottom w:val="0"/>
      <w:divBdr>
        <w:top w:val="none" w:sz="0" w:space="0" w:color="auto"/>
        <w:left w:val="none" w:sz="0" w:space="0" w:color="auto"/>
        <w:bottom w:val="none" w:sz="0" w:space="0" w:color="auto"/>
        <w:right w:val="none" w:sz="0" w:space="0" w:color="auto"/>
      </w:divBdr>
    </w:div>
    <w:div w:id="793329562">
      <w:bodyDiv w:val="1"/>
      <w:marLeft w:val="0"/>
      <w:marRight w:val="0"/>
      <w:marTop w:val="0"/>
      <w:marBottom w:val="0"/>
      <w:divBdr>
        <w:top w:val="none" w:sz="0" w:space="0" w:color="auto"/>
        <w:left w:val="none" w:sz="0" w:space="0" w:color="auto"/>
        <w:bottom w:val="none" w:sz="0" w:space="0" w:color="auto"/>
        <w:right w:val="none" w:sz="0" w:space="0" w:color="auto"/>
      </w:divBdr>
    </w:div>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 w:id="1501042699">
      <w:bodyDiv w:val="1"/>
      <w:marLeft w:val="0"/>
      <w:marRight w:val="0"/>
      <w:marTop w:val="0"/>
      <w:marBottom w:val="0"/>
      <w:divBdr>
        <w:top w:val="none" w:sz="0" w:space="0" w:color="auto"/>
        <w:left w:val="none" w:sz="0" w:space="0" w:color="auto"/>
        <w:bottom w:val="none" w:sz="0" w:space="0" w:color="auto"/>
        <w:right w:val="none" w:sz="0" w:space="0" w:color="auto"/>
      </w:divBdr>
    </w:div>
    <w:div w:id="1914385371">
      <w:bodyDiv w:val="1"/>
      <w:marLeft w:val="0"/>
      <w:marRight w:val="0"/>
      <w:marTop w:val="0"/>
      <w:marBottom w:val="0"/>
      <w:divBdr>
        <w:top w:val="none" w:sz="0" w:space="0" w:color="auto"/>
        <w:left w:val="none" w:sz="0" w:space="0" w:color="auto"/>
        <w:bottom w:val="none" w:sz="0" w:space="0" w:color="auto"/>
        <w:right w:val="none" w:sz="0" w:space="0" w:color="auto"/>
      </w:divBdr>
      <w:divsChild>
        <w:div w:id="1963539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39925-2CAA-4F66-9640-0A81E1AE0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1346</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9006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ebarnes</cp:lastModifiedBy>
  <cp:revision>2</cp:revision>
  <cp:lastPrinted>2015-10-05T14:46:00Z</cp:lastPrinted>
  <dcterms:created xsi:type="dcterms:W3CDTF">2015-10-05T14:47:00Z</dcterms:created>
  <dcterms:modified xsi:type="dcterms:W3CDTF">2015-10-05T14:47:00Z</dcterms:modified>
</cp:coreProperties>
</file>