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E3" w:rsidRPr="00605209" w:rsidRDefault="00FF26E3" w:rsidP="00D975AC">
      <w:pPr>
        <w:pStyle w:val="Title"/>
        <w:rPr>
          <w:rFonts w:ascii="Times New Roman" w:hAnsi="Times New Roman"/>
        </w:rPr>
      </w:pPr>
      <w:bookmarkStart w:id="0" w:name="_GoBack"/>
      <w:bookmarkEnd w:id="0"/>
      <w:r w:rsidRPr="00605209">
        <w:rPr>
          <w:rFonts w:ascii="Times New Roman" w:hAnsi="Times New Roman"/>
        </w:rPr>
        <w:t>BEFORE THE</w:t>
      </w:r>
    </w:p>
    <w:p w:rsidR="00FF26E3" w:rsidRPr="00605209" w:rsidRDefault="00FF26E3" w:rsidP="00D975AC">
      <w:pPr>
        <w:pStyle w:val="Subtitle"/>
        <w:rPr>
          <w:rFonts w:ascii="Times New Roman" w:hAnsi="Times New Roman"/>
        </w:rPr>
      </w:pPr>
      <w:r w:rsidRPr="00605209">
        <w:rPr>
          <w:rFonts w:ascii="Times New Roman" w:hAnsi="Times New Roman"/>
        </w:rPr>
        <w:t>PENNSYLVANIA PUBLIC UTILITY COMMISSION</w:t>
      </w:r>
    </w:p>
    <w:p w:rsidR="00FF26E3" w:rsidRPr="00605209" w:rsidRDefault="00FF26E3" w:rsidP="00D975AC">
      <w:pPr>
        <w:jc w:val="both"/>
      </w:pPr>
    </w:p>
    <w:p w:rsidR="00FF26E3" w:rsidRPr="00605209" w:rsidRDefault="00FF26E3" w:rsidP="00D975AC">
      <w:pPr>
        <w:jc w:val="both"/>
      </w:pPr>
    </w:p>
    <w:p w:rsidR="00FF26E3" w:rsidRPr="00605209" w:rsidRDefault="00FF26E3" w:rsidP="00D975AC">
      <w:pPr>
        <w:jc w:val="both"/>
      </w:pPr>
    </w:p>
    <w:p w:rsidR="00427944" w:rsidRPr="00605209" w:rsidRDefault="00427944" w:rsidP="00D975AC">
      <w:pPr>
        <w:jc w:val="both"/>
      </w:pPr>
      <w:r w:rsidRPr="00605209">
        <w:t>Jay Larry Moyer</w:t>
      </w:r>
      <w:r w:rsidRPr="00605209">
        <w:tab/>
      </w:r>
      <w:r w:rsidRPr="00605209">
        <w:tab/>
      </w:r>
      <w:r w:rsidRPr="00605209">
        <w:tab/>
      </w:r>
      <w:r w:rsidR="00431F37" w:rsidRPr="00605209">
        <w:tab/>
      </w:r>
      <w:r w:rsidR="00431F37" w:rsidRPr="00605209">
        <w:tab/>
      </w:r>
      <w:r w:rsidRPr="00605209">
        <w:t>:</w:t>
      </w:r>
    </w:p>
    <w:p w:rsidR="00427944" w:rsidRPr="00605209" w:rsidRDefault="00427944" w:rsidP="00D975AC">
      <w:pPr>
        <w:jc w:val="both"/>
      </w:pPr>
      <w:r w:rsidRPr="00605209">
        <w:tab/>
      </w:r>
      <w:r w:rsidRPr="00605209">
        <w:tab/>
      </w:r>
      <w:r w:rsidRPr="00605209">
        <w:tab/>
      </w:r>
      <w:r w:rsidRPr="00605209">
        <w:tab/>
      </w:r>
      <w:r w:rsidRPr="00605209">
        <w:tab/>
      </w:r>
      <w:r w:rsidR="00431F37" w:rsidRPr="00605209">
        <w:tab/>
      </w:r>
      <w:r w:rsidR="00431F37" w:rsidRPr="00605209">
        <w:tab/>
      </w:r>
      <w:r w:rsidRPr="00605209">
        <w:t>:</w:t>
      </w:r>
    </w:p>
    <w:p w:rsidR="00427944" w:rsidRPr="00605209" w:rsidRDefault="00427944" w:rsidP="00D975AC">
      <w:pPr>
        <w:jc w:val="both"/>
      </w:pPr>
      <w:r w:rsidRPr="00605209">
        <w:tab/>
        <w:t>v.</w:t>
      </w:r>
      <w:r w:rsidRPr="00605209">
        <w:tab/>
      </w:r>
      <w:r w:rsidRPr="00605209">
        <w:tab/>
      </w:r>
      <w:r w:rsidRPr="00605209">
        <w:tab/>
      </w:r>
      <w:r w:rsidRPr="00605209">
        <w:tab/>
      </w:r>
      <w:r w:rsidR="00431F37" w:rsidRPr="00605209">
        <w:tab/>
      </w:r>
      <w:r w:rsidR="00431F37" w:rsidRPr="00605209">
        <w:tab/>
      </w:r>
      <w:r w:rsidRPr="00605209">
        <w:t>:</w:t>
      </w:r>
      <w:r w:rsidRPr="00605209">
        <w:tab/>
      </w:r>
      <w:r w:rsidRPr="00605209">
        <w:tab/>
        <w:t>C-2011-2273645</w:t>
      </w:r>
    </w:p>
    <w:p w:rsidR="00427944" w:rsidRPr="00605209" w:rsidRDefault="00427944" w:rsidP="00D975AC">
      <w:pPr>
        <w:jc w:val="both"/>
      </w:pPr>
      <w:r w:rsidRPr="00605209">
        <w:tab/>
      </w:r>
      <w:r w:rsidRPr="00605209">
        <w:tab/>
      </w:r>
      <w:r w:rsidRPr="00605209">
        <w:tab/>
      </w:r>
      <w:r w:rsidRPr="00605209">
        <w:tab/>
      </w:r>
      <w:r w:rsidRPr="00605209">
        <w:tab/>
      </w:r>
      <w:r w:rsidR="00431F37" w:rsidRPr="00605209">
        <w:tab/>
      </w:r>
      <w:r w:rsidR="00431F37" w:rsidRPr="00605209">
        <w:tab/>
      </w:r>
      <w:r w:rsidRPr="00605209">
        <w:t>:</w:t>
      </w:r>
      <w:r w:rsidR="00FC08B6" w:rsidRPr="00605209">
        <w:rPr>
          <w:spacing w:val="-3"/>
        </w:rPr>
        <w:tab/>
      </w:r>
      <w:r w:rsidR="00FC08B6" w:rsidRPr="00605209">
        <w:rPr>
          <w:spacing w:val="-3"/>
        </w:rPr>
        <w:tab/>
        <w:t>C-2014-2444864</w:t>
      </w:r>
    </w:p>
    <w:p w:rsidR="00427944" w:rsidRPr="00605209" w:rsidRDefault="00427944" w:rsidP="00D975AC">
      <w:pPr>
        <w:jc w:val="both"/>
      </w:pPr>
      <w:r w:rsidRPr="00605209">
        <w:t>PPL Electric Utilities Corporation</w:t>
      </w:r>
      <w:r w:rsidRPr="00605209">
        <w:tab/>
      </w:r>
      <w:r w:rsidR="00431F37" w:rsidRPr="00605209">
        <w:tab/>
      </w:r>
      <w:r w:rsidR="00431F37" w:rsidRPr="00605209">
        <w:tab/>
      </w:r>
      <w:r w:rsidRPr="00605209">
        <w:t>:</w:t>
      </w:r>
    </w:p>
    <w:p w:rsidR="00431F37" w:rsidRPr="00605209" w:rsidRDefault="00431F37" w:rsidP="00D975AC">
      <w:pPr>
        <w:jc w:val="both"/>
      </w:pPr>
    </w:p>
    <w:p w:rsidR="00431F37" w:rsidRPr="00605209" w:rsidRDefault="00431F37" w:rsidP="00D975AC">
      <w:pPr>
        <w:jc w:val="both"/>
      </w:pPr>
    </w:p>
    <w:p w:rsidR="00FF26E3" w:rsidRPr="00605209" w:rsidRDefault="00FF26E3" w:rsidP="00D975AC">
      <w:pPr>
        <w:jc w:val="both"/>
      </w:pPr>
    </w:p>
    <w:p w:rsidR="00427944" w:rsidRPr="00605209" w:rsidRDefault="00427944" w:rsidP="00D975AC">
      <w:pPr>
        <w:pStyle w:val="Heading1"/>
        <w:rPr>
          <w:rFonts w:ascii="Times New Roman" w:hAnsi="Times New Roman"/>
        </w:rPr>
      </w:pPr>
      <w:r w:rsidRPr="00605209">
        <w:rPr>
          <w:rFonts w:ascii="Times New Roman" w:hAnsi="Times New Roman"/>
        </w:rPr>
        <w:t>INITIAL DECISION</w:t>
      </w:r>
      <w:r w:rsidR="00AF714C" w:rsidRPr="00605209">
        <w:rPr>
          <w:rFonts w:ascii="Times New Roman" w:hAnsi="Times New Roman"/>
        </w:rPr>
        <w:t xml:space="preserve"> ON REMAND</w:t>
      </w:r>
    </w:p>
    <w:p w:rsidR="00427944" w:rsidRPr="00605209" w:rsidRDefault="00427944" w:rsidP="00D975AC">
      <w:pPr>
        <w:jc w:val="center"/>
        <w:rPr>
          <w:b/>
        </w:rPr>
      </w:pPr>
    </w:p>
    <w:p w:rsidR="00427944" w:rsidRPr="00605209" w:rsidRDefault="00427944" w:rsidP="00D975AC">
      <w:pPr>
        <w:jc w:val="center"/>
        <w:rPr>
          <w:b/>
        </w:rPr>
      </w:pPr>
    </w:p>
    <w:p w:rsidR="00427944" w:rsidRPr="00605209" w:rsidRDefault="00427944" w:rsidP="00D975AC">
      <w:pPr>
        <w:pStyle w:val="Heading2"/>
        <w:rPr>
          <w:rFonts w:ascii="Times New Roman" w:hAnsi="Times New Roman"/>
          <w:b w:val="0"/>
        </w:rPr>
      </w:pPr>
      <w:r w:rsidRPr="00605209">
        <w:rPr>
          <w:rFonts w:ascii="Times New Roman" w:hAnsi="Times New Roman"/>
          <w:b w:val="0"/>
        </w:rPr>
        <w:t>Before</w:t>
      </w:r>
    </w:p>
    <w:p w:rsidR="00427944" w:rsidRPr="00605209" w:rsidRDefault="00427944" w:rsidP="00D975AC">
      <w:pPr>
        <w:jc w:val="center"/>
      </w:pPr>
      <w:r w:rsidRPr="00605209">
        <w:t>Cynthia Williams Fordham</w:t>
      </w:r>
    </w:p>
    <w:p w:rsidR="00427944" w:rsidRPr="00605209" w:rsidRDefault="00427944" w:rsidP="00D975AC">
      <w:pPr>
        <w:jc w:val="center"/>
      </w:pPr>
      <w:r w:rsidRPr="00605209">
        <w:t>Administrative Law Judge</w:t>
      </w:r>
    </w:p>
    <w:p w:rsidR="00427944" w:rsidRPr="00605209" w:rsidRDefault="00427944" w:rsidP="00D975AC">
      <w:pPr>
        <w:jc w:val="center"/>
        <w:rPr>
          <w:b/>
        </w:rPr>
      </w:pPr>
    </w:p>
    <w:p w:rsidR="00427944" w:rsidRPr="00605209" w:rsidRDefault="00427944" w:rsidP="00D975AC">
      <w:pPr>
        <w:jc w:val="center"/>
        <w:rPr>
          <w:b/>
        </w:rPr>
      </w:pPr>
    </w:p>
    <w:p w:rsidR="00E950B6" w:rsidRPr="00605209" w:rsidRDefault="00592D70" w:rsidP="00D975AC">
      <w:pPr>
        <w:spacing w:line="360" w:lineRule="auto"/>
      </w:pPr>
      <w:r w:rsidRPr="00605209">
        <w:tab/>
      </w:r>
      <w:r w:rsidRPr="00605209">
        <w:tab/>
      </w:r>
      <w:r w:rsidR="00CE502C" w:rsidRPr="00605209">
        <w:t xml:space="preserve">This proceeding involves two </w:t>
      </w:r>
      <w:r w:rsidRPr="00605209">
        <w:t>f</w:t>
      </w:r>
      <w:r w:rsidR="00CE502C" w:rsidRPr="00605209">
        <w:t xml:space="preserve">ormal </w:t>
      </w:r>
      <w:r w:rsidRPr="00605209">
        <w:t>c</w:t>
      </w:r>
      <w:r w:rsidR="00CE502C" w:rsidRPr="00605209">
        <w:t xml:space="preserve">omplaints filed by Jay Larry Moyer regarding the billing process and payments for virtual meter aggregation electric service provided to </w:t>
      </w:r>
      <w:r w:rsidRPr="00605209">
        <w:t>Mr. Moyer</w:t>
      </w:r>
      <w:r w:rsidR="00CE502C" w:rsidRPr="00605209">
        <w:t xml:space="preserve">'s house and detached solar </w:t>
      </w:r>
      <w:r w:rsidR="00F5101C" w:rsidRPr="00605209">
        <w:t>facility</w:t>
      </w:r>
      <w:r w:rsidR="00CE502C" w:rsidRPr="00605209">
        <w:t xml:space="preserve">. </w:t>
      </w:r>
      <w:r w:rsidR="00117D8F" w:rsidRPr="00605209">
        <w:t xml:space="preserve"> </w:t>
      </w:r>
      <w:r w:rsidR="00F5101C" w:rsidRPr="00605209">
        <w:t>In t</w:t>
      </w:r>
      <w:r w:rsidR="00CE502C" w:rsidRPr="00605209">
        <w:t xml:space="preserve">he </w:t>
      </w:r>
      <w:r w:rsidRPr="00605209">
        <w:t>f</w:t>
      </w:r>
      <w:r w:rsidR="00CE502C" w:rsidRPr="00605209">
        <w:t xml:space="preserve">irst </w:t>
      </w:r>
      <w:r w:rsidRPr="00605209">
        <w:t>c</w:t>
      </w:r>
      <w:r w:rsidR="00CE502C" w:rsidRPr="00605209">
        <w:t>omplaint</w:t>
      </w:r>
      <w:r w:rsidR="00117D8F" w:rsidRPr="00605209">
        <w:t xml:space="preserve">, </w:t>
      </w:r>
      <w:r w:rsidR="00CE502C" w:rsidRPr="00605209">
        <w:t>Docket No. C-2011-2273645</w:t>
      </w:r>
      <w:r w:rsidR="00117D8F" w:rsidRPr="00605209">
        <w:t>,</w:t>
      </w:r>
      <w:r w:rsidR="00CE502C" w:rsidRPr="00605209">
        <w:t xml:space="preserve"> </w:t>
      </w:r>
      <w:r w:rsidR="00F5101C" w:rsidRPr="00605209">
        <w:t xml:space="preserve">Mr. Moyer </w:t>
      </w:r>
      <w:r w:rsidR="00CE502C" w:rsidRPr="00605209">
        <w:t xml:space="preserve">alleges that PPL Electric failed to aggregate his accounts under </w:t>
      </w:r>
      <w:r w:rsidR="005F4ACB" w:rsidRPr="00605209">
        <w:t>i</w:t>
      </w:r>
      <w:r w:rsidR="00CE502C" w:rsidRPr="00605209">
        <w:t>t</w:t>
      </w:r>
      <w:r w:rsidR="005F4ACB" w:rsidRPr="00605209">
        <w:t>s</w:t>
      </w:r>
      <w:r w:rsidR="00CE502C" w:rsidRPr="00605209">
        <w:t xml:space="preserve"> virtual net meter aggregation </w:t>
      </w:r>
      <w:r w:rsidR="005F4ACB" w:rsidRPr="00605209">
        <w:t>tariff</w:t>
      </w:r>
      <w:r w:rsidR="00CE502C" w:rsidRPr="00605209">
        <w:t xml:space="preserve"> and that he did not receive proper credits or payments for the electricity that was generated by his solar panels. </w:t>
      </w:r>
      <w:r w:rsidR="00F5101C" w:rsidRPr="00605209">
        <w:t xml:space="preserve"> In t</w:t>
      </w:r>
      <w:r w:rsidR="00CE502C" w:rsidRPr="00605209">
        <w:t xml:space="preserve">he </w:t>
      </w:r>
      <w:r w:rsidRPr="00605209">
        <w:t>s</w:t>
      </w:r>
      <w:r w:rsidR="00CE502C" w:rsidRPr="00605209">
        <w:t xml:space="preserve">econd </w:t>
      </w:r>
      <w:r w:rsidRPr="00605209">
        <w:t>c</w:t>
      </w:r>
      <w:r w:rsidR="00CE502C" w:rsidRPr="00605209">
        <w:t>omplaint</w:t>
      </w:r>
      <w:r w:rsidR="00F5101C" w:rsidRPr="00605209">
        <w:t xml:space="preserve">, </w:t>
      </w:r>
      <w:r w:rsidR="00CE502C" w:rsidRPr="00605209">
        <w:t>Docket No. C-2014-2444864</w:t>
      </w:r>
      <w:r w:rsidR="00F5101C" w:rsidRPr="00605209">
        <w:t xml:space="preserve">, </w:t>
      </w:r>
      <w:r w:rsidR="00E12ABC" w:rsidRPr="00605209">
        <w:t>Mr.</w:t>
      </w:r>
      <w:r w:rsidR="005F4ACB" w:rsidRPr="00605209">
        <w:t xml:space="preserve"> </w:t>
      </w:r>
      <w:r w:rsidR="00F5101C" w:rsidRPr="00605209">
        <w:t>Moyer</w:t>
      </w:r>
      <w:r w:rsidR="00CE502C" w:rsidRPr="00605209">
        <w:t xml:space="preserve"> alleges</w:t>
      </w:r>
      <w:r w:rsidR="00117D8F" w:rsidRPr="00605209">
        <w:t xml:space="preserve"> that PPL Electric's billing processes were inaccurate and that information was missing from the bills for his</w:t>
      </w:r>
      <w:r w:rsidR="00CE502C" w:rsidRPr="00605209">
        <w:t xml:space="preserve"> virtual net meter aggregation accounts.</w:t>
      </w:r>
      <w:r w:rsidRPr="00605209">
        <w:t xml:space="preserve">  </w:t>
      </w:r>
      <w:r w:rsidR="007E193A" w:rsidRPr="00605209">
        <w:t xml:space="preserve">Mr. Moyer </w:t>
      </w:r>
      <w:r w:rsidR="00CE502C" w:rsidRPr="00605209">
        <w:t xml:space="preserve">requests that the Commission </w:t>
      </w:r>
      <w:r w:rsidR="007E193A" w:rsidRPr="00605209">
        <w:t>require PPL Electric to automate the billing process for its virtual metering customers.</w:t>
      </w:r>
      <w:r w:rsidR="00E950B6" w:rsidRPr="00605209">
        <w:t xml:space="preserve">  </w:t>
      </w:r>
    </w:p>
    <w:p w:rsidR="00CE502C" w:rsidRPr="00605209" w:rsidRDefault="00CE502C" w:rsidP="00D975AC">
      <w:pPr>
        <w:spacing w:line="360" w:lineRule="auto"/>
      </w:pPr>
    </w:p>
    <w:p w:rsidR="009743BE" w:rsidRPr="00605209" w:rsidRDefault="00E950B6" w:rsidP="009743BE">
      <w:pPr>
        <w:spacing w:line="360" w:lineRule="auto"/>
      </w:pPr>
      <w:r w:rsidRPr="00605209">
        <w:tab/>
      </w:r>
      <w:r w:rsidRPr="00605209">
        <w:tab/>
        <w:t xml:space="preserve">Mr. Moyer failed to prove that PPL Electric did not aggregate his accounts in compliance with </w:t>
      </w:r>
      <w:r w:rsidR="009743BE" w:rsidRPr="00605209">
        <w:t>i</w:t>
      </w:r>
      <w:r w:rsidRPr="00605209">
        <w:t>t</w:t>
      </w:r>
      <w:r w:rsidR="009743BE" w:rsidRPr="00605209">
        <w:t>s</w:t>
      </w:r>
      <w:r w:rsidRPr="00605209">
        <w:t xml:space="preserve"> tariff and the Commission’s regulations.  PPL Electric has presented compelling reasons for </w:t>
      </w:r>
      <w:r w:rsidR="00D57BD8" w:rsidRPr="00605209">
        <w:t>not</w:t>
      </w:r>
      <w:r w:rsidRPr="00605209">
        <w:t xml:space="preserve"> automat</w:t>
      </w:r>
      <w:r w:rsidR="00D57BD8" w:rsidRPr="00605209">
        <w:t>ing</w:t>
      </w:r>
      <w:r w:rsidRPr="00605209">
        <w:t xml:space="preserve"> the billing </w:t>
      </w:r>
      <w:r w:rsidR="00D57BD8" w:rsidRPr="00605209">
        <w:t>p</w:t>
      </w:r>
      <w:r w:rsidRPr="00605209">
        <w:t>r</w:t>
      </w:r>
      <w:r w:rsidR="00D57BD8" w:rsidRPr="00605209">
        <w:t>oc</w:t>
      </w:r>
      <w:r w:rsidRPr="00605209">
        <w:t xml:space="preserve">ess </w:t>
      </w:r>
      <w:r w:rsidR="00D57BD8" w:rsidRPr="00605209">
        <w:t xml:space="preserve">for </w:t>
      </w:r>
      <w:r w:rsidRPr="00605209">
        <w:t xml:space="preserve">virtual metering customers.  </w:t>
      </w:r>
      <w:r w:rsidR="009743BE" w:rsidRPr="00605209">
        <w:t xml:space="preserve">Mr. Moyer has failed to provide additional evidence to outweigh PPL Electric’s argument.  The first complaint is granted with respect to compensation for credits “earned” between May and December 2010 and to allow Mr. Moyer’s facilities to be regarded as a virtual metering facility </w:t>
      </w:r>
      <w:r w:rsidR="009743BE" w:rsidRPr="00605209">
        <w:lastRenderedPageBreak/>
        <w:t>unless there is a change in the law or PPL Electric’s tariff.  The other allegations in the complaints are dismissed.</w:t>
      </w:r>
    </w:p>
    <w:p w:rsidR="00117D8F" w:rsidRPr="00605209" w:rsidRDefault="00117D8F" w:rsidP="00FC2B9F">
      <w:pPr>
        <w:spacing w:line="360" w:lineRule="auto"/>
      </w:pPr>
    </w:p>
    <w:p w:rsidR="00427944" w:rsidRPr="00605209" w:rsidRDefault="00427944" w:rsidP="00D975AC">
      <w:pPr>
        <w:pStyle w:val="Heading1"/>
        <w:tabs>
          <w:tab w:val="left" w:pos="1980"/>
        </w:tabs>
        <w:rPr>
          <w:rFonts w:ascii="Times New Roman" w:hAnsi="Times New Roman"/>
          <w:b w:val="0"/>
          <w:u w:val="none"/>
        </w:rPr>
      </w:pPr>
      <w:r w:rsidRPr="00605209">
        <w:rPr>
          <w:rFonts w:ascii="Times New Roman" w:hAnsi="Times New Roman"/>
          <w:b w:val="0"/>
        </w:rPr>
        <w:t>HISTORY OF THE PROCEEDING</w:t>
      </w:r>
    </w:p>
    <w:p w:rsidR="00431F37" w:rsidRPr="00605209" w:rsidRDefault="00431F37" w:rsidP="00D975AC">
      <w:pPr>
        <w:spacing w:line="360" w:lineRule="auto"/>
      </w:pPr>
    </w:p>
    <w:p w:rsidR="00185310" w:rsidRPr="00605209" w:rsidRDefault="00946301" w:rsidP="00D975AC">
      <w:pPr>
        <w:spacing w:line="360" w:lineRule="auto"/>
      </w:pPr>
      <w:r w:rsidRPr="00605209">
        <w:tab/>
      </w:r>
      <w:r w:rsidR="00427944" w:rsidRPr="00605209">
        <w:tab/>
        <w:t xml:space="preserve">On November 15, 2011, Jay Larry Moyer (“Moyer” or the “Complainant”), through his counsel, filed a formal complaint with the Pennsylvania Public Utility Commission (“Commission”) against PPL Electric Utilities Corporation (“PPL” or the “Respondent”) regarding electric service to 73 Woods Road in Klingerstown, PA.  </w:t>
      </w:r>
      <w:r w:rsidR="00690D9E" w:rsidRPr="00605209">
        <w:t xml:space="preserve">This complaint (“first complaint”) was docketed at Docket No. C-2011-227345.  </w:t>
      </w:r>
      <w:r w:rsidR="00427944" w:rsidRPr="00605209">
        <w:t xml:space="preserve">The Complainant alleged, among other things, the following: </w:t>
      </w:r>
      <w:r w:rsidR="00F5101C" w:rsidRPr="00605209">
        <w:t>1)</w:t>
      </w:r>
      <w:r w:rsidR="00427944" w:rsidRPr="00605209">
        <w:t xml:space="preserve"> that the Complainant contacted the Respondent regarding the installation of solar panels at his property; </w:t>
      </w:r>
      <w:r w:rsidR="00F5101C" w:rsidRPr="00605209">
        <w:t xml:space="preserve">2) </w:t>
      </w:r>
      <w:r w:rsidR="00427944" w:rsidRPr="00605209">
        <w:t xml:space="preserve">that the Respondent assigned account number </w:t>
      </w:r>
      <w:r w:rsidR="00D57BD8" w:rsidRPr="00605209">
        <w:t>xxxxx</w:t>
      </w:r>
      <w:r w:rsidR="00427944" w:rsidRPr="00605209">
        <w:t xml:space="preserve">-21001 to the meter on the Complainant’s house and assigned account number </w:t>
      </w:r>
      <w:r w:rsidR="00D57BD8" w:rsidRPr="00605209">
        <w:t>xxxx</w:t>
      </w:r>
      <w:r w:rsidR="00427944" w:rsidRPr="00605209">
        <w:t xml:space="preserve">-97002 to the meter associated with the Complainant’s solar panels; </w:t>
      </w:r>
      <w:r w:rsidR="00F5101C" w:rsidRPr="00605209">
        <w:t xml:space="preserve">3) </w:t>
      </w:r>
      <w:r w:rsidR="00427944" w:rsidRPr="00605209">
        <w:t xml:space="preserve">that the solar panels were mounted, inspected and approved by the Respondent in March 2009; </w:t>
      </w:r>
      <w:r w:rsidR="00F5101C" w:rsidRPr="00605209">
        <w:t xml:space="preserve">4) </w:t>
      </w:r>
      <w:r w:rsidR="00427944" w:rsidRPr="00605209">
        <w:t>that the Complainant did not receive credits or payments for the electricity that was generated by his solar panels betwee</w:t>
      </w:r>
      <w:r w:rsidR="00185310" w:rsidRPr="00605209">
        <w:t xml:space="preserve">n April 2009 and February 2010; </w:t>
      </w:r>
      <w:r w:rsidR="00F5101C" w:rsidRPr="00605209">
        <w:t xml:space="preserve">5) </w:t>
      </w:r>
      <w:r w:rsidR="00427944" w:rsidRPr="00605209">
        <w:t>that the checks that he received since April 2010 did not have an accounting</w:t>
      </w:r>
      <w:r w:rsidR="00185310" w:rsidRPr="00605209">
        <w:t xml:space="preserve"> or explanation of the payment; </w:t>
      </w:r>
      <w:r w:rsidR="00427944" w:rsidRPr="00605209">
        <w:t xml:space="preserve">and </w:t>
      </w:r>
      <w:r w:rsidR="00F5101C" w:rsidRPr="00605209">
        <w:t xml:space="preserve">6) </w:t>
      </w:r>
      <w:r w:rsidR="00427944" w:rsidRPr="00605209">
        <w:t>that the Respondent has failed to properly aggregate the Complainant’s accounts according to the virtual net metering provisions in the Respondent’s Net Metering Rider.  The Complainant requested that the Commission order the Respondent to apply virtual net metering to the Complainant’s two accounts</w:t>
      </w:r>
      <w:r w:rsidR="00185310" w:rsidRPr="00605209">
        <w:t xml:space="preserve">; </w:t>
      </w:r>
      <w:r w:rsidR="00427944" w:rsidRPr="00605209">
        <w:t>disclose all credits and/or payments that have been made to the Complainant;</w:t>
      </w:r>
      <w:r w:rsidR="00863A8F" w:rsidRPr="00605209">
        <w:t xml:space="preserve"> </w:t>
      </w:r>
      <w:r w:rsidR="00427944" w:rsidRPr="00605209">
        <w:t>and, if necessary, fully reimburse the Complainant for the electricity generated.</w:t>
      </w:r>
      <w:r w:rsidR="00863A8F" w:rsidRPr="00605209">
        <w:t xml:space="preserve"> </w:t>
      </w:r>
    </w:p>
    <w:p w:rsidR="00431F37" w:rsidRPr="00605209" w:rsidRDefault="00431F37" w:rsidP="00D975AC">
      <w:pPr>
        <w:spacing w:line="360" w:lineRule="auto"/>
      </w:pPr>
    </w:p>
    <w:p w:rsidR="00185310" w:rsidRPr="00605209" w:rsidRDefault="00DD000E" w:rsidP="00D975AC">
      <w:pPr>
        <w:spacing w:line="360" w:lineRule="auto"/>
      </w:pPr>
      <w:r w:rsidRPr="00605209">
        <w:tab/>
      </w:r>
      <w:r w:rsidR="00427944" w:rsidRPr="00605209">
        <w:tab/>
        <w:t>On December 8, 2011, the Responde</w:t>
      </w:r>
      <w:r w:rsidR="00431F37" w:rsidRPr="00605209">
        <w:t>nt filed an A</w:t>
      </w:r>
      <w:r w:rsidR="00427944" w:rsidRPr="00605209">
        <w:t xml:space="preserve">nswer.  The Respondent requested that the complaint be dismissed.  The Respondent stated that the Commission’s mediation process was an appropriate forum to address the issues set forth in the complaint. </w:t>
      </w:r>
      <w:r w:rsidR="00431F37" w:rsidRPr="00605209">
        <w:t xml:space="preserve"> In the </w:t>
      </w:r>
      <w:r w:rsidR="00353EAC" w:rsidRPr="00605209">
        <w:t>Answer,</w:t>
      </w:r>
      <w:r w:rsidRPr="00605209">
        <w:t xml:space="preserve"> t</w:t>
      </w:r>
      <w:r w:rsidR="00427944" w:rsidRPr="00605209">
        <w:t xml:space="preserve">he Respondent admitted that the Complainant contacted it regarding the installation of solar panels at his property. </w:t>
      </w:r>
      <w:r w:rsidRPr="00605209">
        <w:t xml:space="preserve"> </w:t>
      </w:r>
      <w:r w:rsidR="00427944" w:rsidRPr="00605209">
        <w:t xml:space="preserve">The Respondent explained that for purposes of net and virtual metering, the account associated with the Complainant’s solar panels is called the host account and the account associated with the Complainant’s house is called the satellite account.  The </w:t>
      </w:r>
      <w:r w:rsidR="00427944" w:rsidRPr="00605209">
        <w:lastRenderedPageBreak/>
        <w:t xml:space="preserve">Respondent admitted that the Complainant’s solar panels were mounted, inspected and approved by the Respondent in March 2009.  The Respondent admitted that it did not aggregate the excess, uncredited </w:t>
      </w:r>
      <w:r w:rsidR="00185310" w:rsidRPr="00605209">
        <w:t>kilowatt hours</w:t>
      </w:r>
      <w:r w:rsidR="00427944" w:rsidRPr="00605209">
        <w:t xml:space="preserve"> generated from the Complainant’s solar panels with the usage at the Complainant’s residence from March 2009 through December 2009.  However, the Respondent averred that it aggregated the excess, uncredited </w:t>
      </w:r>
      <w:r w:rsidR="00185310" w:rsidRPr="00605209">
        <w:t>kilowatt hours</w:t>
      </w:r>
      <w:r w:rsidR="00427944" w:rsidRPr="00605209">
        <w:t xml:space="preserve"> generated from the Complainant’s solar panels with the usage at the Complainant’s residence from January 2010 through May 2010.  The Respondent denied that it failed to compensate the Complainant for the excess generation produced by the solar panels.  The Respondent explained that it </w:t>
      </w:r>
      <w:r w:rsidR="00353EAC" w:rsidRPr="00605209">
        <w:t>would</w:t>
      </w:r>
      <w:r w:rsidR="00427944" w:rsidRPr="00605209">
        <w:t xml:space="preserve"> apply its virtual meter aggregation program to qualifying host and satellite accounts in accordance with all applicable laws and the Respondent’s </w:t>
      </w:r>
      <w:r w:rsidRPr="00605209">
        <w:t>e</w:t>
      </w:r>
      <w:r w:rsidR="00427944" w:rsidRPr="00605209">
        <w:t>lectric tariff.</w:t>
      </w:r>
    </w:p>
    <w:p w:rsidR="00427944" w:rsidRPr="00605209" w:rsidRDefault="00427944" w:rsidP="00D975AC">
      <w:pPr>
        <w:spacing w:line="360" w:lineRule="auto"/>
        <w:jc w:val="both"/>
      </w:pPr>
    </w:p>
    <w:p w:rsidR="00427944" w:rsidRPr="00605209" w:rsidRDefault="000E39FA" w:rsidP="00D975AC">
      <w:pPr>
        <w:spacing w:line="360" w:lineRule="auto"/>
      </w:pPr>
      <w:r w:rsidRPr="00605209">
        <w:tab/>
      </w:r>
      <w:r w:rsidR="00427944" w:rsidRPr="00605209">
        <w:tab/>
        <w:t>On March 12, 2012 John K. Baille, Esquire, withdrew as counsel for the Complainant.</w:t>
      </w:r>
    </w:p>
    <w:p w:rsidR="000E39FA" w:rsidRPr="00605209" w:rsidRDefault="000E39FA" w:rsidP="00D975AC">
      <w:pPr>
        <w:spacing w:line="360" w:lineRule="auto"/>
        <w:jc w:val="both"/>
      </w:pPr>
    </w:p>
    <w:p w:rsidR="00427944" w:rsidRPr="00605209" w:rsidRDefault="0060661B" w:rsidP="00D975AC">
      <w:pPr>
        <w:spacing w:line="360" w:lineRule="auto"/>
      </w:pPr>
      <w:r w:rsidRPr="00605209">
        <w:tab/>
      </w:r>
      <w:r w:rsidR="00427944" w:rsidRPr="00605209">
        <w:tab/>
        <w:t>The matter was referred to the Mediation Unit.</w:t>
      </w:r>
      <w:r w:rsidR="007C5A26" w:rsidRPr="00605209">
        <w:t xml:space="preserve">  </w:t>
      </w:r>
      <w:r w:rsidR="00624238" w:rsidRPr="00605209">
        <w:t>By mediation notice dated March </w:t>
      </w:r>
      <w:r w:rsidR="007C5A26" w:rsidRPr="00605209">
        <w:t xml:space="preserve">22, 2012, a mediation session was scheduled for April 10, 2012. </w:t>
      </w:r>
    </w:p>
    <w:p w:rsidR="00427944" w:rsidRPr="00605209" w:rsidRDefault="00427944" w:rsidP="00D975AC">
      <w:pPr>
        <w:spacing w:line="360" w:lineRule="auto"/>
        <w:jc w:val="both"/>
      </w:pPr>
    </w:p>
    <w:p w:rsidR="00427944" w:rsidRPr="00605209" w:rsidRDefault="000E39FA" w:rsidP="00D975AC">
      <w:pPr>
        <w:spacing w:line="360" w:lineRule="auto"/>
      </w:pPr>
      <w:r w:rsidRPr="00605209">
        <w:tab/>
      </w:r>
      <w:r w:rsidR="00427944" w:rsidRPr="00605209">
        <w:tab/>
        <w:t>By hearing notice dated May 29, 2012, a hearing was scheduled for July 10, 2012, and the matter was assigned to the undersigned.</w:t>
      </w:r>
    </w:p>
    <w:p w:rsidR="007C5A26" w:rsidRPr="00605209" w:rsidRDefault="007C5A26" w:rsidP="00D975AC">
      <w:pPr>
        <w:spacing w:line="360" w:lineRule="auto"/>
        <w:jc w:val="both"/>
      </w:pPr>
    </w:p>
    <w:p w:rsidR="00427944" w:rsidRPr="00605209" w:rsidRDefault="000E39FA" w:rsidP="00D975AC">
      <w:pPr>
        <w:spacing w:line="360" w:lineRule="auto"/>
      </w:pPr>
      <w:r w:rsidRPr="00605209">
        <w:tab/>
      </w:r>
      <w:r w:rsidR="00427944" w:rsidRPr="00605209">
        <w:tab/>
      </w:r>
      <w:r w:rsidR="00735C3F" w:rsidRPr="00605209">
        <w:t xml:space="preserve">At </w:t>
      </w:r>
      <w:r w:rsidR="00F50A3D" w:rsidRPr="00605209">
        <w:t xml:space="preserve">the request of the Complainant, </w:t>
      </w:r>
      <w:r w:rsidR="00427944" w:rsidRPr="00605209">
        <w:t>the July 10, 2012 hearing was rescheduled for August 15, 2012.</w:t>
      </w:r>
      <w:r w:rsidR="00735C3F" w:rsidRPr="00605209">
        <w:t xml:space="preserve">  The hearing notice was dated June 4, 2012.</w:t>
      </w:r>
    </w:p>
    <w:p w:rsidR="006F0DE0" w:rsidRPr="00605209" w:rsidRDefault="006F0DE0" w:rsidP="00D975AC">
      <w:pPr>
        <w:spacing w:line="360" w:lineRule="auto"/>
        <w:jc w:val="both"/>
      </w:pPr>
    </w:p>
    <w:p w:rsidR="009D52AF" w:rsidRPr="00605209" w:rsidRDefault="009D52AF" w:rsidP="00D975AC">
      <w:pPr>
        <w:spacing w:line="360" w:lineRule="auto"/>
      </w:pPr>
      <w:r w:rsidRPr="00605209">
        <w:tab/>
      </w:r>
      <w:r w:rsidRPr="00605209">
        <w:tab/>
      </w:r>
      <w:r w:rsidR="00DD000E" w:rsidRPr="00605209">
        <w:t xml:space="preserve">A </w:t>
      </w:r>
      <w:r w:rsidRPr="00605209">
        <w:t xml:space="preserve">Prehearing Order was sent to the parties on </w:t>
      </w:r>
      <w:r w:rsidR="00DD000E" w:rsidRPr="00605209">
        <w:t>July 19, 2012.</w:t>
      </w:r>
    </w:p>
    <w:p w:rsidR="009D52AF" w:rsidRPr="00605209" w:rsidRDefault="009D52AF" w:rsidP="00D975AC">
      <w:pPr>
        <w:spacing w:line="360" w:lineRule="auto"/>
        <w:jc w:val="both"/>
      </w:pPr>
    </w:p>
    <w:p w:rsidR="001136D4" w:rsidRPr="00605209" w:rsidRDefault="00FF26E3"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 xml:space="preserve">A hearing was held in this matter </w:t>
      </w:r>
      <w:r w:rsidR="0004569F" w:rsidRPr="00605209">
        <w:rPr>
          <w:rFonts w:ascii="Times New Roman" w:hAnsi="Times New Roman"/>
        </w:rPr>
        <w:t xml:space="preserve">in the Philadelphia Regional Office </w:t>
      </w:r>
      <w:r w:rsidRPr="00605209">
        <w:rPr>
          <w:rFonts w:ascii="Times New Roman" w:hAnsi="Times New Roman"/>
        </w:rPr>
        <w:t xml:space="preserve">on </w:t>
      </w:r>
      <w:r w:rsidR="005E6BA8" w:rsidRPr="00605209">
        <w:rPr>
          <w:rFonts w:ascii="Times New Roman" w:hAnsi="Times New Roman"/>
        </w:rPr>
        <w:t>August</w:t>
      </w:r>
      <w:r w:rsidR="00E12ABC" w:rsidRPr="00605209">
        <w:rPr>
          <w:rFonts w:ascii="Times New Roman" w:hAnsi="Times New Roman"/>
        </w:rPr>
        <w:t> </w:t>
      </w:r>
      <w:r w:rsidR="00F40C00" w:rsidRPr="00605209">
        <w:rPr>
          <w:rFonts w:ascii="Times New Roman" w:hAnsi="Times New Roman"/>
        </w:rPr>
        <w:t>1</w:t>
      </w:r>
      <w:r w:rsidR="00C86B6F" w:rsidRPr="00605209">
        <w:rPr>
          <w:rFonts w:ascii="Times New Roman" w:hAnsi="Times New Roman"/>
        </w:rPr>
        <w:t>5</w:t>
      </w:r>
      <w:r w:rsidR="00F40C00" w:rsidRPr="00605209">
        <w:rPr>
          <w:rFonts w:ascii="Times New Roman" w:hAnsi="Times New Roman"/>
        </w:rPr>
        <w:t>, 2012</w:t>
      </w:r>
      <w:r w:rsidRPr="00605209">
        <w:rPr>
          <w:rFonts w:ascii="Times New Roman" w:hAnsi="Times New Roman"/>
        </w:rPr>
        <w:t xml:space="preserve">, before Administrative Law Judge Cynthia Williams Fordham.  The Complainant, </w:t>
      </w:r>
      <w:r w:rsidR="00C86B6F" w:rsidRPr="00605209">
        <w:rPr>
          <w:rFonts w:ascii="Times New Roman" w:hAnsi="Times New Roman"/>
        </w:rPr>
        <w:t xml:space="preserve">Jay </w:t>
      </w:r>
      <w:r w:rsidR="00F40C00" w:rsidRPr="00605209">
        <w:rPr>
          <w:rFonts w:ascii="Times New Roman" w:hAnsi="Times New Roman"/>
        </w:rPr>
        <w:t>L</w:t>
      </w:r>
      <w:r w:rsidR="00C86B6F" w:rsidRPr="00605209">
        <w:rPr>
          <w:rFonts w:ascii="Times New Roman" w:hAnsi="Times New Roman"/>
        </w:rPr>
        <w:t>arry M</w:t>
      </w:r>
      <w:r w:rsidR="00F40C00" w:rsidRPr="00605209">
        <w:rPr>
          <w:rFonts w:ascii="Times New Roman" w:hAnsi="Times New Roman"/>
        </w:rPr>
        <w:t>oy</w:t>
      </w:r>
      <w:r w:rsidR="00C86B6F" w:rsidRPr="00605209">
        <w:rPr>
          <w:rFonts w:ascii="Times New Roman" w:hAnsi="Times New Roman"/>
        </w:rPr>
        <w:t>er</w:t>
      </w:r>
      <w:r w:rsidRPr="00605209">
        <w:rPr>
          <w:rFonts w:ascii="Times New Roman" w:hAnsi="Times New Roman"/>
        </w:rPr>
        <w:t xml:space="preserve">, </w:t>
      </w:r>
      <w:r w:rsidR="00F50A3D" w:rsidRPr="00605209">
        <w:rPr>
          <w:rFonts w:ascii="Times New Roman" w:hAnsi="Times New Roman"/>
        </w:rPr>
        <w:t xml:space="preserve">and </w:t>
      </w:r>
      <w:r w:rsidR="00EA133E" w:rsidRPr="00605209">
        <w:rPr>
          <w:rFonts w:ascii="Times New Roman" w:hAnsi="Times New Roman"/>
        </w:rPr>
        <w:t xml:space="preserve">two </w:t>
      </w:r>
      <w:r w:rsidR="00F50A3D" w:rsidRPr="00605209">
        <w:rPr>
          <w:rFonts w:ascii="Times New Roman" w:hAnsi="Times New Roman"/>
        </w:rPr>
        <w:t>witnesses</w:t>
      </w:r>
      <w:r w:rsidR="00EA133E" w:rsidRPr="00605209">
        <w:rPr>
          <w:rStyle w:val="FootnoteReference"/>
          <w:rFonts w:ascii="Times New Roman" w:hAnsi="Times New Roman"/>
        </w:rPr>
        <w:footnoteReference w:id="1"/>
      </w:r>
      <w:r w:rsidR="00EA133E" w:rsidRPr="00605209">
        <w:rPr>
          <w:rFonts w:ascii="Times New Roman" w:hAnsi="Times New Roman"/>
        </w:rPr>
        <w:t>:</w:t>
      </w:r>
      <w:r w:rsidR="00F50A3D" w:rsidRPr="00605209">
        <w:rPr>
          <w:rFonts w:ascii="Times New Roman" w:hAnsi="Times New Roman"/>
        </w:rPr>
        <w:t xml:space="preserve"> Charles Reichner, the owner of Heat Shed</w:t>
      </w:r>
      <w:r w:rsidR="00DD000E" w:rsidRPr="00605209">
        <w:rPr>
          <w:rFonts w:ascii="Times New Roman" w:hAnsi="Times New Roman"/>
        </w:rPr>
        <w:t>;</w:t>
      </w:r>
      <w:r w:rsidR="00F50A3D" w:rsidRPr="00605209">
        <w:rPr>
          <w:rFonts w:ascii="Times New Roman" w:hAnsi="Times New Roman"/>
        </w:rPr>
        <w:t xml:space="preserve"> </w:t>
      </w:r>
      <w:r w:rsidR="00F50A3D" w:rsidRPr="00605209">
        <w:rPr>
          <w:rFonts w:ascii="Times New Roman" w:hAnsi="Times New Roman"/>
        </w:rPr>
        <w:lastRenderedPageBreak/>
        <w:t xml:space="preserve">and Ron Celentano, </w:t>
      </w:r>
      <w:r w:rsidR="00EA133E" w:rsidRPr="00605209">
        <w:rPr>
          <w:rFonts w:ascii="Times New Roman" w:hAnsi="Times New Roman"/>
        </w:rPr>
        <w:t xml:space="preserve">a solar photovoltaic industry consultant, </w:t>
      </w:r>
      <w:r w:rsidRPr="00605209">
        <w:rPr>
          <w:rFonts w:ascii="Times New Roman" w:hAnsi="Times New Roman"/>
        </w:rPr>
        <w:t xml:space="preserve">testified in support of the complaint and sponsored </w:t>
      </w:r>
      <w:r w:rsidR="00185310" w:rsidRPr="00605209">
        <w:rPr>
          <w:rFonts w:ascii="Times New Roman" w:hAnsi="Times New Roman"/>
        </w:rPr>
        <w:t xml:space="preserve">eighteen </w:t>
      </w:r>
      <w:r w:rsidR="00F50A3D" w:rsidRPr="00605209">
        <w:rPr>
          <w:rFonts w:ascii="Times New Roman" w:hAnsi="Times New Roman"/>
        </w:rPr>
        <w:t>exhibits</w:t>
      </w:r>
      <w:r w:rsidR="00185310" w:rsidRPr="00605209">
        <w:rPr>
          <w:rFonts w:ascii="Times New Roman" w:hAnsi="Times New Roman"/>
        </w:rPr>
        <w:t xml:space="preserve">.  </w:t>
      </w:r>
    </w:p>
    <w:p w:rsidR="00E950B6" w:rsidRPr="00605209" w:rsidRDefault="00E950B6" w:rsidP="00D975AC">
      <w:pPr>
        <w:pStyle w:val="BodyText"/>
        <w:tabs>
          <w:tab w:val="clear" w:pos="1980"/>
          <w:tab w:val="left" w:pos="0"/>
        </w:tabs>
        <w:spacing w:line="240" w:lineRule="auto"/>
        <w:ind w:left="1440"/>
        <w:jc w:val="left"/>
        <w:rPr>
          <w:rFonts w:ascii="Times New Roman" w:hAnsi="Times New Roman"/>
        </w:rPr>
      </w:pPr>
    </w:p>
    <w:p w:rsidR="00F5101C"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Exhibits 1 and 2-pictures of the solar system</w:t>
      </w:r>
      <w:r w:rsidR="00E00E87" w:rsidRPr="00605209">
        <w:rPr>
          <w:rFonts w:ascii="Times New Roman" w:hAnsi="Times New Roman"/>
        </w:rPr>
        <w:t xml:space="preserve"> and the light on the pole</w:t>
      </w:r>
      <w:r w:rsidRPr="00605209">
        <w:rPr>
          <w:rFonts w:ascii="Times New Roman" w:hAnsi="Times New Roman"/>
        </w:rPr>
        <w:t xml:space="preserve">; </w:t>
      </w:r>
    </w:p>
    <w:p w:rsidR="00F5101C"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Exhibits 3, 4, 5 and 6 were not admitted into the record (</w:t>
      </w:r>
      <w:r w:rsidR="00F5101C" w:rsidRPr="00605209">
        <w:rPr>
          <w:rFonts w:ascii="Times New Roman" w:hAnsi="Times New Roman"/>
        </w:rPr>
        <w:t xml:space="preserve">1 </w:t>
      </w:r>
      <w:r w:rsidRPr="00605209">
        <w:rPr>
          <w:rFonts w:ascii="Times New Roman" w:hAnsi="Times New Roman"/>
        </w:rPr>
        <w:t xml:space="preserve">Tr. 120-123); </w:t>
      </w:r>
      <w:r w:rsidR="00F5101C" w:rsidRPr="00605209">
        <w:rPr>
          <w:rStyle w:val="FootnoteReference"/>
          <w:rFonts w:ascii="Times New Roman" w:hAnsi="Times New Roman"/>
        </w:rPr>
        <w:footnoteReference w:id="2"/>
      </w:r>
    </w:p>
    <w:p w:rsidR="001136D4"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 7</w:t>
      </w:r>
      <w:r w:rsidR="000205CB" w:rsidRPr="00605209">
        <w:rPr>
          <w:rFonts w:ascii="Times New Roman" w:hAnsi="Times New Roman"/>
        </w:rPr>
        <w:t xml:space="preserve"> </w:t>
      </w:r>
      <w:r w:rsidRPr="00605209">
        <w:rPr>
          <w:rFonts w:ascii="Times New Roman" w:hAnsi="Times New Roman"/>
        </w:rPr>
        <w:t>-</w:t>
      </w:r>
      <w:r w:rsidR="000205CB" w:rsidRPr="00605209">
        <w:rPr>
          <w:rFonts w:ascii="Times New Roman" w:hAnsi="Times New Roman"/>
        </w:rPr>
        <w:t xml:space="preserve"> </w:t>
      </w:r>
      <w:r w:rsidRPr="00605209">
        <w:rPr>
          <w:rFonts w:ascii="Times New Roman" w:hAnsi="Times New Roman"/>
        </w:rPr>
        <w:t>credits</w:t>
      </w:r>
      <w:r w:rsidR="002A6DEA" w:rsidRPr="00605209">
        <w:rPr>
          <w:rFonts w:ascii="Times New Roman" w:hAnsi="Times New Roman"/>
        </w:rPr>
        <w:t xml:space="preserve"> applied to the satellite account</w:t>
      </w:r>
      <w:r w:rsidRPr="00605209">
        <w:rPr>
          <w:rFonts w:ascii="Times New Roman" w:hAnsi="Times New Roman"/>
        </w:rPr>
        <w:t>;</w:t>
      </w:r>
    </w:p>
    <w:p w:rsidR="001136D4"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w:t>
      </w:r>
      <w:r w:rsidR="00130C73" w:rsidRPr="00605209">
        <w:rPr>
          <w:rFonts w:ascii="Times New Roman" w:hAnsi="Times New Roman"/>
        </w:rPr>
        <w:t>s</w:t>
      </w:r>
      <w:r w:rsidRPr="00605209">
        <w:rPr>
          <w:rFonts w:ascii="Times New Roman" w:hAnsi="Times New Roman"/>
        </w:rPr>
        <w:t xml:space="preserve"> 8 and 9 were withdrawn (</w:t>
      </w:r>
      <w:r w:rsidR="00F5101C" w:rsidRPr="00605209">
        <w:rPr>
          <w:rFonts w:ascii="Times New Roman" w:hAnsi="Times New Roman"/>
        </w:rPr>
        <w:t>1 Tr.</w:t>
      </w:r>
      <w:r w:rsidRPr="00605209">
        <w:rPr>
          <w:rFonts w:ascii="Times New Roman" w:hAnsi="Times New Roman"/>
        </w:rPr>
        <w:t xml:space="preserve"> 126, 127, 133);</w:t>
      </w:r>
    </w:p>
    <w:p w:rsidR="001136D4"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 10</w:t>
      </w:r>
      <w:r w:rsidR="00A906D9" w:rsidRPr="00605209">
        <w:rPr>
          <w:rFonts w:ascii="Times New Roman" w:hAnsi="Times New Roman"/>
        </w:rPr>
        <w:t xml:space="preserve"> </w:t>
      </w:r>
      <w:r w:rsidRPr="00605209">
        <w:rPr>
          <w:rFonts w:ascii="Times New Roman" w:hAnsi="Times New Roman"/>
        </w:rPr>
        <w:t>-</w:t>
      </w:r>
      <w:r w:rsidR="00A906D9" w:rsidRPr="00605209">
        <w:rPr>
          <w:rFonts w:ascii="Times New Roman" w:hAnsi="Times New Roman"/>
        </w:rPr>
        <w:t xml:space="preserve"> </w:t>
      </w:r>
      <w:r w:rsidR="00A56C99" w:rsidRPr="00605209">
        <w:rPr>
          <w:rFonts w:ascii="Times New Roman" w:hAnsi="Times New Roman"/>
        </w:rPr>
        <w:t>net metering regulations</w:t>
      </w:r>
      <w:r w:rsidRPr="00605209">
        <w:rPr>
          <w:rFonts w:ascii="Times New Roman" w:hAnsi="Times New Roman"/>
        </w:rPr>
        <w:t>;</w:t>
      </w:r>
    </w:p>
    <w:p w:rsidR="001136D4"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 11</w:t>
      </w:r>
      <w:r w:rsidR="00A906D9" w:rsidRPr="00605209">
        <w:rPr>
          <w:rFonts w:ascii="Times New Roman" w:hAnsi="Times New Roman"/>
        </w:rPr>
        <w:t xml:space="preserve"> </w:t>
      </w:r>
      <w:r w:rsidR="00A56C99" w:rsidRPr="00605209">
        <w:rPr>
          <w:rFonts w:ascii="Times New Roman" w:hAnsi="Times New Roman"/>
        </w:rPr>
        <w:t>-</w:t>
      </w:r>
      <w:r w:rsidR="00A906D9" w:rsidRPr="00605209">
        <w:rPr>
          <w:rFonts w:ascii="Times New Roman" w:hAnsi="Times New Roman"/>
        </w:rPr>
        <w:t xml:space="preserve"> </w:t>
      </w:r>
      <w:r w:rsidR="00A56C99" w:rsidRPr="00605209">
        <w:rPr>
          <w:rFonts w:ascii="Times New Roman" w:hAnsi="Times New Roman"/>
        </w:rPr>
        <w:t>register</w:t>
      </w:r>
      <w:r w:rsidRPr="00605209">
        <w:rPr>
          <w:rFonts w:ascii="Times New Roman" w:hAnsi="Times New Roman"/>
        </w:rPr>
        <w:t>;</w:t>
      </w:r>
    </w:p>
    <w:p w:rsidR="001136D4"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 12</w:t>
      </w:r>
      <w:r w:rsidR="00A906D9" w:rsidRPr="00605209">
        <w:rPr>
          <w:rFonts w:ascii="Times New Roman" w:hAnsi="Times New Roman"/>
        </w:rPr>
        <w:t xml:space="preserve"> </w:t>
      </w:r>
      <w:r w:rsidRPr="00605209">
        <w:rPr>
          <w:rFonts w:ascii="Times New Roman" w:hAnsi="Times New Roman"/>
        </w:rPr>
        <w:t>-</w:t>
      </w:r>
      <w:r w:rsidR="00A906D9" w:rsidRPr="00605209">
        <w:rPr>
          <w:rFonts w:ascii="Times New Roman" w:hAnsi="Times New Roman"/>
        </w:rPr>
        <w:t xml:space="preserve"> </w:t>
      </w:r>
      <w:r w:rsidR="001D4623" w:rsidRPr="00605209">
        <w:rPr>
          <w:rFonts w:ascii="Times New Roman" w:hAnsi="Times New Roman"/>
        </w:rPr>
        <w:t xml:space="preserve">June, July, August and September 2011 </w:t>
      </w:r>
      <w:r w:rsidRPr="00605209">
        <w:rPr>
          <w:rFonts w:ascii="Times New Roman" w:hAnsi="Times New Roman"/>
        </w:rPr>
        <w:t>bills;</w:t>
      </w:r>
    </w:p>
    <w:p w:rsidR="001136D4"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 13</w:t>
      </w:r>
      <w:r w:rsidR="00A906D9" w:rsidRPr="00605209">
        <w:rPr>
          <w:rFonts w:ascii="Times New Roman" w:hAnsi="Times New Roman"/>
        </w:rPr>
        <w:t xml:space="preserve"> </w:t>
      </w:r>
      <w:r w:rsidR="00431F37" w:rsidRPr="00605209">
        <w:rPr>
          <w:rFonts w:ascii="Times New Roman" w:hAnsi="Times New Roman"/>
        </w:rPr>
        <w:t>-</w:t>
      </w:r>
      <w:r w:rsidR="00A906D9" w:rsidRPr="00605209">
        <w:rPr>
          <w:rFonts w:ascii="Times New Roman" w:hAnsi="Times New Roman"/>
        </w:rPr>
        <w:t xml:space="preserve"> </w:t>
      </w:r>
      <w:r w:rsidR="001D4623" w:rsidRPr="00605209">
        <w:rPr>
          <w:rFonts w:ascii="Times New Roman" w:hAnsi="Times New Roman"/>
        </w:rPr>
        <w:t xml:space="preserve">June and July 2012 </w:t>
      </w:r>
      <w:r w:rsidRPr="00605209">
        <w:rPr>
          <w:rFonts w:ascii="Times New Roman" w:hAnsi="Times New Roman"/>
        </w:rPr>
        <w:t>bills;</w:t>
      </w:r>
    </w:p>
    <w:p w:rsidR="00690D9E"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Exhibits 14 and 15 were not admitted into the record (</w:t>
      </w:r>
      <w:r w:rsidR="00F5101C" w:rsidRPr="00605209">
        <w:rPr>
          <w:rFonts w:ascii="Times New Roman" w:hAnsi="Times New Roman"/>
        </w:rPr>
        <w:t>1 Tr.</w:t>
      </w:r>
      <w:r w:rsidRPr="00605209">
        <w:rPr>
          <w:rFonts w:ascii="Times New Roman" w:hAnsi="Times New Roman"/>
        </w:rPr>
        <w:t xml:space="preserve"> 135-137); </w:t>
      </w:r>
    </w:p>
    <w:p w:rsidR="00690D9E"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 16</w:t>
      </w:r>
      <w:r w:rsidR="00A906D9" w:rsidRPr="00605209">
        <w:rPr>
          <w:rFonts w:ascii="Times New Roman" w:hAnsi="Times New Roman"/>
        </w:rPr>
        <w:t xml:space="preserve"> </w:t>
      </w:r>
      <w:r w:rsidR="002A6DEA" w:rsidRPr="00605209">
        <w:rPr>
          <w:rFonts w:ascii="Times New Roman" w:hAnsi="Times New Roman"/>
        </w:rPr>
        <w:t>-</w:t>
      </w:r>
      <w:r w:rsidR="00A906D9" w:rsidRPr="00605209">
        <w:rPr>
          <w:rFonts w:ascii="Times New Roman" w:hAnsi="Times New Roman"/>
        </w:rPr>
        <w:t xml:space="preserve"> </w:t>
      </w:r>
      <w:r w:rsidR="002A6DEA" w:rsidRPr="00605209">
        <w:rPr>
          <w:rFonts w:ascii="Times New Roman" w:hAnsi="Times New Roman"/>
        </w:rPr>
        <w:t>Mr. Reichner’s e-mail, dated June 21, 2008, to the Complainant</w:t>
      </w:r>
      <w:r w:rsidRPr="00605209">
        <w:rPr>
          <w:rFonts w:ascii="Times New Roman" w:hAnsi="Times New Roman"/>
        </w:rPr>
        <w:t xml:space="preserve">; </w:t>
      </w:r>
    </w:p>
    <w:p w:rsidR="00400BED" w:rsidRPr="00605209" w:rsidRDefault="000C08C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Exhibit</w:t>
      </w:r>
      <w:r w:rsidR="00130C73" w:rsidRPr="00605209">
        <w:rPr>
          <w:rFonts w:ascii="Times New Roman" w:hAnsi="Times New Roman"/>
        </w:rPr>
        <w:t>s</w:t>
      </w:r>
      <w:r w:rsidRPr="00605209">
        <w:rPr>
          <w:rFonts w:ascii="Times New Roman" w:hAnsi="Times New Roman"/>
        </w:rPr>
        <w:t xml:space="preserve"> 17 and 18 were not admitted (</w:t>
      </w:r>
      <w:r w:rsidR="00F5101C" w:rsidRPr="00605209">
        <w:rPr>
          <w:rFonts w:ascii="Times New Roman" w:hAnsi="Times New Roman"/>
        </w:rPr>
        <w:t>1 Tr.</w:t>
      </w:r>
      <w:r w:rsidRPr="00605209">
        <w:rPr>
          <w:rFonts w:ascii="Times New Roman" w:hAnsi="Times New Roman"/>
        </w:rPr>
        <w:t xml:space="preserve"> 137, 138, 142).  </w:t>
      </w:r>
    </w:p>
    <w:p w:rsidR="00690D9E" w:rsidRPr="00605209" w:rsidRDefault="00690D9E" w:rsidP="00D975AC">
      <w:pPr>
        <w:pStyle w:val="BodyText"/>
        <w:tabs>
          <w:tab w:val="clear" w:pos="1980"/>
          <w:tab w:val="left" w:pos="0"/>
        </w:tabs>
        <w:spacing w:line="360" w:lineRule="auto"/>
        <w:jc w:val="left"/>
        <w:rPr>
          <w:rFonts w:ascii="Times New Roman" w:hAnsi="Times New Roman"/>
        </w:rPr>
      </w:pPr>
    </w:p>
    <w:p w:rsidR="001136D4" w:rsidRPr="00605209" w:rsidRDefault="00550386"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PPL presented the following PPL Cro</w:t>
      </w:r>
      <w:r w:rsidR="00431F37" w:rsidRPr="00605209">
        <w:rPr>
          <w:rFonts w:ascii="Times New Roman" w:hAnsi="Times New Roman"/>
        </w:rPr>
        <w:t>ss Exhibits:</w:t>
      </w:r>
    </w:p>
    <w:p w:rsidR="001136D4" w:rsidRPr="00605209" w:rsidRDefault="00431F37"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Cross Exhibit</w:t>
      </w:r>
      <w:r w:rsidR="004678CF" w:rsidRPr="00605209">
        <w:rPr>
          <w:rFonts w:ascii="Times New Roman" w:hAnsi="Times New Roman"/>
        </w:rPr>
        <w:t xml:space="preserve"> 1</w:t>
      </w:r>
      <w:r w:rsidR="000205CB" w:rsidRPr="00605209">
        <w:rPr>
          <w:rFonts w:ascii="Times New Roman" w:hAnsi="Times New Roman"/>
        </w:rPr>
        <w:t xml:space="preserve"> </w:t>
      </w:r>
      <w:r w:rsidRPr="00605209">
        <w:rPr>
          <w:rFonts w:ascii="Times New Roman" w:hAnsi="Times New Roman"/>
        </w:rPr>
        <w:t>-</w:t>
      </w:r>
      <w:r w:rsidR="000205CB" w:rsidRPr="00605209">
        <w:rPr>
          <w:rFonts w:ascii="Times New Roman" w:hAnsi="Times New Roman"/>
        </w:rPr>
        <w:t xml:space="preserve"> </w:t>
      </w:r>
      <w:r w:rsidR="00550386" w:rsidRPr="00605209">
        <w:rPr>
          <w:rFonts w:ascii="Times New Roman" w:hAnsi="Times New Roman"/>
        </w:rPr>
        <w:t>e-mail from Heather Yoder</w:t>
      </w:r>
      <w:r w:rsidR="00A863CC" w:rsidRPr="00605209">
        <w:rPr>
          <w:rFonts w:ascii="Times New Roman" w:hAnsi="Times New Roman"/>
        </w:rPr>
        <w:t>, Consumer Liaison from the Office of Consumer Advocate,</w:t>
      </w:r>
      <w:r w:rsidR="00550386" w:rsidRPr="00605209">
        <w:rPr>
          <w:rFonts w:ascii="Times New Roman" w:hAnsi="Times New Roman"/>
        </w:rPr>
        <w:t xml:space="preserve"> to the Complainant about having non-generation</w:t>
      </w:r>
      <w:r w:rsidR="00130C73" w:rsidRPr="00605209">
        <w:rPr>
          <w:rFonts w:ascii="Times New Roman" w:hAnsi="Times New Roman"/>
        </w:rPr>
        <w:t>al</w:t>
      </w:r>
      <w:r w:rsidR="00550386" w:rsidRPr="00605209">
        <w:rPr>
          <w:rFonts w:ascii="Times New Roman" w:hAnsi="Times New Roman"/>
        </w:rPr>
        <w:t xml:space="preserve"> load;</w:t>
      </w:r>
    </w:p>
    <w:p w:rsidR="001136D4" w:rsidRPr="00605209" w:rsidRDefault="00550386"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Cross Exhibit 2</w:t>
      </w:r>
      <w:r w:rsidR="000205CB" w:rsidRPr="00605209">
        <w:rPr>
          <w:rFonts w:ascii="Times New Roman" w:hAnsi="Times New Roman"/>
        </w:rPr>
        <w:t xml:space="preserve"> </w:t>
      </w:r>
      <w:r w:rsidR="004678CF" w:rsidRPr="00605209">
        <w:rPr>
          <w:rFonts w:ascii="Times New Roman" w:hAnsi="Times New Roman"/>
        </w:rPr>
        <w:t>-</w:t>
      </w:r>
      <w:r w:rsidR="000205CB" w:rsidRPr="00605209">
        <w:rPr>
          <w:rFonts w:ascii="Times New Roman" w:hAnsi="Times New Roman"/>
        </w:rPr>
        <w:t xml:space="preserve"> </w:t>
      </w:r>
      <w:r w:rsidRPr="00605209">
        <w:rPr>
          <w:rFonts w:ascii="Times New Roman" w:hAnsi="Times New Roman"/>
        </w:rPr>
        <w:t>the Complainant’s record of his conversation with George Beam from PPL was marked but not offered into evidence</w:t>
      </w:r>
      <w:r w:rsidR="002A6DEA" w:rsidRPr="00605209">
        <w:rPr>
          <w:rFonts w:ascii="Times New Roman" w:hAnsi="Times New Roman"/>
        </w:rPr>
        <w:t>;</w:t>
      </w:r>
      <w:r w:rsidR="00202923" w:rsidRPr="00605209">
        <w:rPr>
          <w:rFonts w:ascii="Times New Roman" w:hAnsi="Times New Roman"/>
        </w:rPr>
        <w:t xml:space="preserve"> and </w:t>
      </w:r>
    </w:p>
    <w:p w:rsidR="0082753C" w:rsidRPr="00605209" w:rsidRDefault="00EB204D"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Cross Exhibit 3</w:t>
      </w:r>
      <w:r w:rsidR="000205CB" w:rsidRPr="00605209">
        <w:rPr>
          <w:rFonts w:ascii="Times New Roman" w:hAnsi="Times New Roman"/>
        </w:rPr>
        <w:t xml:space="preserve"> -</w:t>
      </w:r>
      <w:r w:rsidRPr="00605209">
        <w:rPr>
          <w:rFonts w:ascii="Times New Roman" w:hAnsi="Times New Roman"/>
        </w:rPr>
        <w:t xml:space="preserve"> was withdrawn</w:t>
      </w:r>
      <w:r w:rsidR="002A6DEA" w:rsidRPr="00605209">
        <w:rPr>
          <w:rFonts w:ascii="Times New Roman" w:hAnsi="Times New Roman"/>
        </w:rPr>
        <w:t>.</w:t>
      </w:r>
    </w:p>
    <w:p w:rsidR="002A6DEA" w:rsidRPr="00605209" w:rsidRDefault="002A6DEA" w:rsidP="00D975AC">
      <w:pPr>
        <w:pStyle w:val="BodyText"/>
        <w:tabs>
          <w:tab w:val="clear" w:pos="1980"/>
          <w:tab w:val="left" w:pos="0"/>
        </w:tabs>
        <w:spacing w:line="360" w:lineRule="auto"/>
        <w:jc w:val="left"/>
        <w:rPr>
          <w:rFonts w:ascii="Times New Roman" w:hAnsi="Times New Roman"/>
        </w:rPr>
      </w:pPr>
    </w:p>
    <w:p w:rsidR="001136D4" w:rsidRPr="00605209" w:rsidRDefault="00E250F2"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C86B6F" w:rsidRPr="00605209">
        <w:rPr>
          <w:rFonts w:ascii="Times New Roman" w:hAnsi="Times New Roman"/>
          <w:bCs/>
          <w:iCs/>
        </w:rPr>
        <w:t>Christopher T. Wright, Esquire</w:t>
      </w:r>
      <w:r w:rsidR="00925AD1" w:rsidRPr="00605209">
        <w:rPr>
          <w:rFonts w:ascii="Times New Roman" w:hAnsi="Times New Roman"/>
        </w:rPr>
        <w:t xml:space="preserve">, represented </w:t>
      </w:r>
      <w:r w:rsidR="00946301" w:rsidRPr="00605209">
        <w:rPr>
          <w:rFonts w:ascii="Times New Roman" w:hAnsi="Times New Roman"/>
        </w:rPr>
        <w:t>PPL Electric Utilities Corporation</w:t>
      </w:r>
      <w:r w:rsidR="00925AD1" w:rsidRPr="00605209">
        <w:rPr>
          <w:rFonts w:ascii="Times New Roman" w:hAnsi="Times New Roman"/>
        </w:rPr>
        <w:t>.  The Respondent presented two witnesses</w:t>
      </w:r>
      <w:r w:rsidR="009743BE" w:rsidRPr="00605209">
        <w:rPr>
          <w:rFonts w:ascii="Times New Roman" w:hAnsi="Times New Roman"/>
        </w:rPr>
        <w:t>:</w:t>
      </w:r>
      <w:r w:rsidR="00925AD1" w:rsidRPr="00605209">
        <w:rPr>
          <w:rFonts w:ascii="Times New Roman" w:hAnsi="Times New Roman"/>
        </w:rPr>
        <w:t xml:space="preserve"> </w:t>
      </w:r>
      <w:r w:rsidR="00C87531" w:rsidRPr="00605209">
        <w:rPr>
          <w:rFonts w:ascii="Times New Roman" w:hAnsi="Times New Roman"/>
        </w:rPr>
        <w:t>Ke</w:t>
      </w:r>
      <w:r w:rsidR="00925AD1" w:rsidRPr="00605209">
        <w:rPr>
          <w:rFonts w:ascii="Times New Roman" w:hAnsi="Times New Roman"/>
        </w:rPr>
        <w:t>i</w:t>
      </w:r>
      <w:r w:rsidR="00C87531" w:rsidRPr="00605209">
        <w:rPr>
          <w:rFonts w:ascii="Times New Roman" w:hAnsi="Times New Roman"/>
        </w:rPr>
        <w:t>t</w:t>
      </w:r>
      <w:r w:rsidR="00925AD1" w:rsidRPr="00605209">
        <w:rPr>
          <w:rFonts w:ascii="Times New Roman" w:hAnsi="Times New Roman"/>
        </w:rPr>
        <w:t>h</w:t>
      </w:r>
      <w:r w:rsidR="00C87531" w:rsidRPr="00605209">
        <w:rPr>
          <w:rFonts w:ascii="Times New Roman" w:hAnsi="Times New Roman"/>
        </w:rPr>
        <w:t xml:space="preserve"> E</w:t>
      </w:r>
      <w:r w:rsidR="00925AD1" w:rsidRPr="00605209">
        <w:rPr>
          <w:rFonts w:ascii="Times New Roman" w:hAnsi="Times New Roman"/>
        </w:rPr>
        <w:t>rn</w:t>
      </w:r>
      <w:r w:rsidR="00C87531" w:rsidRPr="00605209">
        <w:rPr>
          <w:rFonts w:ascii="Times New Roman" w:hAnsi="Times New Roman"/>
        </w:rPr>
        <w:t>e</w:t>
      </w:r>
      <w:r w:rsidR="00925AD1" w:rsidRPr="00605209">
        <w:rPr>
          <w:rFonts w:ascii="Times New Roman" w:hAnsi="Times New Roman"/>
          <w:bCs/>
          <w:iCs/>
        </w:rPr>
        <w:t xml:space="preserve">y, a </w:t>
      </w:r>
      <w:r w:rsidR="00C87531" w:rsidRPr="00605209">
        <w:rPr>
          <w:rFonts w:ascii="Times New Roman" w:hAnsi="Times New Roman"/>
          <w:bCs/>
          <w:iCs/>
        </w:rPr>
        <w:t xml:space="preserve">communications specialist for the </w:t>
      </w:r>
      <w:r w:rsidR="00925AD1" w:rsidRPr="00605209">
        <w:rPr>
          <w:rFonts w:ascii="Times New Roman" w:hAnsi="Times New Roman"/>
          <w:bCs/>
          <w:iCs/>
        </w:rPr>
        <w:t>Respondent,</w:t>
      </w:r>
      <w:r w:rsidR="00C87531" w:rsidRPr="00605209">
        <w:rPr>
          <w:rFonts w:ascii="Times New Roman" w:hAnsi="Times New Roman"/>
          <w:bCs/>
          <w:iCs/>
        </w:rPr>
        <w:t xml:space="preserve"> </w:t>
      </w:r>
      <w:r w:rsidR="00925AD1" w:rsidRPr="00605209">
        <w:rPr>
          <w:rFonts w:ascii="Times New Roman" w:hAnsi="Times New Roman"/>
          <w:bCs/>
          <w:iCs/>
        </w:rPr>
        <w:t xml:space="preserve">and </w:t>
      </w:r>
      <w:r w:rsidR="00C87531" w:rsidRPr="00605209">
        <w:rPr>
          <w:rFonts w:ascii="Times New Roman" w:hAnsi="Times New Roman"/>
          <w:bCs/>
          <w:iCs/>
        </w:rPr>
        <w:t>Alo</w:t>
      </w:r>
      <w:r w:rsidR="00925AD1" w:rsidRPr="00605209">
        <w:rPr>
          <w:rFonts w:ascii="Times New Roman" w:hAnsi="Times New Roman"/>
          <w:bCs/>
          <w:iCs/>
        </w:rPr>
        <w:t>y</w:t>
      </w:r>
      <w:r w:rsidR="00C87531" w:rsidRPr="00605209">
        <w:rPr>
          <w:rFonts w:ascii="Times New Roman" w:hAnsi="Times New Roman"/>
          <w:bCs/>
          <w:iCs/>
        </w:rPr>
        <w:t>sius Canno</w:t>
      </w:r>
      <w:r w:rsidR="00925AD1" w:rsidRPr="00605209">
        <w:rPr>
          <w:rFonts w:ascii="Times New Roman" w:hAnsi="Times New Roman"/>
          <w:bCs/>
          <w:iCs/>
        </w:rPr>
        <w:t>n, a f</w:t>
      </w:r>
      <w:r w:rsidR="00C87531" w:rsidRPr="00605209">
        <w:rPr>
          <w:rFonts w:ascii="Times New Roman" w:hAnsi="Times New Roman"/>
          <w:bCs/>
          <w:iCs/>
        </w:rPr>
        <w:t>inanc</w:t>
      </w:r>
      <w:r w:rsidR="00925AD1" w:rsidRPr="00605209">
        <w:rPr>
          <w:rFonts w:ascii="Times New Roman" w:hAnsi="Times New Roman"/>
          <w:bCs/>
          <w:iCs/>
        </w:rPr>
        <w:t>i</w:t>
      </w:r>
      <w:r w:rsidR="00C87531" w:rsidRPr="00605209">
        <w:rPr>
          <w:rFonts w:ascii="Times New Roman" w:hAnsi="Times New Roman"/>
          <w:bCs/>
          <w:iCs/>
        </w:rPr>
        <w:t>a</w:t>
      </w:r>
      <w:r w:rsidR="00925AD1" w:rsidRPr="00605209">
        <w:rPr>
          <w:rFonts w:ascii="Times New Roman" w:hAnsi="Times New Roman"/>
          <w:bCs/>
          <w:iCs/>
        </w:rPr>
        <w:t>l</w:t>
      </w:r>
      <w:r w:rsidR="00C87531" w:rsidRPr="00605209">
        <w:rPr>
          <w:rFonts w:ascii="Times New Roman" w:hAnsi="Times New Roman"/>
          <w:bCs/>
          <w:iCs/>
        </w:rPr>
        <w:t xml:space="preserve"> planning business specialist </w:t>
      </w:r>
      <w:r w:rsidR="00C44477" w:rsidRPr="00605209">
        <w:rPr>
          <w:rFonts w:ascii="Times New Roman" w:hAnsi="Times New Roman"/>
          <w:bCs/>
          <w:iCs/>
        </w:rPr>
        <w:t>for the Respondent</w:t>
      </w:r>
      <w:r w:rsidR="00925AD1" w:rsidRPr="00605209">
        <w:rPr>
          <w:rFonts w:ascii="Times New Roman" w:hAnsi="Times New Roman"/>
          <w:bCs/>
          <w:iCs/>
        </w:rPr>
        <w:t xml:space="preserve">, </w:t>
      </w:r>
      <w:r w:rsidR="00FF26E3" w:rsidRPr="00605209">
        <w:rPr>
          <w:rFonts w:ascii="Times New Roman" w:hAnsi="Times New Roman"/>
        </w:rPr>
        <w:t xml:space="preserve">who sponsored </w:t>
      </w:r>
      <w:r w:rsidR="00E61478" w:rsidRPr="00605209">
        <w:rPr>
          <w:rFonts w:ascii="Times New Roman" w:hAnsi="Times New Roman"/>
        </w:rPr>
        <w:t>eight</w:t>
      </w:r>
      <w:r w:rsidR="00FF26E3" w:rsidRPr="00605209">
        <w:rPr>
          <w:rFonts w:ascii="Times New Roman" w:hAnsi="Times New Roman"/>
        </w:rPr>
        <w:t xml:space="preserve"> exhibits:</w:t>
      </w:r>
    </w:p>
    <w:p w:rsidR="00690D9E" w:rsidRPr="00605209" w:rsidRDefault="00690D9E" w:rsidP="00D975AC">
      <w:pPr>
        <w:pStyle w:val="BodyText"/>
        <w:tabs>
          <w:tab w:val="clear" w:pos="1980"/>
          <w:tab w:val="left" w:pos="0"/>
        </w:tabs>
        <w:spacing w:line="240" w:lineRule="auto"/>
        <w:ind w:left="1440"/>
        <w:jc w:val="left"/>
        <w:rPr>
          <w:rFonts w:ascii="Times New Roman" w:hAnsi="Times New Roman"/>
        </w:rPr>
      </w:pPr>
    </w:p>
    <w:p w:rsidR="001136D4" w:rsidRPr="00605209" w:rsidRDefault="00C87531"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w:t>
      </w:r>
      <w:r w:rsidR="00FF26E3" w:rsidRPr="00605209">
        <w:rPr>
          <w:rFonts w:ascii="Times New Roman" w:hAnsi="Times New Roman"/>
        </w:rPr>
        <w:t xml:space="preserve"> Exhibit 1</w:t>
      </w:r>
      <w:r w:rsidR="000205CB" w:rsidRPr="00605209">
        <w:rPr>
          <w:rFonts w:ascii="Times New Roman" w:hAnsi="Times New Roman"/>
        </w:rPr>
        <w:t xml:space="preserve"> </w:t>
      </w:r>
      <w:r w:rsidR="00FF26E3" w:rsidRPr="00605209">
        <w:rPr>
          <w:rFonts w:ascii="Times New Roman" w:hAnsi="Times New Roman"/>
        </w:rPr>
        <w:t>-</w:t>
      </w:r>
      <w:r w:rsidR="000205CB" w:rsidRPr="00605209">
        <w:rPr>
          <w:rFonts w:ascii="Times New Roman" w:hAnsi="Times New Roman"/>
        </w:rPr>
        <w:t xml:space="preserve"> </w:t>
      </w:r>
      <w:r w:rsidR="00BA3EC0" w:rsidRPr="00605209">
        <w:rPr>
          <w:rFonts w:ascii="Times New Roman" w:hAnsi="Times New Roman"/>
        </w:rPr>
        <w:t>PPL’s tariff for Rate Schedule GS-1 Small General Service at Secondary Voltage effective Jan. 1, 2011</w:t>
      </w:r>
      <w:r w:rsidR="00E00E87" w:rsidRPr="00605209">
        <w:rPr>
          <w:rFonts w:ascii="Times New Roman" w:hAnsi="Times New Roman"/>
        </w:rPr>
        <w:t>-</w:t>
      </w:r>
      <w:r w:rsidR="00CD2A92" w:rsidRPr="00605209">
        <w:rPr>
          <w:rFonts w:ascii="Times New Roman" w:hAnsi="Times New Roman"/>
        </w:rPr>
        <w:t>Host Account Rate Schedule</w:t>
      </w:r>
      <w:r w:rsidR="00FF26E3" w:rsidRPr="00605209">
        <w:rPr>
          <w:rFonts w:ascii="Times New Roman" w:hAnsi="Times New Roman"/>
        </w:rPr>
        <w:t>;</w:t>
      </w:r>
    </w:p>
    <w:p w:rsidR="001136D4" w:rsidRPr="00605209" w:rsidRDefault="00D403BA"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Exhibit 2-</w:t>
      </w:r>
      <w:r w:rsidR="00C4707A" w:rsidRPr="00605209">
        <w:rPr>
          <w:rFonts w:ascii="Times New Roman" w:hAnsi="Times New Roman"/>
        </w:rPr>
        <w:t xml:space="preserve"> </w:t>
      </w:r>
      <w:r w:rsidRPr="00605209">
        <w:rPr>
          <w:rFonts w:ascii="Times New Roman" w:hAnsi="Times New Roman"/>
        </w:rPr>
        <w:t>Rate Schedule RS Residential Service</w:t>
      </w:r>
      <w:r w:rsidR="00C44477" w:rsidRPr="00605209">
        <w:rPr>
          <w:rFonts w:ascii="Times New Roman" w:hAnsi="Times New Roman"/>
        </w:rPr>
        <w:t xml:space="preserve"> effective </w:t>
      </w:r>
      <w:r w:rsidR="00B8689C" w:rsidRPr="00605209">
        <w:rPr>
          <w:rFonts w:ascii="Times New Roman" w:hAnsi="Times New Roman"/>
        </w:rPr>
        <w:t>J</w:t>
      </w:r>
      <w:r w:rsidR="00C44477" w:rsidRPr="00605209">
        <w:rPr>
          <w:rFonts w:ascii="Times New Roman" w:hAnsi="Times New Roman"/>
        </w:rPr>
        <w:t>une 1, 2012</w:t>
      </w:r>
      <w:r w:rsidR="0009222E" w:rsidRPr="00605209">
        <w:rPr>
          <w:rFonts w:ascii="Times New Roman" w:hAnsi="Times New Roman"/>
        </w:rPr>
        <w:t>-</w:t>
      </w:r>
      <w:r w:rsidRPr="00605209">
        <w:rPr>
          <w:rFonts w:ascii="Times New Roman" w:hAnsi="Times New Roman"/>
        </w:rPr>
        <w:t>Satellite Account Rate Schedule;</w:t>
      </w:r>
    </w:p>
    <w:p w:rsidR="001136D4" w:rsidRPr="00605209" w:rsidRDefault="00D403BA"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Exhibit 3</w:t>
      </w:r>
      <w:r w:rsidR="00C4707A" w:rsidRPr="00605209">
        <w:rPr>
          <w:rFonts w:ascii="Times New Roman" w:hAnsi="Times New Roman"/>
        </w:rPr>
        <w:t xml:space="preserve"> </w:t>
      </w:r>
      <w:r w:rsidRPr="00605209">
        <w:rPr>
          <w:rFonts w:ascii="Times New Roman" w:hAnsi="Times New Roman"/>
        </w:rPr>
        <w:t>-</w:t>
      </w:r>
      <w:r w:rsidR="00C4707A" w:rsidRPr="00605209">
        <w:rPr>
          <w:rFonts w:ascii="Times New Roman" w:hAnsi="Times New Roman"/>
        </w:rPr>
        <w:t xml:space="preserve"> </w:t>
      </w:r>
      <w:r w:rsidRPr="00605209">
        <w:rPr>
          <w:rFonts w:ascii="Times New Roman" w:hAnsi="Times New Roman"/>
        </w:rPr>
        <w:t>2007 Net and Virtual Metering Tariffs;</w:t>
      </w:r>
    </w:p>
    <w:p w:rsidR="001136D4" w:rsidRPr="00605209" w:rsidRDefault="00D403BA"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Exhibit 4</w:t>
      </w:r>
      <w:r w:rsidR="00C4707A" w:rsidRPr="00605209">
        <w:rPr>
          <w:rFonts w:ascii="Times New Roman" w:hAnsi="Times New Roman"/>
        </w:rPr>
        <w:t xml:space="preserve"> </w:t>
      </w:r>
      <w:r w:rsidRPr="00605209">
        <w:rPr>
          <w:rFonts w:ascii="Times New Roman" w:hAnsi="Times New Roman"/>
        </w:rPr>
        <w:t>-</w:t>
      </w:r>
      <w:r w:rsidR="00C4707A" w:rsidRPr="00605209">
        <w:rPr>
          <w:rFonts w:ascii="Times New Roman" w:hAnsi="Times New Roman"/>
        </w:rPr>
        <w:t xml:space="preserve"> </w:t>
      </w:r>
      <w:r w:rsidRPr="00605209">
        <w:rPr>
          <w:rFonts w:ascii="Times New Roman" w:hAnsi="Times New Roman"/>
        </w:rPr>
        <w:t>2011 Net and Virtual Metering Tariffs effective January 1, 2011;</w:t>
      </w:r>
    </w:p>
    <w:p w:rsidR="001136D4" w:rsidRPr="00605209" w:rsidRDefault="00D403BA"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lastRenderedPageBreak/>
        <w:t>PPL Exhibit 5</w:t>
      </w:r>
      <w:r w:rsidR="00C4707A" w:rsidRPr="00605209">
        <w:rPr>
          <w:rFonts w:ascii="Times New Roman" w:hAnsi="Times New Roman"/>
        </w:rPr>
        <w:t xml:space="preserve"> </w:t>
      </w:r>
      <w:r w:rsidRPr="00605209">
        <w:rPr>
          <w:rFonts w:ascii="Times New Roman" w:hAnsi="Times New Roman"/>
        </w:rPr>
        <w:t>-</w:t>
      </w:r>
      <w:r w:rsidR="00C4707A" w:rsidRPr="00605209">
        <w:rPr>
          <w:rFonts w:ascii="Times New Roman" w:hAnsi="Times New Roman"/>
        </w:rPr>
        <w:t xml:space="preserve"> </w:t>
      </w:r>
      <w:r w:rsidRPr="00605209">
        <w:rPr>
          <w:rFonts w:ascii="Times New Roman" w:hAnsi="Times New Roman"/>
        </w:rPr>
        <w:t>the Chart of Credits to Host Account;</w:t>
      </w:r>
    </w:p>
    <w:p w:rsidR="001136D4" w:rsidRPr="00605209" w:rsidRDefault="00D403BA"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Exhibit 6</w:t>
      </w:r>
      <w:r w:rsidR="00C4707A" w:rsidRPr="00605209">
        <w:rPr>
          <w:rFonts w:ascii="Times New Roman" w:hAnsi="Times New Roman"/>
        </w:rPr>
        <w:t xml:space="preserve"> </w:t>
      </w:r>
      <w:r w:rsidRPr="00605209">
        <w:rPr>
          <w:rFonts w:ascii="Times New Roman" w:hAnsi="Times New Roman"/>
        </w:rPr>
        <w:t>-</w:t>
      </w:r>
      <w:r w:rsidR="00C4707A" w:rsidRPr="00605209">
        <w:rPr>
          <w:rFonts w:ascii="Times New Roman" w:hAnsi="Times New Roman"/>
        </w:rPr>
        <w:t xml:space="preserve"> </w:t>
      </w:r>
      <w:r w:rsidR="00F95D0A" w:rsidRPr="00605209">
        <w:rPr>
          <w:rFonts w:ascii="Times New Roman" w:hAnsi="Times New Roman"/>
        </w:rPr>
        <w:t xml:space="preserve">Complainant’s </w:t>
      </w:r>
      <w:r w:rsidRPr="00605209">
        <w:rPr>
          <w:rFonts w:ascii="Times New Roman" w:hAnsi="Times New Roman"/>
        </w:rPr>
        <w:t xml:space="preserve">Bureau of Consumer Services’ </w:t>
      </w:r>
      <w:r w:rsidR="00F95D0A" w:rsidRPr="00605209">
        <w:rPr>
          <w:rFonts w:ascii="Times New Roman" w:hAnsi="Times New Roman"/>
        </w:rPr>
        <w:t>(“BCS”) informal complaint and the BCS d</w:t>
      </w:r>
      <w:r w:rsidRPr="00605209">
        <w:rPr>
          <w:rFonts w:ascii="Times New Roman" w:hAnsi="Times New Roman"/>
        </w:rPr>
        <w:t>ecision dated February 2, 2011;</w:t>
      </w:r>
    </w:p>
    <w:p w:rsidR="001136D4" w:rsidRPr="00605209" w:rsidRDefault="00D403BA"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 Exhibit 7</w:t>
      </w:r>
      <w:r w:rsidR="00C4707A" w:rsidRPr="00605209">
        <w:rPr>
          <w:rFonts w:ascii="Times New Roman" w:hAnsi="Times New Roman"/>
        </w:rPr>
        <w:t xml:space="preserve"> </w:t>
      </w:r>
      <w:r w:rsidRPr="00605209">
        <w:rPr>
          <w:rFonts w:ascii="Times New Roman" w:hAnsi="Times New Roman"/>
        </w:rPr>
        <w:t>-</w:t>
      </w:r>
      <w:r w:rsidR="00C4707A" w:rsidRPr="00605209">
        <w:rPr>
          <w:rFonts w:ascii="Times New Roman" w:hAnsi="Times New Roman"/>
        </w:rPr>
        <w:t xml:space="preserve"> </w:t>
      </w:r>
      <w:r w:rsidR="0009222E" w:rsidRPr="00605209">
        <w:rPr>
          <w:rFonts w:ascii="Times New Roman" w:hAnsi="Times New Roman"/>
        </w:rPr>
        <w:t>April 2009 to May 2012</w:t>
      </w:r>
      <w:r w:rsidR="00F95D0A" w:rsidRPr="00605209">
        <w:rPr>
          <w:rFonts w:ascii="Times New Roman" w:hAnsi="Times New Roman"/>
        </w:rPr>
        <w:t xml:space="preserve"> </w:t>
      </w:r>
      <w:r w:rsidR="0009222E" w:rsidRPr="00605209">
        <w:rPr>
          <w:rFonts w:ascii="Times New Roman" w:hAnsi="Times New Roman"/>
        </w:rPr>
        <w:t>worksheets</w:t>
      </w:r>
      <w:r w:rsidRPr="00605209">
        <w:rPr>
          <w:rFonts w:ascii="Times New Roman" w:hAnsi="Times New Roman"/>
        </w:rPr>
        <w:t>;</w:t>
      </w:r>
      <w:r w:rsidR="009961B0" w:rsidRPr="00605209">
        <w:rPr>
          <w:rFonts w:ascii="Times New Roman" w:hAnsi="Times New Roman"/>
        </w:rPr>
        <w:t xml:space="preserve"> and</w:t>
      </w:r>
    </w:p>
    <w:p w:rsidR="00FF26E3" w:rsidRPr="00605209" w:rsidRDefault="00C87531"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PPL</w:t>
      </w:r>
      <w:r w:rsidR="00433383" w:rsidRPr="00605209">
        <w:rPr>
          <w:rFonts w:ascii="Times New Roman" w:hAnsi="Times New Roman"/>
        </w:rPr>
        <w:t xml:space="preserve"> Exhibit 8</w:t>
      </w:r>
      <w:r w:rsidR="00C4707A" w:rsidRPr="00605209">
        <w:rPr>
          <w:rFonts w:ascii="Times New Roman" w:hAnsi="Times New Roman"/>
        </w:rPr>
        <w:t xml:space="preserve"> </w:t>
      </w:r>
      <w:r w:rsidR="00433383" w:rsidRPr="00605209">
        <w:rPr>
          <w:rFonts w:ascii="Times New Roman" w:hAnsi="Times New Roman"/>
        </w:rPr>
        <w:t>-</w:t>
      </w:r>
      <w:r w:rsidR="00C4707A" w:rsidRPr="00605209">
        <w:rPr>
          <w:rFonts w:ascii="Times New Roman" w:hAnsi="Times New Roman"/>
        </w:rPr>
        <w:t xml:space="preserve"> </w:t>
      </w:r>
      <w:r w:rsidR="00E00E87" w:rsidRPr="00605209">
        <w:rPr>
          <w:rFonts w:ascii="Times New Roman" w:hAnsi="Times New Roman"/>
        </w:rPr>
        <w:t xml:space="preserve">computation of </w:t>
      </w:r>
      <w:r w:rsidR="00756DB6" w:rsidRPr="00605209">
        <w:rPr>
          <w:rFonts w:ascii="Times New Roman" w:hAnsi="Times New Roman"/>
        </w:rPr>
        <w:t xml:space="preserve">the </w:t>
      </w:r>
      <w:r w:rsidR="00CD2A92" w:rsidRPr="00605209">
        <w:rPr>
          <w:rFonts w:ascii="Times New Roman" w:hAnsi="Times New Roman"/>
        </w:rPr>
        <w:t>difference</w:t>
      </w:r>
      <w:r w:rsidR="00AF17CC" w:rsidRPr="00605209">
        <w:rPr>
          <w:rFonts w:ascii="Times New Roman" w:hAnsi="Times New Roman"/>
        </w:rPr>
        <w:t xml:space="preserve"> </w:t>
      </w:r>
      <w:r w:rsidR="00E00E87" w:rsidRPr="00605209">
        <w:rPr>
          <w:rFonts w:ascii="Times New Roman" w:hAnsi="Times New Roman"/>
        </w:rPr>
        <w:t xml:space="preserve">between </w:t>
      </w:r>
      <w:r w:rsidR="00756DB6" w:rsidRPr="00605209">
        <w:rPr>
          <w:rFonts w:ascii="Times New Roman" w:hAnsi="Times New Roman"/>
        </w:rPr>
        <w:t xml:space="preserve">the </w:t>
      </w:r>
      <w:r w:rsidR="00353EAC" w:rsidRPr="00605209">
        <w:rPr>
          <w:rFonts w:ascii="Times New Roman" w:hAnsi="Times New Roman"/>
        </w:rPr>
        <w:t>credits that were applied</w:t>
      </w:r>
      <w:r w:rsidR="00E00E87" w:rsidRPr="00605209">
        <w:rPr>
          <w:rFonts w:ascii="Times New Roman" w:hAnsi="Times New Roman"/>
        </w:rPr>
        <w:t xml:space="preserve"> and </w:t>
      </w:r>
      <w:r w:rsidR="00756DB6" w:rsidRPr="00605209">
        <w:rPr>
          <w:rFonts w:ascii="Times New Roman" w:hAnsi="Times New Roman"/>
        </w:rPr>
        <w:t xml:space="preserve">the </w:t>
      </w:r>
      <w:r w:rsidR="00353EAC" w:rsidRPr="00605209">
        <w:rPr>
          <w:rFonts w:ascii="Times New Roman" w:hAnsi="Times New Roman"/>
        </w:rPr>
        <w:t>credits that</w:t>
      </w:r>
      <w:r w:rsidR="00756DB6" w:rsidRPr="00605209">
        <w:rPr>
          <w:rFonts w:ascii="Times New Roman" w:hAnsi="Times New Roman"/>
        </w:rPr>
        <w:t xml:space="preserve"> should have been applied</w:t>
      </w:r>
      <w:r w:rsidR="00C44477" w:rsidRPr="00605209">
        <w:rPr>
          <w:rFonts w:ascii="Times New Roman" w:hAnsi="Times New Roman"/>
        </w:rPr>
        <w:t xml:space="preserve"> to the Complainant’s accounts</w:t>
      </w:r>
      <w:r w:rsidR="00433383" w:rsidRPr="00605209">
        <w:rPr>
          <w:rFonts w:ascii="Times New Roman" w:hAnsi="Times New Roman"/>
        </w:rPr>
        <w:t>.</w:t>
      </w:r>
      <w:r w:rsidR="00FF26E3" w:rsidRPr="00605209">
        <w:rPr>
          <w:rFonts w:ascii="Times New Roman" w:hAnsi="Times New Roman"/>
        </w:rPr>
        <w:t xml:space="preserve"> </w:t>
      </w:r>
    </w:p>
    <w:p w:rsidR="00B27035" w:rsidRPr="00605209" w:rsidRDefault="00B27035" w:rsidP="00D975AC">
      <w:pPr>
        <w:pStyle w:val="BodyText"/>
        <w:tabs>
          <w:tab w:val="clear" w:pos="1980"/>
          <w:tab w:val="left" w:pos="0"/>
        </w:tabs>
        <w:spacing w:line="360" w:lineRule="auto"/>
        <w:jc w:val="left"/>
        <w:rPr>
          <w:rFonts w:ascii="Times New Roman" w:hAnsi="Times New Roman"/>
        </w:rPr>
      </w:pPr>
    </w:p>
    <w:p w:rsidR="00202923" w:rsidRPr="00605209" w:rsidRDefault="00820289"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550386" w:rsidRPr="00605209">
        <w:rPr>
          <w:rFonts w:ascii="Times New Roman" w:hAnsi="Times New Roman"/>
        </w:rPr>
        <w:t xml:space="preserve">The Complainant presented the following </w:t>
      </w:r>
      <w:r w:rsidRPr="00605209">
        <w:rPr>
          <w:rFonts w:ascii="Times New Roman" w:hAnsi="Times New Roman"/>
        </w:rPr>
        <w:t>Complainant’s</w:t>
      </w:r>
      <w:r w:rsidR="00550386" w:rsidRPr="00605209">
        <w:rPr>
          <w:rFonts w:ascii="Times New Roman" w:hAnsi="Times New Roman"/>
        </w:rPr>
        <w:t xml:space="preserve"> Cross Exhibits:  </w:t>
      </w:r>
    </w:p>
    <w:p w:rsidR="001136D4" w:rsidRPr="00605209" w:rsidRDefault="001D4623"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Cross Exhibit 1</w:t>
      </w:r>
      <w:r w:rsidR="00C4707A" w:rsidRPr="00605209">
        <w:rPr>
          <w:rFonts w:ascii="Times New Roman" w:hAnsi="Times New Roman"/>
        </w:rPr>
        <w:t xml:space="preserve"> </w:t>
      </w:r>
      <w:r w:rsidRPr="00605209">
        <w:rPr>
          <w:rFonts w:ascii="Times New Roman" w:hAnsi="Times New Roman"/>
        </w:rPr>
        <w:t>-</w:t>
      </w:r>
      <w:r w:rsidR="00C4707A" w:rsidRPr="00605209">
        <w:rPr>
          <w:rFonts w:ascii="Times New Roman" w:hAnsi="Times New Roman"/>
        </w:rPr>
        <w:t xml:space="preserve"> </w:t>
      </w:r>
      <w:r w:rsidRPr="00605209">
        <w:rPr>
          <w:rFonts w:ascii="Times New Roman" w:hAnsi="Times New Roman"/>
        </w:rPr>
        <w:t xml:space="preserve">e-mail dated April 29, 2011 from Mr. Erney </w:t>
      </w:r>
      <w:r w:rsidR="002A6DEA" w:rsidRPr="00605209">
        <w:rPr>
          <w:rFonts w:ascii="Times New Roman" w:hAnsi="Times New Roman"/>
        </w:rPr>
        <w:t>regarding the Complainant’s complaint;</w:t>
      </w:r>
    </w:p>
    <w:p w:rsidR="001D4623" w:rsidRPr="00605209" w:rsidRDefault="002A6DEA" w:rsidP="00D975AC">
      <w:pPr>
        <w:pStyle w:val="BodyText"/>
        <w:tabs>
          <w:tab w:val="clear" w:pos="1980"/>
          <w:tab w:val="left" w:pos="0"/>
        </w:tabs>
        <w:spacing w:line="240" w:lineRule="auto"/>
        <w:ind w:left="1440"/>
        <w:jc w:val="left"/>
        <w:rPr>
          <w:rFonts w:ascii="Times New Roman" w:hAnsi="Times New Roman"/>
        </w:rPr>
      </w:pPr>
      <w:r w:rsidRPr="00605209">
        <w:rPr>
          <w:rFonts w:ascii="Times New Roman" w:hAnsi="Times New Roman"/>
        </w:rPr>
        <w:t>Complainant’s Cross Exhibit 2</w:t>
      </w:r>
      <w:r w:rsidR="00C4707A" w:rsidRPr="00605209">
        <w:rPr>
          <w:rFonts w:ascii="Times New Roman" w:hAnsi="Times New Roman"/>
        </w:rPr>
        <w:t xml:space="preserve"> </w:t>
      </w:r>
      <w:r w:rsidRPr="00605209">
        <w:rPr>
          <w:rFonts w:ascii="Times New Roman" w:hAnsi="Times New Roman"/>
        </w:rPr>
        <w:t>-</w:t>
      </w:r>
      <w:r w:rsidR="00C4707A" w:rsidRPr="00605209">
        <w:rPr>
          <w:rFonts w:ascii="Times New Roman" w:hAnsi="Times New Roman"/>
        </w:rPr>
        <w:t xml:space="preserve"> </w:t>
      </w:r>
      <w:r w:rsidRPr="00605209">
        <w:rPr>
          <w:rFonts w:ascii="Times New Roman" w:hAnsi="Times New Roman"/>
        </w:rPr>
        <w:t>e-mail dated July 12, 2011</w:t>
      </w:r>
      <w:r w:rsidR="00C44477" w:rsidRPr="00605209">
        <w:rPr>
          <w:rFonts w:ascii="Times New Roman" w:hAnsi="Times New Roman"/>
        </w:rPr>
        <w:t>,</w:t>
      </w:r>
      <w:r w:rsidRPr="00605209">
        <w:rPr>
          <w:rFonts w:ascii="Times New Roman" w:hAnsi="Times New Roman"/>
        </w:rPr>
        <w:t xml:space="preserve"> from Mr. Erney regarding the Complainant’s net metering application. </w:t>
      </w:r>
    </w:p>
    <w:p w:rsidR="002A6DEA" w:rsidRPr="00605209" w:rsidRDefault="002A6DEA" w:rsidP="00D975AC">
      <w:pPr>
        <w:spacing w:line="360" w:lineRule="auto"/>
      </w:pPr>
    </w:p>
    <w:p w:rsidR="00FF26E3" w:rsidRPr="00605209" w:rsidRDefault="00FF26E3" w:rsidP="00D975AC">
      <w:pPr>
        <w:spacing w:line="360" w:lineRule="auto"/>
      </w:pPr>
      <w:r w:rsidRPr="00605209">
        <w:tab/>
      </w:r>
      <w:r w:rsidRPr="00605209">
        <w:tab/>
        <w:t xml:space="preserve">The record </w:t>
      </w:r>
      <w:r w:rsidR="0034530D" w:rsidRPr="00605209">
        <w:t>c</w:t>
      </w:r>
      <w:r w:rsidRPr="00605209">
        <w:t>onsist</w:t>
      </w:r>
      <w:r w:rsidR="001136D4" w:rsidRPr="00605209">
        <w:t>ed</w:t>
      </w:r>
      <w:r w:rsidRPr="00605209">
        <w:t xml:space="preserve"> of a </w:t>
      </w:r>
      <w:r w:rsidR="00353EAC" w:rsidRPr="00605209">
        <w:t>254-page</w:t>
      </w:r>
      <w:r w:rsidRPr="00605209">
        <w:t xml:space="preserve"> transcript of the hearing and </w:t>
      </w:r>
      <w:r w:rsidR="00820289" w:rsidRPr="00605209">
        <w:t>nin</w:t>
      </w:r>
      <w:r w:rsidR="00433383" w:rsidRPr="00605209">
        <w:t>e</w:t>
      </w:r>
      <w:r w:rsidR="00756DB6" w:rsidRPr="00605209">
        <w:t>teen</w:t>
      </w:r>
      <w:r w:rsidR="00433383" w:rsidRPr="00605209">
        <w:t xml:space="preserve"> </w:t>
      </w:r>
      <w:r w:rsidRPr="00605209">
        <w:t>exhibits.  Th</w:t>
      </w:r>
      <w:r w:rsidR="00A91328" w:rsidRPr="00605209">
        <w:t>e</w:t>
      </w:r>
      <w:r w:rsidRPr="00605209">
        <w:t xml:space="preserve"> record closed on </w:t>
      </w:r>
      <w:r w:rsidR="003C4CBE" w:rsidRPr="00605209">
        <w:t>September</w:t>
      </w:r>
      <w:r w:rsidR="00433383" w:rsidRPr="00605209">
        <w:t xml:space="preserve"> </w:t>
      </w:r>
      <w:r w:rsidR="003C4CBE" w:rsidRPr="00605209">
        <w:t>7</w:t>
      </w:r>
      <w:r w:rsidR="00433383" w:rsidRPr="00605209">
        <w:t>, 2012</w:t>
      </w:r>
      <w:r w:rsidR="00A91328" w:rsidRPr="00605209">
        <w:t>, when the transcript was received</w:t>
      </w:r>
      <w:r w:rsidR="00433383" w:rsidRPr="00605209">
        <w:t>.</w:t>
      </w:r>
      <w:r w:rsidR="00A11EAA" w:rsidRPr="00605209">
        <w:t xml:space="preserve"> </w:t>
      </w:r>
    </w:p>
    <w:p w:rsidR="00C66854" w:rsidRPr="00605209" w:rsidRDefault="00C66854" w:rsidP="00D975AC">
      <w:pPr>
        <w:spacing w:line="360" w:lineRule="auto"/>
      </w:pPr>
    </w:p>
    <w:p w:rsidR="00C66854" w:rsidRPr="00605209" w:rsidRDefault="00FC08B6" w:rsidP="00D975AC">
      <w:pPr>
        <w:spacing w:line="360" w:lineRule="auto"/>
      </w:pPr>
      <w:r w:rsidRPr="00605209">
        <w:tab/>
      </w:r>
      <w:r w:rsidRPr="00605209">
        <w:tab/>
      </w:r>
      <w:r w:rsidR="00C66854" w:rsidRPr="00605209">
        <w:t xml:space="preserve">By Initial Decision </w:t>
      </w:r>
      <w:r w:rsidR="001136D4" w:rsidRPr="00605209">
        <w:t xml:space="preserve">dated </w:t>
      </w:r>
      <w:r w:rsidR="00592D70" w:rsidRPr="00605209">
        <w:t>January 23, 2013</w:t>
      </w:r>
      <w:r w:rsidR="00C66854" w:rsidRPr="00605209">
        <w:t xml:space="preserve">, the </w:t>
      </w:r>
      <w:r w:rsidR="009961B0" w:rsidRPr="00605209">
        <w:t xml:space="preserve">undersigned </w:t>
      </w:r>
      <w:r w:rsidR="00690D9E" w:rsidRPr="00605209">
        <w:t xml:space="preserve">stated that the Complainant failed to prove by a preponderance of the evidence that the Respondent failed to aggregate the Complainant’s accounts according to the virtual net metering provisions in the Respondent’s Net Metering Rider or that the Respondent failed to fully reimburse the Complainant for the electricity generated.  Accordingly, the undersigned </w:t>
      </w:r>
      <w:r w:rsidR="00C66854" w:rsidRPr="00605209">
        <w:t xml:space="preserve">dismissed the </w:t>
      </w:r>
      <w:r w:rsidR="003C5EE4" w:rsidRPr="00605209">
        <w:t>f</w:t>
      </w:r>
      <w:r w:rsidR="00C66854" w:rsidRPr="00605209">
        <w:t xml:space="preserve">irst </w:t>
      </w:r>
      <w:r w:rsidR="003C5EE4" w:rsidRPr="00605209">
        <w:t>c</w:t>
      </w:r>
      <w:r w:rsidR="00C66854" w:rsidRPr="00605209">
        <w:t xml:space="preserve">omplaint.  </w:t>
      </w:r>
    </w:p>
    <w:p w:rsidR="00FC08B6" w:rsidRPr="00605209" w:rsidRDefault="00FC08B6" w:rsidP="00D975AC">
      <w:pPr>
        <w:pStyle w:val="BodyText2"/>
      </w:pPr>
    </w:p>
    <w:p w:rsidR="00C66854" w:rsidRPr="00605209" w:rsidRDefault="00FC08B6" w:rsidP="00D975AC">
      <w:pPr>
        <w:pStyle w:val="BodyText2"/>
        <w:jc w:val="left"/>
      </w:pPr>
      <w:r w:rsidRPr="00605209">
        <w:tab/>
      </w:r>
      <w:r w:rsidRPr="00605209">
        <w:tab/>
      </w:r>
      <w:r w:rsidR="00C66854" w:rsidRPr="00605209">
        <w:t xml:space="preserve">On March 15, 2013, the Complainant filed Exceptions to the Initial Decision with a Request for Oral Argument.  In the Exceptions, the Complainant reiterated his concerns </w:t>
      </w:r>
      <w:r w:rsidR="00690D9E" w:rsidRPr="00605209">
        <w:t>regarding</w:t>
      </w:r>
      <w:r w:rsidR="00C66854" w:rsidRPr="00605209">
        <w:t xml:space="preserve"> </w:t>
      </w:r>
      <w:r w:rsidR="00991E1F" w:rsidRPr="00605209">
        <w:t>t</w:t>
      </w:r>
      <w:r w:rsidR="006D3514" w:rsidRPr="00605209">
        <w:t>he Respondent</w:t>
      </w:r>
      <w:r w:rsidR="00C66854" w:rsidRPr="00605209">
        <w:t>’s billing</w:t>
      </w:r>
      <w:r w:rsidR="00FD4AA7" w:rsidRPr="00605209">
        <w:t xml:space="preserve"> process and disagreed with the interpretation of the Respondent’s tariff </w:t>
      </w:r>
      <w:r w:rsidR="00C66854" w:rsidRPr="00605209">
        <w:t>for virtual net metering</w:t>
      </w:r>
      <w:r w:rsidR="00FD4AA7" w:rsidRPr="00605209">
        <w:t xml:space="preserve"> and the amount of compensation the Complainant should receive</w:t>
      </w:r>
      <w:r w:rsidR="00C66854" w:rsidRPr="00605209">
        <w:t xml:space="preserve">.  </w:t>
      </w:r>
      <w:r w:rsidR="006D3514" w:rsidRPr="00605209">
        <w:t>The Respondent</w:t>
      </w:r>
      <w:r w:rsidR="00C66854" w:rsidRPr="00605209">
        <w:t xml:space="preserve"> filed Reply Exceptions on March 29, 2013</w:t>
      </w:r>
      <w:r w:rsidR="006F24B4" w:rsidRPr="00605209">
        <w:t>,</w:t>
      </w:r>
      <w:r w:rsidR="006D3514" w:rsidRPr="00605209">
        <w:t xml:space="preserve"> refuting the exceptions</w:t>
      </w:r>
      <w:r w:rsidR="00991E1F" w:rsidRPr="00605209">
        <w:t>,</w:t>
      </w:r>
      <w:r w:rsidR="006D3514" w:rsidRPr="00605209">
        <w:t xml:space="preserve"> especially the exceptions regarding the billing process and the accuracy of the credits that the Complainant received</w:t>
      </w:r>
      <w:r w:rsidR="00C66854" w:rsidRPr="00605209">
        <w:t xml:space="preserve">.  </w:t>
      </w:r>
      <w:r w:rsidR="001136D4" w:rsidRPr="00605209">
        <w:t>Subsequently</w:t>
      </w:r>
      <w:r w:rsidR="00C66854" w:rsidRPr="00605209">
        <w:t xml:space="preserve">, the Complainant filed numerous requests to reopen the record and submit additional information in support of his </w:t>
      </w:r>
      <w:r w:rsidR="006D3514" w:rsidRPr="00605209">
        <w:t>f</w:t>
      </w:r>
      <w:r w:rsidR="00C66854" w:rsidRPr="00605209">
        <w:t xml:space="preserve">irst </w:t>
      </w:r>
      <w:r w:rsidR="006D3514" w:rsidRPr="00605209">
        <w:t>c</w:t>
      </w:r>
      <w:r w:rsidR="00C66854" w:rsidRPr="00605209">
        <w:t xml:space="preserve">omplaint.  </w:t>
      </w:r>
      <w:r w:rsidR="006D3514" w:rsidRPr="00605209">
        <w:t>The Respondent</w:t>
      </w:r>
      <w:r w:rsidR="00C66854" w:rsidRPr="00605209">
        <w:t xml:space="preserve"> filed responsive pleadings.</w:t>
      </w:r>
    </w:p>
    <w:p w:rsidR="00FC08B6" w:rsidRPr="00605209" w:rsidRDefault="00FC08B6" w:rsidP="00D975AC">
      <w:pPr>
        <w:pStyle w:val="BodyText2"/>
        <w:jc w:val="left"/>
      </w:pPr>
    </w:p>
    <w:p w:rsidR="00C66854" w:rsidRPr="00605209" w:rsidRDefault="00FC08B6" w:rsidP="00497373">
      <w:pPr>
        <w:spacing w:line="360" w:lineRule="auto"/>
      </w:pPr>
      <w:r w:rsidRPr="00605209">
        <w:lastRenderedPageBreak/>
        <w:tab/>
      </w:r>
      <w:r w:rsidRPr="00605209">
        <w:tab/>
      </w:r>
      <w:r w:rsidR="00C66854" w:rsidRPr="00605209">
        <w:t xml:space="preserve">On January 9, 2014, the Commission issued an Opinion and Order, vacating the Initial Decision and remanding the </w:t>
      </w:r>
      <w:r w:rsidRPr="00605209">
        <w:t>c</w:t>
      </w:r>
      <w:r w:rsidR="00C66854" w:rsidRPr="00605209">
        <w:t xml:space="preserve">omplaint </w:t>
      </w:r>
      <w:r w:rsidRPr="00605209">
        <w:t xml:space="preserve">at </w:t>
      </w:r>
      <w:r w:rsidR="00202923" w:rsidRPr="00605209">
        <w:t>Docket No.</w:t>
      </w:r>
      <w:r w:rsidRPr="00605209">
        <w:t xml:space="preserve"> C-2011-2273645 </w:t>
      </w:r>
      <w:r w:rsidR="00C66854" w:rsidRPr="00605209">
        <w:t xml:space="preserve">to the Office of Administrative Law Judge for further proceedings as may be required to address the accuracy of the bills and credits provided by </w:t>
      </w:r>
      <w:r w:rsidR="00991E1F" w:rsidRPr="00605209">
        <w:t>t</w:t>
      </w:r>
      <w:r w:rsidR="006D3514" w:rsidRPr="00605209">
        <w:t>he Respondent</w:t>
      </w:r>
      <w:r w:rsidR="00C66854" w:rsidRPr="00605209">
        <w:t xml:space="preserve"> for the Complainant’s virtually </w:t>
      </w:r>
      <w:r w:rsidR="00353EAC" w:rsidRPr="00605209">
        <w:t>net-metered</w:t>
      </w:r>
      <w:r w:rsidR="00C66854" w:rsidRPr="00605209">
        <w:t xml:space="preserve"> accounts.  </w:t>
      </w:r>
      <w:r w:rsidR="00C66854" w:rsidRPr="00605209">
        <w:rPr>
          <w:i/>
        </w:rPr>
        <w:t>Larry Moyer v. PPL Electric Utilities Corporation</w:t>
      </w:r>
      <w:r w:rsidR="00C66854" w:rsidRPr="00605209">
        <w:t xml:space="preserve">, Docket No. C-2011-2273645, </w:t>
      </w:r>
      <w:r w:rsidRPr="00605209">
        <w:t>at</w:t>
      </w:r>
      <w:r w:rsidR="00C66854" w:rsidRPr="00605209">
        <w:t xml:space="preserve"> 20-21 (Opinion and Order entered Jan. 9, 2014) (“</w:t>
      </w:r>
      <w:r w:rsidR="00C66854" w:rsidRPr="00605209">
        <w:rPr>
          <w:i/>
        </w:rPr>
        <w:t>January 2014 Order</w:t>
      </w:r>
      <w:r w:rsidR="00C66854" w:rsidRPr="00605209">
        <w:t xml:space="preserve">”).  </w:t>
      </w:r>
      <w:r w:rsidR="003F7BEB" w:rsidRPr="00605209">
        <w:t>The Commission ordered the following, among other things</w:t>
      </w:r>
      <w:r w:rsidR="00497373" w:rsidRPr="00605209">
        <w:t>:</w:t>
      </w:r>
      <w:r w:rsidR="003F7BEB" w:rsidRPr="00605209">
        <w:t xml:space="preserve"> 1) that Mr. Moyer’s Request to Reopen the Record was granted for the limited purpose of further developing the record with regard to the bills and credits received by Mr. Moyer from PPL Electric Utilities Corporation</w:t>
      </w:r>
      <w:r w:rsidR="00497373" w:rsidRPr="00605209">
        <w:t>;</w:t>
      </w:r>
      <w:r w:rsidR="003F7BEB" w:rsidRPr="00605209">
        <w:t xml:space="preserve"> 2) that within sixty </w:t>
      </w:r>
      <w:r w:rsidR="008B6415" w:rsidRPr="00605209">
        <w:t xml:space="preserve">days </w:t>
      </w:r>
      <w:r w:rsidR="003F7BEB" w:rsidRPr="00605209">
        <w:t xml:space="preserve">PPL Electric Utilities Corporation shall file with the Office of Administrative Law Judge, the Commission Secretary and Mr. Larry Moyer, a tabulation that reflects the specific </w:t>
      </w:r>
      <w:r w:rsidR="003F7BEB" w:rsidRPr="00605209">
        <w:rPr>
          <w:i/>
        </w:rPr>
        <w:t>actual</w:t>
      </w:r>
      <w:r w:rsidR="003F7BEB" w:rsidRPr="00605209">
        <w:t xml:space="preserve"> information on a monthly basis between March 2009 and the last full monthly billing periods for the two accounts at issue in this proceeding that ended prior to the entry date of this Opinion and Order</w:t>
      </w:r>
      <w:r w:rsidR="00497373" w:rsidRPr="00605209">
        <w:t>;</w:t>
      </w:r>
      <w:r w:rsidR="003F7BEB" w:rsidRPr="00605209">
        <w:t xml:space="preserve"> 3) that PPL Electric Utilities Corporation shall utilize the relevant data to demonstrate the amount of credits and cash-out payments Complainant should have received between April 2009, and the monthly billing periods ending prior to the entry date of this Opinion and Order</w:t>
      </w:r>
      <w:r w:rsidR="00497373" w:rsidRPr="00605209">
        <w:t>;</w:t>
      </w:r>
      <w:r w:rsidR="003F7BEB" w:rsidRPr="00605209">
        <w:t xml:space="preserve"> 4) if the parties are unable to reach an agreement, Mr. Moyer may request that the Office of Administrative Law Judge schedule further hearings, but he must delineate specific errors in the bills, credits and payments rendered by PPL Electric; and 5) PPL Electric shall permit the Complainant to virtually aggregate his two existing metering accounts from March 2009 and prospectively, subject to changes in applicable laws or tariffs..  </w:t>
      </w:r>
      <w:r w:rsidR="003F7BEB" w:rsidRPr="00605209">
        <w:rPr>
          <w:i/>
        </w:rPr>
        <w:t>Larry Moyer v. PPL Electric Utilities Corporation</w:t>
      </w:r>
      <w:r w:rsidR="003F7BEB" w:rsidRPr="00605209">
        <w:t>, Docket No. C-2011-2273645, at 20-21 (Opinion and Order entered Jan. 9, 2014) (“</w:t>
      </w:r>
      <w:r w:rsidR="003F7BEB" w:rsidRPr="00605209">
        <w:rPr>
          <w:i/>
        </w:rPr>
        <w:t>January 2014 Order</w:t>
      </w:r>
      <w:r w:rsidR="003F7BEB" w:rsidRPr="00605209">
        <w:t>”)</w:t>
      </w:r>
      <w:r w:rsidR="00497373" w:rsidRPr="00605209">
        <w:t xml:space="preserve"> </w:t>
      </w:r>
      <w:r w:rsidR="00C66854" w:rsidRPr="00605209">
        <w:t>Order</w:t>
      </w:r>
      <w:r w:rsidR="003C5EE4" w:rsidRPr="00605209">
        <w:t>ing</w:t>
      </w:r>
      <w:r w:rsidR="00C66854" w:rsidRPr="00605209">
        <w:t xml:space="preserve"> Paragraphs 6-9.</w:t>
      </w:r>
    </w:p>
    <w:p w:rsidR="006D3514" w:rsidRPr="00605209" w:rsidRDefault="006D3514" w:rsidP="00D975AC">
      <w:pPr>
        <w:pStyle w:val="BodyText2"/>
        <w:jc w:val="left"/>
      </w:pPr>
    </w:p>
    <w:p w:rsidR="00C66854" w:rsidRPr="00605209" w:rsidRDefault="00FC08B6" w:rsidP="00D975AC">
      <w:pPr>
        <w:pStyle w:val="BodyText2"/>
        <w:jc w:val="left"/>
      </w:pPr>
      <w:r w:rsidRPr="00605209">
        <w:tab/>
      </w:r>
      <w:r w:rsidRPr="00605209">
        <w:tab/>
      </w:r>
      <w:r w:rsidR="00C66854" w:rsidRPr="00605209">
        <w:t xml:space="preserve">On January 17, 2014, the Complainant filed a Motion for Certification of Interlocutory Order for Immediate Appeal of </w:t>
      </w:r>
      <w:r w:rsidR="00657C96" w:rsidRPr="00605209">
        <w:t xml:space="preserve">the complaint at </w:t>
      </w:r>
      <w:r w:rsidR="00202923" w:rsidRPr="00605209">
        <w:t>Docket No.</w:t>
      </w:r>
      <w:r w:rsidR="00657C96" w:rsidRPr="00605209">
        <w:t xml:space="preserve"> C-2011-2273645</w:t>
      </w:r>
      <w:r w:rsidR="00C66854" w:rsidRPr="00605209">
        <w:t xml:space="preserve">.  On January 30, 2014, </w:t>
      </w:r>
      <w:r w:rsidR="00526E99" w:rsidRPr="00605209">
        <w:t>t</w:t>
      </w:r>
      <w:r w:rsidR="006D3514" w:rsidRPr="00605209">
        <w:t>he Respondent</w:t>
      </w:r>
      <w:r w:rsidR="00C66854" w:rsidRPr="00605209">
        <w:t xml:space="preserve"> filed an Answer in </w:t>
      </w:r>
      <w:r w:rsidR="007E193A" w:rsidRPr="00605209">
        <w:t xml:space="preserve">Opposition </w:t>
      </w:r>
      <w:r w:rsidR="00C66854" w:rsidRPr="00605209">
        <w:t xml:space="preserve">to the Motion.  On February 14, 2014, the Commission entered an Opinion and Order granting, in part, and denying, in part, the Motion filed by the Complainant on January 17, 2014.  Specifically, the Commission concluded that an immediate appeal of the </w:t>
      </w:r>
      <w:r w:rsidR="00C66854" w:rsidRPr="00605209">
        <w:rPr>
          <w:i/>
        </w:rPr>
        <w:t>January 2014 Order</w:t>
      </w:r>
      <w:r w:rsidR="00C66854" w:rsidRPr="00605209">
        <w:t xml:space="preserve"> would not advance the termination of this proceeding and, therefore, denied the Complainant’s request to permit an immediate appeal from </w:t>
      </w:r>
      <w:r w:rsidR="00C66854" w:rsidRPr="00605209">
        <w:lastRenderedPageBreak/>
        <w:t xml:space="preserve">the </w:t>
      </w:r>
      <w:r w:rsidR="00C66854" w:rsidRPr="00605209">
        <w:rPr>
          <w:i/>
        </w:rPr>
        <w:t>January 2014 Order</w:t>
      </w:r>
      <w:r w:rsidR="00C66854" w:rsidRPr="00605209">
        <w:t>.  The Commission, however, granted, in part, the Complainant’s alternative request that the Commission establish a deadline for the Law Bureau to provide a status report to the Commission regarding whether the net metering regulations need to be clarified.</w:t>
      </w:r>
      <w:r w:rsidR="00C66854" w:rsidRPr="00605209">
        <w:rPr>
          <w:vertAlign w:val="superscript"/>
        </w:rPr>
        <w:footnoteReference w:id="3"/>
      </w:r>
    </w:p>
    <w:p w:rsidR="00FC08B6" w:rsidRPr="00605209" w:rsidRDefault="00FC08B6" w:rsidP="00D975AC">
      <w:pPr>
        <w:pStyle w:val="BodyText2"/>
        <w:jc w:val="left"/>
      </w:pPr>
    </w:p>
    <w:p w:rsidR="006A4301" w:rsidRPr="00605209" w:rsidRDefault="006A4301" w:rsidP="00D975AC">
      <w:pPr>
        <w:pStyle w:val="BodyText2"/>
        <w:jc w:val="left"/>
      </w:pPr>
      <w:r w:rsidRPr="00605209">
        <w:tab/>
      </w:r>
      <w:r w:rsidRPr="00605209">
        <w:tab/>
        <w:t xml:space="preserve">On March 10, 2014, the Respondent submitted the </w:t>
      </w:r>
      <w:r w:rsidR="00942457" w:rsidRPr="00605209">
        <w:t xml:space="preserve">tabulation that reflects the specific </w:t>
      </w:r>
      <w:r w:rsidR="00942457" w:rsidRPr="00605209">
        <w:rPr>
          <w:i/>
        </w:rPr>
        <w:t>actual</w:t>
      </w:r>
      <w:r w:rsidR="00942457" w:rsidRPr="00605209">
        <w:t xml:space="preserve"> information on a monthly basis between March 2009 and the last full monthly billing periods for the two accounts at issue in this proceeding that ended prior to the entry date of the Commission Order.</w:t>
      </w:r>
    </w:p>
    <w:p w:rsidR="00942457" w:rsidRPr="00605209" w:rsidRDefault="00942457" w:rsidP="00D975AC">
      <w:pPr>
        <w:pStyle w:val="BodyText2"/>
        <w:jc w:val="left"/>
      </w:pPr>
    </w:p>
    <w:p w:rsidR="00C66854" w:rsidRPr="00605209" w:rsidRDefault="00FC08B6" w:rsidP="00D975AC">
      <w:pPr>
        <w:pStyle w:val="BodyText2"/>
        <w:jc w:val="left"/>
      </w:pPr>
      <w:r w:rsidRPr="00605209">
        <w:tab/>
      </w:r>
      <w:r w:rsidRPr="00605209">
        <w:tab/>
      </w:r>
      <w:r w:rsidR="00C66854" w:rsidRPr="00605209">
        <w:t>Subsequently, the Complainant filed two separate Petitions for Review with the Commonwealth Court at Docket Nos. 390 CD 2014 and 448 CD 2014.  By Orders dated May 14, 201</w:t>
      </w:r>
      <w:r w:rsidR="00A41CC9" w:rsidRPr="00605209">
        <w:t>4</w:t>
      </w:r>
      <w:r w:rsidR="00C66854" w:rsidRPr="00605209">
        <w:t>, and July 21, 2014, the Commonwealth Court quashed the Complainant’s two Petitions for Review.</w:t>
      </w:r>
    </w:p>
    <w:p w:rsidR="00FC08B6" w:rsidRPr="00605209" w:rsidRDefault="00FC08B6" w:rsidP="00D975AC">
      <w:pPr>
        <w:pStyle w:val="BodyText2"/>
        <w:jc w:val="left"/>
      </w:pPr>
    </w:p>
    <w:p w:rsidR="00C66854" w:rsidRPr="00605209" w:rsidRDefault="00FC08B6" w:rsidP="00D975AC">
      <w:pPr>
        <w:pStyle w:val="BodyText2"/>
        <w:jc w:val="left"/>
      </w:pPr>
      <w:r w:rsidRPr="00605209">
        <w:tab/>
      </w:r>
      <w:r w:rsidRPr="00605209">
        <w:tab/>
      </w:r>
      <w:r w:rsidR="00C66854" w:rsidRPr="00605209">
        <w:t>By correspondence dated September 26</w:t>
      </w:r>
      <w:r w:rsidR="006F24B4" w:rsidRPr="00605209">
        <w:t>, 2014</w:t>
      </w:r>
      <w:r w:rsidR="00C66854" w:rsidRPr="00605209">
        <w:t xml:space="preserve"> and October 7, 2014, the Complainant requested a further hearing on </w:t>
      </w:r>
      <w:r w:rsidR="00657C96" w:rsidRPr="00605209">
        <w:t xml:space="preserve">the complaint at </w:t>
      </w:r>
      <w:r w:rsidR="00202923" w:rsidRPr="00605209">
        <w:t>Docket No.</w:t>
      </w:r>
      <w:r w:rsidR="00657C96" w:rsidRPr="00605209">
        <w:t xml:space="preserve"> C-2011-2273645</w:t>
      </w:r>
      <w:r w:rsidR="00C66854" w:rsidRPr="00605209">
        <w:t xml:space="preserve">.  The Complainant explained his intent to introduce evidence regarding </w:t>
      </w:r>
      <w:r w:rsidR="00991E1F" w:rsidRPr="00605209">
        <w:t>t</w:t>
      </w:r>
      <w:r w:rsidR="006D3514" w:rsidRPr="00605209">
        <w:t>he Respondent</w:t>
      </w:r>
      <w:r w:rsidR="00C66854" w:rsidRPr="00605209">
        <w:t xml:space="preserve">’s billing practices for virtual net metering.  </w:t>
      </w:r>
      <w:r w:rsidR="00A1069A" w:rsidRPr="00605209">
        <w:t xml:space="preserve">It is noted that </w:t>
      </w:r>
      <w:r w:rsidR="00C66854" w:rsidRPr="00605209">
        <w:t xml:space="preserve">the Complainant’s requests for further hearings on </w:t>
      </w:r>
      <w:r w:rsidR="00657C96" w:rsidRPr="00605209">
        <w:t xml:space="preserve">the complaint at </w:t>
      </w:r>
      <w:r w:rsidR="00202923" w:rsidRPr="00605209">
        <w:t>Docket No.</w:t>
      </w:r>
      <w:r w:rsidR="00657C96" w:rsidRPr="00605209">
        <w:t xml:space="preserve"> C-2011-2273645</w:t>
      </w:r>
      <w:r w:rsidR="00C66854" w:rsidRPr="00605209">
        <w:t xml:space="preserve"> failed to “delineate </w:t>
      </w:r>
      <w:r w:rsidR="00C66854" w:rsidRPr="00605209">
        <w:rPr>
          <w:i/>
        </w:rPr>
        <w:t>specific</w:t>
      </w:r>
      <w:r w:rsidR="00C66854" w:rsidRPr="00605209">
        <w:t xml:space="preserve"> errors in the bills, credits and payments rendered by PPL Electric” as required by the Commission’s </w:t>
      </w:r>
      <w:r w:rsidR="00C66854" w:rsidRPr="00605209">
        <w:rPr>
          <w:i/>
        </w:rPr>
        <w:t>January 2014 Order</w:t>
      </w:r>
      <w:r w:rsidR="00C66854" w:rsidRPr="00605209">
        <w:t xml:space="preserve">.  </w:t>
      </w:r>
      <w:r w:rsidR="00C66854" w:rsidRPr="00605209">
        <w:rPr>
          <w:i/>
        </w:rPr>
        <w:t>See</w:t>
      </w:r>
      <w:r w:rsidR="00C66854" w:rsidRPr="00605209">
        <w:t xml:space="preserve"> </w:t>
      </w:r>
      <w:r w:rsidR="00C66854" w:rsidRPr="00605209">
        <w:rPr>
          <w:i/>
        </w:rPr>
        <w:t>January 2014 Order</w:t>
      </w:r>
      <w:r w:rsidR="00C66854" w:rsidRPr="00605209">
        <w:t>, Ordering Paragraph 8 (emphasis in original).  N</w:t>
      </w:r>
      <w:r w:rsidR="00A1069A" w:rsidRPr="00605209">
        <w:t>ever</w:t>
      </w:r>
      <w:r w:rsidR="00C66854" w:rsidRPr="00605209">
        <w:t>t</w:t>
      </w:r>
      <w:r w:rsidR="00A1069A" w:rsidRPr="00605209">
        <w:t>heless</w:t>
      </w:r>
      <w:r w:rsidR="00C66854" w:rsidRPr="00605209">
        <w:t xml:space="preserve">, by correspondence dated October 14, 2014, </w:t>
      </w:r>
      <w:r w:rsidR="00991E1F" w:rsidRPr="00605209">
        <w:t>t</w:t>
      </w:r>
      <w:r w:rsidR="006D3514" w:rsidRPr="00605209">
        <w:t>he Respondent</w:t>
      </w:r>
      <w:r w:rsidR="00C66854" w:rsidRPr="00605209">
        <w:t xml:space="preserve"> agreed that further hearings should be scheduled and requested that a prehearing conference be held to establish a litigation and hearing schedule and to address any other matters that would facilitate resolution of the matter.</w:t>
      </w:r>
    </w:p>
    <w:p w:rsidR="00B27035" w:rsidRPr="00605209" w:rsidRDefault="00B27035" w:rsidP="00D975AC">
      <w:pPr>
        <w:pStyle w:val="BodyText2"/>
        <w:jc w:val="left"/>
      </w:pPr>
    </w:p>
    <w:p w:rsidR="00A41CC9" w:rsidRPr="00605209" w:rsidRDefault="00FC08B6" w:rsidP="00D975AC">
      <w:pPr>
        <w:pStyle w:val="BodyText2"/>
        <w:jc w:val="left"/>
        <w:rPr>
          <w:color w:val="000000"/>
          <w:lang w:val="en"/>
        </w:rPr>
      </w:pPr>
      <w:r w:rsidRPr="00605209">
        <w:lastRenderedPageBreak/>
        <w:tab/>
      </w:r>
      <w:r w:rsidRPr="00605209">
        <w:tab/>
      </w:r>
      <w:r w:rsidR="00C66854" w:rsidRPr="00605209">
        <w:t xml:space="preserve">On October 23, 2014, the </w:t>
      </w:r>
      <w:r w:rsidR="009961B0" w:rsidRPr="00605209">
        <w:t xml:space="preserve">undersigned </w:t>
      </w:r>
      <w:r w:rsidR="00C66854" w:rsidRPr="00605209">
        <w:t xml:space="preserve">issued a Prehearing Order on Remand, </w:t>
      </w:r>
      <w:r w:rsidR="006F24B4" w:rsidRPr="00605209">
        <w:t>r</w:t>
      </w:r>
      <w:r w:rsidR="00C66854" w:rsidRPr="00605209">
        <w:t>e</w:t>
      </w:r>
      <w:r w:rsidR="006F24B4" w:rsidRPr="00605209">
        <w:t>gardi</w:t>
      </w:r>
      <w:r w:rsidR="00C66854" w:rsidRPr="00605209">
        <w:t xml:space="preserve">ng </w:t>
      </w:r>
      <w:r w:rsidR="00A41CC9" w:rsidRPr="00605209">
        <w:rPr>
          <w:color w:val="000000"/>
          <w:lang w:val="en"/>
        </w:rPr>
        <w:t>the first complaint.</w:t>
      </w:r>
      <w:r w:rsidR="00A41CC9" w:rsidRPr="00605209">
        <w:rPr>
          <w:color w:val="000000"/>
          <w:lang w:val="en"/>
        </w:rPr>
        <w:br/>
      </w:r>
    </w:p>
    <w:p w:rsidR="00A41CC9" w:rsidRPr="00605209" w:rsidRDefault="00A41CC9" w:rsidP="00D975AC">
      <w:pPr>
        <w:pStyle w:val="BodyText2"/>
        <w:jc w:val="left"/>
        <w:rPr>
          <w:color w:val="000000"/>
          <w:lang w:val="en"/>
        </w:rPr>
      </w:pPr>
      <w:r w:rsidRPr="00605209">
        <w:rPr>
          <w:color w:val="000000"/>
          <w:lang w:val="en"/>
        </w:rPr>
        <w:tab/>
      </w:r>
      <w:r w:rsidRPr="00605209">
        <w:rPr>
          <w:color w:val="000000"/>
          <w:lang w:val="en"/>
        </w:rPr>
        <w:tab/>
        <w:t>On October 23, 2014, the Respondent was served with a second formal complaint filed by the Complainant at Docket No. C-2014-2444864 ("second complaint").  In the second complaint, the Complainant alleged issues regarding the accuracy and content of the Respondent's billing processes for the Complainant's virtual net metering accounts.  In the second complaint, the Complainant requested that the Commission order the Respondent to develop and implement new billing procedures and processes for virtual net metering accounts using a single bill for both accounts to be virtually aggregated.</w:t>
      </w:r>
    </w:p>
    <w:p w:rsidR="00A41CC9" w:rsidRPr="00605209" w:rsidRDefault="00A41CC9" w:rsidP="00D975AC">
      <w:pPr>
        <w:pStyle w:val="BodyText2"/>
        <w:jc w:val="left"/>
        <w:rPr>
          <w:color w:val="000000"/>
          <w:lang w:val="en"/>
        </w:rPr>
      </w:pPr>
    </w:p>
    <w:p w:rsidR="00A41CC9" w:rsidRPr="00605209" w:rsidRDefault="00A41CC9" w:rsidP="00A41CC9">
      <w:pPr>
        <w:pStyle w:val="BodyText2"/>
        <w:jc w:val="left"/>
        <w:rPr>
          <w:color w:val="000000"/>
          <w:lang w:val="en"/>
        </w:rPr>
      </w:pPr>
      <w:r w:rsidRPr="00605209">
        <w:rPr>
          <w:color w:val="000000"/>
          <w:lang w:val="en"/>
        </w:rPr>
        <w:tab/>
      </w:r>
      <w:r w:rsidRPr="00605209">
        <w:rPr>
          <w:color w:val="000000"/>
          <w:lang w:val="en"/>
        </w:rPr>
        <w:tab/>
        <w:t>By hearing notice dated November 5, 2014 a prehearing conference was scheduled for November 25, 2014.</w:t>
      </w:r>
    </w:p>
    <w:p w:rsidR="00A41CC9" w:rsidRPr="00605209" w:rsidRDefault="00A41CC9" w:rsidP="00A41CC9">
      <w:pPr>
        <w:pStyle w:val="BodyText2"/>
        <w:jc w:val="left"/>
        <w:rPr>
          <w:color w:val="000000"/>
          <w:lang w:val="en"/>
        </w:rPr>
      </w:pPr>
    </w:p>
    <w:p w:rsidR="00C66854" w:rsidRPr="00605209" w:rsidRDefault="00657C96" w:rsidP="00A41CC9">
      <w:pPr>
        <w:pStyle w:val="BodyText2"/>
        <w:jc w:val="left"/>
      </w:pPr>
      <w:r w:rsidRPr="00605209">
        <w:tab/>
      </w:r>
      <w:r w:rsidRPr="00605209">
        <w:tab/>
      </w:r>
      <w:r w:rsidR="00C66854" w:rsidRPr="00605209">
        <w:t xml:space="preserve">On November 5, 2014, </w:t>
      </w:r>
      <w:r w:rsidR="00A1069A" w:rsidRPr="00605209">
        <w:t>t</w:t>
      </w:r>
      <w:r w:rsidR="00EE4DA2" w:rsidRPr="00605209">
        <w:t>he Respondent</w:t>
      </w:r>
      <w:r w:rsidR="00C66854" w:rsidRPr="00605209">
        <w:t xml:space="preserve"> filed an Answer and Preliminary Objections to the </w:t>
      </w:r>
      <w:r w:rsidR="003C5EE4" w:rsidRPr="00605209">
        <w:t>s</w:t>
      </w:r>
      <w:r w:rsidR="00C66854" w:rsidRPr="00605209">
        <w:t xml:space="preserve">econd </w:t>
      </w:r>
      <w:r w:rsidR="003C5EE4" w:rsidRPr="00605209">
        <w:t>c</w:t>
      </w:r>
      <w:r w:rsidR="00C66854" w:rsidRPr="00605209">
        <w:t xml:space="preserve">omplaint.  </w:t>
      </w:r>
      <w:r w:rsidR="00A1069A" w:rsidRPr="00605209">
        <w:t xml:space="preserve">In the </w:t>
      </w:r>
      <w:r w:rsidR="00C66854" w:rsidRPr="00605209">
        <w:t xml:space="preserve">Preliminary Objections </w:t>
      </w:r>
      <w:r w:rsidR="00A1069A" w:rsidRPr="00605209">
        <w:t xml:space="preserve">the Respondent </w:t>
      </w:r>
      <w:r w:rsidR="00C66854" w:rsidRPr="00605209">
        <w:t>request</w:t>
      </w:r>
      <w:r w:rsidR="00A1069A" w:rsidRPr="00605209">
        <w:t>ed</w:t>
      </w:r>
      <w:r w:rsidR="00C66854" w:rsidRPr="00605209">
        <w:t xml:space="preserve"> that the </w:t>
      </w:r>
      <w:r w:rsidR="003C5EE4" w:rsidRPr="00605209">
        <w:t>s</w:t>
      </w:r>
      <w:r w:rsidR="00C66854" w:rsidRPr="00605209">
        <w:t xml:space="preserve">econd </w:t>
      </w:r>
      <w:r w:rsidR="003C5EE4" w:rsidRPr="00605209">
        <w:t>c</w:t>
      </w:r>
      <w:r w:rsidR="00C66854" w:rsidRPr="00605209">
        <w:t xml:space="preserve">omplaint be dismissed pursuant to 52 Pa.Code § 5.101(a)(6), because the allegations, issues, and relief requested in the </w:t>
      </w:r>
      <w:r w:rsidR="003C5EE4" w:rsidRPr="00605209">
        <w:t>s</w:t>
      </w:r>
      <w:r w:rsidR="00C66854" w:rsidRPr="00605209">
        <w:t xml:space="preserve">econd </w:t>
      </w:r>
      <w:r w:rsidR="003C5EE4" w:rsidRPr="00605209">
        <w:t>c</w:t>
      </w:r>
      <w:r w:rsidR="00C66854" w:rsidRPr="00605209">
        <w:t>omplaint w</w:t>
      </w:r>
      <w:r w:rsidR="007E193A" w:rsidRPr="00605209">
        <w:t>ou</w:t>
      </w:r>
      <w:r w:rsidR="00C66854" w:rsidRPr="00605209">
        <w:t>l</w:t>
      </w:r>
      <w:r w:rsidR="007E193A" w:rsidRPr="00605209">
        <w:t>d</w:t>
      </w:r>
      <w:r w:rsidR="00C66854" w:rsidRPr="00605209">
        <w:t xml:space="preserve"> be fully addressed by the </w:t>
      </w:r>
      <w:r w:rsidR="00A1069A" w:rsidRPr="00605209">
        <w:t>p</w:t>
      </w:r>
      <w:r w:rsidR="00C66854" w:rsidRPr="00605209">
        <w:t xml:space="preserve">arties and the Commission through the </w:t>
      </w:r>
      <w:r w:rsidR="003C5EE4" w:rsidRPr="00605209">
        <w:t>f</w:t>
      </w:r>
      <w:r w:rsidR="00C66854" w:rsidRPr="00605209">
        <w:t xml:space="preserve">irst </w:t>
      </w:r>
      <w:r w:rsidR="003C5EE4" w:rsidRPr="00605209">
        <w:t>c</w:t>
      </w:r>
      <w:r w:rsidR="00C66854" w:rsidRPr="00605209">
        <w:t xml:space="preserve">omplaint </w:t>
      </w:r>
      <w:r w:rsidR="003C5EE4" w:rsidRPr="00605209">
        <w:t>p</w:t>
      </w:r>
      <w:r w:rsidR="00C66854" w:rsidRPr="00605209">
        <w:t xml:space="preserve">roceeding.  In the alternative, </w:t>
      </w:r>
      <w:r w:rsidR="00A1069A" w:rsidRPr="00605209">
        <w:t>the Respondent requested</w:t>
      </w:r>
      <w:r w:rsidR="00C66854" w:rsidRPr="00605209">
        <w:t xml:space="preserve"> that the </w:t>
      </w:r>
      <w:r w:rsidR="003C5EE4" w:rsidRPr="00605209">
        <w:t>second complaint</w:t>
      </w:r>
      <w:r w:rsidR="00C66854" w:rsidRPr="00605209">
        <w:t xml:space="preserve"> be consolidated with the </w:t>
      </w:r>
      <w:r w:rsidR="003C5EE4" w:rsidRPr="00605209">
        <w:t>first complaint</w:t>
      </w:r>
      <w:r w:rsidR="00C66854" w:rsidRPr="00605209">
        <w:t>.</w:t>
      </w:r>
    </w:p>
    <w:p w:rsidR="00541986" w:rsidRPr="00605209" w:rsidRDefault="00541986" w:rsidP="00D975AC">
      <w:pPr>
        <w:spacing w:line="360" w:lineRule="auto"/>
      </w:pPr>
    </w:p>
    <w:p w:rsidR="00541986" w:rsidRPr="00605209" w:rsidRDefault="00541986" w:rsidP="00D975AC">
      <w:pPr>
        <w:spacing w:line="360" w:lineRule="auto"/>
      </w:pPr>
      <w:r w:rsidRPr="00605209">
        <w:tab/>
      </w:r>
      <w:r w:rsidRPr="00605209">
        <w:tab/>
        <w:t>The Complainant filed an Answer to the Preliminary Objections on November 12, 2014.  In the Answer to the Preliminary Objections, the Complainant requested that the Preliminary Objections be dismissed an</w:t>
      </w:r>
      <w:r w:rsidR="00247F81" w:rsidRPr="00605209">
        <w:t>d</w:t>
      </w:r>
      <w:r w:rsidRPr="00605209">
        <w:t xml:space="preserve"> that the two complaints continue to proceed separately. </w:t>
      </w:r>
    </w:p>
    <w:p w:rsidR="00541986" w:rsidRPr="00605209" w:rsidRDefault="00541986" w:rsidP="00D975AC">
      <w:pPr>
        <w:pStyle w:val="BodyText2"/>
        <w:jc w:val="left"/>
      </w:pPr>
    </w:p>
    <w:p w:rsidR="00C66854" w:rsidRPr="00605209" w:rsidRDefault="00657C96" w:rsidP="00D975AC">
      <w:pPr>
        <w:pStyle w:val="BodyText2"/>
        <w:jc w:val="left"/>
      </w:pPr>
      <w:r w:rsidRPr="00605209">
        <w:tab/>
      </w:r>
      <w:r w:rsidRPr="00605209">
        <w:tab/>
      </w:r>
      <w:r w:rsidR="00C66854" w:rsidRPr="00605209">
        <w:t xml:space="preserve">On November 13, 2014, the </w:t>
      </w:r>
      <w:r w:rsidR="009961B0" w:rsidRPr="00605209">
        <w:t xml:space="preserve">undersigned </w:t>
      </w:r>
      <w:r w:rsidR="00C66854" w:rsidRPr="00605209">
        <w:t xml:space="preserve">issued Prehearing Order #2 on Remand, directing the parties to submit prehearing memorandum on or before November 21, 2014.  </w:t>
      </w:r>
    </w:p>
    <w:p w:rsidR="00247F81" w:rsidRPr="00605209" w:rsidRDefault="00247F81" w:rsidP="00D975AC"/>
    <w:p w:rsidR="00C66854" w:rsidRPr="00605209" w:rsidRDefault="00247F81" w:rsidP="00D975AC">
      <w:r w:rsidRPr="00605209">
        <w:tab/>
      </w:r>
      <w:r w:rsidRPr="00605209">
        <w:tab/>
      </w:r>
      <w:r w:rsidR="00541986" w:rsidRPr="00605209">
        <w:t xml:space="preserve">Both parties submitted </w:t>
      </w:r>
      <w:r w:rsidR="007061EE" w:rsidRPr="00605209">
        <w:t xml:space="preserve">Prehearing </w:t>
      </w:r>
      <w:r w:rsidR="00541986" w:rsidRPr="00605209">
        <w:t xml:space="preserve">Memoranda </w:t>
      </w:r>
      <w:r w:rsidR="007061EE" w:rsidRPr="00605209">
        <w:t xml:space="preserve">by </w:t>
      </w:r>
      <w:r w:rsidR="00541986" w:rsidRPr="00605209">
        <w:t>November 21, 2014.</w:t>
      </w:r>
    </w:p>
    <w:p w:rsidR="00541986" w:rsidRPr="00605209" w:rsidRDefault="00541986" w:rsidP="00D975AC"/>
    <w:p w:rsidR="00541986" w:rsidRPr="00605209" w:rsidRDefault="00541986" w:rsidP="00D975AC">
      <w:pPr>
        <w:spacing w:line="360" w:lineRule="auto"/>
      </w:pPr>
      <w:r w:rsidRPr="00605209">
        <w:lastRenderedPageBreak/>
        <w:tab/>
      </w:r>
      <w:r w:rsidRPr="00605209">
        <w:tab/>
        <w:t>The prehearing conference was held as scheduled in the Philadelphia Regional Office on November 25, 2014.</w:t>
      </w:r>
      <w:r w:rsidR="00207E87" w:rsidRPr="00605209">
        <w:t xml:space="preserve">  During the prehearing conference, a procedural schedule was established.</w:t>
      </w:r>
    </w:p>
    <w:p w:rsidR="007061EE" w:rsidRPr="00605209" w:rsidRDefault="007061EE" w:rsidP="00D975AC"/>
    <w:p w:rsidR="00ED0A3D" w:rsidRPr="00605209" w:rsidRDefault="00065595" w:rsidP="00D975AC">
      <w:pPr>
        <w:spacing w:line="360" w:lineRule="auto"/>
      </w:pPr>
      <w:r w:rsidRPr="00605209">
        <w:tab/>
      </w:r>
      <w:r w:rsidRPr="00605209">
        <w:tab/>
        <w:t xml:space="preserve">By </w:t>
      </w:r>
      <w:r w:rsidR="00207E87" w:rsidRPr="00605209">
        <w:t xml:space="preserve">Prehearing </w:t>
      </w:r>
      <w:r w:rsidRPr="00605209">
        <w:t xml:space="preserve">Order </w:t>
      </w:r>
      <w:r w:rsidR="00207E87" w:rsidRPr="00605209">
        <w:t xml:space="preserve">#3, </w:t>
      </w:r>
      <w:r w:rsidRPr="00605209">
        <w:t xml:space="preserve">dated January 14, 2015, the undersigned memorialized the </w:t>
      </w:r>
      <w:r w:rsidR="00207E87" w:rsidRPr="00605209">
        <w:t xml:space="preserve">procedural </w:t>
      </w:r>
      <w:r w:rsidRPr="00605209">
        <w:t>schedule</w:t>
      </w:r>
      <w:r w:rsidR="00207E87" w:rsidRPr="00605209">
        <w:t xml:space="preserve">, denied the Respondent’s Preliminary Objections </w:t>
      </w:r>
      <w:r w:rsidRPr="00605209">
        <w:t xml:space="preserve">and </w:t>
      </w:r>
      <w:r w:rsidR="00207E87" w:rsidRPr="00605209">
        <w:t>gran</w:t>
      </w:r>
      <w:r w:rsidRPr="00605209">
        <w:t>t</w:t>
      </w:r>
      <w:r w:rsidR="00207E87" w:rsidRPr="00605209">
        <w:t xml:space="preserve">ed </w:t>
      </w:r>
      <w:r w:rsidR="00541986" w:rsidRPr="00605209">
        <w:t xml:space="preserve">the Respondent’s Motion to Consolidate the First and Second Complaints.  The cases docketed at </w:t>
      </w:r>
    </w:p>
    <w:p w:rsidR="00541986" w:rsidRPr="00605209" w:rsidRDefault="00ED0A3D" w:rsidP="00D975AC">
      <w:pPr>
        <w:spacing w:line="360" w:lineRule="auto"/>
      </w:pPr>
      <w:r w:rsidRPr="00605209">
        <w:rPr>
          <w:spacing w:val="-3"/>
        </w:rPr>
        <w:t>C-</w:t>
      </w:r>
      <w:r w:rsidR="00541986" w:rsidRPr="00605209">
        <w:rPr>
          <w:spacing w:val="-3"/>
        </w:rPr>
        <w:t>2011-2273645</w:t>
      </w:r>
      <w:r w:rsidR="007E193A" w:rsidRPr="00605209">
        <w:rPr>
          <w:spacing w:val="-3"/>
        </w:rPr>
        <w:t xml:space="preserve"> </w:t>
      </w:r>
      <w:r w:rsidR="00541986" w:rsidRPr="00605209">
        <w:t xml:space="preserve">and </w:t>
      </w:r>
      <w:r w:rsidR="00541986" w:rsidRPr="00605209">
        <w:rPr>
          <w:spacing w:val="-3"/>
        </w:rPr>
        <w:t xml:space="preserve">C-2014-2444864 </w:t>
      </w:r>
      <w:r w:rsidR="00207E87" w:rsidRPr="00605209">
        <w:rPr>
          <w:spacing w:val="-3"/>
        </w:rPr>
        <w:t>wer</w:t>
      </w:r>
      <w:r w:rsidR="00541986" w:rsidRPr="00605209">
        <w:t>e consolidated pursuant to 52 Pa.Code § 5.81.</w:t>
      </w:r>
    </w:p>
    <w:p w:rsidR="00541986" w:rsidRPr="00605209" w:rsidRDefault="00541986" w:rsidP="00D975AC">
      <w:pPr>
        <w:spacing w:line="360" w:lineRule="auto"/>
      </w:pPr>
    </w:p>
    <w:p w:rsidR="00065595" w:rsidRPr="00605209" w:rsidRDefault="00065595" w:rsidP="00D975AC">
      <w:pPr>
        <w:spacing w:line="360" w:lineRule="auto"/>
      </w:pPr>
      <w:r w:rsidRPr="00605209">
        <w:tab/>
      </w:r>
      <w:r w:rsidRPr="00605209">
        <w:tab/>
        <w:t xml:space="preserve">On February 2, 2015, </w:t>
      </w:r>
      <w:r w:rsidR="00207E87" w:rsidRPr="00605209">
        <w:t xml:space="preserve">the </w:t>
      </w:r>
      <w:r w:rsidRPr="00605209">
        <w:t xml:space="preserve">Complainant served his written direct testimony ("Moyer Direct") in the above-captioned consolidated proceeding. </w:t>
      </w:r>
    </w:p>
    <w:p w:rsidR="00065595" w:rsidRPr="00605209" w:rsidRDefault="00065595" w:rsidP="00D975AC"/>
    <w:p w:rsidR="00065595" w:rsidRPr="00605209" w:rsidRDefault="00065595" w:rsidP="00D975AC">
      <w:pPr>
        <w:spacing w:line="360" w:lineRule="auto"/>
      </w:pPr>
      <w:r w:rsidRPr="00605209">
        <w:tab/>
      </w:r>
      <w:r w:rsidRPr="00605209">
        <w:tab/>
        <w:t xml:space="preserve">On March 4, 2015, </w:t>
      </w:r>
      <w:r w:rsidR="00207E87" w:rsidRPr="00605209">
        <w:t xml:space="preserve">the </w:t>
      </w:r>
      <w:r w:rsidRPr="00605209">
        <w:t>Respondent served Interrogatories, Requests for Production of Documents, and Requests for Admission Propounded on Jay Larry Moyer - Set I on Remand ("Moyer Set I").</w:t>
      </w:r>
    </w:p>
    <w:p w:rsidR="001068AF" w:rsidRPr="00605209" w:rsidRDefault="001068AF" w:rsidP="00D975AC">
      <w:pPr>
        <w:spacing w:line="360" w:lineRule="auto"/>
      </w:pPr>
    </w:p>
    <w:p w:rsidR="00427E0B" w:rsidRPr="00605209" w:rsidRDefault="00247F81" w:rsidP="00D975AC">
      <w:pPr>
        <w:spacing w:line="360" w:lineRule="auto"/>
      </w:pPr>
      <w:r w:rsidRPr="00605209">
        <w:tab/>
      </w:r>
      <w:r w:rsidRPr="00605209">
        <w:tab/>
      </w:r>
      <w:r w:rsidR="00427E0B" w:rsidRPr="00605209">
        <w:t xml:space="preserve">The Respondent submitted </w:t>
      </w:r>
      <w:r w:rsidRPr="00605209">
        <w:t xml:space="preserve">PPL Electric Statement No. 1- the rebuttal testimony of Mr. Aloysius P. Cannon, Jr. </w:t>
      </w:r>
      <w:r w:rsidR="00427E0B" w:rsidRPr="00605209">
        <w:t>on March 6, 2015.</w:t>
      </w:r>
    </w:p>
    <w:p w:rsidR="001068AF" w:rsidRPr="00605209" w:rsidRDefault="001068AF" w:rsidP="00D975AC">
      <w:pPr>
        <w:spacing w:line="360" w:lineRule="auto"/>
        <w:ind w:left="1440"/>
      </w:pPr>
    </w:p>
    <w:p w:rsidR="001068AF" w:rsidRPr="00605209" w:rsidRDefault="001068AF" w:rsidP="00D975AC">
      <w:pPr>
        <w:spacing w:line="360" w:lineRule="auto"/>
      </w:pPr>
      <w:r w:rsidRPr="00605209">
        <w:tab/>
      </w:r>
      <w:r w:rsidRPr="00605209">
        <w:tab/>
        <w:t xml:space="preserve">By correspondence dated March 9, 2015, the Complainant renewed his request to present evidence during the hearing using PowerPoint software.  He noted that the undersigned denied this request during the prehearing conference.  </w:t>
      </w:r>
    </w:p>
    <w:p w:rsidR="001068AF" w:rsidRPr="00605209" w:rsidRDefault="001068AF" w:rsidP="00D975AC">
      <w:pPr>
        <w:spacing w:line="360" w:lineRule="auto"/>
      </w:pPr>
    </w:p>
    <w:p w:rsidR="001068AF" w:rsidRPr="00605209" w:rsidRDefault="001068AF" w:rsidP="00D975AC">
      <w:pPr>
        <w:spacing w:line="360" w:lineRule="auto"/>
      </w:pPr>
      <w:r w:rsidRPr="00605209">
        <w:tab/>
      </w:r>
      <w:r w:rsidRPr="00605209">
        <w:tab/>
        <w:t>By correspondence, dated March 13, 2015, the Respondent, through its counsel, responded to the Complainant’s correspondence.  The Respondent stated that the request is improper and should be rejected</w:t>
      </w:r>
      <w:r w:rsidR="00247F81" w:rsidRPr="00605209">
        <w:t>.</w:t>
      </w:r>
      <w:r w:rsidRPr="00605209">
        <w:t xml:space="preserve">  </w:t>
      </w:r>
    </w:p>
    <w:p w:rsidR="001068AF" w:rsidRPr="00605209" w:rsidRDefault="001068AF" w:rsidP="00D975AC">
      <w:pPr>
        <w:spacing w:line="360" w:lineRule="auto"/>
      </w:pPr>
    </w:p>
    <w:p w:rsidR="00065595" w:rsidRDefault="00065595" w:rsidP="00D975AC">
      <w:pPr>
        <w:spacing w:line="360" w:lineRule="auto"/>
      </w:pPr>
      <w:r w:rsidRPr="00605209">
        <w:tab/>
      </w:r>
      <w:r w:rsidRPr="00605209">
        <w:tab/>
        <w:t xml:space="preserve">By letter dated March 13, 2015, the Complainant served via first class mail the Complainant’s Objections to Interrogatories, Requests for Production of Documents and Requests for Admission Set I and some of his answers to PPL to Moyer Set I.  </w:t>
      </w:r>
    </w:p>
    <w:p w:rsidR="00D67FD2" w:rsidRPr="00605209" w:rsidRDefault="00D67FD2" w:rsidP="00D975AC">
      <w:pPr>
        <w:spacing w:line="360" w:lineRule="auto"/>
      </w:pPr>
    </w:p>
    <w:p w:rsidR="001068AF" w:rsidRPr="00605209" w:rsidRDefault="001068AF" w:rsidP="00D975AC">
      <w:pPr>
        <w:spacing w:line="360" w:lineRule="auto"/>
      </w:pPr>
      <w:r w:rsidRPr="00605209">
        <w:lastRenderedPageBreak/>
        <w:tab/>
      </w:r>
      <w:r w:rsidRPr="00605209">
        <w:tab/>
        <w:t xml:space="preserve">By Order #4 on Remand dated </w:t>
      </w:r>
      <w:r w:rsidRPr="00605209">
        <w:rPr>
          <w:spacing w:val="-3"/>
        </w:rPr>
        <w:t>March 16, 2015</w:t>
      </w:r>
      <w:r w:rsidRPr="00605209">
        <w:t xml:space="preserve">, the undersigned ruled that the Complainant’s request to present a Power Point presentation during the hearings to be held on April 21 and 22, 2015, </w:t>
      </w:r>
      <w:r w:rsidR="00247F81" w:rsidRPr="00605209">
        <w:t>wa</w:t>
      </w:r>
      <w:r w:rsidRPr="00605209">
        <w:t>s denied.  The parties were directed to continue to comply with the procedural schedule.</w:t>
      </w:r>
    </w:p>
    <w:p w:rsidR="00B27035" w:rsidRPr="00605209" w:rsidRDefault="00B27035" w:rsidP="00D975AC">
      <w:pPr>
        <w:spacing w:line="360" w:lineRule="auto"/>
      </w:pPr>
    </w:p>
    <w:p w:rsidR="00065595" w:rsidRPr="00605209" w:rsidRDefault="00065595" w:rsidP="00D975AC">
      <w:pPr>
        <w:spacing w:line="360" w:lineRule="auto"/>
      </w:pPr>
      <w:r w:rsidRPr="00605209">
        <w:tab/>
      </w:r>
      <w:r w:rsidRPr="00605209">
        <w:tab/>
        <w:t xml:space="preserve">On March 24, 2015, counsel for </w:t>
      </w:r>
      <w:r w:rsidR="00207E87" w:rsidRPr="00605209">
        <w:t>the Respondent</w:t>
      </w:r>
      <w:r w:rsidRPr="00605209">
        <w:t xml:space="preserve">, contacted the Complainant in an effort to resolve the objections </w:t>
      </w:r>
      <w:r w:rsidR="001068AF" w:rsidRPr="00605209">
        <w:t xml:space="preserve">to discovery </w:t>
      </w:r>
      <w:r w:rsidRPr="00605209">
        <w:t xml:space="preserve">without the need for formal motions.  The Complainant </w:t>
      </w:r>
      <w:r w:rsidR="001068AF" w:rsidRPr="00605209">
        <w:t xml:space="preserve">refused </w:t>
      </w:r>
      <w:r w:rsidRPr="00605209">
        <w:t>to resolve any of the objections.</w:t>
      </w:r>
    </w:p>
    <w:p w:rsidR="00065595" w:rsidRPr="00605209" w:rsidRDefault="00065595" w:rsidP="00D975AC">
      <w:pPr>
        <w:rPr>
          <w:b/>
        </w:rPr>
      </w:pPr>
    </w:p>
    <w:p w:rsidR="00065595" w:rsidRPr="00605209" w:rsidRDefault="00065595" w:rsidP="00D975AC">
      <w:pPr>
        <w:spacing w:line="360" w:lineRule="auto"/>
      </w:pPr>
      <w:r w:rsidRPr="00605209">
        <w:tab/>
      </w:r>
      <w:r w:rsidRPr="00605209">
        <w:tab/>
        <w:t xml:space="preserve">On March 24, 2015, the Respondent filed the Motion of PPL Electric Utilities Corporation to Dismiss Objections and Compel Responses to Discovery Propounded on Jay Larry Moyer - Set I on Remand.  The Respondent stated that pursuant to 52 Pa.Code § 5.321(c), a party is entitled to obtain discovery of any matter not privileged that is relevant to the pending proceeding, or any matter that is reasonably calculated to lead to the discovery of admissible evidence.  </w:t>
      </w:r>
      <w:r w:rsidR="00207E87" w:rsidRPr="00605209">
        <w:t xml:space="preserve">The Respondent </w:t>
      </w:r>
      <w:r w:rsidRPr="00605209">
        <w:t>requested that the Motion be granted and that the Complainant be ordered to answer fully Moyer-Set I, Nos. 1-6, 8-9, and 11</w:t>
      </w:r>
      <w:r w:rsidR="00207E87" w:rsidRPr="00605209">
        <w:t>.</w:t>
      </w:r>
    </w:p>
    <w:p w:rsidR="00065595" w:rsidRPr="00605209" w:rsidRDefault="00065595" w:rsidP="00D975AC"/>
    <w:p w:rsidR="00065595" w:rsidRPr="00605209" w:rsidRDefault="00065595" w:rsidP="00D975AC">
      <w:pPr>
        <w:spacing w:line="360" w:lineRule="auto"/>
      </w:pPr>
      <w:r w:rsidRPr="00605209">
        <w:tab/>
      </w:r>
      <w:r w:rsidRPr="00605209">
        <w:tab/>
        <w:t xml:space="preserve">By correspondence dated March 26, 2015, the Complainant filed a response indicating that the Respondent’s Motion was untimely because his objections were filed and received by the </w:t>
      </w:r>
      <w:r w:rsidR="00207E87" w:rsidRPr="00605209">
        <w:t>Commission on</w:t>
      </w:r>
      <w:r w:rsidRPr="00605209">
        <w:t xml:space="preserve"> March 13, 2015, and the Moti</w:t>
      </w:r>
      <w:r w:rsidR="000D6047" w:rsidRPr="00605209">
        <w:t>on to Compel was filed on March </w:t>
      </w:r>
      <w:r w:rsidRPr="00605209">
        <w:t xml:space="preserve">24, 2015.  (The undersigned received the Complainant’s correspondence on March 30, 2015.)  The Complainant requested that the Motion to Compel be dismissed. </w:t>
      </w:r>
    </w:p>
    <w:p w:rsidR="00427E0B" w:rsidRPr="00605209" w:rsidRDefault="00427E0B" w:rsidP="00D975AC">
      <w:pPr>
        <w:spacing w:line="360" w:lineRule="auto"/>
      </w:pPr>
    </w:p>
    <w:p w:rsidR="00427E0B" w:rsidRPr="00605209" w:rsidRDefault="00427E0B" w:rsidP="00D975AC">
      <w:pPr>
        <w:spacing w:line="360" w:lineRule="auto"/>
      </w:pPr>
      <w:r w:rsidRPr="00605209">
        <w:tab/>
      </w:r>
      <w:r w:rsidRPr="00605209">
        <w:tab/>
        <w:t>The Complainant submitted his Surrebuttal Testimony (“Moyer Surrebuttal”) on April 3, 2015.</w:t>
      </w:r>
    </w:p>
    <w:p w:rsidR="00065595" w:rsidRPr="00605209" w:rsidRDefault="00065595" w:rsidP="00D975AC">
      <w:pPr>
        <w:pStyle w:val="BodyText"/>
        <w:tabs>
          <w:tab w:val="clear" w:pos="1980"/>
          <w:tab w:val="left" w:pos="0"/>
        </w:tabs>
        <w:spacing w:line="360" w:lineRule="auto"/>
        <w:jc w:val="left"/>
        <w:rPr>
          <w:rFonts w:ascii="Times New Roman" w:hAnsi="Times New Roman"/>
        </w:rPr>
      </w:pPr>
    </w:p>
    <w:p w:rsidR="00065595" w:rsidRPr="00605209" w:rsidRDefault="00446CB8" w:rsidP="00D975AC">
      <w:pPr>
        <w:spacing w:line="360" w:lineRule="auto"/>
      </w:pPr>
      <w:r w:rsidRPr="00605209">
        <w:tab/>
      </w:r>
      <w:r w:rsidRPr="00605209">
        <w:tab/>
      </w:r>
      <w:r w:rsidR="00207E87" w:rsidRPr="00605209">
        <w:t xml:space="preserve">By </w:t>
      </w:r>
      <w:r w:rsidR="00065595" w:rsidRPr="00605209">
        <w:t>P</w:t>
      </w:r>
      <w:r w:rsidR="00207E87" w:rsidRPr="00605209">
        <w:t xml:space="preserve">rehearing </w:t>
      </w:r>
      <w:r w:rsidR="00065595" w:rsidRPr="00605209">
        <w:t>O</w:t>
      </w:r>
      <w:r w:rsidR="00207E87" w:rsidRPr="00605209">
        <w:t>rder #</w:t>
      </w:r>
      <w:r w:rsidR="00065595" w:rsidRPr="00605209">
        <w:t xml:space="preserve">5 </w:t>
      </w:r>
      <w:r w:rsidRPr="00605209">
        <w:t xml:space="preserve">on </w:t>
      </w:r>
      <w:r w:rsidR="00A41CC9" w:rsidRPr="00605209">
        <w:t>Remand</w:t>
      </w:r>
      <w:r w:rsidR="00207E87" w:rsidRPr="00605209">
        <w:t>,</w:t>
      </w:r>
      <w:r w:rsidRPr="00605209">
        <w:t xml:space="preserve"> </w:t>
      </w:r>
      <w:r w:rsidR="00065595" w:rsidRPr="00605209">
        <w:t xml:space="preserve">dated April 7, 2015, the Motion of PPL Electric Utilities Corporation to Dismiss Objections and Compel Responses to Discovery Propounded on Jay Larry Moyer - Set I on Remand </w:t>
      </w:r>
      <w:r w:rsidR="00207E87" w:rsidRPr="00605209">
        <w:t>wa</w:t>
      </w:r>
      <w:r w:rsidR="00065595" w:rsidRPr="00605209">
        <w:t xml:space="preserve">s granted.  </w:t>
      </w:r>
    </w:p>
    <w:p w:rsidR="00065595" w:rsidRPr="00605209" w:rsidRDefault="00065595" w:rsidP="00D975AC"/>
    <w:p w:rsidR="00C66854" w:rsidRPr="00605209" w:rsidRDefault="00C66854"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 xml:space="preserve">The hearing on remand in </w:t>
      </w:r>
      <w:r w:rsidR="00446CB8" w:rsidRPr="00605209">
        <w:rPr>
          <w:rFonts w:ascii="Times New Roman" w:hAnsi="Times New Roman"/>
        </w:rPr>
        <w:t xml:space="preserve">Docket No.  </w:t>
      </w:r>
      <w:r w:rsidRPr="00605209">
        <w:rPr>
          <w:rFonts w:ascii="Times New Roman" w:hAnsi="Times New Roman"/>
        </w:rPr>
        <w:t xml:space="preserve">C-2011-2273645 and the initial hearing in </w:t>
      </w:r>
      <w:r w:rsidR="00446CB8" w:rsidRPr="00605209">
        <w:rPr>
          <w:rFonts w:ascii="Times New Roman" w:hAnsi="Times New Roman"/>
        </w:rPr>
        <w:t xml:space="preserve">Docket No. </w:t>
      </w:r>
      <w:r w:rsidRPr="00605209">
        <w:rPr>
          <w:rFonts w:ascii="Times New Roman" w:hAnsi="Times New Roman"/>
        </w:rPr>
        <w:t>C-2014-2444864 were held on Wednesday, April 21, 2015</w:t>
      </w:r>
      <w:r w:rsidRPr="00605209">
        <w:rPr>
          <w:rFonts w:ascii="Times New Roman" w:hAnsi="Times New Roman"/>
          <w:b/>
        </w:rPr>
        <w:t>.</w:t>
      </w:r>
      <w:r w:rsidRPr="00605209">
        <w:rPr>
          <w:rFonts w:ascii="Times New Roman" w:hAnsi="Times New Roman"/>
        </w:rPr>
        <w:t xml:space="preserve">  </w:t>
      </w:r>
      <w:r w:rsidR="00247F81" w:rsidRPr="00605209">
        <w:rPr>
          <w:rFonts w:ascii="Times New Roman" w:hAnsi="Times New Roman"/>
        </w:rPr>
        <w:t xml:space="preserve">The hearing scheduled </w:t>
      </w:r>
      <w:r w:rsidR="00247F81" w:rsidRPr="00605209">
        <w:rPr>
          <w:rFonts w:ascii="Times New Roman" w:hAnsi="Times New Roman"/>
        </w:rPr>
        <w:lastRenderedPageBreak/>
        <w:t xml:space="preserve">for April 22, 2015 was cancelled.  </w:t>
      </w:r>
      <w:r w:rsidRPr="00605209">
        <w:rPr>
          <w:rFonts w:ascii="Times New Roman" w:hAnsi="Times New Roman"/>
        </w:rPr>
        <w:t xml:space="preserve">The Complainant, Larry Moyer, </w:t>
      </w:r>
      <w:r w:rsidR="00427E0B" w:rsidRPr="00605209">
        <w:rPr>
          <w:rFonts w:ascii="Times New Roman" w:hAnsi="Times New Roman"/>
        </w:rPr>
        <w:t xml:space="preserve">appeared </w:t>
      </w:r>
      <w:r w:rsidR="00427E0B" w:rsidRPr="00605209">
        <w:rPr>
          <w:rFonts w:ascii="Times New Roman" w:hAnsi="Times New Roman"/>
          <w:i/>
        </w:rPr>
        <w:t>pro</w:t>
      </w:r>
      <w:r w:rsidRPr="00605209">
        <w:rPr>
          <w:rFonts w:ascii="Times New Roman" w:hAnsi="Times New Roman"/>
          <w:i/>
        </w:rPr>
        <w:t xml:space="preserve"> se</w:t>
      </w:r>
      <w:r w:rsidRPr="00605209">
        <w:rPr>
          <w:rFonts w:ascii="Times New Roman" w:hAnsi="Times New Roman"/>
        </w:rPr>
        <w:t xml:space="preserve">. </w:t>
      </w:r>
      <w:r w:rsidR="003F7BEB" w:rsidRPr="00605209">
        <w:rPr>
          <w:rFonts w:ascii="Times New Roman" w:hAnsi="Times New Roman"/>
        </w:rPr>
        <w:t xml:space="preserve"> Mr. Moyer preserved Moyer Direct and Moyer </w:t>
      </w:r>
      <w:r w:rsidR="004921E4" w:rsidRPr="00605209">
        <w:rPr>
          <w:rFonts w:ascii="Times New Roman" w:hAnsi="Times New Roman"/>
        </w:rPr>
        <w:t xml:space="preserve">Surrebuttal.  </w:t>
      </w:r>
      <w:r w:rsidR="00756923" w:rsidRPr="00605209">
        <w:rPr>
          <w:rFonts w:ascii="Times New Roman" w:hAnsi="Times New Roman"/>
        </w:rPr>
        <w:t>The Complainant was cross-examined during the hearing.</w:t>
      </w:r>
    </w:p>
    <w:p w:rsidR="00942457" w:rsidRPr="00605209" w:rsidRDefault="00942457" w:rsidP="00D975AC">
      <w:pPr>
        <w:spacing w:line="360" w:lineRule="auto"/>
      </w:pPr>
    </w:p>
    <w:p w:rsidR="009961B0" w:rsidRPr="00605209" w:rsidRDefault="00942457" w:rsidP="00D975AC">
      <w:pPr>
        <w:spacing w:line="360" w:lineRule="auto"/>
      </w:pPr>
      <w:r w:rsidRPr="00605209">
        <w:tab/>
      </w:r>
      <w:r w:rsidRPr="00605209">
        <w:tab/>
      </w:r>
      <w:r w:rsidR="00427E0B" w:rsidRPr="00605209">
        <w:t>The</w:t>
      </w:r>
      <w:r w:rsidR="00756923" w:rsidRPr="00605209">
        <w:t xml:space="preserve"> following exhibits were attached to the Complainant’s </w:t>
      </w:r>
      <w:r w:rsidR="00427E0B" w:rsidRPr="00605209">
        <w:t>d</w:t>
      </w:r>
      <w:r w:rsidR="009961B0" w:rsidRPr="00605209">
        <w:t xml:space="preserve">irect </w:t>
      </w:r>
      <w:r w:rsidR="00427E0B" w:rsidRPr="00605209">
        <w:t xml:space="preserve">and surrebuttal </w:t>
      </w:r>
      <w:r w:rsidR="009961B0" w:rsidRPr="00605209">
        <w:t>testimony</w:t>
      </w:r>
      <w:r w:rsidR="00427E0B" w:rsidRPr="00605209">
        <w:t>:</w:t>
      </w:r>
    </w:p>
    <w:p w:rsidR="003317FD" w:rsidRPr="00605209" w:rsidRDefault="003317FD" w:rsidP="00D975AC">
      <w:pPr>
        <w:ind w:left="1440"/>
      </w:pPr>
      <w:r w:rsidRPr="00605209">
        <w:t>JLM-1</w:t>
      </w:r>
      <w:r w:rsidR="00247F81" w:rsidRPr="00605209">
        <w:t xml:space="preserve"> -</w:t>
      </w:r>
      <w:r w:rsidR="00446CB8" w:rsidRPr="00605209">
        <w:t xml:space="preserve"> email</w:t>
      </w:r>
      <w:r w:rsidR="00DB611E" w:rsidRPr="00605209">
        <w:t xml:space="preserve"> dated May 7, 2007 to the Complainant from </w:t>
      </w:r>
      <w:r w:rsidR="00446CB8" w:rsidRPr="00605209">
        <w:t>R. Johnson</w:t>
      </w:r>
      <w:r w:rsidR="00DB611E" w:rsidRPr="00605209">
        <w:t xml:space="preserve"> PPL</w:t>
      </w:r>
      <w:r w:rsidR="004921E4" w:rsidRPr="00605209">
        <w:t>;</w:t>
      </w:r>
    </w:p>
    <w:p w:rsidR="003317FD" w:rsidRPr="00605209" w:rsidRDefault="003317FD" w:rsidP="00D975AC">
      <w:pPr>
        <w:ind w:left="1440"/>
      </w:pPr>
      <w:r w:rsidRPr="00605209">
        <w:t>JLM-2</w:t>
      </w:r>
      <w:r w:rsidR="00247F81" w:rsidRPr="00605209">
        <w:t xml:space="preserve"> - </w:t>
      </w:r>
      <w:r w:rsidR="00446CB8" w:rsidRPr="00605209">
        <w:t>email</w:t>
      </w:r>
      <w:r w:rsidR="009F1F26" w:rsidRPr="00605209">
        <w:t>s</w:t>
      </w:r>
      <w:r w:rsidR="00446CB8" w:rsidRPr="00605209">
        <w:t xml:space="preserve"> </w:t>
      </w:r>
      <w:r w:rsidR="00DB611E" w:rsidRPr="00605209">
        <w:t xml:space="preserve">dated October 2008 </w:t>
      </w:r>
      <w:r w:rsidR="009F1F26" w:rsidRPr="00605209">
        <w:t>regarding solar interconnection</w:t>
      </w:r>
      <w:r w:rsidR="004921E4" w:rsidRPr="00605209">
        <w:t>;</w:t>
      </w:r>
    </w:p>
    <w:p w:rsidR="003317FD" w:rsidRPr="00605209" w:rsidRDefault="003317FD" w:rsidP="00D975AC">
      <w:pPr>
        <w:ind w:left="1440"/>
      </w:pPr>
      <w:r w:rsidRPr="00605209">
        <w:t>JLM-</w:t>
      </w:r>
      <w:r w:rsidR="00DB611E" w:rsidRPr="00605209">
        <w:t>3</w:t>
      </w:r>
      <w:r w:rsidR="00247F81" w:rsidRPr="00605209">
        <w:t xml:space="preserve"> - </w:t>
      </w:r>
      <w:r w:rsidR="00DB611E" w:rsidRPr="00605209">
        <w:t xml:space="preserve">PPL Electric </w:t>
      </w:r>
      <w:r w:rsidR="009F1F26" w:rsidRPr="00605209">
        <w:t xml:space="preserve">Exhibit </w:t>
      </w:r>
      <w:r w:rsidR="00DB611E" w:rsidRPr="00605209">
        <w:t xml:space="preserve">6- </w:t>
      </w:r>
      <w:r w:rsidR="009F1F26" w:rsidRPr="00605209">
        <w:t xml:space="preserve">Bureau of Consumer Services </w:t>
      </w:r>
      <w:r w:rsidR="00DB611E" w:rsidRPr="00605209">
        <w:t xml:space="preserve">Decision </w:t>
      </w:r>
      <w:r w:rsidR="004921E4" w:rsidRPr="00605209">
        <w:t xml:space="preserve">(#2778513) </w:t>
      </w:r>
      <w:r w:rsidR="009F1F26" w:rsidRPr="00605209">
        <w:t>dated February 2, 2011</w:t>
      </w:r>
      <w:r w:rsidR="004921E4" w:rsidRPr="00605209">
        <w:t>;</w:t>
      </w:r>
    </w:p>
    <w:p w:rsidR="00CE5C63" w:rsidRPr="00605209" w:rsidRDefault="003317FD" w:rsidP="00D975AC">
      <w:pPr>
        <w:ind w:left="1440"/>
      </w:pPr>
      <w:r w:rsidRPr="00605209">
        <w:t>JLM-</w:t>
      </w:r>
      <w:r w:rsidR="009F1F26" w:rsidRPr="00605209">
        <w:t>4</w:t>
      </w:r>
      <w:r w:rsidR="00247F81" w:rsidRPr="00605209">
        <w:t xml:space="preserve"> - </w:t>
      </w:r>
      <w:r w:rsidR="009F1F26" w:rsidRPr="00605209">
        <w:t xml:space="preserve">PPL’s Reply Exceptions Docket No. </w:t>
      </w:r>
      <w:r w:rsidR="00CE5C63" w:rsidRPr="00605209">
        <w:t>C-2011-2273645</w:t>
      </w:r>
      <w:r w:rsidR="004921E4" w:rsidRPr="00605209">
        <w:t>;</w:t>
      </w:r>
    </w:p>
    <w:p w:rsidR="003317FD" w:rsidRPr="00605209" w:rsidRDefault="003317FD" w:rsidP="00D975AC">
      <w:pPr>
        <w:ind w:left="1440"/>
      </w:pPr>
      <w:r w:rsidRPr="00605209">
        <w:t>JLM-</w:t>
      </w:r>
      <w:r w:rsidR="009F1F26" w:rsidRPr="00605209">
        <w:t>5</w:t>
      </w:r>
      <w:r w:rsidR="00247F81" w:rsidRPr="00605209">
        <w:t xml:space="preserve"> - </w:t>
      </w:r>
      <w:r w:rsidR="009F1F26" w:rsidRPr="00605209">
        <w:t>Final Rulemaking Order L-00050174 EGS net Metering</w:t>
      </w:r>
      <w:r w:rsidR="004921E4" w:rsidRPr="00605209">
        <w:t>;</w:t>
      </w:r>
    </w:p>
    <w:p w:rsidR="009F1F26" w:rsidRPr="00605209" w:rsidRDefault="003317FD" w:rsidP="00D975AC">
      <w:pPr>
        <w:ind w:left="1440"/>
      </w:pPr>
      <w:r w:rsidRPr="00605209">
        <w:t>JLM-</w:t>
      </w:r>
      <w:r w:rsidR="00D844DF" w:rsidRPr="00605209">
        <w:t>6</w:t>
      </w:r>
      <w:r w:rsidR="00247F81" w:rsidRPr="00605209">
        <w:t xml:space="preserve"> - </w:t>
      </w:r>
      <w:r w:rsidR="009F1F26" w:rsidRPr="00605209">
        <w:t>Final Rulemaking Order L-00050174 EGS net Metering</w:t>
      </w:r>
      <w:r w:rsidR="004921E4" w:rsidRPr="00605209">
        <w:t>;</w:t>
      </w:r>
    </w:p>
    <w:p w:rsidR="003317FD" w:rsidRPr="00605209" w:rsidRDefault="003317FD" w:rsidP="00D975AC">
      <w:pPr>
        <w:ind w:left="1440"/>
      </w:pPr>
      <w:r w:rsidRPr="00605209">
        <w:t>JLM-</w:t>
      </w:r>
      <w:r w:rsidR="00D844DF" w:rsidRPr="00605209">
        <w:t>7</w:t>
      </w:r>
      <w:r w:rsidR="00247F81" w:rsidRPr="00605209">
        <w:t xml:space="preserve"> - </w:t>
      </w:r>
      <w:r w:rsidR="00D844DF" w:rsidRPr="00605209">
        <w:t>not admitted</w:t>
      </w:r>
      <w:r w:rsidR="004921E4" w:rsidRPr="00605209">
        <w:t>;</w:t>
      </w:r>
    </w:p>
    <w:p w:rsidR="003317FD" w:rsidRPr="00605209" w:rsidRDefault="003317FD" w:rsidP="00D975AC">
      <w:pPr>
        <w:ind w:left="1440"/>
      </w:pPr>
      <w:r w:rsidRPr="00605209">
        <w:t>JLM-</w:t>
      </w:r>
      <w:r w:rsidR="00D844DF" w:rsidRPr="00605209">
        <w:t>8</w:t>
      </w:r>
      <w:r w:rsidR="00247F81" w:rsidRPr="00605209">
        <w:t xml:space="preserve"> - </w:t>
      </w:r>
      <w:r w:rsidR="00D844DF" w:rsidRPr="00605209">
        <w:t>not admitted</w:t>
      </w:r>
      <w:r w:rsidR="004921E4" w:rsidRPr="00605209">
        <w:t>;</w:t>
      </w:r>
    </w:p>
    <w:p w:rsidR="003317FD" w:rsidRPr="00605209" w:rsidRDefault="003317FD" w:rsidP="00D975AC">
      <w:pPr>
        <w:ind w:left="1440"/>
      </w:pPr>
      <w:r w:rsidRPr="00605209">
        <w:t>JLM-</w:t>
      </w:r>
      <w:r w:rsidR="00D844DF" w:rsidRPr="00605209">
        <w:t>9</w:t>
      </w:r>
      <w:r w:rsidR="00247F81" w:rsidRPr="00605209">
        <w:t xml:space="preserve"> - </w:t>
      </w:r>
      <w:r w:rsidR="009F1F26" w:rsidRPr="00605209">
        <w:t xml:space="preserve">PPL’s Reply Exceptions Docket No. </w:t>
      </w:r>
      <w:r w:rsidR="00CE5C63" w:rsidRPr="00605209">
        <w:rPr>
          <w:spacing w:val="-3"/>
        </w:rPr>
        <w:t>C-2014-2444864</w:t>
      </w:r>
      <w:r w:rsidR="004921E4" w:rsidRPr="00605209">
        <w:rPr>
          <w:spacing w:val="-3"/>
        </w:rPr>
        <w:t>;</w:t>
      </w:r>
    </w:p>
    <w:p w:rsidR="003317FD" w:rsidRPr="00605209" w:rsidRDefault="003317FD" w:rsidP="00D975AC">
      <w:pPr>
        <w:ind w:left="1440"/>
      </w:pPr>
      <w:r w:rsidRPr="00605209">
        <w:t>JLM-10</w:t>
      </w:r>
      <w:r w:rsidR="00247F81" w:rsidRPr="00605209">
        <w:t xml:space="preserve"> - </w:t>
      </w:r>
      <w:r w:rsidR="009F1F26" w:rsidRPr="00605209">
        <w:t>April 28, 2011 email regarding complaint</w:t>
      </w:r>
      <w:r w:rsidR="004921E4" w:rsidRPr="00605209">
        <w:t>;</w:t>
      </w:r>
    </w:p>
    <w:p w:rsidR="003317FD" w:rsidRPr="00605209" w:rsidRDefault="003317FD" w:rsidP="00D975AC">
      <w:pPr>
        <w:ind w:left="1440"/>
      </w:pPr>
      <w:r w:rsidRPr="00605209">
        <w:t>JLM-</w:t>
      </w:r>
      <w:r w:rsidR="00D844DF" w:rsidRPr="00605209">
        <w:t>11</w:t>
      </w:r>
      <w:r w:rsidR="00247F81" w:rsidRPr="00605209">
        <w:t xml:space="preserve"> - </w:t>
      </w:r>
      <w:r w:rsidR="009F1F26" w:rsidRPr="00605209">
        <w:t>July 12, 2011 email regarding net metering application</w:t>
      </w:r>
      <w:r w:rsidR="004921E4" w:rsidRPr="00605209">
        <w:t>;</w:t>
      </w:r>
    </w:p>
    <w:p w:rsidR="003317FD" w:rsidRPr="00605209" w:rsidRDefault="003317FD" w:rsidP="00D975AC">
      <w:pPr>
        <w:ind w:left="1440"/>
      </w:pPr>
      <w:r w:rsidRPr="00605209">
        <w:t>JLM-</w:t>
      </w:r>
      <w:r w:rsidR="00D844DF" w:rsidRPr="00605209">
        <w:t>12</w:t>
      </w:r>
      <w:r w:rsidR="00247F81" w:rsidRPr="00605209">
        <w:t xml:space="preserve"> - </w:t>
      </w:r>
      <w:r w:rsidR="00D844DF" w:rsidRPr="00605209">
        <w:t>not admitted</w:t>
      </w:r>
      <w:r w:rsidR="004921E4" w:rsidRPr="00605209">
        <w:t>;</w:t>
      </w:r>
    </w:p>
    <w:p w:rsidR="000F26F8" w:rsidRPr="00605209" w:rsidRDefault="003317FD" w:rsidP="00D975AC">
      <w:pPr>
        <w:ind w:left="1440"/>
      </w:pPr>
      <w:r w:rsidRPr="00605209">
        <w:t>JLM-</w:t>
      </w:r>
      <w:r w:rsidR="00D844DF" w:rsidRPr="00605209">
        <w:t>13</w:t>
      </w:r>
      <w:r w:rsidR="00247F81" w:rsidRPr="00605209">
        <w:t xml:space="preserve"> - </w:t>
      </w:r>
      <w:r w:rsidR="000F26F8" w:rsidRPr="00605209">
        <w:t>Final Rulemaking Order L-00050174 EGS net Metering</w:t>
      </w:r>
      <w:r w:rsidR="004921E4" w:rsidRPr="00605209">
        <w:t>;</w:t>
      </w:r>
    </w:p>
    <w:p w:rsidR="003317FD" w:rsidRPr="00605209" w:rsidRDefault="003317FD" w:rsidP="00D975AC">
      <w:pPr>
        <w:ind w:left="1440"/>
      </w:pPr>
      <w:r w:rsidRPr="00605209">
        <w:t>JLM-</w:t>
      </w:r>
      <w:r w:rsidR="00D844DF" w:rsidRPr="00605209">
        <w:t>14</w:t>
      </w:r>
      <w:r w:rsidR="00247F81" w:rsidRPr="00605209">
        <w:t xml:space="preserve"> - </w:t>
      </w:r>
      <w:r w:rsidR="00D844DF" w:rsidRPr="00605209">
        <w:t>not admitted</w:t>
      </w:r>
      <w:r w:rsidR="004921E4" w:rsidRPr="00605209">
        <w:t>;</w:t>
      </w:r>
    </w:p>
    <w:p w:rsidR="003317FD" w:rsidRPr="00605209" w:rsidRDefault="003317FD" w:rsidP="00D975AC">
      <w:pPr>
        <w:ind w:left="1440"/>
      </w:pPr>
      <w:r w:rsidRPr="00605209">
        <w:t>JLM-15</w:t>
      </w:r>
      <w:r w:rsidR="00247F81" w:rsidRPr="00605209">
        <w:t xml:space="preserve"> - </w:t>
      </w:r>
      <w:r w:rsidR="000F26F8" w:rsidRPr="00605209">
        <w:t xml:space="preserve">PPL email </w:t>
      </w:r>
      <w:r w:rsidR="004921E4" w:rsidRPr="00605209">
        <w:t>Jul</w:t>
      </w:r>
      <w:r w:rsidR="000F26F8" w:rsidRPr="00605209">
        <w:t xml:space="preserve">y </w:t>
      </w:r>
      <w:r w:rsidR="004921E4" w:rsidRPr="00605209">
        <w:t>12</w:t>
      </w:r>
      <w:r w:rsidR="000F26F8" w:rsidRPr="00605209">
        <w:t>, 20</w:t>
      </w:r>
      <w:r w:rsidR="004921E4" w:rsidRPr="00605209">
        <w:t>11;</w:t>
      </w:r>
    </w:p>
    <w:p w:rsidR="003317FD" w:rsidRPr="00605209" w:rsidRDefault="003317FD" w:rsidP="00D975AC">
      <w:pPr>
        <w:ind w:left="1440"/>
      </w:pPr>
      <w:r w:rsidRPr="00605209">
        <w:t>JLM-</w:t>
      </w:r>
      <w:r w:rsidR="00D844DF" w:rsidRPr="00605209">
        <w:t>16</w:t>
      </w:r>
      <w:r w:rsidR="00247F81" w:rsidRPr="00605209">
        <w:t xml:space="preserve"> - </w:t>
      </w:r>
      <w:r w:rsidR="00D844DF" w:rsidRPr="00605209">
        <w:t>not admitted</w:t>
      </w:r>
      <w:r w:rsidR="004921E4" w:rsidRPr="00605209">
        <w:t>;</w:t>
      </w:r>
    </w:p>
    <w:p w:rsidR="003317FD" w:rsidRPr="00605209" w:rsidRDefault="003317FD" w:rsidP="00D975AC">
      <w:pPr>
        <w:ind w:left="1440"/>
      </w:pPr>
      <w:r w:rsidRPr="00605209">
        <w:t>JLM-</w:t>
      </w:r>
      <w:r w:rsidR="000F26F8" w:rsidRPr="00605209">
        <w:t>17</w:t>
      </w:r>
      <w:r w:rsidR="00247F81" w:rsidRPr="00605209">
        <w:t xml:space="preserve"> - </w:t>
      </w:r>
      <w:r w:rsidR="000F26F8" w:rsidRPr="00605209">
        <w:t>PPL email Ma</w:t>
      </w:r>
      <w:r w:rsidR="004921E4" w:rsidRPr="00605209">
        <w:t>rch</w:t>
      </w:r>
      <w:r w:rsidR="000F26F8" w:rsidRPr="00605209">
        <w:t xml:space="preserve"> </w:t>
      </w:r>
      <w:r w:rsidR="004921E4" w:rsidRPr="00605209">
        <w:t>4</w:t>
      </w:r>
      <w:r w:rsidR="000F26F8" w:rsidRPr="00605209">
        <w:t>, 20</w:t>
      </w:r>
      <w:r w:rsidR="004921E4" w:rsidRPr="00605209">
        <w:t>14;</w:t>
      </w:r>
    </w:p>
    <w:p w:rsidR="003317FD" w:rsidRPr="00605209" w:rsidRDefault="003317FD" w:rsidP="00D975AC">
      <w:pPr>
        <w:ind w:left="1440"/>
      </w:pPr>
      <w:r w:rsidRPr="00605209">
        <w:t>JLM-</w:t>
      </w:r>
      <w:r w:rsidR="000F26F8" w:rsidRPr="00605209">
        <w:t>18</w:t>
      </w:r>
      <w:r w:rsidR="00247F81" w:rsidRPr="00605209">
        <w:t xml:space="preserve"> </w:t>
      </w:r>
      <w:r w:rsidR="004921E4" w:rsidRPr="00605209">
        <w:t xml:space="preserve">- </w:t>
      </w:r>
      <w:r w:rsidR="000F26F8" w:rsidRPr="00605209">
        <w:t>V</w:t>
      </w:r>
      <w:r w:rsidR="004921E4" w:rsidRPr="00605209">
        <w:t xml:space="preserve">irtual </w:t>
      </w:r>
      <w:r w:rsidR="000F26F8" w:rsidRPr="00605209">
        <w:t>M</w:t>
      </w:r>
      <w:r w:rsidR="004921E4" w:rsidRPr="00605209">
        <w:t xml:space="preserve">etering </w:t>
      </w:r>
      <w:r w:rsidR="000F26F8" w:rsidRPr="00605209">
        <w:t>Application (PPL)</w:t>
      </w:r>
    </w:p>
    <w:p w:rsidR="003317FD" w:rsidRPr="00605209" w:rsidRDefault="003317FD" w:rsidP="00D975AC">
      <w:pPr>
        <w:ind w:left="1440"/>
      </w:pPr>
      <w:r w:rsidRPr="00605209">
        <w:t>JLM-</w:t>
      </w:r>
      <w:r w:rsidR="000F26F8" w:rsidRPr="00605209">
        <w:t>19</w:t>
      </w:r>
      <w:r w:rsidR="00247F81" w:rsidRPr="00605209">
        <w:t xml:space="preserve"> - </w:t>
      </w:r>
      <w:r w:rsidR="000F26F8" w:rsidRPr="00605209">
        <w:t>Interconnection Application/Agreement</w:t>
      </w:r>
    </w:p>
    <w:p w:rsidR="003317FD" w:rsidRPr="00605209" w:rsidRDefault="003317FD" w:rsidP="00D975AC">
      <w:pPr>
        <w:ind w:left="1440"/>
      </w:pPr>
      <w:r w:rsidRPr="00605209">
        <w:t>JLM-20</w:t>
      </w:r>
      <w:r w:rsidR="00247F81" w:rsidRPr="00605209">
        <w:t xml:space="preserve"> - </w:t>
      </w:r>
      <w:r w:rsidR="004921E4" w:rsidRPr="00605209">
        <w:t xml:space="preserve">Final </w:t>
      </w:r>
      <w:r w:rsidR="00353EAC" w:rsidRPr="00605209">
        <w:t>Acceptance</w:t>
      </w:r>
      <w:r w:rsidR="000F26F8" w:rsidRPr="00605209">
        <w:t xml:space="preserve"> to Interconnect </w:t>
      </w:r>
    </w:p>
    <w:p w:rsidR="003317FD" w:rsidRPr="00605209" w:rsidRDefault="003317FD" w:rsidP="00D975AC">
      <w:pPr>
        <w:ind w:left="1440"/>
      </w:pPr>
      <w:r w:rsidRPr="00605209">
        <w:t>JLM-</w:t>
      </w:r>
      <w:r w:rsidR="000F26F8" w:rsidRPr="00605209">
        <w:t>21</w:t>
      </w:r>
      <w:r w:rsidR="002C32CA" w:rsidRPr="00605209">
        <w:t xml:space="preserve"> - </w:t>
      </w:r>
      <w:r w:rsidR="00CE5C63" w:rsidRPr="00605209">
        <w:t>System Inspection</w:t>
      </w:r>
    </w:p>
    <w:p w:rsidR="003317FD" w:rsidRPr="00605209" w:rsidRDefault="003317FD" w:rsidP="00D975AC">
      <w:pPr>
        <w:ind w:left="1440"/>
      </w:pPr>
      <w:r w:rsidRPr="00605209">
        <w:t>JLM-</w:t>
      </w:r>
      <w:r w:rsidR="00CE5C63" w:rsidRPr="00605209">
        <w:t>22</w:t>
      </w:r>
      <w:r w:rsidR="002C32CA" w:rsidRPr="00605209">
        <w:t xml:space="preserve"> - </w:t>
      </w:r>
      <w:r w:rsidR="00CE5C63" w:rsidRPr="00605209">
        <w:t xml:space="preserve">PPL Preliminary Objections to formal complaint </w:t>
      </w:r>
      <w:r w:rsidR="00CE5C63" w:rsidRPr="00605209">
        <w:rPr>
          <w:spacing w:val="-3"/>
        </w:rPr>
        <w:t>C-2014-2444864</w:t>
      </w:r>
    </w:p>
    <w:p w:rsidR="003317FD" w:rsidRPr="00605209" w:rsidRDefault="003317FD" w:rsidP="00D975AC">
      <w:pPr>
        <w:ind w:left="1440"/>
      </w:pPr>
      <w:r w:rsidRPr="00605209">
        <w:t>JLM-</w:t>
      </w:r>
      <w:r w:rsidR="00CE5C63" w:rsidRPr="00605209">
        <w:t>23</w:t>
      </w:r>
      <w:r w:rsidR="002C32CA" w:rsidRPr="00605209">
        <w:t xml:space="preserve"> - </w:t>
      </w:r>
      <w:r w:rsidR="00CE5C63" w:rsidRPr="00605209">
        <w:t xml:space="preserve">PPL Reply to formal complaint </w:t>
      </w:r>
      <w:r w:rsidR="00CE5C63" w:rsidRPr="00605209">
        <w:rPr>
          <w:spacing w:val="-3"/>
        </w:rPr>
        <w:t xml:space="preserve">C-2014-2444864 </w:t>
      </w:r>
      <w:r w:rsidR="00CE5C63" w:rsidRPr="00605209">
        <w:t>p. 6</w:t>
      </w:r>
    </w:p>
    <w:p w:rsidR="003317FD" w:rsidRPr="00605209" w:rsidRDefault="003317FD" w:rsidP="00D975AC">
      <w:pPr>
        <w:ind w:left="1440"/>
      </w:pPr>
      <w:r w:rsidRPr="00605209">
        <w:t>JLM-</w:t>
      </w:r>
      <w:r w:rsidR="00CE5C63" w:rsidRPr="00605209">
        <w:t>24</w:t>
      </w:r>
      <w:r w:rsidR="002C32CA" w:rsidRPr="00605209">
        <w:t xml:space="preserve"> - </w:t>
      </w:r>
      <w:r w:rsidR="00CE5C63" w:rsidRPr="00605209">
        <w:t xml:space="preserve">PPL Reply to formal complaint </w:t>
      </w:r>
      <w:r w:rsidR="00CE5C63" w:rsidRPr="00605209">
        <w:rPr>
          <w:spacing w:val="-3"/>
        </w:rPr>
        <w:t xml:space="preserve">C-2014-2444864 </w:t>
      </w:r>
      <w:r w:rsidR="00CE5C63" w:rsidRPr="00605209">
        <w:t>p. 3</w:t>
      </w:r>
    </w:p>
    <w:p w:rsidR="003317FD" w:rsidRPr="00605209" w:rsidRDefault="003317FD" w:rsidP="00D975AC">
      <w:pPr>
        <w:ind w:left="1440"/>
      </w:pPr>
      <w:r w:rsidRPr="00605209">
        <w:t>JLM-25</w:t>
      </w:r>
      <w:r w:rsidR="002C32CA" w:rsidRPr="00605209">
        <w:t xml:space="preserve"> - </w:t>
      </w:r>
      <w:r w:rsidR="009D3190" w:rsidRPr="00605209">
        <w:t xml:space="preserve">PPL email </w:t>
      </w:r>
      <w:r w:rsidR="004921E4" w:rsidRPr="00605209">
        <w:t xml:space="preserve">July 12, 2011 regarding Moyer net metering application; </w:t>
      </w:r>
      <w:r w:rsidRPr="00605209">
        <w:t>JLM-</w:t>
      </w:r>
      <w:r w:rsidR="009D3190" w:rsidRPr="00605209">
        <w:t>26</w:t>
      </w:r>
      <w:r w:rsidR="002C32CA" w:rsidRPr="00605209">
        <w:t xml:space="preserve"> - </w:t>
      </w:r>
      <w:r w:rsidR="009D3190" w:rsidRPr="00605209">
        <w:t>PPL Reply to Exceptions C-2011-2273645</w:t>
      </w:r>
      <w:r w:rsidR="004921E4" w:rsidRPr="00605209">
        <w:t>;</w:t>
      </w:r>
    </w:p>
    <w:p w:rsidR="003317FD" w:rsidRPr="00605209" w:rsidRDefault="003317FD" w:rsidP="00D975AC">
      <w:pPr>
        <w:ind w:left="1440"/>
      </w:pPr>
      <w:r w:rsidRPr="00605209">
        <w:t>JLM-</w:t>
      </w:r>
      <w:r w:rsidR="009D3190" w:rsidRPr="00605209">
        <w:t>27</w:t>
      </w:r>
      <w:r w:rsidR="002C32CA" w:rsidRPr="00605209">
        <w:t xml:space="preserve"> - </w:t>
      </w:r>
      <w:r w:rsidR="009D3190" w:rsidRPr="00605209">
        <w:t>Reimbursement check (#0011004286-April 1, 2010)</w:t>
      </w:r>
      <w:r w:rsidR="004921E4" w:rsidRPr="00605209">
        <w:t>;</w:t>
      </w:r>
    </w:p>
    <w:p w:rsidR="009D3190" w:rsidRPr="00605209" w:rsidRDefault="003317FD" w:rsidP="00D975AC">
      <w:pPr>
        <w:ind w:left="1440"/>
      </w:pPr>
      <w:r w:rsidRPr="00605209">
        <w:t>JLM-</w:t>
      </w:r>
      <w:r w:rsidR="009D3190" w:rsidRPr="00605209">
        <w:t>28</w:t>
      </w:r>
      <w:r w:rsidR="002C32CA" w:rsidRPr="00605209">
        <w:t xml:space="preserve"> - </w:t>
      </w:r>
      <w:r w:rsidR="009D3190" w:rsidRPr="00605209">
        <w:t>Reimbursement check (#0011007090-April 28, 2010)</w:t>
      </w:r>
      <w:r w:rsidR="004921E4" w:rsidRPr="00605209">
        <w:t>;</w:t>
      </w:r>
    </w:p>
    <w:p w:rsidR="009D3190" w:rsidRPr="00605209" w:rsidRDefault="003317FD" w:rsidP="00D975AC">
      <w:pPr>
        <w:ind w:left="1440"/>
      </w:pPr>
      <w:r w:rsidRPr="00605209">
        <w:t>JLM-</w:t>
      </w:r>
      <w:r w:rsidR="009D3190" w:rsidRPr="00605209">
        <w:t>29</w:t>
      </w:r>
      <w:r w:rsidR="002C32CA" w:rsidRPr="00605209">
        <w:t xml:space="preserve"> - </w:t>
      </w:r>
      <w:r w:rsidR="009D3190" w:rsidRPr="00605209">
        <w:t>PPL Reply to Exceptions C-2011-2273645</w:t>
      </w:r>
      <w:r w:rsidR="004921E4" w:rsidRPr="00605209">
        <w:t>;</w:t>
      </w:r>
    </w:p>
    <w:p w:rsidR="003317FD" w:rsidRPr="00605209" w:rsidRDefault="003317FD" w:rsidP="00D975AC">
      <w:pPr>
        <w:ind w:left="1440"/>
      </w:pPr>
      <w:r w:rsidRPr="00605209">
        <w:t>JLM-30</w:t>
      </w:r>
      <w:r w:rsidR="002C32CA" w:rsidRPr="00605209">
        <w:t xml:space="preserve"> - </w:t>
      </w:r>
      <w:r w:rsidR="009D3190" w:rsidRPr="00605209">
        <w:t>Penn Future Letter dated June 7, 2011</w:t>
      </w:r>
      <w:r w:rsidR="004921E4" w:rsidRPr="00605209">
        <w:t>;</w:t>
      </w:r>
    </w:p>
    <w:p w:rsidR="009D3190" w:rsidRPr="00605209" w:rsidRDefault="003317FD" w:rsidP="00D975AC">
      <w:pPr>
        <w:ind w:left="1440"/>
      </w:pPr>
      <w:r w:rsidRPr="00605209">
        <w:t>JLM-</w:t>
      </w:r>
      <w:r w:rsidR="009D3190" w:rsidRPr="00605209">
        <w:t>31</w:t>
      </w:r>
      <w:r w:rsidR="002C32CA" w:rsidRPr="00605209">
        <w:t xml:space="preserve"> - </w:t>
      </w:r>
      <w:r w:rsidR="009D3190" w:rsidRPr="00605209">
        <w:t>Cash out check (#22808-June 13, 2012-$20.18)</w:t>
      </w:r>
      <w:r w:rsidR="004921E4" w:rsidRPr="00605209">
        <w:t>;</w:t>
      </w:r>
    </w:p>
    <w:p w:rsidR="009D3190" w:rsidRPr="00605209" w:rsidRDefault="003317FD" w:rsidP="00D975AC">
      <w:pPr>
        <w:ind w:left="1440"/>
      </w:pPr>
      <w:r w:rsidRPr="00605209">
        <w:t>JLM-</w:t>
      </w:r>
      <w:r w:rsidR="009D3190" w:rsidRPr="00605209">
        <w:t>32</w:t>
      </w:r>
      <w:r w:rsidR="002C32CA" w:rsidRPr="00605209">
        <w:t xml:space="preserve"> - </w:t>
      </w:r>
      <w:r w:rsidR="009D3190" w:rsidRPr="00605209">
        <w:t>Cash out letter (June 8, 2012)</w:t>
      </w:r>
      <w:r w:rsidR="004921E4" w:rsidRPr="00605209">
        <w:t>;</w:t>
      </w:r>
    </w:p>
    <w:p w:rsidR="009D3190" w:rsidRPr="00605209" w:rsidRDefault="003317FD" w:rsidP="00D975AC">
      <w:pPr>
        <w:ind w:left="1440"/>
      </w:pPr>
      <w:r w:rsidRPr="00605209">
        <w:t>JLM-</w:t>
      </w:r>
      <w:r w:rsidR="009D3190" w:rsidRPr="00605209">
        <w:t>33</w:t>
      </w:r>
      <w:r w:rsidR="002C32CA" w:rsidRPr="00605209">
        <w:t xml:space="preserve"> - </w:t>
      </w:r>
      <w:r w:rsidR="009D3190" w:rsidRPr="00605209">
        <w:t>Cash out check (#22808-June 13, 2012-$20.18)</w:t>
      </w:r>
      <w:r w:rsidR="004921E4" w:rsidRPr="00605209">
        <w:t>;</w:t>
      </w:r>
    </w:p>
    <w:p w:rsidR="008C559B" w:rsidRPr="00605209" w:rsidRDefault="003317FD" w:rsidP="00D975AC">
      <w:pPr>
        <w:ind w:left="1440"/>
      </w:pPr>
      <w:r w:rsidRPr="00605209">
        <w:t>JLM-</w:t>
      </w:r>
      <w:r w:rsidR="008C559B" w:rsidRPr="00605209">
        <w:t>34</w:t>
      </w:r>
      <w:r w:rsidR="002C32CA" w:rsidRPr="00605209">
        <w:t xml:space="preserve"> - </w:t>
      </w:r>
      <w:r w:rsidR="008C559B" w:rsidRPr="00605209">
        <w:t>Cash out letter (</w:t>
      </w:r>
      <w:r w:rsidR="00353EAC" w:rsidRPr="00605209">
        <w:t>May</w:t>
      </w:r>
      <w:r w:rsidR="008C559B" w:rsidRPr="00605209">
        <w:t xml:space="preserve"> 15, 2013)</w:t>
      </w:r>
      <w:r w:rsidR="004921E4" w:rsidRPr="00605209">
        <w:t>;</w:t>
      </w:r>
    </w:p>
    <w:p w:rsidR="003317FD" w:rsidRPr="00605209" w:rsidRDefault="003317FD" w:rsidP="00D975AC">
      <w:pPr>
        <w:ind w:left="1440"/>
      </w:pPr>
      <w:r w:rsidRPr="00605209">
        <w:t>JLM-35</w:t>
      </w:r>
      <w:r w:rsidR="002C32CA" w:rsidRPr="00605209">
        <w:t xml:space="preserve"> - </w:t>
      </w:r>
      <w:r w:rsidR="008C559B" w:rsidRPr="00605209">
        <w:t>PPL Compilation 3 pages</w:t>
      </w:r>
      <w:r w:rsidR="004921E4" w:rsidRPr="00605209">
        <w:t>;</w:t>
      </w:r>
    </w:p>
    <w:p w:rsidR="008C559B" w:rsidRPr="00605209" w:rsidRDefault="003317FD" w:rsidP="00D975AC">
      <w:pPr>
        <w:ind w:left="1440"/>
      </w:pPr>
      <w:r w:rsidRPr="00605209">
        <w:t>JLM-</w:t>
      </w:r>
      <w:r w:rsidR="008C559B" w:rsidRPr="00605209">
        <w:t>36</w:t>
      </w:r>
      <w:r w:rsidR="002C32CA" w:rsidRPr="00605209">
        <w:t xml:space="preserve"> - </w:t>
      </w:r>
      <w:r w:rsidR="008C559B" w:rsidRPr="00605209">
        <w:t>Chart Applied Credit</w:t>
      </w:r>
      <w:r w:rsidR="004921E4" w:rsidRPr="00605209">
        <w:t>;</w:t>
      </w:r>
    </w:p>
    <w:p w:rsidR="008C559B" w:rsidRPr="00605209" w:rsidRDefault="003317FD" w:rsidP="00D975AC">
      <w:pPr>
        <w:ind w:left="1440"/>
      </w:pPr>
      <w:r w:rsidRPr="00605209">
        <w:lastRenderedPageBreak/>
        <w:t>JLM-</w:t>
      </w:r>
      <w:r w:rsidR="008C559B" w:rsidRPr="00605209">
        <w:t>37</w:t>
      </w:r>
      <w:r w:rsidR="002C32CA" w:rsidRPr="00605209">
        <w:t xml:space="preserve"> - </w:t>
      </w:r>
      <w:r w:rsidR="008C559B" w:rsidRPr="00605209">
        <w:t>Chart Meter Readings</w:t>
      </w:r>
      <w:r w:rsidR="004921E4" w:rsidRPr="00605209">
        <w:t>;</w:t>
      </w:r>
    </w:p>
    <w:p w:rsidR="008C559B" w:rsidRPr="00605209" w:rsidRDefault="003317FD" w:rsidP="00D975AC">
      <w:pPr>
        <w:ind w:left="1440"/>
      </w:pPr>
      <w:r w:rsidRPr="00605209">
        <w:t>JLM-</w:t>
      </w:r>
      <w:r w:rsidR="008C559B" w:rsidRPr="00605209">
        <w:t>38</w:t>
      </w:r>
      <w:r w:rsidR="002C32CA" w:rsidRPr="00605209">
        <w:t xml:space="preserve"> - </w:t>
      </w:r>
      <w:r w:rsidR="008C559B" w:rsidRPr="00605209">
        <w:t xml:space="preserve">Miscellaneous PPL </w:t>
      </w:r>
      <w:r w:rsidR="005D5217" w:rsidRPr="00605209">
        <w:t>emails meter</w:t>
      </w:r>
      <w:r w:rsidR="008C559B" w:rsidRPr="00605209">
        <w:t xml:space="preserve"> changes</w:t>
      </w:r>
      <w:r w:rsidR="004921E4" w:rsidRPr="00605209">
        <w:t>;</w:t>
      </w:r>
    </w:p>
    <w:p w:rsidR="008C559B" w:rsidRPr="00605209" w:rsidRDefault="003317FD" w:rsidP="00D975AC">
      <w:pPr>
        <w:ind w:left="1440"/>
      </w:pPr>
      <w:r w:rsidRPr="00605209">
        <w:t>JLM-</w:t>
      </w:r>
      <w:r w:rsidR="008C559B" w:rsidRPr="00605209">
        <w:t>39</w:t>
      </w:r>
      <w:r w:rsidR="002C32CA" w:rsidRPr="00605209">
        <w:t xml:space="preserve"> - </w:t>
      </w:r>
      <w:r w:rsidR="008C559B" w:rsidRPr="00605209">
        <w:t>PPL Original Exhibit 6 informal case</w:t>
      </w:r>
      <w:r w:rsidR="004921E4" w:rsidRPr="00605209">
        <w:t>;</w:t>
      </w:r>
    </w:p>
    <w:p w:rsidR="008C559B" w:rsidRPr="00605209" w:rsidRDefault="003317FD" w:rsidP="00D975AC">
      <w:pPr>
        <w:ind w:left="1440"/>
      </w:pPr>
      <w:r w:rsidRPr="00605209">
        <w:t>JLM-40</w:t>
      </w:r>
      <w:r w:rsidR="002C32CA" w:rsidRPr="00605209">
        <w:t xml:space="preserve"> - </w:t>
      </w:r>
      <w:r w:rsidR="008C559B" w:rsidRPr="00605209">
        <w:t>PPL’s Reply to formal complaint C-2011-2273645 p. 5</w:t>
      </w:r>
      <w:r w:rsidR="004921E4" w:rsidRPr="00605209">
        <w:t>;</w:t>
      </w:r>
    </w:p>
    <w:p w:rsidR="008C559B" w:rsidRPr="00605209" w:rsidRDefault="003317FD" w:rsidP="00D975AC">
      <w:pPr>
        <w:ind w:left="1440"/>
      </w:pPr>
      <w:r w:rsidRPr="00605209">
        <w:t>JLM-</w:t>
      </w:r>
      <w:r w:rsidR="008C559B" w:rsidRPr="00605209">
        <w:t>41</w:t>
      </w:r>
      <w:r w:rsidR="002C32CA" w:rsidRPr="00605209">
        <w:t xml:space="preserve"> - </w:t>
      </w:r>
      <w:r w:rsidR="008C559B" w:rsidRPr="00605209">
        <w:t>PPL’s Reply Exceptions Docket No. C-2011-2273645 p.13</w:t>
      </w:r>
      <w:r w:rsidR="004921E4" w:rsidRPr="00605209">
        <w:t>;</w:t>
      </w:r>
    </w:p>
    <w:p w:rsidR="008C559B" w:rsidRPr="00605209" w:rsidRDefault="003317FD" w:rsidP="00D975AC">
      <w:pPr>
        <w:ind w:left="1440"/>
      </w:pPr>
      <w:r w:rsidRPr="00605209">
        <w:t>JLM-</w:t>
      </w:r>
      <w:r w:rsidR="008C559B" w:rsidRPr="00605209">
        <w:t>42</w:t>
      </w:r>
      <w:r w:rsidR="002C32CA" w:rsidRPr="00605209">
        <w:t xml:space="preserve"> - </w:t>
      </w:r>
      <w:r w:rsidR="008C559B" w:rsidRPr="00605209">
        <w:t>Document omitted</w:t>
      </w:r>
      <w:r w:rsidR="004921E4" w:rsidRPr="00605209">
        <w:t>;</w:t>
      </w:r>
    </w:p>
    <w:p w:rsidR="008C559B" w:rsidRPr="00605209" w:rsidRDefault="003317FD" w:rsidP="00D975AC">
      <w:pPr>
        <w:ind w:left="1440"/>
      </w:pPr>
      <w:r w:rsidRPr="00605209">
        <w:t>JLM-</w:t>
      </w:r>
      <w:r w:rsidR="008C559B" w:rsidRPr="00605209">
        <w:t>43</w:t>
      </w:r>
      <w:r w:rsidR="002C32CA" w:rsidRPr="00605209">
        <w:t xml:space="preserve"> - </w:t>
      </w:r>
      <w:r w:rsidR="008C559B" w:rsidRPr="00605209">
        <w:t>Document omitted</w:t>
      </w:r>
      <w:r w:rsidR="004921E4" w:rsidRPr="00605209">
        <w:t>;</w:t>
      </w:r>
    </w:p>
    <w:p w:rsidR="008C559B" w:rsidRPr="00605209" w:rsidRDefault="003317FD" w:rsidP="00D975AC">
      <w:pPr>
        <w:ind w:left="1440"/>
      </w:pPr>
      <w:r w:rsidRPr="00605209">
        <w:t>JLM-</w:t>
      </w:r>
      <w:r w:rsidR="008C559B" w:rsidRPr="00605209">
        <w:t>44</w:t>
      </w:r>
      <w:r w:rsidR="002C32CA" w:rsidRPr="00605209">
        <w:t xml:space="preserve"> - </w:t>
      </w:r>
      <w:r w:rsidR="008C559B" w:rsidRPr="00605209">
        <w:t>PPL email Worthington January 6, 2011</w:t>
      </w:r>
      <w:r w:rsidR="004921E4" w:rsidRPr="00605209">
        <w:t>;</w:t>
      </w:r>
    </w:p>
    <w:p w:rsidR="008C559B" w:rsidRPr="00605209" w:rsidRDefault="003317FD" w:rsidP="00D975AC">
      <w:pPr>
        <w:ind w:left="1440"/>
      </w:pPr>
      <w:r w:rsidRPr="00605209">
        <w:t>JLM-45</w:t>
      </w:r>
      <w:r w:rsidR="002C32CA" w:rsidRPr="00605209">
        <w:t xml:space="preserve"> - </w:t>
      </w:r>
      <w:r w:rsidR="008C559B" w:rsidRPr="00605209">
        <w:t>Document omitted</w:t>
      </w:r>
      <w:r w:rsidR="004921E4" w:rsidRPr="00605209">
        <w:t>;</w:t>
      </w:r>
    </w:p>
    <w:p w:rsidR="008C559B" w:rsidRPr="00605209" w:rsidRDefault="003317FD" w:rsidP="00D975AC">
      <w:pPr>
        <w:ind w:left="1440"/>
      </w:pPr>
      <w:r w:rsidRPr="00605209">
        <w:t>JLM-</w:t>
      </w:r>
      <w:r w:rsidR="00D844DF" w:rsidRPr="00605209">
        <w:t>46</w:t>
      </w:r>
      <w:r w:rsidR="004921E4" w:rsidRPr="00605209">
        <w:t xml:space="preserve"> - </w:t>
      </w:r>
      <w:r w:rsidR="008C559B" w:rsidRPr="00605209">
        <w:t>Document omitted</w:t>
      </w:r>
      <w:r w:rsidR="004921E4" w:rsidRPr="00605209">
        <w:t>;</w:t>
      </w:r>
    </w:p>
    <w:p w:rsidR="00584AC0" w:rsidRPr="00605209" w:rsidRDefault="00584AC0" w:rsidP="00584AC0">
      <w:pPr>
        <w:ind w:left="1440"/>
      </w:pPr>
      <w:r w:rsidRPr="00605209">
        <w:t>JLM-47 - not admitted;</w:t>
      </w:r>
    </w:p>
    <w:p w:rsidR="00584AC0" w:rsidRPr="00605209" w:rsidRDefault="00584AC0" w:rsidP="00584AC0">
      <w:pPr>
        <w:ind w:left="1440"/>
      </w:pPr>
      <w:r w:rsidRPr="00605209">
        <w:t xml:space="preserve">JLM-48 </w:t>
      </w:r>
      <w:r w:rsidR="00A41CC9" w:rsidRPr="00605209">
        <w:t xml:space="preserve">- </w:t>
      </w:r>
      <w:r w:rsidRPr="00605209">
        <w:t xml:space="preserve">JLM-53 </w:t>
      </w:r>
      <w:r w:rsidR="00A41CC9" w:rsidRPr="00605209">
        <w:t>-</w:t>
      </w:r>
      <w:r w:rsidRPr="00605209">
        <w:t xml:space="preserve"> </w:t>
      </w:r>
      <w:r w:rsidR="00192A68" w:rsidRPr="00605209">
        <w:t>1-page</w:t>
      </w:r>
      <w:r w:rsidR="00A41CC9" w:rsidRPr="00605209">
        <w:t xml:space="preserve"> documents;</w:t>
      </w:r>
    </w:p>
    <w:p w:rsidR="00584AC0" w:rsidRPr="00605209" w:rsidRDefault="00584AC0" w:rsidP="00584AC0">
      <w:pPr>
        <w:ind w:left="1440"/>
      </w:pPr>
      <w:r w:rsidRPr="00605209">
        <w:t xml:space="preserve">JLM-54- not admitted; </w:t>
      </w:r>
    </w:p>
    <w:p w:rsidR="00584AC0" w:rsidRPr="00605209" w:rsidRDefault="00584AC0" w:rsidP="00584AC0">
      <w:pPr>
        <w:ind w:left="1440"/>
      </w:pPr>
      <w:r w:rsidRPr="00605209">
        <w:t xml:space="preserve">JLM-55 </w:t>
      </w:r>
      <w:r w:rsidR="0024339B" w:rsidRPr="00605209">
        <w:t>-</w:t>
      </w:r>
      <w:r w:rsidRPr="00605209">
        <w:t xml:space="preserve"> </w:t>
      </w:r>
      <w:r w:rsidR="00A41CC9" w:rsidRPr="00605209">
        <w:t>Virtual metering worksheet;</w:t>
      </w:r>
    </w:p>
    <w:p w:rsidR="00584AC0" w:rsidRPr="00605209" w:rsidRDefault="00584AC0" w:rsidP="00584AC0">
      <w:pPr>
        <w:ind w:left="1440"/>
      </w:pPr>
      <w:r w:rsidRPr="00605209">
        <w:t xml:space="preserve">JLM-56 - JLM-79 </w:t>
      </w:r>
      <w:r w:rsidR="00A41CC9" w:rsidRPr="00605209">
        <w:t>-</w:t>
      </w:r>
      <w:r w:rsidRPr="00605209">
        <w:t xml:space="preserve"> omitted;</w:t>
      </w:r>
    </w:p>
    <w:p w:rsidR="00584AC0" w:rsidRPr="00605209" w:rsidRDefault="00584AC0" w:rsidP="00584AC0">
      <w:pPr>
        <w:ind w:left="1440"/>
      </w:pPr>
      <w:r w:rsidRPr="00605209">
        <w:t>JLM-80 - PPL Original Exhibit 5;</w:t>
      </w:r>
    </w:p>
    <w:p w:rsidR="00584AC0" w:rsidRPr="00605209" w:rsidRDefault="00584AC0" w:rsidP="00584AC0">
      <w:pPr>
        <w:ind w:left="1440"/>
      </w:pPr>
      <w:r w:rsidRPr="00605209">
        <w:t>JLM-81 - PPL Original Exhibit 7;</w:t>
      </w:r>
    </w:p>
    <w:p w:rsidR="00584AC0" w:rsidRPr="00605209" w:rsidRDefault="00584AC0" w:rsidP="00584AC0">
      <w:pPr>
        <w:ind w:left="1440"/>
      </w:pPr>
      <w:r w:rsidRPr="00605209">
        <w:t>JLM-82 - PPL Year End Calculation Sheets (2013?);</w:t>
      </w:r>
    </w:p>
    <w:p w:rsidR="00584AC0" w:rsidRPr="00605209" w:rsidRDefault="00584AC0" w:rsidP="00584AC0">
      <w:pPr>
        <w:ind w:left="1440"/>
      </w:pPr>
      <w:r w:rsidRPr="00605209">
        <w:t xml:space="preserve">JLM-83 - JLM-84 </w:t>
      </w:r>
      <w:r w:rsidR="00A41CC9" w:rsidRPr="00605209">
        <w:t>-</w:t>
      </w:r>
      <w:r w:rsidRPr="00605209">
        <w:t xml:space="preserve"> </w:t>
      </w:r>
      <w:r w:rsidR="00192A68" w:rsidRPr="00605209">
        <w:t>1-page</w:t>
      </w:r>
      <w:r w:rsidR="00A41CC9" w:rsidRPr="00605209">
        <w:t xml:space="preserve"> documents;</w:t>
      </w:r>
    </w:p>
    <w:p w:rsidR="00584AC0" w:rsidRPr="00605209" w:rsidRDefault="00514461" w:rsidP="00584AC0">
      <w:pPr>
        <w:ind w:left="1440"/>
      </w:pPr>
      <w:r w:rsidRPr="00605209">
        <w:t>JLM-85 - JLM-100 -</w:t>
      </w:r>
      <w:r w:rsidR="00584AC0" w:rsidRPr="00605209">
        <w:t xml:space="preserve"> omitted;</w:t>
      </w:r>
    </w:p>
    <w:p w:rsidR="00584AC0" w:rsidRPr="00605209" w:rsidRDefault="00584AC0" w:rsidP="00584AC0">
      <w:pPr>
        <w:ind w:left="1440"/>
      </w:pPr>
      <w:r w:rsidRPr="00605209">
        <w:t>JLM-101</w:t>
      </w:r>
      <w:r w:rsidR="00A745EB" w:rsidRPr="00605209">
        <w:t xml:space="preserve"> </w:t>
      </w:r>
      <w:r w:rsidRPr="00605209">
        <w:t>-</w:t>
      </w:r>
      <w:r w:rsidR="00A745EB" w:rsidRPr="00605209">
        <w:t xml:space="preserve"> </w:t>
      </w:r>
      <w:r w:rsidRPr="00605209">
        <w:t>170 - Bills associated with the Complainant’s solar panels’ account;</w:t>
      </w:r>
    </w:p>
    <w:p w:rsidR="00584AC0" w:rsidRPr="00605209" w:rsidRDefault="00A745EB" w:rsidP="00584AC0">
      <w:pPr>
        <w:ind w:left="1440"/>
      </w:pPr>
      <w:r w:rsidRPr="00605209">
        <w:t>JLM-171 - JLM-201 -</w:t>
      </w:r>
      <w:r w:rsidR="00584AC0" w:rsidRPr="00605209">
        <w:t xml:space="preserve"> omitted;</w:t>
      </w:r>
    </w:p>
    <w:p w:rsidR="00584AC0" w:rsidRPr="00605209" w:rsidRDefault="00584AC0" w:rsidP="00584AC0">
      <w:pPr>
        <w:ind w:left="1440"/>
      </w:pPr>
      <w:r w:rsidRPr="00605209">
        <w:t>JLM-202</w:t>
      </w:r>
      <w:r w:rsidR="00E658E5" w:rsidRPr="00605209">
        <w:t xml:space="preserve"> </w:t>
      </w:r>
      <w:r w:rsidRPr="00605209">
        <w:t>-</w:t>
      </w:r>
      <w:r w:rsidR="00E658E5" w:rsidRPr="00605209">
        <w:t xml:space="preserve"> </w:t>
      </w:r>
      <w:r w:rsidRPr="00605209">
        <w:t>267 - Bills associated with the Complainant’s house account.</w:t>
      </w:r>
    </w:p>
    <w:p w:rsidR="00265B91" w:rsidRPr="00605209" w:rsidRDefault="00265B91" w:rsidP="00D975AC">
      <w:pPr>
        <w:ind w:left="1440"/>
      </w:pPr>
    </w:p>
    <w:p w:rsidR="003317FD" w:rsidRPr="00605209" w:rsidRDefault="00A41CC9" w:rsidP="00A41CC9">
      <w:pPr>
        <w:spacing w:line="360" w:lineRule="auto"/>
      </w:pPr>
      <w:r w:rsidRPr="00605209">
        <w:tab/>
      </w:r>
      <w:r w:rsidRPr="00605209">
        <w:tab/>
      </w:r>
      <w:r w:rsidR="00265B91" w:rsidRPr="00605209">
        <w:t>The following exhibits were a</w:t>
      </w:r>
      <w:r w:rsidR="00D844DF" w:rsidRPr="00605209">
        <w:t>dmitted</w:t>
      </w:r>
      <w:r w:rsidR="00030596" w:rsidRPr="00605209">
        <w:t>:</w:t>
      </w:r>
      <w:r w:rsidR="00CE5201" w:rsidRPr="00605209">
        <w:t xml:space="preserve"> </w:t>
      </w:r>
      <w:r w:rsidR="00D844DF" w:rsidRPr="00605209">
        <w:t>JLM</w:t>
      </w:r>
      <w:r w:rsidR="00E658E5" w:rsidRPr="00605209">
        <w:t xml:space="preserve"> </w:t>
      </w:r>
      <w:r w:rsidR="00D844DF" w:rsidRPr="00605209">
        <w:t>-</w:t>
      </w:r>
      <w:r w:rsidR="00E658E5" w:rsidRPr="00605209">
        <w:t xml:space="preserve"> </w:t>
      </w:r>
      <w:r w:rsidR="00D844DF" w:rsidRPr="00605209">
        <w:t>1-6, 9</w:t>
      </w:r>
      <w:r w:rsidR="00E658E5" w:rsidRPr="00605209">
        <w:t xml:space="preserve"> </w:t>
      </w:r>
      <w:r w:rsidR="00D844DF" w:rsidRPr="00605209">
        <w:t>-</w:t>
      </w:r>
      <w:r w:rsidR="00E658E5" w:rsidRPr="00605209">
        <w:t xml:space="preserve"> </w:t>
      </w:r>
      <w:r w:rsidR="00D844DF" w:rsidRPr="00605209">
        <w:t>11, 13, 15, 17</w:t>
      </w:r>
      <w:r w:rsidR="00E658E5" w:rsidRPr="00605209">
        <w:t xml:space="preserve"> </w:t>
      </w:r>
      <w:r w:rsidR="00D844DF" w:rsidRPr="00605209">
        <w:t>-</w:t>
      </w:r>
      <w:r w:rsidR="008C559B" w:rsidRPr="00605209">
        <w:t xml:space="preserve"> </w:t>
      </w:r>
      <w:r w:rsidR="00427E0B" w:rsidRPr="00605209">
        <w:t>41, and 44</w:t>
      </w:r>
      <w:r w:rsidR="00D844DF" w:rsidRPr="00605209">
        <w:t>, 48-53, 55, 80-84, 101-170</w:t>
      </w:r>
      <w:r w:rsidR="00265B91" w:rsidRPr="00605209">
        <w:t xml:space="preserve"> and</w:t>
      </w:r>
      <w:r w:rsidR="00D844DF" w:rsidRPr="00605209">
        <w:t xml:space="preserve"> 202-267</w:t>
      </w:r>
      <w:r w:rsidR="00265B91" w:rsidRPr="00605209">
        <w:t>.</w:t>
      </w:r>
    </w:p>
    <w:p w:rsidR="00756923" w:rsidRPr="00605209" w:rsidRDefault="00756923" w:rsidP="00D975AC">
      <w:pPr>
        <w:ind w:left="1440"/>
      </w:pPr>
    </w:p>
    <w:p w:rsidR="00D844DF" w:rsidRPr="00605209" w:rsidRDefault="00756923" w:rsidP="00D975AC">
      <w:pPr>
        <w:spacing w:line="360" w:lineRule="auto"/>
      </w:pPr>
      <w:r w:rsidRPr="00605209">
        <w:tab/>
      </w:r>
      <w:r w:rsidRPr="00605209">
        <w:tab/>
      </w:r>
      <w:r w:rsidR="003F7BEB" w:rsidRPr="00605209">
        <w:t xml:space="preserve">The Respondent, PPL Electric Utilities Corporation, was represented by Christopher T. Wright, Esquire, and Devin Ryan, Esquire.  </w:t>
      </w:r>
      <w:r w:rsidRPr="00605209">
        <w:t xml:space="preserve">The Respondent preserved </w:t>
      </w:r>
      <w:r w:rsidR="00D844DF" w:rsidRPr="00605209">
        <w:t>PPL Electric Statement No. 1-rebuttal testimony of Mr. Aloysius P. Cannon, Jr.</w:t>
      </w:r>
      <w:r w:rsidRPr="00605209">
        <w:t xml:space="preserve"> with </w:t>
      </w:r>
      <w:r w:rsidR="00D844DF" w:rsidRPr="00605209">
        <w:t>PPL Exhibit</w:t>
      </w:r>
      <w:r w:rsidRPr="00605209">
        <w:t>s</w:t>
      </w:r>
      <w:r w:rsidR="00D844DF" w:rsidRPr="00605209">
        <w:t xml:space="preserve"> AFC-1 through AFC 5</w:t>
      </w:r>
      <w:r w:rsidR="00D047FF" w:rsidRPr="00605209">
        <w:t xml:space="preserve">.  Mr. Cannon was cross-examined during the hearing.  </w:t>
      </w:r>
    </w:p>
    <w:p w:rsidR="005C1ED1" w:rsidRPr="00605209" w:rsidRDefault="005C1ED1" w:rsidP="00D975AC">
      <w:pPr>
        <w:spacing w:line="360" w:lineRule="auto"/>
      </w:pPr>
    </w:p>
    <w:p w:rsidR="00D844DF" w:rsidRPr="00605209" w:rsidRDefault="00D844DF" w:rsidP="00D975AC">
      <w:pPr>
        <w:ind w:left="1440"/>
      </w:pPr>
      <w:r w:rsidRPr="00605209">
        <w:t>AFC-</w:t>
      </w:r>
      <w:r w:rsidR="007D3FFD" w:rsidRPr="00605209">
        <w:t>1</w:t>
      </w:r>
      <w:r w:rsidR="00756923" w:rsidRPr="00605209">
        <w:t xml:space="preserve"> - </w:t>
      </w:r>
      <w:r w:rsidR="007D3FFD" w:rsidRPr="00605209">
        <w:t xml:space="preserve">PPL’s </w:t>
      </w:r>
      <w:r w:rsidRPr="00605209">
        <w:t>net metering tariff effective January 1, 2013</w:t>
      </w:r>
      <w:r w:rsidR="00756923" w:rsidRPr="00605209">
        <w:t>;</w:t>
      </w:r>
    </w:p>
    <w:p w:rsidR="007D3FFD" w:rsidRPr="00605209" w:rsidRDefault="00D844DF" w:rsidP="00D975AC">
      <w:pPr>
        <w:ind w:left="1440"/>
      </w:pPr>
      <w:r w:rsidRPr="00605209">
        <w:t>AFC-</w:t>
      </w:r>
      <w:r w:rsidR="007D3FFD" w:rsidRPr="00605209">
        <w:t>2</w:t>
      </w:r>
      <w:r w:rsidR="00756923" w:rsidRPr="00605209">
        <w:t xml:space="preserve"> - </w:t>
      </w:r>
      <w:r w:rsidR="007D3FFD" w:rsidRPr="00605209">
        <w:t>PPL’s procedures for the monthly calculation of the virtual metering analysis and credit calculations</w:t>
      </w:r>
      <w:r w:rsidR="00756923" w:rsidRPr="00605209">
        <w:t>;</w:t>
      </w:r>
    </w:p>
    <w:p w:rsidR="00D844DF" w:rsidRPr="00605209" w:rsidRDefault="007D3FFD" w:rsidP="00D975AC">
      <w:pPr>
        <w:ind w:left="1440"/>
      </w:pPr>
      <w:r w:rsidRPr="00605209">
        <w:t>AFC-</w:t>
      </w:r>
      <w:r w:rsidR="00D844DF" w:rsidRPr="00605209">
        <w:t>3</w:t>
      </w:r>
      <w:r w:rsidR="00756923" w:rsidRPr="00605209">
        <w:t xml:space="preserve"> -</w:t>
      </w:r>
      <w:r w:rsidR="00D95AD0" w:rsidRPr="00605209">
        <w:t xml:space="preserve"> 2007 Net and Virtual Metering Tariffs;</w:t>
      </w:r>
    </w:p>
    <w:p w:rsidR="00C66854" w:rsidRPr="00605209" w:rsidRDefault="00D844DF" w:rsidP="00D975AC">
      <w:pPr>
        <w:ind w:left="1440"/>
      </w:pPr>
      <w:r w:rsidRPr="00605209">
        <w:t>AFC-4</w:t>
      </w:r>
      <w:r w:rsidR="00756923" w:rsidRPr="00605209">
        <w:t xml:space="preserve"> -</w:t>
      </w:r>
      <w:r w:rsidR="004778D2" w:rsidRPr="00605209">
        <w:t xml:space="preserve"> </w:t>
      </w:r>
      <w:r w:rsidR="00D95AD0" w:rsidRPr="00605209">
        <w:t xml:space="preserve">2011 Net and Virtual Metering Tariffs effective January 1, 2011; and </w:t>
      </w:r>
      <w:r w:rsidRPr="00605209">
        <w:t>AFC-5</w:t>
      </w:r>
      <w:r w:rsidR="00756923" w:rsidRPr="00605209">
        <w:t xml:space="preserve"> -</w:t>
      </w:r>
      <w:r w:rsidR="00D95AD0" w:rsidRPr="00605209">
        <w:t xml:space="preserve"> spreadsheet that provides a breakdown of the aggregation and billing history for Mr. Moyer's host and satellite accounts.</w:t>
      </w:r>
    </w:p>
    <w:p w:rsidR="00642DD6" w:rsidRPr="00605209" w:rsidRDefault="00642DD6" w:rsidP="00D975AC">
      <w:pPr>
        <w:spacing w:line="360" w:lineRule="auto"/>
      </w:pPr>
    </w:p>
    <w:p w:rsidR="00657C96" w:rsidRPr="00605209" w:rsidRDefault="00657C96" w:rsidP="00D975AC">
      <w:pPr>
        <w:spacing w:line="360" w:lineRule="auto"/>
      </w:pPr>
      <w:r w:rsidRPr="00605209">
        <w:tab/>
      </w:r>
      <w:r w:rsidRPr="00605209">
        <w:tab/>
        <w:t xml:space="preserve">The Complainant filed his main brief on June </w:t>
      </w:r>
      <w:r w:rsidR="007061EE" w:rsidRPr="00605209">
        <w:t>4</w:t>
      </w:r>
      <w:r w:rsidRPr="00605209">
        <w:t>, 2015</w:t>
      </w:r>
      <w:r w:rsidR="00D95AD0" w:rsidRPr="00605209">
        <w:t xml:space="preserve">.  </w:t>
      </w:r>
      <w:r w:rsidR="001012B2" w:rsidRPr="00605209">
        <w:t xml:space="preserve">The </w:t>
      </w:r>
      <w:r w:rsidRPr="00605209">
        <w:t>Respondent’s counsel filed the reply brief on June 29, 2015.</w:t>
      </w:r>
    </w:p>
    <w:p w:rsidR="00B86B03" w:rsidRPr="00605209" w:rsidRDefault="00202923" w:rsidP="00D975AC">
      <w:pPr>
        <w:spacing w:line="360" w:lineRule="auto"/>
      </w:pPr>
      <w:r w:rsidRPr="00605209">
        <w:lastRenderedPageBreak/>
        <w:tab/>
      </w:r>
      <w:r w:rsidR="00B86B03" w:rsidRPr="00605209">
        <w:tab/>
        <w:t xml:space="preserve">The record consists of a </w:t>
      </w:r>
      <w:r w:rsidR="00353EAC" w:rsidRPr="00605209">
        <w:t>238-page</w:t>
      </w:r>
      <w:r w:rsidR="00B86B03" w:rsidRPr="00605209">
        <w:t xml:space="preserve"> transcript of the hearing </w:t>
      </w:r>
      <w:r w:rsidR="00BA3F79" w:rsidRPr="00605209">
        <w:t>on remand</w:t>
      </w:r>
      <w:r w:rsidR="005C5514" w:rsidRPr="00605209">
        <w:t xml:space="preserve"> (“Tr.”)</w:t>
      </w:r>
      <w:r w:rsidR="00BA3F79" w:rsidRPr="00605209">
        <w:t>,</w:t>
      </w:r>
      <w:r w:rsidR="00B86B03" w:rsidRPr="00605209">
        <w:t xml:space="preserve"> </w:t>
      </w:r>
      <w:r w:rsidR="00BA3F79" w:rsidRPr="00605209">
        <w:t>the Complainant’s testimony</w:t>
      </w:r>
      <w:r w:rsidR="009443DB" w:rsidRPr="00605209">
        <w:t>, Moyer Direct</w:t>
      </w:r>
      <w:r w:rsidR="00427E0B" w:rsidRPr="00605209">
        <w:t xml:space="preserve"> and Moyer Surrebuttal</w:t>
      </w:r>
      <w:r w:rsidR="009443DB" w:rsidRPr="00605209">
        <w:t>,</w:t>
      </w:r>
      <w:r w:rsidR="00BA3F79" w:rsidRPr="00605209">
        <w:t xml:space="preserve"> and the testimony of the Respondent’s witness, PPL Electric Statement No. 1, the Complainant’s 18</w:t>
      </w:r>
      <w:r w:rsidR="00A41CC9" w:rsidRPr="00605209">
        <w:t>0</w:t>
      </w:r>
      <w:r w:rsidR="00BA3F79" w:rsidRPr="00605209">
        <w:t xml:space="preserve"> exhibits, and the Respondent’s 5</w:t>
      </w:r>
      <w:r w:rsidR="00B86B03" w:rsidRPr="00605209">
        <w:rPr>
          <w:b/>
        </w:rPr>
        <w:t xml:space="preserve"> </w:t>
      </w:r>
      <w:r w:rsidR="00B86B03" w:rsidRPr="00605209">
        <w:t>exhibits</w:t>
      </w:r>
      <w:r w:rsidR="00BA3F79" w:rsidRPr="00605209">
        <w:t>, the Complainant’s main brief and the Respondent’s reply brief</w:t>
      </w:r>
      <w:r w:rsidR="00B86B03" w:rsidRPr="00605209">
        <w:t xml:space="preserve">.  The record closed on </w:t>
      </w:r>
      <w:r w:rsidR="007061EE" w:rsidRPr="00605209">
        <w:t>Jun</w:t>
      </w:r>
      <w:r w:rsidR="00B86B03" w:rsidRPr="00605209">
        <w:t xml:space="preserve">e </w:t>
      </w:r>
      <w:r w:rsidR="007061EE" w:rsidRPr="00605209">
        <w:t>30</w:t>
      </w:r>
      <w:r w:rsidR="00B86B03" w:rsidRPr="00605209">
        <w:t>, 201</w:t>
      </w:r>
      <w:r w:rsidR="009443DB" w:rsidRPr="00605209">
        <w:t>5</w:t>
      </w:r>
      <w:r w:rsidR="00B86B03" w:rsidRPr="00605209">
        <w:t xml:space="preserve">, </w:t>
      </w:r>
      <w:r w:rsidR="007061EE" w:rsidRPr="00605209">
        <w:t>after the reply brief was filed</w:t>
      </w:r>
      <w:r w:rsidR="00B86B03" w:rsidRPr="00605209">
        <w:t xml:space="preserve">. </w:t>
      </w:r>
    </w:p>
    <w:p w:rsidR="00B27035" w:rsidRPr="00605209" w:rsidRDefault="00B27035" w:rsidP="00D975AC">
      <w:pPr>
        <w:pStyle w:val="Heading1"/>
        <w:tabs>
          <w:tab w:val="left" w:pos="1980"/>
        </w:tabs>
        <w:spacing w:line="360" w:lineRule="auto"/>
        <w:rPr>
          <w:rFonts w:ascii="Times New Roman" w:hAnsi="Times New Roman"/>
          <w:b w:val="0"/>
        </w:rPr>
      </w:pPr>
    </w:p>
    <w:p w:rsidR="00FF26E3" w:rsidRPr="00605209" w:rsidRDefault="00FF26E3" w:rsidP="00D975AC">
      <w:pPr>
        <w:pStyle w:val="Heading1"/>
        <w:tabs>
          <w:tab w:val="left" w:pos="1980"/>
        </w:tabs>
        <w:spacing w:line="360" w:lineRule="auto"/>
        <w:rPr>
          <w:rFonts w:ascii="Times New Roman" w:hAnsi="Times New Roman"/>
          <w:b w:val="0"/>
        </w:rPr>
      </w:pPr>
      <w:r w:rsidRPr="00605209">
        <w:rPr>
          <w:rFonts w:ascii="Times New Roman" w:hAnsi="Times New Roman"/>
          <w:b w:val="0"/>
        </w:rPr>
        <w:t>FINDINGS OF FACT</w:t>
      </w:r>
    </w:p>
    <w:p w:rsidR="00FF26E3" w:rsidRPr="00605209" w:rsidRDefault="00FF26E3" w:rsidP="00D14EAF">
      <w:pPr>
        <w:spacing w:line="360" w:lineRule="auto"/>
      </w:pPr>
    </w:p>
    <w:p w:rsidR="003C4CBE" w:rsidRPr="00605209" w:rsidRDefault="00FF26E3"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t xml:space="preserve">The Complainant is </w:t>
      </w:r>
      <w:r w:rsidR="00946301" w:rsidRPr="00605209">
        <w:rPr>
          <w:rFonts w:ascii="Times New Roman" w:hAnsi="Times New Roman"/>
        </w:rPr>
        <w:t>Jay Larry Moyer</w:t>
      </w:r>
      <w:r w:rsidR="00E0518C" w:rsidRPr="00605209">
        <w:rPr>
          <w:rFonts w:ascii="Times New Roman" w:hAnsi="Times New Roman"/>
        </w:rPr>
        <w:t xml:space="preserve"> who resides at</w:t>
      </w:r>
      <w:r w:rsidRPr="00605209">
        <w:rPr>
          <w:rFonts w:ascii="Times New Roman" w:hAnsi="Times New Roman"/>
        </w:rPr>
        <w:t xml:space="preserve"> </w:t>
      </w:r>
      <w:r w:rsidR="000E39FA" w:rsidRPr="00605209">
        <w:rPr>
          <w:rFonts w:ascii="Times New Roman" w:hAnsi="Times New Roman"/>
        </w:rPr>
        <w:t>370 West Johnson Street,</w:t>
      </w:r>
      <w:r w:rsidR="001D4623" w:rsidRPr="00605209">
        <w:rPr>
          <w:rFonts w:ascii="Times New Roman" w:hAnsi="Times New Roman"/>
        </w:rPr>
        <w:t xml:space="preserve"> </w:t>
      </w:r>
      <w:r w:rsidR="000E39FA" w:rsidRPr="00605209">
        <w:rPr>
          <w:rFonts w:ascii="Times New Roman" w:hAnsi="Times New Roman"/>
        </w:rPr>
        <w:t>Philadelphia, PA 19144</w:t>
      </w:r>
      <w:r w:rsidR="009443DB" w:rsidRPr="00605209">
        <w:rPr>
          <w:rFonts w:ascii="Times New Roman" w:hAnsi="Times New Roman"/>
        </w:rPr>
        <w:t>.</w:t>
      </w:r>
    </w:p>
    <w:p w:rsidR="00657C96" w:rsidRPr="00605209" w:rsidRDefault="00657C96" w:rsidP="00D975AC">
      <w:pPr>
        <w:pStyle w:val="BodyText"/>
        <w:tabs>
          <w:tab w:val="clear" w:pos="1980"/>
        </w:tabs>
        <w:spacing w:line="360" w:lineRule="auto"/>
        <w:ind w:firstLine="1440"/>
        <w:jc w:val="left"/>
        <w:rPr>
          <w:rFonts w:ascii="Times New Roman" w:hAnsi="Times New Roman"/>
        </w:rPr>
      </w:pPr>
    </w:p>
    <w:p w:rsidR="00AA7343" w:rsidRPr="00605209" w:rsidRDefault="00FF26E3" w:rsidP="00D975AC">
      <w:pPr>
        <w:pStyle w:val="BodyText"/>
        <w:numPr>
          <w:ilvl w:val="0"/>
          <w:numId w:val="22"/>
        </w:numPr>
        <w:tabs>
          <w:tab w:val="clear" w:pos="1980"/>
        </w:tabs>
        <w:spacing w:line="360" w:lineRule="auto"/>
        <w:ind w:left="0" w:firstLine="1440"/>
        <w:jc w:val="left"/>
        <w:rPr>
          <w:rFonts w:ascii="Times New Roman" w:hAnsi="Times New Roman"/>
        </w:rPr>
      </w:pPr>
      <w:r w:rsidRPr="00605209">
        <w:rPr>
          <w:rFonts w:ascii="Times New Roman" w:hAnsi="Times New Roman"/>
        </w:rPr>
        <w:t xml:space="preserve">The Respondent in this proceeding is </w:t>
      </w:r>
      <w:r w:rsidR="00946301" w:rsidRPr="00605209">
        <w:rPr>
          <w:rFonts w:ascii="Times New Roman" w:hAnsi="Times New Roman"/>
        </w:rPr>
        <w:t>PPL Electric Utilities Corporation</w:t>
      </w:r>
      <w:r w:rsidRPr="00605209">
        <w:rPr>
          <w:rFonts w:ascii="Times New Roman" w:hAnsi="Times New Roman"/>
        </w:rPr>
        <w:t>.</w:t>
      </w:r>
    </w:p>
    <w:p w:rsidR="00AA7343" w:rsidRPr="00605209" w:rsidRDefault="00AA7343" w:rsidP="00D975AC">
      <w:pPr>
        <w:pStyle w:val="ListParagraph"/>
        <w:rPr>
          <w:sz w:val="24"/>
          <w:highlight w:val="cyan"/>
        </w:rPr>
      </w:pPr>
    </w:p>
    <w:p w:rsidR="00491229" w:rsidRPr="00605209" w:rsidRDefault="00FF26E3" w:rsidP="00D975AC">
      <w:pPr>
        <w:pStyle w:val="BodyText"/>
        <w:numPr>
          <w:ilvl w:val="0"/>
          <w:numId w:val="22"/>
        </w:numPr>
        <w:tabs>
          <w:tab w:val="clear" w:pos="1980"/>
        </w:tabs>
        <w:spacing w:line="360" w:lineRule="auto"/>
        <w:ind w:left="0" w:firstLine="1440"/>
        <w:jc w:val="left"/>
        <w:rPr>
          <w:rFonts w:ascii="Times New Roman" w:hAnsi="Times New Roman"/>
        </w:rPr>
      </w:pPr>
      <w:r w:rsidRPr="00605209">
        <w:rPr>
          <w:rFonts w:ascii="Times New Roman" w:hAnsi="Times New Roman"/>
        </w:rPr>
        <w:t xml:space="preserve">The </w:t>
      </w:r>
      <w:r w:rsidR="00427E0B" w:rsidRPr="00605209">
        <w:rPr>
          <w:rFonts w:ascii="Times New Roman" w:hAnsi="Times New Roman"/>
        </w:rPr>
        <w:t xml:space="preserve">two formal </w:t>
      </w:r>
      <w:r w:rsidRPr="00605209">
        <w:rPr>
          <w:rFonts w:ascii="Times New Roman" w:hAnsi="Times New Roman"/>
        </w:rPr>
        <w:t>complaint</w:t>
      </w:r>
      <w:r w:rsidR="005C5514" w:rsidRPr="00605209">
        <w:rPr>
          <w:rFonts w:ascii="Times New Roman" w:hAnsi="Times New Roman"/>
        </w:rPr>
        <w:t>s</w:t>
      </w:r>
      <w:r w:rsidRPr="00605209">
        <w:rPr>
          <w:rFonts w:ascii="Times New Roman" w:hAnsi="Times New Roman"/>
        </w:rPr>
        <w:t xml:space="preserve"> concern service at </w:t>
      </w:r>
      <w:r w:rsidR="00F61EFA" w:rsidRPr="00605209">
        <w:rPr>
          <w:rFonts w:ascii="Times New Roman" w:hAnsi="Times New Roman"/>
        </w:rPr>
        <w:t xml:space="preserve">the Complainant’s property at </w:t>
      </w:r>
      <w:r w:rsidR="000E39FA" w:rsidRPr="00605209">
        <w:rPr>
          <w:rFonts w:ascii="Times New Roman" w:hAnsi="Times New Roman"/>
        </w:rPr>
        <w:t>7</w:t>
      </w:r>
      <w:r w:rsidR="00E70B83" w:rsidRPr="00605209">
        <w:rPr>
          <w:rFonts w:ascii="Times New Roman" w:hAnsi="Times New Roman"/>
        </w:rPr>
        <w:t>3</w:t>
      </w:r>
      <w:r w:rsidRPr="00605209">
        <w:rPr>
          <w:rFonts w:ascii="Times New Roman" w:hAnsi="Times New Roman"/>
        </w:rPr>
        <w:t xml:space="preserve"> </w:t>
      </w:r>
      <w:r w:rsidR="00E70B83" w:rsidRPr="00605209">
        <w:rPr>
          <w:rFonts w:ascii="Times New Roman" w:hAnsi="Times New Roman"/>
        </w:rPr>
        <w:t>W</w:t>
      </w:r>
      <w:r w:rsidR="000E39FA" w:rsidRPr="00605209">
        <w:rPr>
          <w:rFonts w:ascii="Times New Roman" w:hAnsi="Times New Roman"/>
        </w:rPr>
        <w:t>oods Road,</w:t>
      </w:r>
      <w:r w:rsidRPr="00605209">
        <w:rPr>
          <w:rFonts w:ascii="Times New Roman" w:hAnsi="Times New Roman"/>
        </w:rPr>
        <w:t xml:space="preserve"> </w:t>
      </w:r>
      <w:r w:rsidR="000E39FA" w:rsidRPr="00605209">
        <w:rPr>
          <w:rFonts w:ascii="Times New Roman" w:hAnsi="Times New Roman"/>
        </w:rPr>
        <w:t>Klingerstown</w:t>
      </w:r>
      <w:r w:rsidR="00D97BE8" w:rsidRPr="00605209">
        <w:rPr>
          <w:rFonts w:ascii="Times New Roman" w:hAnsi="Times New Roman"/>
        </w:rPr>
        <w:t>,</w:t>
      </w:r>
      <w:r w:rsidR="00796BFD" w:rsidRPr="00605209">
        <w:rPr>
          <w:rFonts w:ascii="Times New Roman" w:hAnsi="Times New Roman"/>
        </w:rPr>
        <w:t xml:space="preserve"> PA </w:t>
      </w:r>
      <w:r w:rsidR="00E70B83" w:rsidRPr="00605209">
        <w:rPr>
          <w:rFonts w:ascii="Times New Roman" w:hAnsi="Times New Roman"/>
        </w:rPr>
        <w:t>1</w:t>
      </w:r>
      <w:r w:rsidR="000E39FA" w:rsidRPr="00605209">
        <w:rPr>
          <w:rFonts w:ascii="Times New Roman" w:hAnsi="Times New Roman"/>
        </w:rPr>
        <w:t>7</w:t>
      </w:r>
      <w:r w:rsidR="00E70B83" w:rsidRPr="00605209">
        <w:rPr>
          <w:rFonts w:ascii="Times New Roman" w:hAnsi="Times New Roman"/>
        </w:rPr>
        <w:t>9</w:t>
      </w:r>
      <w:r w:rsidR="000E39FA" w:rsidRPr="00605209">
        <w:rPr>
          <w:rFonts w:ascii="Times New Roman" w:hAnsi="Times New Roman"/>
        </w:rPr>
        <w:t>41</w:t>
      </w:r>
      <w:r w:rsidR="00E0518C" w:rsidRPr="00605209">
        <w:rPr>
          <w:rFonts w:ascii="Times New Roman" w:hAnsi="Times New Roman"/>
        </w:rPr>
        <w:t xml:space="preserve"> </w:t>
      </w:r>
      <w:r w:rsidR="00414669" w:rsidRPr="00605209">
        <w:rPr>
          <w:rFonts w:ascii="Times New Roman" w:hAnsi="Times New Roman"/>
        </w:rPr>
        <w:t>(Moyer</w:t>
      </w:r>
      <w:r w:rsidR="005C5514" w:rsidRPr="00605209">
        <w:rPr>
          <w:rFonts w:ascii="Times New Roman" w:hAnsi="Times New Roman"/>
        </w:rPr>
        <w:t xml:space="preserve"> </w:t>
      </w:r>
      <w:r w:rsidR="006146B8" w:rsidRPr="00605209">
        <w:rPr>
          <w:rFonts w:ascii="Times New Roman" w:hAnsi="Times New Roman"/>
        </w:rPr>
        <w:t xml:space="preserve">Direct </w:t>
      </w:r>
      <w:r w:rsidR="00E0518C" w:rsidRPr="00605209">
        <w:rPr>
          <w:rFonts w:ascii="Times New Roman" w:hAnsi="Times New Roman"/>
        </w:rPr>
        <w:t>at 3</w:t>
      </w:r>
      <w:r w:rsidRPr="00605209">
        <w:rPr>
          <w:rFonts w:ascii="Times New Roman" w:hAnsi="Times New Roman"/>
        </w:rPr>
        <w:t>).</w:t>
      </w:r>
      <w:r w:rsidR="00491229" w:rsidRPr="00605209">
        <w:rPr>
          <w:rFonts w:ascii="Times New Roman" w:hAnsi="Times New Roman"/>
          <w:highlight w:val="yellow"/>
        </w:rPr>
        <w:t xml:space="preserve"> </w:t>
      </w:r>
    </w:p>
    <w:p w:rsidR="00491229" w:rsidRPr="00605209" w:rsidRDefault="00491229" w:rsidP="00D975AC">
      <w:pPr>
        <w:pStyle w:val="ListParagraph"/>
        <w:rPr>
          <w:sz w:val="24"/>
        </w:rPr>
      </w:pPr>
    </w:p>
    <w:p w:rsidR="00491229" w:rsidRPr="00605209" w:rsidRDefault="00491229" w:rsidP="00D975AC">
      <w:pPr>
        <w:pStyle w:val="BodyText"/>
        <w:numPr>
          <w:ilvl w:val="0"/>
          <w:numId w:val="22"/>
        </w:numPr>
        <w:spacing w:line="360" w:lineRule="auto"/>
        <w:ind w:left="0" w:firstLine="1440"/>
        <w:jc w:val="left"/>
        <w:rPr>
          <w:rFonts w:ascii="Times New Roman" w:hAnsi="Times New Roman"/>
          <w:bCs/>
        </w:rPr>
      </w:pPr>
      <w:r w:rsidRPr="00605209">
        <w:rPr>
          <w:rFonts w:ascii="Times New Roman" w:hAnsi="Times New Roman"/>
          <w:bCs/>
        </w:rPr>
        <w:t>Net metering is the process by which an eligible renewable customer-generator’s account is credited for generating electricity from a qualifying Tier I or Tier II alternative energy source (PPL St. No. 1 at 5)</w:t>
      </w:r>
      <w:r w:rsidR="00265B91" w:rsidRPr="00605209">
        <w:rPr>
          <w:rFonts w:ascii="Times New Roman" w:hAnsi="Times New Roman"/>
          <w:bCs/>
        </w:rPr>
        <w:t>.</w:t>
      </w:r>
    </w:p>
    <w:p w:rsidR="00FF26E3" w:rsidRPr="00605209" w:rsidRDefault="00FF26E3" w:rsidP="00D975AC">
      <w:pPr>
        <w:pStyle w:val="BodyText"/>
        <w:tabs>
          <w:tab w:val="clear" w:pos="1980"/>
        </w:tabs>
        <w:spacing w:line="360" w:lineRule="auto"/>
        <w:ind w:firstLine="1440"/>
        <w:jc w:val="left"/>
        <w:rPr>
          <w:rFonts w:ascii="Times New Roman" w:hAnsi="Times New Roman"/>
        </w:rPr>
      </w:pPr>
    </w:p>
    <w:p w:rsidR="00491229" w:rsidRPr="00605209" w:rsidRDefault="00491229" w:rsidP="00D975AC">
      <w:pPr>
        <w:pStyle w:val="ListNumber"/>
        <w:numPr>
          <w:ilvl w:val="0"/>
          <w:numId w:val="22"/>
        </w:numPr>
        <w:spacing w:after="0" w:line="360" w:lineRule="auto"/>
        <w:ind w:left="0" w:firstLine="1440"/>
        <w:jc w:val="left"/>
      </w:pPr>
      <w:r w:rsidRPr="00605209">
        <w:t>Net metering allows customer-generators to use the electricity produced from eligible alternative energy systems to offset all or a portion of the customer-generator’s electric usage (PPL St. No. 1 at 5)</w:t>
      </w:r>
      <w:r w:rsidR="00B27035" w:rsidRPr="00605209">
        <w:t>.</w:t>
      </w:r>
      <w:r w:rsidRPr="00605209">
        <w:t xml:space="preserve"> </w:t>
      </w:r>
    </w:p>
    <w:p w:rsidR="00491229" w:rsidRPr="00605209" w:rsidRDefault="00491229" w:rsidP="00D975AC">
      <w:pPr>
        <w:pStyle w:val="ListNumber"/>
        <w:numPr>
          <w:ilvl w:val="0"/>
          <w:numId w:val="0"/>
        </w:numPr>
        <w:spacing w:after="0" w:line="360" w:lineRule="auto"/>
        <w:jc w:val="left"/>
      </w:pPr>
    </w:p>
    <w:p w:rsidR="00491229" w:rsidRPr="00605209" w:rsidRDefault="00491229" w:rsidP="00D975AC">
      <w:pPr>
        <w:pStyle w:val="ListNumber"/>
        <w:numPr>
          <w:ilvl w:val="0"/>
          <w:numId w:val="22"/>
        </w:numPr>
        <w:spacing w:after="0" w:line="360" w:lineRule="auto"/>
        <w:ind w:left="0" w:firstLine="1440"/>
        <w:jc w:val="left"/>
      </w:pPr>
      <w:r w:rsidRPr="00605209">
        <w:t xml:space="preserve">If a customer-generator supplies more electricity to the electric distribution system than the </w:t>
      </w:r>
      <w:r w:rsidR="001012B2" w:rsidRPr="00605209">
        <w:t>electric distribution company</w:t>
      </w:r>
      <w:r w:rsidRPr="00605209">
        <w:t xml:space="preserve"> delivers to the customer-generator in a billing period, the excess generation is carried forward and credited against the customer-generator’s usage in subsequent billing periods at the full retail rate, which includes the distribution charge, transmission service charge, generation supply charge, and any riders applicable to the customer rate schedule (PPL St. No. 1 at 5-6)</w:t>
      </w:r>
      <w:r w:rsidR="001012B2" w:rsidRPr="00605209">
        <w:t>.</w:t>
      </w:r>
      <w:r w:rsidRPr="00605209">
        <w:t xml:space="preserve">  </w:t>
      </w:r>
    </w:p>
    <w:p w:rsidR="00491229" w:rsidRPr="00605209" w:rsidRDefault="00491229" w:rsidP="00D975AC">
      <w:pPr>
        <w:pStyle w:val="ListNumber"/>
        <w:numPr>
          <w:ilvl w:val="0"/>
          <w:numId w:val="0"/>
        </w:numPr>
        <w:spacing w:after="0" w:line="360" w:lineRule="auto"/>
        <w:jc w:val="left"/>
      </w:pPr>
    </w:p>
    <w:p w:rsidR="00491229" w:rsidRPr="00605209" w:rsidRDefault="00491229" w:rsidP="00D975AC">
      <w:pPr>
        <w:pStyle w:val="ListNumber"/>
        <w:numPr>
          <w:ilvl w:val="0"/>
          <w:numId w:val="22"/>
        </w:numPr>
        <w:spacing w:after="0" w:line="360" w:lineRule="auto"/>
        <w:ind w:left="0" w:firstLine="1440"/>
        <w:jc w:val="left"/>
      </w:pPr>
      <w:r w:rsidRPr="00605209">
        <w:lastRenderedPageBreak/>
        <w:t>Any excess, unused generation continues to accumulate until the end of the PJM Interconnection LLC (“PJM”) Planning Period, May 31 of each year, and is then cashed out at the electric distribution company’s applicable Price-to-Compare (“PTC”) and paid to the customer-generator (PPL St. No. 1 at 6)</w:t>
      </w:r>
      <w:r w:rsidR="001012B2" w:rsidRPr="00605209">
        <w:t>.</w:t>
      </w:r>
    </w:p>
    <w:p w:rsidR="00491229" w:rsidRPr="00605209" w:rsidRDefault="00491229" w:rsidP="00D975AC">
      <w:pPr>
        <w:pStyle w:val="ListNumber"/>
        <w:numPr>
          <w:ilvl w:val="0"/>
          <w:numId w:val="0"/>
        </w:numPr>
        <w:spacing w:after="0" w:line="360" w:lineRule="auto"/>
        <w:jc w:val="left"/>
      </w:pPr>
    </w:p>
    <w:p w:rsidR="00491229" w:rsidRPr="00605209" w:rsidRDefault="00491229" w:rsidP="00D975AC">
      <w:pPr>
        <w:pStyle w:val="ListNumber"/>
        <w:numPr>
          <w:ilvl w:val="0"/>
          <w:numId w:val="22"/>
        </w:numPr>
        <w:spacing w:after="0" w:line="360" w:lineRule="auto"/>
        <w:ind w:left="0" w:firstLine="1440"/>
        <w:jc w:val="left"/>
      </w:pPr>
      <w:r w:rsidRPr="00605209">
        <w:t xml:space="preserve">Meter aggregation is the process by which an eligible renewable customer-generator is able to aggregate the </w:t>
      </w:r>
      <w:r w:rsidR="00265B91" w:rsidRPr="00605209">
        <w:t xml:space="preserve">meters on the </w:t>
      </w:r>
      <w:r w:rsidRPr="00605209">
        <w:t>properties he or she owns or leases and operates for purposes of net metering (PPL St. No. 1 at 7)</w:t>
      </w:r>
      <w:r w:rsidR="001012B2" w:rsidRPr="00605209">
        <w:t>.</w:t>
      </w:r>
      <w:r w:rsidRPr="00605209">
        <w:t xml:space="preserve"> </w:t>
      </w:r>
    </w:p>
    <w:p w:rsidR="00491229" w:rsidRPr="00605209" w:rsidRDefault="00491229" w:rsidP="00D975AC">
      <w:pPr>
        <w:pStyle w:val="ListNumber"/>
        <w:numPr>
          <w:ilvl w:val="0"/>
          <w:numId w:val="0"/>
        </w:numPr>
        <w:spacing w:after="0" w:line="360" w:lineRule="auto"/>
        <w:jc w:val="left"/>
      </w:pPr>
    </w:p>
    <w:p w:rsidR="00491229" w:rsidRPr="00605209" w:rsidRDefault="00491229" w:rsidP="00D975AC">
      <w:pPr>
        <w:pStyle w:val="ListNumber"/>
        <w:numPr>
          <w:ilvl w:val="0"/>
          <w:numId w:val="22"/>
        </w:numPr>
        <w:spacing w:after="0" w:line="360" w:lineRule="auto"/>
        <w:ind w:left="0" w:firstLine="1440"/>
        <w:jc w:val="left"/>
      </w:pPr>
      <w:r w:rsidRPr="00605209">
        <w:t>For meter aggregation, the properties must be located within two miles of the boundaries of the renewable customer-generator’s property and located within the Company’s service territory (PPL St. No. 1 at 7)</w:t>
      </w:r>
      <w:r w:rsidR="001012B2" w:rsidRPr="00605209">
        <w:t>.</w:t>
      </w:r>
      <w:r w:rsidRPr="00605209">
        <w:t xml:space="preserve">  </w:t>
      </w:r>
    </w:p>
    <w:p w:rsidR="00491229" w:rsidRPr="00605209" w:rsidRDefault="00491229" w:rsidP="00D975AC">
      <w:pPr>
        <w:pStyle w:val="ListNumber"/>
        <w:numPr>
          <w:ilvl w:val="0"/>
          <w:numId w:val="0"/>
        </w:numPr>
        <w:spacing w:after="0" w:line="360" w:lineRule="auto"/>
        <w:jc w:val="left"/>
      </w:pPr>
    </w:p>
    <w:p w:rsidR="00491229" w:rsidRPr="00605209" w:rsidRDefault="00491229" w:rsidP="00D975AC">
      <w:pPr>
        <w:pStyle w:val="ListNumber"/>
        <w:numPr>
          <w:ilvl w:val="0"/>
          <w:numId w:val="22"/>
        </w:numPr>
        <w:spacing w:after="0" w:line="360" w:lineRule="auto"/>
        <w:ind w:left="0" w:firstLine="1440"/>
        <w:jc w:val="left"/>
      </w:pPr>
      <w:r w:rsidRPr="00605209">
        <w:t>There are two types of meter aggregation: (1) physical meter aggregation; and (2) virtual meter aggregation (PPL St. No. 1 at 7)</w:t>
      </w:r>
      <w:r w:rsidR="001A3AF6" w:rsidRPr="00605209">
        <w:t>.</w:t>
      </w:r>
      <w:r w:rsidRPr="00605209">
        <w:t xml:space="preserve">  </w:t>
      </w:r>
    </w:p>
    <w:p w:rsidR="00D95AD0" w:rsidRPr="00605209" w:rsidRDefault="00D95AD0" w:rsidP="00D975AC">
      <w:pPr>
        <w:pStyle w:val="ListNumber"/>
        <w:numPr>
          <w:ilvl w:val="0"/>
          <w:numId w:val="0"/>
        </w:numPr>
        <w:spacing w:after="0" w:line="360" w:lineRule="auto"/>
        <w:jc w:val="left"/>
      </w:pPr>
    </w:p>
    <w:p w:rsidR="00491229" w:rsidRPr="00605209" w:rsidRDefault="001A3AF6" w:rsidP="00D975AC">
      <w:pPr>
        <w:pStyle w:val="ListNumber"/>
        <w:numPr>
          <w:ilvl w:val="0"/>
          <w:numId w:val="22"/>
        </w:numPr>
        <w:spacing w:after="0" w:line="360" w:lineRule="auto"/>
        <w:ind w:left="0" w:firstLine="1440"/>
        <w:jc w:val="left"/>
      </w:pPr>
      <w:r w:rsidRPr="00605209">
        <w:t>For p</w:t>
      </w:r>
      <w:r w:rsidR="00491229" w:rsidRPr="00605209">
        <w:t xml:space="preserve">hysical meter </w:t>
      </w:r>
      <w:r w:rsidR="005D5217" w:rsidRPr="00605209">
        <w:t>aggregation,</w:t>
      </w:r>
      <w:r w:rsidR="00491229" w:rsidRPr="00605209">
        <w:t xml:space="preserve"> a customer-generator, at his or her expense, physically connects the generating facilities to his or her single meter (PPL St. No. 1 at 7).</w:t>
      </w:r>
    </w:p>
    <w:p w:rsidR="00491229" w:rsidRPr="00605209" w:rsidRDefault="00491229" w:rsidP="00D975AC">
      <w:pPr>
        <w:pStyle w:val="ListNumber"/>
        <w:numPr>
          <w:ilvl w:val="0"/>
          <w:numId w:val="0"/>
        </w:numPr>
        <w:spacing w:after="0" w:line="360" w:lineRule="auto"/>
        <w:jc w:val="left"/>
      </w:pPr>
    </w:p>
    <w:p w:rsidR="00491229" w:rsidRPr="00605209" w:rsidRDefault="00491229" w:rsidP="00D975AC">
      <w:pPr>
        <w:pStyle w:val="ListNumber"/>
        <w:numPr>
          <w:ilvl w:val="0"/>
          <w:numId w:val="22"/>
        </w:numPr>
        <w:spacing w:after="0" w:line="360" w:lineRule="auto"/>
        <w:ind w:left="0" w:firstLine="1440"/>
        <w:jc w:val="left"/>
      </w:pPr>
      <w:r w:rsidRPr="00605209">
        <w:t>Virtual meter aggregation is when the customer-generator’s generating facilities and other property are not physically connected to the same meter (PPL St. No. 1 at 7)</w:t>
      </w:r>
      <w:r w:rsidR="001A3AF6" w:rsidRPr="00605209">
        <w:t>.</w:t>
      </w:r>
      <w:r w:rsidRPr="00605209">
        <w:t xml:space="preserve">  </w:t>
      </w:r>
    </w:p>
    <w:p w:rsidR="00491229" w:rsidRPr="00605209" w:rsidRDefault="00491229" w:rsidP="00D975AC">
      <w:pPr>
        <w:pStyle w:val="ListNumber"/>
        <w:numPr>
          <w:ilvl w:val="0"/>
          <w:numId w:val="0"/>
        </w:numPr>
        <w:spacing w:after="0" w:line="360" w:lineRule="auto"/>
        <w:jc w:val="left"/>
      </w:pPr>
    </w:p>
    <w:p w:rsidR="00397CDE" w:rsidRPr="00605209" w:rsidRDefault="00491229" w:rsidP="00397CDE">
      <w:pPr>
        <w:pStyle w:val="ListNumber"/>
        <w:numPr>
          <w:ilvl w:val="0"/>
          <w:numId w:val="22"/>
        </w:numPr>
        <w:spacing w:after="0" w:line="360" w:lineRule="auto"/>
        <w:ind w:left="0" w:firstLine="1440"/>
        <w:jc w:val="left"/>
      </w:pPr>
      <w:r w:rsidRPr="00605209">
        <w:t>For virtual meter aggregation</w:t>
      </w:r>
      <w:r w:rsidR="008E35D0" w:rsidRPr="00605209">
        <w:t>, the Respondent</w:t>
      </w:r>
      <w:r w:rsidRPr="00605209">
        <w:t xml:space="preserve"> measures the electricity generated and used at the generating </w:t>
      </w:r>
      <w:r w:rsidR="00397CDE" w:rsidRPr="00605209">
        <w:t>facilities (host account) and aggregates that with the customer's usage at his or her other property (satellite account) (PPL St. No. 1 at 7).</w:t>
      </w:r>
    </w:p>
    <w:p w:rsidR="00397CDE" w:rsidRPr="00605209" w:rsidRDefault="00397CDE" w:rsidP="00397CDE">
      <w:pPr>
        <w:pStyle w:val="ListParagraph"/>
        <w:rPr>
          <w:sz w:val="24"/>
        </w:rPr>
      </w:pPr>
    </w:p>
    <w:p w:rsidR="00491229" w:rsidRPr="00605209" w:rsidRDefault="00491229" w:rsidP="00D975AC">
      <w:pPr>
        <w:pStyle w:val="ListNumber"/>
        <w:numPr>
          <w:ilvl w:val="0"/>
          <w:numId w:val="22"/>
        </w:numPr>
        <w:tabs>
          <w:tab w:val="left" w:pos="720"/>
        </w:tabs>
        <w:spacing w:after="0" w:line="360" w:lineRule="auto"/>
        <w:ind w:left="0" w:firstLine="1440"/>
        <w:jc w:val="left"/>
      </w:pPr>
      <w:r w:rsidRPr="00605209">
        <w:t xml:space="preserve">In this case, for virtual meter aggregation </w:t>
      </w:r>
      <w:r w:rsidR="00376919" w:rsidRPr="00605209">
        <w:t xml:space="preserve">the Respondent </w:t>
      </w:r>
      <w:r w:rsidRPr="00605209">
        <w:t>measures the electricity generated and used at the Complainant’s solar facility</w:t>
      </w:r>
      <w:r w:rsidR="00397CDE" w:rsidRPr="00605209">
        <w:t xml:space="preserve"> (host account)</w:t>
      </w:r>
      <w:r w:rsidRPr="00605209">
        <w:t xml:space="preserve"> and aggregates </w:t>
      </w:r>
      <w:r w:rsidR="00D95AD0" w:rsidRPr="00605209">
        <w:t>it</w:t>
      </w:r>
      <w:r w:rsidRPr="00605209">
        <w:t xml:space="preserve"> with the customer’s usage at his residential property</w:t>
      </w:r>
      <w:r w:rsidR="00397CDE" w:rsidRPr="00605209">
        <w:t xml:space="preserve"> (satellite account)</w:t>
      </w:r>
      <w:r w:rsidRPr="00605209">
        <w:t xml:space="preserve"> (PPL St. No. 1 at 7)</w:t>
      </w:r>
      <w:r w:rsidR="001A3AF6" w:rsidRPr="00605209">
        <w:t>.</w:t>
      </w:r>
    </w:p>
    <w:p w:rsidR="00B27035" w:rsidRPr="00605209" w:rsidRDefault="00B27035" w:rsidP="00B27035">
      <w:pPr>
        <w:pStyle w:val="ListParagraph"/>
        <w:rPr>
          <w:sz w:val="24"/>
        </w:rPr>
      </w:pPr>
    </w:p>
    <w:p w:rsidR="00491229" w:rsidRPr="00605209" w:rsidRDefault="00491229" w:rsidP="00D975AC">
      <w:pPr>
        <w:pStyle w:val="ListNumber"/>
        <w:numPr>
          <w:ilvl w:val="0"/>
          <w:numId w:val="22"/>
        </w:numPr>
        <w:spacing w:after="0" w:line="360" w:lineRule="auto"/>
        <w:ind w:left="0" w:firstLine="1440"/>
        <w:jc w:val="left"/>
      </w:pPr>
      <w:r w:rsidRPr="00605209">
        <w:lastRenderedPageBreak/>
        <w:t>With virtual meter aggregation, there are two meters with two different points of interconnection: (1) a bidirectional meter at the generating facilities that measures both usage and generation of electricity; and (2) a standard smart meter at the usage account (typically a residence) that measures the customer’s usage (PPL St. No. 1 at 7, 10)</w:t>
      </w:r>
      <w:r w:rsidR="00397CDE" w:rsidRPr="00605209">
        <w:t>.</w:t>
      </w:r>
      <w:r w:rsidRPr="00605209">
        <w:t xml:space="preserve">  </w:t>
      </w:r>
    </w:p>
    <w:p w:rsidR="00265B91" w:rsidRPr="00605209" w:rsidRDefault="00265B91" w:rsidP="00D975AC">
      <w:pPr>
        <w:pStyle w:val="ListNumber"/>
        <w:numPr>
          <w:ilvl w:val="0"/>
          <w:numId w:val="0"/>
        </w:numPr>
        <w:spacing w:after="0" w:line="360" w:lineRule="auto"/>
        <w:jc w:val="left"/>
      </w:pPr>
    </w:p>
    <w:p w:rsidR="00491229" w:rsidRPr="00605209" w:rsidRDefault="00491229" w:rsidP="00D975AC">
      <w:pPr>
        <w:pStyle w:val="ListNumber"/>
        <w:numPr>
          <w:ilvl w:val="0"/>
          <w:numId w:val="22"/>
        </w:numPr>
        <w:spacing w:after="0" w:line="360" w:lineRule="auto"/>
        <w:ind w:left="0" w:firstLine="1440"/>
        <w:jc w:val="left"/>
      </w:pPr>
      <w:r w:rsidRPr="00605209">
        <w:t>Since virtual net meter aggregation requires two separate meters, the customer-generator receives two separate bills</w:t>
      </w:r>
      <w:r w:rsidR="001A3AF6" w:rsidRPr="00605209">
        <w:t>,</w:t>
      </w:r>
      <w:r w:rsidRPr="00605209">
        <w:t xml:space="preserve"> one for each metered account (PPL St. No. 1 at 7)</w:t>
      </w:r>
      <w:r w:rsidR="00397CDE" w:rsidRPr="00605209">
        <w:t>.</w:t>
      </w:r>
      <w:r w:rsidRPr="00605209">
        <w:t xml:space="preserve">  </w:t>
      </w:r>
    </w:p>
    <w:p w:rsidR="001E5B35" w:rsidRPr="00605209" w:rsidRDefault="001E5B35" w:rsidP="00D975AC">
      <w:pPr>
        <w:pStyle w:val="BodyText"/>
        <w:tabs>
          <w:tab w:val="clear" w:pos="1980"/>
        </w:tabs>
        <w:spacing w:line="360" w:lineRule="auto"/>
        <w:ind w:firstLine="1440"/>
        <w:jc w:val="left"/>
        <w:rPr>
          <w:rFonts w:ascii="Times New Roman" w:hAnsi="Times New Roman"/>
        </w:rPr>
      </w:pPr>
    </w:p>
    <w:p w:rsidR="001E5B35" w:rsidRPr="00605209" w:rsidRDefault="001E5B35" w:rsidP="00D975AC">
      <w:pPr>
        <w:pStyle w:val="BodyText"/>
        <w:numPr>
          <w:ilvl w:val="0"/>
          <w:numId w:val="22"/>
        </w:numPr>
        <w:tabs>
          <w:tab w:val="clear" w:pos="1980"/>
        </w:tabs>
        <w:spacing w:line="360" w:lineRule="auto"/>
        <w:ind w:left="0" w:firstLine="1440"/>
        <w:jc w:val="left"/>
        <w:rPr>
          <w:rFonts w:ascii="Times New Roman" w:hAnsi="Times New Roman"/>
        </w:rPr>
      </w:pPr>
      <w:r w:rsidRPr="00605209">
        <w:rPr>
          <w:rFonts w:ascii="Times New Roman" w:hAnsi="Times New Roman"/>
        </w:rPr>
        <w:t xml:space="preserve">The Complainant contacted the Respondent in 2007 and talked to Robert Johnson </w:t>
      </w:r>
      <w:r w:rsidR="00397CDE" w:rsidRPr="00605209">
        <w:rPr>
          <w:rFonts w:ascii="Times New Roman" w:hAnsi="Times New Roman"/>
        </w:rPr>
        <w:t xml:space="preserve">at PPL Electric </w:t>
      </w:r>
      <w:r w:rsidR="00F50A3D" w:rsidRPr="00605209">
        <w:rPr>
          <w:rFonts w:ascii="Times New Roman" w:hAnsi="Times New Roman"/>
        </w:rPr>
        <w:t xml:space="preserve">about installing </w:t>
      </w:r>
      <w:r w:rsidR="00427E0B" w:rsidRPr="00605209">
        <w:rPr>
          <w:rFonts w:ascii="Times New Roman" w:hAnsi="Times New Roman"/>
        </w:rPr>
        <w:t>a</w:t>
      </w:r>
      <w:r w:rsidR="00E0518C" w:rsidRPr="00605209">
        <w:rPr>
          <w:rFonts w:ascii="Times New Roman" w:hAnsi="Times New Roman"/>
        </w:rPr>
        <w:t xml:space="preserve"> PV </w:t>
      </w:r>
      <w:r w:rsidR="00F50A3D" w:rsidRPr="00605209">
        <w:rPr>
          <w:rFonts w:ascii="Times New Roman" w:hAnsi="Times New Roman"/>
        </w:rPr>
        <w:t xml:space="preserve">solar </w:t>
      </w:r>
      <w:r w:rsidR="00E0518C" w:rsidRPr="00605209">
        <w:rPr>
          <w:rFonts w:ascii="Times New Roman" w:hAnsi="Times New Roman"/>
        </w:rPr>
        <w:t xml:space="preserve">generating system </w:t>
      </w:r>
      <w:r w:rsidR="00414669" w:rsidRPr="00605209">
        <w:rPr>
          <w:rFonts w:ascii="Times New Roman" w:hAnsi="Times New Roman"/>
        </w:rPr>
        <w:t>(Moyer</w:t>
      </w:r>
      <w:r w:rsidR="005C5514" w:rsidRPr="00605209">
        <w:rPr>
          <w:rFonts w:ascii="Times New Roman" w:hAnsi="Times New Roman"/>
        </w:rPr>
        <w:t xml:space="preserve"> </w:t>
      </w:r>
      <w:r w:rsidR="006146B8" w:rsidRPr="00605209">
        <w:rPr>
          <w:rFonts w:ascii="Times New Roman" w:hAnsi="Times New Roman"/>
        </w:rPr>
        <w:t xml:space="preserve">Direct </w:t>
      </w:r>
      <w:r w:rsidR="00E0518C" w:rsidRPr="00605209">
        <w:rPr>
          <w:rFonts w:ascii="Times New Roman" w:hAnsi="Times New Roman"/>
        </w:rPr>
        <w:t>at 5</w:t>
      </w:r>
      <w:r w:rsidR="00376919" w:rsidRPr="00605209">
        <w:rPr>
          <w:rFonts w:ascii="Times New Roman" w:hAnsi="Times New Roman"/>
        </w:rPr>
        <w:t>)</w:t>
      </w:r>
      <w:r w:rsidR="00F50A3D" w:rsidRPr="00605209">
        <w:rPr>
          <w:rFonts w:ascii="Times New Roman" w:hAnsi="Times New Roman"/>
        </w:rPr>
        <w:t>.</w:t>
      </w:r>
    </w:p>
    <w:p w:rsidR="00072844" w:rsidRPr="00605209" w:rsidRDefault="00072844" w:rsidP="00D975AC">
      <w:pPr>
        <w:pStyle w:val="BodyText"/>
        <w:spacing w:line="360" w:lineRule="auto"/>
        <w:ind w:firstLine="1440"/>
        <w:jc w:val="left"/>
        <w:rPr>
          <w:rFonts w:ascii="Times New Roman" w:hAnsi="Times New Roman"/>
        </w:rPr>
      </w:pPr>
    </w:p>
    <w:p w:rsidR="00072844" w:rsidRPr="00605209" w:rsidRDefault="00835FB2" w:rsidP="00D975AC">
      <w:pPr>
        <w:pStyle w:val="BodyText"/>
        <w:numPr>
          <w:ilvl w:val="0"/>
          <w:numId w:val="22"/>
        </w:numPr>
        <w:tabs>
          <w:tab w:val="clear" w:pos="1980"/>
        </w:tabs>
        <w:spacing w:line="360" w:lineRule="auto"/>
        <w:ind w:left="0" w:firstLine="1440"/>
        <w:jc w:val="left"/>
        <w:rPr>
          <w:rFonts w:ascii="Times New Roman" w:hAnsi="Times New Roman"/>
        </w:rPr>
      </w:pPr>
      <w:r w:rsidRPr="00605209">
        <w:rPr>
          <w:rFonts w:ascii="Times New Roman" w:hAnsi="Times New Roman"/>
        </w:rPr>
        <w:t xml:space="preserve">The PPL </w:t>
      </w:r>
      <w:r w:rsidR="00072844" w:rsidRPr="00605209">
        <w:rPr>
          <w:rFonts w:ascii="Times New Roman" w:hAnsi="Times New Roman"/>
        </w:rPr>
        <w:t xml:space="preserve">Net and Virtual Metering </w:t>
      </w:r>
      <w:r w:rsidR="00353EAC" w:rsidRPr="00605209">
        <w:rPr>
          <w:rFonts w:ascii="Times New Roman" w:hAnsi="Times New Roman"/>
        </w:rPr>
        <w:t>Tariffs, which</w:t>
      </w:r>
      <w:r w:rsidRPr="00605209">
        <w:rPr>
          <w:rFonts w:ascii="Times New Roman" w:hAnsi="Times New Roman"/>
        </w:rPr>
        <w:t xml:space="preserve"> became </w:t>
      </w:r>
      <w:r w:rsidR="00072844" w:rsidRPr="00605209">
        <w:rPr>
          <w:rFonts w:ascii="Times New Roman" w:hAnsi="Times New Roman"/>
        </w:rPr>
        <w:t xml:space="preserve">effective </w:t>
      </w:r>
      <w:r w:rsidRPr="00605209">
        <w:rPr>
          <w:rFonts w:ascii="Times New Roman" w:hAnsi="Times New Roman"/>
        </w:rPr>
        <w:t xml:space="preserve">on </w:t>
      </w:r>
      <w:r w:rsidR="00072844" w:rsidRPr="00605209">
        <w:rPr>
          <w:rFonts w:ascii="Times New Roman" w:hAnsi="Times New Roman"/>
        </w:rPr>
        <w:t xml:space="preserve">July </w:t>
      </w:r>
      <w:r w:rsidR="00B27035" w:rsidRPr="00605209">
        <w:rPr>
          <w:rFonts w:ascii="Times New Roman" w:hAnsi="Times New Roman"/>
        </w:rPr>
        <w:t>2007,</w:t>
      </w:r>
      <w:r w:rsidR="00072844" w:rsidRPr="00605209">
        <w:rPr>
          <w:rFonts w:ascii="Times New Roman" w:hAnsi="Times New Roman"/>
        </w:rPr>
        <w:t xml:space="preserve"> </w:t>
      </w:r>
      <w:r w:rsidRPr="00605209">
        <w:rPr>
          <w:rFonts w:ascii="Times New Roman" w:hAnsi="Times New Roman"/>
        </w:rPr>
        <w:t>were t</w:t>
      </w:r>
      <w:r w:rsidR="00072844" w:rsidRPr="00605209">
        <w:rPr>
          <w:rFonts w:ascii="Times New Roman" w:hAnsi="Times New Roman"/>
        </w:rPr>
        <w:t>he tariff provisions in effect when the Complainant installed his solar array (</w:t>
      </w:r>
      <w:r w:rsidR="00397CDE" w:rsidRPr="00605209">
        <w:rPr>
          <w:rFonts w:ascii="Times New Roman" w:hAnsi="Times New Roman"/>
        </w:rPr>
        <w:t>PPL.</w:t>
      </w:r>
      <w:r w:rsidR="00030596" w:rsidRPr="00605209">
        <w:rPr>
          <w:rFonts w:ascii="Times New Roman" w:hAnsi="Times New Roman"/>
        </w:rPr>
        <w:t xml:space="preserve"> Ex. </w:t>
      </w:r>
      <w:r w:rsidR="00D87D4A" w:rsidRPr="00605209">
        <w:rPr>
          <w:rFonts w:ascii="Times New Roman" w:hAnsi="Times New Roman"/>
        </w:rPr>
        <w:t>AFC-3</w:t>
      </w:r>
      <w:r w:rsidR="00072844" w:rsidRPr="00605209">
        <w:rPr>
          <w:rFonts w:ascii="Times New Roman" w:hAnsi="Times New Roman"/>
        </w:rPr>
        <w:t xml:space="preserve">). </w:t>
      </w:r>
    </w:p>
    <w:p w:rsidR="00AA7343" w:rsidRPr="00605209" w:rsidRDefault="00AA7343" w:rsidP="00D975AC">
      <w:pPr>
        <w:pStyle w:val="BodyText"/>
        <w:tabs>
          <w:tab w:val="clear" w:pos="1980"/>
        </w:tabs>
        <w:spacing w:line="360" w:lineRule="auto"/>
        <w:jc w:val="left"/>
        <w:rPr>
          <w:rFonts w:ascii="Times New Roman" w:hAnsi="Times New Roman"/>
        </w:rPr>
      </w:pPr>
    </w:p>
    <w:p w:rsidR="00C97799" w:rsidRPr="00605209" w:rsidRDefault="001E5B35" w:rsidP="00D975AC">
      <w:pPr>
        <w:pStyle w:val="BodyText"/>
        <w:numPr>
          <w:ilvl w:val="0"/>
          <w:numId w:val="22"/>
        </w:numPr>
        <w:tabs>
          <w:tab w:val="clear" w:pos="1980"/>
        </w:tabs>
        <w:spacing w:line="360" w:lineRule="auto"/>
        <w:ind w:left="0" w:firstLine="1440"/>
        <w:jc w:val="left"/>
        <w:rPr>
          <w:rFonts w:ascii="Times New Roman" w:hAnsi="Times New Roman"/>
          <w:bCs/>
        </w:rPr>
      </w:pPr>
      <w:r w:rsidRPr="00605209">
        <w:rPr>
          <w:rFonts w:ascii="Times New Roman" w:hAnsi="Times New Roman"/>
        </w:rPr>
        <w:t>In March 2009</w:t>
      </w:r>
      <w:r w:rsidR="004678CF" w:rsidRPr="00605209">
        <w:rPr>
          <w:rFonts w:ascii="Times New Roman" w:hAnsi="Times New Roman"/>
        </w:rPr>
        <w:t>,</w:t>
      </w:r>
      <w:r w:rsidRPr="00605209">
        <w:rPr>
          <w:rFonts w:ascii="Times New Roman" w:hAnsi="Times New Roman"/>
        </w:rPr>
        <w:t xml:space="preserve"> </w:t>
      </w:r>
      <w:r w:rsidR="00E0518C" w:rsidRPr="00605209">
        <w:rPr>
          <w:rFonts w:ascii="Times New Roman" w:hAnsi="Times New Roman"/>
        </w:rPr>
        <w:t>Heat Shed</w:t>
      </w:r>
      <w:r w:rsidR="00E91A60" w:rsidRPr="00605209">
        <w:rPr>
          <w:rFonts w:ascii="Times New Roman" w:hAnsi="Times New Roman"/>
        </w:rPr>
        <w:t xml:space="preserve">, </w:t>
      </w:r>
      <w:r w:rsidR="00A700DB" w:rsidRPr="00605209">
        <w:rPr>
          <w:rFonts w:ascii="Times New Roman" w:hAnsi="Times New Roman"/>
        </w:rPr>
        <w:t>which was owned by Charles Reichner</w:t>
      </w:r>
      <w:r w:rsidR="005C1ED1" w:rsidRPr="00605209">
        <w:rPr>
          <w:rFonts w:ascii="Times New Roman" w:hAnsi="Times New Roman"/>
        </w:rPr>
        <w:t xml:space="preserve">, </w:t>
      </w:r>
      <w:r w:rsidRPr="00605209">
        <w:rPr>
          <w:rFonts w:ascii="Times New Roman" w:hAnsi="Times New Roman"/>
        </w:rPr>
        <w:t xml:space="preserve">installed a PV solar </w:t>
      </w:r>
      <w:r w:rsidR="00E0518C" w:rsidRPr="00605209">
        <w:rPr>
          <w:rFonts w:ascii="Times New Roman" w:hAnsi="Times New Roman"/>
        </w:rPr>
        <w:t xml:space="preserve">generating </w:t>
      </w:r>
      <w:r w:rsidRPr="00605209">
        <w:rPr>
          <w:rFonts w:ascii="Times New Roman" w:hAnsi="Times New Roman"/>
        </w:rPr>
        <w:t>system at the service address</w:t>
      </w:r>
      <w:r w:rsidR="00636F22" w:rsidRPr="00605209">
        <w:rPr>
          <w:rFonts w:ascii="Times New Roman" w:hAnsi="Times New Roman"/>
        </w:rPr>
        <w:t xml:space="preserve"> </w:t>
      </w:r>
      <w:r w:rsidR="00414669" w:rsidRPr="00605209">
        <w:rPr>
          <w:rFonts w:ascii="Times New Roman" w:hAnsi="Times New Roman"/>
        </w:rPr>
        <w:t>(Moyer</w:t>
      </w:r>
      <w:r w:rsidR="005C5514" w:rsidRPr="00605209">
        <w:rPr>
          <w:rFonts w:ascii="Times New Roman" w:hAnsi="Times New Roman"/>
        </w:rPr>
        <w:t xml:space="preserve"> </w:t>
      </w:r>
      <w:r w:rsidR="00636F22" w:rsidRPr="00605209">
        <w:rPr>
          <w:rFonts w:ascii="Times New Roman" w:hAnsi="Times New Roman"/>
        </w:rPr>
        <w:t xml:space="preserve">Direct </w:t>
      </w:r>
      <w:r w:rsidR="00E0518C" w:rsidRPr="00605209">
        <w:rPr>
          <w:rFonts w:ascii="Times New Roman" w:hAnsi="Times New Roman"/>
        </w:rPr>
        <w:t>at 6</w:t>
      </w:r>
      <w:r w:rsidR="0058390B" w:rsidRPr="00605209">
        <w:rPr>
          <w:rFonts w:ascii="Times New Roman" w:hAnsi="Times New Roman"/>
          <w:bCs/>
        </w:rPr>
        <w:t>).</w:t>
      </w:r>
      <w:r w:rsidR="00C97799" w:rsidRPr="00605209">
        <w:rPr>
          <w:rFonts w:ascii="Times New Roman" w:hAnsi="Times New Roman"/>
          <w:bCs/>
        </w:rPr>
        <w:t xml:space="preserve"> </w:t>
      </w:r>
    </w:p>
    <w:p w:rsidR="00491229" w:rsidRPr="00605209" w:rsidRDefault="00491229" w:rsidP="00D975AC">
      <w:pPr>
        <w:pStyle w:val="BodyText"/>
        <w:tabs>
          <w:tab w:val="clear" w:pos="1980"/>
        </w:tabs>
        <w:spacing w:line="360" w:lineRule="auto"/>
        <w:jc w:val="left"/>
        <w:rPr>
          <w:rFonts w:ascii="Times New Roman" w:hAnsi="Times New Roman"/>
          <w:bCs/>
        </w:rPr>
      </w:pPr>
    </w:p>
    <w:p w:rsidR="00491229" w:rsidRPr="00605209" w:rsidRDefault="00491229" w:rsidP="00D975AC">
      <w:pPr>
        <w:pStyle w:val="ListNumber"/>
        <w:numPr>
          <w:ilvl w:val="0"/>
          <w:numId w:val="22"/>
        </w:numPr>
        <w:spacing w:after="0" w:line="360" w:lineRule="auto"/>
        <w:ind w:left="0" w:firstLine="1440"/>
        <w:jc w:val="left"/>
      </w:pPr>
      <w:r w:rsidRPr="00605209">
        <w:t xml:space="preserve">The Complainant </w:t>
      </w:r>
      <w:r w:rsidR="00397CDE" w:rsidRPr="00605209">
        <w:t xml:space="preserve">is </w:t>
      </w:r>
      <w:r w:rsidRPr="00605209">
        <w:t>currently a customer-generator participating in the Respondent’s virtual meter aggregation program (</w:t>
      </w:r>
      <w:r w:rsidR="00414669" w:rsidRPr="00605209">
        <w:t>Moyer</w:t>
      </w:r>
      <w:r w:rsidRPr="00605209">
        <w:t xml:space="preserve"> Direct at 4; PPL St. No. 1 at 18)</w:t>
      </w:r>
      <w:r w:rsidR="001A3AF6" w:rsidRPr="00605209">
        <w:t>.</w:t>
      </w:r>
      <w:r w:rsidRPr="00605209">
        <w:t xml:space="preserve">  </w:t>
      </w:r>
    </w:p>
    <w:p w:rsidR="00491229" w:rsidRPr="00605209" w:rsidRDefault="00491229" w:rsidP="00D975AC">
      <w:pPr>
        <w:pStyle w:val="ListNumber"/>
        <w:numPr>
          <w:ilvl w:val="0"/>
          <w:numId w:val="0"/>
        </w:numPr>
        <w:spacing w:after="0" w:line="360" w:lineRule="auto"/>
        <w:ind w:left="1440"/>
        <w:jc w:val="left"/>
      </w:pPr>
    </w:p>
    <w:p w:rsidR="00C97799" w:rsidRPr="00605209" w:rsidRDefault="001E5B35" w:rsidP="00D975AC">
      <w:pPr>
        <w:pStyle w:val="BodyText"/>
        <w:numPr>
          <w:ilvl w:val="0"/>
          <w:numId w:val="22"/>
        </w:numPr>
        <w:tabs>
          <w:tab w:val="clear" w:pos="1980"/>
        </w:tabs>
        <w:spacing w:line="360" w:lineRule="auto"/>
        <w:ind w:left="0" w:firstLine="1440"/>
        <w:jc w:val="left"/>
        <w:rPr>
          <w:rFonts w:ascii="Times New Roman" w:hAnsi="Times New Roman"/>
          <w:bCs/>
        </w:rPr>
      </w:pPr>
      <w:r w:rsidRPr="00605209">
        <w:rPr>
          <w:rFonts w:ascii="Times New Roman" w:hAnsi="Times New Roman"/>
          <w:bCs/>
        </w:rPr>
        <w:t xml:space="preserve">The </w:t>
      </w:r>
      <w:r w:rsidR="005C1ED1" w:rsidRPr="00605209">
        <w:rPr>
          <w:rFonts w:ascii="Times New Roman" w:hAnsi="Times New Roman"/>
          <w:bCs/>
        </w:rPr>
        <w:t xml:space="preserve">Complainant’s </w:t>
      </w:r>
      <w:r w:rsidR="00F50A3D" w:rsidRPr="00605209">
        <w:rPr>
          <w:rFonts w:ascii="Times New Roman" w:hAnsi="Times New Roman"/>
          <w:bCs/>
        </w:rPr>
        <w:t>PV solar system</w:t>
      </w:r>
      <w:r w:rsidRPr="00605209">
        <w:rPr>
          <w:rFonts w:ascii="Times New Roman" w:hAnsi="Times New Roman"/>
          <w:bCs/>
        </w:rPr>
        <w:t xml:space="preserve"> is a </w:t>
      </w:r>
      <w:r w:rsidR="00192A68" w:rsidRPr="00605209">
        <w:rPr>
          <w:rFonts w:ascii="Times New Roman" w:hAnsi="Times New Roman"/>
          <w:bCs/>
        </w:rPr>
        <w:t>4.75-kilowatt</w:t>
      </w:r>
      <w:r w:rsidRPr="00605209">
        <w:rPr>
          <w:rFonts w:ascii="Times New Roman" w:hAnsi="Times New Roman"/>
          <w:bCs/>
        </w:rPr>
        <w:t xml:space="preserve"> system designed and sized to provide power to the Complainant’s home in Schuylkill </w:t>
      </w:r>
      <w:r w:rsidR="00AF17CC" w:rsidRPr="00605209">
        <w:rPr>
          <w:rFonts w:ascii="Times New Roman" w:hAnsi="Times New Roman"/>
          <w:bCs/>
        </w:rPr>
        <w:t>County</w:t>
      </w:r>
      <w:r w:rsidRPr="00605209">
        <w:rPr>
          <w:rFonts w:ascii="Times New Roman" w:hAnsi="Times New Roman"/>
          <w:bCs/>
        </w:rPr>
        <w:t xml:space="preserve"> </w:t>
      </w:r>
      <w:r w:rsidR="00414669" w:rsidRPr="00605209">
        <w:rPr>
          <w:rFonts w:ascii="Times New Roman" w:hAnsi="Times New Roman"/>
          <w:bCs/>
        </w:rPr>
        <w:t>(Moyer</w:t>
      </w:r>
      <w:r w:rsidR="001A3AF6" w:rsidRPr="00605209">
        <w:rPr>
          <w:rFonts w:ascii="Times New Roman" w:hAnsi="Times New Roman"/>
          <w:bCs/>
        </w:rPr>
        <w:t xml:space="preserve"> Direct at 3</w:t>
      </w:r>
      <w:r w:rsidRPr="00605209">
        <w:rPr>
          <w:rFonts w:ascii="Times New Roman" w:hAnsi="Times New Roman"/>
          <w:bCs/>
        </w:rPr>
        <w:t>)</w:t>
      </w:r>
      <w:r w:rsidR="001A3AF6" w:rsidRPr="00605209">
        <w:rPr>
          <w:rFonts w:ascii="Times New Roman" w:hAnsi="Times New Roman"/>
          <w:bCs/>
        </w:rPr>
        <w:t>.</w:t>
      </w:r>
      <w:r w:rsidR="00C97799" w:rsidRPr="00605209">
        <w:rPr>
          <w:rFonts w:ascii="Times New Roman" w:hAnsi="Times New Roman"/>
          <w:bCs/>
        </w:rPr>
        <w:t xml:space="preserve">  </w:t>
      </w:r>
    </w:p>
    <w:p w:rsidR="00C97799" w:rsidRPr="00605209" w:rsidRDefault="00C97799" w:rsidP="00D975AC">
      <w:pPr>
        <w:pStyle w:val="BodyText"/>
        <w:tabs>
          <w:tab w:val="clear" w:pos="1980"/>
        </w:tabs>
        <w:spacing w:line="360" w:lineRule="auto"/>
        <w:jc w:val="left"/>
        <w:rPr>
          <w:rFonts w:ascii="Times New Roman" w:hAnsi="Times New Roman"/>
          <w:bCs/>
        </w:rPr>
      </w:pPr>
    </w:p>
    <w:p w:rsidR="00C97799" w:rsidRPr="00605209" w:rsidRDefault="00D05EC2" w:rsidP="00D975AC">
      <w:pPr>
        <w:pStyle w:val="BodyText"/>
        <w:numPr>
          <w:ilvl w:val="0"/>
          <w:numId w:val="22"/>
        </w:numPr>
        <w:tabs>
          <w:tab w:val="clear" w:pos="1980"/>
        </w:tabs>
        <w:spacing w:line="360" w:lineRule="auto"/>
        <w:ind w:left="0" w:firstLine="1440"/>
        <w:jc w:val="left"/>
        <w:rPr>
          <w:rFonts w:ascii="Times New Roman" w:hAnsi="Times New Roman"/>
          <w:bCs/>
        </w:rPr>
      </w:pPr>
      <w:r w:rsidRPr="00605209">
        <w:rPr>
          <w:rFonts w:ascii="Times New Roman" w:hAnsi="Times New Roman"/>
          <w:bCs/>
        </w:rPr>
        <w:t xml:space="preserve">The </w:t>
      </w:r>
      <w:r w:rsidR="00072844" w:rsidRPr="00605209">
        <w:rPr>
          <w:rFonts w:ascii="Times New Roman" w:hAnsi="Times New Roman"/>
          <w:bCs/>
        </w:rPr>
        <w:t xml:space="preserve">Complainant’s </w:t>
      </w:r>
      <w:r w:rsidR="001E5B35" w:rsidRPr="00605209">
        <w:rPr>
          <w:rFonts w:ascii="Times New Roman" w:hAnsi="Times New Roman"/>
          <w:bCs/>
        </w:rPr>
        <w:t xml:space="preserve">system is located on a hillside </w:t>
      </w:r>
      <w:r w:rsidR="00F50A3D" w:rsidRPr="00605209">
        <w:rPr>
          <w:rFonts w:ascii="Times New Roman" w:hAnsi="Times New Roman"/>
          <w:bCs/>
        </w:rPr>
        <w:t xml:space="preserve">six hundred </w:t>
      </w:r>
      <w:r w:rsidR="001E5B35" w:rsidRPr="00605209">
        <w:rPr>
          <w:rFonts w:ascii="Times New Roman" w:hAnsi="Times New Roman"/>
          <w:bCs/>
        </w:rPr>
        <w:t>yards nort</w:t>
      </w:r>
      <w:r w:rsidR="006D7E5F" w:rsidRPr="00605209">
        <w:rPr>
          <w:rFonts w:ascii="Times New Roman" w:hAnsi="Times New Roman"/>
          <w:bCs/>
        </w:rPr>
        <w:t xml:space="preserve">h of the </w:t>
      </w:r>
      <w:r w:rsidR="00AF17CC" w:rsidRPr="00605209">
        <w:rPr>
          <w:rFonts w:ascii="Times New Roman" w:hAnsi="Times New Roman"/>
          <w:bCs/>
        </w:rPr>
        <w:t xml:space="preserve">Complainant’s </w:t>
      </w:r>
      <w:r w:rsidR="006D7E5F" w:rsidRPr="00605209">
        <w:rPr>
          <w:rFonts w:ascii="Times New Roman" w:hAnsi="Times New Roman"/>
          <w:bCs/>
        </w:rPr>
        <w:t xml:space="preserve">house </w:t>
      </w:r>
      <w:r w:rsidR="001A3AF6" w:rsidRPr="00605209">
        <w:rPr>
          <w:rFonts w:ascii="Times New Roman" w:hAnsi="Times New Roman"/>
          <w:bCs/>
        </w:rPr>
        <w:t>(</w:t>
      </w:r>
      <w:r w:rsidR="005C5514" w:rsidRPr="00605209">
        <w:rPr>
          <w:rFonts w:ascii="Times New Roman" w:hAnsi="Times New Roman"/>
          <w:bCs/>
        </w:rPr>
        <w:t xml:space="preserve">Moyer </w:t>
      </w:r>
      <w:r w:rsidR="00636F22" w:rsidRPr="00605209">
        <w:rPr>
          <w:rFonts w:ascii="Times New Roman" w:hAnsi="Times New Roman"/>
          <w:bCs/>
        </w:rPr>
        <w:t xml:space="preserve">Direct </w:t>
      </w:r>
      <w:r w:rsidR="00A700DB" w:rsidRPr="00605209">
        <w:rPr>
          <w:rFonts w:ascii="Times New Roman" w:hAnsi="Times New Roman"/>
          <w:bCs/>
        </w:rPr>
        <w:t>at 6</w:t>
      </w:r>
      <w:r w:rsidR="001A3AF6" w:rsidRPr="00605209">
        <w:rPr>
          <w:rFonts w:ascii="Times New Roman" w:hAnsi="Times New Roman"/>
          <w:bCs/>
        </w:rPr>
        <w:t>)</w:t>
      </w:r>
      <w:r w:rsidR="006D7E5F" w:rsidRPr="00605209">
        <w:rPr>
          <w:rFonts w:ascii="Times New Roman" w:hAnsi="Times New Roman"/>
          <w:bCs/>
        </w:rPr>
        <w:t>.</w:t>
      </w:r>
      <w:r w:rsidR="00C97799" w:rsidRPr="00605209">
        <w:rPr>
          <w:rFonts w:ascii="Times New Roman" w:hAnsi="Times New Roman"/>
          <w:bCs/>
          <w:highlight w:val="yellow"/>
        </w:rPr>
        <w:t xml:space="preserve">  </w:t>
      </w:r>
    </w:p>
    <w:p w:rsidR="00D87D4A" w:rsidRPr="00605209" w:rsidRDefault="00D87D4A" w:rsidP="00D975AC">
      <w:pPr>
        <w:pStyle w:val="BodyText"/>
        <w:tabs>
          <w:tab w:val="clear" w:pos="1980"/>
        </w:tabs>
        <w:spacing w:line="360" w:lineRule="auto"/>
        <w:jc w:val="left"/>
        <w:rPr>
          <w:rFonts w:ascii="Times New Roman" w:hAnsi="Times New Roman"/>
          <w:bCs/>
        </w:rPr>
      </w:pPr>
    </w:p>
    <w:p w:rsidR="00A700DB" w:rsidRPr="00605209" w:rsidRDefault="00A700DB" w:rsidP="00D975AC">
      <w:pPr>
        <w:pStyle w:val="BodyText"/>
        <w:numPr>
          <w:ilvl w:val="0"/>
          <w:numId w:val="22"/>
        </w:numPr>
        <w:tabs>
          <w:tab w:val="clear" w:pos="1980"/>
        </w:tabs>
        <w:spacing w:line="360" w:lineRule="auto"/>
        <w:ind w:left="0" w:firstLine="1440"/>
        <w:jc w:val="left"/>
        <w:rPr>
          <w:rFonts w:ascii="Times New Roman" w:hAnsi="Times New Roman"/>
          <w:bCs/>
        </w:rPr>
      </w:pPr>
      <w:r w:rsidRPr="00605209">
        <w:rPr>
          <w:rFonts w:ascii="Times New Roman" w:hAnsi="Times New Roman"/>
          <w:bCs/>
        </w:rPr>
        <w:t xml:space="preserve">Physical meter aggregation (rooftop solar) is not suitable for the </w:t>
      </w:r>
      <w:r w:rsidR="00D05EC2" w:rsidRPr="00605209">
        <w:rPr>
          <w:rFonts w:ascii="Times New Roman" w:hAnsi="Times New Roman"/>
          <w:bCs/>
        </w:rPr>
        <w:t xml:space="preserve">Complainant’s </w:t>
      </w:r>
      <w:r w:rsidRPr="00605209">
        <w:rPr>
          <w:rFonts w:ascii="Times New Roman" w:hAnsi="Times New Roman"/>
          <w:bCs/>
        </w:rPr>
        <w:t xml:space="preserve">house because it receives </w:t>
      </w:r>
      <w:r w:rsidR="00353EAC" w:rsidRPr="00605209">
        <w:rPr>
          <w:rFonts w:ascii="Times New Roman" w:hAnsi="Times New Roman"/>
          <w:bCs/>
        </w:rPr>
        <w:t>limited</w:t>
      </w:r>
      <w:r w:rsidRPr="00605209">
        <w:rPr>
          <w:rFonts w:ascii="Times New Roman" w:hAnsi="Times New Roman"/>
          <w:bCs/>
        </w:rPr>
        <w:t xml:space="preserve"> sunlight </w:t>
      </w:r>
      <w:r w:rsidR="00414669" w:rsidRPr="00605209">
        <w:rPr>
          <w:rFonts w:ascii="Times New Roman" w:hAnsi="Times New Roman"/>
          <w:bCs/>
        </w:rPr>
        <w:t>(Moyer</w:t>
      </w:r>
      <w:r w:rsidR="005C5514" w:rsidRPr="00605209">
        <w:rPr>
          <w:rFonts w:ascii="Times New Roman" w:hAnsi="Times New Roman"/>
          <w:bCs/>
        </w:rPr>
        <w:t xml:space="preserve"> </w:t>
      </w:r>
      <w:r w:rsidR="00636F22" w:rsidRPr="00605209">
        <w:rPr>
          <w:rFonts w:ascii="Times New Roman" w:hAnsi="Times New Roman"/>
          <w:bCs/>
        </w:rPr>
        <w:t xml:space="preserve">Direct </w:t>
      </w:r>
      <w:r w:rsidRPr="00605209">
        <w:rPr>
          <w:rFonts w:ascii="Times New Roman" w:hAnsi="Times New Roman"/>
          <w:bCs/>
        </w:rPr>
        <w:t>at 6</w:t>
      </w:r>
      <w:r w:rsidR="00D87D4A" w:rsidRPr="00605209">
        <w:rPr>
          <w:rFonts w:ascii="Times New Roman" w:hAnsi="Times New Roman"/>
          <w:bCs/>
        </w:rPr>
        <w:t>).</w:t>
      </w:r>
    </w:p>
    <w:p w:rsidR="00D87D4A" w:rsidRPr="00605209" w:rsidRDefault="00D87D4A" w:rsidP="00D975AC">
      <w:pPr>
        <w:pStyle w:val="ListParagraph"/>
        <w:rPr>
          <w:bCs/>
          <w:sz w:val="24"/>
        </w:rPr>
      </w:pPr>
    </w:p>
    <w:p w:rsidR="00C97799" w:rsidRPr="00605209" w:rsidRDefault="00D87D4A" w:rsidP="00B27035">
      <w:pPr>
        <w:pStyle w:val="BodyText"/>
        <w:numPr>
          <w:ilvl w:val="0"/>
          <w:numId w:val="22"/>
        </w:numPr>
        <w:tabs>
          <w:tab w:val="clear" w:pos="1980"/>
        </w:tabs>
        <w:spacing w:line="360" w:lineRule="auto"/>
        <w:ind w:left="0" w:firstLine="1440"/>
        <w:jc w:val="left"/>
        <w:rPr>
          <w:rFonts w:ascii="Times New Roman" w:hAnsi="Times New Roman"/>
          <w:bCs/>
        </w:rPr>
      </w:pPr>
      <w:r w:rsidRPr="00605209">
        <w:rPr>
          <w:rFonts w:ascii="Times New Roman" w:hAnsi="Times New Roman"/>
          <w:bCs/>
        </w:rPr>
        <w:lastRenderedPageBreak/>
        <w:t xml:space="preserve">Physical </w:t>
      </w:r>
      <w:r w:rsidR="001A3AF6" w:rsidRPr="00605209">
        <w:rPr>
          <w:rFonts w:ascii="Times New Roman" w:hAnsi="Times New Roman"/>
          <w:bCs/>
        </w:rPr>
        <w:t>meter aggregation is not p</w:t>
      </w:r>
      <w:r w:rsidR="00397CDE" w:rsidRPr="00605209">
        <w:rPr>
          <w:rFonts w:ascii="Times New Roman" w:hAnsi="Times New Roman"/>
          <w:bCs/>
        </w:rPr>
        <w:t>ractical</w:t>
      </w:r>
      <w:r w:rsidR="001A3AF6" w:rsidRPr="00605209">
        <w:rPr>
          <w:rFonts w:ascii="Times New Roman" w:hAnsi="Times New Roman"/>
          <w:bCs/>
        </w:rPr>
        <w:t xml:space="preserve"> because </w:t>
      </w:r>
      <w:r w:rsidR="00B27035" w:rsidRPr="00605209">
        <w:rPr>
          <w:rFonts w:ascii="Times New Roman" w:hAnsi="Times New Roman"/>
          <w:bCs/>
        </w:rPr>
        <w:t xml:space="preserve">the </w:t>
      </w:r>
      <w:r w:rsidR="00397CDE" w:rsidRPr="00605209">
        <w:rPr>
          <w:rFonts w:ascii="Times New Roman" w:hAnsi="Times New Roman"/>
          <w:bCs/>
        </w:rPr>
        <w:t xml:space="preserve">Complainant’s </w:t>
      </w:r>
      <w:r w:rsidR="00B27035" w:rsidRPr="00605209">
        <w:rPr>
          <w:rFonts w:ascii="Times New Roman" w:hAnsi="Times New Roman"/>
          <w:bCs/>
        </w:rPr>
        <w:t xml:space="preserve">house and the solar panels are separated by a ravine, a stream and a wooded area </w:t>
      </w:r>
      <w:r w:rsidRPr="00605209">
        <w:rPr>
          <w:rFonts w:ascii="Times New Roman" w:hAnsi="Times New Roman"/>
          <w:bCs/>
        </w:rPr>
        <w:t xml:space="preserve">(Moyer Direct at 6). </w:t>
      </w:r>
    </w:p>
    <w:p w:rsidR="00D87D4A" w:rsidRPr="00605209" w:rsidRDefault="00D87D4A" w:rsidP="00D975AC">
      <w:pPr>
        <w:pStyle w:val="BodyText"/>
        <w:tabs>
          <w:tab w:val="clear" w:pos="1980"/>
        </w:tabs>
        <w:spacing w:line="360" w:lineRule="auto"/>
        <w:jc w:val="left"/>
        <w:rPr>
          <w:rFonts w:ascii="Times New Roman" w:hAnsi="Times New Roman"/>
          <w:bCs/>
        </w:rPr>
      </w:pPr>
    </w:p>
    <w:p w:rsidR="006D7E5F" w:rsidRPr="00605209" w:rsidRDefault="006D7E5F" w:rsidP="00D975AC">
      <w:pPr>
        <w:pStyle w:val="BodyText"/>
        <w:numPr>
          <w:ilvl w:val="0"/>
          <w:numId w:val="22"/>
        </w:numPr>
        <w:tabs>
          <w:tab w:val="clear" w:pos="1980"/>
        </w:tabs>
        <w:spacing w:line="360" w:lineRule="auto"/>
        <w:ind w:left="0" w:firstLine="1440"/>
        <w:jc w:val="left"/>
        <w:rPr>
          <w:rFonts w:ascii="Times New Roman" w:hAnsi="Times New Roman"/>
          <w:bCs/>
        </w:rPr>
      </w:pPr>
      <w:r w:rsidRPr="00605209">
        <w:rPr>
          <w:rFonts w:ascii="Times New Roman" w:hAnsi="Times New Roman"/>
          <w:bCs/>
        </w:rPr>
        <w:t>The installation</w:t>
      </w:r>
      <w:r w:rsidR="00AF17CC" w:rsidRPr="00605209">
        <w:rPr>
          <w:rFonts w:ascii="Times New Roman" w:hAnsi="Times New Roman"/>
          <w:bCs/>
        </w:rPr>
        <w:t xml:space="preserve"> of the </w:t>
      </w:r>
      <w:r w:rsidR="001A3AF6" w:rsidRPr="00605209">
        <w:rPr>
          <w:rFonts w:ascii="Times New Roman" w:hAnsi="Times New Roman"/>
          <w:bCs/>
        </w:rPr>
        <w:t xml:space="preserve">Complainant’s solar </w:t>
      </w:r>
      <w:r w:rsidR="00AF17CC" w:rsidRPr="00605209">
        <w:rPr>
          <w:rFonts w:ascii="Times New Roman" w:hAnsi="Times New Roman"/>
          <w:bCs/>
        </w:rPr>
        <w:t>system</w:t>
      </w:r>
      <w:r w:rsidRPr="00605209">
        <w:rPr>
          <w:rFonts w:ascii="Times New Roman" w:hAnsi="Times New Roman"/>
          <w:bCs/>
        </w:rPr>
        <w:t xml:space="preserve">, </w:t>
      </w:r>
      <w:r w:rsidR="00AF17CC" w:rsidRPr="00605209">
        <w:rPr>
          <w:rFonts w:ascii="Times New Roman" w:hAnsi="Times New Roman"/>
          <w:bCs/>
        </w:rPr>
        <w:t xml:space="preserve">the </w:t>
      </w:r>
      <w:r w:rsidRPr="00605209">
        <w:rPr>
          <w:rFonts w:ascii="Times New Roman" w:hAnsi="Times New Roman"/>
          <w:bCs/>
        </w:rPr>
        <w:t xml:space="preserve">inspection and </w:t>
      </w:r>
      <w:r w:rsidR="00AF17CC" w:rsidRPr="00605209">
        <w:rPr>
          <w:rFonts w:ascii="Times New Roman" w:hAnsi="Times New Roman"/>
          <w:bCs/>
        </w:rPr>
        <w:t xml:space="preserve">the </w:t>
      </w:r>
      <w:r w:rsidR="00A700DB" w:rsidRPr="00605209">
        <w:rPr>
          <w:rFonts w:ascii="Times New Roman" w:hAnsi="Times New Roman"/>
          <w:bCs/>
        </w:rPr>
        <w:t>interconnection were completed o</w:t>
      </w:r>
      <w:r w:rsidRPr="00605209">
        <w:rPr>
          <w:rFonts w:ascii="Times New Roman" w:hAnsi="Times New Roman"/>
          <w:bCs/>
        </w:rPr>
        <w:t xml:space="preserve">n March </w:t>
      </w:r>
      <w:r w:rsidR="00A700DB" w:rsidRPr="00605209">
        <w:rPr>
          <w:rFonts w:ascii="Times New Roman" w:hAnsi="Times New Roman"/>
          <w:bCs/>
        </w:rPr>
        <w:t xml:space="preserve">10, </w:t>
      </w:r>
      <w:r w:rsidRPr="00605209">
        <w:rPr>
          <w:rFonts w:ascii="Times New Roman" w:hAnsi="Times New Roman"/>
          <w:bCs/>
        </w:rPr>
        <w:t>2009</w:t>
      </w:r>
      <w:r w:rsidR="001A3AF6" w:rsidRPr="00605209">
        <w:rPr>
          <w:rFonts w:ascii="Times New Roman" w:hAnsi="Times New Roman"/>
          <w:bCs/>
        </w:rPr>
        <w:t xml:space="preserve"> (</w:t>
      </w:r>
      <w:r w:rsidR="005C5514" w:rsidRPr="00605209">
        <w:rPr>
          <w:rFonts w:ascii="Times New Roman" w:hAnsi="Times New Roman"/>
          <w:bCs/>
        </w:rPr>
        <w:t xml:space="preserve">Moyer </w:t>
      </w:r>
      <w:r w:rsidR="00636F22" w:rsidRPr="00605209">
        <w:rPr>
          <w:rFonts w:ascii="Times New Roman" w:hAnsi="Times New Roman"/>
          <w:bCs/>
        </w:rPr>
        <w:t xml:space="preserve">Direct </w:t>
      </w:r>
      <w:r w:rsidR="00A700DB" w:rsidRPr="00605209">
        <w:rPr>
          <w:rFonts w:ascii="Times New Roman" w:hAnsi="Times New Roman"/>
          <w:bCs/>
        </w:rPr>
        <w:t>at 6</w:t>
      </w:r>
      <w:r w:rsidRPr="00605209">
        <w:rPr>
          <w:rFonts w:ascii="Times New Roman" w:hAnsi="Times New Roman"/>
          <w:bCs/>
        </w:rPr>
        <w:t>).</w:t>
      </w:r>
    </w:p>
    <w:p w:rsidR="00C97799" w:rsidRPr="00605209" w:rsidRDefault="00C97799" w:rsidP="00D975AC">
      <w:pPr>
        <w:pStyle w:val="BodyText"/>
        <w:tabs>
          <w:tab w:val="clear" w:pos="1980"/>
        </w:tabs>
        <w:spacing w:line="360" w:lineRule="auto"/>
        <w:jc w:val="left"/>
        <w:rPr>
          <w:rFonts w:ascii="Times New Roman" w:hAnsi="Times New Roman"/>
        </w:rPr>
      </w:pPr>
    </w:p>
    <w:p w:rsidR="00C97799" w:rsidRPr="00605209" w:rsidRDefault="00A04F98" w:rsidP="00D975AC">
      <w:pPr>
        <w:pStyle w:val="BodyText"/>
        <w:numPr>
          <w:ilvl w:val="0"/>
          <w:numId w:val="22"/>
        </w:numPr>
        <w:tabs>
          <w:tab w:val="clear" w:pos="1980"/>
          <w:tab w:val="left" w:pos="0"/>
        </w:tabs>
        <w:spacing w:line="360" w:lineRule="auto"/>
        <w:ind w:left="0" w:firstLine="1440"/>
        <w:jc w:val="left"/>
        <w:rPr>
          <w:rFonts w:ascii="Times New Roman" w:hAnsi="Times New Roman"/>
          <w:bCs/>
        </w:rPr>
      </w:pPr>
      <w:r w:rsidRPr="00605209">
        <w:rPr>
          <w:rFonts w:ascii="Times New Roman" w:hAnsi="Times New Roman"/>
          <w:bCs/>
        </w:rPr>
        <w:t>The Complainant’s host account</w:t>
      </w:r>
      <w:r w:rsidR="001A3AF6" w:rsidRPr="00605209">
        <w:rPr>
          <w:rFonts w:ascii="Times New Roman" w:hAnsi="Times New Roman"/>
          <w:bCs/>
        </w:rPr>
        <w:t xml:space="preserve"> </w:t>
      </w:r>
      <w:r w:rsidRPr="00605209">
        <w:rPr>
          <w:rFonts w:ascii="Times New Roman" w:hAnsi="Times New Roman"/>
          <w:bCs/>
        </w:rPr>
        <w:t xml:space="preserve">is on rate schedule GS-1 </w:t>
      </w:r>
      <w:r w:rsidR="00397CDE" w:rsidRPr="00605209">
        <w:rPr>
          <w:rFonts w:ascii="Times New Roman" w:hAnsi="Times New Roman"/>
          <w:bCs/>
        </w:rPr>
        <w:t>(PPL St. No. 1 at 26).</w:t>
      </w:r>
    </w:p>
    <w:p w:rsidR="00397CDE" w:rsidRPr="00605209" w:rsidRDefault="00397CDE" w:rsidP="00397CDE">
      <w:pPr>
        <w:pStyle w:val="BodyText"/>
        <w:tabs>
          <w:tab w:val="clear" w:pos="1980"/>
          <w:tab w:val="left" w:pos="0"/>
        </w:tabs>
        <w:spacing w:line="360" w:lineRule="auto"/>
        <w:jc w:val="left"/>
        <w:rPr>
          <w:rFonts w:ascii="Times New Roman" w:hAnsi="Times New Roman"/>
          <w:bCs/>
        </w:rPr>
      </w:pPr>
    </w:p>
    <w:p w:rsidR="00A04F98" w:rsidRPr="00605209" w:rsidRDefault="00A04F98" w:rsidP="00D975AC">
      <w:pPr>
        <w:pStyle w:val="BodyText"/>
        <w:numPr>
          <w:ilvl w:val="0"/>
          <w:numId w:val="22"/>
        </w:numPr>
        <w:tabs>
          <w:tab w:val="clear" w:pos="1980"/>
          <w:tab w:val="left" w:pos="0"/>
        </w:tabs>
        <w:spacing w:line="360" w:lineRule="auto"/>
        <w:ind w:left="0" w:firstLine="1440"/>
        <w:jc w:val="left"/>
        <w:rPr>
          <w:rFonts w:ascii="Times New Roman" w:hAnsi="Times New Roman"/>
          <w:bCs/>
        </w:rPr>
      </w:pPr>
      <w:r w:rsidRPr="00605209">
        <w:rPr>
          <w:rFonts w:ascii="Times New Roman" w:hAnsi="Times New Roman"/>
          <w:bCs/>
        </w:rPr>
        <w:t>The Complainant’s satellite account</w:t>
      </w:r>
      <w:r w:rsidR="001A3AF6" w:rsidRPr="00605209">
        <w:rPr>
          <w:rFonts w:ascii="Times New Roman" w:hAnsi="Times New Roman"/>
          <w:bCs/>
        </w:rPr>
        <w:t xml:space="preserve"> </w:t>
      </w:r>
      <w:r w:rsidRPr="00605209">
        <w:rPr>
          <w:rFonts w:ascii="Times New Roman" w:hAnsi="Times New Roman"/>
          <w:bCs/>
        </w:rPr>
        <w:t xml:space="preserve">is on rate schedule RS, the residential rate </w:t>
      </w:r>
      <w:r w:rsidR="00397CDE" w:rsidRPr="00605209">
        <w:rPr>
          <w:rFonts w:ascii="Times New Roman" w:hAnsi="Times New Roman"/>
          <w:bCs/>
        </w:rPr>
        <w:t>(PPL St. No. 1 at 26).</w:t>
      </w:r>
    </w:p>
    <w:p w:rsidR="00A04F98" w:rsidRPr="00605209" w:rsidRDefault="00A04F98" w:rsidP="00D975AC">
      <w:pPr>
        <w:pStyle w:val="BodyText"/>
        <w:tabs>
          <w:tab w:val="left" w:pos="720"/>
        </w:tabs>
        <w:spacing w:line="360" w:lineRule="auto"/>
        <w:ind w:firstLine="1440"/>
        <w:jc w:val="left"/>
        <w:rPr>
          <w:rFonts w:ascii="Times New Roman" w:hAnsi="Times New Roman"/>
          <w:bCs/>
        </w:rPr>
      </w:pPr>
    </w:p>
    <w:p w:rsidR="00D87D4A" w:rsidRPr="00605209" w:rsidRDefault="00D87D4A" w:rsidP="00D975AC">
      <w:pPr>
        <w:pStyle w:val="ListNumber"/>
        <w:numPr>
          <w:ilvl w:val="0"/>
          <w:numId w:val="22"/>
        </w:numPr>
        <w:spacing w:after="0" w:line="360" w:lineRule="auto"/>
        <w:ind w:left="0" w:firstLine="1440"/>
        <w:jc w:val="left"/>
      </w:pPr>
      <w:r w:rsidRPr="00605209">
        <w:t xml:space="preserve">The Complainant was one of the first customer-generators to request virtual meter aggregation on the Respondent’s system, originally being permitted to participate in March 2009 (Moyer Direct at 4; PPL St. No. 1 at 18)  </w:t>
      </w:r>
    </w:p>
    <w:p w:rsidR="00D87D4A" w:rsidRPr="00605209" w:rsidRDefault="00D87D4A" w:rsidP="00D975AC">
      <w:pPr>
        <w:pStyle w:val="ListParagraph"/>
        <w:rPr>
          <w:sz w:val="24"/>
        </w:rPr>
      </w:pPr>
    </w:p>
    <w:p w:rsidR="00D87D4A" w:rsidRPr="00605209" w:rsidRDefault="00D87D4A" w:rsidP="00D975AC">
      <w:pPr>
        <w:pStyle w:val="ListNumber"/>
        <w:numPr>
          <w:ilvl w:val="0"/>
          <w:numId w:val="22"/>
        </w:numPr>
        <w:spacing w:after="0" w:line="360" w:lineRule="auto"/>
        <w:ind w:left="0" w:firstLine="1440"/>
        <w:jc w:val="left"/>
      </w:pPr>
      <w:r w:rsidRPr="00605209">
        <w:t xml:space="preserve">The Complainant began participating in the program when the Company was learning how to implement virtual meter aggregation and </w:t>
      </w:r>
      <w:r w:rsidR="00852650" w:rsidRPr="00605209">
        <w:t xml:space="preserve">how to </w:t>
      </w:r>
      <w:r w:rsidRPr="00605209">
        <w:t xml:space="preserve">overcome the hurdle of its billing system’s inability to aggregate virtual meter aggregation customer-generators’ accounts on an automated basis (PPL St. No. 1 at 10; Tr. 208).  </w:t>
      </w:r>
    </w:p>
    <w:p w:rsidR="00D87D4A" w:rsidRPr="00605209" w:rsidRDefault="00D87D4A" w:rsidP="00D975AC">
      <w:pPr>
        <w:pStyle w:val="BodyText"/>
        <w:tabs>
          <w:tab w:val="clear" w:pos="1980"/>
          <w:tab w:val="left" w:pos="0"/>
        </w:tabs>
        <w:spacing w:line="360" w:lineRule="auto"/>
        <w:jc w:val="left"/>
        <w:rPr>
          <w:rFonts w:ascii="Times New Roman" w:hAnsi="Times New Roman"/>
        </w:rPr>
      </w:pPr>
    </w:p>
    <w:p w:rsidR="005B434E" w:rsidRPr="00605209" w:rsidRDefault="00E04CEA"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t>PPL applied virtual metering to Mr. Moyer’s accounts from March 2009 through December 2009</w:t>
      </w:r>
      <w:r w:rsidR="008D4096" w:rsidRPr="00605209">
        <w:rPr>
          <w:rFonts w:ascii="Times New Roman" w:hAnsi="Times New Roman"/>
        </w:rPr>
        <w:t xml:space="preserve"> (PPL. Ex. AFC-5).</w:t>
      </w:r>
      <w:r w:rsidRPr="00605209">
        <w:rPr>
          <w:rFonts w:ascii="Times New Roman" w:hAnsi="Times New Roman"/>
        </w:rPr>
        <w:t xml:space="preserve">  </w:t>
      </w:r>
    </w:p>
    <w:p w:rsidR="005B434E" w:rsidRPr="00605209" w:rsidRDefault="005B434E" w:rsidP="00D975AC">
      <w:pPr>
        <w:pStyle w:val="ListParagraph"/>
        <w:rPr>
          <w:sz w:val="24"/>
        </w:rPr>
      </w:pPr>
    </w:p>
    <w:p w:rsidR="00E04CEA" w:rsidRPr="00605209" w:rsidRDefault="00E04CEA"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t xml:space="preserve">There was no requirement for monthly aggregation </w:t>
      </w:r>
      <w:r w:rsidR="005B434E" w:rsidRPr="00605209">
        <w:rPr>
          <w:rFonts w:ascii="Times New Roman" w:hAnsi="Times New Roman"/>
        </w:rPr>
        <w:t>between March 2009 and December 2009</w:t>
      </w:r>
      <w:r w:rsidRPr="00605209">
        <w:rPr>
          <w:rFonts w:ascii="Times New Roman" w:hAnsi="Times New Roman"/>
        </w:rPr>
        <w:t xml:space="preserve"> </w:t>
      </w:r>
      <w:r w:rsidR="008D4096" w:rsidRPr="00605209">
        <w:rPr>
          <w:rFonts w:ascii="Times New Roman" w:hAnsi="Times New Roman"/>
        </w:rPr>
        <w:t xml:space="preserve">(PPL. Ex. AFC-5).  </w:t>
      </w:r>
    </w:p>
    <w:p w:rsidR="001A3AF6" w:rsidRPr="00605209" w:rsidRDefault="001A3AF6" w:rsidP="00D975AC">
      <w:pPr>
        <w:pStyle w:val="BodyText"/>
        <w:tabs>
          <w:tab w:val="clear" w:pos="1980"/>
          <w:tab w:val="left" w:pos="0"/>
        </w:tabs>
        <w:spacing w:line="360" w:lineRule="auto"/>
        <w:jc w:val="left"/>
        <w:rPr>
          <w:rFonts w:ascii="Times New Roman" w:hAnsi="Times New Roman"/>
        </w:rPr>
      </w:pPr>
    </w:p>
    <w:p w:rsidR="00944F09" w:rsidRPr="00605209" w:rsidRDefault="00944F09" w:rsidP="00D975AC">
      <w:pPr>
        <w:pStyle w:val="BodyText2"/>
        <w:numPr>
          <w:ilvl w:val="0"/>
          <w:numId w:val="22"/>
        </w:numPr>
        <w:ind w:left="0" w:firstLine="1440"/>
        <w:jc w:val="left"/>
      </w:pPr>
      <w:r w:rsidRPr="00605209">
        <w:t xml:space="preserve">In March </w:t>
      </w:r>
      <w:r w:rsidR="005D5217" w:rsidRPr="00605209">
        <w:t>2009,</w:t>
      </w:r>
      <w:r w:rsidRPr="00605209">
        <w:t xml:space="preserve"> there was no monthly crediting, and Mr. Moyer’s account was cashed out after the December 2009 billing period </w:t>
      </w:r>
      <w:r w:rsidR="008D4096" w:rsidRPr="00605209">
        <w:t xml:space="preserve">(PPL. Ex. AFC-5).  </w:t>
      </w:r>
    </w:p>
    <w:p w:rsidR="00D87D4A" w:rsidRPr="00605209" w:rsidRDefault="00D87D4A" w:rsidP="00D975AC">
      <w:pPr>
        <w:pStyle w:val="BodyText2"/>
        <w:jc w:val="left"/>
      </w:pPr>
    </w:p>
    <w:p w:rsidR="00944F09" w:rsidRPr="00605209" w:rsidRDefault="00944F09" w:rsidP="00D975AC">
      <w:pPr>
        <w:pStyle w:val="BodyText2"/>
        <w:numPr>
          <w:ilvl w:val="0"/>
          <w:numId w:val="22"/>
        </w:numPr>
        <w:ind w:left="0" w:firstLine="1440"/>
        <w:jc w:val="left"/>
      </w:pPr>
      <w:r w:rsidRPr="00605209">
        <w:lastRenderedPageBreak/>
        <w:t>Mr. Moyer received a cash-out of $493.71, which was the value of excess generation produced from March 2009 through December 2009,</w:t>
      </w:r>
      <w:r w:rsidRPr="00605209">
        <w:rPr>
          <w:vertAlign w:val="superscript"/>
        </w:rPr>
        <w:footnoteReference w:id="4"/>
      </w:r>
      <w:r w:rsidRPr="00605209">
        <w:t xml:space="preserve"> plus an additional 512 kWhs that were on a meter that was replaced</w:t>
      </w:r>
      <w:r w:rsidR="008D4096" w:rsidRPr="00605209">
        <w:t xml:space="preserve"> (PPL. Ex. AFC-5).  </w:t>
      </w:r>
    </w:p>
    <w:p w:rsidR="005C1ED1" w:rsidRPr="00605209" w:rsidRDefault="005C1ED1" w:rsidP="00D975AC">
      <w:pPr>
        <w:pStyle w:val="BodyText2"/>
        <w:jc w:val="left"/>
      </w:pPr>
    </w:p>
    <w:p w:rsidR="00944F09" w:rsidRPr="00605209" w:rsidRDefault="00944F09" w:rsidP="00D975AC">
      <w:pPr>
        <w:pStyle w:val="BodyText2"/>
        <w:numPr>
          <w:ilvl w:val="0"/>
          <w:numId w:val="22"/>
        </w:numPr>
        <w:ind w:left="0" w:firstLine="1440"/>
        <w:jc w:val="left"/>
      </w:pPr>
      <w:r w:rsidRPr="00605209">
        <w:t>The bank of credits was zeroed after the December 2009 billing period</w:t>
      </w:r>
      <w:r w:rsidR="00D87D4A" w:rsidRPr="00605209">
        <w:t xml:space="preserve"> </w:t>
      </w:r>
      <w:r w:rsidRPr="00605209">
        <w:t>(PPL St. No. 1 at 22; PPL Ex. APC-5).</w:t>
      </w:r>
    </w:p>
    <w:p w:rsidR="00944F09" w:rsidRPr="00605209" w:rsidRDefault="00944F09" w:rsidP="00D975AC">
      <w:pPr>
        <w:pStyle w:val="BodyText2"/>
        <w:jc w:val="left"/>
      </w:pPr>
    </w:p>
    <w:p w:rsidR="00944F09" w:rsidRPr="00605209" w:rsidRDefault="00944F09" w:rsidP="00D975AC">
      <w:pPr>
        <w:pStyle w:val="BodyText2"/>
        <w:numPr>
          <w:ilvl w:val="0"/>
          <w:numId w:val="22"/>
        </w:numPr>
        <w:ind w:left="0" w:firstLine="1440"/>
        <w:jc w:val="left"/>
      </w:pPr>
      <w:r w:rsidRPr="00605209">
        <w:t>From January 2010 through May 2010, PPL Electric continued virtual net meter aggregation and applied a credit of $151.54 in May 2010 (PPL St. No. 1 at 22; PPL Ex. APC-5).</w:t>
      </w:r>
    </w:p>
    <w:p w:rsidR="00944F09" w:rsidRPr="00605209" w:rsidRDefault="00944F09" w:rsidP="00D975AC">
      <w:pPr>
        <w:pStyle w:val="BodyText2"/>
        <w:jc w:val="left"/>
      </w:pPr>
    </w:p>
    <w:p w:rsidR="00944F09" w:rsidRPr="00605209" w:rsidRDefault="00944F09" w:rsidP="00D975AC">
      <w:pPr>
        <w:pStyle w:val="BodyText2"/>
        <w:numPr>
          <w:ilvl w:val="0"/>
          <w:numId w:val="22"/>
        </w:numPr>
        <w:ind w:left="0" w:firstLine="1440"/>
        <w:jc w:val="left"/>
      </w:pPr>
      <w:r w:rsidRPr="00605209">
        <w:t>In May 2010, the Respondent determined that the Complainant’s alternative energy system did not qualify for virtual meter aggregation because it did not have load independent of the alternative energy system, which is often referred to as “non-generational load.”</w:t>
      </w:r>
      <w:r w:rsidRPr="00605209">
        <w:rPr>
          <w:rStyle w:val="FootnoteReference"/>
        </w:rPr>
        <w:t xml:space="preserve"> </w:t>
      </w:r>
      <w:r w:rsidRPr="00605209">
        <w:rPr>
          <w:rStyle w:val="FootnoteReference"/>
        </w:rPr>
        <w:footnoteReference w:id="5"/>
      </w:r>
      <w:r w:rsidRPr="00605209">
        <w:t xml:space="preserve">  (PPL St. No. 1 at 19).</w:t>
      </w:r>
      <w:r w:rsidR="008D4096" w:rsidRPr="00605209">
        <w:t xml:space="preserve"> </w:t>
      </w:r>
    </w:p>
    <w:p w:rsidR="00944F09" w:rsidRPr="00605209" w:rsidRDefault="00944F09" w:rsidP="00D975AC">
      <w:pPr>
        <w:pStyle w:val="BodyText2"/>
        <w:jc w:val="left"/>
      </w:pPr>
    </w:p>
    <w:p w:rsidR="005A5CA1" w:rsidRPr="00605209" w:rsidRDefault="00944F09" w:rsidP="00D975AC">
      <w:pPr>
        <w:pStyle w:val="BodyText2"/>
        <w:numPr>
          <w:ilvl w:val="0"/>
          <w:numId w:val="22"/>
        </w:numPr>
        <w:ind w:left="0" w:firstLine="1440"/>
        <w:jc w:val="left"/>
      </w:pPr>
      <w:r w:rsidRPr="00605209">
        <w:t xml:space="preserve">The only additional load at the generating facilities was a light that would not exist </w:t>
      </w:r>
      <w:r w:rsidR="008D4096" w:rsidRPr="00605209">
        <w:t>i</w:t>
      </w:r>
      <w:r w:rsidRPr="00605209">
        <w:t>f the generating facilities</w:t>
      </w:r>
      <w:r w:rsidR="008D4096" w:rsidRPr="00605209">
        <w:t xml:space="preserve"> were not present</w:t>
      </w:r>
      <w:r w:rsidRPr="00605209">
        <w:t xml:space="preserve"> (PPL St. No. 1 at 19)</w:t>
      </w:r>
      <w:r w:rsidR="001E7A1C" w:rsidRPr="00605209">
        <w:t>.</w:t>
      </w:r>
      <w:r w:rsidRPr="00605209">
        <w:t xml:space="preserve"> </w:t>
      </w:r>
    </w:p>
    <w:p w:rsidR="005A5CA1" w:rsidRPr="00605209" w:rsidRDefault="005A5CA1" w:rsidP="00D975AC">
      <w:pPr>
        <w:pStyle w:val="ListParagraph"/>
        <w:rPr>
          <w:sz w:val="24"/>
        </w:rPr>
      </w:pPr>
    </w:p>
    <w:p w:rsidR="005A5CA1" w:rsidRPr="00605209" w:rsidRDefault="005A5CA1" w:rsidP="00D975AC">
      <w:pPr>
        <w:pStyle w:val="BodyText2"/>
        <w:numPr>
          <w:ilvl w:val="0"/>
          <w:numId w:val="22"/>
        </w:numPr>
        <w:ind w:left="0" w:firstLine="1440"/>
        <w:jc w:val="left"/>
      </w:pPr>
      <w:r w:rsidRPr="00605209">
        <w:t xml:space="preserve">The </w:t>
      </w:r>
      <w:r w:rsidR="00944F09" w:rsidRPr="00605209">
        <w:t>Complainant was removed from virtual meter aggregation effective June 2010 (PPL St. No. 1 at 18)</w:t>
      </w:r>
      <w:r w:rsidRPr="00605209">
        <w:t>.</w:t>
      </w:r>
    </w:p>
    <w:p w:rsidR="005A5CA1" w:rsidRPr="00605209" w:rsidRDefault="005A5CA1" w:rsidP="00D975AC">
      <w:pPr>
        <w:pStyle w:val="ListParagraph"/>
        <w:rPr>
          <w:sz w:val="24"/>
        </w:rPr>
      </w:pPr>
    </w:p>
    <w:p w:rsidR="00944F09" w:rsidRPr="00605209" w:rsidRDefault="00944F09" w:rsidP="00D975AC">
      <w:pPr>
        <w:pStyle w:val="BodyText2"/>
        <w:numPr>
          <w:ilvl w:val="0"/>
          <w:numId w:val="22"/>
        </w:numPr>
        <w:ind w:left="0" w:firstLine="1440"/>
        <w:jc w:val="left"/>
      </w:pPr>
      <w:r w:rsidRPr="00605209">
        <w:t>The $151.54 credit applied in May 2010 remained on the Complainant’s bills and was carried forward and credited against the total bill as a dollar amount in the subsequent months until the negative balance was exhausted (PPL St. No. 1 at 23; PPL Ex. APC-5)</w:t>
      </w:r>
      <w:r w:rsidR="00A639E5" w:rsidRPr="00605209">
        <w:t>.</w:t>
      </w:r>
      <w:r w:rsidRPr="00605209">
        <w:t xml:space="preserve"> </w:t>
      </w:r>
    </w:p>
    <w:p w:rsidR="00E04CEA" w:rsidRPr="00605209" w:rsidRDefault="00E04CEA" w:rsidP="00D975AC">
      <w:pPr>
        <w:pStyle w:val="BodyText"/>
        <w:tabs>
          <w:tab w:val="left" w:pos="0"/>
        </w:tabs>
        <w:spacing w:line="360" w:lineRule="auto"/>
        <w:ind w:firstLine="1440"/>
        <w:jc w:val="left"/>
        <w:rPr>
          <w:rFonts w:ascii="Times New Roman" w:hAnsi="Times New Roman"/>
        </w:rPr>
      </w:pPr>
    </w:p>
    <w:p w:rsidR="00E04CEA" w:rsidRPr="00605209" w:rsidRDefault="00E04CEA"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lastRenderedPageBreak/>
        <w:t xml:space="preserve">The Respondent did not apply any credits </w:t>
      </w:r>
      <w:r w:rsidR="008D4096" w:rsidRPr="00605209">
        <w:rPr>
          <w:rFonts w:ascii="Times New Roman" w:hAnsi="Times New Roman"/>
        </w:rPr>
        <w:t>between June 2010 and December 2010,</w:t>
      </w:r>
      <w:r w:rsidRPr="00605209">
        <w:rPr>
          <w:rFonts w:ascii="Times New Roman" w:hAnsi="Times New Roman"/>
        </w:rPr>
        <w:t xml:space="preserve"> because the Respondent determined that the Complainant did not qualify as a net or virtual metering customer </w:t>
      </w:r>
      <w:r w:rsidR="00E44E67" w:rsidRPr="00605209">
        <w:rPr>
          <w:rFonts w:ascii="Times New Roman" w:hAnsi="Times New Roman"/>
        </w:rPr>
        <w:t xml:space="preserve">(PPL. Ex. AFC-5). </w:t>
      </w:r>
    </w:p>
    <w:p w:rsidR="00AF4252" w:rsidRPr="00605209" w:rsidRDefault="00AF4252" w:rsidP="00D975AC">
      <w:pPr>
        <w:pStyle w:val="BodyText"/>
        <w:tabs>
          <w:tab w:val="clear" w:pos="1980"/>
          <w:tab w:val="left" w:pos="0"/>
        </w:tabs>
        <w:spacing w:line="360" w:lineRule="auto"/>
        <w:jc w:val="left"/>
        <w:rPr>
          <w:rFonts w:ascii="Times New Roman" w:hAnsi="Times New Roman"/>
        </w:rPr>
      </w:pPr>
    </w:p>
    <w:p w:rsidR="00AF4252" w:rsidRPr="00605209" w:rsidRDefault="008D4096" w:rsidP="008D4096">
      <w:pPr>
        <w:pStyle w:val="ListNumber"/>
        <w:numPr>
          <w:ilvl w:val="0"/>
          <w:numId w:val="22"/>
        </w:numPr>
        <w:spacing w:after="0" w:line="360" w:lineRule="auto"/>
        <w:ind w:left="0" w:firstLine="1440"/>
        <w:jc w:val="left"/>
      </w:pPr>
      <w:r w:rsidRPr="00605209">
        <w:t xml:space="preserve">On </w:t>
      </w:r>
      <w:r w:rsidR="00AF4252" w:rsidRPr="00605209">
        <w:t>or about December 16, 2010, the Complainant filed an informal complaint with the Bureau of Consumer Services</w:t>
      </w:r>
      <w:r w:rsidRPr="00605209">
        <w:t>, BCS Case No. 2778513,</w:t>
      </w:r>
      <w:r w:rsidR="00AF4252" w:rsidRPr="00605209">
        <w:t xml:space="preserve"> about his removal from virtual meter aggregation (PPL St. No. 1 at 18).</w:t>
      </w:r>
    </w:p>
    <w:p w:rsidR="00AF4252" w:rsidRPr="00605209" w:rsidRDefault="00AF4252" w:rsidP="00D975AC">
      <w:pPr>
        <w:pStyle w:val="ListParagraph"/>
        <w:rPr>
          <w:sz w:val="24"/>
        </w:rPr>
      </w:pPr>
    </w:p>
    <w:p w:rsidR="005A5CA1" w:rsidRPr="00605209" w:rsidRDefault="008D4096" w:rsidP="00D975AC">
      <w:pPr>
        <w:pStyle w:val="ListParagraph"/>
        <w:numPr>
          <w:ilvl w:val="0"/>
          <w:numId w:val="22"/>
        </w:numPr>
        <w:ind w:left="0" w:firstLine="1440"/>
        <w:rPr>
          <w:sz w:val="24"/>
        </w:rPr>
      </w:pPr>
      <w:r w:rsidRPr="00605209">
        <w:rPr>
          <w:sz w:val="24"/>
        </w:rPr>
        <w:t xml:space="preserve">The </w:t>
      </w:r>
      <w:r w:rsidR="00AF4252" w:rsidRPr="00605209">
        <w:rPr>
          <w:sz w:val="24"/>
        </w:rPr>
        <w:t xml:space="preserve">Bureau of Consumer Services </w:t>
      </w:r>
      <w:r w:rsidRPr="00605209">
        <w:rPr>
          <w:sz w:val="24"/>
        </w:rPr>
        <w:t xml:space="preserve">dismissed the informal complaint by </w:t>
      </w:r>
      <w:r w:rsidR="00AF4252" w:rsidRPr="00605209">
        <w:rPr>
          <w:sz w:val="24"/>
        </w:rPr>
        <w:t>decision, dated February 2, 2011</w:t>
      </w:r>
      <w:r w:rsidR="009524BB" w:rsidRPr="00605209">
        <w:rPr>
          <w:sz w:val="24"/>
        </w:rPr>
        <w:t xml:space="preserve"> (PPL St. No. 1 at 18).</w:t>
      </w:r>
    </w:p>
    <w:p w:rsidR="008D4096" w:rsidRPr="00605209" w:rsidRDefault="008D4096" w:rsidP="008D4096"/>
    <w:p w:rsidR="00AF4252" w:rsidRPr="00605209" w:rsidRDefault="00AF4252" w:rsidP="00D975AC">
      <w:pPr>
        <w:pStyle w:val="ListNumber"/>
        <w:numPr>
          <w:ilvl w:val="0"/>
          <w:numId w:val="22"/>
        </w:numPr>
        <w:spacing w:after="0" w:line="360" w:lineRule="auto"/>
        <w:ind w:left="0" w:firstLine="1440"/>
        <w:jc w:val="left"/>
      </w:pPr>
      <w:r w:rsidRPr="00605209">
        <w:t>To settle the dispute, the Respondent agreed in June 2011 to allow the Complainant to participate in virtual meter aggregation (PPL St. No. 1 at 18).</w:t>
      </w:r>
    </w:p>
    <w:p w:rsidR="00944F09" w:rsidRPr="00605209" w:rsidRDefault="00944F09" w:rsidP="00D975AC">
      <w:pPr>
        <w:pStyle w:val="ListNumber"/>
        <w:numPr>
          <w:ilvl w:val="0"/>
          <w:numId w:val="0"/>
        </w:numPr>
        <w:spacing w:after="0" w:line="360" w:lineRule="auto"/>
        <w:jc w:val="left"/>
      </w:pPr>
    </w:p>
    <w:p w:rsidR="00944F09" w:rsidRPr="00605209" w:rsidRDefault="00944F09" w:rsidP="00D975AC">
      <w:pPr>
        <w:pStyle w:val="BodyText2"/>
        <w:numPr>
          <w:ilvl w:val="0"/>
          <w:numId w:val="22"/>
        </w:numPr>
        <w:ind w:left="0" w:firstLine="1440"/>
        <w:jc w:val="left"/>
      </w:pPr>
      <w:r w:rsidRPr="00605209">
        <w:t xml:space="preserve">PPL Electric applied credits to Mr. Moyer’s account in September 2011 for the excess generation produced by his solar facility since January 2011, </w:t>
      </w:r>
      <w:r w:rsidRPr="00605209">
        <w:rPr>
          <w:i/>
        </w:rPr>
        <w:t>i.e.</w:t>
      </w:r>
      <w:r w:rsidRPr="00605209">
        <w:t>, since the time he filed his informal complaint</w:t>
      </w:r>
      <w:r w:rsidR="009524BB" w:rsidRPr="00605209">
        <w:t xml:space="preserve"> (PPL St. No. 1 at 18).</w:t>
      </w:r>
      <w:r w:rsidRPr="00605209">
        <w:t xml:space="preserve">  </w:t>
      </w:r>
    </w:p>
    <w:p w:rsidR="00944F09" w:rsidRPr="00605209" w:rsidRDefault="00944F09" w:rsidP="00D975AC">
      <w:pPr>
        <w:pStyle w:val="BodyText2"/>
        <w:jc w:val="left"/>
      </w:pPr>
    </w:p>
    <w:p w:rsidR="00944F09" w:rsidRPr="00605209" w:rsidRDefault="00944F09" w:rsidP="00D975AC">
      <w:pPr>
        <w:pStyle w:val="BodyText2"/>
        <w:numPr>
          <w:ilvl w:val="0"/>
          <w:numId w:val="22"/>
        </w:numPr>
        <w:ind w:left="0" w:firstLine="1440"/>
        <w:jc w:val="left"/>
      </w:pPr>
      <w:r w:rsidRPr="00605209">
        <w:t>PPL Electric again applied credits to Mr. Moyer’s account in December 2011</w:t>
      </w:r>
      <w:r w:rsidR="00E04442" w:rsidRPr="00605209">
        <w:t xml:space="preserve"> (PPL Ex. AFC-5</w:t>
      </w:r>
      <w:r w:rsidR="009E2697" w:rsidRPr="00605209">
        <w:t>)</w:t>
      </w:r>
      <w:r w:rsidR="002C58E9" w:rsidRPr="00605209">
        <w:t>.</w:t>
      </w:r>
    </w:p>
    <w:p w:rsidR="00944F09" w:rsidRPr="00605209" w:rsidRDefault="00944F09" w:rsidP="00D975AC">
      <w:pPr>
        <w:pStyle w:val="BodyText2"/>
        <w:jc w:val="left"/>
      </w:pPr>
    </w:p>
    <w:p w:rsidR="00AF4252" w:rsidRPr="00605209" w:rsidRDefault="00944F09" w:rsidP="00D975AC">
      <w:pPr>
        <w:pStyle w:val="ListParagraph"/>
        <w:numPr>
          <w:ilvl w:val="0"/>
          <w:numId w:val="22"/>
        </w:numPr>
        <w:ind w:left="0" w:firstLine="1440"/>
        <w:rPr>
          <w:sz w:val="24"/>
        </w:rPr>
      </w:pPr>
      <w:r w:rsidRPr="00605209">
        <w:rPr>
          <w:sz w:val="24"/>
        </w:rPr>
        <w:t>In December 2011, the Respondent shifted to crediting on a monthly basis.  Each month thereafter, PPL Electric credited Mr. Moyer’s bill on a monthly basis and, when applicable</w:t>
      </w:r>
      <w:r w:rsidR="008E35D0" w:rsidRPr="00605209">
        <w:rPr>
          <w:sz w:val="24"/>
        </w:rPr>
        <w:t xml:space="preserve"> (PPL Ex. AFC-5)</w:t>
      </w:r>
      <w:r w:rsidR="002C58E9" w:rsidRPr="00605209">
        <w:rPr>
          <w:sz w:val="24"/>
        </w:rPr>
        <w:t>.</w:t>
      </w:r>
    </w:p>
    <w:p w:rsidR="00944F09" w:rsidRPr="00605209" w:rsidRDefault="00944F09" w:rsidP="00D975AC"/>
    <w:p w:rsidR="00501751" w:rsidRPr="00605209" w:rsidRDefault="00E04CEA"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t xml:space="preserve">In net metering accounts, usage is measured by a bidirectional </w:t>
      </w:r>
      <w:r w:rsidR="00353EAC" w:rsidRPr="00605209">
        <w:rPr>
          <w:rFonts w:ascii="Times New Roman" w:hAnsi="Times New Roman"/>
        </w:rPr>
        <w:t>meter, which</w:t>
      </w:r>
      <w:r w:rsidRPr="00605209">
        <w:rPr>
          <w:rFonts w:ascii="Times New Roman" w:hAnsi="Times New Roman"/>
        </w:rPr>
        <w:t xml:space="preserve"> goes in forward or reverse directions depending on what is occurring at the time </w:t>
      </w:r>
      <w:r w:rsidR="008E35D0" w:rsidRPr="00605209">
        <w:rPr>
          <w:rFonts w:ascii="Times New Roman" w:hAnsi="Times New Roman"/>
        </w:rPr>
        <w:t xml:space="preserve">(PPL. </w:t>
      </w:r>
      <w:r w:rsidR="009E2697" w:rsidRPr="00605209">
        <w:rPr>
          <w:rFonts w:ascii="Times New Roman" w:hAnsi="Times New Roman"/>
        </w:rPr>
        <w:t>St</w:t>
      </w:r>
      <w:r w:rsidR="008E35D0" w:rsidRPr="00605209">
        <w:rPr>
          <w:rFonts w:ascii="Times New Roman" w:hAnsi="Times New Roman"/>
        </w:rPr>
        <w:t>. No 1 at 6</w:t>
      </w:r>
      <w:r w:rsidR="00E04442" w:rsidRPr="00605209">
        <w:rPr>
          <w:rFonts w:ascii="Times New Roman" w:hAnsi="Times New Roman"/>
        </w:rPr>
        <w:t>)</w:t>
      </w:r>
      <w:r w:rsidR="002C58E9" w:rsidRPr="00605209">
        <w:rPr>
          <w:rFonts w:ascii="Times New Roman" w:hAnsi="Times New Roman"/>
        </w:rPr>
        <w:t>.</w:t>
      </w:r>
    </w:p>
    <w:p w:rsidR="00501751" w:rsidRPr="00605209" w:rsidRDefault="00501751" w:rsidP="00D975AC">
      <w:pPr>
        <w:pStyle w:val="ListParagraph"/>
        <w:rPr>
          <w:sz w:val="24"/>
        </w:rPr>
      </w:pPr>
    </w:p>
    <w:p w:rsidR="00E04CEA" w:rsidRPr="00605209" w:rsidRDefault="00E04CEA"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t xml:space="preserve">The </w:t>
      </w:r>
      <w:r w:rsidR="00501751" w:rsidRPr="00605209">
        <w:rPr>
          <w:rFonts w:ascii="Times New Roman" w:hAnsi="Times New Roman"/>
        </w:rPr>
        <w:t xml:space="preserve">bidirectional meter does not record either total usage or total generation, it only </w:t>
      </w:r>
      <w:r w:rsidRPr="00605209">
        <w:rPr>
          <w:rFonts w:ascii="Times New Roman" w:hAnsi="Times New Roman"/>
        </w:rPr>
        <w:t>records the net difference between total usage and total gen</w:t>
      </w:r>
      <w:r w:rsidR="00E04442" w:rsidRPr="00605209">
        <w:rPr>
          <w:rFonts w:ascii="Times New Roman" w:hAnsi="Times New Roman"/>
        </w:rPr>
        <w:t>eration (PPL St. No. 1 at 6)</w:t>
      </w:r>
      <w:r w:rsidRPr="00605209">
        <w:rPr>
          <w:rFonts w:ascii="Times New Roman" w:hAnsi="Times New Roman"/>
        </w:rPr>
        <w:t>.</w:t>
      </w:r>
    </w:p>
    <w:p w:rsidR="00E04CEA" w:rsidRPr="00605209" w:rsidRDefault="00E04CEA"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lastRenderedPageBreak/>
        <w:t>The Complainant’s two accounts did not qualify for virtual metering under the terms of PPL’s tariff because there was n</w:t>
      </w:r>
      <w:r w:rsidR="00DA55B3" w:rsidRPr="00605209">
        <w:rPr>
          <w:rFonts w:ascii="Times New Roman" w:hAnsi="Times New Roman"/>
        </w:rPr>
        <w:t>o non-generational load (PPL. St. No. 1 at 9</w:t>
      </w:r>
      <w:r w:rsidRPr="00605209">
        <w:rPr>
          <w:rFonts w:ascii="Times New Roman" w:hAnsi="Times New Roman"/>
        </w:rPr>
        <w:t xml:space="preserve">). </w:t>
      </w:r>
    </w:p>
    <w:p w:rsidR="00E04CEA" w:rsidRPr="00605209" w:rsidRDefault="00E04CEA" w:rsidP="00D975AC">
      <w:pPr>
        <w:pStyle w:val="BodyText"/>
        <w:tabs>
          <w:tab w:val="left" w:pos="0"/>
        </w:tabs>
        <w:spacing w:line="360" w:lineRule="auto"/>
        <w:ind w:firstLine="1440"/>
        <w:jc w:val="left"/>
        <w:rPr>
          <w:rFonts w:ascii="Times New Roman" w:hAnsi="Times New Roman"/>
        </w:rPr>
      </w:pPr>
    </w:p>
    <w:p w:rsidR="00E04CEA" w:rsidRPr="00605209" w:rsidRDefault="00501751" w:rsidP="00D975AC">
      <w:pPr>
        <w:pStyle w:val="BodyText"/>
        <w:numPr>
          <w:ilvl w:val="0"/>
          <w:numId w:val="22"/>
        </w:numPr>
        <w:tabs>
          <w:tab w:val="clear" w:pos="1980"/>
          <w:tab w:val="left" w:pos="0"/>
        </w:tabs>
        <w:spacing w:line="360" w:lineRule="auto"/>
        <w:ind w:left="0" w:firstLine="1440"/>
        <w:jc w:val="left"/>
        <w:rPr>
          <w:rFonts w:ascii="Times New Roman" w:hAnsi="Times New Roman"/>
        </w:rPr>
      </w:pPr>
      <w:r w:rsidRPr="00605209">
        <w:rPr>
          <w:rFonts w:ascii="Times New Roman" w:hAnsi="Times New Roman"/>
        </w:rPr>
        <w:t>The Respondent</w:t>
      </w:r>
      <w:r w:rsidR="00E04CEA" w:rsidRPr="00605209">
        <w:rPr>
          <w:rFonts w:ascii="Times New Roman" w:hAnsi="Times New Roman"/>
        </w:rPr>
        <w:t>’s tariff for Rate Schedule GS-1 Small General Service at Secondary Voltage and its Net and Virtual Metering Tariffs were revised ef</w:t>
      </w:r>
      <w:r w:rsidR="00DA55B3" w:rsidRPr="00605209">
        <w:rPr>
          <w:rFonts w:ascii="Times New Roman" w:hAnsi="Times New Roman"/>
        </w:rPr>
        <w:t>fective January 1, 2011 (PPL Ex. AFC-5</w:t>
      </w:r>
      <w:r w:rsidR="00E04CEA" w:rsidRPr="00605209">
        <w:rPr>
          <w:rFonts w:ascii="Times New Roman" w:hAnsi="Times New Roman"/>
        </w:rPr>
        <w:t>).</w:t>
      </w:r>
    </w:p>
    <w:p w:rsidR="00944F09" w:rsidRPr="00605209" w:rsidRDefault="00944F09" w:rsidP="00D975AC">
      <w:pPr>
        <w:pStyle w:val="BodyText"/>
        <w:tabs>
          <w:tab w:val="clear" w:pos="1980"/>
          <w:tab w:val="left" w:pos="0"/>
        </w:tabs>
        <w:spacing w:line="360" w:lineRule="auto"/>
        <w:jc w:val="left"/>
        <w:rPr>
          <w:rFonts w:ascii="Times New Roman" w:hAnsi="Times New Roman"/>
        </w:rPr>
      </w:pPr>
    </w:p>
    <w:p w:rsidR="00501751" w:rsidRPr="00605209" w:rsidRDefault="00E04CEA" w:rsidP="00D975AC">
      <w:pPr>
        <w:pStyle w:val="ListParagraph"/>
        <w:numPr>
          <w:ilvl w:val="0"/>
          <w:numId w:val="22"/>
        </w:numPr>
        <w:ind w:left="0" w:firstLine="1440"/>
        <w:rPr>
          <w:sz w:val="24"/>
        </w:rPr>
      </w:pPr>
      <w:r w:rsidRPr="00605209">
        <w:rPr>
          <w:sz w:val="24"/>
        </w:rPr>
        <w:t xml:space="preserve">Beginning in January 2011, the Respondent’s tariff required the annual cash out for net metering customers to </w:t>
      </w:r>
      <w:r w:rsidR="00501751" w:rsidRPr="00605209">
        <w:rPr>
          <w:sz w:val="24"/>
        </w:rPr>
        <w:t xml:space="preserve">occur in May, </w:t>
      </w:r>
      <w:r w:rsidRPr="00605209">
        <w:rPr>
          <w:sz w:val="24"/>
        </w:rPr>
        <w:t xml:space="preserve">at the end of the PJM planning </w:t>
      </w:r>
      <w:r w:rsidR="00353EAC" w:rsidRPr="00605209">
        <w:rPr>
          <w:sz w:val="24"/>
        </w:rPr>
        <w:t>year</w:t>
      </w:r>
    </w:p>
    <w:p w:rsidR="00E04CEA" w:rsidRPr="00605209" w:rsidRDefault="00DA55B3" w:rsidP="00D975AC">
      <w:pPr>
        <w:pStyle w:val="ListParagraph"/>
        <w:ind w:firstLine="0"/>
        <w:rPr>
          <w:sz w:val="24"/>
        </w:rPr>
      </w:pPr>
      <w:r w:rsidRPr="00605209">
        <w:rPr>
          <w:sz w:val="24"/>
        </w:rPr>
        <w:t>(PPL Ex. AFC-5</w:t>
      </w:r>
      <w:r w:rsidR="00E04CEA" w:rsidRPr="00605209">
        <w:rPr>
          <w:sz w:val="24"/>
        </w:rPr>
        <w:t>).</w:t>
      </w:r>
    </w:p>
    <w:p w:rsidR="00E04CEA" w:rsidRPr="00605209" w:rsidRDefault="00E04CEA" w:rsidP="00D975AC">
      <w:pPr>
        <w:pStyle w:val="BodyText"/>
        <w:tabs>
          <w:tab w:val="left" w:pos="0"/>
        </w:tabs>
        <w:spacing w:line="360" w:lineRule="auto"/>
        <w:ind w:firstLine="1440"/>
        <w:jc w:val="left"/>
        <w:rPr>
          <w:rFonts w:ascii="Times New Roman" w:hAnsi="Times New Roman"/>
        </w:rPr>
      </w:pPr>
    </w:p>
    <w:p w:rsidR="00E04CEA" w:rsidRPr="00605209" w:rsidRDefault="00501751" w:rsidP="00D975AC">
      <w:pPr>
        <w:pStyle w:val="ListParagraph"/>
        <w:numPr>
          <w:ilvl w:val="0"/>
          <w:numId w:val="22"/>
        </w:numPr>
        <w:ind w:left="0" w:firstLine="1440"/>
        <w:rPr>
          <w:sz w:val="24"/>
        </w:rPr>
      </w:pPr>
      <w:r w:rsidRPr="00605209">
        <w:rPr>
          <w:sz w:val="24"/>
        </w:rPr>
        <w:t>According to the Respondent’s tariff, t</w:t>
      </w:r>
      <w:r w:rsidR="00E04CEA" w:rsidRPr="00605209">
        <w:rPr>
          <w:sz w:val="24"/>
        </w:rPr>
        <w:t>he value of the cash out is determined based on the price to compare based on the r</w:t>
      </w:r>
      <w:r w:rsidR="00DA55B3" w:rsidRPr="00605209">
        <w:rPr>
          <w:sz w:val="24"/>
        </w:rPr>
        <w:t>ate of the host account (PPL Ex. AFC5</w:t>
      </w:r>
      <w:r w:rsidR="00E04CEA" w:rsidRPr="00605209">
        <w:rPr>
          <w:sz w:val="24"/>
        </w:rPr>
        <w:t>).</w:t>
      </w:r>
    </w:p>
    <w:p w:rsidR="00E04CEA" w:rsidRPr="00605209" w:rsidRDefault="00E04CEA" w:rsidP="00D975AC">
      <w:pPr>
        <w:pStyle w:val="ListParagraph"/>
        <w:rPr>
          <w:sz w:val="24"/>
        </w:rPr>
      </w:pPr>
    </w:p>
    <w:p w:rsidR="00501751" w:rsidRPr="00605209" w:rsidRDefault="00501751" w:rsidP="00D975AC">
      <w:pPr>
        <w:pStyle w:val="ListParagraph"/>
        <w:numPr>
          <w:ilvl w:val="0"/>
          <w:numId w:val="22"/>
        </w:numPr>
        <w:ind w:left="0" w:firstLine="1440"/>
        <w:rPr>
          <w:sz w:val="24"/>
        </w:rPr>
      </w:pPr>
      <w:r w:rsidRPr="00605209">
        <w:rPr>
          <w:sz w:val="24"/>
        </w:rPr>
        <w:t>According to the Respondent’s tariff, o</w:t>
      </w:r>
      <w:r w:rsidR="00E04CEA" w:rsidRPr="00605209">
        <w:rPr>
          <w:sz w:val="24"/>
        </w:rPr>
        <w:t xml:space="preserve">n a monthly basis any unused </w:t>
      </w:r>
      <w:r w:rsidR="00353EAC" w:rsidRPr="00605209">
        <w:rPr>
          <w:sz w:val="24"/>
        </w:rPr>
        <w:t>kilowatt-hours</w:t>
      </w:r>
      <w:r w:rsidR="00E04CEA" w:rsidRPr="00605209">
        <w:rPr>
          <w:sz w:val="24"/>
        </w:rPr>
        <w:t xml:space="preserve"> are carried forward and applied to any subsequent billing periods to offset future usage </w:t>
      </w:r>
      <w:r w:rsidR="00F25FB5" w:rsidRPr="00605209">
        <w:rPr>
          <w:sz w:val="24"/>
        </w:rPr>
        <w:t>(PPL Ex. St. 1 at 22</w:t>
      </w:r>
      <w:r w:rsidR="002C58E9" w:rsidRPr="00605209">
        <w:rPr>
          <w:sz w:val="24"/>
        </w:rPr>
        <w:t>)</w:t>
      </w:r>
      <w:r w:rsidR="00F25FB5" w:rsidRPr="00605209">
        <w:rPr>
          <w:sz w:val="24"/>
        </w:rPr>
        <w:t>.</w:t>
      </w:r>
    </w:p>
    <w:p w:rsidR="00501751" w:rsidRPr="00605209" w:rsidRDefault="00501751" w:rsidP="00D975AC">
      <w:pPr>
        <w:pStyle w:val="ListParagraph"/>
        <w:rPr>
          <w:sz w:val="24"/>
        </w:rPr>
      </w:pPr>
    </w:p>
    <w:p w:rsidR="00E04CEA" w:rsidRPr="00605209" w:rsidRDefault="00E04CEA" w:rsidP="00D975AC">
      <w:pPr>
        <w:pStyle w:val="ListParagraph"/>
        <w:numPr>
          <w:ilvl w:val="0"/>
          <w:numId w:val="22"/>
        </w:numPr>
        <w:ind w:left="0" w:firstLine="1440"/>
        <w:rPr>
          <w:sz w:val="24"/>
        </w:rPr>
      </w:pPr>
      <w:r w:rsidRPr="00605209">
        <w:rPr>
          <w:sz w:val="24"/>
        </w:rPr>
        <w:t>In May</w:t>
      </w:r>
      <w:r w:rsidR="00501751" w:rsidRPr="00605209">
        <w:rPr>
          <w:sz w:val="24"/>
        </w:rPr>
        <w:t xml:space="preserve"> of each year</w:t>
      </w:r>
      <w:r w:rsidRPr="00605209">
        <w:rPr>
          <w:sz w:val="24"/>
        </w:rPr>
        <w:t xml:space="preserve">, </w:t>
      </w:r>
      <w:r w:rsidR="00501751" w:rsidRPr="00605209">
        <w:rPr>
          <w:sz w:val="24"/>
        </w:rPr>
        <w:t xml:space="preserve">the Respondent pays for </w:t>
      </w:r>
      <w:r w:rsidRPr="00605209">
        <w:rPr>
          <w:sz w:val="24"/>
        </w:rPr>
        <w:t xml:space="preserve">the unused </w:t>
      </w:r>
      <w:r w:rsidR="00353EAC" w:rsidRPr="00605209">
        <w:rPr>
          <w:sz w:val="24"/>
        </w:rPr>
        <w:t>kilowatt-hours</w:t>
      </w:r>
      <w:r w:rsidRPr="00605209">
        <w:rPr>
          <w:sz w:val="24"/>
        </w:rPr>
        <w:t xml:space="preserve"> </w:t>
      </w:r>
      <w:r w:rsidR="00F25FB5" w:rsidRPr="00605209">
        <w:rPr>
          <w:sz w:val="24"/>
        </w:rPr>
        <w:t>at the price to compare (PPL Ex. AFC-5</w:t>
      </w:r>
      <w:r w:rsidRPr="00605209">
        <w:rPr>
          <w:sz w:val="24"/>
        </w:rPr>
        <w:t>).</w:t>
      </w:r>
    </w:p>
    <w:p w:rsidR="00E04CEA" w:rsidRPr="00605209" w:rsidRDefault="00E04CEA" w:rsidP="00D975AC">
      <w:pPr>
        <w:pStyle w:val="ListParagraph"/>
        <w:rPr>
          <w:sz w:val="24"/>
        </w:rPr>
      </w:pPr>
    </w:p>
    <w:p w:rsidR="00AF4252" w:rsidRPr="00605209" w:rsidRDefault="00E04CEA" w:rsidP="00D975AC">
      <w:pPr>
        <w:pStyle w:val="BodyText"/>
        <w:numPr>
          <w:ilvl w:val="0"/>
          <w:numId w:val="22"/>
        </w:numPr>
        <w:tabs>
          <w:tab w:val="left" w:pos="0"/>
        </w:tabs>
        <w:spacing w:line="360" w:lineRule="auto"/>
        <w:ind w:left="0" w:firstLine="1440"/>
        <w:jc w:val="left"/>
        <w:rPr>
          <w:rFonts w:ascii="Times New Roman" w:hAnsi="Times New Roman"/>
        </w:rPr>
      </w:pPr>
      <w:r w:rsidRPr="00605209">
        <w:rPr>
          <w:rFonts w:ascii="Times New Roman" w:hAnsi="Times New Roman"/>
        </w:rPr>
        <w:t>In or around June 2011, the Respondent made an exception to allow the Complainant to quali</w:t>
      </w:r>
      <w:r w:rsidR="003D7A04" w:rsidRPr="00605209">
        <w:rPr>
          <w:rFonts w:ascii="Times New Roman" w:hAnsi="Times New Roman"/>
        </w:rPr>
        <w:t>fy for virtual metering (PPL Ex. AFC-5</w:t>
      </w:r>
      <w:r w:rsidRPr="00605209">
        <w:rPr>
          <w:rFonts w:ascii="Times New Roman" w:hAnsi="Times New Roman"/>
        </w:rPr>
        <w:t xml:space="preserve">).  </w:t>
      </w:r>
    </w:p>
    <w:p w:rsidR="00AF4252" w:rsidRPr="00605209" w:rsidRDefault="00AF4252" w:rsidP="00D975AC">
      <w:pPr>
        <w:pStyle w:val="ListParagraph"/>
        <w:rPr>
          <w:sz w:val="24"/>
        </w:rPr>
      </w:pPr>
    </w:p>
    <w:p w:rsidR="009524BB" w:rsidRPr="00605209" w:rsidRDefault="009524BB" w:rsidP="00D975AC">
      <w:pPr>
        <w:pStyle w:val="BodyText"/>
        <w:numPr>
          <w:ilvl w:val="0"/>
          <w:numId w:val="22"/>
        </w:numPr>
        <w:tabs>
          <w:tab w:val="left" w:pos="0"/>
        </w:tabs>
        <w:spacing w:line="360" w:lineRule="auto"/>
        <w:ind w:left="0" w:firstLine="1440"/>
        <w:jc w:val="left"/>
        <w:rPr>
          <w:rFonts w:ascii="Times New Roman" w:hAnsi="Times New Roman"/>
        </w:rPr>
      </w:pPr>
      <w:r w:rsidRPr="00605209">
        <w:rPr>
          <w:rFonts w:ascii="Times New Roman" w:hAnsi="Times New Roman"/>
        </w:rPr>
        <w:t xml:space="preserve">Although the Complainant did not have </w:t>
      </w:r>
      <w:r w:rsidR="00AF4252" w:rsidRPr="00605209">
        <w:rPr>
          <w:rFonts w:ascii="Times New Roman" w:hAnsi="Times New Roman"/>
        </w:rPr>
        <w:t>an independent load during the period of June 2010 through December 2010, PPL Electric has agreed to fully compensate the Complainant for the value of any credits he would have but did not receive for the excess generation produced since March 2009, when his system initially began participating (PPL St. No. 1 at 20)</w:t>
      </w:r>
      <w:r w:rsidR="002C58E9" w:rsidRPr="00605209">
        <w:rPr>
          <w:rFonts w:ascii="Times New Roman" w:hAnsi="Times New Roman"/>
        </w:rPr>
        <w:t>.</w:t>
      </w:r>
      <w:r w:rsidR="00AF4252" w:rsidRPr="00605209">
        <w:rPr>
          <w:rFonts w:ascii="Times New Roman" w:hAnsi="Times New Roman"/>
        </w:rPr>
        <w:t xml:space="preserve">  </w:t>
      </w:r>
    </w:p>
    <w:p w:rsidR="009524BB" w:rsidRPr="00605209" w:rsidRDefault="009524BB" w:rsidP="009524BB">
      <w:pPr>
        <w:pStyle w:val="ListParagraph"/>
        <w:rPr>
          <w:sz w:val="24"/>
        </w:rPr>
      </w:pPr>
    </w:p>
    <w:p w:rsidR="006D1F82" w:rsidRPr="00605209" w:rsidRDefault="00AF4252" w:rsidP="00D975AC">
      <w:pPr>
        <w:pStyle w:val="BodyText"/>
        <w:numPr>
          <w:ilvl w:val="0"/>
          <w:numId w:val="22"/>
        </w:numPr>
        <w:tabs>
          <w:tab w:val="left" w:pos="0"/>
        </w:tabs>
        <w:spacing w:line="360" w:lineRule="auto"/>
        <w:ind w:left="0" w:firstLine="1440"/>
        <w:jc w:val="left"/>
        <w:rPr>
          <w:rFonts w:ascii="Times New Roman" w:hAnsi="Times New Roman"/>
        </w:rPr>
      </w:pPr>
      <w:r w:rsidRPr="00605209">
        <w:rPr>
          <w:rFonts w:ascii="Times New Roman" w:hAnsi="Times New Roman"/>
        </w:rPr>
        <w:lastRenderedPageBreak/>
        <w:t xml:space="preserve">The </w:t>
      </w:r>
      <w:r w:rsidR="009524BB" w:rsidRPr="00605209">
        <w:rPr>
          <w:rFonts w:ascii="Times New Roman" w:hAnsi="Times New Roman"/>
        </w:rPr>
        <w:t xml:space="preserve">Respondent </w:t>
      </w:r>
      <w:r w:rsidRPr="00605209">
        <w:rPr>
          <w:rFonts w:ascii="Times New Roman" w:hAnsi="Times New Roman"/>
        </w:rPr>
        <w:t>calculated the amount owed as $559.95, which with interest is $738.98 (PPL St. No. 1 at 24; PPL Ex. APC-5).</w:t>
      </w:r>
    </w:p>
    <w:p w:rsidR="00AF4252" w:rsidRPr="00605209" w:rsidRDefault="00AF4252" w:rsidP="00D975AC">
      <w:pPr>
        <w:pStyle w:val="BodyText"/>
        <w:tabs>
          <w:tab w:val="left" w:pos="0"/>
        </w:tabs>
        <w:spacing w:line="360" w:lineRule="auto"/>
        <w:jc w:val="left"/>
        <w:rPr>
          <w:rFonts w:ascii="Times New Roman" w:hAnsi="Times New Roman"/>
        </w:rPr>
      </w:pPr>
    </w:p>
    <w:p w:rsidR="00B27035" w:rsidRPr="00605209" w:rsidRDefault="006D1F82" w:rsidP="00B27035">
      <w:pPr>
        <w:pStyle w:val="BodyText"/>
        <w:numPr>
          <w:ilvl w:val="0"/>
          <w:numId w:val="22"/>
        </w:numPr>
        <w:tabs>
          <w:tab w:val="left" w:pos="0"/>
        </w:tabs>
        <w:spacing w:line="360" w:lineRule="auto"/>
        <w:ind w:left="0" w:firstLine="1440"/>
        <w:jc w:val="left"/>
        <w:rPr>
          <w:rFonts w:ascii="Times New Roman" w:hAnsi="Times New Roman"/>
        </w:rPr>
      </w:pPr>
      <w:r w:rsidRPr="00605209">
        <w:rPr>
          <w:rFonts w:ascii="Times New Roman" w:hAnsi="Times New Roman"/>
        </w:rPr>
        <w:t>Since t</w:t>
      </w:r>
      <w:r w:rsidR="00E04CEA" w:rsidRPr="00605209">
        <w:rPr>
          <w:rFonts w:ascii="Times New Roman" w:hAnsi="Times New Roman"/>
        </w:rPr>
        <w:t>he exception was implemented in September 2011</w:t>
      </w:r>
      <w:r w:rsidRPr="00605209">
        <w:rPr>
          <w:rFonts w:ascii="Times New Roman" w:hAnsi="Times New Roman"/>
        </w:rPr>
        <w:t>, the Respondent</w:t>
      </w:r>
      <w:r w:rsidR="00E04CEA" w:rsidRPr="00605209">
        <w:rPr>
          <w:rFonts w:ascii="Times New Roman" w:hAnsi="Times New Roman"/>
        </w:rPr>
        <w:t xml:space="preserve"> has applied virtual metering to the Complainant’s accounts on a monthly basis since December 2011 (Tr. 170, 171).</w:t>
      </w:r>
      <w:r w:rsidRPr="00605209">
        <w:rPr>
          <w:rFonts w:ascii="Times New Roman" w:hAnsi="Times New Roman"/>
        </w:rPr>
        <w:t xml:space="preserve"> </w:t>
      </w:r>
    </w:p>
    <w:p w:rsidR="00A639E5" w:rsidRPr="00605209" w:rsidRDefault="00A639E5" w:rsidP="00A639E5">
      <w:pPr>
        <w:pStyle w:val="BodyText"/>
        <w:tabs>
          <w:tab w:val="left" w:pos="0"/>
        </w:tabs>
        <w:spacing w:line="360" w:lineRule="auto"/>
        <w:jc w:val="left"/>
        <w:rPr>
          <w:rFonts w:ascii="Times New Roman" w:hAnsi="Times New Roman"/>
        </w:rPr>
      </w:pPr>
    </w:p>
    <w:p w:rsidR="006D1F82" w:rsidRPr="00605209" w:rsidRDefault="00E04CEA" w:rsidP="00D975AC">
      <w:pPr>
        <w:pStyle w:val="BodyText"/>
        <w:numPr>
          <w:ilvl w:val="0"/>
          <w:numId w:val="22"/>
        </w:numPr>
        <w:tabs>
          <w:tab w:val="left" w:pos="0"/>
        </w:tabs>
        <w:spacing w:line="360" w:lineRule="auto"/>
        <w:ind w:left="0" w:firstLine="1440"/>
        <w:jc w:val="left"/>
        <w:rPr>
          <w:rFonts w:ascii="Times New Roman" w:hAnsi="Times New Roman"/>
        </w:rPr>
      </w:pPr>
      <w:r w:rsidRPr="00605209">
        <w:rPr>
          <w:rFonts w:ascii="Times New Roman" w:hAnsi="Times New Roman"/>
        </w:rPr>
        <w:t xml:space="preserve">There was a cash-out for the Complainant at the end of the 2012 PJM planning period in May 2012 for excess, unused generation remaining on the host account that was not consumed by either the host or the satellite.  </w:t>
      </w:r>
    </w:p>
    <w:p w:rsidR="00944F09" w:rsidRPr="00605209" w:rsidRDefault="00944F09" w:rsidP="00B27035">
      <w:pPr>
        <w:pStyle w:val="BodyText"/>
        <w:tabs>
          <w:tab w:val="left" w:pos="0"/>
        </w:tabs>
        <w:spacing w:line="360" w:lineRule="auto"/>
        <w:jc w:val="left"/>
        <w:rPr>
          <w:rFonts w:ascii="Times New Roman" w:hAnsi="Times New Roman"/>
        </w:rPr>
      </w:pPr>
    </w:p>
    <w:p w:rsidR="00944F09" w:rsidRPr="00605209" w:rsidRDefault="00E04CEA" w:rsidP="00B27035">
      <w:pPr>
        <w:pStyle w:val="BodyText"/>
        <w:numPr>
          <w:ilvl w:val="0"/>
          <w:numId w:val="22"/>
        </w:numPr>
        <w:tabs>
          <w:tab w:val="left" w:pos="0"/>
        </w:tabs>
        <w:spacing w:line="360" w:lineRule="auto"/>
        <w:ind w:left="0" w:firstLine="1440"/>
        <w:jc w:val="left"/>
        <w:rPr>
          <w:rFonts w:ascii="Times New Roman" w:hAnsi="Times New Roman"/>
        </w:rPr>
      </w:pPr>
      <w:r w:rsidRPr="00605209">
        <w:rPr>
          <w:rFonts w:ascii="Times New Roman" w:hAnsi="Times New Roman"/>
        </w:rPr>
        <w:t xml:space="preserve">The cash-out was based on the full retail rate of the Price to Compare of the host account pursuant to PPL Ex. 4 (Tr. 171). </w:t>
      </w:r>
      <w:r w:rsidR="006D1F82" w:rsidRPr="00605209">
        <w:rPr>
          <w:rFonts w:ascii="Times New Roman" w:hAnsi="Times New Roman"/>
        </w:rPr>
        <w:t xml:space="preserve"> </w:t>
      </w:r>
    </w:p>
    <w:p w:rsidR="005C1ED1" w:rsidRPr="00605209" w:rsidRDefault="005C1ED1" w:rsidP="00B27035">
      <w:pPr>
        <w:pStyle w:val="BodyText"/>
        <w:tabs>
          <w:tab w:val="left" w:pos="0"/>
        </w:tabs>
        <w:spacing w:line="360" w:lineRule="auto"/>
        <w:jc w:val="left"/>
        <w:rPr>
          <w:rFonts w:ascii="Times New Roman" w:hAnsi="Times New Roman"/>
        </w:rPr>
      </w:pPr>
    </w:p>
    <w:p w:rsidR="00E04CEA" w:rsidRPr="00605209" w:rsidRDefault="00AF4252" w:rsidP="00B27035">
      <w:pPr>
        <w:pStyle w:val="BodyText"/>
        <w:numPr>
          <w:ilvl w:val="0"/>
          <w:numId w:val="22"/>
        </w:numPr>
        <w:tabs>
          <w:tab w:val="left" w:pos="0"/>
        </w:tabs>
        <w:spacing w:line="360" w:lineRule="auto"/>
        <w:ind w:left="0" w:firstLine="1440"/>
        <w:jc w:val="left"/>
        <w:rPr>
          <w:rFonts w:ascii="Times New Roman" w:hAnsi="Times New Roman"/>
        </w:rPr>
      </w:pPr>
      <w:r w:rsidRPr="00605209">
        <w:rPr>
          <w:rFonts w:ascii="Times New Roman" w:hAnsi="Times New Roman"/>
        </w:rPr>
        <w:t>Although the Complainant’s cash outs are not reflected on his bills, the Complainant did receive checks for those cash outs (Moyer Exhibits JLM-27 and JLM-28)</w:t>
      </w:r>
      <w:r w:rsidR="009524BB" w:rsidRPr="00605209">
        <w:rPr>
          <w:rFonts w:ascii="Times New Roman" w:hAnsi="Times New Roman"/>
        </w:rPr>
        <w:t>.</w:t>
      </w:r>
      <w:r w:rsidRPr="00605209">
        <w:rPr>
          <w:rFonts w:ascii="Times New Roman" w:hAnsi="Times New Roman"/>
        </w:rPr>
        <w:t xml:space="preserve">  </w:t>
      </w:r>
    </w:p>
    <w:p w:rsidR="00C97799" w:rsidRPr="00605209" w:rsidRDefault="00C97799" w:rsidP="00D975AC">
      <w:pPr>
        <w:pStyle w:val="ListNumber"/>
        <w:numPr>
          <w:ilvl w:val="0"/>
          <w:numId w:val="0"/>
        </w:numPr>
        <w:spacing w:after="0" w:line="360" w:lineRule="auto"/>
        <w:jc w:val="left"/>
      </w:pPr>
    </w:p>
    <w:p w:rsidR="00A87CC3" w:rsidRPr="00605209" w:rsidRDefault="00C66854" w:rsidP="00D975AC">
      <w:pPr>
        <w:pStyle w:val="ListNumber"/>
        <w:numPr>
          <w:ilvl w:val="0"/>
          <w:numId w:val="22"/>
        </w:numPr>
        <w:spacing w:after="0" w:line="360" w:lineRule="auto"/>
        <w:ind w:left="0" w:firstLine="1440"/>
        <w:jc w:val="left"/>
      </w:pPr>
      <w:r w:rsidRPr="00605209">
        <w:t>The</w:t>
      </w:r>
      <w:r w:rsidR="006D1F82" w:rsidRPr="00605209">
        <w:t xml:space="preserve"> Respondent utilizes</w:t>
      </w:r>
      <w:r w:rsidRPr="00605209">
        <w:t xml:space="preserve"> an inexpensive manual process to track and record the generation facility account’s generation in excess of its usage (i.e., “excess generation”) and aggregates it with the other account’s usage (PPL St. No. </w:t>
      </w:r>
      <w:r w:rsidR="00FD6EBD" w:rsidRPr="00605209">
        <w:t>1 at</w:t>
      </w:r>
      <w:r w:rsidRPr="00605209">
        <w:t xml:space="preserve"> 11; Tr. 188)</w:t>
      </w:r>
      <w:r w:rsidR="00D31A8C" w:rsidRPr="00605209">
        <w:t>.</w:t>
      </w:r>
      <w:r w:rsidRPr="00605209">
        <w:t xml:space="preserve">  </w:t>
      </w:r>
    </w:p>
    <w:p w:rsidR="00C97799" w:rsidRPr="00605209" w:rsidRDefault="00C97799" w:rsidP="00D975AC">
      <w:pPr>
        <w:pStyle w:val="ListNumber"/>
        <w:numPr>
          <w:ilvl w:val="0"/>
          <w:numId w:val="0"/>
        </w:numPr>
        <w:spacing w:after="0" w:line="360" w:lineRule="auto"/>
        <w:jc w:val="left"/>
      </w:pPr>
    </w:p>
    <w:p w:rsidR="00C66854" w:rsidRPr="00605209" w:rsidRDefault="00C66854" w:rsidP="00D975AC">
      <w:pPr>
        <w:pStyle w:val="ListNumber"/>
        <w:numPr>
          <w:ilvl w:val="0"/>
          <w:numId w:val="22"/>
        </w:numPr>
        <w:spacing w:after="0" w:line="360" w:lineRule="auto"/>
        <w:ind w:left="0" w:firstLine="1440"/>
        <w:jc w:val="left"/>
      </w:pPr>
      <w:r w:rsidRPr="00605209">
        <w:t xml:space="preserve">The customer-generator’s usage and generation is tracked, offset, banked, and cashed out (PPL St. No. </w:t>
      </w:r>
      <w:r w:rsidR="00FD6EBD" w:rsidRPr="00605209">
        <w:t>1 at</w:t>
      </w:r>
      <w:r w:rsidRPr="00605209">
        <w:t xml:space="preserve"> 9-10)</w:t>
      </w:r>
      <w:r w:rsidR="00D31A8C" w:rsidRPr="00605209">
        <w:t>.</w:t>
      </w:r>
    </w:p>
    <w:p w:rsidR="00F5695A" w:rsidRPr="00605209" w:rsidRDefault="00F5695A" w:rsidP="00D975AC">
      <w:pPr>
        <w:pStyle w:val="ListNumber"/>
        <w:numPr>
          <w:ilvl w:val="0"/>
          <w:numId w:val="0"/>
        </w:numPr>
        <w:spacing w:after="0" w:line="360" w:lineRule="auto"/>
        <w:jc w:val="left"/>
      </w:pPr>
    </w:p>
    <w:p w:rsidR="00D31A8C" w:rsidRPr="00605209" w:rsidRDefault="00C66854" w:rsidP="00D975AC">
      <w:pPr>
        <w:pStyle w:val="ListNumber"/>
        <w:numPr>
          <w:ilvl w:val="0"/>
          <w:numId w:val="22"/>
        </w:numPr>
        <w:spacing w:after="0" w:line="360" w:lineRule="auto"/>
        <w:ind w:left="0" w:firstLine="1440"/>
        <w:jc w:val="left"/>
      </w:pPr>
      <w:r w:rsidRPr="00605209">
        <w:t xml:space="preserve">For virtual meter aggregation customer-generators, </w:t>
      </w:r>
      <w:r w:rsidR="006D1F82" w:rsidRPr="00605209">
        <w:t xml:space="preserve">the Respondent </w:t>
      </w:r>
      <w:r w:rsidRPr="00605209">
        <w:t xml:space="preserve">uses computer software to track, record, store, and calculate the excess generation produced, the credits applied, and the cash outs paid </w:t>
      </w:r>
      <w:r w:rsidR="00D31A8C" w:rsidRPr="00605209">
        <w:t>(PPL St. No. 1 at 11).</w:t>
      </w:r>
    </w:p>
    <w:p w:rsidR="00491229" w:rsidRPr="00605209" w:rsidRDefault="00491229" w:rsidP="00D975AC">
      <w:pPr>
        <w:pStyle w:val="ListNumber"/>
        <w:numPr>
          <w:ilvl w:val="0"/>
          <w:numId w:val="0"/>
        </w:numPr>
        <w:spacing w:after="0" w:line="360" w:lineRule="auto"/>
        <w:jc w:val="left"/>
      </w:pPr>
    </w:p>
    <w:p w:rsidR="00C66854" w:rsidRPr="00605209" w:rsidRDefault="00C66854" w:rsidP="00D975AC">
      <w:pPr>
        <w:pStyle w:val="ListNumber"/>
        <w:numPr>
          <w:ilvl w:val="0"/>
          <w:numId w:val="22"/>
        </w:numPr>
        <w:spacing w:after="0" w:line="360" w:lineRule="auto"/>
        <w:ind w:left="0" w:firstLine="1440"/>
        <w:jc w:val="left"/>
      </w:pPr>
      <w:r w:rsidRPr="00605209">
        <w:t xml:space="preserve">For each virtual net meter aggregation customer, </w:t>
      </w:r>
      <w:r w:rsidR="006D1F82" w:rsidRPr="00605209">
        <w:t xml:space="preserve">the Respondent </w:t>
      </w:r>
      <w:r w:rsidRPr="00605209">
        <w:t xml:space="preserve">maintains a computer generated spreadsheet that tracks, on a monthly basis, the excess </w:t>
      </w:r>
      <w:r w:rsidRPr="00605209">
        <w:lastRenderedPageBreak/>
        <w:t xml:space="preserve">generation at the generation facility account and the allocation of excess kWh to each usage account (PPL St. No. </w:t>
      </w:r>
      <w:r w:rsidR="00AC49F4" w:rsidRPr="00605209">
        <w:t>1 at</w:t>
      </w:r>
      <w:r w:rsidRPr="00605209">
        <w:t xml:space="preserve"> 11)</w:t>
      </w:r>
      <w:r w:rsidR="00D31A8C" w:rsidRPr="00605209">
        <w:t>.</w:t>
      </w:r>
    </w:p>
    <w:p w:rsidR="00C97799" w:rsidRPr="00605209" w:rsidRDefault="00C97799" w:rsidP="00D975AC">
      <w:pPr>
        <w:pStyle w:val="ListNumber"/>
        <w:numPr>
          <w:ilvl w:val="0"/>
          <w:numId w:val="0"/>
        </w:numPr>
        <w:spacing w:after="0" w:line="360" w:lineRule="auto"/>
        <w:jc w:val="left"/>
      </w:pPr>
    </w:p>
    <w:p w:rsidR="00D31A8C" w:rsidRPr="00605209" w:rsidRDefault="00D31A8C" w:rsidP="00D975AC">
      <w:pPr>
        <w:pStyle w:val="ListNumber"/>
        <w:numPr>
          <w:ilvl w:val="0"/>
          <w:numId w:val="22"/>
        </w:numPr>
        <w:spacing w:after="0" w:line="360" w:lineRule="auto"/>
        <w:ind w:left="0" w:firstLine="1440"/>
        <w:jc w:val="left"/>
      </w:pPr>
      <w:r w:rsidRPr="00605209">
        <w:t>After it submitted rebuttal testimony</w:t>
      </w:r>
      <w:r w:rsidR="006D1F82" w:rsidRPr="00605209">
        <w:t xml:space="preserve"> in 2015</w:t>
      </w:r>
      <w:r w:rsidRPr="00605209">
        <w:t xml:space="preserve">, </w:t>
      </w:r>
      <w:r w:rsidR="006D1F82" w:rsidRPr="00605209">
        <w:t xml:space="preserve">the Respondent </w:t>
      </w:r>
      <w:r w:rsidRPr="00605209">
        <w:t xml:space="preserve"> tried and was unable to modify its billing system to implement automated virtual meter aggregation as requested by the Complainant (Tr. 223).</w:t>
      </w:r>
    </w:p>
    <w:p w:rsidR="00D31A8C" w:rsidRPr="00605209" w:rsidRDefault="00D31A8C" w:rsidP="00D975AC">
      <w:pPr>
        <w:pStyle w:val="ListParagraph"/>
        <w:rPr>
          <w:sz w:val="24"/>
        </w:rPr>
      </w:pPr>
    </w:p>
    <w:p w:rsidR="00D31A8C" w:rsidRPr="00605209" w:rsidRDefault="00D31A8C" w:rsidP="00D975AC">
      <w:pPr>
        <w:pStyle w:val="ListNumber"/>
        <w:numPr>
          <w:ilvl w:val="0"/>
          <w:numId w:val="22"/>
        </w:numPr>
        <w:spacing w:after="0" w:line="360" w:lineRule="auto"/>
        <w:ind w:left="0" w:firstLine="1440"/>
        <w:jc w:val="left"/>
      </w:pPr>
      <w:r w:rsidRPr="00605209">
        <w:t xml:space="preserve">The Complainant takes electricity from and puts electricity back onto the system at the </w:t>
      </w:r>
      <w:r w:rsidR="00F46F52" w:rsidRPr="00605209">
        <w:t xml:space="preserve">interconnection </w:t>
      </w:r>
      <w:r w:rsidRPr="00605209">
        <w:t xml:space="preserve">point for his solar account, and he takes electricity from the system at the </w:t>
      </w:r>
      <w:r w:rsidR="00F46F52" w:rsidRPr="00605209">
        <w:t xml:space="preserve">interconnection </w:t>
      </w:r>
      <w:r w:rsidRPr="00605209">
        <w:t>point for his residential account (Tr. 95-96, 117-18).</w:t>
      </w:r>
    </w:p>
    <w:p w:rsidR="00D31A8C" w:rsidRPr="00605209" w:rsidRDefault="00D31A8C" w:rsidP="00D975AC">
      <w:pPr>
        <w:pStyle w:val="ListNumber"/>
        <w:numPr>
          <w:ilvl w:val="0"/>
          <w:numId w:val="0"/>
        </w:numPr>
        <w:spacing w:after="0" w:line="360" w:lineRule="auto"/>
        <w:jc w:val="left"/>
      </w:pPr>
    </w:p>
    <w:p w:rsidR="00D31A8C" w:rsidRPr="00605209" w:rsidRDefault="00D31A8C" w:rsidP="00D975AC">
      <w:pPr>
        <w:pStyle w:val="ListNumber"/>
        <w:numPr>
          <w:ilvl w:val="0"/>
          <w:numId w:val="22"/>
        </w:numPr>
        <w:spacing w:after="0" w:line="360" w:lineRule="auto"/>
        <w:ind w:left="0" w:firstLine="1440"/>
        <w:jc w:val="left"/>
      </w:pPr>
      <w:r w:rsidRPr="00605209">
        <w:t xml:space="preserve">The Complainant’s own facilities provide him with information on the electricity he generates (Moyer Direct at 44).  </w:t>
      </w:r>
    </w:p>
    <w:p w:rsidR="00D31A8C" w:rsidRPr="00605209" w:rsidRDefault="00D31A8C" w:rsidP="00D975AC">
      <w:pPr>
        <w:pStyle w:val="ListParagraph"/>
        <w:rPr>
          <w:sz w:val="24"/>
        </w:rPr>
      </w:pPr>
    </w:p>
    <w:p w:rsidR="00D31A8C" w:rsidRPr="00605209" w:rsidRDefault="00D31A8C" w:rsidP="00D975AC">
      <w:pPr>
        <w:pStyle w:val="ListNumber"/>
        <w:numPr>
          <w:ilvl w:val="0"/>
          <w:numId w:val="22"/>
        </w:numPr>
        <w:spacing w:after="0" w:line="360" w:lineRule="auto"/>
        <w:ind w:left="0" w:firstLine="1440"/>
        <w:jc w:val="left"/>
      </w:pPr>
      <w:r w:rsidRPr="00605209">
        <w:t>The Complainant’s independent side meter has recorded the generation produced at his detached solar array since it began operating in 2009, and the detached solar facility’s “own inverter tracks generation and stores data showing kilowatt hours of generation.”  (Moyer Direct at 44)</w:t>
      </w:r>
      <w:r w:rsidR="00491229" w:rsidRPr="00605209">
        <w:t>.</w:t>
      </w:r>
      <w:r w:rsidRPr="00605209">
        <w:t xml:space="preserve">  </w:t>
      </w:r>
    </w:p>
    <w:p w:rsidR="00D31A8C" w:rsidRPr="00605209" w:rsidRDefault="00D31A8C" w:rsidP="00D975AC">
      <w:pPr>
        <w:pStyle w:val="ListParagraph"/>
        <w:rPr>
          <w:sz w:val="24"/>
        </w:rPr>
      </w:pPr>
    </w:p>
    <w:p w:rsidR="00D31A8C" w:rsidRPr="00605209" w:rsidRDefault="00491229" w:rsidP="00D975AC">
      <w:pPr>
        <w:pStyle w:val="ListNumber"/>
        <w:numPr>
          <w:ilvl w:val="0"/>
          <w:numId w:val="22"/>
        </w:numPr>
        <w:spacing w:after="0" w:line="360" w:lineRule="auto"/>
        <w:ind w:left="0" w:firstLine="1440"/>
        <w:jc w:val="left"/>
      </w:pPr>
      <w:r w:rsidRPr="00605209">
        <w:t xml:space="preserve">The Respondent </w:t>
      </w:r>
      <w:r w:rsidR="00D31A8C" w:rsidRPr="00605209">
        <w:t>provides the following other avenues for its virtual meter aggregation customer-generators to access information on their accounts: PPL Electric’s energy analyzer is a web-based product that any of its customer-generators can access and examine their electric use daily</w:t>
      </w:r>
      <w:r w:rsidR="00F46F52" w:rsidRPr="00605209">
        <w:t>; and t</w:t>
      </w:r>
      <w:r w:rsidR="00D31A8C" w:rsidRPr="00605209">
        <w:t>here is a virtual net meter aggregation post where a customer-generator participating in that program can see the generation facility account’s generation hour by hour each day (PPL St. No. 1 at 34-35)</w:t>
      </w:r>
      <w:r w:rsidR="00F46F52" w:rsidRPr="00605209">
        <w:t>.</w:t>
      </w:r>
      <w:r w:rsidR="00D31A8C" w:rsidRPr="00605209">
        <w:t xml:space="preserve">  </w:t>
      </w:r>
    </w:p>
    <w:p w:rsidR="00491229" w:rsidRPr="00605209" w:rsidRDefault="00491229" w:rsidP="00D975AC">
      <w:pPr>
        <w:pStyle w:val="ListParagraph"/>
        <w:rPr>
          <w:sz w:val="24"/>
        </w:rPr>
      </w:pPr>
    </w:p>
    <w:p w:rsidR="00D31A8C" w:rsidRPr="00605209" w:rsidRDefault="00D31A8C" w:rsidP="00D975AC">
      <w:pPr>
        <w:pStyle w:val="ListNumber"/>
        <w:numPr>
          <w:ilvl w:val="0"/>
          <w:numId w:val="22"/>
        </w:numPr>
        <w:spacing w:after="0" w:line="360" w:lineRule="auto"/>
        <w:ind w:left="0" w:firstLine="1440"/>
        <w:jc w:val="left"/>
      </w:pPr>
      <w:r w:rsidRPr="00605209">
        <w:t>After the end of the PJM planning year, the Company provides a calculation sheet to determine the monthly credits upon customer request (PPL St. No. 1 at 35)</w:t>
      </w:r>
      <w:r w:rsidR="009524BB" w:rsidRPr="00605209">
        <w:t>.</w:t>
      </w:r>
      <w:r w:rsidRPr="00605209">
        <w:t xml:space="preserve">  </w:t>
      </w:r>
    </w:p>
    <w:p w:rsidR="00C97799" w:rsidRPr="00605209" w:rsidRDefault="00C97799" w:rsidP="00D975AC">
      <w:pPr>
        <w:pStyle w:val="ListNumber"/>
        <w:numPr>
          <w:ilvl w:val="0"/>
          <w:numId w:val="0"/>
        </w:numPr>
        <w:spacing w:after="0" w:line="360" w:lineRule="auto"/>
        <w:jc w:val="left"/>
      </w:pPr>
    </w:p>
    <w:p w:rsidR="00D31A8C" w:rsidRPr="00605209" w:rsidRDefault="00D31A8C" w:rsidP="00D975AC">
      <w:pPr>
        <w:pStyle w:val="ListNumber"/>
        <w:numPr>
          <w:ilvl w:val="0"/>
          <w:numId w:val="22"/>
        </w:numPr>
        <w:spacing w:after="0" w:line="360" w:lineRule="auto"/>
        <w:ind w:left="0" w:firstLine="1440"/>
        <w:jc w:val="left"/>
      </w:pPr>
      <w:r w:rsidRPr="00605209">
        <w:lastRenderedPageBreak/>
        <w:t>The Company has offered to provide the Complainant with the monthly calculation sheets that it uses to calculate and apply the credits to his accounts, which contain all of the information requested by the Complainant (Tr. 181-82, 190, 200, 218-220)</w:t>
      </w:r>
      <w:r w:rsidR="00F46F52" w:rsidRPr="00605209">
        <w:t>.</w:t>
      </w:r>
    </w:p>
    <w:p w:rsidR="00C97799" w:rsidRPr="00605209" w:rsidRDefault="00C97799" w:rsidP="00D975AC">
      <w:pPr>
        <w:pStyle w:val="ListNumber"/>
        <w:numPr>
          <w:ilvl w:val="0"/>
          <w:numId w:val="0"/>
        </w:numPr>
        <w:spacing w:after="0" w:line="360" w:lineRule="auto"/>
        <w:jc w:val="left"/>
      </w:pPr>
    </w:p>
    <w:p w:rsidR="00AF4252" w:rsidRPr="00605209" w:rsidRDefault="00D31A8C" w:rsidP="00D975AC">
      <w:pPr>
        <w:pStyle w:val="ListNumber"/>
        <w:numPr>
          <w:ilvl w:val="0"/>
          <w:numId w:val="22"/>
        </w:numPr>
        <w:spacing w:after="0" w:line="360" w:lineRule="auto"/>
        <w:ind w:left="0" w:firstLine="1440"/>
        <w:jc w:val="left"/>
      </w:pPr>
      <w:r w:rsidRPr="00605209">
        <w:t>The Complainant has refused to accept these calculation sheets (Tr. 111)</w:t>
      </w:r>
      <w:r w:rsidR="00B27035" w:rsidRPr="00605209">
        <w:t>.</w:t>
      </w:r>
      <w:r w:rsidRPr="00605209">
        <w:t xml:space="preserve">  </w:t>
      </w:r>
    </w:p>
    <w:p w:rsidR="00B27035" w:rsidRPr="00605209" w:rsidRDefault="00B27035" w:rsidP="00B27035">
      <w:pPr>
        <w:pStyle w:val="ListNumber"/>
        <w:numPr>
          <w:ilvl w:val="0"/>
          <w:numId w:val="0"/>
        </w:numPr>
        <w:spacing w:after="0" w:line="360" w:lineRule="auto"/>
        <w:jc w:val="left"/>
      </w:pPr>
    </w:p>
    <w:p w:rsidR="00AF4252" w:rsidRPr="00605209" w:rsidRDefault="00AF4252" w:rsidP="00D975AC">
      <w:pPr>
        <w:pStyle w:val="ListNumber"/>
        <w:numPr>
          <w:ilvl w:val="0"/>
          <w:numId w:val="22"/>
        </w:numPr>
        <w:spacing w:after="0" w:line="360" w:lineRule="auto"/>
        <w:ind w:left="0" w:firstLine="1440"/>
        <w:jc w:val="left"/>
      </w:pPr>
      <w:r w:rsidRPr="00605209">
        <w:t xml:space="preserve">The Complainant’s solar facilities are separately metered, have none of the characteristics of a “dwelling,” and receive </w:t>
      </w:r>
      <w:r w:rsidR="00192A68" w:rsidRPr="00605209">
        <w:t>single-phase</w:t>
      </w:r>
      <w:r w:rsidRPr="00605209">
        <w:t xml:space="preserve"> electric service at secondary voltage (PPL St. No. 1 at 28)</w:t>
      </w:r>
      <w:r w:rsidR="00B27035" w:rsidRPr="00605209">
        <w:t>.</w:t>
      </w:r>
      <w:r w:rsidRPr="00605209">
        <w:t xml:space="preserve"> </w:t>
      </w:r>
    </w:p>
    <w:p w:rsidR="00AF4252" w:rsidRPr="00605209" w:rsidRDefault="00AF4252" w:rsidP="00D975AC">
      <w:pPr>
        <w:pStyle w:val="ListNumber"/>
        <w:numPr>
          <w:ilvl w:val="0"/>
          <w:numId w:val="0"/>
        </w:numPr>
        <w:spacing w:after="0" w:line="360" w:lineRule="auto"/>
        <w:jc w:val="left"/>
      </w:pPr>
    </w:p>
    <w:p w:rsidR="00AF4252" w:rsidRPr="00605209" w:rsidRDefault="00AF4252" w:rsidP="00D975AC">
      <w:pPr>
        <w:pStyle w:val="ListNumber"/>
        <w:numPr>
          <w:ilvl w:val="0"/>
          <w:numId w:val="22"/>
        </w:numPr>
        <w:spacing w:after="0" w:line="360" w:lineRule="auto"/>
        <w:ind w:left="0" w:firstLine="1440"/>
        <w:jc w:val="left"/>
      </w:pPr>
      <w:r w:rsidRPr="00605209">
        <w:t xml:space="preserve">The distribution charges imposed on the Complainant’s solar account are the same charges that apply to other customers that are not customer-generators.  </w:t>
      </w:r>
      <w:r w:rsidRPr="00605209">
        <w:rPr>
          <w:i/>
        </w:rPr>
        <w:t xml:space="preserve">See </w:t>
      </w:r>
      <w:r w:rsidRPr="00605209">
        <w:t>Su</w:t>
      </w:r>
      <w:r w:rsidR="009524BB" w:rsidRPr="00605209">
        <w:t>pp.</w:t>
      </w:r>
      <w:r w:rsidRPr="00605209">
        <w:t xml:space="preserve"> No. 125 to Electric Pa. P.U.C. No. 201, Twenty-Sixth Revised Page No. 24.  </w:t>
      </w:r>
    </w:p>
    <w:p w:rsidR="00B27035" w:rsidRPr="00605209" w:rsidRDefault="00B27035" w:rsidP="00B27035">
      <w:pPr>
        <w:pStyle w:val="ListNumber"/>
        <w:numPr>
          <w:ilvl w:val="0"/>
          <w:numId w:val="0"/>
        </w:numPr>
        <w:spacing w:after="0" w:line="360" w:lineRule="auto"/>
        <w:jc w:val="left"/>
      </w:pPr>
    </w:p>
    <w:p w:rsidR="00AF4252" w:rsidRPr="00605209" w:rsidRDefault="00AF4252" w:rsidP="00D975AC">
      <w:pPr>
        <w:pStyle w:val="ListNumber"/>
        <w:numPr>
          <w:ilvl w:val="0"/>
          <w:numId w:val="22"/>
        </w:numPr>
        <w:spacing w:after="0" w:line="360" w:lineRule="auto"/>
        <w:ind w:left="0" w:firstLine="1440"/>
        <w:jc w:val="left"/>
      </w:pPr>
      <w:r w:rsidRPr="00605209">
        <w:t>The customer charge is designed to recover costs associated with connecting a customer to the system regardless of the customer usage (PPL St. No. 1 at 29-30)</w:t>
      </w:r>
      <w:r w:rsidR="009524BB" w:rsidRPr="00605209">
        <w:t>.</w:t>
      </w:r>
    </w:p>
    <w:p w:rsidR="009524BB" w:rsidRPr="00605209" w:rsidRDefault="009524BB" w:rsidP="009524BB">
      <w:pPr>
        <w:pStyle w:val="ListParagraph"/>
        <w:rPr>
          <w:sz w:val="24"/>
        </w:rPr>
      </w:pPr>
    </w:p>
    <w:p w:rsidR="009524BB" w:rsidRPr="00605209" w:rsidRDefault="009524BB" w:rsidP="00D975AC">
      <w:pPr>
        <w:pStyle w:val="ListNumber"/>
        <w:numPr>
          <w:ilvl w:val="0"/>
          <w:numId w:val="22"/>
        </w:numPr>
        <w:spacing w:after="0" w:line="360" w:lineRule="auto"/>
        <w:ind w:left="0" w:firstLine="1440"/>
        <w:jc w:val="left"/>
      </w:pPr>
      <w:r w:rsidRPr="00605209">
        <w:t>Although PPL Electric has 98 virtual meter customers, the Complainant is the only one who has complained about the manual billing</w:t>
      </w:r>
      <w:r w:rsidR="00A639E5" w:rsidRPr="00605209">
        <w:t xml:space="preserve"> (</w:t>
      </w:r>
      <w:r w:rsidR="000F7C30" w:rsidRPr="00605209">
        <w:t>Moyer Brief</w:t>
      </w:r>
      <w:r w:rsidR="00A639E5" w:rsidRPr="00605209">
        <w:t xml:space="preserve"> at 21; PPL St. No. 1 at 37-39).</w:t>
      </w:r>
      <w:r w:rsidRPr="00605209">
        <w:t xml:space="preserve"> </w:t>
      </w:r>
    </w:p>
    <w:p w:rsidR="00B27035" w:rsidRPr="00605209" w:rsidRDefault="00B27035" w:rsidP="00D975AC">
      <w:pPr>
        <w:pStyle w:val="Heading1"/>
        <w:spacing w:line="360" w:lineRule="auto"/>
        <w:rPr>
          <w:rFonts w:ascii="Times New Roman" w:hAnsi="Times New Roman"/>
          <w:b w:val="0"/>
        </w:rPr>
      </w:pPr>
    </w:p>
    <w:p w:rsidR="00FF26E3" w:rsidRPr="00605209" w:rsidRDefault="00FF26E3" w:rsidP="00D975AC">
      <w:pPr>
        <w:pStyle w:val="Heading1"/>
        <w:spacing w:line="360" w:lineRule="auto"/>
        <w:rPr>
          <w:rFonts w:ascii="Times New Roman" w:hAnsi="Times New Roman"/>
          <w:b w:val="0"/>
        </w:rPr>
      </w:pPr>
      <w:r w:rsidRPr="00605209">
        <w:rPr>
          <w:rFonts w:ascii="Times New Roman" w:hAnsi="Times New Roman"/>
          <w:b w:val="0"/>
        </w:rPr>
        <w:t>DISCUSSION</w:t>
      </w:r>
    </w:p>
    <w:p w:rsidR="00FF26E3" w:rsidRPr="00605209" w:rsidRDefault="00FF26E3" w:rsidP="00D975AC"/>
    <w:p w:rsidR="00FF26E3" w:rsidRPr="00605209" w:rsidRDefault="00FF26E3" w:rsidP="00D975AC">
      <w:pPr>
        <w:pStyle w:val="BodyText"/>
        <w:tabs>
          <w:tab w:val="clear" w:pos="198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 xml:space="preserve">Pursuant to section 332(a) of the Public Utility Code, 66 </w:t>
      </w:r>
      <w:r w:rsidR="003C16DF" w:rsidRPr="00605209">
        <w:rPr>
          <w:rFonts w:ascii="Times New Roman" w:hAnsi="Times New Roman"/>
        </w:rPr>
        <w:t>Pa.C.S.</w:t>
      </w:r>
      <w:r w:rsidRPr="00605209">
        <w:rPr>
          <w:rFonts w:ascii="Times New Roman" w:hAnsi="Times New Roman"/>
        </w:rPr>
        <w:t xml:space="preserve">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605209">
        <w:rPr>
          <w:rFonts w:ascii="Times New Roman" w:hAnsi="Times New Roman"/>
          <w:i/>
          <w:iCs/>
        </w:rPr>
        <w:t>Se-Ling Hosiery v. Margulies,</w:t>
      </w:r>
      <w:r w:rsidRPr="00605209">
        <w:rPr>
          <w:rFonts w:ascii="Times New Roman" w:hAnsi="Times New Roman"/>
        </w:rPr>
        <w:t xml:space="preserve"> 364 Pa. 45, 70 A.2d 854 (1950).  The Complainant must show that the utility is responsible or accountable for the problem described in the complaint.  </w:t>
      </w:r>
      <w:r w:rsidRPr="00605209">
        <w:rPr>
          <w:rFonts w:ascii="Times New Roman" w:hAnsi="Times New Roman"/>
          <w:i/>
          <w:iCs/>
        </w:rPr>
        <w:t>Feinstein v. Philadelphia Suburban Water Company</w:t>
      </w:r>
      <w:r w:rsidRPr="00605209">
        <w:rPr>
          <w:rFonts w:ascii="Times New Roman" w:hAnsi="Times New Roman"/>
        </w:rPr>
        <w:t>, 50 Pa. PUC 300 (1976).</w:t>
      </w:r>
    </w:p>
    <w:p w:rsidR="00FF3916" w:rsidRPr="00FF3916" w:rsidRDefault="00FF26E3" w:rsidP="00FF3916">
      <w:pPr>
        <w:spacing w:line="360" w:lineRule="auto"/>
      </w:pPr>
      <w:r w:rsidRPr="00605209">
        <w:lastRenderedPageBreak/>
        <w:tab/>
      </w:r>
      <w:r w:rsidRPr="00605209">
        <w:tab/>
        <w:t xml:space="preserve">The record in this proceeding must be reviewed to determine whether the Complainant has satisfied </w:t>
      </w:r>
      <w:r w:rsidR="002D1B3F" w:rsidRPr="00605209">
        <w:t>h</w:t>
      </w:r>
      <w:r w:rsidR="00475252" w:rsidRPr="00605209">
        <w:t>is</w:t>
      </w:r>
      <w:r w:rsidRPr="00605209">
        <w:t xml:space="preserve"> burden of proof.  If the burden of proof has been satisfied, </w:t>
      </w:r>
      <w:r w:rsidR="00FF3916" w:rsidRPr="00605209">
        <w:t xml:space="preserve">the burden of going forward with the evidence, sometimes called the burden of persuasion, to rebut the evidence of the Complainant shifts to the Respondent.  If the evidence presented by the Respondent is of co-equal weight, the Complainant has not satisfied his burden of proof.  The </w:t>
      </w:r>
      <w:r w:rsidRPr="00605209">
        <w:t xml:space="preserve">Complainant </w:t>
      </w:r>
      <w:r w:rsidR="00FF3916" w:rsidRPr="00605209">
        <w:t xml:space="preserve">must </w:t>
      </w:r>
      <w:r w:rsidRPr="00605209">
        <w:t>present additional evidence</w:t>
      </w:r>
      <w:r w:rsidR="00FF3916" w:rsidRPr="00605209">
        <w:t xml:space="preserve"> to rebut the Respondent’s evidence</w:t>
      </w:r>
      <w:r w:rsidRPr="00605209">
        <w:t xml:space="preserve">.  </w:t>
      </w:r>
      <w:r w:rsidRPr="00605209">
        <w:rPr>
          <w:i/>
          <w:iCs/>
        </w:rPr>
        <w:t>Morrissey v. Pa. Dept. of Highways</w:t>
      </w:r>
      <w:r w:rsidRPr="00605209">
        <w:t>,</w:t>
      </w:r>
      <w:r w:rsidR="00400BED" w:rsidRPr="00605209">
        <w:t xml:space="preserve"> </w:t>
      </w:r>
      <w:r w:rsidRPr="00605209">
        <w:t>424 Pa. 87, 225 A.2d 895 (1967)</w:t>
      </w:r>
      <w:r w:rsidR="00FF3916" w:rsidRPr="00605209">
        <w:t xml:space="preserve">.  </w:t>
      </w:r>
      <w:hyperlink r:id="rId9" w:history="1">
        <w:r w:rsidR="00FF3916" w:rsidRPr="00605209">
          <w:rPr>
            <w:i/>
            <w:iCs/>
          </w:rPr>
          <w:t>Burleson v. Pa. PUC</w:t>
        </w:r>
        <w:r w:rsidR="00FF3916" w:rsidRPr="00605209">
          <w:rPr>
            <w:iCs/>
          </w:rPr>
          <w:t xml:space="preserve">, 443 A.2d 1373 (Pa. Cmwlth. 1982), </w:t>
        </w:r>
        <w:r w:rsidR="00FF3916" w:rsidRPr="00605209">
          <w:rPr>
            <w:i/>
            <w:iCs/>
          </w:rPr>
          <w:t>aff’d</w:t>
        </w:r>
        <w:r w:rsidR="00FF3916" w:rsidRPr="00605209">
          <w:rPr>
            <w:iCs/>
          </w:rPr>
          <w:t>, 501 Pa. 433, 461 A.2d 1234 (1983)</w:t>
        </w:r>
        <w:r w:rsidR="00FF3916" w:rsidRPr="00605209">
          <w:rPr>
            <w:iCs/>
            <w:u w:val="single"/>
          </w:rPr>
          <w:t>.</w:t>
        </w:r>
      </w:hyperlink>
      <w:r w:rsidR="00FF3916" w:rsidRPr="00605209">
        <w:rPr>
          <w:u w:val="words"/>
        </w:rPr>
        <w:t xml:space="preserve">  </w:t>
      </w:r>
      <w:r w:rsidR="00FF3916" w:rsidRPr="00FF3916">
        <w:t xml:space="preserve">While the burden of persuasion may </w:t>
      </w:r>
      <w:r w:rsidR="00FF3916" w:rsidRPr="00605209">
        <w:rPr>
          <w:bCs/>
        </w:rPr>
        <w:t>shift</w:t>
      </w:r>
      <w:r w:rsidR="00FF3916" w:rsidRPr="00FF3916">
        <w:t xml:space="preserve"> back and forth during a proceeding, the </w:t>
      </w:r>
      <w:r w:rsidR="00FF3916" w:rsidRPr="00605209">
        <w:rPr>
          <w:bCs/>
        </w:rPr>
        <w:t>burden of proof</w:t>
      </w:r>
      <w:r w:rsidR="00FF3916" w:rsidRPr="00FF3916">
        <w:t xml:space="preserve"> never </w:t>
      </w:r>
      <w:r w:rsidR="00FF3916" w:rsidRPr="00605209">
        <w:rPr>
          <w:bCs/>
        </w:rPr>
        <w:t>shifts.  The burden of proof</w:t>
      </w:r>
      <w:r w:rsidR="00FF3916" w:rsidRPr="00FF3916">
        <w:t xml:space="preserve"> always remains on the party seeking affirmative relief from the Commission.  </w:t>
      </w:r>
      <w:r w:rsidR="00FF3916" w:rsidRPr="00FF3916">
        <w:rPr>
          <w:i/>
        </w:rPr>
        <w:t xml:space="preserve">Milkie v. Pa. PUC, </w:t>
      </w:r>
      <w:r w:rsidR="00FF3916" w:rsidRPr="00FF3916">
        <w:t>768 A.2d 1217 (Pa. Cmwlth. 2001).</w:t>
      </w:r>
    </w:p>
    <w:p w:rsidR="00FF26E3" w:rsidRPr="00605209" w:rsidRDefault="00FF26E3" w:rsidP="00D975AC">
      <w:pPr>
        <w:pStyle w:val="BodyText"/>
        <w:tabs>
          <w:tab w:val="clear" w:pos="1980"/>
          <w:tab w:val="left" w:pos="-1620"/>
        </w:tabs>
        <w:spacing w:line="360" w:lineRule="auto"/>
        <w:jc w:val="left"/>
        <w:rPr>
          <w:rFonts w:ascii="Times New Roman" w:hAnsi="Times New Roman"/>
        </w:rPr>
      </w:pPr>
    </w:p>
    <w:p w:rsidR="00FF26E3" w:rsidRPr="00605209" w:rsidRDefault="00FF26E3" w:rsidP="00D975AC">
      <w:pPr>
        <w:pStyle w:val="BodyText"/>
        <w:tabs>
          <w:tab w:val="clear" w:pos="1980"/>
          <w:tab w:val="left" w:pos="-1710"/>
          <w:tab w:val="left" w:pos="-162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872060" w:rsidRPr="00605209">
        <w:rPr>
          <w:rFonts w:ascii="Times New Roman" w:hAnsi="Times New Roman"/>
        </w:rPr>
        <w:t xml:space="preserve">The Commission’s decision must be supported by substantial evidence.  2 Pa.C.S. § 704.  </w:t>
      </w:r>
      <w:r w:rsidRPr="00605209">
        <w:rPr>
          <w:rFonts w:ascii="Times New Roman" w:hAnsi="Times New Roman"/>
        </w:rPr>
        <w:t xml:space="preserve">Various Pennsylvania courts have defined the term “substantial evidence” as such relevant evidence that a reasonable mind might accept as adequate to support a conclusion.  Substantial evidence is more than a mere trace of evidence or a suspicion of the existence of a fact sought to be established.  </w:t>
      </w:r>
      <w:r w:rsidRPr="00605209">
        <w:rPr>
          <w:rFonts w:ascii="Times New Roman" w:hAnsi="Times New Roman"/>
          <w:i/>
          <w:iCs/>
        </w:rPr>
        <w:t>Norfolk &amp; Western Ry. Co. v. Pa. P.U.C.</w:t>
      </w:r>
      <w:r w:rsidRPr="00605209">
        <w:rPr>
          <w:rFonts w:ascii="Times New Roman" w:hAnsi="Times New Roman"/>
        </w:rPr>
        <w:t xml:space="preserve">, 489 Pa.109, 413 A. 2d 1037 (1980); </w:t>
      </w:r>
      <w:r w:rsidRPr="00605209">
        <w:rPr>
          <w:rFonts w:ascii="Times New Roman" w:hAnsi="Times New Roman"/>
          <w:i/>
          <w:iCs/>
        </w:rPr>
        <w:t>Murphy v. Dept. of Public Welfare</w:t>
      </w:r>
      <w:r w:rsidRPr="00605209">
        <w:rPr>
          <w:rFonts w:ascii="Times New Roman" w:hAnsi="Times New Roman"/>
          <w:u w:val="single"/>
        </w:rPr>
        <w:t>,</w:t>
      </w:r>
      <w:r w:rsidRPr="00605209">
        <w:rPr>
          <w:rFonts w:ascii="Times New Roman" w:hAnsi="Times New Roman"/>
        </w:rPr>
        <w:t xml:space="preserve"> 85 Pa. Cmwlth</w:t>
      </w:r>
      <w:r w:rsidR="002429F2" w:rsidRPr="00605209">
        <w:rPr>
          <w:rFonts w:ascii="Times New Roman" w:hAnsi="Times New Roman"/>
        </w:rPr>
        <w:t>.</w:t>
      </w:r>
      <w:r w:rsidRPr="00605209">
        <w:rPr>
          <w:rFonts w:ascii="Times New Roman" w:hAnsi="Times New Roman"/>
        </w:rPr>
        <w:t xml:space="preserve"> 23, 480 A.2d 382 (1984).</w:t>
      </w:r>
    </w:p>
    <w:p w:rsidR="005C1ED1" w:rsidRPr="00605209" w:rsidRDefault="005C1ED1" w:rsidP="00D975AC"/>
    <w:p w:rsidR="00CE2956" w:rsidRPr="00605209" w:rsidRDefault="008409ED" w:rsidP="00D975AC">
      <w:pPr>
        <w:rPr>
          <w:u w:val="single"/>
        </w:rPr>
      </w:pPr>
      <w:r w:rsidRPr="00605209">
        <w:t xml:space="preserve">1. </w:t>
      </w:r>
      <w:r w:rsidR="00CE2956" w:rsidRPr="00605209">
        <w:rPr>
          <w:u w:val="single"/>
        </w:rPr>
        <w:t>PPL Electric’s Meter Aggregation Program and Billing Process</w:t>
      </w:r>
    </w:p>
    <w:p w:rsidR="00CE2956" w:rsidRPr="00605209" w:rsidRDefault="00CE2956" w:rsidP="00D975AC">
      <w:pPr>
        <w:pStyle w:val="BodyText"/>
        <w:tabs>
          <w:tab w:val="clear" w:pos="1980"/>
        </w:tabs>
        <w:spacing w:line="360" w:lineRule="auto"/>
        <w:rPr>
          <w:rFonts w:ascii="Times New Roman" w:hAnsi="Times New Roman"/>
        </w:rPr>
      </w:pPr>
    </w:p>
    <w:p w:rsidR="00CE2956" w:rsidRPr="00605209" w:rsidRDefault="00CE2956" w:rsidP="00D975AC">
      <w:pPr>
        <w:pStyle w:val="BodyText"/>
        <w:tabs>
          <w:tab w:val="clear" w:pos="1980"/>
        </w:tabs>
        <w:spacing w:line="360" w:lineRule="auto"/>
        <w:rPr>
          <w:rFonts w:ascii="Times New Roman" w:hAnsi="Times New Roman"/>
          <w:u w:val="single"/>
        </w:rPr>
      </w:pPr>
      <w:r w:rsidRPr="00605209">
        <w:rPr>
          <w:rFonts w:ascii="Times New Roman" w:hAnsi="Times New Roman"/>
        </w:rPr>
        <w:tab/>
      </w:r>
      <w:r w:rsidR="008409ED" w:rsidRPr="00605209">
        <w:rPr>
          <w:rFonts w:ascii="Times New Roman" w:hAnsi="Times New Roman"/>
        </w:rPr>
        <w:t xml:space="preserve">a. </w:t>
      </w:r>
      <w:r w:rsidRPr="00605209">
        <w:rPr>
          <w:rFonts w:ascii="Times New Roman" w:hAnsi="Times New Roman"/>
          <w:u w:val="single"/>
        </w:rPr>
        <w:t>Manual versus Automated Billing Process</w:t>
      </w:r>
    </w:p>
    <w:p w:rsidR="00CE2956" w:rsidRPr="00605209" w:rsidRDefault="00CE2956" w:rsidP="00D975AC">
      <w:pPr>
        <w:pStyle w:val="BodyText"/>
        <w:tabs>
          <w:tab w:val="clear" w:pos="1980"/>
        </w:tabs>
        <w:spacing w:line="360" w:lineRule="auto"/>
        <w:rPr>
          <w:rFonts w:ascii="Times New Roman" w:hAnsi="Times New Roman"/>
        </w:rPr>
      </w:pPr>
    </w:p>
    <w:p w:rsidR="005D1650" w:rsidRPr="00605209" w:rsidRDefault="00CE2956" w:rsidP="005D1650">
      <w:pPr>
        <w:pStyle w:val="BodyText2"/>
        <w:jc w:val="left"/>
      </w:pPr>
      <w:r w:rsidRPr="00605209">
        <w:tab/>
      </w:r>
      <w:r w:rsidRPr="00605209">
        <w:tab/>
        <w:t xml:space="preserve">First, the Complainant avers that the Company should be directed to upgrade its billing system to permit automated billing.  </w:t>
      </w:r>
      <w:r w:rsidR="005D1650" w:rsidRPr="00605209">
        <w:t>The Complainant describes the billing process as a “shifting, unreliable manual process that i</w:t>
      </w:r>
      <w:r w:rsidR="00E122DD" w:rsidRPr="00605209">
        <w:t>s</w:t>
      </w:r>
      <w:r w:rsidR="005D1650" w:rsidRPr="00605209">
        <w:t xml:space="preserve"> fraught with irregularities” (Moyer Brief at 12).  </w:t>
      </w:r>
    </w:p>
    <w:p w:rsidR="00E122DD" w:rsidRPr="00605209" w:rsidRDefault="00E122DD" w:rsidP="00CE2956">
      <w:pPr>
        <w:pStyle w:val="BodyText2"/>
        <w:jc w:val="left"/>
      </w:pPr>
    </w:p>
    <w:p w:rsidR="00446395" w:rsidRPr="00605209" w:rsidRDefault="00E122DD" w:rsidP="005D1650">
      <w:pPr>
        <w:pStyle w:val="BodyText2"/>
        <w:jc w:val="left"/>
      </w:pPr>
      <w:r w:rsidRPr="00605209">
        <w:tab/>
      </w:r>
      <w:r w:rsidRPr="00605209">
        <w:tab/>
      </w:r>
      <w:r w:rsidR="00A639E5" w:rsidRPr="00605209">
        <w:t>The Respondent contends that n</w:t>
      </w:r>
      <w:r w:rsidR="00CE2956" w:rsidRPr="00605209">
        <w:t xml:space="preserve">o applicable law or regulation requires an automated billing process to be used for virtual meter aggregation.  The </w:t>
      </w:r>
      <w:r w:rsidRPr="00605209">
        <w:t>Respondent’s position is that it</w:t>
      </w:r>
      <w:r w:rsidR="00CE2956" w:rsidRPr="00605209">
        <w:t xml:space="preserve">s billing system, as currently configured, cannot process virtual meter aggregation customer-generators’ accounts on an automated basis.  As a result, an in accordance with Commission precedent, the </w:t>
      </w:r>
      <w:r w:rsidRPr="00605209">
        <w:t>Respondent</w:t>
      </w:r>
      <w:r w:rsidR="00CE2956" w:rsidRPr="00605209">
        <w:t xml:space="preserve"> develop</w:t>
      </w:r>
      <w:r w:rsidR="00A639E5" w:rsidRPr="00605209">
        <w:t>ed</w:t>
      </w:r>
      <w:r w:rsidR="00CE2956" w:rsidRPr="00605209">
        <w:t xml:space="preserve"> and utilize</w:t>
      </w:r>
      <w:r w:rsidR="00A639E5" w:rsidRPr="00605209">
        <w:t>s</w:t>
      </w:r>
      <w:r w:rsidR="00CE2956" w:rsidRPr="00605209">
        <w:t xml:space="preserve"> a manual billing process for </w:t>
      </w:r>
      <w:r w:rsidR="00CE2956" w:rsidRPr="00605209">
        <w:lastRenderedPageBreak/>
        <w:t xml:space="preserve">virtual meter aggregation.  </w:t>
      </w:r>
      <w:r w:rsidR="00446395" w:rsidRPr="00605209">
        <w:t>The Respondent contends that it</w:t>
      </w:r>
      <w:r w:rsidR="00CE2956" w:rsidRPr="00605209">
        <w:t xml:space="preserve">s personnel have fine-tuned this inexpensive manual billing process, and </w:t>
      </w:r>
      <w:r w:rsidR="00446395" w:rsidRPr="00605209">
        <w:t xml:space="preserve">that </w:t>
      </w:r>
      <w:r w:rsidR="00CE2956" w:rsidRPr="00605209">
        <w:t>it accurately calculates and applies credits for the electricity generated by virtual meter aggregation customer-generators</w:t>
      </w:r>
      <w:r w:rsidR="00E53414">
        <w:t xml:space="preserve"> as required by 52 Pa.Code § 75.12.</w:t>
      </w:r>
      <w:r w:rsidR="00CE2956" w:rsidRPr="00605209">
        <w:t xml:space="preserve">  Therefore, </w:t>
      </w:r>
      <w:r w:rsidRPr="00605209">
        <w:t xml:space="preserve">the Respondent submits that it should </w:t>
      </w:r>
      <w:r w:rsidR="00CE2956" w:rsidRPr="00605209">
        <w:t>no</w:t>
      </w:r>
      <w:r w:rsidRPr="00605209">
        <w:t>t be requir</w:t>
      </w:r>
      <w:r w:rsidR="00CE2956" w:rsidRPr="00605209">
        <w:t>ed to upgrade the Company’s billing system to permit automation for virtual meter aggregation</w:t>
      </w:r>
      <w:r w:rsidR="00446395" w:rsidRPr="00605209">
        <w:t xml:space="preserve"> (PPL Electric Brief at 10, 11).</w:t>
      </w:r>
    </w:p>
    <w:p w:rsidR="00FF3916" w:rsidRPr="00605209" w:rsidRDefault="00FF3916" w:rsidP="005D1650">
      <w:pPr>
        <w:pStyle w:val="BodyText2"/>
        <w:jc w:val="left"/>
      </w:pPr>
    </w:p>
    <w:p w:rsidR="005D1650" w:rsidRPr="00605209" w:rsidRDefault="005D1650" w:rsidP="005C6606">
      <w:pPr>
        <w:pStyle w:val="BodyText2"/>
        <w:jc w:val="left"/>
      </w:pPr>
      <w:r w:rsidRPr="00605209">
        <w:tab/>
      </w:r>
      <w:r w:rsidRPr="00605209">
        <w:tab/>
        <w:t>The Respondent explained that</w:t>
      </w:r>
      <w:r w:rsidR="00E53414">
        <w:t>,</w:t>
      </w:r>
      <w:r w:rsidRPr="00605209">
        <w:t xml:space="preserve"> in contrast to traditional net metering and physical meter aggregation, virtual meter aggregation requires multiple meters because there are two points of interconnection with the electric system. </w:t>
      </w:r>
      <w:r w:rsidR="005C6606">
        <w:t xml:space="preserve"> Net Metering for Renewable Customer Generators</w:t>
      </w:r>
      <w:r w:rsidRPr="00605209">
        <w:t xml:space="preserve"> </w:t>
      </w:r>
      <w:r w:rsidR="005C6606">
        <w:t xml:space="preserve">PPL Electric Utilities Corporation Supplement No. 125 Electric Pa. P.U.C. No. 201, Fifth Revised Page No. 19L.4, Canceling Third and Fourth Revised Page No. 19L.4 (AFC Ex. 1).  </w:t>
      </w:r>
      <w:r w:rsidRPr="00605209">
        <w:t>There is a meter at the generating facilities and a meter at the usage account (PPL St. No. 1 at 10).  Consequently, PPL Electric must “virtually” aggregate the excess generation measured from the generating facility meter with the usage measured from the usage account meters (PPL St. No. 1 at 10).  Unlike the single bidirectional meters used for traditional net metering and physical meter aggregation, the Respondent’s billing system currently is not capable of aggregating these two separate accounts through an automated process for two reasons (PPL St. No. 1 at 10-11; Tr. 218).  First, the billing system cannot currently transfer and aggregate data among separate meters</w:t>
      </w:r>
      <w:r w:rsidR="00446395" w:rsidRPr="00605209">
        <w:t>,</w:t>
      </w:r>
      <w:r w:rsidRPr="00605209">
        <w:t xml:space="preserve"> data from the generating facility to the usage account or vice versa (PPL St. No. 1 at 10).  Second, the generating facilities often generate more electricity than they use.  Therefore, the meter will run backwards and produce a negative meter read (i.e., negative usage).  However, PPL Electric’s billing system cannot accommodate negative meter reads (PPL St. No. 1 at 10-11).  For these reasons, the Respondent utilizes an inexpensive manual process to track and record the generation facility account’s generation in excess of its usage (i.e., “excess generation”) and aggregates it with the other </w:t>
      </w:r>
      <w:r w:rsidR="00E53414">
        <w:t>usage account</w:t>
      </w:r>
      <w:r w:rsidRPr="00605209">
        <w:t>’s usage (PPL St. No. 1 at 11; Tr. 188).  The customer-generator’s usage and generation is tracked, offset, banked, and cashed out as appropriate and required by the Commission’s regulations</w:t>
      </w:r>
      <w:r w:rsidR="00E53414">
        <w:t xml:space="preserve"> at 52 Pa.Code § 75.12</w:t>
      </w:r>
      <w:r w:rsidRPr="00605209">
        <w:t xml:space="preserve"> (PPL </w:t>
      </w:r>
      <w:r w:rsidR="000F7C30" w:rsidRPr="00605209">
        <w:t xml:space="preserve">Brief </w:t>
      </w:r>
      <w:r w:rsidRPr="00605209">
        <w:t xml:space="preserve">at 40; PPL St. No. 1 at 9-10).  </w:t>
      </w:r>
    </w:p>
    <w:p w:rsidR="005D1650" w:rsidRPr="00605209" w:rsidRDefault="005D1650" w:rsidP="005C6606">
      <w:pPr>
        <w:pStyle w:val="BodyText2"/>
        <w:jc w:val="left"/>
      </w:pPr>
    </w:p>
    <w:p w:rsidR="005D1650" w:rsidRPr="00605209" w:rsidRDefault="005D1650" w:rsidP="005D1650">
      <w:pPr>
        <w:pStyle w:val="BodyText2"/>
        <w:jc w:val="left"/>
      </w:pPr>
      <w:r w:rsidRPr="00605209">
        <w:lastRenderedPageBreak/>
        <w:tab/>
      </w:r>
      <w:r w:rsidRPr="00605209">
        <w:tab/>
        <w:t xml:space="preserve">Under PPL Electric’s manual billing process for virtual meter aggregation, the meters for the generation facility account and usage account(s) are read on the same day (PPL St. No. 1 at 11).  The Respondent measures the generation at the generation facility account and aggregates it with the usage at the other account (PPL St. No. 1 at 11).  The excess generation is applied up to the usage metered at each other account (PPL St. No. 1 at 11).  This allocation is done on a one-to-one kWh basis, meaning that one kWh generated at the generation facility account is applied as one kWh at the </w:t>
      </w:r>
      <w:r w:rsidR="00E122DD" w:rsidRPr="00605209">
        <w:t>satelli</w:t>
      </w:r>
      <w:r w:rsidRPr="00605209">
        <w:t xml:space="preserve">te account (PPL St. No. 1 at 11).  The excess generation being applied appears as an “excess credit” on the other account’s bill (PPL St. No. 1 at 33; </w:t>
      </w:r>
      <w:r w:rsidRPr="00605209">
        <w:rPr>
          <w:i/>
        </w:rPr>
        <w:t>see, e.g.</w:t>
      </w:r>
      <w:r w:rsidRPr="00605209">
        <w:t>, Moyer Exhibit JLM-266).  The “excess credit” is a dollar amount that equals the value of the excess generation being applied times the other account’s full retail rate during the applicable billing cycle (PPL St. No. 1 at 33).  Any unused excess generation that remains after applying the excess credit is then banked in kWhs and carried forward to offset usage in subsequent billing cycles (PPL St. No. 1 at 13).  Any banked generation remaining at the end of the PJM planning year (May 31</w:t>
      </w:r>
      <w:r w:rsidRPr="00605209">
        <w:rPr>
          <w:vertAlign w:val="superscript"/>
        </w:rPr>
        <w:t>st</w:t>
      </w:r>
      <w:r w:rsidRPr="00605209">
        <w:t xml:space="preserve"> of each year) is then cashed out at the PTC for the generation facility account (</w:t>
      </w:r>
      <w:r w:rsidR="00446395" w:rsidRPr="00605209">
        <w:t xml:space="preserve">PPL Electric Brief at 25; </w:t>
      </w:r>
      <w:r w:rsidRPr="00605209">
        <w:t>PPL St. No. 1 at 13).</w:t>
      </w:r>
    </w:p>
    <w:p w:rsidR="005D1650" w:rsidRPr="00605209" w:rsidRDefault="005D1650" w:rsidP="005D1650">
      <w:pPr>
        <w:pStyle w:val="BodyText2"/>
        <w:jc w:val="left"/>
      </w:pPr>
    </w:p>
    <w:p w:rsidR="005D1650" w:rsidRPr="00605209" w:rsidRDefault="005D1650" w:rsidP="005D1650">
      <w:pPr>
        <w:pStyle w:val="BodyText2"/>
        <w:jc w:val="left"/>
      </w:pPr>
      <w:r w:rsidRPr="00605209">
        <w:tab/>
      </w:r>
      <w:r w:rsidRPr="00605209">
        <w:tab/>
        <w:t>The Respondent uses computer software to track, record, store, and calculate the excess generation produced, the credits applied, and the cash outs paid for virtual meter aggregation customer-generators.  For each virtual net meter aggregation customer, the Respondent maintains a computer generated spreadsheet that tracks, on a monthly basis, the excess generation at the generation facility account and the allocation of excess kWh to each usage account.</w:t>
      </w:r>
      <w:r w:rsidRPr="00605209">
        <w:rPr>
          <w:rStyle w:val="FootnoteReference"/>
        </w:rPr>
        <w:footnoteReference w:id="6"/>
      </w:r>
      <w:r w:rsidRPr="00605209">
        <w:t xml:space="preserve">  (PPL St. No. 1 at 11)</w:t>
      </w:r>
      <w:r w:rsidR="005966C8" w:rsidRPr="00605209">
        <w:t>.</w:t>
      </w:r>
    </w:p>
    <w:p w:rsidR="005D1650" w:rsidRPr="00605209" w:rsidRDefault="005D1650" w:rsidP="00CE2956">
      <w:pPr>
        <w:pStyle w:val="BodyText2"/>
        <w:jc w:val="left"/>
      </w:pPr>
    </w:p>
    <w:p w:rsidR="00BB503B" w:rsidRPr="00605209" w:rsidRDefault="00BB503B" w:rsidP="00CE2956">
      <w:pPr>
        <w:pStyle w:val="BodyText2"/>
        <w:jc w:val="left"/>
      </w:pPr>
      <w:r w:rsidRPr="00605209">
        <w:tab/>
      </w:r>
      <w:r w:rsidRPr="00605209">
        <w:tab/>
        <w:t xml:space="preserve">The Respondent’s witness testified that after he submitted his rebuttal testimony in 2015, the </w:t>
      </w:r>
      <w:r w:rsidR="00E53414" w:rsidRPr="00605209">
        <w:t>Respondent tried</w:t>
      </w:r>
      <w:r w:rsidRPr="00605209">
        <w:t xml:space="preserve"> and was unable to modify its billing system to implement automated virtual meter aggregation as requested by the Complainant (Tr. 223).</w:t>
      </w:r>
    </w:p>
    <w:p w:rsidR="00BB503B" w:rsidRPr="00605209" w:rsidRDefault="00BB503B" w:rsidP="00CE2956">
      <w:pPr>
        <w:pStyle w:val="BodyText2"/>
        <w:jc w:val="left"/>
      </w:pPr>
    </w:p>
    <w:p w:rsidR="00CE2956" w:rsidRPr="00605209" w:rsidRDefault="00A639E5" w:rsidP="00CE2956">
      <w:pPr>
        <w:pStyle w:val="BodyText2"/>
        <w:jc w:val="left"/>
      </w:pPr>
      <w:r w:rsidRPr="00605209">
        <w:lastRenderedPageBreak/>
        <w:tab/>
      </w:r>
      <w:r w:rsidRPr="00605209">
        <w:tab/>
        <w:t>The Respondent further argues that the</w:t>
      </w:r>
      <w:r w:rsidR="00CE2956" w:rsidRPr="00605209">
        <w:t xml:space="preserve"> upgrade </w:t>
      </w:r>
      <w:r w:rsidR="00446395" w:rsidRPr="00605209">
        <w:t xml:space="preserve">to an automated system </w:t>
      </w:r>
      <w:r w:rsidR="00CE2956" w:rsidRPr="00605209">
        <w:t xml:space="preserve">would benefit only </w:t>
      </w:r>
      <w:r w:rsidR="00917214" w:rsidRPr="00605209">
        <w:t>ninety-eight</w:t>
      </w:r>
      <w:r w:rsidR="00CE2956" w:rsidRPr="00605209">
        <w:t xml:space="preserve"> customer-generators</w:t>
      </w:r>
      <w:r w:rsidR="00446395" w:rsidRPr="00605209">
        <w:t>.</w:t>
      </w:r>
      <w:r w:rsidRPr="00605209">
        <w:t xml:space="preserve"> </w:t>
      </w:r>
      <w:r w:rsidR="00CE2956" w:rsidRPr="00605209">
        <w:t xml:space="preserve"> </w:t>
      </w:r>
      <w:r w:rsidR="00446395" w:rsidRPr="00605209">
        <w:t xml:space="preserve">The </w:t>
      </w:r>
      <w:r w:rsidR="00CE2956" w:rsidRPr="00605209">
        <w:t xml:space="preserve">Complainant </w:t>
      </w:r>
      <w:r w:rsidRPr="00605209">
        <w:t xml:space="preserve">is the only one who </w:t>
      </w:r>
      <w:r w:rsidR="00CE2956" w:rsidRPr="00605209">
        <w:t xml:space="preserve">has filed a formal complaint about the manual billing process.  Accordingly, </w:t>
      </w:r>
      <w:r w:rsidRPr="00605209">
        <w:t xml:space="preserve">the Respondent maintains that its </w:t>
      </w:r>
      <w:r w:rsidR="00CE2956" w:rsidRPr="00605209">
        <w:t xml:space="preserve">decision </w:t>
      </w:r>
      <w:r w:rsidR="003D7A04" w:rsidRPr="00605209">
        <w:t xml:space="preserve">to </w:t>
      </w:r>
      <w:r w:rsidRPr="00605209">
        <w:t xml:space="preserve">continue using the manual system instead of </w:t>
      </w:r>
      <w:r w:rsidR="00CE2956" w:rsidRPr="00605209">
        <w:t>undertak</w:t>
      </w:r>
      <w:r w:rsidRPr="00605209">
        <w:t xml:space="preserve">ing a </w:t>
      </w:r>
      <w:r w:rsidR="00CE2956" w:rsidRPr="00605209">
        <w:t>costly upgrade to automate the virtual meter aggregation clearly is reasonable</w:t>
      </w:r>
      <w:r w:rsidR="00917214" w:rsidRPr="00605209">
        <w:t xml:space="preserve"> (PPL Electric Brief at </w:t>
      </w:r>
      <w:r w:rsidR="005D5217">
        <w:t>37, 58</w:t>
      </w:r>
      <w:r w:rsidR="00917214" w:rsidRPr="00605209">
        <w:t>).</w:t>
      </w:r>
      <w:r w:rsidR="00CE2956" w:rsidRPr="00605209">
        <w:t xml:space="preserve">  </w:t>
      </w:r>
    </w:p>
    <w:p w:rsidR="00446395" w:rsidRPr="00605209" w:rsidRDefault="00446395" w:rsidP="005966C8">
      <w:pPr>
        <w:pStyle w:val="BodyText"/>
        <w:tabs>
          <w:tab w:val="clear" w:pos="1980"/>
        </w:tabs>
        <w:spacing w:line="360" w:lineRule="auto"/>
        <w:ind w:firstLine="720"/>
        <w:rPr>
          <w:rFonts w:ascii="Times New Roman" w:hAnsi="Times New Roman"/>
          <w:u w:val="single"/>
        </w:rPr>
      </w:pPr>
    </w:p>
    <w:p w:rsidR="00745CD3" w:rsidRPr="00605209" w:rsidRDefault="00446395" w:rsidP="005966C8">
      <w:pPr>
        <w:pStyle w:val="BodyText"/>
        <w:tabs>
          <w:tab w:val="clear" w:pos="1980"/>
        </w:tabs>
        <w:spacing w:line="360" w:lineRule="auto"/>
        <w:ind w:firstLine="720"/>
        <w:rPr>
          <w:rFonts w:ascii="Times New Roman" w:hAnsi="Times New Roman"/>
          <w:u w:val="single"/>
        </w:rPr>
      </w:pPr>
      <w:r w:rsidRPr="00605209">
        <w:rPr>
          <w:rFonts w:ascii="Times New Roman" w:hAnsi="Times New Roman"/>
        </w:rPr>
        <w:t xml:space="preserve">b. </w:t>
      </w:r>
      <w:r w:rsidR="00745CD3" w:rsidRPr="00605209">
        <w:rPr>
          <w:rFonts w:ascii="Times New Roman" w:hAnsi="Times New Roman"/>
          <w:u w:val="single"/>
        </w:rPr>
        <w:t>Single bill</w:t>
      </w:r>
    </w:p>
    <w:p w:rsidR="006E2AB5" w:rsidRPr="00605209" w:rsidRDefault="006E2AB5" w:rsidP="00745CD3">
      <w:pPr>
        <w:pStyle w:val="BodyText2"/>
        <w:jc w:val="left"/>
      </w:pPr>
    </w:p>
    <w:p w:rsidR="00745CD3" w:rsidRPr="00605209" w:rsidRDefault="006E2AB5" w:rsidP="006E2AB5">
      <w:pPr>
        <w:pStyle w:val="BodyText2"/>
        <w:jc w:val="left"/>
      </w:pPr>
      <w:r w:rsidRPr="00605209">
        <w:tab/>
      </w:r>
      <w:r w:rsidRPr="00605209">
        <w:tab/>
        <w:t>The Complainant explains that the option of</w:t>
      </w:r>
      <w:r w:rsidR="00745CD3" w:rsidRPr="00605209">
        <w:t xml:space="preserve"> physical meter</w:t>
      </w:r>
      <w:r w:rsidRPr="00605209">
        <w:t xml:space="preserve"> aggregation is clearly untenable for </w:t>
      </w:r>
      <w:r w:rsidR="00745CD3" w:rsidRPr="00605209">
        <w:t>h</w:t>
      </w:r>
      <w:r w:rsidRPr="00605209">
        <w:t>im</w:t>
      </w:r>
      <w:r w:rsidR="00745CD3" w:rsidRPr="00605209">
        <w:t xml:space="preserve">. </w:t>
      </w:r>
      <w:r w:rsidR="005F393F" w:rsidRPr="00605209">
        <w:t xml:space="preserve"> </w:t>
      </w:r>
      <w:r w:rsidR="00745CD3" w:rsidRPr="00605209">
        <w:t xml:space="preserve">The house and the solar panels are separated by a ravine, a stream and a wooded area. </w:t>
      </w:r>
      <w:r w:rsidRPr="00605209">
        <w:t xml:space="preserve"> Therefore, b</w:t>
      </w:r>
      <w:r w:rsidR="00745CD3" w:rsidRPr="00605209">
        <w:t>ringing wires across th</w:t>
      </w:r>
      <w:r w:rsidRPr="00605209">
        <w:t>is area</w:t>
      </w:r>
      <w:r w:rsidR="00745CD3" w:rsidRPr="00605209">
        <w:t xml:space="preserve"> to his house would be “possible</w:t>
      </w:r>
      <w:r w:rsidR="005F393F" w:rsidRPr="00605209">
        <w:t>,</w:t>
      </w:r>
      <w:r w:rsidR="00745CD3" w:rsidRPr="00605209">
        <w:t>” but impractical and prohibitively expensive.</w:t>
      </w:r>
      <w:r w:rsidRPr="00605209">
        <w:t xml:space="preserve"> </w:t>
      </w:r>
      <w:r w:rsidR="00745CD3" w:rsidRPr="00605209">
        <w:t xml:space="preserve"> Should PPL Electric agree to re-wire the system at its expense, the Complainant might reconsider that option. </w:t>
      </w:r>
      <w:r w:rsidR="00D3751D">
        <w:t xml:space="preserve"> </w:t>
      </w:r>
      <w:r w:rsidR="00745CD3" w:rsidRPr="00605209">
        <w:t>In the meantime, the Complainant is a residential customer-generator who elected virtual meter aggregation and who remains in a “two-meter situation</w:t>
      </w:r>
      <w:r w:rsidR="005F393F" w:rsidRPr="00605209">
        <w:t>.</w:t>
      </w:r>
      <w:r w:rsidRPr="00605209">
        <w:t xml:space="preserve">”  He objects to incurring </w:t>
      </w:r>
      <w:r w:rsidR="00745CD3" w:rsidRPr="00605209">
        <w:t>double charges for access to PPL’s infrastructure. Both of the bills issued by the Respondent (solar bills and house bills) include “distribution charges</w:t>
      </w:r>
      <w:r w:rsidR="00446395" w:rsidRPr="00605209">
        <w:t>.</w:t>
      </w:r>
      <w:r w:rsidR="00745CD3" w:rsidRPr="00605209">
        <w:t>”</w:t>
      </w:r>
      <w:r w:rsidR="000C1FF2" w:rsidRPr="00605209">
        <w:t xml:space="preserve"> (Moyer Brief at 7, 8).</w:t>
      </w:r>
    </w:p>
    <w:p w:rsidR="006E2AB5" w:rsidRPr="00605209" w:rsidRDefault="006E2AB5" w:rsidP="006E2AB5">
      <w:pPr>
        <w:pStyle w:val="BodyText2"/>
        <w:jc w:val="left"/>
      </w:pPr>
    </w:p>
    <w:p w:rsidR="006E2AB5" w:rsidRPr="00605209" w:rsidRDefault="006E2AB5" w:rsidP="006E2AB5">
      <w:pPr>
        <w:pStyle w:val="BodyText2"/>
        <w:jc w:val="left"/>
      </w:pPr>
      <w:r w:rsidRPr="00605209">
        <w:tab/>
      </w:r>
      <w:r w:rsidRPr="00605209">
        <w:tab/>
        <w:t xml:space="preserve">The Respondent explains that nothing in its Commission-approved tariff or any applicable laws or regulations requires a single account or single bill for virtual meter aggregation customer-generators’ accounts.  It established two separate accounts (one for the residence and one for the detached solar facilities) because each property possesses a separate meter and separate point of interconnection.  The Respondent’s policy is to institute a separate account for each meter that has a different point of interconnect.  Moreover, each property uses PPL Electric’s electric distribution system in different ways, with the residence only receiving electricity from PPL Electric’s system, and the detached solar array both receiving electricity from and supplying electricity to the system.  As a result, PPL Electric, in accordance with the requirements of its Commission-approved tariff, instituted two separate accounts for the Complainant’s residence and detached solar array </w:t>
      </w:r>
      <w:r w:rsidR="000C1FF2" w:rsidRPr="00605209">
        <w:t>(PPL Electric Brief at 15).</w:t>
      </w:r>
    </w:p>
    <w:p w:rsidR="000C1FF2" w:rsidRDefault="000C1FF2" w:rsidP="006E2AB5">
      <w:pPr>
        <w:pStyle w:val="BodyText2"/>
        <w:jc w:val="left"/>
      </w:pPr>
    </w:p>
    <w:p w:rsidR="004B78BE" w:rsidRPr="00605209" w:rsidRDefault="004B78BE" w:rsidP="006E2AB5">
      <w:pPr>
        <w:pStyle w:val="BodyText2"/>
        <w:jc w:val="left"/>
      </w:pPr>
    </w:p>
    <w:p w:rsidR="005966C8" w:rsidRPr="00605209" w:rsidRDefault="005966C8" w:rsidP="006E2AB5">
      <w:pPr>
        <w:pStyle w:val="BodyText2"/>
        <w:jc w:val="left"/>
        <w:rPr>
          <w:u w:val="single"/>
        </w:rPr>
      </w:pPr>
      <w:r w:rsidRPr="00605209">
        <w:lastRenderedPageBreak/>
        <w:tab/>
      </w:r>
      <w:r w:rsidR="002B51F2" w:rsidRPr="00605209">
        <w:t xml:space="preserve">c. </w:t>
      </w:r>
      <w:r w:rsidRPr="00605209">
        <w:rPr>
          <w:u w:val="single"/>
        </w:rPr>
        <w:t>Rate RS</w:t>
      </w:r>
    </w:p>
    <w:p w:rsidR="004B78BE" w:rsidRDefault="004B78BE" w:rsidP="006E2AB5">
      <w:pPr>
        <w:pStyle w:val="BodyText2"/>
        <w:jc w:val="left"/>
      </w:pPr>
    </w:p>
    <w:p w:rsidR="005D7807" w:rsidRPr="00605209" w:rsidRDefault="006E2AB5" w:rsidP="006E2AB5">
      <w:pPr>
        <w:pStyle w:val="BodyText2"/>
        <w:jc w:val="left"/>
      </w:pPr>
      <w:r w:rsidRPr="00605209">
        <w:tab/>
      </w:r>
      <w:r w:rsidRPr="00605209">
        <w:tab/>
        <w:t xml:space="preserve">The Complainant believes that his detached solar array should receive service under Rate Schedule RS, not Rate Schedule GS-1, and that PPL Electric should not impose distribution charges on the account for his detached solar array.  </w:t>
      </w:r>
    </w:p>
    <w:p w:rsidR="00E61305" w:rsidRPr="00605209" w:rsidRDefault="00E61305" w:rsidP="006E2AB5">
      <w:pPr>
        <w:pStyle w:val="BodyText2"/>
        <w:jc w:val="left"/>
      </w:pPr>
    </w:p>
    <w:p w:rsidR="00E61305" w:rsidRDefault="00E61305" w:rsidP="00E61305">
      <w:pPr>
        <w:pStyle w:val="BodyText2"/>
      </w:pPr>
      <w:r w:rsidRPr="00605209">
        <w:tab/>
      </w:r>
      <w:r w:rsidRPr="00605209">
        <w:tab/>
        <w:t>The Respondent explains that its Commission-approved tariff outlines several conditions for a customer’s property to qualify for Rate Schedule RS.  The tariff states that Rate Schedule RS applies to single phase electric service for: (1) a single family dwelling and detached buildings when the detached buildings are served at the customer’s expense through the same meter as the single family dwelling; (2) a separate dwelling unit in an apartment house; (3) a single farm dwelling and general farm uses when general farm uses are served at the customer’s expense through the same meter as the single farm dwelling; or (4) a building previously wired for single meter service which is converted to not more than eight separate dwelling units served through one meter (PPL St. No. 1</w:t>
      </w:r>
      <w:r w:rsidR="007D7DA1" w:rsidRPr="00605209">
        <w:t xml:space="preserve"> </w:t>
      </w:r>
      <w:r w:rsidRPr="00605209">
        <w:t>at 27</w:t>
      </w:r>
      <w:r w:rsidR="004B78BE">
        <w:t xml:space="preserve">; </w:t>
      </w:r>
      <w:r w:rsidRPr="00605209">
        <w:t>Supplement No. 1</w:t>
      </w:r>
      <w:r w:rsidR="004B78BE">
        <w:t xml:space="preserve">02 to </w:t>
      </w:r>
      <w:r w:rsidRPr="00605209">
        <w:t xml:space="preserve">Electric Pa. P.U.C. No. 201, </w:t>
      </w:r>
      <w:r w:rsidR="004B78BE">
        <w:t>Eighteenth</w:t>
      </w:r>
      <w:r w:rsidRPr="00605209">
        <w:t xml:space="preserve"> Revised Page No. 20</w:t>
      </w:r>
      <w:r w:rsidR="004B78BE">
        <w:t>A</w:t>
      </w:r>
      <w:r w:rsidR="00847CCD">
        <w:t xml:space="preserve"> - </w:t>
      </w:r>
      <w:r w:rsidR="00847CCD" w:rsidRPr="00605209">
        <w:t>Rate Schedule RS Residential Service Application Rate Schedule RS</w:t>
      </w:r>
      <w:r w:rsidR="004B78BE">
        <w:t xml:space="preserve">). </w:t>
      </w:r>
    </w:p>
    <w:p w:rsidR="004B78BE" w:rsidRPr="00605209" w:rsidRDefault="004B78BE" w:rsidP="00E61305">
      <w:pPr>
        <w:pStyle w:val="BodyText2"/>
      </w:pPr>
    </w:p>
    <w:p w:rsidR="00E61305" w:rsidRPr="004B78BE" w:rsidRDefault="00E61305" w:rsidP="00E61305">
      <w:pPr>
        <w:pStyle w:val="BodyText2"/>
      </w:pPr>
      <w:r w:rsidRPr="00605209">
        <w:tab/>
      </w:r>
      <w:r w:rsidRPr="00605209">
        <w:tab/>
        <w:t>According to the tariff, a customer qualifies for Rate Schedule GS-1 if the property will receive small general single-phase non-residential service at secondary voltage (PPL St. No. 1 at 27).  Secondary voltage is the voltage after one standard transformation at the point of delivery from the line voltage (PPL St. No. 1 at 28).  For example, in the case of the Complainant’s detached solar facilities, the Company must perform one standard transformation to step down the voltage of the distribution line from 240 volts to 120 volts in order to provide service to his solar array (PPL St. No. 1</w:t>
      </w:r>
      <w:r w:rsidR="007D7DA1" w:rsidRPr="00605209">
        <w:t xml:space="preserve"> </w:t>
      </w:r>
      <w:r w:rsidRPr="00605209">
        <w:t>at 28</w:t>
      </w:r>
      <w:r w:rsidR="004B78BE">
        <w:t xml:space="preserve">; </w:t>
      </w:r>
      <w:r w:rsidRPr="00605209">
        <w:t>Supplement No. 125</w:t>
      </w:r>
      <w:r w:rsidR="004B78BE">
        <w:t xml:space="preserve"> to</w:t>
      </w:r>
      <w:r w:rsidRPr="00605209">
        <w:t xml:space="preserve"> Electric Pa. P.U.C. No. 201, Twenty-Sixth Revised Page No. 24 </w:t>
      </w:r>
      <w:r w:rsidR="004B78BE">
        <w:t xml:space="preserve">- </w:t>
      </w:r>
      <w:r w:rsidR="007D7DA1" w:rsidRPr="004B78BE">
        <w:t>Rate Schedule</w:t>
      </w:r>
      <w:r w:rsidRPr="004B78BE">
        <w:t xml:space="preserve"> GS-1 </w:t>
      </w:r>
      <w:r w:rsidR="007D7DA1" w:rsidRPr="004B78BE">
        <w:t>Small General Service At Secondary Voltage Application Rate Schedule</w:t>
      </w:r>
      <w:r w:rsidRPr="004B78BE">
        <w:t xml:space="preserve"> GS-1</w:t>
      </w:r>
      <w:r w:rsidR="004B78BE">
        <w:t>).</w:t>
      </w:r>
    </w:p>
    <w:p w:rsidR="00E61305" w:rsidRPr="00605209" w:rsidRDefault="00E61305" w:rsidP="00E61305">
      <w:pPr>
        <w:pStyle w:val="BodyText2"/>
      </w:pPr>
    </w:p>
    <w:p w:rsidR="00E61305" w:rsidRPr="00605209" w:rsidRDefault="00E61305" w:rsidP="00E61305">
      <w:pPr>
        <w:pStyle w:val="BodyText2"/>
      </w:pPr>
      <w:r w:rsidRPr="00605209">
        <w:tab/>
      </w:r>
      <w:r w:rsidRPr="00605209">
        <w:tab/>
        <w:t xml:space="preserve">The Respondent maintains that the Complainant’s detached solar facilities do not qualify for Rate Schedule RS under the tariff for several reasons.  First, the solar facilities are separately metered, and the Company’s Commission-approved tariff requires them to be served </w:t>
      </w:r>
      <w:r w:rsidRPr="00605209">
        <w:lastRenderedPageBreak/>
        <w:t>through the same meter as the Complainant’s residence to qualify for Rate Schedule RS (PPL St. No. 1 at 28)</w:t>
      </w:r>
      <w:r w:rsidR="007D7DA1" w:rsidRPr="00605209">
        <w:t>.</w:t>
      </w:r>
      <w:r w:rsidRPr="00605209">
        <w:t xml:space="preserve">  Second, the Complainant’s detached solar array has none of the characteristics of a “dwelling” as defined by the Company’s tariff (PPL St. No. 1 at 28)</w:t>
      </w:r>
      <w:r w:rsidR="007D7DA1" w:rsidRPr="00605209">
        <w:t>.</w:t>
      </w:r>
      <w:r w:rsidRPr="00605209">
        <w:t xml:space="preserve">  Third, the detached solar array receives </w:t>
      </w:r>
      <w:r w:rsidR="00192A68" w:rsidRPr="00605209">
        <w:t>single-phase</w:t>
      </w:r>
      <w:r w:rsidRPr="00605209">
        <w:t xml:space="preserve"> electric service at secondary voltage, thereby placing it under Rate Schedule GS-1 (PPL St. No. 1 at 28)</w:t>
      </w:r>
      <w:r w:rsidR="007D7DA1" w:rsidRPr="00605209">
        <w:t>.</w:t>
      </w:r>
      <w:r w:rsidRPr="00605209">
        <w:t xml:space="preserve">  As explained previously, PPL Electric has to step down the voltage of the distribution line from 240 volts to 120 volts in order to provide service to his detached solar array (PPL St. No. 1 at 28)</w:t>
      </w:r>
      <w:r w:rsidR="007D7DA1" w:rsidRPr="00605209">
        <w:t>.</w:t>
      </w:r>
      <w:r w:rsidRPr="00605209">
        <w:t xml:space="preserve">  For all of these reasons, the Complainant’s detached solar array does not qualify for Rate Schedule RS and properly qualifies for Rate Schedule GS-1.  </w:t>
      </w:r>
    </w:p>
    <w:p w:rsidR="00E61305" w:rsidRPr="00605209" w:rsidRDefault="00E61305" w:rsidP="006E2AB5">
      <w:pPr>
        <w:pStyle w:val="BodyText2"/>
        <w:jc w:val="left"/>
      </w:pPr>
    </w:p>
    <w:p w:rsidR="006E2AB5" w:rsidRPr="00605209" w:rsidRDefault="005D7807" w:rsidP="006E2AB5">
      <w:pPr>
        <w:pStyle w:val="BodyText2"/>
        <w:jc w:val="left"/>
      </w:pPr>
      <w:r w:rsidRPr="00605209">
        <w:tab/>
      </w:r>
      <w:r w:rsidRPr="00605209">
        <w:tab/>
      </w:r>
      <w:r w:rsidR="006E2AB5" w:rsidRPr="00605209">
        <w:t xml:space="preserve">PPL Electric explains that it is required by law to adhere to its tariff.  The Respondent’s tariff sets out specific requirements for a customer’s facilities to qualify for Rate Schedule RS, and the Complainant’s solar facilities fail to satisfy those requirements.  The Complainant’s detached solar array meets all of the qualifications for Rate Schedule GS-1.  PPL Electric’s Commission-approved tariff also sets forth the distribution charges that are to be imposed on Rate Schedule GS-1 accounts.  All customers that have multiple accounts are required to </w:t>
      </w:r>
      <w:r w:rsidR="00847CCD">
        <w:t xml:space="preserve">pay </w:t>
      </w:r>
      <w:r w:rsidR="006E2AB5" w:rsidRPr="00605209">
        <w:t>the distribution charges for each account.  Therefore, the Respondent must adhere to its tariff and impose these distribution charges on the Complainant’s account for his detached solar array.</w:t>
      </w:r>
    </w:p>
    <w:p w:rsidR="00FF3916" w:rsidRPr="00605209" w:rsidRDefault="00FF3916" w:rsidP="006E2AB5">
      <w:pPr>
        <w:pStyle w:val="BodyText2"/>
        <w:jc w:val="left"/>
      </w:pPr>
    </w:p>
    <w:p w:rsidR="005966C8" w:rsidRPr="00605209" w:rsidRDefault="005966C8" w:rsidP="006E2AB5">
      <w:pPr>
        <w:pStyle w:val="BodyText2"/>
        <w:jc w:val="left"/>
        <w:rPr>
          <w:u w:val="single"/>
        </w:rPr>
      </w:pPr>
      <w:r w:rsidRPr="00605209">
        <w:tab/>
      </w:r>
      <w:r w:rsidR="002B51F2" w:rsidRPr="00605209">
        <w:t xml:space="preserve">d. </w:t>
      </w:r>
      <w:r w:rsidRPr="00605209">
        <w:rPr>
          <w:u w:val="single"/>
        </w:rPr>
        <w:t>Information in bill</w:t>
      </w:r>
      <w:r w:rsidR="008409ED" w:rsidRPr="00605209">
        <w:rPr>
          <w:u w:val="single"/>
        </w:rPr>
        <w:t>/Separate spreadsheet</w:t>
      </w:r>
    </w:p>
    <w:p w:rsidR="005966C8" w:rsidRPr="00605209" w:rsidRDefault="005966C8" w:rsidP="006E2AB5">
      <w:pPr>
        <w:pStyle w:val="BodyText2"/>
        <w:jc w:val="left"/>
      </w:pPr>
    </w:p>
    <w:p w:rsidR="00E14997" w:rsidRPr="00605209" w:rsidRDefault="006E2AB5" w:rsidP="006E2AB5">
      <w:pPr>
        <w:pStyle w:val="BodyText2"/>
        <w:jc w:val="left"/>
      </w:pPr>
      <w:r w:rsidRPr="00605209">
        <w:tab/>
      </w:r>
      <w:r w:rsidRPr="00605209">
        <w:tab/>
        <w:t xml:space="preserve">The Complainant also avers that numerous line items of additional information should appear on his bills.  </w:t>
      </w:r>
      <w:r w:rsidR="00E14997" w:rsidRPr="00605209">
        <w:t>He requested that the credits for excess generation, the kilowatt usage for the solar account and information regarding the cash out checks he received be on the bills he receives (Moyer Brief at 12-14).</w:t>
      </w:r>
    </w:p>
    <w:p w:rsidR="00E14997" w:rsidRPr="00605209" w:rsidRDefault="00E14997" w:rsidP="006E2AB5">
      <w:pPr>
        <w:pStyle w:val="BodyText2"/>
        <w:jc w:val="left"/>
      </w:pPr>
    </w:p>
    <w:p w:rsidR="006E2AB5" w:rsidRPr="00605209" w:rsidRDefault="00E14997" w:rsidP="006E2AB5">
      <w:pPr>
        <w:pStyle w:val="BodyText2"/>
        <w:jc w:val="left"/>
      </w:pPr>
      <w:r w:rsidRPr="00605209">
        <w:tab/>
      </w:r>
      <w:r w:rsidRPr="00605209">
        <w:tab/>
      </w:r>
      <w:r w:rsidR="006E2AB5" w:rsidRPr="00605209">
        <w:t xml:space="preserve">The Respondent contends that nothing in its Commission-approved tariff or any applicable law or regulation requires PPL Electric to present all of the information requested by the Complainant.  Moreover, it is uncontested that PPL Electric has offered to provide the monthly calculation sheets that it uses to determine and apply the Complainant’s credits for excess generation on a monthly basis.  These calculation sheets contain all of the information </w:t>
      </w:r>
      <w:r w:rsidR="006E2AB5" w:rsidRPr="00605209">
        <w:lastRenderedPageBreak/>
        <w:t xml:space="preserve">requested by the Complainant.  However, the Complainant maintains that his concerns will only be satisfied if the information is presented on the bill.  </w:t>
      </w:r>
    </w:p>
    <w:p w:rsidR="006E2AB5" w:rsidRPr="00605209" w:rsidRDefault="006E2AB5" w:rsidP="006E2AB5">
      <w:pPr>
        <w:pStyle w:val="BodyText2"/>
        <w:jc w:val="left"/>
      </w:pPr>
    </w:p>
    <w:p w:rsidR="006E2AB5" w:rsidRPr="00605209" w:rsidRDefault="006E2AB5" w:rsidP="006E2AB5">
      <w:pPr>
        <w:pStyle w:val="BodyText2"/>
        <w:jc w:val="left"/>
      </w:pPr>
      <w:r w:rsidRPr="00605209">
        <w:tab/>
      </w:r>
      <w:r w:rsidRPr="00605209">
        <w:tab/>
        <w:t>The Respondent states that to the extent there have been alleged inconsistencies in the information presented on the Complainant’s bills, the Respondent has explained or refuted those inconsistencies.</w:t>
      </w:r>
    </w:p>
    <w:p w:rsidR="007D7DA1" w:rsidRPr="00605209" w:rsidRDefault="007D7DA1" w:rsidP="007D7DA1">
      <w:pPr>
        <w:widowControl w:val="0"/>
      </w:pPr>
    </w:p>
    <w:p w:rsidR="007D7DA1" w:rsidRPr="00605209" w:rsidRDefault="007D7DA1" w:rsidP="007D7DA1">
      <w:pPr>
        <w:widowControl w:val="0"/>
        <w:spacing w:line="360" w:lineRule="auto"/>
      </w:pPr>
      <w:r w:rsidRPr="00605209">
        <w:tab/>
      </w:r>
      <w:r w:rsidRPr="00605209">
        <w:tab/>
        <w:t xml:space="preserve">In the </w:t>
      </w:r>
      <w:r w:rsidRPr="00605209">
        <w:rPr>
          <w:i/>
        </w:rPr>
        <w:t xml:space="preserve">January 2014 Order, </w:t>
      </w:r>
      <w:r w:rsidRPr="00605209">
        <w:t xml:space="preserve">the Commission ordered the Respondent to provide additional information regarding the Complainant’s billing, credits and payments.  </w:t>
      </w:r>
    </w:p>
    <w:p w:rsidR="007D7DA1" w:rsidRPr="00605209" w:rsidRDefault="007D7DA1" w:rsidP="007D7DA1">
      <w:pPr>
        <w:widowControl w:val="0"/>
        <w:ind w:left="1440" w:right="1440"/>
      </w:pPr>
    </w:p>
    <w:p w:rsidR="007D7DA1" w:rsidRPr="00605209" w:rsidRDefault="007D7DA1" w:rsidP="007D7DA1">
      <w:pPr>
        <w:widowControl w:val="0"/>
        <w:ind w:left="1440" w:right="1440"/>
      </w:pPr>
      <w:r w:rsidRPr="00605209">
        <w:tab/>
        <w:t xml:space="preserve">Since the Complainant may not be in possession of all of the information necessary to definitively resolve the issues regarding his billing, credits and payments, we shall direct PPL to file additional information on the record within sixty days of the entry of this Opinion and Order.  Specifically, we shall direct PPL to file a revised version of Exhibit No. 7 that contains actual data for the period from March 2009 to the last monthly billing periods for each of Mr. Moyer’s two accounts that ended prior to the entry date of this Opinion and Order.  This information should be presented in a format that enables the Parties to directly associate the monthly bills with the credits and cash-out payments.  Accordingly, we shall grant the Complainant’s Exceptions regarding the accuracy of PPL’s records, billing and payments to the extent that we are remanding this proceeding to the OALJ for the further development of the record.  We shall also vacate the Initial Decision to the extent that it found that PPL properly provided credits to the Complainant. </w:t>
      </w:r>
    </w:p>
    <w:p w:rsidR="006E2AB5" w:rsidRPr="00605209" w:rsidRDefault="00FF3916" w:rsidP="007D7DA1">
      <w:pPr>
        <w:pStyle w:val="BodyText2"/>
        <w:spacing w:line="240" w:lineRule="auto"/>
        <w:ind w:left="1440" w:right="1440"/>
        <w:jc w:val="left"/>
      </w:pPr>
      <w:r w:rsidRPr="00605209">
        <w:rPr>
          <w:i/>
        </w:rPr>
        <w:t xml:space="preserve">January 2014 Order </w:t>
      </w:r>
      <w:r w:rsidRPr="00605209">
        <w:t>at</w:t>
      </w:r>
      <w:r w:rsidR="00D3751D">
        <w:t xml:space="preserve"> 20.</w:t>
      </w:r>
    </w:p>
    <w:p w:rsidR="00FF3916" w:rsidRPr="00605209" w:rsidRDefault="00FF3916" w:rsidP="006E2AB5">
      <w:pPr>
        <w:pStyle w:val="BodyText2"/>
        <w:jc w:val="left"/>
      </w:pPr>
    </w:p>
    <w:p w:rsidR="00FF3916" w:rsidRPr="00605209" w:rsidRDefault="007D7DA1" w:rsidP="006E2AB5">
      <w:pPr>
        <w:pStyle w:val="BodyText2"/>
        <w:jc w:val="left"/>
      </w:pPr>
      <w:r w:rsidRPr="00605209">
        <w:tab/>
      </w:r>
      <w:r w:rsidRPr="00605209">
        <w:tab/>
        <w:t xml:space="preserve">In response to the Commission’s request, the Respondent provided </w:t>
      </w:r>
      <w:r w:rsidR="00FF3916" w:rsidRPr="00605209">
        <w:t>JLM - 35</w:t>
      </w:r>
      <w:r w:rsidRPr="00605209">
        <w:t>.</w:t>
      </w:r>
    </w:p>
    <w:p w:rsidR="00FF3916" w:rsidRPr="00605209" w:rsidRDefault="00FF3916" w:rsidP="005D1650">
      <w:pPr>
        <w:pStyle w:val="BodyText2"/>
        <w:jc w:val="left"/>
      </w:pPr>
    </w:p>
    <w:p w:rsidR="005D1650" w:rsidRPr="00605209" w:rsidRDefault="005D1650" w:rsidP="005D1650">
      <w:pPr>
        <w:pStyle w:val="BodyText2"/>
        <w:jc w:val="left"/>
      </w:pPr>
      <w:r w:rsidRPr="00605209">
        <w:tab/>
      </w:r>
      <w:r w:rsidRPr="00605209">
        <w:tab/>
      </w:r>
      <w:r w:rsidR="00FF3916" w:rsidRPr="00605209">
        <w:t xml:space="preserve">Subsequently, the Respondent updated the information and </w:t>
      </w:r>
      <w:r w:rsidRPr="00605209">
        <w:t>submitted PPL Electric Exhibit APC-5 to show how the manual billing process has been used to aggregate, credit, and bill the Complainant’s accounts.  PPL Electric Exhibit APC-5 demonstrates that using the manual billing process, the Respondent has calculated and applied credits appropriately from when the Complainant began participating in virtual meter aggregation in March 2009 to February 2015 (PPL St. No. 1 at 21)</w:t>
      </w:r>
      <w:r w:rsidR="00E14997" w:rsidRPr="00605209">
        <w:t>.</w:t>
      </w:r>
      <w:r w:rsidRPr="00605209">
        <w:t xml:space="preserve">  PPL Electric Exhibit APC-5 catalogs all of the relevant information for each of the Complainant’s monthly bills from March 2009 to February 2015:</w:t>
      </w:r>
    </w:p>
    <w:p w:rsidR="005D1650" w:rsidRPr="00605209" w:rsidRDefault="005D1650" w:rsidP="005D1650">
      <w:pPr>
        <w:numPr>
          <w:ilvl w:val="0"/>
          <w:numId w:val="27"/>
        </w:numPr>
        <w:spacing w:after="240" w:line="360" w:lineRule="auto"/>
        <w:ind w:left="1350" w:hanging="270"/>
      </w:pPr>
      <w:r w:rsidRPr="00605209">
        <w:lastRenderedPageBreak/>
        <w:t>Column A - The applicable billing date.</w:t>
      </w:r>
    </w:p>
    <w:p w:rsidR="005D1650" w:rsidRPr="00605209" w:rsidRDefault="005D1650" w:rsidP="002B51F2">
      <w:pPr>
        <w:numPr>
          <w:ilvl w:val="0"/>
          <w:numId w:val="27"/>
        </w:numPr>
        <w:spacing w:after="240"/>
        <w:ind w:left="1350" w:hanging="270"/>
      </w:pPr>
      <w:r w:rsidRPr="00605209">
        <w:t>Column B - The meter reading for the solar account (solar facilities) as registered on the single bidirectional meter used at the solar account.</w:t>
      </w:r>
    </w:p>
    <w:p w:rsidR="005D1650" w:rsidRPr="00605209" w:rsidRDefault="005D1650" w:rsidP="002B51F2">
      <w:pPr>
        <w:numPr>
          <w:ilvl w:val="0"/>
          <w:numId w:val="27"/>
        </w:numPr>
        <w:spacing w:after="240"/>
        <w:ind w:left="1354" w:hanging="274"/>
      </w:pPr>
      <w:r w:rsidRPr="00605209">
        <w:t>Column C - The excess generation (kWh) produced at the solar account, determined from the meter reading at the solar account.  This is determined from the difference between the meter reading in the current billing cycle and the meter reading from the prior billing cycle.  For example, for excess kWh hours for May 2009 is the difference between the April 2009 meter read (20017) and the May 2009 meter read (19448) = 569 kWh.</w:t>
      </w:r>
      <w:r w:rsidRPr="00605209">
        <w:rPr>
          <w:vertAlign w:val="superscript"/>
        </w:rPr>
        <w:footnoteReference w:id="7"/>
      </w:r>
    </w:p>
    <w:p w:rsidR="005D1650" w:rsidRPr="00605209" w:rsidRDefault="005D1650" w:rsidP="003D0CDA">
      <w:pPr>
        <w:numPr>
          <w:ilvl w:val="0"/>
          <w:numId w:val="27"/>
        </w:numPr>
        <w:spacing w:after="240"/>
        <w:ind w:left="1350" w:hanging="270"/>
      </w:pPr>
      <w:r w:rsidRPr="00605209">
        <w:t xml:space="preserve">Column D - The full retail rate applicable to the residential account (in cents per kWh) used to calculate the value of the excess generation produced by the solar account.  </w:t>
      </w:r>
    </w:p>
    <w:p w:rsidR="005D1650" w:rsidRPr="00605209" w:rsidRDefault="005D1650" w:rsidP="005D1650">
      <w:pPr>
        <w:numPr>
          <w:ilvl w:val="0"/>
          <w:numId w:val="27"/>
        </w:numPr>
        <w:spacing w:after="240"/>
        <w:ind w:left="1350" w:hanging="270"/>
      </w:pPr>
      <w:r w:rsidRPr="00605209">
        <w:t xml:space="preserve">Column E - The monthly value of the excess generation in dollars.  This is calculated by multiplying the total excess generation for the month (Column C) by the full retail rate applicable during that month (Column D).  </w:t>
      </w:r>
    </w:p>
    <w:p w:rsidR="005D1650" w:rsidRPr="00605209" w:rsidRDefault="005D1650" w:rsidP="005D1650">
      <w:pPr>
        <w:numPr>
          <w:ilvl w:val="0"/>
          <w:numId w:val="27"/>
        </w:numPr>
        <w:spacing w:after="240"/>
        <w:ind w:left="1350" w:hanging="270"/>
      </w:pPr>
      <w:r w:rsidRPr="00605209">
        <w:t>Column F - The meter reading at the residential account.</w:t>
      </w:r>
    </w:p>
    <w:p w:rsidR="005D1650" w:rsidRPr="00605209" w:rsidRDefault="005D1650" w:rsidP="005D1650">
      <w:pPr>
        <w:numPr>
          <w:ilvl w:val="0"/>
          <w:numId w:val="27"/>
        </w:numPr>
        <w:spacing w:after="240"/>
        <w:ind w:left="1350" w:hanging="270"/>
      </w:pPr>
      <w:r w:rsidRPr="00605209">
        <w:t xml:space="preserve">Column G - The usage (kWh) at the residential account.  This is determined from the difference between the meter reading in the current billing cycle and the meter reading from the prior billing cycle.  </w:t>
      </w:r>
    </w:p>
    <w:p w:rsidR="005D1650" w:rsidRPr="00605209" w:rsidRDefault="005D1650" w:rsidP="005D1650">
      <w:pPr>
        <w:numPr>
          <w:ilvl w:val="0"/>
          <w:numId w:val="27"/>
        </w:numPr>
        <w:spacing w:after="240"/>
        <w:ind w:left="1350" w:hanging="270"/>
      </w:pPr>
      <w:r w:rsidRPr="00605209">
        <w:t xml:space="preserve">Column H - The credits (kWh) applied (if any) to the residential account.  This column reflects that credits that were actually applied to the Complainant’s account.  </w:t>
      </w:r>
    </w:p>
    <w:p w:rsidR="005D1650" w:rsidRPr="00605209" w:rsidRDefault="005D1650" w:rsidP="005D1650">
      <w:pPr>
        <w:numPr>
          <w:ilvl w:val="0"/>
          <w:numId w:val="27"/>
        </w:numPr>
        <w:spacing w:after="240"/>
        <w:ind w:left="1350" w:hanging="270"/>
      </w:pPr>
      <w:r w:rsidRPr="00605209">
        <w:t>Column I - The dollar value of any credits applied to the residential account (Column H) at the full retail rate (Column D).</w:t>
      </w:r>
    </w:p>
    <w:p w:rsidR="005D1650" w:rsidRPr="00605209" w:rsidRDefault="005D1650" w:rsidP="005D1650">
      <w:pPr>
        <w:numPr>
          <w:ilvl w:val="0"/>
          <w:numId w:val="27"/>
        </w:numPr>
        <w:spacing w:after="240"/>
        <w:ind w:left="1350" w:hanging="270"/>
      </w:pPr>
      <w:r w:rsidRPr="00605209">
        <w:t>Column J - The balance of any remaining net excess generation (kWh) that is banked at the solar account, carried forward, and applied to offset usage in subsequent billing cycles.  This is determined from the balance of any credits due in the prior month (Column J) plus the excess generation produced during the monthly billing cycle (Column C) minus any usage at the residential account (Column G).</w:t>
      </w:r>
    </w:p>
    <w:p w:rsidR="005D1650" w:rsidRPr="00605209" w:rsidRDefault="005D1650" w:rsidP="005D1650">
      <w:pPr>
        <w:numPr>
          <w:ilvl w:val="0"/>
          <w:numId w:val="27"/>
        </w:numPr>
        <w:spacing w:after="240"/>
        <w:ind w:left="1350" w:hanging="270"/>
      </w:pPr>
      <w:r w:rsidRPr="00605209">
        <w:t>Column K - The cents per kWh used to calculate the cash-out.</w:t>
      </w:r>
    </w:p>
    <w:p w:rsidR="005D1650" w:rsidRPr="00605209" w:rsidRDefault="005D1650" w:rsidP="005D1650">
      <w:pPr>
        <w:numPr>
          <w:ilvl w:val="0"/>
          <w:numId w:val="27"/>
        </w:numPr>
        <w:spacing w:after="240"/>
        <w:ind w:left="1350" w:hanging="270"/>
      </w:pPr>
      <w:r w:rsidRPr="00605209">
        <w:lastRenderedPageBreak/>
        <w:t xml:space="preserve">Column L - The value of the cash-out in dollars actually issued to the Complainant.  </w:t>
      </w:r>
    </w:p>
    <w:p w:rsidR="005D1650" w:rsidRPr="00605209" w:rsidRDefault="005D1650" w:rsidP="005D1650">
      <w:pPr>
        <w:numPr>
          <w:ilvl w:val="0"/>
          <w:numId w:val="27"/>
        </w:numPr>
        <w:spacing w:after="240"/>
        <w:ind w:left="1350" w:hanging="270"/>
      </w:pPr>
      <w:r w:rsidRPr="00605209">
        <w:t>Column M - The available residential account balance shown on the Complainant’s bill.</w:t>
      </w:r>
    </w:p>
    <w:p w:rsidR="005D1650" w:rsidRPr="00605209" w:rsidRDefault="005D1650" w:rsidP="005D1650">
      <w:pPr>
        <w:numPr>
          <w:ilvl w:val="0"/>
          <w:numId w:val="27"/>
        </w:numPr>
        <w:spacing w:after="240"/>
        <w:ind w:left="1350" w:hanging="270"/>
      </w:pPr>
      <w:r w:rsidRPr="00605209">
        <w:t>Column N - Comments to help explain what occurred during that period.</w:t>
      </w:r>
    </w:p>
    <w:p w:rsidR="00E14997" w:rsidRPr="00605209" w:rsidRDefault="00E14997" w:rsidP="005966C8">
      <w:pPr>
        <w:pStyle w:val="BodyText2"/>
        <w:ind w:firstLine="1170"/>
        <w:jc w:val="left"/>
      </w:pPr>
    </w:p>
    <w:p w:rsidR="00E14997" w:rsidRPr="00605209" w:rsidRDefault="00E14997" w:rsidP="00E14997">
      <w:pPr>
        <w:pStyle w:val="BodyText2"/>
        <w:ind w:firstLine="1170"/>
        <w:jc w:val="left"/>
      </w:pPr>
      <w:r w:rsidRPr="00605209">
        <w:t xml:space="preserve">PPL Electric Exhibit APC-5 shows how the Respondent has calculated and applied credits for the Complainant’s excess generation.  For example, in January 2015, the Complainant had excess generation of 221 kWh at his solar account (Column C).  His bank at the end of the prior billing cycle (December 2014) contained net excess generation of 707 kWh (Column J).  Therefore, he had a maximum of 928 kWh that he could use to offset his usage in the January 2015 billing cycle.  The Complainant only used 907 kWh at his residential account.  Thus, the full 907 kWh of usage at the residential was offset, and the Complainant received a credit of $117.08 to that effect (i.e., 907 kWh multiplied by the full retail rate of 12.909 cents per kWh).  It should be noted, however, that the credit of $117.08 does not appear on the January 2015 bill; rather, due to the one-month delay, it appears on the February 2015 bill.  The remaining 21 kWhs for January 2015 were then banked at the solar account for use in a subsequent billing cycle (PPL Electric Brief at </w:t>
      </w:r>
      <w:r w:rsidR="004351EC">
        <w:t>22</w:t>
      </w:r>
      <w:r w:rsidRPr="00605209">
        <w:t xml:space="preserve">).  </w:t>
      </w:r>
    </w:p>
    <w:p w:rsidR="00FF3916" w:rsidRPr="00605209" w:rsidRDefault="00FF3916" w:rsidP="008409ED">
      <w:pPr>
        <w:pStyle w:val="BodyText2"/>
      </w:pPr>
    </w:p>
    <w:p w:rsidR="008409ED" w:rsidRPr="00605209" w:rsidRDefault="006E2AB5" w:rsidP="008409ED">
      <w:pPr>
        <w:pStyle w:val="BodyText2"/>
      </w:pPr>
      <w:r w:rsidRPr="00605209">
        <w:tab/>
      </w:r>
      <w:r w:rsidRPr="00605209">
        <w:tab/>
        <w:t xml:space="preserve">In addition, the Complainant objects to certain terminology used by the Respondent in its bills.  </w:t>
      </w:r>
      <w:r w:rsidR="008409ED" w:rsidRPr="00605209">
        <w:t xml:space="preserve">He objects to the Respondent’s witness stating that the Respondent will first “post” the credit before the bill is “rendered”.  The Complainant states that the terms </w:t>
      </w:r>
      <w:r w:rsidR="00D3751D">
        <w:t>“</w:t>
      </w:r>
      <w:r w:rsidR="008409ED" w:rsidRPr="00605209">
        <w:t>post</w:t>
      </w:r>
      <w:r w:rsidR="00D3751D">
        <w:t>”</w:t>
      </w:r>
      <w:r w:rsidR="008409ED" w:rsidRPr="00605209">
        <w:t xml:space="preserve"> and </w:t>
      </w:r>
      <w:r w:rsidR="00D3751D">
        <w:t>“</w:t>
      </w:r>
      <w:r w:rsidR="008409ED" w:rsidRPr="00605209">
        <w:t>rendered</w:t>
      </w:r>
      <w:r w:rsidR="00D3751D">
        <w:t>”</w:t>
      </w:r>
      <w:r w:rsidR="008409ED" w:rsidRPr="00605209">
        <w:t xml:space="preserve"> are inconsistent with the Public Utility Code and that their meanings are obscure</w:t>
      </w:r>
      <w:r w:rsidR="00D3751D">
        <w:t>.</w:t>
      </w:r>
      <w:r w:rsidR="008409ED" w:rsidRPr="00605209">
        <w:t xml:space="preserve"> </w:t>
      </w:r>
      <w:r w:rsidR="00D3751D" w:rsidRPr="00605209">
        <w:t xml:space="preserve">The </w:t>
      </w:r>
      <w:r w:rsidR="002B51F2" w:rsidRPr="00605209">
        <w:t>Complainant</w:t>
      </w:r>
      <w:r w:rsidR="008409ED" w:rsidRPr="00605209">
        <w:t xml:space="preserve"> states that the Respondent refers to the credit applied to the Complainant’s account as “</w:t>
      </w:r>
      <w:r w:rsidR="004351EC">
        <w:t>e</w:t>
      </w:r>
      <w:r w:rsidR="008409ED" w:rsidRPr="00605209">
        <w:t xml:space="preserve">xcess credit.”  The </w:t>
      </w:r>
      <w:r w:rsidR="004D3068" w:rsidRPr="00605209">
        <w:t xml:space="preserve">Complainant </w:t>
      </w:r>
      <w:r w:rsidR="008409ED" w:rsidRPr="00605209">
        <w:t>believes that the phrase “excess credit” is ambiguous and misleading (</w:t>
      </w:r>
      <w:r w:rsidR="000F7C30" w:rsidRPr="00605209">
        <w:t>Moyer Brief</w:t>
      </w:r>
      <w:r w:rsidR="008409ED" w:rsidRPr="00605209">
        <w:t xml:space="preserve"> at 16-17).  </w:t>
      </w:r>
    </w:p>
    <w:p w:rsidR="008409ED" w:rsidRPr="00605209" w:rsidRDefault="008409ED" w:rsidP="008409ED">
      <w:pPr>
        <w:pStyle w:val="BodyText2"/>
        <w:jc w:val="left"/>
      </w:pPr>
    </w:p>
    <w:p w:rsidR="006E2AB5" w:rsidRPr="00605209" w:rsidRDefault="002B51F2" w:rsidP="008409ED">
      <w:pPr>
        <w:pStyle w:val="BodyText2"/>
        <w:jc w:val="left"/>
      </w:pPr>
      <w:r w:rsidRPr="00605209">
        <w:tab/>
      </w:r>
      <w:r w:rsidRPr="00605209">
        <w:tab/>
      </w:r>
      <w:r w:rsidR="006E2AB5" w:rsidRPr="00605209">
        <w:t xml:space="preserve">The Respondent states that no applicable law or regulation prohibits the use of this terminology.  Moreover, the Respondent utilizes this terminology to help convey the complex concepts involved with virtual meter aggregation to customer-generators.  </w:t>
      </w:r>
      <w:r w:rsidR="008409ED" w:rsidRPr="00605209">
        <w:t xml:space="preserve">The </w:t>
      </w:r>
      <w:r w:rsidR="008409ED" w:rsidRPr="00605209">
        <w:lastRenderedPageBreak/>
        <w:t>Respondent’s position is that n</w:t>
      </w:r>
      <w:r w:rsidR="006E2AB5" w:rsidRPr="00605209">
        <w:t xml:space="preserve">othing is ambiguous about these terms and </w:t>
      </w:r>
      <w:r w:rsidR="008409ED" w:rsidRPr="00605209">
        <w:t xml:space="preserve">that their meaning </w:t>
      </w:r>
      <w:r w:rsidR="006E2AB5" w:rsidRPr="00605209">
        <w:t xml:space="preserve">has </w:t>
      </w:r>
      <w:r w:rsidR="008409ED" w:rsidRPr="00605209">
        <w:t xml:space="preserve">been </w:t>
      </w:r>
      <w:r w:rsidR="006E2AB5" w:rsidRPr="00605209">
        <w:t>explained</w:t>
      </w:r>
      <w:r w:rsidRPr="00605209">
        <w:t xml:space="preserve"> (PPL Electric Brief at </w:t>
      </w:r>
      <w:r w:rsidR="005140F8">
        <w:t>32-36</w:t>
      </w:r>
      <w:r w:rsidRPr="00605209">
        <w:t>).</w:t>
      </w:r>
    </w:p>
    <w:p w:rsidR="006E2AB5" w:rsidRPr="00605209" w:rsidRDefault="006E2AB5" w:rsidP="006E2AB5">
      <w:pPr>
        <w:pStyle w:val="BodyText2"/>
        <w:jc w:val="left"/>
      </w:pPr>
    </w:p>
    <w:p w:rsidR="005D1650" w:rsidRPr="00605209" w:rsidRDefault="005D1650" w:rsidP="006E2AB5">
      <w:pPr>
        <w:pStyle w:val="BodyText2"/>
        <w:jc w:val="left"/>
        <w:rPr>
          <w:u w:val="single"/>
        </w:rPr>
      </w:pPr>
      <w:r w:rsidRPr="00605209">
        <w:rPr>
          <w:u w:val="single"/>
        </w:rPr>
        <w:t>Disposition</w:t>
      </w:r>
    </w:p>
    <w:p w:rsidR="005D0CDB" w:rsidRPr="00605209" w:rsidRDefault="005D0CDB" w:rsidP="006E2AB5">
      <w:pPr>
        <w:pStyle w:val="BodyText2"/>
        <w:jc w:val="left"/>
      </w:pPr>
    </w:p>
    <w:p w:rsidR="00B46C45" w:rsidRPr="00605209" w:rsidRDefault="00B46C45" w:rsidP="006E2AB5">
      <w:pPr>
        <w:pStyle w:val="BodyText2"/>
        <w:jc w:val="left"/>
      </w:pPr>
      <w:r w:rsidRPr="00605209">
        <w:tab/>
      </w:r>
      <w:r w:rsidRPr="00605209">
        <w:tab/>
        <w:t xml:space="preserve">The Complainant has asked the Commission to require the Respondent to do the following: automate the bills for virtual metering customers; give him a single bill </w:t>
      </w:r>
      <w:r w:rsidR="00D3751D">
        <w:t xml:space="preserve">for </w:t>
      </w:r>
      <w:r w:rsidRPr="00605209">
        <w:t>his net metering accounts with all the pertinent information included</w:t>
      </w:r>
      <w:r w:rsidR="00FF3916" w:rsidRPr="00605209">
        <w:t>; refrain from using certain terminology</w:t>
      </w:r>
      <w:r w:rsidRPr="00605209">
        <w:t xml:space="preserve">; and apply Rate RS to his net metering accounts.  </w:t>
      </w:r>
    </w:p>
    <w:p w:rsidR="00B46C45" w:rsidRDefault="00B46C45" w:rsidP="006E2AB5">
      <w:pPr>
        <w:pStyle w:val="BodyText2"/>
        <w:jc w:val="left"/>
      </w:pPr>
    </w:p>
    <w:p w:rsidR="004351EC" w:rsidRDefault="004351EC" w:rsidP="006E2AB5">
      <w:pPr>
        <w:pStyle w:val="BodyText2"/>
        <w:jc w:val="left"/>
      </w:pPr>
      <w:r>
        <w:tab/>
      </w:r>
      <w:r>
        <w:tab/>
        <w:t xml:space="preserve">The Complainant has established a </w:t>
      </w:r>
      <w:r w:rsidRPr="00D3751D">
        <w:rPr>
          <w:i/>
        </w:rPr>
        <w:t>prima facie</w:t>
      </w:r>
      <w:r>
        <w:t xml:space="preserve"> case regarding the issues of automating the bills for virtual metering customers and providing a correct single bill with pertinent information included.</w:t>
      </w:r>
    </w:p>
    <w:p w:rsidR="004351EC" w:rsidRPr="00605209" w:rsidRDefault="004351EC" w:rsidP="006E2AB5">
      <w:pPr>
        <w:pStyle w:val="BodyText2"/>
        <w:jc w:val="left"/>
      </w:pPr>
    </w:p>
    <w:p w:rsidR="006B26EC" w:rsidRPr="00605209" w:rsidRDefault="00B46C45" w:rsidP="006E2AB5">
      <w:pPr>
        <w:pStyle w:val="BodyText2"/>
        <w:jc w:val="left"/>
      </w:pPr>
      <w:r w:rsidRPr="00605209">
        <w:tab/>
      </w:r>
      <w:r w:rsidRPr="00605209">
        <w:tab/>
        <w:t>The Respondent has presented information to show that it has an automated system for net metering accounts with physical aggregation (one meter) and the customers receive one bill.  However, the Complainant has a virtual metering account with two meters.  One is at his residence and the other is</w:t>
      </w:r>
      <w:r w:rsidR="00FF3916" w:rsidRPr="00605209">
        <w:t xml:space="preserve"> 600 yards away from h</w:t>
      </w:r>
      <w:r w:rsidR="00D3751D">
        <w:t>is</w:t>
      </w:r>
      <w:r w:rsidR="00FF3916" w:rsidRPr="00605209">
        <w:t xml:space="preserve"> residence.</w:t>
      </w:r>
      <w:r w:rsidRPr="00605209">
        <w:t xml:space="preserve">  Since there is a generating facility and </w:t>
      </w:r>
      <w:r w:rsidR="00D3751D" w:rsidRPr="00605209">
        <w:t>a</w:t>
      </w:r>
      <w:r w:rsidR="004351EC">
        <w:t xml:space="preserve"> usage</w:t>
      </w:r>
      <w:r w:rsidR="006B26EC" w:rsidRPr="00605209">
        <w:t xml:space="preserve"> </w:t>
      </w:r>
      <w:r w:rsidRPr="00605209">
        <w:t xml:space="preserve">facility, there are two accounts.  Therefore, there will be two </w:t>
      </w:r>
      <w:r w:rsidR="006B26EC" w:rsidRPr="00605209">
        <w:t xml:space="preserve">bills.  Furthermore, the Respondent’s automated billing process cannot process two meters on the same bill.  </w:t>
      </w:r>
    </w:p>
    <w:p w:rsidR="006B26EC" w:rsidRPr="00605209" w:rsidRDefault="006B26EC" w:rsidP="006E2AB5">
      <w:pPr>
        <w:pStyle w:val="BodyText2"/>
        <w:jc w:val="left"/>
      </w:pPr>
    </w:p>
    <w:p w:rsidR="00B46C45" w:rsidRPr="00605209" w:rsidRDefault="006B26EC" w:rsidP="006E2AB5">
      <w:pPr>
        <w:pStyle w:val="BodyText2"/>
        <w:jc w:val="left"/>
      </w:pPr>
      <w:r w:rsidRPr="00605209">
        <w:tab/>
      </w:r>
      <w:r w:rsidRPr="00605209">
        <w:tab/>
        <w:t>Although there are ninety-eight customers that are involved in virtual metering, the Complainant is the only one who has complained about the manual billing process.  The Respondent has made a business decision that it is not reasonable to expend resources to automate the virtual metering accounts for less than one hundred people.  Instead, the Respondent has improved its manual billing process.  Although all of the information that the Complainant requested is not on the bill, it is on the separate spreadsheet that the Respondent prepares each month.  The Complainant has rejected the Respondent’s offer to receive this information each month.</w:t>
      </w:r>
    </w:p>
    <w:p w:rsidR="00E14997" w:rsidRPr="00605209" w:rsidRDefault="00E14997" w:rsidP="006E2AB5">
      <w:pPr>
        <w:pStyle w:val="BodyText2"/>
        <w:jc w:val="left"/>
      </w:pPr>
    </w:p>
    <w:p w:rsidR="00F23C10" w:rsidRPr="00605209" w:rsidRDefault="00F23C10" w:rsidP="00F23C10">
      <w:pPr>
        <w:pStyle w:val="BodyText2"/>
        <w:jc w:val="left"/>
      </w:pPr>
      <w:r w:rsidRPr="00605209">
        <w:lastRenderedPageBreak/>
        <w:tab/>
      </w:r>
      <w:r w:rsidRPr="00605209">
        <w:tab/>
        <w:t xml:space="preserve">The Respondent provided reasonable explanations for its decision to continue manual billing.  </w:t>
      </w:r>
      <w:r>
        <w:t xml:space="preserve">Furthermore, it is clear that with virtual meter aggregation there will be two meters and two accounts.  Consequently, there will be two bills.  </w:t>
      </w:r>
      <w:r w:rsidRPr="00605209">
        <w:t xml:space="preserve">The Respondent showed that the information that the Complainant wants on the bills is available on a separate document that </w:t>
      </w:r>
      <w:r w:rsidR="00D3751D">
        <w:t xml:space="preserve">it has offered to give </w:t>
      </w:r>
      <w:r w:rsidRPr="00605209">
        <w:t>the Complainant.</w:t>
      </w:r>
    </w:p>
    <w:p w:rsidR="00F23C10" w:rsidRPr="00605209" w:rsidRDefault="00F23C10" w:rsidP="00F23C10">
      <w:pPr>
        <w:pStyle w:val="BodyText2"/>
        <w:jc w:val="left"/>
      </w:pPr>
    </w:p>
    <w:p w:rsidR="004351EC" w:rsidRDefault="004351EC" w:rsidP="004351EC">
      <w:pPr>
        <w:pStyle w:val="BodyText2"/>
        <w:jc w:val="left"/>
      </w:pPr>
      <w:r>
        <w:tab/>
      </w:r>
      <w:r>
        <w:tab/>
        <w:t>Therefore, the Respondent has rebutted the evidence presented by the Complainant concerning automating the bills for virtual metering customers and providing a correct single bill with pertinent information included.</w:t>
      </w:r>
    </w:p>
    <w:p w:rsidR="004351EC" w:rsidRDefault="004351EC" w:rsidP="006E2AB5">
      <w:pPr>
        <w:pStyle w:val="BodyText2"/>
        <w:jc w:val="left"/>
      </w:pPr>
    </w:p>
    <w:p w:rsidR="005D1650" w:rsidRPr="00605209" w:rsidRDefault="005D1650" w:rsidP="00F23C10">
      <w:pPr>
        <w:pStyle w:val="BodyText2"/>
        <w:jc w:val="left"/>
      </w:pPr>
      <w:r w:rsidRPr="00605209">
        <w:tab/>
      </w:r>
      <w:r w:rsidRPr="00605209">
        <w:tab/>
        <w:t>The Complainant did not present evidence to refute the evidence provided by the Respondent</w:t>
      </w:r>
      <w:r w:rsidR="006B26EC" w:rsidRPr="00605209">
        <w:t xml:space="preserve"> to show that the requested information is </w:t>
      </w:r>
      <w:r w:rsidR="005D5217" w:rsidRPr="00605209">
        <w:t>either on the bill or on the</w:t>
      </w:r>
      <w:r w:rsidR="006B26EC" w:rsidRPr="00605209">
        <w:t xml:space="preserve"> spreadsheet</w:t>
      </w:r>
      <w:r w:rsidRPr="00605209">
        <w:t xml:space="preserve">.  </w:t>
      </w:r>
      <w:r w:rsidR="006B26EC" w:rsidRPr="00605209">
        <w:t xml:space="preserve">In addition, the Complainant failed to demonstrate that the information on </w:t>
      </w:r>
      <w:r w:rsidR="00F14E39" w:rsidRPr="00605209">
        <w:t xml:space="preserve">PPL Exhibit AFC-5 was incorrect or inadequate.  </w:t>
      </w:r>
      <w:r w:rsidR="00F23C10" w:rsidRPr="00605209">
        <w:t xml:space="preserve">The Complainant referred to JLM - 35, a document previously </w:t>
      </w:r>
      <w:r w:rsidR="00F23C10">
        <w:t>submitted by the Respondent.</w:t>
      </w:r>
    </w:p>
    <w:p w:rsidR="005966C8" w:rsidRDefault="005966C8" w:rsidP="006E2AB5">
      <w:pPr>
        <w:pStyle w:val="BodyText2"/>
        <w:jc w:val="left"/>
      </w:pPr>
    </w:p>
    <w:p w:rsidR="00F23C10" w:rsidRDefault="00F23C10" w:rsidP="006E2AB5">
      <w:pPr>
        <w:pStyle w:val="BodyText2"/>
        <w:jc w:val="left"/>
      </w:pPr>
      <w:r>
        <w:tab/>
      </w:r>
      <w:r>
        <w:tab/>
        <w:t>The Complainant did not present pro</w:t>
      </w:r>
      <w:r w:rsidR="00F04793">
        <w:t>of</w:t>
      </w:r>
      <w:r>
        <w:t xml:space="preserve"> that the terminology used by the Respondent was inaccurate or confusing.  In addition, the Complainant did not show that both of his accounts should be under the RS rate.</w:t>
      </w:r>
    </w:p>
    <w:p w:rsidR="00F23C10" w:rsidRDefault="00F23C10" w:rsidP="006E2AB5">
      <w:pPr>
        <w:pStyle w:val="BodyText2"/>
        <w:jc w:val="left"/>
      </w:pPr>
    </w:p>
    <w:p w:rsidR="00F23C10" w:rsidRDefault="00F23C10" w:rsidP="006E2AB5">
      <w:pPr>
        <w:pStyle w:val="BodyText2"/>
        <w:jc w:val="left"/>
      </w:pPr>
      <w:r>
        <w:tab/>
      </w:r>
      <w:r>
        <w:tab/>
        <w:t xml:space="preserve">Although the Complainant did not sustain his burden of proof initially, the Respondent presented evidence to demonstrate that the terminology was not inaccurate or confusing.  In addition, the Respondent explained the RS and the GS rates as set forth in the Commission approved tariff.  </w:t>
      </w:r>
      <w:r w:rsidR="006306B0">
        <w:t>Based on the tariff,</w:t>
      </w:r>
      <w:r>
        <w:t xml:space="preserve"> the generating facili</w:t>
      </w:r>
      <w:r w:rsidR="006306B0">
        <w:t>ty does not comply with the requirements for the RS rate.</w:t>
      </w:r>
    </w:p>
    <w:p w:rsidR="006306B0" w:rsidRPr="00605209" w:rsidRDefault="006306B0" w:rsidP="006E2AB5">
      <w:pPr>
        <w:pStyle w:val="BodyText2"/>
        <w:jc w:val="left"/>
      </w:pPr>
    </w:p>
    <w:p w:rsidR="005D1650" w:rsidRPr="00605209" w:rsidRDefault="007D5678" w:rsidP="006E2AB5">
      <w:pPr>
        <w:pStyle w:val="BodyText2"/>
        <w:jc w:val="left"/>
      </w:pPr>
      <w:r w:rsidRPr="00605209">
        <w:tab/>
      </w:r>
      <w:r w:rsidRPr="00605209">
        <w:tab/>
        <w:t>The Complainant has failed to sustain his burden of proof on the issues of automating the bill for virtual metering customers, changing the content of the bills</w:t>
      </w:r>
      <w:r w:rsidR="006306B0">
        <w:t>, changing the terminology used by the Respondent, allowing him to use the RS rate for both accounts</w:t>
      </w:r>
      <w:r w:rsidRPr="00605209">
        <w:t xml:space="preserve"> and instituting a single billing system for </w:t>
      </w:r>
      <w:r w:rsidR="006306B0">
        <w:t>virtual metering customers</w:t>
      </w:r>
      <w:r w:rsidRPr="00605209">
        <w:t>.</w:t>
      </w:r>
      <w:r w:rsidR="006306B0">
        <w:t xml:space="preserve">  Accordingly, the Respondent did not violate the applicable statutes, regulations or its tariff.</w:t>
      </w:r>
    </w:p>
    <w:p w:rsidR="00D23BD7" w:rsidRPr="00605209" w:rsidRDefault="00C5012C" w:rsidP="00D975AC">
      <w:pPr>
        <w:pStyle w:val="BodyText"/>
        <w:tabs>
          <w:tab w:val="clear" w:pos="1980"/>
        </w:tabs>
        <w:spacing w:line="360" w:lineRule="auto"/>
        <w:rPr>
          <w:rFonts w:ascii="Times New Roman" w:hAnsi="Times New Roman"/>
          <w:u w:val="single"/>
        </w:rPr>
      </w:pPr>
      <w:r w:rsidRPr="00605209">
        <w:rPr>
          <w:rFonts w:ascii="Times New Roman" w:hAnsi="Times New Roman"/>
        </w:rPr>
        <w:lastRenderedPageBreak/>
        <w:t xml:space="preserve">2. </w:t>
      </w:r>
      <w:r w:rsidR="002526A7" w:rsidRPr="00605209">
        <w:rPr>
          <w:rFonts w:ascii="Times New Roman" w:hAnsi="Times New Roman"/>
          <w:u w:val="single"/>
        </w:rPr>
        <w:t>Respondent made exception for Complain</w:t>
      </w:r>
      <w:r w:rsidR="00F04793">
        <w:rPr>
          <w:rFonts w:ascii="Times New Roman" w:hAnsi="Times New Roman"/>
          <w:u w:val="single"/>
        </w:rPr>
        <w:t>an</w:t>
      </w:r>
      <w:r w:rsidR="002526A7" w:rsidRPr="00605209">
        <w:rPr>
          <w:rFonts w:ascii="Times New Roman" w:hAnsi="Times New Roman"/>
          <w:u w:val="single"/>
        </w:rPr>
        <w:t>t-virtual metering.</w:t>
      </w:r>
    </w:p>
    <w:p w:rsidR="00FA7D0A" w:rsidRPr="00605209" w:rsidRDefault="00FA7D0A" w:rsidP="00D975AC">
      <w:pPr>
        <w:pStyle w:val="BodyText"/>
        <w:spacing w:line="360" w:lineRule="auto"/>
        <w:rPr>
          <w:rFonts w:ascii="Times New Roman" w:hAnsi="Times New Roman"/>
        </w:rPr>
      </w:pPr>
    </w:p>
    <w:p w:rsidR="00C028EB" w:rsidRPr="00605209" w:rsidRDefault="00C028EB"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7D5678" w:rsidRPr="00605209">
        <w:rPr>
          <w:rFonts w:ascii="Times New Roman" w:hAnsi="Times New Roman"/>
        </w:rPr>
        <w:t>Although the Complainant does not have the independent load, in</w:t>
      </w:r>
      <w:r w:rsidRPr="00605209">
        <w:rPr>
          <w:rFonts w:ascii="Times New Roman" w:hAnsi="Times New Roman"/>
        </w:rPr>
        <w:t xml:space="preserve"> June 2011, the Respondent made an exception to allow the </w:t>
      </w:r>
      <w:r w:rsidR="00B8689C" w:rsidRPr="00605209">
        <w:rPr>
          <w:rFonts w:ascii="Times New Roman" w:hAnsi="Times New Roman"/>
        </w:rPr>
        <w:t xml:space="preserve">Complainant </w:t>
      </w:r>
      <w:r w:rsidRPr="00605209">
        <w:rPr>
          <w:rFonts w:ascii="Times New Roman" w:hAnsi="Times New Roman"/>
        </w:rPr>
        <w:t>to qualify for virtual metering</w:t>
      </w:r>
      <w:r w:rsidR="00B8689C" w:rsidRPr="00605209">
        <w:rPr>
          <w:rFonts w:ascii="Times New Roman" w:hAnsi="Times New Roman"/>
        </w:rPr>
        <w:t>.</w:t>
      </w:r>
      <w:r w:rsidRPr="00605209">
        <w:rPr>
          <w:rFonts w:ascii="Times New Roman" w:hAnsi="Times New Roman"/>
        </w:rPr>
        <w:t xml:space="preserve">  The exception was implemented in September 2011</w:t>
      </w:r>
      <w:r w:rsidR="00E376F3" w:rsidRPr="00605209">
        <w:rPr>
          <w:rFonts w:ascii="Times New Roman" w:hAnsi="Times New Roman"/>
        </w:rPr>
        <w:t xml:space="preserve">.  </w:t>
      </w:r>
      <w:r w:rsidRPr="00605209">
        <w:rPr>
          <w:rFonts w:ascii="Times New Roman" w:hAnsi="Times New Roman"/>
        </w:rPr>
        <w:t>PPL went back to January 6, 2011</w:t>
      </w:r>
      <w:r w:rsidR="00FA7D0A" w:rsidRPr="00605209">
        <w:rPr>
          <w:rFonts w:ascii="Times New Roman" w:hAnsi="Times New Roman"/>
        </w:rPr>
        <w:t>,</w:t>
      </w:r>
      <w:r w:rsidRPr="00605209">
        <w:rPr>
          <w:rFonts w:ascii="Times New Roman" w:hAnsi="Times New Roman"/>
        </w:rPr>
        <w:t xml:space="preserve"> and credit</w:t>
      </w:r>
      <w:r w:rsidR="00FA7D0A" w:rsidRPr="00605209">
        <w:rPr>
          <w:rFonts w:ascii="Times New Roman" w:hAnsi="Times New Roman"/>
        </w:rPr>
        <w:t>ed</w:t>
      </w:r>
      <w:r w:rsidRPr="00605209">
        <w:rPr>
          <w:rFonts w:ascii="Times New Roman" w:hAnsi="Times New Roman"/>
        </w:rPr>
        <w:t xml:space="preserve"> </w:t>
      </w:r>
      <w:r w:rsidR="00FA7D0A" w:rsidRPr="00605209">
        <w:rPr>
          <w:rFonts w:ascii="Times New Roman" w:hAnsi="Times New Roman"/>
        </w:rPr>
        <w:t>t</w:t>
      </w:r>
      <w:r w:rsidRPr="00605209">
        <w:rPr>
          <w:rFonts w:ascii="Times New Roman" w:hAnsi="Times New Roman"/>
        </w:rPr>
        <w:t>h</w:t>
      </w:r>
      <w:r w:rsidR="00FA7D0A" w:rsidRPr="00605209">
        <w:rPr>
          <w:rFonts w:ascii="Times New Roman" w:hAnsi="Times New Roman"/>
        </w:rPr>
        <w:t>e Compla</w:t>
      </w:r>
      <w:r w:rsidRPr="00605209">
        <w:rPr>
          <w:rFonts w:ascii="Times New Roman" w:hAnsi="Times New Roman"/>
        </w:rPr>
        <w:t>i</w:t>
      </w:r>
      <w:r w:rsidR="00FA7D0A" w:rsidRPr="00605209">
        <w:rPr>
          <w:rFonts w:ascii="Times New Roman" w:hAnsi="Times New Roman"/>
        </w:rPr>
        <w:t>nant</w:t>
      </w:r>
      <w:r w:rsidRPr="00605209">
        <w:rPr>
          <w:rFonts w:ascii="Times New Roman" w:hAnsi="Times New Roman"/>
        </w:rPr>
        <w:t xml:space="preserve"> as a virtual metering customer from that time forward.</w:t>
      </w:r>
      <w:r w:rsidR="00E376F3" w:rsidRPr="00605209">
        <w:rPr>
          <w:rFonts w:ascii="Times New Roman" w:hAnsi="Times New Roman"/>
        </w:rPr>
        <w:t xml:space="preserve">  </w:t>
      </w:r>
      <w:r w:rsidRPr="00605209">
        <w:rPr>
          <w:rFonts w:ascii="Times New Roman" w:hAnsi="Times New Roman"/>
        </w:rPr>
        <w:t xml:space="preserve">PPL started applying virtual metering on a monthly basis in December 2011. </w:t>
      </w:r>
      <w:r w:rsidR="00E376F3" w:rsidRPr="00605209">
        <w:rPr>
          <w:rFonts w:ascii="Times New Roman" w:hAnsi="Times New Roman"/>
        </w:rPr>
        <w:t xml:space="preserve"> </w:t>
      </w:r>
      <w:r w:rsidRPr="00605209">
        <w:rPr>
          <w:rFonts w:ascii="Times New Roman" w:hAnsi="Times New Roman"/>
        </w:rPr>
        <w:t xml:space="preserve">PPL has applied virtual metering to the Complainant’s accounts on a monthly basis since December 2011. </w:t>
      </w:r>
    </w:p>
    <w:p w:rsidR="00E376F3" w:rsidRPr="00605209" w:rsidRDefault="00E376F3" w:rsidP="00D975AC">
      <w:pPr>
        <w:pStyle w:val="BodyText"/>
        <w:tabs>
          <w:tab w:val="clear" w:pos="1980"/>
          <w:tab w:val="left" w:pos="0"/>
        </w:tabs>
        <w:spacing w:line="360" w:lineRule="auto"/>
        <w:rPr>
          <w:rFonts w:ascii="Times New Roman" w:hAnsi="Times New Roman"/>
        </w:rPr>
      </w:pPr>
    </w:p>
    <w:p w:rsidR="00B8689C" w:rsidRPr="00605209" w:rsidRDefault="00B8689C" w:rsidP="00D975AC">
      <w:pPr>
        <w:pStyle w:val="BodyText"/>
        <w:tabs>
          <w:tab w:val="clear" w:pos="1980"/>
          <w:tab w:val="left" w:pos="-1710"/>
          <w:tab w:val="left" w:pos="-162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The tariff provision entitled Net Metering for Renewable Customer Generators was revised and the new tariff provision became effective on January 1, 2011, Electric Pa. P.U.C. No. 201, Third Revised Page No. 19L.2 (PPL Ex. 4).  Under the billing provisions portion, the tariff indicated the following:</w:t>
      </w:r>
    </w:p>
    <w:p w:rsidR="00B8689C" w:rsidRPr="00605209" w:rsidRDefault="00B8689C" w:rsidP="00D975AC">
      <w:pPr>
        <w:pStyle w:val="BodyText"/>
        <w:tabs>
          <w:tab w:val="left" w:pos="-1710"/>
          <w:tab w:val="left" w:pos="-1620"/>
        </w:tabs>
        <w:spacing w:line="360" w:lineRule="auto"/>
        <w:jc w:val="left"/>
        <w:rPr>
          <w:rFonts w:ascii="Times New Roman" w:hAnsi="Times New Roman"/>
        </w:rPr>
      </w:pPr>
    </w:p>
    <w:p w:rsidR="00B8689C" w:rsidRPr="00605209" w:rsidRDefault="00B8689C" w:rsidP="00D975AC">
      <w:pPr>
        <w:pStyle w:val="BodyText"/>
        <w:tabs>
          <w:tab w:val="left" w:pos="-1710"/>
          <w:tab w:val="left" w:pos="-1620"/>
        </w:tabs>
        <w:spacing w:line="240" w:lineRule="auto"/>
        <w:ind w:left="1440" w:right="1152"/>
        <w:jc w:val="left"/>
        <w:rPr>
          <w:rFonts w:ascii="Times New Roman" w:hAnsi="Times New Roman"/>
        </w:rPr>
      </w:pPr>
      <w:r w:rsidRPr="00605209">
        <w:rPr>
          <w:rFonts w:ascii="Times New Roman" w:hAnsi="Times New Roman"/>
        </w:rPr>
        <w:t xml:space="preserve">1.  The customer-generator will receive a credit for each kilowatt-hour received by the Company up to the total amount of electricity delivered to the Customer by the Company during the billing period at the full retail rate consistent with Commission regulations.  If a customer-generator supplies more electricity to the Company than the Company delivers to the customer-generator in a given billing period, the excess </w:t>
      </w:r>
      <w:r w:rsidR="00353EAC" w:rsidRPr="00605209">
        <w:rPr>
          <w:rFonts w:ascii="Times New Roman" w:hAnsi="Times New Roman"/>
        </w:rPr>
        <w:t>kilowatt-hours</w:t>
      </w:r>
      <w:r w:rsidRPr="00605209">
        <w:rPr>
          <w:rFonts w:ascii="Times New Roman" w:hAnsi="Times New Roman"/>
        </w:rPr>
        <w:t xml:space="preserve"> </w:t>
      </w:r>
      <w:r w:rsidR="00015F66" w:rsidRPr="00605209">
        <w:rPr>
          <w:rFonts w:ascii="Times New Roman" w:hAnsi="Times New Roman"/>
        </w:rPr>
        <w:t>shall be carried forward and credited against the cus</w:t>
      </w:r>
      <w:r w:rsidRPr="00605209">
        <w:rPr>
          <w:rFonts w:ascii="Times New Roman" w:hAnsi="Times New Roman"/>
        </w:rPr>
        <w:t>tomer-generator</w:t>
      </w:r>
      <w:r w:rsidR="00015F66" w:rsidRPr="00605209">
        <w:rPr>
          <w:rFonts w:ascii="Times New Roman" w:hAnsi="Times New Roman"/>
        </w:rPr>
        <w:t xml:space="preserve">’s usage in subsequent billing periods at the full retail rate.  Any excess </w:t>
      </w:r>
      <w:r w:rsidR="00353EAC" w:rsidRPr="00605209">
        <w:rPr>
          <w:rFonts w:ascii="Times New Roman" w:hAnsi="Times New Roman"/>
        </w:rPr>
        <w:t>kilowatt-hours</w:t>
      </w:r>
      <w:r w:rsidR="00015F66" w:rsidRPr="00605209">
        <w:rPr>
          <w:rFonts w:ascii="Times New Roman" w:hAnsi="Times New Roman"/>
        </w:rPr>
        <w:t xml:space="preserve"> will continue to accumulate until the end of the PJM planning period ending May 31 of each year.  On an annual basis consistent with the PJM planning period, the Company will compensate the customer-generator for kilowatt hours received from the customer-generator for kilowatt hours received from the customer-generator in excess of the kilowatt hours delivered by the Company to the customer-generator</w:t>
      </w:r>
      <w:r w:rsidRPr="00605209">
        <w:rPr>
          <w:rFonts w:ascii="Times New Roman" w:hAnsi="Times New Roman"/>
        </w:rPr>
        <w:t xml:space="preserve"> during the preceding year at the </w:t>
      </w:r>
      <w:r w:rsidR="00015F66" w:rsidRPr="00605209">
        <w:rPr>
          <w:rFonts w:ascii="Times New Roman" w:hAnsi="Times New Roman"/>
        </w:rPr>
        <w:t xml:space="preserve">Company’s Price to Compare </w:t>
      </w:r>
      <w:r w:rsidRPr="00605209">
        <w:rPr>
          <w:rFonts w:ascii="Times New Roman" w:hAnsi="Times New Roman"/>
        </w:rPr>
        <w:t>consistent with Commission regulations.  The customer-generator is responsible for the customer charge, demand charge and other applicable charges under the applicable Rate Schedule.</w:t>
      </w:r>
    </w:p>
    <w:p w:rsidR="00F14E39" w:rsidRPr="00605209" w:rsidRDefault="00F14E39" w:rsidP="00D975AC">
      <w:pPr>
        <w:pStyle w:val="BodyText"/>
        <w:tabs>
          <w:tab w:val="clear" w:pos="1980"/>
          <w:tab w:val="left" w:pos="0"/>
        </w:tabs>
        <w:spacing w:line="360" w:lineRule="auto"/>
        <w:jc w:val="left"/>
        <w:rPr>
          <w:rFonts w:ascii="Times New Roman" w:hAnsi="Times New Roman"/>
        </w:rPr>
      </w:pPr>
    </w:p>
    <w:p w:rsidR="00FA7D0A" w:rsidRPr="00605209" w:rsidRDefault="00FA7D0A"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015F66" w:rsidRPr="00605209">
        <w:rPr>
          <w:rFonts w:ascii="Times New Roman" w:hAnsi="Times New Roman"/>
        </w:rPr>
        <w:t xml:space="preserve">The evidence in the record demonstrates that the Respondent compensated the Complainant pursuant to its revised tariff.  </w:t>
      </w:r>
      <w:r w:rsidR="007D5678" w:rsidRPr="00605209">
        <w:rPr>
          <w:rFonts w:ascii="Times New Roman" w:hAnsi="Times New Roman"/>
        </w:rPr>
        <w:t xml:space="preserve">The </w:t>
      </w:r>
      <w:r w:rsidR="00015F66" w:rsidRPr="00605209">
        <w:rPr>
          <w:rFonts w:ascii="Times New Roman" w:hAnsi="Times New Roman"/>
        </w:rPr>
        <w:t>record shows that the Respondent credited the Complainant’s accounts in compliance with its tariffs.</w:t>
      </w:r>
    </w:p>
    <w:p w:rsidR="00C028EB" w:rsidRPr="00605209" w:rsidRDefault="00E376F3" w:rsidP="00D975AC">
      <w:pPr>
        <w:pStyle w:val="BodyText"/>
        <w:tabs>
          <w:tab w:val="clear" w:pos="1980"/>
          <w:tab w:val="left" w:pos="0"/>
        </w:tabs>
        <w:spacing w:line="360" w:lineRule="auto"/>
        <w:jc w:val="left"/>
        <w:rPr>
          <w:rFonts w:ascii="Times New Roman" w:hAnsi="Times New Roman"/>
        </w:rPr>
      </w:pPr>
      <w:r w:rsidRPr="00605209">
        <w:rPr>
          <w:rFonts w:ascii="Times New Roman" w:hAnsi="Times New Roman"/>
        </w:rPr>
        <w:lastRenderedPageBreak/>
        <w:tab/>
      </w:r>
      <w:r w:rsidRPr="00605209">
        <w:rPr>
          <w:rFonts w:ascii="Times New Roman" w:hAnsi="Times New Roman"/>
        </w:rPr>
        <w:tab/>
        <w:t>PPL provided the Complainant with a c</w:t>
      </w:r>
      <w:r w:rsidR="00C028EB" w:rsidRPr="00605209">
        <w:rPr>
          <w:rFonts w:ascii="Times New Roman" w:hAnsi="Times New Roman"/>
        </w:rPr>
        <w:t>ash out at the end of the 2012 PJM planning period in May 2012 for excess, unused generation remaining on the host account that was not consumed by either host or satellite.</w:t>
      </w:r>
      <w:r w:rsidRPr="00605209">
        <w:rPr>
          <w:rFonts w:ascii="Times New Roman" w:hAnsi="Times New Roman"/>
        </w:rPr>
        <w:t xml:space="preserve"> </w:t>
      </w:r>
      <w:r w:rsidR="00C028EB" w:rsidRPr="00605209">
        <w:rPr>
          <w:rFonts w:ascii="Times New Roman" w:hAnsi="Times New Roman"/>
        </w:rPr>
        <w:t xml:space="preserve"> It was based on the full retail rate of the Price to Compare of the host account pursuant to PPL Ex. 4 (Tr. 171). </w:t>
      </w:r>
    </w:p>
    <w:p w:rsidR="00C028EB" w:rsidRPr="00605209" w:rsidRDefault="00C028EB" w:rsidP="00D975AC">
      <w:pPr>
        <w:pStyle w:val="BodyText"/>
        <w:spacing w:line="360" w:lineRule="auto"/>
        <w:rPr>
          <w:rFonts w:ascii="Times New Roman" w:hAnsi="Times New Roman"/>
        </w:rPr>
      </w:pPr>
    </w:p>
    <w:p w:rsidR="00F73667" w:rsidRPr="00605209" w:rsidRDefault="00E376F3" w:rsidP="00D75EC0">
      <w:pPr>
        <w:pStyle w:val="BodyText"/>
        <w:tabs>
          <w:tab w:val="left" w:pos="0"/>
          <w:tab w:val="left" w:pos="1440"/>
        </w:tabs>
        <w:spacing w:line="360" w:lineRule="auto"/>
        <w:jc w:val="left"/>
        <w:rPr>
          <w:rFonts w:ascii="Times New Roman" w:hAnsi="Times New Roman"/>
        </w:rPr>
      </w:pPr>
      <w:r w:rsidRPr="00605209">
        <w:rPr>
          <w:rFonts w:ascii="Times New Roman" w:hAnsi="Times New Roman"/>
        </w:rPr>
        <w:tab/>
        <w:t>Since the Respondent did not apply credits b</w:t>
      </w:r>
      <w:r w:rsidR="00C028EB" w:rsidRPr="00605209">
        <w:rPr>
          <w:rFonts w:ascii="Times New Roman" w:hAnsi="Times New Roman"/>
        </w:rPr>
        <w:t xml:space="preserve">etween June 2010 and December </w:t>
      </w:r>
      <w:r w:rsidR="00353EAC" w:rsidRPr="00605209">
        <w:rPr>
          <w:rFonts w:ascii="Times New Roman" w:hAnsi="Times New Roman"/>
        </w:rPr>
        <w:t>2010,</w:t>
      </w:r>
      <w:r w:rsidR="00C028EB" w:rsidRPr="00605209">
        <w:rPr>
          <w:rFonts w:ascii="Times New Roman" w:hAnsi="Times New Roman"/>
        </w:rPr>
        <w:t xml:space="preserve"> </w:t>
      </w:r>
      <w:r w:rsidRPr="00605209">
        <w:rPr>
          <w:rFonts w:ascii="Times New Roman" w:hAnsi="Times New Roman"/>
        </w:rPr>
        <w:t xml:space="preserve">the Respondent prepared a </w:t>
      </w:r>
      <w:r w:rsidR="00353EAC" w:rsidRPr="00605209">
        <w:rPr>
          <w:rFonts w:ascii="Times New Roman" w:hAnsi="Times New Roman"/>
        </w:rPr>
        <w:t>document, which</w:t>
      </w:r>
      <w:r w:rsidR="00C028EB" w:rsidRPr="00605209">
        <w:rPr>
          <w:rFonts w:ascii="Times New Roman" w:hAnsi="Times New Roman"/>
        </w:rPr>
        <w:t xml:space="preserve"> tracks the maximum benefit that the complainant would have received if he qualified for virtual metering during the period from March 2009 through </w:t>
      </w:r>
      <w:r w:rsidR="007D5678" w:rsidRPr="00605209">
        <w:rPr>
          <w:rFonts w:ascii="Times New Roman" w:hAnsi="Times New Roman"/>
        </w:rPr>
        <w:t xml:space="preserve">February 2015, Mr. Moyer's alternative energy system generated a total of approximately 28,485 kWh and his residential property used a total of approximately 31,592 kWh, which means that Mr. Moyer used a total of approximately 3,107 kWh more than his alternative energy system generated (PPL. Ex. AFC-5).  The total full retail rate value for the total excess kWh produced by Mr. Moyer's alternative energy system </w:t>
      </w:r>
      <w:r w:rsidR="007533DD" w:rsidRPr="00605209">
        <w:rPr>
          <w:rFonts w:ascii="Times New Roman" w:hAnsi="Times New Roman"/>
        </w:rPr>
        <w:t xml:space="preserve">between </w:t>
      </w:r>
      <w:r w:rsidR="007D5678" w:rsidRPr="00605209">
        <w:rPr>
          <w:rFonts w:ascii="Times New Roman" w:hAnsi="Times New Roman"/>
        </w:rPr>
        <w:t xml:space="preserve">March 2009 </w:t>
      </w:r>
      <w:r w:rsidR="005D5217">
        <w:rPr>
          <w:rFonts w:ascii="Times New Roman" w:hAnsi="Times New Roman"/>
        </w:rPr>
        <w:t>and</w:t>
      </w:r>
      <w:r w:rsidR="007D5678" w:rsidRPr="00605209">
        <w:rPr>
          <w:rFonts w:ascii="Times New Roman" w:hAnsi="Times New Roman"/>
        </w:rPr>
        <w:t xml:space="preserve"> February 2015 is $3,340.73.</w:t>
      </w:r>
      <w:r w:rsidR="005966C8" w:rsidRPr="00605209">
        <w:rPr>
          <w:rFonts w:ascii="Times New Roman" w:hAnsi="Times New Roman"/>
        </w:rPr>
        <w:t xml:space="preserve"> </w:t>
      </w:r>
      <w:r w:rsidR="007D5678" w:rsidRPr="00605209">
        <w:rPr>
          <w:rFonts w:ascii="Times New Roman" w:hAnsi="Times New Roman"/>
        </w:rPr>
        <w:t xml:space="preserve"> This is the total amount of credits and cash outs that Mr. Moyer could have received if his alternative energy system was eligible and participated in virtual net meter aggregation </w:t>
      </w:r>
      <w:r w:rsidR="0045557C" w:rsidRPr="00605209">
        <w:rPr>
          <w:rFonts w:ascii="Times New Roman" w:hAnsi="Times New Roman"/>
        </w:rPr>
        <w:t xml:space="preserve">between </w:t>
      </w:r>
      <w:r w:rsidR="007D5678" w:rsidRPr="00605209">
        <w:rPr>
          <w:rFonts w:ascii="Times New Roman" w:hAnsi="Times New Roman"/>
        </w:rPr>
        <w:t xml:space="preserve">March 2009 </w:t>
      </w:r>
      <w:r w:rsidR="005D5217">
        <w:rPr>
          <w:rFonts w:ascii="Times New Roman" w:hAnsi="Times New Roman"/>
        </w:rPr>
        <w:t>and</w:t>
      </w:r>
      <w:r w:rsidR="007D5678" w:rsidRPr="00605209">
        <w:rPr>
          <w:rFonts w:ascii="Times New Roman" w:hAnsi="Times New Roman"/>
        </w:rPr>
        <w:t xml:space="preserve"> February 2015.  The total credits actually applied to Mr. Moyer's satellite account was $2,245.37, and Mr. Moyer was actually issued a total of $535.41 in cash-outs, which means that Mr. Moyer actually received a total of $2,780.78 of credits and cash-outs during the time period from March 2009 through February 2015.</w:t>
      </w:r>
      <w:r w:rsidR="0045557C" w:rsidRPr="00605209">
        <w:rPr>
          <w:rFonts w:ascii="Times New Roman" w:hAnsi="Times New Roman"/>
        </w:rPr>
        <w:t xml:space="preserve"> </w:t>
      </w:r>
      <w:r w:rsidR="007D5678" w:rsidRPr="00605209">
        <w:rPr>
          <w:rFonts w:ascii="Times New Roman" w:hAnsi="Times New Roman"/>
        </w:rPr>
        <w:t xml:space="preserve"> The difference in what Mr. Moyer actually received and what he could have received if his alternative energy system was eligible and participated in virtual net meter aggregation during the entire time period from March 2009 through February 2015 is $559.95. With interest, the amount owed to Mr. Moyer if his alternative energy system were eligible and participated in virtual net meter aggregation </w:t>
      </w:r>
      <w:r w:rsidR="0045557C" w:rsidRPr="00605209">
        <w:rPr>
          <w:rFonts w:ascii="Times New Roman" w:hAnsi="Times New Roman"/>
        </w:rPr>
        <w:t>between</w:t>
      </w:r>
      <w:r w:rsidR="007D5678" w:rsidRPr="00605209">
        <w:rPr>
          <w:rFonts w:ascii="Times New Roman" w:hAnsi="Times New Roman"/>
        </w:rPr>
        <w:t xml:space="preserve"> March 2009 </w:t>
      </w:r>
      <w:r w:rsidR="005D5217">
        <w:rPr>
          <w:rFonts w:ascii="Times New Roman" w:hAnsi="Times New Roman"/>
        </w:rPr>
        <w:t>and</w:t>
      </w:r>
      <w:r w:rsidR="007D5678" w:rsidRPr="00605209">
        <w:rPr>
          <w:rFonts w:ascii="Times New Roman" w:hAnsi="Times New Roman"/>
        </w:rPr>
        <w:t xml:space="preserve"> February 2015 is $738.98.  </w:t>
      </w:r>
      <w:r w:rsidR="00776A2D" w:rsidRPr="00605209">
        <w:rPr>
          <w:rFonts w:ascii="Times New Roman" w:hAnsi="Times New Roman"/>
        </w:rPr>
        <w:t xml:space="preserve">The Respondent </w:t>
      </w:r>
      <w:r w:rsidR="007D5678" w:rsidRPr="00605209">
        <w:rPr>
          <w:rFonts w:ascii="Times New Roman" w:hAnsi="Times New Roman"/>
        </w:rPr>
        <w:t xml:space="preserve">agreed to pay </w:t>
      </w:r>
      <w:r w:rsidRPr="00605209">
        <w:rPr>
          <w:rFonts w:ascii="Times New Roman" w:hAnsi="Times New Roman"/>
        </w:rPr>
        <w:t xml:space="preserve">the Complainant </w:t>
      </w:r>
      <w:r w:rsidR="007D5678" w:rsidRPr="00605209">
        <w:rPr>
          <w:rFonts w:ascii="Times New Roman" w:hAnsi="Times New Roman"/>
        </w:rPr>
        <w:t xml:space="preserve">$738.98 (PPL Electric </w:t>
      </w:r>
      <w:r w:rsidR="000F7C30" w:rsidRPr="00605209">
        <w:rPr>
          <w:rFonts w:ascii="Times New Roman" w:hAnsi="Times New Roman"/>
        </w:rPr>
        <w:t xml:space="preserve">Brief </w:t>
      </w:r>
      <w:r w:rsidR="00F14E39" w:rsidRPr="006306B0">
        <w:rPr>
          <w:rFonts w:ascii="Times New Roman" w:hAnsi="Times New Roman"/>
        </w:rPr>
        <w:t>at</w:t>
      </w:r>
      <w:r w:rsidR="00F14E39" w:rsidRPr="00605209">
        <w:rPr>
          <w:rFonts w:ascii="Times New Roman" w:hAnsi="Times New Roman"/>
        </w:rPr>
        <w:t xml:space="preserve"> </w:t>
      </w:r>
      <w:r w:rsidR="006306B0">
        <w:rPr>
          <w:rFonts w:ascii="Times New Roman" w:hAnsi="Times New Roman"/>
        </w:rPr>
        <w:t xml:space="preserve">20; </w:t>
      </w:r>
      <w:r w:rsidR="006306B0" w:rsidRPr="006306B0">
        <w:rPr>
          <w:rFonts w:ascii="Times New Roman" w:hAnsi="Times New Roman"/>
        </w:rPr>
        <w:t>PPL St. No. 1</w:t>
      </w:r>
      <w:r w:rsidR="005D5217">
        <w:rPr>
          <w:rFonts w:ascii="Times New Roman" w:hAnsi="Times New Roman"/>
        </w:rPr>
        <w:t xml:space="preserve"> at</w:t>
      </w:r>
      <w:r w:rsidR="006306B0" w:rsidRPr="006306B0">
        <w:rPr>
          <w:rFonts w:ascii="Times New Roman" w:hAnsi="Times New Roman"/>
        </w:rPr>
        <w:t xml:space="preserve"> 24; PPL Ex. APC-5</w:t>
      </w:r>
      <w:r w:rsidR="007D5678" w:rsidRPr="00605209">
        <w:rPr>
          <w:rFonts w:ascii="Times New Roman" w:hAnsi="Times New Roman"/>
        </w:rPr>
        <w:t>)</w:t>
      </w:r>
      <w:r w:rsidR="00776A2D" w:rsidRPr="00605209">
        <w:rPr>
          <w:rFonts w:ascii="Times New Roman" w:hAnsi="Times New Roman"/>
        </w:rPr>
        <w:t>.</w:t>
      </w:r>
    </w:p>
    <w:p w:rsidR="00E376F3" w:rsidRPr="00605209" w:rsidRDefault="00E376F3" w:rsidP="00D975AC">
      <w:pPr>
        <w:pStyle w:val="BodyText"/>
        <w:tabs>
          <w:tab w:val="clear" w:pos="1980"/>
          <w:tab w:val="left" w:pos="0"/>
        </w:tabs>
        <w:spacing w:line="360" w:lineRule="auto"/>
        <w:rPr>
          <w:rFonts w:ascii="Times New Roman" w:hAnsi="Times New Roman"/>
        </w:rPr>
      </w:pPr>
    </w:p>
    <w:p w:rsidR="00966064" w:rsidRPr="00605209" w:rsidRDefault="00C5012C" w:rsidP="00D975AC">
      <w:pPr>
        <w:pStyle w:val="BodyText"/>
        <w:tabs>
          <w:tab w:val="clear" w:pos="1980"/>
          <w:tab w:val="left" w:pos="0"/>
        </w:tabs>
        <w:spacing w:line="360" w:lineRule="auto"/>
        <w:rPr>
          <w:rFonts w:ascii="Times New Roman" w:hAnsi="Times New Roman"/>
          <w:u w:val="single"/>
        </w:rPr>
      </w:pPr>
      <w:r w:rsidRPr="00605209">
        <w:rPr>
          <w:rFonts w:ascii="Times New Roman" w:hAnsi="Times New Roman"/>
        </w:rPr>
        <w:t xml:space="preserve">3. </w:t>
      </w:r>
      <w:r w:rsidR="00966064" w:rsidRPr="00605209">
        <w:rPr>
          <w:rFonts w:ascii="Times New Roman" w:hAnsi="Times New Roman"/>
          <w:u w:val="single"/>
        </w:rPr>
        <w:t xml:space="preserve">Damages and </w:t>
      </w:r>
      <w:r w:rsidR="00F14E39" w:rsidRPr="00605209">
        <w:rPr>
          <w:rFonts w:ascii="Times New Roman" w:hAnsi="Times New Roman"/>
          <w:u w:val="single"/>
        </w:rPr>
        <w:t>civil penalties</w:t>
      </w:r>
    </w:p>
    <w:p w:rsidR="00966064" w:rsidRPr="00605209" w:rsidRDefault="00966064" w:rsidP="00966064">
      <w:pPr>
        <w:pStyle w:val="BodyText2"/>
      </w:pPr>
    </w:p>
    <w:p w:rsidR="00F14E39" w:rsidRPr="00605209" w:rsidRDefault="00F14E39" w:rsidP="00966064">
      <w:pPr>
        <w:pStyle w:val="BodyText2"/>
      </w:pPr>
      <w:r w:rsidRPr="00605209">
        <w:tab/>
      </w:r>
      <w:r w:rsidRPr="00605209">
        <w:tab/>
      </w:r>
      <w:r w:rsidRPr="00243B68">
        <w:t xml:space="preserve">Although the undersigned does not find that the Respondent violated the Public Utility Code, AEPS Act, the Commission’s net metering regulations or its tariff, the positions of </w:t>
      </w:r>
      <w:r w:rsidRPr="00243B68">
        <w:lastRenderedPageBreak/>
        <w:t>the parties regarding damages and civil penalties will be addressed in this Remand proceeding.</w:t>
      </w:r>
      <w:r w:rsidR="0045557C" w:rsidRPr="00243B68">
        <w:t xml:space="preserve">  In the </w:t>
      </w:r>
      <w:r w:rsidR="00EC685D" w:rsidRPr="00243B68">
        <w:rPr>
          <w:i/>
        </w:rPr>
        <w:t>January 2014 Order</w:t>
      </w:r>
      <w:r w:rsidR="00243B68">
        <w:t xml:space="preserve"> in this proceeding,</w:t>
      </w:r>
      <w:r w:rsidR="00EC685D" w:rsidRPr="00243B68">
        <w:t xml:space="preserve"> </w:t>
      </w:r>
      <w:r w:rsidR="0045557C" w:rsidRPr="00243B68">
        <w:t>the Commission requested additional information from the Respondent</w:t>
      </w:r>
      <w:r w:rsidR="00243B68">
        <w:t xml:space="preserve"> and vacated the Initial Decision</w:t>
      </w:r>
      <w:r w:rsidR="0045557C" w:rsidRPr="00243B68">
        <w:t>.</w:t>
      </w:r>
      <w:r w:rsidR="0045557C" w:rsidRPr="00605209">
        <w:t xml:space="preserve">  </w:t>
      </w:r>
    </w:p>
    <w:p w:rsidR="00F14E39" w:rsidRPr="00605209" w:rsidRDefault="00F14E39" w:rsidP="00966064">
      <w:pPr>
        <w:pStyle w:val="BodyText2"/>
      </w:pPr>
    </w:p>
    <w:p w:rsidR="00966064" w:rsidRPr="00605209" w:rsidRDefault="00966064" w:rsidP="00D75EC0">
      <w:pPr>
        <w:pStyle w:val="BodyText2"/>
        <w:jc w:val="left"/>
      </w:pPr>
      <w:r w:rsidRPr="00605209">
        <w:tab/>
      </w:r>
      <w:r w:rsidRPr="00605209">
        <w:tab/>
        <w:t xml:space="preserve">In his Main Brief, the Complainant presents additional requests for relief.  First, the Complainant requests that the Commission award “a reasonable estimate of appropriate compensation” in addition to his claim for a refund of demand/customer charges and compensation of credits allegedly owed for the period of June 2010 through December 2010.  Second, the Complainant requests that the Commission impose civil penalties for </w:t>
      </w:r>
      <w:r w:rsidR="00F04793">
        <w:t>alleg</w:t>
      </w:r>
      <w:r w:rsidRPr="00605209">
        <w:t>ed violations of the Public Utility Code, AEPS Act, and the Commission’s net metering regulations.  Third, the Complainant proposes, for the first time in his Main Brief, a plan to implement his requested changes to PPL Electric’s virtual meter aggregation program and billing process.  Fourth, the Complainant requests that his solar facilities be permanently qualified for virtual meter aggregation (</w:t>
      </w:r>
      <w:r w:rsidR="002C58E9" w:rsidRPr="00605209">
        <w:t xml:space="preserve">Moyer Brief at </w:t>
      </w:r>
      <w:r w:rsidRPr="00605209">
        <w:t>23-26)</w:t>
      </w:r>
      <w:r w:rsidR="002C58E9" w:rsidRPr="00605209">
        <w:t>.</w:t>
      </w:r>
      <w:r w:rsidRPr="00605209">
        <w:t xml:space="preserve">  </w:t>
      </w:r>
    </w:p>
    <w:p w:rsidR="00966064" w:rsidRPr="00605209" w:rsidRDefault="00966064" w:rsidP="00966064">
      <w:pPr>
        <w:pStyle w:val="BodyText2"/>
      </w:pPr>
    </w:p>
    <w:p w:rsidR="005966C8" w:rsidRPr="00605209" w:rsidRDefault="00966064" w:rsidP="00D75EC0">
      <w:pPr>
        <w:pStyle w:val="BodyText2"/>
        <w:jc w:val="left"/>
      </w:pPr>
      <w:r w:rsidRPr="00605209">
        <w:tab/>
      </w:r>
      <w:r w:rsidRPr="00605209">
        <w:tab/>
        <w:t>The Complainant requests that the Commission award “a reasonable estimate of appropriate compensation” in addition to his claim for a refund of demand/customer charges and compensation of credits allegedly owed for the period of June 2010 through December 2010.  (</w:t>
      </w:r>
      <w:r w:rsidR="000F7C30" w:rsidRPr="00605209">
        <w:t>Moyer Brief</w:t>
      </w:r>
      <w:r w:rsidRPr="00605209">
        <w:t xml:space="preserve"> at 23-24)  </w:t>
      </w:r>
    </w:p>
    <w:p w:rsidR="005966C8" w:rsidRPr="00605209" w:rsidRDefault="005966C8" w:rsidP="00D75EC0">
      <w:pPr>
        <w:pStyle w:val="BodyText2"/>
        <w:jc w:val="left"/>
      </w:pPr>
    </w:p>
    <w:p w:rsidR="00966064" w:rsidRPr="00605209" w:rsidRDefault="005966C8" w:rsidP="00D75EC0">
      <w:pPr>
        <w:pStyle w:val="BodyText2"/>
        <w:jc w:val="left"/>
      </w:pPr>
      <w:r w:rsidRPr="00605209">
        <w:tab/>
      </w:r>
      <w:r w:rsidRPr="00605209">
        <w:tab/>
      </w:r>
      <w:r w:rsidR="00966064" w:rsidRPr="00605209">
        <w:t xml:space="preserve">The </w:t>
      </w:r>
      <w:r w:rsidRPr="00605209">
        <w:t xml:space="preserve">Respondent contends that the </w:t>
      </w:r>
      <w:r w:rsidR="00966064" w:rsidRPr="00605209">
        <w:t xml:space="preserve">Complainant’s request is nothing more than a claim for monetary damages.  It is well established that the Commission does not have the jurisdiction to order a public utility to pay monetary damages.  </w:t>
      </w:r>
      <w:r w:rsidR="00966064" w:rsidRPr="00605209">
        <w:rPr>
          <w:i/>
        </w:rPr>
        <w:t>See Byer v. Peoples Natural Gas Co.</w:t>
      </w:r>
      <w:r w:rsidR="00966064" w:rsidRPr="00605209">
        <w:t xml:space="preserve">, 380 A.2d 383 (Pa. Super. 1977) (holding that the Commission does not have the authority to award damages); </w:t>
      </w:r>
      <w:r w:rsidR="00966064" w:rsidRPr="00605209">
        <w:rPr>
          <w:i/>
        </w:rPr>
        <w:t>Feingold v. Bell of Pennsylvania</w:t>
      </w:r>
      <w:r w:rsidR="00966064" w:rsidRPr="00605209">
        <w:t xml:space="preserve">, 477 Pa. 1, 383 A.2d 791 (1977) (holding that the Commission does not have the authority to award damages), </w:t>
      </w:r>
      <w:r w:rsidR="00966064" w:rsidRPr="00605209">
        <w:rPr>
          <w:i/>
        </w:rPr>
        <w:t>DeFrancesco v. Western Pennsylvania Water Company</w:t>
      </w:r>
      <w:r w:rsidR="00966064" w:rsidRPr="00605209">
        <w:t xml:space="preserve">, 499 Pa. 374, 453 A.2d 595 (1982); </w:t>
      </w:r>
      <w:r w:rsidR="00966064" w:rsidRPr="00605209">
        <w:rPr>
          <w:i/>
        </w:rPr>
        <w:t>Elkin v. Bell of Pa.</w:t>
      </w:r>
      <w:r w:rsidR="00966064" w:rsidRPr="00605209">
        <w:t xml:space="preserve">, 491 Pa. 123, 420 A.2d 371 (1980).  Therefore, the Complainant’s request for damages must be denied.  </w:t>
      </w:r>
    </w:p>
    <w:p w:rsidR="00966064" w:rsidRPr="00605209" w:rsidRDefault="00966064" w:rsidP="00966064">
      <w:pPr>
        <w:pStyle w:val="BodyText2"/>
      </w:pPr>
    </w:p>
    <w:p w:rsidR="00F14E39" w:rsidRPr="00605209" w:rsidRDefault="00966064" w:rsidP="00E16EE9">
      <w:pPr>
        <w:pStyle w:val="BodyText2"/>
        <w:jc w:val="left"/>
      </w:pPr>
      <w:r w:rsidRPr="00605209">
        <w:lastRenderedPageBreak/>
        <w:tab/>
      </w:r>
      <w:r w:rsidRPr="00605209">
        <w:tab/>
        <w:t>The Complainant also requests that the Company be fined $98,000 (which represents the 98 virtual net metering customers) and assessed a further $1,000 civil penalty (</w:t>
      </w:r>
      <w:r w:rsidR="000F7C30" w:rsidRPr="00605209">
        <w:t>Moyer Brief</w:t>
      </w:r>
      <w:r w:rsidRPr="00605209">
        <w:t xml:space="preserve"> at 24, 26)</w:t>
      </w:r>
      <w:r w:rsidR="002C58E9" w:rsidRPr="00605209">
        <w:t>.</w:t>
      </w:r>
      <w:r w:rsidRPr="00605209">
        <w:t xml:space="preserve">  </w:t>
      </w:r>
    </w:p>
    <w:p w:rsidR="00F14E39" w:rsidRPr="00605209" w:rsidRDefault="00F14E39" w:rsidP="00E16EE9">
      <w:pPr>
        <w:pStyle w:val="BodyText2"/>
        <w:jc w:val="left"/>
      </w:pPr>
    </w:p>
    <w:p w:rsidR="00966064" w:rsidRPr="00605209" w:rsidRDefault="00F14E39" w:rsidP="00E16EE9">
      <w:pPr>
        <w:pStyle w:val="BodyText2"/>
        <w:jc w:val="left"/>
      </w:pPr>
      <w:r w:rsidRPr="00605209">
        <w:tab/>
      </w:r>
      <w:r w:rsidRPr="00605209">
        <w:tab/>
      </w:r>
      <w:r w:rsidR="00966064" w:rsidRPr="00605209">
        <w:t xml:space="preserve">The Respondent requests that the Complainant’s request for civil penalties be denied.  </w:t>
      </w:r>
      <w:r w:rsidR="005966C8" w:rsidRPr="00605209">
        <w:t>The Respondent explained that u</w:t>
      </w:r>
      <w:r w:rsidR="00966064" w:rsidRPr="00605209">
        <w:t xml:space="preserve">nder </w:t>
      </w:r>
      <w:r w:rsidRPr="00605209">
        <w:t xml:space="preserve">§ </w:t>
      </w:r>
      <w:r w:rsidR="00966064" w:rsidRPr="00605209">
        <w:t xml:space="preserve">69.1201 of the Commission’s regulations, the Commission considers several factors and standards in determining whether a fine for violating a Commission order, regulation, or statute is appropriate, and if so, the amount of such fine (i.e., the </w:t>
      </w:r>
      <w:r w:rsidRPr="00605209">
        <w:rPr>
          <w:i/>
          <w:iCs/>
        </w:rPr>
        <w:t>Rosi</w:t>
      </w:r>
      <w:r w:rsidR="00966064" w:rsidRPr="00605209">
        <w:rPr>
          <w:i/>
          <w:iCs/>
        </w:rPr>
        <w:t xml:space="preserve"> </w:t>
      </w:r>
      <w:r w:rsidR="00966064" w:rsidRPr="00605209">
        <w:t xml:space="preserve">standards).  </w:t>
      </w:r>
      <w:r w:rsidR="00966064" w:rsidRPr="00605209">
        <w:rPr>
          <w:i/>
        </w:rPr>
        <w:t xml:space="preserve">See </w:t>
      </w:r>
      <w:r w:rsidR="00966064" w:rsidRPr="00605209">
        <w:t>52 Pa.Code §</w:t>
      </w:r>
      <w:r w:rsidRPr="00605209">
        <w:t xml:space="preserve"> </w:t>
      </w:r>
      <w:r w:rsidR="00966064" w:rsidRPr="00605209">
        <w:t xml:space="preserve">69.1201; </w:t>
      </w:r>
      <w:r w:rsidR="00966064" w:rsidRPr="00605209">
        <w:rPr>
          <w:i/>
          <w:iCs/>
        </w:rPr>
        <w:t xml:space="preserve">see also </w:t>
      </w:r>
      <w:r w:rsidRPr="00605209">
        <w:rPr>
          <w:i/>
          <w:iCs/>
        </w:rPr>
        <w:t>Rosi</w:t>
      </w:r>
      <w:r w:rsidR="00966064" w:rsidRPr="00605209">
        <w:rPr>
          <w:i/>
          <w:iCs/>
        </w:rPr>
        <w:t xml:space="preserve"> v. Bell – Atlantic Pa., Inc.</w:t>
      </w:r>
      <w:r w:rsidR="00966064" w:rsidRPr="00605209">
        <w:t xml:space="preserve">, Docket No. C-00992409 (Order Entered Mar. 16, 2000).  However, when evaluating the </w:t>
      </w:r>
      <w:r w:rsidRPr="00605209">
        <w:rPr>
          <w:i/>
          <w:iCs/>
        </w:rPr>
        <w:t>Rosi</w:t>
      </w:r>
      <w:r w:rsidR="00966064" w:rsidRPr="00605209">
        <w:t xml:space="preserve"> standards here, a fine is not appropriate in this case</w:t>
      </w:r>
      <w:r w:rsidRPr="00605209">
        <w:t xml:space="preserve"> (PPL Electric Brief at </w:t>
      </w:r>
      <w:r w:rsidR="00F04793">
        <w:t>5</w:t>
      </w:r>
      <w:r w:rsidR="005F45D5">
        <w:t>3</w:t>
      </w:r>
      <w:r w:rsidRPr="00605209">
        <w:t>)</w:t>
      </w:r>
      <w:r w:rsidR="00966064" w:rsidRPr="00605209">
        <w:t xml:space="preserve">. </w:t>
      </w:r>
    </w:p>
    <w:p w:rsidR="00D75EC0" w:rsidRPr="00605209" w:rsidRDefault="00D75EC0" w:rsidP="00966064">
      <w:pPr>
        <w:pStyle w:val="BodyText2"/>
      </w:pPr>
    </w:p>
    <w:p w:rsidR="00966064" w:rsidRPr="00605209" w:rsidRDefault="00966064" w:rsidP="000B555B">
      <w:pPr>
        <w:pStyle w:val="BodyText2"/>
        <w:jc w:val="left"/>
      </w:pPr>
      <w:r w:rsidRPr="00605209">
        <w:tab/>
      </w:r>
      <w:r w:rsidRPr="00605209">
        <w:tab/>
        <w:t>First, the conduct was not of a “serious n</w:t>
      </w:r>
      <w:r w:rsidR="00D75EC0" w:rsidRPr="00605209">
        <w:t>ature.” 52 Pa.Code</w:t>
      </w:r>
      <w:r w:rsidR="00FC00C0" w:rsidRPr="00605209">
        <w:t xml:space="preserve"> </w:t>
      </w:r>
      <w:r w:rsidRPr="00605209">
        <w:t xml:space="preserve">§ 69.1201(c)(1).  There is nothing in the record to demonstrate that PPL Electric’s virtual meter aggregation and billing processes have violated any provisions of the Public Utility Code, the AEPS Act, the Commission’s regulations, or PPL Electric’s tariff.  The Respondent maintains that it </w:t>
      </w:r>
      <w:r w:rsidR="0045557C" w:rsidRPr="00605209">
        <w:t xml:space="preserve">has </w:t>
      </w:r>
      <w:r w:rsidRPr="00605209">
        <w:t xml:space="preserve">strictly adhered to the language set forth in its Commission-approved tariff and charged the Complainant appropriately.  Therefore, PPL Electric should not be penalized for </w:t>
      </w:r>
      <w:r w:rsidR="0045557C" w:rsidRPr="00605209">
        <w:t xml:space="preserve">complying with </w:t>
      </w:r>
      <w:r w:rsidRPr="00605209">
        <w:t xml:space="preserve">its Commission-approved tariff.  </w:t>
      </w:r>
    </w:p>
    <w:p w:rsidR="00966064" w:rsidRPr="00605209" w:rsidRDefault="00966064" w:rsidP="000B555B">
      <w:pPr>
        <w:pStyle w:val="BodyText2"/>
        <w:jc w:val="left"/>
      </w:pPr>
    </w:p>
    <w:p w:rsidR="00966064" w:rsidRPr="00605209" w:rsidRDefault="00966064" w:rsidP="000B555B">
      <w:pPr>
        <w:pStyle w:val="BodyText2"/>
        <w:jc w:val="left"/>
      </w:pPr>
      <w:r w:rsidRPr="00605209">
        <w:tab/>
      </w:r>
      <w:r w:rsidRPr="00605209">
        <w:tab/>
        <w:t>Second, the resulting consequen</w:t>
      </w:r>
      <w:r w:rsidR="000B555B" w:rsidRPr="00605209">
        <w:t>ces of the Company’s conduct were</w:t>
      </w:r>
      <w:r w:rsidRPr="00605209">
        <w:t xml:space="preserve"> not “of a serious nature.” </w:t>
      </w:r>
      <w:r w:rsidRPr="00605209">
        <w:rPr>
          <w:i/>
          <w:iCs/>
        </w:rPr>
        <w:t>Id.</w:t>
      </w:r>
      <w:r w:rsidRPr="00605209">
        <w:t xml:space="preserve"> §</w:t>
      </w:r>
      <w:r w:rsidR="002C2F4C" w:rsidRPr="00605209">
        <w:t xml:space="preserve"> </w:t>
      </w:r>
      <w:r w:rsidRPr="00605209">
        <w:t xml:space="preserve">69.1201(c)(2).  PPL Electric’s actions resulted in no personal injury or property damage.  </w:t>
      </w:r>
      <w:r w:rsidR="00243B68">
        <w:t xml:space="preserve">In addition, the Respondent has agreed to </w:t>
      </w:r>
      <w:r w:rsidRPr="00243B68">
        <w:t>credit the Complainant’s account for $738.98 for the period during which he was not participating in the virtual meter aggregation program</w:t>
      </w:r>
      <w:r w:rsidR="00243B68">
        <w:t>.</w:t>
      </w:r>
      <w:r w:rsidRPr="00605209">
        <w:t xml:space="preserve"> </w:t>
      </w:r>
    </w:p>
    <w:p w:rsidR="00243B68" w:rsidRDefault="00243B68" w:rsidP="000B555B">
      <w:pPr>
        <w:pStyle w:val="BodyText2"/>
        <w:jc w:val="left"/>
      </w:pPr>
    </w:p>
    <w:p w:rsidR="00966064" w:rsidRPr="00605209" w:rsidRDefault="00966064" w:rsidP="000B555B">
      <w:pPr>
        <w:pStyle w:val="BodyText2"/>
        <w:jc w:val="left"/>
      </w:pPr>
      <w:r w:rsidRPr="00605209">
        <w:tab/>
      </w:r>
      <w:r w:rsidRPr="00605209">
        <w:tab/>
        <w:t xml:space="preserve">Third, the Commission evaluates whether the utility’s conduct was “intentional or negligent.”  </w:t>
      </w:r>
      <w:r w:rsidRPr="00605209">
        <w:rPr>
          <w:i/>
          <w:iCs/>
        </w:rPr>
        <w:t>Id.</w:t>
      </w:r>
      <w:r w:rsidRPr="00605209">
        <w:t xml:space="preserve"> § 69.1201(c)(3).  The record demonstrates that PPL Electric always has been operating pursuant to its reasonable interpretation of the Commission’s regulations, the AEPS Act, the Public Utility Code, and its Commission-approved tariff.</w:t>
      </w:r>
      <w:r w:rsidR="002C2F4C" w:rsidRPr="00605209">
        <w:t xml:space="preserve"> </w:t>
      </w:r>
      <w:r w:rsidRPr="00605209">
        <w:t xml:space="preserve"> PPL Electric cannot be subject to penalties because it was only enforcing its Commission-approved tariff.  </w:t>
      </w:r>
      <w:r w:rsidRPr="00605209">
        <w:rPr>
          <w:i/>
        </w:rPr>
        <w:t>See</w:t>
      </w:r>
      <w:r w:rsidRPr="00605209">
        <w:t xml:space="preserve"> 66 Pa.C.S. </w:t>
      </w:r>
    </w:p>
    <w:p w:rsidR="00966064" w:rsidRPr="00605209" w:rsidRDefault="00966064" w:rsidP="000B555B">
      <w:pPr>
        <w:pStyle w:val="BodyText2"/>
        <w:jc w:val="left"/>
      </w:pPr>
      <w:r w:rsidRPr="00605209">
        <w:lastRenderedPageBreak/>
        <w:t xml:space="preserve">§ 3303.  Therefore, the </w:t>
      </w:r>
      <w:r w:rsidR="002C2F4C" w:rsidRPr="00605209">
        <w:t>Respondent submits that it did not</w:t>
      </w:r>
      <w:r w:rsidRPr="00605209">
        <w:t xml:space="preserve"> intentionally or negligently violate the applicable laws</w:t>
      </w:r>
      <w:r w:rsidR="0045557C" w:rsidRPr="00605209">
        <w:t xml:space="preserve">, </w:t>
      </w:r>
      <w:r w:rsidRPr="00605209">
        <w:t xml:space="preserve">regulations or </w:t>
      </w:r>
      <w:r w:rsidR="002C2F4C" w:rsidRPr="00605209">
        <w:t>i</w:t>
      </w:r>
      <w:r w:rsidRPr="00605209">
        <w:t>t</w:t>
      </w:r>
      <w:r w:rsidR="002C2F4C" w:rsidRPr="00605209">
        <w:t>s</w:t>
      </w:r>
      <w:r w:rsidRPr="00605209">
        <w:t xml:space="preserve"> tariff. </w:t>
      </w:r>
    </w:p>
    <w:p w:rsidR="00966064" w:rsidRPr="00605209" w:rsidRDefault="00966064" w:rsidP="000B555B">
      <w:pPr>
        <w:pStyle w:val="BodyText2"/>
        <w:jc w:val="left"/>
      </w:pPr>
    </w:p>
    <w:p w:rsidR="0045557C" w:rsidRPr="00605209" w:rsidRDefault="00966064" w:rsidP="000B555B">
      <w:pPr>
        <w:pStyle w:val="BodyText2"/>
        <w:jc w:val="left"/>
      </w:pPr>
      <w:r w:rsidRPr="00605209">
        <w:tab/>
      </w:r>
      <w:r w:rsidRPr="00605209">
        <w:tab/>
        <w:t>Fourth, the Company has “made efforts to modify internal practices and procedures to address the conduct at issue and prevent similar conduct in the future.”</w:t>
      </w:r>
      <w:r w:rsidR="0045557C" w:rsidRPr="00605209">
        <w:t xml:space="preserve"> </w:t>
      </w:r>
      <w:r w:rsidRPr="00605209">
        <w:t xml:space="preserve"> </w:t>
      </w:r>
      <w:r w:rsidRPr="00605209">
        <w:rPr>
          <w:i/>
          <w:iCs/>
        </w:rPr>
        <w:t>Id.</w:t>
      </w:r>
      <w:r w:rsidRPr="00605209">
        <w:t xml:space="preserve"> </w:t>
      </w:r>
    </w:p>
    <w:p w:rsidR="00C4462B" w:rsidRPr="00605209" w:rsidRDefault="00966064" w:rsidP="000B555B">
      <w:pPr>
        <w:pStyle w:val="BodyText2"/>
        <w:jc w:val="left"/>
      </w:pPr>
      <w:r w:rsidRPr="00605209">
        <w:t>§</w:t>
      </w:r>
      <w:r w:rsidR="0045557C" w:rsidRPr="00605209">
        <w:t xml:space="preserve"> </w:t>
      </w:r>
      <w:r w:rsidRPr="00605209">
        <w:t>69.1201(c)(4).  As explained previously, the Company has made several modifications over the years to improve its manual billing process for virtual meter aggregation, but eventually developed an accurate and consistent bil</w:t>
      </w:r>
      <w:r w:rsidR="00FC64B7" w:rsidRPr="00605209">
        <w:t>ling process (PPL St. No. 1, at</w:t>
      </w:r>
      <w:r w:rsidRPr="00605209">
        <w:t xml:space="preserve"> 15)</w:t>
      </w:r>
      <w:r w:rsidR="002C2F4C" w:rsidRPr="00605209">
        <w:t>.</w:t>
      </w:r>
      <w:r w:rsidRPr="00605209">
        <w:t xml:space="preserve">  Further, it is undisputed that PPL Electric has repeatedly offered to provide </w:t>
      </w:r>
      <w:r w:rsidRPr="00D67FD2">
        <w:t>all</w:t>
      </w:r>
      <w:r w:rsidRPr="00605209">
        <w:t xml:space="preserve"> of the information that the Complainant requests on a monthly basis</w:t>
      </w:r>
      <w:r w:rsidR="00D67FD2" w:rsidRPr="00605209">
        <w:t>. (</w:t>
      </w:r>
      <w:r w:rsidRPr="00605209">
        <w:t>Tr. 181-82,</w:t>
      </w:r>
      <w:r w:rsidR="00BC793B" w:rsidRPr="00605209">
        <w:t xml:space="preserve"> 190, 200, 218-220; </w:t>
      </w:r>
      <w:r w:rsidR="000F7C30" w:rsidRPr="00605209">
        <w:t>Moyer Brief</w:t>
      </w:r>
      <w:r w:rsidR="00BC793B" w:rsidRPr="00605209">
        <w:t>, at</w:t>
      </w:r>
      <w:r w:rsidR="005D5217">
        <w:t xml:space="preserve"> </w:t>
      </w:r>
      <w:r w:rsidRPr="00605209">
        <w:t>24-25)</w:t>
      </w:r>
      <w:r w:rsidR="002C2F4C" w:rsidRPr="00605209">
        <w:t>.</w:t>
      </w:r>
      <w:r w:rsidRPr="00605209">
        <w:t xml:space="preserve">  PPL Electric also now offers year-end worksheets to its virtual meter aggregation customer-generators so that they may better verify the Company’s calculation and application of credits to the</w:t>
      </w:r>
      <w:r w:rsidR="00C4462B" w:rsidRPr="00605209">
        <w:t>ir accounts (PPL St. No. 1, at</w:t>
      </w:r>
      <w:r w:rsidRPr="00605209">
        <w:t xml:space="preserve"> 35)</w:t>
      </w:r>
      <w:r w:rsidR="00C4462B" w:rsidRPr="00605209">
        <w:t>.</w:t>
      </w:r>
    </w:p>
    <w:p w:rsidR="00966064" w:rsidRPr="00605209" w:rsidRDefault="00966064" w:rsidP="000B555B">
      <w:pPr>
        <w:pStyle w:val="BodyText2"/>
        <w:jc w:val="left"/>
      </w:pPr>
    </w:p>
    <w:p w:rsidR="00966064" w:rsidRPr="00605209" w:rsidRDefault="00966064" w:rsidP="00700F82">
      <w:pPr>
        <w:pStyle w:val="BodyText2"/>
        <w:jc w:val="left"/>
      </w:pPr>
      <w:r w:rsidRPr="00605209">
        <w:tab/>
      </w:r>
      <w:r w:rsidRPr="00605209">
        <w:tab/>
        <w:t>Fifth, the number of customers affected by the Company’s conduct is only one.  52 Pa.Code § 69.1201(c)(5).  The Complainant proposes that the Company should “be fined in the amount of $98,000.00 which represents the 98 virtual net metering customers who have been subjected to the same flawed ‘manual billing process’ used for the</w:t>
      </w:r>
      <w:r w:rsidR="00EB46CE" w:rsidRPr="00605209">
        <w:t xml:space="preserve"> Complainant.”  (</w:t>
      </w:r>
      <w:r w:rsidR="000F7C30" w:rsidRPr="00605209">
        <w:t>Moyer Brief</w:t>
      </w:r>
      <w:r w:rsidR="00EB46CE" w:rsidRPr="00605209">
        <w:t xml:space="preserve"> at</w:t>
      </w:r>
      <w:r w:rsidRPr="00605209">
        <w:t xml:space="preserve"> 26)</w:t>
      </w:r>
      <w:r w:rsidR="005D0CDB" w:rsidRPr="00605209">
        <w:t>.</w:t>
      </w:r>
      <w:r w:rsidRPr="00605209">
        <w:t xml:space="preserve">  Only the Complainant has brought a complaint against the Company regarding its use of a manual billing process.  Calculating such a penalty based upon the number of other virtual meter aggregation customer-generators, who have not filed any formal complaints or otherwise complained about the manual billing process, is </w:t>
      </w:r>
      <w:r w:rsidR="001B5282" w:rsidRPr="00605209">
        <w:t>unreasonable (PPL St. No. 1 at</w:t>
      </w:r>
      <w:r w:rsidRPr="00605209">
        <w:t xml:space="preserve"> 37)</w:t>
      </w:r>
      <w:r w:rsidR="00700F82" w:rsidRPr="00605209">
        <w:t>.</w:t>
      </w:r>
    </w:p>
    <w:p w:rsidR="00EB46CE" w:rsidRPr="00605209" w:rsidRDefault="00EB46CE" w:rsidP="00966064">
      <w:pPr>
        <w:pStyle w:val="BodyText2"/>
      </w:pPr>
    </w:p>
    <w:p w:rsidR="00966064" w:rsidRPr="00605209" w:rsidRDefault="00966064" w:rsidP="00700F82">
      <w:pPr>
        <w:pStyle w:val="BodyText2"/>
        <w:ind w:firstLine="1440"/>
        <w:jc w:val="left"/>
      </w:pPr>
      <w:r w:rsidRPr="00605209">
        <w:t>Sixth, if a violation is found, the Commission should consider PPL Electric’s compliance history and note this case as an “isolated incident from an otherwise compliant utility.”  52 Pa.Code §</w:t>
      </w:r>
      <w:r w:rsidR="002C58E9" w:rsidRPr="00605209">
        <w:t xml:space="preserve"> </w:t>
      </w:r>
      <w:r w:rsidRPr="00605209">
        <w:t xml:space="preserve">69.1201(c)(6). </w:t>
      </w:r>
    </w:p>
    <w:p w:rsidR="00243B68" w:rsidRDefault="00243B68" w:rsidP="001B5282">
      <w:pPr>
        <w:pStyle w:val="BodyText2"/>
        <w:ind w:firstLine="1440"/>
        <w:jc w:val="left"/>
      </w:pPr>
    </w:p>
    <w:p w:rsidR="00966064" w:rsidRPr="00605209" w:rsidRDefault="00966064" w:rsidP="001B5282">
      <w:pPr>
        <w:pStyle w:val="BodyText2"/>
        <w:ind w:firstLine="1440"/>
        <w:jc w:val="left"/>
      </w:pPr>
      <w:r w:rsidRPr="00605209">
        <w:t>Seventh, PPL Electric has fully cooperated with the Commission directives and policies.  52 Pa.Code §</w:t>
      </w:r>
      <w:r w:rsidR="002C58E9" w:rsidRPr="00605209">
        <w:t xml:space="preserve"> </w:t>
      </w:r>
      <w:r w:rsidRPr="00605209">
        <w:t xml:space="preserve">69.1201(c)(7).  Although this case in not a Commission investigation, PPL Electric has cooperated and fully participated in the Commission’s formal mediation </w:t>
      </w:r>
      <w:r w:rsidRPr="00605209">
        <w:lastRenderedPageBreak/>
        <w:t xml:space="preserve">process.  PPL Electric also submitted the additional data as directed by the Commission’s </w:t>
      </w:r>
      <w:r w:rsidRPr="00605209">
        <w:rPr>
          <w:i/>
        </w:rPr>
        <w:t>January 2014 Order</w:t>
      </w:r>
      <w:r w:rsidRPr="00605209">
        <w:t xml:space="preserve"> § 5.231.</w:t>
      </w:r>
    </w:p>
    <w:p w:rsidR="001B5282" w:rsidRPr="00605209" w:rsidRDefault="001B5282" w:rsidP="001B5282">
      <w:pPr>
        <w:pStyle w:val="BodyText2"/>
        <w:ind w:firstLine="1440"/>
        <w:jc w:val="left"/>
      </w:pPr>
    </w:p>
    <w:p w:rsidR="00966064" w:rsidRPr="00605209" w:rsidRDefault="00966064" w:rsidP="00700F82">
      <w:pPr>
        <w:pStyle w:val="BodyText2"/>
        <w:ind w:firstLine="1530"/>
        <w:jc w:val="left"/>
      </w:pPr>
      <w:r w:rsidRPr="00605209">
        <w:t xml:space="preserve">Eighth, the Commission considers the deterrence effect of a civil penalty or fine.  </w:t>
      </w:r>
      <w:r w:rsidR="001B5282" w:rsidRPr="00605209">
        <w:rPr>
          <w:i/>
          <w:iCs/>
        </w:rPr>
        <w:t>See I</w:t>
      </w:r>
      <w:r w:rsidRPr="00605209">
        <w:rPr>
          <w:i/>
          <w:iCs/>
        </w:rPr>
        <w:t>d.</w:t>
      </w:r>
      <w:r w:rsidRPr="00605209">
        <w:t xml:space="preserve"> § 69.1201(c)(8).  There is nothing of record to demonstrate that PPL Electric has violated the Public Utility Code, the AEPS Act, Commission regulations or orders, or PPL Electric’s tariff.  Thus, there is nothing to deter.  PPL Electric has a legal obligation to comply with applicable laws and regulations and the Commission’s orders.  The Company will continue to comply with the Commission’s directives on its virtual meter aggregation program regardless of the amount of any such civil penalty or fine. </w:t>
      </w:r>
    </w:p>
    <w:p w:rsidR="00C4462B" w:rsidRPr="00605209" w:rsidRDefault="00C4462B"/>
    <w:p w:rsidR="00966064" w:rsidRPr="00605209" w:rsidRDefault="00966064" w:rsidP="00700F82">
      <w:pPr>
        <w:pStyle w:val="BodyText2"/>
        <w:jc w:val="left"/>
      </w:pPr>
      <w:r w:rsidRPr="00605209">
        <w:tab/>
      </w:r>
      <w:r w:rsidRPr="00605209">
        <w:tab/>
        <w:t xml:space="preserve">Ninth, the Commission considers its past decisions in similar situations.  </w:t>
      </w:r>
      <w:r w:rsidRPr="00605209">
        <w:rPr>
          <w:i/>
          <w:iCs/>
        </w:rPr>
        <w:t>See id.</w:t>
      </w:r>
      <w:r w:rsidRPr="00605209">
        <w:t xml:space="preserve"> </w:t>
      </w:r>
    </w:p>
    <w:p w:rsidR="00966064" w:rsidRPr="00605209" w:rsidRDefault="00966064" w:rsidP="00700F82">
      <w:pPr>
        <w:pStyle w:val="BodyText2"/>
        <w:jc w:val="left"/>
      </w:pPr>
      <w:r w:rsidRPr="00605209">
        <w:t xml:space="preserve">§ 69.1201(c)(9).  The Commission has encouraged public utilities to use manual processes when automated ones are not readily available.  </w:t>
      </w:r>
      <w:r w:rsidRPr="00605209">
        <w:rPr>
          <w:i/>
          <w:iCs/>
        </w:rPr>
        <w:t>See, e.g.</w:t>
      </w:r>
      <w:r w:rsidRPr="00605209">
        <w:t xml:space="preserve">, </w:t>
      </w:r>
      <w:r w:rsidRPr="00605209">
        <w:rPr>
          <w:i/>
          <w:iCs/>
        </w:rPr>
        <w:t>Petition of Duquesne Light Co. for a Waiver of the Three Business Days Switching Requirements under 52 Pa.Code § 57.174</w:t>
      </w:r>
      <w:r w:rsidRPr="00605209">
        <w:t xml:space="preserve">, Docket No. P-2014-2448863, at 8, 10 (Order Entered Dec. 4, 2014).  Consequently, the Company should not be penalized for taking actions consistent with the Commission’s prior decisions. </w:t>
      </w:r>
    </w:p>
    <w:p w:rsidR="00966064" w:rsidRPr="00605209" w:rsidRDefault="00966064" w:rsidP="00700F82">
      <w:pPr>
        <w:pStyle w:val="BodyText2"/>
        <w:jc w:val="left"/>
      </w:pPr>
    </w:p>
    <w:p w:rsidR="00966064" w:rsidRPr="00605209" w:rsidRDefault="00966064" w:rsidP="00700F82">
      <w:pPr>
        <w:pStyle w:val="BodyText2"/>
        <w:jc w:val="left"/>
      </w:pPr>
      <w:r w:rsidRPr="00605209">
        <w:tab/>
      </w:r>
      <w:r w:rsidRPr="00605209">
        <w:tab/>
        <w:t xml:space="preserve">Tenth, the Commission should consider other relevant factors.  52 Pa.Code </w:t>
      </w:r>
    </w:p>
    <w:p w:rsidR="00966064" w:rsidRPr="00605209" w:rsidRDefault="00966064" w:rsidP="00700F82">
      <w:pPr>
        <w:pStyle w:val="BodyText2"/>
        <w:jc w:val="left"/>
      </w:pPr>
      <w:r w:rsidRPr="00605209">
        <w:t xml:space="preserve">§ 69.1201(c)(10).  At all times material to this proceeding, PPL Electric has acted in good faith when implementing virtual meter aggregation.  Indeed, PPL Electric has gone above and beyond trying to accommodate the Complainant, including, but not limited to:  (1) made numerous attempts to settle and resolve the Complainant’s concerns; (2) allowed him to participate in virtual meter aggregation despite the lack of independent load at his detached solar facilities; (3) agreed to fully compensate him $738.98 for the period during which he was not participating in virtual meter aggregation; and (3) offered to provide him with the calculation sheets that the Company uses to determine and apply his generation credits on a monthly basis, which contain all of the information that he seeks (PPL St. No. 1 at 18-20, 24; Tr. 181-82, 190, 200, 218-220; </w:t>
      </w:r>
      <w:r w:rsidR="000F7C30" w:rsidRPr="00605209">
        <w:t>Moyer Brief</w:t>
      </w:r>
      <w:r w:rsidRPr="00605209">
        <w:t xml:space="preserve"> at 24-25)</w:t>
      </w:r>
      <w:r w:rsidR="00700F82" w:rsidRPr="00605209">
        <w:t>.</w:t>
      </w:r>
      <w:r w:rsidRPr="00605209">
        <w:t xml:space="preserve">  Imposing a civil penalty under these circumstances could send the wrong message about making reasonable and prudent efforts to settle with customer complainants.  Finally, and importantly, it is undisputed that PPL Electric’s billing system simple cannot do </w:t>
      </w:r>
      <w:r w:rsidRPr="00605209">
        <w:lastRenderedPageBreak/>
        <w:t>what the Complainant demands.  PPL Electric should not be penalized for something it cannot do</w:t>
      </w:r>
      <w:r w:rsidR="00F04793">
        <w:t xml:space="preserve"> (PPL Electric Brief at </w:t>
      </w:r>
      <w:r w:rsidR="005F45D5">
        <w:t>54-57</w:t>
      </w:r>
      <w:r w:rsidR="00F04793">
        <w:t>)</w:t>
      </w:r>
      <w:r w:rsidRPr="00605209">
        <w:t xml:space="preserve">.  </w:t>
      </w:r>
    </w:p>
    <w:p w:rsidR="00966064" w:rsidRPr="00605209" w:rsidRDefault="00966064" w:rsidP="00700F82">
      <w:pPr>
        <w:pStyle w:val="BodyText2"/>
        <w:jc w:val="left"/>
      </w:pPr>
    </w:p>
    <w:p w:rsidR="00966064" w:rsidRPr="00243B68" w:rsidRDefault="00966064" w:rsidP="00700F82">
      <w:pPr>
        <w:pStyle w:val="BodyText2"/>
        <w:jc w:val="left"/>
        <w:rPr>
          <w:u w:val="single"/>
        </w:rPr>
      </w:pPr>
      <w:r w:rsidRPr="00243B68">
        <w:rPr>
          <w:u w:val="single"/>
        </w:rPr>
        <w:t>Disposition</w:t>
      </w:r>
    </w:p>
    <w:p w:rsidR="002C58E9" w:rsidRPr="00605209" w:rsidRDefault="002C58E9" w:rsidP="00700F82">
      <w:pPr>
        <w:pStyle w:val="BodyText2"/>
        <w:jc w:val="left"/>
      </w:pPr>
    </w:p>
    <w:p w:rsidR="00D67FD2" w:rsidRDefault="00D67FD2" w:rsidP="00700F82">
      <w:pPr>
        <w:pStyle w:val="BodyText2"/>
        <w:jc w:val="left"/>
      </w:pPr>
      <w:r>
        <w:tab/>
      </w:r>
      <w:r>
        <w:tab/>
        <w:t>It is well established that the Commission does not award damages to parties.  Thus, the Complainant is not entitled to damages.</w:t>
      </w:r>
    </w:p>
    <w:p w:rsidR="00D67FD2" w:rsidRDefault="00D67FD2" w:rsidP="00700F82">
      <w:pPr>
        <w:pStyle w:val="BodyText2"/>
        <w:jc w:val="left"/>
      </w:pPr>
    </w:p>
    <w:p w:rsidR="00966064" w:rsidRPr="00605209" w:rsidRDefault="00966064" w:rsidP="00700F82">
      <w:pPr>
        <w:pStyle w:val="BodyText2"/>
        <w:jc w:val="left"/>
      </w:pPr>
      <w:r w:rsidRPr="00605209">
        <w:tab/>
      </w:r>
      <w:r w:rsidRPr="00605209">
        <w:tab/>
        <w:t xml:space="preserve">The Complainant did not address the </w:t>
      </w:r>
      <w:r w:rsidRPr="00605209">
        <w:rPr>
          <w:i/>
        </w:rPr>
        <w:t xml:space="preserve">Rosi </w:t>
      </w:r>
      <w:r w:rsidRPr="00605209">
        <w:t xml:space="preserve">standards.  </w:t>
      </w:r>
      <w:r w:rsidR="00F14E39" w:rsidRPr="00605209">
        <w:t>If the Commission finds that the Respondent violated the Public Utility Code, AEPS Act, and the Commission’s net metering regulations</w:t>
      </w:r>
      <w:r w:rsidR="00243B68">
        <w:t>, t</w:t>
      </w:r>
      <w:r w:rsidRPr="00605209">
        <w:t xml:space="preserve">he Respondent has made a compelling </w:t>
      </w:r>
      <w:r w:rsidR="0045557C" w:rsidRPr="00605209">
        <w:t>case, which</w:t>
      </w:r>
      <w:r w:rsidRPr="00605209">
        <w:t xml:space="preserve"> is unrefuted.  Therefore, no civil penalty is warranted.</w:t>
      </w:r>
    </w:p>
    <w:p w:rsidR="00851E26" w:rsidRPr="00605209" w:rsidRDefault="00851E26" w:rsidP="00700F82">
      <w:pPr>
        <w:pStyle w:val="BodyText"/>
        <w:tabs>
          <w:tab w:val="clear" w:pos="1980"/>
        </w:tabs>
        <w:spacing w:line="360" w:lineRule="auto"/>
        <w:jc w:val="left"/>
        <w:rPr>
          <w:rFonts w:ascii="Times New Roman" w:hAnsi="Times New Roman"/>
        </w:rPr>
      </w:pPr>
    </w:p>
    <w:p w:rsidR="00EC685D" w:rsidRPr="00056E1B" w:rsidRDefault="00D67FD2" w:rsidP="00EC685D">
      <w:pPr>
        <w:widowControl w:val="0"/>
        <w:rPr>
          <w:u w:val="single"/>
        </w:rPr>
      </w:pPr>
      <w:r w:rsidRPr="00D67FD2">
        <w:t xml:space="preserve">4. </w:t>
      </w:r>
      <w:r w:rsidR="00056E1B" w:rsidRPr="00056E1B">
        <w:rPr>
          <w:u w:val="single"/>
        </w:rPr>
        <w:t>Virtual Meter Eligibility</w:t>
      </w:r>
    </w:p>
    <w:p w:rsidR="00056E1B" w:rsidRPr="00605209" w:rsidRDefault="00056E1B" w:rsidP="00EC685D">
      <w:pPr>
        <w:widowControl w:val="0"/>
      </w:pPr>
    </w:p>
    <w:p w:rsidR="00EC685D" w:rsidRPr="00605209" w:rsidRDefault="00EC685D" w:rsidP="00EC685D">
      <w:pPr>
        <w:widowControl w:val="0"/>
      </w:pPr>
      <w:r w:rsidRPr="00605209">
        <w:tab/>
      </w:r>
      <w:r w:rsidRPr="00605209">
        <w:tab/>
        <w:t xml:space="preserve">In its </w:t>
      </w:r>
      <w:r w:rsidRPr="00605209">
        <w:rPr>
          <w:i/>
        </w:rPr>
        <w:t>January 2014 Order</w:t>
      </w:r>
      <w:r w:rsidRPr="00605209">
        <w:t xml:space="preserve">, the Commission stated the following: </w:t>
      </w:r>
    </w:p>
    <w:p w:rsidR="00EC685D" w:rsidRPr="00605209" w:rsidRDefault="00EC685D" w:rsidP="00EC685D">
      <w:pPr>
        <w:widowControl w:val="0"/>
        <w:ind w:left="1440" w:right="1440"/>
      </w:pPr>
    </w:p>
    <w:p w:rsidR="00056E1B" w:rsidRDefault="00EC685D" w:rsidP="00EC685D">
      <w:pPr>
        <w:widowControl w:val="0"/>
        <w:ind w:left="1440" w:right="1440"/>
      </w:pPr>
      <w:r w:rsidRPr="00605209">
        <w:t xml:space="preserve">With respect to Mr. Moyer’s prospective eligibility for net metering or virtual meter aggregation, consistent with the waiver discussed, </w:t>
      </w:r>
      <w:r w:rsidRPr="00605209">
        <w:rPr>
          <w:i/>
        </w:rPr>
        <w:t>supra</w:t>
      </w:r>
      <w:r w:rsidRPr="00605209">
        <w:t xml:space="preserve">, we shall order PPL to continue to permit Mr. Moyer to utilize net metering and virtual meter aggregation for his existing 4.75 kW solar array and residence in the future (subject to future changes in applicable laws or tariffs).  Because we have determined that it is not necessary to address this issue in this proceeding and due to the fact that we are vacating the Initial Decision, we shall refer the legal issue raised by this proceeding to the Commission’s Law Bureau to consider whether our regulations need to be clarified. </w:t>
      </w:r>
    </w:p>
    <w:p w:rsidR="00EC685D" w:rsidRPr="00605209" w:rsidRDefault="00EC685D" w:rsidP="00EC685D">
      <w:pPr>
        <w:widowControl w:val="0"/>
        <w:ind w:left="1440" w:right="1440"/>
      </w:pPr>
      <w:r w:rsidRPr="00056E1B">
        <w:rPr>
          <w:i/>
        </w:rPr>
        <w:t>Order</w:t>
      </w:r>
      <w:r w:rsidRPr="00605209">
        <w:t xml:space="preserve"> at </w:t>
      </w:r>
      <w:r w:rsidR="00056E1B">
        <w:t>20</w:t>
      </w:r>
      <w:r w:rsidRPr="00605209">
        <w:t>.</w:t>
      </w:r>
    </w:p>
    <w:p w:rsidR="002C58E9" w:rsidRPr="00605209" w:rsidRDefault="002C58E9" w:rsidP="007606D2">
      <w:pPr>
        <w:spacing w:line="360" w:lineRule="auto"/>
      </w:pPr>
    </w:p>
    <w:p w:rsidR="002C2F4C" w:rsidRPr="00243B68" w:rsidRDefault="001933AD" w:rsidP="007606D2">
      <w:pPr>
        <w:spacing w:line="360" w:lineRule="auto"/>
      </w:pPr>
      <w:r w:rsidRPr="00605209">
        <w:tab/>
      </w:r>
      <w:r w:rsidRPr="00605209">
        <w:tab/>
        <w:t xml:space="preserve">In </w:t>
      </w:r>
      <w:r w:rsidR="00243B68">
        <w:t xml:space="preserve">its </w:t>
      </w:r>
      <w:r w:rsidR="00243B68">
        <w:rPr>
          <w:i/>
        </w:rPr>
        <w:t>January 2014 Order</w:t>
      </w:r>
      <w:r w:rsidR="00243B68">
        <w:t xml:space="preserve">, </w:t>
      </w:r>
      <w:r w:rsidR="002C2F4C" w:rsidRPr="00605209">
        <w:t xml:space="preserve"> </w:t>
      </w:r>
      <w:r w:rsidR="00243B68" w:rsidRPr="00605209">
        <w:t>the Commission</w:t>
      </w:r>
      <w:r w:rsidR="00243B68">
        <w:t xml:space="preserve"> ordered </w:t>
      </w:r>
      <w:r w:rsidR="002C2F4C" w:rsidRPr="00605209">
        <w:t xml:space="preserve">PPL Electric Utilities Corporation </w:t>
      </w:r>
      <w:r w:rsidR="00243B68">
        <w:t>to</w:t>
      </w:r>
      <w:r w:rsidR="002C2F4C" w:rsidRPr="00605209">
        <w:t xml:space="preserve"> permit Mr. Moyer to net meter his 4.75 kW solar array and virtually aggregate his two existing metering accounts from when Mr. Moyer’s solar array was first connected to PPL Electric Utilities Corporation’s system in March 2009, and prospectively, subject to changes in applicable laws or tariffs.</w:t>
      </w:r>
      <w:r w:rsidRPr="00605209">
        <w:t xml:space="preserve"> </w:t>
      </w:r>
      <w:r w:rsidR="00243B68">
        <w:t xml:space="preserve"> </w:t>
      </w:r>
      <w:r w:rsidR="00243B68" w:rsidRPr="00605209">
        <w:rPr>
          <w:i/>
        </w:rPr>
        <w:t>January 2014 Order</w:t>
      </w:r>
      <w:r w:rsidR="00243B68">
        <w:t xml:space="preserve"> </w:t>
      </w:r>
      <w:r w:rsidR="002C2F4C" w:rsidRPr="00605209">
        <w:t>Ordering paragraph 9</w:t>
      </w:r>
      <w:r w:rsidR="00243B68">
        <w:t>.</w:t>
      </w:r>
    </w:p>
    <w:p w:rsidR="00EC685D" w:rsidRPr="00605209" w:rsidRDefault="00EC685D" w:rsidP="007606D2">
      <w:pPr>
        <w:spacing w:line="360" w:lineRule="auto"/>
      </w:pPr>
    </w:p>
    <w:p w:rsidR="00EC685D" w:rsidRPr="00605209" w:rsidRDefault="00FF26E3" w:rsidP="002C2F4C">
      <w:pPr>
        <w:keepNext/>
        <w:keepLines/>
        <w:tabs>
          <w:tab w:val="left" w:pos="-720"/>
        </w:tabs>
        <w:suppressAutoHyphens/>
        <w:spacing w:line="360" w:lineRule="auto"/>
      </w:pPr>
      <w:r w:rsidRPr="00605209">
        <w:lastRenderedPageBreak/>
        <w:tab/>
      </w:r>
      <w:r w:rsidRPr="00605209">
        <w:tab/>
        <w:t xml:space="preserve">Accordingly, </w:t>
      </w:r>
      <w:r w:rsidR="007606D2" w:rsidRPr="00605209">
        <w:t>the first complaint is granted with respect to compensation for credits “earned” between May and December 2010 and</w:t>
      </w:r>
      <w:r w:rsidR="002C2F4C" w:rsidRPr="00605209">
        <w:t xml:space="preserve">, in accordance with Ordering paragraph 9 of Opinion and Order entered January 9, 2014, </w:t>
      </w:r>
      <w:r w:rsidR="00EC685D" w:rsidRPr="00605209">
        <w:rPr>
          <w:i/>
        </w:rPr>
        <w:t>January 2014 Order</w:t>
      </w:r>
      <w:r w:rsidR="00243B68">
        <w:t>,</w:t>
      </w:r>
      <w:r w:rsidR="00EC685D" w:rsidRPr="00605209">
        <w:t xml:space="preserve"> </w:t>
      </w:r>
      <w:r w:rsidR="007606D2" w:rsidRPr="00605209">
        <w:t xml:space="preserve">to allow Mr. Moyer’s facilities to be regarded as a virtual metering facility unless there is a change in the law or PPL Electric’s tariff.  </w:t>
      </w:r>
    </w:p>
    <w:p w:rsidR="00243B68" w:rsidRDefault="00243B68" w:rsidP="00243B68">
      <w:pPr>
        <w:pStyle w:val="BodyText"/>
        <w:tabs>
          <w:tab w:val="left" w:pos="720"/>
        </w:tabs>
        <w:spacing w:line="360" w:lineRule="auto"/>
        <w:jc w:val="left"/>
        <w:rPr>
          <w:rFonts w:ascii="Times New Roman" w:hAnsi="Times New Roman"/>
        </w:rPr>
      </w:pPr>
    </w:p>
    <w:p w:rsidR="00056E1B" w:rsidRDefault="00243B68" w:rsidP="00056E1B">
      <w:pPr>
        <w:pStyle w:val="BodyText2"/>
        <w:jc w:val="left"/>
      </w:pPr>
      <w:r>
        <w:tab/>
      </w:r>
      <w:r>
        <w:tab/>
      </w:r>
      <w:r w:rsidRPr="00243B68">
        <w:t xml:space="preserve">The </w:t>
      </w:r>
      <w:r w:rsidR="00056E1B">
        <w:t xml:space="preserve">following allegations in the complaints are dismissed: that </w:t>
      </w:r>
      <w:r w:rsidRPr="00243B68">
        <w:t>the Respondent has failed to properly aggregate the Complainant’s accounts according to the virtual net metering provisions in the Respondent’s Net Metering Rider</w:t>
      </w:r>
      <w:r w:rsidR="00056E1B">
        <w:t>;</w:t>
      </w:r>
      <w:r w:rsidRPr="00243B68">
        <w:t xml:space="preserve"> that the Respondent failed to fully reimburse the Complainant for the electricity generated</w:t>
      </w:r>
      <w:r w:rsidR="00056E1B">
        <w:t xml:space="preserve">; </w:t>
      </w:r>
      <w:r w:rsidRPr="00243B68">
        <w:t>that the Respondent is not providing accurate information regarding the credits and payments</w:t>
      </w:r>
      <w:r w:rsidR="00056E1B">
        <w:t>; that the Respondent should automate the bills for virtual metering customers; that the Respondent should provide a correct single bill with additional information included; that the Complainant should have one account for virtual metering; and that the Respondent should refrain from using certain terminology.</w:t>
      </w:r>
    </w:p>
    <w:p w:rsidR="007606D2" w:rsidRPr="00605209" w:rsidRDefault="007606D2" w:rsidP="00E16EE9">
      <w:pPr>
        <w:spacing w:line="360" w:lineRule="auto"/>
      </w:pPr>
    </w:p>
    <w:p w:rsidR="00FF26E3" w:rsidRPr="00605209" w:rsidRDefault="00FF26E3" w:rsidP="00D975AC">
      <w:pPr>
        <w:pStyle w:val="Heading1"/>
        <w:spacing w:line="360" w:lineRule="auto"/>
        <w:rPr>
          <w:rFonts w:ascii="Times New Roman" w:hAnsi="Times New Roman"/>
          <w:b w:val="0"/>
        </w:rPr>
      </w:pPr>
      <w:r w:rsidRPr="00605209">
        <w:rPr>
          <w:rFonts w:ascii="Times New Roman" w:hAnsi="Times New Roman"/>
          <w:b w:val="0"/>
        </w:rPr>
        <w:t>CONCLUSIONS OF LAW</w:t>
      </w:r>
    </w:p>
    <w:p w:rsidR="00FF26E3" w:rsidRPr="00605209" w:rsidRDefault="00FF26E3" w:rsidP="00D975AC"/>
    <w:p w:rsidR="00FF26E3" w:rsidRPr="00605209" w:rsidRDefault="00FF26E3" w:rsidP="00D975AC">
      <w:pPr>
        <w:pStyle w:val="Heading1"/>
        <w:spacing w:line="360" w:lineRule="auto"/>
        <w:ind w:firstLine="1440"/>
        <w:jc w:val="left"/>
        <w:rPr>
          <w:rFonts w:ascii="Times New Roman" w:hAnsi="Times New Roman"/>
        </w:rPr>
      </w:pPr>
      <w:r w:rsidRPr="00605209">
        <w:rPr>
          <w:rFonts w:ascii="Times New Roman" w:hAnsi="Times New Roman"/>
          <w:b w:val="0"/>
          <w:u w:val="none"/>
        </w:rPr>
        <w:t>1.</w:t>
      </w:r>
      <w:r w:rsidRPr="00605209">
        <w:rPr>
          <w:rFonts w:ascii="Times New Roman" w:hAnsi="Times New Roman"/>
          <w:b w:val="0"/>
          <w:u w:val="none"/>
        </w:rPr>
        <w:tab/>
        <w:t>The Commission has jurisdiction over the parties and subject matter in this proceeding.  66 Pa.C.S. § 701.</w:t>
      </w:r>
    </w:p>
    <w:p w:rsidR="00FF26E3" w:rsidRPr="00605209" w:rsidRDefault="00FF26E3" w:rsidP="00D975AC">
      <w:pPr>
        <w:pStyle w:val="BodyText"/>
        <w:tabs>
          <w:tab w:val="clear" w:pos="1980"/>
        </w:tabs>
        <w:spacing w:line="360" w:lineRule="auto"/>
        <w:jc w:val="left"/>
        <w:rPr>
          <w:rFonts w:ascii="Times New Roman" w:hAnsi="Times New Roman"/>
        </w:rPr>
      </w:pPr>
    </w:p>
    <w:p w:rsidR="00FF26E3" w:rsidRPr="00605209" w:rsidRDefault="00FF26E3" w:rsidP="00D975AC">
      <w:pPr>
        <w:pStyle w:val="BodyText"/>
        <w:tabs>
          <w:tab w:val="clear" w:pos="198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2.</w:t>
      </w:r>
      <w:r w:rsidRPr="00605209">
        <w:rPr>
          <w:rFonts w:ascii="Times New Roman" w:hAnsi="Times New Roman"/>
        </w:rPr>
        <w:tab/>
        <w:t>That the Complainant has the burden of proof in this matter pursuant to 66 Pa.C.S. § 332(a).</w:t>
      </w:r>
    </w:p>
    <w:p w:rsidR="00FD6EBD" w:rsidRPr="00605209" w:rsidRDefault="00FD6EBD" w:rsidP="00D975AC">
      <w:pPr>
        <w:pStyle w:val="BodyText"/>
        <w:tabs>
          <w:tab w:val="clear" w:pos="1980"/>
        </w:tabs>
        <w:spacing w:line="360" w:lineRule="auto"/>
        <w:jc w:val="left"/>
        <w:rPr>
          <w:rFonts w:ascii="Times New Roman" w:hAnsi="Times New Roman"/>
        </w:rPr>
      </w:pPr>
    </w:p>
    <w:p w:rsidR="00FD6EBD" w:rsidRPr="00605209" w:rsidRDefault="00FD6EBD" w:rsidP="00D975AC">
      <w:pPr>
        <w:pStyle w:val="BodyText"/>
        <w:tabs>
          <w:tab w:val="clear" w:pos="198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3.</w:t>
      </w:r>
      <w:r w:rsidRPr="00605209">
        <w:rPr>
          <w:rFonts w:ascii="Times New Roman" w:hAnsi="Times New Roman"/>
        </w:rPr>
        <w:tab/>
        <w:t>The</w:t>
      </w:r>
      <w:r w:rsidR="00B27035" w:rsidRPr="00605209">
        <w:rPr>
          <w:rFonts w:ascii="Times New Roman" w:hAnsi="Times New Roman"/>
        </w:rPr>
        <w:t xml:space="preserve"> Alternative Energy Portfolio Standards Act (73 P.S. §§ 1648.1-1648.8). </w:t>
      </w:r>
      <w:r w:rsidRPr="00605209">
        <w:rPr>
          <w:rFonts w:ascii="Times New Roman" w:hAnsi="Times New Roman"/>
        </w:rPr>
        <w:t>AEPS Act, the Public Utility Code, or the Commission’s regulations do not require electric distribution companies to use an automated billing process for virtual meter aggregation.</w:t>
      </w:r>
    </w:p>
    <w:p w:rsidR="001A2BC2" w:rsidRPr="00605209" w:rsidRDefault="001A2BC2" w:rsidP="00D975AC">
      <w:pPr>
        <w:pStyle w:val="BodyText"/>
        <w:tabs>
          <w:tab w:val="clear" w:pos="1980"/>
        </w:tabs>
        <w:spacing w:line="360" w:lineRule="auto"/>
        <w:jc w:val="left"/>
        <w:rPr>
          <w:rFonts w:ascii="Times New Roman" w:hAnsi="Times New Roman"/>
        </w:rPr>
      </w:pPr>
    </w:p>
    <w:p w:rsidR="00FD6EBD" w:rsidRPr="00605209" w:rsidRDefault="00FD6EBD" w:rsidP="00D975AC">
      <w:pPr>
        <w:pStyle w:val="BodyText"/>
        <w:tabs>
          <w:tab w:val="clear" w:pos="198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4.</w:t>
      </w:r>
      <w:r w:rsidRPr="00605209">
        <w:rPr>
          <w:rFonts w:ascii="Times New Roman" w:hAnsi="Times New Roman"/>
        </w:rPr>
        <w:tab/>
        <w:t xml:space="preserve">The Commission encourages public utilities to utilize manual processes when automated processes are unavailable, too costly, or incapable of performing the necessary functions.  </w:t>
      </w:r>
      <w:r w:rsidRPr="00605209">
        <w:rPr>
          <w:rFonts w:ascii="Times New Roman" w:hAnsi="Times New Roman"/>
          <w:i/>
        </w:rPr>
        <w:t xml:space="preserve">Petition of Duquesne Light Co. for a Waiver of the Three Business Days Switching </w:t>
      </w:r>
      <w:r w:rsidRPr="00605209">
        <w:rPr>
          <w:rFonts w:ascii="Times New Roman" w:hAnsi="Times New Roman"/>
          <w:i/>
        </w:rPr>
        <w:lastRenderedPageBreak/>
        <w:t xml:space="preserve">Requirements under 52 </w:t>
      </w:r>
      <w:r w:rsidR="003C16DF" w:rsidRPr="00605209">
        <w:rPr>
          <w:rFonts w:ascii="Times New Roman" w:hAnsi="Times New Roman"/>
          <w:i/>
        </w:rPr>
        <w:t>Pa.Code</w:t>
      </w:r>
      <w:r w:rsidRPr="00605209">
        <w:rPr>
          <w:rFonts w:ascii="Times New Roman" w:hAnsi="Times New Roman"/>
          <w:i/>
        </w:rPr>
        <w:t xml:space="preserve"> § 57.174</w:t>
      </w:r>
      <w:r w:rsidRPr="00605209">
        <w:rPr>
          <w:rFonts w:ascii="Times New Roman" w:hAnsi="Times New Roman"/>
        </w:rPr>
        <w:t xml:space="preserve">, Docket No. P-2014-2448863, at 8, 10 (Order Entered Dec. 4, 2014). </w:t>
      </w:r>
    </w:p>
    <w:p w:rsidR="003C16DF" w:rsidRPr="00605209" w:rsidRDefault="003C16DF" w:rsidP="00D975AC">
      <w:pPr>
        <w:pStyle w:val="BodyText"/>
        <w:tabs>
          <w:tab w:val="clear" w:pos="1980"/>
        </w:tabs>
        <w:spacing w:line="360" w:lineRule="auto"/>
        <w:jc w:val="left"/>
        <w:rPr>
          <w:rFonts w:ascii="Times New Roman" w:hAnsi="Times New Roman"/>
        </w:rPr>
      </w:pPr>
    </w:p>
    <w:p w:rsidR="003C16DF" w:rsidRPr="00605209" w:rsidRDefault="00304D91" w:rsidP="006A0E09">
      <w:pPr>
        <w:pStyle w:val="ListNumber"/>
        <w:numPr>
          <w:ilvl w:val="0"/>
          <w:numId w:val="0"/>
        </w:numPr>
        <w:tabs>
          <w:tab w:val="num" w:pos="1440"/>
        </w:tabs>
        <w:spacing w:after="0" w:line="360" w:lineRule="auto"/>
        <w:ind w:firstLine="720"/>
        <w:jc w:val="left"/>
      </w:pPr>
      <w:r w:rsidRPr="00605209">
        <w:tab/>
      </w:r>
      <w:r w:rsidR="001A2BC2" w:rsidRPr="00605209">
        <w:t>5.</w:t>
      </w:r>
      <w:r w:rsidR="001A2BC2" w:rsidRPr="00605209">
        <w:tab/>
      </w:r>
      <w:r w:rsidR="003C16DF" w:rsidRPr="00605209">
        <w:t xml:space="preserve">The regulation at 52 Pa.Code § 75.13(c) does not prohibit an </w:t>
      </w:r>
      <w:r w:rsidR="00150210" w:rsidRPr="00605209">
        <w:t>electric distribution company</w:t>
      </w:r>
      <w:r w:rsidR="003C16DF" w:rsidRPr="00605209">
        <w:t xml:space="preserve"> from applying the amount of the credit in the next billing cycle.  </w:t>
      </w:r>
    </w:p>
    <w:p w:rsidR="00EC685D" w:rsidRPr="00605209" w:rsidRDefault="00EC685D" w:rsidP="006A0E09">
      <w:pPr>
        <w:pStyle w:val="ListNumber"/>
        <w:numPr>
          <w:ilvl w:val="0"/>
          <w:numId w:val="0"/>
        </w:numPr>
        <w:tabs>
          <w:tab w:val="num" w:pos="1440"/>
        </w:tabs>
        <w:spacing w:after="0" w:line="360" w:lineRule="auto"/>
        <w:ind w:firstLine="720"/>
        <w:jc w:val="left"/>
      </w:pPr>
    </w:p>
    <w:p w:rsidR="00FF26E3" w:rsidRPr="00605209" w:rsidRDefault="001A2BC2" w:rsidP="00B27035">
      <w:pPr>
        <w:pStyle w:val="BodyText"/>
        <w:tabs>
          <w:tab w:val="clear" w:pos="1980"/>
        </w:tabs>
        <w:spacing w:line="360" w:lineRule="auto"/>
        <w:ind w:firstLine="1440"/>
        <w:jc w:val="left"/>
        <w:rPr>
          <w:rFonts w:ascii="Times New Roman" w:hAnsi="Times New Roman"/>
        </w:rPr>
      </w:pPr>
      <w:r w:rsidRPr="00605209">
        <w:rPr>
          <w:rFonts w:ascii="Times New Roman" w:hAnsi="Times New Roman"/>
        </w:rPr>
        <w:t>6.</w:t>
      </w:r>
      <w:r w:rsidR="00FD6EBD" w:rsidRPr="00605209">
        <w:rPr>
          <w:rFonts w:ascii="Times New Roman" w:hAnsi="Times New Roman"/>
        </w:rPr>
        <w:tab/>
        <w:t xml:space="preserve">PPL Electric’s virtual meter aggregation manual billing process properly combines the readings and billing of customer-generators by aggregating their usage and generation appropriately, as required by 52 </w:t>
      </w:r>
      <w:r w:rsidR="003C16DF" w:rsidRPr="00605209">
        <w:rPr>
          <w:rFonts w:ascii="Times New Roman" w:hAnsi="Times New Roman"/>
        </w:rPr>
        <w:t>Pa.Code</w:t>
      </w:r>
      <w:r w:rsidR="00FD6EBD" w:rsidRPr="00605209">
        <w:rPr>
          <w:rFonts w:ascii="Times New Roman" w:hAnsi="Times New Roman"/>
        </w:rPr>
        <w:t xml:space="preserve"> § 75.12.</w:t>
      </w:r>
    </w:p>
    <w:p w:rsidR="00FD6EBD" w:rsidRPr="00605209" w:rsidRDefault="00FD6EBD" w:rsidP="00B27035">
      <w:pPr>
        <w:pStyle w:val="BodyText"/>
        <w:tabs>
          <w:tab w:val="clear" w:pos="1980"/>
        </w:tabs>
        <w:spacing w:line="360" w:lineRule="auto"/>
        <w:ind w:firstLine="1440"/>
        <w:jc w:val="left"/>
        <w:rPr>
          <w:rFonts w:ascii="Times New Roman" w:hAnsi="Times New Roman"/>
        </w:rPr>
      </w:pPr>
    </w:p>
    <w:p w:rsidR="00FD6EBD" w:rsidRPr="00605209" w:rsidRDefault="001A2BC2" w:rsidP="00902978">
      <w:pPr>
        <w:pStyle w:val="BodyText"/>
        <w:tabs>
          <w:tab w:val="clear" w:pos="1980"/>
        </w:tabs>
        <w:spacing w:line="360" w:lineRule="auto"/>
        <w:ind w:firstLine="1440"/>
        <w:jc w:val="left"/>
        <w:rPr>
          <w:rFonts w:ascii="Times New Roman" w:hAnsi="Times New Roman"/>
        </w:rPr>
      </w:pPr>
      <w:r w:rsidRPr="00605209">
        <w:rPr>
          <w:rFonts w:ascii="Times New Roman" w:hAnsi="Times New Roman"/>
        </w:rPr>
        <w:t>7</w:t>
      </w:r>
      <w:r w:rsidR="00FD6EBD" w:rsidRPr="00605209">
        <w:rPr>
          <w:rFonts w:ascii="Times New Roman" w:hAnsi="Times New Roman"/>
        </w:rPr>
        <w:t>.</w:t>
      </w:r>
      <w:r w:rsidR="00FD6EBD" w:rsidRPr="00605209">
        <w:rPr>
          <w:rFonts w:ascii="Times New Roman" w:hAnsi="Times New Roman"/>
        </w:rPr>
        <w:tab/>
        <w:t xml:space="preserve">Public utilities must strictly adhere to the language in their tariffs, and Commission-approved tariffs have the force and effect of law.  See </w:t>
      </w:r>
      <w:r w:rsidR="00FD6EBD" w:rsidRPr="00605209">
        <w:rPr>
          <w:rFonts w:ascii="Times New Roman" w:hAnsi="Times New Roman"/>
          <w:i/>
        </w:rPr>
        <w:t>PPL Elec</w:t>
      </w:r>
      <w:r w:rsidR="00FD6EBD" w:rsidRPr="00605209">
        <w:rPr>
          <w:rFonts w:ascii="Times New Roman" w:hAnsi="Times New Roman"/>
        </w:rPr>
        <w:t xml:space="preserve">., 912 A.2d 386, 402 (citing 66 </w:t>
      </w:r>
      <w:r w:rsidR="003C16DF" w:rsidRPr="00605209">
        <w:rPr>
          <w:rFonts w:ascii="Times New Roman" w:hAnsi="Times New Roman"/>
        </w:rPr>
        <w:t>Pa.C.S.</w:t>
      </w:r>
      <w:r w:rsidR="00FD6EBD" w:rsidRPr="00605209">
        <w:rPr>
          <w:rFonts w:ascii="Times New Roman" w:hAnsi="Times New Roman"/>
        </w:rPr>
        <w:t xml:space="preserve"> § 1303 and </w:t>
      </w:r>
      <w:r w:rsidR="00FD6EBD" w:rsidRPr="00605209">
        <w:rPr>
          <w:rFonts w:ascii="Times New Roman" w:hAnsi="Times New Roman"/>
          <w:i/>
        </w:rPr>
        <w:t>Pa. Elec. Co. v. Pa. PUC</w:t>
      </w:r>
      <w:r w:rsidR="00FD6EBD" w:rsidRPr="00605209">
        <w:rPr>
          <w:rFonts w:ascii="Times New Roman" w:hAnsi="Times New Roman"/>
        </w:rPr>
        <w:t>, 663 A.2d 281, 284 (Pa. Cmwlth. 1995)</w:t>
      </w:r>
      <w:r w:rsidR="00EC685D" w:rsidRPr="00605209">
        <w:rPr>
          <w:rFonts w:ascii="Times New Roman" w:hAnsi="Times New Roman"/>
        </w:rPr>
        <w:t>)</w:t>
      </w:r>
      <w:r w:rsidR="00FD6EBD" w:rsidRPr="00605209">
        <w:rPr>
          <w:rFonts w:ascii="Times New Roman" w:hAnsi="Times New Roman"/>
        </w:rPr>
        <w:t xml:space="preserve">.  </w:t>
      </w:r>
    </w:p>
    <w:p w:rsidR="00FD6EBD" w:rsidRPr="00605209" w:rsidRDefault="00FD6EBD" w:rsidP="00902978">
      <w:pPr>
        <w:pStyle w:val="BodyText"/>
        <w:tabs>
          <w:tab w:val="clear" w:pos="1980"/>
        </w:tabs>
        <w:spacing w:line="360" w:lineRule="auto"/>
        <w:ind w:firstLine="1440"/>
        <w:jc w:val="left"/>
        <w:rPr>
          <w:rFonts w:ascii="Times New Roman" w:hAnsi="Times New Roman"/>
        </w:rPr>
      </w:pPr>
    </w:p>
    <w:p w:rsidR="00FD6EBD" w:rsidRPr="00605209" w:rsidRDefault="001A2BC2" w:rsidP="00902978">
      <w:pPr>
        <w:pStyle w:val="BodyText"/>
        <w:tabs>
          <w:tab w:val="clear" w:pos="1980"/>
        </w:tabs>
        <w:spacing w:line="360" w:lineRule="auto"/>
        <w:ind w:firstLine="1440"/>
        <w:jc w:val="left"/>
        <w:rPr>
          <w:rFonts w:ascii="Times New Roman" w:hAnsi="Times New Roman"/>
        </w:rPr>
      </w:pPr>
      <w:r w:rsidRPr="00605209">
        <w:rPr>
          <w:rFonts w:ascii="Times New Roman" w:hAnsi="Times New Roman"/>
        </w:rPr>
        <w:t>8</w:t>
      </w:r>
      <w:r w:rsidR="00FD6EBD" w:rsidRPr="00605209">
        <w:rPr>
          <w:rFonts w:ascii="Times New Roman" w:hAnsi="Times New Roman"/>
        </w:rPr>
        <w:t>.</w:t>
      </w:r>
      <w:r w:rsidR="00FD6EBD" w:rsidRPr="00605209">
        <w:rPr>
          <w:rFonts w:ascii="Times New Roman" w:hAnsi="Times New Roman"/>
        </w:rPr>
        <w:tab/>
        <w:t xml:space="preserve">A public utility’s tariff is “binding on the customer as well as the utility.”  </w:t>
      </w:r>
      <w:r w:rsidR="00FD6EBD" w:rsidRPr="00605209">
        <w:rPr>
          <w:rFonts w:ascii="Times New Roman" w:hAnsi="Times New Roman"/>
          <w:i/>
        </w:rPr>
        <w:t>Id.</w:t>
      </w:r>
      <w:r w:rsidR="00FD6EBD" w:rsidRPr="00605209">
        <w:rPr>
          <w:rFonts w:ascii="Times New Roman" w:hAnsi="Times New Roman"/>
        </w:rPr>
        <w:t xml:space="preserve"> (citing </w:t>
      </w:r>
      <w:r w:rsidR="00FD6EBD" w:rsidRPr="00605209">
        <w:rPr>
          <w:rFonts w:ascii="Times New Roman" w:hAnsi="Times New Roman"/>
          <w:i/>
        </w:rPr>
        <w:t>Pa. Elec. Co. v. Pa. PUC,</w:t>
      </w:r>
      <w:r w:rsidR="00FD6EBD" w:rsidRPr="00605209">
        <w:rPr>
          <w:rFonts w:ascii="Times New Roman" w:hAnsi="Times New Roman"/>
        </w:rPr>
        <w:t xml:space="preserve"> 663 A.2d 281, 284 (Pa. Cmwlth. 1995)).  </w:t>
      </w:r>
    </w:p>
    <w:p w:rsidR="00FD6EBD" w:rsidRPr="00605209" w:rsidRDefault="00FD6EBD" w:rsidP="00D975AC">
      <w:pPr>
        <w:pStyle w:val="BodyText"/>
        <w:tabs>
          <w:tab w:val="clear" w:pos="1980"/>
          <w:tab w:val="left" w:pos="720"/>
          <w:tab w:val="left" w:pos="1440"/>
        </w:tabs>
        <w:spacing w:line="360" w:lineRule="auto"/>
        <w:jc w:val="left"/>
        <w:rPr>
          <w:rFonts w:ascii="Times New Roman" w:hAnsi="Times New Roman"/>
        </w:rPr>
      </w:pPr>
    </w:p>
    <w:p w:rsidR="00FD6EBD" w:rsidRPr="00605209" w:rsidRDefault="006A0E09" w:rsidP="00D975AC">
      <w:pPr>
        <w:pStyle w:val="BodyText"/>
        <w:tabs>
          <w:tab w:val="clear" w:pos="1980"/>
          <w:tab w:val="left" w:pos="720"/>
          <w:tab w:val="left" w:pos="144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1A2BC2" w:rsidRPr="00605209">
        <w:rPr>
          <w:rFonts w:ascii="Times New Roman" w:hAnsi="Times New Roman"/>
        </w:rPr>
        <w:t>9</w:t>
      </w:r>
      <w:r w:rsidR="00FD6EBD" w:rsidRPr="00605209">
        <w:rPr>
          <w:rFonts w:ascii="Times New Roman" w:hAnsi="Times New Roman"/>
        </w:rPr>
        <w:t>.</w:t>
      </w:r>
      <w:r w:rsidR="00FD6EBD" w:rsidRPr="00605209">
        <w:rPr>
          <w:rFonts w:ascii="Times New Roman" w:hAnsi="Times New Roman"/>
        </w:rPr>
        <w:tab/>
        <w:t>PPL Electric’s Commission-approved tariff requires the Company to place the Complainant’s solar facilities under Rate Schedule GS-1, not Rate Schedule RS (PPL St. No. 1 at 28).</w:t>
      </w:r>
    </w:p>
    <w:p w:rsidR="00FD6EBD" w:rsidRPr="00605209" w:rsidRDefault="00FD6EBD" w:rsidP="00D975AC">
      <w:pPr>
        <w:pStyle w:val="BodyText"/>
        <w:tabs>
          <w:tab w:val="clear" w:pos="1980"/>
          <w:tab w:val="left" w:pos="720"/>
          <w:tab w:val="left" w:pos="1440"/>
        </w:tabs>
        <w:spacing w:line="360" w:lineRule="auto"/>
        <w:jc w:val="left"/>
        <w:rPr>
          <w:rFonts w:ascii="Times New Roman" w:hAnsi="Times New Roman"/>
        </w:rPr>
      </w:pPr>
    </w:p>
    <w:p w:rsidR="00FD6EBD" w:rsidRPr="00605209" w:rsidRDefault="006A0E09" w:rsidP="00D975AC">
      <w:pPr>
        <w:pStyle w:val="BodyText"/>
        <w:tabs>
          <w:tab w:val="clear" w:pos="1980"/>
          <w:tab w:val="left" w:pos="720"/>
          <w:tab w:val="left" w:pos="144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1A2BC2" w:rsidRPr="00605209">
        <w:rPr>
          <w:rFonts w:ascii="Times New Roman" w:hAnsi="Times New Roman"/>
        </w:rPr>
        <w:t>10.</w:t>
      </w:r>
      <w:r w:rsidR="00FD6EBD" w:rsidRPr="00605209">
        <w:rPr>
          <w:rFonts w:ascii="Times New Roman" w:hAnsi="Times New Roman"/>
        </w:rPr>
        <w:tab/>
        <w:t xml:space="preserve">Relieving any customer-generator of its responsibility to pay customer charges or demand related charges would create an unjust and unreasonable burden on all other ratepayers.”  </w:t>
      </w:r>
      <w:r w:rsidR="00FD6EBD" w:rsidRPr="00605209">
        <w:rPr>
          <w:rFonts w:ascii="Times New Roman" w:hAnsi="Times New Roman"/>
          <w:i/>
        </w:rPr>
        <w:t>Pa. PUC v. PPL Electric Utilities Corp</w:t>
      </w:r>
      <w:r w:rsidR="00FD6EBD" w:rsidRPr="00605209">
        <w:rPr>
          <w:rFonts w:ascii="Times New Roman" w:hAnsi="Times New Roman"/>
        </w:rPr>
        <w:t>., Docket Nos. R-2010-2161694, 2010 Pa. PUC LEXIS 2001 at *85 (Order Entered Dec. 21, 2010).</w:t>
      </w:r>
    </w:p>
    <w:p w:rsidR="00FD6EBD" w:rsidRPr="00605209" w:rsidRDefault="00FD6EBD" w:rsidP="00D975AC">
      <w:pPr>
        <w:pStyle w:val="BodyText"/>
        <w:tabs>
          <w:tab w:val="clear" w:pos="1980"/>
          <w:tab w:val="left" w:pos="720"/>
          <w:tab w:val="left" w:pos="1440"/>
        </w:tabs>
        <w:spacing w:line="360" w:lineRule="auto"/>
        <w:jc w:val="left"/>
        <w:rPr>
          <w:rFonts w:ascii="Times New Roman" w:hAnsi="Times New Roman"/>
        </w:rPr>
      </w:pPr>
    </w:p>
    <w:p w:rsidR="00FD6EBD" w:rsidRPr="00605209" w:rsidRDefault="006A0E09" w:rsidP="00D975AC">
      <w:pPr>
        <w:pStyle w:val="BodyText"/>
        <w:tabs>
          <w:tab w:val="clear" w:pos="1980"/>
          <w:tab w:val="left" w:pos="720"/>
          <w:tab w:val="left" w:pos="144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1A2BC2" w:rsidRPr="00605209">
        <w:rPr>
          <w:rFonts w:ascii="Times New Roman" w:hAnsi="Times New Roman"/>
        </w:rPr>
        <w:t>11</w:t>
      </w:r>
      <w:r w:rsidR="00FD6EBD" w:rsidRPr="00605209">
        <w:rPr>
          <w:rFonts w:ascii="Times New Roman" w:hAnsi="Times New Roman"/>
        </w:rPr>
        <w:t>.</w:t>
      </w:r>
      <w:r w:rsidR="00FD6EBD" w:rsidRPr="00605209">
        <w:rPr>
          <w:rFonts w:ascii="Times New Roman" w:hAnsi="Times New Roman"/>
        </w:rPr>
        <w:tab/>
        <w:t xml:space="preserve">The Commission is without jurisdiction to award damages; accordingly, the Complainant’s request for “a reasonable estimate of appropriate compensation” is a claim for monetary damages that is denied.  See </w:t>
      </w:r>
      <w:r w:rsidR="00FD6EBD" w:rsidRPr="00605209">
        <w:rPr>
          <w:rFonts w:ascii="Times New Roman" w:hAnsi="Times New Roman"/>
          <w:i/>
        </w:rPr>
        <w:t>Byer v. Peoples Natural Gas Co</w:t>
      </w:r>
      <w:r w:rsidR="00FD6EBD" w:rsidRPr="00605209">
        <w:rPr>
          <w:rFonts w:ascii="Times New Roman" w:hAnsi="Times New Roman"/>
        </w:rPr>
        <w:t xml:space="preserve">., 380 A.2d 383 (Pa. Super. 1977); </w:t>
      </w:r>
      <w:r w:rsidR="00FD6EBD" w:rsidRPr="00605209">
        <w:rPr>
          <w:rFonts w:ascii="Times New Roman" w:hAnsi="Times New Roman"/>
          <w:i/>
        </w:rPr>
        <w:t>Feingold v. Bell of Pennsylvania</w:t>
      </w:r>
      <w:r w:rsidR="00FD6EBD" w:rsidRPr="00605209">
        <w:rPr>
          <w:rFonts w:ascii="Times New Roman" w:hAnsi="Times New Roman"/>
        </w:rPr>
        <w:t xml:space="preserve">, 477 Pa. 1, 383 A.2d 791 (1977); </w:t>
      </w:r>
      <w:r w:rsidR="00FD6EBD" w:rsidRPr="00605209">
        <w:rPr>
          <w:rFonts w:ascii="Times New Roman" w:hAnsi="Times New Roman"/>
          <w:i/>
        </w:rPr>
        <w:t xml:space="preserve">DeFrancesco v. </w:t>
      </w:r>
      <w:r w:rsidR="00FD6EBD" w:rsidRPr="00605209">
        <w:rPr>
          <w:rFonts w:ascii="Times New Roman" w:hAnsi="Times New Roman"/>
          <w:i/>
        </w:rPr>
        <w:lastRenderedPageBreak/>
        <w:t>Western Pennsylvania Water Company</w:t>
      </w:r>
      <w:r w:rsidR="00FD6EBD" w:rsidRPr="00605209">
        <w:rPr>
          <w:rFonts w:ascii="Times New Roman" w:hAnsi="Times New Roman"/>
        </w:rPr>
        <w:t xml:space="preserve">, 499 Pa. 374, 453 A.2d 595 (1982); </w:t>
      </w:r>
      <w:r w:rsidR="00FD6EBD" w:rsidRPr="00605209">
        <w:rPr>
          <w:rFonts w:ascii="Times New Roman" w:hAnsi="Times New Roman"/>
          <w:i/>
        </w:rPr>
        <w:t>Elkin v. Bell of Pa.,</w:t>
      </w:r>
      <w:r w:rsidR="00FD6EBD" w:rsidRPr="00605209">
        <w:rPr>
          <w:rFonts w:ascii="Times New Roman" w:hAnsi="Times New Roman"/>
        </w:rPr>
        <w:t xml:space="preserve"> 491 Pa. 123, 420 A.2d 371 (1980).  </w:t>
      </w:r>
    </w:p>
    <w:p w:rsidR="001A2BC2" w:rsidRPr="00605209" w:rsidRDefault="001A2BC2" w:rsidP="00D975AC">
      <w:pPr>
        <w:pStyle w:val="BodyText"/>
        <w:tabs>
          <w:tab w:val="clear" w:pos="1980"/>
          <w:tab w:val="left" w:pos="720"/>
          <w:tab w:val="left" w:pos="1440"/>
        </w:tabs>
        <w:spacing w:line="360" w:lineRule="auto"/>
        <w:jc w:val="left"/>
        <w:rPr>
          <w:rFonts w:ascii="Times New Roman" w:hAnsi="Times New Roman"/>
        </w:rPr>
      </w:pPr>
    </w:p>
    <w:p w:rsidR="00FD6EBD" w:rsidRPr="00605209" w:rsidRDefault="0007074E" w:rsidP="00D975AC">
      <w:pPr>
        <w:pStyle w:val="BodyText"/>
        <w:tabs>
          <w:tab w:val="clear" w:pos="1980"/>
          <w:tab w:val="left" w:pos="720"/>
          <w:tab w:val="left" w:pos="144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r>
      <w:r w:rsidR="001A2BC2" w:rsidRPr="00605209">
        <w:rPr>
          <w:rFonts w:ascii="Times New Roman" w:hAnsi="Times New Roman"/>
        </w:rPr>
        <w:t>1</w:t>
      </w:r>
      <w:r w:rsidR="00FD6EBD" w:rsidRPr="00605209">
        <w:rPr>
          <w:rFonts w:ascii="Times New Roman" w:hAnsi="Times New Roman"/>
        </w:rPr>
        <w:t>2.</w:t>
      </w:r>
      <w:r w:rsidR="00FD6EBD" w:rsidRPr="00605209">
        <w:rPr>
          <w:rFonts w:ascii="Times New Roman" w:hAnsi="Times New Roman"/>
        </w:rPr>
        <w:tab/>
        <w:t xml:space="preserve">It is well-established that parties are not permitted to present new arguments or proposals for the first time in the briefing stage.  </w:t>
      </w:r>
      <w:r w:rsidR="00FD6EBD" w:rsidRPr="00605209">
        <w:rPr>
          <w:rFonts w:ascii="Times New Roman" w:hAnsi="Times New Roman"/>
          <w:i/>
        </w:rPr>
        <w:t>Pa. PUC v. Pa. Power and Light Co</w:t>
      </w:r>
      <w:r w:rsidR="00FD6EBD" w:rsidRPr="00605209">
        <w:rPr>
          <w:rFonts w:ascii="Times New Roman" w:hAnsi="Times New Roman"/>
        </w:rPr>
        <w:t xml:space="preserve">., Docket Nos. R-822169, et al., 55 P.U.R.4th 185, 57 Pa. PUC 559, 596-97 (Order Entered Aug. 19, 1983); </w:t>
      </w:r>
      <w:r w:rsidR="00FD6EBD" w:rsidRPr="00605209">
        <w:rPr>
          <w:rFonts w:ascii="Times New Roman" w:hAnsi="Times New Roman"/>
          <w:i/>
        </w:rPr>
        <w:t>Enron Capital &amp; Trade Res. Corp. v. Peoples Natural Gas Co</w:t>
      </w:r>
      <w:r w:rsidR="00FD6EBD" w:rsidRPr="00605209">
        <w:rPr>
          <w:rFonts w:ascii="Times New Roman" w:hAnsi="Times New Roman"/>
        </w:rPr>
        <w:t xml:space="preserve">., Docket No. R-00973928C0001, 1997 Pa. PUC LEXIS 178, at *10-11 (Nov. 13, 1997) (Recommended Decision), affirmed, 1998 Pa. PUC LEXIS 199 (Order Entered Aug. 24, 1998); </w:t>
      </w:r>
      <w:r w:rsidR="00FD6EBD" w:rsidRPr="00605209">
        <w:rPr>
          <w:rFonts w:ascii="Times New Roman" w:hAnsi="Times New Roman"/>
          <w:i/>
        </w:rPr>
        <w:t>Pa. PUC v. Columbia Gas of Pa., Inc.,</w:t>
      </w:r>
      <w:r w:rsidR="00FD6EBD" w:rsidRPr="00605209">
        <w:rPr>
          <w:rFonts w:ascii="Times New Roman" w:hAnsi="Times New Roman"/>
        </w:rPr>
        <w:t xml:space="preserve"> Docket Nos. R-2014-2407345, C-2014-241019</w:t>
      </w:r>
      <w:r w:rsidR="00EC685D" w:rsidRPr="00605209">
        <w:rPr>
          <w:rFonts w:ascii="Times New Roman" w:hAnsi="Times New Roman"/>
        </w:rPr>
        <w:t>7, C-2014-2415136, at</w:t>
      </w:r>
      <w:r w:rsidR="00FD6EBD" w:rsidRPr="00605209">
        <w:rPr>
          <w:rFonts w:ascii="Times New Roman" w:hAnsi="Times New Roman"/>
        </w:rPr>
        <w:t xml:space="preserve"> 65 (Aug. 22, 2014) (Recommended Decision).</w:t>
      </w:r>
    </w:p>
    <w:p w:rsidR="00FD6EBD" w:rsidRPr="00605209" w:rsidRDefault="00FD6EBD" w:rsidP="00D975AC">
      <w:pPr>
        <w:pStyle w:val="BodyText"/>
        <w:tabs>
          <w:tab w:val="clear" w:pos="1980"/>
          <w:tab w:val="left" w:pos="720"/>
          <w:tab w:val="left" w:pos="1440"/>
        </w:tabs>
        <w:spacing w:line="360" w:lineRule="auto"/>
        <w:jc w:val="left"/>
        <w:rPr>
          <w:rFonts w:ascii="Times New Roman" w:hAnsi="Times New Roman"/>
        </w:rPr>
      </w:pPr>
    </w:p>
    <w:p w:rsidR="00C66854" w:rsidRPr="00605209" w:rsidRDefault="0007074E" w:rsidP="002C58E9">
      <w:pPr>
        <w:pStyle w:val="ListNumber"/>
        <w:numPr>
          <w:ilvl w:val="0"/>
          <w:numId w:val="0"/>
        </w:numPr>
        <w:spacing w:after="0" w:line="360" w:lineRule="auto"/>
        <w:ind w:firstLine="1440"/>
        <w:jc w:val="left"/>
      </w:pPr>
      <w:r w:rsidRPr="00605209">
        <w:t>13.</w:t>
      </w:r>
      <w:r w:rsidRPr="00605209">
        <w:tab/>
      </w:r>
      <w:r w:rsidR="00C66854" w:rsidRPr="00605209">
        <w:t xml:space="preserve">PPL Electric’s virtual meter aggregation manual billing process properly combines the readings and billing of customer-generators by aggregating their usage and generation appropriately, as required by 52 </w:t>
      </w:r>
      <w:r w:rsidR="003C16DF" w:rsidRPr="00605209">
        <w:t>Pa.Code</w:t>
      </w:r>
      <w:r w:rsidR="00C66854" w:rsidRPr="00605209">
        <w:t xml:space="preserve"> §</w:t>
      </w:r>
      <w:r w:rsidR="00902978" w:rsidRPr="00605209">
        <w:t xml:space="preserve"> </w:t>
      </w:r>
      <w:r w:rsidR="00C66854" w:rsidRPr="00605209">
        <w:t>75.12.</w:t>
      </w:r>
    </w:p>
    <w:p w:rsidR="00902978" w:rsidRPr="00605209" w:rsidRDefault="00902978" w:rsidP="002C58E9">
      <w:pPr>
        <w:pStyle w:val="ListNumber"/>
        <w:numPr>
          <w:ilvl w:val="0"/>
          <w:numId w:val="0"/>
        </w:numPr>
        <w:spacing w:after="0" w:line="360" w:lineRule="auto"/>
        <w:ind w:firstLine="1440"/>
        <w:jc w:val="left"/>
      </w:pPr>
    </w:p>
    <w:p w:rsidR="00C66854" w:rsidRPr="00605209" w:rsidRDefault="0007074E" w:rsidP="00993A21">
      <w:pPr>
        <w:pStyle w:val="ListNumber"/>
        <w:numPr>
          <w:ilvl w:val="0"/>
          <w:numId w:val="0"/>
        </w:numPr>
        <w:spacing w:after="0" w:line="360" w:lineRule="auto"/>
        <w:ind w:firstLine="1440"/>
        <w:jc w:val="left"/>
      </w:pPr>
      <w:r w:rsidRPr="00605209">
        <w:t>14.</w:t>
      </w:r>
      <w:r w:rsidRPr="00605209">
        <w:tab/>
      </w:r>
      <w:r w:rsidR="00C66854" w:rsidRPr="00605209">
        <w:t xml:space="preserve">The Complainant’s request for a refund of the customer and demand charges is barred by the Commission-made rates doctrine.  </w:t>
      </w:r>
      <w:r w:rsidR="00C66854" w:rsidRPr="00605209">
        <w:rPr>
          <w:i/>
        </w:rPr>
        <w:t>See Cheltenham &amp; Abington Sewage Co. v. Pa. PUC</w:t>
      </w:r>
      <w:r w:rsidR="00C66854" w:rsidRPr="00605209">
        <w:t xml:space="preserve">, 344 Pa. 366, 25 A.2d 334, 338 (1942); </w:t>
      </w:r>
      <w:r w:rsidR="00C66854" w:rsidRPr="00605209">
        <w:rPr>
          <w:i/>
        </w:rPr>
        <w:t>West Penn Power Co. v. Pa. PUC</w:t>
      </w:r>
      <w:r w:rsidR="00C66854" w:rsidRPr="00605209">
        <w:t xml:space="preserve">, 100 A.2d 110, 114 (Pa. Super. 1953); </w:t>
      </w:r>
      <w:r w:rsidR="00C66854" w:rsidRPr="00605209">
        <w:rPr>
          <w:i/>
        </w:rPr>
        <w:t>Peoples Natural Gas Co. v. Pa. PUC</w:t>
      </w:r>
      <w:r w:rsidR="00C66854" w:rsidRPr="00605209">
        <w:t>, 34 A.2d 375 (Pa. Super. 1943).</w:t>
      </w:r>
    </w:p>
    <w:p w:rsidR="00902978" w:rsidRPr="00605209" w:rsidRDefault="00902978" w:rsidP="00993A21">
      <w:pPr>
        <w:pStyle w:val="ListNumber"/>
        <w:numPr>
          <w:ilvl w:val="0"/>
          <w:numId w:val="0"/>
        </w:numPr>
        <w:spacing w:after="0" w:line="360" w:lineRule="auto"/>
        <w:ind w:firstLine="1440"/>
        <w:jc w:val="left"/>
      </w:pPr>
    </w:p>
    <w:p w:rsidR="00C66854" w:rsidRPr="00605209" w:rsidRDefault="0007074E" w:rsidP="00993A21">
      <w:pPr>
        <w:pStyle w:val="ListNumber"/>
        <w:numPr>
          <w:ilvl w:val="0"/>
          <w:numId w:val="0"/>
        </w:numPr>
        <w:spacing w:after="0" w:line="360" w:lineRule="auto"/>
        <w:ind w:firstLine="1440"/>
        <w:jc w:val="left"/>
      </w:pPr>
      <w:r w:rsidRPr="00605209">
        <w:t>15.</w:t>
      </w:r>
      <w:r w:rsidRPr="00605209">
        <w:tab/>
      </w:r>
      <w:r w:rsidR="00C66854" w:rsidRPr="00605209">
        <w:t xml:space="preserve">An </w:t>
      </w:r>
      <w:r w:rsidR="00EB5239" w:rsidRPr="00605209">
        <w:t>Electric</w:t>
      </w:r>
      <w:r w:rsidR="00EB5239" w:rsidRPr="00605209">
        <w:rPr>
          <w:smallCaps/>
        </w:rPr>
        <w:t xml:space="preserve"> </w:t>
      </w:r>
      <w:r w:rsidR="00EB5239" w:rsidRPr="00605209">
        <w:t>Distribution Companies</w:t>
      </w:r>
      <w:r w:rsidR="00C66854" w:rsidRPr="00605209">
        <w:t xml:space="preserve"> cannot be subject to penalties as a result of enforcing its Commission-approved tariff.  </w:t>
      </w:r>
      <w:r w:rsidR="00C66854" w:rsidRPr="00605209">
        <w:rPr>
          <w:i/>
        </w:rPr>
        <w:t>See</w:t>
      </w:r>
      <w:r w:rsidR="00C66854" w:rsidRPr="00605209">
        <w:t xml:space="preserve"> 66 </w:t>
      </w:r>
      <w:r w:rsidR="003C16DF" w:rsidRPr="00605209">
        <w:t>Pa.C.S.</w:t>
      </w:r>
      <w:r w:rsidR="00C66854" w:rsidRPr="00605209">
        <w:t xml:space="preserve"> § 3303.  </w:t>
      </w:r>
    </w:p>
    <w:p w:rsidR="00902978" w:rsidRPr="00605209" w:rsidRDefault="00902978" w:rsidP="00993A21">
      <w:pPr>
        <w:pStyle w:val="ListNumber"/>
        <w:numPr>
          <w:ilvl w:val="0"/>
          <w:numId w:val="0"/>
        </w:numPr>
        <w:spacing w:after="0" w:line="360" w:lineRule="auto"/>
        <w:ind w:firstLine="1440"/>
        <w:jc w:val="left"/>
      </w:pPr>
    </w:p>
    <w:p w:rsidR="00C66854" w:rsidRPr="00605209" w:rsidRDefault="0007074E" w:rsidP="00993A21">
      <w:pPr>
        <w:pStyle w:val="ListNumber"/>
        <w:numPr>
          <w:ilvl w:val="0"/>
          <w:numId w:val="0"/>
        </w:numPr>
        <w:spacing w:after="0" w:line="360" w:lineRule="auto"/>
        <w:ind w:firstLine="1440"/>
        <w:jc w:val="left"/>
      </w:pPr>
      <w:r w:rsidRPr="00605209">
        <w:t>16.</w:t>
      </w:r>
      <w:r w:rsidRPr="00605209">
        <w:tab/>
      </w:r>
      <w:r w:rsidR="00C66854" w:rsidRPr="00605209">
        <w:t>The Complainant has not met his burden of proof to demonstrate that PPL Electric’s virtual meter aggregation program and billing process violates the Public Utility Code, AEPS Act, Commission regulations, or PPL Electric’s tariff.</w:t>
      </w:r>
    </w:p>
    <w:p w:rsidR="00902978" w:rsidRPr="00605209" w:rsidRDefault="00902978" w:rsidP="00993A21">
      <w:pPr>
        <w:pStyle w:val="ListNumber"/>
        <w:numPr>
          <w:ilvl w:val="0"/>
          <w:numId w:val="0"/>
        </w:numPr>
        <w:spacing w:after="0" w:line="360" w:lineRule="auto"/>
        <w:ind w:firstLine="1440"/>
        <w:jc w:val="left"/>
      </w:pPr>
    </w:p>
    <w:p w:rsidR="00C66854" w:rsidRDefault="0007074E" w:rsidP="00993A21">
      <w:pPr>
        <w:pStyle w:val="ListNumber"/>
        <w:numPr>
          <w:ilvl w:val="0"/>
          <w:numId w:val="0"/>
        </w:numPr>
        <w:spacing w:after="0" w:line="360" w:lineRule="auto"/>
        <w:ind w:firstLine="1440"/>
        <w:jc w:val="left"/>
      </w:pPr>
      <w:r w:rsidRPr="00605209">
        <w:t>17.</w:t>
      </w:r>
      <w:r w:rsidRPr="00605209">
        <w:tab/>
      </w:r>
      <w:r w:rsidR="00C66854" w:rsidRPr="00605209">
        <w:t xml:space="preserve">The Complainant has not met his burden to demonstrate that his detached solar array should be under Rate Schedule RS. </w:t>
      </w:r>
    </w:p>
    <w:p w:rsidR="00C66854" w:rsidRPr="00605209" w:rsidRDefault="0007074E" w:rsidP="00993A21">
      <w:pPr>
        <w:pStyle w:val="ListNumber"/>
        <w:numPr>
          <w:ilvl w:val="0"/>
          <w:numId w:val="0"/>
        </w:numPr>
        <w:spacing w:after="0" w:line="360" w:lineRule="auto"/>
        <w:ind w:firstLine="1440"/>
        <w:jc w:val="left"/>
      </w:pPr>
      <w:r w:rsidRPr="00605209">
        <w:lastRenderedPageBreak/>
        <w:t>18.</w:t>
      </w:r>
      <w:r w:rsidRPr="00605209">
        <w:tab/>
      </w:r>
      <w:r w:rsidR="00C66854" w:rsidRPr="00605209">
        <w:t>The Complainant has not met his burden to demonstrate that he should not pay the customer and demand charges associated with his detached solar array.</w:t>
      </w:r>
    </w:p>
    <w:p w:rsidR="00056E1B" w:rsidRDefault="00056E1B" w:rsidP="00993A21">
      <w:pPr>
        <w:pStyle w:val="ListNumber"/>
        <w:numPr>
          <w:ilvl w:val="0"/>
          <w:numId w:val="0"/>
        </w:numPr>
        <w:spacing w:after="0" w:line="360" w:lineRule="auto"/>
        <w:ind w:firstLine="1440"/>
        <w:jc w:val="left"/>
      </w:pPr>
    </w:p>
    <w:p w:rsidR="00C66854" w:rsidRPr="00605209" w:rsidRDefault="0007074E" w:rsidP="00993A21">
      <w:pPr>
        <w:pStyle w:val="ListNumber"/>
        <w:numPr>
          <w:ilvl w:val="0"/>
          <w:numId w:val="0"/>
        </w:numPr>
        <w:spacing w:after="0" w:line="360" w:lineRule="auto"/>
        <w:ind w:firstLine="1440"/>
        <w:jc w:val="left"/>
      </w:pPr>
      <w:r w:rsidRPr="00605209">
        <w:t>19.</w:t>
      </w:r>
      <w:r w:rsidRPr="00605209">
        <w:tab/>
      </w:r>
      <w:r w:rsidR="00C66854" w:rsidRPr="00605209">
        <w:t>The Complainant has not met his burden to establish he is entitled to the refunds, damages, and civil penalties requested.</w:t>
      </w:r>
    </w:p>
    <w:p w:rsidR="001933AD" w:rsidRPr="00605209" w:rsidRDefault="001933AD" w:rsidP="00993A21">
      <w:pPr>
        <w:pStyle w:val="ListNumber"/>
        <w:numPr>
          <w:ilvl w:val="0"/>
          <w:numId w:val="0"/>
        </w:numPr>
        <w:spacing w:after="0" w:line="360" w:lineRule="auto"/>
        <w:ind w:firstLine="1440"/>
        <w:jc w:val="left"/>
      </w:pPr>
    </w:p>
    <w:p w:rsidR="001933AD" w:rsidRPr="00605209" w:rsidRDefault="001933AD" w:rsidP="00993A21">
      <w:pPr>
        <w:pStyle w:val="ListNumber"/>
        <w:numPr>
          <w:ilvl w:val="0"/>
          <w:numId w:val="0"/>
        </w:numPr>
        <w:spacing w:after="0" w:line="360" w:lineRule="auto"/>
        <w:ind w:firstLine="1440"/>
        <w:jc w:val="left"/>
      </w:pPr>
    </w:p>
    <w:p w:rsidR="00666B56" w:rsidRPr="00605209" w:rsidRDefault="00666B56" w:rsidP="00993A21">
      <w:pPr>
        <w:spacing w:line="360" w:lineRule="auto"/>
        <w:jc w:val="center"/>
        <w:rPr>
          <w:u w:val="single"/>
        </w:rPr>
      </w:pPr>
      <w:r w:rsidRPr="00605209">
        <w:rPr>
          <w:u w:val="single"/>
        </w:rPr>
        <w:t>ORDER</w:t>
      </w:r>
    </w:p>
    <w:p w:rsidR="00666B56" w:rsidRPr="00605209" w:rsidRDefault="00666B56" w:rsidP="00993A21">
      <w:pPr>
        <w:pStyle w:val="BodyText"/>
        <w:tabs>
          <w:tab w:val="clear" w:pos="1980"/>
          <w:tab w:val="left" w:pos="720"/>
          <w:tab w:val="left" w:pos="1440"/>
        </w:tabs>
        <w:spacing w:line="360" w:lineRule="auto"/>
        <w:jc w:val="center"/>
        <w:rPr>
          <w:rFonts w:ascii="Times New Roman" w:hAnsi="Times New Roman"/>
          <w:u w:val="single"/>
        </w:rPr>
      </w:pPr>
    </w:p>
    <w:p w:rsidR="00ED0AF2" w:rsidRPr="00605209" w:rsidRDefault="00ED0AF2" w:rsidP="00993A21">
      <w:pPr>
        <w:pStyle w:val="BodyText"/>
        <w:tabs>
          <w:tab w:val="clear" w:pos="1980"/>
          <w:tab w:val="left" w:pos="720"/>
          <w:tab w:val="left" w:pos="1440"/>
        </w:tabs>
        <w:spacing w:line="360" w:lineRule="auto"/>
        <w:jc w:val="center"/>
        <w:rPr>
          <w:rFonts w:ascii="Times New Roman" w:hAnsi="Times New Roman"/>
          <w:u w:val="single"/>
        </w:rPr>
      </w:pPr>
    </w:p>
    <w:p w:rsidR="00666B56" w:rsidRPr="00605209" w:rsidRDefault="00666B56" w:rsidP="00993A21">
      <w:pPr>
        <w:pStyle w:val="BodyText"/>
        <w:tabs>
          <w:tab w:val="clear" w:pos="1980"/>
          <w:tab w:val="left" w:pos="720"/>
          <w:tab w:val="left" w:pos="1440"/>
        </w:tabs>
        <w:spacing w:line="360" w:lineRule="auto"/>
        <w:jc w:val="left"/>
        <w:rPr>
          <w:rFonts w:ascii="Times New Roman" w:hAnsi="Times New Roman"/>
        </w:rPr>
      </w:pPr>
      <w:r w:rsidRPr="00605209">
        <w:rPr>
          <w:rFonts w:ascii="Times New Roman" w:hAnsi="Times New Roman"/>
        </w:rPr>
        <w:tab/>
      </w:r>
      <w:r w:rsidRPr="00605209">
        <w:rPr>
          <w:rFonts w:ascii="Times New Roman" w:hAnsi="Times New Roman"/>
        </w:rPr>
        <w:tab/>
        <w:t>THEREFORE,</w:t>
      </w:r>
    </w:p>
    <w:p w:rsidR="00400BED" w:rsidRPr="00605209" w:rsidRDefault="00400BED" w:rsidP="00993A21">
      <w:pPr>
        <w:pStyle w:val="BodyText"/>
        <w:tabs>
          <w:tab w:val="clear" w:pos="1980"/>
          <w:tab w:val="left" w:pos="720"/>
          <w:tab w:val="left" w:pos="1440"/>
        </w:tabs>
        <w:spacing w:line="360" w:lineRule="auto"/>
        <w:jc w:val="left"/>
        <w:rPr>
          <w:rFonts w:ascii="Times New Roman" w:hAnsi="Times New Roman"/>
        </w:rPr>
      </w:pPr>
    </w:p>
    <w:p w:rsidR="00FF26E3" w:rsidRPr="00605209" w:rsidRDefault="00FF26E3" w:rsidP="00993A21">
      <w:pPr>
        <w:spacing w:line="360" w:lineRule="auto"/>
      </w:pPr>
      <w:r w:rsidRPr="00605209">
        <w:tab/>
      </w:r>
      <w:r w:rsidRPr="00605209">
        <w:tab/>
        <w:t>IT IS ORDERED:</w:t>
      </w:r>
    </w:p>
    <w:p w:rsidR="00FF26E3" w:rsidRPr="00605209" w:rsidRDefault="00FF26E3" w:rsidP="00993A21">
      <w:pPr>
        <w:spacing w:line="360" w:lineRule="auto"/>
      </w:pPr>
    </w:p>
    <w:p w:rsidR="00FF26E3" w:rsidRPr="00605209" w:rsidRDefault="00FF26E3" w:rsidP="00993A21">
      <w:pPr>
        <w:pStyle w:val="ListParagraph"/>
        <w:numPr>
          <w:ilvl w:val="0"/>
          <w:numId w:val="19"/>
        </w:numPr>
        <w:ind w:left="0" w:firstLine="1440"/>
        <w:rPr>
          <w:sz w:val="24"/>
        </w:rPr>
      </w:pPr>
      <w:r w:rsidRPr="00605209">
        <w:rPr>
          <w:sz w:val="24"/>
        </w:rPr>
        <w:t xml:space="preserve">That the complaint filed by </w:t>
      </w:r>
      <w:r w:rsidR="00946301" w:rsidRPr="00605209">
        <w:rPr>
          <w:sz w:val="24"/>
        </w:rPr>
        <w:t>Jay Larry Moyer</w:t>
      </w:r>
      <w:r w:rsidRPr="00605209">
        <w:rPr>
          <w:sz w:val="24"/>
        </w:rPr>
        <w:t xml:space="preserve"> against the </w:t>
      </w:r>
      <w:r w:rsidR="00946301" w:rsidRPr="00605209">
        <w:rPr>
          <w:sz w:val="24"/>
        </w:rPr>
        <w:t>PPL Electric Utilities Corporation</w:t>
      </w:r>
      <w:r w:rsidRPr="00605209">
        <w:rPr>
          <w:sz w:val="24"/>
        </w:rPr>
        <w:t xml:space="preserve"> at Docket </w:t>
      </w:r>
      <w:r w:rsidR="00946301" w:rsidRPr="00605209">
        <w:rPr>
          <w:sz w:val="24"/>
        </w:rPr>
        <w:t xml:space="preserve">C-2011-2273645 </w:t>
      </w:r>
      <w:r w:rsidRPr="00605209">
        <w:rPr>
          <w:sz w:val="24"/>
        </w:rPr>
        <w:t>is dismissed</w:t>
      </w:r>
      <w:r w:rsidR="00993A21" w:rsidRPr="00605209">
        <w:rPr>
          <w:sz w:val="24"/>
        </w:rPr>
        <w:t xml:space="preserve"> in part and granted in part</w:t>
      </w:r>
      <w:r w:rsidRPr="00605209">
        <w:rPr>
          <w:sz w:val="24"/>
        </w:rPr>
        <w:t>.</w:t>
      </w:r>
      <w:r w:rsidR="00993A21" w:rsidRPr="00605209">
        <w:rPr>
          <w:sz w:val="24"/>
        </w:rPr>
        <w:t xml:space="preserve">  It is granted with respect to compensation for credits “earned” between May and December 2010 as set forth in Ordering Paragraph 4.  In addition, Mr. Moyer’s facility will be regarded as a virtual metering facility as set forth in Ordering Paragraph 3.</w:t>
      </w:r>
      <w:r w:rsidR="002C2F4C" w:rsidRPr="00605209">
        <w:rPr>
          <w:sz w:val="24"/>
        </w:rPr>
        <w:t xml:space="preserve">  The complaint is dismissed with respect to all other allegations.</w:t>
      </w:r>
    </w:p>
    <w:p w:rsidR="00AC61DC" w:rsidRPr="00605209" w:rsidRDefault="00AC61DC" w:rsidP="00D975AC">
      <w:pPr>
        <w:spacing w:line="360" w:lineRule="auto"/>
        <w:ind w:firstLine="1440"/>
      </w:pPr>
    </w:p>
    <w:p w:rsidR="003C16DF" w:rsidRDefault="003C16DF" w:rsidP="00D975AC">
      <w:pPr>
        <w:pStyle w:val="ListNumber"/>
        <w:numPr>
          <w:ilvl w:val="0"/>
          <w:numId w:val="19"/>
        </w:numPr>
        <w:spacing w:after="0" w:line="360" w:lineRule="auto"/>
        <w:ind w:left="0" w:firstLine="1440"/>
        <w:jc w:val="left"/>
      </w:pPr>
      <w:r w:rsidRPr="00605209">
        <w:t xml:space="preserve">That the Complaint filed by Jay Larry Moyer against </w:t>
      </w:r>
      <w:r w:rsidR="001C7E74" w:rsidRPr="00605209">
        <w:t xml:space="preserve">PPL Electric Utilities Corporation </w:t>
      </w:r>
      <w:r w:rsidRPr="00605209">
        <w:t>a</w:t>
      </w:r>
      <w:r w:rsidR="00993A21" w:rsidRPr="00605209">
        <w:t>t Docket No. C-2014-2444864 is dismiss</w:t>
      </w:r>
      <w:r w:rsidRPr="00605209">
        <w:t>ed</w:t>
      </w:r>
      <w:r w:rsidR="002C2F4C" w:rsidRPr="00605209">
        <w:t xml:space="preserve"> in its entirety</w:t>
      </w:r>
      <w:r w:rsidRPr="00605209">
        <w:t>.</w:t>
      </w:r>
    </w:p>
    <w:p w:rsidR="00056E1B" w:rsidRPr="00605209" w:rsidRDefault="00056E1B" w:rsidP="00056E1B">
      <w:pPr>
        <w:pStyle w:val="ListNumber"/>
        <w:numPr>
          <w:ilvl w:val="0"/>
          <w:numId w:val="0"/>
        </w:numPr>
        <w:spacing w:after="0" w:line="360" w:lineRule="auto"/>
        <w:jc w:val="left"/>
      </w:pPr>
    </w:p>
    <w:p w:rsidR="003C16DF" w:rsidRPr="00605209" w:rsidRDefault="003C16DF" w:rsidP="00D975AC">
      <w:pPr>
        <w:pStyle w:val="ListNumber"/>
        <w:numPr>
          <w:ilvl w:val="0"/>
          <w:numId w:val="19"/>
        </w:numPr>
        <w:spacing w:after="0" w:line="360" w:lineRule="auto"/>
        <w:ind w:left="0" w:firstLine="1440"/>
        <w:jc w:val="left"/>
      </w:pPr>
      <w:r w:rsidRPr="00605209">
        <w:t xml:space="preserve">That </w:t>
      </w:r>
      <w:r w:rsidR="001C7E74" w:rsidRPr="00605209">
        <w:t>PPL Electric Utilities Corporation</w:t>
      </w:r>
      <w:r w:rsidR="00AC61DC" w:rsidRPr="00605209">
        <w:t xml:space="preserve">, </w:t>
      </w:r>
      <w:r w:rsidRPr="00605209">
        <w:t>as directed by the Pennsylvania Public Utility Commission in its Opinion and Order entered January 9, 2014, at Docket No. C-2011-2273645, shall continue to permit the Complainant to virtually aggregate his two existing metering accounts, subject to changes in applicable laws or tariffs.</w:t>
      </w:r>
    </w:p>
    <w:p w:rsidR="00FF26E3" w:rsidRPr="00605209" w:rsidRDefault="00FF26E3" w:rsidP="00D975AC">
      <w:pPr>
        <w:pStyle w:val="BodyText3"/>
        <w:ind w:firstLine="1440"/>
      </w:pPr>
    </w:p>
    <w:p w:rsidR="00AC61DC" w:rsidRPr="00605209" w:rsidRDefault="00AC61DC" w:rsidP="00D975AC">
      <w:pPr>
        <w:pStyle w:val="ListParagraph"/>
        <w:numPr>
          <w:ilvl w:val="0"/>
          <w:numId w:val="19"/>
        </w:numPr>
        <w:ind w:left="0" w:firstLine="1440"/>
        <w:rPr>
          <w:bCs/>
          <w:sz w:val="24"/>
        </w:rPr>
      </w:pPr>
      <w:r w:rsidRPr="00605209">
        <w:rPr>
          <w:bCs/>
          <w:sz w:val="24"/>
        </w:rPr>
        <w:t xml:space="preserve">That as agreed by </w:t>
      </w:r>
      <w:r w:rsidR="001C7E74" w:rsidRPr="00605209">
        <w:rPr>
          <w:sz w:val="24"/>
        </w:rPr>
        <w:t xml:space="preserve">PPL Electric Utilities Corporation </w:t>
      </w:r>
      <w:r w:rsidRPr="00605209">
        <w:rPr>
          <w:bCs/>
          <w:sz w:val="24"/>
        </w:rPr>
        <w:t>on the record, the Company shall credit Jay Larry Moyer’s residential account $738.98.</w:t>
      </w:r>
    </w:p>
    <w:p w:rsidR="001C7E74" w:rsidRPr="00605209" w:rsidRDefault="001C7E74" w:rsidP="00D975AC">
      <w:pPr>
        <w:pStyle w:val="ListNumber"/>
        <w:numPr>
          <w:ilvl w:val="0"/>
          <w:numId w:val="19"/>
        </w:numPr>
        <w:spacing w:after="0" w:line="360" w:lineRule="auto"/>
        <w:ind w:left="0" w:firstLine="1440"/>
        <w:jc w:val="left"/>
      </w:pPr>
      <w:r w:rsidRPr="00605209">
        <w:lastRenderedPageBreak/>
        <w:t>That the proceeding at Docket No. C-2011-2273645 be marked closed.</w:t>
      </w:r>
    </w:p>
    <w:p w:rsidR="001E7A1C" w:rsidRPr="00605209" w:rsidRDefault="001E7A1C"/>
    <w:p w:rsidR="00AC61DC" w:rsidRPr="00605209" w:rsidRDefault="001C7E74" w:rsidP="00D975AC">
      <w:pPr>
        <w:pStyle w:val="ListNumber"/>
        <w:numPr>
          <w:ilvl w:val="0"/>
          <w:numId w:val="19"/>
        </w:numPr>
        <w:spacing w:after="0" w:line="360" w:lineRule="auto"/>
        <w:ind w:left="0" w:firstLine="1440"/>
        <w:jc w:val="left"/>
      </w:pPr>
      <w:r w:rsidRPr="00605209">
        <w:t xml:space="preserve"> </w:t>
      </w:r>
      <w:r w:rsidR="00AC61DC" w:rsidRPr="00605209">
        <w:t>That the proceeding at Docket No. C-2014-2444864 be marked closed.</w:t>
      </w:r>
    </w:p>
    <w:p w:rsidR="00FF26E3" w:rsidRPr="00605209" w:rsidRDefault="00FF26E3" w:rsidP="00ED0AF2">
      <w:pPr>
        <w:spacing w:line="360" w:lineRule="auto"/>
      </w:pPr>
    </w:p>
    <w:p w:rsidR="002C2F4C" w:rsidRPr="00605209" w:rsidRDefault="002C2F4C" w:rsidP="00ED0AF2">
      <w:pPr>
        <w:spacing w:line="360" w:lineRule="auto"/>
      </w:pPr>
    </w:p>
    <w:p w:rsidR="00FF26E3" w:rsidRPr="00605209" w:rsidRDefault="00FF26E3" w:rsidP="00D975AC">
      <w:pPr>
        <w:rPr>
          <w:u w:val="single"/>
        </w:rPr>
      </w:pPr>
      <w:r w:rsidRPr="00605209">
        <w:t>Date:</w:t>
      </w:r>
      <w:r w:rsidRPr="00605209">
        <w:tab/>
      </w:r>
      <w:r w:rsidR="00AF714C" w:rsidRPr="00605209">
        <w:rPr>
          <w:u w:val="single"/>
        </w:rPr>
        <w:t xml:space="preserve">September </w:t>
      </w:r>
      <w:r w:rsidR="00993A21" w:rsidRPr="00605209">
        <w:rPr>
          <w:u w:val="single"/>
        </w:rPr>
        <w:t>2</w:t>
      </w:r>
      <w:r w:rsidR="009743BE" w:rsidRPr="00605209">
        <w:rPr>
          <w:u w:val="single"/>
        </w:rPr>
        <w:t>1</w:t>
      </w:r>
      <w:r w:rsidR="00AF714C" w:rsidRPr="00605209">
        <w:rPr>
          <w:u w:val="single"/>
        </w:rPr>
        <w:t>, 2015</w:t>
      </w:r>
      <w:r w:rsidR="00036A78" w:rsidRPr="00605209">
        <w:tab/>
      </w:r>
      <w:r w:rsidRPr="00605209">
        <w:tab/>
      </w:r>
      <w:r w:rsidRPr="00605209">
        <w:tab/>
      </w:r>
      <w:r w:rsidR="00003891" w:rsidRPr="00605209">
        <w:tab/>
      </w:r>
      <w:r w:rsidR="00ED0AF2" w:rsidRPr="00605209">
        <w:rPr>
          <w:u w:val="single"/>
        </w:rPr>
        <w:tab/>
      </w:r>
      <w:r w:rsidR="00ED0AF2" w:rsidRPr="00605209">
        <w:rPr>
          <w:u w:val="single"/>
        </w:rPr>
        <w:tab/>
        <w:t>/s/</w:t>
      </w:r>
      <w:r w:rsidR="00ED0AF2" w:rsidRPr="00605209">
        <w:rPr>
          <w:u w:val="single"/>
        </w:rPr>
        <w:tab/>
      </w:r>
      <w:r w:rsidR="00ED0AF2" w:rsidRPr="00605209">
        <w:rPr>
          <w:u w:val="single"/>
        </w:rPr>
        <w:tab/>
      </w:r>
      <w:r w:rsidR="00ED0AF2" w:rsidRPr="00605209">
        <w:rPr>
          <w:u w:val="single"/>
        </w:rPr>
        <w:tab/>
      </w:r>
      <w:r w:rsidR="00ED0AF2" w:rsidRPr="00605209">
        <w:rPr>
          <w:u w:val="single"/>
        </w:rPr>
        <w:tab/>
      </w:r>
    </w:p>
    <w:p w:rsidR="00FF26E3" w:rsidRPr="00605209" w:rsidRDefault="00FF26E3" w:rsidP="00D975AC">
      <w:r w:rsidRPr="00605209">
        <w:tab/>
      </w:r>
      <w:r w:rsidRPr="00605209">
        <w:tab/>
      </w:r>
      <w:r w:rsidRPr="00605209">
        <w:tab/>
      </w:r>
      <w:r w:rsidRPr="00605209">
        <w:tab/>
      </w:r>
      <w:r w:rsidRPr="00605209">
        <w:tab/>
      </w:r>
      <w:r w:rsidRPr="00605209">
        <w:tab/>
      </w:r>
      <w:r w:rsidRPr="00605209">
        <w:tab/>
        <w:t>Cynthia Williams Fordham</w:t>
      </w:r>
    </w:p>
    <w:p w:rsidR="00FF26E3" w:rsidRPr="00605209" w:rsidRDefault="00FF26E3" w:rsidP="00D975AC">
      <w:pPr>
        <w:ind w:left="720" w:hanging="720"/>
      </w:pPr>
      <w:r w:rsidRPr="00605209">
        <w:tab/>
      </w:r>
      <w:r w:rsidRPr="00605209">
        <w:tab/>
      </w:r>
      <w:r w:rsidRPr="00605209">
        <w:tab/>
      </w:r>
      <w:r w:rsidRPr="00605209">
        <w:tab/>
      </w:r>
      <w:r w:rsidRPr="00605209">
        <w:tab/>
      </w:r>
      <w:r w:rsidRPr="00605209">
        <w:tab/>
      </w:r>
      <w:r w:rsidRPr="00605209">
        <w:tab/>
        <w:t>Administrative Law Judge</w:t>
      </w:r>
    </w:p>
    <w:sectPr w:rsidR="00FF26E3" w:rsidRPr="00605209" w:rsidSect="00EC3565">
      <w:footerReference w:type="even" r:id="rId10"/>
      <w:footerReference w:type="default" r:id="rId11"/>
      <w:footerReference w:type="firs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C51" w:rsidRDefault="00DB2C51">
      <w:r>
        <w:separator/>
      </w:r>
    </w:p>
  </w:endnote>
  <w:endnote w:type="continuationSeparator" w:id="0">
    <w:p w:rsidR="00DB2C51" w:rsidRDefault="00DB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A1" w:rsidRDefault="007D7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D7DA1" w:rsidRDefault="007D7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A1" w:rsidRPr="00CC151B" w:rsidRDefault="007D7DA1">
    <w:pPr>
      <w:pStyle w:val="Footer"/>
      <w:framePr w:wrap="around" w:vAnchor="text" w:hAnchor="margin" w:xAlign="center" w:y="1"/>
      <w:rPr>
        <w:rStyle w:val="PageNumber"/>
        <w:sz w:val="20"/>
        <w:szCs w:val="20"/>
      </w:rPr>
    </w:pPr>
    <w:r w:rsidRPr="00CC151B">
      <w:rPr>
        <w:rStyle w:val="PageNumber"/>
        <w:sz w:val="20"/>
        <w:szCs w:val="20"/>
      </w:rPr>
      <w:fldChar w:fldCharType="begin"/>
    </w:r>
    <w:r w:rsidRPr="00CC151B">
      <w:rPr>
        <w:rStyle w:val="PageNumber"/>
        <w:sz w:val="20"/>
        <w:szCs w:val="20"/>
      </w:rPr>
      <w:instrText xml:space="preserve">PAGE  </w:instrText>
    </w:r>
    <w:r w:rsidRPr="00CC151B">
      <w:rPr>
        <w:rStyle w:val="PageNumber"/>
        <w:sz w:val="20"/>
        <w:szCs w:val="20"/>
      </w:rPr>
      <w:fldChar w:fldCharType="separate"/>
    </w:r>
    <w:r w:rsidR="008504B8">
      <w:rPr>
        <w:rStyle w:val="PageNumber"/>
        <w:noProof/>
        <w:sz w:val="20"/>
        <w:szCs w:val="20"/>
      </w:rPr>
      <w:t>45</w:t>
    </w:r>
    <w:r w:rsidRPr="00CC151B">
      <w:rPr>
        <w:rStyle w:val="PageNumber"/>
        <w:sz w:val="20"/>
        <w:szCs w:val="20"/>
      </w:rPr>
      <w:fldChar w:fldCharType="end"/>
    </w:r>
  </w:p>
  <w:p w:rsidR="007D7DA1" w:rsidRDefault="007D7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A1" w:rsidRPr="00872060" w:rsidRDefault="007D7DA1">
    <w:pPr>
      <w:pStyle w:val="Footer"/>
      <w:jc w:val="center"/>
      <w:rPr>
        <w:sz w:val="20"/>
        <w:szCs w:val="20"/>
      </w:rPr>
    </w:pPr>
  </w:p>
  <w:p w:rsidR="007D7DA1" w:rsidRDefault="007D7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C51" w:rsidRDefault="00DB2C51">
      <w:r>
        <w:separator/>
      </w:r>
    </w:p>
  </w:footnote>
  <w:footnote w:type="continuationSeparator" w:id="0">
    <w:p w:rsidR="00DB2C51" w:rsidRDefault="00DB2C51">
      <w:r>
        <w:continuationSeparator/>
      </w:r>
    </w:p>
  </w:footnote>
  <w:footnote w:id="1">
    <w:p w:rsidR="007D7DA1" w:rsidRDefault="007D7DA1">
      <w:pPr>
        <w:pStyle w:val="FootnoteText"/>
      </w:pPr>
      <w:r>
        <w:rPr>
          <w:rStyle w:val="FootnoteReference"/>
        </w:rPr>
        <w:footnoteRef/>
      </w:r>
      <w:r>
        <w:t xml:space="preserve"> </w:t>
      </w:r>
      <w:r>
        <w:tab/>
        <w:t xml:space="preserve">The Respondent’s attorney objected to the direct testimony of </w:t>
      </w:r>
      <w:r w:rsidRPr="00EA133E">
        <w:t>Donald Kohn</w:t>
      </w:r>
      <w:r>
        <w:t>, another PPL customer with a PV solar system.  The Complainant indicated that Mr. Kohn was prepared to testify about his experience with obtaining records from the Respondent (1 Tr. 79-80).  Since Mr. Kohn did not have direct knowledge of the Complainant’s interactions with the Respondent and Mr. Kohn was not a party to this matter, he was not allowed to testify (1 Tr. 82-84).</w:t>
      </w:r>
    </w:p>
  </w:footnote>
  <w:footnote w:id="2">
    <w:p w:rsidR="007D7DA1" w:rsidRDefault="007D7DA1">
      <w:pPr>
        <w:pStyle w:val="FootnoteText"/>
      </w:pPr>
      <w:r>
        <w:rPr>
          <w:rStyle w:val="FootnoteReference"/>
        </w:rPr>
        <w:footnoteRef/>
      </w:r>
      <w:r>
        <w:t xml:space="preserve"> Transcript from the 2012 hearing (“1 Tr.”)</w:t>
      </w:r>
    </w:p>
  </w:footnote>
  <w:footnote w:id="3">
    <w:p w:rsidR="007D7DA1" w:rsidRDefault="007D7DA1" w:rsidP="00003891">
      <w:pPr>
        <w:pStyle w:val="FootnoteText"/>
      </w:pPr>
      <w:r>
        <w:rPr>
          <w:rStyle w:val="FootnoteReference"/>
        </w:rPr>
        <w:footnoteRef/>
      </w:r>
      <w:r>
        <w:t xml:space="preserve"> By Order entered February 20, 2014, the Commission requested comments on the Proposed Rulemaking Order amending Chapter 75 of the Commission’s regulations, 52 Pa.Code §§ 75.1, </w:t>
      </w:r>
      <w:r>
        <w:rPr>
          <w:i/>
        </w:rPr>
        <w:t>et seq.</w:t>
      </w:r>
      <w:r>
        <w:t xml:space="preserve">, to further comply with the Alternative Energy Portfolio Standards Act of 2004, 73 P.S. §§ 1648.1 – 1648.8 and 66 Pa.C.S. § 2814.  The Proposed Rulemaking Order was published in the </w:t>
      </w:r>
      <w:r>
        <w:rPr>
          <w:i/>
        </w:rPr>
        <w:t>Pennsylvania Bulletin</w:t>
      </w:r>
      <w:r>
        <w:t xml:space="preserve"> on July 5, 2014.  </w:t>
      </w:r>
      <w:r>
        <w:rPr>
          <w:i/>
        </w:rPr>
        <w:t>See</w:t>
      </w:r>
      <w:r>
        <w:t xml:space="preserve"> 44 Pa.B. 4179.  The stated purpose of the Proposed Rulemaking Order is to update the existing portfolio standards, interconnection, and net metering rules to provide guidance and clarify certain issues of law, administrative procedure, and policy in accordance with the intent of the AEPS Act.  Comments have been filed to the proposed regulations, which remain pending before the Commission.</w:t>
      </w:r>
    </w:p>
  </w:footnote>
  <w:footnote w:id="4">
    <w:p w:rsidR="007D7DA1" w:rsidRDefault="007D7DA1" w:rsidP="00E021F5">
      <w:pPr>
        <w:pStyle w:val="FootnoteText"/>
        <w:spacing w:after="80"/>
      </w:pPr>
      <w:r>
        <w:rPr>
          <w:rStyle w:val="FootnoteReference"/>
        </w:rPr>
        <w:footnoteRef/>
      </w:r>
      <w:r>
        <w:t xml:space="preserve"> Under the tariff in effect at the time, the annual cash out period was on a calendar year basis, and credits were cashed out at the full retail rate rather than the PTC.</w:t>
      </w:r>
    </w:p>
  </w:footnote>
  <w:footnote w:id="5">
    <w:p w:rsidR="007D7DA1" w:rsidRDefault="007D7DA1" w:rsidP="00E021F5">
      <w:pPr>
        <w:pStyle w:val="FootnoteText"/>
        <w:spacing w:after="80"/>
      </w:pPr>
      <w:r>
        <w:rPr>
          <w:rStyle w:val="FootnoteReference"/>
        </w:rPr>
        <w:footnoteRef/>
      </w:r>
      <w:r>
        <w:t xml:space="preserve"> The requirement for load independent of the alternative energy system was recently reiterated in the Commission’s Proposed Rulemaking Order issued on February 20, 2014, at Docket No. L-2014-2404361, and the Commission’s </w:t>
      </w:r>
      <w:r>
        <w:rPr>
          <w:i/>
        </w:rPr>
        <w:t>Advanced Notice of Final Rulemaking Order</w:t>
      </w:r>
      <w:r>
        <w:t xml:space="preserve"> issued on April 23, 2015, at Docket No. L-2014-2404361.</w:t>
      </w:r>
    </w:p>
  </w:footnote>
  <w:footnote w:id="6">
    <w:p w:rsidR="007D7DA1" w:rsidRDefault="007D7DA1" w:rsidP="000805A6">
      <w:pPr>
        <w:pStyle w:val="FootnoteText"/>
        <w:spacing w:after="80"/>
      </w:pPr>
      <w:r>
        <w:rPr>
          <w:rStyle w:val="FootnoteReference"/>
        </w:rPr>
        <w:footnoteRef/>
      </w:r>
      <w:r>
        <w:t xml:space="preserve"> PPL Electric has a manual that details the process for its staff to access, update, and post the spreadsheet (PPL Ex. APC-2). As seen in Exhibit APC-2, PPL Electric’s personnel retrieve the relevant meter readings from the generation account and then input the meter readings from the generation account into the spreadsheet (PPL St. No. 1 at 11-12).  Next, the employee obtains the total usage in kWh for each usage account and inputs those values into the spreadsheet (PPL St. No. 1 at 12).  The formulas in the spreadsheet then automatically calculate the credits owed for that billing cycle (PPL St. No. 1 at 12).  </w:t>
      </w:r>
    </w:p>
  </w:footnote>
  <w:footnote w:id="7">
    <w:p w:rsidR="007D7DA1" w:rsidRDefault="007D7DA1" w:rsidP="00E16EE9">
      <w:pPr>
        <w:pStyle w:val="FootnoteText"/>
        <w:spacing w:after="80"/>
      </w:pPr>
      <w:r>
        <w:rPr>
          <w:rStyle w:val="FootnoteReference"/>
        </w:rPr>
        <w:footnoteRef/>
      </w:r>
      <w:r>
        <w:t xml:space="preserve"> If the bidirectional meter is running backward (a lower meter read than the month before), then the alternative energy system is producing more electricity than it is consuming, </w:t>
      </w:r>
      <w:r>
        <w:rPr>
          <w:i/>
        </w:rPr>
        <w:t>i.e.</w:t>
      </w:r>
      <w:r>
        <w:t>, excess generation.  If, however, the bidirectional meter is running forward (a higher meter read than the month before), then the alternative energy system is consuming more electricity than it is producing.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C825E50"/>
    <w:lvl w:ilvl="0">
      <w:start w:val="1"/>
      <w:numFmt w:val="decimal"/>
      <w:lvlText w:val="%1."/>
      <w:lvlJc w:val="left"/>
      <w:pPr>
        <w:tabs>
          <w:tab w:val="num" w:pos="360"/>
        </w:tabs>
        <w:ind w:left="360" w:hanging="360"/>
      </w:pPr>
    </w:lvl>
  </w:abstractNum>
  <w:abstractNum w:abstractNumId="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lvl>
    <w:lvl w:ilvl="6">
      <w:start w:val="1"/>
      <w:numFmt w:val="none"/>
      <w:lvlText w:val="%7"/>
      <w:lvlJc w:val="left"/>
      <w:pPr>
        <w:tabs>
          <w:tab w:val="num" w:pos="1080"/>
        </w:tabs>
        <w:ind w:left="1080" w:hanging="360"/>
      </w:pPr>
    </w:lvl>
    <w:lvl w:ilvl="7">
      <w:start w:val="1"/>
      <w:numFmt w:val="none"/>
      <w:lvlText w:val="%8"/>
      <w:lvlJc w:val="left"/>
      <w:pPr>
        <w:tabs>
          <w:tab w:val="num" w:pos="1080"/>
        </w:tabs>
        <w:ind w:left="1080" w:hanging="360"/>
      </w:pPr>
    </w:lvl>
    <w:lvl w:ilvl="8">
      <w:start w:val="1"/>
      <w:numFmt w:val="none"/>
      <w:lvlText w:val="%9"/>
      <w:lvlJc w:val="left"/>
      <w:pPr>
        <w:tabs>
          <w:tab w:val="num" w:pos="1080"/>
        </w:tabs>
        <w:ind w:left="1080" w:hanging="360"/>
      </w:pPr>
    </w:lvl>
  </w:abstractNum>
  <w:abstractNum w:abstractNumId="2">
    <w:nsid w:val="13182F1E"/>
    <w:multiLevelType w:val="hybridMultilevel"/>
    <w:tmpl w:val="7360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62767"/>
    <w:multiLevelType w:val="hybridMultilevel"/>
    <w:tmpl w:val="ABAE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127CA"/>
    <w:multiLevelType w:val="hybridMultilevel"/>
    <w:tmpl w:val="3998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85915"/>
    <w:multiLevelType w:val="hybridMultilevel"/>
    <w:tmpl w:val="BF1E8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37FEC"/>
    <w:multiLevelType w:val="hybridMultilevel"/>
    <w:tmpl w:val="B4FE16FC"/>
    <w:lvl w:ilvl="0" w:tplc="0409000F">
      <w:start w:val="1"/>
      <w:numFmt w:val="decimal"/>
      <w:lvlText w:val="%1."/>
      <w:lvlJc w:val="left"/>
      <w:pPr>
        <w:ind w:left="747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079B7"/>
    <w:multiLevelType w:val="hybridMultilevel"/>
    <w:tmpl w:val="692AE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1E635F"/>
    <w:multiLevelType w:val="hybridMultilevel"/>
    <w:tmpl w:val="FCD411D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7517B71"/>
    <w:multiLevelType w:val="hybridMultilevel"/>
    <w:tmpl w:val="9A928042"/>
    <w:lvl w:ilvl="0" w:tplc="B88446D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8770E27"/>
    <w:multiLevelType w:val="hybridMultilevel"/>
    <w:tmpl w:val="056EB0E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9D7E28"/>
    <w:multiLevelType w:val="hybridMultilevel"/>
    <w:tmpl w:val="9DFC3278"/>
    <w:lvl w:ilvl="0" w:tplc="04090017">
      <w:start w:val="1"/>
      <w:numFmt w:val="lowerLetter"/>
      <w:lvlText w:val="%1)"/>
      <w:lvlJc w:val="left"/>
      <w:pPr>
        <w:ind w:left="7830" w:hanging="360"/>
      </w:pPr>
    </w:lvl>
    <w:lvl w:ilvl="1" w:tplc="04090019">
      <w:start w:val="1"/>
      <w:numFmt w:val="lowerLetter"/>
      <w:lvlText w:val="%2."/>
      <w:lvlJc w:val="left"/>
      <w:pPr>
        <w:ind w:left="8550" w:hanging="360"/>
      </w:pPr>
    </w:lvl>
    <w:lvl w:ilvl="2" w:tplc="0409001B">
      <w:start w:val="1"/>
      <w:numFmt w:val="lowerRoman"/>
      <w:lvlText w:val="%3."/>
      <w:lvlJc w:val="right"/>
      <w:pPr>
        <w:ind w:left="9270" w:hanging="180"/>
      </w:pPr>
    </w:lvl>
    <w:lvl w:ilvl="3" w:tplc="0409000F">
      <w:start w:val="1"/>
      <w:numFmt w:val="decimal"/>
      <w:lvlText w:val="%4."/>
      <w:lvlJc w:val="left"/>
      <w:pPr>
        <w:ind w:left="9990" w:hanging="360"/>
      </w:pPr>
    </w:lvl>
    <w:lvl w:ilvl="4" w:tplc="04090019">
      <w:start w:val="1"/>
      <w:numFmt w:val="lowerLetter"/>
      <w:lvlText w:val="%5."/>
      <w:lvlJc w:val="left"/>
      <w:pPr>
        <w:ind w:left="10710" w:hanging="360"/>
      </w:pPr>
    </w:lvl>
    <w:lvl w:ilvl="5" w:tplc="0409001B">
      <w:start w:val="1"/>
      <w:numFmt w:val="lowerRoman"/>
      <w:lvlText w:val="%6."/>
      <w:lvlJc w:val="right"/>
      <w:pPr>
        <w:ind w:left="11430" w:hanging="180"/>
      </w:pPr>
    </w:lvl>
    <w:lvl w:ilvl="6" w:tplc="0409000F">
      <w:start w:val="1"/>
      <w:numFmt w:val="decimal"/>
      <w:lvlText w:val="%7."/>
      <w:lvlJc w:val="left"/>
      <w:pPr>
        <w:ind w:left="12150" w:hanging="360"/>
      </w:pPr>
    </w:lvl>
    <w:lvl w:ilvl="7" w:tplc="04090019">
      <w:start w:val="1"/>
      <w:numFmt w:val="lowerLetter"/>
      <w:lvlText w:val="%8."/>
      <w:lvlJc w:val="left"/>
      <w:pPr>
        <w:ind w:left="12870" w:hanging="360"/>
      </w:pPr>
    </w:lvl>
    <w:lvl w:ilvl="8" w:tplc="0409001B">
      <w:start w:val="1"/>
      <w:numFmt w:val="lowerRoman"/>
      <w:lvlText w:val="%9."/>
      <w:lvlJc w:val="right"/>
      <w:pPr>
        <w:ind w:left="13590" w:hanging="180"/>
      </w:pPr>
    </w:lvl>
  </w:abstractNum>
  <w:abstractNum w:abstractNumId="12">
    <w:nsid w:val="66162F44"/>
    <w:multiLevelType w:val="hybridMultilevel"/>
    <w:tmpl w:val="F842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99720A"/>
    <w:multiLevelType w:val="hybridMultilevel"/>
    <w:tmpl w:val="4F12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08686F"/>
    <w:multiLevelType w:val="multilevel"/>
    <w:tmpl w:val="0632E69E"/>
    <w:name w:val="(Unnamed Numbering Scheme)"/>
    <w:lvl w:ilvl="0">
      <w:start w:val="1"/>
      <w:numFmt w:val="decimal"/>
      <w:pStyle w:val="ListNumber"/>
      <w:lvlText w:val="%1."/>
      <w:lvlJc w:val="left"/>
      <w:pPr>
        <w:tabs>
          <w:tab w:val="num" w:pos="1440"/>
        </w:tabs>
        <w:ind w:left="144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440"/>
        </w:tabs>
        <w:ind w:left="144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1440"/>
        </w:tabs>
        <w:ind w:left="1440" w:hanging="720"/>
      </w:pPr>
    </w:lvl>
    <w:lvl w:ilvl="7">
      <w:start w:val="1"/>
      <w:numFmt w:val="lowerLetter"/>
      <w:lvlText w:val="%8."/>
      <w:lvlJc w:val="left"/>
      <w:pPr>
        <w:tabs>
          <w:tab w:val="num" w:pos="1440"/>
        </w:tabs>
        <w:ind w:left="1440" w:hanging="720"/>
      </w:pPr>
    </w:lvl>
    <w:lvl w:ilvl="8">
      <w:start w:val="1"/>
      <w:numFmt w:val="lowerRoman"/>
      <w:lvlText w:val="%9."/>
      <w:lvlJc w:val="left"/>
      <w:pPr>
        <w:tabs>
          <w:tab w:val="num" w:pos="1440"/>
        </w:tabs>
        <w:ind w:left="1440" w:hanging="720"/>
      </w:pPr>
    </w:lvl>
  </w:abstractNum>
  <w:num w:numId="1">
    <w:abstractNumId w:val="13"/>
  </w:num>
  <w:num w:numId="2">
    <w:abstractNumId w:val="1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 w:numId="17">
    <w:abstractNumId w:val="3"/>
  </w:num>
  <w:num w:numId="18">
    <w:abstractNumId w:val="12"/>
  </w:num>
  <w:num w:numId="19">
    <w:abstractNumId w:val="8"/>
  </w:num>
  <w:num w:numId="20">
    <w:abstractNumId w:val="4"/>
  </w:num>
  <w:num w:numId="21">
    <w:abstractNumId w:val="9"/>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FC"/>
    <w:rsid w:val="00000687"/>
    <w:rsid w:val="00003891"/>
    <w:rsid w:val="000043BD"/>
    <w:rsid w:val="00004D52"/>
    <w:rsid w:val="00015F66"/>
    <w:rsid w:val="000163BC"/>
    <w:rsid w:val="000205CB"/>
    <w:rsid w:val="0002424D"/>
    <w:rsid w:val="00025990"/>
    <w:rsid w:val="00030596"/>
    <w:rsid w:val="00036A78"/>
    <w:rsid w:val="00037EC1"/>
    <w:rsid w:val="00044087"/>
    <w:rsid w:val="0004569F"/>
    <w:rsid w:val="00046D8B"/>
    <w:rsid w:val="00055CB7"/>
    <w:rsid w:val="00056E1B"/>
    <w:rsid w:val="00065595"/>
    <w:rsid w:val="0007074E"/>
    <w:rsid w:val="00072844"/>
    <w:rsid w:val="000805A6"/>
    <w:rsid w:val="00084E43"/>
    <w:rsid w:val="00085E82"/>
    <w:rsid w:val="00086450"/>
    <w:rsid w:val="0009222E"/>
    <w:rsid w:val="000937BE"/>
    <w:rsid w:val="000A212D"/>
    <w:rsid w:val="000B555B"/>
    <w:rsid w:val="000B7F8C"/>
    <w:rsid w:val="000C08C3"/>
    <w:rsid w:val="000C1FF2"/>
    <w:rsid w:val="000C288D"/>
    <w:rsid w:val="000D2125"/>
    <w:rsid w:val="000D6047"/>
    <w:rsid w:val="000D6DC3"/>
    <w:rsid w:val="000E39FA"/>
    <w:rsid w:val="000E74BD"/>
    <w:rsid w:val="000F26F8"/>
    <w:rsid w:val="000F2DA7"/>
    <w:rsid w:val="000F46D0"/>
    <w:rsid w:val="000F5AA2"/>
    <w:rsid w:val="000F7C30"/>
    <w:rsid w:val="001012B2"/>
    <w:rsid w:val="00102398"/>
    <w:rsid w:val="00105381"/>
    <w:rsid w:val="001068AF"/>
    <w:rsid w:val="001136D4"/>
    <w:rsid w:val="001163D8"/>
    <w:rsid w:val="0011715E"/>
    <w:rsid w:val="00117D8F"/>
    <w:rsid w:val="001214BB"/>
    <w:rsid w:val="00126416"/>
    <w:rsid w:val="00126D37"/>
    <w:rsid w:val="00130C73"/>
    <w:rsid w:val="00133115"/>
    <w:rsid w:val="00141D45"/>
    <w:rsid w:val="00144F26"/>
    <w:rsid w:val="001468F6"/>
    <w:rsid w:val="00150210"/>
    <w:rsid w:val="00163E3C"/>
    <w:rsid w:val="00171322"/>
    <w:rsid w:val="00171BFC"/>
    <w:rsid w:val="00174096"/>
    <w:rsid w:val="00182013"/>
    <w:rsid w:val="00185310"/>
    <w:rsid w:val="00186986"/>
    <w:rsid w:val="00190BAC"/>
    <w:rsid w:val="00192A68"/>
    <w:rsid w:val="001933AD"/>
    <w:rsid w:val="00195246"/>
    <w:rsid w:val="001955AE"/>
    <w:rsid w:val="00197ECA"/>
    <w:rsid w:val="001A2BC2"/>
    <w:rsid w:val="001A2C7E"/>
    <w:rsid w:val="001A3AF6"/>
    <w:rsid w:val="001B3C72"/>
    <w:rsid w:val="001B5282"/>
    <w:rsid w:val="001C1E5C"/>
    <w:rsid w:val="001C2F07"/>
    <w:rsid w:val="001C7E74"/>
    <w:rsid w:val="001D0119"/>
    <w:rsid w:val="001D0B0B"/>
    <w:rsid w:val="001D4623"/>
    <w:rsid w:val="001E089C"/>
    <w:rsid w:val="001E405E"/>
    <w:rsid w:val="001E5B35"/>
    <w:rsid w:val="001E7A1C"/>
    <w:rsid w:val="001F369C"/>
    <w:rsid w:val="00202923"/>
    <w:rsid w:val="00207E87"/>
    <w:rsid w:val="00211B20"/>
    <w:rsid w:val="002211B0"/>
    <w:rsid w:val="00222069"/>
    <w:rsid w:val="00227937"/>
    <w:rsid w:val="00237791"/>
    <w:rsid w:val="002429F2"/>
    <w:rsid w:val="00242A07"/>
    <w:rsid w:val="00242FB0"/>
    <w:rsid w:val="0024339B"/>
    <w:rsid w:val="002435EB"/>
    <w:rsid w:val="00243B68"/>
    <w:rsid w:val="002446A8"/>
    <w:rsid w:val="00245EAD"/>
    <w:rsid w:val="002460B4"/>
    <w:rsid w:val="00247F81"/>
    <w:rsid w:val="002526A7"/>
    <w:rsid w:val="00264A6B"/>
    <w:rsid w:val="00265265"/>
    <w:rsid w:val="00265B91"/>
    <w:rsid w:val="00292DBD"/>
    <w:rsid w:val="002A0E90"/>
    <w:rsid w:val="002A5645"/>
    <w:rsid w:val="002A6DEA"/>
    <w:rsid w:val="002A7ECC"/>
    <w:rsid w:val="002B13A8"/>
    <w:rsid w:val="002B51F2"/>
    <w:rsid w:val="002C098E"/>
    <w:rsid w:val="002C2F4C"/>
    <w:rsid w:val="002C32CA"/>
    <w:rsid w:val="002C58E9"/>
    <w:rsid w:val="002C638A"/>
    <w:rsid w:val="002D1B3F"/>
    <w:rsid w:val="002D4723"/>
    <w:rsid w:val="002E0A5D"/>
    <w:rsid w:val="002E155D"/>
    <w:rsid w:val="002E7D9C"/>
    <w:rsid w:val="002F069B"/>
    <w:rsid w:val="00301495"/>
    <w:rsid w:val="00302C51"/>
    <w:rsid w:val="00304D91"/>
    <w:rsid w:val="00305EC8"/>
    <w:rsid w:val="003061CA"/>
    <w:rsid w:val="00310125"/>
    <w:rsid w:val="0031368E"/>
    <w:rsid w:val="0031522A"/>
    <w:rsid w:val="003202C9"/>
    <w:rsid w:val="00321139"/>
    <w:rsid w:val="00330D3A"/>
    <w:rsid w:val="003317FD"/>
    <w:rsid w:val="0033355D"/>
    <w:rsid w:val="00335893"/>
    <w:rsid w:val="00342D48"/>
    <w:rsid w:val="00342FB9"/>
    <w:rsid w:val="0034530D"/>
    <w:rsid w:val="00353A70"/>
    <w:rsid w:val="00353EAC"/>
    <w:rsid w:val="00370F6F"/>
    <w:rsid w:val="003738A6"/>
    <w:rsid w:val="00376919"/>
    <w:rsid w:val="00397CDE"/>
    <w:rsid w:val="003A3B62"/>
    <w:rsid w:val="003A7E8E"/>
    <w:rsid w:val="003B7AF9"/>
    <w:rsid w:val="003C0117"/>
    <w:rsid w:val="003C16DF"/>
    <w:rsid w:val="003C4CBE"/>
    <w:rsid w:val="003C5EE4"/>
    <w:rsid w:val="003C64E7"/>
    <w:rsid w:val="003C6953"/>
    <w:rsid w:val="003C7A6A"/>
    <w:rsid w:val="003D0CDA"/>
    <w:rsid w:val="003D7A04"/>
    <w:rsid w:val="003E2F43"/>
    <w:rsid w:val="003F7BEB"/>
    <w:rsid w:val="00400BED"/>
    <w:rsid w:val="0041225D"/>
    <w:rsid w:val="00414669"/>
    <w:rsid w:val="00416611"/>
    <w:rsid w:val="00421BAA"/>
    <w:rsid w:val="00427944"/>
    <w:rsid w:val="00427E0B"/>
    <w:rsid w:val="00430F8F"/>
    <w:rsid w:val="00431F37"/>
    <w:rsid w:val="0043248F"/>
    <w:rsid w:val="00433383"/>
    <w:rsid w:val="004351EC"/>
    <w:rsid w:val="00444084"/>
    <w:rsid w:val="00446395"/>
    <w:rsid w:val="00446CB8"/>
    <w:rsid w:val="00447564"/>
    <w:rsid w:val="00454107"/>
    <w:rsid w:val="0045557C"/>
    <w:rsid w:val="004678CF"/>
    <w:rsid w:val="00471139"/>
    <w:rsid w:val="00472C53"/>
    <w:rsid w:val="00475252"/>
    <w:rsid w:val="004770DA"/>
    <w:rsid w:val="00477759"/>
    <w:rsid w:val="004778D2"/>
    <w:rsid w:val="00484776"/>
    <w:rsid w:val="00487A51"/>
    <w:rsid w:val="00490B02"/>
    <w:rsid w:val="00491229"/>
    <w:rsid w:val="004921E4"/>
    <w:rsid w:val="00493B7B"/>
    <w:rsid w:val="00497373"/>
    <w:rsid w:val="004A07AB"/>
    <w:rsid w:val="004B78BE"/>
    <w:rsid w:val="004C0231"/>
    <w:rsid w:val="004C4BCF"/>
    <w:rsid w:val="004D0429"/>
    <w:rsid w:val="004D3068"/>
    <w:rsid w:val="004D6776"/>
    <w:rsid w:val="004E1024"/>
    <w:rsid w:val="004F7198"/>
    <w:rsid w:val="00501751"/>
    <w:rsid w:val="00501E0E"/>
    <w:rsid w:val="0050409C"/>
    <w:rsid w:val="00504818"/>
    <w:rsid w:val="005140F8"/>
    <w:rsid w:val="00514461"/>
    <w:rsid w:val="00514B0E"/>
    <w:rsid w:val="00521F06"/>
    <w:rsid w:val="00523FD6"/>
    <w:rsid w:val="005248E9"/>
    <w:rsid w:val="00526B3F"/>
    <w:rsid w:val="00526E99"/>
    <w:rsid w:val="00541986"/>
    <w:rsid w:val="005453D2"/>
    <w:rsid w:val="00546630"/>
    <w:rsid w:val="00550386"/>
    <w:rsid w:val="00553692"/>
    <w:rsid w:val="005579BA"/>
    <w:rsid w:val="00560CFA"/>
    <w:rsid w:val="00563349"/>
    <w:rsid w:val="005710F1"/>
    <w:rsid w:val="00574454"/>
    <w:rsid w:val="00580F3D"/>
    <w:rsid w:val="0058390B"/>
    <w:rsid w:val="00584AC0"/>
    <w:rsid w:val="00587D74"/>
    <w:rsid w:val="00592D70"/>
    <w:rsid w:val="005966C8"/>
    <w:rsid w:val="005A5CA1"/>
    <w:rsid w:val="005B434E"/>
    <w:rsid w:val="005C1ED1"/>
    <w:rsid w:val="005C5514"/>
    <w:rsid w:val="005C6606"/>
    <w:rsid w:val="005D0CDB"/>
    <w:rsid w:val="005D1650"/>
    <w:rsid w:val="005D5217"/>
    <w:rsid w:val="005D7807"/>
    <w:rsid w:val="005E3731"/>
    <w:rsid w:val="005E6BA8"/>
    <w:rsid w:val="005F393F"/>
    <w:rsid w:val="005F45D5"/>
    <w:rsid w:val="005F4ACB"/>
    <w:rsid w:val="005F7B65"/>
    <w:rsid w:val="00605209"/>
    <w:rsid w:val="00605C8D"/>
    <w:rsid w:val="0060661B"/>
    <w:rsid w:val="006146B8"/>
    <w:rsid w:val="00624238"/>
    <w:rsid w:val="006306B0"/>
    <w:rsid w:val="00636F22"/>
    <w:rsid w:val="00641FD1"/>
    <w:rsid w:val="00642DD6"/>
    <w:rsid w:val="00653274"/>
    <w:rsid w:val="006572F1"/>
    <w:rsid w:val="00657C96"/>
    <w:rsid w:val="00666B56"/>
    <w:rsid w:val="00675E7A"/>
    <w:rsid w:val="0068579F"/>
    <w:rsid w:val="0068613F"/>
    <w:rsid w:val="00690D9E"/>
    <w:rsid w:val="00690ED0"/>
    <w:rsid w:val="00692513"/>
    <w:rsid w:val="00697967"/>
    <w:rsid w:val="006A063B"/>
    <w:rsid w:val="006A0E09"/>
    <w:rsid w:val="006A4301"/>
    <w:rsid w:val="006A6AFC"/>
    <w:rsid w:val="006B26EC"/>
    <w:rsid w:val="006B4912"/>
    <w:rsid w:val="006C03BC"/>
    <w:rsid w:val="006C105F"/>
    <w:rsid w:val="006C6001"/>
    <w:rsid w:val="006D0CE0"/>
    <w:rsid w:val="006D1F82"/>
    <w:rsid w:val="006D3514"/>
    <w:rsid w:val="006D3D47"/>
    <w:rsid w:val="006D7E5F"/>
    <w:rsid w:val="006E2AB5"/>
    <w:rsid w:val="006F0DE0"/>
    <w:rsid w:val="006F24B4"/>
    <w:rsid w:val="006F6752"/>
    <w:rsid w:val="00700F82"/>
    <w:rsid w:val="00703141"/>
    <w:rsid w:val="007061EE"/>
    <w:rsid w:val="00711CCD"/>
    <w:rsid w:val="00713D57"/>
    <w:rsid w:val="00731479"/>
    <w:rsid w:val="00732E42"/>
    <w:rsid w:val="00735862"/>
    <w:rsid w:val="00735C3F"/>
    <w:rsid w:val="00737710"/>
    <w:rsid w:val="00740F21"/>
    <w:rsid w:val="00743A8B"/>
    <w:rsid w:val="00745CD3"/>
    <w:rsid w:val="007533DD"/>
    <w:rsid w:val="00756923"/>
    <w:rsid w:val="00756DB6"/>
    <w:rsid w:val="007606D2"/>
    <w:rsid w:val="00776A2D"/>
    <w:rsid w:val="00796BFD"/>
    <w:rsid w:val="007A468F"/>
    <w:rsid w:val="007A4980"/>
    <w:rsid w:val="007A7633"/>
    <w:rsid w:val="007B2E22"/>
    <w:rsid w:val="007B4A7F"/>
    <w:rsid w:val="007B6BC8"/>
    <w:rsid w:val="007C5A26"/>
    <w:rsid w:val="007C5BFB"/>
    <w:rsid w:val="007C6C0B"/>
    <w:rsid w:val="007C783B"/>
    <w:rsid w:val="007D3FFD"/>
    <w:rsid w:val="007D5678"/>
    <w:rsid w:val="007D7DA1"/>
    <w:rsid w:val="007E193A"/>
    <w:rsid w:val="007E23F4"/>
    <w:rsid w:val="007F5025"/>
    <w:rsid w:val="007F6D2B"/>
    <w:rsid w:val="008018CB"/>
    <w:rsid w:val="0080607E"/>
    <w:rsid w:val="00812DA9"/>
    <w:rsid w:val="00820289"/>
    <w:rsid w:val="0082753C"/>
    <w:rsid w:val="0083215A"/>
    <w:rsid w:val="0083443C"/>
    <w:rsid w:val="00835069"/>
    <w:rsid w:val="00835FB2"/>
    <w:rsid w:val="00836E6C"/>
    <w:rsid w:val="00840016"/>
    <w:rsid w:val="008409ED"/>
    <w:rsid w:val="008425EB"/>
    <w:rsid w:val="008447B0"/>
    <w:rsid w:val="00847CCD"/>
    <w:rsid w:val="008504B8"/>
    <w:rsid w:val="00851E26"/>
    <w:rsid w:val="00852650"/>
    <w:rsid w:val="00854687"/>
    <w:rsid w:val="00861555"/>
    <w:rsid w:val="00863A8F"/>
    <w:rsid w:val="00866207"/>
    <w:rsid w:val="008715B8"/>
    <w:rsid w:val="00872060"/>
    <w:rsid w:val="0087354E"/>
    <w:rsid w:val="0088737C"/>
    <w:rsid w:val="00892FBD"/>
    <w:rsid w:val="008942BF"/>
    <w:rsid w:val="008A3F3B"/>
    <w:rsid w:val="008B158D"/>
    <w:rsid w:val="008B6415"/>
    <w:rsid w:val="008C1CE9"/>
    <w:rsid w:val="008C2185"/>
    <w:rsid w:val="008C559B"/>
    <w:rsid w:val="008C6EEA"/>
    <w:rsid w:val="008C7C81"/>
    <w:rsid w:val="008D4096"/>
    <w:rsid w:val="008D5638"/>
    <w:rsid w:val="008E35D0"/>
    <w:rsid w:val="008E37D7"/>
    <w:rsid w:val="008E6899"/>
    <w:rsid w:val="008E7D7C"/>
    <w:rsid w:val="008F4CF2"/>
    <w:rsid w:val="00902978"/>
    <w:rsid w:val="009038E3"/>
    <w:rsid w:val="00917214"/>
    <w:rsid w:val="00921EEA"/>
    <w:rsid w:val="00925AD1"/>
    <w:rsid w:val="00926A5A"/>
    <w:rsid w:val="009301C2"/>
    <w:rsid w:val="00936E3B"/>
    <w:rsid w:val="00940331"/>
    <w:rsid w:val="00941439"/>
    <w:rsid w:val="00942457"/>
    <w:rsid w:val="009443DB"/>
    <w:rsid w:val="00944F09"/>
    <w:rsid w:val="00946301"/>
    <w:rsid w:val="00951BDF"/>
    <w:rsid w:val="009524BB"/>
    <w:rsid w:val="00966064"/>
    <w:rsid w:val="00971DEE"/>
    <w:rsid w:val="00972A5C"/>
    <w:rsid w:val="00973DDC"/>
    <w:rsid w:val="009743BE"/>
    <w:rsid w:val="00991E1F"/>
    <w:rsid w:val="00993A21"/>
    <w:rsid w:val="009961B0"/>
    <w:rsid w:val="009B5D98"/>
    <w:rsid w:val="009C2402"/>
    <w:rsid w:val="009C27DF"/>
    <w:rsid w:val="009D02DC"/>
    <w:rsid w:val="009D2D23"/>
    <w:rsid w:val="009D3190"/>
    <w:rsid w:val="009D52AF"/>
    <w:rsid w:val="009E2697"/>
    <w:rsid w:val="009E5D33"/>
    <w:rsid w:val="009F1F26"/>
    <w:rsid w:val="009F558B"/>
    <w:rsid w:val="00A005E3"/>
    <w:rsid w:val="00A04F98"/>
    <w:rsid w:val="00A1069A"/>
    <w:rsid w:val="00A11EAA"/>
    <w:rsid w:val="00A179D1"/>
    <w:rsid w:val="00A241FC"/>
    <w:rsid w:val="00A24383"/>
    <w:rsid w:val="00A2506E"/>
    <w:rsid w:val="00A341A7"/>
    <w:rsid w:val="00A341FC"/>
    <w:rsid w:val="00A35A05"/>
    <w:rsid w:val="00A419C5"/>
    <w:rsid w:val="00A41CC9"/>
    <w:rsid w:val="00A448E7"/>
    <w:rsid w:val="00A534AF"/>
    <w:rsid w:val="00A53695"/>
    <w:rsid w:val="00A56C99"/>
    <w:rsid w:val="00A5783F"/>
    <w:rsid w:val="00A639E5"/>
    <w:rsid w:val="00A700DB"/>
    <w:rsid w:val="00A70101"/>
    <w:rsid w:val="00A732D3"/>
    <w:rsid w:val="00A745EB"/>
    <w:rsid w:val="00A85CEB"/>
    <w:rsid w:val="00A85E8B"/>
    <w:rsid w:val="00A8635E"/>
    <w:rsid w:val="00A863CC"/>
    <w:rsid w:val="00A870CB"/>
    <w:rsid w:val="00A87CC3"/>
    <w:rsid w:val="00A906D9"/>
    <w:rsid w:val="00A907EA"/>
    <w:rsid w:val="00A91328"/>
    <w:rsid w:val="00A97273"/>
    <w:rsid w:val="00AA07B2"/>
    <w:rsid w:val="00AA1DBD"/>
    <w:rsid w:val="00AA213F"/>
    <w:rsid w:val="00AA718C"/>
    <w:rsid w:val="00AA7343"/>
    <w:rsid w:val="00AB2827"/>
    <w:rsid w:val="00AC1522"/>
    <w:rsid w:val="00AC49F4"/>
    <w:rsid w:val="00AC56E2"/>
    <w:rsid w:val="00AC61DC"/>
    <w:rsid w:val="00AD2F32"/>
    <w:rsid w:val="00AE1023"/>
    <w:rsid w:val="00AE30D3"/>
    <w:rsid w:val="00AF142B"/>
    <w:rsid w:val="00AF17CC"/>
    <w:rsid w:val="00AF28A7"/>
    <w:rsid w:val="00AF3517"/>
    <w:rsid w:val="00AF4252"/>
    <w:rsid w:val="00AF714C"/>
    <w:rsid w:val="00B176CF"/>
    <w:rsid w:val="00B23DEB"/>
    <w:rsid w:val="00B24C35"/>
    <w:rsid w:val="00B27035"/>
    <w:rsid w:val="00B3378C"/>
    <w:rsid w:val="00B3389A"/>
    <w:rsid w:val="00B42D29"/>
    <w:rsid w:val="00B46C45"/>
    <w:rsid w:val="00B55303"/>
    <w:rsid w:val="00B579F9"/>
    <w:rsid w:val="00B70D6C"/>
    <w:rsid w:val="00B74B59"/>
    <w:rsid w:val="00B8689C"/>
    <w:rsid w:val="00B86B03"/>
    <w:rsid w:val="00B93B7C"/>
    <w:rsid w:val="00BA1F1A"/>
    <w:rsid w:val="00BA3EC0"/>
    <w:rsid w:val="00BA3F79"/>
    <w:rsid w:val="00BA4745"/>
    <w:rsid w:val="00BB1E63"/>
    <w:rsid w:val="00BB503B"/>
    <w:rsid w:val="00BC1856"/>
    <w:rsid w:val="00BC4F5A"/>
    <w:rsid w:val="00BC793B"/>
    <w:rsid w:val="00BD03B3"/>
    <w:rsid w:val="00BD2E06"/>
    <w:rsid w:val="00BF0EAD"/>
    <w:rsid w:val="00BF2C6F"/>
    <w:rsid w:val="00C028EB"/>
    <w:rsid w:val="00C109CA"/>
    <w:rsid w:val="00C152CC"/>
    <w:rsid w:val="00C16CB5"/>
    <w:rsid w:val="00C21D91"/>
    <w:rsid w:val="00C22672"/>
    <w:rsid w:val="00C41843"/>
    <w:rsid w:val="00C436A3"/>
    <w:rsid w:val="00C44477"/>
    <w:rsid w:val="00C4462B"/>
    <w:rsid w:val="00C45FE5"/>
    <w:rsid w:val="00C4707A"/>
    <w:rsid w:val="00C5012C"/>
    <w:rsid w:val="00C55A2F"/>
    <w:rsid w:val="00C6016F"/>
    <w:rsid w:val="00C61BB6"/>
    <w:rsid w:val="00C65BAD"/>
    <w:rsid w:val="00C66854"/>
    <w:rsid w:val="00C70FB8"/>
    <w:rsid w:val="00C80D1B"/>
    <w:rsid w:val="00C86B6F"/>
    <w:rsid w:val="00C87349"/>
    <w:rsid w:val="00C87531"/>
    <w:rsid w:val="00C90489"/>
    <w:rsid w:val="00C97799"/>
    <w:rsid w:val="00CB4287"/>
    <w:rsid w:val="00CB6B8F"/>
    <w:rsid w:val="00CB6C7B"/>
    <w:rsid w:val="00CB7114"/>
    <w:rsid w:val="00CC151B"/>
    <w:rsid w:val="00CC4928"/>
    <w:rsid w:val="00CD2A92"/>
    <w:rsid w:val="00CD388D"/>
    <w:rsid w:val="00CE2956"/>
    <w:rsid w:val="00CE502C"/>
    <w:rsid w:val="00CE5201"/>
    <w:rsid w:val="00CE5B73"/>
    <w:rsid w:val="00CE5C63"/>
    <w:rsid w:val="00CF315A"/>
    <w:rsid w:val="00D00874"/>
    <w:rsid w:val="00D036EB"/>
    <w:rsid w:val="00D045DC"/>
    <w:rsid w:val="00D047FF"/>
    <w:rsid w:val="00D05EC2"/>
    <w:rsid w:val="00D062D3"/>
    <w:rsid w:val="00D10043"/>
    <w:rsid w:val="00D136E5"/>
    <w:rsid w:val="00D14862"/>
    <w:rsid w:val="00D14EAF"/>
    <w:rsid w:val="00D1689A"/>
    <w:rsid w:val="00D177AF"/>
    <w:rsid w:val="00D21CF8"/>
    <w:rsid w:val="00D23BD7"/>
    <w:rsid w:val="00D27C29"/>
    <w:rsid w:val="00D31A8C"/>
    <w:rsid w:val="00D31E46"/>
    <w:rsid w:val="00D3751D"/>
    <w:rsid w:val="00D403BA"/>
    <w:rsid w:val="00D40F64"/>
    <w:rsid w:val="00D533B2"/>
    <w:rsid w:val="00D57BD8"/>
    <w:rsid w:val="00D67FD2"/>
    <w:rsid w:val="00D730F8"/>
    <w:rsid w:val="00D749FD"/>
    <w:rsid w:val="00D75EC0"/>
    <w:rsid w:val="00D7726A"/>
    <w:rsid w:val="00D77C44"/>
    <w:rsid w:val="00D844DF"/>
    <w:rsid w:val="00D87D4A"/>
    <w:rsid w:val="00D95AD0"/>
    <w:rsid w:val="00D975AC"/>
    <w:rsid w:val="00D97BE8"/>
    <w:rsid w:val="00DA0210"/>
    <w:rsid w:val="00DA216E"/>
    <w:rsid w:val="00DA41FB"/>
    <w:rsid w:val="00DA4C5B"/>
    <w:rsid w:val="00DA55B3"/>
    <w:rsid w:val="00DA59CB"/>
    <w:rsid w:val="00DB0B84"/>
    <w:rsid w:val="00DB2C51"/>
    <w:rsid w:val="00DB611E"/>
    <w:rsid w:val="00DC15AC"/>
    <w:rsid w:val="00DC1DB6"/>
    <w:rsid w:val="00DC4275"/>
    <w:rsid w:val="00DC4F70"/>
    <w:rsid w:val="00DC6023"/>
    <w:rsid w:val="00DD000E"/>
    <w:rsid w:val="00DE03E4"/>
    <w:rsid w:val="00DE1911"/>
    <w:rsid w:val="00DF134D"/>
    <w:rsid w:val="00DF686E"/>
    <w:rsid w:val="00DF7739"/>
    <w:rsid w:val="00E00E87"/>
    <w:rsid w:val="00E01371"/>
    <w:rsid w:val="00E021F5"/>
    <w:rsid w:val="00E03168"/>
    <w:rsid w:val="00E04442"/>
    <w:rsid w:val="00E04CEA"/>
    <w:rsid w:val="00E0518C"/>
    <w:rsid w:val="00E06118"/>
    <w:rsid w:val="00E10489"/>
    <w:rsid w:val="00E122DD"/>
    <w:rsid w:val="00E12ABC"/>
    <w:rsid w:val="00E14997"/>
    <w:rsid w:val="00E1571E"/>
    <w:rsid w:val="00E16EE9"/>
    <w:rsid w:val="00E250F2"/>
    <w:rsid w:val="00E376F3"/>
    <w:rsid w:val="00E424AD"/>
    <w:rsid w:val="00E44E67"/>
    <w:rsid w:val="00E504C1"/>
    <w:rsid w:val="00E53414"/>
    <w:rsid w:val="00E53672"/>
    <w:rsid w:val="00E61305"/>
    <w:rsid w:val="00E61478"/>
    <w:rsid w:val="00E658E5"/>
    <w:rsid w:val="00E6646C"/>
    <w:rsid w:val="00E70B83"/>
    <w:rsid w:val="00E827C8"/>
    <w:rsid w:val="00E91A60"/>
    <w:rsid w:val="00E92E84"/>
    <w:rsid w:val="00E950B6"/>
    <w:rsid w:val="00EA133E"/>
    <w:rsid w:val="00EA2AAB"/>
    <w:rsid w:val="00EB204D"/>
    <w:rsid w:val="00EB3AFE"/>
    <w:rsid w:val="00EB46CE"/>
    <w:rsid w:val="00EB5239"/>
    <w:rsid w:val="00EC3565"/>
    <w:rsid w:val="00EC685D"/>
    <w:rsid w:val="00ED0A3D"/>
    <w:rsid w:val="00ED0AF2"/>
    <w:rsid w:val="00ED337A"/>
    <w:rsid w:val="00EE4DA2"/>
    <w:rsid w:val="00F04793"/>
    <w:rsid w:val="00F07242"/>
    <w:rsid w:val="00F12672"/>
    <w:rsid w:val="00F14E39"/>
    <w:rsid w:val="00F1613F"/>
    <w:rsid w:val="00F23C10"/>
    <w:rsid w:val="00F25FB5"/>
    <w:rsid w:val="00F264F9"/>
    <w:rsid w:val="00F276A1"/>
    <w:rsid w:val="00F40C00"/>
    <w:rsid w:val="00F411F5"/>
    <w:rsid w:val="00F4635E"/>
    <w:rsid w:val="00F46F52"/>
    <w:rsid w:val="00F50A3D"/>
    <w:rsid w:val="00F5101C"/>
    <w:rsid w:val="00F5695A"/>
    <w:rsid w:val="00F61EFA"/>
    <w:rsid w:val="00F625E9"/>
    <w:rsid w:val="00F637E1"/>
    <w:rsid w:val="00F73667"/>
    <w:rsid w:val="00F73AE8"/>
    <w:rsid w:val="00F823BD"/>
    <w:rsid w:val="00F94E7F"/>
    <w:rsid w:val="00F95D0A"/>
    <w:rsid w:val="00FA1BD6"/>
    <w:rsid w:val="00FA7AD9"/>
    <w:rsid w:val="00FA7D0A"/>
    <w:rsid w:val="00FB6689"/>
    <w:rsid w:val="00FC00C0"/>
    <w:rsid w:val="00FC08B6"/>
    <w:rsid w:val="00FC0927"/>
    <w:rsid w:val="00FC2631"/>
    <w:rsid w:val="00FC2B9F"/>
    <w:rsid w:val="00FC5C77"/>
    <w:rsid w:val="00FC64B7"/>
    <w:rsid w:val="00FC6B29"/>
    <w:rsid w:val="00FD4AA7"/>
    <w:rsid w:val="00FD4F35"/>
    <w:rsid w:val="00FD6EBD"/>
    <w:rsid w:val="00FE6B11"/>
    <w:rsid w:val="00FF26E3"/>
    <w:rsid w:val="00FF3916"/>
    <w:rsid w:val="00FF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uiPriority="2"/>
    <w:lsdException w:name="List Bullet 3" w:uiPriority="2"/>
    <w:lsdException w:name="List Bullet 4" w:uiPriority="2"/>
    <w:lsdException w:name="List Bullet 5" w:uiPriority="2"/>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lock Text"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link w:val="Heading2Char"/>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uiPriority w:val="99"/>
    <w:semiHidden/>
    <w:pPr>
      <w:tabs>
        <w:tab w:val="left" w:pos="1980"/>
      </w:tabs>
      <w:spacing w:line="480" w:lineRule="auto"/>
      <w:jc w:val="both"/>
    </w:pPr>
    <w:rPr>
      <w:rFonts w:ascii="Courier" w:hAnsi="Courier"/>
    </w:rPr>
  </w:style>
  <w:style w:type="paragraph" w:styleId="BodyText2">
    <w:name w:val="Body Text 2"/>
    <w:basedOn w:val="Normal"/>
    <w:link w:val="BodyText2Char"/>
    <w:semiHidden/>
    <w:qFormat/>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aliases w:val="Footnote Text Char2,Footnote Text Char Char,Footnote Text Char1 Char Char,Footnote Text Char Char Char Char,Footnote Text Char1 Char1,Footnote Text Char Char1 Char,Footnote Text Char1 Char Char Char Char Char,Footnote Text Char1"/>
    <w:basedOn w:val="Normal"/>
    <w:link w:val="FootnoteTextChar"/>
    <w:uiPriority w:val="99"/>
    <w:semiHidden/>
    <w:rPr>
      <w:sz w:val="20"/>
    </w:rPr>
  </w:style>
  <w:style w:type="character" w:styleId="FootnoteReference">
    <w:name w:val="footnote reference"/>
    <w:aliases w:val="o"/>
    <w:uiPriority w:val="99"/>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uiPriority w:val="99"/>
    <w:semiHidden/>
    <w:rsid w:val="00B176CF"/>
    <w:rPr>
      <w:rFonts w:ascii="Courier" w:hAnsi="Courier"/>
      <w:sz w:val="24"/>
      <w:szCs w:val="24"/>
    </w:rPr>
  </w:style>
  <w:style w:type="paragraph" w:styleId="ListNumber">
    <w:name w:val="List Number"/>
    <w:basedOn w:val="Normal"/>
    <w:uiPriority w:val="99"/>
    <w:unhideWhenUsed/>
    <w:qFormat/>
    <w:rsid w:val="00C66854"/>
    <w:pPr>
      <w:numPr>
        <w:numId w:val="6"/>
      </w:numPr>
      <w:tabs>
        <w:tab w:val="clear" w:pos="1440"/>
        <w:tab w:val="num" w:pos="360"/>
      </w:tabs>
      <w:spacing w:after="240"/>
      <w:ind w:left="72" w:hanging="72"/>
      <w:jc w:val="both"/>
    </w:p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Footnote Text Char1 Char"/>
    <w:link w:val="FootnoteText"/>
    <w:uiPriority w:val="99"/>
    <w:semiHidden/>
    <w:rsid w:val="00C66854"/>
    <w:rPr>
      <w:szCs w:val="24"/>
    </w:rPr>
  </w:style>
  <w:style w:type="paragraph" w:styleId="ListParagraph">
    <w:name w:val="List Paragraph"/>
    <w:basedOn w:val="Normal"/>
    <w:uiPriority w:val="34"/>
    <w:qFormat/>
    <w:rsid w:val="00065595"/>
    <w:pPr>
      <w:spacing w:line="360" w:lineRule="auto"/>
      <w:ind w:firstLine="1440"/>
    </w:pPr>
    <w:rPr>
      <w:sz w:val="26"/>
    </w:rPr>
  </w:style>
  <w:style w:type="paragraph" w:styleId="Header">
    <w:name w:val="header"/>
    <w:basedOn w:val="Normal"/>
    <w:link w:val="HeaderChar"/>
    <w:uiPriority w:val="99"/>
    <w:unhideWhenUsed/>
    <w:rsid w:val="00636F22"/>
    <w:pPr>
      <w:tabs>
        <w:tab w:val="center" w:pos="4680"/>
        <w:tab w:val="right" w:pos="9360"/>
      </w:tabs>
    </w:pPr>
  </w:style>
  <w:style w:type="character" w:customStyle="1" w:styleId="HeaderChar">
    <w:name w:val="Header Char"/>
    <w:basedOn w:val="DefaultParagraphFont"/>
    <w:link w:val="Header"/>
    <w:uiPriority w:val="99"/>
    <w:rsid w:val="00636F22"/>
    <w:rPr>
      <w:sz w:val="24"/>
      <w:szCs w:val="24"/>
    </w:rPr>
  </w:style>
  <w:style w:type="character" w:customStyle="1" w:styleId="FooterChar">
    <w:name w:val="Footer Char"/>
    <w:basedOn w:val="DefaultParagraphFont"/>
    <w:link w:val="Footer"/>
    <w:uiPriority w:val="99"/>
    <w:rsid w:val="00636F22"/>
    <w:rPr>
      <w:sz w:val="24"/>
      <w:szCs w:val="24"/>
    </w:rPr>
  </w:style>
  <w:style w:type="paragraph" w:customStyle="1" w:styleId="ParaTab1">
    <w:name w:val="ParaTab 1"/>
    <w:rsid w:val="00541986"/>
    <w:pPr>
      <w:tabs>
        <w:tab w:val="left" w:pos="-720"/>
      </w:tabs>
      <w:suppressAutoHyphens/>
      <w:autoSpaceDE w:val="0"/>
      <w:autoSpaceDN w:val="0"/>
      <w:ind w:firstLine="1440"/>
    </w:pPr>
    <w:rPr>
      <w:rFonts w:ascii="CG Times" w:hAnsi="CG Times" w:cs="CG Times"/>
      <w:sz w:val="24"/>
      <w:szCs w:val="24"/>
    </w:rPr>
  </w:style>
  <w:style w:type="character" w:customStyle="1" w:styleId="Heading2Char">
    <w:name w:val="Heading 2 Char"/>
    <w:basedOn w:val="DefaultParagraphFont"/>
    <w:link w:val="Heading2"/>
    <w:rsid w:val="00872060"/>
    <w:rPr>
      <w:rFonts w:ascii="Courier" w:hAnsi="Courier"/>
      <w:b/>
      <w:sz w:val="24"/>
      <w:szCs w:val="24"/>
    </w:rPr>
  </w:style>
  <w:style w:type="paragraph" w:styleId="ListBullet">
    <w:name w:val="List Bullet"/>
    <w:aliases w:val="b1"/>
    <w:basedOn w:val="Normal"/>
    <w:uiPriority w:val="99"/>
    <w:semiHidden/>
    <w:unhideWhenUsed/>
    <w:qFormat/>
    <w:rsid w:val="00872060"/>
    <w:pPr>
      <w:numPr>
        <w:numId w:val="24"/>
      </w:numPr>
      <w:spacing w:after="240"/>
      <w:jc w:val="both"/>
    </w:pPr>
    <w:rPr>
      <w:rFonts w:eastAsiaTheme="minorHAnsi" w:cstheme="minorBidi"/>
    </w:rPr>
  </w:style>
  <w:style w:type="paragraph" w:styleId="ListBullet2">
    <w:name w:val="List Bullet 2"/>
    <w:basedOn w:val="Normal"/>
    <w:uiPriority w:val="2"/>
    <w:semiHidden/>
    <w:unhideWhenUsed/>
    <w:rsid w:val="00872060"/>
    <w:pPr>
      <w:numPr>
        <w:ilvl w:val="1"/>
        <w:numId w:val="24"/>
      </w:numPr>
      <w:spacing w:after="240"/>
      <w:jc w:val="both"/>
    </w:pPr>
    <w:rPr>
      <w:rFonts w:eastAsiaTheme="minorHAnsi" w:cstheme="minorBidi"/>
    </w:rPr>
  </w:style>
  <w:style w:type="paragraph" w:styleId="ListBullet3">
    <w:name w:val="List Bullet 3"/>
    <w:basedOn w:val="Normal"/>
    <w:uiPriority w:val="2"/>
    <w:semiHidden/>
    <w:unhideWhenUsed/>
    <w:rsid w:val="00872060"/>
    <w:pPr>
      <w:numPr>
        <w:ilvl w:val="2"/>
        <w:numId w:val="24"/>
      </w:numPr>
      <w:spacing w:after="240"/>
      <w:jc w:val="both"/>
    </w:pPr>
    <w:rPr>
      <w:rFonts w:eastAsiaTheme="minorHAnsi" w:cstheme="minorBidi"/>
    </w:rPr>
  </w:style>
  <w:style w:type="paragraph" w:styleId="ListBullet4">
    <w:name w:val="List Bullet 4"/>
    <w:basedOn w:val="Normal"/>
    <w:uiPriority w:val="2"/>
    <w:semiHidden/>
    <w:unhideWhenUsed/>
    <w:rsid w:val="00872060"/>
    <w:pPr>
      <w:numPr>
        <w:ilvl w:val="3"/>
        <w:numId w:val="24"/>
      </w:numPr>
      <w:spacing w:after="240"/>
      <w:jc w:val="both"/>
    </w:pPr>
    <w:rPr>
      <w:rFonts w:eastAsiaTheme="minorHAnsi" w:cstheme="minorBidi"/>
    </w:rPr>
  </w:style>
  <w:style w:type="paragraph" w:styleId="ListBullet5">
    <w:name w:val="List Bullet 5"/>
    <w:aliases w:val="b5"/>
    <w:basedOn w:val="Normal"/>
    <w:uiPriority w:val="2"/>
    <w:semiHidden/>
    <w:unhideWhenUsed/>
    <w:rsid w:val="00872060"/>
    <w:pPr>
      <w:numPr>
        <w:ilvl w:val="4"/>
        <w:numId w:val="24"/>
      </w:numPr>
      <w:spacing w:after="240"/>
      <w:jc w:val="both"/>
    </w:pPr>
    <w:rPr>
      <w:rFonts w:eastAsiaTheme="minorHAnsi" w:cstheme="minorBidi"/>
    </w:rPr>
  </w:style>
  <w:style w:type="paragraph" w:styleId="BlockText">
    <w:name w:val="Block Text"/>
    <w:basedOn w:val="Normal"/>
    <w:uiPriority w:val="99"/>
    <w:semiHidden/>
    <w:unhideWhenUsed/>
    <w:qFormat/>
    <w:rsid w:val="00872060"/>
    <w:pPr>
      <w:spacing w:after="240"/>
      <w:ind w:left="1440" w:right="1440"/>
      <w:jc w:val="both"/>
    </w:pPr>
    <w:rPr>
      <w:rFonts w:eastAsiaTheme="minorEastAsia" w:cstheme="minorBidi"/>
      <w:iCs/>
    </w:rPr>
  </w:style>
  <w:style w:type="numbering" w:customStyle="1" w:styleId="ListBullets">
    <w:name w:val="List Bullets"/>
    <w:uiPriority w:val="99"/>
    <w:rsid w:val="00872060"/>
    <w:pPr>
      <w:numPr>
        <w:numId w:val="24"/>
      </w:numPr>
    </w:pPr>
  </w:style>
  <w:style w:type="character" w:customStyle="1" w:styleId="BodyText2Char">
    <w:name w:val="Body Text 2 Char"/>
    <w:basedOn w:val="DefaultParagraphFont"/>
    <w:link w:val="BodyText2"/>
    <w:semiHidden/>
    <w:rsid w:val="00CE2956"/>
    <w:rPr>
      <w:sz w:val="24"/>
      <w:szCs w:val="24"/>
    </w:rPr>
  </w:style>
  <w:style w:type="character" w:styleId="Hyperlink">
    <w:name w:val="Hyperlink"/>
    <w:semiHidden/>
    <w:unhideWhenUsed/>
    <w:rsid w:val="00FF3916"/>
    <w:rPr>
      <w:color w:val="0000FF"/>
      <w:u w:val="single"/>
    </w:rPr>
  </w:style>
  <w:style w:type="character" w:customStyle="1" w:styleId="term1">
    <w:name w:val="term1"/>
    <w:rsid w:val="00FF39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uiPriority="2"/>
    <w:lsdException w:name="List Bullet 3" w:uiPriority="2"/>
    <w:lsdException w:name="List Bullet 4" w:uiPriority="2"/>
    <w:lsdException w:name="List Bullet 5" w:uiPriority="2"/>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lock Text"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link w:val="Heading2Char"/>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uiPriority w:val="99"/>
    <w:semiHidden/>
    <w:pPr>
      <w:tabs>
        <w:tab w:val="left" w:pos="1980"/>
      </w:tabs>
      <w:spacing w:line="480" w:lineRule="auto"/>
      <w:jc w:val="both"/>
    </w:pPr>
    <w:rPr>
      <w:rFonts w:ascii="Courier" w:hAnsi="Courier"/>
    </w:rPr>
  </w:style>
  <w:style w:type="paragraph" w:styleId="BodyText2">
    <w:name w:val="Body Text 2"/>
    <w:basedOn w:val="Normal"/>
    <w:link w:val="BodyText2Char"/>
    <w:semiHidden/>
    <w:qFormat/>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aliases w:val="Footnote Text Char2,Footnote Text Char Char,Footnote Text Char1 Char Char,Footnote Text Char Char Char Char,Footnote Text Char1 Char1,Footnote Text Char Char1 Char,Footnote Text Char1 Char Char Char Char Char,Footnote Text Char1"/>
    <w:basedOn w:val="Normal"/>
    <w:link w:val="FootnoteTextChar"/>
    <w:uiPriority w:val="99"/>
    <w:semiHidden/>
    <w:rPr>
      <w:sz w:val="20"/>
    </w:rPr>
  </w:style>
  <w:style w:type="character" w:styleId="FootnoteReference">
    <w:name w:val="footnote reference"/>
    <w:aliases w:val="o"/>
    <w:uiPriority w:val="99"/>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uiPriority w:val="99"/>
    <w:semiHidden/>
    <w:rsid w:val="00B176CF"/>
    <w:rPr>
      <w:rFonts w:ascii="Courier" w:hAnsi="Courier"/>
      <w:sz w:val="24"/>
      <w:szCs w:val="24"/>
    </w:rPr>
  </w:style>
  <w:style w:type="paragraph" w:styleId="ListNumber">
    <w:name w:val="List Number"/>
    <w:basedOn w:val="Normal"/>
    <w:uiPriority w:val="99"/>
    <w:unhideWhenUsed/>
    <w:qFormat/>
    <w:rsid w:val="00C66854"/>
    <w:pPr>
      <w:numPr>
        <w:numId w:val="6"/>
      </w:numPr>
      <w:tabs>
        <w:tab w:val="clear" w:pos="1440"/>
        <w:tab w:val="num" w:pos="360"/>
      </w:tabs>
      <w:spacing w:after="240"/>
      <w:ind w:left="72" w:hanging="72"/>
      <w:jc w:val="both"/>
    </w:p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Footnote Text Char1 Char"/>
    <w:link w:val="FootnoteText"/>
    <w:uiPriority w:val="99"/>
    <w:semiHidden/>
    <w:rsid w:val="00C66854"/>
    <w:rPr>
      <w:szCs w:val="24"/>
    </w:rPr>
  </w:style>
  <w:style w:type="paragraph" w:styleId="ListParagraph">
    <w:name w:val="List Paragraph"/>
    <w:basedOn w:val="Normal"/>
    <w:uiPriority w:val="34"/>
    <w:qFormat/>
    <w:rsid w:val="00065595"/>
    <w:pPr>
      <w:spacing w:line="360" w:lineRule="auto"/>
      <w:ind w:firstLine="1440"/>
    </w:pPr>
    <w:rPr>
      <w:sz w:val="26"/>
    </w:rPr>
  </w:style>
  <w:style w:type="paragraph" w:styleId="Header">
    <w:name w:val="header"/>
    <w:basedOn w:val="Normal"/>
    <w:link w:val="HeaderChar"/>
    <w:uiPriority w:val="99"/>
    <w:unhideWhenUsed/>
    <w:rsid w:val="00636F22"/>
    <w:pPr>
      <w:tabs>
        <w:tab w:val="center" w:pos="4680"/>
        <w:tab w:val="right" w:pos="9360"/>
      </w:tabs>
    </w:pPr>
  </w:style>
  <w:style w:type="character" w:customStyle="1" w:styleId="HeaderChar">
    <w:name w:val="Header Char"/>
    <w:basedOn w:val="DefaultParagraphFont"/>
    <w:link w:val="Header"/>
    <w:uiPriority w:val="99"/>
    <w:rsid w:val="00636F22"/>
    <w:rPr>
      <w:sz w:val="24"/>
      <w:szCs w:val="24"/>
    </w:rPr>
  </w:style>
  <w:style w:type="character" w:customStyle="1" w:styleId="FooterChar">
    <w:name w:val="Footer Char"/>
    <w:basedOn w:val="DefaultParagraphFont"/>
    <w:link w:val="Footer"/>
    <w:uiPriority w:val="99"/>
    <w:rsid w:val="00636F22"/>
    <w:rPr>
      <w:sz w:val="24"/>
      <w:szCs w:val="24"/>
    </w:rPr>
  </w:style>
  <w:style w:type="paragraph" w:customStyle="1" w:styleId="ParaTab1">
    <w:name w:val="ParaTab 1"/>
    <w:rsid w:val="00541986"/>
    <w:pPr>
      <w:tabs>
        <w:tab w:val="left" w:pos="-720"/>
      </w:tabs>
      <w:suppressAutoHyphens/>
      <w:autoSpaceDE w:val="0"/>
      <w:autoSpaceDN w:val="0"/>
      <w:ind w:firstLine="1440"/>
    </w:pPr>
    <w:rPr>
      <w:rFonts w:ascii="CG Times" w:hAnsi="CG Times" w:cs="CG Times"/>
      <w:sz w:val="24"/>
      <w:szCs w:val="24"/>
    </w:rPr>
  </w:style>
  <w:style w:type="character" w:customStyle="1" w:styleId="Heading2Char">
    <w:name w:val="Heading 2 Char"/>
    <w:basedOn w:val="DefaultParagraphFont"/>
    <w:link w:val="Heading2"/>
    <w:rsid w:val="00872060"/>
    <w:rPr>
      <w:rFonts w:ascii="Courier" w:hAnsi="Courier"/>
      <w:b/>
      <w:sz w:val="24"/>
      <w:szCs w:val="24"/>
    </w:rPr>
  </w:style>
  <w:style w:type="paragraph" w:styleId="ListBullet">
    <w:name w:val="List Bullet"/>
    <w:aliases w:val="b1"/>
    <w:basedOn w:val="Normal"/>
    <w:uiPriority w:val="99"/>
    <w:semiHidden/>
    <w:unhideWhenUsed/>
    <w:qFormat/>
    <w:rsid w:val="00872060"/>
    <w:pPr>
      <w:numPr>
        <w:numId w:val="24"/>
      </w:numPr>
      <w:spacing w:after="240"/>
      <w:jc w:val="both"/>
    </w:pPr>
    <w:rPr>
      <w:rFonts w:eastAsiaTheme="minorHAnsi" w:cstheme="minorBidi"/>
    </w:rPr>
  </w:style>
  <w:style w:type="paragraph" w:styleId="ListBullet2">
    <w:name w:val="List Bullet 2"/>
    <w:basedOn w:val="Normal"/>
    <w:uiPriority w:val="2"/>
    <w:semiHidden/>
    <w:unhideWhenUsed/>
    <w:rsid w:val="00872060"/>
    <w:pPr>
      <w:numPr>
        <w:ilvl w:val="1"/>
        <w:numId w:val="24"/>
      </w:numPr>
      <w:spacing w:after="240"/>
      <w:jc w:val="both"/>
    </w:pPr>
    <w:rPr>
      <w:rFonts w:eastAsiaTheme="minorHAnsi" w:cstheme="minorBidi"/>
    </w:rPr>
  </w:style>
  <w:style w:type="paragraph" w:styleId="ListBullet3">
    <w:name w:val="List Bullet 3"/>
    <w:basedOn w:val="Normal"/>
    <w:uiPriority w:val="2"/>
    <w:semiHidden/>
    <w:unhideWhenUsed/>
    <w:rsid w:val="00872060"/>
    <w:pPr>
      <w:numPr>
        <w:ilvl w:val="2"/>
        <w:numId w:val="24"/>
      </w:numPr>
      <w:spacing w:after="240"/>
      <w:jc w:val="both"/>
    </w:pPr>
    <w:rPr>
      <w:rFonts w:eastAsiaTheme="minorHAnsi" w:cstheme="minorBidi"/>
    </w:rPr>
  </w:style>
  <w:style w:type="paragraph" w:styleId="ListBullet4">
    <w:name w:val="List Bullet 4"/>
    <w:basedOn w:val="Normal"/>
    <w:uiPriority w:val="2"/>
    <w:semiHidden/>
    <w:unhideWhenUsed/>
    <w:rsid w:val="00872060"/>
    <w:pPr>
      <w:numPr>
        <w:ilvl w:val="3"/>
        <w:numId w:val="24"/>
      </w:numPr>
      <w:spacing w:after="240"/>
      <w:jc w:val="both"/>
    </w:pPr>
    <w:rPr>
      <w:rFonts w:eastAsiaTheme="minorHAnsi" w:cstheme="minorBidi"/>
    </w:rPr>
  </w:style>
  <w:style w:type="paragraph" w:styleId="ListBullet5">
    <w:name w:val="List Bullet 5"/>
    <w:aliases w:val="b5"/>
    <w:basedOn w:val="Normal"/>
    <w:uiPriority w:val="2"/>
    <w:semiHidden/>
    <w:unhideWhenUsed/>
    <w:rsid w:val="00872060"/>
    <w:pPr>
      <w:numPr>
        <w:ilvl w:val="4"/>
        <w:numId w:val="24"/>
      </w:numPr>
      <w:spacing w:after="240"/>
      <w:jc w:val="both"/>
    </w:pPr>
    <w:rPr>
      <w:rFonts w:eastAsiaTheme="minorHAnsi" w:cstheme="minorBidi"/>
    </w:rPr>
  </w:style>
  <w:style w:type="paragraph" w:styleId="BlockText">
    <w:name w:val="Block Text"/>
    <w:basedOn w:val="Normal"/>
    <w:uiPriority w:val="99"/>
    <w:semiHidden/>
    <w:unhideWhenUsed/>
    <w:qFormat/>
    <w:rsid w:val="00872060"/>
    <w:pPr>
      <w:spacing w:after="240"/>
      <w:ind w:left="1440" w:right="1440"/>
      <w:jc w:val="both"/>
    </w:pPr>
    <w:rPr>
      <w:rFonts w:eastAsiaTheme="minorEastAsia" w:cstheme="minorBidi"/>
      <w:iCs/>
    </w:rPr>
  </w:style>
  <w:style w:type="numbering" w:customStyle="1" w:styleId="ListBullets">
    <w:name w:val="List Bullets"/>
    <w:uiPriority w:val="99"/>
    <w:rsid w:val="00872060"/>
    <w:pPr>
      <w:numPr>
        <w:numId w:val="24"/>
      </w:numPr>
    </w:pPr>
  </w:style>
  <w:style w:type="character" w:customStyle="1" w:styleId="BodyText2Char">
    <w:name w:val="Body Text 2 Char"/>
    <w:basedOn w:val="DefaultParagraphFont"/>
    <w:link w:val="BodyText2"/>
    <w:semiHidden/>
    <w:rsid w:val="00CE2956"/>
    <w:rPr>
      <w:sz w:val="24"/>
      <w:szCs w:val="24"/>
    </w:rPr>
  </w:style>
  <w:style w:type="character" w:styleId="Hyperlink">
    <w:name w:val="Hyperlink"/>
    <w:semiHidden/>
    <w:unhideWhenUsed/>
    <w:rsid w:val="00FF3916"/>
    <w:rPr>
      <w:color w:val="0000FF"/>
      <w:u w:val="single"/>
    </w:rPr>
  </w:style>
  <w:style w:type="character" w:customStyle="1" w:styleId="term1">
    <w:name w:val="term1"/>
    <w:rsid w:val="00FF3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173">
      <w:bodyDiv w:val="1"/>
      <w:marLeft w:val="0"/>
      <w:marRight w:val="0"/>
      <w:marTop w:val="0"/>
      <w:marBottom w:val="0"/>
      <w:divBdr>
        <w:top w:val="none" w:sz="0" w:space="0" w:color="auto"/>
        <w:left w:val="none" w:sz="0" w:space="0" w:color="auto"/>
        <w:bottom w:val="none" w:sz="0" w:space="0" w:color="auto"/>
        <w:right w:val="none" w:sz="0" w:space="0" w:color="auto"/>
      </w:divBdr>
    </w:div>
    <w:div w:id="6568160">
      <w:bodyDiv w:val="1"/>
      <w:marLeft w:val="0"/>
      <w:marRight w:val="0"/>
      <w:marTop w:val="0"/>
      <w:marBottom w:val="0"/>
      <w:divBdr>
        <w:top w:val="none" w:sz="0" w:space="0" w:color="auto"/>
        <w:left w:val="none" w:sz="0" w:space="0" w:color="auto"/>
        <w:bottom w:val="none" w:sz="0" w:space="0" w:color="auto"/>
        <w:right w:val="none" w:sz="0" w:space="0" w:color="auto"/>
      </w:divBdr>
    </w:div>
    <w:div w:id="33969987">
      <w:bodyDiv w:val="1"/>
      <w:marLeft w:val="0"/>
      <w:marRight w:val="0"/>
      <w:marTop w:val="0"/>
      <w:marBottom w:val="0"/>
      <w:divBdr>
        <w:top w:val="none" w:sz="0" w:space="0" w:color="auto"/>
        <w:left w:val="none" w:sz="0" w:space="0" w:color="auto"/>
        <w:bottom w:val="none" w:sz="0" w:space="0" w:color="auto"/>
        <w:right w:val="none" w:sz="0" w:space="0" w:color="auto"/>
      </w:divBdr>
    </w:div>
    <w:div w:id="35282259">
      <w:bodyDiv w:val="1"/>
      <w:marLeft w:val="0"/>
      <w:marRight w:val="0"/>
      <w:marTop w:val="0"/>
      <w:marBottom w:val="0"/>
      <w:divBdr>
        <w:top w:val="none" w:sz="0" w:space="0" w:color="auto"/>
        <w:left w:val="none" w:sz="0" w:space="0" w:color="auto"/>
        <w:bottom w:val="none" w:sz="0" w:space="0" w:color="auto"/>
        <w:right w:val="none" w:sz="0" w:space="0" w:color="auto"/>
      </w:divBdr>
    </w:div>
    <w:div w:id="41251574">
      <w:bodyDiv w:val="1"/>
      <w:marLeft w:val="0"/>
      <w:marRight w:val="0"/>
      <w:marTop w:val="0"/>
      <w:marBottom w:val="0"/>
      <w:divBdr>
        <w:top w:val="none" w:sz="0" w:space="0" w:color="auto"/>
        <w:left w:val="none" w:sz="0" w:space="0" w:color="auto"/>
        <w:bottom w:val="none" w:sz="0" w:space="0" w:color="auto"/>
        <w:right w:val="none" w:sz="0" w:space="0" w:color="auto"/>
      </w:divBdr>
    </w:div>
    <w:div w:id="73086701">
      <w:bodyDiv w:val="1"/>
      <w:marLeft w:val="0"/>
      <w:marRight w:val="0"/>
      <w:marTop w:val="0"/>
      <w:marBottom w:val="0"/>
      <w:divBdr>
        <w:top w:val="none" w:sz="0" w:space="0" w:color="auto"/>
        <w:left w:val="none" w:sz="0" w:space="0" w:color="auto"/>
        <w:bottom w:val="none" w:sz="0" w:space="0" w:color="auto"/>
        <w:right w:val="none" w:sz="0" w:space="0" w:color="auto"/>
      </w:divBdr>
    </w:div>
    <w:div w:id="84109378">
      <w:bodyDiv w:val="1"/>
      <w:marLeft w:val="0"/>
      <w:marRight w:val="0"/>
      <w:marTop w:val="0"/>
      <w:marBottom w:val="0"/>
      <w:divBdr>
        <w:top w:val="none" w:sz="0" w:space="0" w:color="auto"/>
        <w:left w:val="none" w:sz="0" w:space="0" w:color="auto"/>
        <w:bottom w:val="none" w:sz="0" w:space="0" w:color="auto"/>
        <w:right w:val="none" w:sz="0" w:space="0" w:color="auto"/>
      </w:divBdr>
    </w:div>
    <w:div w:id="104347905">
      <w:bodyDiv w:val="1"/>
      <w:marLeft w:val="0"/>
      <w:marRight w:val="0"/>
      <w:marTop w:val="0"/>
      <w:marBottom w:val="0"/>
      <w:divBdr>
        <w:top w:val="none" w:sz="0" w:space="0" w:color="auto"/>
        <w:left w:val="none" w:sz="0" w:space="0" w:color="auto"/>
        <w:bottom w:val="none" w:sz="0" w:space="0" w:color="auto"/>
        <w:right w:val="none" w:sz="0" w:space="0" w:color="auto"/>
      </w:divBdr>
    </w:div>
    <w:div w:id="117265774">
      <w:bodyDiv w:val="1"/>
      <w:marLeft w:val="0"/>
      <w:marRight w:val="0"/>
      <w:marTop w:val="0"/>
      <w:marBottom w:val="0"/>
      <w:divBdr>
        <w:top w:val="none" w:sz="0" w:space="0" w:color="auto"/>
        <w:left w:val="none" w:sz="0" w:space="0" w:color="auto"/>
        <w:bottom w:val="none" w:sz="0" w:space="0" w:color="auto"/>
        <w:right w:val="none" w:sz="0" w:space="0" w:color="auto"/>
      </w:divBdr>
    </w:div>
    <w:div w:id="128284963">
      <w:bodyDiv w:val="1"/>
      <w:marLeft w:val="0"/>
      <w:marRight w:val="0"/>
      <w:marTop w:val="0"/>
      <w:marBottom w:val="0"/>
      <w:divBdr>
        <w:top w:val="none" w:sz="0" w:space="0" w:color="auto"/>
        <w:left w:val="none" w:sz="0" w:space="0" w:color="auto"/>
        <w:bottom w:val="none" w:sz="0" w:space="0" w:color="auto"/>
        <w:right w:val="none" w:sz="0" w:space="0" w:color="auto"/>
      </w:divBdr>
    </w:div>
    <w:div w:id="156263797">
      <w:bodyDiv w:val="1"/>
      <w:marLeft w:val="0"/>
      <w:marRight w:val="0"/>
      <w:marTop w:val="0"/>
      <w:marBottom w:val="0"/>
      <w:divBdr>
        <w:top w:val="none" w:sz="0" w:space="0" w:color="auto"/>
        <w:left w:val="none" w:sz="0" w:space="0" w:color="auto"/>
        <w:bottom w:val="none" w:sz="0" w:space="0" w:color="auto"/>
        <w:right w:val="none" w:sz="0" w:space="0" w:color="auto"/>
      </w:divBdr>
    </w:div>
    <w:div w:id="172116179">
      <w:bodyDiv w:val="1"/>
      <w:marLeft w:val="0"/>
      <w:marRight w:val="0"/>
      <w:marTop w:val="0"/>
      <w:marBottom w:val="0"/>
      <w:divBdr>
        <w:top w:val="none" w:sz="0" w:space="0" w:color="auto"/>
        <w:left w:val="none" w:sz="0" w:space="0" w:color="auto"/>
        <w:bottom w:val="none" w:sz="0" w:space="0" w:color="auto"/>
        <w:right w:val="none" w:sz="0" w:space="0" w:color="auto"/>
      </w:divBdr>
    </w:div>
    <w:div w:id="183401388">
      <w:bodyDiv w:val="1"/>
      <w:marLeft w:val="0"/>
      <w:marRight w:val="0"/>
      <w:marTop w:val="0"/>
      <w:marBottom w:val="0"/>
      <w:divBdr>
        <w:top w:val="none" w:sz="0" w:space="0" w:color="auto"/>
        <w:left w:val="none" w:sz="0" w:space="0" w:color="auto"/>
        <w:bottom w:val="none" w:sz="0" w:space="0" w:color="auto"/>
        <w:right w:val="none" w:sz="0" w:space="0" w:color="auto"/>
      </w:divBdr>
    </w:div>
    <w:div w:id="208495670">
      <w:bodyDiv w:val="1"/>
      <w:marLeft w:val="0"/>
      <w:marRight w:val="0"/>
      <w:marTop w:val="0"/>
      <w:marBottom w:val="0"/>
      <w:divBdr>
        <w:top w:val="none" w:sz="0" w:space="0" w:color="auto"/>
        <w:left w:val="none" w:sz="0" w:space="0" w:color="auto"/>
        <w:bottom w:val="none" w:sz="0" w:space="0" w:color="auto"/>
        <w:right w:val="none" w:sz="0" w:space="0" w:color="auto"/>
      </w:divBdr>
    </w:div>
    <w:div w:id="260991708">
      <w:bodyDiv w:val="1"/>
      <w:marLeft w:val="0"/>
      <w:marRight w:val="0"/>
      <w:marTop w:val="0"/>
      <w:marBottom w:val="0"/>
      <w:divBdr>
        <w:top w:val="none" w:sz="0" w:space="0" w:color="auto"/>
        <w:left w:val="none" w:sz="0" w:space="0" w:color="auto"/>
        <w:bottom w:val="none" w:sz="0" w:space="0" w:color="auto"/>
        <w:right w:val="none" w:sz="0" w:space="0" w:color="auto"/>
      </w:divBdr>
    </w:div>
    <w:div w:id="283536401">
      <w:bodyDiv w:val="1"/>
      <w:marLeft w:val="0"/>
      <w:marRight w:val="0"/>
      <w:marTop w:val="0"/>
      <w:marBottom w:val="0"/>
      <w:divBdr>
        <w:top w:val="none" w:sz="0" w:space="0" w:color="auto"/>
        <w:left w:val="none" w:sz="0" w:space="0" w:color="auto"/>
        <w:bottom w:val="none" w:sz="0" w:space="0" w:color="auto"/>
        <w:right w:val="none" w:sz="0" w:space="0" w:color="auto"/>
      </w:divBdr>
    </w:div>
    <w:div w:id="332028760">
      <w:bodyDiv w:val="1"/>
      <w:marLeft w:val="0"/>
      <w:marRight w:val="0"/>
      <w:marTop w:val="0"/>
      <w:marBottom w:val="0"/>
      <w:divBdr>
        <w:top w:val="none" w:sz="0" w:space="0" w:color="auto"/>
        <w:left w:val="none" w:sz="0" w:space="0" w:color="auto"/>
        <w:bottom w:val="none" w:sz="0" w:space="0" w:color="auto"/>
        <w:right w:val="none" w:sz="0" w:space="0" w:color="auto"/>
      </w:divBdr>
    </w:div>
    <w:div w:id="428237207">
      <w:bodyDiv w:val="1"/>
      <w:marLeft w:val="0"/>
      <w:marRight w:val="0"/>
      <w:marTop w:val="0"/>
      <w:marBottom w:val="0"/>
      <w:divBdr>
        <w:top w:val="none" w:sz="0" w:space="0" w:color="auto"/>
        <w:left w:val="none" w:sz="0" w:space="0" w:color="auto"/>
        <w:bottom w:val="none" w:sz="0" w:space="0" w:color="auto"/>
        <w:right w:val="none" w:sz="0" w:space="0" w:color="auto"/>
      </w:divBdr>
    </w:div>
    <w:div w:id="430396595">
      <w:bodyDiv w:val="1"/>
      <w:marLeft w:val="0"/>
      <w:marRight w:val="0"/>
      <w:marTop w:val="0"/>
      <w:marBottom w:val="0"/>
      <w:divBdr>
        <w:top w:val="none" w:sz="0" w:space="0" w:color="auto"/>
        <w:left w:val="none" w:sz="0" w:space="0" w:color="auto"/>
        <w:bottom w:val="none" w:sz="0" w:space="0" w:color="auto"/>
        <w:right w:val="none" w:sz="0" w:space="0" w:color="auto"/>
      </w:divBdr>
    </w:div>
    <w:div w:id="469251181">
      <w:bodyDiv w:val="1"/>
      <w:marLeft w:val="0"/>
      <w:marRight w:val="0"/>
      <w:marTop w:val="0"/>
      <w:marBottom w:val="0"/>
      <w:divBdr>
        <w:top w:val="none" w:sz="0" w:space="0" w:color="auto"/>
        <w:left w:val="none" w:sz="0" w:space="0" w:color="auto"/>
        <w:bottom w:val="none" w:sz="0" w:space="0" w:color="auto"/>
        <w:right w:val="none" w:sz="0" w:space="0" w:color="auto"/>
      </w:divBdr>
    </w:div>
    <w:div w:id="473957568">
      <w:bodyDiv w:val="1"/>
      <w:marLeft w:val="0"/>
      <w:marRight w:val="0"/>
      <w:marTop w:val="0"/>
      <w:marBottom w:val="0"/>
      <w:divBdr>
        <w:top w:val="none" w:sz="0" w:space="0" w:color="auto"/>
        <w:left w:val="none" w:sz="0" w:space="0" w:color="auto"/>
        <w:bottom w:val="none" w:sz="0" w:space="0" w:color="auto"/>
        <w:right w:val="none" w:sz="0" w:space="0" w:color="auto"/>
      </w:divBdr>
    </w:div>
    <w:div w:id="483011721">
      <w:bodyDiv w:val="1"/>
      <w:marLeft w:val="0"/>
      <w:marRight w:val="0"/>
      <w:marTop w:val="0"/>
      <w:marBottom w:val="0"/>
      <w:divBdr>
        <w:top w:val="none" w:sz="0" w:space="0" w:color="auto"/>
        <w:left w:val="none" w:sz="0" w:space="0" w:color="auto"/>
        <w:bottom w:val="none" w:sz="0" w:space="0" w:color="auto"/>
        <w:right w:val="none" w:sz="0" w:space="0" w:color="auto"/>
      </w:divBdr>
    </w:div>
    <w:div w:id="487745866">
      <w:bodyDiv w:val="1"/>
      <w:marLeft w:val="0"/>
      <w:marRight w:val="0"/>
      <w:marTop w:val="0"/>
      <w:marBottom w:val="0"/>
      <w:divBdr>
        <w:top w:val="none" w:sz="0" w:space="0" w:color="auto"/>
        <w:left w:val="none" w:sz="0" w:space="0" w:color="auto"/>
        <w:bottom w:val="none" w:sz="0" w:space="0" w:color="auto"/>
        <w:right w:val="none" w:sz="0" w:space="0" w:color="auto"/>
      </w:divBdr>
    </w:div>
    <w:div w:id="488712784">
      <w:bodyDiv w:val="1"/>
      <w:marLeft w:val="0"/>
      <w:marRight w:val="0"/>
      <w:marTop w:val="0"/>
      <w:marBottom w:val="0"/>
      <w:divBdr>
        <w:top w:val="none" w:sz="0" w:space="0" w:color="auto"/>
        <w:left w:val="none" w:sz="0" w:space="0" w:color="auto"/>
        <w:bottom w:val="none" w:sz="0" w:space="0" w:color="auto"/>
        <w:right w:val="none" w:sz="0" w:space="0" w:color="auto"/>
      </w:divBdr>
    </w:div>
    <w:div w:id="519320364">
      <w:bodyDiv w:val="1"/>
      <w:marLeft w:val="0"/>
      <w:marRight w:val="0"/>
      <w:marTop w:val="0"/>
      <w:marBottom w:val="0"/>
      <w:divBdr>
        <w:top w:val="none" w:sz="0" w:space="0" w:color="auto"/>
        <w:left w:val="none" w:sz="0" w:space="0" w:color="auto"/>
        <w:bottom w:val="none" w:sz="0" w:space="0" w:color="auto"/>
        <w:right w:val="none" w:sz="0" w:space="0" w:color="auto"/>
      </w:divBdr>
    </w:div>
    <w:div w:id="522550652">
      <w:bodyDiv w:val="1"/>
      <w:marLeft w:val="0"/>
      <w:marRight w:val="0"/>
      <w:marTop w:val="0"/>
      <w:marBottom w:val="0"/>
      <w:divBdr>
        <w:top w:val="none" w:sz="0" w:space="0" w:color="auto"/>
        <w:left w:val="none" w:sz="0" w:space="0" w:color="auto"/>
        <w:bottom w:val="none" w:sz="0" w:space="0" w:color="auto"/>
        <w:right w:val="none" w:sz="0" w:space="0" w:color="auto"/>
      </w:divBdr>
    </w:div>
    <w:div w:id="529609847">
      <w:bodyDiv w:val="1"/>
      <w:marLeft w:val="0"/>
      <w:marRight w:val="0"/>
      <w:marTop w:val="0"/>
      <w:marBottom w:val="0"/>
      <w:divBdr>
        <w:top w:val="none" w:sz="0" w:space="0" w:color="auto"/>
        <w:left w:val="none" w:sz="0" w:space="0" w:color="auto"/>
        <w:bottom w:val="none" w:sz="0" w:space="0" w:color="auto"/>
        <w:right w:val="none" w:sz="0" w:space="0" w:color="auto"/>
      </w:divBdr>
    </w:div>
    <w:div w:id="543256020">
      <w:bodyDiv w:val="1"/>
      <w:marLeft w:val="0"/>
      <w:marRight w:val="0"/>
      <w:marTop w:val="0"/>
      <w:marBottom w:val="0"/>
      <w:divBdr>
        <w:top w:val="none" w:sz="0" w:space="0" w:color="auto"/>
        <w:left w:val="none" w:sz="0" w:space="0" w:color="auto"/>
        <w:bottom w:val="none" w:sz="0" w:space="0" w:color="auto"/>
        <w:right w:val="none" w:sz="0" w:space="0" w:color="auto"/>
      </w:divBdr>
    </w:div>
    <w:div w:id="552353872">
      <w:bodyDiv w:val="1"/>
      <w:marLeft w:val="0"/>
      <w:marRight w:val="0"/>
      <w:marTop w:val="0"/>
      <w:marBottom w:val="0"/>
      <w:divBdr>
        <w:top w:val="none" w:sz="0" w:space="0" w:color="auto"/>
        <w:left w:val="none" w:sz="0" w:space="0" w:color="auto"/>
        <w:bottom w:val="none" w:sz="0" w:space="0" w:color="auto"/>
        <w:right w:val="none" w:sz="0" w:space="0" w:color="auto"/>
      </w:divBdr>
    </w:div>
    <w:div w:id="556475043">
      <w:bodyDiv w:val="1"/>
      <w:marLeft w:val="0"/>
      <w:marRight w:val="0"/>
      <w:marTop w:val="0"/>
      <w:marBottom w:val="0"/>
      <w:divBdr>
        <w:top w:val="none" w:sz="0" w:space="0" w:color="auto"/>
        <w:left w:val="none" w:sz="0" w:space="0" w:color="auto"/>
        <w:bottom w:val="none" w:sz="0" w:space="0" w:color="auto"/>
        <w:right w:val="none" w:sz="0" w:space="0" w:color="auto"/>
      </w:divBdr>
    </w:div>
    <w:div w:id="570501481">
      <w:bodyDiv w:val="1"/>
      <w:marLeft w:val="0"/>
      <w:marRight w:val="0"/>
      <w:marTop w:val="0"/>
      <w:marBottom w:val="0"/>
      <w:divBdr>
        <w:top w:val="none" w:sz="0" w:space="0" w:color="auto"/>
        <w:left w:val="none" w:sz="0" w:space="0" w:color="auto"/>
        <w:bottom w:val="none" w:sz="0" w:space="0" w:color="auto"/>
        <w:right w:val="none" w:sz="0" w:space="0" w:color="auto"/>
      </w:divBdr>
    </w:div>
    <w:div w:id="572158127">
      <w:bodyDiv w:val="1"/>
      <w:marLeft w:val="0"/>
      <w:marRight w:val="0"/>
      <w:marTop w:val="0"/>
      <w:marBottom w:val="0"/>
      <w:divBdr>
        <w:top w:val="none" w:sz="0" w:space="0" w:color="auto"/>
        <w:left w:val="none" w:sz="0" w:space="0" w:color="auto"/>
        <w:bottom w:val="none" w:sz="0" w:space="0" w:color="auto"/>
        <w:right w:val="none" w:sz="0" w:space="0" w:color="auto"/>
      </w:divBdr>
    </w:div>
    <w:div w:id="602344213">
      <w:bodyDiv w:val="1"/>
      <w:marLeft w:val="0"/>
      <w:marRight w:val="0"/>
      <w:marTop w:val="0"/>
      <w:marBottom w:val="0"/>
      <w:divBdr>
        <w:top w:val="none" w:sz="0" w:space="0" w:color="auto"/>
        <w:left w:val="none" w:sz="0" w:space="0" w:color="auto"/>
        <w:bottom w:val="none" w:sz="0" w:space="0" w:color="auto"/>
        <w:right w:val="none" w:sz="0" w:space="0" w:color="auto"/>
      </w:divBdr>
    </w:div>
    <w:div w:id="607734332">
      <w:bodyDiv w:val="1"/>
      <w:marLeft w:val="0"/>
      <w:marRight w:val="0"/>
      <w:marTop w:val="0"/>
      <w:marBottom w:val="0"/>
      <w:divBdr>
        <w:top w:val="none" w:sz="0" w:space="0" w:color="auto"/>
        <w:left w:val="none" w:sz="0" w:space="0" w:color="auto"/>
        <w:bottom w:val="none" w:sz="0" w:space="0" w:color="auto"/>
        <w:right w:val="none" w:sz="0" w:space="0" w:color="auto"/>
      </w:divBdr>
    </w:div>
    <w:div w:id="615022116">
      <w:bodyDiv w:val="1"/>
      <w:marLeft w:val="0"/>
      <w:marRight w:val="0"/>
      <w:marTop w:val="0"/>
      <w:marBottom w:val="0"/>
      <w:divBdr>
        <w:top w:val="none" w:sz="0" w:space="0" w:color="auto"/>
        <w:left w:val="none" w:sz="0" w:space="0" w:color="auto"/>
        <w:bottom w:val="none" w:sz="0" w:space="0" w:color="auto"/>
        <w:right w:val="none" w:sz="0" w:space="0" w:color="auto"/>
      </w:divBdr>
    </w:div>
    <w:div w:id="684357175">
      <w:bodyDiv w:val="1"/>
      <w:marLeft w:val="0"/>
      <w:marRight w:val="0"/>
      <w:marTop w:val="0"/>
      <w:marBottom w:val="0"/>
      <w:divBdr>
        <w:top w:val="none" w:sz="0" w:space="0" w:color="auto"/>
        <w:left w:val="none" w:sz="0" w:space="0" w:color="auto"/>
        <w:bottom w:val="none" w:sz="0" w:space="0" w:color="auto"/>
        <w:right w:val="none" w:sz="0" w:space="0" w:color="auto"/>
      </w:divBdr>
    </w:div>
    <w:div w:id="733090032">
      <w:bodyDiv w:val="1"/>
      <w:marLeft w:val="0"/>
      <w:marRight w:val="0"/>
      <w:marTop w:val="0"/>
      <w:marBottom w:val="0"/>
      <w:divBdr>
        <w:top w:val="none" w:sz="0" w:space="0" w:color="auto"/>
        <w:left w:val="none" w:sz="0" w:space="0" w:color="auto"/>
        <w:bottom w:val="none" w:sz="0" w:space="0" w:color="auto"/>
        <w:right w:val="none" w:sz="0" w:space="0" w:color="auto"/>
      </w:divBdr>
    </w:div>
    <w:div w:id="733504239">
      <w:bodyDiv w:val="1"/>
      <w:marLeft w:val="0"/>
      <w:marRight w:val="0"/>
      <w:marTop w:val="0"/>
      <w:marBottom w:val="0"/>
      <w:divBdr>
        <w:top w:val="none" w:sz="0" w:space="0" w:color="auto"/>
        <w:left w:val="none" w:sz="0" w:space="0" w:color="auto"/>
        <w:bottom w:val="none" w:sz="0" w:space="0" w:color="auto"/>
        <w:right w:val="none" w:sz="0" w:space="0" w:color="auto"/>
      </w:divBdr>
    </w:div>
    <w:div w:id="746151002">
      <w:bodyDiv w:val="1"/>
      <w:marLeft w:val="0"/>
      <w:marRight w:val="0"/>
      <w:marTop w:val="0"/>
      <w:marBottom w:val="0"/>
      <w:divBdr>
        <w:top w:val="none" w:sz="0" w:space="0" w:color="auto"/>
        <w:left w:val="none" w:sz="0" w:space="0" w:color="auto"/>
        <w:bottom w:val="none" w:sz="0" w:space="0" w:color="auto"/>
        <w:right w:val="none" w:sz="0" w:space="0" w:color="auto"/>
      </w:divBdr>
    </w:div>
    <w:div w:id="766582620">
      <w:bodyDiv w:val="1"/>
      <w:marLeft w:val="0"/>
      <w:marRight w:val="0"/>
      <w:marTop w:val="0"/>
      <w:marBottom w:val="0"/>
      <w:divBdr>
        <w:top w:val="none" w:sz="0" w:space="0" w:color="auto"/>
        <w:left w:val="none" w:sz="0" w:space="0" w:color="auto"/>
        <w:bottom w:val="none" w:sz="0" w:space="0" w:color="auto"/>
        <w:right w:val="none" w:sz="0" w:space="0" w:color="auto"/>
      </w:divBdr>
    </w:div>
    <w:div w:id="776217034">
      <w:bodyDiv w:val="1"/>
      <w:marLeft w:val="0"/>
      <w:marRight w:val="0"/>
      <w:marTop w:val="0"/>
      <w:marBottom w:val="0"/>
      <w:divBdr>
        <w:top w:val="none" w:sz="0" w:space="0" w:color="auto"/>
        <w:left w:val="none" w:sz="0" w:space="0" w:color="auto"/>
        <w:bottom w:val="none" w:sz="0" w:space="0" w:color="auto"/>
        <w:right w:val="none" w:sz="0" w:space="0" w:color="auto"/>
      </w:divBdr>
    </w:div>
    <w:div w:id="778067105">
      <w:bodyDiv w:val="1"/>
      <w:marLeft w:val="0"/>
      <w:marRight w:val="0"/>
      <w:marTop w:val="0"/>
      <w:marBottom w:val="0"/>
      <w:divBdr>
        <w:top w:val="none" w:sz="0" w:space="0" w:color="auto"/>
        <w:left w:val="none" w:sz="0" w:space="0" w:color="auto"/>
        <w:bottom w:val="none" w:sz="0" w:space="0" w:color="auto"/>
        <w:right w:val="none" w:sz="0" w:space="0" w:color="auto"/>
      </w:divBdr>
    </w:div>
    <w:div w:id="799765827">
      <w:bodyDiv w:val="1"/>
      <w:marLeft w:val="0"/>
      <w:marRight w:val="0"/>
      <w:marTop w:val="0"/>
      <w:marBottom w:val="0"/>
      <w:divBdr>
        <w:top w:val="none" w:sz="0" w:space="0" w:color="auto"/>
        <w:left w:val="none" w:sz="0" w:space="0" w:color="auto"/>
        <w:bottom w:val="none" w:sz="0" w:space="0" w:color="auto"/>
        <w:right w:val="none" w:sz="0" w:space="0" w:color="auto"/>
      </w:divBdr>
    </w:div>
    <w:div w:id="807747376">
      <w:bodyDiv w:val="1"/>
      <w:marLeft w:val="0"/>
      <w:marRight w:val="0"/>
      <w:marTop w:val="0"/>
      <w:marBottom w:val="0"/>
      <w:divBdr>
        <w:top w:val="none" w:sz="0" w:space="0" w:color="auto"/>
        <w:left w:val="none" w:sz="0" w:space="0" w:color="auto"/>
        <w:bottom w:val="none" w:sz="0" w:space="0" w:color="auto"/>
        <w:right w:val="none" w:sz="0" w:space="0" w:color="auto"/>
      </w:divBdr>
    </w:div>
    <w:div w:id="813106133">
      <w:bodyDiv w:val="1"/>
      <w:marLeft w:val="0"/>
      <w:marRight w:val="0"/>
      <w:marTop w:val="0"/>
      <w:marBottom w:val="0"/>
      <w:divBdr>
        <w:top w:val="none" w:sz="0" w:space="0" w:color="auto"/>
        <w:left w:val="none" w:sz="0" w:space="0" w:color="auto"/>
        <w:bottom w:val="none" w:sz="0" w:space="0" w:color="auto"/>
        <w:right w:val="none" w:sz="0" w:space="0" w:color="auto"/>
      </w:divBdr>
    </w:div>
    <w:div w:id="830097734">
      <w:bodyDiv w:val="1"/>
      <w:marLeft w:val="0"/>
      <w:marRight w:val="0"/>
      <w:marTop w:val="0"/>
      <w:marBottom w:val="0"/>
      <w:divBdr>
        <w:top w:val="none" w:sz="0" w:space="0" w:color="auto"/>
        <w:left w:val="none" w:sz="0" w:space="0" w:color="auto"/>
        <w:bottom w:val="none" w:sz="0" w:space="0" w:color="auto"/>
        <w:right w:val="none" w:sz="0" w:space="0" w:color="auto"/>
      </w:divBdr>
    </w:div>
    <w:div w:id="842085862">
      <w:bodyDiv w:val="1"/>
      <w:marLeft w:val="0"/>
      <w:marRight w:val="0"/>
      <w:marTop w:val="0"/>
      <w:marBottom w:val="0"/>
      <w:divBdr>
        <w:top w:val="none" w:sz="0" w:space="0" w:color="auto"/>
        <w:left w:val="none" w:sz="0" w:space="0" w:color="auto"/>
        <w:bottom w:val="none" w:sz="0" w:space="0" w:color="auto"/>
        <w:right w:val="none" w:sz="0" w:space="0" w:color="auto"/>
      </w:divBdr>
    </w:div>
    <w:div w:id="856502691">
      <w:bodyDiv w:val="1"/>
      <w:marLeft w:val="0"/>
      <w:marRight w:val="0"/>
      <w:marTop w:val="0"/>
      <w:marBottom w:val="0"/>
      <w:divBdr>
        <w:top w:val="none" w:sz="0" w:space="0" w:color="auto"/>
        <w:left w:val="none" w:sz="0" w:space="0" w:color="auto"/>
        <w:bottom w:val="none" w:sz="0" w:space="0" w:color="auto"/>
        <w:right w:val="none" w:sz="0" w:space="0" w:color="auto"/>
      </w:divBdr>
    </w:div>
    <w:div w:id="857426758">
      <w:bodyDiv w:val="1"/>
      <w:marLeft w:val="0"/>
      <w:marRight w:val="0"/>
      <w:marTop w:val="0"/>
      <w:marBottom w:val="0"/>
      <w:divBdr>
        <w:top w:val="none" w:sz="0" w:space="0" w:color="auto"/>
        <w:left w:val="none" w:sz="0" w:space="0" w:color="auto"/>
        <w:bottom w:val="none" w:sz="0" w:space="0" w:color="auto"/>
        <w:right w:val="none" w:sz="0" w:space="0" w:color="auto"/>
      </w:divBdr>
    </w:div>
    <w:div w:id="903024283">
      <w:bodyDiv w:val="1"/>
      <w:marLeft w:val="0"/>
      <w:marRight w:val="0"/>
      <w:marTop w:val="0"/>
      <w:marBottom w:val="0"/>
      <w:divBdr>
        <w:top w:val="none" w:sz="0" w:space="0" w:color="auto"/>
        <w:left w:val="none" w:sz="0" w:space="0" w:color="auto"/>
        <w:bottom w:val="none" w:sz="0" w:space="0" w:color="auto"/>
        <w:right w:val="none" w:sz="0" w:space="0" w:color="auto"/>
      </w:divBdr>
    </w:div>
    <w:div w:id="909003686">
      <w:bodyDiv w:val="1"/>
      <w:marLeft w:val="0"/>
      <w:marRight w:val="0"/>
      <w:marTop w:val="0"/>
      <w:marBottom w:val="0"/>
      <w:divBdr>
        <w:top w:val="none" w:sz="0" w:space="0" w:color="auto"/>
        <w:left w:val="none" w:sz="0" w:space="0" w:color="auto"/>
        <w:bottom w:val="none" w:sz="0" w:space="0" w:color="auto"/>
        <w:right w:val="none" w:sz="0" w:space="0" w:color="auto"/>
      </w:divBdr>
    </w:div>
    <w:div w:id="917790812">
      <w:bodyDiv w:val="1"/>
      <w:marLeft w:val="0"/>
      <w:marRight w:val="0"/>
      <w:marTop w:val="0"/>
      <w:marBottom w:val="0"/>
      <w:divBdr>
        <w:top w:val="none" w:sz="0" w:space="0" w:color="auto"/>
        <w:left w:val="none" w:sz="0" w:space="0" w:color="auto"/>
        <w:bottom w:val="none" w:sz="0" w:space="0" w:color="auto"/>
        <w:right w:val="none" w:sz="0" w:space="0" w:color="auto"/>
      </w:divBdr>
    </w:div>
    <w:div w:id="925457408">
      <w:bodyDiv w:val="1"/>
      <w:marLeft w:val="0"/>
      <w:marRight w:val="0"/>
      <w:marTop w:val="0"/>
      <w:marBottom w:val="0"/>
      <w:divBdr>
        <w:top w:val="none" w:sz="0" w:space="0" w:color="auto"/>
        <w:left w:val="none" w:sz="0" w:space="0" w:color="auto"/>
        <w:bottom w:val="none" w:sz="0" w:space="0" w:color="auto"/>
        <w:right w:val="none" w:sz="0" w:space="0" w:color="auto"/>
      </w:divBdr>
    </w:div>
    <w:div w:id="929972672">
      <w:bodyDiv w:val="1"/>
      <w:marLeft w:val="0"/>
      <w:marRight w:val="0"/>
      <w:marTop w:val="0"/>
      <w:marBottom w:val="0"/>
      <w:divBdr>
        <w:top w:val="none" w:sz="0" w:space="0" w:color="auto"/>
        <w:left w:val="none" w:sz="0" w:space="0" w:color="auto"/>
        <w:bottom w:val="none" w:sz="0" w:space="0" w:color="auto"/>
        <w:right w:val="none" w:sz="0" w:space="0" w:color="auto"/>
      </w:divBdr>
    </w:div>
    <w:div w:id="993487355">
      <w:bodyDiv w:val="1"/>
      <w:marLeft w:val="0"/>
      <w:marRight w:val="0"/>
      <w:marTop w:val="0"/>
      <w:marBottom w:val="0"/>
      <w:divBdr>
        <w:top w:val="none" w:sz="0" w:space="0" w:color="auto"/>
        <w:left w:val="none" w:sz="0" w:space="0" w:color="auto"/>
        <w:bottom w:val="none" w:sz="0" w:space="0" w:color="auto"/>
        <w:right w:val="none" w:sz="0" w:space="0" w:color="auto"/>
      </w:divBdr>
    </w:div>
    <w:div w:id="998965696">
      <w:bodyDiv w:val="1"/>
      <w:marLeft w:val="0"/>
      <w:marRight w:val="0"/>
      <w:marTop w:val="0"/>
      <w:marBottom w:val="0"/>
      <w:divBdr>
        <w:top w:val="none" w:sz="0" w:space="0" w:color="auto"/>
        <w:left w:val="none" w:sz="0" w:space="0" w:color="auto"/>
        <w:bottom w:val="none" w:sz="0" w:space="0" w:color="auto"/>
        <w:right w:val="none" w:sz="0" w:space="0" w:color="auto"/>
      </w:divBdr>
    </w:div>
    <w:div w:id="1012610513">
      <w:bodyDiv w:val="1"/>
      <w:marLeft w:val="0"/>
      <w:marRight w:val="0"/>
      <w:marTop w:val="0"/>
      <w:marBottom w:val="0"/>
      <w:divBdr>
        <w:top w:val="none" w:sz="0" w:space="0" w:color="auto"/>
        <w:left w:val="none" w:sz="0" w:space="0" w:color="auto"/>
        <w:bottom w:val="none" w:sz="0" w:space="0" w:color="auto"/>
        <w:right w:val="none" w:sz="0" w:space="0" w:color="auto"/>
      </w:divBdr>
    </w:div>
    <w:div w:id="1023824599">
      <w:bodyDiv w:val="1"/>
      <w:marLeft w:val="0"/>
      <w:marRight w:val="0"/>
      <w:marTop w:val="0"/>
      <w:marBottom w:val="0"/>
      <w:divBdr>
        <w:top w:val="none" w:sz="0" w:space="0" w:color="auto"/>
        <w:left w:val="none" w:sz="0" w:space="0" w:color="auto"/>
        <w:bottom w:val="none" w:sz="0" w:space="0" w:color="auto"/>
        <w:right w:val="none" w:sz="0" w:space="0" w:color="auto"/>
      </w:divBdr>
    </w:div>
    <w:div w:id="1034311500">
      <w:bodyDiv w:val="1"/>
      <w:marLeft w:val="0"/>
      <w:marRight w:val="0"/>
      <w:marTop w:val="0"/>
      <w:marBottom w:val="0"/>
      <w:divBdr>
        <w:top w:val="none" w:sz="0" w:space="0" w:color="auto"/>
        <w:left w:val="none" w:sz="0" w:space="0" w:color="auto"/>
        <w:bottom w:val="none" w:sz="0" w:space="0" w:color="auto"/>
        <w:right w:val="none" w:sz="0" w:space="0" w:color="auto"/>
      </w:divBdr>
    </w:div>
    <w:div w:id="1035539662">
      <w:bodyDiv w:val="1"/>
      <w:marLeft w:val="0"/>
      <w:marRight w:val="0"/>
      <w:marTop w:val="0"/>
      <w:marBottom w:val="0"/>
      <w:divBdr>
        <w:top w:val="none" w:sz="0" w:space="0" w:color="auto"/>
        <w:left w:val="none" w:sz="0" w:space="0" w:color="auto"/>
        <w:bottom w:val="none" w:sz="0" w:space="0" w:color="auto"/>
        <w:right w:val="none" w:sz="0" w:space="0" w:color="auto"/>
      </w:divBdr>
    </w:div>
    <w:div w:id="1060857977">
      <w:bodyDiv w:val="1"/>
      <w:marLeft w:val="0"/>
      <w:marRight w:val="0"/>
      <w:marTop w:val="0"/>
      <w:marBottom w:val="0"/>
      <w:divBdr>
        <w:top w:val="none" w:sz="0" w:space="0" w:color="auto"/>
        <w:left w:val="none" w:sz="0" w:space="0" w:color="auto"/>
        <w:bottom w:val="none" w:sz="0" w:space="0" w:color="auto"/>
        <w:right w:val="none" w:sz="0" w:space="0" w:color="auto"/>
      </w:divBdr>
    </w:div>
    <w:div w:id="1061713255">
      <w:bodyDiv w:val="1"/>
      <w:marLeft w:val="0"/>
      <w:marRight w:val="0"/>
      <w:marTop w:val="0"/>
      <w:marBottom w:val="0"/>
      <w:divBdr>
        <w:top w:val="none" w:sz="0" w:space="0" w:color="auto"/>
        <w:left w:val="none" w:sz="0" w:space="0" w:color="auto"/>
        <w:bottom w:val="none" w:sz="0" w:space="0" w:color="auto"/>
        <w:right w:val="none" w:sz="0" w:space="0" w:color="auto"/>
      </w:divBdr>
    </w:div>
    <w:div w:id="1079987336">
      <w:bodyDiv w:val="1"/>
      <w:marLeft w:val="0"/>
      <w:marRight w:val="0"/>
      <w:marTop w:val="0"/>
      <w:marBottom w:val="0"/>
      <w:divBdr>
        <w:top w:val="none" w:sz="0" w:space="0" w:color="auto"/>
        <w:left w:val="none" w:sz="0" w:space="0" w:color="auto"/>
        <w:bottom w:val="none" w:sz="0" w:space="0" w:color="auto"/>
        <w:right w:val="none" w:sz="0" w:space="0" w:color="auto"/>
      </w:divBdr>
    </w:div>
    <w:div w:id="1083454627">
      <w:bodyDiv w:val="1"/>
      <w:marLeft w:val="0"/>
      <w:marRight w:val="0"/>
      <w:marTop w:val="0"/>
      <w:marBottom w:val="0"/>
      <w:divBdr>
        <w:top w:val="none" w:sz="0" w:space="0" w:color="auto"/>
        <w:left w:val="none" w:sz="0" w:space="0" w:color="auto"/>
        <w:bottom w:val="none" w:sz="0" w:space="0" w:color="auto"/>
        <w:right w:val="none" w:sz="0" w:space="0" w:color="auto"/>
      </w:divBdr>
    </w:div>
    <w:div w:id="1125974936">
      <w:bodyDiv w:val="1"/>
      <w:marLeft w:val="0"/>
      <w:marRight w:val="0"/>
      <w:marTop w:val="0"/>
      <w:marBottom w:val="0"/>
      <w:divBdr>
        <w:top w:val="none" w:sz="0" w:space="0" w:color="auto"/>
        <w:left w:val="none" w:sz="0" w:space="0" w:color="auto"/>
        <w:bottom w:val="none" w:sz="0" w:space="0" w:color="auto"/>
        <w:right w:val="none" w:sz="0" w:space="0" w:color="auto"/>
      </w:divBdr>
    </w:div>
    <w:div w:id="1131480165">
      <w:bodyDiv w:val="1"/>
      <w:marLeft w:val="0"/>
      <w:marRight w:val="0"/>
      <w:marTop w:val="0"/>
      <w:marBottom w:val="0"/>
      <w:divBdr>
        <w:top w:val="none" w:sz="0" w:space="0" w:color="auto"/>
        <w:left w:val="none" w:sz="0" w:space="0" w:color="auto"/>
        <w:bottom w:val="none" w:sz="0" w:space="0" w:color="auto"/>
        <w:right w:val="none" w:sz="0" w:space="0" w:color="auto"/>
      </w:divBdr>
    </w:div>
    <w:div w:id="1228759368">
      <w:bodyDiv w:val="1"/>
      <w:marLeft w:val="0"/>
      <w:marRight w:val="0"/>
      <w:marTop w:val="0"/>
      <w:marBottom w:val="0"/>
      <w:divBdr>
        <w:top w:val="none" w:sz="0" w:space="0" w:color="auto"/>
        <w:left w:val="none" w:sz="0" w:space="0" w:color="auto"/>
        <w:bottom w:val="none" w:sz="0" w:space="0" w:color="auto"/>
        <w:right w:val="none" w:sz="0" w:space="0" w:color="auto"/>
      </w:divBdr>
    </w:div>
    <w:div w:id="1281765641">
      <w:bodyDiv w:val="1"/>
      <w:marLeft w:val="0"/>
      <w:marRight w:val="0"/>
      <w:marTop w:val="0"/>
      <w:marBottom w:val="0"/>
      <w:divBdr>
        <w:top w:val="none" w:sz="0" w:space="0" w:color="auto"/>
        <w:left w:val="none" w:sz="0" w:space="0" w:color="auto"/>
        <w:bottom w:val="none" w:sz="0" w:space="0" w:color="auto"/>
        <w:right w:val="none" w:sz="0" w:space="0" w:color="auto"/>
      </w:divBdr>
    </w:div>
    <w:div w:id="1282952848">
      <w:bodyDiv w:val="1"/>
      <w:marLeft w:val="0"/>
      <w:marRight w:val="0"/>
      <w:marTop w:val="0"/>
      <w:marBottom w:val="0"/>
      <w:divBdr>
        <w:top w:val="none" w:sz="0" w:space="0" w:color="auto"/>
        <w:left w:val="none" w:sz="0" w:space="0" w:color="auto"/>
        <w:bottom w:val="none" w:sz="0" w:space="0" w:color="auto"/>
        <w:right w:val="none" w:sz="0" w:space="0" w:color="auto"/>
      </w:divBdr>
    </w:div>
    <w:div w:id="1293975108">
      <w:bodyDiv w:val="1"/>
      <w:marLeft w:val="0"/>
      <w:marRight w:val="0"/>
      <w:marTop w:val="0"/>
      <w:marBottom w:val="0"/>
      <w:divBdr>
        <w:top w:val="none" w:sz="0" w:space="0" w:color="auto"/>
        <w:left w:val="none" w:sz="0" w:space="0" w:color="auto"/>
        <w:bottom w:val="none" w:sz="0" w:space="0" w:color="auto"/>
        <w:right w:val="none" w:sz="0" w:space="0" w:color="auto"/>
      </w:divBdr>
    </w:div>
    <w:div w:id="1360230871">
      <w:bodyDiv w:val="1"/>
      <w:marLeft w:val="0"/>
      <w:marRight w:val="0"/>
      <w:marTop w:val="0"/>
      <w:marBottom w:val="0"/>
      <w:divBdr>
        <w:top w:val="none" w:sz="0" w:space="0" w:color="auto"/>
        <w:left w:val="none" w:sz="0" w:space="0" w:color="auto"/>
        <w:bottom w:val="none" w:sz="0" w:space="0" w:color="auto"/>
        <w:right w:val="none" w:sz="0" w:space="0" w:color="auto"/>
      </w:divBdr>
    </w:div>
    <w:div w:id="1387294996">
      <w:bodyDiv w:val="1"/>
      <w:marLeft w:val="0"/>
      <w:marRight w:val="0"/>
      <w:marTop w:val="0"/>
      <w:marBottom w:val="0"/>
      <w:divBdr>
        <w:top w:val="none" w:sz="0" w:space="0" w:color="auto"/>
        <w:left w:val="none" w:sz="0" w:space="0" w:color="auto"/>
        <w:bottom w:val="none" w:sz="0" w:space="0" w:color="auto"/>
        <w:right w:val="none" w:sz="0" w:space="0" w:color="auto"/>
      </w:divBdr>
    </w:div>
    <w:div w:id="1397777152">
      <w:bodyDiv w:val="1"/>
      <w:marLeft w:val="0"/>
      <w:marRight w:val="0"/>
      <w:marTop w:val="0"/>
      <w:marBottom w:val="0"/>
      <w:divBdr>
        <w:top w:val="none" w:sz="0" w:space="0" w:color="auto"/>
        <w:left w:val="none" w:sz="0" w:space="0" w:color="auto"/>
        <w:bottom w:val="none" w:sz="0" w:space="0" w:color="auto"/>
        <w:right w:val="none" w:sz="0" w:space="0" w:color="auto"/>
      </w:divBdr>
    </w:div>
    <w:div w:id="1406027785">
      <w:bodyDiv w:val="1"/>
      <w:marLeft w:val="0"/>
      <w:marRight w:val="0"/>
      <w:marTop w:val="0"/>
      <w:marBottom w:val="0"/>
      <w:divBdr>
        <w:top w:val="none" w:sz="0" w:space="0" w:color="auto"/>
        <w:left w:val="none" w:sz="0" w:space="0" w:color="auto"/>
        <w:bottom w:val="none" w:sz="0" w:space="0" w:color="auto"/>
        <w:right w:val="none" w:sz="0" w:space="0" w:color="auto"/>
      </w:divBdr>
    </w:div>
    <w:div w:id="1408725438">
      <w:bodyDiv w:val="1"/>
      <w:marLeft w:val="0"/>
      <w:marRight w:val="0"/>
      <w:marTop w:val="0"/>
      <w:marBottom w:val="0"/>
      <w:divBdr>
        <w:top w:val="none" w:sz="0" w:space="0" w:color="auto"/>
        <w:left w:val="none" w:sz="0" w:space="0" w:color="auto"/>
        <w:bottom w:val="none" w:sz="0" w:space="0" w:color="auto"/>
        <w:right w:val="none" w:sz="0" w:space="0" w:color="auto"/>
      </w:divBdr>
    </w:div>
    <w:div w:id="1430856291">
      <w:bodyDiv w:val="1"/>
      <w:marLeft w:val="0"/>
      <w:marRight w:val="0"/>
      <w:marTop w:val="0"/>
      <w:marBottom w:val="0"/>
      <w:divBdr>
        <w:top w:val="none" w:sz="0" w:space="0" w:color="auto"/>
        <w:left w:val="none" w:sz="0" w:space="0" w:color="auto"/>
        <w:bottom w:val="none" w:sz="0" w:space="0" w:color="auto"/>
        <w:right w:val="none" w:sz="0" w:space="0" w:color="auto"/>
      </w:divBdr>
    </w:div>
    <w:div w:id="1489587427">
      <w:bodyDiv w:val="1"/>
      <w:marLeft w:val="0"/>
      <w:marRight w:val="0"/>
      <w:marTop w:val="0"/>
      <w:marBottom w:val="0"/>
      <w:divBdr>
        <w:top w:val="none" w:sz="0" w:space="0" w:color="auto"/>
        <w:left w:val="none" w:sz="0" w:space="0" w:color="auto"/>
        <w:bottom w:val="none" w:sz="0" w:space="0" w:color="auto"/>
        <w:right w:val="none" w:sz="0" w:space="0" w:color="auto"/>
      </w:divBdr>
    </w:div>
    <w:div w:id="1493524415">
      <w:bodyDiv w:val="1"/>
      <w:marLeft w:val="0"/>
      <w:marRight w:val="0"/>
      <w:marTop w:val="0"/>
      <w:marBottom w:val="0"/>
      <w:divBdr>
        <w:top w:val="none" w:sz="0" w:space="0" w:color="auto"/>
        <w:left w:val="none" w:sz="0" w:space="0" w:color="auto"/>
        <w:bottom w:val="none" w:sz="0" w:space="0" w:color="auto"/>
        <w:right w:val="none" w:sz="0" w:space="0" w:color="auto"/>
      </w:divBdr>
    </w:div>
    <w:div w:id="1518881531">
      <w:bodyDiv w:val="1"/>
      <w:marLeft w:val="0"/>
      <w:marRight w:val="0"/>
      <w:marTop w:val="0"/>
      <w:marBottom w:val="0"/>
      <w:divBdr>
        <w:top w:val="none" w:sz="0" w:space="0" w:color="auto"/>
        <w:left w:val="none" w:sz="0" w:space="0" w:color="auto"/>
        <w:bottom w:val="none" w:sz="0" w:space="0" w:color="auto"/>
        <w:right w:val="none" w:sz="0" w:space="0" w:color="auto"/>
      </w:divBdr>
    </w:div>
    <w:div w:id="1523396033">
      <w:bodyDiv w:val="1"/>
      <w:marLeft w:val="0"/>
      <w:marRight w:val="0"/>
      <w:marTop w:val="0"/>
      <w:marBottom w:val="0"/>
      <w:divBdr>
        <w:top w:val="none" w:sz="0" w:space="0" w:color="auto"/>
        <w:left w:val="none" w:sz="0" w:space="0" w:color="auto"/>
        <w:bottom w:val="none" w:sz="0" w:space="0" w:color="auto"/>
        <w:right w:val="none" w:sz="0" w:space="0" w:color="auto"/>
      </w:divBdr>
    </w:div>
    <w:div w:id="1539901988">
      <w:bodyDiv w:val="1"/>
      <w:marLeft w:val="0"/>
      <w:marRight w:val="0"/>
      <w:marTop w:val="0"/>
      <w:marBottom w:val="0"/>
      <w:divBdr>
        <w:top w:val="none" w:sz="0" w:space="0" w:color="auto"/>
        <w:left w:val="none" w:sz="0" w:space="0" w:color="auto"/>
        <w:bottom w:val="none" w:sz="0" w:space="0" w:color="auto"/>
        <w:right w:val="none" w:sz="0" w:space="0" w:color="auto"/>
      </w:divBdr>
    </w:div>
    <w:div w:id="1544365448">
      <w:bodyDiv w:val="1"/>
      <w:marLeft w:val="0"/>
      <w:marRight w:val="0"/>
      <w:marTop w:val="0"/>
      <w:marBottom w:val="0"/>
      <w:divBdr>
        <w:top w:val="none" w:sz="0" w:space="0" w:color="auto"/>
        <w:left w:val="none" w:sz="0" w:space="0" w:color="auto"/>
        <w:bottom w:val="none" w:sz="0" w:space="0" w:color="auto"/>
        <w:right w:val="none" w:sz="0" w:space="0" w:color="auto"/>
      </w:divBdr>
    </w:div>
    <w:div w:id="1553535595">
      <w:bodyDiv w:val="1"/>
      <w:marLeft w:val="0"/>
      <w:marRight w:val="0"/>
      <w:marTop w:val="0"/>
      <w:marBottom w:val="0"/>
      <w:divBdr>
        <w:top w:val="none" w:sz="0" w:space="0" w:color="auto"/>
        <w:left w:val="none" w:sz="0" w:space="0" w:color="auto"/>
        <w:bottom w:val="none" w:sz="0" w:space="0" w:color="auto"/>
        <w:right w:val="none" w:sz="0" w:space="0" w:color="auto"/>
      </w:divBdr>
    </w:div>
    <w:div w:id="1575820585">
      <w:bodyDiv w:val="1"/>
      <w:marLeft w:val="0"/>
      <w:marRight w:val="0"/>
      <w:marTop w:val="0"/>
      <w:marBottom w:val="0"/>
      <w:divBdr>
        <w:top w:val="none" w:sz="0" w:space="0" w:color="auto"/>
        <w:left w:val="none" w:sz="0" w:space="0" w:color="auto"/>
        <w:bottom w:val="none" w:sz="0" w:space="0" w:color="auto"/>
        <w:right w:val="none" w:sz="0" w:space="0" w:color="auto"/>
      </w:divBdr>
    </w:div>
    <w:div w:id="1577519950">
      <w:bodyDiv w:val="1"/>
      <w:marLeft w:val="0"/>
      <w:marRight w:val="0"/>
      <w:marTop w:val="0"/>
      <w:marBottom w:val="0"/>
      <w:divBdr>
        <w:top w:val="none" w:sz="0" w:space="0" w:color="auto"/>
        <w:left w:val="none" w:sz="0" w:space="0" w:color="auto"/>
        <w:bottom w:val="none" w:sz="0" w:space="0" w:color="auto"/>
        <w:right w:val="none" w:sz="0" w:space="0" w:color="auto"/>
      </w:divBdr>
    </w:div>
    <w:div w:id="1581257846">
      <w:bodyDiv w:val="1"/>
      <w:marLeft w:val="0"/>
      <w:marRight w:val="0"/>
      <w:marTop w:val="0"/>
      <w:marBottom w:val="0"/>
      <w:divBdr>
        <w:top w:val="none" w:sz="0" w:space="0" w:color="auto"/>
        <w:left w:val="none" w:sz="0" w:space="0" w:color="auto"/>
        <w:bottom w:val="none" w:sz="0" w:space="0" w:color="auto"/>
        <w:right w:val="none" w:sz="0" w:space="0" w:color="auto"/>
      </w:divBdr>
    </w:div>
    <w:div w:id="1596279890">
      <w:bodyDiv w:val="1"/>
      <w:marLeft w:val="0"/>
      <w:marRight w:val="0"/>
      <w:marTop w:val="0"/>
      <w:marBottom w:val="0"/>
      <w:divBdr>
        <w:top w:val="none" w:sz="0" w:space="0" w:color="auto"/>
        <w:left w:val="none" w:sz="0" w:space="0" w:color="auto"/>
        <w:bottom w:val="none" w:sz="0" w:space="0" w:color="auto"/>
        <w:right w:val="none" w:sz="0" w:space="0" w:color="auto"/>
      </w:divBdr>
    </w:div>
    <w:div w:id="1660844096">
      <w:bodyDiv w:val="1"/>
      <w:marLeft w:val="0"/>
      <w:marRight w:val="0"/>
      <w:marTop w:val="0"/>
      <w:marBottom w:val="0"/>
      <w:divBdr>
        <w:top w:val="none" w:sz="0" w:space="0" w:color="auto"/>
        <w:left w:val="none" w:sz="0" w:space="0" w:color="auto"/>
        <w:bottom w:val="none" w:sz="0" w:space="0" w:color="auto"/>
        <w:right w:val="none" w:sz="0" w:space="0" w:color="auto"/>
      </w:divBdr>
    </w:div>
    <w:div w:id="1676761932">
      <w:bodyDiv w:val="1"/>
      <w:marLeft w:val="0"/>
      <w:marRight w:val="0"/>
      <w:marTop w:val="0"/>
      <w:marBottom w:val="0"/>
      <w:divBdr>
        <w:top w:val="none" w:sz="0" w:space="0" w:color="auto"/>
        <w:left w:val="none" w:sz="0" w:space="0" w:color="auto"/>
        <w:bottom w:val="none" w:sz="0" w:space="0" w:color="auto"/>
        <w:right w:val="none" w:sz="0" w:space="0" w:color="auto"/>
      </w:divBdr>
    </w:div>
    <w:div w:id="1735470576">
      <w:bodyDiv w:val="1"/>
      <w:marLeft w:val="0"/>
      <w:marRight w:val="0"/>
      <w:marTop w:val="0"/>
      <w:marBottom w:val="0"/>
      <w:divBdr>
        <w:top w:val="none" w:sz="0" w:space="0" w:color="auto"/>
        <w:left w:val="none" w:sz="0" w:space="0" w:color="auto"/>
        <w:bottom w:val="none" w:sz="0" w:space="0" w:color="auto"/>
        <w:right w:val="none" w:sz="0" w:space="0" w:color="auto"/>
      </w:divBdr>
    </w:div>
    <w:div w:id="1739673145">
      <w:bodyDiv w:val="1"/>
      <w:marLeft w:val="0"/>
      <w:marRight w:val="0"/>
      <w:marTop w:val="0"/>
      <w:marBottom w:val="0"/>
      <w:divBdr>
        <w:top w:val="none" w:sz="0" w:space="0" w:color="auto"/>
        <w:left w:val="none" w:sz="0" w:space="0" w:color="auto"/>
        <w:bottom w:val="none" w:sz="0" w:space="0" w:color="auto"/>
        <w:right w:val="none" w:sz="0" w:space="0" w:color="auto"/>
      </w:divBdr>
    </w:div>
    <w:div w:id="1743092887">
      <w:bodyDiv w:val="1"/>
      <w:marLeft w:val="0"/>
      <w:marRight w:val="0"/>
      <w:marTop w:val="0"/>
      <w:marBottom w:val="0"/>
      <w:divBdr>
        <w:top w:val="none" w:sz="0" w:space="0" w:color="auto"/>
        <w:left w:val="none" w:sz="0" w:space="0" w:color="auto"/>
        <w:bottom w:val="none" w:sz="0" w:space="0" w:color="auto"/>
        <w:right w:val="none" w:sz="0" w:space="0" w:color="auto"/>
      </w:divBdr>
    </w:div>
    <w:div w:id="1799033399">
      <w:bodyDiv w:val="1"/>
      <w:marLeft w:val="0"/>
      <w:marRight w:val="0"/>
      <w:marTop w:val="0"/>
      <w:marBottom w:val="0"/>
      <w:divBdr>
        <w:top w:val="none" w:sz="0" w:space="0" w:color="auto"/>
        <w:left w:val="none" w:sz="0" w:space="0" w:color="auto"/>
        <w:bottom w:val="none" w:sz="0" w:space="0" w:color="auto"/>
        <w:right w:val="none" w:sz="0" w:space="0" w:color="auto"/>
      </w:divBdr>
    </w:div>
    <w:div w:id="1807771453">
      <w:bodyDiv w:val="1"/>
      <w:marLeft w:val="0"/>
      <w:marRight w:val="0"/>
      <w:marTop w:val="0"/>
      <w:marBottom w:val="0"/>
      <w:divBdr>
        <w:top w:val="none" w:sz="0" w:space="0" w:color="auto"/>
        <w:left w:val="none" w:sz="0" w:space="0" w:color="auto"/>
        <w:bottom w:val="none" w:sz="0" w:space="0" w:color="auto"/>
        <w:right w:val="none" w:sz="0" w:space="0" w:color="auto"/>
      </w:divBdr>
    </w:div>
    <w:div w:id="1890072687">
      <w:bodyDiv w:val="1"/>
      <w:marLeft w:val="0"/>
      <w:marRight w:val="0"/>
      <w:marTop w:val="0"/>
      <w:marBottom w:val="0"/>
      <w:divBdr>
        <w:top w:val="none" w:sz="0" w:space="0" w:color="auto"/>
        <w:left w:val="none" w:sz="0" w:space="0" w:color="auto"/>
        <w:bottom w:val="none" w:sz="0" w:space="0" w:color="auto"/>
        <w:right w:val="none" w:sz="0" w:space="0" w:color="auto"/>
      </w:divBdr>
    </w:div>
    <w:div w:id="1915119984">
      <w:bodyDiv w:val="1"/>
      <w:marLeft w:val="0"/>
      <w:marRight w:val="0"/>
      <w:marTop w:val="0"/>
      <w:marBottom w:val="0"/>
      <w:divBdr>
        <w:top w:val="none" w:sz="0" w:space="0" w:color="auto"/>
        <w:left w:val="none" w:sz="0" w:space="0" w:color="auto"/>
        <w:bottom w:val="none" w:sz="0" w:space="0" w:color="auto"/>
        <w:right w:val="none" w:sz="0" w:space="0" w:color="auto"/>
      </w:divBdr>
    </w:div>
    <w:div w:id="1929653528">
      <w:bodyDiv w:val="1"/>
      <w:marLeft w:val="0"/>
      <w:marRight w:val="0"/>
      <w:marTop w:val="0"/>
      <w:marBottom w:val="0"/>
      <w:divBdr>
        <w:top w:val="none" w:sz="0" w:space="0" w:color="auto"/>
        <w:left w:val="none" w:sz="0" w:space="0" w:color="auto"/>
        <w:bottom w:val="none" w:sz="0" w:space="0" w:color="auto"/>
        <w:right w:val="none" w:sz="0" w:space="0" w:color="auto"/>
      </w:divBdr>
    </w:div>
    <w:div w:id="1945266338">
      <w:bodyDiv w:val="1"/>
      <w:marLeft w:val="0"/>
      <w:marRight w:val="0"/>
      <w:marTop w:val="0"/>
      <w:marBottom w:val="0"/>
      <w:divBdr>
        <w:top w:val="none" w:sz="0" w:space="0" w:color="auto"/>
        <w:left w:val="none" w:sz="0" w:space="0" w:color="auto"/>
        <w:bottom w:val="none" w:sz="0" w:space="0" w:color="auto"/>
        <w:right w:val="none" w:sz="0" w:space="0" w:color="auto"/>
      </w:divBdr>
    </w:div>
    <w:div w:id="1962764225">
      <w:bodyDiv w:val="1"/>
      <w:marLeft w:val="0"/>
      <w:marRight w:val="0"/>
      <w:marTop w:val="0"/>
      <w:marBottom w:val="0"/>
      <w:divBdr>
        <w:top w:val="none" w:sz="0" w:space="0" w:color="auto"/>
        <w:left w:val="none" w:sz="0" w:space="0" w:color="auto"/>
        <w:bottom w:val="none" w:sz="0" w:space="0" w:color="auto"/>
        <w:right w:val="none" w:sz="0" w:space="0" w:color="auto"/>
      </w:divBdr>
    </w:div>
    <w:div w:id="1967420823">
      <w:bodyDiv w:val="1"/>
      <w:marLeft w:val="0"/>
      <w:marRight w:val="0"/>
      <w:marTop w:val="0"/>
      <w:marBottom w:val="0"/>
      <w:divBdr>
        <w:top w:val="none" w:sz="0" w:space="0" w:color="auto"/>
        <w:left w:val="none" w:sz="0" w:space="0" w:color="auto"/>
        <w:bottom w:val="none" w:sz="0" w:space="0" w:color="auto"/>
        <w:right w:val="none" w:sz="0" w:space="0" w:color="auto"/>
      </w:divBdr>
    </w:div>
    <w:div w:id="1972010715">
      <w:bodyDiv w:val="1"/>
      <w:marLeft w:val="0"/>
      <w:marRight w:val="0"/>
      <w:marTop w:val="0"/>
      <w:marBottom w:val="0"/>
      <w:divBdr>
        <w:top w:val="none" w:sz="0" w:space="0" w:color="auto"/>
        <w:left w:val="none" w:sz="0" w:space="0" w:color="auto"/>
        <w:bottom w:val="none" w:sz="0" w:space="0" w:color="auto"/>
        <w:right w:val="none" w:sz="0" w:space="0" w:color="auto"/>
      </w:divBdr>
    </w:div>
    <w:div w:id="1979919548">
      <w:bodyDiv w:val="1"/>
      <w:marLeft w:val="0"/>
      <w:marRight w:val="0"/>
      <w:marTop w:val="0"/>
      <w:marBottom w:val="0"/>
      <w:divBdr>
        <w:top w:val="none" w:sz="0" w:space="0" w:color="auto"/>
        <w:left w:val="none" w:sz="0" w:space="0" w:color="auto"/>
        <w:bottom w:val="none" w:sz="0" w:space="0" w:color="auto"/>
        <w:right w:val="none" w:sz="0" w:space="0" w:color="auto"/>
      </w:divBdr>
    </w:div>
    <w:div w:id="2003511326">
      <w:bodyDiv w:val="1"/>
      <w:marLeft w:val="0"/>
      <w:marRight w:val="0"/>
      <w:marTop w:val="0"/>
      <w:marBottom w:val="0"/>
      <w:divBdr>
        <w:top w:val="none" w:sz="0" w:space="0" w:color="auto"/>
        <w:left w:val="none" w:sz="0" w:space="0" w:color="auto"/>
        <w:bottom w:val="none" w:sz="0" w:space="0" w:color="auto"/>
        <w:right w:val="none" w:sz="0" w:space="0" w:color="auto"/>
      </w:divBdr>
    </w:div>
    <w:div w:id="2017800855">
      <w:bodyDiv w:val="1"/>
      <w:marLeft w:val="0"/>
      <w:marRight w:val="0"/>
      <w:marTop w:val="0"/>
      <w:marBottom w:val="0"/>
      <w:divBdr>
        <w:top w:val="none" w:sz="0" w:space="0" w:color="auto"/>
        <w:left w:val="none" w:sz="0" w:space="0" w:color="auto"/>
        <w:bottom w:val="none" w:sz="0" w:space="0" w:color="auto"/>
        <w:right w:val="none" w:sz="0" w:space="0" w:color="auto"/>
      </w:divBdr>
    </w:div>
    <w:div w:id="2018917661">
      <w:bodyDiv w:val="1"/>
      <w:marLeft w:val="0"/>
      <w:marRight w:val="0"/>
      <w:marTop w:val="0"/>
      <w:marBottom w:val="0"/>
      <w:divBdr>
        <w:top w:val="none" w:sz="0" w:space="0" w:color="auto"/>
        <w:left w:val="none" w:sz="0" w:space="0" w:color="auto"/>
        <w:bottom w:val="none" w:sz="0" w:space="0" w:color="auto"/>
        <w:right w:val="none" w:sz="0" w:space="0" w:color="auto"/>
      </w:divBdr>
    </w:div>
    <w:div w:id="2026205166">
      <w:bodyDiv w:val="1"/>
      <w:marLeft w:val="0"/>
      <w:marRight w:val="0"/>
      <w:marTop w:val="0"/>
      <w:marBottom w:val="0"/>
      <w:divBdr>
        <w:top w:val="none" w:sz="0" w:space="0" w:color="auto"/>
        <w:left w:val="none" w:sz="0" w:space="0" w:color="auto"/>
        <w:bottom w:val="none" w:sz="0" w:space="0" w:color="auto"/>
        <w:right w:val="none" w:sz="0" w:space="0" w:color="auto"/>
      </w:divBdr>
    </w:div>
    <w:div w:id="2033266742">
      <w:bodyDiv w:val="1"/>
      <w:marLeft w:val="0"/>
      <w:marRight w:val="0"/>
      <w:marTop w:val="0"/>
      <w:marBottom w:val="0"/>
      <w:divBdr>
        <w:top w:val="none" w:sz="0" w:space="0" w:color="auto"/>
        <w:left w:val="none" w:sz="0" w:space="0" w:color="auto"/>
        <w:bottom w:val="none" w:sz="0" w:space="0" w:color="auto"/>
        <w:right w:val="none" w:sz="0" w:space="0" w:color="auto"/>
      </w:divBdr>
    </w:div>
    <w:div w:id="2036879172">
      <w:bodyDiv w:val="1"/>
      <w:marLeft w:val="0"/>
      <w:marRight w:val="0"/>
      <w:marTop w:val="0"/>
      <w:marBottom w:val="0"/>
      <w:divBdr>
        <w:top w:val="none" w:sz="0" w:space="0" w:color="auto"/>
        <w:left w:val="none" w:sz="0" w:space="0" w:color="auto"/>
        <w:bottom w:val="none" w:sz="0" w:space="0" w:color="auto"/>
        <w:right w:val="none" w:sz="0" w:space="0" w:color="auto"/>
      </w:divBdr>
    </w:div>
    <w:div w:id="2063139650">
      <w:bodyDiv w:val="1"/>
      <w:marLeft w:val="0"/>
      <w:marRight w:val="0"/>
      <w:marTop w:val="0"/>
      <w:marBottom w:val="0"/>
      <w:divBdr>
        <w:top w:val="none" w:sz="0" w:space="0" w:color="auto"/>
        <w:left w:val="none" w:sz="0" w:space="0" w:color="auto"/>
        <w:bottom w:val="none" w:sz="0" w:space="0" w:color="auto"/>
        <w:right w:val="none" w:sz="0" w:space="0" w:color="auto"/>
      </w:divBdr>
    </w:div>
    <w:div w:id="2063209873">
      <w:bodyDiv w:val="1"/>
      <w:marLeft w:val="0"/>
      <w:marRight w:val="0"/>
      <w:marTop w:val="0"/>
      <w:marBottom w:val="0"/>
      <w:divBdr>
        <w:top w:val="none" w:sz="0" w:space="0" w:color="auto"/>
        <w:left w:val="none" w:sz="0" w:space="0" w:color="auto"/>
        <w:bottom w:val="none" w:sz="0" w:space="0" w:color="auto"/>
        <w:right w:val="none" w:sz="0" w:space="0" w:color="auto"/>
      </w:divBdr>
    </w:div>
    <w:div w:id="2075618016">
      <w:bodyDiv w:val="1"/>
      <w:marLeft w:val="0"/>
      <w:marRight w:val="0"/>
      <w:marTop w:val="0"/>
      <w:marBottom w:val="0"/>
      <w:divBdr>
        <w:top w:val="none" w:sz="0" w:space="0" w:color="auto"/>
        <w:left w:val="none" w:sz="0" w:space="0" w:color="auto"/>
        <w:bottom w:val="none" w:sz="0" w:space="0" w:color="auto"/>
        <w:right w:val="none" w:sz="0" w:space="0" w:color="auto"/>
      </w:divBdr>
    </w:div>
    <w:div w:id="2090031631">
      <w:bodyDiv w:val="1"/>
      <w:marLeft w:val="0"/>
      <w:marRight w:val="0"/>
      <w:marTop w:val="0"/>
      <w:marBottom w:val="0"/>
      <w:divBdr>
        <w:top w:val="none" w:sz="0" w:space="0" w:color="auto"/>
        <w:left w:val="none" w:sz="0" w:space="0" w:color="auto"/>
        <w:bottom w:val="none" w:sz="0" w:space="0" w:color="auto"/>
        <w:right w:val="none" w:sz="0" w:space="0" w:color="auto"/>
      </w:divBdr>
    </w:div>
    <w:div w:id="2109350826">
      <w:bodyDiv w:val="1"/>
      <w:marLeft w:val="0"/>
      <w:marRight w:val="0"/>
      <w:marTop w:val="0"/>
      <w:marBottom w:val="0"/>
      <w:divBdr>
        <w:top w:val="none" w:sz="0" w:space="0" w:color="auto"/>
        <w:left w:val="none" w:sz="0" w:space="0" w:color="auto"/>
        <w:bottom w:val="none" w:sz="0" w:space="0" w:color="auto"/>
        <w:right w:val="none" w:sz="0" w:space="0" w:color="auto"/>
      </w:divBdr>
    </w:div>
    <w:div w:id="2133285786">
      <w:bodyDiv w:val="1"/>
      <w:marLeft w:val="0"/>
      <w:marRight w:val="0"/>
      <w:marTop w:val="0"/>
      <w:marBottom w:val="0"/>
      <w:divBdr>
        <w:top w:val="none" w:sz="0" w:space="0" w:color="auto"/>
        <w:left w:val="none" w:sz="0" w:space="0" w:color="auto"/>
        <w:bottom w:val="none" w:sz="0" w:space="0" w:color="auto"/>
        <w:right w:val="none" w:sz="0" w:space="0" w:color="auto"/>
      </w:divBdr>
    </w:div>
    <w:div w:id="2135437129">
      <w:bodyDiv w:val="1"/>
      <w:marLeft w:val="0"/>
      <w:marRight w:val="0"/>
      <w:marTop w:val="0"/>
      <w:marBottom w:val="0"/>
      <w:divBdr>
        <w:top w:val="none" w:sz="0" w:space="0" w:color="auto"/>
        <w:left w:val="none" w:sz="0" w:space="0" w:color="auto"/>
        <w:bottom w:val="none" w:sz="0" w:space="0" w:color="auto"/>
        <w:right w:val="none" w:sz="0" w:space="0" w:color="auto"/>
      </w:divBdr>
    </w:div>
    <w:div w:id="21429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93A5-1B28-4BBD-BF89-7C2A23ED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13015</Words>
  <Characters>74192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2015-10-07T15:26:00Z</cp:lastPrinted>
  <dcterms:created xsi:type="dcterms:W3CDTF">2015-10-07T16:30:00Z</dcterms:created>
  <dcterms:modified xsi:type="dcterms:W3CDTF">2015-10-07T16:30:00Z</dcterms:modified>
</cp:coreProperties>
</file>