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r w:rsidRPr="00DE562E">
        <w:rPr>
          <w:b/>
          <w:sz w:val="24"/>
          <w:szCs w:val="24"/>
        </w:rPr>
        <w:t>BEFORE THE</w:t>
      </w:r>
    </w:p>
    <w:p w:rsidR="0088763C" w:rsidRDefault="000F1894" w:rsidP="0081696C">
      <w:pPr>
        <w:jc w:val="center"/>
        <w:outlineLvl w:val="0"/>
        <w:rPr>
          <w:b/>
          <w:sz w:val="24"/>
          <w:szCs w:val="24"/>
        </w:rPr>
      </w:pPr>
      <w:r w:rsidRPr="00DE562E">
        <w:rPr>
          <w:b/>
          <w:sz w:val="24"/>
          <w:szCs w:val="24"/>
        </w:rPr>
        <w:t>PENNSYLVANIA PUBLIC UTILITY COMMISSION</w:t>
      </w:r>
    </w:p>
    <w:p w:rsidR="001B40F7" w:rsidRDefault="001B40F7" w:rsidP="0081696C">
      <w:pPr>
        <w:jc w:val="center"/>
        <w:outlineLvl w:val="0"/>
        <w:rPr>
          <w:b/>
          <w:sz w:val="24"/>
          <w:szCs w:val="24"/>
        </w:rPr>
      </w:pPr>
    </w:p>
    <w:p w:rsidR="00A675CE" w:rsidRPr="001027AA" w:rsidRDefault="00A675CE" w:rsidP="0081696C">
      <w:pPr>
        <w:jc w:val="center"/>
        <w:outlineLvl w:val="0"/>
        <w:rPr>
          <w:b/>
          <w:sz w:val="24"/>
          <w:szCs w:val="24"/>
        </w:rPr>
      </w:pPr>
      <w:bookmarkStart w:id="0" w:name="_GoBack"/>
      <w:bookmarkEnd w:id="0"/>
    </w:p>
    <w:p w:rsidR="000F1894" w:rsidRPr="00DE562E" w:rsidRDefault="000F1894" w:rsidP="000F1894">
      <w:pPr>
        <w:jc w:val="center"/>
        <w:rPr>
          <w:sz w:val="24"/>
          <w:szCs w:val="24"/>
        </w:rPr>
      </w:pPr>
    </w:p>
    <w:p w:rsidR="000F1894" w:rsidRDefault="00992E94" w:rsidP="001B40F7">
      <w:pPr>
        <w:ind w:left="720" w:hanging="720"/>
        <w:rPr>
          <w:sz w:val="24"/>
          <w:szCs w:val="24"/>
        </w:rPr>
      </w:pPr>
      <w:r>
        <w:rPr>
          <w:sz w:val="24"/>
          <w:szCs w:val="24"/>
        </w:rPr>
        <w:t xml:space="preserve">Edward J. </w:t>
      </w:r>
      <w:proofErr w:type="spellStart"/>
      <w:r>
        <w:rPr>
          <w:sz w:val="24"/>
          <w:szCs w:val="24"/>
        </w:rPr>
        <w:t>Kolankiewicz</w:t>
      </w:r>
      <w:proofErr w:type="spellEnd"/>
      <w:r>
        <w:rPr>
          <w:sz w:val="24"/>
          <w:szCs w:val="24"/>
        </w:rPr>
        <w:t>, Jr.</w:t>
      </w:r>
      <w:r>
        <w:rPr>
          <w:sz w:val="24"/>
          <w:szCs w:val="24"/>
        </w:rPr>
        <w:tab/>
      </w:r>
      <w:r>
        <w:rPr>
          <w:sz w:val="24"/>
          <w:szCs w:val="24"/>
        </w:rPr>
        <w:tab/>
      </w:r>
      <w:r>
        <w:rPr>
          <w:sz w:val="24"/>
          <w:szCs w:val="24"/>
        </w:rPr>
        <w:tab/>
      </w:r>
      <w:r w:rsidR="001B40F7">
        <w:rPr>
          <w:sz w:val="24"/>
          <w:szCs w:val="24"/>
        </w:rPr>
        <w:tab/>
      </w:r>
      <w:r>
        <w:rPr>
          <w:sz w:val="24"/>
          <w:szCs w:val="24"/>
        </w:rPr>
        <w:t>:</w:t>
      </w:r>
      <w:r w:rsidR="00FE1790">
        <w:rPr>
          <w:sz w:val="24"/>
          <w:szCs w:val="24"/>
        </w:rPr>
        <w:tab/>
      </w:r>
    </w:p>
    <w:p w:rsidR="00992E94" w:rsidRDefault="00992E94" w:rsidP="00992E94">
      <w:pPr>
        <w:rPr>
          <w:sz w:val="24"/>
          <w:szCs w:val="24"/>
        </w:rPr>
      </w:pPr>
      <w:r>
        <w:rPr>
          <w:sz w:val="24"/>
          <w:szCs w:val="24"/>
        </w:rPr>
        <w:tab/>
      </w:r>
      <w:r w:rsidR="00FE1790">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5E3007" w:rsidRDefault="005E3007" w:rsidP="00E52738">
      <w:pPr>
        <w:tabs>
          <w:tab w:val="left" w:pos="-720"/>
        </w:tabs>
        <w:suppressAutoHyphens/>
        <w:rPr>
          <w:bCs/>
          <w:spacing w:val="-3"/>
          <w:sz w:val="24"/>
          <w:szCs w:val="24"/>
        </w:rPr>
      </w:pPr>
      <w:r w:rsidRPr="00966FB7">
        <w:rPr>
          <w:bCs/>
          <w:spacing w:val="-3"/>
          <w:sz w:val="24"/>
          <w:szCs w:val="24"/>
        </w:rPr>
        <w:tab/>
      </w:r>
      <w:r w:rsidR="00A675CE">
        <w:rPr>
          <w:bCs/>
          <w:spacing w:val="-3"/>
          <w:sz w:val="24"/>
          <w:szCs w:val="24"/>
        </w:rPr>
        <w:t>v.</w:t>
      </w:r>
      <w:r w:rsidR="00A675CE">
        <w:rPr>
          <w:bCs/>
          <w:spacing w:val="-3"/>
          <w:sz w:val="24"/>
          <w:szCs w:val="24"/>
        </w:rPr>
        <w:tab/>
      </w:r>
      <w:r w:rsidR="00A675CE">
        <w:rPr>
          <w:bCs/>
          <w:spacing w:val="-3"/>
          <w:sz w:val="24"/>
          <w:szCs w:val="24"/>
        </w:rPr>
        <w:tab/>
      </w:r>
      <w:r w:rsidR="00A675CE">
        <w:rPr>
          <w:bCs/>
          <w:spacing w:val="-3"/>
          <w:sz w:val="24"/>
          <w:szCs w:val="24"/>
        </w:rPr>
        <w:tab/>
      </w:r>
      <w:r w:rsidR="00A675CE">
        <w:rPr>
          <w:bCs/>
          <w:spacing w:val="-3"/>
          <w:sz w:val="24"/>
          <w:szCs w:val="24"/>
        </w:rPr>
        <w:tab/>
      </w:r>
      <w:r w:rsidR="00A675CE">
        <w:rPr>
          <w:bCs/>
          <w:spacing w:val="-3"/>
          <w:sz w:val="24"/>
          <w:szCs w:val="24"/>
        </w:rPr>
        <w:tab/>
      </w:r>
      <w:r w:rsidR="00A675CE">
        <w:rPr>
          <w:bCs/>
          <w:spacing w:val="-3"/>
          <w:sz w:val="24"/>
          <w:szCs w:val="24"/>
        </w:rPr>
        <w:tab/>
        <w:t>:</w:t>
      </w:r>
      <w:r w:rsidR="001B40F7">
        <w:rPr>
          <w:bCs/>
          <w:spacing w:val="-3"/>
          <w:sz w:val="24"/>
          <w:szCs w:val="24"/>
        </w:rPr>
        <w:tab/>
      </w:r>
      <w:r w:rsidR="001B40F7">
        <w:rPr>
          <w:bCs/>
          <w:spacing w:val="-3"/>
          <w:sz w:val="24"/>
          <w:szCs w:val="24"/>
        </w:rPr>
        <w:tab/>
      </w:r>
      <w:r w:rsidR="001B40F7">
        <w:rPr>
          <w:sz w:val="24"/>
          <w:szCs w:val="24"/>
        </w:rPr>
        <w:t>F-2015-2492655</w:t>
      </w:r>
    </w:p>
    <w:p w:rsidR="00A675CE" w:rsidRDefault="00A675CE" w:rsidP="00E52738">
      <w:pPr>
        <w:tabs>
          <w:tab w:val="left" w:pos="-720"/>
        </w:tabs>
        <w:suppressAutoHyphens/>
        <w:rPr>
          <w:bCs/>
          <w:spacing w:val="-3"/>
          <w:sz w:val="24"/>
          <w:szCs w:val="24"/>
        </w:rPr>
      </w:pPr>
      <w:r>
        <w:rPr>
          <w:bCs/>
          <w:spacing w:val="-3"/>
          <w:sz w:val="24"/>
          <w:szCs w:val="24"/>
        </w:rPr>
        <w:tab/>
      </w:r>
      <w:r>
        <w:rPr>
          <w:bCs/>
          <w:spacing w:val="-3"/>
          <w:sz w:val="24"/>
          <w:szCs w:val="24"/>
        </w:rPr>
        <w:tab/>
      </w:r>
      <w:r>
        <w:rPr>
          <w:bCs/>
          <w:spacing w:val="-3"/>
          <w:sz w:val="24"/>
          <w:szCs w:val="24"/>
        </w:rPr>
        <w:tab/>
      </w:r>
      <w:r>
        <w:rPr>
          <w:bCs/>
          <w:spacing w:val="-3"/>
          <w:sz w:val="24"/>
          <w:szCs w:val="24"/>
        </w:rPr>
        <w:tab/>
      </w:r>
      <w:r>
        <w:rPr>
          <w:bCs/>
          <w:spacing w:val="-3"/>
          <w:sz w:val="24"/>
          <w:szCs w:val="24"/>
        </w:rPr>
        <w:tab/>
      </w:r>
      <w:r>
        <w:rPr>
          <w:bCs/>
          <w:spacing w:val="-3"/>
          <w:sz w:val="24"/>
          <w:szCs w:val="24"/>
        </w:rPr>
        <w:tab/>
      </w:r>
      <w:r>
        <w:rPr>
          <w:bCs/>
          <w:spacing w:val="-3"/>
          <w:sz w:val="24"/>
          <w:szCs w:val="24"/>
        </w:rPr>
        <w:tab/>
        <w:t>:</w:t>
      </w:r>
    </w:p>
    <w:p w:rsidR="00A675CE" w:rsidRDefault="00A675CE" w:rsidP="00E52738">
      <w:pPr>
        <w:tabs>
          <w:tab w:val="left" w:pos="-720"/>
        </w:tabs>
        <w:suppressAutoHyphens/>
        <w:rPr>
          <w:bCs/>
          <w:spacing w:val="-3"/>
          <w:sz w:val="24"/>
          <w:szCs w:val="24"/>
        </w:rPr>
      </w:pPr>
      <w:r>
        <w:rPr>
          <w:bCs/>
          <w:spacing w:val="-3"/>
          <w:sz w:val="24"/>
          <w:szCs w:val="24"/>
        </w:rPr>
        <w:t>PPL Electric Utilities Corporation</w:t>
      </w:r>
      <w:r>
        <w:rPr>
          <w:bCs/>
          <w:spacing w:val="-3"/>
          <w:sz w:val="24"/>
          <w:szCs w:val="24"/>
        </w:rPr>
        <w:tab/>
      </w:r>
      <w:r>
        <w:rPr>
          <w:bCs/>
          <w:spacing w:val="-3"/>
          <w:sz w:val="24"/>
          <w:szCs w:val="24"/>
        </w:rPr>
        <w:tab/>
      </w:r>
      <w:r w:rsidR="001B40F7">
        <w:rPr>
          <w:bCs/>
          <w:spacing w:val="-3"/>
          <w:sz w:val="24"/>
          <w:szCs w:val="24"/>
        </w:rPr>
        <w:tab/>
      </w:r>
      <w:r>
        <w:rPr>
          <w:bCs/>
          <w:spacing w:val="-3"/>
          <w:sz w:val="24"/>
          <w:szCs w:val="24"/>
        </w:rPr>
        <w:t>:</w:t>
      </w:r>
    </w:p>
    <w:p w:rsidR="00A675CE" w:rsidRDefault="00A675CE" w:rsidP="00E52738">
      <w:pPr>
        <w:tabs>
          <w:tab w:val="left" w:pos="-720"/>
        </w:tabs>
        <w:suppressAutoHyphens/>
        <w:rPr>
          <w:bCs/>
          <w:spacing w:val="-3"/>
          <w:sz w:val="24"/>
          <w:szCs w:val="24"/>
        </w:rPr>
      </w:pPr>
    </w:p>
    <w:p w:rsidR="00E52738" w:rsidRDefault="00E52738" w:rsidP="00E52738">
      <w:pPr>
        <w:tabs>
          <w:tab w:val="left" w:pos="-720"/>
        </w:tabs>
        <w:suppressAutoHyphens/>
        <w:rPr>
          <w:bCs/>
          <w:spacing w:val="-3"/>
          <w:sz w:val="24"/>
          <w:szCs w:val="24"/>
        </w:rPr>
      </w:pPr>
    </w:p>
    <w:p w:rsidR="001B40F7" w:rsidRDefault="001B40F7" w:rsidP="00E52738">
      <w:pPr>
        <w:tabs>
          <w:tab w:val="left" w:pos="-720"/>
        </w:tabs>
        <w:suppressAutoHyphens/>
        <w:rPr>
          <w:bCs/>
          <w:spacing w:val="-3"/>
          <w:sz w:val="24"/>
          <w:szCs w:val="24"/>
        </w:rPr>
      </w:pPr>
    </w:p>
    <w:p w:rsidR="000F1894" w:rsidRDefault="00CB495C" w:rsidP="000F1894">
      <w:pPr>
        <w:jc w:val="center"/>
        <w:rPr>
          <w:b/>
          <w:caps/>
          <w:sz w:val="24"/>
          <w:szCs w:val="24"/>
          <w:u w:val="single"/>
        </w:rPr>
      </w:pPr>
      <w:r>
        <w:rPr>
          <w:b/>
          <w:caps/>
          <w:sz w:val="24"/>
          <w:szCs w:val="24"/>
          <w:u w:val="single"/>
        </w:rPr>
        <w:t>INitial decision</w:t>
      </w:r>
    </w:p>
    <w:p w:rsidR="001B40F7" w:rsidRPr="00E514FA" w:rsidRDefault="001B40F7" w:rsidP="000F1894">
      <w:pPr>
        <w:jc w:val="center"/>
        <w:rPr>
          <w:b/>
          <w:sz w:val="24"/>
          <w:szCs w:val="24"/>
        </w:rPr>
      </w:pPr>
    </w:p>
    <w:p w:rsidR="006A21C2" w:rsidRPr="006A21C2" w:rsidRDefault="006A21C2"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BC7AF5" w:rsidRDefault="000F1894" w:rsidP="000F1894">
      <w:pPr>
        <w:jc w:val="center"/>
        <w:rPr>
          <w:sz w:val="24"/>
          <w:szCs w:val="24"/>
        </w:rPr>
      </w:pPr>
      <w:r w:rsidRPr="00DE562E">
        <w:rPr>
          <w:sz w:val="24"/>
          <w:szCs w:val="24"/>
        </w:rPr>
        <w:t>Administrative Law Judge</w:t>
      </w:r>
    </w:p>
    <w:p w:rsidR="001B40F7" w:rsidRDefault="001B40F7" w:rsidP="000F1894">
      <w:pPr>
        <w:jc w:val="center"/>
        <w:rPr>
          <w:sz w:val="24"/>
          <w:szCs w:val="24"/>
        </w:rPr>
      </w:pPr>
    </w:p>
    <w:p w:rsidR="00B270DC" w:rsidRDefault="00B270DC" w:rsidP="000F1894">
      <w:pPr>
        <w:jc w:val="center"/>
        <w:rPr>
          <w:sz w:val="24"/>
          <w:szCs w:val="24"/>
        </w:rPr>
      </w:pPr>
    </w:p>
    <w:p w:rsidR="00B270DC" w:rsidRDefault="00B270DC" w:rsidP="00B270DC">
      <w:pPr>
        <w:spacing w:line="360" w:lineRule="auto"/>
        <w:ind w:firstLine="1440"/>
        <w:rPr>
          <w:sz w:val="24"/>
          <w:szCs w:val="24"/>
        </w:rPr>
      </w:pPr>
      <w:r>
        <w:rPr>
          <w:sz w:val="24"/>
          <w:szCs w:val="24"/>
        </w:rPr>
        <w:t xml:space="preserve">This Initial Decision dismisses the Formal Complaint of Edward J. </w:t>
      </w:r>
      <w:proofErr w:type="spellStart"/>
      <w:r>
        <w:rPr>
          <w:sz w:val="24"/>
          <w:szCs w:val="24"/>
        </w:rPr>
        <w:t>Kolankiewicz</w:t>
      </w:r>
      <w:proofErr w:type="spellEnd"/>
      <w:r>
        <w:rPr>
          <w:sz w:val="24"/>
          <w:szCs w:val="24"/>
        </w:rPr>
        <w:t>,</w:t>
      </w:r>
      <w:r w:rsidR="00257994">
        <w:rPr>
          <w:sz w:val="24"/>
          <w:szCs w:val="24"/>
        </w:rPr>
        <w:t> </w:t>
      </w:r>
      <w:r>
        <w:rPr>
          <w:sz w:val="24"/>
          <w:szCs w:val="24"/>
        </w:rPr>
        <w:t xml:space="preserve">Jr. for failure to meet his burden of proving that PPL violated a Commission statute, regulation, rule or order. </w:t>
      </w:r>
    </w:p>
    <w:p w:rsidR="00CB495C" w:rsidRDefault="00CB495C" w:rsidP="00650574">
      <w:pPr>
        <w:spacing w:line="360" w:lineRule="auto"/>
        <w:jc w:val="center"/>
        <w:rPr>
          <w:sz w:val="24"/>
          <w:szCs w:val="24"/>
        </w:rPr>
      </w:pPr>
    </w:p>
    <w:p w:rsidR="00CB495C" w:rsidRDefault="006A21C2" w:rsidP="001B40F7">
      <w:pPr>
        <w:spacing w:line="360" w:lineRule="auto"/>
        <w:jc w:val="center"/>
        <w:rPr>
          <w:sz w:val="24"/>
          <w:szCs w:val="24"/>
          <w:u w:val="single"/>
        </w:rPr>
      </w:pPr>
      <w:r w:rsidRPr="00DC4452">
        <w:rPr>
          <w:sz w:val="24"/>
          <w:szCs w:val="24"/>
        </w:rPr>
        <w:t xml:space="preserve"> </w:t>
      </w:r>
      <w:r w:rsidR="00CB495C" w:rsidRPr="00DC4452">
        <w:rPr>
          <w:sz w:val="24"/>
          <w:szCs w:val="24"/>
          <w:u w:val="single"/>
        </w:rPr>
        <w:t>HISTORY OF THE PROCEEDING</w:t>
      </w:r>
    </w:p>
    <w:p w:rsidR="00C51D3D" w:rsidRDefault="00C51D3D" w:rsidP="00C34722">
      <w:pPr>
        <w:spacing w:line="360" w:lineRule="auto"/>
        <w:jc w:val="center"/>
        <w:rPr>
          <w:sz w:val="24"/>
          <w:szCs w:val="24"/>
          <w:u w:val="single"/>
        </w:rPr>
      </w:pPr>
    </w:p>
    <w:p w:rsidR="00C51D3D" w:rsidRPr="00C51D3D" w:rsidRDefault="00C51D3D" w:rsidP="009266C3">
      <w:pPr>
        <w:spacing w:line="360" w:lineRule="auto"/>
        <w:ind w:firstLine="1440"/>
        <w:rPr>
          <w:sz w:val="24"/>
          <w:szCs w:val="24"/>
        </w:rPr>
      </w:pPr>
      <w:r w:rsidRPr="00C51D3D">
        <w:rPr>
          <w:sz w:val="24"/>
          <w:szCs w:val="24"/>
        </w:rPr>
        <w:t>On July 14, 2015, the Complainant filed a Formal Complaint alleging that his income and inhabitants at his house had changed.</w:t>
      </w:r>
      <w:r w:rsidR="0050302E">
        <w:rPr>
          <w:sz w:val="24"/>
          <w:szCs w:val="24"/>
        </w:rPr>
        <w:t xml:space="preserve">  The Formal Complaint is a timely appeal of a Bureau of Consumer Services informal complaint at Case No. 3355830.</w:t>
      </w:r>
    </w:p>
    <w:p w:rsidR="00C51D3D" w:rsidRPr="00B270DC" w:rsidRDefault="00C51D3D" w:rsidP="00FE3991">
      <w:pPr>
        <w:pStyle w:val="ListParagraph"/>
        <w:spacing w:line="360" w:lineRule="auto"/>
        <w:rPr>
          <w:sz w:val="24"/>
          <w:szCs w:val="24"/>
        </w:rPr>
      </w:pPr>
    </w:p>
    <w:p w:rsidR="00C51D3D" w:rsidRDefault="00C51D3D" w:rsidP="00C51D3D">
      <w:pPr>
        <w:pStyle w:val="ListParagraph"/>
        <w:spacing w:line="360" w:lineRule="auto"/>
        <w:ind w:left="1440"/>
        <w:rPr>
          <w:sz w:val="24"/>
          <w:szCs w:val="24"/>
        </w:rPr>
      </w:pPr>
      <w:r>
        <w:rPr>
          <w:sz w:val="24"/>
          <w:szCs w:val="24"/>
        </w:rPr>
        <w:t>On August 3, 2015, the Respondent filed an Answer</w:t>
      </w:r>
      <w:r w:rsidR="00025854">
        <w:rPr>
          <w:sz w:val="24"/>
          <w:szCs w:val="24"/>
        </w:rPr>
        <w:t>, denying the material allegations of the Formal Complaint and asserting that PPL had provided the most advantageous payment agreement to the Complainant.</w:t>
      </w:r>
    </w:p>
    <w:p w:rsidR="009266C3" w:rsidRDefault="009266C3" w:rsidP="00C51D3D">
      <w:pPr>
        <w:pStyle w:val="ListParagraph"/>
        <w:spacing w:line="360" w:lineRule="auto"/>
        <w:ind w:left="1440"/>
        <w:rPr>
          <w:sz w:val="24"/>
          <w:szCs w:val="24"/>
        </w:rPr>
      </w:pPr>
    </w:p>
    <w:p w:rsidR="009266C3" w:rsidRDefault="003E3A6D" w:rsidP="003E3A6D">
      <w:pPr>
        <w:pStyle w:val="ListParagraph"/>
        <w:spacing w:line="360" w:lineRule="auto"/>
        <w:ind w:left="0" w:firstLine="1440"/>
        <w:rPr>
          <w:sz w:val="24"/>
          <w:szCs w:val="24"/>
        </w:rPr>
      </w:pPr>
      <w:r>
        <w:rPr>
          <w:sz w:val="24"/>
          <w:szCs w:val="24"/>
        </w:rPr>
        <w:t>On August 12, 2015, a Telephone Hearing Notice was issued setting a hearing date for September 14, 2015, and the matter was assigned to me.</w:t>
      </w:r>
    </w:p>
    <w:p w:rsidR="003E3A6D" w:rsidRDefault="003E3A6D" w:rsidP="003E3A6D">
      <w:pPr>
        <w:pStyle w:val="ListParagraph"/>
        <w:spacing w:line="360" w:lineRule="auto"/>
        <w:ind w:left="0" w:firstLine="1440"/>
        <w:rPr>
          <w:sz w:val="24"/>
          <w:szCs w:val="24"/>
        </w:rPr>
      </w:pPr>
    </w:p>
    <w:p w:rsidR="003E3A6D" w:rsidRDefault="003E3A6D" w:rsidP="003E3A6D">
      <w:pPr>
        <w:pStyle w:val="ListParagraph"/>
        <w:spacing w:line="360" w:lineRule="auto"/>
        <w:ind w:left="0" w:firstLine="1440"/>
        <w:rPr>
          <w:sz w:val="24"/>
          <w:szCs w:val="24"/>
        </w:rPr>
      </w:pPr>
      <w:r>
        <w:rPr>
          <w:sz w:val="24"/>
          <w:szCs w:val="24"/>
        </w:rPr>
        <w:lastRenderedPageBreak/>
        <w:t xml:space="preserve">On August 14, 2015, I issued a </w:t>
      </w:r>
      <w:r w:rsidR="00AB343A">
        <w:rPr>
          <w:sz w:val="24"/>
          <w:szCs w:val="24"/>
        </w:rPr>
        <w:t>P</w:t>
      </w:r>
      <w:r>
        <w:rPr>
          <w:sz w:val="24"/>
          <w:szCs w:val="24"/>
        </w:rPr>
        <w:t>rehearing Order advising the parties of procedural rules for the hearing.</w:t>
      </w:r>
    </w:p>
    <w:p w:rsidR="003E3A6D" w:rsidRDefault="003E3A6D" w:rsidP="003E3A6D">
      <w:pPr>
        <w:pStyle w:val="ListParagraph"/>
        <w:spacing w:line="360" w:lineRule="auto"/>
        <w:ind w:left="0" w:firstLine="1440"/>
        <w:rPr>
          <w:sz w:val="24"/>
          <w:szCs w:val="24"/>
        </w:rPr>
      </w:pPr>
      <w:r>
        <w:rPr>
          <w:sz w:val="24"/>
          <w:szCs w:val="24"/>
        </w:rPr>
        <w:t>On September 14, 2015, the hearing convened as scheduled.  The Complainant appeared on his own behalf, the Respondent was represented by counsel.  The Complainant proffered no exhibits.  The Respondent proffered two exhibits, both were entered into the record.</w:t>
      </w:r>
    </w:p>
    <w:p w:rsidR="003E3A6D" w:rsidRDefault="003E3A6D" w:rsidP="003E3A6D">
      <w:pPr>
        <w:pStyle w:val="ListParagraph"/>
        <w:spacing w:line="360" w:lineRule="auto"/>
        <w:ind w:left="0" w:firstLine="1440"/>
        <w:rPr>
          <w:sz w:val="24"/>
          <w:szCs w:val="24"/>
        </w:rPr>
      </w:pPr>
    </w:p>
    <w:p w:rsidR="00C51D3D" w:rsidRPr="00C51D3D" w:rsidRDefault="003E3A6D" w:rsidP="003E3A6D">
      <w:pPr>
        <w:pStyle w:val="ListParagraph"/>
        <w:spacing w:line="360" w:lineRule="auto"/>
        <w:ind w:left="0" w:firstLine="1440"/>
        <w:rPr>
          <w:sz w:val="24"/>
          <w:szCs w:val="24"/>
        </w:rPr>
      </w:pPr>
      <w:r>
        <w:rPr>
          <w:sz w:val="24"/>
          <w:szCs w:val="24"/>
        </w:rPr>
        <w:t>The record closed on September 14, 2015 at the conclusion of the hearing.  This matter is ripe for decision.</w:t>
      </w:r>
    </w:p>
    <w:p w:rsidR="00C51D3D" w:rsidRDefault="00C51D3D" w:rsidP="00CB495C">
      <w:pPr>
        <w:jc w:val="center"/>
        <w:rPr>
          <w:sz w:val="24"/>
          <w:szCs w:val="24"/>
          <w:u w:val="single"/>
        </w:rPr>
      </w:pPr>
    </w:p>
    <w:p w:rsidR="00C51D3D" w:rsidRPr="00DC4452" w:rsidRDefault="00C51D3D" w:rsidP="00CB495C">
      <w:pPr>
        <w:jc w:val="center"/>
        <w:rPr>
          <w:sz w:val="24"/>
          <w:szCs w:val="24"/>
          <w:u w:val="single"/>
        </w:rPr>
      </w:pPr>
    </w:p>
    <w:p w:rsidR="00C51D3D" w:rsidRPr="00DC4452" w:rsidRDefault="00C51D3D" w:rsidP="001B40F7">
      <w:pPr>
        <w:spacing w:line="360" w:lineRule="auto"/>
        <w:jc w:val="center"/>
        <w:rPr>
          <w:sz w:val="24"/>
          <w:szCs w:val="24"/>
          <w:u w:val="single"/>
        </w:rPr>
      </w:pPr>
      <w:r w:rsidRPr="00DC4452">
        <w:rPr>
          <w:sz w:val="24"/>
          <w:szCs w:val="24"/>
          <w:u w:val="single"/>
        </w:rPr>
        <w:t>FINDINGS OF FACT</w:t>
      </w:r>
    </w:p>
    <w:p w:rsidR="00CB495C" w:rsidRDefault="00CB495C" w:rsidP="00CB495C">
      <w:pPr>
        <w:jc w:val="center"/>
        <w:rPr>
          <w:sz w:val="24"/>
          <w:szCs w:val="24"/>
          <w:u w:val="single"/>
        </w:rPr>
      </w:pPr>
    </w:p>
    <w:p w:rsidR="00B270DC" w:rsidRDefault="00B270DC" w:rsidP="00B270DC">
      <w:pPr>
        <w:pStyle w:val="ListParagraph"/>
        <w:numPr>
          <w:ilvl w:val="0"/>
          <w:numId w:val="33"/>
        </w:numPr>
        <w:spacing w:line="360" w:lineRule="auto"/>
        <w:ind w:left="0" w:firstLine="1440"/>
        <w:rPr>
          <w:sz w:val="24"/>
          <w:szCs w:val="24"/>
        </w:rPr>
      </w:pPr>
      <w:r>
        <w:rPr>
          <w:sz w:val="24"/>
          <w:szCs w:val="24"/>
        </w:rPr>
        <w:t xml:space="preserve">The Complainant is Edward J. </w:t>
      </w:r>
      <w:proofErr w:type="spellStart"/>
      <w:r>
        <w:rPr>
          <w:sz w:val="24"/>
          <w:szCs w:val="24"/>
        </w:rPr>
        <w:t>Kolankiewicz</w:t>
      </w:r>
      <w:proofErr w:type="spellEnd"/>
      <w:r w:rsidR="001B40F7">
        <w:rPr>
          <w:sz w:val="24"/>
          <w:szCs w:val="24"/>
        </w:rPr>
        <w:t>, Jr.</w:t>
      </w:r>
      <w:r>
        <w:rPr>
          <w:sz w:val="24"/>
          <w:szCs w:val="24"/>
        </w:rPr>
        <w:t xml:space="preserve"> of 104 </w:t>
      </w:r>
      <w:proofErr w:type="spellStart"/>
      <w:r>
        <w:rPr>
          <w:sz w:val="24"/>
          <w:szCs w:val="24"/>
        </w:rPr>
        <w:t>Renfer</w:t>
      </w:r>
      <w:proofErr w:type="spellEnd"/>
      <w:r>
        <w:rPr>
          <w:sz w:val="24"/>
          <w:szCs w:val="24"/>
        </w:rPr>
        <w:t xml:space="preserve"> Road, Pittston, Pennsylvania 18640.</w:t>
      </w:r>
    </w:p>
    <w:p w:rsidR="00B270DC" w:rsidRDefault="00B270DC" w:rsidP="00B270DC">
      <w:pPr>
        <w:pStyle w:val="ListParagraph"/>
        <w:spacing w:line="360" w:lineRule="auto"/>
        <w:ind w:left="1440"/>
        <w:rPr>
          <w:sz w:val="24"/>
          <w:szCs w:val="24"/>
        </w:rPr>
      </w:pPr>
      <w:r>
        <w:rPr>
          <w:sz w:val="24"/>
          <w:szCs w:val="24"/>
        </w:rPr>
        <w:t xml:space="preserve"> </w:t>
      </w:r>
    </w:p>
    <w:p w:rsidR="00B270DC" w:rsidRDefault="00B270DC" w:rsidP="00B270DC">
      <w:pPr>
        <w:pStyle w:val="ListParagraph"/>
        <w:numPr>
          <w:ilvl w:val="0"/>
          <w:numId w:val="33"/>
        </w:numPr>
        <w:spacing w:line="360" w:lineRule="auto"/>
        <w:ind w:left="0" w:firstLine="1440"/>
        <w:rPr>
          <w:sz w:val="24"/>
          <w:szCs w:val="24"/>
        </w:rPr>
      </w:pPr>
      <w:r>
        <w:rPr>
          <w:sz w:val="24"/>
          <w:szCs w:val="24"/>
        </w:rPr>
        <w:t>The Respondent is PPL Electric Utilities Corporation, a jurisdictional public utility.</w:t>
      </w:r>
    </w:p>
    <w:p w:rsidR="00B270DC" w:rsidRPr="00B270DC" w:rsidRDefault="00B270DC" w:rsidP="00417CD1">
      <w:pPr>
        <w:pStyle w:val="ListParagraph"/>
        <w:spacing w:line="360" w:lineRule="auto"/>
        <w:rPr>
          <w:sz w:val="24"/>
          <w:szCs w:val="24"/>
        </w:rPr>
      </w:pPr>
    </w:p>
    <w:p w:rsidR="00B270DC" w:rsidRDefault="00B270DC" w:rsidP="00417CD1">
      <w:pPr>
        <w:pStyle w:val="ListParagraph"/>
        <w:numPr>
          <w:ilvl w:val="0"/>
          <w:numId w:val="33"/>
        </w:numPr>
        <w:spacing w:line="360" w:lineRule="auto"/>
        <w:ind w:left="0" w:firstLine="1440"/>
        <w:rPr>
          <w:sz w:val="24"/>
          <w:szCs w:val="24"/>
        </w:rPr>
      </w:pPr>
      <w:r>
        <w:rPr>
          <w:sz w:val="24"/>
          <w:szCs w:val="24"/>
        </w:rPr>
        <w:t>The Complainant has made only one payment during 2015.  PPL Exh. 1.</w:t>
      </w:r>
    </w:p>
    <w:p w:rsidR="00B270DC" w:rsidRPr="00B270DC" w:rsidRDefault="00B270DC" w:rsidP="00417CD1">
      <w:pPr>
        <w:pStyle w:val="ListParagraph"/>
        <w:spacing w:line="360" w:lineRule="auto"/>
        <w:rPr>
          <w:sz w:val="24"/>
          <w:szCs w:val="24"/>
        </w:rPr>
      </w:pPr>
    </w:p>
    <w:p w:rsidR="00B270DC" w:rsidRDefault="00B270DC" w:rsidP="00417CD1">
      <w:pPr>
        <w:pStyle w:val="ListParagraph"/>
        <w:numPr>
          <w:ilvl w:val="0"/>
          <w:numId w:val="33"/>
        </w:numPr>
        <w:spacing w:line="360" w:lineRule="auto"/>
        <w:ind w:left="0" w:firstLine="1440"/>
        <w:rPr>
          <w:sz w:val="24"/>
          <w:szCs w:val="24"/>
        </w:rPr>
      </w:pPr>
      <w:r>
        <w:rPr>
          <w:sz w:val="24"/>
          <w:szCs w:val="24"/>
        </w:rPr>
        <w:t>The Complainant has defaulted on 17 payment agreements.</w:t>
      </w:r>
      <w:r w:rsidR="00C51D3D">
        <w:rPr>
          <w:sz w:val="24"/>
          <w:szCs w:val="24"/>
        </w:rPr>
        <w:t xml:space="preserve"> </w:t>
      </w:r>
      <w:r w:rsidR="00025854">
        <w:rPr>
          <w:sz w:val="24"/>
          <w:szCs w:val="24"/>
        </w:rPr>
        <w:t xml:space="preserve">All but one </w:t>
      </w:r>
      <w:proofErr w:type="gramStart"/>
      <w:r w:rsidR="00025854">
        <w:rPr>
          <w:sz w:val="24"/>
          <w:szCs w:val="24"/>
        </w:rPr>
        <w:t>were</w:t>
      </w:r>
      <w:proofErr w:type="gramEnd"/>
      <w:r w:rsidR="00025854">
        <w:rPr>
          <w:sz w:val="24"/>
          <w:szCs w:val="24"/>
        </w:rPr>
        <w:t xml:space="preserve"> PPL issued.  On was issued by the Commission. </w:t>
      </w:r>
      <w:r w:rsidR="00C51D3D">
        <w:rPr>
          <w:sz w:val="24"/>
          <w:szCs w:val="24"/>
        </w:rPr>
        <w:t xml:space="preserve"> PPL Exh. 3</w:t>
      </w:r>
    </w:p>
    <w:p w:rsidR="00B270DC" w:rsidRPr="00B270DC" w:rsidRDefault="00B270DC" w:rsidP="00417CD1">
      <w:pPr>
        <w:pStyle w:val="ListParagraph"/>
        <w:spacing w:line="360" w:lineRule="auto"/>
        <w:rPr>
          <w:sz w:val="24"/>
          <w:szCs w:val="24"/>
        </w:rPr>
      </w:pPr>
    </w:p>
    <w:p w:rsidR="00B270DC" w:rsidRDefault="00B270DC" w:rsidP="00417CD1">
      <w:pPr>
        <w:pStyle w:val="ListParagraph"/>
        <w:numPr>
          <w:ilvl w:val="0"/>
          <w:numId w:val="33"/>
        </w:numPr>
        <w:spacing w:line="360" w:lineRule="auto"/>
        <w:ind w:left="0" w:firstLine="1440"/>
        <w:rPr>
          <w:sz w:val="24"/>
          <w:szCs w:val="24"/>
        </w:rPr>
      </w:pPr>
      <w:r>
        <w:rPr>
          <w:sz w:val="24"/>
          <w:szCs w:val="24"/>
        </w:rPr>
        <w:t>The Complainant’s service was terminated on June 9, 2015 for non-payment.</w:t>
      </w:r>
    </w:p>
    <w:p w:rsidR="00B270DC" w:rsidRPr="00B270DC" w:rsidRDefault="00B270DC" w:rsidP="00417CD1">
      <w:pPr>
        <w:pStyle w:val="ListParagraph"/>
        <w:spacing w:line="360" w:lineRule="auto"/>
        <w:rPr>
          <w:sz w:val="24"/>
          <w:szCs w:val="24"/>
        </w:rPr>
      </w:pPr>
    </w:p>
    <w:p w:rsidR="00B270DC" w:rsidRDefault="00B270DC" w:rsidP="00417CD1">
      <w:pPr>
        <w:pStyle w:val="ListParagraph"/>
        <w:numPr>
          <w:ilvl w:val="0"/>
          <w:numId w:val="33"/>
        </w:numPr>
        <w:spacing w:line="360" w:lineRule="auto"/>
        <w:ind w:left="0" w:firstLine="1440"/>
        <w:rPr>
          <w:sz w:val="24"/>
          <w:szCs w:val="24"/>
        </w:rPr>
      </w:pPr>
      <w:r>
        <w:rPr>
          <w:sz w:val="24"/>
          <w:szCs w:val="24"/>
        </w:rPr>
        <w:t>The Complainant has not made a good faith effort to pay down his arrearage</w:t>
      </w:r>
      <w:r w:rsidR="003E3A6D">
        <w:rPr>
          <w:sz w:val="24"/>
          <w:szCs w:val="24"/>
        </w:rPr>
        <w:t xml:space="preserve"> or even make modest monthly payments</w:t>
      </w:r>
      <w:r>
        <w:rPr>
          <w:sz w:val="24"/>
          <w:szCs w:val="24"/>
        </w:rPr>
        <w:t>.</w:t>
      </w:r>
    </w:p>
    <w:p w:rsidR="00B270DC" w:rsidRPr="00B270DC" w:rsidRDefault="00B270DC" w:rsidP="00417CD1">
      <w:pPr>
        <w:pStyle w:val="ListParagraph"/>
        <w:spacing w:line="360" w:lineRule="auto"/>
        <w:rPr>
          <w:sz w:val="24"/>
          <w:szCs w:val="24"/>
        </w:rPr>
      </w:pPr>
    </w:p>
    <w:p w:rsidR="00B270DC" w:rsidRDefault="00B270DC" w:rsidP="00417CD1">
      <w:pPr>
        <w:pStyle w:val="ListParagraph"/>
        <w:numPr>
          <w:ilvl w:val="0"/>
          <w:numId w:val="33"/>
        </w:numPr>
        <w:spacing w:line="360" w:lineRule="auto"/>
        <w:ind w:left="0" w:firstLine="1440"/>
        <w:rPr>
          <w:sz w:val="24"/>
          <w:szCs w:val="24"/>
        </w:rPr>
      </w:pPr>
      <w:r>
        <w:rPr>
          <w:sz w:val="24"/>
          <w:szCs w:val="24"/>
        </w:rPr>
        <w:t>At the time of the hearing, the Complainant arrea</w:t>
      </w:r>
      <w:r w:rsidR="00C51D3D">
        <w:rPr>
          <w:sz w:val="24"/>
          <w:szCs w:val="24"/>
        </w:rPr>
        <w:t>ra</w:t>
      </w:r>
      <w:r>
        <w:rPr>
          <w:sz w:val="24"/>
          <w:szCs w:val="24"/>
        </w:rPr>
        <w:t xml:space="preserve">ge totaled </w:t>
      </w:r>
      <w:r w:rsidR="00C51D3D">
        <w:rPr>
          <w:sz w:val="24"/>
          <w:szCs w:val="24"/>
        </w:rPr>
        <w:t>$2,407.10.</w:t>
      </w:r>
    </w:p>
    <w:p w:rsidR="00C51D3D" w:rsidRPr="00C51D3D" w:rsidRDefault="00C51D3D" w:rsidP="00C51D3D">
      <w:pPr>
        <w:pStyle w:val="ListParagraph"/>
        <w:rPr>
          <w:sz w:val="24"/>
          <w:szCs w:val="24"/>
        </w:rPr>
      </w:pPr>
    </w:p>
    <w:p w:rsidR="00C51D3D" w:rsidRPr="00B270DC" w:rsidRDefault="00C51D3D" w:rsidP="00C51D3D">
      <w:pPr>
        <w:pStyle w:val="ListParagraph"/>
        <w:spacing w:line="360" w:lineRule="auto"/>
        <w:ind w:left="1440"/>
        <w:rPr>
          <w:sz w:val="24"/>
          <w:szCs w:val="24"/>
        </w:rPr>
      </w:pPr>
    </w:p>
    <w:p w:rsidR="00CB495C" w:rsidRPr="00417CD1" w:rsidRDefault="00CB495C" w:rsidP="003E3A6D">
      <w:pPr>
        <w:spacing w:line="360" w:lineRule="auto"/>
        <w:jc w:val="center"/>
        <w:rPr>
          <w:sz w:val="24"/>
          <w:szCs w:val="24"/>
          <w:u w:val="single"/>
        </w:rPr>
      </w:pPr>
      <w:r w:rsidRPr="00417CD1">
        <w:rPr>
          <w:sz w:val="24"/>
          <w:szCs w:val="24"/>
          <w:u w:val="single"/>
        </w:rPr>
        <w:t>DISCUSSION</w:t>
      </w:r>
    </w:p>
    <w:p w:rsidR="0050302E" w:rsidRPr="003E3A6D" w:rsidRDefault="0050302E" w:rsidP="003E3A6D">
      <w:pPr>
        <w:spacing w:line="360" w:lineRule="auto"/>
        <w:jc w:val="center"/>
        <w:rPr>
          <w:sz w:val="24"/>
          <w:szCs w:val="24"/>
        </w:rPr>
      </w:pPr>
    </w:p>
    <w:p w:rsidR="00CB495C" w:rsidRDefault="003E3A6D" w:rsidP="003E3A6D">
      <w:pPr>
        <w:spacing w:line="360" w:lineRule="auto"/>
        <w:ind w:firstLine="1440"/>
        <w:rPr>
          <w:sz w:val="24"/>
          <w:szCs w:val="24"/>
        </w:rPr>
      </w:pPr>
      <w:r w:rsidRPr="003E3A6D">
        <w:rPr>
          <w:sz w:val="24"/>
          <w:szCs w:val="24"/>
        </w:rPr>
        <w:t>The Complainant</w:t>
      </w:r>
      <w:r>
        <w:rPr>
          <w:sz w:val="24"/>
          <w:szCs w:val="24"/>
        </w:rPr>
        <w:t xml:space="preserve"> has a past due bill of $2,407.10.  His service has been terminated for non-payment, and he has only made one payment in all of 2015.  </w:t>
      </w:r>
      <w:proofErr w:type="gramStart"/>
      <w:r>
        <w:rPr>
          <w:sz w:val="24"/>
          <w:szCs w:val="24"/>
        </w:rPr>
        <w:t>PPL Exh.</w:t>
      </w:r>
      <w:proofErr w:type="gramEnd"/>
      <w:r>
        <w:rPr>
          <w:sz w:val="24"/>
          <w:szCs w:val="24"/>
        </w:rPr>
        <w:t xml:space="preserve"> 1.  Additionally, he has defaulted on 17 different payment agreements.  </w:t>
      </w:r>
      <w:proofErr w:type="gramStart"/>
      <w:r>
        <w:rPr>
          <w:sz w:val="24"/>
          <w:szCs w:val="24"/>
        </w:rPr>
        <w:t>PPL Exh.</w:t>
      </w:r>
      <w:proofErr w:type="gramEnd"/>
      <w:r>
        <w:rPr>
          <w:sz w:val="24"/>
          <w:szCs w:val="24"/>
        </w:rPr>
        <w:t xml:space="preserve"> 3.  He is seeking a lower payment to have his power restored and a lower monthly payment.</w:t>
      </w:r>
    </w:p>
    <w:p w:rsidR="003E3A6D" w:rsidRDefault="003E3A6D" w:rsidP="003E3A6D">
      <w:pPr>
        <w:spacing w:line="360" w:lineRule="auto"/>
        <w:ind w:firstLine="1440"/>
        <w:rPr>
          <w:sz w:val="24"/>
          <w:szCs w:val="24"/>
        </w:rPr>
      </w:pPr>
    </w:p>
    <w:p w:rsidR="003E3A6D" w:rsidRPr="00614336" w:rsidRDefault="003E3A6D" w:rsidP="003E3A6D">
      <w:pPr>
        <w:tabs>
          <w:tab w:val="left" w:pos="-1440"/>
          <w:tab w:val="left" w:pos="-720"/>
        </w:tabs>
        <w:suppressAutoHyphens/>
        <w:spacing w:line="360" w:lineRule="auto"/>
        <w:ind w:firstLine="1440"/>
        <w:rPr>
          <w:spacing w:val="-3"/>
          <w:sz w:val="24"/>
          <w:szCs w:val="24"/>
        </w:rPr>
      </w:pPr>
      <w:r w:rsidRPr="00A941C5">
        <w:rPr>
          <w:sz w:val="24"/>
          <w:szCs w:val="24"/>
        </w:rPr>
        <w:t xml:space="preserve">As the party seeking affirmative relief from the Commission, </w:t>
      </w:r>
      <w:r>
        <w:rPr>
          <w:sz w:val="24"/>
          <w:szCs w:val="24"/>
        </w:rPr>
        <w:t xml:space="preserve">the Complainant </w:t>
      </w:r>
      <w:r w:rsidRPr="00A941C5">
        <w:rPr>
          <w:sz w:val="24"/>
          <w:szCs w:val="24"/>
        </w:rPr>
        <w:t>bear</w:t>
      </w:r>
      <w:r>
        <w:rPr>
          <w:sz w:val="24"/>
          <w:szCs w:val="24"/>
        </w:rPr>
        <w:t>s</w:t>
      </w:r>
      <w:r w:rsidRPr="00A941C5">
        <w:rPr>
          <w:sz w:val="24"/>
          <w:szCs w:val="24"/>
        </w:rPr>
        <w:t xml:space="preserve"> the burden of proof.  </w:t>
      </w:r>
      <w:proofErr w:type="gramStart"/>
      <w:r w:rsidRPr="00A941C5">
        <w:rPr>
          <w:sz w:val="24"/>
          <w:szCs w:val="24"/>
        </w:rPr>
        <w:t>66 Pa.C.S.</w:t>
      </w:r>
      <w:proofErr w:type="gramEnd"/>
      <w:r w:rsidRPr="00A941C5">
        <w:rPr>
          <w:sz w:val="24"/>
          <w:szCs w:val="24"/>
        </w:rPr>
        <w:t xml:space="preserve"> §</w:t>
      </w:r>
      <w:r>
        <w:rPr>
          <w:sz w:val="24"/>
          <w:szCs w:val="24"/>
        </w:rPr>
        <w:t xml:space="preserve"> </w:t>
      </w:r>
      <w:r w:rsidRPr="00A941C5">
        <w:rPr>
          <w:sz w:val="24"/>
          <w:szCs w:val="24"/>
        </w:rPr>
        <w:t>332(a).</w:t>
      </w:r>
      <w:r>
        <w:rPr>
          <w:sz w:val="24"/>
          <w:szCs w:val="24"/>
        </w:rPr>
        <w:t xml:space="preserve">  </w:t>
      </w:r>
      <w:r w:rsidRPr="00614336">
        <w:rPr>
          <w:spacing w:val="-3"/>
          <w:sz w:val="24"/>
          <w:szCs w:val="24"/>
        </w:rPr>
        <w:t>To establish a sufficient case and satisfy the burden of proof,</w:t>
      </w:r>
      <w:r>
        <w:rPr>
          <w:spacing w:val="-3"/>
          <w:sz w:val="24"/>
          <w:szCs w:val="24"/>
        </w:rPr>
        <w:t xml:space="preserve"> the</w:t>
      </w:r>
      <w:r w:rsidRPr="00614336">
        <w:rPr>
          <w:spacing w:val="-3"/>
          <w:sz w:val="24"/>
          <w:szCs w:val="24"/>
        </w:rPr>
        <w:t xml:space="preserve"> </w:t>
      </w:r>
      <w:r>
        <w:rPr>
          <w:spacing w:val="-3"/>
          <w:sz w:val="24"/>
          <w:szCs w:val="24"/>
        </w:rPr>
        <w:t>Complainant</w:t>
      </w:r>
      <w:r w:rsidRPr="00614336">
        <w:rPr>
          <w:spacing w:val="-3"/>
          <w:sz w:val="24"/>
          <w:szCs w:val="24"/>
        </w:rPr>
        <w:t xml:space="preserve"> must show that the </w:t>
      </w:r>
      <w:r>
        <w:rPr>
          <w:spacing w:val="-3"/>
          <w:sz w:val="24"/>
          <w:szCs w:val="24"/>
        </w:rPr>
        <w:t>Respondent</w:t>
      </w:r>
      <w:r w:rsidRPr="00614336">
        <w:rPr>
          <w:spacing w:val="-3"/>
          <w:sz w:val="24"/>
          <w:szCs w:val="24"/>
        </w:rPr>
        <w:t xml:space="preserve"> public utility is responsible or accountable for the problem described in the Complaint.  </w:t>
      </w:r>
      <w:proofErr w:type="gramStart"/>
      <w:r w:rsidRPr="0073245F">
        <w:rPr>
          <w:i/>
          <w:spacing w:val="-3"/>
          <w:sz w:val="24"/>
          <w:szCs w:val="24"/>
        </w:rPr>
        <w:t>Patterson v. Bell Telephone Company of Pennsylvania</w:t>
      </w:r>
      <w:r w:rsidRPr="00614336">
        <w:rPr>
          <w:spacing w:val="-3"/>
          <w:sz w:val="24"/>
          <w:szCs w:val="24"/>
        </w:rPr>
        <w:t>, 72 P</w:t>
      </w:r>
      <w:r>
        <w:rPr>
          <w:spacing w:val="-3"/>
          <w:sz w:val="24"/>
          <w:szCs w:val="24"/>
        </w:rPr>
        <w:t>a.</w:t>
      </w:r>
      <w:r w:rsidRPr="00614336">
        <w:rPr>
          <w:spacing w:val="-3"/>
          <w:sz w:val="24"/>
          <w:szCs w:val="24"/>
        </w:rPr>
        <w:t xml:space="preserve"> PUC 196</w:t>
      </w:r>
      <w:r>
        <w:rPr>
          <w:spacing w:val="-3"/>
          <w:sz w:val="24"/>
          <w:szCs w:val="24"/>
        </w:rPr>
        <w:t xml:space="preserve"> (</w:t>
      </w:r>
      <w:r w:rsidRPr="00614336">
        <w:rPr>
          <w:spacing w:val="-3"/>
          <w:sz w:val="24"/>
          <w:szCs w:val="24"/>
        </w:rPr>
        <w:t xml:space="preserve">1990), </w:t>
      </w:r>
      <w:r w:rsidRPr="0073245F">
        <w:rPr>
          <w:i/>
          <w:spacing w:val="-3"/>
          <w:sz w:val="24"/>
          <w:szCs w:val="24"/>
        </w:rPr>
        <w:t>Feinstein v. Philadelphia Suburban Water Company</w:t>
      </w:r>
      <w:r w:rsidRPr="00614336">
        <w:rPr>
          <w:spacing w:val="-3"/>
          <w:sz w:val="24"/>
          <w:szCs w:val="24"/>
        </w:rPr>
        <w:t>, 50 P</w:t>
      </w:r>
      <w:r>
        <w:rPr>
          <w:spacing w:val="-3"/>
          <w:sz w:val="24"/>
          <w:szCs w:val="24"/>
        </w:rPr>
        <w:t>a.</w:t>
      </w:r>
      <w:r w:rsidRPr="00614336">
        <w:rPr>
          <w:spacing w:val="-3"/>
          <w:sz w:val="24"/>
          <w:szCs w:val="24"/>
        </w:rPr>
        <w:t xml:space="preserve"> PUC 300</w:t>
      </w:r>
      <w:r>
        <w:rPr>
          <w:spacing w:val="-3"/>
          <w:sz w:val="24"/>
          <w:szCs w:val="24"/>
        </w:rPr>
        <w:t xml:space="preserve"> </w:t>
      </w:r>
      <w:r w:rsidRPr="00614336">
        <w:rPr>
          <w:spacing w:val="-3"/>
          <w:sz w:val="24"/>
          <w:szCs w:val="24"/>
        </w:rPr>
        <w:t>(1976).</w:t>
      </w:r>
      <w:proofErr w:type="gramEnd"/>
      <w:r w:rsidRPr="00614336">
        <w:rPr>
          <w:spacing w:val="-3"/>
          <w:sz w:val="24"/>
          <w:szCs w:val="24"/>
        </w:rPr>
        <w:t xml:space="preserve">  Such a showing must be by a preponderance of the evidence.  </w:t>
      </w:r>
      <w:proofErr w:type="gramStart"/>
      <w:r w:rsidRPr="0073245F">
        <w:rPr>
          <w:i/>
          <w:spacing w:val="-3"/>
          <w:sz w:val="24"/>
          <w:szCs w:val="24"/>
        </w:rPr>
        <w:t>Samuel J. Lansberry, Inc. v. Pa. P</w:t>
      </w:r>
      <w:r w:rsidR="00417CD1">
        <w:rPr>
          <w:i/>
          <w:spacing w:val="-3"/>
          <w:sz w:val="24"/>
          <w:szCs w:val="24"/>
        </w:rPr>
        <w:t>ub.</w:t>
      </w:r>
      <w:proofErr w:type="gramEnd"/>
      <w:r w:rsidR="00417CD1">
        <w:rPr>
          <w:i/>
          <w:spacing w:val="-3"/>
          <w:sz w:val="24"/>
          <w:szCs w:val="24"/>
        </w:rPr>
        <w:t xml:space="preserve"> Util. Comm’n</w:t>
      </w:r>
      <w:r w:rsidRPr="00614336">
        <w:rPr>
          <w:spacing w:val="-3"/>
          <w:sz w:val="24"/>
          <w:szCs w:val="24"/>
        </w:rPr>
        <w:t xml:space="preserve">, </w:t>
      </w:r>
      <w:proofErr w:type="gramStart"/>
      <w:r w:rsidRPr="00614336">
        <w:rPr>
          <w:spacing w:val="-3"/>
          <w:sz w:val="24"/>
          <w:szCs w:val="24"/>
        </w:rPr>
        <w:t xml:space="preserve">134 </w:t>
      </w:r>
      <w:proofErr w:type="spellStart"/>
      <w:r w:rsidRPr="00614336">
        <w:rPr>
          <w:spacing w:val="-3"/>
          <w:sz w:val="24"/>
          <w:szCs w:val="24"/>
        </w:rPr>
        <w:t>Pa.C</w:t>
      </w:r>
      <w:r w:rsidR="00417CD1">
        <w:rPr>
          <w:spacing w:val="-3"/>
          <w:sz w:val="24"/>
          <w:szCs w:val="24"/>
        </w:rPr>
        <w:t>mwlth</w:t>
      </w:r>
      <w:proofErr w:type="spellEnd"/>
      <w:proofErr w:type="gramEnd"/>
      <w:r w:rsidRPr="00614336">
        <w:rPr>
          <w:spacing w:val="-3"/>
          <w:sz w:val="24"/>
          <w:szCs w:val="24"/>
        </w:rPr>
        <w:t xml:space="preserve">. </w:t>
      </w:r>
      <w:proofErr w:type="gramStart"/>
      <w:r w:rsidRPr="00614336">
        <w:rPr>
          <w:spacing w:val="-3"/>
          <w:sz w:val="24"/>
          <w:szCs w:val="24"/>
        </w:rPr>
        <w:t>218; 221-222, 578 A.2d 600; 602</w:t>
      </w:r>
      <w:r>
        <w:rPr>
          <w:spacing w:val="-3"/>
          <w:sz w:val="24"/>
          <w:szCs w:val="24"/>
        </w:rPr>
        <w:t xml:space="preserve"> </w:t>
      </w:r>
      <w:r w:rsidRPr="00614336">
        <w:rPr>
          <w:spacing w:val="-3"/>
          <w:sz w:val="24"/>
          <w:szCs w:val="24"/>
        </w:rPr>
        <w:t xml:space="preserve">(1990), </w:t>
      </w:r>
      <w:r w:rsidRPr="00614336">
        <w:rPr>
          <w:i/>
          <w:spacing w:val="-3"/>
          <w:sz w:val="24"/>
          <w:szCs w:val="24"/>
        </w:rPr>
        <w:t>alloc.</w:t>
      </w:r>
      <w:proofErr w:type="gramEnd"/>
      <w:r w:rsidRPr="00614336">
        <w:rPr>
          <w:i/>
          <w:spacing w:val="-3"/>
          <w:sz w:val="24"/>
          <w:szCs w:val="24"/>
        </w:rPr>
        <w:t xml:space="preserve"> </w:t>
      </w:r>
      <w:proofErr w:type="gramStart"/>
      <w:r w:rsidRPr="00614336">
        <w:rPr>
          <w:i/>
          <w:spacing w:val="-3"/>
          <w:sz w:val="24"/>
          <w:szCs w:val="24"/>
        </w:rPr>
        <w:t>den</w:t>
      </w:r>
      <w:r w:rsidRPr="00614336">
        <w:rPr>
          <w:spacing w:val="-3"/>
          <w:sz w:val="24"/>
          <w:szCs w:val="24"/>
        </w:rPr>
        <w:t>., 602 A.2d 863</w:t>
      </w:r>
      <w:r>
        <w:rPr>
          <w:spacing w:val="-3"/>
          <w:sz w:val="24"/>
          <w:szCs w:val="24"/>
        </w:rPr>
        <w:t xml:space="preserve"> </w:t>
      </w:r>
      <w:r w:rsidRPr="00614336">
        <w:rPr>
          <w:spacing w:val="-3"/>
          <w:sz w:val="24"/>
          <w:szCs w:val="24"/>
        </w:rPr>
        <w:t>(1992).</w:t>
      </w:r>
      <w:proofErr w:type="gramEnd"/>
      <w:r w:rsidRPr="00614336">
        <w:rPr>
          <w:spacing w:val="-3"/>
          <w:sz w:val="24"/>
          <w:szCs w:val="24"/>
        </w:rPr>
        <w:t xml:space="preserve">  That is, </w:t>
      </w:r>
      <w:r>
        <w:rPr>
          <w:spacing w:val="-3"/>
          <w:sz w:val="24"/>
          <w:szCs w:val="24"/>
        </w:rPr>
        <w:t>a party must p</w:t>
      </w:r>
      <w:r w:rsidRPr="00614336">
        <w:rPr>
          <w:spacing w:val="-3"/>
          <w:sz w:val="24"/>
          <w:szCs w:val="24"/>
        </w:rPr>
        <w:t xml:space="preserve">resent evidence more convincing, by even the smallest amount, than that presented by the other party.  </w:t>
      </w:r>
      <w:proofErr w:type="gramStart"/>
      <w:r w:rsidRPr="0073245F">
        <w:rPr>
          <w:i/>
          <w:spacing w:val="-3"/>
          <w:sz w:val="24"/>
          <w:szCs w:val="24"/>
        </w:rPr>
        <w:t>Se-Ling Hosiery v. Margulies</w:t>
      </w:r>
      <w:r w:rsidRPr="00614336">
        <w:rPr>
          <w:spacing w:val="-3"/>
          <w:sz w:val="24"/>
          <w:szCs w:val="24"/>
        </w:rPr>
        <w:t>, 364 Pa. 45, 70 A.2d 854</w:t>
      </w:r>
      <w:r>
        <w:rPr>
          <w:spacing w:val="-3"/>
          <w:sz w:val="24"/>
          <w:szCs w:val="24"/>
        </w:rPr>
        <w:t xml:space="preserve"> </w:t>
      </w:r>
      <w:r w:rsidRPr="00614336">
        <w:rPr>
          <w:spacing w:val="-3"/>
          <w:sz w:val="24"/>
          <w:szCs w:val="24"/>
        </w:rPr>
        <w:t>(1950).</w:t>
      </w:r>
      <w:proofErr w:type="gramEnd"/>
      <w:r w:rsidRPr="00614336">
        <w:rPr>
          <w:spacing w:val="-3"/>
          <w:sz w:val="24"/>
          <w:szCs w:val="24"/>
        </w:rPr>
        <w:t xml:space="preserve">  Additionally, any finding of fact necessary to support the Commission’s adjudication must be based upon substantial evidence.  </w:t>
      </w:r>
      <w:proofErr w:type="gramStart"/>
      <w:r w:rsidRPr="00025854">
        <w:rPr>
          <w:i/>
          <w:spacing w:val="-3"/>
          <w:sz w:val="24"/>
          <w:szCs w:val="24"/>
        </w:rPr>
        <w:t>Mill v. Pa. P</w:t>
      </w:r>
      <w:r w:rsidR="00417CD1" w:rsidRPr="00025854">
        <w:rPr>
          <w:i/>
          <w:spacing w:val="-3"/>
          <w:sz w:val="24"/>
          <w:szCs w:val="24"/>
        </w:rPr>
        <w:t>ub.</w:t>
      </w:r>
      <w:proofErr w:type="gramEnd"/>
      <w:r w:rsidR="00417CD1" w:rsidRPr="00025854">
        <w:rPr>
          <w:i/>
          <w:spacing w:val="-3"/>
          <w:sz w:val="24"/>
          <w:szCs w:val="24"/>
        </w:rPr>
        <w:t xml:space="preserve"> Util. Comm’n</w:t>
      </w:r>
      <w:r w:rsidRPr="009D011B">
        <w:rPr>
          <w:spacing w:val="-3"/>
          <w:sz w:val="24"/>
          <w:szCs w:val="24"/>
        </w:rPr>
        <w:t>,</w:t>
      </w:r>
      <w:r w:rsidR="00417CD1">
        <w:rPr>
          <w:spacing w:val="-3"/>
          <w:sz w:val="24"/>
          <w:szCs w:val="24"/>
        </w:rPr>
        <w:t xml:space="preserve"> </w:t>
      </w:r>
      <w:proofErr w:type="gramStart"/>
      <w:r w:rsidRPr="00614336">
        <w:rPr>
          <w:spacing w:val="-3"/>
          <w:sz w:val="24"/>
          <w:szCs w:val="24"/>
        </w:rPr>
        <w:t xml:space="preserve">67 </w:t>
      </w:r>
      <w:proofErr w:type="spellStart"/>
      <w:r w:rsidRPr="00614336">
        <w:rPr>
          <w:spacing w:val="-3"/>
          <w:sz w:val="24"/>
          <w:szCs w:val="24"/>
        </w:rPr>
        <w:t>Pa.C</w:t>
      </w:r>
      <w:r w:rsidR="00417CD1">
        <w:rPr>
          <w:spacing w:val="-3"/>
          <w:sz w:val="24"/>
          <w:szCs w:val="24"/>
        </w:rPr>
        <w:t>mwlth</w:t>
      </w:r>
      <w:proofErr w:type="spellEnd"/>
      <w:proofErr w:type="gramEnd"/>
      <w:r w:rsidRPr="00614336">
        <w:rPr>
          <w:spacing w:val="-3"/>
          <w:sz w:val="24"/>
          <w:szCs w:val="24"/>
        </w:rPr>
        <w:t xml:space="preserve">. </w:t>
      </w:r>
      <w:proofErr w:type="gramStart"/>
      <w:r w:rsidRPr="00614336">
        <w:rPr>
          <w:spacing w:val="-3"/>
          <w:sz w:val="24"/>
          <w:szCs w:val="24"/>
        </w:rPr>
        <w:t>597, 447 A.2d 1100</w:t>
      </w:r>
      <w:r>
        <w:rPr>
          <w:spacing w:val="-3"/>
          <w:sz w:val="24"/>
          <w:szCs w:val="24"/>
        </w:rPr>
        <w:t xml:space="preserve"> </w:t>
      </w:r>
      <w:r w:rsidRPr="00614336">
        <w:rPr>
          <w:spacing w:val="-3"/>
          <w:sz w:val="24"/>
          <w:szCs w:val="24"/>
        </w:rPr>
        <w:t xml:space="preserve">(1982), </w:t>
      </w:r>
      <w:r w:rsidRPr="0073245F">
        <w:rPr>
          <w:i/>
          <w:spacing w:val="-3"/>
          <w:sz w:val="24"/>
          <w:szCs w:val="24"/>
        </w:rPr>
        <w:t>Edan Transportation Corp. v. Pa. P</w:t>
      </w:r>
      <w:r w:rsidR="00417CD1">
        <w:rPr>
          <w:i/>
          <w:spacing w:val="-3"/>
          <w:sz w:val="24"/>
          <w:szCs w:val="24"/>
        </w:rPr>
        <w:t>ub.</w:t>
      </w:r>
      <w:proofErr w:type="gramEnd"/>
      <w:r w:rsidR="00417CD1">
        <w:rPr>
          <w:i/>
          <w:spacing w:val="-3"/>
          <w:sz w:val="24"/>
          <w:szCs w:val="24"/>
        </w:rPr>
        <w:t xml:space="preserve"> Util. Comm’n</w:t>
      </w:r>
      <w:r w:rsidRPr="00614336">
        <w:rPr>
          <w:spacing w:val="-3"/>
          <w:sz w:val="24"/>
          <w:szCs w:val="24"/>
        </w:rPr>
        <w:t xml:space="preserve">, </w:t>
      </w:r>
      <w:proofErr w:type="gramStart"/>
      <w:r w:rsidRPr="00614336">
        <w:rPr>
          <w:spacing w:val="-3"/>
          <w:sz w:val="24"/>
          <w:szCs w:val="24"/>
        </w:rPr>
        <w:t xml:space="preserve">154 </w:t>
      </w:r>
      <w:proofErr w:type="spellStart"/>
      <w:r w:rsidRPr="00614336">
        <w:rPr>
          <w:spacing w:val="-3"/>
          <w:sz w:val="24"/>
          <w:szCs w:val="24"/>
        </w:rPr>
        <w:t>Pa.C</w:t>
      </w:r>
      <w:r w:rsidR="00417CD1">
        <w:rPr>
          <w:spacing w:val="-3"/>
          <w:sz w:val="24"/>
          <w:szCs w:val="24"/>
        </w:rPr>
        <w:t>mwlth</w:t>
      </w:r>
      <w:proofErr w:type="spellEnd"/>
      <w:proofErr w:type="gramEnd"/>
      <w:r w:rsidRPr="00614336">
        <w:rPr>
          <w:spacing w:val="-3"/>
          <w:sz w:val="24"/>
          <w:szCs w:val="24"/>
        </w:rPr>
        <w:t xml:space="preserve">. </w:t>
      </w:r>
      <w:proofErr w:type="gramStart"/>
      <w:r w:rsidRPr="00614336">
        <w:rPr>
          <w:spacing w:val="-3"/>
          <w:sz w:val="24"/>
          <w:szCs w:val="24"/>
        </w:rPr>
        <w:t>21, 623 A.2d 6</w:t>
      </w:r>
      <w:r>
        <w:rPr>
          <w:spacing w:val="-3"/>
          <w:sz w:val="24"/>
          <w:szCs w:val="24"/>
        </w:rPr>
        <w:t xml:space="preserve"> </w:t>
      </w:r>
      <w:r w:rsidRPr="00614336">
        <w:rPr>
          <w:spacing w:val="-3"/>
          <w:sz w:val="24"/>
          <w:szCs w:val="24"/>
        </w:rPr>
        <w:t>(1993), 2 Pa.C.S.</w:t>
      </w:r>
      <w:proofErr w:type="gramEnd"/>
      <w:r w:rsidRPr="00614336">
        <w:rPr>
          <w:spacing w:val="-3"/>
          <w:sz w:val="24"/>
          <w:szCs w:val="24"/>
        </w:rPr>
        <w:t xml:space="preserve"> §</w:t>
      </w:r>
      <w:r w:rsidR="00417CD1">
        <w:rPr>
          <w:spacing w:val="-3"/>
          <w:sz w:val="24"/>
          <w:szCs w:val="24"/>
        </w:rPr>
        <w:t xml:space="preserve"> </w:t>
      </w:r>
      <w:r w:rsidRPr="00614336">
        <w:rPr>
          <w:spacing w:val="-3"/>
          <w:sz w:val="24"/>
          <w:szCs w:val="24"/>
        </w:rPr>
        <w:t>704.  More is required than a mere trace of evidence or a suspicion of the existence of a fact sought to be establi</w:t>
      </w:r>
      <w:r>
        <w:rPr>
          <w:spacing w:val="-3"/>
          <w:sz w:val="24"/>
          <w:szCs w:val="24"/>
        </w:rPr>
        <w:t>sh</w:t>
      </w:r>
      <w:r w:rsidRPr="00614336">
        <w:rPr>
          <w:spacing w:val="-3"/>
          <w:sz w:val="24"/>
          <w:szCs w:val="24"/>
        </w:rPr>
        <w:t>ed</w:t>
      </w:r>
      <w:r w:rsidRPr="00AB343A">
        <w:rPr>
          <w:i/>
          <w:spacing w:val="-3"/>
          <w:sz w:val="24"/>
          <w:szCs w:val="24"/>
        </w:rPr>
        <w:t xml:space="preserve">.  </w:t>
      </w:r>
      <w:proofErr w:type="gramStart"/>
      <w:r w:rsidRPr="00025854">
        <w:rPr>
          <w:i/>
          <w:spacing w:val="-3"/>
          <w:sz w:val="24"/>
          <w:szCs w:val="24"/>
        </w:rPr>
        <w:t>Norfolk and Western Ry. v. Pa.</w:t>
      </w:r>
      <w:r w:rsidR="00AB343A" w:rsidRPr="00025854">
        <w:rPr>
          <w:i/>
          <w:spacing w:val="-3"/>
          <w:sz w:val="24"/>
          <w:szCs w:val="24"/>
        </w:rPr>
        <w:t xml:space="preserve"> </w:t>
      </w:r>
      <w:r w:rsidRPr="00025854">
        <w:rPr>
          <w:i/>
          <w:spacing w:val="-3"/>
          <w:sz w:val="24"/>
          <w:szCs w:val="24"/>
        </w:rPr>
        <w:t>P</w:t>
      </w:r>
      <w:r w:rsidR="00AB343A" w:rsidRPr="00025854">
        <w:rPr>
          <w:i/>
          <w:spacing w:val="-3"/>
          <w:sz w:val="24"/>
          <w:szCs w:val="24"/>
        </w:rPr>
        <w:t>ub.</w:t>
      </w:r>
      <w:proofErr w:type="gramEnd"/>
      <w:r w:rsidR="00AB343A" w:rsidRPr="00025854">
        <w:rPr>
          <w:i/>
          <w:spacing w:val="-3"/>
          <w:sz w:val="24"/>
          <w:szCs w:val="24"/>
        </w:rPr>
        <w:t xml:space="preserve"> </w:t>
      </w:r>
      <w:proofErr w:type="gramStart"/>
      <w:r w:rsidR="00AB343A" w:rsidRPr="00025854">
        <w:rPr>
          <w:i/>
          <w:spacing w:val="-3"/>
          <w:sz w:val="24"/>
          <w:szCs w:val="24"/>
        </w:rPr>
        <w:t>Util. Comm’n</w:t>
      </w:r>
      <w:r w:rsidRPr="00614336">
        <w:rPr>
          <w:spacing w:val="-3"/>
          <w:sz w:val="24"/>
          <w:szCs w:val="24"/>
        </w:rPr>
        <w:t>, 489 Pa. 109, 413 A.2d 1037</w:t>
      </w:r>
      <w:r>
        <w:rPr>
          <w:spacing w:val="-3"/>
          <w:sz w:val="24"/>
          <w:szCs w:val="24"/>
        </w:rPr>
        <w:t xml:space="preserve"> </w:t>
      </w:r>
      <w:r w:rsidRPr="00614336">
        <w:rPr>
          <w:spacing w:val="-3"/>
          <w:sz w:val="24"/>
          <w:szCs w:val="24"/>
        </w:rPr>
        <w:t xml:space="preserve">(1980); </w:t>
      </w:r>
      <w:r w:rsidRPr="0073245F">
        <w:rPr>
          <w:i/>
          <w:spacing w:val="-3"/>
          <w:sz w:val="24"/>
          <w:szCs w:val="24"/>
        </w:rPr>
        <w:t>Erie Resistor Corp. v. Unemployment Compensation Bd. of Review</w:t>
      </w:r>
      <w:r w:rsidRPr="00614336">
        <w:rPr>
          <w:spacing w:val="-3"/>
          <w:sz w:val="24"/>
          <w:szCs w:val="24"/>
        </w:rPr>
        <w:t xml:space="preserve">, 194 </w:t>
      </w:r>
      <w:proofErr w:type="spellStart"/>
      <w:r w:rsidRPr="00614336">
        <w:rPr>
          <w:spacing w:val="-3"/>
          <w:sz w:val="24"/>
          <w:szCs w:val="24"/>
        </w:rPr>
        <w:t>Pa.Super</w:t>
      </w:r>
      <w:proofErr w:type="spellEnd"/>
      <w:r w:rsidRPr="00614336">
        <w:rPr>
          <w:spacing w:val="-3"/>
          <w:sz w:val="24"/>
          <w:szCs w:val="24"/>
        </w:rPr>
        <w:t>.</w:t>
      </w:r>
      <w:proofErr w:type="gramEnd"/>
      <w:r w:rsidRPr="00614336">
        <w:rPr>
          <w:spacing w:val="-3"/>
          <w:sz w:val="24"/>
          <w:szCs w:val="24"/>
        </w:rPr>
        <w:t xml:space="preserve"> </w:t>
      </w:r>
      <w:proofErr w:type="gramStart"/>
      <w:r w:rsidRPr="00614336">
        <w:rPr>
          <w:spacing w:val="-3"/>
          <w:sz w:val="24"/>
          <w:szCs w:val="24"/>
        </w:rPr>
        <w:t>278, 166 A.2d 96</w:t>
      </w:r>
      <w:r>
        <w:rPr>
          <w:spacing w:val="-3"/>
          <w:sz w:val="24"/>
          <w:szCs w:val="24"/>
        </w:rPr>
        <w:t xml:space="preserve"> </w:t>
      </w:r>
      <w:r w:rsidRPr="00614336">
        <w:rPr>
          <w:spacing w:val="-3"/>
          <w:sz w:val="24"/>
          <w:szCs w:val="24"/>
        </w:rPr>
        <w:t xml:space="preserve">(1960); </w:t>
      </w:r>
      <w:r w:rsidRPr="0073245F">
        <w:rPr>
          <w:i/>
          <w:spacing w:val="-3"/>
          <w:sz w:val="24"/>
          <w:szCs w:val="24"/>
        </w:rPr>
        <w:t>Murphy v. Dep’t of Public Welfare, White Haven Center</w:t>
      </w:r>
      <w:r w:rsidRPr="00614336">
        <w:rPr>
          <w:spacing w:val="-3"/>
          <w:sz w:val="24"/>
          <w:szCs w:val="24"/>
        </w:rPr>
        <w:t xml:space="preserve">, 85 </w:t>
      </w:r>
      <w:proofErr w:type="spellStart"/>
      <w:r w:rsidRPr="00614336">
        <w:rPr>
          <w:spacing w:val="-3"/>
          <w:sz w:val="24"/>
          <w:szCs w:val="24"/>
        </w:rPr>
        <w:t>Pa.C</w:t>
      </w:r>
      <w:r w:rsidR="00417CD1">
        <w:rPr>
          <w:spacing w:val="-3"/>
          <w:sz w:val="24"/>
          <w:szCs w:val="24"/>
        </w:rPr>
        <w:t>mwlth</w:t>
      </w:r>
      <w:proofErr w:type="spellEnd"/>
      <w:r w:rsidRPr="00614336">
        <w:rPr>
          <w:spacing w:val="-3"/>
          <w:sz w:val="24"/>
          <w:szCs w:val="24"/>
        </w:rPr>
        <w:t>.</w:t>
      </w:r>
      <w:proofErr w:type="gramEnd"/>
      <w:r w:rsidRPr="00614336">
        <w:rPr>
          <w:spacing w:val="-3"/>
          <w:sz w:val="24"/>
          <w:szCs w:val="24"/>
        </w:rPr>
        <w:t xml:space="preserve"> </w:t>
      </w:r>
      <w:proofErr w:type="gramStart"/>
      <w:r w:rsidRPr="00614336">
        <w:rPr>
          <w:spacing w:val="-3"/>
          <w:sz w:val="24"/>
          <w:szCs w:val="24"/>
        </w:rPr>
        <w:t>23, 480 A.2d 382</w:t>
      </w:r>
      <w:r>
        <w:rPr>
          <w:spacing w:val="-3"/>
          <w:sz w:val="24"/>
          <w:szCs w:val="24"/>
        </w:rPr>
        <w:t xml:space="preserve"> </w:t>
      </w:r>
      <w:r w:rsidRPr="00614336">
        <w:rPr>
          <w:spacing w:val="-3"/>
          <w:sz w:val="24"/>
          <w:szCs w:val="24"/>
        </w:rPr>
        <w:t>(1984).</w:t>
      </w:r>
      <w:proofErr w:type="gramEnd"/>
    </w:p>
    <w:p w:rsidR="003E3A6D" w:rsidRDefault="003E3A6D" w:rsidP="00AC6F13">
      <w:pPr>
        <w:spacing w:line="360" w:lineRule="auto"/>
      </w:pPr>
    </w:p>
    <w:p w:rsidR="003E3A6D" w:rsidRDefault="003E3A6D" w:rsidP="003E3A6D">
      <w:pPr>
        <w:spacing w:line="360" w:lineRule="auto"/>
        <w:ind w:firstLine="1440"/>
        <w:rPr>
          <w:sz w:val="24"/>
          <w:szCs w:val="24"/>
        </w:rPr>
      </w:pPr>
      <w:r>
        <w:rPr>
          <w:sz w:val="24"/>
          <w:szCs w:val="24"/>
        </w:rPr>
        <w:t>The Complainant was unable to tell me what his monthly income was and the inhabitants of his house have remained the same.  The Complainant failed to prove that the Respondent was accountable for the problem described in the Formal Complaint.  Indeed, the Complainant has an abysmal payment history and shows no signs of making a monthly effort of even a modest amount to cover his usage.</w:t>
      </w:r>
    </w:p>
    <w:p w:rsidR="003E3A6D" w:rsidRDefault="003E3A6D" w:rsidP="003E3A6D">
      <w:pPr>
        <w:spacing w:line="360" w:lineRule="auto"/>
        <w:ind w:firstLine="1440"/>
        <w:rPr>
          <w:sz w:val="24"/>
          <w:szCs w:val="24"/>
        </w:rPr>
      </w:pPr>
    </w:p>
    <w:p w:rsidR="003E3A6D" w:rsidRDefault="003E3A6D" w:rsidP="003E3A6D">
      <w:pPr>
        <w:spacing w:line="360" w:lineRule="auto"/>
        <w:ind w:firstLine="1440"/>
        <w:rPr>
          <w:sz w:val="24"/>
          <w:szCs w:val="24"/>
        </w:rPr>
      </w:pPr>
      <w:r>
        <w:rPr>
          <w:sz w:val="24"/>
          <w:szCs w:val="24"/>
        </w:rPr>
        <w:t xml:space="preserve">The Respondent has already negotiated a lesser payment amount </w:t>
      </w:r>
      <w:r w:rsidR="00992D31">
        <w:rPr>
          <w:sz w:val="24"/>
          <w:szCs w:val="24"/>
        </w:rPr>
        <w:t>to turn service back on.  The Respondent’s position is that the Complainant must pay $947.84 to have service resumed and must pay his current bill plus $41 toward his arrearage for 36 months.  The Commissio</w:t>
      </w:r>
      <w:r w:rsidR="0050302E">
        <w:rPr>
          <w:sz w:val="24"/>
          <w:szCs w:val="24"/>
        </w:rPr>
        <w:t>n is no</w:t>
      </w:r>
      <w:r w:rsidR="00992D31">
        <w:rPr>
          <w:sz w:val="24"/>
          <w:szCs w:val="24"/>
        </w:rPr>
        <w:t>t authorized to make a lesser payment agreement without k</w:t>
      </w:r>
      <w:r w:rsidR="00025854">
        <w:rPr>
          <w:sz w:val="24"/>
          <w:szCs w:val="24"/>
        </w:rPr>
        <w:t>nowing the Complainant’s income</w:t>
      </w:r>
      <w:r w:rsidR="00B90439">
        <w:rPr>
          <w:sz w:val="24"/>
          <w:szCs w:val="24"/>
        </w:rPr>
        <w:t xml:space="preserve"> and whether there has been a change in income</w:t>
      </w:r>
      <w:r w:rsidR="00025854">
        <w:rPr>
          <w:sz w:val="24"/>
          <w:szCs w:val="24"/>
        </w:rPr>
        <w:t>.</w:t>
      </w:r>
      <w:r w:rsidR="00B90439">
        <w:rPr>
          <w:sz w:val="24"/>
          <w:szCs w:val="24"/>
        </w:rPr>
        <w:t xml:space="preserve">  </w:t>
      </w:r>
      <w:proofErr w:type="gramStart"/>
      <w:r w:rsidR="00B90439">
        <w:rPr>
          <w:sz w:val="24"/>
          <w:szCs w:val="24"/>
        </w:rPr>
        <w:t>66 Pa. C.S. § 1405(d).</w:t>
      </w:r>
      <w:proofErr w:type="gramEnd"/>
    </w:p>
    <w:p w:rsidR="00992D31" w:rsidRDefault="00992D31" w:rsidP="003E3A6D">
      <w:pPr>
        <w:spacing w:line="360" w:lineRule="auto"/>
        <w:ind w:firstLine="1440"/>
        <w:rPr>
          <w:sz w:val="24"/>
          <w:szCs w:val="24"/>
        </w:rPr>
      </w:pPr>
    </w:p>
    <w:p w:rsidR="00992D31" w:rsidRDefault="00992D31" w:rsidP="003E3A6D">
      <w:pPr>
        <w:spacing w:line="360" w:lineRule="auto"/>
        <w:ind w:firstLine="1440"/>
        <w:rPr>
          <w:sz w:val="24"/>
          <w:szCs w:val="24"/>
        </w:rPr>
      </w:pPr>
      <w:r>
        <w:rPr>
          <w:sz w:val="24"/>
          <w:szCs w:val="24"/>
        </w:rPr>
        <w:t>The Complainant failed to meet his burden of proof and this Formal Complaint will be dismissed in the ordering paragraphs below.</w:t>
      </w:r>
    </w:p>
    <w:p w:rsidR="00CB495C" w:rsidRPr="00DC4452" w:rsidRDefault="00CB495C" w:rsidP="009A6469">
      <w:pPr>
        <w:spacing w:line="360" w:lineRule="auto"/>
        <w:jc w:val="center"/>
        <w:rPr>
          <w:sz w:val="24"/>
          <w:szCs w:val="24"/>
          <w:u w:val="single"/>
        </w:rPr>
      </w:pPr>
    </w:p>
    <w:p w:rsidR="00CB495C" w:rsidRDefault="00CB495C" w:rsidP="009A6469">
      <w:pPr>
        <w:spacing w:line="360" w:lineRule="auto"/>
        <w:jc w:val="center"/>
        <w:rPr>
          <w:sz w:val="24"/>
          <w:szCs w:val="24"/>
          <w:u w:val="single"/>
        </w:rPr>
      </w:pPr>
      <w:r w:rsidRPr="00DC4452">
        <w:rPr>
          <w:sz w:val="24"/>
          <w:szCs w:val="24"/>
          <w:u w:val="single"/>
        </w:rPr>
        <w:t>CONCLUSIONS OF LAW</w:t>
      </w:r>
    </w:p>
    <w:p w:rsidR="00992D31" w:rsidRDefault="00992D31" w:rsidP="00CB495C">
      <w:pPr>
        <w:jc w:val="center"/>
        <w:rPr>
          <w:sz w:val="24"/>
          <w:szCs w:val="24"/>
          <w:u w:val="single"/>
        </w:rPr>
      </w:pPr>
    </w:p>
    <w:p w:rsidR="00992D31" w:rsidRPr="00992D31" w:rsidRDefault="00992D31" w:rsidP="00992D31">
      <w:pPr>
        <w:pStyle w:val="ListParagraph"/>
        <w:numPr>
          <w:ilvl w:val="0"/>
          <w:numId w:val="34"/>
        </w:numPr>
        <w:spacing w:line="360" w:lineRule="auto"/>
        <w:ind w:left="0" w:firstLine="1440"/>
        <w:rPr>
          <w:sz w:val="24"/>
          <w:szCs w:val="24"/>
          <w:u w:val="single"/>
        </w:rPr>
      </w:pPr>
      <w:r w:rsidRPr="00A941C5">
        <w:rPr>
          <w:sz w:val="24"/>
          <w:szCs w:val="24"/>
        </w:rPr>
        <w:t xml:space="preserve">As the party seeking affirmative relief from the Commission, </w:t>
      </w:r>
      <w:r>
        <w:rPr>
          <w:sz w:val="24"/>
          <w:szCs w:val="24"/>
        </w:rPr>
        <w:t xml:space="preserve">the Complainant </w:t>
      </w:r>
      <w:r w:rsidRPr="00A941C5">
        <w:rPr>
          <w:sz w:val="24"/>
          <w:szCs w:val="24"/>
        </w:rPr>
        <w:t>bear</w:t>
      </w:r>
      <w:r>
        <w:rPr>
          <w:sz w:val="24"/>
          <w:szCs w:val="24"/>
        </w:rPr>
        <w:t>s</w:t>
      </w:r>
      <w:r w:rsidRPr="00A941C5">
        <w:rPr>
          <w:sz w:val="24"/>
          <w:szCs w:val="24"/>
        </w:rPr>
        <w:t xml:space="preserve"> the burden of proof.  </w:t>
      </w:r>
      <w:proofErr w:type="gramStart"/>
      <w:r w:rsidRPr="00A941C5">
        <w:rPr>
          <w:sz w:val="24"/>
          <w:szCs w:val="24"/>
        </w:rPr>
        <w:t>66 Pa.C.S.</w:t>
      </w:r>
      <w:proofErr w:type="gramEnd"/>
      <w:r w:rsidRPr="00A941C5">
        <w:rPr>
          <w:sz w:val="24"/>
          <w:szCs w:val="24"/>
        </w:rPr>
        <w:t xml:space="preserve"> §</w:t>
      </w:r>
      <w:r>
        <w:rPr>
          <w:sz w:val="24"/>
          <w:szCs w:val="24"/>
        </w:rPr>
        <w:t xml:space="preserve"> </w:t>
      </w:r>
      <w:r w:rsidRPr="00A941C5">
        <w:rPr>
          <w:sz w:val="24"/>
          <w:szCs w:val="24"/>
        </w:rPr>
        <w:t>332(a).</w:t>
      </w:r>
      <w:r>
        <w:rPr>
          <w:sz w:val="24"/>
          <w:szCs w:val="24"/>
        </w:rPr>
        <w:t xml:space="preserve"> </w:t>
      </w:r>
    </w:p>
    <w:p w:rsidR="00992D31" w:rsidRPr="00992D31" w:rsidRDefault="00992D31" w:rsidP="00992D31">
      <w:pPr>
        <w:pStyle w:val="ListParagraph"/>
        <w:spacing w:line="360" w:lineRule="auto"/>
        <w:ind w:left="1440"/>
        <w:rPr>
          <w:sz w:val="24"/>
          <w:szCs w:val="24"/>
          <w:u w:val="single"/>
        </w:rPr>
      </w:pPr>
      <w:r>
        <w:rPr>
          <w:sz w:val="24"/>
          <w:szCs w:val="24"/>
        </w:rPr>
        <w:t xml:space="preserve"> </w:t>
      </w:r>
    </w:p>
    <w:p w:rsidR="00992D31" w:rsidRPr="00992D31" w:rsidRDefault="00992D31" w:rsidP="00992D31">
      <w:pPr>
        <w:pStyle w:val="ListParagraph"/>
        <w:numPr>
          <w:ilvl w:val="0"/>
          <w:numId w:val="34"/>
        </w:numPr>
        <w:spacing w:line="360" w:lineRule="auto"/>
        <w:ind w:left="0" w:firstLine="1440"/>
        <w:rPr>
          <w:sz w:val="24"/>
          <w:szCs w:val="24"/>
          <w:u w:val="single"/>
        </w:rPr>
      </w:pPr>
      <w:r w:rsidRPr="00614336">
        <w:rPr>
          <w:spacing w:val="-3"/>
          <w:sz w:val="24"/>
          <w:szCs w:val="24"/>
        </w:rPr>
        <w:t>To establish a sufficient case and satisfy the burden of proof,</w:t>
      </w:r>
      <w:r>
        <w:rPr>
          <w:spacing w:val="-3"/>
          <w:sz w:val="24"/>
          <w:szCs w:val="24"/>
        </w:rPr>
        <w:t xml:space="preserve"> the</w:t>
      </w:r>
      <w:r w:rsidRPr="00614336">
        <w:rPr>
          <w:spacing w:val="-3"/>
          <w:sz w:val="24"/>
          <w:szCs w:val="24"/>
        </w:rPr>
        <w:t xml:space="preserve"> </w:t>
      </w:r>
      <w:r>
        <w:rPr>
          <w:spacing w:val="-3"/>
          <w:sz w:val="24"/>
          <w:szCs w:val="24"/>
        </w:rPr>
        <w:t>Complainant</w:t>
      </w:r>
      <w:r w:rsidRPr="00614336">
        <w:rPr>
          <w:spacing w:val="-3"/>
          <w:sz w:val="24"/>
          <w:szCs w:val="24"/>
        </w:rPr>
        <w:t xml:space="preserve"> must show that the </w:t>
      </w:r>
      <w:r>
        <w:rPr>
          <w:spacing w:val="-3"/>
          <w:sz w:val="24"/>
          <w:szCs w:val="24"/>
        </w:rPr>
        <w:t>Respondent</w:t>
      </w:r>
      <w:r w:rsidRPr="00614336">
        <w:rPr>
          <w:spacing w:val="-3"/>
          <w:sz w:val="24"/>
          <w:szCs w:val="24"/>
        </w:rPr>
        <w:t xml:space="preserve"> public utility is responsible or accountable for the problem described in the Complaint.  </w:t>
      </w:r>
      <w:r w:rsidRPr="0073245F">
        <w:rPr>
          <w:i/>
          <w:spacing w:val="-3"/>
          <w:sz w:val="24"/>
          <w:szCs w:val="24"/>
        </w:rPr>
        <w:t>Patterson v. Bell Telephone Company of Pennsylvania</w:t>
      </w:r>
      <w:r w:rsidRPr="00614336">
        <w:rPr>
          <w:spacing w:val="-3"/>
          <w:sz w:val="24"/>
          <w:szCs w:val="24"/>
        </w:rPr>
        <w:t>, 72 P</w:t>
      </w:r>
      <w:r>
        <w:rPr>
          <w:spacing w:val="-3"/>
          <w:sz w:val="24"/>
          <w:szCs w:val="24"/>
        </w:rPr>
        <w:t>a.</w:t>
      </w:r>
      <w:r w:rsidRPr="00614336">
        <w:rPr>
          <w:spacing w:val="-3"/>
          <w:sz w:val="24"/>
          <w:szCs w:val="24"/>
        </w:rPr>
        <w:t xml:space="preserve"> PUC 196</w:t>
      </w:r>
      <w:r>
        <w:rPr>
          <w:spacing w:val="-3"/>
          <w:sz w:val="24"/>
          <w:szCs w:val="24"/>
        </w:rPr>
        <w:t xml:space="preserve"> (</w:t>
      </w:r>
      <w:r w:rsidRPr="00614336">
        <w:rPr>
          <w:spacing w:val="-3"/>
          <w:sz w:val="24"/>
          <w:szCs w:val="24"/>
        </w:rPr>
        <w:t xml:space="preserve">1990), </w:t>
      </w:r>
      <w:r w:rsidRPr="0073245F">
        <w:rPr>
          <w:i/>
          <w:spacing w:val="-3"/>
          <w:sz w:val="24"/>
          <w:szCs w:val="24"/>
        </w:rPr>
        <w:t>Feinstein v. Philadelphia Suburban Water Company</w:t>
      </w:r>
      <w:r w:rsidRPr="00614336">
        <w:rPr>
          <w:spacing w:val="-3"/>
          <w:sz w:val="24"/>
          <w:szCs w:val="24"/>
        </w:rPr>
        <w:t>, 50 P</w:t>
      </w:r>
      <w:r>
        <w:rPr>
          <w:spacing w:val="-3"/>
          <w:sz w:val="24"/>
          <w:szCs w:val="24"/>
        </w:rPr>
        <w:t>a.</w:t>
      </w:r>
      <w:r w:rsidRPr="00614336">
        <w:rPr>
          <w:spacing w:val="-3"/>
          <w:sz w:val="24"/>
          <w:szCs w:val="24"/>
        </w:rPr>
        <w:t xml:space="preserve"> PUC 300</w:t>
      </w:r>
      <w:r>
        <w:rPr>
          <w:spacing w:val="-3"/>
          <w:sz w:val="24"/>
          <w:szCs w:val="24"/>
        </w:rPr>
        <w:t xml:space="preserve"> </w:t>
      </w:r>
      <w:r w:rsidRPr="00614336">
        <w:rPr>
          <w:spacing w:val="-3"/>
          <w:sz w:val="24"/>
          <w:szCs w:val="24"/>
        </w:rPr>
        <w:t>(1976).</w:t>
      </w:r>
    </w:p>
    <w:p w:rsidR="00992D31" w:rsidRPr="00992D31" w:rsidRDefault="00992D31" w:rsidP="009A6469">
      <w:pPr>
        <w:pStyle w:val="ListParagraph"/>
        <w:spacing w:line="360" w:lineRule="auto"/>
        <w:rPr>
          <w:sz w:val="24"/>
          <w:szCs w:val="24"/>
        </w:rPr>
      </w:pPr>
    </w:p>
    <w:p w:rsidR="00992D31" w:rsidRPr="00992D31" w:rsidRDefault="00992D31" w:rsidP="00992D31">
      <w:pPr>
        <w:pStyle w:val="ListParagraph"/>
        <w:numPr>
          <w:ilvl w:val="0"/>
          <w:numId w:val="34"/>
        </w:numPr>
        <w:spacing w:line="360" w:lineRule="auto"/>
        <w:ind w:left="0" w:firstLine="1440"/>
        <w:rPr>
          <w:sz w:val="24"/>
          <w:szCs w:val="24"/>
        </w:rPr>
      </w:pPr>
      <w:r w:rsidRPr="00992D31">
        <w:rPr>
          <w:sz w:val="24"/>
          <w:szCs w:val="24"/>
        </w:rPr>
        <w:t>The Complainant failed to prove that the Respondent was accountable for the problem described in the Formal Complaint.</w:t>
      </w:r>
    </w:p>
    <w:p w:rsidR="00CB495C" w:rsidRPr="00DC4452" w:rsidRDefault="00CB495C" w:rsidP="00A915A8">
      <w:pPr>
        <w:spacing w:line="360" w:lineRule="auto"/>
        <w:jc w:val="center"/>
        <w:rPr>
          <w:sz w:val="24"/>
          <w:szCs w:val="24"/>
          <w:u w:val="single"/>
        </w:rPr>
      </w:pPr>
    </w:p>
    <w:p w:rsidR="00CB495C" w:rsidRDefault="00CB495C" w:rsidP="00CB495C">
      <w:pPr>
        <w:jc w:val="center"/>
        <w:rPr>
          <w:sz w:val="24"/>
          <w:szCs w:val="24"/>
          <w:u w:val="single"/>
        </w:rPr>
      </w:pPr>
      <w:r w:rsidRPr="00DC4452">
        <w:rPr>
          <w:sz w:val="24"/>
          <w:szCs w:val="24"/>
          <w:u w:val="single"/>
        </w:rPr>
        <w:t>ORDER</w:t>
      </w:r>
    </w:p>
    <w:p w:rsidR="009A6469" w:rsidRDefault="009A6469" w:rsidP="00CB495C">
      <w:pPr>
        <w:jc w:val="center"/>
        <w:rPr>
          <w:sz w:val="24"/>
          <w:szCs w:val="24"/>
          <w:u w:val="single"/>
        </w:rPr>
      </w:pPr>
    </w:p>
    <w:p w:rsidR="00992D31" w:rsidRDefault="00992D31" w:rsidP="00CB495C">
      <w:pPr>
        <w:jc w:val="center"/>
        <w:rPr>
          <w:sz w:val="24"/>
          <w:szCs w:val="24"/>
          <w:u w:val="single"/>
        </w:rPr>
      </w:pPr>
    </w:p>
    <w:p w:rsidR="0050302E" w:rsidRDefault="009A6469" w:rsidP="009A6469">
      <w:pPr>
        <w:spacing w:line="360" w:lineRule="auto"/>
        <w:rPr>
          <w:sz w:val="24"/>
          <w:szCs w:val="24"/>
        </w:rPr>
      </w:pPr>
      <w:r>
        <w:rPr>
          <w:sz w:val="24"/>
          <w:szCs w:val="24"/>
        </w:rPr>
        <w:tab/>
      </w:r>
      <w:r>
        <w:rPr>
          <w:sz w:val="24"/>
          <w:szCs w:val="24"/>
        </w:rPr>
        <w:tab/>
        <w:t>THEREFORE,</w:t>
      </w:r>
    </w:p>
    <w:p w:rsidR="00992D31" w:rsidRDefault="009A6469" w:rsidP="00992D31">
      <w:pPr>
        <w:rPr>
          <w:sz w:val="24"/>
          <w:szCs w:val="24"/>
        </w:rPr>
      </w:pPr>
      <w:r>
        <w:rPr>
          <w:sz w:val="24"/>
          <w:szCs w:val="24"/>
        </w:rPr>
        <w:t xml:space="preserve"> </w:t>
      </w:r>
    </w:p>
    <w:p w:rsidR="00992D31" w:rsidRDefault="009A6469" w:rsidP="009A6469">
      <w:pPr>
        <w:spacing w:line="360" w:lineRule="auto"/>
        <w:rPr>
          <w:sz w:val="24"/>
          <w:szCs w:val="24"/>
        </w:rPr>
      </w:pPr>
      <w:r>
        <w:rPr>
          <w:sz w:val="24"/>
          <w:szCs w:val="24"/>
        </w:rPr>
        <w:tab/>
      </w:r>
      <w:r>
        <w:rPr>
          <w:sz w:val="24"/>
          <w:szCs w:val="24"/>
        </w:rPr>
        <w:tab/>
        <w:t>IT IS ORDERED:</w:t>
      </w:r>
    </w:p>
    <w:p w:rsidR="0050302E" w:rsidRDefault="0050302E" w:rsidP="00992D31">
      <w:pPr>
        <w:rPr>
          <w:sz w:val="24"/>
          <w:szCs w:val="24"/>
        </w:rPr>
      </w:pPr>
    </w:p>
    <w:p w:rsidR="00992D31" w:rsidRDefault="00992D31" w:rsidP="0050302E">
      <w:pPr>
        <w:pStyle w:val="ListParagraph"/>
        <w:numPr>
          <w:ilvl w:val="0"/>
          <w:numId w:val="35"/>
        </w:numPr>
        <w:spacing w:line="360" w:lineRule="auto"/>
        <w:ind w:left="0" w:firstLine="1440"/>
        <w:rPr>
          <w:sz w:val="24"/>
          <w:szCs w:val="24"/>
        </w:rPr>
      </w:pPr>
      <w:r>
        <w:rPr>
          <w:sz w:val="24"/>
          <w:szCs w:val="24"/>
        </w:rPr>
        <w:t xml:space="preserve">That the Formal Complaint of Edward J. </w:t>
      </w:r>
      <w:proofErr w:type="spellStart"/>
      <w:r>
        <w:rPr>
          <w:sz w:val="24"/>
          <w:szCs w:val="24"/>
        </w:rPr>
        <w:t>Kolankiewicz</w:t>
      </w:r>
      <w:proofErr w:type="spellEnd"/>
      <w:r>
        <w:rPr>
          <w:sz w:val="24"/>
          <w:szCs w:val="24"/>
        </w:rPr>
        <w:t xml:space="preserve">, Jr. </w:t>
      </w:r>
      <w:r w:rsidR="00CF41AA">
        <w:rPr>
          <w:sz w:val="24"/>
          <w:szCs w:val="24"/>
        </w:rPr>
        <w:t>a</w:t>
      </w:r>
      <w:r>
        <w:rPr>
          <w:sz w:val="24"/>
          <w:szCs w:val="24"/>
        </w:rPr>
        <w:t>t Docket No. F-2015-24926</w:t>
      </w:r>
      <w:r w:rsidR="00025854">
        <w:rPr>
          <w:sz w:val="24"/>
          <w:szCs w:val="24"/>
        </w:rPr>
        <w:t>5</w:t>
      </w:r>
      <w:r>
        <w:rPr>
          <w:sz w:val="24"/>
          <w:szCs w:val="24"/>
        </w:rPr>
        <w:t>5 is dismissed.</w:t>
      </w:r>
    </w:p>
    <w:p w:rsidR="00A915A8" w:rsidRDefault="00A915A8" w:rsidP="00A915A8">
      <w:pPr>
        <w:pStyle w:val="ListParagraph"/>
        <w:spacing w:line="360" w:lineRule="auto"/>
        <w:ind w:left="1440"/>
        <w:rPr>
          <w:sz w:val="24"/>
          <w:szCs w:val="24"/>
        </w:rPr>
      </w:pPr>
    </w:p>
    <w:p w:rsidR="00992D31" w:rsidRDefault="00992D31" w:rsidP="00992D31">
      <w:pPr>
        <w:pStyle w:val="ListParagraph"/>
        <w:ind w:left="2160"/>
        <w:rPr>
          <w:sz w:val="24"/>
          <w:szCs w:val="24"/>
        </w:rPr>
      </w:pPr>
      <w:r>
        <w:rPr>
          <w:sz w:val="24"/>
          <w:szCs w:val="24"/>
        </w:rPr>
        <w:t xml:space="preserve"> </w:t>
      </w:r>
    </w:p>
    <w:p w:rsidR="00992D31" w:rsidRPr="00992D31" w:rsidRDefault="0050302E" w:rsidP="0050302E">
      <w:pPr>
        <w:pStyle w:val="ListParagraph"/>
        <w:numPr>
          <w:ilvl w:val="0"/>
          <w:numId w:val="35"/>
        </w:numPr>
        <w:ind w:left="0" w:firstLine="1350"/>
        <w:rPr>
          <w:sz w:val="24"/>
          <w:szCs w:val="24"/>
        </w:rPr>
      </w:pPr>
      <w:r>
        <w:rPr>
          <w:sz w:val="24"/>
          <w:szCs w:val="24"/>
        </w:rPr>
        <w:t>That the Secretary’s Bureau shall mark Docket No. F-2015-24926</w:t>
      </w:r>
      <w:r w:rsidR="00025854">
        <w:rPr>
          <w:sz w:val="24"/>
          <w:szCs w:val="24"/>
        </w:rPr>
        <w:t>5</w:t>
      </w:r>
      <w:r>
        <w:rPr>
          <w:sz w:val="24"/>
          <w:szCs w:val="24"/>
        </w:rPr>
        <w:t>5 closed.</w:t>
      </w:r>
    </w:p>
    <w:p w:rsidR="005C3634" w:rsidRDefault="005C3634" w:rsidP="00CB495C">
      <w:pPr>
        <w:jc w:val="center"/>
        <w:rPr>
          <w:sz w:val="24"/>
          <w:szCs w:val="24"/>
          <w:u w:val="single"/>
        </w:rPr>
      </w:pPr>
    </w:p>
    <w:p w:rsidR="009A6469" w:rsidRDefault="009A6469" w:rsidP="00CB495C">
      <w:pPr>
        <w:jc w:val="center"/>
        <w:rPr>
          <w:sz w:val="24"/>
          <w:szCs w:val="24"/>
          <w:u w:val="single"/>
        </w:rPr>
      </w:pPr>
    </w:p>
    <w:p w:rsidR="009A6469" w:rsidRPr="00DC4452" w:rsidRDefault="009A6469" w:rsidP="00CB495C">
      <w:pPr>
        <w:jc w:val="center"/>
        <w:rPr>
          <w:sz w:val="24"/>
          <w:szCs w:val="24"/>
          <w:u w:val="single"/>
        </w:rPr>
      </w:pPr>
    </w:p>
    <w:p w:rsidR="005C3634" w:rsidRPr="00DC4452" w:rsidRDefault="005C3634" w:rsidP="00CB495C">
      <w:pPr>
        <w:jc w:val="center"/>
        <w:rPr>
          <w:sz w:val="24"/>
          <w:szCs w:val="24"/>
          <w:u w:val="single"/>
        </w:rPr>
      </w:pPr>
    </w:p>
    <w:p w:rsidR="00222527" w:rsidRPr="00222527" w:rsidRDefault="005C3634" w:rsidP="00222527">
      <w:pPr>
        <w:rPr>
          <w:sz w:val="24"/>
          <w:szCs w:val="24"/>
        </w:rPr>
      </w:pPr>
      <w:r w:rsidRPr="009A6469">
        <w:rPr>
          <w:sz w:val="24"/>
          <w:szCs w:val="24"/>
        </w:rPr>
        <w:t>Date:</w:t>
      </w:r>
      <w:r w:rsidR="009A6469">
        <w:rPr>
          <w:sz w:val="24"/>
          <w:szCs w:val="24"/>
        </w:rPr>
        <w:t xml:space="preserve">  </w:t>
      </w:r>
      <w:r w:rsidR="00B90439">
        <w:rPr>
          <w:sz w:val="24"/>
          <w:szCs w:val="24"/>
          <w:u w:val="single"/>
        </w:rPr>
        <w:t>October 2</w:t>
      </w:r>
      <w:r w:rsidR="0050302E" w:rsidRPr="009A6469">
        <w:rPr>
          <w:sz w:val="24"/>
          <w:szCs w:val="24"/>
          <w:u w:val="single"/>
        </w:rPr>
        <w:t>, 2015</w:t>
      </w:r>
      <w:r>
        <w:rPr>
          <w:sz w:val="24"/>
          <w:szCs w:val="24"/>
        </w:rPr>
        <w:tab/>
      </w:r>
      <w:r>
        <w:rPr>
          <w:sz w:val="24"/>
          <w:szCs w:val="24"/>
        </w:rPr>
        <w:tab/>
      </w:r>
      <w:r>
        <w:rPr>
          <w:sz w:val="24"/>
          <w:szCs w:val="24"/>
        </w:rPr>
        <w:tab/>
      </w:r>
      <w:r w:rsidR="00DC4452">
        <w:rPr>
          <w:sz w:val="24"/>
          <w:szCs w:val="24"/>
        </w:rPr>
        <w:tab/>
      </w:r>
      <w:r w:rsidR="00222527" w:rsidRPr="00222527">
        <w:rPr>
          <w:sz w:val="24"/>
          <w:szCs w:val="24"/>
          <w:u w:val="single"/>
        </w:rPr>
        <w:tab/>
      </w:r>
      <w:r w:rsidR="00222527" w:rsidRPr="00222527">
        <w:rPr>
          <w:sz w:val="24"/>
          <w:szCs w:val="24"/>
          <w:u w:val="single"/>
        </w:rPr>
        <w:tab/>
        <w:t>/s/</w:t>
      </w:r>
      <w:r w:rsidR="00222527" w:rsidRPr="00222527">
        <w:rPr>
          <w:sz w:val="24"/>
          <w:szCs w:val="24"/>
          <w:u w:val="single"/>
        </w:rPr>
        <w:tab/>
      </w:r>
      <w:r w:rsidR="00222527" w:rsidRPr="00222527">
        <w:rPr>
          <w:sz w:val="24"/>
          <w:szCs w:val="24"/>
          <w:u w:val="single"/>
        </w:rPr>
        <w:tab/>
      </w:r>
      <w:r w:rsidR="00222527" w:rsidRPr="00222527">
        <w:rPr>
          <w:sz w:val="24"/>
          <w:szCs w:val="24"/>
          <w:u w:val="single"/>
        </w:rPr>
        <w:tab/>
      </w:r>
      <w:r w:rsidR="00222527" w:rsidRPr="00222527">
        <w:rPr>
          <w:sz w:val="24"/>
          <w:szCs w:val="24"/>
          <w:u w:val="single"/>
        </w:rPr>
        <w:tab/>
      </w:r>
    </w:p>
    <w:p w:rsidR="005C3634" w:rsidRDefault="005C3634" w:rsidP="005C363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Ember S. Jandebeur</w:t>
      </w:r>
    </w:p>
    <w:p w:rsidR="00DC4452" w:rsidRDefault="005C3634" w:rsidP="005C363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DC4452" w:rsidRDefault="00DC4452">
      <w:pPr>
        <w:rPr>
          <w:sz w:val="24"/>
          <w:szCs w:val="24"/>
        </w:rPr>
      </w:pPr>
    </w:p>
    <w:sectPr w:rsidR="00DC4452" w:rsidSect="005F452A">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4A8" w:rsidRDefault="007324A8">
      <w:r>
        <w:separator/>
      </w:r>
    </w:p>
  </w:endnote>
  <w:endnote w:type="continuationSeparator" w:id="0">
    <w:p w:rsidR="007324A8" w:rsidRDefault="00732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784106">
      <w:rPr>
        <w:rStyle w:val="PageNumber"/>
        <w:noProof/>
        <w:sz w:val="20"/>
        <w:szCs w:val="20"/>
      </w:rPr>
      <w:t>5</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4A8" w:rsidRDefault="007324A8">
      <w:r>
        <w:separator/>
      </w:r>
    </w:p>
  </w:footnote>
  <w:footnote w:type="continuationSeparator" w:id="0">
    <w:p w:rsidR="007324A8" w:rsidRDefault="007324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16571BB"/>
    <w:multiLevelType w:val="hybridMultilevel"/>
    <w:tmpl w:val="BFD24F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18A058B"/>
    <w:multiLevelType w:val="hybridMultilevel"/>
    <w:tmpl w:val="D07E1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16D34DB9"/>
    <w:multiLevelType w:val="hybridMultilevel"/>
    <w:tmpl w:val="F6C48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2013FA5"/>
    <w:multiLevelType w:val="hybridMultilevel"/>
    <w:tmpl w:val="B298F4A2"/>
    <w:lvl w:ilvl="0" w:tplc="D0969C36">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01B289E"/>
    <w:multiLevelType w:val="hybridMultilevel"/>
    <w:tmpl w:val="407C4DF6"/>
    <w:lvl w:ilvl="0" w:tplc="3F5277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nsid w:val="35BE6C1E"/>
    <w:multiLevelType w:val="hybridMultilevel"/>
    <w:tmpl w:val="BBDEED0C"/>
    <w:lvl w:ilvl="0" w:tplc="3F52775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2715E8"/>
    <w:multiLevelType w:val="hybridMultilevel"/>
    <w:tmpl w:val="9DFA0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BC70D1"/>
    <w:multiLevelType w:val="hybridMultilevel"/>
    <w:tmpl w:val="3E12A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066D07"/>
    <w:multiLevelType w:val="hybridMultilevel"/>
    <w:tmpl w:val="05249E4E"/>
    <w:lvl w:ilvl="0" w:tplc="DC5066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nsid w:val="40DF5D1A"/>
    <w:multiLevelType w:val="hybridMultilevel"/>
    <w:tmpl w:val="1736CCA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3">
    <w:nsid w:val="4E317C13"/>
    <w:multiLevelType w:val="hybridMultilevel"/>
    <w:tmpl w:val="655285A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F0596C"/>
    <w:multiLevelType w:val="hybridMultilevel"/>
    <w:tmpl w:val="2FEA996A"/>
    <w:lvl w:ilvl="0" w:tplc="5CDA72F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nsid w:val="693B5488"/>
    <w:multiLevelType w:val="hybridMultilevel"/>
    <w:tmpl w:val="6980C576"/>
    <w:lvl w:ilvl="0" w:tplc="F67C93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644860"/>
    <w:multiLevelType w:val="hybridMultilevel"/>
    <w:tmpl w:val="AA2CD5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2">
    <w:nsid w:val="72BA1A04"/>
    <w:multiLevelType w:val="hybridMultilevel"/>
    <w:tmpl w:val="40E05EEE"/>
    <w:lvl w:ilvl="0" w:tplc="5D4CBAFE">
      <w:start w:val="1"/>
      <w:numFmt w:val="lowerLetter"/>
      <w:lvlText w:val="(%1)"/>
      <w:lvlJc w:val="left"/>
      <w:pPr>
        <w:ind w:left="900" w:hanging="45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nsid w:val="7889787C"/>
    <w:multiLevelType w:val="hybridMultilevel"/>
    <w:tmpl w:val="555AE3FE"/>
    <w:lvl w:ilvl="0" w:tplc="DC506610">
      <w:start w:val="1"/>
      <w:numFmt w:val="decimal"/>
      <w:lvlText w:val="%1."/>
      <w:lvlJc w:val="left"/>
      <w:pPr>
        <w:ind w:left="5040" w:hanging="2160"/>
      </w:pPr>
      <w:rPr>
        <w:rFonts w:hint="default"/>
      </w:rPr>
    </w:lvl>
    <w:lvl w:ilvl="1" w:tplc="04090019" w:tentative="1">
      <w:start w:val="1"/>
      <w:numFmt w:val="lowerLetter"/>
      <w:lvlText w:val="%2."/>
      <w:lvlJc w:val="left"/>
      <w:pPr>
        <w:ind w:left="2880" w:hanging="360"/>
      </w:pPr>
    </w:lvl>
    <w:lvl w:ilvl="2" w:tplc="DA3CCC9E">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27"/>
  </w:num>
  <w:num w:numId="3">
    <w:abstractNumId w:val="22"/>
  </w:num>
  <w:num w:numId="4">
    <w:abstractNumId w:val="2"/>
  </w:num>
  <w:num w:numId="5">
    <w:abstractNumId w:val="18"/>
  </w:num>
  <w:num w:numId="6">
    <w:abstractNumId w:val="10"/>
  </w:num>
  <w:num w:numId="7">
    <w:abstractNumId w:val="7"/>
  </w:num>
  <w:num w:numId="8">
    <w:abstractNumId w:val="0"/>
  </w:num>
  <w:num w:numId="9">
    <w:abstractNumId w:val="19"/>
  </w:num>
  <w:num w:numId="10">
    <w:abstractNumId w:val="24"/>
  </w:num>
  <w:num w:numId="11">
    <w:abstractNumId w:val="21"/>
  </w:num>
  <w:num w:numId="12">
    <w:abstractNumId w:val="34"/>
  </w:num>
  <w:num w:numId="13">
    <w:abstractNumId w:val="1"/>
  </w:num>
  <w:num w:numId="14">
    <w:abstractNumId w:val="8"/>
  </w:num>
  <w:num w:numId="15">
    <w:abstractNumId w:val="28"/>
  </w:num>
  <w:num w:numId="16">
    <w:abstractNumId w:val="31"/>
  </w:num>
  <w:num w:numId="17">
    <w:abstractNumId w:val="12"/>
  </w:num>
  <w:num w:numId="18">
    <w:abstractNumId w:val="5"/>
  </w:num>
  <w:num w:numId="19">
    <w:abstractNumId w:val="25"/>
  </w:num>
  <w:num w:numId="20">
    <w:abstractNumId w:val="3"/>
  </w:num>
  <w:num w:numId="21">
    <w:abstractNumId w:val="6"/>
  </w:num>
  <w:num w:numId="22">
    <w:abstractNumId w:val="16"/>
  </w:num>
  <w:num w:numId="23">
    <w:abstractNumId w:val="17"/>
  </w:num>
  <w:num w:numId="24">
    <w:abstractNumId w:val="33"/>
  </w:num>
  <w:num w:numId="25">
    <w:abstractNumId w:val="30"/>
  </w:num>
  <w:num w:numId="26">
    <w:abstractNumId w:val="4"/>
  </w:num>
  <w:num w:numId="27">
    <w:abstractNumId w:val="20"/>
  </w:num>
  <w:num w:numId="28">
    <w:abstractNumId w:val="11"/>
  </w:num>
  <w:num w:numId="29">
    <w:abstractNumId w:val="14"/>
  </w:num>
  <w:num w:numId="30">
    <w:abstractNumId w:val="9"/>
  </w:num>
  <w:num w:numId="31">
    <w:abstractNumId w:val="32"/>
  </w:num>
  <w:num w:numId="32">
    <w:abstractNumId w:val="26"/>
  </w:num>
  <w:num w:numId="33">
    <w:abstractNumId w:val="15"/>
  </w:num>
  <w:num w:numId="34">
    <w:abstractNumId w:val="29"/>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03ED9"/>
    <w:rsid w:val="0001584A"/>
    <w:rsid w:val="00020AB1"/>
    <w:rsid w:val="00022997"/>
    <w:rsid w:val="00022D67"/>
    <w:rsid w:val="0002512E"/>
    <w:rsid w:val="00025854"/>
    <w:rsid w:val="00034A86"/>
    <w:rsid w:val="00035C05"/>
    <w:rsid w:val="00035E78"/>
    <w:rsid w:val="000376EF"/>
    <w:rsid w:val="00042626"/>
    <w:rsid w:val="00055A89"/>
    <w:rsid w:val="000573C2"/>
    <w:rsid w:val="00064F92"/>
    <w:rsid w:val="0006610A"/>
    <w:rsid w:val="0006622C"/>
    <w:rsid w:val="00070E25"/>
    <w:rsid w:val="0007126E"/>
    <w:rsid w:val="000728A4"/>
    <w:rsid w:val="00075A22"/>
    <w:rsid w:val="00082976"/>
    <w:rsid w:val="00091672"/>
    <w:rsid w:val="00091CE2"/>
    <w:rsid w:val="00093DB9"/>
    <w:rsid w:val="000967DB"/>
    <w:rsid w:val="000A001F"/>
    <w:rsid w:val="000A1CB9"/>
    <w:rsid w:val="000A20A3"/>
    <w:rsid w:val="000B5F6A"/>
    <w:rsid w:val="000C6F32"/>
    <w:rsid w:val="000D2CE8"/>
    <w:rsid w:val="000E0BD8"/>
    <w:rsid w:val="000E277A"/>
    <w:rsid w:val="000E2934"/>
    <w:rsid w:val="000E6B17"/>
    <w:rsid w:val="000F0833"/>
    <w:rsid w:val="000F1894"/>
    <w:rsid w:val="000F1F62"/>
    <w:rsid w:val="000F2F0A"/>
    <w:rsid w:val="000F6118"/>
    <w:rsid w:val="0010177F"/>
    <w:rsid w:val="001027AA"/>
    <w:rsid w:val="00110C23"/>
    <w:rsid w:val="00111EA9"/>
    <w:rsid w:val="001122A9"/>
    <w:rsid w:val="001155B6"/>
    <w:rsid w:val="00116136"/>
    <w:rsid w:val="00125871"/>
    <w:rsid w:val="00126207"/>
    <w:rsid w:val="001312A6"/>
    <w:rsid w:val="00134E8D"/>
    <w:rsid w:val="001404C5"/>
    <w:rsid w:val="00141DF5"/>
    <w:rsid w:val="00143C49"/>
    <w:rsid w:val="00144488"/>
    <w:rsid w:val="00147DEE"/>
    <w:rsid w:val="00152C6B"/>
    <w:rsid w:val="0015646C"/>
    <w:rsid w:val="001620CA"/>
    <w:rsid w:val="00162898"/>
    <w:rsid w:val="00174A27"/>
    <w:rsid w:val="00176F82"/>
    <w:rsid w:val="0018160C"/>
    <w:rsid w:val="00187B87"/>
    <w:rsid w:val="001930DE"/>
    <w:rsid w:val="00193B6C"/>
    <w:rsid w:val="001A4CC0"/>
    <w:rsid w:val="001A721E"/>
    <w:rsid w:val="001B123C"/>
    <w:rsid w:val="001B3235"/>
    <w:rsid w:val="001B40F7"/>
    <w:rsid w:val="001C20B7"/>
    <w:rsid w:val="001C715B"/>
    <w:rsid w:val="001D3206"/>
    <w:rsid w:val="001D6FCF"/>
    <w:rsid w:val="001E4FAC"/>
    <w:rsid w:val="001F0787"/>
    <w:rsid w:val="001F08B4"/>
    <w:rsid w:val="001F2116"/>
    <w:rsid w:val="001F3112"/>
    <w:rsid w:val="001F6FC1"/>
    <w:rsid w:val="001F7F73"/>
    <w:rsid w:val="0020095D"/>
    <w:rsid w:val="00215221"/>
    <w:rsid w:val="00220C5E"/>
    <w:rsid w:val="00222527"/>
    <w:rsid w:val="00223E7E"/>
    <w:rsid w:val="00234619"/>
    <w:rsid w:val="0023520D"/>
    <w:rsid w:val="00235C44"/>
    <w:rsid w:val="00236FF7"/>
    <w:rsid w:val="002416AB"/>
    <w:rsid w:val="0024496F"/>
    <w:rsid w:val="00244D86"/>
    <w:rsid w:val="00251D19"/>
    <w:rsid w:val="0025370D"/>
    <w:rsid w:val="00257994"/>
    <w:rsid w:val="00260D19"/>
    <w:rsid w:val="002732DC"/>
    <w:rsid w:val="0028114B"/>
    <w:rsid w:val="0028185A"/>
    <w:rsid w:val="00290918"/>
    <w:rsid w:val="002919C6"/>
    <w:rsid w:val="00293557"/>
    <w:rsid w:val="002959E3"/>
    <w:rsid w:val="002A7C1C"/>
    <w:rsid w:val="002B19D4"/>
    <w:rsid w:val="002B3489"/>
    <w:rsid w:val="002B4EAE"/>
    <w:rsid w:val="002C3FDE"/>
    <w:rsid w:val="002C486F"/>
    <w:rsid w:val="002D13C5"/>
    <w:rsid w:val="002D554B"/>
    <w:rsid w:val="002E0985"/>
    <w:rsid w:val="002F66F9"/>
    <w:rsid w:val="002F6BC1"/>
    <w:rsid w:val="00300A0A"/>
    <w:rsid w:val="00300CB7"/>
    <w:rsid w:val="00300F91"/>
    <w:rsid w:val="0030207C"/>
    <w:rsid w:val="00306B0D"/>
    <w:rsid w:val="00311AD2"/>
    <w:rsid w:val="003129F7"/>
    <w:rsid w:val="00312E1C"/>
    <w:rsid w:val="00317B5C"/>
    <w:rsid w:val="00323AAE"/>
    <w:rsid w:val="00324F3E"/>
    <w:rsid w:val="0033043C"/>
    <w:rsid w:val="0033647C"/>
    <w:rsid w:val="00337C53"/>
    <w:rsid w:val="00340AB8"/>
    <w:rsid w:val="003421E0"/>
    <w:rsid w:val="0034312D"/>
    <w:rsid w:val="00346E30"/>
    <w:rsid w:val="003539D2"/>
    <w:rsid w:val="00354E6F"/>
    <w:rsid w:val="0035737A"/>
    <w:rsid w:val="00364519"/>
    <w:rsid w:val="003657A8"/>
    <w:rsid w:val="00380450"/>
    <w:rsid w:val="00380AD7"/>
    <w:rsid w:val="00382B1A"/>
    <w:rsid w:val="003857DF"/>
    <w:rsid w:val="00386CDC"/>
    <w:rsid w:val="00392382"/>
    <w:rsid w:val="00394493"/>
    <w:rsid w:val="003959AC"/>
    <w:rsid w:val="00395E03"/>
    <w:rsid w:val="00396DE1"/>
    <w:rsid w:val="003A167D"/>
    <w:rsid w:val="003B715B"/>
    <w:rsid w:val="003C050F"/>
    <w:rsid w:val="003C0716"/>
    <w:rsid w:val="003C3664"/>
    <w:rsid w:val="003C7143"/>
    <w:rsid w:val="003D139F"/>
    <w:rsid w:val="003D15FA"/>
    <w:rsid w:val="003D77FF"/>
    <w:rsid w:val="003D7EC6"/>
    <w:rsid w:val="003E292B"/>
    <w:rsid w:val="003E3A6D"/>
    <w:rsid w:val="003E594B"/>
    <w:rsid w:val="003F155A"/>
    <w:rsid w:val="003F5796"/>
    <w:rsid w:val="003F5965"/>
    <w:rsid w:val="003F69BF"/>
    <w:rsid w:val="00402359"/>
    <w:rsid w:val="004064A8"/>
    <w:rsid w:val="004107FD"/>
    <w:rsid w:val="00417087"/>
    <w:rsid w:val="00417CD1"/>
    <w:rsid w:val="0042160A"/>
    <w:rsid w:val="0042193A"/>
    <w:rsid w:val="00422E29"/>
    <w:rsid w:val="00424A76"/>
    <w:rsid w:val="00427E73"/>
    <w:rsid w:val="004312BE"/>
    <w:rsid w:val="00431BEF"/>
    <w:rsid w:val="00442854"/>
    <w:rsid w:val="00453B16"/>
    <w:rsid w:val="0046339D"/>
    <w:rsid w:val="00476C8A"/>
    <w:rsid w:val="00486535"/>
    <w:rsid w:val="00490174"/>
    <w:rsid w:val="004917C1"/>
    <w:rsid w:val="00491C99"/>
    <w:rsid w:val="00495450"/>
    <w:rsid w:val="00495B88"/>
    <w:rsid w:val="004A1805"/>
    <w:rsid w:val="004A5AD6"/>
    <w:rsid w:val="004C2124"/>
    <w:rsid w:val="004C3EFA"/>
    <w:rsid w:val="004D1B54"/>
    <w:rsid w:val="004D3108"/>
    <w:rsid w:val="004D46FD"/>
    <w:rsid w:val="004D65F3"/>
    <w:rsid w:val="004E187E"/>
    <w:rsid w:val="004E20CB"/>
    <w:rsid w:val="004E2912"/>
    <w:rsid w:val="004E2B03"/>
    <w:rsid w:val="004E533F"/>
    <w:rsid w:val="004F2D3D"/>
    <w:rsid w:val="0050302E"/>
    <w:rsid w:val="005032B5"/>
    <w:rsid w:val="00515937"/>
    <w:rsid w:val="00517AD1"/>
    <w:rsid w:val="00523780"/>
    <w:rsid w:val="00526B2A"/>
    <w:rsid w:val="00530D1B"/>
    <w:rsid w:val="00531226"/>
    <w:rsid w:val="00531409"/>
    <w:rsid w:val="00535DF7"/>
    <w:rsid w:val="00542107"/>
    <w:rsid w:val="00553EEB"/>
    <w:rsid w:val="00564C41"/>
    <w:rsid w:val="0056706A"/>
    <w:rsid w:val="00582896"/>
    <w:rsid w:val="00584798"/>
    <w:rsid w:val="0059070D"/>
    <w:rsid w:val="00592C86"/>
    <w:rsid w:val="005A33D0"/>
    <w:rsid w:val="005B13B6"/>
    <w:rsid w:val="005B250B"/>
    <w:rsid w:val="005B3C00"/>
    <w:rsid w:val="005B6749"/>
    <w:rsid w:val="005B7834"/>
    <w:rsid w:val="005C28EC"/>
    <w:rsid w:val="005C2971"/>
    <w:rsid w:val="005C3634"/>
    <w:rsid w:val="005D19C4"/>
    <w:rsid w:val="005D2DEE"/>
    <w:rsid w:val="005D4D0C"/>
    <w:rsid w:val="005D5E04"/>
    <w:rsid w:val="005E2068"/>
    <w:rsid w:val="005E3007"/>
    <w:rsid w:val="005E6321"/>
    <w:rsid w:val="005E6C27"/>
    <w:rsid w:val="005F17F5"/>
    <w:rsid w:val="005F38EC"/>
    <w:rsid w:val="005F3B50"/>
    <w:rsid w:val="005F452A"/>
    <w:rsid w:val="006034D3"/>
    <w:rsid w:val="0062087D"/>
    <w:rsid w:val="006215E0"/>
    <w:rsid w:val="006306EB"/>
    <w:rsid w:val="00632918"/>
    <w:rsid w:val="00634A5C"/>
    <w:rsid w:val="006352B9"/>
    <w:rsid w:val="00641596"/>
    <w:rsid w:val="0064329B"/>
    <w:rsid w:val="006441F5"/>
    <w:rsid w:val="00644E60"/>
    <w:rsid w:val="00645B55"/>
    <w:rsid w:val="00650574"/>
    <w:rsid w:val="00652C21"/>
    <w:rsid w:val="0066237B"/>
    <w:rsid w:val="006656FC"/>
    <w:rsid w:val="00675607"/>
    <w:rsid w:val="00675986"/>
    <w:rsid w:val="00695694"/>
    <w:rsid w:val="006A21C2"/>
    <w:rsid w:val="006A3B47"/>
    <w:rsid w:val="006A7A0A"/>
    <w:rsid w:val="006C1047"/>
    <w:rsid w:val="006C3226"/>
    <w:rsid w:val="006D4BB7"/>
    <w:rsid w:val="006D75BD"/>
    <w:rsid w:val="006E4407"/>
    <w:rsid w:val="006F44F9"/>
    <w:rsid w:val="007015FC"/>
    <w:rsid w:val="007114E7"/>
    <w:rsid w:val="0071588F"/>
    <w:rsid w:val="0073239A"/>
    <w:rsid w:val="007324A8"/>
    <w:rsid w:val="0073727C"/>
    <w:rsid w:val="00744AF3"/>
    <w:rsid w:val="00747E56"/>
    <w:rsid w:val="00750E82"/>
    <w:rsid w:val="00751672"/>
    <w:rsid w:val="0075298E"/>
    <w:rsid w:val="0075510C"/>
    <w:rsid w:val="00766C8E"/>
    <w:rsid w:val="0077255F"/>
    <w:rsid w:val="00775593"/>
    <w:rsid w:val="00782A08"/>
    <w:rsid w:val="00784106"/>
    <w:rsid w:val="00786153"/>
    <w:rsid w:val="00790EF3"/>
    <w:rsid w:val="00791ABB"/>
    <w:rsid w:val="00792C70"/>
    <w:rsid w:val="007965B0"/>
    <w:rsid w:val="007A49B5"/>
    <w:rsid w:val="007B1672"/>
    <w:rsid w:val="007B1D2D"/>
    <w:rsid w:val="007B46F9"/>
    <w:rsid w:val="007B6CFE"/>
    <w:rsid w:val="007C36CE"/>
    <w:rsid w:val="007C74E3"/>
    <w:rsid w:val="007D3E3E"/>
    <w:rsid w:val="007D6063"/>
    <w:rsid w:val="007E09E5"/>
    <w:rsid w:val="007E31DB"/>
    <w:rsid w:val="007E7871"/>
    <w:rsid w:val="00801DEE"/>
    <w:rsid w:val="00803141"/>
    <w:rsid w:val="0081070B"/>
    <w:rsid w:val="008142EB"/>
    <w:rsid w:val="0081669B"/>
    <w:rsid w:val="0081696C"/>
    <w:rsid w:val="008228F3"/>
    <w:rsid w:val="00823F91"/>
    <w:rsid w:val="00824683"/>
    <w:rsid w:val="00834B6A"/>
    <w:rsid w:val="008354C5"/>
    <w:rsid w:val="0083691D"/>
    <w:rsid w:val="00840FD3"/>
    <w:rsid w:val="00841779"/>
    <w:rsid w:val="008506A0"/>
    <w:rsid w:val="00851A4F"/>
    <w:rsid w:val="00866264"/>
    <w:rsid w:val="008663C0"/>
    <w:rsid w:val="008746E1"/>
    <w:rsid w:val="0087572C"/>
    <w:rsid w:val="008803F7"/>
    <w:rsid w:val="00881C76"/>
    <w:rsid w:val="0088763C"/>
    <w:rsid w:val="00893B0E"/>
    <w:rsid w:val="00893F0B"/>
    <w:rsid w:val="00894839"/>
    <w:rsid w:val="0089761B"/>
    <w:rsid w:val="008A0235"/>
    <w:rsid w:val="008A60E2"/>
    <w:rsid w:val="008B1A8B"/>
    <w:rsid w:val="008B282A"/>
    <w:rsid w:val="008B2B8B"/>
    <w:rsid w:val="008D6D09"/>
    <w:rsid w:val="008D761F"/>
    <w:rsid w:val="008E3BE1"/>
    <w:rsid w:val="008E5A53"/>
    <w:rsid w:val="008F013A"/>
    <w:rsid w:val="008F22F9"/>
    <w:rsid w:val="008F554F"/>
    <w:rsid w:val="008F6AC3"/>
    <w:rsid w:val="009077E3"/>
    <w:rsid w:val="00910EF2"/>
    <w:rsid w:val="00913B17"/>
    <w:rsid w:val="009166DD"/>
    <w:rsid w:val="0091672D"/>
    <w:rsid w:val="00922FE6"/>
    <w:rsid w:val="009266C3"/>
    <w:rsid w:val="0093170C"/>
    <w:rsid w:val="009342E4"/>
    <w:rsid w:val="009445E9"/>
    <w:rsid w:val="00947175"/>
    <w:rsid w:val="00961314"/>
    <w:rsid w:val="009634B4"/>
    <w:rsid w:val="009643E3"/>
    <w:rsid w:val="009649FC"/>
    <w:rsid w:val="00965F82"/>
    <w:rsid w:val="00966FB7"/>
    <w:rsid w:val="0098237A"/>
    <w:rsid w:val="00982B8E"/>
    <w:rsid w:val="009830C8"/>
    <w:rsid w:val="00983B9A"/>
    <w:rsid w:val="009870EF"/>
    <w:rsid w:val="009877CF"/>
    <w:rsid w:val="00987B98"/>
    <w:rsid w:val="00992D31"/>
    <w:rsid w:val="00992E94"/>
    <w:rsid w:val="00995E0A"/>
    <w:rsid w:val="009A475D"/>
    <w:rsid w:val="009A5C49"/>
    <w:rsid w:val="009A6469"/>
    <w:rsid w:val="009B1C06"/>
    <w:rsid w:val="009B44FC"/>
    <w:rsid w:val="009C22D0"/>
    <w:rsid w:val="009D5A08"/>
    <w:rsid w:val="009E69A1"/>
    <w:rsid w:val="009F24FB"/>
    <w:rsid w:val="009F4939"/>
    <w:rsid w:val="009F620C"/>
    <w:rsid w:val="009F7BD8"/>
    <w:rsid w:val="00A022C7"/>
    <w:rsid w:val="00A02D20"/>
    <w:rsid w:val="00A0627A"/>
    <w:rsid w:val="00A107BC"/>
    <w:rsid w:val="00A143A5"/>
    <w:rsid w:val="00A22653"/>
    <w:rsid w:val="00A23BC5"/>
    <w:rsid w:val="00A24F45"/>
    <w:rsid w:val="00A345AE"/>
    <w:rsid w:val="00A409B8"/>
    <w:rsid w:val="00A4383B"/>
    <w:rsid w:val="00A470ED"/>
    <w:rsid w:val="00A475EE"/>
    <w:rsid w:val="00A523A9"/>
    <w:rsid w:val="00A52E9C"/>
    <w:rsid w:val="00A675CE"/>
    <w:rsid w:val="00A67786"/>
    <w:rsid w:val="00A67C1E"/>
    <w:rsid w:val="00A7050E"/>
    <w:rsid w:val="00A761ED"/>
    <w:rsid w:val="00A76B1D"/>
    <w:rsid w:val="00A86505"/>
    <w:rsid w:val="00A915A8"/>
    <w:rsid w:val="00AA00A9"/>
    <w:rsid w:val="00AA0438"/>
    <w:rsid w:val="00AA1DE2"/>
    <w:rsid w:val="00AA6434"/>
    <w:rsid w:val="00AA7B5D"/>
    <w:rsid w:val="00AB343A"/>
    <w:rsid w:val="00AB3A78"/>
    <w:rsid w:val="00AC4DB7"/>
    <w:rsid w:val="00AC6F13"/>
    <w:rsid w:val="00AC7513"/>
    <w:rsid w:val="00AC7FED"/>
    <w:rsid w:val="00AD0497"/>
    <w:rsid w:val="00AD0503"/>
    <w:rsid w:val="00AD0929"/>
    <w:rsid w:val="00AD507E"/>
    <w:rsid w:val="00AE00BA"/>
    <w:rsid w:val="00AE3E93"/>
    <w:rsid w:val="00AE6D1F"/>
    <w:rsid w:val="00AF2068"/>
    <w:rsid w:val="00AF7EAE"/>
    <w:rsid w:val="00B03092"/>
    <w:rsid w:val="00B0541E"/>
    <w:rsid w:val="00B13849"/>
    <w:rsid w:val="00B23067"/>
    <w:rsid w:val="00B2590D"/>
    <w:rsid w:val="00B270DC"/>
    <w:rsid w:val="00B32E66"/>
    <w:rsid w:val="00B34848"/>
    <w:rsid w:val="00B405FB"/>
    <w:rsid w:val="00B40E21"/>
    <w:rsid w:val="00B45676"/>
    <w:rsid w:val="00B45F71"/>
    <w:rsid w:val="00B5018B"/>
    <w:rsid w:val="00B57687"/>
    <w:rsid w:val="00B625D9"/>
    <w:rsid w:val="00B665D7"/>
    <w:rsid w:val="00B70860"/>
    <w:rsid w:val="00B71D02"/>
    <w:rsid w:val="00B87994"/>
    <w:rsid w:val="00B90439"/>
    <w:rsid w:val="00B922CF"/>
    <w:rsid w:val="00B94E3D"/>
    <w:rsid w:val="00BA1484"/>
    <w:rsid w:val="00BA47D2"/>
    <w:rsid w:val="00BA61F7"/>
    <w:rsid w:val="00BB3104"/>
    <w:rsid w:val="00BB352A"/>
    <w:rsid w:val="00BB7304"/>
    <w:rsid w:val="00BC2D8F"/>
    <w:rsid w:val="00BC2DE6"/>
    <w:rsid w:val="00BC7240"/>
    <w:rsid w:val="00BC7AF5"/>
    <w:rsid w:val="00BD42F1"/>
    <w:rsid w:val="00BE1D82"/>
    <w:rsid w:val="00BE6352"/>
    <w:rsid w:val="00BF5F04"/>
    <w:rsid w:val="00C052E4"/>
    <w:rsid w:val="00C1140C"/>
    <w:rsid w:val="00C1195C"/>
    <w:rsid w:val="00C136F0"/>
    <w:rsid w:val="00C150A5"/>
    <w:rsid w:val="00C21F78"/>
    <w:rsid w:val="00C224B0"/>
    <w:rsid w:val="00C25C02"/>
    <w:rsid w:val="00C27A38"/>
    <w:rsid w:val="00C302A8"/>
    <w:rsid w:val="00C322C5"/>
    <w:rsid w:val="00C34722"/>
    <w:rsid w:val="00C34D87"/>
    <w:rsid w:val="00C37F96"/>
    <w:rsid w:val="00C419F9"/>
    <w:rsid w:val="00C426F5"/>
    <w:rsid w:val="00C45D4C"/>
    <w:rsid w:val="00C47400"/>
    <w:rsid w:val="00C477B5"/>
    <w:rsid w:val="00C51D3D"/>
    <w:rsid w:val="00C546D2"/>
    <w:rsid w:val="00C61510"/>
    <w:rsid w:val="00C61561"/>
    <w:rsid w:val="00C6634A"/>
    <w:rsid w:val="00C7068E"/>
    <w:rsid w:val="00C73912"/>
    <w:rsid w:val="00C769EE"/>
    <w:rsid w:val="00C86201"/>
    <w:rsid w:val="00C908AD"/>
    <w:rsid w:val="00C920E5"/>
    <w:rsid w:val="00C94BB9"/>
    <w:rsid w:val="00CA1E0E"/>
    <w:rsid w:val="00CA5BA3"/>
    <w:rsid w:val="00CB0D2B"/>
    <w:rsid w:val="00CB495C"/>
    <w:rsid w:val="00CB4F5E"/>
    <w:rsid w:val="00CB6A72"/>
    <w:rsid w:val="00CC3CC1"/>
    <w:rsid w:val="00CC49DA"/>
    <w:rsid w:val="00CC5E96"/>
    <w:rsid w:val="00CD4A78"/>
    <w:rsid w:val="00CD6B6A"/>
    <w:rsid w:val="00CE07B9"/>
    <w:rsid w:val="00CE43B4"/>
    <w:rsid w:val="00CE68C6"/>
    <w:rsid w:val="00CF3BB0"/>
    <w:rsid w:val="00CF41AA"/>
    <w:rsid w:val="00CF7138"/>
    <w:rsid w:val="00D02084"/>
    <w:rsid w:val="00D050DE"/>
    <w:rsid w:val="00D077EC"/>
    <w:rsid w:val="00D13865"/>
    <w:rsid w:val="00D13B06"/>
    <w:rsid w:val="00D1728D"/>
    <w:rsid w:val="00D21BFC"/>
    <w:rsid w:val="00D21D55"/>
    <w:rsid w:val="00D21EF9"/>
    <w:rsid w:val="00D22F4A"/>
    <w:rsid w:val="00D22FF2"/>
    <w:rsid w:val="00D23330"/>
    <w:rsid w:val="00D32326"/>
    <w:rsid w:val="00D34B76"/>
    <w:rsid w:val="00D35F74"/>
    <w:rsid w:val="00D4029A"/>
    <w:rsid w:val="00D416A5"/>
    <w:rsid w:val="00D50C56"/>
    <w:rsid w:val="00D5488B"/>
    <w:rsid w:val="00D55074"/>
    <w:rsid w:val="00D55AA4"/>
    <w:rsid w:val="00D5720C"/>
    <w:rsid w:val="00D6261D"/>
    <w:rsid w:val="00D6598A"/>
    <w:rsid w:val="00D65F4B"/>
    <w:rsid w:val="00D671F6"/>
    <w:rsid w:val="00D71653"/>
    <w:rsid w:val="00D72436"/>
    <w:rsid w:val="00D8063C"/>
    <w:rsid w:val="00D926F9"/>
    <w:rsid w:val="00D93182"/>
    <w:rsid w:val="00D961B5"/>
    <w:rsid w:val="00DA7FD6"/>
    <w:rsid w:val="00DB1328"/>
    <w:rsid w:val="00DB7EE0"/>
    <w:rsid w:val="00DC4452"/>
    <w:rsid w:val="00DD2411"/>
    <w:rsid w:val="00DD3E7F"/>
    <w:rsid w:val="00DE0ECC"/>
    <w:rsid w:val="00DE1193"/>
    <w:rsid w:val="00DE2348"/>
    <w:rsid w:val="00DE3943"/>
    <w:rsid w:val="00DE562E"/>
    <w:rsid w:val="00DE6FB0"/>
    <w:rsid w:val="00DE77F8"/>
    <w:rsid w:val="00DF0138"/>
    <w:rsid w:val="00DF294A"/>
    <w:rsid w:val="00DF57F5"/>
    <w:rsid w:val="00E00EAF"/>
    <w:rsid w:val="00E0236A"/>
    <w:rsid w:val="00E11739"/>
    <w:rsid w:val="00E12F72"/>
    <w:rsid w:val="00E15A2D"/>
    <w:rsid w:val="00E15B2B"/>
    <w:rsid w:val="00E23F95"/>
    <w:rsid w:val="00E267A5"/>
    <w:rsid w:val="00E32DA2"/>
    <w:rsid w:val="00E35AC9"/>
    <w:rsid w:val="00E413A9"/>
    <w:rsid w:val="00E5003A"/>
    <w:rsid w:val="00E514FA"/>
    <w:rsid w:val="00E51D1F"/>
    <w:rsid w:val="00E52738"/>
    <w:rsid w:val="00E56529"/>
    <w:rsid w:val="00E6135C"/>
    <w:rsid w:val="00E659AC"/>
    <w:rsid w:val="00E66725"/>
    <w:rsid w:val="00E67591"/>
    <w:rsid w:val="00E67A2A"/>
    <w:rsid w:val="00E728B0"/>
    <w:rsid w:val="00E75758"/>
    <w:rsid w:val="00E75BC0"/>
    <w:rsid w:val="00E85ECC"/>
    <w:rsid w:val="00E9292D"/>
    <w:rsid w:val="00EA2B0E"/>
    <w:rsid w:val="00EA319E"/>
    <w:rsid w:val="00EA56F6"/>
    <w:rsid w:val="00EA77CE"/>
    <w:rsid w:val="00EB1948"/>
    <w:rsid w:val="00EB1DAB"/>
    <w:rsid w:val="00EB1EEE"/>
    <w:rsid w:val="00EC15BD"/>
    <w:rsid w:val="00EC38D5"/>
    <w:rsid w:val="00EC41CE"/>
    <w:rsid w:val="00EC477B"/>
    <w:rsid w:val="00ED0F47"/>
    <w:rsid w:val="00EE34BE"/>
    <w:rsid w:val="00EE7E40"/>
    <w:rsid w:val="00EF6C7F"/>
    <w:rsid w:val="00F2180F"/>
    <w:rsid w:val="00F31732"/>
    <w:rsid w:val="00F31F04"/>
    <w:rsid w:val="00F327E2"/>
    <w:rsid w:val="00F34A38"/>
    <w:rsid w:val="00F375FF"/>
    <w:rsid w:val="00F5006A"/>
    <w:rsid w:val="00F50C2B"/>
    <w:rsid w:val="00F566E6"/>
    <w:rsid w:val="00F702DD"/>
    <w:rsid w:val="00F721A2"/>
    <w:rsid w:val="00F72B51"/>
    <w:rsid w:val="00F734B6"/>
    <w:rsid w:val="00F76C50"/>
    <w:rsid w:val="00F84427"/>
    <w:rsid w:val="00F85050"/>
    <w:rsid w:val="00F86303"/>
    <w:rsid w:val="00F95BD7"/>
    <w:rsid w:val="00FA1741"/>
    <w:rsid w:val="00FA2BEA"/>
    <w:rsid w:val="00FA53B2"/>
    <w:rsid w:val="00FA6242"/>
    <w:rsid w:val="00FA643C"/>
    <w:rsid w:val="00FA7894"/>
    <w:rsid w:val="00FC4DCA"/>
    <w:rsid w:val="00FC4DD1"/>
    <w:rsid w:val="00FD1DCC"/>
    <w:rsid w:val="00FD2E3D"/>
    <w:rsid w:val="00FE1790"/>
    <w:rsid w:val="00FE3991"/>
    <w:rsid w:val="00FE51AD"/>
    <w:rsid w:val="00FE5CAF"/>
    <w:rsid w:val="00FE6157"/>
    <w:rsid w:val="00FE74BE"/>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24476">
      <w:bodyDiv w:val="1"/>
      <w:marLeft w:val="0"/>
      <w:marRight w:val="0"/>
      <w:marTop w:val="0"/>
      <w:marBottom w:val="0"/>
      <w:divBdr>
        <w:top w:val="none" w:sz="0" w:space="0" w:color="auto"/>
        <w:left w:val="none" w:sz="0" w:space="0" w:color="auto"/>
        <w:bottom w:val="none" w:sz="0" w:space="0" w:color="auto"/>
        <w:right w:val="none" w:sz="0" w:space="0" w:color="auto"/>
      </w:divBdr>
    </w:div>
    <w:div w:id="793329562">
      <w:bodyDiv w:val="1"/>
      <w:marLeft w:val="0"/>
      <w:marRight w:val="0"/>
      <w:marTop w:val="0"/>
      <w:marBottom w:val="0"/>
      <w:divBdr>
        <w:top w:val="none" w:sz="0" w:space="0" w:color="auto"/>
        <w:left w:val="none" w:sz="0" w:space="0" w:color="auto"/>
        <w:bottom w:val="none" w:sz="0" w:space="0" w:color="auto"/>
        <w:right w:val="none" w:sz="0" w:space="0" w:color="auto"/>
      </w:divBdr>
    </w:div>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 w:id="150104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553C9-4677-491B-B725-E6DD30038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897</Words>
  <Characters>5116</Characters>
  <Application>Microsoft Office Word</Application>
  <DocSecurity>0</DocSecurity>
  <Lines>42</Lines>
  <Paragraphs>12</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BEFORE THE</vt:lpstr>
      <vt:lpstr>BEFORE THE</vt:lpstr>
      <vt:lpstr>PENNSYLVANIA PUBLIC UTILITY COMMISSION</vt:lpstr>
      <vt:lpstr/>
      <vt:lpstr/>
      <vt:lpstr>Before</vt:lpstr>
    </vt:vector>
  </TitlesOfParts>
  <Company>Pa Public Utility Commission</Company>
  <LinksUpToDate>false</LinksUpToDate>
  <CharactersWithSpaces>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2</cp:revision>
  <cp:lastPrinted>2015-09-17T14:23:00Z</cp:lastPrinted>
  <dcterms:created xsi:type="dcterms:W3CDTF">2015-10-14T15:23:00Z</dcterms:created>
  <dcterms:modified xsi:type="dcterms:W3CDTF">2015-10-14T15:23:00Z</dcterms:modified>
</cp:coreProperties>
</file>