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F60B58">
        <w:tc>
          <w:tcPr>
            <w:tcW w:w="2448" w:type="dxa"/>
          </w:tcPr>
          <w:p w:rsidR="007354DA" w:rsidRPr="00C0451E" w:rsidRDefault="007354DA" w:rsidP="00F60B58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F60B58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F60B58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F60B58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F60B58">
        <w:tc>
          <w:tcPr>
            <w:tcW w:w="514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CF29EE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CF29EE">
              <w:rPr>
                <w:sz w:val="26"/>
                <w:szCs w:val="26"/>
              </w:rPr>
              <w:t>October 22</w:t>
            </w:r>
            <w:r>
              <w:rPr>
                <w:sz w:val="26"/>
                <w:szCs w:val="26"/>
              </w:rPr>
              <w:t>, 201</w:t>
            </w:r>
            <w:r w:rsidR="00BF0BE6">
              <w:rPr>
                <w:sz w:val="26"/>
                <w:szCs w:val="26"/>
              </w:rPr>
              <w:t>5</w:t>
            </w:r>
          </w:p>
        </w:tc>
      </w:tr>
      <w:tr w:rsidR="007354DA" w:rsidRPr="00C0451E" w:rsidTr="00F60B58">
        <w:tc>
          <w:tcPr>
            <w:tcW w:w="514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2898"/>
        <w:gridCol w:w="522"/>
        <w:gridCol w:w="918"/>
      </w:tblGrid>
      <w:tr w:rsidR="007354DA" w:rsidRPr="00C0451E" w:rsidTr="00F60B58">
        <w:tc>
          <w:tcPr>
            <w:tcW w:w="9378" w:type="dxa"/>
            <w:gridSpan w:val="3"/>
          </w:tcPr>
          <w:p w:rsidR="007354DA" w:rsidRPr="00C0451E" w:rsidRDefault="00BF0BE6" w:rsidP="00F60B58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</w:tc>
        <w:tc>
          <w:tcPr>
            <w:tcW w:w="91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  <w:tr w:rsidR="007354DA" w:rsidRPr="00C0451E" w:rsidTr="00F60B58">
        <w:tc>
          <w:tcPr>
            <w:tcW w:w="9378" w:type="dxa"/>
            <w:gridSpan w:val="3"/>
          </w:tcPr>
          <w:p w:rsidR="007354DA" w:rsidRPr="00C0451E" w:rsidRDefault="007354DA" w:rsidP="00F60B58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Jr.,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  <w:tr w:rsidR="007354DA" w:rsidRPr="00C0451E" w:rsidTr="00F60B58">
        <w:tc>
          <w:tcPr>
            <w:tcW w:w="9378" w:type="dxa"/>
            <w:gridSpan w:val="3"/>
          </w:tcPr>
          <w:p w:rsidR="007354DA" w:rsidRPr="00C0451E" w:rsidRDefault="007354DA" w:rsidP="00F60B58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Pamela A. Witmer</w:t>
            </w:r>
          </w:p>
        </w:tc>
        <w:tc>
          <w:tcPr>
            <w:tcW w:w="91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  <w:tr w:rsidR="007354DA" w:rsidRPr="00C0451E" w:rsidTr="00F60B58">
        <w:trPr>
          <w:gridAfter w:val="2"/>
          <w:wAfter w:w="1440" w:type="dxa"/>
        </w:trPr>
        <w:tc>
          <w:tcPr>
            <w:tcW w:w="5958" w:type="dxa"/>
          </w:tcPr>
          <w:p w:rsidR="00BF0BE6" w:rsidRDefault="00BF0BE6" w:rsidP="00BF0BE6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Robert F. Powelson</w:t>
            </w:r>
          </w:p>
          <w:p w:rsidR="00B812A0" w:rsidRDefault="00B812A0" w:rsidP="00BF0BE6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Andrew G. Place</w:t>
            </w:r>
          </w:p>
          <w:p w:rsidR="007354DA" w:rsidRPr="00C0451E" w:rsidRDefault="007354DA" w:rsidP="00F60B58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289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  <w:tr w:rsidR="007354DA" w:rsidRPr="00C0451E" w:rsidTr="00F60B58">
        <w:trPr>
          <w:gridAfter w:val="2"/>
          <w:wAfter w:w="1440" w:type="dxa"/>
        </w:trPr>
        <w:tc>
          <w:tcPr>
            <w:tcW w:w="595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  <w:tr w:rsidR="007354DA" w:rsidRPr="00C0451E" w:rsidTr="00F60B58">
        <w:trPr>
          <w:gridAfter w:val="2"/>
          <w:wAfter w:w="1440" w:type="dxa"/>
        </w:trPr>
        <w:tc>
          <w:tcPr>
            <w:tcW w:w="5958" w:type="dxa"/>
          </w:tcPr>
          <w:p w:rsidR="007354DA" w:rsidRDefault="009558AC" w:rsidP="0073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</w:t>
            </w:r>
            <w:r w:rsidR="00BF0BE6">
              <w:rPr>
                <w:sz w:val="26"/>
                <w:szCs w:val="26"/>
              </w:rPr>
              <w:t xml:space="preserve"> Cancellations </w:t>
            </w:r>
            <w:r>
              <w:rPr>
                <w:sz w:val="26"/>
                <w:szCs w:val="26"/>
              </w:rPr>
              <w:t>of</w:t>
            </w:r>
            <w:r w:rsidR="00BF0B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 w:rsidR="00FB1E2E">
              <w:rPr>
                <w:sz w:val="26"/>
                <w:szCs w:val="26"/>
              </w:rPr>
              <w:t>ompan</w:t>
            </w:r>
            <w:r w:rsidR="003E6873">
              <w:rPr>
                <w:sz w:val="26"/>
                <w:szCs w:val="26"/>
              </w:rPr>
              <w:t>ies</w:t>
            </w:r>
            <w:r w:rsidR="00BF0BE6">
              <w:rPr>
                <w:sz w:val="26"/>
                <w:szCs w:val="26"/>
              </w:rPr>
              <w:t xml:space="preserve"> with </w:t>
            </w:r>
            <w:r>
              <w:rPr>
                <w:sz w:val="26"/>
                <w:szCs w:val="26"/>
              </w:rPr>
              <w:t xml:space="preserve">an </w:t>
            </w:r>
            <w:r w:rsidR="00BF0BE6">
              <w:rPr>
                <w:sz w:val="26"/>
                <w:szCs w:val="26"/>
              </w:rPr>
              <w:t>Expired Financial Security</w:t>
            </w:r>
          </w:p>
          <w:p w:rsidR="007354DA" w:rsidRPr="00C0451E" w:rsidRDefault="007354DA" w:rsidP="009A33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898" w:type="dxa"/>
          </w:tcPr>
          <w:p w:rsidR="007354DA" w:rsidRDefault="003E6873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M-2015-2490383</w:t>
            </w:r>
          </w:p>
          <w:p w:rsidR="007354DA" w:rsidRDefault="007354DA" w:rsidP="00F60B58">
            <w:pPr>
              <w:rPr>
                <w:sz w:val="26"/>
                <w:szCs w:val="26"/>
              </w:rPr>
            </w:pPr>
          </w:p>
          <w:p w:rsidR="007354DA" w:rsidRDefault="007354DA" w:rsidP="00F60B58">
            <w:pPr>
              <w:rPr>
                <w:sz w:val="26"/>
                <w:szCs w:val="26"/>
              </w:rPr>
            </w:pPr>
          </w:p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</w:tbl>
    <w:p w:rsidR="007354DA" w:rsidRDefault="007354DA" w:rsidP="007354DA">
      <w:pPr>
        <w:jc w:val="center"/>
        <w:rPr>
          <w:b/>
          <w:sz w:val="26"/>
          <w:szCs w:val="26"/>
        </w:rPr>
      </w:pPr>
    </w:p>
    <w:p w:rsidR="007354DA" w:rsidRPr="00C0451E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7354DA" w:rsidRDefault="007354DA" w:rsidP="007354DA">
      <w:pPr>
        <w:spacing w:line="360" w:lineRule="auto"/>
        <w:rPr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7354DA" w:rsidRDefault="00F851D3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7354DA" w:rsidRDefault="00F851D3" w:rsidP="007354DA">
      <w:pPr>
        <w:spacing w:line="36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7354DA" w:rsidRPr="00D844AA">
        <w:rPr>
          <w:snapToGrid w:val="0"/>
          <w:sz w:val="26"/>
          <w:szCs w:val="26"/>
        </w:rPr>
        <w:tab/>
      </w:r>
      <w:r w:rsidR="00D844AA" w:rsidRPr="00D844AA">
        <w:rPr>
          <w:snapToGrid w:val="0"/>
          <w:sz w:val="26"/>
          <w:szCs w:val="26"/>
        </w:rPr>
        <w:t xml:space="preserve">Failure to file the requested documentation </w:t>
      </w:r>
      <w:r w:rsidR="00D844AA">
        <w:rPr>
          <w:snapToGrid w:val="0"/>
          <w:sz w:val="26"/>
          <w:szCs w:val="26"/>
        </w:rPr>
        <w:t>may</w:t>
      </w:r>
      <w:r w:rsidR="00D844AA" w:rsidRPr="00D844AA">
        <w:rPr>
          <w:snapToGrid w:val="0"/>
          <w:sz w:val="26"/>
          <w:szCs w:val="26"/>
        </w:rPr>
        <w:t xml:space="preserve"> cause Commission staff to initiate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="00D844AA"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="00D844AA"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="00D844AA"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="00D844AA"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D844AA" w:rsidRPr="00CB25B4" w:rsidRDefault="00CB25B4" w:rsidP="00F851D3">
      <w:pPr>
        <w:spacing w:line="360" w:lineRule="auto"/>
        <w:ind w:firstLine="1440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As of </w:t>
      </w:r>
      <w:r w:rsidR="00CF29EE">
        <w:rPr>
          <w:sz w:val="26"/>
          <w:szCs w:val="26"/>
        </w:rPr>
        <w:t>October 9</w:t>
      </w:r>
      <w:r>
        <w:rPr>
          <w:sz w:val="26"/>
          <w:szCs w:val="26"/>
        </w:rPr>
        <w:t>, 2015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below </w:t>
      </w:r>
      <w:r w:rsidR="00D844AA" w:rsidRPr="006E7F26">
        <w:rPr>
          <w:sz w:val="26"/>
          <w:szCs w:val="26"/>
        </w:rPr>
        <w:t>ha</w:t>
      </w:r>
      <w:r w:rsidR="00D85078">
        <w:rPr>
          <w:sz w:val="26"/>
          <w:szCs w:val="26"/>
        </w:rPr>
        <w:t>s</w:t>
      </w:r>
      <w:r w:rsidR="00D844AA" w:rsidRPr="006E7F26">
        <w:rPr>
          <w:sz w:val="26"/>
          <w:szCs w:val="26"/>
        </w:rPr>
        <w:t xml:space="preserve"> not submitted the required </w:t>
      </w:r>
      <w:r>
        <w:rPr>
          <w:sz w:val="26"/>
          <w:szCs w:val="26"/>
        </w:rPr>
        <w:t>bond or other approved security to the Commission</w:t>
      </w:r>
      <w:r w:rsidR="00D844AA" w:rsidRPr="00CB25B4">
        <w:rPr>
          <w:b/>
          <w:sz w:val="26"/>
          <w:szCs w:val="26"/>
        </w:rPr>
        <w:t>.</w:t>
      </w:r>
    </w:p>
    <w:p w:rsidR="00B4318B" w:rsidRDefault="00B4318B" w:rsidP="00D844AA">
      <w:pPr>
        <w:spacing w:line="360" w:lineRule="auto"/>
        <w:ind w:firstLine="720"/>
        <w:rPr>
          <w:sz w:val="26"/>
          <w:szCs w:val="26"/>
        </w:rPr>
      </w:pPr>
    </w:p>
    <w:p w:rsidR="00B4318B" w:rsidRDefault="00EC7C7E" w:rsidP="00F851D3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CB25B4">
        <w:rPr>
          <w:sz w:val="26"/>
          <w:szCs w:val="26"/>
        </w:rPr>
        <w:t>electric generation suppliers</w:t>
      </w:r>
      <w:r w:rsidR="008645D7">
        <w:rPr>
          <w:sz w:val="26"/>
          <w:szCs w:val="26"/>
        </w:rPr>
        <w:t xml:space="preserve"> that have not submitted the required </w:t>
      </w:r>
      <w:r w:rsidR="00CB25B4">
        <w:rPr>
          <w:sz w:val="26"/>
          <w:szCs w:val="26"/>
        </w:rPr>
        <w:t>security</w:t>
      </w:r>
    </w:p>
    <w:p w:rsidR="00BF58AD" w:rsidRDefault="00BF58AD" w:rsidP="00D844AA">
      <w:pPr>
        <w:spacing w:line="360" w:lineRule="auto"/>
        <w:ind w:firstLine="720"/>
        <w:rPr>
          <w:sz w:val="26"/>
          <w:szCs w:val="26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070"/>
        <w:gridCol w:w="5220"/>
      </w:tblGrid>
      <w:tr w:rsidR="00B4318B" w:rsidTr="009B6D3F">
        <w:tc>
          <w:tcPr>
            <w:tcW w:w="2070" w:type="dxa"/>
          </w:tcPr>
          <w:p w:rsidR="00B4318B" w:rsidRPr="002870D0" w:rsidRDefault="00BF58AD" w:rsidP="002870D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70D0">
              <w:rPr>
                <w:sz w:val="26"/>
                <w:szCs w:val="26"/>
              </w:rPr>
              <w:t>A-</w:t>
            </w:r>
            <w:r w:rsidR="002870D0" w:rsidRPr="002870D0">
              <w:rPr>
                <w:sz w:val="26"/>
                <w:szCs w:val="26"/>
              </w:rPr>
              <w:t>2012-2320287</w:t>
            </w:r>
          </w:p>
        </w:tc>
        <w:tc>
          <w:tcPr>
            <w:tcW w:w="5220" w:type="dxa"/>
          </w:tcPr>
          <w:p w:rsidR="00B4318B" w:rsidRPr="002870D0" w:rsidRDefault="002870D0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70D0">
              <w:rPr>
                <w:sz w:val="26"/>
                <w:szCs w:val="26"/>
              </w:rPr>
              <w:t>Black Diamond Energy Consultants, Inc.</w:t>
            </w:r>
          </w:p>
        </w:tc>
      </w:tr>
      <w:tr w:rsidR="00B4318B" w:rsidTr="009B6D3F">
        <w:tc>
          <w:tcPr>
            <w:tcW w:w="2070" w:type="dxa"/>
          </w:tcPr>
          <w:p w:rsidR="00B4318B" w:rsidRPr="00EE0818" w:rsidRDefault="00862106" w:rsidP="00EE081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E0818">
              <w:rPr>
                <w:sz w:val="26"/>
                <w:szCs w:val="26"/>
              </w:rPr>
              <w:t>A-</w:t>
            </w:r>
            <w:r w:rsidR="00EE0818" w:rsidRPr="00EE0818">
              <w:rPr>
                <w:sz w:val="26"/>
                <w:szCs w:val="26"/>
              </w:rPr>
              <w:t>2010-2217557</w:t>
            </w:r>
          </w:p>
        </w:tc>
        <w:tc>
          <w:tcPr>
            <w:tcW w:w="5220" w:type="dxa"/>
          </w:tcPr>
          <w:p w:rsidR="00B4318B" w:rsidRPr="00EE0818" w:rsidRDefault="00EE0818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E0818">
              <w:rPr>
                <w:sz w:val="26"/>
                <w:szCs w:val="26"/>
              </w:rPr>
              <w:t>Branded Retail Energy Co LLC</w:t>
            </w:r>
          </w:p>
        </w:tc>
      </w:tr>
      <w:tr w:rsidR="00B4318B" w:rsidTr="009B6D3F">
        <w:tc>
          <w:tcPr>
            <w:tcW w:w="2070" w:type="dxa"/>
          </w:tcPr>
          <w:p w:rsidR="00B4318B" w:rsidRPr="008D10F5" w:rsidRDefault="00862106" w:rsidP="008D10F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D10F5">
              <w:rPr>
                <w:sz w:val="26"/>
                <w:szCs w:val="26"/>
              </w:rPr>
              <w:t>A-</w:t>
            </w:r>
            <w:r w:rsidR="008D10F5" w:rsidRPr="008D10F5">
              <w:rPr>
                <w:sz w:val="26"/>
                <w:szCs w:val="26"/>
              </w:rPr>
              <w:t>2010-2176721</w:t>
            </w:r>
          </w:p>
        </w:tc>
        <w:tc>
          <w:tcPr>
            <w:tcW w:w="5220" w:type="dxa"/>
          </w:tcPr>
          <w:p w:rsidR="00B4318B" w:rsidRPr="008D10F5" w:rsidRDefault="008D10F5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D10F5">
              <w:rPr>
                <w:sz w:val="26"/>
                <w:szCs w:val="26"/>
              </w:rPr>
              <w:t>Early Bird Power LLC</w:t>
            </w:r>
          </w:p>
        </w:tc>
      </w:tr>
      <w:tr w:rsidR="00953F15" w:rsidTr="009B6D3F">
        <w:tc>
          <w:tcPr>
            <w:tcW w:w="2070" w:type="dxa"/>
          </w:tcPr>
          <w:p w:rsidR="00953F15" w:rsidRPr="008A7B30" w:rsidRDefault="00953F15" w:rsidP="008A7B3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A-2010-2211398</w:t>
            </w:r>
          </w:p>
        </w:tc>
        <w:tc>
          <w:tcPr>
            <w:tcW w:w="5220" w:type="dxa"/>
          </w:tcPr>
          <w:p w:rsidR="00953F15" w:rsidRPr="008A7B30" w:rsidRDefault="00953F15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Galt Company</w:t>
            </w:r>
          </w:p>
        </w:tc>
      </w:tr>
      <w:tr w:rsidR="00B4318B" w:rsidTr="009B6D3F">
        <w:tc>
          <w:tcPr>
            <w:tcW w:w="2070" w:type="dxa"/>
          </w:tcPr>
          <w:p w:rsidR="00B4318B" w:rsidRPr="008A7B30" w:rsidRDefault="00862106" w:rsidP="008A7B3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A7B30">
              <w:rPr>
                <w:sz w:val="26"/>
                <w:szCs w:val="26"/>
              </w:rPr>
              <w:t>A-</w:t>
            </w:r>
            <w:r w:rsidR="008A7B30" w:rsidRPr="008A7B30">
              <w:rPr>
                <w:sz w:val="26"/>
                <w:szCs w:val="26"/>
              </w:rPr>
              <w:t>2012-2322715</w:t>
            </w:r>
          </w:p>
        </w:tc>
        <w:tc>
          <w:tcPr>
            <w:tcW w:w="5220" w:type="dxa"/>
          </w:tcPr>
          <w:p w:rsidR="00B4318B" w:rsidRPr="008A7B30" w:rsidRDefault="008A7B30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A7B30">
              <w:rPr>
                <w:sz w:val="26"/>
                <w:szCs w:val="26"/>
              </w:rPr>
              <w:t>Global Energy Concepts LLC</w:t>
            </w:r>
          </w:p>
        </w:tc>
      </w:tr>
      <w:tr w:rsidR="00B4318B" w:rsidTr="009B6D3F">
        <w:tc>
          <w:tcPr>
            <w:tcW w:w="2070" w:type="dxa"/>
          </w:tcPr>
          <w:p w:rsidR="00B4318B" w:rsidRPr="00F45A60" w:rsidRDefault="00862106" w:rsidP="00F45A6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5A60">
              <w:rPr>
                <w:sz w:val="26"/>
                <w:szCs w:val="26"/>
              </w:rPr>
              <w:t>A-</w:t>
            </w:r>
            <w:r w:rsidR="00F45A60" w:rsidRPr="00F45A60">
              <w:rPr>
                <w:sz w:val="26"/>
                <w:szCs w:val="26"/>
              </w:rPr>
              <w:t>2012-2304910</w:t>
            </w:r>
          </w:p>
        </w:tc>
        <w:tc>
          <w:tcPr>
            <w:tcW w:w="5220" w:type="dxa"/>
          </w:tcPr>
          <w:p w:rsidR="00B4318B" w:rsidRPr="00F45A60" w:rsidRDefault="00F45A60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45A60">
              <w:rPr>
                <w:sz w:val="26"/>
                <w:szCs w:val="26"/>
              </w:rPr>
              <w:t>HP Technologies, Inc.</w:t>
            </w:r>
          </w:p>
        </w:tc>
      </w:tr>
      <w:tr w:rsidR="00B4318B" w:rsidTr="009B6D3F">
        <w:tc>
          <w:tcPr>
            <w:tcW w:w="2070" w:type="dxa"/>
          </w:tcPr>
          <w:p w:rsidR="00B4318B" w:rsidRPr="00E8104C" w:rsidRDefault="00651017" w:rsidP="00E8104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8104C">
              <w:rPr>
                <w:sz w:val="26"/>
                <w:szCs w:val="26"/>
              </w:rPr>
              <w:t>A-</w:t>
            </w:r>
            <w:r w:rsidR="00E8104C" w:rsidRPr="00E8104C">
              <w:rPr>
                <w:sz w:val="26"/>
                <w:szCs w:val="26"/>
              </w:rPr>
              <w:t>2010-2182907</w:t>
            </w:r>
          </w:p>
        </w:tc>
        <w:tc>
          <w:tcPr>
            <w:tcW w:w="5220" w:type="dxa"/>
          </w:tcPr>
          <w:p w:rsidR="00B4318B" w:rsidRPr="00E8104C" w:rsidRDefault="00E8104C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8104C">
              <w:rPr>
                <w:sz w:val="26"/>
                <w:szCs w:val="26"/>
              </w:rPr>
              <w:t>Kenneth E Ryan</w:t>
            </w:r>
          </w:p>
        </w:tc>
      </w:tr>
      <w:tr w:rsidR="00B4318B" w:rsidTr="009B6D3F">
        <w:tc>
          <w:tcPr>
            <w:tcW w:w="2070" w:type="dxa"/>
          </w:tcPr>
          <w:p w:rsidR="00B4318B" w:rsidRPr="00E8104C" w:rsidRDefault="00651017" w:rsidP="00E8104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8104C">
              <w:rPr>
                <w:sz w:val="26"/>
                <w:szCs w:val="26"/>
              </w:rPr>
              <w:t>A-</w:t>
            </w:r>
            <w:r w:rsidR="00E8104C" w:rsidRPr="00E8104C">
              <w:rPr>
                <w:sz w:val="26"/>
                <w:szCs w:val="26"/>
              </w:rPr>
              <w:t>2010-2206145</w:t>
            </w:r>
          </w:p>
        </w:tc>
        <w:tc>
          <w:tcPr>
            <w:tcW w:w="5220" w:type="dxa"/>
          </w:tcPr>
          <w:p w:rsidR="00B4318B" w:rsidRPr="00E8104C" w:rsidRDefault="00E8104C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8104C">
              <w:rPr>
                <w:sz w:val="26"/>
                <w:szCs w:val="26"/>
              </w:rPr>
              <w:t>LD Energy LLC</w:t>
            </w:r>
          </w:p>
        </w:tc>
      </w:tr>
      <w:tr w:rsidR="00B4318B" w:rsidTr="009B6D3F">
        <w:tc>
          <w:tcPr>
            <w:tcW w:w="2070" w:type="dxa"/>
          </w:tcPr>
          <w:p w:rsidR="00B4318B" w:rsidRPr="00E8104C" w:rsidRDefault="00651017" w:rsidP="00E8104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8104C">
              <w:rPr>
                <w:sz w:val="26"/>
                <w:szCs w:val="26"/>
              </w:rPr>
              <w:t>A-</w:t>
            </w:r>
            <w:r w:rsidR="00E8104C" w:rsidRPr="00E8104C">
              <w:rPr>
                <w:sz w:val="26"/>
                <w:szCs w:val="26"/>
              </w:rPr>
              <w:t>2013-2380065</w:t>
            </w:r>
          </w:p>
        </w:tc>
        <w:tc>
          <w:tcPr>
            <w:tcW w:w="5220" w:type="dxa"/>
          </w:tcPr>
          <w:p w:rsidR="00B4318B" w:rsidRPr="00E8104C" w:rsidRDefault="00E8104C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8104C">
              <w:rPr>
                <w:sz w:val="26"/>
                <w:szCs w:val="26"/>
              </w:rPr>
              <w:t>Mark Group, Inc.</w:t>
            </w:r>
          </w:p>
        </w:tc>
      </w:tr>
      <w:tr w:rsidR="009B6D3F" w:rsidTr="009B6D3F">
        <w:tc>
          <w:tcPr>
            <w:tcW w:w="2070" w:type="dxa"/>
          </w:tcPr>
          <w:p w:rsidR="009B6D3F" w:rsidRPr="00C62889" w:rsidRDefault="00C6288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62889">
              <w:rPr>
                <w:sz w:val="26"/>
                <w:szCs w:val="26"/>
              </w:rPr>
              <w:t>A-2011-2250633</w:t>
            </w:r>
          </w:p>
        </w:tc>
        <w:tc>
          <w:tcPr>
            <w:tcW w:w="5220" w:type="dxa"/>
          </w:tcPr>
          <w:p w:rsidR="009B6D3F" w:rsidRPr="00C62889" w:rsidRDefault="00C6288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62889">
              <w:rPr>
                <w:sz w:val="26"/>
                <w:szCs w:val="26"/>
              </w:rPr>
              <w:t>Sperian Energy Corporation</w:t>
            </w:r>
          </w:p>
        </w:tc>
      </w:tr>
      <w:tr w:rsidR="009B6D3F" w:rsidTr="009B6D3F">
        <w:tc>
          <w:tcPr>
            <w:tcW w:w="2070" w:type="dxa"/>
          </w:tcPr>
          <w:p w:rsidR="009B6D3F" w:rsidRPr="00C62889" w:rsidRDefault="00C6288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62889">
              <w:rPr>
                <w:sz w:val="26"/>
                <w:szCs w:val="26"/>
              </w:rPr>
              <w:t>A-2010-2210589</w:t>
            </w:r>
          </w:p>
        </w:tc>
        <w:tc>
          <w:tcPr>
            <w:tcW w:w="5220" w:type="dxa"/>
          </w:tcPr>
          <w:p w:rsidR="009B6D3F" w:rsidRPr="00C62889" w:rsidRDefault="00C6288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62889">
              <w:rPr>
                <w:sz w:val="26"/>
                <w:szCs w:val="26"/>
              </w:rPr>
              <w:t>Suncom, Inc.</w:t>
            </w:r>
          </w:p>
        </w:tc>
      </w:tr>
      <w:tr w:rsidR="004A6BC2" w:rsidTr="009B6D3F">
        <w:tc>
          <w:tcPr>
            <w:tcW w:w="2070" w:type="dxa"/>
          </w:tcPr>
          <w:p w:rsidR="004A6BC2" w:rsidRPr="00C62889" w:rsidRDefault="004A6BC2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A-2013-2380072</w:t>
            </w:r>
          </w:p>
        </w:tc>
        <w:tc>
          <w:tcPr>
            <w:tcW w:w="5220" w:type="dxa"/>
          </w:tcPr>
          <w:p w:rsidR="004A6BC2" w:rsidRPr="00C62889" w:rsidRDefault="004A6BC2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Transparent Electric, Inc.</w:t>
            </w:r>
          </w:p>
        </w:tc>
      </w:tr>
      <w:tr w:rsidR="009B6D3F" w:rsidTr="009B6D3F">
        <w:tc>
          <w:tcPr>
            <w:tcW w:w="2070" w:type="dxa"/>
          </w:tcPr>
          <w:p w:rsidR="009B6D3F" w:rsidRPr="00C62889" w:rsidRDefault="00C6288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62889">
              <w:rPr>
                <w:sz w:val="26"/>
                <w:szCs w:val="26"/>
              </w:rPr>
              <w:t>A-2011-2242007</w:t>
            </w:r>
          </w:p>
        </w:tc>
        <w:tc>
          <w:tcPr>
            <w:tcW w:w="5220" w:type="dxa"/>
          </w:tcPr>
          <w:p w:rsidR="009B6D3F" w:rsidRPr="00C62889" w:rsidRDefault="00C62889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62889">
              <w:rPr>
                <w:sz w:val="26"/>
                <w:szCs w:val="26"/>
              </w:rPr>
              <w:t>Utilities Analyses, Inc.</w:t>
            </w:r>
          </w:p>
        </w:tc>
      </w:tr>
    </w:tbl>
    <w:p w:rsidR="007354DA" w:rsidRPr="00BF0BE6" w:rsidRDefault="007354DA" w:rsidP="007354DA">
      <w:pPr>
        <w:spacing w:line="360" w:lineRule="auto"/>
        <w:rPr>
          <w:sz w:val="26"/>
          <w:szCs w:val="26"/>
          <w:highlight w:val="yellow"/>
        </w:rPr>
      </w:pPr>
      <w:r w:rsidRPr="00BF0BE6">
        <w:rPr>
          <w:sz w:val="26"/>
          <w:szCs w:val="26"/>
          <w:highlight w:val="yellow"/>
        </w:rPr>
        <w:t xml:space="preserve"> </w:t>
      </w:r>
    </w:p>
    <w:p w:rsidR="00CB25B4" w:rsidRDefault="00CB25B4" w:rsidP="00F851D3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Technical Utility Services (TUS) sent a 60-day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60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Subsequently, after </w:t>
      </w:r>
      <w:r w:rsidR="00366BAE">
        <w:rPr>
          <w:sz w:val="26"/>
          <w:szCs w:val="26"/>
        </w:rPr>
        <w:t xml:space="preserve">the expiration date of </w:t>
      </w:r>
      <w:r>
        <w:rPr>
          <w:sz w:val="26"/>
          <w:szCs w:val="26"/>
        </w:rPr>
        <w:t>each entity’s approved financial security,</w:t>
      </w:r>
      <w:r w:rsidRPr="006E7F26">
        <w:rPr>
          <w:sz w:val="26"/>
          <w:szCs w:val="26"/>
        </w:rPr>
        <w:t xml:space="preserve"> TUS sent a Certified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Warning Letter</w:t>
      </w:r>
      <w:r>
        <w:rPr>
          <w:sz w:val="26"/>
          <w:szCs w:val="26"/>
        </w:rPr>
        <w:t xml:space="preserve"> which sought </w:t>
      </w:r>
      <w:r w:rsidR="00366BAE">
        <w:rPr>
          <w:sz w:val="26"/>
          <w:szCs w:val="26"/>
        </w:rPr>
        <w:t xml:space="preserve">security </w:t>
      </w:r>
      <w:r w:rsidRPr="006E7F26">
        <w:rPr>
          <w:sz w:val="26"/>
          <w:szCs w:val="26"/>
        </w:rPr>
        <w:t>renewal documentation within 10 days.</w:t>
      </w:r>
      <w:r w:rsidR="00366BAE">
        <w:rPr>
          <w:sz w:val="26"/>
          <w:szCs w:val="26"/>
        </w:rPr>
        <w:t xml:space="preserve">  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CB25B4" w:rsidRDefault="00CB25B4" w:rsidP="007354DA">
      <w:pPr>
        <w:spacing w:line="360" w:lineRule="auto"/>
        <w:ind w:firstLine="720"/>
        <w:rPr>
          <w:sz w:val="26"/>
          <w:szCs w:val="26"/>
        </w:rPr>
      </w:pPr>
    </w:p>
    <w:p w:rsidR="007354DA" w:rsidRDefault="007354DA" w:rsidP="00F851D3">
      <w:pPr>
        <w:spacing w:line="360" w:lineRule="auto"/>
        <w:ind w:firstLine="1440"/>
        <w:rPr>
          <w:b/>
          <w:sz w:val="26"/>
          <w:szCs w:val="26"/>
        </w:rPr>
      </w:pPr>
      <w:r w:rsidRPr="003C261B">
        <w:rPr>
          <w:sz w:val="26"/>
          <w:szCs w:val="26"/>
        </w:rPr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366BAE">
        <w:rPr>
          <w:sz w:val="26"/>
          <w:szCs w:val="26"/>
        </w:rPr>
        <w:t>cancel</w:t>
      </w:r>
      <w:r w:rsidRPr="003C261B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the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E8575D" w:rsidRDefault="00E8575D" w:rsidP="00E8575D">
      <w:pPr>
        <w:spacing w:line="360" w:lineRule="auto"/>
        <w:ind w:firstLine="720"/>
        <w:rPr>
          <w:sz w:val="26"/>
          <w:szCs w:val="26"/>
          <w:highlight w:val="yellow"/>
        </w:rPr>
      </w:pPr>
    </w:p>
    <w:p w:rsidR="007354DA" w:rsidRPr="00D844AA" w:rsidRDefault="007354DA" w:rsidP="00F851D3">
      <w:pPr>
        <w:spacing w:line="360" w:lineRule="auto"/>
        <w:ind w:left="720"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Pr="00D844AA" w:rsidRDefault="00F851D3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844AA">
        <w:rPr>
          <w:sz w:val="26"/>
          <w:szCs w:val="26"/>
        </w:rPr>
        <w:tab/>
        <w:t>1.</w:t>
      </w:r>
      <w:r w:rsidR="007354DA" w:rsidRPr="00D844AA">
        <w:rPr>
          <w:sz w:val="26"/>
          <w:szCs w:val="26"/>
        </w:rPr>
        <w:tab/>
        <w:t xml:space="preserve">That </w:t>
      </w:r>
      <w:r w:rsidR="00827541" w:rsidRPr="00D844AA">
        <w:rPr>
          <w:sz w:val="26"/>
          <w:szCs w:val="26"/>
        </w:rPr>
        <w:t>cancellation</w:t>
      </w:r>
      <w:r w:rsidR="007354DA" w:rsidRPr="00D844AA">
        <w:rPr>
          <w:sz w:val="26"/>
          <w:szCs w:val="26"/>
        </w:rPr>
        <w:t xml:space="preserve"> of </w:t>
      </w:r>
      <w:r w:rsidR="00251A99">
        <w:rPr>
          <w:sz w:val="26"/>
          <w:szCs w:val="26"/>
        </w:rPr>
        <w:t xml:space="preserve">the </w:t>
      </w:r>
      <w:r w:rsidR="00FB1E2E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FB1E2E">
        <w:rPr>
          <w:sz w:val="26"/>
          <w:szCs w:val="26"/>
        </w:rPr>
        <w:t xml:space="preserve">Licenses </w:t>
      </w:r>
      <w:r w:rsidR="00D422A9">
        <w:rPr>
          <w:sz w:val="26"/>
          <w:szCs w:val="26"/>
        </w:rPr>
        <w:t>of</w:t>
      </w:r>
      <w:r w:rsidR="00FB1E2E">
        <w:rPr>
          <w:sz w:val="26"/>
          <w:szCs w:val="26"/>
        </w:rPr>
        <w:t xml:space="preserve"> 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</w:t>
      </w:r>
      <w:r w:rsidR="007354DA" w:rsidRPr="00D844AA">
        <w:rPr>
          <w:sz w:val="26"/>
          <w:szCs w:val="26"/>
        </w:rPr>
        <w:t xml:space="preserve"> </w:t>
      </w:r>
      <w:r w:rsidR="003E2CA9">
        <w:rPr>
          <w:sz w:val="26"/>
          <w:szCs w:val="26"/>
        </w:rPr>
        <w:t>is</w:t>
      </w:r>
      <w:r w:rsidR="007354DA" w:rsidRPr="00D844AA">
        <w:rPr>
          <w:sz w:val="26"/>
          <w:szCs w:val="26"/>
        </w:rPr>
        <w:t xml:space="preserve"> hereby tentatively approved as being in the public interest.</w:t>
      </w:r>
    </w:p>
    <w:p w:rsidR="007354DA" w:rsidRPr="00BE6220" w:rsidRDefault="007354DA" w:rsidP="007354DA">
      <w:pPr>
        <w:spacing w:line="360" w:lineRule="auto"/>
        <w:rPr>
          <w:sz w:val="26"/>
          <w:szCs w:val="26"/>
        </w:rPr>
      </w:pPr>
    </w:p>
    <w:p w:rsidR="007354DA" w:rsidRPr="00BE6220" w:rsidRDefault="007354DA" w:rsidP="00EB18FB">
      <w:pPr>
        <w:spacing w:line="360" w:lineRule="auto"/>
        <w:ind w:firstLine="1440"/>
        <w:rPr>
          <w:sz w:val="26"/>
          <w:szCs w:val="26"/>
        </w:rPr>
      </w:pPr>
      <w:r w:rsidRPr="00BE6220">
        <w:rPr>
          <w:sz w:val="26"/>
          <w:szCs w:val="26"/>
        </w:rPr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r w:rsidR="00366BAE">
        <w:rPr>
          <w:sz w:val="26"/>
          <w:szCs w:val="26"/>
        </w:rPr>
        <w:t xml:space="preserve">all of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:rsidR="007354DA" w:rsidRPr="00BF0BE6" w:rsidRDefault="007354DA" w:rsidP="007354DA">
      <w:pPr>
        <w:spacing w:line="360" w:lineRule="auto"/>
        <w:rPr>
          <w:sz w:val="26"/>
          <w:szCs w:val="26"/>
          <w:highlight w:val="yellow"/>
        </w:rPr>
      </w:pPr>
    </w:p>
    <w:p w:rsidR="007354DA" w:rsidRPr="00D51C87" w:rsidRDefault="00EB18FB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51C87">
        <w:rPr>
          <w:sz w:val="26"/>
          <w:szCs w:val="26"/>
        </w:rPr>
        <w:tab/>
        <w:t>3.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 xml:space="preserve">Final Order for entry by the Secretary and shall advise the affected Bureaus within the Commission in writing that the </w:t>
      </w:r>
      <w:r w:rsidR="00251A99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251A99">
        <w:rPr>
          <w:sz w:val="26"/>
          <w:szCs w:val="26"/>
        </w:rPr>
        <w:t>Licenses</w:t>
      </w:r>
      <w:r w:rsidR="00D85078">
        <w:rPr>
          <w:sz w:val="26"/>
          <w:szCs w:val="26"/>
        </w:rPr>
        <w:t xml:space="preserve"> held by</w:t>
      </w:r>
      <w:r w:rsidR="00251A99">
        <w:rPr>
          <w:sz w:val="26"/>
          <w:szCs w:val="26"/>
        </w:rPr>
        <w:t xml:space="preserve"> </w:t>
      </w:r>
      <w:r w:rsidR="00FB1E2E">
        <w:rPr>
          <w:sz w:val="26"/>
          <w:szCs w:val="26"/>
        </w:rPr>
        <w:t>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Table, are</w:t>
      </w:r>
      <w:r w:rsidR="009A262E" w:rsidRPr="00D51C87">
        <w:rPr>
          <w:sz w:val="26"/>
          <w:szCs w:val="26"/>
        </w:rPr>
        <w:t xml:space="preserve"> cancelled and the case</w:t>
      </w:r>
      <w:r w:rsidR="00D422A9">
        <w:rPr>
          <w:sz w:val="26"/>
          <w:szCs w:val="26"/>
        </w:rPr>
        <w:t>s</w:t>
      </w:r>
      <w:r w:rsidR="009A262E" w:rsidRPr="00D51C87">
        <w:rPr>
          <w:sz w:val="26"/>
          <w:szCs w:val="26"/>
        </w:rPr>
        <w:t xml:space="preserve"> may be closed.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7354DA" w:rsidRPr="00BF0BE6" w:rsidRDefault="007354DA" w:rsidP="00EB18FB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described in ordering Paragraph 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 xml:space="preserve">stricken from all active </w:t>
      </w:r>
      <w:r w:rsidRPr="00BF0BE6">
        <w:rPr>
          <w:sz w:val="26"/>
          <w:szCs w:val="26"/>
        </w:rPr>
        <w:lastRenderedPageBreak/>
        <w:t>utility 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:rsidR="007354DA" w:rsidRPr="00BF0BE6" w:rsidRDefault="007354DA" w:rsidP="007354DA">
      <w:pPr>
        <w:tabs>
          <w:tab w:val="left" w:pos="742"/>
        </w:tabs>
        <w:rPr>
          <w:sz w:val="26"/>
          <w:szCs w:val="26"/>
        </w:rPr>
      </w:pPr>
    </w:p>
    <w:p w:rsidR="007354DA" w:rsidRPr="00BF0BE6" w:rsidRDefault="003A60E2" w:rsidP="007354DA">
      <w:pPr>
        <w:pStyle w:val="p17"/>
        <w:ind w:left="5057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99F989" wp14:editId="0706CA19">
            <wp:simplePos x="0" y="0"/>
            <wp:positionH relativeFrom="column">
              <wp:posOffset>3160395</wp:posOffset>
            </wp:positionH>
            <wp:positionV relativeFrom="paragraph">
              <wp:posOffset>65405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4DA" w:rsidRPr="00BF0BE6">
        <w:rPr>
          <w:b/>
          <w:bCs/>
          <w:sz w:val="26"/>
          <w:szCs w:val="26"/>
        </w:rPr>
        <w:t>BY THE COMMISSION</w:t>
      </w:r>
    </w:p>
    <w:p w:rsidR="007354DA" w:rsidRPr="00BF0BE6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:rsidR="00B43A27" w:rsidRPr="00BF0BE6" w:rsidRDefault="00B43A27" w:rsidP="007354DA">
      <w:pPr>
        <w:tabs>
          <w:tab w:val="left" w:pos="5057"/>
        </w:tabs>
        <w:rPr>
          <w:bCs/>
          <w:sz w:val="26"/>
          <w:szCs w:val="26"/>
        </w:rPr>
      </w:pPr>
      <w:bookmarkStart w:id="0" w:name="_GoBack"/>
      <w:bookmarkEnd w:id="0"/>
    </w:p>
    <w:p w:rsidR="007354DA" w:rsidRPr="00BF0BE6" w:rsidRDefault="007354DA" w:rsidP="007354DA">
      <w:pPr>
        <w:tabs>
          <w:tab w:val="left" w:pos="5057"/>
        </w:tabs>
        <w:rPr>
          <w:b/>
          <w:bCs/>
          <w:sz w:val="26"/>
          <w:szCs w:val="26"/>
        </w:rPr>
      </w:pP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:rsidR="007354DA" w:rsidRPr="00BF0BE6" w:rsidRDefault="007354DA" w:rsidP="007354DA">
      <w:pPr>
        <w:tabs>
          <w:tab w:val="left" w:pos="5062"/>
        </w:tabs>
        <w:rPr>
          <w:sz w:val="26"/>
          <w:szCs w:val="26"/>
        </w:rPr>
      </w:pPr>
    </w:p>
    <w:p w:rsidR="007354DA" w:rsidRPr="00BF0BE6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:rsidR="007354DA" w:rsidRPr="00BF0BE6" w:rsidRDefault="007354DA" w:rsidP="007354DA">
      <w:pPr>
        <w:tabs>
          <w:tab w:val="left" w:pos="204"/>
        </w:tabs>
        <w:rPr>
          <w:sz w:val="26"/>
          <w:szCs w:val="26"/>
        </w:rPr>
      </w:pP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CF29EE">
        <w:rPr>
          <w:sz w:val="26"/>
          <w:szCs w:val="26"/>
        </w:rPr>
        <w:t>October 22</w:t>
      </w:r>
      <w:r w:rsidR="00BF0BE6" w:rsidRPr="00BF0BE6">
        <w:rPr>
          <w:sz w:val="26"/>
          <w:szCs w:val="26"/>
        </w:rPr>
        <w:t>, 2015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 </w:t>
      </w:r>
      <w:r w:rsidR="003A60E2">
        <w:rPr>
          <w:sz w:val="26"/>
          <w:szCs w:val="26"/>
        </w:rPr>
        <w:t>October 22, 2015</w:t>
      </w:r>
      <w:r w:rsidR="00D51DD5" w:rsidRPr="00BF0BE6">
        <w:rPr>
          <w:sz w:val="26"/>
          <w:szCs w:val="26"/>
        </w:rPr>
        <w:t xml:space="preserve"> </w:t>
      </w:r>
    </w:p>
    <w:sectPr w:rsidR="00C76C63" w:rsidRPr="007C6AE3" w:rsidSect="00B43A2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7F" w:rsidRDefault="005E5C7F">
      <w:r>
        <w:separator/>
      </w:r>
    </w:p>
  </w:endnote>
  <w:endnote w:type="continuationSeparator" w:id="0">
    <w:p w:rsidR="005E5C7F" w:rsidRDefault="005E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FA" w:rsidRDefault="002D3A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EFA" w:rsidRDefault="005E5C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FA" w:rsidRDefault="002D3A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0E2">
      <w:rPr>
        <w:rStyle w:val="PageNumber"/>
        <w:noProof/>
      </w:rPr>
      <w:t>4</w:t>
    </w:r>
    <w:r>
      <w:rPr>
        <w:rStyle w:val="PageNumber"/>
      </w:rPr>
      <w:fldChar w:fldCharType="end"/>
    </w:r>
  </w:p>
  <w:p w:rsidR="00094EFA" w:rsidRDefault="005E5C7F" w:rsidP="00FA5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7F" w:rsidRDefault="005E5C7F">
      <w:r>
        <w:separator/>
      </w:r>
    </w:p>
  </w:footnote>
  <w:footnote w:type="continuationSeparator" w:id="0">
    <w:p w:rsidR="005E5C7F" w:rsidRDefault="005E5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A"/>
    <w:rsid w:val="0001705B"/>
    <w:rsid w:val="00054007"/>
    <w:rsid w:val="0008486E"/>
    <w:rsid w:val="0009092B"/>
    <w:rsid w:val="000A0061"/>
    <w:rsid w:val="000A6173"/>
    <w:rsid w:val="000E45FE"/>
    <w:rsid w:val="000E6451"/>
    <w:rsid w:val="001A1FE0"/>
    <w:rsid w:val="001E5A45"/>
    <w:rsid w:val="0023240B"/>
    <w:rsid w:val="00251A99"/>
    <w:rsid w:val="002870D0"/>
    <w:rsid w:val="002D3AC4"/>
    <w:rsid w:val="002D7EBB"/>
    <w:rsid w:val="003075CA"/>
    <w:rsid w:val="00354FF3"/>
    <w:rsid w:val="00366BAE"/>
    <w:rsid w:val="003A60E2"/>
    <w:rsid w:val="003C261B"/>
    <w:rsid w:val="003E2CA9"/>
    <w:rsid w:val="003E5318"/>
    <w:rsid w:val="003E6873"/>
    <w:rsid w:val="004822AB"/>
    <w:rsid w:val="004A6BC2"/>
    <w:rsid w:val="004B6BD8"/>
    <w:rsid w:val="004E7908"/>
    <w:rsid w:val="00500326"/>
    <w:rsid w:val="00503929"/>
    <w:rsid w:val="0058092C"/>
    <w:rsid w:val="005E5C7F"/>
    <w:rsid w:val="005E6EA3"/>
    <w:rsid w:val="0061741E"/>
    <w:rsid w:val="0062582B"/>
    <w:rsid w:val="00641E5A"/>
    <w:rsid w:val="00651017"/>
    <w:rsid w:val="006748D1"/>
    <w:rsid w:val="006E7F26"/>
    <w:rsid w:val="00700595"/>
    <w:rsid w:val="00701E67"/>
    <w:rsid w:val="00706B1F"/>
    <w:rsid w:val="007354DA"/>
    <w:rsid w:val="007547BA"/>
    <w:rsid w:val="0076173A"/>
    <w:rsid w:val="00793907"/>
    <w:rsid w:val="007C6AE3"/>
    <w:rsid w:val="007C7614"/>
    <w:rsid w:val="00814F38"/>
    <w:rsid w:val="00827541"/>
    <w:rsid w:val="008368FE"/>
    <w:rsid w:val="00862106"/>
    <w:rsid w:val="008645D7"/>
    <w:rsid w:val="00872CB2"/>
    <w:rsid w:val="008A01A7"/>
    <w:rsid w:val="008A7B30"/>
    <w:rsid w:val="008D10F5"/>
    <w:rsid w:val="008F5C64"/>
    <w:rsid w:val="00913847"/>
    <w:rsid w:val="009274D6"/>
    <w:rsid w:val="00953F15"/>
    <w:rsid w:val="009558AC"/>
    <w:rsid w:val="009A262E"/>
    <w:rsid w:val="009A33CC"/>
    <w:rsid w:val="009A5E4A"/>
    <w:rsid w:val="009B6D3F"/>
    <w:rsid w:val="009E1E32"/>
    <w:rsid w:val="00A942FE"/>
    <w:rsid w:val="00A96F04"/>
    <w:rsid w:val="00AB07D4"/>
    <w:rsid w:val="00B13FB6"/>
    <w:rsid w:val="00B22C77"/>
    <w:rsid w:val="00B4318B"/>
    <w:rsid w:val="00B43A27"/>
    <w:rsid w:val="00B7032F"/>
    <w:rsid w:val="00B812A0"/>
    <w:rsid w:val="00BB5941"/>
    <w:rsid w:val="00BB64AA"/>
    <w:rsid w:val="00BE4FE6"/>
    <w:rsid w:val="00BE5BF7"/>
    <w:rsid w:val="00BE6220"/>
    <w:rsid w:val="00BF0BE6"/>
    <w:rsid w:val="00BF58AD"/>
    <w:rsid w:val="00C62889"/>
    <w:rsid w:val="00C76C63"/>
    <w:rsid w:val="00C915FF"/>
    <w:rsid w:val="00CB21F4"/>
    <w:rsid w:val="00CB25B4"/>
    <w:rsid w:val="00CB369E"/>
    <w:rsid w:val="00CF29EE"/>
    <w:rsid w:val="00D422A9"/>
    <w:rsid w:val="00D51C87"/>
    <w:rsid w:val="00D51DD5"/>
    <w:rsid w:val="00D55D4F"/>
    <w:rsid w:val="00D844AA"/>
    <w:rsid w:val="00D85078"/>
    <w:rsid w:val="00DA1DA9"/>
    <w:rsid w:val="00DA62D7"/>
    <w:rsid w:val="00E0040C"/>
    <w:rsid w:val="00E45E6F"/>
    <w:rsid w:val="00E474D5"/>
    <w:rsid w:val="00E8104C"/>
    <w:rsid w:val="00E8575D"/>
    <w:rsid w:val="00EB18FB"/>
    <w:rsid w:val="00EC7C7E"/>
    <w:rsid w:val="00EE0818"/>
    <w:rsid w:val="00F45A60"/>
    <w:rsid w:val="00F54ED4"/>
    <w:rsid w:val="00F773F1"/>
    <w:rsid w:val="00F851D3"/>
    <w:rsid w:val="00F969CC"/>
    <w:rsid w:val="00FB1E2E"/>
    <w:rsid w:val="00FD0A9D"/>
    <w:rsid w:val="00FD3F24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0AA3-3840-4877-A994-EDB8C0F3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Wagner, Nathan R</cp:lastModifiedBy>
  <cp:revision>31</cp:revision>
  <cp:lastPrinted>2015-10-22T11:34:00Z</cp:lastPrinted>
  <dcterms:created xsi:type="dcterms:W3CDTF">2015-09-28T14:44:00Z</dcterms:created>
  <dcterms:modified xsi:type="dcterms:W3CDTF">2015-10-22T11:34:00Z</dcterms:modified>
</cp:coreProperties>
</file>