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4FD6" w:rsidRPr="008B455C" w:rsidRDefault="008E4FD6" w:rsidP="008E4FD6">
      <w:pPr>
        <w:jc w:val="center"/>
        <w:rPr>
          <w:b/>
        </w:rPr>
      </w:pPr>
      <w:r w:rsidRPr="008B455C">
        <w:rPr>
          <w:b/>
        </w:rPr>
        <w:t>BEFORE THE</w:t>
      </w:r>
    </w:p>
    <w:p w:rsidR="008E4FD6" w:rsidRPr="008B455C" w:rsidRDefault="008E4FD6" w:rsidP="008E4FD6">
      <w:pPr>
        <w:jc w:val="center"/>
        <w:rPr>
          <w:b/>
        </w:rPr>
      </w:pPr>
      <w:smartTag w:uri="urn:schemas-microsoft-com:office:smarttags" w:element="State">
        <w:smartTag w:uri="urn:schemas-microsoft-com:office:smarttags" w:element="place">
          <w:r w:rsidRPr="008B455C">
            <w:rPr>
              <w:b/>
            </w:rPr>
            <w:t>PENNSYLVANIA</w:t>
          </w:r>
        </w:smartTag>
      </w:smartTag>
      <w:r w:rsidRPr="008B455C">
        <w:rPr>
          <w:b/>
        </w:rPr>
        <w:t xml:space="preserve"> PUBLIC UTILITY COMMISSION</w:t>
      </w:r>
    </w:p>
    <w:p w:rsidR="008E4FD6" w:rsidRPr="008B455C" w:rsidRDefault="008E4FD6" w:rsidP="008E4FD6">
      <w:pPr>
        <w:jc w:val="center"/>
        <w:rPr>
          <w:b/>
        </w:rPr>
      </w:pPr>
    </w:p>
    <w:p w:rsidR="008E4FD6" w:rsidRPr="008B455C" w:rsidRDefault="008E4FD6" w:rsidP="008E4FD6">
      <w:pPr>
        <w:jc w:val="center"/>
        <w:rPr>
          <w:b/>
        </w:rPr>
      </w:pPr>
    </w:p>
    <w:p w:rsidR="008E4FD6" w:rsidRPr="008B455C" w:rsidRDefault="008E4FD6" w:rsidP="008E4FD6">
      <w:pPr>
        <w:jc w:val="center"/>
        <w:rPr>
          <w:b/>
        </w:rPr>
      </w:pPr>
    </w:p>
    <w:p w:rsidR="00F9732A" w:rsidRPr="008B455C" w:rsidRDefault="004C5521" w:rsidP="00F9732A">
      <w:r>
        <w:t>Ruth Sanchez</w:t>
      </w:r>
      <w:r>
        <w:tab/>
      </w:r>
      <w:r w:rsidR="00001294">
        <w:tab/>
      </w:r>
      <w:r w:rsidR="00001294">
        <w:tab/>
      </w:r>
      <w:r w:rsidR="00F9732A" w:rsidRPr="008B455C">
        <w:tab/>
      </w:r>
      <w:r w:rsidR="00EF7BB1" w:rsidRPr="008B455C">
        <w:tab/>
      </w:r>
      <w:r w:rsidR="00F9732A" w:rsidRPr="008B455C">
        <w:tab/>
        <w:t>:</w:t>
      </w:r>
      <w:r w:rsidR="00F9732A" w:rsidRPr="008B455C">
        <w:tab/>
      </w:r>
    </w:p>
    <w:p w:rsidR="00F9732A" w:rsidRPr="008B455C" w:rsidRDefault="00F9732A" w:rsidP="00F9732A">
      <w:r w:rsidRPr="008B455C">
        <w:tab/>
      </w:r>
      <w:r w:rsidRPr="008B455C">
        <w:tab/>
      </w:r>
      <w:r w:rsidRPr="008B455C">
        <w:tab/>
      </w:r>
      <w:r w:rsidRPr="008B455C">
        <w:tab/>
      </w:r>
      <w:r w:rsidRPr="008B455C">
        <w:tab/>
      </w:r>
      <w:r w:rsidRPr="008B455C">
        <w:tab/>
      </w:r>
      <w:r w:rsidRPr="008B455C">
        <w:tab/>
        <w:t>:</w:t>
      </w:r>
    </w:p>
    <w:p w:rsidR="00F9732A" w:rsidRPr="008B455C" w:rsidRDefault="00F9732A" w:rsidP="00F6612B">
      <w:pPr>
        <w:numPr>
          <w:ilvl w:val="0"/>
          <w:numId w:val="5"/>
        </w:numPr>
        <w:ind w:hanging="4320"/>
      </w:pPr>
      <w:r w:rsidRPr="008B455C">
        <w:t>:</w:t>
      </w:r>
      <w:r w:rsidRPr="008B455C">
        <w:tab/>
      </w:r>
      <w:r w:rsidR="00F6612B" w:rsidRPr="008B455C">
        <w:tab/>
      </w:r>
      <w:r w:rsidR="00001294">
        <w:t>C-</w:t>
      </w:r>
      <w:r w:rsidR="004C5521">
        <w:t>2015-2472600</w:t>
      </w:r>
    </w:p>
    <w:p w:rsidR="00F9732A" w:rsidRPr="008B455C" w:rsidRDefault="00F9732A" w:rsidP="00F9732A">
      <w:pPr>
        <w:ind w:left="5040"/>
      </w:pPr>
      <w:r w:rsidRPr="008B455C">
        <w:t>:</w:t>
      </w:r>
    </w:p>
    <w:p w:rsidR="00F9732A" w:rsidRPr="008B455C" w:rsidRDefault="0027087C" w:rsidP="00F9732A">
      <w:r>
        <w:t>PPL Electric Utilities Corporation</w:t>
      </w:r>
      <w:r w:rsidR="004C5521">
        <w:tab/>
      </w:r>
      <w:r w:rsidR="00F9732A" w:rsidRPr="008B455C">
        <w:tab/>
        <w:t xml:space="preserve"> </w:t>
      </w:r>
      <w:r w:rsidR="00F9732A" w:rsidRPr="008B455C">
        <w:tab/>
        <w:t>:</w:t>
      </w:r>
    </w:p>
    <w:p w:rsidR="00F9732A" w:rsidRPr="008B455C" w:rsidRDefault="00F9732A" w:rsidP="00F9732A"/>
    <w:p w:rsidR="008E4FD6" w:rsidRPr="008B455C" w:rsidRDefault="008E4FD6" w:rsidP="008E4FD6">
      <w:pPr>
        <w:tabs>
          <w:tab w:val="left" w:pos="1076"/>
        </w:tabs>
      </w:pPr>
    </w:p>
    <w:p w:rsidR="008E4FD6" w:rsidRPr="008B455C" w:rsidRDefault="008E4FD6" w:rsidP="008E4FD6">
      <w:pPr>
        <w:tabs>
          <w:tab w:val="left" w:pos="1076"/>
        </w:tabs>
      </w:pPr>
    </w:p>
    <w:p w:rsidR="008E4FD6" w:rsidRPr="008B455C" w:rsidRDefault="008E4FD6" w:rsidP="008E4FD6">
      <w:pPr>
        <w:jc w:val="center"/>
        <w:rPr>
          <w:b/>
          <w:u w:val="single"/>
        </w:rPr>
      </w:pPr>
      <w:r w:rsidRPr="008B455C">
        <w:rPr>
          <w:b/>
          <w:u w:val="single"/>
        </w:rPr>
        <w:t>INITIAL DECISION</w:t>
      </w:r>
    </w:p>
    <w:p w:rsidR="008E4FD6" w:rsidRPr="008B455C" w:rsidRDefault="008E4FD6" w:rsidP="008E4FD6">
      <w:pPr>
        <w:jc w:val="center"/>
      </w:pPr>
    </w:p>
    <w:p w:rsidR="009D47A5" w:rsidRPr="008B455C" w:rsidRDefault="009D47A5" w:rsidP="008E4FD6">
      <w:pPr>
        <w:jc w:val="center"/>
      </w:pPr>
    </w:p>
    <w:p w:rsidR="008E4FD6" w:rsidRPr="008B455C" w:rsidRDefault="008E4FD6" w:rsidP="008E4FD6">
      <w:pPr>
        <w:jc w:val="center"/>
      </w:pPr>
      <w:r w:rsidRPr="008B455C">
        <w:t>Before</w:t>
      </w:r>
    </w:p>
    <w:p w:rsidR="008E4FD6" w:rsidRPr="008B455C" w:rsidRDefault="00DF0974" w:rsidP="008E4FD6">
      <w:pPr>
        <w:jc w:val="center"/>
      </w:pPr>
      <w:r w:rsidRPr="008B455C">
        <w:t>Katrina L. Dunderdale</w:t>
      </w:r>
    </w:p>
    <w:p w:rsidR="008E4FD6" w:rsidRPr="008B455C" w:rsidRDefault="008E4FD6" w:rsidP="008E4FD6">
      <w:pPr>
        <w:jc w:val="center"/>
      </w:pPr>
      <w:r w:rsidRPr="008B455C">
        <w:t>Administrative Law Judge</w:t>
      </w:r>
    </w:p>
    <w:p w:rsidR="008E4FD6" w:rsidRDefault="008E4FD6" w:rsidP="008E4FD6">
      <w:pPr>
        <w:jc w:val="center"/>
      </w:pPr>
    </w:p>
    <w:p w:rsidR="005D4816" w:rsidRDefault="005D4816" w:rsidP="008E4FD6">
      <w:pPr>
        <w:jc w:val="center"/>
      </w:pPr>
    </w:p>
    <w:p w:rsidR="005D4816" w:rsidRPr="000B0551" w:rsidRDefault="005D4816" w:rsidP="005D4816">
      <w:pPr>
        <w:jc w:val="center"/>
        <w:rPr>
          <w:u w:val="single"/>
        </w:rPr>
      </w:pPr>
      <w:r w:rsidRPr="000B0551">
        <w:rPr>
          <w:u w:val="single"/>
        </w:rPr>
        <w:t>INTRODUCTION</w:t>
      </w:r>
    </w:p>
    <w:p w:rsidR="005D4816" w:rsidRDefault="005D4816" w:rsidP="00FC5CF5">
      <w:pPr>
        <w:spacing w:line="360" w:lineRule="auto"/>
      </w:pPr>
    </w:p>
    <w:p w:rsidR="008C7D9C" w:rsidRDefault="008C7D9C" w:rsidP="008C7D9C">
      <w:pPr>
        <w:pStyle w:val="ParaTab1"/>
        <w:spacing w:line="360" w:lineRule="auto"/>
        <w:ind w:firstLine="1354"/>
        <w:rPr>
          <w:rFonts w:ascii="Times New Roman" w:hAnsi="Times New Roman" w:cs="Times New Roman"/>
        </w:rPr>
      </w:pPr>
      <w:r w:rsidRPr="00D2555A">
        <w:rPr>
          <w:rFonts w:ascii="Times New Roman" w:hAnsi="Times New Roman" w:cs="Times New Roman"/>
        </w:rPr>
        <w:t xml:space="preserve">This decision </w:t>
      </w:r>
      <w:r>
        <w:rPr>
          <w:rFonts w:ascii="Times New Roman" w:hAnsi="Times New Roman" w:cs="Times New Roman"/>
        </w:rPr>
        <w:t>sustains in part and denies in part</w:t>
      </w:r>
      <w:r w:rsidRPr="00D2555A">
        <w:rPr>
          <w:rFonts w:ascii="Times New Roman" w:hAnsi="Times New Roman" w:cs="Times New Roman"/>
        </w:rPr>
        <w:t xml:space="preserve"> a </w:t>
      </w:r>
      <w:r>
        <w:rPr>
          <w:rFonts w:ascii="Times New Roman" w:hAnsi="Times New Roman" w:cs="Times New Roman"/>
        </w:rPr>
        <w:t xml:space="preserve">formal </w:t>
      </w:r>
      <w:r w:rsidRPr="00D2555A">
        <w:rPr>
          <w:rFonts w:ascii="Times New Roman" w:hAnsi="Times New Roman" w:cs="Times New Roman"/>
        </w:rPr>
        <w:t xml:space="preserve">complaint </w:t>
      </w:r>
      <w:r>
        <w:rPr>
          <w:rFonts w:ascii="Times New Roman" w:hAnsi="Times New Roman" w:cs="Times New Roman"/>
        </w:rPr>
        <w:t xml:space="preserve">filed with the Pennsylvania Public Utility </w:t>
      </w:r>
      <w:r w:rsidR="000E1818">
        <w:rPr>
          <w:rFonts w:ascii="Times New Roman" w:hAnsi="Times New Roman" w:cs="Times New Roman"/>
        </w:rPr>
        <w:t xml:space="preserve">Commission </w:t>
      </w:r>
      <w:r>
        <w:rPr>
          <w:rFonts w:ascii="Times New Roman" w:hAnsi="Times New Roman" w:cs="Times New Roman"/>
        </w:rPr>
        <w:t xml:space="preserve">by Ruth Sanchez against PPL Electric Utilities Corporation, alleging PPL </w:t>
      </w:r>
      <w:r>
        <w:t>violated termination procedures in July 2014 and PPL took too long to resume service after receiving her payment.  PPL</w:t>
      </w:r>
      <w:r w:rsidRPr="008B455C">
        <w:t xml:space="preserve"> filed an answer </w:t>
      </w:r>
      <w:r>
        <w:t xml:space="preserve">generally denying it improperly terminated service and </w:t>
      </w:r>
      <w:r w:rsidRPr="008B455C">
        <w:t>request</w:t>
      </w:r>
      <w:r w:rsidR="00801AED">
        <w:t>ing</w:t>
      </w:r>
      <w:r w:rsidRPr="008B455C">
        <w:t xml:space="preserve"> the </w:t>
      </w:r>
      <w:r>
        <w:t xml:space="preserve">Commission dismiss the </w:t>
      </w:r>
      <w:r w:rsidRPr="008B455C">
        <w:t>complaint</w:t>
      </w:r>
      <w:r w:rsidRPr="00D2555A">
        <w:rPr>
          <w:rFonts w:ascii="Times New Roman" w:hAnsi="Times New Roman" w:cs="Times New Roman"/>
        </w:rPr>
        <w:t xml:space="preserve">.  </w:t>
      </w:r>
      <w:r w:rsidR="00355BDC">
        <w:rPr>
          <w:rFonts w:ascii="Times New Roman" w:hAnsi="Times New Roman" w:cs="Times New Roman"/>
        </w:rPr>
        <w:t>A civil penalty totaling $2,000 is imposed for failure to comply with proper termination procedures.</w:t>
      </w:r>
    </w:p>
    <w:p w:rsidR="005D4816" w:rsidRDefault="005D4816" w:rsidP="008E4FD6">
      <w:pPr>
        <w:jc w:val="center"/>
      </w:pPr>
    </w:p>
    <w:p w:rsidR="005D4816" w:rsidRPr="008B455C" w:rsidRDefault="005D4816" w:rsidP="008E4FD6">
      <w:pPr>
        <w:jc w:val="center"/>
      </w:pPr>
    </w:p>
    <w:p w:rsidR="00F9732A" w:rsidRPr="008B455C" w:rsidRDefault="008E4FD6" w:rsidP="00F9732A">
      <w:pPr>
        <w:jc w:val="center"/>
        <w:rPr>
          <w:u w:val="single"/>
        </w:rPr>
      </w:pPr>
      <w:r w:rsidRPr="008B455C">
        <w:rPr>
          <w:u w:val="single"/>
        </w:rPr>
        <w:t>HISTORY OF THE PROCEEDING</w:t>
      </w:r>
    </w:p>
    <w:p w:rsidR="00F9732A" w:rsidRPr="008B455C" w:rsidRDefault="00F9732A" w:rsidP="00F9732A">
      <w:pPr>
        <w:jc w:val="center"/>
        <w:rPr>
          <w:u w:val="single"/>
        </w:rPr>
      </w:pPr>
    </w:p>
    <w:p w:rsidR="00D868FB" w:rsidRPr="008B455C" w:rsidRDefault="00D868FB" w:rsidP="00F9732A">
      <w:pPr>
        <w:jc w:val="center"/>
        <w:rPr>
          <w:u w:val="single"/>
        </w:rPr>
      </w:pPr>
    </w:p>
    <w:p w:rsidR="0041637D" w:rsidRPr="008B455C" w:rsidRDefault="00F9732A" w:rsidP="00BD76C8">
      <w:pPr>
        <w:spacing w:line="360" w:lineRule="auto"/>
      </w:pPr>
      <w:r w:rsidRPr="008B455C">
        <w:tab/>
      </w:r>
      <w:r w:rsidRPr="008B455C">
        <w:tab/>
      </w:r>
      <w:r w:rsidR="00BD76C8" w:rsidRPr="008B455C">
        <w:t xml:space="preserve">On </w:t>
      </w:r>
      <w:r w:rsidR="004C5521">
        <w:t>March 16, 2015, Ruth Sanchez</w:t>
      </w:r>
      <w:r w:rsidR="00567F07">
        <w:t xml:space="preserve"> (</w:t>
      </w:r>
      <w:r w:rsidR="0067006E">
        <w:t>M</w:t>
      </w:r>
      <w:r w:rsidR="00567F07">
        <w:t xml:space="preserve">s. </w:t>
      </w:r>
      <w:r w:rsidR="004C5521">
        <w:t>Sanchez</w:t>
      </w:r>
      <w:r w:rsidR="00BC7989">
        <w:t xml:space="preserve"> or Complainant</w:t>
      </w:r>
      <w:r w:rsidR="0065346D" w:rsidRPr="008B455C">
        <w:t>)</w:t>
      </w:r>
      <w:r w:rsidR="00BD76C8" w:rsidRPr="008B455C">
        <w:t xml:space="preserve"> filed a formal complaint with the Pennsylvania P</w:t>
      </w:r>
      <w:r w:rsidR="0041637D" w:rsidRPr="008B455C">
        <w:t>u</w:t>
      </w:r>
      <w:r w:rsidR="00567F07">
        <w:t>blic Utility Commission (</w:t>
      </w:r>
      <w:r w:rsidR="00BD76C8" w:rsidRPr="008B455C">
        <w:t xml:space="preserve">Commission) against </w:t>
      </w:r>
      <w:r w:rsidR="0027087C">
        <w:t>PPL Electric Utilities Corporation</w:t>
      </w:r>
      <w:r w:rsidR="004C5521">
        <w:t xml:space="preserve"> (PPL</w:t>
      </w:r>
      <w:r w:rsidR="00225A94">
        <w:t xml:space="preserve"> or Respondent</w:t>
      </w:r>
      <w:r w:rsidR="00567F07">
        <w:t>).  Complainant</w:t>
      </w:r>
      <w:r w:rsidR="00225A94">
        <w:t xml:space="preserve"> alleged </w:t>
      </w:r>
      <w:r w:rsidR="004C5521">
        <w:t>PPL</w:t>
      </w:r>
      <w:r w:rsidR="00BB38C6">
        <w:t xml:space="preserve"> violated </w:t>
      </w:r>
      <w:r w:rsidR="004C5521">
        <w:t xml:space="preserve">termination </w:t>
      </w:r>
      <w:r w:rsidR="00BB38C6">
        <w:t xml:space="preserve">procedures </w:t>
      </w:r>
      <w:r w:rsidR="004C5521">
        <w:t>in July 2014 when PPL terminated service without sending a termination notice first and despite having received the required payment from Complainant</w:t>
      </w:r>
      <w:r w:rsidR="00BB38C6">
        <w:t xml:space="preserve">.  </w:t>
      </w:r>
      <w:r w:rsidR="004C5521">
        <w:t xml:space="preserve">Complainant also alleged </w:t>
      </w:r>
      <w:r w:rsidR="004C5521">
        <w:lastRenderedPageBreak/>
        <w:t xml:space="preserve">it took PPL too long to resume service.  </w:t>
      </w:r>
      <w:r w:rsidR="00BB38C6">
        <w:t xml:space="preserve">Complainant requested the Commission order </w:t>
      </w:r>
      <w:r w:rsidR="004C5521">
        <w:t xml:space="preserve">PPL to reimburse her for lost food during the one week service remained off.  </w:t>
      </w:r>
      <w:r w:rsidR="00BB38C6">
        <w:t xml:space="preserve"> </w:t>
      </w:r>
    </w:p>
    <w:p w:rsidR="0041637D" w:rsidRPr="008B455C" w:rsidRDefault="0041637D" w:rsidP="00BD76C8">
      <w:pPr>
        <w:spacing w:line="360" w:lineRule="auto"/>
      </w:pPr>
    </w:p>
    <w:p w:rsidR="000B575F" w:rsidRPr="008B455C" w:rsidRDefault="0041637D" w:rsidP="00BD76C8">
      <w:pPr>
        <w:spacing w:line="360" w:lineRule="auto"/>
      </w:pPr>
      <w:r w:rsidRPr="008B455C">
        <w:tab/>
      </w:r>
      <w:r w:rsidRPr="008B455C">
        <w:tab/>
      </w:r>
      <w:r w:rsidR="004C5521">
        <w:t>PPL</w:t>
      </w:r>
      <w:r w:rsidRPr="008B455C">
        <w:t xml:space="preserve"> filed </w:t>
      </w:r>
      <w:r w:rsidR="00DF0974" w:rsidRPr="008B455C">
        <w:t>an</w:t>
      </w:r>
      <w:r w:rsidR="00580D5E" w:rsidRPr="008B455C">
        <w:t xml:space="preserve"> </w:t>
      </w:r>
      <w:r w:rsidRPr="008B455C">
        <w:t xml:space="preserve">answer in response to </w:t>
      </w:r>
      <w:r w:rsidR="00F86FB9">
        <w:t>the</w:t>
      </w:r>
      <w:r w:rsidR="0065346D" w:rsidRPr="008B455C">
        <w:t xml:space="preserve"> </w:t>
      </w:r>
      <w:r w:rsidRPr="008B455C">
        <w:t xml:space="preserve">complaint on </w:t>
      </w:r>
      <w:r w:rsidR="004C5521">
        <w:t>April 6, 2015</w:t>
      </w:r>
      <w:r w:rsidR="001E3C14">
        <w:t xml:space="preserve">, in which </w:t>
      </w:r>
      <w:r w:rsidR="004C5521">
        <w:t>PPL</w:t>
      </w:r>
      <w:r w:rsidR="00567F07">
        <w:t xml:space="preserve"> denied </w:t>
      </w:r>
      <w:r w:rsidR="004C5521">
        <w:t>it improperly terminated service or that it failed to notify</w:t>
      </w:r>
      <w:r w:rsidR="00BB38C6">
        <w:t xml:space="preserve"> Complainant about a pending shut</w:t>
      </w:r>
      <w:r w:rsidR="00BD08A5">
        <w:t>-</w:t>
      </w:r>
      <w:r w:rsidR="00BB38C6">
        <w:t>off notice</w:t>
      </w:r>
      <w:r w:rsidR="001E3C14">
        <w:t xml:space="preserve">.  </w:t>
      </w:r>
      <w:r w:rsidR="004C5521">
        <w:t>PPL also denied Complainant made a payment before the service termination and it</w:t>
      </w:r>
      <w:r w:rsidR="00DF08BA" w:rsidRPr="008B455C">
        <w:t xml:space="preserve"> request</w:t>
      </w:r>
      <w:r w:rsidR="00F5279C">
        <w:t>ed</w:t>
      </w:r>
      <w:r w:rsidR="00DF08BA" w:rsidRPr="008B455C">
        <w:t xml:space="preserve"> </w:t>
      </w:r>
      <w:r w:rsidR="00DF0974" w:rsidRPr="008B455C">
        <w:t>the</w:t>
      </w:r>
      <w:r w:rsidR="00DF08BA" w:rsidRPr="008B455C">
        <w:t xml:space="preserve"> </w:t>
      </w:r>
      <w:r w:rsidR="009E091A">
        <w:t xml:space="preserve">Commission dismiss the </w:t>
      </w:r>
      <w:r w:rsidR="00DF08BA" w:rsidRPr="008B455C">
        <w:t xml:space="preserve">complaint.  </w:t>
      </w:r>
    </w:p>
    <w:p w:rsidR="000B575F" w:rsidRPr="008B455C" w:rsidRDefault="000B575F" w:rsidP="00BD76C8">
      <w:pPr>
        <w:spacing w:line="360" w:lineRule="auto"/>
      </w:pPr>
    </w:p>
    <w:p w:rsidR="008E4FD6" w:rsidRDefault="0084410C" w:rsidP="006D3697">
      <w:pPr>
        <w:spacing w:line="360" w:lineRule="auto"/>
      </w:pPr>
      <w:r w:rsidRPr="008B455C">
        <w:tab/>
      </w:r>
      <w:r w:rsidRPr="008B455C">
        <w:tab/>
      </w:r>
      <w:r w:rsidR="006D3697" w:rsidRPr="008B455C">
        <w:t xml:space="preserve">On </w:t>
      </w:r>
      <w:r w:rsidR="004C5521">
        <w:t>May 21, 2015</w:t>
      </w:r>
      <w:r w:rsidR="00D2288B">
        <w:t xml:space="preserve">, the Office of Administrative Law Judge scheduled an initial telephonic hearing in this matter for </w:t>
      </w:r>
      <w:r w:rsidR="004C5521">
        <w:t>Friday, June 26, 2015</w:t>
      </w:r>
      <w:r w:rsidR="006D3697" w:rsidRPr="008B455C">
        <w:t xml:space="preserve">.  On </w:t>
      </w:r>
      <w:r w:rsidR="004C5521">
        <w:t>May 22, 2015</w:t>
      </w:r>
      <w:r w:rsidR="006D3697" w:rsidRPr="008B455C">
        <w:t>, the undersigned</w:t>
      </w:r>
      <w:r w:rsidR="001E3C14">
        <w:t xml:space="preserve"> presiding officer</w:t>
      </w:r>
      <w:r w:rsidR="006D3697" w:rsidRPr="008B455C">
        <w:t xml:space="preserve"> issued a</w:t>
      </w:r>
      <w:r w:rsidR="008418FC" w:rsidRPr="008B455C">
        <w:t xml:space="preserve"> Prehearing Order.  </w:t>
      </w:r>
    </w:p>
    <w:p w:rsidR="00B85EE4" w:rsidRDefault="00B85EE4" w:rsidP="006D3697">
      <w:pPr>
        <w:spacing w:line="360" w:lineRule="auto"/>
      </w:pPr>
    </w:p>
    <w:p w:rsidR="00AD40B2" w:rsidRDefault="001F030C" w:rsidP="00AD40B2">
      <w:pPr>
        <w:tabs>
          <w:tab w:val="left" w:pos="2160"/>
        </w:tabs>
        <w:spacing w:line="360" w:lineRule="auto"/>
        <w:ind w:firstLine="1440"/>
      </w:pPr>
      <w:r w:rsidRPr="008B455C">
        <w:t xml:space="preserve">The </w:t>
      </w:r>
      <w:r w:rsidR="00863BD5" w:rsidRPr="008B455C">
        <w:t xml:space="preserve">presiding officer convened the </w:t>
      </w:r>
      <w:r w:rsidRPr="008B455C">
        <w:t xml:space="preserve">initial hearing </w:t>
      </w:r>
      <w:r w:rsidR="007618BE">
        <w:t>June 26, 2015</w:t>
      </w:r>
      <w:r w:rsidR="009E091A">
        <w:t xml:space="preserve">, at which </w:t>
      </w:r>
      <w:r w:rsidR="00567F07">
        <w:t>Ms.</w:t>
      </w:r>
      <w:r w:rsidR="00F83792">
        <w:t> </w:t>
      </w:r>
      <w:r w:rsidR="000E1818">
        <w:t>Sanchez</w:t>
      </w:r>
      <w:r w:rsidR="00196E40" w:rsidRPr="008B455C">
        <w:t xml:space="preserve"> </w:t>
      </w:r>
      <w:r w:rsidR="00475063">
        <w:t>appeared</w:t>
      </w:r>
      <w:r w:rsidR="00567F07">
        <w:t xml:space="preserve"> unrepresented.  </w:t>
      </w:r>
      <w:r w:rsidR="000E1818">
        <w:t>PPL</w:t>
      </w:r>
      <w:r w:rsidR="005E6DB5" w:rsidRPr="008B455C">
        <w:t xml:space="preserve"> was represented by </w:t>
      </w:r>
      <w:r w:rsidR="007618BE">
        <w:t xml:space="preserve">Kimberly G. </w:t>
      </w:r>
      <w:proofErr w:type="spellStart"/>
      <w:r w:rsidR="007618BE">
        <w:t>Krupka</w:t>
      </w:r>
      <w:proofErr w:type="spellEnd"/>
      <w:r w:rsidR="00AD40B2">
        <w:t>,</w:t>
      </w:r>
      <w:r w:rsidR="00EB7303">
        <w:t> </w:t>
      </w:r>
      <w:r w:rsidR="00AD40B2">
        <w:t>Esquire</w:t>
      </w:r>
      <w:r w:rsidR="00475063">
        <w:t xml:space="preserve">.  Complainant presented testimony from </w:t>
      </w:r>
      <w:r w:rsidR="001E3C14">
        <w:t>herself</w:t>
      </w:r>
      <w:r w:rsidR="00FD6FFD">
        <w:t xml:space="preserve">.  Complainant offered </w:t>
      </w:r>
      <w:r w:rsidR="007618BE">
        <w:t>four</w:t>
      </w:r>
      <w:r w:rsidR="00FD6FFD">
        <w:t xml:space="preserve"> exhibits, marked </w:t>
      </w:r>
      <w:r w:rsidR="007618BE">
        <w:t>Complainant Exhibits 1 through 4</w:t>
      </w:r>
      <w:r w:rsidR="00FD6FFD">
        <w:t>, which were admitted into evidence</w:t>
      </w:r>
      <w:r w:rsidR="001E3C14">
        <w:t xml:space="preserve">.  </w:t>
      </w:r>
      <w:r w:rsidR="00475063">
        <w:t>Re</w:t>
      </w:r>
      <w:r w:rsidR="00374BD2">
        <w:t>spondent presented the testimon</w:t>
      </w:r>
      <w:r w:rsidR="000E1818">
        <w:t>y</w:t>
      </w:r>
      <w:r w:rsidR="00475063">
        <w:t xml:space="preserve"> of </w:t>
      </w:r>
      <w:r w:rsidR="007618BE">
        <w:t>one</w:t>
      </w:r>
      <w:r w:rsidR="00374BD2">
        <w:t xml:space="preserve"> witness</w:t>
      </w:r>
      <w:r w:rsidR="00475063">
        <w:t>, and offered</w:t>
      </w:r>
      <w:r w:rsidR="00AD40B2" w:rsidRPr="008D5A3F">
        <w:t xml:space="preserve"> </w:t>
      </w:r>
      <w:r w:rsidR="007618BE">
        <w:t>three</w:t>
      </w:r>
      <w:r w:rsidR="00AD40B2">
        <w:t xml:space="preserve"> exhibit</w:t>
      </w:r>
      <w:r w:rsidR="00FD6FFD">
        <w:t>s</w:t>
      </w:r>
      <w:r w:rsidR="00AD40B2" w:rsidRPr="008D5A3F">
        <w:t xml:space="preserve">, marked </w:t>
      </w:r>
      <w:r w:rsidR="007618BE">
        <w:t>PPL</w:t>
      </w:r>
      <w:r w:rsidR="00FD6FFD">
        <w:t xml:space="preserve"> Exhibits </w:t>
      </w:r>
      <w:r w:rsidR="007618BE">
        <w:t>1, 2</w:t>
      </w:r>
      <w:r w:rsidR="00FD6FFD">
        <w:t xml:space="preserve"> and </w:t>
      </w:r>
      <w:r w:rsidR="007618BE">
        <w:t>4G</w:t>
      </w:r>
      <w:r w:rsidR="00AD40B2">
        <w:t xml:space="preserve">, </w:t>
      </w:r>
      <w:r w:rsidR="00AD40B2" w:rsidRPr="008D5A3F">
        <w:t>which exhibit</w:t>
      </w:r>
      <w:r w:rsidR="00FD6FFD">
        <w:t>s were</w:t>
      </w:r>
      <w:r w:rsidR="00AD40B2" w:rsidRPr="008D5A3F">
        <w:t xml:space="preserve"> admitted into evidence.  Complainant and Respondent issued final statements on the hearing record in lieu of filing briefs.  </w:t>
      </w:r>
      <w:r w:rsidR="00AD40B2">
        <w:t xml:space="preserve">  </w:t>
      </w:r>
    </w:p>
    <w:p w:rsidR="00AD40B2" w:rsidRDefault="00AD40B2" w:rsidP="00AD40B2">
      <w:pPr>
        <w:tabs>
          <w:tab w:val="left" w:pos="2160"/>
        </w:tabs>
        <w:spacing w:line="360" w:lineRule="auto"/>
      </w:pPr>
    </w:p>
    <w:p w:rsidR="00AD40B2" w:rsidRPr="008B455C" w:rsidRDefault="00475063" w:rsidP="00AD40B2">
      <w:pPr>
        <w:tabs>
          <w:tab w:val="left" w:pos="2160"/>
        </w:tabs>
        <w:spacing w:line="360" w:lineRule="auto"/>
        <w:ind w:firstLine="1440"/>
      </w:pPr>
      <w:r w:rsidRPr="008D5A3F">
        <w:t xml:space="preserve">The </w:t>
      </w:r>
      <w:r>
        <w:t xml:space="preserve">presiding officer received the </w:t>
      </w:r>
      <w:r w:rsidRPr="008D5A3F">
        <w:t>transcript of the hearing</w:t>
      </w:r>
      <w:r>
        <w:t xml:space="preserve">, </w:t>
      </w:r>
      <w:r w:rsidRPr="008D5A3F">
        <w:t>contain</w:t>
      </w:r>
      <w:r>
        <w:t>ing</w:t>
      </w:r>
      <w:r w:rsidRPr="008D5A3F">
        <w:t xml:space="preserve"> </w:t>
      </w:r>
      <w:r w:rsidR="007618BE">
        <w:t>85</w:t>
      </w:r>
      <w:r w:rsidRPr="008D5A3F">
        <w:t xml:space="preserve"> pages</w:t>
      </w:r>
      <w:r>
        <w:t xml:space="preserve">, on </w:t>
      </w:r>
      <w:r w:rsidR="007618BE">
        <w:t>July 24, 2015</w:t>
      </w:r>
      <w:r w:rsidRPr="008D5A3F">
        <w:t xml:space="preserve">.  </w:t>
      </w:r>
      <w:r w:rsidR="00AD40B2">
        <w:t xml:space="preserve">Upon receipt of the transcript, </w:t>
      </w:r>
      <w:r w:rsidR="00AD40B2" w:rsidRPr="008B455C">
        <w:t>the presiding officer closed the hearing record by Interim Order Closing the Hearing Record</w:t>
      </w:r>
      <w:r w:rsidR="00AD40B2">
        <w:t xml:space="preserve"> on </w:t>
      </w:r>
      <w:r w:rsidR="007618BE">
        <w:t>July 28, 2015</w:t>
      </w:r>
      <w:r w:rsidR="00AD40B2" w:rsidRPr="008B455C">
        <w:t>.</w:t>
      </w:r>
    </w:p>
    <w:p w:rsidR="00F76C9B" w:rsidRDefault="00F76C9B" w:rsidP="008E4FD6">
      <w:pPr>
        <w:tabs>
          <w:tab w:val="left" w:pos="2160"/>
        </w:tabs>
        <w:spacing w:line="360" w:lineRule="auto"/>
        <w:jc w:val="center"/>
        <w:rPr>
          <w:u w:val="single"/>
        </w:rPr>
      </w:pPr>
    </w:p>
    <w:p w:rsidR="008E4FD6" w:rsidRPr="008B455C" w:rsidRDefault="008E4FD6" w:rsidP="008E4FD6">
      <w:pPr>
        <w:tabs>
          <w:tab w:val="left" w:pos="2160"/>
        </w:tabs>
        <w:spacing w:line="360" w:lineRule="auto"/>
        <w:jc w:val="center"/>
        <w:rPr>
          <w:u w:val="single"/>
        </w:rPr>
      </w:pPr>
      <w:r w:rsidRPr="008B455C">
        <w:rPr>
          <w:u w:val="single"/>
        </w:rPr>
        <w:t xml:space="preserve">FINDINGS OF </w:t>
      </w:r>
      <w:smartTag w:uri="urn:schemas-microsoft-com:office:smarttags" w:element="stockticker">
        <w:r w:rsidRPr="008B455C">
          <w:rPr>
            <w:u w:val="single"/>
          </w:rPr>
          <w:t>FACT</w:t>
        </w:r>
      </w:smartTag>
    </w:p>
    <w:p w:rsidR="007E48E1" w:rsidRPr="008B455C" w:rsidRDefault="007E48E1" w:rsidP="007E48E1">
      <w:pPr>
        <w:tabs>
          <w:tab w:val="left" w:pos="2160"/>
        </w:tabs>
        <w:spacing w:line="360" w:lineRule="auto"/>
        <w:rPr>
          <w:u w:val="single"/>
        </w:rPr>
      </w:pPr>
    </w:p>
    <w:p w:rsidR="007E48E1" w:rsidRDefault="007E48E1" w:rsidP="007E48E1">
      <w:pPr>
        <w:tabs>
          <w:tab w:val="left" w:pos="2160"/>
        </w:tabs>
        <w:spacing w:line="360" w:lineRule="auto"/>
        <w:ind w:firstLine="1440"/>
      </w:pPr>
      <w:r w:rsidRPr="008B455C">
        <w:t>1.</w:t>
      </w:r>
      <w:r w:rsidRPr="008B455C">
        <w:tab/>
      </w:r>
      <w:r>
        <w:t>Complainant</w:t>
      </w:r>
      <w:r w:rsidRPr="008B455C">
        <w:t xml:space="preserve">, </w:t>
      </w:r>
      <w:r w:rsidR="007618BE">
        <w:t>Ruth Sanchez</w:t>
      </w:r>
      <w:r w:rsidRPr="008B455C">
        <w:t xml:space="preserve">, </w:t>
      </w:r>
      <w:r w:rsidR="007618BE">
        <w:t xml:space="preserve">has </w:t>
      </w:r>
      <w:r w:rsidR="00374BD2">
        <w:t>reside</w:t>
      </w:r>
      <w:r w:rsidR="007618BE">
        <w:t>d</w:t>
      </w:r>
      <w:r w:rsidR="00BA2D08">
        <w:t xml:space="preserve"> at </w:t>
      </w:r>
      <w:r w:rsidR="007618BE">
        <w:t>119 Sno</w:t>
      </w:r>
      <w:r w:rsidR="000E6C4C">
        <w:t>w</w:t>
      </w:r>
      <w:r w:rsidR="007618BE">
        <w:t>shoe Court, Mt.</w:t>
      </w:r>
      <w:r w:rsidR="000E1818">
        <w:t> </w:t>
      </w:r>
      <w:r w:rsidR="007618BE">
        <w:t>Pocono</w:t>
      </w:r>
      <w:r w:rsidR="00F0560D">
        <w:t>, Pennsylvania (service address)</w:t>
      </w:r>
      <w:r w:rsidR="007618BE">
        <w:t xml:space="preserve"> for 21 years</w:t>
      </w:r>
      <w:r w:rsidR="00FD6FFD">
        <w:t xml:space="preserve">, where she </w:t>
      </w:r>
      <w:r w:rsidR="00374BD2">
        <w:t>receive</w:t>
      </w:r>
      <w:r w:rsidR="00FD6FFD">
        <w:t>s</w:t>
      </w:r>
      <w:r w:rsidR="00374BD2">
        <w:t xml:space="preserve"> electric service from Respondent</w:t>
      </w:r>
      <w:r w:rsidR="00475063">
        <w:t xml:space="preserve">.  </w:t>
      </w:r>
      <w:proofErr w:type="gramStart"/>
      <w:r w:rsidR="00475063">
        <w:t xml:space="preserve">(Tr. </w:t>
      </w:r>
      <w:r w:rsidR="007618BE">
        <w:t>7, 8</w:t>
      </w:r>
      <w:r w:rsidRPr="008B455C">
        <w:t>).</w:t>
      </w:r>
      <w:proofErr w:type="gramEnd"/>
      <w:r w:rsidRPr="008B455C">
        <w:t xml:space="preserve"> </w:t>
      </w:r>
    </w:p>
    <w:p w:rsidR="00475063" w:rsidRPr="008B455C" w:rsidRDefault="00475063" w:rsidP="007E48E1">
      <w:pPr>
        <w:tabs>
          <w:tab w:val="left" w:pos="2160"/>
        </w:tabs>
        <w:spacing w:line="360" w:lineRule="auto"/>
        <w:ind w:firstLine="1440"/>
      </w:pPr>
    </w:p>
    <w:p w:rsidR="007E48E1" w:rsidRDefault="007E48E1" w:rsidP="007E48E1">
      <w:pPr>
        <w:tabs>
          <w:tab w:val="left" w:pos="2160"/>
        </w:tabs>
        <w:spacing w:line="360" w:lineRule="auto"/>
        <w:ind w:firstLine="1440"/>
      </w:pPr>
      <w:r w:rsidRPr="008B455C">
        <w:lastRenderedPageBreak/>
        <w:t>2.</w:t>
      </w:r>
      <w:r w:rsidRPr="008B455C">
        <w:tab/>
      </w:r>
      <w:r w:rsidR="00F0560D">
        <w:t xml:space="preserve">Since </w:t>
      </w:r>
      <w:r w:rsidR="007618BE">
        <w:t>1994</w:t>
      </w:r>
      <w:r w:rsidR="00374BD2">
        <w:t>, Respondent provided e</w:t>
      </w:r>
      <w:r w:rsidR="00FD6FFD">
        <w:t>lectric service to Complainant</w:t>
      </w:r>
      <w:r w:rsidR="00374BD2">
        <w:t xml:space="preserve"> at the service address</w:t>
      </w:r>
      <w:r w:rsidR="00BA2D08">
        <w:t xml:space="preserve">.  </w:t>
      </w:r>
      <w:proofErr w:type="gramStart"/>
      <w:r w:rsidR="00BA2D08">
        <w:t>(Tr.</w:t>
      </w:r>
      <w:r w:rsidR="007618BE">
        <w:t xml:space="preserve"> 7, 8</w:t>
      </w:r>
      <w:r w:rsidR="00BA2D08">
        <w:t>).</w:t>
      </w:r>
      <w:proofErr w:type="gramEnd"/>
    </w:p>
    <w:p w:rsidR="007E48E1" w:rsidRDefault="007E48E1" w:rsidP="007E48E1">
      <w:pPr>
        <w:tabs>
          <w:tab w:val="left" w:pos="2160"/>
        </w:tabs>
        <w:spacing w:line="360" w:lineRule="auto"/>
        <w:ind w:firstLine="1440"/>
      </w:pPr>
    </w:p>
    <w:p w:rsidR="00C83FC3" w:rsidRDefault="006550F8" w:rsidP="007E48E1">
      <w:pPr>
        <w:tabs>
          <w:tab w:val="left" w:pos="2160"/>
        </w:tabs>
        <w:spacing w:line="360" w:lineRule="auto"/>
        <w:ind w:firstLine="1440"/>
      </w:pPr>
      <w:r>
        <w:t>3</w:t>
      </w:r>
      <w:r w:rsidR="007E48E1">
        <w:t>.</w:t>
      </w:r>
      <w:r w:rsidR="007E48E1">
        <w:tab/>
      </w:r>
      <w:r w:rsidR="00BA2D08">
        <w:t xml:space="preserve"> </w:t>
      </w:r>
      <w:r w:rsidR="0083375B">
        <w:t xml:space="preserve">PPL mailed a </w:t>
      </w:r>
      <w:r w:rsidR="00066B2A">
        <w:t>10</w:t>
      </w:r>
      <w:r w:rsidR="00B93DEC">
        <w:t xml:space="preserve">-day termination </w:t>
      </w:r>
      <w:r w:rsidR="0083375B">
        <w:t>notice</w:t>
      </w:r>
      <w:r w:rsidR="00B93DEC">
        <w:t>,</w:t>
      </w:r>
      <w:r w:rsidR="0083375B">
        <w:t xml:space="preserve"> </w:t>
      </w:r>
      <w:r w:rsidR="00B93DEC">
        <w:t xml:space="preserve">due to a failure to make complete and timely payments, </w:t>
      </w:r>
      <w:r w:rsidR="0083375B">
        <w:t xml:space="preserve">to Complainant on April 1, 2014 </w:t>
      </w:r>
      <w:r w:rsidR="0027087C">
        <w:t xml:space="preserve">indicating </w:t>
      </w:r>
      <w:r w:rsidR="00B93DEC">
        <w:t xml:space="preserve">a past-due balance totaling $3,767.57 and indicating electric service would be terminated after April 11, 2014 </w:t>
      </w:r>
      <w:r w:rsidR="0027087C">
        <w:t>if Ms.</w:t>
      </w:r>
      <w:r w:rsidR="000E1818">
        <w:t> </w:t>
      </w:r>
      <w:r w:rsidR="0027087C">
        <w:t xml:space="preserve">Sanchez did not make payments.  </w:t>
      </w:r>
      <w:proofErr w:type="gramStart"/>
      <w:r w:rsidR="0027087C">
        <w:t>(Tr. 9, 10</w:t>
      </w:r>
      <w:r w:rsidR="00C711E9">
        <w:t>, 29</w:t>
      </w:r>
      <w:r w:rsidR="00B93DEC">
        <w:t>, 39, 41</w:t>
      </w:r>
      <w:r w:rsidR="00C711E9">
        <w:t xml:space="preserve">; </w:t>
      </w:r>
      <w:r w:rsidR="00B93DEC">
        <w:t>Complainant Exhibit</w:t>
      </w:r>
      <w:r w:rsidR="00D45F5B">
        <w:t>s 1 &amp;</w:t>
      </w:r>
      <w:r w:rsidR="00B93DEC">
        <w:t xml:space="preserve"> 3, and PPL Exhibit 2</w:t>
      </w:r>
      <w:r w:rsidR="0027087C">
        <w:t>).</w:t>
      </w:r>
      <w:proofErr w:type="gramEnd"/>
    </w:p>
    <w:p w:rsidR="00BB04ED" w:rsidRDefault="00BB04ED" w:rsidP="007E48E1">
      <w:pPr>
        <w:tabs>
          <w:tab w:val="left" w:pos="2160"/>
        </w:tabs>
        <w:spacing w:line="360" w:lineRule="auto"/>
        <w:ind w:firstLine="1440"/>
      </w:pPr>
    </w:p>
    <w:p w:rsidR="00B93DEC" w:rsidRDefault="007151DD" w:rsidP="00B93DEC">
      <w:pPr>
        <w:tabs>
          <w:tab w:val="left" w:pos="2160"/>
        </w:tabs>
        <w:spacing w:line="360" w:lineRule="auto"/>
        <w:ind w:firstLine="1440"/>
      </w:pPr>
      <w:r>
        <w:t>4</w:t>
      </w:r>
      <w:r w:rsidR="00BB04ED">
        <w:t xml:space="preserve">. </w:t>
      </w:r>
      <w:r w:rsidR="00BB04ED">
        <w:tab/>
        <w:t xml:space="preserve">Complainant contacted PPL after receiving the April 1, 2014 notice and was advised to pay $263.36 each month.  </w:t>
      </w:r>
      <w:proofErr w:type="gramStart"/>
      <w:r w:rsidR="00BB04ED">
        <w:t>(Tr. 10, 11).</w:t>
      </w:r>
      <w:proofErr w:type="gramEnd"/>
    </w:p>
    <w:p w:rsidR="0027087C" w:rsidRDefault="0027087C" w:rsidP="007E48E1">
      <w:pPr>
        <w:tabs>
          <w:tab w:val="left" w:pos="2160"/>
        </w:tabs>
        <w:spacing w:line="360" w:lineRule="auto"/>
        <w:ind w:firstLine="1440"/>
      </w:pPr>
    </w:p>
    <w:p w:rsidR="0027087C" w:rsidRDefault="007151DD" w:rsidP="007E48E1">
      <w:pPr>
        <w:tabs>
          <w:tab w:val="left" w:pos="2160"/>
        </w:tabs>
        <w:spacing w:line="360" w:lineRule="auto"/>
        <w:ind w:firstLine="1440"/>
      </w:pPr>
      <w:r>
        <w:t>5</w:t>
      </w:r>
      <w:r w:rsidR="0027087C">
        <w:t xml:space="preserve">. </w:t>
      </w:r>
      <w:r w:rsidR="0027087C">
        <w:tab/>
        <w:t xml:space="preserve">Complainant made the following payments in </w:t>
      </w:r>
      <w:r w:rsidR="00B93DEC">
        <w:t xml:space="preserve">April, </w:t>
      </w:r>
      <w:r w:rsidR="0027087C">
        <w:t xml:space="preserve">May, June and July of 2014 after receiving the April 1, 2014 notice: </w:t>
      </w:r>
      <w:r w:rsidR="000E1818">
        <w:t xml:space="preserve"> </w:t>
      </w:r>
      <w:r w:rsidR="00B93DEC">
        <w:t xml:space="preserve">$263.36 on April 11, 2014; </w:t>
      </w:r>
      <w:r w:rsidR="00BB04ED">
        <w:t xml:space="preserve">$263.36 </w:t>
      </w:r>
      <w:r w:rsidR="00C711E9">
        <w:t>on May 8, 2014</w:t>
      </w:r>
      <w:r w:rsidR="00BB04ED">
        <w:t xml:space="preserve">; $263.36 </w:t>
      </w:r>
      <w:r w:rsidR="00C711E9">
        <w:t>on June 3, 2014</w:t>
      </w:r>
      <w:r w:rsidR="00BB04ED">
        <w:t>; $263.36 on Jul</w:t>
      </w:r>
      <w:r w:rsidR="00C711E9">
        <w:t>y 14, 2014; and $65.64 on July 15</w:t>
      </w:r>
      <w:r w:rsidR="00BB04ED">
        <w:t xml:space="preserve">, 2014.  </w:t>
      </w:r>
      <w:proofErr w:type="gramStart"/>
      <w:r w:rsidR="00BB04ED">
        <w:t>(Tr.</w:t>
      </w:r>
      <w:r w:rsidR="009902B7">
        <w:t> </w:t>
      </w:r>
      <w:r w:rsidR="00BB04ED">
        <w:t>10</w:t>
      </w:r>
      <w:r w:rsidR="009902B7">
        <w:noBreakHyphen/>
      </w:r>
      <w:r w:rsidR="00BB04ED">
        <w:t xml:space="preserve">13, </w:t>
      </w:r>
      <w:r w:rsidR="00C711E9">
        <w:t>30; Complainant Exhibit 4</w:t>
      </w:r>
      <w:r w:rsidR="00B93DEC">
        <w:t>; PPL Exhibit 1</w:t>
      </w:r>
      <w:r w:rsidR="0027087C">
        <w:t>).</w:t>
      </w:r>
      <w:proofErr w:type="gramEnd"/>
    </w:p>
    <w:p w:rsidR="004A2E4D" w:rsidRDefault="004A2E4D" w:rsidP="004A2E4D">
      <w:pPr>
        <w:tabs>
          <w:tab w:val="left" w:pos="2160"/>
        </w:tabs>
        <w:spacing w:line="360" w:lineRule="auto"/>
        <w:ind w:firstLine="1440"/>
      </w:pPr>
    </w:p>
    <w:p w:rsidR="004A2E4D" w:rsidRDefault="007151DD" w:rsidP="004A2E4D">
      <w:pPr>
        <w:tabs>
          <w:tab w:val="left" w:pos="2160"/>
        </w:tabs>
        <w:spacing w:line="360" w:lineRule="auto"/>
        <w:ind w:firstLine="1440"/>
      </w:pPr>
      <w:r>
        <w:t>6</w:t>
      </w:r>
      <w:r w:rsidR="004A2E4D">
        <w:t xml:space="preserve">. </w:t>
      </w:r>
      <w:r w:rsidR="004A2E4D">
        <w:tab/>
        <w:t>Starting in June 2014</w:t>
      </w:r>
      <w:r w:rsidR="00D16E63">
        <w:t xml:space="preserve"> and lasting until approximately December 2014</w:t>
      </w:r>
      <w:r w:rsidR="004A2E4D">
        <w:t xml:space="preserve">, Respondent required </w:t>
      </w:r>
      <w:r w:rsidR="00D16E63">
        <w:t>ratepayers</w:t>
      </w:r>
      <w:r w:rsidR="004A2E4D">
        <w:t xml:space="preserve"> to mail payments</w:t>
      </w:r>
      <w:r w:rsidR="00D45F5B">
        <w:t xml:space="preserve"> </w:t>
      </w:r>
      <w:r w:rsidR="004A2E4D">
        <w:t xml:space="preserve">to a payment center in Louisville, Kentucky instead of mailing payments to Allentown, Pennsylvania.  </w:t>
      </w:r>
      <w:proofErr w:type="gramStart"/>
      <w:r w:rsidR="004A2E4D">
        <w:t>(Tr. 11</w:t>
      </w:r>
      <w:r w:rsidR="002D758A">
        <w:t>, 20-26, 37</w:t>
      </w:r>
      <w:r w:rsidR="00D16E63">
        <w:t>, 65, 66, 70</w:t>
      </w:r>
      <w:r w:rsidR="004A2E4D">
        <w:t>; Complainant Exhibit 1).</w:t>
      </w:r>
      <w:proofErr w:type="gramEnd"/>
      <w:r w:rsidR="004A2E4D">
        <w:t xml:space="preserve"> </w:t>
      </w:r>
    </w:p>
    <w:p w:rsidR="00023CC3" w:rsidRDefault="00023CC3" w:rsidP="00C711E9">
      <w:pPr>
        <w:tabs>
          <w:tab w:val="left" w:pos="2160"/>
        </w:tabs>
        <w:spacing w:line="360" w:lineRule="auto"/>
        <w:ind w:firstLine="1440"/>
      </w:pPr>
    </w:p>
    <w:p w:rsidR="00023CC3" w:rsidRDefault="007151DD" w:rsidP="00C711E9">
      <w:pPr>
        <w:tabs>
          <w:tab w:val="left" w:pos="2160"/>
        </w:tabs>
        <w:spacing w:line="360" w:lineRule="auto"/>
        <w:ind w:firstLine="1440"/>
      </w:pPr>
      <w:r>
        <w:t>7</w:t>
      </w:r>
      <w:r w:rsidR="002D758A">
        <w:t xml:space="preserve">. </w:t>
      </w:r>
      <w:r w:rsidR="002D758A">
        <w:tab/>
        <w:t xml:space="preserve">PPL did not post </w:t>
      </w:r>
      <w:r w:rsidR="00D45F5B">
        <w:t>Complainant’s</w:t>
      </w:r>
      <w:r w:rsidR="002D758A">
        <w:t xml:space="preserve"> </w:t>
      </w:r>
      <w:r w:rsidR="00023CC3">
        <w:t xml:space="preserve">check </w:t>
      </w:r>
      <w:r w:rsidR="002D758A">
        <w:t xml:space="preserve">dated June 3, </w:t>
      </w:r>
      <w:r w:rsidR="00D45F5B">
        <w:t xml:space="preserve">2014, which was mailed on June 5, 2014, </w:t>
      </w:r>
      <w:r w:rsidR="00023CC3">
        <w:t>until June 20, 2014</w:t>
      </w:r>
      <w:r w:rsidR="002D758A">
        <w:t>.  The due date for that monthly payment was June 6, 2014</w:t>
      </w:r>
      <w:r w:rsidR="00023CC3">
        <w:t xml:space="preserve">.  </w:t>
      </w:r>
      <w:proofErr w:type="gramStart"/>
      <w:r w:rsidR="00023CC3">
        <w:t>(Tr. 44</w:t>
      </w:r>
      <w:r w:rsidR="00D45F5B">
        <w:t>, 61</w:t>
      </w:r>
      <w:r w:rsidR="00023CC3">
        <w:t>; PPL Exhibit 1</w:t>
      </w:r>
      <w:r w:rsidR="004A2E4D">
        <w:t>).</w:t>
      </w:r>
      <w:proofErr w:type="gramEnd"/>
    </w:p>
    <w:p w:rsidR="004A2E4D" w:rsidRDefault="004A2E4D" w:rsidP="004A2E4D">
      <w:pPr>
        <w:tabs>
          <w:tab w:val="left" w:pos="2160"/>
        </w:tabs>
        <w:spacing w:line="360" w:lineRule="auto"/>
        <w:ind w:firstLine="1440"/>
      </w:pPr>
    </w:p>
    <w:p w:rsidR="004A2E4D" w:rsidRDefault="007151DD" w:rsidP="004A2E4D">
      <w:pPr>
        <w:tabs>
          <w:tab w:val="left" w:pos="2160"/>
        </w:tabs>
        <w:spacing w:line="360" w:lineRule="auto"/>
        <w:ind w:firstLine="1440"/>
      </w:pPr>
      <w:r>
        <w:t>8</w:t>
      </w:r>
      <w:r w:rsidR="004A2E4D">
        <w:t>.</w:t>
      </w:r>
      <w:r w:rsidR="004A2E4D">
        <w:tab/>
        <w:t xml:space="preserve">Respondent’s records show PPL mailed a </w:t>
      </w:r>
      <w:r w:rsidR="00FB0BEC">
        <w:t>10</w:t>
      </w:r>
      <w:r w:rsidR="004A2E4D">
        <w:t xml:space="preserve">-day termination notice to Complainant on June 12, 2014 due to non-payment with a past-due balance totaling $3,946.21.  </w:t>
      </w:r>
      <w:proofErr w:type="gramStart"/>
      <w:r w:rsidR="004A2E4D">
        <w:t>(Tr. 33-35, 45-49; PPL Exhibit 2).</w:t>
      </w:r>
      <w:proofErr w:type="gramEnd"/>
    </w:p>
    <w:p w:rsidR="004A2E4D" w:rsidRDefault="004A2E4D" w:rsidP="004A2E4D">
      <w:pPr>
        <w:tabs>
          <w:tab w:val="left" w:pos="2160"/>
        </w:tabs>
        <w:spacing w:line="360" w:lineRule="auto"/>
        <w:ind w:firstLine="1440"/>
      </w:pPr>
    </w:p>
    <w:p w:rsidR="004A2E4D" w:rsidRDefault="007151DD" w:rsidP="004A2E4D">
      <w:pPr>
        <w:tabs>
          <w:tab w:val="left" w:pos="2160"/>
        </w:tabs>
        <w:spacing w:line="360" w:lineRule="auto"/>
        <w:ind w:firstLine="1440"/>
      </w:pPr>
      <w:r>
        <w:lastRenderedPageBreak/>
        <w:t>9</w:t>
      </w:r>
      <w:r w:rsidR="004A2E4D">
        <w:t xml:space="preserve">. </w:t>
      </w:r>
      <w:r w:rsidR="004A2E4D">
        <w:tab/>
        <w:t xml:space="preserve">Respondent’s records indicate </w:t>
      </w:r>
      <w:r w:rsidR="001466D1">
        <w:t>PPL</w:t>
      </w:r>
      <w:r w:rsidR="004A2E4D">
        <w:t xml:space="preserve"> made </w:t>
      </w:r>
      <w:r w:rsidR="008B7781">
        <w:t>3</w:t>
      </w:r>
      <w:r w:rsidR="004A2E4D">
        <w:t>-day call</w:t>
      </w:r>
      <w:r w:rsidR="001466D1">
        <w:t>s</w:t>
      </w:r>
      <w:r w:rsidR="004A2E4D">
        <w:t xml:space="preserve"> to the service address on June 18, 2014 and again on June 19, 2014.  </w:t>
      </w:r>
      <w:proofErr w:type="gramStart"/>
      <w:r w:rsidR="004A2E4D">
        <w:t>(Tr. 34, 35</w:t>
      </w:r>
      <w:r w:rsidR="002D758A">
        <w:t>, 52</w:t>
      </w:r>
      <w:r w:rsidR="00D16E63">
        <w:t>, 68</w:t>
      </w:r>
      <w:r w:rsidR="004A2E4D">
        <w:t>).</w:t>
      </w:r>
      <w:proofErr w:type="gramEnd"/>
    </w:p>
    <w:p w:rsidR="00FC66A2" w:rsidRDefault="00FC66A2" w:rsidP="00FC66A2">
      <w:pPr>
        <w:pStyle w:val="BodyText"/>
        <w:jc w:val="left"/>
        <w:rPr>
          <w:sz w:val="24"/>
          <w:szCs w:val="24"/>
        </w:rPr>
      </w:pPr>
    </w:p>
    <w:p w:rsidR="00FC66A2" w:rsidRPr="0039245E" w:rsidRDefault="00FC66A2" w:rsidP="00FC66A2">
      <w:pPr>
        <w:pStyle w:val="BodyText"/>
        <w:jc w:val="left"/>
        <w:rPr>
          <w:sz w:val="24"/>
          <w:szCs w:val="24"/>
        </w:rPr>
      </w:pPr>
      <w:r>
        <w:rPr>
          <w:sz w:val="24"/>
          <w:szCs w:val="24"/>
        </w:rPr>
        <w:tab/>
      </w:r>
      <w:r>
        <w:rPr>
          <w:sz w:val="24"/>
          <w:szCs w:val="24"/>
        </w:rPr>
        <w:tab/>
        <w:t>1</w:t>
      </w:r>
      <w:r w:rsidR="007151DD">
        <w:rPr>
          <w:sz w:val="24"/>
          <w:szCs w:val="24"/>
        </w:rPr>
        <w:t>0</w:t>
      </w:r>
      <w:r>
        <w:rPr>
          <w:sz w:val="24"/>
          <w:szCs w:val="24"/>
        </w:rPr>
        <w:t xml:space="preserve">. </w:t>
      </w:r>
      <w:r>
        <w:rPr>
          <w:sz w:val="24"/>
          <w:szCs w:val="24"/>
        </w:rPr>
        <w:tab/>
      </w:r>
      <w:r w:rsidRPr="0039245E">
        <w:rPr>
          <w:sz w:val="24"/>
          <w:szCs w:val="24"/>
        </w:rPr>
        <w:t xml:space="preserve">Complainant called PPL on June 20, 2014 </w:t>
      </w:r>
      <w:r>
        <w:rPr>
          <w:sz w:val="24"/>
          <w:szCs w:val="24"/>
        </w:rPr>
        <w:t xml:space="preserve">but PPL admits </w:t>
      </w:r>
      <w:r w:rsidR="001466D1">
        <w:rPr>
          <w:sz w:val="24"/>
          <w:szCs w:val="24"/>
        </w:rPr>
        <w:t>its</w:t>
      </w:r>
      <w:r>
        <w:rPr>
          <w:sz w:val="24"/>
          <w:szCs w:val="24"/>
        </w:rPr>
        <w:t xml:space="preserve"> records do not show Complainant called PPL </w:t>
      </w:r>
      <w:r w:rsidRPr="0039245E">
        <w:rPr>
          <w:sz w:val="24"/>
          <w:szCs w:val="24"/>
        </w:rPr>
        <w:t xml:space="preserve">to discuss the </w:t>
      </w:r>
      <w:r w:rsidR="00FB0BEC">
        <w:rPr>
          <w:sz w:val="24"/>
          <w:szCs w:val="24"/>
        </w:rPr>
        <w:t>10</w:t>
      </w:r>
      <w:r w:rsidRPr="0039245E">
        <w:rPr>
          <w:sz w:val="24"/>
          <w:szCs w:val="24"/>
        </w:rPr>
        <w:t>-day termination notice</w:t>
      </w:r>
      <w:r>
        <w:rPr>
          <w:sz w:val="24"/>
          <w:szCs w:val="24"/>
        </w:rPr>
        <w:t xml:space="preserve"> issued on June 12, 2014</w:t>
      </w:r>
      <w:r w:rsidRPr="0039245E">
        <w:rPr>
          <w:sz w:val="24"/>
          <w:szCs w:val="24"/>
        </w:rPr>
        <w:t xml:space="preserve">.  </w:t>
      </w:r>
      <w:proofErr w:type="gramStart"/>
      <w:r w:rsidRPr="0039245E">
        <w:rPr>
          <w:sz w:val="24"/>
          <w:szCs w:val="24"/>
        </w:rPr>
        <w:t>(Tr. 34</w:t>
      </w:r>
      <w:r>
        <w:rPr>
          <w:sz w:val="24"/>
          <w:szCs w:val="24"/>
        </w:rPr>
        <w:t>, 50, 51, 60</w:t>
      </w:r>
      <w:r w:rsidRPr="0039245E">
        <w:rPr>
          <w:sz w:val="24"/>
          <w:szCs w:val="24"/>
        </w:rPr>
        <w:t>; PPL Exhibit 2).</w:t>
      </w:r>
      <w:proofErr w:type="gramEnd"/>
    </w:p>
    <w:p w:rsidR="004A2E4D" w:rsidRPr="0039245E" w:rsidRDefault="004A2E4D" w:rsidP="004A2E4D">
      <w:pPr>
        <w:pStyle w:val="BodyText"/>
        <w:jc w:val="left"/>
        <w:rPr>
          <w:sz w:val="24"/>
          <w:szCs w:val="24"/>
        </w:rPr>
      </w:pPr>
    </w:p>
    <w:p w:rsidR="004A2E4D" w:rsidRDefault="004A2E4D" w:rsidP="004A2E4D">
      <w:pPr>
        <w:pStyle w:val="BodyText"/>
        <w:jc w:val="left"/>
        <w:rPr>
          <w:sz w:val="24"/>
          <w:szCs w:val="24"/>
        </w:rPr>
      </w:pPr>
      <w:r w:rsidRPr="0039245E">
        <w:rPr>
          <w:sz w:val="24"/>
          <w:szCs w:val="24"/>
        </w:rPr>
        <w:tab/>
      </w:r>
      <w:r w:rsidRPr="0039245E">
        <w:rPr>
          <w:sz w:val="24"/>
          <w:szCs w:val="24"/>
        </w:rPr>
        <w:tab/>
      </w:r>
      <w:r w:rsidR="007151DD">
        <w:rPr>
          <w:sz w:val="24"/>
          <w:szCs w:val="24"/>
        </w:rPr>
        <w:t>11</w:t>
      </w:r>
      <w:r w:rsidRPr="0039245E">
        <w:rPr>
          <w:sz w:val="24"/>
          <w:szCs w:val="24"/>
        </w:rPr>
        <w:t xml:space="preserve">. </w:t>
      </w:r>
      <w:r w:rsidRPr="0039245E">
        <w:rPr>
          <w:sz w:val="24"/>
          <w:szCs w:val="24"/>
        </w:rPr>
        <w:tab/>
        <w:t>Complainant d</w:t>
      </w:r>
      <w:r w:rsidR="001466D1">
        <w:rPr>
          <w:sz w:val="24"/>
          <w:szCs w:val="24"/>
        </w:rPr>
        <w:t>id not</w:t>
      </w:r>
      <w:r w:rsidRPr="0039245E">
        <w:rPr>
          <w:sz w:val="24"/>
          <w:szCs w:val="24"/>
        </w:rPr>
        <w:t xml:space="preserve"> receiv</w:t>
      </w:r>
      <w:r w:rsidR="001466D1">
        <w:rPr>
          <w:sz w:val="24"/>
          <w:szCs w:val="24"/>
        </w:rPr>
        <w:t>e</w:t>
      </w:r>
      <w:r w:rsidRPr="0039245E">
        <w:rPr>
          <w:sz w:val="24"/>
          <w:szCs w:val="24"/>
        </w:rPr>
        <w:t xml:space="preserve"> a </w:t>
      </w:r>
      <w:r w:rsidR="004B54E1">
        <w:rPr>
          <w:sz w:val="24"/>
          <w:szCs w:val="24"/>
        </w:rPr>
        <w:t>10</w:t>
      </w:r>
      <w:r w:rsidRPr="0039245E">
        <w:rPr>
          <w:sz w:val="24"/>
          <w:szCs w:val="24"/>
        </w:rPr>
        <w:t xml:space="preserve">-day termination notice in June 2014, </w:t>
      </w:r>
      <w:r w:rsidR="001466D1">
        <w:rPr>
          <w:sz w:val="24"/>
          <w:szCs w:val="24"/>
        </w:rPr>
        <w:t xml:space="preserve">did not recall </w:t>
      </w:r>
      <w:r w:rsidRPr="0039245E">
        <w:rPr>
          <w:sz w:val="24"/>
          <w:szCs w:val="24"/>
        </w:rPr>
        <w:t xml:space="preserve">receiving </w:t>
      </w:r>
      <w:r w:rsidR="008B7781">
        <w:rPr>
          <w:sz w:val="24"/>
          <w:szCs w:val="24"/>
        </w:rPr>
        <w:t>3-</w:t>
      </w:r>
      <w:r w:rsidRPr="0039245E">
        <w:rPr>
          <w:sz w:val="24"/>
          <w:szCs w:val="24"/>
        </w:rPr>
        <w:t>day call</w:t>
      </w:r>
      <w:r w:rsidR="001466D1">
        <w:rPr>
          <w:sz w:val="24"/>
          <w:szCs w:val="24"/>
        </w:rPr>
        <w:t>s</w:t>
      </w:r>
      <w:r w:rsidRPr="0039245E">
        <w:rPr>
          <w:sz w:val="24"/>
          <w:szCs w:val="24"/>
        </w:rPr>
        <w:t xml:space="preserve"> in June </w:t>
      </w:r>
      <w:r w:rsidR="001466D1">
        <w:rPr>
          <w:sz w:val="24"/>
          <w:szCs w:val="24"/>
        </w:rPr>
        <w:t xml:space="preserve">or July </w:t>
      </w:r>
      <w:r w:rsidRPr="0039245E">
        <w:rPr>
          <w:sz w:val="24"/>
          <w:szCs w:val="24"/>
        </w:rPr>
        <w:t xml:space="preserve">2014, </w:t>
      </w:r>
      <w:r w:rsidR="001466D1">
        <w:rPr>
          <w:sz w:val="24"/>
          <w:szCs w:val="24"/>
        </w:rPr>
        <w:t>and did not call to</w:t>
      </w:r>
      <w:r w:rsidRPr="0039245E">
        <w:rPr>
          <w:sz w:val="24"/>
          <w:szCs w:val="24"/>
        </w:rPr>
        <w:t xml:space="preserve"> speak</w:t>
      </w:r>
      <w:r w:rsidR="001466D1">
        <w:rPr>
          <w:sz w:val="24"/>
          <w:szCs w:val="24"/>
        </w:rPr>
        <w:t xml:space="preserve"> </w:t>
      </w:r>
      <w:r w:rsidRPr="0039245E">
        <w:rPr>
          <w:sz w:val="24"/>
          <w:szCs w:val="24"/>
        </w:rPr>
        <w:t xml:space="preserve">with a PPL employee on June 20, 2014 about a pending termination.  </w:t>
      </w:r>
      <w:proofErr w:type="gramStart"/>
      <w:r w:rsidRPr="0039245E">
        <w:rPr>
          <w:sz w:val="24"/>
          <w:szCs w:val="24"/>
        </w:rPr>
        <w:t>(Tr. 34, 35).</w:t>
      </w:r>
      <w:proofErr w:type="gramEnd"/>
    </w:p>
    <w:p w:rsidR="00FC66A2" w:rsidRDefault="00FC66A2" w:rsidP="004A2E4D">
      <w:pPr>
        <w:pStyle w:val="BodyText"/>
        <w:jc w:val="left"/>
        <w:rPr>
          <w:sz w:val="24"/>
          <w:szCs w:val="24"/>
        </w:rPr>
      </w:pPr>
    </w:p>
    <w:p w:rsidR="00FC66A2" w:rsidRPr="0039245E" w:rsidRDefault="007151DD" w:rsidP="004A2E4D">
      <w:pPr>
        <w:pStyle w:val="BodyText"/>
        <w:jc w:val="left"/>
        <w:rPr>
          <w:sz w:val="24"/>
          <w:szCs w:val="24"/>
        </w:rPr>
      </w:pPr>
      <w:r>
        <w:rPr>
          <w:sz w:val="24"/>
          <w:szCs w:val="24"/>
        </w:rPr>
        <w:tab/>
      </w:r>
      <w:r>
        <w:rPr>
          <w:sz w:val="24"/>
          <w:szCs w:val="24"/>
        </w:rPr>
        <w:tab/>
        <w:t>12</w:t>
      </w:r>
      <w:r w:rsidR="00FC66A2">
        <w:rPr>
          <w:sz w:val="24"/>
          <w:szCs w:val="24"/>
        </w:rPr>
        <w:t xml:space="preserve">. </w:t>
      </w:r>
      <w:r w:rsidR="00FC66A2">
        <w:rPr>
          <w:sz w:val="24"/>
          <w:szCs w:val="24"/>
        </w:rPr>
        <w:tab/>
        <w:t xml:space="preserve">Complainant called PPL on June 20, 2014 to advise PPL she mailed out a check totaling $276.34 on June 5, 2014.  </w:t>
      </w:r>
      <w:proofErr w:type="gramStart"/>
      <w:r w:rsidR="00FC66A2">
        <w:rPr>
          <w:sz w:val="24"/>
          <w:szCs w:val="24"/>
        </w:rPr>
        <w:t>(Tr. 61; PPL Exhibit 2).</w:t>
      </w:r>
      <w:proofErr w:type="gramEnd"/>
    </w:p>
    <w:p w:rsidR="004A2E4D" w:rsidRDefault="004A2E4D" w:rsidP="004A2E4D">
      <w:pPr>
        <w:tabs>
          <w:tab w:val="left" w:pos="2160"/>
        </w:tabs>
        <w:spacing w:line="360" w:lineRule="auto"/>
        <w:ind w:firstLine="1440"/>
      </w:pPr>
    </w:p>
    <w:p w:rsidR="00FC66A2" w:rsidRDefault="007151DD" w:rsidP="004A2E4D">
      <w:pPr>
        <w:tabs>
          <w:tab w:val="left" w:pos="2160"/>
        </w:tabs>
        <w:spacing w:line="360" w:lineRule="auto"/>
        <w:ind w:firstLine="1440"/>
      </w:pPr>
      <w:r>
        <w:t>13</w:t>
      </w:r>
      <w:r w:rsidR="00FC66A2">
        <w:t xml:space="preserve">. </w:t>
      </w:r>
      <w:r w:rsidR="00FC66A2">
        <w:tab/>
        <w:t>On June 20, 2014, PPL</w:t>
      </w:r>
      <w:r w:rsidR="001466D1">
        <w:t xml:space="preserve"> told</w:t>
      </w:r>
      <w:r w:rsidR="00FC66A2">
        <w:t xml:space="preserve"> Complainant there was a shut</w:t>
      </w:r>
      <w:r w:rsidR="000E1818">
        <w:t>-</w:t>
      </w:r>
      <w:r w:rsidR="00FC66A2">
        <w:t xml:space="preserve">off notice and </w:t>
      </w:r>
      <w:r w:rsidR="00D45F5B">
        <w:t>her June 3</w:t>
      </w:r>
      <w:r w:rsidR="00FC66A2">
        <w:t>, 2014 check had not been received</w:t>
      </w:r>
      <w:r w:rsidR="00D45F5B">
        <w:t>, even though PPL’s records show Ms. Sanchez’ check had been received on that date</w:t>
      </w:r>
      <w:r w:rsidR="00FC66A2">
        <w:t xml:space="preserve">.  </w:t>
      </w:r>
      <w:proofErr w:type="gramStart"/>
      <w:r w:rsidR="00FC66A2">
        <w:t>(Tr. 60-63; PPL Exhibit 2).</w:t>
      </w:r>
      <w:proofErr w:type="gramEnd"/>
    </w:p>
    <w:p w:rsidR="00FC66A2" w:rsidRDefault="00FC66A2" w:rsidP="004A2E4D">
      <w:pPr>
        <w:tabs>
          <w:tab w:val="left" w:pos="2160"/>
        </w:tabs>
        <w:spacing w:line="360" w:lineRule="auto"/>
        <w:ind w:firstLine="1440"/>
      </w:pPr>
    </w:p>
    <w:p w:rsidR="004A2E4D" w:rsidRDefault="007151DD" w:rsidP="004A2E4D">
      <w:pPr>
        <w:tabs>
          <w:tab w:val="left" w:pos="2160"/>
        </w:tabs>
        <w:spacing w:line="360" w:lineRule="auto"/>
        <w:ind w:firstLine="1440"/>
      </w:pPr>
      <w:r>
        <w:t>14</w:t>
      </w:r>
      <w:r w:rsidR="004A2E4D">
        <w:t xml:space="preserve">. </w:t>
      </w:r>
      <w:r w:rsidR="004A2E4D">
        <w:tab/>
        <w:t xml:space="preserve">Complainant made </w:t>
      </w:r>
      <w:r w:rsidR="00D45F5B">
        <w:t>her regular</w:t>
      </w:r>
      <w:r w:rsidR="004A2E4D">
        <w:t xml:space="preserve"> payment via </w:t>
      </w:r>
      <w:r w:rsidR="00D45F5B">
        <w:t>regular mail on July 14, 2014 as directed by</w:t>
      </w:r>
      <w:r w:rsidR="004A2E4D">
        <w:t xml:space="preserve"> PPL’s employee </w:t>
      </w:r>
      <w:r w:rsidR="00D45F5B">
        <w:t>but PPL did not post</w:t>
      </w:r>
      <w:r w:rsidR="002D758A">
        <w:t xml:space="preserve"> the July 14, 2014 payment </w:t>
      </w:r>
      <w:r w:rsidR="00D45F5B">
        <w:t>until</w:t>
      </w:r>
      <w:r w:rsidR="002D758A">
        <w:t xml:space="preserve"> July 18, 2014.  </w:t>
      </w:r>
      <w:proofErr w:type="gramStart"/>
      <w:r w:rsidR="004A2E4D">
        <w:t>(Tr. 20-31</w:t>
      </w:r>
      <w:r w:rsidR="002D758A">
        <w:t>, 53</w:t>
      </w:r>
      <w:r w:rsidR="004A2E4D">
        <w:t>; Complainant Exhibit 4</w:t>
      </w:r>
      <w:r w:rsidR="002D758A">
        <w:t xml:space="preserve"> and PPL Exhibit 1</w:t>
      </w:r>
      <w:r w:rsidR="004A2E4D">
        <w:t>).</w:t>
      </w:r>
      <w:proofErr w:type="gramEnd"/>
    </w:p>
    <w:p w:rsidR="00C711E9" w:rsidRDefault="00C711E9" w:rsidP="00C711E9">
      <w:pPr>
        <w:tabs>
          <w:tab w:val="left" w:pos="2160"/>
        </w:tabs>
        <w:spacing w:line="360" w:lineRule="auto"/>
        <w:ind w:firstLine="1440"/>
      </w:pPr>
    </w:p>
    <w:p w:rsidR="00C711E9" w:rsidRDefault="007151DD" w:rsidP="00C711E9">
      <w:pPr>
        <w:tabs>
          <w:tab w:val="left" w:pos="2160"/>
        </w:tabs>
        <w:spacing w:line="360" w:lineRule="auto"/>
        <w:ind w:firstLine="1440"/>
      </w:pPr>
      <w:r>
        <w:t>15</w:t>
      </w:r>
      <w:r w:rsidR="00C711E9">
        <w:t xml:space="preserve">. </w:t>
      </w:r>
      <w:r w:rsidR="00C711E9">
        <w:tab/>
        <w:t xml:space="preserve">On </w:t>
      </w:r>
      <w:r w:rsidR="00785024">
        <w:t xml:space="preserve">Tuesday, </w:t>
      </w:r>
      <w:r w:rsidR="00C711E9">
        <w:t xml:space="preserve">July 15, 2014, Respondent terminated electric service at the service address and did not resume service until </w:t>
      </w:r>
      <w:r w:rsidR="00785024">
        <w:t xml:space="preserve">Tuesday, </w:t>
      </w:r>
      <w:r w:rsidR="00C711E9">
        <w:t xml:space="preserve">July 22, 2014.  </w:t>
      </w:r>
      <w:proofErr w:type="gramStart"/>
      <w:r w:rsidR="00C711E9">
        <w:t>(Tr. 14, 15</w:t>
      </w:r>
      <w:r w:rsidR="002D758A">
        <w:t>, 52</w:t>
      </w:r>
      <w:r w:rsidR="00C711E9">
        <w:t>).</w:t>
      </w:r>
      <w:proofErr w:type="gramEnd"/>
    </w:p>
    <w:p w:rsidR="00FE28B3" w:rsidRDefault="00FE28B3" w:rsidP="00FE28B3">
      <w:pPr>
        <w:tabs>
          <w:tab w:val="left" w:pos="2160"/>
        </w:tabs>
        <w:spacing w:line="360" w:lineRule="auto"/>
        <w:ind w:firstLine="1440"/>
      </w:pPr>
    </w:p>
    <w:p w:rsidR="00FE28B3" w:rsidRDefault="007151DD" w:rsidP="00FE28B3">
      <w:pPr>
        <w:tabs>
          <w:tab w:val="left" w:pos="2160"/>
        </w:tabs>
        <w:spacing w:line="360" w:lineRule="auto"/>
        <w:ind w:firstLine="1440"/>
      </w:pPr>
      <w:r>
        <w:t>16</w:t>
      </w:r>
      <w:r w:rsidR="00FE28B3">
        <w:t>.</w:t>
      </w:r>
      <w:r w:rsidR="00FE28B3">
        <w:tab/>
        <w:t xml:space="preserve"> When Complainant called PPL on July 17, 2014 and July 18, 2014 to discuss why PPL terminated electric service, PPL’s employee, Kimberly, </w:t>
      </w:r>
      <w:r w:rsidR="00A1243D">
        <w:t>told her a</w:t>
      </w:r>
      <w:r w:rsidR="00FE28B3">
        <w:t xml:space="preserve"> shut</w:t>
      </w:r>
      <w:r w:rsidR="00BD08A5">
        <w:t>-</w:t>
      </w:r>
      <w:r w:rsidR="00FE28B3">
        <w:t xml:space="preserve">off notice had not been mailed out to Complainant.  </w:t>
      </w:r>
      <w:proofErr w:type="gramStart"/>
      <w:r w:rsidR="00FE28B3">
        <w:t>(Tr. 8, 15, 27).</w:t>
      </w:r>
      <w:proofErr w:type="gramEnd"/>
      <w:r w:rsidR="00FE28B3">
        <w:t xml:space="preserve">  </w:t>
      </w:r>
    </w:p>
    <w:p w:rsidR="00374BD2" w:rsidRDefault="00374BD2" w:rsidP="007E48E1">
      <w:pPr>
        <w:tabs>
          <w:tab w:val="left" w:pos="2160"/>
        </w:tabs>
        <w:spacing w:line="360" w:lineRule="auto"/>
        <w:ind w:firstLine="1440"/>
      </w:pPr>
    </w:p>
    <w:p w:rsidR="00FC66A2" w:rsidRDefault="00D235E9" w:rsidP="00E82EA2">
      <w:pPr>
        <w:pStyle w:val="BodyText"/>
        <w:jc w:val="left"/>
        <w:rPr>
          <w:sz w:val="24"/>
          <w:szCs w:val="24"/>
        </w:rPr>
      </w:pPr>
      <w:r>
        <w:rPr>
          <w:sz w:val="24"/>
          <w:szCs w:val="24"/>
        </w:rPr>
        <w:tab/>
      </w:r>
      <w:r>
        <w:rPr>
          <w:sz w:val="24"/>
          <w:szCs w:val="24"/>
        </w:rPr>
        <w:tab/>
      </w:r>
      <w:r w:rsidR="007151DD">
        <w:rPr>
          <w:sz w:val="24"/>
          <w:szCs w:val="24"/>
        </w:rPr>
        <w:t>1</w:t>
      </w:r>
      <w:r w:rsidR="00A1243D">
        <w:rPr>
          <w:sz w:val="24"/>
          <w:szCs w:val="24"/>
        </w:rPr>
        <w:t>7</w:t>
      </w:r>
      <w:r w:rsidR="00FC66A2">
        <w:rPr>
          <w:sz w:val="24"/>
          <w:szCs w:val="24"/>
        </w:rPr>
        <w:t xml:space="preserve">. </w:t>
      </w:r>
      <w:r w:rsidR="00FC66A2">
        <w:rPr>
          <w:sz w:val="24"/>
          <w:szCs w:val="24"/>
        </w:rPr>
        <w:tab/>
        <w:t>PPL’s Account Summary and Account Contact History do not reflect the date of termination</w:t>
      </w:r>
      <w:r w:rsidR="00D45F5B">
        <w:rPr>
          <w:sz w:val="24"/>
          <w:szCs w:val="24"/>
        </w:rPr>
        <w:t>, which was</w:t>
      </w:r>
      <w:r w:rsidR="00FC66A2">
        <w:rPr>
          <w:sz w:val="24"/>
          <w:szCs w:val="24"/>
        </w:rPr>
        <w:t xml:space="preserve"> July 15, 2014.  </w:t>
      </w:r>
      <w:proofErr w:type="gramStart"/>
      <w:r w:rsidR="00FC66A2">
        <w:rPr>
          <w:sz w:val="24"/>
          <w:szCs w:val="24"/>
        </w:rPr>
        <w:t>(Tr. 59; PPL Exhibits 1 &amp; 2).</w:t>
      </w:r>
      <w:proofErr w:type="gramEnd"/>
    </w:p>
    <w:p w:rsidR="00E82EA2" w:rsidRDefault="007151DD" w:rsidP="00E82EA2">
      <w:pPr>
        <w:pStyle w:val="BodyText"/>
        <w:jc w:val="left"/>
        <w:rPr>
          <w:sz w:val="24"/>
          <w:szCs w:val="24"/>
        </w:rPr>
      </w:pPr>
      <w:r>
        <w:rPr>
          <w:sz w:val="24"/>
          <w:szCs w:val="24"/>
        </w:rPr>
        <w:lastRenderedPageBreak/>
        <w:tab/>
      </w:r>
      <w:r>
        <w:rPr>
          <w:sz w:val="24"/>
          <w:szCs w:val="24"/>
        </w:rPr>
        <w:tab/>
      </w:r>
      <w:r w:rsidR="00A1243D">
        <w:rPr>
          <w:sz w:val="24"/>
          <w:szCs w:val="24"/>
        </w:rPr>
        <w:t>18</w:t>
      </w:r>
      <w:r w:rsidR="00E82EA2">
        <w:rPr>
          <w:sz w:val="24"/>
          <w:szCs w:val="24"/>
        </w:rPr>
        <w:t xml:space="preserve">. </w:t>
      </w:r>
      <w:r w:rsidR="00E82EA2">
        <w:rPr>
          <w:sz w:val="24"/>
          <w:szCs w:val="24"/>
        </w:rPr>
        <w:tab/>
        <w:t xml:space="preserve">Complainant admits she had trouble paying her monthly bills prior to April 2014.  </w:t>
      </w:r>
      <w:proofErr w:type="gramStart"/>
      <w:r w:rsidR="00E82EA2">
        <w:rPr>
          <w:sz w:val="24"/>
          <w:szCs w:val="24"/>
        </w:rPr>
        <w:t>(Tr. 17, 32; PPL Exhibit 1).</w:t>
      </w:r>
      <w:proofErr w:type="gramEnd"/>
    </w:p>
    <w:p w:rsidR="0087669A" w:rsidRDefault="0087669A" w:rsidP="00C83FC3">
      <w:pPr>
        <w:pStyle w:val="BodyText"/>
        <w:jc w:val="left"/>
        <w:rPr>
          <w:sz w:val="24"/>
          <w:szCs w:val="24"/>
        </w:rPr>
      </w:pPr>
    </w:p>
    <w:p w:rsidR="00A1243D" w:rsidRDefault="00A91C30" w:rsidP="00C83FC3">
      <w:pPr>
        <w:pStyle w:val="BodyText"/>
        <w:jc w:val="left"/>
        <w:rPr>
          <w:sz w:val="24"/>
          <w:szCs w:val="24"/>
        </w:rPr>
      </w:pPr>
      <w:r>
        <w:rPr>
          <w:sz w:val="24"/>
          <w:szCs w:val="24"/>
        </w:rPr>
        <w:tab/>
      </w:r>
      <w:r>
        <w:rPr>
          <w:sz w:val="24"/>
          <w:szCs w:val="24"/>
        </w:rPr>
        <w:tab/>
      </w:r>
      <w:r w:rsidR="00A1243D">
        <w:rPr>
          <w:sz w:val="24"/>
          <w:szCs w:val="24"/>
        </w:rPr>
        <w:t>19</w:t>
      </w:r>
      <w:r w:rsidR="0087669A">
        <w:rPr>
          <w:sz w:val="24"/>
          <w:szCs w:val="24"/>
        </w:rPr>
        <w:t>.</w:t>
      </w:r>
      <w:r w:rsidR="0087669A">
        <w:rPr>
          <w:sz w:val="24"/>
          <w:szCs w:val="24"/>
        </w:rPr>
        <w:tab/>
      </w:r>
      <w:r w:rsidR="00360DA1">
        <w:rPr>
          <w:sz w:val="24"/>
          <w:szCs w:val="24"/>
        </w:rPr>
        <w:t xml:space="preserve"> </w:t>
      </w:r>
      <w:r w:rsidR="00BB04ED">
        <w:rPr>
          <w:sz w:val="24"/>
          <w:szCs w:val="24"/>
        </w:rPr>
        <w:t>Complainant has paid her bill each month since April 2014</w:t>
      </w:r>
      <w:r w:rsidR="00A1243D">
        <w:rPr>
          <w:sz w:val="24"/>
          <w:szCs w:val="24"/>
        </w:rPr>
        <w:t xml:space="preserve">.  </w:t>
      </w:r>
      <w:proofErr w:type="gramStart"/>
      <w:r w:rsidR="00A1243D">
        <w:rPr>
          <w:sz w:val="24"/>
          <w:szCs w:val="24"/>
        </w:rPr>
        <w:t>(Tr. 16, 56).</w:t>
      </w:r>
      <w:proofErr w:type="gramEnd"/>
    </w:p>
    <w:p w:rsidR="00A1243D" w:rsidRDefault="00A1243D" w:rsidP="00C83FC3">
      <w:pPr>
        <w:pStyle w:val="BodyText"/>
        <w:jc w:val="left"/>
        <w:rPr>
          <w:sz w:val="24"/>
          <w:szCs w:val="24"/>
        </w:rPr>
      </w:pPr>
    </w:p>
    <w:p w:rsidR="0087669A" w:rsidRDefault="00A1243D" w:rsidP="00C83FC3">
      <w:pPr>
        <w:pStyle w:val="BodyText"/>
        <w:jc w:val="left"/>
        <w:rPr>
          <w:sz w:val="24"/>
          <w:szCs w:val="24"/>
        </w:rPr>
      </w:pPr>
      <w:r>
        <w:rPr>
          <w:sz w:val="24"/>
          <w:szCs w:val="24"/>
        </w:rPr>
        <w:tab/>
      </w:r>
      <w:r>
        <w:rPr>
          <w:sz w:val="24"/>
          <w:szCs w:val="24"/>
        </w:rPr>
        <w:tab/>
        <w:t>20.</w:t>
      </w:r>
      <w:r>
        <w:rPr>
          <w:sz w:val="24"/>
          <w:szCs w:val="24"/>
        </w:rPr>
        <w:tab/>
        <w:t xml:space="preserve">Complainant </w:t>
      </w:r>
      <w:r w:rsidR="00BB04ED">
        <w:rPr>
          <w:sz w:val="24"/>
          <w:szCs w:val="24"/>
        </w:rPr>
        <w:t xml:space="preserve">has not received any </w:t>
      </w:r>
      <w:r w:rsidR="00FE28B3">
        <w:rPr>
          <w:sz w:val="24"/>
          <w:szCs w:val="24"/>
        </w:rPr>
        <w:t xml:space="preserve">additional </w:t>
      </w:r>
      <w:r w:rsidR="00BB04ED">
        <w:rPr>
          <w:sz w:val="24"/>
          <w:szCs w:val="24"/>
        </w:rPr>
        <w:t>termination notice</w:t>
      </w:r>
      <w:r w:rsidR="00FE28B3">
        <w:rPr>
          <w:sz w:val="24"/>
          <w:szCs w:val="24"/>
        </w:rPr>
        <w:t>s</w:t>
      </w:r>
      <w:r>
        <w:rPr>
          <w:sz w:val="24"/>
          <w:szCs w:val="24"/>
        </w:rPr>
        <w:t xml:space="preserve"> since </w:t>
      </w:r>
      <w:r w:rsidR="005A24A7">
        <w:rPr>
          <w:sz w:val="24"/>
          <w:szCs w:val="24"/>
        </w:rPr>
        <w:t>April 2014</w:t>
      </w:r>
      <w:r w:rsidR="00BB04ED">
        <w:rPr>
          <w:sz w:val="24"/>
          <w:szCs w:val="24"/>
        </w:rPr>
        <w:t xml:space="preserve">.  </w:t>
      </w:r>
      <w:proofErr w:type="gramStart"/>
      <w:r w:rsidR="00BB04ED">
        <w:rPr>
          <w:sz w:val="24"/>
          <w:szCs w:val="24"/>
        </w:rPr>
        <w:t>(Tr. 16</w:t>
      </w:r>
      <w:r w:rsidR="002D758A">
        <w:rPr>
          <w:sz w:val="24"/>
          <w:szCs w:val="24"/>
        </w:rPr>
        <w:t>, 56</w:t>
      </w:r>
      <w:r w:rsidR="00BB04ED">
        <w:rPr>
          <w:sz w:val="24"/>
          <w:szCs w:val="24"/>
        </w:rPr>
        <w:t>).</w:t>
      </w:r>
      <w:proofErr w:type="gramEnd"/>
    </w:p>
    <w:p w:rsidR="002D758A" w:rsidRDefault="002D758A" w:rsidP="00C83FC3">
      <w:pPr>
        <w:pStyle w:val="BodyText"/>
        <w:jc w:val="left"/>
        <w:rPr>
          <w:sz w:val="24"/>
          <w:szCs w:val="24"/>
        </w:rPr>
      </w:pPr>
    </w:p>
    <w:p w:rsidR="002D758A" w:rsidRDefault="002D758A" w:rsidP="00C83FC3">
      <w:pPr>
        <w:pStyle w:val="BodyText"/>
        <w:jc w:val="left"/>
        <w:rPr>
          <w:sz w:val="24"/>
          <w:szCs w:val="24"/>
        </w:rPr>
      </w:pPr>
      <w:r>
        <w:rPr>
          <w:sz w:val="24"/>
          <w:szCs w:val="24"/>
        </w:rPr>
        <w:tab/>
      </w:r>
      <w:r>
        <w:rPr>
          <w:sz w:val="24"/>
          <w:szCs w:val="24"/>
        </w:rPr>
        <w:tab/>
      </w:r>
      <w:r w:rsidR="007151DD">
        <w:rPr>
          <w:sz w:val="24"/>
          <w:szCs w:val="24"/>
        </w:rPr>
        <w:t>2</w:t>
      </w:r>
      <w:r w:rsidR="005A24A7">
        <w:rPr>
          <w:sz w:val="24"/>
          <w:szCs w:val="24"/>
        </w:rPr>
        <w:t>1</w:t>
      </w:r>
      <w:r>
        <w:rPr>
          <w:sz w:val="24"/>
          <w:szCs w:val="24"/>
        </w:rPr>
        <w:t xml:space="preserve">. </w:t>
      </w:r>
      <w:r>
        <w:rPr>
          <w:sz w:val="24"/>
          <w:szCs w:val="24"/>
        </w:rPr>
        <w:tab/>
        <w:t xml:space="preserve">The current balance on the electric service account with Complainant was $5,116.69, as of June 16, 2015.  </w:t>
      </w:r>
      <w:proofErr w:type="gramStart"/>
      <w:r>
        <w:rPr>
          <w:sz w:val="24"/>
          <w:szCs w:val="24"/>
        </w:rPr>
        <w:t>(Tr. 57; PPL Exhibit 1).</w:t>
      </w:r>
      <w:proofErr w:type="gramEnd"/>
    </w:p>
    <w:p w:rsidR="004A2E4D" w:rsidRDefault="004A2E4D" w:rsidP="008E4FD6">
      <w:pPr>
        <w:tabs>
          <w:tab w:val="left" w:pos="2160"/>
        </w:tabs>
        <w:spacing w:line="360" w:lineRule="auto"/>
        <w:jc w:val="center"/>
        <w:rPr>
          <w:u w:val="single"/>
        </w:rPr>
      </w:pPr>
    </w:p>
    <w:p w:rsidR="008E4FD6" w:rsidRPr="007618BE" w:rsidRDefault="008E4FD6" w:rsidP="008E4FD6">
      <w:pPr>
        <w:tabs>
          <w:tab w:val="left" w:pos="2160"/>
        </w:tabs>
        <w:spacing w:line="360" w:lineRule="auto"/>
        <w:jc w:val="center"/>
        <w:rPr>
          <w:u w:val="single"/>
        </w:rPr>
      </w:pPr>
      <w:r w:rsidRPr="007618BE">
        <w:rPr>
          <w:u w:val="single"/>
        </w:rPr>
        <w:t>DISCUSSION</w:t>
      </w:r>
    </w:p>
    <w:p w:rsidR="007E48E1" w:rsidRPr="007618BE" w:rsidRDefault="007E48E1" w:rsidP="007E48E1">
      <w:pPr>
        <w:tabs>
          <w:tab w:val="left" w:pos="2160"/>
        </w:tabs>
        <w:spacing w:line="360" w:lineRule="auto"/>
        <w:jc w:val="center"/>
        <w:rPr>
          <w:u w:val="single"/>
        </w:rPr>
      </w:pPr>
    </w:p>
    <w:p w:rsidR="007E48E1" w:rsidRPr="007618BE" w:rsidRDefault="007E48E1" w:rsidP="007E48E1">
      <w:pPr>
        <w:pStyle w:val="BodyText"/>
        <w:jc w:val="left"/>
        <w:rPr>
          <w:sz w:val="24"/>
          <w:szCs w:val="24"/>
        </w:rPr>
      </w:pPr>
      <w:r w:rsidRPr="007618BE">
        <w:rPr>
          <w:sz w:val="24"/>
          <w:szCs w:val="24"/>
        </w:rPr>
        <w:tab/>
      </w:r>
      <w:r w:rsidRPr="007618BE">
        <w:rPr>
          <w:sz w:val="24"/>
          <w:szCs w:val="24"/>
        </w:rPr>
        <w:tab/>
        <w:t xml:space="preserve">Complainant </w:t>
      </w:r>
      <w:r w:rsidR="00FD6FFD" w:rsidRPr="007618BE">
        <w:rPr>
          <w:sz w:val="24"/>
          <w:szCs w:val="24"/>
        </w:rPr>
        <w:t>alleges</w:t>
      </w:r>
      <w:r w:rsidR="00374BD2" w:rsidRPr="007618BE">
        <w:rPr>
          <w:sz w:val="24"/>
          <w:szCs w:val="24"/>
        </w:rPr>
        <w:t xml:space="preserve"> </w:t>
      </w:r>
      <w:r w:rsidR="007618BE" w:rsidRPr="007618BE">
        <w:rPr>
          <w:sz w:val="24"/>
          <w:szCs w:val="24"/>
        </w:rPr>
        <w:t>PPL</w:t>
      </w:r>
      <w:r w:rsidR="00E24E82" w:rsidRPr="007618BE">
        <w:rPr>
          <w:sz w:val="24"/>
          <w:szCs w:val="24"/>
        </w:rPr>
        <w:t xml:space="preserve"> </w:t>
      </w:r>
      <w:r w:rsidR="007618BE" w:rsidRPr="007618BE">
        <w:rPr>
          <w:sz w:val="24"/>
          <w:szCs w:val="24"/>
        </w:rPr>
        <w:t>violated termination procedures in July 2014 when PPL terminated service at the service address without sending a termination notice first and despite having received the required payment from Complainant.  Complainant also alleged it took PPL too long to resume service.  Complainant requested the Commission order PPL to reimburse her for lost food during the one week the services remained off</w:t>
      </w:r>
      <w:r w:rsidR="00374BD2" w:rsidRPr="007618BE">
        <w:rPr>
          <w:sz w:val="24"/>
          <w:szCs w:val="24"/>
        </w:rPr>
        <w:t xml:space="preserve">.  </w:t>
      </w:r>
    </w:p>
    <w:p w:rsidR="007E48E1" w:rsidRPr="007618BE" w:rsidRDefault="007E48E1" w:rsidP="007E48E1">
      <w:pPr>
        <w:pStyle w:val="BodyText"/>
        <w:jc w:val="left"/>
        <w:rPr>
          <w:sz w:val="24"/>
          <w:szCs w:val="24"/>
        </w:rPr>
      </w:pPr>
    </w:p>
    <w:p w:rsidR="006E0E7F" w:rsidRPr="007618BE" w:rsidRDefault="00374BD2" w:rsidP="007E48E1">
      <w:pPr>
        <w:pStyle w:val="BodyText"/>
        <w:jc w:val="left"/>
        <w:rPr>
          <w:sz w:val="24"/>
          <w:szCs w:val="24"/>
          <w:u w:val="single"/>
        </w:rPr>
      </w:pPr>
      <w:r w:rsidRPr="007618BE">
        <w:rPr>
          <w:sz w:val="24"/>
          <w:szCs w:val="24"/>
          <w:u w:val="single"/>
        </w:rPr>
        <w:t>Complainant</w:t>
      </w:r>
      <w:r w:rsidR="00CD3B62" w:rsidRPr="007618BE">
        <w:rPr>
          <w:sz w:val="24"/>
          <w:szCs w:val="24"/>
          <w:u w:val="single"/>
        </w:rPr>
        <w:t>’</w:t>
      </w:r>
      <w:r w:rsidR="006E0E7F" w:rsidRPr="007618BE">
        <w:rPr>
          <w:sz w:val="24"/>
          <w:szCs w:val="24"/>
          <w:u w:val="single"/>
        </w:rPr>
        <w:t>s Position</w:t>
      </w:r>
    </w:p>
    <w:p w:rsidR="001C74B7" w:rsidRPr="006E0E7F" w:rsidRDefault="001C74B7" w:rsidP="007E48E1">
      <w:pPr>
        <w:pStyle w:val="BodyText"/>
        <w:jc w:val="left"/>
        <w:rPr>
          <w:sz w:val="24"/>
          <w:szCs w:val="24"/>
          <w:u w:val="single"/>
        </w:rPr>
      </w:pPr>
    </w:p>
    <w:p w:rsidR="007E48E1" w:rsidRPr="008B455C" w:rsidRDefault="007E48E1" w:rsidP="000930C0">
      <w:pPr>
        <w:pStyle w:val="BodyText"/>
        <w:jc w:val="left"/>
        <w:rPr>
          <w:sz w:val="24"/>
          <w:szCs w:val="24"/>
        </w:rPr>
      </w:pPr>
      <w:r w:rsidRPr="00475063">
        <w:rPr>
          <w:sz w:val="24"/>
          <w:szCs w:val="24"/>
        </w:rPr>
        <w:tab/>
      </w:r>
      <w:r w:rsidRPr="00475063">
        <w:rPr>
          <w:sz w:val="24"/>
          <w:szCs w:val="24"/>
        </w:rPr>
        <w:tab/>
        <w:t xml:space="preserve">Complainant </w:t>
      </w:r>
      <w:r w:rsidR="00BA53A4">
        <w:rPr>
          <w:sz w:val="24"/>
          <w:szCs w:val="24"/>
        </w:rPr>
        <w:t>admits she has an outstanding balance but contends the only termination notice she received from PPL was dated April 1, 2014.  Complainant points out that after receiving the April 1, 2014 termination notice</w:t>
      </w:r>
      <w:r w:rsidR="00D45F5B">
        <w:rPr>
          <w:sz w:val="24"/>
          <w:szCs w:val="24"/>
        </w:rPr>
        <w:t xml:space="preserve">, she </w:t>
      </w:r>
      <w:r w:rsidR="00BA53A4">
        <w:rPr>
          <w:sz w:val="24"/>
          <w:szCs w:val="24"/>
        </w:rPr>
        <w:t>made timely payments in April, May, June and July 2014 before PPL terminated electric service on July 15, 2014.  Complainant contends she mailed the June 2014 payment in sufficient time to be received prior to the due date but PPL’s decision to force her to mail the payment to Kentucky (instead of mailing it to Allentown, Pennsylvania) resulted in a delay.  Complainant contends she should not be held responsible for the delay caused by PPL’s inner workings.  Ms. Sanchez asserts she provided the information about the missing payment</w:t>
      </w:r>
      <w:r w:rsidR="001D5102">
        <w:rPr>
          <w:sz w:val="24"/>
          <w:szCs w:val="24"/>
        </w:rPr>
        <w:t xml:space="preserve"> but PPL’s employees did not want to listen to her.  Ms.</w:t>
      </w:r>
      <w:r w:rsidR="000E1818">
        <w:rPr>
          <w:sz w:val="24"/>
          <w:szCs w:val="24"/>
        </w:rPr>
        <w:t> </w:t>
      </w:r>
      <w:r w:rsidR="001D5102">
        <w:rPr>
          <w:sz w:val="24"/>
          <w:szCs w:val="24"/>
        </w:rPr>
        <w:t xml:space="preserve">Sanchez asserts PPL should never have issued the termination notice in June 2014 and </w:t>
      </w:r>
      <w:r w:rsidR="001D5102">
        <w:rPr>
          <w:sz w:val="24"/>
          <w:szCs w:val="24"/>
        </w:rPr>
        <w:lastRenderedPageBreak/>
        <w:t xml:space="preserve">should have stopped termination proceedings once it realized it had her missing payment on </w:t>
      </w:r>
      <w:r w:rsidR="00D45F5B">
        <w:rPr>
          <w:sz w:val="24"/>
          <w:szCs w:val="24"/>
        </w:rPr>
        <w:t xml:space="preserve">the same day she called: </w:t>
      </w:r>
      <w:r w:rsidR="000E1818">
        <w:rPr>
          <w:sz w:val="24"/>
          <w:szCs w:val="24"/>
        </w:rPr>
        <w:t xml:space="preserve"> </w:t>
      </w:r>
      <w:r w:rsidR="001D5102">
        <w:rPr>
          <w:sz w:val="24"/>
          <w:szCs w:val="24"/>
        </w:rPr>
        <w:t xml:space="preserve">June 20, 2014.  </w:t>
      </w:r>
      <w:r w:rsidR="00BA53A4">
        <w:rPr>
          <w:sz w:val="24"/>
          <w:szCs w:val="24"/>
        </w:rPr>
        <w:t xml:space="preserve">Also, Complainant argues PPL was in error to wait </w:t>
      </w:r>
      <w:r w:rsidR="00D45F5B">
        <w:rPr>
          <w:sz w:val="24"/>
          <w:szCs w:val="24"/>
        </w:rPr>
        <w:t>four</w:t>
      </w:r>
      <w:r w:rsidR="00BA53A4">
        <w:rPr>
          <w:sz w:val="24"/>
          <w:szCs w:val="24"/>
        </w:rPr>
        <w:t xml:space="preserve"> </w:t>
      </w:r>
      <w:r w:rsidR="005A24A7">
        <w:rPr>
          <w:sz w:val="24"/>
          <w:szCs w:val="24"/>
        </w:rPr>
        <w:t xml:space="preserve">extra </w:t>
      </w:r>
      <w:r w:rsidR="00BA53A4">
        <w:rPr>
          <w:sz w:val="24"/>
          <w:szCs w:val="24"/>
        </w:rPr>
        <w:t xml:space="preserve">days from when it received her payment in July 2014 before it resumed electric service.  </w:t>
      </w:r>
      <w:r w:rsidR="001D5102">
        <w:rPr>
          <w:sz w:val="24"/>
          <w:szCs w:val="24"/>
        </w:rPr>
        <w:t xml:space="preserve">As a result of PPL’s poor service, Complainant avers she lost her electricity for seven days even though she made the required payment on time, she lost all the food in her refrigerator and she did not receive reasonable and appropriate customer service from PPL.  </w:t>
      </w:r>
    </w:p>
    <w:p w:rsidR="00B25996" w:rsidRDefault="00B25996" w:rsidP="00374BD2">
      <w:pPr>
        <w:spacing w:line="360" w:lineRule="auto"/>
      </w:pPr>
      <w:r>
        <w:tab/>
      </w:r>
      <w:r>
        <w:tab/>
      </w:r>
    </w:p>
    <w:p w:rsidR="006E0E7F" w:rsidRDefault="006E0E7F" w:rsidP="007E48E1">
      <w:pPr>
        <w:pStyle w:val="BodyText"/>
        <w:jc w:val="left"/>
        <w:rPr>
          <w:sz w:val="24"/>
          <w:szCs w:val="24"/>
        </w:rPr>
      </w:pPr>
      <w:r>
        <w:rPr>
          <w:sz w:val="24"/>
          <w:szCs w:val="24"/>
          <w:u w:val="single"/>
        </w:rPr>
        <w:t>Respondent’s Position</w:t>
      </w:r>
    </w:p>
    <w:p w:rsidR="006E0E7F" w:rsidRPr="006E0E7F" w:rsidRDefault="006E0E7F" w:rsidP="007E48E1">
      <w:pPr>
        <w:pStyle w:val="BodyText"/>
        <w:jc w:val="left"/>
        <w:rPr>
          <w:sz w:val="24"/>
          <w:szCs w:val="24"/>
        </w:rPr>
      </w:pPr>
    </w:p>
    <w:p w:rsidR="007E48E1" w:rsidRDefault="007E48E1" w:rsidP="007E48E1">
      <w:pPr>
        <w:pStyle w:val="BodyText"/>
        <w:jc w:val="left"/>
        <w:rPr>
          <w:sz w:val="24"/>
          <w:szCs w:val="24"/>
        </w:rPr>
      </w:pPr>
      <w:r w:rsidRPr="008B455C">
        <w:rPr>
          <w:sz w:val="24"/>
          <w:szCs w:val="24"/>
        </w:rPr>
        <w:tab/>
      </w:r>
      <w:r w:rsidRPr="008B455C">
        <w:rPr>
          <w:sz w:val="24"/>
          <w:szCs w:val="24"/>
        </w:rPr>
        <w:tab/>
        <w:t>Respondent</w:t>
      </w:r>
      <w:r>
        <w:rPr>
          <w:sz w:val="24"/>
          <w:szCs w:val="24"/>
        </w:rPr>
        <w:t xml:space="preserve"> </w:t>
      </w:r>
      <w:r w:rsidR="00374BD2">
        <w:rPr>
          <w:sz w:val="24"/>
          <w:szCs w:val="24"/>
        </w:rPr>
        <w:t>contends</w:t>
      </w:r>
      <w:r w:rsidR="00BA53A4">
        <w:rPr>
          <w:sz w:val="24"/>
          <w:szCs w:val="24"/>
        </w:rPr>
        <w:t xml:space="preserve"> a shut</w:t>
      </w:r>
      <w:r w:rsidR="000E1818">
        <w:rPr>
          <w:sz w:val="24"/>
          <w:szCs w:val="24"/>
        </w:rPr>
        <w:t>-</w:t>
      </w:r>
      <w:r w:rsidR="00BA53A4">
        <w:rPr>
          <w:sz w:val="24"/>
          <w:szCs w:val="24"/>
        </w:rPr>
        <w:t>off notice was issued on June 12, 2014 when Complainant paid late on her account</w:t>
      </w:r>
      <w:r w:rsidR="00130FE5">
        <w:rPr>
          <w:sz w:val="24"/>
          <w:szCs w:val="24"/>
        </w:rPr>
        <w:t xml:space="preserve">.  </w:t>
      </w:r>
      <w:r w:rsidR="00BA53A4">
        <w:rPr>
          <w:sz w:val="24"/>
          <w:szCs w:val="24"/>
        </w:rPr>
        <w:t>Respondent contends it mailed a collection letter to Complainant which notice would have provided the cut-off date and the amount of the overdue balance.  PPL contends it made sure there were no medical certifications pending when it issued the termination notice and it made two attempts to contact Complainant in June 2014 to notify her about the pending termination.  PPL blames Complainant for not having sufficient information about the missing payment in June 2014, and if the information had been provided PPL might have been able to locate the missing payment more quickly.  Accordingly, PPL contends it properly notified Complainant about the pending termination and properly terminated service for failure to pay the balance in a timely manner.</w:t>
      </w:r>
    </w:p>
    <w:p w:rsidR="00F21DB8" w:rsidRDefault="00F21DB8" w:rsidP="007E48E1">
      <w:pPr>
        <w:pStyle w:val="BodyText"/>
        <w:jc w:val="left"/>
        <w:rPr>
          <w:sz w:val="24"/>
          <w:szCs w:val="24"/>
          <w:u w:val="single"/>
        </w:rPr>
      </w:pPr>
    </w:p>
    <w:p w:rsidR="006E0E7F" w:rsidRDefault="006E0E7F" w:rsidP="007E48E1">
      <w:pPr>
        <w:pStyle w:val="BodyText"/>
        <w:jc w:val="left"/>
        <w:rPr>
          <w:sz w:val="24"/>
          <w:szCs w:val="24"/>
        </w:rPr>
      </w:pPr>
      <w:r>
        <w:rPr>
          <w:sz w:val="24"/>
          <w:szCs w:val="24"/>
          <w:u w:val="single"/>
        </w:rPr>
        <w:t>Respondent’s Responsibility</w:t>
      </w:r>
    </w:p>
    <w:p w:rsidR="006E0E7F" w:rsidRPr="006E0E7F" w:rsidRDefault="006E0E7F" w:rsidP="007E48E1">
      <w:pPr>
        <w:pStyle w:val="BodyText"/>
        <w:jc w:val="left"/>
        <w:rPr>
          <w:sz w:val="24"/>
          <w:szCs w:val="24"/>
        </w:rPr>
      </w:pPr>
    </w:p>
    <w:p w:rsidR="00BC077A" w:rsidRDefault="00FD6FFD" w:rsidP="007E48E1">
      <w:pPr>
        <w:pStyle w:val="BodyText"/>
        <w:ind w:firstLine="1440"/>
        <w:jc w:val="left"/>
        <w:rPr>
          <w:sz w:val="24"/>
          <w:szCs w:val="24"/>
        </w:rPr>
      </w:pPr>
      <w:r>
        <w:rPr>
          <w:sz w:val="24"/>
          <w:szCs w:val="24"/>
        </w:rPr>
        <w:t xml:space="preserve">Pursuant to 66 </w:t>
      </w:r>
      <w:proofErr w:type="spellStart"/>
      <w:r>
        <w:rPr>
          <w:sz w:val="24"/>
          <w:szCs w:val="24"/>
        </w:rPr>
        <w:t>Pa.</w:t>
      </w:r>
      <w:r w:rsidR="00BC077A">
        <w:rPr>
          <w:sz w:val="24"/>
          <w:szCs w:val="24"/>
        </w:rPr>
        <w:t>C.S.A</w:t>
      </w:r>
      <w:proofErr w:type="spellEnd"/>
      <w:r w:rsidR="00BC077A">
        <w:rPr>
          <w:sz w:val="24"/>
          <w:szCs w:val="24"/>
        </w:rPr>
        <w:t>. §</w:t>
      </w:r>
      <w:r>
        <w:rPr>
          <w:sz w:val="24"/>
          <w:szCs w:val="24"/>
        </w:rPr>
        <w:t xml:space="preserve"> </w:t>
      </w:r>
      <w:r w:rsidR="00BC077A">
        <w:rPr>
          <w:sz w:val="24"/>
          <w:szCs w:val="24"/>
        </w:rPr>
        <w:t xml:space="preserve">1501:  </w:t>
      </w:r>
    </w:p>
    <w:p w:rsidR="00BC077A" w:rsidRDefault="00BC077A" w:rsidP="00AB2DD2">
      <w:pPr>
        <w:pStyle w:val="BodyText"/>
        <w:spacing w:line="240" w:lineRule="auto"/>
        <w:ind w:firstLine="1440"/>
        <w:jc w:val="left"/>
        <w:rPr>
          <w:sz w:val="24"/>
          <w:szCs w:val="24"/>
        </w:rPr>
      </w:pPr>
    </w:p>
    <w:p w:rsidR="007E48E1" w:rsidRDefault="007E48E1" w:rsidP="00BC077A">
      <w:pPr>
        <w:pStyle w:val="BodyText"/>
        <w:spacing w:line="240" w:lineRule="auto"/>
        <w:ind w:left="1440" w:right="720" w:firstLine="720"/>
        <w:jc w:val="left"/>
        <w:rPr>
          <w:sz w:val="24"/>
          <w:szCs w:val="24"/>
        </w:rPr>
      </w:pPr>
      <w:r>
        <w:rPr>
          <w:sz w:val="24"/>
          <w:szCs w:val="24"/>
        </w:rPr>
        <w:t xml:space="preserve">Every public utility shall furnish and maintain adequate, efficient, safe, and reasonable service and facilities, and shall make all such repairs, changes, alterations, substitutions, extensions, and improvements in or to such service and facilities as shall be necessary or proper for the accommodation, convenience, and safety of its patrons, employees, and the public.  Such service also shall be reasonably continuous and without unreasonable interruptions or delay.  Such service and facilities shall be in conformity with the regulations and orders of the Commission.  Subject to the provisions of this part and the regulations or orders of the Commission, every public utility may have reasonable rules and </w:t>
      </w:r>
      <w:r>
        <w:rPr>
          <w:sz w:val="24"/>
          <w:szCs w:val="24"/>
        </w:rPr>
        <w:lastRenderedPageBreak/>
        <w:t xml:space="preserve">regulations governing the conditions under which it shall be required to render service….  </w:t>
      </w:r>
    </w:p>
    <w:p w:rsidR="00F21DB8" w:rsidRDefault="00F21DB8" w:rsidP="00F21DB8">
      <w:pPr>
        <w:pStyle w:val="BodyText"/>
        <w:ind w:left="1440" w:right="720" w:firstLine="720"/>
        <w:jc w:val="left"/>
        <w:rPr>
          <w:sz w:val="24"/>
          <w:szCs w:val="24"/>
        </w:rPr>
      </w:pPr>
    </w:p>
    <w:p w:rsidR="00C334C6" w:rsidRDefault="00C334C6" w:rsidP="00C334C6">
      <w:pPr>
        <w:pStyle w:val="BodyText"/>
        <w:tabs>
          <w:tab w:val="left" w:pos="1440"/>
        </w:tabs>
        <w:jc w:val="left"/>
        <w:rPr>
          <w:sz w:val="24"/>
          <w:szCs w:val="24"/>
        </w:rPr>
      </w:pPr>
      <w:r>
        <w:rPr>
          <w:sz w:val="24"/>
          <w:szCs w:val="24"/>
        </w:rPr>
        <w:tab/>
      </w:r>
      <w:r w:rsidR="007E6C25">
        <w:rPr>
          <w:sz w:val="24"/>
          <w:szCs w:val="24"/>
        </w:rPr>
        <w:t xml:space="preserve">Pursuant to 52 </w:t>
      </w:r>
      <w:proofErr w:type="spellStart"/>
      <w:r w:rsidR="007E6C25">
        <w:rPr>
          <w:sz w:val="24"/>
          <w:szCs w:val="24"/>
        </w:rPr>
        <w:t>Pa.Code</w:t>
      </w:r>
      <w:proofErr w:type="spellEnd"/>
      <w:r w:rsidR="007E6C25">
        <w:rPr>
          <w:sz w:val="24"/>
          <w:szCs w:val="24"/>
        </w:rPr>
        <w:t xml:space="preserve"> § 56.93, a public utility may not terminate service until it first makes attempts to contact the ratepayer, either in person or by telephone, so that the ratepayer will have notice of the public utility’s intention to terminate service.  </w:t>
      </w:r>
      <w:r>
        <w:rPr>
          <w:sz w:val="24"/>
          <w:szCs w:val="24"/>
        </w:rPr>
        <w:t xml:space="preserve">Utility service is not limited to the provision of electric service and includes “any and all acts” related to that function, including using proper termination procedures.  </w:t>
      </w:r>
      <w:proofErr w:type="gramStart"/>
      <w:r>
        <w:rPr>
          <w:sz w:val="24"/>
          <w:szCs w:val="24"/>
          <w:u w:val="single"/>
        </w:rPr>
        <w:t>West Penn Power Company v. Pa. Pub.</w:t>
      </w:r>
      <w:proofErr w:type="gramEnd"/>
      <w:r>
        <w:rPr>
          <w:sz w:val="24"/>
          <w:szCs w:val="24"/>
          <w:u w:val="single"/>
        </w:rPr>
        <w:t xml:space="preserve"> </w:t>
      </w:r>
      <w:proofErr w:type="gramStart"/>
      <w:r>
        <w:rPr>
          <w:sz w:val="24"/>
          <w:szCs w:val="24"/>
          <w:u w:val="single"/>
        </w:rPr>
        <w:t xml:space="preserve">Util. </w:t>
      </w:r>
      <w:proofErr w:type="spellStart"/>
      <w:r>
        <w:rPr>
          <w:sz w:val="24"/>
          <w:szCs w:val="24"/>
          <w:u w:val="single"/>
        </w:rPr>
        <w:t>Comm’n</w:t>
      </w:r>
      <w:proofErr w:type="spellEnd"/>
      <w:r>
        <w:rPr>
          <w:sz w:val="24"/>
          <w:szCs w:val="24"/>
        </w:rPr>
        <w:t>, 578 A.2d 75, 76 (</w:t>
      </w:r>
      <w:proofErr w:type="spellStart"/>
      <w:r>
        <w:rPr>
          <w:sz w:val="24"/>
          <w:szCs w:val="24"/>
        </w:rPr>
        <w:t>Pa.Cm</w:t>
      </w:r>
      <w:r w:rsidR="000E1818">
        <w:rPr>
          <w:sz w:val="24"/>
          <w:szCs w:val="24"/>
        </w:rPr>
        <w:t>wlth</w:t>
      </w:r>
      <w:proofErr w:type="spellEnd"/>
      <w:r>
        <w:rPr>
          <w:sz w:val="24"/>
          <w:szCs w:val="24"/>
        </w:rPr>
        <w:t>. 1990).</w:t>
      </w:r>
      <w:proofErr w:type="gramEnd"/>
      <w:r>
        <w:rPr>
          <w:sz w:val="24"/>
          <w:szCs w:val="24"/>
        </w:rPr>
        <w:t xml:space="preserve">  </w:t>
      </w:r>
    </w:p>
    <w:p w:rsidR="002D484E" w:rsidRDefault="007E6C25" w:rsidP="00876EC6">
      <w:pPr>
        <w:pStyle w:val="BodyText"/>
        <w:jc w:val="left"/>
        <w:rPr>
          <w:u w:val="single"/>
        </w:rPr>
      </w:pPr>
      <w:r>
        <w:rPr>
          <w:sz w:val="24"/>
          <w:szCs w:val="24"/>
        </w:rPr>
        <w:t xml:space="preserve">  </w:t>
      </w:r>
    </w:p>
    <w:p w:rsidR="005D4816" w:rsidRPr="00A41132" w:rsidRDefault="005D4816" w:rsidP="005D4816">
      <w:pPr>
        <w:spacing w:line="360" w:lineRule="auto"/>
        <w:rPr>
          <w:u w:val="single"/>
        </w:rPr>
      </w:pPr>
      <w:r w:rsidRPr="00A41132">
        <w:rPr>
          <w:u w:val="single"/>
        </w:rPr>
        <w:t>Burden of Proof</w:t>
      </w:r>
    </w:p>
    <w:p w:rsidR="005D4816" w:rsidRPr="00A41132" w:rsidRDefault="005D4816" w:rsidP="005D4816">
      <w:pPr>
        <w:spacing w:line="360" w:lineRule="auto"/>
      </w:pPr>
    </w:p>
    <w:p w:rsidR="00F37416" w:rsidRDefault="005D4816" w:rsidP="005D4816">
      <w:pPr>
        <w:spacing w:line="360" w:lineRule="auto"/>
        <w:ind w:firstLine="1440"/>
      </w:pPr>
      <w:r w:rsidRPr="00A41132">
        <w:t>As the party seeking affirmative relief from the Commission, Complainant bears the burden of provin</w:t>
      </w:r>
      <w:r>
        <w:t xml:space="preserve">g by substantial evidence </w:t>
      </w:r>
      <w:r w:rsidR="007618BE">
        <w:t>s</w:t>
      </w:r>
      <w:r w:rsidRPr="00A41132">
        <w:t xml:space="preserve">he is entitled to the requested relief.  66 </w:t>
      </w:r>
      <w:proofErr w:type="spellStart"/>
      <w:r w:rsidRPr="00A41132">
        <w:t>Pa.C.S.</w:t>
      </w:r>
      <w:r>
        <w:t>A</w:t>
      </w:r>
      <w:proofErr w:type="spellEnd"/>
      <w:r>
        <w:t>.</w:t>
      </w:r>
      <w:r w:rsidRPr="00A41132">
        <w:t xml:space="preserve"> § 332(a).  To satisfy this burden, Complainant must show </w:t>
      </w:r>
      <w:r>
        <w:t>Respondent utility</w:t>
      </w:r>
      <w:r w:rsidRPr="00A41132">
        <w:t xml:space="preserve"> is responsible or accountable for the problem described.</w:t>
      </w:r>
      <w:r>
        <w:rPr>
          <w:rStyle w:val="FootnoteReference"/>
        </w:rPr>
        <w:footnoteReference w:id="1"/>
      </w:r>
      <w:r w:rsidRPr="00A41132">
        <w:t xml:space="preserve">  </w:t>
      </w:r>
      <w:r>
        <w:t xml:space="preserve">Complainant must show this fact to be true </w:t>
      </w:r>
      <w:r w:rsidRPr="00A41132">
        <w:t xml:space="preserve">by a preponderance of the evidence, that is, by presenting evidence more convincing, by even the </w:t>
      </w:r>
    </w:p>
    <w:p w:rsidR="005D4816" w:rsidRPr="00A41132" w:rsidRDefault="005D4816" w:rsidP="00F37416">
      <w:pPr>
        <w:spacing w:line="360" w:lineRule="auto"/>
      </w:pPr>
      <w:proofErr w:type="gramStart"/>
      <w:r w:rsidRPr="00A41132">
        <w:t>smallest</w:t>
      </w:r>
      <w:proofErr w:type="gramEnd"/>
      <w:r w:rsidRPr="00A41132">
        <w:t xml:space="preserve"> amount, than that </w:t>
      </w:r>
      <w:r>
        <w:t xml:space="preserve">evidence </w:t>
      </w:r>
      <w:r w:rsidRPr="00A41132">
        <w:t>presented by the other party.</w:t>
      </w:r>
      <w:r>
        <w:rPr>
          <w:rStyle w:val="FootnoteReference"/>
        </w:rPr>
        <w:footnoteReference w:id="2"/>
      </w:r>
      <w:r w:rsidRPr="00A41132">
        <w:t xml:space="preserve">  Additionally, any finding of fact necessary to support the Commission’s adjudication must be based upon substantial evidence.</w:t>
      </w:r>
      <w:r>
        <w:rPr>
          <w:rStyle w:val="FootnoteReference"/>
        </w:rPr>
        <w:footnoteReference w:id="3"/>
      </w:r>
      <w:r w:rsidRPr="00A41132">
        <w:t xml:space="preserve">  </w:t>
      </w:r>
      <w:r>
        <w:t xml:space="preserve">Furthermore, more evidence </w:t>
      </w:r>
      <w:r w:rsidRPr="00A41132">
        <w:t>is required than a mere trace of evidence or a suspicion of the existence of a fact sought to be established.</w:t>
      </w:r>
      <w:r>
        <w:rPr>
          <w:rStyle w:val="FootnoteReference"/>
        </w:rPr>
        <w:footnoteReference w:id="4"/>
      </w:r>
      <w:r w:rsidRPr="00A41132">
        <w:t xml:space="preserve">  </w:t>
      </w:r>
    </w:p>
    <w:p w:rsidR="005A24A7" w:rsidRDefault="005A24A7" w:rsidP="005D4816">
      <w:pPr>
        <w:spacing w:line="360" w:lineRule="auto"/>
      </w:pPr>
    </w:p>
    <w:p w:rsidR="00876EC6" w:rsidRDefault="00876EC6" w:rsidP="005D4816">
      <w:pPr>
        <w:spacing w:line="360" w:lineRule="auto"/>
      </w:pPr>
    </w:p>
    <w:p w:rsidR="00876EC6" w:rsidRDefault="00876EC6" w:rsidP="005D4816">
      <w:pPr>
        <w:spacing w:line="360" w:lineRule="auto"/>
      </w:pPr>
    </w:p>
    <w:p w:rsidR="00E73118" w:rsidRDefault="00E73118" w:rsidP="005D4816">
      <w:pPr>
        <w:pStyle w:val="BodyText"/>
        <w:jc w:val="left"/>
        <w:rPr>
          <w:sz w:val="24"/>
          <w:szCs w:val="24"/>
        </w:rPr>
      </w:pPr>
      <w:r>
        <w:rPr>
          <w:sz w:val="24"/>
          <w:szCs w:val="24"/>
          <w:u w:val="single"/>
        </w:rPr>
        <w:lastRenderedPageBreak/>
        <w:t>Reasonable Customer Service</w:t>
      </w:r>
    </w:p>
    <w:p w:rsidR="008C7D9C" w:rsidRPr="00CF2338" w:rsidRDefault="008C7D9C" w:rsidP="008C7D9C">
      <w:pPr>
        <w:spacing w:line="360" w:lineRule="auto"/>
        <w:rPr>
          <w:u w:val="single"/>
        </w:rPr>
      </w:pPr>
    </w:p>
    <w:p w:rsidR="008C7D9C" w:rsidRDefault="008C7D9C" w:rsidP="005A24A7">
      <w:pPr>
        <w:spacing w:line="360" w:lineRule="auto"/>
      </w:pPr>
      <w:r w:rsidRPr="00CF2338">
        <w:tab/>
      </w:r>
      <w:r w:rsidRPr="00CF2338">
        <w:tab/>
        <w:t xml:space="preserve">A violation of the Code may occur when a utility company fails to provide reasonable service, such as failure to correctly bill a customer.  </w:t>
      </w:r>
    </w:p>
    <w:p w:rsidR="0034111F" w:rsidRPr="00CF2338" w:rsidRDefault="0034111F" w:rsidP="005A24A7">
      <w:pPr>
        <w:spacing w:line="360" w:lineRule="auto"/>
      </w:pPr>
    </w:p>
    <w:p w:rsidR="008C7D9C" w:rsidRPr="00CF2338" w:rsidRDefault="008C7D9C" w:rsidP="008C7D9C">
      <w:pPr>
        <w:spacing w:line="360" w:lineRule="auto"/>
      </w:pPr>
      <w:r w:rsidRPr="00CF2338">
        <w:tab/>
      </w:r>
      <w:r w:rsidRPr="00CF2338">
        <w:tab/>
      </w:r>
      <w:r>
        <w:t>The</w:t>
      </w:r>
      <w:r w:rsidRPr="00CF2338">
        <w:t xml:space="preserve"> Commission has exclusive jurisdiction to determine the reasonableness, adequacy and sufficiency of a public utility’s services and facilities.</w:t>
      </w:r>
      <w:r>
        <w:rPr>
          <w:rStyle w:val="FootnoteReference"/>
        </w:rPr>
        <w:footnoteReference w:id="5"/>
      </w:r>
      <w:r w:rsidRPr="00CF2338">
        <w:t xml:space="preserve">  The term “service” is “used in its broadest and most inclusive sense, </w:t>
      </w:r>
      <w:proofErr w:type="spellStart"/>
      <w:r w:rsidRPr="00CF2338">
        <w:t>includ</w:t>
      </w:r>
      <w:proofErr w:type="spellEnd"/>
      <w:r w:rsidRPr="00CF2338">
        <w:t>[</w:t>
      </w:r>
      <w:proofErr w:type="spellStart"/>
      <w:r w:rsidRPr="00CF2338">
        <w:t>ing</w:t>
      </w:r>
      <w:proofErr w:type="spellEnd"/>
      <w:r w:rsidRPr="00CF2338">
        <w:t>] any and all acts done, rendered, or performed, and any and all things furnished or supplied...by public utilities...in the performance of their duties under [the Public Utility Code]....”</w:t>
      </w:r>
      <w:r w:rsidR="00F677CB">
        <w:rPr>
          <w:rStyle w:val="FootnoteReference"/>
        </w:rPr>
        <w:footnoteReference w:id="6"/>
      </w:r>
      <w:r w:rsidRPr="00CF2338">
        <w:t xml:space="preserve">  Thus a utility company’s pr</w:t>
      </w:r>
      <w:r w:rsidR="00F677CB">
        <w:t xml:space="preserve">actice of billing its customers, as well as how it terminates service, </w:t>
      </w:r>
      <w:r w:rsidRPr="00CF2338">
        <w:t>must be reasonable, adequate and sufficient.</w:t>
      </w:r>
    </w:p>
    <w:p w:rsidR="008C7D9C" w:rsidRPr="00E73118" w:rsidRDefault="008C7D9C" w:rsidP="00E73118">
      <w:pPr>
        <w:pStyle w:val="BodyText"/>
        <w:jc w:val="left"/>
        <w:rPr>
          <w:sz w:val="24"/>
          <w:szCs w:val="24"/>
        </w:rPr>
      </w:pPr>
    </w:p>
    <w:p w:rsidR="00374BD2" w:rsidRPr="001D5102" w:rsidRDefault="007E48E1" w:rsidP="00546C6B">
      <w:pPr>
        <w:pStyle w:val="BodyText"/>
        <w:ind w:firstLine="1440"/>
        <w:jc w:val="left"/>
        <w:rPr>
          <w:sz w:val="24"/>
          <w:szCs w:val="24"/>
        </w:rPr>
      </w:pPr>
      <w:r w:rsidRPr="001D5102">
        <w:rPr>
          <w:sz w:val="24"/>
          <w:szCs w:val="24"/>
        </w:rPr>
        <w:t>The testimony presented sufficiently proved</w:t>
      </w:r>
      <w:r w:rsidR="009C7B02" w:rsidRPr="001D5102">
        <w:rPr>
          <w:sz w:val="24"/>
          <w:szCs w:val="24"/>
        </w:rPr>
        <w:t xml:space="preserve">: </w:t>
      </w:r>
      <w:r w:rsidR="0070362C" w:rsidRPr="001D5102">
        <w:rPr>
          <w:sz w:val="24"/>
          <w:szCs w:val="24"/>
        </w:rPr>
        <w:t xml:space="preserve"> </w:t>
      </w:r>
      <w:r w:rsidR="009C7B02" w:rsidRPr="001D5102">
        <w:rPr>
          <w:sz w:val="24"/>
          <w:szCs w:val="24"/>
        </w:rPr>
        <w:t>(1)</w:t>
      </w:r>
      <w:r w:rsidR="00747FED" w:rsidRPr="001D5102">
        <w:rPr>
          <w:sz w:val="24"/>
          <w:szCs w:val="24"/>
        </w:rPr>
        <w:t xml:space="preserve"> </w:t>
      </w:r>
      <w:r w:rsidR="00000F22" w:rsidRPr="001D5102">
        <w:rPr>
          <w:sz w:val="24"/>
          <w:szCs w:val="24"/>
        </w:rPr>
        <w:t>PPL</w:t>
      </w:r>
      <w:r w:rsidR="007E6C25" w:rsidRPr="001D5102">
        <w:rPr>
          <w:sz w:val="24"/>
          <w:szCs w:val="24"/>
        </w:rPr>
        <w:t xml:space="preserve"> appropriately issued a </w:t>
      </w:r>
      <w:r w:rsidR="00EB4288">
        <w:rPr>
          <w:sz w:val="24"/>
          <w:szCs w:val="24"/>
        </w:rPr>
        <w:t>10</w:t>
      </w:r>
      <w:r w:rsidR="00EB4288">
        <w:rPr>
          <w:sz w:val="24"/>
          <w:szCs w:val="24"/>
        </w:rPr>
        <w:noBreakHyphen/>
      </w:r>
      <w:r w:rsidR="001D5102" w:rsidRPr="001D5102">
        <w:rPr>
          <w:sz w:val="24"/>
          <w:szCs w:val="24"/>
        </w:rPr>
        <w:t>day t</w:t>
      </w:r>
      <w:r w:rsidR="007E6C25" w:rsidRPr="001D5102">
        <w:rPr>
          <w:sz w:val="24"/>
          <w:szCs w:val="24"/>
        </w:rPr>
        <w:t xml:space="preserve">ermination </w:t>
      </w:r>
      <w:r w:rsidR="001D5102" w:rsidRPr="001D5102">
        <w:rPr>
          <w:sz w:val="24"/>
          <w:szCs w:val="24"/>
        </w:rPr>
        <w:t>n</w:t>
      </w:r>
      <w:r w:rsidR="007E6C25" w:rsidRPr="001D5102">
        <w:rPr>
          <w:sz w:val="24"/>
          <w:szCs w:val="24"/>
        </w:rPr>
        <w:t xml:space="preserve">otice on </w:t>
      </w:r>
      <w:r w:rsidR="001D5102" w:rsidRPr="001D5102">
        <w:rPr>
          <w:sz w:val="24"/>
          <w:szCs w:val="24"/>
        </w:rPr>
        <w:t>April 1</w:t>
      </w:r>
      <w:r w:rsidR="00000F22" w:rsidRPr="001D5102">
        <w:rPr>
          <w:sz w:val="24"/>
          <w:szCs w:val="24"/>
        </w:rPr>
        <w:t>, 2014</w:t>
      </w:r>
      <w:r w:rsidR="009C7B02" w:rsidRPr="001D5102">
        <w:rPr>
          <w:sz w:val="24"/>
          <w:szCs w:val="24"/>
        </w:rPr>
        <w:t>; (2)</w:t>
      </w:r>
      <w:r w:rsidR="007E6C25" w:rsidRPr="001D5102">
        <w:rPr>
          <w:sz w:val="24"/>
          <w:szCs w:val="24"/>
        </w:rPr>
        <w:t xml:space="preserve"> </w:t>
      </w:r>
      <w:r w:rsidR="001D5102" w:rsidRPr="001D5102">
        <w:rPr>
          <w:sz w:val="24"/>
          <w:szCs w:val="24"/>
        </w:rPr>
        <w:t xml:space="preserve">Complainant satisfied the April 1, 2014 termination notice when she paid $263.36 on April 11, 2014; (3) </w:t>
      </w:r>
      <w:r w:rsidR="001D5102">
        <w:rPr>
          <w:sz w:val="24"/>
          <w:szCs w:val="24"/>
        </w:rPr>
        <w:t xml:space="preserve">Complainant paid PPL in a timely manner and as requested by PPL in May, June and July 2014; (4) the delay in PPL receiving the June 2014 monthly payment was caused by PPL’s requirement that payments be mailed to Kentucky; (5) PPL issued a subsequent </w:t>
      </w:r>
      <w:r w:rsidR="00EB4288">
        <w:rPr>
          <w:sz w:val="24"/>
          <w:szCs w:val="24"/>
        </w:rPr>
        <w:t>10</w:t>
      </w:r>
      <w:r w:rsidR="001D5102">
        <w:rPr>
          <w:sz w:val="24"/>
          <w:szCs w:val="24"/>
        </w:rPr>
        <w:t>-day termination notice on June 12, 2014</w:t>
      </w:r>
      <w:r w:rsidR="00C334C6">
        <w:rPr>
          <w:sz w:val="24"/>
          <w:szCs w:val="24"/>
        </w:rPr>
        <w:t xml:space="preserve"> </w:t>
      </w:r>
      <w:r w:rsidR="00D45F5B">
        <w:rPr>
          <w:sz w:val="24"/>
          <w:szCs w:val="24"/>
        </w:rPr>
        <w:t>assuming</w:t>
      </w:r>
      <w:r w:rsidR="00C334C6">
        <w:rPr>
          <w:sz w:val="24"/>
          <w:szCs w:val="24"/>
        </w:rPr>
        <w:t xml:space="preserve"> Complainant </w:t>
      </w:r>
      <w:r w:rsidR="00D45F5B">
        <w:rPr>
          <w:sz w:val="24"/>
          <w:szCs w:val="24"/>
        </w:rPr>
        <w:t xml:space="preserve">had </w:t>
      </w:r>
      <w:r w:rsidR="00C334C6">
        <w:rPr>
          <w:sz w:val="24"/>
          <w:szCs w:val="24"/>
        </w:rPr>
        <w:t>failed to timely pay in June 2014</w:t>
      </w:r>
      <w:r w:rsidR="001D5102">
        <w:rPr>
          <w:sz w:val="24"/>
          <w:szCs w:val="24"/>
        </w:rPr>
        <w:t xml:space="preserve">; (6) PPL </w:t>
      </w:r>
      <w:r w:rsidR="00785024">
        <w:rPr>
          <w:sz w:val="24"/>
          <w:szCs w:val="24"/>
        </w:rPr>
        <w:t>did not</w:t>
      </w:r>
      <w:r w:rsidR="001D5102">
        <w:rPr>
          <w:sz w:val="24"/>
          <w:szCs w:val="24"/>
        </w:rPr>
        <w:t xml:space="preserve"> rescind the termination process after speaking with Complainant </w:t>
      </w:r>
      <w:r w:rsidR="00785024">
        <w:rPr>
          <w:sz w:val="24"/>
          <w:szCs w:val="24"/>
        </w:rPr>
        <w:t xml:space="preserve">on June 20, 2014 </w:t>
      </w:r>
      <w:r w:rsidR="00D45F5B">
        <w:rPr>
          <w:sz w:val="24"/>
          <w:szCs w:val="24"/>
        </w:rPr>
        <w:t>or after</w:t>
      </w:r>
      <w:r w:rsidR="001D5102">
        <w:rPr>
          <w:sz w:val="24"/>
          <w:szCs w:val="24"/>
        </w:rPr>
        <w:t xml:space="preserve"> receiving her payment on June 20, 2014; </w:t>
      </w:r>
      <w:r w:rsidR="00D45F5B">
        <w:rPr>
          <w:sz w:val="24"/>
          <w:szCs w:val="24"/>
        </w:rPr>
        <w:t>(</w:t>
      </w:r>
      <w:r w:rsidR="005A24A7">
        <w:rPr>
          <w:sz w:val="24"/>
          <w:szCs w:val="24"/>
        </w:rPr>
        <w:t>7</w:t>
      </w:r>
      <w:r w:rsidR="00D45F5B">
        <w:rPr>
          <w:sz w:val="24"/>
          <w:szCs w:val="24"/>
        </w:rPr>
        <w:t>) PPL terminated service</w:t>
      </w:r>
      <w:r w:rsidR="00BF50D2">
        <w:rPr>
          <w:sz w:val="24"/>
          <w:szCs w:val="24"/>
        </w:rPr>
        <w:t xml:space="preserve"> on July 15, 2014 without issuing a new termination notice; </w:t>
      </w:r>
      <w:r w:rsidR="00D45F5B">
        <w:rPr>
          <w:sz w:val="24"/>
          <w:szCs w:val="24"/>
        </w:rPr>
        <w:t>(</w:t>
      </w:r>
      <w:r w:rsidR="005A24A7">
        <w:rPr>
          <w:sz w:val="24"/>
          <w:szCs w:val="24"/>
        </w:rPr>
        <w:t>8</w:t>
      </w:r>
      <w:r w:rsidR="00D45F5B">
        <w:rPr>
          <w:sz w:val="24"/>
          <w:szCs w:val="24"/>
        </w:rPr>
        <w:t>) PPL terminated electric service on July 15, 2014 without providing written or personal 3-day notice</w:t>
      </w:r>
      <w:r w:rsidR="001466D1">
        <w:rPr>
          <w:sz w:val="24"/>
          <w:szCs w:val="24"/>
        </w:rPr>
        <w:t xml:space="preserve"> after </w:t>
      </w:r>
      <w:r w:rsidR="001466D1" w:rsidRPr="001466D1">
        <w:rPr>
          <w:sz w:val="24"/>
          <w:szCs w:val="24"/>
          <w:u w:val="single"/>
        </w:rPr>
        <w:t>June</w:t>
      </w:r>
      <w:r w:rsidR="001466D1">
        <w:rPr>
          <w:sz w:val="24"/>
          <w:szCs w:val="24"/>
        </w:rPr>
        <w:t xml:space="preserve"> 19, 2014</w:t>
      </w:r>
      <w:r w:rsidR="00D45F5B">
        <w:rPr>
          <w:sz w:val="24"/>
          <w:szCs w:val="24"/>
        </w:rPr>
        <w:t xml:space="preserve">; </w:t>
      </w:r>
      <w:r w:rsidR="00BF50D2">
        <w:rPr>
          <w:sz w:val="24"/>
          <w:szCs w:val="24"/>
        </w:rPr>
        <w:t>and (</w:t>
      </w:r>
      <w:r w:rsidR="005A24A7">
        <w:rPr>
          <w:sz w:val="24"/>
          <w:szCs w:val="24"/>
        </w:rPr>
        <w:t>9</w:t>
      </w:r>
      <w:r w:rsidR="00BF50D2">
        <w:rPr>
          <w:sz w:val="24"/>
          <w:szCs w:val="24"/>
        </w:rPr>
        <w:t>) PPL force</w:t>
      </w:r>
      <w:r w:rsidR="00785024">
        <w:rPr>
          <w:sz w:val="24"/>
          <w:szCs w:val="24"/>
        </w:rPr>
        <w:t>d</w:t>
      </w:r>
      <w:r w:rsidR="00BF50D2">
        <w:rPr>
          <w:sz w:val="24"/>
          <w:szCs w:val="24"/>
        </w:rPr>
        <w:t xml:space="preserve"> </w:t>
      </w:r>
      <w:r w:rsidR="00785024">
        <w:rPr>
          <w:sz w:val="24"/>
          <w:szCs w:val="24"/>
        </w:rPr>
        <w:t xml:space="preserve">Complainant to wait from Friday, July 18, 2014 </w:t>
      </w:r>
      <w:r w:rsidR="00BF50D2">
        <w:rPr>
          <w:sz w:val="24"/>
          <w:szCs w:val="24"/>
        </w:rPr>
        <w:t xml:space="preserve">until </w:t>
      </w:r>
      <w:r w:rsidR="00785024">
        <w:rPr>
          <w:sz w:val="24"/>
          <w:szCs w:val="24"/>
        </w:rPr>
        <w:t>Tuesday, July 22, 2014</w:t>
      </w:r>
      <w:r w:rsidR="00BF50D2">
        <w:rPr>
          <w:sz w:val="24"/>
          <w:szCs w:val="24"/>
        </w:rPr>
        <w:t xml:space="preserve"> before resuming service after PPL received the requested payment</w:t>
      </w:r>
      <w:r w:rsidR="00785024">
        <w:rPr>
          <w:sz w:val="24"/>
          <w:szCs w:val="24"/>
        </w:rPr>
        <w:t xml:space="preserve"> on July 18, 2014</w:t>
      </w:r>
      <w:r w:rsidR="00BF50D2">
        <w:rPr>
          <w:sz w:val="24"/>
          <w:szCs w:val="24"/>
        </w:rPr>
        <w:t xml:space="preserve">.  </w:t>
      </w:r>
    </w:p>
    <w:p w:rsidR="005A24A7" w:rsidRDefault="005A24A7" w:rsidP="00442C6C">
      <w:pPr>
        <w:pStyle w:val="BodyText"/>
        <w:jc w:val="left"/>
        <w:rPr>
          <w:sz w:val="24"/>
          <w:szCs w:val="24"/>
        </w:rPr>
      </w:pPr>
    </w:p>
    <w:p w:rsidR="0034111F" w:rsidRDefault="0034111F" w:rsidP="00442C6C">
      <w:pPr>
        <w:pStyle w:val="BodyText"/>
        <w:jc w:val="left"/>
        <w:rPr>
          <w:sz w:val="24"/>
          <w:szCs w:val="24"/>
        </w:rPr>
      </w:pPr>
    </w:p>
    <w:p w:rsidR="0034111F" w:rsidRDefault="0034111F" w:rsidP="00442C6C">
      <w:pPr>
        <w:pStyle w:val="BodyText"/>
        <w:jc w:val="left"/>
        <w:rPr>
          <w:sz w:val="24"/>
          <w:szCs w:val="24"/>
        </w:rPr>
      </w:pPr>
    </w:p>
    <w:p w:rsidR="00442C6C" w:rsidRPr="00442C6C" w:rsidRDefault="00442C6C" w:rsidP="00442C6C">
      <w:pPr>
        <w:pStyle w:val="BodyText"/>
        <w:jc w:val="left"/>
        <w:rPr>
          <w:sz w:val="24"/>
          <w:szCs w:val="24"/>
          <w:u w:val="single"/>
        </w:rPr>
      </w:pPr>
      <w:r w:rsidRPr="00442C6C">
        <w:rPr>
          <w:sz w:val="24"/>
          <w:szCs w:val="24"/>
          <w:u w:val="single"/>
        </w:rPr>
        <w:lastRenderedPageBreak/>
        <w:t>Termination of Electric Service</w:t>
      </w:r>
    </w:p>
    <w:p w:rsidR="00442C6C" w:rsidRDefault="00442C6C" w:rsidP="00442C6C">
      <w:pPr>
        <w:pStyle w:val="BodyText"/>
        <w:jc w:val="left"/>
        <w:rPr>
          <w:sz w:val="24"/>
          <w:szCs w:val="24"/>
        </w:rPr>
      </w:pPr>
    </w:p>
    <w:p w:rsidR="006B2BC2" w:rsidRDefault="006B2BC2" w:rsidP="006B2BC2">
      <w:pPr>
        <w:spacing w:line="360" w:lineRule="auto"/>
      </w:pPr>
      <w:r>
        <w:tab/>
      </w:r>
      <w:r>
        <w:tab/>
        <w:t>Termination of service is an extreme measure.  The Commission’s rules and procedures necessary to permit a public utility to terminate electric service to a customer are set forth in Section 1406 of the Public Utility Code</w:t>
      </w:r>
      <w:r>
        <w:rPr>
          <w:rStyle w:val="FootnoteReference"/>
        </w:rPr>
        <w:footnoteReference w:id="7"/>
      </w:r>
      <w:r>
        <w:t>:</w:t>
      </w:r>
    </w:p>
    <w:p w:rsidR="006B2BC2" w:rsidRDefault="006B2BC2" w:rsidP="006B2BC2">
      <w:pPr>
        <w:spacing w:line="360" w:lineRule="auto"/>
      </w:pPr>
    </w:p>
    <w:p w:rsidR="006B2BC2" w:rsidRDefault="006B2BC2" w:rsidP="006B2BC2">
      <w:pPr>
        <w:ind w:left="1440" w:right="1440"/>
      </w:pPr>
      <w:r>
        <w:tab/>
        <w:t>(a)</w:t>
      </w:r>
      <w:r>
        <w:tab/>
        <w:t>Authorized termination.  A public utility may notify a customer and terminate service provided to a customer after notice as provided in subsection (b) for any of the following actions by the customer:</w:t>
      </w:r>
    </w:p>
    <w:p w:rsidR="006B2BC2" w:rsidRDefault="006B2BC2" w:rsidP="006B2BC2">
      <w:pPr>
        <w:ind w:left="1440" w:right="1440"/>
      </w:pPr>
    </w:p>
    <w:p w:rsidR="006B2BC2" w:rsidRDefault="006B2BC2" w:rsidP="006B2BC2">
      <w:pPr>
        <w:ind w:left="1440" w:right="1440"/>
      </w:pPr>
      <w:r>
        <w:tab/>
      </w:r>
      <w:r>
        <w:tab/>
        <w:t>(1)</w:t>
      </w:r>
      <w:r>
        <w:tab/>
        <w:t>Nonpayment of an undisputed delinquent account.</w:t>
      </w:r>
    </w:p>
    <w:p w:rsidR="00FF53A7" w:rsidRDefault="00FF53A7" w:rsidP="006B2BC2">
      <w:pPr>
        <w:ind w:left="1440" w:right="1440"/>
      </w:pPr>
    </w:p>
    <w:p w:rsidR="006B2BC2" w:rsidRDefault="006B2BC2" w:rsidP="006B2BC2">
      <w:pPr>
        <w:ind w:left="1440" w:right="1440"/>
      </w:pPr>
      <w:r>
        <w:tab/>
      </w:r>
      <w:r>
        <w:tab/>
        <w:t xml:space="preserve">(2) </w:t>
      </w:r>
      <w:r>
        <w:tab/>
        <w:t>Failure to comply with the material terms of a payment agreement.</w:t>
      </w:r>
    </w:p>
    <w:p w:rsidR="006B2BC2" w:rsidRDefault="006B2BC2" w:rsidP="006B2BC2">
      <w:pPr>
        <w:ind w:left="1440" w:right="1440"/>
      </w:pPr>
      <w:r>
        <w:t xml:space="preserve">. . . </w:t>
      </w:r>
    </w:p>
    <w:p w:rsidR="006B2BC2" w:rsidRDefault="006B2BC2" w:rsidP="006B2BC2">
      <w:pPr>
        <w:ind w:left="1440" w:right="1440"/>
      </w:pPr>
    </w:p>
    <w:p w:rsidR="006B2BC2" w:rsidRDefault="006B2BC2" w:rsidP="006B2BC2">
      <w:pPr>
        <w:ind w:left="1440" w:right="1440"/>
      </w:pPr>
      <w:r>
        <w:tab/>
        <w:t>(b)</w:t>
      </w:r>
      <w:r>
        <w:tab/>
        <w:t xml:space="preserve">Notice of termination of service. </w:t>
      </w:r>
    </w:p>
    <w:p w:rsidR="006B2BC2" w:rsidRDefault="006B2BC2" w:rsidP="006B2BC2">
      <w:pPr>
        <w:ind w:left="1440" w:right="1440"/>
      </w:pPr>
    </w:p>
    <w:p w:rsidR="006B2BC2" w:rsidRDefault="006B2BC2" w:rsidP="006B2BC2">
      <w:pPr>
        <w:ind w:left="1440" w:right="1440"/>
      </w:pPr>
      <w:r>
        <w:tab/>
      </w:r>
      <w:r>
        <w:tab/>
        <w:t xml:space="preserve">(1) </w:t>
      </w:r>
      <w:proofErr w:type="gramStart"/>
      <w:r>
        <w:t>Prior</w:t>
      </w:r>
      <w:proofErr w:type="gramEnd"/>
      <w:r>
        <w:t xml:space="preserve"> to terminating service under subsection (a), a public utility:</w:t>
      </w:r>
    </w:p>
    <w:p w:rsidR="006B2BC2" w:rsidRDefault="006B2BC2" w:rsidP="006B2BC2">
      <w:pPr>
        <w:ind w:left="1440" w:right="1440"/>
      </w:pPr>
    </w:p>
    <w:p w:rsidR="006B2BC2" w:rsidRDefault="006B2BC2" w:rsidP="006B2BC2">
      <w:pPr>
        <w:ind w:left="1440" w:right="1440"/>
      </w:pPr>
      <w:r>
        <w:tab/>
      </w:r>
      <w:r>
        <w:tab/>
      </w:r>
      <w:r>
        <w:tab/>
        <w:t>(</w:t>
      </w:r>
      <w:proofErr w:type="spellStart"/>
      <w:r>
        <w:t>i</w:t>
      </w:r>
      <w:proofErr w:type="spellEnd"/>
      <w:r>
        <w:t>)</w:t>
      </w:r>
      <w:r>
        <w:tab/>
        <w:t>Shall provide written notice of the termination to the customer at least ten days prior to the date of the proposed termination.  The termination notice shall remain in effect for 60 days.</w:t>
      </w:r>
    </w:p>
    <w:p w:rsidR="006B2BC2" w:rsidRDefault="006B2BC2" w:rsidP="006B2BC2">
      <w:pPr>
        <w:ind w:left="1440" w:right="1440"/>
      </w:pPr>
    </w:p>
    <w:p w:rsidR="006B2BC2" w:rsidRDefault="006B2BC2" w:rsidP="006B2BC2">
      <w:pPr>
        <w:ind w:left="1440" w:right="1440"/>
      </w:pPr>
      <w:r>
        <w:tab/>
      </w:r>
      <w:r>
        <w:tab/>
      </w:r>
      <w:r>
        <w:tab/>
        <w:t>(ii)</w:t>
      </w:r>
      <w:r>
        <w:tab/>
        <w:t>Shall attempt to contact the customer or occupant, either in person or by telephone, to provide notice of the proposed termination at least three days prior to the scheduled termination.  Phone contact shall be deemed complete upon attempted calls on two separate days to the residence between the hours of 7 a.m. and 9 p.m. if the calls were made at various times each day.</w:t>
      </w:r>
    </w:p>
    <w:p w:rsidR="006B2BC2" w:rsidRDefault="006B2BC2" w:rsidP="006B2BC2">
      <w:pPr>
        <w:ind w:left="1440" w:right="1440"/>
      </w:pPr>
      <w:r>
        <w:t xml:space="preserve">. . . </w:t>
      </w:r>
    </w:p>
    <w:p w:rsidR="006B2BC2" w:rsidRPr="00442C6C" w:rsidRDefault="006B2BC2" w:rsidP="006B2BC2">
      <w:pPr>
        <w:ind w:left="1440" w:right="1440"/>
      </w:pPr>
      <w:r>
        <w:tab/>
      </w:r>
      <w:r>
        <w:tab/>
      </w:r>
      <w:r>
        <w:tab/>
      </w:r>
      <w:proofErr w:type="gramStart"/>
      <w:r>
        <w:t>(iv)</w:t>
      </w:r>
      <w:r>
        <w:tab/>
        <w:t>After</w:t>
      </w:r>
      <w:proofErr w:type="gramEnd"/>
      <w:r>
        <w:t xml:space="preserve"> complying with paragraphs (ii) and (iii), the public utility shall attempt to make personal contact with the customer or responsible adult at the time service is terminated.  Termination of service shall not be delayed for failure to </w:t>
      </w:r>
      <w:r w:rsidRPr="00442C6C">
        <w:t>make personal contact.</w:t>
      </w:r>
    </w:p>
    <w:p w:rsidR="006B2BC2" w:rsidRPr="00442C6C" w:rsidRDefault="006B2BC2" w:rsidP="006B2BC2">
      <w:pPr>
        <w:ind w:left="1440" w:right="1440"/>
      </w:pPr>
      <w:r w:rsidRPr="00442C6C">
        <w:t>. . .</w:t>
      </w:r>
    </w:p>
    <w:p w:rsidR="00785024" w:rsidRPr="00442C6C" w:rsidRDefault="006B2BC2" w:rsidP="00785024">
      <w:pPr>
        <w:pStyle w:val="BodyText"/>
        <w:jc w:val="left"/>
        <w:rPr>
          <w:sz w:val="24"/>
          <w:szCs w:val="24"/>
        </w:rPr>
      </w:pPr>
      <w:r w:rsidRPr="00442C6C">
        <w:rPr>
          <w:sz w:val="24"/>
          <w:szCs w:val="24"/>
        </w:rPr>
        <w:lastRenderedPageBreak/>
        <w:tab/>
      </w:r>
      <w:r w:rsidRPr="00442C6C">
        <w:rPr>
          <w:sz w:val="24"/>
          <w:szCs w:val="24"/>
        </w:rPr>
        <w:tab/>
      </w:r>
      <w:r w:rsidR="00785024" w:rsidRPr="00442C6C">
        <w:rPr>
          <w:sz w:val="24"/>
          <w:szCs w:val="24"/>
        </w:rPr>
        <w:t xml:space="preserve">Furthermore, </w:t>
      </w:r>
      <w:r w:rsidR="00442C6C">
        <w:rPr>
          <w:sz w:val="24"/>
          <w:szCs w:val="24"/>
        </w:rPr>
        <w:t xml:space="preserve">pursuant to </w:t>
      </w:r>
      <w:r w:rsidR="00442C6C" w:rsidRPr="00442C6C">
        <w:rPr>
          <w:sz w:val="24"/>
          <w:szCs w:val="24"/>
        </w:rPr>
        <w:t xml:space="preserve">52 </w:t>
      </w:r>
      <w:proofErr w:type="spellStart"/>
      <w:r w:rsidR="00442C6C" w:rsidRPr="00442C6C">
        <w:rPr>
          <w:sz w:val="24"/>
          <w:szCs w:val="24"/>
        </w:rPr>
        <w:t>Pa.Code</w:t>
      </w:r>
      <w:proofErr w:type="spellEnd"/>
      <w:r w:rsidR="00442C6C" w:rsidRPr="00442C6C">
        <w:rPr>
          <w:sz w:val="24"/>
          <w:szCs w:val="24"/>
        </w:rPr>
        <w:t xml:space="preserve"> § 56.93(c)</w:t>
      </w:r>
      <w:r w:rsidR="00442C6C">
        <w:rPr>
          <w:sz w:val="24"/>
          <w:szCs w:val="24"/>
        </w:rPr>
        <w:t xml:space="preserve">, </w:t>
      </w:r>
      <w:r w:rsidR="00785024" w:rsidRPr="00442C6C">
        <w:rPr>
          <w:sz w:val="24"/>
          <w:szCs w:val="24"/>
        </w:rPr>
        <w:t>the Commission requires</w:t>
      </w:r>
      <w:r w:rsidR="00442C6C">
        <w:rPr>
          <w:sz w:val="24"/>
          <w:szCs w:val="24"/>
        </w:rPr>
        <w:t xml:space="preserve"> a</w:t>
      </w:r>
      <w:r w:rsidR="00785024" w:rsidRPr="00442C6C">
        <w:rPr>
          <w:sz w:val="24"/>
          <w:szCs w:val="24"/>
        </w:rPr>
        <w:t xml:space="preserve"> public utility “shall conspicuously post a written termination notice at the residence if it is unsuccessful in attempting to personally contact a responsible adult occupant during the home visit.”</w:t>
      </w:r>
    </w:p>
    <w:p w:rsidR="00785024" w:rsidRPr="00442C6C" w:rsidRDefault="00785024" w:rsidP="006B2BC2">
      <w:pPr>
        <w:spacing w:line="360" w:lineRule="auto"/>
      </w:pPr>
    </w:p>
    <w:p w:rsidR="006B2BC2" w:rsidRDefault="006B2BC2" w:rsidP="00785024">
      <w:pPr>
        <w:spacing w:line="360" w:lineRule="auto"/>
        <w:ind w:firstLine="1440"/>
      </w:pPr>
      <w:r w:rsidRPr="00442C6C">
        <w:t xml:space="preserve">Complainant proved </w:t>
      </w:r>
      <w:r w:rsidR="00BD5A7E" w:rsidRPr="00442C6C">
        <w:t>PPL</w:t>
      </w:r>
      <w:r>
        <w:t xml:space="preserve"> violated the termination procedures in the Public Utility Code.  Complainant </w:t>
      </w:r>
      <w:r w:rsidR="00785024">
        <w:t>did</w:t>
      </w:r>
      <w:r>
        <w:t xml:space="preserve"> not deny </w:t>
      </w:r>
      <w:r w:rsidR="00BD5A7E">
        <w:t>her</w:t>
      </w:r>
      <w:r>
        <w:t xml:space="preserve"> account was delinquent</w:t>
      </w:r>
      <w:r w:rsidR="00BD5A7E">
        <w:t xml:space="preserve"> </w:t>
      </w:r>
      <w:r w:rsidR="00D45F5B">
        <w:t>in April 2014</w:t>
      </w:r>
      <w:r w:rsidR="00BD5A7E">
        <w:t xml:space="preserve">, </w:t>
      </w:r>
      <w:r w:rsidR="00785024">
        <w:t>but she claimed</w:t>
      </w:r>
      <w:r w:rsidR="00BD5A7E">
        <w:t xml:space="preserve"> she d</w:t>
      </w:r>
      <w:r>
        <w:t xml:space="preserve">id not receive the </w:t>
      </w:r>
      <w:r w:rsidR="000E1818">
        <w:t>10-</w:t>
      </w:r>
      <w:r>
        <w:t xml:space="preserve">day written notice </w:t>
      </w:r>
      <w:r w:rsidR="00BD5A7E">
        <w:t xml:space="preserve">dated June 12, 2014, as </w:t>
      </w:r>
      <w:r>
        <w:t>required by Section (b</w:t>
      </w:r>
      <w:proofErr w:type="gramStart"/>
      <w:r>
        <w:t>)(</w:t>
      </w:r>
      <w:proofErr w:type="gramEnd"/>
      <w:r>
        <w:t>1)</w:t>
      </w:r>
      <w:r w:rsidR="00785024">
        <w:t xml:space="preserve">.  </w:t>
      </w:r>
      <w:r w:rsidR="00D45F5B">
        <w:t>Ms.</w:t>
      </w:r>
      <w:r w:rsidR="00F47ACF">
        <w:t> </w:t>
      </w:r>
      <w:r w:rsidR="00D45F5B">
        <w:t xml:space="preserve">Sanchez denied she received any 3-day notice in July 2014.  </w:t>
      </w:r>
      <w:r w:rsidR="00785024">
        <w:t xml:space="preserve">She </w:t>
      </w:r>
      <w:r w:rsidR="00D45F5B">
        <w:t>denied</w:t>
      </w:r>
      <w:r w:rsidR="00BD5A7E">
        <w:t xml:space="preserve"> the customer service representative advised her on June 20, 2014 that PPL had issued another </w:t>
      </w:r>
      <w:r w:rsidR="0098279B">
        <w:t>10</w:t>
      </w:r>
      <w:r w:rsidR="00BD5A7E">
        <w:t>-day notice on June</w:t>
      </w:r>
      <w:r w:rsidR="00F47ACF">
        <w:t> </w:t>
      </w:r>
      <w:r w:rsidR="00BD5A7E">
        <w:t>12, 2014</w:t>
      </w:r>
      <w:r>
        <w:t xml:space="preserve">.  The </w:t>
      </w:r>
      <w:r w:rsidR="00BD5A7E">
        <w:t xml:space="preserve">April 2014 </w:t>
      </w:r>
      <w:r>
        <w:t xml:space="preserve">termination notice notified Complainant </w:t>
      </w:r>
      <w:r w:rsidR="00BD5A7E">
        <w:t>s</w:t>
      </w:r>
      <w:r>
        <w:t>he was required to pay $</w:t>
      </w:r>
      <w:r w:rsidR="00BD5A7E">
        <w:t>263.36</w:t>
      </w:r>
      <w:r>
        <w:t xml:space="preserve"> </w:t>
      </w:r>
      <w:r w:rsidR="00BD5A7E">
        <w:t xml:space="preserve">each month in order </w:t>
      </w:r>
      <w:r>
        <w:t xml:space="preserve">to avoid termination.  Complainant </w:t>
      </w:r>
      <w:r w:rsidR="00BD5A7E">
        <w:t xml:space="preserve">made those payments as directed in April and May 2014.  Her </w:t>
      </w:r>
      <w:r w:rsidR="00D45F5B">
        <w:t>delayed</w:t>
      </w:r>
      <w:r w:rsidR="00BD5A7E">
        <w:t xml:space="preserve"> payment in June 2014 was occasioned by PPL’s decision to require payment to be mailed out of state.</w:t>
      </w:r>
      <w:r w:rsidR="00D45F5B">
        <w:rPr>
          <w:rStyle w:val="FootnoteReference"/>
        </w:rPr>
        <w:footnoteReference w:id="8"/>
      </w:r>
      <w:r w:rsidR="00BD5A7E">
        <w:t xml:space="preserve">  </w:t>
      </w:r>
    </w:p>
    <w:p w:rsidR="006B2BC2" w:rsidRDefault="006B2BC2" w:rsidP="006B2BC2">
      <w:pPr>
        <w:spacing w:line="360" w:lineRule="auto"/>
      </w:pPr>
    </w:p>
    <w:p w:rsidR="00442C6C" w:rsidRDefault="00442C6C" w:rsidP="00442C6C">
      <w:pPr>
        <w:pStyle w:val="BodyText"/>
        <w:ind w:firstLine="1440"/>
        <w:jc w:val="left"/>
        <w:rPr>
          <w:sz w:val="24"/>
          <w:szCs w:val="24"/>
        </w:rPr>
      </w:pPr>
      <w:r w:rsidRPr="001D5102">
        <w:rPr>
          <w:sz w:val="24"/>
          <w:szCs w:val="24"/>
        </w:rPr>
        <w:t xml:space="preserve">The crux of </w:t>
      </w:r>
      <w:r>
        <w:rPr>
          <w:sz w:val="24"/>
          <w:szCs w:val="24"/>
        </w:rPr>
        <w:t>Ms. Sanchez’</w:t>
      </w:r>
      <w:r w:rsidRPr="001D5102">
        <w:rPr>
          <w:sz w:val="24"/>
          <w:szCs w:val="24"/>
        </w:rPr>
        <w:t xml:space="preserve"> complaint from the start </w:t>
      </w:r>
      <w:r>
        <w:rPr>
          <w:sz w:val="24"/>
          <w:szCs w:val="24"/>
        </w:rPr>
        <w:t>concerned whether</w:t>
      </w:r>
      <w:r w:rsidRPr="001D5102">
        <w:rPr>
          <w:sz w:val="24"/>
          <w:szCs w:val="24"/>
        </w:rPr>
        <w:t xml:space="preserve"> Respondent violated the regulations in failing to notify her about the pending</w:t>
      </w:r>
      <w:r>
        <w:rPr>
          <w:sz w:val="24"/>
          <w:szCs w:val="24"/>
        </w:rPr>
        <w:t xml:space="preserve"> termination in </w:t>
      </w:r>
      <w:r w:rsidRPr="00D45F5B">
        <w:rPr>
          <w:sz w:val="24"/>
          <w:szCs w:val="24"/>
          <w:u w:val="single"/>
        </w:rPr>
        <w:t>July</w:t>
      </w:r>
      <w:r>
        <w:rPr>
          <w:sz w:val="24"/>
          <w:szCs w:val="24"/>
        </w:rPr>
        <w:t xml:space="preserve"> 2014.  PPL was on notice from the start of these proceedings that Complainant contended she never received a termination notice </w:t>
      </w:r>
      <w:r w:rsidR="00D45F5B">
        <w:rPr>
          <w:sz w:val="24"/>
          <w:szCs w:val="24"/>
        </w:rPr>
        <w:t>(either 10-day notice o</w:t>
      </w:r>
      <w:r w:rsidR="00C9782A">
        <w:rPr>
          <w:sz w:val="24"/>
          <w:szCs w:val="24"/>
        </w:rPr>
        <w:t>r</w:t>
      </w:r>
      <w:r w:rsidR="00D45F5B">
        <w:rPr>
          <w:sz w:val="24"/>
          <w:szCs w:val="24"/>
        </w:rPr>
        <w:t xml:space="preserve"> 3-day notice) </w:t>
      </w:r>
      <w:r>
        <w:rPr>
          <w:sz w:val="24"/>
          <w:szCs w:val="24"/>
        </w:rPr>
        <w:t>after April 1, 2014.</w:t>
      </w:r>
      <w:r w:rsidR="00C9782A">
        <w:rPr>
          <w:rStyle w:val="FootnoteReference"/>
          <w:sz w:val="24"/>
          <w:szCs w:val="24"/>
        </w:rPr>
        <w:footnoteReference w:id="9"/>
      </w:r>
      <w:r>
        <w:rPr>
          <w:sz w:val="24"/>
          <w:szCs w:val="24"/>
        </w:rPr>
        <w:t xml:space="preserve">  Despite being on notice about the facts in question, PPL did not present the </w:t>
      </w:r>
      <w:r w:rsidR="00E64509">
        <w:rPr>
          <w:sz w:val="24"/>
          <w:szCs w:val="24"/>
        </w:rPr>
        <w:t>10</w:t>
      </w:r>
      <w:r>
        <w:rPr>
          <w:sz w:val="24"/>
          <w:szCs w:val="24"/>
        </w:rPr>
        <w:t xml:space="preserve">-day notice issued on June 12, 2014.  </w:t>
      </w:r>
    </w:p>
    <w:p w:rsidR="00442C6C" w:rsidRDefault="00442C6C" w:rsidP="006B2BC2">
      <w:pPr>
        <w:spacing w:line="360" w:lineRule="auto"/>
      </w:pPr>
    </w:p>
    <w:p w:rsidR="00785024" w:rsidRDefault="00BF50D2" w:rsidP="00442C6C">
      <w:pPr>
        <w:pStyle w:val="BodyText"/>
        <w:ind w:firstLine="1440"/>
        <w:jc w:val="left"/>
        <w:rPr>
          <w:sz w:val="24"/>
          <w:szCs w:val="24"/>
        </w:rPr>
      </w:pPr>
      <w:r>
        <w:rPr>
          <w:sz w:val="24"/>
          <w:szCs w:val="24"/>
        </w:rPr>
        <w:t>PPL</w:t>
      </w:r>
      <w:r w:rsidR="009C7B02" w:rsidRPr="001D5102">
        <w:rPr>
          <w:sz w:val="24"/>
          <w:szCs w:val="24"/>
        </w:rPr>
        <w:t xml:space="preserve"> </w:t>
      </w:r>
      <w:r w:rsidR="007E6C25" w:rsidRPr="001D5102">
        <w:rPr>
          <w:sz w:val="24"/>
          <w:szCs w:val="24"/>
        </w:rPr>
        <w:t xml:space="preserve">failed to produce a witness who would testify as to </w:t>
      </w:r>
      <w:r>
        <w:rPr>
          <w:sz w:val="24"/>
          <w:szCs w:val="24"/>
        </w:rPr>
        <w:t xml:space="preserve">the correspondence allegedly sent by PPL to Ms. Sanchez on June 12, 2014 which notified Complainant about impending service termination.  </w:t>
      </w:r>
      <w:r w:rsidR="00785024">
        <w:rPr>
          <w:sz w:val="24"/>
          <w:szCs w:val="24"/>
        </w:rPr>
        <w:t xml:space="preserve">PPL also failed to provide evidence that it conspicuously posted a written termination notice at the residence, as required by 52 </w:t>
      </w:r>
      <w:proofErr w:type="spellStart"/>
      <w:r w:rsidR="00785024">
        <w:rPr>
          <w:sz w:val="24"/>
          <w:szCs w:val="24"/>
        </w:rPr>
        <w:t>Pa.Code</w:t>
      </w:r>
      <w:proofErr w:type="spellEnd"/>
      <w:r w:rsidR="00785024">
        <w:rPr>
          <w:sz w:val="24"/>
          <w:szCs w:val="24"/>
        </w:rPr>
        <w:t xml:space="preserve"> § 56.93(c), </w:t>
      </w:r>
      <w:r w:rsidR="00D45F5B">
        <w:rPr>
          <w:sz w:val="24"/>
          <w:szCs w:val="24"/>
        </w:rPr>
        <w:t>assuming it had been</w:t>
      </w:r>
      <w:r w:rsidR="00785024">
        <w:rPr>
          <w:sz w:val="24"/>
          <w:szCs w:val="24"/>
        </w:rPr>
        <w:t xml:space="preserve"> unsuccessful in personally speaking with a responsible adult occupant.</w:t>
      </w:r>
    </w:p>
    <w:p w:rsidR="008C7D9C" w:rsidRDefault="008C7D9C" w:rsidP="00546C6B">
      <w:pPr>
        <w:pStyle w:val="BodyText"/>
        <w:ind w:firstLine="1440"/>
        <w:jc w:val="left"/>
        <w:rPr>
          <w:sz w:val="24"/>
          <w:szCs w:val="24"/>
        </w:rPr>
      </w:pPr>
    </w:p>
    <w:p w:rsidR="008C7D9C" w:rsidRDefault="00BF50D2" w:rsidP="00546C6B">
      <w:pPr>
        <w:pStyle w:val="BodyText"/>
        <w:ind w:firstLine="1440"/>
        <w:jc w:val="left"/>
        <w:rPr>
          <w:sz w:val="24"/>
          <w:szCs w:val="24"/>
        </w:rPr>
      </w:pPr>
      <w:r>
        <w:rPr>
          <w:sz w:val="24"/>
          <w:szCs w:val="24"/>
        </w:rPr>
        <w:lastRenderedPageBreak/>
        <w:t>The</w:t>
      </w:r>
      <w:r w:rsidR="007E6C25">
        <w:rPr>
          <w:sz w:val="24"/>
          <w:szCs w:val="24"/>
        </w:rPr>
        <w:t xml:space="preserve"> evidence presented by Respondent to prove </w:t>
      </w:r>
      <w:r>
        <w:rPr>
          <w:sz w:val="24"/>
          <w:szCs w:val="24"/>
        </w:rPr>
        <w:t>a termination notice</w:t>
      </w:r>
      <w:r w:rsidR="007E6C25">
        <w:rPr>
          <w:sz w:val="24"/>
          <w:szCs w:val="24"/>
        </w:rPr>
        <w:t xml:space="preserve"> was </w:t>
      </w:r>
      <w:r w:rsidR="00000F22">
        <w:rPr>
          <w:sz w:val="24"/>
          <w:szCs w:val="24"/>
        </w:rPr>
        <w:t xml:space="preserve">provided to </w:t>
      </w:r>
      <w:r>
        <w:rPr>
          <w:sz w:val="24"/>
          <w:szCs w:val="24"/>
        </w:rPr>
        <w:t xml:space="preserve">Complainant in June 2014 </w:t>
      </w:r>
      <w:r w:rsidR="007151DD">
        <w:rPr>
          <w:sz w:val="24"/>
          <w:szCs w:val="24"/>
        </w:rPr>
        <w:t>(</w:t>
      </w:r>
      <w:r>
        <w:rPr>
          <w:sz w:val="24"/>
          <w:szCs w:val="24"/>
        </w:rPr>
        <w:t>which</w:t>
      </w:r>
      <w:r w:rsidR="007151DD">
        <w:rPr>
          <w:sz w:val="24"/>
          <w:szCs w:val="24"/>
        </w:rPr>
        <w:t xml:space="preserve"> would have</w:t>
      </w:r>
      <w:r>
        <w:rPr>
          <w:sz w:val="24"/>
          <w:szCs w:val="24"/>
        </w:rPr>
        <w:t xml:space="preserve"> justified the termination on July 15, 2014</w:t>
      </w:r>
      <w:r w:rsidR="007151DD">
        <w:rPr>
          <w:sz w:val="24"/>
          <w:szCs w:val="24"/>
        </w:rPr>
        <w:t>)</w:t>
      </w:r>
      <w:r>
        <w:rPr>
          <w:sz w:val="24"/>
          <w:szCs w:val="24"/>
        </w:rPr>
        <w:t xml:space="preserve"> is simple hearsay and is lacking in sufficient weight to overcome Ms. Sanchez’ </w:t>
      </w:r>
      <w:r w:rsidR="00C334C6">
        <w:rPr>
          <w:sz w:val="24"/>
          <w:szCs w:val="24"/>
        </w:rPr>
        <w:t>clear assertion she never received</w:t>
      </w:r>
      <w:r>
        <w:rPr>
          <w:sz w:val="24"/>
          <w:szCs w:val="24"/>
        </w:rPr>
        <w:t xml:space="preserve"> a termination notice and her assertion PPL’s employee (Kimberly) admitted no termination notice was issued by PPL in June 2014.  PPL’s witness testified credibly about the contents of PPL’s </w:t>
      </w:r>
      <w:r w:rsidR="00493484">
        <w:rPr>
          <w:sz w:val="24"/>
          <w:szCs w:val="24"/>
        </w:rPr>
        <w:t>business record</w:t>
      </w:r>
      <w:r>
        <w:rPr>
          <w:sz w:val="24"/>
          <w:szCs w:val="24"/>
        </w:rPr>
        <w:t>s</w:t>
      </w:r>
      <w:r w:rsidR="00493484">
        <w:rPr>
          <w:sz w:val="24"/>
          <w:szCs w:val="24"/>
        </w:rPr>
        <w:t xml:space="preserve"> </w:t>
      </w:r>
      <w:r>
        <w:rPr>
          <w:sz w:val="24"/>
          <w:szCs w:val="24"/>
        </w:rPr>
        <w:t xml:space="preserve">but without personal knowledge the witness could not speak definitively as to the contents of any correspondence.  </w:t>
      </w:r>
    </w:p>
    <w:p w:rsidR="008C7D9C" w:rsidRDefault="008C7D9C" w:rsidP="00546C6B">
      <w:pPr>
        <w:pStyle w:val="BodyText"/>
        <w:ind w:firstLine="1440"/>
        <w:jc w:val="left"/>
        <w:rPr>
          <w:sz w:val="24"/>
          <w:szCs w:val="24"/>
        </w:rPr>
      </w:pPr>
    </w:p>
    <w:p w:rsidR="00493484" w:rsidRDefault="00BF50D2" w:rsidP="00442C6C">
      <w:pPr>
        <w:pStyle w:val="BodyText"/>
        <w:ind w:firstLine="1440"/>
        <w:jc w:val="left"/>
        <w:rPr>
          <w:sz w:val="24"/>
          <w:szCs w:val="24"/>
        </w:rPr>
      </w:pPr>
      <w:r>
        <w:rPr>
          <w:sz w:val="24"/>
          <w:szCs w:val="24"/>
        </w:rPr>
        <w:t>PPL should have provided a copy of the notice which it alleged was mailed out on June 12, 2014</w:t>
      </w:r>
      <w:r w:rsidR="00493484">
        <w:rPr>
          <w:sz w:val="24"/>
          <w:szCs w:val="24"/>
        </w:rPr>
        <w:t>.</w:t>
      </w:r>
      <w:r>
        <w:rPr>
          <w:sz w:val="24"/>
          <w:szCs w:val="24"/>
        </w:rPr>
        <w:t xml:space="preserve">  Failure to do so forces the presiding officer to reach the conclusion that the PPL witness’ testimony is simple hearsay.  Hearsay evidence which is uncontested but also unsupported by any corroborating evidence cannot be used as the sole basis for a finding of fact.</w:t>
      </w:r>
      <w:r w:rsidR="005A24A7">
        <w:rPr>
          <w:rStyle w:val="FootnoteReference"/>
          <w:sz w:val="24"/>
          <w:szCs w:val="24"/>
        </w:rPr>
        <w:footnoteReference w:id="10"/>
      </w:r>
      <w:r>
        <w:rPr>
          <w:sz w:val="24"/>
          <w:szCs w:val="24"/>
        </w:rPr>
        <w:t xml:space="preserve">  </w:t>
      </w:r>
      <w:r w:rsidR="00DD421D">
        <w:rPr>
          <w:sz w:val="24"/>
          <w:szCs w:val="24"/>
        </w:rPr>
        <w:t xml:space="preserve">Complainant did not contest PPL’s witness testimony based entirely on the business record, so the hearsay evidence was admitted </w:t>
      </w:r>
      <w:r w:rsidR="00493484">
        <w:rPr>
          <w:sz w:val="24"/>
          <w:szCs w:val="24"/>
        </w:rPr>
        <w:t>into the hearing record but it cannot form the basis of a finding of fact unless it is substantiated by other non-hearsay evidence.</w:t>
      </w:r>
      <w:r w:rsidR="00D102FB">
        <w:rPr>
          <w:rStyle w:val="FootnoteReference"/>
          <w:sz w:val="24"/>
          <w:szCs w:val="24"/>
        </w:rPr>
        <w:footnoteReference w:id="11"/>
      </w:r>
      <w:r w:rsidR="00442C6C">
        <w:rPr>
          <w:sz w:val="24"/>
          <w:szCs w:val="24"/>
        </w:rPr>
        <w:t xml:space="preserve">  </w:t>
      </w:r>
      <w:r w:rsidR="00493484">
        <w:rPr>
          <w:sz w:val="24"/>
          <w:szCs w:val="24"/>
        </w:rPr>
        <w:t xml:space="preserve">In this proceeding, Respondent presented the </w:t>
      </w:r>
      <w:r w:rsidR="007151DD">
        <w:rPr>
          <w:sz w:val="24"/>
          <w:szCs w:val="24"/>
        </w:rPr>
        <w:t xml:space="preserve">credible </w:t>
      </w:r>
      <w:r w:rsidR="00493484">
        <w:rPr>
          <w:sz w:val="24"/>
          <w:szCs w:val="24"/>
        </w:rPr>
        <w:t>testimony</w:t>
      </w:r>
      <w:r w:rsidR="00DD421D">
        <w:rPr>
          <w:sz w:val="24"/>
          <w:szCs w:val="24"/>
        </w:rPr>
        <w:t xml:space="preserve"> of its employee concerning PPL’s business records but she was unable to provide any testimony outside the limitations of the business records.  </w:t>
      </w:r>
      <w:r w:rsidR="00A4463A">
        <w:rPr>
          <w:sz w:val="24"/>
          <w:szCs w:val="24"/>
        </w:rPr>
        <w:t>T</w:t>
      </w:r>
      <w:r w:rsidR="00493484">
        <w:rPr>
          <w:sz w:val="24"/>
          <w:szCs w:val="24"/>
        </w:rPr>
        <w:t xml:space="preserve">he testimonial evidence presented </w:t>
      </w:r>
      <w:r w:rsidR="00DD421D">
        <w:rPr>
          <w:sz w:val="24"/>
          <w:szCs w:val="24"/>
        </w:rPr>
        <w:t>could</w:t>
      </w:r>
      <w:r w:rsidR="00493484">
        <w:rPr>
          <w:sz w:val="24"/>
          <w:szCs w:val="24"/>
        </w:rPr>
        <w:t xml:space="preserve"> not substantiate </w:t>
      </w:r>
      <w:r w:rsidR="00DD421D">
        <w:rPr>
          <w:sz w:val="24"/>
          <w:szCs w:val="24"/>
        </w:rPr>
        <w:t>what correspondence was issued</w:t>
      </w:r>
      <w:r w:rsidR="00493484">
        <w:rPr>
          <w:sz w:val="24"/>
          <w:szCs w:val="24"/>
        </w:rPr>
        <w:t>.</w:t>
      </w:r>
      <w:r w:rsidR="007F2903">
        <w:rPr>
          <w:sz w:val="24"/>
          <w:szCs w:val="24"/>
        </w:rPr>
        <w:t xml:space="preserve">  Accordingly, Respondent’s evidence did not rebut Complainant’s credible testimony that Ms.</w:t>
      </w:r>
      <w:r w:rsidR="00C9782A">
        <w:rPr>
          <w:sz w:val="24"/>
          <w:szCs w:val="24"/>
        </w:rPr>
        <w:t> </w:t>
      </w:r>
      <w:r w:rsidR="007F2903">
        <w:rPr>
          <w:sz w:val="24"/>
          <w:szCs w:val="24"/>
        </w:rPr>
        <w:t>Sanchez never received a termination notice dated June 12, 2014.</w:t>
      </w:r>
    </w:p>
    <w:p w:rsidR="00493484" w:rsidRDefault="00493484" w:rsidP="00546C6B">
      <w:pPr>
        <w:pStyle w:val="BodyText"/>
        <w:ind w:firstLine="1440"/>
        <w:jc w:val="left"/>
        <w:rPr>
          <w:sz w:val="24"/>
          <w:szCs w:val="24"/>
        </w:rPr>
      </w:pPr>
    </w:p>
    <w:p w:rsidR="00DD421D" w:rsidRPr="008C7D9C" w:rsidRDefault="009C7B02" w:rsidP="00CC445A">
      <w:pPr>
        <w:pStyle w:val="BodyText"/>
        <w:ind w:firstLine="1440"/>
        <w:jc w:val="left"/>
        <w:rPr>
          <w:sz w:val="24"/>
          <w:szCs w:val="24"/>
        </w:rPr>
      </w:pPr>
      <w:r>
        <w:rPr>
          <w:sz w:val="24"/>
          <w:szCs w:val="24"/>
        </w:rPr>
        <w:t xml:space="preserve">Therefore, </w:t>
      </w:r>
      <w:r w:rsidR="00DD421D">
        <w:rPr>
          <w:sz w:val="24"/>
          <w:szCs w:val="24"/>
        </w:rPr>
        <w:t xml:space="preserve">I find substantial evidence exists to prove Respondent failed </w:t>
      </w:r>
      <w:r w:rsidR="00DD421D" w:rsidRPr="00BF51E4">
        <w:rPr>
          <w:sz w:val="24"/>
          <w:szCs w:val="24"/>
        </w:rPr>
        <w:t xml:space="preserve">to provide reasonable and adequate customer service when </w:t>
      </w:r>
      <w:r w:rsidR="00DD421D">
        <w:rPr>
          <w:sz w:val="24"/>
          <w:szCs w:val="24"/>
        </w:rPr>
        <w:t xml:space="preserve">it failed to prove </w:t>
      </w:r>
      <w:r w:rsidR="00442C6C">
        <w:rPr>
          <w:sz w:val="24"/>
          <w:szCs w:val="24"/>
        </w:rPr>
        <w:t>the</w:t>
      </w:r>
      <w:r w:rsidR="00DD421D">
        <w:rPr>
          <w:sz w:val="24"/>
          <w:szCs w:val="24"/>
        </w:rPr>
        <w:t xml:space="preserve"> termination notice issued on June 12, 2014</w:t>
      </w:r>
      <w:r w:rsidR="00442C6C">
        <w:rPr>
          <w:sz w:val="24"/>
          <w:szCs w:val="24"/>
        </w:rPr>
        <w:t xml:space="preserve"> was provided to Complainant</w:t>
      </w:r>
      <w:r w:rsidR="00DD421D">
        <w:rPr>
          <w:sz w:val="24"/>
          <w:szCs w:val="24"/>
        </w:rPr>
        <w:t xml:space="preserve">.  In addition, </w:t>
      </w:r>
      <w:r>
        <w:rPr>
          <w:sz w:val="24"/>
          <w:szCs w:val="24"/>
        </w:rPr>
        <w:t xml:space="preserve">I find that substantial evidence exists to prove </w:t>
      </w:r>
      <w:r w:rsidRPr="008C7D9C">
        <w:rPr>
          <w:sz w:val="24"/>
          <w:szCs w:val="24"/>
        </w:rPr>
        <w:t xml:space="preserve">Respondent failed </w:t>
      </w:r>
      <w:r w:rsidR="000A6B2E" w:rsidRPr="008C7D9C">
        <w:rPr>
          <w:sz w:val="24"/>
          <w:szCs w:val="24"/>
        </w:rPr>
        <w:t xml:space="preserve">to provide reasonable and adequate customer service when it </w:t>
      </w:r>
      <w:r w:rsidR="00DD421D" w:rsidRPr="008C7D9C">
        <w:rPr>
          <w:sz w:val="24"/>
          <w:szCs w:val="24"/>
        </w:rPr>
        <w:lastRenderedPageBreak/>
        <w:t xml:space="preserve">terminated service on July 15, 2014 after receiving </w:t>
      </w:r>
      <w:r w:rsidR="00442C6C">
        <w:rPr>
          <w:sz w:val="24"/>
          <w:szCs w:val="24"/>
        </w:rPr>
        <w:t xml:space="preserve">the </w:t>
      </w:r>
      <w:r w:rsidR="00DD421D" w:rsidRPr="008C7D9C">
        <w:rPr>
          <w:sz w:val="24"/>
          <w:szCs w:val="24"/>
        </w:rPr>
        <w:t>payment from Complainant</w:t>
      </w:r>
      <w:r w:rsidR="00442C6C">
        <w:rPr>
          <w:sz w:val="24"/>
          <w:szCs w:val="24"/>
        </w:rPr>
        <w:t xml:space="preserve"> on June 20, 2014</w:t>
      </w:r>
      <w:r w:rsidR="00DB0E2B">
        <w:rPr>
          <w:sz w:val="24"/>
          <w:szCs w:val="24"/>
        </w:rPr>
        <w:t xml:space="preserve">.  I find substantial evidence exists to prove </w:t>
      </w:r>
      <w:r w:rsidR="00DB0E2B" w:rsidRPr="008C7D9C">
        <w:rPr>
          <w:sz w:val="24"/>
          <w:szCs w:val="24"/>
        </w:rPr>
        <w:t xml:space="preserve">Respondent failed to provide reasonable and adequate customer service when it terminated service on July 15, 2014 </w:t>
      </w:r>
      <w:r w:rsidR="00442C6C">
        <w:rPr>
          <w:sz w:val="24"/>
          <w:szCs w:val="24"/>
        </w:rPr>
        <w:t>without providing written notification on</w:t>
      </w:r>
      <w:r w:rsidR="007151DD">
        <w:rPr>
          <w:sz w:val="24"/>
          <w:szCs w:val="24"/>
        </w:rPr>
        <w:t xml:space="preserve"> or about</w:t>
      </w:r>
      <w:r w:rsidR="00442C6C">
        <w:rPr>
          <w:sz w:val="24"/>
          <w:szCs w:val="24"/>
        </w:rPr>
        <w:t xml:space="preserve"> July 15, 2014 </w:t>
      </w:r>
      <w:r w:rsidR="00DB0E2B">
        <w:rPr>
          <w:sz w:val="24"/>
          <w:szCs w:val="24"/>
        </w:rPr>
        <w:t>after</w:t>
      </w:r>
      <w:r w:rsidR="00442C6C">
        <w:rPr>
          <w:sz w:val="24"/>
          <w:szCs w:val="24"/>
        </w:rPr>
        <w:t xml:space="preserve"> Respondent had not personally spoken with an individual at the service address in the days immediately preceding the termination</w:t>
      </w:r>
      <w:r w:rsidR="00DD421D" w:rsidRPr="008C7D9C">
        <w:rPr>
          <w:sz w:val="24"/>
          <w:szCs w:val="24"/>
        </w:rPr>
        <w:t xml:space="preserve">.  </w:t>
      </w:r>
    </w:p>
    <w:p w:rsidR="00003724" w:rsidRDefault="00003724" w:rsidP="00442C6C">
      <w:pPr>
        <w:pStyle w:val="BodyText"/>
        <w:jc w:val="left"/>
        <w:rPr>
          <w:sz w:val="24"/>
          <w:szCs w:val="24"/>
          <w:u w:val="single"/>
        </w:rPr>
      </w:pPr>
    </w:p>
    <w:p w:rsidR="00442C6C" w:rsidRPr="00442C6C" w:rsidRDefault="00442C6C" w:rsidP="00442C6C">
      <w:pPr>
        <w:pStyle w:val="BodyText"/>
        <w:jc w:val="left"/>
        <w:rPr>
          <w:sz w:val="24"/>
          <w:szCs w:val="24"/>
          <w:u w:val="single"/>
        </w:rPr>
      </w:pPr>
      <w:r w:rsidRPr="00442C6C">
        <w:rPr>
          <w:sz w:val="24"/>
          <w:szCs w:val="24"/>
          <w:u w:val="single"/>
        </w:rPr>
        <w:t>Damages</w:t>
      </w:r>
    </w:p>
    <w:p w:rsidR="00442C6C" w:rsidRPr="008C7D9C" w:rsidRDefault="00442C6C" w:rsidP="00442C6C">
      <w:pPr>
        <w:pStyle w:val="BodyText"/>
        <w:jc w:val="left"/>
        <w:rPr>
          <w:sz w:val="24"/>
          <w:szCs w:val="24"/>
        </w:rPr>
      </w:pPr>
    </w:p>
    <w:p w:rsidR="00DB0E2B" w:rsidRDefault="007151DD" w:rsidP="00CC445A">
      <w:pPr>
        <w:pStyle w:val="BodyText"/>
        <w:ind w:firstLine="1440"/>
        <w:jc w:val="left"/>
        <w:rPr>
          <w:sz w:val="24"/>
          <w:szCs w:val="24"/>
        </w:rPr>
      </w:pPr>
      <w:r>
        <w:rPr>
          <w:sz w:val="24"/>
          <w:szCs w:val="24"/>
        </w:rPr>
        <w:t xml:space="preserve">Complainant requested in her formal complaint that the Commission order PPL to reimburse her for the value of the perishable food she lost when her electric service was terminated.  </w:t>
      </w:r>
      <w:r w:rsidR="00DD421D" w:rsidRPr="008C7D9C">
        <w:rPr>
          <w:sz w:val="24"/>
          <w:szCs w:val="24"/>
        </w:rPr>
        <w:t xml:space="preserve">However, the Commission is without jurisdiction to order Respondent to pay damages to Complainant for the loss of food when the electric service was improperly terminated on July 15, 2014.  </w:t>
      </w:r>
      <w:r w:rsidR="008C7D9C" w:rsidRPr="008C7D9C">
        <w:rPr>
          <w:sz w:val="24"/>
          <w:szCs w:val="24"/>
        </w:rPr>
        <w:t xml:space="preserve">The Commission is not empowered to order Respondent to pay damages because the Commission only can consider such matters as are expressly, or by necessary implication, given to it by the legislature.  </w:t>
      </w:r>
      <w:r w:rsidR="008C7D9C">
        <w:rPr>
          <w:sz w:val="24"/>
          <w:szCs w:val="24"/>
        </w:rPr>
        <w:t xml:space="preserve">The Public Utility Code, </w:t>
      </w:r>
      <w:proofErr w:type="gramStart"/>
      <w:r w:rsidR="008C7D9C">
        <w:rPr>
          <w:sz w:val="24"/>
          <w:szCs w:val="24"/>
        </w:rPr>
        <w:t xml:space="preserve">66 </w:t>
      </w:r>
      <w:proofErr w:type="spellStart"/>
      <w:r w:rsidR="008C7D9C">
        <w:rPr>
          <w:sz w:val="24"/>
          <w:szCs w:val="24"/>
        </w:rPr>
        <w:t>Pa.</w:t>
      </w:r>
      <w:r w:rsidR="008C7D9C" w:rsidRPr="008C7D9C">
        <w:rPr>
          <w:sz w:val="24"/>
          <w:szCs w:val="24"/>
        </w:rPr>
        <w:t>C.S.</w:t>
      </w:r>
      <w:r w:rsidR="008C7D9C">
        <w:rPr>
          <w:sz w:val="24"/>
          <w:szCs w:val="24"/>
        </w:rPr>
        <w:t>A</w:t>
      </w:r>
      <w:proofErr w:type="spellEnd"/>
      <w:proofErr w:type="gramEnd"/>
      <w:r w:rsidR="008C7D9C">
        <w:rPr>
          <w:sz w:val="24"/>
          <w:szCs w:val="24"/>
        </w:rPr>
        <w:t>.</w:t>
      </w:r>
      <w:r w:rsidR="008C7D9C" w:rsidRPr="008C7D9C">
        <w:rPr>
          <w:sz w:val="24"/>
          <w:szCs w:val="24"/>
        </w:rPr>
        <w:t xml:space="preserve"> </w:t>
      </w:r>
      <w:proofErr w:type="gramStart"/>
      <w:r w:rsidR="008C7D9C" w:rsidRPr="008C7D9C">
        <w:rPr>
          <w:sz w:val="24"/>
          <w:szCs w:val="24"/>
        </w:rPr>
        <w:t>§</w:t>
      </w:r>
      <w:r w:rsidR="008C7D9C">
        <w:rPr>
          <w:sz w:val="24"/>
          <w:szCs w:val="24"/>
        </w:rPr>
        <w:t xml:space="preserve"> </w:t>
      </w:r>
      <w:r w:rsidR="008C7D9C" w:rsidRPr="008C7D9C">
        <w:rPr>
          <w:sz w:val="24"/>
          <w:szCs w:val="24"/>
        </w:rPr>
        <w:t xml:space="preserve">101 </w:t>
      </w:r>
      <w:r w:rsidR="008C7D9C" w:rsidRPr="008C7D9C">
        <w:rPr>
          <w:i/>
          <w:sz w:val="24"/>
          <w:szCs w:val="24"/>
        </w:rPr>
        <w:t>et seq</w:t>
      </w:r>
      <w:r w:rsidR="008C7D9C" w:rsidRPr="008C7D9C">
        <w:rPr>
          <w:sz w:val="24"/>
          <w:szCs w:val="24"/>
        </w:rPr>
        <w:t>.</w:t>
      </w:r>
      <w:proofErr w:type="gramEnd"/>
      <w:r w:rsidR="008C7D9C" w:rsidRPr="008C7D9C">
        <w:rPr>
          <w:sz w:val="24"/>
          <w:szCs w:val="24"/>
        </w:rPr>
        <w:t xml:space="preserve"> does not give the Commission jurisdiction over claims for damages.</w:t>
      </w:r>
      <w:r w:rsidR="008C7D9C">
        <w:rPr>
          <w:rStyle w:val="FootnoteReference"/>
          <w:sz w:val="24"/>
          <w:szCs w:val="24"/>
        </w:rPr>
        <w:footnoteReference w:id="12"/>
      </w:r>
      <w:r w:rsidR="008C7D9C" w:rsidRPr="008C7D9C">
        <w:rPr>
          <w:sz w:val="24"/>
          <w:szCs w:val="24"/>
        </w:rPr>
        <w:t xml:space="preserve">  The remedial and enforcement powers vested in the Commission are designed to allow the Commission to enforce its orders and regulations, but not to empower it to award damages or to litigate a private action for damages on behalf of a complainant.</w:t>
      </w:r>
      <w:r w:rsidR="008C7D9C">
        <w:rPr>
          <w:rStyle w:val="FootnoteReference"/>
          <w:sz w:val="24"/>
          <w:szCs w:val="24"/>
        </w:rPr>
        <w:footnoteReference w:id="13"/>
      </w:r>
      <w:r w:rsidR="008C7D9C" w:rsidRPr="008C7D9C">
        <w:rPr>
          <w:sz w:val="24"/>
          <w:szCs w:val="24"/>
        </w:rPr>
        <w:t xml:space="preserve">  The Courts of Common Pleas retain original jurisdiction over suits for damages.</w:t>
      </w:r>
      <w:r w:rsidR="008C7D9C">
        <w:rPr>
          <w:rStyle w:val="FootnoteReference"/>
          <w:sz w:val="24"/>
          <w:szCs w:val="24"/>
        </w:rPr>
        <w:footnoteReference w:id="14"/>
      </w:r>
      <w:r w:rsidR="00DB0E2B">
        <w:rPr>
          <w:sz w:val="24"/>
          <w:szCs w:val="24"/>
        </w:rPr>
        <w:t xml:space="preserve">  </w:t>
      </w:r>
    </w:p>
    <w:p w:rsidR="00DB0E2B" w:rsidRDefault="00DB0E2B" w:rsidP="00CC445A">
      <w:pPr>
        <w:pStyle w:val="BodyText"/>
        <w:ind w:firstLine="1440"/>
        <w:jc w:val="left"/>
        <w:rPr>
          <w:sz w:val="24"/>
          <w:szCs w:val="24"/>
        </w:rPr>
      </w:pPr>
    </w:p>
    <w:p w:rsidR="006E0E7F" w:rsidRPr="008C7D9C" w:rsidRDefault="006E0E7F" w:rsidP="00CC445A">
      <w:pPr>
        <w:pStyle w:val="BodyText"/>
        <w:ind w:firstLine="1440"/>
        <w:jc w:val="left"/>
        <w:rPr>
          <w:sz w:val="24"/>
          <w:szCs w:val="24"/>
        </w:rPr>
      </w:pPr>
      <w:r w:rsidRPr="008C7D9C">
        <w:rPr>
          <w:sz w:val="24"/>
          <w:szCs w:val="24"/>
        </w:rPr>
        <w:t xml:space="preserve">Accordingly the complaint is </w:t>
      </w:r>
      <w:r w:rsidR="00DD421D" w:rsidRPr="008C7D9C">
        <w:rPr>
          <w:sz w:val="24"/>
          <w:szCs w:val="24"/>
        </w:rPr>
        <w:t>sustained in part</w:t>
      </w:r>
      <w:r w:rsidRPr="008C7D9C">
        <w:rPr>
          <w:sz w:val="24"/>
          <w:szCs w:val="24"/>
        </w:rPr>
        <w:t xml:space="preserve"> </w:t>
      </w:r>
      <w:r w:rsidR="008C7D9C">
        <w:rPr>
          <w:sz w:val="24"/>
          <w:szCs w:val="24"/>
        </w:rPr>
        <w:t xml:space="preserve">and denied in part </w:t>
      </w:r>
      <w:r w:rsidRPr="008C7D9C">
        <w:rPr>
          <w:sz w:val="24"/>
          <w:szCs w:val="24"/>
        </w:rPr>
        <w:t xml:space="preserve">in the ordering paragraphs below. </w:t>
      </w:r>
    </w:p>
    <w:p w:rsidR="007F2903" w:rsidRDefault="007F2903" w:rsidP="00273057">
      <w:pPr>
        <w:pStyle w:val="BodyText"/>
        <w:ind w:left="720" w:hanging="720"/>
        <w:jc w:val="left"/>
        <w:rPr>
          <w:sz w:val="24"/>
          <w:szCs w:val="24"/>
          <w:u w:val="single"/>
        </w:rPr>
      </w:pPr>
    </w:p>
    <w:p w:rsidR="00373C07" w:rsidRDefault="00373C07" w:rsidP="00273057">
      <w:pPr>
        <w:pStyle w:val="BodyText"/>
        <w:ind w:left="720" w:hanging="720"/>
        <w:jc w:val="left"/>
        <w:rPr>
          <w:sz w:val="24"/>
          <w:szCs w:val="24"/>
          <w:u w:val="single"/>
        </w:rPr>
      </w:pPr>
    </w:p>
    <w:p w:rsidR="00273057" w:rsidRDefault="00273057" w:rsidP="00273057">
      <w:pPr>
        <w:pStyle w:val="BodyText"/>
        <w:ind w:left="720" w:hanging="720"/>
        <w:jc w:val="left"/>
        <w:rPr>
          <w:sz w:val="24"/>
          <w:szCs w:val="24"/>
        </w:rPr>
      </w:pPr>
      <w:r>
        <w:rPr>
          <w:sz w:val="24"/>
          <w:szCs w:val="24"/>
          <w:u w:val="single"/>
        </w:rPr>
        <w:lastRenderedPageBreak/>
        <w:t>Civil Penalty</w:t>
      </w:r>
    </w:p>
    <w:p w:rsidR="00273057" w:rsidRPr="007C3371" w:rsidRDefault="00273057" w:rsidP="00273057">
      <w:pPr>
        <w:pStyle w:val="BodyText"/>
        <w:jc w:val="left"/>
        <w:rPr>
          <w:sz w:val="24"/>
          <w:szCs w:val="24"/>
        </w:rPr>
      </w:pPr>
    </w:p>
    <w:p w:rsidR="00273057" w:rsidRDefault="00273057" w:rsidP="00273057">
      <w:pPr>
        <w:spacing w:line="360" w:lineRule="auto"/>
        <w:ind w:firstLine="1440"/>
      </w:pPr>
      <w:r>
        <w:t>When appropriate</w:t>
      </w:r>
      <w:r w:rsidR="007F2903">
        <w:t>,</w:t>
      </w:r>
      <w:r>
        <w:t xml:space="preserve"> due to violation of the Commission’s statutes or regulations, </w:t>
      </w:r>
      <w:r w:rsidRPr="006E0E7F">
        <w:t xml:space="preserve">Sections 3301(a) and (b) of the Public Utility Code, 66 </w:t>
      </w:r>
      <w:proofErr w:type="spellStart"/>
      <w:r w:rsidRPr="006E0E7F">
        <w:t>Pa.C.S.A</w:t>
      </w:r>
      <w:proofErr w:type="spellEnd"/>
      <w:r w:rsidRPr="006E0E7F">
        <w:t>. §</w:t>
      </w:r>
      <w:r>
        <w:t xml:space="preserve"> 3301(a) and (b</w:t>
      </w:r>
      <w:proofErr w:type="gramStart"/>
      <w:r>
        <w:t>),</w:t>
      </w:r>
      <w:proofErr w:type="gramEnd"/>
      <w:r>
        <w:t xml:space="preserve"> authorize the C</w:t>
      </w:r>
      <w:r w:rsidRPr="006E0E7F">
        <w:t>ommission to impose a maximum civil penalty of $1,000 per day for violations of its statutes</w:t>
      </w:r>
      <w:r>
        <w:t>, regulations and orders.  The C</w:t>
      </w:r>
      <w:r w:rsidRPr="006E0E7F">
        <w:t xml:space="preserve">ommission has adopted certain standards that are to be applied in determining the amount of civil penalties when violations are admitted or determined to have occurred.  </w:t>
      </w:r>
    </w:p>
    <w:p w:rsidR="00273057" w:rsidRDefault="00273057" w:rsidP="00273057">
      <w:pPr>
        <w:spacing w:line="360" w:lineRule="auto"/>
        <w:ind w:firstLine="1440"/>
      </w:pPr>
    </w:p>
    <w:p w:rsidR="00273057" w:rsidRPr="006E0E7F" w:rsidRDefault="00273057" w:rsidP="00273057">
      <w:pPr>
        <w:spacing w:line="360" w:lineRule="auto"/>
        <w:ind w:firstLine="1440"/>
      </w:pPr>
      <w:r w:rsidRPr="006E0E7F">
        <w:t>The</w:t>
      </w:r>
      <w:r>
        <w:t>re are ten standards which the C</w:t>
      </w:r>
      <w:r w:rsidRPr="006E0E7F">
        <w:t xml:space="preserve">ommission first articulated in </w:t>
      </w:r>
      <w:r w:rsidRPr="006E0E7F">
        <w:rPr>
          <w:u w:val="single"/>
        </w:rPr>
        <w:t xml:space="preserve">Joseph A. </w:t>
      </w:r>
      <w:proofErr w:type="spellStart"/>
      <w:r w:rsidRPr="006E0E7F">
        <w:rPr>
          <w:u w:val="single"/>
        </w:rPr>
        <w:t>Rosi</w:t>
      </w:r>
      <w:proofErr w:type="spellEnd"/>
      <w:r>
        <w:rPr>
          <w:u w:val="single"/>
        </w:rPr>
        <w:t> </w:t>
      </w:r>
      <w:r w:rsidRPr="006E0E7F">
        <w:rPr>
          <w:u w:val="single"/>
        </w:rPr>
        <w:t>v. Bell Atlantic-Pa., Inc. and Sprint Communica</w:t>
      </w:r>
      <w:r w:rsidRPr="006E0E7F">
        <w:rPr>
          <w:u w:val="single"/>
        </w:rPr>
        <w:softHyphen/>
        <w:t>tions Company</w:t>
      </w:r>
      <w:r w:rsidRPr="006E0E7F">
        <w:t>, Docket No. C</w:t>
      </w:r>
      <w:r w:rsidRPr="006E0E7F">
        <w:noBreakHyphen/>
        <w:t>00992409 (Order entered February 10, 2000) (“</w:t>
      </w:r>
      <w:proofErr w:type="spellStart"/>
      <w:r w:rsidRPr="004F7D67">
        <w:t>Rosi</w:t>
      </w:r>
      <w:proofErr w:type="spellEnd"/>
      <w:r w:rsidRPr="004F7D67">
        <w:t>”</w:t>
      </w:r>
      <w:r w:rsidRPr="006E0E7F">
        <w:t>) and which are now published at 52</w:t>
      </w:r>
      <w:r>
        <w:t> </w:t>
      </w:r>
      <w:proofErr w:type="spellStart"/>
      <w:r w:rsidRPr="006E0E7F">
        <w:t>Pa.Code</w:t>
      </w:r>
      <w:proofErr w:type="spellEnd"/>
      <w:r w:rsidRPr="006E0E7F">
        <w:t xml:space="preserve"> §</w:t>
      </w:r>
      <w:r>
        <w:t> </w:t>
      </w:r>
      <w:r w:rsidRPr="006E0E7F">
        <w:t>69.1201</w:t>
      </w:r>
      <w:r>
        <w:t>(c)</w:t>
      </w:r>
      <w:r w:rsidRPr="006E0E7F">
        <w:t xml:space="preserve"> in the Commission’s Policy Statements and Guidelines.  </w:t>
      </w:r>
      <w:r w:rsidRPr="001B1713">
        <w:t xml:space="preserve">In any case in which a civil penalty is assessed, </w:t>
      </w:r>
      <w:r>
        <w:t xml:space="preserve">these </w:t>
      </w:r>
      <w:r w:rsidRPr="001B1713">
        <w:t xml:space="preserve">ten factors must be considered when calculating </w:t>
      </w:r>
      <w:r>
        <w:t>the amount of the penalty.  Th</w:t>
      </w:r>
      <w:r w:rsidRPr="001B1713">
        <w:t xml:space="preserve">e factors are meant to ascertain, in general, how serious was the conduct and intention of the utility, how the individual consumer was affected and how the utility’s conduct may bode </w:t>
      </w:r>
      <w:r>
        <w:t>for</w:t>
      </w:r>
      <w:r w:rsidRPr="001B1713">
        <w:t xml:space="preserve"> similar future situations.  </w:t>
      </w:r>
    </w:p>
    <w:p w:rsidR="00273057" w:rsidRDefault="00273057" w:rsidP="00273057">
      <w:pPr>
        <w:pStyle w:val="NormalWeb"/>
        <w:spacing w:before="0" w:beforeAutospacing="0" w:after="0" w:afterAutospacing="0" w:line="360" w:lineRule="auto"/>
      </w:pPr>
      <w:bookmarkStart w:id="0" w:name="69.1201."/>
    </w:p>
    <w:bookmarkEnd w:id="0"/>
    <w:p w:rsidR="00273057" w:rsidRDefault="00273057" w:rsidP="00273057">
      <w:pPr>
        <w:spacing w:line="360" w:lineRule="auto"/>
      </w:pPr>
      <w:r>
        <w:rPr>
          <w:u w:val="single"/>
        </w:rPr>
        <w:t xml:space="preserve">Review of Factors under 52 </w:t>
      </w:r>
      <w:proofErr w:type="spellStart"/>
      <w:r>
        <w:rPr>
          <w:u w:val="single"/>
        </w:rPr>
        <w:t>Pa.Code</w:t>
      </w:r>
      <w:proofErr w:type="spellEnd"/>
      <w:r>
        <w:rPr>
          <w:u w:val="single"/>
        </w:rPr>
        <w:t xml:space="preserve"> § 69.1201(c)</w:t>
      </w:r>
    </w:p>
    <w:p w:rsidR="00273057" w:rsidRDefault="00273057" w:rsidP="00273057">
      <w:pPr>
        <w:spacing w:line="360" w:lineRule="auto"/>
      </w:pPr>
    </w:p>
    <w:p w:rsidR="00273057" w:rsidRDefault="00273057" w:rsidP="00273057">
      <w:pPr>
        <w:suppressAutoHyphens/>
        <w:spacing w:line="360" w:lineRule="auto"/>
        <w:rPr>
          <w:spacing w:val="-3"/>
        </w:rPr>
      </w:pPr>
      <w:r w:rsidRPr="006F1BD4">
        <w:rPr>
          <w:spacing w:val="-3"/>
        </w:rPr>
        <w:tab/>
      </w:r>
      <w:r w:rsidRPr="006F1BD4">
        <w:rPr>
          <w:spacing w:val="-3"/>
        </w:rPr>
        <w:tab/>
        <w:t xml:space="preserve">The first criterion to consider is whether the violation was of a serious nature or whether it was less egregious, such as an administrative or technical error.  </w:t>
      </w:r>
      <w:r>
        <w:rPr>
          <w:spacing w:val="-3"/>
        </w:rPr>
        <w:t xml:space="preserve">Respondent </w:t>
      </w:r>
      <w:r w:rsidR="00AB70EE">
        <w:rPr>
          <w:spacing w:val="-3"/>
        </w:rPr>
        <w:t xml:space="preserve">knew Complainant mailed a check </w:t>
      </w:r>
      <w:r w:rsidR="006C47AF">
        <w:rPr>
          <w:spacing w:val="-3"/>
        </w:rPr>
        <w:t>that</w:t>
      </w:r>
      <w:r w:rsidR="00AB70EE">
        <w:rPr>
          <w:spacing w:val="-3"/>
        </w:rPr>
        <w:t xml:space="preserve"> the processing center in Kentucky </w:t>
      </w:r>
      <w:r w:rsidR="006C47AF">
        <w:rPr>
          <w:spacing w:val="-3"/>
        </w:rPr>
        <w:t xml:space="preserve">received </w:t>
      </w:r>
      <w:r w:rsidR="00AB70EE">
        <w:rPr>
          <w:spacing w:val="-3"/>
        </w:rPr>
        <w:t xml:space="preserve">on June 20, 2014.  In fact, Complainant’s check had been received and posted to her account on the same date – June 20, 2014.  </w:t>
      </w:r>
      <w:r w:rsidR="00584EC4">
        <w:rPr>
          <w:spacing w:val="-3"/>
        </w:rPr>
        <w:t>Despite knowing the payment was received, however, Respondent continued to pursue termination proceedings and terminated service on July 15, 2014.  Having received the payment on June 20, 2014, Respondent fail</w:t>
      </w:r>
      <w:r w:rsidR="000E1818">
        <w:rPr>
          <w:spacing w:val="-3"/>
        </w:rPr>
        <w:t>s</w:t>
      </w:r>
      <w:r w:rsidR="00584EC4">
        <w:rPr>
          <w:spacing w:val="-3"/>
        </w:rPr>
        <w:t xml:space="preserve"> to show how it was appropriate and consistent with the rules for PPL to </w:t>
      </w:r>
      <w:proofErr w:type="gramStart"/>
      <w:r w:rsidR="00584EC4">
        <w:rPr>
          <w:spacing w:val="-3"/>
        </w:rPr>
        <w:t>proceed</w:t>
      </w:r>
      <w:proofErr w:type="gramEnd"/>
      <w:r w:rsidR="00584EC4">
        <w:rPr>
          <w:spacing w:val="-3"/>
        </w:rPr>
        <w:t xml:space="preserve"> with the termination.  </w:t>
      </w:r>
      <w:r w:rsidR="007151DD">
        <w:rPr>
          <w:spacing w:val="-3"/>
        </w:rPr>
        <w:t>Respondent also fail</w:t>
      </w:r>
      <w:r w:rsidR="007C53B4">
        <w:rPr>
          <w:spacing w:val="-3"/>
        </w:rPr>
        <w:t xml:space="preserve">s </w:t>
      </w:r>
      <w:r w:rsidR="007151DD">
        <w:rPr>
          <w:spacing w:val="-3"/>
        </w:rPr>
        <w:t xml:space="preserve">to show it attempted to provide 3-day notice of the pending termination in </w:t>
      </w:r>
      <w:r w:rsidR="007151DD" w:rsidRPr="007151DD">
        <w:rPr>
          <w:spacing w:val="-3"/>
          <w:u w:val="single"/>
        </w:rPr>
        <w:t>July</w:t>
      </w:r>
      <w:r w:rsidR="007151DD">
        <w:rPr>
          <w:spacing w:val="-3"/>
        </w:rPr>
        <w:t xml:space="preserve"> 2014.  </w:t>
      </w:r>
      <w:r>
        <w:rPr>
          <w:spacing w:val="-3"/>
        </w:rPr>
        <w:t>This behavior constitutes a serious violation.  Thus, I conclude this violation is serious in nature and warrants a higher penalty.</w:t>
      </w:r>
    </w:p>
    <w:p w:rsidR="00273057" w:rsidRDefault="00273057" w:rsidP="00273057">
      <w:pPr>
        <w:suppressAutoHyphens/>
        <w:spacing w:line="360" w:lineRule="auto"/>
        <w:rPr>
          <w:spacing w:val="-3"/>
        </w:rPr>
      </w:pPr>
    </w:p>
    <w:p w:rsidR="00273057" w:rsidRPr="006F1BD4" w:rsidRDefault="00273057" w:rsidP="00273057">
      <w:pPr>
        <w:suppressAutoHyphens/>
        <w:spacing w:line="360" w:lineRule="auto"/>
        <w:rPr>
          <w:spacing w:val="-3"/>
        </w:rPr>
      </w:pPr>
      <w:r w:rsidRPr="006F1BD4">
        <w:rPr>
          <w:spacing w:val="-3"/>
        </w:rPr>
        <w:lastRenderedPageBreak/>
        <w:tab/>
      </w:r>
      <w:r w:rsidRPr="006F1BD4">
        <w:rPr>
          <w:spacing w:val="-3"/>
        </w:rPr>
        <w:tab/>
        <w:t xml:space="preserve">The second criterion is whether the resulting consequences of the conduct </w:t>
      </w:r>
      <w:proofErr w:type="gramStart"/>
      <w:r>
        <w:rPr>
          <w:spacing w:val="-3"/>
        </w:rPr>
        <w:t>was</w:t>
      </w:r>
      <w:proofErr w:type="gramEnd"/>
      <w:r w:rsidRPr="006F1BD4">
        <w:rPr>
          <w:spacing w:val="-3"/>
        </w:rPr>
        <w:t xml:space="preserve"> of a serious nature, such as personal injury or property damage.  </w:t>
      </w:r>
      <w:r w:rsidR="00584EC4">
        <w:rPr>
          <w:spacing w:val="-3"/>
        </w:rPr>
        <w:t>Complainant initiated the formal complaint because the termination resulted in Complainant losing food which spoiled in her refrigerator.  T</w:t>
      </w:r>
      <w:r>
        <w:rPr>
          <w:spacing w:val="-3"/>
        </w:rPr>
        <w:t xml:space="preserve">he consequence of </w:t>
      </w:r>
      <w:r w:rsidR="00584EC4">
        <w:rPr>
          <w:spacing w:val="-3"/>
        </w:rPr>
        <w:t>PPL’s</w:t>
      </w:r>
      <w:r>
        <w:rPr>
          <w:spacing w:val="-3"/>
        </w:rPr>
        <w:t xml:space="preserve"> conduct cost Complainant a </w:t>
      </w:r>
      <w:r w:rsidR="00584EC4">
        <w:rPr>
          <w:spacing w:val="-3"/>
        </w:rPr>
        <w:t>notable</w:t>
      </w:r>
      <w:r>
        <w:rPr>
          <w:spacing w:val="-3"/>
        </w:rPr>
        <w:t xml:space="preserve"> sum of money</w:t>
      </w:r>
      <w:r w:rsidR="00584EC4">
        <w:rPr>
          <w:spacing w:val="-3"/>
        </w:rPr>
        <w:t xml:space="preserve"> in lost food</w:t>
      </w:r>
      <w:r>
        <w:rPr>
          <w:spacing w:val="-3"/>
        </w:rPr>
        <w:t xml:space="preserve">.  Thus, I conclude the consequence </w:t>
      </w:r>
      <w:r w:rsidR="007151DD">
        <w:rPr>
          <w:spacing w:val="-3"/>
        </w:rPr>
        <w:t>of PPL’s conduct</w:t>
      </w:r>
      <w:r>
        <w:rPr>
          <w:spacing w:val="-3"/>
        </w:rPr>
        <w:t xml:space="preserve"> warrants a higher penalty.</w:t>
      </w:r>
    </w:p>
    <w:p w:rsidR="00273057" w:rsidRPr="006F1BD4" w:rsidRDefault="00273057" w:rsidP="00273057">
      <w:pPr>
        <w:suppressAutoHyphens/>
        <w:spacing w:line="360" w:lineRule="auto"/>
        <w:rPr>
          <w:spacing w:val="-3"/>
        </w:rPr>
      </w:pPr>
    </w:p>
    <w:p w:rsidR="00273057" w:rsidRPr="006F1BD4" w:rsidRDefault="00273057" w:rsidP="00273057">
      <w:pPr>
        <w:suppressAutoHyphens/>
        <w:spacing w:line="360" w:lineRule="auto"/>
        <w:rPr>
          <w:spacing w:val="-3"/>
        </w:rPr>
      </w:pPr>
      <w:r w:rsidRPr="006F1BD4">
        <w:rPr>
          <w:spacing w:val="-3"/>
        </w:rPr>
        <w:tab/>
      </w:r>
      <w:r w:rsidRPr="006F1BD4">
        <w:rPr>
          <w:spacing w:val="-3"/>
        </w:rPr>
        <w:tab/>
        <w:t xml:space="preserve">The third criterion is whether the conduct at issue was deemed intentional or negligent.  </w:t>
      </w:r>
      <w:r>
        <w:rPr>
          <w:spacing w:val="-3"/>
        </w:rPr>
        <w:t xml:space="preserve">I conclude the conduct was not negligent but was intentional.  </w:t>
      </w:r>
      <w:r w:rsidR="00584EC4">
        <w:rPr>
          <w:spacing w:val="-3"/>
        </w:rPr>
        <w:t xml:space="preserve">Respondent operates in great reliance on its computer systems and the information contained within the computer systems.  On June 20, 2014, Respondent’s offices in Kentucky posted the receipt of Complainant’s payment, yet on the same day Respondent’s customer service staff denied to Complainant that her payment had been received.  In addition, Respondent continued to pursue termination – despite having received the requested payment – and eventually terminated service </w:t>
      </w:r>
      <w:r w:rsidR="007151DD">
        <w:rPr>
          <w:spacing w:val="-3"/>
        </w:rPr>
        <w:t>almost four</w:t>
      </w:r>
      <w:r w:rsidR="00584EC4">
        <w:rPr>
          <w:spacing w:val="-3"/>
        </w:rPr>
        <w:t xml:space="preserve"> weeks later.  </w:t>
      </w:r>
      <w:r>
        <w:rPr>
          <w:spacing w:val="-3"/>
        </w:rPr>
        <w:t>T</w:t>
      </w:r>
      <w:r w:rsidRPr="006F1BD4">
        <w:rPr>
          <w:spacing w:val="-3"/>
        </w:rPr>
        <w:t xml:space="preserve">hus I conclude </w:t>
      </w:r>
      <w:r>
        <w:rPr>
          <w:spacing w:val="-3"/>
        </w:rPr>
        <w:t>the conduct warrants a higher penalty.</w:t>
      </w:r>
    </w:p>
    <w:p w:rsidR="00273057" w:rsidRPr="006F1BD4" w:rsidRDefault="00273057" w:rsidP="00273057">
      <w:pPr>
        <w:suppressAutoHyphens/>
        <w:spacing w:line="360" w:lineRule="auto"/>
        <w:rPr>
          <w:spacing w:val="-3"/>
        </w:rPr>
      </w:pPr>
    </w:p>
    <w:p w:rsidR="00273057" w:rsidRDefault="00273057" w:rsidP="00273057">
      <w:pPr>
        <w:suppressAutoHyphens/>
        <w:spacing w:line="360" w:lineRule="auto"/>
        <w:rPr>
          <w:spacing w:val="-3"/>
        </w:rPr>
      </w:pPr>
      <w:r w:rsidRPr="006F1BD4">
        <w:rPr>
          <w:spacing w:val="-3"/>
        </w:rPr>
        <w:tab/>
      </w:r>
      <w:r w:rsidRPr="006F1BD4">
        <w:rPr>
          <w:spacing w:val="-3"/>
        </w:rPr>
        <w:tab/>
        <w:t>The fourth criterion is whether the utility made efforts to modify internal practices and procedures to address the conduct and prevent similar conduct</w:t>
      </w:r>
      <w:r w:rsidR="006C47AF">
        <w:rPr>
          <w:spacing w:val="-3"/>
        </w:rPr>
        <w:t>,</w:t>
      </w:r>
      <w:r w:rsidRPr="006F1BD4">
        <w:rPr>
          <w:spacing w:val="-3"/>
        </w:rPr>
        <w:t xml:space="preserve"> and the amount of time it took for the implementation of these measures.  </w:t>
      </w:r>
      <w:r w:rsidR="00584EC4">
        <w:rPr>
          <w:spacing w:val="-3"/>
        </w:rPr>
        <w:t>PPL indicated at the hearing that payments were only made to the Kentucky office for approximately six months.  However, n</w:t>
      </w:r>
      <w:r>
        <w:rPr>
          <w:spacing w:val="-3"/>
        </w:rPr>
        <w:t xml:space="preserve">o evidence was presented that </w:t>
      </w:r>
      <w:r w:rsidR="00584EC4">
        <w:rPr>
          <w:spacing w:val="-3"/>
        </w:rPr>
        <w:t>PPL</w:t>
      </w:r>
      <w:r>
        <w:rPr>
          <w:spacing w:val="-3"/>
        </w:rPr>
        <w:t xml:space="preserve"> recognized </w:t>
      </w:r>
      <w:r w:rsidR="00584EC4">
        <w:rPr>
          <w:spacing w:val="-3"/>
        </w:rPr>
        <w:t>it erred when terminating service despite having received from Complainant the sum of money Respondent told Ms. Sanchez it must receive</w:t>
      </w:r>
      <w:r w:rsidR="007151DD">
        <w:rPr>
          <w:spacing w:val="-3"/>
        </w:rPr>
        <w:t xml:space="preserve"> and despite not providing 3-day notice of termination</w:t>
      </w:r>
      <w:r w:rsidR="00584EC4">
        <w:rPr>
          <w:spacing w:val="-3"/>
        </w:rPr>
        <w:t xml:space="preserve">.  </w:t>
      </w:r>
      <w:r>
        <w:rPr>
          <w:spacing w:val="-3"/>
        </w:rPr>
        <w:t xml:space="preserve">Thus I conclude this criterion does justify a higher penalty.  </w:t>
      </w:r>
    </w:p>
    <w:p w:rsidR="00273057" w:rsidRPr="006F1BD4" w:rsidRDefault="00273057" w:rsidP="00273057">
      <w:pPr>
        <w:suppressAutoHyphens/>
        <w:spacing w:line="360" w:lineRule="auto"/>
        <w:rPr>
          <w:spacing w:val="-3"/>
        </w:rPr>
      </w:pPr>
    </w:p>
    <w:p w:rsidR="00273057" w:rsidRPr="006F1BD4" w:rsidRDefault="00273057" w:rsidP="00273057">
      <w:pPr>
        <w:suppressAutoHyphens/>
        <w:spacing w:line="360" w:lineRule="auto"/>
        <w:rPr>
          <w:spacing w:val="-3"/>
        </w:rPr>
      </w:pPr>
      <w:r w:rsidRPr="006F1BD4">
        <w:rPr>
          <w:spacing w:val="-3"/>
        </w:rPr>
        <w:tab/>
      </w:r>
      <w:r w:rsidRPr="006F1BD4">
        <w:rPr>
          <w:spacing w:val="-3"/>
        </w:rPr>
        <w:tab/>
        <w:t>The fifth criterion is the number of customers affected</w:t>
      </w:r>
      <w:r>
        <w:rPr>
          <w:spacing w:val="-3"/>
        </w:rPr>
        <w:t>.  A</w:t>
      </w:r>
      <w:r w:rsidRPr="006F1BD4">
        <w:rPr>
          <w:spacing w:val="-3"/>
        </w:rPr>
        <w:t xml:space="preserve">ccording to the record evidence, only Complainant was impacted.  </w:t>
      </w:r>
      <w:r>
        <w:rPr>
          <w:spacing w:val="-3"/>
        </w:rPr>
        <w:t xml:space="preserve">This criterion would justify </w:t>
      </w:r>
      <w:proofErr w:type="gramStart"/>
      <w:r>
        <w:rPr>
          <w:spacing w:val="-3"/>
        </w:rPr>
        <w:t>mitigating</w:t>
      </w:r>
      <w:proofErr w:type="gramEnd"/>
      <w:r>
        <w:rPr>
          <w:spacing w:val="-3"/>
        </w:rPr>
        <w:t xml:space="preserve"> against a higher penalty.</w:t>
      </w:r>
    </w:p>
    <w:p w:rsidR="00273057" w:rsidRPr="006F1BD4" w:rsidRDefault="00273057" w:rsidP="00273057">
      <w:pPr>
        <w:suppressAutoHyphens/>
        <w:spacing w:line="360" w:lineRule="auto"/>
        <w:rPr>
          <w:spacing w:val="-3"/>
        </w:rPr>
      </w:pPr>
    </w:p>
    <w:p w:rsidR="00273057" w:rsidRPr="006F1BD4" w:rsidRDefault="00273057" w:rsidP="00273057">
      <w:pPr>
        <w:suppressAutoHyphens/>
        <w:spacing w:line="360" w:lineRule="auto"/>
        <w:rPr>
          <w:spacing w:val="-3"/>
        </w:rPr>
      </w:pPr>
      <w:r w:rsidRPr="006F1BD4">
        <w:rPr>
          <w:spacing w:val="-3"/>
        </w:rPr>
        <w:tab/>
      </w:r>
      <w:r w:rsidRPr="006F1BD4">
        <w:rPr>
          <w:spacing w:val="-3"/>
        </w:rPr>
        <w:tab/>
        <w:t xml:space="preserve">The sixth criterion is a consideration of </w:t>
      </w:r>
      <w:r>
        <w:rPr>
          <w:spacing w:val="-3"/>
        </w:rPr>
        <w:t>Respondent’s</w:t>
      </w:r>
      <w:r w:rsidRPr="006F1BD4">
        <w:rPr>
          <w:spacing w:val="-3"/>
        </w:rPr>
        <w:t xml:space="preserve"> compliance history.  No evidence was presented </w:t>
      </w:r>
      <w:r>
        <w:rPr>
          <w:spacing w:val="-3"/>
        </w:rPr>
        <w:t xml:space="preserve">that </w:t>
      </w:r>
      <w:r w:rsidR="00915B60">
        <w:rPr>
          <w:spacing w:val="-3"/>
        </w:rPr>
        <w:t>PPL</w:t>
      </w:r>
      <w:r w:rsidRPr="006F1BD4">
        <w:rPr>
          <w:spacing w:val="-3"/>
        </w:rPr>
        <w:t xml:space="preserve"> has a poor compliance record</w:t>
      </w:r>
      <w:r>
        <w:rPr>
          <w:spacing w:val="-3"/>
        </w:rPr>
        <w:t xml:space="preserve"> for recognizing </w:t>
      </w:r>
      <w:r w:rsidR="00915B60">
        <w:rPr>
          <w:spacing w:val="-3"/>
        </w:rPr>
        <w:t xml:space="preserve">a flaw in its termination procedures or in how one arm of the utility communicates to another arm of the utility when discussing a service account with a customer.  </w:t>
      </w:r>
    </w:p>
    <w:p w:rsidR="00273057" w:rsidRPr="006F1BD4" w:rsidRDefault="00273057" w:rsidP="00273057">
      <w:pPr>
        <w:suppressAutoHyphens/>
        <w:spacing w:line="360" w:lineRule="auto"/>
        <w:rPr>
          <w:spacing w:val="-3"/>
        </w:rPr>
      </w:pPr>
      <w:r w:rsidRPr="006F1BD4">
        <w:rPr>
          <w:spacing w:val="-3"/>
        </w:rPr>
        <w:lastRenderedPageBreak/>
        <w:tab/>
      </w:r>
      <w:r w:rsidRPr="006F1BD4">
        <w:rPr>
          <w:spacing w:val="-3"/>
        </w:rPr>
        <w:tab/>
        <w:t xml:space="preserve">The seventh criterion is whether the regulated entity cooperated with the Commission’s investigation.  </w:t>
      </w:r>
      <w:r>
        <w:rPr>
          <w:spacing w:val="-3"/>
        </w:rPr>
        <w:t xml:space="preserve">There was no investigation by the Commission, and therefore this criterion works neither to mitigate nor to aggravate the penalty to be imposed.  </w:t>
      </w:r>
    </w:p>
    <w:p w:rsidR="00273057" w:rsidRPr="006F1BD4" w:rsidRDefault="00273057" w:rsidP="00273057">
      <w:pPr>
        <w:suppressAutoHyphens/>
        <w:spacing w:line="360" w:lineRule="auto"/>
        <w:rPr>
          <w:spacing w:val="-3"/>
        </w:rPr>
      </w:pPr>
    </w:p>
    <w:p w:rsidR="00273057" w:rsidRPr="006F1BD4" w:rsidRDefault="00273057" w:rsidP="00273057">
      <w:pPr>
        <w:suppressAutoHyphens/>
        <w:spacing w:line="360" w:lineRule="auto"/>
        <w:rPr>
          <w:spacing w:val="-3"/>
        </w:rPr>
      </w:pPr>
      <w:r w:rsidRPr="006F1BD4">
        <w:rPr>
          <w:spacing w:val="-3"/>
        </w:rPr>
        <w:tab/>
      </w:r>
      <w:r w:rsidRPr="006F1BD4">
        <w:rPr>
          <w:spacing w:val="-3"/>
        </w:rPr>
        <w:tab/>
        <w:t xml:space="preserve">  The eighth criterion is the amount of the civil penalty or fine necessary to deter future violations, with consideration of the size of the utility.  </w:t>
      </w:r>
      <w:r w:rsidR="00915B60">
        <w:rPr>
          <w:spacing w:val="-3"/>
        </w:rPr>
        <w:t>PPL</w:t>
      </w:r>
      <w:r>
        <w:rPr>
          <w:spacing w:val="-3"/>
        </w:rPr>
        <w:t xml:space="preserve"> is a large utility with an extensive territory.  </w:t>
      </w:r>
      <w:r w:rsidR="00915B60">
        <w:rPr>
          <w:spacing w:val="-3"/>
        </w:rPr>
        <w:t>PPL</w:t>
      </w:r>
      <w:r>
        <w:rPr>
          <w:spacing w:val="-3"/>
        </w:rPr>
        <w:t xml:space="preserve"> fail</w:t>
      </w:r>
      <w:r w:rsidR="00915B60">
        <w:rPr>
          <w:spacing w:val="-3"/>
        </w:rPr>
        <w:t>ed</w:t>
      </w:r>
      <w:r>
        <w:rPr>
          <w:spacing w:val="-3"/>
        </w:rPr>
        <w:t xml:space="preserve"> to </w:t>
      </w:r>
      <w:r w:rsidR="00915B60">
        <w:rPr>
          <w:spacing w:val="-3"/>
        </w:rPr>
        <w:t xml:space="preserve">recognize the problem, coupled with its failure to maintain good information in its computer system when communicating with a customer.  These failures resulted in a loss of electric service by Complainant for over seven days plus the loss of food due to spoilage.  </w:t>
      </w:r>
      <w:r>
        <w:rPr>
          <w:spacing w:val="-3"/>
        </w:rPr>
        <w:t xml:space="preserve">Therefore, in consideration of all </w:t>
      </w:r>
      <w:r w:rsidRPr="006F1BD4">
        <w:rPr>
          <w:spacing w:val="-3"/>
        </w:rPr>
        <w:t xml:space="preserve">relevant factors, I conclude </w:t>
      </w:r>
      <w:r w:rsidR="00915B60">
        <w:rPr>
          <w:spacing w:val="-3"/>
        </w:rPr>
        <w:t>a penalty of $</w:t>
      </w:r>
      <w:r w:rsidR="007151DD">
        <w:rPr>
          <w:spacing w:val="-3"/>
        </w:rPr>
        <w:t>2</w:t>
      </w:r>
      <w:r>
        <w:rPr>
          <w:spacing w:val="-3"/>
        </w:rPr>
        <w:t>,000</w:t>
      </w:r>
      <w:r w:rsidRPr="006F1BD4">
        <w:rPr>
          <w:spacing w:val="-3"/>
        </w:rPr>
        <w:t xml:space="preserve"> is sufficient to deter future violations.</w:t>
      </w:r>
    </w:p>
    <w:p w:rsidR="00273057" w:rsidRPr="006F1BD4" w:rsidRDefault="00273057" w:rsidP="00273057">
      <w:pPr>
        <w:suppressAutoHyphens/>
        <w:spacing w:line="360" w:lineRule="auto"/>
        <w:rPr>
          <w:spacing w:val="-3"/>
        </w:rPr>
      </w:pPr>
    </w:p>
    <w:p w:rsidR="00273057" w:rsidRDefault="00273057" w:rsidP="00273057">
      <w:pPr>
        <w:suppressAutoHyphens/>
        <w:spacing w:line="360" w:lineRule="auto"/>
        <w:rPr>
          <w:spacing w:val="-3"/>
        </w:rPr>
      </w:pPr>
      <w:r w:rsidRPr="006F1BD4">
        <w:rPr>
          <w:spacing w:val="-3"/>
        </w:rPr>
        <w:tab/>
      </w:r>
      <w:r w:rsidRPr="006F1BD4">
        <w:rPr>
          <w:spacing w:val="-3"/>
        </w:rPr>
        <w:tab/>
        <w:t>The ninth criterion is past Commission decisions</w:t>
      </w:r>
      <w:r>
        <w:rPr>
          <w:spacing w:val="-3"/>
        </w:rPr>
        <w:t>.  N</w:t>
      </w:r>
      <w:r w:rsidRPr="006F1BD4">
        <w:rPr>
          <w:spacing w:val="-3"/>
        </w:rPr>
        <w:t xml:space="preserve">o party cited to any prior Commission decisions involving </w:t>
      </w:r>
      <w:r>
        <w:rPr>
          <w:spacing w:val="-3"/>
        </w:rPr>
        <w:t xml:space="preserve">unreasonable customer service in how a utility </w:t>
      </w:r>
      <w:r w:rsidR="00915B60">
        <w:rPr>
          <w:spacing w:val="-3"/>
        </w:rPr>
        <w:t>terminates electric service due to non-payment by a customer.</w:t>
      </w:r>
      <w:r w:rsidR="00442C6C">
        <w:rPr>
          <w:rStyle w:val="FootnoteReference"/>
          <w:spacing w:val="-3"/>
        </w:rPr>
        <w:footnoteReference w:id="15"/>
      </w:r>
      <w:r w:rsidR="00915B60">
        <w:rPr>
          <w:spacing w:val="-3"/>
        </w:rPr>
        <w:t xml:space="preserve">  </w:t>
      </w:r>
    </w:p>
    <w:p w:rsidR="0082076B" w:rsidRPr="006F1BD4" w:rsidRDefault="0082076B" w:rsidP="00273057">
      <w:pPr>
        <w:suppressAutoHyphens/>
        <w:spacing w:line="360" w:lineRule="auto"/>
        <w:rPr>
          <w:spacing w:val="-3"/>
        </w:rPr>
      </w:pPr>
    </w:p>
    <w:p w:rsidR="00273057" w:rsidRPr="006F1BD4" w:rsidRDefault="00273057" w:rsidP="00273057">
      <w:pPr>
        <w:suppressAutoHyphens/>
        <w:spacing w:line="360" w:lineRule="auto"/>
        <w:rPr>
          <w:spacing w:val="-3"/>
        </w:rPr>
      </w:pPr>
      <w:r w:rsidRPr="006F1BD4">
        <w:rPr>
          <w:spacing w:val="-3"/>
        </w:rPr>
        <w:tab/>
      </w:r>
      <w:r w:rsidRPr="006F1BD4">
        <w:rPr>
          <w:spacing w:val="-3"/>
        </w:rPr>
        <w:tab/>
        <w:t xml:space="preserve">The tenth criterion is other relevant factors, and none have been suggested or considered other than those </w:t>
      </w:r>
      <w:r>
        <w:rPr>
          <w:spacing w:val="-3"/>
        </w:rPr>
        <w:t xml:space="preserve">factors </w:t>
      </w:r>
      <w:r w:rsidRPr="006F1BD4">
        <w:rPr>
          <w:spacing w:val="-3"/>
        </w:rPr>
        <w:t>previously discussed.</w:t>
      </w:r>
    </w:p>
    <w:p w:rsidR="00273057" w:rsidRDefault="00273057" w:rsidP="00273057">
      <w:pPr>
        <w:spacing w:line="360" w:lineRule="auto"/>
      </w:pPr>
    </w:p>
    <w:p w:rsidR="00273057" w:rsidRPr="00504E87" w:rsidRDefault="00273057" w:rsidP="00273057">
      <w:pPr>
        <w:pStyle w:val="PlainText"/>
        <w:spacing w:line="360" w:lineRule="auto"/>
        <w:ind w:firstLine="1440"/>
        <w:rPr>
          <w:rFonts w:ascii="Times New Roman" w:hAnsi="Times New Roman" w:cs="Times New Roman"/>
          <w:sz w:val="24"/>
          <w:szCs w:val="24"/>
        </w:rPr>
      </w:pPr>
      <w:r w:rsidRPr="001B1713">
        <w:rPr>
          <w:rFonts w:ascii="Times New Roman" w:hAnsi="Times New Roman" w:cs="Times New Roman"/>
          <w:sz w:val="24"/>
          <w:szCs w:val="24"/>
        </w:rPr>
        <w:t xml:space="preserve">In this proceeding, </w:t>
      </w:r>
      <w:r w:rsidR="00915B60">
        <w:rPr>
          <w:rFonts w:ascii="Times New Roman" w:hAnsi="Times New Roman" w:cs="Times New Roman"/>
          <w:sz w:val="24"/>
          <w:szCs w:val="24"/>
        </w:rPr>
        <w:t>PPL’s</w:t>
      </w:r>
      <w:r w:rsidRPr="001B1713">
        <w:rPr>
          <w:rFonts w:ascii="Times New Roman" w:hAnsi="Times New Roman" w:cs="Times New Roman"/>
          <w:sz w:val="24"/>
          <w:szCs w:val="24"/>
        </w:rPr>
        <w:t xml:space="preserve"> action</w:t>
      </w:r>
      <w:r>
        <w:rPr>
          <w:rFonts w:ascii="Times New Roman" w:hAnsi="Times New Roman" w:cs="Times New Roman"/>
          <w:sz w:val="24"/>
          <w:szCs w:val="24"/>
        </w:rPr>
        <w:t xml:space="preserve"> – to fail to </w:t>
      </w:r>
      <w:r w:rsidR="00915B60">
        <w:rPr>
          <w:rFonts w:ascii="Times New Roman" w:hAnsi="Times New Roman" w:cs="Times New Roman"/>
          <w:sz w:val="24"/>
          <w:szCs w:val="24"/>
        </w:rPr>
        <w:t xml:space="preserve">properly credit Complainant for her timely payment on June 20, 2014, to properly terminate electric service due to non-payment </w:t>
      </w:r>
      <w:r w:rsidR="000E1818">
        <w:rPr>
          <w:rFonts w:ascii="Times New Roman" w:hAnsi="Times New Roman" w:cs="Times New Roman"/>
          <w:sz w:val="24"/>
          <w:szCs w:val="24"/>
        </w:rPr>
        <w:t>–</w:t>
      </w:r>
      <w:r w:rsidR="00915B60">
        <w:rPr>
          <w:rFonts w:ascii="Times New Roman" w:hAnsi="Times New Roman" w:cs="Times New Roman"/>
          <w:sz w:val="24"/>
          <w:szCs w:val="24"/>
        </w:rPr>
        <w:t xml:space="preserve"> </w:t>
      </w:r>
      <w:r w:rsidRPr="00504E87">
        <w:rPr>
          <w:rFonts w:ascii="Times New Roman" w:hAnsi="Times New Roman" w:cs="Times New Roman"/>
          <w:sz w:val="24"/>
          <w:szCs w:val="24"/>
        </w:rPr>
        <w:t xml:space="preserve">was serious and warrants a penalty.  In addition, the resulting consequences from this action were of a serious nature and warrant a penalty.  A civil penalty is necessary to deter similar future violations, especially in light of the consequences.  Because the evidence presented and taken as a whole proves a civil penalty is necessary, I am assessing a </w:t>
      </w:r>
      <w:r w:rsidR="007151DD">
        <w:rPr>
          <w:rFonts w:ascii="Times New Roman" w:hAnsi="Times New Roman" w:cs="Times New Roman"/>
          <w:sz w:val="24"/>
          <w:szCs w:val="24"/>
        </w:rPr>
        <w:t>Two</w:t>
      </w:r>
      <w:r w:rsidRPr="00504E87">
        <w:rPr>
          <w:rFonts w:ascii="Times New Roman" w:hAnsi="Times New Roman" w:cs="Times New Roman"/>
          <w:sz w:val="24"/>
          <w:szCs w:val="24"/>
        </w:rPr>
        <w:t xml:space="preserve"> Thousand Dollar ($</w:t>
      </w:r>
      <w:r w:rsidR="007151DD">
        <w:rPr>
          <w:rFonts w:ascii="Times New Roman" w:hAnsi="Times New Roman" w:cs="Times New Roman"/>
          <w:sz w:val="24"/>
          <w:szCs w:val="24"/>
        </w:rPr>
        <w:t>2</w:t>
      </w:r>
      <w:r w:rsidRPr="00504E87">
        <w:rPr>
          <w:rFonts w:ascii="Times New Roman" w:hAnsi="Times New Roman" w:cs="Times New Roman"/>
          <w:sz w:val="24"/>
          <w:szCs w:val="24"/>
        </w:rPr>
        <w:t xml:space="preserve">,000) civil penalty against Respondent.  Accordingly, </w:t>
      </w:r>
      <w:r w:rsidR="00915B60">
        <w:rPr>
          <w:rFonts w:ascii="Times New Roman" w:hAnsi="Times New Roman" w:cs="Times New Roman"/>
          <w:sz w:val="24"/>
          <w:szCs w:val="24"/>
        </w:rPr>
        <w:t>PPL</w:t>
      </w:r>
      <w:r w:rsidRPr="00504E87">
        <w:rPr>
          <w:rFonts w:ascii="Times New Roman" w:hAnsi="Times New Roman" w:cs="Times New Roman"/>
          <w:sz w:val="24"/>
          <w:szCs w:val="24"/>
        </w:rPr>
        <w:t xml:space="preserve"> is ordered to pay a civil penalty in the ordering paragraphs below. </w:t>
      </w:r>
    </w:p>
    <w:p w:rsidR="00273057" w:rsidRPr="00504E87" w:rsidRDefault="00273057" w:rsidP="00273057">
      <w:pPr>
        <w:spacing w:line="360" w:lineRule="auto"/>
        <w:rPr>
          <w:sz w:val="26"/>
          <w:szCs w:val="20"/>
          <w:u w:val="single"/>
        </w:rPr>
      </w:pPr>
    </w:p>
    <w:p w:rsidR="0082076B" w:rsidRDefault="0082076B" w:rsidP="00821D88">
      <w:pPr>
        <w:pStyle w:val="BodyText"/>
        <w:jc w:val="left"/>
        <w:rPr>
          <w:sz w:val="24"/>
          <w:szCs w:val="24"/>
          <w:u w:val="single"/>
        </w:rPr>
      </w:pPr>
    </w:p>
    <w:p w:rsidR="00821D88" w:rsidRPr="006E0E7F" w:rsidRDefault="00821D88" w:rsidP="00821D88">
      <w:pPr>
        <w:pStyle w:val="BodyText"/>
        <w:jc w:val="left"/>
        <w:rPr>
          <w:sz w:val="24"/>
          <w:szCs w:val="24"/>
        </w:rPr>
      </w:pPr>
      <w:r w:rsidRPr="006E0E7F">
        <w:rPr>
          <w:sz w:val="24"/>
          <w:szCs w:val="24"/>
          <w:u w:val="single"/>
        </w:rPr>
        <w:lastRenderedPageBreak/>
        <w:t>Conclusion</w:t>
      </w:r>
    </w:p>
    <w:p w:rsidR="00821D88" w:rsidRPr="006E0E7F" w:rsidRDefault="00821D88" w:rsidP="00821D88">
      <w:pPr>
        <w:pStyle w:val="BodyText"/>
        <w:ind w:firstLine="1440"/>
        <w:jc w:val="left"/>
        <w:rPr>
          <w:sz w:val="24"/>
          <w:szCs w:val="24"/>
        </w:rPr>
      </w:pPr>
    </w:p>
    <w:p w:rsidR="00821D88" w:rsidRDefault="00821D88" w:rsidP="00821D88">
      <w:pPr>
        <w:pStyle w:val="BodyText"/>
        <w:ind w:firstLine="1440"/>
        <w:jc w:val="left"/>
        <w:rPr>
          <w:sz w:val="24"/>
          <w:szCs w:val="24"/>
        </w:rPr>
      </w:pPr>
      <w:r w:rsidRPr="006E0E7F">
        <w:rPr>
          <w:sz w:val="24"/>
          <w:szCs w:val="24"/>
        </w:rPr>
        <w:t xml:space="preserve">Accordingly the complaint is sustained in </w:t>
      </w:r>
      <w:r>
        <w:rPr>
          <w:sz w:val="24"/>
          <w:szCs w:val="24"/>
        </w:rPr>
        <w:t xml:space="preserve">part in </w:t>
      </w:r>
      <w:r w:rsidRPr="006E0E7F">
        <w:rPr>
          <w:sz w:val="24"/>
          <w:szCs w:val="24"/>
        </w:rPr>
        <w:t>the ordering paragraphs below</w:t>
      </w:r>
      <w:r>
        <w:rPr>
          <w:sz w:val="24"/>
          <w:szCs w:val="24"/>
        </w:rPr>
        <w:t xml:space="preserve"> </w:t>
      </w:r>
      <w:r w:rsidR="0082076B">
        <w:rPr>
          <w:sz w:val="24"/>
          <w:szCs w:val="24"/>
        </w:rPr>
        <w:t xml:space="preserve">in that the claim of unreasonable service is sustained </w:t>
      </w:r>
      <w:r>
        <w:rPr>
          <w:sz w:val="24"/>
          <w:szCs w:val="24"/>
        </w:rPr>
        <w:t>and Respondent is ordered to pay a civil penalty</w:t>
      </w:r>
      <w:r w:rsidRPr="006E0E7F">
        <w:rPr>
          <w:sz w:val="24"/>
          <w:szCs w:val="24"/>
        </w:rPr>
        <w:t>.</w:t>
      </w:r>
      <w:r w:rsidR="0082076B">
        <w:rPr>
          <w:sz w:val="24"/>
          <w:szCs w:val="24"/>
        </w:rPr>
        <w:t xml:space="preserve">  The complaint is denied in part in that the Commission is without authority to award civil damages.</w:t>
      </w:r>
      <w:r w:rsidRPr="006E0E7F">
        <w:rPr>
          <w:sz w:val="24"/>
          <w:szCs w:val="24"/>
        </w:rPr>
        <w:t xml:space="preserve"> </w:t>
      </w:r>
    </w:p>
    <w:p w:rsidR="00397E46" w:rsidRPr="006E0E7F" w:rsidRDefault="00397E46" w:rsidP="00821D88">
      <w:pPr>
        <w:pStyle w:val="BodyText"/>
        <w:ind w:firstLine="1440"/>
        <w:jc w:val="left"/>
        <w:rPr>
          <w:sz w:val="24"/>
          <w:szCs w:val="24"/>
        </w:rPr>
      </w:pPr>
    </w:p>
    <w:p w:rsidR="007E48E1" w:rsidRPr="008B455C" w:rsidRDefault="007E48E1" w:rsidP="005D4816">
      <w:pPr>
        <w:jc w:val="center"/>
        <w:rPr>
          <w:u w:val="single"/>
        </w:rPr>
      </w:pPr>
      <w:r w:rsidRPr="008B455C">
        <w:rPr>
          <w:u w:val="single"/>
        </w:rPr>
        <w:t>CONCLUSIONS OF LAW</w:t>
      </w:r>
    </w:p>
    <w:p w:rsidR="007E48E1" w:rsidRPr="008B455C" w:rsidRDefault="007E48E1" w:rsidP="007E48E1">
      <w:pPr>
        <w:spacing w:line="360" w:lineRule="auto"/>
        <w:ind w:firstLine="1440"/>
      </w:pPr>
    </w:p>
    <w:p w:rsidR="007E48E1" w:rsidRDefault="007E48E1" w:rsidP="007E48E1">
      <w:pPr>
        <w:numPr>
          <w:ilvl w:val="0"/>
          <w:numId w:val="1"/>
        </w:numPr>
        <w:tabs>
          <w:tab w:val="clear" w:pos="900"/>
          <w:tab w:val="num" w:pos="2160"/>
        </w:tabs>
        <w:spacing w:line="360" w:lineRule="auto"/>
        <w:ind w:left="0" w:firstLine="1440"/>
      </w:pPr>
      <w:r w:rsidRPr="008B455C">
        <w:t xml:space="preserve">The Commission has jurisdiction over the parties and the subject matter of this proceeding.  66 </w:t>
      </w:r>
      <w:proofErr w:type="spellStart"/>
      <w:r w:rsidRPr="008B455C">
        <w:t>Pa.C.S.</w:t>
      </w:r>
      <w:r w:rsidR="00991657">
        <w:t>A</w:t>
      </w:r>
      <w:proofErr w:type="spellEnd"/>
      <w:r w:rsidR="00991657">
        <w:t>.</w:t>
      </w:r>
      <w:r w:rsidRPr="008B455C">
        <w:t xml:space="preserve"> §</w:t>
      </w:r>
      <w:r w:rsidR="004966B5">
        <w:t xml:space="preserve"> </w:t>
      </w:r>
      <w:r w:rsidRPr="008B455C">
        <w:t>701.</w:t>
      </w:r>
    </w:p>
    <w:p w:rsidR="00C340F1" w:rsidRPr="008B455C" w:rsidRDefault="00C340F1" w:rsidP="00C340F1">
      <w:pPr>
        <w:spacing w:line="360" w:lineRule="auto"/>
        <w:ind w:left="1440"/>
      </w:pPr>
    </w:p>
    <w:p w:rsidR="007E48E1" w:rsidRDefault="007E48E1" w:rsidP="00F15AD8">
      <w:pPr>
        <w:pStyle w:val="ListParagraph"/>
        <w:numPr>
          <w:ilvl w:val="0"/>
          <w:numId w:val="1"/>
        </w:numPr>
        <w:tabs>
          <w:tab w:val="clear" w:pos="900"/>
          <w:tab w:val="num" w:pos="90"/>
        </w:tabs>
        <w:spacing w:line="360" w:lineRule="auto"/>
        <w:ind w:left="0" w:firstLine="1440"/>
      </w:pPr>
      <w:r>
        <w:t>Complainant</w:t>
      </w:r>
      <w:r w:rsidRPr="008B455C">
        <w:t xml:space="preserve"> carr</w:t>
      </w:r>
      <w:r w:rsidR="005743F9">
        <w:t>ies</w:t>
      </w:r>
      <w:r w:rsidRPr="008B455C">
        <w:t xml:space="preserve"> the burden of proving Respondent</w:t>
      </w:r>
      <w:r>
        <w:t xml:space="preserve"> did not provide reasonable and adequate service</w:t>
      </w:r>
      <w:r w:rsidRPr="008B455C">
        <w:t xml:space="preserve">.  66 </w:t>
      </w:r>
      <w:proofErr w:type="spellStart"/>
      <w:r w:rsidRPr="008B455C">
        <w:t>Pa.C.S.A</w:t>
      </w:r>
      <w:proofErr w:type="spellEnd"/>
      <w:r w:rsidRPr="008B455C">
        <w:t>. §</w:t>
      </w:r>
      <w:r w:rsidR="004966B5">
        <w:t xml:space="preserve"> </w:t>
      </w:r>
      <w:r w:rsidRPr="008B455C">
        <w:t>332(a).</w:t>
      </w:r>
    </w:p>
    <w:p w:rsidR="00000F22" w:rsidRDefault="00000F22" w:rsidP="007E48E1">
      <w:pPr>
        <w:pStyle w:val="FootnoteText"/>
        <w:spacing w:line="360" w:lineRule="auto"/>
        <w:rPr>
          <w:sz w:val="24"/>
          <w:szCs w:val="24"/>
        </w:rPr>
      </w:pPr>
    </w:p>
    <w:p w:rsidR="007E48E1" w:rsidRPr="008B455C" w:rsidRDefault="007E48E1" w:rsidP="007E48E1">
      <w:pPr>
        <w:pStyle w:val="FootnoteText"/>
        <w:spacing w:line="360" w:lineRule="auto"/>
        <w:rPr>
          <w:sz w:val="24"/>
          <w:szCs w:val="24"/>
        </w:rPr>
      </w:pPr>
      <w:r w:rsidRPr="008B455C">
        <w:rPr>
          <w:sz w:val="24"/>
          <w:szCs w:val="24"/>
        </w:rPr>
        <w:tab/>
      </w:r>
      <w:r w:rsidRPr="008B455C">
        <w:rPr>
          <w:sz w:val="24"/>
          <w:szCs w:val="24"/>
        </w:rPr>
        <w:tab/>
        <w:t>3.</w:t>
      </w:r>
      <w:r w:rsidRPr="008B455C">
        <w:rPr>
          <w:sz w:val="24"/>
          <w:szCs w:val="24"/>
        </w:rPr>
        <w:tab/>
      </w:r>
      <w:r>
        <w:rPr>
          <w:sz w:val="24"/>
          <w:szCs w:val="24"/>
        </w:rPr>
        <w:t xml:space="preserve">Respondent </w:t>
      </w:r>
      <w:r w:rsidR="0088379D">
        <w:rPr>
          <w:sz w:val="24"/>
          <w:szCs w:val="24"/>
        </w:rPr>
        <w:t xml:space="preserve">failed to </w:t>
      </w:r>
      <w:r>
        <w:rPr>
          <w:sz w:val="24"/>
          <w:szCs w:val="24"/>
        </w:rPr>
        <w:t xml:space="preserve">provide Complainant with reasonable and adequate customer service in its </w:t>
      </w:r>
      <w:r w:rsidR="005743F9">
        <w:rPr>
          <w:sz w:val="24"/>
          <w:szCs w:val="24"/>
        </w:rPr>
        <w:t>issuance of termination notices to the service address</w:t>
      </w:r>
      <w:r w:rsidR="0088379D">
        <w:rPr>
          <w:sz w:val="24"/>
          <w:szCs w:val="24"/>
        </w:rPr>
        <w:t xml:space="preserve"> and in its termination for non-payment after Complainant’s payment was received</w:t>
      </w:r>
      <w:r w:rsidRPr="008B455C">
        <w:rPr>
          <w:sz w:val="24"/>
          <w:szCs w:val="24"/>
        </w:rPr>
        <w:t xml:space="preserve">.  </w:t>
      </w:r>
    </w:p>
    <w:p w:rsidR="00A114B1" w:rsidRDefault="00A114B1" w:rsidP="007E48E1">
      <w:pPr>
        <w:spacing w:line="360" w:lineRule="auto"/>
      </w:pPr>
    </w:p>
    <w:p w:rsidR="007E48E1" w:rsidRDefault="007E48E1" w:rsidP="007E48E1">
      <w:pPr>
        <w:spacing w:line="360" w:lineRule="auto"/>
      </w:pPr>
      <w:r w:rsidRPr="008B455C">
        <w:tab/>
      </w:r>
      <w:r w:rsidRPr="008B455C">
        <w:tab/>
        <w:t>4.</w:t>
      </w:r>
      <w:r w:rsidRPr="008B455C">
        <w:tab/>
      </w:r>
      <w:r>
        <w:t>Complainant</w:t>
      </w:r>
      <w:r w:rsidR="00684F86">
        <w:t xml:space="preserve"> </w:t>
      </w:r>
      <w:r w:rsidR="0088379D">
        <w:t>met</w:t>
      </w:r>
      <w:r w:rsidRPr="008B455C">
        <w:t xml:space="preserve"> the burden of proving Respondent</w:t>
      </w:r>
      <w:r>
        <w:t xml:space="preserve"> did not provide reasonable and adequate service.  </w:t>
      </w:r>
      <w:r w:rsidRPr="008B455C">
        <w:t xml:space="preserve">  </w:t>
      </w:r>
    </w:p>
    <w:p w:rsidR="00821D88" w:rsidRDefault="00821D88" w:rsidP="00821D88">
      <w:pPr>
        <w:spacing w:line="360" w:lineRule="auto"/>
      </w:pPr>
    </w:p>
    <w:p w:rsidR="00821D88" w:rsidRDefault="00821D88" w:rsidP="00821D88">
      <w:pPr>
        <w:spacing w:line="360" w:lineRule="auto"/>
      </w:pPr>
      <w:r>
        <w:tab/>
      </w:r>
      <w:r>
        <w:tab/>
        <w:t>5.</w:t>
      </w:r>
      <w:r>
        <w:tab/>
        <w:t xml:space="preserve">The Commission is authorized to consider and impose civil monetary penalties against a public utility company.  </w:t>
      </w:r>
      <w:proofErr w:type="gramStart"/>
      <w:r>
        <w:t xml:space="preserve">52 </w:t>
      </w:r>
      <w:proofErr w:type="spellStart"/>
      <w:r>
        <w:t>Pa.Code</w:t>
      </w:r>
      <w:proofErr w:type="spellEnd"/>
      <w:r>
        <w:t xml:space="preserve"> §</w:t>
      </w:r>
      <w:r w:rsidR="000E1818">
        <w:t xml:space="preserve"> </w:t>
      </w:r>
      <w:r w:rsidR="007F2903">
        <w:t>69.1201</w:t>
      </w:r>
      <w:r>
        <w:t>.</w:t>
      </w:r>
      <w:proofErr w:type="gramEnd"/>
      <w:r w:rsidRPr="008B455C">
        <w:tab/>
      </w:r>
    </w:p>
    <w:p w:rsidR="00EE3501" w:rsidRDefault="00EE3501" w:rsidP="00821D88">
      <w:pPr>
        <w:spacing w:line="360" w:lineRule="auto"/>
      </w:pPr>
    </w:p>
    <w:p w:rsidR="00EE3501" w:rsidRPr="008B455C" w:rsidRDefault="00EE3501" w:rsidP="00821D88">
      <w:pPr>
        <w:spacing w:line="360" w:lineRule="auto"/>
      </w:pPr>
      <w:r>
        <w:tab/>
      </w:r>
      <w:r>
        <w:tab/>
        <w:t>6.</w:t>
      </w:r>
      <w:r>
        <w:tab/>
        <w:t xml:space="preserve">The Commission does not have jurisdiction to award civil damages to Complainant.  </w:t>
      </w:r>
      <w:proofErr w:type="gramStart"/>
      <w:r>
        <w:t xml:space="preserve">66 </w:t>
      </w:r>
      <w:proofErr w:type="spellStart"/>
      <w:r>
        <w:t>Pa.C.S.A</w:t>
      </w:r>
      <w:proofErr w:type="spellEnd"/>
      <w:r>
        <w:t>.</w:t>
      </w:r>
      <w:proofErr w:type="gramEnd"/>
      <w:r>
        <w:t xml:space="preserve"> § 501; </w:t>
      </w:r>
      <w:proofErr w:type="spellStart"/>
      <w:r w:rsidRPr="00EE3501">
        <w:rPr>
          <w:u w:val="single"/>
        </w:rPr>
        <w:t>Poorbaugh</w:t>
      </w:r>
      <w:proofErr w:type="spellEnd"/>
      <w:r w:rsidRPr="00EE3501">
        <w:rPr>
          <w:u w:val="single"/>
        </w:rPr>
        <w:t xml:space="preserve"> v. Pa. Pub. </w:t>
      </w:r>
      <w:proofErr w:type="gramStart"/>
      <w:r w:rsidRPr="00EE3501">
        <w:rPr>
          <w:u w:val="single"/>
        </w:rPr>
        <w:t xml:space="preserve">Util. </w:t>
      </w:r>
      <w:proofErr w:type="spellStart"/>
      <w:r w:rsidRPr="00EE3501">
        <w:rPr>
          <w:u w:val="single"/>
        </w:rPr>
        <w:t>Comm’n</w:t>
      </w:r>
      <w:proofErr w:type="spellEnd"/>
      <w:r>
        <w:rPr>
          <w:u w:val="single"/>
        </w:rPr>
        <w:t>, 666 A.2d 744 (</w:t>
      </w:r>
      <w:proofErr w:type="spellStart"/>
      <w:r>
        <w:rPr>
          <w:u w:val="single"/>
        </w:rPr>
        <w:t>Pa.Cmwlth</w:t>
      </w:r>
      <w:proofErr w:type="spellEnd"/>
      <w:r>
        <w:rPr>
          <w:u w:val="single"/>
        </w:rPr>
        <w:t>. 1995).</w:t>
      </w:r>
      <w:proofErr w:type="gramEnd"/>
    </w:p>
    <w:p w:rsidR="00821D88" w:rsidRDefault="00821D88" w:rsidP="007E48E1">
      <w:pPr>
        <w:spacing w:line="360" w:lineRule="auto"/>
      </w:pPr>
    </w:p>
    <w:p w:rsidR="00397E46" w:rsidRDefault="00397E46">
      <w:pPr>
        <w:rPr>
          <w:u w:val="single"/>
        </w:rPr>
      </w:pPr>
      <w:r>
        <w:rPr>
          <w:u w:val="single"/>
        </w:rPr>
        <w:br w:type="page"/>
      </w:r>
    </w:p>
    <w:p w:rsidR="007E48E1" w:rsidRPr="008B455C" w:rsidRDefault="007E48E1" w:rsidP="007E48E1">
      <w:pPr>
        <w:spacing w:line="360" w:lineRule="auto"/>
        <w:jc w:val="center"/>
        <w:rPr>
          <w:u w:val="single"/>
        </w:rPr>
      </w:pPr>
      <w:r w:rsidRPr="008B455C">
        <w:rPr>
          <w:u w:val="single"/>
        </w:rPr>
        <w:lastRenderedPageBreak/>
        <w:t>ORDER</w:t>
      </w:r>
    </w:p>
    <w:p w:rsidR="007E48E1" w:rsidRDefault="007E48E1" w:rsidP="007E48E1">
      <w:pPr>
        <w:tabs>
          <w:tab w:val="num" w:pos="2160"/>
        </w:tabs>
        <w:spacing w:line="360" w:lineRule="auto"/>
        <w:jc w:val="center"/>
        <w:rPr>
          <w:u w:val="single"/>
        </w:rPr>
      </w:pPr>
    </w:p>
    <w:p w:rsidR="004A7777" w:rsidRPr="008B455C" w:rsidRDefault="004A7777" w:rsidP="007E48E1">
      <w:pPr>
        <w:tabs>
          <w:tab w:val="num" w:pos="2160"/>
        </w:tabs>
        <w:spacing w:line="360" w:lineRule="auto"/>
        <w:jc w:val="center"/>
        <w:rPr>
          <w:u w:val="single"/>
        </w:rPr>
      </w:pPr>
    </w:p>
    <w:p w:rsidR="007E48E1" w:rsidRPr="008B455C" w:rsidRDefault="007E48E1" w:rsidP="007E48E1">
      <w:pPr>
        <w:tabs>
          <w:tab w:val="num" w:pos="2160"/>
        </w:tabs>
        <w:spacing w:line="360" w:lineRule="auto"/>
        <w:ind w:firstLine="1440"/>
      </w:pPr>
      <w:r w:rsidRPr="008B455C">
        <w:t xml:space="preserve">THEREFORE, </w:t>
      </w:r>
    </w:p>
    <w:p w:rsidR="007E48E1" w:rsidRPr="008B455C" w:rsidRDefault="007E48E1" w:rsidP="007E48E1">
      <w:pPr>
        <w:tabs>
          <w:tab w:val="num" w:pos="2160"/>
        </w:tabs>
        <w:spacing w:line="360" w:lineRule="auto"/>
      </w:pPr>
    </w:p>
    <w:p w:rsidR="007E48E1" w:rsidRPr="008B455C" w:rsidRDefault="007E48E1" w:rsidP="007E48E1">
      <w:pPr>
        <w:tabs>
          <w:tab w:val="num" w:pos="2160"/>
        </w:tabs>
        <w:spacing w:line="360" w:lineRule="auto"/>
        <w:ind w:firstLine="1440"/>
      </w:pPr>
      <w:r w:rsidRPr="008B455C">
        <w:t>IT IS ORDERED:</w:t>
      </w:r>
    </w:p>
    <w:p w:rsidR="005D4816" w:rsidRPr="00ED1D67" w:rsidRDefault="005D4816" w:rsidP="002F409C">
      <w:pPr>
        <w:tabs>
          <w:tab w:val="num" w:pos="2160"/>
        </w:tabs>
        <w:spacing w:line="360" w:lineRule="auto"/>
        <w:ind w:firstLine="1440"/>
        <w:outlineLvl w:val="0"/>
      </w:pPr>
    </w:p>
    <w:p w:rsidR="008A2641" w:rsidRDefault="005D4816" w:rsidP="008A2641">
      <w:pPr>
        <w:pStyle w:val="ListParagraph"/>
        <w:numPr>
          <w:ilvl w:val="0"/>
          <w:numId w:val="8"/>
        </w:numPr>
        <w:tabs>
          <w:tab w:val="num" w:pos="2160"/>
        </w:tabs>
        <w:spacing w:line="360" w:lineRule="auto"/>
        <w:ind w:left="0" w:firstLine="1440"/>
        <w:contextualSpacing w:val="0"/>
        <w:outlineLvl w:val="0"/>
      </w:pPr>
      <w:r w:rsidRPr="00ED1D67">
        <w:t xml:space="preserve">That the Formal Complaint filed by </w:t>
      </w:r>
      <w:r w:rsidR="00000F22">
        <w:t>Ruth Sanchez</w:t>
      </w:r>
      <w:r w:rsidRPr="00ED1D67">
        <w:t xml:space="preserve"> against </w:t>
      </w:r>
      <w:r w:rsidR="0027087C">
        <w:t>PPL Electric Utilities Corporation</w:t>
      </w:r>
      <w:r w:rsidRPr="00ED1D67">
        <w:t xml:space="preserve"> at Docket No. C-</w:t>
      </w:r>
      <w:r w:rsidR="00000F22">
        <w:t>2015-2472600</w:t>
      </w:r>
      <w:r w:rsidRPr="00ED1D67">
        <w:t xml:space="preserve"> is </w:t>
      </w:r>
      <w:r w:rsidR="0088379D">
        <w:t>sustained in part</w:t>
      </w:r>
      <w:r w:rsidR="00375E76">
        <w:t xml:space="preserve"> </w:t>
      </w:r>
      <w:r w:rsidR="008A2641">
        <w:t xml:space="preserve">because Complainant </w:t>
      </w:r>
      <w:r w:rsidR="0088379D">
        <w:t>proved</w:t>
      </w:r>
      <w:r w:rsidR="008A2641">
        <w:t xml:space="preserve"> </w:t>
      </w:r>
      <w:r w:rsidR="008A2641" w:rsidRPr="008B455C">
        <w:t>Respondent</w:t>
      </w:r>
      <w:r w:rsidR="008A2641">
        <w:t xml:space="preserve"> </w:t>
      </w:r>
      <w:r w:rsidR="00684F86">
        <w:t>failed to</w:t>
      </w:r>
      <w:r w:rsidR="008A2641">
        <w:t xml:space="preserve"> provide reasonable and adequate service</w:t>
      </w:r>
      <w:r w:rsidR="008A2641" w:rsidRPr="008B455C">
        <w:t>.</w:t>
      </w:r>
    </w:p>
    <w:p w:rsidR="0088379D" w:rsidRDefault="0088379D" w:rsidP="0088379D">
      <w:pPr>
        <w:pStyle w:val="ListParagraph"/>
        <w:spacing w:line="360" w:lineRule="auto"/>
        <w:ind w:left="1440"/>
        <w:contextualSpacing w:val="0"/>
        <w:outlineLvl w:val="0"/>
      </w:pPr>
    </w:p>
    <w:p w:rsidR="0088379D" w:rsidRDefault="0088379D" w:rsidP="008A2641">
      <w:pPr>
        <w:pStyle w:val="ListParagraph"/>
        <w:numPr>
          <w:ilvl w:val="0"/>
          <w:numId w:val="8"/>
        </w:numPr>
        <w:tabs>
          <w:tab w:val="num" w:pos="2160"/>
        </w:tabs>
        <w:spacing w:line="360" w:lineRule="auto"/>
        <w:ind w:left="0" w:firstLine="1440"/>
        <w:contextualSpacing w:val="0"/>
        <w:outlineLvl w:val="0"/>
      </w:pPr>
      <w:r w:rsidRPr="00ED1D67">
        <w:t xml:space="preserve">That the Formal Complaint filed by </w:t>
      </w:r>
      <w:r>
        <w:t>Ruth Sanchez</w:t>
      </w:r>
      <w:r w:rsidRPr="00ED1D67">
        <w:t xml:space="preserve"> against </w:t>
      </w:r>
      <w:r>
        <w:t>PPL Electric Utilities Corporation</w:t>
      </w:r>
      <w:r w:rsidRPr="00ED1D67">
        <w:t xml:space="preserve"> at Docket No. C-</w:t>
      </w:r>
      <w:r>
        <w:t>2015-2472600</w:t>
      </w:r>
      <w:r w:rsidRPr="00ED1D67">
        <w:t xml:space="preserve"> is </w:t>
      </w:r>
      <w:r>
        <w:t>denied in part because the Public Utility Commission is without authority to issue civil damages.</w:t>
      </w:r>
    </w:p>
    <w:p w:rsidR="00821D88" w:rsidRDefault="00821D88" w:rsidP="00821D88">
      <w:pPr>
        <w:tabs>
          <w:tab w:val="num" w:pos="2160"/>
        </w:tabs>
        <w:spacing w:line="360" w:lineRule="auto"/>
        <w:ind w:firstLine="1440"/>
      </w:pPr>
    </w:p>
    <w:p w:rsidR="00821D88" w:rsidRDefault="00821D88" w:rsidP="00821D88">
      <w:pPr>
        <w:tabs>
          <w:tab w:val="num" w:pos="2160"/>
        </w:tabs>
        <w:spacing w:line="360" w:lineRule="auto"/>
        <w:ind w:firstLine="1440"/>
      </w:pPr>
      <w:r>
        <w:t>3.</w:t>
      </w:r>
      <w:r>
        <w:tab/>
        <w:t xml:space="preserve">That </w:t>
      </w:r>
      <w:r w:rsidR="00442C6C">
        <w:t>PPL Electric Utilities Corporation</w:t>
      </w:r>
      <w:r w:rsidR="00442C6C" w:rsidRPr="00EA1625">
        <w:t xml:space="preserve"> </w:t>
      </w:r>
      <w:r w:rsidRPr="00EA1625">
        <w:t xml:space="preserve">is hereby </w:t>
      </w:r>
      <w:r>
        <w:t xml:space="preserve">assessed the penalty of </w:t>
      </w:r>
      <w:r w:rsidR="007151DD">
        <w:t>Two</w:t>
      </w:r>
      <w:r>
        <w:t xml:space="preserve"> Thousand </w:t>
      </w:r>
      <w:r w:rsidR="000E1818">
        <w:t>D</w:t>
      </w:r>
      <w:r>
        <w:t>ollars ($</w:t>
      </w:r>
      <w:r w:rsidR="007151DD">
        <w:t>2</w:t>
      </w:r>
      <w:r>
        <w:t xml:space="preserve">,000) because Respondent </w:t>
      </w:r>
      <w:r w:rsidR="00C9782A">
        <w:t>im</w:t>
      </w:r>
      <w:r w:rsidR="00442C6C">
        <w:t>properly terminate</w:t>
      </w:r>
      <w:r w:rsidR="00C9782A">
        <w:t>d</w:t>
      </w:r>
      <w:bookmarkStart w:id="1" w:name="_GoBack"/>
      <w:bookmarkEnd w:id="1"/>
      <w:r w:rsidR="00442C6C">
        <w:t xml:space="preserve"> electric service to Ruth Sanchez on July 15, 2014 and failed to timely restore electric service after receiving payment on July 18, 2014</w:t>
      </w:r>
      <w:r>
        <w:t>.</w:t>
      </w:r>
    </w:p>
    <w:p w:rsidR="00821D88" w:rsidRDefault="00821D88" w:rsidP="00821D88">
      <w:pPr>
        <w:tabs>
          <w:tab w:val="num" w:pos="2160"/>
        </w:tabs>
        <w:spacing w:line="360" w:lineRule="auto"/>
        <w:ind w:firstLine="1440"/>
      </w:pPr>
    </w:p>
    <w:p w:rsidR="00821D88" w:rsidRDefault="00821D88" w:rsidP="00821D88">
      <w:pPr>
        <w:tabs>
          <w:tab w:val="num" w:pos="2160"/>
        </w:tabs>
        <w:spacing w:line="360" w:lineRule="auto"/>
        <w:ind w:firstLine="1440"/>
      </w:pPr>
      <w:r>
        <w:t>4.</w:t>
      </w:r>
      <w:r>
        <w:tab/>
        <w:t xml:space="preserve">That </w:t>
      </w:r>
      <w:r w:rsidR="00442C6C">
        <w:t xml:space="preserve">PPL Electric Utilities Corporation </w:t>
      </w:r>
      <w:r>
        <w:t xml:space="preserve">within thirty (30) days of the Commission’s Order in this case shall pay a civil penalty in the amount of </w:t>
      </w:r>
      <w:r w:rsidR="007151DD">
        <w:t xml:space="preserve">Two Thousand </w:t>
      </w:r>
      <w:r w:rsidR="000E1818">
        <w:t>D</w:t>
      </w:r>
      <w:r w:rsidR="007151DD">
        <w:t>ollars ($2</w:t>
      </w:r>
      <w:r>
        <w:t xml:space="preserve">,000) by sending a certified check or money order payable to the </w:t>
      </w:r>
      <w:r w:rsidR="00EE3501">
        <w:t>“Commonwealth of Pennsylvania”</w:t>
      </w:r>
      <w:r>
        <w:t xml:space="preserve"> addressed to:</w:t>
      </w:r>
    </w:p>
    <w:p w:rsidR="00821D88" w:rsidRDefault="00821D88" w:rsidP="00821D88">
      <w:pPr>
        <w:tabs>
          <w:tab w:val="num" w:pos="2160"/>
        </w:tabs>
        <w:ind w:firstLine="1440"/>
      </w:pPr>
    </w:p>
    <w:p w:rsidR="00821D88" w:rsidRDefault="00821D88" w:rsidP="00821D88">
      <w:pPr>
        <w:tabs>
          <w:tab w:val="num" w:pos="2160"/>
        </w:tabs>
        <w:ind w:firstLine="1440"/>
      </w:pPr>
      <w:r>
        <w:tab/>
        <w:t>Pennsylvania Public Utility Commission</w:t>
      </w:r>
    </w:p>
    <w:p w:rsidR="00821D88" w:rsidRDefault="00821D88" w:rsidP="00821D88">
      <w:pPr>
        <w:tabs>
          <w:tab w:val="num" w:pos="2160"/>
        </w:tabs>
        <w:ind w:firstLine="1440"/>
      </w:pPr>
      <w:r>
        <w:tab/>
      </w:r>
      <w:smartTag w:uri="urn:schemas-microsoft-com:office:smarttags" w:element="address">
        <w:smartTag w:uri="urn:schemas-microsoft-com:office:smarttags" w:element="Street">
          <w:r>
            <w:t>P.O. Box</w:t>
          </w:r>
        </w:smartTag>
        <w:r>
          <w:t xml:space="preserve"> 3265</w:t>
        </w:r>
      </w:smartTag>
    </w:p>
    <w:p w:rsidR="00821D88" w:rsidRDefault="00821D88" w:rsidP="00821D88">
      <w:pPr>
        <w:tabs>
          <w:tab w:val="num" w:pos="2160"/>
        </w:tabs>
        <w:spacing w:line="360" w:lineRule="auto"/>
        <w:ind w:firstLine="1440"/>
      </w:pPr>
      <w:r>
        <w:tab/>
        <w:t xml:space="preserve">Harrisburg, PA </w:t>
      </w:r>
      <w:r w:rsidR="000E1818">
        <w:t xml:space="preserve"> </w:t>
      </w:r>
      <w:r>
        <w:t>17105-3265</w:t>
      </w:r>
    </w:p>
    <w:p w:rsidR="00821D88" w:rsidRDefault="00821D88" w:rsidP="00821D88">
      <w:pPr>
        <w:tabs>
          <w:tab w:val="num" w:pos="2160"/>
        </w:tabs>
        <w:spacing w:line="360" w:lineRule="auto"/>
        <w:ind w:firstLine="1440"/>
      </w:pPr>
    </w:p>
    <w:p w:rsidR="00821D88" w:rsidRDefault="00821D88" w:rsidP="00821D88">
      <w:pPr>
        <w:tabs>
          <w:tab w:val="num" w:pos="2160"/>
        </w:tabs>
        <w:spacing w:line="360" w:lineRule="auto"/>
        <w:ind w:firstLine="1440"/>
      </w:pPr>
      <w:r>
        <w:t>5.</w:t>
      </w:r>
      <w:r>
        <w:tab/>
        <w:t xml:space="preserve">That </w:t>
      </w:r>
      <w:r w:rsidR="00442C6C">
        <w:t xml:space="preserve">PPL Electric Utilities Corporation </w:t>
      </w:r>
      <w:r>
        <w:t xml:space="preserve">shall cease and desist from further violations of the Public Utility Code, 66 </w:t>
      </w:r>
      <w:proofErr w:type="spellStart"/>
      <w:r>
        <w:t>Pa.C.S.A</w:t>
      </w:r>
      <w:proofErr w:type="spellEnd"/>
      <w:r>
        <w:t xml:space="preserve">. </w:t>
      </w:r>
      <w:proofErr w:type="gramStart"/>
      <w:r>
        <w:t>§</w:t>
      </w:r>
      <w:r w:rsidR="000E1818">
        <w:t xml:space="preserve"> </w:t>
      </w:r>
      <w:r>
        <w:t>101 et seq.</w:t>
      </w:r>
      <w:proofErr w:type="gramEnd"/>
    </w:p>
    <w:p w:rsidR="00821D88" w:rsidRDefault="00821D88" w:rsidP="00821D88">
      <w:pPr>
        <w:tabs>
          <w:tab w:val="num" w:pos="2160"/>
        </w:tabs>
      </w:pPr>
    </w:p>
    <w:p w:rsidR="005D4816" w:rsidRPr="00ED1D67" w:rsidRDefault="005D4816" w:rsidP="00821D88">
      <w:pPr>
        <w:pStyle w:val="ListParagraph"/>
        <w:numPr>
          <w:ilvl w:val="0"/>
          <w:numId w:val="9"/>
        </w:numPr>
        <w:spacing w:line="360" w:lineRule="auto"/>
        <w:ind w:left="1440" w:firstLine="0"/>
        <w:outlineLvl w:val="0"/>
      </w:pPr>
      <w:r w:rsidRPr="00ED1D67">
        <w:lastRenderedPageBreak/>
        <w:t xml:space="preserve">That the Secretary </w:t>
      </w:r>
      <w:proofErr w:type="gramStart"/>
      <w:r w:rsidRPr="00ED1D67">
        <w:t>mark</w:t>
      </w:r>
      <w:proofErr w:type="gramEnd"/>
      <w:r w:rsidRPr="00ED1D67">
        <w:t xml:space="preserve"> this docket closed.</w:t>
      </w:r>
    </w:p>
    <w:p w:rsidR="002C1C42" w:rsidRDefault="002C1C42" w:rsidP="002C1C42">
      <w:pPr>
        <w:tabs>
          <w:tab w:val="num" w:pos="2160"/>
        </w:tabs>
      </w:pPr>
    </w:p>
    <w:p w:rsidR="008A2641" w:rsidRDefault="008A2641" w:rsidP="002375C7">
      <w:pPr>
        <w:tabs>
          <w:tab w:val="num" w:pos="2160"/>
        </w:tabs>
      </w:pPr>
      <w:r>
        <w:tab/>
      </w:r>
    </w:p>
    <w:p w:rsidR="004F73A9" w:rsidRDefault="004F73A9" w:rsidP="002375C7">
      <w:pPr>
        <w:tabs>
          <w:tab w:val="num" w:pos="2160"/>
        </w:tabs>
      </w:pPr>
    </w:p>
    <w:p w:rsidR="004F73A9" w:rsidRPr="008B455C" w:rsidRDefault="004F73A9" w:rsidP="002375C7">
      <w:pPr>
        <w:tabs>
          <w:tab w:val="num" w:pos="2160"/>
        </w:tabs>
      </w:pPr>
    </w:p>
    <w:p w:rsidR="00786E1C" w:rsidRDefault="008A2641" w:rsidP="00786E1C">
      <w:r w:rsidRPr="008B455C">
        <w:t>Date:</w:t>
      </w:r>
      <w:r w:rsidR="002375C7">
        <w:t xml:space="preserve"> </w:t>
      </w:r>
      <w:r w:rsidRPr="008B455C">
        <w:t xml:space="preserve"> </w:t>
      </w:r>
      <w:r w:rsidR="00915B60">
        <w:rPr>
          <w:u w:val="single"/>
        </w:rPr>
        <w:t>October 1</w:t>
      </w:r>
      <w:r w:rsidR="000E1818">
        <w:rPr>
          <w:u w:val="single"/>
        </w:rPr>
        <w:t>6</w:t>
      </w:r>
      <w:r w:rsidR="00000F22">
        <w:rPr>
          <w:u w:val="single"/>
        </w:rPr>
        <w:t>, 2015</w:t>
      </w:r>
      <w:r w:rsidRPr="008B455C">
        <w:tab/>
      </w:r>
      <w:r w:rsidR="00B03A1F">
        <w:tab/>
      </w:r>
      <w:r w:rsidR="002375C7">
        <w:tab/>
      </w:r>
      <w:r w:rsidR="002375C7">
        <w:tab/>
      </w:r>
      <w:r w:rsidR="00786E1C">
        <w:rPr>
          <w:u w:val="single"/>
        </w:rPr>
        <w:tab/>
      </w:r>
      <w:r w:rsidR="00786E1C">
        <w:rPr>
          <w:u w:val="single"/>
        </w:rPr>
        <w:tab/>
        <w:t>/s/</w:t>
      </w:r>
      <w:r w:rsidR="00786E1C">
        <w:rPr>
          <w:u w:val="single"/>
        </w:rPr>
        <w:tab/>
      </w:r>
      <w:r w:rsidR="00786E1C">
        <w:rPr>
          <w:u w:val="single"/>
        </w:rPr>
        <w:tab/>
      </w:r>
      <w:r w:rsidR="00786E1C">
        <w:rPr>
          <w:u w:val="single"/>
        </w:rPr>
        <w:tab/>
      </w:r>
      <w:r w:rsidR="004C2F06">
        <w:rPr>
          <w:u w:val="single"/>
        </w:rPr>
        <w:tab/>
      </w:r>
    </w:p>
    <w:p w:rsidR="008A2641" w:rsidRPr="008B455C" w:rsidRDefault="008A2641" w:rsidP="002375C7">
      <w:pPr>
        <w:tabs>
          <w:tab w:val="num" w:pos="2160"/>
        </w:tabs>
      </w:pPr>
      <w:r w:rsidRPr="008B455C">
        <w:tab/>
      </w:r>
      <w:r w:rsidRPr="008B455C">
        <w:tab/>
      </w:r>
      <w:r w:rsidRPr="008B455C">
        <w:tab/>
      </w:r>
      <w:r w:rsidRPr="008B455C">
        <w:tab/>
      </w:r>
      <w:r w:rsidRPr="008B455C">
        <w:tab/>
        <w:t>Katrina L. Dunderdale</w:t>
      </w:r>
    </w:p>
    <w:p w:rsidR="00CA57BA" w:rsidRPr="008B455C" w:rsidRDefault="008A2641" w:rsidP="002375C7">
      <w:pPr>
        <w:tabs>
          <w:tab w:val="num" w:pos="2160"/>
        </w:tabs>
      </w:pPr>
      <w:r w:rsidRPr="008B455C">
        <w:tab/>
      </w:r>
      <w:r w:rsidRPr="008B455C">
        <w:tab/>
      </w:r>
      <w:r w:rsidRPr="008B455C">
        <w:tab/>
      </w:r>
      <w:r>
        <w:tab/>
      </w:r>
      <w:r>
        <w:tab/>
        <w:t>Administrative Law Judge</w:t>
      </w:r>
    </w:p>
    <w:sectPr w:rsidR="00CA57BA" w:rsidRPr="008B455C" w:rsidSect="00F6612B">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paperSrc w:first="5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6A7E" w:rsidRDefault="00016A7E">
      <w:r>
        <w:separator/>
      </w:r>
    </w:p>
  </w:endnote>
  <w:endnote w:type="continuationSeparator" w:id="0">
    <w:p w:rsidR="00016A7E" w:rsidRDefault="00016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0562" w:rsidRDefault="00E52929" w:rsidP="008E4FD6">
    <w:pPr>
      <w:pStyle w:val="Footer"/>
      <w:framePr w:wrap="around" w:vAnchor="text" w:hAnchor="margin" w:xAlign="center" w:y="1"/>
      <w:rPr>
        <w:rStyle w:val="PageNumber"/>
      </w:rPr>
    </w:pPr>
    <w:r>
      <w:rPr>
        <w:rStyle w:val="PageNumber"/>
      </w:rPr>
      <w:fldChar w:fldCharType="begin"/>
    </w:r>
    <w:r w:rsidR="00F30562">
      <w:rPr>
        <w:rStyle w:val="PageNumber"/>
      </w:rPr>
      <w:instrText xml:space="preserve">PAGE  </w:instrText>
    </w:r>
    <w:r>
      <w:rPr>
        <w:rStyle w:val="PageNumber"/>
      </w:rPr>
      <w:fldChar w:fldCharType="end"/>
    </w:r>
  </w:p>
  <w:p w:rsidR="00F30562" w:rsidRDefault="00F3056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0562" w:rsidRPr="00770B30" w:rsidRDefault="00E52929" w:rsidP="008E4FD6">
    <w:pPr>
      <w:pStyle w:val="Footer"/>
      <w:framePr w:wrap="around" w:vAnchor="text" w:hAnchor="margin" w:xAlign="center" w:y="1"/>
      <w:rPr>
        <w:rStyle w:val="PageNumber"/>
        <w:sz w:val="20"/>
        <w:szCs w:val="20"/>
      </w:rPr>
    </w:pPr>
    <w:r w:rsidRPr="00770B30">
      <w:rPr>
        <w:rStyle w:val="PageNumber"/>
        <w:sz w:val="20"/>
        <w:szCs w:val="20"/>
      </w:rPr>
      <w:fldChar w:fldCharType="begin"/>
    </w:r>
    <w:r w:rsidR="00F30562" w:rsidRPr="00770B30">
      <w:rPr>
        <w:rStyle w:val="PageNumber"/>
        <w:sz w:val="20"/>
        <w:szCs w:val="20"/>
      </w:rPr>
      <w:instrText xml:space="preserve">PAGE  </w:instrText>
    </w:r>
    <w:r w:rsidRPr="00770B30">
      <w:rPr>
        <w:rStyle w:val="PageNumber"/>
        <w:sz w:val="20"/>
        <w:szCs w:val="20"/>
      </w:rPr>
      <w:fldChar w:fldCharType="separate"/>
    </w:r>
    <w:r w:rsidR="00C9782A">
      <w:rPr>
        <w:rStyle w:val="PageNumber"/>
        <w:noProof/>
        <w:sz w:val="20"/>
        <w:szCs w:val="20"/>
      </w:rPr>
      <w:t>17</w:t>
    </w:r>
    <w:r w:rsidRPr="00770B30">
      <w:rPr>
        <w:rStyle w:val="PageNumber"/>
        <w:sz w:val="20"/>
        <w:szCs w:val="20"/>
      </w:rPr>
      <w:fldChar w:fldCharType="end"/>
    </w:r>
  </w:p>
  <w:p w:rsidR="00F30562" w:rsidRDefault="00F3056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0B30" w:rsidRDefault="00770B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6A7E" w:rsidRDefault="00016A7E">
      <w:r>
        <w:separator/>
      </w:r>
    </w:p>
  </w:footnote>
  <w:footnote w:type="continuationSeparator" w:id="0">
    <w:p w:rsidR="00016A7E" w:rsidRDefault="00016A7E">
      <w:r>
        <w:continuationSeparator/>
      </w:r>
    </w:p>
  </w:footnote>
  <w:footnote w:id="1">
    <w:p w:rsidR="005D4816" w:rsidRDefault="005D4816" w:rsidP="007F1139">
      <w:pPr>
        <w:pStyle w:val="FootnoteText"/>
      </w:pPr>
      <w:r w:rsidRPr="00A41132">
        <w:rPr>
          <w:rStyle w:val="FootnoteReference"/>
        </w:rPr>
        <w:footnoteRef/>
      </w:r>
      <w:r w:rsidRPr="00A41132">
        <w:t xml:space="preserve"> </w:t>
      </w:r>
      <w:r w:rsidRPr="00A41132">
        <w:tab/>
      </w:r>
      <w:proofErr w:type="gramStart"/>
      <w:r w:rsidRPr="00A41132">
        <w:rPr>
          <w:u w:val="single"/>
        </w:rPr>
        <w:t>Patterson v. Bell Telephone Co. of Pa.</w:t>
      </w:r>
      <w:r>
        <w:t>, 72 Pa. P</w:t>
      </w:r>
      <w:r w:rsidRPr="00A41132">
        <w:t xml:space="preserve">UC 196 (1990); </w:t>
      </w:r>
      <w:r w:rsidRPr="00A41132">
        <w:rPr>
          <w:u w:val="single"/>
        </w:rPr>
        <w:t>Feinstein v. Philadelphia Suburban Water Co.</w:t>
      </w:r>
      <w:r w:rsidRPr="00A41132">
        <w:t>, 50 Pa. PUC 300 (1976).</w:t>
      </w:r>
      <w:proofErr w:type="gramEnd"/>
      <w:r w:rsidRPr="00A41132">
        <w:t xml:space="preserve">  </w:t>
      </w:r>
    </w:p>
    <w:p w:rsidR="00876EC6" w:rsidRPr="00A41132" w:rsidRDefault="00876EC6" w:rsidP="007F1139">
      <w:pPr>
        <w:pStyle w:val="FootnoteText"/>
      </w:pPr>
    </w:p>
  </w:footnote>
  <w:footnote w:id="2">
    <w:p w:rsidR="005D4816" w:rsidRPr="00A41132" w:rsidRDefault="005D4816" w:rsidP="00F37416">
      <w:pPr>
        <w:pStyle w:val="FootnoteText"/>
      </w:pPr>
      <w:r w:rsidRPr="00A41132">
        <w:rPr>
          <w:rStyle w:val="FootnoteReference"/>
        </w:rPr>
        <w:footnoteRef/>
      </w:r>
      <w:r w:rsidRPr="00A41132">
        <w:t xml:space="preserve"> </w:t>
      </w:r>
      <w:r w:rsidRPr="00A41132">
        <w:tab/>
      </w:r>
      <w:proofErr w:type="gramStart"/>
      <w:r w:rsidRPr="00A41132">
        <w:rPr>
          <w:u w:val="single"/>
        </w:rPr>
        <w:t xml:space="preserve">Samuel J. </w:t>
      </w:r>
      <w:proofErr w:type="spellStart"/>
      <w:r w:rsidRPr="00A41132">
        <w:rPr>
          <w:u w:val="single"/>
        </w:rPr>
        <w:t>Lansberry</w:t>
      </w:r>
      <w:proofErr w:type="spellEnd"/>
      <w:r w:rsidRPr="00A41132">
        <w:rPr>
          <w:u w:val="single"/>
        </w:rPr>
        <w:t>, Inc. v. Pa. Pub</w:t>
      </w:r>
      <w:r>
        <w:rPr>
          <w:u w:val="single"/>
        </w:rPr>
        <w:t>.</w:t>
      </w:r>
      <w:proofErr w:type="gramEnd"/>
      <w:r>
        <w:rPr>
          <w:u w:val="single"/>
        </w:rPr>
        <w:t xml:space="preserve"> </w:t>
      </w:r>
      <w:proofErr w:type="gramStart"/>
      <w:r w:rsidRPr="00A41132">
        <w:rPr>
          <w:u w:val="single"/>
        </w:rPr>
        <w:t>Util</w:t>
      </w:r>
      <w:r>
        <w:rPr>
          <w:u w:val="single"/>
        </w:rPr>
        <w:t xml:space="preserve">. </w:t>
      </w:r>
      <w:proofErr w:type="spellStart"/>
      <w:r w:rsidRPr="00A41132">
        <w:rPr>
          <w:u w:val="single"/>
        </w:rPr>
        <w:t>Comm</w:t>
      </w:r>
      <w:r>
        <w:rPr>
          <w:u w:val="single"/>
        </w:rPr>
        <w:t>’n</w:t>
      </w:r>
      <w:proofErr w:type="spellEnd"/>
      <w:r w:rsidRPr="00A41132">
        <w:t>, 578 A.2d 600 (</w:t>
      </w:r>
      <w:proofErr w:type="spellStart"/>
      <w:r w:rsidRPr="00A41132">
        <w:t>Pa.Cmwlth</w:t>
      </w:r>
      <w:proofErr w:type="spellEnd"/>
      <w:r w:rsidRPr="00A41132">
        <w:t xml:space="preserve">. 1990), </w:t>
      </w:r>
      <w:proofErr w:type="spellStart"/>
      <w:r w:rsidRPr="00A41132">
        <w:rPr>
          <w:u w:val="single"/>
        </w:rPr>
        <w:t>alloc</w:t>
      </w:r>
      <w:proofErr w:type="spellEnd"/>
      <w:r w:rsidRPr="00A41132">
        <w:rPr>
          <w:u w:val="single"/>
        </w:rPr>
        <w:t>.</w:t>
      </w:r>
      <w:proofErr w:type="gramEnd"/>
      <w:r w:rsidRPr="00A41132">
        <w:rPr>
          <w:u w:val="single"/>
        </w:rPr>
        <w:t xml:space="preserve"> </w:t>
      </w:r>
      <w:proofErr w:type="gramStart"/>
      <w:r w:rsidRPr="00A41132">
        <w:rPr>
          <w:u w:val="single"/>
        </w:rPr>
        <w:t>den.</w:t>
      </w:r>
      <w:r w:rsidRPr="00A41132">
        <w:t xml:space="preserve">, 602 A.2d 863 (Pa. 1992); </w:t>
      </w:r>
      <w:r w:rsidRPr="00A41132">
        <w:rPr>
          <w:u w:val="single"/>
        </w:rPr>
        <w:t xml:space="preserve">Se-Ling Hosiery v. </w:t>
      </w:r>
      <w:r w:rsidRPr="00A41132">
        <w:rPr>
          <w:spacing w:val="-3"/>
          <w:u w:val="single"/>
        </w:rPr>
        <w:t>Margulies</w:t>
      </w:r>
      <w:r w:rsidRPr="00A41132">
        <w:t>, 70 A.2d 854 (Pa. 1950).</w:t>
      </w:r>
      <w:proofErr w:type="gramEnd"/>
      <w:r w:rsidRPr="00A41132">
        <w:t xml:space="preserve">  </w:t>
      </w:r>
    </w:p>
  </w:footnote>
  <w:footnote w:id="3">
    <w:p w:rsidR="005D4816" w:rsidRPr="00A41132" w:rsidRDefault="005D4816" w:rsidP="00F37416">
      <w:pPr>
        <w:pStyle w:val="FootnoteText"/>
      </w:pPr>
    </w:p>
    <w:p w:rsidR="005D4816" w:rsidRPr="00A41132" w:rsidRDefault="005D4816" w:rsidP="00F37416">
      <w:pPr>
        <w:pStyle w:val="FootnoteText"/>
      </w:pPr>
      <w:r w:rsidRPr="00A41132">
        <w:rPr>
          <w:rStyle w:val="FootnoteReference"/>
        </w:rPr>
        <w:footnoteRef/>
      </w:r>
      <w:r w:rsidRPr="00A41132">
        <w:t xml:space="preserve"> </w:t>
      </w:r>
      <w:r w:rsidRPr="00A41132">
        <w:tab/>
      </w:r>
      <w:proofErr w:type="gramStart"/>
      <w:r w:rsidRPr="00A41132">
        <w:rPr>
          <w:u w:val="single"/>
        </w:rPr>
        <w:t>Mill v. Pa. Pub</w:t>
      </w:r>
      <w:r>
        <w:rPr>
          <w:u w:val="single"/>
        </w:rPr>
        <w:t>.</w:t>
      </w:r>
      <w:proofErr w:type="gramEnd"/>
      <w:r w:rsidRPr="00A41132">
        <w:rPr>
          <w:u w:val="single"/>
        </w:rPr>
        <w:t xml:space="preserve"> </w:t>
      </w:r>
      <w:proofErr w:type="gramStart"/>
      <w:r w:rsidRPr="00A41132">
        <w:rPr>
          <w:u w:val="single"/>
        </w:rPr>
        <w:t>Util</w:t>
      </w:r>
      <w:r>
        <w:rPr>
          <w:u w:val="single"/>
        </w:rPr>
        <w:t xml:space="preserve">. </w:t>
      </w:r>
      <w:proofErr w:type="spellStart"/>
      <w:r w:rsidRPr="00A41132">
        <w:rPr>
          <w:u w:val="single"/>
        </w:rPr>
        <w:t>Comm</w:t>
      </w:r>
      <w:r>
        <w:rPr>
          <w:u w:val="single"/>
        </w:rPr>
        <w:t>’n</w:t>
      </w:r>
      <w:proofErr w:type="spellEnd"/>
      <w:r w:rsidRPr="00A41132">
        <w:t>, 447 A.2d 1100 (</w:t>
      </w:r>
      <w:proofErr w:type="spellStart"/>
      <w:r w:rsidRPr="00A41132">
        <w:t>Pa.Cmwlth</w:t>
      </w:r>
      <w:proofErr w:type="spellEnd"/>
      <w:r w:rsidRPr="00A41132">
        <w:t xml:space="preserve">. 1982); </w:t>
      </w:r>
      <w:proofErr w:type="spellStart"/>
      <w:r w:rsidRPr="00A41132">
        <w:rPr>
          <w:u w:val="single"/>
        </w:rPr>
        <w:t>Edan</w:t>
      </w:r>
      <w:proofErr w:type="spellEnd"/>
      <w:r w:rsidRPr="00A41132">
        <w:rPr>
          <w:u w:val="single"/>
        </w:rPr>
        <w:t xml:space="preserve"> Transportation Corp. v. Pa. Pub</w:t>
      </w:r>
      <w:r>
        <w:rPr>
          <w:u w:val="single"/>
        </w:rPr>
        <w:t>.</w:t>
      </w:r>
      <w:proofErr w:type="gramEnd"/>
      <w:r w:rsidRPr="00A41132">
        <w:rPr>
          <w:u w:val="single"/>
        </w:rPr>
        <w:t xml:space="preserve"> </w:t>
      </w:r>
      <w:proofErr w:type="gramStart"/>
      <w:r w:rsidRPr="00A41132">
        <w:rPr>
          <w:u w:val="single"/>
        </w:rPr>
        <w:t>Util</w:t>
      </w:r>
      <w:r>
        <w:rPr>
          <w:u w:val="single"/>
        </w:rPr>
        <w:t>.</w:t>
      </w:r>
      <w:r w:rsidRPr="00A41132">
        <w:rPr>
          <w:u w:val="single"/>
        </w:rPr>
        <w:t xml:space="preserve"> </w:t>
      </w:r>
      <w:proofErr w:type="spellStart"/>
      <w:r w:rsidRPr="00A41132">
        <w:rPr>
          <w:u w:val="single"/>
        </w:rPr>
        <w:t>Comm</w:t>
      </w:r>
      <w:r>
        <w:rPr>
          <w:u w:val="single"/>
        </w:rPr>
        <w:t>’n</w:t>
      </w:r>
      <w:proofErr w:type="spellEnd"/>
      <w:r w:rsidRPr="00A41132">
        <w:t>, 623 A</w:t>
      </w:r>
      <w:r>
        <w:t>.2d 6 (</w:t>
      </w:r>
      <w:proofErr w:type="spellStart"/>
      <w:r>
        <w:t>Pa.Cmwlth</w:t>
      </w:r>
      <w:proofErr w:type="spellEnd"/>
      <w:r>
        <w:t xml:space="preserve">. 1993); 2 </w:t>
      </w:r>
      <w:proofErr w:type="spellStart"/>
      <w:r>
        <w:t>Pa.</w:t>
      </w:r>
      <w:r w:rsidRPr="00A41132">
        <w:t>C.S.A</w:t>
      </w:r>
      <w:proofErr w:type="spellEnd"/>
      <w:r w:rsidRPr="00A41132">
        <w:t>.</w:t>
      </w:r>
      <w:proofErr w:type="gramEnd"/>
      <w:r w:rsidRPr="00A41132">
        <w:t xml:space="preserve"> § 704.  </w:t>
      </w:r>
    </w:p>
  </w:footnote>
  <w:footnote w:id="4">
    <w:p w:rsidR="005D4816" w:rsidRPr="00A41132" w:rsidRDefault="005D4816" w:rsidP="00F37416">
      <w:pPr>
        <w:pStyle w:val="FootnoteText"/>
      </w:pPr>
    </w:p>
    <w:p w:rsidR="005D4816" w:rsidRPr="00A41132" w:rsidRDefault="005D4816" w:rsidP="00F37416">
      <w:pPr>
        <w:rPr>
          <w:sz w:val="20"/>
        </w:rPr>
      </w:pPr>
      <w:r w:rsidRPr="00A41132">
        <w:rPr>
          <w:rStyle w:val="FootnoteReference"/>
          <w:sz w:val="20"/>
        </w:rPr>
        <w:footnoteRef/>
      </w:r>
      <w:r w:rsidRPr="00A41132">
        <w:rPr>
          <w:sz w:val="20"/>
        </w:rPr>
        <w:t xml:space="preserve"> </w:t>
      </w:r>
      <w:r w:rsidRPr="00A41132">
        <w:rPr>
          <w:sz w:val="20"/>
        </w:rPr>
        <w:tab/>
      </w:r>
      <w:proofErr w:type="gramStart"/>
      <w:r w:rsidRPr="00A41132">
        <w:rPr>
          <w:sz w:val="20"/>
          <w:u w:val="single"/>
        </w:rPr>
        <w:t>Norfolk and Western Ry. v. Pa. Pub</w:t>
      </w:r>
      <w:r>
        <w:rPr>
          <w:sz w:val="20"/>
          <w:u w:val="single"/>
        </w:rPr>
        <w:t>.</w:t>
      </w:r>
      <w:proofErr w:type="gramEnd"/>
      <w:r w:rsidR="0042290B">
        <w:rPr>
          <w:sz w:val="20"/>
          <w:u w:val="single"/>
        </w:rPr>
        <w:t xml:space="preserve"> </w:t>
      </w:r>
      <w:proofErr w:type="gramStart"/>
      <w:r w:rsidRPr="00A41132">
        <w:rPr>
          <w:sz w:val="20"/>
          <w:u w:val="single"/>
        </w:rPr>
        <w:t>Util</w:t>
      </w:r>
      <w:r>
        <w:rPr>
          <w:sz w:val="20"/>
          <w:u w:val="single"/>
        </w:rPr>
        <w:t xml:space="preserve">. </w:t>
      </w:r>
      <w:proofErr w:type="spellStart"/>
      <w:r w:rsidRPr="00A41132">
        <w:rPr>
          <w:sz w:val="20"/>
          <w:u w:val="single"/>
        </w:rPr>
        <w:t>Comm</w:t>
      </w:r>
      <w:r>
        <w:rPr>
          <w:sz w:val="20"/>
          <w:u w:val="single"/>
        </w:rPr>
        <w:t>’n</w:t>
      </w:r>
      <w:proofErr w:type="spellEnd"/>
      <w:r w:rsidRPr="00A41132">
        <w:rPr>
          <w:sz w:val="20"/>
        </w:rPr>
        <w:t xml:space="preserve">, 413 A.2d 1037 (Pa. 1980); </w:t>
      </w:r>
      <w:r w:rsidRPr="00A41132">
        <w:rPr>
          <w:sz w:val="20"/>
          <w:u w:val="single"/>
        </w:rPr>
        <w:t>Erie Resistor Corp.</w:t>
      </w:r>
      <w:r>
        <w:rPr>
          <w:sz w:val="20"/>
          <w:u w:val="single"/>
        </w:rPr>
        <w:t> </w:t>
      </w:r>
      <w:r w:rsidRPr="00A41132">
        <w:rPr>
          <w:sz w:val="20"/>
          <w:u w:val="single"/>
        </w:rPr>
        <w:t>v. Unemployment Compensation Bd. of Review</w:t>
      </w:r>
      <w:r w:rsidRPr="00A41132">
        <w:rPr>
          <w:sz w:val="20"/>
        </w:rPr>
        <w:t>, 166 A.2d 96 (</w:t>
      </w:r>
      <w:proofErr w:type="spellStart"/>
      <w:r w:rsidRPr="00A41132">
        <w:rPr>
          <w:sz w:val="20"/>
        </w:rPr>
        <w:t>Pa.Super</w:t>
      </w:r>
      <w:proofErr w:type="spellEnd"/>
      <w:r w:rsidRPr="00A41132">
        <w:rPr>
          <w:sz w:val="20"/>
        </w:rPr>
        <w:t xml:space="preserve">. 1960); </w:t>
      </w:r>
      <w:r w:rsidRPr="00A41132">
        <w:rPr>
          <w:sz w:val="20"/>
          <w:u w:val="single"/>
        </w:rPr>
        <w:t>Murphy v. Dep’t.</w:t>
      </w:r>
      <w:proofErr w:type="gramEnd"/>
      <w:r w:rsidRPr="00A41132">
        <w:rPr>
          <w:sz w:val="20"/>
          <w:u w:val="single"/>
        </w:rPr>
        <w:t xml:space="preserve"> of Public Welfare, White Haven Center</w:t>
      </w:r>
      <w:r w:rsidRPr="00A41132">
        <w:rPr>
          <w:sz w:val="20"/>
        </w:rPr>
        <w:t>, 480 A.2d 382 (</w:t>
      </w:r>
      <w:proofErr w:type="spellStart"/>
      <w:r w:rsidRPr="00A41132">
        <w:rPr>
          <w:sz w:val="20"/>
        </w:rPr>
        <w:t>Pa.Cmwlth</w:t>
      </w:r>
      <w:proofErr w:type="spellEnd"/>
      <w:r w:rsidRPr="00A41132">
        <w:rPr>
          <w:sz w:val="20"/>
        </w:rPr>
        <w:t>. 1984).</w:t>
      </w:r>
    </w:p>
    <w:p w:rsidR="005D4816" w:rsidRPr="00A41132" w:rsidRDefault="005D4816" w:rsidP="00F37416">
      <w:pPr>
        <w:pStyle w:val="FootnoteText"/>
      </w:pPr>
    </w:p>
  </w:footnote>
  <w:footnote w:id="5">
    <w:p w:rsidR="008C7D9C" w:rsidRDefault="008C7D9C" w:rsidP="00F37416">
      <w:pPr>
        <w:pStyle w:val="FootnoteText"/>
      </w:pPr>
      <w:r>
        <w:rPr>
          <w:rStyle w:val="FootnoteReference"/>
        </w:rPr>
        <w:footnoteRef/>
      </w:r>
      <w:r>
        <w:t xml:space="preserve"> </w:t>
      </w:r>
      <w:r>
        <w:tab/>
      </w:r>
      <w:proofErr w:type="gramStart"/>
      <w:r w:rsidRPr="005801FB">
        <w:rPr>
          <w:u w:val="single"/>
        </w:rPr>
        <w:t>Elkin</w:t>
      </w:r>
      <w:r>
        <w:rPr>
          <w:u w:val="single"/>
        </w:rPr>
        <w:t> </w:t>
      </w:r>
      <w:r w:rsidRPr="005801FB">
        <w:rPr>
          <w:u w:val="single"/>
        </w:rPr>
        <w:t>v.</w:t>
      </w:r>
      <w:r>
        <w:rPr>
          <w:u w:val="single"/>
        </w:rPr>
        <w:t> </w:t>
      </w:r>
      <w:r w:rsidRPr="005801FB">
        <w:rPr>
          <w:u w:val="single"/>
        </w:rPr>
        <w:t>Bell of Pa.</w:t>
      </w:r>
      <w:r w:rsidRPr="00CF2338">
        <w:t>, 491 Pa. 123, 420 A.2d 371 (1980).</w:t>
      </w:r>
      <w:proofErr w:type="gramEnd"/>
      <w:r w:rsidRPr="00CF2338">
        <w:t xml:space="preserve">  </w:t>
      </w:r>
    </w:p>
    <w:p w:rsidR="00F37416" w:rsidRDefault="00F37416" w:rsidP="00F37416">
      <w:pPr>
        <w:pStyle w:val="FootnoteText"/>
      </w:pPr>
    </w:p>
  </w:footnote>
  <w:footnote w:id="6">
    <w:p w:rsidR="00F677CB" w:rsidRDefault="00F677CB" w:rsidP="00F37416">
      <w:pPr>
        <w:pStyle w:val="FootnoteText"/>
      </w:pPr>
      <w:r>
        <w:rPr>
          <w:rStyle w:val="FootnoteReference"/>
        </w:rPr>
        <w:footnoteRef/>
      </w:r>
      <w:r>
        <w:t xml:space="preserve"> </w:t>
      </w:r>
      <w:r>
        <w:tab/>
      </w:r>
      <w:proofErr w:type="gramStart"/>
      <w:r>
        <w:t xml:space="preserve">66 </w:t>
      </w:r>
      <w:proofErr w:type="spellStart"/>
      <w:r>
        <w:t>Pa.</w:t>
      </w:r>
      <w:r w:rsidRPr="00CF2338">
        <w:t>C.S.</w:t>
      </w:r>
      <w:r>
        <w:t>A</w:t>
      </w:r>
      <w:proofErr w:type="spellEnd"/>
      <w:r>
        <w:t>.</w:t>
      </w:r>
      <w:proofErr w:type="gramEnd"/>
      <w:r w:rsidRPr="00CF2338">
        <w:t xml:space="preserve"> §</w:t>
      </w:r>
      <w:r>
        <w:t xml:space="preserve"> </w:t>
      </w:r>
      <w:r w:rsidRPr="00CF2338">
        <w:t xml:space="preserve">102.  </w:t>
      </w:r>
    </w:p>
    <w:p w:rsidR="00DA3AC3" w:rsidRDefault="00DA3AC3" w:rsidP="00F37416">
      <w:pPr>
        <w:pStyle w:val="FootnoteText"/>
      </w:pPr>
    </w:p>
  </w:footnote>
  <w:footnote w:id="7">
    <w:p w:rsidR="006B2BC2" w:rsidRDefault="006B2BC2" w:rsidP="00DA3AC3">
      <w:pPr>
        <w:pStyle w:val="FootnoteText"/>
      </w:pPr>
      <w:r>
        <w:rPr>
          <w:rStyle w:val="FootnoteReference"/>
        </w:rPr>
        <w:footnoteRef/>
      </w:r>
      <w:r>
        <w:t xml:space="preserve"> </w:t>
      </w:r>
      <w:r>
        <w:tab/>
      </w:r>
      <w:proofErr w:type="gramStart"/>
      <w:r>
        <w:t xml:space="preserve">66 </w:t>
      </w:r>
      <w:proofErr w:type="spellStart"/>
      <w:r>
        <w:t>Pa.C.S.</w:t>
      </w:r>
      <w:r w:rsidR="002C0C60">
        <w:t>A</w:t>
      </w:r>
      <w:proofErr w:type="spellEnd"/>
      <w:r w:rsidR="002C0C60">
        <w:t>.</w:t>
      </w:r>
      <w:proofErr w:type="gramEnd"/>
      <w:r>
        <w:t xml:space="preserve"> § 1406(a) and (b).</w:t>
      </w:r>
    </w:p>
  </w:footnote>
  <w:footnote w:id="8">
    <w:p w:rsidR="00D45F5B" w:rsidRDefault="00D45F5B">
      <w:pPr>
        <w:pStyle w:val="FootnoteText"/>
      </w:pPr>
      <w:r>
        <w:rPr>
          <w:rStyle w:val="FootnoteReference"/>
        </w:rPr>
        <w:footnoteRef/>
      </w:r>
      <w:r>
        <w:t xml:space="preserve"> </w:t>
      </w:r>
      <w:r>
        <w:tab/>
        <w:t xml:space="preserve">PPL’s decision to require all payments to be made to its operations in Kentucky was rescinded by the company after only six months.  </w:t>
      </w:r>
    </w:p>
    <w:p w:rsidR="00C9782A" w:rsidRDefault="00C9782A">
      <w:pPr>
        <w:pStyle w:val="FootnoteText"/>
      </w:pPr>
    </w:p>
  </w:footnote>
  <w:footnote w:id="9">
    <w:p w:rsidR="00C9782A" w:rsidRDefault="00C9782A">
      <w:pPr>
        <w:pStyle w:val="FootnoteText"/>
      </w:pPr>
      <w:r>
        <w:rPr>
          <w:rStyle w:val="FootnoteReference"/>
        </w:rPr>
        <w:footnoteRef/>
      </w:r>
      <w:r>
        <w:t xml:space="preserve"> </w:t>
      </w:r>
      <w:r>
        <w:tab/>
        <w:t xml:space="preserve">PPL cannot rely on the April 1, 2014 termination notice because, pursuant to 66 </w:t>
      </w:r>
      <w:proofErr w:type="spellStart"/>
      <w:r>
        <w:t>Pa.C.S.A</w:t>
      </w:r>
      <w:proofErr w:type="spellEnd"/>
      <w:r>
        <w:t>. § 1406(b</w:t>
      </w:r>
      <w:proofErr w:type="gramStart"/>
      <w:r>
        <w:t>)(</w:t>
      </w:r>
      <w:proofErr w:type="gramEnd"/>
      <w:r>
        <w:t>1)(</w:t>
      </w:r>
      <w:proofErr w:type="spellStart"/>
      <w:r>
        <w:t>i</w:t>
      </w:r>
      <w:proofErr w:type="spellEnd"/>
      <w:r>
        <w:t>), that termination notice became ineffective on or about May 31, 2014.</w:t>
      </w:r>
    </w:p>
  </w:footnote>
  <w:footnote w:id="10">
    <w:p w:rsidR="005A24A7" w:rsidRDefault="005A24A7">
      <w:pPr>
        <w:pStyle w:val="FootnoteText"/>
      </w:pPr>
      <w:r>
        <w:rPr>
          <w:rStyle w:val="FootnoteReference"/>
        </w:rPr>
        <w:footnoteRef/>
      </w:r>
      <w:r>
        <w:t xml:space="preserve"> </w:t>
      </w:r>
      <w:r>
        <w:tab/>
      </w:r>
      <w:r w:rsidRPr="0034111F">
        <w:rPr>
          <w:u w:val="single"/>
        </w:rPr>
        <w:t>Walker v. Unemployment Compensation Board of Review</w:t>
      </w:r>
      <w:r w:rsidRPr="000D71E6">
        <w:t>,</w:t>
      </w:r>
      <w:r>
        <w:t xml:space="preserve"> </w:t>
      </w:r>
      <w:proofErr w:type="gramStart"/>
      <w:r>
        <w:t xml:space="preserve">27 </w:t>
      </w:r>
      <w:proofErr w:type="spellStart"/>
      <w:r>
        <w:t>Pa.Cmwlth</w:t>
      </w:r>
      <w:proofErr w:type="spellEnd"/>
      <w:proofErr w:type="gramEnd"/>
      <w:r>
        <w:t xml:space="preserve">. </w:t>
      </w:r>
      <w:proofErr w:type="gramStart"/>
      <w:r>
        <w:t>522, 367 A.2d 366 (1976).</w:t>
      </w:r>
      <w:proofErr w:type="gramEnd"/>
    </w:p>
    <w:p w:rsidR="005A24A7" w:rsidRDefault="005A24A7">
      <w:pPr>
        <w:pStyle w:val="FootnoteText"/>
      </w:pPr>
    </w:p>
  </w:footnote>
  <w:footnote w:id="11">
    <w:p w:rsidR="00D102FB" w:rsidRPr="00D102FB" w:rsidRDefault="00D102FB" w:rsidP="00A926DB">
      <w:pPr>
        <w:pStyle w:val="FootnoteText"/>
      </w:pPr>
      <w:r>
        <w:rPr>
          <w:rStyle w:val="FootnoteReference"/>
        </w:rPr>
        <w:footnoteRef/>
      </w:r>
      <w:r>
        <w:t xml:space="preserve"> </w:t>
      </w:r>
      <w:r>
        <w:tab/>
      </w:r>
      <w:r w:rsidRPr="00D102FB">
        <w:t xml:space="preserve">See </w:t>
      </w:r>
      <w:r w:rsidRPr="00D102FB">
        <w:rPr>
          <w:snapToGrid w:val="0"/>
          <w:u w:val="single"/>
        </w:rPr>
        <w:t>Beverly Stewart v. PECO Energy Company</w:t>
      </w:r>
      <w:r w:rsidRPr="00D102FB">
        <w:rPr>
          <w:snapToGrid w:val="0"/>
        </w:rPr>
        <w:t>, Docket No. F-2009-2082887 (Final</w:t>
      </w:r>
      <w:r>
        <w:rPr>
          <w:snapToGrid w:val="0"/>
        </w:rPr>
        <w:t xml:space="preserve"> Order entered June</w:t>
      </w:r>
      <w:r w:rsidR="000E1818">
        <w:rPr>
          <w:snapToGrid w:val="0"/>
        </w:rPr>
        <w:t> </w:t>
      </w:r>
      <w:r w:rsidRPr="00D102FB">
        <w:rPr>
          <w:snapToGrid w:val="0"/>
        </w:rPr>
        <w:t xml:space="preserve">22, 2012); and </w:t>
      </w:r>
      <w:r w:rsidRPr="00D102FB">
        <w:rPr>
          <w:iCs/>
          <w:snapToGrid w:val="0"/>
          <w:u w:val="single"/>
        </w:rPr>
        <w:t>Phillips v. Unemployment Compensation Board of Review</w:t>
      </w:r>
      <w:r w:rsidRPr="00D102FB">
        <w:rPr>
          <w:i/>
          <w:iCs/>
          <w:snapToGrid w:val="0"/>
        </w:rPr>
        <w:t>,</w:t>
      </w:r>
      <w:r w:rsidRPr="00D102FB">
        <w:rPr>
          <w:snapToGrid w:val="0"/>
        </w:rPr>
        <w:t xml:space="preserve"> 152 </w:t>
      </w:r>
      <w:proofErr w:type="spellStart"/>
      <w:r w:rsidRPr="00D102FB">
        <w:rPr>
          <w:snapToGrid w:val="0"/>
        </w:rPr>
        <w:t>Pa.Super</w:t>
      </w:r>
      <w:proofErr w:type="spellEnd"/>
      <w:r w:rsidR="000E1818">
        <w:rPr>
          <w:snapToGrid w:val="0"/>
        </w:rPr>
        <w:t>.</w:t>
      </w:r>
      <w:r w:rsidRPr="00D102FB">
        <w:rPr>
          <w:snapToGrid w:val="0"/>
        </w:rPr>
        <w:t xml:space="preserve"> </w:t>
      </w:r>
      <w:proofErr w:type="gramStart"/>
      <w:r w:rsidRPr="00D102FB">
        <w:rPr>
          <w:snapToGrid w:val="0"/>
        </w:rPr>
        <w:t>Ct. 75, 30 A.2d 718 (1943).</w:t>
      </w:r>
      <w:proofErr w:type="gramEnd"/>
      <w:r w:rsidRPr="00D102FB">
        <w:rPr>
          <w:snapToGrid w:val="0"/>
        </w:rPr>
        <w:t xml:space="preserve">  </w:t>
      </w:r>
      <w:r w:rsidRPr="00D102FB">
        <w:rPr>
          <w:snapToGrid w:val="0"/>
          <w:color w:val="333333"/>
        </w:rPr>
        <w:t xml:space="preserve">It is </w:t>
      </w:r>
      <w:r w:rsidRPr="00D102FB">
        <w:rPr>
          <w:snapToGrid w:val="0"/>
        </w:rPr>
        <w:t xml:space="preserve">well established that </w:t>
      </w:r>
      <w:r w:rsidRPr="00D102FB">
        <w:rPr>
          <w:bCs/>
          <w:snapToGrid w:val="0"/>
        </w:rPr>
        <w:t>hearsay</w:t>
      </w:r>
      <w:r w:rsidRPr="00D102FB">
        <w:rPr>
          <w:snapToGrid w:val="0"/>
        </w:rPr>
        <w:t xml:space="preserve"> evidence, properly objected to, is not competent evidence to support a finding of fact.  </w:t>
      </w:r>
      <w:r w:rsidRPr="00D102FB">
        <w:rPr>
          <w:bCs/>
          <w:snapToGrid w:val="0"/>
        </w:rPr>
        <w:t>Hearsay</w:t>
      </w:r>
      <w:r w:rsidRPr="00D102FB">
        <w:rPr>
          <w:snapToGrid w:val="0"/>
        </w:rPr>
        <w:t xml:space="preserve"> evidence, admitted without objection, will be given its natural probative effect and may support a finding of fact, in an administrative hearing, if it is corroborated by competent evidence in the record, but a finding of fact based solely on hearsay will not stand.  </w:t>
      </w:r>
      <w:r w:rsidRPr="00D102FB">
        <w:rPr>
          <w:iCs/>
          <w:snapToGrid w:val="0"/>
          <w:u w:val="single"/>
        </w:rPr>
        <w:t>Burks v. Department of Public Welfare</w:t>
      </w:r>
      <w:r w:rsidRPr="00D102FB">
        <w:rPr>
          <w:i/>
          <w:iCs/>
          <w:snapToGrid w:val="0"/>
        </w:rPr>
        <w:t>,</w:t>
      </w:r>
      <w:r w:rsidRPr="00D102FB">
        <w:rPr>
          <w:snapToGrid w:val="0"/>
        </w:rPr>
        <w:t xml:space="preserve"> </w:t>
      </w:r>
      <w:proofErr w:type="gramStart"/>
      <w:r w:rsidRPr="00D102FB">
        <w:rPr>
          <w:snapToGrid w:val="0"/>
        </w:rPr>
        <w:t xml:space="preserve">48 </w:t>
      </w:r>
      <w:proofErr w:type="spellStart"/>
      <w:r w:rsidRPr="00D102FB">
        <w:rPr>
          <w:snapToGrid w:val="0"/>
        </w:rPr>
        <w:t>Pa.Cmwlth</w:t>
      </w:r>
      <w:proofErr w:type="spellEnd"/>
      <w:proofErr w:type="gramEnd"/>
      <w:r w:rsidRPr="00D102FB">
        <w:rPr>
          <w:snapToGrid w:val="0"/>
        </w:rPr>
        <w:t xml:space="preserve">. </w:t>
      </w:r>
      <w:proofErr w:type="gramStart"/>
      <w:r w:rsidRPr="00D102FB">
        <w:rPr>
          <w:snapToGrid w:val="0"/>
        </w:rPr>
        <w:t xml:space="preserve">6, 408 A.2d 912 (1979); </w:t>
      </w:r>
      <w:r w:rsidRPr="00D102FB">
        <w:rPr>
          <w:bCs/>
          <w:iCs/>
          <w:snapToGrid w:val="0"/>
          <w:u w:val="single"/>
        </w:rPr>
        <w:t>Walker</w:t>
      </w:r>
      <w:r w:rsidRPr="00D102FB">
        <w:rPr>
          <w:iCs/>
          <w:snapToGrid w:val="0"/>
          <w:u w:val="single"/>
        </w:rPr>
        <w:t xml:space="preserve"> v. Unemployment Compensation Board of Review</w:t>
      </w:r>
      <w:r w:rsidRPr="00D102FB">
        <w:rPr>
          <w:i/>
          <w:iCs/>
          <w:snapToGrid w:val="0"/>
        </w:rPr>
        <w:t>,</w:t>
      </w:r>
      <w:r w:rsidRPr="00D102FB">
        <w:rPr>
          <w:snapToGrid w:val="0"/>
        </w:rPr>
        <w:t xml:space="preserve"> </w:t>
      </w:r>
      <w:r w:rsidR="007F2903">
        <w:rPr>
          <w:snapToGrid w:val="0"/>
        </w:rPr>
        <w:t>Supra.</w:t>
      </w:r>
      <w:proofErr w:type="gramEnd"/>
    </w:p>
  </w:footnote>
  <w:footnote w:id="12">
    <w:p w:rsidR="008C7D9C" w:rsidRPr="008C7D9C" w:rsidRDefault="008C7D9C" w:rsidP="008B0FEA">
      <w:pPr>
        <w:pStyle w:val="FootnoteText"/>
      </w:pPr>
      <w:r w:rsidRPr="008C7D9C">
        <w:rPr>
          <w:rStyle w:val="FootnoteReference"/>
        </w:rPr>
        <w:footnoteRef/>
      </w:r>
      <w:r w:rsidRPr="008C7D9C">
        <w:t xml:space="preserve"> </w:t>
      </w:r>
      <w:r w:rsidRPr="008C7D9C">
        <w:tab/>
      </w:r>
      <w:proofErr w:type="spellStart"/>
      <w:r w:rsidRPr="008C7D9C">
        <w:rPr>
          <w:u w:val="single"/>
        </w:rPr>
        <w:t>Behrend</w:t>
      </w:r>
      <w:proofErr w:type="spellEnd"/>
      <w:r w:rsidRPr="008C7D9C">
        <w:rPr>
          <w:u w:val="single"/>
        </w:rPr>
        <w:t xml:space="preserve"> v. Bell Telephone Co.</w:t>
      </w:r>
      <w:r w:rsidRPr="008C7D9C">
        <w:t xml:space="preserve">, </w:t>
      </w:r>
      <w:proofErr w:type="gramStart"/>
      <w:r w:rsidRPr="008C7D9C">
        <w:t xml:space="preserve">242 </w:t>
      </w:r>
      <w:proofErr w:type="spellStart"/>
      <w:r w:rsidRPr="008C7D9C">
        <w:t>Pa.Super</w:t>
      </w:r>
      <w:proofErr w:type="spellEnd"/>
      <w:proofErr w:type="gramEnd"/>
      <w:r w:rsidR="00373C07">
        <w:t>.</w:t>
      </w:r>
      <w:r w:rsidRPr="008C7D9C">
        <w:t xml:space="preserve"> </w:t>
      </w:r>
      <w:proofErr w:type="gramStart"/>
      <w:r w:rsidRPr="008C7D9C">
        <w:t>Ct. 47, 363 A.2d 1152 (1976).</w:t>
      </w:r>
      <w:proofErr w:type="gramEnd"/>
      <w:r w:rsidRPr="008C7D9C">
        <w:t xml:space="preserve"> </w:t>
      </w:r>
    </w:p>
    <w:p w:rsidR="008C7D9C" w:rsidRPr="008C7D9C" w:rsidRDefault="008C7D9C" w:rsidP="008B0FEA">
      <w:pPr>
        <w:pStyle w:val="FootnoteText"/>
      </w:pPr>
      <w:r w:rsidRPr="008C7D9C">
        <w:t xml:space="preserve"> </w:t>
      </w:r>
    </w:p>
  </w:footnote>
  <w:footnote w:id="13">
    <w:p w:rsidR="008C7D9C" w:rsidRPr="008C7D9C" w:rsidRDefault="008C7D9C" w:rsidP="008B0FEA">
      <w:pPr>
        <w:pStyle w:val="FootnoteText"/>
      </w:pPr>
      <w:r w:rsidRPr="008C7D9C">
        <w:rPr>
          <w:rStyle w:val="FootnoteReference"/>
        </w:rPr>
        <w:footnoteRef/>
      </w:r>
      <w:r w:rsidRPr="008C7D9C">
        <w:t xml:space="preserve"> </w:t>
      </w:r>
      <w:r w:rsidRPr="008C7D9C">
        <w:tab/>
      </w:r>
      <w:proofErr w:type="gramStart"/>
      <w:r w:rsidRPr="008C7D9C">
        <w:rPr>
          <w:u w:val="single"/>
        </w:rPr>
        <w:t>Elkin v. Bell Telephone Company of Pennsylvania</w:t>
      </w:r>
      <w:r w:rsidRPr="008C7D9C">
        <w:t xml:space="preserve">, 491 Pa. 123, 420 A.2d 371 (1980); </w:t>
      </w:r>
      <w:proofErr w:type="spellStart"/>
      <w:r w:rsidRPr="008C7D9C">
        <w:rPr>
          <w:u w:val="single"/>
        </w:rPr>
        <w:t>Poorbaugh</w:t>
      </w:r>
      <w:proofErr w:type="spellEnd"/>
      <w:r w:rsidRPr="008C7D9C">
        <w:rPr>
          <w:u w:val="single"/>
        </w:rPr>
        <w:t xml:space="preserve"> v. P</w:t>
      </w:r>
      <w:r w:rsidR="000E1818">
        <w:rPr>
          <w:u w:val="single"/>
        </w:rPr>
        <w:t>a.</w:t>
      </w:r>
      <w:r w:rsidRPr="008C7D9C">
        <w:rPr>
          <w:u w:val="single"/>
        </w:rPr>
        <w:t xml:space="preserve"> Pub</w:t>
      </w:r>
      <w:r w:rsidR="000E1818">
        <w:rPr>
          <w:u w:val="single"/>
        </w:rPr>
        <w:t>.</w:t>
      </w:r>
      <w:proofErr w:type="gramEnd"/>
      <w:r w:rsidRPr="008C7D9C">
        <w:rPr>
          <w:u w:val="single"/>
        </w:rPr>
        <w:t xml:space="preserve"> </w:t>
      </w:r>
      <w:proofErr w:type="gramStart"/>
      <w:r w:rsidRPr="008C7D9C">
        <w:rPr>
          <w:u w:val="single"/>
        </w:rPr>
        <w:t>Util</w:t>
      </w:r>
      <w:r w:rsidR="000E1818">
        <w:rPr>
          <w:u w:val="single"/>
        </w:rPr>
        <w:t>.</w:t>
      </w:r>
      <w:r w:rsidRPr="008C7D9C">
        <w:rPr>
          <w:u w:val="single"/>
        </w:rPr>
        <w:t xml:space="preserve"> </w:t>
      </w:r>
      <w:proofErr w:type="spellStart"/>
      <w:r w:rsidRPr="008C7D9C">
        <w:rPr>
          <w:u w:val="single"/>
        </w:rPr>
        <w:t>Comm</w:t>
      </w:r>
      <w:r w:rsidR="000E1818">
        <w:rPr>
          <w:u w:val="single"/>
        </w:rPr>
        <w:t>’n</w:t>
      </w:r>
      <w:proofErr w:type="spellEnd"/>
      <w:r w:rsidRPr="008C7D9C">
        <w:rPr>
          <w:u w:val="single"/>
        </w:rPr>
        <w:t>,</w:t>
      </w:r>
      <w:r w:rsidRPr="008C7D9C">
        <w:t xml:space="preserve"> 666 A.2d 744 (</w:t>
      </w:r>
      <w:proofErr w:type="spellStart"/>
      <w:r w:rsidRPr="008C7D9C">
        <w:t>Pa.C</w:t>
      </w:r>
      <w:r w:rsidR="000E1818">
        <w:t>mwlth</w:t>
      </w:r>
      <w:proofErr w:type="spellEnd"/>
      <w:r w:rsidRPr="008C7D9C">
        <w:t xml:space="preserve">. 1995); and </w:t>
      </w:r>
      <w:r w:rsidRPr="008C7D9C">
        <w:rPr>
          <w:u w:val="single"/>
        </w:rPr>
        <w:t>DeFrancesco v. Western Pennsylvania Water Company</w:t>
      </w:r>
      <w:r w:rsidRPr="008C7D9C">
        <w:t>, 499 Pa. 374, 453 A.2d 595 (1982).</w:t>
      </w:r>
      <w:proofErr w:type="gramEnd"/>
      <w:r w:rsidRPr="008C7D9C">
        <w:t xml:space="preserve">  </w:t>
      </w:r>
    </w:p>
    <w:p w:rsidR="008C7D9C" w:rsidRPr="008C7D9C" w:rsidRDefault="008C7D9C" w:rsidP="008B0FEA">
      <w:pPr>
        <w:pStyle w:val="FootnoteText"/>
      </w:pPr>
    </w:p>
  </w:footnote>
  <w:footnote w:id="14">
    <w:p w:rsidR="008C7D9C" w:rsidRPr="008C7D9C" w:rsidRDefault="008C7D9C" w:rsidP="008B0FEA">
      <w:pPr>
        <w:pStyle w:val="FootnoteText"/>
      </w:pPr>
      <w:r w:rsidRPr="008C7D9C">
        <w:rPr>
          <w:rStyle w:val="FootnoteReference"/>
        </w:rPr>
        <w:footnoteRef/>
      </w:r>
      <w:r w:rsidRPr="008C7D9C">
        <w:t xml:space="preserve"> </w:t>
      </w:r>
      <w:r w:rsidRPr="008C7D9C">
        <w:tab/>
        <w:t xml:space="preserve">See </w:t>
      </w:r>
      <w:proofErr w:type="gramStart"/>
      <w:r w:rsidRPr="008C7D9C">
        <w:t xml:space="preserve">66 </w:t>
      </w:r>
      <w:proofErr w:type="spellStart"/>
      <w:r w:rsidRPr="008C7D9C">
        <w:t>Pa.C.S.A</w:t>
      </w:r>
      <w:proofErr w:type="spellEnd"/>
      <w:proofErr w:type="gramEnd"/>
      <w:r w:rsidRPr="008C7D9C">
        <w:t xml:space="preserve">. § 501; and </w:t>
      </w:r>
      <w:r w:rsidRPr="008C7D9C">
        <w:rPr>
          <w:u w:val="single"/>
        </w:rPr>
        <w:t>Fairview Water Company v. Pa. P</w:t>
      </w:r>
      <w:r w:rsidR="000E1818">
        <w:rPr>
          <w:u w:val="single"/>
        </w:rPr>
        <w:t xml:space="preserve">ub. </w:t>
      </w:r>
      <w:proofErr w:type="gramStart"/>
      <w:r w:rsidR="000E1818">
        <w:rPr>
          <w:u w:val="single"/>
        </w:rPr>
        <w:t xml:space="preserve">Util. </w:t>
      </w:r>
      <w:proofErr w:type="spellStart"/>
      <w:r w:rsidR="000E1818">
        <w:rPr>
          <w:u w:val="single"/>
        </w:rPr>
        <w:t>Comm’n</w:t>
      </w:r>
      <w:proofErr w:type="spellEnd"/>
      <w:r w:rsidRPr="008C7D9C">
        <w:t>, 509 Pa. 384, 502 A.2d 162 (1985).</w:t>
      </w:r>
      <w:proofErr w:type="gramEnd"/>
    </w:p>
    <w:p w:rsidR="008C7D9C" w:rsidRPr="008C7D9C" w:rsidRDefault="008C7D9C" w:rsidP="008C7D9C">
      <w:pPr>
        <w:pStyle w:val="FootnoteText"/>
        <w:ind w:firstLine="720"/>
      </w:pPr>
    </w:p>
  </w:footnote>
  <w:footnote w:id="15">
    <w:p w:rsidR="00442C6C" w:rsidRDefault="00442C6C">
      <w:pPr>
        <w:pStyle w:val="FootnoteText"/>
      </w:pPr>
      <w:r>
        <w:rPr>
          <w:rStyle w:val="FootnoteReference"/>
        </w:rPr>
        <w:footnoteRef/>
      </w:r>
      <w:r>
        <w:t xml:space="preserve"> </w:t>
      </w:r>
      <w:r>
        <w:tab/>
        <w:t xml:space="preserve">For a recent decision discussing the imposition of a civil penalty due to improper termination procedures by a public utility, see </w:t>
      </w:r>
      <w:proofErr w:type="spellStart"/>
      <w:r w:rsidRPr="00442C6C">
        <w:rPr>
          <w:u w:val="single"/>
        </w:rPr>
        <w:t>Matesic</w:t>
      </w:r>
      <w:proofErr w:type="spellEnd"/>
      <w:r w:rsidRPr="00442C6C">
        <w:rPr>
          <w:u w:val="single"/>
        </w:rPr>
        <w:t xml:space="preserve"> v</w:t>
      </w:r>
      <w:r w:rsidR="000E1818">
        <w:rPr>
          <w:u w:val="single"/>
        </w:rPr>
        <w:t>.</w:t>
      </w:r>
      <w:r w:rsidRPr="00442C6C">
        <w:rPr>
          <w:u w:val="single"/>
        </w:rPr>
        <w:t xml:space="preserve"> Duquesne Light Company</w:t>
      </w:r>
      <w:r>
        <w:t>, C-2014-2438493 (</w:t>
      </w:r>
      <w:r w:rsidR="007F2903">
        <w:t xml:space="preserve">Opinion </w:t>
      </w:r>
      <w:proofErr w:type="gramStart"/>
      <w:r w:rsidR="007F2903">
        <w:t xml:space="preserve">and  </w:t>
      </w:r>
      <w:r>
        <w:t>Order</w:t>
      </w:r>
      <w:proofErr w:type="gramEnd"/>
      <w:r>
        <w:t xml:space="preserve"> entered July 2, 2015).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0B30" w:rsidRDefault="00770B3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0B30" w:rsidRDefault="00770B3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0B30" w:rsidRDefault="00770B3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E5736"/>
    <w:multiLevelType w:val="hybridMultilevel"/>
    <w:tmpl w:val="FA46155E"/>
    <w:lvl w:ilvl="0" w:tplc="EF5EB0BA">
      <w:start w:val="1"/>
      <w:numFmt w:val="decimal"/>
      <w:lvlText w:val="%1."/>
      <w:lvlJc w:val="left"/>
      <w:pPr>
        <w:tabs>
          <w:tab w:val="num" w:pos="900"/>
        </w:tabs>
        <w:ind w:left="90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3C26CB"/>
    <w:multiLevelType w:val="hybridMultilevel"/>
    <w:tmpl w:val="868C229C"/>
    <w:lvl w:ilvl="0" w:tplc="DBEC6B1C">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nsid w:val="06871142"/>
    <w:multiLevelType w:val="hybridMultilevel"/>
    <w:tmpl w:val="E4E82F86"/>
    <w:lvl w:ilvl="0" w:tplc="18AA8EAC">
      <w:start w:val="6"/>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nsid w:val="0C88001B"/>
    <w:multiLevelType w:val="hybridMultilevel"/>
    <w:tmpl w:val="E49CF734"/>
    <w:lvl w:ilvl="0" w:tplc="DEBA3614">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
    <w:nsid w:val="22F42133"/>
    <w:multiLevelType w:val="hybridMultilevel"/>
    <w:tmpl w:val="157CADC4"/>
    <w:lvl w:ilvl="0" w:tplc="CFFED886">
      <w:start w:val="4"/>
      <w:numFmt w:val="decimal"/>
      <w:lvlText w:val="%1."/>
      <w:lvlJc w:val="left"/>
      <w:pPr>
        <w:tabs>
          <w:tab w:val="num" w:pos="2160"/>
        </w:tabs>
        <w:ind w:left="2160" w:hanging="720"/>
      </w:pPr>
      <w:rPr>
        <w:rFonts w:hint="default"/>
        <w:sz w:val="26"/>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nsid w:val="34B67595"/>
    <w:multiLevelType w:val="hybridMultilevel"/>
    <w:tmpl w:val="13BED32A"/>
    <w:lvl w:ilvl="0" w:tplc="293E8D4C">
      <w:start w:val="10"/>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nsid w:val="35AF35B8"/>
    <w:multiLevelType w:val="hybridMultilevel"/>
    <w:tmpl w:val="FCFA96B8"/>
    <w:lvl w:ilvl="0" w:tplc="0C22F736">
      <w:start w:val="2"/>
      <w:numFmt w:val="decimal"/>
      <w:lvlText w:val="(%1)"/>
      <w:lvlJc w:val="left"/>
      <w:pPr>
        <w:tabs>
          <w:tab w:val="num" w:pos="1080"/>
        </w:tabs>
        <w:ind w:left="1080" w:hanging="360"/>
      </w:pPr>
      <w:rPr>
        <w:rFonts w:hint="default"/>
      </w:rPr>
    </w:lvl>
    <w:lvl w:ilvl="1" w:tplc="A6E41AB6">
      <w:start w:val="1"/>
      <w:numFmt w:val="low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5A7C1B6D"/>
    <w:multiLevelType w:val="hybridMultilevel"/>
    <w:tmpl w:val="A176C770"/>
    <w:lvl w:ilvl="0" w:tplc="B1DA77B2">
      <w:start w:val="1"/>
      <w:numFmt w:val="decimal"/>
      <w:lvlText w:val="(%1)"/>
      <w:lvlJc w:val="left"/>
      <w:pPr>
        <w:tabs>
          <w:tab w:val="num" w:pos="2160"/>
        </w:tabs>
        <w:ind w:left="2160" w:hanging="1440"/>
      </w:pPr>
      <w:rPr>
        <w:rFonts w:hint="default"/>
      </w:rPr>
    </w:lvl>
    <w:lvl w:ilvl="1" w:tplc="C4A6B3A4">
      <w:start w:val="1"/>
      <w:numFmt w:val="low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74C628AD"/>
    <w:multiLevelType w:val="hybridMultilevel"/>
    <w:tmpl w:val="C0B22116"/>
    <w:lvl w:ilvl="0" w:tplc="3078D98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 w:numId="2">
    <w:abstractNumId w:val="6"/>
  </w:num>
  <w:num w:numId="3">
    <w:abstractNumId w:val="5"/>
  </w:num>
  <w:num w:numId="4">
    <w:abstractNumId w:val="7"/>
  </w:num>
  <w:num w:numId="5">
    <w:abstractNumId w:val="1"/>
  </w:num>
  <w:num w:numId="6">
    <w:abstractNumId w:val="4"/>
  </w:num>
  <w:num w:numId="7">
    <w:abstractNumId w:val="8"/>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57BA"/>
    <w:rsid w:val="00000E5F"/>
    <w:rsid w:val="00000F22"/>
    <w:rsid w:val="00001294"/>
    <w:rsid w:val="00002933"/>
    <w:rsid w:val="00002A2B"/>
    <w:rsid w:val="00003724"/>
    <w:rsid w:val="00004CAB"/>
    <w:rsid w:val="00005340"/>
    <w:rsid w:val="00007A39"/>
    <w:rsid w:val="00010C1B"/>
    <w:rsid w:val="00014CD9"/>
    <w:rsid w:val="00015B93"/>
    <w:rsid w:val="00015E77"/>
    <w:rsid w:val="00016A7E"/>
    <w:rsid w:val="000218E1"/>
    <w:rsid w:val="000236EB"/>
    <w:rsid w:val="00023CC3"/>
    <w:rsid w:val="0002562B"/>
    <w:rsid w:val="0002677E"/>
    <w:rsid w:val="00030A0C"/>
    <w:rsid w:val="00032447"/>
    <w:rsid w:val="0003254A"/>
    <w:rsid w:val="0003345F"/>
    <w:rsid w:val="00034688"/>
    <w:rsid w:val="00034D3C"/>
    <w:rsid w:val="0003750C"/>
    <w:rsid w:val="00042684"/>
    <w:rsid w:val="00044624"/>
    <w:rsid w:val="00044AD0"/>
    <w:rsid w:val="00046B08"/>
    <w:rsid w:val="000478B7"/>
    <w:rsid w:val="00050957"/>
    <w:rsid w:val="00051FFD"/>
    <w:rsid w:val="000539E5"/>
    <w:rsid w:val="00055189"/>
    <w:rsid w:val="00055267"/>
    <w:rsid w:val="00060974"/>
    <w:rsid w:val="00065B67"/>
    <w:rsid w:val="00066099"/>
    <w:rsid w:val="00066B2A"/>
    <w:rsid w:val="00067DC6"/>
    <w:rsid w:val="00081933"/>
    <w:rsid w:val="00083190"/>
    <w:rsid w:val="0008418F"/>
    <w:rsid w:val="000841E3"/>
    <w:rsid w:val="00087EC8"/>
    <w:rsid w:val="00091995"/>
    <w:rsid w:val="000919E3"/>
    <w:rsid w:val="000920B0"/>
    <w:rsid w:val="000930C0"/>
    <w:rsid w:val="000943A5"/>
    <w:rsid w:val="000943A6"/>
    <w:rsid w:val="00094EC4"/>
    <w:rsid w:val="00095A48"/>
    <w:rsid w:val="000A6B2E"/>
    <w:rsid w:val="000A7A7E"/>
    <w:rsid w:val="000A7DE2"/>
    <w:rsid w:val="000B0443"/>
    <w:rsid w:val="000B1450"/>
    <w:rsid w:val="000B4044"/>
    <w:rsid w:val="000B575F"/>
    <w:rsid w:val="000B7C98"/>
    <w:rsid w:val="000C22D0"/>
    <w:rsid w:val="000C39FB"/>
    <w:rsid w:val="000C4661"/>
    <w:rsid w:val="000C491E"/>
    <w:rsid w:val="000C639E"/>
    <w:rsid w:val="000C6633"/>
    <w:rsid w:val="000C6EE4"/>
    <w:rsid w:val="000C736C"/>
    <w:rsid w:val="000D43B0"/>
    <w:rsid w:val="000D4E83"/>
    <w:rsid w:val="000D6424"/>
    <w:rsid w:val="000D71E6"/>
    <w:rsid w:val="000D7D68"/>
    <w:rsid w:val="000E0ACF"/>
    <w:rsid w:val="000E0DDA"/>
    <w:rsid w:val="000E1818"/>
    <w:rsid w:val="000E29C8"/>
    <w:rsid w:val="000E33AA"/>
    <w:rsid w:val="000E4C15"/>
    <w:rsid w:val="000E4D29"/>
    <w:rsid w:val="000E6C4C"/>
    <w:rsid w:val="000F0F3C"/>
    <w:rsid w:val="000F45A3"/>
    <w:rsid w:val="000F4D6B"/>
    <w:rsid w:val="0010040A"/>
    <w:rsid w:val="00103B9D"/>
    <w:rsid w:val="0010417D"/>
    <w:rsid w:val="0010437D"/>
    <w:rsid w:val="00106746"/>
    <w:rsid w:val="00106F80"/>
    <w:rsid w:val="001130C8"/>
    <w:rsid w:val="001137EB"/>
    <w:rsid w:val="001140BC"/>
    <w:rsid w:val="001161AA"/>
    <w:rsid w:val="0011788E"/>
    <w:rsid w:val="0012141F"/>
    <w:rsid w:val="00121AE5"/>
    <w:rsid w:val="0012478B"/>
    <w:rsid w:val="00125CCD"/>
    <w:rsid w:val="001305E1"/>
    <w:rsid w:val="00130E27"/>
    <w:rsid w:val="00130FE5"/>
    <w:rsid w:val="001339E0"/>
    <w:rsid w:val="00133A47"/>
    <w:rsid w:val="00133B41"/>
    <w:rsid w:val="001354D6"/>
    <w:rsid w:val="00137307"/>
    <w:rsid w:val="001375AA"/>
    <w:rsid w:val="00142A80"/>
    <w:rsid w:val="00143FA7"/>
    <w:rsid w:val="00144748"/>
    <w:rsid w:val="00144BDA"/>
    <w:rsid w:val="00145EBF"/>
    <w:rsid w:val="001466D1"/>
    <w:rsid w:val="001513EC"/>
    <w:rsid w:val="00152853"/>
    <w:rsid w:val="001538D0"/>
    <w:rsid w:val="00153E19"/>
    <w:rsid w:val="00156938"/>
    <w:rsid w:val="00156A90"/>
    <w:rsid w:val="0016133D"/>
    <w:rsid w:val="00164DFC"/>
    <w:rsid w:val="00165400"/>
    <w:rsid w:val="00165B98"/>
    <w:rsid w:val="00166F22"/>
    <w:rsid w:val="00167534"/>
    <w:rsid w:val="0017741E"/>
    <w:rsid w:val="00182EDA"/>
    <w:rsid w:val="0018379D"/>
    <w:rsid w:val="00183836"/>
    <w:rsid w:val="00183AE1"/>
    <w:rsid w:val="00185EF9"/>
    <w:rsid w:val="00190788"/>
    <w:rsid w:val="00195561"/>
    <w:rsid w:val="00196E40"/>
    <w:rsid w:val="001A63DD"/>
    <w:rsid w:val="001B1713"/>
    <w:rsid w:val="001B283D"/>
    <w:rsid w:val="001B3B0D"/>
    <w:rsid w:val="001B436F"/>
    <w:rsid w:val="001B5AF2"/>
    <w:rsid w:val="001B7236"/>
    <w:rsid w:val="001C2284"/>
    <w:rsid w:val="001C3008"/>
    <w:rsid w:val="001C5F76"/>
    <w:rsid w:val="001C74B7"/>
    <w:rsid w:val="001D1195"/>
    <w:rsid w:val="001D1DC6"/>
    <w:rsid w:val="001D5102"/>
    <w:rsid w:val="001D5E87"/>
    <w:rsid w:val="001D67F3"/>
    <w:rsid w:val="001D6F49"/>
    <w:rsid w:val="001D7070"/>
    <w:rsid w:val="001D78CA"/>
    <w:rsid w:val="001D79FF"/>
    <w:rsid w:val="001E2C24"/>
    <w:rsid w:val="001E3C14"/>
    <w:rsid w:val="001F030C"/>
    <w:rsid w:val="001F758E"/>
    <w:rsid w:val="0020054C"/>
    <w:rsid w:val="00200D48"/>
    <w:rsid w:val="00200ED0"/>
    <w:rsid w:val="00203C61"/>
    <w:rsid w:val="00205156"/>
    <w:rsid w:val="00206B04"/>
    <w:rsid w:val="002075E6"/>
    <w:rsid w:val="00207EE9"/>
    <w:rsid w:val="00210334"/>
    <w:rsid w:val="00210460"/>
    <w:rsid w:val="00210842"/>
    <w:rsid w:val="002132C0"/>
    <w:rsid w:val="00214A19"/>
    <w:rsid w:val="002154B5"/>
    <w:rsid w:val="002161C5"/>
    <w:rsid w:val="002165A2"/>
    <w:rsid w:val="00216A05"/>
    <w:rsid w:val="00225A94"/>
    <w:rsid w:val="00230C81"/>
    <w:rsid w:val="0023169E"/>
    <w:rsid w:val="002335DC"/>
    <w:rsid w:val="00234C5A"/>
    <w:rsid w:val="00235DA1"/>
    <w:rsid w:val="002375C7"/>
    <w:rsid w:val="00240DB0"/>
    <w:rsid w:val="00244AD1"/>
    <w:rsid w:val="00247E34"/>
    <w:rsid w:val="002520A5"/>
    <w:rsid w:val="00254BFC"/>
    <w:rsid w:val="00254ED5"/>
    <w:rsid w:val="00254FD1"/>
    <w:rsid w:val="0025557F"/>
    <w:rsid w:val="00261982"/>
    <w:rsid w:val="00263EFE"/>
    <w:rsid w:val="00264C6D"/>
    <w:rsid w:val="00265108"/>
    <w:rsid w:val="0026526F"/>
    <w:rsid w:val="0026598E"/>
    <w:rsid w:val="0027087C"/>
    <w:rsid w:val="00271E72"/>
    <w:rsid w:val="00271FF1"/>
    <w:rsid w:val="00273057"/>
    <w:rsid w:val="00280380"/>
    <w:rsid w:val="00280AF0"/>
    <w:rsid w:val="002815AB"/>
    <w:rsid w:val="00283A3F"/>
    <w:rsid w:val="00284FA9"/>
    <w:rsid w:val="00286074"/>
    <w:rsid w:val="002867AD"/>
    <w:rsid w:val="002904BB"/>
    <w:rsid w:val="00291917"/>
    <w:rsid w:val="00293E92"/>
    <w:rsid w:val="00295403"/>
    <w:rsid w:val="002A625C"/>
    <w:rsid w:val="002A78AC"/>
    <w:rsid w:val="002B25DD"/>
    <w:rsid w:val="002B433A"/>
    <w:rsid w:val="002B4996"/>
    <w:rsid w:val="002B4DFA"/>
    <w:rsid w:val="002C0C60"/>
    <w:rsid w:val="002C1071"/>
    <w:rsid w:val="002C1C42"/>
    <w:rsid w:val="002C4948"/>
    <w:rsid w:val="002C5D50"/>
    <w:rsid w:val="002C703F"/>
    <w:rsid w:val="002C7AB0"/>
    <w:rsid w:val="002D04F8"/>
    <w:rsid w:val="002D105E"/>
    <w:rsid w:val="002D29E7"/>
    <w:rsid w:val="002D484E"/>
    <w:rsid w:val="002D6DB4"/>
    <w:rsid w:val="002D758A"/>
    <w:rsid w:val="002D7EE1"/>
    <w:rsid w:val="002E28DD"/>
    <w:rsid w:val="002E2B6E"/>
    <w:rsid w:val="002E597B"/>
    <w:rsid w:val="002E5A74"/>
    <w:rsid w:val="002E6B15"/>
    <w:rsid w:val="002F115C"/>
    <w:rsid w:val="002F15F6"/>
    <w:rsid w:val="002F1743"/>
    <w:rsid w:val="002F22C6"/>
    <w:rsid w:val="002F409C"/>
    <w:rsid w:val="002F4F6F"/>
    <w:rsid w:val="002F6CA8"/>
    <w:rsid w:val="002F6DFB"/>
    <w:rsid w:val="002F7ADF"/>
    <w:rsid w:val="00302C62"/>
    <w:rsid w:val="00302D41"/>
    <w:rsid w:val="003041A5"/>
    <w:rsid w:val="00307FF8"/>
    <w:rsid w:val="00311588"/>
    <w:rsid w:val="003121E7"/>
    <w:rsid w:val="0032146A"/>
    <w:rsid w:val="00324C80"/>
    <w:rsid w:val="00324D48"/>
    <w:rsid w:val="00326059"/>
    <w:rsid w:val="00330B01"/>
    <w:rsid w:val="0033183D"/>
    <w:rsid w:val="00334D84"/>
    <w:rsid w:val="0034111F"/>
    <w:rsid w:val="0034231B"/>
    <w:rsid w:val="00342B49"/>
    <w:rsid w:val="0034410D"/>
    <w:rsid w:val="0034692A"/>
    <w:rsid w:val="00355BDC"/>
    <w:rsid w:val="0035629D"/>
    <w:rsid w:val="003603C7"/>
    <w:rsid w:val="00360442"/>
    <w:rsid w:val="00360DA1"/>
    <w:rsid w:val="00360EB9"/>
    <w:rsid w:val="00361EAC"/>
    <w:rsid w:val="003649AC"/>
    <w:rsid w:val="00365F7C"/>
    <w:rsid w:val="00370128"/>
    <w:rsid w:val="00370BC4"/>
    <w:rsid w:val="00370EAC"/>
    <w:rsid w:val="00373245"/>
    <w:rsid w:val="00373C07"/>
    <w:rsid w:val="00373E26"/>
    <w:rsid w:val="00373ECC"/>
    <w:rsid w:val="00374BD2"/>
    <w:rsid w:val="00375E76"/>
    <w:rsid w:val="0037694C"/>
    <w:rsid w:val="003771A8"/>
    <w:rsid w:val="00380F4B"/>
    <w:rsid w:val="00381E13"/>
    <w:rsid w:val="00383822"/>
    <w:rsid w:val="00386C1C"/>
    <w:rsid w:val="00387E50"/>
    <w:rsid w:val="003908EE"/>
    <w:rsid w:val="00390B54"/>
    <w:rsid w:val="00391096"/>
    <w:rsid w:val="0039245E"/>
    <w:rsid w:val="00394A82"/>
    <w:rsid w:val="00396353"/>
    <w:rsid w:val="00396518"/>
    <w:rsid w:val="00397E46"/>
    <w:rsid w:val="003B045F"/>
    <w:rsid w:val="003B3294"/>
    <w:rsid w:val="003B4F65"/>
    <w:rsid w:val="003B7783"/>
    <w:rsid w:val="003C1053"/>
    <w:rsid w:val="003C13E7"/>
    <w:rsid w:val="003C2777"/>
    <w:rsid w:val="003C417D"/>
    <w:rsid w:val="003C4E1D"/>
    <w:rsid w:val="003C7776"/>
    <w:rsid w:val="003D0DEF"/>
    <w:rsid w:val="003D374F"/>
    <w:rsid w:val="003D500A"/>
    <w:rsid w:val="003D5173"/>
    <w:rsid w:val="003D67D8"/>
    <w:rsid w:val="003E1EE5"/>
    <w:rsid w:val="003E2BB0"/>
    <w:rsid w:val="003E2D32"/>
    <w:rsid w:val="003E60E7"/>
    <w:rsid w:val="003F18AC"/>
    <w:rsid w:val="003F1BC1"/>
    <w:rsid w:val="003F56DB"/>
    <w:rsid w:val="003F6E27"/>
    <w:rsid w:val="0040104B"/>
    <w:rsid w:val="0040125C"/>
    <w:rsid w:val="00406863"/>
    <w:rsid w:val="00411416"/>
    <w:rsid w:val="004116FE"/>
    <w:rsid w:val="0041637D"/>
    <w:rsid w:val="00421585"/>
    <w:rsid w:val="004219BD"/>
    <w:rsid w:val="0042290B"/>
    <w:rsid w:val="00424E72"/>
    <w:rsid w:val="00430437"/>
    <w:rsid w:val="00431883"/>
    <w:rsid w:val="004322BD"/>
    <w:rsid w:val="004355E2"/>
    <w:rsid w:val="00440B6B"/>
    <w:rsid w:val="00442C6C"/>
    <w:rsid w:val="004455C4"/>
    <w:rsid w:val="00446EE8"/>
    <w:rsid w:val="00461BDB"/>
    <w:rsid w:val="00462770"/>
    <w:rsid w:val="0046290B"/>
    <w:rsid w:val="004635FD"/>
    <w:rsid w:val="00465878"/>
    <w:rsid w:val="0046652F"/>
    <w:rsid w:val="00470953"/>
    <w:rsid w:val="00470AFC"/>
    <w:rsid w:val="00472A21"/>
    <w:rsid w:val="00474C53"/>
    <w:rsid w:val="00475063"/>
    <w:rsid w:val="0047763E"/>
    <w:rsid w:val="00477B44"/>
    <w:rsid w:val="004819B5"/>
    <w:rsid w:val="00483A4C"/>
    <w:rsid w:val="004859D0"/>
    <w:rsid w:val="00487AE0"/>
    <w:rsid w:val="00493484"/>
    <w:rsid w:val="00493BBB"/>
    <w:rsid w:val="00493C85"/>
    <w:rsid w:val="004966B5"/>
    <w:rsid w:val="004970DA"/>
    <w:rsid w:val="004A26B6"/>
    <w:rsid w:val="004A2E4D"/>
    <w:rsid w:val="004A47A6"/>
    <w:rsid w:val="004A6673"/>
    <w:rsid w:val="004A7777"/>
    <w:rsid w:val="004B34C6"/>
    <w:rsid w:val="004B422F"/>
    <w:rsid w:val="004B4B53"/>
    <w:rsid w:val="004B54E1"/>
    <w:rsid w:val="004B6A2B"/>
    <w:rsid w:val="004B7FA4"/>
    <w:rsid w:val="004C1834"/>
    <w:rsid w:val="004C2F06"/>
    <w:rsid w:val="004C32C0"/>
    <w:rsid w:val="004C5521"/>
    <w:rsid w:val="004C5FA9"/>
    <w:rsid w:val="004C6202"/>
    <w:rsid w:val="004D0CBE"/>
    <w:rsid w:val="004D2634"/>
    <w:rsid w:val="004D3826"/>
    <w:rsid w:val="004D3A14"/>
    <w:rsid w:val="004D454A"/>
    <w:rsid w:val="004D477D"/>
    <w:rsid w:val="004D75D5"/>
    <w:rsid w:val="004E01BD"/>
    <w:rsid w:val="004E3B20"/>
    <w:rsid w:val="004E4252"/>
    <w:rsid w:val="004E540C"/>
    <w:rsid w:val="004E605F"/>
    <w:rsid w:val="004E7B43"/>
    <w:rsid w:val="004F6AD2"/>
    <w:rsid w:val="004F73A9"/>
    <w:rsid w:val="0050181E"/>
    <w:rsid w:val="005024F9"/>
    <w:rsid w:val="0050497A"/>
    <w:rsid w:val="00504A1A"/>
    <w:rsid w:val="00506AFD"/>
    <w:rsid w:val="00507ECF"/>
    <w:rsid w:val="00513CA4"/>
    <w:rsid w:val="00515DD0"/>
    <w:rsid w:val="00517217"/>
    <w:rsid w:val="00522985"/>
    <w:rsid w:val="00525120"/>
    <w:rsid w:val="00525199"/>
    <w:rsid w:val="00531E4E"/>
    <w:rsid w:val="00531FD9"/>
    <w:rsid w:val="00537506"/>
    <w:rsid w:val="005375AF"/>
    <w:rsid w:val="0053772F"/>
    <w:rsid w:val="00540E3A"/>
    <w:rsid w:val="00543B7C"/>
    <w:rsid w:val="00543F98"/>
    <w:rsid w:val="005447FE"/>
    <w:rsid w:val="00544F7E"/>
    <w:rsid w:val="00545043"/>
    <w:rsid w:val="005451B0"/>
    <w:rsid w:val="00545DAD"/>
    <w:rsid w:val="00546C6B"/>
    <w:rsid w:val="00547948"/>
    <w:rsid w:val="00550318"/>
    <w:rsid w:val="00550F87"/>
    <w:rsid w:val="00552C73"/>
    <w:rsid w:val="00553E91"/>
    <w:rsid w:val="0055403D"/>
    <w:rsid w:val="005558E4"/>
    <w:rsid w:val="00557326"/>
    <w:rsid w:val="00560A07"/>
    <w:rsid w:val="00563142"/>
    <w:rsid w:val="00563254"/>
    <w:rsid w:val="005637DF"/>
    <w:rsid w:val="00563FC3"/>
    <w:rsid w:val="005647C7"/>
    <w:rsid w:val="00567F07"/>
    <w:rsid w:val="00571975"/>
    <w:rsid w:val="005743F9"/>
    <w:rsid w:val="005763CB"/>
    <w:rsid w:val="00577567"/>
    <w:rsid w:val="00580981"/>
    <w:rsid w:val="00580D5E"/>
    <w:rsid w:val="0058201B"/>
    <w:rsid w:val="00584EC4"/>
    <w:rsid w:val="00585290"/>
    <w:rsid w:val="005900D4"/>
    <w:rsid w:val="0059029B"/>
    <w:rsid w:val="00591FF5"/>
    <w:rsid w:val="00592DDB"/>
    <w:rsid w:val="00596262"/>
    <w:rsid w:val="0059631D"/>
    <w:rsid w:val="005A0F92"/>
    <w:rsid w:val="005A12C5"/>
    <w:rsid w:val="005A24A7"/>
    <w:rsid w:val="005A3E08"/>
    <w:rsid w:val="005A77D0"/>
    <w:rsid w:val="005B64BD"/>
    <w:rsid w:val="005C6D4A"/>
    <w:rsid w:val="005D03F4"/>
    <w:rsid w:val="005D03F6"/>
    <w:rsid w:val="005D4345"/>
    <w:rsid w:val="005D46EF"/>
    <w:rsid w:val="005D4816"/>
    <w:rsid w:val="005E1248"/>
    <w:rsid w:val="005E1CC5"/>
    <w:rsid w:val="005E2935"/>
    <w:rsid w:val="005E3356"/>
    <w:rsid w:val="005E636D"/>
    <w:rsid w:val="005E6DB5"/>
    <w:rsid w:val="005F110E"/>
    <w:rsid w:val="005F4120"/>
    <w:rsid w:val="00600AE4"/>
    <w:rsid w:val="00600EE9"/>
    <w:rsid w:val="0060359F"/>
    <w:rsid w:val="00607B04"/>
    <w:rsid w:val="00612659"/>
    <w:rsid w:val="00613AE9"/>
    <w:rsid w:val="00616E73"/>
    <w:rsid w:val="00616FE9"/>
    <w:rsid w:val="00617C29"/>
    <w:rsid w:val="006220FF"/>
    <w:rsid w:val="00623177"/>
    <w:rsid w:val="006257E0"/>
    <w:rsid w:val="0062612D"/>
    <w:rsid w:val="00632562"/>
    <w:rsid w:val="00633976"/>
    <w:rsid w:val="00633E89"/>
    <w:rsid w:val="0063487E"/>
    <w:rsid w:val="006354D3"/>
    <w:rsid w:val="006359A3"/>
    <w:rsid w:val="00636459"/>
    <w:rsid w:val="00641052"/>
    <w:rsid w:val="00642C86"/>
    <w:rsid w:val="00644349"/>
    <w:rsid w:val="00645FE8"/>
    <w:rsid w:val="0065019D"/>
    <w:rsid w:val="006515DB"/>
    <w:rsid w:val="00651AB0"/>
    <w:rsid w:val="0065346D"/>
    <w:rsid w:val="00653FDE"/>
    <w:rsid w:val="006550F8"/>
    <w:rsid w:val="006552C8"/>
    <w:rsid w:val="00655B18"/>
    <w:rsid w:val="006577DC"/>
    <w:rsid w:val="0066212D"/>
    <w:rsid w:val="00664032"/>
    <w:rsid w:val="006663CA"/>
    <w:rsid w:val="00666BC3"/>
    <w:rsid w:val="0066791C"/>
    <w:rsid w:val="0067006E"/>
    <w:rsid w:val="00674B93"/>
    <w:rsid w:val="00676360"/>
    <w:rsid w:val="006771E3"/>
    <w:rsid w:val="006772A2"/>
    <w:rsid w:val="00682B76"/>
    <w:rsid w:val="00684F86"/>
    <w:rsid w:val="006869B5"/>
    <w:rsid w:val="00687C7C"/>
    <w:rsid w:val="00691FDA"/>
    <w:rsid w:val="00692E3E"/>
    <w:rsid w:val="00694153"/>
    <w:rsid w:val="0069460C"/>
    <w:rsid w:val="006954BC"/>
    <w:rsid w:val="006A0714"/>
    <w:rsid w:val="006A7864"/>
    <w:rsid w:val="006B0612"/>
    <w:rsid w:val="006B2BC2"/>
    <w:rsid w:val="006B2DFE"/>
    <w:rsid w:val="006B50E8"/>
    <w:rsid w:val="006B6036"/>
    <w:rsid w:val="006B629F"/>
    <w:rsid w:val="006B7DE7"/>
    <w:rsid w:val="006C13BF"/>
    <w:rsid w:val="006C2F80"/>
    <w:rsid w:val="006C47AF"/>
    <w:rsid w:val="006C7D49"/>
    <w:rsid w:val="006D2CFC"/>
    <w:rsid w:val="006D2E25"/>
    <w:rsid w:val="006D2F3E"/>
    <w:rsid w:val="006D3697"/>
    <w:rsid w:val="006D384B"/>
    <w:rsid w:val="006D38B1"/>
    <w:rsid w:val="006D68C8"/>
    <w:rsid w:val="006E0E78"/>
    <w:rsid w:val="006E0E7F"/>
    <w:rsid w:val="006E12A1"/>
    <w:rsid w:val="006E175B"/>
    <w:rsid w:val="006E59A8"/>
    <w:rsid w:val="006F0249"/>
    <w:rsid w:val="006F10EA"/>
    <w:rsid w:val="006F2B77"/>
    <w:rsid w:val="006F324E"/>
    <w:rsid w:val="006F5FE7"/>
    <w:rsid w:val="006F60DA"/>
    <w:rsid w:val="006F6520"/>
    <w:rsid w:val="006F662D"/>
    <w:rsid w:val="006F6AB4"/>
    <w:rsid w:val="006F7393"/>
    <w:rsid w:val="00700704"/>
    <w:rsid w:val="00700E85"/>
    <w:rsid w:val="00701501"/>
    <w:rsid w:val="00702542"/>
    <w:rsid w:val="0070362C"/>
    <w:rsid w:val="00710B17"/>
    <w:rsid w:val="00710CE3"/>
    <w:rsid w:val="0071154B"/>
    <w:rsid w:val="0071171E"/>
    <w:rsid w:val="007121EF"/>
    <w:rsid w:val="007151DD"/>
    <w:rsid w:val="0071586C"/>
    <w:rsid w:val="007172D2"/>
    <w:rsid w:val="00720A51"/>
    <w:rsid w:val="00720C39"/>
    <w:rsid w:val="007272A7"/>
    <w:rsid w:val="00732CDD"/>
    <w:rsid w:val="00736AA5"/>
    <w:rsid w:val="00736DBA"/>
    <w:rsid w:val="00740BC6"/>
    <w:rsid w:val="00741AA6"/>
    <w:rsid w:val="007454F2"/>
    <w:rsid w:val="0074593B"/>
    <w:rsid w:val="00747FED"/>
    <w:rsid w:val="007516D0"/>
    <w:rsid w:val="00751CE0"/>
    <w:rsid w:val="007535C9"/>
    <w:rsid w:val="00753A3F"/>
    <w:rsid w:val="00754FD3"/>
    <w:rsid w:val="00757A01"/>
    <w:rsid w:val="007618BE"/>
    <w:rsid w:val="00762CDE"/>
    <w:rsid w:val="00766B36"/>
    <w:rsid w:val="00770B30"/>
    <w:rsid w:val="00770C1A"/>
    <w:rsid w:val="0077246E"/>
    <w:rsid w:val="00772949"/>
    <w:rsid w:val="00772CFC"/>
    <w:rsid w:val="00774446"/>
    <w:rsid w:val="00776CD8"/>
    <w:rsid w:val="0078000F"/>
    <w:rsid w:val="0078110D"/>
    <w:rsid w:val="00781A81"/>
    <w:rsid w:val="00783095"/>
    <w:rsid w:val="00785024"/>
    <w:rsid w:val="00785AF3"/>
    <w:rsid w:val="00786E1C"/>
    <w:rsid w:val="00792728"/>
    <w:rsid w:val="0079328F"/>
    <w:rsid w:val="007939B6"/>
    <w:rsid w:val="007943C8"/>
    <w:rsid w:val="00794EFF"/>
    <w:rsid w:val="00794F1B"/>
    <w:rsid w:val="007A32D3"/>
    <w:rsid w:val="007A40D1"/>
    <w:rsid w:val="007A5485"/>
    <w:rsid w:val="007A5552"/>
    <w:rsid w:val="007A5EEF"/>
    <w:rsid w:val="007B6775"/>
    <w:rsid w:val="007C06FD"/>
    <w:rsid w:val="007C404E"/>
    <w:rsid w:val="007C41AD"/>
    <w:rsid w:val="007C53B4"/>
    <w:rsid w:val="007D265B"/>
    <w:rsid w:val="007D2958"/>
    <w:rsid w:val="007D2DA0"/>
    <w:rsid w:val="007D630A"/>
    <w:rsid w:val="007D79D2"/>
    <w:rsid w:val="007E40DF"/>
    <w:rsid w:val="007E48E1"/>
    <w:rsid w:val="007E6C25"/>
    <w:rsid w:val="007E7B4E"/>
    <w:rsid w:val="007F02A4"/>
    <w:rsid w:val="007F0E05"/>
    <w:rsid w:val="007F1139"/>
    <w:rsid w:val="007F2903"/>
    <w:rsid w:val="007F479E"/>
    <w:rsid w:val="00801AED"/>
    <w:rsid w:val="008055EA"/>
    <w:rsid w:val="00806E0D"/>
    <w:rsid w:val="008141E0"/>
    <w:rsid w:val="0082076B"/>
    <w:rsid w:val="00821D88"/>
    <w:rsid w:val="00822607"/>
    <w:rsid w:val="00823FCA"/>
    <w:rsid w:val="00824890"/>
    <w:rsid w:val="008251D8"/>
    <w:rsid w:val="0083375B"/>
    <w:rsid w:val="00836E65"/>
    <w:rsid w:val="0084100D"/>
    <w:rsid w:val="008418E5"/>
    <w:rsid w:val="008418FC"/>
    <w:rsid w:val="00841F7C"/>
    <w:rsid w:val="0084410C"/>
    <w:rsid w:val="00845757"/>
    <w:rsid w:val="00851072"/>
    <w:rsid w:val="00851E2B"/>
    <w:rsid w:val="0085780E"/>
    <w:rsid w:val="008618BE"/>
    <w:rsid w:val="00861DA4"/>
    <w:rsid w:val="00861DF9"/>
    <w:rsid w:val="00862D6B"/>
    <w:rsid w:val="0086399B"/>
    <w:rsid w:val="00863BD5"/>
    <w:rsid w:val="00863CD4"/>
    <w:rsid w:val="00864B9C"/>
    <w:rsid w:val="00864EB7"/>
    <w:rsid w:val="0086657E"/>
    <w:rsid w:val="00867F55"/>
    <w:rsid w:val="008733E6"/>
    <w:rsid w:val="00873D8A"/>
    <w:rsid w:val="00874177"/>
    <w:rsid w:val="00874953"/>
    <w:rsid w:val="0087618D"/>
    <w:rsid w:val="0087669A"/>
    <w:rsid w:val="00876EC6"/>
    <w:rsid w:val="0088379D"/>
    <w:rsid w:val="00891035"/>
    <w:rsid w:val="008927B5"/>
    <w:rsid w:val="00892EA3"/>
    <w:rsid w:val="00894816"/>
    <w:rsid w:val="008A2641"/>
    <w:rsid w:val="008A28F8"/>
    <w:rsid w:val="008A63E2"/>
    <w:rsid w:val="008A6925"/>
    <w:rsid w:val="008B0FEA"/>
    <w:rsid w:val="008B3879"/>
    <w:rsid w:val="008B445B"/>
    <w:rsid w:val="008B455C"/>
    <w:rsid w:val="008B5551"/>
    <w:rsid w:val="008B6587"/>
    <w:rsid w:val="008B6591"/>
    <w:rsid w:val="008B6F28"/>
    <w:rsid w:val="008B7781"/>
    <w:rsid w:val="008C17E6"/>
    <w:rsid w:val="008C17F6"/>
    <w:rsid w:val="008C36F2"/>
    <w:rsid w:val="008C666D"/>
    <w:rsid w:val="008C7936"/>
    <w:rsid w:val="008C7D9C"/>
    <w:rsid w:val="008D0326"/>
    <w:rsid w:val="008D0D31"/>
    <w:rsid w:val="008D20D5"/>
    <w:rsid w:val="008D6CA9"/>
    <w:rsid w:val="008D6E2C"/>
    <w:rsid w:val="008D7DC6"/>
    <w:rsid w:val="008E09C6"/>
    <w:rsid w:val="008E0B49"/>
    <w:rsid w:val="008E0E89"/>
    <w:rsid w:val="008E10FA"/>
    <w:rsid w:val="008E450B"/>
    <w:rsid w:val="008E4FD6"/>
    <w:rsid w:val="008E5C99"/>
    <w:rsid w:val="008F4EF2"/>
    <w:rsid w:val="008F5C46"/>
    <w:rsid w:val="008F7C99"/>
    <w:rsid w:val="008F7D79"/>
    <w:rsid w:val="009001C9"/>
    <w:rsid w:val="009012B3"/>
    <w:rsid w:val="00906FD4"/>
    <w:rsid w:val="009078FD"/>
    <w:rsid w:val="00907ECC"/>
    <w:rsid w:val="009101FF"/>
    <w:rsid w:val="00910A53"/>
    <w:rsid w:val="00915B60"/>
    <w:rsid w:val="00917283"/>
    <w:rsid w:val="00917C2D"/>
    <w:rsid w:val="0092068A"/>
    <w:rsid w:val="00921285"/>
    <w:rsid w:val="009252B2"/>
    <w:rsid w:val="00927634"/>
    <w:rsid w:val="009309A9"/>
    <w:rsid w:val="009310EE"/>
    <w:rsid w:val="00933485"/>
    <w:rsid w:val="0094142D"/>
    <w:rsid w:val="00943CC8"/>
    <w:rsid w:val="00943E53"/>
    <w:rsid w:val="009445CA"/>
    <w:rsid w:val="00944A1C"/>
    <w:rsid w:val="00946F4A"/>
    <w:rsid w:val="00952A5F"/>
    <w:rsid w:val="00955B6B"/>
    <w:rsid w:val="00960580"/>
    <w:rsid w:val="00962EE7"/>
    <w:rsid w:val="00966C36"/>
    <w:rsid w:val="00970027"/>
    <w:rsid w:val="0097040A"/>
    <w:rsid w:val="00970FE9"/>
    <w:rsid w:val="009760CB"/>
    <w:rsid w:val="0098279B"/>
    <w:rsid w:val="009901A1"/>
    <w:rsid w:val="009902B7"/>
    <w:rsid w:val="00991657"/>
    <w:rsid w:val="009A0B79"/>
    <w:rsid w:val="009A392F"/>
    <w:rsid w:val="009A3C78"/>
    <w:rsid w:val="009A5813"/>
    <w:rsid w:val="009A5AF8"/>
    <w:rsid w:val="009A5E25"/>
    <w:rsid w:val="009A6CC7"/>
    <w:rsid w:val="009B446B"/>
    <w:rsid w:val="009C05E9"/>
    <w:rsid w:val="009C0D67"/>
    <w:rsid w:val="009C27D2"/>
    <w:rsid w:val="009C3132"/>
    <w:rsid w:val="009C4526"/>
    <w:rsid w:val="009C5EB5"/>
    <w:rsid w:val="009C7B02"/>
    <w:rsid w:val="009D227B"/>
    <w:rsid w:val="009D2B67"/>
    <w:rsid w:val="009D47A5"/>
    <w:rsid w:val="009D69B6"/>
    <w:rsid w:val="009E091A"/>
    <w:rsid w:val="009E4A8F"/>
    <w:rsid w:val="009E6876"/>
    <w:rsid w:val="009F38D7"/>
    <w:rsid w:val="009F579E"/>
    <w:rsid w:val="009F6130"/>
    <w:rsid w:val="009F7DB2"/>
    <w:rsid w:val="00A00793"/>
    <w:rsid w:val="00A02454"/>
    <w:rsid w:val="00A04076"/>
    <w:rsid w:val="00A10010"/>
    <w:rsid w:val="00A10E1F"/>
    <w:rsid w:val="00A114B1"/>
    <w:rsid w:val="00A1243D"/>
    <w:rsid w:val="00A128E0"/>
    <w:rsid w:val="00A15866"/>
    <w:rsid w:val="00A16A98"/>
    <w:rsid w:val="00A16D50"/>
    <w:rsid w:val="00A23CCA"/>
    <w:rsid w:val="00A248FB"/>
    <w:rsid w:val="00A2609D"/>
    <w:rsid w:val="00A2772F"/>
    <w:rsid w:val="00A334E4"/>
    <w:rsid w:val="00A33661"/>
    <w:rsid w:val="00A33DF5"/>
    <w:rsid w:val="00A3580F"/>
    <w:rsid w:val="00A40462"/>
    <w:rsid w:val="00A43283"/>
    <w:rsid w:val="00A4355E"/>
    <w:rsid w:val="00A4463A"/>
    <w:rsid w:val="00A469B4"/>
    <w:rsid w:val="00A46AA1"/>
    <w:rsid w:val="00A511AD"/>
    <w:rsid w:val="00A5144C"/>
    <w:rsid w:val="00A52673"/>
    <w:rsid w:val="00A55F7C"/>
    <w:rsid w:val="00A6043D"/>
    <w:rsid w:val="00A61835"/>
    <w:rsid w:val="00A64AC5"/>
    <w:rsid w:val="00A66235"/>
    <w:rsid w:val="00A707AB"/>
    <w:rsid w:val="00A70C75"/>
    <w:rsid w:val="00A733A2"/>
    <w:rsid w:val="00A7499F"/>
    <w:rsid w:val="00A801E7"/>
    <w:rsid w:val="00A806BC"/>
    <w:rsid w:val="00A80E4E"/>
    <w:rsid w:val="00A831C5"/>
    <w:rsid w:val="00A848BA"/>
    <w:rsid w:val="00A86E3D"/>
    <w:rsid w:val="00A90619"/>
    <w:rsid w:val="00A914E9"/>
    <w:rsid w:val="00A917C5"/>
    <w:rsid w:val="00A91C30"/>
    <w:rsid w:val="00A926DB"/>
    <w:rsid w:val="00A93EC0"/>
    <w:rsid w:val="00A945F5"/>
    <w:rsid w:val="00A94A48"/>
    <w:rsid w:val="00A96447"/>
    <w:rsid w:val="00AA0E62"/>
    <w:rsid w:val="00AA22AF"/>
    <w:rsid w:val="00AA4C6A"/>
    <w:rsid w:val="00AA70E2"/>
    <w:rsid w:val="00AA75ED"/>
    <w:rsid w:val="00AB2DD2"/>
    <w:rsid w:val="00AB30CF"/>
    <w:rsid w:val="00AB3A99"/>
    <w:rsid w:val="00AB40A9"/>
    <w:rsid w:val="00AB70EE"/>
    <w:rsid w:val="00AC1113"/>
    <w:rsid w:val="00AC1F4C"/>
    <w:rsid w:val="00AC3C83"/>
    <w:rsid w:val="00AC6067"/>
    <w:rsid w:val="00AC6745"/>
    <w:rsid w:val="00AC6E5D"/>
    <w:rsid w:val="00AD4047"/>
    <w:rsid w:val="00AD40B2"/>
    <w:rsid w:val="00AE1B62"/>
    <w:rsid w:val="00AE20FB"/>
    <w:rsid w:val="00AE2819"/>
    <w:rsid w:val="00AE290D"/>
    <w:rsid w:val="00AE3923"/>
    <w:rsid w:val="00AE457D"/>
    <w:rsid w:val="00AE7145"/>
    <w:rsid w:val="00AF4238"/>
    <w:rsid w:val="00AF5FC0"/>
    <w:rsid w:val="00AF63EA"/>
    <w:rsid w:val="00B010E8"/>
    <w:rsid w:val="00B03A1F"/>
    <w:rsid w:val="00B143BA"/>
    <w:rsid w:val="00B16875"/>
    <w:rsid w:val="00B219F2"/>
    <w:rsid w:val="00B23445"/>
    <w:rsid w:val="00B25996"/>
    <w:rsid w:val="00B32996"/>
    <w:rsid w:val="00B33E15"/>
    <w:rsid w:val="00B37A46"/>
    <w:rsid w:val="00B406E2"/>
    <w:rsid w:val="00B40E5D"/>
    <w:rsid w:val="00B41507"/>
    <w:rsid w:val="00B4185D"/>
    <w:rsid w:val="00B428F4"/>
    <w:rsid w:val="00B44FB1"/>
    <w:rsid w:val="00B45185"/>
    <w:rsid w:val="00B46636"/>
    <w:rsid w:val="00B50814"/>
    <w:rsid w:val="00B50BB3"/>
    <w:rsid w:val="00B5162C"/>
    <w:rsid w:val="00B524A4"/>
    <w:rsid w:val="00B55DDC"/>
    <w:rsid w:val="00B66DDD"/>
    <w:rsid w:val="00B67B97"/>
    <w:rsid w:val="00B7377B"/>
    <w:rsid w:val="00B7635B"/>
    <w:rsid w:val="00B77E42"/>
    <w:rsid w:val="00B81FED"/>
    <w:rsid w:val="00B845F6"/>
    <w:rsid w:val="00B85EE4"/>
    <w:rsid w:val="00B91AD9"/>
    <w:rsid w:val="00B93A4F"/>
    <w:rsid w:val="00B93DEC"/>
    <w:rsid w:val="00B946B2"/>
    <w:rsid w:val="00B94FFF"/>
    <w:rsid w:val="00B97032"/>
    <w:rsid w:val="00BA0E65"/>
    <w:rsid w:val="00BA1C5C"/>
    <w:rsid w:val="00BA2D08"/>
    <w:rsid w:val="00BA3DE1"/>
    <w:rsid w:val="00BA45E7"/>
    <w:rsid w:val="00BA4C2A"/>
    <w:rsid w:val="00BA53A4"/>
    <w:rsid w:val="00BA5695"/>
    <w:rsid w:val="00BB036D"/>
    <w:rsid w:val="00BB04ED"/>
    <w:rsid w:val="00BB1AB4"/>
    <w:rsid w:val="00BB1FC4"/>
    <w:rsid w:val="00BB38C6"/>
    <w:rsid w:val="00BB3E43"/>
    <w:rsid w:val="00BB4907"/>
    <w:rsid w:val="00BB6201"/>
    <w:rsid w:val="00BB70B3"/>
    <w:rsid w:val="00BB7D46"/>
    <w:rsid w:val="00BC077A"/>
    <w:rsid w:val="00BC1B4F"/>
    <w:rsid w:val="00BC1FD7"/>
    <w:rsid w:val="00BC360E"/>
    <w:rsid w:val="00BC57C4"/>
    <w:rsid w:val="00BC6CA5"/>
    <w:rsid w:val="00BC7989"/>
    <w:rsid w:val="00BD08A5"/>
    <w:rsid w:val="00BD11FD"/>
    <w:rsid w:val="00BD2D55"/>
    <w:rsid w:val="00BD3085"/>
    <w:rsid w:val="00BD5A7E"/>
    <w:rsid w:val="00BD6511"/>
    <w:rsid w:val="00BD76C8"/>
    <w:rsid w:val="00BD7A50"/>
    <w:rsid w:val="00BD7F3A"/>
    <w:rsid w:val="00BE36AA"/>
    <w:rsid w:val="00BE55BE"/>
    <w:rsid w:val="00BE5FCB"/>
    <w:rsid w:val="00BE723C"/>
    <w:rsid w:val="00BF28AB"/>
    <w:rsid w:val="00BF50D2"/>
    <w:rsid w:val="00C00BD5"/>
    <w:rsid w:val="00C01EA5"/>
    <w:rsid w:val="00C03561"/>
    <w:rsid w:val="00C0376D"/>
    <w:rsid w:val="00C03919"/>
    <w:rsid w:val="00C04B60"/>
    <w:rsid w:val="00C0572F"/>
    <w:rsid w:val="00C06807"/>
    <w:rsid w:val="00C12C25"/>
    <w:rsid w:val="00C13DF0"/>
    <w:rsid w:val="00C14193"/>
    <w:rsid w:val="00C14FBB"/>
    <w:rsid w:val="00C15CC3"/>
    <w:rsid w:val="00C17738"/>
    <w:rsid w:val="00C17AD8"/>
    <w:rsid w:val="00C17B88"/>
    <w:rsid w:val="00C2330B"/>
    <w:rsid w:val="00C2379D"/>
    <w:rsid w:val="00C23A79"/>
    <w:rsid w:val="00C23DE7"/>
    <w:rsid w:val="00C26323"/>
    <w:rsid w:val="00C26FB9"/>
    <w:rsid w:val="00C334C6"/>
    <w:rsid w:val="00C3358D"/>
    <w:rsid w:val="00C340F1"/>
    <w:rsid w:val="00C378D0"/>
    <w:rsid w:val="00C37FDB"/>
    <w:rsid w:val="00C402C8"/>
    <w:rsid w:val="00C40364"/>
    <w:rsid w:val="00C4390C"/>
    <w:rsid w:val="00C44AC9"/>
    <w:rsid w:val="00C45F56"/>
    <w:rsid w:val="00C518D5"/>
    <w:rsid w:val="00C61317"/>
    <w:rsid w:val="00C63894"/>
    <w:rsid w:val="00C655E8"/>
    <w:rsid w:val="00C7117A"/>
    <w:rsid w:val="00C711E9"/>
    <w:rsid w:val="00C74183"/>
    <w:rsid w:val="00C800CB"/>
    <w:rsid w:val="00C803A5"/>
    <w:rsid w:val="00C811CB"/>
    <w:rsid w:val="00C82C14"/>
    <w:rsid w:val="00C83FC3"/>
    <w:rsid w:val="00C85078"/>
    <w:rsid w:val="00C862F8"/>
    <w:rsid w:val="00C908DB"/>
    <w:rsid w:val="00C91B81"/>
    <w:rsid w:val="00C931B6"/>
    <w:rsid w:val="00C93B23"/>
    <w:rsid w:val="00C9782A"/>
    <w:rsid w:val="00CA0FA9"/>
    <w:rsid w:val="00CA1D85"/>
    <w:rsid w:val="00CA262F"/>
    <w:rsid w:val="00CA57BA"/>
    <w:rsid w:val="00CA5D9E"/>
    <w:rsid w:val="00CB4213"/>
    <w:rsid w:val="00CB4630"/>
    <w:rsid w:val="00CB54CC"/>
    <w:rsid w:val="00CB7EF0"/>
    <w:rsid w:val="00CC069F"/>
    <w:rsid w:val="00CC445A"/>
    <w:rsid w:val="00CC4851"/>
    <w:rsid w:val="00CD3B62"/>
    <w:rsid w:val="00CD4ED5"/>
    <w:rsid w:val="00CD53CA"/>
    <w:rsid w:val="00CD7291"/>
    <w:rsid w:val="00CE02D2"/>
    <w:rsid w:val="00CE1561"/>
    <w:rsid w:val="00CE1628"/>
    <w:rsid w:val="00CE3AFA"/>
    <w:rsid w:val="00CF2BAB"/>
    <w:rsid w:val="00CF54D1"/>
    <w:rsid w:val="00D010F1"/>
    <w:rsid w:val="00D01109"/>
    <w:rsid w:val="00D02CF4"/>
    <w:rsid w:val="00D06971"/>
    <w:rsid w:val="00D06B34"/>
    <w:rsid w:val="00D07E03"/>
    <w:rsid w:val="00D102FB"/>
    <w:rsid w:val="00D13BDB"/>
    <w:rsid w:val="00D16E63"/>
    <w:rsid w:val="00D2288B"/>
    <w:rsid w:val="00D235E9"/>
    <w:rsid w:val="00D27A8A"/>
    <w:rsid w:val="00D30F60"/>
    <w:rsid w:val="00D32085"/>
    <w:rsid w:val="00D354FD"/>
    <w:rsid w:val="00D3570E"/>
    <w:rsid w:val="00D411AB"/>
    <w:rsid w:val="00D41A38"/>
    <w:rsid w:val="00D422B1"/>
    <w:rsid w:val="00D45250"/>
    <w:rsid w:val="00D45488"/>
    <w:rsid w:val="00D45636"/>
    <w:rsid w:val="00D45F5B"/>
    <w:rsid w:val="00D467C6"/>
    <w:rsid w:val="00D54C3E"/>
    <w:rsid w:val="00D57B37"/>
    <w:rsid w:val="00D654B3"/>
    <w:rsid w:val="00D65923"/>
    <w:rsid w:val="00D65D16"/>
    <w:rsid w:val="00D66AFA"/>
    <w:rsid w:val="00D74CB8"/>
    <w:rsid w:val="00D761B6"/>
    <w:rsid w:val="00D76D1C"/>
    <w:rsid w:val="00D76DB8"/>
    <w:rsid w:val="00D81577"/>
    <w:rsid w:val="00D838A7"/>
    <w:rsid w:val="00D85A3F"/>
    <w:rsid w:val="00D868FB"/>
    <w:rsid w:val="00D86C43"/>
    <w:rsid w:val="00D86FEA"/>
    <w:rsid w:val="00D87FAD"/>
    <w:rsid w:val="00D90D41"/>
    <w:rsid w:val="00D94038"/>
    <w:rsid w:val="00DA137D"/>
    <w:rsid w:val="00DA3335"/>
    <w:rsid w:val="00DA3AC3"/>
    <w:rsid w:val="00DA3D69"/>
    <w:rsid w:val="00DA430D"/>
    <w:rsid w:val="00DA5163"/>
    <w:rsid w:val="00DA66D7"/>
    <w:rsid w:val="00DA72B7"/>
    <w:rsid w:val="00DB0E2B"/>
    <w:rsid w:val="00DB1053"/>
    <w:rsid w:val="00DB192A"/>
    <w:rsid w:val="00DB40BF"/>
    <w:rsid w:val="00DB7463"/>
    <w:rsid w:val="00DC090B"/>
    <w:rsid w:val="00DC297D"/>
    <w:rsid w:val="00DC3243"/>
    <w:rsid w:val="00DC3551"/>
    <w:rsid w:val="00DC5620"/>
    <w:rsid w:val="00DC6EA0"/>
    <w:rsid w:val="00DD020B"/>
    <w:rsid w:val="00DD216D"/>
    <w:rsid w:val="00DD2547"/>
    <w:rsid w:val="00DD2A50"/>
    <w:rsid w:val="00DD421D"/>
    <w:rsid w:val="00DD6D12"/>
    <w:rsid w:val="00DD7859"/>
    <w:rsid w:val="00DE608E"/>
    <w:rsid w:val="00DF08BA"/>
    <w:rsid w:val="00DF0974"/>
    <w:rsid w:val="00DF179E"/>
    <w:rsid w:val="00DF2688"/>
    <w:rsid w:val="00DF26E1"/>
    <w:rsid w:val="00DF3972"/>
    <w:rsid w:val="00DF39F5"/>
    <w:rsid w:val="00DF4B76"/>
    <w:rsid w:val="00DF6993"/>
    <w:rsid w:val="00E035BC"/>
    <w:rsid w:val="00E05C97"/>
    <w:rsid w:val="00E109B6"/>
    <w:rsid w:val="00E11E35"/>
    <w:rsid w:val="00E11F39"/>
    <w:rsid w:val="00E14394"/>
    <w:rsid w:val="00E14693"/>
    <w:rsid w:val="00E14AE5"/>
    <w:rsid w:val="00E16E1F"/>
    <w:rsid w:val="00E16E9D"/>
    <w:rsid w:val="00E24E82"/>
    <w:rsid w:val="00E26B0E"/>
    <w:rsid w:val="00E305D1"/>
    <w:rsid w:val="00E31B73"/>
    <w:rsid w:val="00E322B6"/>
    <w:rsid w:val="00E323A1"/>
    <w:rsid w:val="00E34A6F"/>
    <w:rsid w:val="00E36F96"/>
    <w:rsid w:val="00E41DD8"/>
    <w:rsid w:val="00E47B98"/>
    <w:rsid w:val="00E510D9"/>
    <w:rsid w:val="00E52929"/>
    <w:rsid w:val="00E52B61"/>
    <w:rsid w:val="00E52BA8"/>
    <w:rsid w:val="00E56F54"/>
    <w:rsid w:val="00E57675"/>
    <w:rsid w:val="00E64509"/>
    <w:rsid w:val="00E645B5"/>
    <w:rsid w:val="00E70B87"/>
    <w:rsid w:val="00E73118"/>
    <w:rsid w:val="00E73280"/>
    <w:rsid w:val="00E73F16"/>
    <w:rsid w:val="00E75181"/>
    <w:rsid w:val="00E7573A"/>
    <w:rsid w:val="00E76081"/>
    <w:rsid w:val="00E7797A"/>
    <w:rsid w:val="00E8182E"/>
    <w:rsid w:val="00E82EA2"/>
    <w:rsid w:val="00E85AD8"/>
    <w:rsid w:val="00E86BB6"/>
    <w:rsid w:val="00E87654"/>
    <w:rsid w:val="00E9039A"/>
    <w:rsid w:val="00E90BC9"/>
    <w:rsid w:val="00E9204D"/>
    <w:rsid w:val="00E95107"/>
    <w:rsid w:val="00E95158"/>
    <w:rsid w:val="00E96187"/>
    <w:rsid w:val="00E96CE7"/>
    <w:rsid w:val="00EA075C"/>
    <w:rsid w:val="00EA12C1"/>
    <w:rsid w:val="00EA1752"/>
    <w:rsid w:val="00EA1EDF"/>
    <w:rsid w:val="00EA33FD"/>
    <w:rsid w:val="00EA3FF6"/>
    <w:rsid w:val="00EA5CC6"/>
    <w:rsid w:val="00EB08F3"/>
    <w:rsid w:val="00EB0C7A"/>
    <w:rsid w:val="00EB0E90"/>
    <w:rsid w:val="00EB2F3A"/>
    <w:rsid w:val="00EB4288"/>
    <w:rsid w:val="00EB5786"/>
    <w:rsid w:val="00EB6518"/>
    <w:rsid w:val="00EB7303"/>
    <w:rsid w:val="00EC03B1"/>
    <w:rsid w:val="00EC1213"/>
    <w:rsid w:val="00EC1C81"/>
    <w:rsid w:val="00EC6DA3"/>
    <w:rsid w:val="00ED0A26"/>
    <w:rsid w:val="00ED13BB"/>
    <w:rsid w:val="00ED6AF6"/>
    <w:rsid w:val="00ED7A75"/>
    <w:rsid w:val="00EE2926"/>
    <w:rsid w:val="00EE3501"/>
    <w:rsid w:val="00EF0B42"/>
    <w:rsid w:val="00EF0F65"/>
    <w:rsid w:val="00EF2B87"/>
    <w:rsid w:val="00EF39DF"/>
    <w:rsid w:val="00EF49DF"/>
    <w:rsid w:val="00EF5386"/>
    <w:rsid w:val="00EF6B54"/>
    <w:rsid w:val="00EF6D7D"/>
    <w:rsid w:val="00EF7458"/>
    <w:rsid w:val="00EF7BB1"/>
    <w:rsid w:val="00F00CE0"/>
    <w:rsid w:val="00F01082"/>
    <w:rsid w:val="00F0560D"/>
    <w:rsid w:val="00F06B97"/>
    <w:rsid w:val="00F12CBF"/>
    <w:rsid w:val="00F14231"/>
    <w:rsid w:val="00F15AD8"/>
    <w:rsid w:val="00F1611B"/>
    <w:rsid w:val="00F17004"/>
    <w:rsid w:val="00F17080"/>
    <w:rsid w:val="00F205AD"/>
    <w:rsid w:val="00F21839"/>
    <w:rsid w:val="00F21DB8"/>
    <w:rsid w:val="00F2639D"/>
    <w:rsid w:val="00F2792A"/>
    <w:rsid w:val="00F27D7F"/>
    <w:rsid w:val="00F27E5E"/>
    <w:rsid w:val="00F30562"/>
    <w:rsid w:val="00F31764"/>
    <w:rsid w:val="00F31BDE"/>
    <w:rsid w:val="00F32686"/>
    <w:rsid w:val="00F328CD"/>
    <w:rsid w:val="00F3411A"/>
    <w:rsid w:val="00F35726"/>
    <w:rsid w:val="00F35B71"/>
    <w:rsid w:val="00F37416"/>
    <w:rsid w:val="00F42A12"/>
    <w:rsid w:val="00F4388D"/>
    <w:rsid w:val="00F47ACF"/>
    <w:rsid w:val="00F5279C"/>
    <w:rsid w:val="00F52B5A"/>
    <w:rsid w:val="00F556B2"/>
    <w:rsid w:val="00F606DA"/>
    <w:rsid w:val="00F650AC"/>
    <w:rsid w:val="00F6612B"/>
    <w:rsid w:val="00F668A8"/>
    <w:rsid w:val="00F677CB"/>
    <w:rsid w:val="00F67901"/>
    <w:rsid w:val="00F73AC5"/>
    <w:rsid w:val="00F75586"/>
    <w:rsid w:val="00F7580A"/>
    <w:rsid w:val="00F768B3"/>
    <w:rsid w:val="00F76C9B"/>
    <w:rsid w:val="00F81937"/>
    <w:rsid w:val="00F83792"/>
    <w:rsid w:val="00F83DE6"/>
    <w:rsid w:val="00F8480C"/>
    <w:rsid w:val="00F85392"/>
    <w:rsid w:val="00F863BA"/>
    <w:rsid w:val="00F866E9"/>
    <w:rsid w:val="00F86FB9"/>
    <w:rsid w:val="00F870D4"/>
    <w:rsid w:val="00F872F3"/>
    <w:rsid w:val="00F9451C"/>
    <w:rsid w:val="00F9542E"/>
    <w:rsid w:val="00F95F05"/>
    <w:rsid w:val="00F9732A"/>
    <w:rsid w:val="00FA2D82"/>
    <w:rsid w:val="00FA3445"/>
    <w:rsid w:val="00FA766D"/>
    <w:rsid w:val="00FA7693"/>
    <w:rsid w:val="00FA7CBE"/>
    <w:rsid w:val="00FB0BEC"/>
    <w:rsid w:val="00FB12D4"/>
    <w:rsid w:val="00FB13F3"/>
    <w:rsid w:val="00FB6200"/>
    <w:rsid w:val="00FC0796"/>
    <w:rsid w:val="00FC23D6"/>
    <w:rsid w:val="00FC4468"/>
    <w:rsid w:val="00FC53AC"/>
    <w:rsid w:val="00FC5CF5"/>
    <w:rsid w:val="00FC66A2"/>
    <w:rsid w:val="00FD6FFD"/>
    <w:rsid w:val="00FD73AA"/>
    <w:rsid w:val="00FE28B3"/>
    <w:rsid w:val="00FE2C1A"/>
    <w:rsid w:val="00FE3E04"/>
    <w:rsid w:val="00FE558E"/>
    <w:rsid w:val="00FF021A"/>
    <w:rsid w:val="00FF0E78"/>
    <w:rsid w:val="00FF31A7"/>
    <w:rsid w:val="00FF361C"/>
    <w:rsid w:val="00FF467D"/>
    <w:rsid w:val="00FF53A7"/>
    <w:rsid w:val="00FF6166"/>
    <w:rsid w:val="00FF62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4FD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E4FD6"/>
    <w:pPr>
      <w:tabs>
        <w:tab w:val="center" w:pos="4320"/>
        <w:tab w:val="right" w:pos="8640"/>
      </w:tabs>
    </w:pPr>
  </w:style>
  <w:style w:type="character" w:styleId="PageNumber">
    <w:name w:val="page number"/>
    <w:basedOn w:val="DefaultParagraphFont"/>
    <w:rsid w:val="008E4FD6"/>
  </w:style>
  <w:style w:type="paragraph" w:styleId="BodyText">
    <w:name w:val="Body Text"/>
    <w:basedOn w:val="Normal"/>
    <w:link w:val="BodyTextChar"/>
    <w:rsid w:val="006E12A1"/>
    <w:pPr>
      <w:spacing w:line="360" w:lineRule="auto"/>
      <w:jc w:val="both"/>
    </w:pPr>
    <w:rPr>
      <w:sz w:val="26"/>
      <w:szCs w:val="20"/>
    </w:rPr>
  </w:style>
  <w:style w:type="paragraph" w:styleId="FootnoteText">
    <w:name w:val="footnote text"/>
    <w:aliases w:val="Car"/>
    <w:basedOn w:val="Normal"/>
    <w:link w:val="FootnoteTextChar"/>
    <w:uiPriority w:val="99"/>
    <w:qFormat/>
    <w:rsid w:val="00C74183"/>
    <w:rPr>
      <w:sz w:val="20"/>
      <w:szCs w:val="20"/>
    </w:rPr>
  </w:style>
  <w:style w:type="character" w:styleId="FootnoteReference">
    <w:name w:val="footnote reference"/>
    <w:basedOn w:val="DefaultParagraphFont"/>
    <w:uiPriority w:val="99"/>
    <w:rsid w:val="00C74183"/>
    <w:rPr>
      <w:vertAlign w:val="superscript"/>
    </w:rPr>
  </w:style>
  <w:style w:type="character" w:customStyle="1" w:styleId="term1">
    <w:name w:val="term1"/>
    <w:basedOn w:val="DefaultParagraphFont"/>
    <w:rsid w:val="004C5FA9"/>
    <w:rPr>
      <w:rFonts w:ascii="Verdana" w:hAnsi="Verdana" w:hint="default"/>
      <w:b/>
      <w:bCs/>
      <w:sz w:val="20"/>
      <w:szCs w:val="20"/>
    </w:rPr>
  </w:style>
  <w:style w:type="paragraph" w:styleId="NormalWeb">
    <w:name w:val="Normal (Web)"/>
    <w:basedOn w:val="Normal"/>
    <w:uiPriority w:val="99"/>
    <w:rsid w:val="00A733A2"/>
    <w:pPr>
      <w:spacing w:before="100" w:beforeAutospacing="1" w:after="100" w:afterAutospacing="1"/>
    </w:pPr>
  </w:style>
  <w:style w:type="paragraph" w:styleId="Header">
    <w:name w:val="header"/>
    <w:basedOn w:val="Normal"/>
    <w:link w:val="HeaderChar"/>
    <w:rsid w:val="007A5EEF"/>
    <w:pPr>
      <w:tabs>
        <w:tab w:val="center" w:pos="4680"/>
        <w:tab w:val="right" w:pos="9360"/>
      </w:tabs>
    </w:pPr>
  </w:style>
  <w:style w:type="character" w:customStyle="1" w:styleId="HeaderChar">
    <w:name w:val="Header Char"/>
    <w:basedOn w:val="DefaultParagraphFont"/>
    <w:link w:val="Header"/>
    <w:rsid w:val="007A5EEF"/>
    <w:rPr>
      <w:sz w:val="24"/>
      <w:szCs w:val="24"/>
    </w:rPr>
  </w:style>
  <w:style w:type="paragraph" w:styleId="ListParagraph">
    <w:name w:val="List Paragraph"/>
    <w:basedOn w:val="Normal"/>
    <w:uiPriority w:val="34"/>
    <w:qFormat/>
    <w:rsid w:val="00475063"/>
    <w:pPr>
      <w:ind w:left="720"/>
      <w:contextualSpacing/>
    </w:pPr>
  </w:style>
  <w:style w:type="character" w:customStyle="1" w:styleId="BodyTextChar">
    <w:name w:val="Body Text Char"/>
    <w:basedOn w:val="DefaultParagraphFont"/>
    <w:link w:val="BodyText"/>
    <w:rsid w:val="00642C86"/>
    <w:rPr>
      <w:sz w:val="26"/>
    </w:rPr>
  </w:style>
  <w:style w:type="paragraph" w:styleId="BalloonText">
    <w:name w:val="Balloon Text"/>
    <w:basedOn w:val="Normal"/>
    <w:link w:val="BalloonTextChar"/>
    <w:rsid w:val="001538D0"/>
    <w:rPr>
      <w:rFonts w:ascii="Tahoma" w:hAnsi="Tahoma" w:cs="Tahoma"/>
      <w:sz w:val="16"/>
      <w:szCs w:val="16"/>
    </w:rPr>
  </w:style>
  <w:style w:type="character" w:customStyle="1" w:styleId="BalloonTextChar">
    <w:name w:val="Balloon Text Char"/>
    <w:basedOn w:val="DefaultParagraphFont"/>
    <w:link w:val="BalloonText"/>
    <w:rsid w:val="001538D0"/>
    <w:rPr>
      <w:rFonts w:ascii="Tahoma" w:hAnsi="Tahoma" w:cs="Tahoma"/>
      <w:sz w:val="16"/>
      <w:szCs w:val="16"/>
    </w:rPr>
  </w:style>
  <w:style w:type="paragraph" w:styleId="PlainText">
    <w:name w:val="Plain Text"/>
    <w:basedOn w:val="Normal"/>
    <w:link w:val="PlainTextChar"/>
    <w:uiPriority w:val="99"/>
    <w:unhideWhenUsed/>
    <w:rsid w:val="00841F7C"/>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841F7C"/>
    <w:rPr>
      <w:rFonts w:ascii="Calibri" w:eastAsiaTheme="minorHAnsi" w:hAnsi="Calibri" w:cstheme="minorBidi"/>
      <w:sz w:val="22"/>
      <w:szCs w:val="21"/>
    </w:rPr>
  </w:style>
  <w:style w:type="character" w:customStyle="1" w:styleId="FootnoteTextChar">
    <w:name w:val="Footnote Text Char"/>
    <w:aliases w:val="Car Char"/>
    <w:basedOn w:val="DefaultParagraphFont"/>
    <w:link w:val="FootnoteText"/>
    <w:uiPriority w:val="99"/>
    <w:rsid w:val="005D4816"/>
  </w:style>
  <w:style w:type="paragraph" w:customStyle="1" w:styleId="ParaTab1">
    <w:name w:val="ParaTab 1"/>
    <w:rsid w:val="008C7D9C"/>
    <w:pPr>
      <w:tabs>
        <w:tab w:val="left" w:pos="-720"/>
      </w:tabs>
      <w:suppressAutoHyphens/>
      <w:autoSpaceDE w:val="0"/>
      <w:autoSpaceDN w:val="0"/>
      <w:ind w:firstLine="1440"/>
    </w:pPr>
    <w:rPr>
      <w:rFonts w:ascii="CG Times"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4FD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E4FD6"/>
    <w:pPr>
      <w:tabs>
        <w:tab w:val="center" w:pos="4320"/>
        <w:tab w:val="right" w:pos="8640"/>
      </w:tabs>
    </w:pPr>
  </w:style>
  <w:style w:type="character" w:styleId="PageNumber">
    <w:name w:val="page number"/>
    <w:basedOn w:val="DefaultParagraphFont"/>
    <w:rsid w:val="008E4FD6"/>
  </w:style>
  <w:style w:type="paragraph" w:styleId="BodyText">
    <w:name w:val="Body Text"/>
    <w:basedOn w:val="Normal"/>
    <w:link w:val="BodyTextChar"/>
    <w:rsid w:val="006E12A1"/>
    <w:pPr>
      <w:spacing w:line="360" w:lineRule="auto"/>
      <w:jc w:val="both"/>
    </w:pPr>
    <w:rPr>
      <w:sz w:val="26"/>
      <w:szCs w:val="20"/>
    </w:rPr>
  </w:style>
  <w:style w:type="paragraph" w:styleId="FootnoteText">
    <w:name w:val="footnote text"/>
    <w:aliases w:val="Car"/>
    <w:basedOn w:val="Normal"/>
    <w:link w:val="FootnoteTextChar"/>
    <w:uiPriority w:val="99"/>
    <w:qFormat/>
    <w:rsid w:val="00C74183"/>
    <w:rPr>
      <w:sz w:val="20"/>
      <w:szCs w:val="20"/>
    </w:rPr>
  </w:style>
  <w:style w:type="character" w:styleId="FootnoteReference">
    <w:name w:val="footnote reference"/>
    <w:basedOn w:val="DefaultParagraphFont"/>
    <w:uiPriority w:val="99"/>
    <w:rsid w:val="00C74183"/>
    <w:rPr>
      <w:vertAlign w:val="superscript"/>
    </w:rPr>
  </w:style>
  <w:style w:type="character" w:customStyle="1" w:styleId="term1">
    <w:name w:val="term1"/>
    <w:basedOn w:val="DefaultParagraphFont"/>
    <w:rsid w:val="004C5FA9"/>
    <w:rPr>
      <w:rFonts w:ascii="Verdana" w:hAnsi="Verdana" w:hint="default"/>
      <w:b/>
      <w:bCs/>
      <w:sz w:val="20"/>
      <w:szCs w:val="20"/>
    </w:rPr>
  </w:style>
  <w:style w:type="paragraph" w:styleId="NormalWeb">
    <w:name w:val="Normal (Web)"/>
    <w:basedOn w:val="Normal"/>
    <w:uiPriority w:val="99"/>
    <w:rsid w:val="00A733A2"/>
    <w:pPr>
      <w:spacing w:before="100" w:beforeAutospacing="1" w:after="100" w:afterAutospacing="1"/>
    </w:pPr>
  </w:style>
  <w:style w:type="paragraph" w:styleId="Header">
    <w:name w:val="header"/>
    <w:basedOn w:val="Normal"/>
    <w:link w:val="HeaderChar"/>
    <w:rsid w:val="007A5EEF"/>
    <w:pPr>
      <w:tabs>
        <w:tab w:val="center" w:pos="4680"/>
        <w:tab w:val="right" w:pos="9360"/>
      </w:tabs>
    </w:pPr>
  </w:style>
  <w:style w:type="character" w:customStyle="1" w:styleId="HeaderChar">
    <w:name w:val="Header Char"/>
    <w:basedOn w:val="DefaultParagraphFont"/>
    <w:link w:val="Header"/>
    <w:rsid w:val="007A5EEF"/>
    <w:rPr>
      <w:sz w:val="24"/>
      <w:szCs w:val="24"/>
    </w:rPr>
  </w:style>
  <w:style w:type="paragraph" w:styleId="ListParagraph">
    <w:name w:val="List Paragraph"/>
    <w:basedOn w:val="Normal"/>
    <w:uiPriority w:val="34"/>
    <w:qFormat/>
    <w:rsid w:val="00475063"/>
    <w:pPr>
      <w:ind w:left="720"/>
      <w:contextualSpacing/>
    </w:pPr>
  </w:style>
  <w:style w:type="character" w:customStyle="1" w:styleId="BodyTextChar">
    <w:name w:val="Body Text Char"/>
    <w:basedOn w:val="DefaultParagraphFont"/>
    <w:link w:val="BodyText"/>
    <w:rsid w:val="00642C86"/>
    <w:rPr>
      <w:sz w:val="26"/>
    </w:rPr>
  </w:style>
  <w:style w:type="paragraph" w:styleId="BalloonText">
    <w:name w:val="Balloon Text"/>
    <w:basedOn w:val="Normal"/>
    <w:link w:val="BalloonTextChar"/>
    <w:rsid w:val="001538D0"/>
    <w:rPr>
      <w:rFonts w:ascii="Tahoma" w:hAnsi="Tahoma" w:cs="Tahoma"/>
      <w:sz w:val="16"/>
      <w:szCs w:val="16"/>
    </w:rPr>
  </w:style>
  <w:style w:type="character" w:customStyle="1" w:styleId="BalloonTextChar">
    <w:name w:val="Balloon Text Char"/>
    <w:basedOn w:val="DefaultParagraphFont"/>
    <w:link w:val="BalloonText"/>
    <w:rsid w:val="001538D0"/>
    <w:rPr>
      <w:rFonts w:ascii="Tahoma" w:hAnsi="Tahoma" w:cs="Tahoma"/>
      <w:sz w:val="16"/>
      <w:szCs w:val="16"/>
    </w:rPr>
  </w:style>
  <w:style w:type="paragraph" w:styleId="PlainText">
    <w:name w:val="Plain Text"/>
    <w:basedOn w:val="Normal"/>
    <w:link w:val="PlainTextChar"/>
    <w:uiPriority w:val="99"/>
    <w:unhideWhenUsed/>
    <w:rsid w:val="00841F7C"/>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841F7C"/>
    <w:rPr>
      <w:rFonts w:ascii="Calibri" w:eastAsiaTheme="minorHAnsi" w:hAnsi="Calibri" w:cstheme="minorBidi"/>
      <w:sz w:val="22"/>
      <w:szCs w:val="21"/>
    </w:rPr>
  </w:style>
  <w:style w:type="character" w:customStyle="1" w:styleId="FootnoteTextChar">
    <w:name w:val="Footnote Text Char"/>
    <w:aliases w:val="Car Char"/>
    <w:basedOn w:val="DefaultParagraphFont"/>
    <w:link w:val="FootnoteText"/>
    <w:uiPriority w:val="99"/>
    <w:rsid w:val="005D4816"/>
  </w:style>
  <w:style w:type="paragraph" w:customStyle="1" w:styleId="ParaTab1">
    <w:name w:val="ParaTab 1"/>
    <w:rsid w:val="008C7D9C"/>
    <w:pPr>
      <w:tabs>
        <w:tab w:val="left" w:pos="-720"/>
      </w:tabs>
      <w:suppressAutoHyphens/>
      <w:autoSpaceDE w:val="0"/>
      <w:autoSpaceDN w:val="0"/>
      <w:ind w:firstLine="1440"/>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1782967">
      <w:bodyDiv w:val="1"/>
      <w:marLeft w:val="0"/>
      <w:marRight w:val="0"/>
      <w:marTop w:val="0"/>
      <w:marBottom w:val="0"/>
      <w:divBdr>
        <w:top w:val="none" w:sz="0" w:space="0" w:color="auto"/>
        <w:left w:val="none" w:sz="0" w:space="0" w:color="auto"/>
        <w:bottom w:val="none" w:sz="0" w:space="0" w:color="auto"/>
        <w:right w:val="none" w:sz="0" w:space="0" w:color="auto"/>
      </w:divBdr>
      <w:divsChild>
        <w:div w:id="349180154">
          <w:marLeft w:val="0"/>
          <w:marRight w:val="0"/>
          <w:marTop w:val="0"/>
          <w:marBottom w:val="0"/>
          <w:divBdr>
            <w:top w:val="none" w:sz="0" w:space="0" w:color="auto"/>
            <w:left w:val="none" w:sz="0" w:space="0" w:color="auto"/>
            <w:bottom w:val="none" w:sz="0" w:space="0" w:color="auto"/>
            <w:right w:val="none" w:sz="0" w:space="0" w:color="auto"/>
          </w:divBdr>
          <w:divsChild>
            <w:div w:id="1072048278">
              <w:marLeft w:val="0"/>
              <w:marRight w:val="0"/>
              <w:marTop w:val="0"/>
              <w:marBottom w:val="0"/>
              <w:divBdr>
                <w:top w:val="none" w:sz="0" w:space="0" w:color="auto"/>
                <w:left w:val="none" w:sz="0" w:space="0" w:color="auto"/>
                <w:bottom w:val="none" w:sz="0" w:space="0" w:color="auto"/>
                <w:right w:val="none" w:sz="0" w:space="0" w:color="auto"/>
              </w:divBdr>
              <w:divsChild>
                <w:div w:id="1740249318">
                  <w:marLeft w:val="0"/>
                  <w:marRight w:val="0"/>
                  <w:marTop w:val="0"/>
                  <w:marBottom w:val="0"/>
                  <w:divBdr>
                    <w:top w:val="none" w:sz="0" w:space="0" w:color="auto"/>
                    <w:left w:val="none" w:sz="0" w:space="0" w:color="auto"/>
                    <w:bottom w:val="none" w:sz="0" w:space="0" w:color="auto"/>
                    <w:right w:val="none" w:sz="0" w:space="0" w:color="auto"/>
                  </w:divBdr>
                  <w:divsChild>
                    <w:div w:id="656762126">
                      <w:marLeft w:val="300"/>
                      <w:marRight w:val="300"/>
                      <w:marTop w:val="0"/>
                      <w:marBottom w:val="0"/>
                      <w:divBdr>
                        <w:top w:val="none" w:sz="0" w:space="0" w:color="auto"/>
                        <w:left w:val="none" w:sz="0" w:space="0" w:color="auto"/>
                        <w:bottom w:val="none" w:sz="0" w:space="0" w:color="auto"/>
                        <w:right w:val="none" w:sz="0" w:space="0" w:color="auto"/>
                      </w:divBdr>
                      <w:divsChild>
                        <w:div w:id="13941542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212418548">
      <w:bodyDiv w:val="1"/>
      <w:marLeft w:val="0"/>
      <w:marRight w:val="0"/>
      <w:marTop w:val="0"/>
      <w:marBottom w:val="0"/>
      <w:divBdr>
        <w:top w:val="none" w:sz="0" w:space="0" w:color="auto"/>
        <w:left w:val="none" w:sz="0" w:space="0" w:color="auto"/>
        <w:bottom w:val="none" w:sz="0" w:space="0" w:color="auto"/>
        <w:right w:val="none" w:sz="0" w:space="0" w:color="auto"/>
      </w:divBdr>
      <w:divsChild>
        <w:div w:id="15595927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7066162">
      <w:bodyDiv w:val="1"/>
      <w:marLeft w:val="0"/>
      <w:marRight w:val="0"/>
      <w:marTop w:val="0"/>
      <w:marBottom w:val="0"/>
      <w:divBdr>
        <w:top w:val="none" w:sz="0" w:space="0" w:color="auto"/>
        <w:left w:val="none" w:sz="0" w:space="0" w:color="auto"/>
        <w:bottom w:val="none" w:sz="0" w:space="0" w:color="auto"/>
        <w:right w:val="none" w:sz="0" w:space="0" w:color="auto"/>
      </w:divBdr>
      <w:divsChild>
        <w:div w:id="9497012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4858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B86AD5-05A5-4CC5-A3E8-77ADFDE7D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18</Pages>
  <Words>4473</Words>
  <Characters>25500</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29914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HOYER</dc:creator>
  <cp:lastModifiedBy>sandra elizabeth oldynski</cp:lastModifiedBy>
  <cp:revision>63</cp:revision>
  <cp:lastPrinted>2015-10-16T17:49:00Z</cp:lastPrinted>
  <dcterms:created xsi:type="dcterms:W3CDTF">2015-10-15T16:54:00Z</dcterms:created>
  <dcterms:modified xsi:type="dcterms:W3CDTF">2015-10-21T15:52:00Z</dcterms:modified>
</cp:coreProperties>
</file>