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Default="00A01330" w:rsidP="00C81100">
      <w:pPr>
        <w:jc w:val="center"/>
        <w:rPr>
          <w:sz w:val="24"/>
          <w:szCs w:val="24"/>
        </w:rPr>
      </w:pPr>
    </w:p>
    <w:p w:rsidR="00FB4BDE" w:rsidRPr="00C81100" w:rsidRDefault="00FB4BDE" w:rsidP="00C81100">
      <w:pPr>
        <w:jc w:val="center"/>
        <w:rPr>
          <w:sz w:val="24"/>
          <w:szCs w:val="24"/>
        </w:rPr>
      </w:pPr>
    </w:p>
    <w:p w:rsidR="00B70599" w:rsidRPr="00B96D75" w:rsidRDefault="00B70599" w:rsidP="00B70599">
      <w:pPr>
        <w:rPr>
          <w:sz w:val="24"/>
          <w:szCs w:val="24"/>
        </w:rPr>
      </w:pPr>
      <w:r w:rsidRPr="00B96D75">
        <w:rPr>
          <w:sz w:val="24"/>
          <w:szCs w:val="24"/>
        </w:rPr>
        <w:t>Armstrong Telecommunications, Inc.</w:t>
      </w:r>
      <w:r w:rsidRPr="00B96D75">
        <w:rPr>
          <w:sz w:val="24"/>
          <w:szCs w:val="24"/>
        </w:rPr>
        <w:tab/>
      </w:r>
      <w:r w:rsidR="00B96D75">
        <w:rPr>
          <w:sz w:val="24"/>
          <w:szCs w:val="24"/>
        </w:rPr>
        <w:tab/>
      </w:r>
      <w:r w:rsidR="00FB4BDE">
        <w:rPr>
          <w:sz w:val="24"/>
          <w:szCs w:val="24"/>
        </w:rPr>
        <w:tab/>
      </w:r>
      <w:r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00C362C1" w:rsidRPr="00B96D75">
        <w:rPr>
          <w:sz w:val="24"/>
          <w:szCs w:val="24"/>
        </w:rPr>
        <w:t>:</w:t>
      </w:r>
      <w:r w:rsidRPr="00B96D75">
        <w:rPr>
          <w:sz w:val="24"/>
          <w:szCs w:val="24"/>
        </w:rPr>
        <w:tab/>
      </w:r>
      <w:r w:rsidRPr="00B96D75">
        <w:rPr>
          <w:sz w:val="24"/>
          <w:szCs w:val="24"/>
        </w:rPr>
        <w:tab/>
        <w:t>C-2010-2216205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Verizon Pennsylvania Inc.</w:t>
      </w:r>
      <w:r w:rsidR="00C362C1" w:rsidRPr="00B96D75">
        <w:rPr>
          <w:sz w:val="24"/>
          <w:szCs w:val="24"/>
        </w:rPr>
        <w:tab/>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B70599" w:rsidRPr="00B96D75" w:rsidRDefault="00B70599" w:rsidP="00B70599">
      <w:pPr>
        <w:rPr>
          <w:sz w:val="24"/>
          <w:szCs w:val="24"/>
        </w:rPr>
      </w:pPr>
    </w:p>
    <w:p w:rsidR="00B70599" w:rsidRPr="00B96D75" w:rsidRDefault="00B70599" w:rsidP="00B70599">
      <w:pPr>
        <w:rPr>
          <w:sz w:val="24"/>
          <w:szCs w:val="24"/>
        </w:rPr>
      </w:pP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FB4BDE">
        <w:rPr>
          <w:sz w:val="24"/>
          <w:szCs w:val="24"/>
        </w:rPr>
        <w:tab/>
      </w:r>
      <w:r w:rsidR="00C362C1"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00C362C1" w:rsidRPr="00B96D75">
        <w:rPr>
          <w:sz w:val="24"/>
          <w:szCs w:val="24"/>
        </w:rPr>
        <w:t>:</w:t>
      </w:r>
      <w:r w:rsidRPr="00B96D75">
        <w:rPr>
          <w:sz w:val="24"/>
          <w:szCs w:val="24"/>
        </w:rPr>
        <w:tab/>
      </w:r>
      <w:r w:rsidRPr="00B96D75">
        <w:rPr>
          <w:sz w:val="24"/>
          <w:szCs w:val="24"/>
        </w:rPr>
        <w:tab/>
        <w:t>C-2010-2216311</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Verizon North LLC</w:t>
      </w:r>
      <w:r w:rsidR="00C362C1" w:rsidRPr="00B96D75">
        <w:rPr>
          <w:sz w:val="24"/>
          <w:szCs w:val="24"/>
        </w:rPr>
        <w:tab/>
      </w:r>
      <w:r w:rsidR="00C362C1" w:rsidRPr="00B96D75">
        <w:rPr>
          <w:sz w:val="24"/>
          <w:szCs w:val="24"/>
        </w:rPr>
        <w:tab/>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B70599" w:rsidRPr="00B96D75" w:rsidRDefault="00B70599" w:rsidP="00B70599">
      <w:pPr>
        <w:rPr>
          <w:sz w:val="24"/>
          <w:szCs w:val="24"/>
        </w:rPr>
      </w:pPr>
    </w:p>
    <w:p w:rsidR="005655C8" w:rsidRPr="00B96D75" w:rsidRDefault="005655C8" w:rsidP="00B70599">
      <w:pPr>
        <w:rPr>
          <w:sz w:val="24"/>
          <w:szCs w:val="24"/>
        </w:rPr>
      </w:pP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FB4BDE">
        <w:rPr>
          <w:sz w:val="24"/>
          <w:szCs w:val="24"/>
        </w:rPr>
        <w:tab/>
      </w:r>
      <w:r w:rsidR="00C362C1" w:rsidRPr="00B96D75">
        <w:rPr>
          <w:sz w:val="24"/>
          <w:szCs w:val="24"/>
        </w:rPr>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00C362C1" w:rsidRPr="00B96D75">
        <w:rPr>
          <w:sz w:val="24"/>
          <w:szCs w:val="24"/>
        </w:rPr>
        <w:t>:</w:t>
      </w:r>
      <w:r w:rsidRPr="00B96D75">
        <w:rPr>
          <w:sz w:val="24"/>
          <w:szCs w:val="24"/>
        </w:rPr>
        <w:tab/>
      </w:r>
      <w:r w:rsidRPr="00B96D75">
        <w:rPr>
          <w:sz w:val="24"/>
          <w:szCs w:val="24"/>
        </w:rPr>
        <w:tab/>
        <w:t>C-2010-2216325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5655C8" w:rsidRPr="00B96D75" w:rsidRDefault="00B70599" w:rsidP="00B70599">
      <w:pPr>
        <w:rPr>
          <w:sz w:val="24"/>
          <w:szCs w:val="24"/>
        </w:rPr>
      </w:pPr>
      <w:r w:rsidRPr="00B96D75">
        <w:rPr>
          <w:sz w:val="24"/>
          <w:szCs w:val="24"/>
        </w:rPr>
        <w:t>MCImetro Access Transmission</w:t>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5655C8" w:rsidRPr="00B96D75" w:rsidRDefault="00B70599" w:rsidP="00B70599">
      <w:pPr>
        <w:rPr>
          <w:sz w:val="24"/>
          <w:szCs w:val="24"/>
        </w:rPr>
      </w:pPr>
      <w:r w:rsidRPr="00B96D75">
        <w:rPr>
          <w:sz w:val="24"/>
          <w:szCs w:val="24"/>
        </w:rPr>
        <w:t>Services LLC d/b/a Verizon Access</w:t>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B70599" w:rsidRPr="00B96D75" w:rsidRDefault="00B70599" w:rsidP="00B70599">
      <w:pPr>
        <w:rPr>
          <w:sz w:val="24"/>
          <w:szCs w:val="24"/>
        </w:rPr>
      </w:pPr>
      <w:r w:rsidRPr="00B96D75">
        <w:rPr>
          <w:sz w:val="24"/>
          <w:szCs w:val="24"/>
        </w:rPr>
        <w:t>Transmission Services</w:t>
      </w:r>
      <w:r w:rsidR="00C362C1" w:rsidRPr="00B96D75">
        <w:rPr>
          <w:sz w:val="24"/>
          <w:szCs w:val="24"/>
        </w:rPr>
        <w:tab/>
      </w:r>
      <w:r w:rsidR="00C362C1" w:rsidRP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5655C8" w:rsidRPr="00B96D75" w:rsidRDefault="005655C8" w:rsidP="00B70599">
      <w:pPr>
        <w:rPr>
          <w:sz w:val="24"/>
          <w:szCs w:val="24"/>
        </w:rPr>
      </w:pPr>
    </w:p>
    <w:p w:rsidR="00B70599" w:rsidRPr="00B96D75" w:rsidRDefault="00B70599" w:rsidP="00B70599">
      <w:pPr>
        <w:rPr>
          <w:sz w:val="24"/>
          <w:szCs w:val="24"/>
        </w:rPr>
      </w:pPr>
    </w:p>
    <w:p w:rsidR="00B70599" w:rsidRPr="00B96D75" w:rsidRDefault="00B70599" w:rsidP="00B70599">
      <w:pPr>
        <w:rPr>
          <w:sz w:val="24"/>
          <w:szCs w:val="24"/>
        </w:rPr>
      </w:pPr>
      <w:r w:rsidRPr="00B96D75">
        <w:rPr>
          <w:sz w:val="24"/>
          <w:szCs w:val="24"/>
        </w:rPr>
        <w:t>Armstrong Telecommunications, Inc.</w:t>
      </w:r>
      <w:r w:rsidR="00B96D75">
        <w:rPr>
          <w:sz w:val="24"/>
          <w:szCs w:val="24"/>
        </w:rPr>
        <w:tab/>
      </w:r>
      <w:r w:rsidR="00C362C1" w:rsidRPr="00B96D75">
        <w:rPr>
          <w:sz w:val="24"/>
          <w:szCs w:val="24"/>
        </w:rPr>
        <w:tab/>
      </w:r>
      <w:r w:rsidR="00FB4BDE">
        <w:rPr>
          <w:sz w:val="24"/>
          <w:szCs w:val="24"/>
        </w:rPr>
        <w:tab/>
      </w:r>
      <w:r w:rsidR="00C362C1" w:rsidRPr="00B96D75">
        <w:rPr>
          <w:sz w:val="24"/>
          <w:szCs w:val="24"/>
        </w:rPr>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r w:rsidRPr="00B96D75">
        <w:rPr>
          <w:sz w:val="24"/>
          <w:szCs w:val="24"/>
        </w:rPr>
        <w:tab/>
      </w:r>
      <w:r w:rsidRPr="00B96D75">
        <w:rPr>
          <w:sz w:val="24"/>
          <w:szCs w:val="24"/>
        </w:rPr>
        <w:tab/>
        <w:t>C-2010-2216293</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00FB4BDE">
        <w:rPr>
          <w:sz w:val="24"/>
          <w:szCs w:val="24"/>
        </w:rPr>
        <w:tab/>
      </w:r>
      <w:r w:rsidRPr="00B96D75">
        <w:rPr>
          <w:sz w:val="24"/>
          <w:szCs w:val="24"/>
        </w:rPr>
        <w:t>:</w:t>
      </w:r>
    </w:p>
    <w:p w:rsidR="00B70599" w:rsidRPr="00B96D75" w:rsidRDefault="00B70599" w:rsidP="00B70599">
      <w:pPr>
        <w:rPr>
          <w:sz w:val="24"/>
          <w:szCs w:val="24"/>
        </w:rPr>
      </w:pPr>
      <w:r w:rsidRPr="00B96D75">
        <w:rPr>
          <w:sz w:val="24"/>
          <w:szCs w:val="24"/>
        </w:rPr>
        <w:t xml:space="preserve">MCI Communications Services Inc. </w:t>
      </w:r>
      <w:r w:rsidR="00C362C1" w:rsidRPr="00B96D75">
        <w:rPr>
          <w:sz w:val="24"/>
          <w:szCs w:val="24"/>
        </w:rPr>
        <w:tab/>
      </w:r>
      <w:r w:rsidR="00B96D75">
        <w:rPr>
          <w:sz w:val="24"/>
          <w:szCs w:val="24"/>
        </w:rPr>
        <w:tab/>
      </w:r>
      <w:r w:rsidR="00FB4BDE">
        <w:rPr>
          <w:sz w:val="24"/>
          <w:szCs w:val="24"/>
        </w:rPr>
        <w:tab/>
      </w:r>
      <w:r w:rsidR="00C362C1" w:rsidRPr="00B96D75">
        <w:rPr>
          <w:sz w:val="24"/>
          <w:szCs w:val="24"/>
        </w:rPr>
        <w:t>:</w:t>
      </w:r>
    </w:p>
    <w:p w:rsidR="003B1503" w:rsidRPr="00B96D75" w:rsidRDefault="003B1503" w:rsidP="003B1503">
      <w:pPr>
        <w:rPr>
          <w:sz w:val="24"/>
          <w:szCs w:val="24"/>
        </w:rPr>
      </w:pPr>
    </w:p>
    <w:p w:rsidR="008E01E3" w:rsidRPr="00C81100" w:rsidRDefault="008E01E3" w:rsidP="00C81100">
      <w:pPr>
        <w:rPr>
          <w:sz w:val="24"/>
          <w:szCs w:val="24"/>
        </w:rPr>
      </w:pPr>
    </w:p>
    <w:p w:rsidR="00A01330" w:rsidRPr="00C81100" w:rsidRDefault="00A01330" w:rsidP="00C81100">
      <w:pPr>
        <w:rPr>
          <w:sz w:val="24"/>
          <w:szCs w:val="24"/>
        </w:rPr>
      </w:pPr>
    </w:p>
    <w:p w:rsidR="005F2E20" w:rsidRDefault="00FB4BDE" w:rsidP="00C81100">
      <w:pPr>
        <w:jc w:val="center"/>
        <w:rPr>
          <w:b/>
          <w:sz w:val="24"/>
          <w:szCs w:val="24"/>
          <w:u w:val="single"/>
        </w:rPr>
      </w:pPr>
      <w:r>
        <w:rPr>
          <w:b/>
          <w:sz w:val="24"/>
          <w:szCs w:val="24"/>
          <w:u w:val="single"/>
        </w:rPr>
        <w:t>ORDE</w:t>
      </w:r>
      <w:r w:rsidR="006930A1">
        <w:rPr>
          <w:b/>
          <w:sz w:val="24"/>
          <w:szCs w:val="24"/>
          <w:u w:val="single"/>
        </w:rPr>
        <w:t>R REOPENING THE RECORD FOR THE LIMITED</w:t>
      </w:r>
    </w:p>
    <w:p w:rsidR="00A01330" w:rsidRPr="00C81100" w:rsidRDefault="005F2E20" w:rsidP="00C81100">
      <w:pPr>
        <w:jc w:val="center"/>
        <w:rPr>
          <w:b/>
          <w:sz w:val="24"/>
          <w:szCs w:val="24"/>
          <w:u w:val="single"/>
        </w:rPr>
      </w:pPr>
      <w:r>
        <w:rPr>
          <w:b/>
          <w:sz w:val="24"/>
          <w:szCs w:val="24"/>
          <w:u w:val="single"/>
        </w:rPr>
        <w:t>FILING</w:t>
      </w:r>
      <w:r w:rsidR="006930A1">
        <w:rPr>
          <w:b/>
          <w:sz w:val="24"/>
          <w:szCs w:val="24"/>
          <w:u w:val="single"/>
        </w:rPr>
        <w:t xml:space="preserve"> OF</w:t>
      </w:r>
      <w:r>
        <w:rPr>
          <w:b/>
          <w:sz w:val="24"/>
          <w:szCs w:val="24"/>
          <w:u w:val="single"/>
        </w:rPr>
        <w:t xml:space="preserve"> </w:t>
      </w:r>
      <w:r w:rsidR="006930A1">
        <w:rPr>
          <w:b/>
          <w:sz w:val="24"/>
          <w:szCs w:val="24"/>
          <w:u w:val="single"/>
        </w:rPr>
        <w:t>EVIDENCE</w:t>
      </w:r>
      <w:r>
        <w:rPr>
          <w:b/>
          <w:sz w:val="24"/>
          <w:szCs w:val="24"/>
          <w:u w:val="single"/>
        </w:rPr>
        <w:t xml:space="preserve"> AND SUBSEQUENT HEARING</w:t>
      </w:r>
    </w:p>
    <w:p w:rsidR="00115DAF" w:rsidRPr="00C81100" w:rsidRDefault="00115DAF" w:rsidP="00C81100">
      <w:pPr>
        <w:jc w:val="center"/>
        <w:rPr>
          <w:sz w:val="24"/>
          <w:szCs w:val="24"/>
        </w:rPr>
      </w:pPr>
    </w:p>
    <w:p w:rsidR="00405714" w:rsidRDefault="00405714" w:rsidP="00A01330">
      <w:pPr>
        <w:jc w:val="center"/>
        <w:rPr>
          <w:sz w:val="24"/>
          <w:szCs w:val="24"/>
        </w:rPr>
      </w:pPr>
    </w:p>
    <w:p w:rsidR="002033FF" w:rsidRDefault="002F1624" w:rsidP="002033FF">
      <w:pPr>
        <w:spacing w:line="360" w:lineRule="auto"/>
        <w:rPr>
          <w:sz w:val="24"/>
          <w:szCs w:val="24"/>
        </w:rPr>
      </w:pPr>
      <w:r>
        <w:rPr>
          <w:sz w:val="24"/>
          <w:szCs w:val="24"/>
        </w:rPr>
        <w:tab/>
      </w:r>
      <w:r>
        <w:rPr>
          <w:sz w:val="24"/>
          <w:szCs w:val="24"/>
        </w:rPr>
        <w:tab/>
      </w:r>
      <w:r w:rsidRPr="002F1624">
        <w:rPr>
          <w:sz w:val="24"/>
          <w:szCs w:val="24"/>
        </w:rPr>
        <w:t>In accord with the provisions of 52 Pa. Code § 5.483, the purpose of this Order is to</w:t>
      </w:r>
      <w:r>
        <w:rPr>
          <w:sz w:val="24"/>
          <w:szCs w:val="24"/>
        </w:rPr>
        <w:t xml:space="preserve"> </w:t>
      </w:r>
      <w:r w:rsidR="006930A1">
        <w:rPr>
          <w:sz w:val="24"/>
          <w:szCs w:val="24"/>
        </w:rPr>
        <w:t xml:space="preserve">grant </w:t>
      </w:r>
      <w:r w:rsidR="002033FF">
        <w:rPr>
          <w:sz w:val="24"/>
          <w:szCs w:val="24"/>
        </w:rPr>
        <w:t xml:space="preserve">the Petition for Reopening of the Record filed by Verizon Pennsylvania, Inc., </w:t>
      </w:r>
      <w:r w:rsidR="002033FF" w:rsidRPr="002033FF">
        <w:rPr>
          <w:sz w:val="24"/>
          <w:szCs w:val="24"/>
        </w:rPr>
        <w:t>Verizon North LLC</w:t>
      </w:r>
      <w:r w:rsidR="002033FF">
        <w:rPr>
          <w:sz w:val="24"/>
          <w:szCs w:val="24"/>
        </w:rPr>
        <w:t xml:space="preserve">, </w:t>
      </w:r>
      <w:r w:rsidR="002033FF" w:rsidRPr="002033FF">
        <w:rPr>
          <w:sz w:val="24"/>
          <w:szCs w:val="24"/>
        </w:rPr>
        <w:t>MCImetro Access Transmission</w:t>
      </w:r>
      <w:r w:rsidR="002033FF" w:rsidRPr="002033FF">
        <w:rPr>
          <w:sz w:val="24"/>
          <w:szCs w:val="24"/>
        </w:rPr>
        <w:tab/>
        <w:t>Services LLC d/b/a Verizon Access</w:t>
      </w:r>
      <w:r w:rsidR="002033FF">
        <w:rPr>
          <w:sz w:val="24"/>
          <w:szCs w:val="24"/>
        </w:rPr>
        <w:t xml:space="preserve"> </w:t>
      </w:r>
      <w:r w:rsidR="002033FF" w:rsidRPr="002033FF">
        <w:rPr>
          <w:sz w:val="24"/>
          <w:szCs w:val="24"/>
        </w:rPr>
        <w:t>Transmission Services</w:t>
      </w:r>
      <w:r w:rsidR="002033FF">
        <w:rPr>
          <w:sz w:val="24"/>
          <w:szCs w:val="24"/>
        </w:rPr>
        <w:t xml:space="preserve">, and </w:t>
      </w:r>
      <w:r w:rsidR="002033FF" w:rsidRPr="002033FF">
        <w:rPr>
          <w:sz w:val="24"/>
          <w:szCs w:val="24"/>
        </w:rPr>
        <w:t>MCI Communications Services Inc.</w:t>
      </w:r>
      <w:r w:rsidR="002033FF">
        <w:rPr>
          <w:sz w:val="24"/>
          <w:szCs w:val="24"/>
        </w:rPr>
        <w:t xml:space="preserve"> (collectively, “Verizon’) on January 7, 2015.  </w:t>
      </w:r>
    </w:p>
    <w:p w:rsidR="001600B8" w:rsidRPr="001F45C6" w:rsidRDefault="00335F01" w:rsidP="001F45C6">
      <w:pPr>
        <w:spacing w:line="360" w:lineRule="auto"/>
        <w:jc w:val="center"/>
        <w:rPr>
          <w:sz w:val="24"/>
          <w:szCs w:val="24"/>
          <w:u w:val="single"/>
        </w:rPr>
      </w:pPr>
      <w:r w:rsidRPr="001F45C6">
        <w:rPr>
          <w:sz w:val="24"/>
          <w:szCs w:val="24"/>
          <w:u w:val="single"/>
        </w:rPr>
        <w:lastRenderedPageBreak/>
        <w:t>DISCUSSION</w:t>
      </w:r>
    </w:p>
    <w:p w:rsidR="00335F01" w:rsidRDefault="00335F01" w:rsidP="000E3E42">
      <w:pPr>
        <w:spacing w:line="360" w:lineRule="auto"/>
        <w:rPr>
          <w:sz w:val="24"/>
          <w:szCs w:val="24"/>
        </w:rPr>
      </w:pPr>
    </w:p>
    <w:p w:rsidR="00B13579" w:rsidRDefault="00335F01" w:rsidP="000E3E42">
      <w:pPr>
        <w:spacing w:line="360" w:lineRule="auto"/>
        <w:rPr>
          <w:sz w:val="24"/>
          <w:szCs w:val="24"/>
        </w:rPr>
      </w:pPr>
      <w:r>
        <w:rPr>
          <w:sz w:val="24"/>
          <w:szCs w:val="24"/>
        </w:rPr>
        <w:tab/>
      </w:r>
      <w:r>
        <w:rPr>
          <w:sz w:val="24"/>
          <w:szCs w:val="24"/>
        </w:rPr>
        <w:tab/>
      </w:r>
      <w:r w:rsidR="00CC3D38">
        <w:rPr>
          <w:sz w:val="24"/>
          <w:szCs w:val="24"/>
        </w:rPr>
        <w:t xml:space="preserve">On October 29, 2014, post-hearing conference convened at the Commission’s Harrisburg Office </w:t>
      </w:r>
      <w:r w:rsidR="00AD667C">
        <w:rPr>
          <w:sz w:val="24"/>
          <w:szCs w:val="24"/>
        </w:rPr>
        <w:t>to ascertain from the parties</w:t>
      </w:r>
      <w:r w:rsidR="00A86ACB">
        <w:rPr>
          <w:sz w:val="24"/>
          <w:szCs w:val="24"/>
        </w:rPr>
        <w:t xml:space="preserve">, Verizon and complainant </w:t>
      </w:r>
      <w:r w:rsidR="00A86ACB" w:rsidRPr="00A86ACB">
        <w:rPr>
          <w:sz w:val="24"/>
          <w:szCs w:val="24"/>
        </w:rPr>
        <w:t>Armstrong Telecommunications, Inc.</w:t>
      </w:r>
      <w:r w:rsidR="00AD667C">
        <w:rPr>
          <w:sz w:val="24"/>
          <w:szCs w:val="24"/>
        </w:rPr>
        <w:t xml:space="preserve"> </w:t>
      </w:r>
      <w:r w:rsidR="00A86ACB">
        <w:rPr>
          <w:sz w:val="24"/>
          <w:szCs w:val="24"/>
        </w:rPr>
        <w:t xml:space="preserve">(Armstrong) </w:t>
      </w:r>
      <w:r w:rsidR="00AD667C">
        <w:rPr>
          <w:sz w:val="24"/>
          <w:szCs w:val="24"/>
        </w:rPr>
        <w:t>whether further evidentiary hearings are necessary</w:t>
      </w:r>
      <w:r w:rsidR="0026597C">
        <w:rPr>
          <w:sz w:val="24"/>
          <w:szCs w:val="24"/>
        </w:rPr>
        <w:t xml:space="preserve"> in this case</w:t>
      </w:r>
      <w:r w:rsidR="00AD667C">
        <w:rPr>
          <w:sz w:val="24"/>
          <w:szCs w:val="24"/>
        </w:rPr>
        <w:t xml:space="preserve">, </w:t>
      </w:r>
      <w:r w:rsidR="0026597C">
        <w:rPr>
          <w:sz w:val="24"/>
          <w:szCs w:val="24"/>
        </w:rPr>
        <w:t xml:space="preserve">and if so, </w:t>
      </w:r>
      <w:r w:rsidR="00C06C2A">
        <w:rPr>
          <w:sz w:val="24"/>
          <w:szCs w:val="24"/>
        </w:rPr>
        <w:t>to determine</w:t>
      </w:r>
      <w:r w:rsidR="00AD667C">
        <w:rPr>
          <w:sz w:val="24"/>
          <w:szCs w:val="24"/>
        </w:rPr>
        <w:t xml:space="preserve"> whether Supplemental Briefs should be filed, and to discuss </w:t>
      </w:r>
      <w:r w:rsidR="00A86ACB">
        <w:rPr>
          <w:sz w:val="24"/>
          <w:szCs w:val="24"/>
        </w:rPr>
        <w:t xml:space="preserve">setting </w:t>
      </w:r>
      <w:r w:rsidR="00AD667C">
        <w:rPr>
          <w:sz w:val="24"/>
          <w:szCs w:val="24"/>
        </w:rPr>
        <w:t>a schedule to conclude this case.</w:t>
      </w:r>
      <w:r w:rsidR="0026597C">
        <w:rPr>
          <w:rStyle w:val="FootnoteReference"/>
          <w:sz w:val="24"/>
          <w:szCs w:val="24"/>
        </w:rPr>
        <w:footnoteReference w:id="1"/>
      </w:r>
      <w:r w:rsidR="006A5FB0">
        <w:rPr>
          <w:sz w:val="24"/>
          <w:szCs w:val="24"/>
        </w:rPr>
        <w:t xml:space="preserve">  </w:t>
      </w:r>
    </w:p>
    <w:p w:rsidR="00CC3D38" w:rsidRDefault="00CC3D38" w:rsidP="000E3E42">
      <w:pPr>
        <w:spacing w:line="360" w:lineRule="auto"/>
        <w:rPr>
          <w:sz w:val="24"/>
          <w:szCs w:val="24"/>
        </w:rPr>
      </w:pPr>
    </w:p>
    <w:p w:rsidR="00CC3D38" w:rsidRDefault="00CC3D38" w:rsidP="000E3E42">
      <w:pPr>
        <w:spacing w:line="360" w:lineRule="auto"/>
        <w:rPr>
          <w:sz w:val="24"/>
          <w:szCs w:val="24"/>
        </w:rPr>
      </w:pPr>
      <w:r>
        <w:rPr>
          <w:sz w:val="24"/>
          <w:szCs w:val="24"/>
        </w:rPr>
        <w:tab/>
      </w:r>
      <w:r>
        <w:rPr>
          <w:sz w:val="24"/>
          <w:szCs w:val="24"/>
        </w:rPr>
        <w:tab/>
        <w:t>At the conclusion of that conference, the parties requested an opportunity to discuss whether they could reach an agreement with respect to stipulating to the receipt into the record of additional documents.  The parties asked to have until December 5, 2014, at which time the parties would apprise me of their progress.</w:t>
      </w:r>
    </w:p>
    <w:p w:rsidR="00CC3D38" w:rsidRDefault="00CC3D38" w:rsidP="000E3E42">
      <w:pPr>
        <w:spacing w:line="360" w:lineRule="auto"/>
        <w:rPr>
          <w:sz w:val="24"/>
          <w:szCs w:val="24"/>
        </w:rPr>
      </w:pPr>
    </w:p>
    <w:p w:rsidR="00CC3D38" w:rsidRDefault="00CC3D38" w:rsidP="000E3E42">
      <w:pPr>
        <w:spacing w:line="360" w:lineRule="auto"/>
        <w:rPr>
          <w:sz w:val="24"/>
          <w:szCs w:val="24"/>
        </w:rPr>
      </w:pPr>
      <w:r>
        <w:rPr>
          <w:sz w:val="24"/>
          <w:szCs w:val="24"/>
        </w:rPr>
        <w:tab/>
      </w:r>
      <w:r>
        <w:rPr>
          <w:sz w:val="24"/>
          <w:szCs w:val="24"/>
        </w:rPr>
        <w:tab/>
        <w:t xml:space="preserve">On December 5, 2014, counsel for </w:t>
      </w:r>
      <w:r w:rsidR="003154B4">
        <w:rPr>
          <w:sz w:val="24"/>
          <w:szCs w:val="24"/>
        </w:rPr>
        <w:t>Verizon/MCI sent me an e-mail, copied to counsel for Armstrong, stating the following:</w:t>
      </w:r>
    </w:p>
    <w:p w:rsidR="003154B4" w:rsidRDefault="003154B4" w:rsidP="000E3E42">
      <w:pPr>
        <w:spacing w:line="360" w:lineRule="auto"/>
        <w:rPr>
          <w:sz w:val="24"/>
          <w:szCs w:val="24"/>
        </w:rPr>
      </w:pPr>
    </w:p>
    <w:p w:rsidR="003154B4" w:rsidRPr="003154B4" w:rsidRDefault="003154B4" w:rsidP="003154B4">
      <w:pPr>
        <w:widowControl w:val="0"/>
        <w:numPr>
          <w:ilvl w:val="0"/>
          <w:numId w:val="4"/>
        </w:numPr>
        <w:spacing w:line="360" w:lineRule="auto"/>
        <w:rPr>
          <w:sz w:val="24"/>
          <w:szCs w:val="24"/>
        </w:rPr>
      </w:pPr>
      <w:r w:rsidRPr="003154B4">
        <w:rPr>
          <w:b/>
          <w:bCs/>
          <w:sz w:val="24"/>
          <w:szCs w:val="24"/>
          <w:u w:val="single"/>
        </w:rPr>
        <w:t>Reopening record:</w:t>
      </w:r>
      <w:r w:rsidRPr="003154B4">
        <w:rPr>
          <w:sz w:val="24"/>
          <w:szCs w:val="24"/>
        </w:rPr>
        <w:t>  The parties ha</w:t>
      </w:r>
      <w:r w:rsidR="002033FF">
        <w:rPr>
          <w:sz w:val="24"/>
          <w:szCs w:val="24"/>
        </w:rPr>
        <w:t>d</w:t>
      </w:r>
      <w:r w:rsidRPr="003154B4">
        <w:rPr>
          <w:sz w:val="24"/>
          <w:szCs w:val="24"/>
        </w:rPr>
        <w:t xml:space="preserve"> not reached agreement on this issue.  Armstrong opposes reopening the record, whereas Verizon would like the record to be reopened for the admission of certain limited facts and documents.  </w:t>
      </w:r>
      <w:r w:rsidRPr="005420A4">
        <w:rPr>
          <w:sz w:val="24"/>
          <w:szCs w:val="24"/>
        </w:rPr>
        <w:t>Given their opposing positions, the parties propose</w:t>
      </w:r>
      <w:r w:rsidR="002033FF">
        <w:rPr>
          <w:sz w:val="24"/>
          <w:szCs w:val="24"/>
        </w:rPr>
        <w:t>d</w:t>
      </w:r>
      <w:r w:rsidRPr="005420A4">
        <w:rPr>
          <w:sz w:val="24"/>
          <w:szCs w:val="24"/>
        </w:rPr>
        <w:t xml:space="preserve"> that Verizon file a formal petition to reopen the record and that Armstrong have a chance to file a responsive pleading under the applicable rules</w:t>
      </w:r>
      <w:r w:rsidRPr="003154B4">
        <w:rPr>
          <w:sz w:val="24"/>
          <w:szCs w:val="24"/>
        </w:rPr>
        <w:t>, to provide a vehicle to decide this question</w:t>
      </w:r>
      <w:r w:rsidR="005420A4">
        <w:rPr>
          <w:sz w:val="24"/>
          <w:szCs w:val="24"/>
        </w:rPr>
        <w:t>.</w:t>
      </w:r>
    </w:p>
    <w:p w:rsidR="003154B4" w:rsidRPr="003154B4" w:rsidRDefault="003154B4" w:rsidP="003154B4">
      <w:pPr>
        <w:widowControl w:val="0"/>
        <w:spacing w:line="360" w:lineRule="auto"/>
        <w:rPr>
          <w:sz w:val="24"/>
          <w:szCs w:val="24"/>
        </w:rPr>
      </w:pPr>
      <w:r w:rsidRPr="003154B4">
        <w:rPr>
          <w:sz w:val="24"/>
          <w:szCs w:val="24"/>
        </w:rPr>
        <w:t> </w:t>
      </w:r>
    </w:p>
    <w:p w:rsidR="003154B4" w:rsidRDefault="003154B4" w:rsidP="003154B4">
      <w:pPr>
        <w:widowControl w:val="0"/>
        <w:numPr>
          <w:ilvl w:val="0"/>
          <w:numId w:val="4"/>
        </w:numPr>
        <w:spacing w:line="360" w:lineRule="auto"/>
        <w:rPr>
          <w:sz w:val="24"/>
          <w:szCs w:val="24"/>
        </w:rPr>
      </w:pPr>
      <w:r w:rsidRPr="003154B4">
        <w:rPr>
          <w:b/>
          <w:bCs/>
          <w:sz w:val="24"/>
          <w:szCs w:val="24"/>
          <w:u w:val="single"/>
        </w:rPr>
        <w:t>Procedure if record reopened</w:t>
      </w:r>
      <w:r w:rsidRPr="003154B4">
        <w:rPr>
          <w:sz w:val="24"/>
          <w:szCs w:val="24"/>
        </w:rPr>
        <w:t xml:space="preserve">:  If </w:t>
      </w:r>
      <w:r w:rsidR="005420A4">
        <w:rPr>
          <w:sz w:val="24"/>
          <w:szCs w:val="24"/>
        </w:rPr>
        <w:t>the record is re-opened</w:t>
      </w:r>
      <w:r w:rsidRPr="003154B4">
        <w:rPr>
          <w:sz w:val="24"/>
          <w:szCs w:val="24"/>
        </w:rPr>
        <w:t>, the parties agreed on the following procedure:</w:t>
      </w:r>
    </w:p>
    <w:p w:rsidR="009C0C82" w:rsidRPr="003154B4" w:rsidRDefault="009C0C82" w:rsidP="00AC6579">
      <w:pPr>
        <w:widowControl w:val="0"/>
        <w:spacing w:line="360" w:lineRule="auto"/>
        <w:ind w:left="360"/>
        <w:rPr>
          <w:sz w:val="24"/>
          <w:szCs w:val="24"/>
        </w:rPr>
      </w:pPr>
    </w:p>
    <w:p w:rsidR="003154B4" w:rsidRDefault="003154B4" w:rsidP="003154B4">
      <w:pPr>
        <w:widowControl w:val="0"/>
        <w:numPr>
          <w:ilvl w:val="1"/>
          <w:numId w:val="4"/>
        </w:numPr>
        <w:spacing w:line="360" w:lineRule="auto"/>
        <w:rPr>
          <w:sz w:val="24"/>
          <w:szCs w:val="24"/>
        </w:rPr>
      </w:pPr>
      <w:r w:rsidRPr="003154B4">
        <w:rPr>
          <w:sz w:val="24"/>
          <w:szCs w:val="24"/>
        </w:rPr>
        <w:t xml:space="preserve">Verizon to file supplemental direct testimony including the facts and documents it wishes to admit, approximately 30 days after </w:t>
      </w:r>
      <w:r w:rsidR="002033FF">
        <w:rPr>
          <w:sz w:val="24"/>
          <w:szCs w:val="24"/>
        </w:rPr>
        <w:t>the</w:t>
      </w:r>
      <w:r w:rsidRPr="003154B4">
        <w:rPr>
          <w:sz w:val="24"/>
          <w:szCs w:val="24"/>
        </w:rPr>
        <w:t xml:space="preserve"> decision on the petition. </w:t>
      </w:r>
    </w:p>
    <w:p w:rsidR="00A86ACB" w:rsidRPr="003154B4" w:rsidRDefault="00A86ACB" w:rsidP="00A86ACB">
      <w:pPr>
        <w:widowControl w:val="0"/>
        <w:spacing w:line="360" w:lineRule="auto"/>
        <w:ind w:left="1080"/>
        <w:rPr>
          <w:sz w:val="24"/>
          <w:szCs w:val="24"/>
        </w:rPr>
      </w:pPr>
    </w:p>
    <w:p w:rsidR="003154B4" w:rsidRDefault="003154B4" w:rsidP="003154B4">
      <w:pPr>
        <w:widowControl w:val="0"/>
        <w:numPr>
          <w:ilvl w:val="1"/>
          <w:numId w:val="4"/>
        </w:numPr>
        <w:spacing w:line="360" w:lineRule="auto"/>
        <w:rPr>
          <w:sz w:val="24"/>
          <w:szCs w:val="24"/>
        </w:rPr>
      </w:pPr>
      <w:r w:rsidRPr="003154B4">
        <w:rPr>
          <w:sz w:val="24"/>
          <w:szCs w:val="24"/>
        </w:rPr>
        <w:lastRenderedPageBreak/>
        <w:t>Armstrong to file responsive testimony 30 days thereafter.</w:t>
      </w:r>
    </w:p>
    <w:p w:rsidR="002033FF" w:rsidRPr="003154B4" w:rsidRDefault="002033FF" w:rsidP="002033FF">
      <w:pPr>
        <w:widowControl w:val="0"/>
        <w:spacing w:line="360" w:lineRule="auto"/>
        <w:ind w:left="1080"/>
        <w:rPr>
          <w:sz w:val="24"/>
          <w:szCs w:val="24"/>
        </w:rPr>
      </w:pPr>
    </w:p>
    <w:p w:rsidR="003154B4" w:rsidRPr="003154B4" w:rsidRDefault="003154B4" w:rsidP="003154B4">
      <w:pPr>
        <w:widowControl w:val="0"/>
        <w:numPr>
          <w:ilvl w:val="1"/>
          <w:numId w:val="4"/>
        </w:numPr>
        <w:spacing w:line="360" w:lineRule="auto"/>
        <w:rPr>
          <w:sz w:val="24"/>
          <w:szCs w:val="24"/>
        </w:rPr>
      </w:pPr>
      <w:r w:rsidRPr="003154B4">
        <w:rPr>
          <w:sz w:val="24"/>
          <w:szCs w:val="24"/>
        </w:rPr>
        <w:t xml:space="preserve">One day hearing </w:t>
      </w:r>
      <w:r w:rsidR="00A86ACB">
        <w:rPr>
          <w:sz w:val="24"/>
          <w:szCs w:val="24"/>
        </w:rPr>
        <w:t xml:space="preserve">to be held </w:t>
      </w:r>
      <w:r w:rsidRPr="003154B4">
        <w:rPr>
          <w:sz w:val="24"/>
          <w:szCs w:val="24"/>
        </w:rPr>
        <w:t xml:space="preserve">on mutually available date if the parties wish to conduct cross-examination. </w:t>
      </w:r>
    </w:p>
    <w:p w:rsidR="003154B4" w:rsidRPr="003154B4" w:rsidRDefault="003154B4" w:rsidP="003154B4">
      <w:pPr>
        <w:widowControl w:val="0"/>
        <w:spacing w:line="360" w:lineRule="auto"/>
        <w:rPr>
          <w:sz w:val="24"/>
          <w:szCs w:val="24"/>
        </w:rPr>
      </w:pPr>
      <w:r w:rsidRPr="003154B4">
        <w:rPr>
          <w:sz w:val="24"/>
          <w:szCs w:val="24"/>
        </w:rPr>
        <w:t> </w:t>
      </w:r>
    </w:p>
    <w:p w:rsidR="002033FF" w:rsidRDefault="003154B4" w:rsidP="002033FF">
      <w:pPr>
        <w:widowControl w:val="0"/>
        <w:numPr>
          <w:ilvl w:val="0"/>
          <w:numId w:val="4"/>
        </w:numPr>
        <w:spacing w:line="360" w:lineRule="auto"/>
        <w:rPr>
          <w:sz w:val="24"/>
          <w:szCs w:val="24"/>
        </w:rPr>
      </w:pPr>
      <w:r w:rsidRPr="003154B4">
        <w:rPr>
          <w:b/>
          <w:bCs/>
          <w:sz w:val="24"/>
          <w:szCs w:val="24"/>
          <w:u w:val="single"/>
        </w:rPr>
        <w:t>Supplemental briefing:</w:t>
      </w:r>
      <w:r w:rsidRPr="003154B4">
        <w:rPr>
          <w:sz w:val="24"/>
          <w:szCs w:val="24"/>
        </w:rPr>
        <w:t>  The parties agree</w:t>
      </w:r>
      <w:r w:rsidR="002033FF">
        <w:rPr>
          <w:sz w:val="24"/>
          <w:szCs w:val="24"/>
        </w:rPr>
        <w:t>d</w:t>
      </w:r>
      <w:r w:rsidRPr="003154B4">
        <w:rPr>
          <w:sz w:val="24"/>
          <w:szCs w:val="24"/>
        </w:rPr>
        <w:t xml:space="preserve"> that whether or not the record is reopened, it would be helpful to submit supplemental briefs and </w:t>
      </w:r>
      <w:r w:rsidR="002033FF">
        <w:rPr>
          <w:sz w:val="24"/>
          <w:szCs w:val="24"/>
        </w:rPr>
        <w:t>so</w:t>
      </w:r>
      <w:r w:rsidRPr="003154B4">
        <w:rPr>
          <w:sz w:val="24"/>
          <w:szCs w:val="24"/>
        </w:rPr>
        <w:t xml:space="preserve"> agreed to the following:</w:t>
      </w:r>
    </w:p>
    <w:p w:rsidR="002033FF" w:rsidRDefault="002033FF" w:rsidP="002033FF">
      <w:pPr>
        <w:widowControl w:val="0"/>
        <w:spacing w:line="360" w:lineRule="auto"/>
        <w:ind w:left="360"/>
        <w:rPr>
          <w:sz w:val="24"/>
          <w:szCs w:val="24"/>
        </w:rPr>
      </w:pPr>
    </w:p>
    <w:p w:rsidR="002033FF" w:rsidRPr="002033FF" w:rsidRDefault="002033FF" w:rsidP="002033FF">
      <w:pPr>
        <w:widowControl w:val="0"/>
        <w:spacing w:line="360" w:lineRule="auto"/>
        <w:ind w:left="1080"/>
        <w:rPr>
          <w:sz w:val="24"/>
          <w:szCs w:val="24"/>
        </w:rPr>
      </w:pPr>
      <w:r>
        <w:rPr>
          <w:sz w:val="24"/>
          <w:szCs w:val="24"/>
        </w:rPr>
        <w:t>a.</w:t>
      </w:r>
      <w:r>
        <w:rPr>
          <w:sz w:val="24"/>
          <w:szCs w:val="24"/>
        </w:rPr>
        <w:tab/>
      </w:r>
      <w:r w:rsidR="003154B4" w:rsidRPr="002033FF">
        <w:rPr>
          <w:sz w:val="24"/>
          <w:szCs w:val="24"/>
        </w:rPr>
        <w:t>Both parties to simultaneously file initial supplemental briefs approximately 30 days</w:t>
      </w:r>
      <w:r w:rsidRPr="002033FF">
        <w:rPr>
          <w:sz w:val="24"/>
          <w:szCs w:val="24"/>
        </w:rPr>
        <w:t xml:space="preserve"> </w:t>
      </w:r>
      <w:r w:rsidR="003154B4" w:rsidRPr="002033FF">
        <w:rPr>
          <w:sz w:val="24"/>
          <w:szCs w:val="24"/>
        </w:rPr>
        <w:t>after the supplemental hearing if the record is reopened</w:t>
      </w:r>
      <w:r w:rsidRPr="002033FF">
        <w:rPr>
          <w:sz w:val="24"/>
          <w:szCs w:val="24"/>
        </w:rPr>
        <w:t>.</w:t>
      </w:r>
    </w:p>
    <w:p w:rsidR="002033FF" w:rsidRDefault="003154B4" w:rsidP="002033FF">
      <w:pPr>
        <w:widowControl w:val="0"/>
        <w:spacing w:line="360" w:lineRule="auto"/>
        <w:ind w:left="1980"/>
        <w:rPr>
          <w:sz w:val="24"/>
          <w:szCs w:val="24"/>
        </w:rPr>
      </w:pPr>
      <w:r w:rsidRPr="003154B4">
        <w:rPr>
          <w:sz w:val="24"/>
          <w:szCs w:val="24"/>
        </w:rPr>
        <w:t xml:space="preserve"> </w:t>
      </w:r>
    </w:p>
    <w:p w:rsidR="003154B4" w:rsidRPr="003154B4" w:rsidRDefault="002033FF" w:rsidP="002033FF">
      <w:pPr>
        <w:widowControl w:val="0"/>
        <w:spacing w:line="360" w:lineRule="auto"/>
        <w:ind w:left="1080"/>
        <w:rPr>
          <w:sz w:val="24"/>
          <w:szCs w:val="24"/>
        </w:rPr>
      </w:pPr>
      <w:r>
        <w:rPr>
          <w:sz w:val="24"/>
          <w:szCs w:val="24"/>
        </w:rPr>
        <w:t>b.</w:t>
      </w:r>
      <w:r>
        <w:rPr>
          <w:sz w:val="24"/>
          <w:szCs w:val="24"/>
        </w:rPr>
        <w:tab/>
      </w:r>
      <w:r w:rsidR="003154B4" w:rsidRPr="003154B4">
        <w:rPr>
          <w:sz w:val="24"/>
          <w:szCs w:val="24"/>
        </w:rPr>
        <w:t>Both parties to simultaneously file reply briefs 30 days thereafter.</w:t>
      </w:r>
    </w:p>
    <w:p w:rsidR="003154B4" w:rsidRDefault="003154B4" w:rsidP="000E3E42">
      <w:pPr>
        <w:spacing w:line="360" w:lineRule="auto"/>
        <w:rPr>
          <w:sz w:val="24"/>
          <w:szCs w:val="24"/>
        </w:rPr>
      </w:pPr>
    </w:p>
    <w:p w:rsidR="003154B4" w:rsidRDefault="003154B4" w:rsidP="000E3E42">
      <w:pPr>
        <w:spacing w:line="360" w:lineRule="auto"/>
        <w:rPr>
          <w:sz w:val="24"/>
          <w:szCs w:val="24"/>
        </w:rPr>
      </w:pPr>
      <w:r>
        <w:rPr>
          <w:sz w:val="24"/>
          <w:szCs w:val="24"/>
        </w:rPr>
        <w:tab/>
      </w:r>
      <w:r w:rsidR="00EA72F6">
        <w:rPr>
          <w:sz w:val="24"/>
          <w:szCs w:val="24"/>
        </w:rPr>
        <w:tab/>
        <w:t xml:space="preserve">On December 17, 2014, I issued an Order requiring </w:t>
      </w:r>
      <w:r w:rsidR="00EA72F6" w:rsidRPr="00EA72F6">
        <w:rPr>
          <w:sz w:val="24"/>
          <w:szCs w:val="24"/>
        </w:rPr>
        <w:t xml:space="preserve">Verizon </w:t>
      </w:r>
      <w:r w:rsidR="00EA72F6">
        <w:rPr>
          <w:sz w:val="24"/>
          <w:szCs w:val="24"/>
        </w:rPr>
        <w:t>to</w:t>
      </w:r>
      <w:r w:rsidR="00EA72F6" w:rsidRPr="00EA72F6">
        <w:rPr>
          <w:sz w:val="24"/>
          <w:szCs w:val="24"/>
        </w:rPr>
        <w:t xml:space="preserve"> file </w:t>
      </w:r>
      <w:r w:rsidR="00EA72F6">
        <w:rPr>
          <w:sz w:val="24"/>
          <w:szCs w:val="24"/>
        </w:rPr>
        <w:t xml:space="preserve">a Petition to Reopen the Record by </w:t>
      </w:r>
      <w:r w:rsidR="00B1708D" w:rsidRPr="00B1708D">
        <w:rPr>
          <w:sz w:val="24"/>
          <w:szCs w:val="24"/>
        </w:rPr>
        <w:t xml:space="preserve">January </w:t>
      </w:r>
      <w:r>
        <w:rPr>
          <w:sz w:val="24"/>
          <w:szCs w:val="24"/>
        </w:rPr>
        <w:t>7, 2015</w:t>
      </w:r>
      <w:r w:rsidR="00A95624">
        <w:rPr>
          <w:sz w:val="24"/>
          <w:szCs w:val="24"/>
        </w:rPr>
        <w:t>,</w:t>
      </w:r>
      <w:r w:rsidR="00EA72F6">
        <w:rPr>
          <w:sz w:val="24"/>
          <w:szCs w:val="24"/>
        </w:rPr>
        <w:t xml:space="preserve"> and </w:t>
      </w:r>
      <w:r>
        <w:rPr>
          <w:sz w:val="24"/>
          <w:szCs w:val="24"/>
        </w:rPr>
        <w:t xml:space="preserve">Armstrong </w:t>
      </w:r>
      <w:r w:rsidR="00EA72F6">
        <w:rPr>
          <w:sz w:val="24"/>
          <w:szCs w:val="24"/>
        </w:rPr>
        <w:t>t</w:t>
      </w:r>
      <w:r>
        <w:rPr>
          <w:sz w:val="24"/>
          <w:szCs w:val="24"/>
        </w:rPr>
        <w:t xml:space="preserve">o file </w:t>
      </w:r>
      <w:r w:rsidR="008D32F9">
        <w:rPr>
          <w:sz w:val="24"/>
          <w:szCs w:val="24"/>
        </w:rPr>
        <w:t>an Answer to the Petition to Reopen the Record</w:t>
      </w:r>
      <w:r w:rsidR="00EA72F6">
        <w:rPr>
          <w:sz w:val="24"/>
          <w:szCs w:val="24"/>
        </w:rPr>
        <w:t xml:space="preserve"> by January 21, 2015</w:t>
      </w:r>
      <w:r w:rsidR="008D32F9">
        <w:rPr>
          <w:sz w:val="24"/>
          <w:szCs w:val="24"/>
        </w:rPr>
        <w:t>.</w:t>
      </w:r>
      <w:r w:rsidR="00EA72F6">
        <w:rPr>
          <w:sz w:val="24"/>
          <w:szCs w:val="24"/>
        </w:rPr>
        <w:t xml:space="preserve">  Both parties complied with that Order.</w:t>
      </w:r>
    </w:p>
    <w:p w:rsidR="00EA72F6" w:rsidRDefault="00EA72F6" w:rsidP="000E3E42">
      <w:pPr>
        <w:spacing w:line="360" w:lineRule="auto"/>
        <w:rPr>
          <w:sz w:val="24"/>
          <w:szCs w:val="24"/>
        </w:rPr>
      </w:pPr>
    </w:p>
    <w:p w:rsidR="00EA72F6" w:rsidRPr="00EA72F6" w:rsidRDefault="00EA72F6" w:rsidP="000E3E42">
      <w:pPr>
        <w:spacing w:line="360" w:lineRule="auto"/>
        <w:rPr>
          <w:sz w:val="24"/>
          <w:szCs w:val="24"/>
        </w:rPr>
      </w:pPr>
      <w:r>
        <w:rPr>
          <w:sz w:val="24"/>
          <w:szCs w:val="24"/>
        </w:rPr>
        <w:tab/>
      </w:r>
      <w:r>
        <w:rPr>
          <w:sz w:val="24"/>
          <w:szCs w:val="24"/>
        </w:rPr>
        <w:tab/>
        <w:t xml:space="preserve">In sum, </w:t>
      </w:r>
      <w:r w:rsidRPr="00EA72F6">
        <w:rPr>
          <w:sz w:val="24"/>
          <w:szCs w:val="24"/>
        </w:rPr>
        <w:t>Verizon argues that good cause exists to reopen the record for three reasons</w:t>
      </w:r>
      <w:r>
        <w:rPr>
          <w:sz w:val="24"/>
          <w:szCs w:val="24"/>
        </w:rPr>
        <w:t xml:space="preserve">: </w:t>
      </w:r>
      <w:r w:rsidRPr="00EA72F6">
        <w:rPr>
          <w:sz w:val="24"/>
          <w:szCs w:val="24"/>
        </w:rPr>
        <w:t>First, Verizon argues it is relevant for the Commission to know how Armstrong and its affiliates</w:t>
      </w:r>
      <w:r>
        <w:rPr>
          <w:sz w:val="24"/>
          <w:szCs w:val="24"/>
        </w:rPr>
        <w:t xml:space="preserve"> </w:t>
      </w:r>
      <w:r w:rsidRPr="00EA72F6">
        <w:rPr>
          <w:sz w:val="24"/>
          <w:szCs w:val="24"/>
        </w:rPr>
        <w:t>have characterized their cable telephony service from a regulatory standpoint since the Federal</w:t>
      </w:r>
      <w:r>
        <w:rPr>
          <w:sz w:val="24"/>
          <w:szCs w:val="24"/>
        </w:rPr>
        <w:t xml:space="preserve"> </w:t>
      </w:r>
      <w:r w:rsidRPr="00EA72F6">
        <w:rPr>
          <w:sz w:val="24"/>
          <w:szCs w:val="24"/>
        </w:rPr>
        <w:t xml:space="preserve">Communications Commission's (FCC) November 18, 2011 </w:t>
      </w:r>
      <w:r w:rsidRPr="00EA72F6">
        <w:rPr>
          <w:i/>
          <w:sz w:val="24"/>
          <w:szCs w:val="24"/>
        </w:rPr>
        <w:t>ICC/USF Order</w:t>
      </w:r>
      <w:r w:rsidRPr="00EA72F6">
        <w:rPr>
          <w:sz w:val="24"/>
          <w:szCs w:val="24"/>
        </w:rPr>
        <w:t>. Second,</w:t>
      </w:r>
    </w:p>
    <w:p w:rsidR="00EA72F6" w:rsidRPr="00EA72F6" w:rsidRDefault="00EA72F6" w:rsidP="000E3E42">
      <w:pPr>
        <w:spacing w:line="360" w:lineRule="auto"/>
        <w:rPr>
          <w:sz w:val="24"/>
          <w:szCs w:val="24"/>
        </w:rPr>
      </w:pPr>
      <w:r w:rsidRPr="00EA72F6">
        <w:rPr>
          <w:sz w:val="24"/>
          <w:szCs w:val="24"/>
        </w:rPr>
        <w:t>Verizon contends it is relevant for the Commission to know how other cable telephony</w:t>
      </w:r>
    </w:p>
    <w:p w:rsidR="00EA72F6" w:rsidRDefault="00EA72F6" w:rsidP="000E3E42">
      <w:pPr>
        <w:spacing w:line="360" w:lineRule="auto"/>
        <w:rPr>
          <w:sz w:val="24"/>
          <w:szCs w:val="24"/>
        </w:rPr>
      </w:pPr>
      <w:r w:rsidRPr="00EA72F6">
        <w:rPr>
          <w:sz w:val="24"/>
          <w:szCs w:val="24"/>
        </w:rPr>
        <w:t>providers' categorize traffic as VoIP-PSTN.</w:t>
      </w:r>
      <w:r>
        <w:rPr>
          <w:sz w:val="24"/>
          <w:szCs w:val="24"/>
        </w:rPr>
        <w:t xml:space="preserve">  </w:t>
      </w:r>
      <w:r w:rsidRPr="00EA72F6">
        <w:rPr>
          <w:sz w:val="24"/>
          <w:szCs w:val="24"/>
        </w:rPr>
        <w:t xml:space="preserve">Third, Verizon </w:t>
      </w:r>
      <w:r>
        <w:rPr>
          <w:sz w:val="24"/>
          <w:szCs w:val="24"/>
        </w:rPr>
        <w:t xml:space="preserve">contends </w:t>
      </w:r>
      <w:r w:rsidRPr="00EA72F6">
        <w:rPr>
          <w:sz w:val="24"/>
          <w:szCs w:val="24"/>
        </w:rPr>
        <w:t>that it is relevant for the Commission to know what services were rendered</w:t>
      </w:r>
      <w:r>
        <w:rPr>
          <w:sz w:val="24"/>
          <w:szCs w:val="24"/>
        </w:rPr>
        <w:t xml:space="preserve"> </w:t>
      </w:r>
      <w:r w:rsidRPr="00EA72F6">
        <w:rPr>
          <w:sz w:val="24"/>
          <w:szCs w:val="24"/>
        </w:rPr>
        <w:t>by Armstrong and what has been billed and paid in the years since the record in this proceeding</w:t>
      </w:r>
      <w:r>
        <w:rPr>
          <w:sz w:val="24"/>
          <w:szCs w:val="24"/>
        </w:rPr>
        <w:t xml:space="preserve"> </w:t>
      </w:r>
      <w:r w:rsidRPr="00EA72F6">
        <w:rPr>
          <w:sz w:val="24"/>
          <w:szCs w:val="24"/>
        </w:rPr>
        <w:t>closed.</w:t>
      </w:r>
    </w:p>
    <w:p w:rsidR="00EA72F6" w:rsidRDefault="00EA72F6" w:rsidP="000E3E42">
      <w:pPr>
        <w:spacing w:line="360" w:lineRule="auto"/>
        <w:rPr>
          <w:sz w:val="24"/>
          <w:szCs w:val="24"/>
        </w:rPr>
      </w:pPr>
    </w:p>
    <w:p w:rsidR="00EA72F6" w:rsidRPr="00EA72F6" w:rsidRDefault="00EA72F6" w:rsidP="000E3E42">
      <w:pPr>
        <w:spacing w:line="360" w:lineRule="auto"/>
        <w:rPr>
          <w:sz w:val="24"/>
          <w:szCs w:val="24"/>
        </w:rPr>
      </w:pPr>
      <w:r>
        <w:rPr>
          <w:sz w:val="24"/>
          <w:szCs w:val="24"/>
        </w:rPr>
        <w:tab/>
      </w:r>
      <w:r>
        <w:rPr>
          <w:sz w:val="24"/>
          <w:szCs w:val="24"/>
        </w:rPr>
        <w:tab/>
        <w:t>Armstrong argues that t</w:t>
      </w:r>
      <w:r w:rsidRPr="00EA72F6">
        <w:rPr>
          <w:sz w:val="24"/>
          <w:szCs w:val="24"/>
        </w:rPr>
        <w:t>hese reasons do not constitute good cause and are an attempt by Verizon to reiterate the same substantive arguments averred in prior</w:t>
      </w:r>
    </w:p>
    <w:p w:rsidR="00EA72F6" w:rsidRPr="00EA72F6" w:rsidRDefault="00A86ACB" w:rsidP="000E3E42">
      <w:pPr>
        <w:spacing w:line="360" w:lineRule="auto"/>
        <w:rPr>
          <w:sz w:val="24"/>
          <w:szCs w:val="24"/>
        </w:rPr>
      </w:pPr>
      <w:r>
        <w:rPr>
          <w:sz w:val="24"/>
          <w:szCs w:val="24"/>
        </w:rPr>
        <w:t>p</w:t>
      </w:r>
      <w:r w:rsidR="00EA72F6" w:rsidRPr="00EA72F6">
        <w:rPr>
          <w:sz w:val="24"/>
          <w:szCs w:val="24"/>
        </w:rPr>
        <w:t>leadings</w:t>
      </w:r>
      <w:r w:rsidR="00EA72F6">
        <w:rPr>
          <w:sz w:val="24"/>
          <w:szCs w:val="24"/>
        </w:rPr>
        <w:t xml:space="preserve">, and that </w:t>
      </w:r>
      <w:r w:rsidR="00EA72F6" w:rsidRPr="00EA72F6">
        <w:rPr>
          <w:sz w:val="24"/>
          <w:szCs w:val="24"/>
        </w:rPr>
        <w:t xml:space="preserve">Verizon </w:t>
      </w:r>
      <w:r w:rsidR="00EA72F6">
        <w:rPr>
          <w:sz w:val="24"/>
          <w:szCs w:val="24"/>
        </w:rPr>
        <w:t>has not</w:t>
      </w:r>
      <w:r w:rsidR="00EA72F6" w:rsidRPr="00EA72F6">
        <w:rPr>
          <w:sz w:val="24"/>
          <w:szCs w:val="24"/>
        </w:rPr>
        <w:t xml:space="preserve"> ave</w:t>
      </w:r>
      <w:r w:rsidR="00EA72F6">
        <w:rPr>
          <w:sz w:val="24"/>
          <w:szCs w:val="24"/>
        </w:rPr>
        <w:t>r</w:t>
      </w:r>
      <w:r w:rsidR="00EA72F6" w:rsidRPr="00EA72F6">
        <w:rPr>
          <w:sz w:val="24"/>
          <w:szCs w:val="24"/>
        </w:rPr>
        <w:t>r</w:t>
      </w:r>
      <w:r w:rsidR="00EA72F6">
        <w:rPr>
          <w:sz w:val="24"/>
          <w:szCs w:val="24"/>
        </w:rPr>
        <w:t>ed</w:t>
      </w:r>
      <w:r w:rsidR="00EA72F6" w:rsidRPr="00EA72F6">
        <w:rPr>
          <w:sz w:val="24"/>
          <w:szCs w:val="24"/>
        </w:rPr>
        <w:t xml:space="preserve"> any material or relevant change in fact or law that would</w:t>
      </w:r>
      <w:r w:rsidR="00EA72F6">
        <w:rPr>
          <w:sz w:val="24"/>
          <w:szCs w:val="24"/>
        </w:rPr>
        <w:t xml:space="preserve"> </w:t>
      </w:r>
      <w:r w:rsidR="00EA72F6" w:rsidRPr="00EA72F6">
        <w:rPr>
          <w:sz w:val="24"/>
          <w:szCs w:val="24"/>
        </w:rPr>
        <w:t xml:space="preserve">justify the reopening this proceeding. </w:t>
      </w:r>
      <w:r w:rsidR="00EA72F6">
        <w:rPr>
          <w:sz w:val="24"/>
          <w:szCs w:val="24"/>
        </w:rPr>
        <w:t xml:space="preserve"> Armstrong contends that </w:t>
      </w:r>
      <w:r w:rsidR="00EA72F6" w:rsidRPr="00EA72F6">
        <w:rPr>
          <w:sz w:val="24"/>
          <w:szCs w:val="24"/>
        </w:rPr>
        <w:t xml:space="preserve">there </w:t>
      </w:r>
      <w:r w:rsidR="00EA72F6">
        <w:rPr>
          <w:sz w:val="24"/>
          <w:szCs w:val="24"/>
        </w:rPr>
        <w:t>are</w:t>
      </w:r>
      <w:r w:rsidR="00EA72F6" w:rsidRPr="00EA72F6">
        <w:rPr>
          <w:sz w:val="24"/>
          <w:szCs w:val="24"/>
        </w:rPr>
        <w:t xml:space="preserve"> no newly</w:t>
      </w:r>
    </w:p>
    <w:p w:rsidR="00EA72F6" w:rsidRDefault="00EA72F6" w:rsidP="000E3E42">
      <w:pPr>
        <w:spacing w:line="360" w:lineRule="auto"/>
        <w:rPr>
          <w:sz w:val="24"/>
          <w:szCs w:val="24"/>
        </w:rPr>
      </w:pPr>
      <w:r w:rsidRPr="00EA72F6">
        <w:rPr>
          <w:sz w:val="24"/>
          <w:szCs w:val="24"/>
        </w:rPr>
        <w:lastRenderedPageBreak/>
        <w:t>discovered material change</w:t>
      </w:r>
      <w:r>
        <w:rPr>
          <w:sz w:val="24"/>
          <w:szCs w:val="24"/>
        </w:rPr>
        <w:t>s</w:t>
      </w:r>
      <w:r w:rsidRPr="00EA72F6">
        <w:rPr>
          <w:sz w:val="24"/>
          <w:szCs w:val="24"/>
        </w:rPr>
        <w:t xml:space="preserve"> in fact or law</w:t>
      </w:r>
      <w:r w:rsidR="00A86ACB">
        <w:rPr>
          <w:sz w:val="24"/>
          <w:szCs w:val="24"/>
        </w:rPr>
        <w:t xml:space="preserve"> to warrant reopening</w:t>
      </w:r>
      <w:r w:rsidRPr="00EA72F6">
        <w:rPr>
          <w:sz w:val="24"/>
          <w:szCs w:val="24"/>
        </w:rPr>
        <w:t>.</w:t>
      </w:r>
      <w:r>
        <w:rPr>
          <w:sz w:val="24"/>
          <w:szCs w:val="24"/>
        </w:rPr>
        <w:t xml:space="preserve">  Armstrong argues that t</w:t>
      </w:r>
      <w:r w:rsidRPr="00EA72F6">
        <w:rPr>
          <w:sz w:val="24"/>
          <w:szCs w:val="24"/>
        </w:rPr>
        <w:t>o the extent Verizon is</w:t>
      </w:r>
      <w:r w:rsidR="00A86ACB">
        <w:rPr>
          <w:sz w:val="24"/>
          <w:szCs w:val="24"/>
        </w:rPr>
        <w:t xml:space="preserve"> </w:t>
      </w:r>
      <w:r w:rsidRPr="00EA72F6">
        <w:rPr>
          <w:sz w:val="24"/>
          <w:szCs w:val="24"/>
        </w:rPr>
        <w:t>attempting to reopen the record to admit documents and information that pre-date the FCC's</w:t>
      </w:r>
      <w:r w:rsidR="00A86ACB">
        <w:rPr>
          <w:sz w:val="24"/>
          <w:szCs w:val="24"/>
        </w:rPr>
        <w:t xml:space="preserve"> </w:t>
      </w:r>
      <w:r w:rsidRPr="00A86ACB">
        <w:rPr>
          <w:i/>
          <w:sz w:val="24"/>
          <w:szCs w:val="24"/>
        </w:rPr>
        <w:t>ICC/USF Order</w:t>
      </w:r>
      <w:r w:rsidRPr="00EA72F6">
        <w:rPr>
          <w:sz w:val="24"/>
          <w:szCs w:val="24"/>
        </w:rPr>
        <w:t xml:space="preserve"> and the hearing held in this case, it had every opportunity to introduce those</w:t>
      </w:r>
      <w:r w:rsidR="00A86ACB">
        <w:rPr>
          <w:sz w:val="24"/>
          <w:szCs w:val="24"/>
        </w:rPr>
        <w:t xml:space="preserve"> </w:t>
      </w:r>
      <w:r w:rsidRPr="00EA72F6">
        <w:rPr>
          <w:sz w:val="24"/>
          <w:szCs w:val="24"/>
        </w:rPr>
        <w:t xml:space="preserve">documents and information and </w:t>
      </w:r>
      <w:r w:rsidR="00A86ACB">
        <w:rPr>
          <w:sz w:val="24"/>
          <w:szCs w:val="24"/>
        </w:rPr>
        <w:t xml:space="preserve">to </w:t>
      </w:r>
      <w:r w:rsidRPr="00EA72F6">
        <w:rPr>
          <w:sz w:val="24"/>
          <w:szCs w:val="24"/>
        </w:rPr>
        <w:t>argue their relevanc</w:t>
      </w:r>
      <w:r w:rsidR="00A86ACB">
        <w:rPr>
          <w:sz w:val="24"/>
          <w:szCs w:val="24"/>
        </w:rPr>
        <w:t>y</w:t>
      </w:r>
      <w:r w:rsidRPr="00EA72F6">
        <w:rPr>
          <w:sz w:val="24"/>
          <w:szCs w:val="24"/>
        </w:rPr>
        <w:t xml:space="preserve"> while the record was still open.</w:t>
      </w:r>
    </w:p>
    <w:p w:rsidR="009E63A0" w:rsidRDefault="009E63A0" w:rsidP="000E3E42">
      <w:pPr>
        <w:spacing w:line="360" w:lineRule="auto"/>
        <w:rPr>
          <w:sz w:val="24"/>
          <w:szCs w:val="24"/>
        </w:rPr>
      </w:pPr>
    </w:p>
    <w:p w:rsidR="009E63A0" w:rsidRDefault="009E63A0" w:rsidP="000E3E42">
      <w:pPr>
        <w:spacing w:line="360" w:lineRule="auto"/>
        <w:rPr>
          <w:sz w:val="24"/>
          <w:szCs w:val="24"/>
        </w:rPr>
      </w:pPr>
      <w:r>
        <w:rPr>
          <w:sz w:val="24"/>
          <w:szCs w:val="24"/>
        </w:rPr>
        <w:tab/>
      </w:r>
      <w:r>
        <w:rPr>
          <w:sz w:val="24"/>
          <w:szCs w:val="24"/>
        </w:rPr>
        <w:tab/>
        <w:t xml:space="preserve">The Commission’s </w:t>
      </w:r>
      <w:r w:rsidRPr="009E63A0">
        <w:rPr>
          <w:sz w:val="24"/>
          <w:szCs w:val="24"/>
        </w:rPr>
        <w:t xml:space="preserve">Rules of Practice and Procedure permit a party to petition to reopen the record in a proceeding at any time after the record is closed, but before a final decision is issued, for the purpose of taking additional evidence. 52 Pa. Code § 5.571(a). </w:t>
      </w:r>
      <w:r>
        <w:rPr>
          <w:sz w:val="24"/>
          <w:szCs w:val="24"/>
        </w:rPr>
        <w:t xml:space="preserve"> </w:t>
      </w:r>
      <w:r w:rsidRPr="009E63A0">
        <w:rPr>
          <w:sz w:val="24"/>
          <w:szCs w:val="24"/>
        </w:rPr>
        <w:t xml:space="preserve">The party seeking to reopen the record has the burden to set forth the grounds requiring reopening the record, including a material change of fact or law that has occurred since the conclusion of the hearing. 52 Pa. Code § 5.571(b). </w:t>
      </w:r>
      <w:r>
        <w:rPr>
          <w:sz w:val="24"/>
          <w:szCs w:val="24"/>
        </w:rPr>
        <w:t xml:space="preserve"> </w:t>
      </w:r>
      <w:r w:rsidR="006930A1" w:rsidRPr="006930A1">
        <w:rPr>
          <w:sz w:val="24"/>
          <w:szCs w:val="24"/>
        </w:rPr>
        <w:t xml:space="preserve">The record may be reopened upon notification to the parties in a proceeding for the reception of further evidence if there is reason to believe that conditions of fact or of law have so changed as to require, </w:t>
      </w:r>
      <w:r w:rsidR="006930A1" w:rsidRPr="006930A1">
        <w:rPr>
          <w:i/>
          <w:sz w:val="24"/>
          <w:szCs w:val="24"/>
        </w:rPr>
        <w:t xml:space="preserve">or that the public interest requires </w:t>
      </w:r>
      <w:r w:rsidR="006930A1" w:rsidRPr="00086E38">
        <w:rPr>
          <w:sz w:val="24"/>
          <w:szCs w:val="24"/>
        </w:rPr>
        <w:t>the reopening of the proceeding</w:t>
      </w:r>
      <w:r w:rsidR="006930A1" w:rsidRPr="006930A1">
        <w:rPr>
          <w:sz w:val="24"/>
          <w:szCs w:val="24"/>
        </w:rPr>
        <w:t xml:space="preserve">. </w:t>
      </w:r>
      <w:r w:rsidRPr="009E63A0">
        <w:rPr>
          <w:sz w:val="24"/>
          <w:szCs w:val="24"/>
        </w:rPr>
        <w:t>52 Pa. Code § 5.571(d).</w:t>
      </w:r>
      <w:r>
        <w:rPr>
          <w:sz w:val="24"/>
          <w:szCs w:val="24"/>
        </w:rPr>
        <w:t xml:space="preserve">  Thus, the issue here is not </w:t>
      </w:r>
      <w:r w:rsidR="006930A1">
        <w:rPr>
          <w:sz w:val="24"/>
          <w:szCs w:val="24"/>
        </w:rPr>
        <w:t xml:space="preserve">just </w:t>
      </w:r>
      <w:r>
        <w:rPr>
          <w:sz w:val="24"/>
          <w:szCs w:val="24"/>
        </w:rPr>
        <w:t xml:space="preserve">the relevancy of proposed evidence, </w:t>
      </w:r>
      <w:r w:rsidR="006930A1">
        <w:rPr>
          <w:sz w:val="24"/>
          <w:szCs w:val="24"/>
        </w:rPr>
        <w:t xml:space="preserve">or whether it is “new” and previously unknown, </w:t>
      </w:r>
      <w:r>
        <w:rPr>
          <w:sz w:val="24"/>
          <w:szCs w:val="24"/>
        </w:rPr>
        <w:t xml:space="preserve">but whether the petitioner has set forth the grounds requiring re-opening of the record </w:t>
      </w:r>
      <w:r w:rsidR="006930A1">
        <w:rPr>
          <w:sz w:val="24"/>
          <w:szCs w:val="24"/>
        </w:rPr>
        <w:t>as required by the public interest.</w:t>
      </w:r>
    </w:p>
    <w:p w:rsidR="00270A63" w:rsidRDefault="00270A63" w:rsidP="000E3E42">
      <w:pPr>
        <w:spacing w:line="360" w:lineRule="auto"/>
        <w:rPr>
          <w:sz w:val="24"/>
          <w:szCs w:val="24"/>
        </w:rPr>
      </w:pPr>
    </w:p>
    <w:p w:rsidR="00270A63" w:rsidRDefault="00270A63" w:rsidP="000E3E42">
      <w:pPr>
        <w:spacing w:line="360" w:lineRule="auto"/>
        <w:rPr>
          <w:sz w:val="24"/>
          <w:szCs w:val="24"/>
        </w:rPr>
      </w:pPr>
      <w:r>
        <w:rPr>
          <w:sz w:val="24"/>
          <w:szCs w:val="24"/>
        </w:rPr>
        <w:tab/>
      </w:r>
      <w:r>
        <w:rPr>
          <w:sz w:val="24"/>
          <w:szCs w:val="24"/>
        </w:rPr>
        <w:tab/>
        <w:t xml:space="preserve">It is in the public interest to grant the Petition to Reopen because the limited amount of proposed evidence that Verizon is </w:t>
      </w:r>
      <w:r w:rsidR="00CD5A13">
        <w:rPr>
          <w:sz w:val="24"/>
          <w:szCs w:val="24"/>
        </w:rPr>
        <w:t>proffering</w:t>
      </w:r>
      <w:r>
        <w:rPr>
          <w:sz w:val="24"/>
          <w:szCs w:val="24"/>
        </w:rPr>
        <w:t xml:space="preserve"> is arguably relevant to the issue in question, though the weight to be accorded it is problematic.  That weight, the parties will argue in their briefs, I am sure.  Given the duration of this proceeding and the complexity of the matter and issues, the record should be as complete as possible.</w:t>
      </w:r>
    </w:p>
    <w:p w:rsidR="00293AAA" w:rsidRDefault="00293AAA" w:rsidP="000E3E42">
      <w:pPr>
        <w:spacing w:line="360" w:lineRule="auto"/>
        <w:rPr>
          <w:sz w:val="24"/>
          <w:szCs w:val="24"/>
        </w:rPr>
      </w:pPr>
      <w:r>
        <w:rPr>
          <w:sz w:val="24"/>
          <w:szCs w:val="24"/>
        </w:rPr>
        <w:br w:type="page"/>
      </w:r>
    </w:p>
    <w:p w:rsidR="00270A63" w:rsidRDefault="00270A63" w:rsidP="000E3E42">
      <w:pPr>
        <w:spacing w:line="360" w:lineRule="auto"/>
        <w:rPr>
          <w:sz w:val="24"/>
          <w:szCs w:val="24"/>
        </w:rPr>
      </w:pPr>
      <w:bookmarkStart w:id="0" w:name="_GoBack"/>
      <w:bookmarkEnd w:id="0"/>
    </w:p>
    <w:p w:rsidR="000E3E42" w:rsidRDefault="000E3E42" w:rsidP="000E3E42">
      <w:pPr>
        <w:spacing w:line="360" w:lineRule="auto"/>
        <w:jc w:val="center"/>
        <w:rPr>
          <w:sz w:val="24"/>
          <w:szCs w:val="24"/>
          <w:u w:val="single"/>
        </w:rPr>
      </w:pPr>
      <w:r w:rsidRPr="000E3E42">
        <w:rPr>
          <w:sz w:val="24"/>
          <w:szCs w:val="24"/>
          <w:u w:val="single"/>
        </w:rPr>
        <w:t>ORDER</w:t>
      </w:r>
    </w:p>
    <w:p w:rsidR="000E3E42" w:rsidRDefault="000E3E42" w:rsidP="000E3E42">
      <w:pPr>
        <w:spacing w:line="360" w:lineRule="auto"/>
        <w:jc w:val="center"/>
        <w:rPr>
          <w:sz w:val="24"/>
          <w:szCs w:val="24"/>
          <w:u w:val="single"/>
        </w:rPr>
      </w:pPr>
    </w:p>
    <w:p w:rsidR="000E3E42" w:rsidRPr="000E3E42" w:rsidRDefault="000E3E42" w:rsidP="000E3E42">
      <w:pPr>
        <w:spacing w:line="360" w:lineRule="auto"/>
        <w:jc w:val="center"/>
        <w:rPr>
          <w:sz w:val="24"/>
          <w:szCs w:val="24"/>
          <w:u w:val="single"/>
        </w:rPr>
      </w:pPr>
    </w:p>
    <w:p w:rsidR="00270A63" w:rsidRDefault="00270A63" w:rsidP="00EA72F6">
      <w:pPr>
        <w:widowControl w:val="0"/>
        <w:spacing w:line="360" w:lineRule="auto"/>
        <w:rPr>
          <w:sz w:val="24"/>
          <w:szCs w:val="24"/>
        </w:rPr>
      </w:pPr>
      <w:r>
        <w:rPr>
          <w:sz w:val="24"/>
          <w:szCs w:val="24"/>
        </w:rPr>
        <w:tab/>
      </w:r>
      <w:r>
        <w:rPr>
          <w:sz w:val="24"/>
          <w:szCs w:val="24"/>
        </w:rPr>
        <w:tab/>
        <w:t>THEREFORE;</w:t>
      </w:r>
    </w:p>
    <w:p w:rsidR="00270A63" w:rsidRDefault="00270A63" w:rsidP="00EA72F6">
      <w:pPr>
        <w:widowControl w:val="0"/>
        <w:spacing w:line="360" w:lineRule="auto"/>
        <w:rPr>
          <w:sz w:val="24"/>
          <w:szCs w:val="24"/>
        </w:rPr>
      </w:pPr>
    </w:p>
    <w:p w:rsidR="00270A63" w:rsidRDefault="00270A63" w:rsidP="00EA72F6">
      <w:pPr>
        <w:widowControl w:val="0"/>
        <w:spacing w:line="360" w:lineRule="auto"/>
        <w:rPr>
          <w:sz w:val="24"/>
          <w:szCs w:val="24"/>
        </w:rPr>
      </w:pPr>
      <w:r>
        <w:rPr>
          <w:sz w:val="24"/>
          <w:szCs w:val="24"/>
        </w:rPr>
        <w:tab/>
      </w:r>
      <w:r>
        <w:rPr>
          <w:sz w:val="24"/>
          <w:szCs w:val="24"/>
        </w:rPr>
        <w:tab/>
        <w:t>IT IS ORDERED:</w:t>
      </w:r>
    </w:p>
    <w:p w:rsidR="00270A63" w:rsidRDefault="00270A63" w:rsidP="00EA72F6">
      <w:pPr>
        <w:widowControl w:val="0"/>
        <w:spacing w:line="360" w:lineRule="auto"/>
        <w:rPr>
          <w:sz w:val="24"/>
          <w:szCs w:val="24"/>
        </w:rPr>
      </w:pPr>
    </w:p>
    <w:p w:rsidR="00270A63" w:rsidRDefault="00270A63" w:rsidP="000E3E42">
      <w:pPr>
        <w:spacing w:line="360" w:lineRule="auto"/>
        <w:rPr>
          <w:sz w:val="24"/>
          <w:szCs w:val="24"/>
        </w:rPr>
      </w:pPr>
      <w:r>
        <w:rPr>
          <w:sz w:val="24"/>
          <w:szCs w:val="24"/>
        </w:rPr>
        <w:tab/>
      </w:r>
      <w:r>
        <w:rPr>
          <w:sz w:val="24"/>
          <w:szCs w:val="24"/>
        </w:rPr>
        <w:tab/>
        <w:t>1.</w:t>
      </w:r>
      <w:r>
        <w:rPr>
          <w:sz w:val="24"/>
          <w:szCs w:val="24"/>
        </w:rPr>
        <w:tab/>
        <w:t xml:space="preserve">That </w:t>
      </w:r>
      <w:r w:rsidRPr="00270A63">
        <w:rPr>
          <w:sz w:val="24"/>
          <w:szCs w:val="24"/>
        </w:rPr>
        <w:t>the Petition for Reopening of the Record filed by Verizon Pennsylvania, Inc., Verizon North LLC, MCImetro Access Transmission</w:t>
      </w:r>
      <w:r>
        <w:rPr>
          <w:sz w:val="24"/>
          <w:szCs w:val="24"/>
        </w:rPr>
        <w:t xml:space="preserve"> </w:t>
      </w:r>
      <w:r w:rsidRPr="00270A63">
        <w:rPr>
          <w:sz w:val="24"/>
          <w:szCs w:val="24"/>
        </w:rPr>
        <w:t>Services LLC d/b/a Verizon Access Transmission Services, and MCI Communications Services Inc.</w:t>
      </w:r>
      <w:r>
        <w:rPr>
          <w:sz w:val="24"/>
          <w:szCs w:val="24"/>
        </w:rPr>
        <w:t>,</w:t>
      </w:r>
      <w:r w:rsidRPr="00270A63">
        <w:rPr>
          <w:sz w:val="24"/>
          <w:szCs w:val="24"/>
        </w:rPr>
        <w:t xml:space="preserve"> on January 7, 2015</w:t>
      </w:r>
      <w:r>
        <w:rPr>
          <w:sz w:val="24"/>
          <w:szCs w:val="24"/>
        </w:rPr>
        <w:t xml:space="preserve"> is granted.</w:t>
      </w:r>
    </w:p>
    <w:p w:rsidR="00AC6579" w:rsidRDefault="00AC6579" w:rsidP="000E3E42">
      <w:pPr>
        <w:spacing w:line="360" w:lineRule="auto"/>
        <w:rPr>
          <w:sz w:val="24"/>
          <w:szCs w:val="24"/>
        </w:rPr>
      </w:pPr>
    </w:p>
    <w:p w:rsidR="00AC6579" w:rsidRDefault="00AC6579" w:rsidP="000E3E42">
      <w:pPr>
        <w:spacing w:line="360" w:lineRule="auto"/>
        <w:rPr>
          <w:sz w:val="24"/>
          <w:szCs w:val="24"/>
        </w:rPr>
      </w:pPr>
      <w:r>
        <w:rPr>
          <w:sz w:val="24"/>
          <w:szCs w:val="24"/>
        </w:rPr>
        <w:tab/>
      </w:r>
      <w:r>
        <w:rPr>
          <w:sz w:val="24"/>
          <w:szCs w:val="24"/>
        </w:rPr>
        <w:tab/>
        <w:t>2.</w:t>
      </w:r>
      <w:r>
        <w:rPr>
          <w:sz w:val="24"/>
          <w:szCs w:val="24"/>
        </w:rPr>
        <w:tab/>
        <w:t xml:space="preserve">That Verizon shall file </w:t>
      </w:r>
      <w:r w:rsidR="000F52BF">
        <w:rPr>
          <w:sz w:val="24"/>
          <w:szCs w:val="24"/>
        </w:rPr>
        <w:t xml:space="preserve">its </w:t>
      </w:r>
      <w:r>
        <w:rPr>
          <w:sz w:val="24"/>
          <w:szCs w:val="24"/>
        </w:rPr>
        <w:t xml:space="preserve">direct testimony </w:t>
      </w:r>
      <w:r w:rsidR="000F52BF">
        <w:rPr>
          <w:sz w:val="24"/>
          <w:szCs w:val="24"/>
        </w:rPr>
        <w:t>by</w:t>
      </w:r>
      <w:r>
        <w:rPr>
          <w:sz w:val="24"/>
          <w:szCs w:val="24"/>
        </w:rPr>
        <w:t xml:space="preserve"> December 1, 2015.</w:t>
      </w:r>
    </w:p>
    <w:p w:rsidR="00AC6579" w:rsidRDefault="00AC6579" w:rsidP="000E3E42">
      <w:pPr>
        <w:spacing w:line="360" w:lineRule="auto"/>
        <w:rPr>
          <w:sz w:val="24"/>
          <w:szCs w:val="24"/>
        </w:rPr>
      </w:pPr>
    </w:p>
    <w:p w:rsidR="00AC6579" w:rsidRDefault="00AC6579" w:rsidP="000E3E42">
      <w:pPr>
        <w:spacing w:line="360" w:lineRule="auto"/>
        <w:rPr>
          <w:sz w:val="24"/>
          <w:szCs w:val="24"/>
        </w:rPr>
      </w:pPr>
      <w:r>
        <w:rPr>
          <w:sz w:val="24"/>
          <w:szCs w:val="24"/>
        </w:rPr>
        <w:tab/>
      </w:r>
      <w:r>
        <w:rPr>
          <w:sz w:val="24"/>
          <w:szCs w:val="24"/>
        </w:rPr>
        <w:tab/>
        <w:t>3.</w:t>
      </w:r>
      <w:r>
        <w:rPr>
          <w:sz w:val="24"/>
          <w:szCs w:val="24"/>
        </w:rPr>
        <w:tab/>
        <w:t xml:space="preserve">That </w:t>
      </w:r>
      <w:r w:rsidRPr="00AC6579">
        <w:rPr>
          <w:sz w:val="24"/>
          <w:szCs w:val="24"/>
        </w:rPr>
        <w:t>Armstrong Telecommunications, Inc.</w:t>
      </w:r>
      <w:r w:rsidR="000F52BF">
        <w:rPr>
          <w:sz w:val="24"/>
          <w:szCs w:val="24"/>
        </w:rPr>
        <w:t>,</w:t>
      </w:r>
      <w:r>
        <w:rPr>
          <w:sz w:val="24"/>
          <w:szCs w:val="24"/>
        </w:rPr>
        <w:t xml:space="preserve"> may file responsive testimony by January 8, 2016.</w:t>
      </w:r>
      <w:r w:rsidRPr="00AC6579">
        <w:rPr>
          <w:sz w:val="24"/>
          <w:szCs w:val="24"/>
        </w:rPr>
        <w:tab/>
      </w:r>
    </w:p>
    <w:p w:rsidR="00270A63" w:rsidRDefault="00270A63" w:rsidP="000E3E42">
      <w:pPr>
        <w:spacing w:line="360" w:lineRule="auto"/>
        <w:rPr>
          <w:sz w:val="24"/>
          <w:szCs w:val="24"/>
        </w:rPr>
      </w:pPr>
    </w:p>
    <w:p w:rsidR="00AC6579" w:rsidRDefault="00AC6579" w:rsidP="000E3E42">
      <w:pPr>
        <w:spacing w:line="360" w:lineRule="auto"/>
        <w:rPr>
          <w:sz w:val="24"/>
          <w:szCs w:val="24"/>
        </w:rPr>
      </w:pPr>
      <w:r>
        <w:rPr>
          <w:sz w:val="24"/>
          <w:szCs w:val="24"/>
        </w:rPr>
        <w:tab/>
      </w:r>
      <w:r>
        <w:rPr>
          <w:sz w:val="24"/>
          <w:szCs w:val="24"/>
        </w:rPr>
        <w:tab/>
        <w:t>4.</w:t>
      </w:r>
      <w:r>
        <w:rPr>
          <w:sz w:val="24"/>
          <w:szCs w:val="24"/>
        </w:rPr>
        <w:tab/>
        <w:t>That a o</w:t>
      </w:r>
      <w:r w:rsidRPr="00AC6579">
        <w:rPr>
          <w:sz w:val="24"/>
          <w:szCs w:val="24"/>
        </w:rPr>
        <w:t xml:space="preserve">ne day hearing </w:t>
      </w:r>
      <w:r>
        <w:rPr>
          <w:sz w:val="24"/>
          <w:szCs w:val="24"/>
        </w:rPr>
        <w:t xml:space="preserve">will be scheduled </w:t>
      </w:r>
      <w:r w:rsidR="000F52BF">
        <w:rPr>
          <w:sz w:val="24"/>
          <w:szCs w:val="24"/>
        </w:rPr>
        <w:t xml:space="preserve">thereafter </w:t>
      </w:r>
      <w:r w:rsidRPr="00AC6579">
        <w:rPr>
          <w:sz w:val="24"/>
          <w:szCs w:val="24"/>
        </w:rPr>
        <w:t>if the parties wish to conduct cross-examination</w:t>
      </w:r>
      <w:r w:rsidR="000F52BF">
        <w:rPr>
          <w:sz w:val="24"/>
          <w:szCs w:val="24"/>
        </w:rPr>
        <w:t>, or if the presiding officer requires clarification of any of the testimony submitted by the parties.</w:t>
      </w:r>
    </w:p>
    <w:p w:rsidR="00AC6579" w:rsidRDefault="00AC6579" w:rsidP="000E3E42">
      <w:pPr>
        <w:spacing w:line="360" w:lineRule="auto"/>
        <w:rPr>
          <w:sz w:val="24"/>
          <w:szCs w:val="24"/>
        </w:rPr>
      </w:pPr>
    </w:p>
    <w:p w:rsidR="00B1708D" w:rsidRDefault="00B1708D" w:rsidP="000E3E42">
      <w:pPr>
        <w:spacing w:line="360" w:lineRule="auto"/>
        <w:rPr>
          <w:sz w:val="24"/>
          <w:szCs w:val="24"/>
        </w:rPr>
      </w:pPr>
    </w:p>
    <w:p w:rsidR="00B1708D" w:rsidRPr="00C81100" w:rsidRDefault="00B1708D" w:rsidP="00B1708D">
      <w:pPr>
        <w:widowControl w:val="0"/>
        <w:rPr>
          <w:sz w:val="24"/>
          <w:szCs w:val="24"/>
          <w:u w:val="single"/>
        </w:rPr>
      </w:pPr>
      <w:r w:rsidRPr="00C81100">
        <w:rPr>
          <w:sz w:val="24"/>
          <w:szCs w:val="24"/>
        </w:rPr>
        <w:t>Date:</w:t>
      </w:r>
      <w:r>
        <w:rPr>
          <w:sz w:val="24"/>
          <w:szCs w:val="24"/>
        </w:rPr>
        <w:tab/>
      </w:r>
      <w:r w:rsidR="009C0C82">
        <w:rPr>
          <w:sz w:val="24"/>
          <w:szCs w:val="24"/>
          <w:u w:val="single"/>
        </w:rPr>
        <w:t>October 27, 2015</w:t>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B1708D" w:rsidRPr="00C81100" w:rsidRDefault="00B1708D" w:rsidP="00B1708D">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0E3E42" w:rsidRDefault="00B1708D" w:rsidP="00B1708D">
      <w:pPr>
        <w:widowControl w:val="0"/>
        <w:rPr>
          <w:sz w:val="24"/>
          <w:szCs w:val="24"/>
        </w:rPr>
        <w:sectPr w:rsidR="000E3E42" w:rsidSect="00293AAA">
          <w:footerReference w:type="even" r:id="rId9"/>
          <w:footerReference w:type="default" r:id="rId10"/>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0E3E42" w:rsidRPr="000E3E42" w:rsidRDefault="000E3E42" w:rsidP="000E3E42">
      <w:pPr>
        <w:rPr>
          <w:rFonts w:ascii="Microsoft Sans Serif"/>
          <w:b/>
          <w:sz w:val="24"/>
          <w:u w:val="single"/>
        </w:rPr>
      </w:pPr>
      <w:r w:rsidRPr="000E3E42">
        <w:rPr>
          <w:rFonts w:ascii="Microsoft Sans Serif"/>
          <w:b/>
          <w:sz w:val="24"/>
          <w:u w:val="single"/>
        </w:rPr>
        <w:lastRenderedPageBreak/>
        <w:t>C-2010-2216205 ET SEC- ARMSTRONG TELECOMMUNICATIONS INC v VERIZON PENNSYLVANIA ET AL</w:t>
      </w:r>
    </w:p>
    <w:p w:rsidR="000E3E42" w:rsidRPr="000E3E42" w:rsidRDefault="000E3E42" w:rsidP="000E3E42">
      <w:pPr>
        <w:rPr>
          <w:rFonts w:ascii="Microsoft Sans Serif"/>
          <w:b/>
          <w:sz w:val="24"/>
          <w:u w:val="single"/>
        </w:rPr>
      </w:pPr>
    </w:p>
    <w:p w:rsidR="000E3E42" w:rsidRPr="000E3E42" w:rsidRDefault="000E3E42" w:rsidP="000E3E42">
      <w:pPr>
        <w:rPr>
          <w:rFonts w:ascii="Microsoft Sans Serif"/>
          <w:sz w:val="24"/>
        </w:rPr>
      </w:pPr>
    </w:p>
    <w:p w:rsidR="000E3E42" w:rsidRPr="000E3E42" w:rsidRDefault="000E3E42" w:rsidP="000E3E42">
      <w:pPr>
        <w:rPr>
          <w:rFonts w:ascii="Microsoft Sans Serif"/>
          <w:sz w:val="24"/>
        </w:rPr>
      </w:pPr>
      <w:r w:rsidRPr="000E3E42">
        <w:rPr>
          <w:rFonts w:ascii="Microsoft Sans Serif"/>
          <w:sz w:val="24"/>
        </w:rPr>
        <w:t>CHARLES E THOMAS III ESQUIRE</w:t>
      </w:r>
    </w:p>
    <w:p w:rsidR="000E3E42" w:rsidRPr="000E3E42" w:rsidRDefault="000E3E42" w:rsidP="000E3E42">
      <w:pPr>
        <w:rPr>
          <w:rFonts w:ascii="Microsoft Sans Serif"/>
          <w:sz w:val="24"/>
        </w:rPr>
      </w:pPr>
      <w:r w:rsidRPr="000E3E42">
        <w:rPr>
          <w:rFonts w:ascii="Microsoft Sans Serif"/>
          <w:sz w:val="24"/>
        </w:rPr>
        <w:t>THOMAS T NIESEN ESQUIRE</w:t>
      </w:r>
    </w:p>
    <w:p w:rsidR="000E3E42" w:rsidRPr="000E3E42" w:rsidRDefault="000E3E42" w:rsidP="000E3E42">
      <w:pPr>
        <w:rPr>
          <w:rFonts w:ascii="Microsoft Sans Serif"/>
          <w:sz w:val="24"/>
        </w:rPr>
      </w:pPr>
      <w:r w:rsidRPr="000E3E42">
        <w:rPr>
          <w:rFonts w:ascii="Microsoft Sans Serif"/>
          <w:sz w:val="24"/>
        </w:rPr>
        <w:t>THOMAS NIESEN &amp; THOMAS</w:t>
      </w:r>
    </w:p>
    <w:p w:rsidR="000E3E42" w:rsidRPr="000E3E42" w:rsidRDefault="000E3E42" w:rsidP="000E3E42">
      <w:pPr>
        <w:rPr>
          <w:rFonts w:ascii="Microsoft Sans Serif"/>
          <w:sz w:val="24"/>
        </w:rPr>
      </w:pPr>
      <w:r w:rsidRPr="000E3E42">
        <w:rPr>
          <w:rFonts w:ascii="Microsoft Sans Serif"/>
          <w:sz w:val="24"/>
        </w:rPr>
        <w:t>212 LOCUST STREET SUITE 604</w:t>
      </w:r>
    </w:p>
    <w:p w:rsidR="000E3E42" w:rsidRPr="000E3E42" w:rsidRDefault="000E3E42" w:rsidP="000E3E42">
      <w:pPr>
        <w:rPr>
          <w:rFonts w:ascii="Microsoft Sans Serif"/>
          <w:sz w:val="24"/>
        </w:rPr>
      </w:pPr>
      <w:r w:rsidRPr="000E3E42">
        <w:rPr>
          <w:rFonts w:ascii="Microsoft Sans Serif"/>
          <w:sz w:val="24"/>
        </w:rPr>
        <w:t>PO BOX 9500</w:t>
      </w:r>
    </w:p>
    <w:p w:rsidR="000E3E42" w:rsidRPr="000E3E42" w:rsidRDefault="000E3E42" w:rsidP="000E3E42">
      <w:pPr>
        <w:rPr>
          <w:rFonts w:ascii="Microsoft Sans Serif"/>
          <w:sz w:val="24"/>
        </w:rPr>
      </w:pPr>
      <w:r w:rsidRPr="000E3E42">
        <w:rPr>
          <w:rFonts w:ascii="Microsoft Sans Serif"/>
          <w:sz w:val="24"/>
        </w:rPr>
        <w:t>HARRISBURG PA 17108-9500</w:t>
      </w:r>
    </w:p>
    <w:p w:rsidR="000E3E42" w:rsidRPr="000E3E42" w:rsidRDefault="000E3E42" w:rsidP="000E3E42">
      <w:pPr>
        <w:rPr>
          <w:rFonts w:ascii="Microsoft Sans Serif"/>
          <w:sz w:val="24"/>
        </w:rPr>
      </w:pPr>
      <w:r w:rsidRPr="000E3E42">
        <w:rPr>
          <w:rFonts w:ascii="Microsoft Sans Serif"/>
          <w:sz w:val="24"/>
        </w:rPr>
        <w:t>717-255-7600</w:t>
      </w:r>
    </w:p>
    <w:p w:rsidR="000E3E42" w:rsidRPr="000E3E42" w:rsidRDefault="000E3E42" w:rsidP="000E3E42">
      <w:pPr>
        <w:rPr>
          <w:rFonts w:ascii="Microsoft Sans Serif"/>
          <w:b/>
          <w:i/>
          <w:sz w:val="24"/>
          <w:u w:val="single"/>
        </w:rPr>
      </w:pPr>
      <w:r w:rsidRPr="000E3E42">
        <w:rPr>
          <w:rFonts w:ascii="Microsoft Sans Serif"/>
          <w:b/>
          <w:i/>
          <w:sz w:val="24"/>
          <w:u w:val="single"/>
        </w:rPr>
        <w:t>E-Serve</w:t>
      </w:r>
    </w:p>
    <w:p w:rsidR="000E3E42" w:rsidRPr="000E3E42" w:rsidRDefault="000E3E42" w:rsidP="000E3E42">
      <w:pPr>
        <w:rPr>
          <w:rFonts w:ascii="Microsoft Sans Serif"/>
          <w:sz w:val="24"/>
        </w:rPr>
      </w:pPr>
    </w:p>
    <w:p w:rsidR="000E3E42" w:rsidRPr="000E3E42" w:rsidRDefault="000E3E42" w:rsidP="000E3E42">
      <w:pPr>
        <w:rPr>
          <w:rFonts w:ascii="Microsoft Sans Serif"/>
          <w:sz w:val="24"/>
        </w:rPr>
      </w:pPr>
    </w:p>
    <w:p w:rsidR="000E3E42" w:rsidRPr="000E3E42" w:rsidRDefault="000E3E42" w:rsidP="000E3E42">
      <w:pPr>
        <w:rPr>
          <w:rFonts w:ascii="Microsoft Sans Serif"/>
          <w:sz w:val="24"/>
        </w:rPr>
      </w:pPr>
      <w:r w:rsidRPr="000E3E42">
        <w:rPr>
          <w:rFonts w:ascii="Microsoft Sans Serif"/>
          <w:sz w:val="24"/>
        </w:rPr>
        <w:t>SUZAN D PAIVA ESQUIRE</w:t>
      </w:r>
    </w:p>
    <w:p w:rsidR="000E3E42" w:rsidRPr="000E3E42" w:rsidRDefault="000E3E42" w:rsidP="000E3E42">
      <w:pPr>
        <w:rPr>
          <w:rFonts w:ascii="Microsoft Sans Serif"/>
          <w:sz w:val="24"/>
        </w:rPr>
      </w:pPr>
      <w:r w:rsidRPr="000E3E42">
        <w:rPr>
          <w:rFonts w:ascii="Microsoft Sans Serif"/>
          <w:sz w:val="24"/>
        </w:rPr>
        <w:t>VERIZON</w:t>
      </w:r>
    </w:p>
    <w:p w:rsidR="000E3E42" w:rsidRPr="000E3E42" w:rsidRDefault="000E3E42" w:rsidP="000E3E42">
      <w:pPr>
        <w:rPr>
          <w:rFonts w:ascii="Microsoft Sans Serif"/>
          <w:sz w:val="24"/>
        </w:rPr>
      </w:pPr>
      <w:r w:rsidRPr="000E3E42">
        <w:rPr>
          <w:rFonts w:ascii="Microsoft Sans Serif"/>
          <w:sz w:val="24"/>
        </w:rPr>
        <w:t>1717 ARCH STREET 3SE</w:t>
      </w:r>
    </w:p>
    <w:p w:rsidR="000E3E42" w:rsidRPr="000E3E42" w:rsidRDefault="000E3E42" w:rsidP="000E3E42">
      <w:pPr>
        <w:rPr>
          <w:rFonts w:ascii="Microsoft Sans Serif"/>
          <w:sz w:val="24"/>
        </w:rPr>
      </w:pPr>
      <w:r w:rsidRPr="000E3E42">
        <w:rPr>
          <w:rFonts w:ascii="Microsoft Sans Serif"/>
          <w:sz w:val="24"/>
        </w:rPr>
        <w:t>PHILADELPHIA PA 19103</w:t>
      </w:r>
    </w:p>
    <w:p w:rsidR="000E3E42" w:rsidRPr="000E3E42" w:rsidRDefault="000E3E42" w:rsidP="000E3E42">
      <w:pPr>
        <w:rPr>
          <w:rFonts w:ascii="Microsoft Sans Serif"/>
          <w:sz w:val="24"/>
        </w:rPr>
      </w:pPr>
      <w:r w:rsidRPr="000E3E42">
        <w:rPr>
          <w:rFonts w:ascii="Microsoft Sans Serif"/>
          <w:sz w:val="24"/>
        </w:rPr>
        <w:t>215-466-4755</w:t>
      </w:r>
    </w:p>
    <w:p w:rsidR="000E3E42" w:rsidRPr="000E3E42" w:rsidRDefault="000E3E42" w:rsidP="000E3E42">
      <w:pPr>
        <w:rPr>
          <w:rFonts w:ascii="Calibri"/>
          <w:b/>
          <w:i/>
          <w:sz w:val="22"/>
          <w:u w:val="single"/>
        </w:rPr>
      </w:pPr>
      <w:r w:rsidRPr="000E3E42">
        <w:rPr>
          <w:rFonts w:ascii="Microsoft Sans Serif"/>
          <w:b/>
          <w:i/>
          <w:sz w:val="24"/>
          <w:u w:val="single"/>
        </w:rPr>
        <w:t>E-Serve</w:t>
      </w:r>
    </w:p>
    <w:p w:rsidR="000E3E42" w:rsidRPr="000E3E42" w:rsidRDefault="000E3E42" w:rsidP="000E3E42">
      <w:pPr>
        <w:widowControl w:val="0"/>
        <w:spacing w:line="360" w:lineRule="auto"/>
        <w:rPr>
          <w:sz w:val="24"/>
          <w:szCs w:val="24"/>
        </w:rPr>
      </w:pPr>
    </w:p>
    <w:sectPr w:rsidR="000E3E42" w:rsidRPr="000E3E4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44" w:rsidRDefault="00D41644">
      <w:r>
        <w:separator/>
      </w:r>
    </w:p>
  </w:endnote>
  <w:endnote w:type="continuationSeparator" w:id="0">
    <w:p w:rsidR="00D41644" w:rsidRDefault="00D4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CB" w:rsidRDefault="00A86AC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ACB" w:rsidRDefault="00A86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CB" w:rsidRDefault="00A86AC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3AAA">
      <w:rPr>
        <w:rStyle w:val="PageNumber"/>
        <w:noProof/>
      </w:rPr>
      <w:t>5</w:t>
    </w:r>
    <w:r>
      <w:rPr>
        <w:rStyle w:val="PageNumber"/>
      </w:rPr>
      <w:fldChar w:fldCharType="end"/>
    </w:r>
  </w:p>
  <w:p w:rsidR="00A86ACB" w:rsidRDefault="00A86A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42" w:rsidRDefault="000E3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44" w:rsidRDefault="00D41644">
      <w:r>
        <w:separator/>
      </w:r>
    </w:p>
  </w:footnote>
  <w:footnote w:type="continuationSeparator" w:id="0">
    <w:p w:rsidR="00D41644" w:rsidRDefault="00D41644">
      <w:r>
        <w:continuationSeparator/>
      </w:r>
    </w:p>
  </w:footnote>
  <w:footnote w:id="1">
    <w:p w:rsidR="0026597C" w:rsidRDefault="0026597C">
      <w:pPr>
        <w:pStyle w:val="FootnoteText"/>
      </w:pPr>
      <w:r>
        <w:rPr>
          <w:rStyle w:val="FootnoteReference"/>
        </w:rPr>
        <w:footnoteRef/>
      </w:r>
      <w:r>
        <w:t xml:space="preserve"> </w:t>
      </w:r>
      <w:r>
        <w:tab/>
        <w:t>The record in this case was closed on November 10, 2011.  Reply Briefs in this case were filed January 6, 2012.  However, extensive pleadings and a partial settlement have been filed since that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760E"/>
    <w:multiLevelType w:val="hybridMultilevel"/>
    <w:tmpl w:val="0EBC8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4DDA"/>
    <w:rsid w:val="000209DD"/>
    <w:rsid w:val="000249C9"/>
    <w:rsid w:val="00026F22"/>
    <w:rsid w:val="00035E9B"/>
    <w:rsid w:val="000801B3"/>
    <w:rsid w:val="00082745"/>
    <w:rsid w:val="000849B7"/>
    <w:rsid w:val="00086E38"/>
    <w:rsid w:val="00087A1C"/>
    <w:rsid w:val="000B2E47"/>
    <w:rsid w:val="000B40DB"/>
    <w:rsid w:val="000C29CA"/>
    <w:rsid w:val="000D39CD"/>
    <w:rsid w:val="000D4037"/>
    <w:rsid w:val="000D466B"/>
    <w:rsid w:val="000E3E42"/>
    <w:rsid w:val="000E64D7"/>
    <w:rsid w:val="000E66A2"/>
    <w:rsid w:val="000F52BF"/>
    <w:rsid w:val="001109E2"/>
    <w:rsid w:val="001153BE"/>
    <w:rsid w:val="00115DAF"/>
    <w:rsid w:val="00120D96"/>
    <w:rsid w:val="00122DFB"/>
    <w:rsid w:val="00150EB1"/>
    <w:rsid w:val="00154D4D"/>
    <w:rsid w:val="001600B8"/>
    <w:rsid w:val="0016688B"/>
    <w:rsid w:val="00166B0E"/>
    <w:rsid w:val="00166DB2"/>
    <w:rsid w:val="001765C3"/>
    <w:rsid w:val="00195D15"/>
    <w:rsid w:val="001C5B6F"/>
    <w:rsid w:val="001D44F8"/>
    <w:rsid w:val="001D6063"/>
    <w:rsid w:val="001E1C95"/>
    <w:rsid w:val="001F45C6"/>
    <w:rsid w:val="001F7F8A"/>
    <w:rsid w:val="002033FF"/>
    <w:rsid w:val="00212490"/>
    <w:rsid w:val="002148B5"/>
    <w:rsid w:val="00231DF0"/>
    <w:rsid w:val="0025045D"/>
    <w:rsid w:val="00251B56"/>
    <w:rsid w:val="0026597C"/>
    <w:rsid w:val="00270A63"/>
    <w:rsid w:val="00293AAA"/>
    <w:rsid w:val="002B0937"/>
    <w:rsid w:val="002B42B2"/>
    <w:rsid w:val="002F1624"/>
    <w:rsid w:val="00300405"/>
    <w:rsid w:val="003112BF"/>
    <w:rsid w:val="003154B4"/>
    <w:rsid w:val="003212B2"/>
    <w:rsid w:val="00335F01"/>
    <w:rsid w:val="00337F8B"/>
    <w:rsid w:val="00355692"/>
    <w:rsid w:val="00361125"/>
    <w:rsid w:val="003620A2"/>
    <w:rsid w:val="003A6970"/>
    <w:rsid w:val="003B1503"/>
    <w:rsid w:val="003B4979"/>
    <w:rsid w:val="003C1F8F"/>
    <w:rsid w:val="003F2366"/>
    <w:rsid w:val="003F6F58"/>
    <w:rsid w:val="004032CE"/>
    <w:rsid w:val="00405714"/>
    <w:rsid w:val="00407A27"/>
    <w:rsid w:val="00415A1D"/>
    <w:rsid w:val="00466F8B"/>
    <w:rsid w:val="00496408"/>
    <w:rsid w:val="00496B51"/>
    <w:rsid w:val="004A738B"/>
    <w:rsid w:val="004B5B76"/>
    <w:rsid w:val="004C0371"/>
    <w:rsid w:val="004D4FBF"/>
    <w:rsid w:val="005001B4"/>
    <w:rsid w:val="005031B5"/>
    <w:rsid w:val="0050701F"/>
    <w:rsid w:val="0051398C"/>
    <w:rsid w:val="0051502A"/>
    <w:rsid w:val="00524411"/>
    <w:rsid w:val="005420A4"/>
    <w:rsid w:val="005560D2"/>
    <w:rsid w:val="005655C8"/>
    <w:rsid w:val="00571EDD"/>
    <w:rsid w:val="005A2608"/>
    <w:rsid w:val="005A7648"/>
    <w:rsid w:val="005B1756"/>
    <w:rsid w:val="005C5F5B"/>
    <w:rsid w:val="005F2E20"/>
    <w:rsid w:val="0062474C"/>
    <w:rsid w:val="00650F97"/>
    <w:rsid w:val="006619C6"/>
    <w:rsid w:val="0067197F"/>
    <w:rsid w:val="00673F5D"/>
    <w:rsid w:val="00685397"/>
    <w:rsid w:val="006905F4"/>
    <w:rsid w:val="006930A1"/>
    <w:rsid w:val="00696F06"/>
    <w:rsid w:val="006A416B"/>
    <w:rsid w:val="006A5FB0"/>
    <w:rsid w:val="006A75B3"/>
    <w:rsid w:val="006B08C2"/>
    <w:rsid w:val="006B789F"/>
    <w:rsid w:val="006E0F54"/>
    <w:rsid w:val="00700589"/>
    <w:rsid w:val="00701ABD"/>
    <w:rsid w:val="00712615"/>
    <w:rsid w:val="007255D0"/>
    <w:rsid w:val="0072687B"/>
    <w:rsid w:val="00736CC4"/>
    <w:rsid w:val="0076071C"/>
    <w:rsid w:val="00771959"/>
    <w:rsid w:val="00772934"/>
    <w:rsid w:val="0077461C"/>
    <w:rsid w:val="007751E5"/>
    <w:rsid w:val="00776CAE"/>
    <w:rsid w:val="00777417"/>
    <w:rsid w:val="00791F0E"/>
    <w:rsid w:val="00797040"/>
    <w:rsid w:val="007B63A8"/>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D32F9"/>
    <w:rsid w:val="008E01E3"/>
    <w:rsid w:val="008F2448"/>
    <w:rsid w:val="00906793"/>
    <w:rsid w:val="009119CA"/>
    <w:rsid w:val="009152CE"/>
    <w:rsid w:val="009157C0"/>
    <w:rsid w:val="00932381"/>
    <w:rsid w:val="0093282A"/>
    <w:rsid w:val="00933192"/>
    <w:rsid w:val="00940F50"/>
    <w:rsid w:val="0094378D"/>
    <w:rsid w:val="00951C1A"/>
    <w:rsid w:val="009664CF"/>
    <w:rsid w:val="00977F09"/>
    <w:rsid w:val="009A0E55"/>
    <w:rsid w:val="009C0C82"/>
    <w:rsid w:val="009C31CA"/>
    <w:rsid w:val="009D205E"/>
    <w:rsid w:val="009D67F1"/>
    <w:rsid w:val="009E468A"/>
    <w:rsid w:val="009E63A0"/>
    <w:rsid w:val="009E7BFB"/>
    <w:rsid w:val="009F1C01"/>
    <w:rsid w:val="00A01330"/>
    <w:rsid w:val="00A06D66"/>
    <w:rsid w:val="00A07660"/>
    <w:rsid w:val="00A26946"/>
    <w:rsid w:val="00A30BDF"/>
    <w:rsid w:val="00A32CC5"/>
    <w:rsid w:val="00A36360"/>
    <w:rsid w:val="00A4149A"/>
    <w:rsid w:val="00A66698"/>
    <w:rsid w:val="00A77C09"/>
    <w:rsid w:val="00A81AD3"/>
    <w:rsid w:val="00A86ACB"/>
    <w:rsid w:val="00A951B8"/>
    <w:rsid w:val="00A95624"/>
    <w:rsid w:val="00AA6191"/>
    <w:rsid w:val="00AB2A2D"/>
    <w:rsid w:val="00AC1591"/>
    <w:rsid w:val="00AC6579"/>
    <w:rsid w:val="00AD667C"/>
    <w:rsid w:val="00AE6262"/>
    <w:rsid w:val="00AF288A"/>
    <w:rsid w:val="00B13579"/>
    <w:rsid w:val="00B145BF"/>
    <w:rsid w:val="00B1708D"/>
    <w:rsid w:val="00B218EC"/>
    <w:rsid w:val="00B2277E"/>
    <w:rsid w:val="00B23652"/>
    <w:rsid w:val="00B40227"/>
    <w:rsid w:val="00B4086D"/>
    <w:rsid w:val="00B557AC"/>
    <w:rsid w:val="00B66AD6"/>
    <w:rsid w:val="00B67319"/>
    <w:rsid w:val="00B70599"/>
    <w:rsid w:val="00B86061"/>
    <w:rsid w:val="00B96D75"/>
    <w:rsid w:val="00BA573C"/>
    <w:rsid w:val="00BB63B5"/>
    <w:rsid w:val="00BC120B"/>
    <w:rsid w:val="00BC6AD3"/>
    <w:rsid w:val="00BD2D47"/>
    <w:rsid w:val="00BE5464"/>
    <w:rsid w:val="00BF0ABC"/>
    <w:rsid w:val="00C06C2A"/>
    <w:rsid w:val="00C07D26"/>
    <w:rsid w:val="00C170D9"/>
    <w:rsid w:val="00C31749"/>
    <w:rsid w:val="00C362C1"/>
    <w:rsid w:val="00C743BB"/>
    <w:rsid w:val="00C751CE"/>
    <w:rsid w:val="00C81100"/>
    <w:rsid w:val="00C851DD"/>
    <w:rsid w:val="00C85CA5"/>
    <w:rsid w:val="00CA016C"/>
    <w:rsid w:val="00CA3D30"/>
    <w:rsid w:val="00CB0365"/>
    <w:rsid w:val="00CC2590"/>
    <w:rsid w:val="00CC3D38"/>
    <w:rsid w:val="00CD3735"/>
    <w:rsid w:val="00CD5A13"/>
    <w:rsid w:val="00CF2C2D"/>
    <w:rsid w:val="00D12864"/>
    <w:rsid w:val="00D3213E"/>
    <w:rsid w:val="00D41644"/>
    <w:rsid w:val="00D52DAE"/>
    <w:rsid w:val="00D55527"/>
    <w:rsid w:val="00DB036A"/>
    <w:rsid w:val="00DB273F"/>
    <w:rsid w:val="00DB3F60"/>
    <w:rsid w:val="00DD1D22"/>
    <w:rsid w:val="00DE5168"/>
    <w:rsid w:val="00DE7522"/>
    <w:rsid w:val="00DF0230"/>
    <w:rsid w:val="00DF1E95"/>
    <w:rsid w:val="00E01DD4"/>
    <w:rsid w:val="00E04142"/>
    <w:rsid w:val="00E05016"/>
    <w:rsid w:val="00E17186"/>
    <w:rsid w:val="00E30193"/>
    <w:rsid w:val="00E31305"/>
    <w:rsid w:val="00E5495C"/>
    <w:rsid w:val="00E61BDD"/>
    <w:rsid w:val="00E76253"/>
    <w:rsid w:val="00EA72F6"/>
    <w:rsid w:val="00F10EDB"/>
    <w:rsid w:val="00F17EFA"/>
    <w:rsid w:val="00F2122C"/>
    <w:rsid w:val="00F25149"/>
    <w:rsid w:val="00F26904"/>
    <w:rsid w:val="00F278E4"/>
    <w:rsid w:val="00F31757"/>
    <w:rsid w:val="00F44AA0"/>
    <w:rsid w:val="00F61EF8"/>
    <w:rsid w:val="00F81994"/>
    <w:rsid w:val="00F9166E"/>
    <w:rsid w:val="00FB4BD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2148B5"/>
    <w:rPr>
      <w:rFonts w:asciiTheme="minorHAnsi" w:eastAsiaTheme="minorHAnsi" w:hAnsiTheme="minorHAnsi" w:cstheme="minorBidi"/>
      <w:sz w:val="22"/>
      <w:szCs w:val="22"/>
    </w:rPr>
  </w:style>
  <w:style w:type="paragraph" w:customStyle="1" w:styleId="Style">
    <w:name w:val="Style"/>
    <w:rsid w:val="002148B5"/>
    <w:pPr>
      <w:widowControl w:val="0"/>
      <w:autoSpaceDE w:val="0"/>
      <w:autoSpaceDN w:val="0"/>
      <w:adjustRightInd w:val="0"/>
    </w:pPr>
    <w:rPr>
      <w:sz w:val="24"/>
      <w:szCs w:val="24"/>
    </w:rPr>
  </w:style>
  <w:style w:type="paragraph" w:styleId="FootnoteText">
    <w:name w:val="footnote text"/>
    <w:basedOn w:val="Normal"/>
    <w:link w:val="FootnoteTextChar"/>
    <w:rsid w:val="002148B5"/>
  </w:style>
  <w:style w:type="character" w:customStyle="1" w:styleId="FootnoteTextChar">
    <w:name w:val="Footnote Text Char"/>
    <w:basedOn w:val="DefaultParagraphFont"/>
    <w:link w:val="FootnoteText"/>
    <w:rsid w:val="002148B5"/>
  </w:style>
  <w:style w:type="character" w:styleId="FootnoteReference">
    <w:name w:val="footnote reference"/>
    <w:basedOn w:val="DefaultParagraphFont"/>
    <w:rsid w:val="002148B5"/>
    <w:rPr>
      <w:vertAlign w:val="superscript"/>
    </w:rPr>
  </w:style>
  <w:style w:type="paragraph" w:styleId="BalloonText">
    <w:name w:val="Balloon Text"/>
    <w:basedOn w:val="Normal"/>
    <w:link w:val="BalloonTextChar"/>
    <w:rsid w:val="00E17186"/>
    <w:rPr>
      <w:rFonts w:ascii="Tahoma" w:hAnsi="Tahoma" w:cs="Tahoma"/>
      <w:sz w:val="16"/>
      <w:szCs w:val="16"/>
    </w:rPr>
  </w:style>
  <w:style w:type="character" w:customStyle="1" w:styleId="BalloonTextChar">
    <w:name w:val="Balloon Text Char"/>
    <w:basedOn w:val="DefaultParagraphFont"/>
    <w:link w:val="BalloonText"/>
    <w:rsid w:val="00E17186"/>
    <w:rPr>
      <w:rFonts w:ascii="Tahoma" w:hAnsi="Tahoma" w:cs="Tahoma"/>
      <w:sz w:val="16"/>
      <w:szCs w:val="16"/>
    </w:rPr>
  </w:style>
  <w:style w:type="paragraph" w:styleId="Header">
    <w:name w:val="header"/>
    <w:basedOn w:val="Normal"/>
    <w:link w:val="HeaderChar"/>
    <w:rsid w:val="000E3E42"/>
    <w:pPr>
      <w:tabs>
        <w:tab w:val="center" w:pos="4680"/>
        <w:tab w:val="right" w:pos="9360"/>
      </w:tabs>
    </w:pPr>
  </w:style>
  <w:style w:type="character" w:customStyle="1" w:styleId="HeaderChar">
    <w:name w:val="Header Char"/>
    <w:basedOn w:val="DefaultParagraphFont"/>
    <w:link w:val="Header"/>
    <w:rsid w:val="000E3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2148B5"/>
    <w:rPr>
      <w:rFonts w:asciiTheme="minorHAnsi" w:eastAsiaTheme="minorHAnsi" w:hAnsiTheme="minorHAnsi" w:cstheme="minorBidi"/>
      <w:sz w:val="22"/>
      <w:szCs w:val="22"/>
    </w:rPr>
  </w:style>
  <w:style w:type="paragraph" w:customStyle="1" w:styleId="Style">
    <w:name w:val="Style"/>
    <w:rsid w:val="002148B5"/>
    <w:pPr>
      <w:widowControl w:val="0"/>
      <w:autoSpaceDE w:val="0"/>
      <w:autoSpaceDN w:val="0"/>
      <w:adjustRightInd w:val="0"/>
    </w:pPr>
    <w:rPr>
      <w:sz w:val="24"/>
      <w:szCs w:val="24"/>
    </w:rPr>
  </w:style>
  <w:style w:type="paragraph" w:styleId="FootnoteText">
    <w:name w:val="footnote text"/>
    <w:basedOn w:val="Normal"/>
    <w:link w:val="FootnoteTextChar"/>
    <w:rsid w:val="002148B5"/>
  </w:style>
  <w:style w:type="character" w:customStyle="1" w:styleId="FootnoteTextChar">
    <w:name w:val="Footnote Text Char"/>
    <w:basedOn w:val="DefaultParagraphFont"/>
    <w:link w:val="FootnoteText"/>
    <w:rsid w:val="002148B5"/>
  </w:style>
  <w:style w:type="character" w:styleId="FootnoteReference">
    <w:name w:val="footnote reference"/>
    <w:basedOn w:val="DefaultParagraphFont"/>
    <w:rsid w:val="002148B5"/>
    <w:rPr>
      <w:vertAlign w:val="superscript"/>
    </w:rPr>
  </w:style>
  <w:style w:type="paragraph" w:styleId="BalloonText">
    <w:name w:val="Balloon Text"/>
    <w:basedOn w:val="Normal"/>
    <w:link w:val="BalloonTextChar"/>
    <w:rsid w:val="00E17186"/>
    <w:rPr>
      <w:rFonts w:ascii="Tahoma" w:hAnsi="Tahoma" w:cs="Tahoma"/>
      <w:sz w:val="16"/>
      <w:szCs w:val="16"/>
    </w:rPr>
  </w:style>
  <w:style w:type="character" w:customStyle="1" w:styleId="BalloonTextChar">
    <w:name w:val="Balloon Text Char"/>
    <w:basedOn w:val="DefaultParagraphFont"/>
    <w:link w:val="BalloonText"/>
    <w:rsid w:val="00E17186"/>
    <w:rPr>
      <w:rFonts w:ascii="Tahoma" w:hAnsi="Tahoma" w:cs="Tahoma"/>
      <w:sz w:val="16"/>
      <w:szCs w:val="16"/>
    </w:rPr>
  </w:style>
  <w:style w:type="paragraph" w:styleId="Header">
    <w:name w:val="header"/>
    <w:basedOn w:val="Normal"/>
    <w:link w:val="HeaderChar"/>
    <w:rsid w:val="000E3E42"/>
    <w:pPr>
      <w:tabs>
        <w:tab w:val="center" w:pos="4680"/>
        <w:tab w:val="right" w:pos="9360"/>
      </w:tabs>
    </w:pPr>
  </w:style>
  <w:style w:type="character" w:customStyle="1" w:styleId="HeaderChar">
    <w:name w:val="Header Char"/>
    <w:basedOn w:val="DefaultParagraphFont"/>
    <w:link w:val="Header"/>
    <w:rsid w:val="000E3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5292">
      <w:bodyDiv w:val="1"/>
      <w:marLeft w:val="0"/>
      <w:marRight w:val="0"/>
      <w:marTop w:val="0"/>
      <w:marBottom w:val="0"/>
      <w:divBdr>
        <w:top w:val="none" w:sz="0" w:space="0" w:color="auto"/>
        <w:left w:val="none" w:sz="0" w:space="0" w:color="auto"/>
        <w:bottom w:val="none" w:sz="0" w:space="0" w:color="auto"/>
        <w:right w:val="none" w:sz="0" w:space="0" w:color="auto"/>
      </w:divBdr>
    </w:div>
    <w:div w:id="1147547404">
      <w:bodyDiv w:val="1"/>
      <w:marLeft w:val="0"/>
      <w:marRight w:val="0"/>
      <w:marTop w:val="0"/>
      <w:marBottom w:val="0"/>
      <w:divBdr>
        <w:top w:val="none" w:sz="0" w:space="0" w:color="auto"/>
        <w:left w:val="none" w:sz="0" w:space="0" w:color="auto"/>
        <w:bottom w:val="none" w:sz="0" w:space="0" w:color="auto"/>
        <w:right w:val="none" w:sz="0" w:space="0" w:color="auto"/>
      </w:divBdr>
    </w:div>
    <w:div w:id="1192108378">
      <w:bodyDiv w:val="1"/>
      <w:marLeft w:val="0"/>
      <w:marRight w:val="0"/>
      <w:marTop w:val="0"/>
      <w:marBottom w:val="0"/>
      <w:divBdr>
        <w:top w:val="none" w:sz="0" w:space="0" w:color="auto"/>
        <w:left w:val="none" w:sz="0" w:space="0" w:color="auto"/>
        <w:bottom w:val="none" w:sz="0" w:space="0" w:color="auto"/>
        <w:right w:val="none" w:sz="0" w:space="0" w:color="auto"/>
      </w:divBdr>
    </w:div>
    <w:div w:id="1674139173">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029A9-259C-46DC-9F70-D3C680A5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7442</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Lewis, Meska</cp:lastModifiedBy>
  <cp:revision>2</cp:revision>
  <cp:lastPrinted>2014-12-19T14:33:00Z</cp:lastPrinted>
  <dcterms:created xsi:type="dcterms:W3CDTF">2015-10-27T18:56:00Z</dcterms:created>
  <dcterms:modified xsi:type="dcterms:W3CDTF">2015-10-27T18:56:00Z</dcterms:modified>
</cp:coreProperties>
</file>