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Default="00E22703" w:rsidP="00555AB2">
      <w:pPr>
        <w:rPr>
          <w:bCs/>
        </w:rPr>
      </w:pPr>
    </w:p>
    <w:p w:rsidR="00895EF9" w:rsidRPr="00550B34" w:rsidRDefault="00895EF9"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Default="0062545F" w:rsidP="0062545F">
      <w:pPr>
        <w:tabs>
          <w:tab w:val="left" w:pos="-720"/>
        </w:tabs>
        <w:suppressAutoHyphens/>
        <w:rPr>
          <w:spacing w:val="-3"/>
        </w:rPr>
      </w:pPr>
    </w:p>
    <w:p w:rsidR="00895EF9" w:rsidRPr="00550B34" w:rsidRDefault="00895EF9" w:rsidP="0062545F">
      <w:pPr>
        <w:tabs>
          <w:tab w:val="left" w:pos="-720"/>
        </w:tabs>
        <w:suppressAutoHyphens/>
        <w:rPr>
          <w:spacing w:val="-3"/>
        </w:rPr>
      </w:pPr>
    </w:p>
    <w:p w:rsidR="00B7382B" w:rsidRDefault="0093238A" w:rsidP="00A478F2">
      <w:pPr>
        <w:jc w:val="center"/>
        <w:rPr>
          <w:b/>
          <w:u w:val="single"/>
        </w:rPr>
      </w:pPr>
      <w:r>
        <w:rPr>
          <w:b/>
          <w:u w:val="single"/>
        </w:rPr>
        <w:t>ORDER</w:t>
      </w:r>
      <w:r w:rsidR="00DF7D8C">
        <w:rPr>
          <w:b/>
          <w:u w:val="single"/>
        </w:rPr>
        <w:t xml:space="preserve"> </w:t>
      </w:r>
      <w:r w:rsidR="00B7382B">
        <w:rPr>
          <w:b/>
          <w:u w:val="single"/>
        </w:rPr>
        <w:t xml:space="preserve">GRANTING IN PART AND </w:t>
      </w:r>
      <w:r w:rsidR="00B53B14">
        <w:rPr>
          <w:b/>
          <w:u w:val="single"/>
        </w:rPr>
        <w:t xml:space="preserve">DENYING </w:t>
      </w:r>
      <w:r w:rsidR="00B7382B">
        <w:rPr>
          <w:b/>
          <w:u w:val="single"/>
        </w:rPr>
        <w:t>IN PART</w:t>
      </w:r>
    </w:p>
    <w:p w:rsidR="0093238A" w:rsidRPr="00A478F2" w:rsidRDefault="0093238A" w:rsidP="00A478F2">
      <w:pPr>
        <w:jc w:val="center"/>
        <w:rPr>
          <w:b/>
          <w:u w:val="single"/>
        </w:rPr>
      </w:pPr>
      <w:r>
        <w:rPr>
          <w:b/>
          <w:u w:val="single"/>
        </w:rPr>
        <w:t>MOTION TO COMPEL</w:t>
      </w:r>
      <w:r w:rsidR="00DF7D8C">
        <w:rPr>
          <w:b/>
          <w:u w:val="single"/>
        </w:rPr>
        <w:t xml:space="preserve"> </w:t>
      </w:r>
      <w:r>
        <w:rPr>
          <w:b/>
          <w:u w:val="single"/>
        </w:rPr>
        <w:t>RESPONSES</w:t>
      </w:r>
      <w:r w:rsidR="00B7382B">
        <w:rPr>
          <w:b/>
          <w:u w:val="single"/>
        </w:rPr>
        <w:t xml:space="preserve"> </w:t>
      </w:r>
      <w:r>
        <w:rPr>
          <w:b/>
          <w:u w:val="single"/>
        </w:rPr>
        <w:t>TO</w:t>
      </w:r>
      <w:r w:rsidR="001F27AF">
        <w:rPr>
          <w:b/>
          <w:u w:val="single"/>
        </w:rPr>
        <w:t xml:space="preserve"> </w:t>
      </w:r>
      <w:r w:rsidR="00B53B14">
        <w:rPr>
          <w:b/>
          <w:u w:val="single"/>
        </w:rPr>
        <w:t>BLUE PILOT ENERGY, LLC’S</w:t>
      </w:r>
      <w:r>
        <w:rPr>
          <w:b/>
          <w:u w:val="single"/>
        </w:rPr>
        <w:t xml:space="preserve"> INTERROGATORIES </w:t>
      </w:r>
      <w:r w:rsidR="00DF7D8C">
        <w:rPr>
          <w:b/>
          <w:u w:val="single"/>
        </w:rPr>
        <w:t xml:space="preserve">SET </w:t>
      </w:r>
      <w:r w:rsidR="00B53B14">
        <w:rPr>
          <w:b/>
          <w:u w:val="single"/>
        </w:rPr>
        <w:t>IV</w:t>
      </w:r>
    </w:p>
    <w:p w:rsidR="00B81993" w:rsidRDefault="00B81993" w:rsidP="00895EF9">
      <w:pPr>
        <w:widowControl w:val="0"/>
        <w:adjustRightInd w:val="0"/>
        <w:ind w:firstLine="1440"/>
        <w:jc w:val="center"/>
        <w:rPr>
          <w:bCs/>
          <w:color w:val="000000"/>
        </w:rPr>
      </w:pPr>
    </w:p>
    <w:p w:rsidR="00895EF9" w:rsidRDefault="00895EF9" w:rsidP="00895EF9">
      <w:pPr>
        <w:widowControl w:val="0"/>
        <w:adjustRightInd w:val="0"/>
        <w:ind w:firstLine="1440"/>
        <w:jc w:val="center"/>
        <w:rPr>
          <w:bCs/>
          <w:color w:val="000000"/>
        </w:rPr>
      </w:pPr>
    </w:p>
    <w:p w:rsidR="00B62154" w:rsidRDefault="00897507" w:rsidP="00895EF9">
      <w:pPr>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w:t>
      </w:r>
      <w:r w:rsidR="004B155F">
        <w:rPr>
          <w:bCs/>
          <w:color w:val="000000"/>
        </w:rPr>
        <w:t xml:space="preserve">at </w:t>
      </w:r>
      <w:r w:rsidR="00D0637A" w:rsidRPr="00AA4292">
        <w:rPr>
          <w:bCs/>
          <w:color w:val="000000"/>
        </w:rPr>
        <w:t>Docket N</w:t>
      </w:r>
      <w:r w:rsidR="004B155F">
        <w:rPr>
          <w:bCs/>
          <w:color w:val="000000"/>
        </w:rPr>
        <w:t>o.</w:t>
      </w:r>
      <w:r w:rsidR="00D0637A" w:rsidRPr="00AA4292">
        <w:rPr>
          <w:bCs/>
          <w:color w:val="000000"/>
        </w:rPr>
        <w:t xml:space="preserve"> C-2014-2427655.  In their Complaint,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895EF9">
      <w:pPr>
        <w:adjustRightInd w:val="0"/>
        <w:spacing w:line="360" w:lineRule="auto"/>
        <w:ind w:firstLine="1440"/>
        <w:rPr>
          <w:bCs/>
          <w:strike/>
          <w:color w:val="000000"/>
        </w:rPr>
      </w:pPr>
    </w:p>
    <w:p w:rsidR="00AB7B8A" w:rsidRDefault="00B62154" w:rsidP="00895EF9">
      <w:pPr>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t>
      </w:r>
      <w:r w:rsidR="00AB7B8A">
        <w:rPr>
          <w:bCs/>
          <w:color w:val="000000"/>
        </w:rPr>
        <w:lastRenderedPageBreak/>
        <w:t>were charged high variable rates by Blue Pilot and denied that it failed to state the 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895EF9">
      <w:pPr>
        <w:adjustRightInd w:val="0"/>
        <w:spacing w:line="360" w:lineRule="auto"/>
        <w:ind w:firstLine="1440"/>
        <w:rPr>
          <w:bCs/>
          <w:color w:val="000000"/>
        </w:rPr>
      </w:pPr>
    </w:p>
    <w:p w:rsidR="00880556" w:rsidRPr="003E1587" w:rsidRDefault="005371B7" w:rsidP="00895EF9">
      <w:pPr>
        <w:adjustRightInd w:val="0"/>
        <w:spacing w:line="360" w:lineRule="auto"/>
        <w:ind w:firstLine="1440"/>
      </w:pPr>
      <w:r>
        <w:rPr>
          <w:bCs/>
          <w:color w:val="000000"/>
        </w:rPr>
        <w:t>T</w:t>
      </w:r>
      <w:r w:rsidR="00104A69">
        <w:rPr>
          <w:bCs/>
          <w:color w:val="000000"/>
        </w:rPr>
        <w:t xml:space="preserve">he </w:t>
      </w:r>
      <w:r>
        <w:rPr>
          <w:bCs/>
          <w:color w:val="000000"/>
        </w:rPr>
        <w:t xml:space="preserve">extensive </w:t>
      </w:r>
      <w:r w:rsidR="00104A69">
        <w:rPr>
          <w:bCs/>
          <w:color w:val="000000"/>
        </w:rPr>
        <w:t xml:space="preserve">procedural history of this Complaint has been </w:t>
      </w:r>
      <w:r>
        <w:rPr>
          <w:bCs/>
          <w:color w:val="000000"/>
        </w:rPr>
        <w:t>summarized in prior interim orders</w:t>
      </w:r>
      <w:r w:rsidR="00104A69">
        <w:rPr>
          <w:bCs/>
          <w:color w:val="000000"/>
        </w:rPr>
        <w:t xml:space="preserve">.  </w:t>
      </w:r>
      <w:r w:rsidR="0093238A">
        <w:rPr>
          <w:bCs/>
          <w:color w:val="000000"/>
        </w:rPr>
        <w:t xml:space="preserve">On </w:t>
      </w:r>
      <w:r w:rsidR="00B53B14">
        <w:rPr>
          <w:bCs/>
          <w:color w:val="000000"/>
        </w:rPr>
        <w:t>October 15, 2015, Blue Pilot</w:t>
      </w:r>
      <w:r w:rsidR="0093238A">
        <w:rPr>
          <w:bCs/>
          <w:color w:val="000000"/>
        </w:rPr>
        <w:t xml:space="preserve"> filed a Motion to Compel Responses to </w:t>
      </w:r>
      <w:r w:rsidR="00DF7D8C">
        <w:rPr>
          <w:bCs/>
          <w:color w:val="000000"/>
        </w:rPr>
        <w:t>I</w:t>
      </w:r>
      <w:r w:rsidR="0093238A">
        <w:rPr>
          <w:bCs/>
          <w:color w:val="000000"/>
        </w:rPr>
        <w:t xml:space="preserve">nterrogatories </w:t>
      </w:r>
      <w:r w:rsidR="00B53B14">
        <w:rPr>
          <w:bCs/>
          <w:color w:val="000000"/>
        </w:rPr>
        <w:t>I</w:t>
      </w:r>
      <w:r w:rsidR="0093238A">
        <w:rPr>
          <w:bCs/>
          <w:color w:val="000000"/>
        </w:rPr>
        <w:t xml:space="preserve">V.  On </w:t>
      </w:r>
      <w:r w:rsidR="00B53B14">
        <w:rPr>
          <w:bCs/>
          <w:color w:val="000000"/>
        </w:rPr>
        <w:t>October 20, 2015</w:t>
      </w:r>
      <w:r w:rsidR="0093238A">
        <w:rPr>
          <w:bCs/>
          <w:color w:val="000000"/>
        </w:rPr>
        <w:t>, Joint Complainants</w:t>
      </w:r>
      <w:r w:rsidR="00B53B14">
        <w:rPr>
          <w:bCs/>
          <w:color w:val="000000"/>
        </w:rPr>
        <w:t xml:space="preserve"> filed an Answer.  The Motion to Compel is ripe for a decision.  </w:t>
      </w:r>
    </w:p>
    <w:p w:rsidR="00880556" w:rsidRDefault="00880556" w:rsidP="00895EF9">
      <w:pPr>
        <w:adjustRightInd w:val="0"/>
        <w:spacing w:line="360" w:lineRule="auto"/>
        <w:ind w:firstLine="1440"/>
        <w:rPr>
          <w:bCs/>
          <w:color w:val="000000"/>
        </w:rPr>
      </w:pPr>
    </w:p>
    <w:p w:rsidR="00B81993" w:rsidRPr="00B81993" w:rsidRDefault="00B81993" w:rsidP="00B81993">
      <w:pPr>
        <w:autoSpaceDE/>
        <w:autoSpaceDN/>
        <w:spacing w:line="360" w:lineRule="auto"/>
        <w:rPr>
          <w:rFonts w:eastAsiaTheme="minorEastAsia"/>
          <w:b/>
          <w:u w:val="single"/>
        </w:rPr>
      </w:pPr>
      <w:r>
        <w:rPr>
          <w:rFonts w:eastAsiaTheme="minorEastAsia"/>
          <w:b/>
          <w:u w:val="single"/>
        </w:rPr>
        <w:t>Standard And Evidence</w:t>
      </w:r>
    </w:p>
    <w:p w:rsidR="00B81993" w:rsidRDefault="00B81993" w:rsidP="0093238A">
      <w:pPr>
        <w:autoSpaceDE/>
        <w:autoSpaceDN/>
        <w:spacing w:line="360" w:lineRule="auto"/>
        <w:ind w:firstLine="1440"/>
        <w:rPr>
          <w:rFonts w:eastAsiaTheme="minorEastAsia"/>
        </w:rPr>
      </w:pPr>
    </w:p>
    <w:p w:rsidR="0093238A" w:rsidRDefault="0093238A" w:rsidP="00296255">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296255" w:rsidRPr="0093238A" w:rsidRDefault="00296255" w:rsidP="00296255">
      <w:pPr>
        <w:autoSpaceDE/>
        <w:autoSpaceDN/>
        <w:spacing w:line="360" w:lineRule="auto"/>
        <w:ind w:firstLine="1440"/>
        <w:rPr>
          <w:rFonts w:eastAsiaTheme="minorEastAsia"/>
        </w:rPr>
      </w:pPr>
    </w:p>
    <w:p w:rsidR="0093238A" w:rsidRPr="0093238A" w:rsidRDefault="0093238A" w:rsidP="00296255">
      <w:pPr>
        <w:autoSpaceDE/>
        <w:autoSpaceDN/>
        <w:spacing w:line="360" w:lineRule="auto"/>
        <w:ind w:left="1440" w:right="1440"/>
        <w:outlineLvl w:val="3"/>
        <w:rPr>
          <w:rFonts w:eastAsiaTheme="minorEastAsia"/>
          <w:b/>
          <w:bCs/>
        </w:rPr>
      </w:pPr>
      <w:bookmarkStart w:id="0" w:name="5.321."/>
      <w:r w:rsidRPr="0093238A">
        <w:rPr>
          <w:rFonts w:eastAsiaTheme="minorEastAsia"/>
          <w:b/>
          <w:bCs/>
        </w:rPr>
        <w:t>§ 5.321. Scope.</w:t>
      </w:r>
    </w:p>
    <w:p w:rsidR="00895EF9"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r w:rsidR="00895EF9">
        <w:rPr>
          <w:rFonts w:eastAsiaTheme="minorEastAsia"/>
        </w:rPr>
        <w:br w:type="page"/>
      </w:r>
    </w:p>
    <w:bookmarkEnd w:id="0"/>
    <w:p w:rsidR="0093238A" w:rsidRDefault="0093238A" w:rsidP="00296255">
      <w:pPr>
        <w:autoSpaceDE/>
        <w:autoSpaceDN/>
        <w:spacing w:line="360" w:lineRule="auto"/>
        <w:rPr>
          <w:rFonts w:eastAsiaTheme="minorEastAsia"/>
        </w:rPr>
      </w:pPr>
      <w:proofErr w:type="gramStart"/>
      <w:r w:rsidRPr="0093238A">
        <w:rPr>
          <w:rFonts w:eastAsiaTheme="minorEastAsia"/>
        </w:rPr>
        <w:lastRenderedPageBreak/>
        <w:t>52 Pa. Code § 5.321(c).</w:t>
      </w:r>
      <w:proofErr w:type="gramEnd"/>
      <w:r w:rsidRPr="0093238A">
        <w:rPr>
          <w:rFonts w:eastAsiaTheme="minorEastAsia"/>
        </w:rPr>
        <w:t xml:space="preserve">  Section 5.361 of the Commission’s regulations, however, provides various limitations on the scope of discovery:</w:t>
      </w:r>
    </w:p>
    <w:p w:rsidR="00895EF9" w:rsidRPr="0093238A" w:rsidRDefault="00895EF9" w:rsidP="00296255">
      <w:pPr>
        <w:autoSpaceDE/>
        <w:autoSpaceDN/>
        <w:spacing w:line="360" w:lineRule="auto"/>
        <w:rPr>
          <w:rFonts w:eastAsiaTheme="minorEastAsia"/>
        </w:rPr>
      </w:pPr>
    </w:p>
    <w:p w:rsidR="0093238A" w:rsidRPr="0093238A" w:rsidRDefault="0093238A" w:rsidP="0093238A">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Limitation of scope of discovery and deposition.</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895EF9" w:rsidRPr="0093238A" w:rsidRDefault="00895EF9" w:rsidP="0093238A">
      <w:pPr>
        <w:autoSpaceDE/>
        <w:autoSpaceDN/>
        <w:spacing w:before="100" w:beforeAutospacing="1" w:after="100" w:afterAutospacing="1"/>
        <w:ind w:left="1440" w:right="1440"/>
        <w:rPr>
          <w:rFonts w:eastAsiaTheme="minorEastAsia"/>
        </w:rPr>
      </w:pPr>
    </w:p>
    <w:p w:rsidR="0093238A" w:rsidRPr="0093238A" w:rsidRDefault="0093238A" w:rsidP="0093238A">
      <w:pPr>
        <w:autoSpaceDE/>
        <w:autoSpaceDN/>
        <w:spacing w:line="360" w:lineRule="auto"/>
        <w:rPr>
          <w:rFonts w:eastAsiaTheme="minorEastAsia"/>
        </w:rPr>
      </w:pPr>
      <w:proofErr w:type="gramStart"/>
      <w:r w:rsidRPr="0093238A">
        <w:rPr>
          <w:rFonts w:eastAsiaTheme="minorEastAsia"/>
        </w:rPr>
        <w:t>52 Pa. Code § 5.361(a).</w:t>
      </w:r>
      <w:proofErr w:type="gramEnd"/>
    </w:p>
    <w:p w:rsidR="004B155F" w:rsidRDefault="004B155F" w:rsidP="00895EF9">
      <w:pPr>
        <w:pStyle w:val="ListParagraph"/>
        <w:autoSpaceDE/>
        <w:autoSpaceDN/>
        <w:spacing w:line="360" w:lineRule="auto"/>
        <w:ind w:left="1080"/>
        <w:contextualSpacing/>
        <w:jc w:val="both"/>
        <w:rPr>
          <w:rFonts w:eastAsiaTheme="minorEastAsia"/>
        </w:rPr>
      </w:pPr>
    </w:p>
    <w:p w:rsidR="00DF7D8C" w:rsidRPr="00E6635F" w:rsidRDefault="00B53B14" w:rsidP="00DF7D8C">
      <w:pPr>
        <w:pStyle w:val="ListParagraph"/>
        <w:autoSpaceDE/>
        <w:autoSpaceDN/>
        <w:ind w:left="0"/>
        <w:contextualSpacing/>
        <w:rPr>
          <w:rFonts w:eastAsiaTheme="minorEastAsia"/>
          <w:u w:val="single"/>
        </w:rPr>
      </w:pPr>
      <w:r w:rsidRPr="00E6635F">
        <w:rPr>
          <w:u w:val="single"/>
        </w:rPr>
        <w:t>Set IV-3</w:t>
      </w:r>
    </w:p>
    <w:p w:rsidR="00DF7D8C" w:rsidRDefault="00DF7D8C" w:rsidP="00895EF9">
      <w:pPr>
        <w:pStyle w:val="ListParagraph"/>
        <w:autoSpaceDE/>
        <w:autoSpaceDN/>
        <w:spacing w:line="360" w:lineRule="auto"/>
        <w:ind w:left="1080"/>
        <w:contextualSpacing/>
        <w:jc w:val="both"/>
        <w:rPr>
          <w:rFonts w:eastAsiaTheme="minorEastAsia"/>
        </w:rPr>
      </w:pPr>
    </w:p>
    <w:p w:rsidR="004B155F" w:rsidRPr="00AC7FD9" w:rsidRDefault="00B53B14" w:rsidP="004B155F">
      <w:pPr>
        <w:tabs>
          <w:tab w:val="left" w:pos="720"/>
          <w:tab w:val="left" w:pos="1440"/>
          <w:tab w:val="left" w:pos="2160"/>
          <w:tab w:val="left" w:pos="2880"/>
          <w:tab w:val="left" w:pos="3600"/>
          <w:tab w:val="left" w:pos="4320"/>
          <w:tab w:val="right" w:pos="9360"/>
        </w:tabs>
        <w:ind w:left="720" w:right="720"/>
        <w:contextualSpacing/>
        <w:jc w:val="both"/>
      </w:pPr>
      <w:r>
        <w:t>Set IV-</w:t>
      </w:r>
      <w:r w:rsidR="00E6635F">
        <w:t>3</w:t>
      </w:r>
      <w:r w:rsidR="00DF7D8C" w:rsidRPr="00AC7FD9">
        <w:t xml:space="preserve"> </w:t>
      </w:r>
      <w:r w:rsidR="004B155F" w:rsidRPr="00AC7FD9">
        <w:t xml:space="preserve">provides: </w:t>
      </w:r>
    </w:p>
    <w:p w:rsidR="004B155F" w:rsidRPr="00AB2BBC" w:rsidRDefault="00895EF9" w:rsidP="00895EF9">
      <w:pPr>
        <w:tabs>
          <w:tab w:val="left" w:pos="720"/>
          <w:tab w:val="left" w:pos="1440"/>
          <w:tab w:val="left" w:pos="2160"/>
          <w:tab w:val="left" w:pos="2880"/>
          <w:tab w:val="left" w:pos="3600"/>
          <w:tab w:val="left" w:pos="4320"/>
          <w:tab w:val="right" w:pos="9360"/>
        </w:tabs>
        <w:spacing w:line="360" w:lineRule="auto"/>
        <w:ind w:left="720" w:right="720"/>
        <w:contextualSpacing/>
        <w:jc w:val="both"/>
        <w:rPr>
          <w:b/>
        </w:rPr>
      </w:pPr>
      <w:r>
        <w:rPr>
          <w:b/>
        </w:rPr>
        <w:t xml:space="preserve"> </w:t>
      </w:r>
    </w:p>
    <w:p w:rsidR="00B53B14" w:rsidRDefault="00B53B14" w:rsidP="004B155F">
      <w:pPr>
        <w:ind w:left="720" w:right="720"/>
        <w:contextualSpacing/>
        <w:jc w:val="both"/>
        <w:rPr>
          <w:rFonts w:eastAsia="Calibri"/>
        </w:rPr>
      </w:pPr>
      <w:r>
        <w:rPr>
          <w:rFonts w:eastAsia="Calibri"/>
        </w:rPr>
        <w:t xml:space="preserve">Identify each consumer that supports your contention that a consumer was misled or deceived by BPE, </w:t>
      </w:r>
      <w:r w:rsidR="00D62F24">
        <w:rPr>
          <w:rFonts w:eastAsia="Calibri"/>
        </w:rPr>
        <w:t>explaining</w:t>
      </w:r>
      <w:r>
        <w:rPr>
          <w:rFonts w:eastAsia="Calibri"/>
        </w:rPr>
        <w:t xml:space="preserve"> in full and complete detail all facts relied upon.  </w:t>
      </w:r>
    </w:p>
    <w:p w:rsidR="00B53B14" w:rsidRDefault="00B53B14" w:rsidP="00895EF9">
      <w:pPr>
        <w:spacing w:line="360" w:lineRule="auto"/>
        <w:contextualSpacing/>
        <w:rPr>
          <w:rFonts w:eastAsia="Calibri"/>
        </w:rPr>
      </w:pPr>
    </w:p>
    <w:p w:rsidR="005371B7" w:rsidRDefault="005371B7" w:rsidP="00895EF9">
      <w:pPr>
        <w:spacing w:line="360" w:lineRule="auto"/>
        <w:ind w:firstLine="720"/>
      </w:pPr>
      <w:r>
        <w:tab/>
      </w:r>
      <w:r w:rsidR="00B53B14">
        <w:t>Joint Complainants</w:t>
      </w:r>
      <w:r w:rsidR="004B155F" w:rsidRPr="00641F8F">
        <w:t xml:space="preserve"> </w:t>
      </w:r>
      <w:r w:rsidR="004B155F">
        <w:t xml:space="preserve">object to this interrogatory arguing </w:t>
      </w:r>
      <w:r w:rsidR="004B155F" w:rsidRPr="00641F8F">
        <w:t xml:space="preserve">that the information sought in Set </w:t>
      </w:r>
      <w:r w:rsidR="00B53B14">
        <w:t>I</w:t>
      </w:r>
      <w:r w:rsidR="004B155F" w:rsidRPr="00641F8F">
        <w:t>V-</w:t>
      </w:r>
      <w:r w:rsidR="00B53B14">
        <w:t>3</w:t>
      </w:r>
      <w:r w:rsidR="004B155F" w:rsidRPr="00641F8F">
        <w:t xml:space="preserve"> </w:t>
      </w:r>
      <w:r w:rsidR="00B53B14">
        <w:t>requests</w:t>
      </w:r>
      <w:r w:rsidR="004B155F" w:rsidRPr="00641F8F">
        <w:t xml:space="preserve"> privileged,</w:t>
      </w:r>
      <w:r w:rsidR="00B53B14">
        <w:t xml:space="preserve"> attorney work-product information, which is unduly burdensome and unreasonably annoying.  </w:t>
      </w:r>
      <w:r>
        <w:t xml:space="preserve">Joint Complainants contend the consumer statements already provided to Blue Pilot are sufficient responses to the discovery request.  </w:t>
      </w:r>
    </w:p>
    <w:p w:rsidR="005371B7" w:rsidRDefault="005371B7" w:rsidP="00895EF9">
      <w:pPr>
        <w:spacing w:line="360" w:lineRule="auto"/>
        <w:ind w:firstLine="720"/>
      </w:pPr>
    </w:p>
    <w:p w:rsidR="00D62F24" w:rsidRDefault="005371B7" w:rsidP="00895EF9">
      <w:pPr>
        <w:spacing w:line="360" w:lineRule="auto"/>
        <w:ind w:firstLine="720"/>
      </w:pPr>
      <w:r>
        <w:lastRenderedPageBreak/>
        <w:tab/>
      </w:r>
      <w:r w:rsidR="00B53B14">
        <w:t xml:space="preserve">Blue Pilot contends the information sought is not </w:t>
      </w:r>
      <w:r w:rsidR="00E8127C">
        <w:t>privileged</w:t>
      </w:r>
      <w:r w:rsidR="00B53B14">
        <w:t xml:space="preserve"> as it seeks only those facts upon which Joint Complainants’ base their allegations.  </w:t>
      </w:r>
      <w:r w:rsidR="00D62F24">
        <w:t xml:space="preserve">Blue Pilot </w:t>
      </w:r>
      <w:r w:rsidR="00E8127C">
        <w:t>requests</w:t>
      </w:r>
      <w:r w:rsidR="00D62F24">
        <w:t xml:space="preserve"> Joint Complainant</w:t>
      </w:r>
      <w:r w:rsidR="00E8127C">
        <w:t>s be compelled</w:t>
      </w:r>
      <w:r w:rsidR="00D62F24">
        <w:t xml:space="preserve"> to specify which of these </w:t>
      </w:r>
      <w:r>
        <w:t>consumers</w:t>
      </w:r>
      <w:r w:rsidR="00D62F24">
        <w:t xml:space="preserve"> claim Blue Pilot misled or deceived them</w:t>
      </w:r>
      <w:r w:rsidR="00E8127C">
        <w:t xml:space="preserve"> together with all other factors relied upon in their statements</w:t>
      </w:r>
      <w:r w:rsidR="004A7614">
        <w:t xml:space="preserve">.  Additionally, </w:t>
      </w:r>
      <w:r w:rsidR="00D62F24">
        <w:t xml:space="preserve">Blue Pilot requests </w:t>
      </w:r>
      <w:r w:rsidR="00E8127C">
        <w:t>Joint Complainants be compelled to reveal all</w:t>
      </w:r>
      <w:r w:rsidR="00D62F24">
        <w:t xml:space="preserve"> facts </w:t>
      </w:r>
      <w:r w:rsidR="004A7614">
        <w:t>that</w:t>
      </w:r>
      <w:r w:rsidR="00D62F24">
        <w:t xml:space="preserve"> the expert witnesses relied upon in their</w:t>
      </w:r>
      <w:r w:rsidR="004A7614">
        <w:t xml:space="preserve"> written</w:t>
      </w:r>
      <w:r w:rsidR="00D62F24">
        <w:t xml:space="preserve"> testimony.  </w:t>
      </w:r>
    </w:p>
    <w:p w:rsidR="00D62F24" w:rsidRDefault="00D62F24" w:rsidP="00895EF9">
      <w:pPr>
        <w:spacing w:line="360" w:lineRule="auto"/>
        <w:ind w:firstLine="720"/>
      </w:pPr>
    </w:p>
    <w:p w:rsidR="00A66614" w:rsidRDefault="00D62F24" w:rsidP="00895EF9">
      <w:pPr>
        <w:spacing w:line="360" w:lineRule="auto"/>
        <w:ind w:firstLine="720"/>
      </w:pPr>
      <w:r>
        <w:tab/>
        <w:t xml:space="preserve">We are persuaded </w:t>
      </w:r>
      <w:r w:rsidR="005371B7">
        <w:t xml:space="preserve">to find </w:t>
      </w:r>
      <w:r>
        <w:t xml:space="preserve">Joint Complainants have </w:t>
      </w:r>
      <w:r w:rsidR="005371B7">
        <w:t xml:space="preserve">sufficiently answered the interrogatory because they have </w:t>
      </w:r>
      <w:r>
        <w:t xml:space="preserve">already turned over all information and documentation received from consumers, including all OAG complaints and all information received from Blue Pilot customers to Respondent.  </w:t>
      </w:r>
      <w:r w:rsidR="006D509E">
        <w:t xml:space="preserve"> The information </w:t>
      </w:r>
      <w:r w:rsidR="00E220A8">
        <w:t xml:space="preserve">provided </w:t>
      </w:r>
      <w:r w:rsidR="006D509E">
        <w:t>presumably pertains to more than the approximately 97 consumer witnesses</w:t>
      </w:r>
      <w:r w:rsidR="00E220A8">
        <w:t xml:space="preserve"> already named by Joint Complainants</w:t>
      </w:r>
      <w:r w:rsidR="006D509E">
        <w:t>.  T</w:t>
      </w:r>
      <w:r>
        <w:t>he testimonies of approximately 97 consumer witnesses have already been entered into the record and Respondent had an opportunity to cross examine each witness</w:t>
      </w:r>
      <w:r w:rsidR="005371B7">
        <w:t xml:space="preserve"> in order to clarify or determine the factors each witness relied upon in </w:t>
      </w:r>
      <w:r w:rsidR="00A66614">
        <w:t>his or her testimony</w:t>
      </w:r>
      <w:r>
        <w:t>.  The identity</w:t>
      </w:r>
      <w:r w:rsidR="00075A4C">
        <w:t xml:space="preserve"> </w:t>
      </w:r>
      <w:r>
        <w:t xml:space="preserve">of </w:t>
      </w:r>
      <w:r w:rsidR="00E220A8">
        <w:t>all</w:t>
      </w:r>
      <w:r>
        <w:t xml:space="preserve"> consumers </w:t>
      </w:r>
      <w:r w:rsidR="00075A4C">
        <w:t xml:space="preserve">that complained to Joint Complainants </w:t>
      </w:r>
      <w:r w:rsidR="00516493">
        <w:t>has</w:t>
      </w:r>
      <w:r w:rsidR="00E8127C">
        <w:t xml:space="preserve"> been given</w:t>
      </w:r>
      <w:r>
        <w:t xml:space="preserve"> to Blue Pilot.  </w:t>
      </w:r>
    </w:p>
    <w:p w:rsidR="00A66614" w:rsidRDefault="00A66614" w:rsidP="00895EF9">
      <w:pPr>
        <w:spacing w:line="360" w:lineRule="auto"/>
        <w:ind w:firstLine="720"/>
      </w:pPr>
    </w:p>
    <w:p w:rsidR="00075A4C" w:rsidRDefault="00A66614" w:rsidP="00895EF9">
      <w:pPr>
        <w:spacing w:line="360" w:lineRule="auto"/>
        <w:ind w:firstLine="720"/>
      </w:pPr>
      <w:r>
        <w:tab/>
      </w:r>
      <w:r w:rsidR="00075A4C">
        <w:t xml:space="preserve">The interrogatory requests an explanation of detailed facts relied upon that support the contentions that customers were misled or deceived.  </w:t>
      </w:r>
      <w:r>
        <w:t>At the hearing held on March 30 – April 1, 2015, Blue Pilot had ample opportunity to cross-examine these witnesses and glean further information through cross examination regarding the factors and statements from individuals each witness relied upon when entering into agreements with Blue Pilot.  T</w:t>
      </w:r>
      <w:r w:rsidR="00D62F24">
        <w:t xml:space="preserve">he request for additional </w:t>
      </w:r>
      <w:r w:rsidR="00075A4C">
        <w:t>analysis</w:t>
      </w:r>
      <w:r w:rsidR="00D62F24">
        <w:t xml:space="preserve"> </w:t>
      </w:r>
      <w:r w:rsidR="00075A4C">
        <w:t xml:space="preserve">regarding </w:t>
      </w:r>
      <w:r w:rsidR="00D62F24">
        <w:t>how many individuals support a claim that the company misled and deceived customers</w:t>
      </w:r>
      <w:r w:rsidR="00075A4C">
        <w:t>, appears to be a request for privileged attorney work-product regarding the merit or value of the</w:t>
      </w:r>
      <w:r w:rsidR="00E8127C">
        <w:t xml:space="preserve"> individual witnesses’ testimony</w:t>
      </w:r>
      <w:r w:rsidR="00075A4C">
        <w:t xml:space="preserve"> </w:t>
      </w:r>
      <w:r w:rsidR="00BC640C">
        <w:t xml:space="preserve">and the strength of the “pattern and practice” claim, </w:t>
      </w:r>
      <w:r w:rsidR="00075A4C">
        <w:t>and will be denied</w:t>
      </w:r>
      <w:r w:rsidR="004A7614">
        <w:t xml:space="preserve"> because the request extends beyond discoverable information</w:t>
      </w:r>
      <w:r w:rsidR="00BC640C">
        <w:t xml:space="preserve"> as it calls for a legal analysis</w:t>
      </w:r>
      <w:r w:rsidR="00075A4C">
        <w:t xml:space="preserve">.  52 Pa. Code § 5.323(a).  </w:t>
      </w:r>
      <w:r w:rsidR="00075A4C">
        <w:rPr>
          <w:u w:val="single"/>
        </w:rPr>
        <w:t>See</w:t>
      </w:r>
      <w:r w:rsidR="00075A4C" w:rsidRPr="00075A4C">
        <w:t xml:space="preserve"> </w:t>
      </w:r>
      <w:r w:rsidR="00075A4C">
        <w:rPr>
          <w:u w:val="single"/>
        </w:rPr>
        <w:t>Barrick v. Holy Spirit Hospital of the Sisters of Christian Charity</w:t>
      </w:r>
      <w:r w:rsidR="00075A4C">
        <w:t>, 625 Pa. 301 (Pa. 2014).</w:t>
      </w:r>
    </w:p>
    <w:p w:rsidR="00E8127C" w:rsidRPr="00075A4C" w:rsidRDefault="00E8127C" w:rsidP="00895EF9">
      <w:pPr>
        <w:spacing w:line="360" w:lineRule="auto"/>
        <w:ind w:firstLine="720"/>
      </w:pPr>
    </w:p>
    <w:p w:rsidR="004A7614" w:rsidRDefault="004A7614" w:rsidP="00895EF9">
      <w:pPr>
        <w:spacing w:line="360" w:lineRule="auto"/>
        <w:ind w:firstLine="720"/>
      </w:pPr>
      <w:r>
        <w:lastRenderedPageBreak/>
        <w:tab/>
        <w:t>Contrary to Blue Pilot’s assertions, Joint Complainants have identified the names of their expert witnesses in this case.  Blue Pilot will have an opportunity at the further hearing scheduled for February 3</w:t>
      </w:r>
      <w:r w:rsidR="001F27AF">
        <w:t>-5</w:t>
      </w:r>
      <w:r>
        <w:t>, 2016, to cross examine any expert witnesses regarding the factors upon which they base their expert opinions.  For these aforementioned reasons, we find in favor of Joint Complainants on this issue.</w:t>
      </w:r>
      <w:r>
        <w:tab/>
      </w:r>
      <w:r>
        <w:tab/>
      </w:r>
    </w:p>
    <w:p w:rsidR="00DF7D8C" w:rsidRDefault="00DF7D8C" w:rsidP="00895EF9">
      <w:pPr>
        <w:spacing w:line="360" w:lineRule="auto"/>
      </w:pPr>
    </w:p>
    <w:p w:rsidR="004A7614" w:rsidRPr="00E6635F" w:rsidRDefault="00DF7D8C" w:rsidP="00895EF9">
      <w:pPr>
        <w:pStyle w:val="ListParagraph"/>
        <w:autoSpaceDE/>
        <w:autoSpaceDN/>
        <w:spacing w:line="360" w:lineRule="auto"/>
        <w:ind w:left="0"/>
        <w:contextualSpacing/>
        <w:rPr>
          <w:u w:val="single"/>
        </w:rPr>
      </w:pPr>
      <w:r w:rsidRPr="00E6635F">
        <w:rPr>
          <w:u w:val="single"/>
        </w:rPr>
        <w:t xml:space="preserve">Set </w:t>
      </w:r>
      <w:r w:rsidR="004A7614" w:rsidRPr="00E6635F">
        <w:rPr>
          <w:u w:val="single"/>
        </w:rPr>
        <w:t>I</w:t>
      </w:r>
      <w:r w:rsidRPr="00E6635F">
        <w:rPr>
          <w:u w:val="single"/>
        </w:rPr>
        <w:t>V-</w:t>
      </w:r>
      <w:r w:rsidR="004A7614" w:rsidRPr="00E6635F">
        <w:rPr>
          <w:u w:val="single"/>
        </w:rPr>
        <w:t>110</w:t>
      </w:r>
    </w:p>
    <w:p w:rsidR="004B155F" w:rsidRPr="00AB2BBC" w:rsidRDefault="004B155F" w:rsidP="00895EF9">
      <w:pPr>
        <w:pStyle w:val="ListParagraph"/>
        <w:autoSpaceDE/>
        <w:autoSpaceDN/>
        <w:spacing w:line="360" w:lineRule="auto"/>
        <w:ind w:left="0"/>
        <w:contextualSpacing/>
        <w:rPr>
          <w:b/>
        </w:rPr>
      </w:pPr>
      <w:r w:rsidRPr="005D25A1">
        <w:t xml:space="preserve"> </w:t>
      </w:r>
    </w:p>
    <w:p w:rsidR="004B155F" w:rsidRPr="00AE6AE0" w:rsidRDefault="00880A21" w:rsidP="004B155F">
      <w:pPr>
        <w:ind w:right="720" w:firstLine="720"/>
        <w:contextualSpacing/>
        <w:jc w:val="both"/>
      </w:pPr>
      <w:r>
        <w:tab/>
      </w:r>
      <w:r w:rsidR="004B155F" w:rsidRPr="00AE6AE0">
        <w:t xml:space="preserve">Set </w:t>
      </w:r>
      <w:r w:rsidR="004A7614">
        <w:t>I</w:t>
      </w:r>
      <w:r w:rsidR="004B155F" w:rsidRPr="00AE6AE0">
        <w:t>V-</w:t>
      </w:r>
      <w:r w:rsidR="004A7614">
        <w:t>110</w:t>
      </w:r>
      <w:r w:rsidR="004B155F" w:rsidRPr="00AE6AE0">
        <w:t xml:space="preserve"> provides: </w:t>
      </w:r>
    </w:p>
    <w:p w:rsidR="004B155F" w:rsidRPr="00AB2BBC" w:rsidRDefault="004B155F" w:rsidP="00895EF9">
      <w:pPr>
        <w:spacing w:line="360" w:lineRule="auto"/>
        <w:ind w:left="720" w:right="720"/>
        <w:contextualSpacing/>
        <w:jc w:val="both"/>
        <w:rPr>
          <w:b/>
        </w:rPr>
      </w:pPr>
      <w:r w:rsidRPr="00AB2BBC">
        <w:rPr>
          <w:b/>
        </w:rPr>
        <w:t xml:space="preserve">   </w:t>
      </w:r>
    </w:p>
    <w:p w:rsidR="004A7614" w:rsidRDefault="004A7614" w:rsidP="00880A21">
      <w:pPr>
        <w:ind w:left="1440" w:right="720"/>
        <w:contextualSpacing/>
        <w:jc w:val="both"/>
      </w:pPr>
      <w:r>
        <w:t xml:space="preserve">Set forth in full and complete detail each and every fact that supports any allegation or claim that you assert in this proceeding that Blue Pilot violated any Pennsylvania law or any regulation or rule of the Commission. </w:t>
      </w:r>
    </w:p>
    <w:p w:rsidR="004A7614" w:rsidRDefault="004A7614" w:rsidP="00895EF9">
      <w:pPr>
        <w:spacing w:line="360" w:lineRule="auto"/>
        <w:ind w:left="1440" w:right="720"/>
        <w:contextualSpacing/>
        <w:jc w:val="both"/>
      </w:pPr>
    </w:p>
    <w:p w:rsidR="000F045C" w:rsidRDefault="000F045C" w:rsidP="00895EF9">
      <w:pPr>
        <w:adjustRightInd w:val="0"/>
        <w:spacing w:line="360" w:lineRule="auto"/>
        <w:ind w:firstLine="1440"/>
        <w:rPr>
          <w:bCs/>
          <w:color w:val="000000"/>
        </w:rPr>
      </w:pPr>
      <w:r>
        <w:rPr>
          <w:bCs/>
          <w:color w:val="000000"/>
        </w:rPr>
        <w:t xml:space="preserve">Blue Pilot contends </w:t>
      </w:r>
      <w:r w:rsidR="001F27AF">
        <w:rPr>
          <w:bCs/>
          <w:color w:val="000000"/>
        </w:rPr>
        <w:t xml:space="preserve">that </w:t>
      </w:r>
      <w:r>
        <w:rPr>
          <w:bCs/>
          <w:color w:val="000000"/>
        </w:rPr>
        <w:t>Joint Complainants produced documents but did not answer the interrogatory</w:t>
      </w:r>
      <w:r w:rsidR="001F27AF">
        <w:rPr>
          <w:bCs/>
          <w:color w:val="000000"/>
        </w:rPr>
        <w:t>;</w:t>
      </w:r>
      <w:r>
        <w:rPr>
          <w:bCs/>
          <w:color w:val="000000"/>
        </w:rPr>
        <w:t xml:space="preserve"> thus</w:t>
      </w:r>
      <w:r w:rsidR="001F27AF">
        <w:rPr>
          <w:bCs/>
          <w:color w:val="000000"/>
        </w:rPr>
        <w:t>, they</w:t>
      </w:r>
      <w:r>
        <w:rPr>
          <w:bCs/>
          <w:color w:val="000000"/>
        </w:rPr>
        <w:t xml:space="preserve"> have failed </w:t>
      </w:r>
      <w:r w:rsidR="00516493">
        <w:rPr>
          <w:bCs/>
          <w:color w:val="000000"/>
        </w:rPr>
        <w:t>to provide the</w:t>
      </w:r>
      <w:r>
        <w:rPr>
          <w:bCs/>
          <w:color w:val="000000"/>
        </w:rPr>
        <w:t xml:space="preserve"> specificity required under law.  Blue Pilot requests Joint Complainants be compelled to supplement their responses with the specific facts that support their allegations. </w:t>
      </w:r>
    </w:p>
    <w:p w:rsidR="000F045C" w:rsidRDefault="000F045C" w:rsidP="00895EF9">
      <w:pPr>
        <w:adjustRightInd w:val="0"/>
        <w:spacing w:line="360" w:lineRule="auto"/>
        <w:ind w:firstLine="1440"/>
        <w:rPr>
          <w:bCs/>
          <w:color w:val="000000"/>
        </w:rPr>
      </w:pPr>
    </w:p>
    <w:p w:rsidR="00DB75DF" w:rsidRDefault="000F045C" w:rsidP="00895EF9">
      <w:pPr>
        <w:spacing w:line="360" w:lineRule="auto"/>
      </w:pPr>
      <w:r>
        <w:tab/>
      </w:r>
      <w:r>
        <w:tab/>
      </w:r>
      <w:r w:rsidR="00DB75DF">
        <w:t xml:space="preserve">Joint Complainants contend this </w:t>
      </w:r>
      <w:r>
        <w:t xml:space="preserve">interrogatory </w:t>
      </w:r>
      <w:r w:rsidR="00DB75DF">
        <w:t>is impermissible as it seeks a mental impression, conclusion, opinion or legal theory of Joint Complainants.  Much of this case has already been litigated as the consumer testimonies together with consumer exhibits were already entered into the record subject to cross-examination on March 30 – April 1, 2015.  Blue Pilot appears to be seeking an organization of this evidence into findings of facts</w:t>
      </w:r>
      <w:r w:rsidR="00204013">
        <w:t xml:space="preserve"> prior to the briefing stage in this proceeding</w:t>
      </w:r>
      <w:r w:rsidR="00DB75DF">
        <w:t xml:space="preserve">, which goes beyond permissible discovery.  </w:t>
      </w:r>
    </w:p>
    <w:p w:rsidR="00DB75DF" w:rsidRDefault="00DB75DF" w:rsidP="00895EF9">
      <w:pPr>
        <w:spacing w:line="360" w:lineRule="auto"/>
      </w:pPr>
    </w:p>
    <w:p w:rsidR="00DB75DF" w:rsidRPr="00DB75DF" w:rsidRDefault="00DB75DF" w:rsidP="00895EF9">
      <w:pPr>
        <w:spacing w:line="360" w:lineRule="auto"/>
      </w:pPr>
      <w:r>
        <w:tab/>
      </w:r>
      <w:r>
        <w:tab/>
      </w:r>
      <w:r w:rsidR="00BC640C">
        <w:t xml:space="preserve">The Joint Complainants have pre-served written direct testimony of their expert witnesses as of October 20, 2015.  </w:t>
      </w:r>
      <w:r w:rsidR="00204013">
        <w:t>Blue Pilot will be given opportunities to seek clarification and cross</w:t>
      </w:r>
      <w:r w:rsidR="00516493">
        <w:t>-</w:t>
      </w:r>
      <w:r w:rsidR="00204013">
        <w:t xml:space="preserve">examine expert </w:t>
      </w:r>
      <w:r w:rsidR="00516493">
        <w:t>witnesses</w:t>
      </w:r>
      <w:r w:rsidR="00204013">
        <w:t xml:space="preserve"> as part of the procedural schedule.  The identities of Joint Complainants’ expert witnesses have been revealed to Blue Pilot.  T</w:t>
      </w:r>
      <w:r>
        <w:t xml:space="preserve">he </w:t>
      </w:r>
      <w:r>
        <w:lastRenderedPageBreak/>
        <w:t xml:space="preserve">request </w:t>
      </w:r>
      <w:r w:rsidR="00204013">
        <w:t xml:space="preserve">is overly broad, vague, and asks </w:t>
      </w:r>
      <w:r>
        <w:t>for attorney work product</w:t>
      </w:r>
      <w:r w:rsidR="00204013">
        <w:t>; accordingly, it</w:t>
      </w:r>
      <w:r>
        <w:t xml:space="preserve"> will be denied. </w:t>
      </w:r>
    </w:p>
    <w:p w:rsidR="00E6635F" w:rsidRDefault="00E6635F" w:rsidP="00895EF9">
      <w:pPr>
        <w:pStyle w:val="ListParagraph"/>
        <w:autoSpaceDE/>
        <w:autoSpaceDN/>
        <w:spacing w:line="360" w:lineRule="auto"/>
        <w:ind w:left="0"/>
        <w:contextualSpacing/>
        <w:rPr>
          <w:u w:val="single"/>
        </w:rPr>
      </w:pPr>
    </w:p>
    <w:p w:rsidR="00204013" w:rsidRDefault="00204013" w:rsidP="00895EF9">
      <w:pPr>
        <w:pStyle w:val="ListParagraph"/>
        <w:autoSpaceDE/>
        <w:autoSpaceDN/>
        <w:spacing w:line="360" w:lineRule="auto"/>
        <w:ind w:left="0"/>
        <w:contextualSpacing/>
        <w:rPr>
          <w:u w:val="single"/>
        </w:rPr>
      </w:pPr>
      <w:r w:rsidRPr="00DF7D8C">
        <w:rPr>
          <w:u w:val="single"/>
        </w:rPr>
        <w:t>Set</w:t>
      </w:r>
      <w:r w:rsidR="00E6635F">
        <w:rPr>
          <w:u w:val="single"/>
        </w:rPr>
        <w:t>s</w:t>
      </w:r>
      <w:r w:rsidRPr="00DF7D8C">
        <w:rPr>
          <w:u w:val="single"/>
        </w:rPr>
        <w:t xml:space="preserve"> </w:t>
      </w:r>
      <w:r>
        <w:rPr>
          <w:u w:val="single"/>
        </w:rPr>
        <w:t>I</w:t>
      </w:r>
      <w:r w:rsidRPr="00DF7D8C">
        <w:rPr>
          <w:u w:val="single"/>
        </w:rPr>
        <w:t>V-</w:t>
      </w:r>
      <w:r>
        <w:rPr>
          <w:u w:val="single"/>
        </w:rPr>
        <w:t>106 and IV-112</w:t>
      </w:r>
    </w:p>
    <w:p w:rsidR="00204013" w:rsidRPr="00AB2BBC" w:rsidRDefault="00204013" w:rsidP="00895EF9">
      <w:pPr>
        <w:pStyle w:val="ListParagraph"/>
        <w:autoSpaceDE/>
        <w:autoSpaceDN/>
        <w:spacing w:line="360" w:lineRule="auto"/>
        <w:ind w:left="0"/>
        <w:contextualSpacing/>
        <w:rPr>
          <w:b/>
        </w:rPr>
      </w:pPr>
      <w:r w:rsidRPr="005D25A1">
        <w:t xml:space="preserve"> </w:t>
      </w:r>
    </w:p>
    <w:p w:rsidR="00204013" w:rsidRDefault="00204013" w:rsidP="00204013">
      <w:pPr>
        <w:ind w:right="720" w:firstLine="720"/>
        <w:contextualSpacing/>
        <w:jc w:val="both"/>
      </w:pPr>
      <w:r>
        <w:tab/>
        <w:t>Set IV-106 provides:</w:t>
      </w:r>
    </w:p>
    <w:p w:rsidR="00E6635F" w:rsidRDefault="00E6635F" w:rsidP="00895EF9">
      <w:pPr>
        <w:spacing w:line="360" w:lineRule="auto"/>
        <w:ind w:right="720" w:firstLine="720"/>
        <w:contextualSpacing/>
      </w:pPr>
    </w:p>
    <w:p w:rsidR="00204013" w:rsidRDefault="00204013" w:rsidP="00E6635F">
      <w:pPr>
        <w:ind w:left="720" w:right="720"/>
        <w:contextualSpacing/>
      </w:pPr>
      <w:r>
        <w:t>Identify each and every meeting relating in any way to discussions with or about the 96 (s</w:t>
      </w:r>
      <w:r w:rsidR="002018E6">
        <w:t>i</w:t>
      </w:r>
      <w:r>
        <w:t xml:space="preserve">c) consumer witnesses identified as the OAG-OCA Witness List to Blue Pilot in the Supplemental Response to the Office of Attorney General Bureau of Consumer Protection’s Response to Blue Pilot Energy, LLC Interrogatories and Requests for Production Set 1, whether in person, teleconference, or video conference.  In your response, include the date, time, place, and individuals present, a description of what was discussed, and any decision made. </w:t>
      </w:r>
    </w:p>
    <w:p w:rsidR="00204013" w:rsidRDefault="00204013" w:rsidP="00895EF9">
      <w:pPr>
        <w:spacing w:line="360" w:lineRule="auto"/>
        <w:ind w:right="720" w:firstLine="720"/>
        <w:contextualSpacing/>
        <w:jc w:val="both"/>
      </w:pPr>
    </w:p>
    <w:p w:rsidR="00204013" w:rsidRPr="00AE6AE0" w:rsidRDefault="00204013" w:rsidP="00204013">
      <w:pPr>
        <w:ind w:right="720" w:firstLine="720"/>
        <w:contextualSpacing/>
        <w:jc w:val="both"/>
      </w:pPr>
      <w:r>
        <w:tab/>
      </w:r>
      <w:r w:rsidRPr="00AE6AE0">
        <w:t xml:space="preserve">Set </w:t>
      </w:r>
      <w:r>
        <w:t>I</w:t>
      </w:r>
      <w:r w:rsidRPr="00AE6AE0">
        <w:t>V-</w:t>
      </w:r>
      <w:r>
        <w:t>112</w:t>
      </w:r>
      <w:r w:rsidRPr="00AE6AE0">
        <w:t xml:space="preserve"> provides: </w:t>
      </w:r>
    </w:p>
    <w:p w:rsidR="00516493" w:rsidRDefault="00516493" w:rsidP="00895EF9">
      <w:pPr>
        <w:spacing w:line="360" w:lineRule="auto"/>
        <w:ind w:left="720" w:right="720"/>
        <w:contextualSpacing/>
        <w:jc w:val="both"/>
      </w:pPr>
    </w:p>
    <w:p w:rsidR="00204013" w:rsidRPr="00E6635F" w:rsidRDefault="00204013" w:rsidP="00E6635F">
      <w:pPr>
        <w:ind w:left="720" w:right="720"/>
        <w:contextualSpacing/>
        <w:jc w:val="both"/>
        <w:rPr>
          <w:b/>
        </w:rPr>
      </w:pPr>
      <w:r>
        <w:t xml:space="preserve">Set forth in full and complete detail each and every communication and/or conversation that You, Your agents, and/or attorneys have had with any Pennsylvania consumer, whether or not they were a customer of Blue Pilot, regarding the subject matter of this Action or Blue Pilot in general. </w:t>
      </w:r>
    </w:p>
    <w:p w:rsidR="00204013" w:rsidRDefault="00204013" w:rsidP="00895EF9">
      <w:pPr>
        <w:spacing w:line="360" w:lineRule="auto"/>
        <w:ind w:left="1440" w:right="720"/>
        <w:contextualSpacing/>
        <w:jc w:val="both"/>
      </w:pPr>
    </w:p>
    <w:p w:rsidR="00B54E34" w:rsidRDefault="003F0870" w:rsidP="000F045C">
      <w:pPr>
        <w:spacing w:line="360" w:lineRule="auto"/>
        <w:contextualSpacing/>
      </w:pPr>
      <w:r>
        <w:tab/>
      </w:r>
      <w:r>
        <w:tab/>
      </w:r>
      <w:r w:rsidR="000F045C">
        <w:t xml:space="preserve">In its Motion to Compel, Blue Pilot indicates a willingness to </w:t>
      </w:r>
      <w:r w:rsidR="00B54E34">
        <w:t>amend these</w:t>
      </w:r>
      <w:r w:rsidR="000F045C">
        <w:t xml:space="preserve"> </w:t>
      </w:r>
      <w:r w:rsidR="00B54E34">
        <w:t>I</w:t>
      </w:r>
      <w:r w:rsidR="000F045C">
        <w:t>nterrogatories Set IV-106 and IV-112 to compel only the identification of meetings Joint Complainant held with Blue Pilot consumers (excluding those 97 consumers previously identified by Joint Complainants).  For any consumer not previously identified, Blue Pilot requests the name of consumer and date of meeting.  If no meeting took place, then Joint Complainants should indicate as such.</w:t>
      </w:r>
      <w:r w:rsidR="00FE79E9">
        <w:t xml:space="preserve">  Blue Pilot </w:t>
      </w:r>
      <w:r w:rsidR="00516493">
        <w:t>did not</w:t>
      </w:r>
      <w:r w:rsidR="00FE79E9">
        <w:t xml:space="preserve"> </w:t>
      </w:r>
      <w:r w:rsidR="00516493">
        <w:t>explain</w:t>
      </w:r>
      <w:r w:rsidR="00FE79E9">
        <w:t xml:space="preserve"> how such information is likely to lead to admissible evidence pursuant to 52 Pa. Code § 5.321(c)</w:t>
      </w:r>
      <w:r w:rsidR="004B46D4">
        <w:t xml:space="preserve">; however, we presume the information may be pertinent to Respondent’s defense against a “pattern and practice” claim. </w:t>
      </w:r>
      <w:r w:rsidR="00FE79E9">
        <w:t xml:space="preserve">  </w:t>
      </w:r>
    </w:p>
    <w:p w:rsidR="00B54E34" w:rsidRDefault="00B54E34" w:rsidP="000F045C">
      <w:pPr>
        <w:spacing w:line="360" w:lineRule="auto"/>
        <w:contextualSpacing/>
      </w:pPr>
    </w:p>
    <w:p w:rsidR="000E0FEF" w:rsidRDefault="00B54E34" w:rsidP="000F045C">
      <w:pPr>
        <w:spacing w:line="360" w:lineRule="auto"/>
        <w:contextualSpacing/>
      </w:pPr>
      <w:r>
        <w:tab/>
      </w:r>
      <w:r>
        <w:tab/>
      </w:r>
      <w:r w:rsidR="00FE79E9">
        <w:t xml:space="preserve">In response to prior discovery requests, Joint Complainants have already turned over all documentation and information received from Blue Pilot customers to Respondent.  </w:t>
      </w:r>
      <w:r w:rsidR="000F045C">
        <w:t xml:space="preserve"> </w:t>
      </w:r>
      <w:r w:rsidR="00FE79E9">
        <w:t xml:space="preserve">Joint Complainants have indicated a willingness to supplement these </w:t>
      </w:r>
      <w:r w:rsidR="00FE79E9">
        <w:lastRenderedPageBreak/>
        <w:t>responses as additional information becomes available.</w:t>
      </w:r>
      <w:r>
        <w:t xml:space="preserve">  Blue Pilot may review the documents and correspondence and compare this information to those witnesses that testified in preparation of its defense.  </w:t>
      </w:r>
    </w:p>
    <w:p w:rsidR="000E0FEF" w:rsidRDefault="000E0FEF" w:rsidP="000F045C">
      <w:pPr>
        <w:spacing w:line="360" w:lineRule="auto"/>
        <w:contextualSpacing/>
      </w:pPr>
    </w:p>
    <w:p w:rsidR="004B46D4" w:rsidRDefault="000E0FEF" w:rsidP="000F045C">
      <w:pPr>
        <w:spacing w:line="360" w:lineRule="auto"/>
        <w:contextualSpacing/>
      </w:pPr>
      <w:r>
        <w:tab/>
      </w:r>
      <w:r>
        <w:tab/>
        <w:t>Joint Complainants contend they have had numerous informal conversations with consumers but do not necessarily track whether these conversations included the subject matter of this proceeding or Blue Pilot.  Assuming the word “meeting” is meant to include telephonic meetings in addition to in</w:t>
      </w:r>
      <w:r w:rsidR="00516493">
        <w:t>-</w:t>
      </w:r>
      <w:r>
        <w:t xml:space="preserve">person meetings, since there is no qualification on the word, we are persuaded to find it </w:t>
      </w:r>
      <w:r w:rsidR="004B46D4">
        <w:t>may be</w:t>
      </w:r>
      <w:r>
        <w:t xml:space="preserve"> </w:t>
      </w:r>
      <w:r w:rsidR="004B46D4">
        <w:t>unduly burdensome upon</w:t>
      </w:r>
      <w:r>
        <w:t xml:space="preserve"> Joint Complainants </w:t>
      </w:r>
      <w:r w:rsidR="004B46D4">
        <w:t xml:space="preserve">to </w:t>
      </w:r>
      <w:r>
        <w:t xml:space="preserve">gather </w:t>
      </w:r>
      <w:r w:rsidR="004B46D4">
        <w:t xml:space="preserve">all of </w:t>
      </w:r>
      <w:r>
        <w:t xml:space="preserve">the requested information even as amended as they stated they do not track all of the phone conversations with consumers complaining.   Therefore, we find that </w:t>
      </w:r>
      <w:r w:rsidR="004B46D4">
        <w:t xml:space="preserve">to the extent Joint Complainants have the name and date of a meeting with any Blue Pilot customers pertaining to the subject matter of the instant case (excluding the 97 who testified), that Joint Complainants shall be compelled to serve this information upon Respondent within ten (10) days of the date of entry of this Order.  </w:t>
      </w:r>
      <w:proofErr w:type="gramStart"/>
      <w:r w:rsidR="004B46D4">
        <w:t>52 Pa. Code § 5.361(a).</w:t>
      </w:r>
      <w:proofErr w:type="gramEnd"/>
      <w:r w:rsidR="004B46D4">
        <w:t xml:space="preserve">  </w:t>
      </w:r>
    </w:p>
    <w:p w:rsidR="004B46D4" w:rsidRDefault="004B46D4" w:rsidP="000F045C">
      <w:pPr>
        <w:spacing w:line="360" w:lineRule="auto"/>
        <w:contextualSpacing/>
      </w:pPr>
    </w:p>
    <w:p w:rsidR="000E0FEF" w:rsidRDefault="001F27AF" w:rsidP="000F045C">
      <w:pPr>
        <w:spacing w:line="360" w:lineRule="auto"/>
        <w:contextualSpacing/>
        <w:rPr>
          <w:u w:val="single"/>
        </w:rPr>
      </w:pPr>
      <w:r>
        <w:rPr>
          <w:u w:val="single"/>
        </w:rPr>
        <w:t>Set</w:t>
      </w:r>
      <w:r w:rsidR="00C2206A">
        <w:rPr>
          <w:u w:val="single"/>
        </w:rPr>
        <w:t xml:space="preserve"> IV-111</w:t>
      </w:r>
      <w:r>
        <w:rPr>
          <w:u w:val="single"/>
        </w:rPr>
        <w:t xml:space="preserve"> and Instruction 1</w:t>
      </w:r>
    </w:p>
    <w:p w:rsidR="00C2206A" w:rsidRDefault="00C2206A" w:rsidP="000F045C">
      <w:pPr>
        <w:spacing w:line="360" w:lineRule="auto"/>
        <w:contextualSpacing/>
      </w:pPr>
    </w:p>
    <w:p w:rsidR="00C2206A" w:rsidRDefault="00C2206A" w:rsidP="000F045C">
      <w:pPr>
        <w:spacing w:line="360" w:lineRule="auto"/>
        <w:contextualSpacing/>
      </w:pPr>
      <w:r>
        <w:tab/>
      </w:r>
      <w:r>
        <w:tab/>
        <w:t>IV-111 provides:</w:t>
      </w:r>
    </w:p>
    <w:p w:rsidR="00C2206A" w:rsidRDefault="00C2206A" w:rsidP="00C2206A">
      <w:pPr>
        <w:ind w:left="1440" w:right="720"/>
        <w:contextualSpacing/>
      </w:pPr>
      <w:r>
        <w:t xml:space="preserve">Set forth in full and complete detail each and every communication and/or conversation that You, Your agents and/or attorneys have had with any other public utility commission, consumer protection agency, investigator, or attorney regarding the Subject Matter of this Action or Blue Pilot in general. </w:t>
      </w:r>
    </w:p>
    <w:p w:rsidR="00C2206A" w:rsidRDefault="00C2206A" w:rsidP="00895EF9">
      <w:pPr>
        <w:spacing w:line="360" w:lineRule="auto"/>
        <w:ind w:left="1440" w:right="720"/>
        <w:contextualSpacing/>
      </w:pPr>
    </w:p>
    <w:p w:rsidR="003F0870" w:rsidRDefault="00C2206A" w:rsidP="001F27AF">
      <w:pPr>
        <w:spacing w:line="360" w:lineRule="auto"/>
        <w:contextualSpacing/>
      </w:pPr>
      <w:r>
        <w:tab/>
      </w:r>
      <w:r>
        <w:tab/>
        <w:t xml:space="preserve">Blue Pilot indicated in its Motion to Compel that it agrees to limit the request to communications regarding matters relevant to the claims in the instant proceeding.   Joint Complainants contend even with this limitation, Set IV-111 is not relevant or likely to lead to admissible evidence and impermissibly seeks information protected by investigative privilege, attorney work product.  Further the information requested is unduly burdensome and unreasonable.  The Pennsylvania Supreme Court has recognized an investigative privilege to protect information from being discovered during </w:t>
      </w:r>
      <w:r>
        <w:lastRenderedPageBreak/>
        <w:t>ongoing government</w:t>
      </w:r>
      <w:r w:rsidR="005C42DD">
        <w:t>al</w:t>
      </w:r>
      <w:r>
        <w:t xml:space="preserve"> investigations.  </w:t>
      </w:r>
      <w:r>
        <w:rPr>
          <w:u w:val="single"/>
        </w:rPr>
        <w:t xml:space="preserve">See In re: Buchanan, </w:t>
      </w:r>
      <w:r>
        <w:t xml:space="preserve">583 A.2d 568 (Pa. 2005).  </w:t>
      </w:r>
      <w:r w:rsidR="005C42DD">
        <w:t xml:space="preserve"> We find the communications Joint Complainants may have had with other governmental enforcement agencies and attorneys to be privileged and non-discoverable.  52 Pa. Code § 5.323(a). </w:t>
      </w:r>
    </w:p>
    <w:p w:rsidR="003F0870" w:rsidRDefault="003F0870" w:rsidP="00C2206A">
      <w:pPr>
        <w:spacing w:line="360" w:lineRule="auto"/>
        <w:contextualSpacing/>
      </w:pPr>
    </w:p>
    <w:p w:rsidR="009F0C50" w:rsidRDefault="009F0C50" w:rsidP="001F27AF">
      <w:pPr>
        <w:spacing w:line="480" w:lineRule="auto"/>
        <w:ind w:firstLine="720"/>
        <w:contextualSpacing/>
      </w:pPr>
      <w:r w:rsidRPr="00DE5084">
        <w:t xml:space="preserve">Blue Pilot </w:t>
      </w:r>
      <w:r w:rsidRPr="00552AA4">
        <w:t>Interrogatory Instruction Set IV</w:t>
      </w:r>
      <w:r w:rsidRPr="00DE5084">
        <w:t>-1 states:</w:t>
      </w:r>
    </w:p>
    <w:p w:rsidR="00895EF9" w:rsidRPr="00DE5084" w:rsidRDefault="00895EF9" w:rsidP="00895EF9">
      <w:pPr>
        <w:spacing w:line="360" w:lineRule="auto"/>
        <w:ind w:firstLine="720"/>
        <w:contextualSpacing/>
      </w:pPr>
    </w:p>
    <w:p w:rsidR="003F0870" w:rsidRPr="00552AA4" w:rsidRDefault="003F0870" w:rsidP="001F27AF">
      <w:pPr>
        <w:numPr>
          <w:ilvl w:val="0"/>
          <w:numId w:val="27"/>
        </w:numPr>
        <w:autoSpaceDE/>
        <w:autoSpaceDN/>
        <w:ind w:left="720" w:right="720" w:firstLine="0"/>
        <w:contextualSpacing/>
      </w:pPr>
      <w:r w:rsidRPr="00DE5084">
        <w:t>If you claim any form of privilege, whether based on statute or otherwise, as a ground for not describing any requested oral communication or document, state the following:</w:t>
      </w:r>
    </w:p>
    <w:p w:rsidR="003F0870" w:rsidRPr="00DE5084" w:rsidRDefault="003F0870" w:rsidP="00895EF9">
      <w:pPr>
        <w:spacing w:line="360" w:lineRule="auto"/>
        <w:ind w:left="720" w:right="720"/>
        <w:contextualSpacing/>
        <w:jc w:val="both"/>
      </w:pPr>
    </w:p>
    <w:p w:rsidR="003F0870" w:rsidRPr="00552AA4" w:rsidRDefault="003F0870" w:rsidP="003F0870">
      <w:pPr>
        <w:pStyle w:val="ListParagraph"/>
        <w:numPr>
          <w:ilvl w:val="0"/>
          <w:numId w:val="28"/>
        </w:numPr>
        <w:tabs>
          <w:tab w:val="num" w:pos="720"/>
          <w:tab w:val="num" w:pos="2880"/>
        </w:tabs>
        <w:autoSpaceDE/>
        <w:autoSpaceDN/>
        <w:spacing w:after="240"/>
        <w:ind w:right="720"/>
        <w:contextualSpacing/>
        <w:jc w:val="both"/>
        <w:outlineLvl w:val="1"/>
      </w:pPr>
      <w:r w:rsidRPr="00552AA4">
        <w:t>the date thereof;</w:t>
      </w:r>
    </w:p>
    <w:p w:rsidR="003F0870" w:rsidRPr="00552AA4" w:rsidRDefault="003F0870" w:rsidP="003F0870">
      <w:pPr>
        <w:pStyle w:val="ListParagraph"/>
        <w:numPr>
          <w:ilvl w:val="0"/>
          <w:numId w:val="28"/>
        </w:numPr>
        <w:tabs>
          <w:tab w:val="num" w:pos="0"/>
          <w:tab w:val="num" w:pos="2880"/>
        </w:tabs>
        <w:autoSpaceDE/>
        <w:autoSpaceDN/>
        <w:spacing w:after="240"/>
        <w:ind w:right="720"/>
        <w:contextualSpacing/>
        <w:jc w:val="both"/>
        <w:outlineLvl w:val="1"/>
      </w:pPr>
      <w:r w:rsidRPr="00552AA4">
        <w:t>the name, the present or last known home and business addresses and the telephone numbers thereto, the title (or position), occupation, and employer or each of the participants in said oral communication, or of those individuals who prepared, produced, or reproduced, or who were recipients of said document;</w:t>
      </w:r>
    </w:p>
    <w:p w:rsidR="003F0870" w:rsidRPr="00552AA4" w:rsidRDefault="003F0870" w:rsidP="003F0870">
      <w:pPr>
        <w:pStyle w:val="ListParagraph"/>
        <w:numPr>
          <w:ilvl w:val="0"/>
          <w:numId w:val="28"/>
        </w:numPr>
        <w:tabs>
          <w:tab w:val="num" w:pos="0"/>
          <w:tab w:val="num" w:pos="2880"/>
        </w:tabs>
        <w:autoSpaceDE/>
        <w:autoSpaceDN/>
        <w:spacing w:after="240"/>
        <w:ind w:right="720"/>
        <w:contextualSpacing/>
        <w:jc w:val="both"/>
        <w:outlineLvl w:val="1"/>
      </w:pPr>
      <w:r w:rsidRPr="00552AA4">
        <w:t>the name, the present or last known home and business address and the telephone numbers thereto, the title (or position), and the occupation of each person present during all or any part of said oral communications;</w:t>
      </w:r>
    </w:p>
    <w:p w:rsidR="003F0870" w:rsidRPr="00552AA4" w:rsidRDefault="003F0870" w:rsidP="003F0870">
      <w:pPr>
        <w:pStyle w:val="ListParagraph"/>
        <w:numPr>
          <w:ilvl w:val="0"/>
          <w:numId w:val="28"/>
        </w:numPr>
        <w:tabs>
          <w:tab w:val="num" w:pos="0"/>
          <w:tab w:val="num" w:pos="2880"/>
        </w:tabs>
        <w:autoSpaceDE/>
        <w:autoSpaceDN/>
        <w:spacing w:after="240"/>
        <w:ind w:right="720"/>
        <w:contextualSpacing/>
        <w:jc w:val="both"/>
        <w:outlineLvl w:val="1"/>
      </w:pPr>
      <w:r w:rsidRPr="00552AA4">
        <w:t xml:space="preserve">a description of the oral communication or of the document sufficient to identify it without revealing the information for which the privilege is claimed; </w:t>
      </w:r>
    </w:p>
    <w:p w:rsidR="003F0870" w:rsidRPr="00552AA4" w:rsidRDefault="003F0870" w:rsidP="003F0870">
      <w:pPr>
        <w:pStyle w:val="ListParagraph"/>
        <w:numPr>
          <w:ilvl w:val="0"/>
          <w:numId w:val="28"/>
        </w:numPr>
        <w:tabs>
          <w:tab w:val="num" w:pos="0"/>
          <w:tab w:val="num" w:pos="2880"/>
        </w:tabs>
        <w:autoSpaceDE/>
        <w:autoSpaceDN/>
        <w:spacing w:after="240"/>
        <w:ind w:right="720"/>
        <w:contextualSpacing/>
        <w:jc w:val="both"/>
        <w:outlineLvl w:val="1"/>
      </w:pPr>
      <w:r w:rsidRPr="00552AA4">
        <w:t>a description of the subject matter of the communication in sufficient detail to allow the Court to adjudicate the validity of your claim; and</w:t>
      </w:r>
    </w:p>
    <w:p w:rsidR="003F0870" w:rsidRDefault="003F0870" w:rsidP="003F0870">
      <w:pPr>
        <w:pStyle w:val="ListParagraph"/>
        <w:numPr>
          <w:ilvl w:val="0"/>
          <w:numId w:val="28"/>
        </w:numPr>
        <w:tabs>
          <w:tab w:val="num" w:pos="0"/>
          <w:tab w:val="num" w:pos="2880"/>
        </w:tabs>
        <w:autoSpaceDE/>
        <w:autoSpaceDN/>
        <w:ind w:right="720"/>
        <w:contextualSpacing/>
        <w:jc w:val="both"/>
        <w:outlineLvl w:val="1"/>
      </w:pPr>
      <w:r w:rsidRPr="00552AA4">
        <w:t>each and every fact and/or legal basis upon which you claim any such privilege.</w:t>
      </w:r>
    </w:p>
    <w:p w:rsidR="003F0870" w:rsidRPr="00FB042E" w:rsidRDefault="003F0870" w:rsidP="00895EF9">
      <w:pPr>
        <w:pStyle w:val="ListParagraph"/>
        <w:tabs>
          <w:tab w:val="num" w:pos="2880"/>
        </w:tabs>
        <w:spacing w:line="360" w:lineRule="auto"/>
        <w:ind w:left="2520" w:right="720"/>
        <w:jc w:val="both"/>
        <w:outlineLvl w:val="1"/>
      </w:pPr>
    </w:p>
    <w:p w:rsidR="003F0870" w:rsidRDefault="009F0C50" w:rsidP="00895EF9">
      <w:pPr>
        <w:spacing w:line="360" w:lineRule="auto"/>
        <w:ind w:firstLine="720"/>
        <w:contextualSpacing/>
      </w:pPr>
      <w:r>
        <w:tab/>
      </w:r>
      <w:r w:rsidR="003F0870">
        <w:t>This interrogatory instruction was also in Blue Pilot Set I served on the OAG and the OCA in July 2014.  Joint Complainants object</w:t>
      </w:r>
      <w:r w:rsidR="001F27AF">
        <w:t>ed</w:t>
      </w:r>
      <w:r w:rsidR="003F0870">
        <w:t xml:space="preserve"> to this instruction and the parties reached an agreement on August 7, 2014, as follows:</w:t>
      </w:r>
    </w:p>
    <w:p w:rsidR="009F0C50" w:rsidRDefault="009F0C50" w:rsidP="00895EF9">
      <w:pPr>
        <w:spacing w:line="360" w:lineRule="auto"/>
        <w:contextualSpacing/>
      </w:pPr>
    </w:p>
    <w:p w:rsidR="003F0870" w:rsidRDefault="003F0870" w:rsidP="001F27AF">
      <w:pPr>
        <w:ind w:left="720" w:right="720"/>
        <w:contextualSpacing/>
      </w:pPr>
      <w:r w:rsidRPr="00BF34F5">
        <w:t xml:space="preserve">Blue Pilot agrees to accept a log with less detail if </w:t>
      </w:r>
      <w:r w:rsidR="00E60EDE">
        <w:t>[</w:t>
      </w:r>
      <w:r w:rsidRPr="00BF34F5">
        <w:t>O</w:t>
      </w:r>
      <w:r w:rsidR="00E60EDE">
        <w:t>CA] (sic)</w:t>
      </w:r>
      <w:r w:rsidRPr="00BF34F5">
        <w:t xml:space="preserve"> and the AG agree (i) to provide in good faith a log with the information necessary for Blue Pilot to determine the basis of the privilege claim and whether the</w:t>
      </w:r>
      <w:r w:rsidR="00E60EDE">
        <w:t xml:space="preserve">[y] </w:t>
      </w:r>
      <w:r w:rsidR="00E60EDE">
        <w:lastRenderedPageBreak/>
        <w:t>(sic)</w:t>
      </w:r>
      <w:r w:rsidRPr="00BF34F5">
        <w:t xml:space="preserve"> challenge the claim, and (ii) to provide additional information for any logged document Blue Pilot feels is insufficient.  </w:t>
      </w:r>
    </w:p>
    <w:p w:rsidR="003F0870" w:rsidRDefault="003F0870" w:rsidP="00895EF9">
      <w:pPr>
        <w:spacing w:line="360" w:lineRule="auto"/>
        <w:contextualSpacing/>
      </w:pPr>
    </w:p>
    <w:p w:rsidR="003F0870" w:rsidRDefault="003F0870" w:rsidP="00895EF9">
      <w:pPr>
        <w:spacing w:line="360" w:lineRule="auto"/>
        <w:contextualSpacing/>
      </w:pPr>
      <w:r>
        <w:t>This agreement remained through additional sets of Blue Pilot discovery requests to Joint Complainants.  Now, Blue Pilot seeks to enforce the instruction with respect to one discovery request, Set IV-111.</w:t>
      </w:r>
      <w:r w:rsidR="0067518E">
        <w:t xml:space="preserve">  Joint Complainants object and contend the request is unreasonably annoying and burdensome pursuant to 52 Pa. Code § 3.361(a).   We agree.</w:t>
      </w:r>
    </w:p>
    <w:p w:rsidR="009F0C50" w:rsidRDefault="009F0C50" w:rsidP="00895EF9">
      <w:pPr>
        <w:spacing w:line="360" w:lineRule="auto"/>
        <w:contextualSpacing/>
      </w:pPr>
    </w:p>
    <w:p w:rsidR="003F0870" w:rsidRDefault="0067518E" w:rsidP="00895EF9">
      <w:pPr>
        <w:pStyle w:val="ListParagraph"/>
        <w:spacing w:line="360" w:lineRule="auto"/>
        <w:ind w:left="0" w:firstLine="720"/>
      </w:pPr>
      <w:r>
        <w:tab/>
      </w:r>
      <w:r w:rsidR="003F0870">
        <w:t xml:space="preserve">To require Joint Complainants to identify each and every e-mail, call, or in-person meeting that constitutes privileged communications with </w:t>
      </w:r>
      <w:r w:rsidR="003F0870" w:rsidRPr="00C20281">
        <w:t>other public utility commissions, consumer protection agencies, investigators, or attorneys</w:t>
      </w:r>
      <w:r w:rsidR="003F0870">
        <w:t xml:space="preserve"> is unreasonably annoying and burdensome.  Such oral or documentary communications could be extensive, and as such, Blue Pilot’s request could take some time to research and assemble.  Moreover, providing such information would not give Blue Pilot any further information as to whether to dispute the privilege upon which the information is withheld than the general privilege log the parties agreed to in August 2014.</w:t>
      </w:r>
      <w:r w:rsidR="00E87EDF">
        <w:t xml:space="preserve">  </w:t>
      </w:r>
      <w:r w:rsidR="003F0870">
        <w:t xml:space="preserve">Joint Complainants </w:t>
      </w:r>
      <w:r w:rsidR="00E87EDF">
        <w:t xml:space="preserve">provision of </w:t>
      </w:r>
      <w:r w:rsidR="003F0870">
        <w:t>a more general privilege log</w:t>
      </w:r>
      <w:r w:rsidR="00E87EDF">
        <w:t xml:space="preserve"> is sufficient</w:t>
      </w:r>
      <w:r w:rsidR="003F0870">
        <w:t xml:space="preserve">.  To the extent that Blue Pilot is seeking a more extensive privilege log, Blue Pilot’s Motion to Compel </w:t>
      </w:r>
      <w:r w:rsidR="00E87EDF">
        <w:t>is</w:t>
      </w:r>
      <w:r w:rsidR="003F0870">
        <w:t xml:space="preserve"> denied.</w:t>
      </w:r>
    </w:p>
    <w:p w:rsidR="00E87EDF" w:rsidRPr="00FC7515" w:rsidRDefault="00E87EDF" w:rsidP="00895EF9">
      <w:pPr>
        <w:pStyle w:val="ListParagraph"/>
        <w:spacing w:line="360" w:lineRule="auto"/>
        <w:ind w:left="0" w:firstLine="720"/>
      </w:pPr>
    </w:p>
    <w:p w:rsidR="00A01A2E" w:rsidRDefault="00A01A2E" w:rsidP="00895EF9">
      <w:pPr>
        <w:spacing w:line="360" w:lineRule="auto"/>
        <w:rPr>
          <w:u w:val="single"/>
        </w:rPr>
      </w:pPr>
      <w:r>
        <w:rPr>
          <w:u w:val="single"/>
        </w:rPr>
        <w:t>Set IV-113</w:t>
      </w:r>
    </w:p>
    <w:p w:rsidR="00895EF9" w:rsidRPr="00A01A2E" w:rsidRDefault="00895EF9" w:rsidP="00895EF9">
      <w:pPr>
        <w:spacing w:line="360" w:lineRule="auto"/>
        <w:rPr>
          <w:u w:val="single"/>
        </w:rPr>
      </w:pPr>
    </w:p>
    <w:p w:rsidR="003F0870" w:rsidRDefault="003F0870" w:rsidP="00895EF9">
      <w:pPr>
        <w:spacing w:line="360" w:lineRule="auto"/>
        <w:ind w:firstLine="720"/>
        <w:jc w:val="both"/>
      </w:pPr>
      <w:r w:rsidRPr="00D31530">
        <w:t>Set IV-113 provides as follows:</w:t>
      </w:r>
    </w:p>
    <w:p w:rsidR="00895EF9" w:rsidRPr="00D31530" w:rsidRDefault="00895EF9" w:rsidP="00895EF9">
      <w:pPr>
        <w:spacing w:line="360" w:lineRule="auto"/>
        <w:ind w:firstLine="720"/>
        <w:jc w:val="both"/>
      </w:pPr>
    </w:p>
    <w:p w:rsidR="003F0870" w:rsidRPr="00D31530" w:rsidRDefault="003F0870" w:rsidP="003F0870">
      <w:pPr>
        <w:ind w:left="720" w:right="720"/>
        <w:jc w:val="both"/>
      </w:pPr>
      <w:r w:rsidRPr="00D31530">
        <w:t>Identify all documents that support each of the statements identified in requests 102 through 112 above, identifying for each request which documents support the facts alleged.</w:t>
      </w:r>
    </w:p>
    <w:p w:rsidR="003F0870" w:rsidRPr="00D31530" w:rsidRDefault="003F0870" w:rsidP="00895EF9">
      <w:pPr>
        <w:spacing w:line="360" w:lineRule="auto"/>
        <w:ind w:left="720" w:right="720"/>
        <w:jc w:val="both"/>
      </w:pPr>
    </w:p>
    <w:p w:rsidR="003F0870" w:rsidRDefault="00A01A2E" w:rsidP="001F27AF">
      <w:pPr>
        <w:spacing w:line="360" w:lineRule="auto"/>
      </w:pPr>
      <w:r>
        <w:t>As we have previously determined</w:t>
      </w:r>
      <w:r w:rsidR="00B7382B">
        <w:t>,</w:t>
      </w:r>
      <w:r>
        <w:t xml:space="preserve"> such requests seeking information relating to </w:t>
      </w:r>
      <w:r w:rsidR="003F0870" w:rsidRPr="00D31530">
        <w:t>Set IV-106, 110, 111, and 112, are beyond the permissible scope of discovery</w:t>
      </w:r>
      <w:r w:rsidR="001F27AF">
        <w:t>.  Accordingly</w:t>
      </w:r>
      <w:r>
        <w:t xml:space="preserve">, </w:t>
      </w:r>
      <w:r w:rsidR="003F0870" w:rsidRPr="00D31530">
        <w:t>Blue Pilot’s Motion t</w:t>
      </w:r>
      <w:r w:rsidR="003F0870">
        <w:t xml:space="preserve">o Compel Set IV-113 </w:t>
      </w:r>
      <w:r w:rsidR="001F27AF">
        <w:t xml:space="preserve">shall also </w:t>
      </w:r>
      <w:r w:rsidR="003F0870">
        <w:t>be denied</w:t>
      </w:r>
      <w:r w:rsidR="003F0870" w:rsidRPr="00D31530">
        <w:t>.</w:t>
      </w:r>
    </w:p>
    <w:p w:rsidR="00296255" w:rsidRDefault="00296255" w:rsidP="000F045C">
      <w:pPr>
        <w:spacing w:line="360" w:lineRule="auto"/>
        <w:contextualSpacing/>
      </w:pPr>
      <w:r>
        <w:br w:type="page"/>
      </w:r>
    </w:p>
    <w:p w:rsidR="009B4D96" w:rsidRPr="00043E01" w:rsidRDefault="009B4D96" w:rsidP="009B4D96">
      <w:pPr>
        <w:spacing w:line="360" w:lineRule="auto"/>
        <w:jc w:val="center"/>
      </w:pPr>
      <w:r w:rsidRPr="00043E01">
        <w:rPr>
          <w:u w:val="single"/>
        </w:rPr>
        <w:lastRenderedPageBreak/>
        <w:t>ORDER</w:t>
      </w:r>
    </w:p>
    <w:p w:rsidR="009B4D96" w:rsidRDefault="009B4D96" w:rsidP="009B4D96">
      <w:pPr>
        <w:spacing w:line="360" w:lineRule="auto"/>
      </w:pPr>
    </w:p>
    <w:p w:rsidR="00296255" w:rsidRPr="00043E01" w:rsidRDefault="00296255" w:rsidP="009B4D96">
      <w:pPr>
        <w:spacing w:line="360" w:lineRule="auto"/>
      </w:pPr>
    </w:p>
    <w:p w:rsidR="009B4D96" w:rsidRPr="00043E01" w:rsidRDefault="009B4D96" w:rsidP="00296255">
      <w:pPr>
        <w:spacing w:line="360" w:lineRule="auto"/>
        <w:ind w:firstLine="1440"/>
        <w:rPr>
          <w:bCs/>
        </w:rPr>
      </w:pPr>
      <w:r w:rsidRPr="00043E01">
        <w:rPr>
          <w:bCs/>
        </w:rPr>
        <w:t>THEREFORE,</w:t>
      </w:r>
    </w:p>
    <w:p w:rsidR="009B4D96" w:rsidRPr="00043E01" w:rsidRDefault="009B4D96" w:rsidP="00296255">
      <w:pPr>
        <w:spacing w:line="360" w:lineRule="auto"/>
        <w:ind w:firstLine="1440"/>
      </w:pPr>
    </w:p>
    <w:p w:rsidR="009B4D96" w:rsidRPr="00043E01" w:rsidRDefault="009B4D96" w:rsidP="00296255">
      <w:pPr>
        <w:spacing w:line="360" w:lineRule="auto"/>
        <w:ind w:firstLine="1440"/>
        <w:rPr>
          <w:bCs/>
        </w:rPr>
      </w:pPr>
      <w:r w:rsidRPr="00043E01">
        <w:rPr>
          <w:bCs/>
        </w:rPr>
        <w:t>IT IS ORDERED:</w:t>
      </w:r>
    </w:p>
    <w:p w:rsidR="009B4D96" w:rsidRPr="00237FC6" w:rsidRDefault="009B4D96" w:rsidP="00296255">
      <w:pPr>
        <w:spacing w:line="360" w:lineRule="auto"/>
        <w:ind w:firstLine="1440"/>
        <w:rPr>
          <w:bCs/>
        </w:rPr>
      </w:pPr>
    </w:p>
    <w:p w:rsidR="00237FC6" w:rsidRPr="00237FC6" w:rsidRDefault="009B4D96" w:rsidP="00296255">
      <w:pPr>
        <w:numPr>
          <w:ilvl w:val="0"/>
          <w:numId w:val="11"/>
        </w:numPr>
        <w:spacing w:line="360" w:lineRule="auto"/>
        <w:ind w:left="0" w:firstLine="1440"/>
      </w:pPr>
      <w:r w:rsidRPr="00237FC6">
        <w:t>Tha</w:t>
      </w:r>
      <w:r w:rsidR="00237FC6" w:rsidRPr="00237FC6">
        <w:t xml:space="preserve">t the Motion of </w:t>
      </w:r>
      <w:r w:rsidR="002018E6">
        <w:t xml:space="preserve">Blue Pilot Energy, LLC </w:t>
      </w:r>
      <w:r w:rsidR="00237FC6" w:rsidRPr="00237FC6">
        <w:t xml:space="preserve">to Compel Responses to Set </w:t>
      </w:r>
      <w:r w:rsidR="002018E6">
        <w:t>I</w:t>
      </w:r>
      <w:r w:rsidR="00237FC6" w:rsidRPr="00237FC6">
        <w:t xml:space="preserve">V filed at Docket No. C-2014-2427655 is hereby </w:t>
      </w:r>
      <w:r w:rsidR="004B46D4">
        <w:t xml:space="preserve">granted in part and </w:t>
      </w:r>
      <w:r w:rsidR="002018E6">
        <w:t>denied</w:t>
      </w:r>
      <w:r w:rsidR="004B46D4">
        <w:t xml:space="preserve"> in part</w:t>
      </w:r>
      <w:r w:rsidR="00237FC6" w:rsidRPr="00237FC6">
        <w:t>.</w:t>
      </w:r>
    </w:p>
    <w:p w:rsidR="00237FC6" w:rsidRPr="00237FC6" w:rsidRDefault="00237FC6" w:rsidP="00296255">
      <w:pPr>
        <w:spacing w:line="360" w:lineRule="auto"/>
      </w:pPr>
    </w:p>
    <w:p w:rsidR="00237FC6" w:rsidRPr="00237FC6" w:rsidRDefault="00237FC6" w:rsidP="00296255">
      <w:pPr>
        <w:numPr>
          <w:ilvl w:val="0"/>
          <w:numId w:val="11"/>
        </w:numPr>
        <w:spacing w:line="360" w:lineRule="auto"/>
        <w:ind w:left="0" w:firstLine="1440"/>
      </w:pPr>
      <w:r>
        <w:t>That the objection</w:t>
      </w:r>
      <w:r w:rsidR="00880A21">
        <w:t>s</w:t>
      </w:r>
      <w:r>
        <w:t xml:space="preserve"> of </w:t>
      </w:r>
      <w:r w:rsidR="002018E6">
        <w:t xml:space="preserve">Joint Complainants </w:t>
      </w:r>
      <w:r>
        <w:t xml:space="preserve">to </w:t>
      </w:r>
      <w:r w:rsidR="001F27AF">
        <w:t>I</w:t>
      </w:r>
      <w:r>
        <w:t xml:space="preserve">nterrogatories </w:t>
      </w:r>
      <w:r w:rsidR="001F27AF">
        <w:t xml:space="preserve">Set </w:t>
      </w:r>
      <w:r w:rsidR="002018E6">
        <w:t>I</w:t>
      </w:r>
      <w:r>
        <w:t>V</w:t>
      </w:r>
      <w:r w:rsidR="002018E6">
        <w:t xml:space="preserve"> </w:t>
      </w:r>
      <w:r>
        <w:t>a</w:t>
      </w:r>
      <w:r w:rsidR="00880A21">
        <w:t xml:space="preserve">re </w:t>
      </w:r>
      <w:r w:rsidR="002018E6">
        <w:t>sustained</w:t>
      </w:r>
      <w:r w:rsidR="004B46D4">
        <w:t xml:space="preserve"> in part and denied in part</w:t>
      </w:r>
      <w:r w:rsidR="00880A21">
        <w:t xml:space="preserve">.  </w:t>
      </w:r>
    </w:p>
    <w:p w:rsidR="004B46D4" w:rsidRDefault="004B46D4" w:rsidP="00296255">
      <w:pPr>
        <w:spacing w:line="360" w:lineRule="auto"/>
        <w:ind w:firstLine="1440"/>
      </w:pPr>
    </w:p>
    <w:p w:rsidR="00B7382B" w:rsidRDefault="004B46D4" w:rsidP="00296255">
      <w:pPr>
        <w:spacing w:line="360" w:lineRule="auto"/>
        <w:ind w:firstLine="1440"/>
      </w:pPr>
      <w:r>
        <w:t>3.</w:t>
      </w:r>
      <w:r>
        <w:tab/>
        <w:t xml:space="preserve">That regarding Interrogatories Set IV-106 and IV-112, to the extent Joint Complainants have such information; they are compelled to identify any meetings Joint Complainants held with Blue Pilot customers (excluding those 97 customers </w:t>
      </w:r>
    </w:p>
    <w:p w:rsidR="00B7382B" w:rsidRDefault="00B7382B" w:rsidP="00296255">
      <w:pPr>
        <w:spacing w:line="360" w:lineRule="auto"/>
        <w:ind w:firstLine="1440"/>
      </w:pPr>
    </w:p>
    <w:p w:rsidR="009B4D96" w:rsidRPr="00237FC6" w:rsidRDefault="004B46D4" w:rsidP="00296255">
      <w:pPr>
        <w:spacing w:line="360" w:lineRule="auto"/>
      </w:pPr>
      <w:proofErr w:type="gramStart"/>
      <w:r>
        <w:t>previously</w:t>
      </w:r>
      <w:proofErr w:type="gramEnd"/>
      <w:r>
        <w:t xml:space="preserve"> identified by Joint Complainants) by customer name and date of meeting within ten (10) days of the date of entry of this Order.   </w:t>
      </w:r>
    </w:p>
    <w:p w:rsidR="009B4D96" w:rsidRPr="009B4D96" w:rsidRDefault="009B4D96" w:rsidP="00296255">
      <w:pPr>
        <w:spacing w:line="360" w:lineRule="auto"/>
      </w:pPr>
    </w:p>
    <w:p w:rsidR="009B4D96" w:rsidRPr="009B4D96" w:rsidRDefault="009B4D96" w:rsidP="00296255">
      <w:pPr>
        <w:spacing w:line="360" w:lineRule="auto"/>
      </w:pPr>
    </w:p>
    <w:p w:rsidR="009B4D96" w:rsidRPr="00296255" w:rsidRDefault="009B4D96" w:rsidP="009B4D96">
      <w:pPr>
        <w:rPr>
          <w:u w:val="single"/>
        </w:rPr>
      </w:pPr>
      <w:r w:rsidRPr="009B4D96">
        <w:t xml:space="preserve">Date: </w:t>
      </w:r>
      <w:r w:rsidR="002018E6">
        <w:rPr>
          <w:u w:val="single"/>
        </w:rPr>
        <w:t xml:space="preserve">October </w:t>
      </w:r>
      <w:r w:rsidR="001F27AF">
        <w:rPr>
          <w:u w:val="single"/>
        </w:rPr>
        <w:t>28</w:t>
      </w:r>
      <w:r w:rsidR="002018E6">
        <w:rPr>
          <w:u w:val="single"/>
        </w:rPr>
        <w:t>, 2015</w:t>
      </w:r>
      <w:r w:rsidR="00C35B1F">
        <w:tab/>
      </w:r>
      <w:r w:rsidRPr="009B4D96">
        <w:tab/>
      </w:r>
      <w:r w:rsidR="00296255">
        <w:tab/>
      </w:r>
      <w:r w:rsidR="00296255">
        <w:tab/>
      </w:r>
      <w:r w:rsidR="00296255">
        <w:rPr>
          <w:u w:val="single"/>
        </w:rPr>
        <w:tab/>
      </w:r>
      <w:r w:rsidR="00296255">
        <w:rPr>
          <w:u w:val="single"/>
        </w:rPr>
        <w:tab/>
      </w:r>
      <w:r w:rsidR="00296255">
        <w:rPr>
          <w:u w:val="single"/>
        </w:rPr>
        <w:tab/>
      </w:r>
      <w:r w:rsidR="00296255">
        <w:rPr>
          <w:u w:val="single"/>
        </w:rPr>
        <w:tab/>
      </w:r>
      <w:r w:rsidR="00296255">
        <w:rPr>
          <w:u w:val="single"/>
        </w:rPr>
        <w:tab/>
      </w:r>
    </w:p>
    <w:p w:rsidR="009B4D96" w:rsidRPr="009B4D96" w:rsidRDefault="009B4D96" w:rsidP="009B4D96">
      <w:r w:rsidRPr="009B4D96">
        <w:tab/>
      </w:r>
      <w:r w:rsidRPr="009B4D96">
        <w:tab/>
      </w:r>
      <w:r w:rsidRPr="009B4D96">
        <w:tab/>
      </w:r>
      <w:r w:rsidRPr="009B4D96">
        <w:tab/>
      </w:r>
      <w:r w:rsidRPr="009B4D96">
        <w:tab/>
      </w:r>
      <w:r w:rsidR="00296255">
        <w:tab/>
      </w:r>
      <w:r w:rsidR="00296255">
        <w:tab/>
      </w:r>
      <w:r w:rsidRPr="009B4D96">
        <w:t>Elizabeth Barnes</w:t>
      </w:r>
    </w:p>
    <w:p w:rsidR="009B4D96" w:rsidRPr="009B4D96" w:rsidRDefault="009B4D96" w:rsidP="009B4D96">
      <w:r w:rsidRPr="009B4D96">
        <w:tab/>
      </w:r>
      <w:r w:rsidRPr="009B4D96">
        <w:tab/>
      </w:r>
      <w:r w:rsidRPr="009B4D96">
        <w:tab/>
      </w:r>
      <w:r w:rsidRPr="009B4D96">
        <w:tab/>
      </w:r>
      <w:r w:rsidRPr="009B4D96">
        <w:tab/>
      </w:r>
      <w:r w:rsidR="00296255">
        <w:tab/>
      </w:r>
      <w:r w:rsidR="00296255">
        <w:tab/>
      </w:r>
      <w:r w:rsidRPr="009B4D96">
        <w:t>Administrative Law Judge</w:t>
      </w:r>
    </w:p>
    <w:p w:rsidR="009B4D96" w:rsidRPr="009B4D96" w:rsidRDefault="009B4D96" w:rsidP="00296255">
      <w:pPr>
        <w:spacing w:line="360" w:lineRule="auto"/>
        <w:rPr>
          <w:u w:val="single"/>
        </w:rPr>
      </w:pPr>
    </w:p>
    <w:p w:rsidR="009B4D96" w:rsidRPr="009B4D96" w:rsidRDefault="009B4D96" w:rsidP="00296255">
      <w:pPr>
        <w:spacing w:line="360" w:lineRule="auto"/>
        <w:rPr>
          <w:u w:val="single"/>
        </w:rPr>
      </w:pPr>
    </w:p>
    <w:p w:rsidR="009B4D96" w:rsidRPr="00296255" w:rsidRDefault="009B4D96" w:rsidP="009B4D96">
      <w:pPr>
        <w:rPr>
          <w:u w:val="single"/>
        </w:rPr>
      </w:pPr>
      <w:r w:rsidRPr="009B4D96">
        <w:tab/>
      </w:r>
      <w:r w:rsidRPr="009B4D96">
        <w:tab/>
      </w:r>
      <w:r w:rsidRPr="009B4D96">
        <w:tab/>
      </w:r>
      <w:r w:rsidRPr="009B4D96">
        <w:tab/>
      </w:r>
      <w:r w:rsidRPr="009B4D96">
        <w:tab/>
      </w:r>
      <w:r w:rsidR="00296255">
        <w:tab/>
      </w:r>
      <w:r w:rsidR="00296255">
        <w:tab/>
      </w:r>
      <w:r w:rsidR="00296255">
        <w:rPr>
          <w:u w:val="single"/>
        </w:rPr>
        <w:tab/>
      </w:r>
      <w:r w:rsidR="00296255">
        <w:rPr>
          <w:u w:val="single"/>
        </w:rPr>
        <w:tab/>
      </w:r>
      <w:r w:rsidR="00296255">
        <w:rPr>
          <w:u w:val="single"/>
        </w:rPr>
        <w:tab/>
      </w:r>
      <w:r w:rsidR="00296255">
        <w:rPr>
          <w:u w:val="single"/>
        </w:rPr>
        <w:tab/>
      </w:r>
      <w:r w:rsidR="00296255">
        <w:rPr>
          <w:u w:val="single"/>
        </w:rPr>
        <w:tab/>
      </w:r>
    </w:p>
    <w:p w:rsidR="009B4D96" w:rsidRPr="009B4D96" w:rsidRDefault="009B4D96" w:rsidP="009B4D96">
      <w:r w:rsidRPr="009B4D96">
        <w:tab/>
      </w:r>
      <w:r w:rsidRPr="009B4D96">
        <w:tab/>
      </w:r>
      <w:r w:rsidRPr="009B4D96">
        <w:tab/>
      </w:r>
      <w:r w:rsidRPr="009B4D96">
        <w:tab/>
      </w:r>
      <w:r w:rsidRPr="009B4D96">
        <w:tab/>
      </w:r>
      <w:r w:rsidR="00296255">
        <w:tab/>
      </w:r>
      <w:r w:rsidR="00296255">
        <w:tab/>
      </w:r>
      <w:r w:rsidRPr="009B4D96">
        <w:t xml:space="preserve">Joel H. Cheskis </w:t>
      </w:r>
    </w:p>
    <w:p w:rsidR="00EC2818" w:rsidRDefault="009B4D96" w:rsidP="002018E6">
      <w:pPr>
        <w:sectPr w:rsidR="00EC2818" w:rsidSect="00713D64">
          <w:footerReference w:type="default" r:id="rId9"/>
          <w:pgSz w:w="12240" w:h="15840"/>
          <w:pgMar w:top="1440" w:right="1800" w:bottom="1440" w:left="1800" w:header="720" w:footer="720" w:gutter="0"/>
          <w:cols w:space="720"/>
          <w:titlePg/>
        </w:sectPr>
      </w:pPr>
      <w:r w:rsidRPr="009B4D96">
        <w:tab/>
      </w:r>
      <w:r w:rsidRPr="009B4D96">
        <w:tab/>
      </w:r>
      <w:r w:rsidRPr="009B4D96">
        <w:tab/>
      </w:r>
      <w:r w:rsidRPr="009B4D96">
        <w:tab/>
      </w:r>
      <w:r w:rsidRPr="009B4D96">
        <w:tab/>
      </w:r>
      <w:r w:rsidR="00296255">
        <w:tab/>
      </w:r>
      <w:r w:rsidR="00296255">
        <w:tab/>
      </w:r>
      <w:r w:rsidRPr="009B4D96">
        <w:t>Administrative Law Judge</w:t>
      </w:r>
    </w:p>
    <w:p w:rsidR="00EC2818" w:rsidRPr="00666424" w:rsidRDefault="00EC2818" w:rsidP="00EC2818">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EC2818" w:rsidRPr="00666424" w:rsidRDefault="00EC2818" w:rsidP="00EC2818">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EC2818" w:rsidRDefault="00EC2818" w:rsidP="00EC2818">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EC2818" w:rsidRPr="00666424" w:rsidRDefault="00EC2818" w:rsidP="00EC2818">
      <w:pPr>
        <w:rPr>
          <w:rFonts w:ascii="Microsoft Sans Serif" w:hAnsi="Microsoft Sans Serif" w:cs="Microsoft Sans Serif"/>
          <w:b/>
          <w:i/>
          <w:u w:val="single"/>
        </w:rPr>
      </w:pPr>
    </w:p>
    <w:p w:rsidR="00EC2818" w:rsidRPr="00666424" w:rsidRDefault="00EC2818" w:rsidP="00EC2818">
      <w:pPr>
        <w:rPr>
          <w:rFonts w:ascii="Microsoft Sans Serif" w:hAnsi="Microsoft Sans Serif" w:cs="Microsoft Sans Serif"/>
          <w:b/>
          <w:i/>
          <w:u w:val="single"/>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bookmarkStart w:id="3" w:name="_GoBack"/>
      <w:bookmarkEnd w:id="3"/>
    </w:p>
    <w:p w:rsidR="00EC2818" w:rsidRPr="00666424" w:rsidRDefault="00EC2818" w:rsidP="00EC2818">
      <w:pPr>
        <w:rPr>
          <w:rFonts w:ascii="Microsoft Sans Serif" w:hAnsi="Microsoft Sans Serif" w:cs="Microsoft Sans Serif"/>
        </w:rPr>
      </w:pPr>
    </w:p>
    <w:p w:rsidR="00EC2818" w:rsidRDefault="00EC2818" w:rsidP="00EC2818">
      <w:pPr>
        <w:rPr>
          <w:rFonts w:ascii="Microsoft Sans Serif" w:hAnsi="Microsoft Sans Serif" w:cs="Microsoft Sans Serif"/>
        </w:rPr>
      </w:pPr>
      <w:r w:rsidRPr="00666424">
        <w:rPr>
          <w:rFonts w:ascii="Microsoft Sans Serif" w:hAnsi="Microsoft Sans Serif" w:cs="Microsoft Sans Serif"/>
        </w:rPr>
        <w:t>STEPHANIE WIMER ESQUIRE</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PA PUC LAW BUREAU</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PO BOX 3265</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HARRISBURG PA  17105-3265</w:t>
      </w:r>
    </w:p>
    <w:p w:rsidR="00EC2818" w:rsidRPr="00666424" w:rsidRDefault="00EC2818" w:rsidP="00EC2818">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EC2818" w:rsidRDefault="00EC2818" w:rsidP="00EC2818">
      <w:pPr>
        <w:rPr>
          <w:rFonts w:ascii="Microsoft Sans Serif" w:hAnsi="Microsoft Sans Serif" w:cs="Microsoft Sans Serif"/>
        </w:rPr>
      </w:pPr>
    </w:p>
    <w:p w:rsidR="00EC2818" w:rsidRPr="00666424" w:rsidRDefault="00EC2818" w:rsidP="00EC2818">
      <w:pPr>
        <w:rPr>
          <w:rFonts w:ascii="Microsoft Sans Serif" w:hAnsi="Microsoft Sans Serif" w:cs="Microsoft Sans Serif"/>
        </w:rPr>
      </w:pPr>
      <w:r>
        <w:rPr>
          <w:rFonts w:ascii="Microsoft Sans Serif" w:hAnsi="Microsoft Sans Serif" w:cs="Microsoft Sans Serif"/>
        </w:rPr>
        <w:t>MICHAEL L SWINDLER</w:t>
      </w:r>
    </w:p>
    <w:p w:rsidR="00EC2818" w:rsidRPr="00666424" w:rsidRDefault="00EC2818" w:rsidP="00EC2818">
      <w:pPr>
        <w:rPr>
          <w:rFonts w:ascii="Microsoft Sans Serif" w:hAnsi="Microsoft Sans Serif" w:cs="Microsoft Sans Serif"/>
        </w:rPr>
      </w:pPr>
      <w:r>
        <w:rPr>
          <w:rFonts w:ascii="Microsoft Sans Serif" w:hAnsi="Microsoft Sans Serif" w:cs="Microsoft Sans Serif"/>
        </w:rPr>
        <w:t>PA PUC LAW BIE</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PO BOX 3265</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HARRISBURG PA  17105-3265</w:t>
      </w:r>
    </w:p>
    <w:p w:rsidR="00EC2818" w:rsidRDefault="00EC2818" w:rsidP="00EC2818">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EC2818" w:rsidRPr="00666424" w:rsidRDefault="00EC2818" w:rsidP="00EC2818">
      <w:pPr>
        <w:rPr>
          <w:rFonts w:ascii="Microsoft Sans Serif" w:hAnsi="Microsoft Sans Serif" w:cs="Microsoft Sans Serif"/>
        </w:rPr>
      </w:pP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KAREN MOURY ESQUIRE</w:t>
      </w:r>
    </w:p>
    <w:p w:rsidR="00EC2818" w:rsidRPr="00666424" w:rsidRDefault="00EC2818" w:rsidP="00EC2818">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EC2818" w:rsidRPr="00666424" w:rsidRDefault="00EC2818" w:rsidP="00EC2818">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EC2818" w:rsidRPr="00666424" w:rsidRDefault="00EC2818" w:rsidP="00EC2818">
      <w:pPr>
        <w:jc w:val="both"/>
        <w:rPr>
          <w:rFonts w:ascii="Microsoft Sans Serif" w:hAnsi="Microsoft Sans Serif" w:cs="Microsoft Sans Serif"/>
        </w:rPr>
      </w:pPr>
    </w:p>
    <w:p w:rsidR="00EC2818" w:rsidRPr="00666424" w:rsidRDefault="00EC2818" w:rsidP="00EC2818"/>
    <w:p w:rsidR="00444E27" w:rsidRPr="00550B34" w:rsidRDefault="00444E27" w:rsidP="002018E6"/>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FD5" w:rsidRDefault="00560FD5">
      <w:r>
        <w:separator/>
      </w:r>
    </w:p>
  </w:endnote>
  <w:endnote w:type="continuationSeparator" w:id="0">
    <w:p w:rsidR="00560FD5" w:rsidRDefault="0056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296255" w:rsidRDefault="00B806F4">
    <w:pPr>
      <w:pStyle w:val="Footer"/>
      <w:framePr w:wrap="auto" w:vAnchor="text" w:hAnchor="margin" w:xAlign="center" w:y="1"/>
      <w:rPr>
        <w:rStyle w:val="PageNumber"/>
        <w:sz w:val="20"/>
        <w:szCs w:val="20"/>
      </w:rPr>
    </w:pPr>
    <w:r w:rsidRPr="00296255">
      <w:rPr>
        <w:rStyle w:val="PageNumber"/>
        <w:sz w:val="20"/>
        <w:szCs w:val="20"/>
      </w:rPr>
      <w:fldChar w:fldCharType="begin"/>
    </w:r>
    <w:r w:rsidR="006D33B5" w:rsidRPr="00296255">
      <w:rPr>
        <w:rStyle w:val="PageNumber"/>
        <w:sz w:val="20"/>
        <w:szCs w:val="20"/>
      </w:rPr>
      <w:instrText xml:space="preserve">PAGE  </w:instrText>
    </w:r>
    <w:r w:rsidRPr="00296255">
      <w:rPr>
        <w:rStyle w:val="PageNumber"/>
        <w:sz w:val="20"/>
        <w:szCs w:val="20"/>
      </w:rPr>
      <w:fldChar w:fldCharType="separate"/>
    </w:r>
    <w:r w:rsidR="00EC2818">
      <w:rPr>
        <w:rStyle w:val="PageNumber"/>
        <w:noProof/>
        <w:sz w:val="20"/>
        <w:szCs w:val="20"/>
      </w:rPr>
      <w:t>8</w:t>
    </w:r>
    <w:r w:rsidRPr="00296255">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18" w:rsidRPr="003C02CC" w:rsidRDefault="00EC281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FD5" w:rsidRDefault="00560FD5">
      <w:r>
        <w:separator/>
      </w:r>
    </w:p>
  </w:footnote>
  <w:footnote w:type="continuationSeparator" w:id="0">
    <w:p w:rsidR="00560FD5" w:rsidRDefault="00560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041D5"/>
    <w:multiLevelType w:val="hybridMultilevel"/>
    <w:tmpl w:val="A092ACB0"/>
    <w:lvl w:ilvl="0" w:tplc="6BAAE4AE">
      <w:start w:val="1"/>
      <w:numFmt w:val="decimal"/>
      <w:lvlText w:val="%1."/>
      <w:lvlJc w:val="left"/>
      <w:pPr>
        <w:ind w:left="2160" w:hanging="1440"/>
      </w:pPr>
    </w:lvl>
    <w:lvl w:ilvl="1" w:tplc="8FFE675E">
      <w:start w:val="1"/>
      <w:numFmt w:val="lowerLetter"/>
      <w:lvlText w:val="%2."/>
      <w:lvlJc w:val="left"/>
      <w:pPr>
        <w:ind w:left="1800" w:hanging="360"/>
      </w:pPr>
    </w:lvl>
    <w:lvl w:ilvl="2" w:tplc="D940FB9A">
      <w:start w:val="1"/>
      <w:numFmt w:val="lowerRoman"/>
      <w:lvlText w:val="%3."/>
      <w:lvlJc w:val="right"/>
      <w:pPr>
        <w:ind w:left="2520" w:hanging="180"/>
      </w:pPr>
    </w:lvl>
    <w:lvl w:ilvl="3" w:tplc="0E86859C">
      <w:start w:val="1"/>
      <w:numFmt w:val="decimal"/>
      <w:lvlText w:val="%4."/>
      <w:lvlJc w:val="left"/>
      <w:pPr>
        <w:ind w:left="3240" w:hanging="360"/>
      </w:pPr>
    </w:lvl>
    <w:lvl w:ilvl="4" w:tplc="26644294">
      <w:start w:val="1"/>
      <w:numFmt w:val="lowerLetter"/>
      <w:lvlText w:val="%5."/>
      <w:lvlJc w:val="left"/>
      <w:pPr>
        <w:ind w:left="3960" w:hanging="360"/>
      </w:pPr>
    </w:lvl>
    <w:lvl w:ilvl="5" w:tplc="A2B447C8">
      <w:start w:val="1"/>
      <w:numFmt w:val="lowerRoman"/>
      <w:lvlText w:val="%6."/>
      <w:lvlJc w:val="right"/>
      <w:pPr>
        <w:ind w:left="4680" w:hanging="180"/>
      </w:pPr>
    </w:lvl>
    <w:lvl w:ilvl="6" w:tplc="3A588F06">
      <w:start w:val="1"/>
      <w:numFmt w:val="decimal"/>
      <w:lvlText w:val="%7."/>
      <w:lvlJc w:val="left"/>
      <w:pPr>
        <w:ind w:left="5400" w:hanging="360"/>
      </w:pPr>
    </w:lvl>
    <w:lvl w:ilvl="7" w:tplc="7C126336">
      <w:start w:val="1"/>
      <w:numFmt w:val="lowerLetter"/>
      <w:lvlText w:val="%8."/>
      <w:lvlJc w:val="left"/>
      <w:pPr>
        <w:ind w:left="6120" w:hanging="360"/>
      </w:pPr>
    </w:lvl>
    <w:lvl w:ilvl="8" w:tplc="6C4872D0">
      <w:start w:val="1"/>
      <w:numFmt w:val="lowerRoman"/>
      <w:lvlText w:val="%9."/>
      <w:lvlJc w:val="right"/>
      <w:pPr>
        <w:ind w:left="6840" w:hanging="180"/>
      </w:pPr>
    </w:lvl>
  </w:abstractNum>
  <w:abstractNum w:abstractNumId="3">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20733D"/>
    <w:multiLevelType w:val="hybridMultilevel"/>
    <w:tmpl w:val="134CBD84"/>
    <w:lvl w:ilvl="0" w:tplc="68DACD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5"/>
  </w:num>
  <w:num w:numId="4">
    <w:abstractNumId w:val="24"/>
  </w:num>
  <w:num w:numId="5">
    <w:abstractNumId w:val="7"/>
  </w:num>
  <w:num w:numId="6">
    <w:abstractNumId w:val="27"/>
  </w:num>
  <w:num w:numId="7">
    <w:abstractNumId w:val="4"/>
  </w:num>
  <w:num w:numId="8">
    <w:abstractNumId w:val="18"/>
  </w:num>
  <w:num w:numId="9">
    <w:abstractNumId w:val="13"/>
  </w:num>
  <w:num w:numId="10">
    <w:abstractNumId w:val="26"/>
  </w:num>
  <w:num w:numId="11">
    <w:abstractNumId w:val="21"/>
  </w:num>
  <w:num w:numId="12">
    <w:abstractNumId w:val="11"/>
  </w:num>
  <w:num w:numId="13">
    <w:abstractNumId w:val="20"/>
  </w:num>
  <w:num w:numId="14">
    <w:abstractNumId w:val="1"/>
  </w:num>
  <w:num w:numId="15">
    <w:abstractNumId w:val="22"/>
  </w:num>
  <w:num w:numId="16">
    <w:abstractNumId w:val="16"/>
  </w:num>
  <w:num w:numId="17">
    <w:abstractNumId w:val="17"/>
  </w:num>
  <w:num w:numId="18">
    <w:abstractNumId w:val="10"/>
  </w:num>
  <w:num w:numId="19">
    <w:abstractNumId w:val="19"/>
  </w:num>
  <w:num w:numId="20">
    <w:abstractNumId w:val="6"/>
  </w:num>
  <w:num w:numId="21">
    <w:abstractNumId w:val="25"/>
  </w:num>
  <w:num w:numId="22">
    <w:abstractNumId w:val="23"/>
  </w:num>
  <w:num w:numId="23">
    <w:abstractNumId w:val="0"/>
    <w:lvlOverride w:ilvl="0">
      <w:startOverride w:val="1"/>
    </w:lvlOverride>
  </w:num>
  <w:num w:numId="24">
    <w:abstractNumId w:val="3"/>
  </w:num>
  <w:num w:numId="25">
    <w:abstractNumId w:val="8"/>
  </w:num>
  <w:num w:numId="26">
    <w:abstractNumId w:val="1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27A06"/>
    <w:rsid w:val="00031CED"/>
    <w:rsid w:val="00033858"/>
    <w:rsid w:val="00037E8B"/>
    <w:rsid w:val="00040542"/>
    <w:rsid w:val="00042407"/>
    <w:rsid w:val="0004254C"/>
    <w:rsid w:val="00043E01"/>
    <w:rsid w:val="000447F9"/>
    <w:rsid w:val="00050489"/>
    <w:rsid w:val="00050AF1"/>
    <w:rsid w:val="00054540"/>
    <w:rsid w:val="00054A10"/>
    <w:rsid w:val="00055FCB"/>
    <w:rsid w:val="00060BB1"/>
    <w:rsid w:val="00063F87"/>
    <w:rsid w:val="00073240"/>
    <w:rsid w:val="00075A4C"/>
    <w:rsid w:val="00080140"/>
    <w:rsid w:val="00080E54"/>
    <w:rsid w:val="000813BA"/>
    <w:rsid w:val="00081A6A"/>
    <w:rsid w:val="0008508F"/>
    <w:rsid w:val="000851FC"/>
    <w:rsid w:val="000878EC"/>
    <w:rsid w:val="00090BB2"/>
    <w:rsid w:val="000A1610"/>
    <w:rsid w:val="000B2BD1"/>
    <w:rsid w:val="000B46D9"/>
    <w:rsid w:val="000B6D6C"/>
    <w:rsid w:val="000C3A73"/>
    <w:rsid w:val="000C5271"/>
    <w:rsid w:val="000C541F"/>
    <w:rsid w:val="000C5888"/>
    <w:rsid w:val="000D2CCA"/>
    <w:rsid w:val="000D35D3"/>
    <w:rsid w:val="000D4032"/>
    <w:rsid w:val="000D67B4"/>
    <w:rsid w:val="000D6D75"/>
    <w:rsid w:val="000E0FEF"/>
    <w:rsid w:val="000E6B3B"/>
    <w:rsid w:val="000F045C"/>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27AF"/>
    <w:rsid w:val="001F3D60"/>
    <w:rsid w:val="001F59C0"/>
    <w:rsid w:val="0020025C"/>
    <w:rsid w:val="002018E6"/>
    <w:rsid w:val="00201F77"/>
    <w:rsid w:val="002026C5"/>
    <w:rsid w:val="00204013"/>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55392"/>
    <w:rsid w:val="0026329B"/>
    <w:rsid w:val="00266583"/>
    <w:rsid w:val="00266DCB"/>
    <w:rsid w:val="0027269F"/>
    <w:rsid w:val="00276158"/>
    <w:rsid w:val="00280081"/>
    <w:rsid w:val="002825EF"/>
    <w:rsid w:val="002860B7"/>
    <w:rsid w:val="002872AD"/>
    <w:rsid w:val="00291D9A"/>
    <w:rsid w:val="00292AB7"/>
    <w:rsid w:val="00296255"/>
    <w:rsid w:val="002967E5"/>
    <w:rsid w:val="002A340F"/>
    <w:rsid w:val="002A5F90"/>
    <w:rsid w:val="002A6146"/>
    <w:rsid w:val="002A6540"/>
    <w:rsid w:val="002B04F4"/>
    <w:rsid w:val="002B1DB7"/>
    <w:rsid w:val="002B5A65"/>
    <w:rsid w:val="002B60D8"/>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31FC"/>
    <w:rsid w:val="003D419D"/>
    <w:rsid w:val="003E04E8"/>
    <w:rsid w:val="003E3839"/>
    <w:rsid w:val="003E44F8"/>
    <w:rsid w:val="003F0870"/>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A7614"/>
    <w:rsid w:val="004B12AD"/>
    <w:rsid w:val="004B155F"/>
    <w:rsid w:val="004B3128"/>
    <w:rsid w:val="004B46D4"/>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6493"/>
    <w:rsid w:val="005173E3"/>
    <w:rsid w:val="0052063B"/>
    <w:rsid w:val="00522D71"/>
    <w:rsid w:val="00526B7E"/>
    <w:rsid w:val="0053143A"/>
    <w:rsid w:val="00531C6A"/>
    <w:rsid w:val="0053303C"/>
    <w:rsid w:val="0053542E"/>
    <w:rsid w:val="00535728"/>
    <w:rsid w:val="00535B47"/>
    <w:rsid w:val="005371B7"/>
    <w:rsid w:val="00541FA5"/>
    <w:rsid w:val="00546F91"/>
    <w:rsid w:val="00550B34"/>
    <w:rsid w:val="005534AB"/>
    <w:rsid w:val="00554E48"/>
    <w:rsid w:val="00555AB2"/>
    <w:rsid w:val="0056090B"/>
    <w:rsid w:val="00560FD5"/>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42DD"/>
    <w:rsid w:val="005C7120"/>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518E"/>
    <w:rsid w:val="00676110"/>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09E"/>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66A42"/>
    <w:rsid w:val="00771201"/>
    <w:rsid w:val="00774975"/>
    <w:rsid w:val="00777F03"/>
    <w:rsid w:val="00780958"/>
    <w:rsid w:val="00783F05"/>
    <w:rsid w:val="00784AE9"/>
    <w:rsid w:val="007876C7"/>
    <w:rsid w:val="00787F5D"/>
    <w:rsid w:val="007945B3"/>
    <w:rsid w:val="007A4FFB"/>
    <w:rsid w:val="007A5F66"/>
    <w:rsid w:val="007B135C"/>
    <w:rsid w:val="007B19DA"/>
    <w:rsid w:val="007B2C93"/>
    <w:rsid w:val="007B76C4"/>
    <w:rsid w:val="007C4E77"/>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5EF9"/>
    <w:rsid w:val="008965ED"/>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5EA9"/>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7DAC"/>
    <w:rsid w:val="009E13E3"/>
    <w:rsid w:val="009E1824"/>
    <w:rsid w:val="009E2517"/>
    <w:rsid w:val="009E69D3"/>
    <w:rsid w:val="009F01F6"/>
    <w:rsid w:val="009F0C50"/>
    <w:rsid w:val="009F3DEF"/>
    <w:rsid w:val="009F421F"/>
    <w:rsid w:val="009F57DD"/>
    <w:rsid w:val="009F6BF1"/>
    <w:rsid w:val="00A004FE"/>
    <w:rsid w:val="00A01A2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661CC"/>
    <w:rsid w:val="00A66614"/>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3B14"/>
    <w:rsid w:val="00B5499E"/>
    <w:rsid w:val="00B54E34"/>
    <w:rsid w:val="00B606E5"/>
    <w:rsid w:val="00B62154"/>
    <w:rsid w:val="00B6233D"/>
    <w:rsid w:val="00B65A70"/>
    <w:rsid w:val="00B70E1E"/>
    <w:rsid w:val="00B715DC"/>
    <w:rsid w:val="00B73713"/>
    <w:rsid w:val="00B7382B"/>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40C"/>
    <w:rsid w:val="00BC689D"/>
    <w:rsid w:val="00BD2783"/>
    <w:rsid w:val="00BE0854"/>
    <w:rsid w:val="00BE1ED2"/>
    <w:rsid w:val="00BE5F9E"/>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206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2F24"/>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B75DF"/>
    <w:rsid w:val="00DC371F"/>
    <w:rsid w:val="00DC451E"/>
    <w:rsid w:val="00DC5FA1"/>
    <w:rsid w:val="00DC7C98"/>
    <w:rsid w:val="00DD04D4"/>
    <w:rsid w:val="00DD0CE4"/>
    <w:rsid w:val="00DE3721"/>
    <w:rsid w:val="00DF1362"/>
    <w:rsid w:val="00DF1668"/>
    <w:rsid w:val="00DF22B8"/>
    <w:rsid w:val="00DF2742"/>
    <w:rsid w:val="00DF3A9C"/>
    <w:rsid w:val="00DF448C"/>
    <w:rsid w:val="00DF71A5"/>
    <w:rsid w:val="00DF7D8C"/>
    <w:rsid w:val="00E045B5"/>
    <w:rsid w:val="00E061D8"/>
    <w:rsid w:val="00E07EE4"/>
    <w:rsid w:val="00E14245"/>
    <w:rsid w:val="00E14396"/>
    <w:rsid w:val="00E16968"/>
    <w:rsid w:val="00E17942"/>
    <w:rsid w:val="00E20D55"/>
    <w:rsid w:val="00E21F02"/>
    <w:rsid w:val="00E220A8"/>
    <w:rsid w:val="00E22703"/>
    <w:rsid w:val="00E2272C"/>
    <w:rsid w:val="00E24228"/>
    <w:rsid w:val="00E242A8"/>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0EDE"/>
    <w:rsid w:val="00E63F24"/>
    <w:rsid w:val="00E6635F"/>
    <w:rsid w:val="00E70A61"/>
    <w:rsid w:val="00E77251"/>
    <w:rsid w:val="00E8127C"/>
    <w:rsid w:val="00E817EE"/>
    <w:rsid w:val="00E818B6"/>
    <w:rsid w:val="00E83487"/>
    <w:rsid w:val="00E87CF0"/>
    <w:rsid w:val="00E87EDF"/>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18"/>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E79E9"/>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styleId="BodyText">
    <w:name w:val="Body Text"/>
    <w:basedOn w:val="Normal"/>
    <w:link w:val="BodyTextChar"/>
    <w:rsid w:val="003F0870"/>
    <w:pPr>
      <w:spacing w:after="120"/>
    </w:pPr>
  </w:style>
  <w:style w:type="character" w:customStyle="1" w:styleId="BodyTextChar">
    <w:name w:val="Body Text Char"/>
    <w:basedOn w:val="DefaultParagraphFont"/>
    <w:link w:val="BodyText"/>
    <w:rsid w:val="003F08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styleId="BodyText">
    <w:name w:val="Body Text"/>
    <w:basedOn w:val="Normal"/>
    <w:link w:val="BodyTextChar"/>
    <w:rsid w:val="003F0870"/>
    <w:pPr>
      <w:spacing w:after="120"/>
    </w:pPr>
  </w:style>
  <w:style w:type="character" w:customStyle="1" w:styleId="BodyTextChar">
    <w:name w:val="Body Text Char"/>
    <w:basedOn w:val="DefaultParagraphFont"/>
    <w:link w:val="BodyText"/>
    <w:rsid w:val="003F0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5A3E-51D6-4296-B38C-28F3639E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2015-10-28T15:38:00Z</cp:lastPrinted>
  <dcterms:created xsi:type="dcterms:W3CDTF">2015-10-28T19:03:00Z</dcterms:created>
  <dcterms:modified xsi:type="dcterms:W3CDTF">2015-10-28T19:09:00Z</dcterms:modified>
</cp:coreProperties>
</file>