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C0" w:rsidRDefault="009765C0" w:rsidP="009765C0">
      <w:pPr>
        <w:pStyle w:val="Title"/>
        <w:tabs>
          <w:tab w:val="clear" w:pos="360"/>
          <w:tab w:val="left" w:pos="0"/>
        </w:tabs>
      </w:pPr>
      <w:r>
        <w:t>BEFORE THE</w:t>
      </w:r>
    </w:p>
    <w:p w:rsidR="009765C0" w:rsidRDefault="009765C0" w:rsidP="009765C0">
      <w:pPr>
        <w:tabs>
          <w:tab w:val="left" w:pos="0"/>
        </w:tabs>
        <w:spacing w:line="233" w:lineRule="auto"/>
        <w:jc w:val="center"/>
        <w:rPr>
          <w:b/>
        </w:rPr>
      </w:pPr>
      <w:r>
        <w:rPr>
          <w:b/>
        </w:rPr>
        <w:t>PENNSYLVANIA PUBLIC UTILITY COMMISSION</w:t>
      </w:r>
    </w:p>
    <w:p w:rsidR="009765C0" w:rsidRDefault="009765C0" w:rsidP="00525E7D">
      <w:pPr>
        <w:tabs>
          <w:tab w:val="left" w:pos="0"/>
        </w:tabs>
        <w:spacing w:line="233" w:lineRule="auto"/>
        <w:jc w:val="both"/>
        <w:rPr>
          <w:b/>
        </w:rPr>
      </w:pPr>
    </w:p>
    <w:p w:rsidR="009765C0" w:rsidRDefault="009765C0" w:rsidP="00A837F7">
      <w:pPr>
        <w:tabs>
          <w:tab w:val="left" w:pos="0"/>
        </w:tabs>
        <w:jc w:val="both"/>
        <w:rPr>
          <w:b/>
        </w:rPr>
      </w:pPr>
    </w:p>
    <w:p w:rsidR="009765C0" w:rsidRDefault="009765C0" w:rsidP="00A837F7">
      <w:pPr>
        <w:tabs>
          <w:tab w:val="left" w:pos="0"/>
        </w:tabs>
        <w:jc w:val="both"/>
        <w:rPr>
          <w:b/>
        </w:rPr>
      </w:pPr>
    </w:p>
    <w:p w:rsidR="009765C0" w:rsidRDefault="003C0808" w:rsidP="00525E7D">
      <w:pPr>
        <w:tabs>
          <w:tab w:val="left" w:pos="0"/>
        </w:tabs>
        <w:spacing w:line="233" w:lineRule="auto"/>
        <w:jc w:val="both"/>
        <w:rPr>
          <w:b/>
        </w:rPr>
      </w:pPr>
      <w:r>
        <w:t xml:space="preserve">Beth </w:t>
      </w:r>
      <w:proofErr w:type="spellStart"/>
      <w:r>
        <w:t>Trivelpiece</w:t>
      </w:r>
      <w:proofErr w:type="spellEnd"/>
      <w:r w:rsidR="009765C0">
        <w:tab/>
      </w:r>
      <w:r w:rsidR="009765C0">
        <w:tab/>
      </w:r>
      <w:r w:rsidR="009765C0">
        <w:tab/>
      </w:r>
      <w:r w:rsidR="009765C0">
        <w:tab/>
      </w:r>
      <w:r w:rsidR="009765C0">
        <w:tab/>
      </w:r>
      <w:r w:rsidR="009765C0" w:rsidRPr="00560DC5">
        <w:t>:</w:t>
      </w:r>
    </w:p>
    <w:p w:rsidR="009765C0" w:rsidRPr="00560DC5" w:rsidRDefault="009765C0" w:rsidP="00525E7D">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9765C0" w:rsidRPr="003B279A" w:rsidRDefault="009765C0" w:rsidP="00A837F7">
      <w:pPr>
        <w:tabs>
          <w:tab w:val="left" w:pos="0"/>
        </w:tabs>
        <w:jc w:val="both"/>
      </w:pPr>
      <w:r>
        <w:tab/>
        <w:t>v.</w:t>
      </w:r>
      <w:r>
        <w:tab/>
      </w:r>
      <w:r>
        <w:tab/>
      </w:r>
      <w:r>
        <w:tab/>
      </w:r>
      <w:r>
        <w:tab/>
      </w:r>
      <w:r>
        <w:tab/>
      </w:r>
      <w:r>
        <w:tab/>
      </w:r>
      <w:r w:rsidRPr="00560DC5">
        <w:t>:</w:t>
      </w:r>
      <w:r>
        <w:rPr>
          <w:b/>
        </w:rPr>
        <w:tab/>
      </w:r>
      <w:r>
        <w:rPr>
          <w:b/>
        </w:rPr>
        <w:tab/>
      </w:r>
      <w:r w:rsidR="001249E3" w:rsidRPr="001249E3">
        <w:t>C</w:t>
      </w:r>
      <w:r w:rsidRPr="003B279A">
        <w:t>-20</w:t>
      </w:r>
      <w:r>
        <w:t>1</w:t>
      </w:r>
      <w:r w:rsidR="005F7B45">
        <w:t>5</w:t>
      </w:r>
      <w:r w:rsidRPr="003B279A">
        <w:t>-</w:t>
      </w:r>
      <w:r>
        <w:t>2</w:t>
      </w:r>
      <w:r w:rsidR="00B23223">
        <w:t>4</w:t>
      </w:r>
      <w:r w:rsidR="00356B8D">
        <w:t>6</w:t>
      </w:r>
      <w:r w:rsidR="003C0808">
        <w:t>2644</w:t>
      </w:r>
    </w:p>
    <w:p w:rsidR="009765C0" w:rsidRPr="00560DC5" w:rsidRDefault="009765C0" w:rsidP="00A837F7">
      <w:pPr>
        <w:tabs>
          <w:tab w:val="left" w:pos="0"/>
        </w:tabs>
        <w:jc w:val="both"/>
      </w:pPr>
      <w:r>
        <w:tab/>
      </w:r>
      <w:r>
        <w:tab/>
      </w:r>
      <w:r>
        <w:tab/>
      </w:r>
      <w:r>
        <w:tab/>
      </w:r>
      <w:r>
        <w:tab/>
      </w:r>
      <w:r>
        <w:tab/>
      </w:r>
      <w:r>
        <w:tab/>
      </w:r>
      <w:r w:rsidRPr="00560DC5">
        <w:t>:</w:t>
      </w:r>
    </w:p>
    <w:p w:rsidR="009765C0" w:rsidRDefault="003C0808" w:rsidP="00A837F7">
      <w:pPr>
        <w:tabs>
          <w:tab w:val="left" w:pos="0"/>
        </w:tabs>
        <w:jc w:val="both"/>
      </w:pPr>
      <w:r>
        <w:t xml:space="preserve">PECO Energy </w:t>
      </w:r>
      <w:r w:rsidR="009765C0">
        <w:t>Company</w:t>
      </w:r>
      <w:r w:rsidR="005F7B45">
        <w:tab/>
      </w:r>
      <w:r w:rsidR="009765C0">
        <w:tab/>
      </w:r>
      <w:r w:rsidR="009765C0">
        <w:tab/>
      </w:r>
      <w:r w:rsidR="009765C0">
        <w:tab/>
      </w:r>
      <w:r w:rsidR="009765C0" w:rsidRPr="00560DC5">
        <w:t>:</w:t>
      </w:r>
    </w:p>
    <w:p w:rsidR="009765C0" w:rsidRDefault="009765C0" w:rsidP="00A837F7">
      <w:pPr>
        <w:tabs>
          <w:tab w:val="left" w:pos="0"/>
        </w:tabs>
        <w:jc w:val="both"/>
      </w:pPr>
      <w:r>
        <w:tab/>
      </w:r>
      <w:r>
        <w:tab/>
      </w:r>
    </w:p>
    <w:p w:rsidR="009765C0" w:rsidRDefault="009765C0" w:rsidP="00A837F7">
      <w:pPr>
        <w:tabs>
          <w:tab w:val="left" w:pos="0"/>
        </w:tabs>
        <w:jc w:val="both"/>
        <w:rPr>
          <w:b/>
        </w:rPr>
      </w:pPr>
    </w:p>
    <w:p w:rsidR="009765C0" w:rsidRDefault="009765C0" w:rsidP="00A837F7">
      <w:pPr>
        <w:tabs>
          <w:tab w:val="left" w:pos="0"/>
        </w:tabs>
        <w:jc w:val="both"/>
        <w:rPr>
          <w:b/>
        </w:rPr>
      </w:pPr>
    </w:p>
    <w:p w:rsidR="009765C0" w:rsidRDefault="009765C0" w:rsidP="007B0E59">
      <w:pPr>
        <w:tabs>
          <w:tab w:val="left" w:pos="0"/>
        </w:tabs>
        <w:spacing w:line="233" w:lineRule="auto"/>
        <w:jc w:val="center"/>
        <w:rPr>
          <w:b/>
          <w:u w:val="single"/>
        </w:rPr>
      </w:pPr>
      <w:r w:rsidRPr="003C0808">
        <w:rPr>
          <w:b/>
          <w:u w:val="single"/>
        </w:rPr>
        <w:t>IN</w:t>
      </w:r>
      <w:r w:rsidR="007B0E59">
        <w:rPr>
          <w:b/>
          <w:u w:val="single"/>
        </w:rPr>
        <w:t>ITIAL DECISION</w:t>
      </w:r>
    </w:p>
    <w:p w:rsidR="009765C0" w:rsidRDefault="009765C0" w:rsidP="00A837F7">
      <w:pPr>
        <w:tabs>
          <w:tab w:val="left" w:pos="0"/>
        </w:tabs>
        <w:jc w:val="both"/>
      </w:pPr>
    </w:p>
    <w:p w:rsidR="007E432C" w:rsidRPr="003434D3" w:rsidRDefault="007E432C" w:rsidP="00A837F7">
      <w:pPr>
        <w:autoSpaceDE w:val="0"/>
        <w:autoSpaceDN w:val="0"/>
        <w:jc w:val="center"/>
        <w:outlineLvl w:val="0"/>
        <w:rPr>
          <w:bCs/>
        </w:rPr>
      </w:pPr>
    </w:p>
    <w:p w:rsidR="007E432C" w:rsidRPr="003434D3" w:rsidRDefault="007E432C" w:rsidP="007E432C">
      <w:pPr>
        <w:autoSpaceDE w:val="0"/>
        <w:autoSpaceDN w:val="0"/>
        <w:jc w:val="center"/>
        <w:outlineLvl w:val="0"/>
        <w:rPr>
          <w:bCs/>
        </w:rPr>
      </w:pPr>
      <w:r w:rsidRPr="003434D3">
        <w:rPr>
          <w:bCs/>
        </w:rPr>
        <w:t>Before</w:t>
      </w:r>
    </w:p>
    <w:p w:rsidR="007E432C" w:rsidRPr="003434D3" w:rsidRDefault="007E432C" w:rsidP="007E432C">
      <w:pPr>
        <w:autoSpaceDE w:val="0"/>
        <w:autoSpaceDN w:val="0"/>
        <w:jc w:val="center"/>
        <w:rPr>
          <w:bCs/>
        </w:rPr>
      </w:pPr>
      <w:r w:rsidRPr="003434D3">
        <w:rPr>
          <w:bCs/>
        </w:rPr>
        <w:t>Conrad A. Johnson</w:t>
      </w:r>
    </w:p>
    <w:p w:rsidR="007E432C" w:rsidRPr="003434D3" w:rsidRDefault="007E432C" w:rsidP="007E432C">
      <w:pPr>
        <w:autoSpaceDE w:val="0"/>
        <w:autoSpaceDN w:val="0"/>
        <w:jc w:val="center"/>
        <w:rPr>
          <w:bCs/>
        </w:rPr>
      </w:pPr>
      <w:r w:rsidRPr="003434D3">
        <w:rPr>
          <w:bCs/>
        </w:rPr>
        <w:t>Administrative Law Judge</w:t>
      </w:r>
    </w:p>
    <w:p w:rsidR="007E432C" w:rsidRPr="003434D3" w:rsidRDefault="007E432C" w:rsidP="007E432C">
      <w:pPr>
        <w:autoSpaceDE w:val="0"/>
        <w:autoSpaceDN w:val="0"/>
        <w:jc w:val="center"/>
        <w:rPr>
          <w:bCs/>
        </w:rPr>
      </w:pPr>
    </w:p>
    <w:p w:rsidR="00317B50" w:rsidRDefault="00317B50" w:rsidP="00A837F7">
      <w:pPr>
        <w:tabs>
          <w:tab w:val="left" w:pos="0"/>
          <w:tab w:val="left" w:pos="1440"/>
        </w:tabs>
        <w:jc w:val="both"/>
        <w:rPr>
          <w:bCs/>
        </w:rPr>
      </w:pPr>
    </w:p>
    <w:p w:rsidR="00317B50" w:rsidRDefault="00317B50" w:rsidP="00CB1E7C">
      <w:pPr>
        <w:tabs>
          <w:tab w:val="left" w:pos="0"/>
        </w:tabs>
        <w:jc w:val="center"/>
        <w:rPr>
          <w:bCs/>
          <w:u w:val="single"/>
        </w:rPr>
      </w:pPr>
      <w:r>
        <w:rPr>
          <w:bCs/>
          <w:u w:val="single"/>
        </w:rPr>
        <w:t>INTRODUCTION</w:t>
      </w:r>
    </w:p>
    <w:p w:rsidR="00317B50" w:rsidRDefault="00317B50" w:rsidP="00CB1E7C">
      <w:pPr>
        <w:tabs>
          <w:tab w:val="left" w:pos="0"/>
        </w:tabs>
        <w:jc w:val="center"/>
        <w:rPr>
          <w:bCs/>
          <w:u w:val="single"/>
        </w:rPr>
      </w:pPr>
    </w:p>
    <w:p w:rsidR="00CB1E7C" w:rsidRPr="00317B50" w:rsidRDefault="00CB1E7C" w:rsidP="00CB1E7C">
      <w:pPr>
        <w:tabs>
          <w:tab w:val="left" w:pos="0"/>
        </w:tabs>
        <w:jc w:val="center"/>
        <w:rPr>
          <w:bCs/>
          <w:u w:val="single"/>
        </w:rPr>
      </w:pPr>
    </w:p>
    <w:p w:rsidR="007E432C" w:rsidRDefault="007E432C" w:rsidP="00A837F7">
      <w:pPr>
        <w:tabs>
          <w:tab w:val="left" w:pos="0"/>
        </w:tabs>
        <w:spacing w:line="360" w:lineRule="auto"/>
      </w:pPr>
      <w:r w:rsidRPr="00E81B3B">
        <w:rPr>
          <w:bCs/>
        </w:rPr>
        <w:tab/>
      </w:r>
      <w:r w:rsidRPr="00E81B3B">
        <w:rPr>
          <w:bCs/>
        </w:rPr>
        <w:tab/>
        <w:t>This decision</w:t>
      </w:r>
      <w:r w:rsidR="00317B50">
        <w:rPr>
          <w:bCs/>
        </w:rPr>
        <w:t xml:space="preserve"> sustains </w:t>
      </w:r>
      <w:r w:rsidR="005F52AB">
        <w:rPr>
          <w:bCs/>
        </w:rPr>
        <w:t>Complainant’s complaint which alleges there are incorrect charges on her bill and avers there are quality problems with her service.</w:t>
      </w:r>
      <w:r w:rsidR="00044A76">
        <w:rPr>
          <w:bCs/>
        </w:rPr>
        <w:t xml:space="preserve"> </w:t>
      </w:r>
      <w:r w:rsidR="005F52AB">
        <w:rPr>
          <w:bCs/>
        </w:rPr>
        <w:t xml:space="preserve"> Additionally, the decision </w:t>
      </w:r>
      <w:r w:rsidR="007E5AA4">
        <w:rPr>
          <w:bCs/>
        </w:rPr>
        <w:t>denies</w:t>
      </w:r>
      <w:r w:rsidR="005F52AB">
        <w:rPr>
          <w:bCs/>
        </w:rPr>
        <w:t xml:space="preserve"> Complainant</w:t>
      </w:r>
      <w:r w:rsidR="007E5AA4">
        <w:rPr>
          <w:bCs/>
        </w:rPr>
        <w:t xml:space="preserve">’s request for </w:t>
      </w:r>
      <w:r w:rsidR="005F52AB">
        <w:rPr>
          <w:bCs/>
        </w:rPr>
        <w:t>a payment arrangement</w:t>
      </w:r>
      <w:r w:rsidR="00090109">
        <w:rPr>
          <w:bCs/>
        </w:rPr>
        <w:t>,</w:t>
      </w:r>
      <w:r w:rsidR="00CA57FF">
        <w:rPr>
          <w:bCs/>
        </w:rPr>
        <w:t xml:space="preserve"> but orders Respondent to recalculate her arrearages.  Also the decision </w:t>
      </w:r>
      <w:r w:rsidR="005F52AB">
        <w:rPr>
          <w:bCs/>
        </w:rPr>
        <w:t xml:space="preserve">assesses penalties against Respondent </w:t>
      </w:r>
      <w:r w:rsidR="00044A76">
        <w:rPr>
          <w:bCs/>
        </w:rPr>
        <w:t xml:space="preserve">for failing to provide </w:t>
      </w:r>
      <w:r w:rsidR="005F52AB">
        <w:rPr>
          <w:bCs/>
        </w:rPr>
        <w:t xml:space="preserve">Complainant </w:t>
      </w:r>
      <w:r w:rsidR="00044A76">
        <w:rPr>
          <w:bCs/>
        </w:rPr>
        <w:t>reasonable service as required by the Public Utility Code</w:t>
      </w:r>
      <w:r w:rsidR="00CA57FF">
        <w:rPr>
          <w:bCs/>
        </w:rPr>
        <w:t xml:space="preserve"> in addition to violating the Commission’s regulations</w:t>
      </w:r>
      <w:r w:rsidR="00044A76">
        <w:rPr>
          <w:bCs/>
        </w:rPr>
        <w:t xml:space="preserve">. </w:t>
      </w:r>
    </w:p>
    <w:p w:rsidR="007E432C" w:rsidRPr="00904297" w:rsidRDefault="007E432C" w:rsidP="00A837F7">
      <w:pPr>
        <w:spacing w:line="360" w:lineRule="auto"/>
      </w:pPr>
    </w:p>
    <w:p w:rsidR="007E432C" w:rsidRPr="00E81B3B" w:rsidRDefault="007E432C" w:rsidP="00A837F7">
      <w:pPr>
        <w:autoSpaceDE w:val="0"/>
        <w:autoSpaceDN w:val="0"/>
        <w:spacing w:line="360" w:lineRule="auto"/>
        <w:jc w:val="center"/>
        <w:outlineLvl w:val="0"/>
        <w:rPr>
          <w:bCs/>
          <w:u w:val="single"/>
        </w:rPr>
      </w:pPr>
      <w:r w:rsidRPr="00E81B3B">
        <w:rPr>
          <w:bCs/>
          <w:u w:val="single"/>
        </w:rPr>
        <w:t>HISTORY OF THE PROCEEDING</w:t>
      </w:r>
    </w:p>
    <w:p w:rsidR="007E432C" w:rsidRPr="00E81B3B" w:rsidRDefault="007E432C" w:rsidP="00A837F7">
      <w:pPr>
        <w:autoSpaceDE w:val="0"/>
        <w:autoSpaceDN w:val="0"/>
        <w:spacing w:line="360" w:lineRule="auto"/>
        <w:jc w:val="center"/>
        <w:rPr>
          <w:bCs/>
        </w:rPr>
      </w:pPr>
    </w:p>
    <w:p w:rsidR="00EF0E97" w:rsidRDefault="007E432C" w:rsidP="00A837F7">
      <w:pPr>
        <w:tabs>
          <w:tab w:val="left" w:pos="0"/>
        </w:tabs>
        <w:autoSpaceDE w:val="0"/>
        <w:autoSpaceDN w:val="0"/>
        <w:spacing w:line="360" w:lineRule="auto"/>
      </w:pPr>
      <w:r w:rsidRPr="00E81B3B">
        <w:tab/>
      </w:r>
      <w:r w:rsidRPr="00E81B3B">
        <w:tab/>
        <w:t xml:space="preserve">On </w:t>
      </w:r>
      <w:r w:rsidR="007B5E2B">
        <w:t>January 14</w:t>
      </w:r>
      <w:r w:rsidRPr="00E81B3B">
        <w:t>, 201</w:t>
      </w:r>
      <w:r w:rsidR="007B5E2B">
        <w:t>5</w:t>
      </w:r>
      <w:r w:rsidRPr="00E81B3B">
        <w:t xml:space="preserve">, Complainant </w:t>
      </w:r>
      <w:r w:rsidR="007B5E2B">
        <w:t xml:space="preserve">Beth </w:t>
      </w:r>
      <w:proofErr w:type="spellStart"/>
      <w:r w:rsidR="007B5E2B">
        <w:t>Trivelpiece</w:t>
      </w:r>
      <w:proofErr w:type="spellEnd"/>
      <w:r w:rsidRPr="00E81B3B">
        <w:t>, (Complainant or M</w:t>
      </w:r>
      <w:r w:rsidR="007B5E2B">
        <w:t>s</w:t>
      </w:r>
      <w:r w:rsidRPr="00E81B3B">
        <w:t>. </w:t>
      </w:r>
      <w:proofErr w:type="spellStart"/>
      <w:r w:rsidR="007B5E2B">
        <w:t>Trivelpiece</w:t>
      </w:r>
      <w:proofErr w:type="spellEnd"/>
      <w:r w:rsidRPr="00E81B3B">
        <w:t xml:space="preserve">) filed a complaint with the Pennsylvania Public Utility Commission (Commission) against </w:t>
      </w:r>
      <w:r w:rsidR="007B5E2B">
        <w:t>P</w:t>
      </w:r>
      <w:r w:rsidR="00382B05">
        <w:t>ECO</w:t>
      </w:r>
      <w:r w:rsidR="007B5E2B">
        <w:t xml:space="preserve"> Energy C</w:t>
      </w:r>
      <w:r w:rsidRPr="00E81B3B">
        <w:t xml:space="preserve">ompany (Respondent or </w:t>
      </w:r>
      <w:r w:rsidR="007B5E2B">
        <w:t>PECO</w:t>
      </w:r>
      <w:r w:rsidRPr="00E81B3B">
        <w:t xml:space="preserve"> or Company).  M</w:t>
      </w:r>
      <w:r w:rsidR="007B5E2B">
        <w:t>s</w:t>
      </w:r>
      <w:r w:rsidRPr="00E81B3B">
        <w:t>.</w:t>
      </w:r>
      <w:r w:rsidR="00A837F7">
        <w:t> </w:t>
      </w:r>
      <w:proofErr w:type="spellStart"/>
      <w:r w:rsidR="007B5E2B">
        <w:t>Trivelpiece</w:t>
      </w:r>
      <w:proofErr w:type="spellEnd"/>
      <w:r w:rsidR="007B5E2B">
        <w:t xml:space="preserve"> </w:t>
      </w:r>
      <w:r w:rsidRPr="00E81B3B">
        <w:t>alleged</w:t>
      </w:r>
      <w:r w:rsidR="007B5E2B">
        <w:t xml:space="preserve"> </w:t>
      </w:r>
      <w:r w:rsidR="00984F25">
        <w:t>the following:</w:t>
      </w:r>
      <w:r w:rsidR="00A837F7">
        <w:t xml:space="preserve"> </w:t>
      </w:r>
      <w:r w:rsidR="00984F25">
        <w:t xml:space="preserve"> </w:t>
      </w:r>
      <w:r w:rsidR="007B5E2B">
        <w:t>a)</w:t>
      </w:r>
      <w:r w:rsidR="005C091E">
        <w:t xml:space="preserve"> </w:t>
      </w:r>
      <w:r w:rsidR="007B5E2B">
        <w:t>PECO was threatening to shut off her service</w:t>
      </w:r>
      <w:r w:rsidR="00EF0E97">
        <w:t xml:space="preserve"> or had already shut off her service</w:t>
      </w:r>
      <w:r w:rsidR="007B5E2B">
        <w:t>; b) she would like a payment arrangement</w:t>
      </w:r>
      <w:r w:rsidR="00EF0E97">
        <w:t xml:space="preserve"> that was reasonable</w:t>
      </w:r>
      <w:r w:rsidR="007B5E2B">
        <w:t>; c)</w:t>
      </w:r>
      <w:r w:rsidR="003161F9">
        <w:t> </w:t>
      </w:r>
      <w:r w:rsidR="00EF0E97">
        <w:t>c</w:t>
      </w:r>
      <w:r w:rsidR="007B5E2B">
        <w:t>harges on her bill of $15,988.35 including late fees were incorrect; d) there were quality</w:t>
      </w:r>
      <w:r w:rsidR="00EF0E97">
        <w:t xml:space="preserve"> </w:t>
      </w:r>
    </w:p>
    <w:p w:rsidR="007B5E2B" w:rsidRDefault="007B5E2B" w:rsidP="007E432C">
      <w:pPr>
        <w:tabs>
          <w:tab w:val="left" w:pos="0"/>
        </w:tabs>
        <w:autoSpaceDE w:val="0"/>
        <w:autoSpaceDN w:val="0"/>
        <w:spacing w:line="360" w:lineRule="auto"/>
      </w:pPr>
      <w:proofErr w:type="gramStart"/>
      <w:r>
        <w:lastRenderedPageBreak/>
        <w:t>problems</w:t>
      </w:r>
      <w:proofErr w:type="gramEnd"/>
      <w:r>
        <w:t xml:space="preserve"> with her service</w:t>
      </w:r>
      <w:r w:rsidR="00EF0E97">
        <w:t xml:space="preserve"> because PECO would not provide her a reasonable payment arrangement</w:t>
      </w:r>
      <w:r w:rsidR="00044A76">
        <w:t>;</w:t>
      </w:r>
      <w:r>
        <w:t xml:space="preserve"> </w:t>
      </w:r>
      <w:r w:rsidR="00044A76">
        <w:t xml:space="preserve">e) </w:t>
      </w:r>
      <w:r>
        <w:t>PECO could not explain why her bill was so high</w:t>
      </w:r>
      <w:r w:rsidR="00090109">
        <w:t xml:space="preserve"> and she was very ill and needed electric</w:t>
      </w:r>
      <w:r w:rsidR="007A2CC2">
        <w:t>ity</w:t>
      </w:r>
      <w:r w:rsidR="00090109">
        <w:t xml:space="preserve"> for medical equipment</w:t>
      </w:r>
      <w:r>
        <w:t>.</w:t>
      </w:r>
      <w:r w:rsidR="009F3931">
        <w:rPr>
          <w:rStyle w:val="FootnoteReference"/>
        </w:rPr>
        <w:footnoteReference w:id="1"/>
      </w:r>
    </w:p>
    <w:p w:rsidR="00044A76" w:rsidRDefault="00044A76" w:rsidP="007E432C">
      <w:pPr>
        <w:tabs>
          <w:tab w:val="left" w:pos="0"/>
        </w:tabs>
        <w:autoSpaceDE w:val="0"/>
        <w:autoSpaceDN w:val="0"/>
        <w:spacing w:line="360" w:lineRule="auto"/>
      </w:pPr>
    </w:p>
    <w:p w:rsidR="00044A76" w:rsidRDefault="00837AEA" w:rsidP="00044A76">
      <w:pPr>
        <w:tabs>
          <w:tab w:val="left" w:pos="0"/>
        </w:tabs>
        <w:autoSpaceDE w:val="0"/>
        <w:autoSpaceDN w:val="0"/>
        <w:spacing w:line="360" w:lineRule="auto"/>
      </w:pPr>
      <w:r>
        <w:tab/>
      </w:r>
      <w:r>
        <w:tab/>
      </w:r>
      <w:r w:rsidR="00B261EE">
        <w:t xml:space="preserve">On January 23, 2015, PECO filed an Answer, </w:t>
      </w:r>
      <w:r w:rsidR="00701AE8">
        <w:t xml:space="preserve">generally </w:t>
      </w:r>
      <w:r w:rsidR="00B261EE">
        <w:t>denying the material allegations of the Complaint</w:t>
      </w:r>
      <w:r w:rsidR="00044A76">
        <w:t xml:space="preserve">. </w:t>
      </w:r>
      <w:r w:rsidR="00EF0E97">
        <w:t xml:space="preserve"> </w:t>
      </w:r>
      <w:r w:rsidR="00044A76">
        <w:t xml:space="preserve">PECO further averred </w:t>
      </w:r>
      <w:r w:rsidR="001A06FD">
        <w:t>Complainant</w:t>
      </w:r>
      <w:r w:rsidR="004C5829">
        <w:t xml:space="preserve"> </w:t>
      </w:r>
      <w:r w:rsidR="00EF0E97">
        <w:t xml:space="preserve">was responsible for her </w:t>
      </w:r>
      <w:r w:rsidR="00044A76">
        <w:t>current balance of $16,687.28</w:t>
      </w:r>
      <w:r w:rsidR="00EF0E97">
        <w:t xml:space="preserve">, which </w:t>
      </w:r>
      <w:r w:rsidR="00044A76">
        <w:t xml:space="preserve">included </w:t>
      </w:r>
      <w:r w:rsidR="00EF0E97">
        <w:t xml:space="preserve">balance transfers from prior service addresses.  Additionally, PECO averred that Complainant’s outstanding </w:t>
      </w:r>
      <w:r w:rsidR="00794307">
        <w:t xml:space="preserve">balance included </w:t>
      </w:r>
      <w:r w:rsidR="00044A76">
        <w:t xml:space="preserve">$4,392.98 in </w:t>
      </w:r>
      <w:r w:rsidR="00AC301C">
        <w:t>Customer Assistance Program (</w:t>
      </w:r>
      <w:r w:rsidR="00044A76">
        <w:t>CAP</w:t>
      </w:r>
      <w:r w:rsidR="00AC301C">
        <w:t>)</w:t>
      </w:r>
      <w:r w:rsidR="004C5829">
        <w:t xml:space="preserve"> charges, which could not be subject to a payment arrangement.</w:t>
      </w:r>
      <w:r w:rsidR="00A837F7">
        <w:t xml:space="preserve"> </w:t>
      </w:r>
      <w:r w:rsidR="004C5829">
        <w:t xml:space="preserve"> As relief, PECO requested dismissal of the Complaint. </w:t>
      </w:r>
      <w:r w:rsidR="00044A76">
        <w:t xml:space="preserve"> </w:t>
      </w:r>
      <w:r w:rsidR="00044A76">
        <w:tab/>
      </w:r>
    </w:p>
    <w:p w:rsidR="007E432C" w:rsidRPr="00E81B3B" w:rsidRDefault="007E432C" w:rsidP="007E432C">
      <w:pPr>
        <w:tabs>
          <w:tab w:val="left" w:pos="0"/>
        </w:tabs>
        <w:autoSpaceDE w:val="0"/>
        <w:autoSpaceDN w:val="0"/>
        <w:spacing w:line="360" w:lineRule="auto"/>
      </w:pPr>
    </w:p>
    <w:p w:rsidR="007E432C" w:rsidRPr="00E81B3B" w:rsidRDefault="007E432C" w:rsidP="00DF4DC7">
      <w:pPr>
        <w:tabs>
          <w:tab w:val="left" w:pos="0"/>
        </w:tabs>
        <w:autoSpaceDE w:val="0"/>
        <w:autoSpaceDN w:val="0"/>
        <w:spacing w:line="360" w:lineRule="auto"/>
      </w:pPr>
      <w:r w:rsidRPr="00E81B3B">
        <w:tab/>
      </w:r>
      <w:r w:rsidRPr="00E81B3B">
        <w:tab/>
      </w:r>
      <w:r w:rsidR="00DF4DC7">
        <w:t xml:space="preserve">On March 3, 2015, </w:t>
      </w:r>
      <w:r w:rsidRPr="00E81B3B">
        <w:t>the Commission notified the parties that this case was assigned to me for a telephon</w:t>
      </w:r>
      <w:r>
        <w:t>e</w:t>
      </w:r>
      <w:r w:rsidRPr="00E81B3B">
        <w:t xml:space="preserve"> hearing on April </w:t>
      </w:r>
      <w:r w:rsidR="00DF4DC7">
        <w:t>20</w:t>
      </w:r>
      <w:r w:rsidRPr="00E81B3B">
        <w:t>, 2015, at 10:00 a.m.  A Prehearing Order outlining the applicable procedural rules was served upon the parties on March 1</w:t>
      </w:r>
      <w:r w:rsidR="00DF4DC7">
        <w:t>3</w:t>
      </w:r>
      <w:r w:rsidRPr="00E81B3B">
        <w:t xml:space="preserve">, 2015. </w:t>
      </w:r>
      <w:r w:rsidR="00DF4DC7">
        <w:t xml:space="preserve"> As a result of a conflict in my schedule, a Hearing Cancellation/Reschedule Notice was issued to the parties on April 8, 2015, informing them that the</w:t>
      </w:r>
      <w:r w:rsidR="006D69CD">
        <w:t xml:space="preserve"> April 20, 2015 hearing was cancelled and reschedule</w:t>
      </w:r>
      <w:r w:rsidR="00E8018D">
        <w:t>d</w:t>
      </w:r>
      <w:r w:rsidR="006D69CD">
        <w:t xml:space="preserve"> to June 2, 2015.  </w:t>
      </w:r>
    </w:p>
    <w:p w:rsidR="007E432C" w:rsidRPr="00E81B3B" w:rsidRDefault="007E432C" w:rsidP="007E432C">
      <w:pPr>
        <w:autoSpaceDE w:val="0"/>
        <w:autoSpaceDN w:val="0"/>
        <w:spacing w:line="360" w:lineRule="auto"/>
      </w:pPr>
      <w:r w:rsidRPr="00E81B3B">
        <w:tab/>
      </w:r>
      <w:r w:rsidRPr="00E81B3B">
        <w:tab/>
      </w:r>
    </w:p>
    <w:p w:rsidR="00735415" w:rsidRDefault="007E432C" w:rsidP="007E432C">
      <w:pPr>
        <w:autoSpaceDE w:val="0"/>
        <w:autoSpaceDN w:val="0"/>
        <w:spacing w:line="360" w:lineRule="auto"/>
      </w:pPr>
      <w:r w:rsidRPr="00E81B3B">
        <w:tab/>
      </w:r>
      <w:r w:rsidRPr="00E81B3B">
        <w:tab/>
        <w:t>The telephon</w:t>
      </w:r>
      <w:r>
        <w:t>e</w:t>
      </w:r>
      <w:r w:rsidRPr="00E81B3B">
        <w:t xml:space="preserve"> hearing convened as </w:t>
      </w:r>
      <w:r w:rsidR="006D69CD">
        <w:t>re</w:t>
      </w:r>
      <w:r w:rsidRPr="00E81B3B">
        <w:t>scheduled</w:t>
      </w:r>
      <w:r w:rsidR="006D69CD">
        <w:t xml:space="preserve"> on June 2, 2015.</w:t>
      </w:r>
      <w:r w:rsidRPr="00E81B3B">
        <w:t xml:space="preserve">  Complainant </w:t>
      </w:r>
      <w:r w:rsidR="00F3541B">
        <w:t xml:space="preserve">was </w:t>
      </w:r>
      <w:r w:rsidRPr="00E81B3B">
        <w:t xml:space="preserve">represented </w:t>
      </w:r>
      <w:r w:rsidR="006D69CD">
        <w:t xml:space="preserve">by Deborah </w:t>
      </w:r>
      <w:r w:rsidR="00727619">
        <w:t xml:space="preserve">M. </w:t>
      </w:r>
      <w:proofErr w:type="spellStart"/>
      <w:r w:rsidR="006D69CD">
        <w:t>Steeves</w:t>
      </w:r>
      <w:proofErr w:type="spellEnd"/>
      <w:r w:rsidR="006D69CD">
        <w:t>, Esquire</w:t>
      </w:r>
      <w:r w:rsidR="009A4881">
        <w:t xml:space="preserve"> (Attorney </w:t>
      </w:r>
      <w:proofErr w:type="spellStart"/>
      <w:r w:rsidR="009A4881">
        <w:t>Steeves</w:t>
      </w:r>
      <w:proofErr w:type="spellEnd"/>
      <w:r w:rsidR="009A4881">
        <w:t>)</w:t>
      </w:r>
      <w:r w:rsidRPr="00E81B3B">
        <w:t>.</w:t>
      </w:r>
      <w:r w:rsidR="00D57650">
        <w:t xml:space="preserve"> </w:t>
      </w:r>
      <w:r w:rsidR="006617AF">
        <w:t xml:space="preserve"> </w:t>
      </w:r>
      <w:r w:rsidR="006D69CD">
        <w:t xml:space="preserve">PECO </w:t>
      </w:r>
      <w:r w:rsidRPr="00E81B3B">
        <w:t xml:space="preserve">was represented by </w:t>
      </w:r>
      <w:r w:rsidR="006D69CD">
        <w:t>Margaret</w:t>
      </w:r>
      <w:r w:rsidR="009A70E2">
        <w:t xml:space="preserve"> A</w:t>
      </w:r>
      <w:r w:rsidR="00AC301C">
        <w:t>.</w:t>
      </w:r>
      <w:r w:rsidR="006D69CD">
        <w:t xml:space="preserve"> Morris, </w:t>
      </w:r>
      <w:r w:rsidRPr="00E81B3B">
        <w:t>Esquire</w:t>
      </w:r>
      <w:r w:rsidR="00071A94">
        <w:t xml:space="preserve"> (Attorney Morris)</w:t>
      </w:r>
      <w:r w:rsidR="00D57650">
        <w:t>.</w:t>
      </w:r>
      <w:r w:rsidR="00984F25">
        <w:t xml:space="preserve"> </w:t>
      </w:r>
      <w:r w:rsidR="00D57650">
        <w:t xml:space="preserve"> </w:t>
      </w:r>
      <w:r w:rsidR="00AC281D">
        <w:t xml:space="preserve">Prior to the receipt of testimony, Respondent offered </w:t>
      </w:r>
      <w:r w:rsidR="00270F08">
        <w:t xml:space="preserve">an oral </w:t>
      </w:r>
      <w:r w:rsidR="00AC281D">
        <w:t>motion</w:t>
      </w:r>
      <w:r w:rsidR="00312CBD">
        <w:t xml:space="preserve"> in </w:t>
      </w:r>
      <w:proofErr w:type="spellStart"/>
      <w:r w:rsidR="00312CBD">
        <w:t>limine</w:t>
      </w:r>
      <w:proofErr w:type="spellEnd"/>
      <w:r w:rsidR="00AC281D">
        <w:t xml:space="preserve"> which is discussed below.  </w:t>
      </w:r>
      <w:r w:rsidRPr="00E81B3B">
        <w:t>T</w:t>
      </w:r>
      <w:r w:rsidR="00AC301C">
        <w:t>estimony was received from both</w:t>
      </w:r>
      <w:r w:rsidRPr="00E81B3B">
        <w:t xml:space="preserve"> Complainant and Respondent’s </w:t>
      </w:r>
      <w:r w:rsidR="008C0701">
        <w:t>Regulatory Assessor</w:t>
      </w:r>
      <w:r w:rsidR="00FC3E8D">
        <w:t>,</w:t>
      </w:r>
      <w:r w:rsidR="008C0701">
        <w:t xml:space="preserve"> Renee Tarpley</w:t>
      </w:r>
      <w:r w:rsidR="00C02A66">
        <w:t xml:space="preserve"> (Ms. Tarpley)</w:t>
      </w:r>
      <w:r w:rsidR="008C0701">
        <w:t xml:space="preserve">. </w:t>
      </w:r>
      <w:r w:rsidR="00E26D95">
        <w:t xml:space="preserve">Complainant’s case manager and witness, </w:t>
      </w:r>
      <w:proofErr w:type="spellStart"/>
      <w:r w:rsidR="00E26D95">
        <w:t>Jesika</w:t>
      </w:r>
      <w:proofErr w:type="spellEnd"/>
      <w:r w:rsidR="00E26D95">
        <w:t xml:space="preserve"> </w:t>
      </w:r>
      <w:proofErr w:type="spellStart"/>
      <w:r w:rsidR="00E26D95">
        <w:t>Levek</w:t>
      </w:r>
      <w:proofErr w:type="spellEnd"/>
      <w:r w:rsidR="00E26D95">
        <w:t xml:space="preserve">, was present but was not called to testify. </w:t>
      </w:r>
      <w:r w:rsidR="00984F25">
        <w:t xml:space="preserve"> </w:t>
      </w:r>
      <w:r w:rsidRPr="00E81B3B">
        <w:t xml:space="preserve">Complainant offered </w:t>
      </w:r>
      <w:r w:rsidR="008C0701">
        <w:t xml:space="preserve">pre-marked </w:t>
      </w:r>
      <w:r w:rsidRPr="00E81B3B">
        <w:t xml:space="preserve">Exhibits </w:t>
      </w:r>
      <w:r w:rsidR="008C0701">
        <w:t>B</w:t>
      </w:r>
      <w:r w:rsidRPr="00E81B3B">
        <w:t xml:space="preserve"> and </w:t>
      </w:r>
      <w:r w:rsidR="008C0701">
        <w:t>C</w:t>
      </w:r>
      <w:r w:rsidRPr="00E81B3B">
        <w:t xml:space="preserve">, which were admitted into the record.  </w:t>
      </w:r>
      <w:r w:rsidRPr="00F3541B">
        <w:t>Responden</w:t>
      </w:r>
      <w:r w:rsidRPr="00E81B3B">
        <w:t xml:space="preserve">t </w:t>
      </w:r>
      <w:r w:rsidR="00F3541B">
        <w:t xml:space="preserve">offered pre-marked </w:t>
      </w:r>
      <w:r w:rsidRPr="00E81B3B">
        <w:t>Exhibit</w:t>
      </w:r>
      <w:r w:rsidR="00F3541B">
        <w:t>s</w:t>
      </w:r>
      <w:r w:rsidRPr="00E81B3B">
        <w:t xml:space="preserve"> </w:t>
      </w:r>
      <w:r w:rsidR="00F3541B">
        <w:t xml:space="preserve">3, 4, 6 through 9, and 14 through 16, all of </w:t>
      </w:r>
      <w:r w:rsidRPr="00E81B3B">
        <w:t>which w</w:t>
      </w:r>
      <w:r w:rsidR="00F3541B">
        <w:t>ere</w:t>
      </w:r>
      <w:r w:rsidRPr="00E81B3B">
        <w:t xml:space="preserve"> admitted into the record.</w:t>
      </w:r>
    </w:p>
    <w:p w:rsidR="005C091E" w:rsidRDefault="005C091E" w:rsidP="007E432C">
      <w:pPr>
        <w:autoSpaceDE w:val="0"/>
        <w:autoSpaceDN w:val="0"/>
        <w:spacing w:line="360" w:lineRule="auto"/>
      </w:pPr>
    </w:p>
    <w:p w:rsidR="009A4881" w:rsidRDefault="00735415" w:rsidP="007E432C">
      <w:pPr>
        <w:autoSpaceDE w:val="0"/>
        <w:autoSpaceDN w:val="0"/>
        <w:spacing w:line="360" w:lineRule="auto"/>
      </w:pPr>
      <w:r>
        <w:tab/>
      </w:r>
      <w:r>
        <w:tab/>
      </w:r>
      <w:r w:rsidR="00655CC0">
        <w:t xml:space="preserve">Respondent also offered pre-marked Exhibit 1, </w:t>
      </w:r>
      <w:r w:rsidR="00284252">
        <w:t>a chart prepared by Ms. Tarpley,</w:t>
      </w:r>
      <w:r w:rsidR="009A4881">
        <w:t xml:space="preserve">  </w:t>
      </w:r>
    </w:p>
    <w:p w:rsidR="00735415" w:rsidRDefault="00655CC0" w:rsidP="007E432C">
      <w:pPr>
        <w:autoSpaceDE w:val="0"/>
        <w:autoSpaceDN w:val="0"/>
        <w:spacing w:line="360" w:lineRule="auto"/>
      </w:pPr>
      <w:proofErr w:type="gramStart"/>
      <w:r>
        <w:t>which</w:t>
      </w:r>
      <w:proofErr w:type="gramEnd"/>
      <w:r>
        <w:t xml:space="preserve"> purported to be a business record of Complainant’s service addresses, </w:t>
      </w:r>
      <w:r w:rsidR="00C02A66">
        <w:t>account numbers, service dates and final bill amounts</w:t>
      </w:r>
      <w:r w:rsidR="00284252">
        <w:t xml:space="preserve"> with comments</w:t>
      </w:r>
      <w:r w:rsidR="00C02A66">
        <w:t>.  Ms. Tarpley testified that Exhibit 1 was data she comp</w:t>
      </w:r>
      <w:r w:rsidR="00FD6CBA">
        <w:t>i</w:t>
      </w:r>
      <w:r w:rsidR="00C02A66">
        <w:t xml:space="preserve">led from </w:t>
      </w:r>
      <w:r w:rsidR="00284252">
        <w:t xml:space="preserve">reviewing </w:t>
      </w:r>
      <w:r w:rsidR="00C02A66">
        <w:t>other records.</w:t>
      </w:r>
      <w:r w:rsidR="0086384C">
        <w:t xml:space="preserve"> </w:t>
      </w:r>
      <w:r w:rsidR="00C02A66">
        <w:t xml:space="preserve"> She admitted Exhibit 1 contained an error a</w:t>
      </w:r>
      <w:r w:rsidR="00FC77E5">
        <w:t>s to</w:t>
      </w:r>
      <w:r w:rsidR="00C02A66">
        <w:t xml:space="preserve"> one of the account numbers. </w:t>
      </w:r>
      <w:r w:rsidR="00284252">
        <w:t xml:space="preserve"> </w:t>
      </w:r>
      <w:r w:rsidR="00735415">
        <w:t xml:space="preserve">(Tr. 65-66.) </w:t>
      </w:r>
      <w:r w:rsidR="00C02A66">
        <w:t xml:space="preserve"> </w:t>
      </w:r>
      <w:r w:rsidR="00735415">
        <w:t>Complainant objected to the admission of Exhibit 1 as a business record, and the objection was sustained</w:t>
      </w:r>
      <w:r w:rsidR="00645714">
        <w:t xml:space="preserve"> on that bas</w:t>
      </w:r>
      <w:r w:rsidR="00E226D6">
        <w:t>i</w:t>
      </w:r>
      <w:r w:rsidR="00645714">
        <w:t>s</w:t>
      </w:r>
      <w:r w:rsidR="00735415">
        <w:t xml:space="preserve">.  (Tr. </w:t>
      </w:r>
      <w:r w:rsidR="00517663">
        <w:t>114-116</w:t>
      </w:r>
      <w:r w:rsidR="00735415">
        <w:t>.)</w:t>
      </w:r>
    </w:p>
    <w:p w:rsidR="00284252" w:rsidRDefault="00284252" w:rsidP="007E432C">
      <w:pPr>
        <w:autoSpaceDE w:val="0"/>
        <w:autoSpaceDN w:val="0"/>
        <w:spacing w:line="360" w:lineRule="auto"/>
      </w:pPr>
    </w:p>
    <w:p w:rsidR="00CB76A1" w:rsidRDefault="0086384C" w:rsidP="007E432C">
      <w:pPr>
        <w:autoSpaceDE w:val="0"/>
        <w:autoSpaceDN w:val="0"/>
        <w:spacing w:line="360" w:lineRule="auto"/>
      </w:pPr>
      <w:r>
        <w:tab/>
      </w:r>
      <w:r>
        <w:tab/>
      </w:r>
      <w:r w:rsidR="006240DC">
        <w:t xml:space="preserve">In anticipation that the transcript would be filed within twenty days of the hearing, I directed the parties to file their memorandums of law by July 10, 2014.  </w:t>
      </w:r>
      <w:proofErr w:type="gramStart"/>
      <w:r w:rsidR="006240DC">
        <w:t>(Tr. 147.)</w:t>
      </w:r>
      <w:proofErr w:type="gramEnd"/>
      <w:r w:rsidR="00EC2BC0">
        <w:t xml:space="preserve">  </w:t>
      </w:r>
      <w:r w:rsidR="00214671">
        <w:t>Additionally, c</w:t>
      </w:r>
      <w:r w:rsidR="00EC2BC0">
        <w:t xml:space="preserve">ounsel for </w:t>
      </w:r>
      <w:r w:rsidR="00214671">
        <w:t>Complainant expressed concern that her organization could not afford the cost of a transcript.  Therefore</w:t>
      </w:r>
      <w:r w:rsidR="00284252">
        <w:t>,</w:t>
      </w:r>
      <w:r w:rsidR="00214671">
        <w:t xml:space="preserve"> I instructed </w:t>
      </w:r>
      <w:r w:rsidR="00414758">
        <w:t xml:space="preserve">Attorney </w:t>
      </w:r>
      <w:proofErr w:type="spellStart"/>
      <w:r w:rsidR="00414758">
        <w:t>Steeves</w:t>
      </w:r>
      <w:proofErr w:type="spellEnd"/>
      <w:r w:rsidR="00284252">
        <w:t>,</w:t>
      </w:r>
      <w:r w:rsidR="00214671">
        <w:t xml:space="preserve"> if she d</w:t>
      </w:r>
      <w:r w:rsidR="00560760">
        <w:t>id</w:t>
      </w:r>
      <w:r w:rsidR="00214671">
        <w:t xml:space="preserve"> not have the transcript </w:t>
      </w:r>
      <w:r w:rsidR="003F2D92">
        <w:t xml:space="preserve">in order </w:t>
      </w:r>
      <w:r w:rsidR="00214671">
        <w:t xml:space="preserve">to </w:t>
      </w:r>
      <w:r w:rsidR="003F2D92">
        <w:t>submit</w:t>
      </w:r>
      <w:r>
        <w:t xml:space="preserve"> </w:t>
      </w:r>
      <w:r w:rsidR="00214671">
        <w:t>finding of facts</w:t>
      </w:r>
      <w:r w:rsidR="00284252">
        <w:t>, to</w:t>
      </w:r>
      <w:r w:rsidR="00214671">
        <w:t xml:space="preserve"> write a</w:t>
      </w:r>
      <w:r w:rsidR="008D32D1">
        <w:t xml:space="preserve"> legal </w:t>
      </w:r>
      <w:r w:rsidR="00214671">
        <w:t xml:space="preserve">argument as to why Ms. </w:t>
      </w:r>
      <w:proofErr w:type="spellStart"/>
      <w:r w:rsidR="00214671">
        <w:t>Trivelpiece</w:t>
      </w:r>
      <w:proofErr w:type="spellEnd"/>
      <w:r w:rsidR="00214671">
        <w:t xml:space="preserve"> should prevail on her complaint.  </w:t>
      </w:r>
      <w:proofErr w:type="gramStart"/>
      <w:r w:rsidR="00214671">
        <w:t>(Tr. 148.)</w:t>
      </w:r>
      <w:proofErr w:type="gramEnd"/>
    </w:p>
    <w:p w:rsidR="00CB76A1" w:rsidRDefault="00CB76A1" w:rsidP="007E432C">
      <w:pPr>
        <w:autoSpaceDE w:val="0"/>
        <w:autoSpaceDN w:val="0"/>
        <w:spacing w:line="360" w:lineRule="auto"/>
      </w:pPr>
    </w:p>
    <w:p w:rsidR="00A27F56" w:rsidRDefault="00CB76A1" w:rsidP="007E432C">
      <w:pPr>
        <w:autoSpaceDE w:val="0"/>
        <w:autoSpaceDN w:val="0"/>
        <w:spacing w:line="360" w:lineRule="auto"/>
      </w:pPr>
      <w:r>
        <w:tab/>
      </w:r>
      <w:r>
        <w:tab/>
      </w:r>
      <w:r w:rsidR="007E432C" w:rsidRPr="00E81B3B">
        <w:t xml:space="preserve">The hearing transcript </w:t>
      </w:r>
      <w:r w:rsidR="00F3541B">
        <w:t>consist</w:t>
      </w:r>
      <w:r w:rsidR="00B14F90">
        <w:t>ing</w:t>
      </w:r>
      <w:r w:rsidR="00F3541B">
        <w:t xml:space="preserve"> of 152 pages </w:t>
      </w:r>
      <w:r w:rsidR="007E432C" w:rsidRPr="00E81B3B">
        <w:t xml:space="preserve">was </w:t>
      </w:r>
      <w:r w:rsidR="00E178A5">
        <w:t>filed in Harrisburg on June 25, 2015</w:t>
      </w:r>
      <w:r w:rsidR="0082475C">
        <w:t>,</w:t>
      </w:r>
      <w:r w:rsidR="00E178A5">
        <w:t xml:space="preserve"> and </w:t>
      </w:r>
      <w:r w:rsidR="007E432C" w:rsidRPr="00E81B3B">
        <w:t xml:space="preserve">received by me </w:t>
      </w:r>
      <w:r w:rsidR="00E178A5">
        <w:t>in Pittsburg</w:t>
      </w:r>
      <w:r w:rsidR="006240DC">
        <w:t>h</w:t>
      </w:r>
      <w:r w:rsidR="00E178A5">
        <w:t xml:space="preserve"> </w:t>
      </w:r>
      <w:r w:rsidR="007E432C" w:rsidRPr="00E81B3B">
        <w:t xml:space="preserve">on </w:t>
      </w:r>
      <w:r w:rsidR="00F3541B">
        <w:t xml:space="preserve">June </w:t>
      </w:r>
      <w:r w:rsidR="00B14F90">
        <w:t>29</w:t>
      </w:r>
      <w:r w:rsidR="00F3541B">
        <w:t xml:space="preserve">, </w:t>
      </w:r>
      <w:r w:rsidR="007E432C" w:rsidRPr="00E81B3B">
        <w:t>2015</w:t>
      </w:r>
      <w:r w:rsidR="00F3541B">
        <w:t xml:space="preserve">.  </w:t>
      </w:r>
      <w:r>
        <w:t xml:space="preserve">By interim order entered on June 30, 2015, </w:t>
      </w:r>
      <w:r w:rsidR="006240DC">
        <w:t>I informed the parties that the filing date for the memorandums of law was extend</w:t>
      </w:r>
      <w:r w:rsidR="00A27F56">
        <w:t>ed</w:t>
      </w:r>
      <w:r w:rsidR="006240DC">
        <w:t xml:space="preserve"> to July 17, 2015</w:t>
      </w:r>
      <w:r w:rsidR="00B679CF">
        <w:t>,</w:t>
      </w:r>
      <w:r w:rsidR="006240DC">
        <w:t xml:space="preserve"> and the record would close as of that date.  On </w:t>
      </w:r>
      <w:r w:rsidR="00A27F56">
        <w:t>July 17, 2015, Complainant and Respondent filed a brief and memorandum of law respectively.</w:t>
      </w:r>
      <w:r w:rsidR="00E226D6">
        <w:t xml:space="preserve">  In accordance with the June 30, 2015 interim order the record closed on July 17, 2015.</w:t>
      </w:r>
    </w:p>
    <w:p w:rsidR="00A27F56" w:rsidRDefault="00A27F56" w:rsidP="007E432C">
      <w:pPr>
        <w:autoSpaceDE w:val="0"/>
        <w:autoSpaceDN w:val="0"/>
        <w:spacing w:line="360" w:lineRule="auto"/>
      </w:pPr>
      <w:r>
        <w:tab/>
      </w:r>
      <w:r>
        <w:tab/>
      </w:r>
    </w:p>
    <w:p w:rsidR="002E2331" w:rsidRDefault="00A27F56" w:rsidP="007E432C">
      <w:pPr>
        <w:autoSpaceDE w:val="0"/>
        <w:autoSpaceDN w:val="0"/>
        <w:spacing w:line="360" w:lineRule="auto"/>
      </w:pPr>
      <w:r>
        <w:tab/>
      </w:r>
      <w:r>
        <w:tab/>
        <w:t xml:space="preserve">By email dated </w:t>
      </w:r>
      <w:r w:rsidR="00DF33FC">
        <w:t>July 21, 2015, counsel for Respondent argued that Complainant’s brief address</w:t>
      </w:r>
      <w:r w:rsidR="008D32D1">
        <w:t>ed</w:t>
      </w:r>
      <w:r w:rsidR="00DF33FC">
        <w:t xml:space="preserve"> issues beyond the scope of my directive at page 41 of the transcript.  Respondent argued that the issues were limited to Section 56.35 of the Commission’s regulations.</w:t>
      </w:r>
      <w:r w:rsidR="007C1646">
        <w:rPr>
          <w:rStyle w:val="FootnoteReference"/>
        </w:rPr>
        <w:footnoteReference w:id="2"/>
      </w:r>
      <w:r w:rsidR="00DF33FC">
        <w:t xml:space="preserve"> </w:t>
      </w:r>
      <w:r w:rsidR="00D970EB">
        <w:t xml:space="preserve"> </w:t>
      </w:r>
      <w:proofErr w:type="gramStart"/>
      <w:r w:rsidR="00DF33FC">
        <w:t>(52</w:t>
      </w:r>
      <w:r w:rsidR="00D970EB">
        <w:t> </w:t>
      </w:r>
      <w:r w:rsidR="00DF33FC">
        <w:t xml:space="preserve">Pa.Code </w:t>
      </w:r>
      <w:r w:rsidR="002E2331">
        <w:t>§ 56.35.)</w:t>
      </w:r>
      <w:proofErr w:type="gramEnd"/>
      <w:r w:rsidR="002E2331">
        <w:t xml:space="preserve">  Respondent submitted that Complainant’s brief addressed issues relating to medical certifications, termination </w:t>
      </w:r>
      <w:r w:rsidR="008D32D1">
        <w:t xml:space="preserve">based </w:t>
      </w:r>
      <w:r w:rsidR="002E2331">
        <w:t>o</w:t>
      </w:r>
      <w:r w:rsidR="008D32D1">
        <w:t>n</w:t>
      </w:r>
      <w:r w:rsidR="002E2331">
        <w:t xml:space="preserve"> non-basic charges, billing components, application of payments, adequacy of PECO’s bills and late payment charges.  </w:t>
      </w:r>
      <w:r w:rsidR="00DF33FC">
        <w:t xml:space="preserve">Accordingly, Respondent requested permission to submit a response to the additional issues.  </w:t>
      </w:r>
    </w:p>
    <w:p w:rsidR="002E2331" w:rsidRDefault="002E2331" w:rsidP="007E432C">
      <w:pPr>
        <w:autoSpaceDE w:val="0"/>
        <w:autoSpaceDN w:val="0"/>
        <w:spacing w:line="360" w:lineRule="auto"/>
      </w:pPr>
    </w:p>
    <w:p w:rsidR="002E2331" w:rsidRDefault="002E2331" w:rsidP="007E432C">
      <w:pPr>
        <w:autoSpaceDE w:val="0"/>
        <w:autoSpaceDN w:val="0"/>
        <w:spacing w:line="360" w:lineRule="auto"/>
      </w:pPr>
      <w:r>
        <w:tab/>
      </w:r>
      <w:r>
        <w:tab/>
        <w:t xml:space="preserve">By email dated July 21, 2015, counsel for Complainant submitted </w:t>
      </w:r>
      <w:r w:rsidR="00861CE3">
        <w:t xml:space="preserve">that </w:t>
      </w:r>
      <w:r w:rsidR="004E057C">
        <w:t>Complainant’s</w:t>
      </w:r>
      <w:r>
        <w:t xml:space="preserve"> brief addressed the issues as directed by me, but the directive was not limited to just those issues.</w:t>
      </w:r>
      <w:r w:rsidR="00861CE3">
        <w:t xml:space="preserve"> </w:t>
      </w:r>
      <w:r w:rsidR="008D32D1">
        <w:t xml:space="preserve"> </w:t>
      </w:r>
      <w:r>
        <w:t xml:space="preserve">Accordingly, Complainant objected to </w:t>
      </w:r>
      <w:r w:rsidR="00861CE3">
        <w:t xml:space="preserve">Respondent’s request to </w:t>
      </w:r>
      <w:r>
        <w:t>fil</w:t>
      </w:r>
      <w:r w:rsidR="00861CE3">
        <w:t>e</w:t>
      </w:r>
      <w:r>
        <w:t xml:space="preserve"> a reply brief. </w:t>
      </w:r>
      <w:r w:rsidR="00EC2BC0">
        <w:t xml:space="preserve"> </w:t>
      </w:r>
    </w:p>
    <w:p w:rsidR="00532293" w:rsidRDefault="00532293" w:rsidP="007E432C">
      <w:pPr>
        <w:autoSpaceDE w:val="0"/>
        <w:autoSpaceDN w:val="0"/>
        <w:spacing w:line="360" w:lineRule="auto"/>
      </w:pPr>
    </w:p>
    <w:p w:rsidR="008D32D1" w:rsidRDefault="00532293" w:rsidP="007E432C">
      <w:pPr>
        <w:autoSpaceDE w:val="0"/>
        <w:autoSpaceDN w:val="0"/>
        <w:spacing w:line="360" w:lineRule="auto"/>
      </w:pPr>
      <w:r>
        <w:tab/>
      </w:r>
      <w:r>
        <w:tab/>
        <w:t>By email dated July 21, 2015, I informed the parties as follows:  “Upon due consideration of PECO’s request to file a reply brief and Complainant’s response thereto, PECO’s request is hereby denied.  An Initial Decision in this matter shall be prepared and</w:t>
      </w:r>
    </w:p>
    <w:p w:rsidR="00071A94" w:rsidRDefault="00532293" w:rsidP="007E432C">
      <w:pPr>
        <w:autoSpaceDE w:val="0"/>
        <w:autoSpaceDN w:val="0"/>
        <w:spacing w:line="360" w:lineRule="auto"/>
      </w:pPr>
      <w:proofErr w:type="gramStart"/>
      <w:r>
        <w:t>issued</w:t>
      </w:r>
      <w:proofErr w:type="gramEnd"/>
      <w:r>
        <w:t xml:space="preserve">.”   </w:t>
      </w:r>
    </w:p>
    <w:p w:rsidR="00071A94" w:rsidRDefault="00071A94" w:rsidP="007E432C">
      <w:pPr>
        <w:autoSpaceDE w:val="0"/>
        <w:autoSpaceDN w:val="0"/>
        <w:spacing w:line="360" w:lineRule="auto"/>
      </w:pPr>
    </w:p>
    <w:p w:rsidR="00071A94" w:rsidRDefault="00071A94" w:rsidP="007E432C">
      <w:pPr>
        <w:autoSpaceDE w:val="0"/>
        <w:autoSpaceDN w:val="0"/>
        <w:spacing w:line="360" w:lineRule="auto"/>
      </w:pPr>
      <w:r>
        <w:tab/>
      </w:r>
      <w:r>
        <w:tab/>
        <w:t xml:space="preserve">On August 20, 2015, counsel for PECO, Attorney Morris, filed a Withdrawal of Appearance </w:t>
      </w:r>
      <w:r w:rsidR="008D32D1">
        <w:t xml:space="preserve">and </w:t>
      </w:r>
      <w:r w:rsidR="009C195A">
        <w:t xml:space="preserve">indicated that </w:t>
      </w:r>
      <w:proofErr w:type="spellStart"/>
      <w:r w:rsidR="009C195A">
        <w:t>Shawane</w:t>
      </w:r>
      <w:proofErr w:type="spellEnd"/>
      <w:r>
        <w:t xml:space="preserve"> </w:t>
      </w:r>
      <w:r w:rsidR="00D970EB">
        <w:t xml:space="preserve">L. </w:t>
      </w:r>
      <w:r>
        <w:t>Lee, Esquire was now representing PECO.  Attorney</w:t>
      </w:r>
      <w:r w:rsidR="0084448E">
        <w:t> </w:t>
      </w:r>
      <w:r>
        <w:t xml:space="preserve">Lee earlier entered her appearance in this matter by filing PECO’s Answer to the Complaint. </w:t>
      </w:r>
    </w:p>
    <w:p w:rsidR="00071A94" w:rsidRDefault="00071A94" w:rsidP="007E432C">
      <w:pPr>
        <w:autoSpaceDE w:val="0"/>
        <w:autoSpaceDN w:val="0"/>
        <w:spacing w:line="360" w:lineRule="auto"/>
      </w:pPr>
    </w:p>
    <w:p w:rsidR="007E432C" w:rsidRPr="00E81B3B" w:rsidRDefault="00071A94" w:rsidP="007E432C">
      <w:pPr>
        <w:autoSpaceDE w:val="0"/>
        <w:autoSpaceDN w:val="0"/>
        <w:spacing w:line="360" w:lineRule="auto"/>
      </w:pPr>
      <w:r>
        <w:tab/>
      </w:r>
      <w:r>
        <w:tab/>
        <w:t>T</w:t>
      </w:r>
      <w:r w:rsidR="007E432C" w:rsidRPr="00E81B3B">
        <w:t>his case is procedurally ripe for ruling.</w:t>
      </w:r>
    </w:p>
    <w:p w:rsidR="007E432C" w:rsidRDefault="007E432C" w:rsidP="007E432C">
      <w:pPr>
        <w:autoSpaceDE w:val="0"/>
        <w:autoSpaceDN w:val="0"/>
        <w:spacing w:line="360" w:lineRule="auto"/>
        <w:rPr>
          <w:u w:val="single"/>
        </w:rPr>
      </w:pPr>
    </w:p>
    <w:p w:rsidR="007E432C" w:rsidRPr="00E81B3B" w:rsidRDefault="007E432C" w:rsidP="007E432C">
      <w:pPr>
        <w:autoSpaceDE w:val="0"/>
        <w:autoSpaceDN w:val="0"/>
        <w:spacing w:line="360" w:lineRule="auto"/>
        <w:jc w:val="center"/>
        <w:rPr>
          <w:u w:val="single"/>
        </w:rPr>
      </w:pPr>
      <w:r w:rsidRPr="00E81B3B">
        <w:rPr>
          <w:u w:val="single"/>
        </w:rPr>
        <w:t>FINDINGS OF FACT</w:t>
      </w:r>
    </w:p>
    <w:p w:rsidR="007E432C" w:rsidRDefault="007E432C" w:rsidP="00661E1F">
      <w:pPr>
        <w:autoSpaceDE w:val="0"/>
        <w:autoSpaceDN w:val="0"/>
        <w:spacing w:line="360" w:lineRule="auto"/>
      </w:pPr>
    </w:p>
    <w:p w:rsidR="00661E1F" w:rsidRDefault="00661E1F" w:rsidP="00661E1F">
      <w:pPr>
        <w:autoSpaceDE w:val="0"/>
        <w:autoSpaceDN w:val="0"/>
        <w:spacing w:line="360" w:lineRule="auto"/>
        <w:rPr>
          <w:u w:val="single"/>
        </w:rPr>
      </w:pPr>
      <w:r>
        <w:rPr>
          <w:u w:val="single"/>
        </w:rPr>
        <w:t>Complainant’s Family Size</w:t>
      </w:r>
      <w:r w:rsidR="00ED03AA">
        <w:rPr>
          <w:u w:val="single"/>
        </w:rPr>
        <w:t>,</w:t>
      </w:r>
      <w:r>
        <w:rPr>
          <w:u w:val="single"/>
        </w:rPr>
        <w:t xml:space="preserve"> Income</w:t>
      </w:r>
      <w:r w:rsidR="00ED03AA">
        <w:rPr>
          <w:u w:val="single"/>
        </w:rPr>
        <w:t>, and Service Usage</w:t>
      </w:r>
    </w:p>
    <w:p w:rsidR="00661E1F" w:rsidRPr="00661E1F" w:rsidRDefault="00661E1F" w:rsidP="00661E1F">
      <w:pPr>
        <w:autoSpaceDE w:val="0"/>
        <w:autoSpaceDN w:val="0"/>
        <w:spacing w:line="360" w:lineRule="auto"/>
        <w:rPr>
          <w:u w:val="single"/>
        </w:rPr>
      </w:pPr>
    </w:p>
    <w:p w:rsidR="007E432C" w:rsidRDefault="007E432C" w:rsidP="007E432C">
      <w:pPr>
        <w:autoSpaceDE w:val="0"/>
        <w:autoSpaceDN w:val="0"/>
        <w:spacing w:line="360" w:lineRule="auto"/>
      </w:pPr>
      <w:r w:rsidRPr="00E81B3B">
        <w:tab/>
      </w:r>
      <w:r w:rsidRPr="00E81B3B">
        <w:tab/>
        <w:t>1.</w:t>
      </w:r>
      <w:r w:rsidRPr="00E81B3B">
        <w:tab/>
        <w:t xml:space="preserve">Complainant </w:t>
      </w:r>
      <w:r w:rsidR="00D57650">
        <w:t xml:space="preserve">Beth </w:t>
      </w:r>
      <w:proofErr w:type="spellStart"/>
      <w:r w:rsidR="00D57650">
        <w:t>Trivelpiece</w:t>
      </w:r>
      <w:proofErr w:type="spellEnd"/>
      <w:r w:rsidR="00D57650">
        <w:t xml:space="preserve"> </w:t>
      </w:r>
      <w:r w:rsidRPr="00E81B3B">
        <w:t xml:space="preserve">receives electric </w:t>
      </w:r>
      <w:r w:rsidR="00D57650">
        <w:t xml:space="preserve">and gas </w:t>
      </w:r>
      <w:r w:rsidRPr="00E81B3B">
        <w:t>service from Respondent at h</w:t>
      </w:r>
      <w:r w:rsidR="00D57650">
        <w:t>er</w:t>
      </w:r>
      <w:r w:rsidRPr="00E81B3B">
        <w:t xml:space="preserve"> home, </w:t>
      </w:r>
      <w:r w:rsidR="00D57650">
        <w:t>852 Aspen Avenue</w:t>
      </w:r>
      <w:r w:rsidRPr="00E81B3B">
        <w:t xml:space="preserve">, </w:t>
      </w:r>
      <w:r w:rsidR="00D57650">
        <w:t>Spring City</w:t>
      </w:r>
      <w:r w:rsidRPr="00E81B3B">
        <w:t>, PA 1</w:t>
      </w:r>
      <w:r w:rsidR="00D57650">
        <w:t>9</w:t>
      </w:r>
      <w:r w:rsidRPr="00E81B3B">
        <w:t>4</w:t>
      </w:r>
      <w:r w:rsidR="00D57650">
        <w:t>75</w:t>
      </w:r>
      <w:r w:rsidRPr="00E81B3B">
        <w:t xml:space="preserve"> (</w:t>
      </w:r>
      <w:r w:rsidR="008D32D1">
        <w:t>Aspen Avenue</w:t>
      </w:r>
      <w:r w:rsidRPr="00E81B3B">
        <w:t xml:space="preserve">).  (Tr. </w:t>
      </w:r>
      <w:r w:rsidR="00D57650">
        <w:t>5</w:t>
      </w:r>
      <w:r w:rsidR="00984E1A">
        <w:t>, 65</w:t>
      </w:r>
      <w:r w:rsidR="00C47D7E">
        <w:t>, 72-73</w:t>
      </w:r>
      <w:r w:rsidRPr="00E81B3B">
        <w:t>.)</w:t>
      </w:r>
    </w:p>
    <w:p w:rsidR="007E432C" w:rsidRDefault="007E432C" w:rsidP="007E432C">
      <w:pPr>
        <w:tabs>
          <w:tab w:val="left" w:pos="0"/>
        </w:tabs>
        <w:autoSpaceDE w:val="0"/>
        <w:autoSpaceDN w:val="0"/>
        <w:spacing w:line="360" w:lineRule="auto"/>
      </w:pPr>
    </w:p>
    <w:p w:rsidR="007E432C" w:rsidRDefault="007E432C" w:rsidP="007E432C">
      <w:pPr>
        <w:tabs>
          <w:tab w:val="left" w:pos="0"/>
        </w:tabs>
        <w:autoSpaceDE w:val="0"/>
        <w:autoSpaceDN w:val="0"/>
        <w:spacing w:line="360" w:lineRule="auto"/>
      </w:pPr>
      <w:r w:rsidRPr="00E81B3B">
        <w:tab/>
      </w:r>
      <w:r w:rsidRPr="00E81B3B">
        <w:tab/>
        <w:t>2.</w:t>
      </w:r>
      <w:r w:rsidRPr="00E81B3B">
        <w:tab/>
        <w:t xml:space="preserve">Respondent </w:t>
      </w:r>
      <w:r w:rsidR="00D57650">
        <w:t>PECO Energy Company</w:t>
      </w:r>
      <w:r w:rsidRPr="00E81B3B">
        <w:t xml:space="preserve"> is a jurisdictional public utility</w:t>
      </w:r>
      <w:r>
        <w:t xml:space="preserve"> </w:t>
      </w:r>
      <w:r w:rsidRPr="00E81B3B">
        <w:t xml:space="preserve">providing electric </w:t>
      </w:r>
      <w:r w:rsidR="00D57650">
        <w:t xml:space="preserve">and gas </w:t>
      </w:r>
      <w:r w:rsidRPr="00E81B3B">
        <w:t>service to Pennsylvania customers.</w:t>
      </w:r>
    </w:p>
    <w:p w:rsidR="00D57650" w:rsidRDefault="00D57650" w:rsidP="007E432C">
      <w:pPr>
        <w:tabs>
          <w:tab w:val="left" w:pos="0"/>
        </w:tabs>
        <w:autoSpaceDE w:val="0"/>
        <w:autoSpaceDN w:val="0"/>
        <w:spacing w:line="360" w:lineRule="auto"/>
      </w:pPr>
    </w:p>
    <w:p w:rsidR="003F1250" w:rsidRDefault="00D57650" w:rsidP="007E432C">
      <w:pPr>
        <w:tabs>
          <w:tab w:val="left" w:pos="0"/>
        </w:tabs>
        <w:autoSpaceDE w:val="0"/>
        <w:autoSpaceDN w:val="0"/>
        <w:spacing w:line="360" w:lineRule="auto"/>
      </w:pPr>
      <w:r>
        <w:tab/>
      </w:r>
      <w:r>
        <w:tab/>
        <w:t>3.</w:t>
      </w:r>
      <w:r>
        <w:tab/>
      </w:r>
      <w:r w:rsidR="003F1250">
        <w:t xml:space="preserve">Complainant resides at </w:t>
      </w:r>
      <w:r w:rsidR="008D32D1">
        <w:t>Aspen Avenue</w:t>
      </w:r>
      <w:r w:rsidR="003F1250">
        <w:t xml:space="preserve"> with her two sons, </w:t>
      </w:r>
      <w:r w:rsidR="00127D8F">
        <w:t xml:space="preserve">ages 15 and 14.  </w:t>
      </w:r>
      <w:proofErr w:type="gramStart"/>
      <w:r w:rsidR="00127D8F">
        <w:t>(Tr. 26.)</w:t>
      </w:r>
      <w:proofErr w:type="gramEnd"/>
    </w:p>
    <w:p w:rsidR="00ED03AA" w:rsidRDefault="00ED03AA" w:rsidP="007E432C">
      <w:pPr>
        <w:tabs>
          <w:tab w:val="left" w:pos="0"/>
        </w:tabs>
        <w:autoSpaceDE w:val="0"/>
        <w:autoSpaceDN w:val="0"/>
        <w:spacing w:line="360" w:lineRule="auto"/>
      </w:pPr>
    </w:p>
    <w:p w:rsidR="00127D8F" w:rsidRDefault="00127D8F" w:rsidP="007E432C">
      <w:pPr>
        <w:tabs>
          <w:tab w:val="left" w:pos="0"/>
        </w:tabs>
        <w:autoSpaceDE w:val="0"/>
        <w:autoSpaceDN w:val="0"/>
        <w:spacing w:line="360" w:lineRule="auto"/>
      </w:pPr>
      <w:r>
        <w:tab/>
      </w:r>
      <w:r>
        <w:tab/>
        <w:t>4.</w:t>
      </w:r>
      <w:r w:rsidR="0000465C">
        <w:tab/>
        <w:t xml:space="preserve">The </w:t>
      </w:r>
      <w:r w:rsidR="0082475C">
        <w:t>residence</w:t>
      </w:r>
      <w:r w:rsidR="0000465C">
        <w:t xml:space="preserve"> </w:t>
      </w:r>
      <w:r w:rsidR="008D32D1">
        <w:t xml:space="preserve">at Aspen Avenue </w:t>
      </w:r>
      <w:r w:rsidR="0000465C">
        <w:t xml:space="preserve">is a </w:t>
      </w:r>
      <w:r w:rsidR="00F0562E">
        <w:t xml:space="preserve">very </w:t>
      </w:r>
      <w:r w:rsidR="0000465C">
        <w:t xml:space="preserve">small, two bedroom </w:t>
      </w:r>
      <w:r>
        <w:t>mobile</w:t>
      </w:r>
      <w:r w:rsidR="00CB1E7C">
        <w:t xml:space="preserve"> </w:t>
      </w:r>
      <w:r>
        <w:t xml:space="preserve">home, Model Year 1991, which Complainant purchased for $5,000.00 on October 16, 2013.  </w:t>
      </w:r>
      <w:proofErr w:type="gramStart"/>
      <w:r>
        <w:t>(</w:t>
      </w:r>
      <w:r w:rsidR="00F0562E">
        <w:t>Tr.</w:t>
      </w:r>
      <w:r w:rsidR="00C93AB0">
        <w:t> </w:t>
      </w:r>
      <w:r w:rsidR="00F0562E">
        <w:t>29</w:t>
      </w:r>
      <w:r w:rsidR="00AC72EB">
        <w:t>, 42</w:t>
      </w:r>
      <w:r w:rsidR="00F0562E">
        <w:t xml:space="preserve">; </w:t>
      </w:r>
      <w:r>
        <w:t>PECO’s Exhibit 8.)</w:t>
      </w:r>
      <w:proofErr w:type="gramEnd"/>
    </w:p>
    <w:p w:rsidR="005801CA" w:rsidRDefault="005801CA" w:rsidP="007E432C">
      <w:pPr>
        <w:tabs>
          <w:tab w:val="left" w:pos="0"/>
        </w:tabs>
        <w:autoSpaceDE w:val="0"/>
        <w:autoSpaceDN w:val="0"/>
        <w:spacing w:line="360" w:lineRule="auto"/>
      </w:pPr>
    </w:p>
    <w:p w:rsidR="009E5EF9" w:rsidRDefault="009E5EF9" w:rsidP="007E432C">
      <w:pPr>
        <w:tabs>
          <w:tab w:val="left" w:pos="0"/>
        </w:tabs>
        <w:autoSpaceDE w:val="0"/>
        <w:autoSpaceDN w:val="0"/>
        <w:spacing w:line="360" w:lineRule="auto"/>
      </w:pPr>
      <w:r>
        <w:tab/>
      </w:r>
      <w:r>
        <w:tab/>
        <w:t>5.</w:t>
      </w:r>
      <w:r>
        <w:tab/>
        <w:t xml:space="preserve">Complainant’s </w:t>
      </w:r>
      <w:r w:rsidR="005B6D29">
        <w:t xml:space="preserve">monthly </w:t>
      </w:r>
      <w:r>
        <w:t xml:space="preserve">service usage </w:t>
      </w:r>
      <w:r w:rsidR="005B3CD7">
        <w:t xml:space="preserve">and payment history </w:t>
      </w:r>
      <w:r>
        <w:t>at Aspen Avenue</w:t>
      </w:r>
      <w:r w:rsidR="00D70EEC">
        <w:t xml:space="preserve"> from November 21, 2013 to April 27, 2015</w:t>
      </w:r>
      <w:r w:rsidR="00230BA7">
        <w:t>, is listed in the below chart.</w:t>
      </w:r>
      <w:r w:rsidR="00C93AB0">
        <w:t xml:space="preserve"> </w:t>
      </w:r>
      <w:r w:rsidR="00230BA7">
        <w:t xml:space="preserve"> Complainant’s</w:t>
      </w:r>
      <w:r w:rsidR="005B6D29">
        <w:t xml:space="preserve"> </w:t>
      </w:r>
      <w:r w:rsidR="006144A7">
        <w:t>service usage and payment history comparison f</w:t>
      </w:r>
      <w:r w:rsidR="00114CE5">
        <w:t>or</w:t>
      </w:r>
      <w:r w:rsidR="006144A7">
        <w:t xml:space="preserve"> the </w:t>
      </w:r>
      <w:r w:rsidR="00230BA7">
        <w:t>monthly billing periods,</w:t>
      </w:r>
      <w:r w:rsidR="00650688">
        <w:t xml:space="preserve"> </w:t>
      </w:r>
      <w:r w:rsidR="00230BA7">
        <w:t xml:space="preserve">December 2013 </w:t>
      </w:r>
      <w:r w:rsidR="00650688">
        <w:t>and December 201</w:t>
      </w:r>
      <w:r w:rsidR="00230BA7">
        <w:t>4</w:t>
      </w:r>
      <w:r w:rsidR="001B3188">
        <w:t>,</w:t>
      </w:r>
      <w:r w:rsidR="00230BA7">
        <w:t xml:space="preserve"> January 2014 through April </w:t>
      </w:r>
      <w:r w:rsidR="00650688">
        <w:t>2014</w:t>
      </w:r>
      <w:r w:rsidR="001B3188">
        <w:t>,</w:t>
      </w:r>
      <w:r w:rsidR="00650688">
        <w:t xml:space="preserve"> and </w:t>
      </w:r>
      <w:r w:rsidR="00230BA7">
        <w:t>January 2015 through April 2015,</w:t>
      </w:r>
      <w:r w:rsidR="006144A7">
        <w:t xml:space="preserve"> is </w:t>
      </w:r>
      <w:r w:rsidR="00D70EEC">
        <w:t>as follows:</w:t>
      </w:r>
    </w:p>
    <w:p w:rsidR="009E5EF9" w:rsidRDefault="009E5EF9" w:rsidP="007A413A">
      <w:pPr>
        <w:tabs>
          <w:tab w:val="left" w:pos="0"/>
        </w:tabs>
        <w:autoSpaceDE w:val="0"/>
        <w:autoSpaceDN w:val="0"/>
      </w:pPr>
    </w:p>
    <w:tbl>
      <w:tblPr>
        <w:tblStyle w:val="TableGrid"/>
        <w:tblW w:w="9270" w:type="dxa"/>
        <w:tblInd w:w="198" w:type="dxa"/>
        <w:tblLayout w:type="fixed"/>
        <w:tblLook w:val="04A0" w:firstRow="1" w:lastRow="0" w:firstColumn="1" w:lastColumn="0" w:noHBand="0" w:noVBand="1"/>
      </w:tblPr>
      <w:tblGrid>
        <w:gridCol w:w="2340"/>
        <w:gridCol w:w="1260"/>
        <w:gridCol w:w="270"/>
        <w:gridCol w:w="1800"/>
        <w:gridCol w:w="2430"/>
        <w:gridCol w:w="1170"/>
      </w:tblGrid>
      <w:tr w:rsidR="00D01819" w:rsidRPr="002E707A" w:rsidTr="00D01819">
        <w:trPr>
          <w:trHeight w:val="593"/>
        </w:trPr>
        <w:tc>
          <w:tcPr>
            <w:tcW w:w="2340" w:type="dxa"/>
            <w:vAlign w:val="center"/>
          </w:tcPr>
          <w:p w:rsidR="008B706C" w:rsidRPr="002E707A" w:rsidRDefault="008B706C" w:rsidP="002E707A">
            <w:pPr>
              <w:jc w:val="center"/>
              <w:rPr>
                <w:rFonts w:ascii="Times New Roman" w:hAnsi="Times New Roman"/>
                <w:sz w:val="24"/>
              </w:rPr>
            </w:pPr>
            <w:r w:rsidRPr="002E707A">
              <w:rPr>
                <w:rFonts w:ascii="Times New Roman" w:hAnsi="Times New Roman"/>
                <w:sz w:val="24"/>
              </w:rPr>
              <w:t>Billing Period</w:t>
            </w:r>
          </w:p>
        </w:tc>
        <w:tc>
          <w:tcPr>
            <w:tcW w:w="1260" w:type="dxa"/>
            <w:vAlign w:val="center"/>
          </w:tcPr>
          <w:p w:rsidR="008B706C" w:rsidRPr="002E707A" w:rsidRDefault="008B706C" w:rsidP="0015385F">
            <w:pPr>
              <w:jc w:val="center"/>
              <w:rPr>
                <w:rFonts w:ascii="Times New Roman" w:hAnsi="Times New Roman"/>
                <w:sz w:val="24"/>
              </w:rPr>
            </w:pPr>
            <w:r w:rsidRPr="002E707A">
              <w:rPr>
                <w:rFonts w:ascii="Times New Roman" w:hAnsi="Times New Roman"/>
                <w:sz w:val="24"/>
              </w:rPr>
              <w:t>Gas Usage</w:t>
            </w:r>
          </w:p>
        </w:tc>
        <w:tc>
          <w:tcPr>
            <w:tcW w:w="270" w:type="dxa"/>
          </w:tcPr>
          <w:p w:rsidR="008B706C" w:rsidRPr="002E707A" w:rsidRDefault="008B706C" w:rsidP="0015385F">
            <w:pPr>
              <w:jc w:val="center"/>
            </w:pPr>
          </w:p>
        </w:tc>
        <w:tc>
          <w:tcPr>
            <w:tcW w:w="1800" w:type="dxa"/>
            <w:vAlign w:val="center"/>
          </w:tcPr>
          <w:p w:rsidR="008B706C" w:rsidRPr="002E707A" w:rsidRDefault="008B706C" w:rsidP="0015385F">
            <w:pPr>
              <w:jc w:val="center"/>
              <w:rPr>
                <w:rFonts w:ascii="Times New Roman" w:hAnsi="Times New Roman"/>
                <w:sz w:val="24"/>
              </w:rPr>
            </w:pPr>
            <w:r w:rsidRPr="002E707A">
              <w:rPr>
                <w:rFonts w:ascii="Times New Roman" w:hAnsi="Times New Roman"/>
                <w:sz w:val="24"/>
              </w:rPr>
              <w:t>Electric Usage</w:t>
            </w:r>
          </w:p>
        </w:tc>
        <w:tc>
          <w:tcPr>
            <w:tcW w:w="2430" w:type="dxa"/>
            <w:vAlign w:val="center"/>
          </w:tcPr>
          <w:p w:rsidR="008B706C" w:rsidRPr="002E707A" w:rsidRDefault="008B706C" w:rsidP="008B706C">
            <w:pPr>
              <w:ind w:left="-18" w:firstLine="18"/>
              <w:jc w:val="center"/>
              <w:rPr>
                <w:rFonts w:ascii="Times New Roman" w:hAnsi="Times New Roman"/>
                <w:sz w:val="24"/>
              </w:rPr>
            </w:pPr>
            <w:r>
              <w:rPr>
                <w:rFonts w:ascii="Times New Roman" w:hAnsi="Times New Roman"/>
                <w:sz w:val="24"/>
              </w:rPr>
              <w:t>Current Usage Charge</w:t>
            </w:r>
          </w:p>
        </w:tc>
        <w:tc>
          <w:tcPr>
            <w:tcW w:w="1170" w:type="dxa"/>
          </w:tcPr>
          <w:p w:rsidR="008B706C" w:rsidRPr="00544ED5" w:rsidRDefault="008B706C" w:rsidP="002E707A">
            <w:pPr>
              <w:jc w:val="center"/>
              <w:rPr>
                <w:rFonts w:ascii="Times New Roman" w:hAnsi="Times New Roman"/>
                <w:sz w:val="24"/>
              </w:rPr>
            </w:pPr>
            <w:r w:rsidRPr="00544ED5">
              <w:rPr>
                <w:rFonts w:ascii="Times New Roman" w:hAnsi="Times New Roman"/>
                <w:sz w:val="24"/>
              </w:rPr>
              <w:t>Amount</w:t>
            </w:r>
          </w:p>
          <w:p w:rsidR="008B706C" w:rsidRPr="002E707A" w:rsidRDefault="008B706C" w:rsidP="002E707A">
            <w:pPr>
              <w:jc w:val="center"/>
            </w:pPr>
            <w:r w:rsidRPr="00544ED5">
              <w:rPr>
                <w:rFonts w:ascii="Times New Roman" w:hAnsi="Times New Roman"/>
                <w:sz w:val="24"/>
              </w:rPr>
              <w:t>Paid</w:t>
            </w:r>
            <w:r w:rsidR="0015385F">
              <w:rPr>
                <w:rFonts w:ascii="Times New Roman" w:hAnsi="Times New Roman"/>
                <w:sz w:val="24"/>
              </w:rPr>
              <w:t>/Date</w:t>
            </w:r>
          </w:p>
        </w:tc>
      </w:tr>
      <w:tr w:rsidR="00D01819" w:rsidRPr="002E707A" w:rsidTr="00D01819">
        <w:trPr>
          <w:trHeight w:val="602"/>
        </w:trPr>
        <w:tc>
          <w:tcPr>
            <w:tcW w:w="2340" w:type="dxa"/>
            <w:vAlign w:val="center"/>
          </w:tcPr>
          <w:p w:rsidR="008B706C" w:rsidRPr="002E707A" w:rsidRDefault="008B706C" w:rsidP="002E707A">
            <w:pPr>
              <w:jc w:val="center"/>
              <w:rPr>
                <w:rFonts w:ascii="Times New Roman" w:hAnsi="Times New Roman"/>
                <w:sz w:val="24"/>
              </w:rPr>
            </w:pPr>
            <w:r w:rsidRPr="002E707A">
              <w:rPr>
                <w:rFonts w:ascii="Times New Roman" w:hAnsi="Times New Roman"/>
                <w:sz w:val="24"/>
              </w:rPr>
              <w:t>11/21/13</w:t>
            </w:r>
            <w:r>
              <w:rPr>
                <w:rFonts w:ascii="Times New Roman" w:hAnsi="Times New Roman"/>
                <w:sz w:val="24"/>
              </w:rPr>
              <w:t xml:space="preserve"> to </w:t>
            </w:r>
            <w:r w:rsidRPr="002E707A">
              <w:rPr>
                <w:rFonts w:ascii="Times New Roman" w:hAnsi="Times New Roman"/>
                <w:sz w:val="24"/>
              </w:rPr>
              <w:t>12/26/13</w:t>
            </w:r>
          </w:p>
        </w:tc>
        <w:tc>
          <w:tcPr>
            <w:tcW w:w="1260" w:type="dxa"/>
            <w:vAlign w:val="center"/>
          </w:tcPr>
          <w:p w:rsidR="008B706C" w:rsidRPr="002E707A" w:rsidRDefault="008B706C" w:rsidP="0015385F">
            <w:pPr>
              <w:jc w:val="center"/>
              <w:rPr>
                <w:rFonts w:ascii="Times New Roman" w:hAnsi="Times New Roman"/>
                <w:sz w:val="24"/>
              </w:rPr>
            </w:pPr>
            <w:r>
              <w:rPr>
                <w:rFonts w:ascii="Times New Roman" w:hAnsi="Times New Roman"/>
                <w:sz w:val="24"/>
              </w:rPr>
              <w:t>74 CCF</w:t>
            </w:r>
          </w:p>
        </w:tc>
        <w:tc>
          <w:tcPr>
            <w:tcW w:w="270" w:type="dxa"/>
          </w:tcPr>
          <w:p w:rsidR="008B706C" w:rsidRPr="002E707A" w:rsidRDefault="008B706C" w:rsidP="0015385F">
            <w:pPr>
              <w:jc w:val="center"/>
            </w:pPr>
          </w:p>
        </w:tc>
        <w:tc>
          <w:tcPr>
            <w:tcW w:w="1800" w:type="dxa"/>
            <w:vAlign w:val="center"/>
          </w:tcPr>
          <w:p w:rsidR="008B706C" w:rsidRPr="002E707A" w:rsidRDefault="008B706C" w:rsidP="0015385F">
            <w:pPr>
              <w:jc w:val="center"/>
              <w:rPr>
                <w:rFonts w:ascii="Times New Roman" w:hAnsi="Times New Roman"/>
                <w:sz w:val="24"/>
              </w:rPr>
            </w:pPr>
            <w:r w:rsidRPr="002E707A">
              <w:rPr>
                <w:rFonts w:ascii="Times New Roman" w:hAnsi="Times New Roman"/>
                <w:sz w:val="24"/>
              </w:rPr>
              <w:t xml:space="preserve">961 </w:t>
            </w:r>
            <w:r>
              <w:rPr>
                <w:rFonts w:ascii="Times New Roman" w:hAnsi="Times New Roman"/>
                <w:sz w:val="24"/>
              </w:rPr>
              <w:t>k</w:t>
            </w:r>
            <w:r w:rsidRPr="002E707A">
              <w:rPr>
                <w:rFonts w:ascii="Times New Roman" w:hAnsi="Times New Roman"/>
                <w:sz w:val="24"/>
              </w:rPr>
              <w:t>Wh</w:t>
            </w:r>
          </w:p>
        </w:tc>
        <w:tc>
          <w:tcPr>
            <w:tcW w:w="2430" w:type="dxa"/>
            <w:vAlign w:val="center"/>
          </w:tcPr>
          <w:p w:rsidR="008B706C" w:rsidRDefault="008B706C" w:rsidP="0032283E">
            <w:pPr>
              <w:ind w:left="432"/>
              <w:rPr>
                <w:rFonts w:ascii="Times New Roman" w:hAnsi="Times New Roman"/>
                <w:sz w:val="24"/>
              </w:rPr>
            </w:pPr>
            <w:r>
              <w:rPr>
                <w:rFonts w:ascii="Times New Roman" w:hAnsi="Times New Roman"/>
                <w:sz w:val="24"/>
              </w:rPr>
              <w:t>$</w:t>
            </w:r>
            <w:r w:rsidR="000C4328">
              <w:rPr>
                <w:rFonts w:ascii="Times New Roman" w:hAnsi="Times New Roman"/>
                <w:sz w:val="24"/>
              </w:rPr>
              <w:t xml:space="preserve">  80.89</w:t>
            </w:r>
            <w:r>
              <w:rPr>
                <w:rFonts w:ascii="Times New Roman" w:hAnsi="Times New Roman"/>
                <w:sz w:val="24"/>
              </w:rPr>
              <w:t xml:space="preserve"> Gas</w:t>
            </w:r>
          </w:p>
          <w:p w:rsidR="008B706C" w:rsidRDefault="008B706C" w:rsidP="0032283E">
            <w:pPr>
              <w:ind w:left="432"/>
              <w:rPr>
                <w:rFonts w:ascii="Times New Roman" w:hAnsi="Times New Roman"/>
                <w:sz w:val="24"/>
              </w:rPr>
            </w:pPr>
            <w:r>
              <w:rPr>
                <w:rFonts w:ascii="Times New Roman" w:hAnsi="Times New Roman"/>
                <w:sz w:val="24"/>
              </w:rPr>
              <w:t>$</w:t>
            </w:r>
            <w:r w:rsidR="000C4328">
              <w:rPr>
                <w:rFonts w:ascii="Times New Roman" w:hAnsi="Times New Roman"/>
                <w:sz w:val="24"/>
              </w:rPr>
              <w:t>318.03</w:t>
            </w:r>
            <w:r>
              <w:rPr>
                <w:rFonts w:ascii="Times New Roman" w:hAnsi="Times New Roman"/>
                <w:sz w:val="24"/>
              </w:rPr>
              <w:t xml:space="preserve"> Electric</w:t>
            </w:r>
          </w:p>
          <w:p w:rsidR="008B706C" w:rsidRPr="002E707A" w:rsidRDefault="008B706C" w:rsidP="00BD212A">
            <w:pPr>
              <w:jc w:val="center"/>
              <w:rPr>
                <w:rFonts w:ascii="Times New Roman" w:hAnsi="Times New Roman"/>
                <w:sz w:val="24"/>
              </w:rPr>
            </w:pPr>
            <w:r>
              <w:rPr>
                <w:rFonts w:ascii="Times New Roman" w:hAnsi="Times New Roman"/>
                <w:sz w:val="24"/>
              </w:rPr>
              <w:t>$156.03 Late Charge</w:t>
            </w:r>
          </w:p>
        </w:tc>
        <w:tc>
          <w:tcPr>
            <w:tcW w:w="1170" w:type="dxa"/>
          </w:tcPr>
          <w:p w:rsidR="008B706C" w:rsidRDefault="008B706C" w:rsidP="00BD212A">
            <w:pPr>
              <w:jc w:val="center"/>
              <w:rPr>
                <w:rFonts w:ascii="Times New Roman" w:hAnsi="Times New Roman"/>
                <w:sz w:val="24"/>
              </w:rPr>
            </w:pPr>
          </w:p>
          <w:p w:rsidR="008B706C" w:rsidRPr="002B31D9" w:rsidRDefault="008B706C" w:rsidP="00BD212A">
            <w:pPr>
              <w:jc w:val="center"/>
              <w:rPr>
                <w:rFonts w:ascii="Times New Roman" w:hAnsi="Times New Roman"/>
                <w:sz w:val="24"/>
              </w:rPr>
            </w:pPr>
            <w:r w:rsidRPr="002B31D9">
              <w:rPr>
                <w:rFonts w:ascii="Times New Roman" w:hAnsi="Times New Roman"/>
                <w:sz w:val="24"/>
              </w:rPr>
              <w:t>$0.00</w:t>
            </w:r>
          </w:p>
        </w:tc>
      </w:tr>
      <w:tr w:rsidR="00D01819" w:rsidRPr="002E707A" w:rsidTr="00D01819">
        <w:trPr>
          <w:trHeight w:val="416"/>
        </w:trPr>
        <w:tc>
          <w:tcPr>
            <w:tcW w:w="2340" w:type="dxa"/>
            <w:tcBorders>
              <w:bottom w:val="single" w:sz="4" w:space="0" w:color="000000" w:themeColor="text1"/>
            </w:tcBorders>
            <w:vAlign w:val="center"/>
          </w:tcPr>
          <w:p w:rsidR="008B706C" w:rsidRPr="002E707A" w:rsidRDefault="008B706C" w:rsidP="002E707A">
            <w:pPr>
              <w:jc w:val="center"/>
              <w:rPr>
                <w:rFonts w:ascii="Times New Roman" w:hAnsi="Times New Roman"/>
                <w:sz w:val="24"/>
              </w:rPr>
            </w:pPr>
            <w:r w:rsidRPr="002E707A">
              <w:rPr>
                <w:rFonts w:ascii="Times New Roman" w:hAnsi="Times New Roman"/>
                <w:sz w:val="24"/>
              </w:rPr>
              <w:t>11/23</w:t>
            </w:r>
            <w:r>
              <w:rPr>
                <w:rFonts w:ascii="Times New Roman" w:hAnsi="Times New Roman"/>
                <w:sz w:val="24"/>
              </w:rPr>
              <w:t>/14 to 12/28/14</w:t>
            </w:r>
          </w:p>
        </w:tc>
        <w:tc>
          <w:tcPr>
            <w:tcW w:w="1260" w:type="dxa"/>
            <w:tcBorders>
              <w:bottom w:val="single" w:sz="4" w:space="0" w:color="000000" w:themeColor="text1"/>
            </w:tcBorders>
            <w:vAlign w:val="center"/>
          </w:tcPr>
          <w:p w:rsidR="008B706C" w:rsidRPr="002E707A" w:rsidRDefault="008B706C" w:rsidP="0015385F">
            <w:pPr>
              <w:jc w:val="center"/>
              <w:rPr>
                <w:rFonts w:ascii="Times New Roman" w:hAnsi="Times New Roman"/>
                <w:sz w:val="24"/>
              </w:rPr>
            </w:pPr>
            <w:r>
              <w:rPr>
                <w:rFonts w:ascii="Times New Roman" w:hAnsi="Times New Roman"/>
                <w:sz w:val="24"/>
              </w:rPr>
              <w:t>80 CCF</w:t>
            </w:r>
          </w:p>
        </w:tc>
        <w:tc>
          <w:tcPr>
            <w:tcW w:w="270" w:type="dxa"/>
            <w:tcBorders>
              <w:bottom w:val="single" w:sz="4" w:space="0" w:color="000000" w:themeColor="text1"/>
            </w:tcBorders>
          </w:tcPr>
          <w:p w:rsidR="008B706C" w:rsidRDefault="008B706C" w:rsidP="0015385F">
            <w:pPr>
              <w:jc w:val="center"/>
            </w:pPr>
          </w:p>
        </w:tc>
        <w:tc>
          <w:tcPr>
            <w:tcW w:w="1800" w:type="dxa"/>
            <w:tcBorders>
              <w:bottom w:val="single" w:sz="4" w:space="0" w:color="000000" w:themeColor="text1"/>
            </w:tcBorders>
            <w:vAlign w:val="center"/>
          </w:tcPr>
          <w:p w:rsidR="008B706C" w:rsidRPr="002E707A" w:rsidRDefault="008B706C" w:rsidP="0015385F">
            <w:pPr>
              <w:jc w:val="center"/>
              <w:rPr>
                <w:rFonts w:ascii="Times New Roman" w:hAnsi="Times New Roman"/>
                <w:sz w:val="24"/>
              </w:rPr>
            </w:pPr>
            <w:r>
              <w:rPr>
                <w:rFonts w:ascii="Times New Roman" w:hAnsi="Times New Roman"/>
                <w:sz w:val="24"/>
              </w:rPr>
              <w:t>848 kWh</w:t>
            </w:r>
          </w:p>
        </w:tc>
        <w:tc>
          <w:tcPr>
            <w:tcW w:w="2430" w:type="dxa"/>
            <w:tcBorders>
              <w:bottom w:val="single" w:sz="4" w:space="0" w:color="000000" w:themeColor="text1"/>
            </w:tcBorders>
            <w:vAlign w:val="center"/>
          </w:tcPr>
          <w:p w:rsidR="008B706C" w:rsidRDefault="008B706C" w:rsidP="0032283E">
            <w:pPr>
              <w:ind w:left="432"/>
              <w:rPr>
                <w:rFonts w:ascii="Times New Roman" w:hAnsi="Times New Roman"/>
                <w:sz w:val="24"/>
              </w:rPr>
            </w:pPr>
            <w:r>
              <w:rPr>
                <w:rFonts w:ascii="Times New Roman" w:hAnsi="Times New Roman"/>
                <w:sz w:val="24"/>
              </w:rPr>
              <w:t>$  66.51 Gas</w:t>
            </w:r>
          </w:p>
          <w:p w:rsidR="008B706C" w:rsidRPr="00B36AB7" w:rsidRDefault="008B706C" w:rsidP="0032283E">
            <w:pPr>
              <w:ind w:left="432"/>
              <w:rPr>
                <w:rFonts w:ascii="Times New Roman" w:hAnsi="Times New Roman"/>
                <w:sz w:val="24"/>
                <w:u w:val="single"/>
              </w:rPr>
            </w:pPr>
            <w:r w:rsidRPr="00B36AB7">
              <w:rPr>
                <w:rFonts w:ascii="Times New Roman" w:hAnsi="Times New Roman"/>
                <w:sz w:val="24"/>
                <w:u w:val="single"/>
              </w:rPr>
              <w:t>$</w:t>
            </w:r>
            <w:r>
              <w:rPr>
                <w:rFonts w:ascii="Times New Roman" w:hAnsi="Times New Roman"/>
                <w:sz w:val="24"/>
                <w:u w:val="single"/>
              </w:rPr>
              <w:t xml:space="preserve">  </w:t>
            </w:r>
            <w:r w:rsidRPr="00B36AB7">
              <w:rPr>
                <w:rFonts w:ascii="Times New Roman" w:hAnsi="Times New Roman"/>
                <w:sz w:val="24"/>
                <w:u w:val="single"/>
              </w:rPr>
              <w:t>63.29 Electric</w:t>
            </w:r>
          </w:p>
          <w:p w:rsidR="008B706C" w:rsidRPr="002E707A" w:rsidRDefault="008B706C" w:rsidP="002B31D9">
            <w:pPr>
              <w:jc w:val="center"/>
              <w:rPr>
                <w:rFonts w:ascii="Times New Roman" w:hAnsi="Times New Roman"/>
                <w:sz w:val="24"/>
              </w:rPr>
            </w:pPr>
            <w:r>
              <w:rPr>
                <w:rFonts w:ascii="Times New Roman" w:hAnsi="Times New Roman"/>
                <w:sz w:val="24"/>
              </w:rPr>
              <w:t>$129.80 Total</w:t>
            </w:r>
          </w:p>
        </w:tc>
        <w:tc>
          <w:tcPr>
            <w:tcW w:w="1170" w:type="dxa"/>
            <w:tcBorders>
              <w:bottom w:val="single" w:sz="4" w:space="0" w:color="000000" w:themeColor="text1"/>
            </w:tcBorders>
          </w:tcPr>
          <w:p w:rsidR="008B706C" w:rsidRDefault="008B706C" w:rsidP="002B31D9">
            <w:pPr>
              <w:jc w:val="center"/>
              <w:rPr>
                <w:rFonts w:ascii="Times New Roman" w:hAnsi="Times New Roman"/>
                <w:sz w:val="24"/>
              </w:rPr>
            </w:pPr>
            <w:r w:rsidRPr="00544ED5">
              <w:rPr>
                <w:rFonts w:ascii="Times New Roman" w:hAnsi="Times New Roman"/>
                <w:sz w:val="24"/>
              </w:rPr>
              <w:t>$129.80</w:t>
            </w:r>
          </w:p>
          <w:p w:rsidR="008B706C" w:rsidRDefault="008B706C" w:rsidP="002B31D9">
            <w:pPr>
              <w:jc w:val="center"/>
              <w:rPr>
                <w:rFonts w:ascii="Times New Roman" w:hAnsi="Times New Roman"/>
                <w:sz w:val="24"/>
              </w:rPr>
            </w:pPr>
            <w:r w:rsidRPr="00544ED5">
              <w:rPr>
                <w:rFonts w:ascii="Times New Roman" w:hAnsi="Times New Roman"/>
                <w:sz w:val="24"/>
              </w:rPr>
              <w:t>LIHEAP $114.0</w:t>
            </w:r>
            <w:r>
              <w:rPr>
                <w:rFonts w:ascii="Times New Roman" w:hAnsi="Times New Roman"/>
                <w:sz w:val="24"/>
              </w:rPr>
              <w:t>0</w:t>
            </w:r>
          </w:p>
          <w:p w:rsidR="00ED03AA" w:rsidRPr="002E707A" w:rsidRDefault="00ED03AA" w:rsidP="002B31D9">
            <w:pPr>
              <w:jc w:val="center"/>
            </w:pPr>
            <w:r>
              <w:rPr>
                <w:rFonts w:ascii="Times New Roman" w:hAnsi="Times New Roman"/>
                <w:sz w:val="24"/>
              </w:rPr>
              <w:t>1/22/15</w:t>
            </w:r>
          </w:p>
        </w:tc>
      </w:tr>
      <w:tr w:rsidR="00D01819" w:rsidRPr="002E707A" w:rsidTr="00D01819">
        <w:trPr>
          <w:trHeight w:val="416"/>
        </w:trPr>
        <w:tc>
          <w:tcPr>
            <w:tcW w:w="2340" w:type="dxa"/>
            <w:shd w:val="pct10" w:color="auto" w:fill="auto"/>
            <w:vAlign w:val="center"/>
          </w:tcPr>
          <w:p w:rsidR="008B706C" w:rsidRPr="002E707A" w:rsidRDefault="008B706C" w:rsidP="002E707A">
            <w:pPr>
              <w:jc w:val="center"/>
              <w:rPr>
                <w:rFonts w:ascii="Times New Roman" w:hAnsi="Times New Roman"/>
                <w:sz w:val="24"/>
              </w:rPr>
            </w:pPr>
            <w:r w:rsidRPr="002E707A">
              <w:rPr>
                <w:rFonts w:ascii="Times New Roman" w:hAnsi="Times New Roman"/>
                <w:sz w:val="24"/>
              </w:rPr>
              <w:t xml:space="preserve">12/26/13 </w:t>
            </w:r>
            <w:r>
              <w:rPr>
                <w:rFonts w:ascii="Times New Roman" w:hAnsi="Times New Roman"/>
                <w:sz w:val="24"/>
              </w:rPr>
              <w:t>to 01/28/14</w:t>
            </w:r>
          </w:p>
        </w:tc>
        <w:tc>
          <w:tcPr>
            <w:tcW w:w="1260" w:type="dxa"/>
            <w:shd w:val="pct10" w:color="auto" w:fill="auto"/>
            <w:vAlign w:val="center"/>
          </w:tcPr>
          <w:p w:rsidR="008B706C" w:rsidRPr="002E707A" w:rsidRDefault="008B706C" w:rsidP="0015385F">
            <w:pPr>
              <w:jc w:val="center"/>
              <w:rPr>
                <w:rFonts w:ascii="Times New Roman" w:hAnsi="Times New Roman"/>
                <w:sz w:val="24"/>
              </w:rPr>
            </w:pPr>
            <w:r>
              <w:rPr>
                <w:rFonts w:ascii="Times New Roman" w:hAnsi="Times New Roman"/>
                <w:sz w:val="24"/>
              </w:rPr>
              <w:t>137 CCF</w:t>
            </w:r>
          </w:p>
        </w:tc>
        <w:tc>
          <w:tcPr>
            <w:tcW w:w="270" w:type="dxa"/>
            <w:shd w:val="pct10" w:color="auto" w:fill="auto"/>
          </w:tcPr>
          <w:p w:rsidR="008B706C" w:rsidRDefault="008B706C" w:rsidP="0015385F">
            <w:pPr>
              <w:jc w:val="center"/>
            </w:pPr>
          </w:p>
        </w:tc>
        <w:tc>
          <w:tcPr>
            <w:tcW w:w="1800" w:type="dxa"/>
            <w:shd w:val="pct10" w:color="auto" w:fill="auto"/>
            <w:vAlign w:val="center"/>
          </w:tcPr>
          <w:p w:rsidR="008B706C" w:rsidRPr="002E707A" w:rsidRDefault="008B706C" w:rsidP="0015385F">
            <w:pPr>
              <w:jc w:val="center"/>
              <w:rPr>
                <w:rFonts w:ascii="Times New Roman" w:hAnsi="Times New Roman"/>
                <w:sz w:val="24"/>
              </w:rPr>
            </w:pPr>
            <w:r>
              <w:rPr>
                <w:rFonts w:ascii="Times New Roman" w:hAnsi="Times New Roman"/>
                <w:sz w:val="24"/>
              </w:rPr>
              <w:t>1774 kWh</w:t>
            </w:r>
          </w:p>
        </w:tc>
        <w:tc>
          <w:tcPr>
            <w:tcW w:w="2430" w:type="dxa"/>
            <w:shd w:val="clear" w:color="auto" w:fill="D9D9D9" w:themeFill="background1" w:themeFillShade="D9"/>
            <w:vAlign w:val="center"/>
          </w:tcPr>
          <w:p w:rsidR="008B706C" w:rsidRDefault="008B706C" w:rsidP="0032283E">
            <w:pPr>
              <w:ind w:left="432"/>
              <w:rPr>
                <w:rFonts w:ascii="Times New Roman" w:hAnsi="Times New Roman"/>
                <w:sz w:val="24"/>
              </w:rPr>
            </w:pPr>
            <w:r>
              <w:rPr>
                <w:rFonts w:ascii="Times New Roman" w:hAnsi="Times New Roman"/>
                <w:sz w:val="24"/>
              </w:rPr>
              <w:t>$138.26 Gas</w:t>
            </w:r>
          </w:p>
          <w:p w:rsidR="008B706C" w:rsidRDefault="008B706C" w:rsidP="0032283E">
            <w:pPr>
              <w:ind w:left="432"/>
              <w:rPr>
                <w:rFonts w:ascii="Times New Roman" w:hAnsi="Times New Roman"/>
                <w:sz w:val="24"/>
              </w:rPr>
            </w:pPr>
            <w:r>
              <w:rPr>
                <w:rFonts w:ascii="Times New Roman" w:hAnsi="Times New Roman"/>
                <w:sz w:val="24"/>
              </w:rPr>
              <w:t>$285.55 Electric</w:t>
            </w:r>
          </w:p>
          <w:p w:rsidR="008B706C" w:rsidRPr="002E707A" w:rsidRDefault="008B706C" w:rsidP="00B648E6">
            <w:pPr>
              <w:jc w:val="center"/>
              <w:rPr>
                <w:rFonts w:ascii="Times New Roman" w:hAnsi="Times New Roman"/>
                <w:sz w:val="24"/>
              </w:rPr>
            </w:pPr>
            <w:r>
              <w:rPr>
                <w:rFonts w:ascii="Times New Roman" w:hAnsi="Times New Roman"/>
                <w:sz w:val="24"/>
              </w:rPr>
              <w:t>$156.03 Late Charge</w:t>
            </w:r>
          </w:p>
        </w:tc>
        <w:tc>
          <w:tcPr>
            <w:tcW w:w="1170" w:type="dxa"/>
            <w:shd w:val="clear" w:color="auto" w:fill="D9D9D9" w:themeFill="background1" w:themeFillShade="D9"/>
          </w:tcPr>
          <w:p w:rsidR="008B706C" w:rsidRDefault="008B706C" w:rsidP="00B648E6">
            <w:pPr>
              <w:jc w:val="center"/>
            </w:pPr>
          </w:p>
          <w:p w:rsidR="008B706C" w:rsidRPr="00B648E6" w:rsidRDefault="008B706C" w:rsidP="00B648E6">
            <w:pPr>
              <w:jc w:val="center"/>
              <w:rPr>
                <w:rFonts w:ascii="Times New Roman" w:hAnsi="Times New Roman"/>
                <w:sz w:val="24"/>
              </w:rPr>
            </w:pPr>
            <w:r w:rsidRPr="00B648E6">
              <w:rPr>
                <w:rFonts w:ascii="Times New Roman" w:hAnsi="Times New Roman"/>
                <w:sz w:val="24"/>
              </w:rPr>
              <w:t>$0.00</w:t>
            </w:r>
          </w:p>
        </w:tc>
      </w:tr>
      <w:tr w:rsidR="00D01819" w:rsidRPr="002E707A" w:rsidTr="00D01819">
        <w:trPr>
          <w:trHeight w:val="638"/>
        </w:trPr>
        <w:tc>
          <w:tcPr>
            <w:tcW w:w="2340" w:type="dxa"/>
            <w:shd w:val="pct10" w:color="auto" w:fill="auto"/>
            <w:vAlign w:val="center"/>
          </w:tcPr>
          <w:p w:rsidR="008B706C" w:rsidRPr="002E707A" w:rsidRDefault="008B706C" w:rsidP="002E707A">
            <w:pPr>
              <w:jc w:val="center"/>
              <w:rPr>
                <w:rFonts w:ascii="Times New Roman" w:hAnsi="Times New Roman"/>
                <w:sz w:val="24"/>
              </w:rPr>
            </w:pPr>
            <w:r>
              <w:rPr>
                <w:rFonts w:ascii="Times New Roman" w:hAnsi="Times New Roman"/>
                <w:sz w:val="24"/>
              </w:rPr>
              <w:t xml:space="preserve">12/28/14 to </w:t>
            </w:r>
            <w:r w:rsidRPr="002E707A">
              <w:rPr>
                <w:rFonts w:ascii="Times New Roman" w:hAnsi="Times New Roman"/>
                <w:sz w:val="24"/>
              </w:rPr>
              <w:t>01/</w:t>
            </w:r>
            <w:r>
              <w:rPr>
                <w:rFonts w:ascii="Times New Roman" w:hAnsi="Times New Roman"/>
                <w:sz w:val="24"/>
              </w:rPr>
              <w:t>28/15</w:t>
            </w:r>
          </w:p>
        </w:tc>
        <w:tc>
          <w:tcPr>
            <w:tcW w:w="1260" w:type="dxa"/>
            <w:shd w:val="pct10" w:color="auto" w:fill="auto"/>
            <w:vAlign w:val="center"/>
          </w:tcPr>
          <w:p w:rsidR="008B706C" w:rsidRPr="002E707A" w:rsidRDefault="008B706C" w:rsidP="0015385F">
            <w:pPr>
              <w:jc w:val="center"/>
              <w:rPr>
                <w:rFonts w:ascii="Times New Roman" w:hAnsi="Times New Roman"/>
                <w:sz w:val="24"/>
              </w:rPr>
            </w:pPr>
            <w:r>
              <w:rPr>
                <w:rFonts w:ascii="Times New Roman" w:hAnsi="Times New Roman"/>
                <w:sz w:val="24"/>
              </w:rPr>
              <w:t>104 CCF</w:t>
            </w:r>
          </w:p>
        </w:tc>
        <w:tc>
          <w:tcPr>
            <w:tcW w:w="270" w:type="dxa"/>
            <w:shd w:val="pct10" w:color="auto" w:fill="auto"/>
          </w:tcPr>
          <w:p w:rsidR="008B706C" w:rsidRPr="002E707A" w:rsidRDefault="008B706C" w:rsidP="0015385F">
            <w:pPr>
              <w:jc w:val="center"/>
            </w:pPr>
          </w:p>
        </w:tc>
        <w:tc>
          <w:tcPr>
            <w:tcW w:w="1800" w:type="dxa"/>
            <w:shd w:val="pct10" w:color="auto" w:fill="auto"/>
            <w:vAlign w:val="center"/>
          </w:tcPr>
          <w:p w:rsidR="008B706C" w:rsidRPr="002E707A" w:rsidRDefault="008B706C" w:rsidP="0015385F">
            <w:pPr>
              <w:jc w:val="center"/>
              <w:rPr>
                <w:rFonts w:ascii="Times New Roman" w:hAnsi="Times New Roman"/>
                <w:sz w:val="24"/>
              </w:rPr>
            </w:pPr>
            <w:r w:rsidRPr="002E707A">
              <w:rPr>
                <w:rFonts w:ascii="Times New Roman" w:hAnsi="Times New Roman"/>
                <w:sz w:val="24"/>
              </w:rPr>
              <w:t>7</w:t>
            </w:r>
            <w:r>
              <w:rPr>
                <w:rFonts w:ascii="Times New Roman" w:hAnsi="Times New Roman"/>
                <w:sz w:val="24"/>
              </w:rPr>
              <w:t>30 k</w:t>
            </w:r>
            <w:r w:rsidRPr="002E707A">
              <w:rPr>
                <w:rFonts w:ascii="Times New Roman" w:hAnsi="Times New Roman"/>
                <w:sz w:val="24"/>
              </w:rPr>
              <w:t>Wh</w:t>
            </w:r>
          </w:p>
        </w:tc>
        <w:tc>
          <w:tcPr>
            <w:tcW w:w="2430" w:type="dxa"/>
            <w:shd w:val="clear" w:color="auto" w:fill="D9D9D9" w:themeFill="background1" w:themeFillShade="D9"/>
            <w:vAlign w:val="center"/>
          </w:tcPr>
          <w:p w:rsidR="008B706C" w:rsidRDefault="008B706C" w:rsidP="0032283E">
            <w:pPr>
              <w:ind w:left="432"/>
              <w:rPr>
                <w:rFonts w:ascii="Times New Roman" w:hAnsi="Times New Roman"/>
                <w:sz w:val="24"/>
              </w:rPr>
            </w:pPr>
            <w:r>
              <w:rPr>
                <w:rFonts w:ascii="Times New Roman" w:hAnsi="Times New Roman"/>
                <w:sz w:val="24"/>
              </w:rPr>
              <w:t>$  80.86 Gas</w:t>
            </w:r>
          </w:p>
          <w:p w:rsidR="008B706C" w:rsidRPr="00B36AB7" w:rsidRDefault="008B706C" w:rsidP="0032283E">
            <w:pPr>
              <w:ind w:left="432"/>
              <w:rPr>
                <w:rFonts w:ascii="Times New Roman" w:hAnsi="Times New Roman"/>
                <w:sz w:val="24"/>
                <w:u w:val="single"/>
              </w:rPr>
            </w:pPr>
            <w:r w:rsidRPr="00B36AB7">
              <w:rPr>
                <w:rFonts w:ascii="Times New Roman" w:hAnsi="Times New Roman"/>
                <w:sz w:val="24"/>
                <w:u w:val="single"/>
              </w:rPr>
              <w:t>$</w:t>
            </w:r>
            <w:r>
              <w:rPr>
                <w:rFonts w:ascii="Times New Roman" w:hAnsi="Times New Roman"/>
                <w:sz w:val="24"/>
                <w:u w:val="single"/>
              </w:rPr>
              <w:t xml:space="preserve">  </w:t>
            </w:r>
            <w:r w:rsidRPr="00B36AB7">
              <w:rPr>
                <w:rFonts w:ascii="Times New Roman" w:hAnsi="Times New Roman"/>
                <w:sz w:val="24"/>
                <w:u w:val="single"/>
              </w:rPr>
              <w:t>45.72 Electric</w:t>
            </w:r>
          </w:p>
          <w:p w:rsidR="008B706C" w:rsidRPr="002E707A" w:rsidRDefault="008B706C" w:rsidP="00B648E6">
            <w:pPr>
              <w:jc w:val="center"/>
              <w:rPr>
                <w:rFonts w:ascii="Times New Roman" w:hAnsi="Times New Roman"/>
                <w:sz w:val="24"/>
              </w:rPr>
            </w:pPr>
            <w:r>
              <w:rPr>
                <w:rFonts w:ascii="Times New Roman" w:hAnsi="Times New Roman"/>
                <w:sz w:val="24"/>
              </w:rPr>
              <w:t>$129.58 Total</w:t>
            </w:r>
          </w:p>
        </w:tc>
        <w:tc>
          <w:tcPr>
            <w:tcW w:w="1170" w:type="dxa"/>
            <w:shd w:val="clear" w:color="auto" w:fill="D9D9D9" w:themeFill="background1" w:themeFillShade="D9"/>
            <w:vAlign w:val="center"/>
          </w:tcPr>
          <w:p w:rsidR="008B706C" w:rsidRDefault="008B706C" w:rsidP="00B648E6">
            <w:pPr>
              <w:jc w:val="center"/>
              <w:rPr>
                <w:rFonts w:ascii="Times New Roman" w:hAnsi="Times New Roman"/>
                <w:sz w:val="24"/>
              </w:rPr>
            </w:pPr>
            <w:r>
              <w:rPr>
                <w:rFonts w:ascii="Times New Roman" w:hAnsi="Times New Roman"/>
                <w:sz w:val="24"/>
              </w:rPr>
              <w:t>$126.58</w:t>
            </w:r>
          </w:p>
          <w:p w:rsidR="00ED03AA" w:rsidRPr="00B648E6" w:rsidRDefault="00ED03AA" w:rsidP="00B648E6">
            <w:pPr>
              <w:jc w:val="center"/>
              <w:rPr>
                <w:rFonts w:ascii="Times New Roman" w:hAnsi="Times New Roman"/>
                <w:sz w:val="24"/>
              </w:rPr>
            </w:pPr>
            <w:r>
              <w:rPr>
                <w:rFonts w:ascii="Times New Roman" w:hAnsi="Times New Roman"/>
                <w:sz w:val="24"/>
              </w:rPr>
              <w:t>2/18/15</w:t>
            </w:r>
          </w:p>
        </w:tc>
      </w:tr>
      <w:tr w:rsidR="00D01819" w:rsidRPr="002E707A" w:rsidTr="00D01819">
        <w:trPr>
          <w:trHeight w:val="416"/>
        </w:trPr>
        <w:tc>
          <w:tcPr>
            <w:tcW w:w="2340" w:type="dxa"/>
            <w:vAlign w:val="center"/>
          </w:tcPr>
          <w:p w:rsidR="008B706C" w:rsidRPr="002E707A" w:rsidRDefault="008B706C" w:rsidP="00E7072D">
            <w:pPr>
              <w:jc w:val="center"/>
              <w:rPr>
                <w:rFonts w:ascii="Times New Roman" w:hAnsi="Times New Roman"/>
                <w:sz w:val="24"/>
              </w:rPr>
            </w:pPr>
            <w:r>
              <w:rPr>
                <w:rFonts w:ascii="Times New Roman" w:hAnsi="Times New Roman"/>
                <w:sz w:val="24"/>
              </w:rPr>
              <w:t xml:space="preserve">01/28/14 to 02/26/14 </w:t>
            </w:r>
          </w:p>
        </w:tc>
        <w:tc>
          <w:tcPr>
            <w:tcW w:w="1260" w:type="dxa"/>
            <w:vAlign w:val="center"/>
          </w:tcPr>
          <w:p w:rsidR="008B706C" w:rsidRPr="002E707A" w:rsidRDefault="008B706C" w:rsidP="0015385F">
            <w:pPr>
              <w:jc w:val="center"/>
              <w:rPr>
                <w:rFonts w:ascii="Times New Roman" w:hAnsi="Times New Roman"/>
                <w:sz w:val="24"/>
              </w:rPr>
            </w:pPr>
            <w:r>
              <w:rPr>
                <w:rFonts w:ascii="Times New Roman" w:hAnsi="Times New Roman"/>
                <w:sz w:val="24"/>
              </w:rPr>
              <w:t>92 CCF</w:t>
            </w:r>
          </w:p>
        </w:tc>
        <w:tc>
          <w:tcPr>
            <w:tcW w:w="270" w:type="dxa"/>
          </w:tcPr>
          <w:p w:rsidR="008B706C" w:rsidRDefault="008B706C" w:rsidP="0015385F">
            <w:pPr>
              <w:jc w:val="center"/>
            </w:pPr>
          </w:p>
        </w:tc>
        <w:tc>
          <w:tcPr>
            <w:tcW w:w="1800" w:type="dxa"/>
            <w:vAlign w:val="center"/>
          </w:tcPr>
          <w:p w:rsidR="008B706C" w:rsidRPr="002E707A" w:rsidRDefault="008B706C" w:rsidP="0015385F">
            <w:pPr>
              <w:jc w:val="center"/>
              <w:rPr>
                <w:rFonts w:ascii="Times New Roman" w:hAnsi="Times New Roman"/>
                <w:sz w:val="24"/>
              </w:rPr>
            </w:pPr>
            <w:r>
              <w:rPr>
                <w:rFonts w:ascii="Times New Roman" w:hAnsi="Times New Roman"/>
                <w:sz w:val="24"/>
              </w:rPr>
              <w:t>971 kWh</w:t>
            </w:r>
          </w:p>
        </w:tc>
        <w:tc>
          <w:tcPr>
            <w:tcW w:w="2430" w:type="dxa"/>
            <w:vAlign w:val="center"/>
          </w:tcPr>
          <w:p w:rsidR="008B706C" w:rsidRDefault="008B706C" w:rsidP="0032283E">
            <w:pPr>
              <w:ind w:left="432"/>
              <w:rPr>
                <w:rFonts w:ascii="Times New Roman" w:hAnsi="Times New Roman"/>
                <w:sz w:val="24"/>
              </w:rPr>
            </w:pPr>
            <w:r>
              <w:rPr>
                <w:rFonts w:ascii="Times New Roman" w:hAnsi="Times New Roman"/>
                <w:sz w:val="24"/>
              </w:rPr>
              <w:t>$  96.69 Gas</w:t>
            </w:r>
          </w:p>
          <w:p w:rsidR="008B706C" w:rsidRDefault="008B706C" w:rsidP="0032283E">
            <w:pPr>
              <w:ind w:left="432"/>
              <w:rPr>
                <w:rFonts w:ascii="Times New Roman" w:hAnsi="Times New Roman"/>
                <w:sz w:val="24"/>
              </w:rPr>
            </w:pPr>
            <w:r>
              <w:rPr>
                <w:rFonts w:ascii="Times New Roman" w:hAnsi="Times New Roman"/>
                <w:sz w:val="24"/>
              </w:rPr>
              <w:t>$159.50 Electric</w:t>
            </w:r>
          </w:p>
          <w:p w:rsidR="008B706C" w:rsidRPr="002E707A" w:rsidRDefault="008B706C" w:rsidP="00310C8E">
            <w:pPr>
              <w:jc w:val="center"/>
              <w:rPr>
                <w:rFonts w:ascii="Times New Roman" w:hAnsi="Times New Roman"/>
                <w:sz w:val="24"/>
              </w:rPr>
            </w:pPr>
            <w:r>
              <w:rPr>
                <w:rFonts w:ascii="Times New Roman" w:hAnsi="Times New Roman"/>
                <w:sz w:val="24"/>
              </w:rPr>
              <w:t>Late Charge $162.38</w:t>
            </w:r>
          </w:p>
        </w:tc>
        <w:tc>
          <w:tcPr>
            <w:tcW w:w="1170" w:type="dxa"/>
          </w:tcPr>
          <w:p w:rsidR="008B706C" w:rsidRDefault="008B706C" w:rsidP="00B648E6">
            <w:pPr>
              <w:jc w:val="center"/>
              <w:rPr>
                <w:rFonts w:ascii="Times New Roman" w:hAnsi="Times New Roman"/>
                <w:sz w:val="24"/>
              </w:rPr>
            </w:pPr>
          </w:p>
          <w:p w:rsidR="008B706C" w:rsidRPr="00B648E6" w:rsidRDefault="008B706C" w:rsidP="00B648E6">
            <w:pPr>
              <w:jc w:val="center"/>
              <w:rPr>
                <w:rFonts w:ascii="Times New Roman" w:hAnsi="Times New Roman"/>
                <w:sz w:val="24"/>
              </w:rPr>
            </w:pPr>
            <w:r>
              <w:rPr>
                <w:rFonts w:ascii="Times New Roman" w:hAnsi="Times New Roman"/>
                <w:sz w:val="24"/>
              </w:rPr>
              <w:t>$0.00</w:t>
            </w:r>
          </w:p>
        </w:tc>
      </w:tr>
      <w:tr w:rsidR="00D01819" w:rsidRPr="004F0E66" w:rsidTr="00ED03AA">
        <w:trPr>
          <w:trHeight w:val="728"/>
        </w:trPr>
        <w:tc>
          <w:tcPr>
            <w:tcW w:w="2340" w:type="dxa"/>
            <w:vAlign w:val="center"/>
          </w:tcPr>
          <w:p w:rsidR="008B706C" w:rsidRPr="004F0E66" w:rsidRDefault="008B706C" w:rsidP="002E707A">
            <w:pPr>
              <w:jc w:val="center"/>
              <w:rPr>
                <w:rFonts w:ascii="Times New Roman" w:hAnsi="Times New Roman"/>
                <w:sz w:val="24"/>
              </w:rPr>
            </w:pPr>
            <w:r w:rsidRPr="004F0E66">
              <w:rPr>
                <w:rFonts w:ascii="Times New Roman" w:hAnsi="Times New Roman"/>
                <w:sz w:val="24"/>
              </w:rPr>
              <w:t>01/28/</w:t>
            </w:r>
            <w:r>
              <w:rPr>
                <w:rFonts w:ascii="Times New Roman" w:hAnsi="Times New Roman"/>
                <w:sz w:val="24"/>
              </w:rPr>
              <w:t>15 to 02/26/15</w:t>
            </w:r>
          </w:p>
        </w:tc>
        <w:tc>
          <w:tcPr>
            <w:tcW w:w="1260" w:type="dxa"/>
            <w:vAlign w:val="center"/>
          </w:tcPr>
          <w:p w:rsidR="008B706C" w:rsidRPr="004F0E66" w:rsidRDefault="008B706C" w:rsidP="0015385F">
            <w:pPr>
              <w:jc w:val="center"/>
              <w:rPr>
                <w:rFonts w:ascii="Times New Roman" w:hAnsi="Times New Roman"/>
                <w:sz w:val="24"/>
              </w:rPr>
            </w:pPr>
            <w:r>
              <w:rPr>
                <w:rFonts w:ascii="Times New Roman" w:hAnsi="Times New Roman"/>
                <w:sz w:val="24"/>
              </w:rPr>
              <w:t>106 CCF</w:t>
            </w:r>
          </w:p>
        </w:tc>
        <w:tc>
          <w:tcPr>
            <w:tcW w:w="270" w:type="dxa"/>
          </w:tcPr>
          <w:p w:rsidR="008B706C" w:rsidRDefault="008B706C" w:rsidP="0015385F">
            <w:pPr>
              <w:jc w:val="center"/>
            </w:pPr>
          </w:p>
        </w:tc>
        <w:tc>
          <w:tcPr>
            <w:tcW w:w="1800" w:type="dxa"/>
            <w:vAlign w:val="center"/>
          </w:tcPr>
          <w:p w:rsidR="008B706C" w:rsidRPr="004F0E66" w:rsidRDefault="008B706C" w:rsidP="0015385F">
            <w:pPr>
              <w:jc w:val="center"/>
              <w:rPr>
                <w:rFonts w:ascii="Times New Roman" w:hAnsi="Times New Roman"/>
                <w:sz w:val="24"/>
              </w:rPr>
            </w:pPr>
            <w:r>
              <w:rPr>
                <w:rFonts w:ascii="Times New Roman" w:hAnsi="Times New Roman"/>
                <w:sz w:val="24"/>
              </w:rPr>
              <w:t>873 kWh</w:t>
            </w:r>
          </w:p>
        </w:tc>
        <w:tc>
          <w:tcPr>
            <w:tcW w:w="2430" w:type="dxa"/>
            <w:vAlign w:val="center"/>
          </w:tcPr>
          <w:p w:rsidR="008B706C" w:rsidRDefault="008B706C" w:rsidP="0032283E">
            <w:pPr>
              <w:ind w:left="432"/>
              <w:rPr>
                <w:rFonts w:ascii="Times New Roman" w:hAnsi="Times New Roman"/>
                <w:sz w:val="24"/>
              </w:rPr>
            </w:pPr>
            <w:r>
              <w:rPr>
                <w:rFonts w:ascii="Times New Roman" w:hAnsi="Times New Roman"/>
                <w:sz w:val="24"/>
              </w:rPr>
              <w:t>$  82.26 Gas</w:t>
            </w:r>
          </w:p>
          <w:p w:rsidR="008B706C" w:rsidRDefault="008B706C" w:rsidP="0032283E">
            <w:pPr>
              <w:ind w:left="432"/>
              <w:rPr>
                <w:rFonts w:ascii="Times New Roman" w:hAnsi="Times New Roman"/>
                <w:sz w:val="24"/>
              </w:rPr>
            </w:pPr>
            <w:r w:rsidRPr="00B36AB7">
              <w:rPr>
                <w:rFonts w:ascii="Times New Roman" w:hAnsi="Times New Roman"/>
                <w:sz w:val="24"/>
                <w:u w:val="single"/>
              </w:rPr>
              <w:t>$</w:t>
            </w:r>
            <w:r>
              <w:rPr>
                <w:rFonts w:ascii="Times New Roman" w:hAnsi="Times New Roman"/>
                <w:sz w:val="24"/>
                <w:u w:val="single"/>
              </w:rPr>
              <w:t xml:space="preserve">  </w:t>
            </w:r>
            <w:r w:rsidRPr="00B36AB7">
              <w:rPr>
                <w:rFonts w:ascii="Times New Roman" w:hAnsi="Times New Roman"/>
                <w:sz w:val="24"/>
                <w:u w:val="single"/>
              </w:rPr>
              <w:t>67.37 Electric</w:t>
            </w:r>
          </w:p>
          <w:p w:rsidR="008B706C" w:rsidRPr="004F0E66" w:rsidRDefault="008B706C" w:rsidP="0032283E">
            <w:pPr>
              <w:ind w:left="432"/>
              <w:rPr>
                <w:rFonts w:ascii="Times New Roman" w:hAnsi="Times New Roman"/>
                <w:sz w:val="24"/>
              </w:rPr>
            </w:pPr>
            <w:r>
              <w:rPr>
                <w:rFonts w:ascii="Times New Roman" w:hAnsi="Times New Roman"/>
                <w:sz w:val="24"/>
              </w:rPr>
              <w:t>$149.63 Total</w:t>
            </w:r>
          </w:p>
        </w:tc>
        <w:tc>
          <w:tcPr>
            <w:tcW w:w="1170" w:type="dxa"/>
            <w:vAlign w:val="center"/>
          </w:tcPr>
          <w:p w:rsidR="008B706C" w:rsidRDefault="008B706C" w:rsidP="00ED03AA">
            <w:pPr>
              <w:jc w:val="center"/>
              <w:rPr>
                <w:rFonts w:ascii="Times New Roman" w:hAnsi="Times New Roman"/>
                <w:sz w:val="24"/>
              </w:rPr>
            </w:pPr>
            <w:r>
              <w:rPr>
                <w:rFonts w:ascii="Times New Roman" w:hAnsi="Times New Roman"/>
                <w:sz w:val="24"/>
              </w:rPr>
              <w:t>$149.63</w:t>
            </w:r>
          </w:p>
          <w:p w:rsidR="00ED03AA" w:rsidRPr="00B648E6" w:rsidRDefault="00ED03AA" w:rsidP="00ED03AA">
            <w:pPr>
              <w:jc w:val="center"/>
              <w:rPr>
                <w:rFonts w:ascii="Times New Roman" w:hAnsi="Times New Roman"/>
                <w:sz w:val="24"/>
              </w:rPr>
            </w:pPr>
            <w:r>
              <w:rPr>
                <w:rFonts w:ascii="Times New Roman" w:hAnsi="Times New Roman"/>
                <w:sz w:val="24"/>
              </w:rPr>
              <w:t>3/23/15</w:t>
            </w:r>
          </w:p>
        </w:tc>
      </w:tr>
      <w:tr w:rsidR="00D01819" w:rsidRPr="004F0E66" w:rsidTr="00D01819">
        <w:trPr>
          <w:trHeight w:val="530"/>
        </w:trPr>
        <w:tc>
          <w:tcPr>
            <w:tcW w:w="2340" w:type="dxa"/>
            <w:shd w:val="clear" w:color="auto" w:fill="D9D9D9" w:themeFill="background1" w:themeFillShade="D9"/>
            <w:vAlign w:val="center"/>
          </w:tcPr>
          <w:p w:rsidR="008B706C" w:rsidRPr="004F0E66" w:rsidRDefault="008B706C" w:rsidP="002E707A">
            <w:pPr>
              <w:jc w:val="center"/>
              <w:rPr>
                <w:rFonts w:ascii="Times New Roman" w:hAnsi="Times New Roman"/>
                <w:sz w:val="24"/>
              </w:rPr>
            </w:pPr>
            <w:r w:rsidRPr="004F0E66">
              <w:rPr>
                <w:rFonts w:ascii="Times New Roman" w:hAnsi="Times New Roman"/>
                <w:sz w:val="24"/>
              </w:rPr>
              <w:t>02/26/14 to 03/27/14</w:t>
            </w:r>
          </w:p>
        </w:tc>
        <w:tc>
          <w:tcPr>
            <w:tcW w:w="1260" w:type="dxa"/>
            <w:shd w:val="clear" w:color="auto" w:fill="D9D9D9" w:themeFill="background1" w:themeFillShade="D9"/>
            <w:vAlign w:val="center"/>
          </w:tcPr>
          <w:p w:rsidR="008B706C" w:rsidRPr="004F0E66" w:rsidRDefault="008B706C" w:rsidP="0015385F">
            <w:pPr>
              <w:jc w:val="center"/>
              <w:rPr>
                <w:rFonts w:ascii="Times New Roman" w:hAnsi="Times New Roman"/>
                <w:sz w:val="24"/>
              </w:rPr>
            </w:pPr>
            <w:r>
              <w:rPr>
                <w:rFonts w:ascii="Times New Roman" w:hAnsi="Times New Roman"/>
                <w:sz w:val="24"/>
              </w:rPr>
              <w:t>83 CCF</w:t>
            </w:r>
          </w:p>
        </w:tc>
        <w:tc>
          <w:tcPr>
            <w:tcW w:w="270" w:type="dxa"/>
            <w:shd w:val="clear" w:color="auto" w:fill="D9D9D9" w:themeFill="background1" w:themeFillShade="D9"/>
          </w:tcPr>
          <w:p w:rsidR="008B706C" w:rsidRPr="004F0E66" w:rsidRDefault="008B706C" w:rsidP="0015385F">
            <w:pPr>
              <w:jc w:val="center"/>
            </w:pPr>
          </w:p>
        </w:tc>
        <w:tc>
          <w:tcPr>
            <w:tcW w:w="1800" w:type="dxa"/>
            <w:shd w:val="clear" w:color="auto" w:fill="D9D9D9" w:themeFill="background1" w:themeFillShade="D9"/>
            <w:vAlign w:val="center"/>
          </w:tcPr>
          <w:p w:rsidR="008B706C" w:rsidRPr="004F0E66" w:rsidRDefault="008B706C" w:rsidP="0015385F">
            <w:pPr>
              <w:jc w:val="center"/>
              <w:rPr>
                <w:rFonts w:ascii="Times New Roman" w:hAnsi="Times New Roman"/>
                <w:sz w:val="24"/>
              </w:rPr>
            </w:pPr>
            <w:r w:rsidRPr="004F0E66">
              <w:rPr>
                <w:rFonts w:ascii="Times New Roman" w:hAnsi="Times New Roman"/>
                <w:sz w:val="24"/>
              </w:rPr>
              <w:t>1069 kWh</w:t>
            </w:r>
          </w:p>
        </w:tc>
        <w:tc>
          <w:tcPr>
            <w:tcW w:w="2430" w:type="dxa"/>
            <w:shd w:val="clear" w:color="auto" w:fill="D9D9D9" w:themeFill="background1" w:themeFillShade="D9"/>
            <w:vAlign w:val="center"/>
          </w:tcPr>
          <w:p w:rsidR="008B706C" w:rsidRPr="0032283E" w:rsidRDefault="008B706C" w:rsidP="0032283E">
            <w:pPr>
              <w:ind w:left="522" w:hanging="90"/>
              <w:rPr>
                <w:rFonts w:ascii="Times New Roman" w:hAnsi="Times New Roman"/>
                <w:sz w:val="24"/>
              </w:rPr>
            </w:pPr>
            <w:r w:rsidRPr="0032283E">
              <w:rPr>
                <w:rFonts w:ascii="Times New Roman" w:hAnsi="Times New Roman"/>
                <w:sz w:val="24"/>
              </w:rPr>
              <w:t>$102.20 Gas</w:t>
            </w:r>
          </w:p>
          <w:p w:rsidR="008B706C" w:rsidRPr="0032283E" w:rsidRDefault="008B706C" w:rsidP="0032283E">
            <w:pPr>
              <w:ind w:left="522" w:hanging="90"/>
              <w:rPr>
                <w:rFonts w:ascii="Times New Roman" w:hAnsi="Times New Roman"/>
                <w:sz w:val="24"/>
                <w:u w:val="single"/>
              </w:rPr>
            </w:pPr>
            <w:r w:rsidRPr="0032283E">
              <w:rPr>
                <w:rFonts w:ascii="Times New Roman" w:hAnsi="Times New Roman"/>
                <w:sz w:val="24"/>
                <w:u w:val="single"/>
              </w:rPr>
              <w:t>$164.19 Electric</w:t>
            </w:r>
          </w:p>
          <w:p w:rsidR="008B706C" w:rsidRPr="004F0E66" w:rsidRDefault="008B706C" w:rsidP="00310C8E">
            <w:pPr>
              <w:jc w:val="center"/>
              <w:rPr>
                <w:rFonts w:ascii="Times New Roman" w:hAnsi="Times New Roman"/>
                <w:sz w:val="24"/>
              </w:rPr>
            </w:pPr>
            <w:r>
              <w:rPr>
                <w:rFonts w:ascii="Times New Roman" w:hAnsi="Times New Roman"/>
                <w:sz w:val="24"/>
              </w:rPr>
              <w:t>Late Charge $166.22</w:t>
            </w:r>
          </w:p>
        </w:tc>
        <w:tc>
          <w:tcPr>
            <w:tcW w:w="1170" w:type="dxa"/>
            <w:shd w:val="clear" w:color="auto" w:fill="D9D9D9" w:themeFill="background1" w:themeFillShade="D9"/>
          </w:tcPr>
          <w:p w:rsidR="008B706C" w:rsidRDefault="008B706C" w:rsidP="00310C8E">
            <w:pPr>
              <w:jc w:val="center"/>
              <w:rPr>
                <w:rFonts w:ascii="Times New Roman" w:hAnsi="Times New Roman"/>
                <w:sz w:val="24"/>
              </w:rPr>
            </w:pPr>
          </w:p>
          <w:p w:rsidR="008B706C" w:rsidRPr="00B648E6" w:rsidRDefault="008B706C" w:rsidP="00310C8E">
            <w:pPr>
              <w:jc w:val="center"/>
              <w:rPr>
                <w:rFonts w:ascii="Times New Roman" w:hAnsi="Times New Roman"/>
                <w:sz w:val="24"/>
              </w:rPr>
            </w:pPr>
            <w:r>
              <w:rPr>
                <w:rFonts w:ascii="Times New Roman" w:hAnsi="Times New Roman"/>
                <w:sz w:val="24"/>
              </w:rPr>
              <w:t>$0.00</w:t>
            </w:r>
          </w:p>
        </w:tc>
      </w:tr>
      <w:tr w:rsidR="00D01819" w:rsidRPr="004F0E66" w:rsidTr="00D01819">
        <w:trPr>
          <w:trHeight w:val="416"/>
        </w:trPr>
        <w:tc>
          <w:tcPr>
            <w:tcW w:w="2340" w:type="dxa"/>
            <w:shd w:val="clear" w:color="auto" w:fill="D9D9D9" w:themeFill="background1" w:themeFillShade="D9"/>
            <w:vAlign w:val="center"/>
          </w:tcPr>
          <w:p w:rsidR="008B706C" w:rsidRPr="004F0E66" w:rsidRDefault="008B706C" w:rsidP="002E707A">
            <w:pPr>
              <w:jc w:val="center"/>
              <w:rPr>
                <w:rFonts w:ascii="Times New Roman" w:hAnsi="Times New Roman"/>
                <w:sz w:val="24"/>
              </w:rPr>
            </w:pPr>
            <w:r w:rsidRPr="004F0E66">
              <w:rPr>
                <w:rFonts w:ascii="Times New Roman" w:hAnsi="Times New Roman"/>
                <w:sz w:val="24"/>
              </w:rPr>
              <w:t>02/26/15</w:t>
            </w:r>
            <w:r>
              <w:rPr>
                <w:rFonts w:ascii="Times New Roman" w:hAnsi="Times New Roman"/>
                <w:sz w:val="24"/>
              </w:rPr>
              <w:t xml:space="preserve"> to 03/29/15</w:t>
            </w:r>
          </w:p>
        </w:tc>
        <w:tc>
          <w:tcPr>
            <w:tcW w:w="1260" w:type="dxa"/>
            <w:shd w:val="clear" w:color="auto" w:fill="D9D9D9" w:themeFill="background1" w:themeFillShade="D9"/>
            <w:vAlign w:val="center"/>
          </w:tcPr>
          <w:p w:rsidR="008B706C" w:rsidRPr="004F0E66" w:rsidRDefault="008B706C" w:rsidP="0015385F">
            <w:pPr>
              <w:jc w:val="center"/>
              <w:rPr>
                <w:rFonts w:ascii="Times New Roman" w:hAnsi="Times New Roman"/>
                <w:sz w:val="24"/>
              </w:rPr>
            </w:pPr>
            <w:r>
              <w:rPr>
                <w:rFonts w:ascii="Times New Roman" w:hAnsi="Times New Roman"/>
                <w:sz w:val="24"/>
              </w:rPr>
              <w:t>75 CCF</w:t>
            </w:r>
          </w:p>
        </w:tc>
        <w:tc>
          <w:tcPr>
            <w:tcW w:w="270" w:type="dxa"/>
            <w:shd w:val="clear" w:color="auto" w:fill="D9D9D9" w:themeFill="background1" w:themeFillShade="D9"/>
          </w:tcPr>
          <w:p w:rsidR="008B706C" w:rsidRDefault="008B706C" w:rsidP="0015385F">
            <w:pPr>
              <w:jc w:val="center"/>
            </w:pPr>
          </w:p>
        </w:tc>
        <w:tc>
          <w:tcPr>
            <w:tcW w:w="1800" w:type="dxa"/>
            <w:shd w:val="clear" w:color="auto" w:fill="D9D9D9" w:themeFill="background1" w:themeFillShade="D9"/>
            <w:vAlign w:val="center"/>
          </w:tcPr>
          <w:p w:rsidR="008B706C" w:rsidRPr="004F0E66" w:rsidRDefault="008B706C" w:rsidP="0015385F">
            <w:pPr>
              <w:jc w:val="center"/>
              <w:rPr>
                <w:rFonts w:ascii="Times New Roman" w:hAnsi="Times New Roman"/>
                <w:sz w:val="24"/>
              </w:rPr>
            </w:pPr>
            <w:r>
              <w:rPr>
                <w:rFonts w:ascii="Times New Roman" w:hAnsi="Times New Roman"/>
                <w:sz w:val="24"/>
              </w:rPr>
              <w:t>805 kWh</w:t>
            </w:r>
          </w:p>
        </w:tc>
        <w:tc>
          <w:tcPr>
            <w:tcW w:w="2430" w:type="dxa"/>
            <w:shd w:val="clear" w:color="auto" w:fill="D9D9D9" w:themeFill="background1" w:themeFillShade="D9"/>
            <w:vAlign w:val="center"/>
          </w:tcPr>
          <w:p w:rsidR="008B706C" w:rsidRDefault="008B706C" w:rsidP="0032283E">
            <w:pPr>
              <w:ind w:left="432"/>
              <w:rPr>
                <w:rFonts w:ascii="Times New Roman" w:hAnsi="Times New Roman"/>
                <w:sz w:val="24"/>
              </w:rPr>
            </w:pPr>
            <w:r>
              <w:rPr>
                <w:rFonts w:ascii="Times New Roman" w:hAnsi="Times New Roman"/>
                <w:sz w:val="24"/>
              </w:rPr>
              <w:t>$  60.00 Gas</w:t>
            </w:r>
          </w:p>
          <w:p w:rsidR="008B706C" w:rsidRPr="0032283E" w:rsidRDefault="008B706C" w:rsidP="0032283E">
            <w:pPr>
              <w:ind w:left="432"/>
              <w:rPr>
                <w:rFonts w:ascii="Times New Roman" w:hAnsi="Times New Roman"/>
                <w:sz w:val="24"/>
                <w:u w:val="single"/>
              </w:rPr>
            </w:pPr>
            <w:r w:rsidRPr="0032283E">
              <w:rPr>
                <w:rFonts w:ascii="Times New Roman" w:hAnsi="Times New Roman"/>
                <w:sz w:val="24"/>
                <w:u w:val="single"/>
              </w:rPr>
              <w:t>$  54.69 Electric</w:t>
            </w:r>
          </w:p>
          <w:p w:rsidR="008B706C" w:rsidRPr="004F0E66" w:rsidRDefault="008B706C" w:rsidP="0032283E">
            <w:pPr>
              <w:ind w:left="432"/>
              <w:rPr>
                <w:rFonts w:ascii="Times New Roman" w:hAnsi="Times New Roman"/>
                <w:sz w:val="24"/>
              </w:rPr>
            </w:pPr>
            <w:r>
              <w:rPr>
                <w:rFonts w:ascii="Times New Roman" w:hAnsi="Times New Roman"/>
                <w:sz w:val="24"/>
              </w:rPr>
              <w:t>$114.69 Total</w:t>
            </w:r>
          </w:p>
        </w:tc>
        <w:tc>
          <w:tcPr>
            <w:tcW w:w="1170" w:type="dxa"/>
            <w:shd w:val="clear" w:color="auto" w:fill="D9D9D9" w:themeFill="background1" w:themeFillShade="D9"/>
          </w:tcPr>
          <w:p w:rsidR="008B706C" w:rsidRDefault="00ED03AA" w:rsidP="00B61132">
            <w:pPr>
              <w:jc w:val="center"/>
              <w:rPr>
                <w:rFonts w:ascii="Times New Roman" w:hAnsi="Times New Roman"/>
                <w:sz w:val="24"/>
              </w:rPr>
            </w:pPr>
            <w:r>
              <w:rPr>
                <w:rFonts w:ascii="Times New Roman" w:hAnsi="Times New Roman"/>
                <w:sz w:val="24"/>
              </w:rPr>
              <w:t>$60.00</w:t>
            </w:r>
          </w:p>
          <w:p w:rsidR="00ED03AA" w:rsidRDefault="00ED03AA" w:rsidP="00B61132">
            <w:pPr>
              <w:jc w:val="center"/>
              <w:rPr>
                <w:rFonts w:ascii="Times New Roman" w:hAnsi="Times New Roman"/>
                <w:sz w:val="24"/>
              </w:rPr>
            </w:pPr>
            <w:r>
              <w:rPr>
                <w:rFonts w:ascii="Times New Roman" w:hAnsi="Times New Roman"/>
                <w:sz w:val="24"/>
              </w:rPr>
              <w:t>4/10/15</w:t>
            </w:r>
          </w:p>
          <w:p w:rsidR="00ED03AA" w:rsidRDefault="00ED03AA" w:rsidP="00B61132">
            <w:pPr>
              <w:jc w:val="center"/>
              <w:rPr>
                <w:rFonts w:ascii="Times New Roman" w:hAnsi="Times New Roman"/>
                <w:sz w:val="24"/>
              </w:rPr>
            </w:pPr>
            <w:r>
              <w:rPr>
                <w:rFonts w:ascii="Times New Roman" w:hAnsi="Times New Roman"/>
                <w:sz w:val="24"/>
              </w:rPr>
              <w:t>$562.69</w:t>
            </w:r>
          </w:p>
          <w:p w:rsidR="008B706C" w:rsidRPr="00B648E6" w:rsidRDefault="00ED03AA" w:rsidP="00ED03AA">
            <w:pPr>
              <w:jc w:val="center"/>
              <w:rPr>
                <w:rFonts w:ascii="Times New Roman" w:hAnsi="Times New Roman"/>
                <w:sz w:val="24"/>
              </w:rPr>
            </w:pPr>
            <w:r>
              <w:rPr>
                <w:rFonts w:ascii="Times New Roman" w:hAnsi="Times New Roman"/>
                <w:sz w:val="24"/>
              </w:rPr>
              <w:t>4/13/15</w:t>
            </w:r>
          </w:p>
        </w:tc>
      </w:tr>
      <w:tr w:rsidR="00D01819" w:rsidRPr="004F0E66" w:rsidTr="00D01819">
        <w:trPr>
          <w:trHeight w:val="432"/>
        </w:trPr>
        <w:tc>
          <w:tcPr>
            <w:tcW w:w="2340" w:type="dxa"/>
            <w:vAlign w:val="center"/>
          </w:tcPr>
          <w:p w:rsidR="008B706C" w:rsidRPr="004F0E66" w:rsidRDefault="008B706C" w:rsidP="002E707A">
            <w:pPr>
              <w:jc w:val="center"/>
              <w:rPr>
                <w:rFonts w:ascii="Times New Roman" w:hAnsi="Times New Roman"/>
                <w:sz w:val="24"/>
              </w:rPr>
            </w:pPr>
            <w:r w:rsidRPr="004F0E66">
              <w:rPr>
                <w:rFonts w:ascii="Times New Roman" w:hAnsi="Times New Roman"/>
                <w:sz w:val="24"/>
              </w:rPr>
              <w:t xml:space="preserve">03/27/14 to </w:t>
            </w:r>
            <w:r>
              <w:rPr>
                <w:rFonts w:ascii="Times New Roman" w:hAnsi="Times New Roman"/>
                <w:sz w:val="24"/>
              </w:rPr>
              <w:t>04/27/14</w:t>
            </w:r>
          </w:p>
        </w:tc>
        <w:tc>
          <w:tcPr>
            <w:tcW w:w="1260" w:type="dxa"/>
            <w:vAlign w:val="center"/>
          </w:tcPr>
          <w:p w:rsidR="008B706C" w:rsidRPr="004F0E66" w:rsidRDefault="008B706C" w:rsidP="0015385F">
            <w:pPr>
              <w:jc w:val="center"/>
              <w:rPr>
                <w:rFonts w:ascii="Times New Roman" w:hAnsi="Times New Roman"/>
                <w:sz w:val="24"/>
              </w:rPr>
            </w:pPr>
            <w:r>
              <w:rPr>
                <w:rFonts w:ascii="Times New Roman" w:hAnsi="Times New Roman"/>
                <w:sz w:val="24"/>
              </w:rPr>
              <w:t>41 CCF</w:t>
            </w:r>
          </w:p>
        </w:tc>
        <w:tc>
          <w:tcPr>
            <w:tcW w:w="270" w:type="dxa"/>
          </w:tcPr>
          <w:p w:rsidR="008B706C" w:rsidRDefault="008B706C" w:rsidP="0015385F">
            <w:pPr>
              <w:jc w:val="center"/>
            </w:pPr>
          </w:p>
        </w:tc>
        <w:tc>
          <w:tcPr>
            <w:tcW w:w="1800" w:type="dxa"/>
            <w:vAlign w:val="center"/>
          </w:tcPr>
          <w:p w:rsidR="008B706C" w:rsidRPr="004F0E66" w:rsidRDefault="008B706C" w:rsidP="0015385F">
            <w:pPr>
              <w:jc w:val="center"/>
              <w:rPr>
                <w:rFonts w:ascii="Times New Roman" w:hAnsi="Times New Roman"/>
                <w:sz w:val="24"/>
              </w:rPr>
            </w:pPr>
            <w:r>
              <w:rPr>
                <w:rFonts w:ascii="Times New Roman" w:hAnsi="Times New Roman"/>
                <w:sz w:val="24"/>
              </w:rPr>
              <w:t>1064 kWh</w:t>
            </w:r>
          </w:p>
        </w:tc>
        <w:tc>
          <w:tcPr>
            <w:tcW w:w="2430" w:type="dxa"/>
            <w:vAlign w:val="center"/>
          </w:tcPr>
          <w:p w:rsidR="008B706C" w:rsidRDefault="008B706C" w:rsidP="0032283E">
            <w:pPr>
              <w:ind w:left="432"/>
              <w:rPr>
                <w:rFonts w:ascii="Times New Roman" w:hAnsi="Times New Roman"/>
                <w:sz w:val="24"/>
              </w:rPr>
            </w:pPr>
            <w:r>
              <w:rPr>
                <w:rFonts w:ascii="Times New Roman" w:hAnsi="Times New Roman"/>
                <w:sz w:val="24"/>
              </w:rPr>
              <w:t>$  56.92 Gas</w:t>
            </w:r>
          </w:p>
          <w:p w:rsidR="008B706C" w:rsidRDefault="008B706C" w:rsidP="0032283E">
            <w:pPr>
              <w:ind w:left="432"/>
              <w:rPr>
                <w:rFonts w:ascii="Times New Roman" w:hAnsi="Times New Roman"/>
                <w:sz w:val="24"/>
              </w:rPr>
            </w:pPr>
            <w:r>
              <w:rPr>
                <w:rFonts w:ascii="Times New Roman" w:hAnsi="Times New Roman"/>
                <w:sz w:val="24"/>
              </w:rPr>
              <w:t>$164.56 Electric</w:t>
            </w:r>
          </w:p>
          <w:p w:rsidR="008B706C" w:rsidRPr="004F0E66" w:rsidRDefault="008B706C" w:rsidP="002E707A">
            <w:pPr>
              <w:jc w:val="center"/>
              <w:rPr>
                <w:rFonts w:ascii="Times New Roman" w:hAnsi="Times New Roman"/>
                <w:sz w:val="24"/>
              </w:rPr>
            </w:pPr>
            <w:r>
              <w:rPr>
                <w:rFonts w:ascii="Times New Roman" w:hAnsi="Times New Roman"/>
                <w:sz w:val="24"/>
              </w:rPr>
              <w:t>$170.21 Late Charge</w:t>
            </w:r>
          </w:p>
        </w:tc>
        <w:tc>
          <w:tcPr>
            <w:tcW w:w="1170" w:type="dxa"/>
          </w:tcPr>
          <w:p w:rsidR="008B706C" w:rsidRDefault="008B706C" w:rsidP="002E707A">
            <w:pPr>
              <w:jc w:val="center"/>
              <w:rPr>
                <w:rFonts w:ascii="Times New Roman" w:hAnsi="Times New Roman"/>
                <w:sz w:val="24"/>
              </w:rPr>
            </w:pPr>
          </w:p>
          <w:p w:rsidR="008B706C" w:rsidRPr="00B648E6" w:rsidRDefault="008B706C" w:rsidP="002E707A">
            <w:pPr>
              <w:jc w:val="center"/>
              <w:rPr>
                <w:rFonts w:ascii="Times New Roman" w:hAnsi="Times New Roman"/>
                <w:sz w:val="24"/>
              </w:rPr>
            </w:pPr>
            <w:r>
              <w:rPr>
                <w:rFonts w:ascii="Times New Roman" w:hAnsi="Times New Roman"/>
                <w:sz w:val="24"/>
              </w:rPr>
              <w:t>$0.00</w:t>
            </w:r>
          </w:p>
        </w:tc>
      </w:tr>
      <w:tr w:rsidR="00D01819" w:rsidRPr="004F0E66" w:rsidTr="00286615">
        <w:trPr>
          <w:trHeight w:val="432"/>
        </w:trPr>
        <w:tc>
          <w:tcPr>
            <w:tcW w:w="2340" w:type="dxa"/>
            <w:tcBorders>
              <w:bottom w:val="single" w:sz="4" w:space="0" w:color="000000" w:themeColor="text1"/>
            </w:tcBorders>
            <w:vAlign w:val="center"/>
          </w:tcPr>
          <w:p w:rsidR="008B706C" w:rsidRPr="004F0E66" w:rsidRDefault="008B706C" w:rsidP="002E707A">
            <w:pPr>
              <w:jc w:val="center"/>
              <w:rPr>
                <w:rFonts w:ascii="Times New Roman" w:hAnsi="Times New Roman"/>
                <w:sz w:val="24"/>
              </w:rPr>
            </w:pPr>
            <w:r w:rsidRPr="004F0E66">
              <w:rPr>
                <w:rFonts w:ascii="Times New Roman" w:hAnsi="Times New Roman"/>
                <w:sz w:val="24"/>
              </w:rPr>
              <w:t>03/29</w:t>
            </w:r>
            <w:r>
              <w:rPr>
                <w:rFonts w:ascii="Times New Roman" w:hAnsi="Times New Roman"/>
                <w:sz w:val="24"/>
              </w:rPr>
              <w:t>/15 to 04/27/15</w:t>
            </w:r>
          </w:p>
        </w:tc>
        <w:tc>
          <w:tcPr>
            <w:tcW w:w="1260" w:type="dxa"/>
            <w:tcBorders>
              <w:bottom w:val="single" w:sz="4" w:space="0" w:color="000000" w:themeColor="text1"/>
            </w:tcBorders>
            <w:vAlign w:val="center"/>
          </w:tcPr>
          <w:p w:rsidR="008B706C" w:rsidRPr="00544ED5" w:rsidRDefault="008B706C" w:rsidP="0015385F">
            <w:pPr>
              <w:jc w:val="center"/>
              <w:rPr>
                <w:rFonts w:ascii="Times New Roman" w:hAnsi="Times New Roman"/>
                <w:sz w:val="24"/>
              </w:rPr>
            </w:pPr>
            <w:r w:rsidRPr="00544ED5">
              <w:rPr>
                <w:rFonts w:ascii="Times New Roman" w:hAnsi="Times New Roman"/>
                <w:sz w:val="24"/>
              </w:rPr>
              <w:t>32</w:t>
            </w:r>
            <w:r>
              <w:rPr>
                <w:rFonts w:ascii="Times New Roman" w:hAnsi="Times New Roman"/>
                <w:sz w:val="24"/>
              </w:rPr>
              <w:t xml:space="preserve"> </w:t>
            </w:r>
            <w:r w:rsidRPr="00544ED5">
              <w:rPr>
                <w:rFonts w:ascii="Times New Roman" w:hAnsi="Times New Roman"/>
                <w:sz w:val="24"/>
              </w:rPr>
              <w:t>CCF</w:t>
            </w:r>
          </w:p>
        </w:tc>
        <w:tc>
          <w:tcPr>
            <w:tcW w:w="270" w:type="dxa"/>
            <w:tcBorders>
              <w:bottom w:val="single" w:sz="4" w:space="0" w:color="000000" w:themeColor="text1"/>
            </w:tcBorders>
          </w:tcPr>
          <w:p w:rsidR="008B706C" w:rsidRPr="00544ED5" w:rsidRDefault="008B706C" w:rsidP="0015385F">
            <w:pPr>
              <w:jc w:val="center"/>
            </w:pPr>
          </w:p>
        </w:tc>
        <w:tc>
          <w:tcPr>
            <w:tcW w:w="1800" w:type="dxa"/>
            <w:tcBorders>
              <w:bottom w:val="single" w:sz="4" w:space="0" w:color="000000" w:themeColor="text1"/>
            </w:tcBorders>
            <w:vAlign w:val="center"/>
          </w:tcPr>
          <w:p w:rsidR="008B706C" w:rsidRPr="00544ED5" w:rsidRDefault="008B706C" w:rsidP="0015385F">
            <w:pPr>
              <w:jc w:val="center"/>
              <w:rPr>
                <w:rFonts w:ascii="Times New Roman" w:hAnsi="Times New Roman"/>
                <w:sz w:val="24"/>
              </w:rPr>
            </w:pPr>
            <w:r w:rsidRPr="00544ED5">
              <w:rPr>
                <w:rFonts w:ascii="Times New Roman" w:hAnsi="Times New Roman"/>
                <w:sz w:val="24"/>
              </w:rPr>
              <w:t>628 kWh</w:t>
            </w:r>
          </w:p>
        </w:tc>
        <w:tc>
          <w:tcPr>
            <w:tcW w:w="2430" w:type="dxa"/>
            <w:tcBorders>
              <w:bottom w:val="single" w:sz="4" w:space="0" w:color="000000" w:themeColor="text1"/>
            </w:tcBorders>
            <w:vAlign w:val="center"/>
          </w:tcPr>
          <w:p w:rsidR="008B706C" w:rsidRPr="00DA48A7" w:rsidRDefault="008B706C" w:rsidP="0032283E">
            <w:pPr>
              <w:ind w:left="432"/>
              <w:rPr>
                <w:rFonts w:ascii="Times New Roman" w:hAnsi="Times New Roman"/>
                <w:sz w:val="24"/>
              </w:rPr>
            </w:pPr>
            <w:r w:rsidRPr="00DA48A7">
              <w:rPr>
                <w:rFonts w:ascii="Times New Roman" w:hAnsi="Times New Roman"/>
                <w:sz w:val="24"/>
              </w:rPr>
              <w:t>$</w:t>
            </w:r>
            <w:r>
              <w:rPr>
                <w:rFonts w:ascii="Times New Roman" w:hAnsi="Times New Roman"/>
                <w:sz w:val="24"/>
              </w:rPr>
              <w:t xml:space="preserve">  </w:t>
            </w:r>
            <w:r w:rsidRPr="00DA48A7">
              <w:rPr>
                <w:rFonts w:ascii="Times New Roman" w:hAnsi="Times New Roman"/>
                <w:sz w:val="24"/>
              </w:rPr>
              <w:t>30.69 Gas</w:t>
            </w:r>
          </w:p>
          <w:p w:rsidR="008B706C" w:rsidRPr="0032283E" w:rsidRDefault="008B706C" w:rsidP="0032283E">
            <w:pPr>
              <w:ind w:left="432"/>
              <w:rPr>
                <w:rFonts w:ascii="Times New Roman" w:hAnsi="Times New Roman"/>
                <w:sz w:val="24"/>
                <w:u w:val="single"/>
              </w:rPr>
            </w:pPr>
            <w:r w:rsidRPr="0032283E">
              <w:rPr>
                <w:rFonts w:ascii="Times New Roman" w:hAnsi="Times New Roman"/>
                <w:sz w:val="24"/>
                <w:u w:val="single"/>
              </w:rPr>
              <w:t>$  30.87 Electric</w:t>
            </w:r>
          </w:p>
          <w:p w:rsidR="008B706C" w:rsidRPr="004F0E66" w:rsidRDefault="008B706C" w:rsidP="0032283E">
            <w:pPr>
              <w:ind w:left="432"/>
              <w:rPr>
                <w:sz w:val="24"/>
              </w:rPr>
            </w:pPr>
            <w:r w:rsidRPr="00DA48A7">
              <w:rPr>
                <w:rFonts w:ascii="Times New Roman" w:hAnsi="Times New Roman"/>
                <w:sz w:val="24"/>
              </w:rPr>
              <w:t>$</w:t>
            </w:r>
            <w:r>
              <w:rPr>
                <w:rFonts w:ascii="Times New Roman" w:hAnsi="Times New Roman"/>
                <w:sz w:val="24"/>
              </w:rPr>
              <w:t xml:space="preserve">  </w:t>
            </w:r>
            <w:r w:rsidRPr="00DA48A7">
              <w:rPr>
                <w:rFonts w:ascii="Times New Roman" w:hAnsi="Times New Roman"/>
                <w:sz w:val="24"/>
              </w:rPr>
              <w:t>61.56 Total</w:t>
            </w:r>
          </w:p>
        </w:tc>
        <w:tc>
          <w:tcPr>
            <w:tcW w:w="1170" w:type="dxa"/>
            <w:tcBorders>
              <w:bottom w:val="single" w:sz="4" w:space="0" w:color="000000" w:themeColor="text1"/>
            </w:tcBorders>
            <w:vAlign w:val="center"/>
          </w:tcPr>
          <w:p w:rsidR="008B706C" w:rsidRDefault="008B706C" w:rsidP="00286615">
            <w:pPr>
              <w:jc w:val="center"/>
              <w:rPr>
                <w:rFonts w:ascii="Times New Roman" w:hAnsi="Times New Roman"/>
                <w:sz w:val="24"/>
              </w:rPr>
            </w:pPr>
            <w:r>
              <w:rPr>
                <w:rFonts w:ascii="Times New Roman" w:hAnsi="Times New Roman"/>
                <w:sz w:val="24"/>
              </w:rPr>
              <w:t>$61.56</w:t>
            </w:r>
          </w:p>
          <w:p w:rsidR="00286615" w:rsidRPr="00B648E6" w:rsidRDefault="00286615" w:rsidP="00286615">
            <w:pPr>
              <w:jc w:val="center"/>
              <w:rPr>
                <w:rFonts w:ascii="Times New Roman" w:hAnsi="Times New Roman"/>
                <w:sz w:val="24"/>
              </w:rPr>
            </w:pPr>
            <w:r>
              <w:rPr>
                <w:rFonts w:ascii="Times New Roman" w:hAnsi="Times New Roman"/>
                <w:sz w:val="24"/>
              </w:rPr>
              <w:t>5/19/15</w:t>
            </w:r>
          </w:p>
        </w:tc>
      </w:tr>
      <w:tr w:rsidR="00D01819" w:rsidRPr="004F0E66" w:rsidTr="00D01819">
        <w:trPr>
          <w:trHeight w:val="432"/>
        </w:trPr>
        <w:tc>
          <w:tcPr>
            <w:tcW w:w="2340" w:type="dxa"/>
            <w:tcBorders>
              <w:bottom w:val="single" w:sz="4" w:space="0" w:color="000000" w:themeColor="text1"/>
            </w:tcBorders>
            <w:shd w:val="clear" w:color="auto" w:fill="D9D9D9" w:themeFill="background1" w:themeFillShade="D9"/>
            <w:vAlign w:val="center"/>
          </w:tcPr>
          <w:p w:rsidR="008B706C" w:rsidRPr="00DA48A7" w:rsidRDefault="008B706C" w:rsidP="00DA48A7">
            <w:pPr>
              <w:jc w:val="center"/>
              <w:rPr>
                <w:rFonts w:ascii="Times New Roman" w:hAnsi="Times New Roman"/>
                <w:sz w:val="24"/>
              </w:rPr>
            </w:pPr>
            <w:r w:rsidRPr="00DA48A7">
              <w:rPr>
                <w:rFonts w:ascii="Times New Roman" w:hAnsi="Times New Roman"/>
                <w:sz w:val="24"/>
              </w:rPr>
              <w:t>04/27/14 to 05/27/14</w:t>
            </w:r>
          </w:p>
        </w:tc>
        <w:tc>
          <w:tcPr>
            <w:tcW w:w="1260" w:type="dxa"/>
            <w:tcBorders>
              <w:bottom w:val="single" w:sz="4" w:space="0" w:color="000000" w:themeColor="text1"/>
            </w:tcBorders>
            <w:shd w:val="clear" w:color="auto" w:fill="D9D9D9" w:themeFill="background1" w:themeFillShade="D9"/>
            <w:vAlign w:val="center"/>
          </w:tcPr>
          <w:p w:rsidR="008B706C" w:rsidRPr="00DA48A7" w:rsidRDefault="008B706C" w:rsidP="0015385F">
            <w:pPr>
              <w:jc w:val="center"/>
              <w:rPr>
                <w:rFonts w:ascii="Times New Roman" w:hAnsi="Times New Roman"/>
                <w:sz w:val="24"/>
              </w:rPr>
            </w:pPr>
            <w:r w:rsidRPr="00DA48A7">
              <w:rPr>
                <w:rFonts w:ascii="Times New Roman" w:hAnsi="Times New Roman"/>
                <w:sz w:val="24"/>
              </w:rPr>
              <w:t>24 CCF</w:t>
            </w:r>
          </w:p>
        </w:tc>
        <w:tc>
          <w:tcPr>
            <w:tcW w:w="270" w:type="dxa"/>
            <w:tcBorders>
              <w:bottom w:val="single" w:sz="4" w:space="0" w:color="000000" w:themeColor="text1"/>
            </w:tcBorders>
            <w:shd w:val="clear" w:color="auto" w:fill="D9D9D9" w:themeFill="background1" w:themeFillShade="D9"/>
          </w:tcPr>
          <w:p w:rsidR="008B706C" w:rsidRPr="00DA48A7" w:rsidRDefault="008B706C" w:rsidP="0015385F">
            <w:pPr>
              <w:jc w:val="center"/>
            </w:pPr>
          </w:p>
        </w:tc>
        <w:tc>
          <w:tcPr>
            <w:tcW w:w="1800" w:type="dxa"/>
            <w:tcBorders>
              <w:bottom w:val="single" w:sz="4" w:space="0" w:color="000000" w:themeColor="text1"/>
            </w:tcBorders>
            <w:shd w:val="clear" w:color="auto" w:fill="D9D9D9" w:themeFill="background1" w:themeFillShade="D9"/>
            <w:vAlign w:val="center"/>
          </w:tcPr>
          <w:p w:rsidR="008B706C" w:rsidRPr="00DA48A7" w:rsidRDefault="008B706C" w:rsidP="0015385F">
            <w:pPr>
              <w:jc w:val="center"/>
              <w:rPr>
                <w:rFonts w:ascii="Times New Roman" w:hAnsi="Times New Roman"/>
                <w:sz w:val="24"/>
              </w:rPr>
            </w:pPr>
            <w:r w:rsidRPr="00DA48A7">
              <w:rPr>
                <w:rFonts w:ascii="Times New Roman" w:hAnsi="Times New Roman"/>
                <w:sz w:val="24"/>
              </w:rPr>
              <w:t>1339 kWh</w:t>
            </w:r>
          </w:p>
        </w:tc>
        <w:tc>
          <w:tcPr>
            <w:tcW w:w="2430" w:type="dxa"/>
            <w:tcBorders>
              <w:bottom w:val="single" w:sz="4" w:space="0" w:color="000000" w:themeColor="text1"/>
            </w:tcBorders>
            <w:shd w:val="clear" w:color="auto" w:fill="D9D9D9" w:themeFill="background1" w:themeFillShade="D9"/>
            <w:vAlign w:val="center"/>
          </w:tcPr>
          <w:p w:rsidR="008B706C" w:rsidRPr="00DA48A7" w:rsidRDefault="008B706C" w:rsidP="0032283E">
            <w:pPr>
              <w:ind w:left="432"/>
              <w:rPr>
                <w:rFonts w:ascii="Times New Roman" w:hAnsi="Times New Roman"/>
                <w:sz w:val="24"/>
              </w:rPr>
            </w:pPr>
            <w:r w:rsidRPr="00DA48A7">
              <w:rPr>
                <w:rFonts w:ascii="Times New Roman" w:hAnsi="Times New Roman"/>
                <w:sz w:val="24"/>
              </w:rPr>
              <w:t>$</w:t>
            </w:r>
            <w:r>
              <w:rPr>
                <w:rFonts w:ascii="Times New Roman" w:hAnsi="Times New Roman"/>
                <w:sz w:val="24"/>
              </w:rPr>
              <w:t xml:space="preserve">  </w:t>
            </w:r>
            <w:r w:rsidRPr="00DA48A7">
              <w:rPr>
                <w:rFonts w:ascii="Times New Roman" w:hAnsi="Times New Roman"/>
                <w:sz w:val="24"/>
              </w:rPr>
              <w:t>38.18 Gas</w:t>
            </w:r>
          </w:p>
          <w:p w:rsidR="008B706C" w:rsidRPr="00DA48A7" w:rsidRDefault="008B706C" w:rsidP="0032283E">
            <w:pPr>
              <w:ind w:left="432"/>
              <w:rPr>
                <w:rFonts w:ascii="Times New Roman" w:hAnsi="Times New Roman"/>
                <w:sz w:val="24"/>
              </w:rPr>
            </w:pPr>
            <w:r w:rsidRPr="00DA48A7">
              <w:rPr>
                <w:rFonts w:ascii="Times New Roman" w:hAnsi="Times New Roman"/>
                <w:sz w:val="24"/>
              </w:rPr>
              <w:t>$205.26 Electric</w:t>
            </w:r>
          </w:p>
          <w:p w:rsidR="008B706C" w:rsidRPr="00DA48A7" w:rsidRDefault="008B706C" w:rsidP="002E707A">
            <w:pPr>
              <w:jc w:val="center"/>
              <w:rPr>
                <w:rFonts w:ascii="Times New Roman" w:hAnsi="Times New Roman"/>
                <w:sz w:val="24"/>
              </w:rPr>
            </w:pPr>
            <w:r w:rsidRPr="00DA48A7">
              <w:rPr>
                <w:rFonts w:ascii="Times New Roman" w:hAnsi="Times New Roman"/>
                <w:sz w:val="24"/>
              </w:rPr>
              <w:t>$173.53 Late Charge</w:t>
            </w:r>
          </w:p>
        </w:tc>
        <w:tc>
          <w:tcPr>
            <w:tcW w:w="1170" w:type="dxa"/>
            <w:tcBorders>
              <w:bottom w:val="single" w:sz="4" w:space="0" w:color="000000" w:themeColor="text1"/>
            </w:tcBorders>
            <w:shd w:val="clear" w:color="auto" w:fill="D9D9D9" w:themeFill="background1" w:themeFillShade="D9"/>
            <w:vAlign w:val="center"/>
          </w:tcPr>
          <w:p w:rsidR="008B706C" w:rsidRPr="00DA48A7" w:rsidRDefault="008B706C" w:rsidP="00DA48A7">
            <w:pPr>
              <w:jc w:val="center"/>
              <w:rPr>
                <w:rFonts w:ascii="Times New Roman" w:hAnsi="Times New Roman"/>
                <w:sz w:val="24"/>
              </w:rPr>
            </w:pPr>
            <w:r w:rsidRPr="00DA48A7">
              <w:rPr>
                <w:rFonts w:ascii="Times New Roman" w:hAnsi="Times New Roman"/>
                <w:sz w:val="24"/>
              </w:rPr>
              <w:t>$0.00</w:t>
            </w:r>
          </w:p>
        </w:tc>
      </w:tr>
      <w:tr w:rsidR="00D01819" w:rsidRPr="004F0E66" w:rsidTr="00D01819">
        <w:trPr>
          <w:trHeight w:val="432"/>
        </w:trPr>
        <w:tc>
          <w:tcPr>
            <w:tcW w:w="2340" w:type="dxa"/>
            <w:shd w:val="clear" w:color="auto" w:fill="D9D9D9" w:themeFill="background1" w:themeFillShade="D9"/>
            <w:vAlign w:val="center"/>
          </w:tcPr>
          <w:p w:rsidR="008B706C" w:rsidRPr="004F0E66" w:rsidRDefault="008B706C" w:rsidP="002E707A">
            <w:pPr>
              <w:jc w:val="center"/>
            </w:pPr>
          </w:p>
        </w:tc>
        <w:tc>
          <w:tcPr>
            <w:tcW w:w="1260" w:type="dxa"/>
            <w:shd w:val="clear" w:color="auto" w:fill="D9D9D9" w:themeFill="background1" w:themeFillShade="D9"/>
            <w:vAlign w:val="center"/>
          </w:tcPr>
          <w:p w:rsidR="008B706C" w:rsidRPr="00544ED5" w:rsidRDefault="008B706C" w:rsidP="0015385F">
            <w:pPr>
              <w:jc w:val="center"/>
            </w:pPr>
          </w:p>
        </w:tc>
        <w:tc>
          <w:tcPr>
            <w:tcW w:w="270" w:type="dxa"/>
            <w:shd w:val="clear" w:color="auto" w:fill="D9D9D9" w:themeFill="background1" w:themeFillShade="D9"/>
          </w:tcPr>
          <w:p w:rsidR="008B706C" w:rsidRPr="00544ED5" w:rsidRDefault="008B706C" w:rsidP="0015385F">
            <w:pPr>
              <w:jc w:val="center"/>
            </w:pPr>
          </w:p>
        </w:tc>
        <w:tc>
          <w:tcPr>
            <w:tcW w:w="1800" w:type="dxa"/>
            <w:shd w:val="clear" w:color="auto" w:fill="D9D9D9" w:themeFill="background1" w:themeFillShade="D9"/>
            <w:vAlign w:val="center"/>
          </w:tcPr>
          <w:p w:rsidR="008B706C" w:rsidRPr="00544ED5" w:rsidRDefault="008B706C" w:rsidP="0015385F">
            <w:pPr>
              <w:jc w:val="center"/>
            </w:pPr>
          </w:p>
        </w:tc>
        <w:tc>
          <w:tcPr>
            <w:tcW w:w="2430" w:type="dxa"/>
            <w:shd w:val="clear" w:color="auto" w:fill="D9D9D9" w:themeFill="background1" w:themeFillShade="D9"/>
            <w:vAlign w:val="center"/>
          </w:tcPr>
          <w:p w:rsidR="008B706C" w:rsidRPr="004F0E66" w:rsidRDefault="008B706C" w:rsidP="002E707A">
            <w:pPr>
              <w:jc w:val="center"/>
            </w:pPr>
          </w:p>
        </w:tc>
        <w:tc>
          <w:tcPr>
            <w:tcW w:w="1170" w:type="dxa"/>
            <w:shd w:val="clear" w:color="auto" w:fill="D9D9D9" w:themeFill="background1" w:themeFillShade="D9"/>
          </w:tcPr>
          <w:p w:rsidR="008B706C" w:rsidRPr="00B648E6" w:rsidRDefault="008B706C" w:rsidP="002E707A">
            <w:pPr>
              <w:jc w:val="center"/>
            </w:pPr>
          </w:p>
        </w:tc>
      </w:tr>
      <w:tr w:rsidR="00D01819" w:rsidRPr="004F0E66" w:rsidTr="00D01819">
        <w:trPr>
          <w:trHeight w:val="432"/>
        </w:trPr>
        <w:tc>
          <w:tcPr>
            <w:tcW w:w="2340" w:type="dxa"/>
            <w:vAlign w:val="center"/>
          </w:tcPr>
          <w:p w:rsidR="008B706C" w:rsidRPr="006831CB" w:rsidRDefault="008B706C" w:rsidP="002E707A">
            <w:pPr>
              <w:jc w:val="center"/>
              <w:rPr>
                <w:rFonts w:ascii="Times New Roman" w:hAnsi="Times New Roman"/>
                <w:sz w:val="24"/>
              </w:rPr>
            </w:pPr>
            <w:r w:rsidRPr="006831CB">
              <w:rPr>
                <w:rFonts w:ascii="Times New Roman" w:hAnsi="Times New Roman"/>
                <w:sz w:val="24"/>
              </w:rPr>
              <w:t>05/27/14 to 06/25/14</w:t>
            </w:r>
          </w:p>
        </w:tc>
        <w:tc>
          <w:tcPr>
            <w:tcW w:w="1260" w:type="dxa"/>
            <w:vAlign w:val="center"/>
          </w:tcPr>
          <w:p w:rsidR="008B706C" w:rsidRPr="006831CB" w:rsidRDefault="008B706C" w:rsidP="0015385F">
            <w:pPr>
              <w:jc w:val="center"/>
              <w:rPr>
                <w:rFonts w:ascii="Times New Roman" w:hAnsi="Times New Roman"/>
                <w:sz w:val="24"/>
              </w:rPr>
            </w:pPr>
            <w:r w:rsidRPr="006831CB">
              <w:rPr>
                <w:rFonts w:ascii="Times New Roman" w:hAnsi="Times New Roman"/>
                <w:sz w:val="24"/>
              </w:rPr>
              <w:t>8 CCF</w:t>
            </w:r>
          </w:p>
        </w:tc>
        <w:tc>
          <w:tcPr>
            <w:tcW w:w="270" w:type="dxa"/>
          </w:tcPr>
          <w:p w:rsidR="008B706C" w:rsidRPr="006831CB" w:rsidRDefault="008B706C" w:rsidP="0015385F">
            <w:pPr>
              <w:jc w:val="center"/>
            </w:pPr>
          </w:p>
        </w:tc>
        <w:tc>
          <w:tcPr>
            <w:tcW w:w="1800" w:type="dxa"/>
            <w:vAlign w:val="center"/>
          </w:tcPr>
          <w:p w:rsidR="008B706C" w:rsidRPr="006831CB" w:rsidRDefault="008B706C" w:rsidP="0015385F">
            <w:pPr>
              <w:jc w:val="center"/>
              <w:rPr>
                <w:rFonts w:ascii="Times New Roman" w:hAnsi="Times New Roman"/>
                <w:sz w:val="24"/>
              </w:rPr>
            </w:pPr>
            <w:r w:rsidRPr="006831CB">
              <w:rPr>
                <w:rFonts w:ascii="Times New Roman" w:hAnsi="Times New Roman"/>
                <w:sz w:val="24"/>
              </w:rPr>
              <w:t xml:space="preserve">1436 </w:t>
            </w:r>
            <w:r>
              <w:rPr>
                <w:rFonts w:ascii="Times New Roman" w:hAnsi="Times New Roman"/>
                <w:sz w:val="24"/>
              </w:rPr>
              <w:t>k</w:t>
            </w:r>
            <w:r w:rsidRPr="006831CB">
              <w:rPr>
                <w:rFonts w:ascii="Times New Roman" w:hAnsi="Times New Roman"/>
                <w:sz w:val="24"/>
              </w:rPr>
              <w:t>Wh</w:t>
            </w:r>
          </w:p>
        </w:tc>
        <w:tc>
          <w:tcPr>
            <w:tcW w:w="2430" w:type="dxa"/>
            <w:vAlign w:val="center"/>
          </w:tcPr>
          <w:p w:rsidR="008B706C" w:rsidRPr="006831CB" w:rsidRDefault="008B706C" w:rsidP="007914A3">
            <w:pPr>
              <w:ind w:left="432"/>
              <w:rPr>
                <w:rFonts w:ascii="Times New Roman" w:hAnsi="Times New Roman"/>
                <w:sz w:val="24"/>
              </w:rPr>
            </w:pPr>
            <w:r w:rsidRPr="006831CB">
              <w:rPr>
                <w:rFonts w:ascii="Times New Roman" w:hAnsi="Times New Roman"/>
                <w:sz w:val="24"/>
              </w:rPr>
              <w:t>$</w:t>
            </w:r>
            <w:r>
              <w:rPr>
                <w:rFonts w:ascii="Times New Roman" w:hAnsi="Times New Roman"/>
                <w:sz w:val="24"/>
              </w:rPr>
              <w:t xml:space="preserve">  </w:t>
            </w:r>
            <w:r w:rsidRPr="006831CB">
              <w:rPr>
                <w:rFonts w:ascii="Times New Roman" w:hAnsi="Times New Roman"/>
                <w:sz w:val="24"/>
              </w:rPr>
              <w:t>20.34 Gas</w:t>
            </w:r>
          </w:p>
          <w:p w:rsidR="008B706C" w:rsidRPr="006831CB" w:rsidRDefault="008B706C" w:rsidP="007914A3">
            <w:pPr>
              <w:ind w:left="432"/>
              <w:rPr>
                <w:rFonts w:ascii="Times New Roman" w:hAnsi="Times New Roman"/>
                <w:sz w:val="24"/>
              </w:rPr>
            </w:pPr>
            <w:r w:rsidRPr="006831CB">
              <w:rPr>
                <w:rFonts w:ascii="Times New Roman" w:hAnsi="Times New Roman"/>
                <w:sz w:val="24"/>
              </w:rPr>
              <w:t>$216.87 Electric</w:t>
            </w:r>
          </w:p>
          <w:p w:rsidR="008B706C" w:rsidRPr="006831CB" w:rsidRDefault="008B706C" w:rsidP="002E707A">
            <w:pPr>
              <w:jc w:val="center"/>
              <w:rPr>
                <w:rFonts w:ascii="Times New Roman" w:hAnsi="Times New Roman"/>
                <w:sz w:val="24"/>
              </w:rPr>
            </w:pPr>
            <w:r w:rsidRPr="006831CB">
              <w:rPr>
                <w:rFonts w:ascii="Times New Roman" w:hAnsi="Times New Roman"/>
                <w:sz w:val="24"/>
              </w:rPr>
              <w:t>$177.18 Late Charge</w:t>
            </w:r>
          </w:p>
        </w:tc>
        <w:tc>
          <w:tcPr>
            <w:tcW w:w="1170" w:type="dxa"/>
          </w:tcPr>
          <w:p w:rsidR="008B706C" w:rsidRPr="006831CB" w:rsidRDefault="008B706C" w:rsidP="002E707A">
            <w:pPr>
              <w:jc w:val="center"/>
              <w:rPr>
                <w:rFonts w:ascii="Times New Roman" w:hAnsi="Times New Roman"/>
                <w:sz w:val="24"/>
              </w:rPr>
            </w:pPr>
          </w:p>
          <w:p w:rsidR="008B706C" w:rsidRPr="006831CB" w:rsidRDefault="008B706C" w:rsidP="002E707A">
            <w:pPr>
              <w:jc w:val="center"/>
              <w:rPr>
                <w:rFonts w:ascii="Times New Roman" w:hAnsi="Times New Roman"/>
                <w:sz w:val="24"/>
              </w:rPr>
            </w:pPr>
            <w:r w:rsidRPr="006831CB">
              <w:rPr>
                <w:rFonts w:ascii="Times New Roman" w:hAnsi="Times New Roman"/>
                <w:sz w:val="24"/>
              </w:rPr>
              <w:t>$0.00</w:t>
            </w:r>
          </w:p>
        </w:tc>
      </w:tr>
      <w:tr w:rsidR="00D01819" w:rsidRPr="00B36AB7" w:rsidTr="00D01819">
        <w:trPr>
          <w:trHeight w:val="432"/>
        </w:trPr>
        <w:tc>
          <w:tcPr>
            <w:tcW w:w="2340" w:type="dxa"/>
            <w:tcBorders>
              <w:bottom w:val="single" w:sz="4" w:space="0" w:color="000000" w:themeColor="text1"/>
            </w:tcBorders>
            <w:vAlign w:val="center"/>
          </w:tcPr>
          <w:p w:rsidR="008B706C" w:rsidRPr="00B36AB7" w:rsidRDefault="008B706C" w:rsidP="00F278EF">
            <w:pPr>
              <w:jc w:val="center"/>
              <w:rPr>
                <w:rFonts w:ascii="Times New Roman" w:hAnsi="Times New Roman"/>
                <w:sz w:val="24"/>
              </w:rPr>
            </w:pPr>
          </w:p>
        </w:tc>
        <w:tc>
          <w:tcPr>
            <w:tcW w:w="1260" w:type="dxa"/>
            <w:tcBorders>
              <w:bottom w:val="single" w:sz="4" w:space="0" w:color="000000" w:themeColor="text1"/>
            </w:tcBorders>
            <w:vAlign w:val="center"/>
          </w:tcPr>
          <w:p w:rsidR="008B706C" w:rsidRPr="00B36AB7" w:rsidRDefault="008B706C" w:rsidP="0015385F">
            <w:pPr>
              <w:jc w:val="center"/>
              <w:rPr>
                <w:rFonts w:ascii="Times New Roman" w:hAnsi="Times New Roman"/>
                <w:sz w:val="24"/>
              </w:rPr>
            </w:pPr>
          </w:p>
        </w:tc>
        <w:tc>
          <w:tcPr>
            <w:tcW w:w="270" w:type="dxa"/>
            <w:tcBorders>
              <w:bottom w:val="single" w:sz="4" w:space="0" w:color="000000" w:themeColor="text1"/>
            </w:tcBorders>
          </w:tcPr>
          <w:p w:rsidR="008B706C" w:rsidRPr="00B36AB7" w:rsidRDefault="008B706C" w:rsidP="0015385F">
            <w:pPr>
              <w:jc w:val="center"/>
            </w:pPr>
          </w:p>
        </w:tc>
        <w:tc>
          <w:tcPr>
            <w:tcW w:w="1800" w:type="dxa"/>
            <w:tcBorders>
              <w:bottom w:val="single" w:sz="4" w:space="0" w:color="000000" w:themeColor="text1"/>
            </w:tcBorders>
            <w:vAlign w:val="center"/>
          </w:tcPr>
          <w:p w:rsidR="008B706C" w:rsidRPr="00B36AB7" w:rsidRDefault="008B706C" w:rsidP="0015385F">
            <w:pPr>
              <w:jc w:val="center"/>
              <w:rPr>
                <w:rFonts w:ascii="Times New Roman" w:hAnsi="Times New Roman"/>
                <w:sz w:val="24"/>
              </w:rPr>
            </w:pPr>
          </w:p>
        </w:tc>
        <w:tc>
          <w:tcPr>
            <w:tcW w:w="2430" w:type="dxa"/>
            <w:tcBorders>
              <w:bottom w:val="single" w:sz="4" w:space="0" w:color="000000" w:themeColor="text1"/>
            </w:tcBorders>
            <w:vAlign w:val="center"/>
          </w:tcPr>
          <w:p w:rsidR="008B706C" w:rsidRPr="00B36AB7" w:rsidRDefault="008B706C" w:rsidP="00F278EF">
            <w:pPr>
              <w:jc w:val="center"/>
              <w:rPr>
                <w:rFonts w:ascii="Times New Roman" w:hAnsi="Times New Roman"/>
                <w:sz w:val="24"/>
              </w:rPr>
            </w:pPr>
          </w:p>
        </w:tc>
        <w:tc>
          <w:tcPr>
            <w:tcW w:w="1170" w:type="dxa"/>
            <w:tcBorders>
              <w:bottom w:val="single" w:sz="4" w:space="0" w:color="000000" w:themeColor="text1"/>
            </w:tcBorders>
          </w:tcPr>
          <w:p w:rsidR="008B706C" w:rsidRPr="00B36AB7" w:rsidRDefault="008B706C" w:rsidP="00F278EF">
            <w:pPr>
              <w:jc w:val="center"/>
              <w:rPr>
                <w:rFonts w:ascii="Times New Roman" w:hAnsi="Times New Roman"/>
                <w:sz w:val="24"/>
              </w:rPr>
            </w:pPr>
          </w:p>
        </w:tc>
      </w:tr>
      <w:tr w:rsidR="00D01819" w:rsidRPr="00B36AB7" w:rsidTr="00D01819">
        <w:trPr>
          <w:trHeight w:val="432"/>
        </w:trPr>
        <w:tc>
          <w:tcPr>
            <w:tcW w:w="2340" w:type="dxa"/>
            <w:shd w:val="clear" w:color="auto" w:fill="D9D9D9" w:themeFill="background1" w:themeFillShade="D9"/>
            <w:vAlign w:val="center"/>
          </w:tcPr>
          <w:p w:rsidR="008B706C" w:rsidRPr="00B36AB7" w:rsidRDefault="008B706C" w:rsidP="00F278EF">
            <w:pPr>
              <w:jc w:val="center"/>
              <w:rPr>
                <w:rFonts w:ascii="Times New Roman" w:hAnsi="Times New Roman"/>
                <w:sz w:val="24"/>
              </w:rPr>
            </w:pPr>
            <w:r w:rsidRPr="00B36AB7">
              <w:rPr>
                <w:rFonts w:ascii="Times New Roman" w:hAnsi="Times New Roman"/>
                <w:sz w:val="24"/>
              </w:rPr>
              <w:t>06/25/14 to 07/27/14</w:t>
            </w:r>
          </w:p>
        </w:tc>
        <w:tc>
          <w:tcPr>
            <w:tcW w:w="1260" w:type="dxa"/>
            <w:shd w:val="clear" w:color="auto" w:fill="D9D9D9" w:themeFill="background1" w:themeFillShade="D9"/>
            <w:vAlign w:val="center"/>
          </w:tcPr>
          <w:p w:rsidR="008B706C" w:rsidRPr="00B36AB7" w:rsidRDefault="008B706C" w:rsidP="0015385F">
            <w:pPr>
              <w:jc w:val="center"/>
              <w:rPr>
                <w:rFonts w:ascii="Times New Roman" w:hAnsi="Times New Roman"/>
                <w:sz w:val="24"/>
              </w:rPr>
            </w:pPr>
            <w:r w:rsidRPr="00B36AB7">
              <w:rPr>
                <w:rFonts w:ascii="Times New Roman" w:hAnsi="Times New Roman"/>
                <w:sz w:val="24"/>
              </w:rPr>
              <w:t>8 CCF</w:t>
            </w:r>
          </w:p>
        </w:tc>
        <w:tc>
          <w:tcPr>
            <w:tcW w:w="270" w:type="dxa"/>
            <w:shd w:val="clear" w:color="auto" w:fill="D9D9D9" w:themeFill="background1" w:themeFillShade="D9"/>
          </w:tcPr>
          <w:p w:rsidR="008B706C" w:rsidRPr="00B36AB7" w:rsidRDefault="008B706C" w:rsidP="0015385F">
            <w:pPr>
              <w:jc w:val="center"/>
            </w:pPr>
          </w:p>
        </w:tc>
        <w:tc>
          <w:tcPr>
            <w:tcW w:w="1800" w:type="dxa"/>
            <w:shd w:val="clear" w:color="auto" w:fill="D9D9D9" w:themeFill="background1" w:themeFillShade="D9"/>
            <w:vAlign w:val="center"/>
          </w:tcPr>
          <w:p w:rsidR="008B706C" w:rsidRPr="00B36AB7" w:rsidRDefault="008B706C" w:rsidP="0015385F">
            <w:pPr>
              <w:jc w:val="center"/>
              <w:rPr>
                <w:rFonts w:ascii="Times New Roman" w:hAnsi="Times New Roman"/>
                <w:sz w:val="24"/>
              </w:rPr>
            </w:pPr>
            <w:r w:rsidRPr="00B36AB7">
              <w:rPr>
                <w:rFonts w:ascii="Times New Roman" w:hAnsi="Times New Roman"/>
                <w:sz w:val="24"/>
              </w:rPr>
              <w:t>1668 kWh</w:t>
            </w:r>
          </w:p>
        </w:tc>
        <w:tc>
          <w:tcPr>
            <w:tcW w:w="2430" w:type="dxa"/>
            <w:shd w:val="clear" w:color="auto" w:fill="D9D9D9" w:themeFill="background1" w:themeFillShade="D9"/>
            <w:vAlign w:val="center"/>
          </w:tcPr>
          <w:p w:rsidR="008B706C" w:rsidRPr="00B36AB7" w:rsidRDefault="008B706C" w:rsidP="007914A3">
            <w:pPr>
              <w:ind w:left="432"/>
              <w:rPr>
                <w:rFonts w:ascii="Times New Roman" w:hAnsi="Times New Roman"/>
                <w:sz w:val="24"/>
              </w:rPr>
            </w:pPr>
            <w:r w:rsidRPr="00B36AB7">
              <w:rPr>
                <w:rFonts w:ascii="Times New Roman" w:hAnsi="Times New Roman"/>
                <w:sz w:val="24"/>
              </w:rPr>
              <w:t>$</w:t>
            </w:r>
            <w:r>
              <w:rPr>
                <w:rFonts w:ascii="Times New Roman" w:hAnsi="Times New Roman"/>
                <w:sz w:val="24"/>
              </w:rPr>
              <w:t xml:space="preserve">  </w:t>
            </w:r>
            <w:r w:rsidRPr="00B36AB7">
              <w:rPr>
                <w:rFonts w:ascii="Times New Roman" w:hAnsi="Times New Roman"/>
                <w:sz w:val="24"/>
              </w:rPr>
              <w:t>25.00 Gas</w:t>
            </w:r>
          </w:p>
          <w:p w:rsidR="008B706C" w:rsidRPr="00B36AB7" w:rsidRDefault="008B706C" w:rsidP="007914A3">
            <w:pPr>
              <w:ind w:left="432"/>
              <w:rPr>
                <w:rFonts w:ascii="Times New Roman" w:hAnsi="Times New Roman"/>
                <w:sz w:val="24"/>
              </w:rPr>
            </w:pPr>
            <w:r w:rsidRPr="00B36AB7">
              <w:rPr>
                <w:rFonts w:ascii="Times New Roman" w:hAnsi="Times New Roman"/>
                <w:sz w:val="24"/>
              </w:rPr>
              <w:t>$180.34 Electric</w:t>
            </w:r>
          </w:p>
          <w:p w:rsidR="008B706C" w:rsidRPr="00B36AB7" w:rsidRDefault="008B706C" w:rsidP="00B61132">
            <w:pPr>
              <w:jc w:val="center"/>
              <w:rPr>
                <w:rFonts w:ascii="Times New Roman" w:hAnsi="Times New Roman"/>
                <w:sz w:val="24"/>
              </w:rPr>
            </w:pPr>
            <w:r w:rsidRPr="00B36AB7">
              <w:rPr>
                <w:rFonts w:ascii="Times New Roman" w:hAnsi="Times New Roman"/>
                <w:sz w:val="24"/>
              </w:rPr>
              <w:t>$180.74 Late Charge</w:t>
            </w:r>
          </w:p>
        </w:tc>
        <w:tc>
          <w:tcPr>
            <w:tcW w:w="1170" w:type="dxa"/>
            <w:shd w:val="clear" w:color="auto" w:fill="D9D9D9" w:themeFill="background1" w:themeFillShade="D9"/>
          </w:tcPr>
          <w:p w:rsidR="008B706C" w:rsidRPr="00B36AB7" w:rsidRDefault="008B706C" w:rsidP="00F278EF">
            <w:pPr>
              <w:jc w:val="center"/>
              <w:rPr>
                <w:rFonts w:ascii="Times New Roman" w:hAnsi="Times New Roman"/>
                <w:sz w:val="24"/>
              </w:rPr>
            </w:pPr>
          </w:p>
          <w:p w:rsidR="008B706C" w:rsidRPr="00B36AB7" w:rsidRDefault="008B706C" w:rsidP="00F278EF">
            <w:pPr>
              <w:jc w:val="center"/>
              <w:rPr>
                <w:rFonts w:ascii="Times New Roman" w:hAnsi="Times New Roman"/>
                <w:sz w:val="24"/>
              </w:rPr>
            </w:pPr>
            <w:r w:rsidRPr="00B36AB7">
              <w:rPr>
                <w:rFonts w:ascii="Times New Roman" w:hAnsi="Times New Roman"/>
                <w:sz w:val="24"/>
              </w:rPr>
              <w:t>$0.00</w:t>
            </w:r>
          </w:p>
        </w:tc>
      </w:tr>
      <w:tr w:rsidR="00D01819" w:rsidRPr="00B36AB7" w:rsidTr="00D01819">
        <w:trPr>
          <w:trHeight w:val="432"/>
        </w:trPr>
        <w:tc>
          <w:tcPr>
            <w:tcW w:w="2340" w:type="dxa"/>
            <w:shd w:val="clear" w:color="auto" w:fill="D9D9D9" w:themeFill="background1" w:themeFillShade="D9"/>
            <w:vAlign w:val="center"/>
          </w:tcPr>
          <w:p w:rsidR="008B706C" w:rsidRPr="00B36AB7" w:rsidRDefault="008B706C" w:rsidP="00F278EF">
            <w:pPr>
              <w:jc w:val="center"/>
              <w:rPr>
                <w:rFonts w:ascii="Times New Roman" w:hAnsi="Times New Roman"/>
                <w:sz w:val="24"/>
              </w:rPr>
            </w:pPr>
          </w:p>
        </w:tc>
        <w:tc>
          <w:tcPr>
            <w:tcW w:w="1260" w:type="dxa"/>
            <w:shd w:val="clear" w:color="auto" w:fill="D9D9D9" w:themeFill="background1" w:themeFillShade="D9"/>
            <w:vAlign w:val="center"/>
          </w:tcPr>
          <w:p w:rsidR="008B706C" w:rsidRPr="00B36AB7" w:rsidRDefault="008B706C" w:rsidP="0015385F">
            <w:pPr>
              <w:jc w:val="center"/>
              <w:rPr>
                <w:rFonts w:ascii="Times New Roman" w:hAnsi="Times New Roman"/>
                <w:sz w:val="24"/>
              </w:rPr>
            </w:pPr>
          </w:p>
        </w:tc>
        <w:tc>
          <w:tcPr>
            <w:tcW w:w="270" w:type="dxa"/>
            <w:shd w:val="clear" w:color="auto" w:fill="D9D9D9" w:themeFill="background1" w:themeFillShade="D9"/>
          </w:tcPr>
          <w:p w:rsidR="008B706C" w:rsidRPr="00B36AB7" w:rsidRDefault="008B706C" w:rsidP="0015385F">
            <w:pPr>
              <w:jc w:val="center"/>
            </w:pPr>
          </w:p>
        </w:tc>
        <w:tc>
          <w:tcPr>
            <w:tcW w:w="1800" w:type="dxa"/>
            <w:shd w:val="clear" w:color="auto" w:fill="D9D9D9" w:themeFill="background1" w:themeFillShade="D9"/>
            <w:vAlign w:val="center"/>
          </w:tcPr>
          <w:p w:rsidR="008B706C" w:rsidRPr="00B36AB7" w:rsidRDefault="008B706C" w:rsidP="0015385F">
            <w:pPr>
              <w:jc w:val="center"/>
              <w:rPr>
                <w:rFonts w:ascii="Times New Roman" w:hAnsi="Times New Roman"/>
                <w:sz w:val="24"/>
              </w:rPr>
            </w:pPr>
          </w:p>
        </w:tc>
        <w:tc>
          <w:tcPr>
            <w:tcW w:w="2430" w:type="dxa"/>
            <w:shd w:val="clear" w:color="auto" w:fill="D9D9D9" w:themeFill="background1" w:themeFillShade="D9"/>
            <w:vAlign w:val="center"/>
          </w:tcPr>
          <w:p w:rsidR="008B706C" w:rsidRPr="00B36AB7" w:rsidRDefault="008B706C" w:rsidP="00F278EF">
            <w:pPr>
              <w:jc w:val="center"/>
              <w:rPr>
                <w:rFonts w:ascii="Times New Roman" w:hAnsi="Times New Roman"/>
                <w:sz w:val="24"/>
              </w:rPr>
            </w:pPr>
          </w:p>
        </w:tc>
        <w:tc>
          <w:tcPr>
            <w:tcW w:w="1170" w:type="dxa"/>
            <w:shd w:val="clear" w:color="auto" w:fill="D9D9D9" w:themeFill="background1" w:themeFillShade="D9"/>
          </w:tcPr>
          <w:p w:rsidR="008B706C" w:rsidRPr="00B36AB7" w:rsidRDefault="008B706C" w:rsidP="00F278EF">
            <w:pPr>
              <w:jc w:val="center"/>
              <w:rPr>
                <w:rFonts w:ascii="Times New Roman" w:hAnsi="Times New Roman"/>
                <w:sz w:val="24"/>
              </w:rPr>
            </w:pPr>
          </w:p>
        </w:tc>
      </w:tr>
      <w:tr w:rsidR="00D01819" w:rsidRPr="00B36AB7" w:rsidTr="00D01819">
        <w:trPr>
          <w:trHeight w:val="432"/>
        </w:trPr>
        <w:tc>
          <w:tcPr>
            <w:tcW w:w="2340" w:type="dxa"/>
            <w:vAlign w:val="center"/>
          </w:tcPr>
          <w:p w:rsidR="008B706C" w:rsidRPr="00B36AB7" w:rsidRDefault="008B706C" w:rsidP="002E707A">
            <w:pPr>
              <w:jc w:val="center"/>
              <w:rPr>
                <w:rFonts w:ascii="Times New Roman" w:hAnsi="Times New Roman"/>
                <w:sz w:val="24"/>
              </w:rPr>
            </w:pPr>
            <w:r>
              <w:rPr>
                <w:rFonts w:ascii="Times New Roman" w:hAnsi="Times New Roman"/>
                <w:sz w:val="24"/>
              </w:rPr>
              <w:t>07/27/14 to 08/25/14</w:t>
            </w:r>
          </w:p>
        </w:tc>
        <w:tc>
          <w:tcPr>
            <w:tcW w:w="1260" w:type="dxa"/>
            <w:vAlign w:val="center"/>
          </w:tcPr>
          <w:p w:rsidR="008B706C" w:rsidRPr="00B36AB7" w:rsidRDefault="008B706C" w:rsidP="0015385F">
            <w:pPr>
              <w:jc w:val="center"/>
              <w:rPr>
                <w:rFonts w:ascii="Times New Roman" w:hAnsi="Times New Roman"/>
                <w:sz w:val="24"/>
              </w:rPr>
            </w:pPr>
            <w:r>
              <w:rPr>
                <w:rFonts w:ascii="Times New Roman" w:hAnsi="Times New Roman"/>
                <w:sz w:val="24"/>
              </w:rPr>
              <w:t>6 CCF</w:t>
            </w:r>
          </w:p>
        </w:tc>
        <w:tc>
          <w:tcPr>
            <w:tcW w:w="270" w:type="dxa"/>
          </w:tcPr>
          <w:p w:rsidR="008B706C" w:rsidRDefault="008B706C" w:rsidP="0015385F">
            <w:pPr>
              <w:jc w:val="center"/>
            </w:pPr>
          </w:p>
        </w:tc>
        <w:tc>
          <w:tcPr>
            <w:tcW w:w="1800" w:type="dxa"/>
            <w:vAlign w:val="center"/>
          </w:tcPr>
          <w:p w:rsidR="008B706C" w:rsidRPr="00B36AB7" w:rsidRDefault="008B706C" w:rsidP="0015385F">
            <w:pPr>
              <w:jc w:val="center"/>
              <w:rPr>
                <w:rFonts w:ascii="Times New Roman" w:hAnsi="Times New Roman"/>
                <w:sz w:val="24"/>
              </w:rPr>
            </w:pPr>
            <w:r>
              <w:rPr>
                <w:rFonts w:ascii="Times New Roman" w:hAnsi="Times New Roman"/>
                <w:sz w:val="24"/>
              </w:rPr>
              <w:t>1300 kWh</w:t>
            </w:r>
          </w:p>
        </w:tc>
        <w:tc>
          <w:tcPr>
            <w:tcW w:w="2430" w:type="dxa"/>
            <w:vAlign w:val="center"/>
          </w:tcPr>
          <w:p w:rsidR="008B706C" w:rsidRPr="00B36AB7" w:rsidRDefault="008B706C" w:rsidP="00114CE5">
            <w:pPr>
              <w:ind w:left="432"/>
              <w:rPr>
                <w:rFonts w:ascii="Times New Roman" w:hAnsi="Times New Roman"/>
                <w:sz w:val="24"/>
              </w:rPr>
            </w:pPr>
            <w:r w:rsidRPr="00B36AB7">
              <w:rPr>
                <w:rFonts w:ascii="Times New Roman" w:hAnsi="Times New Roman"/>
                <w:sz w:val="24"/>
              </w:rPr>
              <w:t>$25.00 Gas</w:t>
            </w:r>
          </w:p>
          <w:p w:rsidR="008B706C" w:rsidRDefault="008B706C" w:rsidP="00114CE5">
            <w:pPr>
              <w:ind w:left="432"/>
              <w:rPr>
                <w:rFonts w:ascii="Times New Roman" w:hAnsi="Times New Roman"/>
                <w:sz w:val="24"/>
              </w:rPr>
            </w:pPr>
            <w:r w:rsidRPr="00B36AB7">
              <w:rPr>
                <w:rFonts w:ascii="Times New Roman" w:hAnsi="Times New Roman"/>
                <w:sz w:val="24"/>
                <w:u w:val="single"/>
              </w:rPr>
              <w:t>$126.59 Electric</w:t>
            </w:r>
          </w:p>
          <w:p w:rsidR="008B706C" w:rsidRPr="00B36AB7" w:rsidRDefault="008B706C" w:rsidP="00114CE5">
            <w:pPr>
              <w:ind w:left="432"/>
              <w:rPr>
                <w:rFonts w:ascii="Times New Roman" w:hAnsi="Times New Roman"/>
                <w:sz w:val="24"/>
              </w:rPr>
            </w:pPr>
            <w:r>
              <w:rPr>
                <w:rFonts w:ascii="Times New Roman" w:hAnsi="Times New Roman"/>
                <w:sz w:val="24"/>
              </w:rPr>
              <w:t>$151.59 Total</w:t>
            </w:r>
          </w:p>
          <w:p w:rsidR="008B706C" w:rsidRPr="00B36AB7" w:rsidRDefault="008B706C" w:rsidP="00B36AB7">
            <w:pPr>
              <w:jc w:val="center"/>
              <w:rPr>
                <w:rFonts w:ascii="Times New Roman" w:hAnsi="Times New Roman"/>
                <w:sz w:val="24"/>
              </w:rPr>
            </w:pPr>
            <w:r w:rsidRPr="00B36AB7">
              <w:rPr>
                <w:rFonts w:ascii="Times New Roman" w:hAnsi="Times New Roman"/>
                <w:sz w:val="24"/>
              </w:rPr>
              <w:t>$18</w:t>
            </w:r>
            <w:r>
              <w:rPr>
                <w:rFonts w:ascii="Times New Roman" w:hAnsi="Times New Roman"/>
                <w:sz w:val="24"/>
              </w:rPr>
              <w:t>3.83</w:t>
            </w:r>
            <w:r w:rsidRPr="00B36AB7">
              <w:rPr>
                <w:rFonts w:ascii="Times New Roman" w:hAnsi="Times New Roman"/>
                <w:sz w:val="24"/>
              </w:rPr>
              <w:t xml:space="preserve"> Late Charge</w:t>
            </w:r>
          </w:p>
        </w:tc>
        <w:tc>
          <w:tcPr>
            <w:tcW w:w="1170" w:type="dxa"/>
            <w:vAlign w:val="center"/>
          </w:tcPr>
          <w:p w:rsidR="008B706C" w:rsidRDefault="008B706C" w:rsidP="005B6D29">
            <w:pPr>
              <w:jc w:val="center"/>
              <w:rPr>
                <w:rFonts w:ascii="Times New Roman" w:hAnsi="Times New Roman"/>
                <w:sz w:val="24"/>
              </w:rPr>
            </w:pPr>
            <w:r>
              <w:rPr>
                <w:rFonts w:ascii="Times New Roman" w:hAnsi="Times New Roman"/>
                <w:sz w:val="24"/>
              </w:rPr>
              <w:t>$151.59</w:t>
            </w:r>
          </w:p>
          <w:p w:rsidR="0015385F" w:rsidRPr="00B36AB7" w:rsidRDefault="0015385F" w:rsidP="005B6D29">
            <w:pPr>
              <w:jc w:val="center"/>
              <w:rPr>
                <w:rFonts w:ascii="Times New Roman" w:hAnsi="Times New Roman"/>
                <w:sz w:val="24"/>
              </w:rPr>
            </w:pPr>
            <w:r>
              <w:rPr>
                <w:rFonts w:ascii="Times New Roman" w:hAnsi="Times New Roman"/>
                <w:sz w:val="24"/>
              </w:rPr>
              <w:t>9/16/14</w:t>
            </w:r>
          </w:p>
        </w:tc>
      </w:tr>
      <w:tr w:rsidR="00D01819" w:rsidRPr="00B36AB7" w:rsidTr="00D01819">
        <w:trPr>
          <w:trHeight w:val="432"/>
        </w:trPr>
        <w:tc>
          <w:tcPr>
            <w:tcW w:w="2340" w:type="dxa"/>
            <w:tcBorders>
              <w:bottom w:val="single" w:sz="4" w:space="0" w:color="000000" w:themeColor="text1"/>
            </w:tcBorders>
            <w:vAlign w:val="center"/>
          </w:tcPr>
          <w:p w:rsidR="008B706C" w:rsidRPr="00B36AB7" w:rsidRDefault="008B706C" w:rsidP="002E707A">
            <w:pPr>
              <w:jc w:val="center"/>
              <w:rPr>
                <w:rFonts w:ascii="Times New Roman" w:hAnsi="Times New Roman"/>
                <w:sz w:val="24"/>
              </w:rPr>
            </w:pPr>
          </w:p>
        </w:tc>
        <w:tc>
          <w:tcPr>
            <w:tcW w:w="1260" w:type="dxa"/>
            <w:tcBorders>
              <w:bottom w:val="single" w:sz="4" w:space="0" w:color="000000" w:themeColor="text1"/>
            </w:tcBorders>
            <w:vAlign w:val="center"/>
          </w:tcPr>
          <w:p w:rsidR="008B706C" w:rsidRPr="00B36AB7" w:rsidRDefault="008B706C" w:rsidP="0015385F">
            <w:pPr>
              <w:jc w:val="center"/>
              <w:rPr>
                <w:rFonts w:ascii="Times New Roman" w:hAnsi="Times New Roman"/>
                <w:sz w:val="24"/>
              </w:rPr>
            </w:pPr>
          </w:p>
        </w:tc>
        <w:tc>
          <w:tcPr>
            <w:tcW w:w="270" w:type="dxa"/>
            <w:tcBorders>
              <w:bottom w:val="single" w:sz="4" w:space="0" w:color="000000" w:themeColor="text1"/>
            </w:tcBorders>
          </w:tcPr>
          <w:p w:rsidR="008B706C" w:rsidRPr="00B36AB7" w:rsidRDefault="008B706C" w:rsidP="0015385F">
            <w:pPr>
              <w:jc w:val="center"/>
            </w:pPr>
          </w:p>
        </w:tc>
        <w:tc>
          <w:tcPr>
            <w:tcW w:w="1800" w:type="dxa"/>
            <w:tcBorders>
              <w:bottom w:val="single" w:sz="4" w:space="0" w:color="000000" w:themeColor="text1"/>
            </w:tcBorders>
            <w:vAlign w:val="center"/>
          </w:tcPr>
          <w:p w:rsidR="008B706C" w:rsidRPr="00B36AB7" w:rsidRDefault="008B706C" w:rsidP="0015385F">
            <w:pPr>
              <w:jc w:val="center"/>
              <w:rPr>
                <w:rFonts w:ascii="Times New Roman" w:hAnsi="Times New Roman"/>
                <w:sz w:val="24"/>
              </w:rPr>
            </w:pPr>
          </w:p>
        </w:tc>
        <w:tc>
          <w:tcPr>
            <w:tcW w:w="2430" w:type="dxa"/>
            <w:tcBorders>
              <w:bottom w:val="single" w:sz="4" w:space="0" w:color="000000" w:themeColor="text1"/>
            </w:tcBorders>
            <w:vAlign w:val="center"/>
          </w:tcPr>
          <w:p w:rsidR="008B706C" w:rsidRPr="00B36AB7" w:rsidRDefault="008B706C" w:rsidP="002E707A">
            <w:pPr>
              <w:jc w:val="center"/>
              <w:rPr>
                <w:rFonts w:ascii="Times New Roman" w:hAnsi="Times New Roman"/>
                <w:sz w:val="24"/>
              </w:rPr>
            </w:pPr>
          </w:p>
        </w:tc>
        <w:tc>
          <w:tcPr>
            <w:tcW w:w="1170" w:type="dxa"/>
            <w:tcBorders>
              <w:bottom w:val="single" w:sz="4" w:space="0" w:color="000000" w:themeColor="text1"/>
            </w:tcBorders>
          </w:tcPr>
          <w:p w:rsidR="008B706C" w:rsidRPr="00B36AB7" w:rsidRDefault="008B706C" w:rsidP="002E707A">
            <w:pPr>
              <w:jc w:val="center"/>
              <w:rPr>
                <w:rFonts w:ascii="Times New Roman" w:hAnsi="Times New Roman"/>
                <w:sz w:val="24"/>
              </w:rPr>
            </w:pPr>
          </w:p>
        </w:tc>
      </w:tr>
      <w:tr w:rsidR="00D01819" w:rsidRPr="00B36AB7" w:rsidTr="00286615">
        <w:trPr>
          <w:trHeight w:val="432"/>
        </w:trPr>
        <w:tc>
          <w:tcPr>
            <w:tcW w:w="2340" w:type="dxa"/>
            <w:shd w:val="clear" w:color="auto" w:fill="D9D9D9" w:themeFill="background1" w:themeFillShade="D9"/>
            <w:vAlign w:val="center"/>
          </w:tcPr>
          <w:p w:rsidR="008B706C" w:rsidRPr="00B36AB7" w:rsidRDefault="008B706C" w:rsidP="002E707A">
            <w:pPr>
              <w:jc w:val="center"/>
              <w:rPr>
                <w:rFonts w:ascii="Times New Roman" w:hAnsi="Times New Roman"/>
                <w:sz w:val="24"/>
              </w:rPr>
            </w:pPr>
            <w:r>
              <w:rPr>
                <w:rFonts w:ascii="Times New Roman" w:hAnsi="Times New Roman"/>
                <w:sz w:val="24"/>
              </w:rPr>
              <w:t>08/25/14 to 09/24/14</w:t>
            </w:r>
          </w:p>
        </w:tc>
        <w:tc>
          <w:tcPr>
            <w:tcW w:w="1260" w:type="dxa"/>
            <w:shd w:val="clear" w:color="auto" w:fill="D9D9D9" w:themeFill="background1" w:themeFillShade="D9"/>
            <w:vAlign w:val="center"/>
          </w:tcPr>
          <w:p w:rsidR="008B706C" w:rsidRPr="00B36AB7" w:rsidRDefault="008B706C" w:rsidP="0015385F">
            <w:pPr>
              <w:jc w:val="center"/>
              <w:rPr>
                <w:rFonts w:ascii="Times New Roman" w:hAnsi="Times New Roman"/>
                <w:sz w:val="24"/>
              </w:rPr>
            </w:pPr>
            <w:r>
              <w:rPr>
                <w:rFonts w:ascii="Times New Roman" w:hAnsi="Times New Roman"/>
                <w:sz w:val="24"/>
              </w:rPr>
              <w:t>9 CCF</w:t>
            </w:r>
          </w:p>
        </w:tc>
        <w:tc>
          <w:tcPr>
            <w:tcW w:w="270" w:type="dxa"/>
            <w:shd w:val="clear" w:color="auto" w:fill="D9D9D9" w:themeFill="background1" w:themeFillShade="D9"/>
          </w:tcPr>
          <w:p w:rsidR="008B706C" w:rsidRDefault="008B706C" w:rsidP="0015385F">
            <w:pPr>
              <w:jc w:val="center"/>
            </w:pPr>
          </w:p>
        </w:tc>
        <w:tc>
          <w:tcPr>
            <w:tcW w:w="1800" w:type="dxa"/>
            <w:shd w:val="clear" w:color="auto" w:fill="D9D9D9" w:themeFill="background1" w:themeFillShade="D9"/>
            <w:vAlign w:val="center"/>
          </w:tcPr>
          <w:p w:rsidR="008B706C" w:rsidRPr="00B36AB7" w:rsidRDefault="008B706C" w:rsidP="0015385F">
            <w:pPr>
              <w:jc w:val="center"/>
              <w:rPr>
                <w:rFonts w:ascii="Times New Roman" w:hAnsi="Times New Roman"/>
                <w:sz w:val="24"/>
              </w:rPr>
            </w:pPr>
            <w:r>
              <w:rPr>
                <w:rFonts w:ascii="Times New Roman" w:hAnsi="Times New Roman"/>
                <w:sz w:val="24"/>
              </w:rPr>
              <w:t>1291 kWh</w:t>
            </w:r>
          </w:p>
        </w:tc>
        <w:tc>
          <w:tcPr>
            <w:tcW w:w="2430" w:type="dxa"/>
            <w:shd w:val="clear" w:color="auto" w:fill="D9D9D9" w:themeFill="background1" w:themeFillShade="D9"/>
            <w:vAlign w:val="center"/>
          </w:tcPr>
          <w:p w:rsidR="008B706C" w:rsidRPr="00B36AB7" w:rsidRDefault="008B706C" w:rsidP="00114CE5">
            <w:pPr>
              <w:ind w:left="432"/>
              <w:rPr>
                <w:rFonts w:ascii="Times New Roman" w:hAnsi="Times New Roman"/>
                <w:sz w:val="24"/>
              </w:rPr>
            </w:pPr>
            <w:r w:rsidRPr="00B36AB7">
              <w:rPr>
                <w:rFonts w:ascii="Times New Roman" w:hAnsi="Times New Roman"/>
                <w:sz w:val="24"/>
              </w:rPr>
              <w:t>$</w:t>
            </w:r>
            <w:r>
              <w:rPr>
                <w:rFonts w:ascii="Times New Roman" w:hAnsi="Times New Roman"/>
                <w:sz w:val="24"/>
              </w:rPr>
              <w:t xml:space="preserve">  </w:t>
            </w:r>
            <w:r w:rsidRPr="00B36AB7">
              <w:rPr>
                <w:rFonts w:ascii="Times New Roman" w:hAnsi="Times New Roman"/>
                <w:sz w:val="24"/>
              </w:rPr>
              <w:t>25.00 Gas</w:t>
            </w:r>
          </w:p>
          <w:p w:rsidR="008B706C" w:rsidRDefault="008B706C" w:rsidP="00114CE5">
            <w:pPr>
              <w:ind w:left="432"/>
              <w:rPr>
                <w:rFonts w:ascii="Times New Roman" w:hAnsi="Times New Roman"/>
                <w:sz w:val="24"/>
              </w:rPr>
            </w:pPr>
            <w:r w:rsidRPr="00B36AB7">
              <w:rPr>
                <w:rFonts w:ascii="Times New Roman" w:hAnsi="Times New Roman"/>
                <w:sz w:val="24"/>
                <w:u w:val="single"/>
              </w:rPr>
              <w:t>$12</w:t>
            </w:r>
            <w:r>
              <w:rPr>
                <w:rFonts w:ascii="Times New Roman" w:hAnsi="Times New Roman"/>
                <w:sz w:val="24"/>
                <w:u w:val="single"/>
              </w:rPr>
              <w:t>2</w:t>
            </w:r>
            <w:r w:rsidRPr="00B36AB7">
              <w:rPr>
                <w:rFonts w:ascii="Times New Roman" w:hAnsi="Times New Roman"/>
                <w:sz w:val="24"/>
                <w:u w:val="single"/>
              </w:rPr>
              <w:t>.5</w:t>
            </w:r>
            <w:r>
              <w:rPr>
                <w:rFonts w:ascii="Times New Roman" w:hAnsi="Times New Roman"/>
                <w:sz w:val="24"/>
                <w:u w:val="single"/>
              </w:rPr>
              <w:t>0</w:t>
            </w:r>
            <w:r w:rsidRPr="00B36AB7">
              <w:rPr>
                <w:rFonts w:ascii="Times New Roman" w:hAnsi="Times New Roman"/>
                <w:sz w:val="24"/>
                <w:u w:val="single"/>
              </w:rPr>
              <w:t xml:space="preserve"> Electric</w:t>
            </w:r>
          </w:p>
          <w:p w:rsidR="008B706C" w:rsidRPr="00B36AB7" w:rsidRDefault="008B706C" w:rsidP="00114CE5">
            <w:pPr>
              <w:ind w:left="432"/>
              <w:rPr>
                <w:rFonts w:ascii="Times New Roman" w:hAnsi="Times New Roman"/>
                <w:sz w:val="24"/>
              </w:rPr>
            </w:pPr>
            <w:r>
              <w:rPr>
                <w:rFonts w:ascii="Times New Roman" w:hAnsi="Times New Roman"/>
                <w:sz w:val="24"/>
              </w:rPr>
              <w:t>$147.50 Total</w:t>
            </w:r>
          </w:p>
        </w:tc>
        <w:tc>
          <w:tcPr>
            <w:tcW w:w="1170" w:type="dxa"/>
            <w:shd w:val="clear" w:color="auto" w:fill="D9D9D9" w:themeFill="background1" w:themeFillShade="D9"/>
            <w:vAlign w:val="center"/>
          </w:tcPr>
          <w:p w:rsidR="008B706C" w:rsidRDefault="008B706C" w:rsidP="00286615">
            <w:pPr>
              <w:jc w:val="center"/>
              <w:rPr>
                <w:rFonts w:ascii="Times New Roman" w:hAnsi="Times New Roman"/>
                <w:sz w:val="24"/>
              </w:rPr>
            </w:pPr>
            <w:r>
              <w:rPr>
                <w:rFonts w:ascii="Times New Roman" w:hAnsi="Times New Roman"/>
                <w:sz w:val="24"/>
              </w:rPr>
              <w:t>$147.50</w:t>
            </w:r>
          </w:p>
          <w:p w:rsidR="0015385F" w:rsidRPr="00B36AB7" w:rsidRDefault="0015385F" w:rsidP="00286615">
            <w:pPr>
              <w:jc w:val="center"/>
              <w:rPr>
                <w:rFonts w:ascii="Times New Roman" w:hAnsi="Times New Roman"/>
                <w:sz w:val="24"/>
              </w:rPr>
            </w:pPr>
            <w:r>
              <w:rPr>
                <w:rFonts w:ascii="Times New Roman" w:hAnsi="Times New Roman"/>
                <w:sz w:val="24"/>
              </w:rPr>
              <w:t>10/6/14</w:t>
            </w:r>
          </w:p>
        </w:tc>
      </w:tr>
      <w:tr w:rsidR="00D01819" w:rsidRPr="00B36AB7" w:rsidTr="00D01819">
        <w:trPr>
          <w:trHeight w:val="432"/>
        </w:trPr>
        <w:tc>
          <w:tcPr>
            <w:tcW w:w="2340" w:type="dxa"/>
            <w:shd w:val="clear" w:color="auto" w:fill="D9D9D9" w:themeFill="background1" w:themeFillShade="D9"/>
            <w:vAlign w:val="center"/>
          </w:tcPr>
          <w:p w:rsidR="008B706C" w:rsidRPr="005B6D29" w:rsidRDefault="008B706C" w:rsidP="002E707A">
            <w:pPr>
              <w:jc w:val="center"/>
              <w:rPr>
                <w:rFonts w:ascii="Times New Roman" w:hAnsi="Times New Roman"/>
                <w:sz w:val="24"/>
              </w:rPr>
            </w:pPr>
          </w:p>
        </w:tc>
        <w:tc>
          <w:tcPr>
            <w:tcW w:w="1260" w:type="dxa"/>
            <w:shd w:val="clear" w:color="auto" w:fill="D9D9D9" w:themeFill="background1" w:themeFillShade="D9"/>
            <w:vAlign w:val="center"/>
          </w:tcPr>
          <w:p w:rsidR="008B706C" w:rsidRPr="005B6D29" w:rsidRDefault="008B706C" w:rsidP="0015385F">
            <w:pPr>
              <w:jc w:val="center"/>
              <w:rPr>
                <w:rFonts w:ascii="Times New Roman" w:hAnsi="Times New Roman"/>
                <w:sz w:val="24"/>
              </w:rPr>
            </w:pPr>
          </w:p>
        </w:tc>
        <w:tc>
          <w:tcPr>
            <w:tcW w:w="270" w:type="dxa"/>
            <w:shd w:val="clear" w:color="auto" w:fill="D9D9D9" w:themeFill="background1" w:themeFillShade="D9"/>
          </w:tcPr>
          <w:p w:rsidR="008B706C" w:rsidRPr="005B6D29" w:rsidRDefault="008B706C" w:rsidP="0015385F">
            <w:pPr>
              <w:jc w:val="center"/>
            </w:pPr>
          </w:p>
        </w:tc>
        <w:tc>
          <w:tcPr>
            <w:tcW w:w="1800" w:type="dxa"/>
            <w:shd w:val="clear" w:color="auto" w:fill="D9D9D9" w:themeFill="background1" w:themeFillShade="D9"/>
            <w:vAlign w:val="center"/>
          </w:tcPr>
          <w:p w:rsidR="008B706C" w:rsidRPr="005B6D29" w:rsidRDefault="008B706C" w:rsidP="0015385F">
            <w:pPr>
              <w:jc w:val="center"/>
              <w:rPr>
                <w:rFonts w:ascii="Times New Roman" w:hAnsi="Times New Roman"/>
                <w:sz w:val="24"/>
              </w:rPr>
            </w:pPr>
          </w:p>
        </w:tc>
        <w:tc>
          <w:tcPr>
            <w:tcW w:w="2430" w:type="dxa"/>
            <w:shd w:val="clear" w:color="auto" w:fill="D9D9D9" w:themeFill="background1" w:themeFillShade="D9"/>
            <w:vAlign w:val="center"/>
          </w:tcPr>
          <w:p w:rsidR="008B706C" w:rsidRPr="005B6D29" w:rsidRDefault="008B706C" w:rsidP="002E707A">
            <w:pPr>
              <w:jc w:val="center"/>
              <w:rPr>
                <w:rFonts w:ascii="Times New Roman" w:hAnsi="Times New Roman"/>
                <w:sz w:val="24"/>
              </w:rPr>
            </w:pPr>
          </w:p>
        </w:tc>
        <w:tc>
          <w:tcPr>
            <w:tcW w:w="1170" w:type="dxa"/>
            <w:shd w:val="clear" w:color="auto" w:fill="D9D9D9" w:themeFill="background1" w:themeFillShade="D9"/>
          </w:tcPr>
          <w:p w:rsidR="008B706C" w:rsidRPr="005B6D29" w:rsidRDefault="008B706C" w:rsidP="002E707A">
            <w:pPr>
              <w:jc w:val="center"/>
              <w:rPr>
                <w:rFonts w:ascii="Times New Roman" w:hAnsi="Times New Roman"/>
                <w:sz w:val="24"/>
              </w:rPr>
            </w:pPr>
          </w:p>
        </w:tc>
      </w:tr>
      <w:tr w:rsidR="00D01819" w:rsidRPr="00B36AB7" w:rsidTr="00D01819">
        <w:trPr>
          <w:trHeight w:val="432"/>
        </w:trPr>
        <w:tc>
          <w:tcPr>
            <w:tcW w:w="2340" w:type="dxa"/>
            <w:vAlign w:val="center"/>
          </w:tcPr>
          <w:p w:rsidR="008B706C" w:rsidRPr="005B6D29" w:rsidRDefault="008B706C" w:rsidP="002E707A">
            <w:pPr>
              <w:jc w:val="center"/>
              <w:rPr>
                <w:rFonts w:ascii="Times New Roman" w:hAnsi="Times New Roman"/>
                <w:sz w:val="24"/>
              </w:rPr>
            </w:pPr>
            <w:r>
              <w:rPr>
                <w:rFonts w:ascii="Times New Roman" w:hAnsi="Times New Roman"/>
                <w:sz w:val="24"/>
              </w:rPr>
              <w:t>09/24/14 to 10/23/14</w:t>
            </w:r>
          </w:p>
        </w:tc>
        <w:tc>
          <w:tcPr>
            <w:tcW w:w="1260" w:type="dxa"/>
            <w:vAlign w:val="center"/>
          </w:tcPr>
          <w:p w:rsidR="008B706C" w:rsidRPr="005B6D29" w:rsidRDefault="008B706C" w:rsidP="0015385F">
            <w:pPr>
              <w:jc w:val="center"/>
              <w:rPr>
                <w:rFonts w:ascii="Times New Roman" w:hAnsi="Times New Roman"/>
                <w:sz w:val="24"/>
              </w:rPr>
            </w:pPr>
            <w:r>
              <w:rPr>
                <w:rFonts w:ascii="Times New Roman" w:hAnsi="Times New Roman"/>
                <w:sz w:val="24"/>
              </w:rPr>
              <w:t>20 CCF</w:t>
            </w:r>
          </w:p>
        </w:tc>
        <w:tc>
          <w:tcPr>
            <w:tcW w:w="270" w:type="dxa"/>
          </w:tcPr>
          <w:p w:rsidR="008B706C" w:rsidRDefault="008B706C" w:rsidP="0015385F">
            <w:pPr>
              <w:jc w:val="center"/>
            </w:pPr>
          </w:p>
        </w:tc>
        <w:tc>
          <w:tcPr>
            <w:tcW w:w="1800" w:type="dxa"/>
            <w:vAlign w:val="center"/>
          </w:tcPr>
          <w:p w:rsidR="008B706C" w:rsidRPr="005B6D29" w:rsidRDefault="008B706C" w:rsidP="0015385F">
            <w:pPr>
              <w:jc w:val="center"/>
              <w:rPr>
                <w:rFonts w:ascii="Times New Roman" w:hAnsi="Times New Roman"/>
                <w:sz w:val="24"/>
              </w:rPr>
            </w:pPr>
            <w:r>
              <w:rPr>
                <w:rFonts w:ascii="Times New Roman" w:hAnsi="Times New Roman"/>
                <w:sz w:val="24"/>
              </w:rPr>
              <w:t xml:space="preserve">919 </w:t>
            </w:r>
            <w:proofErr w:type="spellStart"/>
            <w:r>
              <w:rPr>
                <w:rFonts w:ascii="Times New Roman" w:hAnsi="Times New Roman"/>
                <w:sz w:val="24"/>
              </w:rPr>
              <w:t>kWH</w:t>
            </w:r>
            <w:proofErr w:type="spellEnd"/>
          </w:p>
        </w:tc>
        <w:tc>
          <w:tcPr>
            <w:tcW w:w="2430" w:type="dxa"/>
            <w:vAlign w:val="center"/>
          </w:tcPr>
          <w:p w:rsidR="008B706C" w:rsidRPr="00B36AB7" w:rsidRDefault="008B706C" w:rsidP="00114CE5">
            <w:pPr>
              <w:ind w:left="432"/>
              <w:rPr>
                <w:rFonts w:ascii="Times New Roman" w:hAnsi="Times New Roman"/>
                <w:sz w:val="24"/>
              </w:rPr>
            </w:pPr>
            <w:r w:rsidRPr="00B36AB7">
              <w:rPr>
                <w:rFonts w:ascii="Times New Roman" w:hAnsi="Times New Roman"/>
                <w:sz w:val="24"/>
              </w:rPr>
              <w:t>$2</w:t>
            </w:r>
            <w:r>
              <w:rPr>
                <w:rFonts w:ascii="Times New Roman" w:hAnsi="Times New Roman"/>
                <w:sz w:val="24"/>
              </w:rPr>
              <w:t>6</w:t>
            </w:r>
            <w:r w:rsidRPr="00B36AB7">
              <w:rPr>
                <w:rFonts w:ascii="Times New Roman" w:hAnsi="Times New Roman"/>
                <w:sz w:val="24"/>
              </w:rPr>
              <w:t>.</w:t>
            </w:r>
            <w:r>
              <w:rPr>
                <w:rFonts w:ascii="Times New Roman" w:hAnsi="Times New Roman"/>
                <w:sz w:val="24"/>
              </w:rPr>
              <w:t>75</w:t>
            </w:r>
            <w:r w:rsidRPr="00B36AB7">
              <w:rPr>
                <w:rFonts w:ascii="Times New Roman" w:hAnsi="Times New Roman"/>
                <w:sz w:val="24"/>
              </w:rPr>
              <w:t xml:space="preserve"> Gas</w:t>
            </w:r>
          </w:p>
          <w:p w:rsidR="008B706C" w:rsidRDefault="008B706C" w:rsidP="00114CE5">
            <w:pPr>
              <w:ind w:left="432"/>
              <w:rPr>
                <w:rFonts w:ascii="Times New Roman" w:hAnsi="Times New Roman"/>
                <w:sz w:val="24"/>
              </w:rPr>
            </w:pPr>
            <w:r w:rsidRPr="00B36AB7">
              <w:rPr>
                <w:rFonts w:ascii="Times New Roman" w:hAnsi="Times New Roman"/>
                <w:sz w:val="24"/>
                <w:u w:val="single"/>
              </w:rPr>
              <w:t>$</w:t>
            </w:r>
            <w:r>
              <w:rPr>
                <w:rFonts w:ascii="Times New Roman" w:hAnsi="Times New Roman"/>
                <w:sz w:val="24"/>
                <w:u w:val="single"/>
              </w:rPr>
              <w:t>69</w:t>
            </w:r>
            <w:r w:rsidRPr="00B36AB7">
              <w:rPr>
                <w:rFonts w:ascii="Times New Roman" w:hAnsi="Times New Roman"/>
                <w:sz w:val="24"/>
                <w:u w:val="single"/>
              </w:rPr>
              <w:t>.</w:t>
            </w:r>
            <w:r>
              <w:rPr>
                <w:rFonts w:ascii="Times New Roman" w:hAnsi="Times New Roman"/>
                <w:sz w:val="24"/>
                <w:u w:val="single"/>
              </w:rPr>
              <w:t>39</w:t>
            </w:r>
            <w:r w:rsidRPr="00B36AB7">
              <w:rPr>
                <w:rFonts w:ascii="Times New Roman" w:hAnsi="Times New Roman"/>
                <w:sz w:val="24"/>
                <w:u w:val="single"/>
              </w:rPr>
              <w:t xml:space="preserve"> Electric</w:t>
            </w:r>
          </w:p>
          <w:p w:rsidR="008B706C" w:rsidRPr="005B6D29" w:rsidRDefault="008B706C" w:rsidP="00114CE5">
            <w:pPr>
              <w:ind w:left="432"/>
              <w:rPr>
                <w:rFonts w:ascii="Times New Roman" w:hAnsi="Times New Roman"/>
                <w:sz w:val="24"/>
              </w:rPr>
            </w:pPr>
            <w:r>
              <w:rPr>
                <w:rFonts w:ascii="Times New Roman" w:hAnsi="Times New Roman"/>
                <w:sz w:val="24"/>
              </w:rPr>
              <w:t>$96.14 Total</w:t>
            </w:r>
          </w:p>
        </w:tc>
        <w:tc>
          <w:tcPr>
            <w:tcW w:w="1170" w:type="dxa"/>
            <w:vAlign w:val="center"/>
          </w:tcPr>
          <w:p w:rsidR="008B706C" w:rsidRDefault="00D01819" w:rsidP="00D01819">
            <w:pPr>
              <w:jc w:val="center"/>
              <w:rPr>
                <w:rFonts w:ascii="Times New Roman" w:hAnsi="Times New Roman"/>
                <w:sz w:val="24"/>
              </w:rPr>
            </w:pPr>
            <w:r>
              <w:rPr>
                <w:rFonts w:ascii="Times New Roman" w:hAnsi="Times New Roman"/>
                <w:sz w:val="24"/>
              </w:rPr>
              <w:t>$96.14</w:t>
            </w:r>
          </w:p>
          <w:p w:rsidR="00286615" w:rsidRPr="005B6D29" w:rsidRDefault="00286615" w:rsidP="00D01819">
            <w:pPr>
              <w:jc w:val="center"/>
              <w:rPr>
                <w:rFonts w:ascii="Times New Roman" w:hAnsi="Times New Roman"/>
                <w:sz w:val="24"/>
              </w:rPr>
            </w:pPr>
            <w:r>
              <w:rPr>
                <w:rFonts w:ascii="Times New Roman" w:hAnsi="Times New Roman"/>
                <w:sz w:val="24"/>
              </w:rPr>
              <w:t>11/6/14</w:t>
            </w:r>
          </w:p>
        </w:tc>
      </w:tr>
      <w:tr w:rsidR="00D01819" w:rsidRPr="00B36AB7" w:rsidTr="00D01819">
        <w:trPr>
          <w:trHeight w:val="432"/>
        </w:trPr>
        <w:tc>
          <w:tcPr>
            <w:tcW w:w="2340" w:type="dxa"/>
            <w:tcBorders>
              <w:bottom w:val="single" w:sz="4" w:space="0" w:color="000000" w:themeColor="text1"/>
            </w:tcBorders>
            <w:vAlign w:val="center"/>
          </w:tcPr>
          <w:p w:rsidR="008B706C" w:rsidRPr="005B6D29" w:rsidRDefault="008B706C" w:rsidP="002E707A">
            <w:pPr>
              <w:jc w:val="center"/>
              <w:rPr>
                <w:rFonts w:ascii="Times New Roman" w:hAnsi="Times New Roman"/>
                <w:sz w:val="24"/>
              </w:rPr>
            </w:pPr>
          </w:p>
        </w:tc>
        <w:tc>
          <w:tcPr>
            <w:tcW w:w="1260" w:type="dxa"/>
            <w:tcBorders>
              <w:bottom w:val="single" w:sz="4" w:space="0" w:color="000000" w:themeColor="text1"/>
            </w:tcBorders>
            <w:vAlign w:val="center"/>
          </w:tcPr>
          <w:p w:rsidR="008B706C" w:rsidRPr="005B6D29" w:rsidRDefault="008B706C" w:rsidP="0015385F">
            <w:pPr>
              <w:jc w:val="center"/>
              <w:rPr>
                <w:rFonts w:ascii="Times New Roman" w:hAnsi="Times New Roman"/>
                <w:sz w:val="24"/>
              </w:rPr>
            </w:pPr>
          </w:p>
        </w:tc>
        <w:tc>
          <w:tcPr>
            <w:tcW w:w="270" w:type="dxa"/>
            <w:tcBorders>
              <w:bottom w:val="single" w:sz="4" w:space="0" w:color="000000" w:themeColor="text1"/>
            </w:tcBorders>
          </w:tcPr>
          <w:p w:rsidR="008B706C" w:rsidRPr="005B6D29" w:rsidRDefault="008B706C" w:rsidP="002E707A">
            <w:pPr>
              <w:ind w:right="288"/>
              <w:jc w:val="center"/>
            </w:pPr>
          </w:p>
        </w:tc>
        <w:tc>
          <w:tcPr>
            <w:tcW w:w="1800" w:type="dxa"/>
            <w:tcBorders>
              <w:bottom w:val="single" w:sz="4" w:space="0" w:color="000000" w:themeColor="text1"/>
            </w:tcBorders>
            <w:vAlign w:val="center"/>
          </w:tcPr>
          <w:p w:rsidR="008B706C" w:rsidRPr="005B6D29" w:rsidRDefault="008B706C" w:rsidP="002E707A">
            <w:pPr>
              <w:ind w:right="288"/>
              <w:jc w:val="center"/>
              <w:rPr>
                <w:rFonts w:ascii="Times New Roman" w:hAnsi="Times New Roman"/>
                <w:sz w:val="24"/>
              </w:rPr>
            </w:pPr>
          </w:p>
        </w:tc>
        <w:tc>
          <w:tcPr>
            <w:tcW w:w="2430" w:type="dxa"/>
            <w:tcBorders>
              <w:bottom w:val="single" w:sz="4" w:space="0" w:color="000000" w:themeColor="text1"/>
            </w:tcBorders>
            <w:vAlign w:val="center"/>
          </w:tcPr>
          <w:p w:rsidR="008B706C" w:rsidRPr="005B6D29" w:rsidRDefault="008B706C" w:rsidP="002E707A">
            <w:pPr>
              <w:jc w:val="center"/>
              <w:rPr>
                <w:rFonts w:ascii="Times New Roman" w:hAnsi="Times New Roman"/>
                <w:sz w:val="24"/>
              </w:rPr>
            </w:pPr>
          </w:p>
        </w:tc>
        <w:tc>
          <w:tcPr>
            <w:tcW w:w="1170" w:type="dxa"/>
            <w:tcBorders>
              <w:bottom w:val="single" w:sz="4" w:space="0" w:color="000000" w:themeColor="text1"/>
            </w:tcBorders>
          </w:tcPr>
          <w:p w:rsidR="008B706C" w:rsidRPr="005B6D29" w:rsidRDefault="008B706C" w:rsidP="002E707A">
            <w:pPr>
              <w:jc w:val="center"/>
              <w:rPr>
                <w:rFonts w:ascii="Times New Roman" w:hAnsi="Times New Roman"/>
                <w:sz w:val="24"/>
              </w:rPr>
            </w:pPr>
          </w:p>
        </w:tc>
      </w:tr>
      <w:tr w:rsidR="00D01819" w:rsidRPr="00B36AB7" w:rsidTr="00D01819">
        <w:trPr>
          <w:trHeight w:val="432"/>
        </w:trPr>
        <w:tc>
          <w:tcPr>
            <w:tcW w:w="2340" w:type="dxa"/>
            <w:shd w:val="clear" w:color="auto" w:fill="D9D9D9" w:themeFill="background1" w:themeFillShade="D9"/>
            <w:vAlign w:val="center"/>
          </w:tcPr>
          <w:p w:rsidR="008B706C" w:rsidRPr="005B6D29" w:rsidRDefault="00D01819" w:rsidP="002E707A">
            <w:pPr>
              <w:jc w:val="center"/>
              <w:rPr>
                <w:rFonts w:ascii="Times New Roman" w:hAnsi="Times New Roman"/>
                <w:sz w:val="24"/>
              </w:rPr>
            </w:pPr>
            <w:r>
              <w:rPr>
                <w:rFonts w:ascii="Times New Roman" w:hAnsi="Times New Roman"/>
                <w:sz w:val="24"/>
              </w:rPr>
              <w:t>10/23/14 to 11/23/14</w:t>
            </w:r>
          </w:p>
        </w:tc>
        <w:tc>
          <w:tcPr>
            <w:tcW w:w="1260" w:type="dxa"/>
            <w:shd w:val="clear" w:color="auto" w:fill="D9D9D9" w:themeFill="background1" w:themeFillShade="D9"/>
            <w:vAlign w:val="center"/>
          </w:tcPr>
          <w:p w:rsidR="008B706C" w:rsidRPr="005B6D29" w:rsidRDefault="00D01819" w:rsidP="0015385F">
            <w:pPr>
              <w:jc w:val="center"/>
              <w:rPr>
                <w:rFonts w:ascii="Times New Roman" w:hAnsi="Times New Roman"/>
                <w:sz w:val="24"/>
              </w:rPr>
            </w:pPr>
            <w:r>
              <w:rPr>
                <w:rFonts w:ascii="Times New Roman" w:hAnsi="Times New Roman"/>
                <w:sz w:val="24"/>
              </w:rPr>
              <w:t>53 CCF</w:t>
            </w:r>
          </w:p>
        </w:tc>
        <w:tc>
          <w:tcPr>
            <w:tcW w:w="270" w:type="dxa"/>
            <w:shd w:val="clear" w:color="auto" w:fill="D9D9D9" w:themeFill="background1" w:themeFillShade="D9"/>
          </w:tcPr>
          <w:p w:rsidR="008B706C" w:rsidRPr="005B6D29" w:rsidRDefault="008B706C" w:rsidP="002E707A">
            <w:pPr>
              <w:ind w:right="288"/>
              <w:jc w:val="center"/>
            </w:pPr>
          </w:p>
        </w:tc>
        <w:tc>
          <w:tcPr>
            <w:tcW w:w="1800" w:type="dxa"/>
            <w:shd w:val="clear" w:color="auto" w:fill="D9D9D9" w:themeFill="background1" w:themeFillShade="D9"/>
            <w:vAlign w:val="center"/>
          </w:tcPr>
          <w:p w:rsidR="008B706C" w:rsidRPr="005B6D29" w:rsidRDefault="00D01819" w:rsidP="002E707A">
            <w:pPr>
              <w:ind w:right="288"/>
              <w:jc w:val="center"/>
              <w:rPr>
                <w:rFonts w:ascii="Times New Roman" w:hAnsi="Times New Roman"/>
                <w:sz w:val="24"/>
              </w:rPr>
            </w:pPr>
            <w:r>
              <w:rPr>
                <w:rFonts w:ascii="Times New Roman" w:hAnsi="Times New Roman"/>
                <w:sz w:val="24"/>
              </w:rPr>
              <w:t>752 kWh</w:t>
            </w:r>
          </w:p>
        </w:tc>
        <w:tc>
          <w:tcPr>
            <w:tcW w:w="2430" w:type="dxa"/>
            <w:shd w:val="clear" w:color="auto" w:fill="D9D9D9" w:themeFill="background1" w:themeFillShade="D9"/>
            <w:vAlign w:val="center"/>
          </w:tcPr>
          <w:p w:rsidR="008B706C" w:rsidRDefault="00D01819" w:rsidP="00D01819">
            <w:pPr>
              <w:ind w:left="342"/>
              <w:rPr>
                <w:rFonts w:ascii="Times New Roman" w:hAnsi="Times New Roman"/>
                <w:sz w:val="24"/>
              </w:rPr>
            </w:pPr>
            <w:r>
              <w:rPr>
                <w:rFonts w:ascii="Times New Roman" w:hAnsi="Times New Roman"/>
                <w:sz w:val="24"/>
              </w:rPr>
              <w:t>$  53.68 Gas</w:t>
            </w:r>
          </w:p>
          <w:p w:rsidR="00D01819" w:rsidRPr="00D01819" w:rsidRDefault="00D01819" w:rsidP="00D01819">
            <w:pPr>
              <w:ind w:left="342"/>
              <w:rPr>
                <w:rFonts w:ascii="Times New Roman" w:hAnsi="Times New Roman"/>
                <w:sz w:val="24"/>
                <w:u w:val="single"/>
              </w:rPr>
            </w:pPr>
            <w:r w:rsidRPr="00D01819">
              <w:rPr>
                <w:rFonts w:ascii="Times New Roman" w:hAnsi="Times New Roman"/>
                <w:sz w:val="24"/>
                <w:u w:val="single"/>
              </w:rPr>
              <w:t>$  45.54 Electric</w:t>
            </w:r>
          </w:p>
          <w:p w:rsidR="00D01819" w:rsidRPr="005B6D29" w:rsidRDefault="00D01819" w:rsidP="00D01819">
            <w:pPr>
              <w:ind w:left="342"/>
              <w:rPr>
                <w:rFonts w:ascii="Times New Roman" w:hAnsi="Times New Roman"/>
                <w:sz w:val="24"/>
              </w:rPr>
            </w:pPr>
            <w:r>
              <w:rPr>
                <w:rFonts w:ascii="Times New Roman" w:hAnsi="Times New Roman"/>
                <w:sz w:val="24"/>
              </w:rPr>
              <w:t>$  99.22 Total</w:t>
            </w:r>
          </w:p>
        </w:tc>
        <w:tc>
          <w:tcPr>
            <w:tcW w:w="1170" w:type="dxa"/>
            <w:shd w:val="clear" w:color="auto" w:fill="D9D9D9" w:themeFill="background1" w:themeFillShade="D9"/>
            <w:vAlign w:val="center"/>
          </w:tcPr>
          <w:p w:rsidR="008B706C" w:rsidRDefault="00D01819" w:rsidP="00D01819">
            <w:pPr>
              <w:jc w:val="center"/>
              <w:rPr>
                <w:rFonts w:ascii="Times New Roman" w:hAnsi="Times New Roman"/>
                <w:sz w:val="24"/>
              </w:rPr>
            </w:pPr>
            <w:r>
              <w:rPr>
                <w:rFonts w:ascii="Times New Roman" w:hAnsi="Times New Roman"/>
                <w:sz w:val="24"/>
              </w:rPr>
              <w:t>$100.00</w:t>
            </w:r>
          </w:p>
          <w:p w:rsidR="00286615" w:rsidRPr="005B6D29" w:rsidRDefault="00286615" w:rsidP="00D01819">
            <w:pPr>
              <w:jc w:val="center"/>
              <w:rPr>
                <w:rFonts w:ascii="Times New Roman" w:hAnsi="Times New Roman"/>
                <w:sz w:val="24"/>
              </w:rPr>
            </w:pPr>
            <w:r>
              <w:rPr>
                <w:rFonts w:ascii="Times New Roman" w:hAnsi="Times New Roman"/>
                <w:sz w:val="24"/>
              </w:rPr>
              <w:t>12/5/14</w:t>
            </w:r>
          </w:p>
        </w:tc>
      </w:tr>
      <w:tr w:rsidR="00D01819" w:rsidRPr="00B36AB7" w:rsidTr="00D01819">
        <w:trPr>
          <w:trHeight w:val="432"/>
        </w:trPr>
        <w:tc>
          <w:tcPr>
            <w:tcW w:w="2340" w:type="dxa"/>
            <w:vAlign w:val="center"/>
          </w:tcPr>
          <w:p w:rsidR="00D01819" w:rsidRPr="00D01819" w:rsidRDefault="00D01819" w:rsidP="002E707A">
            <w:pPr>
              <w:jc w:val="center"/>
              <w:rPr>
                <w:rFonts w:ascii="Times New Roman" w:hAnsi="Times New Roman"/>
                <w:sz w:val="24"/>
              </w:rPr>
            </w:pPr>
          </w:p>
        </w:tc>
        <w:tc>
          <w:tcPr>
            <w:tcW w:w="1260" w:type="dxa"/>
            <w:vAlign w:val="center"/>
          </w:tcPr>
          <w:p w:rsidR="00D01819" w:rsidRPr="00D01819" w:rsidRDefault="00D01819" w:rsidP="0015385F">
            <w:pPr>
              <w:jc w:val="center"/>
              <w:rPr>
                <w:rFonts w:ascii="Times New Roman" w:hAnsi="Times New Roman"/>
                <w:sz w:val="24"/>
              </w:rPr>
            </w:pPr>
          </w:p>
        </w:tc>
        <w:tc>
          <w:tcPr>
            <w:tcW w:w="270" w:type="dxa"/>
          </w:tcPr>
          <w:p w:rsidR="00D01819" w:rsidRPr="00D01819" w:rsidRDefault="00D01819" w:rsidP="002E707A">
            <w:pPr>
              <w:ind w:right="288"/>
              <w:jc w:val="center"/>
              <w:rPr>
                <w:rFonts w:ascii="Times New Roman" w:hAnsi="Times New Roman"/>
                <w:sz w:val="24"/>
              </w:rPr>
            </w:pPr>
          </w:p>
        </w:tc>
        <w:tc>
          <w:tcPr>
            <w:tcW w:w="1800" w:type="dxa"/>
            <w:vAlign w:val="center"/>
          </w:tcPr>
          <w:p w:rsidR="00D01819" w:rsidRPr="00D01819" w:rsidRDefault="00D01819" w:rsidP="002E707A">
            <w:pPr>
              <w:ind w:right="288"/>
              <w:jc w:val="center"/>
              <w:rPr>
                <w:rFonts w:ascii="Times New Roman" w:hAnsi="Times New Roman"/>
                <w:sz w:val="24"/>
              </w:rPr>
            </w:pPr>
          </w:p>
        </w:tc>
        <w:tc>
          <w:tcPr>
            <w:tcW w:w="2430" w:type="dxa"/>
            <w:vAlign w:val="center"/>
          </w:tcPr>
          <w:p w:rsidR="00D01819" w:rsidRPr="00D01819" w:rsidRDefault="00D01819" w:rsidP="002E707A">
            <w:pPr>
              <w:jc w:val="center"/>
              <w:rPr>
                <w:rFonts w:ascii="Times New Roman" w:hAnsi="Times New Roman"/>
                <w:sz w:val="24"/>
              </w:rPr>
            </w:pPr>
          </w:p>
        </w:tc>
        <w:tc>
          <w:tcPr>
            <w:tcW w:w="1170" w:type="dxa"/>
          </w:tcPr>
          <w:p w:rsidR="00D01819" w:rsidRPr="00D01819" w:rsidRDefault="00D01819" w:rsidP="002E707A">
            <w:pPr>
              <w:jc w:val="center"/>
              <w:rPr>
                <w:rFonts w:ascii="Times New Roman" w:hAnsi="Times New Roman"/>
                <w:sz w:val="24"/>
              </w:rPr>
            </w:pPr>
          </w:p>
        </w:tc>
      </w:tr>
    </w:tbl>
    <w:p w:rsidR="0053097F" w:rsidRDefault="0053097F" w:rsidP="007E432C">
      <w:pPr>
        <w:tabs>
          <w:tab w:val="left" w:pos="0"/>
        </w:tabs>
        <w:autoSpaceDE w:val="0"/>
        <w:autoSpaceDN w:val="0"/>
        <w:spacing w:line="360" w:lineRule="auto"/>
      </w:pPr>
      <w:r>
        <w:t xml:space="preserve"> </w:t>
      </w:r>
      <w:r w:rsidR="00D01819">
        <w:t>Table 1</w:t>
      </w:r>
    </w:p>
    <w:p w:rsidR="009E5EF9" w:rsidRPr="00B36AB7" w:rsidRDefault="0053097F" w:rsidP="007E432C">
      <w:pPr>
        <w:tabs>
          <w:tab w:val="left" w:pos="0"/>
        </w:tabs>
        <w:autoSpaceDE w:val="0"/>
        <w:autoSpaceDN w:val="0"/>
        <w:spacing w:line="360" w:lineRule="auto"/>
      </w:pPr>
      <w:r>
        <w:t xml:space="preserve"> </w:t>
      </w:r>
      <w:proofErr w:type="gramStart"/>
      <w:r w:rsidR="00D01819">
        <w:t>(</w:t>
      </w:r>
      <w:r>
        <w:t xml:space="preserve">Tr. 29; </w:t>
      </w:r>
      <w:r w:rsidR="00D01819">
        <w:t>PECO’s Exhibit 4</w:t>
      </w:r>
      <w:r w:rsidR="00841126">
        <w:t>)</w:t>
      </w:r>
      <w:r w:rsidR="00D01819">
        <w:t>.</w:t>
      </w:r>
      <w:proofErr w:type="gramEnd"/>
    </w:p>
    <w:p w:rsidR="0000465C" w:rsidRDefault="0000465C" w:rsidP="007E432C">
      <w:pPr>
        <w:tabs>
          <w:tab w:val="left" w:pos="0"/>
        </w:tabs>
        <w:autoSpaceDE w:val="0"/>
        <w:autoSpaceDN w:val="0"/>
        <w:spacing w:line="360" w:lineRule="auto"/>
      </w:pPr>
    </w:p>
    <w:p w:rsidR="0000465C" w:rsidRDefault="00F0562E" w:rsidP="007E432C">
      <w:pPr>
        <w:tabs>
          <w:tab w:val="left" w:pos="0"/>
        </w:tabs>
        <w:autoSpaceDE w:val="0"/>
        <w:autoSpaceDN w:val="0"/>
        <w:spacing w:line="360" w:lineRule="auto"/>
      </w:pPr>
      <w:r>
        <w:tab/>
      </w:r>
      <w:r>
        <w:tab/>
      </w:r>
      <w:r w:rsidR="008D32D1">
        <w:t>6</w:t>
      </w:r>
      <w:r w:rsidR="0000465C">
        <w:t>.</w:t>
      </w:r>
      <w:r w:rsidR="0000465C">
        <w:tab/>
        <w:t xml:space="preserve">Since October 2011 Complainant’s household </w:t>
      </w:r>
      <w:r w:rsidR="00FD6CBA">
        <w:t xml:space="preserve">gross </w:t>
      </w:r>
      <w:r w:rsidR="0000465C">
        <w:t>income has be</w:t>
      </w:r>
      <w:r w:rsidR="00C86DF8">
        <w:t>en</w:t>
      </w:r>
      <w:r w:rsidR="0000465C">
        <w:t xml:space="preserve"> derived from her bi-weekly workers</w:t>
      </w:r>
      <w:r w:rsidR="008D32D1">
        <w:t>’</w:t>
      </w:r>
      <w:r w:rsidR="0000465C">
        <w:t xml:space="preserve"> compensation benefits in the amount of $573.16</w:t>
      </w:r>
      <w:r w:rsidR="00AC72EB">
        <w:t xml:space="preserve"> equating to $1,14</w:t>
      </w:r>
      <w:r w:rsidR="00D47232">
        <w:t>6</w:t>
      </w:r>
      <w:r w:rsidR="00AC72EB">
        <w:t>.</w:t>
      </w:r>
      <w:r w:rsidR="00D47232">
        <w:t>32</w:t>
      </w:r>
      <w:r w:rsidR="00AC72EB">
        <w:t xml:space="preserve"> monthly.</w:t>
      </w:r>
      <w:r w:rsidR="007332B8">
        <w:t xml:space="preserve"> </w:t>
      </w:r>
      <w:r w:rsidR="00AC72EB">
        <w:t xml:space="preserve"> </w:t>
      </w:r>
      <w:proofErr w:type="gramStart"/>
      <w:r w:rsidR="00AC72EB">
        <w:t>(Tr. 26.)</w:t>
      </w:r>
      <w:proofErr w:type="gramEnd"/>
    </w:p>
    <w:p w:rsidR="009046F0" w:rsidRDefault="009046F0" w:rsidP="007E432C">
      <w:pPr>
        <w:tabs>
          <w:tab w:val="left" w:pos="0"/>
        </w:tabs>
        <w:autoSpaceDE w:val="0"/>
        <w:autoSpaceDN w:val="0"/>
        <w:spacing w:line="360" w:lineRule="auto"/>
      </w:pPr>
    </w:p>
    <w:p w:rsidR="003F1250" w:rsidRDefault="009046F0" w:rsidP="007E432C">
      <w:pPr>
        <w:tabs>
          <w:tab w:val="left" w:pos="0"/>
        </w:tabs>
        <w:autoSpaceDE w:val="0"/>
        <w:autoSpaceDN w:val="0"/>
        <w:spacing w:line="360" w:lineRule="auto"/>
      </w:pPr>
      <w:r>
        <w:tab/>
      </w:r>
      <w:r w:rsidR="00C86DF8">
        <w:tab/>
      </w:r>
      <w:r w:rsidR="008D32D1">
        <w:t>7</w:t>
      </w:r>
      <w:r w:rsidR="00C86DF8">
        <w:t>.</w:t>
      </w:r>
      <w:r w:rsidR="00C86DF8">
        <w:tab/>
      </w:r>
      <w:r w:rsidR="00D47232">
        <w:t>Compl</w:t>
      </w:r>
      <w:r w:rsidR="00262C44">
        <w:t>ainant</w:t>
      </w:r>
      <w:r w:rsidR="00560760">
        <w:t>’s</w:t>
      </w:r>
      <w:r w:rsidR="00262C44">
        <w:t xml:space="preserve"> </w:t>
      </w:r>
      <w:r w:rsidR="00E555C9">
        <w:t xml:space="preserve">monthly </w:t>
      </w:r>
      <w:r w:rsidR="00262C44">
        <w:t>income for a family size of three</w:t>
      </w:r>
      <w:r w:rsidR="001D1B76">
        <w:t xml:space="preserve"> does not exceed 150% of the Federal poverty guideline,</w:t>
      </w:r>
      <w:r w:rsidR="007755F5">
        <w:t xml:space="preserve"> thereby </w:t>
      </w:r>
      <w:r w:rsidR="001D1B76">
        <w:t>placing</w:t>
      </w:r>
      <w:r w:rsidR="00262C44">
        <w:t xml:space="preserve"> her</w:t>
      </w:r>
      <w:r w:rsidR="00E555C9">
        <w:t xml:space="preserve"> household </w:t>
      </w:r>
      <w:r w:rsidR="001D1B76">
        <w:t>at Level 1 of</w:t>
      </w:r>
      <w:r w:rsidR="00E555C9">
        <w:t xml:space="preserve"> the</w:t>
      </w:r>
      <w:r w:rsidR="001D1B76">
        <w:t xml:space="preserve"> guidelines</w:t>
      </w:r>
      <w:r w:rsidR="00E555C9">
        <w:t xml:space="preserve">. </w:t>
      </w:r>
      <w:r w:rsidR="00C93AB0">
        <w:t xml:space="preserve"> </w:t>
      </w:r>
      <w:proofErr w:type="gramStart"/>
      <w:r w:rsidR="00E555C9">
        <w:t>(Tr.</w:t>
      </w:r>
      <w:r w:rsidR="001D1B76">
        <w:t> </w:t>
      </w:r>
      <w:r w:rsidR="00E555C9">
        <w:t>95.)</w:t>
      </w:r>
      <w:proofErr w:type="gramEnd"/>
      <w:r w:rsidR="00E555C9">
        <w:t xml:space="preserve"> </w:t>
      </w:r>
    </w:p>
    <w:p w:rsidR="00C86DF8" w:rsidRDefault="00C86DF8" w:rsidP="007E432C">
      <w:pPr>
        <w:tabs>
          <w:tab w:val="left" w:pos="0"/>
        </w:tabs>
        <w:autoSpaceDE w:val="0"/>
        <w:autoSpaceDN w:val="0"/>
        <w:spacing w:line="360" w:lineRule="auto"/>
      </w:pPr>
    </w:p>
    <w:p w:rsidR="00286615" w:rsidRDefault="00C86DF8" w:rsidP="007E432C">
      <w:pPr>
        <w:tabs>
          <w:tab w:val="left" w:pos="0"/>
        </w:tabs>
        <w:autoSpaceDE w:val="0"/>
        <w:autoSpaceDN w:val="0"/>
        <w:spacing w:line="360" w:lineRule="auto"/>
      </w:pPr>
      <w:r>
        <w:tab/>
      </w:r>
      <w:r>
        <w:tab/>
      </w:r>
      <w:r w:rsidR="008D32D1">
        <w:t>8</w:t>
      </w:r>
      <w:r>
        <w:t>.</w:t>
      </w:r>
      <w:r>
        <w:tab/>
      </w:r>
      <w:r w:rsidR="00286615">
        <w:t>Since September 2014</w:t>
      </w:r>
      <w:r>
        <w:t xml:space="preserve"> Complainant has paid her electric and gas bill for </w:t>
      </w:r>
    </w:p>
    <w:p w:rsidR="00C86DF8" w:rsidRDefault="009046F0" w:rsidP="007E432C">
      <w:pPr>
        <w:tabs>
          <w:tab w:val="left" w:pos="0"/>
        </w:tabs>
        <w:autoSpaceDE w:val="0"/>
        <w:autoSpaceDN w:val="0"/>
        <w:spacing w:line="360" w:lineRule="auto"/>
      </w:pPr>
      <w:proofErr w:type="gramStart"/>
      <w:r>
        <w:t>her</w:t>
      </w:r>
      <w:proofErr w:type="gramEnd"/>
      <w:r>
        <w:t xml:space="preserve"> </w:t>
      </w:r>
      <w:r w:rsidR="00C86DF8">
        <w:t xml:space="preserve">current usage.  </w:t>
      </w:r>
      <w:proofErr w:type="gramStart"/>
      <w:r w:rsidR="00C86DF8">
        <w:t>(Tr. 33</w:t>
      </w:r>
      <w:r w:rsidR="00286615">
        <w:t>; PECO’s Exhibit 4</w:t>
      </w:r>
      <w:r w:rsidR="00C86DF8">
        <w:t>.)</w:t>
      </w:r>
      <w:proofErr w:type="gramEnd"/>
    </w:p>
    <w:p w:rsidR="00C86DF8" w:rsidRDefault="00C86DF8" w:rsidP="007E432C">
      <w:pPr>
        <w:tabs>
          <w:tab w:val="left" w:pos="0"/>
        </w:tabs>
        <w:autoSpaceDE w:val="0"/>
        <w:autoSpaceDN w:val="0"/>
        <w:spacing w:line="360" w:lineRule="auto"/>
      </w:pPr>
    </w:p>
    <w:p w:rsidR="00C86DF8" w:rsidRDefault="00C86DF8" w:rsidP="007E432C">
      <w:pPr>
        <w:tabs>
          <w:tab w:val="left" w:pos="0"/>
        </w:tabs>
        <w:autoSpaceDE w:val="0"/>
        <w:autoSpaceDN w:val="0"/>
        <w:spacing w:line="360" w:lineRule="auto"/>
      </w:pPr>
      <w:r>
        <w:tab/>
      </w:r>
      <w:r>
        <w:tab/>
      </w:r>
      <w:r w:rsidR="008D32D1">
        <w:t>9</w:t>
      </w:r>
      <w:r>
        <w:t>.</w:t>
      </w:r>
      <w:r>
        <w:tab/>
        <w:t xml:space="preserve">Complainant lived at </w:t>
      </w:r>
      <w:r w:rsidR="00AC72EB">
        <w:t xml:space="preserve">other </w:t>
      </w:r>
      <w:r>
        <w:t>address</w:t>
      </w:r>
      <w:r w:rsidR="00AC72EB">
        <w:t>es where she received se</w:t>
      </w:r>
      <w:r w:rsidR="008D32D1">
        <w:t>r</w:t>
      </w:r>
      <w:r w:rsidR="00AC72EB">
        <w:t>vice</w:t>
      </w:r>
      <w:r>
        <w:t xml:space="preserve"> </w:t>
      </w:r>
      <w:r w:rsidR="00DF4BC3">
        <w:t xml:space="preserve">from Respondent </w:t>
      </w:r>
      <w:r w:rsidR="008D32D1">
        <w:t>prior to</w:t>
      </w:r>
      <w:r>
        <w:t xml:space="preserve"> residing at </w:t>
      </w:r>
      <w:r w:rsidR="008D32D1">
        <w:t>Aspen Avenue</w:t>
      </w:r>
      <w:r>
        <w:t xml:space="preserve">.  </w:t>
      </w:r>
      <w:proofErr w:type="gramStart"/>
      <w:r w:rsidR="00AC72EB">
        <w:t>(Tr. 37.)</w:t>
      </w:r>
      <w:proofErr w:type="gramEnd"/>
    </w:p>
    <w:p w:rsidR="00C86DF8" w:rsidRDefault="00C86DF8" w:rsidP="007E432C">
      <w:pPr>
        <w:tabs>
          <w:tab w:val="left" w:pos="0"/>
        </w:tabs>
        <w:autoSpaceDE w:val="0"/>
        <w:autoSpaceDN w:val="0"/>
        <w:spacing w:line="360" w:lineRule="auto"/>
      </w:pPr>
    </w:p>
    <w:p w:rsidR="00661E1F" w:rsidRPr="00661E1F" w:rsidRDefault="00A73241" w:rsidP="007E432C">
      <w:pPr>
        <w:tabs>
          <w:tab w:val="left" w:pos="0"/>
        </w:tabs>
        <w:autoSpaceDE w:val="0"/>
        <w:autoSpaceDN w:val="0"/>
        <w:spacing w:line="360" w:lineRule="auto"/>
        <w:rPr>
          <w:u w:val="single"/>
        </w:rPr>
      </w:pPr>
      <w:r>
        <w:rPr>
          <w:u w:val="single"/>
        </w:rPr>
        <w:t xml:space="preserve">2004, </w:t>
      </w:r>
      <w:r w:rsidR="00DB2CBF">
        <w:rPr>
          <w:u w:val="single"/>
        </w:rPr>
        <w:t xml:space="preserve">2006, 2008, and 2009 </w:t>
      </w:r>
      <w:r w:rsidR="00661E1F">
        <w:rPr>
          <w:u w:val="single"/>
        </w:rPr>
        <w:t>Final Balance Transfers</w:t>
      </w:r>
    </w:p>
    <w:p w:rsidR="00661E1F" w:rsidRDefault="00661E1F" w:rsidP="007E432C">
      <w:pPr>
        <w:tabs>
          <w:tab w:val="left" w:pos="0"/>
        </w:tabs>
        <w:autoSpaceDE w:val="0"/>
        <w:autoSpaceDN w:val="0"/>
        <w:spacing w:line="360" w:lineRule="auto"/>
      </w:pPr>
    </w:p>
    <w:p w:rsidR="00AF7E66" w:rsidRDefault="00C86DF8" w:rsidP="007E432C">
      <w:pPr>
        <w:tabs>
          <w:tab w:val="left" w:pos="0"/>
        </w:tabs>
        <w:autoSpaceDE w:val="0"/>
        <w:autoSpaceDN w:val="0"/>
        <w:spacing w:line="360" w:lineRule="auto"/>
      </w:pPr>
      <w:r>
        <w:tab/>
      </w:r>
      <w:r>
        <w:tab/>
      </w:r>
      <w:r w:rsidR="00DF4BC3">
        <w:t>10</w:t>
      </w:r>
      <w:r>
        <w:t>.</w:t>
      </w:r>
      <w:r>
        <w:tab/>
      </w:r>
      <w:r w:rsidR="00AF7E66">
        <w:t>Respondent billed Complainant f</w:t>
      </w:r>
      <w:r w:rsidR="009046F0">
        <w:t>or service at 373 Church Street, Phoenix</w:t>
      </w:r>
      <w:r w:rsidR="001F6C53">
        <w:t>ville</w:t>
      </w:r>
      <w:r w:rsidR="005B2D8D">
        <w:t>,</w:t>
      </w:r>
      <w:r w:rsidR="009046F0">
        <w:t xml:space="preserve"> Pennsylvania (373 Church Street) </w:t>
      </w:r>
      <w:r w:rsidR="00AF7E66">
        <w:t>from June 2003 to June 16, 2004, resulting in a</w:t>
      </w:r>
      <w:r w:rsidR="00D524AD">
        <w:t xml:space="preserve"> final and</w:t>
      </w:r>
      <w:r w:rsidR="00AF7E66">
        <w:t xml:space="preserve"> outstanding balance of $1,435.69.  </w:t>
      </w:r>
      <w:proofErr w:type="gramStart"/>
      <w:r w:rsidR="00AF7E66">
        <w:t>(Tr. 67.)</w:t>
      </w:r>
      <w:proofErr w:type="gramEnd"/>
    </w:p>
    <w:p w:rsidR="003146F2" w:rsidRDefault="003146F2" w:rsidP="007E432C">
      <w:pPr>
        <w:tabs>
          <w:tab w:val="left" w:pos="0"/>
        </w:tabs>
        <w:autoSpaceDE w:val="0"/>
        <w:autoSpaceDN w:val="0"/>
        <w:spacing w:line="360" w:lineRule="auto"/>
      </w:pPr>
    </w:p>
    <w:p w:rsidR="003146F2" w:rsidRDefault="003146F2" w:rsidP="003146F2">
      <w:pPr>
        <w:tabs>
          <w:tab w:val="left" w:pos="0"/>
        </w:tabs>
        <w:autoSpaceDE w:val="0"/>
        <w:autoSpaceDN w:val="0"/>
        <w:spacing w:line="360" w:lineRule="auto"/>
      </w:pPr>
      <w:r>
        <w:tab/>
      </w:r>
      <w:r>
        <w:tab/>
      </w:r>
      <w:r w:rsidR="00DF4BC3">
        <w:t>11</w:t>
      </w:r>
      <w:r>
        <w:t>.</w:t>
      </w:r>
      <w:r>
        <w:tab/>
        <w:t xml:space="preserve">Complainant’s account for service at 373 Church Street was under Respondent’s Customer Assistance Program (CAP).  </w:t>
      </w:r>
      <w:proofErr w:type="gramStart"/>
      <w:r>
        <w:t>(Tr. 69</w:t>
      </w:r>
      <w:r w:rsidR="00BA74EA">
        <w:t>.</w:t>
      </w:r>
      <w:r>
        <w:t>)</w:t>
      </w:r>
      <w:proofErr w:type="gramEnd"/>
    </w:p>
    <w:p w:rsidR="003146F2" w:rsidRDefault="003146F2" w:rsidP="007E432C">
      <w:pPr>
        <w:tabs>
          <w:tab w:val="left" w:pos="0"/>
        </w:tabs>
        <w:autoSpaceDE w:val="0"/>
        <w:autoSpaceDN w:val="0"/>
        <w:spacing w:line="360" w:lineRule="auto"/>
      </w:pPr>
    </w:p>
    <w:p w:rsidR="00AF7E66" w:rsidRDefault="00AF7E66" w:rsidP="007E432C">
      <w:pPr>
        <w:tabs>
          <w:tab w:val="left" w:pos="0"/>
        </w:tabs>
        <w:autoSpaceDE w:val="0"/>
        <w:autoSpaceDN w:val="0"/>
        <w:spacing w:line="360" w:lineRule="auto"/>
      </w:pPr>
      <w:r>
        <w:tab/>
      </w:r>
      <w:r>
        <w:tab/>
      </w:r>
      <w:r w:rsidR="00DF4BC3">
        <w:t>12</w:t>
      </w:r>
      <w:r>
        <w:t>.</w:t>
      </w:r>
      <w:r>
        <w:tab/>
        <w:t>Complainant was not a customer of Respondent from June 17, 2004 to June 9, 2006.  (Tr. 67-68.)</w:t>
      </w:r>
    </w:p>
    <w:p w:rsidR="00AF7E66" w:rsidRDefault="00AF7E66" w:rsidP="007E432C">
      <w:pPr>
        <w:tabs>
          <w:tab w:val="left" w:pos="0"/>
        </w:tabs>
        <w:autoSpaceDE w:val="0"/>
        <w:autoSpaceDN w:val="0"/>
        <w:spacing w:line="360" w:lineRule="auto"/>
      </w:pPr>
    </w:p>
    <w:p w:rsidR="00D524AD" w:rsidRDefault="00AF7E66" w:rsidP="007E432C">
      <w:pPr>
        <w:tabs>
          <w:tab w:val="left" w:pos="0"/>
        </w:tabs>
        <w:autoSpaceDE w:val="0"/>
        <w:autoSpaceDN w:val="0"/>
        <w:spacing w:line="360" w:lineRule="auto"/>
      </w:pPr>
      <w:r>
        <w:tab/>
      </w:r>
      <w:r>
        <w:tab/>
      </w:r>
      <w:r w:rsidR="00DF4BC3">
        <w:t>13</w:t>
      </w:r>
      <w:r w:rsidR="00D524AD">
        <w:t>.</w:t>
      </w:r>
      <w:r w:rsidR="00D524AD">
        <w:tab/>
        <w:t>Sometime in June 2006 Complainant applied for service at 229 Church Street</w:t>
      </w:r>
      <w:r w:rsidR="006D5CB3">
        <w:t>, 3</w:t>
      </w:r>
      <w:r w:rsidR="006D5CB3" w:rsidRPr="006D5CB3">
        <w:rPr>
          <w:vertAlign w:val="superscript"/>
        </w:rPr>
        <w:t>rd</w:t>
      </w:r>
      <w:r w:rsidR="006D5CB3">
        <w:t xml:space="preserve"> Floor, Phoenixville, Pennsylvania (229 Church Street)</w:t>
      </w:r>
      <w:r w:rsidR="00D524AD">
        <w:t xml:space="preserve">.  </w:t>
      </w:r>
      <w:proofErr w:type="gramStart"/>
      <w:r w:rsidR="00D524AD">
        <w:t>(Tr. 68.)</w:t>
      </w:r>
      <w:proofErr w:type="gramEnd"/>
    </w:p>
    <w:p w:rsidR="00D524AD" w:rsidRDefault="00D524AD" w:rsidP="007E432C">
      <w:pPr>
        <w:tabs>
          <w:tab w:val="left" w:pos="0"/>
        </w:tabs>
        <w:autoSpaceDE w:val="0"/>
        <w:autoSpaceDN w:val="0"/>
        <w:spacing w:line="360" w:lineRule="auto"/>
      </w:pPr>
    </w:p>
    <w:p w:rsidR="007A793B" w:rsidRDefault="00D524AD" w:rsidP="007A793B">
      <w:pPr>
        <w:tabs>
          <w:tab w:val="left" w:pos="0"/>
        </w:tabs>
        <w:autoSpaceDE w:val="0"/>
        <w:autoSpaceDN w:val="0"/>
        <w:spacing w:line="360" w:lineRule="auto"/>
      </w:pPr>
      <w:r>
        <w:tab/>
      </w:r>
      <w:r>
        <w:tab/>
      </w:r>
      <w:r w:rsidR="00DF4BC3">
        <w:t>14</w:t>
      </w:r>
      <w:r>
        <w:t>.</w:t>
      </w:r>
      <w:r>
        <w:tab/>
        <w:t xml:space="preserve">In response to Complainant’s </w:t>
      </w:r>
      <w:r w:rsidR="0068487D">
        <w:t xml:space="preserve">June 2006 </w:t>
      </w:r>
      <w:r>
        <w:t>application for service,</w:t>
      </w:r>
      <w:r w:rsidR="007A793B">
        <w:t xml:space="preserve"> Respondent placed Complainant’s account for service at 229 Church Street under its CAP.   </w:t>
      </w:r>
      <w:proofErr w:type="gramStart"/>
      <w:r w:rsidR="007A793B">
        <w:t>(Tr.</w:t>
      </w:r>
      <w:r w:rsidR="008D74AB">
        <w:t> </w:t>
      </w:r>
      <w:r w:rsidR="007A793B">
        <w:t>69</w:t>
      </w:r>
      <w:r w:rsidR="00BA74EA">
        <w:t>.</w:t>
      </w:r>
      <w:r w:rsidR="007A793B">
        <w:t>)</w:t>
      </w:r>
      <w:proofErr w:type="gramEnd"/>
    </w:p>
    <w:p w:rsidR="007A793B" w:rsidRDefault="007A793B" w:rsidP="007E432C">
      <w:pPr>
        <w:tabs>
          <w:tab w:val="left" w:pos="0"/>
        </w:tabs>
        <w:autoSpaceDE w:val="0"/>
        <w:autoSpaceDN w:val="0"/>
        <w:spacing w:line="360" w:lineRule="auto"/>
      </w:pPr>
    </w:p>
    <w:p w:rsidR="00D524AD" w:rsidRDefault="007A793B" w:rsidP="007E432C">
      <w:pPr>
        <w:tabs>
          <w:tab w:val="left" w:pos="0"/>
        </w:tabs>
        <w:autoSpaceDE w:val="0"/>
        <w:autoSpaceDN w:val="0"/>
        <w:spacing w:line="360" w:lineRule="auto"/>
      </w:pPr>
      <w:r>
        <w:tab/>
      </w:r>
      <w:r>
        <w:tab/>
        <w:t>15.</w:t>
      </w:r>
      <w:r>
        <w:tab/>
        <w:t xml:space="preserve">In response to Complainant’s June 2006 application for service, </w:t>
      </w:r>
      <w:r w:rsidR="00D524AD">
        <w:t xml:space="preserve">Respondent </w:t>
      </w:r>
      <w:r w:rsidR="00E03747">
        <w:t>transferred</w:t>
      </w:r>
      <w:r w:rsidR="00D524AD">
        <w:t xml:space="preserve"> the final balance of $1,435.69 from the service address at 373 Church Street to </w:t>
      </w:r>
      <w:r>
        <w:t xml:space="preserve">Complainant’s </w:t>
      </w:r>
      <w:r w:rsidR="0068487D">
        <w:t>service address at 229 Church Street</w:t>
      </w:r>
      <w:r w:rsidR="00423D5F">
        <w:t xml:space="preserve"> and provided her service</w:t>
      </w:r>
      <w:r w:rsidR="0068487D">
        <w:t xml:space="preserve">.  </w:t>
      </w:r>
      <w:proofErr w:type="gramStart"/>
      <w:r w:rsidR="0068487D">
        <w:t>(Tr. 68.)</w:t>
      </w:r>
      <w:proofErr w:type="gramEnd"/>
    </w:p>
    <w:p w:rsidR="00F83EEA" w:rsidRDefault="00F83EEA" w:rsidP="007E432C">
      <w:pPr>
        <w:tabs>
          <w:tab w:val="left" w:pos="0"/>
        </w:tabs>
        <w:autoSpaceDE w:val="0"/>
        <w:autoSpaceDN w:val="0"/>
        <w:spacing w:line="360" w:lineRule="auto"/>
      </w:pPr>
    </w:p>
    <w:p w:rsidR="0068487D" w:rsidRDefault="0068487D" w:rsidP="007E432C">
      <w:pPr>
        <w:tabs>
          <w:tab w:val="left" w:pos="0"/>
        </w:tabs>
        <w:autoSpaceDE w:val="0"/>
        <w:autoSpaceDN w:val="0"/>
        <w:spacing w:line="360" w:lineRule="auto"/>
      </w:pPr>
      <w:r>
        <w:tab/>
      </w:r>
      <w:r>
        <w:tab/>
      </w:r>
      <w:r w:rsidR="00DF4BC3">
        <w:t>1</w:t>
      </w:r>
      <w:r w:rsidR="007A793B">
        <w:t>6</w:t>
      </w:r>
      <w:r>
        <w:t>.</w:t>
      </w:r>
      <w:r>
        <w:tab/>
        <w:t>Complainant received service from Respondent at 229 Church S</w:t>
      </w:r>
      <w:r w:rsidR="00423D5F">
        <w:t>treet from June 10, 2006 to August 2, 2007.</w:t>
      </w:r>
    </w:p>
    <w:p w:rsidR="003F2D92" w:rsidRDefault="003F2D92" w:rsidP="007E432C">
      <w:pPr>
        <w:tabs>
          <w:tab w:val="left" w:pos="0"/>
        </w:tabs>
        <w:autoSpaceDE w:val="0"/>
        <w:autoSpaceDN w:val="0"/>
        <w:spacing w:line="360" w:lineRule="auto"/>
      </w:pPr>
    </w:p>
    <w:p w:rsidR="009967C2" w:rsidRDefault="00423D5F" w:rsidP="007915FC">
      <w:pPr>
        <w:tabs>
          <w:tab w:val="left" w:pos="0"/>
        </w:tabs>
        <w:autoSpaceDE w:val="0"/>
        <w:autoSpaceDN w:val="0"/>
        <w:spacing w:line="360" w:lineRule="auto"/>
      </w:pPr>
      <w:r>
        <w:tab/>
      </w:r>
      <w:r>
        <w:tab/>
      </w:r>
      <w:r w:rsidR="003146F2">
        <w:t>1</w:t>
      </w:r>
      <w:r w:rsidR="00DF4BC3">
        <w:t>7</w:t>
      </w:r>
      <w:r>
        <w:t>.</w:t>
      </w:r>
      <w:r>
        <w:tab/>
      </w:r>
      <w:r w:rsidR="007915FC">
        <w:t>Respondent billed Complainant for service at 229 Church Street from June</w:t>
      </w:r>
      <w:r w:rsidR="009967C2">
        <w:t> </w:t>
      </w:r>
      <w:r w:rsidR="007915FC">
        <w:t xml:space="preserve">10, 2006 to August 2, 2007, resulting in a final and outstanding balance of $3,086.38.  </w:t>
      </w:r>
      <w:r w:rsidR="009967C2">
        <w:t> </w:t>
      </w:r>
    </w:p>
    <w:p w:rsidR="007915FC" w:rsidRDefault="007915FC" w:rsidP="007915FC">
      <w:pPr>
        <w:tabs>
          <w:tab w:val="left" w:pos="0"/>
        </w:tabs>
        <w:autoSpaceDE w:val="0"/>
        <w:autoSpaceDN w:val="0"/>
        <w:spacing w:line="360" w:lineRule="auto"/>
      </w:pPr>
      <w:proofErr w:type="gramStart"/>
      <w:r>
        <w:t>(Tr. 68.)</w:t>
      </w:r>
      <w:proofErr w:type="gramEnd"/>
    </w:p>
    <w:p w:rsidR="00D524AD" w:rsidRDefault="00D524AD" w:rsidP="007E432C">
      <w:pPr>
        <w:tabs>
          <w:tab w:val="left" w:pos="0"/>
        </w:tabs>
        <w:autoSpaceDE w:val="0"/>
        <w:autoSpaceDN w:val="0"/>
        <w:spacing w:line="360" w:lineRule="auto"/>
      </w:pPr>
    </w:p>
    <w:p w:rsidR="00DB36A5" w:rsidRDefault="007915FC" w:rsidP="00DB36A5">
      <w:pPr>
        <w:tabs>
          <w:tab w:val="left" w:pos="0"/>
        </w:tabs>
        <w:autoSpaceDE w:val="0"/>
        <w:autoSpaceDN w:val="0"/>
        <w:spacing w:line="360" w:lineRule="auto"/>
      </w:pPr>
      <w:r>
        <w:tab/>
      </w:r>
      <w:r>
        <w:tab/>
      </w:r>
      <w:r w:rsidR="00DB36A5">
        <w:t>1</w:t>
      </w:r>
      <w:r w:rsidR="00DF4BC3">
        <w:t>8</w:t>
      </w:r>
      <w:r w:rsidR="00DB36A5">
        <w:t>.</w:t>
      </w:r>
      <w:r w:rsidR="00DB36A5">
        <w:tab/>
        <w:t>Complainant was not a customer of Respondent from August 2, 2007 to September 1</w:t>
      </w:r>
      <w:r w:rsidR="005B0E51">
        <w:t>5</w:t>
      </w:r>
      <w:r w:rsidR="00DB36A5">
        <w:t>, 2008.  (Tr. 68-69.)</w:t>
      </w:r>
    </w:p>
    <w:p w:rsidR="005B0E51" w:rsidRDefault="005B0E51" w:rsidP="00DB36A5">
      <w:pPr>
        <w:tabs>
          <w:tab w:val="left" w:pos="0"/>
        </w:tabs>
        <w:autoSpaceDE w:val="0"/>
        <w:autoSpaceDN w:val="0"/>
        <w:spacing w:line="360" w:lineRule="auto"/>
      </w:pPr>
    </w:p>
    <w:p w:rsidR="005B0E51" w:rsidRDefault="005B0E51" w:rsidP="005B0E51">
      <w:pPr>
        <w:tabs>
          <w:tab w:val="left" w:pos="0"/>
        </w:tabs>
        <w:autoSpaceDE w:val="0"/>
        <w:autoSpaceDN w:val="0"/>
        <w:spacing w:line="360" w:lineRule="auto"/>
      </w:pPr>
      <w:r>
        <w:tab/>
      </w:r>
      <w:r>
        <w:tab/>
        <w:t>1</w:t>
      </w:r>
      <w:r w:rsidR="00DF4BC3">
        <w:t>9</w:t>
      </w:r>
      <w:r>
        <w:t>.</w:t>
      </w:r>
      <w:r>
        <w:tab/>
        <w:t>Sometime in September 2008 Complainant applied for service at 221 H</w:t>
      </w:r>
      <w:r w:rsidR="00671AA5">
        <w:t>i</w:t>
      </w:r>
      <w:r>
        <w:t>gh Street</w:t>
      </w:r>
      <w:r w:rsidR="00671AA5">
        <w:t>, Apartment 1, Phoenixville, Pennsylvania</w:t>
      </w:r>
      <w:r w:rsidR="00DF4BC3">
        <w:t xml:space="preserve"> (221 High Street)</w:t>
      </w:r>
      <w:r>
        <w:t xml:space="preserve">.  </w:t>
      </w:r>
      <w:proofErr w:type="gramStart"/>
      <w:r>
        <w:t>(Tr. 68.)</w:t>
      </w:r>
      <w:proofErr w:type="gramEnd"/>
    </w:p>
    <w:p w:rsidR="005B0E51" w:rsidRDefault="005B0E51" w:rsidP="00DB36A5">
      <w:pPr>
        <w:tabs>
          <w:tab w:val="left" w:pos="0"/>
        </w:tabs>
        <w:autoSpaceDE w:val="0"/>
        <w:autoSpaceDN w:val="0"/>
        <w:spacing w:line="360" w:lineRule="auto"/>
      </w:pPr>
      <w:r>
        <w:t xml:space="preserve"> </w:t>
      </w:r>
    </w:p>
    <w:p w:rsidR="008B5D8D" w:rsidRDefault="005B0E51" w:rsidP="008B5D8D">
      <w:pPr>
        <w:tabs>
          <w:tab w:val="left" w:pos="0"/>
        </w:tabs>
        <w:autoSpaceDE w:val="0"/>
        <w:autoSpaceDN w:val="0"/>
        <w:spacing w:line="360" w:lineRule="auto"/>
      </w:pPr>
      <w:r>
        <w:tab/>
      </w:r>
      <w:r>
        <w:tab/>
      </w:r>
      <w:r w:rsidR="00DF4BC3">
        <w:t>20</w:t>
      </w:r>
      <w:r>
        <w:t>.</w:t>
      </w:r>
      <w:r>
        <w:tab/>
      </w:r>
      <w:r w:rsidR="008B5D8D">
        <w:t xml:space="preserve">In response to Complainant’s September 2008 application for service, Respondent placed Complainant’s account for service at 221 High Street under its CAP.   </w:t>
      </w:r>
      <w:proofErr w:type="gramStart"/>
      <w:r w:rsidR="008B5D8D">
        <w:t>(Tr.</w:t>
      </w:r>
      <w:r w:rsidR="00CB1E7C">
        <w:t> </w:t>
      </w:r>
      <w:r w:rsidR="008B5D8D">
        <w:t>69</w:t>
      </w:r>
      <w:r w:rsidR="00BA74EA">
        <w:t>.</w:t>
      </w:r>
      <w:r w:rsidR="008B5D8D">
        <w:t>)</w:t>
      </w:r>
      <w:proofErr w:type="gramEnd"/>
    </w:p>
    <w:p w:rsidR="008B5D8D" w:rsidRDefault="008B5D8D" w:rsidP="005B0E51">
      <w:pPr>
        <w:tabs>
          <w:tab w:val="left" w:pos="0"/>
        </w:tabs>
        <w:autoSpaceDE w:val="0"/>
        <w:autoSpaceDN w:val="0"/>
        <w:spacing w:line="360" w:lineRule="auto"/>
      </w:pPr>
    </w:p>
    <w:p w:rsidR="005B0E51" w:rsidRDefault="008B5D8D" w:rsidP="005B0E51">
      <w:pPr>
        <w:tabs>
          <w:tab w:val="left" w:pos="0"/>
        </w:tabs>
        <w:autoSpaceDE w:val="0"/>
        <w:autoSpaceDN w:val="0"/>
        <w:spacing w:line="360" w:lineRule="auto"/>
      </w:pPr>
      <w:r>
        <w:tab/>
      </w:r>
      <w:r>
        <w:tab/>
        <w:t>21.</w:t>
      </w:r>
      <w:r>
        <w:tab/>
      </w:r>
      <w:r w:rsidR="005B0E51">
        <w:t xml:space="preserve">In response to Complainant’s September 2008 application for service, Respondent </w:t>
      </w:r>
      <w:r w:rsidR="00E03747">
        <w:t>transferred</w:t>
      </w:r>
      <w:r w:rsidR="005B0E51">
        <w:t xml:space="preserve"> the final balance of $3,086.38 from 229 Church Street to the service address at 221 High Street and provided her service starting on September 16, 200</w:t>
      </w:r>
      <w:r w:rsidR="002C454C">
        <w:t>8</w:t>
      </w:r>
      <w:r w:rsidR="005B0E51">
        <w:t xml:space="preserve">.  </w:t>
      </w:r>
      <w:proofErr w:type="gramStart"/>
      <w:r w:rsidR="005B0E51">
        <w:t>(Tr. 69.)</w:t>
      </w:r>
      <w:proofErr w:type="gramEnd"/>
    </w:p>
    <w:p w:rsidR="005B0E51" w:rsidRDefault="005B0E51" w:rsidP="005B0E51">
      <w:pPr>
        <w:tabs>
          <w:tab w:val="left" w:pos="0"/>
        </w:tabs>
        <w:autoSpaceDE w:val="0"/>
        <w:autoSpaceDN w:val="0"/>
        <w:spacing w:line="360" w:lineRule="auto"/>
      </w:pPr>
    </w:p>
    <w:p w:rsidR="00E80BE0" w:rsidRDefault="005B0E51" w:rsidP="005B0E51">
      <w:pPr>
        <w:tabs>
          <w:tab w:val="left" w:pos="0"/>
        </w:tabs>
        <w:autoSpaceDE w:val="0"/>
        <w:autoSpaceDN w:val="0"/>
        <w:spacing w:line="360" w:lineRule="auto"/>
      </w:pPr>
      <w:r>
        <w:tab/>
      </w:r>
      <w:r>
        <w:tab/>
      </w:r>
      <w:r w:rsidR="00DF4BC3">
        <w:t>2</w:t>
      </w:r>
      <w:r w:rsidR="008B5D8D">
        <w:t>2</w:t>
      </w:r>
      <w:r>
        <w:t>.</w:t>
      </w:r>
      <w:r>
        <w:tab/>
        <w:t xml:space="preserve">The $3,086.38 </w:t>
      </w:r>
      <w:r w:rsidR="00E80BE0">
        <w:t xml:space="preserve">balance that Respondent </w:t>
      </w:r>
      <w:r w:rsidR="00E03747">
        <w:t>transferred</w:t>
      </w:r>
      <w:r w:rsidR="00E80BE0">
        <w:t xml:space="preserve"> to Complainant’s account for service at 229 Church Street in September 2008 included final charges dating back to the time period June 2003 to June 16, 2004.  (Tr. 67-69.)</w:t>
      </w:r>
    </w:p>
    <w:p w:rsidR="005801CA" w:rsidRDefault="005801CA" w:rsidP="005B0E51">
      <w:pPr>
        <w:tabs>
          <w:tab w:val="left" w:pos="0"/>
        </w:tabs>
        <w:autoSpaceDE w:val="0"/>
        <w:autoSpaceDN w:val="0"/>
        <w:spacing w:line="360" w:lineRule="auto"/>
      </w:pPr>
    </w:p>
    <w:p w:rsidR="009F5B5B" w:rsidRDefault="00E80BE0" w:rsidP="005B0E51">
      <w:pPr>
        <w:tabs>
          <w:tab w:val="left" w:pos="0"/>
        </w:tabs>
        <w:autoSpaceDE w:val="0"/>
        <w:autoSpaceDN w:val="0"/>
        <w:spacing w:line="360" w:lineRule="auto"/>
      </w:pPr>
      <w:r>
        <w:tab/>
      </w:r>
      <w:r>
        <w:tab/>
      </w:r>
      <w:r w:rsidR="00DF4BC3">
        <w:t>2</w:t>
      </w:r>
      <w:r w:rsidR="008B5D8D">
        <w:t>3</w:t>
      </w:r>
      <w:r>
        <w:t>.</w:t>
      </w:r>
      <w:r>
        <w:tab/>
      </w:r>
      <w:r w:rsidR="002D2CA0">
        <w:t>B</w:t>
      </w:r>
      <w:r w:rsidR="009F5B5B">
        <w:t xml:space="preserve">y applying the $3,086.38 balance to Complainant’s account </w:t>
      </w:r>
      <w:r w:rsidR="002D2CA0">
        <w:t xml:space="preserve">for </w:t>
      </w:r>
      <w:r w:rsidR="009F5B5B">
        <w:t>service to her at 221 High Street</w:t>
      </w:r>
      <w:r w:rsidR="002D2CA0">
        <w:t xml:space="preserve"> in September 2008</w:t>
      </w:r>
      <w:r w:rsidR="009F5B5B">
        <w:t xml:space="preserve">, Respondent required her to pay for </w:t>
      </w:r>
      <w:r w:rsidR="002C454C">
        <w:t>charges</w:t>
      </w:r>
      <w:r w:rsidR="009F5B5B">
        <w:t xml:space="preserve"> </w:t>
      </w:r>
      <w:r w:rsidR="002C454C">
        <w:t xml:space="preserve">that had accrued during </w:t>
      </w:r>
      <w:r w:rsidR="009F5B5B">
        <w:t>the time period June 2003 to June 16, 2004.  (Id.)</w:t>
      </w:r>
    </w:p>
    <w:p w:rsidR="009F5B5B" w:rsidRDefault="009F5B5B" w:rsidP="005B0E51">
      <w:pPr>
        <w:tabs>
          <w:tab w:val="left" w:pos="0"/>
        </w:tabs>
        <w:autoSpaceDE w:val="0"/>
        <w:autoSpaceDN w:val="0"/>
        <w:spacing w:line="360" w:lineRule="auto"/>
      </w:pPr>
    </w:p>
    <w:p w:rsidR="009F5B5B" w:rsidRDefault="009F5B5B" w:rsidP="009F5B5B">
      <w:pPr>
        <w:tabs>
          <w:tab w:val="left" w:pos="0"/>
        </w:tabs>
        <w:autoSpaceDE w:val="0"/>
        <w:autoSpaceDN w:val="0"/>
        <w:spacing w:line="360" w:lineRule="auto"/>
      </w:pPr>
      <w:r>
        <w:tab/>
      </w:r>
      <w:r>
        <w:tab/>
      </w:r>
      <w:r w:rsidR="002D2CA0">
        <w:t>24</w:t>
      </w:r>
      <w:r>
        <w:t>.</w:t>
      </w:r>
      <w:r>
        <w:tab/>
        <w:t xml:space="preserve"> Respondent billed Complainant for service at 221 High Street from </w:t>
      </w:r>
      <w:r w:rsidR="00311B15">
        <w:t>September 16, 2008 to December 12, 2008</w:t>
      </w:r>
      <w:r>
        <w:t>, resulting in a final and outstanding balance of $</w:t>
      </w:r>
      <w:r w:rsidR="00311B15">
        <w:t>4</w:t>
      </w:r>
      <w:r>
        <w:t>,</w:t>
      </w:r>
      <w:r w:rsidR="00311B15">
        <w:t>563</w:t>
      </w:r>
      <w:r>
        <w:t>.</w:t>
      </w:r>
      <w:r w:rsidR="00311B15">
        <w:t>68.</w:t>
      </w:r>
      <w:r>
        <w:t xml:space="preserve">  </w:t>
      </w:r>
      <w:proofErr w:type="gramStart"/>
      <w:r>
        <w:t>(Tr. 68.)</w:t>
      </w:r>
      <w:proofErr w:type="gramEnd"/>
    </w:p>
    <w:p w:rsidR="004D7969" w:rsidRDefault="004D7969" w:rsidP="009F5B5B">
      <w:pPr>
        <w:tabs>
          <w:tab w:val="left" w:pos="0"/>
        </w:tabs>
        <w:autoSpaceDE w:val="0"/>
        <w:autoSpaceDN w:val="0"/>
        <w:spacing w:line="360" w:lineRule="auto"/>
      </w:pPr>
    </w:p>
    <w:p w:rsidR="00ED03AA" w:rsidRDefault="003146F2" w:rsidP="003146F2">
      <w:pPr>
        <w:tabs>
          <w:tab w:val="left" w:pos="0"/>
        </w:tabs>
        <w:autoSpaceDE w:val="0"/>
        <w:autoSpaceDN w:val="0"/>
        <w:spacing w:line="360" w:lineRule="auto"/>
      </w:pPr>
      <w:r>
        <w:tab/>
      </w:r>
      <w:r>
        <w:tab/>
      </w:r>
      <w:r w:rsidR="002D2CA0">
        <w:t>25</w:t>
      </w:r>
      <w:r>
        <w:t>.</w:t>
      </w:r>
      <w:r>
        <w:tab/>
        <w:t xml:space="preserve">Complainant’s </w:t>
      </w:r>
      <w:r w:rsidR="002D2CA0">
        <w:t xml:space="preserve">final charges in the </w:t>
      </w:r>
      <w:r>
        <w:t>a</w:t>
      </w:r>
      <w:r w:rsidR="002D2CA0">
        <w:t>mount</w:t>
      </w:r>
      <w:r>
        <w:t xml:space="preserve"> </w:t>
      </w:r>
      <w:r w:rsidR="002D2CA0">
        <w:t xml:space="preserve">of $4,563.68 on December 12, </w:t>
      </w:r>
    </w:p>
    <w:p w:rsidR="003146F2" w:rsidRDefault="002D2CA0" w:rsidP="003146F2">
      <w:pPr>
        <w:tabs>
          <w:tab w:val="left" w:pos="0"/>
        </w:tabs>
        <w:autoSpaceDE w:val="0"/>
        <w:autoSpaceDN w:val="0"/>
        <w:spacing w:line="360" w:lineRule="auto"/>
      </w:pPr>
      <w:r>
        <w:t>2008 f</w:t>
      </w:r>
      <w:r w:rsidR="003146F2">
        <w:t>or service at 221 High Street</w:t>
      </w:r>
      <w:r>
        <w:t xml:space="preserve"> were all CAP charges</w:t>
      </w:r>
      <w:r w:rsidR="003146F2">
        <w:t>.</w:t>
      </w:r>
      <w:r w:rsidR="00CB1E7C">
        <w:t xml:space="preserve"> </w:t>
      </w:r>
      <w:r w:rsidR="003146F2">
        <w:t xml:space="preserve"> </w:t>
      </w:r>
      <w:proofErr w:type="gramStart"/>
      <w:r>
        <w:t xml:space="preserve">(Tr. </w:t>
      </w:r>
      <w:r w:rsidR="003146F2">
        <w:t>69</w:t>
      </w:r>
      <w:r w:rsidR="00832F90">
        <w:t>.</w:t>
      </w:r>
      <w:r w:rsidR="003146F2">
        <w:t>)</w:t>
      </w:r>
      <w:proofErr w:type="gramEnd"/>
    </w:p>
    <w:p w:rsidR="003146F2" w:rsidRDefault="003146F2" w:rsidP="009F5B5B">
      <w:pPr>
        <w:tabs>
          <w:tab w:val="left" w:pos="0"/>
        </w:tabs>
        <w:autoSpaceDE w:val="0"/>
        <w:autoSpaceDN w:val="0"/>
        <w:spacing w:line="360" w:lineRule="auto"/>
      </w:pPr>
    </w:p>
    <w:p w:rsidR="00311B15" w:rsidRDefault="00311B15" w:rsidP="00311B15">
      <w:pPr>
        <w:tabs>
          <w:tab w:val="left" w:pos="0"/>
        </w:tabs>
        <w:autoSpaceDE w:val="0"/>
        <w:autoSpaceDN w:val="0"/>
        <w:spacing w:line="360" w:lineRule="auto"/>
      </w:pPr>
      <w:r>
        <w:tab/>
      </w:r>
      <w:r>
        <w:tab/>
      </w:r>
      <w:r w:rsidR="002D2CA0">
        <w:t>26</w:t>
      </w:r>
      <w:r w:rsidR="003146F2">
        <w:t>.</w:t>
      </w:r>
      <w:r w:rsidR="003146F2">
        <w:tab/>
      </w:r>
      <w:r w:rsidR="00932A3A">
        <w:t xml:space="preserve">In </w:t>
      </w:r>
      <w:r w:rsidR="00F80976">
        <w:t>December 2008</w:t>
      </w:r>
      <w:r w:rsidR="005F6386">
        <w:t xml:space="preserve"> </w:t>
      </w:r>
      <w:r>
        <w:t xml:space="preserve">Complainant </w:t>
      </w:r>
      <w:r w:rsidR="005F6386">
        <w:t xml:space="preserve">requested service at </w:t>
      </w:r>
      <w:r w:rsidR="00F80976">
        <w:t>367 Second Avenue, 1st Floor, Phoenixville, Pennsylvania</w:t>
      </w:r>
      <w:r w:rsidR="009447A2">
        <w:t xml:space="preserve"> (2</w:t>
      </w:r>
      <w:r w:rsidR="009447A2" w:rsidRPr="009447A2">
        <w:rPr>
          <w:vertAlign w:val="superscript"/>
        </w:rPr>
        <w:t>nd</w:t>
      </w:r>
      <w:r w:rsidR="009447A2">
        <w:t xml:space="preserve"> Avenue</w:t>
      </w:r>
      <w:r>
        <w:t>.</w:t>
      </w:r>
      <w:r w:rsidR="009447A2">
        <w:t>)</w:t>
      </w:r>
      <w:r>
        <w:t xml:space="preserve">  </w:t>
      </w:r>
      <w:proofErr w:type="gramStart"/>
      <w:r>
        <w:t xml:space="preserve">(Tr. </w:t>
      </w:r>
      <w:r w:rsidR="00F80976">
        <w:t>70</w:t>
      </w:r>
      <w:r>
        <w:t>.)</w:t>
      </w:r>
      <w:proofErr w:type="gramEnd"/>
    </w:p>
    <w:p w:rsidR="007D6913" w:rsidRDefault="007D6913" w:rsidP="00311B15">
      <w:pPr>
        <w:tabs>
          <w:tab w:val="left" w:pos="0"/>
        </w:tabs>
        <w:autoSpaceDE w:val="0"/>
        <w:autoSpaceDN w:val="0"/>
        <w:spacing w:line="360" w:lineRule="auto"/>
      </w:pPr>
    </w:p>
    <w:p w:rsidR="004D7EA7" w:rsidRDefault="00311B15" w:rsidP="00311B15">
      <w:pPr>
        <w:tabs>
          <w:tab w:val="left" w:pos="0"/>
        </w:tabs>
        <w:autoSpaceDE w:val="0"/>
        <w:autoSpaceDN w:val="0"/>
        <w:spacing w:line="360" w:lineRule="auto"/>
      </w:pPr>
      <w:r>
        <w:tab/>
      </w:r>
      <w:r>
        <w:tab/>
      </w:r>
      <w:r w:rsidR="003146F2">
        <w:t>2</w:t>
      </w:r>
      <w:r w:rsidR="002D2CA0">
        <w:t>7</w:t>
      </w:r>
      <w:r>
        <w:t>.</w:t>
      </w:r>
      <w:r>
        <w:tab/>
      </w:r>
      <w:r w:rsidR="004D7EA7">
        <w:t>On December 3, 2008, Respondent transferred Complainant’s service from 221 High Street to her service address at 2</w:t>
      </w:r>
      <w:r w:rsidR="004D7EA7" w:rsidRPr="004D7EA7">
        <w:rPr>
          <w:vertAlign w:val="superscript"/>
        </w:rPr>
        <w:t>nd</w:t>
      </w:r>
      <w:r w:rsidR="004D7EA7">
        <w:t xml:space="preserve"> Avenue.  </w:t>
      </w:r>
      <w:proofErr w:type="gramStart"/>
      <w:r w:rsidR="004D7EA7">
        <w:t>(Tr. 70.)</w:t>
      </w:r>
      <w:proofErr w:type="gramEnd"/>
    </w:p>
    <w:p w:rsidR="004D7EA7" w:rsidRDefault="004D7EA7" w:rsidP="00311B15">
      <w:pPr>
        <w:tabs>
          <w:tab w:val="left" w:pos="0"/>
        </w:tabs>
        <w:autoSpaceDE w:val="0"/>
        <w:autoSpaceDN w:val="0"/>
        <w:spacing w:line="360" w:lineRule="auto"/>
      </w:pPr>
    </w:p>
    <w:p w:rsidR="00786E77" w:rsidRDefault="004D7EA7" w:rsidP="00311B15">
      <w:pPr>
        <w:tabs>
          <w:tab w:val="left" w:pos="0"/>
        </w:tabs>
        <w:autoSpaceDE w:val="0"/>
        <w:autoSpaceDN w:val="0"/>
        <w:spacing w:line="360" w:lineRule="auto"/>
      </w:pPr>
      <w:r>
        <w:tab/>
      </w:r>
      <w:r>
        <w:tab/>
      </w:r>
      <w:r w:rsidR="001022A4">
        <w:t>2</w:t>
      </w:r>
      <w:r w:rsidR="00735F77">
        <w:t>8</w:t>
      </w:r>
      <w:r>
        <w:t>.</w:t>
      </w:r>
      <w:r>
        <w:tab/>
        <w:t xml:space="preserve">On January 27, 2009, Respondent transferred Complainant’s </w:t>
      </w:r>
      <w:r w:rsidR="00735F77">
        <w:t xml:space="preserve">CAP </w:t>
      </w:r>
      <w:r>
        <w:t>balance of $4,563.68 from her service address at 221 High Street to her service address at 2</w:t>
      </w:r>
      <w:r w:rsidRPr="004D7EA7">
        <w:rPr>
          <w:vertAlign w:val="superscript"/>
        </w:rPr>
        <w:t>nd</w:t>
      </w:r>
      <w:r>
        <w:t xml:space="preserve"> Avenue.  </w:t>
      </w:r>
      <w:r w:rsidRPr="00ED03AA">
        <w:t xml:space="preserve">(Tr. </w:t>
      </w:r>
      <w:r w:rsidR="00ED03AA">
        <w:t>69-</w:t>
      </w:r>
      <w:r w:rsidRPr="00ED03AA">
        <w:t>70.)</w:t>
      </w:r>
    </w:p>
    <w:p w:rsidR="00311B15" w:rsidRDefault="004D7EA7" w:rsidP="00311B15">
      <w:pPr>
        <w:tabs>
          <w:tab w:val="left" w:pos="0"/>
        </w:tabs>
        <w:autoSpaceDE w:val="0"/>
        <w:autoSpaceDN w:val="0"/>
        <w:spacing w:line="360" w:lineRule="auto"/>
      </w:pPr>
      <w:r>
        <w:t xml:space="preserve"> </w:t>
      </w:r>
    </w:p>
    <w:p w:rsidR="00311B15" w:rsidRDefault="00A4309F" w:rsidP="00311B15">
      <w:pPr>
        <w:tabs>
          <w:tab w:val="left" w:pos="0"/>
        </w:tabs>
        <w:autoSpaceDE w:val="0"/>
        <w:autoSpaceDN w:val="0"/>
        <w:spacing w:line="360" w:lineRule="auto"/>
      </w:pPr>
      <w:r>
        <w:tab/>
      </w:r>
      <w:r>
        <w:tab/>
      </w:r>
      <w:r w:rsidR="001022A4">
        <w:t>2</w:t>
      </w:r>
      <w:r w:rsidR="00735F77">
        <w:t>9</w:t>
      </w:r>
      <w:r>
        <w:t>.</w:t>
      </w:r>
      <w:r>
        <w:tab/>
      </w:r>
      <w:r w:rsidR="00311B15">
        <w:t xml:space="preserve">The $4,563.68 </w:t>
      </w:r>
      <w:r w:rsidR="00735F77">
        <w:t xml:space="preserve">CAP </w:t>
      </w:r>
      <w:r w:rsidR="00311B15">
        <w:t xml:space="preserve">balance that Respondent </w:t>
      </w:r>
      <w:r w:rsidR="00E03747">
        <w:t>transferred</w:t>
      </w:r>
      <w:r w:rsidR="00311B15">
        <w:t xml:space="preserve"> to Complainant’s account for service at 2</w:t>
      </w:r>
      <w:r w:rsidR="00311B15" w:rsidRPr="00311B15">
        <w:rPr>
          <w:vertAlign w:val="superscript"/>
        </w:rPr>
        <w:t>nd</w:t>
      </w:r>
      <w:r w:rsidR="00311B15">
        <w:t xml:space="preserve"> Avenue in January 2009 included charges </w:t>
      </w:r>
      <w:r w:rsidR="002C454C">
        <w:t>that had accrued during the</w:t>
      </w:r>
      <w:r w:rsidR="00311B15">
        <w:t xml:space="preserve"> time period June 2003 to June 16, 2004.  </w:t>
      </w:r>
      <w:proofErr w:type="gramStart"/>
      <w:r w:rsidR="00311B15">
        <w:t>(Tr. 69.)</w:t>
      </w:r>
      <w:proofErr w:type="gramEnd"/>
    </w:p>
    <w:p w:rsidR="00A4309F" w:rsidRDefault="00A4309F" w:rsidP="00311B15">
      <w:pPr>
        <w:tabs>
          <w:tab w:val="left" w:pos="0"/>
        </w:tabs>
        <w:autoSpaceDE w:val="0"/>
        <w:autoSpaceDN w:val="0"/>
        <w:spacing w:line="360" w:lineRule="auto"/>
      </w:pPr>
    </w:p>
    <w:p w:rsidR="005801CA" w:rsidRDefault="00A4309F" w:rsidP="00311B15">
      <w:pPr>
        <w:tabs>
          <w:tab w:val="left" w:pos="0"/>
        </w:tabs>
        <w:autoSpaceDE w:val="0"/>
        <w:autoSpaceDN w:val="0"/>
        <w:spacing w:line="360" w:lineRule="auto"/>
      </w:pPr>
      <w:r>
        <w:tab/>
      </w:r>
      <w:r>
        <w:tab/>
      </w:r>
      <w:r w:rsidR="007D6913">
        <w:t>3</w:t>
      </w:r>
      <w:r w:rsidR="002C454C">
        <w:t>0</w:t>
      </w:r>
      <w:r>
        <w:t>.</w:t>
      </w:r>
      <w:r w:rsidR="007D6913">
        <w:tab/>
      </w:r>
      <w:r w:rsidR="00932A3A">
        <w:t>Complainant received service at 2</w:t>
      </w:r>
      <w:r w:rsidR="00932A3A" w:rsidRPr="00932A3A">
        <w:rPr>
          <w:vertAlign w:val="superscript"/>
        </w:rPr>
        <w:t>nd</w:t>
      </w:r>
      <w:r w:rsidR="00932A3A">
        <w:t xml:space="preserve"> Avenue from December 3, 2008 until July 30, 2010</w:t>
      </w:r>
      <w:r w:rsidR="00B352C7">
        <w:t xml:space="preserve">, during which Respondent billed Complainant approximately another $8,000.00 in </w:t>
      </w:r>
    </w:p>
    <w:p w:rsidR="00B352C7" w:rsidRDefault="007C69F3" w:rsidP="00311B15">
      <w:pPr>
        <w:tabs>
          <w:tab w:val="left" w:pos="0"/>
        </w:tabs>
        <w:autoSpaceDE w:val="0"/>
        <w:autoSpaceDN w:val="0"/>
        <w:spacing w:line="360" w:lineRule="auto"/>
      </w:pPr>
      <w:proofErr w:type="gramStart"/>
      <w:r>
        <w:t>charges</w:t>
      </w:r>
      <w:proofErr w:type="gramEnd"/>
      <w:r>
        <w:t xml:space="preserve">.  </w:t>
      </w:r>
      <w:proofErr w:type="gramStart"/>
      <w:r w:rsidR="00B352C7">
        <w:t>(Tr. 70.)</w:t>
      </w:r>
      <w:proofErr w:type="gramEnd"/>
    </w:p>
    <w:p w:rsidR="00B352C7" w:rsidRDefault="00B352C7" w:rsidP="00311B15">
      <w:pPr>
        <w:tabs>
          <w:tab w:val="left" w:pos="0"/>
        </w:tabs>
        <w:autoSpaceDE w:val="0"/>
        <w:autoSpaceDN w:val="0"/>
        <w:spacing w:line="360" w:lineRule="auto"/>
      </w:pPr>
    </w:p>
    <w:p w:rsidR="00B352C7" w:rsidRDefault="00B352C7" w:rsidP="00311B15">
      <w:pPr>
        <w:tabs>
          <w:tab w:val="left" w:pos="0"/>
        </w:tabs>
        <w:autoSpaceDE w:val="0"/>
        <w:autoSpaceDN w:val="0"/>
        <w:spacing w:line="360" w:lineRule="auto"/>
      </w:pPr>
      <w:r>
        <w:tab/>
      </w:r>
      <w:r>
        <w:tab/>
      </w:r>
      <w:r w:rsidR="002C454C">
        <w:t>31</w:t>
      </w:r>
      <w:r>
        <w:t>.</w:t>
      </w:r>
      <w:r>
        <w:tab/>
        <w:t>Respondent terminated Complainant service at 2</w:t>
      </w:r>
      <w:r w:rsidRPr="00B352C7">
        <w:rPr>
          <w:vertAlign w:val="superscript"/>
        </w:rPr>
        <w:t>nd</w:t>
      </w:r>
      <w:r>
        <w:t xml:space="preserve"> Avenue on July 30, 2010 with an outstanding bill of $11,476</w:t>
      </w:r>
      <w:r w:rsidR="000C382E">
        <w:t>.</w:t>
      </w:r>
      <w:r>
        <w:t xml:space="preserve">54.  </w:t>
      </w:r>
      <w:proofErr w:type="gramStart"/>
      <w:r>
        <w:t>(Tr. 75.)</w:t>
      </w:r>
      <w:proofErr w:type="gramEnd"/>
    </w:p>
    <w:p w:rsidR="009447A2" w:rsidRDefault="00B352C7" w:rsidP="00311B15">
      <w:pPr>
        <w:tabs>
          <w:tab w:val="left" w:pos="0"/>
        </w:tabs>
        <w:autoSpaceDE w:val="0"/>
        <w:autoSpaceDN w:val="0"/>
        <w:spacing w:line="360" w:lineRule="auto"/>
      </w:pPr>
      <w:r>
        <w:tab/>
      </w:r>
      <w:r>
        <w:tab/>
      </w:r>
      <w:r w:rsidR="002C454C">
        <w:t>32</w:t>
      </w:r>
      <w:r>
        <w:t>.</w:t>
      </w:r>
      <w:r>
        <w:tab/>
      </w:r>
      <w:r w:rsidR="009447A2">
        <w:t>Complainant’s service account at 2</w:t>
      </w:r>
      <w:r w:rsidR="009447A2" w:rsidRPr="009447A2">
        <w:rPr>
          <w:vertAlign w:val="superscript"/>
        </w:rPr>
        <w:t>nd</w:t>
      </w:r>
      <w:r w:rsidR="009447A2">
        <w:t xml:space="preserve"> Avenue was not under Respondent’s CAP.  (Tr. 79-80.)</w:t>
      </w:r>
    </w:p>
    <w:p w:rsidR="009447A2" w:rsidRDefault="009447A2" w:rsidP="00311B15">
      <w:pPr>
        <w:tabs>
          <w:tab w:val="left" w:pos="0"/>
        </w:tabs>
        <w:autoSpaceDE w:val="0"/>
        <w:autoSpaceDN w:val="0"/>
        <w:spacing w:line="360" w:lineRule="auto"/>
      </w:pPr>
    </w:p>
    <w:p w:rsidR="009447A2" w:rsidRDefault="009447A2" w:rsidP="009447A2">
      <w:pPr>
        <w:tabs>
          <w:tab w:val="left" w:pos="0"/>
        </w:tabs>
        <w:autoSpaceDE w:val="0"/>
        <w:autoSpaceDN w:val="0"/>
        <w:spacing w:line="360" w:lineRule="auto"/>
      </w:pPr>
      <w:r>
        <w:tab/>
      </w:r>
      <w:r>
        <w:tab/>
      </w:r>
      <w:r w:rsidR="002C454C">
        <w:t>33</w:t>
      </w:r>
      <w:r>
        <w:t>.</w:t>
      </w:r>
      <w:r>
        <w:tab/>
      </w:r>
      <w:r w:rsidR="0051532D">
        <w:t xml:space="preserve">Complainant was not a </w:t>
      </w:r>
      <w:r w:rsidR="00147A0F">
        <w:t>c</w:t>
      </w:r>
      <w:r w:rsidR="0051532D">
        <w:t xml:space="preserve">ustomer of </w:t>
      </w:r>
      <w:r w:rsidR="00784ED5">
        <w:t xml:space="preserve">Respondent between July 31, 2010 and </w:t>
      </w:r>
      <w:r w:rsidR="0051532D">
        <w:t>November 17, 201</w:t>
      </w:r>
      <w:r w:rsidR="00147A0F">
        <w:t>3</w:t>
      </w:r>
      <w:r>
        <w:t xml:space="preserve">.  </w:t>
      </w:r>
      <w:proofErr w:type="gramStart"/>
      <w:r>
        <w:t>(Tr. 70, 75</w:t>
      </w:r>
      <w:r w:rsidR="0051532D">
        <w:t xml:space="preserve">; </w:t>
      </w:r>
      <w:r w:rsidR="00147A0F">
        <w:t>PECO’s Exhibit</w:t>
      </w:r>
      <w:r w:rsidR="00B73E09">
        <w:t>s</w:t>
      </w:r>
      <w:r w:rsidR="00147A0F">
        <w:t xml:space="preserve"> 3</w:t>
      </w:r>
      <w:r w:rsidR="00B73E09">
        <w:t xml:space="preserve"> and</w:t>
      </w:r>
      <w:r w:rsidR="003A02CC">
        <w:t xml:space="preserve"> </w:t>
      </w:r>
      <w:r w:rsidR="00147A0F">
        <w:t>4</w:t>
      </w:r>
      <w:r>
        <w:t>.)</w:t>
      </w:r>
      <w:proofErr w:type="gramEnd"/>
    </w:p>
    <w:p w:rsidR="002C454C" w:rsidRDefault="002C454C" w:rsidP="00311B15">
      <w:pPr>
        <w:tabs>
          <w:tab w:val="left" w:pos="0"/>
        </w:tabs>
        <w:autoSpaceDE w:val="0"/>
        <w:autoSpaceDN w:val="0"/>
        <w:spacing w:line="360" w:lineRule="auto"/>
        <w:rPr>
          <w:u w:val="single"/>
        </w:rPr>
      </w:pPr>
    </w:p>
    <w:p w:rsidR="00F17BAB" w:rsidRPr="00F17BAB" w:rsidRDefault="00F17BAB" w:rsidP="00DB3B0B">
      <w:pPr>
        <w:tabs>
          <w:tab w:val="left" w:pos="0"/>
        </w:tabs>
        <w:autoSpaceDE w:val="0"/>
        <w:autoSpaceDN w:val="0"/>
        <w:spacing w:line="360" w:lineRule="auto"/>
        <w:rPr>
          <w:u w:val="single"/>
        </w:rPr>
      </w:pPr>
      <w:r>
        <w:rPr>
          <w:u w:val="single"/>
        </w:rPr>
        <w:t xml:space="preserve">2013 Application for Service </w:t>
      </w:r>
    </w:p>
    <w:p w:rsidR="00F17BAB" w:rsidRDefault="00F17BAB" w:rsidP="00DB3B0B">
      <w:pPr>
        <w:tabs>
          <w:tab w:val="left" w:pos="0"/>
        </w:tabs>
        <w:autoSpaceDE w:val="0"/>
        <w:autoSpaceDN w:val="0"/>
        <w:spacing w:line="360" w:lineRule="auto"/>
      </w:pPr>
    </w:p>
    <w:p w:rsidR="00932A3A" w:rsidRDefault="009447A2" w:rsidP="00DB3B0B">
      <w:pPr>
        <w:tabs>
          <w:tab w:val="left" w:pos="0"/>
        </w:tabs>
        <w:autoSpaceDE w:val="0"/>
        <w:autoSpaceDN w:val="0"/>
        <w:spacing w:line="360" w:lineRule="auto"/>
      </w:pPr>
      <w:r>
        <w:tab/>
      </w:r>
      <w:r>
        <w:tab/>
      </w:r>
      <w:r w:rsidR="00D97191">
        <w:t>34</w:t>
      </w:r>
      <w:r>
        <w:t>.</w:t>
      </w:r>
      <w:r>
        <w:tab/>
      </w:r>
      <w:r w:rsidR="00932A3A">
        <w:t xml:space="preserve">On </w:t>
      </w:r>
      <w:r w:rsidR="00B352C7">
        <w:t xml:space="preserve">October </w:t>
      </w:r>
      <w:r w:rsidR="000C382E">
        <w:t xml:space="preserve">10, 2013, Complainant applied for service at </w:t>
      </w:r>
      <w:r w:rsidR="001A07DC">
        <w:t>Aspen Avenue</w:t>
      </w:r>
      <w:r w:rsidR="000C382E">
        <w:t xml:space="preserve">.   </w:t>
      </w:r>
      <w:proofErr w:type="gramStart"/>
      <w:r w:rsidR="000C382E">
        <w:t>(Tr. 70-71, 75.)</w:t>
      </w:r>
      <w:proofErr w:type="gramEnd"/>
    </w:p>
    <w:p w:rsidR="000F2379" w:rsidRDefault="000F2379" w:rsidP="00DB3B0B">
      <w:pPr>
        <w:tabs>
          <w:tab w:val="left" w:pos="0"/>
        </w:tabs>
        <w:autoSpaceDE w:val="0"/>
        <w:autoSpaceDN w:val="0"/>
        <w:spacing w:line="360" w:lineRule="auto"/>
      </w:pPr>
    </w:p>
    <w:p w:rsidR="000F2379" w:rsidRDefault="000C382E" w:rsidP="00DB3B0B">
      <w:pPr>
        <w:tabs>
          <w:tab w:val="left" w:pos="0"/>
        </w:tabs>
        <w:autoSpaceDE w:val="0"/>
        <w:autoSpaceDN w:val="0"/>
        <w:spacing w:line="360" w:lineRule="auto"/>
      </w:pPr>
      <w:r>
        <w:tab/>
      </w:r>
      <w:r>
        <w:tab/>
      </w:r>
      <w:r w:rsidR="00D97191">
        <w:t>35</w:t>
      </w:r>
      <w:r>
        <w:t>.</w:t>
      </w:r>
      <w:r>
        <w:tab/>
      </w:r>
      <w:r w:rsidR="00FF2FE1">
        <w:t xml:space="preserve">On October 29, 2013, Respondent mailed Complainant a Service Denial </w:t>
      </w:r>
    </w:p>
    <w:p w:rsidR="00FF2FE1" w:rsidRDefault="00FF2FE1" w:rsidP="00DB3B0B">
      <w:pPr>
        <w:tabs>
          <w:tab w:val="left" w:pos="0"/>
        </w:tabs>
        <w:autoSpaceDE w:val="0"/>
        <w:autoSpaceDN w:val="0"/>
        <w:spacing w:line="360" w:lineRule="auto"/>
      </w:pPr>
      <w:r>
        <w:t>Notice</w:t>
      </w:r>
      <w:r w:rsidR="005F2098">
        <w:t xml:space="preserve"> for Aspen Avenue</w:t>
      </w:r>
      <w:r>
        <w:t xml:space="preserve">.  </w:t>
      </w:r>
      <w:proofErr w:type="gramStart"/>
      <w:r>
        <w:t xml:space="preserve">(Tr. </w:t>
      </w:r>
      <w:r w:rsidR="005F2098">
        <w:t xml:space="preserve">81; </w:t>
      </w:r>
      <w:r w:rsidR="00181BFF">
        <w:t xml:space="preserve">PECO’s </w:t>
      </w:r>
      <w:r w:rsidR="005F2098">
        <w:t>Exhibit 7.)</w:t>
      </w:r>
      <w:proofErr w:type="gramEnd"/>
    </w:p>
    <w:p w:rsidR="005F2098" w:rsidRDefault="005F2098" w:rsidP="00DB3B0B">
      <w:pPr>
        <w:tabs>
          <w:tab w:val="left" w:pos="0"/>
        </w:tabs>
        <w:autoSpaceDE w:val="0"/>
        <w:autoSpaceDN w:val="0"/>
        <w:spacing w:line="360" w:lineRule="auto"/>
      </w:pPr>
    </w:p>
    <w:p w:rsidR="005F2098" w:rsidRDefault="005F2098" w:rsidP="00DB3B0B">
      <w:pPr>
        <w:tabs>
          <w:tab w:val="left" w:pos="0"/>
        </w:tabs>
        <w:autoSpaceDE w:val="0"/>
        <w:autoSpaceDN w:val="0"/>
        <w:spacing w:line="360" w:lineRule="auto"/>
      </w:pPr>
      <w:r>
        <w:tab/>
      </w:r>
      <w:r>
        <w:tab/>
      </w:r>
      <w:r w:rsidR="00A97523">
        <w:t>36</w:t>
      </w:r>
      <w:r>
        <w:t>.</w:t>
      </w:r>
      <w:r>
        <w:tab/>
        <w:t>On October 29, 2013, Respondent informed Complainant that it denied her application for service at Aspen Avenue because she owed an outstanding balance at 2</w:t>
      </w:r>
      <w:r w:rsidRPr="005F2098">
        <w:rPr>
          <w:vertAlign w:val="superscript"/>
        </w:rPr>
        <w:t>nd</w:t>
      </w:r>
      <w:r>
        <w:t xml:space="preserve"> Avenue</w:t>
      </w:r>
      <w:r w:rsidR="00E668BC">
        <w:t xml:space="preserve"> </w:t>
      </w:r>
      <w:r>
        <w:t xml:space="preserve">in the amount of $12,121.35 for service from December 2, 2008 to July 30, 2010.  </w:t>
      </w:r>
      <w:proofErr w:type="gramStart"/>
      <w:r>
        <w:t xml:space="preserve">(Tr. 82; </w:t>
      </w:r>
      <w:r w:rsidR="00181BFF">
        <w:t xml:space="preserve">PECO’s </w:t>
      </w:r>
      <w:r>
        <w:t>Exhibit 7.)</w:t>
      </w:r>
      <w:proofErr w:type="gramEnd"/>
    </w:p>
    <w:p w:rsidR="005F2098" w:rsidRDefault="005F2098" w:rsidP="00DB3B0B">
      <w:pPr>
        <w:tabs>
          <w:tab w:val="left" w:pos="0"/>
        </w:tabs>
        <w:autoSpaceDE w:val="0"/>
        <w:autoSpaceDN w:val="0"/>
        <w:spacing w:line="360" w:lineRule="auto"/>
      </w:pPr>
    </w:p>
    <w:p w:rsidR="00AF5D02" w:rsidRDefault="005F2098" w:rsidP="00DB3B0B">
      <w:pPr>
        <w:tabs>
          <w:tab w:val="left" w:pos="0"/>
        </w:tabs>
        <w:autoSpaceDE w:val="0"/>
        <w:autoSpaceDN w:val="0"/>
        <w:spacing w:line="360" w:lineRule="auto"/>
      </w:pPr>
      <w:r>
        <w:tab/>
      </w:r>
      <w:r w:rsidR="003C7B76">
        <w:tab/>
      </w:r>
      <w:r w:rsidR="00AF5D02">
        <w:t>3</w:t>
      </w:r>
      <w:r w:rsidR="00A97523">
        <w:t>7</w:t>
      </w:r>
      <w:r w:rsidR="00E668BC">
        <w:t>.</w:t>
      </w:r>
      <w:r w:rsidR="00E668BC">
        <w:tab/>
        <w:t>On October 29, 2013, Respondent’s information to Complainant that she had an outstanding balance of $12,121.35 at 2</w:t>
      </w:r>
      <w:r w:rsidR="00E668BC" w:rsidRPr="00E668BC">
        <w:rPr>
          <w:vertAlign w:val="superscript"/>
        </w:rPr>
        <w:t>nd</w:t>
      </w:r>
      <w:r w:rsidR="00E668BC">
        <w:t xml:space="preserve"> Avenue was based</w:t>
      </w:r>
      <w:r w:rsidR="00AF5D02">
        <w:t>, in part,</w:t>
      </w:r>
      <w:r w:rsidR="003E0B28">
        <w:t xml:space="preserve"> on</w:t>
      </w:r>
      <w:r w:rsidR="00AF5D02">
        <w:t xml:space="preserve"> </w:t>
      </w:r>
      <w:r w:rsidR="00AF5D02" w:rsidRPr="00D97191">
        <w:t>the $4,563.68 CAP</w:t>
      </w:r>
      <w:r w:rsidR="00AF5D02">
        <w:t xml:space="preserve"> balance that Respondent had finalized on </w:t>
      </w:r>
      <w:r w:rsidR="003E0B28">
        <w:t>December 12, 2008 for Complainant’s service at 221 High Street</w:t>
      </w:r>
      <w:r w:rsidR="00EF22C4">
        <w:t xml:space="preserve">, which </w:t>
      </w:r>
      <w:r w:rsidR="00AF5D02">
        <w:t xml:space="preserve">included charges </w:t>
      </w:r>
      <w:r w:rsidR="00A97523">
        <w:t xml:space="preserve">that accrued during </w:t>
      </w:r>
      <w:r w:rsidR="00AF5D02">
        <w:t>the time period June 2003 to June</w:t>
      </w:r>
      <w:r w:rsidR="00767178">
        <w:t> </w:t>
      </w:r>
      <w:r w:rsidR="00AF5D02">
        <w:t xml:space="preserve">16, 2004.  </w:t>
      </w:r>
      <w:proofErr w:type="gramStart"/>
      <w:r w:rsidR="00AF5D02">
        <w:t>(Tr. 69.)</w:t>
      </w:r>
      <w:proofErr w:type="gramEnd"/>
    </w:p>
    <w:p w:rsidR="00AF5D02" w:rsidRDefault="00AF5D02" w:rsidP="00DB3B0B">
      <w:pPr>
        <w:tabs>
          <w:tab w:val="left" w:pos="0"/>
        </w:tabs>
        <w:autoSpaceDE w:val="0"/>
        <w:autoSpaceDN w:val="0"/>
        <w:spacing w:line="360" w:lineRule="auto"/>
      </w:pPr>
    </w:p>
    <w:p w:rsidR="005801CA" w:rsidRDefault="00EF22C4" w:rsidP="00DB3B0B">
      <w:pPr>
        <w:tabs>
          <w:tab w:val="left" w:pos="0"/>
        </w:tabs>
        <w:autoSpaceDE w:val="0"/>
        <w:autoSpaceDN w:val="0"/>
        <w:spacing w:line="360" w:lineRule="auto"/>
      </w:pPr>
      <w:r>
        <w:tab/>
      </w:r>
      <w:r>
        <w:tab/>
        <w:t>3</w:t>
      </w:r>
      <w:r w:rsidR="00A97523">
        <w:t>8</w:t>
      </w:r>
      <w:r>
        <w:t>.</w:t>
      </w:r>
      <w:r>
        <w:tab/>
        <w:t xml:space="preserve">On October 29, 2013, Respondent’s information to Complainant that she </w:t>
      </w:r>
    </w:p>
    <w:p w:rsidR="00181BFF" w:rsidRDefault="00EF22C4" w:rsidP="00DB3B0B">
      <w:pPr>
        <w:tabs>
          <w:tab w:val="left" w:pos="0"/>
        </w:tabs>
        <w:autoSpaceDE w:val="0"/>
        <w:autoSpaceDN w:val="0"/>
        <w:spacing w:line="360" w:lineRule="auto"/>
      </w:pPr>
      <w:r>
        <w:t>had an outstanding balance of $12,121.35 at 2</w:t>
      </w:r>
      <w:r w:rsidRPr="00E668BC">
        <w:rPr>
          <w:vertAlign w:val="superscript"/>
        </w:rPr>
        <w:t>nd</w:t>
      </w:r>
      <w:r>
        <w:t xml:space="preserve"> Avenue was based, in part, </w:t>
      </w:r>
      <w:r w:rsidR="00E668BC">
        <w:t xml:space="preserve">on </w:t>
      </w:r>
      <w:r w:rsidR="00A97523">
        <w:t>charges that had accrued</w:t>
      </w:r>
      <w:r w:rsidR="00E668BC">
        <w:t xml:space="preserve">, in part, </w:t>
      </w:r>
      <w:r>
        <w:t>between December 12, 2008 and October 28, 20</w:t>
      </w:r>
      <w:r w:rsidR="00D97191">
        <w:t>09</w:t>
      </w:r>
      <w:r>
        <w:t>,</w:t>
      </w:r>
      <w:r w:rsidR="00DA5766">
        <w:t xml:space="preserve"> </w:t>
      </w:r>
      <w:r>
        <w:t xml:space="preserve">which was more than </w:t>
      </w:r>
      <w:r w:rsidR="00ED03AA">
        <w:t xml:space="preserve">four </w:t>
      </w:r>
      <w:r w:rsidR="00E668BC">
        <w:t>years prior to October 29, 2013.  (Id.)</w:t>
      </w:r>
    </w:p>
    <w:p w:rsidR="00181BFF" w:rsidRDefault="00181BFF" w:rsidP="00DB3B0B">
      <w:pPr>
        <w:tabs>
          <w:tab w:val="left" w:pos="0"/>
        </w:tabs>
        <w:autoSpaceDE w:val="0"/>
        <w:autoSpaceDN w:val="0"/>
        <w:spacing w:line="360" w:lineRule="auto"/>
      </w:pPr>
    </w:p>
    <w:p w:rsidR="005F2098" w:rsidRDefault="00181BFF" w:rsidP="00DB3B0B">
      <w:pPr>
        <w:tabs>
          <w:tab w:val="left" w:pos="0"/>
        </w:tabs>
        <w:autoSpaceDE w:val="0"/>
        <w:autoSpaceDN w:val="0"/>
        <w:spacing w:line="360" w:lineRule="auto"/>
      </w:pPr>
      <w:r>
        <w:tab/>
      </w:r>
      <w:r>
        <w:tab/>
      </w:r>
      <w:r w:rsidR="00AF5D02">
        <w:t>3</w:t>
      </w:r>
      <w:r w:rsidR="00A97523">
        <w:t>9</w:t>
      </w:r>
      <w:r>
        <w:t>.</w:t>
      </w:r>
      <w:r>
        <w:tab/>
        <w:t>On October 29, 2013, Respondent informed Complainant that outstanding balance</w:t>
      </w:r>
      <w:r w:rsidR="00A97523">
        <w:t xml:space="preserve"> of $12,121.35</w:t>
      </w:r>
      <w:r>
        <w:t xml:space="preserve"> must be satisfied before starting service in her name at Aspen Avenue</w:t>
      </w:r>
      <w:r w:rsidR="00A97523">
        <w:t xml:space="preserve">. Respondent also informed Complainant </w:t>
      </w:r>
      <w:r>
        <w:t xml:space="preserve">she qualified for payment terms.  </w:t>
      </w:r>
      <w:proofErr w:type="gramStart"/>
      <w:r>
        <w:t>(PECO’s Exhibit 7.)</w:t>
      </w:r>
      <w:proofErr w:type="gramEnd"/>
    </w:p>
    <w:p w:rsidR="00181BFF" w:rsidRDefault="00181BFF" w:rsidP="00DB3B0B">
      <w:pPr>
        <w:tabs>
          <w:tab w:val="left" w:pos="0"/>
        </w:tabs>
        <w:autoSpaceDE w:val="0"/>
        <w:autoSpaceDN w:val="0"/>
        <w:spacing w:line="360" w:lineRule="auto"/>
      </w:pPr>
    </w:p>
    <w:p w:rsidR="00181BFF" w:rsidRDefault="00181BFF" w:rsidP="00DB3B0B">
      <w:pPr>
        <w:tabs>
          <w:tab w:val="left" w:pos="0"/>
        </w:tabs>
        <w:autoSpaceDE w:val="0"/>
        <w:autoSpaceDN w:val="0"/>
        <w:spacing w:line="360" w:lineRule="auto"/>
      </w:pPr>
      <w:r>
        <w:tab/>
      </w:r>
      <w:r>
        <w:tab/>
      </w:r>
      <w:r w:rsidR="00A97523">
        <w:t>40</w:t>
      </w:r>
      <w:r w:rsidR="003F1250">
        <w:t>.</w:t>
      </w:r>
      <w:r w:rsidR="003F1250">
        <w:tab/>
        <w:t xml:space="preserve">On October 29, 2013, Respondent informed Complainant that in order to </w:t>
      </w:r>
      <w:r w:rsidR="00A97523">
        <w:t xml:space="preserve">start </w:t>
      </w:r>
      <w:r w:rsidR="003F1250">
        <w:t>service in her name at Aspen Avenue, she was required to submit certain documentation</w:t>
      </w:r>
      <w:r w:rsidR="00B20E77">
        <w:t>:</w:t>
      </w:r>
      <w:r w:rsidR="00FE7D4A">
        <w:t xml:space="preserve"> </w:t>
      </w:r>
      <w:r w:rsidR="00B20E77">
        <w:t xml:space="preserve"> a</w:t>
      </w:r>
      <w:r w:rsidR="00B9493E">
        <w:t> </w:t>
      </w:r>
      <w:r w:rsidR="00B20E77">
        <w:t>lease agreement and proof of identification</w:t>
      </w:r>
      <w:r w:rsidR="003F1250">
        <w:t>.  (Id.)</w:t>
      </w:r>
    </w:p>
    <w:p w:rsidR="004D7969" w:rsidRDefault="004D7969" w:rsidP="00DB3B0B">
      <w:pPr>
        <w:tabs>
          <w:tab w:val="left" w:pos="0"/>
        </w:tabs>
        <w:autoSpaceDE w:val="0"/>
        <w:autoSpaceDN w:val="0"/>
        <w:spacing w:line="360" w:lineRule="auto"/>
      </w:pPr>
    </w:p>
    <w:p w:rsidR="00AC72EB" w:rsidRDefault="00AC72EB" w:rsidP="00DB3B0B">
      <w:pPr>
        <w:tabs>
          <w:tab w:val="left" w:pos="0"/>
        </w:tabs>
        <w:autoSpaceDE w:val="0"/>
        <w:autoSpaceDN w:val="0"/>
        <w:spacing w:line="360" w:lineRule="auto"/>
      </w:pPr>
      <w:r>
        <w:tab/>
      </w:r>
      <w:r>
        <w:tab/>
      </w:r>
      <w:r w:rsidR="00EF22C4">
        <w:t>4</w:t>
      </w:r>
      <w:r w:rsidR="00A97523">
        <w:t>1</w:t>
      </w:r>
      <w:r>
        <w:t>.</w:t>
      </w:r>
      <w:r>
        <w:tab/>
        <w:t xml:space="preserve">On or about October 29, 2013, Complainant asked Respondent </w:t>
      </w:r>
      <w:r w:rsidR="00EF22C4">
        <w:t xml:space="preserve">for an explanation as to </w:t>
      </w:r>
      <w:r>
        <w:t xml:space="preserve">why the outstanding balance </w:t>
      </w:r>
      <w:r w:rsidR="006E628A">
        <w:t xml:space="preserve">was </w:t>
      </w:r>
      <w:r>
        <w:t xml:space="preserve">so high.  </w:t>
      </w:r>
      <w:proofErr w:type="gramStart"/>
      <w:r>
        <w:t>(Tr. 46.)</w:t>
      </w:r>
      <w:proofErr w:type="gramEnd"/>
    </w:p>
    <w:p w:rsidR="00AC72EB" w:rsidRDefault="00AC72EB" w:rsidP="00DB3B0B">
      <w:pPr>
        <w:tabs>
          <w:tab w:val="left" w:pos="0"/>
        </w:tabs>
        <w:autoSpaceDE w:val="0"/>
        <w:autoSpaceDN w:val="0"/>
        <w:spacing w:line="360" w:lineRule="auto"/>
      </w:pPr>
    </w:p>
    <w:p w:rsidR="003F1250" w:rsidRDefault="00AC72EB" w:rsidP="00DB3B0B">
      <w:pPr>
        <w:tabs>
          <w:tab w:val="left" w:pos="0"/>
        </w:tabs>
        <w:autoSpaceDE w:val="0"/>
        <w:autoSpaceDN w:val="0"/>
        <w:spacing w:line="360" w:lineRule="auto"/>
      </w:pPr>
      <w:r>
        <w:tab/>
      </w:r>
      <w:r>
        <w:tab/>
      </w:r>
      <w:r w:rsidR="00A97523">
        <w:t>4</w:t>
      </w:r>
      <w:r w:rsidR="004661C5">
        <w:t>2</w:t>
      </w:r>
      <w:r>
        <w:t xml:space="preserve">. </w:t>
      </w:r>
      <w:r>
        <w:tab/>
        <w:t xml:space="preserve">In October 2013, Respondent did not give Complainant any specific reason </w:t>
      </w:r>
      <w:r w:rsidR="00147A0F">
        <w:t xml:space="preserve">concerning the calculation of the </w:t>
      </w:r>
      <w:r>
        <w:t xml:space="preserve">outstanding balance </w:t>
      </w:r>
      <w:r w:rsidR="00147A0F">
        <w:t>in the amount of $12,121.35</w:t>
      </w:r>
      <w:r>
        <w:t xml:space="preserve">.  </w:t>
      </w:r>
      <w:proofErr w:type="gramStart"/>
      <w:r>
        <w:t>(Tr.</w:t>
      </w:r>
      <w:r w:rsidR="00B85F24">
        <w:t> </w:t>
      </w:r>
      <w:r>
        <w:t>46.)</w:t>
      </w:r>
      <w:proofErr w:type="gramEnd"/>
      <w:r w:rsidR="003F1250">
        <w:tab/>
      </w:r>
      <w:r w:rsidR="003F1250">
        <w:tab/>
      </w:r>
    </w:p>
    <w:p w:rsidR="004661C5" w:rsidRDefault="004661C5" w:rsidP="00DB3B0B">
      <w:pPr>
        <w:tabs>
          <w:tab w:val="left" w:pos="0"/>
        </w:tabs>
        <w:autoSpaceDE w:val="0"/>
        <w:autoSpaceDN w:val="0"/>
        <w:spacing w:line="360" w:lineRule="auto"/>
      </w:pPr>
    </w:p>
    <w:p w:rsidR="004661C5" w:rsidRDefault="004661C5" w:rsidP="00DB3B0B">
      <w:pPr>
        <w:tabs>
          <w:tab w:val="left" w:pos="0"/>
        </w:tabs>
        <w:autoSpaceDE w:val="0"/>
        <w:autoSpaceDN w:val="0"/>
        <w:spacing w:line="360" w:lineRule="auto"/>
      </w:pPr>
      <w:r>
        <w:tab/>
      </w:r>
      <w:r>
        <w:tab/>
        <w:t>43.</w:t>
      </w:r>
      <w:r>
        <w:tab/>
        <w:t xml:space="preserve">On November 4, 2013, Complainant sent Respondent a lease agreement for the space for her mobile home, proof of identification and proof of income.  </w:t>
      </w:r>
      <w:proofErr w:type="gramStart"/>
      <w:r>
        <w:t>(Tr. 43; PECO’s Exhibit 8.)</w:t>
      </w:r>
      <w:proofErr w:type="gramEnd"/>
    </w:p>
    <w:p w:rsidR="00181BFF" w:rsidRDefault="00181BFF" w:rsidP="00DB3B0B">
      <w:pPr>
        <w:tabs>
          <w:tab w:val="left" w:pos="0"/>
        </w:tabs>
        <w:autoSpaceDE w:val="0"/>
        <w:autoSpaceDN w:val="0"/>
        <w:spacing w:line="360" w:lineRule="auto"/>
      </w:pPr>
      <w:r>
        <w:tab/>
      </w:r>
      <w:r>
        <w:tab/>
      </w:r>
    </w:p>
    <w:p w:rsidR="005F2098" w:rsidRDefault="00EF22C4" w:rsidP="00DB3B0B">
      <w:pPr>
        <w:tabs>
          <w:tab w:val="left" w:pos="0"/>
        </w:tabs>
        <w:autoSpaceDE w:val="0"/>
        <w:autoSpaceDN w:val="0"/>
        <w:spacing w:line="360" w:lineRule="auto"/>
      </w:pPr>
      <w:r>
        <w:tab/>
      </w:r>
      <w:r>
        <w:tab/>
      </w:r>
      <w:r w:rsidR="00A97523">
        <w:t>4</w:t>
      </w:r>
      <w:r w:rsidR="004661C5">
        <w:t>4</w:t>
      </w:r>
      <w:r>
        <w:t>.</w:t>
      </w:r>
      <w:r>
        <w:tab/>
        <w:t xml:space="preserve">From October 10, 2013 to </w:t>
      </w:r>
      <w:r w:rsidR="00496B60">
        <w:t>November 1</w:t>
      </w:r>
      <w:r w:rsidR="00ED458A">
        <w:t>9</w:t>
      </w:r>
      <w:r w:rsidR="00496B60">
        <w:t xml:space="preserve">, 2013, Complainant did not have any electric or gas service at Aspen Avenue.  </w:t>
      </w:r>
      <w:proofErr w:type="gramStart"/>
      <w:r w:rsidR="00496B60">
        <w:t>(</w:t>
      </w:r>
      <w:r w:rsidR="00C515B6">
        <w:t xml:space="preserve">Tr. 28, </w:t>
      </w:r>
      <w:r w:rsidR="00ED458A">
        <w:t>75</w:t>
      </w:r>
      <w:r w:rsidR="00C515B6">
        <w:t xml:space="preserve">; </w:t>
      </w:r>
      <w:r w:rsidR="00496B60">
        <w:t>PECO’s Exhibit 4.)</w:t>
      </w:r>
      <w:proofErr w:type="gramEnd"/>
    </w:p>
    <w:p w:rsidR="00A73241" w:rsidRDefault="00A73241" w:rsidP="00DB3B0B">
      <w:pPr>
        <w:tabs>
          <w:tab w:val="left" w:pos="0"/>
        </w:tabs>
        <w:autoSpaceDE w:val="0"/>
        <w:autoSpaceDN w:val="0"/>
        <w:spacing w:line="360" w:lineRule="auto"/>
      </w:pPr>
    </w:p>
    <w:p w:rsidR="00A73241" w:rsidRDefault="00A73241" w:rsidP="00DB3B0B">
      <w:pPr>
        <w:tabs>
          <w:tab w:val="left" w:pos="0"/>
        </w:tabs>
        <w:autoSpaceDE w:val="0"/>
        <w:autoSpaceDN w:val="0"/>
        <w:spacing w:line="360" w:lineRule="auto"/>
        <w:rPr>
          <w:u w:val="single"/>
        </w:rPr>
      </w:pPr>
      <w:r>
        <w:rPr>
          <w:u w:val="single"/>
        </w:rPr>
        <w:t>2013 Balance Transfer and Late Charges</w:t>
      </w:r>
    </w:p>
    <w:p w:rsidR="005F2098" w:rsidRDefault="005F2098" w:rsidP="00DB3B0B">
      <w:pPr>
        <w:tabs>
          <w:tab w:val="left" w:pos="0"/>
        </w:tabs>
        <w:autoSpaceDE w:val="0"/>
        <w:autoSpaceDN w:val="0"/>
        <w:spacing w:line="360" w:lineRule="auto"/>
      </w:pPr>
      <w:r>
        <w:tab/>
      </w:r>
      <w:r>
        <w:tab/>
      </w:r>
    </w:p>
    <w:p w:rsidR="000C382E" w:rsidRDefault="00496B60" w:rsidP="00DB3B0B">
      <w:pPr>
        <w:tabs>
          <w:tab w:val="left" w:pos="0"/>
        </w:tabs>
        <w:autoSpaceDE w:val="0"/>
        <w:autoSpaceDN w:val="0"/>
        <w:spacing w:line="360" w:lineRule="auto"/>
      </w:pPr>
      <w:r>
        <w:tab/>
      </w:r>
      <w:r>
        <w:tab/>
      </w:r>
      <w:r w:rsidR="00F952AE">
        <w:t>4</w:t>
      </w:r>
      <w:r w:rsidR="004661C5">
        <w:t>5</w:t>
      </w:r>
      <w:r>
        <w:t>.</w:t>
      </w:r>
      <w:r>
        <w:tab/>
      </w:r>
      <w:r w:rsidR="001A07DC">
        <w:t xml:space="preserve">On November 15, 2013, Respondent </w:t>
      </w:r>
      <w:r w:rsidR="00ED458A">
        <w:t xml:space="preserve">established an account for Complainant at Aspen Avenue and </w:t>
      </w:r>
      <w:r w:rsidR="00E03747">
        <w:t>transferred</w:t>
      </w:r>
      <w:r w:rsidR="001A07DC">
        <w:t xml:space="preserve"> </w:t>
      </w:r>
      <w:r w:rsidR="00ED458A">
        <w:t>her</w:t>
      </w:r>
      <w:r w:rsidR="001A07DC">
        <w:t xml:space="preserve"> outstanding bill from 2</w:t>
      </w:r>
      <w:r w:rsidR="001A07DC" w:rsidRPr="001A07DC">
        <w:rPr>
          <w:vertAlign w:val="superscript"/>
        </w:rPr>
        <w:t>nd</w:t>
      </w:r>
      <w:r w:rsidR="001A07DC">
        <w:t xml:space="preserve"> Avenue in the amount of $11,476.54 to her account at Aspen Avenue.  </w:t>
      </w:r>
      <w:proofErr w:type="gramStart"/>
      <w:r w:rsidR="001A07DC">
        <w:t xml:space="preserve">(Tr. </w:t>
      </w:r>
      <w:r w:rsidR="00FF2FE1">
        <w:t xml:space="preserve">27, </w:t>
      </w:r>
      <w:r w:rsidR="001A07DC">
        <w:t xml:space="preserve">70-75; </w:t>
      </w:r>
      <w:r w:rsidR="00D36E8E">
        <w:t xml:space="preserve">PECO’s </w:t>
      </w:r>
      <w:r w:rsidR="001A07DC">
        <w:t>Exhibit</w:t>
      </w:r>
      <w:r w:rsidR="00E177AC">
        <w:t>s</w:t>
      </w:r>
      <w:r w:rsidR="001A07DC">
        <w:t xml:space="preserve"> 3 and 4.)</w:t>
      </w:r>
      <w:proofErr w:type="gramEnd"/>
    </w:p>
    <w:p w:rsidR="00496B60" w:rsidRDefault="00496B60" w:rsidP="00DB3B0B">
      <w:pPr>
        <w:tabs>
          <w:tab w:val="left" w:pos="0"/>
        </w:tabs>
        <w:autoSpaceDE w:val="0"/>
        <w:autoSpaceDN w:val="0"/>
        <w:spacing w:line="360" w:lineRule="auto"/>
      </w:pPr>
    </w:p>
    <w:p w:rsidR="00D36E8E" w:rsidRDefault="001A07DC" w:rsidP="00DB3B0B">
      <w:pPr>
        <w:tabs>
          <w:tab w:val="left" w:pos="0"/>
        </w:tabs>
        <w:autoSpaceDE w:val="0"/>
        <w:autoSpaceDN w:val="0"/>
        <w:spacing w:line="360" w:lineRule="auto"/>
      </w:pPr>
      <w:r>
        <w:tab/>
      </w:r>
      <w:r>
        <w:tab/>
      </w:r>
      <w:r w:rsidR="00F952AE">
        <w:t>4</w:t>
      </w:r>
      <w:r w:rsidR="004661C5">
        <w:t>6</w:t>
      </w:r>
      <w:r>
        <w:t>.</w:t>
      </w:r>
      <w:r>
        <w:tab/>
        <w:t>The $</w:t>
      </w:r>
      <w:r w:rsidR="00D36E8E">
        <w:t>11,476.54</w:t>
      </w:r>
      <w:r>
        <w:t xml:space="preserve"> balance that Respondent </w:t>
      </w:r>
      <w:r w:rsidR="00E03747">
        <w:t>transferred</w:t>
      </w:r>
      <w:r>
        <w:t xml:space="preserve"> to Complainant’s account at </w:t>
      </w:r>
      <w:r w:rsidR="00D36E8E">
        <w:t>Aspen</w:t>
      </w:r>
      <w:r>
        <w:t xml:space="preserve"> Avenue in </w:t>
      </w:r>
      <w:r w:rsidR="00D36E8E">
        <w:t>November 2013</w:t>
      </w:r>
      <w:r>
        <w:t xml:space="preserve"> included final charges </w:t>
      </w:r>
      <w:r w:rsidR="00ED458A">
        <w:t xml:space="preserve">that had accrued during </w:t>
      </w:r>
      <w:r>
        <w:t>the time period June 2003 to June 16, 2004.</w:t>
      </w:r>
      <w:r w:rsidR="00D36E8E">
        <w:t xml:space="preserve">  </w:t>
      </w:r>
      <w:proofErr w:type="gramStart"/>
      <w:r w:rsidR="00D36E8E">
        <w:t>(Tr. 69; PECO’s Exhibit 3.)</w:t>
      </w:r>
      <w:proofErr w:type="gramEnd"/>
    </w:p>
    <w:p w:rsidR="00D36E8E" w:rsidRDefault="00D36E8E" w:rsidP="00311B15">
      <w:pPr>
        <w:tabs>
          <w:tab w:val="left" w:pos="0"/>
        </w:tabs>
        <w:autoSpaceDE w:val="0"/>
        <w:autoSpaceDN w:val="0"/>
        <w:spacing w:line="360" w:lineRule="auto"/>
      </w:pPr>
    </w:p>
    <w:p w:rsidR="00A4309F" w:rsidRDefault="00D36E8E" w:rsidP="00D36E8E">
      <w:pPr>
        <w:tabs>
          <w:tab w:val="left" w:pos="0"/>
        </w:tabs>
        <w:autoSpaceDE w:val="0"/>
        <w:autoSpaceDN w:val="0"/>
        <w:spacing w:line="360" w:lineRule="auto"/>
      </w:pPr>
      <w:r>
        <w:tab/>
      </w:r>
      <w:r>
        <w:tab/>
      </w:r>
      <w:r w:rsidR="00F952AE">
        <w:t>4</w:t>
      </w:r>
      <w:r w:rsidR="004661C5">
        <w:t>7</w:t>
      </w:r>
      <w:r>
        <w:t>.</w:t>
      </w:r>
      <w:r>
        <w:tab/>
        <w:t xml:space="preserve">The $11,476.54 balance that Respondent </w:t>
      </w:r>
      <w:r w:rsidR="00E03747">
        <w:t>transferred</w:t>
      </w:r>
      <w:r>
        <w:t xml:space="preserve"> to Complainant’s account at Aspen Avenue in November 2013 included charges </w:t>
      </w:r>
      <w:r w:rsidR="00A97523">
        <w:t xml:space="preserve">that had accrued during </w:t>
      </w:r>
      <w:r>
        <w:t>the time period December 3, 2008 to November 1</w:t>
      </w:r>
      <w:r w:rsidR="00A97523">
        <w:t>4</w:t>
      </w:r>
      <w:r>
        <w:t>, 2009</w:t>
      </w:r>
      <w:r w:rsidR="00653EC8">
        <w:t>, as well as for the time period November 15, 2009 to July 30, 2010</w:t>
      </w:r>
      <w:r>
        <w:t xml:space="preserve">.  </w:t>
      </w:r>
      <w:proofErr w:type="gramStart"/>
      <w:r>
        <w:t>(Tr. 70; PECO’s Exhibit 3.)</w:t>
      </w:r>
      <w:proofErr w:type="gramEnd"/>
    </w:p>
    <w:p w:rsidR="00D36E8E" w:rsidRDefault="00D36E8E" w:rsidP="00D36E8E">
      <w:pPr>
        <w:tabs>
          <w:tab w:val="left" w:pos="0"/>
        </w:tabs>
        <w:autoSpaceDE w:val="0"/>
        <w:autoSpaceDN w:val="0"/>
        <w:spacing w:line="360" w:lineRule="auto"/>
      </w:pPr>
    </w:p>
    <w:p w:rsidR="004661C5" w:rsidRDefault="00D36E8E" w:rsidP="00653EC8">
      <w:pPr>
        <w:tabs>
          <w:tab w:val="left" w:pos="0"/>
        </w:tabs>
        <w:autoSpaceDE w:val="0"/>
        <w:autoSpaceDN w:val="0"/>
        <w:spacing w:line="360" w:lineRule="auto"/>
      </w:pPr>
      <w:r>
        <w:tab/>
      </w:r>
      <w:r>
        <w:tab/>
      </w:r>
      <w:r w:rsidR="00F952AE">
        <w:t>4</w:t>
      </w:r>
      <w:r w:rsidR="004661C5">
        <w:t>8</w:t>
      </w:r>
      <w:r>
        <w:t>.</w:t>
      </w:r>
      <w:r>
        <w:tab/>
      </w:r>
      <w:r w:rsidR="00653EC8">
        <w:t>On November 15, 2013, Respondent applied an additional late charge of</w:t>
      </w:r>
    </w:p>
    <w:p w:rsidR="00653EC8" w:rsidRDefault="00653EC8" w:rsidP="00653EC8">
      <w:pPr>
        <w:tabs>
          <w:tab w:val="left" w:pos="0"/>
        </w:tabs>
        <w:autoSpaceDE w:val="0"/>
        <w:autoSpaceDN w:val="0"/>
        <w:spacing w:line="360" w:lineRule="auto"/>
      </w:pPr>
      <w:proofErr w:type="gramStart"/>
      <w:r>
        <w:t>$1,477.60 to Complainant’s outstanding bill from 2</w:t>
      </w:r>
      <w:r w:rsidRPr="001A07DC">
        <w:rPr>
          <w:vertAlign w:val="superscript"/>
        </w:rPr>
        <w:t>nd</w:t>
      </w:r>
      <w:r>
        <w:t xml:space="preserve"> Avenue in the amount of $11,476.54 to her account at Aspen Avenue.</w:t>
      </w:r>
      <w:proofErr w:type="gramEnd"/>
      <w:r>
        <w:t xml:space="preserve">  </w:t>
      </w:r>
      <w:proofErr w:type="gramStart"/>
      <w:r>
        <w:t>(Tr. 75; PECO’s Exhibit</w:t>
      </w:r>
      <w:r w:rsidR="00E177AC">
        <w:t>s</w:t>
      </w:r>
      <w:r>
        <w:t xml:space="preserve"> 3 and 4.)</w:t>
      </w:r>
      <w:proofErr w:type="gramEnd"/>
    </w:p>
    <w:p w:rsidR="00653EC8" w:rsidRDefault="00653EC8" w:rsidP="00653EC8">
      <w:pPr>
        <w:tabs>
          <w:tab w:val="left" w:pos="0"/>
        </w:tabs>
        <w:autoSpaceDE w:val="0"/>
        <w:autoSpaceDN w:val="0"/>
        <w:spacing w:line="360" w:lineRule="auto"/>
      </w:pPr>
    </w:p>
    <w:p w:rsidR="00653EC8" w:rsidRDefault="00653EC8" w:rsidP="00653EC8">
      <w:pPr>
        <w:tabs>
          <w:tab w:val="left" w:pos="0"/>
        </w:tabs>
        <w:autoSpaceDE w:val="0"/>
        <w:autoSpaceDN w:val="0"/>
        <w:spacing w:line="360" w:lineRule="auto"/>
      </w:pPr>
      <w:r>
        <w:tab/>
      </w:r>
      <w:r>
        <w:tab/>
      </w:r>
      <w:r w:rsidR="00F952AE">
        <w:t>4</w:t>
      </w:r>
      <w:r w:rsidR="004661C5">
        <w:t>9</w:t>
      </w:r>
      <w:r>
        <w:t>.</w:t>
      </w:r>
      <w:r>
        <w:tab/>
        <w:t xml:space="preserve">The additional late charge of $1,477.60 that Respondent applied to Complainant’s service account at Aspen Avenue was calculated on the outstanding amount of $11,476.54 for the time period July 30, 2010 to </w:t>
      </w:r>
      <w:r w:rsidR="006160ED">
        <w:t>November 1</w:t>
      </w:r>
      <w:r w:rsidR="00C10AC2">
        <w:t>4</w:t>
      </w:r>
      <w:r w:rsidR="006160ED">
        <w:t xml:space="preserve">, 2013.  </w:t>
      </w:r>
      <w:proofErr w:type="gramStart"/>
      <w:r w:rsidR="006160ED">
        <w:t>(Tr. 70-71, 75; PECO’s</w:t>
      </w:r>
      <w:r w:rsidR="009B07A3">
        <w:t xml:space="preserve"> </w:t>
      </w:r>
      <w:r w:rsidR="006160ED">
        <w:t>Exhibit</w:t>
      </w:r>
      <w:r w:rsidR="00E177AC">
        <w:t>s</w:t>
      </w:r>
      <w:r w:rsidR="006160ED">
        <w:t xml:space="preserve"> 3 and 4.)</w:t>
      </w:r>
      <w:proofErr w:type="gramEnd"/>
    </w:p>
    <w:p w:rsidR="006160ED" w:rsidRDefault="006160ED" w:rsidP="00653EC8">
      <w:pPr>
        <w:tabs>
          <w:tab w:val="left" w:pos="0"/>
        </w:tabs>
        <w:autoSpaceDE w:val="0"/>
        <w:autoSpaceDN w:val="0"/>
        <w:spacing w:line="360" w:lineRule="auto"/>
      </w:pPr>
    </w:p>
    <w:p w:rsidR="006160ED" w:rsidRDefault="006160ED" w:rsidP="006160ED">
      <w:pPr>
        <w:tabs>
          <w:tab w:val="left" w:pos="0"/>
        </w:tabs>
        <w:autoSpaceDE w:val="0"/>
        <w:autoSpaceDN w:val="0"/>
        <w:spacing w:line="360" w:lineRule="auto"/>
      </w:pPr>
      <w:r>
        <w:tab/>
      </w:r>
      <w:r>
        <w:tab/>
      </w:r>
      <w:r w:rsidR="004661C5">
        <w:t>50</w:t>
      </w:r>
      <w:r>
        <w:t>.</w:t>
      </w:r>
      <w:r>
        <w:tab/>
        <w:t>The $1</w:t>
      </w:r>
      <w:r w:rsidR="0026393A">
        <w:t>,477.60</w:t>
      </w:r>
      <w:r>
        <w:t xml:space="preserve"> </w:t>
      </w:r>
      <w:r w:rsidR="0026393A">
        <w:t xml:space="preserve">in late charges </w:t>
      </w:r>
      <w:r>
        <w:t xml:space="preserve">that Respondent applied to Complainant’s account at Aspen Avenue </w:t>
      </w:r>
      <w:r w:rsidR="0026393A">
        <w:t>o</w:t>
      </w:r>
      <w:r>
        <w:t xml:space="preserve">n November </w:t>
      </w:r>
      <w:r w:rsidR="0026393A">
        <w:t>1</w:t>
      </w:r>
      <w:r w:rsidR="009277A6">
        <w:t>5</w:t>
      </w:r>
      <w:r w:rsidR="0026393A">
        <w:t xml:space="preserve">, </w:t>
      </w:r>
      <w:r>
        <w:t>2013</w:t>
      </w:r>
      <w:r w:rsidR="0026393A">
        <w:t>,</w:t>
      </w:r>
      <w:r>
        <w:t xml:space="preserve"> included </w:t>
      </w:r>
      <w:r w:rsidR="0026393A">
        <w:t xml:space="preserve">late </w:t>
      </w:r>
      <w:r>
        <w:t xml:space="preserve">charges </w:t>
      </w:r>
      <w:r w:rsidR="00F952AE">
        <w:t>that accrued</w:t>
      </w:r>
      <w:r w:rsidR="0026393A">
        <w:t xml:space="preserve"> </w:t>
      </w:r>
      <w:r w:rsidR="00C10AC2">
        <w:t xml:space="preserve">during </w:t>
      </w:r>
      <w:r>
        <w:t>the time period</w:t>
      </w:r>
      <w:r w:rsidR="0026393A">
        <w:t>s</w:t>
      </w:r>
      <w:r w:rsidR="00496B60">
        <w:t>:</w:t>
      </w:r>
      <w:r>
        <w:t xml:space="preserve"> </w:t>
      </w:r>
      <w:r w:rsidR="0026393A">
        <w:t xml:space="preserve">June 2003 to June 16, 2004; </w:t>
      </w:r>
      <w:r>
        <w:t>December 3, 2008 to November 14, 2009</w:t>
      </w:r>
      <w:r w:rsidR="0026393A">
        <w:t>;</w:t>
      </w:r>
      <w:r>
        <w:t xml:space="preserve"> as well as for the time period November 1</w:t>
      </w:r>
      <w:r w:rsidR="009277A6">
        <w:t>5</w:t>
      </w:r>
      <w:r>
        <w:t xml:space="preserve">, 2009 to July 30, 2010.  </w:t>
      </w:r>
      <w:proofErr w:type="gramStart"/>
      <w:r>
        <w:t>(Tr. 70; PECO’s Exhibit 3.)</w:t>
      </w:r>
      <w:proofErr w:type="gramEnd"/>
    </w:p>
    <w:p w:rsidR="002F352F" w:rsidRDefault="002F352F" w:rsidP="006160ED">
      <w:pPr>
        <w:tabs>
          <w:tab w:val="left" w:pos="0"/>
        </w:tabs>
        <w:autoSpaceDE w:val="0"/>
        <w:autoSpaceDN w:val="0"/>
        <w:spacing w:line="360" w:lineRule="auto"/>
      </w:pPr>
    </w:p>
    <w:p w:rsidR="0026393A" w:rsidRDefault="002F352F" w:rsidP="00DB3B0B">
      <w:pPr>
        <w:tabs>
          <w:tab w:val="left" w:pos="0"/>
        </w:tabs>
        <w:autoSpaceDE w:val="0"/>
        <w:autoSpaceDN w:val="0"/>
        <w:spacing w:line="360" w:lineRule="auto"/>
      </w:pPr>
      <w:r w:rsidRPr="005374EA">
        <w:rPr>
          <w:u w:val="single"/>
        </w:rPr>
        <w:t>Condition for Furnishing Service</w:t>
      </w:r>
    </w:p>
    <w:p w:rsidR="002F352F" w:rsidRDefault="002F352F" w:rsidP="00DB3B0B">
      <w:pPr>
        <w:tabs>
          <w:tab w:val="left" w:pos="0"/>
        </w:tabs>
        <w:autoSpaceDE w:val="0"/>
        <w:autoSpaceDN w:val="0"/>
        <w:spacing w:line="360" w:lineRule="auto"/>
      </w:pPr>
    </w:p>
    <w:p w:rsidR="009277A6" w:rsidRDefault="0026393A" w:rsidP="00DB3B0B">
      <w:pPr>
        <w:tabs>
          <w:tab w:val="left" w:pos="0"/>
        </w:tabs>
        <w:autoSpaceDE w:val="0"/>
        <w:autoSpaceDN w:val="0"/>
        <w:spacing w:line="360" w:lineRule="auto"/>
      </w:pPr>
      <w:r>
        <w:tab/>
      </w:r>
      <w:r>
        <w:tab/>
      </w:r>
      <w:r w:rsidR="00F952AE">
        <w:t>5</w:t>
      </w:r>
      <w:r w:rsidR="00E32548">
        <w:t>1</w:t>
      </w:r>
      <w:r w:rsidR="006427DB">
        <w:t>.</w:t>
      </w:r>
      <w:r w:rsidR="006427DB">
        <w:tab/>
      </w:r>
      <w:r w:rsidR="00FF2FE1">
        <w:t xml:space="preserve">On November </w:t>
      </w:r>
      <w:r w:rsidR="009277A6">
        <w:t>1</w:t>
      </w:r>
      <w:r w:rsidR="001E64D8">
        <w:t>8</w:t>
      </w:r>
      <w:r w:rsidR="00FF2FE1">
        <w:t xml:space="preserve">, 2013, </w:t>
      </w:r>
      <w:r w:rsidR="0092057A">
        <w:t xml:space="preserve">as a condition for providing Complainant service at Aspen Avenue, </w:t>
      </w:r>
      <w:r w:rsidR="00FF2FE1">
        <w:t xml:space="preserve">Respondent </w:t>
      </w:r>
      <w:r w:rsidR="00C515B6">
        <w:t xml:space="preserve">required </w:t>
      </w:r>
      <w:r w:rsidR="00FF2FE1">
        <w:t>Compl</w:t>
      </w:r>
      <w:r w:rsidR="0092057A">
        <w:t xml:space="preserve">ainant </w:t>
      </w:r>
      <w:r w:rsidR="00C515B6">
        <w:t xml:space="preserve">to pay </w:t>
      </w:r>
      <w:r w:rsidR="0092057A">
        <w:t xml:space="preserve">the outstanding </w:t>
      </w:r>
      <w:r w:rsidR="0023240D">
        <w:t xml:space="preserve">balance </w:t>
      </w:r>
      <w:r w:rsidR="0092057A">
        <w:t xml:space="preserve">of $11,476.54, plus the </w:t>
      </w:r>
      <w:r w:rsidR="00C515B6">
        <w:t xml:space="preserve">$1,477.60 in late charges </w:t>
      </w:r>
      <w:r w:rsidR="0092057A">
        <w:t xml:space="preserve">under </w:t>
      </w:r>
      <w:r w:rsidR="00C515B6">
        <w:t xml:space="preserve">a </w:t>
      </w:r>
      <w:r w:rsidR="00134A73">
        <w:t xml:space="preserve">24-month </w:t>
      </w:r>
      <w:r w:rsidR="00C515B6">
        <w:t>payment a</w:t>
      </w:r>
      <w:r w:rsidR="00F952AE">
        <w:t>gre</w:t>
      </w:r>
      <w:r w:rsidR="00C515B6">
        <w:t>ement</w:t>
      </w:r>
      <w:r w:rsidR="009277A6">
        <w:t xml:space="preserve"> (PAR)</w:t>
      </w:r>
      <w:r w:rsidR="00C515B6">
        <w:t>.</w:t>
      </w:r>
      <w:r w:rsidR="009277A6">
        <w:t xml:space="preserve">  (Tr. 70-71, </w:t>
      </w:r>
      <w:r w:rsidR="00134A73">
        <w:t xml:space="preserve">91-92, </w:t>
      </w:r>
      <w:r w:rsidR="009277A6">
        <w:t>96-99.)</w:t>
      </w:r>
    </w:p>
    <w:p w:rsidR="009277A6" w:rsidRDefault="009277A6" w:rsidP="006160ED">
      <w:pPr>
        <w:tabs>
          <w:tab w:val="left" w:pos="0"/>
        </w:tabs>
        <w:autoSpaceDE w:val="0"/>
        <w:autoSpaceDN w:val="0"/>
        <w:spacing w:line="360" w:lineRule="auto"/>
      </w:pPr>
    </w:p>
    <w:p w:rsidR="0023240D" w:rsidRDefault="009277A6" w:rsidP="006160ED">
      <w:pPr>
        <w:tabs>
          <w:tab w:val="left" w:pos="0"/>
        </w:tabs>
        <w:autoSpaceDE w:val="0"/>
        <w:autoSpaceDN w:val="0"/>
        <w:spacing w:line="360" w:lineRule="auto"/>
      </w:pPr>
      <w:r>
        <w:tab/>
      </w:r>
      <w:r>
        <w:tab/>
      </w:r>
      <w:r w:rsidR="00F952AE">
        <w:t>5</w:t>
      </w:r>
      <w:r w:rsidR="00E32548">
        <w:t>2</w:t>
      </w:r>
      <w:r>
        <w:t>.</w:t>
      </w:r>
      <w:r>
        <w:tab/>
      </w:r>
      <w:r w:rsidR="0023240D">
        <w:t xml:space="preserve">On November 18, 2013, the outstanding balance of $11,476.54, plus the </w:t>
      </w:r>
    </w:p>
    <w:p w:rsidR="0023240D" w:rsidRDefault="0023240D" w:rsidP="006160ED">
      <w:pPr>
        <w:tabs>
          <w:tab w:val="left" w:pos="0"/>
        </w:tabs>
        <w:autoSpaceDE w:val="0"/>
        <w:autoSpaceDN w:val="0"/>
        <w:spacing w:line="360" w:lineRule="auto"/>
      </w:pPr>
      <w:r>
        <w:t>$1,477.60 in late charges that Respondent required Complainant to pay under the PAR was based upon the following account transfers:</w:t>
      </w:r>
    </w:p>
    <w:tbl>
      <w:tblPr>
        <w:tblStyle w:val="TableGrid"/>
        <w:tblW w:w="0" w:type="auto"/>
        <w:tblInd w:w="108" w:type="dxa"/>
        <w:tblLook w:val="04A0" w:firstRow="1" w:lastRow="0" w:firstColumn="1" w:lastColumn="0" w:noHBand="0" w:noVBand="1"/>
      </w:tblPr>
      <w:tblGrid>
        <w:gridCol w:w="2070"/>
        <w:gridCol w:w="2340"/>
        <w:gridCol w:w="2055"/>
        <w:gridCol w:w="2853"/>
      </w:tblGrid>
      <w:tr w:rsidR="0023240D" w:rsidRPr="005374EA" w:rsidTr="00290615">
        <w:trPr>
          <w:trHeight w:val="802"/>
        </w:trPr>
        <w:tc>
          <w:tcPr>
            <w:tcW w:w="2070" w:type="dxa"/>
            <w:vAlign w:val="center"/>
          </w:tcPr>
          <w:p w:rsidR="0023240D" w:rsidRPr="005374EA" w:rsidRDefault="0023240D" w:rsidP="003B0163">
            <w:pPr>
              <w:spacing w:line="360" w:lineRule="auto"/>
              <w:jc w:val="center"/>
              <w:rPr>
                <w:rFonts w:ascii="Times New Roman" w:hAnsi="Times New Roman"/>
                <w:sz w:val="24"/>
              </w:rPr>
            </w:pPr>
            <w:r w:rsidRPr="005374EA">
              <w:rPr>
                <w:rFonts w:ascii="Times New Roman" w:hAnsi="Times New Roman"/>
                <w:sz w:val="24"/>
              </w:rPr>
              <w:t>Service Address</w:t>
            </w:r>
          </w:p>
        </w:tc>
        <w:tc>
          <w:tcPr>
            <w:tcW w:w="2340" w:type="dxa"/>
            <w:vAlign w:val="center"/>
          </w:tcPr>
          <w:p w:rsidR="0023240D" w:rsidRPr="005374EA" w:rsidRDefault="0023240D" w:rsidP="003B0163">
            <w:pPr>
              <w:spacing w:line="360" w:lineRule="auto"/>
              <w:jc w:val="center"/>
              <w:rPr>
                <w:rFonts w:ascii="Times New Roman" w:hAnsi="Times New Roman"/>
                <w:sz w:val="24"/>
              </w:rPr>
            </w:pPr>
            <w:r w:rsidRPr="005374EA">
              <w:rPr>
                <w:rFonts w:ascii="Times New Roman" w:hAnsi="Times New Roman"/>
                <w:sz w:val="24"/>
              </w:rPr>
              <w:t>Service Dates</w:t>
            </w:r>
          </w:p>
        </w:tc>
        <w:tc>
          <w:tcPr>
            <w:tcW w:w="2055" w:type="dxa"/>
            <w:vAlign w:val="center"/>
          </w:tcPr>
          <w:p w:rsidR="0023240D" w:rsidRPr="005374EA" w:rsidRDefault="0023240D" w:rsidP="003B0163">
            <w:pPr>
              <w:spacing w:line="360" w:lineRule="auto"/>
              <w:jc w:val="center"/>
              <w:rPr>
                <w:rFonts w:ascii="Times New Roman" w:hAnsi="Times New Roman"/>
                <w:sz w:val="24"/>
              </w:rPr>
            </w:pPr>
            <w:r w:rsidRPr="005374EA">
              <w:rPr>
                <w:rFonts w:ascii="Times New Roman" w:hAnsi="Times New Roman"/>
                <w:sz w:val="24"/>
              </w:rPr>
              <w:t>Balance</w:t>
            </w:r>
          </w:p>
        </w:tc>
        <w:tc>
          <w:tcPr>
            <w:tcW w:w="2853" w:type="dxa"/>
            <w:vAlign w:val="center"/>
          </w:tcPr>
          <w:p w:rsidR="0023240D" w:rsidRPr="005374EA" w:rsidRDefault="00CD156E" w:rsidP="00CD156E">
            <w:pPr>
              <w:spacing w:before="120" w:after="120"/>
              <w:jc w:val="center"/>
              <w:rPr>
                <w:rFonts w:ascii="Times New Roman" w:hAnsi="Times New Roman"/>
                <w:sz w:val="24"/>
              </w:rPr>
            </w:pPr>
            <w:r w:rsidRPr="005374EA">
              <w:rPr>
                <w:rFonts w:ascii="Times New Roman" w:hAnsi="Times New Roman"/>
                <w:sz w:val="24"/>
              </w:rPr>
              <w:t>New</w:t>
            </w:r>
            <w:r w:rsidR="0023240D" w:rsidRPr="005374EA">
              <w:rPr>
                <w:rFonts w:ascii="Times New Roman" w:hAnsi="Times New Roman"/>
                <w:sz w:val="24"/>
              </w:rPr>
              <w:t xml:space="preserve"> Address and Date</w:t>
            </w:r>
            <w:r w:rsidRPr="005374EA">
              <w:rPr>
                <w:rFonts w:ascii="Times New Roman" w:hAnsi="Times New Roman"/>
                <w:sz w:val="24"/>
              </w:rPr>
              <w:t xml:space="preserve"> of Balance Transfer</w:t>
            </w:r>
            <w:r w:rsidR="0023240D" w:rsidRPr="005374EA">
              <w:rPr>
                <w:rFonts w:ascii="Times New Roman" w:hAnsi="Times New Roman"/>
                <w:sz w:val="24"/>
              </w:rPr>
              <w:t xml:space="preserve"> </w:t>
            </w:r>
          </w:p>
        </w:tc>
      </w:tr>
      <w:tr w:rsidR="0023240D" w:rsidRPr="005374EA" w:rsidTr="00290615">
        <w:trPr>
          <w:trHeight w:val="432"/>
        </w:trPr>
        <w:tc>
          <w:tcPr>
            <w:tcW w:w="2070" w:type="dxa"/>
            <w:vAlign w:val="center"/>
          </w:tcPr>
          <w:p w:rsidR="0023240D" w:rsidRPr="005374EA" w:rsidRDefault="0023240D" w:rsidP="00F55D2B">
            <w:pPr>
              <w:spacing w:line="360" w:lineRule="auto"/>
              <w:jc w:val="center"/>
              <w:rPr>
                <w:rFonts w:ascii="Times New Roman" w:hAnsi="Times New Roman"/>
                <w:sz w:val="24"/>
              </w:rPr>
            </w:pPr>
            <w:r w:rsidRPr="005374EA">
              <w:rPr>
                <w:rFonts w:ascii="Times New Roman" w:hAnsi="Times New Roman"/>
                <w:sz w:val="24"/>
              </w:rPr>
              <w:t>373 Church St</w:t>
            </w:r>
            <w:r w:rsidR="00F55D2B" w:rsidRPr="005374EA">
              <w:rPr>
                <w:rFonts w:ascii="Times New Roman" w:hAnsi="Times New Roman"/>
                <w:sz w:val="24"/>
              </w:rPr>
              <w:t>.</w:t>
            </w:r>
          </w:p>
        </w:tc>
        <w:tc>
          <w:tcPr>
            <w:tcW w:w="2340" w:type="dxa"/>
            <w:vAlign w:val="center"/>
          </w:tcPr>
          <w:p w:rsidR="0023240D" w:rsidRPr="005374EA" w:rsidRDefault="00290615" w:rsidP="00592338">
            <w:pPr>
              <w:spacing w:line="360" w:lineRule="auto"/>
              <w:jc w:val="center"/>
              <w:rPr>
                <w:rFonts w:ascii="Times New Roman" w:hAnsi="Times New Roman"/>
                <w:sz w:val="24"/>
              </w:rPr>
            </w:pPr>
            <w:r>
              <w:rPr>
                <w:rFonts w:ascii="Times New Roman" w:hAnsi="Times New Roman"/>
                <w:sz w:val="24"/>
              </w:rPr>
              <w:t>0</w:t>
            </w:r>
            <w:r w:rsidR="0023240D" w:rsidRPr="005374EA">
              <w:rPr>
                <w:rFonts w:ascii="Times New Roman" w:hAnsi="Times New Roman"/>
                <w:sz w:val="24"/>
              </w:rPr>
              <w:t>6/</w:t>
            </w:r>
            <w:r w:rsidR="00F55D2B" w:rsidRPr="005374EA">
              <w:rPr>
                <w:rFonts w:ascii="Times New Roman" w:hAnsi="Times New Roman"/>
                <w:sz w:val="24"/>
              </w:rPr>
              <w:t>20</w:t>
            </w:r>
            <w:r w:rsidR="00F83EEA">
              <w:rPr>
                <w:rFonts w:ascii="Times New Roman" w:hAnsi="Times New Roman"/>
                <w:sz w:val="24"/>
              </w:rPr>
              <w:t>/</w:t>
            </w:r>
            <w:r w:rsidR="0023240D" w:rsidRPr="005374EA">
              <w:rPr>
                <w:rFonts w:ascii="Times New Roman" w:hAnsi="Times New Roman"/>
                <w:sz w:val="24"/>
              </w:rPr>
              <w:t xml:space="preserve">03 </w:t>
            </w:r>
            <w:r w:rsidR="00592338" w:rsidRPr="005374EA">
              <w:rPr>
                <w:rFonts w:ascii="Times New Roman" w:hAnsi="Times New Roman"/>
                <w:sz w:val="24"/>
              </w:rPr>
              <w:t>–</w:t>
            </w:r>
            <w:r w:rsidR="0023240D" w:rsidRPr="005374EA">
              <w:rPr>
                <w:rFonts w:ascii="Times New Roman" w:hAnsi="Times New Roman"/>
                <w:sz w:val="24"/>
              </w:rPr>
              <w:t xml:space="preserve"> 06/16/04</w:t>
            </w:r>
          </w:p>
        </w:tc>
        <w:tc>
          <w:tcPr>
            <w:tcW w:w="2055" w:type="dxa"/>
            <w:vAlign w:val="center"/>
          </w:tcPr>
          <w:p w:rsidR="0023240D" w:rsidRPr="005374EA" w:rsidRDefault="0023240D" w:rsidP="002E1B1E">
            <w:pPr>
              <w:spacing w:line="360" w:lineRule="auto"/>
              <w:ind w:right="288"/>
              <w:jc w:val="center"/>
              <w:rPr>
                <w:rFonts w:ascii="Times New Roman" w:hAnsi="Times New Roman"/>
                <w:sz w:val="24"/>
              </w:rPr>
            </w:pPr>
            <w:r w:rsidRPr="005374EA">
              <w:rPr>
                <w:rFonts w:ascii="Times New Roman" w:hAnsi="Times New Roman"/>
                <w:sz w:val="24"/>
              </w:rPr>
              <w:t>$1,435.69</w:t>
            </w:r>
          </w:p>
        </w:tc>
        <w:tc>
          <w:tcPr>
            <w:tcW w:w="2853" w:type="dxa"/>
            <w:vAlign w:val="center"/>
          </w:tcPr>
          <w:p w:rsidR="0023240D" w:rsidRPr="005374EA" w:rsidRDefault="00F55D2B" w:rsidP="00F55D2B">
            <w:pPr>
              <w:rPr>
                <w:rFonts w:ascii="Times New Roman" w:hAnsi="Times New Roman"/>
                <w:sz w:val="24"/>
              </w:rPr>
            </w:pPr>
            <w:r w:rsidRPr="005374EA">
              <w:rPr>
                <w:rFonts w:ascii="Times New Roman" w:hAnsi="Times New Roman"/>
                <w:sz w:val="24"/>
              </w:rPr>
              <w:t>229</w:t>
            </w:r>
            <w:r w:rsidR="0023240D" w:rsidRPr="005374EA">
              <w:rPr>
                <w:rFonts w:ascii="Times New Roman" w:hAnsi="Times New Roman"/>
                <w:sz w:val="24"/>
              </w:rPr>
              <w:t xml:space="preserve"> </w:t>
            </w:r>
            <w:r w:rsidRPr="005374EA">
              <w:rPr>
                <w:rFonts w:ascii="Times New Roman" w:hAnsi="Times New Roman"/>
                <w:sz w:val="24"/>
              </w:rPr>
              <w:t xml:space="preserve">Church </w:t>
            </w:r>
            <w:r w:rsidR="0023240D" w:rsidRPr="005374EA">
              <w:rPr>
                <w:rFonts w:ascii="Times New Roman" w:hAnsi="Times New Roman"/>
                <w:sz w:val="24"/>
              </w:rPr>
              <w:t>S</w:t>
            </w:r>
            <w:r w:rsidRPr="005374EA">
              <w:rPr>
                <w:rFonts w:ascii="Times New Roman" w:hAnsi="Times New Roman"/>
                <w:sz w:val="24"/>
              </w:rPr>
              <w:t>t.</w:t>
            </w:r>
            <w:r w:rsidR="0023240D" w:rsidRPr="005374EA">
              <w:rPr>
                <w:rFonts w:ascii="Times New Roman" w:hAnsi="Times New Roman"/>
                <w:sz w:val="24"/>
              </w:rPr>
              <w:t xml:space="preserve">  0</w:t>
            </w:r>
            <w:r w:rsidRPr="005374EA">
              <w:rPr>
                <w:rFonts w:ascii="Times New Roman" w:hAnsi="Times New Roman"/>
                <w:sz w:val="24"/>
              </w:rPr>
              <w:t>6</w:t>
            </w:r>
            <w:r w:rsidR="0023240D" w:rsidRPr="005374EA">
              <w:rPr>
                <w:rFonts w:ascii="Times New Roman" w:hAnsi="Times New Roman"/>
                <w:sz w:val="24"/>
              </w:rPr>
              <w:t>/</w:t>
            </w:r>
            <w:r w:rsidRPr="005374EA">
              <w:rPr>
                <w:rFonts w:ascii="Times New Roman" w:hAnsi="Times New Roman"/>
                <w:sz w:val="24"/>
              </w:rPr>
              <w:t>10/06</w:t>
            </w:r>
          </w:p>
        </w:tc>
      </w:tr>
      <w:tr w:rsidR="0023240D" w:rsidRPr="005374EA" w:rsidTr="00290615">
        <w:trPr>
          <w:trHeight w:val="416"/>
        </w:trPr>
        <w:tc>
          <w:tcPr>
            <w:tcW w:w="2070" w:type="dxa"/>
            <w:vAlign w:val="center"/>
          </w:tcPr>
          <w:p w:rsidR="0023240D" w:rsidRPr="005374EA" w:rsidRDefault="00F55D2B" w:rsidP="003B0163">
            <w:pPr>
              <w:spacing w:line="360" w:lineRule="auto"/>
              <w:jc w:val="center"/>
              <w:rPr>
                <w:rFonts w:ascii="Times New Roman" w:hAnsi="Times New Roman"/>
                <w:sz w:val="24"/>
              </w:rPr>
            </w:pPr>
            <w:r w:rsidRPr="005374EA">
              <w:rPr>
                <w:rFonts w:ascii="Times New Roman" w:hAnsi="Times New Roman"/>
                <w:sz w:val="24"/>
              </w:rPr>
              <w:t>229 Church</w:t>
            </w:r>
            <w:r w:rsidR="0023240D" w:rsidRPr="005374EA">
              <w:rPr>
                <w:rFonts w:ascii="Times New Roman" w:hAnsi="Times New Roman"/>
                <w:sz w:val="24"/>
              </w:rPr>
              <w:t xml:space="preserve"> St.</w:t>
            </w:r>
          </w:p>
        </w:tc>
        <w:tc>
          <w:tcPr>
            <w:tcW w:w="2340" w:type="dxa"/>
            <w:vAlign w:val="center"/>
          </w:tcPr>
          <w:p w:rsidR="0023240D" w:rsidRPr="005374EA" w:rsidRDefault="003B0163" w:rsidP="00592338">
            <w:pPr>
              <w:spacing w:line="360" w:lineRule="auto"/>
              <w:jc w:val="center"/>
              <w:rPr>
                <w:rFonts w:ascii="Times New Roman" w:hAnsi="Times New Roman"/>
                <w:sz w:val="24"/>
              </w:rPr>
            </w:pPr>
            <w:r w:rsidRPr="005374EA">
              <w:rPr>
                <w:rFonts w:ascii="Times New Roman" w:hAnsi="Times New Roman"/>
                <w:sz w:val="24"/>
              </w:rPr>
              <w:t>06</w:t>
            </w:r>
            <w:r w:rsidR="0023240D" w:rsidRPr="005374EA">
              <w:rPr>
                <w:rFonts w:ascii="Times New Roman" w:hAnsi="Times New Roman"/>
                <w:sz w:val="24"/>
              </w:rPr>
              <w:t>/1</w:t>
            </w:r>
            <w:r w:rsidRPr="005374EA">
              <w:rPr>
                <w:rFonts w:ascii="Times New Roman" w:hAnsi="Times New Roman"/>
                <w:sz w:val="24"/>
              </w:rPr>
              <w:t>0</w:t>
            </w:r>
            <w:r w:rsidR="0023240D" w:rsidRPr="005374EA">
              <w:rPr>
                <w:rFonts w:ascii="Times New Roman" w:hAnsi="Times New Roman"/>
                <w:sz w:val="24"/>
              </w:rPr>
              <w:t>/0</w:t>
            </w:r>
            <w:r w:rsidRPr="005374EA">
              <w:rPr>
                <w:rFonts w:ascii="Times New Roman" w:hAnsi="Times New Roman"/>
                <w:sz w:val="24"/>
              </w:rPr>
              <w:t>6</w:t>
            </w:r>
            <w:r w:rsidR="00592338">
              <w:rPr>
                <w:rFonts w:ascii="Times New Roman" w:hAnsi="Times New Roman"/>
                <w:sz w:val="24"/>
              </w:rPr>
              <w:t xml:space="preserve"> </w:t>
            </w:r>
            <w:r w:rsidR="00592338" w:rsidRPr="005374EA">
              <w:rPr>
                <w:rFonts w:ascii="Times New Roman" w:hAnsi="Times New Roman"/>
                <w:sz w:val="24"/>
              </w:rPr>
              <w:t>–</w:t>
            </w:r>
            <w:r w:rsidR="0023240D" w:rsidRPr="005374EA">
              <w:rPr>
                <w:rFonts w:ascii="Times New Roman" w:hAnsi="Times New Roman"/>
                <w:sz w:val="24"/>
              </w:rPr>
              <w:t xml:space="preserve"> </w:t>
            </w:r>
            <w:r w:rsidR="00592338">
              <w:rPr>
                <w:rFonts w:ascii="Times New Roman" w:hAnsi="Times New Roman"/>
                <w:sz w:val="24"/>
              </w:rPr>
              <w:t>0</w:t>
            </w:r>
            <w:r w:rsidRPr="005374EA">
              <w:rPr>
                <w:rFonts w:ascii="Times New Roman" w:hAnsi="Times New Roman"/>
                <w:sz w:val="24"/>
              </w:rPr>
              <w:t>8</w:t>
            </w:r>
            <w:r w:rsidR="0023240D" w:rsidRPr="005374EA">
              <w:rPr>
                <w:rFonts w:ascii="Times New Roman" w:hAnsi="Times New Roman"/>
                <w:sz w:val="24"/>
              </w:rPr>
              <w:t>/</w:t>
            </w:r>
            <w:r w:rsidR="00592338">
              <w:rPr>
                <w:rFonts w:ascii="Times New Roman" w:hAnsi="Times New Roman"/>
                <w:sz w:val="24"/>
              </w:rPr>
              <w:t>0</w:t>
            </w:r>
            <w:r w:rsidR="0023240D" w:rsidRPr="005374EA">
              <w:rPr>
                <w:rFonts w:ascii="Times New Roman" w:hAnsi="Times New Roman"/>
                <w:sz w:val="24"/>
              </w:rPr>
              <w:t>2/0</w:t>
            </w:r>
            <w:r w:rsidRPr="005374EA">
              <w:rPr>
                <w:rFonts w:ascii="Times New Roman" w:hAnsi="Times New Roman"/>
                <w:sz w:val="24"/>
              </w:rPr>
              <w:t>7</w:t>
            </w:r>
          </w:p>
        </w:tc>
        <w:tc>
          <w:tcPr>
            <w:tcW w:w="2055" w:type="dxa"/>
            <w:vAlign w:val="center"/>
          </w:tcPr>
          <w:p w:rsidR="0023240D" w:rsidRPr="005374EA" w:rsidRDefault="0023240D" w:rsidP="002E1B1E">
            <w:pPr>
              <w:spacing w:line="360" w:lineRule="auto"/>
              <w:ind w:right="288"/>
              <w:jc w:val="center"/>
              <w:rPr>
                <w:rFonts w:ascii="Times New Roman" w:hAnsi="Times New Roman"/>
                <w:sz w:val="24"/>
              </w:rPr>
            </w:pPr>
            <w:r w:rsidRPr="005374EA">
              <w:rPr>
                <w:rFonts w:ascii="Times New Roman" w:hAnsi="Times New Roman"/>
                <w:sz w:val="24"/>
              </w:rPr>
              <w:t>$</w:t>
            </w:r>
            <w:r w:rsidR="003B0163" w:rsidRPr="005374EA">
              <w:rPr>
                <w:rFonts w:ascii="Times New Roman" w:hAnsi="Times New Roman"/>
                <w:sz w:val="24"/>
              </w:rPr>
              <w:t>3,086.38</w:t>
            </w:r>
          </w:p>
        </w:tc>
        <w:tc>
          <w:tcPr>
            <w:tcW w:w="2853" w:type="dxa"/>
            <w:vAlign w:val="center"/>
          </w:tcPr>
          <w:p w:rsidR="0023240D" w:rsidRPr="005374EA" w:rsidRDefault="003B0163" w:rsidP="003B0163">
            <w:pPr>
              <w:rPr>
                <w:rFonts w:ascii="Times New Roman" w:hAnsi="Times New Roman"/>
                <w:sz w:val="24"/>
              </w:rPr>
            </w:pPr>
            <w:r w:rsidRPr="005374EA">
              <w:rPr>
                <w:rFonts w:ascii="Times New Roman" w:hAnsi="Times New Roman"/>
                <w:sz w:val="24"/>
              </w:rPr>
              <w:t>221 High St</w:t>
            </w:r>
            <w:r w:rsidR="0023240D" w:rsidRPr="005374EA">
              <w:rPr>
                <w:rFonts w:ascii="Times New Roman" w:hAnsi="Times New Roman"/>
                <w:sz w:val="24"/>
              </w:rPr>
              <w:t xml:space="preserve">.  </w:t>
            </w:r>
            <w:r w:rsidR="00071B3B">
              <w:rPr>
                <w:rFonts w:ascii="Times New Roman" w:hAnsi="Times New Roman"/>
                <w:sz w:val="24"/>
              </w:rPr>
              <w:t>0</w:t>
            </w:r>
            <w:r w:rsidRPr="005374EA">
              <w:rPr>
                <w:rFonts w:ascii="Times New Roman" w:hAnsi="Times New Roman"/>
                <w:sz w:val="24"/>
              </w:rPr>
              <w:t>9/16/08</w:t>
            </w:r>
          </w:p>
        </w:tc>
      </w:tr>
      <w:tr w:rsidR="0023240D" w:rsidRPr="005374EA" w:rsidTr="00290615">
        <w:trPr>
          <w:trHeight w:val="416"/>
        </w:trPr>
        <w:tc>
          <w:tcPr>
            <w:tcW w:w="2070" w:type="dxa"/>
            <w:vAlign w:val="center"/>
          </w:tcPr>
          <w:p w:rsidR="0023240D" w:rsidRPr="005374EA" w:rsidRDefault="003B0163" w:rsidP="003B0163">
            <w:pPr>
              <w:spacing w:line="360" w:lineRule="auto"/>
              <w:jc w:val="center"/>
              <w:rPr>
                <w:rFonts w:ascii="Times New Roman" w:hAnsi="Times New Roman"/>
                <w:sz w:val="24"/>
              </w:rPr>
            </w:pPr>
            <w:r w:rsidRPr="005374EA">
              <w:rPr>
                <w:rFonts w:ascii="Times New Roman" w:hAnsi="Times New Roman"/>
                <w:sz w:val="24"/>
              </w:rPr>
              <w:t>221 High</w:t>
            </w:r>
            <w:r w:rsidR="0023240D" w:rsidRPr="005374EA">
              <w:rPr>
                <w:rFonts w:ascii="Times New Roman" w:hAnsi="Times New Roman"/>
                <w:sz w:val="24"/>
              </w:rPr>
              <w:t xml:space="preserve"> St.</w:t>
            </w:r>
          </w:p>
        </w:tc>
        <w:tc>
          <w:tcPr>
            <w:tcW w:w="2340" w:type="dxa"/>
            <w:vAlign w:val="center"/>
          </w:tcPr>
          <w:p w:rsidR="0023240D" w:rsidRPr="005374EA" w:rsidRDefault="00290615" w:rsidP="003B0163">
            <w:pPr>
              <w:spacing w:line="360" w:lineRule="auto"/>
              <w:jc w:val="center"/>
              <w:rPr>
                <w:rFonts w:ascii="Times New Roman" w:hAnsi="Times New Roman"/>
                <w:sz w:val="24"/>
              </w:rPr>
            </w:pPr>
            <w:r>
              <w:rPr>
                <w:rFonts w:ascii="Times New Roman" w:hAnsi="Times New Roman"/>
                <w:sz w:val="24"/>
              </w:rPr>
              <w:t>0</w:t>
            </w:r>
            <w:r w:rsidR="003B0163" w:rsidRPr="005374EA">
              <w:rPr>
                <w:rFonts w:ascii="Times New Roman" w:hAnsi="Times New Roman"/>
                <w:sz w:val="24"/>
              </w:rPr>
              <w:t>9</w:t>
            </w:r>
            <w:r w:rsidR="0023240D" w:rsidRPr="005374EA">
              <w:rPr>
                <w:rFonts w:ascii="Times New Roman" w:hAnsi="Times New Roman"/>
                <w:sz w:val="24"/>
              </w:rPr>
              <w:t>/1</w:t>
            </w:r>
            <w:r w:rsidR="003B0163" w:rsidRPr="005374EA">
              <w:rPr>
                <w:rFonts w:ascii="Times New Roman" w:hAnsi="Times New Roman"/>
                <w:sz w:val="24"/>
              </w:rPr>
              <w:t>6</w:t>
            </w:r>
            <w:r w:rsidR="0023240D" w:rsidRPr="005374EA">
              <w:rPr>
                <w:rFonts w:ascii="Times New Roman" w:hAnsi="Times New Roman"/>
                <w:sz w:val="24"/>
              </w:rPr>
              <w:t>/0</w:t>
            </w:r>
            <w:r w:rsidR="003B0163" w:rsidRPr="005374EA">
              <w:rPr>
                <w:rFonts w:ascii="Times New Roman" w:hAnsi="Times New Roman"/>
                <w:sz w:val="24"/>
              </w:rPr>
              <w:t>8</w:t>
            </w:r>
            <w:r w:rsidR="0023240D" w:rsidRPr="005374EA">
              <w:rPr>
                <w:rFonts w:ascii="Times New Roman" w:hAnsi="Times New Roman"/>
                <w:sz w:val="24"/>
              </w:rPr>
              <w:t xml:space="preserve"> – </w:t>
            </w:r>
            <w:r w:rsidR="003B0163" w:rsidRPr="005374EA">
              <w:rPr>
                <w:rFonts w:ascii="Times New Roman" w:hAnsi="Times New Roman"/>
                <w:sz w:val="24"/>
              </w:rPr>
              <w:t>12</w:t>
            </w:r>
            <w:r w:rsidR="0023240D" w:rsidRPr="005374EA">
              <w:rPr>
                <w:rFonts w:ascii="Times New Roman" w:hAnsi="Times New Roman"/>
                <w:sz w:val="24"/>
              </w:rPr>
              <w:t>/</w:t>
            </w:r>
            <w:r w:rsidR="003B0163" w:rsidRPr="005374EA">
              <w:rPr>
                <w:rFonts w:ascii="Times New Roman" w:hAnsi="Times New Roman"/>
                <w:sz w:val="24"/>
              </w:rPr>
              <w:t>12</w:t>
            </w:r>
            <w:r w:rsidR="0023240D" w:rsidRPr="005374EA">
              <w:rPr>
                <w:rFonts w:ascii="Times New Roman" w:hAnsi="Times New Roman"/>
                <w:sz w:val="24"/>
              </w:rPr>
              <w:t>/0</w:t>
            </w:r>
            <w:r w:rsidR="003B0163" w:rsidRPr="005374EA">
              <w:rPr>
                <w:rFonts w:ascii="Times New Roman" w:hAnsi="Times New Roman"/>
                <w:sz w:val="24"/>
              </w:rPr>
              <w:t>8</w:t>
            </w:r>
          </w:p>
        </w:tc>
        <w:tc>
          <w:tcPr>
            <w:tcW w:w="2055" w:type="dxa"/>
            <w:vAlign w:val="center"/>
          </w:tcPr>
          <w:p w:rsidR="0023240D" w:rsidRPr="005374EA" w:rsidRDefault="0023240D" w:rsidP="002E1B1E">
            <w:pPr>
              <w:spacing w:line="360" w:lineRule="auto"/>
              <w:ind w:right="288"/>
              <w:jc w:val="center"/>
              <w:rPr>
                <w:rFonts w:ascii="Times New Roman" w:hAnsi="Times New Roman"/>
                <w:sz w:val="24"/>
              </w:rPr>
            </w:pPr>
            <w:r w:rsidRPr="005374EA">
              <w:rPr>
                <w:rFonts w:ascii="Times New Roman" w:hAnsi="Times New Roman"/>
                <w:sz w:val="24"/>
              </w:rPr>
              <w:t>$4</w:t>
            </w:r>
            <w:r w:rsidR="003B0163" w:rsidRPr="005374EA">
              <w:rPr>
                <w:rFonts w:ascii="Times New Roman" w:hAnsi="Times New Roman"/>
                <w:sz w:val="24"/>
              </w:rPr>
              <w:t>,5</w:t>
            </w:r>
            <w:r w:rsidRPr="005374EA">
              <w:rPr>
                <w:rFonts w:ascii="Times New Roman" w:hAnsi="Times New Roman"/>
                <w:sz w:val="24"/>
              </w:rPr>
              <w:t>6</w:t>
            </w:r>
            <w:r w:rsidR="003B0163" w:rsidRPr="005374EA">
              <w:rPr>
                <w:rFonts w:ascii="Times New Roman" w:hAnsi="Times New Roman"/>
                <w:sz w:val="24"/>
              </w:rPr>
              <w:t>3</w:t>
            </w:r>
            <w:r w:rsidRPr="005374EA">
              <w:rPr>
                <w:rFonts w:ascii="Times New Roman" w:hAnsi="Times New Roman"/>
                <w:sz w:val="24"/>
              </w:rPr>
              <w:t>.</w:t>
            </w:r>
            <w:r w:rsidR="003B0163" w:rsidRPr="005374EA">
              <w:rPr>
                <w:rFonts w:ascii="Times New Roman" w:hAnsi="Times New Roman"/>
                <w:sz w:val="24"/>
              </w:rPr>
              <w:t>68</w:t>
            </w:r>
          </w:p>
        </w:tc>
        <w:tc>
          <w:tcPr>
            <w:tcW w:w="2853" w:type="dxa"/>
            <w:vAlign w:val="center"/>
          </w:tcPr>
          <w:p w:rsidR="0023240D" w:rsidRPr="005374EA" w:rsidRDefault="0023240D" w:rsidP="00DC657E">
            <w:pPr>
              <w:rPr>
                <w:rFonts w:ascii="Times New Roman" w:hAnsi="Times New Roman"/>
                <w:sz w:val="24"/>
              </w:rPr>
            </w:pPr>
            <w:r w:rsidRPr="005374EA">
              <w:rPr>
                <w:rFonts w:ascii="Times New Roman" w:hAnsi="Times New Roman"/>
                <w:sz w:val="24"/>
              </w:rPr>
              <w:t>3</w:t>
            </w:r>
            <w:r w:rsidR="00DC657E" w:rsidRPr="005374EA">
              <w:rPr>
                <w:rFonts w:ascii="Times New Roman" w:hAnsi="Times New Roman"/>
                <w:sz w:val="24"/>
              </w:rPr>
              <w:t>67 2</w:t>
            </w:r>
            <w:r w:rsidR="00DC657E" w:rsidRPr="005374EA">
              <w:rPr>
                <w:rFonts w:ascii="Times New Roman" w:hAnsi="Times New Roman"/>
                <w:sz w:val="24"/>
                <w:vertAlign w:val="superscript"/>
              </w:rPr>
              <w:t>nd</w:t>
            </w:r>
            <w:r w:rsidR="00DC657E" w:rsidRPr="005374EA">
              <w:rPr>
                <w:rFonts w:ascii="Times New Roman" w:hAnsi="Times New Roman"/>
                <w:sz w:val="24"/>
              </w:rPr>
              <w:t xml:space="preserve"> Ave.  01/27/09</w:t>
            </w:r>
          </w:p>
        </w:tc>
      </w:tr>
      <w:tr w:rsidR="0023240D" w:rsidRPr="005374EA" w:rsidTr="00290615">
        <w:trPr>
          <w:trHeight w:val="848"/>
        </w:trPr>
        <w:tc>
          <w:tcPr>
            <w:tcW w:w="2070" w:type="dxa"/>
            <w:vAlign w:val="center"/>
          </w:tcPr>
          <w:p w:rsidR="0023240D" w:rsidRPr="005374EA" w:rsidRDefault="00DC657E" w:rsidP="00DC657E">
            <w:pPr>
              <w:spacing w:line="360" w:lineRule="auto"/>
              <w:jc w:val="center"/>
              <w:rPr>
                <w:rFonts w:ascii="Times New Roman" w:hAnsi="Times New Roman"/>
                <w:sz w:val="24"/>
              </w:rPr>
            </w:pPr>
            <w:r w:rsidRPr="005374EA">
              <w:rPr>
                <w:rFonts w:ascii="Times New Roman" w:hAnsi="Times New Roman"/>
                <w:sz w:val="24"/>
              </w:rPr>
              <w:t>367 2nd Ave.</w:t>
            </w:r>
          </w:p>
        </w:tc>
        <w:tc>
          <w:tcPr>
            <w:tcW w:w="2340" w:type="dxa"/>
            <w:vAlign w:val="center"/>
          </w:tcPr>
          <w:p w:rsidR="0023240D" w:rsidRPr="005374EA" w:rsidRDefault="00DC657E" w:rsidP="00290615">
            <w:pPr>
              <w:spacing w:line="360" w:lineRule="auto"/>
              <w:jc w:val="center"/>
              <w:rPr>
                <w:rFonts w:ascii="Times New Roman" w:hAnsi="Times New Roman"/>
                <w:sz w:val="24"/>
              </w:rPr>
            </w:pPr>
            <w:r w:rsidRPr="005374EA">
              <w:rPr>
                <w:rFonts w:ascii="Times New Roman" w:hAnsi="Times New Roman"/>
                <w:sz w:val="24"/>
              </w:rPr>
              <w:t>12</w:t>
            </w:r>
            <w:r w:rsidR="0023240D" w:rsidRPr="005374EA">
              <w:rPr>
                <w:rFonts w:ascii="Times New Roman" w:hAnsi="Times New Roman"/>
                <w:sz w:val="24"/>
              </w:rPr>
              <w:t>/03/0</w:t>
            </w:r>
            <w:r w:rsidRPr="005374EA">
              <w:rPr>
                <w:rFonts w:ascii="Times New Roman" w:hAnsi="Times New Roman"/>
                <w:sz w:val="24"/>
              </w:rPr>
              <w:t>8</w:t>
            </w:r>
            <w:r w:rsidR="0023240D" w:rsidRPr="005374EA">
              <w:rPr>
                <w:rFonts w:ascii="Times New Roman" w:hAnsi="Times New Roman"/>
                <w:sz w:val="24"/>
              </w:rPr>
              <w:t xml:space="preserve"> – </w:t>
            </w:r>
            <w:r w:rsidR="00193C3F">
              <w:rPr>
                <w:rFonts w:ascii="Times New Roman" w:hAnsi="Times New Roman"/>
                <w:sz w:val="24"/>
              </w:rPr>
              <w:t>0</w:t>
            </w:r>
            <w:r w:rsidRPr="005374EA">
              <w:rPr>
                <w:rFonts w:ascii="Times New Roman" w:hAnsi="Times New Roman"/>
                <w:sz w:val="24"/>
              </w:rPr>
              <w:t>7/30</w:t>
            </w:r>
            <w:r w:rsidR="0023240D" w:rsidRPr="005374EA">
              <w:rPr>
                <w:rFonts w:ascii="Times New Roman" w:hAnsi="Times New Roman"/>
                <w:sz w:val="24"/>
              </w:rPr>
              <w:t>/</w:t>
            </w:r>
            <w:r w:rsidRPr="005374EA">
              <w:rPr>
                <w:rFonts w:ascii="Times New Roman" w:hAnsi="Times New Roman"/>
                <w:sz w:val="24"/>
              </w:rPr>
              <w:t>10</w:t>
            </w:r>
          </w:p>
        </w:tc>
        <w:tc>
          <w:tcPr>
            <w:tcW w:w="2055" w:type="dxa"/>
            <w:vAlign w:val="center"/>
          </w:tcPr>
          <w:p w:rsidR="0023240D" w:rsidRPr="005374EA" w:rsidRDefault="0023240D" w:rsidP="00CD156E">
            <w:pPr>
              <w:ind w:right="288"/>
              <w:jc w:val="center"/>
              <w:rPr>
                <w:rFonts w:ascii="Times New Roman" w:hAnsi="Times New Roman"/>
                <w:sz w:val="24"/>
              </w:rPr>
            </w:pPr>
            <w:r w:rsidRPr="005374EA">
              <w:rPr>
                <w:rFonts w:ascii="Times New Roman" w:hAnsi="Times New Roman"/>
                <w:sz w:val="24"/>
              </w:rPr>
              <w:t>$</w:t>
            </w:r>
            <w:r w:rsidR="00720DC6" w:rsidRPr="005374EA">
              <w:rPr>
                <w:rFonts w:ascii="Times New Roman" w:hAnsi="Times New Roman"/>
                <w:sz w:val="24"/>
              </w:rPr>
              <w:t>11,476.54</w:t>
            </w:r>
          </w:p>
          <w:p w:rsidR="00720DC6" w:rsidRPr="005374EA" w:rsidRDefault="00720DC6" w:rsidP="00CD156E">
            <w:pPr>
              <w:ind w:right="288"/>
              <w:jc w:val="center"/>
              <w:rPr>
                <w:rFonts w:ascii="Times New Roman" w:hAnsi="Times New Roman"/>
                <w:sz w:val="24"/>
              </w:rPr>
            </w:pPr>
            <w:r w:rsidRPr="005374EA">
              <w:rPr>
                <w:rFonts w:ascii="Times New Roman" w:hAnsi="Times New Roman"/>
                <w:sz w:val="24"/>
              </w:rPr>
              <w:t>Plus $1,477.60 Late Charge</w:t>
            </w:r>
          </w:p>
        </w:tc>
        <w:tc>
          <w:tcPr>
            <w:tcW w:w="2853" w:type="dxa"/>
            <w:vAlign w:val="center"/>
          </w:tcPr>
          <w:p w:rsidR="0023240D" w:rsidRPr="005374EA" w:rsidRDefault="00CD156E" w:rsidP="00F55D2B">
            <w:pPr>
              <w:rPr>
                <w:rFonts w:ascii="Times New Roman" w:hAnsi="Times New Roman"/>
                <w:sz w:val="24"/>
              </w:rPr>
            </w:pPr>
            <w:r w:rsidRPr="005374EA">
              <w:rPr>
                <w:rFonts w:ascii="Times New Roman" w:hAnsi="Times New Roman"/>
                <w:sz w:val="24"/>
              </w:rPr>
              <w:t>Aspen Ave. 11/15/13</w:t>
            </w:r>
          </w:p>
        </w:tc>
      </w:tr>
    </w:tbl>
    <w:p w:rsidR="0023240D" w:rsidRDefault="00761084" w:rsidP="006160ED">
      <w:pPr>
        <w:tabs>
          <w:tab w:val="left" w:pos="0"/>
        </w:tabs>
        <w:autoSpaceDE w:val="0"/>
        <w:autoSpaceDN w:val="0"/>
        <w:spacing w:line="360" w:lineRule="auto"/>
      </w:pPr>
      <w:r>
        <w:t>Table 2</w:t>
      </w:r>
    </w:p>
    <w:p w:rsidR="00761084" w:rsidRDefault="00761084" w:rsidP="006160ED">
      <w:pPr>
        <w:tabs>
          <w:tab w:val="left" w:pos="0"/>
        </w:tabs>
        <w:autoSpaceDE w:val="0"/>
        <w:autoSpaceDN w:val="0"/>
        <w:spacing w:line="360" w:lineRule="auto"/>
      </w:pPr>
      <w:r>
        <w:t xml:space="preserve">(Tr. </w:t>
      </w:r>
      <w:r w:rsidR="00E31046">
        <w:t>67-71.</w:t>
      </w:r>
      <w:r>
        <w:t>)</w:t>
      </w:r>
    </w:p>
    <w:p w:rsidR="00761084" w:rsidRPr="0023240D" w:rsidRDefault="00761084" w:rsidP="006160ED">
      <w:pPr>
        <w:tabs>
          <w:tab w:val="left" w:pos="0"/>
        </w:tabs>
        <w:autoSpaceDE w:val="0"/>
        <w:autoSpaceDN w:val="0"/>
        <w:spacing w:line="360" w:lineRule="auto"/>
      </w:pPr>
    </w:p>
    <w:p w:rsidR="006E2973" w:rsidRDefault="005374EA" w:rsidP="006160ED">
      <w:pPr>
        <w:tabs>
          <w:tab w:val="left" w:pos="0"/>
        </w:tabs>
        <w:autoSpaceDE w:val="0"/>
        <w:autoSpaceDN w:val="0"/>
        <w:spacing w:line="360" w:lineRule="auto"/>
      </w:pPr>
      <w:r>
        <w:tab/>
      </w:r>
      <w:r>
        <w:tab/>
      </w:r>
      <w:r w:rsidR="00F952AE">
        <w:t>5</w:t>
      </w:r>
      <w:r w:rsidR="00E32548">
        <w:t>3</w:t>
      </w:r>
      <w:r>
        <w:t>.</w:t>
      </w:r>
      <w:r>
        <w:tab/>
      </w:r>
      <w:r w:rsidR="009277A6">
        <w:t xml:space="preserve">Under the PAR, Complainant was required to pay </w:t>
      </w:r>
      <w:r w:rsidR="009277A6" w:rsidRPr="007C1307">
        <w:t>$563.73</w:t>
      </w:r>
      <w:r w:rsidR="009277A6">
        <w:t xml:space="preserve"> </w:t>
      </w:r>
      <w:r w:rsidR="00F952AE">
        <w:t xml:space="preserve">monthly </w:t>
      </w:r>
      <w:r w:rsidR="009277A6">
        <w:t xml:space="preserve">plus </w:t>
      </w:r>
      <w:r w:rsidR="00F952AE">
        <w:t xml:space="preserve">the </w:t>
      </w:r>
      <w:r w:rsidR="009277A6">
        <w:t xml:space="preserve">current service charges.  (Tr. </w:t>
      </w:r>
      <w:r w:rsidR="006E2973">
        <w:t>96-97.)</w:t>
      </w:r>
    </w:p>
    <w:p w:rsidR="00C10AC2" w:rsidRDefault="00C10AC2" w:rsidP="006160ED">
      <w:pPr>
        <w:tabs>
          <w:tab w:val="left" w:pos="0"/>
        </w:tabs>
        <w:autoSpaceDE w:val="0"/>
        <w:autoSpaceDN w:val="0"/>
        <w:spacing w:line="360" w:lineRule="auto"/>
      </w:pPr>
    </w:p>
    <w:p w:rsidR="001E64D8" w:rsidRDefault="006E2973" w:rsidP="006160ED">
      <w:pPr>
        <w:tabs>
          <w:tab w:val="left" w:pos="0"/>
        </w:tabs>
        <w:autoSpaceDE w:val="0"/>
        <w:autoSpaceDN w:val="0"/>
        <w:spacing w:line="360" w:lineRule="auto"/>
      </w:pPr>
      <w:r>
        <w:tab/>
      </w:r>
      <w:r>
        <w:tab/>
      </w:r>
      <w:r w:rsidR="00AC47A2">
        <w:t>5</w:t>
      </w:r>
      <w:r w:rsidR="00E32548">
        <w:t>4</w:t>
      </w:r>
      <w:r>
        <w:t>.</w:t>
      </w:r>
      <w:r>
        <w:tab/>
      </w:r>
      <w:r w:rsidR="001E64D8">
        <w:t xml:space="preserve">Complainant could not afford to pay Respondent monthly $563.73 plus current service charges.  </w:t>
      </w:r>
      <w:proofErr w:type="gramStart"/>
      <w:r w:rsidR="001E64D8">
        <w:t>(Tr. 44.)</w:t>
      </w:r>
      <w:proofErr w:type="gramEnd"/>
    </w:p>
    <w:p w:rsidR="001E64D8" w:rsidRDefault="001E64D8" w:rsidP="006160ED">
      <w:pPr>
        <w:tabs>
          <w:tab w:val="left" w:pos="0"/>
        </w:tabs>
        <w:autoSpaceDE w:val="0"/>
        <w:autoSpaceDN w:val="0"/>
        <w:spacing w:line="360" w:lineRule="auto"/>
      </w:pPr>
    </w:p>
    <w:p w:rsidR="001E64D8" w:rsidRDefault="001E64D8" w:rsidP="006160ED">
      <w:pPr>
        <w:tabs>
          <w:tab w:val="left" w:pos="0"/>
        </w:tabs>
        <w:autoSpaceDE w:val="0"/>
        <w:autoSpaceDN w:val="0"/>
        <w:spacing w:line="360" w:lineRule="auto"/>
      </w:pPr>
      <w:r>
        <w:tab/>
      </w:r>
      <w:r>
        <w:tab/>
      </w:r>
      <w:r w:rsidR="00AC47A2">
        <w:t>5</w:t>
      </w:r>
      <w:r w:rsidR="00E32548">
        <w:t>5</w:t>
      </w:r>
      <w:r>
        <w:t>.</w:t>
      </w:r>
      <w:r>
        <w:tab/>
        <w:t xml:space="preserve"> On November 18, 2013, </w:t>
      </w:r>
      <w:r w:rsidR="009342A8">
        <w:t xml:space="preserve">an organization paid </w:t>
      </w:r>
      <w:r w:rsidR="007C1307">
        <w:t xml:space="preserve">$505.06 </w:t>
      </w:r>
      <w:r w:rsidR="009342A8">
        <w:t xml:space="preserve">on </w:t>
      </w:r>
      <w:r>
        <w:t>Complainant</w:t>
      </w:r>
      <w:r w:rsidR="009342A8">
        <w:t>’s service account</w:t>
      </w:r>
      <w:r>
        <w:t xml:space="preserve">.  </w:t>
      </w:r>
      <w:proofErr w:type="gramStart"/>
      <w:r>
        <w:t xml:space="preserve">(Tr. </w:t>
      </w:r>
      <w:r w:rsidR="009342A8">
        <w:t xml:space="preserve">28, </w:t>
      </w:r>
      <w:r>
        <w:t>92; PECO’s Exhibit 3.)</w:t>
      </w:r>
      <w:proofErr w:type="gramEnd"/>
    </w:p>
    <w:p w:rsidR="001E64D8" w:rsidRDefault="001E64D8" w:rsidP="006160ED">
      <w:pPr>
        <w:tabs>
          <w:tab w:val="left" w:pos="0"/>
        </w:tabs>
        <w:autoSpaceDE w:val="0"/>
        <w:autoSpaceDN w:val="0"/>
        <w:spacing w:line="360" w:lineRule="auto"/>
      </w:pPr>
    </w:p>
    <w:p w:rsidR="00811818" w:rsidRDefault="001E64D8" w:rsidP="006160ED">
      <w:pPr>
        <w:tabs>
          <w:tab w:val="left" w:pos="0"/>
        </w:tabs>
        <w:autoSpaceDE w:val="0"/>
        <w:autoSpaceDN w:val="0"/>
        <w:spacing w:line="360" w:lineRule="auto"/>
      </w:pPr>
      <w:r>
        <w:tab/>
      </w:r>
      <w:r>
        <w:tab/>
      </w:r>
      <w:r w:rsidR="00AC47A2">
        <w:t>5</w:t>
      </w:r>
      <w:r w:rsidR="00E32548">
        <w:t>6</w:t>
      </w:r>
      <w:r>
        <w:t>.</w:t>
      </w:r>
      <w:r>
        <w:tab/>
        <w:t xml:space="preserve">On November </w:t>
      </w:r>
      <w:r w:rsidR="001E3FFC">
        <w:t>20</w:t>
      </w:r>
      <w:r w:rsidR="00811818">
        <w:t xml:space="preserve">, 2013, Respondent connected Complainant’s service at Aspen Avenue and </w:t>
      </w:r>
      <w:r w:rsidR="00E03747">
        <w:t>transferred</w:t>
      </w:r>
      <w:r w:rsidR="00811818">
        <w:t xml:space="preserve"> a balance of $12,954.24 from 2</w:t>
      </w:r>
      <w:r w:rsidR="00811818" w:rsidRPr="00811818">
        <w:rPr>
          <w:vertAlign w:val="superscript"/>
        </w:rPr>
        <w:t>nd</w:t>
      </w:r>
      <w:r w:rsidR="00811818">
        <w:t xml:space="preserve"> Avenue to her account at Aspen Avenue.  </w:t>
      </w:r>
      <w:proofErr w:type="gramStart"/>
      <w:r w:rsidR="00811818">
        <w:t xml:space="preserve">(Tr. </w:t>
      </w:r>
      <w:r w:rsidR="001E3FFC">
        <w:t>28</w:t>
      </w:r>
      <w:r w:rsidR="00AC47A2">
        <w:t>, 75</w:t>
      </w:r>
      <w:r w:rsidR="00811818">
        <w:t xml:space="preserve">; </w:t>
      </w:r>
      <w:r w:rsidR="001E3FFC">
        <w:t>PECO’s Exhibit 4</w:t>
      </w:r>
      <w:r w:rsidR="00811818">
        <w:t>.)</w:t>
      </w:r>
      <w:proofErr w:type="gramEnd"/>
    </w:p>
    <w:p w:rsidR="00002E64" w:rsidRDefault="00002E64" w:rsidP="00002E64">
      <w:pPr>
        <w:tabs>
          <w:tab w:val="left" w:pos="0"/>
        </w:tabs>
        <w:autoSpaceDE w:val="0"/>
        <w:autoSpaceDN w:val="0"/>
        <w:spacing w:line="360" w:lineRule="auto"/>
      </w:pPr>
    </w:p>
    <w:p w:rsidR="00002E64" w:rsidRDefault="00811818" w:rsidP="00002E64">
      <w:pPr>
        <w:tabs>
          <w:tab w:val="left" w:pos="0"/>
        </w:tabs>
        <w:autoSpaceDE w:val="0"/>
        <w:autoSpaceDN w:val="0"/>
        <w:spacing w:line="360" w:lineRule="auto"/>
      </w:pPr>
      <w:r>
        <w:tab/>
      </w:r>
      <w:r>
        <w:tab/>
      </w:r>
      <w:r w:rsidR="00AC47A2">
        <w:t>5</w:t>
      </w:r>
      <w:r w:rsidR="00E32548">
        <w:t>7</w:t>
      </w:r>
      <w:r>
        <w:t>.</w:t>
      </w:r>
      <w:r>
        <w:tab/>
        <w:t>If Complainant had not accepted responsibility for the outstanding balance</w:t>
      </w:r>
      <w:r w:rsidR="005319D3">
        <w:t xml:space="preserve"> </w:t>
      </w:r>
      <w:r>
        <w:t>at 2</w:t>
      </w:r>
      <w:r w:rsidRPr="00811818">
        <w:rPr>
          <w:vertAlign w:val="superscript"/>
        </w:rPr>
        <w:t>nd</w:t>
      </w:r>
      <w:r>
        <w:t xml:space="preserve"> Avenue, Respondent would not have connected her service at Aspen Avenue on November</w:t>
      </w:r>
      <w:r w:rsidR="005319D3">
        <w:t> </w:t>
      </w:r>
      <w:r w:rsidR="001E3FFC">
        <w:t>20</w:t>
      </w:r>
      <w:r>
        <w:t xml:space="preserve">, 2013.  </w:t>
      </w:r>
      <w:proofErr w:type="gramStart"/>
      <w:r>
        <w:t>(Tr. 92.)</w:t>
      </w:r>
      <w:proofErr w:type="gramEnd"/>
    </w:p>
    <w:p w:rsidR="0091009D" w:rsidRDefault="0091009D" w:rsidP="00002E64">
      <w:pPr>
        <w:tabs>
          <w:tab w:val="left" w:pos="0"/>
        </w:tabs>
        <w:autoSpaceDE w:val="0"/>
        <w:autoSpaceDN w:val="0"/>
        <w:spacing w:line="360" w:lineRule="auto"/>
      </w:pPr>
    </w:p>
    <w:p w:rsidR="0091009D" w:rsidRDefault="0091009D" w:rsidP="00002E64">
      <w:pPr>
        <w:tabs>
          <w:tab w:val="left" w:pos="0"/>
        </w:tabs>
        <w:autoSpaceDE w:val="0"/>
        <w:autoSpaceDN w:val="0"/>
        <w:spacing w:line="360" w:lineRule="auto"/>
      </w:pPr>
    </w:p>
    <w:p w:rsidR="00E12112" w:rsidRDefault="00E12112" w:rsidP="00002E64">
      <w:pPr>
        <w:tabs>
          <w:tab w:val="left" w:pos="0"/>
        </w:tabs>
        <w:autoSpaceDE w:val="0"/>
        <w:autoSpaceDN w:val="0"/>
        <w:spacing w:line="360" w:lineRule="auto"/>
      </w:pPr>
    </w:p>
    <w:p w:rsidR="003F2454" w:rsidRDefault="003F2454" w:rsidP="006160ED">
      <w:pPr>
        <w:tabs>
          <w:tab w:val="left" w:pos="0"/>
        </w:tabs>
        <w:autoSpaceDE w:val="0"/>
        <w:autoSpaceDN w:val="0"/>
        <w:spacing w:line="360" w:lineRule="auto"/>
        <w:rPr>
          <w:u w:val="single"/>
        </w:rPr>
      </w:pPr>
      <w:r>
        <w:rPr>
          <w:u w:val="single"/>
        </w:rPr>
        <w:t>Reinstatement Bad Debt Service Charge</w:t>
      </w:r>
    </w:p>
    <w:p w:rsidR="003F2454" w:rsidRPr="003F2454" w:rsidRDefault="003F2454" w:rsidP="006160ED">
      <w:pPr>
        <w:tabs>
          <w:tab w:val="left" w:pos="0"/>
        </w:tabs>
        <w:autoSpaceDE w:val="0"/>
        <w:autoSpaceDN w:val="0"/>
        <w:spacing w:line="360" w:lineRule="auto"/>
        <w:rPr>
          <w:u w:val="single"/>
        </w:rPr>
      </w:pPr>
    </w:p>
    <w:p w:rsidR="00A61077" w:rsidRDefault="00AF6AB3" w:rsidP="006160ED">
      <w:pPr>
        <w:tabs>
          <w:tab w:val="left" w:pos="0"/>
        </w:tabs>
        <w:autoSpaceDE w:val="0"/>
        <w:autoSpaceDN w:val="0"/>
        <w:spacing w:line="360" w:lineRule="auto"/>
      </w:pPr>
      <w:r>
        <w:tab/>
      </w:r>
      <w:r>
        <w:tab/>
      </w:r>
      <w:r w:rsidR="00AC47A2">
        <w:t>5</w:t>
      </w:r>
      <w:r w:rsidR="00E32548">
        <w:t>8</w:t>
      </w:r>
      <w:r>
        <w:t>.</w:t>
      </w:r>
      <w:r>
        <w:tab/>
        <w:t xml:space="preserve">After November 2013, Respondent </w:t>
      </w:r>
      <w:r w:rsidR="00325A90">
        <w:t xml:space="preserve">began </w:t>
      </w:r>
      <w:r>
        <w:t>issu</w:t>
      </w:r>
      <w:r w:rsidR="00325A90">
        <w:t>ing</w:t>
      </w:r>
      <w:r>
        <w:t xml:space="preserve"> </w:t>
      </w:r>
      <w:r w:rsidR="00325A90">
        <w:t>C</w:t>
      </w:r>
      <w:r>
        <w:t>omplain</w:t>
      </w:r>
      <w:r w:rsidR="00976E42">
        <w:t>ant</w:t>
      </w:r>
      <w:r>
        <w:t xml:space="preserve"> monthly billings for </w:t>
      </w:r>
      <w:r w:rsidR="00710B34">
        <w:t xml:space="preserve">her </w:t>
      </w:r>
      <w:r>
        <w:t>current usage</w:t>
      </w:r>
      <w:r w:rsidR="00325A90">
        <w:t xml:space="preserve"> </w:t>
      </w:r>
      <w:r w:rsidR="00710B34">
        <w:t xml:space="preserve">at Aspen Avenue </w:t>
      </w:r>
      <w:r w:rsidR="00325A90">
        <w:t xml:space="preserve">plus </w:t>
      </w:r>
      <w:r w:rsidR="00272C97">
        <w:t xml:space="preserve">multiple </w:t>
      </w:r>
      <w:r w:rsidR="00817167">
        <w:t>“</w:t>
      </w:r>
      <w:r w:rsidR="00325A90">
        <w:t>reinstate bad debt service</w:t>
      </w:r>
      <w:r w:rsidR="00817167">
        <w:t>”</w:t>
      </w:r>
      <w:r w:rsidR="00325A90">
        <w:t xml:space="preserve"> charge</w:t>
      </w:r>
      <w:r w:rsidR="00272C97">
        <w:t>s</w:t>
      </w:r>
      <w:r w:rsidR="00A61077">
        <w:t xml:space="preserve">.  </w:t>
      </w:r>
      <w:proofErr w:type="gramStart"/>
      <w:r w:rsidR="00A61077">
        <w:t>(Tr.</w:t>
      </w:r>
      <w:r w:rsidR="00E32548">
        <w:t xml:space="preserve"> </w:t>
      </w:r>
      <w:r w:rsidR="00A61077">
        <w:t>34</w:t>
      </w:r>
      <w:r w:rsidR="003F2454">
        <w:t>, 106</w:t>
      </w:r>
      <w:r w:rsidR="00272C97">
        <w:t>; Complainant’s Exhibit C</w:t>
      </w:r>
      <w:r w:rsidR="00710B34">
        <w:t>.)</w:t>
      </w:r>
      <w:proofErr w:type="gramEnd"/>
    </w:p>
    <w:p w:rsidR="00710B34" w:rsidRDefault="00710B34" w:rsidP="006160ED">
      <w:pPr>
        <w:tabs>
          <w:tab w:val="left" w:pos="0"/>
        </w:tabs>
        <w:autoSpaceDE w:val="0"/>
        <w:autoSpaceDN w:val="0"/>
        <w:spacing w:line="360" w:lineRule="auto"/>
      </w:pPr>
    </w:p>
    <w:p w:rsidR="00710B34" w:rsidRDefault="00710B34" w:rsidP="006160ED">
      <w:pPr>
        <w:tabs>
          <w:tab w:val="left" w:pos="0"/>
        </w:tabs>
        <w:autoSpaceDE w:val="0"/>
        <w:autoSpaceDN w:val="0"/>
        <w:spacing w:line="360" w:lineRule="auto"/>
      </w:pPr>
      <w:r>
        <w:tab/>
      </w:r>
      <w:r>
        <w:tab/>
      </w:r>
      <w:r w:rsidR="00AC47A2">
        <w:t>5</w:t>
      </w:r>
      <w:r w:rsidR="00E32548">
        <w:t>9</w:t>
      </w:r>
      <w:r>
        <w:t>.</w:t>
      </w:r>
      <w:r>
        <w:tab/>
        <w:t xml:space="preserve">Upon receiving bills </w:t>
      </w:r>
      <w:r w:rsidR="007F3F8B">
        <w:t xml:space="preserve">for service </w:t>
      </w:r>
      <w:r>
        <w:t>with the reinstate bad debt service charge</w:t>
      </w:r>
      <w:r w:rsidR="00272C97">
        <w:t>s</w:t>
      </w:r>
      <w:r>
        <w:t xml:space="preserve">, Complainant began calling Respondent for an explanation as to the charge and why her bill was so high.  </w:t>
      </w:r>
      <w:proofErr w:type="gramStart"/>
      <w:r>
        <w:t>(Tr. 34.)</w:t>
      </w:r>
      <w:proofErr w:type="gramEnd"/>
    </w:p>
    <w:p w:rsidR="00C21E14" w:rsidRDefault="00C21E14" w:rsidP="006160ED">
      <w:pPr>
        <w:tabs>
          <w:tab w:val="left" w:pos="0"/>
        </w:tabs>
        <w:autoSpaceDE w:val="0"/>
        <w:autoSpaceDN w:val="0"/>
        <w:spacing w:line="360" w:lineRule="auto"/>
      </w:pPr>
    </w:p>
    <w:p w:rsidR="00447560" w:rsidRDefault="001B0061" w:rsidP="00447560">
      <w:pPr>
        <w:tabs>
          <w:tab w:val="left" w:pos="0"/>
        </w:tabs>
        <w:autoSpaceDE w:val="0"/>
        <w:autoSpaceDN w:val="0"/>
        <w:spacing w:line="360" w:lineRule="auto"/>
      </w:pPr>
      <w:r>
        <w:tab/>
      </w:r>
      <w:r>
        <w:tab/>
        <w:t>6</w:t>
      </w:r>
      <w:r w:rsidR="00C21E14">
        <w:t>0</w:t>
      </w:r>
      <w:r>
        <w:t>.</w:t>
      </w:r>
      <w:r>
        <w:tab/>
      </w:r>
      <w:r w:rsidR="00447560">
        <w:t>On January 29, 2015, Respondent issued Complainant</w:t>
      </w:r>
      <w:r w:rsidR="007F3F8B">
        <w:t xml:space="preserve"> a</w:t>
      </w:r>
      <w:r w:rsidR="00447560">
        <w:t xml:space="preserve"> monthly billing statement listing her current usage for electricity at $45.72</w:t>
      </w:r>
      <w:r w:rsidR="007F3F8B">
        <w:t>,</w:t>
      </w:r>
      <w:r w:rsidR="00447560">
        <w:t xml:space="preserve"> and gas at $80.86</w:t>
      </w:r>
      <w:r w:rsidR="007F3F8B">
        <w:t>,</w:t>
      </w:r>
      <w:r w:rsidR="00447560">
        <w:t xml:space="preserve"> for a total of $126.58</w:t>
      </w:r>
      <w:r w:rsidR="007F3F8B">
        <w:t>,</w:t>
      </w:r>
      <w:r w:rsidR="00447560">
        <w:t xml:space="preserve"> plus a past due amount of $447.82 and the following billing summary:</w:t>
      </w:r>
    </w:p>
    <w:p w:rsidR="00D62CE8" w:rsidRDefault="00D62CE8" w:rsidP="00447560">
      <w:pPr>
        <w:tabs>
          <w:tab w:val="left" w:pos="0"/>
        </w:tabs>
        <w:autoSpaceDE w:val="0"/>
        <w:autoSpaceDN w:val="0"/>
        <w:spacing w:line="360" w:lineRule="auto"/>
      </w:pPr>
    </w:p>
    <w:tbl>
      <w:tblPr>
        <w:tblStyle w:val="TableGrid"/>
        <w:tblW w:w="0" w:type="auto"/>
        <w:tblInd w:w="1485" w:type="dxa"/>
        <w:tblLook w:val="04A0" w:firstRow="1" w:lastRow="0" w:firstColumn="1" w:lastColumn="0" w:noHBand="0" w:noVBand="1"/>
      </w:tblPr>
      <w:tblGrid>
        <w:gridCol w:w="4788"/>
        <w:gridCol w:w="1620"/>
      </w:tblGrid>
      <w:tr w:rsidR="00221D78" w:rsidTr="00D62CE8">
        <w:tc>
          <w:tcPr>
            <w:tcW w:w="4788" w:type="dxa"/>
          </w:tcPr>
          <w:p w:rsidR="00221D78" w:rsidRPr="00D62CE8" w:rsidRDefault="00221D78" w:rsidP="00221D78">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Thank you for you</w:t>
            </w:r>
            <w:r w:rsidR="004D7969">
              <w:rPr>
                <w:rFonts w:ascii="Times New Roman" w:hAnsi="Times New Roman"/>
                <w:sz w:val="24"/>
              </w:rPr>
              <w:t>r</w:t>
            </w:r>
            <w:r w:rsidRPr="00D62CE8">
              <w:rPr>
                <w:rFonts w:ascii="Times New Roman" w:hAnsi="Times New Roman"/>
                <w:sz w:val="24"/>
              </w:rPr>
              <w:t xml:space="preserve"> payment of $129.80</w:t>
            </w:r>
          </w:p>
        </w:tc>
        <w:tc>
          <w:tcPr>
            <w:tcW w:w="1620" w:type="dxa"/>
          </w:tcPr>
          <w:p w:rsidR="00221D78" w:rsidRPr="00D62CE8" w:rsidRDefault="00221D78" w:rsidP="00447560">
            <w:pPr>
              <w:tabs>
                <w:tab w:val="left" w:pos="0"/>
              </w:tabs>
              <w:autoSpaceDE w:val="0"/>
              <w:autoSpaceDN w:val="0"/>
              <w:spacing w:line="360" w:lineRule="auto"/>
              <w:rPr>
                <w:rFonts w:ascii="Times New Roman" w:hAnsi="Times New Roman"/>
                <w:sz w:val="24"/>
              </w:rPr>
            </w:pPr>
          </w:p>
        </w:tc>
      </w:tr>
      <w:tr w:rsidR="00221D78" w:rsidTr="00D62CE8">
        <w:tc>
          <w:tcPr>
            <w:tcW w:w="4788"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LIHEAP payment $144.00</w:t>
            </w:r>
          </w:p>
        </w:tc>
        <w:tc>
          <w:tcPr>
            <w:tcW w:w="1620" w:type="dxa"/>
          </w:tcPr>
          <w:p w:rsidR="00221D78" w:rsidRPr="00D62CE8" w:rsidRDefault="00221D78" w:rsidP="00447560">
            <w:pPr>
              <w:tabs>
                <w:tab w:val="left" w:pos="0"/>
              </w:tabs>
              <w:autoSpaceDE w:val="0"/>
              <w:autoSpaceDN w:val="0"/>
              <w:spacing w:line="360" w:lineRule="auto"/>
              <w:rPr>
                <w:rFonts w:ascii="Times New Roman" w:hAnsi="Times New Roman"/>
                <w:sz w:val="24"/>
              </w:rPr>
            </w:pPr>
          </w:p>
        </w:tc>
      </w:tr>
      <w:tr w:rsidR="00221D78" w:rsidTr="00D62CE8">
        <w:tc>
          <w:tcPr>
            <w:tcW w:w="4788"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$6.00</w:t>
            </w:r>
          </w:p>
        </w:tc>
      </w:tr>
      <w:tr w:rsidR="00221D78" w:rsidTr="00D62CE8">
        <w:tc>
          <w:tcPr>
            <w:tcW w:w="4788"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 GAS SERVICE</w:t>
            </w:r>
          </w:p>
        </w:tc>
        <w:tc>
          <w:tcPr>
            <w:tcW w:w="1620"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$355.76</w:t>
            </w:r>
          </w:p>
        </w:tc>
      </w:tr>
      <w:tr w:rsidR="00221D78" w:rsidTr="00D62CE8">
        <w:tc>
          <w:tcPr>
            <w:tcW w:w="4788"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$192.15</w:t>
            </w:r>
          </w:p>
        </w:tc>
      </w:tr>
      <w:tr w:rsidR="00221D78" w:rsidTr="00D62CE8">
        <w:tc>
          <w:tcPr>
            <w:tcW w:w="4788" w:type="dxa"/>
          </w:tcPr>
          <w:p w:rsidR="00221D78" w:rsidRPr="00D62CE8" w:rsidRDefault="00221D7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21D78" w:rsidRPr="00D62CE8" w:rsidRDefault="00221D7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$593.62</w:t>
            </w:r>
          </w:p>
        </w:tc>
      </w:tr>
      <w:tr w:rsidR="00221D78" w:rsidTr="00D62CE8">
        <w:tc>
          <w:tcPr>
            <w:tcW w:w="4788" w:type="dxa"/>
          </w:tcPr>
          <w:p w:rsidR="00221D78" w:rsidRPr="00D62CE8" w:rsidRDefault="00221D7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21D78" w:rsidRPr="00D62CE8" w:rsidRDefault="00221D7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$1.77</w:t>
            </w:r>
          </w:p>
        </w:tc>
      </w:tr>
      <w:tr w:rsidR="00221D78" w:rsidTr="00D62CE8">
        <w:tc>
          <w:tcPr>
            <w:tcW w:w="4788" w:type="dxa"/>
          </w:tcPr>
          <w:p w:rsidR="00221D78" w:rsidRPr="00D62CE8" w:rsidRDefault="00221D7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21D78" w:rsidRPr="00D62CE8" w:rsidRDefault="00221D7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$562.75</w:t>
            </w:r>
          </w:p>
        </w:tc>
      </w:tr>
      <w:tr w:rsidR="00221D78" w:rsidTr="00D62CE8">
        <w:tc>
          <w:tcPr>
            <w:tcW w:w="4788"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$2,039.38</w:t>
            </w:r>
          </w:p>
        </w:tc>
      </w:tr>
      <w:tr w:rsidR="00221D78" w:rsidTr="00D62CE8">
        <w:tc>
          <w:tcPr>
            <w:tcW w:w="4788"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$640.73</w:t>
            </w:r>
          </w:p>
        </w:tc>
      </w:tr>
      <w:tr w:rsidR="00221D78" w:rsidTr="00D62CE8">
        <w:tc>
          <w:tcPr>
            <w:tcW w:w="4788" w:type="dxa"/>
          </w:tcPr>
          <w:p w:rsidR="00221D78" w:rsidRPr="00D62CE8" w:rsidRDefault="00221D78"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 GAS SERVICE</w:t>
            </w:r>
          </w:p>
        </w:tc>
        <w:tc>
          <w:tcPr>
            <w:tcW w:w="1620" w:type="dxa"/>
          </w:tcPr>
          <w:p w:rsidR="00221D78" w:rsidRPr="00D62CE8" w:rsidRDefault="00272C97"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$530.03</w:t>
            </w:r>
          </w:p>
        </w:tc>
      </w:tr>
      <w:tr w:rsidR="00272C97" w:rsidTr="00D62CE8">
        <w:tc>
          <w:tcPr>
            <w:tcW w:w="4788"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Connection charge - standard</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$6.00</w:t>
            </w:r>
          </w:p>
        </w:tc>
      </w:tr>
      <w:tr w:rsidR="00272C97" w:rsidTr="00D62CE8">
        <w:tc>
          <w:tcPr>
            <w:tcW w:w="4788"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 GAS SERVICE</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$1.21</w:t>
            </w:r>
          </w:p>
        </w:tc>
      </w:tr>
      <w:tr w:rsidR="00272C97" w:rsidTr="00D62CE8">
        <w:tc>
          <w:tcPr>
            <w:tcW w:w="4788"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$118.28</w:t>
            </w:r>
          </w:p>
        </w:tc>
      </w:tr>
      <w:tr w:rsidR="00272C97" w:rsidTr="00D62CE8">
        <w:tc>
          <w:tcPr>
            <w:tcW w:w="4788"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$6.00</w:t>
            </w:r>
          </w:p>
        </w:tc>
      </w:tr>
      <w:tr w:rsidR="00272C97" w:rsidTr="00D62CE8">
        <w:tc>
          <w:tcPr>
            <w:tcW w:w="4788"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$404.00</w:t>
            </w:r>
          </w:p>
        </w:tc>
      </w:tr>
      <w:tr w:rsidR="00272C97" w:rsidTr="00D62CE8">
        <w:tc>
          <w:tcPr>
            <w:tcW w:w="4788" w:type="dxa"/>
          </w:tcPr>
          <w:p w:rsidR="00272C97" w:rsidRPr="00D62CE8" w:rsidRDefault="00272C97" w:rsidP="00272C97">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–Misc</w:t>
            </w:r>
            <w:r w:rsidR="00D62CE8">
              <w:rPr>
                <w:rFonts w:ascii="Times New Roman" w:hAnsi="Times New Roman"/>
                <w:sz w:val="24"/>
              </w:rPr>
              <w:t>.</w:t>
            </w:r>
            <w:r w:rsidRPr="00D62CE8">
              <w:rPr>
                <w:rFonts w:ascii="Times New Roman" w:hAnsi="Times New Roman"/>
                <w:sz w:val="24"/>
              </w:rPr>
              <w:t xml:space="preserve"> business</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$5.78</w:t>
            </w:r>
          </w:p>
        </w:tc>
      </w:tr>
      <w:tr w:rsidR="00272C97" w:rsidTr="00D62CE8">
        <w:tc>
          <w:tcPr>
            <w:tcW w:w="4788"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$3,449.24</w:t>
            </w:r>
          </w:p>
        </w:tc>
      </w:tr>
      <w:tr w:rsidR="00272C97" w:rsidTr="00D62CE8">
        <w:tc>
          <w:tcPr>
            <w:tcW w:w="4788"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$150.00</w:t>
            </w:r>
          </w:p>
        </w:tc>
      </w:tr>
      <w:tr w:rsidR="00272C97" w:rsidTr="00D62CE8">
        <w:tc>
          <w:tcPr>
            <w:tcW w:w="4788" w:type="dxa"/>
          </w:tcPr>
          <w:p w:rsidR="00272C97" w:rsidRPr="00D62CE8" w:rsidRDefault="00272C97"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72C97" w:rsidRPr="00D62CE8" w:rsidRDefault="00272C97"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$33.81</w:t>
            </w:r>
          </w:p>
        </w:tc>
      </w:tr>
      <w:tr w:rsidR="00272C97" w:rsidTr="00D62CE8">
        <w:tc>
          <w:tcPr>
            <w:tcW w:w="4788" w:type="dxa"/>
          </w:tcPr>
          <w:p w:rsidR="00272C97" w:rsidRPr="00D62CE8" w:rsidRDefault="00272C97"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Reinstate bad debt –Service</w:t>
            </w:r>
          </w:p>
        </w:tc>
        <w:tc>
          <w:tcPr>
            <w:tcW w:w="1620" w:type="dxa"/>
          </w:tcPr>
          <w:p w:rsidR="00272C97" w:rsidRPr="00D62CE8" w:rsidRDefault="00272C97" w:rsidP="00447560">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$1,647.10</w:t>
            </w:r>
          </w:p>
        </w:tc>
      </w:tr>
      <w:tr w:rsidR="00272C97" w:rsidTr="00D62CE8">
        <w:tc>
          <w:tcPr>
            <w:tcW w:w="4788" w:type="dxa"/>
          </w:tcPr>
          <w:p w:rsidR="00272C97" w:rsidRPr="00D62CE8" w:rsidRDefault="00D62CE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Charges from previous bill</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$3,029.33</w:t>
            </w:r>
          </w:p>
        </w:tc>
      </w:tr>
      <w:tr w:rsidR="00272C97" w:rsidTr="00D62CE8">
        <w:tc>
          <w:tcPr>
            <w:tcW w:w="4788" w:type="dxa"/>
          </w:tcPr>
          <w:p w:rsidR="00272C97" w:rsidRPr="00D62CE8" w:rsidRDefault="00D62CE8"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Late payment charge</w:t>
            </w:r>
          </w:p>
        </w:tc>
        <w:tc>
          <w:tcPr>
            <w:tcW w:w="1620" w:type="dxa"/>
          </w:tcPr>
          <w:p w:rsidR="00272C97" w:rsidRPr="00D62CE8" w:rsidRDefault="00272C97" w:rsidP="00D15F5A">
            <w:pPr>
              <w:tabs>
                <w:tab w:val="left" w:pos="0"/>
              </w:tabs>
              <w:autoSpaceDE w:val="0"/>
              <w:autoSpaceDN w:val="0"/>
              <w:spacing w:line="360" w:lineRule="auto"/>
              <w:rPr>
                <w:rFonts w:ascii="Times New Roman" w:hAnsi="Times New Roman"/>
                <w:sz w:val="24"/>
              </w:rPr>
            </w:pPr>
            <w:r w:rsidRPr="00D62CE8">
              <w:rPr>
                <w:rFonts w:ascii="Times New Roman" w:hAnsi="Times New Roman"/>
                <w:sz w:val="24"/>
              </w:rPr>
              <w:t>$2,670.54</w:t>
            </w:r>
          </w:p>
        </w:tc>
      </w:tr>
      <w:tr w:rsidR="00272C97" w:rsidTr="00D62CE8">
        <w:tc>
          <w:tcPr>
            <w:tcW w:w="4788" w:type="dxa"/>
          </w:tcPr>
          <w:p w:rsidR="00272C97" w:rsidRPr="00D62CE8" w:rsidRDefault="00D62CE8" w:rsidP="00D15F5A">
            <w:pPr>
              <w:tabs>
                <w:tab w:val="left" w:pos="0"/>
              </w:tabs>
              <w:autoSpaceDE w:val="0"/>
              <w:autoSpaceDN w:val="0"/>
              <w:spacing w:line="360" w:lineRule="auto"/>
              <w:rPr>
                <w:rFonts w:ascii="Times New Roman" w:hAnsi="Times New Roman"/>
                <w:b/>
                <w:sz w:val="24"/>
              </w:rPr>
            </w:pPr>
            <w:r w:rsidRPr="00D62CE8">
              <w:rPr>
                <w:rFonts w:ascii="Times New Roman" w:hAnsi="Times New Roman"/>
                <w:b/>
                <w:sz w:val="24"/>
              </w:rPr>
              <w:t>Total Other Charges</w:t>
            </w:r>
          </w:p>
        </w:tc>
        <w:tc>
          <w:tcPr>
            <w:tcW w:w="1620" w:type="dxa"/>
          </w:tcPr>
          <w:p w:rsidR="00272C97" w:rsidRPr="00D62CE8" w:rsidRDefault="00D62CE8" w:rsidP="00D15F5A">
            <w:pPr>
              <w:tabs>
                <w:tab w:val="left" w:pos="0"/>
              </w:tabs>
              <w:autoSpaceDE w:val="0"/>
              <w:autoSpaceDN w:val="0"/>
              <w:spacing w:line="360" w:lineRule="auto"/>
              <w:rPr>
                <w:rFonts w:ascii="Times New Roman" w:hAnsi="Times New Roman"/>
                <w:b/>
                <w:sz w:val="24"/>
              </w:rPr>
            </w:pPr>
            <w:r w:rsidRPr="00D62CE8">
              <w:rPr>
                <w:rFonts w:ascii="Times New Roman" w:hAnsi="Times New Roman"/>
                <w:b/>
                <w:sz w:val="24"/>
              </w:rPr>
              <w:t>$16,443.48</w:t>
            </w:r>
          </w:p>
        </w:tc>
      </w:tr>
    </w:tbl>
    <w:p w:rsidR="00447560" w:rsidRDefault="00D62CE8" w:rsidP="00447560">
      <w:pPr>
        <w:tabs>
          <w:tab w:val="left" w:pos="0"/>
        </w:tabs>
        <w:autoSpaceDE w:val="0"/>
        <w:autoSpaceDN w:val="0"/>
        <w:spacing w:line="360" w:lineRule="auto"/>
      </w:pPr>
      <w:r>
        <w:tab/>
      </w:r>
      <w:r>
        <w:tab/>
        <w:t>Table 3</w:t>
      </w:r>
    </w:p>
    <w:p w:rsidR="00447560" w:rsidRDefault="00447560" w:rsidP="00447560">
      <w:pPr>
        <w:tabs>
          <w:tab w:val="left" w:pos="0"/>
        </w:tabs>
        <w:autoSpaceDE w:val="0"/>
        <w:autoSpaceDN w:val="0"/>
        <w:spacing w:line="360" w:lineRule="auto"/>
      </w:pPr>
      <w:proofErr w:type="gramStart"/>
      <w:r>
        <w:t>(Tr. 46; Complainant’s Exhibit C.)</w:t>
      </w:r>
      <w:proofErr w:type="gramEnd"/>
    </w:p>
    <w:p w:rsidR="005319D3" w:rsidRDefault="005319D3" w:rsidP="00447560">
      <w:pPr>
        <w:tabs>
          <w:tab w:val="left" w:pos="0"/>
        </w:tabs>
        <w:autoSpaceDE w:val="0"/>
        <w:autoSpaceDN w:val="0"/>
        <w:spacing w:line="360" w:lineRule="auto"/>
      </w:pPr>
    </w:p>
    <w:p w:rsidR="004D7969" w:rsidRDefault="009B07A3" w:rsidP="006160ED">
      <w:pPr>
        <w:tabs>
          <w:tab w:val="left" w:pos="0"/>
        </w:tabs>
        <w:autoSpaceDE w:val="0"/>
        <w:autoSpaceDN w:val="0"/>
        <w:spacing w:line="360" w:lineRule="auto"/>
      </w:pPr>
      <w:r>
        <w:tab/>
      </w:r>
      <w:r w:rsidR="00710B34">
        <w:tab/>
      </w:r>
      <w:r w:rsidR="00AC47A2">
        <w:t>6</w:t>
      </w:r>
      <w:r w:rsidR="00E32548">
        <w:t>1</w:t>
      </w:r>
      <w:r w:rsidR="00710B34">
        <w:t>.</w:t>
      </w:r>
      <w:r w:rsidR="00710B34">
        <w:tab/>
        <w:t xml:space="preserve">Respondent did not provide Complainant with an explanation of the reinstatement bad debt service charge until February 12, 2015.  </w:t>
      </w:r>
      <w:proofErr w:type="gramStart"/>
      <w:r w:rsidR="00710B34">
        <w:t xml:space="preserve">(Tr. </w:t>
      </w:r>
      <w:r w:rsidR="00002E64">
        <w:t xml:space="preserve">106, </w:t>
      </w:r>
      <w:r w:rsidR="00710B34">
        <w:t>108.)</w:t>
      </w:r>
      <w:proofErr w:type="gramEnd"/>
    </w:p>
    <w:p w:rsidR="004D7969" w:rsidRDefault="004D7969" w:rsidP="006160ED">
      <w:pPr>
        <w:tabs>
          <w:tab w:val="left" w:pos="0"/>
        </w:tabs>
        <w:autoSpaceDE w:val="0"/>
        <w:autoSpaceDN w:val="0"/>
        <w:spacing w:line="360" w:lineRule="auto"/>
      </w:pPr>
    </w:p>
    <w:p w:rsidR="001A20A9" w:rsidRPr="00092F8E" w:rsidRDefault="001A20A9" w:rsidP="006160ED">
      <w:pPr>
        <w:tabs>
          <w:tab w:val="left" w:pos="0"/>
        </w:tabs>
        <w:autoSpaceDE w:val="0"/>
        <w:autoSpaceDN w:val="0"/>
        <w:spacing w:line="360" w:lineRule="auto"/>
      </w:pPr>
      <w:r>
        <w:softHyphen/>
      </w:r>
      <w:r w:rsidRPr="00092F8E">
        <w:rPr>
          <w:u w:val="single"/>
        </w:rPr>
        <w:t xml:space="preserve">Complainant’s Payment History </w:t>
      </w:r>
      <w:r w:rsidR="00770539" w:rsidRPr="00092F8E">
        <w:rPr>
          <w:u w:val="single"/>
        </w:rPr>
        <w:t xml:space="preserve">and Termination Notice </w:t>
      </w:r>
    </w:p>
    <w:p w:rsidR="001A20A9" w:rsidRDefault="001A20A9" w:rsidP="006160ED">
      <w:pPr>
        <w:tabs>
          <w:tab w:val="left" w:pos="0"/>
        </w:tabs>
        <w:autoSpaceDE w:val="0"/>
        <w:autoSpaceDN w:val="0"/>
        <w:spacing w:line="360" w:lineRule="auto"/>
      </w:pPr>
    </w:p>
    <w:p w:rsidR="00F42F05" w:rsidRDefault="00AF6AB3" w:rsidP="006160ED">
      <w:pPr>
        <w:tabs>
          <w:tab w:val="left" w:pos="0"/>
        </w:tabs>
        <w:autoSpaceDE w:val="0"/>
        <w:autoSpaceDN w:val="0"/>
        <w:spacing w:line="360" w:lineRule="auto"/>
      </w:pPr>
      <w:r>
        <w:t xml:space="preserve"> </w:t>
      </w:r>
      <w:r w:rsidR="00710B34">
        <w:tab/>
      </w:r>
      <w:r w:rsidR="00710B34">
        <w:tab/>
      </w:r>
      <w:r w:rsidR="00AC47A2">
        <w:t>6</w:t>
      </w:r>
      <w:r w:rsidR="00770539">
        <w:t>2</w:t>
      </w:r>
      <w:r w:rsidR="00710B34">
        <w:t>.</w:t>
      </w:r>
      <w:r w:rsidR="00710B34">
        <w:tab/>
        <w:t>When Respondent began billing Complainant in November 2013, the monthly billings listed a me</w:t>
      </w:r>
      <w:r>
        <w:t>ssage stating</w:t>
      </w:r>
      <w:r w:rsidR="00147607">
        <w:t xml:space="preserve"> a</w:t>
      </w:r>
      <w:r>
        <w:t xml:space="preserve"> </w:t>
      </w:r>
      <w:r w:rsidRPr="00092F8E">
        <w:t xml:space="preserve">deferred payment agreement </w:t>
      </w:r>
      <w:r w:rsidR="00770539" w:rsidRPr="00092F8E">
        <w:t>of $570.11</w:t>
      </w:r>
      <w:r w:rsidR="0091009D">
        <w:t xml:space="preserve">. </w:t>
      </w:r>
      <w:r w:rsidR="00770539" w:rsidRPr="00092F8E">
        <w:t xml:space="preserve"> </w:t>
      </w:r>
      <w:proofErr w:type="gramStart"/>
      <w:r w:rsidRPr="00092F8E">
        <w:t>(Tr. 93.)</w:t>
      </w:r>
      <w:proofErr w:type="gramEnd"/>
    </w:p>
    <w:p w:rsidR="002F352F" w:rsidRDefault="002F352F" w:rsidP="006160ED">
      <w:pPr>
        <w:tabs>
          <w:tab w:val="left" w:pos="0"/>
        </w:tabs>
        <w:autoSpaceDE w:val="0"/>
        <w:autoSpaceDN w:val="0"/>
        <w:spacing w:line="360" w:lineRule="auto"/>
      </w:pPr>
    </w:p>
    <w:p w:rsidR="002F352F" w:rsidRDefault="002F352F" w:rsidP="002F352F">
      <w:pPr>
        <w:tabs>
          <w:tab w:val="left" w:pos="0"/>
        </w:tabs>
        <w:autoSpaceDE w:val="0"/>
        <w:autoSpaceDN w:val="0"/>
        <w:spacing w:line="360" w:lineRule="auto"/>
      </w:pPr>
      <w:r>
        <w:tab/>
      </w:r>
      <w:r>
        <w:tab/>
      </w:r>
      <w:r w:rsidR="00770539">
        <w:t>6</w:t>
      </w:r>
      <w:r w:rsidR="00682995">
        <w:t>3</w:t>
      </w:r>
      <w:r>
        <w:t>.</w:t>
      </w:r>
      <w:r>
        <w:tab/>
      </w:r>
      <w:r w:rsidR="00B37EC9">
        <w:t xml:space="preserve">Complainant did not pay her monthly service bill from December 2013 to </w:t>
      </w:r>
      <w:r w:rsidR="00C0577E">
        <w:t xml:space="preserve">August 2014 because she could not afford the deferred payment agreement amount of </w:t>
      </w:r>
      <w:r w:rsidR="00C0577E" w:rsidRPr="00092F8E">
        <w:t>$570.11 plus her monthly service charges</w:t>
      </w:r>
      <w:r w:rsidR="00C0577E">
        <w:t xml:space="preserve">.  </w:t>
      </w:r>
      <w:proofErr w:type="gramStart"/>
      <w:r w:rsidR="00C0577E">
        <w:t xml:space="preserve">(Tr. </w:t>
      </w:r>
      <w:r w:rsidR="00770539">
        <w:t xml:space="preserve">28, </w:t>
      </w:r>
      <w:r w:rsidR="00C0577E">
        <w:t>33.)</w:t>
      </w:r>
      <w:proofErr w:type="gramEnd"/>
    </w:p>
    <w:p w:rsidR="00682995" w:rsidRDefault="00682995" w:rsidP="002F352F">
      <w:pPr>
        <w:tabs>
          <w:tab w:val="left" w:pos="0"/>
        </w:tabs>
        <w:autoSpaceDE w:val="0"/>
        <w:autoSpaceDN w:val="0"/>
        <w:spacing w:line="360" w:lineRule="auto"/>
      </w:pPr>
    </w:p>
    <w:p w:rsidR="00C0577E" w:rsidRDefault="00B37EC9" w:rsidP="006160ED">
      <w:pPr>
        <w:tabs>
          <w:tab w:val="left" w:pos="0"/>
        </w:tabs>
        <w:autoSpaceDE w:val="0"/>
        <w:autoSpaceDN w:val="0"/>
        <w:spacing w:line="360" w:lineRule="auto"/>
      </w:pPr>
      <w:r>
        <w:tab/>
      </w:r>
      <w:r>
        <w:tab/>
      </w:r>
      <w:r w:rsidR="00770539">
        <w:t>6</w:t>
      </w:r>
      <w:r w:rsidR="00682995">
        <w:t>4</w:t>
      </w:r>
      <w:r>
        <w:t>.</w:t>
      </w:r>
      <w:r>
        <w:tab/>
      </w:r>
      <w:r w:rsidR="00C0577E">
        <w:t xml:space="preserve">On April 7, 2014, while Complainant was hospitalized, </w:t>
      </w:r>
      <w:r w:rsidR="00770539">
        <w:t xml:space="preserve">Respondent posted at her address a </w:t>
      </w:r>
      <w:r w:rsidR="00C0577E">
        <w:t xml:space="preserve">10-day shut-off notice for </w:t>
      </w:r>
      <w:r w:rsidR="00682995">
        <w:t xml:space="preserve">her </w:t>
      </w:r>
      <w:r w:rsidR="00C0577E">
        <w:t xml:space="preserve">electricity.  </w:t>
      </w:r>
      <w:proofErr w:type="gramStart"/>
      <w:r w:rsidR="00682995">
        <w:t>(Tr. 45, 111.)</w:t>
      </w:r>
      <w:proofErr w:type="gramEnd"/>
    </w:p>
    <w:p w:rsidR="00682995" w:rsidRDefault="00682995" w:rsidP="00682995">
      <w:pPr>
        <w:tabs>
          <w:tab w:val="left" w:pos="0"/>
        </w:tabs>
        <w:autoSpaceDE w:val="0"/>
        <w:autoSpaceDN w:val="0"/>
        <w:spacing w:line="360" w:lineRule="auto"/>
      </w:pPr>
    </w:p>
    <w:p w:rsidR="00682995" w:rsidRDefault="00682995" w:rsidP="00682995">
      <w:pPr>
        <w:tabs>
          <w:tab w:val="left" w:pos="0"/>
        </w:tabs>
        <w:autoSpaceDE w:val="0"/>
        <w:autoSpaceDN w:val="0"/>
        <w:spacing w:line="360" w:lineRule="auto"/>
      </w:pPr>
      <w:r>
        <w:tab/>
      </w:r>
      <w:r>
        <w:tab/>
      </w:r>
      <w:r w:rsidR="00770539">
        <w:t>6</w:t>
      </w:r>
      <w:r>
        <w:t>5.</w:t>
      </w:r>
      <w:r>
        <w:tab/>
      </w:r>
      <w:r w:rsidRPr="00092F8E">
        <w:t xml:space="preserve">In November </w:t>
      </w:r>
      <w:r w:rsidR="00147607">
        <w:t xml:space="preserve">18, </w:t>
      </w:r>
      <w:r w:rsidRPr="00092F8E">
        <w:t xml:space="preserve">2013 Complainant had applied for Respondent’s CAP and was enrolled </w:t>
      </w:r>
      <w:r w:rsidR="00147607">
        <w:t>on July 14,</w:t>
      </w:r>
      <w:r w:rsidRPr="00092F8E">
        <w:t xml:space="preserve"> 2014.  </w:t>
      </w:r>
      <w:proofErr w:type="gramStart"/>
      <w:r w:rsidRPr="00092F8E">
        <w:t>(Tr. 28</w:t>
      </w:r>
      <w:r w:rsidR="00147607">
        <w:t>; PECO’s Exhibit 6</w:t>
      </w:r>
      <w:r w:rsidRPr="00092F8E">
        <w:t>.)</w:t>
      </w:r>
      <w:proofErr w:type="gramEnd"/>
    </w:p>
    <w:p w:rsidR="00682995" w:rsidRDefault="00682995" w:rsidP="00682995">
      <w:pPr>
        <w:tabs>
          <w:tab w:val="left" w:pos="0"/>
        </w:tabs>
        <w:autoSpaceDE w:val="0"/>
        <w:autoSpaceDN w:val="0"/>
        <w:spacing w:line="360" w:lineRule="auto"/>
      </w:pPr>
    </w:p>
    <w:p w:rsidR="00447560" w:rsidRDefault="00447560" w:rsidP="00447560">
      <w:pPr>
        <w:tabs>
          <w:tab w:val="left" w:pos="0"/>
        </w:tabs>
        <w:autoSpaceDE w:val="0"/>
        <w:autoSpaceDN w:val="0"/>
        <w:spacing w:line="360" w:lineRule="auto"/>
      </w:pPr>
      <w:r>
        <w:tab/>
      </w:r>
      <w:r>
        <w:tab/>
      </w:r>
      <w:r w:rsidRPr="00092F8E">
        <w:t>6</w:t>
      </w:r>
      <w:r w:rsidR="00D62CE8" w:rsidRPr="00092F8E">
        <w:t>6</w:t>
      </w:r>
      <w:r w:rsidRPr="00092F8E">
        <w:t>.</w:t>
      </w:r>
      <w:r w:rsidRPr="00092F8E">
        <w:tab/>
        <w:t xml:space="preserve">Respondent did not conduct </w:t>
      </w:r>
      <w:r w:rsidR="00B73E09" w:rsidRPr="00092F8E">
        <w:t>an</w:t>
      </w:r>
      <w:r w:rsidR="00B73E09">
        <w:t xml:space="preserve"> energy </w:t>
      </w:r>
      <w:r w:rsidRPr="00092F8E">
        <w:t>consumption investigation of Complainant’s high bill complaint.  (Tr. 104-105.)</w:t>
      </w:r>
    </w:p>
    <w:p w:rsidR="002F352F" w:rsidRDefault="00682995" w:rsidP="006160ED">
      <w:pPr>
        <w:tabs>
          <w:tab w:val="left" w:pos="0"/>
        </w:tabs>
        <w:autoSpaceDE w:val="0"/>
        <w:autoSpaceDN w:val="0"/>
        <w:spacing w:line="360" w:lineRule="auto"/>
      </w:pPr>
      <w:r>
        <w:tab/>
      </w:r>
      <w:r>
        <w:tab/>
      </w:r>
      <w:r w:rsidR="00770539">
        <w:t>6</w:t>
      </w:r>
      <w:r w:rsidR="00D62CE8">
        <w:t>7</w:t>
      </w:r>
      <w:r>
        <w:t>.</w:t>
      </w:r>
      <w:r>
        <w:tab/>
      </w:r>
      <w:r w:rsidR="00B37EC9">
        <w:t xml:space="preserve">Sometime in June 2014, an unidentified service person conducted an energy efficiency audit of Complainant’s home and made adjustments to Complainant’s </w:t>
      </w:r>
      <w:r w:rsidR="00651C1F">
        <w:t>appliances</w:t>
      </w:r>
      <w:r w:rsidR="00B37EC9">
        <w:t xml:space="preserve">, after which Complainant’s </w:t>
      </w:r>
      <w:r w:rsidR="005C04F9">
        <w:t>electricity</w:t>
      </w:r>
      <w:r w:rsidR="00B37EC9">
        <w:t xml:space="preserve"> usage was substantially reduced.  </w:t>
      </w:r>
      <w:proofErr w:type="gramStart"/>
      <w:r w:rsidR="00B37EC9">
        <w:t>(Tr. 29; PECO’s Exhibit 4.)</w:t>
      </w:r>
      <w:proofErr w:type="gramEnd"/>
    </w:p>
    <w:p w:rsidR="002F352F" w:rsidRDefault="002F352F" w:rsidP="006160ED">
      <w:pPr>
        <w:tabs>
          <w:tab w:val="left" w:pos="0"/>
        </w:tabs>
        <w:autoSpaceDE w:val="0"/>
        <w:autoSpaceDN w:val="0"/>
        <w:spacing w:line="360" w:lineRule="auto"/>
      </w:pPr>
    </w:p>
    <w:p w:rsidR="00FD00BB" w:rsidRDefault="00AF6AB3" w:rsidP="006160ED">
      <w:pPr>
        <w:tabs>
          <w:tab w:val="left" w:pos="0"/>
        </w:tabs>
        <w:autoSpaceDE w:val="0"/>
        <w:autoSpaceDN w:val="0"/>
        <w:spacing w:line="360" w:lineRule="auto"/>
      </w:pPr>
      <w:r>
        <w:tab/>
      </w:r>
      <w:r>
        <w:tab/>
      </w:r>
      <w:r w:rsidR="00770539">
        <w:t>6</w:t>
      </w:r>
      <w:r w:rsidR="00D62CE8">
        <w:t>8</w:t>
      </w:r>
      <w:r w:rsidR="00811818">
        <w:t>.</w:t>
      </w:r>
      <w:r w:rsidR="00811818">
        <w:tab/>
      </w:r>
      <w:r w:rsidR="00FD00BB">
        <w:t xml:space="preserve">On September 15, 2014, Complainant filed an informal complaint with the Commission’s Bureau of Consumer Services (BCS) disputing Respondent’s CAP charges and her account balance in the approximate amount of $14,000.00.  </w:t>
      </w:r>
      <w:proofErr w:type="gramStart"/>
      <w:r w:rsidR="00FD00BB">
        <w:t>(</w:t>
      </w:r>
      <w:r>
        <w:t xml:space="preserve">Tr. 100; </w:t>
      </w:r>
      <w:r w:rsidR="00FD00BB">
        <w:t xml:space="preserve">PECO’s Exhibit </w:t>
      </w:r>
      <w:r>
        <w:t>14.)</w:t>
      </w:r>
      <w:proofErr w:type="gramEnd"/>
    </w:p>
    <w:p w:rsidR="00FD00BB" w:rsidRDefault="00FD00BB" w:rsidP="006160ED">
      <w:pPr>
        <w:tabs>
          <w:tab w:val="left" w:pos="0"/>
        </w:tabs>
        <w:autoSpaceDE w:val="0"/>
        <w:autoSpaceDN w:val="0"/>
        <w:spacing w:line="360" w:lineRule="auto"/>
      </w:pPr>
    </w:p>
    <w:p w:rsidR="00B44F17" w:rsidRDefault="00174F17" w:rsidP="006160ED">
      <w:pPr>
        <w:tabs>
          <w:tab w:val="left" w:pos="0"/>
        </w:tabs>
        <w:autoSpaceDE w:val="0"/>
        <w:autoSpaceDN w:val="0"/>
        <w:spacing w:line="360" w:lineRule="auto"/>
      </w:pPr>
      <w:r>
        <w:tab/>
      </w:r>
      <w:r>
        <w:tab/>
      </w:r>
      <w:r w:rsidR="00770539">
        <w:t>6</w:t>
      </w:r>
      <w:r w:rsidR="00D62CE8">
        <w:t>9</w:t>
      </w:r>
      <w:r>
        <w:t>.</w:t>
      </w:r>
      <w:r>
        <w:tab/>
      </w:r>
      <w:r w:rsidR="00701AE8">
        <w:t xml:space="preserve">Complainant timely paid her monthly electric and gas bills for her current </w:t>
      </w:r>
    </w:p>
    <w:p w:rsidR="00701AE8" w:rsidRDefault="00701AE8" w:rsidP="005043DB">
      <w:pPr>
        <w:tabs>
          <w:tab w:val="left" w:pos="0"/>
        </w:tabs>
        <w:autoSpaceDE w:val="0"/>
        <w:autoSpaceDN w:val="0"/>
        <w:spacing w:line="360" w:lineRule="auto"/>
      </w:pPr>
      <w:proofErr w:type="gramStart"/>
      <w:r>
        <w:t>usage</w:t>
      </w:r>
      <w:proofErr w:type="gramEnd"/>
      <w:r>
        <w:t xml:space="preserve"> from October 6, 2014 to May 19, 2015.</w:t>
      </w:r>
      <w:r w:rsidR="00AF6AB3">
        <w:t xml:space="preserve">  </w:t>
      </w:r>
      <w:proofErr w:type="gramStart"/>
      <w:r w:rsidR="00AF6AB3">
        <w:t>(PECO’s Exhibit 4.)</w:t>
      </w:r>
      <w:proofErr w:type="gramEnd"/>
    </w:p>
    <w:p w:rsidR="009B07A3" w:rsidRDefault="009B07A3" w:rsidP="005043DB">
      <w:pPr>
        <w:tabs>
          <w:tab w:val="left" w:pos="0"/>
        </w:tabs>
        <w:autoSpaceDE w:val="0"/>
        <w:autoSpaceDN w:val="0"/>
        <w:spacing w:line="360" w:lineRule="auto"/>
      </w:pPr>
    </w:p>
    <w:p w:rsidR="005F5D42" w:rsidRDefault="005F5D42" w:rsidP="005043DB">
      <w:pPr>
        <w:spacing w:line="360" w:lineRule="auto"/>
        <w:contextualSpacing/>
        <w:jc w:val="center"/>
        <w:rPr>
          <w:u w:val="single"/>
        </w:rPr>
      </w:pPr>
      <w:r w:rsidRPr="005F5D42">
        <w:rPr>
          <w:u w:val="single"/>
        </w:rPr>
        <w:t>DISCUSSION</w:t>
      </w:r>
    </w:p>
    <w:p w:rsidR="005F5D42" w:rsidRDefault="005F5D42" w:rsidP="005043DB">
      <w:pPr>
        <w:spacing w:line="360" w:lineRule="auto"/>
        <w:contextualSpacing/>
        <w:jc w:val="center"/>
        <w:rPr>
          <w:u w:val="single"/>
        </w:rPr>
      </w:pPr>
    </w:p>
    <w:p w:rsidR="00A73C08" w:rsidRPr="00B44F17" w:rsidRDefault="00A73C08" w:rsidP="005043DB">
      <w:pPr>
        <w:spacing w:line="360" w:lineRule="auto"/>
        <w:contextualSpacing/>
        <w:rPr>
          <w:u w:val="single"/>
        </w:rPr>
      </w:pPr>
      <w:r w:rsidRPr="00B44F17">
        <w:rPr>
          <w:u w:val="single"/>
        </w:rPr>
        <w:t>Motion</w:t>
      </w:r>
      <w:r w:rsidR="005043DB">
        <w:rPr>
          <w:u w:val="single"/>
        </w:rPr>
        <w:t xml:space="preserve"> </w:t>
      </w:r>
      <w:proofErr w:type="gramStart"/>
      <w:r w:rsidR="005043DB">
        <w:rPr>
          <w:u w:val="single"/>
        </w:rPr>
        <w:t>In</w:t>
      </w:r>
      <w:proofErr w:type="gramEnd"/>
      <w:r w:rsidR="005043DB">
        <w:rPr>
          <w:u w:val="single"/>
        </w:rPr>
        <w:t xml:space="preserve"> </w:t>
      </w:r>
      <w:proofErr w:type="spellStart"/>
      <w:r w:rsidR="005043DB">
        <w:rPr>
          <w:u w:val="single"/>
        </w:rPr>
        <w:t>Limine</w:t>
      </w:r>
      <w:proofErr w:type="spellEnd"/>
    </w:p>
    <w:p w:rsidR="00A73C08" w:rsidRPr="00B44F17" w:rsidRDefault="00A73C08" w:rsidP="005043DB">
      <w:pPr>
        <w:spacing w:line="360" w:lineRule="auto"/>
        <w:contextualSpacing/>
      </w:pPr>
    </w:p>
    <w:p w:rsidR="00A73C08" w:rsidRDefault="00A73C08" w:rsidP="00A73C08">
      <w:pPr>
        <w:autoSpaceDE w:val="0"/>
        <w:autoSpaceDN w:val="0"/>
        <w:spacing w:line="360" w:lineRule="auto"/>
      </w:pPr>
      <w:r>
        <w:tab/>
      </w:r>
      <w:r>
        <w:tab/>
        <w:t xml:space="preserve">At the commencement of the hearing, Respondent </w:t>
      </w:r>
      <w:r w:rsidR="00D765C5">
        <w:t xml:space="preserve">orally </w:t>
      </w:r>
      <w:r>
        <w:t>motioned to prohibit the introduction of any evidence concerning Complainant’s account balance in the amount of $1,435.69 for service at 373 Church Street from June 2003 to June 2004</w:t>
      </w:r>
      <w:r w:rsidR="00D765C5">
        <w:t>.</w:t>
      </w:r>
      <w:r>
        <w:t xml:space="preserve">  (Tr. 9-10.)  </w:t>
      </w:r>
      <w:r w:rsidR="00D765C5">
        <w:t xml:space="preserve">According to Respondent, </w:t>
      </w:r>
      <w:r w:rsidR="0011073B">
        <w:t xml:space="preserve">on August 14, 2006, </w:t>
      </w:r>
      <w:r>
        <w:t xml:space="preserve">Complainant had alleged </w:t>
      </w:r>
      <w:r w:rsidR="00D765C5">
        <w:t xml:space="preserve">in her informal complaint filed with BCS </w:t>
      </w:r>
      <w:r w:rsidR="0011073B">
        <w:t>at No. 2126084</w:t>
      </w:r>
      <w:r w:rsidR="00D765C5">
        <w:t xml:space="preserve"> that </w:t>
      </w:r>
      <w:r>
        <w:t xml:space="preserve">she never lived at 373 Church Street.  </w:t>
      </w:r>
      <w:proofErr w:type="gramStart"/>
      <w:r>
        <w:t>(Tr. 10.)</w:t>
      </w:r>
      <w:proofErr w:type="gramEnd"/>
      <w:r>
        <w:t xml:space="preserve">  Respondent argued that Section 3314(a) of the Commission’s regulation</w:t>
      </w:r>
      <w:r w:rsidR="0011073B">
        <w:t>s</w:t>
      </w:r>
      <w:r>
        <w:t xml:space="preserve"> required Complainant to bring a </w:t>
      </w:r>
      <w:r w:rsidR="00D765C5">
        <w:t xml:space="preserve">formal </w:t>
      </w:r>
      <w:r>
        <w:t>complaint within three years from the date the liability arose.</w:t>
      </w:r>
      <w:r>
        <w:rPr>
          <w:rStyle w:val="FootnoteReference"/>
        </w:rPr>
        <w:footnoteReference w:id="3"/>
      </w:r>
      <w:r>
        <w:t xml:space="preserve">  (Id.)  Respondent submitted that Complainant’s cause of action arose June 15, 2006 when the $1,435.69 </w:t>
      </w:r>
      <w:r w:rsidR="00B44F17">
        <w:t xml:space="preserve">balance </w:t>
      </w:r>
      <w:r>
        <w:t>was transferred to Complainant’s service address at 229 Church Street.  (</w:t>
      </w:r>
      <w:r w:rsidR="0011073B">
        <w:t>Id.</w:t>
      </w:r>
      <w:r>
        <w:t>)  Respondent asserted</w:t>
      </w:r>
      <w:r w:rsidR="00650BE7">
        <w:t xml:space="preserve"> that</w:t>
      </w:r>
      <w:r>
        <w:t xml:space="preserve"> BCS dismissed the </w:t>
      </w:r>
      <w:r w:rsidR="0011073B">
        <w:t xml:space="preserve">informal </w:t>
      </w:r>
      <w:r>
        <w:t>complaint on January 4, 2007, and Complainant did not file an appeal from the BCS decision.</w:t>
      </w:r>
      <w:r w:rsidR="009B07A3">
        <w:t xml:space="preserve"> </w:t>
      </w:r>
      <w:r>
        <w:t xml:space="preserve"> (Id.)</w:t>
      </w:r>
    </w:p>
    <w:p w:rsidR="00682995" w:rsidRDefault="00682995" w:rsidP="00A73C08">
      <w:pPr>
        <w:autoSpaceDE w:val="0"/>
        <w:autoSpaceDN w:val="0"/>
        <w:spacing w:line="360" w:lineRule="auto"/>
      </w:pPr>
    </w:p>
    <w:p w:rsidR="00A73C08" w:rsidRDefault="00A73C08" w:rsidP="00A73C08">
      <w:pPr>
        <w:autoSpaceDE w:val="0"/>
        <w:autoSpaceDN w:val="0"/>
        <w:spacing w:line="360" w:lineRule="auto"/>
      </w:pPr>
      <w:r>
        <w:tab/>
      </w:r>
      <w:r>
        <w:tab/>
      </w:r>
      <w:r w:rsidR="005043DB">
        <w:t xml:space="preserve">Initially, </w:t>
      </w:r>
      <w:r>
        <w:t xml:space="preserve">Complainant did not object to dropping the $1,435.69 </w:t>
      </w:r>
      <w:r w:rsidR="005043DB">
        <w:t xml:space="preserve">arrears from 373 Church Street, </w:t>
      </w:r>
      <w:r>
        <w:t xml:space="preserve">as a claim in this proceeding.  </w:t>
      </w:r>
      <w:proofErr w:type="gramStart"/>
      <w:r>
        <w:t>(Tr. 14.)</w:t>
      </w:r>
      <w:proofErr w:type="gramEnd"/>
      <w:r>
        <w:t xml:space="preserve"> </w:t>
      </w:r>
      <w:r w:rsidR="00651C1F">
        <w:t xml:space="preserve"> </w:t>
      </w:r>
      <w:r>
        <w:t xml:space="preserve">Accordingly, I granted Respondent’s motion </w:t>
      </w:r>
      <w:r w:rsidR="005043DB">
        <w:t xml:space="preserve">in </w:t>
      </w:r>
      <w:proofErr w:type="spellStart"/>
      <w:r w:rsidR="005043DB">
        <w:t>limine</w:t>
      </w:r>
      <w:proofErr w:type="spellEnd"/>
      <w:r w:rsidR="005043DB">
        <w:t xml:space="preserve"> </w:t>
      </w:r>
      <w:r>
        <w:t xml:space="preserve">and ruled that no testimony would be received on the $1,435.69 amount and transfer.  </w:t>
      </w:r>
      <w:proofErr w:type="gramStart"/>
      <w:r>
        <w:t>(Tr. 15.)</w:t>
      </w:r>
      <w:proofErr w:type="gramEnd"/>
      <w:r>
        <w:t xml:space="preserve">  However, subsequent to granting Respondent’s motion, Complainant testified to her final billing at 229</w:t>
      </w:r>
      <w:r w:rsidR="009B07A3">
        <w:t> </w:t>
      </w:r>
      <w:r>
        <w:t xml:space="preserve">Church Street following her eviction from that address on June 6, 2007.  </w:t>
      </w:r>
      <w:proofErr w:type="gramStart"/>
      <w:r>
        <w:t>(Tr. 37.)</w:t>
      </w:r>
      <w:proofErr w:type="gramEnd"/>
      <w:r>
        <w:t xml:space="preserve">  </w:t>
      </w:r>
      <w:r w:rsidR="00865938">
        <w:t xml:space="preserve">The final billing at </w:t>
      </w:r>
      <w:r w:rsidR="000F29F0">
        <w:t>229 Church Street included the $</w:t>
      </w:r>
      <w:r w:rsidR="00865938">
        <w:t xml:space="preserve">1,435.69 arrears that were transferred from 373 Church Street.  </w:t>
      </w:r>
      <w:r>
        <w:t xml:space="preserve">Respondent objected to the testimony as being barred by </w:t>
      </w:r>
      <w:r w:rsidR="00650BE7">
        <w:t xml:space="preserve">my </w:t>
      </w:r>
      <w:r>
        <w:t xml:space="preserve">earlier ruling.  </w:t>
      </w:r>
      <w:proofErr w:type="gramStart"/>
      <w:r>
        <w:t>(Tr. 37.)</w:t>
      </w:r>
      <w:proofErr w:type="gramEnd"/>
      <w:r>
        <w:t xml:space="preserve">  Complainant retorted that the ruling only applied to the service address at 373 Church Street.</w:t>
      </w:r>
      <w:r w:rsidR="00650BE7">
        <w:t xml:space="preserve">  </w:t>
      </w:r>
      <w:proofErr w:type="gramStart"/>
      <w:r w:rsidR="00650BE7">
        <w:t>(Tr. 38.)</w:t>
      </w:r>
      <w:proofErr w:type="gramEnd"/>
      <w:r w:rsidR="00650BE7">
        <w:t xml:space="preserve">  In reply, Respondent argued</w:t>
      </w:r>
      <w:r w:rsidR="00C755A1">
        <w:t>, “That amount</w:t>
      </w:r>
      <w:r w:rsidR="00B51A85">
        <w:t xml:space="preserve"> ($1,435.69)</w:t>
      </w:r>
      <w:r w:rsidR="00C755A1">
        <w:t xml:space="preserve"> had been transferred in September of ’08.</w:t>
      </w:r>
      <w:r w:rsidR="00650BE7">
        <w:t xml:space="preserve"> </w:t>
      </w:r>
      <w:r w:rsidR="00C755A1">
        <w:t>We are still outside the three years.  Any claim that could have and should have</w:t>
      </w:r>
      <w:r w:rsidR="003C22D8">
        <w:t xml:space="preserve"> </w:t>
      </w:r>
      <w:r w:rsidR="00C755A1">
        <w:t>been brought within the three years PECO respectfully request that that be barred.”  (Id.)</w:t>
      </w:r>
    </w:p>
    <w:p w:rsidR="004D7969" w:rsidRDefault="004D7969" w:rsidP="00A73C08">
      <w:pPr>
        <w:autoSpaceDE w:val="0"/>
        <w:autoSpaceDN w:val="0"/>
        <w:spacing w:line="360" w:lineRule="auto"/>
      </w:pPr>
    </w:p>
    <w:p w:rsidR="00A73C08" w:rsidRDefault="00A73C08" w:rsidP="00A73C08">
      <w:pPr>
        <w:autoSpaceDE w:val="0"/>
        <w:autoSpaceDN w:val="0"/>
        <w:spacing w:line="360" w:lineRule="auto"/>
      </w:pPr>
      <w:r>
        <w:tab/>
      </w:r>
      <w:r>
        <w:tab/>
        <w:t>Thus it became apparent that multiple dates of service</w:t>
      </w:r>
      <w:r w:rsidR="00A55397">
        <w:t xml:space="preserve">, </w:t>
      </w:r>
      <w:r>
        <w:t>billing amounts at various addresses</w:t>
      </w:r>
      <w:r w:rsidR="00A55397">
        <w:t xml:space="preserve">, </w:t>
      </w:r>
      <w:r>
        <w:t>when usage accrued</w:t>
      </w:r>
      <w:r w:rsidR="000F29F0">
        <w:t>, and</w:t>
      </w:r>
      <w:r>
        <w:t xml:space="preserve"> </w:t>
      </w:r>
      <w:r w:rsidR="00A55397">
        <w:t xml:space="preserve">when transfers occurred </w:t>
      </w:r>
      <w:r>
        <w:t xml:space="preserve">were </w:t>
      </w:r>
      <w:r w:rsidR="000F29F0">
        <w:t xml:space="preserve">all </w:t>
      </w:r>
      <w:r>
        <w:t xml:space="preserve">at issue.  Accordingly, I directed the parties “to submit memorandums of law specifically outlining what the facts are, when the billings occurred and why either side believed that they should prevail in this matter.”  </w:t>
      </w:r>
      <w:proofErr w:type="gramStart"/>
      <w:r>
        <w:t>(Tr. 41, 144.)</w:t>
      </w:r>
      <w:proofErr w:type="gramEnd"/>
      <w:r>
        <w:t xml:space="preserve">  I thereby effectively </w:t>
      </w:r>
      <w:r w:rsidR="00A55397">
        <w:t xml:space="preserve">reversed </w:t>
      </w:r>
      <w:r>
        <w:t xml:space="preserve">my earlier ruling, and Respondent later presented testimony on the $1,435.69 amount and transfer to subsequent services addresses.  (Tr. 67-71.) </w:t>
      </w:r>
    </w:p>
    <w:p w:rsidR="00C308B8" w:rsidRDefault="00A73C08" w:rsidP="00A73C08">
      <w:pPr>
        <w:autoSpaceDE w:val="0"/>
        <w:autoSpaceDN w:val="0"/>
        <w:spacing w:line="360" w:lineRule="auto"/>
      </w:pPr>
      <w:r>
        <w:t xml:space="preserve"> </w:t>
      </w:r>
    </w:p>
    <w:p w:rsidR="00C308B8" w:rsidRDefault="00C308B8" w:rsidP="00A73C08">
      <w:pPr>
        <w:autoSpaceDE w:val="0"/>
        <w:autoSpaceDN w:val="0"/>
        <w:spacing w:line="360" w:lineRule="auto"/>
        <w:rPr>
          <w:u w:val="single"/>
        </w:rPr>
      </w:pPr>
      <w:r>
        <w:rPr>
          <w:u w:val="single"/>
        </w:rPr>
        <w:t xml:space="preserve">Positions of the </w:t>
      </w:r>
      <w:r w:rsidR="00F41162">
        <w:rPr>
          <w:u w:val="single"/>
        </w:rPr>
        <w:t>Parties</w:t>
      </w:r>
    </w:p>
    <w:p w:rsidR="00C308B8" w:rsidRPr="00416E92" w:rsidRDefault="00C308B8" w:rsidP="00C308B8">
      <w:pPr>
        <w:spacing w:line="360" w:lineRule="auto"/>
        <w:ind w:firstLine="1440"/>
        <w:rPr>
          <w:rFonts w:eastAsia="Calibri"/>
        </w:rPr>
      </w:pPr>
    </w:p>
    <w:p w:rsidR="00C308B8" w:rsidRDefault="00C308B8" w:rsidP="00013325">
      <w:pPr>
        <w:tabs>
          <w:tab w:val="left" w:pos="0"/>
        </w:tabs>
        <w:autoSpaceDE w:val="0"/>
        <w:autoSpaceDN w:val="0"/>
        <w:spacing w:line="360" w:lineRule="auto"/>
      </w:pPr>
      <w:r>
        <w:rPr>
          <w:rFonts w:eastAsia="Calibri"/>
        </w:rPr>
        <w:tab/>
      </w:r>
      <w:r>
        <w:rPr>
          <w:rFonts w:eastAsia="Calibri"/>
        </w:rPr>
        <w:tab/>
      </w:r>
      <w:r w:rsidRPr="00416E92">
        <w:rPr>
          <w:rFonts w:eastAsia="Calibri"/>
        </w:rPr>
        <w:t xml:space="preserve">Ms. </w:t>
      </w:r>
      <w:proofErr w:type="spellStart"/>
      <w:r>
        <w:rPr>
          <w:rFonts w:eastAsia="Calibri"/>
        </w:rPr>
        <w:t>Trivelpiece</w:t>
      </w:r>
      <w:proofErr w:type="spellEnd"/>
      <w:r>
        <w:rPr>
          <w:rFonts w:eastAsia="Calibri"/>
        </w:rPr>
        <w:t xml:space="preserve"> maintains there are incorrect charges on her bill, and she </w:t>
      </w:r>
      <w:r w:rsidRPr="00416E92">
        <w:rPr>
          <w:rFonts w:eastAsia="Calibri"/>
        </w:rPr>
        <w:t>seeks a Commission ordered payment a</w:t>
      </w:r>
      <w:r>
        <w:rPr>
          <w:rFonts w:eastAsia="Calibri"/>
        </w:rPr>
        <w:t xml:space="preserve">rrangement for her service at Aspen Avenue.  She also asserts that PECO failed to address her high bill concerns and threatened to terminate her service.  PECO contends that Ms. </w:t>
      </w:r>
      <w:proofErr w:type="spellStart"/>
      <w:r>
        <w:rPr>
          <w:rFonts w:eastAsia="Calibri"/>
        </w:rPr>
        <w:t>Trivelpiece</w:t>
      </w:r>
      <w:proofErr w:type="spellEnd"/>
      <w:r>
        <w:rPr>
          <w:rFonts w:eastAsia="Calibri"/>
        </w:rPr>
        <w:t xml:space="preserve"> is responsible for an outstanding bill in the amount </w:t>
      </w:r>
      <w:r>
        <w:t>of $16,687.28, which includes $4,392.98 in CAP arrears.  Under Section 1404(c) of the Code,</w:t>
      </w:r>
      <w:r>
        <w:rPr>
          <w:rStyle w:val="FootnoteReference"/>
        </w:rPr>
        <w:footnoteReference w:id="4"/>
      </w:r>
      <w:r>
        <w:t xml:space="preserve"> PECO argues that CAP arrears cannot be subject to a payment arrangement, and under Section 56.35 of the regulations,</w:t>
      </w:r>
      <w:r>
        <w:rPr>
          <w:rStyle w:val="FootnoteReference"/>
        </w:rPr>
        <w:footnoteReference w:id="5"/>
      </w:r>
      <w:r>
        <w:t xml:space="preserve"> the Company may require the payment of any outstanding balance as a condition for providing service.</w:t>
      </w:r>
    </w:p>
    <w:p w:rsidR="004D7969" w:rsidRDefault="004D7969" w:rsidP="00013325">
      <w:pPr>
        <w:tabs>
          <w:tab w:val="left" w:pos="0"/>
        </w:tabs>
        <w:autoSpaceDE w:val="0"/>
        <w:autoSpaceDN w:val="0"/>
        <w:spacing w:line="360" w:lineRule="auto"/>
      </w:pPr>
    </w:p>
    <w:p w:rsidR="005F5D42" w:rsidRPr="006D3F2F" w:rsidRDefault="006D3F2F" w:rsidP="00013325">
      <w:pPr>
        <w:spacing w:line="360" w:lineRule="auto"/>
        <w:contextualSpacing/>
        <w:rPr>
          <w:u w:val="single"/>
        </w:rPr>
      </w:pPr>
      <w:r w:rsidRPr="006D3F2F">
        <w:rPr>
          <w:u w:val="single"/>
        </w:rPr>
        <w:t>Burden of Proof</w:t>
      </w:r>
    </w:p>
    <w:p w:rsidR="00C755A1" w:rsidRDefault="00C755A1" w:rsidP="00013325">
      <w:pPr>
        <w:spacing w:line="360" w:lineRule="auto"/>
      </w:pPr>
    </w:p>
    <w:p w:rsidR="00D62CE8" w:rsidRDefault="005F5D42" w:rsidP="00013325">
      <w:pPr>
        <w:spacing w:line="360" w:lineRule="auto"/>
      </w:pPr>
      <w:r w:rsidRPr="00002E64">
        <w:tab/>
      </w:r>
      <w:r w:rsidRPr="00002E64">
        <w:tab/>
        <w:t>As the proponent of a rule or order, Complainant in this proceeding bears the</w:t>
      </w:r>
      <w:r w:rsidR="00B44F17">
        <w:t xml:space="preserve"> </w:t>
      </w:r>
    </w:p>
    <w:p w:rsidR="005F5D42" w:rsidRPr="00002E64" w:rsidRDefault="005F5D42" w:rsidP="005F5D42">
      <w:pPr>
        <w:spacing w:line="360" w:lineRule="auto"/>
      </w:pPr>
      <w:proofErr w:type="gramStart"/>
      <w:r w:rsidRPr="00002E64">
        <w:t>burden</w:t>
      </w:r>
      <w:proofErr w:type="gramEnd"/>
      <w:r w:rsidRPr="00002E64">
        <w:t xml:space="preserve"> of proof pursuant to Section 332(a) of the </w:t>
      </w:r>
      <w:r w:rsidR="006D3F2F">
        <w:t>Pennsylvania Public Utility Code (</w:t>
      </w:r>
      <w:r w:rsidRPr="00002E64">
        <w:t>Code</w:t>
      </w:r>
      <w:r w:rsidR="006D3F2F">
        <w:t>)</w:t>
      </w:r>
      <w:r w:rsidRPr="00002E64">
        <w:t>.</w:t>
      </w:r>
      <w:r w:rsidR="00B44F17">
        <w:rPr>
          <w:rStyle w:val="FootnoteReference"/>
        </w:rPr>
        <w:footnoteReference w:id="6"/>
      </w:r>
      <w:r w:rsidRPr="00002E64">
        <w:t xml:space="preserve">  To establish a sufficient case and satisfy the burden of proof, Complainant must show that Respondent is responsible or accountable for the problem described in the Complaint</w:t>
      </w:r>
      <w:r w:rsidR="006D3F2F">
        <w:t>, in that the named utility has violated the Code, a regulation or order of the Commission</w:t>
      </w:r>
      <w:r w:rsidRPr="00002E64">
        <w:t xml:space="preserve">.  </w:t>
      </w:r>
      <w:proofErr w:type="gramStart"/>
      <w:r w:rsidRPr="00002E64">
        <w:rPr>
          <w:i/>
        </w:rPr>
        <w:t>Patterson v. Bell Telephone Company of Pennsylvania</w:t>
      </w:r>
      <w:r w:rsidRPr="00002E64">
        <w:t>, 72 Pa. PUC 196 (1990).</w:t>
      </w:r>
      <w:proofErr w:type="gramEnd"/>
      <w:r w:rsidRPr="00002E64">
        <w:t xml:space="preserve">  Such a showing must be by a preponderance of the evidence.  </w:t>
      </w:r>
      <w:proofErr w:type="gramStart"/>
      <w:r w:rsidRPr="00002E64">
        <w:rPr>
          <w:i/>
          <w:iCs/>
        </w:rPr>
        <w:t>Samuel J. Lansberry, Inc. v. Pa. P</w:t>
      </w:r>
      <w:r w:rsidR="003B7EFA">
        <w:rPr>
          <w:i/>
          <w:iCs/>
        </w:rPr>
        <w:t>ub.</w:t>
      </w:r>
      <w:proofErr w:type="gramEnd"/>
      <w:r w:rsidR="003B7EFA">
        <w:rPr>
          <w:i/>
          <w:iCs/>
        </w:rPr>
        <w:t xml:space="preserve"> </w:t>
      </w:r>
      <w:proofErr w:type="gramStart"/>
      <w:r w:rsidRPr="00002E64">
        <w:rPr>
          <w:i/>
          <w:iCs/>
        </w:rPr>
        <w:t>U</w:t>
      </w:r>
      <w:r w:rsidR="003B7EFA">
        <w:rPr>
          <w:i/>
          <w:iCs/>
        </w:rPr>
        <w:t>til. Comm’n</w:t>
      </w:r>
      <w:r w:rsidRPr="00002E64">
        <w:t xml:space="preserve">, 578 A.2d 600 (Pa. Cmwlth. 1990), </w:t>
      </w:r>
      <w:r w:rsidRPr="00002E64">
        <w:rPr>
          <w:i/>
        </w:rPr>
        <w:t>alloc.</w:t>
      </w:r>
      <w:proofErr w:type="gramEnd"/>
      <w:r w:rsidRPr="00002E64">
        <w:rPr>
          <w:i/>
        </w:rPr>
        <w:t xml:space="preserve"> </w:t>
      </w:r>
      <w:proofErr w:type="gramStart"/>
      <w:r w:rsidRPr="00002E64">
        <w:rPr>
          <w:i/>
        </w:rPr>
        <w:t>denied</w:t>
      </w:r>
      <w:proofErr w:type="gramEnd"/>
      <w:r w:rsidRPr="00002E64">
        <w:rPr>
          <w:i/>
        </w:rPr>
        <w:t>,</w:t>
      </w:r>
      <w:r w:rsidRPr="00002E64">
        <w:t xml:space="preserve"> 529 Pa. 654, 602 A.2d 863 (1992).  That is, Complainant’s evidence must be more convincing, by even the smallest amount, than that presented by </w:t>
      </w:r>
      <w:r w:rsidR="006D3F2F">
        <w:t>R</w:t>
      </w:r>
      <w:r w:rsidRPr="00002E64">
        <w:t xml:space="preserve">espondent.  </w:t>
      </w:r>
      <w:proofErr w:type="gramStart"/>
      <w:r w:rsidRPr="00002E64">
        <w:rPr>
          <w:i/>
        </w:rPr>
        <w:t>Se-Ling Hosiery v. Margulies</w:t>
      </w:r>
      <w:r w:rsidRPr="00002E64">
        <w:t>, 364 Pa. 45, 70 A.2d 854</w:t>
      </w:r>
      <w:r w:rsidR="005C45C5">
        <w:t xml:space="preserve"> </w:t>
      </w:r>
      <w:r w:rsidRPr="00002E64">
        <w:t>(1950).</w:t>
      </w:r>
      <w:proofErr w:type="gramEnd"/>
      <w:r w:rsidRPr="00002E64">
        <w:t xml:space="preserve">  Additionally, th</w:t>
      </w:r>
      <w:r w:rsidR="006D3F2F">
        <w:t>e</w:t>
      </w:r>
      <w:r w:rsidRPr="00002E64">
        <w:t xml:space="preserve"> Commission’s decision must be supported by substantial evidence in the record.  More is required than a mere trace of evidence or a suspicion of the existence of a fact sought to be established.  </w:t>
      </w:r>
      <w:proofErr w:type="gramStart"/>
      <w:r w:rsidRPr="00002E64">
        <w:rPr>
          <w:i/>
        </w:rPr>
        <w:t>Norfolk &amp; Western Ry. Co. v. Pa. P</w:t>
      </w:r>
      <w:r w:rsidR="003B7EFA">
        <w:rPr>
          <w:i/>
        </w:rPr>
        <w:t>ub.</w:t>
      </w:r>
      <w:proofErr w:type="gramEnd"/>
      <w:r w:rsidR="003B7EFA">
        <w:rPr>
          <w:i/>
        </w:rPr>
        <w:t xml:space="preserve"> </w:t>
      </w:r>
      <w:proofErr w:type="gramStart"/>
      <w:r w:rsidR="003B7EFA">
        <w:rPr>
          <w:i/>
        </w:rPr>
        <w:t>Util. Comm’n</w:t>
      </w:r>
      <w:r w:rsidRPr="00002E64">
        <w:rPr>
          <w:i/>
        </w:rPr>
        <w:t xml:space="preserve">, </w:t>
      </w:r>
      <w:r w:rsidRPr="00002E64">
        <w:t>489 Pa. 109, 413 A.2d 1037 (1980).</w:t>
      </w:r>
      <w:proofErr w:type="gramEnd"/>
    </w:p>
    <w:p w:rsidR="005F5D42" w:rsidRPr="00002E64" w:rsidRDefault="005F5D42" w:rsidP="005F5D42">
      <w:pPr>
        <w:spacing w:line="360" w:lineRule="auto"/>
      </w:pPr>
    </w:p>
    <w:p w:rsidR="004D7969" w:rsidRDefault="005F5D42" w:rsidP="004D7969">
      <w:pPr>
        <w:spacing w:line="360" w:lineRule="auto"/>
        <w:ind w:firstLine="1440"/>
        <w:rPr>
          <w:rFonts w:ascii="Times New (W1)" w:hAnsi="Times New (W1)"/>
          <w:iCs/>
        </w:rPr>
      </w:pPr>
      <w:r w:rsidRPr="00002E64">
        <w:t xml:space="preserve">Upon the presentation by Complainant of evidence sufficient to initially satisfy the burden of proof, the burden of going forward with the evidence, to rebut the evidence of Complainant, shifts to Respondent.  If the evidence presented by Respondent is of co-equal weight, Complainant has not satisfied her </w:t>
      </w:r>
      <w:r w:rsidRPr="00002E64">
        <w:rPr>
          <w:rFonts w:ascii="Times New (W1)" w:hAnsi="Times New (W1)"/>
        </w:rPr>
        <w:t xml:space="preserve">burden of proof. </w:t>
      </w:r>
      <w:r w:rsidR="006D3F2F">
        <w:rPr>
          <w:rFonts w:ascii="Times New (W1)" w:hAnsi="Times New (W1)"/>
        </w:rPr>
        <w:t xml:space="preserve"> </w:t>
      </w:r>
      <w:r w:rsidRPr="00002E64">
        <w:rPr>
          <w:rFonts w:ascii="Times New (W1)" w:hAnsi="Times New (W1)"/>
        </w:rPr>
        <w:t xml:space="preserve">Complainant now must provide some additional evidence to rebut that of Respondent. </w:t>
      </w:r>
      <w:r w:rsidRPr="00002E64">
        <w:rPr>
          <w:rFonts w:ascii="Times New (W1)" w:hAnsi="Times New (W1)"/>
          <w:iCs/>
        </w:rPr>
        <w:t xml:space="preserve"> </w:t>
      </w:r>
      <w:proofErr w:type="gramStart"/>
      <w:r w:rsidRPr="00002E64">
        <w:rPr>
          <w:rFonts w:ascii="Times New (W1)" w:hAnsi="Times New (W1)"/>
          <w:i/>
          <w:iCs/>
        </w:rPr>
        <w:t>Burleson v. Pa. P</w:t>
      </w:r>
      <w:r w:rsidR="003B7EFA">
        <w:rPr>
          <w:rFonts w:ascii="Times New (W1)" w:hAnsi="Times New (W1)"/>
          <w:i/>
          <w:iCs/>
        </w:rPr>
        <w:t>ub.</w:t>
      </w:r>
      <w:proofErr w:type="gramEnd"/>
      <w:r w:rsidR="003B7EFA">
        <w:rPr>
          <w:rFonts w:ascii="Times New (W1)" w:hAnsi="Times New (W1)"/>
          <w:i/>
          <w:iCs/>
        </w:rPr>
        <w:t xml:space="preserve"> Util. Comm’n</w:t>
      </w:r>
      <w:r w:rsidRPr="00002E64">
        <w:rPr>
          <w:rFonts w:ascii="Times New (W1)" w:hAnsi="Times New (W1)"/>
          <w:i/>
          <w:iCs/>
        </w:rPr>
        <w:t>,</w:t>
      </w:r>
      <w:r w:rsidRPr="00002E64">
        <w:rPr>
          <w:rFonts w:ascii="Times New (W1)" w:hAnsi="Times New (W1)"/>
          <w:iCs/>
        </w:rPr>
        <w:t xml:space="preserve"> 443 A.2d 1373 (</w:t>
      </w:r>
      <w:proofErr w:type="spellStart"/>
      <w:r w:rsidRPr="00002E64">
        <w:rPr>
          <w:rFonts w:ascii="Times New (W1)" w:hAnsi="Times New (W1)"/>
          <w:iCs/>
        </w:rPr>
        <w:t>Pa.Cmwlth</w:t>
      </w:r>
      <w:proofErr w:type="spellEnd"/>
      <w:r w:rsidRPr="00002E64">
        <w:rPr>
          <w:rFonts w:ascii="Times New (W1)" w:hAnsi="Times New (W1)"/>
          <w:iCs/>
        </w:rPr>
        <w:t xml:space="preserve">. 1982), </w:t>
      </w:r>
      <w:r w:rsidRPr="00002E64">
        <w:rPr>
          <w:rFonts w:ascii="Times New (W1)" w:hAnsi="Times New (W1)"/>
          <w:i/>
          <w:iCs/>
        </w:rPr>
        <w:t>aff’d,</w:t>
      </w:r>
      <w:r w:rsidRPr="00002E64">
        <w:rPr>
          <w:rFonts w:ascii="Times New (W1)" w:hAnsi="Times New (W1)"/>
          <w:iCs/>
        </w:rPr>
        <w:t xml:space="preserve"> 501 Pa. 433, 461 A.2d 1234 (1983).</w:t>
      </w:r>
    </w:p>
    <w:p w:rsidR="004D7969" w:rsidRDefault="004D7969" w:rsidP="004D7969">
      <w:pPr>
        <w:spacing w:line="360" w:lineRule="auto"/>
        <w:ind w:firstLine="1440"/>
        <w:rPr>
          <w:rFonts w:ascii="Times New (W1)" w:hAnsi="Times New (W1)"/>
          <w:iCs/>
        </w:rPr>
      </w:pPr>
    </w:p>
    <w:p w:rsidR="005F5D42" w:rsidRDefault="005F5D42" w:rsidP="004D7969">
      <w:pPr>
        <w:spacing w:line="360" w:lineRule="auto"/>
        <w:ind w:firstLine="1440"/>
      </w:pPr>
      <w:r w:rsidRPr="00002E64">
        <w:t xml:space="preserve">While the burden of persuasion may </w:t>
      </w:r>
      <w:r w:rsidRPr="006D3F2F">
        <w:rPr>
          <w:rStyle w:val="term1"/>
          <w:b w:val="0"/>
        </w:rPr>
        <w:t>shift</w:t>
      </w:r>
      <w:r w:rsidRPr="00002E64">
        <w:t xml:space="preserve"> back and forth during a proceeding, the </w:t>
      </w:r>
      <w:r w:rsidRPr="006D3F2F">
        <w:rPr>
          <w:rStyle w:val="term1"/>
          <w:b w:val="0"/>
        </w:rPr>
        <w:t>burden of proof</w:t>
      </w:r>
      <w:r w:rsidRPr="00002E64">
        <w:t xml:space="preserve"> never </w:t>
      </w:r>
      <w:r w:rsidRPr="006D3F2F">
        <w:rPr>
          <w:rStyle w:val="term1"/>
          <w:b w:val="0"/>
        </w:rPr>
        <w:t xml:space="preserve">shifts. </w:t>
      </w:r>
      <w:r w:rsidR="003B7EFA">
        <w:rPr>
          <w:rStyle w:val="term1"/>
          <w:b w:val="0"/>
        </w:rPr>
        <w:t xml:space="preserve"> </w:t>
      </w:r>
      <w:r w:rsidRPr="006D3F2F">
        <w:rPr>
          <w:rStyle w:val="term1"/>
          <w:b w:val="0"/>
        </w:rPr>
        <w:t>The burden of proof</w:t>
      </w:r>
      <w:r w:rsidRPr="00002E64">
        <w:t xml:space="preserve"> always remains on the party seeking affirmative relief from the Commission.  </w:t>
      </w:r>
      <w:proofErr w:type="spellStart"/>
      <w:proofErr w:type="gramStart"/>
      <w:r w:rsidRPr="00002E64">
        <w:rPr>
          <w:i/>
        </w:rPr>
        <w:t>Milkie</w:t>
      </w:r>
      <w:proofErr w:type="spellEnd"/>
      <w:r w:rsidRPr="00002E64">
        <w:rPr>
          <w:i/>
        </w:rPr>
        <w:t xml:space="preserve"> v. Pa. P</w:t>
      </w:r>
      <w:r w:rsidR="003B7EFA">
        <w:rPr>
          <w:i/>
        </w:rPr>
        <w:t>ub.</w:t>
      </w:r>
      <w:proofErr w:type="gramEnd"/>
      <w:r w:rsidR="003B7EFA">
        <w:rPr>
          <w:i/>
        </w:rPr>
        <w:t xml:space="preserve"> </w:t>
      </w:r>
      <w:proofErr w:type="gramStart"/>
      <w:r w:rsidR="003B7EFA">
        <w:rPr>
          <w:i/>
        </w:rPr>
        <w:t xml:space="preserve">Util. </w:t>
      </w:r>
      <w:r w:rsidRPr="00002E64">
        <w:rPr>
          <w:i/>
        </w:rPr>
        <w:t>C</w:t>
      </w:r>
      <w:r w:rsidR="003B7EFA">
        <w:rPr>
          <w:i/>
        </w:rPr>
        <w:t>omm’n</w:t>
      </w:r>
      <w:r w:rsidRPr="00002E64">
        <w:rPr>
          <w:i/>
        </w:rPr>
        <w:t xml:space="preserve">, </w:t>
      </w:r>
      <w:r w:rsidRPr="00002E64">
        <w:t>768 A.2d 1217 (Pa.</w:t>
      </w:r>
      <w:r w:rsidR="00F41162">
        <w:t> </w:t>
      </w:r>
      <w:r w:rsidRPr="00002E64">
        <w:t>Cmwlth. 2001).</w:t>
      </w:r>
      <w:proofErr w:type="gramEnd"/>
    </w:p>
    <w:p w:rsidR="00023728" w:rsidRDefault="00023728" w:rsidP="004D7969">
      <w:pPr>
        <w:spacing w:line="360" w:lineRule="auto"/>
        <w:ind w:firstLine="1440"/>
      </w:pPr>
    </w:p>
    <w:p w:rsidR="00416E92" w:rsidRPr="00416E92" w:rsidRDefault="003B7EFA" w:rsidP="003B7EFA">
      <w:pPr>
        <w:keepNext/>
        <w:spacing w:line="360" w:lineRule="auto"/>
        <w:ind w:firstLine="1440"/>
        <w:rPr>
          <w:rFonts w:eastAsia="Calibri"/>
        </w:rPr>
      </w:pPr>
      <w:r>
        <w:t xml:space="preserve">Therefore, in this proceeding, Ms. </w:t>
      </w:r>
      <w:proofErr w:type="spellStart"/>
      <w:r>
        <w:t>Trivelpiece</w:t>
      </w:r>
      <w:proofErr w:type="spellEnd"/>
      <w:r>
        <w:t xml:space="preserve"> </w:t>
      </w:r>
      <w:r w:rsidR="00416E92" w:rsidRPr="00416E92">
        <w:rPr>
          <w:rFonts w:eastAsia="Calibri"/>
        </w:rPr>
        <w:t xml:space="preserve">has the burden of establishing that </w:t>
      </w:r>
      <w:r>
        <w:rPr>
          <w:rFonts w:eastAsia="Calibri"/>
        </w:rPr>
        <w:t xml:space="preserve">PECO is </w:t>
      </w:r>
      <w:r w:rsidRPr="00002E64">
        <w:t xml:space="preserve">responsible or accountable for the problem described in </w:t>
      </w:r>
      <w:r>
        <w:t>her</w:t>
      </w:r>
      <w:r w:rsidRPr="00002E64">
        <w:t xml:space="preserve"> Complaint</w:t>
      </w:r>
      <w:r>
        <w:t xml:space="preserve"> and that</w:t>
      </w:r>
      <w:r w:rsidRPr="00416E92">
        <w:rPr>
          <w:rFonts w:eastAsia="Calibri"/>
        </w:rPr>
        <w:t xml:space="preserve"> </w:t>
      </w:r>
      <w:r w:rsidR="00416E92" w:rsidRPr="00416E92">
        <w:rPr>
          <w:rFonts w:eastAsia="Calibri"/>
        </w:rPr>
        <w:t xml:space="preserve">she is entitled to </w:t>
      </w:r>
      <w:r w:rsidR="00B44F17">
        <w:rPr>
          <w:rFonts w:eastAsia="Calibri"/>
        </w:rPr>
        <w:t xml:space="preserve">the relief requested, i.e., </w:t>
      </w:r>
      <w:r w:rsidR="00416E92" w:rsidRPr="00416E92">
        <w:rPr>
          <w:rFonts w:eastAsia="Calibri"/>
        </w:rPr>
        <w:t>a Commission</w:t>
      </w:r>
      <w:r w:rsidR="00B44F17">
        <w:rPr>
          <w:rFonts w:eastAsia="Calibri"/>
        </w:rPr>
        <w:t>-</w:t>
      </w:r>
      <w:r w:rsidR="00416E92" w:rsidRPr="00416E92">
        <w:rPr>
          <w:rFonts w:eastAsia="Calibri"/>
        </w:rPr>
        <w:t>ordered payment arrangemen</w:t>
      </w:r>
      <w:r>
        <w:rPr>
          <w:rFonts w:eastAsia="Calibri"/>
        </w:rPr>
        <w:t>t.</w:t>
      </w:r>
      <w:r w:rsidR="00416E92" w:rsidRPr="00416E92">
        <w:rPr>
          <w:rFonts w:eastAsia="Calibri"/>
        </w:rPr>
        <w:t xml:space="preserve"> </w:t>
      </w:r>
    </w:p>
    <w:p w:rsidR="00416E92" w:rsidRPr="00416E92" w:rsidRDefault="00416E92" w:rsidP="00416E92">
      <w:pPr>
        <w:spacing w:line="360" w:lineRule="auto"/>
        <w:rPr>
          <w:rFonts w:eastAsia="Calibri"/>
        </w:rPr>
      </w:pPr>
    </w:p>
    <w:p w:rsidR="00C308B8" w:rsidRDefault="00C308B8" w:rsidP="00C308B8">
      <w:pPr>
        <w:spacing w:line="360" w:lineRule="auto"/>
        <w:jc w:val="both"/>
      </w:pPr>
      <w:r>
        <w:rPr>
          <w:u w:val="single"/>
        </w:rPr>
        <w:t>Reasonable Service Requirement</w:t>
      </w:r>
      <w:r w:rsidR="00EC5578">
        <w:rPr>
          <w:u w:val="single"/>
        </w:rPr>
        <w:t xml:space="preserve"> in Processing </w:t>
      </w:r>
      <w:r w:rsidR="00D535EA">
        <w:rPr>
          <w:u w:val="single"/>
        </w:rPr>
        <w:t xml:space="preserve">the </w:t>
      </w:r>
      <w:r w:rsidR="00EC5578">
        <w:rPr>
          <w:u w:val="single"/>
        </w:rPr>
        <w:t>Application for Service</w:t>
      </w:r>
    </w:p>
    <w:p w:rsidR="00C308B8" w:rsidRDefault="00C308B8" w:rsidP="00C308B8">
      <w:pPr>
        <w:tabs>
          <w:tab w:val="left" w:pos="0"/>
        </w:tabs>
        <w:autoSpaceDE w:val="0"/>
        <w:autoSpaceDN w:val="0"/>
        <w:spacing w:line="360" w:lineRule="auto"/>
        <w:rPr>
          <w:rFonts w:eastAsia="Times New Roman"/>
        </w:rPr>
      </w:pPr>
    </w:p>
    <w:p w:rsidR="00A634CC" w:rsidRDefault="00C308B8" w:rsidP="00C308B8">
      <w:pPr>
        <w:tabs>
          <w:tab w:val="left" w:pos="0"/>
        </w:tabs>
        <w:autoSpaceDE w:val="0"/>
        <w:autoSpaceDN w:val="0"/>
        <w:spacing w:line="360" w:lineRule="auto"/>
        <w:rPr>
          <w:rFonts w:eastAsia="Times New Roman"/>
        </w:rPr>
      </w:pPr>
      <w:r>
        <w:rPr>
          <w:rFonts w:eastAsia="Times New Roman"/>
        </w:rPr>
        <w:tab/>
      </w:r>
      <w:r>
        <w:rPr>
          <w:rFonts w:eastAsia="Times New Roman"/>
        </w:rPr>
        <w:tab/>
      </w:r>
      <w:r w:rsidRPr="00507393">
        <w:rPr>
          <w:rFonts w:eastAsia="Times New Roman"/>
        </w:rPr>
        <w:t>Public utility companies are required to provide reasonable service to their customers</w:t>
      </w:r>
      <w:r>
        <w:rPr>
          <w:rFonts w:eastAsia="Times New Roman"/>
        </w:rPr>
        <w:t xml:space="preserve"> as well as applicants</w:t>
      </w:r>
      <w:r w:rsidRPr="00507393">
        <w:rPr>
          <w:rFonts w:eastAsia="Times New Roman"/>
        </w:rPr>
        <w:t xml:space="preserve">.  In </w:t>
      </w:r>
      <w:r w:rsidRPr="00507393">
        <w:rPr>
          <w:rFonts w:eastAsia="Times New Roman"/>
          <w:i/>
        </w:rPr>
        <w:t>Jerry Prosser</w:t>
      </w:r>
      <w:r w:rsidRPr="00507393">
        <w:rPr>
          <w:rFonts w:eastAsia="Times New Roman"/>
        </w:rPr>
        <w:t xml:space="preserve"> v. </w:t>
      </w:r>
      <w:r w:rsidRPr="00507393">
        <w:rPr>
          <w:rFonts w:eastAsia="Times New Roman"/>
          <w:i/>
        </w:rPr>
        <w:t>Columbia Gas of Penn</w:t>
      </w:r>
      <w:r w:rsidRPr="00507393">
        <w:rPr>
          <w:rFonts w:eastAsia="Times New Roman"/>
        </w:rPr>
        <w:t>s</w:t>
      </w:r>
      <w:r w:rsidRPr="00507393">
        <w:rPr>
          <w:rFonts w:eastAsia="Times New Roman"/>
          <w:i/>
        </w:rPr>
        <w:t>ylvania,</w:t>
      </w:r>
      <w:r w:rsidRPr="00507393">
        <w:rPr>
          <w:rFonts w:eastAsia="Times New Roman"/>
        </w:rPr>
        <w:t xml:space="preserve"> Docket No. C-20066376, (Opinion and Order entered October 30, 2006), the Commission explained the </w:t>
      </w:r>
    </w:p>
    <w:p w:rsidR="00C308B8" w:rsidRPr="00507393" w:rsidRDefault="00C308B8" w:rsidP="00C308B8">
      <w:pPr>
        <w:tabs>
          <w:tab w:val="left" w:pos="0"/>
        </w:tabs>
        <w:autoSpaceDE w:val="0"/>
        <w:autoSpaceDN w:val="0"/>
        <w:spacing w:line="360" w:lineRule="auto"/>
        <w:rPr>
          <w:rFonts w:eastAsia="Times New Roman"/>
        </w:rPr>
      </w:pPr>
      <w:proofErr w:type="gramStart"/>
      <w:r w:rsidRPr="00507393">
        <w:rPr>
          <w:rFonts w:eastAsia="Times New Roman"/>
        </w:rPr>
        <w:t>reasonable</w:t>
      </w:r>
      <w:proofErr w:type="gramEnd"/>
      <w:r w:rsidRPr="00507393">
        <w:rPr>
          <w:rFonts w:eastAsia="Times New Roman"/>
        </w:rPr>
        <w:t xml:space="preserve"> service requirement as follows</w:t>
      </w:r>
      <w:r>
        <w:rPr>
          <w:rFonts w:eastAsia="Times New Roman"/>
        </w:rPr>
        <w:t>:</w:t>
      </w:r>
      <w:r w:rsidRPr="00507393">
        <w:rPr>
          <w:rFonts w:eastAsia="Times New Roman"/>
          <w:vertAlign w:val="superscript"/>
        </w:rPr>
        <w:footnoteReference w:id="7"/>
      </w:r>
    </w:p>
    <w:p w:rsidR="00C308B8" w:rsidRPr="00507393" w:rsidRDefault="00C308B8" w:rsidP="00F41162">
      <w:pPr>
        <w:rPr>
          <w:rFonts w:eastAsia="Times New Roman"/>
        </w:rPr>
      </w:pPr>
      <w:r w:rsidRPr="00507393">
        <w:rPr>
          <w:rFonts w:eastAsia="Times New Roman"/>
        </w:rPr>
        <w:t xml:space="preserve"> </w:t>
      </w:r>
    </w:p>
    <w:p w:rsidR="00C308B8" w:rsidRDefault="00C308B8" w:rsidP="00C308B8">
      <w:pPr>
        <w:ind w:left="1440" w:right="1166"/>
        <w:rPr>
          <w:rFonts w:eastAsia="Times New Roman"/>
        </w:rPr>
      </w:pPr>
      <w:r w:rsidRPr="00507393">
        <w:rPr>
          <w:rFonts w:eastAsia="Times New Roman"/>
        </w:rPr>
        <w:tab/>
        <w:t xml:space="preserve">The Public Utility Code imposes a duty on every public utility to furnish and maintain adequate, efficient and reasonable service to the public.  </w:t>
      </w:r>
      <w:proofErr w:type="gramStart"/>
      <w:r w:rsidRPr="00507393">
        <w:rPr>
          <w:rFonts w:eastAsia="Times New Roman"/>
        </w:rPr>
        <w:t>66 Pa. C.S. § 1501.</w:t>
      </w:r>
      <w:proofErr w:type="gramEnd"/>
      <w:r w:rsidRPr="00507393">
        <w:rPr>
          <w:rFonts w:eastAsia="Times New Roman"/>
        </w:rPr>
        <w:t xml:space="preserve">  The statutory definition of “service” is to be broadly construed.  </w:t>
      </w:r>
      <w:proofErr w:type="gramStart"/>
      <w:r w:rsidRPr="00507393">
        <w:rPr>
          <w:rFonts w:eastAsia="Times New Roman"/>
          <w:i/>
        </w:rPr>
        <w:t xml:space="preserve">County Place Waste Treatment Company, Inc. v. Pennsylvania Public Utility Commission, </w:t>
      </w:r>
      <w:r w:rsidRPr="00507393">
        <w:rPr>
          <w:rFonts w:eastAsia="Times New Roman"/>
        </w:rPr>
        <w:t>654 A.2d 72 (Pa.</w:t>
      </w:r>
      <w:r w:rsidR="00910D4B">
        <w:rPr>
          <w:rFonts w:eastAsia="Times New Roman"/>
        </w:rPr>
        <w:t> </w:t>
      </w:r>
      <w:r w:rsidRPr="00507393">
        <w:rPr>
          <w:rFonts w:eastAsia="Times New Roman"/>
        </w:rPr>
        <w:t>Cmwlth. 1995).</w:t>
      </w:r>
      <w:proofErr w:type="gramEnd"/>
      <w:r w:rsidRPr="00507393">
        <w:rPr>
          <w:rFonts w:eastAsia="Times New Roman"/>
        </w:rPr>
        <w:t xml:space="preserve"> </w:t>
      </w:r>
    </w:p>
    <w:p w:rsidR="00C308B8" w:rsidRDefault="00C308B8" w:rsidP="00C308B8">
      <w:pPr>
        <w:ind w:left="1440" w:right="1166"/>
        <w:rPr>
          <w:rFonts w:eastAsia="Times New Roman"/>
        </w:rPr>
      </w:pPr>
    </w:p>
    <w:p w:rsidR="00C308B8" w:rsidRPr="00B055C6" w:rsidRDefault="00C308B8" w:rsidP="00C308B8">
      <w:pPr>
        <w:spacing w:line="360" w:lineRule="auto"/>
        <w:ind w:left="1440"/>
        <w:rPr>
          <w:rFonts w:eastAsia="Times New Roman"/>
        </w:rPr>
      </w:pPr>
      <w:r w:rsidRPr="00507393">
        <w:rPr>
          <w:rFonts w:eastAsia="Times New Roman"/>
        </w:rPr>
        <w:t xml:space="preserve"> </w:t>
      </w:r>
      <w:r>
        <w:rPr>
          <w:rFonts w:eastAsia="Times New Roman"/>
        </w:rPr>
        <w:tab/>
      </w:r>
      <w:r w:rsidRPr="00B055C6">
        <w:rPr>
          <w:rFonts w:eastAsia="Times New Roman"/>
        </w:rPr>
        <w:t>66 Pa. Code § 102 states, in pertinent part:</w:t>
      </w:r>
    </w:p>
    <w:p w:rsidR="00C308B8" w:rsidRPr="00B055C6" w:rsidRDefault="00C308B8" w:rsidP="00C308B8">
      <w:pPr>
        <w:ind w:left="2160" w:right="1440"/>
        <w:rPr>
          <w:rFonts w:eastAsia="Times New Roman"/>
        </w:rPr>
      </w:pPr>
      <w:r>
        <w:rPr>
          <w:rFonts w:eastAsia="Times New Roman"/>
        </w:rPr>
        <w:tab/>
      </w:r>
      <w:proofErr w:type="gramStart"/>
      <w:r w:rsidRPr="00B055C6">
        <w:rPr>
          <w:rFonts w:eastAsia="Times New Roman"/>
        </w:rPr>
        <w:t>“Service.”</w:t>
      </w:r>
      <w:proofErr w:type="gramEnd"/>
      <w:r w:rsidRPr="00B055C6">
        <w:rPr>
          <w:rFonts w:eastAsia="Times New Roman"/>
        </w:rPr>
        <w:t xml:space="preserv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w:t>
      </w:r>
    </w:p>
    <w:p w:rsidR="00C308B8" w:rsidRPr="00B055C6" w:rsidRDefault="00C308B8" w:rsidP="00C308B8">
      <w:pPr>
        <w:ind w:left="1440" w:firstLine="720"/>
        <w:rPr>
          <w:rFonts w:eastAsia="Times New Roman"/>
          <w:sz w:val="26"/>
          <w:szCs w:val="26"/>
        </w:rPr>
      </w:pPr>
    </w:p>
    <w:p w:rsidR="00C308B8" w:rsidRDefault="00C308B8" w:rsidP="00C308B8">
      <w:pPr>
        <w:spacing w:line="360" w:lineRule="auto"/>
        <w:rPr>
          <w:rFonts w:eastAsia="Times New Roman"/>
        </w:rPr>
      </w:pPr>
      <w:proofErr w:type="gramStart"/>
      <w:r>
        <w:rPr>
          <w:rFonts w:eastAsia="Times New Roman"/>
          <w:i/>
        </w:rPr>
        <w:t>Prosser</w:t>
      </w:r>
      <w:r>
        <w:rPr>
          <w:rFonts w:eastAsia="Times New Roman"/>
        </w:rPr>
        <w:t xml:space="preserve"> at 3.</w:t>
      </w:r>
      <w:proofErr w:type="gramEnd"/>
      <w:r>
        <w:rPr>
          <w:rFonts w:eastAsia="Times New Roman"/>
        </w:rPr>
        <w:t xml:space="preserve">  In accordance with statutory construction, a public utility’s processing of an application for electric or gas service falls within the broad definition of service, which requires the process to be reasonable.</w:t>
      </w:r>
    </w:p>
    <w:p w:rsidR="00023728" w:rsidRDefault="00023728" w:rsidP="00C308B8">
      <w:pPr>
        <w:spacing w:line="360" w:lineRule="auto"/>
        <w:rPr>
          <w:rFonts w:eastAsia="Times New Roman"/>
        </w:rPr>
      </w:pPr>
    </w:p>
    <w:p w:rsidR="00023728" w:rsidRPr="00023728" w:rsidRDefault="00023728" w:rsidP="00023728">
      <w:pPr>
        <w:tabs>
          <w:tab w:val="left" w:pos="1440"/>
        </w:tabs>
        <w:spacing w:line="360" w:lineRule="auto"/>
        <w:rPr>
          <w:rFonts w:cstheme="minorBidi"/>
          <w:szCs w:val="22"/>
        </w:rPr>
      </w:pPr>
      <w:r>
        <w:rPr>
          <w:rFonts w:cstheme="minorBidi"/>
          <w:szCs w:val="22"/>
        </w:rPr>
        <w:tab/>
      </w:r>
      <w:r w:rsidRPr="00023728">
        <w:rPr>
          <w:rFonts w:cstheme="minorBidi"/>
          <w:szCs w:val="22"/>
        </w:rPr>
        <w:t xml:space="preserve">Before addressing the processing of Ms. </w:t>
      </w:r>
      <w:proofErr w:type="spellStart"/>
      <w:r w:rsidRPr="00023728">
        <w:rPr>
          <w:rFonts w:cstheme="minorBidi"/>
          <w:szCs w:val="22"/>
        </w:rPr>
        <w:t>Trivelpiece’s</w:t>
      </w:r>
      <w:proofErr w:type="spellEnd"/>
      <w:r w:rsidRPr="00023728">
        <w:rPr>
          <w:rFonts w:cstheme="minorBidi"/>
          <w:szCs w:val="22"/>
        </w:rPr>
        <w:t xml:space="preserve"> application for service, a clarification on this issue is helpful.  Initially it was not clear during the hearing as to whether Complainant was challenging PECO’s delay in establishing service at Aspen Avenue.  On direct examination, Ms. </w:t>
      </w:r>
      <w:proofErr w:type="spellStart"/>
      <w:r w:rsidRPr="00023728">
        <w:rPr>
          <w:rFonts w:cstheme="minorBidi"/>
          <w:szCs w:val="22"/>
        </w:rPr>
        <w:t>Trivelpiece</w:t>
      </w:r>
      <w:proofErr w:type="spellEnd"/>
      <w:r w:rsidRPr="00023728">
        <w:rPr>
          <w:rFonts w:cstheme="minorBidi"/>
          <w:szCs w:val="22"/>
        </w:rPr>
        <w:t xml:space="preserve"> testified that she was without electricity for more than a month after filing her application for service at Aspen Avenue.  </w:t>
      </w:r>
      <w:proofErr w:type="gramStart"/>
      <w:r w:rsidRPr="00023728">
        <w:rPr>
          <w:rFonts w:cstheme="minorBidi"/>
          <w:szCs w:val="22"/>
        </w:rPr>
        <w:t>(Tr. 28.)</w:t>
      </w:r>
      <w:proofErr w:type="gramEnd"/>
      <w:r w:rsidRPr="00023728">
        <w:rPr>
          <w:rFonts w:cstheme="minorBidi"/>
          <w:szCs w:val="22"/>
        </w:rPr>
        <w:t xml:space="preserve">  PECO’s counsel, Attorney  Morris, argued that Complainant had raised for “the first time somehow there was some delay in establishing service as the company kept asking her for more and more documents.”  </w:t>
      </w:r>
      <w:proofErr w:type="gramStart"/>
      <w:r w:rsidRPr="00023728">
        <w:rPr>
          <w:rFonts w:cstheme="minorBidi"/>
          <w:szCs w:val="22"/>
        </w:rPr>
        <w:t>(Tr. 83.)</w:t>
      </w:r>
      <w:proofErr w:type="gramEnd"/>
      <w:r w:rsidRPr="00023728">
        <w:rPr>
          <w:rFonts w:cstheme="minorBidi"/>
          <w:szCs w:val="22"/>
        </w:rPr>
        <w:t xml:space="preserve">  Ms. </w:t>
      </w:r>
      <w:proofErr w:type="spellStart"/>
      <w:r w:rsidRPr="00023728">
        <w:rPr>
          <w:rFonts w:cstheme="minorBidi"/>
          <w:szCs w:val="22"/>
        </w:rPr>
        <w:t>Trivelpiece’s</w:t>
      </w:r>
      <w:proofErr w:type="spellEnd"/>
      <w:r w:rsidRPr="00023728">
        <w:rPr>
          <w:rFonts w:cstheme="minorBidi"/>
          <w:szCs w:val="22"/>
        </w:rPr>
        <w:t xml:space="preserve"> counsel, Attorney </w:t>
      </w:r>
      <w:proofErr w:type="spellStart"/>
      <w:r w:rsidRPr="00023728">
        <w:rPr>
          <w:rFonts w:cstheme="minorBidi"/>
          <w:szCs w:val="22"/>
        </w:rPr>
        <w:t>Steeves</w:t>
      </w:r>
      <w:proofErr w:type="spellEnd"/>
      <w:r w:rsidRPr="00023728">
        <w:rPr>
          <w:rFonts w:cstheme="minorBidi"/>
          <w:szCs w:val="22"/>
        </w:rPr>
        <w:t xml:space="preserve">, submitted, “Actually, that testimony went to the delay in getting her into the CAP rate program.”  </w:t>
      </w:r>
      <w:proofErr w:type="gramStart"/>
      <w:r w:rsidRPr="00023728">
        <w:rPr>
          <w:rFonts w:cstheme="minorBidi"/>
          <w:szCs w:val="22"/>
        </w:rPr>
        <w:t>(Tr. 85.)</w:t>
      </w:r>
      <w:proofErr w:type="gramEnd"/>
      <w:r w:rsidRPr="00023728">
        <w:rPr>
          <w:rFonts w:cstheme="minorBidi"/>
          <w:szCs w:val="22"/>
        </w:rPr>
        <w:t xml:space="preserve">  As a result, Attorney Morris asked whether Attorney </w:t>
      </w:r>
      <w:proofErr w:type="spellStart"/>
      <w:r w:rsidRPr="00023728">
        <w:rPr>
          <w:rFonts w:cstheme="minorBidi"/>
          <w:szCs w:val="22"/>
        </w:rPr>
        <w:t>Steeves</w:t>
      </w:r>
      <w:proofErr w:type="spellEnd"/>
      <w:r w:rsidRPr="00023728">
        <w:rPr>
          <w:rFonts w:cstheme="minorBidi"/>
          <w:szCs w:val="22"/>
        </w:rPr>
        <w:t xml:space="preserve"> was stipulating that a delay in starting service was not at issue in the proceeding.  Attorney </w:t>
      </w:r>
      <w:proofErr w:type="spellStart"/>
      <w:r w:rsidRPr="00023728">
        <w:rPr>
          <w:rFonts w:cstheme="minorBidi"/>
          <w:szCs w:val="22"/>
        </w:rPr>
        <w:t>Steeves</w:t>
      </w:r>
      <w:proofErr w:type="spellEnd"/>
      <w:r w:rsidRPr="00023728">
        <w:rPr>
          <w:rFonts w:cstheme="minorBidi"/>
          <w:szCs w:val="22"/>
        </w:rPr>
        <w:t xml:space="preserve"> replied, “That’s correct.  </w:t>
      </w:r>
      <w:proofErr w:type="gramStart"/>
      <w:r w:rsidRPr="00023728">
        <w:rPr>
          <w:rFonts w:cstheme="minorBidi"/>
          <w:szCs w:val="22"/>
        </w:rPr>
        <w:t>Pursuant to the CAP rate program.”</w:t>
      </w:r>
      <w:proofErr w:type="gramEnd"/>
      <w:r w:rsidRPr="00023728">
        <w:rPr>
          <w:rFonts w:cstheme="minorBidi"/>
          <w:szCs w:val="22"/>
        </w:rPr>
        <w:t xml:space="preserve">  </w:t>
      </w:r>
      <w:proofErr w:type="gramStart"/>
      <w:r w:rsidRPr="00023728">
        <w:rPr>
          <w:rFonts w:cstheme="minorBidi"/>
          <w:szCs w:val="22"/>
        </w:rPr>
        <w:t>(Tr. 85.)</w:t>
      </w:r>
      <w:proofErr w:type="gramEnd"/>
      <w:r w:rsidRPr="00023728">
        <w:rPr>
          <w:rFonts w:cstheme="minorBidi"/>
          <w:szCs w:val="22"/>
        </w:rPr>
        <w:t xml:space="preserve">  I noted that Attorney </w:t>
      </w:r>
      <w:proofErr w:type="spellStart"/>
      <w:r w:rsidRPr="00023728">
        <w:rPr>
          <w:rFonts w:cstheme="minorBidi"/>
          <w:szCs w:val="22"/>
        </w:rPr>
        <w:t>Steeves</w:t>
      </w:r>
      <w:proofErr w:type="spellEnd"/>
      <w:r w:rsidRPr="00023728">
        <w:rPr>
          <w:rFonts w:cstheme="minorBidi"/>
          <w:szCs w:val="22"/>
        </w:rPr>
        <w:t xml:space="preserve">’ reply did not appear to be a stipulation.  As a result, Attorney Morris asked, “Counsel, are you stipulating that the issue of the delay only relates to the enrollment into the CAP program, not when service was established?”   </w:t>
      </w:r>
      <w:proofErr w:type="gramStart"/>
      <w:r w:rsidRPr="00023728">
        <w:rPr>
          <w:rFonts w:cstheme="minorBidi"/>
          <w:szCs w:val="22"/>
        </w:rPr>
        <w:t>(Tr. 86.)</w:t>
      </w:r>
      <w:proofErr w:type="gramEnd"/>
      <w:r w:rsidRPr="00023728">
        <w:rPr>
          <w:rFonts w:cstheme="minorBidi"/>
          <w:szCs w:val="22"/>
        </w:rPr>
        <w:t xml:space="preserve">  Attorney </w:t>
      </w:r>
      <w:proofErr w:type="spellStart"/>
      <w:r w:rsidRPr="00023728">
        <w:rPr>
          <w:rFonts w:cstheme="minorBidi"/>
          <w:szCs w:val="22"/>
        </w:rPr>
        <w:t>Steeves</w:t>
      </w:r>
      <w:proofErr w:type="spellEnd"/>
      <w:r w:rsidRPr="00023728">
        <w:rPr>
          <w:rFonts w:cstheme="minorBidi"/>
          <w:szCs w:val="22"/>
        </w:rPr>
        <w:t xml:space="preserve"> replied, “The issue of the delay was actually closed, but the first issue of the delay and her service starting has to do more with her questions in the amount of the bill when she ---.”  (Tr. 86-87.)  Attorney Morris replied, “Your Honor, if she said yes we’ll go ahead and fax it [PECO’s Exhibit 8] so that it is an issue in this proceeding.  Attorney Morris later stated, “The issue appears to be that the Company did not process the establishment of the account in a timely manner.”  </w:t>
      </w:r>
      <w:proofErr w:type="gramStart"/>
      <w:r w:rsidRPr="00023728">
        <w:rPr>
          <w:rFonts w:cstheme="minorBidi"/>
          <w:szCs w:val="22"/>
        </w:rPr>
        <w:t>(Tr. 89.)</w:t>
      </w:r>
      <w:proofErr w:type="gramEnd"/>
      <w:r w:rsidRPr="00023728">
        <w:rPr>
          <w:rFonts w:cstheme="minorBidi"/>
          <w:szCs w:val="22"/>
        </w:rPr>
        <w:t xml:space="preserve">  Based upon </w:t>
      </w:r>
      <w:r w:rsidR="0065029A">
        <w:rPr>
          <w:rFonts w:cstheme="minorBidi"/>
          <w:szCs w:val="22"/>
        </w:rPr>
        <w:t>attorneys’</w:t>
      </w:r>
      <w:r w:rsidRPr="00023728">
        <w:rPr>
          <w:rFonts w:cstheme="minorBidi"/>
          <w:szCs w:val="22"/>
        </w:rPr>
        <w:t xml:space="preserve"> colloquy, I concluded that there was no stipulation concerning the issue of the establishment of service at Aspen Avenue.  Additionally, Attorney Morris questioned her witness on this issue.  (Tr. 89-92.)  Accordingly this issue is addressed next.</w:t>
      </w:r>
    </w:p>
    <w:p w:rsidR="00023728" w:rsidRDefault="00023728" w:rsidP="00C308B8">
      <w:pPr>
        <w:spacing w:line="360" w:lineRule="auto"/>
        <w:rPr>
          <w:rFonts w:eastAsia="Times New Roman"/>
        </w:rPr>
      </w:pPr>
    </w:p>
    <w:p w:rsidR="00C308B8" w:rsidRDefault="00C308B8" w:rsidP="00C308B8">
      <w:pPr>
        <w:tabs>
          <w:tab w:val="left" w:pos="0"/>
        </w:tabs>
        <w:autoSpaceDE w:val="0"/>
        <w:autoSpaceDN w:val="0"/>
        <w:spacing w:line="360" w:lineRule="auto"/>
      </w:pPr>
      <w:r>
        <w:tab/>
      </w:r>
      <w:r>
        <w:tab/>
        <w:t xml:space="preserve">On October 10, 2013, Ms. </w:t>
      </w:r>
      <w:proofErr w:type="spellStart"/>
      <w:r>
        <w:t>Trivelpiece</w:t>
      </w:r>
      <w:proofErr w:type="spellEnd"/>
      <w:r>
        <w:t xml:space="preserve"> applied for service at Aspen Avenue.  </w:t>
      </w:r>
      <w:proofErr w:type="gramStart"/>
      <w:r>
        <w:t>(Tr.</w:t>
      </w:r>
      <w:r w:rsidR="00F41162">
        <w:t> </w:t>
      </w:r>
      <w:r>
        <w:t>70-71, 75.)</w:t>
      </w:r>
      <w:proofErr w:type="gramEnd"/>
      <w:r>
        <w:t xml:space="preserve">  Nineteen days later, on October 29, 2013, PECO mailed her a Service Denial Notice.  </w:t>
      </w:r>
      <w:proofErr w:type="gramStart"/>
      <w:r>
        <w:t>(Tr. 81; PECO’s Exhibit 7.)</w:t>
      </w:r>
      <w:proofErr w:type="gramEnd"/>
      <w:r>
        <w:t xml:space="preserve">  The denial notice stated that a $12,121.35 balance at 2</w:t>
      </w:r>
      <w:r w:rsidRPr="00F567CF">
        <w:rPr>
          <w:vertAlign w:val="superscript"/>
        </w:rPr>
        <w:t>nd</w:t>
      </w:r>
      <w:r>
        <w:t xml:space="preserve"> Avenue from </w:t>
      </w:r>
      <w:r w:rsidR="006B0211">
        <w:t>December 2, 2008 to July 30, 2010</w:t>
      </w:r>
      <w:r>
        <w:t xml:space="preserve"> must be satisfied before PECO would start service in her name.  The denial notice further stated she qualified for payment terms and was required to provide certain documents to get service in her name.  The required documents included a completed lease or settlement statement and two forms of identification.  (Id.)  Ms.</w:t>
      </w:r>
      <w:r w:rsidR="00F23E08">
        <w:t> </w:t>
      </w:r>
      <w:proofErr w:type="spellStart"/>
      <w:r>
        <w:t>Trivelpiece</w:t>
      </w:r>
      <w:proofErr w:type="spellEnd"/>
      <w:r>
        <w:t xml:space="preserve"> sent the required documents to PECO on November 4, 2013.  Sixteen days later, on November</w:t>
      </w:r>
      <w:r w:rsidR="00910D4B">
        <w:t> </w:t>
      </w:r>
      <w:r>
        <w:t xml:space="preserve">20, 2013, PECO initiated Ms. </w:t>
      </w:r>
      <w:proofErr w:type="spellStart"/>
      <w:r>
        <w:t>Trivelpiece’s</w:t>
      </w:r>
      <w:proofErr w:type="spellEnd"/>
      <w:r>
        <w:t xml:space="preserve"> service at Aspen Avenue.  </w:t>
      </w:r>
    </w:p>
    <w:p w:rsidR="00C308B8" w:rsidRDefault="00C308B8" w:rsidP="00C308B8">
      <w:pPr>
        <w:tabs>
          <w:tab w:val="left" w:pos="0"/>
        </w:tabs>
        <w:autoSpaceDE w:val="0"/>
        <w:autoSpaceDN w:val="0"/>
        <w:spacing w:line="360" w:lineRule="auto"/>
      </w:pPr>
    </w:p>
    <w:p w:rsidR="00C308B8" w:rsidRPr="00C14A17" w:rsidRDefault="00C308B8" w:rsidP="00C308B8">
      <w:pPr>
        <w:tabs>
          <w:tab w:val="left" w:pos="0"/>
        </w:tabs>
        <w:autoSpaceDE w:val="0"/>
        <w:autoSpaceDN w:val="0"/>
        <w:spacing w:line="360" w:lineRule="auto"/>
        <w:rPr>
          <w:rFonts w:eastAsia="Times New Roman"/>
        </w:rPr>
      </w:pPr>
      <w:r>
        <w:tab/>
      </w:r>
      <w:r>
        <w:tab/>
        <w:t xml:space="preserve">I conclude that PECO’s 19-day delay in responding to Ms. </w:t>
      </w:r>
      <w:proofErr w:type="spellStart"/>
      <w:r>
        <w:t>Trivelpiece’s</w:t>
      </w:r>
      <w:proofErr w:type="spellEnd"/>
      <w:r>
        <w:t xml:space="preserve"> application for service and 16-day delay in initiating service violated the reasonable service provisions of </w:t>
      </w:r>
      <w:r w:rsidRPr="00416E92">
        <w:t>Section 1501 of the Code, 66 Pa.C.S. §</w:t>
      </w:r>
      <w:r>
        <w:t xml:space="preserve"> </w:t>
      </w:r>
      <w:r w:rsidRPr="00416E92">
        <w:t>1501</w:t>
      </w:r>
      <w:r>
        <w:t xml:space="preserve">.  </w:t>
      </w:r>
    </w:p>
    <w:p w:rsidR="00C308B8" w:rsidRDefault="00C308B8" w:rsidP="00C308B8">
      <w:pPr>
        <w:tabs>
          <w:tab w:val="left" w:pos="0"/>
        </w:tabs>
        <w:autoSpaceDE w:val="0"/>
        <w:autoSpaceDN w:val="0"/>
        <w:spacing w:line="360" w:lineRule="auto"/>
        <w:rPr>
          <w:u w:val="single"/>
        </w:rPr>
      </w:pPr>
    </w:p>
    <w:p w:rsidR="00C308B8" w:rsidRDefault="00C308B8" w:rsidP="00C308B8">
      <w:pPr>
        <w:tabs>
          <w:tab w:val="left" w:pos="0"/>
        </w:tabs>
        <w:autoSpaceDE w:val="0"/>
        <w:autoSpaceDN w:val="0"/>
        <w:spacing w:line="360" w:lineRule="auto"/>
      </w:pPr>
      <w:r>
        <w:tab/>
      </w:r>
      <w:r>
        <w:tab/>
        <w:t xml:space="preserve">As an applicant, Ms. </w:t>
      </w:r>
      <w:proofErr w:type="spellStart"/>
      <w:r>
        <w:t>Trivelpiece</w:t>
      </w:r>
      <w:proofErr w:type="spellEnd"/>
      <w:r>
        <w:t xml:space="preserve"> was entitled to a prompt response to her October</w:t>
      </w:r>
      <w:r w:rsidR="004C5F21">
        <w:t> </w:t>
      </w:r>
      <w:r>
        <w:t xml:space="preserve">10, 2013 request for service.  She was without electricity at Aspen Avenue for a month.  </w:t>
      </w:r>
      <w:proofErr w:type="gramStart"/>
      <w:r>
        <w:t>(Tr. 28.)</w:t>
      </w:r>
      <w:proofErr w:type="gramEnd"/>
      <w:r>
        <w:t xml:space="preserve"> </w:t>
      </w:r>
      <w:r w:rsidR="004C5F21">
        <w:t xml:space="preserve"> </w:t>
      </w:r>
      <w:r>
        <w:t xml:space="preserve">PECO contends it was waiting for Ms. </w:t>
      </w:r>
      <w:proofErr w:type="spellStart"/>
      <w:r>
        <w:t>Trivelpiece’s</w:t>
      </w:r>
      <w:proofErr w:type="spellEnd"/>
      <w:r>
        <w:t xml:space="preserve"> response to the October 29, 2013 notice of denial. </w:t>
      </w:r>
      <w:r w:rsidR="004C5F21">
        <w:t xml:space="preserve"> </w:t>
      </w:r>
      <w:r>
        <w:t>PECO did not offer any explanation as to the delay in processing Ms.</w:t>
      </w:r>
      <w:r w:rsidR="004C5F21">
        <w:t> </w:t>
      </w:r>
      <w:proofErr w:type="spellStart"/>
      <w:r>
        <w:t>Trivelpiece’s</w:t>
      </w:r>
      <w:proofErr w:type="spellEnd"/>
      <w:r>
        <w:t xml:space="preserve"> application during the nineteen days between October 10 and 29, 2013.  </w:t>
      </w:r>
    </w:p>
    <w:p w:rsidR="00F23E08" w:rsidRDefault="00F23E08" w:rsidP="00C308B8">
      <w:pPr>
        <w:tabs>
          <w:tab w:val="left" w:pos="0"/>
        </w:tabs>
        <w:autoSpaceDE w:val="0"/>
        <w:autoSpaceDN w:val="0"/>
        <w:spacing w:line="360" w:lineRule="auto"/>
      </w:pPr>
    </w:p>
    <w:p w:rsidR="00C308B8" w:rsidRPr="00C763C9" w:rsidRDefault="00C308B8" w:rsidP="00C308B8">
      <w:pPr>
        <w:tabs>
          <w:tab w:val="left" w:pos="0"/>
        </w:tabs>
        <w:autoSpaceDE w:val="0"/>
        <w:autoSpaceDN w:val="0"/>
        <w:spacing w:line="360" w:lineRule="auto"/>
        <w:rPr>
          <w:u w:val="single"/>
        </w:rPr>
      </w:pPr>
      <w:r>
        <w:rPr>
          <w:u w:val="single"/>
        </w:rPr>
        <w:t>Section 56.36(1)</w:t>
      </w:r>
      <w:r w:rsidR="00144435">
        <w:rPr>
          <w:u w:val="single"/>
        </w:rPr>
        <w:t xml:space="preserve"> Issue – Reasons for Denial of Credit</w:t>
      </w:r>
    </w:p>
    <w:p w:rsidR="00C308B8" w:rsidRDefault="00C308B8" w:rsidP="00C308B8">
      <w:pPr>
        <w:tabs>
          <w:tab w:val="left" w:pos="0"/>
        </w:tabs>
        <w:autoSpaceDE w:val="0"/>
        <w:autoSpaceDN w:val="0"/>
        <w:spacing w:line="360" w:lineRule="auto"/>
      </w:pPr>
    </w:p>
    <w:p w:rsidR="00C308B8" w:rsidRDefault="00C308B8" w:rsidP="00C308B8">
      <w:pPr>
        <w:tabs>
          <w:tab w:val="left" w:pos="0"/>
        </w:tabs>
        <w:autoSpaceDE w:val="0"/>
        <w:autoSpaceDN w:val="0"/>
        <w:spacing w:line="360" w:lineRule="auto"/>
      </w:pPr>
      <w:r>
        <w:tab/>
      </w:r>
      <w:r>
        <w:tab/>
      </w:r>
      <w:r w:rsidR="00F23E08">
        <w:t xml:space="preserve">PECO’s delay in processing Ms. </w:t>
      </w:r>
      <w:proofErr w:type="spellStart"/>
      <w:r w:rsidR="00F23E08">
        <w:t>Trivelpiece’s</w:t>
      </w:r>
      <w:proofErr w:type="spellEnd"/>
      <w:r w:rsidR="00F23E08">
        <w:t xml:space="preserve"> application overlooked the requirements of Sections 56.36(1) and 56.37 of the Commission’s regulations.</w:t>
      </w:r>
      <w:r w:rsidR="00F23E08">
        <w:rPr>
          <w:rStyle w:val="FootnoteReference"/>
        </w:rPr>
        <w:footnoteReference w:id="8"/>
      </w:r>
      <w:r w:rsidR="00F23E08">
        <w:t xml:space="preserve">  </w:t>
      </w:r>
      <w:r>
        <w:t xml:space="preserve">Section 56.36(1) provides that if service is denied because of credit status, the public utility is required to inform the applicant in writing within 3 business days of the denial.  Section 56.36(1) also states, “If the public utility is requiring payment of an unpaid balance in accordance with § 56.35, the public utility shall specify in writing the amount of the unpaid balance, the dates during which the balance accrued and the location and customer name at which the balance accrued.”  Thus in conformity with the 3 business days provision requirement for informing an applicant of service denial because credit status, PECO was required to inform Ms. </w:t>
      </w:r>
      <w:proofErr w:type="spellStart"/>
      <w:r>
        <w:t>Trivelpiece</w:t>
      </w:r>
      <w:proofErr w:type="spellEnd"/>
      <w:r>
        <w:t xml:space="preserve"> within </w:t>
      </w:r>
      <w:r w:rsidR="00445D52">
        <w:t>3</w:t>
      </w:r>
      <w:r>
        <w:t xml:space="preserve"> business days of October 13, 2013, that service was denied because of an outstanding balance.  However, PECO failed to do so.</w:t>
      </w:r>
    </w:p>
    <w:p w:rsidR="00C308B8" w:rsidRDefault="00C308B8" w:rsidP="00C308B8">
      <w:pPr>
        <w:tabs>
          <w:tab w:val="left" w:pos="0"/>
        </w:tabs>
        <w:autoSpaceDE w:val="0"/>
        <w:autoSpaceDN w:val="0"/>
        <w:spacing w:line="360" w:lineRule="auto"/>
      </w:pPr>
    </w:p>
    <w:p w:rsidR="00C308B8" w:rsidRDefault="00C308B8" w:rsidP="00C308B8">
      <w:pPr>
        <w:tabs>
          <w:tab w:val="left" w:pos="0"/>
        </w:tabs>
        <w:autoSpaceDE w:val="0"/>
        <w:autoSpaceDN w:val="0"/>
        <w:spacing w:line="360" w:lineRule="auto"/>
      </w:pPr>
      <w:r>
        <w:tab/>
      </w:r>
      <w:r>
        <w:tab/>
        <w:t xml:space="preserve">Additionally, the October 29, 2013 Service Denial Notice is defective.  </w:t>
      </w:r>
      <w:proofErr w:type="gramStart"/>
      <w:r>
        <w:t>(PECO’s Exhibit 7.)</w:t>
      </w:r>
      <w:proofErr w:type="gramEnd"/>
      <w:r>
        <w:t xml:space="preserve">  The notice is printed upon PECO’s standard form and states the application cannot be approved because of the following:</w:t>
      </w:r>
    </w:p>
    <w:p w:rsidR="00C308B8" w:rsidRDefault="00C308B8" w:rsidP="006E3D4A">
      <w:pPr>
        <w:tabs>
          <w:tab w:val="left" w:pos="0"/>
        </w:tabs>
        <w:autoSpaceDE w:val="0"/>
        <w:autoSpaceDN w:val="0"/>
      </w:pPr>
    </w:p>
    <w:p w:rsidR="00C308B8" w:rsidRDefault="00C308B8" w:rsidP="00C308B8">
      <w:pPr>
        <w:tabs>
          <w:tab w:val="left" w:pos="0"/>
        </w:tabs>
        <w:autoSpaceDE w:val="0"/>
        <w:autoSpaceDN w:val="0"/>
        <w:spacing w:line="360" w:lineRule="auto"/>
      </w:pPr>
      <w:r>
        <w:tab/>
      </w:r>
      <w:r>
        <w:tab/>
        <w:t>You have an outstanding balance at the following address:</w:t>
      </w:r>
    </w:p>
    <w:p w:rsidR="00A634CC" w:rsidRDefault="00A634CC" w:rsidP="006E3D4A">
      <w:pPr>
        <w:tabs>
          <w:tab w:val="left" w:pos="0"/>
        </w:tabs>
        <w:autoSpaceDE w:val="0"/>
        <w:autoSpaceDN w:val="0"/>
      </w:pPr>
    </w:p>
    <w:p w:rsidR="00C308B8" w:rsidRPr="00285306" w:rsidRDefault="00C308B8" w:rsidP="00C308B8">
      <w:pPr>
        <w:pStyle w:val="ListParagraph"/>
        <w:numPr>
          <w:ilvl w:val="0"/>
          <w:numId w:val="5"/>
        </w:numPr>
        <w:tabs>
          <w:tab w:val="left" w:pos="0"/>
        </w:tabs>
        <w:autoSpaceDE w:val="0"/>
        <w:autoSpaceDN w:val="0"/>
        <w:ind w:left="1080"/>
      </w:pPr>
      <w:r>
        <w:t>Acct #85078-67029 -367 2</w:t>
      </w:r>
      <w:r w:rsidRPr="00285306">
        <w:rPr>
          <w:vertAlign w:val="superscript"/>
        </w:rPr>
        <w:t>nd</w:t>
      </w:r>
      <w:r>
        <w:t xml:space="preserve"> Ave., 1</w:t>
      </w:r>
      <w:r w:rsidRPr="00285306">
        <w:rPr>
          <w:vertAlign w:val="superscript"/>
        </w:rPr>
        <w:t>ST</w:t>
      </w:r>
      <w:r>
        <w:t xml:space="preserve"> FLOOR PHOENIXVILLE PA 19460 in the amount of 12,121.35 for service from 12/02/08 to </w:t>
      </w:r>
      <w:r w:rsidRPr="00285306">
        <w:rPr>
          <w:b/>
        </w:rPr>
        <w:t>07/30/2010</w:t>
      </w:r>
    </w:p>
    <w:p w:rsidR="00C308B8" w:rsidRDefault="00C308B8" w:rsidP="00C308B8">
      <w:pPr>
        <w:tabs>
          <w:tab w:val="left" w:pos="0"/>
        </w:tabs>
        <w:autoSpaceDE w:val="0"/>
        <w:autoSpaceDN w:val="0"/>
      </w:pPr>
    </w:p>
    <w:p w:rsidR="00C308B8" w:rsidRDefault="00C308B8" w:rsidP="00C308B8">
      <w:pPr>
        <w:pStyle w:val="ListParagraph"/>
        <w:numPr>
          <w:ilvl w:val="0"/>
          <w:numId w:val="5"/>
        </w:numPr>
        <w:tabs>
          <w:tab w:val="left" w:pos="0"/>
        </w:tabs>
        <w:autoSpaceDE w:val="0"/>
        <w:autoSpaceDN w:val="0"/>
        <w:ind w:left="1080"/>
      </w:pPr>
      <w:r w:rsidRPr="00285306">
        <w:t>Acct # (00000-00000)</w:t>
      </w:r>
      <w:r>
        <w:t xml:space="preserve"> – (Address) in the amount of (Dollar value) for service from (start date) to (end date).</w:t>
      </w:r>
    </w:p>
    <w:p w:rsidR="00C308B8" w:rsidRDefault="00C308B8" w:rsidP="00C308B8">
      <w:pPr>
        <w:tabs>
          <w:tab w:val="left" w:pos="0"/>
        </w:tabs>
        <w:autoSpaceDE w:val="0"/>
        <w:autoSpaceDN w:val="0"/>
        <w:ind w:left="720"/>
      </w:pPr>
    </w:p>
    <w:p w:rsidR="00C308B8" w:rsidRPr="00285306" w:rsidRDefault="00C308B8" w:rsidP="00C308B8">
      <w:pPr>
        <w:tabs>
          <w:tab w:val="left" w:pos="0"/>
        </w:tabs>
        <w:autoSpaceDE w:val="0"/>
        <w:autoSpaceDN w:val="0"/>
        <w:ind w:left="720"/>
      </w:pPr>
      <w:r>
        <w:t>Outstanding balances must be satisfied before we will start new service in your name.</w:t>
      </w:r>
    </w:p>
    <w:p w:rsidR="00C308B8" w:rsidRDefault="00C308B8" w:rsidP="00C308B8">
      <w:pPr>
        <w:tabs>
          <w:tab w:val="left" w:pos="0"/>
        </w:tabs>
        <w:autoSpaceDE w:val="0"/>
        <w:autoSpaceDN w:val="0"/>
        <w:spacing w:line="360" w:lineRule="auto"/>
      </w:pPr>
    </w:p>
    <w:p w:rsidR="00C308B8" w:rsidRDefault="00C308B8" w:rsidP="00C308B8">
      <w:pPr>
        <w:tabs>
          <w:tab w:val="left" w:pos="0"/>
        </w:tabs>
        <w:autoSpaceDE w:val="0"/>
        <w:autoSpaceDN w:val="0"/>
        <w:spacing w:line="360" w:lineRule="auto"/>
      </w:pPr>
      <w:r>
        <w:t xml:space="preserve">(Id.)  </w:t>
      </w:r>
      <w:proofErr w:type="gramStart"/>
      <w:r w:rsidR="002B1CD8">
        <w:t>(Emphasis in original</w:t>
      </w:r>
      <w:r w:rsidR="00307E90">
        <w:t>.</w:t>
      </w:r>
      <w:r w:rsidR="002B1CD8">
        <w:t>)</w:t>
      </w:r>
      <w:proofErr w:type="gramEnd"/>
      <w:r w:rsidR="002B1CD8">
        <w:t xml:space="preserve">  </w:t>
      </w:r>
      <w:r>
        <w:t>The notice is defective because the $12,121.35 balance did not accrue at 2</w:t>
      </w:r>
      <w:r w:rsidRPr="0027357A">
        <w:rPr>
          <w:vertAlign w:val="superscript"/>
        </w:rPr>
        <w:t>nd</w:t>
      </w:r>
      <w:r>
        <w:t xml:space="preserve"> Avenue in less than two years as suggested by </w:t>
      </w:r>
      <w:r w:rsidR="004D1BD7">
        <w:t xml:space="preserve">the </w:t>
      </w:r>
      <w:r>
        <w:t xml:space="preserve">notice.  Rather the $12,121.35 is a compilation </w:t>
      </w:r>
      <w:r w:rsidR="006402BB">
        <w:t xml:space="preserve">of </w:t>
      </w:r>
      <w:r>
        <w:t xml:space="preserve">balance transfers from multiple addresses.  </w:t>
      </w:r>
      <w:proofErr w:type="gramStart"/>
      <w:r>
        <w:t>(See Table 3 above.)</w:t>
      </w:r>
      <w:proofErr w:type="gramEnd"/>
      <w:r>
        <w:t xml:space="preserve">  While PECO’s standard form provides for the listing of multiple addresses, account numbers, balance amounts and services dates, PECO failed to detail these items, i.e., the various addresses and final balances, in the denial notice to Ms. </w:t>
      </w:r>
      <w:proofErr w:type="spellStart"/>
      <w:r>
        <w:t>Trivelpiece</w:t>
      </w:r>
      <w:proofErr w:type="spellEnd"/>
      <w:r>
        <w:t xml:space="preserve">, </w:t>
      </w:r>
      <w:r w:rsidR="004D1BD7">
        <w:t>w</w:t>
      </w:r>
      <w:r>
        <w:t>hereby she could have challenged the balances as beyond the four-year limitations period.  Thus, I must conclude that PECO violated Section 56.36(1) of the regulations and in so doing also violated the reasonable service provisions of Section 1501 of the Code.</w:t>
      </w:r>
    </w:p>
    <w:p w:rsidR="00C308B8" w:rsidRDefault="00C308B8" w:rsidP="00C308B8">
      <w:pPr>
        <w:tabs>
          <w:tab w:val="left" w:pos="0"/>
        </w:tabs>
        <w:autoSpaceDE w:val="0"/>
        <w:autoSpaceDN w:val="0"/>
        <w:spacing w:line="360" w:lineRule="auto"/>
      </w:pPr>
    </w:p>
    <w:p w:rsidR="005944C3" w:rsidRPr="005944C3" w:rsidRDefault="00144435" w:rsidP="00416E92">
      <w:pPr>
        <w:spacing w:line="360" w:lineRule="auto"/>
      </w:pPr>
      <w:r w:rsidRPr="00144435">
        <w:rPr>
          <w:u w:val="single"/>
        </w:rPr>
        <w:t xml:space="preserve">Section 56.35 </w:t>
      </w:r>
      <w:proofErr w:type="gramStart"/>
      <w:r w:rsidRPr="00144435">
        <w:rPr>
          <w:u w:val="single"/>
        </w:rPr>
        <w:t>Issue</w:t>
      </w:r>
      <w:proofErr w:type="gramEnd"/>
      <w:r w:rsidRPr="00144435">
        <w:rPr>
          <w:u w:val="single"/>
        </w:rPr>
        <w:t xml:space="preserve"> - </w:t>
      </w:r>
      <w:r w:rsidR="00F67943" w:rsidRPr="00F67943">
        <w:rPr>
          <w:u w:val="single"/>
        </w:rPr>
        <w:t>Payment of Outstanding Balance</w:t>
      </w:r>
      <w:r w:rsidR="005944C3">
        <w:tab/>
      </w:r>
    </w:p>
    <w:p w:rsidR="005944C3" w:rsidRDefault="005944C3" w:rsidP="00416E92">
      <w:pPr>
        <w:spacing w:line="360" w:lineRule="auto"/>
        <w:rPr>
          <w:u w:val="single"/>
        </w:rPr>
      </w:pPr>
    </w:p>
    <w:p w:rsidR="00F67943" w:rsidRDefault="00F67943" w:rsidP="00416E92">
      <w:pPr>
        <w:spacing w:line="360" w:lineRule="auto"/>
      </w:pPr>
      <w:r>
        <w:tab/>
      </w:r>
      <w:r>
        <w:tab/>
        <w:t xml:space="preserve">Under the Commission’s regulations </w:t>
      </w:r>
      <w:r w:rsidR="002007E7">
        <w:t xml:space="preserve">a utility may require </w:t>
      </w:r>
      <w:r>
        <w:t>a residential applicant to pay an outstanding balance from a prior service address, in order to receive serve.  The regulati</w:t>
      </w:r>
      <w:r w:rsidR="002007E7">
        <w:t>o</w:t>
      </w:r>
      <w:r>
        <w:t>n states as follows:</w:t>
      </w:r>
    </w:p>
    <w:p w:rsidR="002007E7" w:rsidRPr="005944C3" w:rsidRDefault="002007E7" w:rsidP="002007E7">
      <w:pPr>
        <w:autoSpaceDE w:val="0"/>
        <w:autoSpaceDN w:val="0"/>
        <w:ind w:firstLine="1440"/>
        <w:rPr>
          <w:rFonts w:ascii="CG Times" w:hAnsi="CG Times"/>
        </w:rPr>
      </w:pPr>
      <w:r w:rsidRPr="005944C3">
        <w:rPr>
          <w:rFonts w:ascii="CG Times" w:hAnsi="CG Times"/>
          <w:b/>
        </w:rPr>
        <w:t xml:space="preserve">§ </w:t>
      </w:r>
      <w:proofErr w:type="gramStart"/>
      <w:r w:rsidRPr="005944C3">
        <w:rPr>
          <w:rFonts w:ascii="CG Times" w:hAnsi="CG Times"/>
          <w:b/>
        </w:rPr>
        <w:t>5</w:t>
      </w:r>
      <w:r>
        <w:rPr>
          <w:rFonts w:ascii="CG Times" w:hAnsi="CG Times"/>
          <w:b/>
        </w:rPr>
        <w:t>6</w:t>
      </w:r>
      <w:r w:rsidRPr="005944C3">
        <w:rPr>
          <w:rFonts w:ascii="CG Times" w:hAnsi="CG Times"/>
          <w:b/>
        </w:rPr>
        <w:t>.</w:t>
      </w:r>
      <w:r w:rsidR="00957582">
        <w:rPr>
          <w:rFonts w:ascii="CG Times" w:hAnsi="CG Times"/>
          <w:b/>
        </w:rPr>
        <w:t>35</w:t>
      </w:r>
      <w:r w:rsidRPr="005944C3">
        <w:rPr>
          <w:rFonts w:ascii="CG Times" w:hAnsi="CG Times"/>
          <w:b/>
        </w:rPr>
        <w:t xml:space="preserve">  </w:t>
      </w:r>
      <w:r>
        <w:rPr>
          <w:rFonts w:ascii="CG Times" w:hAnsi="CG Times"/>
          <w:b/>
        </w:rPr>
        <w:t>Payment</w:t>
      </w:r>
      <w:proofErr w:type="gramEnd"/>
      <w:r>
        <w:rPr>
          <w:rFonts w:ascii="CG Times" w:hAnsi="CG Times"/>
          <w:b/>
        </w:rPr>
        <w:t xml:space="preserve"> of outstanding balance</w:t>
      </w:r>
      <w:r w:rsidRPr="005944C3">
        <w:rPr>
          <w:rFonts w:ascii="CG Times" w:hAnsi="CG Times"/>
          <w:b/>
        </w:rPr>
        <w:t>.</w:t>
      </w:r>
    </w:p>
    <w:p w:rsidR="002007E7" w:rsidRPr="00C13B0C" w:rsidRDefault="00557ED8" w:rsidP="00557ED8">
      <w:pPr>
        <w:ind w:left="1440" w:right="1080"/>
      </w:pPr>
      <w:r>
        <w:t xml:space="preserve">   </w:t>
      </w:r>
      <w:r w:rsidR="00C13B0C" w:rsidRPr="00C13B0C">
        <w:t>(a)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w:t>
      </w:r>
    </w:p>
    <w:p w:rsidR="00641FE1" w:rsidRDefault="00641FE1" w:rsidP="00641FE1">
      <w:pPr>
        <w:spacing w:line="360" w:lineRule="auto"/>
      </w:pPr>
    </w:p>
    <w:p w:rsidR="00A634CC" w:rsidRDefault="0055503D" w:rsidP="00641FE1">
      <w:pPr>
        <w:spacing w:line="360" w:lineRule="auto"/>
      </w:pPr>
      <w:proofErr w:type="gramStart"/>
      <w:r>
        <w:t xml:space="preserve">52 Pa.Code </w:t>
      </w:r>
      <w:r w:rsidRPr="0055503D">
        <w:rPr>
          <w:rFonts w:ascii="CG Times" w:hAnsi="CG Times"/>
        </w:rPr>
        <w:t>§ 56.3</w:t>
      </w:r>
      <w:r w:rsidR="005D7639">
        <w:rPr>
          <w:rFonts w:ascii="CG Times" w:hAnsi="CG Times"/>
        </w:rPr>
        <w:t>5</w:t>
      </w:r>
      <w:r w:rsidRPr="0055503D">
        <w:rPr>
          <w:rFonts w:ascii="CG Times" w:hAnsi="CG Times"/>
        </w:rPr>
        <w:t>.</w:t>
      </w:r>
      <w:proofErr w:type="gramEnd"/>
      <w:r w:rsidRPr="00C83869">
        <w:rPr>
          <w:rFonts w:ascii="CG Times" w:hAnsi="CG Times"/>
        </w:rPr>
        <w:t xml:space="preserve">  </w:t>
      </w:r>
      <w:r w:rsidR="00557ED8">
        <w:t xml:space="preserve">However, </w:t>
      </w:r>
      <w:r w:rsidR="00641FE1">
        <w:t xml:space="preserve">conditioning a payment arrangement upon an account balance that is more than four years old contravenes Section 56.35.  </w:t>
      </w:r>
      <w:proofErr w:type="gramStart"/>
      <w:r w:rsidR="007129B2" w:rsidRPr="00C6679F">
        <w:rPr>
          <w:i/>
        </w:rPr>
        <w:t>Duquesne Light Company v. P</w:t>
      </w:r>
      <w:r w:rsidR="007129B2">
        <w:rPr>
          <w:i/>
        </w:rPr>
        <w:t>a.</w:t>
      </w:r>
      <w:r w:rsidR="007129B2" w:rsidRPr="00C6679F">
        <w:rPr>
          <w:i/>
        </w:rPr>
        <w:t xml:space="preserve"> Pub</w:t>
      </w:r>
      <w:r w:rsidR="007129B2">
        <w:rPr>
          <w:i/>
        </w:rPr>
        <w:t>.</w:t>
      </w:r>
      <w:proofErr w:type="gramEnd"/>
      <w:r w:rsidR="007129B2" w:rsidRPr="00C6679F">
        <w:rPr>
          <w:i/>
        </w:rPr>
        <w:t xml:space="preserve"> </w:t>
      </w:r>
      <w:proofErr w:type="gramStart"/>
      <w:r w:rsidR="007129B2" w:rsidRPr="00C6679F">
        <w:rPr>
          <w:i/>
        </w:rPr>
        <w:t>Uti</w:t>
      </w:r>
      <w:r w:rsidR="007129B2">
        <w:rPr>
          <w:i/>
        </w:rPr>
        <w:t>l.</w:t>
      </w:r>
      <w:r w:rsidR="007129B2" w:rsidRPr="00C6679F">
        <w:rPr>
          <w:i/>
        </w:rPr>
        <w:t xml:space="preserve"> Comm</w:t>
      </w:r>
      <w:r w:rsidR="007129B2">
        <w:rPr>
          <w:i/>
        </w:rPr>
        <w:t>’</w:t>
      </w:r>
      <w:r w:rsidR="007129B2" w:rsidRPr="00C6679F">
        <w:rPr>
          <w:i/>
        </w:rPr>
        <w:t>n</w:t>
      </w:r>
      <w:r w:rsidR="007129B2" w:rsidRPr="00C6679F">
        <w:t>, 2844 C.D. 1998</w:t>
      </w:r>
      <w:r w:rsidR="007129B2">
        <w:t xml:space="preserve"> (Memorandum Opinion </w:t>
      </w:r>
      <w:r w:rsidR="007129B2" w:rsidRPr="00C6679F">
        <w:t>Filed July 14, 1999</w:t>
      </w:r>
      <w:r w:rsidR="007129B2">
        <w:t>)</w:t>
      </w:r>
      <w:r w:rsidR="007129B2" w:rsidRPr="00C6679F">
        <w:t>.</w:t>
      </w:r>
      <w:proofErr w:type="gramEnd"/>
      <w:r w:rsidR="007129B2" w:rsidRPr="00C6679F">
        <w:t xml:space="preserve"> </w:t>
      </w:r>
    </w:p>
    <w:p w:rsidR="007129B2" w:rsidRPr="00C6679F" w:rsidRDefault="007129B2" w:rsidP="00641FE1">
      <w:pPr>
        <w:spacing w:line="360" w:lineRule="auto"/>
      </w:pPr>
    </w:p>
    <w:p w:rsidR="00C308B8" w:rsidRDefault="00144435" w:rsidP="00C308B8">
      <w:pPr>
        <w:tabs>
          <w:tab w:val="left" w:pos="0"/>
        </w:tabs>
        <w:autoSpaceDE w:val="0"/>
        <w:autoSpaceDN w:val="0"/>
        <w:spacing w:line="360" w:lineRule="auto"/>
      </w:pPr>
      <w:r>
        <w:tab/>
      </w:r>
      <w:r>
        <w:tab/>
      </w:r>
      <w:r w:rsidR="00C308B8">
        <w:t xml:space="preserve">The evidence establishes that Ms. </w:t>
      </w:r>
      <w:proofErr w:type="spellStart"/>
      <w:r w:rsidR="00C308B8">
        <w:t>Trivelpiece</w:t>
      </w:r>
      <w:proofErr w:type="spellEnd"/>
      <w:r w:rsidR="00C308B8">
        <w:t xml:space="preserve"> lived at multiple addresses prior to receiving service at Aspen Avenue on November 20, 2013.  Each time she moved to a new address PECO transferred the final balance to her new address.  Her earliest address was for service at 373 Church Street from June 2003 to June 16, 2004, ending with a final balance of $1,435.69.  On June 10, 2006, PECO transferred that $1,435.69 balance to 229 Church Street, which ended with a final balance of $3,086.38 on August 2, 2007.  The $3,086.38 balance was transferred to 221 High Street on September 16, 2008, ending with a final balance of $4,563.68 on December 12, 2008.  On January 27, 2009, the $4,563.68 balance was transferred to 2</w:t>
      </w:r>
      <w:r w:rsidR="00C308B8" w:rsidRPr="00414D02">
        <w:rPr>
          <w:vertAlign w:val="superscript"/>
        </w:rPr>
        <w:t>nd</w:t>
      </w:r>
      <w:r w:rsidR="00C667C5">
        <w:rPr>
          <w:vertAlign w:val="superscript"/>
        </w:rPr>
        <w:t> </w:t>
      </w:r>
      <w:r w:rsidR="00C308B8">
        <w:t>Avenue, ending with a final balance of $11,476.54 on July 30, 2010.</w:t>
      </w:r>
    </w:p>
    <w:p w:rsidR="00C308B8" w:rsidRDefault="00C308B8" w:rsidP="00C308B8">
      <w:pPr>
        <w:tabs>
          <w:tab w:val="left" w:pos="0"/>
        </w:tabs>
        <w:autoSpaceDE w:val="0"/>
        <w:autoSpaceDN w:val="0"/>
        <w:spacing w:line="360" w:lineRule="auto"/>
      </w:pPr>
    </w:p>
    <w:p w:rsidR="007129B2" w:rsidRDefault="00C308B8" w:rsidP="00C308B8">
      <w:pPr>
        <w:tabs>
          <w:tab w:val="left" w:pos="0"/>
        </w:tabs>
        <w:autoSpaceDE w:val="0"/>
        <w:autoSpaceDN w:val="0"/>
        <w:spacing w:line="360" w:lineRule="auto"/>
      </w:pPr>
      <w:r>
        <w:tab/>
      </w:r>
      <w:r>
        <w:tab/>
        <w:t xml:space="preserve">Ms. </w:t>
      </w:r>
      <w:proofErr w:type="spellStart"/>
      <w:r>
        <w:t>Trivelpiece</w:t>
      </w:r>
      <w:proofErr w:type="spellEnd"/>
      <w:r>
        <w:t xml:space="preserve"> did not have service in her name again until November 2013.  As a condition of furnishing service on November 20, 2013, PECO required Ms. </w:t>
      </w:r>
      <w:proofErr w:type="spellStart"/>
      <w:r>
        <w:t>Trivelpiece</w:t>
      </w:r>
      <w:proofErr w:type="spellEnd"/>
      <w:r>
        <w:t xml:space="preserve"> to accept responsibility for all of the transferred balances dating back to June 16, 2004.  This requirement was part of the PECO’s November 2013 PAR granted to Ms. </w:t>
      </w:r>
      <w:proofErr w:type="spellStart"/>
      <w:r>
        <w:t>Trivelpiece</w:t>
      </w:r>
      <w:proofErr w:type="spellEnd"/>
      <w:r>
        <w:t xml:space="preserve">.  (Tr. 70-71, 91-92, 96-99.)  Ms. </w:t>
      </w:r>
      <w:proofErr w:type="spellStart"/>
      <w:r>
        <w:t>Trivelpiece</w:t>
      </w:r>
      <w:proofErr w:type="spellEnd"/>
      <w:r>
        <w:t xml:space="preserve"> repeatedly maintained she never agreed to the November 2013 PAR, because she could not have afforded the $570 monthly payment plus her current service amount.  </w:t>
      </w:r>
      <w:proofErr w:type="gramStart"/>
      <w:r>
        <w:t xml:space="preserve">(Tr. </w:t>
      </w:r>
      <w:r w:rsidR="00445D52">
        <w:t>33</w:t>
      </w:r>
      <w:r>
        <w:t>.)</w:t>
      </w:r>
      <w:proofErr w:type="gramEnd"/>
      <w:r>
        <w:t xml:space="preserve">  PECO’s witness countered that if Ms. </w:t>
      </w:r>
      <w:proofErr w:type="spellStart"/>
      <w:r>
        <w:t>Trivelpiece</w:t>
      </w:r>
      <w:proofErr w:type="spellEnd"/>
      <w:r>
        <w:t xml:space="preserve"> had not accepted responsibility for the outstanding balance, the Company would not have connected her service at Aspen Avenue on November 20, 2013.  </w:t>
      </w:r>
      <w:proofErr w:type="gramStart"/>
      <w:r>
        <w:t>(Tr. 92.)</w:t>
      </w:r>
      <w:proofErr w:type="gramEnd"/>
      <w:r>
        <w:t xml:space="preserve">  Essentially Ms. </w:t>
      </w:r>
      <w:proofErr w:type="spellStart"/>
      <w:r>
        <w:t>Trivelpiece</w:t>
      </w:r>
      <w:proofErr w:type="spellEnd"/>
      <w:r>
        <w:t xml:space="preserve"> received the benefits of the November 2</w:t>
      </w:r>
      <w:r w:rsidR="007129B2">
        <w:t xml:space="preserve">013 PAR when service was turned </w:t>
      </w:r>
      <w:r>
        <w:t>on.  Accordingly</w:t>
      </w:r>
      <w:r w:rsidR="007129B2">
        <w:t>, I find</w:t>
      </w:r>
      <w:r>
        <w:t xml:space="preserve"> there was a tacit acceptance of the PAR on her part.  </w:t>
      </w:r>
    </w:p>
    <w:p w:rsidR="007129B2" w:rsidRDefault="007129B2" w:rsidP="00C308B8">
      <w:pPr>
        <w:tabs>
          <w:tab w:val="left" w:pos="0"/>
        </w:tabs>
        <w:autoSpaceDE w:val="0"/>
        <w:autoSpaceDN w:val="0"/>
        <w:spacing w:line="360" w:lineRule="auto"/>
      </w:pPr>
    </w:p>
    <w:p w:rsidR="00C308B8" w:rsidRDefault="007129B2" w:rsidP="007129B2">
      <w:pPr>
        <w:tabs>
          <w:tab w:val="left" w:pos="0"/>
          <w:tab w:val="left" w:pos="1440"/>
        </w:tabs>
        <w:autoSpaceDE w:val="0"/>
        <w:autoSpaceDN w:val="0"/>
        <w:spacing w:line="360" w:lineRule="auto"/>
      </w:pPr>
      <w:r>
        <w:tab/>
      </w:r>
      <w:r w:rsidR="00C308B8">
        <w:t>However, by conditioning the furnishing of service upon Ms.</w:t>
      </w:r>
      <w:r w:rsidR="004C5F21">
        <w:t> </w:t>
      </w:r>
      <w:proofErr w:type="spellStart"/>
      <w:r w:rsidR="00C308B8">
        <w:t>Trivelpiece’s</w:t>
      </w:r>
      <w:proofErr w:type="spellEnd"/>
      <w:r w:rsidR="00C308B8">
        <w:t xml:space="preserve"> accepting responsibility for a balance accruing more than four years before November 20, 2013, PECO violated Section 56.35.  Under this section, a public utility may not require an applicant to pay an outstanding balance which accrued </w:t>
      </w:r>
      <w:r w:rsidR="00FD6CBA">
        <w:t>more than</w:t>
      </w:r>
      <w:r w:rsidR="00C308B8">
        <w:t xml:space="preserve"> four years </w:t>
      </w:r>
      <w:r w:rsidR="00FD6CBA">
        <w:t>before the</w:t>
      </w:r>
      <w:r w:rsidR="00C308B8">
        <w:t xml:space="preserve"> application</w:t>
      </w:r>
      <w:r w:rsidR="00FD6CBA">
        <w:t xml:space="preserve"> </w:t>
      </w:r>
      <w:r w:rsidR="00B54EEE">
        <w:t xml:space="preserve">as a condition for providing </w:t>
      </w:r>
      <w:r w:rsidR="00FD6CBA">
        <w:t>service</w:t>
      </w:r>
      <w:r w:rsidR="00C308B8">
        <w:t>.</w:t>
      </w:r>
    </w:p>
    <w:p w:rsidR="00C308B8" w:rsidRDefault="00C308B8" w:rsidP="00C308B8">
      <w:pPr>
        <w:tabs>
          <w:tab w:val="left" w:pos="0"/>
        </w:tabs>
        <w:autoSpaceDE w:val="0"/>
        <w:autoSpaceDN w:val="0"/>
        <w:spacing w:line="360" w:lineRule="auto"/>
      </w:pPr>
    </w:p>
    <w:p w:rsidR="00C308B8" w:rsidRDefault="00C308B8" w:rsidP="00C308B8">
      <w:pPr>
        <w:tabs>
          <w:tab w:val="left" w:pos="0"/>
        </w:tabs>
        <w:autoSpaceDE w:val="0"/>
        <w:autoSpaceDN w:val="0"/>
        <w:spacing w:line="360" w:lineRule="auto"/>
      </w:pPr>
      <w:r>
        <w:tab/>
      </w:r>
      <w:r>
        <w:tab/>
        <w:t xml:space="preserve">PECO argues that each of Ms. </w:t>
      </w:r>
      <w:proofErr w:type="spellStart"/>
      <w:r>
        <w:t>Trivelpiece’s</w:t>
      </w:r>
      <w:proofErr w:type="spellEnd"/>
      <w:r>
        <w:t xml:space="preserve"> final balances was transferred from her old address to a new address </w:t>
      </w:r>
      <w:r w:rsidR="00E227C1">
        <w:t xml:space="preserve">within four years.  Herein </w:t>
      </w:r>
      <w:proofErr w:type="gramStart"/>
      <w:r w:rsidR="00E227C1">
        <w:t>lies</w:t>
      </w:r>
      <w:proofErr w:type="gramEnd"/>
      <w:r w:rsidR="00E227C1">
        <w:t xml:space="preserve"> </w:t>
      </w:r>
      <w:r>
        <w:t xml:space="preserve">PECO’s misapprehension of Section 56.35.  The date of transfer is not the determining factor.  The operative word in the regulation is “accrued.”  When the balance </w:t>
      </w:r>
      <w:r w:rsidR="00E227C1">
        <w:t>“</w:t>
      </w:r>
      <w:r>
        <w:t>accrued</w:t>
      </w:r>
      <w:r w:rsidR="00E227C1">
        <w:t>”</w:t>
      </w:r>
      <w:r>
        <w:t xml:space="preserve"> is the determining factor for the transfer.</w:t>
      </w:r>
      <w:r w:rsidR="00E227C1">
        <w:t xml:space="preserve"> PECO was prohibited from including in the transfer those balances that accrued prior to November 20, 20</w:t>
      </w:r>
      <w:r w:rsidR="00FD6CBA">
        <w:t>09</w:t>
      </w:r>
      <w:r w:rsidR="00E227C1">
        <w:t xml:space="preserve">.  </w:t>
      </w:r>
    </w:p>
    <w:p w:rsidR="00E227C1" w:rsidRDefault="00E227C1" w:rsidP="00C308B8">
      <w:pPr>
        <w:tabs>
          <w:tab w:val="left" w:pos="0"/>
        </w:tabs>
        <w:autoSpaceDE w:val="0"/>
        <w:autoSpaceDN w:val="0"/>
        <w:spacing w:line="360" w:lineRule="auto"/>
      </w:pPr>
    </w:p>
    <w:p w:rsidR="00C308B8" w:rsidRDefault="00E227C1" w:rsidP="00E227C1">
      <w:pPr>
        <w:tabs>
          <w:tab w:val="left" w:pos="0"/>
          <w:tab w:val="left" w:pos="1440"/>
        </w:tabs>
        <w:autoSpaceDE w:val="0"/>
        <w:autoSpaceDN w:val="0"/>
        <w:spacing w:line="360" w:lineRule="auto"/>
      </w:pPr>
      <w:r>
        <w:tab/>
      </w:r>
      <w:r w:rsidR="00C308B8">
        <w:t xml:space="preserve">On this issue the Commission’s ruling in </w:t>
      </w:r>
      <w:r w:rsidR="00C308B8">
        <w:rPr>
          <w:i/>
        </w:rPr>
        <w:t xml:space="preserve">Michelle A. </w:t>
      </w:r>
      <w:proofErr w:type="spellStart"/>
      <w:r w:rsidR="00C308B8">
        <w:rPr>
          <w:i/>
        </w:rPr>
        <w:t>Mangel</w:t>
      </w:r>
      <w:proofErr w:type="spellEnd"/>
      <w:r w:rsidR="00C308B8">
        <w:rPr>
          <w:i/>
        </w:rPr>
        <w:t xml:space="preserve"> v. Duquesne Light</w:t>
      </w:r>
      <w:r w:rsidR="00C308B8">
        <w:t xml:space="preserve"> </w:t>
      </w:r>
      <w:r w:rsidR="00C308B8" w:rsidRPr="00067B9D">
        <w:rPr>
          <w:i/>
        </w:rPr>
        <w:t>Company,</w:t>
      </w:r>
      <w:r w:rsidR="00C308B8">
        <w:t xml:space="preserve"> C-00970563 (Opinion and Order entered September 18, 1998) is instructive.</w:t>
      </w:r>
      <w:r>
        <w:t xml:space="preserve">  </w:t>
      </w:r>
      <w:r w:rsidR="00C308B8">
        <w:t>On July</w:t>
      </w:r>
      <w:r>
        <w:t> </w:t>
      </w:r>
      <w:r w:rsidR="00C308B8">
        <w:t xml:space="preserve">29, 1997, Ms. </w:t>
      </w:r>
      <w:proofErr w:type="spellStart"/>
      <w:r w:rsidR="00C308B8">
        <w:t>Mangel</w:t>
      </w:r>
      <w:proofErr w:type="spellEnd"/>
      <w:r w:rsidR="00C308B8">
        <w:t xml:space="preserve"> filed a complaint alleging a financial inability to pay her utility bills and requesting a payment arrangement.  Ms. </w:t>
      </w:r>
      <w:proofErr w:type="spellStart"/>
      <w:r w:rsidR="00C308B8">
        <w:t>Mangel</w:t>
      </w:r>
      <w:proofErr w:type="spellEnd"/>
      <w:r w:rsidR="00C308B8">
        <w:t xml:space="preserve"> had a large balance at her current address in the amount of $8,096.26.  Similar to Ms. </w:t>
      </w:r>
      <w:proofErr w:type="spellStart"/>
      <w:r w:rsidR="00C308B8">
        <w:t>Trivelpiece’s</w:t>
      </w:r>
      <w:proofErr w:type="spellEnd"/>
      <w:r w:rsidR="00C308B8">
        <w:t xml:space="preserve"> situation, Ms.</w:t>
      </w:r>
      <w:r w:rsidR="00617B0C">
        <w:t> </w:t>
      </w:r>
      <w:proofErr w:type="spellStart"/>
      <w:r w:rsidR="00C308B8">
        <w:t>Mangel’s</w:t>
      </w:r>
      <w:proofErr w:type="spellEnd"/>
      <w:r w:rsidR="00C308B8">
        <w:t xml:space="preserve"> $8,096.26 balance included a March 18, 1997 balance transfer in the amount of $6,536.25.  Additionally</w:t>
      </w:r>
      <w:r>
        <w:t>,</w:t>
      </w:r>
      <w:r w:rsidR="00C308B8">
        <w:t xml:space="preserve"> like Ms. </w:t>
      </w:r>
      <w:proofErr w:type="spellStart"/>
      <w:r w:rsidR="00C308B8">
        <w:t>Trivelpiece’s</w:t>
      </w:r>
      <w:proofErr w:type="spellEnd"/>
      <w:r w:rsidR="00C308B8">
        <w:t xml:space="preserve"> dated balance transfers, Ms. </w:t>
      </w:r>
      <w:proofErr w:type="spellStart"/>
      <w:r w:rsidR="00C308B8">
        <w:t>Mangel’s</w:t>
      </w:r>
      <w:proofErr w:type="spellEnd"/>
      <w:r w:rsidR="00C308B8">
        <w:t xml:space="preserve"> $6,536.25 balance transfer included a $1,930.80 balance accrued from a prior address between May 2, 1986, and July 2, 1991.  In deciding Ms. </w:t>
      </w:r>
      <w:proofErr w:type="spellStart"/>
      <w:r w:rsidR="00C308B8">
        <w:t>Mangel’s</w:t>
      </w:r>
      <w:proofErr w:type="spellEnd"/>
      <w:r w:rsidR="00C308B8">
        <w:t xml:space="preserve"> complaint, the administrative law judge (ALJ) dismissed the complaint except to the extent of sustaining BCS’s earlier decision granting Ms.</w:t>
      </w:r>
      <w:r w:rsidR="00617B0C">
        <w:t> </w:t>
      </w:r>
      <w:proofErr w:type="spellStart"/>
      <w:r w:rsidR="00C308B8">
        <w:t>Mangel</w:t>
      </w:r>
      <w:proofErr w:type="spellEnd"/>
      <w:r w:rsidR="00C308B8">
        <w:t xml:space="preserve"> a payment arrangement, which included the $1,930.80 balance transfer.  Ms.</w:t>
      </w:r>
      <w:r w:rsidR="002848EB">
        <w:t> </w:t>
      </w:r>
      <w:proofErr w:type="spellStart"/>
      <w:r w:rsidR="00C308B8">
        <w:t>Mangel</w:t>
      </w:r>
      <w:proofErr w:type="spellEnd"/>
      <w:r w:rsidR="00C308B8">
        <w:t xml:space="preserve"> filed exceptions to the ALJ’s decision.  The Commission denied Ms. </w:t>
      </w:r>
      <w:proofErr w:type="spellStart"/>
      <w:r w:rsidR="00C308B8">
        <w:t>Mangel’s</w:t>
      </w:r>
      <w:proofErr w:type="spellEnd"/>
      <w:r w:rsidR="00C308B8">
        <w:t xml:space="preserve"> exceptions but modified the ALJ’s decision by removing the dated $1,930.80 balance, even though Ms. </w:t>
      </w:r>
      <w:proofErr w:type="spellStart"/>
      <w:r w:rsidR="00C308B8">
        <w:t>Mangel</w:t>
      </w:r>
      <w:proofErr w:type="spellEnd"/>
      <w:r w:rsidR="00C308B8">
        <w:t xml:space="preserve"> had agreed to the balance transfer.  The Commission specifically held as follows:</w:t>
      </w:r>
    </w:p>
    <w:p w:rsidR="00C308B8" w:rsidRDefault="00C308B8" w:rsidP="00FE0B78">
      <w:pPr>
        <w:tabs>
          <w:tab w:val="left" w:pos="0"/>
        </w:tabs>
        <w:autoSpaceDE w:val="0"/>
        <w:autoSpaceDN w:val="0"/>
      </w:pPr>
    </w:p>
    <w:p w:rsidR="00C308B8" w:rsidRDefault="00C308B8" w:rsidP="00C308B8">
      <w:pPr>
        <w:autoSpaceDE w:val="0"/>
        <w:autoSpaceDN w:val="0"/>
        <w:ind w:left="1440" w:right="1080"/>
      </w:pPr>
      <w:r>
        <w:t>We shall direct that the above referenced balance of $1,930.80, be removed from the Commission’s consideration in this proceeding.  This balance is more than four years old.  To subject this balance to a payment arrangement would be contrary to 52 Pa. Code § 56.35.  Consequently, this balance shall be removed from our consideration and Duquesne shall pursue collection in an appropriate forum.</w:t>
      </w:r>
    </w:p>
    <w:p w:rsidR="0050441B" w:rsidRDefault="0050441B" w:rsidP="00AA67A2">
      <w:pPr>
        <w:autoSpaceDE w:val="0"/>
        <w:autoSpaceDN w:val="0"/>
        <w:spacing w:line="360" w:lineRule="auto"/>
        <w:ind w:left="1440" w:right="1080"/>
      </w:pPr>
    </w:p>
    <w:p w:rsidR="00C308B8" w:rsidRDefault="00C308B8" w:rsidP="00AA67A2">
      <w:pPr>
        <w:spacing w:line="360" w:lineRule="auto"/>
      </w:pPr>
      <w:proofErr w:type="spellStart"/>
      <w:proofErr w:type="gramStart"/>
      <w:r w:rsidRPr="00ED6E7A">
        <w:rPr>
          <w:i/>
        </w:rPr>
        <w:t>Mangel</w:t>
      </w:r>
      <w:proofErr w:type="spellEnd"/>
      <w:r>
        <w:t xml:space="preserve"> at 11.</w:t>
      </w:r>
      <w:proofErr w:type="gramEnd"/>
      <w:r>
        <w:t xml:space="preserve">  Duquesne took an appeal; however, Commonwealth Court affirmed the Commission’s ruling.  </w:t>
      </w:r>
      <w:r w:rsidRPr="00C6679F">
        <w:t xml:space="preserve">The Court held that the Commission’s interpretation of Section 56.35 </w:t>
      </w:r>
      <w:r>
        <w:t>was</w:t>
      </w:r>
      <w:r w:rsidRPr="00C6679F">
        <w:t xml:space="preserve"> soundly based on its language.  The Court noted that the Commission’s Order </w:t>
      </w:r>
      <w:r>
        <w:t>did</w:t>
      </w:r>
      <w:r w:rsidRPr="00C6679F">
        <w:t xml:space="preserve"> not preclude Duquesne from seeking to collect th</w:t>
      </w:r>
      <w:r>
        <w:t>e</w:t>
      </w:r>
      <w:r w:rsidRPr="00C6679F">
        <w:t xml:space="preserve"> past due amount via alternative collection proceedings. </w:t>
      </w:r>
      <w:r>
        <w:t xml:space="preserve"> </w:t>
      </w:r>
      <w:proofErr w:type="gramStart"/>
      <w:r w:rsidRPr="00C6679F">
        <w:rPr>
          <w:i/>
        </w:rPr>
        <w:t>Duquesne Light Company v. P</w:t>
      </w:r>
      <w:r>
        <w:rPr>
          <w:i/>
        </w:rPr>
        <w:t>a.</w:t>
      </w:r>
      <w:r w:rsidRPr="00C6679F">
        <w:rPr>
          <w:i/>
        </w:rPr>
        <w:t xml:space="preserve"> Pub</w:t>
      </w:r>
      <w:r>
        <w:rPr>
          <w:i/>
        </w:rPr>
        <w:t>.</w:t>
      </w:r>
      <w:proofErr w:type="gramEnd"/>
      <w:r w:rsidRPr="00C6679F">
        <w:rPr>
          <w:i/>
        </w:rPr>
        <w:t xml:space="preserve"> </w:t>
      </w:r>
      <w:proofErr w:type="gramStart"/>
      <w:r w:rsidRPr="00C6679F">
        <w:rPr>
          <w:i/>
        </w:rPr>
        <w:t>Uti</w:t>
      </w:r>
      <w:r>
        <w:rPr>
          <w:i/>
        </w:rPr>
        <w:t>l.</w:t>
      </w:r>
      <w:r w:rsidRPr="00C6679F">
        <w:rPr>
          <w:i/>
        </w:rPr>
        <w:t xml:space="preserve"> Comm</w:t>
      </w:r>
      <w:r>
        <w:rPr>
          <w:i/>
        </w:rPr>
        <w:t>’</w:t>
      </w:r>
      <w:r w:rsidRPr="00C6679F">
        <w:rPr>
          <w:i/>
        </w:rPr>
        <w:t>n</w:t>
      </w:r>
      <w:r w:rsidRPr="00C6679F">
        <w:t>, 2844 C.D. 1998</w:t>
      </w:r>
      <w:r>
        <w:t xml:space="preserve"> (Memorandum Opinion </w:t>
      </w:r>
      <w:r w:rsidRPr="00C6679F">
        <w:t>Filed July 14, 1999</w:t>
      </w:r>
      <w:r>
        <w:t>)</w:t>
      </w:r>
      <w:r w:rsidRPr="00C6679F">
        <w:t>.</w:t>
      </w:r>
      <w:proofErr w:type="gramEnd"/>
    </w:p>
    <w:p w:rsidR="002848EB" w:rsidRDefault="002848EB" w:rsidP="00C308B8">
      <w:pPr>
        <w:spacing w:line="360" w:lineRule="auto"/>
      </w:pPr>
    </w:p>
    <w:p w:rsidR="00731013" w:rsidRPr="00731013" w:rsidRDefault="00C308B8" w:rsidP="00731013">
      <w:pPr>
        <w:spacing w:line="360" w:lineRule="auto"/>
        <w:rPr>
          <w:rFonts w:cstheme="minorBidi"/>
          <w:szCs w:val="22"/>
        </w:rPr>
      </w:pPr>
      <w:r>
        <w:tab/>
      </w:r>
      <w:r w:rsidR="004E5F34">
        <w:tab/>
      </w:r>
      <w:r w:rsidR="00731013" w:rsidRPr="00731013">
        <w:rPr>
          <w:rFonts w:cstheme="minorBidi"/>
          <w:szCs w:val="22"/>
        </w:rPr>
        <w:t xml:space="preserve">Within in the context of this proceeding, the Commission’s ruling in </w:t>
      </w:r>
      <w:r w:rsidR="00731013" w:rsidRPr="00731013">
        <w:rPr>
          <w:rFonts w:cstheme="minorBidi"/>
          <w:i/>
          <w:szCs w:val="22"/>
        </w:rPr>
        <w:t xml:space="preserve">Debra Brown v. PECO Energy Company, </w:t>
      </w:r>
      <w:r w:rsidR="00731013" w:rsidRPr="00731013">
        <w:rPr>
          <w:rFonts w:cstheme="minorBidi"/>
          <w:szCs w:val="22"/>
        </w:rPr>
        <w:t xml:space="preserve">Docket No. C-2009-2097007 (Opinion and Order entered January 29, 2010) must be distinguished from the ruling in </w:t>
      </w:r>
      <w:proofErr w:type="spellStart"/>
      <w:r w:rsidR="00731013" w:rsidRPr="00731013">
        <w:rPr>
          <w:rFonts w:cstheme="minorBidi"/>
          <w:i/>
          <w:szCs w:val="22"/>
        </w:rPr>
        <w:t>Mangel</w:t>
      </w:r>
      <w:proofErr w:type="spellEnd"/>
      <w:r w:rsidR="00731013" w:rsidRPr="00731013">
        <w:rPr>
          <w:rFonts w:cstheme="minorBidi"/>
          <w:szCs w:val="22"/>
        </w:rPr>
        <w:t>.  In the former</w:t>
      </w:r>
      <w:r w:rsidR="00731013" w:rsidRPr="00731013">
        <w:rPr>
          <w:rFonts w:cstheme="minorBidi"/>
          <w:i/>
          <w:szCs w:val="22"/>
        </w:rPr>
        <w:t xml:space="preserve"> </w:t>
      </w:r>
      <w:r w:rsidR="00731013" w:rsidRPr="00731013">
        <w:rPr>
          <w:rFonts w:cstheme="minorBidi"/>
          <w:szCs w:val="22"/>
        </w:rPr>
        <w:t xml:space="preserve">case, Ms. Brown established service at her current residence on April 9, 2008, and PECO transferred an outstanding balance of $11,356.60 to her current account from her prior accounts.  The transferred balance was for services at Complainant’s investment properties between July 8, 2000 and August 25, 2008.  Similar to Ms. </w:t>
      </w:r>
      <w:proofErr w:type="spellStart"/>
      <w:r w:rsidR="00731013" w:rsidRPr="00731013">
        <w:rPr>
          <w:rFonts w:cstheme="minorBidi"/>
          <w:szCs w:val="22"/>
        </w:rPr>
        <w:t>Trivelpiece</w:t>
      </w:r>
      <w:proofErr w:type="spellEnd"/>
      <w:r w:rsidR="00731013" w:rsidRPr="00731013">
        <w:rPr>
          <w:rFonts w:cstheme="minorBidi"/>
          <w:szCs w:val="22"/>
        </w:rPr>
        <w:t xml:space="preserve">, Ms. Brown was not a customer of PECO between August 26, 2005 and April 8, 2008.  Ms. Brown filed exceptions to the Administrative Law Judge’s Initial Decision dismissing her complaint, which alleged there were incorrect charges on her bill.  Relying upon the Commission’s regulations at 52 Pa.Code </w:t>
      </w:r>
      <w:r w:rsidR="00731013" w:rsidRPr="00731013">
        <w:rPr>
          <w:szCs w:val="22"/>
        </w:rPr>
        <w:t xml:space="preserve">§ 56.35, </w:t>
      </w:r>
      <w:r w:rsidR="00731013" w:rsidRPr="00731013">
        <w:rPr>
          <w:rFonts w:cstheme="minorBidi"/>
          <w:szCs w:val="22"/>
        </w:rPr>
        <w:t xml:space="preserve">Ms. Brown excepted, in part, that she was not responsible for arrearages transferred to her current account which accrued between 2000 and 2004.  Ms. Brown maintained that that these arrearages “fall within the 4-year statute of Section 56.35, thus are outside of the ratepayer’s responsibility.”  </w:t>
      </w:r>
      <w:r w:rsidR="00731013" w:rsidRPr="00731013">
        <w:rPr>
          <w:rFonts w:cstheme="minorBidi"/>
          <w:i/>
          <w:szCs w:val="22"/>
        </w:rPr>
        <w:t>Brown</w:t>
      </w:r>
      <w:r w:rsidR="00731013" w:rsidRPr="00731013">
        <w:rPr>
          <w:rFonts w:cstheme="minorBidi"/>
          <w:szCs w:val="22"/>
        </w:rPr>
        <w:t xml:space="preserve"> at 7-8.</w:t>
      </w:r>
    </w:p>
    <w:p w:rsidR="00731013" w:rsidRPr="00731013" w:rsidRDefault="00731013" w:rsidP="00731013">
      <w:pPr>
        <w:spacing w:line="276" w:lineRule="auto"/>
        <w:rPr>
          <w:rFonts w:cstheme="minorBidi"/>
          <w:szCs w:val="22"/>
        </w:rPr>
      </w:pPr>
    </w:p>
    <w:p w:rsidR="00731013" w:rsidRPr="00731013" w:rsidRDefault="00731013" w:rsidP="00731013">
      <w:pPr>
        <w:spacing w:line="276" w:lineRule="auto"/>
        <w:rPr>
          <w:rFonts w:cstheme="minorBidi"/>
          <w:szCs w:val="22"/>
        </w:rPr>
      </w:pPr>
      <w:r w:rsidRPr="00731013">
        <w:rPr>
          <w:rFonts w:cstheme="minorBidi"/>
          <w:szCs w:val="22"/>
        </w:rPr>
        <w:tab/>
      </w:r>
      <w:r w:rsidRPr="00731013">
        <w:rPr>
          <w:rFonts w:cstheme="minorBidi"/>
          <w:szCs w:val="22"/>
        </w:rPr>
        <w:tab/>
        <w:t>The Commission denied Ms. Brown’s exception and explained as follows:</w:t>
      </w:r>
    </w:p>
    <w:p w:rsidR="00731013" w:rsidRPr="00731013" w:rsidRDefault="00731013" w:rsidP="00731013">
      <w:pPr>
        <w:spacing w:line="276" w:lineRule="auto"/>
        <w:rPr>
          <w:rFonts w:cstheme="minorBidi"/>
          <w:szCs w:val="22"/>
        </w:rPr>
      </w:pPr>
    </w:p>
    <w:p w:rsidR="00731013" w:rsidRPr="00731013" w:rsidRDefault="00731013" w:rsidP="00731013">
      <w:pPr>
        <w:ind w:left="1440" w:right="1080"/>
        <w:rPr>
          <w:rFonts w:cstheme="minorBidi"/>
          <w:szCs w:val="22"/>
        </w:rPr>
      </w:pPr>
      <w:r w:rsidRPr="00731013">
        <w:rPr>
          <w:rFonts w:cstheme="minorBidi"/>
          <w:szCs w:val="22"/>
        </w:rPr>
        <w:t xml:space="preserve">Section 56.35 is part of the Commission’s “Procedures for New Applicants” under “Subchapter C. Credit and Deposit Standards Policy.”  </w:t>
      </w:r>
      <w:proofErr w:type="gramStart"/>
      <w:r w:rsidRPr="00731013">
        <w:rPr>
          <w:rFonts w:cstheme="minorBidi"/>
          <w:szCs w:val="22"/>
        </w:rPr>
        <w:t>52 Pa. Code §§ 56.31 – 56.38.</w:t>
      </w:r>
      <w:proofErr w:type="gramEnd"/>
      <w:r w:rsidRPr="00731013">
        <w:rPr>
          <w:rFonts w:cstheme="minorBidi"/>
          <w:szCs w:val="22"/>
        </w:rPr>
        <w:t xml:space="preserve">  Section 56.35 is part of our Regulations regarding requirements for establishing new service.  Section 56.35 states that PECO “</w:t>
      </w:r>
      <w:r w:rsidRPr="00731013">
        <w:rPr>
          <w:rFonts w:cstheme="minorBidi"/>
          <w:szCs w:val="22"/>
          <w:u w:val="single"/>
        </w:rPr>
        <w:t>may</w:t>
      </w:r>
      <w:r w:rsidRPr="00731013">
        <w:rPr>
          <w:rFonts w:cstheme="minorBidi"/>
          <w:szCs w:val="22"/>
        </w:rPr>
        <w:t xml:space="preserve"> require, as a condition of furnishing residential service to an applicant, the payment” of outstanding balances that accrued within the past four years (emphasis supplied).  Under Section 56.35, PECO had the option of requesting payment for arrearages as a condition of establishing a new account for Ms. Brown.  </w:t>
      </w:r>
      <w:r w:rsidRPr="00731013">
        <w:rPr>
          <w:rFonts w:cstheme="minorBidi"/>
          <w:i/>
          <w:szCs w:val="22"/>
        </w:rPr>
        <w:t>PECO did not impose such a requirement</w:t>
      </w:r>
      <w:r w:rsidRPr="00731013">
        <w:rPr>
          <w:rFonts w:cstheme="minorBidi"/>
          <w:szCs w:val="22"/>
        </w:rPr>
        <w:t>.  PECO provided service without any payment from the Complainant on or about April 4, 2008.  . . . .  Since PECO did not request a payment of outstanding balances as a condition of establishing service to the Complainant, it did not violate 52 Pa. Code § 56.35.</w:t>
      </w:r>
    </w:p>
    <w:p w:rsidR="00731013" w:rsidRPr="00731013" w:rsidRDefault="00731013" w:rsidP="00731013">
      <w:pPr>
        <w:ind w:right="1080"/>
        <w:rPr>
          <w:rFonts w:cstheme="minorBidi"/>
          <w:szCs w:val="22"/>
        </w:rPr>
      </w:pPr>
    </w:p>
    <w:p w:rsidR="00731013" w:rsidRPr="00731013" w:rsidRDefault="00731013" w:rsidP="00731013">
      <w:pPr>
        <w:ind w:right="1080"/>
        <w:rPr>
          <w:rFonts w:cstheme="minorBidi"/>
          <w:szCs w:val="22"/>
        </w:rPr>
      </w:pPr>
      <w:proofErr w:type="gramStart"/>
      <w:r w:rsidRPr="00731013">
        <w:rPr>
          <w:rFonts w:cstheme="minorBidi"/>
          <w:i/>
          <w:szCs w:val="22"/>
        </w:rPr>
        <w:t xml:space="preserve">Brown </w:t>
      </w:r>
      <w:r w:rsidRPr="00731013">
        <w:rPr>
          <w:rFonts w:cstheme="minorBidi"/>
          <w:szCs w:val="22"/>
        </w:rPr>
        <w:t>at 9.</w:t>
      </w:r>
      <w:proofErr w:type="gramEnd"/>
      <w:r w:rsidRPr="00731013">
        <w:rPr>
          <w:rFonts w:cstheme="minorBidi"/>
          <w:szCs w:val="22"/>
        </w:rPr>
        <w:t xml:space="preserve">  (Underlining in original; italicizing added.)</w:t>
      </w:r>
    </w:p>
    <w:p w:rsidR="00731013" w:rsidRPr="00731013" w:rsidRDefault="00731013" w:rsidP="00731013">
      <w:pPr>
        <w:spacing w:line="360" w:lineRule="auto"/>
        <w:rPr>
          <w:rFonts w:cstheme="minorBidi"/>
          <w:szCs w:val="22"/>
        </w:rPr>
      </w:pPr>
      <w:r w:rsidRPr="00731013">
        <w:rPr>
          <w:rFonts w:cstheme="minorBidi"/>
          <w:szCs w:val="22"/>
        </w:rPr>
        <w:tab/>
      </w:r>
    </w:p>
    <w:p w:rsidR="00731013" w:rsidRPr="00731013" w:rsidRDefault="00731013" w:rsidP="00731013">
      <w:pPr>
        <w:spacing w:line="360" w:lineRule="auto"/>
        <w:rPr>
          <w:rFonts w:cstheme="minorBidi"/>
          <w:szCs w:val="22"/>
        </w:rPr>
      </w:pPr>
      <w:r w:rsidRPr="00731013">
        <w:rPr>
          <w:rFonts w:cstheme="minorBidi"/>
          <w:szCs w:val="22"/>
        </w:rPr>
        <w:t xml:space="preserve">  </w:t>
      </w:r>
      <w:r w:rsidRPr="00731013">
        <w:rPr>
          <w:rFonts w:cstheme="minorBidi"/>
          <w:szCs w:val="22"/>
        </w:rPr>
        <w:tab/>
      </w:r>
      <w:r w:rsidRPr="00731013">
        <w:rPr>
          <w:rFonts w:cstheme="minorBidi"/>
          <w:szCs w:val="22"/>
        </w:rPr>
        <w:tab/>
        <w:t xml:space="preserve">As emphasized above, PECO did not require Ms. Brown to pay anything for starting her new service, which is unlike PECO’s requirement in Ms. </w:t>
      </w:r>
      <w:proofErr w:type="spellStart"/>
      <w:r w:rsidRPr="00731013">
        <w:rPr>
          <w:rFonts w:cstheme="minorBidi"/>
          <w:szCs w:val="22"/>
        </w:rPr>
        <w:t>Trivelpiece’s</w:t>
      </w:r>
      <w:proofErr w:type="spellEnd"/>
      <w:r w:rsidRPr="00731013">
        <w:rPr>
          <w:rFonts w:cstheme="minorBidi"/>
          <w:szCs w:val="22"/>
        </w:rPr>
        <w:t xml:space="preserve"> case.  As already discussed above, PECO would not have started Ms. </w:t>
      </w:r>
      <w:proofErr w:type="spellStart"/>
      <w:r w:rsidRPr="00731013">
        <w:rPr>
          <w:rFonts w:cstheme="minorBidi"/>
          <w:szCs w:val="22"/>
        </w:rPr>
        <w:t>Trivelpiece’s</w:t>
      </w:r>
      <w:proofErr w:type="spellEnd"/>
      <w:r w:rsidRPr="00731013">
        <w:rPr>
          <w:rFonts w:cstheme="minorBidi"/>
          <w:szCs w:val="22"/>
        </w:rPr>
        <w:t xml:space="preserve"> service at Aspen Avenue, unless she agreed to accept responsibility for charges which were outside of the four-year limitations period.  (Tr. 91-92.)  Thus the decision in </w:t>
      </w:r>
      <w:r w:rsidRPr="00731013">
        <w:rPr>
          <w:rFonts w:cstheme="minorBidi"/>
          <w:i/>
          <w:szCs w:val="22"/>
        </w:rPr>
        <w:t xml:space="preserve">Brown </w:t>
      </w:r>
      <w:r w:rsidRPr="00731013">
        <w:rPr>
          <w:rFonts w:cstheme="minorBidi"/>
          <w:szCs w:val="22"/>
        </w:rPr>
        <w:t xml:space="preserve">is distinguishable from the decision in </w:t>
      </w:r>
      <w:proofErr w:type="spellStart"/>
      <w:r w:rsidRPr="00731013">
        <w:rPr>
          <w:rFonts w:cstheme="minorBidi"/>
          <w:i/>
          <w:szCs w:val="22"/>
        </w:rPr>
        <w:t>Mangel</w:t>
      </w:r>
      <w:proofErr w:type="spellEnd"/>
      <w:r w:rsidRPr="00731013">
        <w:rPr>
          <w:rFonts w:cstheme="minorBidi"/>
          <w:szCs w:val="22"/>
        </w:rPr>
        <w:t xml:space="preserve">.  Accordingly </w:t>
      </w:r>
      <w:proofErr w:type="spellStart"/>
      <w:r w:rsidRPr="00731013">
        <w:rPr>
          <w:rFonts w:cstheme="minorBidi"/>
          <w:i/>
          <w:szCs w:val="22"/>
        </w:rPr>
        <w:t>Mangel</w:t>
      </w:r>
      <w:proofErr w:type="spellEnd"/>
      <w:r w:rsidRPr="00731013">
        <w:rPr>
          <w:rFonts w:cstheme="minorBidi"/>
          <w:szCs w:val="22"/>
        </w:rPr>
        <w:t xml:space="preserve"> controls the resolution of the Section 56.35 issue in the present proceeding.  </w:t>
      </w:r>
    </w:p>
    <w:p w:rsidR="004E5F34" w:rsidRDefault="00C308B8" w:rsidP="00C308B8">
      <w:pPr>
        <w:spacing w:line="360" w:lineRule="auto"/>
      </w:pPr>
      <w:r>
        <w:tab/>
      </w:r>
    </w:p>
    <w:p w:rsidR="00A634CC" w:rsidRDefault="00731013" w:rsidP="00731013">
      <w:pPr>
        <w:tabs>
          <w:tab w:val="left" w:pos="1440"/>
        </w:tabs>
        <w:spacing w:line="360" w:lineRule="auto"/>
      </w:pPr>
      <w:r>
        <w:tab/>
      </w:r>
      <w:r w:rsidR="00C308B8">
        <w:t xml:space="preserve">Applying the holding in </w:t>
      </w:r>
      <w:proofErr w:type="spellStart"/>
      <w:r w:rsidR="00C308B8" w:rsidRPr="004F6425">
        <w:rPr>
          <w:i/>
        </w:rPr>
        <w:t>Mangel</w:t>
      </w:r>
      <w:proofErr w:type="spellEnd"/>
      <w:r w:rsidR="00C308B8">
        <w:rPr>
          <w:i/>
        </w:rPr>
        <w:t xml:space="preserve"> </w:t>
      </w:r>
      <w:r w:rsidR="00C308B8">
        <w:t xml:space="preserve">to the present case, on November 20, 2013, PECO improperly conditioned the furnishing of service to Ms. </w:t>
      </w:r>
      <w:proofErr w:type="spellStart"/>
      <w:r w:rsidR="00C308B8">
        <w:t>Trivelpiece</w:t>
      </w:r>
      <w:proofErr w:type="spellEnd"/>
      <w:r w:rsidR="00C308B8">
        <w:t xml:space="preserve"> under a payment arrangement which required her to pay any balance which accrued between June 2003 and November 19, 2009.  This time period was more than four years before November 20, 2013, which was the date PECO began providing service to Ms. </w:t>
      </w:r>
      <w:proofErr w:type="spellStart"/>
      <w:r w:rsidR="00C308B8">
        <w:t>Trivelpiece</w:t>
      </w:r>
      <w:proofErr w:type="spellEnd"/>
      <w:r w:rsidR="00C308B8">
        <w:t xml:space="preserve"> at Aspen Avenue. The </w:t>
      </w:r>
    </w:p>
    <w:p w:rsidR="00C308B8" w:rsidRPr="004F6425" w:rsidRDefault="00C308B8" w:rsidP="00C308B8">
      <w:pPr>
        <w:spacing w:line="360" w:lineRule="auto"/>
      </w:pPr>
      <w:proofErr w:type="gramStart"/>
      <w:r>
        <w:t>following</w:t>
      </w:r>
      <w:proofErr w:type="gramEnd"/>
      <w:r>
        <w:t xml:space="preserve"> chart illustrates the balances accruing more than four years before November 20, 2013.</w:t>
      </w:r>
    </w:p>
    <w:p w:rsidR="00C308B8" w:rsidRDefault="00C308B8" w:rsidP="00C308B8">
      <w:pPr>
        <w:spacing w:line="360" w:lineRule="auto"/>
        <w:ind w:right="1440"/>
      </w:pPr>
    </w:p>
    <w:tbl>
      <w:tblPr>
        <w:tblStyle w:val="TableGrid"/>
        <w:tblW w:w="0" w:type="auto"/>
        <w:tblInd w:w="108" w:type="dxa"/>
        <w:tblLook w:val="04A0" w:firstRow="1" w:lastRow="0" w:firstColumn="1" w:lastColumn="0" w:noHBand="0" w:noVBand="1"/>
      </w:tblPr>
      <w:tblGrid>
        <w:gridCol w:w="2248"/>
        <w:gridCol w:w="2179"/>
        <w:gridCol w:w="2038"/>
        <w:gridCol w:w="2853"/>
      </w:tblGrid>
      <w:tr w:rsidR="00C308B8" w:rsidRPr="005374EA" w:rsidTr="005F52AB">
        <w:trPr>
          <w:trHeight w:val="802"/>
        </w:trPr>
        <w:tc>
          <w:tcPr>
            <w:tcW w:w="2248"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Service Address</w:t>
            </w:r>
          </w:p>
        </w:tc>
        <w:tc>
          <w:tcPr>
            <w:tcW w:w="2179"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Service Dates</w:t>
            </w:r>
          </w:p>
        </w:tc>
        <w:tc>
          <w:tcPr>
            <w:tcW w:w="2038"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Balance</w:t>
            </w:r>
          </w:p>
        </w:tc>
        <w:tc>
          <w:tcPr>
            <w:tcW w:w="2853" w:type="dxa"/>
            <w:vAlign w:val="center"/>
          </w:tcPr>
          <w:p w:rsidR="00C308B8" w:rsidRPr="005374EA" w:rsidRDefault="00C308B8" w:rsidP="005F52AB">
            <w:pPr>
              <w:spacing w:before="120" w:after="120"/>
              <w:jc w:val="center"/>
              <w:rPr>
                <w:rFonts w:ascii="Times New Roman" w:hAnsi="Times New Roman"/>
                <w:sz w:val="24"/>
              </w:rPr>
            </w:pPr>
            <w:r w:rsidRPr="005374EA">
              <w:rPr>
                <w:rFonts w:ascii="Times New Roman" w:hAnsi="Times New Roman"/>
                <w:sz w:val="24"/>
              </w:rPr>
              <w:t xml:space="preserve">New Address and Date of Balance Transfer </w:t>
            </w:r>
          </w:p>
        </w:tc>
      </w:tr>
      <w:tr w:rsidR="00C308B8" w:rsidRPr="005374EA" w:rsidTr="005F52AB">
        <w:trPr>
          <w:trHeight w:val="432"/>
        </w:trPr>
        <w:tc>
          <w:tcPr>
            <w:tcW w:w="2248"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373 Church St.</w:t>
            </w:r>
          </w:p>
        </w:tc>
        <w:tc>
          <w:tcPr>
            <w:tcW w:w="2179" w:type="dxa"/>
            <w:vAlign w:val="center"/>
          </w:tcPr>
          <w:p w:rsidR="00C308B8" w:rsidRPr="005374EA" w:rsidRDefault="00C308B8" w:rsidP="00400EE8">
            <w:pPr>
              <w:spacing w:line="360" w:lineRule="auto"/>
              <w:jc w:val="center"/>
              <w:rPr>
                <w:rFonts w:ascii="Times New Roman" w:hAnsi="Times New Roman"/>
                <w:sz w:val="24"/>
              </w:rPr>
            </w:pPr>
            <w:r w:rsidRPr="005374EA">
              <w:rPr>
                <w:rFonts w:ascii="Times New Roman" w:hAnsi="Times New Roman"/>
                <w:sz w:val="24"/>
              </w:rPr>
              <w:t>06/20</w:t>
            </w:r>
            <w:r w:rsidR="00400EE8">
              <w:rPr>
                <w:rFonts w:ascii="Times New Roman" w:hAnsi="Times New Roman"/>
                <w:sz w:val="24"/>
              </w:rPr>
              <w:t>/</w:t>
            </w:r>
            <w:r w:rsidRPr="005374EA">
              <w:rPr>
                <w:rFonts w:ascii="Times New Roman" w:hAnsi="Times New Roman"/>
                <w:sz w:val="24"/>
              </w:rPr>
              <w:t>03</w:t>
            </w:r>
            <w:r w:rsidR="00400EE8">
              <w:rPr>
                <w:rFonts w:ascii="Times New Roman" w:hAnsi="Times New Roman"/>
                <w:sz w:val="24"/>
              </w:rPr>
              <w:t xml:space="preserve"> </w:t>
            </w:r>
            <w:r w:rsidR="00400EE8" w:rsidRPr="005374EA">
              <w:rPr>
                <w:rFonts w:ascii="Times New Roman" w:hAnsi="Times New Roman"/>
                <w:sz w:val="24"/>
              </w:rPr>
              <w:t>–</w:t>
            </w:r>
            <w:r w:rsidRPr="005374EA">
              <w:rPr>
                <w:rFonts w:ascii="Times New Roman" w:hAnsi="Times New Roman"/>
                <w:sz w:val="24"/>
              </w:rPr>
              <w:t xml:space="preserve"> 06/16/04</w:t>
            </w:r>
          </w:p>
        </w:tc>
        <w:tc>
          <w:tcPr>
            <w:tcW w:w="2038" w:type="dxa"/>
            <w:vAlign w:val="center"/>
          </w:tcPr>
          <w:p w:rsidR="00C308B8" w:rsidRPr="005374EA" w:rsidRDefault="00C308B8" w:rsidP="005F52AB">
            <w:pPr>
              <w:spacing w:line="360" w:lineRule="auto"/>
              <w:ind w:right="288"/>
              <w:jc w:val="center"/>
              <w:rPr>
                <w:rFonts w:ascii="Times New Roman" w:hAnsi="Times New Roman"/>
                <w:sz w:val="24"/>
              </w:rPr>
            </w:pPr>
            <w:r w:rsidRPr="005374EA">
              <w:rPr>
                <w:rFonts w:ascii="Times New Roman" w:hAnsi="Times New Roman"/>
                <w:sz w:val="24"/>
              </w:rPr>
              <w:t>$ 1,435.69</w:t>
            </w:r>
          </w:p>
        </w:tc>
        <w:tc>
          <w:tcPr>
            <w:tcW w:w="2853" w:type="dxa"/>
            <w:vAlign w:val="center"/>
          </w:tcPr>
          <w:p w:rsidR="00C308B8" w:rsidRPr="005374EA" w:rsidRDefault="00C308B8" w:rsidP="005F52AB">
            <w:pPr>
              <w:rPr>
                <w:rFonts w:ascii="Times New Roman" w:hAnsi="Times New Roman"/>
                <w:sz w:val="24"/>
              </w:rPr>
            </w:pPr>
            <w:r w:rsidRPr="005374EA">
              <w:rPr>
                <w:rFonts w:ascii="Times New Roman" w:hAnsi="Times New Roman"/>
                <w:sz w:val="24"/>
              </w:rPr>
              <w:t>229 Church St.  06/10/06</w:t>
            </w:r>
          </w:p>
        </w:tc>
      </w:tr>
      <w:tr w:rsidR="00C308B8" w:rsidRPr="005374EA" w:rsidTr="005F52AB">
        <w:trPr>
          <w:trHeight w:val="416"/>
        </w:trPr>
        <w:tc>
          <w:tcPr>
            <w:tcW w:w="2248"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229 Church St.</w:t>
            </w:r>
          </w:p>
        </w:tc>
        <w:tc>
          <w:tcPr>
            <w:tcW w:w="2179" w:type="dxa"/>
            <w:vAlign w:val="center"/>
          </w:tcPr>
          <w:p w:rsidR="00C308B8" w:rsidRPr="005374EA" w:rsidRDefault="00C308B8" w:rsidP="00400EE8">
            <w:pPr>
              <w:spacing w:line="360" w:lineRule="auto"/>
              <w:jc w:val="center"/>
              <w:rPr>
                <w:rFonts w:ascii="Times New Roman" w:hAnsi="Times New Roman"/>
                <w:sz w:val="24"/>
              </w:rPr>
            </w:pPr>
            <w:r w:rsidRPr="005374EA">
              <w:rPr>
                <w:rFonts w:ascii="Times New Roman" w:hAnsi="Times New Roman"/>
                <w:sz w:val="24"/>
              </w:rPr>
              <w:t>06/10/06</w:t>
            </w:r>
            <w:r w:rsidR="00400EE8">
              <w:rPr>
                <w:rFonts w:ascii="Times New Roman" w:hAnsi="Times New Roman"/>
                <w:sz w:val="24"/>
              </w:rPr>
              <w:t xml:space="preserve"> </w:t>
            </w:r>
            <w:r w:rsidR="00400EE8" w:rsidRPr="005374EA">
              <w:rPr>
                <w:rFonts w:ascii="Times New Roman" w:hAnsi="Times New Roman"/>
                <w:sz w:val="24"/>
              </w:rPr>
              <w:t>–</w:t>
            </w:r>
            <w:r w:rsidRPr="005374EA">
              <w:rPr>
                <w:rFonts w:ascii="Times New Roman" w:hAnsi="Times New Roman"/>
                <w:sz w:val="24"/>
              </w:rPr>
              <w:t xml:space="preserve"> </w:t>
            </w:r>
            <w:r w:rsidR="00400EE8">
              <w:rPr>
                <w:rFonts w:ascii="Times New Roman" w:hAnsi="Times New Roman"/>
                <w:sz w:val="24"/>
              </w:rPr>
              <w:t>0</w:t>
            </w:r>
            <w:r w:rsidRPr="005374EA">
              <w:rPr>
                <w:rFonts w:ascii="Times New Roman" w:hAnsi="Times New Roman"/>
                <w:sz w:val="24"/>
              </w:rPr>
              <w:t>8/</w:t>
            </w:r>
            <w:r w:rsidR="00400EE8">
              <w:rPr>
                <w:rFonts w:ascii="Times New Roman" w:hAnsi="Times New Roman"/>
                <w:sz w:val="24"/>
              </w:rPr>
              <w:t>0</w:t>
            </w:r>
            <w:r w:rsidRPr="005374EA">
              <w:rPr>
                <w:rFonts w:ascii="Times New Roman" w:hAnsi="Times New Roman"/>
                <w:sz w:val="24"/>
              </w:rPr>
              <w:t>2/07</w:t>
            </w:r>
          </w:p>
        </w:tc>
        <w:tc>
          <w:tcPr>
            <w:tcW w:w="2038" w:type="dxa"/>
            <w:vAlign w:val="center"/>
          </w:tcPr>
          <w:p w:rsidR="00C308B8" w:rsidRPr="005374EA" w:rsidRDefault="00C308B8" w:rsidP="005F52AB">
            <w:pPr>
              <w:spacing w:line="360" w:lineRule="auto"/>
              <w:ind w:right="288"/>
              <w:jc w:val="center"/>
              <w:rPr>
                <w:rFonts w:ascii="Times New Roman" w:hAnsi="Times New Roman"/>
                <w:sz w:val="24"/>
              </w:rPr>
            </w:pPr>
            <w:r w:rsidRPr="005374EA">
              <w:rPr>
                <w:rFonts w:ascii="Times New Roman" w:hAnsi="Times New Roman"/>
                <w:sz w:val="24"/>
              </w:rPr>
              <w:t>$ 3,086.38</w:t>
            </w:r>
          </w:p>
        </w:tc>
        <w:tc>
          <w:tcPr>
            <w:tcW w:w="2853" w:type="dxa"/>
            <w:vAlign w:val="center"/>
          </w:tcPr>
          <w:p w:rsidR="00C308B8" w:rsidRPr="005374EA" w:rsidRDefault="00C308B8" w:rsidP="005F52AB">
            <w:pPr>
              <w:rPr>
                <w:rFonts w:ascii="Times New Roman" w:hAnsi="Times New Roman"/>
                <w:sz w:val="24"/>
              </w:rPr>
            </w:pPr>
            <w:r w:rsidRPr="005374EA">
              <w:rPr>
                <w:rFonts w:ascii="Times New Roman" w:hAnsi="Times New Roman"/>
                <w:sz w:val="24"/>
              </w:rPr>
              <w:t xml:space="preserve">221 High St.  </w:t>
            </w:r>
            <w:r w:rsidR="00400EE8">
              <w:rPr>
                <w:rFonts w:ascii="Times New Roman" w:hAnsi="Times New Roman"/>
                <w:sz w:val="24"/>
              </w:rPr>
              <w:t>0</w:t>
            </w:r>
            <w:r w:rsidRPr="005374EA">
              <w:rPr>
                <w:rFonts w:ascii="Times New Roman" w:hAnsi="Times New Roman"/>
                <w:sz w:val="24"/>
              </w:rPr>
              <w:t>9/16/08</w:t>
            </w:r>
          </w:p>
        </w:tc>
      </w:tr>
      <w:tr w:rsidR="00C308B8" w:rsidRPr="005374EA" w:rsidTr="005F52AB">
        <w:trPr>
          <w:trHeight w:val="416"/>
        </w:trPr>
        <w:tc>
          <w:tcPr>
            <w:tcW w:w="2248"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221 High St.</w:t>
            </w:r>
          </w:p>
        </w:tc>
        <w:tc>
          <w:tcPr>
            <w:tcW w:w="2179" w:type="dxa"/>
            <w:vAlign w:val="center"/>
          </w:tcPr>
          <w:p w:rsidR="00C308B8" w:rsidRPr="005374EA" w:rsidRDefault="00400EE8" w:rsidP="005F52AB">
            <w:pPr>
              <w:spacing w:line="360" w:lineRule="auto"/>
              <w:jc w:val="center"/>
              <w:rPr>
                <w:rFonts w:ascii="Times New Roman" w:hAnsi="Times New Roman"/>
                <w:sz w:val="24"/>
              </w:rPr>
            </w:pPr>
            <w:r>
              <w:rPr>
                <w:rFonts w:ascii="Times New Roman" w:hAnsi="Times New Roman"/>
                <w:sz w:val="24"/>
              </w:rPr>
              <w:t>0</w:t>
            </w:r>
            <w:r w:rsidR="00C308B8" w:rsidRPr="005374EA">
              <w:rPr>
                <w:rFonts w:ascii="Times New Roman" w:hAnsi="Times New Roman"/>
                <w:sz w:val="24"/>
              </w:rPr>
              <w:t>9/16/08 – 12/12/08</w:t>
            </w:r>
          </w:p>
        </w:tc>
        <w:tc>
          <w:tcPr>
            <w:tcW w:w="2038" w:type="dxa"/>
            <w:vAlign w:val="center"/>
          </w:tcPr>
          <w:p w:rsidR="00C308B8" w:rsidRPr="005374EA" w:rsidRDefault="00C308B8" w:rsidP="005F52AB">
            <w:pPr>
              <w:spacing w:line="360" w:lineRule="auto"/>
              <w:ind w:right="288"/>
              <w:jc w:val="center"/>
              <w:rPr>
                <w:rFonts w:ascii="Times New Roman" w:hAnsi="Times New Roman"/>
                <w:sz w:val="24"/>
              </w:rPr>
            </w:pPr>
            <w:r w:rsidRPr="005374EA">
              <w:rPr>
                <w:rFonts w:ascii="Times New Roman" w:hAnsi="Times New Roman"/>
                <w:sz w:val="24"/>
              </w:rPr>
              <w:t>$ 4,563.68</w:t>
            </w:r>
          </w:p>
        </w:tc>
        <w:tc>
          <w:tcPr>
            <w:tcW w:w="2853" w:type="dxa"/>
            <w:vAlign w:val="center"/>
          </w:tcPr>
          <w:p w:rsidR="00C308B8" w:rsidRPr="005374EA" w:rsidRDefault="00C308B8" w:rsidP="005F52AB">
            <w:pPr>
              <w:rPr>
                <w:rFonts w:ascii="Times New Roman" w:hAnsi="Times New Roman"/>
                <w:sz w:val="24"/>
              </w:rPr>
            </w:pPr>
            <w:r w:rsidRPr="005374EA">
              <w:rPr>
                <w:rFonts w:ascii="Times New Roman" w:hAnsi="Times New Roman"/>
                <w:sz w:val="24"/>
              </w:rPr>
              <w:t>367 2</w:t>
            </w:r>
            <w:r w:rsidRPr="005374EA">
              <w:rPr>
                <w:rFonts w:ascii="Times New Roman" w:hAnsi="Times New Roman"/>
                <w:sz w:val="24"/>
                <w:vertAlign w:val="superscript"/>
              </w:rPr>
              <w:t>nd</w:t>
            </w:r>
            <w:r w:rsidRPr="005374EA">
              <w:rPr>
                <w:rFonts w:ascii="Times New Roman" w:hAnsi="Times New Roman"/>
                <w:sz w:val="24"/>
              </w:rPr>
              <w:t xml:space="preserve"> Ave.  01/27/09</w:t>
            </w:r>
          </w:p>
        </w:tc>
      </w:tr>
      <w:tr w:rsidR="00C308B8" w:rsidRPr="005374EA" w:rsidTr="005F52AB">
        <w:trPr>
          <w:trHeight w:val="848"/>
        </w:trPr>
        <w:tc>
          <w:tcPr>
            <w:tcW w:w="2248"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367 2nd Ave.</w:t>
            </w:r>
          </w:p>
        </w:tc>
        <w:tc>
          <w:tcPr>
            <w:tcW w:w="2179" w:type="dxa"/>
            <w:vAlign w:val="center"/>
          </w:tcPr>
          <w:p w:rsidR="00C308B8" w:rsidRPr="005374EA" w:rsidRDefault="00C308B8" w:rsidP="005F52AB">
            <w:pPr>
              <w:spacing w:line="360" w:lineRule="auto"/>
              <w:jc w:val="center"/>
              <w:rPr>
                <w:rFonts w:ascii="Times New Roman" w:hAnsi="Times New Roman"/>
                <w:sz w:val="24"/>
              </w:rPr>
            </w:pPr>
            <w:r w:rsidRPr="005374EA">
              <w:rPr>
                <w:rFonts w:ascii="Times New Roman" w:hAnsi="Times New Roman"/>
                <w:sz w:val="24"/>
              </w:rPr>
              <w:t xml:space="preserve">12/03/08 – </w:t>
            </w:r>
            <w:r>
              <w:rPr>
                <w:rFonts w:ascii="Times New Roman" w:hAnsi="Times New Roman"/>
                <w:sz w:val="24"/>
              </w:rPr>
              <w:t>11</w:t>
            </w:r>
            <w:r w:rsidRPr="005374EA">
              <w:rPr>
                <w:rFonts w:ascii="Times New Roman" w:hAnsi="Times New Roman"/>
                <w:sz w:val="24"/>
              </w:rPr>
              <w:t>/</w:t>
            </w:r>
            <w:r>
              <w:rPr>
                <w:rFonts w:ascii="Times New Roman" w:hAnsi="Times New Roman"/>
                <w:sz w:val="24"/>
              </w:rPr>
              <w:t>19</w:t>
            </w:r>
            <w:r w:rsidRPr="005374EA">
              <w:rPr>
                <w:rFonts w:ascii="Times New Roman" w:hAnsi="Times New Roman"/>
                <w:sz w:val="24"/>
              </w:rPr>
              <w:t>/0</w:t>
            </w:r>
            <w:r>
              <w:rPr>
                <w:rFonts w:ascii="Times New Roman" w:hAnsi="Times New Roman"/>
                <w:sz w:val="24"/>
              </w:rPr>
              <w:t>9</w:t>
            </w:r>
          </w:p>
        </w:tc>
        <w:tc>
          <w:tcPr>
            <w:tcW w:w="2038" w:type="dxa"/>
            <w:vAlign w:val="center"/>
          </w:tcPr>
          <w:p w:rsidR="00C308B8" w:rsidRDefault="00C308B8" w:rsidP="005F52AB">
            <w:pPr>
              <w:ind w:right="288"/>
              <w:jc w:val="center"/>
              <w:rPr>
                <w:rFonts w:ascii="Times New Roman" w:hAnsi="Times New Roman"/>
                <w:sz w:val="24"/>
              </w:rPr>
            </w:pPr>
            <w:r w:rsidRPr="005374EA">
              <w:rPr>
                <w:rFonts w:ascii="Times New Roman" w:hAnsi="Times New Roman"/>
                <w:sz w:val="24"/>
              </w:rPr>
              <w:t>$</w:t>
            </w:r>
            <w:r>
              <w:rPr>
                <w:rFonts w:ascii="Times New Roman" w:hAnsi="Times New Roman"/>
                <w:sz w:val="24"/>
              </w:rPr>
              <w:t>8,929.69</w:t>
            </w:r>
          </w:p>
          <w:p w:rsidR="00C308B8" w:rsidRPr="005374EA" w:rsidRDefault="00C308B8" w:rsidP="005F52AB">
            <w:pPr>
              <w:ind w:right="288"/>
              <w:jc w:val="center"/>
              <w:rPr>
                <w:rFonts w:ascii="Times New Roman" w:hAnsi="Times New Roman"/>
                <w:sz w:val="24"/>
              </w:rPr>
            </w:pPr>
            <w:r>
              <w:rPr>
                <w:rFonts w:ascii="Times New Roman" w:hAnsi="Times New Roman"/>
                <w:sz w:val="24"/>
              </w:rPr>
              <w:t>(Approximate)</w:t>
            </w:r>
            <w:r>
              <w:rPr>
                <w:rStyle w:val="FootnoteReference"/>
                <w:rFonts w:ascii="Times New Roman" w:hAnsi="Times New Roman"/>
                <w:sz w:val="24"/>
              </w:rPr>
              <w:footnoteReference w:id="9"/>
            </w:r>
          </w:p>
          <w:p w:rsidR="00C308B8" w:rsidRPr="005374EA" w:rsidRDefault="00C308B8" w:rsidP="005F52AB">
            <w:pPr>
              <w:ind w:right="288"/>
              <w:jc w:val="center"/>
              <w:rPr>
                <w:rFonts w:ascii="Times New Roman" w:hAnsi="Times New Roman"/>
                <w:sz w:val="24"/>
              </w:rPr>
            </w:pPr>
          </w:p>
        </w:tc>
        <w:tc>
          <w:tcPr>
            <w:tcW w:w="2853" w:type="dxa"/>
            <w:vAlign w:val="center"/>
          </w:tcPr>
          <w:p w:rsidR="00C308B8" w:rsidRPr="005374EA" w:rsidRDefault="00C308B8" w:rsidP="005F52AB">
            <w:pPr>
              <w:rPr>
                <w:rFonts w:ascii="Times New Roman" w:hAnsi="Times New Roman"/>
                <w:sz w:val="24"/>
              </w:rPr>
            </w:pPr>
            <w:r w:rsidRPr="005374EA">
              <w:rPr>
                <w:rFonts w:ascii="Times New Roman" w:hAnsi="Times New Roman"/>
                <w:sz w:val="24"/>
              </w:rPr>
              <w:t>Aspen Ave. 11/15/13</w:t>
            </w:r>
          </w:p>
        </w:tc>
      </w:tr>
    </w:tbl>
    <w:p w:rsidR="00C308B8" w:rsidRPr="00C6679F" w:rsidRDefault="00C308B8" w:rsidP="00C308B8">
      <w:pPr>
        <w:spacing w:line="360" w:lineRule="auto"/>
        <w:ind w:right="1440"/>
      </w:pPr>
      <w:r>
        <w:t>Table 3</w:t>
      </w:r>
    </w:p>
    <w:p w:rsidR="00C308B8" w:rsidRDefault="00C308B8" w:rsidP="00C308B8">
      <w:pPr>
        <w:autoSpaceDE w:val="0"/>
        <w:autoSpaceDN w:val="0"/>
        <w:spacing w:line="360" w:lineRule="auto"/>
        <w:ind w:right="90"/>
      </w:pPr>
    </w:p>
    <w:p w:rsidR="00C308B8" w:rsidRDefault="00C308B8" w:rsidP="00C308B8">
      <w:pPr>
        <w:autoSpaceDE w:val="0"/>
        <w:autoSpaceDN w:val="0"/>
        <w:spacing w:line="360" w:lineRule="auto"/>
        <w:ind w:right="86"/>
      </w:pPr>
      <w:r>
        <w:tab/>
      </w:r>
      <w:r>
        <w:tab/>
        <w:t xml:space="preserve">In addition to improperly transferring $8,929.69 to Ms. </w:t>
      </w:r>
      <w:proofErr w:type="spellStart"/>
      <w:r>
        <w:t>Trivelpiece’s</w:t>
      </w:r>
      <w:proofErr w:type="spellEnd"/>
      <w:r>
        <w:t xml:space="preserve"> account at Aspen Avenue, PECO added on a $</w:t>
      </w:r>
      <w:r w:rsidRPr="00FC5AE2">
        <w:t>1,477.60</w:t>
      </w:r>
      <w:r>
        <w:t xml:space="preserve"> late charge.  This late charge was based upon amounts that had accrued more than four years ago.  Again PECO was in violation of Section 56.35.  The precise amount PECO improperly included in the November 2013 PAR cannot be determined from the record.  As PECO’s witness, Ms. Tarpley, was not involved in developing the payment arrangement.  </w:t>
      </w:r>
      <w:proofErr w:type="gramStart"/>
      <w:r>
        <w:t>(Tr. 124.)</w:t>
      </w:r>
      <w:proofErr w:type="gramEnd"/>
      <w:r>
        <w:t xml:space="preserve">  Accordingly, PECO will be directed to recalculate Ms.</w:t>
      </w:r>
      <w:r w:rsidR="002848EB">
        <w:t> </w:t>
      </w:r>
      <w:proofErr w:type="spellStart"/>
      <w:r>
        <w:t>Trivelpiece’s</w:t>
      </w:r>
      <w:proofErr w:type="spellEnd"/>
      <w:r>
        <w:t xml:space="preserve"> balance minus any charges predating November 20, 2009.</w:t>
      </w:r>
    </w:p>
    <w:p w:rsidR="00C308B8" w:rsidRDefault="00C308B8" w:rsidP="00416E92">
      <w:pPr>
        <w:spacing w:line="360" w:lineRule="auto"/>
      </w:pPr>
    </w:p>
    <w:p w:rsidR="00C308B8" w:rsidRPr="00BA0C0A" w:rsidRDefault="003B2EC4" w:rsidP="00C308B8">
      <w:pPr>
        <w:spacing w:line="360" w:lineRule="auto"/>
        <w:rPr>
          <w:rFonts w:eastAsia="Calibri"/>
          <w:u w:val="single"/>
        </w:rPr>
      </w:pPr>
      <w:r w:rsidRPr="003B2EC4">
        <w:rPr>
          <w:rFonts w:eastAsia="Calibri"/>
          <w:u w:val="single"/>
        </w:rPr>
        <w:t>Section 5</w:t>
      </w:r>
      <w:r w:rsidR="006402BB">
        <w:rPr>
          <w:rFonts w:eastAsia="Calibri"/>
          <w:u w:val="single"/>
        </w:rPr>
        <w:t>6</w:t>
      </w:r>
      <w:r w:rsidRPr="003B2EC4">
        <w:rPr>
          <w:rFonts w:eastAsia="Calibri"/>
          <w:u w:val="single"/>
        </w:rPr>
        <w:t>.1</w:t>
      </w:r>
      <w:r w:rsidR="006402BB">
        <w:rPr>
          <w:rFonts w:eastAsia="Calibri"/>
          <w:u w:val="single"/>
        </w:rPr>
        <w:t>51</w:t>
      </w:r>
      <w:r w:rsidRPr="003B2EC4">
        <w:rPr>
          <w:rFonts w:eastAsia="Calibri"/>
          <w:u w:val="single"/>
        </w:rPr>
        <w:t xml:space="preserve"> - </w:t>
      </w:r>
      <w:r w:rsidR="00C308B8" w:rsidRPr="00BA0C0A">
        <w:rPr>
          <w:rFonts w:eastAsia="Calibri"/>
          <w:u w:val="single"/>
        </w:rPr>
        <w:t>Investigation Requirement</w:t>
      </w:r>
    </w:p>
    <w:p w:rsidR="00EC5578" w:rsidRDefault="00EC5578" w:rsidP="00C308B8">
      <w:pPr>
        <w:autoSpaceDE w:val="0"/>
        <w:autoSpaceDN w:val="0"/>
        <w:spacing w:line="360" w:lineRule="auto"/>
        <w:rPr>
          <w:rFonts w:ascii="CG Times" w:hAnsi="CG Times"/>
        </w:rPr>
      </w:pPr>
    </w:p>
    <w:p w:rsidR="00C308B8" w:rsidRPr="005944C3" w:rsidRDefault="00C308B8" w:rsidP="00C308B8">
      <w:pPr>
        <w:autoSpaceDE w:val="0"/>
        <w:autoSpaceDN w:val="0"/>
        <w:spacing w:line="360" w:lineRule="auto"/>
        <w:rPr>
          <w:rFonts w:ascii="CG Times" w:hAnsi="CG Times"/>
        </w:rPr>
      </w:pPr>
      <w:r w:rsidRPr="005944C3">
        <w:rPr>
          <w:rFonts w:ascii="CG Times" w:hAnsi="CG Times"/>
        </w:rPr>
        <w:tab/>
      </w:r>
      <w:r w:rsidRPr="005944C3">
        <w:rPr>
          <w:rFonts w:ascii="CG Times" w:hAnsi="CG Times"/>
        </w:rPr>
        <w:tab/>
        <w:t>Title 52 of the Pennsylvania Code, Chapter 56, 52 Pa.Code § 56.1 et seq., prescribes standards for utility companies in billing residential customers.  Under Section 56.1, 52 Pa.Code §</w:t>
      </w:r>
      <w:r w:rsidR="00251ABD">
        <w:rPr>
          <w:rFonts w:ascii="CG Times" w:hAnsi="CG Times"/>
        </w:rPr>
        <w:t xml:space="preserve"> </w:t>
      </w:r>
      <w:r w:rsidRPr="005944C3">
        <w:rPr>
          <w:rFonts w:ascii="CG Times" w:hAnsi="CG Times"/>
        </w:rPr>
        <w:t>56.1, the provisions</w:t>
      </w:r>
      <w:r w:rsidR="009E76DB">
        <w:rPr>
          <w:rFonts w:ascii="CG Times" w:hAnsi="CG Times"/>
        </w:rPr>
        <w:t xml:space="preserve"> of</w:t>
      </w:r>
      <w:r w:rsidRPr="005944C3">
        <w:rPr>
          <w:rFonts w:ascii="CG Times" w:hAnsi="CG Times"/>
        </w:rPr>
        <w:t xml:space="preserve"> Chapter 56 are to be liberally construed.  After a residential customer has initiated a billing dispute, as in the present case, the utility company is required to investigate the matter.  Section 56.151 specifically states:</w:t>
      </w:r>
    </w:p>
    <w:p w:rsidR="00C308B8" w:rsidRPr="005944C3" w:rsidRDefault="00C308B8" w:rsidP="00C308B8">
      <w:pPr>
        <w:autoSpaceDE w:val="0"/>
        <w:autoSpaceDN w:val="0"/>
        <w:rPr>
          <w:rFonts w:ascii="CG Times" w:hAnsi="CG Times"/>
        </w:rPr>
      </w:pPr>
    </w:p>
    <w:p w:rsidR="00C308B8" w:rsidRPr="005944C3" w:rsidRDefault="00C308B8" w:rsidP="00C308B8">
      <w:pPr>
        <w:autoSpaceDE w:val="0"/>
        <w:autoSpaceDN w:val="0"/>
        <w:contextualSpacing/>
        <w:rPr>
          <w:rFonts w:ascii="CG Times" w:hAnsi="CG Times"/>
        </w:rPr>
      </w:pPr>
      <w:r w:rsidRPr="005944C3">
        <w:rPr>
          <w:rFonts w:ascii="CG Times" w:hAnsi="CG Times"/>
        </w:rPr>
        <w:tab/>
      </w:r>
      <w:r w:rsidRPr="005944C3">
        <w:rPr>
          <w:rFonts w:ascii="CG Times" w:hAnsi="CG Times"/>
        </w:rPr>
        <w:tab/>
        <w:t>Upon initiation of a dispute covered by this section, the utility shall:</w:t>
      </w:r>
    </w:p>
    <w:p w:rsidR="00C308B8" w:rsidRPr="005944C3" w:rsidRDefault="00C308B8" w:rsidP="00C308B8">
      <w:pPr>
        <w:autoSpaceDE w:val="0"/>
        <w:autoSpaceDN w:val="0"/>
        <w:contextualSpacing/>
        <w:rPr>
          <w:rFonts w:ascii="CG Times" w:hAnsi="CG Times"/>
        </w:rPr>
      </w:pPr>
    </w:p>
    <w:p w:rsidR="00C308B8" w:rsidRPr="005944C3" w:rsidRDefault="00C308B8" w:rsidP="00C308B8">
      <w:pPr>
        <w:autoSpaceDE w:val="0"/>
        <w:autoSpaceDN w:val="0"/>
        <w:contextualSpacing/>
        <w:rPr>
          <w:rFonts w:ascii="CG Times" w:hAnsi="CG Times"/>
        </w:rPr>
      </w:pPr>
      <w:r w:rsidRPr="005944C3">
        <w:rPr>
          <w:rFonts w:ascii="CG Times" w:hAnsi="CG Times"/>
        </w:rPr>
        <w:tab/>
      </w:r>
      <w:r w:rsidRPr="005944C3">
        <w:rPr>
          <w:rFonts w:ascii="CG Times" w:hAnsi="CG Times"/>
        </w:rPr>
        <w:tab/>
      </w:r>
      <w:r w:rsidRPr="005944C3">
        <w:rPr>
          <w:rFonts w:ascii="CG Times" w:hAnsi="CG Times"/>
        </w:rPr>
        <w:tab/>
        <w:t>…</w:t>
      </w:r>
    </w:p>
    <w:p w:rsidR="00C308B8" w:rsidRPr="005944C3" w:rsidRDefault="00C308B8" w:rsidP="00C308B8">
      <w:pPr>
        <w:autoSpaceDE w:val="0"/>
        <w:autoSpaceDN w:val="0"/>
        <w:contextualSpacing/>
        <w:rPr>
          <w:rFonts w:ascii="CG Times" w:hAnsi="CG Times"/>
        </w:rPr>
      </w:pPr>
      <w:r w:rsidRPr="005944C3">
        <w:rPr>
          <w:rFonts w:ascii="CG Times" w:hAnsi="CG Times"/>
        </w:rPr>
        <w:tab/>
      </w:r>
      <w:r w:rsidRPr="005944C3">
        <w:rPr>
          <w:rFonts w:ascii="CG Times" w:hAnsi="CG Times"/>
        </w:rPr>
        <w:tab/>
      </w:r>
    </w:p>
    <w:p w:rsidR="00C308B8" w:rsidRPr="005944C3" w:rsidRDefault="00C308B8" w:rsidP="00C308B8">
      <w:pPr>
        <w:autoSpaceDE w:val="0"/>
        <w:autoSpaceDN w:val="0"/>
        <w:contextualSpacing/>
        <w:rPr>
          <w:rFonts w:ascii="CG Times" w:hAnsi="CG Times"/>
        </w:rPr>
      </w:pPr>
      <w:r w:rsidRPr="005944C3">
        <w:rPr>
          <w:rFonts w:ascii="CG Times" w:hAnsi="CG Times"/>
        </w:rPr>
        <w:tab/>
      </w:r>
      <w:r w:rsidRPr="005944C3">
        <w:rPr>
          <w:rFonts w:ascii="CG Times" w:hAnsi="CG Times"/>
        </w:rPr>
        <w:tab/>
      </w:r>
      <w:r w:rsidRPr="005944C3">
        <w:rPr>
          <w:rFonts w:ascii="CG Times" w:hAnsi="CG Times"/>
        </w:rPr>
        <w:tab/>
        <w:t xml:space="preserve"> (2) Investigate the matter using methods reasonable under the</w:t>
      </w:r>
    </w:p>
    <w:p w:rsidR="00C308B8" w:rsidRPr="005944C3" w:rsidRDefault="00C308B8" w:rsidP="00C308B8">
      <w:pPr>
        <w:autoSpaceDE w:val="0"/>
        <w:autoSpaceDN w:val="0"/>
        <w:contextualSpacing/>
        <w:rPr>
          <w:rFonts w:ascii="CG Times" w:hAnsi="CG Times"/>
        </w:rPr>
      </w:pPr>
      <w:r w:rsidRPr="005944C3">
        <w:rPr>
          <w:rFonts w:ascii="CG Times" w:hAnsi="CG Times"/>
        </w:rPr>
        <w:tab/>
      </w:r>
      <w:r w:rsidRPr="005944C3">
        <w:rPr>
          <w:rFonts w:ascii="CG Times" w:hAnsi="CG Times"/>
        </w:rPr>
        <w:tab/>
      </w:r>
      <w:proofErr w:type="gramStart"/>
      <w:r w:rsidRPr="005944C3">
        <w:rPr>
          <w:rFonts w:ascii="CG Times" w:hAnsi="CG Times"/>
        </w:rPr>
        <w:t>circumstances</w:t>
      </w:r>
      <w:proofErr w:type="gramEnd"/>
      <w:r w:rsidRPr="005944C3">
        <w:rPr>
          <w:rFonts w:ascii="CG Times" w:hAnsi="CG Times"/>
        </w:rPr>
        <w:t xml:space="preserve">, which may include telephone or personal conferences, </w:t>
      </w:r>
    </w:p>
    <w:p w:rsidR="00C308B8" w:rsidRPr="005944C3" w:rsidRDefault="00C308B8" w:rsidP="00C308B8">
      <w:pPr>
        <w:autoSpaceDE w:val="0"/>
        <w:autoSpaceDN w:val="0"/>
        <w:spacing w:line="360" w:lineRule="auto"/>
        <w:contextualSpacing/>
        <w:rPr>
          <w:rFonts w:ascii="CG Times" w:hAnsi="CG Times"/>
        </w:rPr>
      </w:pPr>
      <w:r w:rsidRPr="005944C3">
        <w:rPr>
          <w:rFonts w:ascii="CG Times" w:hAnsi="CG Times"/>
        </w:rPr>
        <w:tab/>
      </w:r>
      <w:r w:rsidRPr="005944C3">
        <w:rPr>
          <w:rFonts w:ascii="CG Times" w:hAnsi="CG Times"/>
        </w:rPr>
        <w:tab/>
      </w:r>
      <w:proofErr w:type="gramStart"/>
      <w:r w:rsidRPr="005944C3">
        <w:rPr>
          <w:rFonts w:ascii="CG Times" w:hAnsi="CG Times"/>
        </w:rPr>
        <w:t>or</w:t>
      </w:r>
      <w:proofErr w:type="gramEnd"/>
      <w:r w:rsidRPr="005944C3">
        <w:rPr>
          <w:rFonts w:ascii="CG Times" w:hAnsi="CG Times"/>
        </w:rPr>
        <w:t xml:space="preserve"> both with the ratepayer or occupant. </w:t>
      </w:r>
    </w:p>
    <w:p w:rsidR="00C308B8" w:rsidRPr="005944C3" w:rsidRDefault="00C308B8" w:rsidP="00C308B8">
      <w:pPr>
        <w:autoSpaceDE w:val="0"/>
        <w:autoSpaceDN w:val="0"/>
        <w:contextualSpacing/>
        <w:rPr>
          <w:rFonts w:ascii="CG Times" w:hAnsi="CG Times"/>
        </w:rPr>
      </w:pPr>
    </w:p>
    <w:p w:rsidR="00C308B8" w:rsidRPr="005944C3" w:rsidRDefault="00C308B8" w:rsidP="00C308B8">
      <w:pPr>
        <w:autoSpaceDE w:val="0"/>
        <w:autoSpaceDN w:val="0"/>
        <w:spacing w:line="360" w:lineRule="auto"/>
        <w:contextualSpacing/>
        <w:rPr>
          <w:rFonts w:ascii="CG Times" w:hAnsi="CG Times"/>
        </w:rPr>
      </w:pPr>
      <w:r w:rsidRPr="005944C3">
        <w:rPr>
          <w:rFonts w:ascii="CG Times" w:hAnsi="CG Times"/>
        </w:rPr>
        <w:tab/>
      </w:r>
      <w:r w:rsidRPr="005944C3">
        <w:rPr>
          <w:rFonts w:ascii="CG Times" w:hAnsi="CG Times"/>
        </w:rPr>
        <w:tab/>
      </w:r>
      <w:r w:rsidRPr="005944C3">
        <w:rPr>
          <w:rFonts w:ascii="CG Times" w:hAnsi="CG Times"/>
        </w:rPr>
        <w:tab/>
        <w:t>…</w:t>
      </w:r>
    </w:p>
    <w:p w:rsidR="00C308B8" w:rsidRPr="005944C3" w:rsidRDefault="00C308B8" w:rsidP="00C308B8">
      <w:pPr>
        <w:autoSpaceDE w:val="0"/>
        <w:autoSpaceDN w:val="0"/>
        <w:contextualSpacing/>
        <w:rPr>
          <w:rFonts w:ascii="CG Times" w:hAnsi="CG Times"/>
        </w:rPr>
      </w:pPr>
      <w:r w:rsidRPr="005944C3">
        <w:rPr>
          <w:rFonts w:ascii="CG Times" w:hAnsi="CG Times"/>
        </w:rPr>
        <w:tab/>
      </w:r>
      <w:r w:rsidRPr="005944C3">
        <w:rPr>
          <w:rFonts w:ascii="CG Times" w:hAnsi="CG Times"/>
        </w:rPr>
        <w:tab/>
      </w:r>
      <w:r w:rsidRPr="005944C3">
        <w:rPr>
          <w:rFonts w:ascii="CG Times" w:hAnsi="CG Times"/>
        </w:rPr>
        <w:tab/>
        <w:t xml:space="preserve">(5) Within 30 days of the initiation of the dispute, issue its report to the </w:t>
      </w:r>
      <w:r w:rsidRPr="005944C3">
        <w:rPr>
          <w:rFonts w:ascii="CG Times" w:hAnsi="CG Times"/>
        </w:rPr>
        <w:tab/>
      </w:r>
      <w:r w:rsidRPr="005944C3">
        <w:rPr>
          <w:rFonts w:ascii="CG Times" w:hAnsi="CG Times"/>
        </w:rPr>
        <w:tab/>
      </w:r>
      <w:r w:rsidRPr="005944C3">
        <w:rPr>
          <w:rFonts w:ascii="CG Times" w:hAnsi="CG Times"/>
        </w:rPr>
        <w:tab/>
        <w:t xml:space="preserve">complaining party.  The public utility shall inform the complaining party that the </w:t>
      </w:r>
      <w:r w:rsidRPr="005944C3">
        <w:rPr>
          <w:rFonts w:ascii="CG Times" w:hAnsi="CG Times"/>
        </w:rPr>
        <w:tab/>
      </w:r>
      <w:r w:rsidRPr="005944C3">
        <w:rPr>
          <w:rFonts w:ascii="CG Times" w:hAnsi="CG Times"/>
        </w:rPr>
        <w:tab/>
        <w:t>report is available upon request.</w:t>
      </w:r>
    </w:p>
    <w:p w:rsidR="00C308B8" w:rsidRPr="005944C3" w:rsidRDefault="00C308B8" w:rsidP="00C308B8">
      <w:pPr>
        <w:autoSpaceDE w:val="0"/>
        <w:autoSpaceDN w:val="0"/>
        <w:contextualSpacing/>
        <w:rPr>
          <w:rFonts w:ascii="CG Times" w:hAnsi="CG Times"/>
        </w:rPr>
      </w:pPr>
    </w:p>
    <w:p w:rsidR="00C308B8" w:rsidRDefault="00C308B8" w:rsidP="00C308B8">
      <w:pPr>
        <w:autoSpaceDE w:val="0"/>
        <w:autoSpaceDN w:val="0"/>
        <w:ind w:left="2520" w:right="1080"/>
        <w:contextualSpacing/>
        <w:rPr>
          <w:bCs/>
        </w:rPr>
      </w:pPr>
      <w:r w:rsidRPr="005944C3">
        <w:rPr>
          <w:rFonts w:ascii="CG Times" w:hAnsi="CG Times"/>
        </w:rPr>
        <w:t xml:space="preserve">(i)   If the complainant is not satisfied with the dispute resolution, the utility company report must be in writing and conform to § 56.152 (relating to contents of the public utility company report).  Further, in these instances the written report shall be sent to the complaining party if requested or if the public utility deems it necessary. </w:t>
      </w:r>
      <w:r w:rsidRPr="005944C3">
        <w:rPr>
          <w:bCs/>
        </w:rPr>
        <w:tab/>
      </w:r>
    </w:p>
    <w:p w:rsidR="0013329E" w:rsidRPr="005944C3" w:rsidRDefault="0013329E" w:rsidP="00C308B8">
      <w:pPr>
        <w:autoSpaceDE w:val="0"/>
        <w:autoSpaceDN w:val="0"/>
        <w:ind w:left="2520" w:right="1080"/>
        <w:contextualSpacing/>
        <w:rPr>
          <w:bCs/>
        </w:rPr>
      </w:pPr>
    </w:p>
    <w:p w:rsidR="00C308B8" w:rsidRDefault="00C308B8" w:rsidP="00C308B8">
      <w:pPr>
        <w:tabs>
          <w:tab w:val="left" w:pos="0"/>
        </w:tabs>
        <w:autoSpaceDE w:val="0"/>
        <w:autoSpaceDN w:val="0"/>
        <w:spacing w:line="360" w:lineRule="auto"/>
      </w:pPr>
    </w:p>
    <w:p w:rsidR="00C308B8" w:rsidRPr="00440E3E" w:rsidRDefault="00C308B8" w:rsidP="00C308B8">
      <w:pPr>
        <w:tabs>
          <w:tab w:val="left" w:pos="0"/>
        </w:tabs>
        <w:autoSpaceDE w:val="0"/>
        <w:autoSpaceDN w:val="0"/>
        <w:spacing w:line="360" w:lineRule="auto"/>
        <w:rPr>
          <w:u w:val="single"/>
        </w:rPr>
      </w:pPr>
      <w:r>
        <w:tab/>
      </w:r>
      <w:r>
        <w:tab/>
        <w:t>1.</w:t>
      </w:r>
      <w:r>
        <w:tab/>
      </w:r>
      <w:r w:rsidRPr="00440E3E">
        <w:rPr>
          <w:u w:val="single"/>
        </w:rPr>
        <w:t>PECO’s Failure to Investigate High Usage Complaint</w:t>
      </w:r>
    </w:p>
    <w:p w:rsidR="00EC5578" w:rsidRDefault="00EC5578" w:rsidP="00C308B8">
      <w:pPr>
        <w:tabs>
          <w:tab w:val="left" w:pos="0"/>
        </w:tabs>
        <w:autoSpaceDE w:val="0"/>
        <w:autoSpaceDN w:val="0"/>
        <w:spacing w:line="360" w:lineRule="auto"/>
      </w:pPr>
    </w:p>
    <w:p w:rsidR="00C308B8" w:rsidRDefault="00C308B8" w:rsidP="00C308B8">
      <w:pPr>
        <w:tabs>
          <w:tab w:val="left" w:pos="0"/>
        </w:tabs>
        <w:autoSpaceDE w:val="0"/>
        <w:autoSpaceDN w:val="0"/>
        <w:spacing w:line="360" w:lineRule="auto"/>
      </w:pPr>
      <w:r>
        <w:tab/>
      </w:r>
      <w:r>
        <w:tab/>
        <w:t xml:space="preserve">Ms. </w:t>
      </w:r>
      <w:proofErr w:type="spellStart"/>
      <w:r>
        <w:t>Trivelpiece</w:t>
      </w:r>
      <w:proofErr w:type="spellEnd"/>
      <w:r>
        <w:t xml:space="preserve"> began calling PECO in December 2013 as to why her bill was so high, </w:t>
      </w:r>
      <w:proofErr w:type="gramStart"/>
      <w:r>
        <w:t>this included questions</w:t>
      </w:r>
      <w:proofErr w:type="gramEnd"/>
      <w:r>
        <w:t xml:space="preserve"> about her usage and the </w:t>
      </w:r>
      <w:r w:rsidR="009E76DB">
        <w:t>billing</w:t>
      </w:r>
      <w:r>
        <w:t xml:space="preserve"> charge</w:t>
      </w:r>
      <w:r w:rsidR="009E76DB">
        <w:t>s</w:t>
      </w:r>
      <w:r>
        <w:t>.  Ms.</w:t>
      </w:r>
      <w:r w:rsidR="00251ABD">
        <w:t> </w:t>
      </w:r>
      <w:proofErr w:type="spellStart"/>
      <w:r>
        <w:t>Trivelpiece’s</w:t>
      </w:r>
      <w:proofErr w:type="spellEnd"/>
      <w:r>
        <w:t xml:space="preserve"> electric bill was consistently high from December 2013 ($318.03) to June 2014 ($216.87).  </w:t>
      </w:r>
      <w:proofErr w:type="gramStart"/>
      <w:r>
        <w:t>(See Table 1 above.)</w:t>
      </w:r>
      <w:proofErr w:type="gramEnd"/>
      <w:r>
        <w:t xml:space="preserve">  Her electric bill was inordinately high for a small,</w:t>
      </w:r>
      <w:r w:rsidR="00971B57">
        <w:t xml:space="preserve"> </w:t>
      </w:r>
      <w:r>
        <w:t xml:space="preserve">two-bedroom, mobile home with one adult and two minors.  Although Ms. </w:t>
      </w:r>
      <w:proofErr w:type="spellStart"/>
      <w:r>
        <w:t>Trivelpiece</w:t>
      </w:r>
      <w:proofErr w:type="spellEnd"/>
      <w:r>
        <w:t xml:space="preserve"> repeatedly called about her high bill, PECO took no action to investigate her concerns.  PECO did not perform a meter test or conduct a consumption investigation.  Ms. </w:t>
      </w:r>
      <w:proofErr w:type="spellStart"/>
      <w:r>
        <w:t>Trivelpiece’s</w:t>
      </w:r>
      <w:proofErr w:type="spellEnd"/>
      <w:r>
        <w:t xml:space="preserve"> electric bill </w:t>
      </w:r>
      <w:r w:rsidR="00CC60DB">
        <w:t>c</w:t>
      </w:r>
      <w:r>
        <w:t>ame down significantly when an unidentified person</w:t>
      </w:r>
      <w:r>
        <w:rPr>
          <w:rStyle w:val="FootnoteReference"/>
        </w:rPr>
        <w:footnoteReference w:id="10"/>
      </w:r>
      <w:r>
        <w:t xml:space="preserve"> performed a</w:t>
      </w:r>
      <w:r w:rsidR="0099348A">
        <w:t>n</w:t>
      </w:r>
      <w:r>
        <w:t xml:space="preserve"> </w:t>
      </w:r>
      <w:r w:rsidR="0099348A">
        <w:t>energy efficiency check</w:t>
      </w:r>
      <w:r>
        <w:t xml:space="preserve"> </w:t>
      </w:r>
      <w:r w:rsidR="00C612CF">
        <w:t xml:space="preserve">and </w:t>
      </w:r>
      <w:r>
        <w:t>made adjustment</w:t>
      </w:r>
      <w:r w:rsidR="0099348A">
        <w:t>s</w:t>
      </w:r>
      <w:r>
        <w:t xml:space="preserve"> to her fixtures during the summer of 2014.  </w:t>
      </w:r>
      <w:proofErr w:type="gramStart"/>
      <w:r>
        <w:t xml:space="preserve">(Tr. </w:t>
      </w:r>
      <w:r w:rsidR="0099348A">
        <w:t>29.</w:t>
      </w:r>
      <w:r>
        <w:t>)</w:t>
      </w:r>
      <w:proofErr w:type="gramEnd"/>
      <w:r>
        <w:t xml:space="preserve">  Ms.</w:t>
      </w:r>
      <w:r w:rsidR="001D4099">
        <w:t> </w:t>
      </w:r>
      <w:proofErr w:type="spellStart"/>
      <w:r>
        <w:t>Trivelpiece</w:t>
      </w:r>
      <w:proofErr w:type="spellEnd"/>
      <w:r>
        <w:t xml:space="preserve"> did not do anything differently in her home</w:t>
      </w:r>
      <w:r w:rsidR="0099348A">
        <w:t xml:space="preserve"> (Tr. 32.),</w:t>
      </w:r>
      <w:r>
        <w:t xml:space="preserve"> but after the adjustments </w:t>
      </w:r>
      <w:r w:rsidR="0099348A">
        <w:t xml:space="preserve">were made </w:t>
      </w:r>
      <w:r>
        <w:t xml:space="preserve">her electric bill dropped from $122.50 for August/September 2014 to $69. 39 for September/October 2014.  </w:t>
      </w:r>
      <w:proofErr w:type="gramStart"/>
      <w:r>
        <w:t>(See Table 1 above.)</w:t>
      </w:r>
      <w:proofErr w:type="gramEnd"/>
      <w:r>
        <w:t xml:space="preserve">  The drop in her </w:t>
      </w:r>
      <w:r w:rsidR="0099348A">
        <w:t xml:space="preserve">electric </w:t>
      </w:r>
      <w:r>
        <w:t>usage is also evident when comparing the previous month and year to the succeeding month and year as demonstrated by the following:</w:t>
      </w:r>
      <w:r w:rsidR="00DE7A04">
        <w:t xml:space="preserve"> </w:t>
      </w:r>
      <w:r>
        <w:t xml:space="preserve"> December 2013 ‒ 961 kWh compared to December 2014 ‒ 848 kWh; January</w:t>
      </w:r>
      <w:r w:rsidR="00D255C4">
        <w:t> </w:t>
      </w:r>
      <w:r>
        <w:t>2014 ‒ 1774 kWh compared to January 2015 ‒ 730 kWh; February 2014 ‒ 971 kWh compared to February 2015 ‒ 873 kWh; March 2014 ‒ 1069 kWh compared to March 2015 ‒ 805 kWh; and April 2014 ‒ 1064kWh compared to April 201</w:t>
      </w:r>
      <w:r w:rsidR="00A209A0">
        <w:t>5</w:t>
      </w:r>
      <w:r>
        <w:t xml:space="preserve"> ‒ 628 kWh.  </w:t>
      </w:r>
      <w:proofErr w:type="gramStart"/>
      <w:r>
        <w:t>(See Table 1.)</w:t>
      </w:r>
      <w:proofErr w:type="gramEnd"/>
      <w:r>
        <w:t xml:space="preserve">  </w:t>
      </w:r>
    </w:p>
    <w:p w:rsidR="00C308B8" w:rsidRDefault="00C308B8" w:rsidP="00C308B8">
      <w:pPr>
        <w:tabs>
          <w:tab w:val="left" w:pos="0"/>
        </w:tabs>
        <w:autoSpaceDE w:val="0"/>
        <w:autoSpaceDN w:val="0"/>
        <w:spacing w:line="360" w:lineRule="auto"/>
      </w:pPr>
    </w:p>
    <w:p w:rsidR="00C308B8" w:rsidRDefault="00C308B8" w:rsidP="00C308B8">
      <w:pPr>
        <w:autoSpaceDE w:val="0"/>
        <w:autoSpaceDN w:val="0"/>
        <w:spacing w:line="360" w:lineRule="auto"/>
        <w:ind w:firstLine="1440"/>
        <w:rPr>
          <w:rFonts w:ascii="CG Times" w:hAnsi="CG Times"/>
        </w:rPr>
      </w:pPr>
      <w:r>
        <w:t xml:space="preserve">Had PECO investigated Ms. </w:t>
      </w:r>
      <w:proofErr w:type="spellStart"/>
      <w:r>
        <w:t>Trivelpiece’s</w:t>
      </w:r>
      <w:proofErr w:type="spellEnd"/>
      <w:r>
        <w:t xml:space="preserve"> concern about her usage in December</w:t>
      </w:r>
      <w:r w:rsidR="00D255C4">
        <w:t> </w:t>
      </w:r>
      <w:r>
        <w:t>2013, she may have been able to reduce her usage earlier than September 2014.  However, PECO failed to conduct an investigation</w:t>
      </w:r>
      <w:r w:rsidR="00CC60DB">
        <w:t>.</w:t>
      </w:r>
      <w:r w:rsidR="00DE7A04">
        <w:t xml:space="preserve"> </w:t>
      </w:r>
      <w:r w:rsidR="00CC60DB">
        <w:t xml:space="preserve"> </w:t>
      </w:r>
      <w:r>
        <w:rPr>
          <w:rFonts w:ascii="CG Times" w:hAnsi="CG Times"/>
        </w:rPr>
        <w:t xml:space="preserve">Accordingly a conclusion is required that PECO failed to comply with the regulation. </w:t>
      </w:r>
      <w:proofErr w:type="gramStart"/>
      <w:r w:rsidR="00CC60DB">
        <w:rPr>
          <w:rFonts w:ascii="CG Times" w:hAnsi="CG Times"/>
        </w:rPr>
        <w:t xml:space="preserve">52 Pa.Code </w:t>
      </w:r>
      <w:r w:rsidR="00CC60DB">
        <w:t>§</w:t>
      </w:r>
      <w:r w:rsidR="00CC60DB">
        <w:rPr>
          <w:rFonts w:ascii="CG Times" w:hAnsi="CG Times"/>
        </w:rPr>
        <w:t xml:space="preserve"> 56.151.</w:t>
      </w:r>
      <w:proofErr w:type="gramEnd"/>
      <w:r>
        <w:rPr>
          <w:rFonts w:ascii="CG Times" w:hAnsi="CG Times"/>
        </w:rPr>
        <w:t xml:space="preserve"> </w:t>
      </w:r>
    </w:p>
    <w:p w:rsidR="00902426" w:rsidRDefault="00902426" w:rsidP="00C308B8">
      <w:pPr>
        <w:autoSpaceDE w:val="0"/>
        <w:autoSpaceDN w:val="0"/>
        <w:spacing w:line="360" w:lineRule="auto"/>
        <w:ind w:firstLine="1440"/>
        <w:rPr>
          <w:rFonts w:ascii="CG Times" w:hAnsi="CG Times"/>
        </w:rPr>
      </w:pPr>
    </w:p>
    <w:p w:rsidR="008454FA" w:rsidRPr="008454FA" w:rsidRDefault="00902426" w:rsidP="008454FA">
      <w:pPr>
        <w:tabs>
          <w:tab w:val="left" w:pos="0"/>
        </w:tabs>
        <w:autoSpaceDE w:val="0"/>
        <w:autoSpaceDN w:val="0"/>
        <w:spacing w:line="360" w:lineRule="auto"/>
      </w:pPr>
      <w:r w:rsidRPr="00902426">
        <w:tab/>
      </w:r>
      <w:r w:rsidRPr="00902426">
        <w:tab/>
      </w:r>
      <w:r w:rsidR="008454FA" w:rsidRPr="008454FA">
        <w:t>2.</w:t>
      </w:r>
      <w:r w:rsidR="008454FA" w:rsidRPr="008454FA">
        <w:tab/>
      </w:r>
      <w:r w:rsidR="008454FA" w:rsidRPr="008454FA">
        <w:rPr>
          <w:u w:val="single"/>
        </w:rPr>
        <w:t>PECO’s Failure to Explain Reinstate Charges</w:t>
      </w:r>
    </w:p>
    <w:p w:rsidR="008454FA" w:rsidRPr="008454FA" w:rsidRDefault="008454FA" w:rsidP="008454FA">
      <w:pPr>
        <w:tabs>
          <w:tab w:val="left" w:pos="0"/>
        </w:tabs>
        <w:autoSpaceDE w:val="0"/>
        <w:autoSpaceDN w:val="0"/>
        <w:spacing w:line="360" w:lineRule="auto"/>
      </w:pPr>
      <w:r w:rsidRPr="008454FA">
        <w:tab/>
      </w:r>
      <w:r w:rsidRPr="008454FA">
        <w:tab/>
      </w:r>
      <w:r w:rsidRPr="008454FA">
        <w:tab/>
      </w:r>
      <w:r w:rsidRPr="008454FA">
        <w:tab/>
      </w:r>
      <w:r w:rsidRPr="008454FA">
        <w:tab/>
        <w:t xml:space="preserve"> </w:t>
      </w:r>
    </w:p>
    <w:p w:rsidR="008454FA" w:rsidRPr="008454FA" w:rsidRDefault="008454FA" w:rsidP="008454FA">
      <w:pPr>
        <w:spacing w:line="360" w:lineRule="auto"/>
      </w:pPr>
      <w:r w:rsidRPr="008454FA">
        <w:tab/>
      </w:r>
      <w:r w:rsidRPr="008454FA">
        <w:tab/>
        <w:t xml:space="preserve">Shortly after Ms. </w:t>
      </w:r>
      <w:proofErr w:type="spellStart"/>
      <w:r w:rsidRPr="008454FA">
        <w:t>Trivelpiece’s</w:t>
      </w:r>
      <w:proofErr w:type="spellEnd"/>
      <w:r w:rsidRPr="008454FA">
        <w:t xml:space="preserve"> service was started at Aspen Avenue in late 2013, she began to receive a billing summary with her monthly bill that included “reinstate bad debt service” charges.  </w:t>
      </w:r>
      <w:proofErr w:type="gramStart"/>
      <w:r w:rsidRPr="008454FA">
        <w:t>(Tr. 33-34; Complainant’s Exhibit C.)</w:t>
      </w:r>
      <w:proofErr w:type="gramEnd"/>
      <w:r w:rsidRPr="008454FA">
        <w:t xml:space="preserve">  Ms. </w:t>
      </w:r>
      <w:proofErr w:type="spellStart"/>
      <w:r w:rsidRPr="008454FA">
        <w:t>Trivelpiece</w:t>
      </w:r>
      <w:proofErr w:type="spellEnd"/>
      <w:r w:rsidRPr="008454FA">
        <w:t xml:space="preserve"> repeatedly contacted PECO for an explanation for these charges; but PECO did not provide an explanation for the charges until after she filed her Complaint in January 2015.  (Tr. 34, 107-108.)  The billing summary listed charges labeled “Reinstate bad debt – GAS SERVICE,” “Reinstate bad debt – Service” and Reinstate bad debt –Misc. business” See Table 3 above.  The billing summary also included payments made for the previous billing period and current charges for gas and electric.  (Complainant’s Exhibit C.)  Her contacts began in December 2013; but according to Ms.</w:t>
      </w:r>
      <w:r>
        <w:t> </w:t>
      </w:r>
      <w:proofErr w:type="spellStart"/>
      <w:r w:rsidRPr="008454FA">
        <w:t>Trivelpiece</w:t>
      </w:r>
      <w:proofErr w:type="spellEnd"/>
      <w:r w:rsidRPr="008454FA">
        <w:t xml:space="preserve"> no one at PECO would explain the charges to her.  </w:t>
      </w:r>
      <w:proofErr w:type="gramStart"/>
      <w:r w:rsidRPr="008454FA">
        <w:t>(Tr. 34, 42.)</w:t>
      </w:r>
      <w:proofErr w:type="gramEnd"/>
    </w:p>
    <w:p w:rsidR="008454FA" w:rsidRPr="008454FA" w:rsidRDefault="008454FA" w:rsidP="008454FA">
      <w:pPr>
        <w:spacing w:line="360" w:lineRule="auto"/>
      </w:pPr>
      <w:r w:rsidRPr="008454FA">
        <w:t xml:space="preserve">  </w:t>
      </w:r>
    </w:p>
    <w:p w:rsidR="008454FA" w:rsidRPr="008454FA" w:rsidRDefault="008454FA" w:rsidP="008454FA">
      <w:pPr>
        <w:spacing w:line="360" w:lineRule="auto"/>
      </w:pPr>
      <w:r w:rsidRPr="008454FA">
        <w:tab/>
      </w:r>
      <w:r w:rsidRPr="008454FA">
        <w:tab/>
        <w:t xml:space="preserve">Ms. Tarpley testified, “Usually if a customer defaults on a payment agreement or they have a former balance that’s now becoming due or being questioned, on the monthly bill the line item is identified as reinstate bad debt/service.  That’s letting you know it’s an unpaid charge.”  </w:t>
      </w:r>
      <w:proofErr w:type="gramStart"/>
      <w:r w:rsidRPr="008454FA">
        <w:t>(Tr. 106.)</w:t>
      </w:r>
      <w:proofErr w:type="gramEnd"/>
      <w:r w:rsidRPr="008454FA">
        <w:t xml:space="preserve">  Ms. Tarpley further testified that sometime after the January 14, 2015 Complaint filing</w:t>
      </w:r>
      <w:r w:rsidR="00971B57">
        <w:t>,</w:t>
      </w:r>
      <w:r w:rsidRPr="008454FA">
        <w:t xml:space="preserve"> she contacted Ms. </w:t>
      </w:r>
      <w:proofErr w:type="spellStart"/>
      <w:r w:rsidRPr="008454FA">
        <w:t>Trivelpiece</w:t>
      </w:r>
      <w:proofErr w:type="spellEnd"/>
      <w:r w:rsidRPr="008454FA">
        <w:t xml:space="preserve"> and explained the reinstate charges.</w:t>
      </w:r>
      <w:r w:rsidR="00B67309">
        <w:t xml:space="preserve"> </w:t>
      </w:r>
      <w:r w:rsidRPr="008454FA">
        <w:t xml:space="preserve"> (Tr. 107-108.)  She also confirmed her explanation in a February 12, 2015 letter to Ms. </w:t>
      </w:r>
      <w:proofErr w:type="spellStart"/>
      <w:r w:rsidRPr="008454FA">
        <w:t>Trivelpiece</w:t>
      </w:r>
      <w:proofErr w:type="spellEnd"/>
      <w:r w:rsidRPr="008454FA">
        <w:t xml:space="preserve">. </w:t>
      </w:r>
      <w:proofErr w:type="gramStart"/>
      <w:r w:rsidRPr="008454FA">
        <w:t>(Tr.</w:t>
      </w:r>
      <w:r>
        <w:t> </w:t>
      </w:r>
      <w:r w:rsidRPr="008454FA">
        <w:t>108.)</w:t>
      </w:r>
      <w:proofErr w:type="gramEnd"/>
    </w:p>
    <w:p w:rsidR="008454FA" w:rsidRPr="008454FA" w:rsidRDefault="008454FA" w:rsidP="008454FA">
      <w:pPr>
        <w:spacing w:line="360" w:lineRule="auto"/>
      </w:pPr>
    </w:p>
    <w:p w:rsidR="008454FA" w:rsidRPr="008454FA" w:rsidRDefault="008454FA" w:rsidP="008454FA">
      <w:pPr>
        <w:spacing w:line="360" w:lineRule="auto"/>
      </w:pPr>
      <w:r w:rsidRPr="008454FA">
        <w:tab/>
      </w:r>
      <w:r w:rsidRPr="008454FA">
        <w:tab/>
        <w:t>Section 56.15 of the Commission’s regulations requires a public utility to clearly state the billing information.  I find that PECO’s billing summary fails to comply with Section 56.15 in that the re</w:t>
      </w:r>
      <w:r w:rsidR="00971B57">
        <w:t>in</w:t>
      </w:r>
      <w:r w:rsidRPr="008454FA">
        <w:t xml:space="preserve">state bad debt service charges does not explain the bad debt referenced in the bill was for previous service at previous addresses.  PECO did not clarify bad debt service charge to Ms. </w:t>
      </w:r>
      <w:proofErr w:type="spellStart"/>
      <w:r w:rsidRPr="008454FA">
        <w:t>Trivelpiece</w:t>
      </w:r>
      <w:proofErr w:type="spellEnd"/>
      <w:r w:rsidRPr="008454FA">
        <w:t xml:space="preserve"> until after she filed her formal complaint.  PECO’s long delay in responding to Ms. </w:t>
      </w:r>
      <w:proofErr w:type="spellStart"/>
      <w:r w:rsidRPr="008454FA">
        <w:t>Trivelpiece’s</w:t>
      </w:r>
      <w:proofErr w:type="spellEnd"/>
      <w:r w:rsidRPr="008454FA">
        <w:t xml:space="preserve"> inquiry about her billing charges constituted unreasonable service in violation of Section 1501 of the Code. </w:t>
      </w:r>
    </w:p>
    <w:p w:rsidR="008454FA" w:rsidRPr="008454FA" w:rsidRDefault="008454FA" w:rsidP="008454FA">
      <w:pPr>
        <w:spacing w:line="360" w:lineRule="auto"/>
      </w:pPr>
    </w:p>
    <w:p w:rsidR="008454FA" w:rsidRPr="008454FA" w:rsidRDefault="008454FA" w:rsidP="0070021A">
      <w:pPr>
        <w:spacing w:line="360" w:lineRule="auto"/>
      </w:pPr>
      <w:r w:rsidRPr="008454FA">
        <w:rPr>
          <w:u w:val="single"/>
        </w:rPr>
        <w:t>Section 1405 - Payment Arrangements</w:t>
      </w:r>
    </w:p>
    <w:p w:rsidR="0070021A" w:rsidRDefault="0070021A" w:rsidP="0070021A">
      <w:pPr>
        <w:autoSpaceDE w:val="0"/>
        <w:autoSpaceDN w:val="0"/>
        <w:adjustRightInd w:val="0"/>
        <w:spacing w:line="360" w:lineRule="auto"/>
      </w:pPr>
    </w:p>
    <w:p w:rsidR="0070021A" w:rsidRDefault="008454FA" w:rsidP="0070021A">
      <w:pPr>
        <w:autoSpaceDE w:val="0"/>
        <w:autoSpaceDN w:val="0"/>
        <w:adjustRightInd w:val="0"/>
        <w:spacing w:line="360" w:lineRule="auto"/>
      </w:pPr>
      <w:r w:rsidRPr="008454FA">
        <w:tab/>
      </w:r>
      <w:r w:rsidRPr="008454FA">
        <w:tab/>
      </w:r>
      <w:r w:rsidR="0070021A">
        <w:t xml:space="preserve">Ms. </w:t>
      </w:r>
      <w:proofErr w:type="spellStart"/>
      <w:r w:rsidR="0070021A">
        <w:t>Trivelpiece</w:t>
      </w:r>
      <w:proofErr w:type="spellEnd"/>
      <w:r w:rsidR="0070021A">
        <w:t xml:space="preserve"> sustained a work-related injury in 2006.  </w:t>
      </w:r>
      <w:proofErr w:type="gramStart"/>
      <w:r w:rsidR="0070021A">
        <w:t>(Tr. 25.)</w:t>
      </w:r>
      <w:proofErr w:type="gramEnd"/>
      <w:r w:rsidR="0070021A">
        <w:t xml:space="preserve">  She had no income in 2010 (Tr. 95.), resulting in service termination on July 30, 2010 and an outstanding balance of $11,476.54.  </w:t>
      </w:r>
      <w:proofErr w:type="gramStart"/>
      <w:r w:rsidR="0070021A">
        <w:t>(Tr. 75.)</w:t>
      </w:r>
      <w:proofErr w:type="gramEnd"/>
      <w:r w:rsidR="0070021A">
        <w:t xml:space="preserve">  She also reinjured herself in 2011.  </w:t>
      </w:r>
      <w:proofErr w:type="gramStart"/>
      <w:r w:rsidR="0070021A">
        <w:t>(Tr. 26.)</w:t>
      </w:r>
      <w:proofErr w:type="gramEnd"/>
      <w:r w:rsidR="0070021A">
        <w:t xml:space="preserve">  After service was started again in November 2013, three medical certifications apparently prevented service termination.  </w:t>
      </w:r>
      <w:proofErr w:type="gramStart"/>
      <w:r w:rsidR="0070021A">
        <w:t>(Tr. 20; PECO Exhibit 15.)</w:t>
      </w:r>
      <w:proofErr w:type="gramEnd"/>
      <w:r w:rsidR="0070021A">
        <w:t xml:space="preserve">  </w:t>
      </w:r>
      <w:r w:rsidR="0070021A">
        <w:rPr>
          <w:rFonts w:eastAsia="Calibri"/>
          <w:color w:val="000000"/>
        </w:rPr>
        <w:t xml:space="preserve">The sole source of Ms. </w:t>
      </w:r>
      <w:proofErr w:type="spellStart"/>
      <w:r w:rsidR="0070021A">
        <w:rPr>
          <w:rFonts w:eastAsia="Calibri"/>
          <w:color w:val="000000"/>
        </w:rPr>
        <w:t>Trivelpiece’s</w:t>
      </w:r>
      <w:proofErr w:type="spellEnd"/>
      <w:r w:rsidR="0070021A">
        <w:rPr>
          <w:rFonts w:eastAsia="Calibri"/>
          <w:color w:val="000000"/>
        </w:rPr>
        <w:t xml:space="preserve"> income is a bi-weekly workers’ compensation benefit in in the amount of $573.16.  </w:t>
      </w:r>
      <w:proofErr w:type="gramStart"/>
      <w:r w:rsidR="0070021A">
        <w:t>(Tr. 26, 95.)</w:t>
      </w:r>
      <w:proofErr w:type="gramEnd"/>
      <w:r w:rsidR="0070021A">
        <w:t xml:space="preserve">  </w:t>
      </w:r>
      <w:r w:rsidR="0070021A">
        <w:rPr>
          <w:rFonts w:eastAsia="Calibri"/>
          <w:color w:val="000000"/>
        </w:rPr>
        <w:t xml:space="preserve">This benefit computes to a monthly income in the amount of $1,146.32.  She has a three-member household.  Based on her monthly income and household size, Ms. </w:t>
      </w:r>
      <w:proofErr w:type="spellStart"/>
      <w:r w:rsidR="0070021A">
        <w:rPr>
          <w:rFonts w:eastAsia="Calibri"/>
          <w:color w:val="000000"/>
        </w:rPr>
        <w:t>Trivelpiece</w:t>
      </w:r>
      <w:proofErr w:type="spellEnd"/>
      <w:r w:rsidR="0070021A">
        <w:rPr>
          <w:rFonts w:eastAsia="Calibri"/>
          <w:color w:val="000000"/>
        </w:rPr>
        <w:t xml:space="preserve"> is at Level 1 of the Federal Poverty Guidelines.  </w:t>
      </w:r>
      <w:r w:rsidR="0070021A">
        <w:t xml:space="preserve">Ms. </w:t>
      </w:r>
      <w:proofErr w:type="spellStart"/>
      <w:r w:rsidR="0070021A">
        <w:t>Trivelpiece</w:t>
      </w:r>
      <w:proofErr w:type="spellEnd"/>
      <w:r w:rsidR="0070021A">
        <w:t xml:space="preserve"> seeks a reasonable payment arrangement.</w:t>
      </w:r>
    </w:p>
    <w:p w:rsidR="005C51CA" w:rsidRDefault="005C51CA" w:rsidP="0070021A">
      <w:pPr>
        <w:autoSpaceDE w:val="0"/>
        <w:autoSpaceDN w:val="0"/>
        <w:adjustRightInd w:val="0"/>
        <w:spacing w:line="360" w:lineRule="auto"/>
      </w:pPr>
    </w:p>
    <w:p w:rsidR="0070021A" w:rsidRDefault="0070021A" w:rsidP="0070021A">
      <w:pPr>
        <w:keepNext/>
        <w:spacing w:line="360" w:lineRule="auto"/>
        <w:ind w:firstLine="1440"/>
      </w:pPr>
      <w:r>
        <w:t xml:space="preserve">Through the enactment of </w:t>
      </w:r>
      <w:r>
        <w:rPr>
          <w:color w:val="000000"/>
        </w:rPr>
        <w:t>the Responsible Utility Customer Protection Act,</w:t>
      </w:r>
      <w:r>
        <w:rPr>
          <w:color w:val="000000"/>
          <w:vertAlign w:val="superscript"/>
        </w:rPr>
        <w:footnoteReference w:id="11"/>
      </w:r>
      <w:r>
        <w:rPr>
          <w:color w:val="000000"/>
        </w:rPr>
        <w:t xml:space="preserve"> </w:t>
      </w:r>
      <w:r>
        <w:t xml:space="preserve">the General Assembly has declared as policy “that service remains available to all customers on reasonable terms and conditions.”  </w:t>
      </w:r>
      <w:proofErr w:type="gramStart"/>
      <w:r>
        <w:t>66 Pa.C.S.</w:t>
      </w:r>
      <w:proofErr w:type="gramEnd"/>
      <w:r>
        <w:t xml:space="preserve"> § 1402(3).  Additionally, the Commission has interpreted the Act as authorizing it to grant an applicant or customer at least one payment arrangement. </w:t>
      </w:r>
      <w:r>
        <w:rPr>
          <w:i/>
        </w:rPr>
        <w:t xml:space="preserve">George Crawford v. National Fuel Gas Distribution Corporation, </w:t>
      </w:r>
      <w:r>
        <w:t xml:space="preserve">C-20066348 (Opinion and Order entered August 30, 2007).  There is no evidence in the record that Ms. </w:t>
      </w:r>
      <w:proofErr w:type="spellStart"/>
      <w:r>
        <w:t>Trivelpiece</w:t>
      </w:r>
      <w:proofErr w:type="spellEnd"/>
      <w:r>
        <w:t xml:space="preserve"> has ever been granted a payment arrangement by the Commission.  </w:t>
      </w:r>
    </w:p>
    <w:p w:rsidR="0070021A" w:rsidRDefault="0070021A" w:rsidP="0070021A">
      <w:pPr>
        <w:keepNext/>
        <w:spacing w:line="360" w:lineRule="auto"/>
      </w:pPr>
      <w:r>
        <w:t xml:space="preserve">Importantly, Ms. </w:t>
      </w:r>
      <w:proofErr w:type="spellStart"/>
      <w:r>
        <w:t>Trivelpiece</w:t>
      </w:r>
      <w:proofErr w:type="spellEnd"/>
      <w:r>
        <w:t xml:space="preserve"> has demonstrated her good faith in paying her utility bill since September 2014.  See Table 1 above.  This occurred after PECO enrolled her in CAP on July 17, 2014.  Ms. </w:t>
      </w:r>
      <w:proofErr w:type="spellStart"/>
      <w:r>
        <w:t>Trivelpiece’s</w:t>
      </w:r>
      <w:proofErr w:type="spellEnd"/>
      <w:r>
        <w:t xml:space="preserve"> enrollment in CAP has the benefit of reducing her utility service charges.  However her enrollment in PECO’s CAP restricts the Commission from granting her a payment arrangement</w:t>
      </w:r>
    </w:p>
    <w:p w:rsidR="0070021A" w:rsidRDefault="0070021A" w:rsidP="0070021A">
      <w:pPr>
        <w:keepNext/>
        <w:spacing w:line="360" w:lineRule="auto"/>
      </w:pPr>
    </w:p>
    <w:p w:rsidR="0070021A" w:rsidRDefault="0070021A" w:rsidP="0070021A">
      <w:pPr>
        <w:spacing w:line="360" w:lineRule="auto"/>
        <w:ind w:firstLine="1440"/>
        <w:rPr>
          <w:rFonts w:eastAsia="Calibri"/>
        </w:rPr>
      </w:pPr>
      <w:r>
        <w:t xml:space="preserve">Section 1405 of the Code, </w:t>
      </w:r>
      <w:proofErr w:type="gramStart"/>
      <w:r>
        <w:t>66 Pa.C.S</w:t>
      </w:r>
      <w:proofErr w:type="gramEnd"/>
      <w:r>
        <w:t xml:space="preserve">. § 1405, </w:t>
      </w:r>
      <w:r>
        <w:rPr>
          <w:rFonts w:eastAsia="Calibri"/>
        </w:rPr>
        <w:t>concerning payment arrangements provides, in relevant part, as follows:</w:t>
      </w:r>
    </w:p>
    <w:p w:rsidR="0070021A" w:rsidRDefault="0070021A" w:rsidP="0070021A">
      <w:pPr>
        <w:spacing w:line="360" w:lineRule="auto"/>
        <w:ind w:firstLine="1440"/>
        <w:rPr>
          <w:rFonts w:eastAsia="Calibri"/>
        </w:rPr>
      </w:pPr>
      <w:bookmarkStart w:id="0" w:name="_GoBack"/>
      <w:bookmarkEnd w:id="0"/>
    </w:p>
    <w:p w:rsidR="0070021A" w:rsidRDefault="0070021A" w:rsidP="0070021A">
      <w:pPr>
        <w:ind w:left="1440" w:right="1080"/>
        <w:rPr>
          <w:rFonts w:eastAsia="Calibri"/>
        </w:rPr>
      </w:pPr>
      <w:r>
        <w:rPr>
          <w:rFonts w:eastAsia="Calibri"/>
        </w:rPr>
        <w:t xml:space="preserve">(a) </w:t>
      </w:r>
      <w:r>
        <w:rPr>
          <w:rFonts w:eastAsia="Calibri"/>
          <w:b/>
        </w:rPr>
        <w:t>General rule.</w:t>
      </w:r>
      <w:r>
        <w:rPr>
          <w:rFonts w:eastAsia="Calibri"/>
        </w:rPr>
        <w:t xml:space="preserve"> — . . . The commission is authorized to establish payment arrangements between a public utility, customers and </w:t>
      </w:r>
    </w:p>
    <w:p w:rsidR="0070021A" w:rsidRDefault="0070021A" w:rsidP="0070021A">
      <w:pPr>
        <w:ind w:left="1440" w:right="1080"/>
        <w:rPr>
          <w:rFonts w:eastAsia="Calibri"/>
        </w:rPr>
      </w:pPr>
      <w:proofErr w:type="gramStart"/>
      <w:r>
        <w:rPr>
          <w:rFonts w:eastAsia="Calibri"/>
        </w:rPr>
        <w:t>applicants</w:t>
      </w:r>
      <w:proofErr w:type="gramEnd"/>
      <w:r>
        <w:rPr>
          <w:rFonts w:eastAsia="Calibri"/>
        </w:rPr>
        <w:t xml:space="preserve"> with the time limits established by this chapter.</w:t>
      </w:r>
    </w:p>
    <w:p w:rsidR="0070021A" w:rsidRDefault="0070021A" w:rsidP="0070021A">
      <w:pPr>
        <w:ind w:left="1440" w:right="1080"/>
        <w:rPr>
          <w:rFonts w:eastAsia="Calibri"/>
        </w:rPr>
      </w:pPr>
      <w:r>
        <w:rPr>
          <w:rFonts w:eastAsia="Calibri"/>
        </w:rPr>
        <w:t xml:space="preserve"> </w:t>
      </w:r>
    </w:p>
    <w:p w:rsidR="0070021A" w:rsidRDefault="0070021A" w:rsidP="0070021A">
      <w:pPr>
        <w:spacing w:before="120"/>
        <w:ind w:left="1440" w:right="1080"/>
        <w:rPr>
          <w:rFonts w:eastAsiaTheme="minorEastAsia"/>
        </w:rPr>
      </w:pPr>
      <w:r>
        <w:t xml:space="preserve"> </w:t>
      </w:r>
      <w:r>
        <w:rPr>
          <w:rFonts w:eastAsiaTheme="minorEastAsia"/>
        </w:rPr>
        <w:t xml:space="preserve">(b) </w:t>
      </w:r>
      <w:r>
        <w:rPr>
          <w:rFonts w:eastAsiaTheme="minorEastAsia"/>
          <w:b/>
        </w:rPr>
        <w:t>Length of payment arrangements. —</w:t>
      </w:r>
      <w:r>
        <w:rPr>
          <w:rFonts w:eastAsiaTheme="minorEastAsia"/>
        </w:rPr>
        <w:t xml:space="preserve"> The length of time for a customer to resolve an unpaid balance on an account that is subject to a payment arrangement that is investigated by the commission and is entered into by a public utility and a customer shall not extend beyond:</w:t>
      </w:r>
    </w:p>
    <w:p w:rsidR="0070021A" w:rsidRDefault="0070021A" w:rsidP="0070021A">
      <w:pPr>
        <w:autoSpaceDE w:val="0"/>
        <w:autoSpaceDN w:val="0"/>
        <w:adjustRightInd w:val="0"/>
        <w:ind w:right="1080" w:firstLine="1440"/>
        <w:rPr>
          <w:rFonts w:eastAsiaTheme="minorEastAsia"/>
        </w:rPr>
      </w:pPr>
    </w:p>
    <w:p w:rsidR="0070021A" w:rsidRDefault="0070021A" w:rsidP="0070021A">
      <w:pPr>
        <w:autoSpaceDE w:val="0"/>
        <w:autoSpaceDN w:val="0"/>
        <w:adjustRightInd w:val="0"/>
        <w:spacing w:before="120"/>
        <w:ind w:right="1080" w:firstLine="1440"/>
        <w:rPr>
          <w:rFonts w:eastAsiaTheme="minorEastAsia"/>
        </w:rPr>
      </w:pPr>
      <w:r>
        <w:rPr>
          <w:rFonts w:eastAsiaTheme="minorEastAsia"/>
        </w:rPr>
        <w:t>* * *</w:t>
      </w:r>
    </w:p>
    <w:p w:rsidR="0070021A" w:rsidRDefault="0070021A" w:rsidP="0070021A">
      <w:pPr>
        <w:autoSpaceDE w:val="0"/>
        <w:autoSpaceDN w:val="0"/>
        <w:adjustRightInd w:val="0"/>
        <w:ind w:left="1440" w:right="1080"/>
        <w:rPr>
          <w:rFonts w:eastAsiaTheme="minorEastAsia"/>
        </w:rPr>
      </w:pPr>
    </w:p>
    <w:p w:rsidR="0070021A" w:rsidRDefault="0070021A" w:rsidP="0070021A">
      <w:pPr>
        <w:autoSpaceDE w:val="0"/>
        <w:autoSpaceDN w:val="0"/>
        <w:adjustRightInd w:val="0"/>
        <w:ind w:left="1440" w:right="1080"/>
        <w:rPr>
          <w:rFonts w:eastAsiaTheme="minorEastAsia"/>
        </w:rPr>
      </w:pPr>
      <w:r>
        <w:rPr>
          <w:rFonts w:eastAsiaTheme="minorEastAsia"/>
        </w:rPr>
        <w:tab/>
        <w:t>(1) Five years for customers with a gross monthly household income level not exceeding 150% of the Federal poverty level.</w:t>
      </w:r>
      <w:r>
        <w:rPr>
          <w:vertAlign w:val="superscript"/>
        </w:rPr>
        <w:footnoteReference w:id="12"/>
      </w:r>
    </w:p>
    <w:p w:rsidR="0070021A" w:rsidRDefault="0070021A" w:rsidP="0070021A">
      <w:pPr>
        <w:autoSpaceDE w:val="0"/>
        <w:autoSpaceDN w:val="0"/>
        <w:adjustRightInd w:val="0"/>
        <w:ind w:left="1440" w:right="1080"/>
        <w:rPr>
          <w:rFonts w:eastAsiaTheme="minorEastAsia"/>
        </w:rPr>
      </w:pPr>
      <w:r>
        <w:rPr>
          <w:rFonts w:eastAsiaTheme="minorEastAsia"/>
        </w:rPr>
        <w:t>* * *</w:t>
      </w:r>
    </w:p>
    <w:p w:rsidR="0070021A" w:rsidRDefault="0070021A" w:rsidP="0070021A">
      <w:pPr>
        <w:autoSpaceDE w:val="0"/>
        <w:autoSpaceDN w:val="0"/>
        <w:adjustRightInd w:val="0"/>
        <w:spacing w:before="120"/>
        <w:ind w:left="1440" w:right="1080"/>
        <w:rPr>
          <w:rFonts w:eastAsiaTheme="minorEastAsia"/>
        </w:rPr>
      </w:pPr>
      <w:r>
        <w:rPr>
          <w:rFonts w:eastAsiaTheme="minorEastAsia"/>
        </w:rPr>
        <w:t xml:space="preserve">(c) </w:t>
      </w:r>
      <w:r>
        <w:rPr>
          <w:rFonts w:eastAsiaTheme="minorEastAsia"/>
          <w:b/>
        </w:rPr>
        <w:t>Customer assistance programs</w:t>
      </w:r>
      <w:r>
        <w:rPr>
          <w:rFonts w:eastAsiaTheme="minorEastAsia"/>
        </w:rPr>
        <w:t>. — Customer assistance program rates shall be timely paid and shall not be the subject of payment arrangements negotiated or approved by the commission.</w:t>
      </w:r>
    </w:p>
    <w:p w:rsidR="0070021A" w:rsidRDefault="0070021A" w:rsidP="0070021A">
      <w:pPr>
        <w:keepNext/>
        <w:spacing w:line="360" w:lineRule="auto"/>
      </w:pPr>
    </w:p>
    <w:p w:rsidR="0070021A" w:rsidRDefault="0070021A" w:rsidP="0070021A">
      <w:pPr>
        <w:keepNext/>
        <w:spacing w:line="360" w:lineRule="auto"/>
      </w:pPr>
      <w:r>
        <w:tab/>
      </w:r>
      <w:r>
        <w:tab/>
        <w:t xml:space="preserve">When Ms. </w:t>
      </w:r>
      <w:proofErr w:type="spellStart"/>
      <w:r>
        <w:t>Trivelpiece</w:t>
      </w:r>
      <w:proofErr w:type="spellEnd"/>
      <w:r>
        <w:t xml:space="preserve"> enrolled in CAP on July 17, 2014, all of her arrearages and current charges came under CAP.  In accordance with Section 1405(c), the Commission may not subject a payment arrangement to CAP rates.  Therefore, Ms. </w:t>
      </w:r>
      <w:proofErr w:type="spellStart"/>
      <w:r>
        <w:t>Trivelpiece’s</w:t>
      </w:r>
      <w:proofErr w:type="spellEnd"/>
      <w:r>
        <w:t xml:space="preserve"> request for a Commission ordered payment arrangement must be denied. </w:t>
      </w:r>
    </w:p>
    <w:p w:rsidR="0070021A" w:rsidRDefault="0070021A" w:rsidP="0070021A">
      <w:pPr>
        <w:keepNext/>
        <w:spacing w:line="360" w:lineRule="auto"/>
      </w:pPr>
    </w:p>
    <w:p w:rsidR="0070021A" w:rsidRDefault="0070021A" w:rsidP="0070021A">
      <w:pPr>
        <w:keepNext/>
        <w:spacing w:line="360" w:lineRule="auto"/>
      </w:pPr>
      <w:r>
        <w:tab/>
      </w:r>
      <w:r>
        <w:tab/>
        <w:t xml:space="preserve">However, Ms. </w:t>
      </w:r>
      <w:proofErr w:type="spellStart"/>
      <w:r>
        <w:t>Trivelpiece’s</w:t>
      </w:r>
      <w:proofErr w:type="spellEnd"/>
      <w:r>
        <w:t xml:space="preserve"> enrollment in CAP does not mean that PECO may circumvent the Commission’s regulations by including in the CAP charges that </w:t>
      </w:r>
      <w:r w:rsidR="00A350C6">
        <w:t>are</w:t>
      </w:r>
      <w:r>
        <w:t xml:space="preserve"> more than four years old.  As discussed above the Commission is authorized to remove </w:t>
      </w:r>
      <w:r w:rsidR="00612347">
        <w:t xml:space="preserve">from consideration </w:t>
      </w:r>
      <w:r>
        <w:t xml:space="preserve">charges accruing more than four years ago. </w:t>
      </w:r>
      <w:r>
        <w:tab/>
      </w:r>
    </w:p>
    <w:p w:rsidR="0070021A" w:rsidRDefault="0070021A" w:rsidP="0070021A">
      <w:pPr>
        <w:spacing w:line="360" w:lineRule="auto"/>
      </w:pPr>
    </w:p>
    <w:p w:rsidR="00953824" w:rsidRDefault="00953824" w:rsidP="0070021A">
      <w:pPr>
        <w:spacing w:line="360" w:lineRule="auto"/>
      </w:pPr>
    </w:p>
    <w:p w:rsidR="00953824" w:rsidRDefault="00953824" w:rsidP="0070021A">
      <w:pPr>
        <w:spacing w:line="360" w:lineRule="auto"/>
      </w:pPr>
    </w:p>
    <w:p w:rsidR="00953824" w:rsidRDefault="00953824" w:rsidP="0070021A">
      <w:pPr>
        <w:spacing w:line="360" w:lineRule="auto"/>
      </w:pPr>
    </w:p>
    <w:p w:rsidR="008454FA" w:rsidRPr="008454FA" w:rsidRDefault="008454FA" w:rsidP="008454FA">
      <w:pPr>
        <w:autoSpaceDE w:val="0"/>
        <w:autoSpaceDN w:val="0"/>
        <w:spacing w:line="360" w:lineRule="auto"/>
        <w:rPr>
          <w:u w:val="single"/>
        </w:rPr>
      </w:pPr>
      <w:r w:rsidRPr="008454FA">
        <w:rPr>
          <w:u w:val="single"/>
        </w:rPr>
        <w:t>Civil Penalties</w:t>
      </w:r>
    </w:p>
    <w:p w:rsidR="008454FA" w:rsidRPr="008454FA" w:rsidRDefault="008454FA" w:rsidP="008454FA">
      <w:pPr>
        <w:autoSpaceDE w:val="0"/>
        <w:autoSpaceDN w:val="0"/>
        <w:spacing w:line="360" w:lineRule="auto"/>
      </w:pPr>
    </w:p>
    <w:p w:rsidR="008454FA" w:rsidRPr="008454FA" w:rsidRDefault="008454FA" w:rsidP="008454FA">
      <w:pPr>
        <w:tabs>
          <w:tab w:val="left" w:pos="0"/>
        </w:tabs>
        <w:autoSpaceDE w:val="0"/>
        <w:autoSpaceDN w:val="0"/>
        <w:spacing w:line="360" w:lineRule="auto"/>
      </w:pPr>
      <w:r w:rsidRPr="008454FA">
        <w:tab/>
      </w:r>
      <w:r w:rsidRPr="008454FA">
        <w:tab/>
        <w:t xml:space="preserve">Ms. </w:t>
      </w:r>
      <w:proofErr w:type="spellStart"/>
      <w:r w:rsidRPr="008454FA">
        <w:t>Trivelpiece</w:t>
      </w:r>
      <w:proofErr w:type="spellEnd"/>
      <w:r w:rsidRPr="008454FA">
        <w:t xml:space="preserve"> carried her burden of proof in establishing </w:t>
      </w:r>
      <w:r w:rsidR="005C51CA" w:rsidRPr="008454FA">
        <w:t>that PECO</w:t>
      </w:r>
      <w:r w:rsidRPr="008454FA">
        <w:t xml:space="preserve"> violated the Public Utility Code</w:t>
      </w:r>
      <w:r w:rsidR="005C51CA">
        <w:t xml:space="preserve"> and the Commission’s regulations</w:t>
      </w:r>
      <w:r w:rsidRPr="008454FA">
        <w:t xml:space="preserve">.  The Company did not present any evidence rebutting her prima facie case.  Therefore, penalties must be addressed.  </w:t>
      </w:r>
      <w:proofErr w:type="gramStart"/>
      <w:r w:rsidRPr="008454FA">
        <w:t>Pursuant to Section 3301 of the Code, 66 Pa.C.S.</w:t>
      </w:r>
      <w:proofErr w:type="gramEnd"/>
      <w:r w:rsidRPr="008454FA">
        <w:t xml:space="preserve"> § 3301, the Commission may impose a maximum civil penalty of $1,000 per day for each violation of the Code, its regulations or its orders.  However, certain standards apply when imposing a civil penalty.  </w:t>
      </w:r>
      <w:r w:rsidRPr="008454FA">
        <w:rPr>
          <w:i/>
        </w:rPr>
        <w:t>Joseph A.</w:t>
      </w:r>
      <w:r w:rsidRPr="008454FA">
        <w:t xml:space="preserve"> </w:t>
      </w:r>
      <w:proofErr w:type="spellStart"/>
      <w:r w:rsidRPr="008454FA">
        <w:rPr>
          <w:i/>
        </w:rPr>
        <w:t>Rosi</w:t>
      </w:r>
      <w:proofErr w:type="spellEnd"/>
      <w:r w:rsidRPr="008454FA">
        <w:rPr>
          <w:i/>
        </w:rPr>
        <w:t xml:space="preserve"> v. Bell Atlantic-Pa., Inc.</w:t>
      </w:r>
      <w:r w:rsidRPr="008454FA">
        <w:t xml:space="preserve">, 94 PUC 103 (February 10, 2000).  </w:t>
      </w:r>
    </w:p>
    <w:p w:rsidR="008454FA" w:rsidRPr="008454FA" w:rsidRDefault="008454FA" w:rsidP="008454FA">
      <w:pPr>
        <w:tabs>
          <w:tab w:val="left" w:pos="0"/>
        </w:tabs>
        <w:autoSpaceDE w:val="0"/>
        <w:autoSpaceDN w:val="0"/>
        <w:spacing w:line="360" w:lineRule="auto"/>
      </w:pPr>
    </w:p>
    <w:p w:rsidR="008454FA" w:rsidRPr="008454FA" w:rsidRDefault="008454FA" w:rsidP="008454FA">
      <w:pPr>
        <w:tabs>
          <w:tab w:val="left" w:pos="0"/>
        </w:tabs>
        <w:autoSpaceDE w:val="0"/>
        <w:autoSpaceDN w:val="0"/>
        <w:spacing w:line="360" w:lineRule="auto"/>
      </w:pPr>
      <w:r w:rsidRPr="008454FA">
        <w:tab/>
      </w:r>
      <w:r w:rsidRPr="008454FA">
        <w:tab/>
        <w:t xml:space="preserve">The </w:t>
      </w:r>
      <w:proofErr w:type="spellStart"/>
      <w:r w:rsidRPr="008454FA">
        <w:rPr>
          <w:i/>
        </w:rPr>
        <w:t>Rosi</w:t>
      </w:r>
      <w:proofErr w:type="spellEnd"/>
      <w:r w:rsidRPr="008454FA">
        <w:rPr>
          <w:i/>
        </w:rPr>
        <w:t xml:space="preserve"> </w:t>
      </w:r>
      <w:r w:rsidRPr="008454FA">
        <w:t xml:space="preserve">factors are generic in nature and apply to all violations of the Public Utility Code, as well as Commission regulations and orders, regardless of utility type.  </w:t>
      </w:r>
      <w:r w:rsidRPr="008454FA">
        <w:rPr>
          <w:i/>
        </w:rPr>
        <w:t>Pa. Pub. Util. Comm’n v. NCIC Operator Services</w:t>
      </w:r>
      <w:r w:rsidRPr="008454FA">
        <w:t>, Docket No. M</w:t>
      </w:r>
      <w:r w:rsidRPr="008454FA">
        <w:noBreakHyphen/>
        <w:t xml:space="preserve">00001440 (Order entered December 21, 2000).  The factors and standards first articulated by the Commission in </w:t>
      </w:r>
      <w:proofErr w:type="spellStart"/>
      <w:r w:rsidRPr="008454FA">
        <w:rPr>
          <w:i/>
        </w:rPr>
        <w:t>Rosi</w:t>
      </w:r>
      <w:proofErr w:type="spellEnd"/>
      <w:r w:rsidRPr="008454FA">
        <w:t xml:space="preserve"> were published as Policy Statements and Guidelines.  </w:t>
      </w:r>
      <w:r w:rsidRPr="008454FA">
        <w:rPr>
          <w:i/>
        </w:rPr>
        <w:t>See</w:t>
      </w:r>
      <w:r w:rsidRPr="008454FA">
        <w:t xml:space="preserve"> 52 Pa.Code § 69.1201.  Section 69.1201 applies to both litigated and settled cases involving the calculation of civil penalties.  Section 69.201 in part, provides as follows:</w:t>
      </w:r>
    </w:p>
    <w:p w:rsidR="008454FA" w:rsidRPr="008454FA" w:rsidRDefault="008454FA" w:rsidP="008454FA">
      <w:pPr>
        <w:ind w:left="1440" w:right="1440"/>
      </w:pPr>
      <w:bookmarkStart w:id="1" w:name="69.1201."/>
    </w:p>
    <w:p w:rsidR="008454FA" w:rsidRPr="008454FA" w:rsidRDefault="008454FA" w:rsidP="008454FA">
      <w:pPr>
        <w:ind w:left="1440" w:right="1440"/>
      </w:pPr>
      <w:r w:rsidRPr="008454FA">
        <w:t>(a)  The Commission will consider specific factors and standards in evaluating litigated and settled cases involving violations of 66 Pa.C.S. (</w:t>
      </w:r>
      <w:proofErr w:type="gramStart"/>
      <w:r w:rsidRPr="008454FA">
        <w:t>relating</w:t>
      </w:r>
      <w:proofErr w:type="gramEnd"/>
      <w:r w:rsidRPr="008454FA">
        <w:t xml:space="preserve"> to Public Utility Code) and this title.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8454FA" w:rsidRPr="008454FA" w:rsidRDefault="008454FA" w:rsidP="008454FA">
      <w:pPr>
        <w:ind w:left="1440" w:right="1440"/>
      </w:pPr>
    </w:p>
    <w:p w:rsidR="008454FA" w:rsidRPr="008454FA" w:rsidRDefault="008454FA" w:rsidP="008454FA">
      <w:pPr>
        <w:ind w:left="1440" w:right="1440"/>
      </w:pPr>
      <w:r w:rsidRPr="008454FA">
        <w:t>(b)  Many of the same factors and standards may be considered in the evaluation of both litigated and settled cases.  When applied in settled cases, these factors and standards will not be applied in as strict a fashion as in a litigated proceeding. ….</w:t>
      </w:r>
    </w:p>
    <w:p w:rsidR="008454FA" w:rsidRPr="008454FA" w:rsidRDefault="008454FA" w:rsidP="008454FA">
      <w:pPr>
        <w:ind w:left="1440" w:right="1440"/>
      </w:pPr>
    </w:p>
    <w:p w:rsidR="008454FA" w:rsidRPr="008454FA" w:rsidRDefault="008454FA" w:rsidP="008454FA">
      <w:pPr>
        <w:ind w:left="1440" w:right="1440"/>
      </w:pPr>
      <w:r w:rsidRPr="008454FA">
        <w:t xml:space="preserve">(c)  The factors and standards that will be considered by the Commission include the following: </w:t>
      </w:r>
    </w:p>
    <w:p w:rsidR="008454FA" w:rsidRPr="008454FA" w:rsidRDefault="008454FA" w:rsidP="008454FA">
      <w:pPr>
        <w:ind w:left="1440" w:right="1440"/>
      </w:pPr>
    </w:p>
    <w:p w:rsidR="008454FA" w:rsidRPr="008454FA" w:rsidRDefault="008454FA" w:rsidP="008454FA">
      <w:pPr>
        <w:ind w:left="2160" w:right="1440"/>
      </w:pPr>
      <w:r w:rsidRPr="008454FA">
        <w:t>(1)  Whether the conduct at issue was of a serious nature. When conduct of a serious nature is involved, such as willful fraud or misrepresentation, the conduct may warrant a higher penalty.</w:t>
      </w:r>
      <w:r w:rsidR="002539B4">
        <w:t xml:space="preserve"> </w:t>
      </w:r>
      <w:r w:rsidRPr="008454FA">
        <w:t xml:space="preserve"> When the conduct is less egregious, such as administrative filing or technical errors, it may warrant a lower penalty. </w:t>
      </w:r>
    </w:p>
    <w:p w:rsidR="008454FA" w:rsidRPr="008454FA" w:rsidRDefault="008454FA" w:rsidP="008454FA">
      <w:pPr>
        <w:ind w:left="2160" w:right="1440"/>
      </w:pPr>
    </w:p>
    <w:p w:rsidR="008454FA" w:rsidRPr="008454FA" w:rsidRDefault="008454FA" w:rsidP="008454FA">
      <w:pPr>
        <w:ind w:left="2160" w:right="1440"/>
      </w:pPr>
      <w:r w:rsidRPr="008454FA">
        <w:t xml:space="preserve">(2)  Whether the resulting consequences of the conduct at issue were of a serious nature. </w:t>
      </w:r>
      <w:r w:rsidR="002539B4">
        <w:t xml:space="preserve"> </w:t>
      </w:r>
      <w:r w:rsidRPr="008454FA">
        <w:t xml:space="preserve">When consequences of a serious nature are involved, such as personal injury or property damage, the consequences may warrant a higher penalty. </w:t>
      </w:r>
    </w:p>
    <w:p w:rsidR="008454FA" w:rsidRPr="008454FA" w:rsidRDefault="008454FA" w:rsidP="008454FA">
      <w:pPr>
        <w:ind w:left="2160" w:right="1440"/>
      </w:pPr>
    </w:p>
    <w:p w:rsidR="008454FA" w:rsidRPr="008454FA" w:rsidRDefault="008454FA" w:rsidP="008454FA">
      <w:pPr>
        <w:ind w:left="2160" w:right="1440"/>
      </w:pPr>
      <w:r w:rsidRPr="008454FA">
        <w:t>(3)  Whether the conduct at issue was deemed intentional or negligent.</w:t>
      </w:r>
      <w:r w:rsidR="002539B4">
        <w:t xml:space="preserve">  </w:t>
      </w:r>
      <w:r w:rsidRPr="008454FA">
        <w:t>This factor may only be considered in evaluating litigated cases.</w:t>
      </w:r>
      <w:r w:rsidR="002539B4">
        <w:t xml:space="preserve"> </w:t>
      </w:r>
      <w:r w:rsidRPr="008454FA">
        <w:t xml:space="preserve"> When conduct has been deemed intentional, the conduct may result in a higher penalty. </w:t>
      </w:r>
    </w:p>
    <w:p w:rsidR="008454FA" w:rsidRPr="008454FA" w:rsidRDefault="008454FA" w:rsidP="008454FA">
      <w:pPr>
        <w:ind w:left="2160" w:right="1440"/>
      </w:pPr>
    </w:p>
    <w:p w:rsidR="008454FA" w:rsidRPr="008454FA" w:rsidRDefault="008454FA" w:rsidP="00710E83">
      <w:pPr>
        <w:ind w:left="2160" w:right="1440"/>
      </w:pPr>
      <w:r w:rsidRPr="008454FA">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8454FA" w:rsidRPr="008454FA" w:rsidRDefault="008454FA" w:rsidP="00710E83">
      <w:pPr>
        <w:ind w:left="2160" w:right="1440"/>
      </w:pPr>
      <w:r w:rsidRPr="008454FA">
        <w:t xml:space="preserve"> </w:t>
      </w:r>
    </w:p>
    <w:p w:rsidR="008454FA" w:rsidRDefault="008454FA" w:rsidP="00710E83">
      <w:pPr>
        <w:ind w:left="2160" w:right="1440"/>
      </w:pPr>
      <w:r w:rsidRPr="008454FA">
        <w:t xml:space="preserve">(5)  The number of customers affected and the duration of the violation. </w:t>
      </w:r>
    </w:p>
    <w:p w:rsidR="001D4099" w:rsidRPr="008454FA" w:rsidRDefault="001D4099" w:rsidP="00710E83">
      <w:pPr>
        <w:ind w:left="2160" w:right="1440"/>
      </w:pPr>
    </w:p>
    <w:p w:rsidR="008454FA" w:rsidRPr="008454FA" w:rsidRDefault="008454FA" w:rsidP="00710E83">
      <w:pPr>
        <w:ind w:left="2160" w:right="1440"/>
      </w:pPr>
      <w:r w:rsidRPr="008454FA">
        <w:t xml:space="preserve">(6)  The compliance history of the regulated entity which committed the violation.  An isolated incident from an otherwise compliant utility may result in a lower penalty, whereas frequent, recurrent violations by a utility may result in a higher penalty. </w:t>
      </w:r>
    </w:p>
    <w:p w:rsidR="008454FA" w:rsidRPr="008454FA" w:rsidRDefault="008454FA" w:rsidP="00710E83">
      <w:pPr>
        <w:ind w:left="2160" w:right="1440"/>
      </w:pPr>
    </w:p>
    <w:p w:rsidR="008454FA" w:rsidRPr="008454FA" w:rsidRDefault="008454FA" w:rsidP="00710E83">
      <w:pPr>
        <w:ind w:left="2160" w:right="1440"/>
      </w:pPr>
      <w:r w:rsidRPr="008454FA">
        <w:t xml:space="preserve">(7)  Whether the regulated entity cooperated with the Commission’s investigation.  Facts establishing bad faith, active concealment of violations, or attempts to interfere with Commission investigations may result in a higher penalty. </w:t>
      </w:r>
    </w:p>
    <w:p w:rsidR="008454FA" w:rsidRPr="008454FA" w:rsidRDefault="008454FA" w:rsidP="00710E83">
      <w:pPr>
        <w:ind w:left="2160" w:right="1440"/>
      </w:pPr>
    </w:p>
    <w:p w:rsidR="008454FA" w:rsidRPr="008454FA" w:rsidRDefault="008454FA" w:rsidP="00710E83">
      <w:pPr>
        <w:ind w:left="2160" w:right="1440"/>
      </w:pPr>
      <w:r w:rsidRPr="008454FA">
        <w:t xml:space="preserve">(8)  The amount of the civil penalty or fine necessary to deter future violations.  The size of the utility may be considered to determine an appropriate penalty amount. </w:t>
      </w:r>
    </w:p>
    <w:p w:rsidR="008454FA" w:rsidRPr="008454FA" w:rsidRDefault="008454FA" w:rsidP="00710E83">
      <w:pPr>
        <w:ind w:left="2160" w:right="1440"/>
      </w:pPr>
    </w:p>
    <w:p w:rsidR="00536920" w:rsidRDefault="008454FA" w:rsidP="00710E83">
      <w:pPr>
        <w:ind w:left="1440" w:right="1440"/>
      </w:pPr>
      <w:r w:rsidRPr="008454FA">
        <w:t>   </w:t>
      </w:r>
      <w:r w:rsidRPr="008454FA">
        <w:tab/>
        <w:t xml:space="preserve">(9)  Past Commission decisions in similar situations. </w:t>
      </w:r>
      <w:r w:rsidR="00536920">
        <w:br w:type="page"/>
      </w:r>
    </w:p>
    <w:p w:rsidR="008454FA" w:rsidRDefault="008454FA" w:rsidP="00710E83">
      <w:pPr>
        <w:ind w:left="1440" w:right="1440"/>
      </w:pPr>
      <w:r w:rsidRPr="008454FA">
        <w:t>   </w:t>
      </w:r>
      <w:r w:rsidRPr="008454FA">
        <w:tab/>
        <w:t>(10)  Other relevant factors.</w:t>
      </w:r>
      <w:bookmarkEnd w:id="1"/>
    </w:p>
    <w:p w:rsidR="0021753D" w:rsidRPr="008454FA" w:rsidRDefault="0021753D" w:rsidP="00710E83">
      <w:pPr>
        <w:ind w:left="1440" w:right="1440"/>
      </w:pPr>
    </w:p>
    <w:p w:rsidR="008454FA" w:rsidRDefault="008454FA" w:rsidP="00710E83">
      <w:pPr>
        <w:spacing w:line="360" w:lineRule="auto"/>
      </w:pPr>
      <w:proofErr w:type="gramStart"/>
      <w:r w:rsidRPr="008454FA">
        <w:t>52 Pa.Code § 69.1201.</w:t>
      </w:r>
      <w:proofErr w:type="gramEnd"/>
    </w:p>
    <w:p w:rsidR="00FB2FCC" w:rsidRDefault="00FB2FCC" w:rsidP="00710E83">
      <w:pPr>
        <w:spacing w:line="360" w:lineRule="auto"/>
      </w:pPr>
    </w:p>
    <w:p w:rsidR="00FB2FCC" w:rsidRPr="00FB2FCC" w:rsidRDefault="001D4099" w:rsidP="00710E83">
      <w:pPr>
        <w:tabs>
          <w:tab w:val="left" w:pos="1440"/>
        </w:tabs>
        <w:autoSpaceDE w:val="0"/>
        <w:autoSpaceDN w:val="0"/>
        <w:spacing w:line="360" w:lineRule="auto"/>
      </w:pPr>
      <w:r>
        <w:tab/>
      </w:r>
      <w:r w:rsidR="00FB2FCC" w:rsidRPr="00FB2FCC">
        <w:t xml:space="preserve">In the instant case, the evidence demonstrates Respondent failed to provide reasonable service to Complainant as required by Section 1501 of the Code in the following aspects:  </w:t>
      </w:r>
    </w:p>
    <w:p w:rsidR="00FB2FCC" w:rsidRPr="00FB2FCC" w:rsidRDefault="00FB2FCC" w:rsidP="00710E83">
      <w:pPr>
        <w:autoSpaceDE w:val="0"/>
        <w:autoSpaceDN w:val="0"/>
      </w:pPr>
    </w:p>
    <w:p w:rsidR="00FB2FCC" w:rsidRPr="00FB2FCC" w:rsidRDefault="00FB2FCC" w:rsidP="00710E83">
      <w:pPr>
        <w:autoSpaceDE w:val="0"/>
        <w:autoSpaceDN w:val="0"/>
        <w:ind w:left="2160" w:hanging="720"/>
      </w:pPr>
      <w:r w:rsidRPr="00FB2FCC">
        <w:t xml:space="preserve">1) </w:t>
      </w:r>
      <w:r w:rsidRPr="00FB2FCC">
        <w:tab/>
        <w:t xml:space="preserve">PECO failed to process Complainant’s 2013 application for service in a timely manner. </w:t>
      </w:r>
    </w:p>
    <w:p w:rsidR="00FB2FCC" w:rsidRPr="00FB2FCC" w:rsidRDefault="00FB2FCC" w:rsidP="00710E83">
      <w:pPr>
        <w:autoSpaceDE w:val="0"/>
        <w:autoSpaceDN w:val="0"/>
        <w:ind w:left="1440"/>
      </w:pPr>
    </w:p>
    <w:p w:rsidR="00FB2FCC" w:rsidRPr="00FB2FCC" w:rsidRDefault="00FB2FCC" w:rsidP="00710E83">
      <w:pPr>
        <w:autoSpaceDE w:val="0"/>
        <w:autoSpaceDN w:val="0"/>
        <w:ind w:left="2160" w:hanging="720"/>
      </w:pPr>
      <w:r w:rsidRPr="00FB2FCC">
        <w:t>2)</w:t>
      </w:r>
      <w:r w:rsidRPr="00FB2FCC">
        <w:tab/>
        <w:t xml:space="preserve">PECO failed to initiate Complainant’s service at Aspen Avenue in a timely manner. </w:t>
      </w:r>
    </w:p>
    <w:p w:rsidR="00FB2FCC" w:rsidRPr="00FB2FCC" w:rsidRDefault="00FB2FCC" w:rsidP="00710E83">
      <w:pPr>
        <w:autoSpaceDE w:val="0"/>
        <w:autoSpaceDN w:val="0"/>
        <w:ind w:firstLine="1440"/>
      </w:pPr>
    </w:p>
    <w:p w:rsidR="00FB2FCC" w:rsidRPr="00FB2FCC" w:rsidRDefault="00FB2FCC" w:rsidP="00710E83">
      <w:pPr>
        <w:autoSpaceDE w:val="0"/>
        <w:autoSpaceDN w:val="0"/>
        <w:ind w:left="2160" w:hanging="720"/>
      </w:pPr>
      <w:r w:rsidRPr="00FB2FCC">
        <w:t>3)</w:t>
      </w:r>
      <w:r w:rsidRPr="00FB2FCC">
        <w:tab/>
        <w:t xml:space="preserve">PECO improperly included in Complainant’s PAR charges that had accrued more than four years ago as a condition of providing service to her.  </w:t>
      </w:r>
    </w:p>
    <w:p w:rsidR="00FB2FCC" w:rsidRDefault="00FB2FCC" w:rsidP="00710E83">
      <w:pPr>
        <w:autoSpaceDE w:val="0"/>
        <w:autoSpaceDN w:val="0"/>
        <w:ind w:left="2160" w:hanging="720"/>
      </w:pPr>
      <w:r w:rsidRPr="00FB2FCC">
        <w:t>4)</w:t>
      </w:r>
      <w:r w:rsidRPr="00FB2FCC">
        <w:tab/>
        <w:t xml:space="preserve">PECO improperly included in Complainant’s PAR late payment charges based upon charges that that had accrued more than four years ago. </w:t>
      </w:r>
    </w:p>
    <w:p w:rsidR="0050441B" w:rsidRPr="00FB2FCC" w:rsidRDefault="0050441B" w:rsidP="00710E83">
      <w:pPr>
        <w:autoSpaceDE w:val="0"/>
        <w:autoSpaceDN w:val="0"/>
        <w:ind w:left="2160" w:hanging="720"/>
      </w:pPr>
    </w:p>
    <w:p w:rsidR="00FB2FCC" w:rsidRPr="00FB2FCC" w:rsidRDefault="00FB2FCC" w:rsidP="00710E83">
      <w:pPr>
        <w:autoSpaceDE w:val="0"/>
        <w:autoSpaceDN w:val="0"/>
        <w:ind w:left="2160" w:hanging="720"/>
      </w:pPr>
      <w:r w:rsidRPr="00FB2FCC">
        <w:t>5)</w:t>
      </w:r>
      <w:r w:rsidRPr="00FB2FCC">
        <w:tab/>
        <w:t>PECO failed to conduct a full investigation of Complainant’s high usage dispute.</w:t>
      </w:r>
    </w:p>
    <w:p w:rsidR="00FB2FCC" w:rsidRPr="00FB2FCC" w:rsidRDefault="00FB2FCC" w:rsidP="00710E83">
      <w:pPr>
        <w:autoSpaceDE w:val="0"/>
        <w:autoSpaceDN w:val="0"/>
        <w:ind w:left="2160" w:hanging="720"/>
      </w:pPr>
    </w:p>
    <w:p w:rsidR="00FB2FCC" w:rsidRDefault="00FB2FCC" w:rsidP="00710E83">
      <w:pPr>
        <w:autoSpaceDE w:val="0"/>
        <w:autoSpaceDN w:val="0"/>
        <w:ind w:left="2160" w:hanging="720"/>
      </w:pPr>
      <w:r w:rsidRPr="00FB2FCC">
        <w:t>6)</w:t>
      </w:r>
      <w:r w:rsidRPr="00FB2FCC">
        <w:tab/>
        <w:t>PECO failed to provide a timely explanation of Complainant’s billing charges, i.e., reinstate bad debt service charges.</w:t>
      </w:r>
    </w:p>
    <w:p w:rsidR="0050441B" w:rsidRPr="00FB2FCC" w:rsidRDefault="0050441B" w:rsidP="00962ED2">
      <w:pPr>
        <w:autoSpaceDE w:val="0"/>
        <w:autoSpaceDN w:val="0"/>
        <w:spacing w:line="360" w:lineRule="auto"/>
        <w:ind w:left="2160" w:hanging="720"/>
      </w:pPr>
    </w:p>
    <w:p w:rsidR="00FB2FCC" w:rsidRPr="00FB2FCC" w:rsidRDefault="00FB2FCC" w:rsidP="00962ED2">
      <w:pPr>
        <w:autoSpaceDE w:val="0"/>
        <w:autoSpaceDN w:val="0"/>
        <w:spacing w:line="360" w:lineRule="auto"/>
        <w:ind w:firstLine="1440"/>
      </w:pPr>
      <w:r w:rsidRPr="00FB2FCC">
        <w:t xml:space="preserve">In failing to provide Ms. </w:t>
      </w:r>
      <w:proofErr w:type="spellStart"/>
      <w:r w:rsidRPr="00FB2FCC">
        <w:t>Trivelpiece</w:t>
      </w:r>
      <w:proofErr w:type="spellEnd"/>
      <w:r w:rsidRPr="00FB2FCC">
        <w:t xml:space="preserve"> reasonable service, PECO also violated the </w:t>
      </w:r>
      <w:proofErr w:type="spellStart"/>
      <w:r w:rsidRPr="00FB2FCC">
        <w:t>the</w:t>
      </w:r>
      <w:proofErr w:type="spellEnd"/>
      <w:r w:rsidRPr="00FB2FCC">
        <w:t xml:space="preserve"> Commissions’ regulations concerning payment arrangements for an outstanding balance</w:t>
      </w:r>
      <w:r w:rsidRPr="00FB2FCC">
        <w:rPr>
          <w:vertAlign w:val="superscript"/>
        </w:rPr>
        <w:footnoteReference w:id="13"/>
      </w:r>
      <w:r w:rsidRPr="00FB2FCC">
        <w:t xml:space="preserve"> and procedures for addressing customer disputes.</w:t>
      </w:r>
      <w:r w:rsidRPr="00FB2FCC">
        <w:rPr>
          <w:vertAlign w:val="superscript"/>
        </w:rPr>
        <w:footnoteReference w:id="14"/>
      </w:r>
      <w:r w:rsidRPr="00FB2FCC">
        <w:t xml:space="preserve">  </w:t>
      </w:r>
    </w:p>
    <w:p w:rsidR="00FB2FCC" w:rsidRPr="00FB2FCC" w:rsidRDefault="00FB2FCC" w:rsidP="00710E83">
      <w:pPr>
        <w:autoSpaceDE w:val="0"/>
        <w:autoSpaceDN w:val="0"/>
        <w:spacing w:line="360" w:lineRule="auto"/>
        <w:ind w:firstLine="1440"/>
      </w:pPr>
    </w:p>
    <w:p w:rsidR="00FB2FCC" w:rsidRPr="00FB2FCC" w:rsidRDefault="00FB2FCC" w:rsidP="00710E83">
      <w:pPr>
        <w:autoSpaceDE w:val="0"/>
        <w:autoSpaceDN w:val="0"/>
        <w:spacing w:line="360" w:lineRule="auto"/>
      </w:pPr>
      <w:r w:rsidRPr="00FB2FCC">
        <w:tab/>
      </w:r>
      <w:r w:rsidRPr="00FB2FCC">
        <w:tab/>
        <w:t xml:space="preserve">In light of PECO’s violations, the following determinations are warranted under the </w:t>
      </w:r>
      <w:proofErr w:type="spellStart"/>
      <w:r w:rsidRPr="00FB2FCC">
        <w:rPr>
          <w:i/>
        </w:rPr>
        <w:t>Rosi</w:t>
      </w:r>
      <w:proofErr w:type="spellEnd"/>
      <w:r w:rsidRPr="00FB2FCC">
        <w:t xml:space="preserve"> factors and standards:</w:t>
      </w:r>
    </w:p>
    <w:p w:rsidR="00FB2FCC" w:rsidRPr="00FB2FCC" w:rsidRDefault="00FB2FCC" w:rsidP="00710E83">
      <w:pPr>
        <w:autoSpaceDE w:val="0"/>
        <w:autoSpaceDN w:val="0"/>
        <w:spacing w:line="360" w:lineRule="auto"/>
      </w:pPr>
    </w:p>
    <w:p w:rsidR="00FB2FCC" w:rsidRDefault="00FB2FCC" w:rsidP="00710E83">
      <w:pPr>
        <w:tabs>
          <w:tab w:val="left" w:pos="1440"/>
        </w:tabs>
        <w:autoSpaceDE w:val="0"/>
        <w:autoSpaceDN w:val="0"/>
        <w:spacing w:line="360" w:lineRule="auto"/>
      </w:pPr>
      <w:r w:rsidRPr="00FB2FCC">
        <w:tab/>
        <w:t>(1)</w:t>
      </w:r>
      <w:r w:rsidRPr="00FB2FCC">
        <w:tab/>
        <w:t xml:space="preserve">PECO’s failure to provide Ms. </w:t>
      </w:r>
      <w:proofErr w:type="spellStart"/>
      <w:r w:rsidRPr="00FB2FCC">
        <w:t>Trivelpiece</w:t>
      </w:r>
      <w:proofErr w:type="spellEnd"/>
      <w:r w:rsidRPr="00FB2FCC">
        <w:t xml:space="preserve"> reasonable </w:t>
      </w:r>
      <w:r w:rsidR="00EF595D">
        <w:t xml:space="preserve">service </w:t>
      </w:r>
      <w:r w:rsidRPr="00FB2FCC">
        <w:t>in six different aspects, as enumerated above, is of a serious nature and warrants a higher penalty of $500.00 for each separate violation for a cumulative penalty of $3,000.00.</w:t>
      </w:r>
      <w:r w:rsidRPr="00FB2FCC">
        <w:rPr>
          <w:vertAlign w:val="superscript"/>
        </w:rPr>
        <w:footnoteReference w:id="15"/>
      </w:r>
    </w:p>
    <w:p w:rsidR="00D255C4" w:rsidRPr="00FB2FCC" w:rsidRDefault="00D255C4" w:rsidP="00710E83">
      <w:pPr>
        <w:tabs>
          <w:tab w:val="left" w:pos="1440"/>
        </w:tabs>
        <w:autoSpaceDE w:val="0"/>
        <w:autoSpaceDN w:val="0"/>
        <w:spacing w:line="360" w:lineRule="auto"/>
      </w:pPr>
    </w:p>
    <w:p w:rsidR="00FB2FCC" w:rsidRPr="00FB2FCC" w:rsidRDefault="00FB2FCC" w:rsidP="00710E83">
      <w:pPr>
        <w:autoSpaceDE w:val="0"/>
        <w:autoSpaceDN w:val="0"/>
        <w:spacing w:line="360" w:lineRule="auto"/>
      </w:pPr>
      <w:r w:rsidRPr="00FB2FCC">
        <w:tab/>
      </w:r>
      <w:r w:rsidRPr="00FB2FCC">
        <w:tab/>
        <w:t>(2)</w:t>
      </w:r>
      <w:r w:rsidRPr="00FB2FCC">
        <w:tab/>
        <w:t xml:space="preserve">PECO’s delay in processing Ms. </w:t>
      </w:r>
      <w:proofErr w:type="spellStart"/>
      <w:r w:rsidRPr="00FB2FCC">
        <w:t>Trivelpiece’s</w:t>
      </w:r>
      <w:proofErr w:type="spellEnd"/>
      <w:r w:rsidRPr="00FB2FCC">
        <w:t xml:space="preserve"> 2013 application for service resulted in Ms. </w:t>
      </w:r>
      <w:proofErr w:type="spellStart"/>
      <w:r w:rsidRPr="00FB2FCC">
        <w:t>Trivelpiec</w:t>
      </w:r>
      <w:r w:rsidR="00D255C4">
        <w:t>e</w:t>
      </w:r>
      <w:proofErr w:type="spellEnd"/>
      <w:r w:rsidRPr="00FB2FCC">
        <w:t xml:space="preserve"> being without service for </w:t>
      </w:r>
      <w:r w:rsidR="00C71EBE">
        <w:t xml:space="preserve">a </w:t>
      </w:r>
      <w:r w:rsidRPr="00FB2FCC">
        <w:t xml:space="preserve">month.  The consequences of this delay are of a serious nature and warrant a penalty of $1,000.00. </w:t>
      </w:r>
    </w:p>
    <w:p w:rsidR="00FB2FCC" w:rsidRPr="00FB2FCC" w:rsidRDefault="00FB2FCC" w:rsidP="00710E83">
      <w:pPr>
        <w:autoSpaceDE w:val="0"/>
        <w:autoSpaceDN w:val="0"/>
        <w:spacing w:line="360" w:lineRule="auto"/>
      </w:pPr>
    </w:p>
    <w:p w:rsidR="00FB2FCC" w:rsidRPr="00FB2FCC" w:rsidRDefault="00FB2FCC" w:rsidP="00710E83">
      <w:pPr>
        <w:autoSpaceDE w:val="0"/>
        <w:autoSpaceDN w:val="0"/>
        <w:spacing w:line="360" w:lineRule="auto"/>
      </w:pPr>
      <w:r w:rsidRPr="00FB2FCC">
        <w:tab/>
      </w:r>
      <w:r w:rsidRPr="00FB2FCC">
        <w:tab/>
        <w:t>(3)</w:t>
      </w:r>
      <w:r w:rsidRPr="00FB2FCC">
        <w:tab/>
        <w:t xml:space="preserve">This was a litigated case.  PECO’s inclusion of charges in the PAR that were more than four years old is deemed intentional in light of the fact that PECO would not have initiated service unless Ms. </w:t>
      </w:r>
      <w:proofErr w:type="spellStart"/>
      <w:r w:rsidRPr="00FB2FCC">
        <w:t>Trivelpiece</w:t>
      </w:r>
      <w:proofErr w:type="spellEnd"/>
      <w:r w:rsidRPr="00FB2FCC">
        <w:t xml:space="preserve"> agreed to the PAR.  Accordingly</w:t>
      </w:r>
      <w:r w:rsidR="00453AAD">
        <w:t>,</w:t>
      </w:r>
      <w:r w:rsidRPr="00FB2FCC">
        <w:t xml:space="preserve"> a higher penalty of $1,000.00 is warranted.</w:t>
      </w:r>
    </w:p>
    <w:p w:rsidR="00FB2FCC" w:rsidRPr="00FB2FCC" w:rsidRDefault="00FB2FCC" w:rsidP="00710E83">
      <w:pPr>
        <w:autoSpaceDE w:val="0"/>
        <w:autoSpaceDN w:val="0"/>
        <w:spacing w:line="360" w:lineRule="auto"/>
      </w:pPr>
    </w:p>
    <w:p w:rsidR="00FB2FCC" w:rsidRDefault="00FB2FCC" w:rsidP="00710E83">
      <w:pPr>
        <w:autoSpaceDE w:val="0"/>
        <w:autoSpaceDN w:val="0"/>
        <w:spacing w:line="360" w:lineRule="auto"/>
      </w:pPr>
      <w:r w:rsidRPr="00FB2FCC">
        <w:tab/>
      </w:r>
      <w:r w:rsidRPr="00FB2FCC">
        <w:tab/>
        <w:t>(4)</w:t>
      </w:r>
      <w:r w:rsidRPr="00FB2FCC">
        <w:tab/>
        <w:t>There is no evidence that PECO has made efforts to modify internal practice and procedures to address the conduct at issue and prevent similar conduct in the future.  Therefore</w:t>
      </w:r>
      <w:r w:rsidR="00453AAD">
        <w:t>,</w:t>
      </w:r>
      <w:r w:rsidRPr="00FB2FCC">
        <w:t xml:space="preserve"> the civil penalties mentioned above are warranted.</w:t>
      </w:r>
    </w:p>
    <w:p w:rsidR="006F3FB0" w:rsidRPr="00FB2FCC" w:rsidRDefault="006F3FB0" w:rsidP="00710E83">
      <w:pPr>
        <w:autoSpaceDE w:val="0"/>
        <w:autoSpaceDN w:val="0"/>
        <w:spacing w:line="360" w:lineRule="auto"/>
      </w:pPr>
    </w:p>
    <w:p w:rsidR="00FB2FCC" w:rsidRPr="00FB2FCC" w:rsidRDefault="00FB2FCC" w:rsidP="00710E83">
      <w:pPr>
        <w:autoSpaceDE w:val="0"/>
        <w:autoSpaceDN w:val="0"/>
        <w:spacing w:line="360" w:lineRule="auto"/>
      </w:pPr>
      <w:r w:rsidRPr="00FB2FCC">
        <w:tab/>
      </w:r>
      <w:r w:rsidRPr="00FB2FCC">
        <w:tab/>
        <w:t>(5)</w:t>
      </w:r>
      <w:r w:rsidRPr="00FB2FCC">
        <w:tab/>
        <w:t xml:space="preserve">There is no evidence that other customers were affected by PECO’s violation of the Code and the Commission’s regulations.  As to the duration of the violations, the evidence establishes that PECO’s delay in processing Ms. </w:t>
      </w:r>
      <w:proofErr w:type="spellStart"/>
      <w:r w:rsidRPr="00FB2FCC">
        <w:t>Trivelpiece’s</w:t>
      </w:r>
      <w:proofErr w:type="spellEnd"/>
      <w:r w:rsidRPr="00FB2FCC">
        <w:t xml:space="preserve"> application for service and delay in initiating service extended over a month.  Additionally, PECO failed to investigate Ms. </w:t>
      </w:r>
      <w:proofErr w:type="spellStart"/>
      <w:r w:rsidRPr="00FB2FCC">
        <w:t>Trivelpiece’s</w:t>
      </w:r>
      <w:proofErr w:type="spellEnd"/>
      <w:r w:rsidRPr="00FB2FCC">
        <w:t xml:space="preserve"> high usage claim, and PECO failed to explain certain charges on her bill for a number of months.  Therefore, a civil penalty for the duration of the violation is warranted in the amount of $1,000.00.</w:t>
      </w:r>
    </w:p>
    <w:p w:rsidR="00FB2FCC" w:rsidRPr="00FB2FCC" w:rsidRDefault="00FB2FCC" w:rsidP="00710E83">
      <w:pPr>
        <w:autoSpaceDE w:val="0"/>
        <w:autoSpaceDN w:val="0"/>
        <w:spacing w:line="360" w:lineRule="auto"/>
      </w:pPr>
      <w:r w:rsidRPr="00FB2FCC">
        <w:tab/>
      </w:r>
      <w:r w:rsidRPr="00FB2FCC">
        <w:tab/>
      </w:r>
    </w:p>
    <w:p w:rsidR="00FB2FCC" w:rsidRPr="00FB2FCC" w:rsidRDefault="00FB2FCC" w:rsidP="00710E83">
      <w:pPr>
        <w:autoSpaceDE w:val="0"/>
        <w:autoSpaceDN w:val="0"/>
        <w:spacing w:line="360" w:lineRule="auto"/>
      </w:pPr>
      <w:r w:rsidRPr="00FB2FCC">
        <w:tab/>
      </w:r>
      <w:r w:rsidRPr="00FB2FCC">
        <w:tab/>
        <w:t xml:space="preserve">(6) </w:t>
      </w:r>
      <w:r w:rsidRPr="00FB2FCC">
        <w:tab/>
        <w:t>In this case the evidence is silent on PECO’s compliance history.</w:t>
      </w:r>
    </w:p>
    <w:p w:rsidR="00FB2FCC" w:rsidRPr="00FB2FCC" w:rsidRDefault="00FB2FCC" w:rsidP="00710E83">
      <w:pPr>
        <w:autoSpaceDE w:val="0"/>
        <w:autoSpaceDN w:val="0"/>
        <w:spacing w:line="360" w:lineRule="auto"/>
      </w:pPr>
      <w:r w:rsidRPr="00FB2FCC">
        <w:tab/>
      </w:r>
      <w:r w:rsidRPr="00FB2FCC">
        <w:tab/>
        <w:t>(7)</w:t>
      </w:r>
      <w:r w:rsidRPr="00FB2FCC">
        <w:tab/>
        <w:t xml:space="preserve">There is insufficient evidence to rule on PECO’s level of cooperation with the Commission’s investigation or to find that PECO acted in bad faith. </w:t>
      </w:r>
    </w:p>
    <w:p w:rsidR="00FB2FCC" w:rsidRPr="00FB2FCC" w:rsidRDefault="00FB2FCC" w:rsidP="00710E83">
      <w:pPr>
        <w:autoSpaceDE w:val="0"/>
        <w:autoSpaceDN w:val="0"/>
        <w:spacing w:line="360" w:lineRule="auto"/>
        <w:ind w:left="1440"/>
      </w:pPr>
    </w:p>
    <w:p w:rsidR="00FB2FCC" w:rsidRPr="00FB2FCC" w:rsidRDefault="00FB2FCC" w:rsidP="00710E83">
      <w:pPr>
        <w:autoSpaceDE w:val="0"/>
        <w:autoSpaceDN w:val="0"/>
        <w:spacing w:line="360" w:lineRule="auto"/>
      </w:pPr>
      <w:r w:rsidRPr="00FB2FCC">
        <w:t xml:space="preserve"> </w:t>
      </w:r>
      <w:r w:rsidRPr="00FB2FCC">
        <w:tab/>
      </w:r>
      <w:r w:rsidRPr="00FB2FCC">
        <w:tab/>
        <w:t>(8)</w:t>
      </w:r>
      <w:r w:rsidRPr="00FB2FCC">
        <w:tab/>
        <w:t>The civil penalties mentioned above are necessary to deter future violations by PECO.</w:t>
      </w:r>
    </w:p>
    <w:p w:rsidR="00FB2FCC" w:rsidRPr="00FB2FCC" w:rsidRDefault="00FB2FCC" w:rsidP="00710E83">
      <w:pPr>
        <w:autoSpaceDE w:val="0"/>
        <w:autoSpaceDN w:val="0"/>
        <w:spacing w:line="360" w:lineRule="auto"/>
      </w:pPr>
    </w:p>
    <w:p w:rsidR="00FB2FCC" w:rsidRPr="00FB2FCC" w:rsidRDefault="00FB2FCC" w:rsidP="00710E83">
      <w:pPr>
        <w:autoSpaceDE w:val="0"/>
        <w:autoSpaceDN w:val="0"/>
        <w:spacing w:line="360" w:lineRule="auto"/>
      </w:pPr>
      <w:r w:rsidRPr="00FB2FCC">
        <w:tab/>
      </w:r>
      <w:r w:rsidRPr="00FB2FCC">
        <w:tab/>
        <w:t>(9)</w:t>
      </w:r>
      <w:r w:rsidRPr="00FB2FCC">
        <w:tab/>
        <w:t>In their respective brief and memorandum of law, the parties did not cit</w:t>
      </w:r>
      <w:r w:rsidR="00CE3435">
        <w:t>e</w:t>
      </w:r>
      <w:r w:rsidRPr="00FB2FCC">
        <w:t xml:space="preserve"> any prior Commission decisions concerning the issues raised in this proceeding.  Accordingly a penalty for this factor is not warranted. </w:t>
      </w:r>
    </w:p>
    <w:p w:rsidR="00FB2FCC" w:rsidRPr="00FB2FCC" w:rsidRDefault="00FB2FCC" w:rsidP="00710E83">
      <w:pPr>
        <w:autoSpaceDE w:val="0"/>
        <w:autoSpaceDN w:val="0"/>
        <w:spacing w:line="360" w:lineRule="auto"/>
      </w:pPr>
    </w:p>
    <w:p w:rsidR="00FB2FCC" w:rsidRPr="00FB2FCC" w:rsidRDefault="00FB2FCC" w:rsidP="00710E83">
      <w:pPr>
        <w:autoSpaceDE w:val="0"/>
        <w:autoSpaceDN w:val="0"/>
        <w:spacing w:line="360" w:lineRule="auto"/>
      </w:pPr>
      <w:r w:rsidRPr="00FB2FCC">
        <w:tab/>
      </w:r>
      <w:r w:rsidRPr="00FB2FCC">
        <w:tab/>
        <w:t>(10)</w:t>
      </w:r>
      <w:r w:rsidRPr="00FB2FCC">
        <w:tab/>
        <w:t xml:space="preserve">Considering the entire record, the above penalties totaling $6,000.00 are warranted. </w:t>
      </w:r>
    </w:p>
    <w:p w:rsidR="00FB2FCC" w:rsidRPr="00FB2FCC" w:rsidRDefault="00FB2FCC" w:rsidP="00710E83">
      <w:pPr>
        <w:autoSpaceDE w:val="0"/>
        <w:autoSpaceDN w:val="0"/>
        <w:spacing w:line="360" w:lineRule="auto"/>
      </w:pPr>
    </w:p>
    <w:p w:rsidR="00514ED7" w:rsidRDefault="00514ED7" w:rsidP="00710E83">
      <w:pPr>
        <w:autoSpaceDE w:val="0"/>
        <w:autoSpaceDN w:val="0"/>
        <w:spacing w:line="360" w:lineRule="auto"/>
        <w:jc w:val="center"/>
        <w:rPr>
          <w:u w:val="single"/>
        </w:rPr>
      </w:pPr>
    </w:p>
    <w:p w:rsidR="00FB2FCC" w:rsidRPr="00FB2FCC" w:rsidRDefault="00FB2FCC" w:rsidP="00FB2FCC">
      <w:pPr>
        <w:autoSpaceDE w:val="0"/>
        <w:autoSpaceDN w:val="0"/>
        <w:spacing w:line="360" w:lineRule="auto"/>
        <w:jc w:val="center"/>
        <w:rPr>
          <w:u w:val="single"/>
        </w:rPr>
      </w:pPr>
      <w:r w:rsidRPr="00FB2FCC">
        <w:rPr>
          <w:u w:val="single"/>
        </w:rPr>
        <w:t>CONCLUSIONS OF LAW</w:t>
      </w:r>
    </w:p>
    <w:p w:rsidR="00FB2FCC" w:rsidRPr="00FB2FCC" w:rsidRDefault="00FB2FCC" w:rsidP="00FB2FCC">
      <w:pPr>
        <w:spacing w:line="360" w:lineRule="auto"/>
      </w:pPr>
    </w:p>
    <w:p w:rsidR="00FB2FCC" w:rsidRDefault="00FB2FCC" w:rsidP="00514ED7">
      <w:pPr>
        <w:numPr>
          <w:ilvl w:val="0"/>
          <w:numId w:val="3"/>
        </w:numPr>
        <w:tabs>
          <w:tab w:val="clear" w:pos="900"/>
          <w:tab w:val="num" w:pos="0"/>
        </w:tabs>
        <w:autoSpaceDE w:val="0"/>
        <w:autoSpaceDN w:val="0"/>
        <w:spacing w:line="360" w:lineRule="auto"/>
        <w:ind w:left="0" w:firstLine="1440"/>
      </w:pPr>
      <w:r w:rsidRPr="00FB2FCC">
        <w:t xml:space="preserve">The Commission has jurisdiction over the parties and the subject matter of this proceeding relating to electric and gas </w:t>
      </w:r>
      <w:r w:rsidR="00CE3435">
        <w:t xml:space="preserve">service.  </w:t>
      </w:r>
      <w:proofErr w:type="gramStart"/>
      <w:r w:rsidRPr="00FB2FCC">
        <w:t>66 Pa.C.S.</w:t>
      </w:r>
      <w:proofErr w:type="gramEnd"/>
      <w:r w:rsidRPr="00FB2FCC">
        <w:t xml:space="preserve"> § 701.</w:t>
      </w:r>
    </w:p>
    <w:p w:rsidR="00514ED7" w:rsidRDefault="00514ED7" w:rsidP="00514ED7">
      <w:pPr>
        <w:spacing w:line="360" w:lineRule="auto"/>
      </w:pPr>
    </w:p>
    <w:p w:rsidR="00FB2FCC" w:rsidRPr="00FB2FCC" w:rsidRDefault="00FB2FCC" w:rsidP="00514ED7">
      <w:pPr>
        <w:spacing w:line="360" w:lineRule="auto"/>
      </w:pPr>
      <w:r w:rsidRPr="00FB2FCC">
        <w:tab/>
      </w:r>
      <w:r w:rsidRPr="00FB2FCC">
        <w:tab/>
        <w:t>2.</w:t>
      </w:r>
      <w:r w:rsidRPr="00FB2FCC">
        <w:tab/>
        <w:t xml:space="preserve">Complainant carries the burden of proving Respondent has in some manner violated the provisions of the Public Utility Code (Code) or the regulations of the Commission in the course of providing her service.  Section 332(a) of the Public Utility Code, </w:t>
      </w:r>
      <w:proofErr w:type="gramStart"/>
      <w:r w:rsidRPr="00FB2FCC">
        <w:t>66</w:t>
      </w:r>
      <w:r w:rsidR="00CE3435">
        <w:t> </w:t>
      </w:r>
      <w:r w:rsidRPr="00FB2FCC">
        <w:t>Pa.C.S</w:t>
      </w:r>
      <w:proofErr w:type="gramEnd"/>
      <w:r w:rsidRPr="00FB2FCC">
        <w:t xml:space="preserve">. § 332(a). </w:t>
      </w:r>
    </w:p>
    <w:p w:rsidR="00FB2FCC" w:rsidRPr="00FB2FCC" w:rsidRDefault="00FB2FCC" w:rsidP="00FB2FCC">
      <w:pPr>
        <w:autoSpaceDE w:val="0"/>
        <w:autoSpaceDN w:val="0"/>
        <w:spacing w:line="360" w:lineRule="auto"/>
      </w:pPr>
      <w:r w:rsidRPr="00FB2FCC">
        <w:t xml:space="preserve"> </w:t>
      </w:r>
    </w:p>
    <w:p w:rsidR="00FB2FCC" w:rsidRPr="00FB2FCC" w:rsidRDefault="00FB2FCC" w:rsidP="00FB2FCC">
      <w:pPr>
        <w:spacing w:line="360" w:lineRule="auto"/>
      </w:pPr>
      <w:r w:rsidRPr="00FB2FCC">
        <w:tab/>
      </w:r>
      <w:r w:rsidRPr="00FB2FCC">
        <w:tab/>
        <w:t>3.</w:t>
      </w:r>
      <w:r w:rsidRPr="00FB2FCC">
        <w:tab/>
        <w:t>Complainant carried the burden of proving Respondent violated the Code</w:t>
      </w:r>
      <w:r w:rsidR="00A51985">
        <w:t xml:space="preserve"> </w:t>
      </w:r>
      <w:r w:rsidRPr="00FB2FCC">
        <w:t>and Commission regulations and failed to provide Complainant with reasonable customer service relating to the processing of her application for service, conditioning the furnishing of service base upon charges that accrued were more than four years ago, and addressing her billing dispute</w:t>
      </w:r>
      <w:r w:rsidR="00710E83">
        <w:t xml:space="preserve"> and high bill complaint</w:t>
      </w:r>
      <w:r w:rsidRPr="00FB2FCC">
        <w:t xml:space="preserve">.  </w:t>
      </w:r>
      <w:proofErr w:type="gramStart"/>
      <w:r w:rsidRPr="00FB2FCC">
        <w:t>66 Pa.C.S.</w:t>
      </w:r>
      <w:proofErr w:type="gramEnd"/>
      <w:r w:rsidRPr="00FB2FCC">
        <w:t xml:space="preserve"> § 1501.</w:t>
      </w:r>
    </w:p>
    <w:p w:rsidR="00FB2FCC" w:rsidRPr="00FB2FCC" w:rsidRDefault="00FB2FCC" w:rsidP="00FB2FCC">
      <w:pPr>
        <w:spacing w:line="360" w:lineRule="auto"/>
        <w:ind w:left="1440" w:right="1080"/>
      </w:pPr>
    </w:p>
    <w:p w:rsidR="00FB2FCC" w:rsidRPr="00FB2FCC" w:rsidRDefault="00FB2FCC" w:rsidP="00FB2FCC">
      <w:pPr>
        <w:spacing w:line="360" w:lineRule="auto"/>
      </w:pPr>
      <w:r w:rsidRPr="00FB2FCC">
        <w:tab/>
      </w:r>
      <w:r w:rsidRPr="00FB2FCC">
        <w:tab/>
        <w:t>4.</w:t>
      </w:r>
      <w:r w:rsidRPr="00FB2FCC">
        <w:tab/>
        <w:t>A public utility shall make a full and prompt investigation of disputes by its customers and within 30 days of the initiation of the dispute issue it</w:t>
      </w:r>
      <w:r w:rsidR="00287FDE">
        <w:t>s</w:t>
      </w:r>
      <w:r w:rsidRPr="00FB2FCC">
        <w:t xml:space="preserve"> report to the complaining party.  </w:t>
      </w:r>
      <w:proofErr w:type="gramStart"/>
      <w:r w:rsidRPr="00FB2FCC">
        <w:t>52 Pa.Code § 56.151.</w:t>
      </w:r>
      <w:proofErr w:type="gramEnd"/>
    </w:p>
    <w:p w:rsidR="00FB2FCC" w:rsidRPr="00FB2FCC" w:rsidRDefault="00FB2FCC" w:rsidP="00FB2FCC">
      <w:pPr>
        <w:spacing w:line="360" w:lineRule="auto"/>
      </w:pPr>
    </w:p>
    <w:p w:rsidR="00FB2FCC" w:rsidRPr="00FB2FCC" w:rsidRDefault="00FB2FCC" w:rsidP="00FB2FCC">
      <w:pPr>
        <w:tabs>
          <w:tab w:val="left" w:pos="0"/>
        </w:tabs>
        <w:autoSpaceDE w:val="0"/>
        <w:autoSpaceDN w:val="0"/>
        <w:spacing w:line="360" w:lineRule="auto"/>
        <w:rPr>
          <w:rFonts w:cstheme="minorBidi"/>
          <w:szCs w:val="22"/>
        </w:rPr>
      </w:pPr>
      <w:r w:rsidRPr="00FB2FCC">
        <w:t xml:space="preserve"> </w:t>
      </w:r>
      <w:r w:rsidRPr="00FB2FCC">
        <w:rPr>
          <w:rFonts w:cstheme="minorBidi"/>
        </w:rPr>
        <w:tab/>
      </w:r>
      <w:r w:rsidRPr="00FB2FCC">
        <w:rPr>
          <w:rFonts w:cstheme="minorBidi"/>
        </w:rPr>
        <w:tab/>
        <w:t>5.</w:t>
      </w:r>
      <w:r w:rsidRPr="00FB2FCC">
        <w:rPr>
          <w:rFonts w:cstheme="minorBidi"/>
        </w:rPr>
        <w:tab/>
        <w:t xml:space="preserve">A utility may not condition the furnishing of service to an applicant upon the payment of an outstanding balance that accrued more than four year ago.  </w:t>
      </w:r>
      <w:r w:rsidRPr="00FB2FCC">
        <w:rPr>
          <w:i/>
        </w:rPr>
        <w:t xml:space="preserve">Michelle A. </w:t>
      </w:r>
      <w:proofErr w:type="spellStart"/>
      <w:r w:rsidRPr="00FB2FCC">
        <w:rPr>
          <w:i/>
        </w:rPr>
        <w:t>Mangel</w:t>
      </w:r>
      <w:proofErr w:type="spellEnd"/>
      <w:r w:rsidRPr="00FB2FCC">
        <w:rPr>
          <w:i/>
        </w:rPr>
        <w:t xml:space="preserve"> v. Duquesne Light</w:t>
      </w:r>
      <w:r w:rsidRPr="00FB2FCC">
        <w:t xml:space="preserve"> </w:t>
      </w:r>
      <w:r w:rsidRPr="00FB2FCC">
        <w:rPr>
          <w:i/>
        </w:rPr>
        <w:t>Company,</w:t>
      </w:r>
      <w:r w:rsidRPr="00FB2FCC">
        <w:t xml:space="preserve"> C-00970563 (Opinion and Order entered September 18, 1998); </w:t>
      </w:r>
      <w:r w:rsidRPr="00FB2FCC">
        <w:rPr>
          <w:i/>
        </w:rPr>
        <w:t xml:space="preserve">aff’d. </w:t>
      </w:r>
      <w:proofErr w:type="gramStart"/>
      <w:r w:rsidRPr="00FB2FCC">
        <w:rPr>
          <w:rFonts w:cstheme="minorBidi"/>
          <w:i/>
          <w:szCs w:val="22"/>
        </w:rPr>
        <w:t>Duquesne Light Company v. P</w:t>
      </w:r>
      <w:r w:rsidR="00CE3435">
        <w:rPr>
          <w:rFonts w:cstheme="minorBidi"/>
          <w:i/>
          <w:szCs w:val="22"/>
        </w:rPr>
        <w:t>a. Pub.</w:t>
      </w:r>
      <w:proofErr w:type="gramEnd"/>
      <w:r w:rsidR="00CE3435">
        <w:rPr>
          <w:rFonts w:cstheme="minorBidi"/>
          <w:i/>
          <w:szCs w:val="22"/>
        </w:rPr>
        <w:t xml:space="preserve"> Util. Comm’n</w:t>
      </w:r>
      <w:r w:rsidRPr="00FB2FCC">
        <w:rPr>
          <w:rFonts w:cstheme="minorBidi"/>
          <w:szCs w:val="22"/>
        </w:rPr>
        <w:t>, 2844 C.D. 1998, Filed July 14, 1999.</w:t>
      </w:r>
    </w:p>
    <w:p w:rsidR="00FB2FCC" w:rsidRPr="00FB2FCC" w:rsidRDefault="00FB2FCC" w:rsidP="00FB2FCC">
      <w:pPr>
        <w:spacing w:line="360" w:lineRule="auto"/>
      </w:pPr>
    </w:p>
    <w:p w:rsidR="00FB2FCC" w:rsidRPr="00FB2FCC" w:rsidRDefault="00FB2FCC" w:rsidP="00FB2FCC">
      <w:pPr>
        <w:spacing w:line="360" w:lineRule="auto"/>
        <w:ind w:firstLine="1440"/>
        <w:rPr>
          <w:rFonts w:cstheme="minorBidi"/>
        </w:rPr>
      </w:pPr>
      <w:r w:rsidRPr="00FB2FCC">
        <w:rPr>
          <w:rFonts w:cstheme="minorBidi"/>
        </w:rPr>
        <w:t>6.</w:t>
      </w:r>
      <w:r w:rsidRPr="00FB2FCC">
        <w:rPr>
          <w:rFonts w:cstheme="minorBidi"/>
        </w:rPr>
        <w:tab/>
        <w:t xml:space="preserve">The Responsible Utility Customer Protection Act, </w:t>
      </w:r>
      <w:proofErr w:type="gramStart"/>
      <w:r w:rsidRPr="00FB2FCC">
        <w:rPr>
          <w:rFonts w:cstheme="minorBidi"/>
        </w:rPr>
        <w:t>66 Pa.C.S</w:t>
      </w:r>
      <w:proofErr w:type="gramEnd"/>
      <w:r w:rsidRPr="00FB2FCC">
        <w:rPr>
          <w:rFonts w:cstheme="minorBidi"/>
        </w:rPr>
        <w:t xml:space="preserve">. § 1401, </w:t>
      </w:r>
      <w:r w:rsidRPr="00FB2FCC">
        <w:rPr>
          <w:rFonts w:cstheme="minorBidi"/>
          <w:i/>
        </w:rPr>
        <w:t>et seq.</w:t>
      </w:r>
      <w:r w:rsidRPr="00FB2FCC">
        <w:rPr>
          <w:rFonts w:cstheme="minorBidi"/>
        </w:rPr>
        <w:t>, applies to this proceeding.</w:t>
      </w:r>
    </w:p>
    <w:p w:rsidR="00FB2FCC" w:rsidRPr="00FB2FCC" w:rsidRDefault="00FB2FCC" w:rsidP="00FB2FCC">
      <w:pPr>
        <w:spacing w:line="360" w:lineRule="auto"/>
        <w:ind w:firstLine="1440"/>
        <w:rPr>
          <w:rFonts w:cstheme="minorBidi"/>
        </w:rPr>
      </w:pPr>
    </w:p>
    <w:p w:rsidR="004D6356" w:rsidRDefault="00FB2FCC" w:rsidP="004D6356">
      <w:pPr>
        <w:spacing w:line="360" w:lineRule="auto"/>
        <w:ind w:firstLine="1440"/>
        <w:rPr>
          <w:rFonts w:cstheme="minorBidi"/>
        </w:rPr>
      </w:pPr>
      <w:r w:rsidRPr="00FB2FCC">
        <w:rPr>
          <w:rFonts w:cstheme="minorBidi"/>
        </w:rPr>
        <w:t xml:space="preserve">7. </w:t>
      </w:r>
      <w:r w:rsidRPr="00FB2FCC">
        <w:rPr>
          <w:rFonts w:cstheme="minorBidi"/>
        </w:rPr>
        <w:tab/>
      </w:r>
      <w:r w:rsidR="004D6356">
        <w:rPr>
          <w:rFonts w:cstheme="minorBidi"/>
        </w:rPr>
        <w:t>Customer assistance program rates shall be timely paid and shall not be the subject of payment arrangements negotiated or approved by the Commission.</w:t>
      </w:r>
    </w:p>
    <w:p w:rsidR="009D10D1" w:rsidRDefault="009D10D1" w:rsidP="004D6356">
      <w:pPr>
        <w:spacing w:line="360" w:lineRule="auto"/>
        <w:ind w:firstLine="1440"/>
        <w:rPr>
          <w:rFonts w:cstheme="minorBidi"/>
        </w:rPr>
      </w:pPr>
    </w:p>
    <w:p w:rsidR="004D6356" w:rsidRDefault="00FB2FCC" w:rsidP="004D6356">
      <w:pPr>
        <w:spacing w:line="360" w:lineRule="auto"/>
        <w:ind w:firstLine="1440"/>
        <w:rPr>
          <w:rFonts w:cstheme="minorBidi"/>
          <w:spacing w:val="-3"/>
        </w:rPr>
      </w:pPr>
      <w:r w:rsidRPr="00FB2FCC">
        <w:rPr>
          <w:rFonts w:cstheme="minorBidi"/>
          <w:spacing w:val="-3"/>
        </w:rPr>
        <w:t>8.</w:t>
      </w:r>
      <w:r w:rsidRPr="00FB2FCC">
        <w:rPr>
          <w:rFonts w:cstheme="minorBidi"/>
          <w:spacing w:val="-3"/>
        </w:rPr>
        <w:tab/>
        <w:t>T</w:t>
      </w:r>
      <w:r w:rsidRPr="00FB2FCC">
        <w:rPr>
          <w:rFonts w:cstheme="minorBidi"/>
        </w:rPr>
        <w:t xml:space="preserve">he Commission is the final arbiter of a consumer’s rights with respect to payment disputes.  </w:t>
      </w:r>
      <w:r w:rsidR="004D6356" w:rsidRPr="00FB2FCC">
        <w:rPr>
          <w:rFonts w:cstheme="minorBidi"/>
          <w:i/>
          <w:spacing w:val="-3"/>
        </w:rPr>
        <w:t>George Crawford v. National Fuel Gas Distribution Corporation</w:t>
      </w:r>
      <w:r w:rsidR="004D6356" w:rsidRPr="00FB2FCC">
        <w:rPr>
          <w:rFonts w:cstheme="minorBidi"/>
          <w:spacing w:val="-3"/>
        </w:rPr>
        <w:t>, Docket Number C-20066348 (Opinion and Order entered December 6, 2007).</w:t>
      </w:r>
    </w:p>
    <w:p w:rsidR="009D10D1" w:rsidRDefault="009D10D1" w:rsidP="004D6356">
      <w:pPr>
        <w:spacing w:line="360" w:lineRule="auto"/>
        <w:ind w:firstLine="1440"/>
        <w:rPr>
          <w:rFonts w:cstheme="minorBidi"/>
        </w:rPr>
      </w:pPr>
    </w:p>
    <w:p w:rsidR="00FB2FCC" w:rsidRDefault="00FB2FCC" w:rsidP="00FB2FCC">
      <w:pPr>
        <w:autoSpaceDE w:val="0"/>
        <w:autoSpaceDN w:val="0"/>
        <w:spacing w:line="360" w:lineRule="auto"/>
        <w:rPr>
          <w:rFonts w:ascii="CG Times" w:hAnsi="CG Times" w:cs="CG Times"/>
        </w:rPr>
      </w:pPr>
      <w:r w:rsidRPr="00FB2FCC">
        <w:tab/>
      </w:r>
      <w:r w:rsidRPr="00FB2FCC">
        <w:tab/>
        <w:t>9.</w:t>
      </w:r>
      <w:r w:rsidRPr="00FB2FCC">
        <w:tab/>
      </w:r>
      <w:r w:rsidRPr="00FB2FCC">
        <w:rPr>
          <w:rFonts w:ascii="CG Times" w:hAnsi="CG Times" w:cs="CG Times"/>
        </w:rPr>
        <w:t xml:space="preserve">The Commission is authorized to consider and impose civil monetary penalties against a public utility company.  </w:t>
      </w:r>
      <w:proofErr w:type="gramStart"/>
      <w:r w:rsidRPr="00FB2FCC">
        <w:rPr>
          <w:rFonts w:ascii="CG Times" w:hAnsi="CG Times" w:cs="CG Times"/>
        </w:rPr>
        <w:t xml:space="preserve">52 Pa.Code § 1201, </w:t>
      </w:r>
      <w:r w:rsidRPr="00FB2FCC">
        <w:rPr>
          <w:rFonts w:ascii="CG Times" w:hAnsi="CG Times" w:cs="CG Times"/>
          <w:i/>
        </w:rPr>
        <w:t>et seq</w:t>
      </w:r>
      <w:r w:rsidRPr="00FB2FCC">
        <w:rPr>
          <w:rFonts w:ascii="CG Times" w:hAnsi="CG Times" w:cs="CG Times"/>
        </w:rPr>
        <w:t>.</w:t>
      </w:r>
      <w:proofErr w:type="gramEnd"/>
    </w:p>
    <w:p w:rsidR="004D6356" w:rsidRPr="00FB2FCC" w:rsidRDefault="004D6356" w:rsidP="00FB2FCC">
      <w:pPr>
        <w:autoSpaceDE w:val="0"/>
        <w:autoSpaceDN w:val="0"/>
        <w:spacing w:line="360" w:lineRule="auto"/>
        <w:rPr>
          <w:rFonts w:ascii="CG Times" w:hAnsi="CG Times" w:cs="CG Times"/>
        </w:rPr>
      </w:pPr>
    </w:p>
    <w:p w:rsidR="00FB2FCC" w:rsidRDefault="00FB2FCC" w:rsidP="000B2A72">
      <w:pPr>
        <w:spacing w:line="360" w:lineRule="auto"/>
      </w:pPr>
      <w:r w:rsidRPr="00FB2FCC">
        <w:tab/>
      </w:r>
      <w:r w:rsidRPr="00FB2FCC">
        <w:tab/>
        <w:t>10.</w:t>
      </w:r>
      <w:r w:rsidRPr="00FB2FCC">
        <w:tab/>
        <w:t>The violations of the Public Utility Code and the Commission’s regulations that are of a serious nature warrant a higher penalty.  52 Pa.Code § 69.1201(c</w:t>
      </w:r>
      <w:proofErr w:type="gramStart"/>
      <w:r w:rsidRPr="00FB2FCC">
        <w:t>)(</w:t>
      </w:r>
      <w:proofErr w:type="gramEnd"/>
      <w:r w:rsidRPr="00FB2FCC">
        <w:t>1).</w:t>
      </w:r>
    </w:p>
    <w:p w:rsidR="000B2A72" w:rsidRDefault="000B2A72" w:rsidP="000B2A72">
      <w:pPr>
        <w:spacing w:line="360" w:lineRule="auto"/>
      </w:pPr>
    </w:p>
    <w:p w:rsidR="009D10D1" w:rsidRDefault="009D10D1" w:rsidP="000B2A72">
      <w:pPr>
        <w:spacing w:line="360" w:lineRule="auto"/>
      </w:pPr>
    </w:p>
    <w:p w:rsidR="009D10D1" w:rsidRDefault="009D10D1" w:rsidP="000B2A72">
      <w:pPr>
        <w:spacing w:line="360" w:lineRule="auto"/>
      </w:pPr>
    </w:p>
    <w:p w:rsidR="009D10D1" w:rsidRDefault="009D10D1" w:rsidP="000B2A72">
      <w:pPr>
        <w:spacing w:line="360" w:lineRule="auto"/>
      </w:pPr>
    </w:p>
    <w:p w:rsidR="009D10D1" w:rsidRDefault="009D10D1" w:rsidP="000B2A72">
      <w:pPr>
        <w:spacing w:line="360" w:lineRule="auto"/>
      </w:pPr>
    </w:p>
    <w:p w:rsidR="009D10D1" w:rsidRDefault="009D10D1" w:rsidP="000B2A72">
      <w:pPr>
        <w:spacing w:line="360" w:lineRule="auto"/>
      </w:pPr>
    </w:p>
    <w:p w:rsidR="000B2A72" w:rsidRPr="000B2A72" w:rsidRDefault="000B2A72" w:rsidP="000B2A72">
      <w:pPr>
        <w:spacing w:line="360" w:lineRule="auto"/>
        <w:jc w:val="center"/>
        <w:rPr>
          <w:u w:val="single"/>
        </w:rPr>
      </w:pPr>
      <w:r w:rsidRPr="000B2A72">
        <w:rPr>
          <w:u w:val="single"/>
        </w:rPr>
        <w:t>ORDER</w:t>
      </w:r>
    </w:p>
    <w:p w:rsidR="000B2A72" w:rsidRPr="000B2A72" w:rsidRDefault="000B2A72" w:rsidP="000B2A72">
      <w:pPr>
        <w:tabs>
          <w:tab w:val="num" w:pos="2160"/>
        </w:tabs>
        <w:autoSpaceDE w:val="0"/>
        <w:autoSpaceDN w:val="0"/>
        <w:spacing w:line="360" w:lineRule="auto"/>
        <w:ind w:firstLine="1440"/>
      </w:pPr>
    </w:p>
    <w:p w:rsidR="000B2A72" w:rsidRPr="000B2A72" w:rsidRDefault="000B2A72" w:rsidP="000B2A72">
      <w:pPr>
        <w:tabs>
          <w:tab w:val="num" w:pos="2160"/>
        </w:tabs>
        <w:autoSpaceDE w:val="0"/>
        <w:autoSpaceDN w:val="0"/>
        <w:spacing w:line="360" w:lineRule="auto"/>
        <w:ind w:firstLine="1440"/>
      </w:pPr>
    </w:p>
    <w:p w:rsidR="000B2A72" w:rsidRPr="000B2A72" w:rsidRDefault="000B2A72" w:rsidP="000B2A72">
      <w:pPr>
        <w:tabs>
          <w:tab w:val="num" w:pos="2160"/>
        </w:tabs>
        <w:autoSpaceDE w:val="0"/>
        <w:autoSpaceDN w:val="0"/>
        <w:spacing w:line="360" w:lineRule="auto"/>
        <w:ind w:firstLine="1440"/>
      </w:pPr>
      <w:r w:rsidRPr="000B2A72">
        <w:t xml:space="preserve">THEREFORE, </w:t>
      </w:r>
    </w:p>
    <w:p w:rsidR="000B2A72" w:rsidRPr="000B2A72" w:rsidRDefault="000B2A72" w:rsidP="000B2A72">
      <w:pPr>
        <w:tabs>
          <w:tab w:val="num" w:pos="2160"/>
        </w:tabs>
        <w:autoSpaceDE w:val="0"/>
        <w:autoSpaceDN w:val="0"/>
        <w:spacing w:line="360" w:lineRule="auto"/>
      </w:pPr>
    </w:p>
    <w:p w:rsidR="000B2A72" w:rsidRPr="000B2A72" w:rsidRDefault="000B2A72" w:rsidP="000B2A72">
      <w:pPr>
        <w:tabs>
          <w:tab w:val="num" w:pos="2160"/>
        </w:tabs>
        <w:autoSpaceDE w:val="0"/>
        <w:autoSpaceDN w:val="0"/>
        <w:spacing w:line="360" w:lineRule="auto"/>
        <w:ind w:firstLine="1440"/>
        <w:outlineLvl w:val="0"/>
      </w:pPr>
      <w:r w:rsidRPr="000B2A72">
        <w:t>IT IS ORDERED:</w:t>
      </w:r>
    </w:p>
    <w:p w:rsidR="000B2A72" w:rsidRPr="000B2A72" w:rsidRDefault="000B2A72" w:rsidP="000B2A72">
      <w:pPr>
        <w:tabs>
          <w:tab w:val="num" w:pos="2160"/>
        </w:tabs>
        <w:autoSpaceDE w:val="0"/>
        <w:autoSpaceDN w:val="0"/>
        <w:spacing w:line="360" w:lineRule="auto"/>
      </w:pPr>
    </w:p>
    <w:p w:rsidR="000B2A72" w:rsidRPr="000B2A72" w:rsidRDefault="000B2A72" w:rsidP="000B2A72">
      <w:pPr>
        <w:numPr>
          <w:ilvl w:val="0"/>
          <w:numId w:val="4"/>
        </w:numPr>
        <w:autoSpaceDE w:val="0"/>
        <w:autoSpaceDN w:val="0"/>
        <w:spacing w:line="360" w:lineRule="auto"/>
        <w:ind w:left="0" w:firstLine="1440"/>
      </w:pPr>
      <w:r w:rsidRPr="000B2A72">
        <w:t xml:space="preserve">That the Complaint of Beth </w:t>
      </w:r>
      <w:proofErr w:type="spellStart"/>
      <w:r w:rsidRPr="000B2A72">
        <w:t>Trivelpiece</w:t>
      </w:r>
      <w:proofErr w:type="spellEnd"/>
      <w:r w:rsidRPr="000B2A72">
        <w:t xml:space="preserve"> against PECO Energy Company at Docket No. C-2015-2462644 is hereby sustained in that there are incorrect charges on her bill consistent with this Initial Decision.</w:t>
      </w:r>
    </w:p>
    <w:p w:rsidR="000B2A72" w:rsidRPr="000B2A72" w:rsidRDefault="000B2A72" w:rsidP="000B2A72">
      <w:pPr>
        <w:tabs>
          <w:tab w:val="num" w:pos="2160"/>
        </w:tabs>
        <w:spacing w:line="360" w:lineRule="auto"/>
      </w:pPr>
    </w:p>
    <w:p w:rsidR="000B2A72" w:rsidRPr="000B2A72" w:rsidRDefault="000B2A72" w:rsidP="000B2A72">
      <w:pPr>
        <w:tabs>
          <w:tab w:val="num" w:pos="2160"/>
        </w:tabs>
        <w:autoSpaceDE w:val="0"/>
        <w:autoSpaceDN w:val="0"/>
        <w:spacing w:line="360" w:lineRule="auto"/>
        <w:ind w:firstLine="1440"/>
      </w:pPr>
      <w:r w:rsidRPr="000B2A72">
        <w:t>2.</w:t>
      </w:r>
      <w:r w:rsidRPr="000B2A72">
        <w:tab/>
        <w:t xml:space="preserve">That the Complaint of Beth </w:t>
      </w:r>
      <w:proofErr w:type="spellStart"/>
      <w:r w:rsidRPr="000B2A72">
        <w:t>Trivelpiece</w:t>
      </w:r>
      <w:proofErr w:type="spellEnd"/>
      <w:r w:rsidRPr="000B2A72">
        <w:t xml:space="preserve"> against PECO Energy Company at Docket No. C-2015-2462644 is hereby</w:t>
      </w:r>
      <w:r w:rsidR="004D6356">
        <w:t xml:space="preserve"> sustained in that there are quality problems with her service</w:t>
      </w:r>
      <w:r w:rsidRPr="000B2A72">
        <w:t xml:space="preserve">. </w:t>
      </w:r>
    </w:p>
    <w:p w:rsidR="000B2A72" w:rsidRPr="000B2A72" w:rsidRDefault="000B2A72" w:rsidP="000B2A72">
      <w:pPr>
        <w:tabs>
          <w:tab w:val="num" w:pos="2160"/>
        </w:tabs>
        <w:autoSpaceDE w:val="0"/>
        <w:autoSpaceDN w:val="0"/>
        <w:spacing w:line="360" w:lineRule="auto"/>
        <w:ind w:firstLine="1440"/>
      </w:pPr>
    </w:p>
    <w:p w:rsidR="000B2A72" w:rsidRPr="000B2A72" w:rsidRDefault="000B2A72" w:rsidP="000B2A72">
      <w:pPr>
        <w:tabs>
          <w:tab w:val="num" w:pos="2160"/>
        </w:tabs>
        <w:autoSpaceDE w:val="0"/>
        <w:autoSpaceDN w:val="0"/>
        <w:spacing w:line="360" w:lineRule="auto"/>
        <w:ind w:firstLine="1440"/>
      </w:pPr>
      <w:r w:rsidRPr="000B2A72">
        <w:t>3.</w:t>
      </w:r>
      <w:r w:rsidRPr="000B2A72">
        <w:tab/>
        <w:t xml:space="preserve">That Respondent PECO Energy Company shall compute Complainant’s outstanding balance based upon unpaid charges which accrued on or after November 20, 2013.  </w:t>
      </w:r>
    </w:p>
    <w:p w:rsidR="000B2A72" w:rsidRPr="000B2A72" w:rsidRDefault="000B2A72" w:rsidP="000B2A72">
      <w:pPr>
        <w:tabs>
          <w:tab w:val="num" w:pos="2160"/>
        </w:tabs>
        <w:autoSpaceDE w:val="0"/>
        <w:autoSpaceDN w:val="0"/>
        <w:spacing w:line="360" w:lineRule="auto"/>
        <w:ind w:firstLine="1440"/>
      </w:pPr>
    </w:p>
    <w:p w:rsidR="000B2A72" w:rsidRPr="000B2A72" w:rsidRDefault="000B2A72" w:rsidP="000B2A72">
      <w:pPr>
        <w:tabs>
          <w:tab w:val="num" w:pos="2160"/>
        </w:tabs>
        <w:autoSpaceDE w:val="0"/>
        <w:autoSpaceDN w:val="0"/>
        <w:spacing w:line="360" w:lineRule="auto"/>
        <w:ind w:firstLine="1440"/>
      </w:pPr>
      <w:r w:rsidRPr="000B2A72">
        <w:t>4.</w:t>
      </w:r>
      <w:r w:rsidRPr="000B2A72">
        <w:tab/>
        <w:t>That within thirty days of the Commission’s Final Order in this matter, Respondent shall file with the Commission’s Secretary’s Bureau at Docket No. C-2015-2462644 and serve Complainant an account statement of the unpaid charges that accrued on or after November 20, 2013.  That the account statement shall not include late payment charges.</w:t>
      </w:r>
    </w:p>
    <w:p w:rsidR="000B2A72" w:rsidRPr="000B2A72" w:rsidRDefault="000B2A72" w:rsidP="000B2A72">
      <w:pPr>
        <w:tabs>
          <w:tab w:val="num" w:pos="2160"/>
        </w:tabs>
        <w:autoSpaceDE w:val="0"/>
        <w:autoSpaceDN w:val="0"/>
        <w:spacing w:line="360" w:lineRule="auto"/>
        <w:ind w:firstLine="1440"/>
      </w:pPr>
    </w:p>
    <w:p w:rsidR="000B2A72" w:rsidRPr="000B2A72" w:rsidRDefault="004D6356" w:rsidP="000B2A72">
      <w:pPr>
        <w:tabs>
          <w:tab w:val="num" w:pos="2160"/>
        </w:tabs>
        <w:autoSpaceDE w:val="0"/>
        <w:autoSpaceDN w:val="0"/>
        <w:spacing w:line="360" w:lineRule="auto"/>
        <w:ind w:firstLine="1440"/>
      </w:pPr>
      <w:r>
        <w:t>5</w:t>
      </w:r>
      <w:r w:rsidR="000B2A72" w:rsidRPr="000B2A72">
        <w:t>.</w:t>
      </w:r>
      <w:r w:rsidR="000B2A72" w:rsidRPr="000B2A72">
        <w:tab/>
        <w:t xml:space="preserve">That Respondent PECO Energy Company is hereby assessed a penalty of Six Thousand Dollars ($6,000.00) because Respondent failed to provide Complainant reasonable service in processing her application for service, in delaying the start of her service, failing to timely address her </w:t>
      </w:r>
      <w:r w:rsidR="006E0904">
        <w:t>billing</w:t>
      </w:r>
      <w:r w:rsidR="000B2A72" w:rsidRPr="000B2A72">
        <w:t xml:space="preserve"> dispute</w:t>
      </w:r>
      <w:r w:rsidR="006E0904">
        <w:t xml:space="preserve"> and high bill complaint</w:t>
      </w:r>
      <w:r w:rsidR="000B2A72" w:rsidRPr="000B2A72">
        <w:t>, and in improperly including four year old charges in her payment arrangement thereby violating the Commission’s regulations.</w:t>
      </w:r>
    </w:p>
    <w:p w:rsidR="000B2A72" w:rsidRPr="000B2A72" w:rsidRDefault="000B2A72" w:rsidP="000B2A72">
      <w:pPr>
        <w:tabs>
          <w:tab w:val="num" w:pos="2160"/>
        </w:tabs>
        <w:autoSpaceDE w:val="0"/>
        <w:autoSpaceDN w:val="0"/>
        <w:spacing w:line="360" w:lineRule="auto"/>
        <w:ind w:firstLine="1440"/>
      </w:pPr>
    </w:p>
    <w:p w:rsidR="000B2A72" w:rsidRPr="000B2A72" w:rsidRDefault="004D6356" w:rsidP="0013329E">
      <w:pPr>
        <w:tabs>
          <w:tab w:val="num" w:pos="2160"/>
        </w:tabs>
        <w:autoSpaceDE w:val="0"/>
        <w:autoSpaceDN w:val="0"/>
        <w:spacing w:line="360" w:lineRule="auto"/>
        <w:ind w:firstLine="1440"/>
      </w:pPr>
      <w:r>
        <w:t>6</w:t>
      </w:r>
      <w:r w:rsidR="000B2A72" w:rsidRPr="000B2A72">
        <w:t>.</w:t>
      </w:r>
      <w:r w:rsidR="000B2A72" w:rsidRPr="000B2A72">
        <w:tab/>
        <w:t>That Respondent PECO Energy Company, within thirty days of the entry of the Commission’s Final Order in this case, shall pay a civil penalty in the amount of Six</w:t>
      </w:r>
      <w:r w:rsidR="000B4254">
        <w:t xml:space="preserve"> Thousand Dollars ($6</w:t>
      </w:r>
      <w:r w:rsidR="000B2A72" w:rsidRPr="000B2A72">
        <w:t>,000.00) by sending a certified check or money order payable to the Commonwealth of Pennsylvania addressed to:</w:t>
      </w:r>
    </w:p>
    <w:p w:rsidR="000B2A72" w:rsidRPr="000B2A72" w:rsidRDefault="000B2A72" w:rsidP="0013329E">
      <w:pPr>
        <w:autoSpaceDE w:val="0"/>
        <w:autoSpaceDN w:val="0"/>
        <w:ind w:firstLine="2160"/>
      </w:pPr>
    </w:p>
    <w:p w:rsidR="000B2A72" w:rsidRPr="000B2A72" w:rsidRDefault="000B2A72" w:rsidP="0013329E">
      <w:pPr>
        <w:autoSpaceDE w:val="0"/>
        <w:autoSpaceDN w:val="0"/>
        <w:ind w:firstLine="2160"/>
      </w:pPr>
      <w:r w:rsidRPr="000B2A72">
        <w:t>Secretary</w:t>
      </w:r>
      <w:r w:rsidRPr="000B2A72">
        <w:tab/>
      </w:r>
    </w:p>
    <w:p w:rsidR="000B2A72" w:rsidRPr="000B2A72" w:rsidRDefault="000B2A72" w:rsidP="0013329E">
      <w:pPr>
        <w:autoSpaceDE w:val="0"/>
        <w:autoSpaceDN w:val="0"/>
        <w:ind w:firstLine="2160"/>
      </w:pPr>
      <w:r w:rsidRPr="000B2A72">
        <w:t>Pennsylvania Public Utility Commission</w:t>
      </w:r>
    </w:p>
    <w:p w:rsidR="000B2A72" w:rsidRPr="000B2A72" w:rsidRDefault="000B2A72" w:rsidP="0013329E">
      <w:pPr>
        <w:tabs>
          <w:tab w:val="num" w:pos="2160"/>
        </w:tabs>
        <w:autoSpaceDE w:val="0"/>
        <w:autoSpaceDN w:val="0"/>
        <w:ind w:firstLine="1440"/>
      </w:pPr>
      <w:r w:rsidRPr="000B2A72">
        <w:tab/>
        <w:t>P.O. Box 3265</w:t>
      </w:r>
    </w:p>
    <w:p w:rsidR="000B2A72" w:rsidRPr="000B2A72" w:rsidRDefault="000B2A72" w:rsidP="0013329E">
      <w:pPr>
        <w:tabs>
          <w:tab w:val="num" w:pos="2160"/>
        </w:tabs>
        <w:autoSpaceDE w:val="0"/>
        <w:autoSpaceDN w:val="0"/>
        <w:ind w:firstLine="1440"/>
      </w:pPr>
      <w:r w:rsidRPr="000B2A72">
        <w:tab/>
        <w:t>Harrisburg, PA 17105-3265</w:t>
      </w:r>
      <w:r w:rsidRPr="000B2A72">
        <w:tab/>
        <w:t xml:space="preserve"> </w:t>
      </w:r>
    </w:p>
    <w:p w:rsidR="000B2A72" w:rsidRPr="000B2A72" w:rsidRDefault="000B2A72" w:rsidP="0013329E">
      <w:pPr>
        <w:tabs>
          <w:tab w:val="num" w:pos="2160"/>
        </w:tabs>
        <w:autoSpaceDE w:val="0"/>
        <w:autoSpaceDN w:val="0"/>
        <w:spacing w:line="360" w:lineRule="auto"/>
        <w:ind w:firstLine="1440"/>
      </w:pPr>
    </w:p>
    <w:p w:rsidR="000B2A72" w:rsidRDefault="004D6356" w:rsidP="0013329E">
      <w:pPr>
        <w:tabs>
          <w:tab w:val="num" w:pos="2160"/>
        </w:tabs>
        <w:autoSpaceDE w:val="0"/>
        <w:autoSpaceDN w:val="0"/>
        <w:spacing w:line="360" w:lineRule="auto"/>
        <w:ind w:firstLine="1440"/>
      </w:pPr>
      <w:r>
        <w:t>7</w:t>
      </w:r>
      <w:r w:rsidR="000B2A72" w:rsidRPr="000B2A72">
        <w:t>.</w:t>
      </w:r>
      <w:r w:rsidR="000B2A72" w:rsidRPr="000B2A72">
        <w:tab/>
        <w:t xml:space="preserve">That PECO Energy Company shall cease and desist from further violations of the Public Utility Code, 66 Pa.C.S.A. § 101, </w:t>
      </w:r>
      <w:r w:rsidR="000B2A72" w:rsidRPr="000B2A72">
        <w:rPr>
          <w:i/>
        </w:rPr>
        <w:t>et seq</w:t>
      </w:r>
      <w:r w:rsidR="000B2A72" w:rsidRPr="000B2A72">
        <w:t>. and the Commission’s regulations.</w:t>
      </w:r>
    </w:p>
    <w:p w:rsidR="004D6356" w:rsidRDefault="004D6356" w:rsidP="0013329E">
      <w:pPr>
        <w:tabs>
          <w:tab w:val="num" w:pos="2160"/>
        </w:tabs>
        <w:autoSpaceDE w:val="0"/>
        <w:autoSpaceDN w:val="0"/>
        <w:spacing w:line="360" w:lineRule="auto"/>
        <w:ind w:firstLine="1440"/>
      </w:pPr>
    </w:p>
    <w:p w:rsidR="000B2A72" w:rsidRPr="000B2A72" w:rsidRDefault="004D6356" w:rsidP="0013329E">
      <w:pPr>
        <w:tabs>
          <w:tab w:val="num" w:pos="2160"/>
        </w:tabs>
        <w:autoSpaceDE w:val="0"/>
        <w:autoSpaceDN w:val="0"/>
        <w:spacing w:line="360" w:lineRule="auto"/>
        <w:ind w:firstLine="1440"/>
      </w:pPr>
      <w:r>
        <w:t>8</w:t>
      </w:r>
      <w:r w:rsidR="000B2A72" w:rsidRPr="000B2A72">
        <w:t>.</w:t>
      </w:r>
      <w:r w:rsidR="000B2A72" w:rsidRPr="000B2A72">
        <w:tab/>
        <w:t>That the Secretary’s Bureau shall mark Docket No. C-2015-2462644 closed.</w:t>
      </w:r>
    </w:p>
    <w:p w:rsidR="000B2A72" w:rsidRPr="000B2A72" w:rsidRDefault="000B2A72" w:rsidP="0013329E">
      <w:pPr>
        <w:tabs>
          <w:tab w:val="num" w:pos="2160"/>
        </w:tabs>
        <w:autoSpaceDE w:val="0"/>
        <w:autoSpaceDN w:val="0"/>
        <w:spacing w:line="360" w:lineRule="auto"/>
      </w:pPr>
    </w:p>
    <w:p w:rsidR="000B2A72" w:rsidRPr="000B2A72" w:rsidRDefault="000B2A72" w:rsidP="0013329E">
      <w:pPr>
        <w:tabs>
          <w:tab w:val="left" w:pos="1440"/>
        </w:tabs>
        <w:spacing w:line="360" w:lineRule="auto"/>
        <w:rPr>
          <w:rFonts w:eastAsia="Times New Roman"/>
        </w:rPr>
      </w:pPr>
    </w:p>
    <w:p w:rsidR="000B2A72" w:rsidRPr="000B2A72" w:rsidRDefault="000B2A72" w:rsidP="0013329E">
      <w:pPr>
        <w:keepLines/>
        <w:widowControl w:val="0"/>
        <w:tabs>
          <w:tab w:val="left" w:pos="5040"/>
        </w:tabs>
        <w:autoSpaceDE w:val="0"/>
        <w:autoSpaceDN w:val="0"/>
        <w:adjustRightInd w:val="0"/>
        <w:jc w:val="both"/>
        <w:rPr>
          <w:rFonts w:eastAsia="Times New Roman"/>
          <w:snapToGrid w:val="0"/>
        </w:rPr>
      </w:pPr>
      <w:r w:rsidRPr="000B2A72">
        <w:rPr>
          <w:rFonts w:eastAsia="Times New Roman"/>
          <w:snapToGrid w:val="0"/>
        </w:rPr>
        <w:t xml:space="preserve">Date:  </w:t>
      </w:r>
      <w:r w:rsidRPr="000B2A72">
        <w:rPr>
          <w:rFonts w:eastAsia="Times New Roman"/>
          <w:snapToGrid w:val="0"/>
          <w:u w:val="single"/>
        </w:rPr>
        <w:t>October 2, 2015</w:t>
      </w:r>
      <w:r>
        <w:rPr>
          <w:rFonts w:eastAsia="Times New Roman"/>
          <w:snapToGrid w:val="0"/>
        </w:rPr>
        <w:tab/>
      </w:r>
      <w:r w:rsidRPr="000B2A72">
        <w:rPr>
          <w:rFonts w:eastAsia="Times New Roman"/>
          <w:snapToGrid w:val="0"/>
          <w:u w:val="single"/>
        </w:rPr>
        <w:t xml:space="preserve">                           /s/</w:t>
      </w:r>
      <w:r w:rsidRPr="000B2A72">
        <w:rPr>
          <w:rFonts w:eastAsia="Times New Roman"/>
          <w:snapToGrid w:val="0"/>
          <w:u w:val="single"/>
        </w:rPr>
        <w:tab/>
      </w:r>
      <w:r w:rsidRPr="000B2A72">
        <w:rPr>
          <w:rFonts w:eastAsia="Times New Roman"/>
          <w:snapToGrid w:val="0"/>
          <w:u w:val="single"/>
        </w:rPr>
        <w:tab/>
      </w:r>
      <w:r w:rsidRPr="000B2A72">
        <w:rPr>
          <w:rFonts w:eastAsia="Times New Roman"/>
          <w:snapToGrid w:val="0"/>
          <w:u w:val="single"/>
        </w:rPr>
        <w:tab/>
      </w:r>
      <w:r w:rsidRPr="000B2A72">
        <w:rPr>
          <w:rFonts w:eastAsia="Times New Roman"/>
          <w:snapToGrid w:val="0"/>
          <w:u w:val="single"/>
        </w:rPr>
        <w:tab/>
      </w:r>
      <w:r w:rsidRPr="000B2A72">
        <w:rPr>
          <w:rFonts w:eastAsia="Times New Roman"/>
          <w:snapToGrid w:val="0"/>
        </w:rPr>
        <w:tab/>
        <w:t>Conrad A. Johnson</w:t>
      </w:r>
    </w:p>
    <w:p w:rsidR="000B2A72" w:rsidRPr="000B2A72" w:rsidRDefault="000B2A72" w:rsidP="000B2A72">
      <w:pPr>
        <w:keepLines/>
        <w:widowControl w:val="0"/>
        <w:autoSpaceDE w:val="0"/>
        <w:autoSpaceDN w:val="0"/>
        <w:adjustRightInd w:val="0"/>
        <w:jc w:val="both"/>
        <w:rPr>
          <w:rFonts w:eastAsia="Times New Roman"/>
          <w:snapToGrid w:val="0"/>
        </w:rPr>
      </w:pPr>
      <w:r w:rsidRPr="000B2A72">
        <w:rPr>
          <w:rFonts w:eastAsia="Times New Roman"/>
          <w:snapToGrid w:val="0"/>
        </w:rPr>
        <w:tab/>
      </w:r>
      <w:r w:rsidRPr="000B2A72">
        <w:rPr>
          <w:rFonts w:eastAsia="Times New Roman"/>
          <w:snapToGrid w:val="0"/>
        </w:rPr>
        <w:tab/>
      </w:r>
      <w:r w:rsidRPr="000B2A72">
        <w:rPr>
          <w:rFonts w:eastAsia="Times New Roman"/>
          <w:snapToGrid w:val="0"/>
        </w:rPr>
        <w:tab/>
      </w:r>
      <w:r w:rsidRPr="000B2A72">
        <w:rPr>
          <w:rFonts w:eastAsia="Times New Roman"/>
          <w:snapToGrid w:val="0"/>
        </w:rPr>
        <w:tab/>
      </w:r>
      <w:r w:rsidRPr="000B2A72">
        <w:rPr>
          <w:rFonts w:eastAsia="Times New Roman"/>
          <w:snapToGrid w:val="0"/>
        </w:rPr>
        <w:tab/>
      </w:r>
      <w:r w:rsidRPr="000B2A72">
        <w:rPr>
          <w:rFonts w:eastAsia="Times New Roman"/>
          <w:snapToGrid w:val="0"/>
        </w:rPr>
        <w:tab/>
      </w:r>
      <w:r w:rsidRPr="000B2A72">
        <w:rPr>
          <w:rFonts w:eastAsia="Times New Roman"/>
          <w:snapToGrid w:val="0"/>
        </w:rPr>
        <w:tab/>
        <w:t>Administrative Law Judge</w:t>
      </w:r>
    </w:p>
    <w:p w:rsidR="000B2A72" w:rsidRPr="00FB2FCC" w:rsidRDefault="000B2A72" w:rsidP="000B2A72">
      <w:pPr>
        <w:spacing w:line="360" w:lineRule="auto"/>
      </w:pPr>
    </w:p>
    <w:p w:rsidR="00C308B8" w:rsidRPr="00007E88" w:rsidRDefault="00C308B8" w:rsidP="008454FA">
      <w:pPr>
        <w:tabs>
          <w:tab w:val="left" w:pos="0"/>
        </w:tabs>
        <w:autoSpaceDE w:val="0"/>
        <w:autoSpaceDN w:val="0"/>
        <w:spacing w:line="360" w:lineRule="auto"/>
      </w:pPr>
    </w:p>
    <w:p w:rsidR="00C6679F" w:rsidRDefault="00C6679F" w:rsidP="004C5829">
      <w:pPr>
        <w:spacing w:after="200" w:line="276" w:lineRule="auto"/>
        <w:rPr>
          <w:u w:val="single"/>
        </w:rPr>
      </w:pPr>
    </w:p>
    <w:sectPr w:rsidR="00C6679F" w:rsidSect="005C091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B4" w:rsidRDefault="00331EB4" w:rsidP="007E432C">
      <w:r>
        <w:separator/>
      </w:r>
    </w:p>
  </w:endnote>
  <w:endnote w:type="continuationSeparator" w:id="0">
    <w:p w:rsidR="00331EB4" w:rsidRDefault="00331EB4" w:rsidP="007E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81638"/>
      <w:docPartObj>
        <w:docPartGallery w:val="Page Numbers (Bottom of Page)"/>
        <w:docPartUnique/>
      </w:docPartObj>
    </w:sdtPr>
    <w:sdtEndPr>
      <w:rPr>
        <w:noProof/>
        <w:sz w:val="20"/>
        <w:szCs w:val="20"/>
      </w:rPr>
    </w:sdtEndPr>
    <w:sdtContent>
      <w:p w:rsidR="00997F24" w:rsidRPr="00902426" w:rsidRDefault="00997F24">
        <w:pPr>
          <w:pStyle w:val="Footer"/>
          <w:jc w:val="center"/>
          <w:rPr>
            <w:sz w:val="20"/>
            <w:szCs w:val="20"/>
          </w:rPr>
        </w:pPr>
        <w:r w:rsidRPr="00902426">
          <w:rPr>
            <w:sz w:val="20"/>
            <w:szCs w:val="20"/>
          </w:rPr>
          <w:fldChar w:fldCharType="begin"/>
        </w:r>
        <w:r w:rsidRPr="00902426">
          <w:rPr>
            <w:sz w:val="20"/>
            <w:szCs w:val="20"/>
          </w:rPr>
          <w:instrText xml:space="preserve"> PAGE   \* MERGEFORMAT </w:instrText>
        </w:r>
        <w:r w:rsidRPr="00902426">
          <w:rPr>
            <w:sz w:val="20"/>
            <w:szCs w:val="20"/>
          </w:rPr>
          <w:fldChar w:fldCharType="separate"/>
        </w:r>
        <w:r w:rsidR="00A350C6">
          <w:rPr>
            <w:noProof/>
            <w:sz w:val="20"/>
            <w:szCs w:val="20"/>
          </w:rPr>
          <w:t>30</w:t>
        </w:r>
        <w:r w:rsidRPr="0090242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B4" w:rsidRDefault="00331EB4" w:rsidP="007E432C">
      <w:r>
        <w:separator/>
      </w:r>
    </w:p>
  </w:footnote>
  <w:footnote w:type="continuationSeparator" w:id="0">
    <w:p w:rsidR="00331EB4" w:rsidRDefault="00331EB4" w:rsidP="007E432C">
      <w:r>
        <w:continuationSeparator/>
      </w:r>
    </w:p>
  </w:footnote>
  <w:footnote w:id="1">
    <w:p w:rsidR="00997F24" w:rsidRPr="00761084" w:rsidRDefault="00997F24">
      <w:pPr>
        <w:pStyle w:val="FootnoteText"/>
        <w:rPr>
          <w:sz w:val="20"/>
          <w:szCs w:val="20"/>
        </w:rPr>
      </w:pPr>
      <w:r>
        <w:rPr>
          <w:rStyle w:val="FootnoteReference"/>
        </w:rPr>
        <w:footnoteRef/>
      </w:r>
      <w:r>
        <w:t xml:space="preserve"> </w:t>
      </w:r>
      <w:r>
        <w:tab/>
      </w:r>
      <w:r w:rsidRPr="00761084">
        <w:rPr>
          <w:sz w:val="20"/>
          <w:szCs w:val="20"/>
        </w:rPr>
        <w:t xml:space="preserve">Ms. </w:t>
      </w:r>
      <w:proofErr w:type="spellStart"/>
      <w:r w:rsidRPr="00761084">
        <w:rPr>
          <w:sz w:val="20"/>
          <w:szCs w:val="20"/>
        </w:rPr>
        <w:t>Trivelpiece</w:t>
      </w:r>
      <w:proofErr w:type="spellEnd"/>
      <w:r w:rsidRPr="00761084">
        <w:rPr>
          <w:sz w:val="20"/>
          <w:szCs w:val="20"/>
        </w:rPr>
        <w:t xml:space="preserve"> filed her Complaint subsequent to the November 21, 2014 decision of the Commission’s Bureau of Consumer Services (BCS) closing her informal complaint at BCS No. 003285243.  BCS determined the following: </w:t>
      </w:r>
      <w:r>
        <w:rPr>
          <w:sz w:val="20"/>
          <w:szCs w:val="20"/>
        </w:rPr>
        <w:t xml:space="preserve"> </w:t>
      </w:r>
      <w:r w:rsidRPr="00761084">
        <w:rPr>
          <w:sz w:val="20"/>
          <w:szCs w:val="20"/>
        </w:rPr>
        <w:t xml:space="preserve">Ms. </w:t>
      </w:r>
      <w:proofErr w:type="spellStart"/>
      <w:r w:rsidRPr="00761084">
        <w:rPr>
          <w:sz w:val="20"/>
          <w:szCs w:val="20"/>
        </w:rPr>
        <w:t>Trivelpiece</w:t>
      </w:r>
      <w:proofErr w:type="spellEnd"/>
      <w:r w:rsidRPr="00761084">
        <w:rPr>
          <w:sz w:val="20"/>
          <w:szCs w:val="20"/>
        </w:rPr>
        <w:t xml:space="preserve"> was liable for a balance from a prior address; her current balance of $16,558.26 included CAP arrears; she had used three medical certifications; and she was not eligible</w:t>
      </w:r>
      <w:r>
        <w:rPr>
          <w:sz w:val="20"/>
          <w:szCs w:val="20"/>
        </w:rPr>
        <w:t xml:space="preserve"> </w:t>
      </w:r>
      <w:r w:rsidRPr="00761084">
        <w:rPr>
          <w:sz w:val="20"/>
          <w:szCs w:val="20"/>
        </w:rPr>
        <w:t>for a payment arrangement.</w:t>
      </w:r>
    </w:p>
  </w:footnote>
  <w:footnote w:id="2">
    <w:p w:rsidR="00997F24" w:rsidRDefault="00997F24">
      <w:pPr>
        <w:pStyle w:val="FootnoteText"/>
      </w:pPr>
      <w:r>
        <w:rPr>
          <w:rStyle w:val="FootnoteReference"/>
        </w:rPr>
        <w:footnoteRef/>
      </w:r>
      <w:r>
        <w:t xml:space="preserve"> </w:t>
      </w:r>
      <w:r>
        <w:tab/>
      </w:r>
      <w:r w:rsidRPr="00761084">
        <w:rPr>
          <w:sz w:val="20"/>
          <w:szCs w:val="20"/>
        </w:rPr>
        <w:t>Section 56.35 provides that a public utility may require an applicant to pay an outstanding residential balance which accrued within the past 4 years, as a condition for furnishing residential service to the applicant</w:t>
      </w:r>
      <w:r>
        <w:t>.</w:t>
      </w:r>
    </w:p>
  </w:footnote>
  <w:footnote w:id="3">
    <w:p w:rsidR="00997F24" w:rsidRPr="00761084" w:rsidRDefault="00997F24" w:rsidP="00A73C08">
      <w:pPr>
        <w:pStyle w:val="FootnoteText"/>
        <w:rPr>
          <w:b/>
          <w:sz w:val="20"/>
          <w:szCs w:val="20"/>
        </w:rPr>
      </w:pPr>
      <w:r>
        <w:rPr>
          <w:rStyle w:val="FootnoteReference"/>
        </w:rPr>
        <w:footnoteRef/>
      </w:r>
      <w:r>
        <w:tab/>
      </w:r>
      <w:r w:rsidRPr="00761084">
        <w:rPr>
          <w:b/>
          <w:sz w:val="20"/>
          <w:szCs w:val="20"/>
        </w:rPr>
        <w:t xml:space="preserve">§ 3314   Limitation of actions and </w:t>
      </w:r>
      <w:proofErr w:type="spellStart"/>
      <w:r w:rsidRPr="00761084">
        <w:rPr>
          <w:b/>
          <w:sz w:val="20"/>
          <w:szCs w:val="20"/>
        </w:rPr>
        <w:t>cu</w:t>
      </w:r>
      <w:r>
        <w:rPr>
          <w:b/>
          <w:sz w:val="20"/>
          <w:szCs w:val="20"/>
        </w:rPr>
        <w:t>m</w:t>
      </w:r>
      <w:r w:rsidRPr="00761084">
        <w:rPr>
          <w:b/>
          <w:sz w:val="20"/>
          <w:szCs w:val="20"/>
        </w:rPr>
        <w:t>ulation</w:t>
      </w:r>
      <w:proofErr w:type="spellEnd"/>
      <w:r w:rsidRPr="00761084">
        <w:rPr>
          <w:b/>
          <w:sz w:val="20"/>
          <w:szCs w:val="20"/>
        </w:rPr>
        <w:t xml:space="preserve"> of remedies.</w:t>
      </w:r>
    </w:p>
    <w:p w:rsidR="00997F24" w:rsidRPr="00761084" w:rsidRDefault="00997F24" w:rsidP="00A73C08">
      <w:pPr>
        <w:pStyle w:val="FootnoteText"/>
        <w:rPr>
          <w:sz w:val="20"/>
          <w:szCs w:val="20"/>
        </w:rPr>
      </w:pPr>
    </w:p>
    <w:p w:rsidR="00997F24" w:rsidRPr="00761084" w:rsidRDefault="00997F24" w:rsidP="00A73C08">
      <w:pPr>
        <w:spacing w:line="231" w:lineRule="auto"/>
        <w:ind w:left="720" w:right="720"/>
        <w:rPr>
          <w:sz w:val="20"/>
          <w:szCs w:val="20"/>
        </w:rPr>
      </w:pPr>
      <w:r w:rsidRPr="00761084">
        <w:rPr>
          <w:b/>
          <w:sz w:val="20"/>
          <w:szCs w:val="20"/>
        </w:rPr>
        <w:t>(a)  General rule.--</w:t>
      </w:r>
      <w:r w:rsidRPr="00761084">
        <w:rPr>
          <w:sz w:val="20"/>
          <w:szCs w:val="20"/>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rsidR="00997F24" w:rsidRPr="00761084" w:rsidRDefault="00997F24" w:rsidP="00A73C08">
      <w:pPr>
        <w:spacing w:line="231" w:lineRule="auto"/>
        <w:ind w:left="720" w:right="720"/>
        <w:rPr>
          <w:sz w:val="20"/>
          <w:szCs w:val="20"/>
        </w:rPr>
      </w:pPr>
    </w:p>
    <w:p w:rsidR="00997F24" w:rsidRPr="00D232FA" w:rsidRDefault="00997F24" w:rsidP="00A73C08">
      <w:pPr>
        <w:pStyle w:val="FootnoteText"/>
      </w:pPr>
      <w:proofErr w:type="gramStart"/>
      <w:r w:rsidRPr="00761084">
        <w:rPr>
          <w:sz w:val="20"/>
          <w:szCs w:val="20"/>
        </w:rPr>
        <w:t>66 Pa.C.S.</w:t>
      </w:r>
      <w:proofErr w:type="gramEnd"/>
      <w:r w:rsidRPr="00761084">
        <w:rPr>
          <w:sz w:val="20"/>
          <w:szCs w:val="20"/>
        </w:rPr>
        <w:t xml:space="preserve"> § 3314(a).</w:t>
      </w:r>
    </w:p>
  </w:footnote>
  <w:footnote w:id="4">
    <w:p w:rsidR="00997F24" w:rsidRDefault="00997F24" w:rsidP="00F41162">
      <w:pPr>
        <w:pStyle w:val="FootnoteText"/>
        <w:rPr>
          <w:sz w:val="20"/>
        </w:rPr>
      </w:pPr>
      <w:r>
        <w:rPr>
          <w:rStyle w:val="FootnoteReference"/>
        </w:rPr>
        <w:footnoteRef/>
      </w:r>
      <w:r>
        <w:t xml:space="preserve"> </w:t>
      </w:r>
      <w:r>
        <w:tab/>
      </w:r>
      <w:proofErr w:type="gramStart"/>
      <w:r>
        <w:rPr>
          <w:sz w:val="20"/>
        </w:rPr>
        <w:t>66 Pa.C.S.</w:t>
      </w:r>
      <w:proofErr w:type="gramEnd"/>
      <w:r>
        <w:rPr>
          <w:sz w:val="20"/>
        </w:rPr>
        <w:t xml:space="preserve"> § 1404(c).</w:t>
      </w:r>
    </w:p>
    <w:p w:rsidR="00997F24" w:rsidRPr="00B412C5" w:rsidRDefault="00997F24" w:rsidP="00F41162">
      <w:pPr>
        <w:pStyle w:val="FootnoteText"/>
        <w:rPr>
          <w:sz w:val="20"/>
        </w:rPr>
      </w:pPr>
    </w:p>
  </w:footnote>
  <w:footnote w:id="5">
    <w:p w:rsidR="00997F24" w:rsidRDefault="00997F24" w:rsidP="00F41162">
      <w:pPr>
        <w:pStyle w:val="FootnoteText"/>
        <w:tabs>
          <w:tab w:val="left" w:pos="720"/>
          <w:tab w:val="left" w:pos="1440"/>
          <w:tab w:val="left" w:pos="2160"/>
          <w:tab w:val="left" w:pos="3180"/>
        </w:tabs>
        <w:rPr>
          <w:sz w:val="20"/>
        </w:rPr>
      </w:pPr>
      <w:r>
        <w:rPr>
          <w:rStyle w:val="FootnoteReference"/>
        </w:rPr>
        <w:footnoteRef/>
      </w:r>
      <w:r>
        <w:tab/>
      </w:r>
      <w:proofErr w:type="gramStart"/>
      <w:r w:rsidRPr="00B412C5">
        <w:rPr>
          <w:sz w:val="20"/>
          <w:szCs w:val="20"/>
        </w:rPr>
        <w:t>52 Pa.Code</w:t>
      </w:r>
      <w:r>
        <w:rPr>
          <w:sz w:val="20"/>
        </w:rPr>
        <w:t>.</w:t>
      </w:r>
      <w:proofErr w:type="gramEnd"/>
      <w:r>
        <w:rPr>
          <w:sz w:val="20"/>
        </w:rPr>
        <w:t xml:space="preserve"> § 56.35.</w:t>
      </w:r>
    </w:p>
    <w:p w:rsidR="00997F24" w:rsidRDefault="00997F24" w:rsidP="00F41162">
      <w:pPr>
        <w:pStyle w:val="FootnoteText"/>
        <w:tabs>
          <w:tab w:val="left" w:pos="720"/>
          <w:tab w:val="left" w:pos="1440"/>
          <w:tab w:val="left" w:pos="2160"/>
          <w:tab w:val="left" w:pos="3180"/>
        </w:tabs>
      </w:pPr>
      <w:r>
        <w:rPr>
          <w:sz w:val="20"/>
        </w:rPr>
        <w:tab/>
      </w:r>
    </w:p>
  </w:footnote>
  <w:footnote w:id="6">
    <w:p w:rsidR="00997F24" w:rsidRDefault="00997F24" w:rsidP="00F41162">
      <w:pPr>
        <w:pStyle w:val="FootnoteText"/>
      </w:pPr>
      <w:r>
        <w:rPr>
          <w:rStyle w:val="FootnoteReference"/>
        </w:rPr>
        <w:footnoteRef/>
      </w:r>
      <w:r>
        <w:t xml:space="preserve"> </w:t>
      </w:r>
      <w:r>
        <w:tab/>
      </w:r>
      <w:proofErr w:type="gramStart"/>
      <w:r w:rsidRPr="00761084">
        <w:rPr>
          <w:sz w:val="20"/>
          <w:szCs w:val="20"/>
        </w:rPr>
        <w:t>66 Pa.C.S.</w:t>
      </w:r>
      <w:proofErr w:type="gramEnd"/>
      <w:r w:rsidRPr="00761084">
        <w:rPr>
          <w:sz w:val="20"/>
          <w:szCs w:val="20"/>
        </w:rPr>
        <w:t xml:space="preserve"> § 332(a).</w:t>
      </w:r>
    </w:p>
  </w:footnote>
  <w:footnote w:id="7">
    <w:p w:rsidR="00997F24" w:rsidRPr="00C15010" w:rsidRDefault="00997F24" w:rsidP="00C308B8">
      <w:pPr>
        <w:pStyle w:val="FootnoteText"/>
        <w:rPr>
          <w:sz w:val="20"/>
        </w:rPr>
      </w:pPr>
      <w:r w:rsidRPr="00C15010">
        <w:rPr>
          <w:rStyle w:val="FootnoteReference"/>
          <w:sz w:val="20"/>
        </w:rPr>
        <w:footnoteRef/>
      </w:r>
      <w:r w:rsidRPr="00C15010">
        <w:rPr>
          <w:sz w:val="20"/>
        </w:rPr>
        <w:t xml:space="preserve"> </w:t>
      </w:r>
      <w:r>
        <w:rPr>
          <w:sz w:val="20"/>
        </w:rPr>
        <w:tab/>
        <w:t xml:space="preserve">In </w:t>
      </w:r>
      <w:r>
        <w:rPr>
          <w:i/>
          <w:sz w:val="20"/>
        </w:rPr>
        <w:t>Prosser</w:t>
      </w:r>
      <w:r>
        <w:rPr>
          <w:sz w:val="20"/>
        </w:rPr>
        <w:t xml:space="preserve"> the presiding officer dismissed the complaint on preliminary objections for lack of jurisdiction over complainant’s negligence claim.  The Commission reversed and remanded for consideration of the reasonableness of service issue. </w:t>
      </w:r>
    </w:p>
  </w:footnote>
  <w:footnote w:id="8">
    <w:p w:rsidR="00997F24" w:rsidRDefault="00997F24" w:rsidP="00F23E08">
      <w:pPr>
        <w:pStyle w:val="FootnoteText"/>
      </w:pPr>
    </w:p>
    <w:p w:rsidR="00997F24" w:rsidRDefault="00997F24" w:rsidP="00F23E08">
      <w:pPr>
        <w:pStyle w:val="FootnoteText"/>
      </w:pPr>
      <w:r>
        <w:rPr>
          <w:rStyle w:val="FootnoteReference"/>
        </w:rPr>
        <w:footnoteRef/>
      </w:r>
      <w:r>
        <w:tab/>
      </w:r>
      <w:proofErr w:type="gramStart"/>
      <w:r w:rsidRPr="00DA6812">
        <w:rPr>
          <w:sz w:val="20"/>
          <w:szCs w:val="20"/>
        </w:rPr>
        <w:t>52 Pa.Code §§ 56.36</w:t>
      </w:r>
      <w:r>
        <w:rPr>
          <w:sz w:val="20"/>
          <w:szCs w:val="20"/>
        </w:rPr>
        <w:t xml:space="preserve">(1) and </w:t>
      </w:r>
      <w:r w:rsidRPr="00DA6812">
        <w:rPr>
          <w:sz w:val="20"/>
          <w:szCs w:val="20"/>
        </w:rPr>
        <w:t>56.37.</w:t>
      </w:r>
      <w:proofErr w:type="gramEnd"/>
    </w:p>
  </w:footnote>
  <w:footnote w:id="9">
    <w:p w:rsidR="00997F24" w:rsidRPr="0040482E" w:rsidRDefault="00997F24" w:rsidP="00C308B8">
      <w:pPr>
        <w:ind w:right="288"/>
        <w:rPr>
          <w:sz w:val="20"/>
          <w:szCs w:val="20"/>
        </w:rPr>
      </w:pPr>
      <w:r>
        <w:rPr>
          <w:rStyle w:val="FootnoteReference"/>
        </w:rPr>
        <w:footnoteRef/>
      </w:r>
      <w:r>
        <w:t xml:space="preserve"> </w:t>
      </w:r>
      <w:r>
        <w:tab/>
      </w:r>
      <w:r w:rsidRPr="002E1B1E">
        <w:rPr>
          <w:sz w:val="20"/>
          <w:szCs w:val="20"/>
        </w:rPr>
        <w:t>The outstanding balance that was transferred to Aspen Avenue was $11,476.54</w:t>
      </w:r>
      <w:r>
        <w:rPr>
          <w:sz w:val="20"/>
          <w:szCs w:val="20"/>
        </w:rPr>
        <w:t xml:space="preserve"> p</w:t>
      </w:r>
      <w:r w:rsidRPr="0040482E">
        <w:rPr>
          <w:sz w:val="20"/>
          <w:szCs w:val="20"/>
        </w:rPr>
        <w:t xml:space="preserve">lus $1,477.60 </w:t>
      </w:r>
      <w:r>
        <w:rPr>
          <w:sz w:val="20"/>
          <w:szCs w:val="20"/>
        </w:rPr>
        <w:t>in late c</w:t>
      </w:r>
      <w:r w:rsidRPr="0040482E">
        <w:rPr>
          <w:sz w:val="20"/>
          <w:szCs w:val="20"/>
        </w:rPr>
        <w:t>harge</w:t>
      </w:r>
      <w:r>
        <w:rPr>
          <w:sz w:val="20"/>
          <w:szCs w:val="20"/>
        </w:rPr>
        <w:t xml:space="preserve">s.  </w:t>
      </w:r>
      <w:proofErr w:type="gramStart"/>
      <w:r>
        <w:rPr>
          <w:sz w:val="20"/>
          <w:szCs w:val="20"/>
        </w:rPr>
        <w:t>(See Table 2 above.)</w:t>
      </w:r>
      <w:proofErr w:type="gramEnd"/>
      <w:r>
        <w:rPr>
          <w:sz w:val="20"/>
          <w:szCs w:val="20"/>
        </w:rPr>
        <w:t xml:space="preserve">  The approximate </w:t>
      </w:r>
      <w:r w:rsidRPr="00DD3BD0">
        <w:rPr>
          <w:sz w:val="20"/>
          <w:szCs w:val="20"/>
        </w:rPr>
        <w:t>$8,929.69</w:t>
      </w:r>
      <w:r>
        <w:rPr>
          <w:sz w:val="20"/>
          <w:szCs w:val="20"/>
        </w:rPr>
        <w:t xml:space="preserve"> balance includes the prior charges at 2</w:t>
      </w:r>
      <w:r w:rsidRPr="0040482E">
        <w:rPr>
          <w:sz w:val="20"/>
          <w:szCs w:val="20"/>
          <w:vertAlign w:val="superscript"/>
        </w:rPr>
        <w:t>nd</w:t>
      </w:r>
      <w:r>
        <w:rPr>
          <w:sz w:val="20"/>
          <w:szCs w:val="20"/>
        </w:rPr>
        <w:t xml:space="preserve"> Avenue in the amount of </w:t>
      </w:r>
      <w:r w:rsidRPr="002E1B1E">
        <w:rPr>
          <w:sz w:val="20"/>
          <w:szCs w:val="20"/>
        </w:rPr>
        <w:t>$4,563.68</w:t>
      </w:r>
      <w:r>
        <w:rPr>
          <w:sz w:val="20"/>
          <w:szCs w:val="20"/>
        </w:rPr>
        <w:t xml:space="preserve">.  The difference between $11,476.54 and $4,563.68 is $6,912.86, which is the amount that accrued between </w:t>
      </w:r>
      <w:r w:rsidRPr="002E1B1E">
        <w:rPr>
          <w:sz w:val="20"/>
          <w:szCs w:val="20"/>
        </w:rPr>
        <w:t xml:space="preserve">12/03/08 </w:t>
      </w:r>
      <w:r>
        <w:rPr>
          <w:sz w:val="20"/>
          <w:szCs w:val="20"/>
        </w:rPr>
        <w:t>and 7/30/10, a 19 month period.  Thus there are approximately 12 months (</w:t>
      </w:r>
      <w:r w:rsidRPr="0024666D">
        <w:rPr>
          <w:sz w:val="20"/>
          <w:szCs w:val="20"/>
        </w:rPr>
        <w:t>12/03/08 – 11/19/09</w:t>
      </w:r>
      <w:r>
        <w:rPr>
          <w:sz w:val="20"/>
          <w:szCs w:val="20"/>
        </w:rPr>
        <w:t>) during which the $6,912.86 balance accrued that are more than four before November 20, 2009.  Dividing $6,912.86 by 19 months equates to an approximate monthly accrual rate of $363.83.  Multiplying $363.83 by 12 months equates to $4,336.01.  Adding $4,336.01 to $4,563.68 equates to $8,929.69.</w:t>
      </w:r>
    </w:p>
  </w:footnote>
  <w:footnote w:id="10">
    <w:p w:rsidR="00997F24" w:rsidRPr="00902426" w:rsidRDefault="00997F24" w:rsidP="00C308B8">
      <w:pPr>
        <w:pStyle w:val="FootnoteText"/>
        <w:rPr>
          <w:sz w:val="20"/>
          <w:szCs w:val="20"/>
        </w:rPr>
      </w:pPr>
      <w:r w:rsidRPr="00902426">
        <w:rPr>
          <w:rStyle w:val="FootnoteReference"/>
          <w:sz w:val="20"/>
          <w:szCs w:val="20"/>
        </w:rPr>
        <w:footnoteRef/>
      </w:r>
      <w:r w:rsidRPr="00902426">
        <w:rPr>
          <w:sz w:val="20"/>
          <w:szCs w:val="20"/>
        </w:rPr>
        <w:t xml:space="preserve"> </w:t>
      </w:r>
      <w:r w:rsidRPr="00902426">
        <w:rPr>
          <w:sz w:val="20"/>
          <w:szCs w:val="20"/>
        </w:rPr>
        <w:tab/>
        <w:t xml:space="preserve">PECO’s witness testified that in all likelihood the person who conducted the consumption was from LIHEAP.  </w:t>
      </w:r>
      <w:proofErr w:type="gramStart"/>
      <w:r w:rsidRPr="00902426">
        <w:rPr>
          <w:sz w:val="20"/>
          <w:szCs w:val="20"/>
        </w:rPr>
        <w:t>(Tr. 105.)</w:t>
      </w:r>
      <w:proofErr w:type="gramEnd"/>
    </w:p>
  </w:footnote>
  <w:footnote w:id="11">
    <w:p w:rsidR="00997F24" w:rsidRPr="0070021A" w:rsidRDefault="00997F24" w:rsidP="0070021A">
      <w:pPr>
        <w:pStyle w:val="FootnoteText"/>
        <w:rPr>
          <w:rFonts w:cstheme="minorBidi"/>
          <w:sz w:val="20"/>
          <w:szCs w:val="20"/>
        </w:rPr>
      </w:pPr>
      <w:r w:rsidRPr="0070021A">
        <w:rPr>
          <w:rStyle w:val="FootnoteReference"/>
          <w:sz w:val="20"/>
          <w:szCs w:val="20"/>
        </w:rPr>
        <w:footnoteRef/>
      </w:r>
      <w:r w:rsidRPr="0070021A">
        <w:rPr>
          <w:sz w:val="20"/>
          <w:szCs w:val="20"/>
        </w:rPr>
        <w:t xml:space="preserve"> </w:t>
      </w:r>
      <w:r w:rsidRPr="0070021A">
        <w:rPr>
          <w:sz w:val="20"/>
          <w:szCs w:val="20"/>
        </w:rPr>
        <w:tab/>
      </w:r>
      <w:proofErr w:type="gramStart"/>
      <w:r w:rsidRPr="0070021A">
        <w:rPr>
          <w:sz w:val="20"/>
          <w:szCs w:val="20"/>
        </w:rPr>
        <w:t>66 Pa.C.S.</w:t>
      </w:r>
      <w:proofErr w:type="gramEnd"/>
      <w:r w:rsidRPr="0070021A">
        <w:rPr>
          <w:sz w:val="20"/>
          <w:szCs w:val="20"/>
        </w:rPr>
        <w:t xml:space="preserve"> </w:t>
      </w:r>
      <w:proofErr w:type="gramStart"/>
      <w:r w:rsidRPr="0070021A">
        <w:rPr>
          <w:sz w:val="20"/>
          <w:szCs w:val="20"/>
        </w:rPr>
        <w:t>§§ 1401 et seq., as amended and effective December 22, 2014.</w:t>
      </w:r>
      <w:proofErr w:type="gramEnd"/>
    </w:p>
  </w:footnote>
  <w:footnote w:id="12">
    <w:p w:rsidR="00997F24" w:rsidRPr="0070021A" w:rsidRDefault="00997F24" w:rsidP="0070021A">
      <w:pPr>
        <w:pStyle w:val="FootnoteText"/>
        <w:rPr>
          <w:sz w:val="20"/>
          <w:szCs w:val="20"/>
        </w:rPr>
      </w:pPr>
    </w:p>
    <w:p w:rsidR="00997F24" w:rsidRPr="0070021A" w:rsidRDefault="00997F24" w:rsidP="0070021A">
      <w:pPr>
        <w:pStyle w:val="FootnoteText"/>
        <w:rPr>
          <w:sz w:val="20"/>
          <w:szCs w:val="20"/>
        </w:rPr>
      </w:pPr>
      <w:r w:rsidRPr="0070021A">
        <w:rPr>
          <w:rStyle w:val="FootnoteReference"/>
          <w:sz w:val="20"/>
          <w:szCs w:val="20"/>
        </w:rPr>
        <w:footnoteRef/>
      </w:r>
      <w:r w:rsidRPr="0070021A">
        <w:rPr>
          <w:sz w:val="20"/>
          <w:szCs w:val="20"/>
        </w:rPr>
        <w:tab/>
        <w:t>In January or February of each year the federal government releases an official income level for poverty called the Federal Poverty Income Guidelines, often informally referred to as the "Federal Poverty Level." The benefit levels of many low-income assistance programs are based on these poverty guidelines.  For the year 2015, the federal poverty level for a family of three is at $20,090 gross annual income.</w:t>
      </w:r>
    </w:p>
  </w:footnote>
  <w:footnote w:id="13">
    <w:p w:rsidR="00997F24" w:rsidRPr="006F3FB0" w:rsidRDefault="00997F24" w:rsidP="00FB2FCC">
      <w:pPr>
        <w:pStyle w:val="FootnoteText"/>
        <w:rPr>
          <w:sz w:val="20"/>
          <w:szCs w:val="20"/>
        </w:rPr>
      </w:pPr>
      <w:r w:rsidRPr="006F3FB0">
        <w:rPr>
          <w:rStyle w:val="FootnoteReference"/>
          <w:sz w:val="20"/>
          <w:szCs w:val="20"/>
        </w:rPr>
        <w:footnoteRef/>
      </w:r>
      <w:r w:rsidRPr="006F3FB0">
        <w:rPr>
          <w:sz w:val="20"/>
          <w:szCs w:val="20"/>
        </w:rPr>
        <w:t xml:space="preserve"> </w:t>
      </w:r>
      <w:r w:rsidRPr="006F3FB0">
        <w:rPr>
          <w:sz w:val="20"/>
          <w:szCs w:val="20"/>
        </w:rPr>
        <w:tab/>
        <w:t>52 Pa.Code § 56.35</w:t>
      </w:r>
    </w:p>
  </w:footnote>
  <w:footnote w:id="14">
    <w:p w:rsidR="00997F24" w:rsidRPr="006F3FB0" w:rsidRDefault="00997F24" w:rsidP="00FB2FCC">
      <w:pPr>
        <w:pStyle w:val="FootnoteText"/>
        <w:rPr>
          <w:sz w:val="20"/>
          <w:szCs w:val="20"/>
        </w:rPr>
      </w:pPr>
    </w:p>
    <w:p w:rsidR="00997F24" w:rsidRPr="006F3FB0" w:rsidRDefault="00997F24" w:rsidP="00FB2FCC">
      <w:pPr>
        <w:pStyle w:val="FootnoteText"/>
        <w:rPr>
          <w:sz w:val="20"/>
          <w:szCs w:val="20"/>
        </w:rPr>
      </w:pPr>
      <w:r w:rsidRPr="006F3FB0">
        <w:rPr>
          <w:rStyle w:val="FootnoteReference"/>
          <w:sz w:val="20"/>
          <w:szCs w:val="20"/>
        </w:rPr>
        <w:footnoteRef/>
      </w:r>
      <w:r w:rsidRPr="006F3FB0">
        <w:rPr>
          <w:sz w:val="20"/>
          <w:szCs w:val="20"/>
        </w:rPr>
        <w:t xml:space="preserve"> </w:t>
      </w:r>
      <w:r w:rsidRPr="006F3FB0">
        <w:rPr>
          <w:sz w:val="20"/>
          <w:szCs w:val="20"/>
        </w:rPr>
        <w:tab/>
        <w:t>Id.</w:t>
      </w:r>
      <w:r>
        <w:rPr>
          <w:sz w:val="20"/>
          <w:szCs w:val="20"/>
        </w:rPr>
        <w:t xml:space="preserve"> </w:t>
      </w:r>
      <w:r w:rsidRPr="006F3FB0">
        <w:rPr>
          <w:sz w:val="20"/>
          <w:szCs w:val="20"/>
        </w:rPr>
        <w:t xml:space="preserve"> § 56.151</w:t>
      </w:r>
    </w:p>
    <w:p w:rsidR="00997F24" w:rsidRPr="006F3FB0" w:rsidRDefault="00997F24" w:rsidP="00FB2FCC">
      <w:pPr>
        <w:pStyle w:val="FootnoteText"/>
        <w:rPr>
          <w:sz w:val="20"/>
          <w:szCs w:val="20"/>
        </w:rPr>
      </w:pPr>
    </w:p>
  </w:footnote>
  <w:footnote w:id="15">
    <w:p w:rsidR="00997F24" w:rsidRPr="006F3FB0" w:rsidRDefault="00997F24" w:rsidP="00FB2FCC">
      <w:pPr>
        <w:pStyle w:val="FootnoteText"/>
        <w:rPr>
          <w:sz w:val="20"/>
          <w:szCs w:val="20"/>
        </w:rPr>
      </w:pPr>
      <w:r w:rsidRPr="006F3FB0">
        <w:rPr>
          <w:rStyle w:val="FootnoteReference"/>
          <w:sz w:val="20"/>
          <w:szCs w:val="20"/>
        </w:rPr>
        <w:footnoteRef/>
      </w:r>
      <w:r w:rsidRPr="006F3FB0">
        <w:rPr>
          <w:sz w:val="20"/>
          <w:szCs w:val="20"/>
        </w:rPr>
        <w:t xml:space="preserve"> </w:t>
      </w:r>
      <w:r w:rsidRPr="006F3FB0">
        <w:rPr>
          <w:sz w:val="20"/>
          <w:szCs w:val="20"/>
        </w:rPr>
        <w:tab/>
        <w:t xml:space="preserve">If the violation is intentional, the Commission should start with the presumption that the penalty will be in the range of $500.00 to $1,000.00 per day.  If the violation is negligent, the Commission should start with </w:t>
      </w:r>
    </w:p>
    <w:p w:rsidR="00997F24" w:rsidRPr="006F3FB0" w:rsidRDefault="00997F24" w:rsidP="00FB2FCC">
      <w:pPr>
        <w:pStyle w:val="FootnoteText"/>
        <w:rPr>
          <w:sz w:val="20"/>
          <w:szCs w:val="20"/>
        </w:rPr>
      </w:pPr>
      <w:proofErr w:type="gramStart"/>
      <w:r w:rsidRPr="006F3FB0">
        <w:rPr>
          <w:sz w:val="20"/>
          <w:szCs w:val="20"/>
        </w:rPr>
        <w:t>the</w:t>
      </w:r>
      <w:proofErr w:type="gramEnd"/>
      <w:r w:rsidRPr="006F3FB0">
        <w:rPr>
          <w:sz w:val="20"/>
          <w:szCs w:val="20"/>
        </w:rPr>
        <w:t xml:space="preserve"> presumption that the penalty will be in the range of zero dollars to $500.00 per day.  … [T]he Commission retains broad discretion in determining a total civil penalty amount that is reasonable on an individual case basis.  </w:t>
      </w:r>
    </w:p>
    <w:p w:rsidR="00997F24" w:rsidRPr="006F3FB0" w:rsidRDefault="00997F24" w:rsidP="00FB2FCC">
      <w:pPr>
        <w:pStyle w:val="FootnoteText"/>
        <w:ind w:left="1440"/>
        <w:rPr>
          <w:sz w:val="20"/>
          <w:szCs w:val="20"/>
        </w:rPr>
      </w:pPr>
    </w:p>
    <w:p w:rsidR="00997F24" w:rsidRPr="006F3FB0" w:rsidRDefault="00997F24" w:rsidP="00FB2FCC">
      <w:pPr>
        <w:pStyle w:val="FootnoteText"/>
        <w:ind w:left="1440" w:hanging="720"/>
        <w:rPr>
          <w:sz w:val="20"/>
          <w:szCs w:val="20"/>
        </w:rPr>
      </w:pPr>
      <w:r w:rsidRPr="006F3FB0">
        <w:rPr>
          <w:sz w:val="20"/>
          <w:szCs w:val="20"/>
        </w:rPr>
        <w:t xml:space="preserve">See </w:t>
      </w:r>
      <w:proofErr w:type="spellStart"/>
      <w:r w:rsidRPr="006F3FB0">
        <w:rPr>
          <w:i/>
          <w:sz w:val="20"/>
          <w:szCs w:val="20"/>
        </w:rPr>
        <w:t>Rosi</w:t>
      </w:r>
      <w:proofErr w:type="spellEnd"/>
      <w:r w:rsidRPr="006F3FB0">
        <w:rPr>
          <w:i/>
          <w:sz w:val="20"/>
          <w:szCs w:val="20"/>
        </w:rPr>
        <w:t>,</w:t>
      </w:r>
      <w:r w:rsidRPr="006F3FB0">
        <w:rPr>
          <w:sz w:val="20"/>
          <w:szCs w:val="20"/>
        </w:rPr>
        <w:t xml:space="preserve"> cited above. </w:t>
      </w:r>
    </w:p>
    <w:p w:rsidR="00997F24" w:rsidRDefault="00997F24" w:rsidP="00FB2FC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083465"/>
    <w:multiLevelType w:val="hybridMultilevel"/>
    <w:tmpl w:val="0B60E616"/>
    <w:lvl w:ilvl="0" w:tplc="DDC0A8A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1232A6E"/>
    <w:multiLevelType w:val="hybridMultilevel"/>
    <w:tmpl w:val="8B92CDFE"/>
    <w:lvl w:ilvl="0" w:tplc="31D628B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0"/>
    <w:rsid w:val="00001D0A"/>
    <w:rsid w:val="00002E64"/>
    <w:rsid w:val="0000465C"/>
    <w:rsid w:val="00007E88"/>
    <w:rsid w:val="00013325"/>
    <w:rsid w:val="00013A96"/>
    <w:rsid w:val="00023728"/>
    <w:rsid w:val="0002576F"/>
    <w:rsid w:val="00030664"/>
    <w:rsid w:val="00032743"/>
    <w:rsid w:val="0003634C"/>
    <w:rsid w:val="00044A76"/>
    <w:rsid w:val="00047480"/>
    <w:rsid w:val="0005126A"/>
    <w:rsid w:val="000531BB"/>
    <w:rsid w:val="00067B9D"/>
    <w:rsid w:val="00071A94"/>
    <w:rsid w:val="00071B3B"/>
    <w:rsid w:val="00076417"/>
    <w:rsid w:val="000861CD"/>
    <w:rsid w:val="00090109"/>
    <w:rsid w:val="00092F8E"/>
    <w:rsid w:val="0009628A"/>
    <w:rsid w:val="000A1ECA"/>
    <w:rsid w:val="000A39A8"/>
    <w:rsid w:val="000B2A72"/>
    <w:rsid w:val="000B4254"/>
    <w:rsid w:val="000B60BD"/>
    <w:rsid w:val="000C20F0"/>
    <w:rsid w:val="000C2B06"/>
    <w:rsid w:val="000C382E"/>
    <w:rsid w:val="000C4328"/>
    <w:rsid w:val="000C4669"/>
    <w:rsid w:val="000D6A38"/>
    <w:rsid w:val="000E3C68"/>
    <w:rsid w:val="000E7E79"/>
    <w:rsid w:val="000F2379"/>
    <w:rsid w:val="000F29F0"/>
    <w:rsid w:val="00101914"/>
    <w:rsid w:val="001022A4"/>
    <w:rsid w:val="0011073B"/>
    <w:rsid w:val="00112172"/>
    <w:rsid w:val="00114CE5"/>
    <w:rsid w:val="001249E3"/>
    <w:rsid w:val="00127D8F"/>
    <w:rsid w:val="0013329E"/>
    <w:rsid w:val="00133BD0"/>
    <w:rsid w:val="00134A73"/>
    <w:rsid w:val="0014166B"/>
    <w:rsid w:val="00141DD4"/>
    <w:rsid w:val="00144435"/>
    <w:rsid w:val="00147607"/>
    <w:rsid w:val="00147A0F"/>
    <w:rsid w:val="00147DD1"/>
    <w:rsid w:val="0015385F"/>
    <w:rsid w:val="00156F38"/>
    <w:rsid w:val="00165225"/>
    <w:rsid w:val="001675E6"/>
    <w:rsid w:val="00174F17"/>
    <w:rsid w:val="00181BFF"/>
    <w:rsid w:val="0018347B"/>
    <w:rsid w:val="0019361A"/>
    <w:rsid w:val="00193C3F"/>
    <w:rsid w:val="001A06FD"/>
    <w:rsid w:val="001A07DC"/>
    <w:rsid w:val="001A20A9"/>
    <w:rsid w:val="001B0061"/>
    <w:rsid w:val="001B3188"/>
    <w:rsid w:val="001C2591"/>
    <w:rsid w:val="001C40D9"/>
    <w:rsid w:val="001D1B76"/>
    <w:rsid w:val="001D4099"/>
    <w:rsid w:val="001D4208"/>
    <w:rsid w:val="001E3FFC"/>
    <w:rsid w:val="001E4EA5"/>
    <w:rsid w:val="001E64D8"/>
    <w:rsid w:val="001E7191"/>
    <w:rsid w:val="001F31F5"/>
    <w:rsid w:val="001F6C53"/>
    <w:rsid w:val="002007E7"/>
    <w:rsid w:val="00210656"/>
    <w:rsid w:val="00214671"/>
    <w:rsid w:val="0021753D"/>
    <w:rsid w:val="00221D78"/>
    <w:rsid w:val="00222194"/>
    <w:rsid w:val="00230A81"/>
    <w:rsid w:val="00230BA7"/>
    <w:rsid w:val="00230F19"/>
    <w:rsid w:val="0023240D"/>
    <w:rsid w:val="0024666D"/>
    <w:rsid w:val="0024684E"/>
    <w:rsid w:val="00251ABD"/>
    <w:rsid w:val="002539B4"/>
    <w:rsid w:val="00262C44"/>
    <w:rsid w:val="0026393A"/>
    <w:rsid w:val="00270F08"/>
    <w:rsid w:val="00272C97"/>
    <w:rsid w:val="0027357A"/>
    <w:rsid w:val="00277B22"/>
    <w:rsid w:val="0028007C"/>
    <w:rsid w:val="00283448"/>
    <w:rsid w:val="0028345F"/>
    <w:rsid w:val="00284252"/>
    <w:rsid w:val="002848EB"/>
    <w:rsid w:val="00285306"/>
    <w:rsid w:val="00286615"/>
    <w:rsid w:val="00287FDE"/>
    <w:rsid w:val="00290615"/>
    <w:rsid w:val="002A4D3A"/>
    <w:rsid w:val="002A599B"/>
    <w:rsid w:val="002B1CD8"/>
    <w:rsid w:val="002B31D9"/>
    <w:rsid w:val="002B385B"/>
    <w:rsid w:val="002B40AA"/>
    <w:rsid w:val="002C222E"/>
    <w:rsid w:val="002C454C"/>
    <w:rsid w:val="002D2CA0"/>
    <w:rsid w:val="002D7532"/>
    <w:rsid w:val="002E1B1E"/>
    <w:rsid w:val="002E2331"/>
    <w:rsid w:val="002E707A"/>
    <w:rsid w:val="002F352F"/>
    <w:rsid w:val="00305FFC"/>
    <w:rsid w:val="00307E90"/>
    <w:rsid w:val="00310C8E"/>
    <w:rsid w:val="003110A1"/>
    <w:rsid w:val="00311B15"/>
    <w:rsid w:val="00312CBD"/>
    <w:rsid w:val="003146F2"/>
    <w:rsid w:val="003161F9"/>
    <w:rsid w:val="00317B50"/>
    <w:rsid w:val="0032283E"/>
    <w:rsid w:val="003259A0"/>
    <w:rsid w:val="00325A90"/>
    <w:rsid w:val="003277F5"/>
    <w:rsid w:val="00330F3C"/>
    <w:rsid w:val="00330FE4"/>
    <w:rsid w:val="00331EB4"/>
    <w:rsid w:val="003414EA"/>
    <w:rsid w:val="00343A78"/>
    <w:rsid w:val="003449EF"/>
    <w:rsid w:val="00356B8D"/>
    <w:rsid w:val="00357832"/>
    <w:rsid w:val="0036797B"/>
    <w:rsid w:val="00382B05"/>
    <w:rsid w:val="00391CE6"/>
    <w:rsid w:val="003A02CC"/>
    <w:rsid w:val="003A29F6"/>
    <w:rsid w:val="003A3375"/>
    <w:rsid w:val="003B0163"/>
    <w:rsid w:val="003B2EC4"/>
    <w:rsid w:val="003B40EE"/>
    <w:rsid w:val="003B7643"/>
    <w:rsid w:val="003B7EFA"/>
    <w:rsid w:val="003C0286"/>
    <w:rsid w:val="003C0808"/>
    <w:rsid w:val="003C12AD"/>
    <w:rsid w:val="003C22D8"/>
    <w:rsid w:val="003C7B76"/>
    <w:rsid w:val="003D09F3"/>
    <w:rsid w:val="003D20B6"/>
    <w:rsid w:val="003E0B28"/>
    <w:rsid w:val="003E0FF1"/>
    <w:rsid w:val="003F0B64"/>
    <w:rsid w:val="003F1250"/>
    <w:rsid w:val="003F2454"/>
    <w:rsid w:val="003F2D92"/>
    <w:rsid w:val="00400EE8"/>
    <w:rsid w:val="004047CD"/>
    <w:rsid w:val="0040482E"/>
    <w:rsid w:val="00414758"/>
    <w:rsid w:val="00414D02"/>
    <w:rsid w:val="00416E92"/>
    <w:rsid w:val="00423D5F"/>
    <w:rsid w:val="00423FF7"/>
    <w:rsid w:val="00432FF8"/>
    <w:rsid w:val="00440E3E"/>
    <w:rsid w:val="00443A96"/>
    <w:rsid w:val="00445D52"/>
    <w:rsid w:val="00447560"/>
    <w:rsid w:val="00453AAD"/>
    <w:rsid w:val="004661C5"/>
    <w:rsid w:val="00471353"/>
    <w:rsid w:val="00483FCC"/>
    <w:rsid w:val="00496B60"/>
    <w:rsid w:val="004A22D8"/>
    <w:rsid w:val="004C03FB"/>
    <w:rsid w:val="004C485A"/>
    <w:rsid w:val="004C5829"/>
    <w:rsid w:val="004C5F21"/>
    <w:rsid w:val="004D1BD7"/>
    <w:rsid w:val="004D25D2"/>
    <w:rsid w:val="004D4B5E"/>
    <w:rsid w:val="004D6356"/>
    <w:rsid w:val="004D6DBC"/>
    <w:rsid w:val="004D7969"/>
    <w:rsid w:val="004D7CF9"/>
    <w:rsid w:val="004D7EA7"/>
    <w:rsid w:val="004D7F12"/>
    <w:rsid w:val="004E057C"/>
    <w:rsid w:val="004E5F34"/>
    <w:rsid w:val="004F0E66"/>
    <w:rsid w:val="004F6191"/>
    <w:rsid w:val="004F6425"/>
    <w:rsid w:val="004F68AE"/>
    <w:rsid w:val="004F754D"/>
    <w:rsid w:val="005038DA"/>
    <w:rsid w:val="00503D68"/>
    <w:rsid w:val="005043DB"/>
    <w:rsid w:val="0050441B"/>
    <w:rsid w:val="00507393"/>
    <w:rsid w:val="00514ED7"/>
    <w:rsid w:val="0051532D"/>
    <w:rsid w:val="005157B3"/>
    <w:rsid w:val="00516D85"/>
    <w:rsid w:val="00517663"/>
    <w:rsid w:val="0052353F"/>
    <w:rsid w:val="00525E7D"/>
    <w:rsid w:val="00530794"/>
    <w:rsid w:val="0053097F"/>
    <w:rsid w:val="005319D3"/>
    <w:rsid w:val="00532293"/>
    <w:rsid w:val="00536920"/>
    <w:rsid w:val="005374EA"/>
    <w:rsid w:val="005448D2"/>
    <w:rsid w:val="00544ED5"/>
    <w:rsid w:val="005477F2"/>
    <w:rsid w:val="0055503D"/>
    <w:rsid w:val="00555CAE"/>
    <w:rsid w:val="00557ED8"/>
    <w:rsid w:val="00560760"/>
    <w:rsid w:val="00562308"/>
    <w:rsid w:val="005801CA"/>
    <w:rsid w:val="00583722"/>
    <w:rsid w:val="00586C7B"/>
    <w:rsid w:val="00592338"/>
    <w:rsid w:val="005944C3"/>
    <w:rsid w:val="00595856"/>
    <w:rsid w:val="005A0561"/>
    <w:rsid w:val="005B0E51"/>
    <w:rsid w:val="005B2D8D"/>
    <w:rsid w:val="005B3CD7"/>
    <w:rsid w:val="005B6D29"/>
    <w:rsid w:val="005C04F9"/>
    <w:rsid w:val="005C091E"/>
    <w:rsid w:val="005C27E1"/>
    <w:rsid w:val="005C45C5"/>
    <w:rsid w:val="005C51CA"/>
    <w:rsid w:val="005D7639"/>
    <w:rsid w:val="005D79E4"/>
    <w:rsid w:val="005F2098"/>
    <w:rsid w:val="005F21B4"/>
    <w:rsid w:val="005F52AB"/>
    <w:rsid w:val="005F5D42"/>
    <w:rsid w:val="005F6386"/>
    <w:rsid w:val="005F7B45"/>
    <w:rsid w:val="006008E6"/>
    <w:rsid w:val="00612347"/>
    <w:rsid w:val="006144A7"/>
    <w:rsid w:val="006160ED"/>
    <w:rsid w:val="00617B0C"/>
    <w:rsid w:val="006240DC"/>
    <w:rsid w:val="0062476E"/>
    <w:rsid w:val="00632B04"/>
    <w:rsid w:val="006402BB"/>
    <w:rsid w:val="00641FE1"/>
    <w:rsid w:val="006427DB"/>
    <w:rsid w:val="00645714"/>
    <w:rsid w:val="0065029A"/>
    <w:rsid w:val="00650688"/>
    <w:rsid w:val="00650BE7"/>
    <w:rsid w:val="00651C1F"/>
    <w:rsid w:val="00653EC8"/>
    <w:rsid w:val="00655CC0"/>
    <w:rsid w:val="00656304"/>
    <w:rsid w:val="006617AF"/>
    <w:rsid w:val="00661E1F"/>
    <w:rsid w:val="00662E1F"/>
    <w:rsid w:val="00667D2F"/>
    <w:rsid w:val="00671AA5"/>
    <w:rsid w:val="0067570B"/>
    <w:rsid w:val="0068011D"/>
    <w:rsid w:val="00682995"/>
    <w:rsid w:val="006831CB"/>
    <w:rsid w:val="0068487D"/>
    <w:rsid w:val="006B0211"/>
    <w:rsid w:val="006B4B13"/>
    <w:rsid w:val="006B5D2E"/>
    <w:rsid w:val="006B6D09"/>
    <w:rsid w:val="006D3F2F"/>
    <w:rsid w:val="006D5CB3"/>
    <w:rsid w:val="006D69CD"/>
    <w:rsid w:val="006D74BE"/>
    <w:rsid w:val="006E0904"/>
    <w:rsid w:val="006E2973"/>
    <w:rsid w:val="006E3D4A"/>
    <w:rsid w:val="006E628A"/>
    <w:rsid w:val="006F3FB0"/>
    <w:rsid w:val="0070021A"/>
    <w:rsid w:val="00701AE8"/>
    <w:rsid w:val="00703D38"/>
    <w:rsid w:val="007079D9"/>
    <w:rsid w:val="00710043"/>
    <w:rsid w:val="00710B34"/>
    <w:rsid w:val="00710E83"/>
    <w:rsid w:val="007129B2"/>
    <w:rsid w:val="00720DC6"/>
    <w:rsid w:val="007232EC"/>
    <w:rsid w:val="00727619"/>
    <w:rsid w:val="00727DF2"/>
    <w:rsid w:val="00731013"/>
    <w:rsid w:val="007332B8"/>
    <w:rsid w:val="00735415"/>
    <w:rsid w:val="00735F77"/>
    <w:rsid w:val="00757E86"/>
    <w:rsid w:val="00761084"/>
    <w:rsid w:val="00767178"/>
    <w:rsid w:val="00770539"/>
    <w:rsid w:val="007755F5"/>
    <w:rsid w:val="00784ED5"/>
    <w:rsid w:val="00786E77"/>
    <w:rsid w:val="00790530"/>
    <w:rsid w:val="007914A3"/>
    <w:rsid w:val="007915FC"/>
    <w:rsid w:val="00794307"/>
    <w:rsid w:val="007A2502"/>
    <w:rsid w:val="007A2CC2"/>
    <w:rsid w:val="007A413A"/>
    <w:rsid w:val="007A793B"/>
    <w:rsid w:val="007B0E59"/>
    <w:rsid w:val="007B2190"/>
    <w:rsid w:val="007B5A68"/>
    <w:rsid w:val="007B5E2B"/>
    <w:rsid w:val="007C108E"/>
    <w:rsid w:val="007C1307"/>
    <w:rsid w:val="007C1646"/>
    <w:rsid w:val="007C69F3"/>
    <w:rsid w:val="007D5E18"/>
    <w:rsid w:val="007D6913"/>
    <w:rsid w:val="007D7DD8"/>
    <w:rsid w:val="007E0EA5"/>
    <w:rsid w:val="007E432C"/>
    <w:rsid w:val="007E5AA4"/>
    <w:rsid w:val="007E62FE"/>
    <w:rsid w:val="007F063D"/>
    <w:rsid w:val="007F3F8B"/>
    <w:rsid w:val="007F5BF4"/>
    <w:rsid w:val="008004E3"/>
    <w:rsid w:val="00805A77"/>
    <w:rsid w:val="00811818"/>
    <w:rsid w:val="00817167"/>
    <w:rsid w:val="008217B0"/>
    <w:rsid w:val="00821BD0"/>
    <w:rsid w:val="0082475C"/>
    <w:rsid w:val="008305FC"/>
    <w:rsid w:val="00832F90"/>
    <w:rsid w:val="00836B53"/>
    <w:rsid w:val="00837496"/>
    <w:rsid w:val="00837AEA"/>
    <w:rsid w:val="00841126"/>
    <w:rsid w:val="0084448E"/>
    <w:rsid w:val="008454FA"/>
    <w:rsid w:val="00847632"/>
    <w:rsid w:val="00851AA9"/>
    <w:rsid w:val="00861CE3"/>
    <w:rsid w:val="0086384C"/>
    <w:rsid w:val="00865938"/>
    <w:rsid w:val="00871C98"/>
    <w:rsid w:val="00891F94"/>
    <w:rsid w:val="008B3A4D"/>
    <w:rsid w:val="008B5D8D"/>
    <w:rsid w:val="008B706C"/>
    <w:rsid w:val="008C0075"/>
    <w:rsid w:val="008C0701"/>
    <w:rsid w:val="008C367C"/>
    <w:rsid w:val="008D32D1"/>
    <w:rsid w:val="008D5398"/>
    <w:rsid w:val="008D74AB"/>
    <w:rsid w:val="008E3108"/>
    <w:rsid w:val="008E3AB8"/>
    <w:rsid w:val="008F000A"/>
    <w:rsid w:val="008F12AA"/>
    <w:rsid w:val="00902426"/>
    <w:rsid w:val="00903AE6"/>
    <w:rsid w:val="009046F0"/>
    <w:rsid w:val="0091009D"/>
    <w:rsid w:val="009106E7"/>
    <w:rsid w:val="00910D4B"/>
    <w:rsid w:val="00911BF4"/>
    <w:rsid w:val="00912405"/>
    <w:rsid w:val="00915409"/>
    <w:rsid w:val="0092057A"/>
    <w:rsid w:val="009241B5"/>
    <w:rsid w:val="009277A6"/>
    <w:rsid w:val="00932A3A"/>
    <w:rsid w:val="0093371E"/>
    <w:rsid w:val="009342A8"/>
    <w:rsid w:val="0093789E"/>
    <w:rsid w:val="00940E78"/>
    <w:rsid w:val="009447A2"/>
    <w:rsid w:val="00953824"/>
    <w:rsid w:val="009561B6"/>
    <w:rsid w:val="00957582"/>
    <w:rsid w:val="009609C6"/>
    <w:rsid w:val="00962A2B"/>
    <w:rsid w:val="00962ED2"/>
    <w:rsid w:val="00971B57"/>
    <w:rsid w:val="009765C0"/>
    <w:rsid w:val="00976E42"/>
    <w:rsid w:val="00984E1A"/>
    <w:rsid w:val="00984F25"/>
    <w:rsid w:val="00992B78"/>
    <w:rsid w:val="0099348A"/>
    <w:rsid w:val="00993D4C"/>
    <w:rsid w:val="009967C2"/>
    <w:rsid w:val="00997F24"/>
    <w:rsid w:val="009A4881"/>
    <w:rsid w:val="009A70E2"/>
    <w:rsid w:val="009B07A3"/>
    <w:rsid w:val="009B1758"/>
    <w:rsid w:val="009B3A7E"/>
    <w:rsid w:val="009C195A"/>
    <w:rsid w:val="009D10D1"/>
    <w:rsid w:val="009D7F12"/>
    <w:rsid w:val="009E5EF9"/>
    <w:rsid w:val="009E76DB"/>
    <w:rsid w:val="009F0941"/>
    <w:rsid w:val="009F2182"/>
    <w:rsid w:val="009F3931"/>
    <w:rsid w:val="009F3B94"/>
    <w:rsid w:val="009F5B5B"/>
    <w:rsid w:val="00A064E0"/>
    <w:rsid w:val="00A10D51"/>
    <w:rsid w:val="00A15525"/>
    <w:rsid w:val="00A20077"/>
    <w:rsid w:val="00A209A0"/>
    <w:rsid w:val="00A27F56"/>
    <w:rsid w:val="00A350C6"/>
    <w:rsid w:val="00A36244"/>
    <w:rsid w:val="00A43021"/>
    <w:rsid w:val="00A4309F"/>
    <w:rsid w:val="00A51985"/>
    <w:rsid w:val="00A528B3"/>
    <w:rsid w:val="00A55397"/>
    <w:rsid w:val="00A57D80"/>
    <w:rsid w:val="00A61077"/>
    <w:rsid w:val="00A634CC"/>
    <w:rsid w:val="00A64660"/>
    <w:rsid w:val="00A6717D"/>
    <w:rsid w:val="00A73241"/>
    <w:rsid w:val="00A73C08"/>
    <w:rsid w:val="00A81A73"/>
    <w:rsid w:val="00A837F7"/>
    <w:rsid w:val="00A87CC2"/>
    <w:rsid w:val="00A9057C"/>
    <w:rsid w:val="00A90ECB"/>
    <w:rsid w:val="00A91B8A"/>
    <w:rsid w:val="00A97523"/>
    <w:rsid w:val="00A97C89"/>
    <w:rsid w:val="00AA1FE9"/>
    <w:rsid w:val="00AA2A0D"/>
    <w:rsid w:val="00AA67A2"/>
    <w:rsid w:val="00AA771B"/>
    <w:rsid w:val="00AA7A8C"/>
    <w:rsid w:val="00AC281D"/>
    <w:rsid w:val="00AC301C"/>
    <w:rsid w:val="00AC47A2"/>
    <w:rsid w:val="00AC549C"/>
    <w:rsid w:val="00AC72EB"/>
    <w:rsid w:val="00AD3FB4"/>
    <w:rsid w:val="00AD5107"/>
    <w:rsid w:val="00AE3E93"/>
    <w:rsid w:val="00AE5E44"/>
    <w:rsid w:val="00AF3BE2"/>
    <w:rsid w:val="00AF5AAB"/>
    <w:rsid w:val="00AF5D02"/>
    <w:rsid w:val="00AF6AB3"/>
    <w:rsid w:val="00AF6F73"/>
    <w:rsid w:val="00AF7E66"/>
    <w:rsid w:val="00B00093"/>
    <w:rsid w:val="00B000B7"/>
    <w:rsid w:val="00B00714"/>
    <w:rsid w:val="00B02DC7"/>
    <w:rsid w:val="00B05042"/>
    <w:rsid w:val="00B055C6"/>
    <w:rsid w:val="00B11DEA"/>
    <w:rsid w:val="00B14F90"/>
    <w:rsid w:val="00B162B5"/>
    <w:rsid w:val="00B20E77"/>
    <w:rsid w:val="00B23223"/>
    <w:rsid w:val="00B236FE"/>
    <w:rsid w:val="00B261EE"/>
    <w:rsid w:val="00B352C7"/>
    <w:rsid w:val="00B36AB7"/>
    <w:rsid w:val="00B37EC9"/>
    <w:rsid w:val="00B37F31"/>
    <w:rsid w:val="00B412C5"/>
    <w:rsid w:val="00B41555"/>
    <w:rsid w:val="00B42476"/>
    <w:rsid w:val="00B44F17"/>
    <w:rsid w:val="00B4557C"/>
    <w:rsid w:val="00B51A85"/>
    <w:rsid w:val="00B54EEE"/>
    <w:rsid w:val="00B61132"/>
    <w:rsid w:val="00B64303"/>
    <w:rsid w:val="00B648E6"/>
    <w:rsid w:val="00B67309"/>
    <w:rsid w:val="00B679CF"/>
    <w:rsid w:val="00B716C8"/>
    <w:rsid w:val="00B73E09"/>
    <w:rsid w:val="00B85F24"/>
    <w:rsid w:val="00B87F72"/>
    <w:rsid w:val="00B9493E"/>
    <w:rsid w:val="00BA0C0A"/>
    <w:rsid w:val="00BA13C0"/>
    <w:rsid w:val="00BA74EA"/>
    <w:rsid w:val="00BB28EC"/>
    <w:rsid w:val="00BB4759"/>
    <w:rsid w:val="00BB7BC3"/>
    <w:rsid w:val="00BC04A1"/>
    <w:rsid w:val="00BD080B"/>
    <w:rsid w:val="00BD212A"/>
    <w:rsid w:val="00BE0C84"/>
    <w:rsid w:val="00BE657C"/>
    <w:rsid w:val="00BE65D7"/>
    <w:rsid w:val="00C02A66"/>
    <w:rsid w:val="00C0577E"/>
    <w:rsid w:val="00C0609E"/>
    <w:rsid w:val="00C10AC2"/>
    <w:rsid w:val="00C13B0C"/>
    <w:rsid w:val="00C14A17"/>
    <w:rsid w:val="00C21E14"/>
    <w:rsid w:val="00C23C8A"/>
    <w:rsid w:val="00C23D84"/>
    <w:rsid w:val="00C308B8"/>
    <w:rsid w:val="00C47D7E"/>
    <w:rsid w:val="00C515B6"/>
    <w:rsid w:val="00C52436"/>
    <w:rsid w:val="00C612CF"/>
    <w:rsid w:val="00C61538"/>
    <w:rsid w:val="00C6679F"/>
    <w:rsid w:val="00C667C5"/>
    <w:rsid w:val="00C7171D"/>
    <w:rsid w:val="00C71EBE"/>
    <w:rsid w:val="00C72FD1"/>
    <w:rsid w:val="00C755A1"/>
    <w:rsid w:val="00C763C9"/>
    <w:rsid w:val="00C83869"/>
    <w:rsid w:val="00C84E28"/>
    <w:rsid w:val="00C86DF8"/>
    <w:rsid w:val="00C93AB0"/>
    <w:rsid w:val="00C9413F"/>
    <w:rsid w:val="00CA0081"/>
    <w:rsid w:val="00CA361E"/>
    <w:rsid w:val="00CA57FF"/>
    <w:rsid w:val="00CB1E7C"/>
    <w:rsid w:val="00CB76A1"/>
    <w:rsid w:val="00CC0498"/>
    <w:rsid w:val="00CC5855"/>
    <w:rsid w:val="00CC60DB"/>
    <w:rsid w:val="00CC6C97"/>
    <w:rsid w:val="00CD156E"/>
    <w:rsid w:val="00CD4D01"/>
    <w:rsid w:val="00CE06EB"/>
    <w:rsid w:val="00CE2B68"/>
    <w:rsid w:val="00CE3435"/>
    <w:rsid w:val="00CF7BC6"/>
    <w:rsid w:val="00D01819"/>
    <w:rsid w:val="00D15F5A"/>
    <w:rsid w:val="00D232FA"/>
    <w:rsid w:val="00D255C4"/>
    <w:rsid w:val="00D2647B"/>
    <w:rsid w:val="00D32CDE"/>
    <w:rsid w:val="00D36E8E"/>
    <w:rsid w:val="00D37404"/>
    <w:rsid w:val="00D419F7"/>
    <w:rsid w:val="00D458AA"/>
    <w:rsid w:val="00D47232"/>
    <w:rsid w:val="00D524AD"/>
    <w:rsid w:val="00D535EA"/>
    <w:rsid w:val="00D57650"/>
    <w:rsid w:val="00D62CE8"/>
    <w:rsid w:val="00D70EEC"/>
    <w:rsid w:val="00D74847"/>
    <w:rsid w:val="00D765C5"/>
    <w:rsid w:val="00D9137E"/>
    <w:rsid w:val="00D970EB"/>
    <w:rsid w:val="00D97191"/>
    <w:rsid w:val="00DA48A7"/>
    <w:rsid w:val="00DA5766"/>
    <w:rsid w:val="00DA6812"/>
    <w:rsid w:val="00DB2C69"/>
    <w:rsid w:val="00DB2CBF"/>
    <w:rsid w:val="00DB36A5"/>
    <w:rsid w:val="00DB3B0B"/>
    <w:rsid w:val="00DB641E"/>
    <w:rsid w:val="00DB728B"/>
    <w:rsid w:val="00DC0A6D"/>
    <w:rsid w:val="00DC4552"/>
    <w:rsid w:val="00DC657E"/>
    <w:rsid w:val="00DD3BD0"/>
    <w:rsid w:val="00DE7A04"/>
    <w:rsid w:val="00DF33FC"/>
    <w:rsid w:val="00DF4BC3"/>
    <w:rsid w:val="00DF4DC7"/>
    <w:rsid w:val="00DF656F"/>
    <w:rsid w:val="00DF7D93"/>
    <w:rsid w:val="00E03747"/>
    <w:rsid w:val="00E04D44"/>
    <w:rsid w:val="00E10C87"/>
    <w:rsid w:val="00E12112"/>
    <w:rsid w:val="00E177AC"/>
    <w:rsid w:val="00E178A5"/>
    <w:rsid w:val="00E226D6"/>
    <w:rsid w:val="00E227C1"/>
    <w:rsid w:val="00E26D95"/>
    <w:rsid w:val="00E31046"/>
    <w:rsid w:val="00E32548"/>
    <w:rsid w:val="00E325D7"/>
    <w:rsid w:val="00E35B0A"/>
    <w:rsid w:val="00E40C4A"/>
    <w:rsid w:val="00E54720"/>
    <w:rsid w:val="00E555C9"/>
    <w:rsid w:val="00E668BC"/>
    <w:rsid w:val="00E7072D"/>
    <w:rsid w:val="00E8018D"/>
    <w:rsid w:val="00E80BE0"/>
    <w:rsid w:val="00E87C2E"/>
    <w:rsid w:val="00E96689"/>
    <w:rsid w:val="00EC2BC0"/>
    <w:rsid w:val="00EC5578"/>
    <w:rsid w:val="00ED03AA"/>
    <w:rsid w:val="00ED3223"/>
    <w:rsid w:val="00ED458A"/>
    <w:rsid w:val="00ED5FA3"/>
    <w:rsid w:val="00ED6E7A"/>
    <w:rsid w:val="00EE3D3B"/>
    <w:rsid w:val="00EE5AD4"/>
    <w:rsid w:val="00EE63A4"/>
    <w:rsid w:val="00EF0E97"/>
    <w:rsid w:val="00EF22C4"/>
    <w:rsid w:val="00EF3045"/>
    <w:rsid w:val="00EF3B96"/>
    <w:rsid w:val="00EF5600"/>
    <w:rsid w:val="00EF595D"/>
    <w:rsid w:val="00F03C93"/>
    <w:rsid w:val="00F05237"/>
    <w:rsid w:val="00F0562E"/>
    <w:rsid w:val="00F075EB"/>
    <w:rsid w:val="00F127A9"/>
    <w:rsid w:val="00F17BAB"/>
    <w:rsid w:val="00F21F2D"/>
    <w:rsid w:val="00F23194"/>
    <w:rsid w:val="00F23E08"/>
    <w:rsid w:val="00F275BE"/>
    <w:rsid w:val="00F278EF"/>
    <w:rsid w:val="00F32323"/>
    <w:rsid w:val="00F3541B"/>
    <w:rsid w:val="00F41162"/>
    <w:rsid w:val="00F41845"/>
    <w:rsid w:val="00F42F05"/>
    <w:rsid w:val="00F55D2B"/>
    <w:rsid w:val="00F567CF"/>
    <w:rsid w:val="00F573B0"/>
    <w:rsid w:val="00F57B3A"/>
    <w:rsid w:val="00F60010"/>
    <w:rsid w:val="00F61112"/>
    <w:rsid w:val="00F63F78"/>
    <w:rsid w:val="00F65DC3"/>
    <w:rsid w:val="00F67943"/>
    <w:rsid w:val="00F80976"/>
    <w:rsid w:val="00F811DB"/>
    <w:rsid w:val="00F83EEA"/>
    <w:rsid w:val="00F84B1C"/>
    <w:rsid w:val="00F85DDA"/>
    <w:rsid w:val="00F86C66"/>
    <w:rsid w:val="00F952AE"/>
    <w:rsid w:val="00FB14DB"/>
    <w:rsid w:val="00FB2FCC"/>
    <w:rsid w:val="00FC3E8D"/>
    <w:rsid w:val="00FC5AE2"/>
    <w:rsid w:val="00FC77E5"/>
    <w:rsid w:val="00FD00BB"/>
    <w:rsid w:val="00FD6CBA"/>
    <w:rsid w:val="00FE0B78"/>
    <w:rsid w:val="00FE7D4A"/>
    <w:rsid w:val="00FF0D30"/>
    <w:rsid w:val="00FF2FE1"/>
    <w:rsid w:val="00FF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rPr>
  </w:style>
  <w:style w:type="character" w:customStyle="1" w:styleId="TitleChar">
    <w:name w:val="Title Char"/>
    <w:basedOn w:val="DefaultParagraphFont"/>
    <w:link w:val="Title"/>
    <w:rsid w:val="009765C0"/>
    <w:rPr>
      <w:rFonts w:eastAsia="Times New Roman" w:cs="Times New Roman"/>
      <w:b/>
      <w:szCs w:val="20"/>
    </w:rPr>
  </w:style>
  <w:style w:type="paragraph" w:styleId="FootnoteText">
    <w:name w:val="footnote text"/>
    <w:basedOn w:val="Normal"/>
    <w:link w:val="FootnoteTextChar"/>
    <w:uiPriority w:val="99"/>
    <w:semiHidden/>
    <w:unhideWhenUsed/>
    <w:rsid w:val="007E432C"/>
  </w:style>
  <w:style w:type="character" w:customStyle="1" w:styleId="FootnoteTextChar">
    <w:name w:val="Footnote Text Char"/>
    <w:basedOn w:val="DefaultParagraphFont"/>
    <w:link w:val="FootnoteText"/>
    <w:uiPriority w:val="99"/>
    <w:semiHidden/>
    <w:rsid w:val="007E432C"/>
    <w:rPr>
      <w:rFonts w:eastAsia="Times New Roman" w:cs="Times New Roman"/>
      <w:sz w:val="20"/>
      <w:szCs w:val="20"/>
    </w:rPr>
  </w:style>
  <w:style w:type="character" w:styleId="FootnoteReference">
    <w:name w:val="footnote reference"/>
    <w:basedOn w:val="DefaultParagraphFont"/>
    <w:rsid w:val="007E432C"/>
    <w:rPr>
      <w:vertAlign w:val="superscript"/>
    </w:rPr>
  </w:style>
  <w:style w:type="character" w:styleId="Hyperlink">
    <w:name w:val="Hyperlink"/>
    <w:basedOn w:val="DefaultParagraphFont"/>
    <w:rsid w:val="005F5D42"/>
    <w:rPr>
      <w:color w:val="0000FF"/>
      <w:u w:val="single"/>
    </w:rPr>
  </w:style>
  <w:style w:type="character" w:customStyle="1" w:styleId="term1">
    <w:name w:val="term1"/>
    <w:basedOn w:val="DefaultParagraphFont"/>
    <w:rsid w:val="005F5D42"/>
    <w:rPr>
      <w:b/>
      <w:bCs/>
    </w:rPr>
  </w:style>
  <w:style w:type="character" w:styleId="Emphasis">
    <w:name w:val="Emphasis"/>
    <w:basedOn w:val="DefaultParagraphFont"/>
    <w:qFormat/>
    <w:rsid w:val="005F5D42"/>
    <w:rPr>
      <w:i/>
      <w:iCs/>
    </w:rPr>
  </w:style>
  <w:style w:type="paragraph" w:styleId="ListParagraph">
    <w:name w:val="List Paragraph"/>
    <w:basedOn w:val="Normal"/>
    <w:uiPriority w:val="34"/>
    <w:qFormat/>
    <w:rsid w:val="005F5D42"/>
    <w:pPr>
      <w:widowControl w:val="0"/>
      <w:ind w:left="720"/>
      <w:contextualSpacing/>
    </w:pPr>
  </w:style>
  <w:style w:type="character" w:customStyle="1" w:styleId="Hyperlink6">
    <w:name w:val="Hyperlink6"/>
    <w:basedOn w:val="DefaultParagraphFont"/>
    <w:rsid w:val="00C6679F"/>
    <w:rPr>
      <w:color w:val="3300CC"/>
      <w:u w:val="single"/>
    </w:rPr>
  </w:style>
  <w:style w:type="character" w:customStyle="1" w:styleId="pmterms11">
    <w:name w:val="pmterms11"/>
    <w:basedOn w:val="DefaultParagraphFont"/>
    <w:rsid w:val="00C6679F"/>
    <w:rPr>
      <w:b/>
      <w:bCs/>
      <w:i w:val="0"/>
      <w:iCs w:val="0"/>
      <w:color w:val="000000"/>
    </w:rPr>
  </w:style>
  <w:style w:type="paragraph" w:styleId="Header">
    <w:name w:val="header"/>
    <w:basedOn w:val="Normal"/>
    <w:link w:val="HeaderChar"/>
    <w:uiPriority w:val="99"/>
    <w:unhideWhenUsed/>
    <w:rsid w:val="00101914"/>
    <w:pPr>
      <w:tabs>
        <w:tab w:val="center" w:pos="4680"/>
        <w:tab w:val="right" w:pos="9360"/>
      </w:tabs>
    </w:pPr>
  </w:style>
  <w:style w:type="character" w:customStyle="1" w:styleId="HeaderChar">
    <w:name w:val="Header Char"/>
    <w:basedOn w:val="DefaultParagraphFont"/>
    <w:link w:val="Header"/>
    <w:uiPriority w:val="99"/>
    <w:rsid w:val="00101914"/>
    <w:rPr>
      <w:rFonts w:eastAsia="Times New Roman" w:cs="Times New Roman"/>
      <w:sz w:val="20"/>
      <w:szCs w:val="20"/>
    </w:rPr>
  </w:style>
  <w:style w:type="paragraph" w:styleId="Footer">
    <w:name w:val="footer"/>
    <w:basedOn w:val="Normal"/>
    <w:link w:val="FooterChar"/>
    <w:uiPriority w:val="99"/>
    <w:unhideWhenUsed/>
    <w:rsid w:val="00101914"/>
    <w:pPr>
      <w:tabs>
        <w:tab w:val="center" w:pos="4680"/>
        <w:tab w:val="right" w:pos="9360"/>
      </w:tabs>
    </w:pPr>
  </w:style>
  <w:style w:type="character" w:customStyle="1" w:styleId="FooterChar">
    <w:name w:val="Footer Char"/>
    <w:basedOn w:val="DefaultParagraphFont"/>
    <w:link w:val="Footer"/>
    <w:uiPriority w:val="99"/>
    <w:rsid w:val="00101914"/>
    <w:rPr>
      <w:rFonts w:eastAsia="Times New Roman" w:cs="Times New Roman"/>
      <w:sz w:val="20"/>
      <w:szCs w:val="20"/>
    </w:rPr>
  </w:style>
  <w:style w:type="table" w:styleId="TableGrid">
    <w:name w:val="Table Grid"/>
    <w:basedOn w:val="TableNormal"/>
    <w:uiPriority w:val="59"/>
    <w:rsid w:val="0023240D"/>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3789E"/>
    <w:rPr>
      <w:rFonts w:ascii="Tahoma" w:hAnsi="Tahoma" w:cs="Tahoma"/>
      <w:sz w:val="16"/>
      <w:szCs w:val="16"/>
    </w:rPr>
  </w:style>
  <w:style w:type="character" w:customStyle="1" w:styleId="BalloonTextChar">
    <w:name w:val="Balloon Text Char"/>
    <w:basedOn w:val="DefaultParagraphFont"/>
    <w:link w:val="BalloonText"/>
    <w:uiPriority w:val="99"/>
    <w:semiHidden/>
    <w:rsid w:val="00937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rPr>
  </w:style>
  <w:style w:type="character" w:customStyle="1" w:styleId="TitleChar">
    <w:name w:val="Title Char"/>
    <w:basedOn w:val="DefaultParagraphFont"/>
    <w:link w:val="Title"/>
    <w:rsid w:val="009765C0"/>
    <w:rPr>
      <w:rFonts w:eastAsia="Times New Roman" w:cs="Times New Roman"/>
      <w:b/>
      <w:szCs w:val="20"/>
    </w:rPr>
  </w:style>
  <w:style w:type="paragraph" w:styleId="FootnoteText">
    <w:name w:val="footnote text"/>
    <w:basedOn w:val="Normal"/>
    <w:link w:val="FootnoteTextChar"/>
    <w:uiPriority w:val="99"/>
    <w:semiHidden/>
    <w:unhideWhenUsed/>
    <w:rsid w:val="007E432C"/>
  </w:style>
  <w:style w:type="character" w:customStyle="1" w:styleId="FootnoteTextChar">
    <w:name w:val="Footnote Text Char"/>
    <w:basedOn w:val="DefaultParagraphFont"/>
    <w:link w:val="FootnoteText"/>
    <w:uiPriority w:val="99"/>
    <w:semiHidden/>
    <w:rsid w:val="007E432C"/>
    <w:rPr>
      <w:rFonts w:eastAsia="Times New Roman" w:cs="Times New Roman"/>
      <w:sz w:val="20"/>
      <w:szCs w:val="20"/>
    </w:rPr>
  </w:style>
  <w:style w:type="character" w:styleId="FootnoteReference">
    <w:name w:val="footnote reference"/>
    <w:basedOn w:val="DefaultParagraphFont"/>
    <w:rsid w:val="007E432C"/>
    <w:rPr>
      <w:vertAlign w:val="superscript"/>
    </w:rPr>
  </w:style>
  <w:style w:type="character" w:styleId="Hyperlink">
    <w:name w:val="Hyperlink"/>
    <w:basedOn w:val="DefaultParagraphFont"/>
    <w:rsid w:val="005F5D42"/>
    <w:rPr>
      <w:color w:val="0000FF"/>
      <w:u w:val="single"/>
    </w:rPr>
  </w:style>
  <w:style w:type="character" w:customStyle="1" w:styleId="term1">
    <w:name w:val="term1"/>
    <w:basedOn w:val="DefaultParagraphFont"/>
    <w:rsid w:val="005F5D42"/>
    <w:rPr>
      <w:b/>
      <w:bCs/>
    </w:rPr>
  </w:style>
  <w:style w:type="character" w:styleId="Emphasis">
    <w:name w:val="Emphasis"/>
    <w:basedOn w:val="DefaultParagraphFont"/>
    <w:qFormat/>
    <w:rsid w:val="005F5D42"/>
    <w:rPr>
      <w:i/>
      <w:iCs/>
    </w:rPr>
  </w:style>
  <w:style w:type="paragraph" w:styleId="ListParagraph">
    <w:name w:val="List Paragraph"/>
    <w:basedOn w:val="Normal"/>
    <w:uiPriority w:val="34"/>
    <w:qFormat/>
    <w:rsid w:val="005F5D42"/>
    <w:pPr>
      <w:widowControl w:val="0"/>
      <w:ind w:left="720"/>
      <w:contextualSpacing/>
    </w:pPr>
  </w:style>
  <w:style w:type="character" w:customStyle="1" w:styleId="Hyperlink6">
    <w:name w:val="Hyperlink6"/>
    <w:basedOn w:val="DefaultParagraphFont"/>
    <w:rsid w:val="00C6679F"/>
    <w:rPr>
      <w:color w:val="3300CC"/>
      <w:u w:val="single"/>
    </w:rPr>
  </w:style>
  <w:style w:type="character" w:customStyle="1" w:styleId="pmterms11">
    <w:name w:val="pmterms11"/>
    <w:basedOn w:val="DefaultParagraphFont"/>
    <w:rsid w:val="00C6679F"/>
    <w:rPr>
      <w:b/>
      <w:bCs/>
      <w:i w:val="0"/>
      <w:iCs w:val="0"/>
      <w:color w:val="000000"/>
    </w:rPr>
  </w:style>
  <w:style w:type="paragraph" w:styleId="Header">
    <w:name w:val="header"/>
    <w:basedOn w:val="Normal"/>
    <w:link w:val="HeaderChar"/>
    <w:uiPriority w:val="99"/>
    <w:unhideWhenUsed/>
    <w:rsid w:val="00101914"/>
    <w:pPr>
      <w:tabs>
        <w:tab w:val="center" w:pos="4680"/>
        <w:tab w:val="right" w:pos="9360"/>
      </w:tabs>
    </w:pPr>
  </w:style>
  <w:style w:type="character" w:customStyle="1" w:styleId="HeaderChar">
    <w:name w:val="Header Char"/>
    <w:basedOn w:val="DefaultParagraphFont"/>
    <w:link w:val="Header"/>
    <w:uiPriority w:val="99"/>
    <w:rsid w:val="00101914"/>
    <w:rPr>
      <w:rFonts w:eastAsia="Times New Roman" w:cs="Times New Roman"/>
      <w:sz w:val="20"/>
      <w:szCs w:val="20"/>
    </w:rPr>
  </w:style>
  <w:style w:type="paragraph" w:styleId="Footer">
    <w:name w:val="footer"/>
    <w:basedOn w:val="Normal"/>
    <w:link w:val="FooterChar"/>
    <w:uiPriority w:val="99"/>
    <w:unhideWhenUsed/>
    <w:rsid w:val="00101914"/>
    <w:pPr>
      <w:tabs>
        <w:tab w:val="center" w:pos="4680"/>
        <w:tab w:val="right" w:pos="9360"/>
      </w:tabs>
    </w:pPr>
  </w:style>
  <w:style w:type="character" w:customStyle="1" w:styleId="FooterChar">
    <w:name w:val="Footer Char"/>
    <w:basedOn w:val="DefaultParagraphFont"/>
    <w:link w:val="Footer"/>
    <w:uiPriority w:val="99"/>
    <w:rsid w:val="00101914"/>
    <w:rPr>
      <w:rFonts w:eastAsia="Times New Roman" w:cs="Times New Roman"/>
      <w:sz w:val="20"/>
      <w:szCs w:val="20"/>
    </w:rPr>
  </w:style>
  <w:style w:type="table" w:styleId="TableGrid">
    <w:name w:val="Table Grid"/>
    <w:basedOn w:val="TableNormal"/>
    <w:uiPriority w:val="59"/>
    <w:rsid w:val="0023240D"/>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3789E"/>
    <w:rPr>
      <w:rFonts w:ascii="Tahoma" w:hAnsi="Tahoma" w:cs="Tahoma"/>
      <w:sz w:val="16"/>
      <w:szCs w:val="16"/>
    </w:rPr>
  </w:style>
  <w:style w:type="character" w:customStyle="1" w:styleId="BalloonTextChar">
    <w:name w:val="Balloon Text Char"/>
    <w:basedOn w:val="DefaultParagraphFont"/>
    <w:link w:val="BalloonText"/>
    <w:uiPriority w:val="99"/>
    <w:semiHidden/>
    <w:rsid w:val="00937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66396">
      <w:bodyDiv w:val="1"/>
      <w:marLeft w:val="0"/>
      <w:marRight w:val="0"/>
      <w:marTop w:val="0"/>
      <w:marBottom w:val="0"/>
      <w:divBdr>
        <w:top w:val="none" w:sz="0" w:space="0" w:color="auto"/>
        <w:left w:val="none" w:sz="0" w:space="0" w:color="auto"/>
        <w:bottom w:val="none" w:sz="0" w:space="0" w:color="auto"/>
        <w:right w:val="none" w:sz="0" w:space="0" w:color="auto"/>
      </w:divBdr>
    </w:div>
    <w:div w:id="16116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E997-B5EB-4F66-A476-D2D509BE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9935</Words>
  <Characters>56634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shoffner</cp:lastModifiedBy>
  <cp:revision>3</cp:revision>
  <cp:lastPrinted>2015-10-29T16:41:00Z</cp:lastPrinted>
  <dcterms:created xsi:type="dcterms:W3CDTF">2015-10-28T19:19:00Z</dcterms:created>
  <dcterms:modified xsi:type="dcterms:W3CDTF">2015-10-29T16:42:00Z</dcterms:modified>
</cp:coreProperties>
</file>