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Default="00E22703" w:rsidP="00555AB2">
      <w:pPr>
        <w:rPr>
          <w:bCs/>
        </w:rPr>
      </w:pPr>
    </w:p>
    <w:p w:rsidR="006B62D1" w:rsidRPr="00550B34" w:rsidRDefault="006B62D1"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Default="00D65D31" w:rsidP="00D65D31">
      <w:pPr>
        <w:tabs>
          <w:tab w:val="left" w:pos="-720"/>
          <w:tab w:val="left" w:pos="5040"/>
        </w:tabs>
        <w:suppressAutoHyphens/>
        <w:jc w:val="both"/>
        <w:rPr>
          <w:spacing w:val="-3"/>
        </w:rPr>
      </w:pPr>
    </w:p>
    <w:p w:rsidR="006B62D1" w:rsidRPr="00D65D31" w:rsidRDefault="006B62D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1F27AF" w:rsidRDefault="0093238A" w:rsidP="00A478F2">
      <w:pPr>
        <w:jc w:val="center"/>
        <w:rPr>
          <w:b/>
          <w:u w:val="single"/>
        </w:rPr>
      </w:pPr>
      <w:r>
        <w:rPr>
          <w:b/>
          <w:u w:val="single"/>
        </w:rPr>
        <w:t>ORDER</w:t>
      </w:r>
      <w:r w:rsidR="00DF7D8C">
        <w:rPr>
          <w:b/>
          <w:u w:val="single"/>
        </w:rPr>
        <w:t xml:space="preserve"> </w:t>
      </w:r>
      <w:r w:rsidR="00B53B14">
        <w:rPr>
          <w:b/>
          <w:u w:val="single"/>
        </w:rPr>
        <w:t xml:space="preserve">DENYING </w:t>
      </w:r>
      <w:r>
        <w:rPr>
          <w:b/>
          <w:u w:val="single"/>
        </w:rPr>
        <w:t>MOTION TO COMPEL</w:t>
      </w:r>
      <w:r w:rsidR="00DF7D8C">
        <w:rPr>
          <w:b/>
          <w:u w:val="single"/>
        </w:rPr>
        <w:t xml:space="preserve"> </w:t>
      </w:r>
      <w:r>
        <w:rPr>
          <w:b/>
          <w:u w:val="single"/>
        </w:rPr>
        <w:t>RESPONSES</w:t>
      </w:r>
    </w:p>
    <w:p w:rsidR="0093238A" w:rsidRPr="00A478F2" w:rsidRDefault="0093238A" w:rsidP="00A478F2">
      <w:pPr>
        <w:jc w:val="center"/>
        <w:rPr>
          <w:b/>
          <w:u w:val="single"/>
        </w:rPr>
      </w:pPr>
      <w:r>
        <w:rPr>
          <w:b/>
          <w:u w:val="single"/>
        </w:rPr>
        <w:t>TO</w:t>
      </w:r>
      <w:r w:rsidR="001F27AF">
        <w:rPr>
          <w:b/>
          <w:u w:val="single"/>
        </w:rPr>
        <w:t xml:space="preserve"> </w:t>
      </w:r>
      <w:r w:rsidR="00B53B14">
        <w:rPr>
          <w:b/>
          <w:u w:val="single"/>
        </w:rPr>
        <w:t>BLUE PILOT ENERGY, LLC’S</w:t>
      </w:r>
      <w:r>
        <w:rPr>
          <w:b/>
          <w:u w:val="single"/>
        </w:rPr>
        <w:t xml:space="preserve"> INTERROGATORIES </w:t>
      </w:r>
      <w:r w:rsidR="00DF7D8C">
        <w:rPr>
          <w:b/>
          <w:u w:val="single"/>
        </w:rPr>
        <w:t xml:space="preserve">SET </w:t>
      </w:r>
      <w:r w:rsidR="000367C1">
        <w:rPr>
          <w:b/>
          <w:u w:val="single"/>
        </w:rPr>
        <w:t>I</w:t>
      </w:r>
    </w:p>
    <w:p w:rsidR="00B81993" w:rsidRDefault="00B81993" w:rsidP="006B62D1">
      <w:pPr>
        <w:widowControl w:val="0"/>
        <w:adjustRightInd w:val="0"/>
        <w:ind w:firstLine="1440"/>
        <w:rPr>
          <w:bCs/>
          <w:color w:val="000000"/>
        </w:rPr>
      </w:pPr>
    </w:p>
    <w:p w:rsidR="006B62D1" w:rsidRDefault="006B62D1" w:rsidP="006B62D1">
      <w:pPr>
        <w:widowControl w:val="0"/>
        <w:adjustRightInd w:val="0"/>
        <w:ind w:firstLine="1440"/>
        <w:rPr>
          <w:bCs/>
          <w:color w:val="000000"/>
        </w:rPr>
      </w:pPr>
    </w:p>
    <w:p w:rsidR="00B62154" w:rsidRDefault="00897507" w:rsidP="006B62D1">
      <w:pPr>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w:t>
      </w:r>
      <w:r w:rsidR="004B155F">
        <w:rPr>
          <w:bCs/>
          <w:color w:val="000000"/>
        </w:rPr>
        <w:t xml:space="preserve">at </w:t>
      </w:r>
      <w:r w:rsidR="00D0637A" w:rsidRPr="00AA4292">
        <w:rPr>
          <w:bCs/>
          <w:color w:val="000000"/>
        </w:rPr>
        <w:t>Docket N</w:t>
      </w:r>
      <w:r w:rsidR="004B155F">
        <w:rPr>
          <w:bCs/>
          <w:color w:val="000000"/>
        </w:rPr>
        <w:t>o.</w:t>
      </w:r>
      <w:r w:rsidR="00D0637A" w:rsidRPr="00AA4292">
        <w:rPr>
          <w:bCs/>
          <w:color w:val="000000"/>
        </w:rPr>
        <w:t xml:space="preserve"> </w:t>
      </w:r>
      <w:proofErr w:type="gramStart"/>
      <w:r w:rsidR="00D0637A" w:rsidRPr="00AA4292">
        <w:rPr>
          <w:bCs/>
          <w:color w:val="000000"/>
        </w:rPr>
        <w:t>C-2014-2427655.</w:t>
      </w:r>
      <w:proofErr w:type="gramEnd"/>
      <w:r w:rsidR="00D0637A" w:rsidRPr="00AA4292">
        <w:rPr>
          <w:bCs/>
          <w:color w:val="000000"/>
        </w:rPr>
        <w:t xml:space="preserve">  In their Complaint,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6B62D1">
      <w:pPr>
        <w:adjustRightInd w:val="0"/>
        <w:spacing w:line="360" w:lineRule="auto"/>
        <w:ind w:firstLine="1440"/>
        <w:rPr>
          <w:bCs/>
          <w:strike/>
          <w:color w:val="000000"/>
        </w:rPr>
      </w:pPr>
    </w:p>
    <w:p w:rsidR="00AB7B8A" w:rsidRDefault="00B62154" w:rsidP="006B62D1">
      <w:pPr>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were charged high variable rates by Blue Pilot and denied that it failed to state the </w:t>
      </w:r>
      <w:r w:rsidR="00AB7B8A">
        <w:rPr>
          <w:bCs/>
          <w:color w:val="000000"/>
        </w:rPr>
        <w:lastRenderedPageBreak/>
        <w:t>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6B62D1">
      <w:pPr>
        <w:adjustRightInd w:val="0"/>
        <w:spacing w:line="360" w:lineRule="auto"/>
        <w:ind w:firstLine="1440"/>
        <w:rPr>
          <w:bCs/>
          <w:color w:val="000000"/>
        </w:rPr>
      </w:pPr>
    </w:p>
    <w:p w:rsidR="002304A8" w:rsidRDefault="005371B7" w:rsidP="006B62D1">
      <w:pPr>
        <w:adjustRightInd w:val="0"/>
        <w:spacing w:line="360" w:lineRule="auto"/>
        <w:ind w:firstLine="1440"/>
      </w:pPr>
      <w:r>
        <w:rPr>
          <w:bCs/>
          <w:color w:val="000000"/>
        </w:rPr>
        <w:t>T</w:t>
      </w:r>
      <w:r w:rsidR="00104A69">
        <w:rPr>
          <w:bCs/>
          <w:color w:val="000000"/>
        </w:rPr>
        <w:t xml:space="preserve">he </w:t>
      </w:r>
      <w:r>
        <w:rPr>
          <w:bCs/>
          <w:color w:val="000000"/>
        </w:rPr>
        <w:t xml:space="preserve">extensive </w:t>
      </w:r>
      <w:r w:rsidR="00104A69">
        <w:rPr>
          <w:bCs/>
          <w:color w:val="000000"/>
        </w:rPr>
        <w:t xml:space="preserve">procedural history of this Complaint has been </w:t>
      </w:r>
      <w:r>
        <w:rPr>
          <w:bCs/>
          <w:color w:val="000000"/>
        </w:rPr>
        <w:t>summarized in prior interim orders</w:t>
      </w:r>
      <w:r w:rsidR="00104A69">
        <w:rPr>
          <w:bCs/>
          <w:color w:val="000000"/>
        </w:rPr>
        <w:t xml:space="preserve">.  </w:t>
      </w:r>
      <w:r w:rsidR="0093238A">
        <w:rPr>
          <w:bCs/>
          <w:color w:val="000000"/>
        </w:rPr>
        <w:t xml:space="preserve">On </w:t>
      </w:r>
      <w:r w:rsidR="00B53B14">
        <w:rPr>
          <w:bCs/>
          <w:color w:val="000000"/>
        </w:rPr>
        <w:t>October 15, 2015, Blue Pilot</w:t>
      </w:r>
      <w:r w:rsidR="0093238A">
        <w:rPr>
          <w:bCs/>
          <w:color w:val="000000"/>
        </w:rPr>
        <w:t xml:space="preserve"> filed a Motion to Compel Responses to </w:t>
      </w:r>
      <w:r w:rsidR="00DF7D8C">
        <w:rPr>
          <w:bCs/>
          <w:color w:val="000000"/>
        </w:rPr>
        <w:t>I</w:t>
      </w:r>
      <w:r w:rsidR="0093238A">
        <w:rPr>
          <w:bCs/>
          <w:color w:val="000000"/>
        </w:rPr>
        <w:t xml:space="preserve">nterrogatories </w:t>
      </w:r>
      <w:r w:rsidR="00B53B14">
        <w:rPr>
          <w:bCs/>
          <w:color w:val="000000"/>
        </w:rPr>
        <w:t>I</w:t>
      </w:r>
      <w:r w:rsidR="0093238A">
        <w:rPr>
          <w:bCs/>
          <w:color w:val="000000"/>
        </w:rPr>
        <w:t xml:space="preserve">V.  On </w:t>
      </w:r>
      <w:r w:rsidR="00B53B14">
        <w:rPr>
          <w:bCs/>
          <w:color w:val="000000"/>
        </w:rPr>
        <w:t>October 20, 2015</w:t>
      </w:r>
      <w:r w:rsidR="0093238A">
        <w:rPr>
          <w:bCs/>
          <w:color w:val="000000"/>
        </w:rPr>
        <w:t>, Joint Complainants</w:t>
      </w:r>
      <w:r w:rsidR="00B53B14">
        <w:rPr>
          <w:bCs/>
          <w:color w:val="000000"/>
        </w:rPr>
        <w:t xml:space="preserve"> filed an Answer.  The Motion to Compel </w:t>
      </w:r>
      <w:r w:rsidR="005C754F">
        <w:rPr>
          <w:bCs/>
          <w:color w:val="000000"/>
        </w:rPr>
        <w:t xml:space="preserve">was granted in part and denied in part by Order dated October 28, 2015.  On October 16, 2015, Blue Pilot filed a </w:t>
      </w:r>
      <w:r w:rsidR="005C754F" w:rsidRPr="00DE69E8">
        <w:t>Motion to Compel Joint Complainants’ Supplemental Responses to Blue Pilot Set I</w:t>
      </w:r>
      <w:r w:rsidR="005C754F">
        <w:t xml:space="preserve">.  Specifically, Blue Pilot requests the ALJs to compel OCA to “fully supplement and respond to Set I, including Interrogatory Nos. 2, 15-27, and 34-37, and Requests for Production Nos. 4, 25-28, and 53 "and to compel OAG “to fully supplement and respond to Interrogatories Nos. 2, 15-27, 29-31, and 37, and Requests for Production Nos. 4-5, 25-28, and 51.”  </w:t>
      </w:r>
      <w:proofErr w:type="gramStart"/>
      <w:r w:rsidR="005C754F">
        <w:t>Motion to Compel at 20.</w:t>
      </w:r>
      <w:proofErr w:type="gramEnd"/>
      <w:r w:rsidR="005C754F">
        <w:t xml:space="preserve">  </w:t>
      </w:r>
    </w:p>
    <w:p w:rsidR="002304A8" w:rsidRDefault="002304A8" w:rsidP="006B62D1">
      <w:pPr>
        <w:adjustRightInd w:val="0"/>
        <w:spacing w:line="360" w:lineRule="auto"/>
        <w:ind w:firstLine="1440"/>
      </w:pPr>
    </w:p>
    <w:p w:rsidR="00880556" w:rsidRPr="003E1587" w:rsidRDefault="005C754F" w:rsidP="006B62D1">
      <w:pPr>
        <w:adjustRightInd w:val="0"/>
        <w:spacing w:line="360" w:lineRule="auto"/>
        <w:ind w:firstLine="1440"/>
      </w:pPr>
      <w:r>
        <w:t xml:space="preserve">Blue Pilot is seeking Joint Complainants </w:t>
      </w:r>
      <w:r w:rsidR="002304A8">
        <w:t xml:space="preserve">be compelled </w:t>
      </w:r>
      <w:r>
        <w:t>to supplement their responses and provide “each and every factual basis that supports their claims in this proceeding</w:t>
      </w:r>
      <w:r w:rsidRPr="00DE69E8">
        <w:t>.</w:t>
      </w:r>
      <w:r>
        <w:t xml:space="preserve">”  </w:t>
      </w:r>
      <w:proofErr w:type="gramStart"/>
      <w:r>
        <w:t>Motion to Compel at 2.</w:t>
      </w:r>
      <w:proofErr w:type="gramEnd"/>
      <w:r>
        <w:t xml:space="preserve">   </w:t>
      </w:r>
      <w:r>
        <w:rPr>
          <w:bCs/>
          <w:color w:val="000000"/>
        </w:rPr>
        <w:t>On October 21, 2015, Joint Complainants filed an Answer</w:t>
      </w:r>
      <w:r w:rsidR="002304A8">
        <w:rPr>
          <w:bCs/>
          <w:color w:val="000000"/>
        </w:rPr>
        <w:t xml:space="preserve"> arguing</w:t>
      </w:r>
      <w:r>
        <w:t xml:space="preserve"> that the Motion to Compel is moot because the parties reached an agreement regarding responses to Blue Pilot Set</w:t>
      </w:r>
      <w:r w:rsidR="00232E9E">
        <w:t xml:space="preserve"> I and Joint Complainant already provided sufficient responses to Set I</w:t>
      </w:r>
      <w:r>
        <w:t>.</w:t>
      </w:r>
      <w:r w:rsidRPr="00DE69E8">
        <w:t xml:space="preserve"> </w:t>
      </w:r>
      <w:r>
        <w:rPr>
          <w:bCs/>
          <w:color w:val="000000"/>
        </w:rPr>
        <w:t xml:space="preserve">This Motion to Compel </w:t>
      </w:r>
      <w:r w:rsidR="00B53B14">
        <w:rPr>
          <w:bCs/>
          <w:color w:val="000000"/>
        </w:rPr>
        <w:t xml:space="preserve">is ripe for a decision.  </w:t>
      </w:r>
    </w:p>
    <w:p w:rsidR="00880556" w:rsidRDefault="00880556" w:rsidP="006B62D1">
      <w:pPr>
        <w:adjustRightInd w:val="0"/>
        <w:spacing w:line="360" w:lineRule="auto"/>
        <w:ind w:firstLine="1440"/>
        <w:rPr>
          <w:bCs/>
          <w:color w:val="000000"/>
        </w:rPr>
      </w:pPr>
    </w:p>
    <w:p w:rsidR="00B81993" w:rsidRPr="00B81993" w:rsidRDefault="00B81993" w:rsidP="006B62D1">
      <w:pPr>
        <w:autoSpaceDE/>
        <w:autoSpaceDN/>
        <w:spacing w:line="360" w:lineRule="auto"/>
        <w:rPr>
          <w:rFonts w:eastAsiaTheme="minorEastAsia"/>
          <w:b/>
          <w:u w:val="single"/>
        </w:rPr>
      </w:pPr>
      <w:r>
        <w:rPr>
          <w:rFonts w:eastAsiaTheme="minorEastAsia"/>
          <w:b/>
          <w:u w:val="single"/>
        </w:rPr>
        <w:t xml:space="preserve">Standard </w:t>
      </w:r>
      <w:proofErr w:type="gramStart"/>
      <w:r>
        <w:rPr>
          <w:rFonts w:eastAsiaTheme="minorEastAsia"/>
          <w:b/>
          <w:u w:val="single"/>
        </w:rPr>
        <w:t>And</w:t>
      </w:r>
      <w:proofErr w:type="gramEnd"/>
      <w:r>
        <w:rPr>
          <w:rFonts w:eastAsiaTheme="minorEastAsia"/>
          <w:b/>
          <w:u w:val="single"/>
        </w:rPr>
        <w:t xml:space="preserve"> Evidence</w:t>
      </w:r>
    </w:p>
    <w:p w:rsidR="00B81993" w:rsidRDefault="00B81993" w:rsidP="006B62D1">
      <w:pPr>
        <w:autoSpaceDE/>
        <w:autoSpaceDN/>
        <w:spacing w:line="360" w:lineRule="auto"/>
        <w:ind w:firstLine="1440"/>
        <w:rPr>
          <w:rFonts w:eastAsiaTheme="minorEastAsia"/>
        </w:rPr>
      </w:pPr>
    </w:p>
    <w:p w:rsidR="006B62D1" w:rsidRDefault="0093238A" w:rsidP="006B62D1">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r w:rsidR="006B62D1">
        <w:rPr>
          <w:rFonts w:eastAsiaTheme="minorEastAsia"/>
        </w:rPr>
        <w:br w:type="page"/>
      </w:r>
    </w:p>
    <w:p w:rsidR="0093238A" w:rsidRPr="0093238A" w:rsidRDefault="0093238A" w:rsidP="006B62D1">
      <w:pPr>
        <w:autoSpaceDE/>
        <w:autoSpaceDN/>
        <w:spacing w:line="360" w:lineRule="auto"/>
        <w:ind w:firstLine="1440"/>
        <w:rPr>
          <w:rFonts w:eastAsiaTheme="minorEastAsia"/>
        </w:rPr>
      </w:pPr>
    </w:p>
    <w:p w:rsidR="0093238A" w:rsidRPr="0093238A" w:rsidRDefault="0093238A" w:rsidP="006B62D1">
      <w:pPr>
        <w:autoSpaceDE/>
        <w:autoSpaceDN/>
        <w:spacing w:line="360" w:lineRule="auto"/>
        <w:ind w:left="1440" w:right="1440"/>
        <w:rPr>
          <w:rFonts w:eastAsiaTheme="minorEastAsia"/>
          <w:b/>
          <w:bCs/>
        </w:rPr>
      </w:pPr>
      <w:bookmarkStart w:id="0" w:name="5.321."/>
      <w:r w:rsidRPr="0093238A">
        <w:rPr>
          <w:rFonts w:eastAsiaTheme="minorEastAsia"/>
          <w:b/>
          <w:bCs/>
        </w:rPr>
        <w:t>§ 5.321. </w:t>
      </w:r>
      <w:proofErr w:type="gramStart"/>
      <w:r w:rsidRPr="0093238A">
        <w:rPr>
          <w:rFonts w:eastAsiaTheme="minorEastAsia"/>
          <w:b/>
          <w:bCs/>
        </w:rPr>
        <w:t>Scope.</w:t>
      </w:r>
      <w:proofErr w:type="gramEnd"/>
    </w:p>
    <w:p w:rsid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6B62D1" w:rsidRPr="0093238A" w:rsidRDefault="006B62D1" w:rsidP="006B62D1">
      <w:pPr>
        <w:autoSpaceDE/>
        <w:autoSpaceDN/>
        <w:spacing w:line="360" w:lineRule="auto"/>
        <w:rPr>
          <w:rFonts w:eastAsiaTheme="minorEastAsia"/>
        </w:rPr>
      </w:pPr>
    </w:p>
    <w:bookmarkEnd w:id="0"/>
    <w:p w:rsidR="0093238A" w:rsidRDefault="0093238A" w:rsidP="006B62D1">
      <w:pPr>
        <w:autoSpaceDE/>
        <w:autoSpaceDN/>
        <w:spacing w:line="360" w:lineRule="auto"/>
        <w:rPr>
          <w:rFonts w:eastAsiaTheme="minorEastAsia"/>
        </w:rPr>
      </w:pPr>
      <w:proofErr w:type="gramStart"/>
      <w:r w:rsidRPr="0093238A">
        <w:rPr>
          <w:rFonts w:eastAsiaTheme="minorEastAsia"/>
        </w:rPr>
        <w:t>52 Pa. Code § 5.321(c).</w:t>
      </w:r>
      <w:proofErr w:type="gramEnd"/>
      <w:r w:rsidRPr="0093238A">
        <w:rPr>
          <w:rFonts w:eastAsiaTheme="minorEastAsia"/>
        </w:rPr>
        <w:t xml:space="preserve">  Section 5.361 of the Commission’s regulations, however, provides various limitations on the scope of discovery:</w:t>
      </w:r>
    </w:p>
    <w:p w:rsidR="006B62D1" w:rsidRPr="0093238A" w:rsidRDefault="006B62D1" w:rsidP="006B62D1">
      <w:pPr>
        <w:autoSpaceDE/>
        <w:autoSpaceDN/>
        <w:spacing w:line="360" w:lineRule="auto"/>
        <w:rPr>
          <w:rFonts w:eastAsiaTheme="minorEastAsia"/>
        </w:rPr>
      </w:pPr>
    </w:p>
    <w:p w:rsidR="0093238A" w:rsidRPr="0093238A" w:rsidRDefault="0093238A" w:rsidP="006B62D1">
      <w:pPr>
        <w:autoSpaceDE/>
        <w:autoSpaceDN/>
        <w:spacing w:line="360" w:lineRule="auto"/>
        <w:ind w:left="1440" w:right="1440"/>
        <w:outlineLvl w:val="3"/>
        <w:rPr>
          <w:rFonts w:eastAsiaTheme="minorEastAsia"/>
          <w:b/>
          <w:bCs/>
        </w:rPr>
      </w:pPr>
      <w:r w:rsidRPr="0093238A">
        <w:rPr>
          <w:rFonts w:eastAsiaTheme="minorEastAsia"/>
          <w:b/>
          <w:bCs/>
        </w:rPr>
        <w:t>§ 5.361. </w:t>
      </w:r>
      <w:proofErr w:type="gramStart"/>
      <w:r w:rsidRPr="0093238A">
        <w:rPr>
          <w:rFonts w:eastAsiaTheme="minorEastAsia"/>
          <w:b/>
          <w:bCs/>
        </w:rPr>
        <w:t>Limitation of scope of discovery and deposition.</w:t>
      </w:r>
      <w:proofErr w:type="gramEnd"/>
    </w:p>
    <w:p w:rsidR="0093238A" w:rsidRPr="0093238A" w:rsidRDefault="0093238A" w:rsidP="006B62D1">
      <w:pPr>
        <w:autoSpaceDE/>
        <w:autoSpaceDN/>
        <w:spacing w:line="360"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93238A" w:rsidRPr="0093238A" w:rsidRDefault="0093238A" w:rsidP="0093238A">
      <w:pPr>
        <w:autoSpaceDE/>
        <w:autoSpaceDN/>
        <w:spacing w:line="360" w:lineRule="auto"/>
        <w:rPr>
          <w:rFonts w:eastAsiaTheme="minorEastAsia"/>
        </w:rPr>
      </w:pPr>
      <w:proofErr w:type="gramStart"/>
      <w:r w:rsidRPr="0093238A">
        <w:rPr>
          <w:rFonts w:eastAsiaTheme="minorEastAsia"/>
        </w:rPr>
        <w:t>52 Pa. Code § 5.361(a).</w:t>
      </w:r>
      <w:proofErr w:type="gramEnd"/>
    </w:p>
    <w:p w:rsidR="004B155F" w:rsidRDefault="004B155F" w:rsidP="006B62D1">
      <w:pPr>
        <w:pStyle w:val="ListParagraph"/>
        <w:autoSpaceDE/>
        <w:autoSpaceDN/>
        <w:spacing w:line="360" w:lineRule="auto"/>
        <w:ind w:left="0"/>
        <w:contextualSpacing/>
        <w:rPr>
          <w:rFonts w:eastAsiaTheme="minorEastAsia"/>
        </w:rPr>
      </w:pPr>
    </w:p>
    <w:p w:rsidR="005C754F" w:rsidRPr="004D1DD3" w:rsidRDefault="005C754F" w:rsidP="006B62D1">
      <w:pPr>
        <w:spacing w:line="360" w:lineRule="auto"/>
        <w:ind w:firstLine="720"/>
      </w:pPr>
      <w:r>
        <w:t>W</w:t>
      </w:r>
      <w:r w:rsidRPr="004D1DD3">
        <w:t>ith regard to hearing preparation material,</w:t>
      </w:r>
      <w:r>
        <w:t xml:space="preserve"> however,</w:t>
      </w:r>
      <w:r w:rsidRPr="004D1DD3">
        <w:t xml:space="preserve"> the discovery “may not include the disclosure of the mental impressions of a party’s attorney or his conclusions, </w:t>
      </w:r>
      <w:r w:rsidRPr="004D1DD3">
        <w:lastRenderedPageBreak/>
        <w:t xml:space="preserve">opinions, memoranda, notes, summaries, legal research or legal theories.”  </w:t>
      </w:r>
      <w:proofErr w:type="gramStart"/>
      <w:r w:rsidRPr="004D1DD3">
        <w:t>52 Pa. Code § 3.323(a).</w:t>
      </w:r>
      <w:proofErr w:type="gramEnd"/>
      <w:r>
        <w:t xml:space="preserve">  </w:t>
      </w:r>
    </w:p>
    <w:p w:rsidR="005C754F" w:rsidRPr="004D1DD3" w:rsidRDefault="005C754F" w:rsidP="006B62D1">
      <w:pPr>
        <w:spacing w:line="360" w:lineRule="auto"/>
      </w:pPr>
    </w:p>
    <w:p w:rsidR="005C754F" w:rsidRDefault="005C754F" w:rsidP="006B62D1">
      <w:pPr>
        <w:spacing w:line="360" w:lineRule="auto"/>
      </w:pPr>
      <w:r>
        <w:tab/>
        <w:t xml:space="preserve">The Commission’s rules provide that parties may modify the discovery rules in Chapter 5 of the Commission’s regulations and that “parties are encouraged to exchange information on an informal basis.”  </w:t>
      </w:r>
      <w:proofErr w:type="gramStart"/>
      <w:r>
        <w:t>52 Pa. Code § 5.322.</w:t>
      </w:r>
      <w:proofErr w:type="gramEnd"/>
    </w:p>
    <w:p w:rsidR="005C754F" w:rsidRDefault="005C754F" w:rsidP="006B62D1">
      <w:pPr>
        <w:spacing w:line="360" w:lineRule="auto"/>
      </w:pPr>
    </w:p>
    <w:p w:rsidR="005C754F" w:rsidRDefault="005A55A8" w:rsidP="005C754F">
      <w:pPr>
        <w:spacing w:line="480" w:lineRule="auto"/>
        <w:jc w:val="both"/>
        <w:rPr>
          <w:b/>
          <w:u w:val="single"/>
        </w:rPr>
      </w:pPr>
      <w:r w:rsidRPr="0003433E">
        <w:rPr>
          <w:b/>
          <w:u w:val="single"/>
        </w:rPr>
        <w:t>Blue Pilot’s Position</w:t>
      </w:r>
    </w:p>
    <w:p w:rsidR="006B62D1" w:rsidRPr="0003433E" w:rsidRDefault="006B62D1" w:rsidP="006B62D1">
      <w:pPr>
        <w:spacing w:line="360" w:lineRule="auto"/>
        <w:rPr>
          <w:b/>
          <w:u w:val="single"/>
        </w:rPr>
      </w:pPr>
    </w:p>
    <w:p w:rsidR="005A55A8" w:rsidRDefault="005C754F" w:rsidP="006B62D1">
      <w:pPr>
        <w:spacing w:line="360" w:lineRule="auto"/>
        <w:ind w:firstLine="720"/>
      </w:pPr>
      <w:r w:rsidRPr="00EC54AA">
        <w:t xml:space="preserve">In its Motion to Compel, Blue Pilot </w:t>
      </w:r>
      <w:r w:rsidR="00232E9E">
        <w:t>contends Joint Complainants have not provided facts upon which they base their claims; however, the motion is</w:t>
      </w:r>
      <w:r w:rsidR="00AC3040">
        <w:t xml:space="preserve"> generally</w:t>
      </w:r>
      <w:r w:rsidR="00232E9E">
        <w:t xml:space="preserve"> non-specific as to what contentions or facts Blue Pilot seeks.  “Facts upon which they base their claims” is a broad and general request.  Blue Pilot is unsatisfied with written statements of consumers who submitted statements to Join Complainants and the oral </w:t>
      </w:r>
      <w:r w:rsidR="00AC3040">
        <w:t xml:space="preserve">direct and cross-examined </w:t>
      </w:r>
      <w:r w:rsidR="00232E9E">
        <w:t xml:space="preserve">testimony of </w:t>
      </w:r>
      <w:r w:rsidR="00AC3040">
        <w:t>many</w:t>
      </w:r>
      <w:r w:rsidR="00232E9E">
        <w:t xml:space="preserve"> of those consumers.  </w:t>
      </w:r>
      <w:r w:rsidR="005A55A8">
        <w:t xml:space="preserve">Additionally, Blue Pilot contends a discovery response should be compelled prior to the submission of Joint Complainants’ unnamed experts’ testimonies.  Blue Pilot argues it should not be required to “find a needle in a haystack.”  Thus, Joint Complainants should be compelled to supplement their responses with additional facts supporting their claims.  Blue Pilot contends its counsel does not recall agreeing as to the sufficiency of responses to Set I </w:t>
      </w:r>
      <w:r w:rsidR="00AC3040">
        <w:t xml:space="preserve">a year ago, </w:t>
      </w:r>
      <w:r w:rsidR="005A55A8">
        <w:t xml:space="preserve">and denies waiving any right to learn the factual basis of the claims made against it. </w:t>
      </w:r>
    </w:p>
    <w:p w:rsidR="005A55A8" w:rsidRDefault="005A55A8" w:rsidP="006B62D1">
      <w:pPr>
        <w:spacing w:line="360" w:lineRule="auto"/>
        <w:ind w:firstLine="720"/>
      </w:pPr>
    </w:p>
    <w:p w:rsidR="003C65BD" w:rsidRDefault="003C65BD" w:rsidP="003C65BD">
      <w:pPr>
        <w:spacing w:line="360" w:lineRule="auto"/>
        <w:rPr>
          <w:b/>
          <w:u w:val="single"/>
        </w:rPr>
      </w:pPr>
      <w:r w:rsidRPr="0003433E">
        <w:rPr>
          <w:b/>
          <w:u w:val="single"/>
        </w:rPr>
        <w:t>Joint Complainants’ Position</w:t>
      </w:r>
    </w:p>
    <w:p w:rsidR="006B62D1" w:rsidRPr="0003433E" w:rsidRDefault="006B62D1" w:rsidP="003C65BD">
      <w:pPr>
        <w:spacing w:line="360" w:lineRule="auto"/>
        <w:rPr>
          <w:b/>
        </w:rPr>
      </w:pPr>
    </w:p>
    <w:p w:rsidR="005C754F" w:rsidRDefault="00D74414" w:rsidP="003C65BD">
      <w:pPr>
        <w:spacing w:line="360" w:lineRule="auto"/>
        <w:ind w:firstLine="720"/>
      </w:pPr>
      <w:r>
        <w:tab/>
      </w:r>
      <w:r w:rsidR="005C754F" w:rsidRPr="00EC54AA">
        <w:t xml:space="preserve">Joint Complainants </w:t>
      </w:r>
      <w:r>
        <w:t xml:space="preserve">contend they </w:t>
      </w:r>
      <w:r w:rsidR="005C754F" w:rsidRPr="00EC54AA">
        <w:t>have served full and complete responses to Blue Pilot Set</w:t>
      </w:r>
      <w:r w:rsidR="005C754F">
        <w:t>s</w:t>
      </w:r>
      <w:r w:rsidR="005C754F" w:rsidRPr="00EC54AA">
        <w:t xml:space="preserve"> I</w:t>
      </w:r>
      <w:r w:rsidR="005C754F">
        <w:t>, to the extent required by the Commission’s discovery rules,</w:t>
      </w:r>
      <w:r w:rsidR="005C754F" w:rsidRPr="00EC54AA">
        <w:t xml:space="preserve"> and have timely supplemented those responses as additional information became available.</w:t>
      </w:r>
      <w:r w:rsidR="005C754F">
        <w:t xml:space="preserve">  </w:t>
      </w:r>
      <w:r w:rsidR="005C754F">
        <w:rPr>
          <w:u w:val="single"/>
        </w:rPr>
        <w:t>See</w:t>
      </w:r>
      <w:r w:rsidR="005C754F">
        <w:t xml:space="preserve"> Motion to Compel at FN 2 and Exhibits 5-15 attached to the Motion to Compel.  Joint Complainants have produced everything in their possession that is responsive to Blue Pilot’s Sets I, as agreed to by the parties and within the permissible scope of discovery.</w:t>
      </w:r>
      <w:r w:rsidR="005C754F" w:rsidRPr="00EC54AA">
        <w:t xml:space="preserve">  </w:t>
      </w:r>
      <w:r w:rsidR="005C754F" w:rsidRPr="00EC54AA">
        <w:lastRenderedPageBreak/>
        <w:t>To the extent that Blue Pilot is seeking further information,</w:t>
      </w:r>
      <w:r w:rsidR="005C754F">
        <w:t xml:space="preserve"> it </w:t>
      </w:r>
      <w:r>
        <w:t>appears</w:t>
      </w:r>
      <w:r w:rsidR="005C754F">
        <w:t xml:space="preserve"> Blue Pilot is seeking an order compelling</w:t>
      </w:r>
      <w:r w:rsidR="005C754F" w:rsidRPr="00EC54AA">
        <w:t xml:space="preserve"> Joint Complainants to disclose the</w:t>
      </w:r>
      <w:r w:rsidR="005C754F">
        <w:t xml:space="preserve"> </w:t>
      </w:r>
      <w:r w:rsidR="005C754F" w:rsidRPr="00EC54AA">
        <w:t>attorneys’ mental impressions, conclusions, opinions, or legal theories.  Such information is attorney work product, which is beyond the p</w:t>
      </w:r>
      <w:r w:rsidR="005C754F">
        <w:t>ermissible scope of discovery pursuant to 52 Pa. Code 5.323(a).</w:t>
      </w:r>
    </w:p>
    <w:p w:rsidR="00D74414" w:rsidRDefault="00D74414" w:rsidP="003C65BD">
      <w:pPr>
        <w:spacing w:line="360" w:lineRule="auto"/>
        <w:ind w:firstLine="720"/>
        <w:rPr>
          <w:u w:val="single"/>
        </w:rPr>
      </w:pPr>
    </w:p>
    <w:p w:rsidR="00D74414" w:rsidRDefault="00D74414" w:rsidP="00AC3040">
      <w:pPr>
        <w:spacing w:line="360" w:lineRule="auto"/>
        <w:rPr>
          <w:b/>
          <w:u w:val="single"/>
        </w:rPr>
      </w:pPr>
      <w:r w:rsidRPr="0003433E">
        <w:rPr>
          <w:b/>
          <w:u w:val="single"/>
        </w:rPr>
        <w:t>Disposition</w:t>
      </w:r>
    </w:p>
    <w:p w:rsidR="006B62D1" w:rsidRPr="0003433E" w:rsidRDefault="006B62D1" w:rsidP="00AC3040">
      <w:pPr>
        <w:spacing w:line="360" w:lineRule="auto"/>
        <w:rPr>
          <w:b/>
          <w:u w:val="single"/>
        </w:rPr>
      </w:pPr>
    </w:p>
    <w:p w:rsidR="005C754F" w:rsidRDefault="00D74414" w:rsidP="003C65BD">
      <w:pPr>
        <w:spacing w:line="360" w:lineRule="auto"/>
      </w:pPr>
      <w:r>
        <w:t>The</w:t>
      </w:r>
      <w:r w:rsidR="005C754F" w:rsidRPr="00EC54AA">
        <w:t xml:space="preserve"> Pennsylvania Supreme Court has held:</w:t>
      </w:r>
    </w:p>
    <w:p w:rsidR="006B62D1" w:rsidRPr="00EC54AA" w:rsidRDefault="006B62D1" w:rsidP="003C65BD">
      <w:pPr>
        <w:spacing w:line="360" w:lineRule="auto"/>
      </w:pPr>
    </w:p>
    <w:p w:rsidR="005C754F" w:rsidRDefault="005C754F" w:rsidP="005C754F">
      <w:pPr>
        <w:ind w:left="720" w:right="720"/>
        <w:jc w:val="both"/>
      </w:pPr>
      <w:r w:rsidRPr="00EC54AA">
        <w:t>As has been observed, the work product protection supports our judicial system, based on the adversarial process by allowing counsel privacy to develop ideas, test theories, and explore strategies in support of the client’s interest, without fear that the documents in which the ideas, theories and strategies are written will be revealed to the opposing counsel.  Allowing counsel to document legal theories without concern of disclosure encourages better representation of clients, which in turn benefits justice.</w:t>
      </w:r>
    </w:p>
    <w:p w:rsidR="005C754F" w:rsidRPr="00EC54AA" w:rsidRDefault="005C754F" w:rsidP="006B62D1">
      <w:pPr>
        <w:spacing w:line="360" w:lineRule="auto"/>
        <w:ind w:left="720" w:right="720"/>
        <w:jc w:val="both"/>
      </w:pPr>
    </w:p>
    <w:p w:rsidR="005C754F" w:rsidRDefault="005C754F" w:rsidP="005C754F">
      <w:pPr>
        <w:spacing w:line="480" w:lineRule="auto"/>
        <w:jc w:val="both"/>
      </w:pPr>
      <w:proofErr w:type="gramStart"/>
      <w:r w:rsidRPr="00EC54AA">
        <w:rPr>
          <w:u w:val="single"/>
        </w:rPr>
        <w:t>Barrick v. Holy Spirit Hosp. of the Sisters of Christian Charity</w:t>
      </w:r>
      <w:r w:rsidRPr="00EC54AA">
        <w:t>, 625 Pa. 301, 312-13 (Pa. 2014).</w:t>
      </w:r>
      <w:proofErr w:type="gramEnd"/>
    </w:p>
    <w:p w:rsidR="006B62D1" w:rsidRPr="00EC54AA" w:rsidRDefault="006B62D1" w:rsidP="006B62D1">
      <w:pPr>
        <w:spacing w:line="360" w:lineRule="auto"/>
        <w:jc w:val="both"/>
      </w:pPr>
    </w:p>
    <w:p w:rsidR="00AC3040" w:rsidRDefault="00AC3040" w:rsidP="006B62D1">
      <w:pPr>
        <w:spacing w:line="360" w:lineRule="auto"/>
        <w:ind w:firstLine="720"/>
      </w:pPr>
      <w:r>
        <w:tab/>
        <w:t xml:space="preserve">Interrogatories 15-19 request “all facts in full and complete detail that support your allegation, and the manner in which you intend to prove” each of the claims alleged against Blue Pilot.  </w:t>
      </w:r>
    </w:p>
    <w:p w:rsidR="00AC3040" w:rsidRDefault="00AC3040" w:rsidP="006B62D1">
      <w:pPr>
        <w:spacing w:line="360" w:lineRule="auto"/>
        <w:ind w:firstLine="720"/>
      </w:pPr>
    </w:p>
    <w:p w:rsidR="00AC3040" w:rsidRDefault="00AC3040" w:rsidP="006B62D1">
      <w:pPr>
        <w:spacing w:line="360" w:lineRule="auto"/>
      </w:pPr>
      <w:r>
        <w:tab/>
      </w:r>
      <w:r>
        <w:tab/>
        <w:t xml:space="preserve">Interrogatories 20, 25-28 seek the factual basis for allegations.  </w:t>
      </w:r>
    </w:p>
    <w:p w:rsidR="00AC3040" w:rsidRDefault="00AC3040" w:rsidP="006B62D1">
      <w:pPr>
        <w:spacing w:line="360" w:lineRule="auto"/>
        <w:ind w:firstLine="720"/>
      </w:pPr>
    </w:p>
    <w:p w:rsidR="00AC3040" w:rsidRDefault="00AC3040" w:rsidP="006B62D1">
      <w:pPr>
        <w:spacing w:line="360" w:lineRule="auto"/>
        <w:ind w:firstLine="720"/>
      </w:pPr>
      <w:r>
        <w:tab/>
        <w:t xml:space="preserve">Interrogatories Nos. 21-27 request Joint Complainants provide “what constitutes adequate staffing of an EGS call center; reasonable access to an EGS’s representatives for the purposes of submitting complaints; an EGS’s proper investigation into a dispute; and an EGS’s good faith, honesty and fair dealing in its dealing with customers.  Additionally, Blue Pilot seeks a response to the question, “What constitutes a </w:t>
      </w:r>
      <w:r>
        <w:lastRenderedPageBreak/>
        <w:t>compliant and adequate disclosure statement.”  Blue Pilot also seeks to know examples of EGS compliance.</w:t>
      </w:r>
    </w:p>
    <w:p w:rsidR="00AC3040" w:rsidRDefault="00AC3040" w:rsidP="006B62D1">
      <w:pPr>
        <w:spacing w:line="360" w:lineRule="auto"/>
        <w:ind w:firstLine="720"/>
      </w:pPr>
      <w:r>
        <w:t xml:space="preserve">  </w:t>
      </w:r>
    </w:p>
    <w:p w:rsidR="00AC3040" w:rsidRDefault="00AC3040" w:rsidP="006B62D1">
      <w:pPr>
        <w:spacing w:line="360" w:lineRule="auto"/>
        <w:ind w:firstLine="720"/>
      </w:pPr>
      <w:r>
        <w:tab/>
        <w:t xml:space="preserve">Interrogatories Nos. 30-31 to OAG and 35-36 to OCA seek the “elements of costs and profits that [Joint Complainants] believe can be included in an EGS’s determination of a rate under a variable rate plan as well as all limitations to the rate.  In response, Joint Complainants refer to the testimony of Dr. </w:t>
      </w:r>
      <w:proofErr w:type="spellStart"/>
      <w:r>
        <w:t>Estomin</w:t>
      </w:r>
      <w:proofErr w:type="spellEnd"/>
      <w:r>
        <w:t xml:space="preserve">.  Blue Pilot considers this testimony to be insufficient and not a complete response. </w:t>
      </w:r>
    </w:p>
    <w:p w:rsidR="00AC3040" w:rsidRDefault="00AC3040" w:rsidP="006B62D1">
      <w:pPr>
        <w:spacing w:line="360" w:lineRule="auto"/>
        <w:ind w:firstLine="720"/>
      </w:pPr>
    </w:p>
    <w:p w:rsidR="00AC3040" w:rsidRDefault="00AC3040" w:rsidP="006B62D1">
      <w:pPr>
        <w:spacing w:line="360" w:lineRule="auto"/>
        <w:ind w:firstLine="720"/>
      </w:pPr>
      <w:r>
        <w:tab/>
      </w:r>
      <w:proofErr w:type="gramStart"/>
      <w:r>
        <w:t>Interrogatories Nos. 29 to OAG and 34 to OCA and Request for Production Nos. 4, 51, and 53.</w:t>
      </w:r>
      <w:proofErr w:type="gramEnd"/>
      <w:r>
        <w:t xml:space="preserve">    </w:t>
      </w:r>
    </w:p>
    <w:p w:rsidR="00AC3040" w:rsidRDefault="00AC3040" w:rsidP="006B62D1">
      <w:pPr>
        <w:spacing w:line="360" w:lineRule="auto"/>
        <w:ind w:firstLine="720"/>
      </w:pPr>
    </w:p>
    <w:p w:rsidR="00AC3040" w:rsidRDefault="00AC3040" w:rsidP="00AC3040">
      <w:pPr>
        <w:ind w:left="1440" w:right="720" w:firstLine="720"/>
      </w:pPr>
      <w:r>
        <w:t xml:space="preserve">Identify in detail each and every document and item of tangible property that You may use at the time of trial or in any evidentiary hearing or proceeding to establish or prove any and all parts of Your case or that You may introduce into evidence for any purpose whatsoever at the time of trial or during any evidentiary hearing.  With respect to each such document or item of tangible property, identify any person who has custody of the items and the present location where the items may be inspected.  Identify all steps </w:t>
      </w:r>
      <w:proofErr w:type="gramStart"/>
      <w:r>
        <w:t>You</w:t>
      </w:r>
      <w:proofErr w:type="gramEnd"/>
      <w:r>
        <w:t xml:space="preserve"> have taken to preserve documents relevant to the Subject Matter of this Action. </w:t>
      </w:r>
    </w:p>
    <w:p w:rsidR="00AC3040" w:rsidRPr="00EC54AA" w:rsidRDefault="00AC3040" w:rsidP="00AC3040">
      <w:pPr>
        <w:spacing w:line="360" w:lineRule="auto"/>
        <w:ind w:firstLine="720"/>
      </w:pPr>
    </w:p>
    <w:p w:rsidR="00AC3040" w:rsidRDefault="00AC3040" w:rsidP="00AC3040">
      <w:pPr>
        <w:spacing w:line="360" w:lineRule="auto"/>
        <w:ind w:firstLine="720"/>
      </w:pPr>
      <w:r>
        <w:tab/>
        <w:t>Request for Production No. 4 similarly requests all documents, correspondence, and/or tangible items that you may utilize at trial, any evidentiary hearing or f</w:t>
      </w:r>
      <w:r w:rsidR="006B62D1">
        <w:t>or any purpose in this Action.</w:t>
      </w:r>
    </w:p>
    <w:p w:rsidR="00D74414" w:rsidRDefault="00D74414" w:rsidP="003C65BD">
      <w:pPr>
        <w:spacing w:line="360" w:lineRule="auto"/>
        <w:ind w:firstLine="720"/>
      </w:pPr>
    </w:p>
    <w:p w:rsidR="00AC3040" w:rsidRPr="00DB75DF" w:rsidRDefault="00D74414" w:rsidP="006B62D1">
      <w:pPr>
        <w:spacing w:line="360" w:lineRule="auto"/>
      </w:pPr>
      <w:r>
        <w:tab/>
      </w:r>
      <w:r w:rsidR="00AC3040">
        <w:tab/>
        <w:t xml:space="preserve">Blue Pilot admits Joint Complainants provided written consumer statements and </w:t>
      </w:r>
      <w:proofErr w:type="spellStart"/>
      <w:r w:rsidR="00AC3040">
        <w:t>supplementally</w:t>
      </w:r>
      <w:proofErr w:type="spellEnd"/>
      <w:r w:rsidR="00AC3040">
        <w:t xml:space="preserve"> provided consumer testimonies and affidavits from expert witnesses.  We note that Joint Complainants have pre-served written direct testimony of their expert witnesses as of October 20, 2015, and this occurred after the Motion to Compel was filed.  The pre-service of written expert testimony is a supplemental response to the request for additional facts upon which a claim is stated.  Blue Pilot will be given opportunities to seek clarification and cross-examine expert witnesses as part of </w:t>
      </w:r>
      <w:r w:rsidR="00AC3040">
        <w:lastRenderedPageBreak/>
        <w:t xml:space="preserve">the procedural schedule.  The identities of Joint Complainants’ expert witnesses have been revealed to Blue Pilot.  </w:t>
      </w:r>
      <w:r w:rsidR="00AC522C">
        <w:t>To require Joint Complainants to perform a legal analysis and organize the facts upon which they state a claim prior to the briefing stage in this proceeding for the benefit of Respondent is unreasonable.   A large amount of evidence has already been admitted into the record and as expert and non-consumer testimony has been pre-served, it appears Respondent has a majority of evidence from which facts will ultimately be deduced in its possession.  Joint Complainants have been supplementing as more evidence is available.</w:t>
      </w:r>
      <w:r w:rsidR="00AC3040">
        <w:t xml:space="preserve"> </w:t>
      </w:r>
    </w:p>
    <w:p w:rsidR="00AC3040" w:rsidRDefault="00AC3040" w:rsidP="006B62D1">
      <w:pPr>
        <w:spacing w:line="360" w:lineRule="auto"/>
        <w:ind w:firstLine="720"/>
      </w:pPr>
    </w:p>
    <w:p w:rsidR="00D74414" w:rsidRDefault="00AC522C" w:rsidP="006B62D1">
      <w:pPr>
        <w:spacing w:line="360" w:lineRule="auto"/>
        <w:ind w:firstLine="720"/>
      </w:pPr>
      <w:r>
        <w:tab/>
      </w:r>
      <w:r w:rsidR="00D74414">
        <w:t xml:space="preserve">Although </w:t>
      </w:r>
      <w:r w:rsidR="005C754F" w:rsidRPr="00EC54AA">
        <w:t>Blue Pilot cites numerous cases in support of its position that it is entitled to this “factual” information</w:t>
      </w:r>
      <w:r w:rsidR="00D74414">
        <w:t>, the request for all facts without specific categories is vague and broad</w:t>
      </w:r>
      <w:r w:rsidR="005C754F" w:rsidRPr="00EC54AA">
        <w:t xml:space="preserve">.  </w:t>
      </w:r>
      <w:r w:rsidR="005C754F">
        <w:t>Joint Complainants</w:t>
      </w:r>
      <w:r w:rsidR="00D74414">
        <w:t>’</w:t>
      </w:r>
      <w:r w:rsidR="005C754F">
        <w:t xml:space="preserve"> submi</w:t>
      </w:r>
      <w:r w:rsidR="00D74414">
        <w:t xml:space="preserve">ssion of </w:t>
      </w:r>
      <w:r w:rsidR="005C754F" w:rsidRPr="00EC54AA">
        <w:t>consumer and non-consumer testimonies and exhibits</w:t>
      </w:r>
      <w:r w:rsidR="005C754F">
        <w:t xml:space="preserve"> admitted</w:t>
      </w:r>
      <w:r w:rsidR="005C754F" w:rsidRPr="00EC54AA">
        <w:t xml:space="preserve"> in</w:t>
      </w:r>
      <w:r w:rsidR="005C754F">
        <w:t>to</w:t>
      </w:r>
      <w:r w:rsidR="005C754F" w:rsidRPr="00EC54AA">
        <w:t xml:space="preserve"> the record a</w:t>
      </w:r>
      <w:r w:rsidR="00D74414">
        <w:t xml:space="preserve">s well as the recently filed expert testimonies on October 20, 2015, show Joint Complainants have adequately and sufficiently responded to these aforementioned Interrogatories.  Consumer statements, testimonies and exhibits are the pieces of </w:t>
      </w:r>
      <w:r w:rsidR="00AC3040">
        <w:t>evidence</w:t>
      </w:r>
      <w:r w:rsidR="00D74414">
        <w:t xml:space="preserve"> from which Joint Complainants will argue their claims in legal briefs at the conclusion of the hearings.  We are unpersuaded to require Joint Complainants to give examples of compliant EGS actions, sufficient EGS call center staffing, or legally compliant disclosure statements.  These requests call for legal conclusions, mental impressions, and attorney work product, which are not discoverable.  </w:t>
      </w:r>
    </w:p>
    <w:p w:rsidR="00D74414" w:rsidRDefault="00D74414" w:rsidP="006B62D1">
      <w:pPr>
        <w:spacing w:line="360" w:lineRule="auto"/>
        <w:ind w:firstLine="720"/>
      </w:pPr>
    </w:p>
    <w:p w:rsidR="00AC3040" w:rsidRDefault="00D74414" w:rsidP="006B62D1">
      <w:pPr>
        <w:spacing w:line="360" w:lineRule="auto"/>
        <w:ind w:firstLine="720"/>
      </w:pPr>
      <w:r>
        <w:tab/>
      </w:r>
      <w:r w:rsidR="005C754F">
        <w:t xml:space="preserve">To the extent that Blue Pilot is seeking information that was received from consumers prior to the filing of the Joint Complaint, Joint Complainants have </w:t>
      </w:r>
      <w:r>
        <w:t xml:space="preserve">represented that they </w:t>
      </w:r>
      <w:r w:rsidR="005C754F">
        <w:t xml:space="preserve">already produced such information and timely supplemented when additional responsive information became available. </w:t>
      </w:r>
      <w:r w:rsidR="005C754F">
        <w:rPr>
          <w:b/>
        </w:rPr>
        <w:t xml:space="preserve"> </w:t>
      </w:r>
      <w:r>
        <w:t>J</w:t>
      </w:r>
      <w:r w:rsidR="005C754F" w:rsidRPr="00EC54AA">
        <w:t>oint Complainants</w:t>
      </w:r>
      <w:r>
        <w:t xml:space="preserve"> are not compelled</w:t>
      </w:r>
      <w:r w:rsidR="005C754F" w:rsidRPr="00EC54AA">
        <w:t xml:space="preserve"> </w:t>
      </w:r>
      <w:r w:rsidR="005C754F">
        <w:t>to organize the</w:t>
      </w:r>
      <w:r w:rsidR="005C754F" w:rsidRPr="00EC54AA">
        <w:t xml:space="preserve"> </w:t>
      </w:r>
      <w:r>
        <w:t xml:space="preserve">evidence into </w:t>
      </w:r>
      <w:r w:rsidR="005C754F" w:rsidRPr="00EC54AA">
        <w:t>facts</w:t>
      </w:r>
      <w:r w:rsidR="005C754F">
        <w:t xml:space="preserve"> for Blue Pilot</w:t>
      </w:r>
      <w:r w:rsidR="005C754F" w:rsidRPr="00EC54AA">
        <w:t>.</w:t>
      </w:r>
      <w:r w:rsidR="005C754F">
        <w:t xml:space="preserve">  </w:t>
      </w:r>
      <w:r w:rsidR="005C754F" w:rsidRPr="00EC54AA">
        <w:t xml:space="preserve">Blue Pilot </w:t>
      </w:r>
      <w:r>
        <w:t>has been informed of</w:t>
      </w:r>
      <w:r w:rsidR="005C754F" w:rsidRPr="00EC54AA">
        <w:t xml:space="preserve"> the identities of the 97 consumer witnesses whose testimony was served by Joint </w:t>
      </w:r>
      <w:r w:rsidR="005C754F">
        <w:t>Complainants and which testimonies</w:t>
      </w:r>
      <w:r w:rsidR="005C754F" w:rsidRPr="00EC54AA">
        <w:t xml:space="preserve"> and exhibits</w:t>
      </w:r>
      <w:r w:rsidR="005C754F">
        <w:t xml:space="preserve"> were moved into the record and</w:t>
      </w:r>
      <w:r w:rsidR="005C754F" w:rsidRPr="00EC54AA">
        <w:t xml:space="preserve"> therefore, could be relied upon by Joint Complainants in their briefs and argument in this matter and by the ALJs in deciding this matter.  B</w:t>
      </w:r>
      <w:r w:rsidR="005C754F">
        <w:t xml:space="preserve">lue Pilot also </w:t>
      </w:r>
      <w:r w:rsidR="00AC3040">
        <w:t xml:space="preserve">has the pre-served </w:t>
      </w:r>
      <w:r w:rsidR="00AC3040">
        <w:lastRenderedPageBreak/>
        <w:t xml:space="preserve">testimonies of </w:t>
      </w:r>
      <w:r w:rsidR="005C754F" w:rsidRPr="00EC54AA">
        <w:t>the expert and other non-consume</w:t>
      </w:r>
      <w:r w:rsidR="005C754F">
        <w:t>r witnesses that Joint Complainants will present in this matter</w:t>
      </w:r>
      <w:r w:rsidR="005C754F" w:rsidRPr="00EC54AA">
        <w:t>.</w:t>
      </w:r>
      <w:r w:rsidR="00AC3040">
        <w:t xml:space="preserve"> </w:t>
      </w:r>
      <w:r w:rsidR="005C754F" w:rsidRPr="00EC54AA">
        <w:t xml:space="preserve"> </w:t>
      </w:r>
      <w:r w:rsidR="00AC3040">
        <w:t xml:space="preserve">Thus, we are persuaded to find </w:t>
      </w:r>
      <w:r w:rsidR="005C754F" w:rsidRPr="00EC54AA">
        <w:t xml:space="preserve">Joint Complainants have </w:t>
      </w:r>
      <w:r w:rsidR="00AC3040">
        <w:t xml:space="preserve">fully and completely responded to the Interrogatories in Set I to the extent they should be required. </w:t>
      </w:r>
    </w:p>
    <w:p w:rsidR="00AC3040" w:rsidRDefault="00AC3040" w:rsidP="006B62D1">
      <w:pPr>
        <w:spacing w:line="360" w:lineRule="auto"/>
        <w:ind w:firstLine="720"/>
      </w:pPr>
    </w:p>
    <w:p w:rsidR="002304A8" w:rsidRDefault="00AC522C" w:rsidP="006B62D1">
      <w:pPr>
        <w:spacing w:line="360" w:lineRule="auto"/>
        <w:ind w:firstLine="720"/>
        <w:rPr>
          <w:b/>
        </w:rPr>
      </w:pPr>
      <w:r>
        <w:tab/>
      </w:r>
      <w:r w:rsidR="002304A8" w:rsidRPr="00EC54AA">
        <w:t xml:space="preserve">Pursuant to the Commission’s regulations, discovery which would cause unreasonable annoyance or burden is not permitted.  </w:t>
      </w:r>
      <w:r w:rsidR="002304A8" w:rsidRPr="00EC54AA">
        <w:rPr>
          <w:u w:val="single"/>
        </w:rPr>
        <w:t>See</w:t>
      </w:r>
      <w:r w:rsidR="002304A8" w:rsidRPr="00EC54AA">
        <w:t xml:space="preserve"> 52 Pa. Code § 5.361(a).  Supplementing Set</w:t>
      </w:r>
      <w:r w:rsidR="002304A8">
        <w:t>s</w:t>
      </w:r>
      <w:r w:rsidR="002304A8" w:rsidRPr="00EC54AA">
        <w:t xml:space="preserve"> I as requested by Blue Pilot would require Joint Complainants to analyze and identify any evidence that could support any of the allegations in their Joint Complaint.  Joint Complainants have served the written testimony of approximately 97 consumer witnesses, 49 of whom provided additional testimony at the hearings on March 30</w:t>
      </w:r>
      <w:r w:rsidR="002304A8">
        <w:t xml:space="preserve"> through</w:t>
      </w:r>
      <w:r w:rsidR="002304A8" w:rsidRPr="00EC54AA">
        <w:t xml:space="preserve"> April 1, 2015.  Thirty-five additional consumer testimonies were moved into the record by stipulation.  Many of those consumers provided numerous statements and exhibits which support Joint Complainants’ allegations in this proceeding that Blue Pilot violated Pennsylvania law </w:t>
      </w:r>
      <w:r w:rsidR="002304A8">
        <w:t>and the</w:t>
      </w:r>
      <w:r w:rsidR="002304A8" w:rsidRPr="00EC54AA">
        <w:t xml:space="preserve"> Commission</w:t>
      </w:r>
      <w:r w:rsidR="002304A8">
        <w:t>’s regulations and orders</w:t>
      </w:r>
      <w:r w:rsidR="002304A8" w:rsidRPr="00EC54AA">
        <w:t>.  Additionally, the Joint Complainants served expert and other non-co</w:t>
      </w:r>
      <w:r w:rsidR="002304A8">
        <w:t>nsumer testimonies on October 20</w:t>
      </w:r>
      <w:r w:rsidR="002304A8" w:rsidRPr="00EC54AA">
        <w:t>, 2015,</w:t>
      </w:r>
      <w:r w:rsidR="002304A8">
        <w:t xml:space="preserve"> pursuant to the litigation schedule,</w:t>
      </w:r>
      <w:r w:rsidR="002304A8" w:rsidRPr="00EC54AA">
        <w:t xml:space="preserve"> which </w:t>
      </w:r>
      <w:r w:rsidR="002304A8">
        <w:t>contain</w:t>
      </w:r>
      <w:r w:rsidR="002304A8" w:rsidRPr="00EC54AA">
        <w:t xml:space="preserve"> further evidence that supports Joint Complainants’ allegations in this proceeding</w:t>
      </w:r>
      <w:r w:rsidR="002304A8">
        <w:t xml:space="preserve"> and which Joint Complainants will seek to have admitted into the record in this matter at hearings in February 2016</w:t>
      </w:r>
      <w:r w:rsidR="002304A8" w:rsidRPr="00EC54AA">
        <w:t>.</w:t>
      </w:r>
      <w:r w:rsidR="002304A8" w:rsidRPr="00EC54AA">
        <w:rPr>
          <w:b/>
        </w:rPr>
        <w:t xml:space="preserve">  </w:t>
      </w:r>
      <w:r w:rsidR="002304A8" w:rsidRPr="00EC54AA">
        <w:t>Joint Complainants will provide their legal analysis, specifically identifying which facts support these allegations, in their main brief.  To require Joint Complainants to provide Blue Pilot with this information in advance of filing their brief</w:t>
      </w:r>
      <w:r w:rsidR="002304A8">
        <w:t xml:space="preserve"> </w:t>
      </w:r>
      <w:r>
        <w:t>is</w:t>
      </w:r>
      <w:r w:rsidR="002304A8" w:rsidRPr="00EC54AA">
        <w:t xml:space="preserve"> unreasonably annoying and burdensome.</w:t>
      </w:r>
      <w:r w:rsidR="002304A8" w:rsidRPr="00EC54AA">
        <w:rPr>
          <w:b/>
        </w:rPr>
        <w:t xml:space="preserve">  </w:t>
      </w:r>
    </w:p>
    <w:p w:rsidR="00AC522C" w:rsidRPr="00EC54AA" w:rsidRDefault="00AC522C" w:rsidP="006B62D1">
      <w:pPr>
        <w:spacing w:line="360" w:lineRule="auto"/>
        <w:ind w:firstLine="720"/>
        <w:rPr>
          <w:b/>
        </w:rPr>
      </w:pPr>
    </w:p>
    <w:p w:rsidR="002304A8" w:rsidRDefault="0003433E" w:rsidP="006B62D1">
      <w:pPr>
        <w:spacing w:line="360" w:lineRule="auto"/>
        <w:ind w:firstLine="720"/>
      </w:pPr>
      <w:r>
        <w:tab/>
      </w:r>
      <w:r w:rsidR="002304A8" w:rsidRPr="00EF6841">
        <w:t>In its Motion to Compel, B</w:t>
      </w:r>
      <w:r w:rsidR="002304A8">
        <w:t>lue Pilot seeks the factual basi</w:t>
      </w:r>
      <w:r w:rsidR="002304A8" w:rsidRPr="00EF6841">
        <w:t>s regarding what standards Joint Complainants allege Blue Pilot should have followed and what Joint Complainants believe constitutes a compliant and adequate disclosure statement, as requested in Blue Pilot Interrogatories Set</w:t>
      </w:r>
      <w:r w:rsidR="002304A8">
        <w:t>s</w:t>
      </w:r>
      <w:r w:rsidR="002304A8" w:rsidRPr="00EF6841">
        <w:t xml:space="preserve"> I-21 through I-27.  In response to these requests, Joint Complainants identified the expert witness who would provide information responsive to these requests in his/her expert testimony pursuant to 52 Pa. Code §</w:t>
      </w:r>
      <w:r w:rsidR="002304A8">
        <w:t xml:space="preserve"> 5.324(a</w:t>
      </w:r>
      <w:r w:rsidR="002304A8" w:rsidRPr="00EF6841">
        <w:t>)</w:t>
      </w:r>
      <w:r w:rsidR="002304A8">
        <w:t>(2)</w:t>
      </w:r>
      <w:r w:rsidR="002304A8" w:rsidRPr="00EF6841">
        <w:t>.   The Commission’s regulations p</w:t>
      </w:r>
      <w:r w:rsidR="002304A8">
        <w:t xml:space="preserve">rovide that </w:t>
      </w:r>
      <w:r w:rsidR="002304A8" w:rsidRPr="00EF6841">
        <w:t xml:space="preserve">discovery of facts known or opinions held by an expert may be properly responded to by: (1) identifying the </w:t>
      </w:r>
      <w:r w:rsidR="002304A8" w:rsidRPr="00EF6841">
        <w:lastRenderedPageBreak/>
        <w:t>expert(s) that will be called and the subject matter upon which the expert is e</w:t>
      </w:r>
      <w:r w:rsidR="002304A8">
        <w:t>xpected to testify and (2) serving</w:t>
      </w:r>
      <w:r w:rsidR="002304A8" w:rsidRPr="00EF6841">
        <w:t xml:space="preserve"> the written direct testimony of the expert(s) at least 20 days prior to the date on which the expert is scheduled to testify or in accordance with the litigation schedule established by the presiding officer.  </w:t>
      </w:r>
      <w:r w:rsidR="002304A8" w:rsidRPr="00EF6841">
        <w:rPr>
          <w:u w:val="single"/>
        </w:rPr>
        <w:t>See</w:t>
      </w:r>
      <w:r w:rsidR="002304A8" w:rsidRPr="00EF6841">
        <w:t xml:space="preserve"> 52 Pa. Code § 5.324(a</w:t>
      </w:r>
      <w:proofErr w:type="gramStart"/>
      <w:r w:rsidR="002304A8" w:rsidRPr="00EF6841">
        <w:t>)(</w:t>
      </w:r>
      <w:proofErr w:type="gramEnd"/>
      <w:r w:rsidR="002304A8" w:rsidRPr="00EF6841">
        <w:t xml:space="preserve">2).  Thereafter, on October 20, 2015, Joint Complainants served their expert testimonies, providing additional information responsive to Blue Pilot Sets I, which is consistent with Joint Complainants’ responses to Sets I indicating that such information would be provided at that time.  As the expert testimonies have been served in this proceeding, Blue Pilot’s argument </w:t>
      </w:r>
      <w:r w:rsidR="002304A8">
        <w:t>that Joint Complainants have not provided adequate responses to Interrogatories Sets I-21 through I-27</w:t>
      </w:r>
      <w:r w:rsidR="002304A8" w:rsidRPr="00EF6841">
        <w:t xml:space="preserve"> is moot.</w:t>
      </w:r>
    </w:p>
    <w:p w:rsidR="002304A8" w:rsidRDefault="002304A8" w:rsidP="006B62D1">
      <w:pPr>
        <w:spacing w:line="360" w:lineRule="auto"/>
        <w:ind w:firstLine="720"/>
      </w:pPr>
    </w:p>
    <w:p w:rsidR="002304A8" w:rsidRPr="00F00B5B" w:rsidRDefault="0003433E" w:rsidP="006B62D1">
      <w:pPr>
        <w:spacing w:line="360" w:lineRule="auto"/>
        <w:ind w:firstLine="720"/>
      </w:pPr>
      <w:r>
        <w:tab/>
      </w:r>
      <w:r w:rsidR="002304A8" w:rsidRPr="00F00B5B">
        <w:t>In its Motion to Compel, Blue Pilot seeks the “</w:t>
      </w:r>
      <w:r w:rsidR="002304A8">
        <w:t xml:space="preserve"> ‘</w:t>
      </w:r>
      <w:r w:rsidR="002304A8" w:rsidRPr="00F00B5B">
        <w:t>elements of cost and profits that [Joint Complainants] believe can be included in an EGS’s determination of a rate … under a variable rate plan,’ as well as ‘all limitations to the rate,’ ” as requested in Blue Pilot Interrogatories Set</w:t>
      </w:r>
      <w:r w:rsidR="002304A8">
        <w:t>s</w:t>
      </w:r>
      <w:r w:rsidR="002304A8" w:rsidRPr="00F00B5B">
        <w:t xml:space="preserve"> I-30-31</w:t>
      </w:r>
      <w:r w:rsidR="002304A8">
        <w:t xml:space="preserve"> (OAG)</w:t>
      </w:r>
      <w:r w:rsidR="002304A8" w:rsidRPr="00F00B5B">
        <w:t xml:space="preserve"> and I-35-36</w:t>
      </w:r>
      <w:r w:rsidR="002304A8">
        <w:t xml:space="preserve"> (OCA)</w:t>
      </w:r>
      <w:r w:rsidR="002304A8" w:rsidRPr="00F00B5B">
        <w:t xml:space="preserve">.  In response to these requests, Joint Complainants identified Dr. Steven L. </w:t>
      </w:r>
      <w:proofErr w:type="spellStart"/>
      <w:r w:rsidR="002304A8" w:rsidRPr="00F00B5B">
        <w:t>Estomin</w:t>
      </w:r>
      <w:proofErr w:type="spellEnd"/>
      <w:r w:rsidR="002304A8" w:rsidRPr="00F00B5B">
        <w:t xml:space="preserve"> as the expert witness who would provide information responsive to these requests in his expert testimony pursuant to 52 Pa. Code §</w:t>
      </w:r>
      <w:r w:rsidR="002304A8">
        <w:t xml:space="preserve"> 5.324(a</w:t>
      </w:r>
      <w:r w:rsidR="002304A8" w:rsidRPr="00F00B5B">
        <w:t>)</w:t>
      </w:r>
      <w:r w:rsidR="002304A8">
        <w:t>(2)</w:t>
      </w:r>
      <w:r w:rsidR="002304A8" w:rsidRPr="00F00B5B">
        <w:t>.   The Commission’s regulations p</w:t>
      </w:r>
      <w:r w:rsidR="002304A8">
        <w:t>rovide that</w:t>
      </w:r>
      <w:r w:rsidR="002304A8" w:rsidRPr="00F00B5B">
        <w:t xml:space="preserve"> discovery of facts known or opinions held by an expert may be properly responded to by: (1) identifying the expert(s) that will be called and the subject matter upon which the expert is e</w:t>
      </w:r>
      <w:r w:rsidR="002304A8">
        <w:t>xpected to testify and (2) serving</w:t>
      </w:r>
      <w:r w:rsidR="002304A8" w:rsidRPr="00F00B5B">
        <w:t xml:space="preserve"> the written direct testimony of the expert(s) at least 20 days prior to the date on which the expert is scheduled to testify or in accordance with the litigation schedule established by the presiding officer.  </w:t>
      </w:r>
      <w:r w:rsidR="002304A8" w:rsidRPr="00F00B5B">
        <w:rPr>
          <w:u w:val="single"/>
        </w:rPr>
        <w:t>See</w:t>
      </w:r>
      <w:r w:rsidR="002304A8" w:rsidRPr="00F00B5B">
        <w:t xml:space="preserve"> 52 Pa. Code § 5.324(a</w:t>
      </w:r>
      <w:proofErr w:type="gramStart"/>
      <w:r w:rsidR="002304A8" w:rsidRPr="00F00B5B">
        <w:t>)(</w:t>
      </w:r>
      <w:proofErr w:type="gramEnd"/>
      <w:r w:rsidR="002304A8" w:rsidRPr="00F00B5B">
        <w:t xml:space="preserve">2).  Thereafter, on October 20, 2015, Joint Complainants served their expert testimonies, providing additional information responsive to Blue Pilot Sets I, which is consistent with Joint Complainants’ responses to Sets I indicating that such information would be provided at that time.  As </w:t>
      </w:r>
      <w:r w:rsidR="002304A8">
        <w:t xml:space="preserve">Dr. </w:t>
      </w:r>
      <w:proofErr w:type="spellStart"/>
      <w:r w:rsidR="002304A8">
        <w:t>Estomin’s</w:t>
      </w:r>
      <w:proofErr w:type="spellEnd"/>
      <w:r w:rsidR="002304A8">
        <w:t xml:space="preserve"> direct testimony has</w:t>
      </w:r>
      <w:r w:rsidR="002304A8" w:rsidRPr="00F00B5B">
        <w:t xml:space="preserve"> been served</w:t>
      </w:r>
      <w:r w:rsidR="002304A8">
        <w:t xml:space="preserve"> pursuant to the litigation schedule</w:t>
      </w:r>
      <w:r w:rsidR="002304A8" w:rsidRPr="00F00B5B">
        <w:t xml:space="preserve"> in this proceeding, Blue Pilot’s</w:t>
      </w:r>
      <w:r w:rsidR="002304A8">
        <w:t xml:space="preserve"> arguments regarding </w:t>
      </w:r>
      <w:r w:rsidR="002304A8" w:rsidRPr="00F00B5B">
        <w:t>Interrogatories Set</w:t>
      </w:r>
      <w:r w:rsidR="002304A8">
        <w:t>s</w:t>
      </w:r>
      <w:r w:rsidR="002304A8" w:rsidRPr="00F00B5B">
        <w:t xml:space="preserve"> I-30-31</w:t>
      </w:r>
      <w:r w:rsidR="002304A8">
        <w:t xml:space="preserve"> (OAG)</w:t>
      </w:r>
      <w:r w:rsidR="002304A8" w:rsidRPr="00F00B5B">
        <w:t xml:space="preserve"> and I-35-36</w:t>
      </w:r>
      <w:r w:rsidR="002304A8">
        <w:t xml:space="preserve"> (OCA) are</w:t>
      </w:r>
      <w:r w:rsidR="002304A8" w:rsidRPr="00F00B5B">
        <w:t xml:space="preserve"> moot.</w:t>
      </w:r>
    </w:p>
    <w:p w:rsidR="002304A8" w:rsidRDefault="002304A8" w:rsidP="006B62D1">
      <w:pPr>
        <w:pStyle w:val="NormalWeb"/>
        <w:shd w:val="clear" w:color="auto" w:fill="FFFFFF"/>
        <w:spacing w:line="360" w:lineRule="auto"/>
        <w:textAlignment w:val="baseline"/>
      </w:pPr>
      <w:r>
        <w:rPr>
          <w:color w:val="373739"/>
          <w:bdr w:val="none" w:sz="0" w:space="0" w:color="auto" w:frame="1"/>
        </w:rPr>
        <w:t> </w:t>
      </w:r>
    </w:p>
    <w:p w:rsidR="00AC522C" w:rsidRDefault="00AC522C" w:rsidP="006B62D1">
      <w:pPr>
        <w:spacing w:line="360" w:lineRule="auto"/>
        <w:ind w:firstLine="720"/>
      </w:pPr>
      <w:r>
        <w:lastRenderedPageBreak/>
        <w:tab/>
      </w:r>
      <w:r w:rsidR="002304A8">
        <w:t xml:space="preserve">Blue Pilot </w:t>
      </w:r>
      <w:r w:rsidR="0003433E">
        <w:t xml:space="preserve">avers that </w:t>
      </w:r>
      <w:r w:rsidR="002304A8">
        <w:t xml:space="preserve">Joint Complainants have still not provided any clarity on what documents they plan to use at the evidentiary hearing and what documents they otherwise intend to use to prove the allegations made in the Joint Complaint.  Blue Pilot requests Joint Complainants </w:t>
      </w:r>
      <w:r w:rsidR="0003433E">
        <w:t xml:space="preserve">be compelled </w:t>
      </w:r>
      <w:r w:rsidR="002304A8">
        <w:t xml:space="preserve">to supplement their responses to Blue Pilot Interrogatories Set I-29 (OAG) and I-34 (OCA) and RPDs Sets I-4, 51, and 53.  </w:t>
      </w:r>
    </w:p>
    <w:p w:rsidR="0003433E" w:rsidRDefault="0003433E" w:rsidP="006B62D1">
      <w:pPr>
        <w:spacing w:line="360" w:lineRule="auto"/>
        <w:ind w:firstLine="720"/>
      </w:pPr>
    </w:p>
    <w:p w:rsidR="002304A8" w:rsidRDefault="00AC522C" w:rsidP="006B62D1">
      <w:pPr>
        <w:spacing w:line="360" w:lineRule="auto"/>
        <w:ind w:firstLine="720"/>
      </w:pPr>
      <w:r>
        <w:tab/>
      </w:r>
      <w:r w:rsidR="002304A8">
        <w:t xml:space="preserve">In their responses to Interrogatories and RPDs, Joint Complainants stated that they may use any document identified or provided in their discovery responses or other parties’ discovery responses or produced pursuant to subpoena.  To the extent Blue Pilot requested that Joint Complainants produce documents, the Joint Complainants fully responded, within the permissible scope of discovery, and produced the documents.  As such, Joint Complainants maintain that they may use any those documents as tangible evidence in this proceeding.  </w:t>
      </w:r>
      <w:r w:rsidR="0003433E">
        <w:t>We are unpersuaded to compel a further response.</w:t>
      </w:r>
      <w:r w:rsidR="002304A8">
        <w:t xml:space="preserve">  Joint Complainants have provided full and complete responses to Blue Pilot Sets I and </w:t>
      </w:r>
      <w:r w:rsidR="0003433E">
        <w:t xml:space="preserve">contend that they </w:t>
      </w:r>
      <w:r w:rsidR="002304A8">
        <w:t>have no further responsive documents that are within the permissible scope of discovery to produce.  If any further responsive documents become available, Joint Complainants will produce them as required by the Commission’s discovery rules.</w:t>
      </w:r>
    </w:p>
    <w:p w:rsidR="002304A8" w:rsidRDefault="002304A8" w:rsidP="006B62D1">
      <w:pPr>
        <w:pStyle w:val="NormalWeb"/>
        <w:shd w:val="clear" w:color="auto" w:fill="FFFFFF"/>
        <w:spacing w:line="360" w:lineRule="auto"/>
        <w:textAlignment w:val="baseline"/>
      </w:pPr>
      <w:r>
        <w:rPr>
          <w:color w:val="373739"/>
          <w:bdr w:val="none" w:sz="0" w:space="0" w:color="auto" w:frame="1"/>
        </w:rPr>
        <w:t> </w:t>
      </w:r>
    </w:p>
    <w:p w:rsidR="002304A8" w:rsidRDefault="0003433E" w:rsidP="006B62D1">
      <w:pPr>
        <w:spacing w:line="360" w:lineRule="auto"/>
        <w:ind w:firstLine="720"/>
      </w:pPr>
      <w:r>
        <w:tab/>
        <w:t>In conclusion, Blue Pilot’s request for more facts upon which claims are stated is overly broad, vague, unreasonably annoying and asks for attorney work product; accordingly, it will be denied.  Accordingly</w:t>
      </w:r>
      <w:r w:rsidR="002304A8">
        <w:t xml:space="preserve">, Joint Complainants </w:t>
      </w:r>
      <w:r>
        <w:t>Blue Pilot’</w:t>
      </w:r>
      <w:r w:rsidR="002304A8">
        <w:t>s Motion to Compel Joint Complainants’ responses to Set I</w:t>
      </w:r>
      <w:r w:rsidR="00AC522C">
        <w:t xml:space="preserve"> shall </w:t>
      </w:r>
      <w:r w:rsidR="002304A8">
        <w:t>be denied.</w:t>
      </w:r>
    </w:p>
    <w:p w:rsidR="006B62D1" w:rsidRDefault="006B62D1" w:rsidP="006B62D1">
      <w:pPr>
        <w:spacing w:line="360" w:lineRule="auto"/>
        <w:ind w:firstLine="720"/>
      </w:pPr>
      <w:r>
        <w:br w:type="page"/>
      </w:r>
    </w:p>
    <w:p w:rsidR="009B4D96" w:rsidRPr="00043E01" w:rsidRDefault="00AC3040" w:rsidP="009B4D96">
      <w:pPr>
        <w:spacing w:line="360" w:lineRule="auto"/>
        <w:jc w:val="center"/>
      </w:pPr>
      <w:r>
        <w:rPr>
          <w:u w:val="single"/>
        </w:rPr>
        <w:lastRenderedPageBreak/>
        <w:t>O</w:t>
      </w:r>
      <w:r w:rsidR="009B4D96" w:rsidRPr="00043E01">
        <w:rPr>
          <w:u w:val="single"/>
        </w:rPr>
        <w:t>RDER</w:t>
      </w:r>
    </w:p>
    <w:p w:rsidR="009B4D96" w:rsidRDefault="009B4D96" w:rsidP="009B4D96">
      <w:pPr>
        <w:spacing w:line="360" w:lineRule="auto"/>
      </w:pPr>
    </w:p>
    <w:p w:rsidR="006B62D1" w:rsidRPr="00043E01" w:rsidRDefault="006B62D1" w:rsidP="009B4D96">
      <w:pPr>
        <w:spacing w:line="360" w:lineRule="auto"/>
      </w:pPr>
    </w:p>
    <w:p w:rsidR="009B4D96" w:rsidRPr="00043E01" w:rsidRDefault="009B4D96" w:rsidP="006B62D1">
      <w:pPr>
        <w:spacing w:line="360" w:lineRule="auto"/>
        <w:ind w:firstLine="1440"/>
        <w:rPr>
          <w:bCs/>
        </w:rPr>
      </w:pPr>
      <w:r w:rsidRPr="00043E01">
        <w:rPr>
          <w:bCs/>
        </w:rPr>
        <w:t>THEREFORE,</w:t>
      </w:r>
    </w:p>
    <w:p w:rsidR="009B4D96" w:rsidRPr="00043E01" w:rsidRDefault="009B4D96" w:rsidP="006B62D1">
      <w:pPr>
        <w:spacing w:line="360" w:lineRule="auto"/>
        <w:ind w:firstLine="1440"/>
      </w:pPr>
    </w:p>
    <w:p w:rsidR="009B4D96" w:rsidRPr="00043E01" w:rsidRDefault="009B4D96" w:rsidP="006B62D1">
      <w:pPr>
        <w:spacing w:line="360" w:lineRule="auto"/>
        <w:ind w:firstLine="1440"/>
        <w:rPr>
          <w:bCs/>
        </w:rPr>
      </w:pPr>
      <w:r w:rsidRPr="00043E01">
        <w:rPr>
          <w:bCs/>
        </w:rPr>
        <w:t>IT IS ORDERED:</w:t>
      </w:r>
    </w:p>
    <w:p w:rsidR="009B4D96" w:rsidRPr="00237FC6" w:rsidRDefault="009B4D96" w:rsidP="006B62D1">
      <w:pPr>
        <w:spacing w:line="360" w:lineRule="auto"/>
        <w:ind w:firstLine="1440"/>
        <w:rPr>
          <w:bCs/>
        </w:rPr>
      </w:pPr>
    </w:p>
    <w:p w:rsidR="00237FC6" w:rsidRPr="00237FC6" w:rsidRDefault="009B4D96" w:rsidP="006B62D1">
      <w:pPr>
        <w:numPr>
          <w:ilvl w:val="0"/>
          <w:numId w:val="11"/>
        </w:numPr>
        <w:spacing w:line="360" w:lineRule="auto"/>
        <w:ind w:left="0" w:firstLine="1440"/>
      </w:pPr>
      <w:r w:rsidRPr="00237FC6">
        <w:t>Tha</w:t>
      </w:r>
      <w:r w:rsidR="00237FC6" w:rsidRPr="00237FC6">
        <w:t xml:space="preserve">t the Motion of </w:t>
      </w:r>
      <w:r w:rsidR="002018E6">
        <w:t xml:space="preserve">Blue Pilot Energy, LLC </w:t>
      </w:r>
      <w:r w:rsidR="00237FC6" w:rsidRPr="00237FC6">
        <w:t xml:space="preserve">to Compel Responses to Set </w:t>
      </w:r>
      <w:r w:rsidR="002018E6">
        <w:t>I</w:t>
      </w:r>
      <w:r w:rsidR="00237FC6" w:rsidRPr="00237FC6">
        <w:t xml:space="preserve"> filed at Docket No. C-2014-2427655 is hereby </w:t>
      </w:r>
      <w:r w:rsidR="002018E6">
        <w:t>denied</w:t>
      </w:r>
      <w:r w:rsidR="00237FC6" w:rsidRPr="00237FC6">
        <w:t>.</w:t>
      </w:r>
    </w:p>
    <w:p w:rsidR="00237FC6" w:rsidRPr="00237FC6" w:rsidRDefault="00237FC6" w:rsidP="006B62D1">
      <w:pPr>
        <w:spacing w:line="360" w:lineRule="auto"/>
      </w:pPr>
    </w:p>
    <w:p w:rsidR="00237FC6" w:rsidRPr="00237FC6" w:rsidRDefault="00237FC6" w:rsidP="006B62D1">
      <w:pPr>
        <w:numPr>
          <w:ilvl w:val="0"/>
          <w:numId w:val="11"/>
        </w:numPr>
        <w:spacing w:line="360" w:lineRule="auto"/>
        <w:ind w:left="0" w:firstLine="1440"/>
      </w:pPr>
      <w:r>
        <w:t>That the objection</w:t>
      </w:r>
      <w:r w:rsidR="00880A21">
        <w:t>s</w:t>
      </w:r>
      <w:r>
        <w:t xml:space="preserve"> of </w:t>
      </w:r>
      <w:r w:rsidR="002018E6">
        <w:t xml:space="preserve">Joint Complainants </w:t>
      </w:r>
      <w:r>
        <w:t xml:space="preserve">to </w:t>
      </w:r>
      <w:r w:rsidR="001F27AF">
        <w:t>I</w:t>
      </w:r>
      <w:r>
        <w:t xml:space="preserve">nterrogatories </w:t>
      </w:r>
      <w:r w:rsidR="001F27AF">
        <w:t xml:space="preserve">Set </w:t>
      </w:r>
      <w:r w:rsidR="002018E6">
        <w:t xml:space="preserve">I </w:t>
      </w:r>
      <w:r>
        <w:t>a</w:t>
      </w:r>
      <w:r w:rsidR="00880A21">
        <w:t xml:space="preserve">re </w:t>
      </w:r>
      <w:r w:rsidR="002018E6">
        <w:t>sustained</w:t>
      </w:r>
      <w:r w:rsidR="00880A21">
        <w:t xml:space="preserve">.  </w:t>
      </w:r>
    </w:p>
    <w:p w:rsidR="009B4D96" w:rsidRPr="00237FC6" w:rsidRDefault="009B4D96" w:rsidP="006B62D1">
      <w:pPr>
        <w:spacing w:line="360" w:lineRule="auto"/>
      </w:pPr>
    </w:p>
    <w:p w:rsidR="009B4D96" w:rsidRPr="009B4D96" w:rsidRDefault="009B4D96" w:rsidP="006B62D1">
      <w:pPr>
        <w:spacing w:line="360" w:lineRule="auto"/>
      </w:pPr>
    </w:p>
    <w:p w:rsidR="009B4D96" w:rsidRPr="006B62D1" w:rsidRDefault="009B4D96" w:rsidP="009B4D96">
      <w:pPr>
        <w:rPr>
          <w:u w:val="single"/>
        </w:rPr>
      </w:pPr>
      <w:r w:rsidRPr="009B4D96">
        <w:t xml:space="preserve">Date: </w:t>
      </w:r>
      <w:r w:rsidR="000367C1">
        <w:rPr>
          <w:u w:val="single"/>
        </w:rPr>
        <w:t>November 2</w:t>
      </w:r>
      <w:r w:rsidR="005C754F">
        <w:rPr>
          <w:u w:val="single"/>
        </w:rPr>
        <w:t>, 2015</w:t>
      </w:r>
      <w:r w:rsidR="00C35B1F">
        <w:tab/>
      </w:r>
      <w:r w:rsidRPr="009B4D96">
        <w:tab/>
      </w:r>
      <w:r w:rsidR="006B62D1">
        <w:tab/>
      </w:r>
      <w:r w:rsidR="006B62D1">
        <w:tab/>
      </w:r>
      <w:r w:rsidR="006B62D1">
        <w:rPr>
          <w:u w:val="single"/>
        </w:rPr>
        <w:tab/>
      </w:r>
      <w:r w:rsidR="006B62D1">
        <w:rPr>
          <w:u w:val="single"/>
        </w:rPr>
        <w:tab/>
      </w:r>
      <w:r w:rsidR="006B62D1">
        <w:rPr>
          <w:u w:val="single"/>
        </w:rPr>
        <w:tab/>
      </w:r>
      <w:r w:rsidR="006B62D1">
        <w:rPr>
          <w:u w:val="single"/>
        </w:rPr>
        <w:tab/>
      </w:r>
      <w:r w:rsidR="006B62D1">
        <w:rPr>
          <w:u w:val="single"/>
        </w:rPr>
        <w:tab/>
      </w:r>
    </w:p>
    <w:p w:rsidR="009B4D96" w:rsidRPr="009B4D96" w:rsidRDefault="009B4D96" w:rsidP="009B4D96">
      <w:r w:rsidRPr="009B4D96">
        <w:tab/>
      </w:r>
      <w:r w:rsidRPr="009B4D96">
        <w:tab/>
      </w:r>
      <w:r w:rsidRPr="009B4D96">
        <w:tab/>
      </w:r>
      <w:r w:rsidRPr="009B4D96">
        <w:tab/>
      </w:r>
      <w:r w:rsidRPr="009B4D96">
        <w:tab/>
      </w:r>
      <w:r w:rsidR="006B62D1">
        <w:tab/>
      </w:r>
      <w:r w:rsidR="006B62D1">
        <w:tab/>
      </w:r>
      <w:r w:rsidRPr="009B4D96">
        <w:t>Elizabeth Barnes</w:t>
      </w:r>
    </w:p>
    <w:p w:rsidR="009B4D96" w:rsidRPr="009B4D96" w:rsidRDefault="009B4D96" w:rsidP="009B4D96">
      <w:r w:rsidRPr="009B4D96">
        <w:tab/>
      </w:r>
      <w:r w:rsidRPr="009B4D96">
        <w:tab/>
      </w:r>
      <w:r w:rsidRPr="009B4D96">
        <w:tab/>
      </w:r>
      <w:r w:rsidRPr="009B4D96">
        <w:tab/>
      </w:r>
      <w:r w:rsidRPr="009B4D96">
        <w:tab/>
      </w:r>
      <w:r w:rsidR="006B62D1">
        <w:tab/>
      </w:r>
      <w:r w:rsidR="006B62D1">
        <w:tab/>
      </w:r>
      <w:r w:rsidRPr="009B4D96">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6B62D1" w:rsidRDefault="009B4D96" w:rsidP="009B4D96">
      <w:pPr>
        <w:rPr>
          <w:u w:val="single"/>
        </w:rPr>
      </w:pPr>
      <w:r w:rsidRPr="009B4D96">
        <w:tab/>
      </w:r>
      <w:r w:rsidRPr="009B4D96">
        <w:tab/>
      </w:r>
      <w:r w:rsidRPr="009B4D96">
        <w:tab/>
      </w:r>
      <w:r w:rsidRPr="009B4D96">
        <w:tab/>
      </w:r>
      <w:r w:rsidRPr="009B4D96">
        <w:tab/>
      </w:r>
      <w:r w:rsidR="006B62D1">
        <w:tab/>
      </w:r>
      <w:r w:rsidR="006B62D1">
        <w:tab/>
      </w:r>
      <w:r w:rsidR="006B62D1">
        <w:rPr>
          <w:u w:val="single"/>
        </w:rPr>
        <w:tab/>
      </w:r>
      <w:r w:rsidR="006B62D1">
        <w:rPr>
          <w:u w:val="single"/>
        </w:rPr>
        <w:tab/>
      </w:r>
      <w:r w:rsidR="006B62D1">
        <w:rPr>
          <w:u w:val="single"/>
        </w:rPr>
        <w:tab/>
      </w:r>
      <w:r w:rsidR="006B62D1">
        <w:rPr>
          <w:u w:val="single"/>
        </w:rPr>
        <w:tab/>
      </w:r>
      <w:r w:rsidR="006B62D1">
        <w:rPr>
          <w:u w:val="single"/>
        </w:rPr>
        <w:tab/>
      </w:r>
    </w:p>
    <w:p w:rsidR="009B4D96" w:rsidRPr="009B4D96" w:rsidRDefault="009B4D96" w:rsidP="009B4D96">
      <w:r w:rsidRPr="009B4D96">
        <w:tab/>
      </w:r>
      <w:r w:rsidRPr="009B4D96">
        <w:tab/>
      </w:r>
      <w:r w:rsidRPr="009B4D96">
        <w:tab/>
      </w:r>
      <w:r w:rsidRPr="009B4D96">
        <w:tab/>
      </w:r>
      <w:r w:rsidRPr="009B4D96">
        <w:tab/>
      </w:r>
      <w:r w:rsidR="006B62D1">
        <w:tab/>
      </w:r>
      <w:r w:rsidR="006B62D1">
        <w:tab/>
      </w:r>
      <w:r w:rsidRPr="009B4D96">
        <w:t xml:space="preserve">Joel H. Cheskis </w:t>
      </w:r>
    </w:p>
    <w:p w:rsidR="006E2065" w:rsidRDefault="009B4D96" w:rsidP="002018E6">
      <w:pPr>
        <w:sectPr w:rsidR="006E2065" w:rsidSect="00713D64">
          <w:footerReference w:type="default" r:id="rId9"/>
          <w:pgSz w:w="12240" w:h="15840"/>
          <w:pgMar w:top="1440" w:right="1800" w:bottom="1440" w:left="1800" w:header="720" w:footer="720" w:gutter="0"/>
          <w:cols w:space="720"/>
          <w:titlePg/>
        </w:sectPr>
      </w:pPr>
      <w:r w:rsidRPr="009B4D96">
        <w:tab/>
      </w:r>
      <w:r w:rsidRPr="009B4D96">
        <w:tab/>
      </w:r>
      <w:r w:rsidRPr="009B4D96">
        <w:tab/>
      </w:r>
      <w:r w:rsidRPr="009B4D96">
        <w:tab/>
      </w:r>
      <w:r w:rsidRPr="009B4D96">
        <w:tab/>
      </w:r>
      <w:r w:rsidR="006B62D1">
        <w:tab/>
      </w:r>
      <w:r w:rsidR="006B62D1">
        <w:tab/>
      </w:r>
      <w:r w:rsidRPr="009B4D96">
        <w:t>Administrative Law Judge</w:t>
      </w:r>
    </w:p>
    <w:p w:rsidR="006E2065" w:rsidRPr="00666424" w:rsidRDefault="006E2065" w:rsidP="006E2065">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6E2065" w:rsidRPr="00666424" w:rsidRDefault="006E2065" w:rsidP="006E2065">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6E2065" w:rsidRDefault="006E2065" w:rsidP="006E2065">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6E2065" w:rsidRPr="00666424" w:rsidRDefault="006E2065" w:rsidP="006E2065">
      <w:pPr>
        <w:rPr>
          <w:rFonts w:ascii="Microsoft Sans Serif" w:hAnsi="Microsoft Sans Serif" w:cs="Microsoft Sans Serif"/>
          <w:b/>
          <w:i/>
          <w:u w:val="single"/>
        </w:rPr>
      </w:pPr>
    </w:p>
    <w:p w:rsidR="006E2065" w:rsidRPr="00666424" w:rsidRDefault="006E2065" w:rsidP="006E2065">
      <w:pPr>
        <w:rPr>
          <w:rFonts w:ascii="Microsoft Sans Serif" w:hAnsi="Microsoft Sans Serif" w:cs="Microsoft Sans Serif"/>
          <w:b/>
          <w:i/>
          <w:u w:val="single"/>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p>
    <w:p w:rsidR="006E2065" w:rsidRDefault="006E2065" w:rsidP="006E2065">
      <w:pPr>
        <w:rPr>
          <w:rFonts w:ascii="Microsoft Sans Serif" w:hAnsi="Microsoft Sans Serif" w:cs="Microsoft Sans Serif"/>
        </w:rPr>
      </w:pPr>
      <w:r w:rsidRPr="00666424">
        <w:rPr>
          <w:rFonts w:ascii="Microsoft Sans Serif" w:hAnsi="Microsoft Sans Serif" w:cs="Microsoft Sans Serif"/>
        </w:rPr>
        <w:t>STEPHANIE WIMER ESQUIRE</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PA PUC LAW BUREAU</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PO BOX 3265</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HARRISBURG PA  17105-3265</w:t>
      </w:r>
    </w:p>
    <w:p w:rsidR="006E2065" w:rsidRPr="00666424" w:rsidRDefault="006E2065" w:rsidP="006E2065">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6E2065" w:rsidRDefault="006E2065" w:rsidP="006E2065">
      <w:pPr>
        <w:rPr>
          <w:rFonts w:ascii="Microsoft Sans Serif" w:hAnsi="Microsoft Sans Serif" w:cs="Microsoft Sans Serif"/>
        </w:rPr>
      </w:pPr>
    </w:p>
    <w:p w:rsidR="006E2065" w:rsidRPr="00666424" w:rsidRDefault="006E2065" w:rsidP="006E2065">
      <w:pPr>
        <w:rPr>
          <w:rFonts w:ascii="Microsoft Sans Serif" w:hAnsi="Microsoft Sans Serif" w:cs="Microsoft Sans Serif"/>
        </w:rPr>
      </w:pPr>
      <w:r>
        <w:rPr>
          <w:rFonts w:ascii="Microsoft Sans Serif" w:hAnsi="Microsoft Sans Serif" w:cs="Microsoft Sans Serif"/>
        </w:rPr>
        <w:t>MICHAEL L SWINDLER</w:t>
      </w:r>
    </w:p>
    <w:p w:rsidR="006E2065" w:rsidRPr="00666424" w:rsidRDefault="006E2065" w:rsidP="006E2065">
      <w:pPr>
        <w:rPr>
          <w:rFonts w:ascii="Microsoft Sans Serif" w:hAnsi="Microsoft Sans Serif" w:cs="Microsoft Sans Serif"/>
        </w:rPr>
      </w:pPr>
      <w:r>
        <w:rPr>
          <w:rFonts w:ascii="Microsoft Sans Serif" w:hAnsi="Microsoft Sans Serif" w:cs="Microsoft Sans Serif"/>
        </w:rPr>
        <w:t>PA PUC LAW BIE</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PO BOX 3265</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HARRISBURG PA  17105-3265</w:t>
      </w:r>
      <w:bookmarkStart w:id="3" w:name="_GoBack"/>
      <w:bookmarkEnd w:id="3"/>
    </w:p>
    <w:p w:rsidR="006E2065" w:rsidRDefault="006E2065" w:rsidP="006E2065">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6E2065" w:rsidRPr="00666424" w:rsidRDefault="006E2065" w:rsidP="006E2065">
      <w:pPr>
        <w:rPr>
          <w:rFonts w:ascii="Microsoft Sans Serif" w:hAnsi="Microsoft Sans Serif" w:cs="Microsoft Sans Serif"/>
        </w:rPr>
      </w:pP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KAREN MOURY ESQUIRE</w:t>
      </w:r>
    </w:p>
    <w:p w:rsidR="006E2065" w:rsidRPr="00666424" w:rsidRDefault="006E2065" w:rsidP="006E2065">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6E2065" w:rsidRPr="00666424" w:rsidRDefault="006E2065" w:rsidP="006E2065">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6E2065" w:rsidRPr="00666424" w:rsidRDefault="006E2065" w:rsidP="006E2065">
      <w:pPr>
        <w:jc w:val="both"/>
        <w:rPr>
          <w:rFonts w:ascii="Microsoft Sans Serif" w:hAnsi="Microsoft Sans Serif" w:cs="Microsoft Sans Serif"/>
        </w:rPr>
      </w:pPr>
    </w:p>
    <w:p w:rsidR="006E2065" w:rsidRPr="00666424" w:rsidRDefault="006E2065" w:rsidP="006E2065"/>
    <w:p w:rsidR="00444E27" w:rsidRPr="00550B34" w:rsidRDefault="00444E27" w:rsidP="002018E6"/>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55" w:rsidRDefault="00352355">
      <w:r>
        <w:separator/>
      </w:r>
    </w:p>
  </w:endnote>
  <w:endnote w:type="continuationSeparator" w:id="0">
    <w:p w:rsidR="00352355" w:rsidRDefault="0035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6B62D1" w:rsidRDefault="00B806F4">
    <w:pPr>
      <w:pStyle w:val="Footer"/>
      <w:framePr w:wrap="auto" w:vAnchor="text" w:hAnchor="margin" w:xAlign="center" w:y="1"/>
      <w:rPr>
        <w:rStyle w:val="PageNumber"/>
        <w:sz w:val="20"/>
        <w:szCs w:val="20"/>
      </w:rPr>
    </w:pPr>
    <w:r w:rsidRPr="006B62D1">
      <w:rPr>
        <w:rStyle w:val="PageNumber"/>
        <w:sz w:val="20"/>
        <w:szCs w:val="20"/>
      </w:rPr>
      <w:fldChar w:fldCharType="begin"/>
    </w:r>
    <w:r w:rsidR="006D33B5" w:rsidRPr="006B62D1">
      <w:rPr>
        <w:rStyle w:val="PageNumber"/>
        <w:sz w:val="20"/>
        <w:szCs w:val="20"/>
      </w:rPr>
      <w:instrText xml:space="preserve">PAGE  </w:instrText>
    </w:r>
    <w:r w:rsidRPr="006B62D1">
      <w:rPr>
        <w:rStyle w:val="PageNumber"/>
        <w:sz w:val="20"/>
        <w:szCs w:val="20"/>
      </w:rPr>
      <w:fldChar w:fldCharType="separate"/>
    </w:r>
    <w:r w:rsidR="00241948">
      <w:rPr>
        <w:rStyle w:val="PageNumber"/>
        <w:noProof/>
        <w:sz w:val="20"/>
        <w:szCs w:val="20"/>
      </w:rPr>
      <w:t>11</w:t>
    </w:r>
    <w:r w:rsidRPr="006B62D1">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65" w:rsidRPr="003C02CC" w:rsidRDefault="006E206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55" w:rsidRDefault="00352355">
      <w:r>
        <w:separator/>
      </w:r>
    </w:p>
  </w:footnote>
  <w:footnote w:type="continuationSeparator" w:id="0">
    <w:p w:rsidR="00352355" w:rsidRDefault="00352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041D5"/>
    <w:multiLevelType w:val="hybridMultilevel"/>
    <w:tmpl w:val="A092ACB0"/>
    <w:lvl w:ilvl="0" w:tplc="6BAAE4AE">
      <w:start w:val="1"/>
      <w:numFmt w:val="decimal"/>
      <w:lvlText w:val="%1."/>
      <w:lvlJc w:val="left"/>
      <w:pPr>
        <w:ind w:left="2160" w:hanging="1440"/>
      </w:pPr>
    </w:lvl>
    <w:lvl w:ilvl="1" w:tplc="8FFE675E">
      <w:start w:val="1"/>
      <w:numFmt w:val="lowerLetter"/>
      <w:lvlText w:val="%2."/>
      <w:lvlJc w:val="left"/>
      <w:pPr>
        <w:ind w:left="1800" w:hanging="360"/>
      </w:pPr>
    </w:lvl>
    <w:lvl w:ilvl="2" w:tplc="D940FB9A">
      <w:start w:val="1"/>
      <w:numFmt w:val="lowerRoman"/>
      <w:lvlText w:val="%3."/>
      <w:lvlJc w:val="right"/>
      <w:pPr>
        <w:ind w:left="2520" w:hanging="180"/>
      </w:pPr>
    </w:lvl>
    <w:lvl w:ilvl="3" w:tplc="0E86859C">
      <w:start w:val="1"/>
      <w:numFmt w:val="decimal"/>
      <w:lvlText w:val="%4."/>
      <w:lvlJc w:val="left"/>
      <w:pPr>
        <w:ind w:left="3240" w:hanging="360"/>
      </w:pPr>
    </w:lvl>
    <w:lvl w:ilvl="4" w:tplc="26644294">
      <w:start w:val="1"/>
      <w:numFmt w:val="lowerLetter"/>
      <w:lvlText w:val="%5."/>
      <w:lvlJc w:val="left"/>
      <w:pPr>
        <w:ind w:left="3960" w:hanging="360"/>
      </w:pPr>
    </w:lvl>
    <w:lvl w:ilvl="5" w:tplc="A2B447C8">
      <w:start w:val="1"/>
      <w:numFmt w:val="lowerRoman"/>
      <w:lvlText w:val="%6."/>
      <w:lvlJc w:val="right"/>
      <w:pPr>
        <w:ind w:left="4680" w:hanging="180"/>
      </w:pPr>
    </w:lvl>
    <w:lvl w:ilvl="6" w:tplc="3A588F06">
      <w:start w:val="1"/>
      <w:numFmt w:val="decimal"/>
      <w:lvlText w:val="%7."/>
      <w:lvlJc w:val="left"/>
      <w:pPr>
        <w:ind w:left="5400" w:hanging="360"/>
      </w:pPr>
    </w:lvl>
    <w:lvl w:ilvl="7" w:tplc="7C126336">
      <w:start w:val="1"/>
      <w:numFmt w:val="lowerLetter"/>
      <w:lvlText w:val="%8."/>
      <w:lvlJc w:val="left"/>
      <w:pPr>
        <w:ind w:left="6120" w:hanging="360"/>
      </w:pPr>
    </w:lvl>
    <w:lvl w:ilvl="8" w:tplc="6C4872D0">
      <w:start w:val="1"/>
      <w:numFmt w:val="lowerRoman"/>
      <w:lvlText w:val="%9."/>
      <w:lvlJc w:val="right"/>
      <w:pPr>
        <w:ind w:left="6840" w:hanging="180"/>
      </w:pPr>
    </w:lvl>
  </w:abstractNum>
  <w:abstractNum w:abstractNumId="3">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20733D"/>
    <w:multiLevelType w:val="hybridMultilevel"/>
    <w:tmpl w:val="134CBD84"/>
    <w:lvl w:ilvl="0" w:tplc="68DACD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5"/>
  </w:num>
  <w:num w:numId="4">
    <w:abstractNumId w:val="24"/>
  </w:num>
  <w:num w:numId="5">
    <w:abstractNumId w:val="7"/>
  </w:num>
  <w:num w:numId="6">
    <w:abstractNumId w:val="27"/>
  </w:num>
  <w:num w:numId="7">
    <w:abstractNumId w:val="4"/>
  </w:num>
  <w:num w:numId="8">
    <w:abstractNumId w:val="18"/>
  </w:num>
  <w:num w:numId="9">
    <w:abstractNumId w:val="13"/>
  </w:num>
  <w:num w:numId="10">
    <w:abstractNumId w:val="26"/>
  </w:num>
  <w:num w:numId="11">
    <w:abstractNumId w:val="21"/>
  </w:num>
  <w:num w:numId="12">
    <w:abstractNumId w:val="11"/>
  </w:num>
  <w:num w:numId="13">
    <w:abstractNumId w:val="20"/>
  </w:num>
  <w:num w:numId="14">
    <w:abstractNumId w:val="1"/>
  </w:num>
  <w:num w:numId="15">
    <w:abstractNumId w:val="22"/>
  </w:num>
  <w:num w:numId="16">
    <w:abstractNumId w:val="16"/>
  </w:num>
  <w:num w:numId="17">
    <w:abstractNumId w:val="17"/>
  </w:num>
  <w:num w:numId="18">
    <w:abstractNumId w:val="10"/>
  </w:num>
  <w:num w:numId="19">
    <w:abstractNumId w:val="19"/>
  </w:num>
  <w:num w:numId="20">
    <w:abstractNumId w:val="6"/>
  </w:num>
  <w:num w:numId="21">
    <w:abstractNumId w:val="25"/>
  </w:num>
  <w:num w:numId="22">
    <w:abstractNumId w:val="23"/>
  </w:num>
  <w:num w:numId="23">
    <w:abstractNumId w:val="0"/>
    <w:lvlOverride w:ilvl="0">
      <w:startOverride w:val="1"/>
    </w:lvlOverride>
  </w:num>
  <w:num w:numId="24">
    <w:abstractNumId w:val="3"/>
  </w:num>
  <w:num w:numId="25">
    <w:abstractNumId w:val="8"/>
  </w:num>
  <w:num w:numId="26">
    <w:abstractNumId w:val="1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27A06"/>
    <w:rsid w:val="00031CED"/>
    <w:rsid w:val="00033858"/>
    <w:rsid w:val="0003433E"/>
    <w:rsid w:val="000367C1"/>
    <w:rsid w:val="00037E8B"/>
    <w:rsid w:val="00040542"/>
    <w:rsid w:val="00042407"/>
    <w:rsid w:val="0004254C"/>
    <w:rsid w:val="00043E01"/>
    <w:rsid w:val="000447F9"/>
    <w:rsid w:val="00050489"/>
    <w:rsid w:val="00050AF1"/>
    <w:rsid w:val="00054540"/>
    <w:rsid w:val="00054A10"/>
    <w:rsid w:val="00055FCB"/>
    <w:rsid w:val="00060BB1"/>
    <w:rsid w:val="00063F87"/>
    <w:rsid w:val="00073240"/>
    <w:rsid w:val="00075A4C"/>
    <w:rsid w:val="00080140"/>
    <w:rsid w:val="00080E54"/>
    <w:rsid w:val="000813BA"/>
    <w:rsid w:val="00081A6A"/>
    <w:rsid w:val="0008508F"/>
    <w:rsid w:val="000851FC"/>
    <w:rsid w:val="000878EC"/>
    <w:rsid w:val="00090BB2"/>
    <w:rsid w:val="000A1610"/>
    <w:rsid w:val="000B2BD1"/>
    <w:rsid w:val="000B46D9"/>
    <w:rsid w:val="000B6D6C"/>
    <w:rsid w:val="000C3A73"/>
    <w:rsid w:val="000C5271"/>
    <w:rsid w:val="000C541F"/>
    <w:rsid w:val="000C5888"/>
    <w:rsid w:val="000D2CCA"/>
    <w:rsid w:val="000D35D3"/>
    <w:rsid w:val="000D4032"/>
    <w:rsid w:val="000D67B4"/>
    <w:rsid w:val="000D6D75"/>
    <w:rsid w:val="000E0FEF"/>
    <w:rsid w:val="000E6B3B"/>
    <w:rsid w:val="000F045C"/>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0FAA"/>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27AF"/>
    <w:rsid w:val="001F3D60"/>
    <w:rsid w:val="001F59C0"/>
    <w:rsid w:val="0020025C"/>
    <w:rsid w:val="002018E6"/>
    <w:rsid w:val="00201F77"/>
    <w:rsid w:val="002026C5"/>
    <w:rsid w:val="00204013"/>
    <w:rsid w:val="002069A1"/>
    <w:rsid w:val="00212459"/>
    <w:rsid w:val="0021277F"/>
    <w:rsid w:val="002164E5"/>
    <w:rsid w:val="00217594"/>
    <w:rsid w:val="0022121D"/>
    <w:rsid w:val="0022145B"/>
    <w:rsid w:val="00223B03"/>
    <w:rsid w:val="00224765"/>
    <w:rsid w:val="002251CE"/>
    <w:rsid w:val="00227919"/>
    <w:rsid w:val="0023008A"/>
    <w:rsid w:val="002304A8"/>
    <w:rsid w:val="00232E9E"/>
    <w:rsid w:val="00234F90"/>
    <w:rsid w:val="00237FC6"/>
    <w:rsid w:val="00241948"/>
    <w:rsid w:val="0024311B"/>
    <w:rsid w:val="00246B74"/>
    <w:rsid w:val="002508B3"/>
    <w:rsid w:val="00252F51"/>
    <w:rsid w:val="0025436A"/>
    <w:rsid w:val="0026329B"/>
    <w:rsid w:val="00266583"/>
    <w:rsid w:val="00266DCB"/>
    <w:rsid w:val="0027269F"/>
    <w:rsid w:val="00275454"/>
    <w:rsid w:val="00276158"/>
    <w:rsid w:val="002825EF"/>
    <w:rsid w:val="002860B7"/>
    <w:rsid w:val="002872AD"/>
    <w:rsid w:val="00291D9A"/>
    <w:rsid w:val="00292331"/>
    <w:rsid w:val="00292AB7"/>
    <w:rsid w:val="002967E5"/>
    <w:rsid w:val="002A340F"/>
    <w:rsid w:val="002A5F90"/>
    <w:rsid w:val="002A6146"/>
    <w:rsid w:val="002A6540"/>
    <w:rsid w:val="002B04F4"/>
    <w:rsid w:val="002B1DB7"/>
    <w:rsid w:val="002B5A65"/>
    <w:rsid w:val="002B60D8"/>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2355"/>
    <w:rsid w:val="00353CE7"/>
    <w:rsid w:val="00354DBE"/>
    <w:rsid w:val="0035796C"/>
    <w:rsid w:val="00360A2F"/>
    <w:rsid w:val="0036270B"/>
    <w:rsid w:val="0036322E"/>
    <w:rsid w:val="00364A6D"/>
    <w:rsid w:val="00365ECF"/>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5BD"/>
    <w:rsid w:val="003C66F8"/>
    <w:rsid w:val="003D31FC"/>
    <w:rsid w:val="003D419D"/>
    <w:rsid w:val="003E04E8"/>
    <w:rsid w:val="003E3839"/>
    <w:rsid w:val="003E44F8"/>
    <w:rsid w:val="003F0870"/>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040"/>
    <w:rsid w:val="004A61FD"/>
    <w:rsid w:val="004A6217"/>
    <w:rsid w:val="004A744B"/>
    <w:rsid w:val="004A7614"/>
    <w:rsid w:val="004B12AD"/>
    <w:rsid w:val="004B155F"/>
    <w:rsid w:val="004B3128"/>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6493"/>
    <w:rsid w:val="005173E3"/>
    <w:rsid w:val="0052063B"/>
    <w:rsid w:val="00522D71"/>
    <w:rsid w:val="00526B7E"/>
    <w:rsid w:val="0053143A"/>
    <w:rsid w:val="00531C6A"/>
    <w:rsid w:val="0053303C"/>
    <w:rsid w:val="0053542E"/>
    <w:rsid w:val="00535728"/>
    <w:rsid w:val="00535B47"/>
    <w:rsid w:val="005371B7"/>
    <w:rsid w:val="00541FA5"/>
    <w:rsid w:val="00546F91"/>
    <w:rsid w:val="00550B34"/>
    <w:rsid w:val="005534AB"/>
    <w:rsid w:val="00554E48"/>
    <w:rsid w:val="00555AB2"/>
    <w:rsid w:val="0056090B"/>
    <w:rsid w:val="00560B3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55A8"/>
    <w:rsid w:val="005A6A5B"/>
    <w:rsid w:val="005B063C"/>
    <w:rsid w:val="005B0ADE"/>
    <w:rsid w:val="005B49D8"/>
    <w:rsid w:val="005B6C33"/>
    <w:rsid w:val="005C038C"/>
    <w:rsid w:val="005C1B4B"/>
    <w:rsid w:val="005C42DD"/>
    <w:rsid w:val="005C7120"/>
    <w:rsid w:val="005C754F"/>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518E"/>
    <w:rsid w:val="00676110"/>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B62D1"/>
    <w:rsid w:val="006C2C4C"/>
    <w:rsid w:val="006C393A"/>
    <w:rsid w:val="006C5A4D"/>
    <w:rsid w:val="006C78F8"/>
    <w:rsid w:val="006D0F1E"/>
    <w:rsid w:val="006D1934"/>
    <w:rsid w:val="006D2C1D"/>
    <w:rsid w:val="006D33B5"/>
    <w:rsid w:val="006D48B8"/>
    <w:rsid w:val="006D528C"/>
    <w:rsid w:val="006D5523"/>
    <w:rsid w:val="006E2065"/>
    <w:rsid w:val="006E3A5F"/>
    <w:rsid w:val="006E3B8A"/>
    <w:rsid w:val="006E6FAE"/>
    <w:rsid w:val="006F0FF6"/>
    <w:rsid w:val="006F1BFA"/>
    <w:rsid w:val="006F2017"/>
    <w:rsid w:val="006F2358"/>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66A42"/>
    <w:rsid w:val="00771201"/>
    <w:rsid w:val="00774975"/>
    <w:rsid w:val="00777F03"/>
    <w:rsid w:val="00780958"/>
    <w:rsid w:val="00783F05"/>
    <w:rsid w:val="00784AE9"/>
    <w:rsid w:val="007876C7"/>
    <w:rsid w:val="00787F5D"/>
    <w:rsid w:val="007945B3"/>
    <w:rsid w:val="007A4FFB"/>
    <w:rsid w:val="007A5F66"/>
    <w:rsid w:val="007B135C"/>
    <w:rsid w:val="007B19DA"/>
    <w:rsid w:val="007B2C93"/>
    <w:rsid w:val="007B76C4"/>
    <w:rsid w:val="007C4E77"/>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5198"/>
    <w:rsid w:val="00922597"/>
    <w:rsid w:val="009242C7"/>
    <w:rsid w:val="00926832"/>
    <w:rsid w:val="0093238A"/>
    <w:rsid w:val="00933A0A"/>
    <w:rsid w:val="00935A17"/>
    <w:rsid w:val="00935CEA"/>
    <w:rsid w:val="009422A8"/>
    <w:rsid w:val="009435E2"/>
    <w:rsid w:val="00944E2E"/>
    <w:rsid w:val="0094648D"/>
    <w:rsid w:val="009479D5"/>
    <w:rsid w:val="00951B5E"/>
    <w:rsid w:val="00951BBB"/>
    <w:rsid w:val="00952807"/>
    <w:rsid w:val="00952C85"/>
    <w:rsid w:val="00957662"/>
    <w:rsid w:val="00960F5B"/>
    <w:rsid w:val="00961913"/>
    <w:rsid w:val="009651D5"/>
    <w:rsid w:val="00965EA9"/>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0B31"/>
    <w:rsid w:val="009C228F"/>
    <w:rsid w:val="009C25F1"/>
    <w:rsid w:val="009C2A10"/>
    <w:rsid w:val="009C416F"/>
    <w:rsid w:val="009C44F8"/>
    <w:rsid w:val="009C5580"/>
    <w:rsid w:val="009D16D6"/>
    <w:rsid w:val="009D17D2"/>
    <w:rsid w:val="009D2069"/>
    <w:rsid w:val="009D37EA"/>
    <w:rsid w:val="009D7DAC"/>
    <w:rsid w:val="009E13E3"/>
    <w:rsid w:val="009E1824"/>
    <w:rsid w:val="009E2517"/>
    <w:rsid w:val="009E69D3"/>
    <w:rsid w:val="009F01F6"/>
    <w:rsid w:val="009F0C50"/>
    <w:rsid w:val="009F3DEF"/>
    <w:rsid w:val="009F421F"/>
    <w:rsid w:val="009F57DD"/>
    <w:rsid w:val="009F6BF1"/>
    <w:rsid w:val="00A004FE"/>
    <w:rsid w:val="00A01A2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66614"/>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40"/>
    <w:rsid w:val="00AC3093"/>
    <w:rsid w:val="00AC425C"/>
    <w:rsid w:val="00AC522C"/>
    <w:rsid w:val="00AC54DB"/>
    <w:rsid w:val="00AC56B3"/>
    <w:rsid w:val="00AC6D5D"/>
    <w:rsid w:val="00AD2E4C"/>
    <w:rsid w:val="00AD6AC6"/>
    <w:rsid w:val="00AD6BCE"/>
    <w:rsid w:val="00AE7C1B"/>
    <w:rsid w:val="00AF2A6D"/>
    <w:rsid w:val="00AF33E7"/>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3B14"/>
    <w:rsid w:val="00B5499E"/>
    <w:rsid w:val="00B54E34"/>
    <w:rsid w:val="00B606E5"/>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5F9E"/>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206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65C"/>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341"/>
    <w:rsid w:val="00D44B05"/>
    <w:rsid w:val="00D51B5E"/>
    <w:rsid w:val="00D55377"/>
    <w:rsid w:val="00D557D5"/>
    <w:rsid w:val="00D57E4B"/>
    <w:rsid w:val="00D601F0"/>
    <w:rsid w:val="00D626EC"/>
    <w:rsid w:val="00D62F24"/>
    <w:rsid w:val="00D64302"/>
    <w:rsid w:val="00D64F50"/>
    <w:rsid w:val="00D65D31"/>
    <w:rsid w:val="00D7167B"/>
    <w:rsid w:val="00D73519"/>
    <w:rsid w:val="00D73AE8"/>
    <w:rsid w:val="00D73E83"/>
    <w:rsid w:val="00D74414"/>
    <w:rsid w:val="00D80A3E"/>
    <w:rsid w:val="00D84B3D"/>
    <w:rsid w:val="00D92151"/>
    <w:rsid w:val="00D94895"/>
    <w:rsid w:val="00D94D3A"/>
    <w:rsid w:val="00D95385"/>
    <w:rsid w:val="00D954C1"/>
    <w:rsid w:val="00DA0323"/>
    <w:rsid w:val="00DA0C66"/>
    <w:rsid w:val="00DA0E95"/>
    <w:rsid w:val="00DA3FF9"/>
    <w:rsid w:val="00DA7A81"/>
    <w:rsid w:val="00DB04B4"/>
    <w:rsid w:val="00DB112D"/>
    <w:rsid w:val="00DB13BD"/>
    <w:rsid w:val="00DB1959"/>
    <w:rsid w:val="00DB1971"/>
    <w:rsid w:val="00DB4D41"/>
    <w:rsid w:val="00DB75DF"/>
    <w:rsid w:val="00DC371F"/>
    <w:rsid w:val="00DC451E"/>
    <w:rsid w:val="00DC5FA1"/>
    <w:rsid w:val="00DC7C98"/>
    <w:rsid w:val="00DD04D4"/>
    <w:rsid w:val="00DD0CE4"/>
    <w:rsid w:val="00DE3721"/>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3F24"/>
    <w:rsid w:val="00E6635F"/>
    <w:rsid w:val="00E70A61"/>
    <w:rsid w:val="00E77251"/>
    <w:rsid w:val="00E8127C"/>
    <w:rsid w:val="00E817EE"/>
    <w:rsid w:val="00E818B6"/>
    <w:rsid w:val="00E83487"/>
    <w:rsid w:val="00E87CF0"/>
    <w:rsid w:val="00E87EDF"/>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E79E9"/>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styleId="BodyText">
    <w:name w:val="Body Text"/>
    <w:basedOn w:val="Normal"/>
    <w:link w:val="BodyTextChar"/>
    <w:rsid w:val="003F0870"/>
    <w:pPr>
      <w:spacing w:after="120"/>
    </w:pPr>
  </w:style>
  <w:style w:type="character" w:customStyle="1" w:styleId="BodyTextChar">
    <w:name w:val="Body Text Char"/>
    <w:basedOn w:val="DefaultParagraphFont"/>
    <w:link w:val="BodyText"/>
    <w:rsid w:val="003F0870"/>
    <w:rPr>
      <w:sz w:val="24"/>
      <w:szCs w:val="24"/>
    </w:rPr>
  </w:style>
  <w:style w:type="character" w:customStyle="1" w:styleId="FootnoteTextChar">
    <w:name w:val="Footnote Text Char"/>
    <w:basedOn w:val="DefaultParagraphFont"/>
    <w:link w:val="FootnoteText"/>
    <w:uiPriority w:val="99"/>
    <w:semiHidden/>
    <w:rsid w:val="005C754F"/>
  </w:style>
  <w:style w:type="paragraph" w:styleId="NormalWeb">
    <w:name w:val="Normal (Web)"/>
    <w:basedOn w:val="Normal"/>
    <w:uiPriority w:val="99"/>
    <w:unhideWhenUsed/>
    <w:rsid w:val="002304A8"/>
    <w:pPr>
      <w:autoSpaceDE/>
      <w:autoSpaceDN/>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styleId="BodyText">
    <w:name w:val="Body Text"/>
    <w:basedOn w:val="Normal"/>
    <w:link w:val="BodyTextChar"/>
    <w:rsid w:val="003F0870"/>
    <w:pPr>
      <w:spacing w:after="120"/>
    </w:pPr>
  </w:style>
  <w:style w:type="character" w:customStyle="1" w:styleId="BodyTextChar">
    <w:name w:val="Body Text Char"/>
    <w:basedOn w:val="DefaultParagraphFont"/>
    <w:link w:val="BodyText"/>
    <w:rsid w:val="003F0870"/>
    <w:rPr>
      <w:sz w:val="24"/>
      <w:szCs w:val="24"/>
    </w:rPr>
  </w:style>
  <w:style w:type="character" w:customStyle="1" w:styleId="FootnoteTextChar">
    <w:name w:val="Footnote Text Char"/>
    <w:basedOn w:val="DefaultParagraphFont"/>
    <w:link w:val="FootnoteText"/>
    <w:uiPriority w:val="99"/>
    <w:semiHidden/>
    <w:rsid w:val="005C754F"/>
  </w:style>
  <w:style w:type="paragraph" w:styleId="NormalWeb">
    <w:name w:val="Normal (Web)"/>
    <w:basedOn w:val="Normal"/>
    <w:uiPriority w:val="99"/>
    <w:unhideWhenUsed/>
    <w:rsid w:val="002304A8"/>
    <w:pPr>
      <w:autoSpaceDE/>
      <w:autoSpaceDN/>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5E38-8891-4C82-8DCA-965A69CB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2015-11-02T16:33:00Z</cp:lastPrinted>
  <dcterms:created xsi:type="dcterms:W3CDTF">2015-11-02T16:30:00Z</dcterms:created>
  <dcterms:modified xsi:type="dcterms:W3CDTF">2015-11-02T16:35:00Z</dcterms:modified>
</cp:coreProperties>
</file>