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AF" w:rsidRPr="00067BD8" w:rsidRDefault="008960AF" w:rsidP="008960AF">
      <w:pPr>
        <w:spacing w:line="240" w:lineRule="auto"/>
        <w:jc w:val="center"/>
        <w:rPr>
          <w:b/>
        </w:rPr>
      </w:pPr>
      <w:r w:rsidRPr="00067BD8">
        <w:rPr>
          <w:b/>
        </w:rPr>
        <w:t>BEFORE THE</w:t>
      </w:r>
    </w:p>
    <w:p w:rsidR="008960AF" w:rsidRPr="00067BD8" w:rsidRDefault="008960AF" w:rsidP="008960AF">
      <w:pPr>
        <w:spacing w:line="240" w:lineRule="auto"/>
        <w:jc w:val="center"/>
        <w:rPr>
          <w:b/>
        </w:rPr>
      </w:pPr>
      <w:r w:rsidRPr="00067BD8">
        <w:rPr>
          <w:b/>
        </w:rPr>
        <w:t>PENNSYLVANIA PUBLIC UTILITY COMMISSION</w:t>
      </w:r>
    </w:p>
    <w:p w:rsidR="008960AF" w:rsidRDefault="008960AF" w:rsidP="008960AF">
      <w:pPr>
        <w:spacing w:line="240" w:lineRule="auto"/>
      </w:pPr>
    </w:p>
    <w:p w:rsidR="008960AF" w:rsidRPr="00067BD8" w:rsidRDefault="008960AF" w:rsidP="008960AF">
      <w:pPr>
        <w:spacing w:line="240" w:lineRule="auto"/>
      </w:pPr>
    </w:p>
    <w:p w:rsidR="00FC0E2B" w:rsidRPr="00833C00" w:rsidRDefault="00FC0E2B" w:rsidP="00FC0E2B">
      <w:pPr>
        <w:spacing w:line="240" w:lineRule="auto"/>
        <w:jc w:val="center"/>
      </w:pPr>
    </w:p>
    <w:p w:rsidR="008C3F20" w:rsidRPr="008C3F20" w:rsidRDefault="008C3F20" w:rsidP="008C3F20">
      <w:pPr>
        <w:autoSpaceDE w:val="0"/>
        <w:autoSpaceDN w:val="0"/>
        <w:adjustRightInd w:val="0"/>
        <w:spacing w:line="240" w:lineRule="auto"/>
        <w:rPr>
          <w:bCs/>
          <w:color w:val="000000"/>
        </w:rPr>
      </w:pPr>
      <w:r w:rsidRPr="008C3F20">
        <w:rPr>
          <w:bCs/>
          <w:color w:val="000000"/>
        </w:rPr>
        <w:t>Commonwealth of Pennsylvania, by Attorney</w:t>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General KATHLEEN G. KANE, Through the</w:t>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Bureau of Consumer Protection,</w:t>
      </w:r>
      <w:r w:rsidRPr="008C3F20">
        <w:rPr>
          <w:bCs/>
          <w:color w:val="000000"/>
        </w:rPr>
        <w:tab/>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And</w:t>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 xml:space="preserve">: </w:t>
      </w:r>
      <w:r w:rsidRPr="008C3F20">
        <w:rPr>
          <w:bCs/>
          <w:color w:val="000000"/>
        </w:rPr>
        <w:tab/>
      </w:r>
      <w:r w:rsidRPr="008C3F20">
        <w:rPr>
          <w:bCs/>
          <w:color w:val="000000"/>
        </w:rPr>
        <w:tab/>
      </w:r>
      <w:r w:rsidRPr="008C3F20">
        <w:rPr>
          <w:bCs/>
          <w:color w:val="000000"/>
        </w:rPr>
        <w:tab/>
        <w:t>C-2014-2427652</w:t>
      </w:r>
    </w:p>
    <w:p w:rsidR="008C3F20" w:rsidRPr="008C3F20" w:rsidRDefault="008C3F20" w:rsidP="008C3F20">
      <w:pPr>
        <w:autoSpaceDE w:val="0"/>
        <w:autoSpaceDN w:val="0"/>
        <w:adjustRightInd w:val="0"/>
        <w:spacing w:line="240" w:lineRule="auto"/>
        <w:rPr>
          <w:bCs/>
          <w:color w:val="000000"/>
        </w:rPr>
      </w:pPr>
      <w:r w:rsidRPr="008C3F20">
        <w:rPr>
          <w:bCs/>
          <w:color w:val="000000"/>
        </w:rPr>
        <w:t>TANYA J. McCLOSKEY, Acting Consumer</w:t>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Advocate,</w:t>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ab/>
        <w:t>v.</w:t>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w:t>
      </w:r>
    </w:p>
    <w:p w:rsidR="008C3F20" w:rsidRPr="008C3F20" w:rsidRDefault="008C3F20" w:rsidP="008C3F20">
      <w:pPr>
        <w:autoSpaceDE w:val="0"/>
        <w:autoSpaceDN w:val="0"/>
        <w:adjustRightInd w:val="0"/>
        <w:spacing w:line="240" w:lineRule="auto"/>
        <w:rPr>
          <w:bCs/>
          <w:color w:val="000000"/>
        </w:rPr>
      </w:pP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w:t>
      </w:r>
    </w:p>
    <w:p w:rsidR="00FC0E2B" w:rsidRPr="00FB39BC" w:rsidRDefault="008C3F20" w:rsidP="008C3F20">
      <w:pPr>
        <w:widowControl w:val="0"/>
        <w:autoSpaceDE w:val="0"/>
        <w:autoSpaceDN w:val="0"/>
        <w:spacing w:line="240" w:lineRule="auto"/>
      </w:pPr>
      <w:r w:rsidRPr="008C3F20">
        <w:rPr>
          <w:bCs/>
          <w:color w:val="000000"/>
        </w:rPr>
        <w:t>HIKO Energy, LLC</w:t>
      </w:r>
      <w:r w:rsidRPr="008C3F20">
        <w:rPr>
          <w:bCs/>
          <w:color w:val="000000"/>
        </w:rPr>
        <w:tab/>
      </w:r>
      <w:r w:rsidRPr="008C3F20">
        <w:rPr>
          <w:bCs/>
          <w:color w:val="000000"/>
        </w:rPr>
        <w:tab/>
      </w:r>
      <w:r w:rsidRPr="008C3F20">
        <w:rPr>
          <w:bCs/>
          <w:color w:val="000000"/>
        </w:rPr>
        <w:tab/>
      </w:r>
      <w:r w:rsidRPr="008C3F20">
        <w:rPr>
          <w:bCs/>
          <w:color w:val="000000"/>
        </w:rPr>
        <w:tab/>
      </w:r>
      <w:r w:rsidRPr="008C3F20">
        <w:rPr>
          <w:bCs/>
          <w:color w:val="000000"/>
        </w:rPr>
        <w:tab/>
        <w:t>:</w:t>
      </w:r>
    </w:p>
    <w:p w:rsidR="00FC0E2B" w:rsidRPr="00833C00" w:rsidRDefault="00FC0E2B" w:rsidP="008C3F20">
      <w:pPr>
        <w:spacing w:line="240" w:lineRule="auto"/>
      </w:pPr>
    </w:p>
    <w:p w:rsidR="008C3F20" w:rsidRDefault="008C3F20" w:rsidP="008C3F20">
      <w:pPr>
        <w:spacing w:line="240" w:lineRule="auto"/>
        <w:rPr>
          <w:b/>
          <w:u w:val="single"/>
        </w:rPr>
      </w:pPr>
    </w:p>
    <w:p w:rsidR="008C3F20" w:rsidRDefault="008C3F20" w:rsidP="008C3F20">
      <w:pPr>
        <w:spacing w:line="240" w:lineRule="auto"/>
        <w:rPr>
          <w:b/>
          <w:u w:val="single"/>
        </w:rPr>
      </w:pPr>
    </w:p>
    <w:p w:rsidR="00EE1711" w:rsidRDefault="00EE1711" w:rsidP="008C3F20">
      <w:pPr>
        <w:jc w:val="center"/>
        <w:rPr>
          <w:b/>
          <w:u w:val="single"/>
        </w:rPr>
      </w:pPr>
      <w:r>
        <w:rPr>
          <w:b/>
          <w:u w:val="single"/>
        </w:rPr>
        <w:t>ERRATA</w:t>
      </w:r>
      <w:r w:rsidR="008C3F20">
        <w:rPr>
          <w:b/>
          <w:u w:val="single"/>
        </w:rPr>
        <w:t xml:space="preserve"> NOTICE</w:t>
      </w:r>
    </w:p>
    <w:p w:rsidR="00EE1711" w:rsidRDefault="00EE1711" w:rsidP="008C3F20">
      <w:pPr>
        <w:jc w:val="center"/>
        <w:rPr>
          <w:b/>
          <w:u w:val="single"/>
        </w:rPr>
      </w:pPr>
    </w:p>
    <w:p w:rsidR="00A87188" w:rsidRDefault="008C3F20" w:rsidP="008C3F20">
      <w:pPr>
        <w:ind w:firstLine="1440"/>
      </w:pPr>
      <w:r>
        <w:t>A review of ALJs Elizabeth H. Barnes and Joel H. Cheskis’ Initial</w:t>
      </w:r>
      <w:r w:rsidR="00EE1711">
        <w:t xml:space="preserve"> Decision, dated </w:t>
      </w:r>
      <w:r>
        <w:t>August 21</w:t>
      </w:r>
      <w:r w:rsidR="00EE1711">
        <w:t>, 201</w:t>
      </w:r>
      <w:r w:rsidR="00FC0E2B">
        <w:t>5</w:t>
      </w:r>
      <w:r w:rsidR="00EE1711">
        <w:t>, issued in the above-</w:t>
      </w:r>
      <w:r>
        <w:t>captioned proceeding, revealed</w:t>
      </w:r>
      <w:r w:rsidR="00EE1711">
        <w:t xml:space="preserve"> typographical error</w:t>
      </w:r>
      <w:r>
        <w:t>s.</w:t>
      </w:r>
      <w:r w:rsidR="00EE1711">
        <w:t xml:space="preserve"> </w:t>
      </w:r>
      <w:r w:rsidR="00A87188">
        <w:t xml:space="preserve"> </w:t>
      </w:r>
    </w:p>
    <w:p w:rsidR="00A87188" w:rsidRDefault="00A87188" w:rsidP="008C3F20">
      <w:pPr>
        <w:ind w:firstLine="1440"/>
      </w:pPr>
    </w:p>
    <w:p w:rsidR="00A9750B" w:rsidRDefault="00A9750B" w:rsidP="008C3F20">
      <w:pPr>
        <w:ind w:firstLine="1440"/>
      </w:pPr>
      <w:r>
        <w:t>The Table of Contents heading C.1.b. incorrectly states “Pennsylvania Gas &amp; Electric” and has been corrected to</w:t>
      </w:r>
      <w:r w:rsidR="00CE2ED0">
        <w:t xml:space="preserve"> state</w:t>
      </w:r>
      <w:r>
        <w:t xml:space="preserve"> “HIKO Energy, LLC.”</w:t>
      </w:r>
    </w:p>
    <w:p w:rsidR="00A87188" w:rsidRDefault="00A87188" w:rsidP="008C3F20">
      <w:pPr>
        <w:ind w:firstLine="1440"/>
      </w:pPr>
    </w:p>
    <w:p w:rsidR="00EE1711" w:rsidRDefault="00A87188" w:rsidP="008C3F20">
      <w:pPr>
        <w:ind w:firstLine="1440"/>
      </w:pPr>
      <w:r>
        <w:t>O</w:t>
      </w:r>
      <w:r w:rsidR="00EE1711">
        <w:t xml:space="preserve">n </w:t>
      </w:r>
      <w:r w:rsidR="00A9750B">
        <w:t>P</w:t>
      </w:r>
      <w:r w:rsidR="00EE1711">
        <w:t xml:space="preserve">age </w:t>
      </w:r>
      <w:r>
        <w:t>27</w:t>
      </w:r>
      <w:r w:rsidR="00FC0E2B">
        <w:t>,</w:t>
      </w:r>
      <w:r w:rsidR="00EE1711">
        <w:t xml:space="preserve"> </w:t>
      </w:r>
      <w:r>
        <w:t>first paragraph, line 5, t</w:t>
      </w:r>
      <w:r w:rsidR="00EE1711">
        <w:t xml:space="preserve">he </w:t>
      </w:r>
      <w:r w:rsidR="00FC0E2B">
        <w:t xml:space="preserve">figure </w:t>
      </w:r>
      <w:r>
        <w:t>“$1,672,523.10</w:t>
      </w:r>
      <w:r w:rsidR="00FC0E2B">
        <w:t>”</w:t>
      </w:r>
      <w:r w:rsidR="00EE1711">
        <w:t xml:space="preserve"> was used in error and this reference is changed to properly state </w:t>
      </w:r>
      <w:r>
        <w:t>“</w:t>
      </w:r>
      <w:r w:rsidRPr="00A22D12">
        <w:rPr>
          <w:rFonts w:eastAsiaTheme="minorEastAsia"/>
        </w:rPr>
        <w:t>$2,025,383.85</w:t>
      </w:r>
      <w:r>
        <w:rPr>
          <w:rFonts w:eastAsiaTheme="minorEastAsia"/>
        </w:rPr>
        <w:t>.</w:t>
      </w:r>
      <w:r w:rsidR="00EE1711">
        <w:t>"  Th</w:t>
      </w:r>
      <w:r w:rsidR="008960AF">
        <w:t>is</w:t>
      </w:r>
      <w:r w:rsidR="00EE1711">
        <w:t xml:space="preserve"> sentence </w:t>
      </w:r>
      <w:r w:rsidR="008960AF">
        <w:t>is amended</w:t>
      </w:r>
      <w:r w:rsidR="00EE1711">
        <w:t xml:space="preserve"> as follows:</w:t>
      </w:r>
    </w:p>
    <w:p w:rsidR="00FC0E2B" w:rsidRDefault="00FC0E2B" w:rsidP="00FC0E2B">
      <w:pPr>
        <w:tabs>
          <w:tab w:val="left" w:pos="-720"/>
        </w:tabs>
        <w:suppressAutoHyphens/>
        <w:autoSpaceDE w:val="0"/>
        <w:autoSpaceDN w:val="0"/>
        <w:spacing w:line="240" w:lineRule="auto"/>
        <w:ind w:left="720" w:right="720" w:firstLine="1440"/>
      </w:pPr>
    </w:p>
    <w:p w:rsidR="00FC0E2B" w:rsidRDefault="00A87188" w:rsidP="00A87188">
      <w:pPr>
        <w:spacing w:line="240" w:lineRule="auto"/>
        <w:ind w:left="1440" w:right="720"/>
        <w:rPr>
          <w:rFonts w:eastAsiaTheme="minorEastAsia"/>
        </w:rPr>
      </w:pPr>
      <w:r>
        <w:rPr>
          <w:rFonts w:eastAsiaTheme="minorEastAsia"/>
        </w:rPr>
        <w:t>“</w:t>
      </w:r>
      <w:r w:rsidRPr="00A22D12">
        <w:rPr>
          <w:rFonts w:eastAsiaTheme="minorEastAsia"/>
        </w:rPr>
        <w:t>HIKO is agreeing to pay the total of $2,025,383.85 to customers in refunds, as well as $50,000 for the administration of the refund pool, and $25,000 to EDC Hardship Funds.”</w:t>
      </w:r>
    </w:p>
    <w:p w:rsidR="00A9750B" w:rsidRDefault="00A9750B" w:rsidP="00A87188">
      <w:pPr>
        <w:ind w:left="1440" w:right="720"/>
      </w:pPr>
    </w:p>
    <w:p w:rsidR="00A9750B" w:rsidRDefault="00CE2ED0" w:rsidP="00332374">
      <w:pPr>
        <w:ind w:right="720" w:firstLine="1440"/>
      </w:pPr>
      <w:r>
        <w:t xml:space="preserve">On Page 29, under D.1 </w:t>
      </w:r>
      <w:r w:rsidR="00A9750B">
        <w:t>Re</w:t>
      </w:r>
      <w:r w:rsidR="00332374">
        <w:t xml:space="preserve">fund Pool, line 3, incorrectly </w:t>
      </w:r>
      <w:r w:rsidR="00A9750B">
        <w:t xml:space="preserve">states </w:t>
      </w:r>
      <w:r w:rsidR="00332374">
        <w:t>“</w:t>
      </w:r>
      <w:r w:rsidR="00A9750B">
        <w:t>Pa</w:t>
      </w:r>
      <w:r w:rsidR="00332374">
        <w:t>G</w:t>
      </w:r>
      <w:r w:rsidR="00A9750B">
        <w:t>&amp;E”</w:t>
      </w:r>
      <w:r w:rsidR="00332374">
        <w:t xml:space="preserve"> and has been corrected to properly state “HIKO.”  This sentence is amended as follows:</w:t>
      </w:r>
    </w:p>
    <w:p w:rsidR="00332374" w:rsidRDefault="00332374" w:rsidP="00332374">
      <w:pPr>
        <w:spacing w:line="240" w:lineRule="auto"/>
        <w:ind w:left="1440" w:right="720"/>
      </w:pPr>
    </w:p>
    <w:p w:rsidR="00332374" w:rsidRDefault="00332374" w:rsidP="00332374">
      <w:pPr>
        <w:spacing w:line="240" w:lineRule="auto"/>
        <w:ind w:left="1440" w:right="720"/>
      </w:pPr>
      <w:r>
        <w:t>“</w:t>
      </w:r>
      <w:r w:rsidRPr="002C5026">
        <w:rPr>
          <w:rFonts w:eastAsiaTheme="minorEastAsia"/>
        </w:rPr>
        <w:t xml:space="preserve">The </w:t>
      </w:r>
      <w:r>
        <w:rPr>
          <w:rFonts w:eastAsiaTheme="minorEastAsia"/>
        </w:rPr>
        <w:t>S</w:t>
      </w:r>
      <w:r w:rsidRPr="002C5026">
        <w:rPr>
          <w:rFonts w:eastAsiaTheme="minorEastAsia"/>
        </w:rPr>
        <w:t xml:space="preserve">ettlement provides that </w:t>
      </w:r>
      <w:r>
        <w:rPr>
          <w:rFonts w:eastAsiaTheme="minorEastAsia"/>
        </w:rPr>
        <w:t>HIKO</w:t>
      </w:r>
      <w:r w:rsidRPr="002C5026">
        <w:rPr>
          <w:rFonts w:eastAsiaTheme="minorEastAsia"/>
        </w:rPr>
        <w:t xml:space="preserve"> agrees to pay the total sum of $</w:t>
      </w:r>
      <w:r>
        <w:rPr>
          <w:rFonts w:eastAsiaTheme="minorEastAsia"/>
        </w:rPr>
        <w:t>2,025,383.85</w:t>
      </w:r>
      <w:r w:rsidRPr="002C5026">
        <w:rPr>
          <w:rFonts w:eastAsiaTheme="minorEastAsia"/>
        </w:rPr>
        <w:t xml:space="preserve"> into a refund pool.</w:t>
      </w:r>
      <w:r>
        <w:rPr>
          <w:rFonts w:eastAsiaTheme="minorEastAsia"/>
        </w:rPr>
        <w:t>”</w:t>
      </w:r>
    </w:p>
    <w:p w:rsidR="00EE1711" w:rsidRDefault="00EE1711" w:rsidP="00DF7213">
      <w:pPr>
        <w:ind w:firstLine="1440"/>
      </w:pPr>
      <w:r>
        <w:lastRenderedPageBreak/>
        <w:t>Please correct your records accordingly.  Since th</w:t>
      </w:r>
      <w:r w:rsidR="008960AF">
        <w:t>is</w:t>
      </w:r>
      <w:r>
        <w:t xml:space="preserve"> change do</w:t>
      </w:r>
      <w:r w:rsidR="008960AF">
        <w:t>es</w:t>
      </w:r>
      <w:r>
        <w:t xml:space="preserve"> not change the outcome of this case, </w:t>
      </w:r>
      <w:r w:rsidR="008960AF">
        <w:t>it</w:t>
      </w:r>
      <w:r>
        <w:t xml:space="preserve"> will not change the Exception/Reply Exception period previously established by the Commission.  </w:t>
      </w:r>
    </w:p>
    <w:p w:rsidR="00F1022E" w:rsidRDefault="00EE1711" w:rsidP="00EE1711">
      <w:r>
        <w:tab/>
      </w:r>
      <w:r>
        <w:tab/>
      </w:r>
    </w:p>
    <w:p w:rsidR="00AE3D53" w:rsidRDefault="00332374" w:rsidP="00AE3D53">
      <w:pPr>
        <w:ind w:firstLine="720"/>
        <w:jc w:val="both"/>
        <w:rPr>
          <w:spacing w:val="0"/>
        </w:rPr>
      </w:pPr>
      <w:r>
        <w:tab/>
      </w:r>
      <w:r w:rsidR="00AE3D53" w:rsidRPr="00AE3D53">
        <w:rPr>
          <w:spacing w:val="0"/>
        </w:rPr>
        <w:t>The Initial Decision on the PA PUC website will be corrected as indicated above.  Please accept our apologies for any inconvenience this may have caused you.</w:t>
      </w:r>
      <w:r w:rsidR="00AE3D53">
        <w:rPr>
          <w:spacing w:val="0"/>
        </w:rPr>
        <w:t xml:space="preserve">  The corrected pages are attached</w:t>
      </w:r>
      <w:bookmarkStart w:id="0" w:name="_GoBack"/>
      <w:bookmarkEnd w:id="0"/>
      <w:r w:rsidR="00AE3D53">
        <w:rPr>
          <w:spacing w:val="0"/>
        </w:rPr>
        <w:t xml:space="preserve"> to the errata.</w:t>
      </w:r>
    </w:p>
    <w:p w:rsidR="00AE3D53" w:rsidRDefault="00AE3D53" w:rsidP="00AE3D53">
      <w:pPr>
        <w:ind w:firstLine="720"/>
        <w:jc w:val="both"/>
        <w:rPr>
          <w:spacing w:val="0"/>
        </w:rPr>
        <w:sectPr w:rsidR="00AE3D53" w:rsidSect="00B33A1D">
          <w:footerReference w:type="default" r:id="rId8"/>
          <w:pgSz w:w="12240" w:h="15840" w:code="1"/>
          <w:pgMar w:top="1440" w:right="1440" w:bottom="1440" w:left="1440" w:header="720" w:footer="720" w:gutter="0"/>
          <w:pgNumType w:start="1"/>
          <w:cols w:space="720"/>
          <w:titlePg/>
        </w:sectPr>
      </w:pPr>
    </w:p>
    <w:p w:rsidR="006322D2" w:rsidRDefault="006322D2" w:rsidP="006322D2">
      <w:pPr>
        <w:autoSpaceDE w:val="0"/>
        <w:autoSpaceDN w:val="0"/>
        <w:spacing w:line="240" w:lineRule="auto"/>
        <w:jc w:val="center"/>
        <w:rPr>
          <w:b/>
          <w:u w:val="single"/>
        </w:rPr>
      </w:pPr>
      <w:r w:rsidRPr="003F7468">
        <w:rPr>
          <w:b/>
          <w:u w:val="single"/>
        </w:rPr>
        <w:t xml:space="preserve">TABLE OF CONTENTS </w:t>
      </w:r>
    </w:p>
    <w:p w:rsidR="000D4CD2" w:rsidRPr="003F7468" w:rsidRDefault="000D4CD2" w:rsidP="006322D2">
      <w:pPr>
        <w:autoSpaceDE w:val="0"/>
        <w:autoSpaceDN w:val="0"/>
        <w:spacing w:line="240" w:lineRule="auto"/>
        <w:jc w:val="center"/>
        <w:rPr>
          <w:b/>
          <w:u w:val="single"/>
        </w:rPr>
      </w:pPr>
    </w:p>
    <w:p w:rsidR="006322D2" w:rsidRPr="002C5026" w:rsidRDefault="006322D2" w:rsidP="006322D2">
      <w:pPr>
        <w:autoSpaceDE w:val="0"/>
        <w:autoSpaceDN w:val="0"/>
        <w:spacing w:line="240" w:lineRule="auto"/>
        <w:jc w:val="center"/>
      </w:pPr>
    </w:p>
    <w:p w:rsidR="006322D2" w:rsidRPr="000020C4" w:rsidRDefault="006322D2" w:rsidP="006322D2">
      <w:pPr>
        <w:pStyle w:val="TOC1"/>
        <w:rPr>
          <w:rFonts w:asciiTheme="minorHAnsi" w:eastAsiaTheme="minorEastAsia" w:hAnsiTheme="minorHAnsi" w:cstheme="minorBidi"/>
          <w:noProof/>
          <w:spacing w:val="0"/>
          <w:sz w:val="22"/>
          <w:szCs w:val="22"/>
        </w:rPr>
      </w:pPr>
      <w:r w:rsidRPr="000020C4">
        <w:rPr>
          <w:rFonts w:eastAsia="Times New Roman"/>
        </w:rPr>
        <w:fldChar w:fldCharType="begin"/>
      </w:r>
      <w:r w:rsidRPr="000020C4">
        <w:rPr>
          <w:rFonts w:eastAsia="Times New Roman"/>
        </w:rPr>
        <w:instrText xml:space="preserve"> TOC \f \h \z </w:instrText>
      </w:r>
      <w:r w:rsidRPr="000020C4">
        <w:rPr>
          <w:rFonts w:eastAsia="Times New Roman"/>
        </w:rPr>
        <w:fldChar w:fldCharType="separate"/>
      </w:r>
      <w:hyperlink w:anchor="_Toc427915792" w:history="1">
        <w:r w:rsidRPr="000020C4">
          <w:rPr>
            <w:rStyle w:val="Hyperlink"/>
            <w:rFonts w:eastAsia="Times New Roman"/>
            <w:noProof/>
          </w:rPr>
          <w:t>I.</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INTRODUCTION</w:t>
        </w:r>
        <w:r w:rsidRPr="000020C4">
          <w:rPr>
            <w:noProof/>
            <w:webHidden/>
          </w:rPr>
          <w:tab/>
        </w:r>
        <w:r w:rsidRPr="000020C4">
          <w:rPr>
            <w:noProof/>
            <w:webHidden/>
          </w:rPr>
          <w:fldChar w:fldCharType="begin"/>
        </w:r>
        <w:r w:rsidRPr="000020C4">
          <w:rPr>
            <w:noProof/>
            <w:webHidden/>
          </w:rPr>
          <w:instrText xml:space="preserve"> PAGEREF _Toc427915792 \h </w:instrText>
        </w:r>
        <w:r w:rsidRPr="000020C4">
          <w:rPr>
            <w:noProof/>
            <w:webHidden/>
          </w:rPr>
        </w:r>
        <w:r w:rsidRPr="000020C4">
          <w:rPr>
            <w:noProof/>
            <w:webHidden/>
          </w:rPr>
          <w:fldChar w:fldCharType="separate"/>
        </w:r>
        <w:r>
          <w:rPr>
            <w:noProof/>
            <w:webHidden/>
          </w:rPr>
          <w:t>1</w:t>
        </w:r>
        <w:r w:rsidRPr="000020C4">
          <w:rPr>
            <w:noProof/>
            <w:webHidden/>
          </w:rPr>
          <w:fldChar w:fldCharType="end"/>
        </w:r>
      </w:hyperlink>
    </w:p>
    <w:p w:rsidR="006322D2" w:rsidRPr="000020C4" w:rsidRDefault="006322D2" w:rsidP="006322D2">
      <w:pPr>
        <w:pStyle w:val="TOC1"/>
        <w:rPr>
          <w:rFonts w:asciiTheme="minorHAnsi" w:eastAsiaTheme="minorEastAsia" w:hAnsiTheme="minorHAnsi" w:cstheme="minorBidi"/>
          <w:noProof/>
          <w:spacing w:val="0"/>
          <w:sz w:val="22"/>
          <w:szCs w:val="22"/>
        </w:rPr>
      </w:pPr>
      <w:hyperlink w:anchor="_Toc427915793" w:history="1">
        <w:r w:rsidRPr="000020C4">
          <w:rPr>
            <w:rStyle w:val="Hyperlink"/>
            <w:rFonts w:eastAsia="Times New Roman"/>
            <w:noProof/>
          </w:rPr>
          <w:t>II.</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HISTORY OF THE PROCEEDING</w:t>
        </w:r>
        <w:r w:rsidRPr="000020C4">
          <w:rPr>
            <w:noProof/>
            <w:webHidden/>
          </w:rPr>
          <w:tab/>
        </w:r>
        <w:r w:rsidRPr="000020C4">
          <w:rPr>
            <w:noProof/>
            <w:webHidden/>
          </w:rPr>
          <w:fldChar w:fldCharType="begin"/>
        </w:r>
        <w:r w:rsidRPr="000020C4">
          <w:rPr>
            <w:noProof/>
            <w:webHidden/>
          </w:rPr>
          <w:instrText xml:space="preserve"> PAGEREF _Toc427915793 \h </w:instrText>
        </w:r>
        <w:r w:rsidRPr="000020C4">
          <w:rPr>
            <w:noProof/>
            <w:webHidden/>
          </w:rPr>
        </w:r>
        <w:r w:rsidRPr="000020C4">
          <w:rPr>
            <w:noProof/>
            <w:webHidden/>
          </w:rPr>
          <w:fldChar w:fldCharType="separate"/>
        </w:r>
        <w:r>
          <w:rPr>
            <w:noProof/>
            <w:webHidden/>
          </w:rPr>
          <w:t>1</w:t>
        </w:r>
        <w:r w:rsidRPr="000020C4">
          <w:rPr>
            <w:noProof/>
            <w:webHidden/>
          </w:rPr>
          <w:fldChar w:fldCharType="end"/>
        </w:r>
      </w:hyperlink>
    </w:p>
    <w:p w:rsidR="006322D2" w:rsidRPr="000020C4" w:rsidRDefault="006322D2" w:rsidP="006322D2">
      <w:pPr>
        <w:pStyle w:val="TOC1"/>
        <w:rPr>
          <w:rFonts w:asciiTheme="minorHAnsi" w:eastAsiaTheme="minorEastAsia" w:hAnsiTheme="minorHAnsi" w:cstheme="minorBidi"/>
          <w:noProof/>
          <w:spacing w:val="0"/>
          <w:sz w:val="22"/>
          <w:szCs w:val="22"/>
        </w:rPr>
      </w:pPr>
      <w:hyperlink w:anchor="_Toc427915794" w:history="1">
        <w:r w:rsidRPr="000020C4">
          <w:rPr>
            <w:rStyle w:val="Hyperlink"/>
            <w:rFonts w:eastAsia="Times New Roman"/>
            <w:noProof/>
          </w:rPr>
          <w:t>III.</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FINDINGS OF FACT</w:t>
        </w:r>
        <w:r w:rsidRPr="000020C4">
          <w:rPr>
            <w:noProof/>
            <w:webHidden/>
          </w:rPr>
          <w:tab/>
        </w:r>
        <w:r w:rsidRPr="000020C4">
          <w:rPr>
            <w:noProof/>
            <w:webHidden/>
          </w:rPr>
          <w:fldChar w:fldCharType="begin"/>
        </w:r>
        <w:r w:rsidRPr="000020C4">
          <w:rPr>
            <w:noProof/>
            <w:webHidden/>
          </w:rPr>
          <w:instrText xml:space="preserve"> PAGEREF _Toc427915794 \h </w:instrText>
        </w:r>
        <w:r w:rsidRPr="000020C4">
          <w:rPr>
            <w:noProof/>
            <w:webHidden/>
          </w:rPr>
        </w:r>
        <w:r w:rsidRPr="000020C4">
          <w:rPr>
            <w:noProof/>
            <w:webHidden/>
          </w:rPr>
          <w:fldChar w:fldCharType="separate"/>
        </w:r>
        <w:r>
          <w:rPr>
            <w:noProof/>
            <w:webHidden/>
          </w:rPr>
          <w:t>5</w:t>
        </w:r>
        <w:r w:rsidRPr="000020C4">
          <w:rPr>
            <w:noProof/>
            <w:webHidden/>
          </w:rPr>
          <w:fldChar w:fldCharType="end"/>
        </w:r>
      </w:hyperlink>
    </w:p>
    <w:p w:rsidR="006322D2" w:rsidRPr="000020C4" w:rsidRDefault="006322D2" w:rsidP="006322D2">
      <w:pPr>
        <w:pStyle w:val="TOC1"/>
        <w:rPr>
          <w:rFonts w:asciiTheme="minorHAnsi" w:eastAsiaTheme="minorEastAsia" w:hAnsiTheme="minorHAnsi" w:cstheme="minorBidi"/>
          <w:noProof/>
          <w:spacing w:val="0"/>
          <w:sz w:val="22"/>
          <w:szCs w:val="22"/>
        </w:rPr>
      </w:pPr>
      <w:hyperlink w:anchor="_Toc427915795" w:history="1">
        <w:r w:rsidRPr="000020C4">
          <w:rPr>
            <w:rStyle w:val="Hyperlink"/>
            <w:rFonts w:eastAsia="Times New Roman"/>
            <w:noProof/>
          </w:rPr>
          <w:t>IV.</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DISCUSSION</w:t>
        </w:r>
        <w:r w:rsidRPr="000020C4">
          <w:rPr>
            <w:noProof/>
            <w:webHidden/>
          </w:rPr>
          <w:tab/>
        </w:r>
        <w:r w:rsidRPr="000020C4">
          <w:rPr>
            <w:noProof/>
            <w:webHidden/>
          </w:rPr>
          <w:fldChar w:fldCharType="begin"/>
        </w:r>
        <w:r w:rsidRPr="000020C4">
          <w:rPr>
            <w:noProof/>
            <w:webHidden/>
          </w:rPr>
          <w:instrText xml:space="preserve"> PAGEREF _Toc427915795 \h </w:instrText>
        </w:r>
        <w:r w:rsidRPr="000020C4">
          <w:rPr>
            <w:noProof/>
            <w:webHidden/>
          </w:rPr>
        </w:r>
        <w:r w:rsidRPr="000020C4">
          <w:rPr>
            <w:noProof/>
            <w:webHidden/>
          </w:rPr>
          <w:fldChar w:fldCharType="separate"/>
        </w:r>
        <w:r>
          <w:rPr>
            <w:noProof/>
            <w:webHidden/>
          </w:rPr>
          <w:t>8</w:t>
        </w:r>
        <w:r w:rsidRPr="000020C4">
          <w:rPr>
            <w:noProof/>
            <w:webHidden/>
          </w:rPr>
          <w:fldChar w:fldCharType="end"/>
        </w:r>
      </w:hyperlink>
    </w:p>
    <w:p w:rsidR="006322D2" w:rsidRPr="000020C4" w:rsidRDefault="006322D2" w:rsidP="006322D2">
      <w:pPr>
        <w:pStyle w:val="TOC2"/>
        <w:rPr>
          <w:rFonts w:asciiTheme="minorHAnsi" w:eastAsiaTheme="minorEastAsia" w:hAnsiTheme="minorHAnsi" w:cstheme="minorBidi"/>
          <w:noProof/>
          <w:spacing w:val="0"/>
          <w:sz w:val="22"/>
          <w:szCs w:val="22"/>
        </w:rPr>
      </w:pPr>
      <w:hyperlink w:anchor="_Toc427915796" w:history="1">
        <w:r w:rsidRPr="000020C4">
          <w:rPr>
            <w:rStyle w:val="Hyperlink"/>
            <w:rFonts w:eastAsia="Times New Roman"/>
            <w:noProof/>
          </w:rPr>
          <w:t>A.</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Legal Standard</w:t>
        </w:r>
        <w:r w:rsidRPr="000020C4">
          <w:rPr>
            <w:noProof/>
            <w:webHidden/>
          </w:rPr>
          <w:tab/>
        </w:r>
        <w:r w:rsidRPr="000020C4">
          <w:rPr>
            <w:noProof/>
            <w:webHidden/>
          </w:rPr>
          <w:fldChar w:fldCharType="begin"/>
        </w:r>
        <w:r w:rsidRPr="000020C4">
          <w:rPr>
            <w:noProof/>
            <w:webHidden/>
          </w:rPr>
          <w:instrText xml:space="preserve"> PAGEREF _Toc427915796 \h </w:instrText>
        </w:r>
        <w:r w:rsidRPr="000020C4">
          <w:rPr>
            <w:noProof/>
            <w:webHidden/>
          </w:rPr>
        </w:r>
        <w:r w:rsidRPr="000020C4">
          <w:rPr>
            <w:noProof/>
            <w:webHidden/>
          </w:rPr>
          <w:fldChar w:fldCharType="separate"/>
        </w:r>
        <w:r>
          <w:rPr>
            <w:noProof/>
            <w:webHidden/>
          </w:rPr>
          <w:t>8</w:t>
        </w:r>
        <w:r w:rsidRPr="000020C4">
          <w:rPr>
            <w:noProof/>
            <w:webHidden/>
          </w:rPr>
          <w:fldChar w:fldCharType="end"/>
        </w:r>
      </w:hyperlink>
    </w:p>
    <w:p w:rsidR="006322D2" w:rsidRPr="000020C4" w:rsidRDefault="006322D2" w:rsidP="006322D2">
      <w:pPr>
        <w:pStyle w:val="TOC2"/>
        <w:rPr>
          <w:rFonts w:asciiTheme="minorHAnsi" w:eastAsiaTheme="minorEastAsia" w:hAnsiTheme="minorHAnsi" w:cstheme="minorBidi"/>
          <w:noProof/>
          <w:spacing w:val="0"/>
          <w:sz w:val="22"/>
          <w:szCs w:val="22"/>
        </w:rPr>
      </w:pPr>
      <w:hyperlink w:anchor="_Toc427915797" w:history="1">
        <w:r w:rsidRPr="000020C4">
          <w:rPr>
            <w:rStyle w:val="Hyperlink"/>
            <w:noProof/>
          </w:rPr>
          <w:t>B.</w:t>
        </w:r>
        <w:r w:rsidRPr="000020C4">
          <w:rPr>
            <w:rFonts w:asciiTheme="minorHAnsi" w:eastAsiaTheme="minorEastAsia" w:hAnsiTheme="minorHAnsi" w:cstheme="minorBidi"/>
            <w:noProof/>
            <w:spacing w:val="0"/>
            <w:sz w:val="22"/>
            <w:szCs w:val="22"/>
          </w:rPr>
          <w:tab/>
        </w:r>
        <w:r w:rsidRPr="000020C4">
          <w:rPr>
            <w:rStyle w:val="Hyperlink"/>
            <w:noProof/>
          </w:rPr>
          <w:t>Terms of the Settlement</w:t>
        </w:r>
        <w:r w:rsidRPr="000020C4">
          <w:rPr>
            <w:noProof/>
            <w:webHidden/>
          </w:rPr>
          <w:tab/>
        </w:r>
        <w:r w:rsidRPr="000020C4">
          <w:rPr>
            <w:noProof/>
            <w:webHidden/>
          </w:rPr>
          <w:fldChar w:fldCharType="begin"/>
        </w:r>
        <w:r w:rsidRPr="000020C4">
          <w:rPr>
            <w:noProof/>
            <w:webHidden/>
          </w:rPr>
          <w:instrText xml:space="preserve"> PAGEREF _Toc427915797 \h </w:instrText>
        </w:r>
        <w:r w:rsidRPr="000020C4">
          <w:rPr>
            <w:noProof/>
            <w:webHidden/>
          </w:rPr>
        </w:r>
        <w:r w:rsidRPr="000020C4">
          <w:rPr>
            <w:noProof/>
            <w:webHidden/>
          </w:rPr>
          <w:fldChar w:fldCharType="separate"/>
        </w:r>
        <w:r>
          <w:rPr>
            <w:noProof/>
            <w:webHidden/>
          </w:rPr>
          <w:t>10</w:t>
        </w:r>
        <w:r w:rsidRPr="000020C4">
          <w:rPr>
            <w:noProof/>
            <w:webHidden/>
          </w:rPr>
          <w:fldChar w:fldCharType="end"/>
        </w:r>
      </w:hyperlink>
    </w:p>
    <w:p w:rsidR="006322D2" w:rsidRPr="000020C4" w:rsidRDefault="006322D2" w:rsidP="006322D2">
      <w:pPr>
        <w:pStyle w:val="TOC2"/>
        <w:rPr>
          <w:rFonts w:asciiTheme="minorHAnsi" w:eastAsiaTheme="minorEastAsia" w:hAnsiTheme="minorHAnsi" w:cstheme="minorBidi"/>
          <w:noProof/>
          <w:spacing w:val="0"/>
          <w:sz w:val="22"/>
          <w:szCs w:val="22"/>
        </w:rPr>
      </w:pPr>
      <w:hyperlink w:anchor="_Toc427915798" w:history="1">
        <w:r w:rsidRPr="000020C4">
          <w:rPr>
            <w:rStyle w:val="Hyperlink"/>
            <w:noProof/>
          </w:rPr>
          <w:t>C.</w:t>
        </w:r>
        <w:r w:rsidRPr="000020C4">
          <w:rPr>
            <w:rFonts w:asciiTheme="minorHAnsi" w:eastAsiaTheme="minorEastAsia" w:hAnsiTheme="minorHAnsi" w:cstheme="minorBidi"/>
            <w:noProof/>
            <w:spacing w:val="0"/>
            <w:sz w:val="22"/>
            <w:szCs w:val="22"/>
          </w:rPr>
          <w:tab/>
        </w:r>
        <w:r w:rsidRPr="000020C4">
          <w:rPr>
            <w:rStyle w:val="Hyperlink"/>
            <w:noProof/>
          </w:rPr>
          <w:t>Public Interest</w:t>
        </w:r>
        <w:r w:rsidRPr="000020C4">
          <w:rPr>
            <w:noProof/>
            <w:webHidden/>
          </w:rPr>
          <w:tab/>
        </w:r>
        <w:r w:rsidRPr="000020C4">
          <w:rPr>
            <w:noProof/>
            <w:webHidden/>
          </w:rPr>
          <w:fldChar w:fldCharType="begin"/>
        </w:r>
        <w:r w:rsidRPr="000020C4">
          <w:rPr>
            <w:noProof/>
            <w:webHidden/>
          </w:rPr>
          <w:instrText xml:space="preserve"> PAGEREF _Toc427915798 \h </w:instrText>
        </w:r>
        <w:r w:rsidRPr="000020C4">
          <w:rPr>
            <w:noProof/>
            <w:webHidden/>
          </w:rPr>
        </w:r>
        <w:r w:rsidRPr="000020C4">
          <w:rPr>
            <w:noProof/>
            <w:webHidden/>
          </w:rPr>
          <w:fldChar w:fldCharType="separate"/>
        </w:r>
        <w:r>
          <w:rPr>
            <w:noProof/>
            <w:webHidden/>
          </w:rPr>
          <w:t>24</w:t>
        </w:r>
        <w:r w:rsidRPr="000020C4">
          <w:rPr>
            <w:noProof/>
            <w:webHidden/>
          </w:rPr>
          <w:fldChar w:fldCharType="end"/>
        </w:r>
      </w:hyperlink>
    </w:p>
    <w:p w:rsidR="006322D2" w:rsidRPr="000020C4" w:rsidRDefault="006322D2" w:rsidP="006322D2">
      <w:pPr>
        <w:pStyle w:val="TOC3"/>
        <w:rPr>
          <w:rFonts w:asciiTheme="minorHAnsi" w:eastAsiaTheme="minorEastAsia" w:hAnsiTheme="minorHAnsi" w:cstheme="minorBidi"/>
          <w:noProof/>
          <w:spacing w:val="0"/>
          <w:sz w:val="22"/>
          <w:szCs w:val="22"/>
        </w:rPr>
      </w:pPr>
      <w:hyperlink w:anchor="_Toc427915799" w:history="1">
        <w:r w:rsidRPr="000020C4">
          <w:rPr>
            <w:rStyle w:val="Hyperlink"/>
            <w:noProof/>
          </w:rPr>
          <w:t>1.</w:t>
        </w:r>
        <w:r w:rsidRPr="000020C4">
          <w:rPr>
            <w:rFonts w:asciiTheme="minorHAnsi" w:eastAsiaTheme="minorEastAsia" w:hAnsiTheme="minorHAnsi" w:cstheme="minorBidi"/>
            <w:noProof/>
            <w:spacing w:val="0"/>
            <w:sz w:val="22"/>
            <w:szCs w:val="22"/>
          </w:rPr>
          <w:tab/>
        </w:r>
        <w:r w:rsidRPr="000020C4">
          <w:rPr>
            <w:rStyle w:val="Hyperlink"/>
            <w:noProof/>
          </w:rPr>
          <w:t>Positions of the parties</w:t>
        </w:r>
        <w:r w:rsidRPr="000020C4">
          <w:rPr>
            <w:noProof/>
            <w:webHidden/>
          </w:rPr>
          <w:tab/>
        </w:r>
        <w:r w:rsidRPr="000020C4">
          <w:rPr>
            <w:noProof/>
            <w:webHidden/>
          </w:rPr>
          <w:fldChar w:fldCharType="begin"/>
        </w:r>
        <w:r w:rsidRPr="000020C4">
          <w:rPr>
            <w:noProof/>
            <w:webHidden/>
          </w:rPr>
          <w:instrText xml:space="preserve"> PAGEREF _Toc427915799 \h </w:instrText>
        </w:r>
        <w:r w:rsidRPr="000020C4">
          <w:rPr>
            <w:noProof/>
            <w:webHidden/>
          </w:rPr>
        </w:r>
        <w:r w:rsidRPr="000020C4">
          <w:rPr>
            <w:noProof/>
            <w:webHidden/>
          </w:rPr>
          <w:fldChar w:fldCharType="separate"/>
        </w:r>
        <w:r>
          <w:rPr>
            <w:noProof/>
            <w:webHidden/>
          </w:rPr>
          <w:t>24</w:t>
        </w:r>
        <w:r w:rsidRPr="000020C4">
          <w:rPr>
            <w:noProof/>
            <w:webHidden/>
          </w:rPr>
          <w:fldChar w:fldCharType="end"/>
        </w:r>
      </w:hyperlink>
    </w:p>
    <w:p w:rsidR="006322D2" w:rsidRPr="000020C4" w:rsidRDefault="006322D2" w:rsidP="006322D2">
      <w:pPr>
        <w:pStyle w:val="TOC4"/>
        <w:rPr>
          <w:rFonts w:asciiTheme="minorHAnsi" w:eastAsiaTheme="minorEastAsia" w:hAnsiTheme="minorHAnsi" w:cstheme="minorBidi"/>
          <w:noProof/>
          <w:spacing w:val="0"/>
          <w:sz w:val="22"/>
          <w:szCs w:val="22"/>
        </w:rPr>
      </w:pPr>
      <w:hyperlink w:anchor="_Toc427915800" w:history="1">
        <w:r w:rsidRPr="000020C4">
          <w:rPr>
            <w:rStyle w:val="Hyperlink"/>
            <w:noProof/>
          </w:rPr>
          <w:t>a.</w:t>
        </w:r>
        <w:r w:rsidRPr="000020C4">
          <w:rPr>
            <w:rFonts w:asciiTheme="minorHAnsi" w:eastAsiaTheme="minorEastAsia" w:hAnsiTheme="minorHAnsi" w:cstheme="minorBidi"/>
            <w:noProof/>
            <w:spacing w:val="0"/>
            <w:sz w:val="22"/>
            <w:szCs w:val="22"/>
          </w:rPr>
          <w:tab/>
        </w:r>
        <w:r w:rsidRPr="000020C4">
          <w:rPr>
            <w:rStyle w:val="Hyperlink"/>
            <w:noProof/>
          </w:rPr>
          <w:t>Joint Complainants</w:t>
        </w:r>
        <w:r w:rsidRPr="000020C4">
          <w:rPr>
            <w:noProof/>
            <w:webHidden/>
          </w:rPr>
          <w:tab/>
        </w:r>
        <w:r w:rsidRPr="000020C4">
          <w:rPr>
            <w:noProof/>
            <w:webHidden/>
          </w:rPr>
          <w:fldChar w:fldCharType="begin"/>
        </w:r>
        <w:r w:rsidRPr="000020C4">
          <w:rPr>
            <w:noProof/>
            <w:webHidden/>
          </w:rPr>
          <w:instrText xml:space="preserve"> PAGEREF _Toc427915800 \h </w:instrText>
        </w:r>
        <w:r w:rsidRPr="000020C4">
          <w:rPr>
            <w:noProof/>
            <w:webHidden/>
          </w:rPr>
        </w:r>
        <w:r w:rsidRPr="000020C4">
          <w:rPr>
            <w:noProof/>
            <w:webHidden/>
          </w:rPr>
          <w:fldChar w:fldCharType="separate"/>
        </w:r>
        <w:r>
          <w:rPr>
            <w:noProof/>
            <w:webHidden/>
          </w:rPr>
          <w:t>24</w:t>
        </w:r>
        <w:r w:rsidRPr="000020C4">
          <w:rPr>
            <w:noProof/>
            <w:webHidden/>
          </w:rPr>
          <w:fldChar w:fldCharType="end"/>
        </w:r>
      </w:hyperlink>
    </w:p>
    <w:p w:rsidR="006322D2" w:rsidRPr="000020C4" w:rsidRDefault="006322D2" w:rsidP="006322D2">
      <w:pPr>
        <w:pStyle w:val="TOC4"/>
        <w:rPr>
          <w:rFonts w:asciiTheme="minorHAnsi" w:eastAsiaTheme="minorEastAsia" w:hAnsiTheme="minorHAnsi" w:cstheme="minorBidi"/>
          <w:noProof/>
          <w:spacing w:val="0"/>
          <w:sz w:val="22"/>
          <w:szCs w:val="22"/>
        </w:rPr>
      </w:pPr>
      <w:hyperlink w:anchor="_Toc427915801" w:history="1">
        <w:r w:rsidRPr="000020C4">
          <w:rPr>
            <w:rStyle w:val="Hyperlink"/>
            <w:noProof/>
          </w:rPr>
          <w:t>b.</w:t>
        </w:r>
        <w:r w:rsidRPr="000020C4">
          <w:rPr>
            <w:rFonts w:asciiTheme="minorHAnsi" w:eastAsiaTheme="minorEastAsia" w:hAnsiTheme="minorHAnsi" w:cstheme="minorBidi"/>
            <w:noProof/>
            <w:spacing w:val="0"/>
            <w:sz w:val="22"/>
            <w:szCs w:val="22"/>
          </w:rPr>
          <w:tab/>
        </w:r>
        <w:r>
          <w:rPr>
            <w:rStyle w:val="Hyperlink"/>
            <w:noProof/>
          </w:rPr>
          <w:t>HIKO Energy, LLC</w:t>
        </w:r>
        <w:r w:rsidRPr="000020C4">
          <w:rPr>
            <w:noProof/>
            <w:webHidden/>
          </w:rPr>
          <w:tab/>
        </w:r>
        <w:r w:rsidRPr="000020C4">
          <w:rPr>
            <w:noProof/>
            <w:webHidden/>
          </w:rPr>
          <w:fldChar w:fldCharType="begin"/>
        </w:r>
        <w:r w:rsidRPr="000020C4">
          <w:rPr>
            <w:noProof/>
            <w:webHidden/>
          </w:rPr>
          <w:instrText xml:space="preserve"> PAGEREF _Toc427915801 \h </w:instrText>
        </w:r>
        <w:r w:rsidRPr="000020C4">
          <w:rPr>
            <w:noProof/>
            <w:webHidden/>
          </w:rPr>
        </w:r>
        <w:r w:rsidRPr="000020C4">
          <w:rPr>
            <w:noProof/>
            <w:webHidden/>
          </w:rPr>
          <w:fldChar w:fldCharType="separate"/>
        </w:r>
        <w:r>
          <w:rPr>
            <w:noProof/>
            <w:webHidden/>
          </w:rPr>
          <w:t>27</w:t>
        </w:r>
        <w:r w:rsidRPr="000020C4">
          <w:rPr>
            <w:noProof/>
            <w:webHidden/>
          </w:rPr>
          <w:fldChar w:fldCharType="end"/>
        </w:r>
      </w:hyperlink>
    </w:p>
    <w:p w:rsidR="006322D2" w:rsidRPr="000020C4" w:rsidRDefault="006322D2" w:rsidP="006322D2">
      <w:pPr>
        <w:pStyle w:val="TOC4"/>
        <w:rPr>
          <w:rFonts w:asciiTheme="minorHAnsi" w:eastAsiaTheme="minorEastAsia" w:hAnsiTheme="minorHAnsi" w:cstheme="minorBidi"/>
          <w:noProof/>
          <w:spacing w:val="0"/>
          <w:sz w:val="22"/>
          <w:szCs w:val="22"/>
        </w:rPr>
      </w:pPr>
      <w:hyperlink w:anchor="_Toc427915802" w:history="1">
        <w:r w:rsidRPr="000020C4">
          <w:rPr>
            <w:rStyle w:val="Hyperlink"/>
            <w:noProof/>
          </w:rPr>
          <w:t>c.</w:t>
        </w:r>
        <w:r w:rsidRPr="000020C4">
          <w:rPr>
            <w:rFonts w:asciiTheme="minorHAnsi" w:eastAsiaTheme="minorEastAsia" w:hAnsiTheme="minorHAnsi" w:cstheme="minorBidi"/>
            <w:noProof/>
            <w:spacing w:val="0"/>
            <w:sz w:val="22"/>
            <w:szCs w:val="22"/>
          </w:rPr>
          <w:tab/>
        </w:r>
        <w:r w:rsidRPr="000020C4">
          <w:rPr>
            <w:rStyle w:val="Hyperlink"/>
            <w:noProof/>
          </w:rPr>
          <w:t>Bureau of Investigation and Enforcement</w:t>
        </w:r>
        <w:r w:rsidRPr="000020C4">
          <w:rPr>
            <w:noProof/>
            <w:webHidden/>
          </w:rPr>
          <w:tab/>
        </w:r>
        <w:r w:rsidRPr="000020C4">
          <w:rPr>
            <w:noProof/>
            <w:webHidden/>
          </w:rPr>
          <w:fldChar w:fldCharType="begin"/>
        </w:r>
        <w:r w:rsidRPr="000020C4">
          <w:rPr>
            <w:noProof/>
            <w:webHidden/>
          </w:rPr>
          <w:instrText xml:space="preserve"> PAGEREF _Toc427915802 \h </w:instrText>
        </w:r>
        <w:r w:rsidRPr="000020C4">
          <w:rPr>
            <w:noProof/>
            <w:webHidden/>
          </w:rPr>
        </w:r>
        <w:r w:rsidRPr="000020C4">
          <w:rPr>
            <w:noProof/>
            <w:webHidden/>
          </w:rPr>
          <w:fldChar w:fldCharType="separate"/>
        </w:r>
        <w:r>
          <w:rPr>
            <w:noProof/>
            <w:webHidden/>
          </w:rPr>
          <w:t>28</w:t>
        </w:r>
        <w:r w:rsidRPr="000020C4">
          <w:rPr>
            <w:noProof/>
            <w:webHidden/>
          </w:rPr>
          <w:fldChar w:fldCharType="end"/>
        </w:r>
      </w:hyperlink>
    </w:p>
    <w:p w:rsidR="006322D2" w:rsidRPr="000020C4" w:rsidRDefault="006322D2" w:rsidP="006322D2">
      <w:pPr>
        <w:pStyle w:val="TOC4"/>
        <w:rPr>
          <w:rFonts w:asciiTheme="minorHAnsi" w:eastAsiaTheme="minorEastAsia" w:hAnsiTheme="minorHAnsi" w:cstheme="minorBidi"/>
          <w:noProof/>
          <w:spacing w:val="0"/>
          <w:sz w:val="22"/>
          <w:szCs w:val="22"/>
        </w:rPr>
      </w:pPr>
      <w:hyperlink w:anchor="_Toc427915803" w:history="1">
        <w:r w:rsidRPr="000020C4">
          <w:rPr>
            <w:rStyle w:val="Hyperlink"/>
            <w:noProof/>
          </w:rPr>
          <w:t>d.</w:t>
        </w:r>
        <w:r w:rsidRPr="000020C4">
          <w:rPr>
            <w:rFonts w:asciiTheme="minorHAnsi" w:eastAsiaTheme="minorEastAsia" w:hAnsiTheme="minorHAnsi" w:cstheme="minorBidi"/>
            <w:noProof/>
            <w:spacing w:val="0"/>
            <w:sz w:val="22"/>
            <w:szCs w:val="22"/>
          </w:rPr>
          <w:tab/>
        </w:r>
        <w:r w:rsidRPr="000020C4">
          <w:rPr>
            <w:rStyle w:val="Hyperlink"/>
            <w:noProof/>
          </w:rPr>
          <w:t>Office of Small Business Advocate</w:t>
        </w:r>
        <w:r w:rsidRPr="000020C4">
          <w:rPr>
            <w:noProof/>
            <w:webHidden/>
          </w:rPr>
          <w:tab/>
        </w:r>
        <w:r w:rsidRPr="000020C4">
          <w:rPr>
            <w:noProof/>
            <w:webHidden/>
          </w:rPr>
          <w:fldChar w:fldCharType="begin"/>
        </w:r>
        <w:r w:rsidRPr="000020C4">
          <w:rPr>
            <w:noProof/>
            <w:webHidden/>
          </w:rPr>
          <w:instrText xml:space="preserve"> PAGEREF _Toc427915803 \h </w:instrText>
        </w:r>
        <w:r w:rsidRPr="000020C4">
          <w:rPr>
            <w:noProof/>
            <w:webHidden/>
          </w:rPr>
        </w:r>
        <w:r w:rsidRPr="000020C4">
          <w:rPr>
            <w:noProof/>
            <w:webHidden/>
          </w:rPr>
          <w:fldChar w:fldCharType="separate"/>
        </w:r>
        <w:r>
          <w:rPr>
            <w:noProof/>
            <w:webHidden/>
          </w:rPr>
          <w:t>28</w:t>
        </w:r>
        <w:r w:rsidRPr="000020C4">
          <w:rPr>
            <w:noProof/>
            <w:webHidden/>
          </w:rPr>
          <w:fldChar w:fldCharType="end"/>
        </w:r>
      </w:hyperlink>
    </w:p>
    <w:p w:rsidR="006322D2" w:rsidRPr="000020C4" w:rsidRDefault="006322D2" w:rsidP="006322D2">
      <w:pPr>
        <w:pStyle w:val="TOC2"/>
        <w:rPr>
          <w:rFonts w:asciiTheme="minorHAnsi" w:eastAsiaTheme="minorEastAsia" w:hAnsiTheme="minorHAnsi" w:cstheme="minorBidi"/>
          <w:noProof/>
          <w:spacing w:val="0"/>
          <w:sz w:val="22"/>
          <w:szCs w:val="22"/>
        </w:rPr>
      </w:pPr>
      <w:hyperlink w:anchor="_Toc427915804" w:history="1">
        <w:r w:rsidRPr="000020C4">
          <w:rPr>
            <w:rStyle w:val="Hyperlink"/>
            <w:noProof/>
          </w:rPr>
          <w:t>D.</w:t>
        </w:r>
        <w:r w:rsidRPr="000020C4">
          <w:rPr>
            <w:rFonts w:asciiTheme="minorHAnsi" w:eastAsiaTheme="minorEastAsia" w:hAnsiTheme="minorHAnsi" w:cstheme="minorBidi"/>
            <w:noProof/>
            <w:spacing w:val="0"/>
            <w:sz w:val="22"/>
            <w:szCs w:val="22"/>
          </w:rPr>
          <w:tab/>
        </w:r>
        <w:r w:rsidRPr="000020C4">
          <w:rPr>
            <w:rStyle w:val="Hyperlink"/>
            <w:noProof/>
          </w:rPr>
          <w:t>Disposition</w:t>
        </w:r>
        <w:r w:rsidRPr="000020C4">
          <w:rPr>
            <w:noProof/>
            <w:webHidden/>
          </w:rPr>
          <w:tab/>
        </w:r>
        <w:r w:rsidRPr="000020C4">
          <w:rPr>
            <w:noProof/>
            <w:webHidden/>
          </w:rPr>
          <w:fldChar w:fldCharType="begin"/>
        </w:r>
        <w:r w:rsidRPr="000020C4">
          <w:rPr>
            <w:noProof/>
            <w:webHidden/>
          </w:rPr>
          <w:instrText xml:space="preserve"> PAGEREF _Toc427915804 \h </w:instrText>
        </w:r>
        <w:r w:rsidRPr="000020C4">
          <w:rPr>
            <w:noProof/>
            <w:webHidden/>
          </w:rPr>
        </w:r>
        <w:r w:rsidRPr="000020C4">
          <w:rPr>
            <w:noProof/>
            <w:webHidden/>
          </w:rPr>
          <w:fldChar w:fldCharType="separate"/>
        </w:r>
        <w:r>
          <w:rPr>
            <w:noProof/>
            <w:webHidden/>
          </w:rPr>
          <w:t>29</w:t>
        </w:r>
        <w:r w:rsidRPr="000020C4">
          <w:rPr>
            <w:noProof/>
            <w:webHidden/>
          </w:rPr>
          <w:fldChar w:fldCharType="end"/>
        </w:r>
      </w:hyperlink>
    </w:p>
    <w:p w:rsidR="006322D2" w:rsidRPr="000020C4" w:rsidRDefault="006322D2" w:rsidP="006322D2">
      <w:pPr>
        <w:pStyle w:val="TOC3"/>
        <w:rPr>
          <w:rFonts w:asciiTheme="minorHAnsi" w:eastAsiaTheme="minorEastAsia" w:hAnsiTheme="minorHAnsi" w:cstheme="minorBidi"/>
          <w:noProof/>
          <w:spacing w:val="0"/>
          <w:sz w:val="22"/>
          <w:szCs w:val="22"/>
        </w:rPr>
      </w:pPr>
      <w:hyperlink w:anchor="_Toc427915805" w:history="1">
        <w:r w:rsidRPr="000020C4">
          <w:rPr>
            <w:rStyle w:val="Hyperlink"/>
            <w:noProof/>
          </w:rPr>
          <w:t>1.</w:t>
        </w:r>
        <w:r w:rsidRPr="000020C4">
          <w:rPr>
            <w:rFonts w:asciiTheme="minorHAnsi" w:eastAsiaTheme="minorEastAsia" w:hAnsiTheme="minorHAnsi" w:cstheme="minorBidi"/>
            <w:noProof/>
            <w:spacing w:val="0"/>
            <w:sz w:val="22"/>
            <w:szCs w:val="22"/>
          </w:rPr>
          <w:tab/>
        </w:r>
        <w:r w:rsidRPr="000020C4">
          <w:rPr>
            <w:rStyle w:val="Hyperlink"/>
            <w:noProof/>
          </w:rPr>
          <w:t>Refund Pool</w:t>
        </w:r>
        <w:r w:rsidRPr="000020C4">
          <w:rPr>
            <w:noProof/>
            <w:webHidden/>
          </w:rPr>
          <w:tab/>
        </w:r>
        <w:r w:rsidRPr="000020C4">
          <w:rPr>
            <w:noProof/>
            <w:webHidden/>
          </w:rPr>
          <w:fldChar w:fldCharType="begin"/>
        </w:r>
        <w:r w:rsidRPr="000020C4">
          <w:rPr>
            <w:noProof/>
            <w:webHidden/>
          </w:rPr>
          <w:instrText xml:space="preserve"> PAGEREF _Toc427915805 \h </w:instrText>
        </w:r>
        <w:r w:rsidRPr="000020C4">
          <w:rPr>
            <w:noProof/>
            <w:webHidden/>
          </w:rPr>
        </w:r>
        <w:r w:rsidRPr="000020C4">
          <w:rPr>
            <w:noProof/>
            <w:webHidden/>
          </w:rPr>
          <w:fldChar w:fldCharType="separate"/>
        </w:r>
        <w:r>
          <w:rPr>
            <w:noProof/>
            <w:webHidden/>
          </w:rPr>
          <w:t>29</w:t>
        </w:r>
        <w:r w:rsidRPr="000020C4">
          <w:rPr>
            <w:noProof/>
            <w:webHidden/>
          </w:rPr>
          <w:fldChar w:fldCharType="end"/>
        </w:r>
      </w:hyperlink>
    </w:p>
    <w:p w:rsidR="006322D2" w:rsidRPr="000020C4" w:rsidRDefault="006322D2" w:rsidP="006322D2">
      <w:pPr>
        <w:pStyle w:val="TOC3"/>
        <w:rPr>
          <w:rFonts w:asciiTheme="minorHAnsi" w:eastAsiaTheme="minorEastAsia" w:hAnsiTheme="minorHAnsi" w:cstheme="minorBidi"/>
          <w:noProof/>
          <w:spacing w:val="0"/>
          <w:sz w:val="22"/>
          <w:szCs w:val="22"/>
        </w:rPr>
      </w:pPr>
      <w:hyperlink w:anchor="_Toc427915806" w:history="1">
        <w:r w:rsidRPr="000020C4">
          <w:rPr>
            <w:rStyle w:val="Hyperlink"/>
            <w:noProof/>
          </w:rPr>
          <w:t>2.</w:t>
        </w:r>
        <w:r w:rsidRPr="000020C4">
          <w:rPr>
            <w:rFonts w:asciiTheme="minorHAnsi" w:eastAsiaTheme="minorEastAsia" w:hAnsiTheme="minorHAnsi" w:cstheme="minorBidi"/>
            <w:noProof/>
            <w:spacing w:val="0"/>
            <w:sz w:val="22"/>
            <w:szCs w:val="22"/>
          </w:rPr>
          <w:tab/>
        </w:r>
        <w:r w:rsidRPr="000020C4">
          <w:rPr>
            <w:rStyle w:val="Hyperlink"/>
            <w:noProof/>
          </w:rPr>
          <w:t>Penalty and Contribution to EDC Hardship Funds</w:t>
        </w:r>
        <w:r w:rsidRPr="000020C4">
          <w:rPr>
            <w:noProof/>
            <w:webHidden/>
          </w:rPr>
          <w:tab/>
        </w:r>
        <w:r w:rsidRPr="000020C4">
          <w:rPr>
            <w:noProof/>
            <w:webHidden/>
          </w:rPr>
          <w:fldChar w:fldCharType="begin"/>
        </w:r>
        <w:r w:rsidRPr="000020C4">
          <w:rPr>
            <w:noProof/>
            <w:webHidden/>
          </w:rPr>
          <w:instrText xml:space="preserve"> PAGEREF _Toc427915806 \h </w:instrText>
        </w:r>
        <w:r w:rsidRPr="000020C4">
          <w:rPr>
            <w:noProof/>
            <w:webHidden/>
          </w:rPr>
        </w:r>
        <w:r w:rsidRPr="000020C4">
          <w:rPr>
            <w:noProof/>
            <w:webHidden/>
          </w:rPr>
          <w:fldChar w:fldCharType="separate"/>
        </w:r>
        <w:r>
          <w:rPr>
            <w:noProof/>
            <w:webHidden/>
          </w:rPr>
          <w:t>35</w:t>
        </w:r>
        <w:r w:rsidRPr="000020C4">
          <w:rPr>
            <w:noProof/>
            <w:webHidden/>
          </w:rPr>
          <w:fldChar w:fldCharType="end"/>
        </w:r>
      </w:hyperlink>
    </w:p>
    <w:p w:rsidR="006322D2" w:rsidRPr="000020C4" w:rsidRDefault="006322D2" w:rsidP="006322D2">
      <w:pPr>
        <w:pStyle w:val="TOC3"/>
        <w:rPr>
          <w:rFonts w:asciiTheme="minorHAnsi" w:eastAsiaTheme="minorEastAsia" w:hAnsiTheme="minorHAnsi" w:cstheme="minorBidi"/>
          <w:noProof/>
          <w:spacing w:val="0"/>
          <w:sz w:val="22"/>
          <w:szCs w:val="22"/>
        </w:rPr>
      </w:pPr>
      <w:hyperlink w:anchor="_Toc427915807" w:history="1">
        <w:r w:rsidRPr="000020C4">
          <w:rPr>
            <w:rStyle w:val="Hyperlink"/>
            <w:rFonts w:eastAsia="Times New Roman"/>
            <w:noProof/>
          </w:rPr>
          <w:t>3.</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Injunctive Relief</w:t>
        </w:r>
        <w:r w:rsidRPr="000020C4">
          <w:rPr>
            <w:noProof/>
            <w:webHidden/>
          </w:rPr>
          <w:tab/>
        </w:r>
        <w:r w:rsidRPr="000020C4">
          <w:rPr>
            <w:noProof/>
            <w:webHidden/>
          </w:rPr>
          <w:fldChar w:fldCharType="begin"/>
        </w:r>
        <w:r w:rsidRPr="000020C4">
          <w:rPr>
            <w:noProof/>
            <w:webHidden/>
          </w:rPr>
          <w:instrText xml:space="preserve"> PAGEREF _Toc427915807 \h </w:instrText>
        </w:r>
        <w:r w:rsidRPr="000020C4">
          <w:rPr>
            <w:noProof/>
            <w:webHidden/>
          </w:rPr>
        </w:r>
        <w:r w:rsidRPr="000020C4">
          <w:rPr>
            <w:noProof/>
            <w:webHidden/>
          </w:rPr>
          <w:fldChar w:fldCharType="separate"/>
        </w:r>
        <w:r>
          <w:rPr>
            <w:noProof/>
            <w:webHidden/>
          </w:rPr>
          <w:t>37</w:t>
        </w:r>
        <w:r w:rsidRPr="000020C4">
          <w:rPr>
            <w:noProof/>
            <w:webHidden/>
          </w:rPr>
          <w:fldChar w:fldCharType="end"/>
        </w:r>
      </w:hyperlink>
    </w:p>
    <w:p w:rsidR="006322D2" w:rsidRPr="000020C4" w:rsidRDefault="006322D2" w:rsidP="006322D2">
      <w:pPr>
        <w:pStyle w:val="TOC3"/>
        <w:rPr>
          <w:rFonts w:asciiTheme="minorHAnsi" w:eastAsiaTheme="minorEastAsia" w:hAnsiTheme="minorHAnsi" w:cstheme="minorBidi"/>
          <w:noProof/>
          <w:spacing w:val="0"/>
          <w:sz w:val="22"/>
          <w:szCs w:val="22"/>
        </w:rPr>
      </w:pPr>
      <w:hyperlink w:anchor="_Toc427915808" w:history="1">
        <w:r w:rsidRPr="000020C4">
          <w:rPr>
            <w:rStyle w:val="Hyperlink"/>
            <w:rFonts w:eastAsia="Times New Roman"/>
            <w:noProof/>
          </w:rPr>
          <w:t>4.</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Application of the Policy Statement Factors</w:t>
        </w:r>
        <w:r w:rsidRPr="000020C4">
          <w:rPr>
            <w:noProof/>
            <w:webHidden/>
          </w:rPr>
          <w:tab/>
        </w:r>
        <w:r w:rsidRPr="000020C4">
          <w:rPr>
            <w:noProof/>
            <w:webHidden/>
          </w:rPr>
          <w:fldChar w:fldCharType="begin"/>
        </w:r>
        <w:r w:rsidRPr="000020C4">
          <w:rPr>
            <w:noProof/>
            <w:webHidden/>
          </w:rPr>
          <w:instrText xml:space="preserve"> PAGEREF _Toc427915808 \h </w:instrText>
        </w:r>
        <w:r w:rsidRPr="000020C4">
          <w:rPr>
            <w:noProof/>
            <w:webHidden/>
          </w:rPr>
        </w:r>
        <w:r w:rsidRPr="000020C4">
          <w:rPr>
            <w:noProof/>
            <w:webHidden/>
          </w:rPr>
          <w:fldChar w:fldCharType="separate"/>
        </w:r>
        <w:r>
          <w:rPr>
            <w:noProof/>
            <w:webHidden/>
          </w:rPr>
          <w:t>45</w:t>
        </w:r>
        <w:r w:rsidRPr="000020C4">
          <w:rPr>
            <w:noProof/>
            <w:webHidden/>
          </w:rPr>
          <w:fldChar w:fldCharType="end"/>
        </w:r>
      </w:hyperlink>
    </w:p>
    <w:p w:rsidR="006322D2" w:rsidRPr="000020C4" w:rsidRDefault="006322D2" w:rsidP="006322D2">
      <w:pPr>
        <w:pStyle w:val="TOC1"/>
        <w:rPr>
          <w:rFonts w:asciiTheme="minorHAnsi" w:eastAsiaTheme="minorEastAsia" w:hAnsiTheme="minorHAnsi" w:cstheme="minorBidi"/>
          <w:noProof/>
          <w:spacing w:val="0"/>
          <w:sz w:val="22"/>
          <w:szCs w:val="22"/>
        </w:rPr>
      </w:pPr>
      <w:hyperlink w:anchor="_Toc427915809" w:history="1">
        <w:r w:rsidRPr="000020C4">
          <w:rPr>
            <w:rStyle w:val="Hyperlink"/>
            <w:rFonts w:eastAsia="Times New Roman"/>
            <w:noProof/>
          </w:rPr>
          <w:t>V.</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CONCLUSIONS OF LAW</w:t>
        </w:r>
        <w:r w:rsidRPr="000020C4">
          <w:rPr>
            <w:noProof/>
            <w:webHidden/>
          </w:rPr>
          <w:tab/>
        </w:r>
        <w:r w:rsidRPr="000020C4">
          <w:rPr>
            <w:noProof/>
            <w:webHidden/>
          </w:rPr>
          <w:fldChar w:fldCharType="begin"/>
        </w:r>
        <w:r w:rsidRPr="000020C4">
          <w:rPr>
            <w:noProof/>
            <w:webHidden/>
          </w:rPr>
          <w:instrText xml:space="preserve"> PAGEREF _Toc427915809 \h </w:instrText>
        </w:r>
        <w:r w:rsidRPr="000020C4">
          <w:rPr>
            <w:noProof/>
            <w:webHidden/>
          </w:rPr>
        </w:r>
        <w:r w:rsidRPr="000020C4">
          <w:rPr>
            <w:noProof/>
            <w:webHidden/>
          </w:rPr>
          <w:fldChar w:fldCharType="separate"/>
        </w:r>
        <w:r>
          <w:rPr>
            <w:noProof/>
            <w:webHidden/>
          </w:rPr>
          <w:t>50</w:t>
        </w:r>
        <w:r w:rsidRPr="000020C4">
          <w:rPr>
            <w:noProof/>
            <w:webHidden/>
          </w:rPr>
          <w:fldChar w:fldCharType="end"/>
        </w:r>
      </w:hyperlink>
    </w:p>
    <w:p w:rsidR="006322D2" w:rsidRPr="000020C4" w:rsidRDefault="006322D2" w:rsidP="006322D2">
      <w:pPr>
        <w:pStyle w:val="TOC1"/>
        <w:rPr>
          <w:rFonts w:asciiTheme="minorHAnsi" w:eastAsiaTheme="minorEastAsia" w:hAnsiTheme="minorHAnsi" w:cstheme="minorBidi"/>
          <w:noProof/>
          <w:spacing w:val="0"/>
          <w:sz w:val="22"/>
          <w:szCs w:val="22"/>
        </w:rPr>
      </w:pPr>
      <w:hyperlink w:anchor="_Toc427915810" w:history="1">
        <w:r w:rsidRPr="000020C4">
          <w:rPr>
            <w:rStyle w:val="Hyperlink"/>
            <w:rFonts w:eastAsia="Times New Roman"/>
            <w:noProof/>
          </w:rPr>
          <w:t>VI.</w:t>
        </w:r>
        <w:r w:rsidRPr="000020C4">
          <w:rPr>
            <w:rFonts w:asciiTheme="minorHAnsi" w:eastAsiaTheme="minorEastAsia" w:hAnsiTheme="minorHAnsi" w:cstheme="minorBidi"/>
            <w:noProof/>
            <w:spacing w:val="0"/>
            <w:sz w:val="22"/>
            <w:szCs w:val="22"/>
          </w:rPr>
          <w:tab/>
        </w:r>
        <w:r w:rsidRPr="000020C4">
          <w:rPr>
            <w:rStyle w:val="Hyperlink"/>
            <w:rFonts w:eastAsia="Times New Roman"/>
            <w:noProof/>
          </w:rPr>
          <w:t>ORDER</w:t>
        </w:r>
        <w:r w:rsidRPr="000020C4">
          <w:rPr>
            <w:noProof/>
            <w:webHidden/>
          </w:rPr>
          <w:tab/>
        </w:r>
        <w:r w:rsidRPr="000020C4">
          <w:rPr>
            <w:noProof/>
            <w:webHidden/>
          </w:rPr>
          <w:fldChar w:fldCharType="begin"/>
        </w:r>
        <w:r w:rsidRPr="000020C4">
          <w:rPr>
            <w:noProof/>
            <w:webHidden/>
          </w:rPr>
          <w:instrText xml:space="preserve"> PAGEREF _Toc427915810 \h </w:instrText>
        </w:r>
        <w:r w:rsidRPr="000020C4">
          <w:rPr>
            <w:noProof/>
            <w:webHidden/>
          </w:rPr>
        </w:r>
        <w:r w:rsidRPr="000020C4">
          <w:rPr>
            <w:noProof/>
            <w:webHidden/>
          </w:rPr>
          <w:fldChar w:fldCharType="separate"/>
        </w:r>
        <w:r>
          <w:rPr>
            <w:noProof/>
            <w:webHidden/>
          </w:rPr>
          <w:t>53</w:t>
        </w:r>
        <w:r w:rsidRPr="000020C4">
          <w:rPr>
            <w:noProof/>
            <w:webHidden/>
          </w:rPr>
          <w:fldChar w:fldCharType="end"/>
        </w:r>
      </w:hyperlink>
    </w:p>
    <w:p w:rsidR="006322D2" w:rsidRDefault="006322D2" w:rsidP="006322D2">
      <w:pPr>
        <w:ind w:firstLine="720"/>
        <w:jc w:val="both"/>
        <w:sectPr w:rsidR="006322D2" w:rsidSect="00B33A1D">
          <w:footerReference w:type="first" r:id="rId9"/>
          <w:pgSz w:w="12240" w:h="15840" w:code="1"/>
          <w:pgMar w:top="1440" w:right="1440" w:bottom="1440" w:left="1440" w:header="720" w:footer="720" w:gutter="0"/>
          <w:pgNumType w:start="1"/>
          <w:cols w:space="720"/>
          <w:titlePg/>
        </w:sectPr>
      </w:pPr>
      <w:r w:rsidRPr="000020C4">
        <w:fldChar w:fldCharType="end"/>
      </w:r>
    </w:p>
    <w:p w:rsidR="006322D2" w:rsidRPr="006322D2" w:rsidRDefault="006322D2" w:rsidP="006322D2">
      <w:pPr>
        <w:suppressAutoHyphens/>
        <w:contextualSpacing/>
      </w:pPr>
      <w:r w:rsidRPr="006322D2">
        <w:rPr>
          <w:rFonts w:eastAsia="SimSun"/>
        </w:rPr>
        <w:t xml:space="preserve">Petition addresses the concerns raised in the Joint Complaint is in the public interest and should be adopted without modification.  </w:t>
      </w:r>
    </w:p>
    <w:p w:rsidR="006322D2" w:rsidRPr="006322D2" w:rsidRDefault="006322D2" w:rsidP="006322D2">
      <w:pPr>
        <w:suppressAutoHyphens/>
        <w:ind w:firstLine="1440"/>
        <w:contextualSpacing/>
        <w:rPr>
          <w:rFonts w:eastAsia="SimSun"/>
        </w:rPr>
      </w:pPr>
    </w:p>
    <w:p w:rsidR="006322D2" w:rsidRPr="006322D2" w:rsidRDefault="006322D2" w:rsidP="006322D2">
      <w:pPr>
        <w:suppressAutoHyphens/>
        <w:ind w:left="1440"/>
        <w:contextualSpacing/>
        <w:rPr>
          <w:rFonts w:eastAsia="SimSun"/>
          <w:u w:val="single"/>
        </w:rPr>
      </w:pPr>
      <w:r w:rsidRPr="006322D2">
        <w:rPr>
          <w:rFonts w:eastAsia="SimSun"/>
        </w:rPr>
        <w:t>b.</w:t>
      </w:r>
      <w:r w:rsidRPr="006322D2">
        <w:rPr>
          <w:rFonts w:eastAsia="SimSun"/>
        </w:rPr>
        <w:tab/>
      </w:r>
      <w:r w:rsidRPr="006322D2">
        <w:rPr>
          <w:rFonts w:eastAsia="SimSun"/>
          <w:u w:val="single"/>
        </w:rPr>
        <w:t>HIKO Energy, LLC</w:t>
      </w:r>
      <w:r w:rsidRPr="006322D2">
        <w:rPr>
          <w:rFonts w:eastAsia="SimSun"/>
          <w:u w:val="single"/>
        </w:rPr>
        <w:fldChar w:fldCharType="begin"/>
      </w:r>
      <w:r w:rsidRPr="006322D2">
        <w:rPr>
          <w:rFonts w:eastAsia="Calibri"/>
        </w:rPr>
        <w:instrText xml:space="preserve"> TC "</w:instrText>
      </w:r>
      <w:bookmarkStart w:id="1" w:name="_Toc421712043"/>
      <w:bookmarkStart w:id="2" w:name="_Toc421712741"/>
      <w:bookmarkStart w:id="3" w:name="_Toc421712943"/>
      <w:bookmarkStart w:id="4" w:name="_Toc421868226"/>
      <w:bookmarkStart w:id="5" w:name="_Toc426107062"/>
      <w:bookmarkStart w:id="6" w:name="_Toc427915801"/>
      <w:r w:rsidRPr="006322D2">
        <w:rPr>
          <w:rFonts w:eastAsia="SimSun"/>
        </w:rPr>
        <w:instrText>b.</w:instrText>
      </w:r>
      <w:r w:rsidRPr="006322D2">
        <w:rPr>
          <w:rFonts w:eastAsia="SimSun"/>
        </w:rPr>
        <w:tab/>
      </w:r>
      <w:r w:rsidRPr="006322D2">
        <w:rPr>
          <w:rFonts w:eastAsia="SimSun"/>
          <w:u w:val="single"/>
        </w:rPr>
        <w:instrText>Pennsylvania Gas &amp; Electric</w:instrText>
      </w:r>
      <w:bookmarkEnd w:id="1"/>
      <w:bookmarkEnd w:id="2"/>
      <w:bookmarkEnd w:id="3"/>
      <w:bookmarkEnd w:id="4"/>
      <w:bookmarkEnd w:id="5"/>
      <w:bookmarkEnd w:id="6"/>
      <w:r w:rsidRPr="006322D2">
        <w:rPr>
          <w:rFonts w:eastAsia="Calibri"/>
        </w:rPr>
        <w:instrText xml:space="preserve">" \f C \l "4" </w:instrText>
      </w:r>
      <w:r w:rsidRPr="006322D2">
        <w:rPr>
          <w:rFonts w:eastAsia="SimSun"/>
          <w:u w:val="single"/>
        </w:rPr>
        <w:fldChar w:fldCharType="end"/>
      </w:r>
    </w:p>
    <w:p w:rsidR="006322D2" w:rsidRPr="006322D2" w:rsidRDefault="006322D2" w:rsidP="006322D2">
      <w:pPr>
        <w:suppressAutoHyphens/>
        <w:contextualSpacing/>
        <w:rPr>
          <w:rFonts w:eastAsia="SimSun"/>
          <w:u w:val="single"/>
        </w:rPr>
      </w:pPr>
    </w:p>
    <w:p w:rsidR="006322D2" w:rsidRPr="006322D2" w:rsidRDefault="006322D2" w:rsidP="006322D2">
      <w:pPr>
        <w:suppressAutoHyphens/>
        <w:ind w:firstLine="1440"/>
        <w:contextualSpacing/>
        <w:rPr>
          <w:rFonts w:eastAsia="SimSun"/>
        </w:rPr>
      </w:pPr>
      <w:r w:rsidRPr="006322D2">
        <w:rPr>
          <w:rFonts w:eastAsia="SimSun"/>
        </w:rPr>
        <w:t>In its Statement in Support of the Settlement, HIKO stated that it has learned from the Polar Vortex crisis of 2014, and is committed to providing substantial relief to affected customers and improving its business practices as a result.  HIKO contends the Joint Petition is in the public interest and should be adopted without modification because it is significant in both its scope and precedential nature.  HIKO is agreeing to pay the total of $2,025,383.85 to customers in refunds, as well as $50,000 for the administration of the refund pool, and $25,000 to EDC Hardship Funds.”   HIKO stated the 3.5% savings to customers enrolled in HIKO’s 1-7% guaranteed savings plan refunds those customers more than the 1% savings from EDC prices than the customers were legally entitled to.  Thus, the settlement term of 3.5%, which is an average of 1-7%, benefits these customers and is in the public interest.  HIKO noted that its customers enrolled in the Company’s variable rate plan in January, February and March, 2014 also receive substantial refunds totaling $352,860.75.</w:t>
      </w:r>
    </w:p>
    <w:p w:rsidR="006322D2" w:rsidRPr="006322D2" w:rsidRDefault="006322D2" w:rsidP="006322D2">
      <w:pPr>
        <w:suppressAutoHyphens/>
        <w:ind w:firstLine="1440"/>
        <w:contextualSpacing/>
        <w:rPr>
          <w:rFonts w:eastAsia="SimSun"/>
        </w:rPr>
      </w:pPr>
    </w:p>
    <w:p w:rsidR="00AE3D53" w:rsidRPr="00AE3D53" w:rsidRDefault="006322D2" w:rsidP="006322D2">
      <w:pPr>
        <w:ind w:firstLine="720"/>
        <w:jc w:val="both"/>
        <w:rPr>
          <w:spacing w:val="0"/>
        </w:rPr>
      </w:pPr>
      <w:r>
        <w:rPr>
          <w:rFonts w:eastAsia="SimSun"/>
        </w:rPr>
        <w:tab/>
      </w:r>
      <w:r w:rsidRPr="006322D2">
        <w:rPr>
          <w:rFonts w:eastAsia="SimSun"/>
        </w:rPr>
        <w:t xml:space="preserve">HIKO noted the injunctive relief in the form of a moratorium on marketing in Pennsylvania, as well as changes in its product offerings, marketing practices, third-party verification procedures, Disclosure Statement, sales representative training, compliance monitoring, reporting and customer service are all in the public interest.  HIKO also discussed in its Statement in Support of the Settlement the various factors regarding civil penalties but noted in particular that the most significant aspects of the Settlement go beyond the criteria enumerated in the Policy Statement.  First, the refunds and injunctive relief will be provided much sooner pursuant to the Settlement instead of through the uncertainties and delays inherent in administrative and appellate litigation.  Second, HIKO avers that the Settlement provides a model for resolution of similar disputes in the EGS industry, thus potentially multiplying the substantial public benefits generated by the Settlement.  HIKO cited a similar case involving a similar petition for approval of a settlement in </w:t>
      </w:r>
      <w:r w:rsidRPr="006322D2">
        <w:rPr>
          <w:rFonts w:eastAsia="SimSun"/>
          <w:u w:val="single"/>
        </w:rPr>
        <w:t xml:space="preserve">Pennsylvania </w:t>
      </w:r>
      <w:r w:rsidRPr="006322D2">
        <w:rPr>
          <w:rFonts w:eastAsia="SimSun"/>
          <w:i/>
          <w:u w:val="single"/>
        </w:rPr>
        <w:t>et al.</w:t>
      </w:r>
      <w:r w:rsidRPr="006322D2">
        <w:rPr>
          <w:rFonts w:eastAsia="SimSun"/>
          <w:u w:val="single"/>
        </w:rPr>
        <w:t xml:space="preserve"> v. Energy Services Providers, Inc. d/b/a Pennsylvania Gas &amp; Electric,</w:t>
      </w:r>
      <w:r w:rsidRPr="006322D2">
        <w:rPr>
          <w:rFonts w:eastAsia="SimSun"/>
          <w:i/>
        </w:rPr>
        <w:t xml:space="preserve"> </w:t>
      </w:r>
      <w:r w:rsidRPr="006322D2">
        <w:rPr>
          <w:rFonts w:eastAsia="SimSun"/>
        </w:rPr>
        <w:t>Docket No. C-2014-2427656, Joint Petition for Approval of Settlement (filed March 24,</w:t>
      </w:r>
    </w:p>
    <w:p w:rsidR="006322D2" w:rsidRDefault="006322D2" w:rsidP="00EE1711">
      <w:pPr>
        <w:sectPr w:rsidR="006322D2" w:rsidSect="00B33A1D">
          <w:footerReference w:type="default" r:id="rId10"/>
          <w:footerReference w:type="first" r:id="rId11"/>
          <w:pgSz w:w="12240" w:h="15840" w:code="1"/>
          <w:pgMar w:top="1440" w:right="1440" w:bottom="1440" w:left="1440" w:header="720" w:footer="720" w:gutter="0"/>
          <w:pgNumType w:start="1"/>
          <w:cols w:space="720"/>
          <w:titlePg/>
        </w:sectPr>
      </w:pPr>
    </w:p>
    <w:p w:rsidR="006322D2" w:rsidRPr="002C5026" w:rsidRDefault="006322D2" w:rsidP="006322D2">
      <w:pPr>
        <w:tabs>
          <w:tab w:val="left" w:pos="-720"/>
        </w:tabs>
        <w:suppressAutoHyphens/>
        <w:autoSpaceDE w:val="0"/>
        <w:autoSpaceDN w:val="0"/>
        <w:rPr>
          <w:rFonts w:eastAsiaTheme="minorEastAsia"/>
          <w:b/>
        </w:rPr>
      </w:pPr>
      <w:r>
        <w:rPr>
          <w:rFonts w:eastAsiaTheme="minorEastAsia"/>
          <w:b/>
        </w:rPr>
        <w:t>D</w:t>
      </w:r>
      <w:r w:rsidRPr="002C5026">
        <w:rPr>
          <w:rFonts w:eastAsiaTheme="minorEastAsia"/>
          <w:b/>
        </w:rPr>
        <w:t>.</w:t>
      </w:r>
      <w:r w:rsidRPr="002C5026">
        <w:rPr>
          <w:rFonts w:eastAsiaTheme="minorEastAsia"/>
          <w:b/>
        </w:rPr>
        <w:tab/>
        <w:t>Disposition</w:t>
      </w:r>
      <w:r w:rsidRPr="002C5026">
        <w:rPr>
          <w:rFonts w:eastAsiaTheme="minorEastAsia"/>
          <w:b/>
        </w:rPr>
        <w:fldChar w:fldCharType="begin"/>
      </w:r>
      <w:r w:rsidRPr="002C5026">
        <w:instrText xml:space="preserve"> TC "</w:instrText>
      </w:r>
      <w:bookmarkStart w:id="7" w:name="_Toc421712946"/>
      <w:bookmarkStart w:id="8" w:name="_Toc421868229"/>
      <w:bookmarkStart w:id="9" w:name="_Toc426107065"/>
      <w:bookmarkStart w:id="10" w:name="_Toc427915804"/>
      <w:r w:rsidRPr="002C5026">
        <w:rPr>
          <w:rFonts w:eastAsiaTheme="minorEastAsia"/>
          <w:b/>
        </w:rPr>
        <w:instrText>D.</w:instrText>
      </w:r>
      <w:r w:rsidRPr="002C5026">
        <w:rPr>
          <w:rFonts w:eastAsiaTheme="minorEastAsia"/>
          <w:b/>
        </w:rPr>
        <w:tab/>
        <w:instrText>Disposition</w:instrText>
      </w:r>
      <w:bookmarkEnd w:id="7"/>
      <w:bookmarkEnd w:id="8"/>
      <w:bookmarkEnd w:id="9"/>
      <w:bookmarkEnd w:id="10"/>
      <w:r w:rsidRPr="002C5026">
        <w:instrText xml:space="preserve">" \f C \l "2" </w:instrText>
      </w:r>
      <w:r w:rsidRPr="002C5026">
        <w:rPr>
          <w:rFonts w:eastAsiaTheme="minorEastAsia"/>
          <w:b/>
        </w:rPr>
        <w:fldChar w:fldCharType="end"/>
      </w:r>
    </w:p>
    <w:p w:rsidR="006322D2" w:rsidRPr="002C5026" w:rsidRDefault="006322D2" w:rsidP="006322D2">
      <w:pPr>
        <w:pStyle w:val="ListParagraph"/>
        <w:suppressAutoHyphens/>
        <w:spacing w:after="0" w:line="360" w:lineRule="auto"/>
        <w:ind w:left="0" w:firstLine="1440"/>
        <w:rPr>
          <w:rFonts w:eastAsiaTheme="minorEastAsia"/>
        </w:rPr>
      </w:pPr>
    </w:p>
    <w:p w:rsidR="006322D2" w:rsidRDefault="006322D2" w:rsidP="006322D2">
      <w:pPr>
        <w:tabs>
          <w:tab w:val="left" w:pos="-720"/>
        </w:tabs>
        <w:suppressAutoHyphens/>
        <w:autoSpaceDE w:val="0"/>
        <w:autoSpaceDN w:val="0"/>
        <w:rPr>
          <w:rFonts w:eastAsiaTheme="minorEastAsia"/>
        </w:rPr>
      </w:pPr>
      <w:r w:rsidRPr="002C5026">
        <w:rPr>
          <w:rFonts w:eastAsiaTheme="minorEastAsia"/>
        </w:rPr>
        <w:tab/>
      </w:r>
      <w:r w:rsidRPr="002C5026">
        <w:rPr>
          <w:rFonts w:eastAsiaTheme="minorEastAsia"/>
        </w:rPr>
        <w:tab/>
        <w:t xml:space="preserve">As an initial matter, we commend the signatory parties for reaching an extensive </w:t>
      </w:r>
      <w:r>
        <w:rPr>
          <w:rFonts w:eastAsiaTheme="minorEastAsia"/>
        </w:rPr>
        <w:t>S</w:t>
      </w:r>
      <w:r w:rsidRPr="002C5026">
        <w:rPr>
          <w:rFonts w:eastAsiaTheme="minorEastAsia"/>
        </w:rPr>
        <w:t xml:space="preserve">ettlement on the various issues.  The public importance of this matter is evident in the seriousness and substantiality of the terms of the </w:t>
      </w:r>
      <w:r>
        <w:rPr>
          <w:rFonts w:eastAsiaTheme="minorEastAsia"/>
        </w:rPr>
        <w:t>S</w:t>
      </w:r>
      <w:r w:rsidRPr="002C5026">
        <w:rPr>
          <w:rFonts w:eastAsiaTheme="minorEastAsia"/>
        </w:rPr>
        <w:t xml:space="preserve">ettlement.  The parties are commended for putting forth what are clearly significant efforts to reach an accord of the various issues raised in the Joint Complaint and we note that such efforts are consistent with the Commission policy to promote settlement and are appreciated.  </w:t>
      </w:r>
    </w:p>
    <w:p w:rsidR="006322D2" w:rsidRDefault="006322D2" w:rsidP="006322D2">
      <w:pPr>
        <w:tabs>
          <w:tab w:val="left" w:pos="-720"/>
        </w:tabs>
        <w:suppressAutoHyphens/>
        <w:autoSpaceDE w:val="0"/>
        <w:autoSpaceDN w:val="0"/>
        <w:rPr>
          <w:rFonts w:eastAsiaTheme="minorEastAsia"/>
        </w:rPr>
      </w:pPr>
    </w:p>
    <w:p w:rsidR="006322D2" w:rsidRDefault="006322D2" w:rsidP="006322D2">
      <w:pPr>
        <w:tabs>
          <w:tab w:val="left" w:pos="-720"/>
        </w:tabs>
        <w:suppressAutoHyphens/>
        <w:autoSpaceDE w:val="0"/>
        <w:autoSpaceDN w:val="0"/>
        <w:rPr>
          <w:rFonts w:eastAsiaTheme="minorEastAsia"/>
        </w:rPr>
      </w:pPr>
      <w:r>
        <w:rPr>
          <w:rFonts w:eastAsiaTheme="minorEastAsia"/>
        </w:rPr>
        <w:tab/>
      </w:r>
      <w:r>
        <w:rPr>
          <w:rFonts w:eastAsiaTheme="minorEastAsia"/>
        </w:rPr>
        <w:tab/>
        <w:t xml:space="preserve">Further, we infer from this Settlement that the parties admit jurisdiction of this Commission over the subject matter and over the parties for the purpose of approving, modifying, and enforcing the terms of this Settlement.  </w:t>
      </w:r>
      <w:proofErr w:type="gramStart"/>
      <w:r>
        <w:rPr>
          <w:rFonts w:eastAsiaTheme="minorEastAsia"/>
        </w:rPr>
        <w:t>66 Pa. C.S. §§ 701, 2809.</w:t>
      </w:r>
      <w:proofErr w:type="gramEnd"/>
      <w:r>
        <w:rPr>
          <w:rFonts w:eastAsiaTheme="minorEastAsia"/>
        </w:rPr>
        <w:t xml:space="preserve">  </w:t>
      </w:r>
    </w:p>
    <w:p w:rsidR="006322D2" w:rsidRPr="002C5026" w:rsidRDefault="006322D2" w:rsidP="006322D2">
      <w:pPr>
        <w:tabs>
          <w:tab w:val="left" w:pos="-720"/>
        </w:tabs>
        <w:suppressAutoHyphens/>
        <w:autoSpaceDE w:val="0"/>
        <w:autoSpaceDN w:val="0"/>
        <w:rPr>
          <w:rFonts w:eastAsiaTheme="minorEastAsia"/>
        </w:rPr>
      </w:pPr>
    </w:p>
    <w:p w:rsidR="006322D2" w:rsidRPr="002C5026" w:rsidRDefault="006322D2" w:rsidP="006322D2">
      <w:pPr>
        <w:pStyle w:val="ListParagraph"/>
        <w:suppressAutoHyphens/>
        <w:autoSpaceDE w:val="0"/>
        <w:autoSpaceDN w:val="0"/>
        <w:spacing w:after="0" w:line="360" w:lineRule="auto"/>
        <w:ind w:left="0"/>
        <w:rPr>
          <w:rFonts w:eastAsiaTheme="minorEastAsia"/>
          <w:u w:val="single"/>
        </w:rPr>
      </w:pPr>
      <w:r>
        <w:rPr>
          <w:rFonts w:eastAsiaTheme="minorEastAsia"/>
        </w:rPr>
        <w:tab/>
        <w:t>1</w:t>
      </w:r>
      <w:r w:rsidRPr="002C5026">
        <w:rPr>
          <w:rFonts w:eastAsiaTheme="minorEastAsia"/>
        </w:rPr>
        <w:t>.</w:t>
      </w:r>
      <w:r w:rsidRPr="002C5026">
        <w:rPr>
          <w:rFonts w:eastAsiaTheme="minorEastAsia"/>
        </w:rPr>
        <w:tab/>
      </w:r>
      <w:r w:rsidRPr="002C5026">
        <w:rPr>
          <w:rFonts w:eastAsiaTheme="minorEastAsia"/>
          <w:u w:val="single"/>
        </w:rPr>
        <w:t>Refund Pool</w:t>
      </w:r>
      <w:r w:rsidRPr="002C5026">
        <w:rPr>
          <w:rFonts w:eastAsiaTheme="minorEastAsia"/>
          <w:u w:val="single"/>
        </w:rPr>
        <w:fldChar w:fldCharType="begin"/>
      </w:r>
      <w:r w:rsidRPr="002C5026">
        <w:instrText xml:space="preserve"> TC "</w:instrText>
      </w:r>
      <w:bookmarkStart w:id="11" w:name="_Toc421868230"/>
      <w:bookmarkStart w:id="12" w:name="_Toc426107066"/>
      <w:bookmarkStart w:id="13" w:name="_Toc427915805"/>
      <w:r w:rsidRPr="002C5026">
        <w:rPr>
          <w:rFonts w:eastAsiaTheme="minorEastAsia"/>
        </w:rPr>
        <w:instrText>1.</w:instrText>
      </w:r>
      <w:r w:rsidRPr="002C5026">
        <w:rPr>
          <w:rFonts w:eastAsiaTheme="minorEastAsia"/>
        </w:rPr>
        <w:tab/>
      </w:r>
      <w:r w:rsidRPr="002C5026">
        <w:rPr>
          <w:rFonts w:eastAsiaTheme="minorEastAsia"/>
          <w:u w:val="single"/>
        </w:rPr>
        <w:instrText>Refund Pool</w:instrText>
      </w:r>
      <w:bookmarkEnd w:id="11"/>
      <w:bookmarkEnd w:id="12"/>
      <w:bookmarkEnd w:id="13"/>
      <w:r w:rsidRPr="002C5026">
        <w:instrText xml:space="preserve">" \f C \l "3" </w:instrText>
      </w:r>
      <w:r w:rsidRPr="002C5026">
        <w:rPr>
          <w:rFonts w:eastAsiaTheme="minorEastAsia"/>
          <w:u w:val="single"/>
        </w:rPr>
        <w:fldChar w:fldCharType="end"/>
      </w:r>
    </w:p>
    <w:p w:rsidR="006322D2" w:rsidRPr="002C5026" w:rsidRDefault="006322D2" w:rsidP="006322D2">
      <w:pPr>
        <w:tabs>
          <w:tab w:val="left" w:pos="-720"/>
        </w:tabs>
        <w:suppressAutoHyphens/>
        <w:autoSpaceDE w:val="0"/>
        <w:autoSpaceDN w:val="0"/>
        <w:rPr>
          <w:rFonts w:eastAsiaTheme="minorEastAsia"/>
        </w:rPr>
      </w:pPr>
    </w:p>
    <w:p w:rsidR="006322D2" w:rsidRPr="002C5026" w:rsidRDefault="006322D2" w:rsidP="006322D2">
      <w:pPr>
        <w:tabs>
          <w:tab w:val="left" w:pos="-720"/>
        </w:tabs>
        <w:suppressAutoHyphens/>
        <w:autoSpaceDE w:val="0"/>
        <w:autoSpaceDN w:val="0"/>
        <w:rPr>
          <w:rFonts w:eastAsiaTheme="minorEastAsia"/>
        </w:rPr>
      </w:pPr>
      <w:r w:rsidRPr="002C5026">
        <w:rPr>
          <w:rFonts w:eastAsiaTheme="minorEastAsia"/>
        </w:rPr>
        <w:tab/>
      </w:r>
      <w:r w:rsidRPr="002C5026">
        <w:rPr>
          <w:rFonts w:eastAsiaTheme="minorEastAsia"/>
        </w:rPr>
        <w:tab/>
        <w:t xml:space="preserve">With regard to the first aspect of the </w:t>
      </w:r>
      <w:r>
        <w:rPr>
          <w:rFonts w:eastAsiaTheme="minorEastAsia"/>
        </w:rPr>
        <w:t>S</w:t>
      </w:r>
      <w:r w:rsidRPr="002C5026">
        <w:rPr>
          <w:rFonts w:eastAsiaTheme="minorEastAsia"/>
        </w:rPr>
        <w:t xml:space="preserve">ettlement, refunds, we find these provisions in the </w:t>
      </w:r>
      <w:r>
        <w:rPr>
          <w:rFonts w:eastAsiaTheme="minorEastAsia"/>
        </w:rPr>
        <w:t>S</w:t>
      </w:r>
      <w:r w:rsidRPr="002C5026">
        <w:rPr>
          <w:rFonts w:eastAsiaTheme="minorEastAsia"/>
        </w:rPr>
        <w:t xml:space="preserve">ettlement to be in the public interest and support adopting the </w:t>
      </w:r>
      <w:r>
        <w:rPr>
          <w:rFonts w:eastAsiaTheme="minorEastAsia"/>
        </w:rPr>
        <w:t>S</w:t>
      </w:r>
      <w:r w:rsidRPr="002C5026">
        <w:rPr>
          <w:rFonts w:eastAsiaTheme="minorEastAsia"/>
        </w:rPr>
        <w:t xml:space="preserve">ettlement without modification.  The </w:t>
      </w:r>
      <w:r>
        <w:rPr>
          <w:rFonts w:eastAsiaTheme="minorEastAsia"/>
        </w:rPr>
        <w:t>S</w:t>
      </w:r>
      <w:r w:rsidRPr="002C5026">
        <w:rPr>
          <w:rFonts w:eastAsiaTheme="minorEastAsia"/>
        </w:rPr>
        <w:t xml:space="preserve">ettlement provides that </w:t>
      </w:r>
      <w:r>
        <w:rPr>
          <w:rFonts w:eastAsiaTheme="minorEastAsia"/>
        </w:rPr>
        <w:t>HIKO</w:t>
      </w:r>
      <w:r w:rsidRPr="002C5026">
        <w:rPr>
          <w:rFonts w:eastAsiaTheme="minorEastAsia"/>
        </w:rPr>
        <w:t xml:space="preserve"> agrees to pay the total sum of $</w:t>
      </w:r>
      <w:r>
        <w:rPr>
          <w:rFonts w:eastAsiaTheme="minorEastAsia"/>
        </w:rPr>
        <w:t>2,025,383.85</w:t>
      </w:r>
      <w:r w:rsidRPr="002C5026">
        <w:rPr>
          <w:rFonts w:eastAsiaTheme="minorEastAsia"/>
        </w:rPr>
        <w:t xml:space="preserve"> into a refund pool.  This amount </w:t>
      </w:r>
      <w:r>
        <w:rPr>
          <w:rFonts w:eastAsiaTheme="minorEastAsia"/>
        </w:rPr>
        <w:t>excludes $159,320.15 already v</w:t>
      </w:r>
      <w:r w:rsidRPr="002C5026">
        <w:rPr>
          <w:rFonts w:eastAsiaTheme="minorEastAsia"/>
        </w:rPr>
        <w:t>oluntarily paid previously in cash refunds to customers</w:t>
      </w:r>
      <w:r>
        <w:rPr>
          <w:rFonts w:eastAsiaTheme="minorEastAsia"/>
        </w:rPr>
        <w:t>.</w:t>
      </w:r>
      <w:r w:rsidRPr="002C5026">
        <w:rPr>
          <w:rFonts w:eastAsiaTheme="minorEastAsia"/>
        </w:rPr>
        <w:t xml:space="preserve">  </w:t>
      </w:r>
      <w:r>
        <w:rPr>
          <w:rFonts w:eastAsiaTheme="minorEastAsia"/>
        </w:rPr>
        <w:t xml:space="preserve">The refund pool is to be allocated such that $1,672,523.10 of the amount is allocated to customers in the guaranteed 1-7% savings program such that each customer receives approximately 3.5% savings </w:t>
      </w:r>
      <w:r w:rsidRPr="002E6ED4">
        <w:rPr>
          <w:rFonts w:eastAsiaTheme="minorEastAsia"/>
        </w:rPr>
        <w:t>for the months of January –March, 2014</w:t>
      </w:r>
      <w:r>
        <w:rPr>
          <w:rFonts w:eastAsiaTheme="minorEastAsia"/>
        </w:rPr>
        <w:t xml:space="preserve">.  The remaining $352,860.75 is allocated to HIKO’s customers not enrolled in the 1-7% guaranteed savings program, but which were on variable rate plans during the months of January – March 2014.  </w:t>
      </w:r>
      <w:r w:rsidRPr="002C5026">
        <w:rPr>
          <w:rFonts w:eastAsiaTheme="minorEastAsia"/>
        </w:rPr>
        <w:t xml:space="preserve">The </w:t>
      </w:r>
      <w:r>
        <w:rPr>
          <w:rFonts w:eastAsiaTheme="minorEastAsia"/>
        </w:rPr>
        <w:t>S</w:t>
      </w:r>
      <w:r w:rsidRPr="002C5026">
        <w:rPr>
          <w:rFonts w:eastAsiaTheme="minorEastAsia"/>
        </w:rPr>
        <w:t xml:space="preserve">ettlement provides that the OAG and OCA will determine which customers were affected by the Company’s conduct alleged in the Joint Complaint and determine how much restitution to offer to any individual consumers based on the individual customer’s usage, price charged and refund amount already received.  </w:t>
      </w:r>
    </w:p>
    <w:p w:rsidR="006322D2" w:rsidRDefault="006322D2" w:rsidP="006322D2">
      <w:pPr>
        <w:tabs>
          <w:tab w:val="left" w:pos="-720"/>
        </w:tabs>
        <w:suppressAutoHyphens/>
        <w:autoSpaceDE w:val="0"/>
        <w:autoSpaceDN w:val="0"/>
        <w:rPr>
          <w:rFonts w:eastAsiaTheme="minorEastAsia"/>
        </w:rPr>
      </w:pPr>
    </w:p>
    <w:p w:rsidR="00BC15F8" w:rsidRPr="0048247A" w:rsidRDefault="006322D2" w:rsidP="006322D2">
      <w:pPr>
        <w:rPr>
          <w:rFonts w:ascii="Arial" w:hAnsi="Arial" w:cs="Arial"/>
        </w:rPr>
      </w:pPr>
      <w:r>
        <w:rPr>
          <w:rFonts w:eastAsiaTheme="minorEastAsia"/>
        </w:rPr>
        <w:tab/>
      </w:r>
      <w:r>
        <w:rPr>
          <w:rFonts w:eastAsiaTheme="minorEastAsia"/>
        </w:rPr>
        <w:tab/>
      </w:r>
      <w:r w:rsidRPr="002C5026">
        <w:rPr>
          <w:rFonts w:eastAsiaTheme="minorEastAsia"/>
        </w:rPr>
        <w:t xml:space="preserve">The </w:t>
      </w:r>
      <w:r>
        <w:rPr>
          <w:rFonts w:eastAsiaTheme="minorEastAsia"/>
        </w:rPr>
        <w:t>S</w:t>
      </w:r>
      <w:r w:rsidRPr="002C5026">
        <w:rPr>
          <w:rFonts w:eastAsiaTheme="minorEastAsia"/>
        </w:rPr>
        <w:t xml:space="preserve">ettlement further provides for the establishment of a third-party administrator of the refund pool to administer and distribute the refunds with the costs and expenses of the administration of the pool paid by </w:t>
      </w:r>
      <w:r>
        <w:rPr>
          <w:rFonts w:eastAsiaTheme="minorEastAsia"/>
        </w:rPr>
        <w:t>HIKO up to a capped amount of $50,000.  Any OCA-OAG</w:t>
      </w:r>
    </w:p>
    <w:sectPr w:rsidR="00BC15F8" w:rsidRPr="0048247A" w:rsidSect="00B33A1D">
      <w:foot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72" w:rsidRDefault="00327972" w:rsidP="00823577">
      <w:pPr>
        <w:spacing w:line="240" w:lineRule="auto"/>
      </w:pPr>
      <w:r>
        <w:separator/>
      </w:r>
    </w:p>
  </w:endnote>
  <w:endnote w:type="continuationSeparator" w:id="0">
    <w:p w:rsidR="00327972" w:rsidRDefault="00327972" w:rsidP="0082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625" w:rsidRPr="005D4063" w:rsidRDefault="00BC1445">
    <w:pPr>
      <w:pStyle w:val="Footer"/>
      <w:rPr>
        <w:sz w:val="20"/>
      </w:rPr>
    </w:pPr>
    <w:r w:rsidRPr="005D4063">
      <w:rPr>
        <w:sz w:val="20"/>
      </w:rPr>
      <w:fldChar w:fldCharType="begin"/>
    </w:r>
    <w:r w:rsidRPr="005D4063">
      <w:rPr>
        <w:sz w:val="20"/>
      </w:rPr>
      <w:instrText xml:space="preserve"> PAGE   \* MERGEFORMAT </w:instrText>
    </w:r>
    <w:r w:rsidRPr="005D4063">
      <w:rPr>
        <w:sz w:val="20"/>
      </w:rPr>
      <w:fldChar w:fldCharType="separate"/>
    </w:r>
    <w:r w:rsidR="00CE2ED0">
      <w:rPr>
        <w:noProof/>
        <w:sz w:val="20"/>
      </w:rPr>
      <w:t>2</w:t>
    </w:r>
    <w:r w:rsidRPr="005D4063">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2D2" w:rsidRPr="006322D2" w:rsidRDefault="006322D2" w:rsidP="006322D2">
    <w:pPr>
      <w:pStyle w:val="Footer"/>
      <w:spacing w:line="240" w:lineRule="auto"/>
      <w:rPr>
        <w:sz w:val="20"/>
      </w:rPr>
    </w:pPr>
    <w:proofErr w:type="gramStart"/>
    <w:r w:rsidRPr="006322D2">
      <w:rPr>
        <w:sz w:val="20"/>
      </w:rPr>
      <w:t>i</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2D2" w:rsidRPr="005D4063" w:rsidRDefault="006322D2">
    <w:pPr>
      <w:pStyle w:val="Foo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2D2" w:rsidRPr="006322D2" w:rsidRDefault="006322D2" w:rsidP="006322D2">
    <w:pPr>
      <w:pStyle w:val="Footer"/>
      <w:spacing w:line="240" w:lineRule="auto"/>
      <w:rPr>
        <w:sz w:val="20"/>
      </w:rPr>
    </w:pPr>
    <w:r w:rsidRPr="006322D2">
      <w:rPr>
        <w:sz w:val="20"/>
      </w:rPr>
      <w:t>27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2D2" w:rsidRPr="006322D2" w:rsidRDefault="006322D2" w:rsidP="006322D2">
    <w:pPr>
      <w:pStyle w:val="Footer"/>
      <w:rPr>
        <w:sz w:val="20"/>
      </w:rPr>
    </w:pPr>
    <w:r>
      <w:rPr>
        <w:sz w:val="20"/>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72" w:rsidRDefault="00327972" w:rsidP="00823577">
      <w:pPr>
        <w:spacing w:line="240" w:lineRule="auto"/>
      </w:pPr>
      <w:r>
        <w:separator/>
      </w:r>
    </w:p>
  </w:footnote>
  <w:footnote w:type="continuationSeparator" w:id="0">
    <w:p w:rsidR="00327972" w:rsidRDefault="00327972" w:rsidP="008235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087D"/>
    <w:multiLevelType w:val="hybridMultilevel"/>
    <w:tmpl w:val="9AC26AC8"/>
    <w:lvl w:ilvl="0" w:tplc="7EF4CF98">
      <w:start w:val="1"/>
      <w:numFmt w:val="bullet"/>
      <w:lvlText w:val="*"/>
      <w:lvlJc w:val="left"/>
      <w:pPr>
        <w:ind w:left="1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2E"/>
    <w:rsid w:val="0002047E"/>
    <w:rsid w:val="000452AC"/>
    <w:rsid w:val="00054798"/>
    <w:rsid w:val="000603EC"/>
    <w:rsid w:val="00060A0F"/>
    <w:rsid w:val="0006688E"/>
    <w:rsid w:val="00067BD8"/>
    <w:rsid w:val="00070014"/>
    <w:rsid w:val="000700D9"/>
    <w:rsid w:val="000958BA"/>
    <w:rsid w:val="000A1CB8"/>
    <w:rsid w:val="000B2E3D"/>
    <w:rsid w:val="000B3EAE"/>
    <w:rsid w:val="000C0082"/>
    <w:rsid w:val="000D4CD2"/>
    <w:rsid w:val="000D64D5"/>
    <w:rsid w:val="000E5F49"/>
    <w:rsid w:val="00105736"/>
    <w:rsid w:val="00143550"/>
    <w:rsid w:val="00160DD8"/>
    <w:rsid w:val="001775D7"/>
    <w:rsid w:val="0018054E"/>
    <w:rsid w:val="00196F84"/>
    <w:rsid w:val="001B0FBC"/>
    <w:rsid w:val="001B132E"/>
    <w:rsid w:val="001B2157"/>
    <w:rsid w:val="001B6558"/>
    <w:rsid w:val="001C1539"/>
    <w:rsid w:val="001C2388"/>
    <w:rsid w:val="001C38CD"/>
    <w:rsid w:val="001C744A"/>
    <w:rsid w:val="001C7AA8"/>
    <w:rsid w:val="001D4992"/>
    <w:rsid w:val="001F37F6"/>
    <w:rsid w:val="002203CE"/>
    <w:rsid w:val="0022238D"/>
    <w:rsid w:val="00222D7D"/>
    <w:rsid w:val="002263BC"/>
    <w:rsid w:val="00226658"/>
    <w:rsid w:val="00232AC4"/>
    <w:rsid w:val="00234585"/>
    <w:rsid w:val="00254484"/>
    <w:rsid w:val="00265D5F"/>
    <w:rsid w:val="002704DC"/>
    <w:rsid w:val="0027334B"/>
    <w:rsid w:val="0028227A"/>
    <w:rsid w:val="00295A15"/>
    <w:rsid w:val="002A38A3"/>
    <w:rsid w:val="002B41C4"/>
    <w:rsid w:val="002B45F0"/>
    <w:rsid w:val="002C1C79"/>
    <w:rsid w:val="002C6332"/>
    <w:rsid w:val="002C7B30"/>
    <w:rsid w:val="002D0215"/>
    <w:rsid w:val="002F20E4"/>
    <w:rsid w:val="002F6FF8"/>
    <w:rsid w:val="002F7107"/>
    <w:rsid w:val="00312104"/>
    <w:rsid w:val="0031289C"/>
    <w:rsid w:val="00320EC8"/>
    <w:rsid w:val="00327972"/>
    <w:rsid w:val="00332374"/>
    <w:rsid w:val="00333FAE"/>
    <w:rsid w:val="00337B45"/>
    <w:rsid w:val="00343D89"/>
    <w:rsid w:val="00353F07"/>
    <w:rsid w:val="00360316"/>
    <w:rsid w:val="00360909"/>
    <w:rsid w:val="0037443E"/>
    <w:rsid w:val="0037468D"/>
    <w:rsid w:val="003776B5"/>
    <w:rsid w:val="00377C12"/>
    <w:rsid w:val="00377E30"/>
    <w:rsid w:val="003864EE"/>
    <w:rsid w:val="00395EB3"/>
    <w:rsid w:val="003B1BBF"/>
    <w:rsid w:val="003D47F8"/>
    <w:rsid w:val="003D7998"/>
    <w:rsid w:val="003E60F5"/>
    <w:rsid w:val="003F4C11"/>
    <w:rsid w:val="00404C26"/>
    <w:rsid w:val="00404EB3"/>
    <w:rsid w:val="00412350"/>
    <w:rsid w:val="00414B0F"/>
    <w:rsid w:val="0041580B"/>
    <w:rsid w:val="004164D7"/>
    <w:rsid w:val="004261D1"/>
    <w:rsid w:val="004546C7"/>
    <w:rsid w:val="004744D7"/>
    <w:rsid w:val="0049244B"/>
    <w:rsid w:val="00493B95"/>
    <w:rsid w:val="004A68ED"/>
    <w:rsid w:val="004B1259"/>
    <w:rsid w:val="004B6518"/>
    <w:rsid w:val="004B6ECD"/>
    <w:rsid w:val="004C0964"/>
    <w:rsid w:val="004C0FC0"/>
    <w:rsid w:val="004E2F8D"/>
    <w:rsid w:val="00506751"/>
    <w:rsid w:val="00507B18"/>
    <w:rsid w:val="005144A5"/>
    <w:rsid w:val="005208D2"/>
    <w:rsid w:val="00522B90"/>
    <w:rsid w:val="00534598"/>
    <w:rsid w:val="00544BF8"/>
    <w:rsid w:val="005543E4"/>
    <w:rsid w:val="0056248E"/>
    <w:rsid w:val="0057043D"/>
    <w:rsid w:val="005805A6"/>
    <w:rsid w:val="005833A6"/>
    <w:rsid w:val="0058797C"/>
    <w:rsid w:val="005A24FA"/>
    <w:rsid w:val="005A2A65"/>
    <w:rsid w:val="005A42F8"/>
    <w:rsid w:val="005B618F"/>
    <w:rsid w:val="005D481E"/>
    <w:rsid w:val="005E27B9"/>
    <w:rsid w:val="005E3ED5"/>
    <w:rsid w:val="005F63D0"/>
    <w:rsid w:val="00602142"/>
    <w:rsid w:val="006300CC"/>
    <w:rsid w:val="006322D2"/>
    <w:rsid w:val="00653290"/>
    <w:rsid w:val="00655357"/>
    <w:rsid w:val="006608BF"/>
    <w:rsid w:val="00662C20"/>
    <w:rsid w:val="00666DEF"/>
    <w:rsid w:val="006748E6"/>
    <w:rsid w:val="006840D3"/>
    <w:rsid w:val="00685979"/>
    <w:rsid w:val="006B2C3D"/>
    <w:rsid w:val="006B59CC"/>
    <w:rsid w:val="006E1D69"/>
    <w:rsid w:val="006E3C28"/>
    <w:rsid w:val="006F2C3E"/>
    <w:rsid w:val="006F6BB9"/>
    <w:rsid w:val="007041CF"/>
    <w:rsid w:val="007044D0"/>
    <w:rsid w:val="00706DF6"/>
    <w:rsid w:val="00712B0E"/>
    <w:rsid w:val="0072300C"/>
    <w:rsid w:val="007374F1"/>
    <w:rsid w:val="00771656"/>
    <w:rsid w:val="0077184C"/>
    <w:rsid w:val="007833C6"/>
    <w:rsid w:val="007840C8"/>
    <w:rsid w:val="0079031A"/>
    <w:rsid w:val="007942C0"/>
    <w:rsid w:val="00795D43"/>
    <w:rsid w:val="007A1BE8"/>
    <w:rsid w:val="007A38AA"/>
    <w:rsid w:val="007B0A5D"/>
    <w:rsid w:val="007B72DA"/>
    <w:rsid w:val="007C5E21"/>
    <w:rsid w:val="007D69D3"/>
    <w:rsid w:val="007E2491"/>
    <w:rsid w:val="007E7584"/>
    <w:rsid w:val="007F4AAE"/>
    <w:rsid w:val="008034F1"/>
    <w:rsid w:val="00803FB8"/>
    <w:rsid w:val="008154AF"/>
    <w:rsid w:val="00820BB6"/>
    <w:rsid w:val="00821F29"/>
    <w:rsid w:val="00823577"/>
    <w:rsid w:val="008423DB"/>
    <w:rsid w:val="00866A9B"/>
    <w:rsid w:val="00867CBE"/>
    <w:rsid w:val="0087602E"/>
    <w:rsid w:val="00887CE7"/>
    <w:rsid w:val="008960AF"/>
    <w:rsid w:val="008A5751"/>
    <w:rsid w:val="008B5168"/>
    <w:rsid w:val="008B6843"/>
    <w:rsid w:val="008C3F20"/>
    <w:rsid w:val="008D56E8"/>
    <w:rsid w:val="008E012D"/>
    <w:rsid w:val="009028F1"/>
    <w:rsid w:val="00903A33"/>
    <w:rsid w:val="00906A01"/>
    <w:rsid w:val="0092173D"/>
    <w:rsid w:val="009422B7"/>
    <w:rsid w:val="00954172"/>
    <w:rsid w:val="00972738"/>
    <w:rsid w:val="0099680C"/>
    <w:rsid w:val="009A324D"/>
    <w:rsid w:val="009B3705"/>
    <w:rsid w:val="009D3C71"/>
    <w:rsid w:val="009D4CD5"/>
    <w:rsid w:val="009E09E7"/>
    <w:rsid w:val="009E73F2"/>
    <w:rsid w:val="00A031C5"/>
    <w:rsid w:val="00A07E82"/>
    <w:rsid w:val="00A1152E"/>
    <w:rsid w:val="00A1605D"/>
    <w:rsid w:val="00A2712C"/>
    <w:rsid w:val="00A31E22"/>
    <w:rsid w:val="00A5034D"/>
    <w:rsid w:val="00A564A4"/>
    <w:rsid w:val="00A6033B"/>
    <w:rsid w:val="00A7382A"/>
    <w:rsid w:val="00A87188"/>
    <w:rsid w:val="00A93111"/>
    <w:rsid w:val="00A97020"/>
    <w:rsid w:val="00A9750B"/>
    <w:rsid w:val="00AA10BB"/>
    <w:rsid w:val="00AB1F9B"/>
    <w:rsid w:val="00AD3213"/>
    <w:rsid w:val="00AE3D53"/>
    <w:rsid w:val="00AE4241"/>
    <w:rsid w:val="00AE5339"/>
    <w:rsid w:val="00AF04F6"/>
    <w:rsid w:val="00AF30C1"/>
    <w:rsid w:val="00B03E7D"/>
    <w:rsid w:val="00B17AB1"/>
    <w:rsid w:val="00B27D80"/>
    <w:rsid w:val="00B34824"/>
    <w:rsid w:val="00B369B3"/>
    <w:rsid w:val="00B43E37"/>
    <w:rsid w:val="00B8305F"/>
    <w:rsid w:val="00B8559E"/>
    <w:rsid w:val="00B93C35"/>
    <w:rsid w:val="00B95A5F"/>
    <w:rsid w:val="00BC1445"/>
    <w:rsid w:val="00BC15F8"/>
    <w:rsid w:val="00BC2B51"/>
    <w:rsid w:val="00BD36BB"/>
    <w:rsid w:val="00BE73F1"/>
    <w:rsid w:val="00C1342B"/>
    <w:rsid w:val="00C30D08"/>
    <w:rsid w:val="00C31B94"/>
    <w:rsid w:val="00C360D7"/>
    <w:rsid w:val="00C612AD"/>
    <w:rsid w:val="00C703FD"/>
    <w:rsid w:val="00C73507"/>
    <w:rsid w:val="00C80222"/>
    <w:rsid w:val="00C83E3D"/>
    <w:rsid w:val="00C962A9"/>
    <w:rsid w:val="00CA2F13"/>
    <w:rsid w:val="00CA637A"/>
    <w:rsid w:val="00CA7030"/>
    <w:rsid w:val="00CB6348"/>
    <w:rsid w:val="00CC3530"/>
    <w:rsid w:val="00CD2F5E"/>
    <w:rsid w:val="00CD46B2"/>
    <w:rsid w:val="00CD50C3"/>
    <w:rsid w:val="00CE2C8D"/>
    <w:rsid w:val="00CE2ED0"/>
    <w:rsid w:val="00D004FA"/>
    <w:rsid w:val="00D16089"/>
    <w:rsid w:val="00D243DE"/>
    <w:rsid w:val="00D314BB"/>
    <w:rsid w:val="00D36409"/>
    <w:rsid w:val="00D5108A"/>
    <w:rsid w:val="00D6367F"/>
    <w:rsid w:val="00DA158F"/>
    <w:rsid w:val="00DA5536"/>
    <w:rsid w:val="00DB0991"/>
    <w:rsid w:val="00DB12EC"/>
    <w:rsid w:val="00DC7F34"/>
    <w:rsid w:val="00DD2B72"/>
    <w:rsid w:val="00DD735B"/>
    <w:rsid w:val="00DD7441"/>
    <w:rsid w:val="00DE7625"/>
    <w:rsid w:val="00DF3F2E"/>
    <w:rsid w:val="00DF7213"/>
    <w:rsid w:val="00DF7BD7"/>
    <w:rsid w:val="00E01100"/>
    <w:rsid w:val="00E13159"/>
    <w:rsid w:val="00E2244B"/>
    <w:rsid w:val="00E26E0B"/>
    <w:rsid w:val="00E33216"/>
    <w:rsid w:val="00E36FC8"/>
    <w:rsid w:val="00E56420"/>
    <w:rsid w:val="00E57E24"/>
    <w:rsid w:val="00E772D5"/>
    <w:rsid w:val="00E95556"/>
    <w:rsid w:val="00EC589D"/>
    <w:rsid w:val="00EC6493"/>
    <w:rsid w:val="00EC64B4"/>
    <w:rsid w:val="00EE1711"/>
    <w:rsid w:val="00EE46F6"/>
    <w:rsid w:val="00F03894"/>
    <w:rsid w:val="00F07C58"/>
    <w:rsid w:val="00F100FD"/>
    <w:rsid w:val="00F1022E"/>
    <w:rsid w:val="00F1042E"/>
    <w:rsid w:val="00F11E0E"/>
    <w:rsid w:val="00F15946"/>
    <w:rsid w:val="00F212C3"/>
    <w:rsid w:val="00F40D17"/>
    <w:rsid w:val="00F42D74"/>
    <w:rsid w:val="00F44BAD"/>
    <w:rsid w:val="00F5286F"/>
    <w:rsid w:val="00FA3EEF"/>
    <w:rsid w:val="00FC0E2B"/>
    <w:rsid w:val="00FD2D8D"/>
    <w:rsid w:val="00FE2C14"/>
    <w:rsid w:val="00FF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 w:type="character" w:styleId="Hyperlink">
    <w:name w:val="Hyperlink"/>
    <w:basedOn w:val="DefaultParagraphFont"/>
    <w:uiPriority w:val="99"/>
    <w:unhideWhenUsed/>
    <w:rsid w:val="006322D2"/>
    <w:rPr>
      <w:color w:val="0000FF" w:themeColor="hyperlink"/>
      <w:u w:val="single"/>
    </w:rPr>
  </w:style>
  <w:style w:type="paragraph" w:styleId="TOC1">
    <w:name w:val="toc 1"/>
    <w:basedOn w:val="Normal"/>
    <w:next w:val="Normal"/>
    <w:autoRedefine/>
    <w:uiPriority w:val="39"/>
    <w:unhideWhenUsed/>
    <w:rsid w:val="006322D2"/>
    <w:pPr>
      <w:tabs>
        <w:tab w:val="left" w:pos="720"/>
        <w:tab w:val="right" w:leader="dot" w:pos="9350"/>
      </w:tabs>
      <w:spacing w:after="100" w:line="276" w:lineRule="auto"/>
    </w:pPr>
    <w:rPr>
      <w:rFonts w:eastAsiaTheme="minorHAnsi"/>
    </w:rPr>
  </w:style>
  <w:style w:type="paragraph" w:styleId="TOC2">
    <w:name w:val="toc 2"/>
    <w:basedOn w:val="Normal"/>
    <w:next w:val="Normal"/>
    <w:autoRedefine/>
    <w:uiPriority w:val="39"/>
    <w:unhideWhenUsed/>
    <w:rsid w:val="006322D2"/>
    <w:pPr>
      <w:tabs>
        <w:tab w:val="left" w:pos="1440"/>
        <w:tab w:val="right" w:leader="dot" w:pos="9350"/>
      </w:tabs>
      <w:spacing w:after="100" w:line="276" w:lineRule="auto"/>
      <w:ind w:left="720"/>
    </w:pPr>
    <w:rPr>
      <w:rFonts w:eastAsiaTheme="minorHAnsi"/>
    </w:rPr>
  </w:style>
  <w:style w:type="paragraph" w:styleId="TOC3">
    <w:name w:val="toc 3"/>
    <w:basedOn w:val="Normal"/>
    <w:next w:val="Normal"/>
    <w:autoRedefine/>
    <w:uiPriority w:val="39"/>
    <w:unhideWhenUsed/>
    <w:rsid w:val="006322D2"/>
    <w:pPr>
      <w:tabs>
        <w:tab w:val="left" w:pos="2160"/>
        <w:tab w:val="right" w:leader="dot" w:pos="9350"/>
      </w:tabs>
      <w:spacing w:after="100" w:line="276" w:lineRule="auto"/>
      <w:ind w:left="1440"/>
    </w:pPr>
    <w:rPr>
      <w:rFonts w:eastAsiaTheme="minorHAnsi"/>
    </w:rPr>
  </w:style>
  <w:style w:type="paragraph" w:styleId="TOC4">
    <w:name w:val="toc 4"/>
    <w:basedOn w:val="Normal"/>
    <w:next w:val="Normal"/>
    <w:autoRedefine/>
    <w:uiPriority w:val="39"/>
    <w:unhideWhenUsed/>
    <w:rsid w:val="006322D2"/>
    <w:pPr>
      <w:tabs>
        <w:tab w:val="left" w:pos="2880"/>
        <w:tab w:val="right" w:leader="dot" w:pos="9350"/>
      </w:tabs>
      <w:spacing w:after="100" w:line="276" w:lineRule="auto"/>
      <w:ind w:left="2160"/>
    </w:pPr>
    <w:rPr>
      <w:rFonts w:eastAsiaTheme="minorHAnsi"/>
    </w:rPr>
  </w:style>
  <w:style w:type="paragraph" w:styleId="ListParagraph">
    <w:name w:val="List Paragraph"/>
    <w:basedOn w:val="Normal"/>
    <w:uiPriority w:val="34"/>
    <w:qFormat/>
    <w:rsid w:val="006322D2"/>
    <w:pPr>
      <w:spacing w:after="200" w:line="276" w:lineRule="auto"/>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22E"/>
    <w:pPr>
      <w:spacing w:line="360" w:lineRule="auto"/>
    </w:pPr>
    <w:rPr>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D80"/>
    <w:pPr>
      <w:tabs>
        <w:tab w:val="center" w:pos="4320"/>
        <w:tab w:val="right" w:pos="8640"/>
      </w:tabs>
      <w:jc w:val="center"/>
    </w:pPr>
    <w:rPr>
      <w:sz w:val="26"/>
      <w:szCs w:val="20"/>
    </w:rPr>
  </w:style>
  <w:style w:type="paragraph" w:styleId="Header">
    <w:name w:val="header"/>
    <w:basedOn w:val="Normal"/>
    <w:link w:val="HeaderChar"/>
    <w:rsid w:val="00823577"/>
    <w:pPr>
      <w:tabs>
        <w:tab w:val="center" w:pos="4680"/>
        <w:tab w:val="right" w:pos="9360"/>
      </w:tabs>
    </w:pPr>
  </w:style>
  <w:style w:type="character" w:customStyle="1" w:styleId="HeaderChar">
    <w:name w:val="Header Char"/>
    <w:link w:val="Header"/>
    <w:rsid w:val="00823577"/>
    <w:rPr>
      <w:spacing w:val="-3"/>
      <w:sz w:val="24"/>
      <w:szCs w:val="24"/>
    </w:rPr>
  </w:style>
  <w:style w:type="character" w:customStyle="1" w:styleId="FooterChar">
    <w:name w:val="Footer Char"/>
    <w:link w:val="Footer"/>
    <w:uiPriority w:val="99"/>
    <w:rsid w:val="00B27D80"/>
    <w:rPr>
      <w:spacing w:val="-3"/>
      <w:sz w:val="26"/>
    </w:rPr>
  </w:style>
  <w:style w:type="table" w:styleId="TableGrid">
    <w:name w:val="Table Grid"/>
    <w:basedOn w:val="TableNormal"/>
    <w:rsid w:val="009D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D7441"/>
    <w:pPr>
      <w:spacing w:line="240" w:lineRule="auto"/>
    </w:pPr>
    <w:rPr>
      <w:rFonts w:ascii="Tahoma" w:hAnsi="Tahoma" w:cs="Tahoma"/>
      <w:sz w:val="16"/>
      <w:szCs w:val="16"/>
    </w:rPr>
  </w:style>
  <w:style w:type="character" w:customStyle="1" w:styleId="BalloonTextChar">
    <w:name w:val="Balloon Text Char"/>
    <w:link w:val="BalloonText"/>
    <w:rsid w:val="00DD7441"/>
    <w:rPr>
      <w:rFonts w:ascii="Tahoma" w:hAnsi="Tahoma" w:cs="Tahoma"/>
      <w:spacing w:val="-3"/>
      <w:sz w:val="16"/>
      <w:szCs w:val="16"/>
    </w:rPr>
  </w:style>
  <w:style w:type="character" w:styleId="Hyperlink">
    <w:name w:val="Hyperlink"/>
    <w:basedOn w:val="DefaultParagraphFont"/>
    <w:uiPriority w:val="99"/>
    <w:unhideWhenUsed/>
    <w:rsid w:val="006322D2"/>
    <w:rPr>
      <w:color w:val="0000FF" w:themeColor="hyperlink"/>
      <w:u w:val="single"/>
    </w:rPr>
  </w:style>
  <w:style w:type="paragraph" w:styleId="TOC1">
    <w:name w:val="toc 1"/>
    <w:basedOn w:val="Normal"/>
    <w:next w:val="Normal"/>
    <w:autoRedefine/>
    <w:uiPriority w:val="39"/>
    <w:unhideWhenUsed/>
    <w:rsid w:val="006322D2"/>
    <w:pPr>
      <w:tabs>
        <w:tab w:val="left" w:pos="720"/>
        <w:tab w:val="right" w:leader="dot" w:pos="9350"/>
      </w:tabs>
      <w:spacing w:after="100" w:line="276" w:lineRule="auto"/>
    </w:pPr>
    <w:rPr>
      <w:rFonts w:eastAsiaTheme="minorHAnsi"/>
    </w:rPr>
  </w:style>
  <w:style w:type="paragraph" w:styleId="TOC2">
    <w:name w:val="toc 2"/>
    <w:basedOn w:val="Normal"/>
    <w:next w:val="Normal"/>
    <w:autoRedefine/>
    <w:uiPriority w:val="39"/>
    <w:unhideWhenUsed/>
    <w:rsid w:val="006322D2"/>
    <w:pPr>
      <w:tabs>
        <w:tab w:val="left" w:pos="1440"/>
        <w:tab w:val="right" w:leader="dot" w:pos="9350"/>
      </w:tabs>
      <w:spacing w:after="100" w:line="276" w:lineRule="auto"/>
      <w:ind w:left="720"/>
    </w:pPr>
    <w:rPr>
      <w:rFonts w:eastAsiaTheme="minorHAnsi"/>
    </w:rPr>
  </w:style>
  <w:style w:type="paragraph" w:styleId="TOC3">
    <w:name w:val="toc 3"/>
    <w:basedOn w:val="Normal"/>
    <w:next w:val="Normal"/>
    <w:autoRedefine/>
    <w:uiPriority w:val="39"/>
    <w:unhideWhenUsed/>
    <w:rsid w:val="006322D2"/>
    <w:pPr>
      <w:tabs>
        <w:tab w:val="left" w:pos="2160"/>
        <w:tab w:val="right" w:leader="dot" w:pos="9350"/>
      </w:tabs>
      <w:spacing w:after="100" w:line="276" w:lineRule="auto"/>
      <w:ind w:left="1440"/>
    </w:pPr>
    <w:rPr>
      <w:rFonts w:eastAsiaTheme="minorHAnsi"/>
    </w:rPr>
  </w:style>
  <w:style w:type="paragraph" w:styleId="TOC4">
    <w:name w:val="toc 4"/>
    <w:basedOn w:val="Normal"/>
    <w:next w:val="Normal"/>
    <w:autoRedefine/>
    <w:uiPriority w:val="39"/>
    <w:unhideWhenUsed/>
    <w:rsid w:val="006322D2"/>
    <w:pPr>
      <w:tabs>
        <w:tab w:val="left" w:pos="2880"/>
        <w:tab w:val="right" w:leader="dot" w:pos="9350"/>
      </w:tabs>
      <w:spacing w:after="100" w:line="276" w:lineRule="auto"/>
      <w:ind w:left="2160"/>
    </w:pPr>
    <w:rPr>
      <w:rFonts w:eastAsiaTheme="minorHAnsi"/>
    </w:rPr>
  </w:style>
  <w:style w:type="paragraph" w:styleId="ListParagraph">
    <w:name w:val="List Paragraph"/>
    <w:basedOn w:val="Normal"/>
    <w:uiPriority w:val="34"/>
    <w:qFormat/>
    <w:rsid w:val="006322D2"/>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5</cp:revision>
  <cp:lastPrinted>2015-02-03T14:22:00Z</cp:lastPrinted>
  <dcterms:created xsi:type="dcterms:W3CDTF">2015-11-02T14:48:00Z</dcterms:created>
  <dcterms:modified xsi:type="dcterms:W3CDTF">2015-11-02T15:44:00Z</dcterms:modified>
</cp:coreProperties>
</file>