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2CB" w:rsidRPr="00B62BE4" w:rsidRDefault="00EB22CB" w:rsidP="00EB22CB">
      <w:pPr>
        <w:tabs>
          <w:tab w:val="left" w:pos="0"/>
        </w:tabs>
        <w:spacing w:after="0" w:line="240" w:lineRule="auto"/>
        <w:jc w:val="center"/>
        <w:rPr>
          <w:b/>
        </w:rPr>
      </w:pPr>
      <w:r w:rsidRPr="00B62BE4">
        <w:rPr>
          <w:b/>
        </w:rPr>
        <w:t>BEFORE THE</w:t>
      </w:r>
    </w:p>
    <w:p w:rsidR="00EB22CB" w:rsidRPr="00B62BE4" w:rsidRDefault="00EB22CB" w:rsidP="00EB22CB">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EB22CB" w:rsidRPr="00B62BE4" w:rsidRDefault="00EB22CB" w:rsidP="00EB22CB">
      <w:pPr>
        <w:tabs>
          <w:tab w:val="left" w:pos="0"/>
        </w:tabs>
        <w:spacing w:after="0" w:line="240" w:lineRule="auto"/>
        <w:jc w:val="both"/>
        <w:rPr>
          <w:b/>
        </w:rPr>
      </w:pPr>
    </w:p>
    <w:p w:rsidR="00EB22CB" w:rsidRPr="00B62BE4" w:rsidRDefault="00EB22CB" w:rsidP="00EB22CB">
      <w:pPr>
        <w:tabs>
          <w:tab w:val="left" w:pos="0"/>
        </w:tabs>
        <w:spacing w:after="0" w:line="240" w:lineRule="auto"/>
        <w:jc w:val="both"/>
        <w:rPr>
          <w:b/>
        </w:rPr>
      </w:pPr>
    </w:p>
    <w:p w:rsidR="00EB22CB" w:rsidRPr="00B62BE4" w:rsidRDefault="00EB22CB" w:rsidP="00EB22CB">
      <w:pPr>
        <w:tabs>
          <w:tab w:val="left" w:pos="0"/>
        </w:tabs>
        <w:spacing w:after="0" w:line="240" w:lineRule="auto"/>
        <w:jc w:val="both"/>
        <w:rPr>
          <w:b/>
        </w:rPr>
      </w:pPr>
    </w:p>
    <w:p w:rsidR="00EB22CB" w:rsidRPr="00B62BE4" w:rsidRDefault="00EB22CB" w:rsidP="00EB22CB">
      <w:pPr>
        <w:tabs>
          <w:tab w:val="left" w:pos="0"/>
        </w:tabs>
        <w:spacing w:after="0" w:line="240" w:lineRule="auto"/>
        <w:jc w:val="both"/>
      </w:pPr>
      <w:r>
        <w:t>Edward Davidson</w:t>
      </w:r>
      <w:r>
        <w:tab/>
      </w:r>
      <w:r>
        <w:tab/>
      </w:r>
      <w:r>
        <w:tab/>
      </w:r>
      <w:r>
        <w:tab/>
      </w:r>
      <w:r>
        <w:tab/>
        <w:t>:</w:t>
      </w:r>
    </w:p>
    <w:p w:rsidR="00EB22CB" w:rsidRPr="00B62BE4" w:rsidRDefault="00EB22CB" w:rsidP="00EB22CB">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EB22CB" w:rsidRPr="00B62BE4" w:rsidRDefault="00EB22CB" w:rsidP="00EB22CB">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2014-2460364</w:t>
      </w:r>
    </w:p>
    <w:p w:rsidR="00EB22CB" w:rsidRPr="00B62BE4" w:rsidRDefault="00EB22CB" w:rsidP="00EB22CB">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EB22CB" w:rsidRPr="00B62BE4" w:rsidRDefault="00EB22CB" w:rsidP="00EB22CB">
      <w:pPr>
        <w:tabs>
          <w:tab w:val="left" w:pos="0"/>
        </w:tabs>
        <w:spacing w:after="0" w:line="240" w:lineRule="auto"/>
        <w:jc w:val="both"/>
      </w:pPr>
      <w:r>
        <w:t>PECO Energy Company</w:t>
      </w:r>
      <w:r>
        <w:tab/>
      </w:r>
      <w:r w:rsidRPr="00B62BE4">
        <w:tab/>
      </w:r>
      <w:r w:rsidRPr="00B62BE4">
        <w:tab/>
      </w:r>
      <w:r w:rsidRPr="00B62BE4">
        <w:tab/>
        <w:t>:</w:t>
      </w:r>
    </w:p>
    <w:p w:rsidR="00EB22CB" w:rsidRPr="00B62BE4" w:rsidRDefault="00EB22CB" w:rsidP="00EB22CB">
      <w:pPr>
        <w:tabs>
          <w:tab w:val="left" w:pos="0"/>
        </w:tabs>
        <w:spacing w:after="0" w:line="240" w:lineRule="auto"/>
        <w:jc w:val="both"/>
      </w:pPr>
    </w:p>
    <w:p w:rsidR="00792796" w:rsidRDefault="00792796" w:rsidP="00EB22CB">
      <w:pPr>
        <w:spacing w:after="0" w:line="240" w:lineRule="auto"/>
      </w:pPr>
    </w:p>
    <w:p w:rsidR="00ED7F6F" w:rsidRDefault="00ED7F6F" w:rsidP="00EB22CB">
      <w:pPr>
        <w:spacing w:after="0" w:line="240" w:lineRule="auto"/>
      </w:pPr>
    </w:p>
    <w:p w:rsidR="006C27A8" w:rsidRDefault="006C27A8" w:rsidP="00DE0995">
      <w:pPr>
        <w:spacing w:after="0" w:line="240" w:lineRule="auto"/>
        <w:jc w:val="center"/>
      </w:pPr>
      <w:r>
        <w:rPr>
          <w:b/>
          <w:u w:val="single"/>
        </w:rPr>
        <w:t>INITIAL DECISION</w:t>
      </w:r>
    </w:p>
    <w:p w:rsidR="006C27A8" w:rsidRDefault="006C27A8" w:rsidP="00DE0995">
      <w:pPr>
        <w:spacing w:after="0" w:line="240" w:lineRule="auto"/>
        <w:jc w:val="center"/>
      </w:pPr>
    </w:p>
    <w:p w:rsidR="001B1EBA" w:rsidRDefault="001B1EBA" w:rsidP="00DE0995">
      <w:pPr>
        <w:spacing w:after="0" w:line="240" w:lineRule="auto"/>
        <w:jc w:val="center"/>
      </w:pPr>
    </w:p>
    <w:p w:rsidR="006C27A8" w:rsidRDefault="006C27A8" w:rsidP="00DE0995">
      <w:pPr>
        <w:spacing w:after="0" w:line="240" w:lineRule="auto"/>
        <w:jc w:val="center"/>
      </w:pPr>
      <w:r>
        <w:t>Before</w:t>
      </w:r>
    </w:p>
    <w:p w:rsidR="006C27A8" w:rsidRDefault="006C27A8" w:rsidP="00DE0995">
      <w:pPr>
        <w:spacing w:after="0" w:line="240" w:lineRule="auto"/>
        <w:jc w:val="center"/>
      </w:pPr>
      <w:r>
        <w:t>Mary D. Long</w:t>
      </w:r>
    </w:p>
    <w:p w:rsidR="006C27A8" w:rsidRDefault="006C27A8" w:rsidP="00DE0995">
      <w:pPr>
        <w:spacing w:after="0" w:line="240" w:lineRule="auto"/>
        <w:jc w:val="center"/>
      </w:pPr>
      <w:r>
        <w:t>Administrative Law Judge</w:t>
      </w:r>
    </w:p>
    <w:p w:rsidR="006C27A8" w:rsidRDefault="006C27A8" w:rsidP="00DE0995">
      <w:pPr>
        <w:spacing w:after="0" w:line="240" w:lineRule="auto"/>
        <w:jc w:val="center"/>
      </w:pPr>
    </w:p>
    <w:p w:rsidR="001B1EBA" w:rsidRDefault="001B1EBA" w:rsidP="00DE0995">
      <w:pPr>
        <w:spacing w:after="0" w:line="240" w:lineRule="auto"/>
        <w:jc w:val="center"/>
      </w:pPr>
    </w:p>
    <w:p w:rsidR="006C27A8" w:rsidRPr="00665061" w:rsidRDefault="006C27A8" w:rsidP="001B1EBA">
      <w:pPr>
        <w:spacing w:after="0" w:line="240" w:lineRule="auto"/>
        <w:jc w:val="center"/>
        <w:rPr>
          <w:u w:val="single"/>
        </w:rPr>
      </w:pPr>
      <w:r w:rsidRPr="00665061">
        <w:rPr>
          <w:u w:val="single"/>
        </w:rPr>
        <w:t>INTRODUCTION</w:t>
      </w:r>
    </w:p>
    <w:p w:rsidR="00665061" w:rsidRDefault="00665061" w:rsidP="001B1EBA">
      <w:pPr>
        <w:spacing w:after="0" w:line="240" w:lineRule="auto"/>
        <w:rPr>
          <w:szCs w:val="24"/>
        </w:rPr>
      </w:pPr>
    </w:p>
    <w:p w:rsidR="001B1EBA" w:rsidRDefault="001B1EBA" w:rsidP="001B1EBA">
      <w:pPr>
        <w:spacing w:after="0" w:line="240" w:lineRule="auto"/>
        <w:rPr>
          <w:szCs w:val="24"/>
        </w:rPr>
      </w:pPr>
    </w:p>
    <w:p w:rsidR="006C27A8" w:rsidRDefault="00692E05" w:rsidP="001B1EBA">
      <w:pPr>
        <w:spacing w:after="0"/>
      </w:pPr>
      <w:r>
        <w:rPr>
          <w:szCs w:val="24"/>
        </w:rPr>
        <w:tab/>
        <w:t>A formal complaint is dismissed because the complainant failed to prove that the construction of the communication tower on a utility’s property violated a Commission order, regulation or provision of the Public Utility Code.</w:t>
      </w:r>
    </w:p>
    <w:p w:rsidR="006C27A8" w:rsidRDefault="006C27A8" w:rsidP="001B1EBA">
      <w:pPr>
        <w:spacing w:after="0"/>
        <w:jc w:val="center"/>
      </w:pPr>
    </w:p>
    <w:p w:rsidR="00E80C8F" w:rsidRPr="006C27A8" w:rsidRDefault="006C27A8" w:rsidP="001B1EBA">
      <w:pPr>
        <w:spacing w:after="0"/>
        <w:jc w:val="center"/>
        <w:rPr>
          <w:u w:val="single"/>
        </w:rPr>
      </w:pPr>
      <w:r w:rsidRPr="006C27A8">
        <w:rPr>
          <w:u w:val="single"/>
        </w:rPr>
        <w:t>HISTORY OF THE PROCEEDING</w:t>
      </w:r>
    </w:p>
    <w:p w:rsidR="0095351F" w:rsidRDefault="0095351F" w:rsidP="001B1EBA">
      <w:pPr>
        <w:spacing w:after="0"/>
      </w:pPr>
    </w:p>
    <w:p w:rsidR="00CB6DBC" w:rsidRDefault="00CB6DBC" w:rsidP="001B1EBA">
      <w:pPr>
        <w:spacing w:after="0"/>
      </w:pPr>
      <w:r>
        <w:tab/>
      </w:r>
      <w:r w:rsidR="006B75F8">
        <w:t>On December 17, 2014</w:t>
      </w:r>
      <w:r>
        <w:t xml:space="preserve">, Edward Davidson (Complainant) filed a formal complaint against PECO Energy Company (PECO), alleging that PECO had failed to conform to Commission approvals related to the construction of a substation in East Goshen Township, Chester County.  In lieu of an answer to the complaint, PECO filed preliminary objections based on the lack of sufficient specificity and legal insufficiency of the pleading.  The Complainant filed a response to PECO’s preliminary objections and included additional factual averments styled as a “new matter.”  </w:t>
      </w:r>
    </w:p>
    <w:p w:rsidR="00EB22CB" w:rsidRDefault="00EB22CB" w:rsidP="00EB22CB">
      <w:pPr>
        <w:spacing w:after="0"/>
      </w:pPr>
    </w:p>
    <w:p w:rsidR="00CB6DBC" w:rsidRDefault="00CB6DBC" w:rsidP="00EB22CB">
      <w:pPr>
        <w:spacing w:after="0"/>
      </w:pPr>
      <w:r>
        <w:lastRenderedPageBreak/>
        <w:tab/>
        <w:t>By notice dated February 11, 2015, this matter was assigned to me as a motion judge.</w:t>
      </w:r>
      <w:r w:rsidR="00E80C8F">
        <w:t xml:space="preserve"> </w:t>
      </w:r>
    </w:p>
    <w:p w:rsidR="00EB22CB" w:rsidRDefault="00EB22CB" w:rsidP="00EB22CB">
      <w:pPr>
        <w:spacing w:after="0"/>
      </w:pPr>
    </w:p>
    <w:p w:rsidR="00287CAB" w:rsidRDefault="00CB6DBC" w:rsidP="00EB22CB">
      <w:pPr>
        <w:spacing w:after="0"/>
      </w:pPr>
      <w:r>
        <w:tab/>
        <w:t>On February 18, 2015, PECO filed a motion to have Complainant’s reply designated as a first amended complaint in order to provide PECO with an opportunity to answer the new factual averments raised by the Complainant.</w:t>
      </w:r>
      <w:r w:rsidR="00BD1DD3">
        <w:t xml:space="preserve">  The mo</w:t>
      </w:r>
      <w:r w:rsidR="00184A33">
        <w:t>tion included a notice to plead</w:t>
      </w:r>
      <w:r w:rsidR="00BD1DD3">
        <w:t xml:space="preserve"> providing the Complainant with 20 days in which to file a response.  No response was filed by the Complainant.</w:t>
      </w:r>
      <w:r w:rsidR="00043032">
        <w:t xml:space="preserve"> </w:t>
      </w:r>
      <w:r w:rsidR="00E80C8F">
        <w:t xml:space="preserve"> </w:t>
      </w:r>
      <w:r w:rsidR="00043032">
        <w:t xml:space="preserve">By order dated March 19, 2015, the preliminary objections by PECO were dismissed as moot, and PECO was directed to file an answer to the amended complaint. </w:t>
      </w:r>
    </w:p>
    <w:p w:rsidR="009D4F88" w:rsidRDefault="009D4F88" w:rsidP="00EB22CB">
      <w:pPr>
        <w:spacing w:after="0"/>
      </w:pPr>
    </w:p>
    <w:p w:rsidR="006C27A8" w:rsidRDefault="009D4F88" w:rsidP="006C27A8">
      <w:pPr>
        <w:spacing w:after="0"/>
      </w:pPr>
      <w:r>
        <w:tab/>
        <w:t xml:space="preserve">On April 8, 2015, PECO filed an answer and preliminary objections to the amended complaint.  </w:t>
      </w:r>
      <w:r w:rsidR="006C27A8">
        <w:t>By interim order dated May 4, 2015, the preliminary objections were dismissed, and I directed that the complaint be scheduled for hearing.</w:t>
      </w:r>
    </w:p>
    <w:p w:rsidR="006C27A8" w:rsidRDefault="006C27A8" w:rsidP="006C27A8">
      <w:pPr>
        <w:spacing w:after="0"/>
      </w:pPr>
    </w:p>
    <w:p w:rsidR="00172DE6" w:rsidRDefault="006C27A8" w:rsidP="006C27A8">
      <w:pPr>
        <w:spacing w:after="0"/>
      </w:pPr>
      <w:r>
        <w:tab/>
        <w:t>By hearing notice dated May 12, 2015, the complaint was scheduled for a telephonic hearing on Thursday, July 23, 2015.  The hearing convened as scheduled.  The Complainant appeared and testified on his own behalf.  He offered four exhibits which were admitted into the record.  PECO also appeared and was represented by Attorney Ward L. Smith.  PECO offered the testimony of two witnesses, Barney Jones and Gregory M. Cary.  PECO also offered nine exhibits which were admitted into the record.  The hearing resulted in a transcript of 62 pages.  No briefs were filed and following the receipt of the transcript, the record closed by order dated August 21, 2015.</w:t>
      </w:r>
    </w:p>
    <w:p w:rsidR="00172DE6" w:rsidRDefault="00172DE6" w:rsidP="006C27A8">
      <w:pPr>
        <w:spacing w:after="0"/>
      </w:pPr>
    </w:p>
    <w:p w:rsidR="00172DE6" w:rsidRDefault="00172DE6" w:rsidP="00AF5234">
      <w:pPr>
        <w:spacing w:after="0"/>
        <w:jc w:val="center"/>
        <w:rPr>
          <w:u w:val="single"/>
        </w:rPr>
      </w:pPr>
      <w:r w:rsidRPr="00931ED3">
        <w:rPr>
          <w:u w:val="single"/>
        </w:rPr>
        <w:t>FINDINGS OF FACT</w:t>
      </w:r>
    </w:p>
    <w:p w:rsidR="00AF5234" w:rsidRPr="00931ED3" w:rsidRDefault="00AF5234" w:rsidP="00AF5234">
      <w:pPr>
        <w:spacing w:after="0"/>
        <w:jc w:val="center"/>
        <w:rPr>
          <w:u w:val="single"/>
        </w:rPr>
      </w:pPr>
    </w:p>
    <w:p w:rsidR="00827CEC" w:rsidRDefault="00C54F2F" w:rsidP="00AF5234">
      <w:pPr>
        <w:pStyle w:val="ListParagraph"/>
        <w:spacing w:before="0" w:after="0"/>
      </w:pPr>
      <w:r>
        <w:t>The Complainant is Edward Davidson.  He owns property at 1604 East Strasburg Road, West Chester, Pennsylvania</w:t>
      </w:r>
      <w:r w:rsidR="00184A33">
        <w:t>, which</w:t>
      </w:r>
      <w:r>
        <w:t xml:space="preserve"> is </w:t>
      </w:r>
      <w:r w:rsidR="00184A33">
        <w:t>located</w:t>
      </w:r>
      <w:r>
        <w:t xml:space="preserve"> across from PECO’s Goshen substation.  (N.T. 7-8; Complainant Ex. C)</w:t>
      </w:r>
    </w:p>
    <w:p w:rsidR="00AF5234" w:rsidRDefault="00AF5234" w:rsidP="00AF5234">
      <w:pPr>
        <w:pStyle w:val="ListParagraph"/>
        <w:numPr>
          <w:ilvl w:val="0"/>
          <w:numId w:val="0"/>
        </w:numPr>
        <w:spacing w:before="0" w:after="0"/>
        <w:ind w:left="1440"/>
      </w:pPr>
    </w:p>
    <w:p w:rsidR="00C54F2F" w:rsidRDefault="00C54F2F" w:rsidP="00AF5234">
      <w:pPr>
        <w:pStyle w:val="ListParagraph"/>
        <w:spacing w:before="0" w:after="0"/>
      </w:pPr>
      <w:r>
        <w:t>PECO is a jurisdictional public utility.</w:t>
      </w:r>
    </w:p>
    <w:p w:rsidR="00DB350B" w:rsidRDefault="00DB350B" w:rsidP="00DB350B">
      <w:pPr>
        <w:pStyle w:val="ListParagraph"/>
        <w:numPr>
          <w:ilvl w:val="0"/>
          <w:numId w:val="0"/>
        </w:numPr>
        <w:spacing w:before="0" w:after="0"/>
        <w:ind w:left="1440"/>
      </w:pPr>
    </w:p>
    <w:p w:rsidR="00C54F2F" w:rsidRDefault="00D42B48" w:rsidP="00AF5234">
      <w:pPr>
        <w:pStyle w:val="ListParagraph"/>
        <w:spacing w:before="0" w:after="0"/>
      </w:pPr>
      <w:r>
        <w:lastRenderedPageBreak/>
        <w:t>The Complainant’s property includes an older home that has been converted to two apartments.  (N.T. 8)</w:t>
      </w:r>
    </w:p>
    <w:p w:rsidR="00AF5234" w:rsidRDefault="00AF5234" w:rsidP="00AF5234">
      <w:pPr>
        <w:pStyle w:val="ListParagraph"/>
        <w:numPr>
          <w:ilvl w:val="0"/>
          <w:numId w:val="0"/>
        </w:numPr>
        <w:spacing w:before="0" w:after="0"/>
        <w:ind w:left="1440"/>
      </w:pPr>
    </w:p>
    <w:p w:rsidR="00931ED3" w:rsidRDefault="00931ED3" w:rsidP="00AF5234">
      <w:pPr>
        <w:pStyle w:val="ListParagraph"/>
        <w:spacing w:before="0" w:after="0"/>
      </w:pPr>
      <w:r>
        <w:t xml:space="preserve">In 1989, the Commission approved PECO’s request to construct a substation on the site in East Goshen Township, in the southeast corner of Strasburg Road and Chester Road. </w:t>
      </w:r>
      <w:r w:rsidR="00DF26D7">
        <w:t xml:space="preserve"> </w:t>
      </w:r>
      <w:r w:rsidR="004E14C2">
        <w:t>(</w:t>
      </w:r>
      <w:r>
        <w:rPr>
          <w:i/>
        </w:rPr>
        <w:t>Application of Philadelphia Electric Company</w:t>
      </w:r>
      <w:r>
        <w:t>, Docket No. A-110550F022 (Opinion and Order entered August 31, 1989)</w:t>
      </w:r>
      <w:r>
        <w:rPr>
          <w:rStyle w:val="FootnoteReference"/>
        </w:rPr>
        <w:footnoteReference w:id="1"/>
      </w:r>
      <w:r>
        <w:t>; Complainant</w:t>
      </w:r>
      <w:r w:rsidR="00FD078D">
        <w:t xml:space="preserve">’s </w:t>
      </w:r>
      <w:r>
        <w:t>Ex. D</w:t>
      </w:r>
      <w:r w:rsidR="004E14C2">
        <w:t>)</w:t>
      </w:r>
    </w:p>
    <w:p w:rsidR="00AF5234" w:rsidRDefault="00AF5234" w:rsidP="00AF5234">
      <w:pPr>
        <w:pStyle w:val="ListParagraph"/>
        <w:numPr>
          <w:ilvl w:val="0"/>
          <w:numId w:val="0"/>
        </w:numPr>
        <w:spacing w:before="0" w:after="0"/>
        <w:ind w:left="1440"/>
      </w:pPr>
    </w:p>
    <w:p w:rsidR="00931ED3" w:rsidRDefault="00931ED3" w:rsidP="00AF5234">
      <w:pPr>
        <w:pStyle w:val="ListParagraph"/>
        <w:spacing w:before="0" w:after="0"/>
      </w:pPr>
      <w:r>
        <w:t xml:space="preserve">As a condition of the approval, PECO was required to “landscape the site in accordance with the landscape plans submitted by the Township of East Goshen.” </w:t>
      </w:r>
      <w:r w:rsidR="00036850">
        <w:t xml:space="preserve"> </w:t>
      </w:r>
      <w:r w:rsidR="009F7CCB">
        <w:t>(</w:t>
      </w:r>
      <w:r>
        <w:rPr>
          <w:i/>
        </w:rPr>
        <w:t>Id.</w:t>
      </w:r>
      <w:r>
        <w:t xml:space="preserve">; </w:t>
      </w:r>
      <w:r>
        <w:rPr>
          <w:i/>
        </w:rPr>
        <w:t xml:space="preserve"> See</w:t>
      </w:r>
      <w:r w:rsidR="009F7CCB">
        <w:rPr>
          <w:i/>
        </w:rPr>
        <w:t xml:space="preserve"> </w:t>
      </w:r>
      <w:r w:rsidR="009F7CCB">
        <w:t>Complainant’s Ex. C; N.T. 31)</w:t>
      </w:r>
    </w:p>
    <w:p w:rsidR="00AF5234" w:rsidRDefault="00AF5234" w:rsidP="00AF5234">
      <w:pPr>
        <w:pStyle w:val="ListParagraph"/>
        <w:numPr>
          <w:ilvl w:val="0"/>
          <w:numId w:val="0"/>
        </w:numPr>
        <w:spacing w:before="0" w:after="0"/>
        <w:ind w:left="1440"/>
      </w:pPr>
    </w:p>
    <w:p w:rsidR="00931ED3" w:rsidRDefault="00931ED3" w:rsidP="00AF5234">
      <w:pPr>
        <w:pStyle w:val="ListParagraph"/>
        <w:spacing w:before="0" w:after="0"/>
      </w:pPr>
      <w:r>
        <w:t>Barney Jones is a senior project manager for vegetation management employed by PECO.  His job responsibilities include</w:t>
      </w:r>
      <w:r w:rsidR="009A3194">
        <w:t xml:space="preserve"> the oversight of PECO’s ground</w:t>
      </w:r>
      <w:r>
        <w:t xml:space="preserve"> maintenance contracts for all PECO facilities and properties.  (N.T. 31)</w:t>
      </w:r>
    </w:p>
    <w:p w:rsidR="00AF5234" w:rsidRDefault="00AF5234" w:rsidP="00AF5234">
      <w:pPr>
        <w:pStyle w:val="ListParagraph"/>
        <w:numPr>
          <w:ilvl w:val="0"/>
          <w:numId w:val="0"/>
        </w:numPr>
        <w:spacing w:before="0" w:after="0"/>
        <w:ind w:left="1440"/>
      </w:pPr>
    </w:p>
    <w:p w:rsidR="00931ED3" w:rsidRDefault="009F7CCB" w:rsidP="00AF5234">
      <w:pPr>
        <w:pStyle w:val="ListParagraph"/>
        <w:spacing w:before="0" w:after="0"/>
      </w:pPr>
      <w:r>
        <w:t>PECO installed berms, shrubs and trees in accordance with the agreement with East Goshen Township as required by the Commission’s approval.  (N.T. 31)</w:t>
      </w:r>
    </w:p>
    <w:p w:rsidR="00AF5234" w:rsidRDefault="00AF5234" w:rsidP="00AF5234">
      <w:pPr>
        <w:pStyle w:val="ListParagraph"/>
        <w:numPr>
          <w:ilvl w:val="0"/>
          <w:numId w:val="0"/>
        </w:numPr>
        <w:spacing w:before="0" w:after="0"/>
        <w:ind w:left="1440"/>
      </w:pPr>
    </w:p>
    <w:p w:rsidR="009F7CCB" w:rsidRDefault="009F7CCB" w:rsidP="00AF5234">
      <w:pPr>
        <w:pStyle w:val="ListParagraph"/>
        <w:spacing w:before="0" w:after="0"/>
      </w:pPr>
      <w:r>
        <w:t>Over the years PECO maintained the vegetation</w:t>
      </w:r>
      <w:r w:rsidR="007B5B56">
        <w:t>, including the removal of some of the overgrown vegetation</w:t>
      </w:r>
      <w:r>
        <w:t xml:space="preserve">. </w:t>
      </w:r>
      <w:r w:rsidR="00036850">
        <w:t xml:space="preserve"> </w:t>
      </w:r>
      <w:r>
        <w:t>(N.T. 31-32</w:t>
      </w:r>
      <w:r w:rsidR="007B5B56">
        <w:t>; 44</w:t>
      </w:r>
      <w:r>
        <w:t>)</w:t>
      </w:r>
    </w:p>
    <w:p w:rsidR="00AF5234" w:rsidRDefault="00AF5234" w:rsidP="00AF5234">
      <w:pPr>
        <w:pStyle w:val="ListParagraph"/>
        <w:numPr>
          <w:ilvl w:val="0"/>
          <w:numId w:val="0"/>
        </w:numPr>
        <w:spacing w:before="0" w:after="0"/>
        <w:ind w:left="1440"/>
      </w:pPr>
    </w:p>
    <w:p w:rsidR="009F7CCB" w:rsidRDefault="009F7CCB" w:rsidP="00AF5234">
      <w:pPr>
        <w:pStyle w:val="ListParagraph"/>
        <w:spacing w:before="0" w:after="0"/>
      </w:pPr>
      <w:r>
        <w:t xml:space="preserve">In </w:t>
      </w:r>
      <w:r w:rsidR="007B5B56">
        <w:t>October</w:t>
      </w:r>
      <w:r>
        <w:t xml:space="preserve"> of 2014, Mr. Jones</w:t>
      </w:r>
      <w:r w:rsidR="007B5B56">
        <w:t xml:space="preserve"> and Mr. Gregory Cary, PECO’s regional external affairs manager,</w:t>
      </w:r>
      <w:r>
        <w:t xml:space="preserve"> met with township officials and the Complainant regarding the vegetation at the site.  (N.T. 32</w:t>
      </w:r>
      <w:r w:rsidR="007B5B56">
        <w:t>; 40</w:t>
      </w:r>
      <w:r w:rsidR="005F54AD">
        <w:t>, 48-49</w:t>
      </w:r>
      <w:r>
        <w:t>)</w:t>
      </w:r>
    </w:p>
    <w:p w:rsidR="00AF5234" w:rsidRDefault="00AF5234" w:rsidP="00AF5234">
      <w:pPr>
        <w:pStyle w:val="ListParagraph"/>
        <w:numPr>
          <w:ilvl w:val="0"/>
          <w:numId w:val="0"/>
        </w:numPr>
        <w:spacing w:before="0" w:after="0"/>
        <w:ind w:left="1440"/>
      </w:pPr>
    </w:p>
    <w:p w:rsidR="009F7CCB" w:rsidRDefault="009F7CCB" w:rsidP="00AF5234">
      <w:pPr>
        <w:pStyle w:val="ListParagraph"/>
        <w:spacing w:before="0" w:after="0"/>
      </w:pPr>
      <w:r>
        <w:t>As a result of that meeting, PECO agreed to replant shrubs to fill in any of the areas of the undergrowth of the large</w:t>
      </w:r>
      <w:r w:rsidR="007B5B56">
        <w:t xml:space="preserve"> white pine</w:t>
      </w:r>
      <w:r>
        <w:t xml:space="preserve"> trees along East Strasburg Road.  (N.T. 32</w:t>
      </w:r>
      <w:r w:rsidR="007B5B56">
        <w:t>, 36</w:t>
      </w:r>
      <w:r w:rsidR="005F54AD">
        <w:t>, 45-47, 49-50</w:t>
      </w:r>
      <w:r>
        <w:t>; PECO Ex. 1)</w:t>
      </w:r>
    </w:p>
    <w:p w:rsidR="009F7CCB" w:rsidRDefault="009F7CCB" w:rsidP="00AF5234">
      <w:pPr>
        <w:pStyle w:val="ListParagraph"/>
        <w:spacing w:before="0" w:after="0"/>
      </w:pPr>
      <w:r>
        <w:lastRenderedPageBreak/>
        <w:t>PECO replanted shrubs under the trees, inclu</w:t>
      </w:r>
      <w:r w:rsidR="00F93BE0">
        <w:t xml:space="preserve">ding cherry laurel and viburnum. </w:t>
      </w:r>
      <w:r w:rsidR="00DF26D7">
        <w:t xml:space="preserve"> </w:t>
      </w:r>
      <w:r>
        <w:t>(N.T. 35-36; PECO Exs. 3-7)</w:t>
      </w:r>
    </w:p>
    <w:p w:rsidR="00AF5234" w:rsidRDefault="00AF5234" w:rsidP="00AF5234">
      <w:pPr>
        <w:pStyle w:val="ListParagraph"/>
        <w:numPr>
          <w:ilvl w:val="0"/>
          <w:numId w:val="0"/>
        </w:numPr>
        <w:spacing w:before="0" w:after="0"/>
        <w:ind w:left="1440"/>
      </w:pPr>
    </w:p>
    <w:p w:rsidR="009F7CCB" w:rsidRDefault="009F7CCB" w:rsidP="00AF5234">
      <w:pPr>
        <w:pStyle w:val="ListParagraph"/>
        <w:spacing w:before="0" w:after="0"/>
      </w:pPr>
      <w:r>
        <w:t xml:space="preserve">At maturity, in six to </w:t>
      </w:r>
      <w:r w:rsidR="007B5B56">
        <w:t>ten</w:t>
      </w:r>
      <w:r>
        <w:t xml:space="preserve"> years, these shrubs will grow to approximately 12 feet tall and 12 feet wide.  (N.T. 35</w:t>
      </w:r>
      <w:r w:rsidR="007B5B56">
        <w:t>-36</w:t>
      </w:r>
      <w:r>
        <w:t>)</w:t>
      </w:r>
    </w:p>
    <w:p w:rsidR="00AF5234" w:rsidRDefault="00AF5234" w:rsidP="00AF5234">
      <w:pPr>
        <w:pStyle w:val="ListParagraph"/>
        <w:numPr>
          <w:ilvl w:val="0"/>
          <w:numId w:val="0"/>
        </w:numPr>
        <w:spacing w:before="0" w:after="0"/>
        <w:ind w:left="1440"/>
      </w:pPr>
    </w:p>
    <w:p w:rsidR="009F7CCB" w:rsidRDefault="009F7CCB" w:rsidP="00AF5234">
      <w:pPr>
        <w:pStyle w:val="ListParagraph"/>
        <w:spacing w:before="0" w:after="0"/>
      </w:pPr>
      <w:r>
        <w:t xml:space="preserve">Several of </w:t>
      </w:r>
      <w:r w:rsidR="00F93BE0">
        <w:t>the cherry laurel and viburnum shrubs</w:t>
      </w:r>
      <w:r>
        <w:t xml:space="preserve"> were planted on</w:t>
      </w:r>
      <w:r w:rsidR="00216F6B">
        <w:t xml:space="preserve"> the</w:t>
      </w:r>
      <w:r>
        <w:t xml:space="preserve"> berm of PECO’s property across from the Complainant’s property.  (N.T. 25; PECO Ex</w:t>
      </w:r>
      <w:r w:rsidR="007B5B56">
        <w:t>s</w:t>
      </w:r>
      <w:r>
        <w:t>. 4</w:t>
      </w:r>
      <w:r w:rsidR="007B5B56">
        <w:t>-5</w:t>
      </w:r>
      <w:r>
        <w:t>)</w:t>
      </w:r>
    </w:p>
    <w:p w:rsidR="00AF5234" w:rsidRDefault="00AF5234" w:rsidP="00AF5234">
      <w:pPr>
        <w:pStyle w:val="ListParagraph"/>
        <w:numPr>
          <w:ilvl w:val="0"/>
          <w:numId w:val="0"/>
        </w:numPr>
        <w:spacing w:before="0" w:after="0"/>
        <w:ind w:left="1440"/>
      </w:pPr>
    </w:p>
    <w:p w:rsidR="00931ED3" w:rsidRDefault="00931ED3" w:rsidP="00AF5234">
      <w:pPr>
        <w:pStyle w:val="ListParagraph"/>
        <w:spacing w:before="0" w:after="0"/>
      </w:pPr>
      <w:r>
        <w:t xml:space="preserve">In 2012 there was a </w:t>
      </w:r>
      <w:r w:rsidR="007B5B56">
        <w:t xml:space="preserve">95-foot </w:t>
      </w:r>
      <w:r>
        <w:t>wood pole with an antenna in the corner of PECO’s property</w:t>
      </w:r>
      <w:r w:rsidR="005F54AD">
        <w:t xml:space="preserve"> which was a communications pole for PECO’s metering system</w:t>
      </w:r>
      <w:r>
        <w:t>.  (N.T. 26</w:t>
      </w:r>
      <w:r w:rsidR="005F54AD">
        <w:t xml:space="preserve">, </w:t>
      </w:r>
      <w:r w:rsidR="007B5B56">
        <w:t xml:space="preserve">39; </w:t>
      </w:r>
      <w:r w:rsidR="005F54AD">
        <w:t xml:space="preserve">47, 51; </w:t>
      </w:r>
      <w:r w:rsidR="007B5B56">
        <w:t>PECO Ex. 8</w:t>
      </w:r>
      <w:r>
        <w:t>)</w:t>
      </w:r>
    </w:p>
    <w:p w:rsidR="00AF5234" w:rsidRDefault="00AF5234" w:rsidP="00AF5234">
      <w:pPr>
        <w:pStyle w:val="ListParagraph"/>
        <w:numPr>
          <w:ilvl w:val="0"/>
          <w:numId w:val="0"/>
        </w:numPr>
        <w:spacing w:before="0" w:after="0"/>
        <w:ind w:left="1440"/>
      </w:pPr>
    </w:p>
    <w:p w:rsidR="00D42B48" w:rsidRDefault="005F54AD" w:rsidP="00AF5234">
      <w:pPr>
        <w:pStyle w:val="ListParagraph"/>
        <w:spacing w:before="0" w:after="0"/>
      </w:pPr>
      <w:r>
        <w:t xml:space="preserve">In 2014 </w:t>
      </w:r>
      <w:r w:rsidR="00D42B48">
        <w:t xml:space="preserve">PECO </w:t>
      </w:r>
      <w:r>
        <w:t>replaced the wooden pole with a 104-foot tower</w:t>
      </w:r>
      <w:r w:rsidR="00D42B48">
        <w:t xml:space="preserve"> in the corner of the substation property</w:t>
      </w:r>
      <w:r w:rsidR="004A533F">
        <w:t>.</w:t>
      </w:r>
      <w:r>
        <w:t xml:space="preserve"> </w:t>
      </w:r>
      <w:r w:rsidR="00036850">
        <w:t xml:space="preserve"> </w:t>
      </w:r>
      <w:r>
        <w:t>(N.T. 53)</w:t>
      </w:r>
    </w:p>
    <w:p w:rsidR="00AF5234" w:rsidRDefault="00AF5234" w:rsidP="00AF5234">
      <w:pPr>
        <w:pStyle w:val="ListParagraph"/>
        <w:numPr>
          <w:ilvl w:val="0"/>
          <w:numId w:val="0"/>
        </w:numPr>
        <w:spacing w:before="0" w:after="0"/>
        <w:ind w:left="1440"/>
      </w:pPr>
    </w:p>
    <w:p w:rsidR="004A533F" w:rsidRDefault="004A533F" w:rsidP="00AF5234">
      <w:pPr>
        <w:pStyle w:val="ListParagraph"/>
        <w:spacing w:before="0" w:after="0"/>
      </w:pPr>
      <w:r>
        <w:t xml:space="preserve">The </w:t>
      </w:r>
      <w:r w:rsidR="000E7D3F">
        <w:t>pole</w:t>
      </w:r>
      <w:r>
        <w:t xml:space="preserve"> is approximately 140 feet from the Complainant’s property.  (N.T. 14-15)</w:t>
      </w:r>
    </w:p>
    <w:p w:rsidR="00AF5234" w:rsidRDefault="00AF5234" w:rsidP="00AF5234">
      <w:pPr>
        <w:pStyle w:val="ListParagraph"/>
        <w:numPr>
          <w:ilvl w:val="0"/>
          <w:numId w:val="0"/>
        </w:numPr>
        <w:spacing w:before="0" w:after="0"/>
        <w:ind w:left="1440"/>
      </w:pPr>
    </w:p>
    <w:p w:rsidR="00E05CBA" w:rsidRDefault="00E05CBA" w:rsidP="00AF5234">
      <w:pPr>
        <w:spacing w:after="0"/>
        <w:jc w:val="center"/>
        <w:rPr>
          <w:u w:val="single"/>
        </w:rPr>
      </w:pPr>
      <w:r w:rsidRPr="00BC7729">
        <w:rPr>
          <w:u w:val="single"/>
        </w:rPr>
        <w:t>DISCUSSION</w:t>
      </w:r>
    </w:p>
    <w:p w:rsidR="00AF5234" w:rsidRPr="00BC7729" w:rsidRDefault="00AF5234" w:rsidP="00AF5234">
      <w:pPr>
        <w:spacing w:after="0"/>
        <w:jc w:val="center"/>
        <w:rPr>
          <w:u w:val="single"/>
        </w:rPr>
      </w:pPr>
    </w:p>
    <w:p w:rsidR="00E3275D" w:rsidRDefault="00E3275D" w:rsidP="00AF5234">
      <w:pPr>
        <w:spacing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2"/>
      </w:r>
      <w:r w:rsidRPr="00035CC2">
        <w:rPr>
          <w:szCs w:val="24"/>
        </w:rPr>
        <w:t xml:space="preserve">  A person seeking affirmative relief from the Commission has the burden of proof.</w:t>
      </w:r>
      <w:r w:rsidRPr="00035CC2">
        <w:rPr>
          <w:rStyle w:val="FootnoteReference"/>
          <w:szCs w:val="24"/>
        </w:rPr>
        <w:footnoteReference w:id="3"/>
      </w:r>
    </w:p>
    <w:p w:rsidR="00E3275D" w:rsidRPr="00035CC2" w:rsidRDefault="00E3275D" w:rsidP="00AF5234">
      <w:pPr>
        <w:spacing w:after="0"/>
        <w:ind w:firstLine="1440"/>
        <w:rPr>
          <w:szCs w:val="24"/>
        </w:rPr>
      </w:pPr>
    </w:p>
    <w:p w:rsidR="00E3275D" w:rsidRDefault="00E3275D" w:rsidP="00AF5234">
      <w:pPr>
        <w:spacing w:after="0"/>
        <w:ind w:firstLine="1440"/>
        <w:rPr>
          <w:szCs w:val="24"/>
        </w:rPr>
      </w:pPr>
      <w:r w:rsidRPr="00035CC2">
        <w:rPr>
          <w:szCs w:val="24"/>
        </w:rPr>
        <w:t xml:space="preserve">In this matter, the Complainant is the party seeking affirmative relief from the Commission; therefore, he has the burden of proof.  This means that he </w:t>
      </w:r>
      <w:r w:rsidR="000E7D3F">
        <w:rPr>
          <w:szCs w:val="24"/>
        </w:rPr>
        <w:t>must</w:t>
      </w:r>
      <w:r w:rsidRPr="00035CC2">
        <w:rPr>
          <w:szCs w:val="24"/>
        </w:rPr>
        <w:t xml:space="preserve"> establish </w:t>
      </w:r>
      <w:r w:rsidR="000E7D3F">
        <w:rPr>
          <w:szCs w:val="24"/>
        </w:rPr>
        <w:t xml:space="preserve">the </w:t>
      </w:r>
      <w:r w:rsidR="000E7D3F">
        <w:rPr>
          <w:szCs w:val="24"/>
        </w:rPr>
        <w:lastRenderedPageBreak/>
        <w:t>material facts in support of his claims</w:t>
      </w:r>
      <w:r w:rsidRPr="00035CC2">
        <w:rPr>
          <w:szCs w:val="24"/>
        </w:rPr>
        <w:t xml:space="preserve">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4"/>
      </w:r>
      <w:r w:rsidRPr="00035CC2">
        <w:rPr>
          <w:szCs w:val="24"/>
        </w:rPr>
        <w:t xml:space="preserve"> </w:t>
      </w:r>
    </w:p>
    <w:p w:rsidR="00BC7729" w:rsidRDefault="00BC7729" w:rsidP="00AF5234">
      <w:pPr>
        <w:spacing w:after="0"/>
        <w:ind w:firstLine="1440"/>
        <w:rPr>
          <w:szCs w:val="24"/>
        </w:rPr>
      </w:pPr>
    </w:p>
    <w:p w:rsidR="00E527B2" w:rsidRDefault="00AB6528" w:rsidP="00AF5234">
      <w:pPr>
        <w:spacing w:after="0"/>
        <w:ind w:firstLine="1440"/>
        <w:rPr>
          <w:szCs w:val="24"/>
        </w:rPr>
      </w:pPr>
      <w:r>
        <w:rPr>
          <w:szCs w:val="24"/>
        </w:rPr>
        <w:t>In his complaint filed in December 2014, the Complainant alleged that the constructi</w:t>
      </w:r>
      <w:r w:rsidR="000E7D3F">
        <w:rPr>
          <w:szCs w:val="24"/>
        </w:rPr>
        <w:t>on of PECO’s communication pole</w:t>
      </w:r>
      <w:r>
        <w:rPr>
          <w:szCs w:val="24"/>
        </w:rPr>
        <w:t xml:space="preserve"> violated the Commission’s 1989 approval for the substation.  In his amended complaint, h</w:t>
      </w:r>
      <w:r w:rsidR="000E7D3F">
        <w:rPr>
          <w:szCs w:val="24"/>
        </w:rPr>
        <w:t>e further alleged that the pole</w:t>
      </w:r>
      <w:r>
        <w:rPr>
          <w:szCs w:val="24"/>
        </w:rPr>
        <w:t xml:space="preserve"> violates the Commission’s landscape requirements which were imposed as a condition of the approval and that PECO should have either submitted an application to the Public Utility Commission, or sought approval </w:t>
      </w:r>
      <w:r w:rsidR="000E7D3F">
        <w:rPr>
          <w:szCs w:val="24"/>
        </w:rPr>
        <w:t xml:space="preserve">to construct the pole </w:t>
      </w:r>
      <w:r>
        <w:rPr>
          <w:szCs w:val="24"/>
        </w:rPr>
        <w:t>in accordance with the Municipalities Planning Code from East Goshen Township.</w:t>
      </w:r>
      <w:r w:rsidR="001043E6">
        <w:rPr>
          <w:szCs w:val="24"/>
        </w:rPr>
        <w:t xml:space="preserve">  As relief, the Complainant wants PECO to move the communications pole.</w:t>
      </w:r>
    </w:p>
    <w:p w:rsidR="00AB6528" w:rsidRDefault="00AB6528" w:rsidP="00AF5234">
      <w:pPr>
        <w:spacing w:after="0"/>
        <w:ind w:firstLine="1440"/>
        <w:rPr>
          <w:szCs w:val="24"/>
        </w:rPr>
      </w:pPr>
    </w:p>
    <w:p w:rsidR="00AB6528" w:rsidRDefault="00AB6528" w:rsidP="00AF5234">
      <w:pPr>
        <w:spacing w:after="0"/>
        <w:ind w:firstLine="1440"/>
        <w:rPr>
          <w:szCs w:val="24"/>
        </w:rPr>
      </w:pPr>
      <w:r>
        <w:rPr>
          <w:szCs w:val="24"/>
        </w:rPr>
        <w:t xml:space="preserve">PECO counters that it is not required to seek approval to construct the communications </w:t>
      </w:r>
      <w:r w:rsidR="000E7D3F">
        <w:rPr>
          <w:szCs w:val="24"/>
        </w:rPr>
        <w:t>pole</w:t>
      </w:r>
      <w:r>
        <w:rPr>
          <w:szCs w:val="24"/>
        </w:rPr>
        <w:t xml:space="preserve"> on its property from either the Commission or East Goshen Township.  PECO further contends that it has complied with the Commission’s direction to comply with the Township’s landscaping requirements.</w:t>
      </w:r>
    </w:p>
    <w:p w:rsidR="008C70E1" w:rsidRDefault="008C70E1" w:rsidP="00AF5234">
      <w:pPr>
        <w:spacing w:after="0"/>
        <w:ind w:firstLine="1440"/>
        <w:rPr>
          <w:szCs w:val="24"/>
        </w:rPr>
      </w:pPr>
    </w:p>
    <w:p w:rsidR="008C70E1" w:rsidRDefault="00D94581" w:rsidP="00AF5234">
      <w:pPr>
        <w:spacing w:after="0"/>
        <w:ind w:firstLine="1440"/>
        <w:rPr>
          <w:szCs w:val="24"/>
        </w:rPr>
      </w:pPr>
      <w:r>
        <w:rPr>
          <w:szCs w:val="24"/>
        </w:rPr>
        <w:t xml:space="preserve">The facts are not </w:t>
      </w:r>
      <w:r w:rsidR="000E7D3F">
        <w:rPr>
          <w:szCs w:val="24"/>
        </w:rPr>
        <w:t>significantly in</w:t>
      </w:r>
      <w:r>
        <w:rPr>
          <w:szCs w:val="24"/>
        </w:rPr>
        <w:t xml:space="preserve"> dispute.  In 2003 PECO erected a 95-foot communications pole on its property which include</w:t>
      </w:r>
      <w:r w:rsidR="00020963">
        <w:rPr>
          <w:szCs w:val="24"/>
        </w:rPr>
        <w:t>d</w:t>
      </w:r>
      <w:bookmarkStart w:id="0" w:name="_GoBack"/>
      <w:bookmarkEnd w:id="0"/>
      <w:r>
        <w:rPr>
          <w:szCs w:val="24"/>
        </w:rPr>
        <w:t xml:space="preserve"> a substation and transmission facilities.  In 2014, the wooden </w:t>
      </w:r>
      <w:r w:rsidR="000E7D3F">
        <w:rPr>
          <w:szCs w:val="24"/>
        </w:rPr>
        <w:t>pole</w:t>
      </w:r>
      <w:r>
        <w:rPr>
          <w:szCs w:val="24"/>
        </w:rPr>
        <w:t xml:space="preserve"> was replaced with a somewhat taller pole.  At about the same time, East Goshen Township contacted PECO regarding the vegetation at the site which screens the facilities on the property.  Following that meeting, PECO agreed to replace the aging vegetation with new shrubs which would grow to provide screening under the white pine trees which line the</w:t>
      </w:r>
      <w:r w:rsidR="00F92908">
        <w:rPr>
          <w:szCs w:val="24"/>
        </w:rPr>
        <w:t xml:space="preserve"> side of the</w:t>
      </w:r>
      <w:r>
        <w:rPr>
          <w:szCs w:val="24"/>
        </w:rPr>
        <w:t xml:space="preserve"> property that faces the Complainant’s property on East Strasburg Road.</w:t>
      </w:r>
      <w:r w:rsidR="009B3C38">
        <w:rPr>
          <w:szCs w:val="24"/>
        </w:rPr>
        <w:t xml:space="preserve">  PECO received notification from the Township that the Township was satisfied with the new plantings.</w:t>
      </w:r>
    </w:p>
    <w:p w:rsidR="009B3C38" w:rsidRDefault="009B3C38" w:rsidP="00AF5234">
      <w:pPr>
        <w:spacing w:after="0"/>
        <w:ind w:firstLine="1440"/>
        <w:rPr>
          <w:szCs w:val="24"/>
        </w:rPr>
      </w:pPr>
    </w:p>
    <w:p w:rsidR="009B3C38" w:rsidRDefault="009B3C38" w:rsidP="00AF5234">
      <w:pPr>
        <w:spacing w:after="0"/>
        <w:ind w:firstLine="1440"/>
        <w:rPr>
          <w:szCs w:val="24"/>
        </w:rPr>
      </w:pPr>
      <w:r>
        <w:rPr>
          <w:szCs w:val="24"/>
        </w:rPr>
        <w:t xml:space="preserve">The Commission’s requirement that PECO comply with the Township’s landscape plan was directed in response to concerns raised regarding the environmental incursion </w:t>
      </w:r>
      <w:r>
        <w:rPr>
          <w:szCs w:val="24"/>
        </w:rPr>
        <w:lastRenderedPageBreak/>
        <w:t xml:space="preserve">of the substation project.  </w:t>
      </w:r>
      <w:r w:rsidR="0057208D">
        <w:rPr>
          <w:szCs w:val="24"/>
        </w:rPr>
        <w:t>The Commission’s Order approving the construction of the substation</w:t>
      </w:r>
      <w:r w:rsidR="0057208D">
        <w:rPr>
          <w:rStyle w:val="FootnoteReference"/>
          <w:szCs w:val="24"/>
        </w:rPr>
        <w:footnoteReference w:id="5"/>
      </w:r>
      <w:r w:rsidR="0057208D">
        <w:rPr>
          <w:szCs w:val="24"/>
        </w:rPr>
        <w:t xml:space="preserve"> directed PECO to comply with the landscape plan that was submitted by the Township as part of the evidentiary record in the hearings before the presiding administrative law judge.</w:t>
      </w:r>
      <w:r w:rsidR="0057208D">
        <w:rPr>
          <w:rStyle w:val="FootnoteReference"/>
          <w:szCs w:val="24"/>
        </w:rPr>
        <w:footnoteReference w:id="6"/>
      </w:r>
      <w:r w:rsidR="0057208D">
        <w:rPr>
          <w:szCs w:val="24"/>
        </w:rPr>
        <w:t xml:space="preserve">  The Commission’s Order did not impose any future obligations on PECO to maintain the vegetation.   Yet, in 2014 when requested by the Township to replant the shrubs to replace the undergrowth camouflaging t</w:t>
      </w:r>
      <w:r w:rsidR="003F4B33">
        <w:rPr>
          <w:szCs w:val="24"/>
        </w:rPr>
        <w:t>he site, PECO agreed to do so.</w:t>
      </w:r>
    </w:p>
    <w:p w:rsidR="003F4B33" w:rsidRDefault="003F4B33" w:rsidP="00AF5234">
      <w:pPr>
        <w:spacing w:after="0"/>
        <w:ind w:firstLine="1440"/>
        <w:rPr>
          <w:szCs w:val="24"/>
        </w:rPr>
      </w:pPr>
    </w:p>
    <w:p w:rsidR="003F4B33" w:rsidRDefault="003F4B33" w:rsidP="00AF5234">
      <w:pPr>
        <w:spacing w:after="0"/>
        <w:ind w:firstLine="1440"/>
        <w:rPr>
          <w:szCs w:val="24"/>
        </w:rPr>
      </w:pPr>
      <w:r>
        <w:rPr>
          <w:szCs w:val="24"/>
        </w:rPr>
        <w:t xml:space="preserve">The communications pole in the corner of the substation property is not a part of the landscaping plan requirement imposed by the Commission’s 1989 approval.  Nor was PECO required to seek approval to construct the </w:t>
      </w:r>
      <w:r w:rsidR="00F92908">
        <w:rPr>
          <w:szCs w:val="24"/>
        </w:rPr>
        <w:t>pole</w:t>
      </w:r>
      <w:r>
        <w:rPr>
          <w:szCs w:val="24"/>
        </w:rPr>
        <w:t xml:space="preserve"> from either the Commission or East Goshen Township.</w:t>
      </w:r>
    </w:p>
    <w:p w:rsidR="003F4B33" w:rsidRDefault="003F4B33" w:rsidP="00AF5234">
      <w:pPr>
        <w:spacing w:after="0"/>
        <w:ind w:firstLine="1440"/>
        <w:rPr>
          <w:szCs w:val="24"/>
        </w:rPr>
      </w:pPr>
    </w:p>
    <w:p w:rsidR="00E712F5" w:rsidRDefault="00E712F5" w:rsidP="00AF5234">
      <w:pPr>
        <w:spacing w:after="0"/>
        <w:ind w:firstLine="1440"/>
        <w:rPr>
          <w:szCs w:val="24"/>
        </w:rPr>
      </w:pPr>
      <w:r>
        <w:rPr>
          <w:szCs w:val="24"/>
        </w:rPr>
        <w:t>PECO states that it was not required to seek approval of the Commission in order to construct the communication pole on the substation property.  PECO also states that it was not required to seek approval from East Goshen Township in order to construct the communication pole.</w:t>
      </w:r>
    </w:p>
    <w:p w:rsidR="000A24C8" w:rsidRDefault="000A24C8" w:rsidP="00AF5234">
      <w:pPr>
        <w:spacing w:after="0"/>
        <w:ind w:firstLine="1440"/>
        <w:rPr>
          <w:szCs w:val="24"/>
        </w:rPr>
      </w:pPr>
    </w:p>
    <w:p w:rsidR="00E712F5" w:rsidRDefault="00E712F5" w:rsidP="00E712F5">
      <w:pPr>
        <w:spacing w:after="0"/>
        <w:ind w:firstLine="1440"/>
        <w:rPr>
          <w:szCs w:val="24"/>
        </w:rPr>
      </w:pPr>
      <w:r>
        <w:rPr>
          <w:szCs w:val="24"/>
        </w:rPr>
        <w:t>Section 1501 of the Public Utility Code requires public utilities to construct and maintain facilities sufficient to provide reasonable service to customers:</w:t>
      </w:r>
    </w:p>
    <w:p w:rsidR="002651E4" w:rsidRDefault="002651E4" w:rsidP="002651E4">
      <w:pPr>
        <w:spacing w:after="0" w:line="240" w:lineRule="auto"/>
        <w:ind w:firstLine="1440"/>
        <w:rPr>
          <w:szCs w:val="24"/>
        </w:rPr>
      </w:pPr>
    </w:p>
    <w:p w:rsidR="00E712F5" w:rsidRPr="005C4301" w:rsidRDefault="00E712F5" w:rsidP="00E712F5">
      <w:pPr>
        <w:tabs>
          <w:tab w:val="clear" w:pos="1440"/>
        </w:tabs>
        <w:autoSpaceDE w:val="0"/>
        <w:autoSpaceDN w:val="0"/>
        <w:spacing w:after="0" w:line="240" w:lineRule="auto"/>
        <w:ind w:left="1440" w:right="1440"/>
        <w:rPr>
          <w:szCs w:val="26"/>
        </w:rPr>
      </w:pPr>
      <w:r w:rsidRPr="005C4301">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Pr>
          <w:rStyle w:val="FootnoteReference"/>
          <w:szCs w:val="26"/>
        </w:rPr>
        <w:footnoteReference w:id="7"/>
      </w:r>
    </w:p>
    <w:p w:rsidR="00E712F5" w:rsidRDefault="00E712F5" w:rsidP="00AF5234">
      <w:pPr>
        <w:spacing w:after="0"/>
        <w:rPr>
          <w:szCs w:val="24"/>
        </w:rPr>
      </w:pPr>
      <w:r>
        <w:rPr>
          <w:szCs w:val="24"/>
        </w:rPr>
        <w:lastRenderedPageBreak/>
        <w:t xml:space="preserve">Section 1501 does not mandate a utility to seek approval before it makes improvements to its facilities.  Nor does there appear to be a Commission regulation which would require PECO to secure approval </w:t>
      </w:r>
      <w:r w:rsidR="00BE2B2D">
        <w:rPr>
          <w:szCs w:val="24"/>
        </w:rPr>
        <w:t xml:space="preserve">from the Commission </w:t>
      </w:r>
      <w:r>
        <w:rPr>
          <w:szCs w:val="24"/>
        </w:rPr>
        <w:t>to construct a communication tower on its property.</w:t>
      </w:r>
    </w:p>
    <w:p w:rsidR="00E712F5" w:rsidRDefault="00E712F5" w:rsidP="00AF5234">
      <w:pPr>
        <w:spacing w:after="0"/>
        <w:rPr>
          <w:szCs w:val="24"/>
        </w:rPr>
      </w:pPr>
    </w:p>
    <w:p w:rsidR="00BE2B2D" w:rsidRDefault="00E712F5" w:rsidP="00AF5234">
      <w:pPr>
        <w:spacing w:after="0"/>
        <w:rPr>
          <w:szCs w:val="24"/>
        </w:rPr>
      </w:pPr>
      <w:r>
        <w:tab/>
      </w:r>
      <w:r w:rsidR="00F92908">
        <w:t>PECO is also not</w:t>
      </w:r>
      <w:r>
        <w:t xml:space="preserve"> required to secure the approval of East Goshen Township.  A long line of Commonwealth Court cases hold that public utilities are not generally subject to local land use requirements.</w:t>
      </w:r>
      <w:r>
        <w:rPr>
          <w:rStyle w:val="FootnoteReference"/>
          <w:szCs w:val="24"/>
        </w:rPr>
        <w:footnoteReference w:id="8"/>
      </w:r>
      <w:r w:rsidR="00BE2B2D">
        <w:t xml:space="preserve">  Although the Commission may consider local land use plans and ordinances in limited circumstances</w:t>
      </w:r>
      <w:bookmarkStart w:id="1" w:name="69.1101."/>
      <w:r w:rsidR="00BE2B2D">
        <w:t>,</w:t>
      </w:r>
      <w:r w:rsidR="00BE2B2D">
        <w:rPr>
          <w:rStyle w:val="FootnoteReference"/>
        </w:rPr>
        <w:footnoteReference w:id="9"/>
      </w:r>
      <w:bookmarkEnd w:id="1"/>
      <w:r w:rsidR="00BE2B2D">
        <w:rPr>
          <w:szCs w:val="24"/>
        </w:rPr>
        <w:t xml:space="preserve"> none of those circumstances are presented by the construction of the communication pole on PECO’s property.</w:t>
      </w:r>
    </w:p>
    <w:p w:rsidR="00AF5234" w:rsidRDefault="00AF5234" w:rsidP="00AF5234">
      <w:pPr>
        <w:spacing w:after="0"/>
        <w:rPr>
          <w:szCs w:val="24"/>
        </w:rPr>
      </w:pPr>
    </w:p>
    <w:p w:rsidR="00E36F39" w:rsidRDefault="00E36F39" w:rsidP="00023679">
      <w:pPr>
        <w:spacing w:after="0"/>
        <w:rPr>
          <w:szCs w:val="24"/>
        </w:rPr>
      </w:pPr>
      <w:r>
        <w:rPr>
          <w:szCs w:val="24"/>
        </w:rPr>
        <w:tab/>
        <w:t>In sum, the Complainant did not prove that PECO failed to comply with any requirements imposed on it by the Commission when it approved the location of the substation on the property in East Goshen Township.</w:t>
      </w:r>
      <w:r w:rsidR="0070044C">
        <w:rPr>
          <w:szCs w:val="24"/>
        </w:rPr>
        <w:t xml:space="preserve">  Instead, it appears that PECO has worked cooperatively with the municipality to ensure that its facilities are properly camouflaged by vegetation approved by the Commission.  The Complainant did not present evidence that the </w:t>
      </w:r>
      <w:r w:rsidR="0070044C">
        <w:rPr>
          <w:szCs w:val="24"/>
        </w:rPr>
        <w:lastRenderedPageBreak/>
        <w:t>construction of the communication tower contravenes any requirement of the vegetation plan.  Further, PECO was not required to secure approval from the Commission or from East Goshen Township before constructing the communication pole on its property.  Therefore, the Complainant failed to prove that PECO has violated any regulation, provision of the Public Utility Code or any order of the Commission and his complaint must be dismissed.</w:t>
      </w:r>
    </w:p>
    <w:p w:rsidR="00023679" w:rsidRDefault="00023679" w:rsidP="00023679">
      <w:pPr>
        <w:spacing w:after="0"/>
        <w:rPr>
          <w:szCs w:val="24"/>
        </w:rPr>
      </w:pPr>
    </w:p>
    <w:p w:rsidR="0070044C" w:rsidRDefault="0070044C" w:rsidP="00023679">
      <w:pPr>
        <w:spacing w:after="0"/>
        <w:jc w:val="center"/>
        <w:rPr>
          <w:szCs w:val="24"/>
          <w:u w:val="single"/>
        </w:rPr>
      </w:pPr>
      <w:r w:rsidRPr="0070044C">
        <w:rPr>
          <w:szCs w:val="24"/>
          <w:u w:val="single"/>
        </w:rPr>
        <w:t>CONCLUSIONS OF LAW</w:t>
      </w:r>
    </w:p>
    <w:p w:rsidR="00023679" w:rsidRDefault="00023679" w:rsidP="00023679">
      <w:pPr>
        <w:spacing w:after="0"/>
        <w:jc w:val="center"/>
        <w:rPr>
          <w:szCs w:val="24"/>
          <w:u w:val="single"/>
        </w:rPr>
      </w:pPr>
    </w:p>
    <w:p w:rsidR="0070044C" w:rsidRDefault="0070044C" w:rsidP="00023679">
      <w:pPr>
        <w:spacing w:after="0"/>
        <w:rPr>
          <w:szCs w:val="24"/>
        </w:rPr>
      </w:pPr>
      <w:r>
        <w:rPr>
          <w:szCs w:val="24"/>
        </w:rPr>
        <w:tab/>
        <w:t>1.</w:t>
      </w:r>
      <w:r>
        <w:rPr>
          <w:szCs w:val="24"/>
        </w:rPr>
        <w:tab/>
        <w:t>The Commission has jurisdiction over the parties and subject matter of this dispute.</w:t>
      </w:r>
      <w:r w:rsidR="007E498B">
        <w:rPr>
          <w:szCs w:val="24"/>
        </w:rPr>
        <w:t xml:space="preserve">  66 Pa.C.S. § 701.</w:t>
      </w:r>
    </w:p>
    <w:p w:rsidR="00023679" w:rsidRDefault="00023679" w:rsidP="00023679">
      <w:pPr>
        <w:spacing w:after="0"/>
        <w:rPr>
          <w:szCs w:val="24"/>
        </w:rPr>
      </w:pPr>
    </w:p>
    <w:p w:rsidR="0070044C" w:rsidRDefault="0070044C" w:rsidP="00023679">
      <w:pPr>
        <w:spacing w:after="0"/>
        <w:rPr>
          <w:szCs w:val="24"/>
        </w:rPr>
      </w:pPr>
      <w:r>
        <w:rPr>
          <w:szCs w:val="24"/>
        </w:rPr>
        <w:tab/>
        <w:t>2.</w:t>
      </w:r>
      <w:r>
        <w:rPr>
          <w:szCs w:val="24"/>
        </w:rPr>
        <w:tab/>
        <w:t>The Complainant bears the burden of proof.</w:t>
      </w:r>
      <w:r w:rsidR="007E498B">
        <w:rPr>
          <w:szCs w:val="24"/>
        </w:rPr>
        <w:t xml:space="preserve">  66 Pa.C.S. § 332.</w:t>
      </w:r>
    </w:p>
    <w:p w:rsidR="00023679" w:rsidRDefault="00023679" w:rsidP="00023679">
      <w:pPr>
        <w:spacing w:after="0"/>
        <w:rPr>
          <w:szCs w:val="24"/>
        </w:rPr>
      </w:pPr>
    </w:p>
    <w:p w:rsidR="008C4818" w:rsidRDefault="008C4818" w:rsidP="00023679">
      <w:pPr>
        <w:spacing w:after="0"/>
        <w:rPr>
          <w:szCs w:val="24"/>
        </w:rPr>
      </w:pPr>
      <w:r>
        <w:rPr>
          <w:szCs w:val="24"/>
        </w:rPr>
        <w:tab/>
        <w:t>3.</w:t>
      </w:r>
      <w:r>
        <w:rPr>
          <w:szCs w:val="24"/>
        </w:rPr>
        <w:tab/>
        <w:t>Section 1501 of the Public Utility Code does not mandate a utility to seek approval</w:t>
      </w:r>
      <w:r w:rsidR="00F92908">
        <w:rPr>
          <w:szCs w:val="24"/>
        </w:rPr>
        <w:t xml:space="preserve"> from the Commission</w:t>
      </w:r>
      <w:r>
        <w:rPr>
          <w:szCs w:val="24"/>
        </w:rPr>
        <w:t xml:space="preserve"> before it makes improvements to its facilities.  66 Pa.C.S. § 1501.</w:t>
      </w:r>
    </w:p>
    <w:p w:rsidR="00023679" w:rsidRDefault="00023679" w:rsidP="00023679">
      <w:pPr>
        <w:spacing w:after="0"/>
        <w:rPr>
          <w:szCs w:val="24"/>
        </w:rPr>
      </w:pPr>
    </w:p>
    <w:p w:rsidR="008C4818" w:rsidRDefault="008C4818" w:rsidP="00023679">
      <w:pPr>
        <w:spacing w:after="0"/>
      </w:pPr>
      <w:r>
        <w:rPr>
          <w:szCs w:val="24"/>
        </w:rPr>
        <w:tab/>
        <w:t>4.</w:t>
      </w:r>
      <w:r>
        <w:rPr>
          <w:szCs w:val="24"/>
        </w:rPr>
        <w:tab/>
      </w:r>
      <w:r>
        <w:t>Public utilities are not generally subject to local land use requirements when constructing facilities.</w:t>
      </w:r>
      <w:r w:rsidR="00A866BF">
        <w:t xml:space="preserve">  </w:t>
      </w:r>
      <w:r w:rsidR="00A866BF" w:rsidRPr="005C7CC8">
        <w:rPr>
          <w:i/>
          <w:iCs/>
          <w:w w:val="91"/>
        </w:rPr>
        <w:t xml:space="preserve">Duquesne Light </w:t>
      </w:r>
      <w:r w:rsidR="00A866BF">
        <w:rPr>
          <w:i/>
          <w:iCs/>
          <w:w w:val="91"/>
        </w:rPr>
        <w:t xml:space="preserve">Company </w:t>
      </w:r>
      <w:r w:rsidR="00A866BF" w:rsidRPr="008458F9">
        <w:rPr>
          <w:i/>
          <w:iCs/>
          <w:w w:val="91"/>
        </w:rPr>
        <w:t xml:space="preserve">v. </w:t>
      </w:r>
      <w:r w:rsidR="00A866BF">
        <w:rPr>
          <w:i/>
          <w:iCs/>
          <w:w w:val="91"/>
        </w:rPr>
        <w:t xml:space="preserve">Monroeville Borough, </w:t>
      </w:r>
      <w:r w:rsidR="00A866BF" w:rsidRPr="005C7CC8">
        <w:t>298 A.2d 2352 (</w:t>
      </w:r>
      <w:r w:rsidR="00A866BF">
        <w:t>Pa.</w:t>
      </w:r>
      <w:r w:rsidR="007B4CC1">
        <w:t> </w:t>
      </w:r>
      <w:r w:rsidR="00A866BF" w:rsidRPr="005C7CC8">
        <w:t>1972)</w:t>
      </w:r>
      <w:r w:rsidR="00A866BF">
        <w:t>.</w:t>
      </w:r>
    </w:p>
    <w:p w:rsidR="00023679" w:rsidRDefault="00023679" w:rsidP="00023679">
      <w:pPr>
        <w:spacing w:after="0"/>
        <w:rPr>
          <w:szCs w:val="24"/>
        </w:rPr>
      </w:pPr>
    </w:p>
    <w:p w:rsidR="0070044C" w:rsidRDefault="0070044C" w:rsidP="00023679">
      <w:pPr>
        <w:spacing w:after="0"/>
        <w:rPr>
          <w:szCs w:val="24"/>
        </w:rPr>
      </w:pPr>
      <w:r>
        <w:rPr>
          <w:szCs w:val="24"/>
        </w:rPr>
        <w:tab/>
        <w:t>3.</w:t>
      </w:r>
      <w:r>
        <w:rPr>
          <w:szCs w:val="24"/>
        </w:rPr>
        <w:tab/>
        <w:t>The Complainant failed to prove that the construction of the communication tower on PECO’s property violated a Commission order, regulation or provision of the Public Utility Code.</w:t>
      </w:r>
      <w:r w:rsidR="007E498B">
        <w:rPr>
          <w:szCs w:val="24"/>
        </w:rPr>
        <w:t xml:space="preserve">  66 Pa.C.S. § 701.</w:t>
      </w:r>
    </w:p>
    <w:p w:rsidR="00023679" w:rsidRDefault="00023679" w:rsidP="00E36F39">
      <w:pPr>
        <w:rPr>
          <w:szCs w:val="24"/>
        </w:rPr>
      </w:pPr>
    </w:p>
    <w:p w:rsidR="00023679" w:rsidRDefault="00023679" w:rsidP="00E36F39">
      <w:pPr>
        <w:rPr>
          <w:szCs w:val="24"/>
        </w:rPr>
      </w:pPr>
    </w:p>
    <w:p w:rsidR="00023679" w:rsidRDefault="00023679" w:rsidP="00E36F39">
      <w:pPr>
        <w:rPr>
          <w:szCs w:val="24"/>
        </w:rPr>
      </w:pPr>
    </w:p>
    <w:p w:rsidR="00023679" w:rsidRDefault="00023679" w:rsidP="00E36F39">
      <w:pPr>
        <w:rPr>
          <w:szCs w:val="24"/>
        </w:rPr>
      </w:pPr>
    </w:p>
    <w:p w:rsidR="00023679" w:rsidRDefault="00023679" w:rsidP="00E36F39">
      <w:pPr>
        <w:rPr>
          <w:szCs w:val="24"/>
        </w:rPr>
      </w:pPr>
    </w:p>
    <w:p w:rsidR="00023679" w:rsidRDefault="00023679" w:rsidP="00E36F39">
      <w:pPr>
        <w:rPr>
          <w:szCs w:val="24"/>
        </w:rPr>
      </w:pPr>
    </w:p>
    <w:p w:rsidR="00BC6239" w:rsidRDefault="00BC6239" w:rsidP="00023679">
      <w:pPr>
        <w:spacing w:after="0"/>
        <w:jc w:val="center"/>
        <w:rPr>
          <w:szCs w:val="24"/>
          <w:u w:val="single"/>
        </w:rPr>
      </w:pPr>
      <w:r w:rsidRPr="00BC6239">
        <w:rPr>
          <w:szCs w:val="24"/>
          <w:u w:val="single"/>
        </w:rPr>
        <w:lastRenderedPageBreak/>
        <w:t>ORDER</w:t>
      </w:r>
    </w:p>
    <w:p w:rsidR="00023679" w:rsidRDefault="00023679" w:rsidP="00023679">
      <w:pPr>
        <w:spacing w:after="0"/>
        <w:jc w:val="center"/>
        <w:rPr>
          <w:szCs w:val="24"/>
          <w:u w:val="single"/>
        </w:rPr>
      </w:pPr>
    </w:p>
    <w:p w:rsidR="00023679" w:rsidRPr="00BC6239" w:rsidRDefault="00023679" w:rsidP="00023679">
      <w:pPr>
        <w:spacing w:after="0"/>
        <w:jc w:val="center"/>
        <w:rPr>
          <w:szCs w:val="24"/>
          <w:u w:val="single"/>
        </w:rPr>
      </w:pPr>
    </w:p>
    <w:p w:rsidR="00BC6239" w:rsidRDefault="00BC6239" w:rsidP="00023679">
      <w:pPr>
        <w:spacing w:after="0"/>
      </w:pPr>
      <w:r>
        <w:t>THEREFORE,</w:t>
      </w:r>
    </w:p>
    <w:p w:rsidR="00023679" w:rsidRDefault="00023679" w:rsidP="00023679">
      <w:pPr>
        <w:spacing w:after="0"/>
      </w:pPr>
    </w:p>
    <w:p w:rsidR="00BC6239" w:rsidRDefault="00BC6239" w:rsidP="00023679">
      <w:pPr>
        <w:spacing w:after="0"/>
      </w:pPr>
      <w:r>
        <w:t>IT IS ORDERED:</w:t>
      </w:r>
    </w:p>
    <w:p w:rsidR="00023679" w:rsidRDefault="00023679" w:rsidP="00023679">
      <w:pPr>
        <w:spacing w:after="0"/>
      </w:pPr>
    </w:p>
    <w:p w:rsidR="00BC6239" w:rsidRDefault="00BC6239" w:rsidP="00023679">
      <w:pPr>
        <w:spacing w:after="0"/>
        <w:rPr>
          <w:szCs w:val="24"/>
        </w:rPr>
      </w:pPr>
      <w:r>
        <w:rPr>
          <w:szCs w:val="24"/>
        </w:rPr>
        <w:tab/>
        <w:t>1.</w:t>
      </w:r>
      <w:r>
        <w:rPr>
          <w:szCs w:val="24"/>
        </w:rPr>
        <w:tab/>
        <w:t>That the formal complaint of Edward Davidson at Docket No. C-2014-2460364 is dismissed.</w:t>
      </w:r>
    </w:p>
    <w:p w:rsidR="00023679" w:rsidRDefault="00023679" w:rsidP="00023679">
      <w:pPr>
        <w:spacing w:after="0"/>
        <w:rPr>
          <w:szCs w:val="24"/>
        </w:rPr>
      </w:pPr>
    </w:p>
    <w:p w:rsidR="00BC6239" w:rsidRDefault="00BC6239" w:rsidP="00023679">
      <w:pPr>
        <w:spacing w:after="0"/>
        <w:rPr>
          <w:szCs w:val="24"/>
        </w:rPr>
      </w:pPr>
      <w:r>
        <w:rPr>
          <w:szCs w:val="24"/>
        </w:rPr>
        <w:tab/>
        <w:t>2.</w:t>
      </w:r>
      <w:r>
        <w:rPr>
          <w:szCs w:val="24"/>
        </w:rPr>
        <w:tab/>
        <w:t>That the Secretary mark the docket closed.</w:t>
      </w:r>
    </w:p>
    <w:p w:rsidR="007B4CC1" w:rsidRDefault="007B4CC1" w:rsidP="00023679">
      <w:pPr>
        <w:spacing w:after="0"/>
        <w:rPr>
          <w:szCs w:val="24"/>
        </w:rPr>
      </w:pPr>
    </w:p>
    <w:p w:rsidR="007B4CC1" w:rsidRDefault="007B4CC1" w:rsidP="00023679">
      <w:pPr>
        <w:spacing w:after="0"/>
        <w:rPr>
          <w:szCs w:val="24"/>
        </w:rPr>
      </w:pPr>
    </w:p>
    <w:p w:rsidR="00E535E5" w:rsidRPr="00C8453D" w:rsidRDefault="007B4CC1" w:rsidP="00E535E5">
      <w:pPr>
        <w:tabs>
          <w:tab w:val="left" w:pos="0"/>
        </w:tabs>
        <w:spacing w:after="0" w:line="240" w:lineRule="auto"/>
        <w:jc w:val="both"/>
        <w:rPr>
          <w:szCs w:val="24"/>
          <w:u w:val="single"/>
        </w:rPr>
      </w:pPr>
      <w:r w:rsidRPr="00D51E42">
        <w:rPr>
          <w:szCs w:val="24"/>
        </w:rPr>
        <w:t xml:space="preserve">Date:  </w:t>
      </w:r>
      <w:r>
        <w:rPr>
          <w:szCs w:val="24"/>
          <w:u w:val="single"/>
        </w:rPr>
        <w:t>October 2</w:t>
      </w:r>
      <w:r w:rsidR="00D37DAF">
        <w:rPr>
          <w:szCs w:val="24"/>
          <w:u w:val="single"/>
        </w:rPr>
        <w:t>7</w:t>
      </w:r>
      <w:r>
        <w:rPr>
          <w:szCs w:val="24"/>
          <w:u w:val="single"/>
        </w:rPr>
        <w:t>,</w:t>
      </w:r>
      <w:r w:rsidRPr="00B6026A">
        <w:rPr>
          <w:szCs w:val="24"/>
          <w:u w:val="single"/>
        </w:rPr>
        <w:t xml:space="preserve"> 201</w:t>
      </w:r>
      <w:r>
        <w:rPr>
          <w:szCs w:val="24"/>
          <w:u w:val="single"/>
        </w:rPr>
        <w:t>5</w:t>
      </w:r>
      <w:r w:rsidRPr="00D51E42">
        <w:rPr>
          <w:szCs w:val="24"/>
        </w:rPr>
        <w:tab/>
      </w:r>
      <w:r w:rsidRPr="00D51E42">
        <w:rPr>
          <w:szCs w:val="24"/>
        </w:rPr>
        <w:tab/>
      </w:r>
      <w:r w:rsidRPr="00D51E42">
        <w:rPr>
          <w:szCs w:val="24"/>
        </w:rPr>
        <w:tab/>
      </w:r>
      <w:r>
        <w:rPr>
          <w:szCs w:val="24"/>
        </w:rPr>
        <w:tab/>
      </w:r>
      <w:r w:rsidR="00E535E5" w:rsidRPr="00C8453D">
        <w:rPr>
          <w:szCs w:val="24"/>
          <w:u w:val="single"/>
        </w:rPr>
        <w:tab/>
      </w:r>
      <w:r w:rsidR="00E535E5" w:rsidRPr="00C8453D">
        <w:rPr>
          <w:szCs w:val="24"/>
          <w:u w:val="single"/>
        </w:rPr>
        <w:tab/>
        <w:t>/s/</w:t>
      </w:r>
      <w:r w:rsidR="00E535E5" w:rsidRPr="00C8453D">
        <w:rPr>
          <w:szCs w:val="24"/>
          <w:u w:val="single"/>
        </w:rPr>
        <w:tab/>
      </w:r>
      <w:r w:rsidR="00E535E5" w:rsidRPr="00C8453D">
        <w:rPr>
          <w:szCs w:val="24"/>
          <w:u w:val="single"/>
        </w:rPr>
        <w:tab/>
      </w:r>
      <w:r w:rsidR="00E535E5" w:rsidRPr="00C8453D">
        <w:rPr>
          <w:szCs w:val="24"/>
          <w:u w:val="single"/>
        </w:rPr>
        <w:tab/>
      </w:r>
      <w:r w:rsidR="00E535E5" w:rsidRPr="00C8453D">
        <w:rPr>
          <w:szCs w:val="24"/>
          <w:u w:val="single"/>
        </w:rPr>
        <w:tab/>
      </w:r>
    </w:p>
    <w:p w:rsidR="00E535E5" w:rsidRPr="00C8453D" w:rsidRDefault="00E535E5" w:rsidP="00E535E5">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E535E5" w:rsidRPr="00C8453D" w:rsidRDefault="00E535E5" w:rsidP="00E535E5">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7B4CC1" w:rsidRDefault="007B4CC1" w:rsidP="00E535E5">
      <w:pPr>
        <w:tabs>
          <w:tab w:val="left" w:pos="0"/>
        </w:tabs>
        <w:spacing w:after="0" w:line="240" w:lineRule="auto"/>
        <w:jc w:val="both"/>
        <w:rPr>
          <w:szCs w:val="24"/>
        </w:rPr>
      </w:pPr>
    </w:p>
    <w:p w:rsidR="007B4CC1" w:rsidRDefault="007B4CC1" w:rsidP="00023679">
      <w:pPr>
        <w:spacing w:after="0"/>
        <w:rPr>
          <w:szCs w:val="24"/>
        </w:rPr>
      </w:pPr>
    </w:p>
    <w:p w:rsidR="00E712F5" w:rsidRDefault="00E712F5" w:rsidP="00023679">
      <w:pPr>
        <w:spacing w:after="0"/>
        <w:rPr>
          <w:szCs w:val="24"/>
        </w:rPr>
      </w:pPr>
      <w:r>
        <w:rPr>
          <w:szCs w:val="24"/>
        </w:rPr>
        <w:tab/>
      </w:r>
    </w:p>
    <w:p w:rsidR="00E712F5" w:rsidRDefault="00E712F5" w:rsidP="00023679">
      <w:pPr>
        <w:spacing w:after="0"/>
        <w:ind w:firstLine="1440"/>
        <w:rPr>
          <w:szCs w:val="24"/>
        </w:rPr>
      </w:pPr>
    </w:p>
    <w:p w:rsidR="00E05CBA" w:rsidRDefault="00E05CBA" w:rsidP="00023679">
      <w:pPr>
        <w:spacing w:after="0"/>
      </w:pPr>
    </w:p>
    <w:p w:rsidR="00AF69F8" w:rsidRDefault="00AF69F8" w:rsidP="00283A71">
      <w:pPr>
        <w:spacing w:after="0"/>
      </w:pPr>
    </w:p>
    <w:sectPr w:rsidR="00AF69F8" w:rsidSect="00DB35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47" w:rsidRDefault="00DC2347" w:rsidP="001C6422">
      <w:pPr>
        <w:spacing w:after="0" w:line="240" w:lineRule="auto"/>
      </w:pPr>
      <w:r>
        <w:separator/>
      </w:r>
    </w:p>
  </w:endnote>
  <w:endnote w:type="continuationSeparator" w:id="0">
    <w:p w:rsidR="00DC2347" w:rsidRDefault="00DC2347" w:rsidP="001C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0B" w:rsidRDefault="00DB3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58088"/>
      <w:docPartObj>
        <w:docPartGallery w:val="Page Numbers (Bottom of Page)"/>
        <w:docPartUnique/>
      </w:docPartObj>
    </w:sdtPr>
    <w:sdtEndPr>
      <w:rPr>
        <w:noProof/>
        <w:sz w:val="20"/>
      </w:rPr>
    </w:sdtEndPr>
    <w:sdtContent>
      <w:p w:rsidR="00DB350B" w:rsidRPr="00DB350B" w:rsidRDefault="00DB350B">
        <w:pPr>
          <w:pStyle w:val="Footer"/>
          <w:jc w:val="center"/>
          <w:rPr>
            <w:sz w:val="20"/>
          </w:rPr>
        </w:pPr>
        <w:r w:rsidRPr="00DB350B">
          <w:rPr>
            <w:sz w:val="20"/>
          </w:rPr>
          <w:fldChar w:fldCharType="begin"/>
        </w:r>
        <w:r w:rsidRPr="00DB350B">
          <w:rPr>
            <w:sz w:val="20"/>
          </w:rPr>
          <w:instrText xml:space="preserve"> PAGE   \* MERGEFORMAT </w:instrText>
        </w:r>
        <w:r w:rsidRPr="00DB350B">
          <w:rPr>
            <w:sz w:val="20"/>
          </w:rPr>
          <w:fldChar w:fldCharType="separate"/>
        </w:r>
        <w:r w:rsidR="00020963">
          <w:rPr>
            <w:noProof/>
            <w:sz w:val="20"/>
          </w:rPr>
          <w:t>5</w:t>
        </w:r>
        <w:r w:rsidRPr="00DB350B">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0B" w:rsidRDefault="00DB3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47" w:rsidRDefault="00DC2347" w:rsidP="001C6422">
      <w:pPr>
        <w:spacing w:after="0" w:line="240" w:lineRule="auto"/>
      </w:pPr>
      <w:r>
        <w:separator/>
      </w:r>
    </w:p>
  </w:footnote>
  <w:footnote w:type="continuationSeparator" w:id="0">
    <w:p w:rsidR="00DC2347" w:rsidRDefault="00DC2347" w:rsidP="001C6422">
      <w:pPr>
        <w:spacing w:after="0" w:line="240" w:lineRule="auto"/>
      </w:pPr>
      <w:r>
        <w:continuationSeparator/>
      </w:r>
    </w:p>
  </w:footnote>
  <w:footnote w:id="1">
    <w:p w:rsidR="00931ED3" w:rsidRPr="00931ED3" w:rsidRDefault="00931ED3" w:rsidP="002651E4">
      <w:pPr>
        <w:pStyle w:val="FootnoteText"/>
        <w:spacing w:after="0"/>
      </w:pPr>
      <w:r>
        <w:rPr>
          <w:rStyle w:val="FootnoteReference"/>
        </w:rPr>
        <w:footnoteRef/>
      </w:r>
      <w:r>
        <w:t xml:space="preserve">  </w:t>
      </w:r>
      <w:r w:rsidR="00313F3A">
        <w:tab/>
      </w:r>
      <w:r>
        <w:t>Affi</w:t>
      </w:r>
      <w:r w:rsidR="00D83816">
        <w:t>rmed by the Commonwealth Court in</w:t>
      </w:r>
      <w:r>
        <w:t xml:space="preserve"> </w:t>
      </w:r>
      <w:r>
        <w:rPr>
          <w:i/>
        </w:rPr>
        <w:t>O’Connor v. Pa. Pub. Util. Comm’n</w:t>
      </w:r>
      <w:r>
        <w:t>, 582 A.2d 427 (Pa.Cmwlth. 1990).</w:t>
      </w:r>
    </w:p>
  </w:footnote>
  <w:footnote w:id="2">
    <w:p w:rsidR="00E3275D" w:rsidRDefault="00E3275D" w:rsidP="00036850">
      <w:pPr>
        <w:pStyle w:val="FootnoteText"/>
        <w:spacing w:after="0"/>
      </w:pPr>
      <w:r w:rsidRPr="00C81B96">
        <w:rPr>
          <w:rStyle w:val="FootnoteReference"/>
        </w:rPr>
        <w:footnoteRef/>
      </w:r>
      <w:r w:rsidRPr="00C81B96">
        <w:t xml:space="preserve"> </w:t>
      </w:r>
      <w:r>
        <w:tab/>
        <w:t xml:space="preserve">66 </w:t>
      </w:r>
      <w:proofErr w:type="spellStart"/>
      <w:r>
        <w:t>Pa.</w:t>
      </w:r>
      <w:r w:rsidRPr="00C81B96">
        <w:t>C.S</w:t>
      </w:r>
      <w:proofErr w:type="spellEnd"/>
      <w:r w:rsidRPr="00C81B96">
        <w:t>. §</w:t>
      </w:r>
      <w:r>
        <w:t xml:space="preserve"> </w:t>
      </w:r>
      <w:r w:rsidRPr="00C81B96">
        <w:t>701.</w:t>
      </w:r>
    </w:p>
    <w:p w:rsidR="00036850" w:rsidRPr="00C81B96" w:rsidRDefault="00036850" w:rsidP="00036850">
      <w:pPr>
        <w:pStyle w:val="FootnoteText"/>
        <w:spacing w:after="0"/>
      </w:pPr>
    </w:p>
  </w:footnote>
  <w:footnote w:id="3">
    <w:p w:rsidR="00E3275D" w:rsidRPr="00C81B96" w:rsidRDefault="00E3275D" w:rsidP="00036850">
      <w:pPr>
        <w:pStyle w:val="FootnoteText"/>
        <w:spacing w:after="0"/>
      </w:pPr>
      <w:r w:rsidRPr="00C81B96">
        <w:rPr>
          <w:rStyle w:val="FootnoteReference"/>
        </w:rPr>
        <w:footnoteRef/>
      </w:r>
      <w:r w:rsidRPr="00C81B96">
        <w:t xml:space="preserve"> </w:t>
      </w:r>
      <w:r>
        <w:tab/>
        <w:t xml:space="preserve">66 </w:t>
      </w:r>
      <w:proofErr w:type="spellStart"/>
      <w:r>
        <w:t>Pa.</w:t>
      </w:r>
      <w:r w:rsidRPr="00C81B96">
        <w:t>C.S</w:t>
      </w:r>
      <w:proofErr w:type="spellEnd"/>
      <w:r w:rsidRPr="00C81B96">
        <w:t>. §</w:t>
      </w:r>
      <w:r>
        <w:t xml:space="preserve"> </w:t>
      </w:r>
      <w:r w:rsidRPr="00C81B96">
        <w:t>332(a).</w:t>
      </w:r>
    </w:p>
  </w:footnote>
  <w:footnote w:id="4">
    <w:p w:rsidR="00E3275D" w:rsidRDefault="00E3275D" w:rsidP="00036850">
      <w:pPr>
        <w:pStyle w:val="FootnoteText"/>
        <w:spacing w:after="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E3275D" w:rsidRPr="00C81B96" w:rsidRDefault="00E3275D" w:rsidP="00E3275D">
      <w:pPr>
        <w:pStyle w:val="FootnoteText"/>
        <w:spacing w:after="0"/>
      </w:pPr>
    </w:p>
  </w:footnote>
  <w:footnote w:id="5">
    <w:p w:rsidR="0057208D" w:rsidRDefault="0057208D" w:rsidP="00AF5234">
      <w:pPr>
        <w:pStyle w:val="FootnoteText"/>
        <w:spacing w:after="0"/>
      </w:pPr>
      <w:r>
        <w:rPr>
          <w:rStyle w:val="FootnoteReference"/>
        </w:rPr>
        <w:footnoteRef/>
      </w:r>
      <w:r>
        <w:t xml:space="preserve">  </w:t>
      </w:r>
      <w:r>
        <w:tab/>
        <w:t>Complainant’s Ex. D (</w:t>
      </w:r>
      <w:r>
        <w:rPr>
          <w:i/>
        </w:rPr>
        <w:t>Application of Philadelphia Electric Company</w:t>
      </w:r>
      <w:r>
        <w:t xml:space="preserve">, Docket No. </w:t>
      </w:r>
      <w:proofErr w:type="gramStart"/>
      <w:r>
        <w:t>A-110550F022 (Opinion and Order entered August 31, 1989)</w:t>
      </w:r>
      <w:r w:rsidR="003D05B8">
        <w:t>)</w:t>
      </w:r>
      <w:r>
        <w:t>.</w:t>
      </w:r>
      <w:proofErr w:type="gramEnd"/>
    </w:p>
    <w:p w:rsidR="00AF5234" w:rsidRDefault="00AF5234" w:rsidP="00AF5234">
      <w:pPr>
        <w:pStyle w:val="FootnoteText"/>
        <w:spacing w:after="0"/>
      </w:pPr>
    </w:p>
  </w:footnote>
  <w:footnote w:id="6">
    <w:p w:rsidR="0057208D" w:rsidRDefault="0057208D" w:rsidP="00AF5234">
      <w:pPr>
        <w:pStyle w:val="FootnoteText"/>
        <w:spacing w:after="0"/>
      </w:pPr>
      <w:r>
        <w:rPr>
          <w:rStyle w:val="FootnoteReference"/>
        </w:rPr>
        <w:footnoteRef/>
      </w:r>
      <w:r>
        <w:t xml:space="preserve">  </w:t>
      </w:r>
      <w:r>
        <w:tab/>
        <w:t>Complainant’s Ex. B (</w:t>
      </w:r>
      <w:r>
        <w:rPr>
          <w:i/>
        </w:rPr>
        <w:t>Application of Philadelphia Electric Company</w:t>
      </w:r>
      <w:r>
        <w:t xml:space="preserve">, Docket A-00110550F022 (Initial Decision </w:t>
      </w:r>
      <w:r w:rsidR="00036850">
        <w:t>dated May</w:t>
      </w:r>
      <w:r>
        <w:t xml:space="preserve"> 9, 1989), at pp. 45-48).</w:t>
      </w:r>
    </w:p>
    <w:p w:rsidR="00AF5234" w:rsidRPr="0057208D" w:rsidRDefault="00036850" w:rsidP="00036850">
      <w:pPr>
        <w:pStyle w:val="FootnoteText"/>
        <w:tabs>
          <w:tab w:val="left" w:pos="8100"/>
        </w:tabs>
        <w:spacing w:after="0"/>
      </w:pPr>
      <w:r>
        <w:tab/>
      </w:r>
    </w:p>
  </w:footnote>
  <w:footnote w:id="7">
    <w:p w:rsidR="00E712F5" w:rsidRDefault="00E712F5" w:rsidP="00AF5234">
      <w:pPr>
        <w:pStyle w:val="FootnoteText"/>
        <w:spacing w:after="0"/>
      </w:pPr>
      <w:r>
        <w:rPr>
          <w:rStyle w:val="FootnoteReference"/>
        </w:rPr>
        <w:footnoteRef/>
      </w:r>
      <w:r>
        <w:t xml:space="preserve">  </w:t>
      </w:r>
      <w:r>
        <w:tab/>
        <w:t>66 Pa.C.S. § 1501.</w:t>
      </w:r>
    </w:p>
    <w:p w:rsidR="00E712F5" w:rsidRDefault="00E712F5" w:rsidP="00E712F5">
      <w:pPr>
        <w:pStyle w:val="FootnoteText"/>
        <w:spacing w:after="0"/>
      </w:pPr>
    </w:p>
  </w:footnote>
  <w:footnote w:id="8">
    <w:p w:rsidR="00E712F5" w:rsidRDefault="00E712F5" w:rsidP="00AF5234">
      <w:pPr>
        <w:pStyle w:val="FootnoteText"/>
        <w:spacing w:after="0"/>
      </w:pPr>
      <w:r>
        <w:rPr>
          <w:rStyle w:val="FootnoteReference"/>
        </w:rPr>
        <w:footnoteRef/>
      </w:r>
      <w:r>
        <w:t xml:space="preserve">  </w:t>
      </w:r>
      <w:r>
        <w:tab/>
      </w:r>
      <w:r w:rsidRPr="005C7CC8">
        <w:rPr>
          <w:i/>
          <w:iCs/>
          <w:w w:val="91"/>
        </w:rPr>
        <w:t xml:space="preserve">See Duquesne Light Company v. Monroeville Borough, </w:t>
      </w:r>
      <w:r w:rsidRPr="005C7CC8">
        <w:t>449 Pa. 573. 580, 298 A.2d 2352 (1972) ("This Court has consistently held, however, that the Public Utility Commission has exclusive regulatory</w:t>
      </w:r>
      <w:r w:rsidRPr="006D5D65">
        <w:rPr>
          <w:sz w:val="22"/>
          <w:szCs w:val="22"/>
        </w:rPr>
        <w:t xml:space="preserve"> </w:t>
      </w:r>
      <w:r w:rsidRPr="005C7CC8">
        <w:t xml:space="preserve">jurisdiction over the implementation of public utility facilities") (citations omitted). </w:t>
      </w:r>
      <w:r w:rsidR="002A6410">
        <w:t xml:space="preserve"> </w:t>
      </w:r>
      <w:r w:rsidRPr="005C7CC8">
        <w:rPr>
          <w:i/>
          <w:iCs/>
          <w:w w:val="91"/>
        </w:rPr>
        <w:t xml:space="preserve">See, </w:t>
      </w:r>
      <w:r w:rsidRPr="005C7CC8">
        <w:rPr>
          <w:i/>
          <w:iCs/>
          <w:w w:val="86"/>
        </w:rPr>
        <w:t xml:space="preserve">e.g., </w:t>
      </w:r>
      <w:r w:rsidRPr="005C7CC8">
        <w:rPr>
          <w:i/>
          <w:iCs/>
          <w:w w:val="91"/>
        </w:rPr>
        <w:t xml:space="preserve">County of Chester </w:t>
      </w:r>
      <w:r w:rsidRPr="005C7CC8">
        <w:rPr>
          <w:i/>
          <w:iCs/>
          <w:w w:val="86"/>
        </w:rPr>
        <w:t xml:space="preserve">v. </w:t>
      </w:r>
      <w:r w:rsidRPr="005C7CC8">
        <w:rPr>
          <w:i/>
          <w:iCs/>
          <w:w w:val="91"/>
        </w:rPr>
        <w:t xml:space="preserve">Philadelphia Elec. Co., </w:t>
      </w:r>
      <w:r w:rsidRPr="005C7CC8">
        <w:t>420 Pa. 422, 218 A.2d</w:t>
      </w:r>
      <w:r w:rsidRPr="006D5D65">
        <w:rPr>
          <w:sz w:val="22"/>
          <w:szCs w:val="22"/>
        </w:rPr>
        <w:t xml:space="preserve"> </w:t>
      </w:r>
      <w:r w:rsidRPr="005C7CC8">
        <w:t xml:space="preserve">331 (1966) (holding that regulation by a multitude of jurisdictions would result in "twisted and knotted" public utilities with consequent harm to the general welfare); </w:t>
      </w:r>
      <w:r w:rsidRPr="005C7CC8">
        <w:rPr>
          <w:i/>
          <w:iCs/>
          <w:w w:val="91"/>
        </w:rPr>
        <w:t xml:space="preserve">Newtown Twp. v. Philadelphia Elec. Co., </w:t>
      </w:r>
      <w:r w:rsidRPr="005C7CC8">
        <w:t>594 A.2d 834, 837 (Pa.</w:t>
      </w:r>
      <w:r w:rsidR="002A6410">
        <w:t>C</w:t>
      </w:r>
      <w:r w:rsidRPr="005C7CC8">
        <w:t xml:space="preserve">mwlth. 1991) (noting that "it is clear that no 'implied' power exists in the MPC which would allow the Township to regulate [the Philadelphia Electric Company] through its subdivision and land development ordinance"); </w:t>
      </w:r>
      <w:r w:rsidRPr="005C7CC8">
        <w:rPr>
          <w:i/>
          <w:iCs/>
          <w:w w:val="91"/>
        </w:rPr>
        <w:t xml:space="preserve">Heintzel </w:t>
      </w:r>
      <w:r w:rsidRPr="0011104C">
        <w:rPr>
          <w:i/>
        </w:rPr>
        <w:t>v.</w:t>
      </w:r>
      <w:r w:rsidRPr="005C7CC8">
        <w:t xml:space="preserve"> </w:t>
      </w:r>
      <w:r w:rsidRPr="005C7CC8">
        <w:rPr>
          <w:i/>
          <w:iCs/>
          <w:w w:val="91"/>
        </w:rPr>
        <w:t xml:space="preserve">Zoning Hearing Bd. of Millcreek Twp., </w:t>
      </w:r>
      <w:r w:rsidRPr="005C7CC8">
        <w:t xml:space="preserve">533 A.2d 832 (Pa.Cmwlth. 1987) (holding that township had no power to regulate, under its zoning ordinance, city's erection of water tower because that power was under the exclusive jurisdiction of the PUC); </w:t>
      </w:r>
      <w:r w:rsidRPr="005C7CC8">
        <w:rPr>
          <w:i/>
          <w:iCs/>
          <w:w w:val="91"/>
        </w:rPr>
        <w:t xml:space="preserve">South Coventry Twp. v. Philadelphia Elec. Co., 504 </w:t>
      </w:r>
      <w:r w:rsidRPr="005C7CC8">
        <w:t xml:space="preserve">A.2d 368 (Pa.Cmwlth. 1986) (noting that to possibly subject [the Philadelphia Electric Company] to a miscellaneous collection of regulations upon its system would clearly burden and indeed disable it from successfully functioning as a utility); </w:t>
      </w:r>
      <w:r w:rsidRPr="005C7CC8">
        <w:rPr>
          <w:i/>
          <w:iCs/>
          <w:w w:val="91"/>
        </w:rPr>
        <w:t xml:space="preserve">Commonwealth v. Delaware and Hudson Railway Co., </w:t>
      </w:r>
      <w:r w:rsidRPr="005C7CC8">
        <w:t xml:space="preserve">339 A.2d 155 (Pa.Cmwlth. 1975) (holding that the MPC did not authorize local governments </w:t>
      </w:r>
      <w:r w:rsidRPr="00801C0C">
        <w:t>to regulate public utilities in any manner which infringes upon the power of the Commission to so regulate).</w:t>
      </w:r>
    </w:p>
    <w:p w:rsidR="00AF5234" w:rsidRDefault="00AF5234" w:rsidP="00AF5234">
      <w:pPr>
        <w:pStyle w:val="FootnoteText"/>
        <w:spacing w:after="0"/>
      </w:pPr>
    </w:p>
  </w:footnote>
  <w:footnote w:id="9">
    <w:p w:rsidR="00BE2B2D" w:rsidRDefault="00BE2B2D" w:rsidP="00AF5234">
      <w:pPr>
        <w:pStyle w:val="FootnoteText"/>
        <w:spacing w:after="0"/>
      </w:pPr>
      <w:r>
        <w:rPr>
          <w:rStyle w:val="FootnoteReference"/>
        </w:rPr>
        <w:footnoteRef/>
      </w:r>
      <w:r>
        <w:t xml:space="preserve">  </w:t>
      </w:r>
      <w:r>
        <w:tab/>
        <w:t xml:space="preserve">The Commission will consider local land use issues when reviewing applications for: </w:t>
      </w:r>
    </w:p>
    <w:p w:rsidR="00AF5234" w:rsidRDefault="00AF5234" w:rsidP="00AF5234">
      <w:pPr>
        <w:pStyle w:val="FootnoteText"/>
        <w:spacing w:after="0"/>
      </w:pPr>
    </w:p>
    <w:p w:rsidR="00BE2B2D" w:rsidRDefault="00BE2B2D" w:rsidP="00AF5234">
      <w:pPr>
        <w:pStyle w:val="FootnoteText"/>
        <w:spacing w:after="0"/>
        <w:ind w:left="720" w:firstLine="720"/>
      </w:pPr>
      <w:r>
        <w:t xml:space="preserve">(1) Certificates of public convenience. </w:t>
      </w:r>
    </w:p>
    <w:p w:rsidR="00AF5234" w:rsidRDefault="00AF5234" w:rsidP="00AF5234">
      <w:pPr>
        <w:pStyle w:val="FootnoteText"/>
        <w:spacing w:after="0"/>
        <w:ind w:left="720" w:firstLine="720"/>
      </w:pPr>
    </w:p>
    <w:p w:rsidR="00BE2B2D" w:rsidRDefault="00BE2B2D" w:rsidP="00AF5234">
      <w:pPr>
        <w:pStyle w:val="FootnoteText"/>
        <w:spacing w:after="0"/>
        <w:ind w:left="720" w:firstLine="720"/>
      </w:pPr>
      <w:r>
        <w:t xml:space="preserve">(2) Siting electric transmission lines. </w:t>
      </w:r>
    </w:p>
    <w:p w:rsidR="00AF5234" w:rsidRDefault="00AF5234" w:rsidP="00AF5234">
      <w:pPr>
        <w:pStyle w:val="FootnoteText"/>
        <w:spacing w:after="0"/>
        <w:ind w:left="720" w:firstLine="720"/>
      </w:pPr>
    </w:p>
    <w:p w:rsidR="00B95213" w:rsidRDefault="00BE2B2D" w:rsidP="00AF5234">
      <w:pPr>
        <w:pStyle w:val="FootnoteText"/>
        <w:spacing w:after="0"/>
        <w:ind w:left="720" w:firstLine="720"/>
      </w:pPr>
      <w:r>
        <w:t xml:space="preserve">(3) Siting a public utility ‘‘building’’ under section 619 of the Municipalities Planning Code </w:t>
      </w:r>
    </w:p>
    <w:p w:rsidR="00BE2B2D" w:rsidRDefault="00BE2B2D" w:rsidP="0011104C">
      <w:pPr>
        <w:pStyle w:val="FootnoteText"/>
        <w:spacing w:after="0"/>
        <w:ind w:firstLine="720"/>
      </w:pPr>
      <w:proofErr w:type="gramStart"/>
      <w:r>
        <w:t>(53 P. S. § 10619).</w:t>
      </w:r>
      <w:proofErr w:type="gramEnd"/>
      <w:r>
        <w:t xml:space="preserve"> </w:t>
      </w:r>
    </w:p>
    <w:p w:rsidR="00AF5234" w:rsidRDefault="00AF5234" w:rsidP="00AF5234">
      <w:pPr>
        <w:pStyle w:val="FootnoteText"/>
        <w:spacing w:after="0"/>
        <w:ind w:left="720" w:firstLine="720"/>
      </w:pPr>
    </w:p>
    <w:p w:rsidR="00BE2B2D" w:rsidRDefault="00BE2B2D" w:rsidP="00AF5234">
      <w:pPr>
        <w:pStyle w:val="FootnoteText"/>
        <w:spacing w:after="0"/>
        <w:ind w:left="720" w:firstLine="720"/>
      </w:pPr>
      <w:r>
        <w:t>(4) Other Commission decisions</w:t>
      </w:r>
      <w:r w:rsidR="007B4CC1">
        <w:t>.</w:t>
      </w:r>
      <w:r>
        <w:t xml:space="preserve"> </w:t>
      </w:r>
    </w:p>
    <w:p w:rsidR="00AF5234" w:rsidRDefault="00AF5234" w:rsidP="00AF5234">
      <w:pPr>
        <w:pStyle w:val="FootnoteText"/>
        <w:spacing w:after="0"/>
        <w:ind w:left="720" w:firstLine="720"/>
      </w:pPr>
    </w:p>
    <w:p w:rsidR="00BE2B2D" w:rsidRPr="00BE2B2D" w:rsidRDefault="00BE2B2D" w:rsidP="00AF5234">
      <w:pPr>
        <w:pStyle w:val="FootnoteText"/>
        <w:spacing w:after="0"/>
        <w:rPr>
          <w:rFonts w:ascii="Sylfaen" w:hAnsi="Sylfaen"/>
        </w:rPr>
      </w:pPr>
      <w:r>
        <w:t xml:space="preserve">52 Pa.Code </w:t>
      </w:r>
      <w:r>
        <w:rPr>
          <w:rFonts w:ascii="Sylfaen" w:hAnsi="Sylfaen"/>
        </w:rPr>
        <w:t>§ 69.1101.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0B" w:rsidRDefault="00DB3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0B" w:rsidRDefault="00DB3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0B" w:rsidRDefault="00DB3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66429A"/>
    <w:lvl w:ilvl="0">
      <w:start w:val="1"/>
      <w:numFmt w:val="decimal"/>
      <w:lvlText w:val="%1."/>
      <w:lvlJc w:val="left"/>
      <w:pPr>
        <w:tabs>
          <w:tab w:val="num" w:pos="1800"/>
        </w:tabs>
        <w:ind w:left="1800" w:hanging="360"/>
      </w:pPr>
    </w:lvl>
  </w:abstractNum>
  <w:abstractNum w:abstractNumId="1">
    <w:nsid w:val="FFFFFF7D"/>
    <w:multiLevelType w:val="singleLevel"/>
    <w:tmpl w:val="22C89E16"/>
    <w:lvl w:ilvl="0">
      <w:start w:val="1"/>
      <w:numFmt w:val="decimal"/>
      <w:lvlText w:val="%1."/>
      <w:lvlJc w:val="left"/>
      <w:pPr>
        <w:tabs>
          <w:tab w:val="num" w:pos="1440"/>
        </w:tabs>
        <w:ind w:left="1440" w:hanging="360"/>
      </w:pPr>
    </w:lvl>
  </w:abstractNum>
  <w:abstractNum w:abstractNumId="2">
    <w:nsid w:val="FFFFFF7E"/>
    <w:multiLevelType w:val="singleLevel"/>
    <w:tmpl w:val="4008CCD8"/>
    <w:lvl w:ilvl="0">
      <w:start w:val="1"/>
      <w:numFmt w:val="decimal"/>
      <w:lvlText w:val="%1."/>
      <w:lvlJc w:val="left"/>
      <w:pPr>
        <w:tabs>
          <w:tab w:val="num" w:pos="1080"/>
        </w:tabs>
        <w:ind w:left="1080" w:hanging="360"/>
      </w:pPr>
    </w:lvl>
  </w:abstractNum>
  <w:abstractNum w:abstractNumId="3">
    <w:nsid w:val="FFFFFF7F"/>
    <w:multiLevelType w:val="singleLevel"/>
    <w:tmpl w:val="3760CB70"/>
    <w:lvl w:ilvl="0">
      <w:start w:val="1"/>
      <w:numFmt w:val="decimal"/>
      <w:lvlText w:val="%1."/>
      <w:lvlJc w:val="left"/>
      <w:pPr>
        <w:tabs>
          <w:tab w:val="num" w:pos="720"/>
        </w:tabs>
        <w:ind w:left="720" w:hanging="360"/>
      </w:pPr>
    </w:lvl>
  </w:abstractNum>
  <w:abstractNum w:abstractNumId="4">
    <w:nsid w:val="FFFFFF80"/>
    <w:multiLevelType w:val="singleLevel"/>
    <w:tmpl w:val="85C093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C23E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E681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CC66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E81342"/>
    <w:lvl w:ilvl="0">
      <w:start w:val="1"/>
      <w:numFmt w:val="decimal"/>
      <w:lvlText w:val="%1."/>
      <w:lvlJc w:val="left"/>
      <w:pPr>
        <w:tabs>
          <w:tab w:val="num" w:pos="360"/>
        </w:tabs>
        <w:ind w:left="360" w:hanging="360"/>
      </w:pPr>
    </w:lvl>
  </w:abstractNum>
  <w:abstractNum w:abstractNumId="9">
    <w:nsid w:val="FFFFFF89"/>
    <w:multiLevelType w:val="singleLevel"/>
    <w:tmpl w:val="D9F2B7FE"/>
    <w:lvl w:ilvl="0">
      <w:start w:val="1"/>
      <w:numFmt w:val="bullet"/>
      <w:lvlText w:val=""/>
      <w:lvlJc w:val="left"/>
      <w:pPr>
        <w:tabs>
          <w:tab w:val="num" w:pos="360"/>
        </w:tabs>
        <w:ind w:left="360" w:hanging="360"/>
      </w:pPr>
      <w:rPr>
        <w:rFonts w:ascii="Symbol" w:hAnsi="Symbol" w:hint="default"/>
      </w:rPr>
    </w:lvl>
  </w:abstractNum>
  <w:abstractNum w:abstractNumId="1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70257"/>
    <w:multiLevelType w:val="hybridMultilevel"/>
    <w:tmpl w:val="36BE7160"/>
    <w:lvl w:ilvl="0" w:tplc="EAF44106">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6"/>
  </w:num>
  <w:num w:numId="3">
    <w:abstractNumId w:val="20"/>
  </w:num>
  <w:num w:numId="4">
    <w:abstractNumId w:val="24"/>
  </w:num>
  <w:num w:numId="5">
    <w:abstractNumId w:val="14"/>
  </w:num>
  <w:num w:numId="6">
    <w:abstractNumId w:val="13"/>
  </w:num>
  <w:num w:numId="7">
    <w:abstractNumId w:val="12"/>
  </w:num>
  <w:num w:numId="8">
    <w:abstractNumId w:val="23"/>
  </w:num>
  <w:num w:numId="9">
    <w:abstractNumId w:val="10"/>
  </w:num>
  <w:num w:numId="10">
    <w:abstractNumId w:val="17"/>
  </w:num>
  <w:num w:numId="11">
    <w:abstractNumId w:val="19"/>
  </w:num>
  <w:num w:numId="12">
    <w:abstractNumId w:val="15"/>
  </w:num>
  <w:num w:numId="13">
    <w:abstractNumId w:val="18"/>
  </w:num>
  <w:num w:numId="14">
    <w:abstractNumId w:val="2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6F"/>
    <w:rsid w:val="00004C37"/>
    <w:rsid w:val="00020963"/>
    <w:rsid w:val="00023679"/>
    <w:rsid w:val="00036850"/>
    <w:rsid w:val="00043032"/>
    <w:rsid w:val="0006151D"/>
    <w:rsid w:val="00087132"/>
    <w:rsid w:val="000A24C8"/>
    <w:rsid w:val="000C4B72"/>
    <w:rsid w:val="000E5CBA"/>
    <w:rsid w:val="000E7D3F"/>
    <w:rsid w:val="001043E6"/>
    <w:rsid w:val="0011104C"/>
    <w:rsid w:val="00172DE6"/>
    <w:rsid w:val="00184A33"/>
    <w:rsid w:val="001A54F4"/>
    <w:rsid w:val="001B1CBA"/>
    <w:rsid w:val="001B1EBA"/>
    <w:rsid w:val="001C0E5C"/>
    <w:rsid w:val="001C6422"/>
    <w:rsid w:val="001F3E68"/>
    <w:rsid w:val="00213167"/>
    <w:rsid w:val="00216F6B"/>
    <w:rsid w:val="00231F48"/>
    <w:rsid w:val="00235EB0"/>
    <w:rsid w:val="002512F9"/>
    <w:rsid w:val="0026075C"/>
    <w:rsid w:val="002651E4"/>
    <w:rsid w:val="00270679"/>
    <w:rsid w:val="00283A71"/>
    <w:rsid w:val="00287CAB"/>
    <w:rsid w:val="002A6410"/>
    <w:rsid w:val="002B60A1"/>
    <w:rsid w:val="00313F3A"/>
    <w:rsid w:val="0036234B"/>
    <w:rsid w:val="00393C92"/>
    <w:rsid w:val="003B2625"/>
    <w:rsid w:val="003D05B8"/>
    <w:rsid w:val="003F4B33"/>
    <w:rsid w:val="00426F49"/>
    <w:rsid w:val="004A533F"/>
    <w:rsid w:val="004B324E"/>
    <w:rsid w:val="004D523C"/>
    <w:rsid w:val="004E14C2"/>
    <w:rsid w:val="00500378"/>
    <w:rsid w:val="005373F8"/>
    <w:rsid w:val="00537F5C"/>
    <w:rsid w:val="00543E18"/>
    <w:rsid w:val="005648C9"/>
    <w:rsid w:val="0057208D"/>
    <w:rsid w:val="0059579D"/>
    <w:rsid w:val="005A1C17"/>
    <w:rsid w:val="005A2ABA"/>
    <w:rsid w:val="005C095B"/>
    <w:rsid w:val="005D3B9D"/>
    <w:rsid w:val="005F54AD"/>
    <w:rsid w:val="0061775F"/>
    <w:rsid w:val="00620F28"/>
    <w:rsid w:val="00665061"/>
    <w:rsid w:val="00692E05"/>
    <w:rsid w:val="006A2ACE"/>
    <w:rsid w:val="006B0CEB"/>
    <w:rsid w:val="006B75F8"/>
    <w:rsid w:val="006C27A8"/>
    <w:rsid w:val="006D5851"/>
    <w:rsid w:val="006F0329"/>
    <w:rsid w:val="0070044C"/>
    <w:rsid w:val="00701359"/>
    <w:rsid w:val="00712E58"/>
    <w:rsid w:val="00792796"/>
    <w:rsid w:val="00797FE1"/>
    <w:rsid w:val="007B4CC1"/>
    <w:rsid w:val="007B5B56"/>
    <w:rsid w:val="007B73A8"/>
    <w:rsid w:val="007E498B"/>
    <w:rsid w:val="007E6779"/>
    <w:rsid w:val="00804A75"/>
    <w:rsid w:val="008134EC"/>
    <w:rsid w:val="00820B4C"/>
    <w:rsid w:val="00827CEC"/>
    <w:rsid w:val="008458F9"/>
    <w:rsid w:val="008529D2"/>
    <w:rsid w:val="00861C74"/>
    <w:rsid w:val="00864F29"/>
    <w:rsid w:val="00865732"/>
    <w:rsid w:val="008736B3"/>
    <w:rsid w:val="008B4FC6"/>
    <w:rsid w:val="008C3DD5"/>
    <w:rsid w:val="008C4818"/>
    <w:rsid w:val="008C70E1"/>
    <w:rsid w:val="00931ED3"/>
    <w:rsid w:val="0095351F"/>
    <w:rsid w:val="009A3194"/>
    <w:rsid w:val="009B3C38"/>
    <w:rsid w:val="009C218D"/>
    <w:rsid w:val="009C2BF3"/>
    <w:rsid w:val="009D4F88"/>
    <w:rsid w:val="009F7CCB"/>
    <w:rsid w:val="00A06205"/>
    <w:rsid w:val="00A35872"/>
    <w:rsid w:val="00A866BF"/>
    <w:rsid w:val="00AA15A7"/>
    <w:rsid w:val="00AA2EC5"/>
    <w:rsid w:val="00AA76C6"/>
    <w:rsid w:val="00AB4C73"/>
    <w:rsid w:val="00AB6528"/>
    <w:rsid w:val="00AD631F"/>
    <w:rsid w:val="00AD6952"/>
    <w:rsid w:val="00AE6F47"/>
    <w:rsid w:val="00AF5234"/>
    <w:rsid w:val="00AF69F8"/>
    <w:rsid w:val="00B17C7D"/>
    <w:rsid w:val="00B20658"/>
    <w:rsid w:val="00B25E11"/>
    <w:rsid w:val="00B95213"/>
    <w:rsid w:val="00BC6239"/>
    <w:rsid w:val="00BC6B21"/>
    <w:rsid w:val="00BC7729"/>
    <w:rsid w:val="00BD1DD3"/>
    <w:rsid w:val="00BE2B2D"/>
    <w:rsid w:val="00BF1EDC"/>
    <w:rsid w:val="00C06CE7"/>
    <w:rsid w:val="00C126C8"/>
    <w:rsid w:val="00C37245"/>
    <w:rsid w:val="00C54F2F"/>
    <w:rsid w:val="00C87E57"/>
    <w:rsid w:val="00CA2BA6"/>
    <w:rsid w:val="00CA4E45"/>
    <w:rsid w:val="00CB6DBC"/>
    <w:rsid w:val="00CC1FF9"/>
    <w:rsid w:val="00D15E42"/>
    <w:rsid w:val="00D37DAF"/>
    <w:rsid w:val="00D42B48"/>
    <w:rsid w:val="00D44DCB"/>
    <w:rsid w:val="00D61073"/>
    <w:rsid w:val="00D636D6"/>
    <w:rsid w:val="00D834E8"/>
    <w:rsid w:val="00D83816"/>
    <w:rsid w:val="00D94581"/>
    <w:rsid w:val="00DB350B"/>
    <w:rsid w:val="00DC2347"/>
    <w:rsid w:val="00DD5C37"/>
    <w:rsid w:val="00DE0995"/>
    <w:rsid w:val="00DF26D7"/>
    <w:rsid w:val="00E040F2"/>
    <w:rsid w:val="00E05CBA"/>
    <w:rsid w:val="00E3275D"/>
    <w:rsid w:val="00E36F39"/>
    <w:rsid w:val="00E527B2"/>
    <w:rsid w:val="00E535E5"/>
    <w:rsid w:val="00E712F5"/>
    <w:rsid w:val="00E80C8F"/>
    <w:rsid w:val="00EB22CB"/>
    <w:rsid w:val="00EC1CBA"/>
    <w:rsid w:val="00ED7F6F"/>
    <w:rsid w:val="00EE7801"/>
    <w:rsid w:val="00F062C4"/>
    <w:rsid w:val="00F16554"/>
    <w:rsid w:val="00F371E2"/>
    <w:rsid w:val="00F544E1"/>
    <w:rsid w:val="00F644AE"/>
    <w:rsid w:val="00F71F27"/>
    <w:rsid w:val="00F72EDD"/>
    <w:rsid w:val="00F77051"/>
    <w:rsid w:val="00F92908"/>
    <w:rsid w:val="00F93BE0"/>
    <w:rsid w:val="00FA3234"/>
    <w:rsid w:val="00FA56E8"/>
    <w:rsid w:val="00FD078D"/>
    <w:rsid w:val="00FD5C10"/>
    <w:rsid w:val="00FE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A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1073"/>
    <w:pPr>
      <w:numPr>
        <w:numId w:val="15"/>
      </w:numPr>
      <w:spacing w:before="12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C6422"/>
    <w:rPr>
      <w:vertAlign w:val="superscript"/>
    </w:rPr>
  </w:style>
  <w:style w:type="paragraph" w:styleId="BalloonText">
    <w:name w:val="Balloon Text"/>
    <w:basedOn w:val="Normal"/>
    <w:link w:val="BalloonTextChar"/>
    <w:uiPriority w:val="99"/>
    <w:semiHidden/>
    <w:unhideWhenUsed/>
    <w:rsid w:val="00CA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E45"/>
    <w:rPr>
      <w:rFonts w:ascii="Tahoma" w:hAnsi="Tahoma" w:cs="Tahoma"/>
      <w:sz w:val="16"/>
      <w:szCs w:val="16"/>
    </w:rPr>
  </w:style>
  <w:style w:type="paragraph" w:styleId="Footer">
    <w:name w:val="footer"/>
    <w:basedOn w:val="Normal"/>
    <w:link w:val="FooterChar"/>
    <w:uiPriority w:val="99"/>
    <w:unhideWhenUsed/>
    <w:rsid w:val="0095351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5351F"/>
    <w:rPr>
      <w:rFonts w:ascii="Times New Roman" w:hAnsi="Times New Roman" w:cs="Times New Roman"/>
      <w:sz w:val="24"/>
      <w:szCs w:val="20"/>
    </w:rPr>
  </w:style>
  <w:style w:type="paragraph" w:styleId="Header">
    <w:name w:val="header"/>
    <w:basedOn w:val="Normal"/>
    <w:link w:val="HeaderChar"/>
    <w:uiPriority w:val="99"/>
    <w:unhideWhenUsed/>
    <w:rsid w:val="00F7705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77051"/>
    <w:rPr>
      <w:rFonts w:ascii="Times New Roman" w:hAnsi="Times New Roman" w:cs="Times New Roman"/>
      <w:sz w:val="24"/>
      <w:szCs w:val="20"/>
    </w:rPr>
  </w:style>
  <w:style w:type="paragraph" w:styleId="Quote">
    <w:name w:val="Quote"/>
    <w:basedOn w:val="Normal"/>
    <w:next w:val="Normal"/>
    <w:link w:val="QuoteChar"/>
    <w:uiPriority w:val="29"/>
    <w:qFormat/>
    <w:rsid w:val="009D4F88"/>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9D4F88"/>
    <w:rPr>
      <w:rFonts w:ascii="Times New Roman" w:hAnsi="Times New Roman" w:cs="Times New Roman"/>
      <w:iCs/>
      <w:color w:val="000000" w:themeColor="text1"/>
      <w:sz w:val="24"/>
      <w:szCs w:val="20"/>
    </w:rPr>
  </w:style>
  <w:style w:type="paragraph" w:styleId="NormalWeb">
    <w:name w:val="Normal (Web)"/>
    <w:basedOn w:val="Normal"/>
    <w:uiPriority w:val="99"/>
    <w:semiHidden/>
    <w:unhideWhenUsed/>
    <w:rsid w:val="00BE2B2D"/>
    <w:pPr>
      <w:tabs>
        <w:tab w:val="clear" w:pos="1440"/>
      </w:tabs>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A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1073"/>
    <w:pPr>
      <w:numPr>
        <w:numId w:val="15"/>
      </w:numPr>
      <w:spacing w:before="12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C6422"/>
    <w:rPr>
      <w:vertAlign w:val="superscript"/>
    </w:rPr>
  </w:style>
  <w:style w:type="paragraph" w:styleId="BalloonText">
    <w:name w:val="Balloon Text"/>
    <w:basedOn w:val="Normal"/>
    <w:link w:val="BalloonTextChar"/>
    <w:uiPriority w:val="99"/>
    <w:semiHidden/>
    <w:unhideWhenUsed/>
    <w:rsid w:val="00CA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E45"/>
    <w:rPr>
      <w:rFonts w:ascii="Tahoma" w:hAnsi="Tahoma" w:cs="Tahoma"/>
      <w:sz w:val="16"/>
      <w:szCs w:val="16"/>
    </w:rPr>
  </w:style>
  <w:style w:type="paragraph" w:styleId="Footer">
    <w:name w:val="footer"/>
    <w:basedOn w:val="Normal"/>
    <w:link w:val="FooterChar"/>
    <w:uiPriority w:val="99"/>
    <w:unhideWhenUsed/>
    <w:rsid w:val="0095351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5351F"/>
    <w:rPr>
      <w:rFonts w:ascii="Times New Roman" w:hAnsi="Times New Roman" w:cs="Times New Roman"/>
      <w:sz w:val="24"/>
      <w:szCs w:val="20"/>
    </w:rPr>
  </w:style>
  <w:style w:type="paragraph" w:styleId="Header">
    <w:name w:val="header"/>
    <w:basedOn w:val="Normal"/>
    <w:link w:val="HeaderChar"/>
    <w:uiPriority w:val="99"/>
    <w:unhideWhenUsed/>
    <w:rsid w:val="00F7705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77051"/>
    <w:rPr>
      <w:rFonts w:ascii="Times New Roman" w:hAnsi="Times New Roman" w:cs="Times New Roman"/>
      <w:sz w:val="24"/>
      <w:szCs w:val="20"/>
    </w:rPr>
  </w:style>
  <w:style w:type="paragraph" w:styleId="Quote">
    <w:name w:val="Quote"/>
    <w:basedOn w:val="Normal"/>
    <w:next w:val="Normal"/>
    <w:link w:val="QuoteChar"/>
    <w:uiPriority w:val="29"/>
    <w:qFormat/>
    <w:rsid w:val="009D4F88"/>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9D4F88"/>
    <w:rPr>
      <w:rFonts w:ascii="Times New Roman" w:hAnsi="Times New Roman" w:cs="Times New Roman"/>
      <w:iCs/>
      <w:color w:val="000000" w:themeColor="text1"/>
      <w:sz w:val="24"/>
      <w:szCs w:val="20"/>
    </w:rPr>
  </w:style>
  <w:style w:type="paragraph" w:styleId="NormalWeb">
    <w:name w:val="Normal (Web)"/>
    <w:basedOn w:val="Normal"/>
    <w:uiPriority w:val="99"/>
    <w:semiHidden/>
    <w:unhideWhenUsed/>
    <w:rsid w:val="00BE2B2D"/>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8372">
      <w:bodyDiv w:val="1"/>
      <w:marLeft w:val="0"/>
      <w:marRight w:val="0"/>
      <w:marTop w:val="0"/>
      <w:marBottom w:val="0"/>
      <w:divBdr>
        <w:top w:val="none" w:sz="0" w:space="0" w:color="auto"/>
        <w:left w:val="none" w:sz="0" w:space="0" w:color="auto"/>
        <w:bottom w:val="none" w:sz="0" w:space="0" w:color="auto"/>
        <w:right w:val="none" w:sz="0" w:space="0" w:color="auto"/>
      </w:divBdr>
      <w:divsChild>
        <w:div w:id="455297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9</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25</cp:revision>
  <cp:lastPrinted>2015-11-02T20:58:00Z</cp:lastPrinted>
  <dcterms:created xsi:type="dcterms:W3CDTF">2015-10-23T12:30:00Z</dcterms:created>
  <dcterms:modified xsi:type="dcterms:W3CDTF">2015-11-02T20:59:00Z</dcterms:modified>
</cp:coreProperties>
</file>