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3B5" w:rsidRPr="00550B34" w:rsidRDefault="006D33B5" w:rsidP="00E22703">
      <w:pPr>
        <w:jc w:val="center"/>
        <w:rPr>
          <w:b/>
          <w:bCs/>
        </w:rPr>
      </w:pPr>
      <w:r w:rsidRPr="00550B34">
        <w:rPr>
          <w:b/>
          <w:bCs/>
        </w:rPr>
        <w:t>BEFORE THE</w:t>
      </w:r>
    </w:p>
    <w:p w:rsidR="006D33B5" w:rsidRPr="00550B34" w:rsidRDefault="006D33B5" w:rsidP="00E22703">
      <w:pPr>
        <w:jc w:val="center"/>
        <w:rPr>
          <w:b/>
          <w:bCs/>
        </w:rPr>
      </w:pPr>
      <w:r w:rsidRPr="00550B34">
        <w:rPr>
          <w:b/>
          <w:bCs/>
        </w:rPr>
        <w:t>PENNSYLVANIA PUBLIC UTILITY COMMISSION</w:t>
      </w:r>
    </w:p>
    <w:p w:rsidR="00E22703" w:rsidRPr="00550B34" w:rsidRDefault="00E22703" w:rsidP="00555AB2">
      <w:pPr>
        <w:rPr>
          <w:bCs/>
        </w:rPr>
      </w:pPr>
    </w:p>
    <w:p w:rsidR="00E22703" w:rsidRPr="00550B34" w:rsidRDefault="00E22703" w:rsidP="00555AB2">
      <w:pPr>
        <w:rPr>
          <w:bCs/>
        </w:rPr>
      </w:pPr>
    </w:p>
    <w:p w:rsidR="00E22703" w:rsidRPr="00550B34" w:rsidRDefault="00E22703" w:rsidP="00555AB2">
      <w:pPr>
        <w:rPr>
          <w:bCs/>
        </w:rPr>
      </w:pPr>
    </w:p>
    <w:p w:rsidR="00BB3282" w:rsidRPr="00BB3282" w:rsidRDefault="00DF422C" w:rsidP="00BB3282">
      <w:pPr>
        <w:tabs>
          <w:tab w:val="left" w:pos="-720"/>
        </w:tabs>
        <w:suppressAutoHyphens/>
        <w:jc w:val="both"/>
        <w:rPr>
          <w:spacing w:val="-3"/>
        </w:rPr>
      </w:pPr>
      <w:r>
        <w:rPr>
          <w:spacing w:val="-3"/>
        </w:rPr>
        <w:t>Steven J. Feldman</w:t>
      </w:r>
      <w:r w:rsidR="00BB3282" w:rsidRPr="00BB3282">
        <w:rPr>
          <w:spacing w:val="-3"/>
        </w:rPr>
        <w:tab/>
      </w:r>
      <w:r w:rsidR="00BB3282" w:rsidRPr="00BB3282">
        <w:rPr>
          <w:spacing w:val="-3"/>
        </w:rPr>
        <w:tab/>
      </w:r>
      <w:r w:rsidR="00BB3282" w:rsidRPr="00BB3282">
        <w:rPr>
          <w:spacing w:val="-3"/>
        </w:rPr>
        <w:tab/>
      </w:r>
      <w:r w:rsidR="00BB3282" w:rsidRPr="00BB3282">
        <w:rPr>
          <w:spacing w:val="-3"/>
        </w:rPr>
        <w:tab/>
      </w:r>
      <w:r w:rsidR="00BB3282" w:rsidRPr="00BB3282">
        <w:rPr>
          <w:spacing w:val="-3"/>
        </w:rPr>
        <w:tab/>
      </w:r>
      <w:r w:rsidR="00BB3282" w:rsidRPr="00BB3282">
        <w:rPr>
          <w:spacing w:val="-3"/>
        </w:rPr>
        <w:fldChar w:fldCharType="begin"/>
      </w:r>
      <w:r w:rsidR="00BB3282" w:rsidRPr="00BB3282">
        <w:rPr>
          <w:spacing w:val="-3"/>
        </w:rPr>
        <w:instrText>fillin "Complainant's name" \d ""</w:instrText>
      </w:r>
      <w:r w:rsidR="00BB3282" w:rsidRPr="00BB3282">
        <w:rPr>
          <w:spacing w:val="-3"/>
        </w:rPr>
        <w:fldChar w:fldCharType="end"/>
      </w:r>
      <w:r w:rsidR="00BB3282" w:rsidRPr="00BB3282">
        <w:rPr>
          <w:spacing w:val="-3"/>
        </w:rPr>
        <w:t>:</w:t>
      </w:r>
    </w:p>
    <w:p w:rsidR="00BB3282" w:rsidRPr="00BB3282" w:rsidRDefault="00BB3282" w:rsidP="00BB3282">
      <w:pPr>
        <w:tabs>
          <w:tab w:val="left" w:pos="-720"/>
        </w:tabs>
        <w:suppressAutoHyphens/>
        <w:jc w:val="both"/>
        <w:rPr>
          <w:spacing w:val="-3"/>
        </w:rPr>
      </w:pPr>
      <w:r w:rsidRPr="00BB3282">
        <w:rPr>
          <w:spacing w:val="-3"/>
        </w:rPr>
        <w:tab/>
      </w:r>
      <w:r w:rsidRPr="00BB3282">
        <w:rPr>
          <w:spacing w:val="-3"/>
        </w:rPr>
        <w:tab/>
      </w:r>
      <w:r w:rsidRPr="00BB3282">
        <w:rPr>
          <w:spacing w:val="-3"/>
        </w:rPr>
        <w:tab/>
      </w:r>
      <w:r w:rsidRPr="00BB3282">
        <w:rPr>
          <w:spacing w:val="-3"/>
        </w:rPr>
        <w:tab/>
      </w:r>
      <w:r w:rsidRPr="00BB3282">
        <w:rPr>
          <w:spacing w:val="-3"/>
        </w:rPr>
        <w:tab/>
      </w:r>
      <w:r w:rsidRPr="00BB3282">
        <w:rPr>
          <w:spacing w:val="-3"/>
        </w:rPr>
        <w:tab/>
      </w:r>
      <w:r w:rsidRPr="00BB3282">
        <w:rPr>
          <w:spacing w:val="-3"/>
        </w:rPr>
        <w:tab/>
        <w:t>:</w:t>
      </w:r>
    </w:p>
    <w:p w:rsidR="00BB3282" w:rsidRPr="00BB3282" w:rsidRDefault="00BB3282" w:rsidP="00BB3282">
      <w:pPr>
        <w:tabs>
          <w:tab w:val="left" w:pos="-720"/>
        </w:tabs>
        <w:suppressAutoHyphens/>
        <w:jc w:val="both"/>
        <w:rPr>
          <w:spacing w:val="-3"/>
        </w:rPr>
      </w:pPr>
      <w:r w:rsidRPr="00BB3282">
        <w:rPr>
          <w:spacing w:val="-3"/>
        </w:rPr>
        <w:tab/>
        <w:t>v.</w:t>
      </w:r>
      <w:r w:rsidRPr="00BB3282">
        <w:rPr>
          <w:spacing w:val="-3"/>
        </w:rPr>
        <w:tab/>
      </w:r>
      <w:r w:rsidRPr="00BB3282">
        <w:rPr>
          <w:spacing w:val="-3"/>
        </w:rPr>
        <w:tab/>
      </w:r>
      <w:r w:rsidRPr="00BB3282">
        <w:rPr>
          <w:spacing w:val="-3"/>
        </w:rPr>
        <w:tab/>
      </w:r>
      <w:r w:rsidRPr="00BB3282">
        <w:rPr>
          <w:spacing w:val="-3"/>
        </w:rPr>
        <w:tab/>
      </w:r>
      <w:r w:rsidRPr="00BB3282">
        <w:rPr>
          <w:spacing w:val="-3"/>
        </w:rPr>
        <w:tab/>
      </w:r>
      <w:r w:rsidRPr="00BB3282">
        <w:rPr>
          <w:spacing w:val="-3"/>
        </w:rPr>
        <w:tab/>
        <w:t>:</w:t>
      </w:r>
      <w:r w:rsidRPr="00BB3282">
        <w:rPr>
          <w:spacing w:val="-3"/>
        </w:rPr>
        <w:tab/>
      </w:r>
      <w:r w:rsidRPr="00BB3282">
        <w:rPr>
          <w:spacing w:val="-3"/>
        </w:rPr>
        <w:tab/>
      </w:r>
      <w:r w:rsidR="00DF422C">
        <w:rPr>
          <w:spacing w:val="-3"/>
        </w:rPr>
        <w:t>C-2015-2497230</w:t>
      </w:r>
    </w:p>
    <w:p w:rsidR="00BB3282" w:rsidRPr="00BB3282" w:rsidRDefault="00BB3282" w:rsidP="00BB3282">
      <w:pPr>
        <w:tabs>
          <w:tab w:val="left" w:pos="-720"/>
        </w:tabs>
        <w:suppressAutoHyphens/>
        <w:jc w:val="both"/>
        <w:rPr>
          <w:spacing w:val="-3"/>
        </w:rPr>
      </w:pPr>
      <w:r w:rsidRPr="00BB3282">
        <w:rPr>
          <w:spacing w:val="-3"/>
        </w:rPr>
        <w:tab/>
      </w:r>
      <w:r w:rsidRPr="00BB3282">
        <w:rPr>
          <w:spacing w:val="-3"/>
        </w:rPr>
        <w:tab/>
      </w:r>
      <w:r w:rsidRPr="00BB3282">
        <w:rPr>
          <w:spacing w:val="-3"/>
        </w:rPr>
        <w:tab/>
      </w:r>
      <w:r w:rsidRPr="00BB3282">
        <w:rPr>
          <w:spacing w:val="-3"/>
        </w:rPr>
        <w:tab/>
      </w:r>
      <w:r w:rsidRPr="00BB3282">
        <w:rPr>
          <w:spacing w:val="-3"/>
        </w:rPr>
        <w:tab/>
      </w:r>
      <w:r w:rsidRPr="00BB3282">
        <w:rPr>
          <w:spacing w:val="-3"/>
        </w:rPr>
        <w:tab/>
      </w:r>
      <w:r w:rsidRPr="00BB3282">
        <w:rPr>
          <w:spacing w:val="-3"/>
        </w:rPr>
        <w:tab/>
        <w:t>:</w:t>
      </w:r>
    </w:p>
    <w:p w:rsidR="00BB3282" w:rsidRPr="00BB3282" w:rsidRDefault="00DF422C" w:rsidP="00BB3282">
      <w:pPr>
        <w:tabs>
          <w:tab w:val="left" w:pos="-720"/>
        </w:tabs>
        <w:suppressAutoHyphens/>
        <w:jc w:val="both"/>
        <w:rPr>
          <w:spacing w:val="-3"/>
        </w:rPr>
      </w:pPr>
      <w:r>
        <w:rPr>
          <w:spacing w:val="-3"/>
        </w:rPr>
        <w:t>Philadelphia Gas Works</w:t>
      </w:r>
      <w:r>
        <w:rPr>
          <w:spacing w:val="-3"/>
        </w:rPr>
        <w:tab/>
      </w:r>
      <w:r w:rsidR="00BB3282" w:rsidRPr="00BB3282">
        <w:rPr>
          <w:spacing w:val="-3"/>
        </w:rPr>
        <w:tab/>
      </w:r>
      <w:r w:rsidR="00BB3282" w:rsidRPr="00BB3282">
        <w:rPr>
          <w:spacing w:val="-3"/>
        </w:rPr>
        <w:tab/>
      </w:r>
      <w:r w:rsidR="00BB3282" w:rsidRPr="00BB3282">
        <w:rPr>
          <w:spacing w:val="-3"/>
        </w:rPr>
        <w:tab/>
        <w:t>:</w:t>
      </w:r>
    </w:p>
    <w:p w:rsidR="00C97272" w:rsidRDefault="00C97272" w:rsidP="00D65D31">
      <w:pPr>
        <w:widowControl w:val="0"/>
        <w:adjustRightInd w:val="0"/>
        <w:rPr>
          <w:bCs/>
          <w:color w:val="000000"/>
        </w:rPr>
      </w:pPr>
    </w:p>
    <w:p w:rsidR="00C97272" w:rsidRDefault="00C97272" w:rsidP="00D65D31">
      <w:pPr>
        <w:widowControl w:val="0"/>
        <w:adjustRightInd w:val="0"/>
        <w:rPr>
          <w:bCs/>
          <w:color w:val="000000"/>
        </w:rPr>
      </w:pPr>
    </w:p>
    <w:p w:rsidR="009A72D5" w:rsidRDefault="009A72D5" w:rsidP="00D65D31">
      <w:pPr>
        <w:widowControl w:val="0"/>
        <w:adjustRightInd w:val="0"/>
        <w:rPr>
          <w:bCs/>
          <w:color w:val="000000"/>
        </w:rPr>
      </w:pPr>
    </w:p>
    <w:p w:rsidR="0062545F" w:rsidRDefault="0062545F" w:rsidP="0062545F">
      <w:pPr>
        <w:tabs>
          <w:tab w:val="center" w:pos="4680"/>
        </w:tabs>
        <w:suppressAutoHyphens/>
        <w:jc w:val="center"/>
        <w:rPr>
          <w:b/>
          <w:bCs/>
          <w:spacing w:val="-3"/>
          <w:u w:val="single"/>
        </w:rPr>
      </w:pPr>
      <w:r w:rsidRPr="00550B34">
        <w:rPr>
          <w:b/>
          <w:bCs/>
          <w:spacing w:val="-3"/>
          <w:u w:val="single"/>
        </w:rPr>
        <w:t>ORDER</w:t>
      </w:r>
    </w:p>
    <w:p w:rsidR="000629B2" w:rsidRDefault="00C438C1" w:rsidP="00D82F04">
      <w:pPr>
        <w:pStyle w:val="Style"/>
        <w:jc w:val="center"/>
        <w:rPr>
          <w:b/>
          <w:bCs/>
          <w:color w:val="000000"/>
          <w:u w:val="single"/>
        </w:rPr>
      </w:pPr>
      <w:r w:rsidRPr="004A3DB7">
        <w:rPr>
          <w:b/>
          <w:bCs/>
          <w:spacing w:val="-3"/>
          <w:u w:val="single"/>
        </w:rPr>
        <w:t xml:space="preserve">DENYING </w:t>
      </w:r>
      <w:r w:rsidR="00071CA9">
        <w:rPr>
          <w:b/>
          <w:bCs/>
          <w:spacing w:val="-3"/>
          <w:u w:val="single"/>
        </w:rPr>
        <w:t>MOTION FOR SUMMARY JUDGMENT</w:t>
      </w:r>
    </w:p>
    <w:p w:rsidR="00A82D94" w:rsidRPr="00A82D94" w:rsidRDefault="00A82D94" w:rsidP="009A72D5">
      <w:pPr>
        <w:widowControl w:val="0"/>
        <w:adjustRightInd w:val="0"/>
        <w:jc w:val="center"/>
        <w:rPr>
          <w:b/>
          <w:bCs/>
          <w:color w:val="000000"/>
          <w:u w:val="single"/>
        </w:rPr>
      </w:pPr>
    </w:p>
    <w:p w:rsidR="00E67635" w:rsidRDefault="00E67635" w:rsidP="009A72D5">
      <w:pPr>
        <w:widowControl w:val="0"/>
        <w:adjustRightInd w:val="0"/>
        <w:rPr>
          <w:b/>
          <w:bCs/>
          <w:spacing w:val="-3"/>
          <w:u w:val="single"/>
        </w:rPr>
      </w:pPr>
    </w:p>
    <w:p w:rsidR="005570B3" w:rsidRDefault="00F21B5D" w:rsidP="009A72D5">
      <w:pPr>
        <w:adjustRightInd w:val="0"/>
        <w:spacing w:line="360" w:lineRule="auto"/>
        <w:rPr>
          <w:bCs/>
          <w:color w:val="000000"/>
        </w:rPr>
      </w:pPr>
      <w:r>
        <w:rPr>
          <w:bCs/>
          <w:color w:val="000000"/>
        </w:rPr>
        <w:tab/>
      </w:r>
      <w:r>
        <w:rPr>
          <w:bCs/>
          <w:color w:val="000000"/>
        </w:rPr>
        <w:tab/>
        <w:t>On</w:t>
      </w:r>
      <w:r w:rsidR="00D82F04">
        <w:rPr>
          <w:bCs/>
          <w:color w:val="000000"/>
        </w:rPr>
        <w:t xml:space="preserve"> </w:t>
      </w:r>
      <w:r w:rsidR="005570B3">
        <w:rPr>
          <w:bCs/>
          <w:color w:val="000000"/>
        </w:rPr>
        <w:t xml:space="preserve">August 4, 2015, Steven Feldman filed with the Pennsylvania Public Utility Commission a formal complaint against Philadelphia Gas Works (PGW or “the Company”), Docket Number C-2015-2497230.  In his complaint, Mr. Feldman averred that PGW is threatening to shut off his utility service or has already shut off his utility service and that he would like a payment agreement.  Mr. Feldman also averred that he believes he was being overcharged for service “for years” and that there has been a pattern where he would pay down his balance every year only to have his balance increase again.  Mr. Feldman provided additional information in his complaint, including that PGW shut off his gas service in the winter of 2013 </w:t>
      </w:r>
      <w:r w:rsidR="006E13EB">
        <w:rPr>
          <w:bCs/>
          <w:color w:val="000000"/>
        </w:rPr>
        <w:t>without receiving notice causing</w:t>
      </w:r>
      <w:r w:rsidR="005570B3">
        <w:rPr>
          <w:bCs/>
          <w:color w:val="000000"/>
        </w:rPr>
        <w:t xml:space="preserve"> his water pipes to break and also that he believes his meter is defective.  Mr. Feldman requested, among other things, that he be refunded for the amounts he was overcharged.  Mr. Feldman attached to his complaint copies of various bills in support of his position.</w:t>
      </w:r>
    </w:p>
    <w:p w:rsidR="005570B3" w:rsidRDefault="005570B3" w:rsidP="009A72D5">
      <w:pPr>
        <w:adjustRightInd w:val="0"/>
        <w:spacing w:line="360" w:lineRule="auto"/>
        <w:rPr>
          <w:bCs/>
          <w:color w:val="000000"/>
        </w:rPr>
      </w:pPr>
    </w:p>
    <w:p w:rsidR="00681390" w:rsidRDefault="005570B3" w:rsidP="009A72D5">
      <w:pPr>
        <w:adjustRightInd w:val="0"/>
        <w:spacing w:line="360" w:lineRule="auto"/>
        <w:ind w:firstLine="1440"/>
        <w:rPr>
          <w:bCs/>
          <w:color w:val="000000"/>
        </w:rPr>
      </w:pPr>
      <w:r>
        <w:rPr>
          <w:bCs/>
          <w:color w:val="000000"/>
        </w:rPr>
        <w:t xml:space="preserve">On August 31, 2015, PGW filed an Answer to Mr. Feldman’s complaint.  In its Answer, PGW admitted or denied the various averments made by Mr. Feldman.  In particular, PGW admitted that it issued a shut off notice to the Service Address in June, 2012 and that Mr. Feldman seeks a payment agreement for service at the Service Address.  </w:t>
      </w:r>
      <w:r w:rsidR="00681390">
        <w:rPr>
          <w:bCs/>
          <w:color w:val="000000"/>
        </w:rPr>
        <w:t xml:space="preserve">PGW also provided information about a payment agreement established by the Commission’s Bureau of Consumer Services </w:t>
      </w:r>
      <w:r w:rsidR="006E13EB">
        <w:rPr>
          <w:bCs/>
          <w:color w:val="000000"/>
        </w:rPr>
        <w:t xml:space="preserve">(BCS) </w:t>
      </w:r>
      <w:r w:rsidR="00681390">
        <w:rPr>
          <w:bCs/>
          <w:color w:val="000000"/>
        </w:rPr>
        <w:t xml:space="preserve">and additional information regarding </w:t>
      </w:r>
      <w:r w:rsidR="00681390">
        <w:rPr>
          <w:bCs/>
          <w:color w:val="000000"/>
        </w:rPr>
        <w:lastRenderedPageBreak/>
        <w:t>the account.  In its New Matter,</w:t>
      </w:r>
      <w:r w:rsidR="00681390">
        <w:rPr>
          <w:rStyle w:val="FootnoteReference"/>
          <w:bCs/>
          <w:color w:val="000000"/>
        </w:rPr>
        <w:footnoteReference w:id="1"/>
      </w:r>
      <w:r w:rsidR="00681390">
        <w:rPr>
          <w:bCs/>
          <w:color w:val="000000"/>
        </w:rPr>
        <w:t xml:space="preserve"> PGW noted that the statute of limitations prohibits any action for recovery unless it is brought within three years from the date the liability arose and that, therefore, Mr. Feldman has lost any right to pursue claims brought outside the statute of limitations.  </w:t>
      </w:r>
    </w:p>
    <w:p w:rsidR="00681390" w:rsidRDefault="00681390" w:rsidP="009A72D5">
      <w:pPr>
        <w:adjustRightInd w:val="0"/>
        <w:spacing w:line="360" w:lineRule="auto"/>
        <w:ind w:firstLine="1440"/>
        <w:rPr>
          <w:bCs/>
          <w:color w:val="000000"/>
        </w:rPr>
      </w:pPr>
    </w:p>
    <w:p w:rsidR="00C44910" w:rsidRDefault="00681390" w:rsidP="009A72D5">
      <w:pPr>
        <w:adjustRightInd w:val="0"/>
        <w:spacing w:line="360" w:lineRule="auto"/>
        <w:ind w:firstLine="1440"/>
        <w:rPr>
          <w:bCs/>
          <w:color w:val="000000"/>
        </w:rPr>
      </w:pPr>
      <w:r>
        <w:rPr>
          <w:bCs/>
          <w:color w:val="000000"/>
        </w:rPr>
        <w:t xml:space="preserve">Also on August 31, 2015, PGW </w:t>
      </w:r>
      <w:r w:rsidR="006E13EB">
        <w:rPr>
          <w:bCs/>
          <w:color w:val="000000"/>
        </w:rPr>
        <w:t>filed a Motion for Summary Judg</w:t>
      </w:r>
      <w:r>
        <w:rPr>
          <w:bCs/>
          <w:color w:val="000000"/>
        </w:rPr>
        <w:t xml:space="preserve">ment.  In its Motion, which was accompanied by a Notice to Plead, PGW reiterated its recitation of the account history and also reiterated its position that Mr. Feldman has lost his right to pursue litigation regarding his account for the time period he is contesting because that time period falls outside the statute of limitations.  PGW added that the Commission is without jurisdiction to hear a cause of action arising from the </w:t>
      </w:r>
      <w:r w:rsidR="00C44910">
        <w:rPr>
          <w:bCs/>
          <w:color w:val="000000"/>
        </w:rPr>
        <w:t>account for gas service from 2010-2011.  PGW attached to its Motion various documents in support of its position that Mr. Feldman’s complaint should be dismissed.</w:t>
      </w:r>
    </w:p>
    <w:p w:rsidR="00C44910" w:rsidRDefault="00C44910" w:rsidP="009A72D5">
      <w:pPr>
        <w:adjustRightInd w:val="0"/>
        <w:spacing w:line="360" w:lineRule="auto"/>
        <w:ind w:firstLine="1440"/>
        <w:rPr>
          <w:bCs/>
          <w:color w:val="000000"/>
        </w:rPr>
      </w:pPr>
    </w:p>
    <w:p w:rsidR="00D81384" w:rsidRDefault="00C44910" w:rsidP="009A72D5">
      <w:pPr>
        <w:adjustRightInd w:val="0"/>
        <w:spacing w:line="360" w:lineRule="auto"/>
        <w:ind w:firstLine="1440"/>
        <w:rPr>
          <w:bCs/>
          <w:color w:val="000000"/>
        </w:rPr>
      </w:pPr>
      <w:r>
        <w:rPr>
          <w:bCs/>
          <w:color w:val="000000"/>
        </w:rPr>
        <w:t xml:space="preserve">On September 21, 2015, Mr. Feldman filed an Answer to PGW’s Motion.  </w:t>
      </w:r>
      <w:r w:rsidR="005F1772">
        <w:rPr>
          <w:bCs/>
          <w:color w:val="000000"/>
        </w:rPr>
        <w:t xml:space="preserve">In his Answer, </w:t>
      </w:r>
      <w:r w:rsidR="00D81384">
        <w:rPr>
          <w:bCs/>
          <w:color w:val="000000"/>
        </w:rPr>
        <w:t>Mr. Feldman provided significant detail regarding why</w:t>
      </w:r>
      <w:r w:rsidR="006E13EB">
        <w:rPr>
          <w:bCs/>
          <w:color w:val="000000"/>
        </w:rPr>
        <w:t xml:space="preserve"> he believes</w:t>
      </w:r>
      <w:r w:rsidR="00D81384">
        <w:rPr>
          <w:bCs/>
          <w:color w:val="000000"/>
        </w:rPr>
        <w:t xml:space="preserve"> the Motion should be denied and his complaint should be allowed to proceed to a hearing.  Among other things, Mr. Feldman argued that PGW’s application of the statute of limitations to the facts of his case is incorrect.  Mr. Feldman also argued that he has been having difficulty communicating with the Company about his account and receiving necessary documents to pursue his case.  Mr. Feldman provided additional </w:t>
      </w:r>
      <w:proofErr w:type="gramStart"/>
      <w:r w:rsidR="00D81384">
        <w:rPr>
          <w:bCs/>
          <w:color w:val="000000"/>
        </w:rPr>
        <w:t>detail in support of his position</w:t>
      </w:r>
      <w:proofErr w:type="gramEnd"/>
      <w:r w:rsidR="00D81384">
        <w:rPr>
          <w:bCs/>
          <w:color w:val="000000"/>
        </w:rPr>
        <w:t xml:space="preserve"> that PGW’s Motion should be denied.</w:t>
      </w:r>
    </w:p>
    <w:p w:rsidR="00D81384" w:rsidRDefault="00D81384" w:rsidP="009A72D5">
      <w:pPr>
        <w:adjustRightInd w:val="0"/>
        <w:spacing w:line="360" w:lineRule="auto"/>
        <w:ind w:firstLine="1440"/>
        <w:rPr>
          <w:bCs/>
          <w:color w:val="000000"/>
        </w:rPr>
      </w:pPr>
    </w:p>
    <w:p w:rsidR="00D81384" w:rsidRDefault="00D81384" w:rsidP="009A72D5">
      <w:pPr>
        <w:adjustRightInd w:val="0"/>
        <w:spacing w:line="360" w:lineRule="auto"/>
        <w:ind w:firstLine="1440"/>
        <w:rPr>
          <w:bCs/>
          <w:color w:val="000000"/>
        </w:rPr>
      </w:pPr>
      <w:r>
        <w:rPr>
          <w:bCs/>
          <w:color w:val="000000"/>
        </w:rPr>
        <w:t>On October 13, 2015, the Commission issued a Motion Judge Assignment Notice indicating that I was being assigned to resolve any issues which may arise during the preliminary phase of this proceeding.  PGW’s Motion for Summary Judgment is now ready for disposition.  For the reasons discussed below, PGW’s Motion will be denied and Mr. Feldman’s complaint will be allowed to proceed to a hearing before an Administrative Law Judge.</w:t>
      </w:r>
    </w:p>
    <w:p w:rsidR="00D81384" w:rsidRDefault="00D81384" w:rsidP="009A72D5">
      <w:pPr>
        <w:adjustRightInd w:val="0"/>
        <w:spacing w:line="360" w:lineRule="auto"/>
        <w:ind w:firstLine="1440"/>
        <w:rPr>
          <w:bCs/>
          <w:color w:val="000000"/>
        </w:rPr>
      </w:pPr>
    </w:p>
    <w:p w:rsidR="005470E2" w:rsidRPr="007712DD" w:rsidRDefault="005470E2" w:rsidP="009A72D5">
      <w:pPr>
        <w:spacing w:line="360" w:lineRule="auto"/>
        <w:ind w:firstLine="1440"/>
        <w:rPr>
          <w:rFonts w:eastAsia="Calibri"/>
          <w:bCs/>
          <w:color w:val="000000"/>
        </w:rPr>
      </w:pPr>
      <w:r w:rsidRPr="007712DD">
        <w:rPr>
          <w:color w:val="000000"/>
        </w:rPr>
        <w:lastRenderedPageBreak/>
        <w:t>The Commission’s Rules of Administrative Practice and Procedure, 52 Pa. Code Chapters 1, 3 and 5, provide for the filing of Motions for Summary Judgment.  In particular, Section 5.102 of t</w:t>
      </w:r>
      <w:r w:rsidRPr="007712DD">
        <w:rPr>
          <w:rFonts w:eastAsia="Calibri"/>
          <w:bCs/>
          <w:color w:val="000000"/>
        </w:rPr>
        <w:t>he Commission’s Rules provides in relevant part:</w:t>
      </w:r>
    </w:p>
    <w:p w:rsidR="005470E2" w:rsidRPr="007712DD" w:rsidRDefault="005470E2" w:rsidP="009A72D5">
      <w:pPr>
        <w:spacing w:line="360" w:lineRule="auto"/>
        <w:rPr>
          <w:rFonts w:eastAsia="Calibri"/>
          <w:b/>
          <w:bCs/>
          <w:color w:val="000000"/>
        </w:rPr>
      </w:pPr>
    </w:p>
    <w:p w:rsidR="005470E2" w:rsidRPr="007712DD" w:rsidRDefault="005470E2" w:rsidP="005470E2">
      <w:pPr>
        <w:ind w:left="1440" w:right="1440"/>
        <w:rPr>
          <w:rFonts w:eastAsia="Calibri"/>
          <w:b/>
          <w:bCs/>
          <w:color w:val="000000"/>
        </w:rPr>
      </w:pPr>
      <w:r w:rsidRPr="007712DD">
        <w:rPr>
          <w:rFonts w:eastAsia="Calibri"/>
          <w:b/>
          <w:bCs/>
          <w:color w:val="000000"/>
        </w:rPr>
        <w:t>§ 5.102 Motions for summary judgment and judgment on the pleadings.</w:t>
      </w:r>
    </w:p>
    <w:p w:rsidR="005470E2" w:rsidRPr="007712DD" w:rsidRDefault="005470E2" w:rsidP="005470E2">
      <w:pPr>
        <w:ind w:left="1440" w:right="1440"/>
        <w:rPr>
          <w:rFonts w:eastAsia="Calibri"/>
          <w:b/>
          <w:bCs/>
          <w:color w:val="000000"/>
        </w:rPr>
      </w:pPr>
    </w:p>
    <w:p w:rsidR="005470E2" w:rsidRPr="007712DD" w:rsidRDefault="005470E2" w:rsidP="005470E2">
      <w:pPr>
        <w:numPr>
          <w:ilvl w:val="0"/>
          <w:numId w:val="25"/>
        </w:numPr>
        <w:ind w:left="1440" w:right="1440" w:firstLine="0"/>
        <w:rPr>
          <w:rFonts w:eastAsia="Calibri"/>
          <w:bCs/>
          <w:color w:val="000000"/>
        </w:rPr>
      </w:pPr>
      <w:r w:rsidRPr="007712DD">
        <w:rPr>
          <w:rFonts w:eastAsia="Calibri"/>
          <w:bCs/>
          <w:i/>
          <w:color w:val="000000"/>
        </w:rPr>
        <w:t>Generally</w:t>
      </w:r>
      <w:r w:rsidRPr="007712DD">
        <w:rPr>
          <w:rFonts w:eastAsia="Calibri"/>
          <w:bCs/>
          <w:color w:val="000000"/>
        </w:rPr>
        <w:t>.  After the pleadings are closed, but within a time so that the hearing is not delayed, a party may move for judgment on the pleadings or summary judgment.  A motion must contain a notice which states that an answer or other responsive pleading shall be filed within 20 days of service of the motion.</w:t>
      </w:r>
    </w:p>
    <w:p w:rsidR="005470E2" w:rsidRPr="007712DD" w:rsidRDefault="005470E2" w:rsidP="009A72D5">
      <w:pPr>
        <w:spacing w:line="360" w:lineRule="auto"/>
        <w:ind w:left="1440" w:right="1440"/>
        <w:rPr>
          <w:rFonts w:eastAsia="Calibri"/>
          <w:bCs/>
          <w:color w:val="000000"/>
        </w:rPr>
      </w:pPr>
    </w:p>
    <w:p w:rsidR="005470E2" w:rsidRPr="007712DD" w:rsidRDefault="005470E2" w:rsidP="005470E2">
      <w:pPr>
        <w:ind w:left="1440" w:right="1440"/>
        <w:jc w:val="center"/>
        <w:rPr>
          <w:rFonts w:eastAsia="Calibri"/>
          <w:bCs/>
          <w:color w:val="000000"/>
        </w:rPr>
      </w:pPr>
      <w:r w:rsidRPr="007712DD">
        <w:rPr>
          <w:rFonts w:eastAsia="Calibri"/>
          <w:bCs/>
          <w:color w:val="000000"/>
        </w:rPr>
        <w:t>* * *</w:t>
      </w:r>
    </w:p>
    <w:p w:rsidR="005470E2" w:rsidRPr="007712DD" w:rsidRDefault="005470E2" w:rsidP="009A72D5">
      <w:pPr>
        <w:spacing w:line="360" w:lineRule="auto"/>
        <w:ind w:left="1440" w:right="1440"/>
        <w:jc w:val="center"/>
        <w:rPr>
          <w:rFonts w:eastAsia="Calibri"/>
          <w:bCs/>
          <w:color w:val="000000"/>
        </w:rPr>
      </w:pPr>
    </w:p>
    <w:p w:rsidR="005470E2" w:rsidRPr="007712DD" w:rsidRDefault="005470E2" w:rsidP="005470E2">
      <w:pPr>
        <w:ind w:left="1440" w:right="1440"/>
        <w:rPr>
          <w:rFonts w:eastAsia="Calibri"/>
          <w:bCs/>
          <w:color w:val="000000"/>
        </w:rPr>
      </w:pPr>
      <w:r w:rsidRPr="007712DD">
        <w:rPr>
          <w:rFonts w:eastAsia="Calibri"/>
          <w:bCs/>
          <w:color w:val="000000"/>
        </w:rPr>
        <w:t xml:space="preserve">(d) </w:t>
      </w:r>
      <w:r w:rsidRPr="007712DD">
        <w:rPr>
          <w:rFonts w:eastAsia="Calibri"/>
          <w:bCs/>
          <w:color w:val="000000"/>
        </w:rPr>
        <w:tab/>
      </w:r>
      <w:r w:rsidRPr="007712DD">
        <w:rPr>
          <w:rFonts w:eastAsia="Calibri"/>
          <w:bCs/>
          <w:i/>
          <w:color w:val="000000"/>
        </w:rPr>
        <w:t>Decisions on Motions</w:t>
      </w:r>
      <w:r w:rsidRPr="007712DD">
        <w:rPr>
          <w:rFonts w:eastAsia="Calibri"/>
          <w:bCs/>
          <w:color w:val="000000"/>
        </w:rPr>
        <w:t>.</w:t>
      </w:r>
    </w:p>
    <w:p w:rsidR="005470E2" w:rsidRPr="007712DD" w:rsidRDefault="005470E2" w:rsidP="009A72D5">
      <w:pPr>
        <w:spacing w:line="360" w:lineRule="auto"/>
        <w:ind w:left="1440" w:right="1440"/>
        <w:rPr>
          <w:rFonts w:eastAsia="Calibri"/>
          <w:bCs/>
          <w:color w:val="000000"/>
        </w:rPr>
      </w:pPr>
    </w:p>
    <w:p w:rsidR="005470E2" w:rsidRPr="007712DD" w:rsidRDefault="005470E2" w:rsidP="005470E2">
      <w:pPr>
        <w:numPr>
          <w:ilvl w:val="0"/>
          <w:numId w:val="26"/>
        </w:numPr>
        <w:ind w:left="1440" w:right="1440" w:firstLine="0"/>
        <w:rPr>
          <w:rFonts w:eastAsia="Calibri"/>
          <w:bCs/>
          <w:color w:val="000000"/>
        </w:rPr>
      </w:pPr>
      <w:r w:rsidRPr="007712DD">
        <w:rPr>
          <w:rFonts w:eastAsia="Calibri"/>
          <w:bCs/>
          <w:i/>
          <w:color w:val="000000"/>
        </w:rPr>
        <w:t>Standard for grant or denial on all counts</w:t>
      </w:r>
      <w:r w:rsidRPr="007712DD">
        <w:rPr>
          <w:rFonts w:eastAsia="Calibri"/>
          <w:bCs/>
          <w:color w:val="000000"/>
        </w:rPr>
        <w:t>.  The presiding officer will grant or deny a motion for judgment on the pleadings or a motion for summary judgment, as appropriate.  The judgment sought will be rendered if the applicable pleadings, depositions, answers to interrogatories and admissions, together with affidavits, if any, show that there is no genuine issue as to a material fact and that the moving party is entitled to a judgment as a matter of law.</w:t>
      </w:r>
    </w:p>
    <w:p w:rsidR="005470E2" w:rsidRPr="007712DD" w:rsidRDefault="005470E2" w:rsidP="005470E2">
      <w:pPr>
        <w:ind w:left="1440" w:right="1440"/>
        <w:rPr>
          <w:rFonts w:eastAsia="Calibri"/>
          <w:bCs/>
          <w:color w:val="000000"/>
        </w:rPr>
      </w:pPr>
    </w:p>
    <w:p w:rsidR="005470E2" w:rsidRPr="007712DD" w:rsidRDefault="005470E2" w:rsidP="005470E2">
      <w:pPr>
        <w:ind w:left="1440" w:right="1440"/>
        <w:rPr>
          <w:rFonts w:eastAsia="Calibri"/>
          <w:bCs/>
          <w:color w:val="000000"/>
        </w:rPr>
      </w:pPr>
      <w:r w:rsidRPr="007712DD">
        <w:rPr>
          <w:rFonts w:eastAsia="Calibri"/>
          <w:bCs/>
          <w:color w:val="000000"/>
        </w:rPr>
        <w:t xml:space="preserve">(2)  </w:t>
      </w:r>
      <w:r w:rsidRPr="007712DD">
        <w:rPr>
          <w:rFonts w:eastAsia="Calibri"/>
          <w:bCs/>
          <w:color w:val="000000"/>
        </w:rPr>
        <w:tab/>
      </w:r>
      <w:r w:rsidRPr="007712DD">
        <w:rPr>
          <w:rFonts w:eastAsia="Calibri"/>
          <w:bCs/>
          <w:i/>
          <w:color w:val="000000"/>
        </w:rPr>
        <w:t>Standard for grant or denial in part</w:t>
      </w:r>
      <w:r w:rsidRPr="007712DD">
        <w:rPr>
          <w:rFonts w:eastAsia="Calibri"/>
          <w:bCs/>
          <w:color w:val="000000"/>
        </w:rPr>
        <w:t>.  The presiding officer may grant a partial summary judgment if the pleadings, depositions, answers to interrogatories and admissions, together with the affidavits, if any, show that there is no genuine issue as to a material fact and that the moving party is entitled to a judgment as a matter of law on one or more but not all outstanding issues.</w:t>
      </w:r>
    </w:p>
    <w:p w:rsidR="005470E2" w:rsidRPr="007712DD" w:rsidRDefault="005470E2" w:rsidP="009A72D5">
      <w:pPr>
        <w:spacing w:line="360" w:lineRule="auto"/>
        <w:ind w:left="1440" w:right="1440"/>
        <w:rPr>
          <w:rFonts w:eastAsia="Calibri"/>
          <w:bCs/>
          <w:color w:val="000000"/>
        </w:rPr>
      </w:pPr>
    </w:p>
    <w:p w:rsidR="005470E2" w:rsidRPr="007712DD" w:rsidRDefault="005470E2" w:rsidP="009A72D5">
      <w:pPr>
        <w:spacing w:line="360" w:lineRule="auto"/>
        <w:rPr>
          <w:rFonts w:eastAsia="Calibri"/>
          <w:bCs/>
          <w:color w:val="000000"/>
        </w:rPr>
      </w:pPr>
      <w:r w:rsidRPr="007712DD">
        <w:rPr>
          <w:rFonts w:eastAsia="Calibri"/>
          <w:bCs/>
          <w:color w:val="000000"/>
        </w:rPr>
        <w:t>52 Pa. Code § 5.102(a), (d</w:t>
      </w:r>
      <w:proofErr w:type="gramStart"/>
      <w:r w:rsidRPr="007712DD">
        <w:rPr>
          <w:rFonts w:eastAsia="Calibri"/>
          <w:bCs/>
          <w:color w:val="000000"/>
        </w:rPr>
        <w:t>)(</w:t>
      </w:r>
      <w:proofErr w:type="gramEnd"/>
      <w:r w:rsidRPr="007712DD">
        <w:rPr>
          <w:rFonts w:eastAsia="Calibri"/>
          <w:bCs/>
          <w:color w:val="000000"/>
        </w:rPr>
        <w:t xml:space="preserve">1) and (d)(2).  </w:t>
      </w:r>
      <w:r w:rsidR="000B07F1" w:rsidRPr="007712DD">
        <w:rPr>
          <w:snapToGrid w:val="0"/>
        </w:rPr>
        <w:t>When disposing of a Motion for Summary Judgment</w:t>
      </w:r>
      <w:r w:rsidRPr="007712DD">
        <w:rPr>
          <w:snapToGrid w:val="0"/>
        </w:rPr>
        <w:t xml:space="preserve">, the record must be examined in the light most favorable to the nonmoving party.  </w:t>
      </w:r>
      <w:r w:rsidRPr="007712DD">
        <w:rPr>
          <w:snapToGrid w:val="0"/>
          <w:u w:val="single"/>
        </w:rPr>
        <w:t>First Mortgage Co. of Pennsylvania v. McCall</w:t>
      </w:r>
      <w:r w:rsidRPr="007712DD">
        <w:rPr>
          <w:snapToGrid w:val="0"/>
        </w:rPr>
        <w:t xml:space="preserve">, 313 Pa. Superior Ct. 54, 56, 459 </w:t>
      </w:r>
      <w:r w:rsidRPr="007712DD">
        <w:rPr>
          <w:snapToGrid w:val="0"/>
        </w:rPr>
        <w:lastRenderedPageBreak/>
        <w:t xml:space="preserve">A.2d 406, 408 (1983).  To avoid the motion for summary judgment, the nonmoving party must set forth facts showing that there is a genuine issue for trial.  </w:t>
      </w:r>
      <w:r w:rsidRPr="007712DD">
        <w:rPr>
          <w:snapToGrid w:val="0"/>
          <w:u w:val="single"/>
        </w:rPr>
        <w:t>Id</w:t>
      </w:r>
      <w:r w:rsidRPr="007712DD">
        <w:rPr>
          <w:snapToGrid w:val="0"/>
        </w:rPr>
        <w:t>. at 58-59.</w:t>
      </w:r>
    </w:p>
    <w:p w:rsidR="005470E2" w:rsidRPr="007712DD" w:rsidRDefault="005470E2" w:rsidP="009A72D5">
      <w:pPr>
        <w:spacing w:line="360" w:lineRule="auto"/>
        <w:ind w:firstLine="1440"/>
        <w:rPr>
          <w:snapToGrid w:val="0"/>
        </w:rPr>
      </w:pPr>
    </w:p>
    <w:p w:rsidR="007712DD" w:rsidRDefault="005470E2" w:rsidP="009A72D5">
      <w:pPr>
        <w:pStyle w:val="Style"/>
        <w:widowControl/>
        <w:spacing w:line="360" w:lineRule="auto"/>
        <w:ind w:firstLine="1440"/>
        <w:rPr>
          <w:snapToGrid w:val="0"/>
        </w:rPr>
      </w:pPr>
      <w:r w:rsidRPr="007712DD">
        <w:rPr>
          <w:snapToGrid w:val="0"/>
        </w:rPr>
        <w:t>In this case</w:t>
      </w:r>
      <w:r w:rsidR="007712DD">
        <w:rPr>
          <w:snapToGrid w:val="0"/>
        </w:rPr>
        <w:t>, Mr. Feldman explained in his complaint that</w:t>
      </w:r>
      <w:r w:rsidR="005C732D">
        <w:rPr>
          <w:snapToGrid w:val="0"/>
        </w:rPr>
        <w:t xml:space="preserve"> he filed a </w:t>
      </w:r>
      <w:r w:rsidR="006E13EB">
        <w:rPr>
          <w:snapToGrid w:val="0"/>
        </w:rPr>
        <w:t xml:space="preserve">prior </w:t>
      </w:r>
      <w:r w:rsidR="005C732D">
        <w:rPr>
          <w:snapToGrid w:val="0"/>
        </w:rPr>
        <w:t xml:space="preserve">complaint with the Commission about being overcharged for years, “particularly 2010 and 2011.”  Mr. Feldman added that he was in Chapter 13 bankruptcy in October 2011 and that the complaint was never resolved.  Mr. Feldman added that PGW shut off his gas in the winter of 2013 causing water pipes to break and that he never received a shut off notice because he had moved.  Mr. Feldman also added that he believes his meter is defective.  </w:t>
      </w:r>
      <w:r w:rsidR="006E13EB">
        <w:rPr>
          <w:snapToGrid w:val="0"/>
        </w:rPr>
        <w:t xml:space="preserve">In his </w:t>
      </w:r>
      <w:r w:rsidR="00222F72">
        <w:rPr>
          <w:snapToGrid w:val="0"/>
        </w:rPr>
        <w:t>a</w:t>
      </w:r>
      <w:r w:rsidR="006E13EB">
        <w:rPr>
          <w:snapToGrid w:val="0"/>
        </w:rPr>
        <w:t xml:space="preserve">nswer to PGW’s Motion, </w:t>
      </w:r>
      <w:r w:rsidR="00463614">
        <w:rPr>
          <w:snapToGrid w:val="0"/>
        </w:rPr>
        <w:t>Mr. Feldman reiterated these statemen</w:t>
      </w:r>
      <w:r w:rsidR="00794111">
        <w:rPr>
          <w:snapToGrid w:val="0"/>
        </w:rPr>
        <w:t>ts and added additional informa</w:t>
      </w:r>
      <w:r w:rsidR="00463614">
        <w:rPr>
          <w:snapToGrid w:val="0"/>
        </w:rPr>
        <w:t>t</w:t>
      </w:r>
      <w:r w:rsidR="00794111">
        <w:rPr>
          <w:snapToGrid w:val="0"/>
        </w:rPr>
        <w:t>i</w:t>
      </w:r>
      <w:r w:rsidR="00463614">
        <w:rPr>
          <w:snapToGrid w:val="0"/>
        </w:rPr>
        <w:t>on.</w:t>
      </w:r>
    </w:p>
    <w:p w:rsidR="00463614" w:rsidRDefault="00463614" w:rsidP="009A72D5">
      <w:pPr>
        <w:pStyle w:val="Style"/>
        <w:widowControl/>
        <w:spacing w:line="360" w:lineRule="auto"/>
        <w:ind w:firstLine="1440"/>
        <w:rPr>
          <w:snapToGrid w:val="0"/>
        </w:rPr>
      </w:pPr>
    </w:p>
    <w:p w:rsidR="00463614" w:rsidRDefault="00463614" w:rsidP="009A72D5">
      <w:pPr>
        <w:pStyle w:val="Style"/>
        <w:widowControl/>
        <w:spacing w:line="360" w:lineRule="auto"/>
        <w:ind w:firstLine="1440"/>
        <w:rPr>
          <w:snapToGrid w:val="0"/>
        </w:rPr>
      </w:pPr>
      <w:r>
        <w:rPr>
          <w:snapToGrid w:val="0"/>
        </w:rPr>
        <w:t xml:space="preserve">In its Motion, PGW argued that </w:t>
      </w:r>
      <w:r w:rsidR="00794111">
        <w:rPr>
          <w:snapToGrid w:val="0"/>
        </w:rPr>
        <w:t>the complaint should be dismissed because Mr. Feldman has lost his right to pursue litigation regarding his account for gas service from 2010-2011, as any cause of action arising from that time period falls outside the statute of limitations which divests the Commission of jurisdiction.  PGW cited Section 3314 of the Commission’s regulations for the proposition that no action for recovery of penalties or forfeitures, or any prosecution, may be maintained unless brought within three years of the day the liability arose.</w:t>
      </w:r>
    </w:p>
    <w:p w:rsidR="00794111" w:rsidRDefault="00794111" w:rsidP="009A72D5">
      <w:pPr>
        <w:pStyle w:val="Style"/>
        <w:widowControl/>
        <w:spacing w:line="360" w:lineRule="auto"/>
        <w:ind w:firstLine="1440"/>
        <w:rPr>
          <w:snapToGrid w:val="0"/>
        </w:rPr>
      </w:pPr>
    </w:p>
    <w:p w:rsidR="00AD56DB" w:rsidRDefault="00794111" w:rsidP="009A72D5">
      <w:pPr>
        <w:pStyle w:val="Style"/>
        <w:widowControl/>
        <w:spacing w:line="360" w:lineRule="auto"/>
        <w:ind w:firstLine="1440"/>
        <w:rPr>
          <w:snapToGrid w:val="0"/>
        </w:rPr>
      </w:pPr>
      <w:r>
        <w:rPr>
          <w:snapToGrid w:val="0"/>
        </w:rPr>
        <w:t xml:space="preserve">PGW is correct that </w:t>
      </w:r>
      <w:r w:rsidR="00AD56DB">
        <w:rPr>
          <w:snapToGrid w:val="0"/>
        </w:rPr>
        <w:t>Section 3314 of the Public Utility Code provides</w:t>
      </w:r>
      <w:r w:rsidR="00D20091">
        <w:rPr>
          <w:snapToGrid w:val="0"/>
        </w:rPr>
        <w:t>:</w:t>
      </w:r>
    </w:p>
    <w:p w:rsidR="00AD56DB" w:rsidRDefault="00AD56DB" w:rsidP="009A72D5">
      <w:pPr>
        <w:pStyle w:val="Style"/>
        <w:widowControl/>
        <w:spacing w:line="360" w:lineRule="auto"/>
        <w:rPr>
          <w:snapToGrid w:val="0"/>
        </w:rPr>
      </w:pPr>
    </w:p>
    <w:p w:rsidR="00AD56DB" w:rsidRPr="00AD56DB" w:rsidRDefault="00AD56DB" w:rsidP="00AD56DB">
      <w:pPr>
        <w:pStyle w:val="Style"/>
        <w:ind w:left="1440" w:right="1440"/>
        <w:rPr>
          <w:b/>
          <w:snapToGrid w:val="0"/>
        </w:rPr>
      </w:pPr>
      <w:r>
        <w:rPr>
          <w:b/>
          <w:snapToGrid w:val="0"/>
        </w:rPr>
        <w:t xml:space="preserve">§ 3314.  </w:t>
      </w:r>
      <w:proofErr w:type="gramStart"/>
      <w:r>
        <w:rPr>
          <w:b/>
          <w:snapToGrid w:val="0"/>
        </w:rPr>
        <w:t xml:space="preserve">Limitation of actions and </w:t>
      </w:r>
      <w:proofErr w:type="spellStart"/>
      <w:r>
        <w:rPr>
          <w:b/>
          <w:snapToGrid w:val="0"/>
        </w:rPr>
        <w:t>cumulation</w:t>
      </w:r>
      <w:proofErr w:type="spellEnd"/>
      <w:r>
        <w:rPr>
          <w:b/>
          <w:snapToGrid w:val="0"/>
        </w:rPr>
        <w:t xml:space="preserve"> of remedies.</w:t>
      </w:r>
      <w:proofErr w:type="gramEnd"/>
    </w:p>
    <w:p w:rsidR="00AD56DB" w:rsidRPr="00AD56DB" w:rsidRDefault="00AD56DB" w:rsidP="009A72D5">
      <w:pPr>
        <w:pStyle w:val="Style"/>
        <w:spacing w:line="360" w:lineRule="auto"/>
        <w:ind w:left="1440" w:right="1440"/>
        <w:rPr>
          <w:snapToGrid w:val="0"/>
        </w:rPr>
      </w:pPr>
    </w:p>
    <w:p w:rsidR="00AD56DB" w:rsidRDefault="00AD56DB" w:rsidP="00AD56DB">
      <w:pPr>
        <w:pStyle w:val="Style"/>
        <w:numPr>
          <w:ilvl w:val="0"/>
          <w:numId w:val="27"/>
        </w:numPr>
        <w:tabs>
          <w:tab w:val="left" w:pos="1620"/>
        </w:tabs>
        <w:ind w:left="1800" w:right="1440"/>
        <w:rPr>
          <w:snapToGrid w:val="0"/>
        </w:rPr>
      </w:pPr>
      <w:r>
        <w:rPr>
          <w:b/>
          <w:snapToGrid w:val="0"/>
        </w:rPr>
        <w:t xml:space="preserve">General Rule.  </w:t>
      </w:r>
      <w:r>
        <w:rPr>
          <w:snapToGrid w:val="0"/>
        </w:rPr>
        <w:t>No action for the recovery of any penalties or forfeitures incurred under the provisions of this part, and no prosecutions on account of any matter or thing mentioned in this part, shall be maintained unless brought within three years from the date at which the liability therefore arose, except as otherwise provided in this part.</w:t>
      </w:r>
    </w:p>
    <w:p w:rsidR="00AD56DB" w:rsidRDefault="00AD56DB" w:rsidP="00AD56DB">
      <w:pPr>
        <w:pStyle w:val="Style"/>
        <w:tabs>
          <w:tab w:val="left" w:pos="1620"/>
        </w:tabs>
        <w:spacing w:line="360" w:lineRule="auto"/>
        <w:ind w:left="1800"/>
        <w:rPr>
          <w:snapToGrid w:val="0"/>
        </w:rPr>
      </w:pPr>
    </w:p>
    <w:p w:rsidR="00D20091" w:rsidRDefault="00AD56DB" w:rsidP="009A72D5">
      <w:pPr>
        <w:pStyle w:val="Style"/>
        <w:widowControl/>
        <w:spacing w:line="360" w:lineRule="auto"/>
        <w:rPr>
          <w:snapToGrid w:val="0"/>
        </w:rPr>
      </w:pPr>
      <w:proofErr w:type="gramStart"/>
      <w:r>
        <w:rPr>
          <w:snapToGrid w:val="0"/>
        </w:rPr>
        <w:lastRenderedPageBreak/>
        <w:t xml:space="preserve">66 </w:t>
      </w:r>
      <w:proofErr w:type="spellStart"/>
      <w:r>
        <w:rPr>
          <w:snapToGrid w:val="0"/>
        </w:rPr>
        <w:t>Pa.C.S</w:t>
      </w:r>
      <w:proofErr w:type="spellEnd"/>
      <w:r>
        <w:rPr>
          <w:snapToGrid w:val="0"/>
        </w:rPr>
        <w:t>.</w:t>
      </w:r>
      <w:proofErr w:type="gramEnd"/>
      <w:r>
        <w:rPr>
          <w:snapToGrid w:val="0"/>
        </w:rPr>
        <w:t xml:space="preserve"> § 3314(a).</w:t>
      </w:r>
      <w:r w:rsidR="00C23C36">
        <w:rPr>
          <w:rStyle w:val="FootnoteReference"/>
          <w:snapToGrid w:val="0"/>
        </w:rPr>
        <w:footnoteReference w:id="2"/>
      </w:r>
      <w:r w:rsidR="008E715F">
        <w:rPr>
          <w:snapToGrid w:val="0"/>
        </w:rPr>
        <w:t xml:space="preserve">  PGW’s application of Section 3314</w:t>
      </w:r>
      <w:r w:rsidR="00C23C36">
        <w:rPr>
          <w:snapToGrid w:val="0"/>
        </w:rPr>
        <w:t xml:space="preserve"> in its Motion</w:t>
      </w:r>
      <w:r w:rsidR="008E715F">
        <w:rPr>
          <w:snapToGrid w:val="0"/>
        </w:rPr>
        <w:t>, however, fails to consider Mr. Feldman’s averment in his complaint that his “old disputed bill was never resolved.  There was no hearing or proper resolution.”</w:t>
      </w:r>
    </w:p>
    <w:p w:rsidR="00D86EC4" w:rsidRDefault="00D86EC4" w:rsidP="009A72D5">
      <w:pPr>
        <w:pStyle w:val="Style"/>
        <w:widowControl/>
        <w:spacing w:line="360" w:lineRule="auto"/>
        <w:rPr>
          <w:snapToGrid w:val="0"/>
        </w:rPr>
      </w:pPr>
    </w:p>
    <w:p w:rsidR="00C23C36" w:rsidRDefault="00C2609B" w:rsidP="009A72D5">
      <w:pPr>
        <w:pStyle w:val="Style"/>
        <w:widowControl/>
        <w:spacing w:line="360" w:lineRule="auto"/>
        <w:rPr>
          <w:snapToGrid w:val="0"/>
        </w:rPr>
      </w:pPr>
      <w:r>
        <w:rPr>
          <w:snapToGrid w:val="0"/>
        </w:rPr>
        <w:tab/>
      </w:r>
      <w:r>
        <w:rPr>
          <w:snapToGrid w:val="0"/>
        </w:rPr>
        <w:tab/>
      </w:r>
      <w:proofErr w:type="gramStart"/>
      <w:r>
        <w:rPr>
          <w:snapToGrid w:val="0"/>
        </w:rPr>
        <w:t xml:space="preserve">In </w:t>
      </w:r>
      <w:r>
        <w:rPr>
          <w:snapToGrid w:val="0"/>
          <w:u w:val="single"/>
        </w:rPr>
        <w:t>Duquesne Light Company v. Pa. Pub.</w:t>
      </w:r>
      <w:proofErr w:type="gramEnd"/>
      <w:r>
        <w:rPr>
          <w:snapToGrid w:val="0"/>
          <w:u w:val="single"/>
        </w:rPr>
        <w:t xml:space="preserve"> Util. </w:t>
      </w:r>
      <w:proofErr w:type="spellStart"/>
      <w:r>
        <w:rPr>
          <w:snapToGrid w:val="0"/>
          <w:u w:val="single"/>
        </w:rPr>
        <w:t>Comm’n</w:t>
      </w:r>
      <w:proofErr w:type="spellEnd"/>
      <w:r>
        <w:rPr>
          <w:snapToGrid w:val="0"/>
          <w:u w:val="single"/>
        </w:rPr>
        <w:t>.</w:t>
      </w:r>
      <w:r>
        <w:rPr>
          <w:snapToGrid w:val="0"/>
        </w:rPr>
        <w:t xml:space="preserve">, </w:t>
      </w:r>
      <w:r w:rsidR="00B62CB9">
        <w:rPr>
          <w:snapToGrid w:val="0"/>
        </w:rPr>
        <w:t xml:space="preserve">611 A.2d 370 (Pa. </w:t>
      </w:r>
      <w:proofErr w:type="spellStart"/>
      <w:r w:rsidR="00B62CB9">
        <w:rPr>
          <w:snapToGrid w:val="0"/>
        </w:rPr>
        <w:t>Cmwlth</w:t>
      </w:r>
      <w:proofErr w:type="spellEnd"/>
      <w:r w:rsidR="00B62CB9">
        <w:rPr>
          <w:snapToGrid w:val="0"/>
        </w:rPr>
        <w:t xml:space="preserve"> 1992</w:t>
      </w:r>
      <w:r>
        <w:rPr>
          <w:snapToGrid w:val="0"/>
        </w:rPr>
        <w:t xml:space="preserve">), </w:t>
      </w:r>
      <w:r w:rsidR="006E13EB">
        <w:rPr>
          <w:snapToGrid w:val="0"/>
        </w:rPr>
        <w:t>for example</w:t>
      </w:r>
      <w:r>
        <w:rPr>
          <w:snapToGrid w:val="0"/>
        </w:rPr>
        <w:t xml:space="preserve">, the Commonwealth Court affirmed the decision of the Commission that the filing of an informal complaint with </w:t>
      </w:r>
      <w:r w:rsidR="006E13EB">
        <w:rPr>
          <w:snapToGrid w:val="0"/>
        </w:rPr>
        <w:t xml:space="preserve">BCS </w:t>
      </w:r>
      <w:r>
        <w:rPr>
          <w:snapToGrid w:val="0"/>
        </w:rPr>
        <w:t xml:space="preserve">tolls the statute of limitations.  </w:t>
      </w:r>
      <w:r>
        <w:rPr>
          <w:snapToGrid w:val="0"/>
          <w:u w:val="single"/>
        </w:rPr>
        <w:t>Id.</w:t>
      </w:r>
      <w:r>
        <w:rPr>
          <w:snapToGrid w:val="0"/>
        </w:rPr>
        <w:t xml:space="preserve"> at </w:t>
      </w:r>
      <w:r w:rsidR="00625458">
        <w:rPr>
          <w:snapToGrid w:val="0"/>
        </w:rPr>
        <w:t>373 (citations omitted) (noting “the purpose of the underlying informal complaint procedure which is to encourage settlements o</w:t>
      </w:r>
      <w:r w:rsidR="006E13EB">
        <w:rPr>
          <w:snapToGrid w:val="0"/>
        </w:rPr>
        <w:t>f utility billing disputes.”).</w:t>
      </w:r>
    </w:p>
    <w:p w:rsidR="00C23C36" w:rsidRDefault="00C23C36" w:rsidP="009A72D5">
      <w:pPr>
        <w:pStyle w:val="Style"/>
        <w:widowControl/>
        <w:spacing w:line="360" w:lineRule="auto"/>
        <w:rPr>
          <w:snapToGrid w:val="0"/>
        </w:rPr>
      </w:pPr>
    </w:p>
    <w:p w:rsidR="00D86EC4" w:rsidRDefault="008E715F" w:rsidP="009A72D5">
      <w:pPr>
        <w:pStyle w:val="Style"/>
        <w:widowControl/>
        <w:spacing w:line="360" w:lineRule="auto"/>
        <w:ind w:firstLine="1440"/>
        <w:rPr>
          <w:snapToGrid w:val="0"/>
        </w:rPr>
      </w:pPr>
      <w:r>
        <w:rPr>
          <w:snapToGrid w:val="0"/>
        </w:rPr>
        <w:t>In this case</w:t>
      </w:r>
      <w:r w:rsidR="00333765">
        <w:rPr>
          <w:snapToGrid w:val="0"/>
        </w:rPr>
        <w:t xml:space="preserve">, Mr. Feldman averred in his complaint that </w:t>
      </w:r>
      <w:r w:rsidR="00C23C36">
        <w:rPr>
          <w:snapToGrid w:val="0"/>
        </w:rPr>
        <w:t>“</w:t>
      </w:r>
      <w:r w:rsidR="00333765">
        <w:rPr>
          <w:snapToGrid w:val="0"/>
        </w:rPr>
        <w:t xml:space="preserve">the old disputed </w:t>
      </w:r>
      <w:r w:rsidR="00C23C36">
        <w:rPr>
          <w:snapToGrid w:val="0"/>
        </w:rPr>
        <w:t xml:space="preserve">bill was never resolved.”  </w:t>
      </w:r>
      <w:r w:rsidR="00333765">
        <w:rPr>
          <w:snapToGrid w:val="0"/>
        </w:rPr>
        <w:t xml:space="preserve">When accepting this averment as true, and every reasonable inference from the averment, </w:t>
      </w:r>
      <w:r w:rsidR="00C23C36" w:rsidRPr="007712DD">
        <w:rPr>
          <w:snapToGrid w:val="0"/>
        </w:rPr>
        <w:t xml:space="preserve">in the light most favorable to </w:t>
      </w:r>
      <w:r w:rsidR="00C23C36">
        <w:rPr>
          <w:snapToGrid w:val="0"/>
        </w:rPr>
        <w:t xml:space="preserve">Mr. Feldman, </w:t>
      </w:r>
      <w:r w:rsidR="00333765">
        <w:rPr>
          <w:snapToGrid w:val="0"/>
        </w:rPr>
        <w:t xml:space="preserve">as is required when disposing of PGW’s Motion, </w:t>
      </w:r>
      <w:r w:rsidR="00C23C36">
        <w:rPr>
          <w:snapToGrid w:val="0"/>
        </w:rPr>
        <w:t xml:space="preserve">it is unclear that </w:t>
      </w:r>
      <w:r w:rsidR="00C23C36" w:rsidRPr="007712DD">
        <w:rPr>
          <w:rFonts w:eastAsia="Calibri"/>
          <w:bCs/>
          <w:color w:val="000000"/>
        </w:rPr>
        <w:t xml:space="preserve">there is no genuine issue as to a material fact and that </w:t>
      </w:r>
      <w:r w:rsidR="00C23C36">
        <w:rPr>
          <w:rFonts w:eastAsia="Calibri"/>
          <w:bCs/>
          <w:color w:val="000000"/>
        </w:rPr>
        <w:t xml:space="preserve">PGW </w:t>
      </w:r>
      <w:r w:rsidR="00C23C36" w:rsidRPr="007712DD">
        <w:rPr>
          <w:rFonts w:eastAsia="Calibri"/>
          <w:bCs/>
          <w:color w:val="000000"/>
        </w:rPr>
        <w:t>is entitled to a judgment as a matter of law</w:t>
      </w:r>
      <w:r w:rsidR="00C23C36">
        <w:rPr>
          <w:rFonts w:eastAsia="Calibri"/>
          <w:bCs/>
          <w:color w:val="000000"/>
        </w:rPr>
        <w:t>.  It may well be that Mr. Feldman’s reference to a prior dispute being unresolved means that there was never any final commission action on a prior complaint he filed.  Or, it may well be that Mr. Feldman’s reference to a prior d</w:t>
      </w:r>
      <w:r w:rsidR="006E13EB">
        <w:rPr>
          <w:rFonts w:eastAsia="Calibri"/>
          <w:bCs/>
          <w:color w:val="000000"/>
        </w:rPr>
        <w:t xml:space="preserve">ispute being unresolved means </w:t>
      </w:r>
      <w:r w:rsidR="00C23C36">
        <w:rPr>
          <w:rFonts w:eastAsia="Calibri"/>
          <w:bCs/>
          <w:color w:val="000000"/>
        </w:rPr>
        <w:t xml:space="preserve">that there was never any hearing on a formal complaint filed in response to a denial by BCS.  A hearing is necessary to </w:t>
      </w:r>
      <w:r w:rsidR="006E13EB">
        <w:rPr>
          <w:rFonts w:eastAsia="Calibri"/>
          <w:bCs/>
          <w:color w:val="000000"/>
        </w:rPr>
        <w:t xml:space="preserve">understand </w:t>
      </w:r>
      <w:r w:rsidR="00C23C36">
        <w:rPr>
          <w:rFonts w:eastAsia="Calibri"/>
          <w:bCs/>
          <w:color w:val="000000"/>
        </w:rPr>
        <w:t xml:space="preserve">Mr. Feldman’s averment that the </w:t>
      </w:r>
      <w:r w:rsidR="006E13EB">
        <w:rPr>
          <w:rFonts w:eastAsia="Calibri"/>
          <w:bCs/>
          <w:color w:val="000000"/>
        </w:rPr>
        <w:t>“</w:t>
      </w:r>
      <w:r w:rsidR="00C23C36">
        <w:rPr>
          <w:rFonts w:eastAsia="Calibri"/>
          <w:bCs/>
          <w:color w:val="000000"/>
        </w:rPr>
        <w:t>old disputed bill was never resolved.”</w:t>
      </w:r>
    </w:p>
    <w:p w:rsidR="00D86EC4" w:rsidRDefault="00D86EC4" w:rsidP="009A72D5">
      <w:pPr>
        <w:pStyle w:val="Style"/>
        <w:widowControl/>
        <w:spacing w:line="360" w:lineRule="auto"/>
        <w:rPr>
          <w:snapToGrid w:val="0"/>
        </w:rPr>
      </w:pPr>
    </w:p>
    <w:p w:rsidR="00D86EC4" w:rsidRDefault="00D86EC4" w:rsidP="009A72D5">
      <w:pPr>
        <w:pStyle w:val="Style"/>
        <w:widowControl/>
        <w:spacing w:line="360" w:lineRule="auto"/>
        <w:rPr>
          <w:snapToGrid w:val="0"/>
        </w:rPr>
      </w:pPr>
      <w:r>
        <w:rPr>
          <w:snapToGrid w:val="0"/>
        </w:rPr>
        <w:tab/>
      </w:r>
      <w:r>
        <w:rPr>
          <w:snapToGrid w:val="0"/>
        </w:rPr>
        <w:tab/>
        <w:t xml:space="preserve">In addition, PGW’s Motion will also be denied because Mr. Feldman’s complaint </w:t>
      </w:r>
      <w:proofErr w:type="gramStart"/>
      <w:r>
        <w:rPr>
          <w:snapToGrid w:val="0"/>
        </w:rPr>
        <w:t>raises</w:t>
      </w:r>
      <w:proofErr w:type="gramEnd"/>
      <w:r>
        <w:rPr>
          <w:snapToGrid w:val="0"/>
        </w:rPr>
        <w:t xml:space="preserve"> more than issues with regard to refunds for service provided in 2010-2011.  Mr. Feldman also </w:t>
      </w:r>
      <w:r w:rsidR="006A5743">
        <w:rPr>
          <w:snapToGrid w:val="0"/>
        </w:rPr>
        <w:t xml:space="preserve">averred in his complaint </w:t>
      </w:r>
      <w:r>
        <w:rPr>
          <w:snapToGrid w:val="0"/>
        </w:rPr>
        <w:t>that</w:t>
      </w:r>
      <w:r w:rsidR="006A5743">
        <w:rPr>
          <w:snapToGrid w:val="0"/>
        </w:rPr>
        <w:t xml:space="preserve"> his gas service was terminated in the winter of 2013 without him receiving prior notice of termination.  Mr. Feldman also averred in his complaint that his “defective meter was taken out and switched prior to [him] having it tested with an independent agency.”  Both of these averments raise issues </w:t>
      </w:r>
      <w:r w:rsidR="006A5743">
        <w:rPr>
          <w:snapToGrid w:val="0"/>
        </w:rPr>
        <w:lastRenderedPageBreak/>
        <w:t xml:space="preserve">that, when accepted as true, as well as every reasonable inference from those averment, and </w:t>
      </w:r>
      <w:r w:rsidR="006A5743" w:rsidRPr="007712DD">
        <w:rPr>
          <w:snapToGrid w:val="0"/>
        </w:rPr>
        <w:t xml:space="preserve">in the light most favorable to </w:t>
      </w:r>
      <w:r w:rsidR="006A5743">
        <w:rPr>
          <w:snapToGrid w:val="0"/>
        </w:rPr>
        <w:t xml:space="preserve">Mr. Feldman, demonstrate that it is unclear that </w:t>
      </w:r>
      <w:r w:rsidR="006A5743" w:rsidRPr="007712DD">
        <w:rPr>
          <w:rFonts w:eastAsia="Calibri"/>
          <w:bCs/>
          <w:color w:val="000000"/>
        </w:rPr>
        <w:t xml:space="preserve">there </w:t>
      </w:r>
      <w:r w:rsidR="006A5743">
        <w:rPr>
          <w:rFonts w:eastAsia="Calibri"/>
          <w:bCs/>
          <w:color w:val="000000"/>
        </w:rPr>
        <w:t xml:space="preserve">are </w:t>
      </w:r>
      <w:r w:rsidR="006A5743" w:rsidRPr="007712DD">
        <w:rPr>
          <w:rFonts w:eastAsia="Calibri"/>
          <w:bCs/>
          <w:color w:val="000000"/>
        </w:rPr>
        <w:t>no genuine issue</w:t>
      </w:r>
      <w:r w:rsidR="006A5743">
        <w:rPr>
          <w:rFonts w:eastAsia="Calibri"/>
          <w:bCs/>
          <w:color w:val="000000"/>
        </w:rPr>
        <w:t>s</w:t>
      </w:r>
      <w:r w:rsidR="006A5743" w:rsidRPr="007712DD">
        <w:rPr>
          <w:rFonts w:eastAsia="Calibri"/>
          <w:bCs/>
          <w:color w:val="000000"/>
        </w:rPr>
        <w:t xml:space="preserve"> as to a material fact and that </w:t>
      </w:r>
      <w:r w:rsidR="006A5743">
        <w:rPr>
          <w:rFonts w:eastAsia="Calibri"/>
          <w:bCs/>
          <w:color w:val="000000"/>
        </w:rPr>
        <w:t xml:space="preserve">PGW </w:t>
      </w:r>
      <w:r w:rsidR="006A5743" w:rsidRPr="007712DD">
        <w:rPr>
          <w:rFonts w:eastAsia="Calibri"/>
          <w:bCs/>
          <w:color w:val="000000"/>
        </w:rPr>
        <w:t>is entitled to a judgment as a matter of law</w:t>
      </w:r>
      <w:r w:rsidR="006A5743">
        <w:rPr>
          <w:rFonts w:eastAsia="Calibri"/>
          <w:bCs/>
          <w:color w:val="000000"/>
        </w:rPr>
        <w:t xml:space="preserve">.  </w:t>
      </w:r>
    </w:p>
    <w:p w:rsidR="00D86EC4" w:rsidRDefault="00D86EC4" w:rsidP="009A72D5">
      <w:pPr>
        <w:pStyle w:val="Style"/>
        <w:widowControl/>
        <w:spacing w:line="360" w:lineRule="auto"/>
        <w:rPr>
          <w:snapToGrid w:val="0"/>
        </w:rPr>
      </w:pPr>
    </w:p>
    <w:p w:rsidR="00D86EC4" w:rsidRPr="00D20091" w:rsidRDefault="00B62CB9" w:rsidP="009A72D5">
      <w:pPr>
        <w:pStyle w:val="Style"/>
        <w:widowControl/>
        <w:spacing w:line="360" w:lineRule="auto"/>
        <w:ind w:firstLine="1440"/>
        <w:rPr>
          <w:snapToGrid w:val="0"/>
        </w:rPr>
      </w:pPr>
      <w:r w:rsidRPr="00A842C1">
        <w:rPr>
          <w:color w:val="000000"/>
        </w:rPr>
        <w:t xml:space="preserve">As noted above, the standard for granting a Motion for Summary Judgment is very high.  </w:t>
      </w:r>
      <w:r w:rsidRPr="00A842C1">
        <w:t xml:space="preserve">Summary Judgment may only be granted in those cases where the record clearly shows that there are no genuine issues of material fact and that the moving party is entitled to judgment as a matter of law when viewing the record in the light most favorable to the nonmoving party.  PGW has failed to satisfy this standard with regard to Mr. Feldman’s </w:t>
      </w:r>
      <w:r>
        <w:t>c</w:t>
      </w:r>
      <w:r w:rsidRPr="00A842C1">
        <w:t>omplaint.  Genuine issues of material facts exist that require a hearing and cannot be dismissed on a preliminary basis.</w:t>
      </w:r>
      <w:r>
        <w:t xml:space="preserve">  </w:t>
      </w:r>
      <w:r w:rsidR="00D86EC4">
        <w:rPr>
          <w:snapToGrid w:val="0"/>
        </w:rPr>
        <w:t xml:space="preserve">When viewing the </w:t>
      </w:r>
      <w:r w:rsidR="00A842C1">
        <w:rPr>
          <w:snapToGrid w:val="0"/>
        </w:rPr>
        <w:t xml:space="preserve">record </w:t>
      </w:r>
      <w:r w:rsidR="00D86EC4">
        <w:rPr>
          <w:snapToGrid w:val="0"/>
        </w:rPr>
        <w:t>in the ligh</w:t>
      </w:r>
      <w:r>
        <w:rPr>
          <w:snapToGrid w:val="0"/>
        </w:rPr>
        <w:t xml:space="preserve">t most favorable to Mr. Feldman, </w:t>
      </w:r>
      <w:r w:rsidR="00D86EC4">
        <w:rPr>
          <w:snapToGrid w:val="0"/>
        </w:rPr>
        <w:t xml:space="preserve">as is required when disposing of PGW’s Motion, it is not clear that </w:t>
      </w:r>
      <w:r>
        <w:rPr>
          <w:snapToGrid w:val="0"/>
        </w:rPr>
        <w:t>there are no genuine issues of material fact and that PGW is entitled to judgment as a matter of law</w:t>
      </w:r>
      <w:r w:rsidR="006E13EB">
        <w:rPr>
          <w:snapToGrid w:val="0"/>
        </w:rPr>
        <w:t xml:space="preserve"> with regard to the outstanding dispute, the termination notice and the meter, among other things</w:t>
      </w:r>
      <w:r>
        <w:rPr>
          <w:snapToGrid w:val="0"/>
        </w:rPr>
        <w:t xml:space="preserve">.  </w:t>
      </w:r>
      <w:r w:rsidR="00D86EC4">
        <w:rPr>
          <w:snapToGrid w:val="0"/>
        </w:rPr>
        <w:t>As such, PGW’s Motion must be denied and Mr. Feldman’s complaint must proceed to a hearing before an administrative law judge.</w:t>
      </w:r>
    </w:p>
    <w:p w:rsidR="002D0FD9" w:rsidRPr="00A842C1" w:rsidRDefault="002D0FD9" w:rsidP="009A72D5">
      <w:pPr>
        <w:pStyle w:val="Style"/>
        <w:widowControl/>
        <w:spacing w:line="360" w:lineRule="auto"/>
        <w:ind w:firstLine="1440"/>
        <w:rPr>
          <w:snapToGrid w:val="0"/>
        </w:rPr>
      </w:pPr>
    </w:p>
    <w:p w:rsidR="00CD604F" w:rsidRPr="00A842C1" w:rsidRDefault="009921ED" w:rsidP="009A72D5">
      <w:pPr>
        <w:adjustRightInd w:val="0"/>
        <w:spacing w:line="360" w:lineRule="auto"/>
        <w:ind w:firstLine="1440"/>
        <w:rPr>
          <w:color w:val="000000"/>
        </w:rPr>
      </w:pPr>
      <w:r w:rsidRPr="00A842C1">
        <w:rPr>
          <w:color w:val="000000"/>
        </w:rPr>
        <w:t xml:space="preserve">Finally, </w:t>
      </w:r>
      <w:r w:rsidR="002D0FD9" w:rsidRPr="00A842C1">
        <w:rPr>
          <w:color w:val="000000"/>
        </w:rPr>
        <w:t xml:space="preserve">Mr. </w:t>
      </w:r>
      <w:r w:rsidR="00A842C1" w:rsidRPr="00A842C1">
        <w:rPr>
          <w:color w:val="000000"/>
        </w:rPr>
        <w:t xml:space="preserve">Feldman </w:t>
      </w:r>
      <w:r w:rsidR="002D0FD9" w:rsidRPr="00A842C1">
        <w:rPr>
          <w:color w:val="000000"/>
        </w:rPr>
        <w:t>is advised</w:t>
      </w:r>
      <w:r w:rsidR="006E13EB">
        <w:rPr>
          <w:color w:val="000000"/>
        </w:rPr>
        <w:t>, however,</w:t>
      </w:r>
      <w:r w:rsidRPr="00A842C1">
        <w:rPr>
          <w:color w:val="000000"/>
        </w:rPr>
        <w:t xml:space="preserve"> </w:t>
      </w:r>
      <w:r w:rsidR="002D0FD9" w:rsidRPr="00A842C1">
        <w:rPr>
          <w:color w:val="000000"/>
        </w:rPr>
        <w:t xml:space="preserve">that </w:t>
      </w:r>
      <w:r w:rsidR="00A842C1" w:rsidRPr="00A842C1">
        <w:rPr>
          <w:color w:val="000000"/>
        </w:rPr>
        <w:t xml:space="preserve">PGW </w:t>
      </w:r>
      <w:r w:rsidR="002D0FD9" w:rsidRPr="00A842C1">
        <w:rPr>
          <w:color w:val="000000"/>
        </w:rPr>
        <w:t xml:space="preserve">is correct </w:t>
      </w:r>
      <w:r w:rsidR="006E13EB">
        <w:rPr>
          <w:color w:val="000000"/>
        </w:rPr>
        <w:t xml:space="preserve">that </w:t>
      </w:r>
      <w:r w:rsidR="00A842C1" w:rsidRPr="00A842C1">
        <w:rPr>
          <w:color w:val="000000"/>
        </w:rPr>
        <w:t xml:space="preserve">the Commission’s ability to hear certain cases is limited to three years.  Mr. Feldman may be limited in the arguments he would be allowed to make during a hearing.  </w:t>
      </w:r>
      <w:r w:rsidR="006656BC" w:rsidRPr="00A842C1">
        <w:rPr>
          <w:rFonts w:eastAsia="Calibri"/>
          <w:bCs/>
          <w:color w:val="000000"/>
        </w:rPr>
        <w:t>In addition,</w:t>
      </w:r>
      <w:r w:rsidR="001D36DF" w:rsidRPr="00A842C1">
        <w:rPr>
          <w:rFonts w:eastAsia="Calibri"/>
          <w:bCs/>
          <w:color w:val="000000"/>
        </w:rPr>
        <w:t xml:space="preserve"> </w:t>
      </w:r>
      <w:r w:rsidR="006656BC" w:rsidRPr="00A842C1">
        <w:rPr>
          <w:rFonts w:eastAsia="Calibri"/>
          <w:bCs/>
          <w:color w:val="000000"/>
        </w:rPr>
        <w:t xml:space="preserve">Mr. </w:t>
      </w:r>
      <w:r w:rsidR="00A842C1" w:rsidRPr="00A842C1">
        <w:rPr>
          <w:rFonts w:eastAsia="Calibri"/>
          <w:bCs/>
          <w:color w:val="000000"/>
        </w:rPr>
        <w:t xml:space="preserve">Feldman </w:t>
      </w:r>
      <w:r w:rsidR="006656BC" w:rsidRPr="00A842C1">
        <w:rPr>
          <w:rFonts w:eastAsia="Calibri"/>
          <w:bCs/>
          <w:color w:val="000000"/>
        </w:rPr>
        <w:t xml:space="preserve">is also advised that </w:t>
      </w:r>
      <w:r w:rsidR="006656BC" w:rsidRPr="00A842C1">
        <w:rPr>
          <w:color w:val="000000"/>
        </w:rPr>
        <w:t xml:space="preserve">a hearing on his </w:t>
      </w:r>
      <w:r w:rsidR="00A842C1" w:rsidRPr="00A842C1">
        <w:rPr>
          <w:color w:val="000000"/>
        </w:rPr>
        <w:t>c</w:t>
      </w:r>
      <w:r w:rsidR="006656BC" w:rsidRPr="00A842C1">
        <w:rPr>
          <w:color w:val="000000"/>
        </w:rPr>
        <w:t xml:space="preserve">omplaint will require him to carry his burden of proof by a preponderance of the evidence and that all decisions of the Commission must be supported by substantial evidence.  This is a different standard of review than </w:t>
      </w:r>
      <w:r w:rsidR="00EA5400" w:rsidRPr="00A842C1">
        <w:rPr>
          <w:color w:val="000000"/>
        </w:rPr>
        <w:t xml:space="preserve">used </w:t>
      </w:r>
      <w:r w:rsidR="006656BC" w:rsidRPr="00A842C1">
        <w:rPr>
          <w:color w:val="000000"/>
        </w:rPr>
        <w:t xml:space="preserve">when addressing a Motion for Summary Judgment.  Nonetheless, Mr. </w:t>
      </w:r>
      <w:r w:rsidR="00A842C1" w:rsidRPr="00A842C1">
        <w:rPr>
          <w:color w:val="000000"/>
        </w:rPr>
        <w:t xml:space="preserve">Feldman </w:t>
      </w:r>
      <w:r w:rsidR="006656BC" w:rsidRPr="00A842C1">
        <w:rPr>
          <w:color w:val="000000"/>
        </w:rPr>
        <w:t xml:space="preserve">is entitled to have his </w:t>
      </w:r>
      <w:r w:rsidR="00A842C1" w:rsidRPr="00A842C1">
        <w:rPr>
          <w:color w:val="000000"/>
        </w:rPr>
        <w:t>c</w:t>
      </w:r>
      <w:r w:rsidR="006656BC" w:rsidRPr="00A842C1">
        <w:rPr>
          <w:color w:val="000000"/>
        </w:rPr>
        <w:t xml:space="preserve">omplaint heard </w:t>
      </w:r>
      <w:r w:rsidR="00AF1EBE" w:rsidRPr="00A842C1">
        <w:rPr>
          <w:color w:val="000000"/>
        </w:rPr>
        <w:t xml:space="preserve">during a hearing </w:t>
      </w:r>
      <w:r w:rsidR="006656BC" w:rsidRPr="00A842C1">
        <w:rPr>
          <w:color w:val="000000"/>
        </w:rPr>
        <w:t xml:space="preserve">and not be dismissed as a result of a </w:t>
      </w:r>
      <w:r w:rsidR="00222F72">
        <w:rPr>
          <w:color w:val="000000"/>
        </w:rPr>
        <w:t>preliminary motion</w:t>
      </w:r>
      <w:r w:rsidR="006656BC" w:rsidRPr="00A842C1">
        <w:rPr>
          <w:color w:val="000000"/>
        </w:rPr>
        <w:t>.</w:t>
      </w:r>
    </w:p>
    <w:p w:rsidR="006E13EB" w:rsidRDefault="006E13EB" w:rsidP="009A72D5">
      <w:pPr>
        <w:autoSpaceDE/>
        <w:autoSpaceDN/>
        <w:spacing w:line="360" w:lineRule="auto"/>
        <w:rPr>
          <w:u w:val="single"/>
        </w:rPr>
      </w:pPr>
    </w:p>
    <w:p w:rsidR="00222F72" w:rsidRDefault="00222F72">
      <w:pPr>
        <w:autoSpaceDE/>
        <w:autoSpaceDN/>
        <w:rPr>
          <w:u w:val="single"/>
        </w:rPr>
      </w:pPr>
      <w:r>
        <w:rPr>
          <w:u w:val="single"/>
        </w:rPr>
        <w:br w:type="page"/>
      </w:r>
    </w:p>
    <w:p w:rsidR="00AA5A3B" w:rsidRPr="00A809FE" w:rsidRDefault="00FA0DC0" w:rsidP="00FA0DC0">
      <w:pPr>
        <w:spacing w:line="360" w:lineRule="auto"/>
        <w:jc w:val="center"/>
      </w:pPr>
      <w:r w:rsidRPr="00A809FE">
        <w:rPr>
          <w:u w:val="single"/>
        </w:rPr>
        <w:lastRenderedPageBreak/>
        <w:t>ORDER</w:t>
      </w:r>
    </w:p>
    <w:p w:rsidR="005E7BB9" w:rsidRDefault="005E7BB9" w:rsidP="00E93D93">
      <w:pPr>
        <w:spacing w:line="360" w:lineRule="auto"/>
      </w:pPr>
    </w:p>
    <w:p w:rsidR="009A72D5" w:rsidRPr="00A809FE" w:rsidRDefault="009A72D5" w:rsidP="00E93D93">
      <w:pPr>
        <w:spacing w:line="360" w:lineRule="auto"/>
      </w:pPr>
    </w:p>
    <w:p w:rsidR="006D33B5" w:rsidRPr="00A809FE" w:rsidRDefault="006D33B5">
      <w:pPr>
        <w:spacing w:line="360" w:lineRule="auto"/>
        <w:ind w:firstLine="1440"/>
        <w:rPr>
          <w:bCs/>
        </w:rPr>
      </w:pPr>
      <w:r w:rsidRPr="00A809FE">
        <w:rPr>
          <w:bCs/>
        </w:rPr>
        <w:t>THEREFORE,</w:t>
      </w:r>
    </w:p>
    <w:p w:rsidR="006D33B5" w:rsidRPr="00A809FE" w:rsidRDefault="006D33B5">
      <w:pPr>
        <w:spacing w:line="360" w:lineRule="auto"/>
        <w:ind w:firstLine="1440"/>
      </w:pPr>
    </w:p>
    <w:p w:rsidR="0013770C" w:rsidRPr="00A809FE" w:rsidRDefault="006D33B5" w:rsidP="0013770C">
      <w:pPr>
        <w:spacing w:line="360" w:lineRule="auto"/>
        <w:ind w:firstLine="1440"/>
        <w:rPr>
          <w:bCs/>
        </w:rPr>
      </w:pPr>
      <w:r w:rsidRPr="00A809FE">
        <w:rPr>
          <w:bCs/>
        </w:rPr>
        <w:t>IT IS ORDERED:</w:t>
      </w:r>
    </w:p>
    <w:p w:rsidR="0013770C" w:rsidRPr="00A809FE" w:rsidRDefault="0013770C" w:rsidP="009A72D5">
      <w:pPr>
        <w:spacing w:line="360" w:lineRule="auto"/>
        <w:ind w:firstLine="1440"/>
        <w:rPr>
          <w:bCs/>
        </w:rPr>
      </w:pPr>
    </w:p>
    <w:p w:rsidR="000E133E" w:rsidRPr="00A809FE" w:rsidRDefault="009011DC" w:rsidP="009A72D5">
      <w:pPr>
        <w:numPr>
          <w:ilvl w:val="0"/>
          <w:numId w:val="24"/>
        </w:numPr>
        <w:tabs>
          <w:tab w:val="left" w:pos="-720"/>
        </w:tabs>
        <w:suppressAutoHyphens/>
        <w:autoSpaceDE/>
        <w:autoSpaceDN/>
        <w:spacing w:line="360" w:lineRule="auto"/>
        <w:ind w:left="0" w:firstLine="1440"/>
        <w:rPr>
          <w:spacing w:val="-3"/>
        </w:rPr>
      </w:pPr>
      <w:r w:rsidRPr="00A809FE">
        <w:rPr>
          <w:spacing w:val="-3"/>
        </w:rPr>
        <w:t xml:space="preserve">That the </w:t>
      </w:r>
      <w:r w:rsidR="005470E2" w:rsidRPr="00A809FE">
        <w:rPr>
          <w:spacing w:val="-3"/>
        </w:rPr>
        <w:t>Motion for Summary Judgment</w:t>
      </w:r>
      <w:r w:rsidRPr="00A809FE">
        <w:rPr>
          <w:spacing w:val="-3"/>
        </w:rPr>
        <w:t xml:space="preserve"> filed by </w:t>
      </w:r>
      <w:r w:rsidR="00A809FE">
        <w:rPr>
          <w:bCs/>
          <w:color w:val="000000"/>
        </w:rPr>
        <w:t xml:space="preserve">Philadelphia Gas Works </w:t>
      </w:r>
      <w:r w:rsidRPr="00A809FE">
        <w:rPr>
          <w:spacing w:val="-3"/>
        </w:rPr>
        <w:t xml:space="preserve">at Docket Number </w:t>
      </w:r>
      <w:r w:rsidR="00A809FE">
        <w:rPr>
          <w:spacing w:val="-3"/>
        </w:rPr>
        <w:t xml:space="preserve">C-2015-2497230 </w:t>
      </w:r>
      <w:r w:rsidRPr="00A809FE">
        <w:rPr>
          <w:spacing w:val="-3"/>
        </w:rPr>
        <w:t xml:space="preserve">on </w:t>
      </w:r>
      <w:r w:rsidR="00A809FE">
        <w:rPr>
          <w:spacing w:val="-3"/>
        </w:rPr>
        <w:t>August 31</w:t>
      </w:r>
      <w:r w:rsidR="002E04C4" w:rsidRPr="00A809FE">
        <w:rPr>
          <w:spacing w:val="-3"/>
        </w:rPr>
        <w:t xml:space="preserve">, 2015 </w:t>
      </w:r>
      <w:r w:rsidR="005470E2" w:rsidRPr="00A809FE">
        <w:rPr>
          <w:spacing w:val="-3"/>
        </w:rPr>
        <w:t xml:space="preserve">is </w:t>
      </w:r>
      <w:r w:rsidRPr="00A809FE">
        <w:rPr>
          <w:spacing w:val="-3"/>
        </w:rPr>
        <w:t>hereby denied.</w:t>
      </w:r>
    </w:p>
    <w:p w:rsidR="009011DC" w:rsidRPr="00A809FE" w:rsidRDefault="009011DC" w:rsidP="009A72D5">
      <w:pPr>
        <w:tabs>
          <w:tab w:val="left" w:pos="-720"/>
        </w:tabs>
        <w:suppressAutoHyphens/>
        <w:spacing w:line="360" w:lineRule="auto"/>
        <w:rPr>
          <w:spacing w:val="-3"/>
        </w:rPr>
      </w:pPr>
    </w:p>
    <w:p w:rsidR="009011DC" w:rsidRPr="00A809FE" w:rsidRDefault="00222F72" w:rsidP="009A72D5">
      <w:pPr>
        <w:numPr>
          <w:ilvl w:val="0"/>
          <w:numId w:val="24"/>
        </w:numPr>
        <w:tabs>
          <w:tab w:val="left" w:pos="-720"/>
        </w:tabs>
        <w:suppressAutoHyphens/>
        <w:spacing w:line="360" w:lineRule="auto"/>
        <w:ind w:left="0" w:firstLine="1440"/>
        <w:rPr>
          <w:spacing w:val="-3"/>
        </w:rPr>
      </w:pPr>
      <w:r>
        <w:rPr>
          <w:spacing w:val="-3"/>
        </w:rPr>
        <w:t>That the formal c</w:t>
      </w:r>
      <w:r w:rsidR="00A82D94" w:rsidRPr="00A809FE">
        <w:rPr>
          <w:spacing w:val="-3"/>
        </w:rPr>
        <w:t xml:space="preserve">omplaint filed by </w:t>
      </w:r>
      <w:r w:rsidR="00A809FE">
        <w:rPr>
          <w:spacing w:val="-3"/>
        </w:rPr>
        <w:t xml:space="preserve">Steven J. Feldman </w:t>
      </w:r>
      <w:r w:rsidR="00A82D94" w:rsidRPr="00A809FE">
        <w:rPr>
          <w:spacing w:val="-3"/>
        </w:rPr>
        <w:t xml:space="preserve">against </w:t>
      </w:r>
      <w:r w:rsidR="00A809FE">
        <w:rPr>
          <w:bCs/>
          <w:color w:val="000000"/>
        </w:rPr>
        <w:t xml:space="preserve">Philadelphia Gas Works </w:t>
      </w:r>
      <w:r w:rsidR="00A82D94" w:rsidRPr="00A809FE">
        <w:rPr>
          <w:spacing w:val="-3"/>
        </w:rPr>
        <w:t xml:space="preserve">dated </w:t>
      </w:r>
      <w:r w:rsidR="00A809FE">
        <w:rPr>
          <w:bCs/>
          <w:color w:val="000000"/>
        </w:rPr>
        <w:t>August 4</w:t>
      </w:r>
      <w:r w:rsidR="00A82D94" w:rsidRPr="00A809FE">
        <w:rPr>
          <w:spacing w:val="-3"/>
        </w:rPr>
        <w:t xml:space="preserve">, 2015 </w:t>
      </w:r>
      <w:r w:rsidR="00A7429E" w:rsidRPr="00A809FE">
        <w:rPr>
          <w:rFonts w:eastAsia="Calibri"/>
          <w:bCs/>
          <w:color w:val="000000"/>
        </w:rPr>
        <w:t xml:space="preserve">be </w:t>
      </w:r>
      <w:r w:rsidR="00A809FE">
        <w:rPr>
          <w:rFonts w:eastAsia="Calibri"/>
          <w:bCs/>
          <w:color w:val="000000"/>
        </w:rPr>
        <w:t xml:space="preserve">scheduled for an </w:t>
      </w:r>
      <w:r w:rsidR="00A7429E" w:rsidRPr="00A809FE">
        <w:rPr>
          <w:rFonts w:eastAsia="Calibri"/>
          <w:bCs/>
          <w:color w:val="000000"/>
        </w:rPr>
        <w:t xml:space="preserve">Initial Telephonic Hearing </w:t>
      </w:r>
      <w:r w:rsidR="00A809FE">
        <w:rPr>
          <w:rFonts w:eastAsia="Calibri"/>
          <w:bCs/>
          <w:color w:val="000000"/>
        </w:rPr>
        <w:t xml:space="preserve">before an Administrative Law Judge </w:t>
      </w:r>
      <w:r w:rsidR="00A82D94" w:rsidRPr="00A809FE">
        <w:rPr>
          <w:spacing w:val="-3"/>
        </w:rPr>
        <w:t>consistent with the above discussion</w:t>
      </w:r>
      <w:r w:rsidR="009011DC" w:rsidRPr="00A809FE">
        <w:rPr>
          <w:spacing w:val="-3"/>
        </w:rPr>
        <w:t>.</w:t>
      </w:r>
    </w:p>
    <w:p w:rsidR="00860410" w:rsidRPr="00A809FE" w:rsidRDefault="00860410" w:rsidP="009A72D5">
      <w:pPr>
        <w:pStyle w:val="ListParagraph"/>
        <w:spacing w:line="360" w:lineRule="auto"/>
        <w:ind w:left="0"/>
      </w:pPr>
    </w:p>
    <w:p w:rsidR="00C773A3" w:rsidRDefault="00C773A3" w:rsidP="009A72D5">
      <w:pPr>
        <w:spacing w:line="360" w:lineRule="auto"/>
      </w:pPr>
    </w:p>
    <w:p w:rsidR="00897507" w:rsidRPr="009A72D5" w:rsidRDefault="00444E27" w:rsidP="00897507">
      <w:pPr>
        <w:rPr>
          <w:u w:val="single"/>
        </w:rPr>
      </w:pPr>
      <w:r w:rsidRPr="00550B34">
        <w:t xml:space="preserve">Date: </w:t>
      </w:r>
      <w:r w:rsidR="00875497">
        <w:rPr>
          <w:u w:val="single"/>
        </w:rPr>
        <w:t xml:space="preserve">November </w:t>
      </w:r>
      <w:r w:rsidR="00A809FE">
        <w:rPr>
          <w:u w:val="single"/>
        </w:rPr>
        <w:t>3</w:t>
      </w:r>
      <w:r w:rsidR="00E41299" w:rsidRPr="008A0C3C">
        <w:rPr>
          <w:u w:val="single"/>
        </w:rPr>
        <w:t>,</w:t>
      </w:r>
      <w:r w:rsidR="00E41299">
        <w:rPr>
          <w:u w:val="single"/>
        </w:rPr>
        <w:t xml:space="preserve"> 2015</w:t>
      </w:r>
      <w:r w:rsidRPr="00550B34">
        <w:tab/>
      </w:r>
      <w:r w:rsidRPr="00550B34">
        <w:tab/>
      </w:r>
      <w:r w:rsidR="009A72D5">
        <w:tab/>
      </w:r>
      <w:r w:rsidR="009A72D5">
        <w:tab/>
      </w:r>
      <w:r w:rsidR="009A72D5">
        <w:rPr>
          <w:u w:val="single"/>
        </w:rPr>
        <w:tab/>
      </w:r>
      <w:r w:rsidR="009A72D5">
        <w:rPr>
          <w:u w:val="single"/>
        </w:rPr>
        <w:tab/>
      </w:r>
      <w:r w:rsidR="009A72D5">
        <w:rPr>
          <w:u w:val="single"/>
        </w:rPr>
        <w:tab/>
      </w:r>
      <w:r w:rsidR="009A72D5">
        <w:rPr>
          <w:u w:val="single"/>
        </w:rPr>
        <w:tab/>
      </w:r>
      <w:r w:rsidR="009A72D5">
        <w:rPr>
          <w:u w:val="single"/>
        </w:rPr>
        <w:tab/>
      </w:r>
    </w:p>
    <w:p w:rsidR="00444E27" w:rsidRPr="00550B34" w:rsidRDefault="00897507" w:rsidP="00444E27">
      <w:r w:rsidRPr="00550B34">
        <w:tab/>
      </w:r>
      <w:r w:rsidRPr="00550B34">
        <w:tab/>
      </w:r>
      <w:r w:rsidRPr="00550B34">
        <w:tab/>
      </w:r>
      <w:r w:rsidRPr="00550B34">
        <w:tab/>
      </w:r>
      <w:r w:rsidRPr="00550B34">
        <w:tab/>
      </w:r>
      <w:r w:rsidR="009A72D5">
        <w:tab/>
      </w:r>
      <w:r w:rsidR="009A72D5">
        <w:tab/>
      </w:r>
      <w:r w:rsidR="0062545F" w:rsidRPr="00550B34">
        <w:t xml:space="preserve">Joel H. Cheskis </w:t>
      </w:r>
    </w:p>
    <w:p w:rsidR="00015A62" w:rsidRDefault="00444E27" w:rsidP="00444E27">
      <w:pPr>
        <w:sectPr w:rsidR="00015A62" w:rsidSect="00713D64">
          <w:footerReference w:type="default" r:id="rId9"/>
          <w:pgSz w:w="12240" w:h="15840"/>
          <w:pgMar w:top="1440" w:right="1800" w:bottom="1440" w:left="1800" w:header="720" w:footer="720" w:gutter="0"/>
          <w:cols w:space="720"/>
          <w:titlePg/>
        </w:sectPr>
      </w:pPr>
      <w:r w:rsidRPr="00550B34">
        <w:tab/>
      </w:r>
      <w:r w:rsidRPr="00550B34">
        <w:tab/>
      </w:r>
      <w:r w:rsidRPr="00550B34">
        <w:tab/>
      </w:r>
      <w:r w:rsidRPr="00550B34">
        <w:tab/>
      </w:r>
      <w:r w:rsidRPr="00550B34">
        <w:tab/>
      </w:r>
      <w:r w:rsidR="009A72D5">
        <w:tab/>
      </w:r>
      <w:r w:rsidR="009A72D5">
        <w:tab/>
      </w:r>
      <w:r w:rsidRPr="00550B34">
        <w:t>Administrative Law Judge</w:t>
      </w:r>
    </w:p>
    <w:p w:rsidR="00015A62" w:rsidRDefault="00015A62" w:rsidP="00015A62">
      <w:pPr>
        <w:contextualSpacing/>
        <w:rPr>
          <w:rFonts w:ascii="Microsoft Sans Serif"/>
          <w:b/>
          <w:u w:val="single"/>
        </w:rPr>
      </w:pPr>
      <w:r>
        <w:rPr>
          <w:rFonts w:ascii="Microsoft Sans Serif"/>
          <w:b/>
          <w:u w:val="single"/>
        </w:rPr>
        <w:lastRenderedPageBreak/>
        <w:t>C-2015-2497230 - STEVEN J FELDMAN v PHILADELPHIA GAS WORKS</w:t>
      </w:r>
      <w:r>
        <w:rPr>
          <w:rFonts w:ascii="Microsoft Sans Serif"/>
          <w:b/>
          <w:u w:val="single"/>
        </w:rPr>
        <w:cr/>
      </w:r>
    </w:p>
    <w:p w:rsidR="00015A62" w:rsidRPr="00875A0B" w:rsidRDefault="00015A62" w:rsidP="00015A62">
      <w:pPr>
        <w:contextualSpacing/>
        <w:rPr>
          <w:rFonts w:ascii="Microsoft Sans Serif" w:eastAsiaTheme="minorHAnsi"/>
        </w:rPr>
      </w:pPr>
      <w:r>
        <w:rPr>
          <w:rFonts w:ascii="Microsoft Sans Serif"/>
          <w:b/>
          <w:u w:val="single"/>
        </w:rPr>
        <w:cr/>
      </w:r>
      <w:r>
        <w:rPr>
          <w:rFonts w:ascii="Microsoft Sans Serif"/>
        </w:rPr>
        <w:t>STEVEN J FELDMAN</w:t>
      </w:r>
      <w:r>
        <w:rPr>
          <w:rFonts w:ascii="Microsoft Sans Serif"/>
        </w:rPr>
        <w:cr/>
        <w:t>5447 MONTAGUE ST</w:t>
      </w:r>
      <w:r>
        <w:rPr>
          <w:rFonts w:ascii="Microsoft Sans Serif"/>
        </w:rPr>
        <w:cr/>
        <w:t>PHILADELPHIA PA  19124</w:t>
      </w:r>
      <w:r>
        <w:rPr>
          <w:rFonts w:ascii="Microsoft Sans Serif"/>
        </w:rPr>
        <w:cr/>
      </w:r>
      <w:r w:rsidRPr="00875A0B">
        <w:rPr>
          <w:rFonts w:ascii="Microsoft Sans Serif"/>
          <w:b/>
        </w:rPr>
        <w:t>215.831.8882</w:t>
      </w:r>
      <w:r>
        <w:rPr>
          <w:rFonts w:ascii="Microsoft Sans Serif"/>
        </w:rPr>
        <w:cr/>
      </w:r>
      <w:bookmarkStart w:id="0" w:name="_GoBack"/>
      <w:bookmarkEnd w:id="0"/>
      <w:r>
        <w:rPr>
          <w:rFonts w:ascii="Microsoft Sans Serif"/>
        </w:rPr>
        <w:cr/>
        <w:t>GRACIELA CHRISTLIEB ESQUIRE</w:t>
      </w:r>
      <w:r>
        <w:rPr>
          <w:rFonts w:ascii="Microsoft Sans Serif"/>
        </w:rPr>
        <w:cr/>
        <w:t>PHILADELPHIA GAS WORKS</w:t>
      </w:r>
      <w:r>
        <w:rPr>
          <w:rFonts w:ascii="Microsoft Sans Serif"/>
        </w:rPr>
        <w:cr/>
        <w:t>800 WEST MONTGOMERY AVENUE</w:t>
      </w:r>
      <w:r>
        <w:rPr>
          <w:rFonts w:ascii="Microsoft Sans Serif"/>
        </w:rPr>
        <w:cr/>
        <w:t>PHILADELPHIA PA  19122</w:t>
      </w:r>
      <w:r>
        <w:rPr>
          <w:rFonts w:ascii="Microsoft Sans Serif"/>
        </w:rPr>
        <w:cr/>
      </w:r>
      <w:r w:rsidRPr="00875A0B">
        <w:rPr>
          <w:rFonts w:ascii="Microsoft Sans Serif"/>
          <w:b/>
        </w:rPr>
        <w:t>215.684.6164</w:t>
      </w:r>
      <w:r>
        <w:rPr>
          <w:rFonts w:ascii="Microsoft Sans Serif"/>
        </w:rPr>
        <w:cr/>
      </w:r>
      <w:r w:rsidRPr="00875A0B">
        <w:rPr>
          <w:rFonts w:ascii="Microsoft Sans Serif" w:eastAsiaTheme="minorHAnsi"/>
        </w:rPr>
        <w:t>Accepts Electronic Service</w:t>
      </w:r>
    </w:p>
    <w:p w:rsidR="00015A62" w:rsidRDefault="00015A62" w:rsidP="00015A62">
      <w:pPr>
        <w:contextualSpacing/>
      </w:pPr>
    </w:p>
    <w:p w:rsidR="00015A62" w:rsidRDefault="00015A62" w:rsidP="00015A62">
      <w:pPr>
        <w:contextualSpacing/>
      </w:pPr>
    </w:p>
    <w:p w:rsidR="00444E27" w:rsidRPr="00550B34" w:rsidRDefault="00444E27" w:rsidP="00444E27"/>
    <w:sectPr w:rsidR="00444E27" w:rsidRPr="00550B34">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80D" w:rsidRDefault="00A6680D">
      <w:r>
        <w:separator/>
      </w:r>
    </w:p>
  </w:endnote>
  <w:endnote w:type="continuationSeparator" w:id="0">
    <w:p w:rsidR="00A6680D" w:rsidRDefault="00A668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3B5" w:rsidRPr="009A72D5" w:rsidRDefault="00B806F4">
    <w:pPr>
      <w:pStyle w:val="Footer"/>
      <w:framePr w:wrap="auto" w:vAnchor="text" w:hAnchor="margin" w:xAlign="center" w:y="1"/>
      <w:rPr>
        <w:rStyle w:val="PageNumber"/>
        <w:sz w:val="20"/>
        <w:szCs w:val="20"/>
      </w:rPr>
    </w:pPr>
    <w:r w:rsidRPr="009A72D5">
      <w:rPr>
        <w:rStyle w:val="PageNumber"/>
        <w:sz w:val="20"/>
        <w:szCs w:val="20"/>
      </w:rPr>
      <w:fldChar w:fldCharType="begin"/>
    </w:r>
    <w:r w:rsidR="006D33B5" w:rsidRPr="009A72D5">
      <w:rPr>
        <w:rStyle w:val="PageNumber"/>
        <w:sz w:val="20"/>
        <w:szCs w:val="20"/>
      </w:rPr>
      <w:instrText xml:space="preserve">PAGE  </w:instrText>
    </w:r>
    <w:r w:rsidRPr="009A72D5">
      <w:rPr>
        <w:rStyle w:val="PageNumber"/>
        <w:sz w:val="20"/>
        <w:szCs w:val="20"/>
      </w:rPr>
      <w:fldChar w:fldCharType="separate"/>
    </w:r>
    <w:r w:rsidR="00015A62">
      <w:rPr>
        <w:rStyle w:val="PageNumber"/>
        <w:noProof/>
        <w:sz w:val="20"/>
        <w:szCs w:val="20"/>
      </w:rPr>
      <w:t>7</w:t>
    </w:r>
    <w:r w:rsidRPr="009A72D5">
      <w:rPr>
        <w:rStyle w:val="PageNumber"/>
        <w:sz w:val="20"/>
        <w:szCs w:val="20"/>
      </w:rPr>
      <w:fldChar w:fldCharType="end"/>
    </w:r>
  </w:p>
  <w:p w:rsidR="006D33B5" w:rsidRPr="003C02CC" w:rsidRDefault="006D33B5">
    <w:pPr>
      <w:pStyle w:val="Footer"/>
      <w:rPr>
        <w:sz w:val="23"/>
        <w:szCs w:val="23"/>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5A62" w:rsidRPr="003C02CC" w:rsidRDefault="00015A62">
    <w:pPr>
      <w:pStyle w:val="Footer"/>
      <w:rPr>
        <w:sz w:val="23"/>
        <w:szCs w:val="23"/>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80D" w:rsidRDefault="00A6680D">
      <w:r>
        <w:separator/>
      </w:r>
    </w:p>
  </w:footnote>
  <w:footnote w:type="continuationSeparator" w:id="0">
    <w:p w:rsidR="00A6680D" w:rsidRDefault="00A6680D">
      <w:r>
        <w:continuationSeparator/>
      </w:r>
    </w:p>
  </w:footnote>
  <w:footnote w:id="1">
    <w:p w:rsidR="00681390" w:rsidRPr="00681390" w:rsidRDefault="00681390">
      <w:pPr>
        <w:pStyle w:val="FootnoteText"/>
      </w:pPr>
      <w:r>
        <w:rPr>
          <w:rStyle w:val="FootnoteReference"/>
        </w:rPr>
        <w:footnoteRef/>
      </w:r>
      <w:r>
        <w:t xml:space="preserve"> </w:t>
      </w:r>
      <w:r>
        <w:tab/>
        <w:t>No Notice to Plead was attached to the New Matter.</w:t>
      </w:r>
    </w:p>
  </w:footnote>
  <w:footnote w:id="2">
    <w:p w:rsidR="00C23C36" w:rsidRPr="00C23C36" w:rsidRDefault="00C23C36" w:rsidP="00C23C36">
      <w:pPr>
        <w:pStyle w:val="Style"/>
        <w:rPr>
          <w:snapToGrid w:val="0"/>
          <w:sz w:val="20"/>
          <w:szCs w:val="20"/>
        </w:rPr>
      </w:pPr>
      <w:r w:rsidRPr="00C23C36">
        <w:rPr>
          <w:rStyle w:val="FootnoteReference"/>
          <w:sz w:val="20"/>
          <w:szCs w:val="20"/>
        </w:rPr>
        <w:footnoteRef/>
      </w:r>
      <w:r w:rsidRPr="00C23C36">
        <w:rPr>
          <w:sz w:val="20"/>
          <w:szCs w:val="20"/>
        </w:rPr>
        <w:t xml:space="preserve"> </w:t>
      </w:r>
      <w:r w:rsidRPr="00C23C36">
        <w:rPr>
          <w:sz w:val="20"/>
          <w:szCs w:val="20"/>
        </w:rPr>
        <w:tab/>
        <w:t xml:space="preserve">In addition, </w:t>
      </w:r>
      <w:r>
        <w:rPr>
          <w:sz w:val="20"/>
          <w:szCs w:val="20"/>
        </w:rPr>
        <w:t xml:space="preserve">Section 1312 of the Public Utility Code allows a four year recovery of refunds if </w:t>
      </w:r>
      <w:r>
        <w:rPr>
          <w:snapToGrid w:val="0"/>
          <w:sz w:val="20"/>
          <w:szCs w:val="20"/>
        </w:rPr>
        <w:t>“</w:t>
      </w:r>
      <w:r w:rsidRPr="00C23C36">
        <w:rPr>
          <w:snapToGrid w:val="0"/>
          <w:sz w:val="20"/>
          <w:szCs w:val="20"/>
        </w:rPr>
        <w:t>in any proceeding involving rates, the commission shall determine that any rate received by a public utility was unjust or unreasonable, or was in violation of any regulation or order of the commission, or was in excess of the applicable rate contained in an existing and effective tariff of such public utility</w:t>
      </w:r>
      <w:r>
        <w:rPr>
          <w:snapToGrid w:val="0"/>
          <w:sz w:val="20"/>
          <w:szCs w:val="20"/>
        </w:rPr>
        <w:t xml:space="preserve">.”  </w:t>
      </w:r>
      <w:proofErr w:type="gramStart"/>
      <w:r w:rsidRPr="00C23C36">
        <w:rPr>
          <w:snapToGrid w:val="0"/>
          <w:sz w:val="20"/>
          <w:szCs w:val="20"/>
        </w:rPr>
        <w:t xml:space="preserve">66 </w:t>
      </w:r>
      <w:proofErr w:type="spellStart"/>
      <w:r w:rsidRPr="00C23C36">
        <w:rPr>
          <w:snapToGrid w:val="0"/>
          <w:sz w:val="20"/>
          <w:szCs w:val="20"/>
        </w:rPr>
        <w:t>Pa.C.S</w:t>
      </w:r>
      <w:proofErr w:type="spellEnd"/>
      <w:r w:rsidRPr="00C23C36">
        <w:rPr>
          <w:snapToGrid w:val="0"/>
          <w:sz w:val="20"/>
          <w:szCs w:val="20"/>
        </w:rPr>
        <w:t>.</w:t>
      </w:r>
      <w:proofErr w:type="gramEnd"/>
      <w:r w:rsidRPr="00C23C36">
        <w:rPr>
          <w:snapToGrid w:val="0"/>
          <w:sz w:val="20"/>
          <w:szCs w:val="20"/>
        </w:rPr>
        <w:t xml:space="preserve"> § 1312(a).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B09A6"/>
    <w:multiLevelType w:val="hybridMultilevel"/>
    <w:tmpl w:val="1584CEC8"/>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17E1560D"/>
    <w:multiLevelType w:val="hybridMultilevel"/>
    <w:tmpl w:val="E3E67C30"/>
    <w:lvl w:ilvl="0" w:tplc="E54E7E6E">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19F9284D"/>
    <w:multiLevelType w:val="hybridMultilevel"/>
    <w:tmpl w:val="3F10BD72"/>
    <w:lvl w:ilvl="0" w:tplc="2806E99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ECF35A7"/>
    <w:multiLevelType w:val="hybridMultilevel"/>
    <w:tmpl w:val="9F5ACEAA"/>
    <w:lvl w:ilvl="0" w:tplc="F66C1C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ED3EA3"/>
    <w:multiLevelType w:val="hybridMultilevel"/>
    <w:tmpl w:val="57CA32BC"/>
    <w:lvl w:ilvl="0" w:tplc="4C9215D8">
      <w:start w:val="1"/>
      <w:numFmt w:val="lowerLetter"/>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2252612D"/>
    <w:multiLevelType w:val="hybridMultilevel"/>
    <w:tmpl w:val="C57CA9A4"/>
    <w:lvl w:ilvl="0" w:tplc="599401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CA7D66"/>
    <w:multiLevelType w:val="hybridMultilevel"/>
    <w:tmpl w:val="A86E0300"/>
    <w:lvl w:ilvl="0" w:tplc="DE9C97B6">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7">
    <w:nsid w:val="30FB5170"/>
    <w:multiLevelType w:val="hybridMultilevel"/>
    <w:tmpl w:val="E116A266"/>
    <w:lvl w:ilvl="0" w:tplc="7CA097E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3EC3359"/>
    <w:multiLevelType w:val="hybridMultilevel"/>
    <w:tmpl w:val="03541CCA"/>
    <w:lvl w:ilvl="0" w:tplc="C63208E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53D2115"/>
    <w:multiLevelType w:val="hybridMultilevel"/>
    <w:tmpl w:val="129406CC"/>
    <w:lvl w:ilvl="0" w:tplc="1188093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1">
    <w:nsid w:val="368E3069"/>
    <w:multiLevelType w:val="hybridMultilevel"/>
    <w:tmpl w:val="B1D82D68"/>
    <w:lvl w:ilvl="0" w:tplc="70FCF8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3AE94907"/>
    <w:multiLevelType w:val="hybridMultilevel"/>
    <w:tmpl w:val="57909FB4"/>
    <w:lvl w:ilvl="0" w:tplc="052A88B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3FD76190"/>
    <w:multiLevelType w:val="hybridMultilevel"/>
    <w:tmpl w:val="8690D42A"/>
    <w:lvl w:ilvl="0" w:tplc="13B0AE06">
      <w:start w:val="2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1A64B9A"/>
    <w:multiLevelType w:val="hybridMultilevel"/>
    <w:tmpl w:val="4A2E2990"/>
    <w:lvl w:ilvl="0" w:tplc="19DC918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46A15F7C"/>
    <w:multiLevelType w:val="hybridMultilevel"/>
    <w:tmpl w:val="A6768F16"/>
    <w:lvl w:ilvl="0" w:tplc="6610EE54">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nsid w:val="474558AB"/>
    <w:multiLevelType w:val="hybridMultilevel"/>
    <w:tmpl w:val="D3BA0D8A"/>
    <w:lvl w:ilvl="0" w:tplc="4440CE9C">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nsid w:val="58352BCA"/>
    <w:multiLevelType w:val="hybridMultilevel"/>
    <w:tmpl w:val="C30EA7C8"/>
    <w:lvl w:ilvl="0" w:tplc="AF921A6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5B341EE0"/>
    <w:multiLevelType w:val="hybridMultilevel"/>
    <w:tmpl w:val="859AD3A8"/>
    <w:lvl w:ilvl="0" w:tplc="B92A31CA">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C54445D"/>
    <w:multiLevelType w:val="hybridMultilevel"/>
    <w:tmpl w:val="AC30221E"/>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5DF37D77"/>
    <w:multiLevelType w:val="hybridMultilevel"/>
    <w:tmpl w:val="B9E2A820"/>
    <w:lvl w:ilvl="0" w:tplc="5712A47C">
      <w:start w:val="1"/>
      <w:numFmt w:val="lowerLetter"/>
      <w:lvlText w:val="(%1)"/>
      <w:lvlJc w:val="lef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nsid w:val="5F9F200E"/>
    <w:multiLevelType w:val="hybridMultilevel"/>
    <w:tmpl w:val="AAC85AFE"/>
    <w:lvl w:ilvl="0" w:tplc="568A562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049238D"/>
    <w:multiLevelType w:val="hybridMultilevel"/>
    <w:tmpl w:val="3DD6905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nsid w:val="66F3386A"/>
    <w:multiLevelType w:val="hybridMultilevel"/>
    <w:tmpl w:val="F7F2C9D4"/>
    <w:lvl w:ilvl="0" w:tplc="7CBCC1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B183FC4"/>
    <w:multiLevelType w:val="hybridMultilevel"/>
    <w:tmpl w:val="94E47D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6">
    <w:nsid w:val="7B037C22"/>
    <w:multiLevelType w:val="hybridMultilevel"/>
    <w:tmpl w:val="51B03476"/>
    <w:lvl w:ilvl="0" w:tplc="6568A0AA">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7C0C20D2"/>
    <w:multiLevelType w:val="hybridMultilevel"/>
    <w:tmpl w:val="F78A1632"/>
    <w:lvl w:ilvl="0" w:tplc="BC8E2C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2"/>
  </w:num>
  <w:num w:numId="2">
    <w:abstractNumId w:val="11"/>
  </w:num>
  <w:num w:numId="3">
    <w:abstractNumId w:val="2"/>
  </w:num>
  <w:num w:numId="4">
    <w:abstractNumId w:val="22"/>
  </w:num>
  <w:num w:numId="5">
    <w:abstractNumId w:val="5"/>
  </w:num>
  <w:num w:numId="6">
    <w:abstractNumId w:val="27"/>
  </w:num>
  <w:num w:numId="7">
    <w:abstractNumId w:val="1"/>
  </w:num>
  <w:num w:numId="8">
    <w:abstractNumId w:val="16"/>
  </w:num>
  <w:num w:numId="9">
    <w:abstractNumId w:val="10"/>
  </w:num>
  <w:num w:numId="10">
    <w:abstractNumId w:val="26"/>
  </w:num>
  <w:num w:numId="11">
    <w:abstractNumId w:val="19"/>
  </w:num>
  <w:num w:numId="12">
    <w:abstractNumId w:val="8"/>
  </w:num>
  <w:num w:numId="13">
    <w:abstractNumId w:val="18"/>
  </w:num>
  <w:num w:numId="14">
    <w:abstractNumId w:val="0"/>
  </w:num>
  <w:num w:numId="15">
    <w:abstractNumId w:val="21"/>
  </w:num>
  <w:num w:numId="16">
    <w:abstractNumId w:val="13"/>
  </w:num>
  <w:num w:numId="17">
    <w:abstractNumId w:val="15"/>
  </w:num>
  <w:num w:numId="18">
    <w:abstractNumId w:val="6"/>
  </w:num>
  <w:num w:numId="19">
    <w:abstractNumId w:val="17"/>
  </w:num>
  <w:num w:numId="20">
    <w:abstractNumId w:val="3"/>
  </w:num>
  <w:num w:numId="21">
    <w:abstractNumId w:val="24"/>
  </w:num>
  <w:num w:numId="22">
    <w:abstractNumId w:val="9"/>
  </w:num>
  <w:num w:numId="23">
    <w:abstractNumId w:val="23"/>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num>
  <w:num w:numId="26">
    <w:abstractNumId w:val="14"/>
  </w:num>
  <w:num w:numId="27">
    <w:abstractNumId w:val="20"/>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3D6"/>
    <w:rsid w:val="00002E79"/>
    <w:rsid w:val="00003135"/>
    <w:rsid w:val="00005247"/>
    <w:rsid w:val="000065C6"/>
    <w:rsid w:val="00006E5D"/>
    <w:rsid w:val="00011478"/>
    <w:rsid w:val="000117EE"/>
    <w:rsid w:val="00015A62"/>
    <w:rsid w:val="00016279"/>
    <w:rsid w:val="00016BEB"/>
    <w:rsid w:val="00017C0F"/>
    <w:rsid w:val="000253F8"/>
    <w:rsid w:val="00031CED"/>
    <w:rsid w:val="00032584"/>
    <w:rsid w:val="00033858"/>
    <w:rsid w:val="00037E8B"/>
    <w:rsid w:val="00040542"/>
    <w:rsid w:val="000447F9"/>
    <w:rsid w:val="00045479"/>
    <w:rsid w:val="00050489"/>
    <w:rsid w:val="00050AF1"/>
    <w:rsid w:val="00054540"/>
    <w:rsid w:val="00054A10"/>
    <w:rsid w:val="00055FCB"/>
    <w:rsid w:val="00060BB1"/>
    <w:rsid w:val="00061E29"/>
    <w:rsid w:val="000629B2"/>
    <w:rsid w:val="00063F87"/>
    <w:rsid w:val="00067986"/>
    <w:rsid w:val="00071CA9"/>
    <w:rsid w:val="00073240"/>
    <w:rsid w:val="00080E54"/>
    <w:rsid w:val="00081A6A"/>
    <w:rsid w:val="0008210E"/>
    <w:rsid w:val="000851FC"/>
    <w:rsid w:val="000878EC"/>
    <w:rsid w:val="00092274"/>
    <w:rsid w:val="0009371E"/>
    <w:rsid w:val="000A134B"/>
    <w:rsid w:val="000A1610"/>
    <w:rsid w:val="000A248E"/>
    <w:rsid w:val="000A74A8"/>
    <w:rsid w:val="000B07F1"/>
    <w:rsid w:val="000B27E2"/>
    <w:rsid w:val="000B2BD1"/>
    <w:rsid w:val="000B6D6C"/>
    <w:rsid w:val="000C3A73"/>
    <w:rsid w:val="000C5271"/>
    <w:rsid w:val="000C541F"/>
    <w:rsid w:val="000C5888"/>
    <w:rsid w:val="000D04DF"/>
    <w:rsid w:val="000D2CCA"/>
    <w:rsid w:val="000D3CEC"/>
    <w:rsid w:val="000D4032"/>
    <w:rsid w:val="000D67B4"/>
    <w:rsid w:val="000D6D75"/>
    <w:rsid w:val="000E133E"/>
    <w:rsid w:val="000E2E49"/>
    <w:rsid w:val="000E6B3B"/>
    <w:rsid w:val="000E74D8"/>
    <w:rsid w:val="000F0A49"/>
    <w:rsid w:val="000F3094"/>
    <w:rsid w:val="000F7691"/>
    <w:rsid w:val="00100249"/>
    <w:rsid w:val="001011A4"/>
    <w:rsid w:val="001019BE"/>
    <w:rsid w:val="00104073"/>
    <w:rsid w:val="00104D08"/>
    <w:rsid w:val="001066C1"/>
    <w:rsid w:val="00107108"/>
    <w:rsid w:val="0011075C"/>
    <w:rsid w:val="00111D05"/>
    <w:rsid w:val="00113C98"/>
    <w:rsid w:val="001143EE"/>
    <w:rsid w:val="00116479"/>
    <w:rsid w:val="00116C62"/>
    <w:rsid w:val="00122A9C"/>
    <w:rsid w:val="001270B6"/>
    <w:rsid w:val="0012726E"/>
    <w:rsid w:val="00130568"/>
    <w:rsid w:val="00131711"/>
    <w:rsid w:val="0013202A"/>
    <w:rsid w:val="00132928"/>
    <w:rsid w:val="00133F23"/>
    <w:rsid w:val="0013576E"/>
    <w:rsid w:val="00135EAF"/>
    <w:rsid w:val="0013770C"/>
    <w:rsid w:val="00140883"/>
    <w:rsid w:val="00141DCE"/>
    <w:rsid w:val="00142EE0"/>
    <w:rsid w:val="00143290"/>
    <w:rsid w:val="001441F9"/>
    <w:rsid w:val="00144EB5"/>
    <w:rsid w:val="00151E42"/>
    <w:rsid w:val="00153529"/>
    <w:rsid w:val="001547B2"/>
    <w:rsid w:val="001611E5"/>
    <w:rsid w:val="001714A2"/>
    <w:rsid w:val="001733BB"/>
    <w:rsid w:val="001767DF"/>
    <w:rsid w:val="00180A87"/>
    <w:rsid w:val="00181BAB"/>
    <w:rsid w:val="00182ECA"/>
    <w:rsid w:val="00183FF0"/>
    <w:rsid w:val="00185A9D"/>
    <w:rsid w:val="001860A1"/>
    <w:rsid w:val="00187495"/>
    <w:rsid w:val="00187940"/>
    <w:rsid w:val="001900E6"/>
    <w:rsid w:val="00190843"/>
    <w:rsid w:val="00192A66"/>
    <w:rsid w:val="00193F4C"/>
    <w:rsid w:val="0019509B"/>
    <w:rsid w:val="00197B84"/>
    <w:rsid w:val="001A0ED3"/>
    <w:rsid w:val="001A1495"/>
    <w:rsid w:val="001A397D"/>
    <w:rsid w:val="001A62B0"/>
    <w:rsid w:val="001B596F"/>
    <w:rsid w:val="001B6119"/>
    <w:rsid w:val="001B7656"/>
    <w:rsid w:val="001C23B6"/>
    <w:rsid w:val="001C3077"/>
    <w:rsid w:val="001C4B7B"/>
    <w:rsid w:val="001C7376"/>
    <w:rsid w:val="001C7DC7"/>
    <w:rsid w:val="001C7E2F"/>
    <w:rsid w:val="001D0606"/>
    <w:rsid w:val="001D1D69"/>
    <w:rsid w:val="001D36BC"/>
    <w:rsid w:val="001D36DF"/>
    <w:rsid w:val="001D3DDB"/>
    <w:rsid w:val="001D48D9"/>
    <w:rsid w:val="001D5FA3"/>
    <w:rsid w:val="001E0583"/>
    <w:rsid w:val="001E1EC3"/>
    <w:rsid w:val="001E1EE6"/>
    <w:rsid w:val="001E41F1"/>
    <w:rsid w:val="001E755C"/>
    <w:rsid w:val="001F24B7"/>
    <w:rsid w:val="001F3D60"/>
    <w:rsid w:val="001F59C0"/>
    <w:rsid w:val="0020025C"/>
    <w:rsid w:val="00201F77"/>
    <w:rsid w:val="002026C5"/>
    <w:rsid w:val="002069A1"/>
    <w:rsid w:val="002076C1"/>
    <w:rsid w:val="00212459"/>
    <w:rsid w:val="0021277F"/>
    <w:rsid w:val="002164E5"/>
    <w:rsid w:val="00217594"/>
    <w:rsid w:val="0022121D"/>
    <w:rsid w:val="00222F72"/>
    <w:rsid w:val="00223B03"/>
    <w:rsid w:val="00224765"/>
    <w:rsid w:val="002251CE"/>
    <w:rsid w:val="00226DA2"/>
    <w:rsid w:val="0023008A"/>
    <w:rsid w:val="002360E7"/>
    <w:rsid w:val="00240576"/>
    <w:rsid w:val="0024075E"/>
    <w:rsid w:val="0024311B"/>
    <w:rsid w:val="002508B3"/>
    <w:rsid w:val="00252F51"/>
    <w:rsid w:val="0025436A"/>
    <w:rsid w:val="0026329B"/>
    <w:rsid w:val="002636A2"/>
    <w:rsid w:val="00266583"/>
    <w:rsid w:val="0027269F"/>
    <w:rsid w:val="00276158"/>
    <w:rsid w:val="002825EF"/>
    <w:rsid w:val="00284DC6"/>
    <w:rsid w:val="002860B7"/>
    <w:rsid w:val="002872AD"/>
    <w:rsid w:val="00287869"/>
    <w:rsid w:val="00291D9A"/>
    <w:rsid w:val="002967E5"/>
    <w:rsid w:val="002A5F90"/>
    <w:rsid w:val="002A6146"/>
    <w:rsid w:val="002A6540"/>
    <w:rsid w:val="002B04F4"/>
    <w:rsid w:val="002B1DB7"/>
    <w:rsid w:val="002B5A65"/>
    <w:rsid w:val="002C06C1"/>
    <w:rsid w:val="002C13F5"/>
    <w:rsid w:val="002C2C4E"/>
    <w:rsid w:val="002C32C8"/>
    <w:rsid w:val="002C370F"/>
    <w:rsid w:val="002C40FB"/>
    <w:rsid w:val="002C5465"/>
    <w:rsid w:val="002C66E9"/>
    <w:rsid w:val="002D0FD9"/>
    <w:rsid w:val="002D275A"/>
    <w:rsid w:val="002E04C4"/>
    <w:rsid w:val="002E2B8A"/>
    <w:rsid w:val="002E4F5F"/>
    <w:rsid w:val="002E5F7E"/>
    <w:rsid w:val="002E64EF"/>
    <w:rsid w:val="002E76DB"/>
    <w:rsid w:val="002F05AF"/>
    <w:rsid w:val="002F61D3"/>
    <w:rsid w:val="003038D5"/>
    <w:rsid w:val="00304A73"/>
    <w:rsid w:val="003123AF"/>
    <w:rsid w:val="00312F22"/>
    <w:rsid w:val="00316851"/>
    <w:rsid w:val="00317051"/>
    <w:rsid w:val="00321207"/>
    <w:rsid w:val="003234C9"/>
    <w:rsid w:val="00325C82"/>
    <w:rsid w:val="00326FA4"/>
    <w:rsid w:val="00330C99"/>
    <w:rsid w:val="00331314"/>
    <w:rsid w:val="003328D0"/>
    <w:rsid w:val="00333765"/>
    <w:rsid w:val="00333A41"/>
    <w:rsid w:val="00334E63"/>
    <w:rsid w:val="00337DC7"/>
    <w:rsid w:val="00342A79"/>
    <w:rsid w:val="00344D73"/>
    <w:rsid w:val="00345906"/>
    <w:rsid w:val="00345AF2"/>
    <w:rsid w:val="00347167"/>
    <w:rsid w:val="00353CE7"/>
    <w:rsid w:val="00360A2F"/>
    <w:rsid w:val="0036322E"/>
    <w:rsid w:val="00364A6D"/>
    <w:rsid w:val="00365D33"/>
    <w:rsid w:val="00366708"/>
    <w:rsid w:val="00366F51"/>
    <w:rsid w:val="00367E2E"/>
    <w:rsid w:val="00371B8B"/>
    <w:rsid w:val="00371DE8"/>
    <w:rsid w:val="00371F6E"/>
    <w:rsid w:val="00374FE0"/>
    <w:rsid w:val="0037679C"/>
    <w:rsid w:val="0037752B"/>
    <w:rsid w:val="00380135"/>
    <w:rsid w:val="003817BA"/>
    <w:rsid w:val="003828F7"/>
    <w:rsid w:val="00386B3E"/>
    <w:rsid w:val="0039072F"/>
    <w:rsid w:val="0039566B"/>
    <w:rsid w:val="00396C01"/>
    <w:rsid w:val="00396C68"/>
    <w:rsid w:val="003A5AD2"/>
    <w:rsid w:val="003A5D44"/>
    <w:rsid w:val="003A5D4E"/>
    <w:rsid w:val="003A64CC"/>
    <w:rsid w:val="003B2470"/>
    <w:rsid w:val="003B2B0E"/>
    <w:rsid w:val="003B2D14"/>
    <w:rsid w:val="003B4C91"/>
    <w:rsid w:val="003B4D8F"/>
    <w:rsid w:val="003C02CC"/>
    <w:rsid w:val="003C424C"/>
    <w:rsid w:val="003C4478"/>
    <w:rsid w:val="003C50EB"/>
    <w:rsid w:val="003C66F8"/>
    <w:rsid w:val="003D419D"/>
    <w:rsid w:val="003E04E8"/>
    <w:rsid w:val="003E112F"/>
    <w:rsid w:val="003E3839"/>
    <w:rsid w:val="003E44F8"/>
    <w:rsid w:val="003E5E54"/>
    <w:rsid w:val="003F06E9"/>
    <w:rsid w:val="003F0F78"/>
    <w:rsid w:val="003F21D9"/>
    <w:rsid w:val="003F49DD"/>
    <w:rsid w:val="003F68D9"/>
    <w:rsid w:val="003F6945"/>
    <w:rsid w:val="00402EB0"/>
    <w:rsid w:val="00407622"/>
    <w:rsid w:val="00413065"/>
    <w:rsid w:val="00415EAE"/>
    <w:rsid w:val="00421C2E"/>
    <w:rsid w:val="00423069"/>
    <w:rsid w:val="00427BB1"/>
    <w:rsid w:val="004327EC"/>
    <w:rsid w:val="00436D29"/>
    <w:rsid w:val="0044078D"/>
    <w:rsid w:val="004417F1"/>
    <w:rsid w:val="00444026"/>
    <w:rsid w:val="004441EB"/>
    <w:rsid w:val="00444E27"/>
    <w:rsid w:val="00446AEA"/>
    <w:rsid w:val="004509B5"/>
    <w:rsid w:val="00451DD1"/>
    <w:rsid w:val="00461CC2"/>
    <w:rsid w:val="00463614"/>
    <w:rsid w:val="0046363A"/>
    <w:rsid w:val="00463D3E"/>
    <w:rsid w:val="004677A9"/>
    <w:rsid w:val="0046782D"/>
    <w:rsid w:val="004703B1"/>
    <w:rsid w:val="004764E1"/>
    <w:rsid w:val="00476814"/>
    <w:rsid w:val="00476FAF"/>
    <w:rsid w:val="004774A5"/>
    <w:rsid w:val="0048022D"/>
    <w:rsid w:val="00480D1C"/>
    <w:rsid w:val="00484CA9"/>
    <w:rsid w:val="00485942"/>
    <w:rsid w:val="00486F2F"/>
    <w:rsid w:val="00487AEB"/>
    <w:rsid w:val="00487C67"/>
    <w:rsid w:val="0049010E"/>
    <w:rsid w:val="004907E0"/>
    <w:rsid w:val="00490F28"/>
    <w:rsid w:val="00491200"/>
    <w:rsid w:val="004A335A"/>
    <w:rsid w:val="004A3DB7"/>
    <w:rsid w:val="004A44C7"/>
    <w:rsid w:val="004A6217"/>
    <w:rsid w:val="004A744B"/>
    <w:rsid w:val="004B12AD"/>
    <w:rsid w:val="004B3128"/>
    <w:rsid w:val="004B66DA"/>
    <w:rsid w:val="004B73DA"/>
    <w:rsid w:val="004C0C8D"/>
    <w:rsid w:val="004C19EA"/>
    <w:rsid w:val="004C3AC8"/>
    <w:rsid w:val="004C54A1"/>
    <w:rsid w:val="004C5959"/>
    <w:rsid w:val="004C5F5B"/>
    <w:rsid w:val="004D1B9A"/>
    <w:rsid w:val="004D3208"/>
    <w:rsid w:val="004D5C84"/>
    <w:rsid w:val="004D5EDA"/>
    <w:rsid w:val="004D6775"/>
    <w:rsid w:val="004E3BB5"/>
    <w:rsid w:val="004E5B21"/>
    <w:rsid w:val="004E665A"/>
    <w:rsid w:val="004E6F0A"/>
    <w:rsid w:val="004F035D"/>
    <w:rsid w:val="004F0FF9"/>
    <w:rsid w:val="004F1CB9"/>
    <w:rsid w:val="004F664A"/>
    <w:rsid w:val="005040DC"/>
    <w:rsid w:val="0050525A"/>
    <w:rsid w:val="00506ED2"/>
    <w:rsid w:val="00506F36"/>
    <w:rsid w:val="00511327"/>
    <w:rsid w:val="00511838"/>
    <w:rsid w:val="00512803"/>
    <w:rsid w:val="0051332A"/>
    <w:rsid w:val="005173E3"/>
    <w:rsid w:val="0052063B"/>
    <w:rsid w:val="00522D71"/>
    <w:rsid w:val="00526B7E"/>
    <w:rsid w:val="0053143A"/>
    <w:rsid w:val="00531C6A"/>
    <w:rsid w:val="0053303C"/>
    <w:rsid w:val="0053542E"/>
    <w:rsid w:val="00535728"/>
    <w:rsid w:val="00535B47"/>
    <w:rsid w:val="0054044D"/>
    <w:rsid w:val="00541FA5"/>
    <w:rsid w:val="005470E2"/>
    <w:rsid w:val="00550B34"/>
    <w:rsid w:val="005534AB"/>
    <w:rsid w:val="00555AB2"/>
    <w:rsid w:val="005570B3"/>
    <w:rsid w:val="0056090B"/>
    <w:rsid w:val="00562740"/>
    <w:rsid w:val="0056328E"/>
    <w:rsid w:val="00564A1C"/>
    <w:rsid w:val="00565DDE"/>
    <w:rsid w:val="0056671B"/>
    <w:rsid w:val="00566D50"/>
    <w:rsid w:val="00575E98"/>
    <w:rsid w:val="00577041"/>
    <w:rsid w:val="00582CDA"/>
    <w:rsid w:val="0058333F"/>
    <w:rsid w:val="00583F87"/>
    <w:rsid w:val="005877DE"/>
    <w:rsid w:val="00587965"/>
    <w:rsid w:val="0059163B"/>
    <w:rsid w:val="00591F58"/>
    <w:rsid w:val="0059318E"/>
    <w:rsid w:val="00593CE6"/>
    <w:rsid w:val="0059641C"/>
    <w:rsid w:val="005A0C2C"/>
    <w:rsid w:val="005A268E"/>
    <w:rsid w:val="005A36C7"/>
    <w:rsid w:val="005A3B57"/>
    <w:rsid w:val="005A6A5B"/>
    <w:rsid w:val="005A6ACF"/>
    <w:rsid w:val="005B063C"/>
    <w:rsid w:val="005B49D8"/>
    <w:rsid w:val="005B6C33"/>
    <w:rsid w:val="005C038C"/>
    <w:rsid w:val="005C1B4B"/>
    <w:rsid w:val="005C7120"/>
    <w:rsid w:val="005C732D"/>
    <w:rsid w:val="005D0602"/>
    <w:rsid w:val="005D092D"/>
    <w:rsid w:val="005D470C"/>
    <w:rsid w:val="005E5B28"/>
    <w:rsid w:val="005E7BB9"/>
    <w:rsid w:val="005F04F2"/>
    <w:rsid w:val="005F081B"/>
    <w:rsid w:val="005F1772"/>
    <w:rsid w:val="005F179B"/>
    <w:rsid w:val="005F1FD3"/>
    <w:rsid w:val="005F2817"/>
    <w:rsid w:val="005F3E44"/>
    <w:rsid w:val="005F56D5"/>
    <w:rsid w:val="005F5D43"/>
    <w:rsid w:val="005F7C7E"/>
    <w:rsid w:val="006031D8"/>
    <w:rsid w:val="006044E1"/>
    <w:rsid w:val="00605117"/>
    <w:rsid w:val="006056AF"/>
    <w:rsid w:val="0060777D"/>
    <w:rsid w:val="006151E8"/>
    <w:rsid w:val="00617F66"/>
    <w:rsid w:val="006200E0"/>
    <w:rsid w:val="006235A7"/>
    <w:rsid w:val="00625458"/>
    <w:rsid w:val="0062545F"/>
    <w:rsid w:val="00626332"/>
    <w:rsid w:val="006273A0"/>
    <w:rsid w:val="00630789"/>
    <w:rsid w:val="006317FA"/>
    <w:rsid w:val="00634D85"/>
    <w:rsid w:val="00634E59"/>
    <w:rsid w:val="006373C8"/>
    <w:rsid w:val="006416F6"/>
    <w:rsid w:val="006427BE"/>
    <w:rsid w:val="00643063"/>
    <w:rsid w:val="00645312"/>
    <w:rsid w:val="00646D7E"/>
    <w:rsid w:val="0064719F"/>
    <w:rsid w:val="00651DC9"/>
    <w:rsid w:val="0065305A"/>
    <w:rsid w:val="00654BE4"/>
    <w:rsid w:val="00657239"/>
    <w:rsid w:val="00661ABA"/>
    <w:rsid w:val="00661F7B"/>
    <w:rsid w:val="00664B91"/>
    <w:rsid w:val="00665616"/>
    <w:rsid w:val="006656BC"/>
    <w:rsid w:val="00666054"/>
    <w:rsid w:val="00666CE7"/>
    <w:rsid w:val="00670EBA"/>
    <w:rsid w:val="0067293C"/>
    <w:rsid w:val="00672EC0"/>
    <w:rsid w:val="006747F7"/>
    <w:rsid w:val="006763F3"/>
    <w:rsid w:val="00677021"/>
    <w:rsid w:val="006803CC"/>
    <w:rsid w:val="00681390"/>
    <w:rsid w:val="006816B8"/>
    <w:rsid w:val="00684075"/>
    <w:rsid w:val="006849B4"/>
    <w:rsid w:val="006871DC"/>
    <w:rsid w:val="00687CAD"/>
    <w:rsid w:val="0069081F"/>
    <w:rsid w:val="006943C2"/>
    <w:rsid w:val="00694651"/>
    <w:rsid w:val="0069608E"/>
    <w:rsid w:val="0069608F"/>
    <w:rsid w:val="006A01EF"/>
    <w:rsid w:val="006A0D09"/>
    <w:rsid w:val="006A2304"/>
    <w:rsid w:val="006A45DF"/>
    <w:rsid w:val="006A5743"/>
    <w:rsid w:val="006A5824"/>
    <w:rsid w:val="006A7A0E"/>
    <w:rsid w:val="006B0982"/>
    <w:rsid w:val="006C2C4C"/>
    <w:rsid w:val="006C393A"/>
    <w:rsid w:val="006C5A4D"/>
    <w:rsid w:val="006C5B56"/>
    <w:rsid w:val="006D0F1E"/>
    <w:rsid w:val="006D1934"/>
    <w:rsid w:val="006D33B5"/>
    <w:rsid w:val="006D3EAA"/>
    <w:rsid w:val="006D48B8"/>
    <w:rsid w:val="006D528C"/>
    <w:rsid w:val="006D5523"/>
    <w:rsid w:val="006E13EB"/>
    <w:rsid w:val="006E3B8A"/>
    <w:rsid w:val="006E6FAE"/>
    <w:rsid w:val="006F0FF6"/>
    <w:rsid w:val="006F1BFA"/>
    <w:rsid w:val="006F3A0C"/>
    <w:rsid w:val="006F74A6"/>
    <w:rsid w:val="006F77FC"/>
    <w:rsid w:val="006F7C35"/>
    <w:rsid w:val="006F7FCB"/>
    <w:rsid w:val="00700291"/>
    <w:rsid w:val="00700B9E"/>
    <w:rsid w:val="00702513"/>
    <w:rsid w:val="00702A13"/>
    <w:rsid w:val="007041DB"/>
    <w:rsid w:val="007138CC"/>
    <w:rsid w:val="00713D64"/>
    <w:rsid w:val="00714476"/>
    <w:rsid w:val="00716BBA"/>
    <w:rsid w:val="007203E5"/>
    <w:rsid w:val="007228C9"/>
    <w:rsid w:val="00723CC9"/>
    <w:rsid w:val="00724ABE"/>
    <w:rsid w:val="00725338"/>
    <w:rsid w:val="00725BFC"/>
    <w:rsid w:val="00726EC8"/>
    <w:rsid w:val="00735291"/>
    <w:rsid w:val="0074212A"/>
    <w:rsid w:val="00744362"/>
    <w:rsid w:val="00746EC7"/>
    <w:rsid w:val="00752614"/>
    <w:rsid w:val="0075751F"/>
    <w:rsid w:val="00757D11"/>
    <w:rsid w:val="00761AAA"/>
    <w:rsid w:val="00763DA0"/>
    <w:rsid w:val="007653FA"/>
    <w:rsid w:val="00771158"/>
    <w:rsid w:val="00771201"/>
    <w:rsid w:val="007712DD"/>
    <w:rsid w:val="00773E3C"/>
    <w:rsid w:val="00774975"/>
    <w:rsid w:val="00780958"/>
    <w:rsid w:val="00783F05"/>
    <w:rsid w:val="00784AE9"/>
    <w:rsid w:val="007876C7"/>
    <w:rsid w:val="00787F5D"/>
    <w:rsid w:val="00794111"/>
    <w:rsid w:val="007945B3"/>
    <w:rsid w:val="007A68A4"/>
    <w:rsid w:val="007B135C"/>
    <w:rsid w:val="007B19DA"/>
    <w:rsid w:val="007B2C93"/>
    <w:rsid w:val="007B76C4"/>
    <w:rsid w:val="007C1DC2"/>
    <w:rsid w:val="007C6559"/>
    <w:rsid w:val="007F19A5"/>
    <w:rsid w:val="007F24B0"/>
    <w:rsid w:val="007F2A67"/>
    <w:rsid w:val="007F2D04"/>
    <w:rsid w:val="007F2FFA"/>
    <w:rsid w:val="007F6BDD"/>
    <w:rsid w:val="007F6F2B"/>
    <w:rsid w:val="007F7EA4"/>
    <w:rsid w:val="00801014"/>
    <w:rsid w:val="008027C4"/>
    <w:rsid w:val="00802923"/>
    <w:rsid w:val="008044A3"/>
    <w:rsid w:val="00816880"/>
    <w:rsid w:val="00817C41"/>
    <w:rsid w:val="0082084D"/>
    <w:rsid w:val="00820EA8"/>
    <w:rsid w:val="008253A9"/>
    <w:rsid w:val="00830CF6"/>
    <w:rsid w:val="0083648A"/>
    <w:rsid w:val="008413F8"/>
    <w:rsid w:val="00842C17"/>
    <w:rsid w:val="008438CF"/>
    <w:rsid w:val="00843D58"/>
    <w:rsid w:val="00843E5D"/>
    <w:rsid w:val="00845486"/>
    <w:rsid w:val="008454B9"/>
    <w:rsid w:val="00845A5B"/>
    <w:rsid w:val="0084613F"/>
    <w:rsid w:val="00852A8C"/>
    <w:rsid w:val="00852B69"/>
    <w:rsid w:val="008540FD"/>
    <w:rsid w:val="00854EC8"/>
    <w:rsid w:val="00860410"/>
    <w:rsid w:val="00861C19"/>
    <w:rsid w:val="0086399C"/>
    <w:rsid w:val="008652EF"/>
    <w:rsid w:val="008733C7"/>
    <w:rsid w:val="00874F41"/>
    <w:rsid w:val="00875497"/>
    <w:rsid w:val="008773BF"/>
    <w:rsid w:val="0088262B"/>
    <w:rsid w:val="00883E39"/>
    <w:rsid w:val="00884C0B"/>
    <w:rsid w:val="00886427"/>
    <w:rsid w:val="008921ED"/>
    <w:rsid w:val="00894A7C"/>
    <w:rsid w:val="00897507"/>
    <w:rsid w:val="008A048B"/>
    <w:rsid w:val="008A0C3C"/>
    <w:rsid w:val="008A1BD7"/>
    <w:rsid w:val="008A28B8"/>
    <w:rsid w:val="008A364A"/>
    <w:rsid w:val="008A6027"/>
    <w:rsid w:val="008A7776"/>
    <w:rsid w:val="008B038D"/>
    <w:rsid w:val="008C0504"/>
    <w:rsid w:val="008C17E3"/>
    <w:rsid w:val="008C2266"/>
    <w:rsid w:val="008C2B8B"/>
    <w:rsid w:val="008C53F0"/>
    <w:rsid w:val="008C6629"/>
    <w:rsid w:val="008C690A"/>
    <w:rsid w:val="008C6C08"/>
    <w:rsid w:val="008C7929"/>
    <w:rsid w:val="008D27F4"/>
    <w:rsid w:val="008D2A90"/>
    <w:rsid w:val="008D34B8"/>
    <w:rsid w:val="008D59A2"/>
    <w:rsid w:val="008D71F8"/>
    <w:rsid w:val="008E6D84"/>
    <w:rsid w:val="008E715F"/>
    <w:rsid w:val="008E79BF"/>
    <w:rsid w:val="008F755E"/>
    <w:rsid w:val="009011DC"/>
    <w:rsid w:val="009065DB"/>
    <w:rsid w:val="00907551"/>
    <w:rsid w:val="00907E93"/>
    <w:rsid w:val="0091132C"/>
    <w:rsid w:val="00922597"/>
    <w:rsid w:val="009242C7"/>
    <w:rsid w:val="00926832"/>
    <w:rsid w:val="00933A0A"/>
    <w:rsid w:val="00935A17"/>
    <w:rsid w:val="00940C6A"/>
    <w:rsid w:val="009422A8"/>
    <w:rsid w:val="009435E2"/>
    <w:rsid w:val="0094648D"/>
    <w:rsid w:val="009479D5"/>
    <w:rsid w:val="00951B5E"/>
    <w:rsid w:val="00951BBB"/>
    <w:rsid w:val="00952807"/>
    <w:rsid w:val="00957662"/>
    <w:rsid w:val="00960F5B"/>
    <w:rsid w:val="00961913"/>
    <w:rsid w:val="00964E3D"/>
    <w:rsid w:val="009651D5"/>
    <w:rsid w:val="00966153"/>
    <w:rsid w:val="00967192"/>
    <w:rsid w:val="009701FB"/>
    <w:rsid w:val="00970AF3"/>
    <w:rsid w:val="009712E6"/>
    <w:rsid w:val="009720C7"/>
    <w:rsid w:val="00973E46"/>
    <w:rsid w:val="0098199E"/>
    <w:rsid w:val="00985B9C"/>
    <w:rsid w:val="00986603"/>
    <w:rsid w:val="0099051F"/>
    <w:rsid w:val="00991840"/>
    <w:rsid w:val="009921ED"/>
    <w:rsid w:val="00994060"/>
    <w:rsid w:val="009971D9"/>
    <w:rsid w:val="009A15A9"/>
    <w:rsid w:val="009A1B67"/>
    <w:rsid w:val="009A241C"/>
    <w:rsid w:val="009A2760"/>
    <w:rsid w:val="009A72D5"/>
    <w:rsid w:val="009B0651"/>
    <w:rsid w:val="009B3671"/>
    <w:rsid w:val="009B6079"/>
    <w:rsid w:val="009C228F"/>
    <w:rsid w:val="009C25F1"/>
    <w:rsid w:val="009C2A10"/>
    <w:rsid w:val="009C416F"/>
    <w:rsid w:val="009C44F8"/>
    <w:rsid w:val="009C5580"/>
    <w:rsid w:val="009D16D6"/>
    <w:rsid w:val="009D17D2"/>
    <w:rsid w:val="009D2069"/>
    <w:rsid w:val="009D37EA"/>
    <w:rsid w:val="009D7DAC"/>
    <w:rsid w:val="009E1824"/>
    <w:rsid w:val="009E2517"/>
    <w:rsid w:val="009E69D3"/>
    <w:rsid w:val="009F01F6"/>
    <w:rsid w:val="009F3DEF"/>
    <w:rsid w:val="009F421F"/>
    <w:rsid w:val="009F57DD"/>
    <w:rsid w:val="009F5C90"/>
    <w:rsid w:val="009F6BF1"/>
    <w:rsid w:val="00A004FE"/>
    <w:rsid w:val="00A050EC"/>
    <w:rsid w:val="00A06973"/>
    <w:rsid w:val="00A07A16"/>
    <w:rsid w:val="00A1051A"/>
    <w:rsid w:val="00A10AFA"/>
    <w:rsid w:val="00A17814"/>
    <w:rsid w:val="00A21C65"/>
    <w:rsid w:val="00A24EEC"/>
    <w:rsid w:val="00A30723"/>
    <w:rsid w:val="00A319FB"/>
    <w:rsid w:val="00A33DC1"/>
    <w:rsid w:val="00A4123B"/>
    <w:rsid w:val="00A414FB"/>
    <w:rsid w:val="00A43247"/>
    <w:rsid w:val="00A442D1"/>
    <w:rsid w:val="00A452AA"/>
    <w:rsid w:val="00A45F35"/>
    <w:rsid w:val="00A46F92"/>
    <w:rsid w:val="00A543D6"/>
    <w:rsid w:val="00A545FB"/>
    <w:rsid w:val="00A54F8A"/>
    <w:rsid w:val="00A61874"/>
    <w:rsid w:val="00A62BBE"/>
    <w:rsid w:val="00A6680D"/>
    <w:rsid w:val="00A7429E"/>
    <w:rsid w:val="00A74AF3"/>
    <w:rsid w:val="00A76336"/>
    <w:rsid w:val="00A76480"/>
    <w:rsid w:val="00A77426"/>
    <w:rsid w:val="00A809FE"/>
    <w:rsid w:val="00A80EB1"/>
    <w:rsid w:val="00A82D94"/>
    <w:rsid w:val="00A83C59"/>
    <w:rsid w:val="00A842C1"/>
    <w:rsid w:val="00A8749E"/>
    <w:rsid w:val="00A92373"/>
    <w:rsid w:val="00A93FB7"/>
    <w:rsid w:val="00A97FF2"/>
    <w:rsid w:val="00AA23BA"/>
    <w:rsid w:val="00AA37CD"/>
    <w:rsid w:val="00AA3B44"/>
    <w:rsid w:val="00AA3DE8"/>
    <w:rsid w:val="00AA5A3B"/>
    <w:rsid w:val="00AB2C39"/>
    <w:rsid w:val="00AB35A6"/>
    <w:rsid w:val="00AC1F47"/>
    <w:rsid w:val="00AC425C"/>
    <w:rsid w:val="00AC54DB"/>
    <w:rsid w:val="00AC56B3"/>
    <w:rsid w:val="00AC6D5D"/>
    <w:rsid w:val="00AC7AB7"/>
    <w:rsid w:val="00AD2E4C"/>
    <w:rsid w:val="00AD56DB"/>
    <w:rsid w:val="00AD6AC6"/>
    <w:rsid w:val="00AE5112"/>
    <w:rsid w:val="00AE7C1B"/>
    <w:rsid w:val="00AF1EBE"/>
    <w:rsid w:val="00AF43A3"/>
    <w:rsid w:val="00AF4DD8"/>
    <w:rsid w:val="00AF5EBD"/>
    <w:rsid w:val="00AF6655"/>
    <w:rsid w:val="00AF754F"/>
    <w:rsid w:val="00B01228"/>
    <w:rsid w:val="00B01460"/>
    <w:rsid w:val="00B02B14"/>
    <w:rsid w:val="00B04A94"/>
    <w:rsid w:val="00B067D4"/>
    <w:rsid w:val="00B07324"/>
    <w:rsid w:val="00B105BD"/>
    <w:rsid w:val="00B10BE1"/>
    <w:rsid w:val="00B10D74"/>
    <w:rsid w:val="00B1232D"/>
    <w:rsid w:val="00B12632"/>
    <w:rsid w:val="00B13E2F"/>
    <w:rsid w:val="00B150EE"/>
    <w:rsid w:val="00B16B10"/>
    <w:rsid w:val="00B17D2D"/>
    <w:rsid w:val="00B17E29"/>
    <w:rsid w:val="00B22385"/>
    <w:rsid w:val="00B2251B"/>
    <w:rsid w:val="00B22579"/>
    <w:rsid w:val="00B25A1A"/>
    <w:rsid w:val="00B34D51"/>
    <w:rsid w:val="00B356D9"/>
    <w:rsid w:val="00B42052"/>
    <w:rsid w:val="00B42143"/>
    <w:rsid w:val="00B4231E"/>
    <w:rsid w:val="00B4241D"/>
    <w:rsid w:val="00B428B5"/>
    <w:rsid w:val="00B44A3E"/>
    <w:rsid w:val="00B50F61"/>
    <w:rsid w:val="00B51C90"/>
    <w:rsid w:val="00B606E5"/>
    <w:rsid w:val="00B62154"/>
    <w:rsid w:val="00B6233D"/>
    <w:rsid w:val="00B62CB9"/>
    <w:rsid w:val="00B65A70"/>
    <w:rsid w:val="00B701AA"/>
    <w:rsid w:val="00B70E1E"/>
    <w:rsid w:val="00B715DC"/>
    <w:rsid w:val="00B73F8B"/>
    <w:rsid w:val="00B74492"/>
    <w:rsid w:val="00B7459D"/>
    <w:rsid w:val="00B75E2D"/>
    <w:rsid w:val="00B76E4E"/>
    <w:rsid w:val="00B800E8"/>
    <w:rsid w:val="00B806F4"/>
    <w:rsid w:val="00B83324"/>
    <w:rsid w:val="00B8363B"/>
    <w:rsid w:val="00B852ED"/>
    <w:rsid w:val="00B85A59"/>
    <w:rsid w:val="00B87D27"/>
    <w:rsid w:val="00B87F4C"/>
    <w:rsid w:val="00B905A3"/>
    <w:rsid w:val="00B9621C"/>
    <w:rsid w:val="00B97AB5"/>
    <w:rsid w:val="00BA0600"/>
    <w:rsid w:val="00BA156B"/>
    <w:rsid w:val="00BA19C5"/>
    <w:rsid w:val="00BA5156"/>
    <w:rsid w:val="00BA5877"/>
    <w:rsid w:val="00BA7585"/>
    <w:rsid w:val="00BA7656"/>
    <w:rsid w:val="00BB0A31"/>
    <w:rsid w:val="00BB229F"/>
    <w:rsid w:val="00BB28CB"/>
    <w:rsid w:val="00BB3282"/>
    <w:rsid w:val="00BB5DF1"/>
    <w:rsid w:val="00BB6570"/>
    <w:rsid w:val="00BC1B7C"/>
    <w:rsid w:val="00BC484E"/>
    <w:rsid w:val="00BC5CA3"/>
    <w:rsid w:val="00BC5F3D"/>
    <w:rsid w:val="00BC689D"/>
    <w:rsid w:val="00BD080F"/>
    <w:rsid w:val="00BD2783"/>
    <w:rsid w:val="00BD6458"/>
    <w:rsid w:val="00BD6EF7"/>
    <w:rsid w:val="00BE0854"/>
    <w:rsid w:val="00BE1ED2"/>
    <w:rsid w:val="00BE2FE3"/>
    <w:rsid w:val="00BE41B8"/>
    <w:rsid w:val="00BE726C"/>
    <w:rsid w:val="00BF25F0"/>
    <w:rsid w:val="00BF3079"/>
    <w:rsid w:val="00BF341D"/>
    <w:rsid w:val="00BF3473"/>
    <w:rsid w:val="00BF56BD"/>
    <w:rsid w:val="00BF5D32"/>
    <w:rsid w:val="00BF6876"/>
    <w:rsid w:val="00BF718F"/>
    <w:rsid w:val="00C0065E"/>
    <w:rsid w:val="00C02794"/>
    <w:rsid w:val="00C0641C"/>
    <w:rsid w:val="00C12AD7"/>
    <w:rsid w:val="00C13C5A"/>
    <w:rsid w:val="00C16397"/>
    <w:rsid w:val="00C201CA"/>
    <w:rsid w:val="00C23C36"/>
    <w:rsid w:val="00C23D73"/>
    <w:rsid w:val="00C241A1"/>
    <w:rsid w:val="00C2609B"/>
    <w:rsid w:val="00C27500"/>
    <w:rsid w:val="00C27ADF"/>
    <w:rsid w:val="00C306E8"/>
    <w:rsid w:val="00C33F0C"/>
    <w:rsid w:val="00C3576E"/>
    <w:rsid w:val="00C35956"/>
    <w:rsid w:val="00C36E27"/>
    <w:rsid w:val="00C407D6"/>
    <w:rsid w:val="00C438C1"/>
    <w:rsid w:val="00C44910"/>
    <w:rsid w:val="00C463DD"/>
    <w:rsid w:val="00C5657B"/>
    <w:rsid w:val="00C56AEC"/>
    <w:rsid w:val="00C60A73"/>
    <w:rsid w:val="00C610DB"/>
    <w:rsid w:val="00C6203D"/>
    <w:rsid w:val="00C643D7"/>
    <w:rsid w:val="00C67551"/>
    <w:rsid w:val="00C72120"/>
    <w:rsid w:val="00C73D5D"/>
    <w:rsid w:val="00C75DCE"/>
    <w:rsid w:val="00C773A3"/>
    <w:rsid w:val="00C77DA0"/>
    <w:rsid w:val="00C843D7"/>
    <w:rsid w:val="00C86D82"/>
    <w:rsid w:val="00C90325"/>
    <w:rsid w:val="00C90EDA"/>
    <w:rsid w:val="00C91C93"/>
    <w:rsid w:val="00C92C0C"/>
    <w:rsid w:val="00C97272"/>
    <w:rsid w:val="00CA22A8"/>
    <w:rsid w:val="00CA2D56"/>
    <w:rsid w:val="00CA3396"/>
    <w:rsid w:val="00CA3B90"/>
    <w:rsid w:val="00CA4020"/>
    <w:rsid w:val="00CA666C"/>
    <w:rsid w:val="00CA73E2"/>
    <w:rsid w:val="00CB1772"/>
    <w:rsid w:val="00CB18E0"/>
    <w:rsid w:val="00CB4220"/>
    <w:rsid w:val="00CB4DB1"/>
    <w:rsid w:val="00CB748F"/>
    <w:rsid w:val="00CC3542"/>
    <w:rsid w:val="00CC3879"/>
    <w:rsid w:val="00CC5FED"/>
    <w:rsid w:val="00CD3D18"/>
    <w:rsid w:val="00CD604F"/>
    <w:rsid w:val="00CD68CE"/>
    <w:rsid w:val="00CE08CE"/>
    <w:rsid w:val="00CE20E9"/>
    <w:rsid w:val="00CE3773"/>
    <w:rsid w:val="00CE4AC6"/>
    <w:rsid w:val="00CE6FC5"/>
    <w:rsid w:val="00CE701C"/>
    <w:rsid w:val="00CE7EE7"/>
    <w:rsid w:val="00CF0E33"/>
    <w:rsid w:val="00CF1A77"/>
    <w:rsid w:val="00CF2A61"/>
    <w:rsid w:val="00CF326B"/>
    <w:rsid w:val="00CF4490"/>
    <w:rsid w:val="00CF5705"/>
    <w:rsid w:val="00CF5A8F"/>
    <w:rsid w:val="00D00379"/>
    <w:rsid w:val="00D02279"/>
    <w:rsid w:val="00D03829"/>
    <w:rsid w:val="00D04FB2"/>
    <w:rsid w:val="00D10467"/>
    <w:rsid w:val="00D10652"/>
    <w:rsid w:val="00D12806"/>
    <w:rsid w:val="00D13DB2"/>
    <w:rsid w:val="00D20091"/>
    <w:rsid w:val="00D209B6"/>
    <w:rsid w:val="00D21A2E"/>
    <w:rsid w:val="00D22294"/>
    <w:rsid w:val="00D22442"/>
    <w:rsid w:val="00D2255F"/>
    <w:rsid w:val="00D22EBC"/>
    <w:rsid w:val="00D23214"/>
    <w:rsid w:val="00D24374"/>
    <w:rsid w:val="00D24620"/>
    <w:rsid w:val="00D3123C"/>
    <w:rsid w:val="00D32464"/>
    <w:rsid w:val="00D346DA"/>
    <w:rsid w:val="00D34F9E"/>
    <w:rsid w:val="00D3584A"/>
    <w:rsid w:val="00D44B05"/>
    <w:rsid w:val="00D44FF7"/>
    <w:rsid w:val="00D45A5C"/>
    <w:rsid w:val="00D51B5E"/>
    <w:rsid w:val="00D55377"/>
    <w:rsid w:val="00D557D5"/>
    <w:rsid w:val="00D57E4B"/>
    <w:rsid w:val="00D601F0"/>
    <w:rsid w:val="00D626EC"/>
    <w:rsid w:val="00D62F2F"/>
    <w:rsid w:val="00D64F50"/>
    <w:rsid w:val="00D65D31"/>
    <w:rsid w:val="00D7167B"/>
    <w:rsid w:val="00D73519"/>
    <w:rsid w:val="00D73AE8"/>
    <w:rsid w:val="00D73E83"/>
    <w:rsid w:val="00D80A3E"/>
    <w:rsid w:val="00D81384"/>
    <w:rsid w:val="00D82669"/>
    <w:rsid w:val="00D82F04"/>
    <w:rsid w:val="00D84B3D"/>
    <w:rsid w:val="00D86EC4"/>
    <w:rsid w:val="00D92151"/>
    <w:rsid w:val="00D94D3A"/>
    <w:rsid w:val="00D95385"/>
    <w:rsid w:val="00D96C3F"/>
    <w:rsid w:val="00DA0323"/>
    <w:rsid w:val="00DA0C66"/>
    <w:rsid w:val="00DA3FF9"/>
    <w:rsid w:val="00DB112D"/>
    <w:rsid w:val="00DB13BD"/>
    <w:rsid w:val="00DB1971"/>
    <w:rsid w:val="00DB39B4"/>
    <w:rsid w:val="00DC451E"/>
    <w:rsid w:val="00DC5FA1"/>
    <w:rsid w:val="00DC7C98"/>
    <w:rsid w:val="00DD04D4"/>
    <w:rsid w:val="00DD0CE4"/>
    <w:rsid w:val="00DD3D3E"/>
    <w:rsid w:val="00DD418E"/>
    <w:rsid w:val="00DD6A64"/>
    <w:rsid w:val="00DE09BF"/>
    <w:rsid w:val="00DE3721"/>
    <w:rsid w:val="00DF1668"/>
    <w:rsid w:val="00DF252A"/>
    <w:rsid w:val="00DF2742"/>
    <w:rsid w:val="00DF3A9C"/>
    <w:rsid w:val="00DF422C"/>
    <w:rsid w:val="00DF448C"/>
    <w:rsid w:val="00DF71A5"/>
    <w:rsid w:val="00E061D8"/>
    <w:rsid w:val="00E07EE4"/>
    <w:rsid w:val="00E135D1"/>
    <w:rsid w:val="00E14245"/>
    <w:rsid w:val="00E14396"/>
    <w:rsid w:val="00E15EBC"/>
    <w:rsid w:val="00E20D55"/>
    <w:rsid w:val="00E21F02"/>
    <w:rsid w:val="00E22703"/>
    <w:rsid w:val="00E2272C"/>
    <w:rsid w:val="00E2347B"/>
    <w:rsid w:val="00E24228"/>
    <w:rsid w:val="00E24C47"/>
    <w:rsid w:val="00E25125"/>
    <w:rsid w:val="00E27B5F"/>
    <w:rsid w:val="00E32F69"/>
    <w:rsid w:val="00E40843"/>
    <w:rsid w:val="00E41299"/>
    <w:rsid w:val="00E445D8"/>
    <w:rsid w:val="00E46ACA"/>
    <w:rsid w:val="00E47B07"/>
    <w:rsid w:val="00E50FFA"/>
    <w:rsid w:val="00E526F5"/>
    <w:rsid w:val="00E53FAB"/>
    <w:rsid w:val="00E5528B"/>
    <w:rsid w:val="00E5593B"/>
    <w:rsid w:val="00E63742"/>
    <w:rsid w:val="00E63F24"/>
    <w:rsid w:val="00E67635"/>
    <w:rsid w:val="00E70A61"/>
    <w:rsid w:val="00E77251"/>
    <w:rsid w:val="00E817EE"/>
    <w:rsid w:val="00E818B6"/>
    <w:rsid w:val="00E81B85"/>
    <w:rsid w:val="00E83487"/>
    <w:rsid w:val="00E87CF0"/>
    <w:rsid w:val="00E9187B"/>
    <w:rsid w:val="00E91EAA"/>
    <w:rsid w:val="00E92FD0"/>
    <w:rsid w:val="00E93A91"/>
    <w:rsid w:val="00E93B0A"/>
    <w:rsid w:val="00E93D93"/>
    <w:rsid w:val="00EA5400"/>
    <w:rsid w:val="00EA5C78"/>
    <w:rsid w:val="00EB045D"/>
    <w:rsid w:val="00EB318D"/>
    <w:rsid w:val="00EB41C4"/>
    <w:rsid w:val="00EB5149"/>
    <w:rsid w:val="00EB5B7B"/>
    <w:rsid w:val="00EB668D"/>
    <w:rsid w:val="00EC1909"/>
    <w:rsid w:val="00EC1DDA"/>
    <w:rsid w:val="00EC2835"/>
    <w:rsid w:val="00EC2C15"/>
    <w:rsid w:val="00EC41FA"/>
    <w:rsid w:val="00EC4455"/>
    <w:rsid w:val="00EC77BB"/>
    <w:rsid w:val="00EC7DE2"/>
    <w:rsid w:val="00EC7E13"/>
    <w:rsid w:val="00ED1828"/>
    <w:rsid w:val="00ED4EEA"/>
    <w:rsid w:val="00EE16DD"/>
    <w:rsid w:val="00EE7BAA"/>
    <w:rsid w:val="00EF1081"/>
    <w:rsid w:val="00EF1723"/>
    <w:rsid w:val="00EF26AE"/>
    <w:rsid w:val="00EF7594"/>
    <w:rsid w:val="00F00D62"/>
    <w:rsid w:val="00F01005"/>
    <w:rsid w:val="00F0305C"/>
    <w:rsid w:val="00F03989"/>
    <w:rsid w:val="00F12B16"/>
    <w:rsid w:val="00F139D5"/>
    <w:rsid w:val="00F13DFB"/>
    <w:rsid w:val="00F15DC9"/>
    <w:rsid w:val="00F1692D"/>
    <w:rsid w:val="00F17C06"/>
    <w:rsid w:val="00F21B5D"/>
    <w:rsid w:val="00F23018"/>
    <w:rsid w:val="00F25BF4"/>
    <w:rsid w:val="00F27105"/>
    <w:rsid w:val="00F27B16"/>
    <w:rsid w:val="00F31467"/>
    <w:rsid w:val="00F32383"/>
    <w:rsid w:val="00F33096"/>
    <w:rsid w:val="00F336A1"/>
    <w:rsid w:val="00F40D25"/>
    <w:rsid w:val="00F441B2"/>
    <w:rsid w:val="00F46A84"/>
    <w:rsid w:val="00F476E8"/>
    <w:rsid w:val="00F51634"/>
    <w:rsid w:val="00F5660C"/>
    <w:rsid w:val="00F63836"/>
    <w:rsid w:val="00F74EC5"/>
    <w:rsid w:val="00F750F4"/>
    <w:rsid w:val="00F76819"/>
    <w:rsid w:val="00F77924"/>
    <w:rsid w:val="00F808F8"/>
    <w:rsid w:val="00F81B45"/>
    <w:rsid w:val="00F824FC"/>
    <w:rsid w:val="00F9081A"/>
    <w:rsid w:val="00F90A9D"/>
    <w:rsid w:val="00F91760"/>
    <w:rsid w:val="00F91D36"/>
    <w:rsid w:val="00FA0DC0"/>
    <w:rsid w:val="00FA0E84"/>
    <w:rsid w:val="00FA1FEE"/>
    <w:rsid w:val="00FA5B52"/>
    <w:rsid w:val="00FA66AD"/>
    <w:rsid w:val="00FA73C3"/>
    <w:rsid w:val="00FA7A69"/>
    <w:rsid w:val="00FA7F14"/>
    <w:rsid w:val="00FB4D87"/>
    <w:rsid w:val="00FC4FC1"/>
    <w:rsid w:val="00FD13D4"/>
    <w:rsid w:val="00FD18C7"/>
    <w:rsid w:val="00FD1E5D"/>
    <w:rsid w:val="00FD221C"/>
    <w:rsid w:val="00FD25D2"/>
    <w:rsid w:val="00FD342D"/>
    <w:rsid w:val="00FD417F"/>
    <w:rsid w:val="00FD4C02"/>
    <w:rsid w:val="00FD636E"/>
    <w:rsid w:val="00FD795C"/>
    <w:rsid w:val="00FD7E41"/>
    <w:rsid w:val="00FE1C67"/>
    <w:rsid w:val="00FE1CDD"/>
    <w:rsid w:val="00FF1A4E"/>
    <w:rsid w:val="00FF4F5F"/>
    <w:rsid w:val="00FF7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3D64"/>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13D64"/>
    <w:pPr>
      <w:tabs>
        <w:tab w:val="center" w:pos="4320"/>
        <w:tab w:val="right" w:pos="8640"/>
      </w:tabs>
    </w:pPr>
  </w:style>
  <w:style w:type="character" w:styleId="PageNumber">
    <w:name w:val="page number"/>
    <w:basedOn w:val="DefaultParagraphFont"/>
    <w:rsid w:val="00713D64"/>
  </w:style>
  <w:style w:type="paragraph" w:styleId="FootnoteText">
    <w:name w:val="footnote text"/>
    <w:basedOn w:val="Normal"/>
    <w:link w:val="FootnoteTextChar"/>
    <w:uiPriority w:val="99"/>
    <w:semiHidden/>
    <w:rsid w:val="00713D64"/>
    <w:rPr>
      <w:sz w:val="20"/>
      <w:szCs w:val="20"/>
    </w:rPr>
  </w:style>
  <w:style w:type="character" w:styleId="FootnoteReference">
    <w:name w:val="footnote reference"/>
    <w:basedOn w:val="DefaultParagraphFont"/>
    <w:uiPriority w:val="99"/>
    <w:semiHidden/>
    <w:rsid w:val="00713D64"/>
    <w:rPr>
      <w:vertAlign w:val="superscript"/>
    </w:rPr>
  </w:style>
  <w:style w:type="paragraph" w:styleId="BodyTextIndent">
    <w:name w:val="Body Text Indent"/>
    <w:basedOn w:val="Normal"/>
    <w:rsid w:val="001D48D9"/>
    <w:pPr>
      <w:widowControl w:val="0"/>
      <w:ind w:left="360" w:firstLine="360"/>
      <w:jc w:val="both"/>
    </w:pPr>
    <w:rPr>
      <w:sz w:val="26"/>
      <w:szCs w:val="26"/>
    </w:rPr>
  </w:style>
  <w:style w:type="paragraph" w:styleId="ListParagraph">
    <w:name w:val="List Paragraph"/>
    <w:basedOn w:val="Normal"/>
    <w:uiPriority w:val="34"/>
    <w:qFormat/>
    <w:rsid w:val="00883E39"/>
    <w:pPr>
      <w:ind w:left="720"/>
    </w:pPr>
  </w:style>
  <w:style w:type="paragraph" w:styleId="Header">
    <w:name w:val="header"/>
    <w:basedOn w:val="Normal"/>
    <w:link w:val="HeaderChar"/>
    <w:rsid w:val="00BE0854"/>
    <w:pPr>
      <w:tabs>
        <w:tab w:val="center" w:pos="4680"/>
        <w:tab w:val="right" w:pos="9360"/>
      </w:tabs>
    </w:pPr>
  </w:style>
  <w:style w:type="character" w:customStyle="1" w:styleId="HeaderChar">
    <w:name w:val="Header Char"/>
    <w:basedOn w:val="DefaultParagraphFont"/>
    <w:link w:val="Header"/>
    <w:rsid w:val="00BE0854"/>
    <w:rPr>
      <w:sz w:val="24"/>
      <w:szCs w:val="24"/>
    </w:rPr>
  </w:style>
  <w:style w:type="paragraph" w:styleId="Caption">
    <w:name w:val="caption"/>
    <w:basedOn w:val="Normal"/>
    <w:next w:val="Normal"/>
    <w:qFormat/>
    <w:rsid w:val="00D626EC"/>
    <w:rPr>
      <w:rFonts w:ascii="CG Times" w:hAnsi="CG Times" w:cs="CG Times"/>
    </w:rPr>
  </w:style>
  <w:style w:type="table" w:styleId="TableGrid">
    <w:name w:val="Table Grid"/>
    <w:basedOn w:val="TableNormal"/>
    <w:rsid w:val="00D94D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444E27"/>
    <w:rPr>
      <w:sz w:val="24"/>
      <w:szCs w:val="24"/>
    </w:rPr>
  </w:style>
  <w:style w:type="paragraph" w:customStyle="1" w:styleId="Style">
    <w:name w:val="Style"/>
    <w:rsid w:val="004F664A"/>
    <w:pPr>
      <w:widowControl w:val="0"/>
      <w:autoSpaceDE w:val="0"/>
      <w:autoSpaceDN w:val="0"/>
      <w:adjustRightInd w:val="0"/>
    </w:pPr>
    <w:rPr>
      <w:sz w:val="24"/>
      <w:szCs w:val="24"/>
    </w:rPr>
  </w:style>
  <w:style w:type="paragraph" w:styleId="BalloonText">
    <w:name w:val="Balloon Text"/>
    <w:basedOn w:val="Normal"/>
    <w:link w:val="BalloonTextChar"/>
    <w:rsid w:val="00BA7656"/>
    <w:rPr>
      <w:rFonts w:ascii="Tahoma" w:hAnsi="Tahoma" w:cs="Tahoma"/>
      <w:sz w:val="16"/>
      <w:szCs w:val="16"/>
    </w:rPr>
  </w:style>
  <w:style w:type="character" w:customStyle="1" w:styleId="BalloonTextChar">
    <w:name w:val="Balloon Text Char"/>
    <w:basedOn w:val="DefaultParagraphFont"/>
    <w:link w:val="BalloonText"/>
    <w:rsid w:val="00BA7656"/>
    <w:rPr>
      <w:rFonts w:ascii="Tahoma" w:hAnsi="Tahoma" w:cs="Tahoma"/>
      <w:sz w:val="16"/>
      <w:szCs w:val="16"/>
    </w:rPr>
  </w:style>
  <w:style w:type="paragraph" w:customStyle="1" w:styleId="ParaTab1">
    <w:name w:val="ParaTab 1"/>
    <w:rsid w:val="00C643D7"/>
    <w:pPr>
      <w:tabs>
        <w:tab w:val="left" w:pos="-720"/>
      </w:tabs>
      <w:suppressAutoHyphens/>
      <w:autoSpaceDE w:val="0"/>
      <w:autoSpaceDN w:val="0"/>
      <w:ind w:firstLine="1440"/>
    </w:pPr>
    <w:rPr>
      <w:rFonts w:ascii="CG Times" w:hAnsi="CG Times" w:cs="CG Times"/>
      <w:sz w:val="24"/>
      <w:szCs w:val="24"/>
    </w:rPr>
  </w:style>
  <w:style w:type="paragraph" w:customStyle="1" w:styleId="ParaTab8">
    <w:name w:val="ParaTab 8"/>
    <w:rsid w:val="005470E2"/>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character" w:customStyle="1" w:styleId="FootnoteTextChar">
    <w:name w:val="Footnote Text Char"/>
    <w:basedOn w:val="DefaultParagraphFont"/>
    <w:link w:val="FootnoteText"/>
    <w:uiPriority w:val="99"/>
    <w:semiHidden/>
    <w:rsid w:val="008044A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3D64"/>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13D64"/>
    <w:pPr>
      <w:tabs>
        <w:tab w:val="center" w:pos="4320"/>
        <w:tab w:val="right" w:pos="8640"/>
      </w:tabs>
    </w:pPr>
  </w:style>
  <w:style w:type="character" w:styleId="PageNumber">
    <w:name w:val="page number"/>
    <w:basedOn w:val="DefaultParagraphFont"/>
    <w:rsid w:val="00713D64"/>
  </w:style>
  <w:style w:type="paragraph" w:styleId="FootnoteText">
    <w:name w:val="footnote text"/>
    <w:basedOn w:val="Normal"/>
    <w:link w:val="FootnoteTextChar"/>
    <w:uiPriority w:val="99"/>
    <w:semiHidden/>
    <w:rsid w:val="00713D64"/>
    <w:rPr>
      <w:sz w:val="20"/>
      <w:szCs w:val="20"/>
    </w:rPr>
  </w:style>
  <w:style w:type="character" w:styleId="FootnoteReference">
    <w:name w:val="footnote reference"/>
    <w:basedOn w:val="DefaultParagraphFont"/>
    <w:uiPriority w:val="99"/>
    <w:semiHidden/>
    <w:rsid w:val="00713D64"/>
    <w:rPr>
      <w:vertAlign w:val="superscript"/>
    </w:rPr>
  </w:style>
  <w:style w:type="paragraph" w:styleId="BodyTextIndent">
    <w:name w:val="Body Text Indent"/>
    <w:basedOn w:val="Normal"/>
    <w:rsid w:val="001D48D9"/>
    <w:pPr>
      <w:widowControl w:val="0"/>
      <w:ind w:left="360" w:firstLine="360"/>
      <w:jc w:val="both"/>
    </w:pPr>
    <w:rPr>
      <w:sz w:val="26"/>
      <w:szCs w:val="26"/>
    </w:rPr>
  </w:style>
  <w:style w:type="paragraph" w:styleId="ListParagraph">
    <w:name w:val="List Paragraph"/>
    <w:basedOn w:val="Normal"/>
    <w:uiPriority w:val="34"/>
    <w:qFormat/>
    <w:rsid w:val="00883E39"/>
    <w:pPr>
      <w:ind w:left="720"/>
    </w:pPr>
  </w:style>
  <w:style w:type="paragraph" w:styleId="Header">
    <w:name w:val="header"/>
    <w:basedOn w:val="Normal"/>
    <w:link w:val="HeaderChar"/>
    <w:rsid w:val="00BE0854"/>
    <w:pPr>
      <w:tabs>
        <w:tab w:val="center" w:pos="4680"/>
        <w:tab w:val="right" w:pos="9360"/>
      </w:tabs>
    </w:pPr>
  </w:style>
  <w:style w:type="character" w:customStyle="1" w:styleId="HeaderChar">
    <w:name w:val="Header Char"/>
    <w:basedOn w:val="DefaultParagraphFont"/>
    <w:link w:val="Header"/>
    <w:rsid w:val="00BE0854"/>
    <w:rPr>
      <w:sz w:val="24"/>
      <w:szCs w:val="24"/>
    </w:rPr>
  </w:style>
  <w:style w:type="paragraph" w:styleId="Caption">
    <w:name w:val="caption"/>
    <w:basedOn w:val="Normal"/>
    <w:next w:val="Normal"/>
    <w:qFormat/>
    <w:rsid w:val="00D626EC"/>
    <w:rPr>
      <w:rFonts w:ascii="CG Times" w:hAnsi="CG Times" w:cs="CG Times"/>
    </w:rPr>
  </w:style>
  <w:style w:type="table" w:styleId="TableGrid">
    <w:name w:val="Table Grid"/>
    <w:basedOn w:val="TableNormal"/>
    <w:rsid w:val="00D94D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444E27"/>
    <w:rPr>
      <w:sz w:val="24"/>
      <w:szCs w:val="24"/>
    </w:rPr>
  </w:style>
  <w:style w:type="paragraph" w:customStyle="1" w:styleId="Style">
    <w:name w:val="Style"/>
    <w:rsid w:val="004F664A"/>
    <w:pPr>
      <w:widowControl w:val="0"/>
      <w:autoSpaceDE w:val="0"/>
      <w:autoSpaceDN w:val="0"/>
      <w:adjustRightInd w:val="0"/>
    </w:pPr>
    <w:rPr>
      <w:sz w:val="24"/>
      <w:szCs w:val="24"/>
    </w:rPr>
  </w:style>
  <w:style w:type="paragraph" w:styleId="BalloonText">
    <w:name w:val="Balloon Text"/>
    <w:basedOn w:val="Normal"/>
    <w:link w:val="BalloonTextChar"/>
    <w:rsid w:val="00BA7656"/>
    <w:rPr>
      <w:rFonts w:ascii="Tahoma" w:hAnsi="Tahoma" w:cs="Tahoma"/>
      <w:sz w:val="16"/>
      <w:szCs w:val="16"/>
    </w:rPr>
  </w:style>
  <w:style w:type="character" w:customStyle="1" w:styleId="BalloonTextChar">
    <w:name w:val="Balloon Text Char"/>
    <w:basedOn w:val="DefaultParagraphFont"/>
    <w:link w:val="BalloonText"/>
    <w:rsid w:val="00BA7656"/>
    <w:rPr>
      <w:rFonts w:ascii="Tahoma" w:hAnsi="Tahoma" w:cs="Tahoma"/>
      <w:sz w:val="16"/>
      <w:szCs w:val="16"/>
    </w:rPr>
  </w:style>
  <w:style w:type="paragraph" w:customStyle="1" w:styleId="ParaTab1">
    <w:name w:val="ParaTab 1"/>
    <w:rsid w:val="00C643D7"/>
    <w:pPr>
      <w:tabs>
        <w:tab w:val="left" w:pos="-720"/>
      </w:tabs>
      <w:suppressAutoHyphens/>
      <w:autoSpaceDE w:val="0"/>
      <w:autoSpaceDN w:val="0"/>
      <w:ind w:firstLine="1440"/>
    </w:pPr>
    <w:rPr>
      <w:rFonts w:ascii="CG Times" w:hAnsi="CG Times" w:cs="CG Times"/>
      <w:sz w:val="24"/>
      <w:szCs w:val="24"/>
    </w:rPr>
  </w:style>
  <w:style w:type="paragraph" w:customStyle="1" w:styleId="ParaTab8">
    <w:name w:val="ParaTab 8"/>
    <w:rsid w:val="005470E2"/>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character" w:customStyle="1" w:styleId="FootnoteTextChar">
    <w:name w:val="Footnote Text Char"/>
    <w:basedOn w:val="DefaultParagraphFont"/>
    <w:link w:val="FootnoteText"/>
    <w:uiPriority w:val="99"/>
    <w:semiHidden/>
    <w:rsid w:val="008044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5003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10040-577A-4FA6-97A1-C238DEFF2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1816</Words>
  <Characters>10354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wlw.c-970620.idgmtd</vt:lpstr>
    </vt:vector>
  </TitlesOfParts>
  <Company>PA PUC</Company>
  <LinksUpToDate>false</LinksUpToDate>
  <CharactersWithSpaces>12146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wlw.c-970620.idgmtd</dc:title>
  <dc:creator>DSA</dc:creator>
  <cp:lastModifiedBy>Lewis, Meska</cp:lastModifiedBy>
  <cp:revision>5</cp:revision>
  <cp:lastPrinted>2015-11-04T15:58:00Z</cp:lastPrinted>
  <dcterms:created xsi:type="dcterms:W3CDTF">2015-11-04T15:52:00Z</dcterms:created>
  <dcterms:modified xsi:type="dcterms:W3CDTF">2015-11-04T15:58:00Z</dcterms:modified>
</cp:coreProperties>
</file>