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E3" w:rsidRDefault="00A37DE3" w:rsidP="000306E2">
      <w:pPr>
        <w:tabs>
          <w:tab w:val="center" w:pos="4680"/>
        </w:tabs>
        <w:suppressAutoHyphens/>
        <w:ind w:firstLine="0"/>
        <w:jc w:val="center"/>
        <w:rPr>
          <w:b/>
        </w:rPr>
      </w:pPr>
      <w:r>
        <w:rPr>
          <w:b/>
        </w:rPr>
        <w:t>PENNSYLVANIA</w:t>
      </w:r>
    </w:p>
    <w:p w:rsidR="00A37DE3" w:rsidRDefault="00A37DE3" w:rsidP="000306E2">
      <w:pPr>
        <w:tabs>
          <w:tab w:val="center" w:pos="4680"/>
        </w:tabs>
        <w:suppressAutoHyphens/>
        <w:ind w:firstLine="0"/>
        <w:jc w:val="center"/>
        <w:rPr>
          <w:b/>
        </w:rPr>
      </w:pPr>
      <w:r>
        <w:rPr>
          <w:b/>
        </w:rPr>
        <w:t>PUBLIC UTILITY COMMISSION</w:t>
      </w:r>
    </w:p>
    <w:p w:rsidR="00A37DE3" w:rsidRDefault="000306E2" w:rsidP="000306E2">
      <w:pPr>
        <w:tabs>
          <w:tab w:val="center" w:pos="4680"/>
        </w:tabs>
        <w:suppressAutoHyphens/>
        <w:ind w:firstLine="0"/>
        <w:jc w:val="center"/>
        <w:rPr>
          <w:b/>
        </w:rPr>
      </w:pPr>
      <w:r>
        <w:rPr>
          <w:b/>
        </w:rPr>
        <w:t xml:space="preserve">Harrisburg, PA </w:t>
      </w:r>
      <w:r w:rsidR="00A37DE3">
        <w:rPr>
          <w:b/>
        </w:rPr>
        <w:t>17105-3265</w:t>
      </w:r>
    </w:p>
    <w:p w:rsidR="00A37DE3" w:rsidRDefault="00A37DE3" w:rsidP="001E307F">
      <w:pPr>
        <w:tabs>
          <w:tab w:val="left" w:pos="-720"/>
        </w:tabs>
        <w:suppressAutoHyphens/>
        <w:rPr>
          <w:b/>
        </w:rPr>
      </w:pPr>
    </w:p>
    <w:p w:rsidR="00A37DE3" w:rsidRPr="001D19E9" w:rsidRDefault="005234A3" w:rsidP="001E307F">
      <w:pPr>
        <w:tabs>
          <w:tab w:val="right" w:pos="9360"/>
        </w:tabs>
        <w:suppressAutoHyphens/>
        <w:jc w:val="right"/>
      </w:pPr>
      <w:r>
        <w:t>P</w:t>
      </w:r>
      <w:r w:rsidR="008D3745">
        <w:t xml:space="preserve">ublic Meeting held </w:t>
      </w:r>
      <w:r w:rsidR="000C087C">
        <w:t>November 5</w:t>
      </w:r>
      <w:r w:rsidR="00122313">
        <w:t>, 201</w:t>
      </w:r>
      <w:r w:rsidR="002A3716">
        <w:t>5</w:t>
      </w:r>
    </w:p>
    <w:p w:rsidR="00A37DE3" w:rsidRDefault="00A37DE3" w:rsidP="001E307F">
      <w:pPr>
        <w:tabs>
          <w:tab w:val="left" w:pos="-720"/>
        </w:tabs>
        <w:suppressAutoHyphens/>
      </w:pPr>
    </w:p>
    <w:p w:rsidR="00A37DE3" w:rsidRDefault="00A37DE3" w:rsidP="005F427E">
      <w:pPr>
        <w:tabs>
          <w:tab w:val="left" w:pos="-720"/>
        </w:tabs>
        <w:suppressAutoHyphens/>
        <w:ind w:firstLine="0"/>
      </w:pPr>
      <w:r>
        <w:t>Commissioners Present:</w:t>
      </w:r>
    </w:p>
    <w:p w:rsidR="00A37DE3" w:rsidRDefault="00A37DE3" w:rsidP="005F427E">
      <w:pPr>
        <w:tabs>
          <w:tab w:val="left" w:pos="-720"/>
        </w:tabs>
        <w:suppressAutoHyphens/>
        <w:ind w:firstLine="0"/>
      </w:pPr>
    </w:p>
    <w:p w:rsidR="00A37DE3" w:rsidRDefault="00DA7FE7" w:rsidP="005F427E">
      <w:pPr>
        <w:tabs>
          <w:tab w:val="left" w:pos="-720"/>
        </w:tabs>
        <w:suppressAutoHyphens/>
        <w:ind w:firstLine="0"/>
      </w:pPr>
      <w:r>
        <w:tab/>
      </w:r>
      <w:r w:rsidR="002A3716" w:rsidRPr="002A3716">
        <w:t>Gladys M. Brown</w:t>
      </w:r>
      <w:r w:rsidR="00A37DE3">
        <w:t>, Chairman</w:t>
      </w:r>
    </w:p>
    <w:p w:rsidR="00A37DE3" w:rsidRDefault="00C35637" w:rsidP="005F427E">
      <w:pPr>
        <w:tabs>
          <w:tab w:val="left" w:pos="-720"/>
        </w:tabs>
        <w:suppressAutoHyphens/>
        <w:ind w:firstLine="0"/>
      </w:pPr>
      <w:r>
        <w:tab/>
      </w:r>
      <w:r w:rsidR="00DA7FE7">
        <w:t>John F. Coleman, Jr.</w:t>
      </w:r>
      <w:r w:rsidR="00097FE2">
        <w:t>, Vice Chairman</w:t>
      </w:r>
    </w:p>
    <w:p w:rsidR="00C35637" w:rsidRDefault="008D3745" w:rsidP="005F427E">
      <w:pPr>
        <w:tabs>
          <w:tab w:val="left" w:pos="-720"/>
        </w:tabs>
        <w:suppressAutoHyphens/>
        <w:ind w:firstLine="0"/>
      </w:pPr>
      <w:r>
        <w:tab/>
      </w:r>
      <w:r w:rsidR="00DA7FE7">
        <w:t xml:space="preserve">Pamela A. </w:t>
      </w:r>
      <w:proofErr w:type="spellStart"/>
      <w:r w:rsidR="00DA7FE7">
        <w:t>Witmer</w:t>
      </w:r>
      <w:proofErr w:type="spellEnd"/>
    </w:p>
    <w:p w:rsidR="002A3716" w:rsidRDefault="002A3716" w:rsidP="005F427E">
      <w:pPr>
        <w:tabs>
          <w:tab w:val="left" w:pos="-720"/>
        </w:tabs>
        <w:suppressAutoHyphens/>
        <w:ind w:firstLine="0"/>
      </w:pPr>
      <w:r>
        <w:tab/>
      </w:r>
      <w:r w:rsidRPr="002A3716">
        <w:t xml:space="preserve">Robert F. </w:t>
      </w:r>
      <w:proofErr w:type="spellStart"/>
      <w:r w:rsidRPr="002A3716">
        <w:t>Powelson</w:t>
      </w:r>
      <w:proofErr w:type="spellEnd"/>
    </w:p>
    <w:p w:rsidR="007A2261" w:rsidRDefault="007A2261" w:rsidP="005F427E">
      <w:pPr>
        <w:tabs>
          <w:tab w:val="left" w:pos="-720"/>
        </w:tabs>
        <w:suppressAutoHyphens/>
        <w:ind w:firstLine="0"/>
      </w:pPr>
      <w:r>
        <w:tab/>
        <w:t>Andrew G. Place</w:t>
      </w:r>
    </w:p>
    <w:p w:rsidR="00F93997" w:rsidRDefault="00F93997" w:rsidP="005F427E">
      <w:pPr>
        <w:tabs>
          <w:tab w:val="left" w:pos="-720"/>
        </w:tabs>
        <w:suppressAutoHyphens/>
        <w:ind w:firstLine="0"/>
      </w:pPr>
    </w:p>
    <w:p w:rsidR="00C35637" w:rsidRDefault="00C35637" w:rsidP="005F427E">
      <w:pPr>
        <w:tabs>
          <w:tab w:val="left" w:pos="-720"/>
        </w:tabs>
        <w:suppressAutoHyphens/>
        <w:ind w:firstLine="0"/>
      </w:pPr>
    </w:p>
    <w:p w:rsidR="00906D80" w:rsidRDefault="004254BA" w:rsidP="005F427E">
      <w:pPr>
        <w:tabs>
          <w:tab w:val="left" w:pos="-720"/>
        </w:tabs>
        <w:suppressAutoHyphens/>
        <w:ind w:firstLine="0"/>
      </w:pPr>
      <w:r w:rsidRPr="004254BA">
        <w:t xml:space="preserve">Application of </w:t>
      </w:r>
      <w:r w:rsidR="00906D80">
        <w:t xml:space="preserve">610 Hauling, LLC, t/a College </w:t>
      </w:r>
    </w:p>
    <w:p w:rsidR="00906D80" w:rsidRDefault="00906D80" w:rsidP="005F427E">
      <w:pPr>
        <w:tabs>
          <w:tab w:val="left" w:pos="-720"/>
        </w:tabs>
        <w:suppressAutoHyphens/>
        <w:ind w:firstLine="0"/>
      </w:pPr>
      <w:r>
        <w:t xml:space="preserve">Hunks </w:t>
      </w:r>
      <w:r w:rsidR="00B52B90">
        <w:t>H</w:t>
      </w:r>
      <w:r>
        <w:t xml:space="preserve">auling Junk, for the right to begin to </w:t>
      </w:r>
    </w:p>
    <w:p w:rsidR="00906D80" w:rsidRPr="00906D80" w:rsidRDefault="00906D80" w:rsidP="005F427E">
      <w:pPr>
        <w:tabs>
          <w:tab w:val="left" w:pos="-720"/>
        </w:tabs>
        <w:suppressAutoHyphens/>
        <w:ind w:firstLine="0"/>
      </w:pPr>
      <w:proofErr w:type="gramStart"/>
      <w:r>
        <w:t>transport</w:t>
      </w:r>
      <w:proofErr w:type="gramEnd"/>
      <w:r>
        <w:t>, as a common carrier, by motor vehicle,</w:t>
      </w:r>
      <w:r>
        <w:tab/>
      </w:r>
      <w:r>
        <w:tab/>
      </w:r>
      <w:r w:rsidR="00B3219F">
        <w:tab/>
      </w:r>
      <w:r w:rsidR="00E869C5">
        <w:t xml:space="preserve">     </w:t>
      </w:r>
      <w:r w:rsidRPr="00906D80">
        <w:t>A-2012-2334103</w:t>
      </w:r>
    </w:p>
    <w:p w:rsidR="00906D80" w:rsidRPr="00906D80" w:rsidRDefault="00906D80" w:rsidP="005F427E">
      <w:pPr>
        <w:tabs>
          <w:tab w:val="left" w:pos="-720"/>
        </w:tabs>
        <w:suppressAutoHyphens/>
        <w:ind w:firstLine="0"/>
      </w:pPr>
      <w:proofErr w:type="gramStart"/>
      <w:r w:rsidRPr="00906D80">
        <w:t>household</w:t>
      </w:r>
      <w:proofErr w:type="gramEnd"/>
      <w:r w:rsidRPr="00906D80">
        <w:t xml:space="preserve"> goods in use, from points in the</w:t>
      </w:r>
      <w:r>
        <w:tab/>
      </w:r>
      <w:r>
        <w:tab/>
      </w:r>
      <w:r>
        <w:tab/>
      </w:r>
      <w:r w:rsidR="00B3219F">
        <w:tab/>
      </w:r>
      <w:r w:rsidR="00E869C5">
        <w:t xml:space="preserve">     </w:t>
      </w:r>
      <w:r w:rsidRPr="00906D80">
        <w:t>A-8915269</w:t>
      </w:r>
    </w:p>
    <w:p w:rsidR="00906D80" w:rsidRDefault="00906D80" w:rsidP="005F427E">
      <w:pPr>
        <w:tabs>
          <w:tab w:val="left" w:pos="-720"/>
        </w:tabs>
        <w:suppressAutoHyphens/>
        <w:ind w:firstLine="0"/>
      </w:pPr>
      <w:proofErr w:type="gramStart"/>
      <w:r w:rsidRPr="00906D80">
        <w:t>counties</w:t>
      </w:r>
      <w:proofErr w:type="gramEnd"/>
      <w:r w:rsidRPr="00906D80">
        <w:t xml:space="preserve"> of Chester, Delaware, Montgomery,</w:t>
      </w:r>
    </w:p>
    <w:p w:rsidR="00481310" w:rsidRDefault="00906D80" w:rsidP="005F427E">
      <w:pPr>
        <w:tabs>
          <w:tab w:val="left" w:pos="-720"/>
        </w:tabs>
        <w:suppressAutoHyphens/>
        <w:ind w:firstLine="0"/>
      </w:pPr>
      <w:r>
        <w:t>Philadelphia, and Bucks, to points in Pennsylvania</w:t>
      </w:r>
    </w:p>
    <w:p w:rsidR="00711E83" w:rsidRDefault="00711E83" w:rsidP="005F427E">
      <w:pPr>
        <w:tabs>
          <w:tab w:val="left" w:pos="-720"/>
        </w:tabs>
        <w:suppressAutoHyphens/>
        <w:ind w:firstLine="0"/>
      </w:pPr>
    </w:p>
    <w:p w:rsidR="00DB3B2C" w:rsidRDefault="00DB3B2C" w:rsidP="005F427E">
      <w:pPr>
        <w:tabs>
          <w:tab w:val="left" w:pos="-720"/>
        </w:tabs>
        <w:suppressAutoHyphens/>
        <w:ind w:firstLine="0"/>
      </w:pPr>
    </w:p>
    <w:p w:rsidR="00AB560A" w:rsidRDefault="00A37DE3" w:rsidP="005F427E">
      <w:pPr>
        <w:keepNext/>
        <w:tabs>
          <w:tab w:val="center" w:pos="4680"/>
        </w:tabs>
        <w:suppressAutoHyphens/>
        <w:ind w:firstLine="0"/>
        <w:jc w:val="center"/>
        <w:rPr>
          <w:b/>
        </w:rPr>
      </w:pPr>
      <w:r>
        <w:rPr>
          <w:b/>
        </w:rPr>
        <w:t>OPINION AND ORDER</w:t>
      </w:r>
    </w:p>
    <w:p w:rsidR="00B12D74" w:rsidRDefault="00B12D74" w:rsidP="005F427E">
      <w:pPr>
        <w:keepNext/>
        <w:tabs>
          <w:tab w:val="center" w:pos="4680"/>
        </w:tabs>
        <w:suppressAutoHyphens/>
        <w:ind w:firstLine="0"/>
      </w:pPr>
    </w:p>
    <w:p w:rsidR="00906D80" w:rsidRPr="001576E5" w:rsidRDefault="00906D80" w:rsidP="005F427E">
      <w:pPr>
        <w:keepNext/>
        <w:tabs>
          <w:tab w:val="center" w:pos="4680"/>
        </w:tabs>
        <w:suppressAutoHyphens/>
        <w:ind w:firstLine="0"/>
      </w:pPr>
    </w:p>
    <w:p w:rsidR="00A37DE3" w:rsidRDefault="00A37DE3" w:rsidP="005F427E">
      <w:pPr>
        <w:tabs>
          <w:tab w:val="left" w:pos="-720"/>
        </w:tabs>
        <w:suppressAutoHyphens/>
        <w:spacing w:after="120"/>
        <w:ind w:firstLine="0"/>
      </w:pPr>
      <w:r>
        <w:rPr>
          <w:b/>
        </w:rPr>
        <w:t>BY THE COMMISSION:</w:t>
      </w:r>
    </w:p>
    <w:p w:rsidR="00A37DE3" w:rsidRDefault="00A37DE3" w:rsidP="001E307F">
      <w:pPr>
        <w:tabs>
          <w:tab w:val="left" w:pos="-720"/>
        </w:tabs>
        <w:suppressAutoHyphens/>
        <w:spacing w:line="360" w:lineRule="auto"/>
      </w:pPr>
    </w:p>
    <w:p w:rsidR="003B4C07" w:rsidRDefault="00A37DE3" w:rsidP="001E307F">
      <w:pPr>
        <w:pStyle w:val="FootnoteText"/>
        <w:spacing w:line="360" w:lineRule="auto"/>
      </w:pPr>
      <w:r>
        <w:tab/>
      </w:r>
      <w:r w:rsidRPr="009140B1">
        <w:t xml:space="preserve">Before the </w:t>
      </w:r>
      <w:r w:rsidR="00C667DC">
        <w:t xml:space="preserve">Pennsylvania Public Utility </w:t>
      </w:r>
      <w:r w:rsidRPr="009140B1">
        <w:t xml:space="preserve">Commission </w:t>
      </w:r>
      <w:r w:rsidR="00C667DC">
        <w:t xml:space="preserve">(Commission) </w:t>
      </w:r>
      <w:r w:rsidRPr="009140B1">
        <w:t xml:space="preserve">for </w:t>
      </w:r>
      <w:r w:rsidR="00E265F0" w:rsidRPr="009140B1">
        <w:t xml:space="preserve">consideration and </w:t>
      </w:r>
      <w:r w:rsidR="00BF23F3">
        <w:t>disposition is a</w:t>
      </w:r>
      <w:r w:rsidR="00E71549">
        <w:t xml:space="preserve"> </w:t>
      </w:r>
      <w:r w:rsidR="00DF5017">
        <w:t>document titled “</w:t>
      </w:r>
      <w:r w:rsidR="0092065B">
        <w:t xml:space="preserve">Petition </w:t>
      </w:r>
      <w:r w:rsidR="00906D80">
        <w:t xml:space="preserve">to Reopen and </w:t>
      </w:r>
      <w:r w:rsidR="0092065B">
        <w:t xml:space="preserve">for </w:t>
      </w:r>
      <w:r w:rsidR="00C52437">
        <w:t>Reconsideration</w:t>
      </w:r>
      <w:r w:rsidR="00FC216B">
        <w:t xml:space="preserve"> </w:t>
      </w:r>
      <w:r w:rsidR="003574AD">
        <w:t>and to Amend the Application to Reflect Recent Rule Change</w:t>
      </w:r>
      <w:r w:rsidR="00DF5017">
        <w:t>”</w:t>
      </w:r>
      <w:r w:rsidR="003574AD">
        <w:t xml:space="preserve"> </w:t>
      </w:r>
      <w:r w:rsidR="00F50E6E">
        <w:t>(</w:t>
      </w:r>
      <w:r w:rsidR="007F4053">
        <w:t xml:space="preserve">Second </w:t>
      </w:r>
      <w:r w:rsidR="00F50E6E">
        <w:t>Petition)</w:t>
      </w:r>
      <w:r w:rsidR="00464C70">
        <w:t xml:space="preserve"> </w:t>
      </w:r>
      <w:r w:rsidR="008B64B5">
        <w:t>filed by</w:t>
      </w:r>
      <w:r w:rsidR="00963060">
        <w:t xml:space="preserve"> </w:t>
      </w:r>
      <w:r w:rsidR="00906D80">
        <w:t>610 Hauling, LLC, t/a College Hunks Hauling Junk</w:t>
      </w:r>
      <w:r w:rsidR="00963060">
        <w:t xml:space="preserve"> </w:t>
      </w:r>
      <w:r w:rsidR="008B64B5">
        <w:t>(</w:t>
      </w:r>
      <w:r w:rsidR="001A36CE">
        <w:t>Applicant</w:t>
      </w:r>
      <w:r w:rsidR="00DC1108">
        <w:t xml:space="preserve"> or </w:t>
      </w:r>
      <w:r w:rsidR="00906D80">
        <w:t>610 Hauling</w:t>
      </w:r>
      <w:r w:rsidR="008B64B5">
        <w:t>)</w:t>
      </w:r>
      <w:r w:rsidR="005D2919" w:rsidRPr="004254BA">
        <w:t xml:space="preserve"> </w:t>
      </w:r>
      <w:r w:rsidR="00BA7D21">
        <w:t xml:space="preserve">on </w:t>
      </w:r>
      <w:r w:rsidR="003574AD">
        <w:t>June 2</w:t>
      </w:r>
      <w:r w:rsidR="00F02A3B">
        <w:t>, 201</w:t>
      </w:r>
      <w:r w:rsidR="003574AD">
        <w:t>5</w:t>
      </w:r>
      <w:r w:rsidR="0092065B">
        <w:t xml:space="preserve">, </w:t>
      </w:r>
      <w:r w:rsidR="00F02A3B">
        <w:t>in</w:t>
      </w:r>
      <w:r w:rsidRPr="009140B1">
        <w:t xml:space="preserve"> the above-captioned proceeding.</w:t>
      </w:r>
      <w:r w:rsidR="00DF5017">
        <w:rPr>
          <w:rStyle w:val="FootnoteReference"/>
        </w:rPr>
        <w:footnoteReference w:id="1"/>
      </w:r>
      <w:r w:rsidR="00883177">
        <w:t xml:space="preserve">  </w:t>
      </w:r>
      <w:r w:rsidR="00341D96" w:rsidRPr="009140B1">
        <w:t xml:space="preserve">The </w:t>
      </w:r>
      <w:r w:rsidR="007F4053">
        <w:t xml:space="preserve">Second </w:t>
      </w:r>
      <w:r w:rsidR="003574AD">
        <w:t xml:space="preserve">Petition was </w:t>
      </w:r>
      <w:proofErr w:type="gramStart"/>
      <w:r w:rsidR="003574AD">
        <w:t>filed</w:t>
      </w:r>
      <w:proofErr w:type="gramEnd"/>
      <w:r w:rsidR="003574AD">
        <w:t xml:space="preserve"> in response to a Secretarial Letter </w:t>
      </w:r>
      <w:r w:rsidR="00D24B10">
        <w:t>dated</w:t>
      </w:r>
      <w:r w:rsidR="00C671A1">
        <w:t xml:space="preserve"> </w:t>
      </w:r>
      <w:r w:rsidR="00B536E2">
        <w:t>May 8, 2015</w:t>
      </w:r>
      <w:r w:rsidR="00F02A3B">
        <w:t xml:space="preserve"> </w:t>
      </w:r>
      <w:r w:rsidR="00914937">
        <w:t>(</w:t>
      </w:r>
      <w:r w:rsidR="00B536E2">
        <w:rPr>
          <w:i/>
        </w:rPr>
        <w:t>May</w:t>
      </w:r>
      <w:r w:rsidR="00F02A3B">
        <w:rPr>
          <w:i/>
        </w:rPr>
        <w:t xml:space="preserve"> 2</w:t>
      </w:r>
      <w:r w:rsidR="00FB4AF1">
        <w:rPr>
          <w:i/>
        </w:rPr>
        <w:t>01</w:t>
      </w:r>
      <w:r w:rsidR="003574AD">
        <w:rPr>
          <w:i/>
        </w:rPr>
        <w:t>5</w:t>
      </w:r>
      <w:r w:rsidR="00914937" w:rsidRPr="00C47B9B">
        <w:rPr>
          <w:i/>
        </w:rPr>
        <w:t xml:space="preserve"> </w:t>
      </w:r>
      <w:r w:rsidR="003574AD">
        <w:rPr>
          <w:i/>
        </w:rPr>
        <w:t xml:space="preserve">Secretarial </w:t>
      </w:r>
      <w:r w:rsidR="003574AD">
        <w:rPr>
          <w:i/>
        </w:rPr>
        <w:lastRenderedPageBreak/>
        <w:t>Letter</w:t>
      </w:r>
      <w:r w:rsidR="00914937">
        <w:t>)</w:t>
      </w:r>
      <w:r w:rsidR="002727E0">
        <w:t>.</w:t>
      </w:r>
      <w:r w:rsidR="00B536E2">
        <w:rPr>
          <w:rStyle w:val="FootnoteReference"/>
        </w:rPr>
        <w:footnoteReference w:id="2"/>
      </w:r>
      <w:r w:rsidR="002727E0">
        <w:t xml:space="preserve">  </w:t>
      </w:r>
      <w:r w:rsidR="00C84FA6">
        <w:t xml:space="preserve">For the reasons that follow, we will grant the </w:t>
      </w:r>
      <w:r w:rsidR="007F4053">
        <w:t xml:space="preserve">Second </w:t>
      </w:r>
      <w:r w:rsidR="00C84FA6">
        <w:t xml:space="preserve">Petition, rescind the </w:t>
      </w:r>
      <w:r w:rsidR="00B536E2">
        <w:rPr>
          <w:i/>
        </w:rPr>
        <w:t>May</w:t>
      </w:r>
      <w:r w:rsidR="00C84FA6">
        <w:rPr>
          <w:i/>
        </w:rPr>
        <w:t xml:space="preserve"> 2015 Secretarial </w:t>
      </w:r>
      <w:r w:rsidR="00C84FA6" w:rsidRPr="00C84FA6">
        <w:rPr>
          <w:i/>
        </w:rPr>
        <w:t>Letter</w:t>
      </w:r>
      <w:r w:rsidR="00C84FA6">
        <w:t xml:space="preserve">, and grant the Application as amended by the </w:t>
      </w:r>
      <w:r w:rsidR="007F4053">
        <w:t xml:space="preserve">Second </w:t>
      </w:r>
      <w:r w:rsidR="00C84FA6">
        <w:t>Petition.</w:t>
      </w:r>
    </w:p>
    <w:p w:rsidR="003B4C07" w:rsidRDefault="003B4C07" w:rsidP="001E307F">
      <w:pPr>
        <w:pStyle w:val="FootnoteText"/>
        <w:spacing w:line="360" w:lineRule="auto"/>
      </w:pPr>
    </w:p>
    <w:p w:rsidR="00A37DE3" w:rsidRPr="0010444F" w:rsidRDefault="00A37DE3" w:rsidP="001E307F">
      <w:pPr>
        <w:pStyle w:val="FootnoteText"/>
        <w:spacing w:line="360" w:lineRule="auto"/>
        <w:ind w:firstLine="0"/>
        <w:jc w:val="center"/>
      </w:pPr>
      <w:r w:rsidRPr="0010444F">
        <w:rPr>
          <w:b/>
        </w:rPr>
        <w:t>History of Proceeding</w:t>
      </w:r>
    </w:p>
    <w:p w:rsidR="00A37DE3" w:rsidRDefault="00A37DE3" w:rsidP="001E307F">
      <w:pPr>
        <w:keepNext/>
        <w:tabs>
          <w:tab w:val="left" w:pos="-720"/>
        </w:tabs>
        <w:suppressAutoHyphens/>
        <w:spacing w:line="360" w:lineRule="auto"/>
      </w:pPr>
    </w:p>
    <w:p w:rsidR="00D35D85" w:rsidRDefault="00FF5310" w:rsidP="001E307F">
      <w:pPr>
        <w:spacing w:line="360" w:lineRule="auto"/>
      </w:pPr>
      <w:r w:rsidRPr="00B8551C">
        <w:tab/>
      </w:r>
      <w:r w:rsidR="007F4053">
        <w:t>The Application of 6</w:t>
      </w:r>
      <w:r w:rsidR="00C84FA6">
        <w:t xml:space="preserve">10 Hauling </w:t>
      </w:r>
      <w:r w:rsidR="007F4053">
        <w:t xml:space="preserve">was </w:t>
      </w:r>
      <w:r w:rsidR="00C84FA6">
        <w:t>filed o</w:t>
      </w:r>
      <w:r w:rsidR="00B8551C">
        <w:t xml:space="preserve">n </w:t>
      </w:r>
      <w:r w:rsidR="00F02A3B">
        <w:t>November 5</w:t>
      </w:r>
      <w:r w:rsidR="00D85ED0">
        <w:t>, 201</w:t>
      </w:r>
      <w:r w:rsidR="00F02A3B">
        <w:t>2</w:t>
      </w:r>
      <w:r w:rsidR="00C84FA6">
        <w:t>.  In the Application, 610 Hauling sought</w:t>
      </w:r>
      <w:r w:rsidR="00B4404C">
        <w:t xml:space="preserve"> </w:t>
      </w:r>
      <w:r w:rsidR="00F02A3B">
        <w:t>the right to begin to transport, as a common carrier by motor vehicle</w:t>
      </w:r>
      <w:r w:rsidR="0071267A">
        <w:t>,</w:t>
      </w:r>
      <w:r w:rsidR="00F02A3B">
        <w:t xml:space="preserve"> household good</w:t>
      </w:r>
      <w:r w:rsidR="00FA4BA3">
        <w:t>s in use between points in the c</w:t>
      </w:r>
      <w:r w:rsidR="00F02A3B">
        <w:t xml:space="preserve">ounties of Chester, Delaware, Montgomery, Philadelphia, and Bucks, to points in Pennsylvania.  On May 24, 2013, </w:t>
      </w:r>
      <w:r w:rsidR="00C011DE">
        <w:t xml:space="preserve">a </w:t>
      </w:r>
      <w:r w:rsidR="00F02A3B">
        <w:t>Joint Protest to the Application w</w:t>
      </w:r>
      <w:r w:rsidR="00C011DE">
        <w:t>as</w:t>
      </w:r>
      <w:r w:rsidR="00F02A3B">
        <w:t xml:space="preserve"> filed by </w:t>
      </w:r>
      <w:r w:rsidR="00C84FA6">
        <w:t>ten parties</w:t>
      </w:r>
      <w:r w:rsidR="00C011DE">
        <w:t xml:space="preserve"> </w:t>
      </w:r>
      <w:r w:rsidR="00937232">
        <w:t>(Joint Protest</w:t>
      </w:r>
      <w:r w:rsidR="00A23B6C">
        <w:t>ants</w:t>
      </w:r>
      <w:r w:rsidR="00937232">
        <w:t>).</w:t>
      </w:r>
      <w:r w:rsidR="00C84FA6">
        <w:rPr>
          <w:rStyle w:val="FootnoteReference"/>
        </w:rPr>
        <w:footnoteReference w:id="3"/>
      </w:r>
      <w:r w:rsidR="00937232">
        <w:t xml:space="preserve"> </w:t>
      </w:r>
      <w:r w:rsidR="00C011DE">
        <w:t xml:space="preserve"> </w:t>
      </w:r>
      <w:r w:rsidR="0071267A">
        <w:t xml:space="preserve">Following an initial hearing </w:t>
      </w:r>
      <w:r w:rsidR="005152F1">
        <w:t>o</w:t>
      </w:r>
      <w:r w:rsidR="0071267A">
        <w:t xml:space="preserve">n February 11, 2014, </w:t>
      </w:r>
      <w:r w:rsidR="00B570C7">
        <w:t xml:space="preserve">the </w:t>
      </w:r>
      <w:r w:rsidR="0071267A">
        <w:t xml:space="preserve">Applicant and </w:t>
      </w:r>
      <w:r w:rsidR="00B570C7">
        <w:t xml:space="preserve">the </w:t>
      </w:r>
      <w:r w:rsidR="0071267A">
        <w:t xml:space="preserve">Joint Protestants </w:t>
      </w:r>
      <w:r w:rsidR="003B20DF">
        <w:t xml:space="preserve">agreed to a restrictive amendment that resolved all </w:t>
      </w:r>
      <w:r w:rsidR="00D24B10">
        <w:t xml:space="preserve">contested </w:t>
      </w:r>
      <w:r w:rsidR="003B20DF">
        <w:t>issues</w:t>
      </w:r>
      <w:r w:rsidR="00FA4BA3">
        <w:t xml:space="preserve"> raised by </w:t>
      </w:r>
      <w:r w:rsidR="005F427E">
        <w:t xml:space="preserve">the </w:t>
      </w:r>
      <w:r w:rsidR="00FA4BA3">
        <w:t>Joint Protestants</w:t>
      </w:r>
      <w:r w:rsidR="0071267A">
        <w:t xml:space="preserve">. </w:t>
      </w:r>
      <w:r w:rsidR="003B20DF">
        <w:t xml:space="preserve"> </w:t>
      </w:r>
      <w:r w:rsidR="005152F1">
        <w:t xml:space="preserve">A </w:t>
      </w:r>
      <w:r w:rsidR="00D35D85">
        <w:t xml:space="preserve">properly executed </w:t>
      </w:r>
      <w:r w:rsidR="003B20DF">
        <w:t xml:space="preserve">restrictive amendment </w:t>
      </w:r>
      <w:r w:rsidR="005152F1">
        <w:t xml:space="preserve">was filed </w:t>
      </w:r>
      <w:r w:rsidR="003B20DF">
        <w:t>on March 26, 2014</w:t>
      </w:r>
      <w:r w:rsidR="00FA4BA3">
        <w:t>.  O</w:t>
      </w:r>
      <w:r w:rsidR="003B20DF">
        <w:t>n April 3, 2014, A</w:t>
      </w:r>
      <w:r w:rsidR="005F427E">
        <w:t xml:space="preserve">dministrative </w:t>
      </w:r>
      <w:r w:rsidR="003B20DF">
        <w:t>L</w:t>
      </w:r>
      <w:r w:rsidR="005F427E">
        <w:t xml:space="preserve">aw </w:t>
      </w:r>
      <w:r w:rsidR="003B20DF">
        <w:t>J</w:t>
      </w:r>
      <w:r w:rsidR="005F427E">
        <w:t xml:space="preserve">udge </w:t>
      </w:r>
      <w:proofErr w:type="spellStart"/>
      <w:r w:rsidR="005F427E">
        <w:t>Eranda</w:t>
      </w:r>
      <w:proofErr w:type="spellEnd"/>
      <w:r w:rsidR="005F427E">
        <w:t xml:space="preserve"> Vero</w:t>
      </w:r>
      <w:r w:rsidR="003B20DF">
        <w:t xml:space="preserve"> issued an Order </w:t>
      </w:r>
      <w:r w:rsidR="00D35D85">
        <w:t>reassign</w:t>
      </w:r>
      <w:r w:rsidR="00FA4BA3">
        <w:t>ing</w:t>
      </w:r>
      <w:r w:rsidR="00D35D85">
        <w:t xml:space="preserve"> the Application from the Office of Administrative Law Judge to </w:t>
      </w:r>
      <w:r w:rsidR="004D62CD">
        <w:t xml:space="preserve">Commission Staff </w:t>
      </w:r>
      <w:r w:rsidR="00D35D85">
        <w:t>for review pursuant to 52 Pa. Code § 3.381(c</w:t>
      </w:r>
      <w:proofErr w:type="gramStart"/>
      <w:r w:rsidR="00D35D85">
        <w:t>)(</w:t>
      </w:r>
      <w:proofErr w:type="gramEnd"/>
      <w:r w:rsidR="00D35D85">
        <w:t>1)(iii)</w:t>
      </w:r>
      <w:r w:rsidR="004D62CD">
        <w:rPr>
          <w:rStyle w:val="FootnoteReference"/>
        </w:rPr>
        <w:footnoteReference w:id="4"/>
      </w:r>
      <w:r w:rsidR="00D35D85">
        <w:t xml:space="preserve">, which allows for review of applications on the merits on the basis of verified statements filed by the Applicant if no protests are filed or if filed protests are withdrawn. </w:t>
      </w:r>
    </w:p>
    <w:p w:rsidR="00D35D85" w:rsidRDefault="00D35D85" w:rsidP="001E307F">
      <w:pPr>
        <w:spacing w:line="360" w:lineRule="auto"/>
      </w:pPr>
    </w:p>
    <w:p w:rsidR="00FA3F9A" w:rsidRDefault="00D35D85" w:rsidP="001E307F">
      <w:pPr>
        <w:tabs>
          <w:tab w:val="left" w:pos="1440"/>
        </w:tabs>
        <w:spacing w:line="360" w:lineRule="auto"/>
      </w:pPr>
      <w:r>
        <w:tab/>
        <w:t xml:space="preserve">By letter </w:t>
      </w:r>
      <w:r w:rsidR="005F427E">
        <w:t>dated</w:t>
      </w:r>
      <w:r>
        <w:t xml:space="preserve"> May 20, 2014</w:t>
      </w:r>
      <w:r w:rsidR="00F8456C">
        <w:t>,</w:t>
      </w:r>
      <w:r>
        <w:t xml:space="preserve"> to the Applicant</w:t>
      </w:r>
      <w:r w:rsidR="00B536E2">
        <w:t>,</w:t>
      </w:r>
      <w:r>
        <w:t xml:space="preserve"> </w:t>
      </w:r>
      <w:r w:rsidR="004D62CD">
        <w:t>COMMISSION STAFF</w:t>
      </w:r>
      <w:r>
        <w:t xml:space="preserve"> </w:t>
      </w:r>
      <w:r w:rsidR="005D44A4">
        <w:t xml:space="preserve">requested that the Applicant provide </w:t>
      </w:r>
      <w:r>
        <w:t xml:space="preserve">additional information to accommodate review of </w:t>
      </w:r>
      <w:r>
        <w:lastRenderedPageBreak/>
        <w:t xml:space="preserve">the Application, including </w:t>
      </w:r>
      <w:r w:rsidR="005D44A4">
        <w:t>verified statements and statements in support of the Application</w:t>
      </w:r>
      <w:r w:rsidR="00CC4B95">
        <w:t xml:space="preserve">.  </w:t>
      </w:r>
      <w:proofErr w:type="gramStart"/>
      <w:r w:rsidR="00FA4BA3">
        <w:t>Second Petition, Exhibit B.</w:t>
      </w:r>
      <w:proofErr w:type="gramEnd"/>
      <w:r w:rsidR="00FA4BA3">
        <w:t xml:space="preserve">  </w:t>
      </w:r>
      <w:r w:rsidR="009B7359">
        <w:t>Upon request of Applicant’s counsel</w:t>
      </w:r>
      <w:r w:rsidR="005E4F67">
        <w:t>,</w:t>
      </w:r>
      <w:r w:rsidR="007F4053">
        <w:t xml:space="preserve"> because </w:t>
      </w:r>
      <w:r w:rsidR="004D62CD">
        <w:t xml:space="preserve">the Commission Staff </w:t>
      </w:r>
      <w:r w:rsidR="007F4053">
        <w:t>letter had not been served on him</w:t>
      </w:r>
      <w:r w:rsidR="009B7359">
        <w:t>, a</w:t>
      </w:r>
      <w:r w:rsidR="00FA3F9A">
        <w:t>n extension for the provision of the requested information was provided.  By Order entered August</w:t>
      </w:r>
      <w:r w:rsidR="00B536E2">
        <w:t> </w:t>
      </w:r>
      <w:r w:rsidR="00FA3F9A">
        <w:t>21, 2014 (</w:t>
      </w:r>
      <w:r w:rsidR="00F8456C">
        <w:rPr>
          <w:i/>
        </w:rPr>
        <w:t xml:space="preserve">August 2014 </w:t>
      </w:r>
      <w:r w:rsidR="00F8456C" w:rsidRPr="00F8456C">
        <w:rPr>
          <w:i/>
        </w:rPr>
        <w:t>Order</w:t>
      </w:r>
      <w:r w:rsidR="00FA3F9A">
        <w:t>)</w:t>
      </w:r>
      <w:r w:rsidR="00F8456C">
        <w:t xml:space="preserve">, </w:t>
      </w:r>
      <w:r w:rsidR="009511C9">
        <w:t xml:space="preserve">the Application </w:t>
      </w:r>
      <w:r w:rsidR="00FA3F9A">
        <w:t xml:space="preserve">was denied </w:t>
      </w:r>
      <w:r w:rsidR="009511C9">
        <w:t xml:space="preserve">on the basis that more than thirty days had passed without the information being </w:t>
      </w:r>
      <w:r w:rsidR="009B7359">
        <w:t>provided</w:t>
      </w:r>
      <w:r w:rsidR="009511C9">
        <w:t>.</w:t>
      </w:r>
    </w:p>
    <w:p w:rsidR="00FA3F9A" w:rsidRDefault="00FA3F9A" w:rsidP="001E307F">
      <w:pPr>
        <w:tabs>
          <w:tab w:val="left" w:pos="1440"/>
        </w:tabs>
        <w:spacing w:line="360" w:lineRule="auto"/>
      </w:pPr>
    </w:p>
    <w:p w:rsidR="00280597" w:rsidRDefault="00F8456C" w:rsidP="001E307F">
      <w:pPr>
        <w:tabs>
          <w:tab w:val="left" w:pos="1440"/>
        </w:tabs>
        <w:spacing w:line="360" w:lineRule="auto"/>
        <w:ind w:firstLine="1440"/>
      </w:pPr>
      <w:r>
        <w:t xml:space="preserve">On September 5, 2014, the </w:t>
      </w:r>
      <w:r w:rsidR="00FA3F9A">
        <w:t>Applicant filed its first Petition to Reopen and for Reconsideration</w:t>
      </w:r>
      <w:r w:rsidR="007F4053">
        <w:t xml:space="preserve"> (First Petition)</w:t>
      </w:r>
      <w:r w:rsidR="00FC27AB">
        <w:t>.</w:t>
      </w:r>
      <w:r w:rsidR="00FA3F9A">
        <w:t xml:space="preserve">  </w:t>
      </w:r>
      <w:r w:rsidR="00976077">
        <w:t xml:space="preserve">In </w:t>
      </w:r>
      <w:r w:rsidR="007F4053">
        <w:t>the First Petition</w:t>
      </w:r>
      <w:r w:rsidR="00976077">
        <w:t xml:space="preserve">, the Applicant </w:t>
      </w:r>
      <w:r w:rsidR="007F4053">
        <w:t xml:space="preserve">alleged it undertook multiple </w:t>
      </w:r>
      <w:r w:rsidR="00FA3F9A">
        <w:t>efforts</w:t>
      </w:r>
      <w:r w:rsidR="00976077">
        <w:t xml:space="preserve"> </w:t>
      </w:r>
      <w:r w:rsidR="007F4053">
        <w:t>t</w:t>
      </w:r>
      <w:r w:rsidR="00976077">
        <w:t xml:space="preserve">o timely respond to </w:t>
      </w:r>
      <w:r w:rsidR="004D62CD">
        <w:t>the Commission Staff</w:t>
      </w:r>
      <w:r w:rsidR="00976077">
        <w:t>’</w:t>
      </w:r>
      <w:r w:rsidR="004D62CD">
        <w:t>s</w:t>
      </w:r>
      <w:r w:rsidR="00976077">
        <w:t xml:space="preserve"> May </w:t>
      </w:r>
      <w:r w:rsidR="005F427E">
        <w:t>20</w:t>
      </w:r>
      <w:r w:rsidR="00976077">
        <w:t xml:space="preserve">, 2014 letter and </w:t>
      </w:r>
      <w:r w:rsidR="00FA3F9A">
        <w:t>includ</w:t>
      </w:r>
      <w:r w:rsidR="00976077">
        <w:t>ed</w:t>
      </w:r>
      <w:r w:rsidR="00FA3F9A">
        <w:t xml:space="preserve"> </w:t>
      </w:r>
      <w:r w:rsidR="00976077">
        <w:t>as att</w:t>
      </w:r>
      <w:r w:rsidR="00FA3F9A">
        <w:t>achment</w:t>
      </w:r>
      <w:r w:rsidR="00976077">
        <w:t xml:space="preserve">s </w:t>
      </w:r>
      <w:r w:rsidR="007F4053">
        <w:t xml:space="preserve">to the First Petition </w:t>
      </w:r>
      <w:r w:rsidR="00FA3F9A">
        <w:t>copies of letters and other information</w:t>
      </w:r>
      <w:r w:rsidR="00976077">
        <w:t xml:space="preserve"> </w:t>
      </w:r>
      <w:r w:rsidR="009B7359">
        <w:t xml:space="preserve">in </w:t>
      </w:r>
      <w:r w:rsidR="00976077">
        <w:t xml:space="preserve">support </w:t>
      </w:r>
      <w:r w:rsidR="009B7359">
        <w:t>of those allegations</w:t>
      </w:r>
      <w:r w:rsidR="00280597">
        <w:t xml:space="preserve">.  One attachment purported to be a </w:t>
      </w:r>
      <w:r w:rsidR="00976077">
        <w:t>June 12, 2014 submission of information</w:t>
      </w:r>
      <w:r w:rsidR="00280597">
        <w:t xml:space="preserve"> including expanded responses to </w:t>
      </w:r>
      <w:r w:rsidR="004D62CD">
        <w:t>the Commission Staff</w:t>
      </w:r>
      <w:r w:rsidR="00280597">
        <w:t xml:space="preserve"> inquiries, a balance sheet as of May 31, 2014, additional statements of support, and a log of </w:t>
      </w:r>
      <w:r w:rsidR="009B7359">
        <w:t xml:space="preserve">untitled </w:t>
      </w:r>
      <w:r w:rsidR="00280597">
        <w:t xml:space="preserve">transactions </w:t>
      </w:r>
      <w:r w:rsidR="005E4F67">
        <w:t xml:space="preserve">(untitled log) </w:t>
      </w:r>
      <w:r w:rsidR="00D24B10">
        <w:t xml:space="preserve">recorded </w:t>
      </w:r>
      <w:r w:rsidR="00280597">
        <w:t>between January 2012 and February 2014.</w:t>
      </w:r>
    </w:p>
    <w:p w:rsidR="00280597" w:rsidRDefault="00280597" w:rsidP="001E307F">
      <w:pPr>
        <w:tabs>
          <w:tab w:val="left" w:pos="1440"/>
        </w:tabs>
        <w:spacing w:line="360" w:lineRule="auto"/>
        <w:ind w:firstLine="1440"/>
      </w:pPr>
    </w:p>
    <w:p w:rsidR="00FC27AB" w:rsidRDefault="00976077" w:rsidP="001E307F">
      <w:pPr>
        <w:tabs>
          <w:tab w:val="left" w:pos="1440"/>
        </w:tabs>
        <w:spacing w:line="360" w:lineRule="auto"/>
        <w:ind w:firstLine="1440"/>
      </w:pPr>
      <w:r>
        <w:t>B</w:t>
      </w:r>
      <w:r w:rsidR="00FA3F9A">
        <w:t xml:space="preserve">ased upon our </w:t>
      </w:r>
      <w:r>
        <w:t xml:space="preserve">review of the </w:t>
      </w:r>
      <w:r w:rsidR="002B0BB5">
        <w:t>F</w:t>
      </w:r>
      <w:r>
        <w:t xml:space="preserve">irst </w:t>
      </w:r>
      <w:r w:rsidR="002B0BB5">
        <w:t>P</w:t>
      </w:r>
      <w:r>
        <w:t>etition</w:t>
      </w:r>
      <w:r w:rsidR="00FA3F9A">
        <w:t xml:space="preserve">, we </w:t>
      </w:r>
      <w:r w:rsidR="00280597">
        <w:t xml:space="preserve">determined </w:t>
      </w:r>
      <w:r w:rsidR="00FA3F9A">
        <w:t xml:space="preserve">that the Applicant </w:t>
      </w:r>
      <w:r w:rsidR="00EF0FB5">
        <w:t>presented</w:t>
      </w:r>
      <w:r w:rsidR="00FA3F9A">
        <w:t xml:space="preserve"> credible averments of attempts made to provide the requested information, attempts that were inexplicably unsuccessful in reaching </w:t>
      </w:r>
      <w:r w:rsidR="004D62CD">
        <w:t>the Commission Staff</w:t>
      </w:r>
      <w:r w:rsidR="00FA3F9A">
        <w:t xml:space="preserve">.  Accordingly, without review of or action on the merits of 610 Hauling’s Application, </w:t>
      </w:r>
      <w:r>
        <w:t xml:space="preserve">we concluded </w:t>
      </w:r>
      <w:r w:rsidR="00EF0FB5">
        <w:t xml:space="preserve">in our </w:t>
      </w:r>
      <w:r w:rsidR="00EF0FB5">
        <w:rPr>
          <w:i/>
        </w:rPr>
        <w:t xml:space="preserve">November 2014 </w:t>
      </w:r>
      <w:r w:rsidR="00EF0FB5" w:rsidRPr="00EF0FB5">
        <w:rPr>
          <w:i/>
        </w:rPr>
        <w:t>Order</w:t>
      </w:r>
      <w:r w:rsidR="00EF0FB5">
        <w:t xml:space="preserve"> </w:t>
      </w:r>
      <w:r>
        <w:t>that the Application should not be dismissed on the basis that the information was not provided.  We therefore</w:t>
      </w:r>
      <w:r w:rsidR="00FA3F9A">
        <w:t xml:space="preserve"> vacated </w:t>
      </w:r>
      <w:r w:rsidR="00EF0FB5">
        <w:t>the</w:t>
      </w:r>
      <w:r w:rsidR="00FA3F9A">
        <w:t xml:space="preserve"> </w:t>
      </w:r>
      <w:r w:rsidR="00FA3F9A">
        <w:rPr>
          <w:i/>
        </w:rPr>
        <w:t>August 2014 Order</w:t>
      </w:r>
      <w:r w:rsidR="00FA3F9A">
        <w:t xml:space="preserve"> </w:t>
      </w:r>
      <w:r w:rsidR="00EF0FB5">
        <w:t xml:space="preserve">that had denied the Application for failure to respond to </w:t>
      </w:r>
      <w:r w:rsidR="004D62CD">
        <w:t>the Commission Staff</w:t>
      </w:r>
      <w:r w:rsidR="00EF0FB5">
        <w:t>’</w:t>
      </w:r>
      <w:r w:rsidR="004D62CD">
        <w:t>s</w:t>
      </w:r>
      <w:r w:rsidR="00EF0FB5">
        <w:t xml:space="preserve"> letter </w:t>
      </w:r>
      <w:r w:rsidR="00FA3F9A">
        <w:t xml:space="preserve">and </w:t>
      </w:r>
      <w:r w:rsidR="009B7359">
        <w:t>referred</w:t>
      </w:r>
      <w:r w:rsidR="00FA3F9A">
        <w:t xml:space="preserve"> the matter </w:t>
      </w:r>
      <w:r w:rsidR="009B7359">
        <w:t xml:space="preserve">back </w:t>
      </w:r>
      <w:r w:rsidR="00FA3F9A">
        <w:t xml:space="preserve">to </w:t>
      </w:r>
      <w:r w:rsidR="004D62CD">
        <w:t>the Commission Staff</w:t>
      </w:r>
      <w:r w:rsidR="00FA3F9A">
        <w:t xml:space="preserve"> for such further action as may be necessary.</w:t>
      </w:r>
    </w:p>
    <w:p w:rsidR="00EF0FB5" w:rsidRDefault="00EF0FB5" w:rsidP="001E307F">
      <w:pPr>
        <w:tabs>
          <w:tab w:val="left" w:pos="1440"/>
        </w:tabs>
        <w:spacing w:line="360" w:lineRule="auto"/>
        <w:ind w:firstLine="1440"/>
      </w:pPr>
    </w:p>
    <w:p w:rsidR="00EF0FB5" w:rsidRDefault="00EF0FB5" w:rsidP="001E307F">
      <w:pPr>
        <w:tabs>
          <w:tab w:val="left" w:pos="1440"/>
        </w:tabs>
        <w:spacing w:line="360" w:lineRule="auto"/>
        <w:ind w:firstLine="1440"/>
      </w:pPr>
      <w:r>
        <w:t xml:space="preserve">In </w:t>
      </w:r>
      <w:r w:rsidR="002B0BB5">
        <w:t>the pending Second</w:t>
      </w:r>
      <w:r>
        <w:t xml:space="preserve"> Petition, the Applicant avers that on November 20, 2014, in response to our </w:t>
      </w:r>
      <w:r>
        <w:rPr>
          <w:i/>
        </w:rPr>
        <w:t>November 2014 Order</w:t>
      </w:r>
      <w:r>
        <w:t xml:space="preserve">, it submitted additional information </w:t>
      </w:r>
      <w:r w:rsidR="00976077">
        <w:t xml:space="preserve">in response to </w:t>
      </w:r>
      <w:r w:rsidR="004D62CD">
        <w:t>the Commission Staff</w:t>
      </w:r>
      <w:r>
        <w:t>’</w:t>
      </w:r>
      <w:r w:rsidR="004D62CD">
        <w:t>s</w:t>
      </w:r>
      <w:r>
        <w:t xml:space="preserve"> May </w:t>
      </w:r>
      <w:r w:rsidR="005F427E">
        <w:t>20</w:t>
      </w:r>
      <w:r w:rsidR="00976077">
        <w:t xml:space="preserve">, </w:t>
      </w:r>
      <w:r w:rsidR="00D24B10">
        <w:t>2014 l</w:t>
      </w:r>
      <w:r>
        <w:t xml:space="preserve">etter.  </w:t>
      </w:r>
      <w:proofErr w:type="gramStart"/>
      <w:r w:rsidR="002B0BB5">
        <w:t xml:space="preserve">Second </w:t>
      </w:r>
      <w:r>
        <w:t>Petition at ¶ 15.</w:t>
      </w:r>
      <w:proofErr w:type="gramEnd"/>
      <w:r>
        <w:t xml:space="preserve">  </w:t>
      </w:r>
      <w:r>
        <w:lastRenderedPageBreak/>
        <w:t>Included in that submission were verified statements of support</w:t>
      </w:r>
      <w:r w:rsidR="00280597">
        <w:t xml:space="preserve"> different from </w:t>
      </w:r>
      <w:r w:rsidR="00D24B10">
        <w:t xml:space="preserve">and in addition to </w:t>
      </w:r>
      <w:r w:rsidR="00280597">
        <w:t>those provided in the Applicant’s June</w:t>
      </w:r>
      <w:r w:rsidR="002B0BB5">
        <w:t> </w:t>
      </w:r>
      <w:r w:rsidR="00280597">
        <w:t>12, 2014 submission</w:t>
      </w:r>
      <w:r>
        <w:t>, a statement of financial position</w:t>
      </w:r>
      <w:r w:rsidR="00280597">
        <w:t xml:space="preserve"> consisting of a one-year projected income statement for 2014</w:t>
      </w:r>
      <w:r>
        <w:t>, and expanded responses to inq</w:t>
      </w:r>
      <w:r w:rsidR="009B7359">
        <w:t>uir</w:t>
      </w:r>
      <w:r w:rsidR="00A250BA">
        <w:t>ies on the Applicant’s verified statement attached to the Application.</w:t>
      </w:r>
      <w:r w:rsidR="009B7359">
        <w:t xml:space="preserve">  </w:t>
      </w:r>
      <w:r w:rsidR="002B0BB5">
        <w:t xml:space="preserve">Second </w:t>
      </w:r>
      <w:r w:rsidR="009B7359">
        <w:t>Petition</w:t>
      </w:r>
      <w:r w:rsidR="00D24B10">
        <w:t>,</w:t>
      </w:r>
      <w:r>
        <w:t xml:space="preserve"> </w:t>
      </w:r>
      <w:r w:rsidRPr="00EF0FB5">
        <w:t>Exhibit H</w:t>
      </w:r>
      <w:r>
        <w:t xml:space="preserve">. </w:t>
      </w:r>
    </w:p>
    <w:p w:rsidR="00280597" w:rsidRDefault="00280597" w:rsidP="001E307F">
      <w:pPr>
        <w:tabs>
          <w:tab w:val="left" w:pos="1440"/>
        </w:tabs>
        <w:spacing w:line="360" w:lineRule="auto"/>
        <w:ind w:firstLine="1440"/>
      </w:pPr>
    </w:p>
    <w:p w:rsidR="00280597" w:rsidRDefault="009B7359" w:rsidP="001E307F">
      <w:pPr>
        <w:tabs>
          <w:tab w:val="left" w:pos="1440"/>
        </w:tabs>
        <w:spacing w:line="360" w:lineRule="auto"/>
        <w:ind w:firstLine="1440"/>
      </w:pPr>
      <w:r>
        <w:t xml:space="preserve">Following review of that information as well as </w:t>
      </w:r>
      <w:r w:rsidR="00D24B10">
        <w:t>the information the Applicant had provided in its</w:t>
      </w:r>
      <w:r>
        <w:t xml:space="preserve"> June 12, 2014 submission, a </w:t>
      </w:r>
      <w:r w:rsidR="004D62CD">
        <w:t>Commission S</w:t>
      </w:r>
      <w:r>
        <w:t xml:space="preserve">taff determination </w:t>
      </w:r>
      <w:r w:rsidR="004A437C">
        <w:t xml:space="preserve">in the </w:t>
      </w:r>
      <w:r w:rsidR="004A437C">
        <w:rPr>
          <w:i/>
        </w:rPr>
        <w:t>Ma</w:t>
      </w:r>
      <w:r w:rsidR="002B0BB5">
        <w:rPr>
          <w:i/>
        </w:rPr>
        <w:t>y</w:t>
      </w:r>
      <w:r w:rsidR="00280597">
        <w:rPr>
          <w:i/>
        </w:rPr>
        <w:t xml:space="preserve"> 2015 Secretarial Letter</w:t>
      </w:r>
      <w:r w:rsidR="004A437C">
        <w:t xml:space="preserve"> was issued</w:t>
      </w:r>
      <w:r>
        <w:t>.  In that letter</w:t>
      </w:r>
      <w:r w:rsidR="00280597">
        <w:t xml:space="preserve"> </w:t>
      </w:r>
      <w:r w:rsidR="00394229">
        <w:t xml:space="preserve">the Applicant was advised that </w:t>
      </w:r>
      <w:r w:rsidR="00C86100">
        <w:t>a Certificate of Public Convenience would not be granted</w:t>
      </w:r>
      <w:r w:rsidR="00A964E8">
        <w:t xml:space="preserve"> </w:t>
      </w:r>
      <w:r w:rsidR="004A437C">
        <w:t>for two reasons</w:t>
      </w:r>
      <w:r w:rsidR="00A964E8">
        <w:t>: (1)</w:t>
      </w:r>
      <w:r w:rsidR="00C86100">
        <w:t xml:space="preserve"> </w:t>
      </w:r>
      <w:r w:rsidR="00A964E8">
        <w:t xml:space="preserve">the </w:t>
      </w:r>
      <w:r w:rsidR="00C86100">
        <w:t>failure to establish need for the requested service</w:t>
      </w:r>
      <w:r w:rsidR="00A964E8">
        <w:t xml:space="preserve">; and (2) the </w:t>
      </w:r>
      <w:r w:rsidR="00C86100">
        <w:t xml:space="preserve">propensity to operate illegally.  </w:t>
      </w:r>
      <w:r w:rsidR="00400561">
        <w:t xml:space="preserve">Specifically the </w:t>
      </w:r>
      <w:r w:rsidR="002B0BB5">
        <w:rPr>
          <w:i/>
        </w:rPr>
        <w:t>May</w:t>
      </w:r>
      <w:r w:rsidR="00400561">
        <w:rPr>
          <w:i/>
        </w:rPr>
        <w:t xml:space="preserve"> 2015 Secretarial Letter</w:t>
      </w:r>
      <w:r w:rsidR="00400561">
        <w:t xml:space="preserve"> stated as follows:</w:t>
      </w:r>
    </w:p>
    <w:p w:rsidR="00400561" w:rsidRDefault="00400561" w:rsidP="001E307F">
      <w:pPr>
        <w:tabs>
          <w:tab w:val="left" w:pos="1440"/>
        </w:tabs>
        <w:spacing w:line="360" w:lineRule="auto"/>
        <w:ind w:firstLine="1440"/>
      </w:pPr>
    </w:p>
    <w:p w:rsidR="00A964E8" w:rsidRPr="00A964E8" w:rsidRDefault="00703182" w:rsidP="001E307F">
      <w:pPr>
        <w:ind w:left="1440" w:right="1440"/>
      </w:pPr>
      <w:r w:rsidRPr="00703182">
        <w:t xml:space="preserve">On August 21, 2014, the applicant was denied due to failure to timely respond to a Commission data request for clarification of its verified statements and for </w:t>
      </w:r>
      <w:r w:rsidRPr="00711E83">
        <w:t>verified statements in support of the application</w:t>
      </w:r>
      <w:r w:rsidRPr="00703182">
        <w:t xml:space="preserve">.  On September 5, 2014, the applicant petitioned the Office of Special Assistants for reconsideration and </w:t>
      </w:r>
      <w:r w:rsidRPr="00D24B10">
        <w:t>submitted multiple unacceptable statements in support of the application</w:t>
      </w:r>
      <w:r w:rsidRPr="00703182">
        <w:t xml:space="preserve">, and worse, a </w:t>
      </w:r>
      <w:r w:rsidRPr="00D24B10">
        <w:t>log demonstrating 399 moves which occurred without authority</w:t>
      </w:r>
      <w:r w:rsidRPr="00703182">
        <w:t xml:space="preserve">.  Notwithstanding the evidence of unauthorized transportation of Household Goods in Use, the petition was granted on November 13, 2014.  Subsequently, on November 20, 2014, the applicant submitted the previously requested information.  Upon review by the Bureau of Technical Utility Services, it was determined that the </w:t>
      </w:r>
      <w:r w:rsidRPr="00711E83">
        <w:t xml:space="preserve">majority of the applicant’s verified statements of support failed to comply with the requirements set forth in 52 Pa. Code § 3.382, and or the Commission’s decision in the </w:t>
      </w:r>
      <w:r w:rsidRPr="00711E83">
        <w:rPr>
          <w:u w:val="single"/>
        </w:rPr>
        <w:t>Application of Blue Bird Coach Lines</w:t>
      </w:r>
      <w:r w:rsidRPr="00703182">
        <w:rPr>
          <w:u w:val="single"/>
        </w:rPr>
        <w:t>, Inc.</w:t>
      </w:r>
      <w:r w:rsidRPr="00703182">
        <w:t xml:space="preserve">, (A-00088807, F.2, Am-K) 72 Pa. P.U.C. 262 (1990).  On April 20, 2015, Manager William </w:t>
      </w:r>
      <w:proofErr w:type="spellStart"/>
      <w:r w:rsidRPr="00703182">
        <w:t>Kilrain</w:t>
      </w:r>
      <w:proofErr w:type="spellEnd"/>
      <w:r w:rsidRPr="00703182">
        <w:t xml:space="preserve">, of the Commission’s Philadelphia District Office </w:t>
      </w:r>
      <w:r w:rsidRPr="00711E83">
        <w:t>attempted to contact the 11 persons that allegedly signed statements supporting the application, but was unable to make contact with any of them</w:t>
      </w:r>
      <w:r w:rsidRPr="00703182">
        <w:t>.</w:t>
      </w:r>
    </w:p>
    <w:p w:rsidR="00A964E8" w:rsidRDefault="00A964E8" w:rsidP="001E307F">
      <w:pPr>
        <w:spacing w:line="360" w:lineRule="auto"/>
      </w:pPr>
    </w:p>
    <w:p w:rsidR="00A964E8" w:rsidRPr="00A964E8" w:rsidRDefault="00A964E8" w:rsidP="001E307F">
      <w:pPr>
        <w:tabs>
          <w:tab w:val="left" w:pos="1440"/>
        </w:tabs>
        <w:spacing w:line="360" w:lineRule="auto"/>
      </w:pPr>
      <w:r>
        <w:lastRenderedPageBreak/>
        <w:tab/>
      </w:r>
      <w:r w:rsidR="006F6560">
        <w:t>In response to th</w:t>
      </w:r>
      <w:r w:rsidR="004A437C">
        <w:t xml:space="preserve">e </w:t>
      </w:r>
      <w:r w:rsidR="004A437C">
        <w:rPr>
          <w:i/>
        </w:rPr>
        <w:t>May 2015 Secretarial Letter</w:t>
      </w:r>
      <w:r w:rsidR="006F6560">
        <w:t xml:space="preserve">, </w:t>
      </w:r>
      <w:r>
        <w:t xml:space="preserve">the Applicant filed </w:t>
      </w:r>
      <w:r w:rsidR="002B0BB5">
        <w:t>its</w:t>
      </w:r>
      <w:r>
        <w:t xml:space="preserve"> </w:t>
      </w:r>
      <w:r w:rsidR="002B0BB5">
        <w:t>S</w:t>
      </w:r>
      <w:r>
        <w:t>econd Petition</w:t>
      </w:r>
      <w:r w:rsidR="004A437C">
        <w:t xml:space="preserve"> on June 2, 2015</w:t>
      </w:r>
      <w:r w:rsidR="006F6560">
        <w:t xml:space="preserve">.  </w:t>
      </w:r>
      <w:r w:rsidR="004A437C">
        <w:t xml:space="preserve">In this second request for reconsideration, </w:t>
      </w:r>
      <w:r w:rsidR="006F6560">
        <w:t xml:space="preserve">the Applicant </w:t>
      </w:r>
      <w:r>
        <w:t>request</w:t>
      </w:r>
      <w:r w:rsidR="006F6560">
        <w:t>s</w:t>
      </w:r>
      <w:r>
        <w:t xml:space="preserve"> </w:t>
      </w:r>
      <w:r w:rsidR="002B0BB5">
        <w:t xml:space="preserve">not only </w:t>
      </w:r>
      <w:r>
        <w:t xml:space="preserve">that we reconsider what the Applicant characterizes as the “wrongfully reached conclusions” set forth in </w:t>
      </w:r>
      <w:r w:rsidR="002B0BB5">
        <w:t>the</w:t>
      </w:r>
      <w:r>
        <w:t xml:space="preserve"> </w:t>
      </w:r>
      <w:r w:rsidR="002B0BB5">
        <w:rPr>
          <w:i/>
        </w:rPr>
        <w:t>May</w:t>
      </w:r>
      <w:r w:rsidR="00687E54">
        <w:rPr>
          <w:i/>
        </w:rPr>
        <w:t> </w:t>
      </w:r>
      <w:r>
        <w:rPr>
          <w:i/>
        </w:rPr>
        <w:t>2015 Secretarial Letter</w:t>
      </w:r>
      <w:r>
        <w:t xml:space="preserve"> but also that the Application be reconsidered as amended “to reflect the recent rule changes eliminating the requirement that applicants will service a useful public service and establishing state wide authority to operate.”  </w:t>
      </w:r>
      <w:proofErr w:type="gramStart"/>
      <w:r w:rsidR="002B0BB5">
        <w:t xml:space="preserve">Second </w:t>
      </w:r>
      <w:r>
        <w:t>Petition at</w:t>
      </w:r>
      <w:r w:rsidR="002B0BB5">
        <w:t> </w:t>
      </w:r>
      <w:r w:rsidR="004A437C">
        <w:t xml:space="preserve">¶ </w:t>
      </w:r>
      <w:r w:rsidR="006F6560">
        <w:t>19.</w:t>
      </w:r>
      <w:proofErr w:type="gramEnd"/>
      <w:r w:rsidR="006F6560">
        <w:t xml:space="preserve"> </w:t>
      </w:r>
      <w:r>
        <w:t xml:space="preserve"> </w:t>
      </w:r>
    </w:p>
    <w:p w:rsidR="00A964E8" w:rsidRDefault="00A964E8" w:rsidP="001E307F">
      <w:pPr>
        <w:spacing w:line="360" w:lineRule="auto"/>
      </w:pPr>
    </w:p>
    <w:p w:rsidR="00A37DE3" w:rsidRDefault="00A37DE3" w:rsidP="001E307F">
      <w:pPr>
        <w:spacing w:line="360" w:lineRule="auto"/>
        <w:ind w:firstLine="0"/>
        <w:jc w:val="center"/>
        <w:rPr>
          <w:b/>
        </w:rPr>
      </w:pPr>
      <w:r w:rsidRPr="0010444F">
        <w:rPr>
          <w:b/>
        </w:rPr>
        <w:t>Discussion</w:t>
      </w:r>
    </w:p>
    <w:p w:rsidR="00677DD2" w:rsidRDefault="00677DD2" w:rsidP="001E307F">
      <w:pPr>
        <w:spacing w:line="360" w:lineRule="auto"/>
        <w:rPr>
          <w:b/>
        </w:rPr>
      </w:pPr>
    </w:p>
    <w:p w:rsidR="00677DD2" w:rsidRPr="0010444F" w:rsidRDefault="00677DD2" w:rsidP="001E307F">
      <w:pPr>
        <w:spacing w:line="360" w:lineRule="auto"/>
        <w:ind w:firstLine="0"/>
      </w:pPr>
      <w:r>
        <w:rPr>
          <w:b/>
        </w:rPr>
        <w:t>Legal Standard</w:t>
      </w:r>
      <w:r w:rsidR="00AF7B0E">
        <w:rPr>
          <w:b/>
        </w:rPr>
        <w:t>s</w:t>
      </w:r>
    </w:p>
    <w:p w:rsidR="00A37DE3" w:rsidRDefault="00A37DE3" w:rsidP="001E307F">
      <w:pPr>
        <w:tabs>
          <w:tab w:val="left" w:pos="-720"/>
        </w:tabs>
        <w:suppressAutoHyphens/>
        <w:spacing w:line="360" w:lineRule="auto"/>
      </w:pPr>
    </w:p>
    <w:p w:rsidR="00D74CBD" w:rsidRPr="00D74CBD" w:rsidRDefault="00D74CBD" w:rsidP="001E307F">
      <w:pPr>
        <w:spacing w:line="360" w:lineRule="auto"/>
        <w:ind w:firstLine="1440"/>
        <w:rPr>
          <w:b/>
        </w:rPr>
      </w:pPr>
      <w:r>
        <w:t>In this Order w</w:t>
      </w:r>
      <w:r w:rsidRPr="00D74CBD">
        <w:t xml:space="preserve">e </w:t>
      </w:r>
      <w:r w:rsidR="004A437C">
        <w:t xml:space="preserve">shall consider both </w:t>
      </w:r>
      <w:r w:rsidR="002B0BB5">
        <w:t>the Applicant’s S</w:t>
      </w:r>
      <w:r w:rsidRPr="00D74CBD">
        <w:t>econd Petition</w:t>
      </w:r>
      <w:r w:rsidR="004A437C">
        <w:t xml:space="preserve"> </w:t>
      </w:r>
      <w:r w:rsidR="009360B8">
        <w:t xml:space="preserve">and the </w:t>
      </w:r>
      <w:r>
        <w:t xml:space="preserve">Application </w:t>
      </w:r>
      <w:r w:rsidR="009360B8">
        <w:t>on its merits</w:t>
      </w:r>
      <w:r w:rsidRPr="00D74CBD">
        <w:t xml:space="preserve">.  </w:t>
      </w:r>
      <w:r w:rsidR="004A437C">
        <w:t>In considering the Second Petition, w</w:t>
      </w:r>
      <w:r w:rsidRPr="00D47248">
        <w:t>e note that any issue that we do not specifically address has been duly considered and will be denied without further discussion.  It is well</w:t>
      </w:r>
      <w:r>
        <w:t>-</w:t>
      </w:r>
      <w:r w:rsidRPr="00D47248">
        <w:t xml:space="preserve">settled that we are not required to consider expressly or at length each contention or argument raised by the parties.  </w:t>
      </w:r>
      <w:hyperlink r:id="rId9" w:history="1">
        <w:r w:rsidRPr="00D47248">
          <w:rPr>
            <w:rStyle w:val="Emphasis"/>
            <w:color w:val="000000"/>
          </w:rPr>
          <w:t xml:space="preserve">Consolidated Rail Corp. v. Pa. PUC, </w:t>
        </w:r>
        <w:r w:rsidRPr="00D47248">
          <w:rPr>
            <w:rStyle w:val="Hyperlink"/>
            <w:color w:val="000000"/>
            <w:u w:val="none"/>
          </w:rPr>
          <w:t xml:space="preserve">625 A.2d 741 (Pa. </w:t>
        </w:r>
        <w:proofErr w:type="spellStart"/>
        <w:r w:rsidRPr="00D47248">
          <w:rPr>
            <w:rStyle w:val="Hyperlink"/>
            <w:color w:val="000000"/>
            <w:u w:val="none"/>
          </w:rPr>
          <w:t>Cmwlth</w:t>
        </w:r>
        <w:proofErr w:type="spellEnd"/>
        <w:r w:rsidRPr="00D47248">
          <w:rPr>
            <w:rStyle w:val="Hyperlink"/>
            <w:color w:val="000000"/>
            <w:u w:val="none"/>
          </w:rPr>
          <w:t>. 1993);</w:t>
        </w:r>
      </w:hyperlink>
      <w:r w:rsidRPr="00D47248">
        <w:rPr>
          <w:color w:val="000000"/>
        </w:rPr>
        <w:t xml:space="preserve"> </w:t>
      </w:r>
      <w:r w:rsidRPr="00D47248">
        <w:rPr>
          <w:i/>
          <w:color w:val="000000"/>
        </w:rPr>
        <w:t xml:space="preserve">also </w:t>
      </w:r>
      <w:r w:rsidRPr="00D47248">
        <w:rPr>
          <w:rStyle w:val="Emphasis"/>
          <w:color w:val="000000"/>
        </w:rPr>
        <w:t xml:space="preserve">see, generally, </w:t>
      </w:r>
      <w:hyperlink r:id="rId10" w:history="1">
        <w:r w:rsidRPr="00D47248">
          <w:rPr>
            <w:rStyle w:val="Emphasis"/>
            <w:color w:val="000000"/>
          </w:rPr>
          <w:t>University of Pennsylvania</w:t>
        </w:r>
        <w:r w:rsidR="005F427E">
          <w:rPr>
            <w:rStyle w:val="Emphasis"/>
            <w:color w:val="000000"/>
          </w:rPr>
          <w:t xml:space="preserve"> </w:t>
        </w:r>
        <w:r w:rsidRPr="00D47248">
          <w:rPr>
            <w:rStyle w:val="Emphasis"/>
            <w:color w:val="000000"/>
          </w:rPr>
          <w:t>v. Pa. PUC</w:t>
        </w:r>
        <w:r w:rsidRPr="00D47248">
          <w:rPr>
            <w:rStyle w:val="Hyperlink"/>
            <w:color w:val="000000"/>
            <w:u w:val="none"/>
          </w:rPr>
          <w:t xml:space="preserve">, 485 A.2d 1217 (Pa. </w:t>
        </w:r>
        <w:proofErr w:type="spellStart"/>
        <w:r w:rsidRPr="00D47248">
          <w:rPr>
            <w:rStyle w:val="Hyperlink"/>
            <w:color w:val="000000"/>
            <w:u w:val="none"/>
          </w:rPr>
          <w:t>Cmwlth</w:t>
        </w:r>
        <w:proofErr w:type="spellEnd"/>
        <w:r w:rsidRPr="00D47248">
          <w:rPr>
            <w:rStyle w:val="Hyperlink"/>
            <w:color w:val="000000"/>
            <w:u w:val="none"/>
          </w:rPr>
          <w:t>. 1984)</w:t>
        </w:r>
      </w:hyperlink>
      <w:r w:rsidRPr="00D74CBD">
        <w:t xml:space="preserve">.  </w:t>
      </w:r>
    </w:p>
    <w:p w:rsidR="00D74CBD" w:rsidRPr="00D74CBD" w:rsidRDefault="00D74CBD" w:rsidP="001E307F">
      <w:pPr>
        <w:suppressAutoHyphens/>
        <w:spacing w:line="360" w:lineRule="auto"/>
        <w:ind w:firstLine="1440"/>
      </w:pPr>
    </w:p>
    <w:p w:rsidR="00D74CBD" w:rsidRPr="00D74CBD" w:rsidRDefault="00D74CBD" w:rsidP="001E307F">
      <w:pPr>
        <w:suppressAutoHyphens/>
        <w:spacing w:line="360" w:lineRule="auto"/>
        <w:ind w:firstLine="1440"/>
      </w:pPr>
      <w:r w:rsidRPr="00D74CBD">
        <w:t xml:space="preserve">Petitions </w:t>
      </w:r>
      <w:r w:rsidR="00DE60C5">
        <w:t>seeking r</w:t>
      </w:r>
      <w:r w:rsidRPr="00D74CBD">
        <w:t xml:space="preserve">econsideration of </w:t>
      </w:r>
      <w:r w:rsidR="00DE60C5">
        <w:t>s</w:t>
      </w:r>
      <w:r w:rsidRPr="00D74CBD">
        <w:t xml:space="preserve">taff </w:t>
      </w:r>
      <w:r w:rsidR="00DE60C5">
        <w:t>a</w:t>
      </w:r>
      <w:r w:rsidRPr="00D74CBD">
        <w:t>ction</w:t>
      </w:r>
      <w:r w:rsidR="00DE60C5">
        <w:t>s</w:t>
      </w:r>
      <w:r w:rsidRPr="00D74CBD">
        <w:t xml:space="preserve"> are governed by Section 5.44(a) of </w:t>
      </w:r>
      <w:r>
        <w:t>our Regulations</w:t>
      </w:r>
      <w:r w:rsidRPr="00D74CBD">
        <w:t xml:space="preserve">, 52 Pa. Code § 5.44(a), which provides </w:t>
      </w:r>
      <w:r w:rsidR="009360B8">
        <w:t>as</w:t>
      </w:r>
      <w:r w:rsidRPr="00D74CBD">
        <w:t xml:space="preserve"> follow</w:t>
      </w:r>
      <w:r w:rsidR="009360B8">
        <w:t>s</w:t>
      </w:r>
      <w:r w:rsidRPr="00D74CBD">
        <w:t xml:space="preserve">:  </w:t>
      </w:r>
    </w:p>
    <w:p w:rsidR="00D74CBD" w:rsidRPr="00D74CBD" w:rsidRDefault="00D74CBD" w:rsidP="001E307F">
      <w:pPr>
        <w:suppressAutoHyphens/>
        <w:spacing w:line="360" w:lineRule="auto"/>
        <w:ind w:firstLine="1440"/>
      </w:pPr>
    </w:p>
    <w:p w:rsidR="002B0BB5" w:rsidRDefault="00D74CBD" w:rsidP="001E307F">
      <w:pPr>
        <w:ind w:left="1440" w:right="1440"/>
      </w:pPr>
      <w:r w:rsidRPr="00D74CBD">
        <w:t xml:space="preserve">Actions taken by </w:t>
      </w:r>
      <w:r w:rsidRPr="00D74CBD">
        <w:rPr>
          <w:bCs/>
        </w:rPr>
        <w:t>staff,</w:t>
      </w:r>
      <w:r w:rsidRPr="00D74CBD">
        <w:t xml:space="preserve"> other than a presiding officer, under authority delegated by the Commission, will be deemed to be the final action of the Commission unless reconsideration is sought from the Commission within 20 days after service of notice of the action, unless a different time period is specified in this chapter or in the act.</w:t>
      </w:r>
    </w:p>
    <w:p w:rsidR="002B0BB5" w:rsidRDefault="002B0BB5" w:rsidP="001E307F">
      <w:pPr>
        <w:ind w:left="1440" w:right="1440"/>
      </w:pPr>
    </w:p>
    <w:p w:rsidR="002B0BB5" w:rsidRDefault="002B0BB5" w:rsidP="001E307F">
      <w:pPr>
        <w:ind w:left="1440" w:right="1440"/>
      </w:pPr>
    </w:p>
    <w:p w:rsidR="008C1500" w:rsidRPr="008C1500" w:rsidRDefault="008C1500" w:rsidP="001E307F">
      <w:pPr>
        <w:spacing w:line="360" w:lineRule="auto"/>
        <w:ind w:firstLine="1440"/>
      </w:pPr>
      <w:r w:rsidRPr="008C1500">
        <w:lastRenderedPageBreak/>
        <w:t xml:space="preserve">In considering the Application, Section 332(a) of the Public Utility Code (Code), 66 Pa. C.S. § 332(a), provides that the party seeking affirmative relief from the Commission has the burden of proof.  In this proceeding the Applicant is the party seeking affirmative relief from the Commission, and therefore is the party with the burden of proof.  </w:t>
      </w:r>
      <w:r w:rsidRPr="008C1500">
        <w:rPr>
          <w:i/>
        </w:rPr>
        <w:t>Se-Ling Hosiery, Inc.  v. Margulies</w:t>
      </w:r>
      <w:r w:rsidRPr="008C1500">
        <w:t>, 364 Pa. 45, 70 A.2d 854 (1950)</w:t>
      </w:r>
      <w:r w:rsidR="00687E54">
        <w:t xml:space="preserve"> (</w:t>
      </w:r>
      <w:r w:rsidR="00687E54" w:rsidRPr="00687E54">
        <w:rPr>
          <w:i/>
        </w:rPr>
        <w:t>Se-Ling Hosiery</w:t>
      </w:r>
      <w:r w:rsidR="00687E54">
        <w:t>)</w:t>
      </w:r>
      <w:r w:rsidRPr="008C1500">
        <w:t>.</w:t>
      </w:r>
    </w:p>
    <w:p w:rsidR="008C1500" w:rsidRPr="008C1500" w:rsidRDefault="008C1500" w:rsidP="001E307F">
      <w:pPr>
        <w:spacing w:line="360" w:lineRule="auto"/>
        <w:ind w:firstLine="1440"/>
      </w:pPr>
    </w:p>
    <w:p w:rsidR="008C1500" w:rsidRPr="008C1500" w:rsidRDefault="008C1500" w:rsidP="001E307F">
      <w:pPr>
        <w:spacing w:line="360" w:lineRule="auto"/>
        <w:ind w:firstLine="1440"/>
      </w:pPr>
      <w:r w:rsidRPr="008C1500">
        <w:t xml:space="preserve">In </w:t>
      </w:r>
      <w:r w:rsidRPr="008C1500">
        <w:rPr>
          <w:i/>
        </w:rPr>
        <w:t>Se-Ling Hosiery</w:t>
      </w:r>
      <w:r w:rsidRPr="008C1500">
        <w:t xml:space="preserve"> the Pennsylvania Supreme Court held that the term “burden of proof” means a duty to establish a fact by a preponderance of the evidence.  The term “preponderance of the evidence” means that one party has presented evidence </w:t>
      </w:r>
      <w:r w:rsidR="001F18F0">
        <w:t>that</w:t>
      </w:r>
      <w:r w:rsidRPr="008C1500">
        <w:t xml:space="preserve"> is more convincing, by even the slightest degree, than the evidence presented by the opposing party.  Additionally, the Commission must ensure that the decision is supported by substantial evidence in the record.  The Pennsylvania appellate courts have defined substantial evidence to mean such relevant evidence that a reasonable mind may accept as adequate to support a conclusion; more is required than a mere trace of evidence or a suspicion of the existence of a fact sought to be established.  </w:t>
      </w:r>
      <w:proofErr w:type="gramStart"/>
      <w:r w:rsidRPr="008C1500">
        <w:rPr>
          <w:i/>
        </w:rPr>
        <w:t>Norfolk &amp; Western Railway Co. v. Pa. PUC,</w:t>
      </w:r>
      <w:r w:rsidRPr="008C1500">
        <w:t xml:space="preserve"> 489 Pa. 109, 413 A.2d 1037 (1980); </w:t>
      </w:r>
      <w:r w:rsidRPr="008C1500">
        <w:rPr>
          <w:i/>
        </w:rPr>
        <w:t>Murphy v. Pa. Dept. of Public Welfare, White Haven Center</w:t>
      </w:r>
      <w:r w:rsidRPr="008C1500">
        <w:t xml:space="preserve">, 480 A.2d 382 (Pa. </w:t>
      </w:r>
      <w:proofErr w:type="spellStart"/>
      <w:r w:rsidRPr="008C1500">
        <w:t>Cmwlth</w:t>
      </w:r>
      <w:proofErr w:type="spellEnd"/>
      <w:r w:rsidRPr="008C1500">
        <w:t>. 1984).</w:t>
      </w:r>
      <w:proofErr w:type="gramEnd"/>
      <w:r w:rsidRPr="008C1500">
        <w:t xml:space="preserve">  </w:t>
      </w:r>
    </w:p>
    <w:p w:rsidR="008C1500" w:rsidRPr="008C1500" w:rsidRDefault="008C1500" w:rsidP="001E307F">
      <w:pPr>
        <w:tabs>
          <w:tab w:val="left" w:pos="-720"/>
        </w:tabs>
        <w:suppressAutoHyphens/>
        <w:spacing w:line="360" w:lineRule="auto"/>
        <w:ind w:firstLine="1440"/>
      </w:pPr>
    </w:p>
    <w:p w:rsidR="008C1500" w:rsidRPr="008C1500" w:rsidRDefault="008C1500" w:rsidP="001E307F">
      <w:pPr>
        <w:spacing w:line="360" w:lineRule="auto"/>
        <w:ind w:firstLine="1440"/>
      </w:pPr>
      <w:r w:rsidRPr="008C1500">
        <w:t xml:space="preserve">Additionally, pursuant to </w:t>
      </w:r>
      <w:r w:rsidR="006C4B6F">
        <w:t xml:space="preserve">Section 1103(a) </w:t>
      </w:r>
      <w:r w:rsidR="004F27F7">
        <w:t xml:space="preserve">of </w:t>
      </w:r>
      <w:r w:rsidRPr="008C1500">
        <w:t>the Code, 66 Pa. C.S. §</w:t>
      </w:r>
      <w:r w:rsidR="00FE058B">
        <w:t> </w:t>
      </w:r>
      <w:r w:rsidRPr="008C1500">
        <w:t>1103(a), this Application should be granted only if the Commission finds that “the granting of such certificate is necessary or proper for the service, accommodation, convenience or safety of the public.”</w:t>
      </w:r>
      <w:r w:rsidR="00824F4C">
        <w:t xml:space="preserve">  In order to make these determinations, </w:t>
      </w:r>
      <w:r w:rsidR="00293E72">
        <w:t xml:space="preserve">we </w:t>
      </w:r>
      <w:r w:rsidR="00824F4C">
        <w:t>set forth the criteria to be taken into consideration</w:t>
      </w:r>
      <w:r w:rsidR="00293E72">
        <w:t xml:space="preserve"> </w:t>
      </w:r>
      <w:r w:rsidR="00293E72" w:rsidRPr="00293E72">
        <w:t>in a Policy Statement</w:t>
      </w:r>
      <w:r w:rsidR="00824F4C">
        <w:t>.  These factors, found at 52 Pa. Code §</w:t>
      </w:r>
      <w:r w:rsidR="00293E72">
        <w:t> </w:t>
      </w:r>
      <w:r w:rsidR="00824F4C">
        <w:t>41.14, are as follows:</w:t>
      </w:r>
    </w:p>
    <w:p w:rsidR="008C1500" w:rsidRPr="008C1500" w:rsidRDefault="008C1500" w:rsidP="001E307F"/>
    <w:p w:rsidR="008C1500" w:rsidRPr="008C1500" w:rsidRDefault="008C1500" w:rsidP="001E307F">
      <w:pPr>
        <w:ind w:left="1440" w:right="1440"/>
        <w:rPr>
          <w:b/>
          <w:bCs/>
        </w:rPr>
      </w:pPr>
      <w:r w:rsidRPr="008C1500">
        <w:t xml:space="preserve">§ </w:t>
      </w:r>
      <w:r w:rsidRPr="008C1500">
        <w:rPr>
          <w:b/>
          <w:bCs/>
        </w:rPr>
        <w:t>41.14. Evidentiary criteria used to decide motor common carrier applications--statement of policy.</w:t>
      </w:r>
    </w:p>
    <w:p w:rsidR="008C1500" w:rsidRPr="008C1500" w:rsidRDefault="008C1500" w:rsidP="001E307F">
      <w:pPr>
        <w:ind w:left="1440" w:right="1440"/>
        <w:rPr>
          <w:b/>
          <w:bCs/>
        </w:rPr>
      </w:pPr>
    </w:p>
    <w:p w:rsidR="008C1500" w:rsidRPr="008C1500" w:rsidRDefault="008C1500" w:rsidP="001E307F">
      <w:pPr>
        <w:ind w:left="1440" w:right="1440"/>
      </w:pPr>
      <w:r w:rsidRPr="008C1500">
        <w:rPr>
          <w:bCs/>
        </w:rPr>
        <w:t>(a)</w:t>
      </w:r>
      <w:r w:rsidRPr="008C1500">
        <w:rPr>
          <w:b/>
          <w:bCs/>
        </w:rPr>
        <w:tab/>
      </w:r>
      <w:r w:rsidRPr="008C1500">
        <w:t xml:space="preserve">An applicant seeking motor common carrier authority has a burden of demonstrating that approval of the </w:t>
      </w:r>
      <w:r w:rsidRPr="008C1500">
        <w:lastRenderedPageBreak/>
        <w:t>application will serve a useful public purpose, responsive to a public demand or need.</w:t>
      </w:r>
    </w:p>
    <w:p w:rsidR="008C1500" w:rsidRPr="008C1500" w:rsidRDefault="008C1500" w:rsidP="001E307F">
      <w:pPr>
        <w:ind w:left="1440" w:right="1440"/>
      </w:pPr>
    </w:p>
    <w:p w:rsidR="008C1500" w:rsidRPr="008C1500" w:rsidRDefault="008C1500" w:rsidP="001E307F">
      <w:pPr>
        <w:ind w:left="1440" w:right="1440"/>
      </w:pPr>
      <w:r w:rsidRPr="008C1500">
        <w:t>(b)</w:t>
      </w:r>
      <w:r w:rsidRPr="008C1500">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rsidR="008C1500" w:rsidRPr="008C1500" w:rsidRDefault="008C1500" w:rsidP="001E307F">
      <w:pPr>
        <w:ind w:left="1440" w:right="1440"/>
      </w:pPr>
    </w:p>
    <w:p w:rsidR="008C1500" w:rsidRPr="008C1500" w:rsidRDefault="008C1500" w:rsidP="001E307F">
      <w:pPr>
        <w:ind w:left="2160" w:right="1440"/>
      </w:pPr>
      <w:r w:rsidRPr="008C1500">
        <w:t>(1)</w:t>
      </w:r>
      <w:r w:rsidRPr="008C1500">
        <w:tab/>
        <w:t>Whether an applicant has sufficient capital, equipment, facilities and other resources necessary to serve the territory requested.</w:t>
      </w:r>
    </w:p>
    <w:p w:rsidR="008C1500" w:rsidRPr="008C1500" w:rsidRDefault="008C1500" w:rsidP="001E307F">
      <w:pPr>
        <w:ind w:left="1440" w:right="1440"/>
      </w:pPr>
    </w:p>
    <w:p w:rsidR="008C1500" w:rsidRPr="008C1500" w:rsidRDefault="008C1500" w:rsidP="001E307F">
      <w:pPr>
        <w:ind w:left="2160" w:right="1440"/>
      </w:pPr>
      <w:r w:rsidRPr="008C1500">
        <w:t>(2)</w:t>
      </w:r>
      <w:r w:rsidRPr="008C1500">
        <w:tab/>
        <w:t>Whether an applicant and its employees have sufficient technical expertise and experience to serve the territory requested.</w:t>
      </w:r>
    </w:p>
    <w:p w:rsidR="008C1500" w:rsidRPr="008C1500" w:rsidRDefault="008C1500" w:rsidP="001E307F">
      <w:pPr>
        <w:ind w:left="1440" w:right="1440"/>
      </w:pPr>
    </w:p>
    <w:p w:rsidR="008C1500" w:rsidRPr="008C1500" w:rsidRDefault="008C1500" w:rsidP="001E307F">
      <w:pPr>
        <w:ind w:left="2160" w:right="1440"/>
      </w:pPr>
      <w:r w:rsidRPr="008C1500">
        <w:t>(3)</w:t>
      </w:r>
      <w:r w:rsidRPr="008C1500">
        <w:tab/>
        <w:t>Whether an applicant has or is able to secure sufficient and continuous insurance coverage for all vehicles to be used or useful in the provision of service to the public.</w:t>
      </w:r>
    </w:p>
    <w:p w:rsidR="008C1500" w:rsidRPr="008C1500" w:rsidRDefault="008C1500" w:rsidP="001E307F">
      <w:pPr>
        <w:ind w:left="1440" w:right="1440"/>
      </w:pPr>
    </w:p>
    <w:p w:rsidR="008C1500" w:rsidRPr="008C1500" w:rsidRDefault="008C1500" w:rsidP="001E307F">
      <w:pPr>
        <w:ind w:left="2160" w:right="1440"/>
      </w:pPr>
      <w:r w:rsidRPr="008C1500">
        <w:t>(4)</w:t>
      </w:r>
      <w:r w:rsidRPr="008C1500">
        <w:tab/>
        <w:t>Whether the applicant has an appropriate plan to comply with the Commission’s driver and vehicle safety regulations and service standards contained in Chapter 29 (relating to motor carriers of passengers).</w:t>
      </w:r>
    </w:p>
    <w:p w:rsidR="008C1500" w:rsidRPr="008C1500" w:rsidRDefault="008C1500" w:rsidP="001E307F">
      <w:pPr>
        <w:ind w:left="1440" w:right="1440"/>
      </w:pPr>
    </w:p>
    <w:p w:rsidR="008C1500" w:rsidRPr="008C1500" w:rsidRDefault="008C1500" w:rsidP="001E307F">
      <w:pPr>
        <w:ind w:left="2160" w:right="1440"/>
      </w:pPr>
      <w:r w:rsidRPr="008C1500">
        <w:rPr>
          <w:iCs/>
        </w:rPr>
        <w:t>(5)</w:t>
      </w:r>
      <w:r w:rsidRPr="008C1500">
        <w:rPr>
          <w:iCs/>
        </w:rPr>
        <w:tab/>
      </w:r>
      <w:r w:rsidRPr="008C1500">
        <w:t>An applicant’s record, if any, of compliance with 66 Pa. C.S. (relating to the Public Utility Code), this title and the Commission’s orders.</w:t>
      </w:r>
    </w:p>
    <w:p w:rsidR="008C1500" w:rsidRPr="008C1500" w:rsidRDefault="008C1500" w:rsidP="001E307F">
      <w:pPr>
        <w:ind w:left="1440" w:right="1440"/>
      </w:pPr>
    </w:p>
    <w:p w:rsidR="008C1500" w:rsidRPr="008C1500" w:rsidRDefault="008C1500" w:rsidP="001E307F">
      <w:pPr>
        <w:ind w:left="2160" w:right="1440"/>
      </w:pPr>
      <w:r w:rsidRPr="008C1500">
        <w:t>(6)</w:t>
      </w:r>
      <w:r w:rsidRPr="008C1500">
        <w:tab/>
        <w:t>Whether an applicant or its drivers have been convicted of a felony or crime of moral turpitude and remains subject to supervision by a court or correctional institution.</w:t>
      </w:r>
    </w:p>
    <w:p w:rsidR="008C1500" w:rsidRPr="008C1500" w:rsidRDefault="008C1500" w:rsidP="001E307F">
      <w:pPr>
        <w:ind w:left="1440" w:right="1440"/>
      </w:pPr>
    </w:p>
    <w:p w:rsidR="008C1500" w:rsidRPr="008C1500" w:rsidRDefault="008C1500" w:rsidP="001E307F">
      <w:pPr>
        <w:ind w:left="1440" w:right="1440"/>
      </w:pPr>
      <w:r w:rsidRPr="008C1500">
        <w:t>(c)</w:t>
      </w:r>
      <w:r w:rsidRPr="008C1500">
        <w:tab/>
        <w:t xml:space="preserve">The Commission will grant motor common carrier authority commensurate with the demonstrated public </w:t>
      </w:r>
      <w:r w:rsidRPr="008C1500">
        <w:lastRenderedPageBreak/>
        <w:t>need unless it is established that the entry of a new carrier into the field would endanger or impair the operations of existing common carriers to an extent that, on balance, the granting of authority would be contrary to the public interest.</w:t>
      </w:r>
    </w:p>
    <w:p w:rsidR="008C1500" w:rsidRPr="008C1500" w:rsidRDefault="008C1500" w:rsidP="001E307F">
      <w:pPr>
        <w:ind w:left="1440" w:right="1440"/>
      </w:pPr>
    </w:p>
    <w:p w:rsidR="008C1500" w:rsidRDefault="008C1500" w:rsidP="001E307F">
      <w:pPr>
        <w:ind w:left="1440" w:right="1440"/>
      </w:pPr>
      <w:r w:rsidRPr="008C1500">
        <w:t>(d)</w:t>
      </w:r>
      <w:r w:rsidRPr="008C1500">
        <w:tab/>
        <w:t>Subsections (a) and (c) do not apply to an applicant seeking authority to provide motor carrier of passenger service under §§ 29.331--29.335 (relating to limousine service.)</w:t>
      </w:r>
    </w:p>
    <w:p w:rsidR="006C4B6F" w:rsidRPr="008C1500" w:rsidRDefault="006C4B6F" w:rsidP="001E307F">
      <w:pPr>
        <w:ind w:left="1440" w:right="1440"/>
      </w:pPr>
    </w:p>
    <w:p w:rsidR="008C1500" w:rsidRPr="008C1500" w:rsidRDefault="008C1500" w:rsidP="001E307F">
      <w:pPr>
        <w:ind w:firstLine="1440"/>
      </w:pPr>
    </w:p>
    <w:p w:rsidR="00306CD3" w:rsidRDefault="00293E72" w:rsidP="001E307F">
      <w:pPr>
        <w:tabs>
          <w:tab w:val="left" w:pos="-1440"/>
          <w:tab w:val="left" w:pos="-720"/>
        </w:tabs>
        <w:suppressAutoHyphens/>
        <w:spacing w:line="360" w:lineRule="auto"/>
        <w:ind w:firstLine="1440"/>
        <w:rPr>
          <w:spacing w:val="-3"/>
        </w:rPr>
      </w:pPr>
      <w:r>
        <w:t>Our</w:t>
      </w:r>
      <w:r w:rsidR="00F15B18">
        <w:t xml:space="preserve"> intent </w:t>
      </w:r>
      <w:r>
        <w:t xml:space="preserve">behind </w:t>
      </w:r>
      <w:r w:rsidR="00F15B18">
        <w:t xml:space="preserve">this </w:t>
      </w:r>
      <w:r w:rsidR="008C1500" w:rsidRPr="008C1500">
        <w:t xml:space="preserve">transportation </w:t>
      </w:r>
      <w:r w:rsidR="009022A2">
        <w:t>P</w:t>
      </w:r>
      <w:r w:rsidR="008C1500" w:rsidRPr="008C1500">
        <w:t xml:space="preserve">olicy </w:t>
      </w:r>
      <w:r w:rsidR="009022A2">
        <w:t>S</w:t>
      </w:r>
      <w:r w:rsidR="008C1500" w:rsidRPr="008C1500">
        <w:t>tatement</w:t>
      </w:r>
      <w:r>
        <w:t>,</w:t>
      </w:r>
      <w:r w:rsidRPr="00293E72">
        <w:t xml:space="preserve"> promulgated in the early 1980s, </w:t>
      </w:r>
      <w:r w:rsidR="00F15B18">
        <w:t xml:space="preserve">was </w:t>
      </w:r>
      <w:r w:rsidR="008C1500" w:rsidRPr="008C1500">
        <w:t xml:space="preserve">“to eliminate monopolistic protection of existing motor carriers and to promote healthy competition among motor carriers for the purpose of assuring the availability of transportation service commensurate with the demonstrated public demand/need.”  </w:t>
      </w:r>
      <w:r w:rsidR="008C1500" w:rsidRPr="008C1500">
        <w:rPr>
          <w:i/>
          <w:spacing w:val="-3"/>
        </w:rPr>
        <w:t>In Re: Blue Bird Coach Lines, Inc.,</w:t>
      </w:r>
      <w:r w:rsidR="008C1500" w:rsidRPr="008C1500">
        <w:rPr>
          <w:spacing w:val="-3"/>
        </w:rPr>
        <w:t xml:space="preserve"> 72 Pa. P.U.C. 262, 274 (1990) (</w:t>
      </w:r>
      <w:r w:rsidR="008C1500" w:rsidRPr="008C1500">
        <w:rPr>
          <w:i/>
          <w:spacing w:val="-3"/>
        </w:rPr>
        <w:t>Blue Bird</w:t>
      </w:r>
      <w:r w:rsidR="008C1500" w:rsidRPr="008C1500">
        <w:rPr>
          <w:spacing w:val="-3"/>
        </w:rPr>
        <w:t>).</w:t>
      </w:r>
      <w:r w:rsidR="00F15B18">
        <w:rPr>
          <w:spacing w:val="-3"/>
        </w:rPr>
        <w:t xml:space="preserve">  </w:t>
      </w:r>
      <w:r w:rsidR="006C4B6F">
        <w:rPr>
          <w:spacing w:val="-3"/>
        </w:rPr>
        <w:t xml:space="preserve">We note, however, that in the </w:t>
      </w:r>
      <w:r w:rsidR="00F15B18">
        <w:rPr>
          <w:spacing w:val="-3"/>
        </w:rPr>
        <w:t xml:space="preserve">time </w:t>
      </w:r>
      <w:r w:rsidR="006C4B6F">
        <w:rPr>
          <w:spacing w:val="-3"/>
        </w:rPr>
        <w:t xml:space="preserve">period </w:t>
      </w:r>
      <w:r w:rsidR="00F15B18">
        <w:rPr>
          <w:spacing w:val="-3"/>
        </w:rPr>
        <w:t xml:space="preserve">during which this Application has been pending, </w:t>
      </w:r>
      <w:r w:rsidR="006C4B6F">
        <w:rPr>
          <w:spacing w:val="-3"/>
        </w:rPr>
        <w:t>we have undertaken review and revision of our Regulations that address</w:t>
      </w:r>
      <w:r w:rsidR="001F18F0">
        <w:rPr>
          <w:spacing w:val="-3"/>
        </w:rPr>
        <w:t xml:space="preserve"> certain transportation applications, including </w:t>
      </w:r>
      <w:r w:rsidR="006C4B6F">
        <w:rPr>
          <w:spacing w:val="-3"/>
        </w:rPr>
        <w:t xml:space="preserve">applications for </w:t>
      </w:r>
      <w:r w:rsidR="0093022F">
        <w:rPr>
          <w:spacing w:val="-3"/>
        </w:rPr>
        <w:t xml:space="preserve">authority to transport </w:t>
      </w:r>
      <w:r w:rsidR="006C4B6F">
        <w:rPr>
          <w:spacing w:val="-3"/>
        </w:rPr>
        <w:t>household good</w:t>
      </w:r>
      <w:r w:rsidR="001F18F0">
        <w:rPr>
          <w:spacing w:val="-3"/>
        </w:rPr>
        <w:t>s</w:t>
      </w:r>
      <w:r w:rsidR="006C4B6F">
        <w:rPr>
          <w:spacing w:val="-3"/>
        </w:rPr>
        <w:t xml:space="preserve"> in use.</w:t>
      </w:r>
      <w:r w:rsidR="009F3254">
        <w:rPr>
          <w:spacing w:val="-3"/>
        </w:rPr>
        <w:t xml:space="preserve">  </w:t>
      </w:r>
      <w:r w:rsidR="00F15B18">
        <w:rPr>
          <w:spacing w:val="-3"/>
        </w:rPr>
        <w:t xml:space="preserve">In September 2013 we initiated a proposed rulemaking to amend the aforementioned Regulation and Policy Statement as </w:t>
      </w:r>
      <w:r w:rsidR="0093022F">
        <w:rPr>
          <w:spacing w:val="-3"/>
        </w:rPr>
        <w:t>they</w:t>
      </w:r>
      <w:r w:rsidR="00F15B18">
        <w:rPr>
          <w:spacing w:val="-3"/>
        </w:rPr>
        <w:t xml:space="preserve"> affected rights governing household goods carriers and property carriers.</w:t>
      </w:r>
    </w:p>
    <w:p w:rsidR="00306CD3" w:rsidRDefault="00306CD3" w:rsidP="001E307F">
      <w:pPr>
        <w:tabs>
          <w:tab w:val="left" w:pos="-1440"/>
          <w:tab w:val="left" w:pos="-720"/>
        </w:tabs>
        <w:suppressAutoHyphens/>
        <w:spacing w:line="360" w:lineRule="auto"/>
        <w:ind w:firstLine="1440"/>
        <w:rPr>
          <w:spacing w:val="-3"/>
        </w:rPr>
      </w:pPr>
    </w:p>
    <w:p w:rsidR="008C1500" w:rsidRPr="008C1500" w:rsidRDefault="009F3254" w:rsidP="001E307F">
      <w:pPr>
        <w:tabs>
          <w:tab w:val="left" w:pos="-1440"/>
          <w:tab w:val="left" w:pos="-720"/>
        </w:tabs>
        <w:suppressAutoHyphens/>
        <w:spacing w:line="360" w:lineRule="auto"/>
        <w:ind w:firstLine="1440"/>
      </w:pPr>
      <w:r>
        <w:rPr>
          <w:spacing w:val="-3"/>
        </w:rPr>
        <w:t xml:space="preserve">As discussed in more detail, </w:t>
      </w:r>
      <w:r w:rsidRPr="009F3254">
        <w:rPr>
          <w:i/>
          <w:spacing w:val="-3"/>
        </w:rPr>
        <w:t>infra</w:t>
      </w:r>
      <w:r>
        <w:rPr>
          <w:spacing w:val="-3"/>
        </w:rPr>
        <w:t xml:space="preserve">, </w:t>
      </w:r>
      <w:r w:rsidR="001F18F0" w:rsidRPr="001F18F0">
        <w:rPr>
          <w:spacing w:val="-3"/>
        </w:rPr>
        <w:t xml:space="preserve">with respect to an application seeking the right to transport household goods </w:t>
      </w:r>
      <w:r>
        <w:rPr>
          <w:spacing w:val="-3"/>
        </w:rPr>
        <w:t>o</w:t>
      </w:r>
      <w:r w:rsidR="00F15B18" w:rsidRPr="009F3254">
        <w:rPr>
          <w:spacing w:val="-3"/>
        </w:rPr>
        <w:t>ur</w:t>
      </w:r>
      <w:r w:rsidR="00F15B18">
        <w:rPr>
          <w:spacing w:val="-3"/>
        </w:rPr>
        <w:t xml:space="preserve"> Order in </w:t>
      </w:r>
      <w:r w:rsidR="00F15B18">
        <w:rPr>
          <w:i/>
          <w:spacing w:val="-3"/>
        </w:rPr>
        <w:t xml:space="preserve">Final Rulemaking Amending 52 Pa. Code Chapters 3, 5, 23, 31, 32, and 41; Household Goods in Use Carriers and Property </w:t>
      </w:r>
      <w:r w:rsidR="00F15B18" w:rsidRPr="00075592">
        <w:rPr>
          <w:i/>
          <w:spacing w:val="-3"/>
        </w:rPr>
        <w:t>Carriers</w:t>
      </w:r>
      <w:r w:rsidR="00F15B18">
        <w:rPr>
          <w:spacing w:val="-3"/>
        </w:rPr>
        <w:t xml:space="preserve">, </w:t>
      </w:r>
      <w:r w:rsidR="00075592" w:rsidRPr="00075592">
        <w:rPr>
          <w:spacing w:val="-3"/>
        </w:rPr>
        <w:t>Docket No. L-2013-2376902 (Order entered June 19, 2014)</w:t>
      </w:r>
      <w:r w:rsidR="00075592">
        <w:rPr>
          <w:spacing w:val="-3"/>
        </w:rPr>
        <w:t>,</w:t>
      </w:r>
      <w:r w:rsidR="00075592" w:rsidRPr="00075592">
        <w:rPr>
          <w:spacing w:val="-3"/>
        </w:rPr>
        <w:t xml:space="preserve"> 2014 WL 2876694</w:t>
      </w:r>
      <w:r w:rsidR="00075592">
        <w:rPr>
          <w:spacing w:val="-3"/>
        </w:rPr>
        <w:t xml:space="preserve"> (</w:t>
      </w:r>
      <w:proofErr w:type="spellStart"/>
      <w:r w:rsidR="00075592">
        <w:rPr>
          <w:spacing w:val="-3"/>
        </w:rPr>
        <w:t>Pa.P.U.C</w:t>
      </w:r>
      <w:proofErr w:type="spellEnd"/>
      <w:r w:rsidR="00075592">
        <w:rPr>
          <w:spacing w:val="-3"/>
        </w:rPr>
        <w:t>.</w:t>
      </w:r>
      <w:r w:rsidR="00F15B18">
        <w:rPr>
          <w:spacing w:val="-3"/>
        </w:rPr>
        <w:t>) (</w:t>
      </w:r>
      <w:r w:rsidR="00F15B18">
        <w:rPr>
          <w:i/>
          <w:spacing w:val="-3"/>
        </w:rPr>
        <w:t>Final Rulemaking</w:t>
      </w:r>
      <w:r w:rsidR="00F15B18">
        <w:rPr>
          <w:spacing w:val="-3"/>
        </w:rPr>
        <w:t xml:space="preserve">) </w:t>
      </w:r>
      <w:r w:rsidR="001F18F0" w:rsidRPr="001F18F0">
        <w:rPr>
          <w:spacing w:val="-3"/>
        </w:rPr>
        <w:t xml:space="preserve">removed </w:t>
      </w:r>
      <w:r>
        <w:rPr>
          <w:spacing w:val="-3"/>
        </w:rPr>
        <w:t>the requirement to establish that approval of the application will serve a useful public purpose responsive to public demand or need</w:t>
      </w:r>
      <w:r w:rsidR="00306CD3">
        <w:rPr>
          <w:spacing w:val="-3"/>
        </w:rPr>
        <w:t xml:space="preserve"> but retained requirements addressing fitness</w:t>
      </w:r>
      <w:r>
        <w:rPr>
          <w:spacing w:val="-3"/>
        </w:rPr>
        <w:t xml:space="preserve">.  </w:t>
      </w:r>
      <w:r w:rsidR="008C1500" w:rsidRPr="008C1500">
        <w:rPr>
          <w:spacing w:val="-3"/>
        </w:rPr>
        <w:t xml:space="preserve">Thus, in order to approve </w:t>
      </w:r>
      <w:r w:rsidR="00306CD3">
        <w:rPr>
          <w:spacing w:val="-3"/>
        </w:rPr>
        <w:t>an a</w:t>
      </w:r>
      <w:r w:rsidR="008C1500" w:rsidRPr="008C1500">
        <w:rPr>
          <w:spacing w:val="-3"/>
        </w:rPr>
        <w:t>pplication</w:t>
      </w:r>
      <w:r w:rsidR="00306CD3">
        <w:rPr>
          <w:spacing w:val="-3"/>
        </w:rPr>
        <w:t xml:space="preserve"> for the right to transport as a common carrier by motor vehicle household good</w:t>
      </w:r>
      <w:r w:rsidR="001F18F0">
        <w:rPr>
          <w:spacing w:val="-3"/>
        </w:rPr>
        <w:t>s</w:t>
      </w:r>
      <w:r w:rsidR="00306CD3">
        <w:rPr>
          <w:spacing w:val="-3"/>
        </w:rPr>
        <w:t xml:space="preserve"> in use, we must find that an a</w:t>
      </w:r>
      <w:r w:rsidR="008C1500" w:rsidRPr="008C1500">
        <w:rPr>
          <w:spacing w:val="-3"/>
        </w:rPr>
        <w:t xml:space="preserve">pplicant has sustained its burden of proving, by a preponderance of the evidence, that it </w:t>
      </w:r>
      <w:r w:rsidR="008C1500" w:rsidRPr="008C1500">
        <w:rPr>
          <w:spacing w:val="-3"/>
        </w:rPr>
        <w:lastRenderedPageBreak/>
        <w:t>possesses the requisite technical and financial fitness and propensity to operate safely and legally.</w:t>
      </w:r>
    </w:p>
    <w:p w:rsidR="008C1500" w:rsidRPr="008C1500" w:rsidRDefault="008C1500" w:rsidP="001E307F">
      <w:pPr>
        <w:suppressAutoHyphens/>
        <w:spacing w:line="360" w:lineRule="auto"/>
      </w:pPr>
    </w:p>
    <w:p w:rsidR="008C1500" w:rsidRPr="008C1500" w:rsidRDefault="008C1500" w:rsidP="001E307F">
      <w:pPr>
        <w:suppressAutoHyphens/>
        <w:spacing w:line="360" w:lineRule="auto"/>
        <w:ind w:firstLine="0"/>
        <w:rPr>
          <w:b/>
        </w:rPr>
      </w:pPr>
      <w:r w:rsidRPr="008C1500">
        <w:rPr>
          <w:b/>
        </w:rPr>
        <w:t>Second Petition and Disposition</w:t>
      </w:r>
    </w:p>
    <w:p w:rsidR="008C1500" w:rsidRPr="008C1500" w:rsidRDefault="008C1500" w:rsidP="001E307F">
      <w:pPr>
        <w:suppressAutoHyphens/>
        <w:spacing w:line="360" w:lineRule="auto"/>
      </w:pPr>
    </w:p>
    <w:p w:rsidR="00D74CBD" w:rsidRPr="00090C3B" w:rsidRDefault="008C1500" w:rsidP="001E307F">
      <w:pPr>
        <w:spacing w:line="360" w:lineRule="auto"/>
        <w:ind w:firstLine="1440"/>
      </w:pPr>
      <w:r w:rsidRPr="008C1500">
        <w:t xml:space="preserve">In its Second Petition the Applicant </w:t>
      </w:r>
      <w:r w:rsidR="00306CD3">
        <w:t>avers</w:t>
      </w:r>
      <w:r w:rsidR="003223A3">
        <w:t xml:space="preserve">, in response to the </w:t>
      </w:r>
      <w:r w:rsidR="003223A3">
        <w:rPr>
          <w:i/>
        </w:rPr>
        <w:t>May 2015 Secretarial Letter</w:t>
      </w:r>
      <w:r w:rsidR="003223A3">
        <w:t xml:space="preserve">, </w:t>
      </w:r>
      <w:r w:rsidR="00306CD3">
        <w:t xml:space="preserve">that </w:t>
      </w:r>
      <w:r w:rsidR="004D62CD">
        <w:t>the Commission Staff</w:t>
      </w:r>
      <w:r w:rsidR="00306CD3">
        <w:t xml:space="preserve"> wrongfully determined it had engaged in the unauthorized transport of household goods in use</w:t>
      </w:r>
      <w:r w:rsidR="0093022F">
        <w:t xml:space="preserve"> based upon </w:t>
      </w:r>
      <w:r w:rsidR="004D62CD">
        <w:t>the Commission Staff</w:t>
      </w:r>
      <w:r w:rsidR="0093022F">
        <w:t>’</w:t>
      </w:r>
      <w:r w:rsidR="004D62CD">
        <w:t>s</w:t>
      </w:r>
      <w:r w:rsidR="0093022F">
        <w:t xml:space="preserve"> review of the untitled log</w:t>
      </w:r>
      <w:r w:rsidR="00090C3B">
        <w:t>.  The Applicant explains that the transactions recorded in the untitled log contained in the June</w:t>
      </w:r>
      <w:r w:rsidR="0093022F">
        <w:t> </w:t>
      </w:r>
      <w:r w:rsidR="00090C3B">
        <w:t xml:space="preserve">12, 2014 submission involved junk removal services.  </w:t>
      </w:r>
      <w:proofErr w:type="gramStart"/>
      <w:r w:rsidR="00090C3B">
        <w:t>Second Petition at ¶¶ 16, 17.</w:t>
      </w:r>
      <w:proofErr w:type="gramEnd"/>
      <w:r w:rsidR="00090C3B">
        <w:t xml:space="preserve">  </w:t>
      </w:r>
      <w:r w:rsidR="0093022F">
        <w:t xml:space="preserve">As to the second </w:t>
      </w:r>
      <w:r w:rsidR="00DE60C5">
        <w:t>reason</w:t>
      </w:r>
      <w:r w:rsidR="0093022F">
        <w:t xml:space="preserve"> for denial, t</w:t>
      </w:r>
      <w:r w:rsidR="00090C3B">
        <w:t xml:space="preserve">he Applicant further avers that </w:t>
      </w:r>
      <w:r w:rsidR="003223A3">
        <w:t>upon investigation, none of the persons who signed statements supporting the Application acknowledged receiving a telephone call from the Commission’s Philadelphia office</w:t>
      </w:r>
      <w:r w:rsidR="00306CD3">
        <w:t xml:space="preserve">.  </w:t>
      </w:r>
      <w:proofErr w:type="gramStart"/>
      <w:r w:rsidR="00090C3B">
        <w:rPr>
          <w:i/>
        </w:rPr>
        <w:t>Id.</w:t>
      </w:r>
      <w:r w:rsidR="00090C3B">
        <w:t xml:space="preserve"> at </w:t>
      </w:r>
      <w:r w:rsidR="00090C3B" w:rsidRPr="00090C3B">
        <w:t>¶</w:t>
      </w:r>
      <w:r w:rsidR="00090C3B">
        <w:t xml:space="preserve"> 18.</w:t>
      </w:r>
      <w:proofErr w:type="gramEnd"/>
      <w:r w:rsidR="00090C3B">
        <w:t xml:space="preserve">  On these bases, and in light of </w:t>
      </w:r>
      <w:r w:rsidR="00DE60C5">
        <w:t>our Order in</w:t>
      </w:r>
      <w:r w:rsidR="00090C3B">
        <w:t xml:space="preserve"> </w:t>
      </w:r>
      <w:r w:rsidR="00090C3B">
        <w:rPr>
          <w:i/>
        </w:rPr>
        <w:t>Final Rulemaking</w:t>
      </w:r>
      <w:r w:rsidR="00090C3B">
        <w:t>, which obviated the requirement for supporting verifications, the Applicant requests that we reconsider the wrongfully reached conclusions and grant the Appl</w:t>
      </w:r>
      <w:r w:rsidR="001F18F0">
        <w:t>icant’s request, as now amended to include</w:t>
      </w:r>
      <w:r w:rsidR="00090C3B">
        <w:t xml:space="preserve"> statewide authority.</w:t>
      </w:r>
    </w:p>
    <w:p w:rsidR="008C1500" w:rsidRDefault="008C1500" w:rsidP="001E307F">
      <w:pPr>
        <w:spacing w:line="360" w:lineRule="auto"/>
        <w:ind w:firstLine="1440"/>
      </w:pPr>
    </w:p>
    <w:p w:rsidR="008C1500" w:rsidRPr="000047A1" w:rsidRDefault="00090C3B" w:rsidP="001E307F">
      <w:pPr>
        <w:spacing w:line="360" w:lineRule="auto"/>
        <w:ind w:firstLine="1440"/>
      </w:pPr>
      <w:r>
        <w:t>In light of the change</w:t>
      </w:r>
      <w:r w:rsidR="00AC0F55">
        <w:t>s</w:t>
      </w:r>
      <w:r>
        <w:t xml:space="preserve"> </w:t>
      </w:r>
      <w:r w:rsidR="0093022F">
        <w:t>to</w:t>
      </w:r>
      <w:r>
        <w:t xml:space="preserve"> </w:t>
      </w:r>
      <w:r w:rsidR="00AC0F55">
        <w:t xml:space="preserve">our regulatory requirements </w:t>
      </w:r>
      <w:r>
        <w:t xml:space="preserve">under consideration at the time this Application </w:t>
      </w:r>
      <w:r w:rsidR="001F18F0">
        <w:t>has been</w:t>
      </w:r>
      <w:r>
        <w:t xml:space="preserve"> pending before us, which </w:t>
      </w:r>
      <w:r w:rsidR="00AC0F55">
        <w:t xml:space="preserve">changes </w:t>
      </w:r>
      <w:r>
        <w:t>became effective May</w:t>
      </w:r>
      <w:r w:rsidR="00AC0F55">
        <w:t> </w:t>
      </w:r>
      <w:r>
        <w:t>23, 2015,</w:t>
      </w:r>
      <w:r>
        <w:rPr>
          <w:rStyle w:val="FootnoteReference"/>
        </w:rPr>
        <w:footnoteReference w:id="5"/>
      </w:r>
      <w:r w:rsidR="00E51CE5">
        <w:t xml:space="preserve"> we</w:t>
      </w:r>
      <w:r w:rsidR="000047A1">
        <w:t xml:space="preserve"> grant </w:t>
      </w:r>
      <w:r w:rsidR="001F18F0">
        <w:t xml:space="preserve">the Applicant’s requested </w:t>
      </w:r>
      <w:r w:rsidR="000047A1">
        <w:t xml:space="preserve">reconsideration, rescind the </w:t>
      </w:r>
      <w:r w:rsidR="00645757">
        <w:rPr>
          <w:i/>
        </w:rPr>
        <w:t>May 2015 Secretarial L</w:t>
      </w:r>
      <w:r w:rsidR="000047A1">
        <w:rPr>
          <w:i/>
        </w:rPr>
        <w:t>etter</w:t>
      </w:r>
      <w:r w:rsidR="000047A1">
        <w:t xml:space="preserve">, and consider the merits of the Application. </w:t>
      </w:r>
    </w:p>
    <w:p w:rsidR="00E51CE5" w:rsidRDefault="00E51CE5" w:rsidP="001E307F">
      <w:pPr>
        <w:spacing w:line="360" w:lineRule="auto"/>
        <w:ind w:firstLine="1440"/>
      </w:pPr>
    </w:p>
    <w:p w:rsidR="008C1500" w:rsidRPr="008C1500" w:rsidRDefault="008C1500" w:rsidP="001E307F">
      <w:pPr>
        <w:tabs>
          <w:tab w:val="left" w:pos="-720"/>
        </w:tabs>
        <w:suppressAutoHyphens/>
        <w:spacing w:line="360" w:lineRule="auto"/>
        <w:ind w:firstLine="0"/>
        <w:rPr>
          <w:b/>
        </w:rPr>
      </w:pPr>
      <w:r w:rsidRPr="008C1500">
        <w:rPr>
          <w:b/>
        </w:rPr>
        <w:t>Application and Disposition</w:t>
      </w:r>
    </w:p>
    <w:p w:rsidR="008C1500" w:rsidRPr="008C1500" w:rsidRDefault="008C1500" w:rsidP="001E307F">
      <w:pPr>
        <w:tabs>
          <w:tab w:val="left" w:pos="-720"/>
        </w:tabs>
        <w:suppressAutoHyphens/>
        <w:spacing w:line="360" w:lineRule="auto"/>
        <w:rPr>
          <w:i/>
        </w:rPr>
      </w:pPr>
    </w:p>
    <w:p w:rsidR="00836810" w:rsidRDefault="008C1500" w:rsidP="001E307F">
      <w:pPr>
        <w:tabs>
          <w:tab w:val="left" w:pos="-720"/>
        </w:tabs>
        <w:suppressAutoHyphens/>
        <w:spacing w:line="360" w:lineRule="auto"/>
      </w:pPr>
      <w:r w:rsidRPr="008C1500">
        <w:tab/>
        <w:t xml:space="preserve">The Applicant originally requested authority to transport </w:t>
      </w:r>
      <w:r w:rsidR="00975A36">
        <w:t>household good</w:t>
      </w:r>
      <w:r w:rsidR="00836810">
        <w:t>s</w:t>
      </w:r>
      <w:r w:rsidR="00975A36">
        <w:t xml:space="preserve"> in use from points in the counties of Chester, Delaware, Montgomery, Philadelphia, and </w:t>
      </w:r>
      <w:r w:rsidR="00975A36">
        <w:lastRenderedPageBreak/>
        <w:t xml:space="preserve">Bucks to points in Pennsylvania.  </w:t>
      </w:r>
      <w:r w:rsidR="00C95132">
        <w:t>After the Applicant resolved</w:t>
      </w:r>
      <w:r w:rsidR="00975A36">
        <w:t xml:space="preserve"> the protests </w:t>
      </w:r>
      <w:r w:rsidR="00836810">
        <w:t>challenging need</w:t>
      </w:r>
      <w:r w:rsidR="0093022F">
        <w:t xml:space="preserve"> and</w:t>
      </w:r>
      <w:r w:rsidR="00836810">
        <w:t xml:space="preserve"> </w:t>
      </w:r>
      <w:r w:rsidR="00C95132">
        <w:t>a</w:t>
      </w:r>
      <w:r w:rsidR="00975A36">
        <w:t>gree</w:t>
      </w:r>
      <w:r w:rsidR="00C95132">
        <w:t xml:space="preserve">d </w:t>
      </w:r>
      <w:r w:rsidR="00975A36">
        <w:t>to and fil</w:t>
      </w:r>
      <w:r w:rsidR="00C95132">
        <w:t>ed</w:t>
      </w:r>
      <w:r w:rsidR="00975A36">
        <w:t xml:space="preserve"> a restrictive covenant</w:t>
      </w:r>
      <w:r w:rsidR="00C95132">
        <w:t>,</w:t>
      </w:r>
      <w:r w:rsidR="00836810">
        <w:t xml:space="preserve"> </w:t>
      </w:r>
      <w:r w:rsidR="00C95132">
        <w:t xml:space="preserve">the Application was </w:t>
      </w:r>
      <w:r w:rsidR="00836810">
        <w:t>reassign</w:t>
      </w:r>
      <w:r w:rsidR="00C95132">
        <w:t>ed</w:t>
      </w:r>
      <w:r w:rsidR="00836810">
        <w:t xml:space="preserve"> to </w:t>
      </w:r>
      <w:r w:rsidR="004D62CD">
        <w:t>the Commission Staff</w:t>
      </w:r>
      <w:r w:rsidR="00075592">
        <w:t>.</w:t>
      </w:r>
      <w:r w:rsidR="00975A36">
        <w:t xml:space="preserve"> </w:t>
      </w:r>
      <w:r w:rsidR="00075592">
        <w:t xml:space="preserve"> </w:t>
      </w:r>
      <w:proofErr w:type="gramStart"/>
      <w:r w:rsidR="00DE60C5" w:rsidRPr="00DE60C5">
        <w:rPr>
          <w:i/>
        </w:rPr>
        <w:t>November 2014 Order</w:t>
      </w:r>
      <w:r w:rsidR="00DE60C5" w:rsidRPr="00DE60C5">
        <w:t xml:space="preserve"> at 2.</w:t>
      </w:r>
      <w:proofErr w:type="gramEnd"/>
      <w:r w:rsidR="00DE60C5">
        <w:t xml:space="preserve">  </w:t>
      </w:r>
      <w:r w:rsidR="00075592">
        <w:t>F</w:t>
      </w:r>
      <w:r w:rsidR="00836810">
        <w:t xml:space="preserve">urther review of the Application on its merits was delayed pending resolution of </w:t>
      </w:r>
      <w:r w:rsidR="004D62CD">
        <w:t>the Commission Staff</w:t>
      </w:r>
      <w:r w:rsidR="00836810">
        <w:t>’</w:t>
      </w:r>
      <w:r w:rsidR="004D62CD">
        <w:t>s</w:t>
      </w:r>
      <w:r w:rsidR="00836810">
        <w:t xml:space="preserve"> </w:t>
      </w:r>
      <w:r w:rsidR="001F18F0">
        <w:t xml:space="preserve">May 20, 2014 </w:t>
      </w:r>
      <w:r w:rsidR="00075592">
        <w:t xml:space="preserve">letter </w:t>
      </w:r>
      <w:r w:rsidR="00836810">
        <w:t>request</w:t>
      </w:r>
      <w:r w:rsidR="00075592">
        <w:t>ing</w:t>
      </w:r>
      <w:r w:rsidR="00836810">
        <w:t xml:space="preserve"> additional information, including </w:t>
      </w:r>
      <w:r w:rsidR="0093022F">
        <w:t xml:space="preserve">the provision of </w:t>
      </w:r>
      <w:r w:rsidR="00836810">
        <w:t xml:space="preserve">additional statements in support.  </w:t>
      </w:r>
      <w:r w:rsidR="00C95132">
        <w:t xml:space="preserve">This </w:t>
      </w:r>
      <w:r w:rsidR="0093022F">
        <w:t xml:space="preserve">outstanding request for additional information </w:t>
      </w:r>
      <w:r w:rsidR="00C95132">
        <w:t xml:space="preserve">ultimately </w:t>
      </w:r>
      <w:r w:rsidR="0093022F">
        <w:t>formed the basis for</w:t>
      </w:r>
      <w:r w:rsidR="00C95132">
        <w:t xml:space="preserve"> the first denial of the Application</w:t>
      </w:r>
      <w:r w:rsidR="0093022F">
        <w:t xml:space="preserve"> because, as addressed in our </w:t>
      </w:r>
      <w:r w:rsidR="0093022F">
        <w:rPr>
          <w:i/>
        </w:rPr>
        <w:t>November 2014 Order</w:t>
      </w:r>
      <w:r w:rsidR="0093022F">
        <w:t xml:space="preserve">, there was </w:t>
      </w:r>
      <w:proofErr w:type="gramStart"/>
      <w:r w:rsidR="0093022F">
        <w:t>a disconnect</w:t>
      </w:r>
      <w:proofErr w:type="gramEnd"/>
      <w:r w:rsidR="0093022F">
        <w:t xml:space="preserve"> between the Applicant’s provision</w:t>
      </w:r>
      <w:r w:rsidR="00FE46B1">
        <w:t>,</w:t>
      </w:r>
      <w:r w:rsidR="0093022F">
        <w:t xml:space="preserve"> </w:t>
      </w:r>
      <w:r w:rsidR="00706EE6">
        <w:t>and our receipt</w:t>
      </w:r>
      <w:r w:rsidR="00FE46B1">
        <w:t>,</w:t>
      </w:r>
      <w:r w:rsidR="00706EE6">
        <w:t xml:space="preserve"> </w:t>
      </w:r>
      <w:r w:rsidR="0093022F">
        <w:t xml:space="preserve">of the information.  </w:t>
      </w:r>
      <w:proofErr w:type="gramStart"/>
      <w:r w:rsidR="00DE60C5">
        <w:rPr>
          <w:i/>
        </w:rPr>
        <w:t>Id.</w:t>
      </w:r>
      <w:r w:rsidR="00706EE6">
        <w:rPr>
          <w:i/>
        </w:rPr>
        <w:t xml:space="preserve"> </w:t>
      </w:r>
      <w:r w:rsidR="00706EE6">
        <w:t>at</w:t>
      </w:r>
      <w:r w:rsidR="00FE46B1">
        <w:t> </w:t>
      </w:r>
      <w:r w:rsidR="00C23EA3">
        <w:t>6.</w:t>
      </w:r>
      <w:proofErr w:type="gramEnd"/>
      <w:r w:rsidR="00C23EA3">
        <w:t xml:space="preserve">  </w:t>
      </w:r>
      <w:r w:rsidR="00836810">
        <w:t xml:space="preserve">Upon our grant of the First Petition and referral of the Application </w:t>
      </w:r>
      <w:r w:rsidR="00DE60C5">
        <w:t>back</w:t>
      </w:r>
      <w:r w:rsidR="00C95132">
        <w:t xml:space="preserve"> </w:t>
      </w:r>
      <w:r w:rsidR="00836810">
        <w:t xml:space="preserve">to </w:t>
      </w:r>
      <w:r w:rsidR="004D62CD">
        <w:t>the Commission Staff</w:t>
      </w:r>
      <w:r w:rsidR="00836810">
        <w:t xml:space="preserve"> for further action</w:t>
      </w:r>
      <w:r w:rsidR="00C95132">
        <w:t xml:space="preserve"> on the merits</w:t>
      </w:r>
      <w:r w:rsidR="00836810">
        <w:t xml:space="preserve">, the </w:t>
      </w:r>
      <w:r w:rsidR="00836810">
        <w:rPr>
          <w:i/>
        </w:rPr>
        <w:t xml:space="preserve">May 2015 Secretarial Letter </w:t>
      </w:r>
      <w:r w:rsidR="00836810">
        <w:t>was issued</w:t>
      </w:r>
      <w:r w:rsidR="00C95132">
        <w:t xml:space="preserve">, </w:t>
      </w:r>
      <w:r w:rsidR="00836810">
        <w:t>which</w:t>
      </w:r>
      <w:r w:rsidR="00C95132">
        <w:t xml:space="preserve"> </w:t>
      </w:r>
      <w:r w:rsidR="00836810">
        <w:t>denied the Application on its merits for</w:t>
      </w:r>
      <w:r w:rsidR="00C95132">
        <w:t xml:space="preserve">, </w:t>
      </w:r>
      <w:r w:rsidR="00C95132">
        <w:rPr>
          <w:i/>
        </w:rPr>
        <w:t>inter alia</w:t>
      </w:r>
      <w:r w:rsidR="00C95132">
        <w:t xml:space="preserve">, </w:t>
      </w:r>
      <w:r w:rsidR="00836810">
        <w:t>failure to establish need for the requested service.</w:t>
      </w:r>
      <w:r w:rsidR="00C95132">
        <w:t xml:space="preserve">  As to need we find that</w:t>
      </w:r>
      <w:r w:rsidR="00D31648">
        <w:t xml:space="preserve"> issue</w:t>
      </w:r>
      <w:r w:rsidR="00C95132">
        <w:t xml:space="preserve"> is now moot and no longer </w:t>
      </w:r>
      <w:r w:rsidR="00D31648">
        <w:t xml:space="preserve">presents an impediment to </w:t>
      </w:r>
      <w:r w:rsidR="00C95132">
        <w:t>grant of the Application.</w:t>
      </w:r>
    </w:p>
    <w:p w:rsidR="00836810" w:rsidRDefault="00836810" w:rsidP="001E307F">
      <w:pPr>
        <w:tabs>
          <w:tab w:val="left" w:pos="-720"/>
        </w:tabs>
        <w:suppressAutoHyphens/>
        <w:spacing w:line="360" w:lineRule="auto"/>
      </w:pPr>
    </w:p>
    <w:p w:rsidR="00836810" w:rsidRDefault="00836810" w:rsidP="001E307F">
      <w:pPr>
        <w:tabs>
          <w:tab w:val="left" w:pos="-720"/>
        </w:tabs>
        <w:suppressAutoHyphens/>
        <w:spacing w:line="360" w:lineRule="auto"/>
      </w:pPr>
      <w:r>
        <w:tab/>
        <w:t>A</w:t>
      </w:r>
      <w:r w:rsidR="008C1500" w:rsidRPr="008C1500">
        <w:t>s indicated above</w:t>
      </w:r>
      <w:r w:rsidR="00D31648">
        <w:t>,</w:t>
      </w:r>
      <w:r w:rsidR="008C1500" w:rsidRPr="008C1500">
        <w:t xml:space="preserve"> </w:t>
      </w:r>
      <w:r>
        <w:t>in</w:t>
      </w:r>
      <w:r w:rsidR="00DA54A4">
        <w:t xml:space="preserve"> our</w:t>
      </w:r>
      <w:r>
        <w:t xml:space="preserve"> </w:t>
      </w:r>
      <w:r>
        <w:rPr>
          <w:i/>
        </w:rPr>
        <w:t xml:space="preserve">Final Rulemaking </w:t>
      </w:r>
      <w:r w:rsidR="00DA54A4">
        <w:t xml:space="preserve">Order </w:t>
      </w:r>
      <w:r w:rsidR="00D31648">
        <w:t>w</w:t>
      </w:r>
      <w:r>
        <w:t xml:space="preserve">e amended our Regulation </w:t>
      </w:r>
      <w:r w:rsidR="00D31648" w:rsidRPr="00D31648">
        <w:t xml:space="preserve">applicable </w:t>
      </w:r>
      <w:r w:rsidR="00D31648">
        <w:t>to</w:t>
      </w:r>
      <w:r>
        <w:t xml:space="preserve"> the transport of household goods such </w:t>
      </w:r>
      <w:r w:rsidR="00A33F3F">
        <w:t xml:space="preserve">that </w:t>
      </w:r>
      <w:r w:rsidR="00DA54A4">
        <w:t xml:space="preserve">an applicant no longer must demonstrate </w:t>
      </w:r>
      <w:r>
        <w:t>need.  As we stated in that Order:</w:t>
      </w:r>
    </w:p>
    <w:p w:rsidR="00836810" w:rsidRDefault="00836810" w:rsidP="001E307F">
      <w:pPr>
        <w:tabs>
          <w:tab w:val="left" w:pos="-720"/>
        </w:tabs>
        <w:suppressAutoHyphens/>
        <w:spacing w:line="360" w:lineRule="auto"/>
        <w:ind w:firstLine="0"/>
      </w:pPr>
    </w:p>
    <w:p w:rsidR="00836810" w:rsidRDefault="00DA54A4" w:rsidP="001E307F">
      <w:pPr>
        <w:tabs>
          <w:tab w:val="left" w:pos="-720"/>
        </w:tabs>
        <w:suppressAutoHyphens/>
        <w:ind w:left="1440" w:right="1440" w:firstLine="0"/>
      </w:pPr>
      <w:r>
        <w:t xml:space="preserve">In light of the increased competition in the industry, we proposed eliminating the requirement that an applicant for household goods in use authority establish that approval of the application will serve a useful public purpose, responsive to a public demand or need.  We opined that rather than determining public need by means of an administrative process, competition among carriers with regard to price, quality, and reliability as well as the experienced demand for their services by consumers who may freely choose among those competing carriers, will determine whether a given carrier’s service is needed by the public.  </w:t>
      </w:r>
    </w:p>
    <w:p w:rsidR="00DA54A4" w:rsidRDefault="00DA54A4" w:rsidP="001E307F">
      <w:pPr>
        <w:tabs>
          <w:tab w:val="left" w:pos="-720"/>
        </w:tabs>
        <w:suppressAutoHyphens/>
        <w:ind w:left="1440" w:right="1440" w:firstLine="0"/>
      </w:pPr>
    </w:p>
    <w:p w:rsidR="00DA54A4" w:rsidRDefault="00DA54A4" w:rsidP="001E307F">
      <w:pPr>
        <w:tabs>
          <w:tab w:val="left" w:pos="-720"/>
        </w:tabs>
        <w:suppressAutoHyphens/>
        <w:ind w:left="1440" w:right="1440" w:firstLine="0"/>
      </w:pPr>
      <w:r>
        <w:tab/>
      </w:r>
      <w:r>
        <w:tab/>
        <w:t>*</w:t>
      </w:r>
      <w:r>
        <w:tab/>
      </w:r>
      <w:r>
        <w:tab/>
        <w:t>*</w:t>
      </w:r>
      <w:r>
        <w:tab/>
      </w:r>
      <w:r>
        <w:tab/>
        <w:t>*</w:t>
      </w:r>
    </w:p>
    <w:p w:rsidR="00DA54A4" w:rsidRDefault="00DA54A4" w:rsidP="001E307F">
      <w:pPr>
        <w:tabs>
          <w:tab w:val="left" w:pos="-720"/>
        </w:tabs>
        <w:suppressAutoHyphens/>
        <w:ind w:left="1440" w:right="1440" w:firstLine="0"/>
      </w:pPr>
    </w:p>
    <w:p w:rsidR="00DA54A4" w:rsidRDefault="00DA54A4" w:rsidP="001E307F">
      <w:pPr>
        <w:tabs>
          <w:tab w:val="left" w:pos="-720"/>
        </w:tabs>
        <w:suppressAutoHyphens/>
        <w:ind w:left="1440" w:right="1440" w:firstLine="0"/>
      </w:pPr>
      <w:r>
        <w:t xml:space="preserve">We further note that our proposal to eliminate geographic operating restrictions dove-tails with the elimination of need.  </w:t>
      </w:r>
      <w:r>
        <w:lastRenderedPageBreak/>
        <w:t>Geographic operating restrictions make no sense in a competitive environment, where carriers can readily augment their operating authority.  While we recognize this territorial expansion will create increased competition, this is consistent with the purpose of eliminating entry barriers.</w:t>
      </w:r>
    </w:p>
    <w:p w:rsidR="00836810" w:rsidRDefault="00836810" w:rsidP="001E307F">
      <w:pPr>
        <w:tabs>
          <w:tab w:val="left" w:pos="-720"/>
        </w:tabs>
        <w:suppressAutoHyphens/>
        <w:spacing w:line="360" w:lineRule="auto"/>
        <w:ind w:firstLine="0"/>
      </w:pPr>
    </w:p>
    <w:p w:rsidR="00A33F3F" w:rsidRDefault="00836810" w:rsidP="001E307F">
      <w:pPr>
        <w:tabs>
          <w:tab w:val="left" w:pos="-720"/>
        </w:tabs>
        <w:suppressAutoHyphens/>
        <w:spacing w:line="360" w:lineRule="auto"/>
        <w:ind w:firstLine="0"/>
      </w:pPr>
      <w:proofErr w:type="gramStart"/>
      <w:r>
        <w:rPr>
          <w:i/>
        </w:rPr>
        <w:t>Final Rulemaking</w:t>
      </w:r>
      <w:r>
        <w:t xml:space="preserve">, </w:t>
      </w:r>
      <w:r w:rsidR="00DA54A4">
        <w:t>2014 WL 2876694 at *2, *6.</w:t>
      </w:r>
      <w:proofErr w:type="gramEnd"/>
    </w:p>
    <w:p w:rsidR="00A33F3F" w:rsidRDefault="00A33F3F" w:rsidP="001E307F">
      <w:pPr>
        <w:tabs>
          <w:tab w:val="left" w:pos="-720"/>
        </w:tabs>
        <w:suppressAutoHyphens/>
        <w:spacing w:line="360" w:lineRule="auto"/>
        <w:ind w:firstLine="0"/>
      </w:pPr>
    </w:p>
    <w:p w:rsidR="005B776C" w:rsidRDefault="00A33F3F" w:rsidP="001E307F">
      <w:pPr>
        <w:tabs>
          <w:tab w:val="left" w:pos="-720"/>
        </w:tabs>
        <w:suppressAutoHyphens/>
        <w:spacing w:line="360" w:lineRule="auto"/>
        <w:ind w:firstLine="1440"/>
      </w:pPr>
      <w:r>
        <w:t>Thus, under our currently effective Regulation, protests to applications for household goods in use authority are limited to challenges to an applicant’s fitness</w:t>
      </w:r>
      <w:r w:rsidR="00AC0F55">
        <w:t xml:space="preserve">.  </w:t>
      </w:r>
      <w:r w:rsidR="00C23EA3" w:rsidRPr="00C23EA3">
        <w:t>52 Pa. Code § 3.381(c</w:t>
      </w:r>
      <w:proofErr w:type="gramStart"/>
      <w:r w:rsidR="00C23EA3" w:rsidRPr="00C23EA3">
        <w:t>)(</w:t>
      </w:r>
      <w:proofErr w:type="gramEnd"/>
      <w:r w:rsidR="00C23EA3" w:rsidRPr="00C23EA3">
        <w:t>1)(</w:t>
      </w:r>
      <w:proofErr w:type="spellStart"/>
      <w:r w:rsidR="00C23EA3" w:rsidRPr="00C23EA3">
        <w:t>i</w:t>
      </w:r>
      <w:proofErr w:type="spellEnd"/>
      <w:r w:rsidR="00C23EA3" w:rsidRPr="00C23EA3">
        <w:t>)(A)(VII)</w:t>
      </w:r>
      <w:r w:rsidR="00C23EA3">
        <w:t>.</w:t>
      </w:r>
      <w:r w:rsidR="00C23EA3" w:rsidRPr="00C23EA3">
        <w:t xml:space="preserve"> </w:t>
      </w:r>
      <w:r w:rsidR="00C23EA3">
        <w:t xml:space="preserve"> </w:t>
      </w:r>
      <w:r w:rsidR="00AC0F55">
        <w:t>V</w:t>
      </w:r>
      <w:r>
        <w:t>erified statements of supporting parties are no</w:t>
      </w:r>
      <w:r w:rsidR="00AC0F55">
        <w:t xml:space="preserve"> longer</w:t>
      </w:r>
      <w:r>
        <w:t xml:space="preserve"> required.  52 Pa. Code §</w:t>
      </w:r>
      <w:r w:rsidR="00AC0F55">
        <w:t> </w:t>
      </w:r>
      <w:r>
        <w:t>3.381(c</w:t>
      </w:r>
      <w:proofErr w:type="gramStart"/>
      <w:r>
        <w:t>)(</w:t>
      </w:r>
      <w:proofErr w:type="gramEnd"/>
      <w:r>
        <w:t>1)</w:t>
      </w:r>
      <w:r w:rsidRPr="00A33F3F">
        <w:t>(</w:t>
      </w:r>
      <w:r>
        <w:t>ii</w:t>
      </w:r>
      <w:r w:rsidRPr="00A33F3F">
        <w:t>i)(A)(V)</w:t>
      </w:r>
      <w:r>
        <w:t xml:space="preserve">.  </w:t>
      </w:r>
      <w:r w:rsidR="00C23EA3">
        <w:t>Also</w:t>
      </w:r>
      <w:r w:rsidR="00DF0EE3">
        <w:t xml:space="preserve">, authority granted will be statewide unless </w:t>
      </w:r>
      <w:r w:rsidR="006A1101">
        <w:t xml:space="preserve">requested otherwise.  </w:t>
      </w:r>
      <w:r w:rsidR="006A1101" w:rsidRPr="006A1101">
        <w:rPr>
          <w:i/>
        </w:rPr>
        <w:t>Final Rulemaking</w:t>
      </w:r>
      <w:r w:rsidR="006A1101" w:rsidRPr="006A1101">
        <w:t>, 2014 WL 2876694</w:t>
      </w:r>
      <w:r w:rsidR="006A1101" w:rsidRPr="006A1101">
        <w:rPr>
          <w:i/>
        </w:rPr>
        <w:t xml:space="preserve"> </w:t>
      </w:r>
      <w:r w:rsidR="006A1101" w:rsidRPr="006A1101">
        <w:t xml:space="preserve">at **3-4.  </w:t>
      </w:r>
      <w:r w:rsidR="006A1101">
        <w:t>I</w:t>
      </w:r>
      <w:r w:rsidR="00DA54A4">
        <w:t xml:space="preserve">n accord with that Order, the Applicant, in its Second Petition, amended its request for authority to be on a statewide basis.  Given that request, and our elimination of the previous requirement for verified statement of supporting parties, we find that the first </w:t>
      </w:r>
      <w:r w:rsidR="00FE46B1">
        <w:t>reason</w:t>
      </w:r>
      <w:r w:rsidR="00DA54A4">
        <w:t xml:space="preserve"> set forth in the </w:t>
      </w:r>
      <w:r w:rsidR="00DA54A4">
        <w:rPr>
          <w:i/>
        </w:rPr>
        <w:t>May 2015 Secretarial Letter</w:t>
      </w:r>
      <w:r>
        <w:rPr>
          <w:i/>
        </w:rPr>
        <w:t xml:space="preserve"> </w:t>
      </w:r>
      <w:r>
        <w:t>for denial of the Application, the failure to establish need, has been rendered moot.</w:t>
      </w:r>
    </w:p>
    <w:p w:rsidR="005B776C" w:rsidRDefault="005B776C" w:rsidP="001E307F">
      <w:pPr>
        <w:tabs>
          <w:tab w:val="left" w:pos="-720"/>
        </w:tabs>
        <w:suppressAutoHyphens/>
        <w:spacing w:line="360" w:lineRule="auto"/>
        <w:ind w:firstLine="1440"/>
      </w:pPr>
    </w:p>
    <w:p w:rsidR="00D31648" w:rsidRDefault="005B776C" w:rsidP="001E307F">
      <w:pPr>
        <w:tabs>
          <w:tab w:val="left" w:pos="-720"/>
        </w:tabs>
        <w:suppressAutoHyphens/>
        <w:spacing w:line="360" w:lineRule="auto"/>
        <w:ind w:firstLine="1440"/>
      </w:pPr>
      <w:r>
        <w:t>O</w:t>
      </w:r>
      <w:r w:rsidR="00A33F3F">
        <w:t xml:space="preserve">ur Regulation </w:t>
      </w:r>
      <w:r w:rsidR="00966BD0">
        <w:t>as revised now</w:t>
      </w:r>
      <w:r w:rsidR="00A33F3F">
        <w:t xml:space="preserve"> also requires a statement that the applicant has a minimum of two </w:t>
      </w:r>
      <w:r>
        <w:t>years’ experience</w:t>
      </w:r>
      <w:r w:rsidR="00A33F3F">
        <w:t xml:space="preserve"> with a licensed household goods carrier or the equivalent.</w:t>
      </w:r>
      <w:r>
        <w:t xml:space="preserve">  52 Pa. Code § </w:t>
      </w:r>
      <w:r w:rsidRPr="005B776C">
        <w:t>3.381(c</w:t>
      </w:r>
      <w:proofErr w:type="gramStart"/>
      <w:r w:rsidRPr="005B776C">
        <w:t>)(</w:t>
      </w:r>
      <w:proofErr w:type="gramEnd"/>
      <w:r w:rsidRPr="005B776C">
        <w:t>1)</w:t>
      </w:r>
      <w:r>
        <w:t xml:space="preserve">(iii)(A)(II)(l).  The Application, as amended by the Second Petition, does not expressly provide that statement.  We find, however, as addressed more fully in our discussion below of the untitled log provided in the Applicant’s June 12, 2014 submission, that the Applicant has a minimum two years’ experience in moving items.  In consideration of the circumstances unique to this Application, including its long history before us, we will accept as satisfaction of this requirement in this case the Applicant’s demonstration of its experience as contained in its Application, as supplemented by the provision of additional information pending review before </w:t>
      </w:r>
      <w:r w:rsidR="004D62CD">
        <w:t>the Commission Staff</w:t>
      </w:r>
      <w:r>
        <w:t xml:space="preserve">.  </w:t>
      </w:r>
    </w:p>
    <w:p w:rsidR="00D31648" w:rsidRDefault="00D31648" w:rsidP="001E307F">
      <w:pPr>
        <w:tabs>
          <w:tab w:val="left" w:pos="-720"/>
        </w:tabs>
        <w:suppressAutoHyphens/>
        <w:spacing w:line="360" w:lineRule="auto"/>
        <w:ind w:firstLine="1440"/>
      </w:pPr>
    </w:p>
    <w:p w:rsidR="006A1101" w:rsidRDefault="005B776C" w:rsidP="001E307F">
      <w:pPr>
        <w:tabs>
          <w:tab w:val="left" w:pos="-720"/>
        </w:tabs>
        <w:suppressAutoHyphens/>
        <w:spacing w:line="360" w:lineRule="auto"/>
        <w:ind w:firstLine="1440"/>
      </w:pPr>
      <w:r>
        <w:lastRenderedPageBreak/>
        <w:t>We caution that</w:t>
      </w:r>
      <w:r w:rsidR="00966BD0">
        <w:t xml:space="preserve">, on our </w:t>
      </w:r>
      <w:r>
        <w:t xml:space="preserve">review of the totality of the circumstances </w:t>
      </w:r>
      <w:r w:rsidR="006A1101">
        <w:t>presented here</w:t>
      </w:r>
      <w:r w:rsidR="00966BD0">
        <w:t xml:space="preserve">, </w:t>
      </w:r>
      <w:r w:rsidR="00966BD0" w:rsidRPr="00966BD0">
        <w:t xml:space="preserve">our acceptance of </w:t>
      </w:r>
      <w:r w:rsidR="00966BD0">
        <w:t xml:space="preserve">review of the material provided by the Applicant </w:t>
      </w:r>
      <w:r w:rsidR="00FE46B1" w:rsidRPr="00FE46B1">
        <w:t>as satisfaction of the requirement at Section 3.381(c</w:t>
      </w:r>
      <w:proofErr w:type="gramStart"/>
      <w:r w:rsidR="00FE46B1" w:rsidRPr="00FE46B1">
        <w:t>)(</w:t>
      </w:r>
      <w:proofErr w:type="gramEnd"/>
      <w:r w:rsidR="00FE46B1" w:rsidRPr="00FE46B1">
        <w:t xml:space="preserve">1)(iii)(A)(II)(l) </w:t>
      </w:r>
      <w:r w:rsidR="00D31648">
        <w:t xml:space="preserve">in </w:t>
      </w:r>
      <w:r w:rsidR="00FE46B1">
        <w:t xml:space="preserve">lieu of </w:t>
      </w:r>
      <w:r w:rsidR="00966BD0">
        <w:t xml:space="preserve">an unequivocal statement </w:t>
      </w:r>
      <w:r w:rsidR="006A1101">
        <w:t xml:space="preserve">of a minimum two years’ experience in the application itself </w:t>
      </w:r>
      <w:r w:rsidR="00966BD0">
        <w:t xml:space="preserve">is limited to this case and the facts presented herein.  This Order shall not be cited, nor shall it serve, as precedent for other applicants who choose to exclude an express statement of their minimum two years’ experience with moving household goods or the equivalent, for whom failure to comply with </w:t>
      </w:r>
      <w:r w:rsidR="00966BD0" w:rsidRPr="00966BD0">
        <w:t xml:space="preserve">Section 3.381(c)(1)(iii)(A)(II)(l) </w:t>
      </w:r>
      <w:r w:rsidR="00966BD0">
        <w:t>shall be at their peril.</w:t>
      </w:r>
    </w:p>
    <w:p w:rsidR="006A1101" w:rsidRDefault="006A1101" w:rsidP="001E307F">
      <w:pPr>
        <w:tabs>
          <w:tab w:val="left" w:pos="-720"/>
        </w:tabs>
        <w:suppressAutoHyphens/>
        <w:spacing w:line="360" w:lineRule="auto"/>
        <w:ind w:firstLine="1440"/>
      </w:pPr>
    </w:p>
    <w:p w:rsidR="008C1500" w:rsidRPr="00AC0F55" w:rsidRDefault="00A33F3F" w:rsidP="001E307F">
      <w:pPr>
        <w:tabs>
          <w:tab w:val="left" w:pos="-720"/>
        </w:tabs>
        <w:suppressAutoHyphens/>
        <w:spacing w:line="360" w:lineRule="auto"/>
        <w:ind w:firstLine="1440"/>
      </w:pPr>
      <w:r>
        <w:t xml:space="preserve">We </w:t>
      </w:r>
      <w:r w:rsidR="00711E83">
        <w:t>next</w:t>
      </w:r>
      <w:r>
        <w:t xml:space="preserve"> turn </w:t>
      </w:r>
      <w:r w:rsidR="00711E83">
        <w:t>to review of</w:t>
      </w:r>
      <w:r>
        <w:t xml:space="preserve"> the Applicant’s fitness</w:t>
      </w:r>
      <w:r w:rsidR="00D31648">
        <w:t xml:space="preserve">, specifically the Applicant’s propensity to operate </w:t>
      </w:r>
      <w:r w:rsidR="00FE46B1">
        <w:t>il</w:t>
      </w:r>
      <w:r w:rsidR="00D31648">
        <w:t xml:space="preserve">legally, the second reason cited in the </w:t>
      </w:r>
      <w:r w:rsidR="00D31648">
        <w:rPr>
          <w:i/>
        </w:rPr>
        <w:t xml:space="preserve">May 2015 Secretarial Letter </w:t>
      </w:r>
      <w:r w:rsidR="00D31648">
        <w:t>for denial of the Application</w:t>
      </w:r>
      <w:r>
        <w:t>.</w:t>
      </w:r>
      <w:r w:rsidR="006A1101">
        <w:t xml:space="preserve">  </w:t>
      </w:r>
      <w:r w:rsidR="00AC0F55">
        <w:t>Proof of fitness has been and remains a regulatory requirement.  That is, the applicant must prove by a preponderance of the evidence that it possesses the technical and financial ability to provide the requested service and that it does not have a propensity to operate unsafely and illegally.  52 Pa. Code § 3.381(c</w:t>
      </w:r>
      <w:proofErr w:type="gramStart"/>
      <w:r w:rsidR="00AC0F55">
        <w:t>)(</w:t>
      </w:r>
      <w:proofErr w:type="gramEnd"/>
      <w:r w:rsidR="00AC0F55">
        <w:t>1)(</w:t>
      </w:r>
      <w:proofErr w:type="spellStart"/>
      <w:r w:rsidR="00AC0F55">
        <w:t>i</w:t>
      </w:r>
      <w:proofErr w:type="spellEnd"/>
      <w:r w:rsidR="00AC0F55">
        <w:t xml:space="preserve">)(A)(VII).  </w:t>
      </w:r>
      <w:r w:rsidR="00824F4C">
        <w:t>As stated above</w:t>
      </w:r>
      <w:r w:rsidR="00075592">
        <w:t xml:space="preserve"> in our discussion of our Policy Statement at 52 Pa. Code § 41.14</w:t>
      </w:r>
      <w:r w:rsidR="00824F4C">
        <w:t>, f</w:t>
      </w:r>
      <w:r w:rsidR="00AC0F55">
        <w:t xml:space="preserve">actors to be considered in evaluating an applicant’s fitness include </w:t>
      </w:r>
      <w:r w:rsidR="00B54B59">
        <w:t xml:space="preserve">(1) </w:t>
      </w:r>
      <w:r w:rsidR="00AC0F55">
        <w:t>the applicant’s capital, equipment, facilities</w:t>
      </w:r>
      <w:r w:rsidR="00B54B59">
        <w:t>,</w:t>
      </w:r>
      <w:r w:rsidR="00AC0F55">
        <w:t xml:space="preserve"> and other resources</w:t>
      </w:r>
      <w:r w:rsidR="00B54B59">
        <w:t>; (2)</w:t>
      </w:r>
      <w:r w:rsidR="00FE058B">
        <w:t> </w:t>
      </w:r>
      <w:r w:rsidR="00AC0F55">
        <w:t>information about the applicant’s employees</w:t>
      </w:r>
      <w:r w:rsidR="00B54B59">
        <w:t>;</w:t>
      </w:r>
      <w:r w:rsidR="00AC0F55">
        <w:t xml:space="preserve"> </w:t>
      </w:r>
      <w:r w:rsidR="00B54B59">
        <w:t>(3) the procurement of insurance; (4) plans to comply with safety regulations; (5) any record of compliance; and (6) prior convictions of felonies or crimes of moral turpitude.</w:t>
      </w:r>
      <w:r w:rsidR="00B54B59" w:rsidRPr="00B54B59">
        <w:rPr>
          <w:vertAlign w:val="superscript"/>
        </w:rPr>
        <w:footnoteReference w:id="6"/>
      </w:r>
    </w:p>
    <w:p w:rsidR="008017DB" w:rsidRDefault="008017DB" w:rsidP="001E307F">
      <w:pPr>
        <w:spacing w:line="360" w:lineRule="auto"/>
        <w:ind w:firstLine="1440"/>
      </w:pPr>
    </w:p>
    <w:p w:rsidR="00ED6FCD" w:rsidRDefault="00AB0ACA" w:rsidP="001E307F">
      <w:pPr>
        <w:suppressAutoHyphens/>
        <w:spacing w:line="360" w:lineRule="auto"/>
        <w:ind w:firstLine="1440"/>
      </w:pPr>
      <w:r>
        <w:lastRenderedPageBreak/>
        <w:t>All</w:t>
      </w:r>
      <w:r w:rsidR="00F15F95">
        <w:t xml:space="preserve"> </w:t>
      </w:r>
      <w:r w:rsidR="00C55666">
        <w:t xml:space="preserve">protests to </w:t>
      </w:r>
      <w:r w:rsidR="00F15F95">
        <w:t xml:space="preserve">610 Hauling’s </w:t>
      </w:r>
      <w:r w:rsidR="00C55666">
        <w:t xml:space="preserve">Application </w:t>
      </w:r>
      <w:r>
        <w:t xml:space="preserve">claimed that grant of </w:t>
      </w:r>
      <w:r w:rsidR="00F15F95">
        <w:t>the requested service</w:t>
      </w:r>
      <w:r>
        <w:t xml:space="preserve"> was </w:t>
      </w:r>
      <w:r w:rsidR="00F15F95">
        <w:t xml:space="preserve">unnecessary and </w:t>
      </w:r>
      <w:r>
        <w:t xml:space="preserve">would be </w:t>
      </w:r>
      <w:r w:rsidR="00F15F95">
        <w:t>destructive competitively, the “</w:t>
      </w:r>
      <w:r w:rsidR="00C55666">
        <w:t>need</w:t>
      </w:r>
      <w:r w:rsidR="00F15F95">
        <w:t xml:space="preserve">” requirement we have </w:t>
      </w:r>
      <w:r>
        <w:t>since</w:t>
      </w:r>
      <w:r w:rsidR="00F15F95">
        <w:t xml:space="preserve"> eliminated.  N</w:t>
      </w:r>
      <w:r w:rsidR="00C55666">
        <w:t xml:space="preserve">one challenged 610 Hauling’s fitness.  </w:t>
      </w:r>
      <w:r w:rsidR="00ED6FCD">
        <w:t xml:space="preserve">In its </w:t>
      </w:r>
      <w:r w:rsidR="00F15F95">
        <w:t xml:space="preserve">review of the </w:t>
      </w:r>
      <w:r w:rsidR="006A1101">
        <w:t>June 12, 2014 submission</w:t>
      </w:r>
      <w:r w:rsidR="00F15F95">
        <w:t xml:space="preserve">, </w:t>
      </w:r>
      <w:r w:rsidR="00ED6FCD">
        <w:t xml:space="preserve">however, </w:t>
      </w:r>
      <w:r>
        <w:t>i</w:t>
      </w:r>
      <w:r w:rsidR="00F15F95">
        <w:t xml:space="preserve">n particular in review of the </w:t>
      </w:r>
      <w:r w:rsidR="00711E83">
        <w:t xml:space="preserve">untitled log provided in </w:t>
      </w:r>
      <w:r w:rsidR="006A1101">
        <w:t xml:space="preserve">the Applicant’s </w:t>
      </w:r>
      <w:r w:rsidR="00F15F95" w:rsidRPr="00F15F95">
        <w:t xml:space="preserve">expanded response to </w:t>
      </w:r>
      <w:r w:rsidR="004D62CD">
        <w:t>the Commission Staff</w:t>
      </w:r>
      <w:r w:rsidR="00F15F95" w:rsidRPr="00F15F95">
        <w:t xml:space="preserve"> inquiry numbers </w:t>
      </w:r>
      <w:r w:rsidR="00A250BA">
        <w:t>4</w:t>
      </w:r>
      <w:r w:rsidR="00F15F95" w:rsidRPr="00F15F95">
        <w:t xml:space="preserve"> and 6</w:t>
      </w:r>
      <w:r w:rsidR="00A250BA">
        <w:t>,</w:t>
      </w:r>
      <w:r w:rsidR="00A250BA" w:rsidRPr="00A250BA">
        <w:rPr>
          <w:vertAlign w:val="superscript"/>
        </w:rPr>
        <w:footnoteReference w:id="7"/>
      </w:r>
      <w:r w:rsidR="00A250BA">
        <w:t xml:space="preserve"> </w:t>
      </w:r>
      <w:r w:rsidR="004D62CD">
        <w:t>the Commission Staff</w:t>
      </w:r>
      <w:r w:rsidR="00F15F95">
        <w:t xml:space="preserve"> </w:t>
      </w:r>
      <w:r w:rsidR="00ED6FCD">
        <w:t>concluded</w:t>
      </w:r>
      <w:r w:rsidR="00F15F95">
        <w:t xml:space="preserve"> that the Applicant had a propensity to operate illegally</w:t>
      </w:r>
      <w:r w:rsidR="00711E83">
        <w:t>.</w:t>
      </w:r>
      <w:r w:rsidR="00ED6FCD">
        <w:t xml:space="preserve">  A</w:t>
      </w:r>
      <w:r w:rsidR="00F15F95">
        <w:t xml:space="preserve">s characterized in the </w:t>
      </w:r>
      <w:r w:rsidR="00F15F95">
        <w:rPr>
          <w:i/>
        </w:rPr>
        <w:t>May 2015 Secretarial Letter</w:t>
      </w:r>
      <w:r w:rsidR="00F15F95">
        <w:t xml:space="preserve">, the transactions reflected </w:t>
      </w:r>
      <w:r w:rsidR="005B2A5C">
        <w:t xml:space="preserve">there were </w:t>
      </w:r>
      <w:r w:rsidR="00F15F95">
        <w:t>“evidence of unauthorized transportati</w:t>
      </w:r>
      <w:r w:rsidR="00ED6FCD">
        <w:t>on” of household goods in use.</w:t>
      </w:r>
    </w:p>
    <w:p w:rsidR="00ED6FCD" w:rsidRDefault="00ED6FCD" w:rsidP="001E307F">
      <w:pPr>
        <w:suppressAutoHyphens/>
        <w:spacing w:line="360" w:lineRule="auto"/>
        <w:ind w:firstLine="0"/>
      </w:pPr>
    </w:p>
    <w:p w:rsidR="00D31648" w:rsidRDefault="00ED6FCD" w:rsidP="001E307F">
      <w:pPr>
        <w:tabs>
          <w:tab w:val="left" w:pos="1440"/>
        </w:tabs>
        <w:suppressAutoHyphens/>
        <w:spacing w:line="360" w:lineRule="auto"/>
        <w:ind w:firstLine="0"/>
      </w:pPr>
      <w:r>
        <w:tab/>
      </w:r>
      <w:r w:rsidR="00F15F95">
        <w:t xml:space="preserve">In its Second Petition, the Applicant avers that the transactions evidenced in the untitled log were not moves of household </w:t>
      </w:r>
      <w:proofErr w:type="gramStart"/>
      <w:r w:rsidR="00F15F95">
        <w:t>goods,</w:t>
      </w:r>
      <w:proofErr w:type="gramEnd"/>
      <w:r w:rsidR="00F15F95">
        <w:t xml:space="preserve"> rather </w:t>
      </w:r>
      <w:r w:rsidR="005B2A5C">
        <w:t>they were</w:t>
      </w:r>
      <w:r w:rsidR="00F15F95">
        <w:t xml:space="preserve"> evidence of the Applicant’s operation of its junk removal services for “College Hunks Hauling Junk,</w:t>
      </w:r>
      <w:r w:rsidR="00DF5EC8">
        <w:t>”</w:t>
      </w:r>
      <w:r w:rsidR="00F15F95">
        <w:t xml:space="preserve"> the Applicant’s </w:t>
      </w:r>
      <w:r w:rsidR="00DF5EC8">
        <w:t xml:space="preserve">trade </w:t>
      </w:r>
      <w:r w:rsidR="00F15F95">
        <w:t>name.</w:t>
      </w:r>
      <w:r w:rsidR="00DF5EC8">
        <w:rPr>
          <w:rStyle w:val="FootnoteReference"/>
        </w:rPr>
        <w:footnoteReference w:id="8"/>
      </w:r>
      <w:r w:rsidR="00F15F95">
        <w:t xml:space="preserve">  </w:t>
      </w:r>
      <w:r w:rsidR="00D31648">
        <w:t xml:space="preserve">We find this allegation to be confirmed by the information provided in the </w:t>
      </w:r>
      <w:r w:rsidR="005B2A5C">
        <w:t xml:space="preserve">original 2012 </w:t>
      </w:r>
      <w:r w:rsidR="00D31648">
        <w:t xml:space="preserve">Application itself as well as in the </w:t>
      </w:r>
      <w:r w:rsidR="005B2A5C">
        <w:t xml:space="preserve">supplemental </w:t>
      </w:r>
      <w:r w:rsidR="00D31648">
        <w:t>information provided by the Applicant.</w:t>
      </w:r>
    </w:p>
    <w:p w:rsidR="00D31648" w:rsidRDefault="00D31648" w:rsidP="001E307F">
      <w:pPr>
        <w:suppressAutoHyphens/>
        <w:spacing w:line="360" w:lineRule="auto"/>
        <w:ind w:firstLine="1440"/>
      </w:pPr>
    </w:p>
    <w:p w:rsidR="00A250BA" w:rsidRDefault="00FD0DF1" w:rsidP="001E307F">
      <w:pPr>
        <w:suppressAutoHyphens/>
        <w:spacing w:line="360" w:lineRule="auto"/>
        <w:ind w:firstLine="1440"/>
      </w:pPr>
      <w:r>
        <w:t>Q</w:t>
      </w:r>
      <w:r w:rsidR="00D31648">
        <w:t>uestion number 3 on the Applicant’s verified statement attached to its Application</w:t>
      </w:r>
      <w:r w:rsidR="00892FC8">
        <w:t xml:space="preserve"> </w:t>
      </w:r>
      <w:r w:rsidR="00D31648">
        <w:t>request</w:t>
      </w:r>
      <w:r w:rsidR="00892FC8">
        <w:t>s</w:t>
      </w:r>
      <w:r w:rsidR="00D31648">
        <w:t xml:space="preserve"> a description of the applicant’s business experience, particularly any relating to the operation of a transportation service</w:t>
      </w:r>
      <w:r>
        <w:t>.  In response to that inquiry</w:t>
      </w:r>
      <w:r w:rsidR="00D31648">
        <w:t>, the Applicant stated as follows:</w:t>
      </w:r>
      <w:r w:rsidR="00892FC8">
        <w:t xml:space="preserve">  “</w:t>
      </w:r>
      <w:r w:rsidR="00D31648">
        <w:t xml:space="preserve">Graduate of Penn State with a bachelor’s degree in business.  Over five years of experience in managing a staff of 40+ employees. </w:t>
      </w:r>
      <w:proofErr w:type="gramStart"/>
      <w:r w:rsidR="00D31648">
        <w:t xml:space="preserve">Recently </w:t>
      </w:r>
      <w:r w:rsidR="00D31648">
        <w:lastRenderedPageBreak/>
        <w:t>a [sic] owner of a full service junk removal company.</w:t>
      </w:r>
      <w:r w:rsidR="00892FC8">
        <w:t>”</w:t>
      </w:r>
      <w:proofErr w:type="gramEnd"/>
      <w:r w:rsidR="00892FC8">
        <w:t xml:space="preserve">  </w:t>
      </w:r>
      <w:r>
        <w:t xml:space="preserve">This </w:t>
      </w:r>
      <w:r w:rsidR="00A250BA">
        <w:t xml:space="preserve">representation, made at the time the Application was submitted, confirms </w:t>
      </w:r>
      <w:r>
        <w:t xml:space="preserve">the Applicant’s </w:t>
      </w:r>
      <w:r w:rsidR="00A250BA">
        <w:t xml:space="preserve">explanation in the Second Petition that its experience, and record of transactions in the untitled log, is </w:t>
      </w:r>
      <w:r w:rsidR="005B2A5C">
        <w:t>in</w:t>
      </w:r>
      <w:r w:rsidR="00A250BA">
        <w:t xml:space="preserve"> </w:t>
      </w:r>
      <w:r>
        <w:t xml:space="preserve">junk removal services.  </w:t>
      </w:r>
    </w:p>
    <w:p w:rsidR="00A250BA" w:rsidRDefault="00A250BA" w:rsidP="001E307F">
      <w:pPr>
        <w:suppressAutoHyphens/>
        <w:spacing w:line="360" w:lineRule="auto"/>
        <w:ind w:firstLine="1440"/>
      </w:pPr>
    </w:p>
    <w:p w:rsidR="0055346D" w:rsidRDefault="005B2A5C" w:rsidP="001E307F">
      <w:pPr>
        <w:suppressAutoHyphens/>
        <w:spacing w:line="360" w:lineRule="auto"/>
        <w:ind w:firstLine="1440"/>
      </w:pPr>
      <w:r>
        <w:t>Further, w</w:t>
      </w:r>
      <w:r w:rsidR="00726A27">
        <w:t>hile not explicitly explained</w:t>
      </w:r>
      <w:r w:rsidR="00DB1F94">
        <w:t xml:space="preserve"> </w:t>
      </w:r>
      <w:r w:rsidR="00BB39DF">
        <w:t>because</w:t>
      </w:r>
      <w:r w:rsidR="00DB1F94">
        <w:t xml:space="preserve"> the log was untitled,</w:t>
      </w:r>
      <w:r w:rsidR="00726A27">
        <w:t xml:space="preserve"> </w:t>
      </w:r>
      <w:r w:rsidR="00DB1F94">
        <w:t xml:space="preserve">we believe that </w:t>
      </w:r>
      <w:r w:rsidR="0012630D">
        <w:t xml:space="preserve">the </w:t>
      </w:r>
      <w:r w:rsidR="00DB1F94">
        <w:t>Applicant’s explanation in its Second Petition that this log is a list of clients for whom the Applicant has provided junk removal services is reasonable</w:t>
      </w:r>
      <w:r w:rsidR="00BC4973">
        <w:t xml:space="preserve"> and credible</w:t>
      </w:r>
      <w:r w:rsidR="00DB1F94">
        <w:t xml:space="preserve">.  The Applicant originally </w:t>
      </w:r>
      <w:r>
        <w:t>provided</w:t>
      </w:r>
      <w:r w:rsidR="00DB1F94">
        <w:t xml:space="preserve"> </w:t>
      </w:r>
      <w:r w:rsidR="00726A27">
        <w:t xml:space="preserve">this attachment </w:t>
      </w:r>
      <w:r w:rsidR="00DB1F94">
        <w:t xml:space="preserve">in response to </w:t>
      </w:r>
      <w:r w:rsidR="004D62CD">
        <w:t>the Commission Staff</w:t>
      </w:r>
      <w:r w:rsidR="00892FC8">
        <w:t>’</w:t>
      </w:r>
      <w:r w:rsidR="004D62CD">
        <w:t>s</w:t>
      </w:r>
      <w:r w:rsidR="00892FC8">
        <w:t xml:space="preserve"> request for </w:t>
      </w:r>
      <w:r w:rsidR="00726A27">
        <w:t xml:space="preserve">an </w:t>
      </w:r>
      <w:r w:rsidR="00892FC8">
        <w:t xml:space="preserve">expanded </w:t>
      </w:r>
      <w:r w:rsidR="00726A27">
        <w:t>response to inquiry number 4 on the Applicant’s original verified statement</w:t>
      </w:r>
      <w:r>
        <w:t xml:space="preserve">.  </w:t>
      </w:r>
      <w:r w:rsidRPr="005B2A5C">
        <w:rPr>
          <w:i/>
        </w:rPr>
        <w:t xml:space="preserve">See </w:t>
      </w:r>
      <w:r w:rsidRPr="005B2A5C">
        <w:t xml:space="preserve">First Petition, Exhibit C.  </w:t>
      </w:r>
      <w:r>
        <w:t xml:space="preserve">That question requests, </w:t>
      </w:r>
      <w:r>
        <w:rPr>
          <w:i/>
        </w:rPr>
        <w:t>inter alia</w:t>
      </w:r>
      <w:r>
        <w:t xml:space="preserve">, </w:t>
      </w:r>
      <w:r w:rsidR="00D560A1">
        <w:t xml:space="preserve">plans for maintenance of records as well as normal </w:t>
      </w:r>
      <w:r w:rsidR="00726A27">
        <w:t>business record</w:t>
      </w:r>
      <w:r w:rsidR="00D560A1">
        <w:t xml:space="preserve">s.  It is reasonable to conclude, as the Applicant avers, that the log was </w:t>
      </w:r>
      <w:r w:rsidR="00726A27">
        <w:t>used by the Applicant in its existing junk hauling service</w:t>
      </w:r>
      <w:r w:rsidR="00DB1F94">
        <w:t xml:space="preserve"> </w:t>
      </w:r>
      <w:r w:rsidR="00D560A1">
        <w:t xml:space="preserve">and was included </w:t>
      </w:r>
      <w:r w:rsidR="00F25ADF">
        <w:t>to</w:t>
      </w:r>
      <w:r w:rsidR="00DB1F94">
        <w:t xml:space="preserve"> provide further information about the Applicant’s </w:t>
      </w:r>
      <w:r w:rsidR="00F25ADF">
        <w:t>intended maintenance of records as well as normal business records</w:t>
      </w:r>
      <w:r w:rsidR="00726A27">
        <w:t xml:space="preserve">.  </w:t>
      </w:r>
      <w:r w:rsidR="00726A27">
        <w:rPr>
          <w:i/>
        </w:rPr>
        <w:t xml:space="preserve">See, e.g., </w:t>
      </w:r>
      <w:r w:rsidR="00726A27">
        <w:t>Second Petition, Exhibit J</w:t>
      </w:r>
      <w:r w:rsidR="00D31648">
        <w:t xml:space="preserve">, </w:t>
      </w:r>
      <w:r w:rsidR="0012630D">
        <w:t>at</w:t>
      </w:r>
      <w:r w:rsidR="00D31648">
        <w:t xml:space="preserve"> 12</w:t>
      </w:r>
      <w:r w:rsidR="00726A27">
        <w:t xml:space="preserve"> (original response to inquiry number 4, which described how customer requests are entered into an online scheduling system); First Petition, Exhibit C, second unnumbered page (first supplemental response in June 12, 2014 submission, which repeated the reference to the online scheduling system and attached for the first time the untitled log)</w:t>
      </w:r>
      <w:r w:rsidR="00F25ADF">
        <w:t>;</w:t>
      </w:r>
      <w:r w:rsidR="00726A27" w:rsidRPr="00726A27">
        <w:rPr>
          <w:vertAlign w:val="superscript"/>
        </w:rPr>
        <w:footnoteReference w:id="9"/>
      </w:r>
      <w:r w:rsidR="00726A27">
        <w:t xml:space="preserve"> and</w:t>
      </w:r>
      <w:r w:rsidR="00D31648">
        <w:t xml:space="preserve"> </w:t>
      </w:r>
      <w:r w:rsidR="00DB1F94">
        <w:t>Second Petition, Exhibit H (which although identified as an expanded response to inquiry number 1, also provided expanded information in response to inquiry number 4</w:t>
      </w:r>
      <w:r w:rsidR="00F25ADF">
        <w:t>)</w:t>
      </w:r>
      <w:r w:rsidR="00F15F95">
        <w:t xml:space="preserve">.  </w:t>
      </w:r>
      <w:r w:rsidR="00774AE6">
        <w:t xml:space="preserve">The Applicant’s explanation is credible and refutes the conclusion in the </w:t>
      </w:r>
      <w:r w:rsidR="00774AE6">
        <w:rPr>
          <w:i/>
        </w:rPr>
        <w:t xml:space="preserve">May 2015 Secretarial </w:t>
      </w:r>
      <w:r w:rsidR="00774AE6" w:rsidRPr="00774AE6">
        <w:rPr>
          <w:i/>
        </w:rPr>
        <w:t>Letter</w:t>
      </w:r>
      <w:r w:rsidR="00774AE6">
        <w:t xml:space="preserve"> that the Applicant </w:t>
      </w:r>
      <w:r w:rsidR="00FE46B1">
        <w:t xml:space="preserve">has a </w:t>
      </w:r>
      <w:r w:rsidR="00774AE6">
        <w:t xml:space="preserve">propensity to operate </w:t>
      </w:r>
      <w:r w:rsidR="00FE46B1">
        <w:t>il</w:t>
      </w:r>
      <w:r w:rsidR="00774AE6">
        <w:t xml:space="preserve">legally.  Accordingly, we conclude that </w:t>
      </w:r>
      <w:r w:rsidR="0055346D">
        <w:t xml:space="preserve">the record does not </w:t>
      </w:r>
      <w:r w:rsidR="0055346D">
        <w:lastRenderedPageBreak/>
        <w:t xml:space="preserve">support the second </w:t>
      </w:r>
      <w:r w:rsidR="00F25ADF">
        <w:t>reason</w:t>
      </w:r>
      <w:r w:rsidR="0055346D">
        <w:t xml:space="preserve"> set forth in o</w:t>
      </w:r>
      <w:r w:rsidR="00774AE6">
        <w:t xml:space="preserve">ur </w:t>
      </w:r>
      <w:r w:rsidR="00774AE6">
        <w:rPr>
          <w:i/>
        </w:rPr>
        <w:t>May 2015 Secretarial Letter</w:t>
      </w:r>
      <w:r w:rsidR="0055346D">
        <w:t xml:space="preserve"> to deny the Application</w:t>
      </w:r>
      <w:r w:rsidR="00F25ADF">
        <w:t xml:space="preserve"> – the </w:t>
      </w:r>
      <w:r w:rsidR="00F25ADF" w:rsidRPr="00F25ADF">
        <w:t>propensity to operate illegally</w:t>
      </w:r>
      <w:r w:rsidR="0055346D">
        <w:t>.</w:t>
      </w:r>
      <w:r w:rsidR="00BC4973">
        <w:rPr>
          <w:rStyle w:val="FootnoteReference"/>
        </w:rPr>
        <w:footnoteReference w:id="10"/>
      </w:r>
    </w:p>
    <w:p w:rsidR="0055346D" w:rsidRDefault="0055346D" w:rsidP="001E307F">
      <w:pPr>
        <w:suppressAutoHyphens/>
        <w:spacing w:line="360" w:lineRule="auto"/>
        <w:ind w:firstLine="1440"/>
      </w:pPr>
    </w:p>
    <w:p w:rsidR="0055346D" w:rsidRDefault="00F25ADF" w:rsidP="001E307F">
      <w:pPr>
        <w:suppressAutoHyphens/>
        <w:spacing w:line="360" w:lineRule="auto"/>
        <w:ind w:firstLine="1440"/>
      </w:pPr>
      <w:r>
        <w:t>With respect to our remaining criteria of fitness</w:t>
      </w:r>
      <w:r w:rsidR="0055346D">
        <w:t>, upon review of the totality of the information provided</w:t>
      </w:r>
      <w:r>
        <w:t xml:space="preserve"> by 610 Hauling in </w:t>
      </w:r>
      <w:r w:rsidR="0055346D">
        <w:t>both the Application and the supplemental submissions, we find that the Applicant has addressed applicable education and experience; its proposed facilities, record maintenance, and communications network; its proposed employee compl</w:t>
      </w:r>
      <w:r w:rsidR="004F27F7">
        <w:t>e</w:t>
      </w:r>
      <w:r w:rsidR="0055346D">
        <w:t>ment and issues comprising safety, training, and oversi</w:t>
      </w:r>
      <w:r w:rsidR="00BF483C">
        <w:t>ght; customer service standards;</w:t>
      </w:r>
      <w:r w:rsidR="0055346D">
        <w:t xml:space="preserve"> and actual and projected financial statements</w:t>
      </w:r>
      <w:r w:rsidR="00BF483C">
        <w:t>.  No issues with respect to these criteria other than those addressed herein were raised by any party</w:t>
      </w:r>
      <w:r w:rsidR="0055346D">
        <w:t xml:space="preserve">.  </w:t>
      </w:r>
    </w:p>
    <w:p w:rsidR="0055346D" w:rsidRDefault="0055346D" w:rsidP="001E307F">
      <w:pPr>
        <w:suppressAutoHyphens/>
        <w:spacing w:line="360" w:lineRule="auto"/>
        <w:ind w:firstLine="1440"/>
      </w:pPr>
    </w:p>
    <w:p w:rsidR="00774AE6" w:rsidRDefault="0055346D" w:rsidP="001E307F">
      <w:pPr>
        <w:suppressAutoHyphens/>
        <w:spacing w:line="360" w:lineRule="auto"/>
        <w:ind w:firstLine="1440"/>
      </w:pPr>
      <w:r>
        <w:t>Thus, u</w:t>
      </w:r>
      <w:r w:rsidR="00774AE6">
        <w:t>pon review and consideration of the information provided by the Applicant</w:t>
      </w:r>
      <w:r w:rsidR="00595451">
        <w:t xml:space="preserve">, we conclude that the Applicant has provided information sufficient to address aspects of its financial and operational fitness.  Specifically upon review and consideration of the information provided by the Applicant in its </w:t>
      </w:r>
      <w:r w:rsidR="00774AE6">
        <w:t>supplemental submissions, we conclude that the Applicant has satisfactorily addressed the inquiries posed</w:t>
      </w:r>
      <w:r w:rsidR="00F25ADF">
        <w:t>,</w:t>
      </w:r>
      <w:r w:rsidR="00774AE6">
        <w:t xml:space="preserve"> and resolved the only two issues </w:t>
      </w:r>
      <w:proofErr w:type="gramStart"/>
      <w:r w:rsidR="00774AE6">
        <w:t>raised</w:t>
      </w:r>
      <w:proofErr w:type="gramEnd"/>
      <w:r w:rsidR="00F25ADF">
        <w:t>,</w:t>
      </w:r>
      <w:r w:rsidR="00774AE6">
        <w:t xml:space="preserve"> by </w:t>
      </w:r>
      <w:r w:rsidR="004D62CD">
        <w:t>the Commission Staff</w:t>
      </w:r>
      <w:r w:rsidR="00595451">
        <w:t xml:space="preserve"> in its review of the Application</w:t>
      </w:r>
      <w:r w:rsidR="00774AE6">
        <w:t xml:space="preserve">, namely need and propensity to operate </w:t>
      </w:r>
      <w:r w:rsidR="006C4101">
        <w:t>il</w:t>
      </w:r>
      <w:r w:rsidR="00774AE6">
        <w:t>legally</w:t>
      </w:r>
      <w:r w:rsidR="00595451">
        <w:t xml:space="preserve">.  </w:t>
      </w:r>
      <w:r w:rsidR="00774AE6">
        <w:t xml:space="preserve">As such, the Applicant has satisfied its burden of proving that it possesses the requisite technical and financial </w:t>
      </w:r>
      <w:r w:rsidR="00774AE6">
        <w:lastRenderedPageBreak/>
        <w:t xml:space="preserve">fitness and </w:t>
      </w:r>
      <w:r w:rsidR="006C4101">
        <w:t xml:space="preserve">does not lack the </w:t>
      </w:r>
      <w:r w:rsidR="00774AE6">
        <w:t>propensity to operate safely and legally, and the Application should be granted with statewide authority.</w:t>
      </w:r>
    </w:p>
    <w:p w:rsidR="00D252FC" w:rsidRDefault="00D252FC" w:rsidP="001E307F">
      <w:pPr>
        <w:suppressAutoHyphens/>
        <w:spacing w:line="360" w:lineRule="auto"/>
        <w:ind w:firstLine="1440"/>
      </w:pPr>
    </w:p>
    <w:p w:rsidR="006D72A9" w:rsidRPr="006D72A9" w:rsidRDefault="006D72A9" w:rsidP="001E307F">
      <w:pPr>
        <w:spacing w:line="360" w:lineRule="auto"/>
        <w:ind w:firstLine="0"/>
        <w:jc w:val="center"/>
        <w:rPr>
          <w:b/>
        </w:rPr>
      </w:pPr>
      <w:r w:rsidRPr="006D72A9">
        <w:rPr>
          <w:b/>
        </w:rPr>
        <w:t>Conclusion</w:t>
      </w:r>
    </w:p>
    <w:p w:rsidR="006D72A9" w:rsidRDefault="006D72A9" w:rsidP="001E307F">
      <w:pPr>
        <w:spacing w:line="360" w:lineRule="auto"/>
        <w:ind w:firstLine="1440"/>
      </w:pPr>
    </w:p>
    <w:p w:rsidR="008C1500" w:rsidRPr="008C1500" w:rsidRDefault="008C1500" w:rsidP="001E307F">
      <w:pPr>
        <w:suppressAutoHyphens/>
        <w:spacing w:after="360" w:line="360" w:lineRule="auto"/>
        <w:ind w:firstLine="1440"/>
        <w:rPr>
          <w:b/>
        </w:rPr>
      </w:pPr>
      <w:r w:rsidRPr="008C1500">
        <w:t xml:space="preserve">Upon review of the record, we will grant the Second Petition, rescind the </w:t>
      </w:r>
      <w:r w:rsidR="007D3038">
        <w:rPr>
          <w:i/>
        </w:rPr>
        <w:t>May</w:t>
      </w:r>
      <w:r w:rsidRPr="008C1500">
        <w:rPr>
          <w:i/>
        </w:rPr>
        <w:t xml:space="preserve"> </w:t>
      </w:r>
      <w:r w:rsidR="006C4101">
        <w:rPr>
          <w:i/>
        </w:rPr>
        <w:t xml:space="preserve">2015 </w:t>
      </w:r>
      <w:r w:rsidRPr="008C1500">
        <w:rPr>
          <w:i/>
        </w:rPr>
        <w:t>Secretarial Letter</w:t>
      </w:r>
      <w:r w:rsidR="007D3038">
        <w:t>,</w:t>
      </w:r>
      <w:r w:rsidRPr="008C1500">
        <w:t xml:space="preserve"> and grant the Application as amended by the Second Petition, all consistent with this Opinion and Order; </w:t>
      </w:r>
      <w:r w:rsidRPr="008C1500">
        <w:rPr>
          <w:b/>
        </w:rPr>
        <w:t>THEREFORE,</w:t>
      </w:r>
    </w:p>
    <w:p w:rsidR="008C1500" w:rsidRPr="008C1500" w:rsidRDefault="008C1500" w:rsidP="001E307F">
      <w:pPr>
        <w:spacing w:after="200" w:line="276" w:lineRule="auto"/>
        <w:rPr>
          <w:b/>
        </w:rPr>
      </w:pPr>
      <w:r w:rsidRPr="008C1500">
        <w:rPr>
          <w:b/>
        </w:rPr>
        <w:tab/>
        <w:t>IT IS ORDERED:</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pPr>
      <w:r w:rsidRPr="008C1500">
        <w:tab/>
        <w:t>1.</w:t>
      </w:r>
      <w:r w:rsidRPr="008C1500">
        <w:tab/>
        <w:t xml:space="preserve">That the Petition for Reconsideration </w:t>
      </w:r>
      <w:r w:rsidR="00061B6A">
        <w:t>of</w:t>
      </w:r>
      <w:r w:rsidR="006C4101">
        <w:t xml:space="preserve"> </w:t>
      </w:r>
      <w:r w:rsidR="00061B6A">
        <w:t xml:space="preserve">Staff </w:t>
      </w:r>
      <w:r w:rsidR="006C4101">
        <w:t>Action</w:t>
      </w:r>
      <w:r w:rsidRPr="008C1500">
        <w:t xml:space="preserve"> filed by </w:t>
      </w:r>
      <w:r w:rsidR="007D3038">
        <w:t>610 Hauling, LLC</w:t>
      </w:r>
      <w:r w:rsidR="004F27F7">
        <w:t>, t/a College Hunks Hauling Junk</w:t>
      </w:r>
      <w:r w:rsidRPr="008C1500">
        <w:t xml:space="preserve"> on </w:t>
      </w:r>
      <w:r w:rsidR="007D3038">
        <w:t>June 2</w:t>
      </w:r>
      <w:r w:rsidRPr="008C1500">
        <w:t>, 2015, is granted.</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pPr>
      <w:r w:rsidRPr="008C1500">
        <w:tab/>
        <w:t>2.</w:t>
      </w:r>
      <w:r w:rsidRPr="008C1500">
        <w:tab/>
        <w:t xml:space="preserve">That the Secretarial Letter issued in this matter on </w:t>
      </w:r>
      <w:r w:rsidR="007D3038">
        <w:t>May</w:t>
      </w:r>
      <w:r w:rsidRPr="008C1500">
        <w:t xml:space="preserve"> </w:t>
      </w:r>
      <w:r w:rsidR="007D3038">
        <w:t>8</w:t>
      </w:r>
      <w:r w:rsidRPr="008C1500">
        <w:t xml:space="preserve">, 2015, </w:t>
      </w:r>
      <w:r w:rsidR="00061B6A">
        <w:t xml:space="preserve">and reissued on May 14, 2015, </w:t>
      </w:r>
      <w:r w:rsidRPr="008C1500">
        <w:t>is rescinded.</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pPr>
      <w:r w:rsidRPr="008C1500">
        <w:tab/>
        <w:t>3.</w:t>
      </w:r>
      <w:r w:rsidRPr="008C1500">
        <w:tab/>
        <w:t xml:space="preserve">That the Application of </w:t>
      </w:r>
      <w:r w:rsidR="007D3038">
        <w:t>610 Hauling, LLC</w:t>
      </w:r>
      <w:r w:rsidRPr="008C1500">
        <w:t xml:space="preserve">, </w:t>
      </w:r>
      <w:r w:rsidR="004F27F7">
        <w:t xml:space="preserve">t/a College Hunks Hauling Junk, </w:t>
      </w:r>
      <w:r w:rsidRPr="008C1500">
        <w:t xml:space="preserve">filed on </w:t>
      </w:r>
      <w:r w:rsidR="007D3038">
        <w:t>November 5</w:t>
      </w:r>
      <w:r w:rsidRPr="008C1500">
        <w:t>, 201</w:t>
      </w:r>
      <w:r w:rsidR="007D3038">
        <w:t>2</w:t>
      </w:r>
      <w:r w:rsidRPr="008C1500">
        <w:t xml:space="preserve">, and amended on </w:t>
      </w:r>
      <w:r w:rsidR="007D3038">
        <w:t>June</w:t>
      </w:r>
      <w:r w:rsidRPr="008C1500">
        <w:t xml:space="preserve"> </w:t>
      </w:r>
      <w:r w:rsidR="007D3038">
        <w:t>2</w:t>
      </w:r>
      <w:r w:rsidRPr="008C1500">
        <w:t>, 2015, is hereby approved and that a certificate be issued granting the following right:</w:t>
      </w:r>
    </w:p>
    <w:p w:rsidR="008C1500" w:rsidRPr="008C1500" w:rsidRDefault="008C1500" w:rsidP="001E307F">
      <w:pPr>
        <w:tabs>
          <w:tab w:val="left" w:pos="-720"/>
        </w:tabs>
        <w:suppressAutoHyphens/>
        <w:spacing w:line="360" w:lineRule="auto"/>
      </w:pPr>
    </w:p>
    <w:p w:rsidR="007D3038" w:rsidRDefault="008C1500" w:rsidP="001E307F">
      <w:pPr>
        <w:tabs>
          <w:tab w:val="left" w:pos="-720"/>
        </w:tabs>
        <w:suppressAutoHyphens/>
        <w:ind w:left="2160" w:right="1152" w:firstLine="0"/>
      </w:pPr>
      <w:r w:rsidRPr="008C1500">
        <w:t xml:space="preserve">To </w:t>
      </w:r>
      <w:r w:rsidR="007D3038">
        <w:t>b</w:t>
      </w:r>
      <w:r w:rsidR="007D3038" w:rsidRPr="007D3038">
        <w:t xml:space="preserve">egin to transport as a common carrier by motor vehicle household goods in use </w:t>
      </w:r>
      <w:r w:rsidR="007D3038">
        <w:t xml:space="preserve">to and </w:t>
      </w:r>
      <w:r w:rsidR="007D3038" w:rsidRPr="007D3038">
        <w:t>from points in Pennsylvania</w:t>
      </w:r>
      <w:r w:rsidR="007D3038">
        <w:t>.</w:t>
      </w:r>
    </w:p>
    <w:p w:rsidR="005077E2" w:rsidRDefault="005077E2" w:rsidP="001E307F">
      <w:pPr>
        <w:tabs>
          <w:tab w:val="left" w:pos="-720"/>
        </w:tabs>
        <w:suppressAutoHyphens/>
        <w:ind w:left="2160" w:right="1152"/>
      </w:pPr>
    </w:p>
    <w:p w:rsidR="005077E2" w:rsidRDefault="005077E2" w:rsidP="001E307F">
      <w:pPr>
        <w:tabs>
          <w:tab w:val="left" w:pos="-720"/>
        </w:tabs>
        <w:suppressAutoHyphens/>
        <w:ind w:left="2160" w:right="1152"/>
      </w:pPr>
    </w:p>
    <w:p w:rsidR="008C1500" w:rsidRPr="008C1500" w:rsidRDefault="008C1500" w:rsidP="001E307F">
      <w:pPr>
        <w:tabs>
          <w:tab w:val="left" w:pos="-720"/>
        </w:tabs>
        <w:suppressAutoHyphens/>
        <w:spacing w:line="360" w:lineRule="auto"/>
      </w:pPr>
      <w:r w:rsidRPr="008C1500">
        <w:tab/>
      </w:r>
      <w:r w:rsidR="006A18A8">
        <w:t>4.</w:t>
      </w:r>
      <w:r w:rsidR="006A18A8">
        <w:tab/>
      </w:r>
      <w:r w:rsidRPr="008C1500">
        <w:t xml:space="preserve">That </w:t>
      </w:r>
      <w:r w:rsidR="007D3038">
        <w:t>610 Hauling, LLC</w:t>
      </w:r>
      <w:r w:rsidR="004F27F7">
        <w:t>, t/a College Hunks Hauling Junk</w:t>
      </w:r>
      <w:r w:rsidRPr="008C1500">
        <w:t xml:space="preserve"> shall not engage in any transportation authorized by this Order until it has received a Certificate of Public Convenience from the Commission.</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pPr>
      <w:r w:rsidRPr="008C1500">
        <w:lastRenderedPageBreak/>
        <w:tab/>
        <w:t>5.</w:t>
      </w:r>
      <w:r w:rsidRPr="008C1500">
        <w:tab/>
        <w:t>That a Certificate of Public Convenience shall not be issued until the following items are submitted and approved by the Commission:</w:t>
      </w:r>
    </w:p>
    <w:p w:rsidR="008C1500" w:rsidRPr="008C1500" w:rsidRDefault="008C1500" w:rsidP="001E307F">
      <w:pPr>
        <w:tabs>
          <w:tab w:val="left" w:pos="-720"/>
        </w:tabs>
        <w:suppressAutoHyphens/>
        <w:spacing w:line="360" w:lineRule="auto"/>
      </w:pPr>
    </w:p>
    <w:p w:rsidR="008C1500" w:rsidRPr="008C1500" w:rsidRDefault="008C1500" w:rsidP="001E307F">
      <w:pPr>
        <w:numPr>
          <w:ilvl w:val="0"/>
          <w:numId w:val="3"/>
        </w:numPr>
        <w:tabs>
          <w:tab w:val="left" w:pos="-720"/>
        </w:tabs>
        <w:suppressAutoHyphens/>
        <w:ind w:left="2160"/>
      </w:pPr>
      <w:r w:rsidRPr="008C1500">
        <w:t>An acceptable updated Form E, as evidence of bodily injury and property damage liability insurance (arrange for your insurance company to file with the Commission).</w:t>
      </w:r>
    </w:p>
    <w:p w:rsidR="008C1500" w:rsidRPr="00D24B10" w:rsidRDefault="008C1500" w:rsidP="001E307F">
      <w:pPr>
        <w:tabs>
          <w:tab w:val="left" w:pos="-720"/>
        </w:tabs>
        <w:suppressAutoHyphens/>
        <w:ind w:left="2160"/>
        <w:rPr>
          <w:i/>
        </w:rPr>
      </w:pPr>
      <w:r w:rsidRPr="008C1500">
        <w:tab/>
      </w:r>
      <w:r w:rsidRPr="008C1500">
        <w:tab/>
      </w:r>
      <w:r w:rsidRPr="00D24B10">
        <w:rPr>
          <w:i/>
        </w:rPr>
        <w:tab/>
      </w:r>
    </w:p>
    <w:p w:rsidR="008C1500" w:rsidRPr="00801821" w:rsidRDefault="008C1500" w:rsidP="001E307F">
      <w:pPr>
        <w:numPr>
          <w:ilvl w:val="0"/>
          <w:numId w:val="3"/>
        </w:numPr>
        <w:tabs>
          <w:tab w:val="left" w:pos="-720"/>
        </w:tabs>
        <w:suppressAutoHyphens/>
        <w:ind w:left="2160"/>
        <w:rPr>
          <w:i/>
        </w:rPr>
      </w:pPr>
      <w:r w:rsidRPr="008C1500">
        <w:t>An acceptable tariff establishing just and reasonable rates.  Instructions for filing of a tariff can be found at:</w:t>
      </w:r>
      <w:r w:rsidR="00801821">
        <w:t xml:space="preserve"> </w:t>
      </w:r>
      <w:r w:rsidRPr="00801821">
        <w:rPr>
          <w:i/>
        </w:rPr>
        <w:t>www.puc.pa.gov/general/onlineforms/pdf/initial_tariff_instructions.pdf.</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pPr>
      <w:r w:rsidRPr="008C1500">
        <w:tab/>
        <w:t>6.</w:t>
      </w:r>
      <w:r w:rsidRPr="008C1500">
        <w:tab/>
        <w:t xml:space="preserve">That the authority granted herein, to the extent that it duplicates authority now held by or subsequently granted to </w:t>
      </w:r>
      <w:r w:rsidR="007D3038">
        <w:t>610 Hauling, LLC</w:t>
      </w:r>
      <w:r w:rsidRPr="008C1500">
        <w:t xml:space="preserve">, </w:t>
      </w:r>
      <w:r w:rsidR="004F27F7">
        <w:t xml:space="preserve">t/a College Hunks Hauling Junk, </w:t>
      </w:r>
      <w:r w:rsidRPr="008C1500">
        <w:t>shall not be construed as conferring more than one operating right.</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ind w:firstLine="1440"/>
      </w:pPr>
      <w:r w:rsidRPr="008C1500">
        <w:t>7.</w:t>
      </w:r>
      <w:r w:rsidRPr="008C1500">
        <w:tab/>
        <w:t xml:space="preserve">That upon compliance with the requirements hereinbefore set forth, a certificate shall issue evidencing the Commission’s approval of the right </w:t>
      </w:r>
      <w:r w:rsidR="006A18A8">
        <w:t>to operate as above-determined.</w:t>
      </w:r>
    </w:p>
    <w:p w:rsidR="008C1500" w:rsidRPr="008C1500" w:rsidRDefault="008C1500" w:rsidP="001E307F">
      <w:pPr>
        <w:tabs>
          <w:tab w:val="left" w:pos="-720"/>
        </w:tabs>
        <w:suppressAutoHyphens/>
        <w:spacing w:line="360" w:lineRule="auto"/>
      </w:pPr>
    </w:p>
    <w:p w:rsidR="008C1500" w:rsidRPr="008C1500" w:rsidRDefault="008C1500" w:rsidP="001E307F">
      <w:pPr>
        <w:tabs>
          <w:tab w:val="left" w:pos="-720"/>
        </w:tabs>
        <w:suppressAutoHyphens/>
        <w:spacing w:line="360" w:lineRule="auto"/>
        <w:ind w:firstLine="1440"/>
      </w:pPr>
      <w:r w:rsidRPr="008C1500">
        <w:t>8.</w:t>
      </w:r>
      <w:r w:rsidRPr="008C1500">
        <w:tab/>
        <w:t xml:space="preserve">That in the event </w:t>
      </w:r>
      <w:r w:rsidR="007D3038">
        <w:t>610 Hauling, LLC</w:t>
      </w:r>
      <w:r w:rsidR="004F27F7">
        <w:t>, t/a College Hunks Hauling Junk</w:t>
      </w:r>
      <w:r w:rsidRPr="008C1500">
        <w:t xml:space="preserve"> has not, on or before sixty days from the date of entry of this Order, complied with the requirements set forth</w:t>
      </w:r>
      <w:r w:rsidR="007D3038">
        <w:t xml:space="preserve"> herein</w:t>
      </w:r>
      <w:r w:rsidRPr="008C1500">
        <w:t xml:space="preserve">, this action shall be rescinded and the application be dismissed without further proceedings in accordance with Commission </w:t>
      </w:r>
      <w:r w:rsidR="007D3038">
        <w:t>R</w:t>
      </w:r>
      <w:r w:rsidRPr="008C1500">
        <w:t>egulations.</w:t>
      </w:r>
    </w:p>
    <w:p w:rsidR="008C1500" w:rsidRPr="008C1500" w:rsidRDefault="008C1500" w:rsidP="001E307F">
      <w:pPr>
        <w:tabs>
          <w:tab w:val="left" w:pos="-720"/>
        </w:tabs>
        <w:suppressAutoHyphens/>
        <w:spacing w:line="360" w:lineRule="auto"/>
      </w:pPr>
    </w:p>
    <w:p w:rsidR="008C1500" w:rsidRPr="008C1500" w:rsidRDefault="008C1500" w:rsidP="00BC1BBA">
      <w:pPr>
        <w:tabs>
          <w:tab w:val="left" w:pos="-720"/>
        </w:tabs>
        <w:suppressAutoHyphens/>
        <w:spacing w:line="360" w:lineRule="auto"/>
        <w:ind w:firstLine="1440"/>
        <w:rPr>
          <w:u w:val="single"/>
        </w:rPr>
      </w:pPr>
      <w:r w:rsidRPr="008C1500">
        <w:t>9.</w:t>
      </w:r>
      <w:r w:rsidRPr="008C1500">
        <w:tab/>
        <w:t xml:space="preserve">That </w:t>
      </w:r>
      <w:r w:rsidR="007D3038">
        <w:t>610 Hauling, LLC</w:t>
      </w:r>
      <w:r w:rsidR="004F27F7">
        <w:t>, t/a College Hunks Hauling Junk</w:t>
      </w:r>
      <w:r w:rsidRPr="008C1500">
        <w:t xml:space="preserve"> must demonstrate safety fitness by completing a Safety Fitness Review.  </w:t>
      </w:r>
      <w:r w:rsidR="007D3038">
        <w:t>610 Hauling, LLC</w:t>
      </w:r>
      <w:r w:rsidRPr="008C1500">
        <w:t xml:space="preserve"> will be contacted by Commission staff, wh</w:t>
      </w:r>
      <w:r w:rsidR="007D3038">
        <w:t>o</w:t>
      </w:r>
      <w:r w:rsidRPr="008C1500">
        <w:t xml:space="preserve"> will schedule a review to be completed within 180 days of the date the certificate is issued.  An overview of the safety regulations can be found on the Commission’s website</w:t>
      </w:r>
      <w:r w:rsidR="00801821">
        <w:t xml:space="preserve"> at </w:t>
      </w:r>
      <w:hyperlink r:id="rId11" w:history="1">
        <w:r w:rsidR="00801821" w:rsidRPr="00744227">
          <w:rPr>
            <w:rStyle w:val="Hyperlink"/>
            <w:i/>
          </w:rPr>
          <w:t>www.puc.pa.gov/general/onlineforms/pdf/safety_fitness_compliance.pdf</w:t>
        </w:r>
      </w:hyperlink>
      <w:r w:rsidR="00801821">
        <w:t xml:space="preserve">.  </w:t>
      </w:r>
      <w:r w:rsidRPr="008C1500">
        <w:rPr>
          <w:u w:val="single"/>
        </w:rPr>
        <w:t xml:space="preserve">Failure to </w:t>
      </w:r>
      <w:r w:rsidRPr="008C1500">
        <w:rPr>
          <w:u w:val="single"/>
        </w:rPr>
        <w:lastRenderedPageBreak/>
        <w:t>submit to a Safety Fitness Review or to attain a satisfactory evaluation will result in cancellation of the certificate.</w:t>
      </w:r>
    </w:p>
    <w:p w:rsidR="008C1500" w:rsidRPr="008C1500" w:rsidRDefault="008C1500" w:rsidP="001E307F">
      <w:pPr>
        <w:tabs>
          <w:tab w:val="left" w:pos="-720"/>
        </w:tabs>
        <w:suppressAutoHyphens/>
        <w:spacing w:line="360" w:lineRule="auto"/>
      </w:pPr>
    </w:p>
    <w:p w:rsidR="008C1500" w:rsidRPr="008C1500" w:rsidRDefault="00282415" w:rsidP="001E307F">
      <w:pPr>
        <w:tabs>
          <w:tab w:val="left" w:pos="-720"/>
        </w:tabs>
        <w:suppressAutoHyphens/>
      </w:pPr>
      <w:r>
        <w:rPr>
          <w:noProof/>
        </w:rPr>
        <w:drawing>
          <wp:anchor distT="0" distB="0" distL="114300" distR="114300" simplePos="0" relativeHeight="251659264" behindDoc="1" locked="0" layoutInCell="1" allowOverlap="1" wp14:anchorId="21165851" wp14:editId="7146CD40">
            <wp:simplePos x="0" y="0"/>
            <wp:positionH relativeFrom="column">
              <wp:posOffset>3695700</wp:posOffset>
            </wp:positionH>
            <wp:positionV relativeFrom="paragraph">
              <wp:posOffset>136525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C1500" w:rsidRPr="008C1500">
        <w:rPr>
          <w:b/>
        </w:rPr>
        <w:tab/>
      </w:r>
      <w:r w:rsidR="008C1500" w:rsidRPr="008C1500">
        <w:rPr>
          <w:b/>
        </w:rPr>
        <w:tab/>
      </w:r>
      <w:r w:rsidR="008C1500" w:rsidRPr="008C1500">
        <w:rPr>
          <w:b/>
        </w:rPr>
        <w:tab/>
      </w:r>
      <w:r w:rsidR="008C1500" w:rsidRPr="008C1500">
        <w:rPr>
          <w:b/>
        </w:rPr>
        <w:tab/>
      </w:r>
      <w:r w:rsidR="008C1500" w:rsidRPr="008C1500">
        <w:rPr>
          <w:b/>
        </w:rPr>
        <w:tab/>
      </w:r>
      <w:r w:rsidR="008C1500" w:rsidRPr="008C1500">
        <w:rPr>
          <w:b/>
        </w:rPr>
        <w:tab/>
      </w:r>
      <w:r w:rsidR="008C1500" w:rsidRPr="008C1500">
        <w:rPr>
          <w:b/>
        </w:rPr>
        <w:tab/>
        <w:t>BY THE COMMISSION,</w:t>
      </w: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bookmarkStart w:id="0" w:name="_GoBack"/>
      <w:bookmarkEnd w:id="0"/>
    </w:p>
    <w:p w:rsidR="008C1500" w:rsidRPr="008C1500" w:rsidRDefault="008C1500" w:rsidP="001E307F">
      <w:pPr>
        <w:tabs>
          <w:tab w:val="left" w:pos="-720"/>
        </w:tabs>
        <w:suppressAutoHyphens/>
      </w:pPr>
      <w:r w:rsidRPr="008C1500">
        <w:tab/>
      </w:r>
      <w:r w:rsidRPr="008C1500">
        <w:tab/>
      </w:r>
      <w:r w:rsidRPr="008C1500">
        <w:tab/>
      </w:r>
      <w:r w:rsidRPr="008C1500">
        <w:tab/>
      </w:r>
      <w:r w:rsidRPr="008C1500">
        <w:tab/>
      </w:r>
      <w:r w:rsidRPr="008C1500">
        <w:tab/>
      </w:r>
      <w:r w:rsidRPr="008C1500">
        <w:tab/>
        <w:t>Rosemary Chiavetta</w:t>
      </w:r>
    </w:p>
    <w:p w:rsidR="008C1500" w:rsidRPr="008C1500" w:rsidRDefault="008C1500" w:rsidP="001E307F">
      <w:pPr>
        <w:tabs>
          <w:tab w:val="left" w:pos="-720"/>
        </w:tabs>
        <w:suppressAutoHyphens/>
      </w:pPr>
      <w:r w:rsidRPr="008C1500">
        <w:tab/>
      </w:r>
      <w:r w:rsidRPr="008C1500">
        <w:tab/>
      </w:r>
      <w:r w:rsidRPr="008C1500">
        <w:tab/>
      </w:r>
      <w:r w:rsidRPr="008C1500">
        <w:tab/>
      </w:r>
      <w:r w:rsidRPr="008C1500">
        <w:tab/>
      </w:r>
      <w:r w:rsidRPr="008C1500">
        <w:tab/>
      </w:r>
      <w:r w:rsidRPr="008C1500">
        <w:tab/>
        <w:t>Secretary</w:t>
      </w: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r w:rsidRPr="008C1500">
        <w:t>(SEAL)</w:t>
      </w: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r w:rsidRPr="008C1500">
        <w:t xml:space="preserve">ORDER ADOPTED:  </w:t>
      </w:r>
      <w:r w:rsidR="000C087C">
        <w:t>November 5</w:t>
      </w:r>
      <w:r w:rsidRPr="008C1500">
        <w:t>, 2015</w:t>
      </w:r>
    </w:p>
    <w:p w:rsidR="008C1500" w:rsidRPr="008C1500" w:rsidRDefault="008C1500" w:rsidP="001E307F">
      <w:pPr>
        <w:tabs>
          <w:tab w:val="left" w:pos="-720"/>
        </w:tabs>
        <w:suppressAutoHyphens/>
      </w:pPr>
    </w:p>
    <w:p w:rsidR="008C1500" w:rsidRPr="008C1500" w:rsidRDefault="008C1500" w:rsidP="001E307F">
      <w:pPr>
        <w:tabs>
          <w:tab w:val="left" w:pos="-720"/>
        </w:tabs>
        <w:suppressAutoHyphens/>
      </w:pPr>
      <w:r w:rsidRPr="008C1500">
        <w:t xml:space="preserve">ORDER ENTERED:  </w:t>
      </w:r>
      <w:r w:rsidR="00282415">
        <w:t>November 5, 2015</w:t>
      </w:r>
    </w:p>
    <w:p w:rsidR="008C1500" w:rsidRPr="008C1500" w:rsidRDefault="008C1500" w:rsidP="001E307F">
      <w:pPr>
        <w:tabs>
          <w:tab w:val="left" w:pos="-720"/>
        </w:tabs>
        <w:suppressAutoHyphens/>
        <w:spacing w:line="360" w:lineRule="auto"/>
        <w:ind w:firstLine="1440"/>
      </w:pPr>
    </w:p>
    <w:p w:rsidR="008C1500" w:rsidRPr="008C1500" w:rsidRDefault="008C1500" w:rsidP="001E307F">
      <w:pPr>
        <w:spacing w:line="360" w:lineRule="auto"/>
        <w:ind w:firstLine="1440"/>
      </w:pPr>
    </w:p>
    <w:p w:rsidR="008B156A" w:rsidRDefault="008B156A" w:rsidP="001E307F">
      <w:pPr>
        <w:spacing w:line="360" w:lineRule="auto"/>
        <w:ind w:firstLine="1440"/>
      </w:pPr>
    </w:p>
    <w:sectPr w:rsidR="008B156A" w:rsidSect="001E307F">
      <w:footerReference w:type="default" r:id="rId13"/>
      <w:footerReference w:type="first" r:id="rId14"/>
      <w:endnotePr>
        <w:numFmt w:val="decimal"/>
      </w:endnotePr>
      <w:pgSz w:w="12240" w:h="15840"/>
      <w:pgMar w:top="1440" w:right="1440" w:bottom="1008" w:left="1440" w:header="1440" w:footer="1008" w:gutter="0"/>
      <w:pgNumType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18" w:rsidRDefault="00EE4B18">
      <w:pPr>
        <w:spacing w:line="20" w:lineRule="exact"/>
      </w:pPr>
    </w:p>
  </w:endnote>
  <w:endnote w:type="continuationSeparator" w:id="0">
    <w:p w:rsidR="00EE4B18" w:rsidRDefault="00EE4B18">
      <w:r>
        <w:t xml:space="preserve"> </w:t>
      </w:r>
    </w:p>
  </w:endnote>
  <w:endnote w:type="continuationNotice" w:id="1">
    <w:p w:rsidR="00EE4B18" w:rsidRDefault="00EE4B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55" w:rsidRPr="002D412F" w:rsidRDefault="00AC0F55" w:rsidP="00B54B59">
    <w:pPr>
      <w:pStyle w:val="Footer"/>
      <w:jc w:val="center"/>
    </w:pPr>
    <w:r w:rsidRPr="002D412F">
      <w:fldChar w:fldCharType="begin"/>
    </w:r>
    <w:r w:rsidRPr="002D412F">
      <w:instrText xml:space="preserve"> PAGE   \* MERGEFORMAT </w:instrText>
    </w:r>
    <w:r w:rsidRPr="002D412F">
      <w:fldChar w:fldCharType="separate"/>
    </w:r>
    <w:r w:rsidR="00282415">
      <w:rPr>
        <w:noProof/>
      </w:rPr>
      <w:t>18</w:t>
    </w:r>
    <w:r w:rsidRPr="002D412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55" w:rsidRDefault="00AC0F55">
    <w:pPr>
      <w:pStyle w:val="Footer"/>
      <w:jc w:val="center"/>
    </w:pPr>
  </w:p>
  <w:p w:rsidR="00AC0F55" w:rsidRDefault="00AC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18" w:rsidRDefault="00EE4B18" w:rsidP="00EC0257">
      <w:pPr>
        <w:ind w:firstLine="0"/>
      </w:pPr>
      <w:r>
        <w:separator/>
      </w:r>
    </w:p>
  </w:footnote>
  <w:footnote w:type="continuationSeparator" w:id="0">
    <w:p w:rsidR="00EE4B18" w:rsidRDefault="00EE4B18">
      <w:r>
        <w:continuationSeparator/>
      </w:r>
    </w:p>
  </w:footnote>
  <w:footnote w:id="1">
    <w:p w:rsidR="00DF5017" w:rsidRDefault="00DF5017" w:rsidP="001E307F">
      <w:pPr>
        <w:pStyle w:val="FootnoteText"/>
        <w:keepNext/>
        <w:keepLines/>
      </w:pPr>
      <w:r>
        <w:rPr>
          <w:rStyle w:val="FootnoteReference"/>
        </w:rPr>
        <w:footnoteRef/>
      </w:r>
      <w:r>
        <w:t xml:space="preserve"> </w:t>
      </w:r>
      <w:r>
        <w:tab/>
      </w:r>
      <w:r w:rsidR="008975BD">
        <w:t>W</w:t>
      </w:r>
      <w:r>
        <w:t xml:space="preserve">e </w:t>
      </w:r>
      <w:r w:rsidR="008975BD">
        <w:t xml:space="preserve">shall </w:t>
      </w:r>
      <w:r>
        <w:t xml:space="preserve">consider the document to be a </w:t>
      </w:r>
      <w:r w:rsidR="008975BD">
        <w:t xml:space="preserve">petition </w:t>
      </w:r>
      <w:r>
        <w:t xml:space="preserve">for reconsideration </w:t>
      </w:r>
      <w:r w:rsidR="008975BD">
        <w:t xml:space="preserve">from action of the staff </w:t>
      </w:r>
      <w:r>
        <w:t xml:space="preserve">pursuant to </w:t>
      </w:r>
      <w:r w:rsidR="005B2F92">
        <w:t>our Regulation at 52 Pa. Code § 5.44</w:t>
      </w:r>
      <w:r>
        <w:t>.</w:t>
      </w:r>
    </w:p>
  </w:footnote>
  <w:footnote w:id="2">
    <w:p w:rsidR="00AC0F55" w:rsidRPr="00B536E2" w:rsidRDefault="00AC0F55" w:rsidP="00B536E2">
      <w:pPr>
        <w:pStyle w:val="FootnoteText"/>
      </w:pPr>
      <w:r w:rsidRPr="00B536E2">
        <w:rPr>
          <w:rStyle w:val="FootnoteReference"/>
        </w:rPr>
        <w:footnoteRef/>
      </w:r>
      <w:r w:rsidRPr="00B536E2">
        <w:tab/>
      </w:r>
      <w:r>
        <w:t xml:space="preserve">Although the Second Petition was filed outside the twenty-day review period, the May 8, 2015 Secretarial Letter did not contain </w:t>
      </w:r>
      <w:r w:rsidRPr="007F4053">
        <w:t>notice of the right to seek reconsideration of the staff action within twenty days.</w:t>
      </w:r>
      <w:r>
        <w:t xml:space="preserve">  Further, review of the </w:t>
      </w:r>
      <w:r w:rsidR="005F427E">
        <w:t>record</w:t>
      </w:r>
      <w:r>
        <w:t xml:space="preserve"> reveals that the May 8, 2015 letter was re-served on May</w:t>
      </w:r>
      <w:r w:rsidR="00711E83">
        <w:t> </w:t>
      </w:r>
      <w:r>
        <w:t>14, 2015, rendering the present appeal timely.</w:t>
      </w:r>
    </w:p>
  </w:footnote>
  <w:footnote w:id="3">
    <w:p w:rsidR="00AC0F55" w:rsidRPr="00C84FA6" w:rsidRDefault="00AC0F55" w:rsidP="00C84FA6">
      <w:pPr>
        <w:pStyle w:val="FootnoteText"/>
      </w:pPr>
      <w:r w:rsidRPr="00C84FA6">
        <w:rPr>
          <w:rStyle w:val="FootnoteReference"/>
        </w:rPr>
        <w:footnoteRef/>
      </w:r>
      <w:r w:rsidRPr="00C84FA6">
        <w:t xml:space="preserve"> </w:t>
      </w:r>
      <w:r>
        <w:tab/>
      </w:r>
      <w:r w:rsidRPr="00C84FA6">
        <w:t xml:space="preserve">Because this is the </w:t>
      </w:r>
      <w:r w:rsidR="00D24B10">
        <w:t>s</w:t>
      </w:r>
      <w:r w:rsidRPr="00C84FA6">
        <w:t xml:space="preserve">econd </w:t>
      </w:r>
      <w:r w:rsidR="00FA4BA3">
        <w:t>time this matter is before us on reconsideration</w:t>
      </w:r>
      <w:r w:rsidRPr="00C84FA6">
        <w:t>, details</w:t>
      </w:r>
      <w:r>
        <w:t xml:space="preserve"> that</w:t>
      </w:r>
      <w:r w:rsidRPr="00C84FA6">
        <w:t xml:space="preserve"> are not pertinent to </w:t>
      </w:r>
      <w:r w:rsidR="00711E83">
        <w:t>this</w:t>
      </w:r>
      <w:r w:rsidRPr="00C84FA6">
        <w:t xml:space="preserve"> disposition are omitted.  A full recitation of facts </w:t>
      </w:r>
      <w:r w:rsidR="00FA4BA3">
        <w:t xml:space="preserve">that preceded the first reconsideration </w:t>
      </w:r>
      <w:r w:rsidRPr="00C84FA6">
        <w:t>is contained in our Order entered November 13, 2014</w:t>
      </w:r>
      <w:r>
        <w:t xml:space="preserve"> (</w:t>
      </w:r>
      <w:r>
        <w:rPr>
          <w:i/>
        </w:rPr>
        <w:t>November 2014 Order</w:t>
      </w:r>
      <w:r>
        <w:t>)</w:t>
      </w:r>
      <w:r w:rsidRPr="00C84FA6">
        <w:t xml:space="preserve"> </w:t>
      </w:r>
      <w:r>
        <w:t>at</w:t>
      </w:r>
      <w:r w:rsidRPr="00C84FA6">
        <w:t xml:space="preserve"> this docket.</w:t>
      </w:r>
    </w:p>
  </w:footnote>
  <w:footnote w:id="4">
    <w:p w:rsidR="004D62CD" w:rsidRDefault="004D62CD">
      <w:pPr>
        <w:pStyle w:val="FootnoteText"/>
      </w:pPr>
      <w:r>
        <w:rPr>
          <w:rStyle w:val="FootnoteReference"/>
        </w:rPr>
        <w:footnoteRef/>
      </w:r>
      <w:r>
        <w:t xml:space="preserve"> </w:t>
      </w:r>
      <w:r>
        <w:tab/>
        <w:t>Our reference to Commission Staff herein refers to the Commission’s Bureau of Technical Utility Services (TUS).</w:t>
      </w:r>
    </w:p>
  </w:footnote>
  <w:footnote w:id="5">
    <w:p w:rsidR="00AC0F55" w:rsidRPr="00E51CE5" w:rsidRDefault="00AC0F55" w:rsidP="00E51CE5">
      <w:pPr>
        <w:pStyle w:val="FootnoteText"/>
        <w:keepLines/>
      </w:pPr>
      <w:r w:rsidRPr="00E51CE5">
        <w:rPr>
          <w:rStyle w:val="FootnoteReference"/>
        </w:rPr>
        <w:footnoteRef/>
      </w:r>
      <w:r w:rsidRPr="00E51CE5">
        <w:t xml:space="preserve"> </w:t>
      </w:r>
      <w:r>
        <w:tab/>
      </w:r>
      <w:r w:rsidRPr="00E51CE5">
        <w:t xml:space="preserve">Revisions to 52 Pa. Code § 3.381 </w:t>
      </w:r>
      <w:r>
        <w:t>were ef</w:t>
      </w:r>
      <w:r w:rsidRPr="00E51CE5">
        <w:t xml:space="preserve">fective upon publication at 45 </w:t>
      </w:r>
      <w:r w:rsidRPr="00E51CE5">
        <w:rPr>
          <w:i/>
        </w:rPr>
        <w:t>Pa. B.</w:t>
      </w:r>
      <w:r w:rsidRPr="00E51CE5">
        <w:t xml:space="preserve"> 2468.</w:t>
      </w:r>
    </w:p>
  </w:footnote>
  <w:footnote w:id="6">
    <w:p w:rsidR="00B54B59" w:rsidRPr="00D34396" w:rsidRDefault="00B54B59" w:rsidP="00B54B59">
      <w:pPr>
        <w:pStyle w:val="FootnoteText"/>
        <w:keepLines/>
      </w:pPr>
      <w:r w:rsidRPr="00D34396">
        <w:rPr>
          <w:rStyle w:val="FootnoteReference"/>
        </w:rPr>
        <w:footnoteRef/>
      </w:r>
      <w:r w:rsidRPr="00D34396">
        <w:t xml:space="preserve"> </w:t>
      </w:r>
      <w:r>
        <w:tab/>
      </w:r>
      <w:r w:rsidR="00075592">
        <w:t>At the same time we proposed the modifications to o</w:t>
      </w:r>
      <w:r w:rsidRPr="00D34396">
        <w:t xml:space="preserve">ur Regulation </w:t>
      </w:r>
      <w:r>
        <w:t xml:space="preserve">at </w:t>
      </w:r>
      <w:r w:rsidR="00075592">
        <w:t xml:space="preserve">52 Pa. Code § </w:t>
      </w:r>
      <w:r>
        <w:t>3.381</w:t>
      </w:r>
      <w:r w:rsidR="00075592">
        <w:t xml:space="preserve">, we also proposed </w:t>
      </w:r>
      <w:r w:rsidR="0012630D">
        <w:t xml:space="preserve">parallel modifications </w:t>
      </w:r>
      <w:r w:rsidR="00075592">
        <w:t>to th</w:t>
      </w:r>
      <w:r w:rsidR="0012630D">
        <w:t>is</w:t>
      </w:r>
      <w:r w:rsidR="00075592">
        <w:t xml:space="preserve"> Policy Statement</w:t>
      </w:r>
      <w:r w:rsidR="0012630D">
        <w:t xml:space="preserve">. </w:t>
      </w:r>
      <w:r w:rsidRPr="00D34396">
        <w:t xml:space="preserve"> </w:t>
      </w:r>
      <w:r w:rsidR="0012630D">
        <w:t>A</w:t>
      </w:r>
      <w:r w:rsidRPr="00D34396">
        <w:t xml:space="preserve">t </w:t>
      </w:r>
      <w:r w:rsidR="0012630D">
        <w:t xml:space="preserve">the suggestion of the Independent Regulatory Review Commission, </w:t>
      </w:r>
      <w:r w:rsidRPr="00D34396">
        <w:t xml:space="preserve">provisions contained in </w:t>
      </w:r>
      <w:r>
        <w:t>proposed modifications to this</w:t>
      </w:r>
      <w:r w:rsidRPr="00D34396">
        <w:t xml:space="preserve"> Policy Statement were moved to the Regulation itself</w:t>
      </w:r>
      <w:r w:rsidR="00C55666">
        <w:t>,</w:t>
      </w:r>
      <w:r w:rsidRPr="00D34396">
        <w:t xml:space="preserve"> with formal changes to the Policy Statement deferred to a subsequent order</w:t>
      </w:r>
      <w:r w:rsidR="00C55666">
        <w:t xml:space="preserve"> that</w:t>
      </w:r>
      <w:r w:rsidRPr="00D34396">
        <w:t xml:space="preserve"> remains pending. </w:t>
      </w:r>
      <w:r w:rsidR="00824F4C">
        <w:t xml:space="preserve"> </w:t>
      </w:r>
      <w:r w:rsidR="0012630D">
        <w:t xml:space="preserve">Therefore, while </w:t>
      </w:r>
      <w:r w:rsidRPr="00D34396">
        <w:t xml:space="preserve">we abide by the revised Regulation </w:t>
      </w:r>
      <w:r w:rsidR="00C55666">
        <w:t xml:space="preserve">and </w:t>
      </w:r>
      <w:r w:rsidR="0012630D">
        <w:t>companion</w:t>
      </w:r>
      <w:r w:rsidRPr="00D34396">
        <w:t xml:space="preserve"> Policy Statement</w:t>
      </w:r>
      <w:r w:rsidR="0012630D">
        <w:t xml:space="preserve"> in this Order, we consider the latter </w:t>
      </w:r>
      <w:r w:rsidRPr="00D34396">
        <w:t xml:space="preserve">without reference to </w:t>
      </w:r>
      <w:r w:rsidR="0012630D">
        <w:t xml:space="preserve">its factors regarding </w:t>
      </w:r>
      <w:r w:rsidRPr="00D34396">
        <w:t>need.</w:t>
      </w:r>
    </w:p>
  </w:footnote>
  <w:footnote w:id="7">
    <w:p w:rsidR="00A250BA" w:rsidRDefault="00A250BA" w:rsidP="00A250BA">
      <w:pPr>
        <w:pStyle w:val="FootnoteText"/>
      </w:pPr>
      <w:r>
        <w:rPr>
          <w:rStyle w:val="FootnoteReference"/>
        </w:rPr>
        <w:footnoteRef/>
      </w:r>
      <w:r>
        <w:t xml:space="preserve"> </w:t>
      </w:r>
      <w:r>
        <w:tab/>
        <w:t>The Applicant stated in its cover letter to the November 20, 2014 submission of information that it was providing “[e]</w:t>
      </w:r>
      <w:proofErr w:type="spellStart"/>
      <w:r>
        <w:t>xpanded</w:t>
      </w:r>
      <w:proofErr w:type="spellEnd"/>
      <w:r>
        <w:t xml:space="preserve"> responses to inquiries numbered </w:t>
      </w:r>
      <w:r w:rsidRPr="0012630D">
        <w:rPr>
          <w:b/>
          <w:u w:val="single"/>
        </w:rPr>
        <w:t>1</w:t>
      </w:r>
      <w:r>
        <w:t xml:space="preserve"> and 6.”  Second Petition, Exhibit H</w:t>
      </w:r>
      <w:r w:rsidR="00AB0ACA">
        <w:t xml:space="preserve"> (emphasis added)</w:t>
      </w:r>
      <w:r>
        <w:t xml:space="preserve">.  </w:t>
      </w:r>
      <w:r w:rsidR="004D62CD">
        <w:t>The Commission Staff’s</w:t>
      </w:r>
      <w:r>
        <w:t xml:space="preserve"> inquiries in its May 20, 2014 letter, however, requested a “more complete response” to questions </w:t>
      </w:r>
      <w:r w:rsidRPr="0012630D">
        <w:rPr>
          <w:b/>
          <w:u w:val="single"/>
        </w:rPr>
        <w:t>4</w:t>
      </w:r>
      <w:r>
        <w:t xml:space="preserve"> and 6 on the verified statement attached to the Application.  </w:t>
      </w:r>
      <w:proofErr w:type="gramStart"/>
      <w:r>
        <w:t>First Petition, Exhibit B.</w:t>
      </w:r>
      <w:proofErr w:type="gramEnd"/>
      <w:r>
        <w:t xml:space="preserve">  We find that the correct reference, and the one pertinent to the finding in the </w:t>
      </w:r>
      <w:r>
        <w:rPr>
          <w:i/>
        </w:rPr>
        <w:t>May 2015 Secretarial Letter</w:t>
      </w:r>
      <w:r>
        <w:t xml:space="preserve"> regarding the untitled log, is to question 4 on the Applicant’s verified statement, which requested information on matters such as facilities, record maintenance, communication network, office area and machines, storage facilities, record maintenance, business records, and intake of customer inquiries. </w:t>
      </w:r>
    </w:p>
  </w:footnote>
  <w:footnote w:id="8">
    <w:p w:rsidR="00DF5EC8" w:rsidRPr="00DF5EC8" w:rsidRDefault="00DF5EC8">
      <w:pPr>
        <w:pStyle w:val="FootnoteText"/>
      </w:pPr>
      <w:r>
        <w:rPr>
          <w:rStyle w:val="FootnoteReference"/>
        </w:rPr>
        <w:footnoteRef/>
      </w:r>
      <w:r>
        <w:t xml:space="preserve"> </w:t>
      </w:r>
      <w:r>
        <w:tab/>
      </w:r>
      <w:r>
        <w:rPr>
          <w:i/>
        </w:rPr>
        <w:t xml:space="preserve">See </w:t>
      </w:r>
      <w:r>
        <w:t>Second Petition, Exhibit J (Application) at ¶ 2.</w:t>
      </w:r>
    </w:p>
  </w:footnote>
  <w:footnote w:id="9">
    <w:p w:rsidR="00726A27" w:rsidRDefault="00726A27" w:rsidP="00726A27">
      <w:pPr>
        <w:pStyle w:val="FootnoteText"/>
      </w:pPr>
      <w:r>
        <w:rPr>
          <w:rStyle w:val="FootnoteReference"/>
        </w:rPr>
        <w:footnoteRef/>
      </w:r>
      <w:r>
        <w:t xml:space="preserve"> </w:t>
      </w:r>
      <w:r w:rsidR="00407F77">
        <w:tab/>
      </w:r>
      <w:r>
        <w:t>For reasons that are unclear on the record, the Applicant appears to have attached multiple copies of the same log to both the First Petition (Exhibit C) and the Second Petition (Exhibit I).</w:t>
      </w:r>
    </w:p>
  </w:footnote>
  <w:footnote w:id="10">
    <w:p w:rsidR="00BC4973" w:rsidRDefault="00BC4973" w:rsidP="001E307F">
      <w:pPr>
        <w:pStyle w:val="FootnoteText"/>
        <w:keepNext/>
        <w:keepLines/>
      </w:pPr>
      <w:r>
        <w:rPr>
          <w:rStyle w:val="FootnoteReference"/>
        </w:rPr>
        <w:footnoteRef/>
      </w:r>
      <w:r>
        <w:t xml:space="preserve"> </w:t>
      </w:r>
      <w:r w:rsidR="00407F77">
        <w:tab/>
      </w:r>
      <w:r>
        <w:t>To this point it is also notable that we have previously found that “</w:t>
      </w:r>
      <w:r w:rsidRPr="00BC4973">
        <w:t xml:space="preserve">it is not possible to delineate exacting, quantifiable standards of what constitutes </w:t>
      </w:r>
      <w:r w:rsidRPr="00BC4973">
        <w:rPr>
          <w:i/>
          <w:iCs/>
        </w:rPr>
        <w:t>safely and legally.</w:t>
      </w:r>
      <w:r>
        <w:rPr>
          <w:i/>
          <w:iCs/>
        </w:rPr>
        <w:t xml:space="preserve">  </w:t>
      </w:r>
      <w:r w:rsidRPr="00BC4973">
        <w:t>Each case stands on its own merits, left to the evidence presented and the Commission's sound discretion.</w:t>
      </w:r>
      <w:r>
        <w:t xml:space="preserve">”  </w:t>
      </w:r>
      <w:proofErr w:type="gramStart"/>
      <w:r>
        <w:rPr>
          <w:i/>
        </w:rPr>
        <w:t>Final Rulemaking</w:t>
      </w:r>
      <w:r>
        <w:t xml:space="preserve">, </w:t>
      </w:r>
      <w:r w:rsidRPr="00BC4973">
        <w:t>2014 WL 2876694</w:t>
      </w:r>
      <w:r>
        <w:rPr>
          <w:i/>
        </w:rPr>
        <w:t xml:space="preserve"> </w:t>
      </w:r>
      <w:r>
        <w:t>at *7 (emphasis in original).</w:t>
      </w:r>
      <w:proofErr w:type="gramEnd"/>
      <w:r>
        <w:t xml:space="preserve">  </w:t>
      </w:r>
      <w:r w:rsidR="00BB39DF">
        <w:t>Moreover, the propensity to operate unsafely and illegally has generally been interpreted to mean a persistent disregard for, flouting of, defiant attitude towards</w:t>
      </w:r>
      <w:r w:rsidR="00D71836">
        <w:t>,</w:t>
      </w:r>
      <w:r w:rsidR="00BB39DF">
        <w:t xml:space="preserve"> or natural inclination to operate outside of safety and the law.  </w:t>
      </w:r>
      <w:r w:rsidR="00D71836">
        <w:t xml:space="preserve">The fact that the Applicant has attempted to cure all issues raised with respect to the 2012 Application does not appear to exemplify persistent disregard for the law.  </w:t>
      </w:r>
      <w:r w:rsidR="00D71836" w:rsidRPr="00D71836">
        <w:rPr>
          <w:i/>
        </w:rPr>
        <w:t>Id</w:t>
      </w:r>
      <w:r w:rsidR="00D71836">
        <w:t xml:space="preserve">.  </w:t>
      </w:r>
      <w:r w:rsidR="00BB39DF" w:rsidRPr="00D71836">
        <w:t>Finally</w:t>
      </w:r>
      <w:r w:rsidR="00BB39DF">
        <w:t xml:space="preserve">, </w:t>
      </w:r>
      <w:r>
        <w:t xml:space="preserve">even if transactions in the untitled log included moves of household goods in use, as opposed to junk as </w:t>
      </w:r>
      <w:r w:rsidR="006A18A8">
        <w:t xml:space="preserve">the </w:t>
      </w:r>
      <w:r w:rsidR="00267AA4">
        <w:t xml:space="preserve">Applicant </w:t>
      </w:r>
      <w:r>
        <w:t xml:space="preserve">averred </w:t>
      </w:r>
      <w:r w:rsidR="008173A2">
        <w:t xml:space="preserve">in 2012 </w:t>
      </w:r>
      <w:r w:rsidR="00267AA4">
        <w:t xml:space="preserve">was his existing business, </w:t>
      </w:r>
      <w:r>
        <w:t>“[</w:t>
      </w:r>
      <w:proofErr w:type="spellStart"/>
      <w:r>
        <w:t>i</w:t>
      </w:r>
      <w:proofErr w:type="spellEnd"/>
      <w:r>
        <w:t>]</w:t>
      </w:r>
      <w:r w:rsidRPr="00BC4973">
        <w:t>t is well established that the applicant’s prior unlawful operations do not preclude the PUC from granting authority in a subsequent proceeding</w:t>
      </w:r>
      <w:r>
        <w:t>.</w:t>
      </w:r>
      <w:r w:rsidR="00267AA4">
        <w:t>”</w:t>
      </w:r>
      <w:r>
        <w:t xml:space="preserve">  </w:t>
      </w:r>
      <w:proofErr w:type="gramStart"/>
      <w:r w:rsidRPr="00BC4973">
        <w:rPr>
          <w:i/>
        </w:rPr>
        <w:t>Loma</w:t>
      </w:r>
      <w:r w:rsidR="00267AA4">
        <w:rPr>
          <w:i/>
        </w:rPr>
        <w:t>,</w:t>
      </w:r>
      <w:r w:rsidRPr="00BC4973">
        <w:rPr>
          <w:i/>
        </w:rPr>
        <w:t xml:space="preserve"> Inc</w:t>
      </w:r>
      <w:r w:rsidR="00267AA4">
        <w:rPr>
          <w:i/>
        </w:rPr>
        <w:t>.</w:t>
      </w:r>
      <w:r w:rsidRPr="00BC4973">
        <w:rPr>
          <w:i/>
        </w:rPr>
        <w:t xml:space="preserve"> v. Pa</w:t>
      </w:r>
      <w:r w:rsidR="004F27F7">
        <w:rPr>
          <w:i/>
        </w:rPr>
        <w:t>.</w:t>
      </w:r>
      <w:r w:rsidRPr="00BC4973">
        <w:rPr>
          <w:i/>
        </w:rPr>
        <w:t xml:space="preserve"> PUC</w:t>
      </w:r>
      <w:r>
        <w:t>,</w:t>
      </w:r>
      <w:r w:rsidRPr="00BC4973">
        <w:t xml:space="preserve"> 682 A</w:t>
      </w:r>
      <w:r>
        <w:t>.</w:t>
      </w:r>
      <w:r w:rsidRPr="00BC4973">
        <w:t>2d 424 (Pa</w:t>
      </w:r>
      <w:r>
        <w:t xml:space="preserve">. </w:t>
      </w:r>
      <w:proofErr w:type="spellStart"/>
      <w:r>
        <w:t>Cmwlth</w:t>
      </w:r>
      <w:proofErr w:type="spellEnd"/>
      <w:r>
        <w:t>.</w:t>
      </w:r>
      <w:r w:rsidRPr="00BC4973">
        <w:t xml:space="preserve"> 1996</w:t>
      </w:r>
      <w:r>
        <w:t xml:space="preserve">), citing </w:t>
      </w:r>
      <w:r>
        <w:rPr>
          <w:i/>
        </w:rPr>
        <w:t>Brinks, Inc. v. Pa. PUC</w:t>
      </w:r>
      <w:r>
        <w:t>, 500 Pa. 387</w:t>
      </w:r>
      <w:r w:rsidR="00267AA4">
        <w:t>, 456 A.2d 1342 (1983).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942"/>
    <w:multiLevelType w:val="hybridMultilevel"/>
    <w:tmpl w:val="A77C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5172D"/>
    <w:multiLevelType w:val="singleLevel"/>
    <w:tmpl w:val="A12C86C2"/>
    <w:lvl w:ilvl="0">
      <w:start w:val="1"/>
      <w:numFmt w:val="decimal"/>
      <w:lvlText w:val="%1."/>
      <w:legacy w:legacy="1" w:legacySpace="0" w:legacyIndent="720"/>
      <w:lvlJc w:val="left"/>
      <w:pPr>
        <w:ind w:left="1440" w:hanging="720"/>
      </w:pPr>
    </w:lvl>
  </w:abstractNum>
  <w:abstractNum w:abstractNumId="2">
    <w:nsid w:val="613B66CB"/>
    <w:multiLevelType w:val="hybridMultilevel"/>
    <w:tmpl w:val="4BBCDC40"/>
    <w:lvl w:ilvl="0" w:tplc="FD4C155C">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3"/>
    <w:rsid w:val="00000DFE"/>
    <w:rsid w:val="000020C3"/>
    <w:rsid w:val="00003685"/>
    <w:rsid w:val="00003E3E"/>
    <w:rsid w:val="00003EF4"/>
    <w:rsid w:val="000047A1"/>
    <w:rsid w:val="0000507A"/>
    <w:rsid w:val="00007EB2"/>
    <w:rsid w:val="00014AED"/>
    <w:rsid w:val="00016B48"/>
    <w:rsid w:val="00017039"/>
    <w:rsid w:val="0002297F"/>
    <w:rsid w:val="000230EA"/>
    <w:rsid w:val="000246A7"/>
    <w:rsid w:val="0002514B"/>
    <w:rsid w:val="00025A41"/>
    <w:rsid w:val="00027AB6"/>
    <w:rsid w:val="000306E2"/>
    <w:rsid w:val="00030D11"/>
    <w:rsid w:val="00032CCC"/>
    <w:rsid w:val="00032FF7"/>
    <w:rsid w:val="00033A72"/>
    <w:rsid w:val="00033F6A"/>
    <w:rsid w:val="000344F0"/>
    <w:rsid w:val="00034C8D"/>
    <w:rsid w:val="00035B33"/>
    <w:rsid w:val="00035BC2"/>
    <w:rsid w:val="000377FA"/>
    <w:rsid w:val="00037876"/>
    <w:rsid w:val="0004030C"/>
    <w:rsid w:val="0004172C"/>
    <w:rsid w:val="00045AA5"/>
    <w:rsid w:val="00051292"/>
    <w:rsid w:val="00054B24"/>
    <w:rsid w:val="00056BA6"/>
    <w:rsid w:val="000572E8"/>
    <w:rsid w:val="00061B6A"/>
    <w:rsid w:val="0006468D"/>
    <w:rsid w:val="0006482F"/>
    <w:rsid w:val="000649A7"/>
    <w:rsid w:val="00064A9D"/>
    <w:rsid w:val="000659A7"/>
    <w:rsid w:val="0006618F"/>
    <w:rsid w:val="000663DE"/>
    <w:rsid w:val="00066935"/>
    <w:rsid w:val="00067411"/>
    <w:rsid w:val="000674F4"/>
    <w:rsid w:val="00067C13"/>
    <w:rsid w:val="00067FC3"/>
    <w:rsid w:val="00071562"/>
    <w:rsid w:val="0007159C"/>
    <w:rsid w:val="000718C5"/>
    <w:rsid w:val="00071C7F"/>
    <w:rsid w:val="00073A28"/>
    <w:rsid w:val="00075592"/>
    <w:rsid w:val="00075F6D"/>
    <w:rsid w:val="000767E0"/>
    <w:rsid w:val="00076C34"/>
    <w:rsid w:val="0007742D"/>
    <w:rsid w:val="00082B28"/>
    <w:rsid w:val="00085DB1"/>
    <w:rsid w:val="00086CCC"/>
    <w:rsid w:val="00090842"/>
    <w:rsid w:val="00090C3B"/>
    <w:rsid w:val="00092DE6"/>
    <w:rsid w:val="000942DF"/>
    <w:rsid w:val="00097FE2"/>
    <w:rsid w:val="000A2111"/>
    <w:rsid w:val="000A40DD"/>
    <w:rsid w:val="000A4BFD"/>
    <w:rsid w:val="000A6F19"/>
    <w:rsid w:val="000B058E"/>
    <w:rsid w:val="000B2230"/>
    <w:rsid w:val="000B4FB1"/>
    <w:rsid w:val="000B6196"/>
    <w:rsid w:val="000C071F"/>
    <w:rsid w:val="000C087C"/>
    <w:rsid w:val="000C1EF4"/>
    <w:rsid w:val="000C2591"/>
    <w:rsid w:val="000C4F0A"/>
    <w:rsid w:val="000C6BDB"/>
    <w:rsid w:val="000D025F"/>
    <w:rsid w:val="000D0882"/>
    <w:rsid w:val="000D2A62"/>
    <w:rsid w:val="000D2DD7"/>
    <w:rsid w:val="000D494C"/>
    <w:rsid w:val="000D6B7D"/>
    <w:rsid w:val="000D7A50"/>
    <w:rsid w:val="000E534E"/>
    <w:rsid w:val="000E543B"/>
    <w:rsid w:val="000E5E41"/>
    <w:rsid w:val="000F164A"/>
    <w:rsid w:val="000F1F26"/>
    <w:rsid w:val="000F3507"/>
    <w:rsid w:val="000F57CC"/>
    <w:rsid w:val="000F58B7"/>
    <w:rsid w:val="000F73C0"/>
    <w:rsid w:val="000F761F"/>
    <w:rsid w:val="000F769F"/>
    <w:rsid w:val="000F7B7E"/>
    <w:rsid w:val="0010084A"/>
    <w:rsid w:val="0010254B"/>
    <w:rsid w:val="0010444F"/>
    <w:rsid w:val="00105B08"/>
    <w:rsid w:val="0010791C"/>
    <w:rsid w:val="00116CD5"/>
    <w:rsid w:val="00117DD0"/>
    <w:rsid w:val="001203DB"/>
    <w:rsid w:val="00122313"/>
    <w:rsid w:val="001234A6"/>
    <w:rsid w:val="001234C5"/>
    <w:rsid w:val="00123CC3"/>
    <w:rsid w:val="001252FB"/>
    <w:rsid w:val="0012630D"/>
    <w:rsid w:val="00132BE6"/>
    <w:rsid w:val="00135E8E"/>
    <w:rsid w:val="001407F1"/>
    <w:rsid w:val="00142197"/>
    <w:rsid w:val="00144E57"/>
    <w:rsid w:val="00145D81"/>
    <w:rsid w:val="001466FC"/>
    <w:rsid w:val="0014739C"/>
    <w:rsid w:val="00147596"/>
    <w:rsid w:val="00150222"/>
    <w:rsid w:val="00154908"/>
    <w:rsid w:val="00155C17"/>
    <w:rsid w:val="001564C1"/>
    <w:rsid w:val="00157007"/>
    <w:rsid w:val="001576E5"/>
    <w:rsid w:val="00157C87"/>
    <w:rsid w:val="00162C5E"/>
    <w:rsid w:val="00164A3D"/>
    <w:rsid w:val="001661FB"/>
    <w:rsid w:val="001677E2"/>
    <w:rsid w:val="00173950"/>
    <w:rsid w:val="0017441D"/>
    <w:rsid w:val="00174F73"/>
    <w:rsid w:val="00175597"/>
    <w:rsid w:val="001810E2"/>
    <w:rsid w:val="00181AEE"/>
    <w:rsid w:val="00182B65"/>
    <w:rsid w:val="001851EE"/>
    <w:rsid w:val="00185BFE"/>
    <w:rsid w:val="001902ED"/>
    <w:rsid w:val="00192BD8"/>
    <w:rsid w:val="001941C4"/>
    <w:rsid w:val="00195457"/>
    <w:rsid w:val="0019579E"/>
    <w:rsid w:val="00195D7D"/>
    <w:rsid w:val="00197F5F"/>
    <w:rsid w:val="001A0061"/>
    <w:rsid w:val="001A1724"/>
    <w:rsid w:val="001A1C28"/>
    <w:rsid w:val="001A21C2"/>
    <w:rsid w:val="001A2D5A"/>
    <w:rsid w:val="001A3151"/>
    <w:rsid w:val="001A36CE"/>
    <w:rsid w:val="001A413B"/>
    <w:rsid w:val="001A475F"/>
    <w:rsid w:val="001A4B6E"/>
    <w:rsid w:val="001A62C0"/>
    <w:rsid w:val="001B09F3"/>
    <w:rsid w:val="001C0B8B"/>
    <w:rsid w:val="001C2F11"/>
    <w:rsid w:val="001D0208"/>
    <w:rsid w:val="001D0B8C"/>
    <w:rsid w:val="001D19E9"/>
    <w:rsid w:val="001D260C"/>
    <w:rsid w:val="001D3216"/>
    <w:rsid w:val="001D5638"/>
    <w:rsid w:val="001D7D68"/>
    <w:rsid w:val="001E018A"/>
    <w:rsid w:val="001E185D"/>
    <w:rsid w:val="001E2125"/>
    <w:rsid w:val="001E307F"/>
    <w:rsid w:val="001E3247"/>
    <w:rsid w:val="001E6B48"/>
    <w:rsid w:val="001E6B9F"/>
    <w:rsid w:val="001F18F0"/>
    <w:rsid w:val="001F1F68"/>
    <w:rsid w:val="001F4FDC"/>
    <w:rsid w:val="001F5E08"/>
    <w:rsid w:val="001F5F7C"/>
    <w:rsid w:val="001F6B6E"/>
    <w:rsid w:val="001F7C49"/>
    <w:rsid w:val="002060E1"/>
    <w:rsid w:val="00210FF8"/>
    <w:rsid w:val="002119F2"/>
    <w:rsid w:val="0021490C"/>
    <w:rsid w:val="00215BE9"/>
    <w:rsid w:val="0021785F"/>
    <w:rsid w:val="002200D9"/>
    <w:rsid w:val="00220442"/>
    <w:rsid w:val="00221F94"/>
    <w:rsid w:val="00224C37"/>
    <w:rsid w:val="00227376"/>
    <w:rsid w:val="00230AA3"/>
    <w:rsid w:val="00235F15"/>
    <w:rsid w:val="00240FA8"/>
    <w:rsid w:val="00243890"/>
    <w:rsid w:val="0024396A"/>
    <w:rsid w:val="00243BC6"/>
    <w:rsid w:val="00244B57"/>
    <w:rsid w:val="00246CE9"/>
    <w:rsid w:val="00247DDA"/>
    <w:rsid w:val="00250171"/>
    <w:rsid w:val="00257D20"/>
    <w:rsid w:val="00261B14"/>
    <w:rsid w:val="00266C3F"/>
    <w:rsid w:val="00266D0F"/>
    <w:rsid w:val="00267082"/>
    <w:rsid w:val="00267AA4"/>
    <w:rsid w:val="0027084C"/>
    <w:rsid w:val="002727E0"/>
    <w:rsid w:val="002731D1"/>
    <w:rsid w:val="00273B94"/>
    <w:rsid w:val="00274D59"/>
    <w:rsid w:val="00277D28"/>
    <w:rsid w:val="00280597"/>
    <w:rsid w:val="00282415"/>
    <w:rsid w:val="00285A3F"/>
    <w:rsid w:val="00291CEE"/>
    <w:rsid w:val="00292BAA"/>
    <w:rsid w:val="0029357C"/>
    <w:rsid w:val="00293E72"/>
    <w:rsid w:val="002A02FE"/>
    <w:rsid w:val="002A19D8"/>
    <w:rsid w:val="002A1E40"/>
    <w:rsid w:val="002A2FAB"/>
    <w:rsid w:val="002A3716"/>
    <w:rsid w:val="002A4A9C"/>
    <w:rsid w:val="002A67A6"/>
    <w:rsid w:val="002A7D35"/>
    <w:rsid w:val="002B0A13"/>
    <w:rsid w:val="002B0BB5"/>
    <w:rsid w:val="002B3A6E"/>
    <w:rsid w:val="002B53A2"/>
    <w:rsid w:val="002B5EC8"/>
    <w:rsid w:val="002B60AC"/>
    <w:rsid w:val="002B73BA"/>
    <w:rsid w:val="002B788D"/>
    <w:rsid w:val="002C061F"/>
    <w:rsid w:val="002C0D6B"/>
    <w:rsid w:val="002C1DFC"/>
    <w:rsid w:val="002C2090"/>
    <w:rsid w:val="002C4CAA"/>
    <w:rsid w:val="002C6D0D"/>
    <w:rsid w:val="002C6FC8"/>
    <w:rsid w:val="002D11F4"/>
    <w:rsid w:val="002D24E2"/>
    <w:rsid w:val="002D3418"/>
    <w:rsid w:val="002D412F"/>
    <w:rsid w:val="002D7ADB"/>
    <w:rsid w:val="002E0FCA"/>
    <w:rsid w:val="002E1989"/>
    <w:rsid w:val="002E3E5A"/>
    <w:rsid w:val="002F1DA8"/>
    <w:rsid w:val="002F4526"/>
    <w:rsid w:val="002F468E"/>
    <w:rsid w:val="002F485D"/>
    <w:rsid w:val="002F5FDB"/>
    <w:rsid w:val="002F6C1F"/>
    <w:rsid w:val="002F75D3"/>
    <w:rsid w:val="00300089"/>
    <w:rsid w:val="00303913"/>
    <w:rsid w:val="00305962"/>
    <w:rsid w:val="00306CD3"/>
    <w:rsid w:val="00307355"/>
    <w:rsid w:val="00307C98"/>
    <w:rsid w:val="00307FF3"/>
    <w:rsid w:val="003129A3"/>
    <w:rsid w:val="00313FD3"/>
    <w:rsid w:val="00315922"/>
    <w:rsid w:val="00315F6E"/>
    <w:rsid w:val="003171B0"/>
    <w:rsid w:val="00317864"/>
    <w:rsid w:val="00321A89"/>
    <w:rsid w:val="003223A3"/>
    <w:rsid w:val="0032260D"/>
    <w:rsid w:val="003227A1"/>
    <w:rsid w:val="00322BC5"/>
    <w:rsid w:val="00325928"/>
    <w:rsid w:val="00325A61"/>
    <w:rsid w:val="003278D9"/>
    <w:rsid w:val="00330EDE"/>
    <w:rsid w:val="003318A4"/>
    <w:rsid w:val="00332F8E"/>
    <w:rsid w:val="003333B9"/>
    <w:rsid w:val="00337F39"/>
    <w:rsid w:val="00340FC6"/>
    <w:rsid w:val="00341BFA"/>
    <w:rsid w:val="00341D96"/>
    <w:rsid w:val="00343726"/>
    <w:rsid w:val="003471C2"/>
    <w:rsid w:val="0035115E"/>
    <w:rsid w:val="00355108"/>
    <w:rsid w:val="003574AD"/>
    <w:rsid w:val="00357F51"/>
    <w:rsid w:val="003605B5"/>
    <w:rsid w:val="00360B29"/>
    <w:rsid w:val="003619C1"/>
    <w:rsid w:val="00362042"/>
    <w:rsid w:val="0036216A"/>
    <w:rsid w:val="00371598"/>
    <w:rsid w:val="003718FB"/>
    <w:rsid w:val="00371E9F"/>
    <w:rsid w:val="003725AD"/>
    <w:rsid w:val="00376CAE"/>
    <w:rsid w:val="00381033"/>
    <w:rsid w:val="0038409C"/>
    <w:rsid w:val="00385D1F"/>
    <w:rsid w:val="003862ED"/>
    <w:rsid w:val="0039050D"/>
    <w:rsid w:val="00392E62"/>
    <w:rsid w:val="00392EFB"/>
    <w:rsid w:val="00394229"/>
    <w:rsid w:val="00394536"/>
    <w:rsid w:val="00395C7D"/>
    <w:rsid w:val="00396287"/>
    <w:rsid w:val="003970C3"/>
    <w:rsid w:val="003A1413"/>
    <w:rsid w:val="003A18A3"/>
    <w:rsid w:val="003A2619"/>
    <w:rsid w:val="003B04A0"/>
    <w:rsid w:val="003B0970"/>
    <w:rsid w:val="003B0C4B"/>
    <w:rsid w:val="003B20DF"/>
    <w:rsid w:val="003B2DB5"/>
    <w:rsid w:val="003B3CBA"/>
    <w:rsid w:val="003B46B1"/>
    <w:rsid w:val="003B4C07"/>
    <w:rsid w:val="003C2781"/>
    <w:rsid w:val="003C28AF"/>
    <w:rsid w:val="003C2A09"/>
    <w:rsid w:val="003C41B9"/>
    <w:rsid w:val="003C5DF3"/>
    <w:rsid w:val="003C660A"/>
    <w:rsid w:val="003C672B"/>
    <w:rsid w:val="003C6C97"/>
    <w:rsid w:val="003C75E1"/>
    <w:rsid w:val="003D22A0"/>
    <w:rsid w:val="003D2931"/>
    <w:rsid w:val="003D2BC6"/>
    <w:rsid w:val="003D5329"/>
    <w:rsid w:val="003D5965"/>
    <w:rsid w:val="003E0B18"/>
    <w:rsid w:val="003E19BF"/>
    <w:rsid w:val="003E2C9F"/>
    <w:rsid w:val="003E42D2"/>
    <w:rsid w:val="003E641E"/>
    <w:rsid w:val="003F0BEC"/>
    <w:rsid w:val="003F1537"/>
    <w:rsid w:val="003F21B9"/>
    <w:rsid w:val="00400561"/>
    <w:rsid w:val="0040305F"/>
    <w:rsid w:val="00403CAB"/>
    <w:rsid w:val="00405162"/>
    <w:rsid w:val="004053B9"/>
    <w:rsid w:val="00407B3A"/>
    <w:rsid w:val="00407F77"/>
    <w:rsid w:val="004102ED"/>
    <w:rsid w:val="0041223F"/>
    <w:rsid w:val="004128D9"/>
    <w:rsid w:val="004148AE"/>
    <w:rsid w:val="0041789C"/>
    <w:rsid w:val="00417DA3"/>
    <w:rsid w:val="004254BA"/>
    <w:rsid w:val="004259B6"/>
    <w:rsid w:val="00426DED"/>
    <w:rsid w:val="00426E63"/>
    <w:rsid w:val="004328AA"/>
    <w:rsid w:val="00435545"/>
    <w:rsid w:val="00435B51"/>
    <w:rsid w:val="00436132"/>
    <w:rsid w:val="00442840"/>
    <w:rsid w:val="00442C7C"/>
    <w:rsid w:val="00443987"/>
    <w:rsid w:val="004472DA"/>
    <w:rsid w:val="00451674"/>
    <w:rsid w:val="004524E7"/>
    <w:rsid w:val="004525F3"/>
    <w:rsid w:val="00453868"/>
    <w:rsid w:val="00453F8C"/>
    <w:rsid w:val="00454DE7"/>
    <w:rsid w:val="00455274"/>
    <w:rsid w:val="00455816"/>
    <w:rsid w:val="0045590F"/>
    <w:rsid w:val="00456372"/>
    <w:rsid w:val="00456880"/>
    <w:rsid w:val="00461227"/>
    <w:rsid w:val="00462826"/>
    <w:rsid w:val="00463E5A"/>
    <w:rsid w:val="004648C2"/>
    <w:rsid w:val="00464C70"/>
    <w:rsid w:val="004658BE"/>
    <w:rsid w:val="00466E69"/>
    <w:rsid w:val="004673B3"/>
    <w:rsid w:val="00467E5D"/>
    <w:rsid w:val="004736DC"/>
    <w:rsid w:val="004740FD"/>
    <w:rsid w:val="00474A3D"/>
    <w:rsid w:val="00476B9A"/>
    <w:rsid w:val="004804B0"/>
    <w:rsid w:val="00480631"/>
    <w:rsid w:val="00481310"/>
    <w:rsid w:val="0048377C"/>
    <w:rsid w:val="004849B9"/>
    <w:rsid w:val="00487EDA"/>
    <w:rsid w:val="0049237B"/>
    <w:rsid w:val="00493A1D"/>
    <w:rsid w:val="00495136"/>
    <w:rsid w:val="00496650"/>
    <w:rsid w:val="004A0109"/>
    <w:rsid w:val="004A014F"/>
    <w:rsid w:val="004A2CD4"/>
    <w:rsid w:val="004A2D71"/>
    <w:rsid w:val="004A366C"/>
    <w:rsid w:val="004A40F6"/>
    <w:rsid w:val="004A419A"/>
    <w:rsid w:val="004A437C"/>
    <w:rsid w:val="004A6E7B"/>
    <w:rsid w:val="004A6EBB"/>
    <w:rsid w:val="004A7213"/>
    <w:rsid w:val="004B1E6F"/>
    <w:rsid w:val="004B3DCA"/>
    <w:rsid w:val="004B5D8B"/>
    <w:rsid w:val="004C1B3D"/>
    <w:rsid w:val="004C3FE6"/>
    <w:rsid w:val="004C4E1E"/>
    <w:rsid w:val="004C5BE4"/>
    <w:rsid w:val="004C6B00"/>
    <w:rsid w:val="004C7154"/>
    <w:rsid w:val="004C7624"/>
    <w:rsid w:val="004D01F9"/>
    <w:rsid w:val="004D099D"/>
    <w:rsid w:val="004D1E11"/>
    <w:rsid w:val="004D62CD"/>
    <w:rsid w:val="004E0408"/>
    <w:rsid w:val="004E66A9"/>
    <w:rsid w:val="004E7711"/>
    <w:rsid w:val="004E7843"/>
    <w:rsid w:val="004F0028"/>
    <w:rsid w:val="004F1321"/>
    <w:rsid w:val="004F168D"/>
    <w:rsid w:val="004F1B0B"/>
    <w:rsid w:val="004F27F7"/>
    <w:rsid w:val="004F3A4B"/>
    <w:rsid w:val="004F6CFF"/>
    <w:rsid w:val="004F7921"/>
    <w:rsid w:val="004F793A"/>
    <w:rsid w:val="005015D1"/>
    <w:rsid w:val="0050209F"/>
    <w:rsid w:val="00503C12"/>
    <w:rsid w:val="005040F4"/>
    <w:rsid w:val="00506C5E"/>
    <w:rsid w:val="00506E3B"/>
    <w:rsid w:val="005077E2"/>
    <w:rsid w:val="00510F51"/>
    <w:rsid w:val="00510F66"/>
    <w:rsid w:val="0051235B"/>
    <w:rsid w:val="005152F1"/>
    <w:rsid w:val="00516BE0"/>
    <w:rsid w:val="005212C6"/>
    <w:rsid w:val="005227C7"/>
    <w:rsid w:val="005234A3"/>
    <w:rsid w:val="005247B0"/>
    <w:rsid w:val="005249B3"/>
    <w:rsid w:val="00524DAA"/>
    <w:rsid w:val="0052578D"/>
    <w:rsid w:val="00527CE1"/>
    <w:rsid w:val="005306B7"/>
    <w:rsid w:val="0053188E"/>
    <w:rsid w:val="00534C74"/>
    <w:rsid w:val="005407F6"/>
    <w:rsid w:val="0054119C"/>
    <w:rsid w:val="0054294C"/>
    <w:rsid w:val="005456D4"/>
    <w:rsid w:val="005468AA"/>
    <w:rsid w:val="0055037C"/>
    <w:rsid w:val="00551012"/>
    <w:rsid w:val="005524D9"/>
    <w:rsid w:val="005532F1"/>
    <w:rsid w:val="0055346D"/>
    <w:rsid w:val="005558CD"/>
    <w:rsid w:val="00555A09"/>
    <w:rsid w:val="005616D3"/>
    <w:rsid w:val="00563866"/>
    <w:rsid w:val="005662FE"/>
    <w:rsid w:val="00571D65"/>
    <w:rsid w:val="0057727C"/>
    <w:rsid w:val="00577EF9"/>
    <w:rsid w:val="005801FB"/>
    <w:rsid w:val="005833A8"/>
    <w:rsid w:val="00585860"/>
    <w:rsid w:val="00586452"/>
    <w:rsid w:val="00590357"/>
    <w:rsid w:val="00591205"/>
    <w:rsid w:val="00595451"/>
    <w:rsid w:val="0059698A"/>
    <w:rsid w:val="005A062F"/>
    <w:rsid w:val="005A4592"/>
    <w:rsid w:val="005A56C4"/>
    <w:rsid w:val="005A6CFC"/>
    <w:rsid w:val="005B012A"/>
    <w:rsid w:val="005B095C"/>
    <w:rsid w:val="005B2A5C"/>
    <w:rsid w:val="005B2F92"/>
    <w:rsid w:val="005B32A7"/>
    <w:rsid w:val="005B5DA0"/>
    <w:rsid w:val="005B6B3E"/>
    <w:rsid w:val="005B776C"/>
    <w:rsid w:val="005C0DC4"/>
    <w:rsid w:val="005C0E80"/>
    <w:rsid w:val="005C0FB9"/>
    <w:rsid w:val="005C1A3E"/>
    <w:rsid w:val="005C1A8E"/>
    <w:rsid w:val="005C2974"/>
    <w:rsid w:val="005C3EB9"/>
    <w:rsid w:val="005C4FD4"/>
    <w:rsid w:val="005C5D3D"/>
    <w:rsid w:val="005C72C4"/>
    <w:rsid w:val="005C7338"/>
    <w:rsid w:val="005D10D4"/>
    <w:rsid w:val="005D1BA8"/>
    <w:rsid w:val="005D1DE5"/>
    <w:rsid w:val="005D24ED"/>
    <w:rsid w:val="005D2919"/>
    <w:rsid w:val="005D2A6F"/>
    <w:rsid w:val="005D44A4"/>
    <w:rsid w:val="005D4C9E"/>
    <w:rsid w:val="005D66CD"/>
    <w:rsid w:val="005D6C65"/>
    <w:rsid w:val="005D6CA2"/>
    <w:rsid w:val="005D7781"/>
    <w:rsid w:val="005E17CF"/>
    <w:rsid w:val="005E3266"/>
    <w:rsid w:val="005E4F67"/>
    <w:rsid w:val="005F043F"/>
    <w:rsid w:val="005F10DC"/>
    <w:rsid w:val="005F29D9"/>
    <w:rsid w:val="005F427E"/>
    <w:rsid w:val="005F567C"/>
    <w:rsid w:val="0060063B"/>
    <w:rsid w:val="006026AE"/>
    <w:rsid w:val="00612BDA"/>
    <w:rsid w:val="00617428"/>
    <w:rsid w:val="00617A84"/>
    <w:rsid w:val="0062004B"/>
    <w:rsid w:val="00621539"/>
    <w:rsid w:val="00624C8C"/>
    <w:rsid w:val="00624DD8"/>
    <w:rsid w:val="0063230D"/>
    <w:rsid w:val="00632922"/>
    <w:rsid w:val="00635B72"/>
    <w:rsid w:val="00640AF4"/>
    <w:rsid w:val="00640E06"/>
    <w:rsid w:val="00641A12"/>
    <w:rsid w:val="00645757"/>
    <w:rsid w:val="00646D68"/>
    <w:rsid w:val="006525B7"/>
    <w:rsid w:val="00653BE1"/>
    <w:rsid w:val="00653D0C"/>
    <w:rsid w:val="0065429E"/>
    <w:rsid w:val="00654FBB"/>
    <w:rsid w:val="00656789"/>
    <w:rsid w:val="006570C0"/>
    <w:rsid w:val="0066020C"/>
    <w:rsid w:val="00661292"/>
    <w:rsid w:val="006623AF"/>
    <w:rsid w:val="00663A4A"/>
    <w:rsid w:val="00663ABC"/>
    <w:rsid w:val="00663C81"/>
    <w:rsid w:val="00663E0D"/>
    <w:rsid w:val="006642D1"/>
    <w:rsid w:val="00664550"/>
    <w:rsid w:val="006659FF"/>
    <w:rsid w:val="0066619E"/>
    <w:rsid w:val="006672B9"/>
    <w:rsid w:val="00667B1F"/>
    <w:rsid w:val="00667E59"/>
    <w:rsid w:val="00672FD8"/>
    <w:rsid w:val="00673B07"/>
    <w:rsid w:val="00674521"/>
    <w:rsid w:val="0067631F"/>
    <w:rsid w:val="00676555"/>
    <w:rsid w:val="00677DD2"/>
    <w:rsid w:val="0068041A"/>
    <w:rsid w:val="00683AB3"/>
    <w:rsid w:val="00683EA5"/>
    <w:rsid w:val="00684127"/>
    <w:rsid w:val="00685ABF"/>
    <w:rsid w:val="00685E0D"/>
    <w:rsid w:val="006862F8"/>
    <w:rsid w:val="006863A2"/>
    <w:rsid w:val="006869AB"/>
    <w:rsid w:val="006879C1"/>
    <w:rsid w:val="00687E54"/>
    <w:rsid w:val="00692335"/>
    <w:rsid w:val="006942FD"/>
    <w:rsid w:val="00695722"/>
    <w:rsid w:val="006974D0"/>
    <w:rsid w:val="00697E8D"/>
    <w:rsid w:val="006A1101"/>
    <w:rsid w:val="006A18A8"/>
    <w:rsid w:val="006A2B1D"/>
    <w:rsid w:val="006A55F8"/>
    <w:rsid w:val="006A6E44"/>
    <w:rsid w:val="006A7053"/>
    <w:rsid w:val="006B059F"/>
    <w:rsid w:val="006B0FAF"/>
    <w:rsid w:val="006B104F"/>
    <w:rsid w:val="006B1B88"/>
    <w:rsid w:val="006B1DDB"/>
    <w:rsid w:val="006B4D3C"/>
    <w:rsid w:val="006B5B79"/>
    <w:rsid w:val="006B735F"/>
    <w:rsid w:val="006C4101"/>
    <w:rsid w:val="006C4655"/>
    <w:rsid w:val="006C4B6F"/>
    <w:rsid w:val="006C4CB5"/>
    <w:rsid w:val="006C5291"/>
    <w:rsid w:val="006C59CE"/>
    <w:rsid w:val="006C5DE7"/>
    <w:rsid w:val="006C6150"/>
    <w:rsid w:val="006D2958"/>
    <w:rsid w:val="006D41B4"/>
    <w:rsid w:val="006D72A9"/>
    <w:rsid w:val="006E1759"/>
    <w:rsid w:val="006E194C"/>
    <w:rsid w:val="006E21A6"/>
    <w:rsid w:val="006E3938"/>
    <w:rsid w:val="006E42EC"/>
    <w:rsid w:val="006E44EA"/>
    <w:rsid w:val="006E5AAF"/>
    <w:rsid w:val="006F332B"/>
    <w:rsid w:val="006F4F6C"/>
    <w:rsid w:val="006F6560"/>
    <w:rsid w:val="006F7A89"/>
    <w:rsid w:val="00702409"/>
    <w:rsid w:val="00703182"/>
    <w:rsid w:val="00703CD5"/>
    <w:rsid w:val="00703E3D"/>
    <w:rsid w:val="00706EE6"/>
    <w:rsid w:val="00711E83"/>
    <w:rsid w:val="0071267A"/>
    <w:rsid w:val="00712795"/>
    <w:rsid w:val="007127D8"/>
    <w:rsid w:val="00714029"/>
    <w:rsid w:val="007146A9"/>
    <w:rsid w:val="0072115B"/>
    <w:rsid w:val="00721F65"/>
    <w:rsid w:val="00723E99"/>
    <w:rsid w:val="007243C2"/>
    <w:rsid w:val="00726522"/>
    <w:rsid w:val="00726A27"/>
    <w:rsid w:val="00727533"/>
    <w:rsid w:val="00730E93"/>
    <w:rsid w:val="0073182D"/>
    <w:rsid w:val="00732A15"/>
    <w:rsid w:val="00733A5A"/>
    <w:rsid w:val="0073450B"/>
    <w:rsid w:val="007353D4"/>
    <w:rsid w:val="00735685"/>
    <w:rsid w:val="00735B02"/>
    <w:rsid w:val="00735C26"/>
    <w:rsid w:val="007404F8"/>
    <w:rsid w:val="00741E31"/>
    <w:rsid w:val="00741F6E"/>
    <w:rsid w:val="007433F7"/>
    <w:rsid w:val="007447B4"/>
    <w:rsid w:val="007462AC"/>
    <w:rsid w:val="00750468"/>
    <w:rsid w:val="007511D1"/>
    <w:rsid w:val="007575D2"/>
    <w:rsid w:val="00757F04"/>
    <w:rsid w:val="007618FC"/>
    <w:rsid w:val="00763228"/>
    <w:rsid w:val="00764345"/>
    <w:rsid w:val="007664CE"/>
    <w:rsid w:val="00766E3D"/>
    <w:rsid w:val="00766E5A"/>
    <w:rsid w:val="0077022D"/>
    <w:rsid w:val="0077211D"/>
    <w:rsid w:val="00773FC2"/>
    <w:rsid w:val="0077412B"/>
    <w:rsid w:val="00774AE6"/>
    <w:rsid w:val="007762D6"/>
    <w:rsid w:val="00780961"/>
    <w:rsid w:val="00780B48"/>
    <w:rsid w:val="00783531"/>
    <w:rsid w:val="007847D3"/>
    <w:rsid w:val="00784CD8"/>
    <w:rsid w:val="007866F7"/>
    <w:rsid w:val="00791920"/>
    <w:rsid w:val="007919FB"/>
    <w:rsid w:val="0079229D"/>
    <w:rsid w:val="00793C93"/>
    <w:rsid w:val="00793F82"/>
    <w:rsid w:val="0079453E"/>
    <w:rsid w:val="00795DD3"/>
    <w:rsid w:val="007961B2"/>
    <w:rsid w:val="007A0830"/>
    <w:rsid w:val="007A08A3"/>
    <w:rsid w:val="007A21A2"/>
    <w:rsid w:val="007A2261"/>
    <w:rsid w:val="007A42B8"/>
    <w:rsid w:val="007A4C17"/>
    <w:rsid w:val="007A6CC3"/>
    <w:rsid w:val="007A769D"/>
    <w:rsid w:val="007B3B12"/>
    <w:rsid w:val="007B40E3"/>
    <w:rsid w:val="007B440C"/>
    <w:rsid w:val="007B6AC7"/>
    <w:rsid w:val="007C05C8"/>
    <w:rsid w:val="007C3E12"/>
    <w:rsid w:val="007C44E6"/>
    <w:rsid w:val="007C5AD3"/>
    <w:rsid w:val="007C60FD"/>
    <w:rsid w:val="007D3038"/>
    <w:rsid w:val="007D3163"/>
    <w:rsid w:val="007D32A4"/>
    <w:rsid w:val="007D3685"/>
    <w:rsid w:val="007D4427"/>
    <w:rsid w:val="007D595D"/>
    <w:rsid w:val="007D6237"/>
    <w:rsid w:val="007E19AB"/>
    <w:rsid w:val="007E1E34"/>
    <w:rsid w:val="007E6528"/>
    <w:rsid w:val="007E7022"/>
    <w:rsid w:val="007E7D3C"/>
    <w:rsid w:val="007F00B0"/>
    <w:rsid w:val="007F086E"/>
    <w:rsid w:val="007F1B39"/>
    <w:rsid w:val="007F20B6"/>
    <w:rsid w:val="007F394A"/>
    <w:rsid w:val="007F4053"/>
    <w:rsid w:val="007F41AD"/>
    <w:rsid w:val="008017DB"/>
    <w:rsid w:val="00801821"/>
    <w:rsid w:val="00803A95"/>
    <w:rsid w:val="00804CE1"/>
    <w:rsid w:val="00805908"/>
    <w:rsid w:val="00805F1F"/>
    <w:rsid w:val="0080611D"/>
    <w:rsid w:val="00806C65"/>
    <w:rsid w:val="00807607"/>
    <w:rsid w:val="00810D6D"/>
    <w:rsid w:val="008114B6"/>
    <w:rsid w:val="008121C6"/>
    <w:rsid w:val="00813643"/>
    <w:rsid w:val="0081391C"/>
    <w:rsid w:val="00814805"/>
    <w:rsid w:val="008150AC"/>
    <w:rsid w:val="008173A2"/>
    <w:rsid w:val="00821025"/>
    <w:rsid w:val="008223BD"/>
    <w:rsid w:val="00823302"/>
    <w:rsid w:val="00824F4C"/>
    <w:rsid w:val="00827F10"/>
    <w:rsid w:val="00831D27"/>
    <w:rsid w:val="008336BE"/>
    <w:rsid w:val="008341D7"/>
    <w:rsid w:val="00834774"/>
    <w:rsid w:val="008352CB"/>
    <w:rsid w:val="00836810"/>
    <w:rsid w:val="00836912"/>
    <w:rsid w:val="00836AAA"/>
    <w:rsid w:val="00837D15"/>
    <w:rsid w:val="00840A17"/>
    <w:rsid w:val="008457BB"/>
    <w:rsid w:val="00846DBF"/>
    <w:rsid w:val="00854F6A"/>
    <w:rsid w:val="00861002"/>
    <w:rsid w:val="00861B10"/>
    <w:rsid w:val="00862C2E"/>
    <w:rsid w:val="00863E85"/>
    <w:rsid w:val="008640C4"/>
    <w:rsid w:val="008642AF"/>
    <w:rsid w:val="008654F4"/>
    <w:rsid w:val="0087251D"/>
    <w:rsid w:val="00873614"/>
    <w:rsid w:val="00874ABB"/>
    <w:rsid w:val="00875BCA"/>
    <w:rsid w:val="00876A76"/>
    <w:rsid w:val="00877BEC"/>
    <w:rsid w:val="00877CF5"/>
    <w:rsid w:val="00880FAC"/>
    <w:rsid w:val="00883177"/>
    <w:rsid w:val="0088418D"/>
    <w:rsid w:val="008873ED"/>
    <w:rsid w:val="00887C7C"/>
    <w:rsid w:val="00887E0C"/>
    <w:rsid w:val="00892FC8"/>
    <w:rsid w:val="0089333E"/>
    <w:rsid w:val="008937F6"/>
    <w:rsid w:val="008943D9"/>
    <w:rsid w:val="00894AA8"/>
    <w:rsid w:val="00895B31"/>
    <w:rsid w:val="00896F02"/>
    <w:rsid w:val="00897396"/>
    <w:rsid w:val="008975BD"/>
    <w:rsid w:val="008A075A"/>
    <w:rsid w:val="008A1A36"/>
    <w:rsid w:val="008A52C5"/>
    <w:rsid w:val="008A5FF8"/>
    <w:rsid w:val="008A6E63"/>
    <w:rsid w:val="008A7451"/>
    <w:rsid w:val="008A7DD7"/>
    <w:rsid w:val="008B100D"/>
    <w:rsid w:val="008B156A"/>
    <w:rsid w:val="008B1B7E"/>
    <w:rsid w:val="008B1F3B"/>
    <w:rsid w:val="008B28D2"/>
    <w:rsid w:val="008B51CA"/>
    <w:rsid w:val="008B53EA"/>
    <w:rsid w:val="008B5D81"/>
    <w:rsid w:val="008B64B5"/>
    <w:rsid w:val="008B6C25"/>
    <w:rsid w:val="008B7B30"/>
    <w:rsid w:val="008C1500"/>
    <w:rsid w:val="008C173E"/>
    <w:rsid w:val="008C1D87"/>
    <w:rsid w:val="008C231F"/>
    <w:rsid w:val="008C48E7"/>
    <w:rsid w:val="008C6F50"/>
    <w:rsid w:val="008C70E5"/>
    <w:rsid w:val="008D141E"/>
    <w:rsid w:val="008D1546"/>
    <w:rsid w:val="008D1D66"/>
    <w:rsid w:val="008D3745"/>
    <w:rsid w:val="008D3814"/>
    <w:rsid w:val="008E22F3"/>
    <w:rsid w:val="008E265D"/>
    <w:rsid w:val="008E4491"/>
    <w:rsid w:val="008E624E"/>
    <w:rsid w:val="008E6514"/>
    <w:rsid w:val="008E7C28"/>
    <w:rsid w:val="008F1CF9"/>
    <w:rsid w:val="008F2C21"/>
    <w:rsid w:val="008F3BCC"/>
    <w:rsid w:val="008F3CDB"/>
    <w:rsid w:val="008F5397"/>
    <w:rsid w:val="009022A2"/>
    <w:rsid w:val="00903023"/>
    <w:rsid w:val="00906D80"/>
    <w:rsid w:val="00907D3F"/>
    <w:rsid w:val="00914017"/>
    <w:rsid w:val="009140B1"/>
    <w:rsid w:val="00914937"/>
    <w:rsid w:val="0091499B"/>
    <w:rsid w:val="00915318"/>
    <w:rsid w:val="00916879"/>
    <w:rsid w:val="0092065B"/>
    <w:rsid w:val="00921500"/>
    <w:rsid w:val="00921A7D"/>
    <w:rsid w:val="009229F3"/>
    <w:rsid w:val="0093022F"/>
    <w:rsid w:val="00930625"/>
    <w:rsid w:val="009313EC"/>
    <w:rsid w:val="009338F4"/>
    <w:rsid w:val="00934F1F"/>
    <w:rsid w:val="009360B8"/>
    <w:rsid w:val="00937232"/>
    <w:rsid w:val="0093799D"/>
    <w:rsid w:val="00940B9F"/>
    <w:rsid w:val="0094342C"/>
    <w:rsid w:val="009450B3"/>
    <w:rsid w:val="00945253"/>
    <w:rsid w:val="0094527D"/>
    <w:rsid w:val="009509C1"/>
    <w:rsid w:val="009511C9"/>
    <w:rsid w:val="00952D0A"/>
    <w:rsid w:val="00954748"/>
    <w:rsid w:val="009548A6"/>
    <w:rsid w:val="00963060"/>
    <w:rsid w:val="0096495A"/>
    <w:rsid w:val="00966BD0"/>
    <w:rsid w:val="00971AF8"/>
    <w:rsid w:val="00975A36"/>
    <w:rsid w:val="00976077"/>
    <w:rsid w:val="00977A99"/>
    <w:rsid w:val="0098096C"/>
    <w:rsid w:val="00981237"/>
    <w:rsid w:val="00985F66"/>
    <w:rsid w:val="009872A9"/>
    <w:rsid w:val="0098747A"/>
    <w:rsid w:val="009879E2"/>
    <w:rsid w:val="00993C1D"/>
    <w:rsid w:val="00993C96"/>
    <w:rsid w:val="009955A0"/>
    <w:rsid w:val="00997028"/>
    <w:rsid w:val="009A1F03"/>
    <w:rsid w:val="009A1F55"/>
    <w:rsid w:val="009A6DEE"/>
    <w:rsid w:val="009A742A"/>
    <w:rsid w:val="009A7952"/>
    <w:rsid w:val="009A7B9E"/>
    <w:rsid w:val="009B0C0F"/>
    <w:rsid w:val="009B70EC"/>
    <w:rsid w:val="009B7348"/>
    <w:rsid w:val="009B7359"/>
    <w:rsid w:val="009C1916"/>
    <w:rsid w:val="009C1A77"/>
    <w:rsid w:val="009C2250"/>
    <w:rsid w:val="009C7888"/>
    <w:rsid w:val="009D2C15"/>
    <w:rsid w:val="009D2F6D"/>
    <w:rsid w:val="009D4571"/>
    <w:rsid w:val="009E0132"/>
    <w:rsid w:val="009E2A88"/>
    <w:rsid w:val="009E30C8"/>
    <w:rsid w:val="009E32F0"/>
    <w:rsid w:val="009E4052"/>
    <w:rsid w:val="009E419F"/>
    <w:rsid w:val="009F03F5"/>
    <w:rsid w:val="009F14C9"/>
    <w:rsid w:val="009F3254"/>
    <w:rsid w:val="009F7064"/>
    <w:rsid w:val="009F7457"/>
    <w:rsid w:val="00A01D7E"/>
    <w:rsid w:val="00A032FE"/>
    <w:rsid w:val="00A102DC"/>
    <w:rsid w:val="00A1173F"/>
    <w:rsid w:val="00A12CA0"/>
    <w:rsid w:val="00A1546E"/>
    <w:rsid w:val="00A16FE1"/>
    <w:rsid w:val="00A23B6C"/>
    <w:rsid w:val="00A250BA"/>
    <w:rsid w:val="00A2654A"/>
    <w:rsid w:val="00A33F3F"/>
    <w:rsid w:val="00A37DE3"/>
    <w:rsid w:val="00A4108A"/>
    <w:rsid w:val="00A4184E"/>
    <w:rsid w:val="00A424B8"/>
    <w:rsid w:val="00A42B51"/>
    <w:rsid w:val="00A433B5"/>
    <w:rsid w:val="00A4433E"/>
    <w:rsid w:val="00A44CE4"/>
    <w:rsid w:val="00A5177E"/>
    <w:rsid w:val="00A5508E"/>
    <w:rsid w:val="00A55ED0"/>
    <w:rsid w:val="00A5630D"/>
    <w:rsid w:val="00A57E9D"/>
    <w:rsid w:val="00A64F34"/>
    <w:rsid w:val="00A7304B"/>
    <w:rsid w:val="00A745EA"/>
    <w:rsid w:val="00A8147C"/>
    <w:rsid w:val="00A82495"/>
    <w:rsid w:val="00A83F79"/>
    <w:rsid w:val="00A84D62"/>
    <w:rsid w:val="00A865D0"/>
    <w:rsid w:val="00A874A3"/>
    <w:rsid w:val="00A87BDB"/>
    <w:rsid w:val="00A91F4D"/>
    <w:rsid w:val="00A92850"/>
    <w:rsid w:val="00A93D33"/>
    <w:rsid w:val="00A964E8"/>
    <w:rsid w:val="00A96585"/>
    <w:rsid w:val="00A9723E"/>
    <w:rsid w:val="00AA093C"/>
    <w:rsid w:val="00AA0BB0"/>
    <w:rsid w:val="00AA0E7F"/>
    <w:rsid w:val="00AA18FB"/>
    <w:rsid w:val="00AA3D8E"/>
    <w:rsid w:val="00AB0ACA"/>
    <w:rsid w:val="00AB560A"/>
    <w:rsid w:val="00AB6FEA"/>
    <w:rsid w:val="00AB73BD"/>
    <w:rsid w:val="00AB7551"/>
    <w:rsid w:val="00AC0F55"/>
    <w:rsid w:val="00AC1FF0"/>
    <w:rsid w:val="00AC5849"/>
    <w:rsid w:val="00AC6179"/>
    <w:rsid w:val="00AC6514"/>
    <w:rsid w:val="00AD149D"/>
    <w:rsid w:val="00AD1511"/>
    <w:rsid w:val="00AD35AC"/>
    <w:rsid w:val="00AD383F"/>
    <w:rsid w:val="00AD4706"/>
    <w:rsid w:val="00AD52B2"/>
    <w:rsid w:val="00AE2B1E"/>
    <w:rsid w:val="00AE2F02"/>
    <w:rsid w:val="00AE3F6B"/>
    <w:rsid w:val="00AE40C2"/>
    <w:rsid w:val="00AE4FB8"/>
    <w:rsid w:val="00AE5491"/>
    <w:rsid w:val="00AF0AD1"/>
    <w:rsid w:val="00AF1858"/>
    <w:rsid w:val="00AF4315"/>
    <w:rsid w:val="00AF782D"/>
    <w:rsid w:val="00AF7B0E"/>
    <w:rsid w:val="00B009C9"/>
    <w:rsid w:val="00B026C7"/>
    <w:rsid w:val="00B03971"/>
    <w:rsid w:val="00B043E9"/>
    <w:rsid w:val="00B05742"/>
    <w:rsid w:val="00B058B5"/>
    <w:rsid w:val="00B116BF"/>
    <w:rsid w:val="00B123C5"/>
    <w:rsid w:val="00B12D74"/>
    <w:rsid w:val="00B13A7E"/>
    <w:rsid w:val="00B17533"/>
    <w:rsid w:val="00B22121"/>
    <w:rsid w:val="00B23933"/>
    <w:rsid w:val="00B24B1E"/>
    <w:rsid w:val="00B24FA5"/>
    <w:rsid w:val="00B26421"/>
    <w:rsid w:val="00B26B4B"/>
    <w:rsid w:val="00B27B10"/>
    <w:rsid w:val="00B27B29"/>
    <w:rsid w:val="00B3002F"/>
    <w:rsid w:val="00B312D6"/>
    <w:rsid w:val="00B3219F"/>
    <w:rsid w:val="00B326AF"/>
    <w:rsid w:val="00B33ED9"/>
    <w:rsid w:val="00B34968"/>
    <w:rsid w:val="00B34C22"/>
    <w:rsid w:val="00B34E2A"/>
    <w:rsid w:val="00B35266"/>
    <w:rsid w:val="00B35AD2"/>
    <w:rsid w:val="00B3683A"/>
    <w:rsid w:val="00B37575"/>
    <w:rsid w:val="00B4009C"/>
    <w:rsid w:val="00B42504"/>
    <w:rsid w:val="00B4404C"/>
    <w:rsid w:val="00B440C0"/>
    <w:rsid w:val="00B4725B"/>
    <w:rsid w:val="00B52B90"/>
    <w:rsid w:val="00B53477"/>
    <w:rsid w:val="00B536E2"/>
    <w:rsid w:val="00B54579"/>
    <w:rsid w:val="00B54B59"/>
    <w:rsid w:val="00B5581C"/>
    <w:rsid w:val="00B570C7"/>
    <w:rsid w:val="00B6059B"/>
    <w:rsid w:val="00B65A6F"/>
    <w:rsid w:val="00B66080"/>
    <w:rsid w:val="00B66566"/>
    <w:rsid w:val="00B671A5"/>
    <w:rsid w:val="00B704DF"/>
    <w:rsid w:val="00B71ECC"/>
    <w:rsid w:val="00B74F10"/>
    <w:rsid w:val="00B754D0"/>
    <w:rsid w:val="00B76AB1"/>
    <w:rsid w:val="00B77074"/>
    <w:rsid w:val="00B77C31"/>
    <w:rsid w:val="00B77EEC"/>
    <w:rsid w:val="00B806AE"/>
    <w:rsid w:val="00B822B4"/>
    <w:rsid w:val="00B8551C"/>
    <w:rsid w:val="00B86B4B"/>
    <w:rsid w:val="00B87157"/>
    <w:rsid w:val="00B901B2"/>
    <w:rsid w:val="00B901CC"/>
    <w:rsid w:val="00B9044E"/>
    <w:rsid w:val="00B91BD7"/>
    <w:rsid w:val="00B964F0"/>
    <w:rsid w:val="00B96B76"/>
    <w:rsid w:val="00B97414"/>
    <w:rsid w:val="00BA2C76"/>
    <w:rsid w:val="00BA34C5"/>
    <w:rsid w:val="00BA6ED6"/>
    <w:rsid w:val="00BA7D21"/>
    <w:rsid w:val="00BB0085"/>
    <w:rsid w:val="00BB1500"/>
    <w:rsid w:val="00BB39DF"/>
    <w:rsid w:val="00BB4B74"/>
    <w:rsid w:val="00BB5975"/>
    <w:rsid w:val="00BB7AB8"/>
    <w:rsid w:val="00BB7ABA"/>
    <w:rsid w:val="00BC1BBA"/>
    <w:rsid w:val="00BC26B1"/>
    <w:rsid w:val="00BC3B94"/>
    <w:rsid w:val="00BC489E"/>
    <w:rsid w:val="00BC4973"/>
    <w:rsid w:val="00BC5653"/>
    <w:rsid w:val="00BC7F4C"/>
    <w:rsid w:val="00BC7F6A"/>
    <w:rsid w:val="00BC7FEB"/>
    <w:rsid w:val="00BD0C63"/>
    <w:rsid w:val="00BD5624"/>
    <w:rsid w:val="00BD6525"/>
    <w:rsid w:val="00BD70CE"/>
    <w:rsid w:val="00BD7AFD"/>
    <w:rsid w:val="00BD7B71"/>
    <w:rsid w:val="00BE2143"/>
    <w:rsid w:val="00BE28EE"/>
    <w:rsid w:val="00BE2A1D"/>
    <w:rsid w:val="00BE402B"/>
    <w:rsid w:val="00BE4ACD"/>
    <w:rsid w:val="00BE6FB0"/>
    <w:rsid w:val="00BE72DC"/>
    <w:rsid w:val="00BF2288"/>
    <w:rsid w:val="00BF238D"/>
    <w:rsid w:val="00BF23F3"/>
    <w:rsid w:val="00BF29B2"/>
    <w:rsid w:val="00BF483C"/>
    <w:rsid w:val="00BF501F"/>
    <w:rsid w:val="00BF6038"/>
    <w:rsid w:val="00BF7021"/>
    <w:rsid w:val="00C011DE"/>
    <w:rsid w:val="00C10639"/>
    <w:rsid w:val="00C11C70"/>
    <w:rsid w:val="00C12F1C"/>
    <w:rsid w:val="00C14349"/>
    <w:rsid w:val="00C14BD8"/>
    <w:rsid w:val="00C22459"/>
    <w:rsid w:val="00C23756"/>
    <w:rsid w:val="00C23EA3"/>
    <w:rsid w:val="00C24288"/>
    <w:rsid w:val="00C3018F"/>
    <w:rsid w:val="00C31155"/>
    <w:rsid w:val="00C3190F"/>
    <w:rsid w:val="00C31EFA"/>
    <w:rsid w:val="00C31F09"/>
    <w:rsid w:val="00C329BC"/>
    <w:rsid w:val="00C32DE8"/>
    <w:rsid w:val="00C33237"/>
    <w:rsid w:val="00C3418B"/>
    <w:rsid w:val="00C349CB"/>
    <w:rsid w:val="00C34DB2"/>
    <w:rsid w:val="00C35637"/>
    <w:rsid w:val="00C3572C"/>
    <w:rsid w:val="00C358F1"/>
    <w:rsid w:val="00C35A1D"/>
    <w:rsid w:val="00C366CE"/>
    <w:rsid w:val="00C37A04"/>
    <w:rsid w:val="00C37EC1"/>
    <w:rsid w:val="00C41C00"/>
    <w:rsid w:val="00C41DA3"/>
    <w:rsid w:val="00C42CB8"/>
    <w:rsid w:val="00C44391"/>
    <w:rsid w:val="00C446F7"/>
    <w:rsid w:val="00C44E1C"/>
    <w:rsid w:val="00C463F5"/>
    <w:rsid w:val="00C47B9B"/>
    <w:rsid w:val="00C509D8"/>
    <w:rsid w:val="00C52437"/>
    <w:rsid w:val="00C55666"/>
    <w:rsid w:val="00C61EBD"/>
    <w:rsid w:val="00C65AD9"/>
    <w:rsid w:val="00C667DC"/>
    <w:rsid w:val="00C671A1"/>
    <w:rsid w:val="00C74AA3"/>
    <w:rsid w:val="00C75E7E"/>
    <w:rsid w:val="00C76463"/>
    <w:rsid w:val="00C82421"/>
    <w:rsid w:val="00C84FA6"/>
    <w:rsid w:val="00C8514C"/>
    <w:rsid w:val="00C86100"/>
    <w:rsid w:val="00C862B4"/>
    <w:rsid w:val="00C86950"/>
    <w:rsid w:val="00C90734"/>
    <w:rsid w:val="00C93607"/>
    <w:rsid w:val="00C95132"/>
    <w:rsid w:val="00C95BBC"/>
    <w:rsid w:val="00C96F01"/>
    <w:rsid w:val="00C97D15"/>
    <w:rsid w:val="00CA0A7A"/>
    <w:rsid w:val="00CA4775"/>
    <w:rsid w:val="00CA4B39"/>
    <w:rsid w:val="00CA51D2"/>
    <w:rsid w:val="00CA5A80"/>
    <w:rsid w:val="00CA6197"/>
    <w:rsid w:val="00CB02FE"/>
    <w:rsid w:val="00CB4490"/>
    <w:rsid w:val="00CB5217"/>
    <w:rsid w:val="00CB7083"/>
    <w:rsid w:val="00CC4B95"/>
    <w:rsid w:val="00CC539E"/>
    <w:rsid w:val="00CC6315"/>
    <w:rsid w:val="00CD0B0E"/>
    <w:rsid w:val="00CD1974"/>
    <w:rsid w:val="00CD3B38"/>
    <w:rsid w:val="00CD3F1E"/>
    <w:rsid w:val="00CD3F6B"/>
    <w:rsid w:val="00CD4E4C"/>
    <w:rsid w:val="00CD7F27"/>
    <w:rsid w:val="00CD7FA5"/>
    <w:rsid w:val="00CE6AEE"/>
    <w:rsid w:val="00CF26DF"/>
    <w:rsid w:val="00CF26F7"/>
    <w:rsid w:val="00CF3874"/>
    <w:rsid w:val="00CF40CF"/>
    <w:rsid w:val="00CF7719"/>
    <w:rsid w:val="00D01C15"/>
    <w:rsid w:val="00D021C8"/>
    <w:rsid w:val="00D02D01"/>
    <w:rsid w:val="00D05DB6"/>
    <w:rsid w:val="00D1007E"/>
    <w:rsid w:val="00D111A8"/>
    <w:rsid w:val="00D12B9A"/>
    <w:rsid w:val="00D14BD7"/>
    <w:rsid w:val="00D15882"/>
    <w:rsid w:val="00D15942"/>
    <w:rsid w:val="00D17477"/>
    <w:rsid w:val="00D22682"/>
    <w:rsid w:val="00D23932"/>
    <w:rsid w:val="00D24B10"/>
    <w:rsid w:val="00D252FC"/>
    <w:rsid w:val="00D25DF9"/>
    <w:rsid w:val="00D27DAE"/>
    <w:rsid w:val="00D3090B"/>
    <w:rsid w:val="00D31648"/>
    <w:rsid w:val="00D3391D"/>
    <w:rsid w:val="00D34396"/>
    <w:rsid w:val="00D3467B"/>
    <w:rsid w:val="00D348B9"/>
    <w:rsid w:val="00D348C0"/>
    <w:rsid w:val="00D35D85"/>
    <w:rsid w:val="00D36445"/>
    <w:rsid w:val="00D36B07"/>
    <w:rsid w:val="00D36C6A"/>
    <w:rsid w:val="00D42FD8"/>
    <w:rsid w:val="00D45B16"/>
    <w:rsid w:val="00D47248"/>
    <w:rsid w:val="00D511D6"/>
    <w:rsid w:val="00D5121E"/>
    <w:rsid w:val="00D52CE5"/>
    <w:rsid w:val="00D547B9"/>
    <w:rsid w:val="00D55A7F"/>
    <w:rsid w:val="00D560A1"/>
    <w:rsid w:val="00D568B5"/>
    <w:rsid w:val="00D601E6"/>
    <w:rsid w:val="00D61789"/>
    <w:rsid w:val="00D70175"/>
    <w:rsid w:val="00D70F66"/>
    <w:rsid w:val="00D71836"/>
    <w:rsid w:val="00D71E67"/>
    <w:rsid w:val="00D73E17"/>
    <w:rsid w:val="00D74CBD"/>
    <w:rsid w:val="00D77EE9"/>
    <w:rsid w:val="00D8026D"/>
    <w:rsid w:val="00D85986"/>
    <w:rsid w:val="00D85ED0"/>
    <w:rsid w:val="00D86C48"/>
    <w:rsid w:val="00D90CF4"/>
    <w:rsid w:val="00D961D0"/>
    <w:rsid w:val="00D974DE"/>
    <w:rsid w:val="00DA269C"/>
    <w:rsid w:val="00DA3452"/>
    <w:rsid w:val="00DA511E"/>
    <w:rsid w:val="00DA54A4"/>
    <w:rsid w:val="00DA583D"/>
    <w:rsid w:val="00DA6C93"/>
    <w:rsid w:val="00DA7FE7"/>
    <w:rsid w:val="00DB0EF7"/>
    <w:rsid w:val="00DB1F94"/>
    <w:rsid w:val="00DB3B2C"/>
    <w:rsid w:val="00DB423D"/>
    <w:rsid w:val="00DB54EC"/>
    <w:rsid w:val="00DB576F"/>
    <w:rsid w:val="00DB71AB"/>
    <w:rsid w:val="00DB7BB0"/>
    <w:rsid w:val="00DC1108"/>
    <w:rsid w:val="00DC158A"/>
    <w:rsid w:val="00DC1597"/>
    <w:rsid w:val="00DC2122"/>
    <w:rsid w:val="00DC24E5"/>
    <w:rsid w:val="00DC4725"/>
    <w:rsid w:val="00DC5396"/>
    <w:rsid w:val="00DC5816"/>
    <w:rsid w:val="00DC5D9F"/>
    <w:rsid w:val="00DC7175"/>
    <w:rsid w:val="00DC77AE"/>
    <w:rsid w:val="00DD21D3"/>
    <w:rsid w:val="00DD2E9C"/>
    <w:rsid w:val="00DD317C"/>
    <w:rsid w:val="00DD48C7"/>
    <w:rsid w:val="00DE444D"/>
    <w:rsid w:val="00DE60C5"/>
    <w:rsid w:val="00DE7DD3"/>
    <w:rsid w:val="00DF022F"/>
    <w:rsid w:val="00DF0EE3"/>
    <w:rsid w:val="00DF15AE"/>
    <w:rsid w:val="00DF1880"/>
    <w:rsid w:val="00DF3D65"/>
    <w:rsid w:val="00DF44F2"/>
    <w:rsid w:val="00DF4BDD"/>
    <w:rsid w:val="00DF5017"/>
    <w:rsid w:val="00DF50B2"/>
    <w:rsid w:val="00DF5EC8"/>
    <w:rsid w:val="00E00190"/>
    <w:rsid w:val="00E009F6"/>
    <w:rsid w:val="00E00F67"/>
    <w:rsid w:val="00E037B3"/>
    <w:rsid w:val="00E104FF"/>
    <w:rsid w:val="00E12F99"/>
    <w:rsid w:val="00E14470"/>
    <w:rsid w:val="00E145A6"/>
    <w:rsid w:val="00E14F5C"/>
    <w:rsid w:val="00E152B5"/>
    <w:rsid w:val="00E16AA7"/>
    <w:rsid w:val="00E2082B"/>
    <w:rsid w:val="00E229F6"/>
    <w:rsid w:val="00E23C2E"/>
    <w:rsid w:val="00E23FAF"/>
    <w:rsid w:val="00E262DD"/>
    <w:rsid w:val="00E265F0"/>
    <w:rsid w:val="00E26902"/>
    <w:rsid w:val="00E27AEA"/>
    <w:rsid w:val="00E30A5B"/>
    <w:rsid w:val="00E3224A"/>
    <w:rsid w:val="00E4127A"/>
    <w:rsid w:val="00E42BFA"/>
    <w:rsid w:val="00E43B4A"/>
    <w:rsid w:val="00E440ED"/>
    <w:rsid w:val="00E446A7"/>
    <w:rsid w:val="00E50F7F"/>
    <w:rsid w:val="00E512AC"/>
    <w:rsid w:val="00E51CE5"/>
    <w:rsid w:val="00E51F0C"/>
    <w:rsid w:val="00E52C8C"/>
    <w:rsid w:val="00E54D88"/>
    <w:rsid w:val="00E56C97"/>
    <w:rsid w:val="00E57EB9"/>
    <w:rsid w:val="00E60949"/>
    <w:rsid w:val="00E63A78"/>
    <w:rsid w:val="00E65BA2"/>
    <w:rsid w:val="00E67348"/>
    <w:rsid w:val="00E67631"/>
    <w:rsid w:val="00E67633"/>
    <w:rsid w:val="00E70D58"/>
    <w:rsid w:val="00E71549"/>
    <w:rsid w:val="00E74CD1"/>
    <w:rsid w:val="00E74EC3"/>
    <w:rsid w:val="00E75476"/>
    <w:rsid w:val="00E76174"/>
    <w:rsid w:val="00E8003E"/>
    <w:rsid w:val="00E808EF"/>
    <w:rsid w:val="00E8277F"/>
    <w:rsid w:val="00E84134"/>
    <w:rsid w:val="00E8477F"/>
    <w:rsid w:val="00E84AC4"/>
    <w:rsid w:val="00E84D82"/>
    <w:rsid w:val="00E869C5"/>
    <w:rsid w:val="00E87C34"/>
    <w:rsid w:val="00E9112A"/>
    <w:rsid w:val="00E911CD"/>
    <w:rsid w:val="00E921CB"/>
    <w:rsid w:val="00E9252D"/>
    <w:rsid w:val="00E92C5D"/>
    <w:rsid w:val="00E94705"/>
    <w:rsid w:val="00E951E0"/>
    <w:rsid w:val="00E96009"/>
    <w:rsid w:val="00E9607D"/>
    <w:rsid w:val="00E9753D"/>
    <w:rsid w:val="00EA0F0E"/>
    <w:rsid w:val="00EA1A37"/>
    <w:rsid w:val="00EA341D"/>
    <w:rsid w:val="00EA415A"/>
    <w:rsid w:val="00EB0057"/>
    <w:rsid w:val="00EB0158"/>
    <w:rsid w:val="00EB064A"/>
    <w:rsid w:val="00EB11CA"/>
    <w:rsid w:val="00EB169A"/>
    <w:rsid w:val="00EB41B8"/>
    <w:rsid w:val="00EB54FD"/>
    <w:rsid w:val="00EB5A26"/>
    <w:rsid w:val="00EB6827"/>
    <w:rsid w:val="00EC0257"/>
    <w:rsid w:val="00EC19F7"/>
    <w:rsid w:val="00EC4425"/>
    <w:rsid w:val="00EC48A9"/>
    <w:rsid w:val="00EC5D50"/>
    <w:rsid w:val="00ED02E5"/>
    <w:rsid w:val="00ED14E5"/>
    <w:rsid w:val="00ED209F"/>
    <w:rsid w:val="00ED28BE"/>
    <w:rsid w:val="00ED61BE"/>
    <w:rsid w:val="00ED6573"/>
    <w:rsid w:val="00ED6998"/>
    <w:rsid w:val="00ED6FCD"/>
    <w:rsid w:val="00ED7A7F"/>
    <w:rsid w:val="00EE1B03"/>
    <w:rsid w:val="00EE3449"/>
    <w:rsid w:val="00EE3885"/>
    <w:rsid w:val="00EE4836"/>
    <w:rsid w:val="00EE4B18"/>
    <w:rsid w:val="00EE61FA"/>
    <w:rsid w:val="00EF0FB5"/>
    <w:rsid w:val="00EF707B"/>
    <w:rsid w:val="00F00115"/>
    <w:rsid w:val="00F00352"/>
    <w:rsid w:val="00F02A3B"/>
    <w:rsid w:val="00F036F6"/>
    <w:rsid w:val="00F03C38"/>
    <w:rsid w:val="00F03DEA"/>
    <w:rsid w:val="00F06645"/>
    <w:rsid w:val="00F06930"/>
    <w:rsid w:val="00F06CB7"/>
    <w:rsid w:val="00F06E43"/>
    <w:rsid w:val="00F07E50"/>
    <w:rsid w:val="00F10281"/>
    <w:rsid w:val="00F10766"/>
    <w:rsid w:val="00F15B18"/>
    <w:rsid w:val="00F15F95"/>
    <w:rsid w:val="00F20A22"/>
    <w:rsid w:val="00F20E67"/>
    <w:rsid w:val="00F25672"/>
    <w:rsid w:val="00F25ADF"/>
    <w:rsid w:val="00F268D0"/>
    <w:rsid w:val="00F26D3A"/>
    <w:rsid w:val="00F30857"/>
    <w:rsid w:val="00F30D2B"/>
    <w:rsid w:val="00F32E68"/>
    <w:rsid w:val="00F3321E"/>
    <w:rsid w:val="00F41217"/>
    <w:rsid w:val="00F4277B"/>
    <w:rsid w:val="00F44585"/>
    <w:rsid w:val="00F456E5"/>
    <w:rsid w:val="00F5082A"/>
    <w:rsid w:val="00F50E6E"/>
    <w:rsid w:val="00F51256"/>
    <w:rsid w:val="00F522B0"/>
    <w:rsid w:val="00F543D3"/>
    <w:rsid w:val="00F55AE2"/>
    <w:rsid w:val="00F55FAD"/>
    <w:rsid w:val="00F6060E"/>
    <w:rsid w:val="00F6142A"/>
    <w:rsid w:val="00F61E3D"/>
    <w:rsid w:val="00F62CAA"/>
    <w:rsid w:val="00F63379"/>
    <w:rsid w:val="00F63C5F"/>
    <w:rsid w:val="00F657D5"/>
    <w:rsid w:val="00F67F9D"/>
    <w:rsid w:val="00F70876"/>
    <w:rsid w:val="00F75096"/>
    <w:rsid w:val="00F754A5"/>
    <w:rsid w:val="00F75A65"/>
    <w:rsid w:val="00F76F51"/>
    <w:rsid w:val="00F802F7"/>
    <w:rsid w:val="00F812C6"/>
    <w:rsid w:val="00F8260F"/>
    <w:rsid w:val="00F83BD2"/>
    <w:rsid w:val="00F8456C"/>
    <w:rsid w:val="00F91599"/>
    <w:rsid w:val="00F93175"/>
    <w:rsid w:val="00F93997"/>
    <w:rsid w:val="00F9542B"/>
    <w:rsid w:val="00F96222"/>
    <w:rsid w:val="00FA07C3"/>
    <w:rsid w:val="00FA116D"/>
    <w:rsid w:val="00FA1D4F"/>
    <w:rsid w:val="00FA3F9A"/>
    <w:rsid w:val="00FA4BA3"/>
    <w:rsid w:val="00FA58B6"/>
    <w:rsid w:val="00FA6586"/>
    <w:rsid w:val="00FA73B2"/>
    <w:rsid w:val="00FB0576"/>
    <w:rsid w:val="00FB2531"/>
    <w:rsid w:val="00FB4AF1"/>
    <w:rsid w:val="00FB5548"/>
    <w:rsid w:val="00FB6601"/>
    <w:rsid w:val="00FB753F"/>
    <w:rsid w:val="00FC0E3B"/>
    <w:rsid w:val="00FC1261"/>
    <w:rsid w:val="00FC1A87"/>
    <w:rsid w:val="00FC1EB4"/>
    <w:rsid w:val="00FC216B"/>
    <w:rsid w:val="00FC27AB"/>
    <w:rsid w:val="00FC2B29"/>
    <w:rsid w:val="00FC41E4"/>
    <w:rsid w:val="00FC44F8"/>
    <w:rsid w:val="00FC6D6D"/>
    <w:rsid w:val="00FD05A5"/>
    <w:rsid w:val="00FD0DF1"/>
    <w:rsid w:val="00FD35AB"/>
    <w:rsid w:val="00FD5EA7"/>
    <w:rsid w:val="00FD680C"/>
    <w:rsid w:val="00FD75BC"/>
    <w:rsid w:val="00FD7D2A"/>
    <w:rsid w:val="00FD7DA3"/>
    <w:rsid w:val="00FE03B9"/>
    <w:rsid w:val="00FE058B"/>
    <w:rsid w:val="00FE1E82"/>
    <w:rsid w:val="00FE2159"/>
    <w:rsid w:val="00FE3C76"/>
    <w:rsid w:val="00FE46B1"/>
    <w:rsid w:val="00FE525E"/>
    <w:rsid w:val="00FE59A0"/>
    <w:rsid w:val="00FE6475"/>
    <w:rsid w:val="00FE759E"/>
    <w:rsid w:val="00FF0C5B"/>
    <w:rsid w:val="00FF1056"/>
    <w:rsid w:val="00FF183C"/>
    <w:rsid w:val="00FF4559"/>
    <w:rsid w:val="00FF53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A2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8A7DD7"/>
    <w:pPr>
      <w:spacing w:line="360" w:lineRule="auto"/>
    </w:pPr>
  </w:style>
  <w:style w:type="paragraph" w:styleId="BodyText2">
    <w:name w:val="Body Text 2"/>
    <w:basedOn w:val="Normal"/>
    <w:rsid w:val="008A7DD7"/>
    <w:pPr>
      <w:tabs>
        <w:tab w:val="left" w:pos="-720"/>
      </w:tabs>
      <w:suppressAutoHyphens/>
      <w:spacing w:line="360" w:lineRule="auto"/>
    </w:pPr>
  </w:style>
  <w:style w:type="paragraph" w:styleId="BalloonText">
    <w:name w:val="Balloon Text"/>
    <w:basedOn w:val="Normal"/>
    <w:semiHidden/>
    <w:rsid w:val="006B5B79"/>
    <w:rPr>
      <w:rFonts w:ascii="Tahoma" w:hAnsi="Tahoma" w:cs="Tahoma"/>
      <w:sz w:val="16"/>
      <w:szCs w:val="16"/>
    </w:rPr>
  </w:style>
  <w:style w:type="character" w:customStyle="1" w:styleId="FootnoteTextChar">
    <w:name w:val="Footnote Text Char"/>
    <w:link w:val="FootnoteText"/>
    <w:rsid w:val="002A02FE"/>
    <w:rPr>
      <w:rFonts w:ascii="Courier" w:hAnsi="Courier"/>
      <w:sz w:val="24"/>
    </w:rPr>
  </w:style>
  <w:style w:type="character" w:customStyle="1" w:styleId="FooterChar">
    <w:name w:val="Footer Char"/>
    <w:link w:val="Footer"/>
    <w:uiPriority w:val="99"/>
    <w:rsid w:val="002A4A9C"/>
    <w:rPr>
      <w:rFonts w:ascii="Courier" w:hAnsi="Courier"/>
      <w:sz w:val="24"/>
    </w:rPr>
  </w:style>
  <w:style w:type="character" w:styleId="CommentReference">
    <w:name w:val="annotation reference"/>
    <w:rsid w:val="001E018A"/>
    <w:rPr>
      <w:sz w:val="16"/>
      <w:szCs w:val="16"/>
    </w:rPr>
  </w:style>
  <w:style w:type="paragraph" w:styleId="CommentText">
    <w:name w:val="annotation text"/>
    <w:basedOn w:val="Normal"/>
    <w:link w:val="CommentTextChar"/>
    <w:rsid w:val="001E018A"/>
    <w:rPr>
      <w:sz w:val="20"/>
    </w:rPr>
  </w:style>
  <w:style w:type="character" w:customStyle="1" w:styleId="CommentTextChar">
    <w:name w:val="Comment Text Char"/>
    <w:link w:val="CommentText"/>
    <w:rsid w:val="001E018A"/>
    <w:rPr>
      <w:rFonts w:ascii="Courier" w:hAnsi="Courier"/>
    </w:rPr>
  </w:style>
  <w:style w:type="paragraph" w:styleId="CommentSubject">
    <w:name w:val="annotation subject"/>
    <w:basedOn w:val="CommentText"/>
    <w:next w:val="CommentText"/>
    <w:link w:val="CommentSubjectChar"/>
    <w:rsid w:val="001E018A"/>
    <w:rPr>
      <w:b/>
      <w:bCs/>
    </w:rPr>
  </w:style>
  <w:style w:type="character" w:customStyle="1" w:styleId="CommentSubjectChar">
    <w:name w:val="Comment Subject Char"/>
    <w:link w:val="CommentSubject"/>
    <w:rsid w:val="001E018A"/>
    <w:rPr>
      <w:rFonts w:ascii="Courier" w:hAnsi="Courier"/>
      <w:b/>
      <w:bCs/>
    </w:rPr>
  </w:style>
  <w:style w:type="paragraph" w:styleId="ListParagraph">
    <w:name w:val="List Paragraph"/>
    <w:basedOn w:val="Normal"/>
    <w:uiPriority w:val="34"/>
    <w:qFormat/>
    <w:rsid w:val="00527CE1"/>
    <w:pPr>
      <w:ind w:left="720"/>
      <w:contextualSpacing/>
    </w:pPr>
  </w:style>
  <w:style w:type="character" w:customStyle="1" w:styleId="Heading1Char">
    <w:name w:val="Heading 1 Char"/>
    <w:basedOn w:val="DefaultParagraphFont"/>
    <w:link w:val="Heading1"/>
    <w:rsid w:val="00BA2C76"/>
    <w:rPr>
      <w:rFonts w:asciiTheme="majorHAnsi" w:eastAsiaTheme="majorEastAsia" w:hAnsiTheme="majorHAnsi" w:cstheme="majorBidi"/>
      <w:b/>
      <w:bCs/>
      <w:color w:val="365F91" w:themeColor="accent1" w:themeShade="BF"/>
      <w:sz w:val="28"/>
      <w:szCs w:val="28"/>
    </w:rPr>
  </w:style>
  <w:style w:type="character" w:styleId="Hyperlink">
    <w:name w:val="Hyperlink"/>
    <w:rsid w:val="00D47248"/>
    <w:rPr>
      <w:color w:val="0000FF"/>
      <w:u w:val="single"/>
    </w:rPr>
  </w:style>
  <w:style w:type="character" w:styleId="Emphasis">
    <w:name w:val="Emphasis"/>
    <w:qFormat/>
    <w:rsid w:val="00D47248"/>
    <w:rPr>
      <w:i/>
      <w:iCs/>
    </w:rPr>
  </w:style>
  <w:style w:type="character" w:customStyle="1" w:styleId="pmterms11">
    <w:name w:val="pmterms11"/>
    <w:basedOn w:val="DefaultParagraphFont"/>
    <w:rsid w:val="00456880"/>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A2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8A7DD7"/>
    <w:pPr>
      <w:spacing w:line="360" w:lineRule="auto"/>
    </w:pPr>
  </w:style>
  <w:style w:type="paragraph" w:styleId="BodyText2">
    <w:name w:val="Body Text 2"/>
    <w:basedOn w:val="Normal"/>
    <w:rsid w:val="008A7DD7"/>
    <w:pPr>
      <w:tabs>
        <w:tab w:val="left" w:pos="-720"/>
      </w:tabs>
      <w:suppressAutoHyphens/>
      <w:spacing w:line="360" w:lineRule="auto"/>
    </w:pPr>
  </w:style>
  <w:style w:type="paragraph" w:styleId="BalloonText">
    <w:name w:val="Balloon Text"/>
    <w:basedOn w:val="Normal"/>
    <w:semiHidden/>
    <w:rsid w:val="006B5B79"/>
    <w:rPr>
      <w:rFonts w:ascii="Tahoma" w:hAnsi="Tahoma" w:cs="Tahoma"/>
      <w:sz w:val="16"/>
      <w:szCs w:val="16"/>
    </w:rPr>
  </w:style>
  <w:style w:type="character" w:customStyle="1" w:styleId="FootnoteTextChar">
    <w:name w:val="Footnote Text Char"/>
    <w:link w:val="FootnoteText"/>
    <w:rsid w:val="002A02FE"/>
    <w:rPr>
      <w:rFonts w:ascii="Courier" w:hAnsi="Courier"/>
      <w:sz w:val="24"/>
    </w:rPr>
  </w:style>
  <w:style w:type="character" w:customStyle="1" w:styleId="FooterChar">
    <w:name w:val="Footer Char"/>
    <w:link w:val="Footer"/>
    <w:uiPriority w:val="99"/>
    <w:rsid w:val="002A4A9C"/>
    <w:rPr>
      <w:rFonts w:ascii="Courier" w:hAnsi="Courier"/>
      <w:sz w:val="24"/>
    </w:rPr>
  </w:style>
  <w:style w:type="character" w:styleId="CommentReference">
    <w:name w:val="annotation reference"/>
    <w:rsid w:val="001E018A"/>
    <w:rPr>
      <w:sz w:val="16"/>
      <w:szCs w:val="16"/>
    </w:rPr>
  </w:style>
  <w:style w:type="paragraph" w:styleId="CommentText">
    <w:name w:val="annotation text"/>
    <w:basedOn w:val="Normal"/>
    <w:link w:val="CommentTextChar"/>
    <w:rsid w:val="001E018A"/>
    <w:rPr>
      <w:sz w:val="20"/>
    </w:rPr>
  </w:style>
  <w:style w:type="character" w:customStyle="1" w:styleId="CommentTextChar">
    <w:name w:val="Comment Text Char"/>
    <w:link w:val="CommentText"/>
    <w:rsid w:val="001E018A"/>
    <w:rPr>
      <w:rFonts w:ascii="Courier" w:hAnsi="Courier"/>
    </w:rPr>
  </w:style>
  <w:style w:type="paragraph" w:styleId="CommentSubject">
    <w:name w:val="annotation subject"/>
    <w:basedOn w:val="CommentText"/>
    <w:next w:val="CommentText"/>
    <w:link w:val="CommentSubjectChar"/>
    <w:rsid w:val="001E018A"/>
    <w:rPr>
      <w:b/>
      <w:bCs/>
    </w:rPr>
  </w:style>
  <w:style w:type="character" w:customStyle="1" w:styleId="CommentSubjectChar">
    <w:name w:val="Comment Subject Char"/>
    <w:link w:val="CommentSubject"/>
    <w:rsid w:val="001E018A"/>
    <w:rPr>
      <w:rFonts w:ascii="Courier" w:hAnsi="Courier"/>
      <w:b/>
      <w:bCs/>
    </w:rPr>
  </w:style>
  <w:style w:type="paragraph" w:styleId="ListParagraph">
    <w:name w:val="List Paragraph"/>
    <w:basedOn w:val="Normal"/>
    <w:uiPriority w:val="34"/>
    <w:qFormat/>
    <w:rsid w:val="00527CE1"/>
    <w:pPr>
      <w:ind w:left="720"/>
      <w:contextualSpacing/>
    </w:pPr>
  </w:style>
  <w:style w:type="character" w:customStyle="1" w:styleId="Heading1Char">
    <w:name w:val="Heading 1 Char"/>
    <w:basedOn w:val="DefaultParagraphFont"/>
    <w:link w:val="Heading1"/>
    <w:rsid w:val="00BA2C76"/>
    <w:rPr>
      <w:rFonts w:asciiTheme="majorHAnsi" w:eastAsiaTheme="majorEastAsia" w:hAnsiTheme="majorHAnsi" w:cstheme="majorBidi"/>
      <w:b/>
      <w:bCs/>
      <w:color w:val="365F91" w:themeColor="accent1" w:themeShade="BF"/>
      <w:sz w:val="28"/>
      <w:szCs w:val="28"/>
    </w:rPr>
  </w:style>
  <w:style w:type="character" w:styleId="Hyperlink">
    <w:name w:val="Hyperlink"/>
    <w:rsid w:val="00D47248"/>
    <w:rPr>
      <w:color w:val="0000FF"/>
      <w:u w:val="single"/>
    </w:rPr>
  </w:style>
  <w:style w:type="character" w:styleId="Emphasis">
    <w:name w:val="Emphasis"/>
    <w:qFormat/>
    <w:rsid w:val="00D47248"/>
    <w:rPr>
      <w:i/>
      <w:iCs/>
    </w:rPr>
  </w:style>
  <w:style w:type="character" w:customStyle="1" w:styleId="pmterms11">
    <w:name w:val="pmterms11"/>
    <w:basedOn w:val="DefaultParagraphFont"/>
    <w:rsid w:val="00456880"/>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7142">
      <w:bodyDiv w:val="1"/>
      <w:marLeft w:val="0"/>
      <w:marRight w:val="0"/>
      <w:marTop w:val="0"/>
      <w:marBottom w:val="0"/>
      <w:divBdr>
        <w:top w:val="none" w:sz="0" w:space="0" w:color="auto"/>
        <w:left w:val="none" w:sz="0" w:space="0" w:color="auto"/>
        <w:bottom w:val="none" w:sz="0" w:space="0" w:color="auto"/>
        <w:right w:val="none" w:sz="0" w:space="0" w:color="auto"/>
      </w:divBdr>
    </w:div>
    <w:div w:id="14486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general/onlineforms/pdf/safety_fitness_complia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235B-92FC-4821-9AE8-35231513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2015-11-03T15:18:00Z</dcterms:created>
  <dcterms:modified xsi:type="dcterms:W3CDTF">2015-11-05T12:53:00Z</dcterms:modified>
</cp:coreProperties>
</file>