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D91" w:rsidRPr="00616D91" w:rsidRDefault="00616D91" w:rsidP="000D756B">
      <w:pPr>
        <w:tabs>
          <w:tab w:val="clear" w:pos="1440"/>
          <w:tab w:val="left" w:pos="0"/>
        </w:tabs>
        <w:spacing w:before="0" w:after="0" w:line="240" w:lineRule="auto"/>
        <w:jc w:val="center"/>
        <w:rPr>
          <w:b/>
          <w:szCs w:val="24"/>
        </w:rPr>
      </w:pPr>
      <w:r w:rsidRPr="00616D91">
        <w:rPr>
          <w:b/>
          <w:szCs w:val="24"/>
        </w:rPr>
        <w:t>BEFORE THE</w:t>
      </w:r>
    </w:p>
    <w:p w:rsidR="00616D91" w:rsidRPr="00616D91" w:rsidRDefault="00616D91" w:rsidP="000D756B">
      <w:pPr>
        <w:tabs>
          <w:tab w:val="clear" w:pos="1440"/>
          <w:tab w:val="left" w:pos="0"/>
        </w:tabs>
        <w:spacing w:before="0" w:after="0" w:line="240" w:lineRule="auto"/>
        <w:jc w:val="center"/>
        <w:rPr>
          <w:b/>
          <w:szCs w:val="24"/>
        </w:rPr>
      </w:pPr>
      <w:smartTag w:uri="urn:schemas-microsoft-com:office:smarttags" w:element="place">
        <w:smartTag w:uri="urn:schemas-microsoft-com:office:smarttags" w:element="State">
          <w:r w:rsidRPr="00616D91">
            <w:rPr>
              <w:b/>
              <w:szCs w:val="24"/>
            </w:rPr>
            <w:t>PENNSYLVANIA</w:t>
          </w:r>
        </w:smartTag>
      </w:smartTag>
      <w:r w:rsidRPr="00616D91">
        <w:rPr>
          <w:b/>
          <w:szCs w:val="24"/>
        </w:rPr>
        <w:t xml:space="preserve"> PUBLIC UTILITY COMMISSION</w:t>
      </w:r>
    </w:p>
    <w:p w:rsidR="00616D91" w:rsidRPr="00616D91" w:rsidRDefault="00616D91" w:rsidP="000D756B">
      <w:pPr>
        <w:tabs>
          <w:tab w:val="clear" w:pos="1440"/>
          <w:tab w:val="left" w:pos="0"/>
        </w:tabs>
        <w:spacing w:before="0" w:after="0" w:line="240" w:lineRule="auto"/>
        <w:jc w:val="both"/>
        <w:rPr>
          <w:b/>
          <w:szCs w:val="24"/>
        </w:rPr>
      </w:pPr>
    </w:p>
    <w:p w:rsidR="00616D91" w:rsidRPr="00616D91" w:rsidRDefault="00616D91" w:rsidP="000D756B">
      <w:pPr>
        <w:tabs>
          <w:tab w:val="clear" w:pos="1440"/>
          <w:tab w:val="left" w:pos="0"/>
        </w:tabs>
        <w:spacing w:before="0" w:after="0" w:line="240" w:lineRule="auto"/>
        <w:jc w:val="both"/>
        <w:rPr>
          <w:b/>
          <w:szCs w:val="24"/>
        </w:rPr>
      </w:pPr>
    </w:p>
    <w:p w:rsidR="00616D91" w:rsidRPr="00616D91" w:rsidRDefault="00616D91" w:rsidP="000D756B">
      <w:pPr>
        <w:tabs>
          <w:tab w:val="clear" w:pos="1440"/>
          <w:tab w:val="left" w:pos="0"/>
        </w:tabs>
        <w:spacing w:before="0" w:after="0" w:line="240" w:lineRule="auto"/>
        <w:jc w:val="both"/>
        <w:rPr>
          <w:b/>
          <w:szCs w:val="24"/>
        </w:rPr>
      </w:pPr>
    </w:p>
    <w:p w:rsidR="00616D91" w:rsidRPr="00616D91" w:rsidRDefault="00616D91" w:rsidP="000D756B">
      <w:pPr>
        <w:tabs>
          <w:tab w:val="clear" w:pos="1440"/>
          <w:tab w:val="left" w:pos="0"/>
        </w:tabs>
        <w:spacing w:before="0" w:after="0" w:line="240" w:lineRule="auto"/>
        <w:jc w:val="both"/>
        <w:rPr>
          <w:szCs w:val="24"/>
        </w:rPr>
      </w:pPr>
      <w:r w:rsidRPr="00616D91">
        <w:rPr>
          <w:szCs w:val="24"/>
        </w:rPr>
        <w:t>Dorothy P. Potts</w:t>
      </w:r>
      <w:r w:rsidRPr="00616D91">
        <w:rPr>
          <w:szCs w:val="24"/>
        </w:rPr>
        <w:tab/>
      </w:r>
      <w:r w:rsidRPr="00616D91">
        <w:rPr>
          <w:szCs w:val="24"/>
        </w:rPr>
        <w:tab/>
      </w:r>
      <w:r w:rsidRPr="00616D91">
        <w:rPr>
          <w:szCs w:val="24"/>
        </w:rPr>
        <w:tab/>
      </w:r>
      <w:r w:rsidRPr="00616D91">
        <w:rPr>
          <w:szCs w:val="24"/>
        </w:rPr>
        <w:tab/>
      </w:r>
      <w:r w:rsidRPr="00616D91">
        <w:rPr>
          <w:szCs w:val="24"/>
        </w:rPr>
        <w:tab/>
        <w:t>:</w:t>
      </w:r>
    </w:p>
    <w:p w:rsidR="00616D91" w:rsidRPr="00616D91" w:rsidRDefault="00616D91" w:rsidP="000D756B">
      <w:pPr>
        <w:tabs>
          <w:tab w:val="clear" w:pos="1440"/>
          <w:tab w:val="left" w:pos="0"/>
        </w:tabs>
        <w:spacing w:before="0" w:after="0" w:line="240" w:lineRule="auto"/>
        <w:jc w:val="both"/>
        <w:rPr>
          <w:szCs w:val="24"/>
        </w:rPr>
      </w:pPr>
      <w:r w:rsidRPr="00616D91">
        <w:rPr>
          <w:b/>
          <w:szCs w:val="24"/>
        </w:rPr>
        <w:tab/>
      </w:r>
      <w:r w:rsidRPr="00616D91">
        <w:rPr>
          <w:b/>
          <w:szCs w:val="24"/>
        </w:rPr>
        <w:tab/>
      </w:r>
      <w:r w:rsidRPr="00616D91">
        <w:rPr>
          <w:b/>
          <w:szCs w:val="24"/>
        </w:rPr>
        <w:tab/>
      </w:r>
      <w:r w:rsidRPr="00616D91">
        <w:rPr>
          <w:b/>
          <w:szCs w:val="24"/>
        </w:rPr>
        <w:tab/>
      </w:r>
      <w:r w:rsidRPr="00616D91">
        <w:rPr>
          <w:b/>
          <w:szCs w:val="24"/>
        </w:rPr>
        <w:tab/>
      </w:r>
      <w:r w:rsidRPr="00616D91">
        <w:rPr>
          <w:b/>
          <w:szCs w:val="24"/>
        </w:rPr>
        <w:tab/>
      </w:r>
      <w:r w:rsidRPr="00616D91">
        <w:rPr>
          <w:b/>
          <w:szCs w:val="24"/>
        </w:rPr>
        <w:tab/>
      </w:r>
      <w:r w:rsidRPr="00616D91">
        <w:rPr>
          <w:szCs w:val="24"/>
        </w:rPr>
        <w:t>:</w:t>
      </w:r>
      <w:r w:rsidRPr="00616D91">
        <w:rPr>
          <w:szCs w:val="24"/>
        </w:rPr>
        <w:tab/>
      </w:r>
    </w:p>
    <w:p w:rsidR="00616D91" w:rsidRPr="00616D91" w:rsidRDefault="00616D91" w:rsidP="000D756B">
      <w:pPr>
        <w:tabs>
          <w:tab w:val="clear" w:pos="1440"/>
          <w:tab w:val="left" w:pos="0"/>
          <w:tab w:val="left" w:pos="720"/>
        </w:tabs>
        <w:spacing w:before="0" w:after="0" w:line="240" w:lineRule="auto"/>
        <w:jc w:val="both"/>
        <w:rPr>
          <w:szCs w:val="24"/>
        </w:rPr>
      </w:pPr>
      <w:r w:rsidRPr="00616D91">
        <w:rPr>
          <w:szCs w:val="24"/>
        </w:rPr>
        <w:tab/>
        <w:t>v.</w:t>
      </w:r>
      <w:r w:rsidRPr="00616D91">
        <w:rPr>
          <w:szCs w:val="24"/>
        </w:rPr>
        <w:tab/>
      </w:r>
      <w:r w:rsidRPr="00616D91">
        <w:rPr>
          <w:szCs w:val="24"/>
        </w:rPr>
        <w:tab/>
      </w:r>
      <w:r w:rsidRPr="00616D91">
        <w:rPr>
          <w:szCs w:val="24"/>
        </w:rPr>
        <w:tab/>
      </w:r>
      <w:r w:rsidRPr="00616D91">
        <w:rPr>
          <w:szCs w:val="24"/>
        </w:rPr>
        <w:tab/>
      </w:r>
      <w:r w:rsidRPr="00616D91">
        <w:rPr>
          <w:szCs w:val="24"/>
        </w:rPr>
        <w:tab/>
      </w:r>
      <w:r w:rsidRPr="00616D91">
        <w:rPr>
          <w:szCs w:val="24"/>
        </w:rPr>
        <w:tab/>
        <w:t>:</w:t>
      </w:r>
      <w:r w:rsidRPr="00616D91">
        <w:rPr>
          <w:b/>
          <w:szCs w:val="24"/>
        </w:rPr>
        <w:tab/>
      </w:r>
      <w:r w:rsidRPr="00616D91">
        <w:rPr>
          <w:b/>
          <w:szCs w:val="24"/>
        </w:rPr>
        <w:tab/>
      </w:r>
      <w:r w:rsidRPr="00616D91">
        <w:rPr>
          <w:szCs w:val="24"/>
        </w:rPr>
        <w:t>F-2015-2482389</w:t>
      </w:r>
    </w:p>
    <w:p w:rsidR="00616D91" w:rsidRPr="00616D91" w:rsidRDefault="00616D91" w:rsidP="000D756B">
      <w:pPr>
        <w:tabs>
          <w:tab w:val="clear" w:pos="1440"/>
          <w:tab w:val="left" w:pos="0"/>
        </w:tabs>
        <w:spacing w:before="0" w:after="0" w:line="240" w:lineRule="auto"/>
        <w:jc w:val="both"/>
        <w:rPr>
          <w:szCs w:val="24"/>
        </w:rPr>
      </w:pPr>
      <w:r w:rsidRPr="00616D91">
        <w:rPr>
          <w:szCs w:val="24"/>
        </w:rPr>
        <w:tab/>
      </w:r>
      <w:r w:rsidRPr="00616D91">
        <w:rPr>
          <w:szCs w:val="24"/>
        </w:rPr>
        <w:tab/>
      </w:r>
      <w:r w:rsidRPr="00616D91">
        <w:rPr>
          <w:szCs w:val="24"/>
        </w:rPr>
        <w:tab/>
      </w:r>
      <w:r w:rsidRPr="00616D91">
        <w:rPr>
          <w:szCs w:val="24"/>
        </w:rPr>
        <w:tab/>
      </w:r>
      <w:r w:rsidRPr="00616D91">
        <w:rPr>
          <w:szCs w:val="24"/>
        </w:rPr>
        <w:tab/>
      </w:r>
      <w:r w:rsidRPr="00616D91">
        <w:rPr>
          <w:szCs w:val="24"/>
        </w:rPr>
        <w:tab/>
      </w:r>
      <w:r w:rsidRPr="00616D91">
        <w:rPr>
          <w:szCs w:val="24"/>
        </w:rPr>
        <w:tab/>
        <w:t>:</w:t>
      </w:r>
    </w:p>
    <w:p w:rsidR="00616D91" w:rsidRDefault="00616D91" w:rsidP="000D756B">
      <w:pPr>
        <w:tabs>
          <w:tab w:val="clear" w:pos="1440"/>
          <w:tab w:val="left" w:pos="0"/>
        </w:tabs>
        <w:spacing w:before="0" w:after="0" w:line="240" w:lineRule="auto"/>
        <w:jc w:val="both"/>
        <w:rPr>
          <w:szCs w:val="24"/>
        </w:rPr>
      </w:pPr>
      <w:r w:rsidRPr="00616D91">
        <w:rPr>
          <w:szCs w:val="24"/>
        </w:rPr>
        <w:t>PPL Electric Utilities Corporation</w:t>
      </w:r>
      <w:r w:rsidRPr="00616D91">
        <w:rPr>
          <w:szCs w:val="24"/>
        </w:rPr>
        <w:tab/>
      </w:r>
      <w:r w:rsidRPr="00616D91">
        <w:rPr>
          <w:szCs w:val="24"/>
        </w:rPr>
        <w:tab/>
      </w:r>
      <w:r w:rsidRPr="00616D91">
        <w:rPr>
          <w:szCs w:val="24"/>
        </w:rPr>
        <w:tab/>
        <w:t>:</w:t>
      </w:r>
    </w:p>
    <w:p w:rsidR="0080047D" w:rsidRDefault="0080047D" w:rsidP="000D756B">
      <w:pPr>
        <w:tabs>
          <w:tab w:val="clear" w:pos="1440"/>
          <w:tab w:val="left" w:pos="0"/>
        </w:tabs>
        <w:spacing w:before="0" w:after="0" w:line="240" w:lineRule="auto"/>
        <w:jc w:val="both"/>
        <w:rPr>
          <w:szCs w:val="24"/>
        </w:rPr>
      </w:pPr>
    </w:p>
    <w:p w:rsidR="0080047D" w:rsidRPr="00616D91" w:rsidRDefault="0080047D" w:rsidP="000D756B">
      <w:pPr>
        <w:tabs>
          <w:tab w:val="clear" w:pos="1440"/>
          <w:tab w:val="left" w:pos="0"/>
        </w:tabs>
        <w:spacing w:before="0" w:after="0" w:line="240" w:lineRule="auto"/>
        <w:jc w:val="both"/>
        <w:rPr>
          <w:szCs w:val="24"/>
        </w:rPr>
      </w:pPr>
    </w:p>
    <w:p w:rsidR="00616D91" w:rsidRDefault="00616D91" w:rsidP="000D756B">
      <w:pPr>
        <w:spacing w:before="0" w:after="0" w:line="240" w:lineRule="auto"/>
      </w:pPr>
    </w:p>
    <w:p w:rsidR="00792796" w:rsidRPr="00616D91" w:rsidRDefault="003D3733" w:rsidP="000D756B">
      <w:pPr>
        <w:spacing w:before="0" w:after="0" w:line="240" w:lineRule="auto"/>
        <w:jc w:val="center"/>
        <w:rPr>
          <w:b/>
          <w:u w:val="single"/>
        </w:rPr>
      </w:pPr>
      <w:r w:rsidRPr="00616D91">
        <w:rPr>
          <w:b/>
          <w:u w:val="single"/>
        </w:rPr>
        <w:t>INTIAL DECISION</w:t>
      </w:r>
    </w:p>
    <w:p w:rsidR="00616D91" w:rsidRDefault="00616D91" w:rsidP="000D756B">
      <w:pPr>
        <w:spacing w:before="0" w:after="0" w:line="240" w:lineRule="auto"/>
        <w:jc w:val="center"/>
      </w:pPr>
    </w:p>
    <w:p w:rsidR="0080047D" w:rsidRDefault="0080047D" w:rsidP="000D756B">
      <w:pPr>
        <w:spacing w:before="0" w:after="0" w:line="240" w:lineRule="auto"/>
        <w:jc w:val="center"/>
      </w:pPr>
    </w:p>
    <w:p w:rsidR="003D3733" w:rsidRPr="00616D91" w:rsidRDefault="003D3733" w:rsidP="000D756B">
      <w:pPr>
        <w:spacing w:before="0" w:after="0" w:line="240" w:lineRule="auto"/>
        <w:jc w:val="center"/>
      </w:pPr>
      <w:r w:rsidRPr="00616D91">
        <w:t>Before</w:t>
      </w:r>
    </w:p>
    <w:p w:rsidR="003D3733" w:rsidRPr="00616D91" w:rsidRDefault="003D3733" w:rsidP="000D756B">
      <w:pPr>
        <w:spacing w:before="0" w:after="0" w:line="240" w:lineRule="auto"/>
        <w:jc w:val="center"/>
      </w:pPr>
      <w:r w:rsidRPr="00616D91">
        <w:t>Mary D. Long</w:t>
      </w:r>
    </w:p>
    <w:p w:rsidR="003D3733" w:rsidRDefault="003D3733" w:rsidP="000D756B">
      <w:pPr>
        <w:spacing w:before="0" w:after="0"/>
        <w:jc w:val="center"/>
      </w:pPr>
      <w:r w:rsidRPr="00616D91">
        <w:t>Administrative Law Judge</w:t>
      </w:r>
    </w:p>
    <w:p w:rsidR="0080047D" w:rsidRDefault="0080047D" w:rsidP="000D756B">
      <w:pPr>
        <w:spacing w:before="0" w:after="0"/>
        <w:jc w:val="center"/>
      </w:pPr>
    </w:p>
    <w:p w:rsidR="003D3733" w:rsidRDefault="003D3733" w:rsidP="000D756B">
      <w:pPr>
        <w:spacing w:before="0" w:after="0"/>
      </w:pPr>
      <w:r>
        <w:tab/>
        <w:t>This decision dismisses the formal complaint of a customer who was not home to receive termination notices when she forgot to p</w:t>
      </w:r>
      <w:r w:rsidR="00D1524D">
        <w:t>ay her bill before she left for an extended trip</w:t>
      </w:r>
      <w:r>
        <w:t>.  The customer did not prove that the utility violated any rule, regulation or statute of the Commission.</w:t>
      </w:r>
    </w:p>
    <w:p w:rsidR="0080047D" w:rsidRDefault="0080047D" w:rsidP="000D756B">
      <w:pPr>
        <w:spacing w:before="0" w:after="0"/>
      </w:pPr>
    </w:p>
    <w:p w:rsidR="003D3733" w:rsidRDefault="003D3733" w:rsidP="000D756B">
      <w:pPr>
        <w:spacing w:before="0" w:after="0"/>
        <w:jc w:val="center"/>
        <w:rPr>
          <w:u w:val="single"/>
        </w:rPr>
      </w:pPr>
      <w:r w:rsidRPr="00616D91">
        <w:rPr>
          <w:u w:val="single"/>
        </w:rPr>
        <w:t>PROCEDURAL HISTORY</w:t>
      </w:r>
    </w:p>
    <w:p w:rsidR="0080047D" w:rsidRPr="00616D91" w:rsidRDefault="0080047D" w:rsidP="000D756B">
      <w:pPr>
        <w:spacing w:before="0" w:after="0"/>
        <w:jc w:val="center"/>
        <w:rPr>
          <w:u w:val="single"/>
        </w:rPr>
      </w:pPr>
    </w:p>
    <w:p w:rsidR="003D3733" w:rsidRDefault="003D3733" w:rsidP="000D756B">
      <w:pPr>
        <w:spacing w:before="0" w:after="0"/>
      </w:pPr>
      <w:r>
        <w:tab/>
        <w:t xml:space="preserve">Dorothy P. Potts (Complainant) filed a formal complaint against PPL Electric </w:t>
      </w:r>
      <w:r w:rsidR="0080047D">
        <w:t>Utilities</w:t>
      </w:r>
      <w:r>
        <w:t xml:space="preserve"> Corporation (PPL) on May 7, 2015, alleging that PPL improperly terminated her electricity service.  She states that she was on an extended vacation and was not at home to receive the shut-off notice.  She explained in her complaint that when the power was restored, it caused damage to some of her appliances.  PPL filed an answer on June 4, 2015, denying that it had improperly terminated service.</w:t>
      </w:r>
    </w:p>
    <w:p w:rsidR="0080047D" w:rsidRDefault="0080047D" w:rsidP="000D756B">
      <w:pPr>
        <w:spacing w:before="0" w:after="0"/>
      </w:pPr>
    </w:p>
    <w:p w:rsidR="003D3733" w:rsidRDefault="003D3733" w:rsidP="000D756B">
      <w:pPr>
        <w:spacing w:before="0" w:after="0"/>
      </w:pPr>
      <w:r>
        <w:tab/>
        <w:t>By notice dated June 15, 2015, this matter was assigned to me and scheduled for a call-in telephonic hearing on July 28, 2015.</w:t>
      </w:r>
      <w:r w:rsidR="008B20C3">
        <w:t xml:space="preserve">  The hearing convened as scheduled.  The Complainant appeared and represented herself.  She testified on her own behalf and offered one </w:t>
      </w:r>
      <w:r w:rsidR="008B20C3">
        <w:lastRenderedPageBreak/>
        <w:t>exhibit which was admitted into evidence.  PPL appeared and was represented by Attorney Kimberly G. Krupka.  PPL presented the testimony of one witness and offered three exhibits which were admitted into the record.  The hearing generated a transcript of 45 pages.  By interim order dated August 25, 2015, the record was closed.</w:t>
      </w:r>
    </w:p>
    <w:p w:rsidR="00BD51E1" w:rsidRDefault="00BD51E1" w:rsidP="000D756B">
      <w:pPr>
        <w:spacing w:before="0" w:after="0"/>
      </w:pPr>
    </w:p>
    <w:p w:rsidR="008B20C3" w:rsidRDefault="008B20C3" w:rsidP="000D756B">
      <w:pPr>
        <w:spacing w:before="0" w:after="0"/>
        <w:jc w:val="center"/>
        <w:rPr>
          <w:u w:val="single"/>
        </w:rPr>
      </w:pPr>
      <w:r w:rsidRPr="00616D91">
        <w:rPr>
          <w:u w:val="single"/>
        </w:rPr>
        <w:t>FINDINGS OF FACT</w:t>
      </w:r>
    </w:p>
    <w:p w:rsidR="0080047D" w:rsidRPr="00616D91" w:rsidRDefault="0080047D" w:rsidP="000D756B">
      <w:pPr>
        <w:spacing w:before="0" w:after="0"/>
        <w:jc w:val="center"/>
        <w:rPr>
          <w:u w:val="single"/>
        </w:rPr>
      </w:pPr>
    </w:p>
    <w:p w:rsidR="008B20C3" w:rsidRDefault="008B20C3" w:rsidP="000D756B">
      <w:pPr>
        <w:pStyle w:val="ListParagraph"/>
      </w:pPr>
      <w:r>
        <w:t>The Complainant is Dorothy P. Potts.  She receives electric distribution service from PPL at her residence, 2723 Pleasant Valley Lane, Brodheadsville, PA.  (N.T. 8)</w:t>
      </w:r>
    </w:p>
    <w:p w:rsidR="0080047D" w:rsidRDefault="0080047D" w:rsidP="000D756B">
      <w:pPr>
        <w:spacing w:before="0" w:after="0"/>
        <w:ind w:left="720"/>
      </w:pPr>
    </w:p>
    <w:p w:rsidR="008B20C3" w:rsidRDefault="008B20C3" w:rsidP="000D756B">
      <w:pPr>
        <w:pStyle w:val="ListParagraph"/>
      </w:pPr>
      <w:r>
        <w:t>PPL Electric Utilities Corporation is a jurisdictional public utility.</w:t>
      </w:r>
    </w:p>
    <w:p w:rsidR="0080047D" w:rsidRDefault="0080047D" w:rsidP="000D756B">
      <w:pPr>
        <w:spacing w:before="0" w:after="0"/>
        <w:ind w:left="720"/>
      </w:pPr>
    </w:p>
    <w:p w:rsidR="008B20C3" w:rsidRDefault="00047C05" w:rsidP="000D756B">
      <w:pPr>
        <w:pStyle w:val="ListParagraph"/>
      </w:pPr>
      <w:r>
        <w:t xml:space="preserve"> </w:t>
      </w:r>
      <w:r w:rsidR="00C3201D">
        <w:t xml:space="preserve">On August 13, 2014, the Complainant left her home for a trip to Barbados. </w:t>
      </w:r>
      <w:r w:rsidR="0094326E">
        <w:t xml:space="preserve"> </w:t>
      </w:r>
      <w:r w:rsidR="00C3201D">
        <w:t>(N.T. 9)</w:t>
      </w:r>
    </w:p>
    <w:p w:rsidR="0080047D" w:rsidRDefault="0080047D" w:rsidP="000D756B">
      <w:pPr>
        <w:spacing w:before="0" w:after="0"/>
        <w:ind w:left="720"/>
      </w:pPr>
    </w:p>
    <w:p w:rsidR="00047C05" w:rsidRDefault="00C3201D" w:rsidP="000D756B">
      <w:pPr>
        <w:pStyle w:val="ListParagraph"/>
      </w:pPr>
      <w:r>
        <w:t xml:space="preserve">She did not return from Barbados </w:t>
      </w:r>
      <w:r w:rsidRPr="00A27495">
        <w:t xml:space="preserve">until </w:t>
      </w:r>
      <w:r w:rsidR="00A27495" w:rsidRPr="00A27495">
        <w:t>August 28</w:t>
      </w:r>
      <w:r w:rsidRPr="00A27495">
        <w:t>, 2014</w:t>
      </w:r>
      <w:r>
        <w:t>.  (N.T. 9)</w:t>
      </w:r>
      <w:r w:rsidR="00047C05">
        <w:t xml:space="preserve"> </w:t>
      </w:r>
    </w:p>
    <w:p w:rsidR="0080047D" w:rsidRDefault="0080047D" w:rsidP="000D756B">
      <w:pPr>
        <w:spacing w:before="0" w:after="0"/>
        <w:ind w:left="720"/>
      </w:pPr>
    </w:p>
    <w:p w:rsidR="003E6F13" w:rsidRDefault="00047C05" w:rsidP="000D756B">
      <w:pPr>
        <w:pStyle w:val="ListParagraph"/>
      </w:pPr>
      <w:r>
        <w:t xml:space="preserve"> </w:t>
      </w:r>
      <w:r w:rsidR="00ED664D">
        <w:t>The Complainant</w:t>
      </w:r>
      <w:r w:rsidR="00DC699A">
        <w:t xml:space="preserve"> forgot to pay her PPL </w:t>
      </w:r>
      <w:r w:rsidR="00C3201D">
        <w:t>bill before she left for her trip.  (N.T. 10)</w:t>
      </w:r>
    </w:p>
    <w:p w:rsidR="003C546A" w:rsidRDefault="003C546A" w:rsidP="003C546A">
      <w:pPr>
        <w:pStyle w:val="ListParagraph"/>
        <w:numPr>
          <w:ilvl w:val="0"/>
          <w:numId w:val="0"/>
        </w:numPr>
        <w:ind w:left="1440"/>
      </w:pPr>
    </w:p>
    <w:p w:rsidR="00380538" w:rsidRDefault="001D1940" w:rsidP="000D756B">
      <w:pPr>
        <w:pStyle w:val="ListParagraph"/>
      </w:pPr>
      <w:r>
        <w:t>The Complainant’s electricity service was turned off on August 27, 2014.  (N.T. 32; PPL Ex. 3)</w:t>
      </w:r>
      <w:r w:rsidR="00380538" w:rsidRPr="00380538">
        <w:t xml:space="preserve"> </w:t>
      </w:r>
    </w:p>
    <w:p w:rsidR="0080047D" w:rsidRDefault="0080047D" w:rsidP="000D756B">
      <w:pPr>
        <w:pStyle w:val="ListParagraph"/>
        <w:numPr>
          <w:ilvl w:val="0"/>
          <w:numId w:val="0"/>
        </w:numPr>
        <w:ind w:left="1440"/>
      </w:pPr>
    </w:p>
    <w:p w:rsidR="00380538" w:rsidRDefault="00380538" w:rsidP="000D756B">
      <w:pPr>
        <w:pStyle w:val="ListParagraph"/>
      </w:pPr>
      <w:r>
        <w:t>On August 27, 2014, she received a telephone call from her 15 year old grandson informing her that PPL was at her home to turn off the electricity.  (N.T. 10; 15)</w:t>
      </w:r>
    </w:p>
    <w:p w:rsidR="0094326E" w:rsidRDefault="0094326E" w:rsidP="000D756B">
      <w:pPr>
        <w:pStyle w:val="ListParagraph"/>
        <w:numPr>
          <w:ilvl w:val="0"/>
          <w:numId w:val="0"/>
        </w:numPr>
        <w:ind w:left="1440"/>
      </w:pPr>
    </w:p>
    <w:p w:rsidR="00C3201D" w:rsidRDefault="00C3201D" w:rsidP="000D756B">
      <w:pPr>
        <w:pStyle w:val="ListParagraph"/>
      </w:pPr>
      <w:r>
        <w:t>The Complainant called PPL from Barbados and used her credit card to pay $200.  (N.T. 10</w:t>
      </w:r>
      <w:r w:rsidR="00E246D2">
        <w:t>; 33-34; PPL Exs. 1, 3</w:t>
      </w:r>
      <w:r>
        <w:t>)</w:t>
      </w:r>
    </w:p>
    <w:p w:rsidR="0080047D" w:rsidRDefault="0080047D" w:rsidP="000D756B">
      <w:pPr>
        <w:pStyle w:val="ListParagraph"/>
        <w:numPr>
          <w:ilvl w:val="0"/>
          <w:numId w:val="0"/>
        </w:numPr>
        <w:ind w:left="1440"/>
      </w:pPr>
    </w:p>
    <w:p w:rsidR="00FD7998" w:rsidRDefault="00FD7998" w:rsidP="000D756B">
      <w:pPr>
        <w:pStyle w:val="ListParagraph"/>
      </w:pPr>
      <w:r>
        <w:t>The Complainant’s electricity service was reconnected on August 28, 2014.</w:t>
      </w:r>
      <w:r w:rsidR="0094326E">
        <w:t xml:space="preserve"> </w:t>
      </w:r>
      <w:r>
        <w:t xml:space="preserve"> (N.T. 15</w:t>
      </w:r>
      <w:r w:rsidR="00004D73">
        <w:t>; 34</w:t>
      </w:r>
      <w:r>
        <w:t>)</w:t>
      </w:r>
    </w:p>
    <w:p w:rsidR="00C3201D" w:rsidRDefault="00C3201D" w:rsidP="000D756B">
      <w:pPr>
        <w:pStyle w:val="ListParagraph"/>
      </w:pPr>
      <w:r>
        <w:lastRenderedPageBreak/>
        <w:t>When the Complainant returned home, she picked up her</w:t>
      </w:r>
      <w:r w:rsidR="00380538">
        <w:t xml:space="preserve"> mail from the post office, and </w:t>
      </w:r>
      <w:r>
        <w:t>discovered the termination</w:t>
      </w:r>
      <w:r w:rsidR="00207267">
        <w:t xml:space="preserve"> letter </w:t>
      </w:r>
      <w:r>
        <w:t>from</w:t>
      </w:r>
      <w:r w:rsidR="00380538">
        <w:t xml:space="preserve"> PPL</w:t>
      </w:r>
      <w:r>
        <w:t>.  (N.T. 11; Ex. C-1)</w:t>
      </w:r>
    </w:p>
    <w:p w:rsidR="0080047D" w:rsidRDefault="0080047D" w:rsidP="000D756B">
      <w:pPr>
        <w:pStyle w:val="ListParagraph"/>
        <w:numPr>
          <w:ilvl w:val="0"/>
          <w:numId w:val="0"/>
        </w:numPr>
        <w:ind w:left="1440"/>
      </w:pPr>
    </w:p>
    <w:p w:rsidR="00C3201D" w:rsidRDefault="00C3201D" w:rsidP="000D756B">
      <w:pPr>
        <w:pStyle w:val="ListParagraph"/>
      </w:pPr>
      <w:r>
        <w:t>The termination letter</w:t>
      </w:r>
      <w:r w:rsidR="00380538">
        <w:t>, dated August 11, 2014</w:t>
      </w:r>
      <w:r w:rsidR="0080047D">
        <w:t>, notified</w:t>
      </w:r>
      <w:r>
        <w:t xml:space="preserve"> the Complainant that her payment of $177.50 was past due.  (Ex. C-1)</w:t>
      </w:r>
    </w:p>
    <w:p w:rsidR="0080047D" w:rsidRDefault="0080047D" w:rsidP="000D756B">
      <w:pPr>
        <w:spacing w:before="0" w:after="0"/>
      </w:pPr>
    </w:p>
    <w:p w:rsidR="00C3201D" w:rsidRDefault="00FD7998" w:rsidP="000D756B">
      <w:pPr>
        <w:pStyle w:val="ListParagraph"/>
      </w:pPr>
      <w:r>
        <w:t>The Complainant’s mail typically takes five to seven days to get to her, therefore she did not receive the termination notice until after she had left her home for Barbados.  (N.T. 10)</w:t>
      </w:r>
    </w:p>
    <w:p w:rsidR="0080047D" w:rsidRDefault="0080047D" w:rsidP="000D756B">
      <w:pPr>
        <w:pStyle w:val="ListParagraph"/>
        <w:numPr>
          <w:ilvl w:val="0"/>
          <w:numId w:val="0"/>
        </w:numPr>
        <w:ind w:left="1440"/>
      </w:pPr>
    </w:p>
    <w:p w:rsidR="00FD7998" w:rsidRDefault="00FD7998" w:rsidP="000D756B">
      <w:pPr>
        <w:pStyle w:val="ListParagraph"/>
      </w:pPr>
      <w:r>
        <w:t>PPL left two messages on the Complainant’s voicemail</w:t>
      </w:r>
      <w:r w:rsidR="006B1798">
        <w:t>: one message on A</w:t>
      </w:r>
      <w:r w:rsidR="003E057B">
        <w:t xml:space="preserve">ugust 19, 2014 at 1:46 p.m.; </w:t>
      </w:r>
      <w:r w:rsidR="006B1798">
        <w:t>one message on August 20, 2014 at 6:22 p.m.</w:t>
      </w:r>
      <w:r w:rsidR="0094326E">
        <w:t xml:space="preserve"> </w:t>
      </w:r>
      <w:r>
        <w:t xml:space="preserve"> (N.T. 13, 15</w:t>
      </w:r>
      <w:r w:rsidR="006B1798">
        <w:t>; 32-33</w:t>
      </w:r>
      <w:r w:rsidR="00E246D2">
        <w:t>; PPL Ex. 5</w:t>
      </w:r>
      <w:r w:rsidR="006B1798">
        <w:t>)</w:t>
      </w:r>
    </w:p>
    <w:p w:rsidR="0080047D" w:rsidRDefault="0080047D" w:rsidP="000D756B">
      <w:pPr>
        <w:spacing w:before="0" w:after="0"/>
      </w:pPr>
    </w:p>
    <w:p w:rsidR="00FD7998" w:rsidRDefault="00F446F8" w:rsidP="000D756B">
      <w:pPr>
        <w:pStyle w:val="ListParagraph"/>
      </w:pPr>
      <w:r>
        <w:t xml:space="preserve">The Complainant did not hear these messages because she </w:t>
      </w:r>
      <w:r w:rsidR="006B4779">
        <w:t>was in</w:t>
      </w:r>
      <w:r>
        <w:t xml:space="preserve"> Barbados.</w:t>
      </w:r>
      <w:r w:rsidR="00495D3E">
        <w:t xml:space="preserve"> </w:t>
      </w:r>
      <w:r w:rsidR="00761A25">
        <w:t xml:space="preserve"> (N.T. 9)</w:t>
      </w:r>
    </w:p>
    <w:p w:rsidR="0080047D" w:rsidRDefault="0080047D" w:rsidP="000D756B">
      <w:pPr>
        <w:spacing w:before="0" w:after="0"/>
      </w:pPr>
    </w:p>
    <w:p w:rsidR="00F446F8" w:rsidRDefault="00F446F8" w:rsidP="000D756B">
      <w:pPr>
        <w:pStyle w:val="ListParagraph"/>
      </w:pPr>
      <w:r>
        <w:t>On June 12, 2014, PPL issued a bill to the Complainant which was due on July 3, 2014.</w:t>
      </w:r>
      <w:r w:rsidR="00495D3E">
        <w:t xml:space="preserve"> </w:t>
      </w:r>
      <w:r>
        <w:t xml:space="preserve"> (N.T. 26: PPL Ex. 1)</w:t>
      </w:r>
    </w:p>
    <w:p w:rsidR="0080047D" w:rsidRDefault="0080047D" w:rsidP="000D756B">
      <w:pPr>
        <w:spacing w:before="0" w:after="0"/>
      </w:pPr>
    </w:p>
    <w:p w:rsidR="00F446F8" w:rsidRDefault="00F446F8" w:rsidP="000D756B">
      <w:pPr>
        <w:pStyle w:val="ListParagraph"/>
      </w:pPr>
      <w:r>
        <w:t xml:space="preserve">On June 12, 2014, there was no past due balance on the Complainant’s account. </w:t>
      </w:r>
      <w:r w:rsidR="00495D3E">
        <w:t xml:space="preserve"> </w:t>
      </w:r>
      <w:r>
        <w:t>(N.T. 26)</w:t>
      </w:r>
    </w:p>
    <w:p w:rsidR="0080047D" w:rsidRDefault="0080047D" w:rsidP="000D756B">
      <w:pPr>
        <w:spacing w:before="0" w:after="0"/>
      </w:pPr>
    </w:p>
    <w:p w:rsidR="00F446F8" w:rsidRDefault="00F446F8" w:rsidP="000D756B">
      <w:pPr>
        <w:pStyle w:val="ListParagraph"/>
      </w:pPr>
      <w:r>
        <w:t>However, the Complainant did not pay the bill on or before July 3, 2014. (N.T. 26</w:t>
      </w:r>
      <w:r w:rsidR="00DC699A">
        <w:t>; PPL Ex. 1</w:t>
      </w:r>
      <w:r>
        <w:t>)</w:t>
      </w:r>
    </w:p>
    <w:p w:rsidR="0080047D" w:rsidRDefault="0080047D" w:rsidP="000D756B">
      <w:pPr>
        <w:spacing w:before="0" w:after="0"/>
      </w:pPr>
    </w:p>
    <w:p w:rsidR="00F446F8" w:rsidRDefault="00F446F8" w:rsidP="000D756B">
      <w:pPr>
        <w:pStyle w:val="ListParagraph"/>
      </w:pPr>
      <w:r>
        <w:t>The Complainant paid the June 12, 2014 bill on July 21, 2014.  (N.T. 27</w:t>
      </w:r>
      <w:r w:rsidR="00DC699A">
        <w:t>; PPL Ex. 1</w:t>
      </w:r>
      <w:r>
        <w:t>)</w:t>
      </w:r>
      <w:bookmarkStart w:id="0" w:name="_GoBack"/>
    </w:p>
    <w:p w:rsidR="00734228" w:rsidRDefault="00734228" w:rsidP="00734228">
      <w:pPr>
        <w:spacing w:before="0" w:after="0"/>
      </w:pPr>
    </w:p>
    <w:bookmarkEnd w:id="0"/>
    <w:p w:rsidR="00F446F8" w:rsidRDefault="00F446F8" w:rsidP="000D756B">
      <w:pPr>
        <w:pStyle w:val="ListParagraph"/>
      </w:pPr>
      <w:r>
        <w:t>On July 14, 2014, PPL i</w:t>
      </w:r>
      <w:r w:rsidR="00DC699A">
        <w:t>ssued a bill to the Complainant which was due on August 11, 2014.  (N.T. 27; PPL Ex. 1)</w:t>
      </w:r>
    </w:p>
    <w:p w:rsidR="00DC699A" w:rsidRDefault="00DC699A" w:rsidP="000D756B">
      <w:pPr>
        <w:pStyle w:val="ListParagraph"/>
      </w:pPr>
      <w:r>
        <w:lastRenderedPageBreak/>
        <w:t>The Complainant did not pay the July 14, 2014 bill on or before August</w:t>
      </w:r>
      <w:r w:rsidR="00A42735">
        <w:t> </w:t>
      </w:r>
      <w:r>
        <w:t>11, 2014.  (PPL Ex. 1)</w:t>
      </w:r>
    </w:p>
    <w:p w:rsidR="0080047D" w:rsidRDefault="0080047D" w:rsidP="000D756B">
      <w:pPr>
        <w:spacing w:before="0" w:after="0"/>
      </w:pPr>
    </w:p>
    <w:p w:rsidR="00047C05" w:rsidRDefault="00047C05" w:rsidP="000D756B">
      <w:pPr>
        <w:spacing w:before="0" w:after="0"/>
        <w:jc w:val="center"/>
        <w:rPr>
          <w:u w:val="single"/>
        </w:rPr>
      </w:pPr>
      <w:r w:rsidRPr="00893D26">
        <w:rPr>
          <w:u w:val="single"/>
        </w:rPr>
        <w:t>DISCUSSION</w:t>
      </w:r>
    </w:p>
    <w:p w:rsidR="0080047D" w:rsidRPr="00893D26" w:rsidRDefault="0080047D" w:rsidP="000D756B">
      <w:pPr>
        <w:spacing w:before="0" w:after="0"/>
        <w:jc w:val="center"/>
        <w:rPr>
          <w:u w:val="single"/>
        </w:rPr>
      </w:pPr>
    </w:p>
    <w:p w:rsidR="00555841" w:rsidRDefault="00555841" w:rsidP="000D756B">
      <w:pPr>
        <w:spacing w:before="0" w:after="0"/>
        <w:ind w:firstLine="1440"/>
        <w:rPr>
          <w:szCs w:val="24"/>
        </w:rPr>
      </w:pPr>
      <w:r w:rsidRPr="00035CC2">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035CC2">
        <w:rPr>
          <w:rStyle w:val="FootnoteReference"/>
          <w:szCs w:val="24"/>
        </w:rPr>
        <w:footnoteReference w:id="1"/>
      </w:r>
      <w:r w:rsidRPr="00035CC2">
        <w:rPr>
          <w:szCs w:val="24"/>
        </w:rPr>
        <w:t xml:space="preserve">  A person seeking affirmative relief from the Commission has the burden of proof.</w:t>
      </w:r>
      <w:r w:rsidRPr="00035CC2">
        <w:rPr>
          <w:rStyle w:val="FootnoteReference"/>
          <w:szCs w:val="24"/>
        </w:rPr>
        <w:footnoteReference w:id="2"/>
      </w:r>
    </w:p>
    <w:p w:rsidR="00555841" w:rsidRPr="00035CC2" w:rsidRDefault="00555841" w:rsidP="000D756B">
      <w:pPr>
        <w:spacing w:before="0" w:after="0"/>
        <w:ind w:firstLine="1440"/>
        <w:rPr>
          <w:szCs w:val="24"/>
        </w:rPr>
      </w:pPr>
    </w:p>
    <w:p w:rsidR="00555841" w:rsidRDefault="00555841" w:rsidP="000D756B">
      <w:pPr>
        <w:spacing w:before="0" w:after="0"/>
        <w:ind w:firstLine="1440"/>
        <w:rPr>
          <w:szCs w:val="24"/>
        </w:rPr>
      </w:pPr>
      <w:r w:rsidRPr="00035CC2">
        <w:rPr>
          <w:szCs w:val="24"/>
        </w:rPr>
        <w:t xml:space="preserve">In this matter, the Complainant is the party seeking affirmative relief from the Commission; therefore, </w:t>
      </w:r>
      <w:r>
        <w:rPr>
          <w:szCs w:val="24"/>
        </w:rPr>
        <w:t>s</w:t>
      </w:r>
      <w:r w:rsidRPr="00035CC2">
        <w:rPr>
          <w:szCs w:val="24"/>
        </w:rPr>
        <w:t xml:space="preserve">he has the burden of proof.  This means that </w:t>
      </w:r>
      <w:r>
        <w:rPr>
          <w:szCs w:val="24"/>
        </w:rPr>
        <w:t>s</w:t>
      </w:r>
      <w:r w:rsidRPr="00035CC2">
        <w:rPr>
          <w:szCs w:val="24"/>
        </w:rPr>
        <w:t xml:space="preserve">he </w:t>
      </w:r>
      <w:r>
        <w:rPr>
          <w:szCs w:val="24"/>
        </w:rPr>
        <w:t>must</w:t>
      </w:r>
      <w:r w:rsidRPr="00035CC2">
        <w:rPr>
          <w:szCs w:val="24"/>
        </w:rPr>
        <w:t xml:space="preserve"> establish a </w:t>
      </w:r>
      <w:r>
        <w:rPr>
          <w:szCs w:val="24"/>
        </w:rPr>
        <w:t xml:space="preserve">material </w:t>
      </w:r>
      <w:r w:rsidRPr="00035CC2">
        <w:rPr>
          <w:szCs w:val="24"/>
        </w:rPr>
        <w:t xml:space="preserve">fact by a preponderance of the evidence, and must show that </w:t>
      </w:r>
      <w:r>
        <w:rPr>
          <w:szCs w:val="24"/>
        </w:rPr>
        <w:t xml:space="preserve">the company </w:t>
      </w:r>
      <w:r w:rsidRPr="00035CC2">
        <w:rPr>
          <w:szCs w:val="24"/>
        </w:rPr>
        <w:t>has violated the Public Utility Code or Commission regulations.</w:t>
      </w:r>
      <w:r w:rsidRPr="00035CC2">
        <w:rPr>
          <w:rStyle w:val="FootnoteReference"/>
          <w:szCs w:val="24"/>
        </w:rPr>
        <w:footnoteReference w:id="3"/>
      </w:r>
      <w:r w:rsidRPr="00035CC2">
        <w:rPr>
          <w:szCs w:val="24"/>
        </w:rPr>
        <w:t xml:space="preserve"> </w:t>
      </w:r>
    </w:p>
    <w:p w:rsidR="0080047D" w:rsidRDefault="0080047D" w:rsidP="000D756B">
      <w:pPr>
        <w:spacing w:before="0" w:after="0"/>
        <w:ind w:firstLine="1440"/>
        <w:rPr>
          <w:szCs w:val="24"/>
        </w:rPr>
      </w:pPr>
    </w:p>
    <w:p w:rsidR="009045E9" w:rsidRDefault="00DB4D36" w:rsidP="000D756B">
      <w:pPr>
        <w:spacing w:before="0" w:after="0"/>
        <w:ind w:firstLine="1440"/>
        <w:rPr>
          <w:szCs w:val="24"/>
        </w:rPr>
      </w:pPr>
      <w:r>
        <w:rPr>
          <w:szCs w:val="24"/>
        </w:rPr>
        <w:t xml:space="preserve">The Commission requirements for terminating electricity service are set forth in </w:t>
      </w:r>
      <w:r w:rsidR="0084675A">
        <w:rPr>
          <w:szCs w:val="24"/>
        </w:rPr>
        <w:t xml:space="preserve">Chapter 14 of the Public Utility Code and </w:t>
      </w:r>
      <w:r>
        <w:rPr>
          <w:szCs w:val="24"/>
        </w:rPr>
        <w:t xml:space="preserve">the Commissions regulations in Chapter 56.  </w:t>
      </w:r>
      <w:r w:rsidR="00AA1924">
        <w:rPr>
          <w:szCs w:val="24"/>
        </w:rPr>
        <w:t>A</w:t>
      </w:r>
      <w:r>
        <w:rPr>
          <w:szCs w:val="24"/>
        </w:rPr>
        <w:t xml:space="preserve"> utility is authorized to terminate service when a customer fails to pay an undisputed delinquent amount or fails to comply with the material terms of a payment agreement.</w:t>
      </w:r>
      <w:r>
        <w:rPr>
          <w:rStyle w:val="FootnoteReference"/>
          <w:szCs w:val="24"/>
        </w:rPr>
        <w:footnoteReference w:id="4"/>
      </w:r>
      <w:r w:rsidR="00AA1924">
        <w:rPr>
          <w:szCs w:val="24"/>
        </w:rPr>
        <w:t xml:space="preserve">  Before terminating service, the utility must provide a written notice of the termination at least ten days before the date of proposed termination.</w:t>
      </w:r>
      <w:r w:rsidR="00AA1924">
        <w:rPr>
          <w:rStyle w:val="FootnoteReference"/>
          <w:szCs w:val="24"/>
        </w:rPr>
        <w:footnoteReference w:id="5"/>
      </w:r>
      <w:r w:rsidR="00AA1924">
        <w:rPr>
          <w:szCs w:val="24"/>
        </w:rPr>
        <w:t xml:space="preserve">  At least three days before the proposed termination, the utility is required to attempt personal contact with the customer</w:t>
      </w:r>
      <w:r w:rsidR="00D85AA2">
        <w:rPr>
          <w:szCs w:val="24"/>
        </w:rPr>
        <w:t xml:space="preserve">.  </w:t>
      </w:r>
      <w:r w:rsidR="00AA1924">
        <w:rPr>
          <w:szCs w:val="24"/>
        </w:rPr>
        <w:t xml:space="preserve">When a utility attempts personal contact by </w:t>
      </w:r>
      <w:r w:rsidR="009045E9">
        <w:rPr>
          <w:szCs w:val="24"/>
        </w:rPr>
        <w:br w:type="page"/>
      </w:r>
    </w:p>
    <w:p w:rsidR="00DB4D36" w:rsidRDefault="00AA1924" w:rsidP="009045E9">
      <w:pPr>
        <w:spacing w:before="0" w:after="0"/>
        <w:rPr>
          <w:szCs w:val="24"/>
        </w:rPr>
      </w:pPr>
      <w:r>
        <w:rPr>
          <w:szCs w:val="24"/>
        </w:rPr>
        <w:lastRenderedPageBreak/>
        <w:t>telephone, the telephone calls must be attempted on two separate days during separate time periods.</w:t>
      </w:r>
      <w:r>
        <w:rPr>
          <w:rStyle w:val="FootnoteReference"/>
          <w:szCs w:val="24"/>
        </w:rPr>
        <w:footnoteReference w:id="6"/>
      </w:r>
      <w:r w:rsidR="00D0383A">
        <w:rPr>
          <w:szCs w:val="24"/>
        </w:rPr>
        <w:t xml:space="preserve">  </w:t>
      </w:r>
      <w:r w:rsidR="00002907">
        <w:rPr>
          <w:szCs w:val="24"/>
        </w:rPr>
        <w:t>Neither the Public Utility Code nor the Commissions’ regulations</w:t>
      </w:r>
      <w:r w:rsidR="00D0383A">
        <w:rPr>
          <w:szCs w:val="24"/>
        </w:rPr>
        <w:t xml:space="preserve"> require the utility to actually speak to the customer; the utility need only make the attempt.</w:t>
      </w:r>
      <w:r w:rsidR="00FA4A00">
        <w:rPr>
          <w:rStyle w:val="FootnoteReference"/>
          <w:szCs w:val="24"/>
        </w:rPr>
        <w:footnoteReference w:id="7"/>
      </w:r>
    </w:p>
    <w:p w:rsidR="00A63F05" w:rsidRDefault="00A63F05" w:rsidP="000D756B">
      <w:pPr>
        <w:spacing w:before="0" w:after="0"/>
        <w:ind w:firstLine="1440"/>
        <w:rPr>
          <w:szCs w:val="24"/>
        </w:rPr>
      </w:pPr>
    </w:p>
    <w:p w:rsidR="00EC6990" w:rsidRDefault="00EC6990" w:rsidP="000D756B">
      <w:pPr>
        <w:spacing w:before="0" w:after="0"/>
        <w:ind w:firstLine="1440"/>
        <w:rPr>
          <w:szCs w:val="24"/>
        </w:rPr>
      </w:pPr>
      <w:r>
        <w:rPr>
          <w:szCs w:val="24"/>
        </w:rPr>
        <w:t xml:space="preserve">A review of the facts presented in this case demonstrates that PPL followed the proper procedure before it terminated the Complainant’s electricity service.  The Complainant failed to pay her June 2014 and July 2014 bills in full and on time on or before the due date.  </w:t>
      </w:r>
      <w:r w:rsidR="00380538">
        <w:rPr>
          <w:szCs w:val="24"/>
        </w:rPr>
        <w:t>She</w:t>
      </w:r>
      <w:r w:rsidR="007B5B04">
        <w:rPr>
          <w:szCs w:val="24"/>
        </w:rPr>
        <w:t xml:space="preserve"> had a past due balance on her account.  </w:t>
      </w:r>
      <w:r>
        <w:rPr>
          <w:szCs w:val="24"/>
        </w:rPr>
        <w:t>PPL sent the Complainant a written termination notice on August 11, 2014, with a proposed termination date of August 21, 2014.  PPL made two attempts to speak to the Complainant by telephone, leaving messages in her voicemail on August 19, 2014 and August 20, 2014.</w:t>
      </w:r>
      <w:r w:rsidR="00F83BA3">
        <w:rPr>
          <w:szCs w:val="24"/>
        </w:rPr>
        <w:t xml:space="preserve">  The Complainant’s service was terminated on August 27, 2014.</w:t>
      </w:r>
      <w:r w:rsidR="00282608">
        <w:rPr>
          <w:szCs w:val="24"/>
        </w:rPr>
        <w:t xml:space="preserve"> </w:t>
      </w:r>
      <w:r w:rsidR="00F83BA3">
        <w:rPr>
          <w:szCs w:val="24"/>
        </w:rPr>
        <w:t xml:space="preserve"> Once the Complainant paid her bill, PPL promptly reconnected service the following day.</w:t>
      </w:r>
    </w:p>
    <w:p w:rsidR="00A63F05" w:rsidRDefault="00A63F05" w:rsidP="000D756B">
      <w:pPr>
        <w:spacing w:before="0" w:after="0"/>
        <w:ind w:firstLine="1440"/>
        <w:rPr>
          <w:szCs w:val="24"/>
        </w:rPr>
      </w:pPr>
    </w:p>
    <w:p w:rsidR="00F83BA3" w:rsidRDefault="00F83BA3" w:rsidP="000D756B">
      <w:pPr>
        <w:spacing w:before="0" w:after="0"/>
        <w:ind w:firstLine="1440"/>
        <w:rPr>
          <w:szCs w:val="24"/>
        </w:rPr>
      </w:pPr>
      <w:r>
        <w:rPr>
          <w:szCs w:val="24"/>
        </w:rPr>
        <w:t xml:space="preserve">It is unfortunate that the Complainant happened to be away from home for an extended period of time during the timeframe that PPL commenced termination proceedings.  </w:t>
      </w:r>
      <w:r w:rsidR="00CD7CD2">
        <w:rPr>
          <w:szCs w:val="24"/>
        </w:rPr>
        <w:t>It is unfortunate that the Complainant suffered damage to her appliances and suffered the loss of her frozen food, which no doubt placed a strain</w:t>
      </w:r>
      <w:r w:rsidR="00E64C8A">
        <w:rPr>
          <w:szCs w:val="24"/>
        </w:rPr>
        <w:t xml:space="preserve"> on her finances.  However, </w:t>
      </w:r>
      <w:r w:rsidR="00CD7CD2">
        <w:rPr>
          <w:szCs w:val="24"/>
        </w:rPr>
        <w:t xml:space="preserve">her burden is to demonstrate that PPL violated the Public Utility Code.  </w:t>
      </w:r>
      <w:r w:rsidR="00E64C8A">
        <w:rPr>
          <w:szCs w:val="24"/>
        </w:rPr>
        <w:t>Although she was not significantly behind in her payments, PPL is entitled to use the procedures provided by the Public Utility Code to ensure that customers pay for the electricity service that they use.</w:t>
      </w:r>
      <w:r w:rsidR="003B639E">
        <w:rPr>
          <w:rStyle w:val="FootnoteReference"/>
          <w:szCs w:val="24"/>
        </w:rPr>
        <w:footnoteReference w:id="8"/>
      </w:r>
      <w:r w:rsidR="00E64C8A">
        <w:rPr>
          <w:szCs w:val="24"/>
        </w:rPr>
        <w:t xml:space="preserve">  PPL complied with those procedures.  Therefore the Complainant failed to sustain her burden of proof and her complaint must be dismissed.</w:t>
      </w:r>
    </w:p>
    <w:p w:rsidR="00582539" w:rsidRDefault="00582539" w:rsidP="000D756B">
      <w:pPr>
        <w:spacing w:before="0" w:after="0"/>
        <w:ind w:firstLine="1440"/>
        <w:rPr>
          <w:szCs w:val="24"/>
        </w:rPr>
      </w:pPr>
    </w:p>
    <w:p w:rsidR="00F72758" w:rsidRDefault="00F72758" w:rsidP="000D756B">
      <w:pPr>
        <w:spacing w:before="0" w:after="0"/>
        <w:jc w:val="center"/>
        <w:rPr>
          <w:szCs w:val="24"/>
          <w:u w:val="single"/>
        </w:rPr>
      </w:pPr>
      <w:r w:rsidRPr="00565E63">
        <w:rPr>
          <w:szCs w:val="24"/>
          <w:u w:val="single"/>
        </w:rPr>
        <w:t>CONCLUSIONS OF LAW</w:t>
      </w:r>
    </w:p>
    <w:p w:rsidR="008217F1" w:rsidRPr="00565E63" w:rsidRDefault="008217F1" w:rsidP="000D756B">
      <w:pPr>
        <w:spacing w:before="0" w:after="0"/>
        <w:jc w:val="center"/>
        <w:rPr>
          <w:szCs w:val="24"/>
          <w:u w:val="single"/>
        </w:rPr>
      </w:pPr>
    </w:p>
    <w:p w:rsidR="00F72758" w:rsidRDefault="00F72758" w:rsidP="000D756B">
      <w:pPr>
        <w:spacing w:before="0" w:after="0"/>
        <w:rPr>
          <w:szCs w:val="24"/>
        </w:rPr>
      </w:pPr>
      <w:r>
        <w:rPr>
          <w:szCs w:val="24"/>
        </w:rPr>
        <w:tab/>
        <w:t>1.</w:t>
      </w:r>
      <w:r>
        <w:rPr>
          <w:szCs w:val="24"/>
        </w:rPr>
        <w:tab/>
        <w:t>The Commission has jurisdiction over the parties and subject-matter of this dispute.  66 Pa.C.S. § 701.</w:t>
      </w:r>
    </w:p>
    <w:p w:rsidR="00F72758" w:rsidRDefault="00F72758" w:rsidP="000D756B">
      <w:pPr>
        <w:spacing w:before="0" w:after="0"/>
        <w:rPr>
          <w:szCs w:val="24"/>
        </w:rPr>
      </w:pPr>
      <w:r>
        <w:rPr>
          <w:szCs w:val="24"/>
        </w:rPr>
        <w:lastRenderedPageBreak/>
        <w:tab/>
        <w:t>2.</w:t>
      </w:r>
      <w:r>
        <w:rPr>
          <w:szCs w:val="24"/>
        </w:rPr>
        <w:tab/>
        <w:t>The Complainant bears the burden of proof.  66 Pa.C.S. § 332.</w:t>
      </w:r>
    </w:p>
    <w:p w:rsidR="008217F1" w:rsidRDefault="008217F1" w:rsidP="000D756B">
      <w:pPr>
        <w:spacing w:before="0" w:after="0"/>
        <w:rPr>
          <w:szCs w:val="24"/>
        </w:rPr>
      </w:pPr>
    </w:p>
    <w:p w:rsidR="00F72758" w:rsidRDefault="00F72758" w:rsidP="000D756B">
      <w:pPr>
        <w:spacing w:before="0" w:after="0"/>
        <w:rPr>
          <w:szCs w:val="24"/>
        </w:rPr>
      </w:pPr>
      <w:r>
        <w:rPr>
          <w:szCs w:val="24"/>
        </w:rPr>
        <w:tab/>
        <w:t>3.</w:t>
      </w:r>
      <w:r>
        <w:rPr>
          <w:szCs w:val="24"/>
        </w:rPr>
        <w:tab/>
        <w:t>PPL complied with the termination procedures of the Public Utility Code and the Commission’s regulations when it shut off the Complainant’s electric service for non-payment.  66 Pa.C.S. § 1406; 52 Pa.Code §§ 56.81-56.100.</w:t>
      </w:r>
    </w:p>
    <w:p w:rsidR="008217F1" w:rsidRDefault="008217F1" w:rsidP="000D756B">
      <w:pPr>
        <w:spacing w:before="0" w:after="0"/>
        <w:rPr>
          <w:szCs w:val="24"/>
        </w:rPr>
      </w:pPr>
    </w:p>
    <w:p w:rsidR="00325546" w:rsidRDefault="00325546" w:rsidP="000D756B">
      <w:pPr>
        <w:spacing w:before="0" w:after="0"/>
        <w:jc w:val="center"/>
        <w:rPr>
          <w:szCs w:val="24"/>
          <w:u w:val="single"/>
        </w:rPr>
      </w:pPr>
      <w:r w:rsidRPr="00565E63">
        <w:rPr>
          <w:szCs w:val="24"/>
          <w:u w:val="single"/>
        </w:rPr>
        <w:t>ORDER</w:t>
      </w:r>
    </w:p>
    <w:p w:rsidR="008217F1" w:rsidRDefault="008217F1" w:rsidP="000D756B">
      <w:pPr>
        <w:spacing w:before="0" w:after="0"/>
        <w:jc w:val="center"/>
        <w:rPr>
          <w:szCs w:val="24"/>
          <w:u w:val="single"/>
        </w:rPr>
      </w:pPr>
    </w:p>
    <w:p w:rsidR="006146A6" w:rsidRPr="00565E63" w:rsidRDefault="006146A6" w:rsidP="000D756B">
      <w:pPr>
        <w:spacing w:before="0" w:after="0"/>
        <w:jc w:val="center"/>
        <w:rPr>
          <w:szCs w:val="24"/>
          <w:u w:val="single"/>
        </w:rPr>
      </w:pPr>
    </w:p>
    <w:p w:rsidR="00325546" w:rsidRDefault="006146A6" w:rsidP="000D756B">
      <w:pPr>
        <w:spacing w:before="0" w:after="0"/>
        <w:rPr>
          <w:szCs w:val="24"/>
        </w:rPr>
      </w:pPr>
      <w:r>
        <w:rPr>
          <w:szCs w:val="24"/>
        </w:rPr>
        <w:tab/>
      </w:r>
      <w:r w:rsidR="00325546">
        <w:rPr>
          <w:szCs w:val="24"/>
        </w:rPr>
        <w:t>THEREFORE,</w:t>
      </w:r>
    </w:p>
    <w:p w:rsidR="008217F1" w:rsidRDefault="008217F1" w:rsidP="000D756B">
      <w:pPr>
        <w:spacing w:before="0" w:after="0"/>
        <w:rPr>
          <w:szCs w:val="24"/>
        </w:rPr>
      </w:pPr>
    </w:p>
    <w:p w:rsidR="00325546" w:rsidRDefault="006146A6" w:rsidP="000D756B">
      <w:pPr>
        <w:spacing w:before="0" w:after="0"/>
        <w:rPr>
          <w:szCs w:val="24"/>
        </w:rPr>
      </w:pPr>
      <w:r>
        <w:rPr>
          <w:szCs w:val="24"/>
        </w:rPr>
        <w:tab/>
      </w:r>
      <w:r w:rsidR="00325546">
        <w:rPr>
          <w:szCs w:val="24"/>
        </w:rPr>
        <w:t>IT IS ORDERED:</w:t>
      </w:r>
    </w:p>
    <w:p w:rsidR="008217F1" w:rsidRDefault="008217F1" w:rsidP="000D756B">
      <w:pPr>
        <w:spacing w:before="0" w:after="0"/>
        <w:rPr>
          <w:szCs w:val="24"/>
        </w:rPr>
      </w:pPr>
    </w:p>
    <w:p w:rsidR="00325546" w:rsidRDefault="00325546" w:rsidP="000D756B">
      <w:pPr>
        <w:spacing w:before="0" w:after="0"/>
        <w:rPr>
          <w:szCs w:val="24"/>
        </w:rPr>
      </w:pPr>
      <w:r>
        <w:rPr>
          <w:szCs w:val="24"/>
        </w:rPr>
        <w:tab/>
        <w:t>1.</w:t>
      </w:r>
      <w:r>
        <w:rPr>
          <w:szCs w:val="24"/>
        </w:rPr>
        <w:tab/>
        <w:t>That the Complaint of Dorothy P. Potts at Docket No. F-2015-2482389 is dismissed.</w:t>
      </w:r>
    </w:p>
    <w:p w:rsidR="008217F1" w:rsidRDefault="008217F1" w:rsidP="000D756B">
      <w:pPr>
        <w:spacing w:before="0" w:after="0"/>
        <w:rPr>
          <w:szCs w:val="24"/>
        </w:rPr>
      </w:pPr>
    </w:p>
    <w:p w:rsidR="00325546" w:rsidRDefault="00325546" w:rsidP="000D756B">
      <w:pPr>
        <w:spacing w:before="0" w:after="0"/>
        <w:rPr>
          <w:szCs w:val="24"/>
        </w:rPr>
      </w:pPr>
      <w:r>
        <w:rPr>
          <w:szCs w:val="24"/>
        </w:rPr>
        <w:tab/>
        <w:t>2.</w:t>
      </w:r>
      <w:r>
        <w:rPr>
          <w:szCs w:val="24"/>
        </w:rPr>
        <w:tab/>
        <w:t>That the Secretary mark the docket closed.</w:t>
      </w:r>
    </w:p>
    <w:p w:rsidR="00D87C43" w:rsidRDefault="00D87C43" w:rsidP="000D756B">
      <w:pPr>
        <w:spacing w:before="0" w:after="0"/>
        <w:rPr>
          <w:szCs w:val="24"/>
        </w:rPr>
      </w:pPr>
    </w:p>
    <w:p w:rsidR="00D87C43" w:rsidRDefault="00D87C43" w:rsidP="000D756B">
      <w:pPr>
        <w:spacing w:before="0" w:after="0"/>
        <w:rPr>
          <w:szCs w:val="24"/>
        </w:rPr>
      </w:pPr>
    </w:p>
    <w:p w:rsidR="00D87C43" w:rsidRPr="00D87C43" w:rsidRDefault="00D87C43" w:rsidP="000D756B">
      <w:pPr>
        <w:tabs>
          <w:tab w:val="left" w:pos="0"/>
        </w:tabs>
        <w:spacing w:before="0" w:after="0" w:line="240" w:lineRule="auto"/>
        <w:jc w:val="both"/>
        <w:rPr>
          <w:szCs w:val="24"/>
          <w:u w:val="single"/>
        </w:rPr>
      </w:pPr>
      <w:r w:rsidRPr="00D87C43">
        <w:rPr>
          <w:szCs w:val="24"/>
        </w:rPr>
        <w:t xml:space="preserve">Date:  </w:t>
      </w:r>
      <w:r>
        <w:rPr>
          <w:szCs w:val="24"/>
          <w:u w:val="single"/>
        </w:rPr>
        <w:t xml:space="preserve">October </w:t>
      </w:r>
      <w:r w:rsidR="00282608">
        <w:rPr>
          <w:szCs w:val="24"/>
          <w:u w:val="single"/>
        </w:rPr>
        <w:t>29</w:t>
      </w:r>
      <w:r w:rsidRPr="00D87C43">
        <w:rPr>
          <w:szCs w:val="24"/>
          <w:u w:val="single"/>
        </w:rPr>
        <w:t>, 2015</w:t>
      </w:r>
      <w:r w:rsidRPr="00D87C43">
        <w:rPr>
          <w:szCs w:val="24"/>
        </w:rPr>
        <w:tab/>
      </w:r>
      <w:r w:rsidRPr="00D87C43">
        <w:rPr>
          <w:szCs w:val="24"/>
        </w:rPr>
        <w:tab/>
      </w:r>
      <w:r w:rsidRPr="00D87C43">
        <w:rPr>
          <w:szCs w:val="24"/>
        </w:rPr>
        <w:tab/>
      </w:r>
      <w:r w:rsidRPr="00D87C43">
        <w:rPr>
          <w:szCs w:val="24"/>
        </w:rPr>
        <w:tab/>
      </w:r>
      <w:r w:rsidRPr="00D87C43">
        <w:rPr>
          <w:szCs w:val="24"/>
          <w:u w:val="single"/>
        </w:rPr>
        <w:tab/>
      </w:r>
      <w:r w:rsidRPr="00D87C43">
        <w:rPr>
          <w:szCs w:val="24"/>
          <w:u w:val="single"/>
        </w:rPr>
        <w:tab/>
        <w:t>/s/</w:t>
      </w:r>
      <w:r w:rsidRPr="00D87C43">
        <w:rPr>
          <w:szCs w:val="24"/>
          <w:u w:val="single"/>
        </w:rPr>
        <w:tab/>
      </w:r>
      <w:r w:rsidRPr="00D87C43">
        <w:rPr>
          <w:szCs w:val="24"/>
          <w:u w:val="single"/>
        </w:rPr>
        <w:tab/>
      </w:r>
      <w:r w:rsidRPr="00D87C43">
        <w:rPr>
          <w:szCs w:val="24"/>
          <w:u w:val="single"/>
        </w:rPr>
        <w:tab/>
      </w:r>
      <w:r w:rsidRPr="00D87C43">
        <w:rPr>
          <w:szCs w:val="24"/>
          <w:u w:val="single"/>
        </w:rPr>
        <w:tab/>
      </w:r>
    </w:p>
    <w:p w:rsidR="00D87C43" w:rsidRPr="00D87C43" w:rsidRDefault="00D87C43" w:rsidP="000D756B">
      <w:pPr>
        <w:tabs>
          <w:tab w:val="left" w:pos="0"/>
        </w:tabs>
        <w:spacing w:before="0" w:after="0" w:line="240" w:lineRule="auto"/>
        <w:jc w:val="both"/>
        <w:rPr>
          <w:szCs w:val="24"/>
        </w:rPr>
      </w:pPr>
      <w:r w:rsidRPr="00D87C43">
        <w:rPr>
          <w:szCs w:val="24"/>
        </w:rPr>
        <w:tab/>
      </w:r>
      <w:r w:rsidRPr="00D87C43">
        <w:rPr>
          <w:szCs w:val="24"/>
        </w:rPr>
        <w:tab/>
      </w:r>
      <w:r w:rsidRPr="00D87C43">
        <w:rPr>
          <w:szCs w:val="24"/>
        </w:rPr>
        <w:tab/>
      </w:r>
      <w:r w:rsidRPr="00D87C43">
        <w:rPr>
          <w:szCs w:val="24"/>
        </w:rPr>
        <w:tab/>
      </w:r>
      <w:r w:rsidRPr="00D87C43">
        <w:rPr>
          <w:szCs w:val="24"/>
        </w:rPr>
        <w:tab/>
      </w:r>
      <w:r w:rsidRPr="00D87C43">
        <w:rPr>
          <w:szCs w:val="24"/>
        </w:rPr>
        <w:tab/>
        <w:t>Mary D. Long</w:t>
      </w:r>
    </w:p>
    <w:p w:rsidR="00D87C43" w:rsidRPr="00D87C43" w:rsidRDefault="00D87C43" w:rsidP="000D756B">
      <w:pPr>
        <w:tabs>
          <w:tab w:val="left" w:pos="0"/>
        </w:tabs>
        <w:spacing w:before="0" w:after="0" w:line="240" w:lineRule="auto"/>
        <w:jc w:val="both"/>
        <w:rPr>
          <w:szCs w:val="24"/>
        </w:rPr>
      </w:pPr>
      <w:r w:rsidRPr="00D87C43">
        <w:rPr>
          <w:szCs w:val="24"/>
        </w:rPr>
        <w:tab/>
      </w:r>
      <w:r w:rsidRPr="00D87C43">
        <w:rPr>
          <w:szCs w:val="24"/>
        </w:rPr>
        <w:tab/>
      </w:r>
      <w:r w:rsidRPr="00D87C43">
        <w:rPr>
          <w:szCs w:val="24"/>
        </w:rPr>
        <w:tab/>
      </w:r>
      <w:r w:rsidRPr="00D87C43">
        <w:rPr>
          <w:szCs w:val="24"/>
        </w:rPr>
        <w:tab/>
      </w:r>
      <w:r w:rsidRPr="00D87C43">
        <w:rPr>
          <w:szCs w:val="24"/>
        </w:rPr>
        <w:tab/>
      </w:r>
      <w:r w:rsidRPr="00D87C43">
        <w:rPr>
          <w:szCs w:val="24"/>
        </w:rPr>
        <w:tab/>
        <w:t>Administrative Law Judge</w:t>
      </w:r>
    </w:p>
    <w:p w:rsidR="00D87C43" w:rsidRPr="00D87C43" w:rsidRDefault="00D87C43" w:rsidP="000D756B">
      <w:pPr>
        <w:tabs>
          <w:tab w:val="left" w:pos="0"/>
        </w:tabs>
        <w:spacing w:before="0" w:after="0" w:line="240" w:lineRule="auto"/>
        <w:jc w:val="both"/>
      </w:pPr>
    </w:p>
    <w:p w:rsidR="00D87C43" w:rsidRDefault="00D87C43" w:rsidP="000D756B">
      <w:pPr>
        <w:spacing w:before="0" w:after="0"/>
        <w:rPr>
          <w:szCs w:val="24"/>
        </w:rPr>
      </w:pPr>
    </w:p>
    <w:p w:rsidR="00D87C43" w:rsidRDefault="00D87C43" w:rsidP="000D756B">
      <w:pPr>
        <w:spacing w:before="0" w:after="0"/>
        <w:rPr>
          <w:szCs w:val="24"/>
        </w:rPr>
      </w:pPr>
    </w:p>
    <w:p w:rsidR="00D87C43" w:rsidRDefault="00D87C43" w:rsidP="000D756B">
      <w:pPr>
        <w:spacing w:before="0" w:after="0"/>
        <w:rPr>
          <w:szCs w:val="24"/>
        </w:rPr>
      </w:pPr>
    </w:p>
    <w:p w:rsidR="00D87C43" w:rsidRDefault="00D87C43" w:rsidP="000D756B">
      <w:pPr>
        <w:spacing w:before="0" w:after="0"/>
        <w:rPr>
          <w:szCs w:val="24"/>
        </w:rPr>
      </w:pPr>
    </w:p>
    <w:p w:rsidR="00047C05" w:rsidRDefault="00047C05" w:rsidP="000D756B">
      <w:pPr>
        <w:spacing w:before="0" w:after="0"/>
      </w:pPr>
    </w:p>
    <w:sectPr w:rsidR="00047C05" w:rsidSect="00326A0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9F9" w:rsidRDefault="00CC19F9" w:rsidP="00670CE8">
      <w:pPr>
        <w:spacing w:before="0" w:after="0" w:line="240" w:lineRule="auto"/>
      </w:pPr>
      <w:r>
        <w:separator/>
      </w:r>
    </w:p>
  </w:endnote>
  <w:endnote w:type="continuationSeparator" w:id="0">
    <w:p w:rsidR="00CC19F9" w:rsidRDefault="00CC19F9" w:rsidP="00670C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886632"/>
      <w:docPartObj>
        <w:docPartGallery w:val="Page Numbers (Bottom of Page)"/>
        <w:docPartUnique/>
      </w:docPartObj>
    </w:sdtPr>
    <w:sdtEndPr>
      <w:rPr>
        <w:noProof/>
        <w:sz w:val="20"/>
      </w:rPr>
    </w:sdtEndPr>
    <w:sdtContent>
      <w:p w:rsidR="00326A0E" w:rsidRPr="0080047D" w:rsidRDefault="00326A0E">
        <w:pPr>
          <w:pStyle w:val="Footer"/>
          <w:jc w:val="center"/>
          <w:rPr>
            <w:sz w:val="20"/>
          </w:rPr>
        </w:pPr>
        <w:r w:rsidRPr="0080047D">
          <w:rPr>
            <w:sz w:val="20"/>
          </w:rPr>
          <w:fldChar w:fldCharType="begin"/>
        </w:r>
        <w:r w:rsidRPr="0080047D">
          <w:rPr>
            <w:sz w:val="20"/>
          </w:rPr>
          <w:instrText xml:space="preserve"> PAGE   \* MERGEFORMAT </w:instrText>
        </w:r>
        <w:r w:rsidRPr="0080047D">
          <w:rPr>
            <w:sz w:val="20"/>
          </w:rPr>
          <w:fldChar w:fldCharType="separate"/>
        </w:r>
        <w:r w:rsidR="00734228">
          <w:rPr>
            <w:noProof/>
            <w:sz w:val="20"/>
          </w:rPr>
          <w:t>3</w:t>
        </w:r>
        <w:r w:rsidRPr="0080047D">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9F9" w:rsidRDefault="00CC19F9" w:rsidP="00670CE8">
      <w:pPr>
        <w:spacing w:before="0" w:after="0" w:line="240" w:lineRule="auto"/>
      </w:pPr>
      <w:r>
        <w:separator/>
      </w:r>
    </w:p>
  </w:footnote>
  <w:footnote w:type="continuationSeparator" w:id="0">
    <w:p w:rsidR="00CC19F9" w:rsidRDefault="00CC19F9" w:rsidP="00670CE8">
      <w:pPr>
        <w:spacing w:before="0" w:after="0" w:line="240" w:lineRule="auto"/>
      </w:pPr>
      <w:r>
        <w:continuationSeparator/>
      </w:r>
    </w:p>
  </w:footnote>
  <w:footnote w:id="1">
    <w:p w:rsidR="00555841" w:rsidRPr="00582539" w:rsidRDefault="00555841" w:rsidP="00672B06">
      <w:pPr>
        <w:pStyle w:val="FootnoteText"/>
        <w:spacing w:before="0"/>
        <w:rPr>
          <w:sz w:val="20"/>
        </w:rPr>
      </w:pPr>
      <w:r w:rsidRPr="00582539">
        <w:rPr>
          <w:rStyle w:val="FootnoteReference"/>
          <w:sz w:val="20"/>
        </w:rPr>
        <w:footnoteRef/>
      </w:r>
      <w:r w:rsidRPr="00582539">
        <w:rPr>
          <w:sz w:val="20"/>
        </w:rPr>
        <w:t xml:space="preserve"> </w:t>
      </w:r>
      <w:r w:rsidRPr="00582539">
        <w:rPr>
          <w:sz w:val="20"/>
        </w:rPr>
        <w:tab/>
      </w:r>
      <w:proofErr w:type="gramStart"/>
      <w:r w:rsidRPr="00582539">
        <w:rPr>
          <w:sz w:val="20"/>
        </w:rPr>
        <w:t>66 Pa.C.S.</w:t>
      </w:r>
      <w:proofErr w:type="gramEnd"/>
      <w:r w:rsidRPr="00582539">
        <w:rPr>
          <w:sz w:val="20"/>
        </w:rPr>
        <w:t xml:space="preserve"> § 701.</w:t>
      </w:r>
    </w:p>
    <w:p w:rsidR="0080047D" w:rsidRPr="00582539" w:rsidRDefault="0080047D" w:rsidP="00672B06">
      <w:pPr>
        <w:pStyle w:val="FootnoteText"/>
        <w:spacing w:before="0"/>
        <w:rPr>
          <w:sz w:val="20"/>
        </w:rPr>
      </w:pPr>
    </w:p>
  </w:footnote>
  <w:footnote w:id="2">
    <w:p w:rsidR="00555841" w:rsidRPr="00582539" w:rsidRDefault="00555841" w:rsidP="00672B06">
      <w:pPr>
        <w:pStyle w:val="FootnoteText"/>
        <w:spacing w:before="0"/>
        <w:rPr>
          <w:sz w:val="20"/>
        </w:rPr>
      </w:pPr>
      <w:r w:rsidRPr="00582539">
        <w:rPr>
          <w:rStyle w:val="FootnoteReference"/>
          <w:sz w:val="20"/>
        </w:rPr>
        <w:footnoteRef/>
      </w:r>
      <w:r w:rsidRPr="00582539">
        <w:rPr>
          <w:sz w:val="20"/>
        </w:rPr>
        <w:t xml:space="preserve"> </w:t>
      </w:r>
      <w:r w:rsidRPr="00582539">
        <w:rPr>
          <w:sz w:val="20"/>
        </w:rPr>
        <w:tab/>
      </w:r>
      <w:proofErr w:type="gramStart"/>
      <w:r w:rsidRPr="00582539">
        <w:rPr>
          <w:sz w:val="20"/>
        </w:rPr>
        <w:t>66 Pa.C.S.</w:t>
      </w:r>
      <w:proofErr w:type="gramEnd"/>
      <w:r w:rsidRPr="00582539">
        <w:rPr>
          <w:sz w:val="20"/>
        </w:rPr>
        <w:t xml:space="preserve"> § 332(a).</w:t>
      </w:r>
    </w:p>
    <w:p w:rsidR="0080047D" w:rsidRPr="00582539" w:rsidRDefault="0080047D" w:rsidP="00672B06">
      <w:pPr>
        <w:pStyle w:val="FootnoteText"/>
        <w:spacing w:before="0"/>
        <w:rPr>
          <w:sz w:val="20"/>
        </w:rPr>
      </w:pPr>
    </w:p>
  </w:footnote>
  <w:footnote w:id="3">
    <w:p w:rsidR="00555841" w:rsidRPr="00582539" w:rsidRDefault="00555841" w:rsidP="00672B06">
      <w:pPr>
        <w:pStyle w:val="FootnoteText"/>
        <w:spacing w:before="0"/>
        <w:rPr>
          <w:sz w:val="20"/>
        </w:rPr>
      </w:pPr>
      <w:r w:rsidRPr="00582539">
        <w:rPr>
          <w:rStyle w:val="FootnoteReference"/>
          <w:sz w:val="20"/>
        </w:rPr>
        <w:footnoteRef/>
      </w:r>
      <w:r w:rsidRPr="00582539">
        <w:rPr>
          <w:sz w:val="20"/>
        </w:rPr>
        <w:t xml:space="preserve"> </w:t>
      </w:r>
      <w:r w:rsidRPr="00582539">
        <w:rPr>
          <w:sz w:val="20"/>
        </w:rPr>
        <w:tab/>
      </w:r>
      <w:r w:rsidRPr="00A606C2">
        <w:rPr>
          <w:i/>
          <w:sz w:val="20"/>
        </w:rPr>
        <w:t>Se-Ling Hosiery, Inc. v. Margulies</w:t>
      </w:r>
      <w:r w:rsidRPr="00582539">
        <w:rPr>
          <w:sz w:val="20"/>
        </w:rPr>
        <w:t xml:space="preserve">, 364 Pa. 45, 70 A.2d 854 (1950); </w:t>
      </w:r>
      <w:r w:rsidRPr="00A606C2">
        <w:rPr>
          <w:i/>
          <w:sz w:val="20"/>
        </w:rPr>
        <w:t>Feinstein v. Philadelphia Suburban Water Company</w:t>
      </w:r>
      <w:r w:rsidRPr="00582539">
        <w:rPr>
          <w:sz w:val="20"/>
        </w:rPr>
        <w:t>, 50 PA PUC 300 (1976).</w:t>
      </w:r>
    </w:p>
    <w:p w:rsidR="00672B06" w:rsidRPr="00582539" w:rsidRDefault="00672B06" w:rsidP="00672B06">
      <w:pPr>
        <w:pStyle w:val="FootnoteText"/>
        <w:spacing w:before="0"/>
        <w:rPr>
          <w:sz w:val="20"/>
        </w:rPr>
      </w:pPr>
    </w:p>
  </w:footnote>
  <w:footnote w:id="4">
    <w:p w:rsidR="00DB4D36" w:rsidRPr="00582539" w:rsidRDefault="00DB4D36" w:rsidP="00672B06">
      <w:pPr>
        <w:pStyle w:val="FootnoteText"/>
        <w:spacing w:before="0"/>
        <w:rPr>
          <w:sz w:val="20"/>
        </w:rPr>
      </w:pPr>
      <w:r w:rsidRPr="00582539">
        <w:rPr>
          <w:rStyle w:val="FootnoteReference"/>
          <w:sz w:val="20"/>
        </w:rPr>
        <w:footnoteRef/>
      </w:r>
      <w:r w:rsidRPr="00582539">
        <w:rPr>
          <w:sz w:val="20"/>
        </w:rPr>
        <w:t xml:space="preserve">  </w:t>
      </w:r>
      <w:r w:rsidRPr="00582539">
        <w:rPr>
          <w:sz w:val="20"/>
        </w:rPr>
        <w:tab/>
      </w:r>
      <w:proofErr w:type="gramStart"/>
      <w:r w:rsidR="0084675A" w:rsidRPr="00582539">
        <w:rPr>
          <w:sz w:val="20"/>
        </w:rPr>
        <w:t>66 Pa.C.S.</w:t>
      </w:r>
      <w:proofErr w:type="gramEnd"/>
      <w:r w:rsidR="0084675A" w:rsidRPr="00582539">
        <w:rPr>
          <w:sz w:val="20"/>
        </w:rPr>
        <w:t xml:space="preserve"> § 1406(a); </w:t>
      </w:r>
      <w:r w:rsidRPr="00582539">
        <w:rPr>
          <w:sz w:val="20"/>
        </w:rPr>
        <w:t>52 Pa.Code § 56.81.</w:t>
      </w:r>
    </w:p>
    <w:p w:rsidR="00672B06" w:rsidRPr="00582539" w:rsidRDefault="00672B06" w:rsidP="00672B06">
      <w:pPr>
        <w:pStyle w:val="FootnoteText"/>
        <w:spacing w:before="0"/>
        <w:rPr>
          <w:sz w:val="20"/>
        </w:rPr>
      </w:pPr>
    </w:p>
  </w:footnote>
  <w:footnote w:id="5">
    <w:p w:rsidR="00D8765D" w:rsidRPr="00582539" w:rsidRDefault="00AA1924" w:rsidP="00D8765D">
      <w:pPr>
        <w:pStyle w:val="FootnoteText"/>
        <w:spacing w:before="0"/>
        <w:rPr>
          <w:sz w:val="20"/>
        </w:rPr>
      </w:pPr>
      <w:r w:rsidRPr="00582539">
        <w:rPr>
          <w:rStyle w:val="FootnoteReference"/>
          <w:sz w:val="20"/>
        </w:rPr>
        <w:footnoteRef/>
      </w:r>
      <w:r w:rsidRPr="00582539">
        <w:rPr>
          <w:sz w:val="20"/>
        </w:rPr>
        <w:tab/>
      </w:r>
      <w:proofErr w:type="gramStart"/>
      <w:r w:rsidR="0084675A" w:rsidRPr="00582539">
        <w:rPr>
          <w:sz w:val="20"/>
        </w:rPr>
        <w:t>66 Pa.C.S.</w:t>
      </w:r>
      <w:proofErr w:type="gramEnd"/>
      <w:r w:rsidR="0084675A" w:rsidRPr="00582539">
        <w:rPr>
          <w:sz w:val="20"/>
        </w:rPr>
        <w:t xml:space="preserve"> § 1406(b</w:t>
      </w:r>
      <w:proofErr w:type="gramStart"/>
      <w:r w:rsidR="0084675A" w:rsidRPr="00582539">
        <w:rPr>
          <w:sz w:val="20"/>
        </w:rPr>
        <w:t>)(</w:t>
      </w:r>
      <w:proofErr w:type="gramEnd"/>
      <w:r w:rsidR="0084675A" w:rsidRPr="00582539">
        <w:rPr>
          <w:sz w:val="20"/>
        </w:rPr>
        <w:t xml:space="preserve">1)(i); </w:t>
      </w:r>
      <w:r w:rsidRPr="00582539">
        <w:rPr>
          <w:sz w:val="20"/>
        </w:rPr>
        <w:t>52 Pa.Code § 56.91.</w:t>
      </w:r>
    </w:p>
  </w:footnote>
  <w:footnote w:id="6">
    <w:p w:rsidR="00AA1924" w:rsidRDefault="00AA1924" w:rsidP="00D8765D">
      <w:pPr>
        <w:pStyle w:val="FootnoteText"/>
        <w:spacing w:before="0"/>
        <w:rPr>
          <w:sz w:val="20"/>
        </w:rPr>
      </w:pPr>
      <w:r w:rsidRPr="00D8765D">
        <w:rPr>
          <w:rStyle w:val="FootnoteReference"/>
          <w:sz w:val="20"/>
        </w:rPr>
        <w:footnoteRef/>
      </w:r>
      <w:r w:rsidRPr="00D8765D">
        <w:rPr>
          <w:sz w:val="20"/>
        </w:rPr>
        <w:tab/>
      </w:r>
      <w:proofErr w:type="gramStart"/>
      <w:r w:rsidR="0084675A" w:rsidRPr="00D8765D">
        <w:rPr>
          <w:sz w:val="20"/>
        </w:rPr>
        <w:t>66 Pa.C.S.</w:t>
      </w:r>
      <w:proofErr w:type="gramEnd"/>
      <w:r w:rsidR="0084675A" w:rsidRPr="00D8765D">
        <w:rPr>
          <w:sz w:val="20"/>
        </w:rPr>
        <w:t xml:space="preserve"> § 1406(b</w:t>
      </w:r>
      <w:proofErr w:type="gramStart"/>
      <w:r w:rsidR="0084675A" w:rsidRPr="00D8765D">
        <w:rPr>
          <w:sz w:val="20"/>
        </w:rPr>
        <w:t>)(</w:t>
      </w:r>
      <w:proofErr w:type="gramEnd"/>
      <w:r w:rsidR="0084675A" w:rsidRPr="00D8765D">
        <w:rPr>
          <w:sz w:val="20"/>
        </w:rPr>
        <w:t xml:space="preserve">1)(ii); </w:t>
      </w:r>
      <w:r w:rsidRPr="00D8765D">
        <w:rPr>
          <w:sz w:val="20"/>
        </w:rPr>
        <w:t>52 Pa.Code § 56.93.</w:t>
      </w:r>
    </w:p>
    <w:p w:rsidR="00D8765D" w:rsidRPr="00D8765D" w:rsidRDefault="00D8765D" w:rsidP="00D8765D">
      <w:pPr>
        <w:pStyle w:val="FootnoteText"/>
        <w:spacing w:before="0"/>
        <w:rPr>
          <w:sz w:val="20"/>
        </w:rPr>
      </w:pPr>
    </w:p>
  </w:footnote>
  <w:footnote w:id="7">
    <w:p w:rsidR="00FA4A00" w:rsidRDefault="00FA4A00" w:rsidP="00D8765D">
      <w:pPr>
        <w:pStyle w:val="FootnoteText"/>
        <w:spacing w:before="0"/>
        <w:rPr>
          <w:sz w:val="20"/>
        </w:rPr>
      </w:pPr>
      <w:r w:rsidRPr="00D8765D">
        <w:rPr>
          <w:rStyle w:val="FootnoteReference"/>
          <w:sz w:val="20"/>
        </w:rPr>
        <w:footnoteRef/>
      </w:r>
      <w:r w:rsidRPr="00D8765D">
        <w:rPr>
          <w:sz w:val="20"/>
        </w:rPr>
        <w:tab/>
      </w:r>
      <w:r w:rsidRPr="00D8765D">
        <w:rPr>
          <w:i/>
          <w:sz w:val="20"/>
        </w:rPr>
        <w:t xml:space="preserve">Dugas v. PECO Energy Company, </w:t>
      </w:r>
      <w:r w:rsidRPr="00D8765D">
        <w:rPr>
          <w:sz w:val="20"/>
        </w:rPr>
        <w:t>Docket Z-01417035 (Opinion and Order entered November 17, 2004).</w:t>
      </w:r>
    </w:p>
    <w:p w:rsidR="00D8765D" w:rsidRPr="00D8765D" w:rsidRDefault="00D8765D" w:rsidP="00D8765D">
      <w:pPr>
        <w:pStyle w:val="FootnoteText"/>
        <w:spacing w:before="0"/>
        <w:rPr>
          <w:sz w:val="20"/>
        </w:rPr>
      </w:pPr>
    </w:p>
  </w:footnote>
  <w:footnote w:id="8">
    <w:p w:rsidR="003B639E" w:rsidRPr="00D8765D" w:rsidRDefault="003B639E" w:rsidP="00D8765D">
      <w:pPr>
        <w:pStyle w:val="FootnoteText"/>
        <w:spacing w:before="0"/>
        <w:rPr>
          <w:sz w:val="20"/>
        </w:rPr>
      </w:pPr>
      <w:r w:rsidRPr="00D8765D">
        <w:rPr>
          <w:rStyle w:val="FootnoteReference"/>
          <w:sz w:val="20"/>
        </w:rPr>
        <w:footnoteRef/>
      </w:r>
      <w:r w:rsidRPr="00D8765D">
        <w:rPr>
          <w:sz w:val="20"/>
        </w:rPr>
        <w:t xml:space="preserve"> </w:t>
      </w:r>
      <w:r w:rsidR="00A63F05" w:rsidRPr="00D8765D">
        <w:rPr>
          <w:sz w:val="20"/>
        </w:rPr>
        <w:tab/>
      </w:r>
      <w:r w:rsidRPr="00D8765D">
        <w:rPr>
          <w:i/>
          <w:sz w:val="20"/>
        </w:rPr>
        <w:t>Schutzer v. Columbia Gas of Pennsylvania, Inc.</w:t>
      </w:r>
      <w:r w:rsidRPr="00D8765D">
        <w:rPr>
          <w:sz w:val="20"/>
        </w:rPr>
        <w:t xml:space="preserve">, Docket No. C-2010-2192381 (Opinion and Order entered June 7, 2012); </w:t>
      </w:r>
      <w:r w:rsidRPr="00D8765D">
        <w:rPr>
          <w:i/>
          <w:sz w:val="20"/>
        </w:rPr>
        <w:t>Sarno v. PECO Energy Company</w:t>
      </w:r>
      <w:r w:rsidRPr="00D8765D">
        <w:rPr>
          <w:sz w:val="20"/>
        </w:rPr>
        <w:t>, Docket No. C-2011-2263549 (Final Order entered August 16,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16E46A"/>
    <w:lvl w:ilvl="0">
      <w:start w:val="1"/>
      <w:numFmt w:val="decimal"/>
      <w:lvlText w:val="%1."/>
      <w:lvlJc w:val="left"/>
      <w:pPr>
        <w:tabs>
          <w:tab w:val="num" w:pos="1800"/>
        </w:tabs>
        <w:ind w:left="1800" w:hanging="360"/>
      </w:pPr>
    </w:lvl>
  </w:abstractNum>
  <w:abstractNum w:abstractNumId="1">
    <w:nsid w:val="FFFFFF7D"/>
    <w:multiLevelType w:val="singleLevel"/>
    <w:tmpl w:val="DCFE7902"/>
    <w:lvl w:ilvl="0">
      <w:start w:val="1"/>
      <w:numFmt w:val="decimal"/>
      <w:lvlText w:val="%1."/>
      <w:lvlJc w:val="left"/>
      <w:pPr>
        <w:tabs>
          <w:tab w:val="num" w:pos="1440"/>
        </w:tabs>
        <w:ind w:left="1440" w:hanging="360"/>
      </w:pPr>
    </w:lvl>
  </w:abstractNum>
  <w:abstractNum w:abstractNumId="2">
    <w:nsid w:val="FFFFFF7E"/>
    <w:multiLevelType w:val="singleLevel"/>
    <w:tmpl w:val="005888F6"/>
    <w:lvl w:ilvl="0">
      <w:start w:val="1"/>
      <w:numFmt w:val="decimal"/>
      <w:lvlText w:val="%1."/>
      <w:lvlJc w:val="left"/>
      <w:pPr>
        <w:tabs>
          <w:tab w:val="num" w:pos="1080"/>
        </w:tabs>
        <w:ind w:left="1080" w:hanging="360"/>
      </w:pPr>
    </w:lvl>
  </w:abstractNum>
  <w:abstractNum w:abstractNumId="3">
    <w:nsid w:val="FFFFFF7F"/>
    <w:multiLevelType w:val="singleLevel"/>
    <w:tmpl w:val="60FAB57C"/>
    <w:lvl w:ilvl="0">
      <w:start w:val="1"/>
      <w:numFmt w:val="decimal"/>
      <w:lvlText w:val="%1."/>
      <w:lvlJc w:val="left"/>
      <w:pPr>
        <w:tabs>
          <w:tab w:val="num" w:pos="720"/>
        </w:tabs>
        <w:ind w:left="720" w:hanging="360"/>
      </w:pPr>
    </w:lvl>
  </w:abstractNum>
  <w:abstractNum w:abstractNumId="4">
    <w:nsid w:val="FFFFFF80"/>
    <w:multiLevelType w:val="singleLevel"/>
    <w:tmpl w:val="7A1037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920C0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24A24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54A9A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6F88FF4"/>
    <w:lvl w:ilvl="0">
      <w:start w:val="1"/>
      <w:numFmt w:val="decimal"/>
      <w:lvlText w:val="%1."/>
      <w:lvlJc w:val="left"/>
      <w:pPr>
        <w:tabs>
          <w:tab w:val="num" w:pos="360"/>
        </w:tabs>
        <w:ind w:left="360" w:hanging="360"/>
      </w:pPr>
    </w:lvl>
  </w:abstractNum>
  <w:abstractNum w:abstractNumId="9">
    <w:nsid w:val="FFFFFF89"/>
    <w:multiLevelType w:val="singleLevel"/>
    <w:tmpl w:val="92D6B766"/>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9D3267"/>
    <w:multiLevelType w:val="hybridMultilevel"/>
    <w:tmpl w:val="6F3E27B2"/>
    <w:lvl w:ilvl="0" w:tplc="57EC55E2">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1"/>
  </w:num>
  <w:num w:numId="3">
    <w:abstractNumId w:val="26"/>
  </w:num>
  <w:num w:numId="4">
    <w:abstractNumId w:val="30"/>
  </w:num>
  <w:num w:numId="5">
    <w:abstractNumId w:val="16"/>
  </w:num>
  <w:num w:numId="6">
    <w:abstractNumId w:val="14"/>
  </w:num>
  <w:num w:numId="7">
    <w:abstractNumId w:val="13"/>
  </w:num>
  <w:num w:numId="8">
    <w:abstractNumId w:val="29"/>
  </w:num>
  <w:num w:numId="9">
    <w:abstractNumId w:val="11"/>
  </w:num>
  <w:num w:numId="10">
    <w:abstractNumId w:val="23"/>
  </w:num>
  <w:num w:numId="11">
    <w:abstractNumId w:val="25"/>
  </w:num>
  <w:num w:numId="12">
    <w:abstractNumId w:val="18"/>
  </w:num>
  <w:num w:numId="13">
    <w:abstractNumId w:val="24"/>
  </w:num>
  <w:num w:numId="14">
    <w:abstractNumId w:val="27"/>
  </w:num>
  <w:num w:numId="15">
    <w:abstractNumId w:val="10"/>
  </w:num>
  <w:num w:numId="16">
    <w:abstractNumId w:val="22"/>
  </w:num>
  <w:num w:numId="17">
    <w:abstractNumId w:val="22"/>
  </w:num>
  <w:num w:numId="18">
    <w:abstractNumId w:val="15"/>
  </w:num>
  <w:num w:numId="19">
    <w:abstractNumId w:val="19"/>
  </w:num>
  <w:num w:numId="20">
    <w:abstractNumId w:val="31"/>
  </w:num>
  <w:num w:numId="21">
    <w:abstractNumId w:val="17"/>
  </w:num>
  <w:num w:numId="22">
    <w:abstractNumId w:val="12"/>
  </w:num>
  <w:num w:numId="23">
    <w:abstractNumId w:val="2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CCC"/>
    <w:rsid w:val="00002907"/>
    <w:rsid w:val="00004C37"/>
    <w:rsid w:val="00004D73"/>
    <w:rsid w:val="00033738"/>
    <w:rsid w:val="00047C05"/>
    <w:rsid w:val="000606F6"/>
    <w:rsid w:val="000B2E9E"/>
    <w:rsid w:val="000D756B"/>
    <w:rsid w:val="000E3EDE"/>
    <w:rsid w:val="00143E48"/>
    <w:rsid w:val="001A11DE"/>
    <w:rsid w:val="001A21B6"/>
    <w:rsid w:val="001B1CBA"/>
    <w:rsid w:val="001D1940"/>
    <w:rsid w:val="001D2AF7"/>
    <w:rsid w:val="001F6EB2"/>
    <w:rsid w:val="00207267"/>
    <w:rsid w:val="00213167"/>
    <w:rsid w:val="00221C6A"/>
    <w:rsid w:val="002512F9"/>
    <w:rsid w:val="002625A5"/>
    <w:rsid w:val="00282608"/>
    <w:rsid w:val="002D6A14"/>
    <w:rsid w:val="003145FA"/>
    <w:rsid w:val="00325546"/>
    <w:rsid w:val="00326A0E"/>
    <w:rsid w:val="003501AC"/>
    <w:rsid w:val="00367A41"/>
    <w:rsid w:val="00380538"/>
    <w:rsid w:val="00393C92"/>
    <w:rsid w:val="003B639E"/>
    <w:rsid w:val="003C546A"/>
    <w:rsid w:val="003D3733"/>
    <w:rsid w:val="003E057B"/>
    <w:rsid w:val="003E6F13"/>
    <w:rsid w:val="00442B57"/>
    <w:rsid w:val="00465EF8"/>
    <w:rsid w:val="00495D3E"/>
    <w:rsid w:val="004D523C"/>
    <w:rsid w:val="00555841"/>
    <w:rsid w:val="00565E63"/>
    <w:rsid w:val="00582539"/>
    <w:rsid w:val="005A109B"/>
    <w:rsid w:val="005A1C17"/>
    <w:rsid w:val="005A2ABA"/>
    <w:rsid w:val="005C0243"/>
    <w:rsid w:val="005D4076"/>
    <w:rsid w:val="005E7B69"/>
    <w:rsid w:val="006145E4"/>
    <w:rsid w:val="006146A6"/>
    <w:rsid w:val="00616D91"/>
    <w:rsid w:val="0061775F"/>
    <w:rsid w:val="00670CE8"/>
    <w:rsid w:val="00672B06"/>
    <w:rsid w:val="006B1798"/>
    <w:rsid w:val="006B4779"/>
    <w:rsid w:val="006D2307"/>
    <w:rsid w:val="006F0329"/>
    <w:rsid w:val="00700807"/>
    <w:rsid w:val="00712E58"/>
    <w:rsid w:val="00722CCC"/>
    <w:rsid w:val="00734228"/>
    <w:rsid w:val="00761A25"/>
    <w:rsid w:val="00792796"/>
    <w:rsid w:val="007B5B04"/>
    <w:rsid w:val="007E6779"/>
    <w:rsid w:val="007F4A44"/>
    <w:rsid w:val="0080047D"/>
    <w:rsid w:val="00820B4C"/>
    <w:rsid w:val="008217F1"/>
    <w:rsid w:val="0084675A"/>
    <w:rsid w:val="008529D2"/>
    <w:rsid w:val="00884DF6"/>
    <w:rsid w:val="00893D26"/>
    <w:rsid w:val="008B20C3"/>
    <w:rsid w:val="008D6838"/>
    <w:rsid w:val="009045E9"/>
    <w:rsid w:val="0094326E"/>
    <w:rsid w:val="009542FC"/>
    <w:rsid w:val="00973091"/>
    <w:rsid w:val="00A27495"/>
    <w:rsid w:val="00A42735"/>
    <w:rsid w:val="00A606C2"/>
    <w:rsid w:val="00A637FD"/>
    <w:rsid w:val="00A63F05"/>
    <w:rsid w:val="00A93F99"/>
    <w:rsid w:val="00AA1924"/>
    <w:rsid w:val="00AA2EC5"/>
    <w:rsid w:val="00AB4C73"/>
    <w:rsid w:val="00AC16DB"/>
    <w:rsid w:val="00AE6F47"/>
    <w:rsid w:val="00B220A3"/>
    <w:rsid w:val="00B91E47"/>
    <w:rsid w:val="00BB323A"/>
    <w:rsid w:val="00BC6B21"/>
    <w:rsid w:val="00BD51E1"/>
    <w:rsid w:val="00C22642"/>
    <w:rsid w:val="00C3201D"/>
    <w:rsid w:val="00C53F28"/>
    <w:rsid w:val="00C87E57"/>
    <w:rsid w:val="00CB4104"/>
    <w:rsid w:val="00CC1383"/>
    <w:rsid w:val="00CC19F9"/>
    <w:rsid w:val="00CD7CD2"/>
    <w:rsid w:val="00D0383A"/>
    <w:rsid w:val="00D1524D"/>
    <w:rsid w:val="00D32409"/>
    <w:rsid w:val="00D85AA2"/>
    <w:rsid w:val="00D8765D"/>
    <w:rsid w:val="00D87C43"/>
    <w:rsid w:val="00DA6593"/>
    <w:rsid w:val="00DB4382"/>
    <w:rsid w:val="00DB4D36"/>
    <w:rsid w:val="00DC699A"/>
    <w:rsid w:val="00DD0DDA"/>
    <w:rsid w:val="00DD5C37"/>
    <w:rsid w:val="00E246D2"/>
    <w:rsid w:val="00E4208F"/>
    <w:rsid w:val="00E4239A"/>
    <w:rsid w:val="00E64C8A"/>
    <w:rsid w:val="00EC1CBA"/>
    <w:rsid w:val="00EC6990"/>
    <w:rsid w:val="00ED664D"/>
    <w:rsid w:val="00EE7801"/>
    <w:rsid w:val="00F16554"/>
    <w:rsid w:val="00F16676"/>
    <w:rsid w:val="00F446F8"/>
    <w:rsid w:val="00F544E1"/>
    <w:rsid w:val="00F72758"/>
    <w:rsid w:val="00F83BA3"/>
    <w:rsid w:val="00FA4A00"/>
    <w:rsid w:val="00FD5C10"/>
    <w:rsid w:val="00FD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80047D"/>
    <w:pPr>
      <w:numPr>
        <w:numId w:val="23"/>
      </w:numPr>
      <w:spacing w:before="0" w:after="0"/>
      <w:ind w:left="0" w:firstLine="1440"/>
    </w:pPr>
  </w:style>
  <w:style w:type="paragraph" w:styleId="FootnoteText">
    <w:name w:val="footnote text"/>
    <w:aliases w:val="Car"/>
    <w:link w:val="FootnoteTextChar"/>
    <w:autoRedefine/>
    <w:uiPriority w:val="99"/>
    <w:unhideWhenUsed/>
    <w:qFormat/>
    <w:rsid w:val="00A63F05"/>
    <w:pPr>
      <w:tabs>
        <w:tab w:val="left" w:pos="720"/>
      </w:tabs>
      <w:spacing w:before="240" w:after="0" w:line="240" w:lineRule="auto"/>
    </w:pPr>
    <w:rPr>
      <w:rFonts w:ascii="Times New Roman" w:hAnsi="Times New Roman" w:cs="Times New Roman"/>
      <w:sz w:val="24"/>
      <w:szCs w:val="20"/>
    </w:rPr>
  </w:style>
  <w:style w:type="character" w:customStyle="1" w:styleId="FootnoteTextChar">
    <w:name w:val="Footnote Text Char"/>
    <w:aliases w:val="Car Char"/>
    <w:basedOn w:val="DefaultParagraphFont"/>
    <w:link w:val="FootnoteText"/>
    <w:uiPriority w:val="99"/>
    <w:rsid w:val="00A63F05"/>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670CE8"/>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670CE8"/>
    <w:rPr>
      <w:rFonts w:ascii="Times New Roman" w:hAnsi="Times New Roman" w:cs="Times New Roman"/>
      <w:sz w:val="24"/>
      <w:szCs w:val="20"/>
    </w:rPr>
  </w:style>
  <w:style w:type="paragraph" w:styleId="Footer">
    <w:name w:val="footer"/>
    <w:basedOn w:val="Normal"/>
    <w:link w:val="FooterChar"/>
    <w:uiPriority w:val="99"/>
    <w:unhideWhenUsed/>
    <w:rsid w:val="00670CE8"/>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670CE8"/>
    <w:rPr>
      <w:rFonts w:ascii="Times New Roman" w:hAnsi="Times New Roman" w:cs="Times New Roman"/>
      <w:sz w:val="24"/>
      <w:szCs w:val="20"/>
    </w:rPr>
  </w:style>
  <w:style w:type="character" w:styleId="FootnoteReference">
    <w:name w:val="footnote reference"/>
    <w:basedOn w:val="DefaultParagraphFont"/>
    <w:uiPriority w:val="99"/>
    <w:unhideWhenUsed/>
    <w:rsid w:val="00555841"/>
    <w:rPr>
      <w:rFonts w:ascii="Times New Roman" w:hAnsi="Times New Roman"/>
      <w:vertAlign w:val="superscript"/>
    </w:rPr>
  </w:style>
  <w:style w:type="paragraph" w:styleId="BalloonText">
    <w:name w:val="Balloon Text"/>
    <w:basedOn w:val="Normal"/>
    <w:link w:val="BalloonTextChar"/>
    <w:uiPriority w:val="99"/>
    <w:semiHidden/>
    <w:unhideWhenUsed/>
    <w:rsid w:val="00BB323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2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80047D"/>
    <w:pPr>
      <w:numPr>
        <w:numId w:val="23"/>
      </w:numPr>
      <w:spacing w:before="0" w:after="0"/>
      <w:ind w:left="0" w:firstLine="1440"/>
    </w:pPr>
  </w:style>
  <w:style w:type="paragraph" w:styleId="FootnoteText">
    <w:name w:val="footnote text"/>
    <w:aliases w:val="Car"/>
    <w:link w:val="FootnoteTextChar"/>
    <w:autoRedefine/>
    <w:uiPriority w:val="99"/>
    <w:unhideWhenUsed/>
    <w:qFormat/>
    <w:rsid w:val="00A63F05"/>
    <w:pPr>
      <w:tabs>
        <w:tab w:val="left" w:pos="720"/>
      </w:tabs>
      <w:spacing w:before="240" w:after="0" w:line="240" w:lineRule="auto"/>
    </w:pPr>
    <w:rPr>
      <w:rFonts w:ascii="Times New Roman" w:hAnsi="Times New Roman" w:cs="Times New Roman"/>
      <w:sz w:val="24"/>
      <w:szCs w:val="20"/>
    </w:rPr>
  </w:style>
  <w:style w:type="character" w:customStyle="1" w:styleId="FootnoteTextChar">
    <w:name w:val="Footnote Text Char"/>
    <w:aliases w:val="Car Char"/>
    <w:basedOn w:val="DefaultParagraphFont"/>
    <w:link w:val="FootnoteText"/>
    <w:uiPriority w:val="99"/>
    <w:rsid w:val="00A63F05"/>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670CE8"/>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670CE8"/>
    <w:rPr>
      <w:rFonts w:ascii="Times New Roman" w:hAnsi="Times New Roman" w:cs="Times New Roman"/>
      <w:sz w:val="24"/>
      <w:szCs w:val="20"/>
    </w:rPr>
  </w:style>
  <w:style w:type="paragraph" w:styleId="Footer">
    <w:name w:val="footer"/>
    <w:basedOn w:val="Normal"/>
    <w:link w:val="FooterChar"/>
    <w:uiPriority w:val="99"/>
    <w:unhideWhenUsed/>
    <w:rsid w:val="00670CE8"/>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670CE8"/>
    <w:rPr>
      <w:rFonts w:ascii="Times New Roman" w:hAnsi="Times New Roman" w:cs="Times New Roman"/>
      <w:sz w:val="24"/>
      <w:szCs w:val="20"/>
    </w:rPr>
  </w:style>
  <w:style w:type="character" w:styleId="FootnoteReference">
    <w:name w:val="footnote reference"/>
    <w:basedOn w:val="DefaultParagraphFont"/>
    <w:uiPriority w:val="99"/>
    <w:unhideWhenUsed/>
    <w:rsid w:val="00555841"/>
    <w:rPr>
      <w:rFonts w:ascii="Times New Roman" w:hAnsi="Times New Roman"/>
      <w:vertAlign w:val="superscript"/>
    </w:rPr>
  </w:style>
  <w:style w:type="paragraph" w:styleId="BalloonText">
    <w:name w:val="Balloon Text"/>
    <w:basedOn w:val="Normal"/>
    <w:link w:val="BalloonTextChar"/>
    <w:uiPriority w:val="99"/>
    <w:semiHidden/>
    <w:unhideWhenUsed/>
    <w:rsid w:val="00BB323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74ACC-DBB4-4BAB-9D6F-7F54A26C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28</cp:revision>
  <cp:lastPrinted>2015-11-05T14:05:00Z</cp:lastPrinted>
  <dcterms:created xsi:type="dcterms:W3CDTF">2015-10-28T18:04:00Z</dcterms:created>
  <dcterms:modified xsi:type="dcterms:W3CDTF">2015-11-05T14:08:00Z</dcterms:modified>
</cp:coreProperties>
</file>