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EE5FC7" w:rsidRPr="00C0451E" w:rsidTr="00A57465">
        <w:tc>
          <w:tcPr>
            <w:tcW w:w="2448" w:type="dxa"/>
          </w:tcPr>
          <w:p w:rsidR="00EE5FC7" w:rsidRPr="00C0451E" w:rsidRDefault="00EE5FC7" w:rsidP="00A57465">
            <w:pPr>
              <w:pStyle w:val="Heading3"/>
              <w:rPr>
                <w:rFonts w:ascii="Times New Roman" w:hAnsi="Times New Roman" w:cs="Times New Roman"/>
              </w:rPr>
            </w:pPr>
          </w:p>
        </w:tc>
        <w:tc>
          <w:tcPr>
            <w:tcW w:w="5130" w:type="dxa"/>
          </w:tcPr>
          <w:p w:rsidR="00EE5FC7" w:rsidRPr="00C0451E" w:rsidRDefault="00EE5FC7" w:rsidP="00A57465">
            <w:pPr>
              <w:jc w:val="center"/>
              <w:rPr>
                <w:b/>
                <w:sz w:val="26"/>
                <w:szCs w:val="26"/>
              </w:rPr>
            </w:pPr>
            <w:r w:rsidRPr="00C0451E">
              <w:rPr>
                <w:b/>
                <w:sz w:val="26"/>
                <w:szCs w:val="26"/>
              </w:rPr>
              <w:t>PENNSYLVANIA</w:t>
            </w:r>
          </w:p>
          <w:p w:rsidR="00EE5FC7" w:rsidRPr="00C0451E" w:rsidRDefault="00EE5FC7" w:rsidP="00A57465">
            <w:pPr>
              <w:jc w:val="center"/>
              <w:rPr>
                <w:b/>
                <w:sz w:val="26"/>
                <w:szCs w:val="26"/>
              </w:rPr>
            </w:pPr>
            <w:r w:rsidRPr="00C0451E">
              <w:rPr>
                <w:b/>
                <w:sz w:val="26"/>
                <w:szCs w:val="26"/>
              </w:rPr>
              <w:t>PUBLIC UTILITY COMMISSION</w:t>
            </w:r>
          </w:p>
          <w:p w:rsidR="00EE5FC7" w:rsidRPr="00C0451E" w:rsidRDefault="00EE5FC7" w:rsidP="00A57465">
            <w:pPr>
              <w:pStyle w:val="StyleCentered"/>
              <w:rPr>
                <w:b/>
                <w:sz w:val="26"/>
                <w:szCs w:val="26"/>
              </w:rPr>
            </w:pPr>
            <w:r w:rsidRPr="00C0451E">
              <w:rPr>
                <w:b/>
                <w:sz w:val="26"/>
                <w:szCs w:val="26"/>
              </w:rPr>
              <w:t>Harrisburg, PA  17105-3265</w:t>
            </w:r>
          </w:p>
        </w:tc>
        <w:tc>
          <w:tcPr>
            <w:tcW w:w="2700" w:type="dxa"/>
          </w:tcPr>
          <w:p w:rsidR="00EE5FC7" w:rsidRPr="00C0451E" w:rsidRDefault="00EE5FC7" w:rsidP="00A57465">
            <w:pPr>
              <w:rPr>
                <w:sz w:val="26"/>
                <w:szCs w:val="26"/>
              </w:rPr>
            </w:pPr>
          </w:p>
        </w:tc>
      </w:tr>
    </w:tbl>
    <w:p w:rsidR="00EE5FC7" w:rsidRPr="00C0451E" w:rsidRDefault="00EE5FC7" w:rsidP="00EE5FC7">
      <w:pPr>
        <w:rPr>
          <w:sz w:val="26"/>
          <w:szCs w:val="26"/>
        </w:rPr>
      </w:pPr>
    </w:p>
    <w:tbl>
      <w:tblPr>
        <w:tblW w:w="0" w:type="auto"/>
        <w:tblLayout w:type="fixed"/>
        <w:tblLook w:val="0000" w:firstRow="0" w:lastRow="0" w:firstColumn="0" w:lastColumn="0" w:noHBand="0" w:noVBand="0"/>
      </w:tblPr>
      <w:tblGrid>
        <w:gridCol w:w="5148"/>
        <w:gridCol w:w="5148"/>
      </w:tblGrid>
      <w:tr w:rsidR="00EE5FC7" w:rsidRPr="00C0451E" w:rsidTr="00A57465">
        <w:tc>
          <w:tcPr>
            <w:tcW w:w="5148" w:type="dxa"/>
          </w:tcPr>
          <w:p w:rsidR="00EE5FC7" w:rsidRPr="00C0451E" w:rsidRDefault="00EE5FC7" w:rsidP="00A57465">
            <w:pPr>
              <w:rPr>
                <w:sz w:val="26"/>
                <w:szCs w:val="26"/>
              </w:rPr>
            </w:pPr>
          </w:p>
        </w:tc>
        <w:tc>
          <w:tcPr>
            <w:tcW w:w="5148" w:type="dxa"/>
          </w:tcPr>
          <w:p w:rsidR="00EE5FC7" w:rsidRPr="00C0451E" w:rsidRDefault="00EE5FC7" w:rsidP="00680C3B">
            <w:pPr>
              <w:ind w:firstLine="612"/>
              <w:rPr>
                <w:sz w:val="26"/>
                <w:szCs w:val="26"/>
              </w:rPr>
            </w:pPr>
            <w:r w:rsidRPr="00C0451E">
              <w:rPr>
                <w:sz w:val="26"/>
                <w:szCs w:val="26"/>
              </w:rPr>
              <w:t xml:space="preserve">Public Meeting held </w:t>
            </w:r>
            <w:r w:rsidR="00680C3B">
              <w:rPr>
                <w:sz w:val="26"/>
                <w:szCs w:val="26"/>
              </w:rPr>
              <w:t>May 7, 2015</w:t>
            </w:r>
          </w:p>
        </w:tc>
      </w:tr>
      <w:tr w:rsidR="00EE5FC7" w:rsidRPr="00C0451E" w:rsidTr="00A57465">
        <w:tc>
          <w:tcPr>
            <w:tcW w:w="5148" w:type="dxa"/>
          </w:tcPr>
          <w:p w:rsidR="00EE5FC7" w:rsidRPr="00C0451E" w:rsidRDefault="00EE5FC7" w:rsidP="00A57465">
            <w:pPr>
              <w:rPr>
                <w:sz w:val="26"/>
                <w:szCs w:val="26"/>
              </w:rPr>
            </w:pPr>
            <w:r w:rsidRPr="00C0451E">
              <w:rPr>
                <w:sz w:val="26"/>
                <w:szCs w:val="26"/>
              </w:rPr>
              <w:t>Commissioners Present:</w:t>
            </w:r>
          </w:p>
        </w:tc>
        <w:tc>
          <w:tcPr>
            <w:tcW w:w="5148" w:type="dxa"/>
          </w:tcPr>
          <w:p w:rsidR="00EE5FC7" w:rsidRPr="00C0451E" w:rsidRDefault="00EE5FC7" w:rsidP="00A57465">
            <w:pPr>
              <w:rPr>
                <w:sz w:val="26"/>
                <w:szCs w:val="26"/>
              </w:rPr>
            </w:pPr>
          </w:p>
        </w:tc>
      </w:tr>
    </w:tbl>
    <w:p w:rsidR="00EE5FC7" w:rsidRPr="00C0451E" w:rsidRDefault="00EE5FC7" w:rsidP="00EE5FC7">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EE5FC7" w:rsidRPr="00C0451E" w:rsidTr="00A57465">
        <w:tc>
          <w:tcPr>
            <w:tcW w:w="9378" w:type="dxa"/>
            <w:gridSpan w:val="3"/>
          </w:tcPr>
          <w:p w:rsidR="00EE5FC7" w:rsidRPr="00C0451E" w:rsidRDefault="00EE5FC7" w:rsidP="00A57465">
            <w:pPr>
              <w:ind w:left="720"/>
              <w:rPr>
                <w:sz w:val="26"/>
                <w:szCs w:val="26"/>
              </w:rPr>
            </w:pPr>
            <w:r>
              <w:rPr>
                <w:sz w:val="26"/>
                <w:szCs w:val="26"/>
              </w:rPr>
              <w:t>Gladys M. Brown, Chairman</w:t>
            </w:r>
          </w:p>
        </w:tc>
        <w:tc>
          <w:tcPr>
            <w:tcW w:w="918" w:type="dxa"/>
          </w:tcPr>
          <w:p w:rsidR="00EE5FC7" w:rsidRPr="00C0451E" w:rsidRDefault="00EE5FC7" w:rsidP="00A57465">
            <w:pPr>
              <w:rPr>
                <w:sz w:val="26"/>
                <w:szCs w:val="26"/>
              </w:rPr>
            </w:pPr>
          </w:p>
        </w:tc>
      </w:tr>
      <w:tr w:rsidR="00EE5FC7" w:rsidRPr="00C0451E" w:rsidTr="00A57465">
        <w:tc>
          <w:tcPr>
            <w:tcW w:w="9378" w:type="dxa"/>
            <w:gridSpan w:val="3"/>
          </w:tcPr>
          <w:p w:rsidR="00EE5FC7" w:rsidRPr="00C0451E" w:rsidRDefault="00EE5FC7" w:rsidP="00A57465">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c>
          <w:tcPr>
            <w:tcW w:w="918" w:type="dxa"/>
          </w:tcPr>
          <w:p w:rsidR="00EE5FC7" w:rsidRPr="00C0451E" w:rsidRDefault="00EE5FC7" w:rsidP="00A57465">
            <w:pPr>
              <w:rPr>
                <w:sz w:val="26"/>
                <w:szCs w:val="26"/>
              </w:rPr>
            </w:pPr>
          </w:p>
        </w:tc>
      </w:tr>
      <w:tr w:rsidR="00EE5FC7" w:rsidRPr="00C0451E" w:rsidTr="00A57465">
        <w:tc>
          <w:tcPr>
            <w:tcW w:w="9378" w:type="dxa"/>
            <w:gridSpan w:val="3"/>
          </w:tcPr>
          <w:p w:rsidR="00EE5FC7" w:rsidRPr="00C0451E" w:rsidRDefault="00B47768" w:rsidP="00A57465">
            <w:pPr>
              <w:ind w:left="720"/>
              <w:rPr>
                <w:sz w:val="26"/>
                <w:szCs w:val="26"/>
              </w:rPr>
            </w:pPr>
            <w:r>
              <w:rPr>
                <w:sz w:val="26"/>
                <w:szCs w:val="26"/>
              </w:rPr>
              <w:t>James H. Cawley</w:t>
            </w:r>
            <w:bookmarkStart w:id="0" w:name="_GoBack"/>
            <w:bookmarkEnd w:id="0"/>
          </w:p>
        </w:tc>
        <w:tc>
          <w:tcPr>
            <w:tcW w:w="918" w:type="dxa"/>
          </w:tcPr>
          <w:p w:rsidR="00EE5FC7" w:rsidRPr="00C0451E" w:rsidRDefault="00EE5FC7" w:rsidP="00A57465">
            <w:pPr>
              <w:rPr>
                <w:sz w:val="26"/>
                <w:szCs w:val="26"/>
              </w:rPr>
            </w:pPr>
          </w:p>
        </w:tc>
      </w:tr>
      <w:tr w:rsidR="00EE5FC7" w:rsidRPr="00C0451E" w:rsidTr="00A57465">
        <w:trPr>
          <w:gridAfter w:val="2"/>
          <w:wAfter w:w="1440" w:type="dxa"/>
        </w:trPr>
        <w:tc>
          <w:tcPr>
            <w:tcW w:w="5958" w:type="dxa"/>
          </w:tcPr>
          <w:p w:rsidR="00EE5FC7" w:rsidRPr="00C0451E" w:rsidRDefault="00B47768" w:rsidP="00A57465">
            <w:pPr>
              <w:ind w:left="720"/>
              <w:rPr>
                <w:sz w:val="26"/>
                <w:szCs w:val="26"/>
              </w:rPr>
            </w:pPr>
            <w:r>
              <w:rPr>
                <w:sz w:val="26"/>
                <w:szCs w:val="26"/>
              </w:rPr>
              <w:t>Pamela A. Witmer</w:t>
            </w:r>
          </w:p>
        </w:tc>
        <w:tc>
          <w:tcPr>
            <w:tcW w:w="2898" w:type="dxa"/>
          </w:tcPr>
          <w:p w:rsidR="00EE5FC7" w:rsidRPr="00C0451E" w:rsidRDefault="00EE5FC7" w:rsidP="00A57465">
            <w:pPr>
              <w:rPr>
                <w:sz w:val="26"/>
                <w:szCs w:val="26"/>
              </w:rPr>
            </w:pPr>
          </w:p>
        </w:tc>
      </w:tr>
      <w:tr w:rsidR="00EE5FC7" w:rsidRPr="00C0451E" w:rsidTr="00A57465">
        <w:trPr>
          <w:gridAfter w:val="2"/>
          <w:wAfter w:w="1440" w:type="dxa"/>
        </w:trPr>
        <w:tc>
          <w:tcPr>
            <w:tcW w:w="5958" w:type="dxa"/>
          </w:tcPr>
          <w:p w:rsidR="00EE5FC7" w:rsidRPr="00C0451E" w:rsidRDefault="00B47768" w:rsidP="00A57465">
            <w:pPr>
              <w:ind w:left="720"/>
              <w:rPr>
                <w:sz w:val="26"/>
                <w:szCs w:val="26"/>
              </w:rPr>
            </w:pPr>
            <w:r>
              <w:rPr>
                <w:sz w:val="26"/>
                <w:szCs w:val="26"/>
              </w:rPr>
              <w:t>Robert F. Powelson</w:t>
            </w:r>
          </w:p>
        </w:tc>
        <w:tc>
          <w:tcPr>
            <w:tcW w:w="2898" w:type="dxa"/>
          </w:tcPr>
          <w:p w:rsidR="00EE5FC7" w:rsidRPr="00C0451E" w:rsidRDefault="00EE5FC7" w:rsidP="00A57465">
            <w:pPr>
              <w:rPr>
                <w:sz w:val="26"/>
                <w:szCs w:val="26"/>
              </w:rPr>
            </w:pPr>
          </w:p>
        </w:tc>
      </w:tr>
      <w:tr w:rsidR="00EE5FC7" w:rsidRPr="00C0451E" w:rsidTr="00A57465">
        <w:trPr>
          <w:gridAfter w:val="2"/>
          <w:wAfter w:w="1440" w:type="dxa"/>
        </w:trPr>
        <w:tc>
          <w:tcPr>
            <w:tcW w:w="5958" w:type="dxa"/>
          </w:tcPr>
          <w:p w:rsidR="00EE5FC7" w:rsidRDefault="00EE5FC7" w:rsidP="00A57465">
            <w:pPr>
              <w:rPr>
                <w:sz w:val="26"/>
                <w:szCs w:val="26"/>
              </w:rPr>
            </w:pPr>
          </w:p>
          <w:p w:rsidR="00EE5FC7" w:rsidRPr="00F907FE" w:rsidRDefault="00EE5FC7" w:rsidP="00EE5FC7">
            <w:pPr>
              <w:rPr>
                <w:sz w:val="26"/>
                <w:szCs w:val="26"/>
              </w:rPr>
            </w:pPr>
            <w:r w:rsidRPr="00F907FE">
              <w:rPr>
                <w:sz w:val="26"/>
                <w:szCs w:val="26"/>
              </w:rPr>
              <w:t xml:space="preserve">Final Rulemaking for Revision of 52 Pa. Code, Chapter 53 §§ 53.61-53.68, pertaining to the </w:t>
            </w:r>
          </w:p>
          <w:p w:rsidR="00EE5FC7" w:rsidRPr="00F907FE" w:rsidRDefault="00EE5FC7" w:rsidP="00EE5FC7">
            <w:pPr>
              <w:rPr>
                <w:sz w:val="26"/>
                <w:szCs w:val="26"/>
              </w:rPr>
            </w:pPr>
            <w:r w:rsidRPr="00F907FE">
              <w:rPr>
                <w:sz w:val="26"/>
                <w:szCs w:val="26"/>
              </w:rPr>
              <w:t>Recovery o</w:t>
            </w:r>
            <w:r w:rsidR="002F722D">
              <w:rPr>
                <w:sz w:val="26"/>
                <w:szCs w:val="26"/>
              </w:rPr>
              <w:t>f Fuel Costs by Gas Utilities</w:t>
            </w:r>
          </w:p>
          <w:p w:rsidR="00EE5FC7" w:rsidRPr="00C0451E" w:rsidRDefault="00EE5FC7" w:rsidP="00A57465">
            <w:pPr>
              <w:rPr>
                <w:sz w:val="26"/>
                <w:szCs w:val="26"/>
              </w:rPr>
            </w:pPr>
          </w:p>
        </w:tc>
        <w:tc>
          <w:tcPr>
            <w:tcW w:w="2898" w:type="dxa"/>
          </w:tcPr>
          <w:p w:rsidR="00EE5FC7" w:rsidRDefault="00EE5FC7" w:rsidP="00A57465">
            <w:pPr>
              <w:rPr>
                <w:sz w:val="26"/>
                <w:szCs w:val="26"/>
              </w:rPr>
            </w:pPr>
          </w:p>
          <w:p w:rsidR="00EE5FC7" w:rsidRDefault="00EE5FC7" w:rsidP="00A57465">
            <w:pPr>
              <w:rPr>
                <w:sz w:val="26"/>
                <w:szCs w:val="26"/>
              </w:rPr>
            </w:pPr>
          </w:p>
          <w:p w:rsidR="00EE5FC7" w:rsidRPr="00C0451E" w:rsidRDefault="00EE5FC7" w:rsidP="00A57465">
            <w:pPr>
              <w:rPr>
                <w:sz w:val="26"/>
                <w:szCs w:val="26"/>
              </w:rPr>
            </w:pPr>
            <w:r w:rsidRPr="00F907FE">
              <w:rPr>
                <w:sz w:val="26"/>
                <w:szCs w:val="26"/>
              </w:rPr>
              <w:t>L-2013-2346923</w:t>
            </w:r>
          </w:p>
        </w:tc>
      </w:tr>
    </w:tbl>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ERRATA NOTICE</w:t>
      </w:r>
    </w:p>
    <w:p w:rsidR="00061AA0" w:rsidRPr="00103290" w:rsidRDefault="00061AA0" w:rsidP="00061AA0">
      <w:pPr>
        <w:ind w:firstLine="1440"/>
        <w:jc w:val="center"/>
        <w:rPr>
          <w:sz w:val="22"/>
          <w:szCs w:val="22"/>
        </w:rPr>
      </w:pPr>
    </w:p>
    <w:p w:rsidR="00F922A0" w:rsidRPr="005D60F3" w:rsidRDefault="00061AA0" w:rsidP="004157B8">
      <w:pPr>
        <w:spacing w:line="360" w:lineRule="auto"/>
        <w:ind w:firstLine="720"/>
        <w:jc w:val="both"/>
        <w:rPr>
          <w:sz w:val="26"/>
          <w:szCs w:val="26"/>
        </w:rPr>
      </w:pPr>
      <w:r w:rsidRPr="005D60F3">
        <w:rPr>
          <w:sz w:val="26"/>
          <w:szCs w:val="26"/>
        </w:rPr>
        <w:t xml:space="preserve">This is to advise all parties of record that </w:t>
      </w:r>
      <w:r w:rsidR="00180DB7" w:rsidRPr="005D60F3">
        <w:rPr>
          <w:sz w:val="26"/>
          <w:szCs w:val="26"/>
        </w:rPr>
        <w:t>the Order</w:t>
      </w:r>
      <w:r w:rsidRPr="005D60F3">
        <w:rPr>
          <w:sz w:val="26"/>
          <w:szCs w:val="26"/>
        </w:rPr>
        <w:t xml:space="preserve"> </w:t>
      </w:r>
      <w:r w:rsidR="00693018" w:rsidRPr="005D60F3">
        <w:rPr>
          <w:sz w:val="26"/>
          <w:szCs w:val="26"/>
        </w:rPr>
        <w:t xml:space="preserve">entered on </w:t>
      </w:r>
      <w:r w:rsidR="002F722D" w:rsidRPr="005D60F3">
        <w:rPr>
          <w:sz w:val="26"/>
          <w:szCs w:val="26"/>
        </w:rPr>
        <w:t>May 22</w:t>
      </w:r>
      <w:r w:rsidR="00124198" w:rsidRPr="005D60F3">
        <w:rPr>
          <w:sz w:val="26"/>
          <w:szCs w:val="26"/>
        </w:rPr>
        <w:t>, 201</w:t>
      </w:r>
      <w:r w:rsidR="002F722D" w:rsidRPr="005D60F3">
        <w:rPr>
          <w:sz w:val="26"/>
          <w:szCs w:val="26"/>
        </w:rPr>
        <w:t>5</w:t>
      </w:r>
      <w:r w:rsidR="00180DB7" w:rsidRPr="005D60F3">
        <w:rPr>
          <w:sz w:val="26"/>
          <w:szCs w:val="26"/>
        </w:rPr>
        <w:t>,</w:t>
      </w:r>
      <w:r w:rsidRPr="005D60F3">
        <w:rPr>
          <w:sz w:val="26"/>
          <w:szCs w:val="26"/>
        </w:rPr>
        <w:t xml:space="preserve"> in the above-captioned proceeding contains</w:t>
      </w:r>
      <w:r w:rsidR="00F922A0" w:rsidRPr="005D60F3">
        <w:rPr>
          <w:sz w:val="26"/>
          <w:szCs w:val="26"/>
        </w:rPr>
        <w:t xml:space="preserve"> </w:t>
      </w:r>
      <w:r w:rsidR="00EE5FC7" w:rsidRPr="005D60F3">
        <w:rPr>
          <w:sz w:val="26"/>
          <w:szCs w:val="26"/>
        </w:rPr>
        <w:t xml:space="preserve">an </w:t>
      </w:r>
      <w:r w:rsidRPr="005D60F3">
        <w:rPr>
          <w:sz w:val="26"/>
          <w:szCs w:val="26"/>
        </w:rPr>
        <w:t>erro</w:t>
      </w:r>
      <w:r w:rsidR="00FA0973" w:rsidRPr="005D60F3">
        <w:rPr>
          <w:sz w:val="26"/>
          <w:szCs w:val="26"/>
        </w:rPr>
        <w:t>r</w:t>
      </w:r>
      <w:r w:rsidR="00F922A0" w:rsidRPr="005D60F3">
        <w:rPr>
          <w:sz w:val="26"/>
          <w:szCs w:val="26"/>
        </w:rPr>
        <w:t xml:space="preserve"> on P</w:t>
      </w:r>
      <w:r w:rsidR="00AD3111" w:rsidRPr="005D60F3">
        <w:rPr>
          <w:sz w:val="26"/>
          <w:szCs w:val="26"/>
        </w:rPr>
        <w:t xml:space="preserve">age </w:t>
      </w:r>
      <w:r w:rsidR="00EE5FC7" w:rsidRPr="005D60F3">
        <w:rPr>
          <w:sz w:val="26"/>
          <w:szCs w:val="26"/>
        </w:rPr>
        <w:t>9</w:t>
      </w:r>
      <w:r w:rsidR="00094EB8" w:rsidRPr="005D60F3">
        <w:rPr>
          <w:sz w:val="26"/>
          <w:szCs w:val="26"/>
        </w:rPr>
        <w:t xml:space="preserve">, </w:t>
      </w:r>
      <w:r w:rsidR="009F64F2" w:rsidRPr="005D60F3">
        <w:rPr>
          <w:sz w:val="26"/>
          <w:szCs w:val="26"/>
        </w:rPr>
        <w:t xml:space="preserve">concerning the </w:t>
      </w:r>
      <w:r w:rsidR="00EE5FC7" w:rsidRPr="005D60F3">
        <w:rPr>
          <w:sz w:val="26"/>
          <w:szCs w:val="26"/>
        </w:rPr>
        <w:t>interest rate to be collected on net over and under collections</w:t>
      </w:r>
      <w:r w:rsidR="009F64F2" w:rsidRPr="005D60F3">
        <w:rPr>
          <w:sz w:val="26"/>
          <w:szCs w:val="26"/>
        </w:rPr>
        <w:t>.</w:t>
      </w:r>
    </w:p>
    <w:p w:rsidR="00F922A0" w:rsidRPr="005D60F3" w:rsidRDefault="00F922A0" w:rsidP="00E85D5D">
      <w:pPr>
        <w:spacing w:line="360" w:lineRule="auto"/>
        <w:ind w:firstLine="1440"/>
        <w:jc w:val="both"/>
        <w:rPr>
          <w:sz w:val="26"/>
          <w:szCs w:val="26"/>
        </w:rPr>
      </w:pPr>
    </w:p>
    <w:p w:rsidR="00061AA0" w:rsidRPr="005D60F3" w:rsidRDefault="00384098" w:rsidP="004157B8">
      <w:pPr>
        <w:spacing w:line="360" w:lineRule="auto"/>
        <w:ind w:firstLine="720"/>
        <w:jc w:val="both"/>
        <w:rPr>
          <w:sz w:val="26"/>
          <w:szCs w:val="26"/>
        </w:rPr>
      </w:pPr>
      <w:proofErr w:type="gramStart"/>
      <w:r w:rsidRPr="005D60F3">
        <w:rPr>
          <w:sz w:val="26"/>
          <w:szCs w:val="26"/>
        </w:rPr>
        <w:t>On page 9, the</w:t>
      </w:r>
      <w:r w:rsidR="00560082" w:rsidRPr="005D60F3">
        <w:rPr>
          <w:sz w:val="26"/>
          <w:szCs w:val="26"/>
        </w:rPr>
        <w:t xml:space="preserve"> </w:t>
      </w:r>
      <w:r w:rsidRPr="005D60F3">
        <w:rPr>
          <w:sz w:val="26"/>
          <w:szCs w:val="26"/>
        </w:rPr>
        <w:t xml:space="preserve">applicable </w:t>
      </w:r>
      <w:r w:rsidR="00EE5FC7" w:rsidRPr="005D60F3">
        <w:rPr>
          <w:sz w:val="26"/>
          <w:szCs w:val="26"/>
        </w:rPr>
        <w:t>interest rate</w:t>
      </w:r>
      <w:r w:rsidR="009F64F2" w:rsidRPr="005D60F3">
        <w:rPr>
          <w:sz w:val="26"/>
          <w:szCs w:val="26"/>
        </w:rPr>
        <w:t xml:space="preserve"> was i</w:t>
      </w:r>
      <w:r w:rsidR="00D36F95" w:rsidRPr="005D60F3">
        <w:rPr>
          <w:sz w:val="26"/>
          <w:szCs w:val="26"/>
        </w:rPr>
        <w:t xml:space="preserve">ncorrectly </w:t>
      </w:r>
      <w:r w:rsidRPr="005D60F3">
        <w:rPr>
          <w:sz w:val="26"/>
          <w:szCs w:val="26"/>
        </w:rPr>
        <w:t>described</w:t>
      </w:r>
      <w:r w:rsidR="00EE5FC7" w:rsidRPr="005D60F3">
        <w:rPr>
          <w:sz w:val="26"/>
          <w:szCs w:val="26"/>
        </w:rPr>
        <w:t xml:space="preserve"> as the rate specified at 66 Pa. C.S. § 1307(f)(5)</w:t>
      </w:r>
      <w:r w:rsidR="009F64F2" w:rsidRPr="005D60F3">
        <w:rPr>
          <w:sz w:val="26"/>
          <w:szCs w:val="26"/>
        </w:rPr>
        <w:t xml:space="preserve">, </w:t>
      </w:r>
      <w:r w:rsidR="00EE5FC7" w:rsidRPr="005D60F3">
        <w:rPr>
          <w:sz w:val="26"/>
          <w:szCs w:val="26"/>
        </w:rPr>
        <w:t xml:space="preserve">which </w:t>
      </w:r>
      <w:r w:rsidRPr="005D60F3">
        <w:rPr>
          <w:sz w:val="26"/>
          <w:szCs w:val="26"/>
        </w:rPr>
        <w:t xml:space="preserve">is </w:t>
      </w:r>
      <w:r w:rsidR="00EE5FC7" w:rsidRPr="005D60F3">
        <w:rPr>
          <w:sz w:val="26"/>
          <w:szCs w:val="26"/>
        </w:rPr>
        <w:t>the rate applied to large gas utilities; however, consistent with the</w:t>
      </w:r>
      <w:r w:rsidR="00886492" w:rsidRPr="005D60F3">
        <w:rPr>
          <w:sz w:val="26"/>
          <w:szCs w:val="26"/>
        </w:rPr>
        <w:t xml:space="preserve"> Commission’s May 7, 2015 motion</w:t>
      </w:r>
      <w:r w:rsidRPr="005D60F3">
        <w:rPr>
          <w:sz w:val="26"/>
          <w:szCs w:val="26"/>
        </w:rPr>
        <w:t xml:space="preserve"> adopted 5-0 and the final form regulations in Appendix A of the order</w:t>
      </w:r>
      <w:r w:rsidR="00886492" w:rsidRPr="005D60F3">
        <w:rPr>
          <w:sz w:val="26"/>
          <w:szCs w:val="26"/>
        </w:rPr>
        <w:t xml:space="preserve">, </w:t>
      </w:r>
      <w:r w:rsidR="00EE5FC7" w:rsidRPr="005D60F3">
        <w:rPr>
          <w:sz w:val="26"/>
          <w:szCs w:val="26"/>
        </w:rPr>
        <w:t xml:space="preserve">the </w:t>
      </w:r>
      <w:r w:rsidR="00886492" w:rsidRPr="005D60F3">
        <w:rPr>
          <w:sz w:val="26"/>
          <w:szCs w:val="26"/>
        </w:rPr>
        <w:t xml:space="preserve">interest </w:t>
      </w:r>
      <w:r w:rsidR="00EE5FC7" w:rsidRPr="005D60F3">
        <w:rPr>
          <w:sz w:val="26"/>
          <w:szCs w:val="26"/>
        </w:rPr>
        <w:t xml:space="preserve">rate </w:t>
      </w:r>
      <w:r w:rsidRPr="005D60F3">
        <w:rPr>
          <w:sz w:val="26"/>
          <w:szCs w:val="26"/>
        </w:rPr>
        <w:t>adopted by the Commission</w:t>
      </w:r>
      <w:r w:rsidR="00FC4D69" w:rsidRPr="005D60F3">
        <w:rPr>
          <w:sz w:val="26"/>
          <w:szCs w:val="26"/>
        </w:rPr>
        <w:t xml:space="preserve"> for small gas utilities</w:t>
      </w:r>
      <w:r w:rsidRPr="005D60F3">
        <w:rPr>
          <w:sz w:val="26"/>
          <w:szCs w:val="26"/>
        </w:rPr>
        <w:t xml:space="preserve"> is</w:t>
      </w:r>
      <w:r w:rsidR="00560082" w:rsidRPr="005D60F3">
        <w:rPr>
          <w:sz w:val="26"/>
          <w:szCs w:val="26"/>
        </w:rPr>
        <w:t xml:space="preserve"> </w:t>
      </w:r>
      <w:r w:rsidR="00EE5FC7" w:rsidRPr="005D60F3">
        <w:rPr>
          <w:sz w:val="26"/>
          <w:szCs w:val="26"/>
        </w:rPr>
        <w:t>the prime rate for</w:t>
      </w:r>
      <w:r w:rsidR="00886492" w:rsidRPr="005D60F3">
        <w:rPr>
          <w:sz w:val="26"/>
          <w:szCs w:val="26"/>
        </w:rPr>
        <w:t xml:space="preserve"> commercial borrowing</w:t>
      </w:r>
      <w:r w:rsidR="00560082" w:rsidRPr="005D60F3">
        <w:rPr>
          <w:sz w:val="26"/>
          <w:szCs w:val="26"/>
        </w:rPr>
        <w:t>.</w:t>
      </w:r>
      <w:proofErr w:type="gramEnd"/>
      <w:r w:rsidR="00560082" w:rsidRPr="005D60F3">
        <w:rPr>
          <w:sz w:val="26"/>
          <w:szCs w:val="26"/>
        </w:rPr>
        <w:t xml:space="preserve">  </w:t>
      </w:r>
      <w:r w:rsidR="00AD14CC" w:rsidRPr="005D60F3">
        <w:rPr>
          <w:sz w:val="26"/>
          <w:szCs w:val="26"/>
        </w:rPr>
        <w:t xml:space="preserve">Therefore, the second-to-last sentence of the first paragraph </w:t>
      </w:r>
      <w:r w:rsidR="00FC4D69" w:rsidRPr="005D60F3">
        <w:rPr>
          <w:sz w:val="26"/>
          <w:szCs w:val="26"/>
        </w:rPr>
        <w:t xml:space="preserve">is corrected to </w:t>
      </w:r>
      <w:r w:rsidR="00AD14CC" w:rsidRPr="005D60F3">
        <w:rPr>
          <w:sz w:val="26"/>
          <w:szCs w:val="26"/>
        </w:rPr>
        <w:t xml:space="preserve">read as follows:  “Thus, the Commission has now chosen to permit small gas utilities to calculate and collect interest at the prime rate for commercial borrowing on net over and under collections.”  </w:t>
      </w:r>
      <w:r w:rsidR="00A253F8" w:rsidRPr="005D60F3">
        <w:rPr>
          <w:sz w:val="26"/>
          <w:szCs w:val="26"/>
        </w:rPr>
        <w:t xml:space="preserve">Please find the corrected </w:t>
      </w:r>
      <w:r w:rsidR="00886492" w:rsidRPr="005D60F3">
        <w:rPr>
          <w:sz w:val="26"/>
          <w:szCs w:val="26"/>
        </w:rPr>
        <w:t>page</w:t>
      </w:r>
      <w:r w:rsidR="00A253F8" w:rsidRPr="005D60F3">
        <w:rPr>
          <w:sz w:val="26"/>
          <w:szCs w:val="26"/>
        </w:rPr>
        <w:t xml:space="preserve"> attached</w:t>
      </w:r>
      <w:r w:rsidR="00D67425" w:rsidRPr="005D60F3">
        <w:rPr>
          <w:sz w:val="26"/>
          <w:szCs w:val="26"/>
        </w:rPr>
        <w:t xml:space="preserve"> for your records</w:t>
      </w:r>
      <w:r w:rsidR="00A253F8" w:rsidRPr="005D60F3">
        <w:rPr>
          <w:sz w:val="26"/>
          <w:szCs w:val="26"/>
        </w:rPr>
        <w:t>.</w:t>
      </w:r>
    </w:p>
    <w:p w:rsidR="00B36797" w:rsidRPr="005D60F3" w:rsidRDefault="00B36797" w:rsidP="00E85D5D">
      <w:pPr>
        <w:spacing w:line="360" w:lineRule="auto"/>
        <w:ind w:firstLine="1440"/>
        <w:jc w:val="both"/>
        <w:rPr>
          <w:sz w:val="26"/>
          <w:szCs w:val="26"/>
        </w:rPr>
      </w:pPr>
    </w:p>
    <w:p w:rsidR="008A0EC5" w:rsidRPr="005D60F3" w:rsidRDefault="00061AA0" w:rsidP="004157B8">
      <w:pPr>
        <w:pStyle w:val="p3"/>
        <w:tabs>
          <w:tab w:val="clear" w:pos="204"/>
        </w:tabs>
        <w:spacing w:line="360" w:lineRule="auto"/>
        <w:ind w:firstLine="720"/>
        <w:rPr>
          <w:sz w:val="26"/>
          <w:szCs w:val="26"/>
        </w:rPr>
      </w:pPr>
      <w:r w:rsidRPr="005D60F3">
        <w:rPr>
          <w:sz w:val="26"/>
          <w:szCs w:val="26"/>
        </w:rPr>
        <w:t xml:space="preserve">The </w:t>
      </w:r>
      <w:r w:rsidR="00560082" w:rsidRPr="005D60F3">
        <w:rPr>
          <w:sz w:val="26"/>
          <w:szCs w:val="26"/>
        </w:rPr>
        <w:t>Order</w:t>
      </w:r>
      <w:r w:rsidRPr="005D60F3">
        <w:rPr>
          <w:sz w:val="26"/>
          <w:szCs w:val="26"/>
        </w:rPr>
        <w:t xml:space="preserve"> on the PA PUC website </w:t>
      </w:r>
      <w:proofErr w:type="gramStart"/>
      <w:r w:rsidRPr="005D60F3">
        <w:rPr>
          <w:sz w:val="26"/>
          <w:szCs w:val="26"/>
        </w:rPr>
        <w:t>will b</w:t>
      </w:r>
      <w:r w:rsidR="008A0EC5" w:rsidRPr="005D60F3">
        <w:rPr>
          <w:sz w:val="26"/>
          <w:szCs w:val="26"/>
        </w:rPr>
        <w:t>e corrected</w:t>
      </w:r>
      <w:proofErr w:type="gramEnd"/>
      <w:r w:rsidR="008A0EC5" w:rsidRPr="005D60F3">
        <w:rPr>
          <w:sz w:val="26"/>
          <w:szCs w:val="26"/>
        </w:rPr>
        <w:t xml:space="preserve"> as indicated above.</w:t>
      </w:r>
    </w:p>
    <w:p w:rsidR="00AD14CC" w:rsidRDefault="008A0EC5" w:rsidP="00AD14CC">
      <w:pPr>
        <w:pStyle w:val="p3"/>
        <w:tabs>
          <w:tab w:val="clear" w:pos="204"/>
        </w:tabs>
        <w:spacing w:line="360" w:lineRule="auto"/>
        <w:rPr>
          <w:bCs/>
          <w:sz w:val="26"/>
          <w:szCs w:val="26"/>
        </w:rPr>
      </w:pPr>
      <w:r>
        <w:rPr>
          <w:bCs/>
          <w:sz w:val="26"/>
          <w:szCs w:val="26"/>
        </w:rPr>
        <w:lastRenderedPageBreak/>
        <w:tab/>
      </w:r>
      <w:r w:rsidR="00AD14CC" w:rsidRPr="004709B8">
        <w:rPr>
          <w:bCs/>
          <w:sz w:val="26"/>
          <w:szCs w:val="26"/>
        </w:rPr>
        <w:t xml:space="preserve">However, no similar detailed framework </w:t>
      </w:r>
      <w:r w:rsidR="00AD14CC">
        <w:rPr>
          <w:bCs/>
          <w:sz w:val="26"/>
          <w:szCs w:val="26"/>
        </w:rPr>
        <w:t xml:space="preserve">was mandated for </w:t>
      </w:r>
      <w:r w:rsidR="00AD14CC" w:rsidRPr="004709B8">
        <w:rPr>
          <w:bCs/>
          <w:sz w:val="26"/>
          <w:szCs w:val="26"/>
        </w:rPr>
        <w:t xml:space="preserve">small gas utilities either prior to or following the passage of the Act.  </w:t>
      </w:r>
      <w:r w:rsidR="00AD14CC">
        <w:rPr>
          <w:bCs/>
          <w:sz w:val="26"/>
          <w:szCs w:val="26"/>
        </w:rPr>
        <w:t>The General Assembly has instead chosen to keep small gas utilities under the broader statutory provisions of section 1307(a) and (b) which:  (1) has no legislative proscription regarding the issue of interest on over and under collections; and (2) leaves authority with the Commission to permit small gas utilities to collect interest on net under collections.  Thus, the Commission has now chosen to permit small gas utilities to calculate and collect interest at the prime rate for commercial borrowing on net over and under collections.  This decision by the Commission is consistent with its statutory authority.</w:t>
      </w:r>
    </w:p>
    <w:p w:rsidR="00AD14CC" w:rsidRDefault="00AD14CC" w:rsidP="00AD14CC">
      <w:pPr>
        <w:pStyle w:val="p3"/>
        <w:tabs>
          <w:tab w:val="clear" w:pos="204"/>
        </w:tabs>
        <w:spacing w:line="360" w:lineRule="auto"/>
        <w:rPr>
          <w:bCs/>
          <w:sz w:val="26"/>
          <w:szCs w:val="26"/>
        </w:rPr>
      </w:pPr>
    </w:p>
    <w:p w:rsidR="00AD14CC" w:rsidRDefault="00AD14CC" w:rsidP="00AD14CC">
      <w:pPr>
        <w:pStyle w:val="p3"/>
        <w:tabs>
          <w:tab w:val="clear" w:pos="204"/>
        </w:tabs>
        <w:spacing w:line="360" w:lineRule="auto"/>
        <w:rPr>
          <w:bCs/>
          <w:sz w:val="26"/>
          <w:szCs w:val="26"/>
        </w:rPr>
      </w:pPr>
      <w:r>
        <w:rPr>
          <w:bCs/>
          <w:sz w:val="26"/>
          <w:szCs w:val="26"/>
        </w:rPr>
        <w:tab/>
        <w:t>IRRC’s second inquiry requests that the Commission explain how the interest rate it chooses to implement is reasonable for both utilities and consumers.  As stated in the Proposed Rulemaking Order, allowing small gas utilities to collect interest on net under collections represents a departure from prior Commission policy.  The Commission determined that its prior position disallowing the collection of interest on under collections placed an unfair burden on small gas utilities because it required projecting, without error, volatile annual gas supply costs and sales volumes.  No justification exists for differential treatment between large and small gas utilities on the recovery of interest on net under collections.</w:t>
      </w:r>
    </w:p>
    <w:p w:rsidR="00AD14CC" w:rsidRDefault="00AD14CC" w:rsidP="00AD14CC">
      <w:pPr>
        <w:pStyle w:val="p3"/>
        <w:tabs>
          <w:tab w:val="clear" w:pos="204"/>
        </w:tabs>
        <w:spacing w:line="360" w:lineRule="auto"/>
        <w:rPr>
          <w:bCs/>
          <w:sz w:val="26"/>
          <w:szCs w:val="26"/>
        </w:rPr>
      </w:pPr>
    </w:p>
    <w:p w:rsidR="00AD14CC" w:rsidRDefault="00AD14CC" w:rsidP="00AD14CC">
      <w:pPr>
        <w:pStyle w:val="p3"/>
        <w:tabs>
          <w:tab w:val="clear" w:pos="204"/>
        </w:tabs>
        <w:spacing w:line="360" w:lineRule="auto"/>
        <w:ind w:firstLine="720"/>
        <w:rPr>
          <w:bCs/>
          <w:sz w:val="26"/>
          <w:szCs w:val="26"/>
        </w:rPr>
      </w:pPr>
      <w:r>
        <w:rPr>
          <w:bCs/>
          <w:sz w:val="26"/>
          <w:szCs w:val="26"/>
        </w:rPr>
        <w:t>In its comments, the OCA states that the interest rate applied to over and under collections for small gas utilities should be examined independently of what large gas utilities use, and recommends that the interest rate be tied to market conditions.  Valley’s comments propose the prime rate for commercial borrowing as the optimal interest rate.</w:t>
      </w:r>
    </w:p>
    <w:p w:rsidR="00AD14CC" w:rsidRDefault="00AD14CC" w:rsidP="00AD14CC">
      <w:pPr>
        <w:pStyle w:val="p3"/>
        <w:tabs>
          <w:tab w:val="clear" w:pos="204"/>
        </w:tabs>
        <w:spacing w:line="360" w:lineRule="auto"/>
        <w:rPr>
          <w:bCs/>
          <w:sz w:val="26"/>
          <w:szCs w:val="26"/>
        </w:rPr>
      </w:pPr>
    </w:p>
    <w:p w:rsidR="00AD14CC" w:rsidRDefault="00AD14CC" w:rsidP="00AD14CC">
      <w:pPr>
        <w:pStyle w:val="p3"/>
        <w:tabs>
          <w:tab w:val="clear" w:pos="204"/>
        </w:tabs>
        <w:spacing w:line="360" w:lineRule="auto"/>
        <w:rPr>
          <w:bCs/>
          <w:sz w:val="26"/>
          <w:szCs w:val="26"/>
        </w:rPr>
      </w:pPr>
      <w:r>
        <w:rPr>
          <w:bCs/>
          <w:sz w:val="26"/>
          <w:szCs w:val="26"/>
        </w:rPr>
        <w:tab/>
        <w:t xml:space="preserve">After reviewing the comments filed, the Commission will amend the language presented in its Proposed Rulemaking Order, which would have tied the interest rate </w:t>
      </w:r>
    </w:p>
    <w:p w:rsidR="0012411F" w:rsidRDefault="0012411F"/>
    <w:sectPr w:rsidR="0012411F" w:rsidSect="002F722D">
      <w:footerReference w:type="even" r:id="rId8"/>
      <w:footerReference w:type="default" r:id="rId9"/>
      <w:footerReference w:type="first" r:id="rId10"/>
      <w:pgSz w:w="12240" w:h="15840" w:code="1"/>
      <w:pgMar w:top="1440" w:right="1440" w:bottom="1440" w:left="1440" w:header="720" w:footer="720" w:gutter="0"/>
      <w:paperSrc w:first="15"/>
      <w:pgNumType w:start="2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C16" w:rsidRDefault="003B1C16">
      <w:r>
        <w:separator/>
      </w:r>
    </w:p>
  </w:endnote>
  <w:endnote w:type="continuationSeparator" w:id="0">
    <w:p w:rsidR="003B1C16" w:rsidRDefault="003B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936801"/>
      <w:docPartObj>
        <w:docPartGallery w:val="Page Numbers (Bottom of Page)"/>
        <w:docPartUnique/>
      </w:docPartObj>
    </w:sdtPr>
    <w:sdtEndPr>
      <w:rPr>
        <w:noProof/>
      </w:rPr>
    </w:sdtEndPr>
    <w:sdtContent>
      <w:p w:rsidR="002F722D" w:rsidRDefault="002F722D">
        <w:pPr>
          <w:pStyle w:val="Footer"/>
          <w:jc w:val="center"/>
        </w:pPr>
        <w:r>
          <w:t>9</w:t>
        </w:r>
      </w:p>
    </w:sdtContent>
  </w:sdt>
  <w:p w:rsidR="00711867" w:rsidRDefault="00711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C16" w:rsidRDefault="003B1C16">
      <w:r>
        <w:separator/>
      </w:r>
    </w:p>
  </w:footnote>
  <w:footnote w:type="continuationSeparator" w:id="0">
    <w:p w:rsidR="003B1C16" w:rsidRDefault="003B1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24198"/>
    <w:rsid w:val="0013586B"/>
    <w:rsid w:val="00137061"/>
    <w:rsid w:val="00141564"/>
    <w:rsid w:val="0014205C"/>
    <w:rsid w:val="00143209"/>
    <w:rsid w:val="00146731"/>
    <w:rsid w:val="00146CF5"/>
    <w:rsid w:val="00150480"/>
    <w:rsid w:val="001505CA"/>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005F"/>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2F722D"/>
    <w:rsid w:val="0030142A"/>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098"/>
    <w:rsid w:val="0038467C"/>
    <w:rsid w:val="003858B9"/>
    <w:rsid w:val="0039341A"/>
    <w:rsid w:val="0039516D"/>
    <w:rsid w:val="00395BCC"/>
    <w:rsid w:val="003A07DE"/>
    <w:rsid w:val="003A2EB1"/>
    <w:rsid w:val="003A4014"/>
    <w:rsid w:val="003A5C02"/>
    <w:rsid w:val="003B1C16"/>
    <w:rsid w:val="003B3B28"/>
    <w:rsid w:val="003B5D10"/>
    <w:rsid w:val="003C726A"/>
    <w:rsid w:val="003D0209"/>
    <w:rsid w:val="003D1100"/>
    <w:rsid w:val="003D1E21"/>
    <w:rsid w:val="003D50A1"/>
    <w:rsid w:val="003D54D9"/>
    <w:rsid w:val="003E228E"/>
    <w:rsid w:val="003E568A"/>
    <w:rsid w:val="003E5A6B"/>
    <w:rsid w:val="003F3BF1"/>
    <w:rsid w:val="003F58EC"/>
    <w:rsid w:val="003F6AA0"/>
    <w:rsid w:val="003F6B74"/>
    <w:rsid w:val="003F7F3B"/>
    <w:rsid w:val="00402A59"/>
    <w:rsid w:val="00402C56"/>
    <w:rsid w:val="0040411D"/>
    <w:rsid w:val="0040413E"/>
    <w:rsid w:val="004053AE"/>
    <w:rsid w:val="004110EA"/>
    <w:rsid w:val="004120B4"/>
    <w:rsid w:val="004126B4"/>
    <w:rsid w:val="00413047"/>
    <w:rsid w:val="004144D8"/>
    <w:rsid w:val="00415143"/>
    <w:rsid w:val="004157B8"/>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D60F3"/>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CB7"/>
    <w:rsid w:val="00660DD1"/>
    <w:rsid w:val="0066183C"/>
    <w:rsid w:val="00661EF7"/>
    <w:rsid w:val="0066493C"/>
    <w:rsid w:val="00673B73"/>
    <w:rsid w:val="00673F87"/>
    <w:rsid w:val="006756B5"/>
    <w:rsid w:val="0068078E"/>
    <w:rsid w:val="00680C3B"/>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B609B"/>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26600"/>
    <w:rsid w:val="00730F25"/>
    <w:rsid w:val="00731BC3"/>
    <w:rsid w:val="007335DD"/>
    <w:rsid w:val="00735958"/>
    <w:rsid w:val="00735ED6"/>
    <w:rsid w:val="00736503"/>
    <w:rsid w:val="00743D70"/>
    <w:rsid w:val="007461AC"/>
    <w:rsid w:val="007462DE"/>
    <w:rsid w:val="00752524"/>
    <w:rsid w:val="0075260C"/>
    <w:rsid w:val="00754E2E"/>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E1015"/>
    <w:rsid w:val="007E5826"/>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3A3C"/>
    <w:rsid w:val="0088541D"/>
    <w:rsid w:val="0088583B"/>
    <w:rsid w:val="00886492"/>
    <w:rsid w:val="00890589"/>
    <w:rsid w:val="008934D9"/>
    <w:rsid w:val="00893605"/>
    <w:rsid w:val="0089405E"/>
    <w:rsid w:val="008A0EC5"/>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90"/>
    <w:rsid w:val="00940BF1"/>
    <w:rsid w:val="0094141C"/>
    <w:rsid w:val="00941A97"/>
    <w:rsid w:val="00946280"/>
    <w:rsid w:val="00950999"/>
    <w:rsid w:val="00954C64"/>
    <w:rsid w:val="0096435A"/>
    <w:rsid w:val="0096565E"/>
    <w:rsid w:val="00965869"/>
    <w:rsid w:val="009659A8"/>
    <w:rsid w:val="00967588"/>
    <w:rsid w:val="00967FB6"/>
    <w:rsid w:val="009700A1"/>
    <w:rsid w:val="009735B7"/>
    <w:rsid w:val="009757E7"/>
    <w:rsid w:val="00984610"/>
    <w:rsid w:val="00990EE0"/>
    <w:rsid w:val="009A157D"/>
    <w:rsid w:val="009A43C4"/>
    <w:rsid w:val="009B2075"/>
    <w:rsid w:val="009B5F4C"/>
    <w:rsid w:val="009B62A9"/>
    <w:rsid w:val="009B713A"/>
    <w:rsid w:val="009C1258"/>
    <w:rsid w:val="009C19F0"/>
    <w:rsid w:val="009C2124"/>
    <w:rsid w:val="009C5480"/>
    <w:rsid w:val="009C702D"/>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9FC"/>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03F"/>
    <w:rsid w:val="00A95153"/>
    <w:rsid w:val="00A97ACB"/>
    <w:rsid w:val="00AA5E3B"/>
    <w:rsid w:val="00AA6206"/>
    <w:rsid w:val="00AA6C1A"/>
    <w:rsid w:val="00AB0DB8"/>
    <w:rsid w:val="00AB33B3"/>
    <w:rsid w:val="00AD14CC"/>
    <w:rsid w:val="00AD3111"/>
    <w:rsid w:val="00AD5DC7"/>
    <w:rsid w:val="00AD5DE0"/>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47768"/>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77E9D"/>
    <w:rsid w:val="00C8014C"/>
    <w:rsid w:val="00C84495"/>
    <w:rsid w:val="00C85212"/>
    <w:rsid w:val="00C85EDF"/>
    <w:rsid w:val="00C860E6"/>
    <w:rsid w:val="00C863B8"/>
    <w:rsid w:val="00C91287"/>
    <w:rsid w:val="00C947A2"/>
    <w:rsid w:val="00C958B5"/>
    <w:rsid w:val="00CA03EF"/>
    <w:rsid w:val="00CA32F8"/>
    <w:rsid w:val="00CA4E0A"/>
    <w:rsid w:val="00CA5E04"/>
    <w:rsid w:val="00CA7E2A"/>
    <w:rsid w:val="00CB1766"/>
    <w:rsid w:val="00CB1B44"/>
    <w:rsid w:val="00CB34C5"/>
    <w:rsid w:val="00CC0E9C"/>
    <w:rsid w:val="00CC4ED9"/>
    <w:rsid w:val="00CC58D1"/>
    <w:rsid w:val="00CC6DD6"/>
    <w:rsid w:val="00CC70AF"/>
    <w:rsid w:val="00CD5349"/>
    <w:rsid w:val="00CE0C52"/>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45879"/>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5FC7"/>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C1647"/>
    <w:rsid w:val="00FC329C"/>
    <w:rsid w:val="00FC3E7B"/>
    <w:rsid w:val="00FC4D69"/>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3">
    <w:name w:val="heading 3"/>
    <w:basedOn w:val="Normal"/>
    <w:next w:val="Normal"/>
    <w:link w:val="Heading3Char"/>
    <w:qFormat/>
    <w:rsid w:val="00EE5FC7"/>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ing3Char">
    <w:name w:val="Heading 3 Char"/>
    <w:basedOn w:val="DefaultParagraphFont"/>
    <w:link w:val="Heading3"/>
    <w:rsid w:val="00EE5FC7"/>
    <w:rPr>
      <w:rFonts w:ascii="Arial" w:hAnsi="Arial" w:cs="Arial"/>
      <w:b/>
      <w:bCs/>
      <w:sz w:val="26"/>
      <w:szCs w:val="26"/>
    </w:rPr>
  </w:style>
  <w:style w:type="paragraph" w:customStyle="1" w:styleId="StyleCentered">
    <w:name w:val="Style Centered"/>
    <w:basedOn w:val="Normal"/>
    <w:rsid w:val="00EE5FC7"/>
    <w:pPr>
      <w:overflowPunct w:val="0"/>
      <w:autoSpaceDE w:val="0"/>
      <w:autoSpaceDN w:val="0"/>
      <w:adjustRightInd w:val="0"/>
      <w:jc w:val="center"/>
      <w:textAlignment w:val="baseline"/>
    </w:pPr>
    <w:rPr>
      <w:szCs w:val="20"/>
    </w:rPr>
  </w:style>
  <w:style w:type="paragraph" w:customStyle="1" w:styleId="p3">
    <w:name w:val="p3"/>
    <w:basedOn w:val="Normal"/>
    <w:rsid w:val="00AD14CC"/>
    <w:pPr>
      <w:widowControl w:val="0"/>
      <w:tabs>
        <w:tab w:val="left" w:pos="204"/>
      </w:tabs>
      <w:autoSpaceDE w:val="0"/>
      <w:autoSpaceDN w:val="0"/>
      <w:adjustRightInd w:val="0"/>
    </w:pPr>
  </w:style>
  <w:style w:type="paragraph" w:styleId="BalloonText">
    <w:name w:val="Balloon Text"/>
    <w:basedOn w:val="Normal"/>
    <w:link w:val="BalloonTextChar"/>
    <w:rsid w:val="00384098"/>
    <w:rPr>
      <w:rFonts w:ascii="Tahoma" w:hAnsi="Tahoma" w:cs="Tahoma"/>
      <w:sz w:val="16"/>
      <w:szCs w:val="16"/>
    </w:rPr>
  </w:style>
  <w:style w:type="character" w:customStyle="1" w:styleId="BalloonTextChar">
    <w:name w:val="Balloon Text Char"/>
    <w:basedOn w:val="DefaultParagraphFont"/>
    <w:link w:val="BalloonText"/>
    <w:rsid w:val="00384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paragraph" w:styleId="Heading3">
    <w:name w:val="heading 3"/>
    <w:basedOn w:val="Normal"/>
    <w:next w:val="Normal"/>
    <w:link w:val="Heading3Char"/>
    <w:qFormat/>
    <w:rsid w:val="00EE5FC7"/>
    <w:pPr>
      <w:keepNext/>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 w:type="character" w:customStyle="1" w:styleId="Heading3Char">
    <w:name w:val="Heading 3 Char"/>
    <w:basedOn w:val="DefaultParagraphFont"/>
    <w:link w:val="Heading3"/>
    <w:rsid w:val="00EE5FC7"/>
    <w:rPr>
      <w:rFonts w:ascii="Arial" w:hAnsi="Arial" w:cs="Arial"/>
      <w:b/>
      <w:bCs/>
      <w:sz w:val="26"/>
      <w:szCs w:val="26"/>
    </w:rPr>
  </w:style>
  <w:style w:type="paragraph" w:customStyle="1" w:styleId="StyleCentered">
    <w:name w:val="Style Centered"/>
    <w:basedOn w:val="Normal"/>
    <w:rsid w:val="00EE5FC7"/>
    <w:pPr>
      <w:overflowPunct w:val="0"/>
      <w:autoSpaceDE w:val="0"/>
      <w:autoSpaceDN w:val="0"/>
      <w:adjustRightInd w:val="0"/>
      <w:jc w:val="center"/>
      <w:textAlignment w:val="baseline"/>
    </w:pPr>
    <w:rPr>
      <w:szCs w:val="20"/>
    </w:rPr>
  </w:style>
  <w:style w:type="paragraph" w:customStyle="1" w:styleId="p3">
    <w:name w:val="p3"/>
    <w:basedOn w:val="Normal"/>
    <w:rsid w:val="00AD14CC"/>
    <w:pPr>
      <w:widowControl w:val="0"/>
      <w:tabs>
        <w:tab w:val="left" w:pos="204"/>
      </w:tabs>
      <w:autoSpaceDE w:val="0"/>
      <w:autoSpaceDN w:val="0"/>
      <w:adjustRightInd w:val="0"/>
    </w:pPr>
  </w:style>
  <w:style w:type="paragraph" w:styleId="BalloonText">
    <w:name w:val="Balloon Text"/>
    <w:basedOn w:val="Normal"/>
    <w:link w:val="BalloonTextChar"/>
    <w:rsid w:val="00384098"/>
    <w:rPr>
      <w:rFonts w:ascii="Tahoma" w:hAnsi="Tahoma" w:cs="Tahoma"/>
      <w:sz w:val="16"/>
      <w:szCs w:val="16"/>
    </w:rPr>
  </w:style>
  <w:style w:type="character" w:customStyle="1" w:styleId="BalloonTextChar">
    <w:name w:val="Balloon Text Char"/>
    <w:basedOn w:val="DefaultParagraphFont"/>
    <w:link w:val="BalloonText"/>
    <w:rsid w:val="00384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fapatrick</cp:lastModifiedBy>
  <cp:revision>3</cp:revision>
  <cp:lastPrinted>2015-11-05T17:36:00Z</cp:lastPrinted>
  <dcterms:created xsi:type="dcterms:W3CDTF">2015-11-05T17:41:00Z</dcterms:created>
  <dcterms:modified xsi:type="dcterms:W3CDTF">2015-11-05T18:13:00Z</dcterms:modified>
</cp:coreProperties>
</file>