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B8E" w:rsidRDefault="005B2B8E" w:rsidP="00FB32AF">
      <w:pPr>
        <w:pStyle w:val="Title"/>
        <w:tabs>
          <w:tab w:val="clear" w:pos="360"/>
          <w:tab w:val="left" w:pos="0"/>
        </w:tabs>
        <w:spacing w:line="240" w:lineRule="auto"/>
      </w:pPr>
      <w:bookmarkStart w:id="0" w:name="_GoBack"/>
      <w:bookmarkEnd w:id="0"/>
      <w:r>
        <w:t>BEFORE THE</w:t>
      </w:r>
    </w:p>
    <w:p w:rsidR="005B2B8E" w:rsidRDefault="005B2B8E" w:rsidP="00FB32AF">
      <w:pPr>
        <w:tabs>
          <w:tab w:val="left" w:pos="0"/>
        </w:tabs>
        <w:spacing w:after="0" w:line="240" w:lineRule="auto"/>
        <w:jc w:val="center"/>
        <w:rPr>
          <w:b/>
        </w:rPr>
      </w:pPr>
      <w:r>
        <w:rPr>
          <w:b/>
        </w:rPr>
        <w:t>PENNSYLVANIA PUBLIC UTILITY COMMISSION</w:t>
      </w:r>
    </w:p>
    <w:p w:rsidR="004A37DD" w:rsidRDefault="004A37DD" w:rsidP="00FB32AF">
      <w:pPr>
        <w:tabs>
          <w:tab w:val="left" w:pos="0"/>
        </w:tabs>
        <w:spacing w:after="0" w:line="240" w:lineRule="auto"/>
        <w:jc w:val="center"/>
        <w:rPr>
          <w:b/>
        </w:rPr>
      </w:pPr>
    </w:p>
    <w:p w:rsidR="005B2B8E" w:rsidRDefault="005B2B8E" w:rsidP="00FB32AF">
      <w:pPr>
        <w:tabs>
          <w:tab w:val="left" w:pos="0"/>
        </w:tabs>
        <w:spacing w:after="0" w:line="240" w:lineRule="auto"/>
        <w:jc w:val="both"/>
        <w:rPr>
          <w:b/>
        </w:rPr>
      </w:pPr>
    </w:p>
    <w:p w:rsidR="0046390D" w:rsidRDefault="0046390D" w:rsidP="00FB32AF">
      <w:pPr>
        <w:tabs>
          <w:tab w:val="left" w:pos="0"/>
        </w:tabs>
        <w:spacing w:after="0" w:line="240" w:lineRule="auto"/>
        <w:jc w:val="both"/>
        <w:rPr>
          <w:b/>
        </w:rPr>
      </w:pPr>
    </w:p>
    <w:p w:rsidR="005B2B8E" w:rsidRDefault="005B2B8E" w:rsidP="00FB32AF">
      <w:pPr>
        <w:tabs>
          <w:tab w:val="left" w:pos="0"/>
        </w:tabs>
        <w:spacing w:after="0" w:line="240" w:lineRule="auto"/>
        <w:jc w:val="both"/>
        <w:rPr>
          <w:b/>
        </w:rPr>
      </w:pPr>
      <w:r>
        <w:t xml:space="preserve">Deree J. Norman </w:t>
      </w:r>
      <w:r>
        <w:tab/>
      </w:r>
      <w:r>
        <w:tab/>
      </w:r>
      <w:r>
        <w:tab/>
      </w:r>
      <w:r>
        <w:tab/>
      </w:r>
      <w:r>
        <w:tab/>
      </w:r>
      <w:r w:rsidRPr="00560DC5">
        <w:t>:</w:t>
      </w:r>
    </w:p>
    <w:p w:rsidR="005B2B8E" w:rsidRPr="00560DC5" w:rsidRDefault="005B2B8E" w:rsidP="00FB32AF">
      <w:pPr>
        <w:tabs>
          <w:tab w:val="left" w:pos="0"/>
        </w:tabs>
        <w:spacing w:after="0" w:line="240" w:lineRule="auto"/>
        <w:jc w:val="both"/>
      </w:pPr>
      <w:r>
        <w:rPr>
          <w:b/>
        </w:rPr>
        <w:tab/>
      </w:r>
      <w:r>
        <w:rPr>
          <w:b/>
        </w:rPr>
        <w:tab/>
      </w:r>
      <w:r>
        <w:rPr>
          <w:b/>
        </w:rPr>
        <w:tab/>
      </w:r>
      <w:r>
        <w:rPr>
          <w:b/>
        </w:rPr>
        <w:tab/>
      </w:r>
      <w:r>
        <w:rPr>
          <w:b/>
        </w:rPr>
        <w:tab/>
      </w:r>
      <w:r>
        <w:rPr>
          <w:b/>
        </w:rPr>
        <w:tab/>
      </w:r>
      <w:r w:rsidRPr="00560DC5">
        <w:t>:</w:t>
      </w:r>
    </w:p>
    <w:p w:rsidR="005B2B8E" w:rsidRPr="003B279A" w:rsidRDefault="005B2B8E" w:rsidP="00FB32AF">
      <w:pPr>
        <w:tabs>
          <w:tab w:val="left" w:pos="0"/>
          <w:tab w:val="left" w:pos="720"/>
        </w:tabs>
        <w:spacing w:after="0" w:line="240" w:lineRule="auto"/>
        <w:jc w:val="both"/>
      </w:pPr>
      <w:r>
        <w:tab/>
        <w:t>v.</w:t>
      </w:r>
      <w:r>
        <w:tab/>
      </w:r>
      <w:r>
        <w:tab/>
      </w:r>
      <w:r>
        <w:tab/>
      </w:r>
      <w:r>
        <w:tab/>
      </w:r>
      <w:r>
        <w:tab/>
      </w:r>
      <w:r>
        <w:tab/>
      </w:r>
      <w:r w:rsidRPr="00560DC5">
        <w:t>:</w:t>
      </w:r>
      <w:r>
        <w:rPr>
          <w:b/>
        </w:rPr>
        <w:tab/>
      </w:r>
      <w:r>
        <w:rPr>
          <w:b/>
        </w:rPr>
        <w:tab/>
      </w:r>
      <w:r>
        <w:t>C</w:t>
      </w:r>
      <w:r w:rsidRPr="003B279A">
        <w:t>-20</w:t>
      </w:r>
      <w:r>
        <w:t>15</w:t>
      </w:r>
      <w:r w:rsidRPr="003B279A">
        <w:t>-</w:t>
      </w:r>
      <w:r>
        <w:t>2472605</w:t>
      </w:r>
    </w:p>
    <w:p w:rsidR="005B2B8E" w:rsidRPr="00560DC5" w:rsidRDefault="005B2B8E" w:rsidP="00FB32AF">
      <w:pPr>
        <w:tabs>
          <w:tab w:val="left" w:pos="0"/>
        </w:tabs>
        <w:spacing w:after="0" w:line="240" w:lineRule="auto"/>
        <w:jc w:val="both"/>
      </w:pPr>
      <w:r>
        <w:tab/>
      </w:r>
      <w:r>
        <w:tab/>
      </w:r>
      <w:r>
        <w:tab/>
      </w:r>
      <w:r>
        <w:tab/>
      </w:r>
      <w:r>
        <w:tab/>
      </w:r>
      <w:r>
        <w:tab/>
      </w:r>
      <w:r w:rsidRPr="00560DC5">
        <w:t>:</w:t>
      </w:r>
    </w:p>
    <w:p w:rsidR="005B2B8E" w:rsidRDefault="004A37DD" w:rsidP="00FB32AF">
      <w:pPr>
        <w:tabs>
          <w:tab w:val="left" w:pos="0"/>
        </w:tabs>
        <w:spacing w:after="0" w:line="240" w:lineRule="auto"/>
        <w:jc w:val="both"/>
      </w:pPr>
      <w:r>
        <w:t>PECO Energy Company</w:t>
      </w:r>
      <w:r w:rsidR="005B2B8E">
        <w:tab/>
      </w:r>
      <w:r w:rsidR="005B2B8E">
        <w:tab/>
      </w:r>
      <w:r w:rsidR="005B2B8E">
        <w:tab/>
      </w:r>
      <w:r>
        <w:tab/>
      </w:r>
      <w:r w:rsidR="005B2B8E" w:rsidRPr="00560DC5">
        <w:t>:</w:t>
      </w:r>
    </w:p>
    <w:p w:rsidR="005B2B8E" w:rsidRDefault="005B2B8E" w:rsidP="00FB32AF">
      <w:pPr>
        <w:tabs>
          <w:tab w:val="left" w:pos="0"/>
        </w:tabs>
        <w:spacing w:after="0" w:line="240" w:lineRule="auto"/>
        <w:jc w:val="both"/>
      </w:pPr>
      <w:r>
        <w:tab/>
      </w:r>
      <w:r>
        <w:tab/>
      </w:r>
    </w:p>
    <w:p w:rsidR="00792796" w:rsidRDefault="00792796" w:rsidP="00FB32AF">
      <w:pPr>
        <w:spacing w:after="0" w:line="240" w:lineRule="auto"/>
      </w:pPr>
    </w:p>
    <w:p w:rsidR="0046390D" w:rsidRDefault="0046390D" w:rsidP="00170539">
      <w:pPr>
        <w:spacing w:after="0" w:line="240" w:lineRule="auto"/>
      </w:pPr>
    </w:p>
    <w:p w:rsidR="0080307A" w:rsidRPr="00251A1F" w:rsidRDefault="0080307A" w:rsidP="00170539">
      <w:pPr>
        <w:spacing w:after="0" w:line="240" w:lineRule="auto"/>
        <w:jc w:val="center"/>
        <w:rPr>
          <w:b/>
        </w:rPr>
      </w:pPr>
      <w:r w:rsidRPr="00251A1F">
        <w:rPr>
          <w:b/>
        </w:rPr>
        <w:t>INTERIM ORDER</w:t>
      </w:r>
    </w:p>
    <w:p w:rsidR="0080307A" w:rsidRPr="00251A1F" w:rsidRDefault="00A93587" w:rsidP="00170539">
      <w:pPr>
        <w:spacing w:after="0" w:line="240" w:lineRule="auto"/>
        <w:jc w:val="center"/>
        <w:rPr>
          <w:b/>
          <w:u w:val="single"/>
        </w:rPr>
      </w:pPr>
      <w:r>
        <w:rPr>
          <w:b/>
          <w:u w:val="single"/>
        </w:rPr>
        <w:t xml:space="preserve">ON MOTION </w:t>
      </w:r>
      <w:r w:rsidR="00B11CB1">
        <w:rPr>
          <w:b/>
          <w:u w:val="single"/>
        </w:rPr>
        <w:t>TO COMPEL</w:t>
      </w:r>
      <w:r w:rsidR="00515733">
        <w:rPr>
          <w:b/>
          <w:u w:val="single"/>
        </w:rPr>
        <w:t xml:space="preserve"> and OTHER PROCEDURAL MATTERS</w:t>
      </w:r>
    </w:p>
    <w:p w:rsidR="0080307A" w:rsidRDefault="0080307A" w:rsidP="00170539">
      <w:pPr>
        <w:spacing w:after="0" w:line="240" w:lineRule="auto"/>
      </w:pPr>
    </w:p>
    <w:p w:rsidR="0046390D" w:rsidRDefault="0046390D" w:rsidP="00170539">
      <w:pPr>
        <w:spacing w:after="0" w:line="240" w:lineRule="auto"/>
      </w:pPr>
    </w:p>
    <w:p w:rsidR="0080307A" w:rsidRDefault="0080307A" w:rsidP="00170539">
      <w:pPr>
        <w:spacing w:after="0"/>
      </w:pPr>
      <w:r>
        <w:tab/>
        <w:t>On March 18, 2015, Deree J. Norman (Complainant) filed a formal complaint against PECO Energy Company (PECO), which alleges that his smart meter is not registering his usage correctly and that there are incorrect charges on his bill.  PECO filed an answer on April 6, 2015.  By hearing notice dated May 14, 2015, this matter was assigned to me and scheduled for an evidentiary hearing on Monday, June 29, 2015.</w:t>
      </w:r>
    </w:p>
    <w:p w:rsidR="005B2B8E" w:rsidRDefault="005B2B8E" w:rsidP="00170539">
      <w:pPr>
        <w:spacing w:after="0"/>
      </w:pPr>
    </w:p>
    <w:p w:rsidR="0080307A" w:rsidRDefault="0080307A" w:rsidP="00170539">
      <w:pPr>
        <w:spacing w:after="0"/>
      </w:pPr>
      <w:r>
        <w:tab/>
        <w:t>On May 22, 2015, PECO filed a motion for a continuance, stating that neither of its employees who could testify regarding the high bill investigation were available on that date.  One was unavailable due to a pre-</w:t>
      </w:r>
      <w:r w:rsidR="008032B9">
        <w:t>planned vacation.  The other had been hospitalized and would</w:t>
      </w:r>
      <w:r>
        <w:t xml:space="preserve"> not be ready to return by June 29, 2015.  On May 28, 2015, the Complainant filed a written response objecting to the continuance unless PECO presented “a legitimate business and or legal reason” to support the request.  He expressed concern that any continuance not be merely to delay the hearing of his dispute with PECO.</w:t>
      </w:r>
    </w:p>
    <w:p w:rsidR="004A37DD" w:rsidRDefault="004A37DD" w:rsidP="00170539">
      <w:pPr>
        <w:spacing w:after="0"/>
      </w:pPr>
    </w:p>
    <w:p w:rsidR="0080307A" w:rsidRDefault="0080307A" w:rsidP="00170539">
      <w:pPr>
        <w:spacing w:after="0"/>
      </w:pPr>
      <w:r>
        <w:tab/>
      </w:r>
      <w:r w:rsidR="008032B9">
        <w:t>By order dated June 1, 2015, the continuance was granted because the</w:t>
      </w:r>
      <w:r w:rsidR="005E609C">
        <w:t xml:space="preserve"> unavailability of an important witness constitute</w:t>
      </w:r>
      <w:r w:rsidR="008032B9">
        <w:t>d</w:t>
      </w:r>
      <w:r w:rsidR="005E609C">
        <w:t xml:space="preserve"> “good cause” which merits a continuance of these proceedings</w:t>
      </w:r>
      <w:r w:rsidR="008032B9">
        <w:t xml:space="preserve"> in accordance with the Commission’s regulations</w:t>
      </w:r>
      <w:r w:rsidR="005E609C">
        <w:t xml:space="preserve">. </w:t>
      </w:r>
      <w:r w:rsidR="008032B9">
        <w:t xml:space="preserve"> Further, in his response to the motion, the Complainant had not </w:t>
      </w:r>
      <w:r w:rsidR="005E609C">
        <w:t xml:space="preserve">expressed any prejudice which </w:t>
      </w:r>
      <w:r w:rsidR="008032B9">
        <w:t>would</w:t>
      </w:r>
      <w:r w:rsidR="005E609C">
        <w:t xml:space="preserve"> be cause by a short </w:t>
      </w:r>
      <w:r w:rsidR="005E609C">
        <w:lastRenderedPageBreak/>
        <w:t>delay of the hearing in this matter.</w:t>
      </w:r>
      <w:r w:rsidR="00007EEE">
        <w:t xml:space="preserve">  Additionally, the parties were directed to confer and provide me with dates when they and their witnesses were available for hearing.</w:t>
      </w:r>
      <w:r w:rsidR="00B11CB1">
        <w:rPr>
          <w:rStyle w:val="FootnoteReference"/>
        </w:rPr>
        <w:footnoteReference w:id="1"/>
      </w:r>
    </w:p>
    <w:p w:rsidR="00B11CB1" w:rsidRDefault="00B11CB1" w:rsidP="00B11CB1">
      <w:pPr>
        <w:spacing w:after="0"/>
      </w:pPr>
    </w:p>
    <w:p w:rsidR="00B11CB1" w:rsidRDefault="00B11CB1" w:rsidP="00B11CB1">
      <w:pPr>
        <w:spacing w:after="0"/>
      </w:pPr>
      <w:r>
        <w:tab/>
        <w:t>By hearing notice dated June 23, 2015, the hearing was rescheduled for September 3, 2015.  The day before the hearing I received correspondence from the Complainant stating that he wished to work with PECO toward a possible resolution of the complaint and he requested that the September 3, 2015 hearing be continued.</w:t>
      </w:r>
    </w:p>
    <w:p w:rsidR="00B11CB1" w:rsidRDefault="00B11CB1" w:rsidP="00B11CB1">
      <w:pPr>
        <w:spacing w:after="0"/>
      </w:pPr>
    </w:p>
    <w:p w:rsidR="00256FA5" w:rsidRDefault="00B11CB1" w:rsidP="00B11CB1">
      <w:pPr>
        <w:spacing w:after="0"/>
      </w:pPr>
      <w:r>
        <w:tab/>
        <w:t>The hearing convened as scheduled.  The Complainant appeared and was self-represented.  PECO appeared and was represented by counsel, Shawane L. Lee.  The hearing was converted to a prehearing conference and the Complainant expressed a desire to hire an independent engineer to advise him.  Therefore, he requested that the hearing be continued.  PECO did not object.  The Complainant’s request for a continuance was granted and the hearing was rescheduled for October 29, 2015.</w:t>
      </w:r>
    </w:p>
    <w:p w:rsidR="00B11CB1" w:rsidRDefault="00B11CB1" w:rsidP="00B11CB1">
      <w:pPr>
        <w:spacing w:after="0"/>
      </w:pPr>
    </w:p>
    <w:p w:rsidR="00B11CB1" w:rsidRDefault="00B11CB1" w:rsidP="00B11CB1">
      <w:pPr>
        <w:spacing w:after="0"/>
      </w:pPr>
      <w:r>
        <w:tab/>
        <w:t>The hearing convened as scheduled.  The Complainant appeared representing himself.  PECO appeared and was represented by Attorney Lee.  The Complainant notified me that he had filed a motion to compel answers to interrogatories on October 26, 2015, but had not provided a copy to me.</w:t>
      </w:r>
      <w:r>
        <w:rPr>
          <w:rStyle w:val="FootnoteReference"/>
        </w:rPr>
        <w:footnoteReference w:id="2"/>
      </w:r>
      <w:r>
        <w:t xml:space="preserve">  The Complainant and PECO were permitted to present oral argument on the motion.  However, without having the</w:t>
      </w:r>
      <w:r w:rsidR="004946D1">
        <w:t xml:space="preserve"> motion to review, I could not offer a ruling at the hearing.  The Complainant was directed to provide me with a copy of his motion, which he did on October 30, 2015.  PECO was permitted an opportunity to respond to the motion in writing.  PECO’s response was received on November 2, 2015.</w:t>
      </w:r>
    </w:p>
    <w:p w:rsidR="00F4387C" w:rsidRDefault="00F4387C" w:rsidP="00B11CB1">
      <w:pPr>
        <w:spacing w:after="0"/>
      </w:pPr>
    </w:p>
    <w:p w:rsidR="00F4387C" w:rsidRPr="00F4387C" w:rsidRDefault="00F4387C" w:rsidP="00B11CB1">
      <w:pPr>
        <w:spacing w:after="0"/>
        <w:rPr>
          <w:b/>
          <w:u w:val="single"/>
        </w:rPr>
      </w:pPr>
      <w:r>
        <w:rPr>
          <w:b/>
          <w:u w:val="single"/>
        </w:rPr>
        <w:t>Motion to Compel</w:t>
      </w:r>
    </w:p>
    <w:p w:rsidR="004946D1" w:rsidRDefault="004946D1" w:rsidP="00B11CB1">
      <w:pPr>
        <w:spacing w:after="0"/>
      </w:pPr>
    </w:p>
    <w:p w:rsidR="004946D1" w:rsidRDefault="004946D1" w:rsidP="00B11CB1">
      <w:pPr>
        <w:spacing w:after="0"/>
      </w:pPr>
      <w:r>
        <w:tab/>
        <w:t xml:space="preserve">The Complainant served interrogatories and a request for production of documents on PECO on October 2, 2015.  PECO served a response on October 23, 2015, which </w:t>
      </w:r>
      <w:r>
        <w:lastRenderedPageBreak/>
        <w:t>provided answers to some of the interrogatories, but objected to others.  The Complainant’s motion to compel seeks full and complete answers to Interrogatory Nos. 1,</w:t>
      </w:r>
      <w:r w:rsidR="003F0B02">
        <w:t xml:space="preserve"> </w:t>
      </w:r>
      <w:r>
        <w:t>2,</w:t>
      </w:r>
      <w:r w:rsidR="003F0B02">
        <w:t xml:space="preserve"> </w:t>
      </w:r>
      <w:r>
        <w:t>3,</w:t>
      </w:r>
      <w:r w:rsidR="003F0B02">
        <w:t xml:space="preserve"> </w:t>
      </w:r>
      <w:r>
        <w:t>4 and 5 and Document Requests Nos. 1</w:t>
      </w:r>
      <w:r w:rsidR="003F0B02">
        <w:t>, 4</w:t>
      </w:r>
      <w:r>
        <w:t>, 15 and 16.</w:t>
      </w:r>
    </w:p>
    <w:p w:rsidR="000A3850" w:rsidRDefault="000A3850" w:rsidP="00B11CB1">
      <w:pPr>
        <w:spacing w:after="0"/>
      </w:pPr>
    </w:p>
    <w:p w:rsidR="00943411" w:rsidRDefault="00943411" w:rsidP="008E6F1F">
      <w:pPr>
        <w:spacing w:after="0"/>
      </w:pPr>
      <w:r>
        <w:tab/>
        <w:t>The Complainant’s interrogatories seek</w:t>
      </w:r>
      <w:r w:rsidR="00146DF0">
        <w:t xml:space="preserve">: </w:t>
      </w:r>
      <w:r>
        <w:t xml:space="preserve"> 1) any policy PECO may have regarding professional misconduct; fraudulent misrepresentation or other illegal actions; 2) any Sarbanes Oxley policy or procedure; 3) algorithms used in the computation of kilowatt usage by PECO’s billing department; 4) the identify of software used by the PECO billing department; and 5) the actions taken by PECO to investigate the allegations of “fraudulent billing” by the Complainant.</w:t>
      </w:r>
      <w:r w:rsidR="00A00B48">
        <w:t xml:space="preserve"> PECO objected to providing the company professional conduct policy on the basis of relevance.  PECO provided partial answers to the interrogatories related to its accounting practices and software.  PECO provided a partial response to the interrogatory requesting information related to its investigation of the formal complaint, but took exception to Interrogatory No. 5 because the Complainant characterized its billing practice as “fraudulent.”</w:t>
      </w:r>
    </w:p>
    <w:p w:rsidR="000A3850" w:rsidRDefault="000A3850" w:rsidP="008E6F1F">
      <w:pPr>
        <w:spacing w:after="0"/>
      </w:pPr>
    </w:p>
    <w:p w:rsidR="00F56CFF" w:rsidRDefault="00F56CFF" w:rsidP="00F56CFF">
      <w:pPr>
        <w:spacing w:after="0"/>
      </w:pPr>
      <w:r>
        <w:tab/>
        <w:t>The Commission’s regulation describing discoverable material is very broad.  It permits a propounding party to seek information “regarding any matter, not privileged, which is relevant to the subject matter involved in the pending action . . .”</w:t>
      </w:r>
      <w:r>
        <w:rPr>
          <w:rStyle w:val="FootnoteReference"/>
        </w:rPr>
        <w:footnoteReference w:id="3"/>
      </w:r>
      <w:r>
        <w:t xml:space="preserve">  This may include information which, even if not admissible at the hearing, may lead to the discovery of admissible evidence.</w:t>
      </w:r>
      <w:r>
        <w:rPr>
          <w:rStyle w:val="FootnoteReference"/>
        </w:rPr>
        <w:footnoteReference w:id="4"/>
      </w:r>
      <w:r>
        <w:t xml:space="preserve"> When considering a motion to compel, the burden is on the objector to demonstrate that the information sought is not discoverable.</w:t>
      </w:r>
      <w:r>
        <w:rPr>
          <w:rStyle w:val="FootnoteReference"/>
        </w:rPr>
        <w:footnoteReference w:id="5"/>
      </w:r>
      <w:r>
        <w:t xml:space="preserve">  All doubts are resolved in favor of permitting discovery.</w:t>
      </w:r>
      <w:r>
        <w:rPr>
          <w:rStyle w:val="FootnoteReference"/>
        </w:rPr>
        <w:footnoteReference w:id="6"/>
      </w:r>
    </w:p>
    <w:p w:rsidR="000A3850" w:rsidRDefault="000A3850" w:rsidP="00F56CFF">
      <w:pPr>
        <w:spacing w:after="0"/>
      </w:pPr>
    </w:p>
    <w:p w:rsidR="003E678C" w:rsidRDefault="00F56CFF" w:rsidP="003E678C">
      <w:pPr>
        <w:spacing w:after="0"/>
      </w:pPr>
      <w:r>
        <w:tab/>
      </w:r>
      <w:r w:rsidR="003E678C">
        <w:t>PECO objected to providing its professional conduct policy and “Sarbanes Oxley policy” because those items are not relevant to the issues raised in the complaint and are not reasonably calculated to lead to admissible evidence.</w:t>
      </w:r>
      <w:r w:rsidR="00604838">
        <w:t xml:space="preserve">  PECO also contends that the information is sought in bad faith and is therefore prohibited by 52 Pa.Code § 5.361(a)(1).  There is nothing </w:t>
      </w:r>
      <w:r w:rsidR="00604838">
        <w:lastRenderedPageBreak/>
        <w:t>in the interrogatory which suggests that it was posed in base bad faith.  However,</w:t>
      </w:r>
      <w:r w:rsidR="003E678C">
        <w:t xml:space="preserve"> I agree with PECO that its professional conduct policy is not relevant to the Complainant’s claims regarding the accuracy of his billing.</w:t>
      </w:r>
      <w:r w:rsidR="001F49B9">
        <w:t xml:space="preserve"> </w:t>
      </w:r>
      <w:r w:rsidR="003E678C">
        <w:t xml:space="preserve"> Similarly, without more explanation regarding its relation to his claims, I cannot say that PECO’s answer to Interrogatory No. 2 regarding its billing procedure is inadequate.</w:t>
      </w:r>
      <w:r w:rsidR="003E678C">
        <w:rPr>
          <w:rStyle w:val="FootnoteReference"/>
        </w:rPr>
        <w:footnoteReference w:id="7"/>
      </w:r>
    </w:p>
    <w:p w:rsidR="00B34910" w:rsidRDefault="00B34910" w:rsidP="003E678C">
      <w:pPr>
        <w:spacing w:after="0"/>
      </w:pPr>
    </w:p>
    <w:p w:rsidR="00F56CFF" w:rsidRDefault="00604838" w:rsidP="008E6F1F">
      <w:pPr>
        <w:spacing w:after="0"/>
      </w:pPr>
      <w:r>
        <w:tab/>
      </w:r>
      <w:r w:rsidR="003E678C">
        <w:t xml:space="preserve">PECO offered some answer to the Complainant’s Interrogatory Nos. 2-5, either by answering the question or directing the Complainant to specifically identified documents.  For example, even though PECO objected to the Complainant’s characterization of its billing practices as “fraudulent”, it directed the Complainant to </w:t>
      </w:r>
      <w:r w:rsidR="00704F09">
        <w:t xml:space="preserve">a PECO record relating to customer contacts and PECO’s actions to investigate the Complainant’s account.  </w:t>
      </w:r>
      <w:r w:rsidR="003E678C">
        <w:t xml:space="preserve">To the extent PECO provided an answer, the Complainant does not explain in his motion to compel why these answers by PECO are inadequate other than baldly stating that he is entitled to “full answers.” </w:t>
      </w:r>
    </w:p>
    <w:p w:rsidR="004151C6" w:rsidRDefault="004151C6" w:rsidP="008E6F1F">
      <w:pPr>
        <w:spacing w:after="0"/>
      </w:pPr>
    </w:p>
    <w:p w:rsidR="00704F09" w:rsidRDefault="00704F09" w:rsidP="008E6F1F">
      <w:pPr>
        <w:spacing w:after="0"/>
      </w:pPr>
      <w:r>
        <w:tab/>
        <w:t>In sum, the Complainant’s motion to compel answers to Interrogatories Nos. 1-5 is denied.</w:t>
      </w:r>
    </w:p>
    <w:p w:rsidR="004151C6" w:rsidRDefault="004151C6" w:rsidP="008E6F1F">
      <w:pPr>
        <w:spacing w:after="0"/>
      </w:pPr>
    </w:p>
    <w:p w:rsidR="00704F09" w:rsidRDefault="00604838" w:rsidP="008E6F1F">
      <w:pPr>
        <w:spacing w:after="0"/>
      </w:pPr>
      <w:r>
        <w:tab/>
        <w:t>The Complainant also seeks to compel the production of documents related to Request Nos. 1, 4, 15 and 16.   Request No. 1</w:t>
      </w:r>
      <w:r w:rsidR="005423A2">
        <w:t xml:space="preserve"> requests the case file related to the Complainant’s account.  Similarly, Request No. 4 seeks witness statements, logs or tape recordings.  PECO’s answer references documents which it already produced for the Complainant, and objects to the remainder of the document request because it seeks disclosure of documents protected by attorney-client privilege.</w:t>
      </w:r>
    </w:p>
    <w:p w:rsidR="004151C6" w:rsidRDefault="004151C6" w:rsidP="008E6F1F">
      <w:pPr>
        <w:spacing w:after="0"/>
      </w:pPr>
    </w:p>
    <w:p w:rsidR="005423A2" w:rsidRDefault="005423A2" w:rsidP="008E6F1F">
      <w:pPr>
        <w:spacing w:after="0"/>
      </w:pPr>
      <w:r>
        <w:tab/>
        <w:t>Section 5.361(a)(3) provides that privileged matter is not discoverable.</w:t>
      </w:r>
      <w:r w:rsidR="00CB6E68">
        <w:rPr>
          <w:rStyle w:val="FootnoteReference"/>
        </w:rPr>
        <w:footnoteReference w:id="8"/>
      </w:r>
      <w:r w:rsidR="004B2479">
        <w:t xml:space="preserve">  Communications to and advice from PECO’s counsel is protected by attorney-client and work product privileges and is therefore not subject to discovery.  Therefore the Complainant’s motion to compel Requests No. 1 and 4 is denied.</w:t>
      </w:r>
    </w:p>
    <w:p w:rsidR="004B2479" w:rsidRDefault="004B2479" w:rsidP="008E6F1F">
      <w:pPr>
        <w:spacing w:after="0"/>
      </w:pPr>
      <w:r>
        <w:lastRenderedPageBreak/>
        <w:tab/>
        <w:t>Document Request Nos. 15 and 16 seek medical and employment records for two PECO employees.  PECO objected to the document requests because it avers the discovery is sought in bad faith for the purpose of harassing the company.  In its answer to the motion to compel, PECO further avers that the company has no access to employee health records and that employment records are not relevant.</w:t>
      </w:r>
    </w:p>
    <w:p w:rsidR="004151C6" w:rsidRDefault="004151C6" w:rsidP="008E6F1F">
      <w:pPr>
        <w:spacing w:after="0"/>
      </w:pPr>
    </w:p>
    <w:p w:rsidR="004B2479" w:rsidRDefault="004B2479" w:rsidP="008E6F1F">
      <w:pPr>
        <w:spacing w:after="0"/>
      </w:pPr>
      <w:r>
        <w:tab/>
        <w:t>PECO employee health and employment records are clearly not relevant to the issues raised in Complainant’s complaint related to his billing and meter operation.  Therefore, the Complainant’s motion to compel Document Request Nos. 15 and 16 are denied.</w:t>
      </w:r>
    </w:p>
    <w:p w:rsidR="00B7302D" w:rsidRDefault="00B7302D" w:rsidP="008E6F1F">
      <w:pPr>
        <w:spacing w:after="0"/>
        <w:rPr>
          <w:b/>
          <w:u w:val="single"/>
        </w:rPr>
      </w:pPr>
    </w:p>
    <w:p w:rsidR="00F4387C" w:rsidRDefault="00F4387C" w:rsidP="008E6F1F">
      <w:pPr>
        <w:spacing w:after="0"/>
        <w:rPr>
          <w:b/>
          <w:u w:val="single"/>
        </w:rPr>
      </w:pPr>
      <w:r>
        <w:rPr>
          <w:b/>
          <w:u w:val="single"/>
        </w:rPr>
        <w:t>Other Procedural Matters</w:t>
      </w:r>
    </w:p>
    <w:p w:rsidR="00B7302D" w:rsidRDefault="00B7302D" w:rsidP="008E6F1F">
      <w:pPr>
        <w:spacing w:after="0"/>
      </w:pPr>
    </w:p>
    <w:p w:rsidR="00F4387C" w:rsidRDefault="00B7302D" w:rsidP="008E6F1F">
      <w:pPr>
        <w:spacing w:after="0"/>
      </w:pPr>
      <w:r>
        <w:tab/>
        <w:t>The Complainant and PECO employee testified at the hearing held on October 29</w:t>
      </w:r>
      <w:r w:rsidR="00146DF0">
        <w:t>, 2015</w:t>
      </w:r>
      <w:r>
        <w:t>.  The hearing was not completed and a further hearing will be scheduled.  PECO identified a document which reflects the Complainant’s account statement showing his meter readings and the amount of each bill.  Having reviewed my notes of the testimony, I believe that it is necessary to have copies of the Complainant’s bills or other documents which show not only the Complainant’s consumption and billed amount, but also the calculation of his bill and any adjustments which were made to those bills.</w:t>
      </w:r>
    </w:p>
    <w:p w:rsidR="004151C6" w:rsidRPr="00F4387C" w:rsidRDefault="004151C6" w:rsidP="008E6F1F">
      <w:pPr>
        <w:spacing w:after="0"/>
      </w:pPr>
    </w:p>
    <w:p w:rsidR="005E609C" w:rsidRDefault="008E6F1F" w:rsidP="00170539">
      <w:pPr>
        <w:spacing w:after="0"/>
      </w:pPr>
      <w:r>
        <w:tab/>
      </w:r>
      <w:r w:rsidR="005E609C">
        <w:t>THEREFORE</w:t>
      </w:r>
      <w:r w:rsidR="00831923">
        <w:t>,</w:t>
      </w:r>
    </w:p>
    <w:p w:rsidR="00400F42" w:rsidRDefault="00400F42" w:rsidP="00170539">
      <w:pPr>
        <w:spacing w:after="0"/>
      </w:pPr>
    </w:p>
    <w:p w:rsidR="005E609C" w:rsidRDefault="00DA72C0" w:rsidP="00170539">
      <w:pPr>
        <w:spacing w:after="0"/>
      </w:pPr>
      <w:r>
        <w:tab/>
      </w:r>
      <w:r w:rsidR="005E609C">
        <w:t>IT IS ORDERED:</w:t>
      </w:r>
    </w:p>
    <w:p w:rsidR="00B7302D" w:rsidRDefault="00B7302D" w:rsidP="00170539">
      <w:pPr>
        <w:spacing w:after="0"/>
      </w:pPr>
    </w:p>
    <w:p w:rsidR="00B7302D" w:rsidRDefault="00B7302D" w:rsidP="00170539">
      <w:pPr>
        <w:spacing w:after="0"/>
      </w:pPr>
      <w:r>
        <w:tab/>
        <w:t>1.</w:t>
      </w:r>
      <w:r>
        <w:tab/>
        <w:t>That the Complainant’s motion to compel is DENIED.</w:t>
      </w:r>
    </w:p>
    <w:p w:rsidR="004151C6" w:rsidRDefault="004151C6" w:rsidP="00170539">
      <w:pPr>
        <w:spacing w:after="0"/>
      </w:pPr>
    </w:p>
    <w:p w:rsidR="005E1715" w:rsidRDefault="005E1715" w:rsidP="00170539">
      <w:pPr>
        <w:spacing w:after="0"/>
      </w:pPr>
      <w:r>
        <w:tab/>
        <w:t>2.</w:t>
      </w:r>
      <w:r>
        <w:tab/>
        <w:t>That a further hearing shall be scheduled in the above-captioned complaint on the first available date</w:t>
      </w:r>
      <w:r w:rsidR="00845A62">
        <w:t>, January 21, 2016</w:t>
      </w:r>
      <w:r>
        <w:t>.</w:t>
      </w:r>
    </w:p>
    <w:p w:rsidR="004151C6" w:rsidRDefault="004151C6" w:rsidP="00170539">
      <w:pPr>
        <w:spacing w:after="0"/>
      </w:pPr>
    </w:p>
    <w:p w:rsidR="00B7302D" w:rsidRDefault="00B7302D" w:rsidP="00170539">
      <w:pPr>
        <w:spacing w:after="0"/>
      </w:pPr>
      <w:r>
        <w:tab/>
      </w:r>
      <w:r w:rsidR="00AE33D4">
        <w:t>3</w:t>
      </w:r>
      <w:r w:rsidR="005E1715">
        <w:t>.</w:t>
      </w:r>
      <w:r w:rsidR="005E1715">
        <w:tab/>
        <w:t xml:space="preserve">That PECO shall produce copies of the Complainant’s bills from September 10, 2011 </w:t>
      </w:r>
      <w:r w:rsidR="000E1E7B">
        <w:t>through February 2015,</w:t>
      </w:r>
      <w:r w:rsidR="005E1715">
        <w:t xml:space="preserve"> </w:t>
      </w:r>
      <w:r w:rsidR="005E1715" w:rsidRPr="005E1715">
        <w:rPr>
          <w:b/>
        </w:rPr>
        <w:t>or other documents</w:t>
      </w:r>
      <w:r w:rsidR="005E1715">
        <w:t xml:space="preserve"> which show not only the </w:t>
      </w:r>
      <w:r w:rsidR="005E1715">
        <w:lastRenderedPageBreak/>
        <w:t>Complainant’s consumption and billed amount, but also the calculation of his bill and any adjustments which were made to those bills.  To the extent that the Complainant has copies of his bills for this period, he shall cooperate with PECO to produce them for the further hearing scheduled in this proceeding.</w:t>
      </w:r>
    </w:p>
    <w:p w:rsidR="00400F42" w:rsidRDefault="00400F42" w:rsidP="00170539">
      <w:pPr>
        <w:spacing w:after="0"/>
      </w:pPr>
    </w:p>
    <w:p w:rsidR="00B13443" w:rsidRDefault="00B13443" w:rsidP="00170539">
      <w:pPr>
        <w:spacing w:after="0"/>
      </w:pPr>
    </w:p>
    <w:p w:rsidR="00B13443" w:rsidRDefault="00B13443" w:rsidP="00170539">
      <w:pPr>
        <w:tabs>
          <w:tab w:val="left" w:pos="0"/>
        </w:tabs>
        <w:spacing w:after="0" w:line="240" w:lineRule="auto"/>
        <w:jc w:val="both"/>
      </w:pPr>
      <w:r>
        <w:t xml:space="preserve">Date:  </w:t>
      </w:r>
      <w:r w:rsidR="008E6F1F">
        <w:rPr>
          <w:u w:val="single"/>
        </w:rPr>
        <w:t>November</w:t>
      </w:r>
      <w:r w:rsidR="009F0E13">
        <w:rPr>
          <w:u w:val="single"/>
        </w:rPr>
        <w:t xml:space="preserve"> </w:t>
      </w:r>
      <w:r w:rsidR="001F49B9">
        <w:rPr>
          <w:u w:val="single"/>
        </w:rPr>
        <w:t>6</w:t>
      </w:r>
      <w:r w:rsidRPr="006A28B0">
        <w:rPr>
          <w:u w:val="single"/>
        </w:rPr>
        <w:t>, 2015</w:t>
      </w:r>
      <w:r>
        <w:tab/>
      </w:r>
      <w:r>
        <w:tab/>
      </w:r>
      <w:r>
        <w:tab/>
      </w:r>
      <w:r>
        <w:tab/>
        <w:t>________________________</w:t>
      </w:r>
      <w:r w:rsidR="001447AC">
        <w:t>__________</w:t>
      </w:r>
      <w:r w:rsidR="00C669FE">
        <w:t>__</w:t>
      </w:r>
      <w:r>
        <w:tab/>
      </w:r>
      <w:r>
        <w:tab/>
      </w:r>
      <w:r>
        <w:tab/>
      </w:r>
      <w:r>
        <w:tab/>
      </w:r>
      <w:r>
        <w:tab/>
      </w:r>
      <w:r>
        <w:tab/>
        <w:t>Mary D. Long</w:t>
      </w:r>
    </w:p>
    <w:p w:rsidR="00B13443" w:rsidRDefault="00B13443" w:rsidP="00170539">
      <w:pPr>
        <w:tabs>
          <w:tab w:val="left" w:pos="0"/>
        </w:tabs>
        <w:spacing w:after="0" w:line="240" w:lineRule="auto"/>
        <w:jc w:val="both"/>
      </w:pPr>
      <w:r>
        <w:tab/>
      </w:r>
      <w:r>
        <w:tab/>
      </w:r>
      <w:r>
        <w:tab/>
      </w:r>
      <w:r>
        <w:tab/>
      </w:r>
      <w:r>
        <w:tab/>
      </w:r>
      <w:r>
        <w:tab/>
        <w:t>Administrative Law Judge</w:t>
      </w:r>
      <w:r>
        <w:tab/>
      </w:r>
      <w:r>
        <w:tab/>
      </w:r>
    </w:p>
    <w:p w:rsidR="00061E9D" w:rsidRDefault="00061E9D" w:rsidP="00170539">
      <w:pPr>
        <w:tabs>
          <w:tab w:val="left" w:pos="0"/>
        </w:tabs>
        <w:spacing w:after="0" w:line="240" w:lineRule="auto"/>
        <w:jc w:val="both"/>
      </w:pPr>
    </w:p>
    <w:p w:rsidR="00061E9D" w:rsidRDefault="00061E9D" w:rsidP="00170539">
      <w:pPr>
        <w:tabs>
          <w:tab w:val="left" w:pos="0"/>
        </w:tabs>
        <w:spacing w:after="0" w:line="240" w:lineRule="auto"/>
        <w:jc w:val="both"/>
        <w:sectPr w:rsidR="00061E9D" w:rsidSect="00FB32AF">
          <w:footerReference w:type="default" r:id="rId8"/>
          <w:pgSz w:w="12240" w:h="15840"/>
          <w:pgMar w:top="1440" w:right="1440" w:bottom="1440" w:left="1440" w:header="720" w:footer="720" w:gutter="0"/>
          <w:cols w:space="720"/>
          <w:titlePg/>
          <w:docGrid w:linePitch="360"/>
        </w:sectPr>
      </w:pPr>
    </w:p>
    <w:p w:rsidR="00C6645F" w:rsidRPr="00C6645F" w:rsidRDefault="00E264B7" w:rsidP="00170539">
      <w:pPr>
        <w:tabs>
          <w:tab w:val="clear" w:pos="1440"/>
        </w:tabs>
        <w:spacing w:after="0" w:line="240" w:lineRule="auto"/>
        <w:contextualSpacing/>
        <w:rPr>
          <w:rFonts w:ascii="Microsoft Sans Serif" w:eastAsiaTheme="minorEastAsia" w:hAnsiTheme="minorHAnsi" w:cstheme="minorBidi"/>
          <w:b/>
          <w:szCs w:val="22"/>
          <w:u w:val="single"/>
        </w:rPr>
      </w:pPr>
      <w:r>
        <w:rPr>
          <w:rFonts w:ascii="Microsoft Sans Serif" w:eastAsiaTheme="minorEastAsia" w:hAnsiTheme="minorHAnsi" w:cstheme="minorBidi"/>
          <w:b/>
          <w:szCs w:val="22"/>
          <w:u w:val="single"/>
        </w:rPr>
        <w:lastRenderedPageBreak/>
        <w:t>C-</w:t>
      </w:r>
      <w:r w:rsidR="00C6645F" w:rsidRPr="00C6645F">
        <w:rPr>
          <w:rFonts w:ascii="Microsoft Sans Serif" w:eastAsiaTheme="minorEastAsia" w:hAnsiTheme="minorHAnsi" w:cstheme="minorBidi"/>
          <w:b/>
          <w:szCs w:val="22"/>
          <w:u w:val="single"/>
        </w:rPr>
        <w:t xml:space="preserve">2015-2472605 </w:t>
      </w:r>
      <w:r w:rsidR="00C6645F" w:rsidRPr="00C6645F">
        <w:rPr>
          <w:rFonts w:ascii="Microsoft Sans Serif" w:eastAsiaTheme="minorEastAsia" w:hAnsiTheme="minorHAnsi" w:cstheme="minorBidi"/>
          <w:b/>
          <w:szCs w:val="22"/>
          <w:u w:val="single"/>
        </w:rPr>
        <w:t>–</w:t>
      </w:r>
      <w:r w:rsidR="00C6645F" w:rsidRPr="00C6645F">
        <w:rPr>
          <w:rFonts w:ascii="Microsoft Sans Serif" w:eastAsiaTheme="minorEastAsia" w:hAnsiTheme="minorHAnsi" w:cstheme="minorBidi"/>
          <w:b/>
          <w:szCs w:val="22"/>
          <w:u w:val="single"/>
        </w:rPr>
        <w:t xml:space="preserve"> DEREE J NORMAN v. PECO ENERGY COMPANY</w:t>
      </w:r>
      <w:r w:rsidR="00C6645F" w:rsidRPr="00C6645F">
        <w:rPr>
          <w:rFonts w:ascii="Microsoft Sans Serif" w:eastAsiaTheme="minorEastAsia" w:hAnsiTheme="minorHAnsi" w:cstheme="minorBidi"/>
          <w:b/>
          <w:szCs w:val="22"/>
          <w:u w:val="single"/>
        </w:rPr>
        <w:cr/>
      </w:r>
    </w:p>
    <w:p w:rsidR="00C6645F" w:rsidRPr="00C6645F" w:rsidRDefault="00C6645F" w:rsidP="00C6645F">
      <w:pPr>
        <w:tabs>
          <w:tab w:val="clear" w:pos="1440"/>
        </w:tabs>
        <w:spacing w:after="0" w:line="240" w:lineRule="auto"/>
        <w:contextualSpacing/>
        <w:rPr>
          <w:rFonts w:ascii="Microsoft Sans Serif" w:eastAsiaTheme="minorEastAsia" w:hAnsiTheme="minorHAnsi" w:cstheme="minorBidi"/>
          <w:b/>
          <w:i/>
          <w:szCs w:val="22"/>
          <w:u w:val="single"/>
        </w:rPr>
      </w:pPr>
      <w:r w:rsidRPr="00C6645F">
        <w:rPr>
          <w:rFonts w:ascii="Microsoft Sans Serif" w:eastAsiaTheme="minorEastAsia" w:hAnsiTheme="minorHAnsi" w:cstheme="minorBidi"/>
          <w:b/>
          <w:i/>
          <w:szCs w:val="22"/>
          <w:u w:val="single"/>
        </w:rPr>
        <w:t>Revised 6-19-15</w:t>
      </w:r>
    </w:p>
    <w:p w:rsidR="00C6645F" w:rsidRPr="00C6645F" w:rsidRDefault="00C6645F" w:rsidP="00C6645F">
      <w:pPr>
        <w:tabs>
          <w:tab w:val="clear" w:pos="1440"/>
        </w:tabs>
        <w:spacing w:after="0" w:line="240" w:lineRule="auto"/>
        <w:contextualSpacing/>
        <w:rPr>
          <w:rFonts w:ascii="Microsoft Sans Serif" w:eastAsiaTheme="minorEastAsia" w:hAnsiTheme="minorHAnsi" w:cstheme="minorBidi"/>
          <w:b/>
          <w:i/>
          <w:szCs w:val="22"/>
          <w:u w:val="single"/>
        </w:rPr>
      </w:pPr>
      <w:r w:rsidRPr="00C6645F">
        <w:rPr>
          <w:rFonts w:ascii="Microsoft Sans Serif" w:eastAsiaTheme="minorEastAsia" w:hAnsiTheme="minorHAnsi" w:cstheme="minorBidi"/>
          <w:b/>
          <w:szCs w:val="22"/>
          <w:u w:val="single"/>
        </w:rPr>
        <w:cr/>
      </w:r>
      <w:r w:rsidRPr="00C6645F">
        <w:rPr>
          <w:rFonts w:ascii="Microsoft Sans Serif" w:eastAsiaTheme="minorEastAsia" w:hAnsiTheme="minorHAnsi" w:cstheme="minorBidi"/>
          <w:szCs w:val="22"/>
        </w:rPr>
        <w:t>DEREE J NORMAN</w:t>
      </w:r>
      <w:r w:rsidRPr="00C6645F">
        <w:rPr>
          <w:rFonts w:ascii="Microsoft Sans Serif" w:eastAsiaTheme="minorEastAsia" w:hAnsiTheme="minorHAnsi" w:cstheme="minorBidi"/>
          <w:szCs w:val="22"/>
        </w:rPr>
        <w:cr/>
        <w:t>5367 THOMAS AVE</w:t>
      </w:r>
      <w:r w:rsidRPr="00C6645F">
        <w:rPr>
          <w:rFonts w:ascii="Microsoft Sans Serif" w:eastAsiaTheme="minorEastAsia" w:hAnsiTheme="minorHAnsi" w:cstheme="minorBidi"/>
          <w:szCs w:val="22"/>
        </w:rPr>
        <w:cr/>
        <w:t>PHILADELPHIA PA  19143</w:t>
      </w:r>
      <w:r w:rsidRPr="00C6645F">
        <w:rPr>
          <w:rFonts w:ascii="Microsoft Sans Serif" w:eastAsiaTheme="minorEastAsia" w:hAnsiTheme="minorHAnsi" w:cstheme="minorBidi"/>
          <w:szCs w:val="22"/>
        </w:rPr>
        <w:cr/>
        <w:t>267.257.5108</w:t>
      </w:r>
      <w:r w:rsidRPr="00C6645F">
        <w:rPr>
          <w:rFonts w:ascii="Microsoft Sans Serif" w:eastAsiaTheme="minorEastAsia" w:hAnsiTheme="minorHAnsi" w:cstheme="minorBidi"/>
          <w:szCs w:val="22"/>
        </w:rPr>
        <w:cr/>
      </w:r>
      <w:r w:rsidRPr="00C6645F">
        <w:rPr>
          <w:rFonts w:ascii="Microsoft Sans Serif" w:eastAsiaTheme="minorEastAsia" w:hAnsiTheme="minorHAnsi" w:cstheme="minorBidi"/>
          <w:b/>
          <w:i/>
          <w:szCs w:val="22"/>
          <w:u w:val="single"/>
        </w:rPr>
        <w:t>-ACCEPTS ELECTRONIC SERVICE-</w:t>
      </w:r>
    </w:p>
    <w:p w:rsidR="00C6645F" w:rsidRPr="00C6645F" w:rsidRDefault="00C6645F" w:rsidP="00C6645F">
      <w:pPr>
        <w:tabs>
          <w:tab w:val="clear" w:pos="1440"/>
        </w:tabs>
        <w:spacing w:after="0" w:line="240" w:lineRule="auto"/>
        <w:contextualSpacing/>
        <w:rPr>
          <w:rFonts w:asciiTheme="minorHAnsi" w:eastAsiaTheme="minorEastAsia" w:hAnsiTheme="minorHAnsi" w:cstheme="minorBidi"/>
          <w:sz w:val="22"/>
          <w:szCs w:val="22"/>
        </w:rPr>
      </w:pPr>
      <w:r w:rsidRPr="00C6645F">
        <w:rPr>
          <w:rFonts w:ascii="Microsoft Sans Serif" w:eastAsiaTheme="minorEastAsia" w:hAnsiTheme="minorHAnsi" w:cstheme="minorBidi"/>
          <w:szCs w:val="22"/>
        </w:rPr>
        <w:cr/>
        <w:t>SHAWANE L LEE ESQUIRE</w:t>
      </w:r>
      <w:r w:rsidRPr="00C6645F">
        <w:rPr>
          <w:rFonts w:ascii="Microsoft Sans Serif" w:eastAsiaTheme="minorEastAsia" w:hAnsiTheme="minorHAnsi" w:cstheme="minorBidi"/>
          <w:szCs w:val="22"/>
        </w:rPr>
        <w:cr/>
        <w:t>EXELON BUSINESS SERVICES</w:t>
      </w:r>
      <w:r w:rsidRPr="00C6645F">
        <w:rPr>
          <w:rFonts w:ascii="Microsoft Sans Serif" w:eastAsiaTheme="minorEastAsia" w:hAnsiTheme="minorHAnsi" w:cstheme="minorBidi"/>
          <w:szCs w:val="22"/>
        </w:rPr>
        <w:cr/>
        <w:t>2301 MARKET STREET S23-1</w:t>
      </w:r>
      <w:r w:rsidRPr="00C6645F">
        <w:rPr>
          <w:rFonts w:ascii="Microsoft Sans Serif" w:eastAsiaTheme="minorEastAsia" w:hAnsiTheme="minorHAnsi" w:cstheme="minorBidi"/>
          <w:szCs w:val="22"/>
        </w:rPr>
        <w:cr/>
        <w:t>PHILADELPHIA PA  19103</w:t>
      </w:r>
      <w:r w:rsidRPr="00C6645F">
        <w:rPr>
          <w:rFonts w:ascii="Microsoft Sans Serif" w:eastAsiaTheme="minorEastAsia" w:hAnsiTheme="minorHAnsi" w:cstheme="minorBidi"/>
          <w:szCs w:val="22"/>
        </w:rPr>
        <w:cr/>
        <w:t>215.841.6841</w:t>
      </w:r>
      <w:r w:rsidRPr="00C6645F">
        <w:rPr>
          <w:rFonts w:ascii="Microsoft Sans Serif" w:eastAsiaTheme="minorEastAsia" w:hAnsiTheme="minorHAnsi" w:cstheme="minorBidi"/>
          <w:szCs w:val="22"/>
        </w:rPr>
        <w:cr/>
      </w:r>
      <w:r w:rsidRPr="00C6645F">
        <w:rPr>
          <w:rFonts w:ascii="Microsoft Sans Serif" w:eastAsiaTheme="minorEastAsia" w:hAnsiTheme="minorHAnsi" w:cstheme="minorBidi"/>
          <w:b/>
          <w:i/>
          <w:szCs w:val="22"/>
          <w:u w:val="single"/>
        </w:rPr>
        <w:t>-ACCEPTS ELECTRONIC SERVICE-</w:t>
      </w:r>
    </w:p>
    <w:p w:rsidR="00061E9D" w:rsidRDefault="00061E9D" w:rsidP="00B13443">
      <w:pPr>
        <w:tabs>
          <w:tab w:val="left" w:pos="0"/>
        </w:tabs>
        <w:spacing w:after="0" w:line="240" w:lineRule="auto"/>
        <w:jc w:val="both"/>
      </w:pPr>
    </w:p>
    <w:p w:rsidR="00B13443" w:rsidRDefault="00B13443" w:rsidP="00B13443">
      <w:pPr>
        <w:spacing w:after="0"/>
      </w:pPr>
    </w:p>
    <w:sectPr w:rsidR="00B13443" w:rsidSect="0045416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E8A" w:rsidRDefault="00CA0E8A" w:rsidP="00454164">
      <w:pPr>
        <w:spacing w:after="0" w:line="240" w:lineRule="auto"/>
      </w:pPr>
      <w:r>
        <w:separator/>
      </w:r>
    </w:p>
  </w:endnote>
  <w:endnote w:type="continuationSeparator" w:id="0">
    <w:p w:rsidR="00CA0E8A" w:rsidRDefault="00CA0E8A" w:rsidP="00454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324092"/>
      <w:docPartObj>
        <w:docPartGallery w:val="Page Numbers (Bottom of Page)"/>
        <w:docPartUnique/>
      </w:docPartObj>
    </w:sdtPr>
    <w:sdtEndPr>
      <w:rPr>
        <w:noProof/>
        <w:sz w:val="20"/>
      </w:rPr>
    </w:sdtEndPr>
    <w:sdtContent>
      <w:p w:rsidR="00454164" w:rsidRPr="00994D75" w:rsidRDefault="00454164">
        <w:pPr>
          <w:pStyle w:val="Footer"/>
          <w:jc w:val="center"/>
          <w:rPr>
            <w:sz w:val="20"/>
          </w:rPr>
        </w:pPr>
        <w:r w:rsidRPr="00994D75">
          <w:rPr>
            <w:sz w:val="20"/>
          </w:rPr>
          <w:fldChar w:fldCharType="begin"/>
        </w:r>
        <w:r w:rsidRPr="00994D75">
          <w:rPr>
            <w:sz w:val="20"/>
          </w:rPr>
          <w:instrText xml:space="preserve"> PAGE   \* MERGEFORMAT </w:instrText>
        </w:r>
        <w:r w:rsidRPr="00994D75">
          <w:rPr>
            <w:sz w:val="20"/>
          </w:rPr>
          <w:fldChar w:fldCharType="separate"/>
        </w:r>
        <w:r w:rsidR="001D7605">
          <w:rPr>
            <w:noProof/>
            <w:sz w:val="20"/>
          </w:rPr>
          <w:t>6</w:t>
        </w:r>
        <w:r w:rsidRPr="00994D75">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E8A" w:rsidRDefault="00CA0E8A" w:rsidP="00454164">
      <w:pPr>
        <w:spacing w:after="0" w:line="240" w:lineRule="auto"/>
      </w:pPr>
      <w:r>
        <w:separator/>
      </w:r>
    </w:p>
  </w:footnote>
  <w:footnote w:type="continuationSeparator" w:id="0">
    <w:p w:rsidR="00CA0E8A" w:rsidRDefault="00CA0E8A" w:rsidP="00454164">
      <w:pPr>
        <w:spacing w:after="0" w:line="240" w:lineRule="auto"/>
      </w:pPr>
      <w:r>
        <w:continuationSeparator/>
      </w:r>
    </w:p>
  </w:footnote>
  <w:footnote w:id="1">
    <w:p w:rsidR="00B11CB1" w:rsidRDefault="00B11CB1" w:rsidP="0082460C">
      <w:pPr>
        <w:pStyle w:val="FootnoteText"/>
        <w:spacing w:after="0"/>
      </w:pPr>
      <w:r>
        <w:rPr>
          <w:rStyle w:val="FootnoteReference"/>
        </w:rPr>
        <w:footnoteRef/>
      </w:r>
      <w:r>
        <w:t xml:space="preserve">  </w:t>
      </w:r>
      <w:r>
        <w:tab/>
        <w:t>Neither PECO nor the Complainant complied with this directive.</w:t>
      </w:r>
    </w:p>
    <w:p w:rsidR="0082460C" w:rsidRDefault="0082460C" w:rsidP="0082460C">
      <w:pPr>
        <w:pStyle w:val="FootnoteText"/>
        <w:spacing w:after="0"/>
      </w:pPr>
    </w:p>
  </w:footnote>
  <w:footnote w:id="2">
    <w:p w:rsidR="00B11CB1" w:rsidRDefault="00B11CB1" w:rsidP="0082460C">
      <w:pPr>
        <w:pStyle w:val="FootnoteText"/>
        <w:spacing w:after="0"/>
      </w:pPr>
      <w:r>
        <w:rPr>
          <w:rStyle w:val="FootnoteReference"/>
        </w:rPr>
        <w:footnoteRef/>
      </w:r>
      <w:r>
        <w:t xml:space="preserve">  </w:t>
      </w:r>
      <w:r>
        <w:tab/>
        <w:t>A review of the Commission’s docket indicates that the Complainant attempted to file the motion using the Commission’s e-filing service, but his motion was rejected by the Secretary’s Bureau due to a defective certificate of service.</w:t>
      </w:r>
    </w:p>
  </w:footnote>
  <w:footnote w:id="3">
    <w:p w:rsidR="00F56CFF" w:rsidRDefault="00F56CFF" w:rsidP="0082460C">
      <w:pPr>
        <w:pStyle w:val="FootnoteText"/>
        <w:spacing w:after="0"/>
      </w:pPr>
      <w:r>
        <w:rPr>
          <w:rStyle w:val="FootnoteReference"/>
        </w:rPr>
        <w:footnoteRef/>
      </w:r>
      <w:r>
        <w:t xml:space="preserve">  </w:t>
      </w:r>
      <w:r>
        <w:tab/>
        <w:t>52 Pa.Code § 5.321(c).</w:t>
      </w:r>
    </w:p>
    <w:p w:rsidR="0082460C" w:rsidRDefault="0082460C" w:rsidP="0082460C">
      <w:pPr>
        <w:pStyle w:val="FootnoteText"/>
        <w:spacing w:after="0"/>
      </w:pPr>
    </w:p>
  </w:footnote>
  <w:footnote w:id="4">
    <w:p w:rsidR="00F56CFF" w:rsidRDefault="00F56CFF" w:rsidP="0082460C">
      <w:pPr>
        <w:pStyle w:val="FootnoteText"/>
        <w:spacing w:after="0"/>
      </w:pPr>
      <w:r>
        <w:rPr>
          <w:rStyle w:val="FootnoteReference"/>
        </w:rPr>
        <w:footnoteRef/>
      </w:r>
      <w:r>
        <w:t xml:space="preserve">  </w:t>
      </w:r>
      <w:r>
        <w:tab/>
      </w:r>
      <w:r>
        <w:rPr>
          <w:i/>
        </w:rPr>
        <w:t>See George v. Schirra,</w:t>
      </w:r>
      <w:r>
        <w:t xml:space="preserve"> 814 A.2d 202, 205 (Pa.Super. 2002).</w:t>
      </w:r>
    </w:p>
    <w:p w:rsidR="0082460C" w:rsidRPr="00D32257" w:rsidRDefault="0082460C" w:rsidP="0082460C">
      <w:pPr>
        <w:pStyle w:val="FootnoteText"/>
        <w:spacing w:after="0"/>
      </w:pPr>
    </w:p>
  </w:footnote>
  <w:footnote w:id="5">
    <w:p w:rsidR="00F56CFF" w:rsidRDefault="00F56CFF" w:rsidP="0082460C">
      <w:pPr>
        <w:pStyle w:val="FootnoteText"/>
        <w:spacing w:after="0"/>
        <w:rPr>
          <w:szCs w:val="17"/>
        </w:rPr>
      </w:pPr>
      <w:r>
        <w:rPr>
          <w:rStyle w:val="FootnoteReference"/>
        </w:rPr>
        <w:footnoteRef/>
      </w:r>
      <w:r>
        <w:t xml:space="preserve">  </w:t>
      </w:r>
      <w:r>
        <w:tab/>
      </w:r>
      <w:r w:rsidRPr="00884BF5">
        <w:rPr>
          <w:i/>
          <w:szCs w:val="17"/>
        </w:rPr>
        <w:t>Koken v. One Beacon Ins. Co</w:t>
      </w:r>
      <w:r w:rsidRPr="00884BF5">
        <w:rPr>
          <w:szCs w:val="17"/>
        </w:rPr>
        <w:t>., 911 A.2d 1021, 1025 (Pa</w:t>
      </w:r>
      <w:r w:rsidR="0082460C">
        <w:rPr>
          <w:szCs w:val="17"/>
        </w:rPr>
        <w:t>.</w:t>
      </w:r>
      <w:r>
        <w:rPr>
          <w:szCs w:val="17"/>
        </w:rPr>
        <w:t>Cmwlth.</w:t>
      </w:r>
      <w:r w:rsidRPr="00884BF5">
        <w:rPr>
          <w:szCs w:val="17"/>
        </w:rPr>
        <w:t xml:space="preserve"> 2006)</w:t>
      </w:r>
    </w:p>
    <w:p w:rsidR="0082460C" w:rsidRDefault="0082460C" w:rsidP="0082460C">
      <w:pPr>
        <w:pStyle w:val="FootnoteText"/>
        <w:spacing w:after="0"/>
      </w:pPr>
    </w:p>
  </w:footnote>
  <w:footnote w:id="6">
    <w:p w:rsidR="00F56CFF" w:rsidRPr="00E74E3E" w:rsidRDefault="00F56CFF" w:rsidP="0082460C">
      <w:pPr>
        <w:pStyle w:val="FootnoteText"/>
        <w:spacing w:after="0"/>
        <w:rPr>
          <w:i/>
        </w:rPr>
      </w:pPr>
      <w:r>
        <w:rPr>
          <w:rStyle w:val="FootnoteReference"/>
        </w:rPr>
        <w:footnoteRef/>
      </w:r>
      <w:r>
        <w:t xml:space="preserve">  </w:t>
      </w:r>
      <w:r>
        <w:tab/>
      </w:r>
      <w:r>
        <w:rPr>
          <w:i/>
        </w:rPr>
        <w:t>Id.</w:t>
      </w:r>
    </w:p>
  </w:footnote>
  <w:footnote w:id="7">
    <w:p w:rsidR="004151C6" w:rsidRDefault="003E678C" w:rsidP="004151C6">
      <w:pPr>
        <w:pStyle w:val="FootnoteText"/>
        <w:spacing w:after="0"/>
      </w:pPr>
      <w:r>
        <w:rPr>
          <w:rStyle w:val="FootnoteReference"/>
        </w:rPr>
        <w:footnoteRef/>
      </w:r>
      <w:r>
        <w:t xml:space="preserve">  </w:t>
      </w:r>
      <w:r>
        <w:tab/>
      </w:r>
      <w:r w:rsidR="00704F09">
        <w:t>The Complainant provided his interrogatories and document requests as well as PECO’s answers and objections in Exhibits 1 and 2 to his motion.  However, t</w:t>
      </w:r>
      <w:r>
        <w:t>he documents referenced by PECO in its answers to the Complainant’s interrogatories were not included in his motion to compel for my review.</w:t>
      </w:r>
    </w:p>
    <w:p w:rsidR="003E678C" w:rsidRDefault="003E678C" w:rsidP="004151C6">
      <w:pPr>
        <w:pStyle w:val="FootnoteText"/>
        <w:spacing w:after="0"/>
      </w:pPr>
      <w:r>
        <w:t xml:space="preserve">  </w:t>
      </w:r>
    </w:p>
  </w:footnote>
  <w:footnote w:id="8">
    <w:p w:rsidR="00CB6E68" w:rsidRDefault="00CB6E68" w:rsidP="004151C6">
      <w:pPr>
        <w:pStyle w:val="FootnoteText"/>
        <w:spacing w:after="0"/>
      </w:pPr>
      <w:r>
        <w:rPr>
          <w:rStyle w:val="FootnoteReference"/>
        </w:rPr>
        <w:footnoteRef/>
      </w:r>
      <w:r>
        <w:t xml:space="preserve">  </w:t>
      </w:r>
      <w:r>
        <w:tab/>
        <w:t>See also 66 Pa.C.S. § 333; 52 Pa.Code § 5.321(c)</w:t>
      </w:r>
      <w:r w:rsidR="004B2479">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D57"/>
    <w:multiLevelType w:val="hybridMultilevel"/>
    <w:tmpl w:val="3BB8502C"/>
    <w:lvl w:ilvl="0" w:tplc="3D462258">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6"/>
  </w:num>
  <w:num w:numId="3">
    <w:abstractNumId w:val="10"/>
  </w:num>
  <w:num w:numId="4">
    <w:abstractNumId w:val="14"/>
  </w:num>
  <w:num w:numId="5">
    <w:abstractNumId w:val="4"/>
  </w:num>
  <w:num w:numId="6">
    <w:abstractNumId w:val="3"/>
  </w:num>
  <w:num w:numId="7">
    <w:abstractNumId w:val="2"/>
  </w:num>
  <w:num w:numId="8">
    <w:abstractNumId w:val="13"/>
  </w:num>
  <w:num w:numId="9">
    <w:abstractNumId w:val="1"/>
  </w:num>
  <w:num w:numId="10">
    <w:abstractNumId w:val="7"/>
  </w:num>
  <w:num w:numId="11">
    <w:abstractNumId w:val="9"/>
  </w:num>
  <w:num w:numId="12">
    <w:abstractNumId w:val="5"/>
  </w:num>
  <w:num w:numId="13">
    <w:abstractNumId w:val="8"/>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07A"/>
    <w:rsid w:val="00004C37"/>
    <w:rsid w:val="00007EEE"/>
    <w:rsid w:val="00061E9D"/>
    <w:rsid w:val="000A3850"/>
    <w:rsid w:val="000E1E7B"/>
    <w:rsid w:val="001139C9"/>
    <w:rsid w:val="001447AC"/>
    <w:rsid w:val="00146DF0"/>
    <w:rsid w:val="00170539"/>
    <w:rsid w:val="001B1CBA"/>
    <w:rsid w:val="001D024A"/>
    <w:rsid w:val="001D7605"/>
    <w:rsid w:val="001F49B9"/>
    <w:rsid w:val="00213167"/>
    <w:rsid w:val="00214A16"/>
    <w:rsid w:val="002512F9"/>
    <w:rsid w:val="00251A1F"/>
    <w:rsid w:val="00256FA5"/>
    <w:rsid w:val="002D24BB"/>
    <w:rsid w:val="00333E13"/>
    <w:rsid w:val="00372DB6"/>
    <w:rsid w:val="003816B4"/>
    <w:rsid w:val="00393C92"/>
    <w:rsid w:val="003B0D90"/>
    <w:rsid w:val="003E678C"/>
    <w:rsid w:val="003F0B02"/>
    <w:rsid w:val="00400F42"/>
    <w:rsid w:val="004151C6"/>
    <w:rsid w:val="004516FB"/>
    <w:rsid w:val="00454164"/>
    <w:rsid w:val="0046390D"/>
    <w:rsid w:val="004857CB"/>
    <w:rsid w:val="004946D1"/>
    <w:rsid w:val="00495ABC"/>
    <w:rsid w:val="004A37DD"/>
    <w:rsid w:val="004B2479"/>
    <w:rsid w:val="004D523C"/>
    <w:rsid w:val="004E669A"/>
    <w:rsid w:val="00515733"/>
    <w:rsid w:val="00530CA7"/>
    <w:rsid w:val="005423A2"/>
    <w:rsid w:val="0057152E"/>
    <w:rsid w:val="00575AF2"/>
    <w:rsid w:val="005A1C17"/>
    <w:rsid w:val="005A2ABA"/>
    <w:rsid w:val="005B2B8E"/>
    <w:rsid w:val="005E1715"/>
    <w:rsid w:val="005E4335"/>
    <w:rsid w:val="005E609C"/>
    <w:rsid w:val="00604838"/>
    <w:rsid w:val="00613F12"/>
    <w:rsid w:val="006150D9"/>
    <w:rsid w:val="0061775F"/>
    <w:rsid w:val="006577BC"/>
    <w:rsid w:val="00665748"/>
    <w:rsid w:val="00676420"/>
    <w:rsid w:val="0069131A"/>
    <w:rsid w:val="006963C5"/>
    <w:rsid w:val="006E53A6"/>
    <w:rsid w:val="006F0329"/>
    <w:rsid w:val="0070374D"/>
    <w:rsid w:val="00704F09"/>
    <w:rsid w:val="00712E58"/>
    <w:rsid w:val="007262E1"/>
    <w:rsid w:val="00737A88"/>
    <w:rsid w:val="00740960"/>
    <w:rsid w:val="00784F2F"/>
    <w:rsid w:val="00792796"/>
    <w:rsid w:val="007B3943"/>
    <w:rsid w:val="007E6779"/>
    <w:rsid w:val="0080307A"/>
    <w:rsid w:val="008032B9"/>
    <w:rsid w:val="00807187"/>
    <w:rsid w:val="008076CD"/>
    <w:rsid w:val="00820B4C"/>
    <w:rsid w:val="0082460C"/>
    <w:rsid w:val="00831923"/>
    <w:rsid w:val="00845A62"/>
    <w:rsid w:val="008529D2"/>
    <w:rsid w:val="0086529A"/>
    <w:rsid w:val="00897629"/>
    <w:rsid w:val="008D1BB4"/>
    <w:rsid w:val="008D74A6"/>
    <w:rsid w:val="008E6F1F"/>
    <w:rsid w:val="00943411"/>
    <w:rsid w:val="00994D75"/>
    <w:rsid w:val="009F0E13"/>
    <w:rsid w:val="00A00B48"/>
    <w:rsid w:val="00A10F92"/>
    <w:rsid w:val="00A30AEC"/>
    <w:rsid w:val="00A93587"/>
    <w:rsid w:val="00AA2EC5"/>
    <w:rsid w:val="00AB4C73"/>
    <w:rsid w:val="00AE33D4"/>
    <w:rsid w:val="00AE6F47"/>
    <w:rsid w:val="00AF238D"/>
    <w:rsid w:val="00B07755"/>
    <w:rsid w:val="00B11CB1"/>
    <w:rsid w:val="00B13443"/>
    <w:rsid w:val="00B34910"/>
    <w:rsid w:val="00B718D1"/>
    <w:rsid w:val="00B7302D"/>
    <w:rsid w:val="00BC2C18"/>
    <w:rsid w:val="00BC6B21"/>
    <w:rsid w:val="00BE62AC"/>
    <w:rsid w:val="00C56471"/>
    <w:rsid w:val="00C649E2"/>
    <w:rsid w:val="00C6645F"/>
    <w:rsid w:val="00C669FE"/>
    <w:rsid w:val="00C87855"/>
    <w:rsid w:val="00C87E57"/>
    <w:rsid w:val="00C9040B"/>
    <w:rsid w:val="00CA0E8A"/>
    <w:rsid w:val="00CB6E68"/>
    <w:rsid w:val="00CF15D4"/>
    <w:rsid w:val="00D63CC1"/>
    <w:rsid w:val="00D764EF"/>
    <w:rsid w:val="00DA72C0"/>
    <w:rsid w:val="00DD5C37"/>
    <w:rsid w:val="00DF3CC2"/>
    <w:rsid w:val="00E264B7"/>
    <w:rsid w:val="00E4239A"/>
    <w:rsid w:val="00E575C0"/>
    <w:rsid w:val="00EC1CBA"/>
    <w:rsid w:val="00EE7801"/>
    <w:rsid w:val="00F0134B"/>
    <w:rsid w:val="00F16554"/>
    <w:rsid w:val="00F42F8A"/>
    <w:rsid w:val="00F4387C"/>
    <w:rsid w:val="00F544E1"/>
    <w:rsid w:val="00F56CFF"/>
    <w:rsid w:val="00F848BF"/>
    <w:rsid w:val="00FB32AF"/>
    <w:rsid w:val="00FD5C10"/>
    <w:rsid w:val="00FD6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4239A"/>
    <w:pPr>
      <w:numPr>
        <w:numId w:val="15"/>
      </w:numPr>
      <w:spacing w:before="240"/>
    </w:pPr>
  </w:style>
  <w:style w:type="paragraph" w:styleId="FootnoteText">
    <w:name w:val="footnote text"/>
    <w:link w:val="FootnoteTextChar"/>
    <w:uiPriority w:val="99"/>
    <w:semiHidden/>
    <w:unhideWhenUsed/>
    <w:rsid w:val="007E677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454164"/>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454164"/>
    <w:rPr>
      <w:rFonts w:ascii="Times New Roman" w:hAnsi="Times New Roman" w:cs="Times New Roman"/>
      <w:sz w:val="24"/>
      <w:szCs w:val="20"/>
    </w:rPr>
  </w:style>
  <w:style w:type="paragraph" w:styleId="Footer">
    <w:name w:val="footer"/>
    <w:basedOn w:val="Normal"/>
    <w:link w:val="FooterChar"/>
    <w:uiPriority w:val="99"/>
    <w:unhideWhenUsed/>
    <w:rsid w:val="00454164"/>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454164"/>
    <w:rPr>
      <w:rFonts w:ascii="Times New Roman" w:hAnsi="Times New Roman" w:cs="Times New Roman"/>
      <w:sz w:val="24"/>
      <w:szCs w:val="20"/>
    </w:rPr>
  </w:style>
  <w:style w:type="paragraph" w:styleId="Title">
    <w:name w:val="Title"/>
    <w:basedOn w:val="Normal"/>
    <w:link w:val="TitleChar"/>
    <w:qFormat/>
    <w:rsid w:val="005B2B8E"/>
    <w:pPr>
      <w:tabs>
        <w:tab w:val="clear" w:pos="1440"/>
        <w:tab w:val="left" w:pos="360"/>
      </w:tabs>
      <w:spacing w:after="0" w:line="233" w:lineRule="auto"/>
      <w:jc w:val="center"/>
    </w:pPr>
    <w:rPr>
      <w:b/>
    </w:rPr>
  </w:style>
  <w:style w:type="character" w:customStyle="1" w:styleId="TitleChar">
    <w:name w:val="Title Char"/>
    <w:basedOn w:val="DefaultParagraphFont"/>
    <w:link w:val="Title"/>
    <w:rsid w:val="005B2B8E"/>
    <w:rPr>
      <w:rFonts w:ascii="Times New Roman" w:hAnsi="Times New Roman" w:cs="Times New Roman"/>
      <w:b/>
      <w:sz w:val="24"/>
      <w:szCs w:val="20"/>
    </w:rPr>
  </w:style>
  <w:style w:type="character" w:styleId="FootnoteReference">
    <w:name w:val="footnote reference"/>
    <w:basedOn w:val="DefaultParagraphFont"/>
    <w:uiPriority w:val="99"/>
    <w:semiHidden/>
    <w:unhideWhenUsed/>
    <w:rsid w:val="00807187"/>
    <w:rPr>
      <w:vertAlign w:val="superscript"/>
    </w:rPr>
  </w:style>
  <w:style w:type="paragraph" w:styleId="BalloonText">
    <w:name w:val="Balloon Text"/>
    <w:basedOn w:val="Normal"/>
    <w:link w:val="BalloonTextChar"/>
    <w:uiPriority w:val="99"/>
    <w:semiHidden/>
    <w:unhideWhenUsed/>
    <w:rsid w:val="00726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2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4239A"/>
    <w:pPr>
      <w:numPr>
        <w:numId w:val="15"/>
      </w:numPr>
      <w:spacing w:before="240"/>
    </w:pPr>
  </w:style>
  <w:style w:type="paragraph" w:styleId="FootnoteText">
    <w:name w:val="footnote text"/>
    <w:link w:val="FootnoteTextChar"/>
    <w:uiPriority w:val="99"/>
    <w:semiHidden/>
    <w:unhideWhenUsed/>
    <w:rsid w:val="007E677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454164"/>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454164"/>
    <w:rPr>
      <w:rFonts w:ascii="Times New Roman" w:hAnsi="Times New Roman" w:cs="Times New Roman"/>
      <w:sz w:val="24"/>
      <w:szCs w:val="20"/>
    </w:rPr>
  </w:style>
  <w:style w:type="paragraph" w:styleId="Footer">
    <w:name w:val="footer"/>
    <w:basedOn w:val="Normal"/>
    <w:link w:val="FooterChar"/>
    <w:uiPriority w:val="99"/>
    <w:unhideWhenUsed/>
    <w:rsid w:val="00454164"/>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454164"/>
    <w:rPr>
      <w:rFonts w:ascii="Times New Roman" w:hAnsi="Times New Roman" w:cs="Times New Roman"/>
      <w:sz w:val="24"/>
      <w:szCs w:val="20"/>
    </w:rPr>
  </w:style>
  <w:style w:type="paragraph" w:styleId="Title">
    <w:name w:val="Title"/>
    <w:basedOn w:val="Normal"/>
    <w:link w:val="TitleChar"/>
    <w:qFormat/>
    <w:rsid w:val="005B2B8E"/>
    <w:pPr>
      <w:tabs>
        <w:tab w:val="clear" w:pos="1440"/>
        <w:tab w:val="left" w:pos="360"/>
      </w:tabs>
      <w:spacing w:after="0" w:line="233" w:lineRule="auto"/>
      <w:jc w:val="center"/>
    </w:pPr>
    <w:rPr>
      <w:b/>
    </w:rPr>
  </w:style>
  <w:style w:type="character" w:customStyle="1" w:styleId="TitleChar">
    <w:name w:val="Title Char"/>
    <w:basedOn w:val="DefaultParagraphFont"/>
    <w:link w:val="Title"/>
    <w:rsid w:val="005B2B8E"/>
    <w:rPr>
      <w:rFonts w:ascii="Times New Roman" w:hAnsi="Times New Roman" w:cs="Times New Roman"/>
      <w:b/>
      <w:sz w:val="24"/>
      <w:szCs w:val="20"/>
    </w:rPr>
  </w:style>
  <w:style w:type="character" w:styleId="FootnoteReference">
    <w:name w:val="footnote reference"/>
    <w:basedOn w:val="DefaultParagraphFont"/>
    <w:uiPriority w:val="99"/>
    <w:semiHidden/>
    <w:unhideWhenUsed/>
    <w:rsid w:val="00807187"/>
    <w:rPr>
      <w:vertAlign w:val="superscript"/>
    </w:rPr>
  </w:style>
  <w:style w:type="paragraph" w:styleId="BalloonText">
    <w:name w:val="Balloon Text"/>
    <w:basedOn w:val="Normal"/>
    <w:link w:val="BalloonTextChar"/>
    <w:uiPriority w:val="99"/>
    <w:semiHidden/>
    <w:unhideWhenUsed/>
    <w:rsid w:val="00726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2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1457</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Blanton, Leah</cp:lastModifiedBy>
  <cp:revision>2</cp:revision>
  <cp:lastPrinted>2015-11-05T18:04:00Z</cp:lastPrinted>
  <dcterms:created xsi:type="dcterms:W3CDTF">2015-11-06T15:13:00Z</dcterms:created>
  <dcterms:modified xsi:type="dcterms:W3CDTF">2015-11-06T15:13:00Z</dcterms:modified>
</cp:coreProperties>
</file>