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EF" w:rsidRPr="007853B5" w:rsidRDefault="007421EF" w:rsidP="007421EF">
      <w:pPr>
        <w:spacing w:line="240" w:lineRule="auto"/>
        <w:rPr>
          <w:b/>
        </w:rPr>
      </w:pPr>
      <w:r w:rsidRPr="007853B5">
        <w:rPr>
          <w:b/>
        </w:rPr>
        <w:t xml:space="preserve">BEFORE THE </w:t>
      </w:r>
    </w:p>
    <w:p w:rsidR="007421EF" w:rsidRPr="007853B5" w:rsidRDefault="007421EF" w:rsidP="007421EF">
      <w:pPr>
        <w:spacing w:line="240" w:lineRule="auto"/>
        <w:rPr>
          <w:b/>
        </w:rPr>
      </w:pPr>
      <w:r w:rsidRPr="007853B5">
        <w:rPr>
          <w:b/>
        </w:rPr>
        <w:t>PENNSYLVANIA PUBLIC UTILITY COMMISSION</w:t>
      </w:r>
    </w:p>
    <w:p w:rsidR="007421EF" w:rsidRPr="007853B5" w:rsidRDefault="007421EF" w:rsidP="007421EF">
      <w:pPr>
        <w:spacing w:line="240" w:lineRule="auto"/>
        <w:rPr>
          <w:b/>
        </w:rPr>
      </w:pPr>
    </w:p>
    <w:p w:rsidR="007421EF" w:rsidRPr="007853B5" w:rsidRDefault="007421EF" w:rsidP="007421EF">
      <w:pPr>
        <w:spacing w:line="240" w:lineRule="auto"/>
        <w:rPr>
          <w:b/>
        </w:rPr>
      </w:pPr>
    </w:p>
    <w:p w:rsidR="007421EF" w:rsidRPr="007853B5" w:rsidRDefault="007421EF" w:rsidP="007421EF">
      <w:pPr>
        <w:spacing w:line="240" w:lineRule="auto"/>
        <w:jc w:val="both"/>
      </w:pPr>
    </w:p>
    <w:p w:rsidR="007421EF" w:rsidRPr="007853B5" w:rsidRDefault="007421EF" w:rsidP="007421EF">
      <w:pPr>
        <w:spacing w:line="240" w:lineRule="auto"/>
        <w:jc w:val="left"/>
      </w:pPr>
      <w:r w:rsidRPr="007853B5">
        <w:t>Core Communications, Inc.</w:t>
      </w:r>
      <w:r w:rsidRPr="007853B5">
        <w:tab/>
      </w:r>
      <w:r w:rsidRPr="007853B5">
        <w:tab/>
      </w:r>
      <w:r w:rsidRPr="007853B5">
        <w:tab/>
      </w:r>
      <w:r w:rsidRPr="007853B5">
        <w:tab/>
        <w:t>:</w:t>
      </w:r>
    </w:p>
    <w:p w:rsidR="007421EF" w:rsidRPr="007853B5" w:rsidRDefault="007421EF" w:rsidP="007421EF">
      <w:pPr>
        <w:spacing w:line="240" w:lineRule="auto"/>
        <w:jc w:val="left"/>
      </w:pPr>
      <w:r w:rsidRPr="007853B5">
        <w:tab/>
      </w:r>
      <w:r w:rsidRPr="007853B5">
        <w:tab/>
      </w:r>
      <w:r w:rsidRPr="007853B5">
        <w:tab/>
      </w:r>
      <w:r w:rsidRPr="007853B5">
        <w:tab/>
      </w:r>
      <w:r w:rsidRPr="007853B5">
        <w:tab/>
      </w:r>
      <w:r w:rsidRPr="007853B5">
        <w:tab/>
      </w:r>
      <w:r w:rsidRPr="007853B5">
        <w:tab/>
        <w:t>:</w:t>
      </w:r>
    </w:p>
    <w:p w:rsidR="007421EF" w:rsidRPr="007853B5" w:rsidRDefault="007421EF" w:rsidP="007421EF">
      <w:pPr>
        <w:spacing w:line="240" w:lineRule="auto"/>
        <w:jc w:val="left"/>
      </w:pPr>
      <w:r w:rsidRPr="007853B5">
        <w:tab/>
        <w:t>v.</w:t>
      </w:r>
      <w:r w:rsidRPr="007853B5">
        <w:tab/>
      </w:r>
      <w:r w:rsidRPr="007853B5">
        <w:tab/>
      </w:r>
      <w:r w:rsidRPr="007853B5">
        <w:tab/>
      </w:r>
      <w:r w:rsidRPr="007853B5">
        <w:tab/>
      </w:r>
      <w:r w:rsidRPr="007853B5">
        <w:tab/>
      </w:r>
      <w:r w:rsidRPr="007853B5">
        <w:tab/>
        <w:t>:</w:t>
      </w:r>
      <w:r w:rsidRPr="007853B5">
        <w:tab/>
      </w:r>
      <w:r w:rsidRPr="007853B5">
        <w:tab/>
        <w:t>C-2011-2253750</w:t>
      </w:r>
    </w:p>
    <w:p w:rsidR="007421EF" w:rsidRPr="007853B5" w:rsidRDefault="007421EF" w:rsidP="007421EF">
      <w:pPr>
        <w:spacing w:line="240" w:lineRule="auto"/>
        <w:jc w:val="left"/>
      </w:pPr>
      <w:r w:rsidRPr="007853B5">
        <w:tab/>
      </w:r>
      <w:r w:rsidRPr="007853B5">
        <w:tab/>
      </w:r>
      <w:r w:rsidRPr="007853B5">
        <w:tab/>
      </w:r>
      <w:r w:rsidRPr="007853B5">
        <w:tab/>
      </w:r>
      <w:r w:rsidRPr="007853B5">
        <w:tab/>
      </w:r>
      <w:r w:rsidRPr="007853B5">
        <w:tab/>
      </w:r>
      <w:r w:rsidRPr="007853B5">
        <w:tab/>
        <w:t>:</w:t>
      </w:r>
      <w:r w:rsidRPr="007853B5">
        <w:tab/>
      </w:r>
      <w:r w:rsidRPr="007853B5">
        <w:tab/>
        <w:t>C-2011-2253787</w:t>
      </w:r>
    </w:p>
    <w:p w:rsidR="007421EF" w:rsidRPr="007853B5" w:rsidRDefault="007421EF" w:rsidP="007421EF">
      <w:pPr>
        <w:spacing w:line="240" w:lineRule="auto"/>
        <w:jc w:val="left"/>
      </w:pPr>
      <w:r w:rsidRPr="007853B5">
        <w:t>Verizon Pennsylvania Inc. and</w:t>
      </w:r>
      <w:r w:rsidRPr="007853B5">
        <w:tab/>
      </w:r>
      <w:r w:rsidRPr="007853B5">
        <w:tab/>
      </w:r>
      <w:r w:rsidRPr="007853B5">
        <w:tab/>
        <w:t>:</w:t>
      </w:r>
    </w:p>
    <w:p w:rsidR="007421EF" w:rsidRPr="007853B5" w:rsidRDefault="007421EF" w:rsidP="007421EF">
      <w:pPr>
        <w:spacing w:line="240" w:lineRule="auto"/>
        <w:jc w:val="left"/>
      </w:pPr>
      <w:r w:rsidRPr="007853B5">
        <w:t>Verizon North</w:t>
      </w:r>
      <w:r>
        <w:t>,</w:t>
      </w:r>
      <w:r w:rsidRPr="007853B5">
        <w:t xml:space="preserve"> LLC</w:t>
      </w:r>
      <w:r w:rsidRPr="007853B5">
        <w:tab/>
      </w:r>
      <w:r w:rsidRPr="007853B5">
        <w:tab/>
      </w:r>
      <w:r w:rsidRPr="007853B5">
        <w:tab/>
      </w:r>
      <w:r w:rsidRPr="007853B5">
        <w:tab/>
      </w:r>
      <w:r w:rsidRPr="007853B5">
        <w:tab/>
        <w:t>:</w:t>
      </w:r>
    </w:p>
    <w:p w:rsidR="007421EF" w:rsidRPr="007853B5" w:rsidRDefault="007421EF" w:rsidP="007421EF">
      <w:pPr>
        <w:spacing w:line="240" w:lineRule="auto"/>
        <w:jc w:val="left"/>
      </w:pPr>
      <w:r w:rsidRPr="007853B5">
        <w:tab/>
      </w:r>
      <w:r w:rsidRPr="007853B5">
        <w:tab/>
      </w:r>
      <w:r w:rsidRPr="007853B5">
        <w:tab/>
      </w:r>
      <w:r w:rsidRPr="007853B5">
        <w:tab/>
      </w:r>
      <w:r w:rsidRPr="007853B5">
        <w:tab/>
      </w:r>
      <w:r w:rsidRPr="007853B5">
        <w:tab/>
      </w:r>
    </w:p>
    <w:p w:rsidR="007421EF" w:rsidRDefault="007421EF" w:rsidP="007421EF">
      <w:pPr>
        <w:spacing w:line="240" w:lineRule="auto"/>
        <w:jc w:val="left"/>
      </w:pPr>
      <w:r w:rsidRPr="007853B5">
        <w:tab/>
      </w:r>
    </w:p>
    <w:p w:rsidR="007421EF" w:rsidRPr="007853B5" w:rsidRDefault="007421EF" w:rsidP="007421EF">
      <w:pPr>
        <w:spacing w:line="240" w:lineRule="auto"/>
        <w:jc w:val="left"/>
      </w:pPr>
    </w:p>
    <w:p w:rsidR="007421EF" w:rsidRPr="007853B5" w:rsidRDefault="007421EF" w:rsidP="007421EF">
      <w:pPr>
        <w:spacing w:line="240" w:lineRule="auto"/>
      </w:pPr>
      <w:r>
        <w:rPr>
          <w:b/>
          <w:u w:val="single"/>
        </w:rPr>
        <w:t>BRIEFING ORDER</w:t>
      </w:r>
    </w:p>
    <w:p w:rsidR="007421EF" w:rsidRDefault="007421EF" w:rsidP="007421EF">
      <w:pPr>
        <w:spacing w:line="240" w:lineRule="auto"/>
      </w:pPr>
    </w:p>
    <w:p w:rsidR="007421EF" w:rsidRPr="007853B5" w:rsidRDefault="007421EF" w:rsidP="007421EF">
      <w:pPr>
        <w:spacing w:line="240" w:lineRule="auto"/>
      </w:pPr>
    </w:p>
    <w:p w:rsidR="00490F19" w:rsidRPr="00490F19" w:rsidRDefault="007421EF" w:rsidP="00490F19">
      <w:pPr>
        <w:ind w:firstLine="1440"/>
        <w:contextualSpacing/>
        <w:jc w:val="left"/>
      </w:pPr>
      <w:r w:rsidRPr="00490F19">
        <w:t>Following extensive litigation, the history of which is outlined in numerous prior orders and decisions, the Commission</w:t>
      </w:r>
      <w:r w:rsidR="00490F19" w:rsidRPr="00490F19">
        <w:t xml:space="preserve"> On July 11, 2013, the Commission issued ALJ Colwell’s </w:t>
      </w:r>
      <w:r w:rsidR="00490F19" w:rsidRPr="00490F19">
        <w:rPr>
          <w:i/>
        </w:rPr>
        <w:t>2011Core v. Verizon Initial Decision</w:t>
      </w:r>
      <w:r w:rsidR="00490F19" w:rsidRPr="00490F19">
        <w:t xml:space="preserve">, which granted the </w:t>
      </w:r>
      <w:r w:rsidR="00490F19" w:rsidRPr="00490F19">
        <w:rPr>
          <w:i/>
        </w:rPr>
        <w:t>Amended Complaint</w:t>
      </w:r>
      <w:r w:rsidR="00490F19" w:rsidRPr="00490F19">
        <w:t xml:space="preserve">, in part, and dismissed it, in part. </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 xml:space="preserve">As noted, </w:t>
      </w:r>
      <w:r w:rsidRPr="00490F19">
        <w:rPr>
          <w:i/>
        </w:rPr>
        <w:t>supra</w:t>
      </w:r>
      <w:r w:rsidRPr="00490F19">
        <w:t xml:space="preserve">, Exceptions to the </w:t>
      </w:r>
      <w:r w:rsidRPr="00490F19">
        <w:rPr>
          <w:i/>
        </w:rPr>
        <w:t>2011 Core v. Verizon Initial Decision</w:t>
      </w:r>
      <w:r w:rsidRPr="00490F19">
        <w:t xml:space="preserve"> were filed by Core and Verizon on August 16, 2013, and Replies to Exceptions were filed by Core and Verizon on September 16, 2013.</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On June 16, 2014, Verizon submitted a letter (</w:t>
      </w:r>
      <w:r w:rsidRPr="00490F19">
        <w:rPr>
          <w:i/>
        </w:rPr>
        <w:t>June 2014 Letter</w:t>
      </w:r>
      <w:r w:rsidRPr="00490F19">
        <w:t xml:space="preserve">) in which it attached a decision by the  United States Court of Appeals for the Fourth Circuit as supplemental authority for this case.  </w:t>
      </w:r>
      <w:r w:rsidRPr="00490F19">
        <w:rPr>
          <w:i/>
        </w:rPr>
        <w:t>See</w:t>
      </w:r>
      <w:r w:rsidRPr="00490F19">
        <w:t xml:space="preserve"> </w:t>
      </w:r>
      <w:r w:rsidRPr="00490F19">
        <w:rPr>
          <w:i/>
        </w:rPr>
        <w:t>Coretel Virginia, LLC</w:t>
      </w:r>
      <w:r w:rsidRPr="00490F19">
        <w:t xml:space="preserve"> </w:t>
      </w:r>
      <w:r w:rsidRPr="00490F19">
        <w:rPr>
          <w:i/>
        </w:rPr>
        <w:t xml:space="preserve">v. Verizon Virginia, LLC, </w:t>
      </w:r>
      <w:r w:rsidRPr="00490F19">
        <w:t>et al, 752 F.3d 364 (4</w:t>
      </w:r>
      <w:r w:rsidRPr="00490F19">
        <w:rPr>
          <w:vertAlign w:val="superscript"/>
        </w:rPr>
        <w:t>th</w:t>
      </w:r>
      <w:r w:rsidRPr="00490F19">
        <w:t xml:space="preserve"> Cir. 2014) (</w:t>
      </w:r>
      <w:r w:rsidRPr="00490F19">
        <w:rPr>
          <w:i/>
        </w:rPr>
        <w:t>Coretel-Verizon VA Order</w:t>
      </w:r>
      <w:r w:rsidRPr="00490F19">
        <w:t xml:space="preserve">).  In its </w:t>
      </w:r>
      <w:r w:rsidRPr="00490F19">
        <w:rPr>
          <w:i/>
        </w:rPr>
        <w:t>June 2014 Letter</w:t>
      </w:r>
      <w:r w:rsidRPr="00490F19">
        <w:t xml:space="preserve"> Verizon alleged that this decision relates to the Parties’ Exceptions and Replies to Exceptions in the instant case.  </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 xml:space="preserve">On June 25, 2014, Core submitted a response to Verizon’s </w:t>
      </w:r>
      <w:r w:rsidRPr="00490F19">
        <w:rPr>
          <w:i/>
        </w:rPr>
        <w:t>June 2014 Letter</w:t>
      </w:r>
      <w:r w:rsidRPr="00490F19">
        <w:t>.</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On February 24, 2015, Core submitted a letter (</w:t>
      </w:r>
      <w:r w:rsidRPr="00490F19">
        <w:rPr>
          <w:i/>
        </w:rPr>
        <w:t>February 2015 Letter</w:t>
      </w:r>
      <w:r w:rsidRPr="00490F19">
        <w:t xml:space="preserve">) in which it attached a Declaratory Ruling released by the FCC, in which it clarified its Voice Over Internet Protocol (VoIP) Symmetry Rule.  </w:t>
      </w:r>
      <w:r w:rsidRPr="00490F19">
        <w:rPr>
          <w:i/>
        </w:rPr>
        <w:t>See</w:t>
      </w:r>
      <w:r w:rsidRPr="00490F19">
        <w:t xml:space="preserve"> </w:t>
      </w:r>
      <w:r w:rsidRPr="00490F19">
        <w:rPr>
          <w:i/>
        </w:rPr>
        <w:t xml:space="preserve">In the Matter of Connect America Fund-Developing a </w:t>
      </w:r>
      <w:r w:rsidRPr="00490F19">
        <w:rPr>
          <w:i/>
        </w:rPr>
        <w:lastRenderedPageBreak/>
        <w:t>Unified Intercarrier Compensation Regime</w:t>
      </w:r>
      <w:r w:rsidRPr="00490F19">
        <w:t xml:space="preserve">, WC Docket No. 10-90 (FCC, Rel. Feb 11, 2015), Declaratory Ruling, FCC 15-14, </w:t>
      </w:r>
      <w:r w:rsidRPr="00490F19">
        <w:rPr>
          <w:i/>
        </w:rPr>
        <w:t xml:space="preserve">appeal pending, AT&amp;T Corp. v. FCC, </w:t>
      </w:r>
      <w:r w:rsidRPr="00490F19">
        <w:t>Case No. 1059, (DC Cir., filed March 18, 2015) (</w:t>
      </w:r>
      <w:r w:rsidRPr="00490F19">
        <w:rPr>
          <w:i/>
        </w:rPr>
        <w:t>VoIP Symmetry Order</w:t>
      </w:r>
      <w:r w:rsidRPr="00490F19">
        <w:t xml:space="preserve">).  In its </w:t>
      </w:r>
      <w:r w:rsidRPr="00490F19">
        <w:rPr>
          <w:i/>
        </w:rPr>
        <w:t>February 2015 Letter</w:t>
      </w:r>
      <w:r w:rsidRPr="00490F19">
        <w:t xml:space="preserve"> Core alleged that this Declaratory Ruling relates to the Parties’ Exceptions and Replies to Exceptions in the instant case.</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 xml:space="preserve">On February 26, 2015, Verizon submitted a response (Response) to Core’s </w:t>
      </w:r>
      <w:r w:rsidRPr="00490F19">
        <w:rPr>
          <w:i/>
        </w:rPr>
        <w:t>February 2015 Letter.</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 xml:space="preserve">On May 28, 2015, the Commission issued its </w:t>
      </w:r>
      <w:r w:rsidRPr="00490F19">
        <w:rPr>
          <w:i/>
        </w:rPr>
        <w:t>May 2015 Order</w:t>
      </w:r>
      <w:r w:rsidRPr="00490F19">
        <w:t xml:space="preserve">, which held the </w:t>
      </w:r>
      <w:r w:rsidRPr="00490F19">
        <w:rPr>
          <w:i/>
        </w:rPr>
        <w:t>2011 Core v. Verizon Initial Decision</w:t>
      </w:r>
      <w:r w:rsidRPr="00490F19">
        <w:t xml:space="preserve">, and the Exceptions and Reply Exceptions filed thereto, in abeyance, and remanded this matter to the OALJ for the limited purpose of reviewing the </w:t>
      </w:r>
      <w:r w:rsidRPr="00490F19">
        <w:rPr>
          <w:i/>
        </w:rPr>
        <w:t>VoIP Symmetry Order</w:t>
      </w:r>
      <w:r w:rsidRPr="00490F19">
        <w:t xml:space="preserve"> to determine its impact on the intercarrier compensation issues raised by the Parties.  The </w:t>
      </w:r>
      <w:r w:rsidRPr="00490F19">
        <w:rPr>
          <w:i/>
        </w:rPr>
        <w:t>May 2015 Order</w:t>
      </w:r>
      <w:r w:rsidRPr="00490F19">
        <w:t xml:space="preserve"> instructed the OALJ to conduct further hearings, as deemed necessary, and to issue a Supplemental Initial Decision on Remand.</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 xml:space="preserve">On June 2, 2015, Verizon filed its Petition seeking partial reconsideration of our </w:t>
      </w:r>
      <w:r w:rsidRPr="00490F19">
        <w:rPr>
          <w:i/>
        </w:rPr>
        <w:t>May 2015 Order</w:t>
      </w:r>
      <w:r w:rsidRPr="00490F19">
        <w:t>.</w:t>
      </w:r>
    </w:p>
    <w:p w:rsidR="00490F19" w:rsidRPr="00490F19" w:rsidRDefault="00490F19" w:rsidP="00490F19">
      <w:pPr>
        <w:ind w:firstLine="1440"/>
        <w:contextualSpacing/>
        <w:jc w:val="left"/>
      </w:pPr>
    </w:p>
    <w:p w:rsidR="00490F19" w:rsidRPr="00490F19" w:rsidRDefault="00490F19" w:rsidP="00490F19">
      <w:pPr>
        <w:ind w:firstLine="1440"/>
        <w:contextualSpacing/>
        <w:jc w:val="left"/>
      </w:pPr>
      <w:r w:rsidRPr="00490F19">
        <w:t>By Order entered on June 11, 2015, we granted Verizon’s Petition, pending review of and consideration on the merits.</w:t>
      </w:r>
    </w:p>
    <w:p w:rsidR="00490F19" w:rsidRPr="00490F19" w:rsidRDefault="00490F19" w:rsidP="00490F19">
      <w:pPr>
        <w:ind w:firstLine="1440"/>
        <w:contextualSpacing/>
        <w:jc w:val="left"/>
      </w:pPr>
    </w:p>
    <w:p w:rsidR="00490F19" w:rsidRDefault="00490F19" w:rsidP="00490F19">
      <w:pPr>
        <w:ind w:firstLine="1440"/>
        <w:contextualSpacing/>
        <w:jc w:val="left"/>
      </w:pPr>
      <w:r w:rsidRPr="00490F19">
        <w:t>On June 12, 2015, Core filed its Answer to Verizon’s Petition.</w:t>
      </w:r>
    </w:p>
    <w:p w:rsidR="00887CAF" w:rsidRDefault="00887CAF" w:rsidP="00490F19">
      <w:pPr>
        <w:ind w:firstLine="1440"/>
        <w:contextualSpacing/>
        <w:jc w:val="left"/>
      </w:pPr>
    </w:p>
    <w:p w:rsidR="00887CAF" w:rsidRDefault="00887CAF" w:rsidP="00490F19">
      <w:pPr>
        <w:ind w:firstLine="1440"/>
        <w:contextualSpacing/>
        <w:jc w:val="left"/>
      </w:pPr>
      <w:r>
        <w:t>By Opinion and Order issued November 9, 2015, the Commission ordered:</w:t>
      </w:r>
    </w:p>
    <w:p w:rsidR="00887CAF" w:rsidRDefault="00887CAF" w:rsidP="00490F19">
      <w:pPr>
        <w:ind w:firstLine="1440"/>
        <w:contextualSpacing/>
        <w:jc w:val="left"/>
      </w:pPr>
    </w:p>
    <w:p w:rsidR="00887CAF" w:rsidRPr="00887CAF" w:rsidRDefault="00887CAF" w:rsidP="00AA008E">
      <w:pPr>
        <w:spacing w:line="240" w:lineRule="auto"/>
        <w:ind w:left="1440" w:right="1440" w:firstLine="1440"/>
        <w:contextualSpacing/>
        <w:jc w:val="left"/>
      </w:pPr>
      <w:r w:rsidRPr="00887CAF">
        <w:t>1.</w:t>
      </w:r>
      <w:r w:rsidRPr="00887CAF">
        <w:tab/>
        <w:t>That the Joint Petition for Partial Reconsideration, filed by Verizon Pennsylvania LLC and Verizon North LLC on June 2, 2015, is denied consistent with this Opinion and Order.</w:t>
      </w:r>
    </w:p>
    <w:p w:rsidR="00887CAF" w:rsidRPr="00887CAF" w:rsidRDefault="00887CAF" w:rsidP="00AA008E">
      <w:pPr>
        <w:spacing w:line="240" w:lineRule="auto"/>
        <w:ind w:left="1440" w:right="1440" w:firstLine="1440"/>
        <w:contextualSpacing/>
        <w:jc w:val="left"/>
      </w:pPr>
    </w:p>
    <w:p w:rsidR="00887CAF" w:rsidRPr="00887CAF" w:rsidRDefault="00887CAF" w:rsidP="00AA008E">
      <w:pPr>
        <w:spacing w:line="240" w:lineRule="auto"/>
        <w:ind w:left="1440" w:right="1440" w:firstLine="1440"/>
        <w:contextualSpacing/>
        <w:jc w:val="left"/>
      </w:pPr>
      <w:r w:rsidRPr="00887CAF">
        <w:t>2.</w:t>
      </w:r>
      <w:r w:rsidRPr="00887CAF">
        <w:tab/>
        <w:t>That the Motion for Consolidation, filed by Core Communications, Inc. on June 12, 2015, is denied, consistent with this Opinion and Order.</w:t>
      </w:r>
    </w:p>
    <w:p w:rsidR="00887CAF" w:rsidRPr="00887CAF" w:rsidRDefault="00887CAF" w:rsidP="00AA008E">
      <w:pPr>
        <w:spacing w:line="240" w:lineRule="auto"/>
        <w:ind w:left="1440" w:right="1440" w:firstLine="1440"/>
        <w:contextualSpacing/>
        <w:jc w:val="left"/>
      </w:pPr>
    </w:p>
    <w:p w:rsidR="00887CAF" w:rsidRPr="00887CAF" w:rsidRDefault="00887CAF" w:rsidP="00AA008E">
      <w:pPr>
        <w:spacing w:line="240" w:lineRule="auto"/>
        <w:ind w:left="1440" w:right="1440" w:firstLine="1440"/>
        <w:contextualSpacing/>
        <w:jc w:val="left"/>
      </w:pPr>
      <w:r w:rsidRPr="00887CAF">
        <w:t>3.</w:t>
      </w:r>
      <w:r w:rsidRPr="00887CAF">
        <w:tab/>
        <w:t>That the limited remand contemplated in our Opinion and Order entered on May 28, 2015 at Docket Nos. C-2011-2253750 and C-2011-2253787 be completed by the Office of Administrative Law Judge with further evidentiary hearings, if necessary, and result in the issuance of a Supplemental Initial Decision on Remand within 60 days of the entry date of this Opinion and Order.</w:t>
      </w:r>
    </w:p>
    <w:p w:rsidR="00887CAF" w:rsidRPr="00887CAF" w:rsidRDefault="00887CAF" w:rsidP="00AA008E">
      <w:pPr>
        <w:spacing w:line="240" w:lineRule="auto"/>
        <w:ind w:left="1440" w:right="1440" w:firstLine="1440"/>
        <w:contextualSpacing/>
        <w:jc w:val="left"/>
      </w:pPr>
    </w:p>
    <w:p w:rsidR="00887CAF" w:rsidRDefault="00887CAF" w:rsidP="00AA008E">
      <w:pPr>
        <w:spacing w:line="240" w:lineRule="auto"/>
        <w:ind w:left="1440" w:right="1440" w:firstLine="1440"/>
        <w:contextualSpacing/>
        <w:jc w:val="left"/>
      </w:pPr>
      <w:r w:rsidRPr="00887CAF">
        <w:t>4.</w:t>
      </w:r>
      <w:r w:rsidRPr="00887CAF">
        <w:tab/>
        <w:t>That the Initial Decision of Administrative Law Judge Susan D. Colwell, issued on July 11, 2013 at Docket Nos. C-2011-2253750 and C-2011-2253787, and the associated Exceptions and Replies to Exceptions are held in abeyance during the limited remand proceeding described in Ordering Paragraph No. 3.</w:t>
      </w:r>
    </w:p>
    <w:p w:rsidR="00AA64E0" w:rsidRDefault="00AA64E0" w:rsidP="00AA008E">
      <w:pPr>
        <w:spacing w:line="240" w:lineRule="auto"/>
        <w:ind w:left="1440" w:right="1440" w:firstLine="1440"/>
        <w:contextualSpacing/>
        <w:jc w:val="left"/>
      </w:pPr>
    </w:p>
    <w:p w:rsidR="00AA64E0" w:rsidRDefault="00AA64E0" w:rsidP="00AA64E0">
      <w:pPr>
        <w:contextualSpacing/>
        <w:jc w:val="left"/>
      </w:pPr>
      <w:r>
        <w:t>Opinion and Order of November 9, 2015.</w:t>
      </w:r>
    </w:p>
    <w:p w:rsidR="00AA64E0" w:rsidRDefault="00AA64E0" w:rsidP="00AA64E0">
      <w:pPr>
        <w:contextualSpacing/>
        <w:jc w:val="left"/>
      </w:pPr>
    </w:p>
    <w:p w:rsidR="00AA64E0" w:rsidRDefault="00AA64E0" w:rsidP="00AA64E0">
      <w:pPr>
        <w:contextualSpacing/>
        <w:jc w:val="left"/>
      </w:pPr>
      <w:r>
        <w:tab/>
      </w:r>
      <w:r>
        <w:tab/>
        <w:t>The exact nature of the remand is set forth in the May 28, 2015 Opinion and Order:</w:t>
      </w:r>
    </w:p>
    <w:p w:rsidR="00AA64E0" w:rsidRPr="00AA64E0" w:rsidRDefault="00AA64E0" w:rsidP="00AA64E0">
      <w:pPr>
        <w:spacing w:line="240" w:lineRule="auto"/>
        <w:ind w:left="1440" w:right="1440"/>
        <w:contextualSpacing/>
        <w:jc w:val="left"/>
      </w:pPr>
      <w:r>
        <w:tab/>
      </w:r>
      <w:r w:rsidRPr="00AA64E0">
        <w:t xml:space="preserve">It is evident from the ALJ’s ruling that this matter is a highly complex intercarrier compensation dispute in which the Parties have alleged numerous claims resulting in significant amounts of intercarrier compensation owed or credited.  This complexity is further compounded by developments that have occurred at the federal level subsequent to the issuance of the I.D.  We find that such developments may have an impact on the record evidence that the ALJ relied on to support her ruling in this matter.  As noted, </w:t>
      </w:r>
      <w:r w:rsidRPr="00AA64E0">
        <w:rPr>
          <w:i/>
        </w:rPr>
        <w:t>supra</w:t>
      </w:r>
      <w:r w:rsidRPr="00AA64E0">
        <w:t xml:space="preserve">, the FCC released its </w:t>
      </w:r>
      <w:r w:rsidRPr="00AA64E0">
        <w:rPr>
          <w:i/>
        </w:rPr>
        <w:t>VoIP Symmetry Order</w:t>
      </w:r>
      <w:r w:rsidRPr="00AA64E0">
        <w:t xml:space="preserve"> on February 11, 2015, in which it clarified the VoIP Symmetry Rule it set forth in </w:t>
      </w:r>
      <w:r w:rsidRPr="00AA64E0">
        <w:rPr>
          <w:i/>
        </w:rPr>
        <w:t>In the Matter of Connect America Fund</w:t>
      </w:r>
      <w:r w:rsidRPr="00AA64E0">
        <w:t>, 26 FCC Rcd. 17663 (2011) (</w:t>
      </w:r>
      <w:r w:rsidRPr="00AA64E0">
        <w:rPr>
          <w:i/>
        </w:rPr>
        <w:t>USF/ICC Transformation Order</w:t>
      </w:r>
      <w:r w:rsidRPr="00AA64E0">
        <w:t xml:space="preserve">), </w:t>
      </w:r>
      <w:r w:rsidRPr="00AA64E0">
        <w:rPr>
          <w:i/>
        </w:rPr>
        <w:t>aff’d, In re FCC 11-161</w:t>
      </w:r>
      <w:r w:rsidRPr="00AA64E0">
        <w:t>, 753 F.3d 1015 (10</w:t>
      </w:r>
      <w:r w:rsidRPr="00AA64E0">
        <w:rPr>
          <w:vertAlign w:val="superscript"/>
        </w:rPr>
        <w:t>th</w:t>
      </w:r>
      <w:r w:rsidRPr="00AA64E0">
        <w:t xml:space="preserve"> Cir. 2014), </w:t>
      </w:r>
      <w:r w:rsidRPr="00AA64E0">
        <w:rPr>
          <w:i/>
        </w:rPr>
        <w:t>reh’g petitions denied, cert. denied,</w:t>
      </w:r>
      <w:r w:rsidRPr="00AA64E0">
        <w:t xml:space="preserve"> –  S.Ct. – (U.S. May 4, 2015) (14-901).  Specifically, the FCC clarified that its VoIP Symmetry Rule is technology and facilities neutral and does not mandate that an entity use a specific technology or its own facilities in order to charge for the services that it considers to be the equivalent of end office switching.  </w:t>
      </w:r>
      <w:r w:rsidRPr="00AA64E0">
        <w:rPr>
          <w:i/>
        </w:rPr>
        <w:t>VoIP Symmetry Order</w:t>
      </w:r>
      <w:r w:rsidRPr="00AA64E0">
        <w:t xml:space="preserve"> at ¶¶ 1-3.  </w:t>
      </w:r>
    </w:p>
    <w:p w:rsidR="00AA64E0" w:rsidRPr="00AA64E0" w:rsidRDefault="00AA64E0" w:rsidP="00AA64E0">
      <w:pPr>
        <w:spacing w:line="240" w:lineRule="auto"/>
        <w:ind w:left="1440" w:right="1440" w:firstLine="1440"/>
        <w:contextualSpacing/>
        <w:jc w:val="left"/>
      </w:pPr>
    </w:p>
    <w:p w:rsidR="00AA64E0" w:rsidRPr="00AA64E0" w:rsidRDefault="00AA64E0" w:rsidP="00AA64E0">
      <w:pPr>
        <w:spacing w:line="240" w:lineRule="auto"/>
        <w:ind w:left="1440" w:right="1440"/>
        <w:contextualSpacing/>
        <w:jc w:val="left"/>
      </w:pPr>
      <w:r>
        <w:tab/>
      </w:r>
      <w:r w:rsidRPr="00AA64E0">
        <w:t xml:space="preserve">In its </w:t>
      </w:r>
      <w:r w:rsidRPr="00AA64E0">
        <w:rPr>
          <w:i/>
        </w:rPr>
        <w:t>February 2015 Letter,</w:t>
      </w:r>
      <w:r w:rsidRPr="00AA64E0">
        <w:t xml:space="preserve"> referenced above, Core contends that the </w:t>
      </w:r>
      <w:r w:rsidRPr="00AA64E0">
        <w:rPr>
          <w:i/>
        </w:rPr>
        <w:t xml:space="preserve">VoIP Symmetry Order </w:t>
      </w:r>
      <w:r w:rsidRPr="00AA64E0">
        <w:t xml:space="preserve">lends support to its argument relative to the unpaid switched access bills it rendered, and continues to render, to Verizon.  On the other hand, Verizon’s Response to Core’s </w:t>
      </w:r>
      <w:r w:rsidRPr="00AA64E0">
        <w:rPr>
          <w:i/>
        </w:rPr>
        <w:t>February 2015 Letter</w:t>
      </w:r>
      <w:r w:rsidRPr="00AA64E0">
        <w:t xml:space="preserve"> counters that the FCC’s ruling does nothing to alter, but instead confirms the ALJ’s ruling in the matter before us.  In a similar fashion, Verizon, in its </w:t>
      </w:r>
      <w:r w:rsidRPr="00AA64E0">
        <w:rPr>
          <w:i/>
        </w:rPr>
        <w:t>June 2014 Letter</w:t>
      </w:r>
      <w:r w:rsidRPr="00AA64E0">
        <w:t xml:space="preserve">, asserts that the Fourth Circuit’s </w:t>
      </w:r>
      <w:r w:rsidRPr="00AA64E0">
        <w:rPr>
          <w:i/>
        </w:rPr>
        <w:t>Coretel-Verizon VA Order</w:t>
      </w:r>
      <w:r w:rsidRPr="00AA64E0">
        <w:t xml:space="preserve"> examines a dispute with issues that are similar to those in the matter before us.  Therefore, Verizon argues that the </w:t>
      </w:r>
      <w:r w:rsidRPr="00AA64E0">
        <w:rPr>
          <w:i/>
        </w:rPr>
        <w:t xml:space="preserve">Coretel-Verizon VA Order </w:t>
      </w:r>
      <w:r w:rsidRPr="00AA64E0">
        <w:t xml:space="preserve">supports certain of its Replies to Core’s Exceptions in the instant case.  Core’s Response to Verizon’s </w:t>
      </w:r>
      <w:r w:rsidRPr="00AA64E0">
        <w:rPr>
          <w:i/>
        </w:rPr>
        <w:t>June 2014 Letter</w:t>
      </w:r>
      <w:r w:rsidRPr="00AA64E0">
        <w:t xml:space="preserve"> refutes Verizon’s arguments.</w:t>
      </w:r>
    </w:p>
    <w:p w:rsidR="00AA64E0" w:rsidRPr="00AA64E0" w:rsidRDefault="00AA64E0" w:rsidP="00AA64E0">
      <w:pPr>
        <w:spacing w:line="240" w:lineRule="auto"/>
        <w:ind w:left="1440" w:right="1440" w:firstLine="1440"/>
        <w:contextualSpacing/>
        <w:jc w:val="left"/>
      </w:pPr>
    </w:p>
    <w:p w:rsidR="00AA64E0" w:rsidRPr="00AA64E0" w:rsidRDefault="00AA64E0" w:rsidP="00AA64E0">
      <w:pPr>
        <w:spacing w:line="240" w:lineRule="auto"/>
        <w:ind w:left="1440" w:right="1440"/>
        <w:jc w:val="left"/>
      </w:pPr>
      <w:r>
        <w:tab/>
      </w:r>
      <w:r w:rsidRPr="00AA64E0">
        <w:t>As explained above, the issues involved in this case are governed by the existing ICAs as well as state and federal law.  Additionally, the subsequent rulings issued at the federal level</w:t>
      </w:r>
      <w:r w:rsidR="00E161FA">
        <w:t xml:space="preserve"> </w:t>
      </w:r>
      <w:r w:rsidRPr="00AA64E0">
        <w:t xml:space="preserve">may impact the initial findings and ALJ recommendation in this proceeding.  In review of the record as developed thus far, we find that it is unclear whether either party has met its burden of proof with regard to the amount of traffic for the claimed backbilling as well as the appropriate compensation.  In light of the changed circumstances, we are of the opinion that a limited remand of this proceeding is necessary so that FCC’s </w:t>
      </w:r>
      <w:r w:rsidRPr="00AA64E0">
        <w:rPr>
          <w:i/>
        </w:rPr>
        <w:t>VoIP Symmetry Order</w:t>
      </w:r>
      <w:r w:rsidRPr="00AA64E0">
        <w:t xml:space="preserve">, at a minimum, may be reviewed to determine its impact on the intercarrier compensation issues in the matter before us and subsequently addressed in a Supplemental Initial Decision on Remand.  Once the OALJ concludes the limited remand, we will consider all of the outstanding issues pending in this proceeding in light of these more recent developments as ripe for disposition. </w:t>
      </w:r>
    </w:p>
    <w:p w:rsidR="00AA64E0" w:rsidRPr="00AA64E0" w:rsidRDefault="00AA64E0" w:rsidP="00AA64E0">
      <w:pPr>
        <w:spacing w:line="240" w:lineRule="auto"/>
        <w:ind w:left="1440" w:right="1440" w:firstLine="1440"/>
        <w:jc w:val="left"/>
      </w:pPr>
    </w:p>
    <w:p w:rsidR="00AA64E0" w:rsidRPr="00AA64E0" w:rsidRDefault="00AA64E0" w:rsidP="00AA64E0">
      <w:pPr>
        <w:spacing w:line="240" w:lineRule="auto"/>
        <w:ind w:left="1440" w:right="1440"/>
        <w:jc w:val="left"/>
      </w:pPr>
      <w:r>
        <w:tab/>
      </w:r>
      <w:r w:rsidRPr="00AA64E0">
        <w:t xml:space="preserve">We further note that in the event that the Parties wish to expand the scope of this limited remand, an appropriate request must be made to the OALJ in an expedited manner.  Thus, the ALJ’s Initial Decision and the associated Exceptions and Replies to Exceptions are held in abeyance until the Commission can consider the subsequent record evidence, pleadings, and the Initial Decision in this limited remand.  Notwithstanding the above, we also remind the Parties that the provisions for dispute resolution in the existing ICAs may be utilized for good faith negotiations.  </w:t>
      </w:r>
    </w:p>
    <w:p w:rsidR="00AA64E0" w:rsidRDefault="00AA64E0" w:rsidP="00AA64E0">
      <w:pPr>
        <w:spacing w:line="240" w:lineRule="auto"/>
        <w:contextualSpacing/>
        <w:jc w:val="left"/>
      </w:pPr>
      <w:r>
        <w:t>Opinion and Order of May 28, 2015.</w:t>
      </w:r>
    </w:p>
    <w:p w:rsidR="00AA64E0" w:rsidRDefault="00AA64E0" w:rsidP="00AA64E0">
      <w:pPr>
        <w:spacing w:line="240" w:lineRule="auto"/>
        <w:contextualSpacing/>
        <w:jc w:val="left"/>
      </w:pPr>
    </w:p>
    <w:p w:rsidR="00AA64E0" w:rsidRDefault="00AA64E0" w:rsidP="00AA008E">
      <w:pPr>
        <w:contextualSpacing/>
        <w:jc w:val="left"/>
      </w:pPr>
      <w:r>
        <w:tab/>
      </w:r>
      <w:r>
        <w:tab/>
        <w:t xml:space="preserve">Please note here that the sixty day deadline for the </w:t>
      </w:r>
      <w:r w:rsidR="00C701EB">
        <w:t>issuance of the recommended decision on remand precludes any expansion of the scope of this case.  The parties are directed to file briefs, with the subject matter limited to the following Commission directive:</w:t>
      </w:r>
    </w:p>
    <w:p w:rsidR="00AA64E0" w:rsidRPr="00AA64E0" w:rsidRDefault="00AA64E0" w:rsidP="00AA64E0">
      <w:pPr>
        <w:spacing w:line="240" w:lineRule="auto"/>
        <w:contextualSpacing/>
        <w:jc w:val="left"/>
      </w:pPr>
      <w:r>
        <w:tab/>
      </w:r>
      <w:r>
        <w:tab/>
      </w:r>
    </w:p>
    <w:p w:rsidR="00AA64E0" w:rsidRPr="00C701EB" w:rsidRDefault="00AA64E0" w:rsidP="00C701EB">
      <w:pPr>
        <w:spacing w:line="240" w:lineRule="auto"/>
        <w:ind w:left="1440" w:right="1440" w:firstLine="1440"/>
        <w:contextualSpacing/>
        <w:jc w:val="left"/>
      </w:pPr>
      <w:r w:rsidRPr="00C701EB">
        <w:t>3.</w:t>
      </w:r>
      <w:r w:rsidRPr="00C701EB">
        <w:tab/>
        <w:t xml:space="preserve">That the proceeding be remanded to the Office of Administrative Law Judge for further deliberation on the Federal Communications Commission’s February 11, 2015 Declaratory Ruling in </w:t>
      </w:r>
      <w:r w:rsidRPr="00C701EB">
        <w:rPr>
          <w:i/>
        </w:rPr>
        <w:t xml:space="preserve">In the Matter of Connect America Fund Developing a Unified Intercarrier Compensation Regime, </w:t>
      </w:r>
      <w:r w:rsidRPr="00C701EB">
        <w:t xml:space="preserve">WC Docket No. 10-90 and CC Docket No. 01-92, </w:t>
      </w:r>
      <w:r w:rsidRPr="00C701EB">
        <w:rPr>
          <w:i/>
        </w:rPr>
        <w:t>appeal pending</w:t>
      </w:r>
      <w:r w:rsidRPr="00C701EB">
        <w:t>,</w:t>
      </w:r>
      <w:r w:rsidRPr="00C701EB">
        <w:rPr>
          <w:i/>
        </w:rPr>
        <w:t xml:space="preserve"> AT&amp;T Corp. v. FCC</w:t>
      </w:r>
      <w:r w:rsidRPr="00C701EB">
        <w:t xml:space="preserve">, Case No. 15-1059, (DC Cir., filed March 18, 2015), consistent with this Opinion and Order.  </w:t>
      </w:r>
    </w:p>
    <w:p w:rsidR="00AA64E0" w:rsidRPr="00887CAF" w:rsidRDefault="00C701EB" w:rsidP="00AA64E0">
      <w:pPr>
        <w:contextualSpacing/>
        <w:jc w:val="left"/>
      </w:pPr>
      <w:r>
        <w:t>Opinion and Order of May 28, 2015.</w:t>
      </w:r>
    </w:p>
    <w:p w:rsidR="007421EF" w:rsidRDefault="007421EF" w:rsidP="007421EF">
      <w:pPr>
        <w:jc w:val="left"/>
      </w:pPr>
    </w:p>
    <w:p w:rsidR="007421EF" w:rsidRDefault="007421EF" w:rsidP="007421EF">
      <w:pPr>
        <w:jc w:val="left"/>
      </w:pPr>
      <w:r>
        <w:tab/>
      </w:r>
      <w:r>
        <w:tab/>
        <w:t xml:space="preserve">As the direction is to evaluate a development which is entirely legal in nature and involves no additional facts, there is no need for an evidentiary hearing.  </w:t>
      </w:r>
      <w:r w:rsidR="00E161FA">
        <w:t xml:space="preserve">I note that any appropriate legal authority may be cited, and either attaching a copy of the cited cases or working together to create a single reference document that contains all cited by both parties, due with the Reply Briefs, is encouraged.  </w:t>
      </w:r>
      <w:r>
        <w:t>Accordingly, the parties are directed as follows:</w:t>
      </w:r>
    </w:p>
    <w:p w:rsidR="007421EF" w:rsidRDefault="007421EF" w:rsidP="007421EF">
      <w:pPr>
        <w:jc w:val="left"/>
      </w:pPr>
    </w:p>
    <w:p w:rsidR="007421EF" w:rsidRDefault="007421EF" w:rsidP="007421EF">
      <w:pPr>
        <w:jc w:val="left"/>
      </w:pPr>
      <w:r>
        <w:tab/>
      </w:r>
      <w:r>
        <w:tab/>
        <w:t>1.</w:t>
      </w:r>
      <w:r>
        <w:tab/>
        <w:t xml:space="preserve">On or before </w:t>
      </w:r>
      <w:r w:rsidR="00AA008E" w:rsidRPr="00E161FA">
        <w:rPr>
          <w:b/>
        </w:rPr>
        <w:t>Friday, November 20, 2015</w:t>
      </w:r>
      <w:r w:rsidR="00AA008E">
        <w:t xml:space="preserve">, the parties shall file a Main Brief regarding </w:t>
      </w:r>
      <w:r w:rsidR="00AA008E" w:rsidRPr="00AA64E0">
        <w:t>whether either party has met its burden of proof with regard to the amount of traffic for the claimed backbilling as well as the appropriate compensation</w:t>
      </w:r>
      <w:r w:rsidR="00AA008E">
        <w:t>, i</w:t>
      </w:r>
      <w:r w:rsidR="00AA008E" w:rsidRPr="00AA64E0">
        <w:t xml:space="preserve">n light of the FCC’s </w:t>
      </w:r>
      <w:r w:rsidR="00AA008E" w:rsidRPr="00AA64E0">
        <w:rPr>
          <w:i/>
        </w:rPr>
        <w:t>VoIP Symmetry Order</w:t>
      </w:r>
      <w:r w:rsidR="00AA008E">
        <w:t>.</w:t>
      </w:r>
    </w:p>
    <w:p w:rsidR="00AA008E" w:rsidRDefault="00AA008E" w:rsidP="007421EF">
      <w:pPr>
        <w:jc w:val="left"/>
      </w:pPr>
    </w:p>
    <w:p w:rsidR="00AA008E" w:rsidRDefault="00AA008E" w:rsidP="007421EF">
      <w:pPr>
        <w:jc w:val="left"/>
      </w:pPr>
      <w:r>
        <w:tab/>
      </w:r>
      <w:r>
        <w:tab/>
        <w:t>2.</w:t>
      </w:r>
      <w:r>
        <w:tab/>
        <w:t xml:space="preserve">That on or before </w:t>
      </w:r>
      <w:r w:rsidRPr="00E161FA">
        <w:rPr>
          <w:b/>
        </w:rPr>
        <w:t>Monday, November 30, 2015</w:t>
      </w:r>
      <w:r>
        <w:t>, each party may file a Reply Brief, whose subject matter is limited to those issues raised in the other party's Main Brief.</w:t>
      </w:r>
    </w:p>
    <w:p w:rsidR="00AA008E" w:rsidRDefault="00AA008E" w:rsidP="007421EF">
      <w:pPr>
        <w:jc w:val="left"/>
      </w:pPr>
    </w:p>
    <w:p w:rsidR="00AA008E" w:rsidRDefault="00AA008E" w:rsidP="007421EF">
      <w:pPr>
        <w:jc w:val="left"/>
      </w:pPr>
      <w:r>
        <w:tab/>
      </w:r>
      <w:r>
        <w:tab/>
        <w:t>3.</w:t>
      </w:r>
      <w:r>
        <w:tab/>
        <w:t>That a copy of the FCC ruling shall be included with the Main Brief.</w:t>
      </w:r>
    </w:p>
    <w:p w:rsidR="00E161FA" w:rsidRDefault="00E161FA" w:rsidP="007421EF">
      <w:pPr>
        <w:jc w:val="left"/>
      </w:pPr>
    </w:p>
    <w:p w:rsidR="00E161FA" w:rsidRDefault="00E161FA" w:rsidP="007421EF">
      <w:pPr>
        <w:jc w:val="left"/>
      </w:pPr>
      <w:r>
        <w:tab/>
      </w:r>
      <w:r>
        <w:tab/>
        <w:t>4.</w:t>
      </w:r>
      <w:r>
        <w:tab/>
        <w:t>That no extensions shall be entertained.</w:t>
      </w:r>
    </w:p>
    <w:p w:rsidR="00E161FA" w:rsidRDefault="00E161FA" w:rsidP="007421EF">
      <w:pPr>
        <w:jc w:val="left"/>
      </w:pPr>
    </w:p>
    <w:p w:rsidR="00E75E35" w:rsidRDefault="00E75E35" w:rsidP="007421EF">
      <w:pPr>
        <w:jc w:val="left"/>
      </w:pPr>
    </w:p>
    <w:p w:rsidR="00E161FA" w:rsidRDefault="00E161FA" w:rsidP="00E161FA">
      <w:pPr>
        <w:spacing w:line="240" w:lineRule="auto"/>
        <w:jc w:val="left"/>
      </w:pPr>
      <w:r>
        <w:t>Dated:</w:t>
      </w:r>
      <w:r>
        <w:tab/>
      </w:r>
      <w:r>
        <w:rPr>
          <w:u w:val="single"/>
        </w:rPr>
        <w:t>November 9, 2015</w:t>
      </w:r>
      <w:r>
        <w:tab/>
      </w:r>
      <w:r>
        <w:tab/>
      </w:r>
      <w:r>
        <w:tab/>
      </w:r>
      <w:r>
        <w:tab/>
        <w:t>_________________________________</w:t>
      </w:r>
    </w:p>
    <w:p w:rsidR="00E161FA" w:rsidRDefault="00E161FA" w:rsidP="00E161FA">
      <w:pPr>
        <w:spacing w:line="240" w:lineRule="auto"/>
        <w:jc w:val="left"/>
      </w:pPr>
      <w:r>
        <w:tab/>
      </w:r>
      <w:r>
        <w:tab/>
      </w:r>
      <w:r>
        <w:tab/>
      </w:r>
      <w:r>
        <w:tab/>
      </w:r>
      <w:r>
        <w:tab/>
      </w:r>
      <w:r>
        <w:tab/>
      </w:r>
      <w:r>
        <w:tab/>
        <w:t>Susan D. Colwell</w:t>
      </w:r>
    </w:p>
    <w:p w:rsidR="00E161FA" w:rsidRPr="00E161FA" w:rsidRDefault="00E161FA" w:rsidP="00E161FA">
      <w:pPr>
        <w:spacing w:line="240" w:lineRule="auto"/>
        <w:jc w:val="left"/>
      </w:pPr>
      <w:r>
        <w:tab/>
      </w:r>
      <w:r>
        <w:tab/>
      </w:r>
      <w:r>
        <w:tab/>
      </w:r>
      <w:r>
        <w:tab/>
      </w:r>
      <w:r>
        <w:tab/>
      </w:r>
      <w:r>
        <w:tab/>
      </w:r>
      <w:r>
        <w:tab/>
        <w:t>Administrative law judge</w:t>
      </w:r>
    </w:p>
    <w:p w:rsidR="007421EF" w:rsidRPr="007853B5" w:rsidRDefault="007421EF" w:rsidP="00D5403D">
      <w:pPr>
        <w:jc w:val="left"/>
      </w:pPr>
      <w:r w:rsidRPr="007853B5">
        <w:tab/>
      </w:r>
      <w:r w:rsidRPr="007853B5">
        <w:tab/>
      </w:r>
    </w:p>
    <w:p w:rsidR="00E75E35" w:rsidRDefault="00E75E35" w:rsidP="007421EF">
      <w:pPr>
        <w:jc w:val="left"/>
        <w:sectPr w:rsidR="00E75E35" w:rsidSect="00E161FA">
          <w:footerReference w:type="default" r:id="rId7"/>
          <w:pgSz w:w="12240" w:h="15840"/>
          <w:pgMar w:top="1440" w:right="1440" w:bottom="1440" w:left="1440" w:header="720" w:footer="720" w:gutter="0"/>
          <w:cols w:space="720"/>
          <w:titlePg/>
          <w:docGrid w:linePitch="360"/>
        </w:sectPr>
      </w:pPr>
    </w:p>
    <w:p w:rsidR="00E75E35" w:rsidRPr="00E75E35" w:rsidRDefault="00E75E35" w:rsidP="00E75E35">
      <w:pPr>
        <w:spacing w:line="240" w:lineRule="auto"/>
        <w:jc w:val="left"/>
        <w:rPr>
          <w:rFonts w:ascii="Microsoft Sans Serif" w:hAnsi="Calibri" w:cstheme="minorBidi"/>
          <w:b/>
          <w:szCs w:val="22"/>
          <w:u w:val="single"/>
        </w:rPr>
      </w:pPr>
      <w:r w:rsidRPr="00E75E35">
        <w:rPr>
          <w:rFonts w:ascii="Microsoft Sans Serif" w:hAnsi="Calibri" w:cstheme="minorBidi"/>
          <w:b/>
          <w:szCs w:val="22"/>
          <w:u w:val="single"/>
        </w:rPr>
        <w:t>C-2011-2253750 - CORE COMMUNICATIONS INC v. VERIZON PENNSYLVANIA INC</w:t>
      </w:r>
      <w:r w:rsidRPr="00E75E35">
        <w:rPr>
          <w:rFonts w:ascii="Microsoft Sans Serif" w:hAnsi="Calibri" w:cstheme="minorBidi"/>
          <w:b/>
          <w:szCs w:val="22"/>
          <w:u w:val="single"/>
        </w:rPr>
        <w:cr/>
        <w:t xml:space="preserve">C-2011-2253787 </w:t>
      </w:r>
      <w:r w:rsidRPr="00E75E35">
        <w:rPr>
          <w:rFonts w:ascii="Microsoft Sans Serif" w:hAnsi="Calibri" w:cstheme="minorBidi"/>
          <w:b/>
          <w:szCs w:val="22"/>
          <w:u w:val="single"/>
        </w:rPr>
        <w:t>–</w:t>
      </w:r>
      <w:r w:rsidRPr="00E75E35">
        <w:rPr>
          <w:rFonts w:ascii="Microsoft Sans Serif" w:hAnsi="Calibri" w:cstheme="minorBidi"/>
          <w:b/>
          <w:szCs w:val="22"/>
          <w:u w:val="single"/>
        </w:rPr>
        <w:t xml:space="preserve"> CORE COMMUNICATIONS INC V VERIZON NORTH INC</w:t>
      </w:r>
    </w:p>
    <w:p w:rsidR="00E75E35" w:rsidRPr="00E75E35" w:rsidRDefault="00E75E35" w:rsidP="00E75E35">
      <w:pPr>
        <w:spacing w:line="240" w:lineRule="auto"/>
        <w:jc w:val="left"/>
        <w:rPr>
          <w:rFonts w:ascii="Microsoft Sans Serif" w:hAnsi="Calibri" w:cstheme="minorBidi"/>
          <w:i/>
          <w:szCs w:val="22"/>
        </w:rPr>
      </w:pPr>
      <w:r w:rsidRPr="00E75E35">
        <w:rPr>
          <w:rFonts w:ascii="Microsoft Sans Serif" w:hAnsi="Calibri" w:cstheme="minorBidi"/>
          <w:b/>
          <w:szCs w:val="22"/>
          <w:u w:val="single"/>
        </w:rPr>
        <w:cr/>
      </w:r>
      <w:r w:rsidRPr="00E75E35">
        <w:rPr>
          <w:rFonts w:ascii="Microsoft Sans Serif" w:hAnsi="Calibri" w:cstheme="minorBidi"/>
          <w:b/>
          <w:i/>
          <w:szCs w:val="22"/>
          <w:u w:val="single"/>
        </w:rPr>
        <w:t>REVISED 2/14/13</w:t>
      </w:r>
    </w:p>
    <w:p w:rsidR="00E75E35" w:rsidRPr="00E75E35" w:rsidRDefault="00E75E35" w:rsidP="00E75E35">
      <w:pPr>
        <w:spacing w:line="240" w:lineRule="auto"/>
        <w:jc w:val="left"/>
        <w:rPr>
          <w:rFonts w:ascii="Microsoft Sans Serif" w:hAnsi="Calibri" w:cstheme="minorBidi"/>
          <w:b/>
          <w:szCs w:val="22"/>
          <w:u w:val="single"/>
        </w:rPr>
      </w:pP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MICHAEL A GRUIN ESQUIRE</w:t>
      </w:r>
      <w:r w:rsidRPr="00E75E35">
        <w:rPr>
          <w:rFonts w:ascii="Microsoft Sans Serif" w:hAnsi="Calibri" w:cstheme="minorBidi"/>
          <w:szCs w:val="22"/>
        </w:rPr>
        <w:cr/>
        <w:t>STEVENS &amp; LEE</w:t>
      </w:r>
      <w:r w:rsidRPr="00E75E35">
        <w:rPr>
          <w:rFonts w:ascii="Microsoft Sans Serif" w:hAnsi="Calibri" w:cstheme="minorBidi"/>
          <w:szCs w:val="22"/>
        </w:rPr>
        <w:cr/>
        <w:t>16</w:t>
      </w:r>
      <w:r w:rsidRPr="00E75E35">
        <w:rPr>
          <w:rFonts w:ascii="Microsoft Sans Serif" w:hAnsi="Calibri" w:cstheme="minorBidi"/>
          <w:szCs w:val="22"/>
          <w:vertAlign w:val="superscript"/>
        </w:rPr>
        <w:t>TH</w:t>
      </w:r>
      <w:r w:rsidRPr="00E75E35">
        <w:rPr>
          <w:rFonts w:ascii="Microsoft Sans Serif" w:hAnsi="Calibri" w:cstheme="minorBidi"/>
          <w:szCs w:val="22"/>
        </w:rPr>
        <w:t xml:space="preserve"> FLOOR</w:t>
      </w:r>
      <w:r w:rsidRPr="00E75E35">
        <w:rPr>
          <w:rFonts w:ascii="Microsoft Sans Serif" w:hAnsi="Calibri" w:cstheme="minorBidi"/>
          <w:szCs w:val="22"/>
        </w:rPr>
        <w:cr/>
        <w:t xml:space="preserve">17 NORTH SECOND </w:t>
      </w:r>
      <w:proofErr w:type="gramStart"/>
      <w:r w:rsidRPr="00E75E35">
        <w:rPr>
          <w:rFonts w:ascii="Microsoft Sans Serif" w:hAnsi="Calibri" w:cstheme="minorBidi"/>
          <w:szCs w:val="22"/>
        </w:rPr>
        <w:t>STREET</w:t>
      </w:r>
      <w:proofErr w:type="gramEnd"/>
      <w:r w:rsidRPr="00E75E35">
        <w:rPr>
          <w:rFonts w:ascii="Microsoft Sans Serif" w:hAnsi="Calibri" w:cstheme="minorBidi"/>
          <w:szCs w:val="22"/>
        </w:rPr>
        <w:cr/>
        <w:t>HARRISBURG PA  17101</w:t>
      </w:r>
      <w:r w:rsidRPr="00E75E35">
        <w:rPr>
          <w:rFonts w:ascii="Microsoft Sans Serif" w:hAnsi="Calibri" w:cstheme="minorBidi"/>
          <w:szCs w:val="22"/>
        </w:rPr>
        <w:cr/>
      </w:r>
      <w:bookmarkStart w:id="0" w:name="_GoBack"/>
      <w:bookmarkEnd w:id="0"/>
      <w:r w:rsidRPr="00E75E35">
        <w:rPr>
          <w:rFonts w:ascii="Microsoft Sans Serif" w:hAnsi="Calibri" w:cstheme="minorBidi"/>
          <w:b/>
          <w:szCs w:val="22"/>
        </w:rPr>
        <w:t>717-255-7365</w:t>
      </w:r>
      <w:r w:rsidRPr="00E75E35">
        <w:rPr>
          <w:rFonts w:ascii="Microsoft Sans Serif" w:hAnsi="Calibri" w:cstheme="minorBidi"/>
          <w:b/>
          <w:szCs w:val="22"/>
        </w:rPr>
        <w:cr/>
      </w:r>
      <w:proofErr w:type="spellStart"/>
      <w:proofErr w:type="gramStart"/>
      <w:r w:rsidRPr="00E75E35">
        <w:rPr>
          <w:rFonts w:ascii="Microsoft Sans Serif" w:hAnsi="Calibri" w:cstheme="minorBidi"/>
          <w:b/>
          <w:i/>
          <w:szCs w:val="22"/>
          <w:u w:val="single"/>
        </w:rPr>
        <w:t>eServe</w:t>
      </w:r>
      <w:proofErr w:type="spellEnd"/>
      <w:proofErr w:type="gramEnd"/>
    </w:p>
    <w:p w:rsidR="00E75E35" w:rsidRPr="00E75E35" w:rsidRDefault="00E75E35" w:rsidP="00E75E35">
      <w:pPr>
        <w:spacing w:line="240" w:lineRule="auto"/>
        <w:jc w:val="left"/>
        <w:rPr>
          <w:rFonts w:ascii="Microsoft Sans Serif" w:hAnsi="Calibri" w:cstheme="minorBidi"/>
          <w:szCs w:val="22"/>
        </w:rPr>
      </w:pP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SUSAN D PAIVA ESQUIRE</w:t>
      </w:r>
      <w:r w:rsidRPr="00E75E35">
        <w:rPr>
          <w:rFonts w:ascii="Microsoft Sans Serif" w:hAnsi="Calibri" w:cstheme="minorBidi"/>
          <w:szCs w:val="22"/>
        </w:rPr>
        <w:cr/>
        <w:t>VERIZON COMMUNICATIONS INC</w:t>
      </w:r>
      <w:r w:rsidRPr="00E75E35">
        <w:rPr>
          <w:rFonts w:ascii="Microsoft Sans Serif" w:hAnsi="Calibri" w:cstheme="minorBidi"/>
          <w:szCs w:val="22"/>
        </w:rPr>
        <w:cr/>
        <w:t>1717 ARCH STREET</w:t>
      </w: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PHILADELPHIA PA 19103</w:t>
      </w:r>
    </w:p>
    <w:p w:rsidR="00E75E35" w:rsidRPr="00E75E35" w:rsidRDefault="00E75E35" w:rsidP="00E75E35">
      <w:pPr>
        <w:spacing w:line="240" w:lineRule="auto"/>
        <w:jc w:val="left"/>
        <w:rPr>
          <w:rFonts w:ascii="Microsoft Sans Serif" w:hAnsi="Calibri" w:cstheme="minorBidi"/>
          <w:b/>
          <w:szCs w:val="22"/>
        </w:rPr>
      </w:pPr>
      <w:r w:rsidRPr="00E75E35">
        <w:rPr>
          <w:rFonts w:ascii="Microsoft Sans Serif" w:hAnsi="Calibri" w:cstheme="minorBidi"/>
          <w:b/>
          <w:szCs w:val="22"/>
        </w:rPr>
        <w:t>215.466.4755</w:t>
      </w:r>
    </w:p>
    <w:p w:rsidR="00E75E35" w:rsidRPr="00E75E35" w:rsidRDefault="00E75E35" w:rsidP="00E75E35">
      <w:pPr>
        <w:spacing w:line="240" w:lineRule="auto"/>
        <w:jc w:val="left"/>
        <w:rPr>
          <w:rFonts w:ascii="Microsoft Sans Serif" w:hAnsi="Calibri" w:cstheme="minorBidi"/>
          <w:szCs w:val="22"/>
        </w:rPr>
      </w:pPr>
      <w:proofErr w:type="spellStart"/>
      <w:proofErr w:type="gramStart"/>
      <w:r w:rsidRPr="00E75E35">
        <w:rPr>
          <w:rFonts w:ascii="Microsoft Sans Serif" w:hAnsi="Calibri" w:cstheme="minorBidi"/>
          <w:b/>
          <w:i/>
          <w:szCs w:val="22"/>
          <w:u w:val="single"/>
        </w:rPr>
        <w:t>eServe</w:t>
      </w:r>
      <w:proofErr w:type="spellEnd"/>
      <w:proofErr w:type="gramEnd"/>
      <w:r w:rsidRPr="00E75E35">
        <w:rPr>
          <w:rFonts w:ascii="Microsoft Sans Serif" w:hAnsi="Calibri" w:cstheme="minorBidi"/>
          <w:b/>
          <w:szCs w:val="22"/>
          <w:u w:val="single"/>
        </w:rPr>
        <w:t xml:space="preserve"> </w:t>
      </w:r>
      <w:r w:rsidRPr="00E75E35">
        <w:rPr>
          <w:rFonts w:ascii="Microsoft Sans Serif" w:hAnsi="Calibri" w:cstheme="minorBidi"/>
          <w:b/>
          <w:szCs w:val="22"/>
        </w:rPr>
        <w:cr/>
      </w:r>
      <w:r w:rsidRPr="00E75E35">
        <w:rPr>
          <w:rFonts w:ascii="Microsoft Sans Serif" w:hAnsi="Calibri" w:cstheme="minorBidi"/>
          <w:szCs w:val="22"/>
        </w:rPr>
        <w:cr/>
        <w:t>DEBORAH L KUHN ESQUIRE</w:t>
      </w: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VERIZON</w:t>
      </w: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205 N MICHIGAN AVENUE</w:t>
      </w:r>
    </w:p>
    <w:p w:rsidR="00E75E35" w:rsidRPr="00E75E35" w:rsidRDefault="00E75E35" w:rsidP="00E75E35">
      <w:pPr>
        <w:spacing w:line="240" w:lineRule="auto"/>
        <w:jc w:val="left"/>
        <w:rPr>
          <w:rFonts w:ascii="Microsoft Sans Serif" w:hAnsi="Calibri" w:cstheme="minorBidi"/>
          <w:szCs w:val="22"/>
        </w:rPr>
      </w:pPr>
      <w:r w:rsidRPr="00E75E35">
        <w:rPr>
          <w:rFonts w:ascii="Microsoft Sans Serif" w:hAnsi="Calibri" w:cstheme="minorBidi"/>
          <w:szCs w:val="22"/>
        </w:rPr>
        <w:t>CHICAGO IL  60601</w:t>
      </w:r>
    </w:p>
    <w:p w:rsidR="00E75E35" w:rsidRPr="00E75E35" w:rsidRDefault="00E75E35" w:rsidP="00E75E35">
      <w:pPr>
        <w:spacing w:line="240" w:lineRule="auto"/>
        <w:jc w:val="left"/>
        <w:rPr>
          <w:rFonts w:ascii="Microsoft Sans Serif" w:hAnsi="Microsoft Sans Serif" w:cs="Microsoft Sans Serif"/>
          <w:b/>
        </w:rPr>
      </w:pPr>
      <w:r w:rsidRPr="00E75E35">
        <w:rPr>
          <w:rFonts w:ascii="Microsoft Sans Serif" w:hAnsi="Calibri" w:cstheme="minorBidi"/>
          <w:b/>
          <w:szCs w:val="22"/>
        </w:rPr>
        <w:t>312.260.3326</w:t>
      </w:r>
    </w:p>
    <w:p w:rsidR="00E75E35" w:rsidRPr="00E75E35" w:rsidRDefault="00E75E35" w:rsidP="00E75E35">
      <w:pPr>
        <w:spacing w:line="240" w:lineRule="auto"/>
        <w:jc w:val="left"/>
        <w:rPr>
          <w:rFonts w:cstheme="minorBidi"/>
          <w:b/>
          <w:szCs w:val="22"/>
        </w:rPr>
      </w:pPr>
      <w:proofErr w:type="spellStart"/>
      <w:proofErr w:type="gramStart"/>
      <w:r w:rsidRPr="00E75E35">
        <w:rPr>
          <w:rFonts w:ascii="Microsoft Sans Serif" w:hAnsi="Calibri" w:cstheme="minorBidi"/>
          <w:b/>
          <w:i/>
          <w:szCs w:val="22"/>
          <w:u w:val="single"/>
        </w:rPr>
        <w:t>eServe</w:t>
      </w:r>
      <w:proofErr w:type="spellEnd"/>
      <w:proofErr w:type="gramEnd"/>
    </w:p>
    <w:p w:rsidR="00C04960" w:rsidRDefault="00C04960" w:rsidP="007421EF">
      <w:pPr>
        <w:jc w:val="left"/>
      </w:pPr>
    </w:p>
    <w:sectPr w:rsidR="00C04960" w:rsidSect="00E161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18" w:rsidRDefault="00B54218" w:rsidP="007421EF">
      <w:pPr>
        <w:spacing w:line="240" w:lineRule="auto"/>
      </w:pPr>
      <w:r>
        <w:separator/>
      </w:r>
    </w:p>
  </w:endnote>
  <w:endnote w:type="continuationSeparator" w:id="0">
    <w:p w:rsidR="00B54218" w:rsidRDefault="00B54218" w:rsidP="00742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100712"/>
      <w:docPartObj>
        <w:docPartGallery w:val="Page Numbers (Bottom of Page)"/>
        <w:docPartUnique/>
      </w:docPartObj>
    </w:sdtPr>
    <w:sdtEndPr>
      <w:rPr>
        <w:noProof/>
      </w:rPr>
    </w:sdtEndPr>
    <w:sdtContent>
      <w:p w:rsidR="00E161FA" w:rsidRDefault="00E161FA">
        <w:pPr>
          <w:pStyle w:val="Footer"/>
        </w:pPr>
        <w:r>
          <w:fldChar w:fldCharType="begin"/>
        </w:r>
        <w:r>
          <w:instrText xml:space="preserve"> PAGE   \* MERGEFORMAT </w:instrText>
        </w:r>
        <w:r>
          <w:fldChar w:fldCharType="separate"/>
        </w:r>
        <w:r w:rsidR="00E75E35">
          <w:rPr>
            <w:noProof/>
          </w:rPr>
          <w:t>5</w:t>
        </w:r>
        <w:r>
          <w:rPr>
            <w:noProof/>
          </w:rPr>
          <w:fldChar w:fldCharType="end"/>
        </w:r>
      </w:p>
    </w:sdtContent>
  </w:sdt>
  <w:p w:rsidR="00E161FA" w:rsidRDefault="00E16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18" w:rsidRDefault="00B54218" w:rsidP="007421EF">
      <w:pPr>
        <w:spacing w:line="240" w:lineRule="auto"/>
      </w:pPr>
      <w:r>
        <w:separator/>
      </w:r>
    </w:p>
  </w:footnote>
  <w:footnote w:type="continuationSeparator" w:id="0">
    <w:p w:rsidR="00B54218" w:rsidRDefault="00B54218" w:rsidP="007421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E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F19"/>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1EF"/>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87CAF"/>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08E"/>
    <w:rsid w:val="00AA013D"/>
    <w:rsid w:val="00AA0422"/>
    <w:rsid w:val="00AA1496"/>
    <w:rsid w:val="00AA155D"/>
    <w:rsid w:val="00AA3354"/>
    <w:rsid w:val="00AA3D06"/>
    <w:rsid w:val="00AA4899"/>
    <w:rsid w:val="00AA4D37"/>
    <w:rsid w:val="00AA59F2"/>
    <w:rsid w:val="00AA639F"/>
    <w:rsid w:val="00AA6461"/>
    <w:rsid w:val="00AA64E0"/>
    <w:rsid w:val="00AA753E"/>
    <w:rsid w:val="00AB16AD"/>
    <w:rsid w:val="00AB24CE"/>
    <w:rsid w:val="00AB31C8"/>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4218"/>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01EB"/>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03D"/>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1FA"/>
    <w:rsid w:val="00E1638A"/>
    <w:rsid w:val="00E24543"/>
    <w:rsid w:val="00E2457B"/>
    <w:rsid w:val="00E247DE"/>
    <w:rsid w:val="00E257AB"/>
    <w:rsid w:val="00E3212A"/>
    <w:rsid w:val="00E32221"/>
    <w:rsid w:val="00E32512"/>
    <w:rsid w:val="00E333C7"/>
    <w:rsid w:val="00E3374E"/>
    <w:rsid w:val="00E33A7F"/>
    <w:rsid w:val="00E34A79"/>
    <w:rsid w:val="00E351B4"/>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5E35"/>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Footnote Text Char3,Footnote Text Char Char,Footnote Text Char2 Char1 Char,Footnote Text Char1 Char1 Char Char,Footnote Text Char Char5 Char Char Char,ft,ALTS FOOTNOTE Char,fn Char,f"/>
    <w:basedOn w:val="Normal"/>
    <w:link w:val="FootnoteTextChar"/>
    <w:uiPriority w:val="99"/>
    <w:unhideWhenUsed/>
    <w:qFormat/>
    <w:rsid w:val="007421EF"/>
    <w:rPr>
      <w:rFonts w:eastAsia="Calibri"/>
      <w:sz w:val="20"/>
      <w:szCs w:val="20"/>
    </w:rPr>
  </w:style>
  <w:style w:type="character" w:customStyle="1" w:styleId="FootnoteTextChar">
    <w:name w:val="Footnote Text Char"/>
    <w:aliases w:val="ALTS FOOTNOTE Char1,fn Char1,Footnote Text 2 Char,Footnote text Char,FOOTNOTE Char,Footnote Text Char3 Char,Footnote Text Char Char Char,Footnote Text Char2 Char1 Char Char,Footnote Text Char1 Char1 Char Char Char,ft Char,fn Char Char"/>
    <w:basedOn w:val="DefaultParagraphFont"/>
    <w:link w:val="FootnoteText"/>
    <w:uiPriority w:val="99"/>
    <w:rsid w:val="007421EF"/>
    <w:rPr>
      <w:rFonts w:eastAsia="Calibri"/>
      <w:sz w:val="20"/>
      <w:szCs w:val="20"/>
    </w:rPr>
  </w:style>
  <w:style w:type="character" w:styleId="FootnoteReference">
    <w:name w:val="footnote reference"/>
    <w:aliases w:val="o,fr,Style 3,Style 6,Style 20,Style 9,FR,(NECG) Footnote Reference,Appel note de bas de p,Style 17,Style 12,Style 124,Style 13,callout,Style 23,Footnote Reference/,Style 34,Style 28,Style 11,Style 16,Style 15,o1,fr1,o2,fr2,o3,fr3"/>
    <w:basedOn w:val="DefaultParagraphFont"/>
    <w:uiPriority w:val="99"/>
    <w:unhideWhenUsed/>
    <w:rsid w:val="007421EF"/>
    <w:rPr>
      <w:vertAlign w:val="superscript"/>
    </w:rPr>
  </w:style>
  <w:style w:type="paragraph" w:styleId="Header">
    <w:name w:val="header"/>
    <w:basedOn w:val="Normal"/>
    <w:link w:val="HeaderChar"/>
    <w:uiPriority w:val="99"/>
    <w:unhideWhenUsed/>
    <w:rsid w:val="00E161FA"/>
    <w:pPr>
      <w:tabs>
        <w:tab w:val="center" w:pos="4680"/>
        <w:tab w:val="right" w:pos="9360"/>
      </w:tabs>
      <w:spacing w:line="240" w:lineRule="auto"/>
    </w:pPr>
  </w:style>
  <w:style w:type="character" w:customStyle="1" w:styleId="HeaderChar">
    <w:name w:val="Header Char"/>
    <w:basedOn w:val="DefaultParagraphFont"/>
    <w:link w:val="Header"/>
    <w:uiPriority w:val="99"/>
    <w:rsid w:val="00E161FA"/>
  </w:style>
  <w:style w:type="paragraph" w:styleId="Footer">
    <w:name w:val="footer"/>
    <w:basedOn w:val="Normal"/>
    <w:link w:val="FooterChar"/>
    <w:uiPriority w:val="99"/>
    <w:unhideWhenUsed/>
    <w:rsid w:val="00E161FA"/>
    <w:pPr>
      <w:tabs>
        <w:tab w:val="center" w:pos="4680"/>
        <w:tab w:val="right" w:pos="9360"/>
      </w:tabs>
      <w:spacing w:line="240" w:lineRule="auto"/>
    </w:pPr>
  </w:style>
  <w:style w:type="character" w:customStyle="1" w:styleId="FooterChar">
    <w:name w:val="Footer Char"/>
    <w:basedOn w:val="DefaultParagraphFont"/>
    <w:link w:val="Footer"/>
    <w:uiPriority w:val="99"/>
    <w:rsid w:val="00E161FA"/>
  </w:style>
  <w:style w:type="paragraph" w:styleId="BalloonText">
    <w:name w:val="Balloon Text"/>
    <w:basedOn w:val="Normal"/>
    <w:link w:val="BalloonTextChar"/>
    <w:uiPriority w:val="99"/>
    <w:semiHidden/>
    <w:unhideWhenUsed/>
    <w:rsid w:val="00E161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Footnote Text Char3,Footnote Text Char Char,Footnote Text Char2 Char1 Char,Footnote Text Char1 Char1 Char Char,Footnote Text Char Char5 Char Char Char,ft,ALTS FOOTNOTE Char,fn Char,f"/>
    <w:basedOn w:val="Normal"/>
    <w:link w:val="FootnoteTextChar"/>
    <w:uiPriority w:val="99"/>
    <w:unhideWhenUsed/>
    <w:qFormat/>
    <w:rsid w:val="007421EF"/>
    <w:rPr>
      <w:rFonts w:eastAsia="Calibri"/>
      <w:sz w:val="20"/>
      <w:szCs w:val="20"/>
    </w:rPr>
  </w:style>
  <w:style w:type="character" w:customStyle="1" w:styleId="FootnoteTextChar">
    <w:name w:val="Footnote Text Char"/>
    <w:aliases w:val="ALTS FOOTNOTE Char1,fn Char1,Footnote Text 2 Char,Footnote text Char,FOOTNOTE Char,Footnote Text Char3 Char,Footnote Text Char Char Char,Footnote Text Char2 Char1 Char Char,Footnote Text Char1 Char1 Char Char Char,ft Char,fn Char Char"/>
    <w:basedOn w:val="DefaultParagraphFont"/>
    <w:link w:val="FootnoteText"/>
    <w:uiPriority w:val="99"/>
    <w:rsid w:val="007421EF"/>
    <w:rPr>
      <w:rFonts w:eastAsia="Calibri"/>
      <w:sz w:val="20"/>
      <w:szCs w:val="20"/>
    </w:rPr>
  </w:style>
  <w:style w:type="character" w:styleId="FootnoteReference">
    <w:name w:val="footnote reference"/>
    <w:aliases w:val="o,fr,Style 3,Style 6,Style 20,Style 9,FR,(NECG) Footnote Reference,Appel note de bas de p,Style 17,Style 12,Style 124,Style 13,callout,Style 23,Footnote Reference/,Style 34,Style 28,Style 11,Style 16,Style 15,o1,fr1,o2,fr2,o3,fr3"/>
    <w:basedOn w:val="DefaultParagraphFont"/>
    <w:uiPriority w:val="99"/>
    <w:unhideWhenUsed/>
    <w:rsid w:val="007421EF"/>
    <w:rPr>
      <w:vertAlign w:val="superscript"/>
    </w:rPr>
  </w:style>
  <w:style w:type="paragraph" w:styleId="Header">
    <w:name w:val="header"/>
    <w:basedOn w:val="Normal"/>
    <w:link w:val="HeaderChar"/>
    <w:uiPriority w:val="99"/>
    <w:unhideWhenUsed/>
    <w:rsid w:val="00E161FA"/>
    <w:pPr>
      <w:tabs>
        <w:tab w:val="center" w:pos="4680"/>
        <w:tab w:val="right" w:pos="9360"/>
      </w:tabs>
      <w:spacing w:line="240" w:lineRule="auto"/>
    </w:pPr>
  </w:style>
  <w:style w:type="character" w:customStyle="1" w:styleId="HeaderChar">
    <w:name w:val="Header Char"/>
    <w:basedOn w:val="DefaultParagraphFont"/>
    <w:link w:val="Header"/>
    <w:uiPriority w:val="99"/>
    <w:rsid w:val="00E161FA"/>
  </w:style>
  <w:style w:type="paragraph" w:styleId="Footer">
    <w:name w:val="footer"/>
    <w:basedOn w:val="Normal"/>
    <w:link w:val="FooterChar"/>
    <w:uiPriority w:val="99"/>
    <w:unhideWhenUsed/>
    <w:rsid w:val="00E161FA"/>
    <w:pPr>
      <w:tabs>
        <w:tab w:val="center" w:pos="4680"/>
        <w:tab w:val="right" w:pos="9360"/>
      </w:tabs>
      <w:spacing w:line="240" w:lineRule="auto"/>
    </w:pPr>
  </w:style>
  <w:style w:type="character" w:customStyle="1" w:styleId="FooterChar">
    <w:name w:val="Footer Char"/>
    <w:basedOn w:val="DefaultParagraphFont"/>
    <w:link w:val="Footer"/>
    <w:uiPriority w:val="99"/>
    <w:rsid w:val="00E161FA"/>
  </w:style>
  <w:style w:type="paragraph" w:styleId="BalloonText">
    <w:name w:val="Balloon Text"/>
    <w:basedOn w:val="Normal"/>
    <w:link w:val="BalloonTextChar"/>
    <w:uiPriority w:val="99"/>
    <w:semiHidden/>
    <w:unhideWhenUsed/>
    <w:rsid w:val="00E161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2015-11-09T18:44:00Z</cp:lastPrinted>
  <dcterms:created xsi:type="dcterms:W3CDTF">2015-11-09T19:00:00Z</dcterms:created>
  <dcterms:modified xsi:type="dcterms:W3CDTF">2015-11-09T19:00:00Z</dcterms:modified>
</cp:coreProperties>
</file>