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0978" w:rsidRPr="00060978" w:rsidRDefault="00060978" w:rsidP="00060978">
      <w:pPr>
        <w:tabs>
          <w:tab w:val="clear" w:pos="1440"/>
          <w:tab w:val="left" w:pos="0"/>
        </w:tabs>
        <w:spacing w:after="0" w:line="233" w:lineRule="auto"/>
        <w:jc w:val="center"/>
        <w:rPr>
          <w:rFonts w:eastAsia="SimSun"/>
          <w:b/>
        </w:rPr>
      </w:pPr>
      <w:r w:rsidRPr="00060978">
        <w:rPr>
          <w:rFonts w:eastAsia="SimSun"/>
          <w:b/>
        </w:rPr>
        <w:t>BEFORE THE</w:t>
      </w:r>
    </w:p>
    <w:p w:rsidR="00060978" w:rsidRPr="00060978" w:rsidRDefault="00060978" w:rsidP="00060978">
      <w:pPr>
        <w:tabs>
          <w:tab w:val="clear" w:pos="1440"/>
          <w:tab w:val="left" w:pos="0"/>
        </w:tabs>
        <w:spacing w:after="0" w:line="233" w:lineRule="auto"/>
        <w:jc w:val="center"/>
        <w:rPr>
          <w:rFonts w:eastAsia="SimSun"/>
          <w:b/>
        </w:rPr>
      </w:pPr>
      <w:r w:rsidRPr="00060978">
        <w:rPr>
          <w:rFonts w:eastAsia="SimSun"/>
          <w:b/>
        </w:rPr>
        <w:t>PENNSYLVANIA PUBLIC UTILITY COMMISSION</w:t>
      </w:r>
    </w:p>
    <w:p w:rsidR="00060978" w:rsidRPr="00060978" w:rsidRDefault="00060978" w:rsidP="00060978">
      <w:pPr>
        <w:tabs>
          <w:tab w:val="clear" w:pos="1440"/>
          <w:tab w:val="left" w:pos="0"/>
        </w:tabs>
        <w:spacing w:after="0" w:line="233" w:lineRule="auto"/>
        <w:jc w:val="both"/>
        <w:rPr>
          <w:rFonts w:eastAsia="SimSun"/>
          <w:b/>
        </w:rPr>
      </w:pPr>
    </w:p>
    <w:p w:rsidR="00060978" w:rsidRPr="00060978" w:rsidRDefault="00060978" w:rsidP="00060978">
      <w:pPr>
        <w:tabs>
          <w:tab w:val="clear" w:pos="1440"/>
          <w:tab w:val="left" w:pos="0"/>
        </w:tabs>
        <w:spacing w:after="0" w:line="233" w:lineRule="auto"/>
        <w:jc w:val="both"/>
        <w:rPr>
          <w:rFonts w:eastAsia="SimSun"/>
          <w:b/>
        </w:rPr>
      </w:pPr>
    </w:p>
    <w:p w:rsidR="00060978" w:rsidRPr="00060978" w:rsidRDefault="00060978" w:rsidP="00060978">
      <w:pPr>
        <w:tabs>
          <w:tab w:val="clear" w:pos="1440"/>
          <w:tab w:val="left" w:pos="0"/>
        </w:tabs>
        <w:spacing w:after="0" w:line="233" w:lineRule="auto"/>
        <w:jc w:val="both"/>
        <w:rPr>
          <w:rFonts w:eastAsia="SimSun"/>
          <w:b/>
        </w:rPr>
      </w:pPr>
    </w:p>
    <w:p w:rsidR="00060978" w:rsidRPr="00060978" w:rsidRDefault="000E0E30" w:rsidP="00060978">
      <w:pPr>
        <w:tabs>
          <w:tab w:val="clear" w:pos="1440"/>
          <w:tab w:val="left" w:pos="0"/>
        </w:tabs>
        <w:spacing w:after="0" w:line="233" w:lineRule="auto"/>
        <w:jc w:val="both"/>
        <w:rPr>
          <w:rFonts w:eastAsia="SimSun"/>
          <w:b/>
        </w:rPr>
      </w:pPr>
      <w:r>
        <w:rPr>
          <w:rFonts w:eastAsia="SimSun"/>
        </w:rPr>
        <w:t>Wilbur Jerome Wallace</w:t>
      </w:r>
      <w:r w:rsidR="00060978" w:rsidRPr="00060978">
        <w:rPr>
          <w:rFonts w:eastAsia="SimSun"/>
        </w:rPr>
        <w:tab/>
      </w:r>
      <w:r w:rsidR="00060978" w:rsidRPr="00060978">
        <w:rPr>
          <w:rFonts w:eastAsia="SimSun"/>
        </w:rPr>
        <w:tab/>
      </w:r>
      <w:r w:rsidR="00060978" w:rsidRPr="00060978">
        <w:rPr>
          <w:rFonts w:eastAsia="SimSun"/>
        </w:rPr>
        <w:tab/>
      </w:r>
      <w:r w:rsidR="00060978" w:rsidRPr="00060978">
        <w:rPr>
          <w:rFonts w:eastAsia="SimSun"/>
        </w:rPr>
        <w:tab/>
      </w:r>
      <w:r w:rsidR="00060978" w:rsidRPr="00060978">
        <w:rPr>
          <w:rFonts w:eastAsia="SimSun"/>
          <w:b/>
        </w:rPr>
        <w:t>:</w:t>
      </w:r>
    </w:p>
    <w:p w:rsidR="00060978" w:rsidRPr="00060978" w:rsidRDefault="00060978" w:rsidP="00060978">
      <w:pPr>
        <w:tabs>
          <w:tab w:val="clear" w:pos="1440"/>
          <w:tab w:val="left" w:pos="0"/>
        </w:tabs>
        <w:spacing w:after="0" w:line="233" w:lineRule="auto"/>
        <w:jc w:val="both"/>
        <w:rPr>
          <w:rFonts w:eastAsia="SimSun"/>
        </w:rPr>
      </w:pPr>
      <w:r w:rsidRPr="00060978">
        <w:rPr>
          <w:rFonts w:eastAsia="SimSun"/>
          <w:b/>
        </w:rPr>
        <w:tab/>
      </w:r>
      <w:r w:rsidRPr="00060978">
        <w:rPr>
          <w:rFonts w:eastAsia="SimSun"/>
          <w:b/>
        </w:rPr>
        <w:tab/>
      </w:r>
      <w:r w:rsidRPr="00060978">
        <w:rPr>
          <w:rFonts w:eastAsia="SimSun"/>
          <w:b/>
        </w:rPr>
        <w:tab/>
      </w:r>
      <w:r w:rsidRPr="00060978">
        <w:rPr>
          <w:rFonts w:eastAsia="SimSun"/>
          <w:b/>
        </w:rPr>
        <w:tab/>
      </w:r>
      <w:r w:rsidRPr="00060978">
        <w:rPr>
          <w:rFonts w:eastAsia="SimSun"/>
          <w:b/>
        </w:rPr>
        <w:tab/>
      </w:r>
      <w:r w:rsidRPr="00060978">
        <w:rPr>
          <w:rFonts w:eastAsia="SimSun"/>
          <w:b/>
        </w:rPr>
        <w:tab/>
      </w:r>
      <w:r w:rsidRPr="00060978">
        <w:rPr>
          <w:rFonts w:eastAsia="SimSun"/>
          <w:b/>
        </w:rPr>
        <w:tab/>
        <w:t>:</w:t>
      </w:r>
    </w:p>
    <w:p w:rsidR="00060978" w:rsidRPr="00060978" w:rsidRDefault="00060978" w:rsidP="00060978">
      <w:pPr>
        <w:tabs>
          <w:tab w:val="clear" w:pos="1440"/>
          <w:tab w:val="left" w:pos="0"/>
        </w:tabs>
        <w:spacing w:after="0" w:line="233" w:lineRule="auto"/>
        <w:jc w:val="both"/>
        <w:rPr>
          <w:rFonts w:eastAsia="SimSun"/>
        </w:rPr>
      </w:pPr>
      <w:r w:rsidRPr="00060978">
        <w:rPr>
          <w:rFonts w:eastAsia="SimSun"/>
        </w:rPr>
        <w:tab/>
        <w:t>v.</w:t>
      </w:r>
      <w:r w:rsidRPr="00060978">
        <w:rPr>
          <w:rFonts w:eastAsia="SimSun"/>
        </w:rPr>
        <w:tab/>
      </w:r>
      <w:r w:rsidRPr="00060978">
        <w:rPr>
          <w:rFonts w:eastAsia="SimSun"/>
        </w:rPr>
        <w:tab/>
      </w:r>
      <w:r w:rsidRPr="00060978">
        <w:rPr>
          <w:rFonts w:eastAsia="SimSun"/>
        </w:rPr>
        <w:tab/>
      </w:r>
      <w:r w:rsidRPr="00060978">
        <w:rPr>
          <w:rFonts w:eastAsia="SimSun"/>
        </w:rPr>
        <w:tab/>
      </w:r>
      <w:r w:rsidRPr="00060978">
        <w:rPr>
          <w:rFonts w:eastAsia="SimSun"/>
        </w:rPr>
        <w:tab/>
      </w:r>
      <w:r w:rsidRPr="00060978">
        <w:rPr>
          <w:rFonts w:eastAsia="SimSun"/>
        </w:rPr>
        <w:tab/>
      </w:r>
      <w:r w:rsidRPr="00060978">
        <w:rPr>
          <w:rFonts w:eastAsia="SimSun"/>
          <w:b/>
        </w:rPr>
        <w:t>:</w:t>
      </w:r>
      <w:r w:rsidRPr="00060978">
        <w:rPr>
          <w:rFonts w:eastAsia="SimSun"/>
        </w:rPr>
        <w:tab/>
      </w:r>
      <w:r w:rsidRPr="00060978">
        <w:rPr>
          <w:rFonts w:eastAsia="SimSun"/>
        </w:rPr>
        <w:tab/>
        <w:t>F-</w:t>
      </w:r>
      <w:r w:rsidR="000E0E30">
        <w:rPr>
          <w:rFonts w:eastAsia="SimSun"/>
        </w:rPr>
        <w:t>2015-2478591</w:t>
      </w:r>
    </w:p>
    <w:p w:rsidR="00060978" w:rsidRPr="00060978" w:rsidRDefault="00060978" w:rsidP="00060978">
      <w:pPr>
        <w:tabs>
          <w:tab w:val="clear" w:pos="1440"/>
          <w:tab w:val="left" w:pos="0"/>
        </w:tabs>
        <w:spacing w:after="0" w:line="233" w:lineRule="auto"/>
        <w:jc w:val="both"/>
        <w:rPr>
          <w:rFonts w:eastAsia="SimSun"/>
        </w:rPr>
      </w:pPr>
      <w:r w:rsidRPr="00060978">
        <w:rPr>
          <w:rFonts w:eastAsia="SimSun"/>
        </w:rPr>
        <w:tab/>
      </w:r>
      <w:r w:rsidRPr="00060978">
        <w:rPr>
          <w:rFonts w:eastAsia="SimSun"/>
        </w:rPr>
        <w:tab/>
      </w:r>
      <w:r w:rsidRPr="00060978">
        <w:rPr>
          <w:rFonts w:eastAsia="SimSun"/>
        </w:rPr>
        <w:tab/>
      </w:r>
      <w:r w:rsidRPr="00060978">
        <w:rPr>
          <w:rFonts w:eastAsia="SimSun"/>
        </w:rPr>
        <w:tab/>
      </w:r>
      <w:r w:rsidRPr="00060978">
        <w:rPr>
          <w:rFonts w:eastAsia="SimSun"/>
        </w:rPr>
        <w:tab/>
      </w:r>
      <w:r w:rsidRPr="00060978">
        <w:rPr>
          <w:rFonts w:eastAsia="SimSun"/>
        </w:rPr>
        <w:tab/>
      </w:r>
      <w:r w:rsidRPr="00060978">
        <w:rPr>
          <w:rFonts w:eastAsia="SimSun"/>
        </w:rPr>
        <w:tab/>
      </w:r>
      <w:r w:rsidRPr="00060978">
        <w:rPr>
          <w:rFonts w:eastAsia="SimSun"/>
          <w:b/>
        </w:rPr>
        <w:t>:</w:t>
      </w:r>
    </w:p>
    <w:p w:rsidR="00060978" w:rsidRPr="00060978" w:rsidRDefault="000E0E30" w:rsidP="00060978">
      <w:pPr>
        <w:tabs>
          <w:tab w:val="clear" w:pos="1440"/>
          <w:tab w:val="left" w:pos="0"/>
        </w:tabs>
        <w:spacing w:after="0" w:line="233" w:lineRule="auto"/>
        <w:jc w:val="both"/>
        <w:rPr>
          <w:rFonts w:eastAsia="SimSun"/>
          <w:b/>
        </w:rPr>
      </w:pPr>
      <w:r>
        <w:rPr>
          <w:rFonts w:eastAsia="SimSun"/>
        </w:rPr>
        <w:t>Duquesne Light</w:t>
      </w:r>
      <w:r w:rsidR="00060978" w:rsidRPr="00060978">
        <w:rPr>
          <w:rFonts w:eastAsia="SimSun"/>
        </w:rPr>
        <w:t xml:space="preserve"> Company</w:t>
      </w:r>
      <w:r w:rsidR="00060978" w:rsidRPr="00060978">
        <w:rPr>
          <w:rFonts w:eastAsia="SimSun"/>
        </w:rPr>
        <w:tab/>
      </w:r>
      <w:r w:rsidR="00060978" w:rsidRPr="00060978">
        <w:rPr>
          <w:rFonts w:eastAsia="SimSun"/>
        </w:rPr>
        <w:tab/>
      </w:r>
      <w:r w:rsidR="00060978" w:rsidRPr="00060978">
        <w:rPr>
          <w:rFonts w:eastAsia="SimSun"/>
        </w:rPr>
        <w:tab/>
      </w:r>
      <w:r w:rsidR="00060978" w:rsidRPr="00060978">
        <w:rPr>
          <w:rFonts w:eastAsia="SimSun"/>
        </w:rPr>
        <w:tab/>
      </w:r>
      <w:r w:rsidR="00060978" w:rsidRPr="00060978">
        <w:rPr>
          <w:rFonts w:eastAsia="SimSun"/>
          <w:b/>
        </w:rPr>
        <w:t>:</w:t>
      </w:r>
    </w:p>
    <w:p w:rsidR="00060978" w:rsidRPr="00060978" w:rsidRDefault="00060978" w:rsidP="00060978">
      <w:pPr>
        <w:tabs>
          <w:tab w:val="clear" w:pos="1440"/>
          <w:tab w:val="left" w:pos="0"/>
        </w:tabs>
        <w:spacing w:after="0" w:line="233" w:lineRule="auto"/>
        <w:jc w:val="both"/>
        <w:rPr>
          <w:rFonts w:eastAsia="SimSun"/>
          <w:b/>
        </w:rPr>
      </w:pPr>
    </w:p>
    <w:p w:rsidR="00060978" w:rsidRPr="00060978" w:rsidRDefault="00060978" w:rsidP="00060978">
      <w:pPr>
        <w:tabs>
          <w:tab w:val="clear" w:pos="1440"/>
          <w:tab w:val="left" w:pos="0"/>
        </w:tabs>
        <w:spacing w:after="0" w:line="233" w:lineRule="auto"/>
        <w:jc w:val="both"/>
        <w:rPr>
          <w:rFonts w:eastAsia="SimSun"/>
          <w:b/>
        </w:rPr>
      </w:pPr>
    </w:p>
    <w:p w:rsidR="00060978" w:rsidRDefault="00060978" w:rsidP="00060978">
      <w:pPr>
        <w:spacing w:after="0" w:line="240" w:lineRule="auto"/>
      </w:pPr>
    </w:p>
    <w:p w:rsidR="00792796" w:rsidRDefault="00C37EB5" w:rsidP="00060978">
      <w:pPr>
        <w:spacing w:after="0" w:line="240" w:lineRule="auto"/>
        <w:jc w:val="center"/>
        <w:rPr>
          <w:b/>
          <w:u w:val="single"/>
        </w:rPr>
      </w:pPr>
      <w:r w:rsidRPr="00060978">
        <w:rPr>
          <w:b/>
          <w:u w:val="single"/>
        </w:rPr>
        <w:t>INITIAL DECISION</w:t>
      </w:r>
    </w:p>
    <w:p w:rsidR="008E3CBE" w:rsidRPr="00060978" w:rsidRDefault="008E3CBE" w:rsidP="00060978">
      <w:pPr>
        <w:spacing w:after="0" w:line="240" w:lineRule="auto"/>
        <w:jc w:val="center"/>
        <w:rPr>
          <w:b/>
          <w:u w:val="single"/>
        </w:rPr>
      </w:pPr>
    </w:p>
    <w:p w:rsidR="00060978" w:rsidRDefault="00060978" w:rsidP="00060978">
      <w:pPr>
        <w:spacing w:after="0" w:line="240" w:lineRule="auto"/>
        <w:jc w:val="center"/>
      </w:pPr>
    </w:p>
    <w:p w:rsidR="00C37EB5" w:rsidRDefault="00C37EB5" w:rsidP="00060978">
      <w:pPr>
        <w:spacing w:after="0" w:line="240" w:lineRule="auto"/>
        <w:jc w:val="center"/>
      </w:pPr>
      <w:r>
        <w:t>Before</w:t>
      </w:r>
    </w:p>
    <w:p w:rsidR="00C37EB5" w:rsidRDefault="000E0E30" w:rsidP="00060978">
      <w:pPr>
        <w:spacing w:after="0" w:line="240" w:lineRule="auto"/>
        <w:jc w:val="center"/>
      </w:pPr>
      <w:r>
        <w:t>Katrina L. Dunderdale</w:t>
      </w:r>
    </w:p>
    <w:p w:rsidR="00C37EB5" w:rsidRDefault="00C37EB5" w:rsidP="00060978">
      <w:pPr>
        <w:spacing w:after="0" w:line="240" w:lineRule="auto"/>
        <w:jc w:val="center"/>
      </w:pPr>
      <w:r>
        <w:t>Administrative Law Judge</w:t>
      </w:r>
    </w:p>
    <w:p w:rsidR="00A860AE" w:rsidRDefault="00A860AE">
      <w:r>
        <w:tab/>
      </w:r>
    </w:p>
    <w:p w:rsidR="00273A54" w:rsidRDefault="00273A54" w:rsidP="00273A54">
      <w:pPr>
        <w:pStyle w:val="ParaTab1"/>
        <w:spacing w:line="360" w:lineRule="auto"/>
        <w:ind w:firstLine="1354"/>
        <w:rPr>
          <w:rFonts w:ascii="Times New Roman" w:hAnsi="Times New Roman" w:cs="Times New Roman"/>
        </w:rPr>
      </w:pPr>
      <w:r w:rsidRPr="00D2555A">
        <w:rPr>
          <w:rFonts w:ascii="Times New Roman" w:hAnsi="Times New Roman" w:cs="Times New Roman"/>
        </w:rPr>
        <w:t xml:space="preserve">This decision </w:t>
      </w:r>
      <w:r>
        <w:rPr>
          <w:rFonts w:ascii="Times New Roman" w:hAnsi="Times New Roman" w:cs="Times New Roman"/>
        </w:rPr>
        <w:t>dismisses with prejudice</w:t>
      </w:r>
      <w:r w:rsidRPr="00D2555A">
        <w:rPr>
          <w:rFonts w:ascii="Times New Roman" w:hAnsi="Times New Roman" w:cs="Times New Roman"/>
        </w:rPr>
        <w:t xml:space="preserve"> a </w:t>
      </w:r>
      <w:r>
        <w:rPr>
          <w:rFonts w:ascii="Times New Roman" w:hAnsi="Times New Roman" w:cs="Times New Roman"/>
        </w:rPr>
        <w:t xml:space="preserve">formal </w:t>
      </w:r>
      <w:r w:rsidRPr="00D2555A">
        <w:rPr>
          <w:rFonts w:ascii="Times New Roman" w:hAnsi="Times New Roman" w:cs="Times New Roman"/>
        </w:rPr>
        <w:t xml:space="preserve">complaint </w:t>
      </w:r>
      <w:r>
        <w:rPr>
          <w:rFonts w:ascii="Times New Roman" w:hAnsi="Times New Roman" w:cs="Times New Roman"/>
        </w:rPr>
        <w:t xml:space="preserve">filed with the Pennsylvania Public Utility Commission against Duquesne Light Company, alleging Duquesne Light Company </w:t>
      </w:r>
      <w:r>
        <w:t xml:space="preserve">violated the United States Constitution when the utility company insisted the customer must pay for the electric service he uses at the service address, and when Duquesne Light Company refused to accept the alleged negotiable instrument tendered by the customer.  </w:t>
      </w:r>
    </w:p>
    <w:p w:rsidR="008E3CBE" w:rsidRDefault="008E3CBE" w:rsidP="008E3CBE">
      <w:pPr>
        <w:spacing w:after="0"/>
      </w:pPr>
    </w:p>
    <w:p w:rsidR="00C37EB5" w:rsidRDefault="00C37EB5" w:rsidP="008E3CBE">
      <w:pPr>
        <w:spacing w:after="0"/>
        <w:jc w:val="center"/>
        <w:rPr>
          <w:u w:val="single"/>
        </w:rPr>
      </w:pPr>
      <w:r w:rsidRPr="00060978">
        <w:rPr>
          <w:u w:val="single"/>
        </w:rPr>
        <w:t>HISTORY OF THE PROCEEDINGS</w:t>
      </w:r>
    </w:p>
    <w:p w:rsidR="008E3CBE" w:rsidRPr="00060978" w:rsidRDefault="008E3CBE" w:rsidP="002E21C9">
      <w:pPr>
        <w:spacing w:after="0"/>
        <w:rPr>
          <w:u w:val="single"/>
        </w:rPr>
      </w:pPr>
    </w:p>
    <w:p w:rsidR="002E21C9" w:rsidRDefault="00C37EB5" w:rsidP="002E21C9">
      <w:pPr>
        <w:spacing w:after="0"/>
      </w:pPr>
      <w:r>
        <w:tab/>
        <w:t xml:space="preserve">On </w:t>
      </w:r>
      <w:r w:rsidR="000E0E30">
        <w:t>April 21, 2015</w:t>
      </w:r>
      <w:r>
        <w:t xml:space="preserve">, </w:t>
      </w:r>
      <w:r w:rsidR="000E0E30">
        <w:t>Wi</w:t>
      </w:r>
      <w:r w:rsidR="00F12885">
        <w:t>lbur James Wallace (Mr. Wallace</w:t>
      </w:r>
      <w:r w:rsidR="00273A54">
        <w:t xml:space="preserve"> or customer</w:t>
      </w:r>
      <w:r>
        <w:t xml:space="preserve">) filed a formal complaint against </w:t>
      </w:r>
      <w:r w:rsidR="000E0E30">
        <w:t>Duquesne Light</w:t>
      </w:r>
      <w:r>
        <w:t xml:space="preserve"> Company (</w:t>
      </w:r>
      <w:r w:rsidR="000E0E30">
        <w:t>DLC or Respondent</w:t>
      </w:r>
      <w:r>
        <w:t xml:space="preserve">), which </w:t>
      </w:r>
      <w:r w:rsidR="005B4D36">
        <w:t xml:space="preserve">disputed termination notices issued by DLC and disputed any responsibility to pay on the current balance for electric service at the service address.  </w:t>
      </w:r>
    </w:p>
    <w:p w:rsidR="002E21C9" w:rsidRDefault="002E21C9" w:rsidP="002E21C9">
      <w:pPr>
        <w:spacing w:after="0"/>
      </w:pPr>
    </w:p>
    <w:p w:rsidR="00C37EB5" w:rsidRDefault="002E21C9" w:rsidP="002E21C9">
      <w:pPr>
        <w:spacing w:after="0"/>
      </w:pPr>
      <w:r>
        <w:tab/>
      </w:r>
      <w:r w:rsidR="005B4D36">
        <w:t>DLC filed an A</w:t>
      </w:r>
      <w:r w:rsidR="00C37EB5">
        <w:t>nswer</w:t>
      </w:r>
      <w:r w:rsidR="005B4D36">
        <w:t xml:space="preserve"> and New Matter</w:t>
      </w:r>
      <w:r w:rsidR="00C37EB5">
        <w:t xml:space="preserve"> on </w:t>
      </w:r>
      <w:r w:rsidR="005B4D36">
        <w:t>May 13, 2015</w:t>
      </w:r>
      <w:r>
        <w:t xml:space="preserve"> with a Notice to Plead</w:t>
      </w:r>
      <w:r w:rsidR="000D1D95">
        <w:t xml:space="preserve">, which </w:t>
      </w:r>
      <w:r w:rsidR="005B4D36">
        <w:t>generally denied Mr. Wallace’s material allegations and averred it properly attempted to terminate service because Mr. Wallace had not paid on his account since 2013</w:t>
      </w:r>
      <w:r w:rsidR="00C37EB5">
        <w:t>.</w:t>
      </w:r>
      <w:r w:rsidR="005B4D36">
        <w:t xml:space="preserve">  In New Matter, DLC averred the formal complaint should be dismissed with prejudice due to legal insufficiency </w:t>
      </w:r>
      <w:r w:rsidR="005B4D36">
        <w:lastRenderedPageBreak/>
        <w:t xml:space="preserve">because </w:t>
      </w:r>
      <w:r w:rsidR="00487D8D">
        <w:rPr>
          <w:szCs w:val="24"/>
        </w:rPr>
        <w:t xml:space="preserve">the </w:t>
      </w:r>
      <w:r w:rsidR="00273A54">
        <w:t xml:space="preserve">customer </w:t>
      </w:r>
      <w:r w:rsidR="005B4D36">
        <w:t xml:space="preserve">failed to assert any basis under the tariff or the Public Utility Code which would entitle </w:t>
      </w:r>
      <w:r w:rsidR="00F12885">
        <w:t>Mr. Wallace</w:t>
      </w:r>
      <w:r w:rsidR="005B4D36">
        <w:t xml:space="preserve"> to refuse payment for electric service which he continues to receive at the service address.</w:t>
      </w:r>
    </w:p>
    <w:p w:rsidR="002E21C9" w:rsidRDefault="002E21C9" w:rsidP="002E21C9">
      <w:pPr>
        <w:spacing w:after="0"/>
      </w:pPr>
    </w:p>
    <w:p w:rsidR="002E21C9" w:rsidRDefault="002E21C9" w:rsidP="002E21C9">
      <w:pPr>
        <w:tabs>
          <w:tab w:val="left" w:pos="2160"/>
        </w:tabs>
        <w:spacing w:after="0"/>
        <w:ind w:firstLine="1440"/>
        <w:rPr>
          <w:bCs/>
          <w:spacing w:val="-3"/>
        </w:rPr>
      </w:pPr>
      <w:r>
        <w:t>On June 10, 2015, the Office of Administrative Law Judge scheduled a</w:t>
      </w:r>
      <w:r w:rsidRPr="00FD108F">
        <w:t xml:space="preserve">n initial telephonic hearing for </w:t>
      </w:r>
      <w:r>
        <w:t>July 21, 2015</w:t>
      </w:r>
      <w:r w:rsidRPr="00FD108F">
        <w:t xml:space="preserve">.  </w:t>
      </w:r>
      <w:r>
        <w:t xml:space="preserve">On June 10, 2015, the presiding officer </w:t>
      </w:r>
      <w:r w:rsidRPr="00FD108F">
        <w:t xml:space="preserve">issued a Prehearing Order </w:t>
      </w:r>
      <w:r w:rsidRPr="00FD108F">
        <w:rPr>
          <w:bCs/>
          <w:spacing w:val="-3"/>
        </w:rPr>
        <w:t xml:space="preserve">which provided applicable procedures regarding submission of exhibits, attorney representation, continuances, subpoenas, and the burden of proof. </w:t>
      </w:r>
      <w:r>
        <w:rPr>
          <w:bCs/>
          <w:spacing w:val="-3"/>
        </w:rPr>
        <w:t xml:space="preserve"> </w:t>
      </w:r>
    </w:p>
    <w:p w:rsidR="002E21C9" w:rsidRDefault="002E21C9" w:rsidP="002E21C9">
      <w:pPr>
        <w:tabs>
          <w:tab w:val="left" w:pos="2160"/>
        </w:tabs>
        <w:spacing w:after="0"/>
        <w:ind w:firstLine="1440"/>
        <w:rPr>
          <w:bCs/>
          <w:spacing w:val="-3"/>
        </w:rPr>
      </w:pPr>
    </w:p>
    <w:p w:rsidR="002E21C9" w:rsidRPr="00FD108F" w:rsidRDefault="002E21C9" w:rsidP="002E21C9">
      <w:pPr>
        <w:tabs>
          <w:tab w:val="left" w:pos="2160"/>
        </w:tabs>
        <w:spacing w:after="0"/>
        <w:ind w:firstLine="1440"/>
        <w:rPr>
          <w:bCs/>
          <w:spacing w:val="-3"/>
        </w:rPr>
      </w:pPr>
      <w:r>
        <w:rPr>
          <w:bCs/>
          <w:spacing w:val="-3"/>
        </w:rPr>
        <w:t xml:space="preserve">On June 22, 2015, DLC filed a Motion for Judgment on the Pleadings, with a Notice to Plead.  DLC averred the complaint dealt exclusively with the negotiability of affidavits for payment on </w:t>
      </w:r>
      <w:r w:rsidR="00F12885">
        <w:rPr>
          <w:bCs/>
          <w:spacing w:val="-3"/>
        </w:rPr>
        <w:t>Mr. Wallace</w:t>
      </w:r>
      <w:r>
        <w:rPr>
          <w:bCs/>
          <w:spacing w:val="-3"/>
        </w:rPr>
        <w:t xml:space="preserve">’s electric service account.  DLC contended the complaint should be dismissed with prejudice on jurisdictional grounds because the Commission previously ruled it lacks subject matter jurisdiction over disputes concerning the negotiability of various instruments.  </w:t>
      </w:r>
    </w:p>
    <w:p w:rsidR="002E21C9" w:rsidRPr="00FD108F" w:rsidRDefault="002E21C9" w:rsidP="002E21C9">
      <w:pPr>
        <w:tabs>
          <w:tab w:val="left" w:pos="2160"/>
        </w:tabs>
        <w:spacing w:after="0"/>
        <w:ind w:firstLine="1440"/>
        <w:rPr>
          <w:bCs/>
          <w:spacing w:val="-3"/>
        </w:rPr>
      </w:pPr>
    </w:p>
    <w:p w:rsidR="00752E0D" w:rsidRDefault="002E21C9" w:rsidP="002E21C9">
      <w:pPr>
        <w:suppressAutoHyphens/>
        <w:spacing w:after="0"/>
        <w:ind w:firstLine="1440"/>
        <w:rPr>
          <w:bCs/>
          <w:spacing w:val="-3"/>
        </w:rPr>
      </w:pPr>
      <w:r>
        <w:rPr>
          <w:bCs/>
          <w:spacing w:val="-3"/>
        </w:rPr>
        <w:t>On July 21, 2015, t</w:t>
      </w:r>
      <w:r w:rsidRPr="00FD108F">
        <w:rPr>
          <w:bCs/>
          <w:spacing w:val="-3"/>
        </w:rPr>
        <w:t xml:space="preserve">he </w:t>
      </w:r>
      <w:r>
        <w:rPr>
          <w:bCs/>
          <w:spacing w:val="-3"/>
        </w:rPr>
        <w:t xml:space="preserve">presiding officer conducted the </w:t>
      </w:r>
      <w:r w:rsidRPr="00FD108F">
        <w:rPr>
          <w:bCs/>
          <w:spacing w:val="-3"/>
        </w:rPr>
        <w:t>initial telephonic hearing as scheduled</w:t>
      </w:r>
      <w:r>
        <w:rPr>
          <w:bCs/>
          <w:spacing w:val="-3"/>
        </w:rPr>
        <w:t xml:space="preserve"> and ruled </w:t>
      </w:r>
      <w:r w:rsidR="00752E0D">
        <w:rPr>
          <w:bCs/>
          <w:spacing w:val="-3"/>
        </w:rPr>
        <w:t xml:space="preserve">against </w:t>
      </w:r>
      <w:r>
        <w:rPr>
          <w:bCs/>
          <w:spacing w:val="-3"/>
        </w:rPr>
        <w:t xml:space="preserve">Respondent’s </w:t>
      </w:r>
      <w:r w:rsidR="00945327">
        <w:rPr>
          <w:bCs/>
          <w:spacing w:val="-3"/>
        </w:rPr>
        <w:t>Motion for Judgment on the Pleadings</w:t>
      </w:r>
      <w:r>
        <w:rPr>
          <w:bCs/>
          <w:spacing w:val="-3"/>
        </w:rPr>
        <w:t xml:space="preserve"> at the start of the proceeding.  </w:t>
      </w:r>
      <w:r w:rsidRPr="00FD108F">
        <w:rPr>
          <w:bCs/>
          <w:spacing w:val="-3"/>
        </w:rPr>
        <w:t xml:space="preserve">The </w:t>
      </w:r>
      <w:r w:rsidR="00945327">
        <w:rPr>
          <w:bCs/>
          <w:spacing w:val="-3"/>
        </w:rPr>
        <w:t>Motion</w:t>
      </w:r>
      <w:r>
        <w:rPr>
          <w:bCs/>
          <w:spacing w:val="-3"/>
        </w:rPr>
        <w:t xml:space="preserve"> requesting dismissal </w:t>
      </w:r>
      <w:r w:rsidR="00945327">
        <w:rPr>
          <w:bCs/>
          <w:spacing w:val="-3"/>
        </w:rPr>
        <w:t>was</w:t>
      </w:r>
      <w:r>
        <w:rPr>
          <w:bCs/>
          <w:spacing w:val="-3"/>
        </w:rPr>
        <w:t xml:space="preserve"> </w:t>
      </w:r>
      <w:r w:rsidR="0035563B">
        <w:rPr>
          <w:bCs/>
          <w:spacing w:val="-3"/>
        </w:rPr>
        <w:t>held in abeyance until after the hearing</w:t>
      </w:r>
      <w:r>
        <w:rPr>
          <w:bCs/>
          <w:spacing w:val="-3"/>
        </w:rPr>
        <w:t xml:space="preserve">.  </w:t>
      </w:r>
    </w:p>
    <w:p w:rsidR="00752E0D" w:rsidRDefault="00752E0D" w:rsidP="002E21C9">
      <w:pPr>
        <w:suppressAutoHyphens/>
        <w:spacing w:after="0"/>
        <w:ind w:firstLine="1440"/>
        <w:rPr>
          <w:bCs/>
          <w:spacing w:val="-3"/>
        </w:rPr>
      </w:pPr>
    </w:p>
    <w:p w:rsidR="002E21C9" w:rsidRDefault="00945327" w:rsidP="002E21C9">
      <w:pPr>
        <w:suppressAutoHyphens/>
        <w:spacing w:after="0"/>
        <w:ind w:firstLine="1440"/>
        <w:rPr>
          <w:bCs/>
          <w:spacing w:val="-3"/>
        </w:rPr>
      </w:pPr>
      <w:r>
        <w:rPr>
          <w:bCs/>
          <w:spacing w:val="-3"/>
        </w:rPr>
        <w:t>Mr.</w:t>
      </w:r>
      <w:r w:rsidR="002D6B45">
        <w:rPr>
          <w:bCs/>
          <w:spacing w:val="-3"/>
        </w:rPr>
        <w:t> </w:t>
      </w:r>
      <w:r>
        <w:rPr>
          <w:bCs/>
          <w:spacing w:val="-3"/>
        </w:rPr>
        <w:t>Wallace</w:t>
      </w:r>
      <w:r w:rsidR="002E21C9" w:rsidRPr="00FD108F">
        <w:rPr>
          <w:bCs/>
          <w:spacing w:val="-3"/>
        </w:rPr>
        <w:t xml:space="preserve"> appeared </w:t>
      </w:r>
      <w:r w:rsidR="002E21C9" w:rsidRPr="00FD108F">
        <w:rPr>
          <w:bCs/>
          <w:i/>
          <w:spacing w:val="-3"/>
        </w:rPr>
        <w:t>pro se</w:t>
      </w:r>
      <w:r w:rsidR="002E21C9" w:rsidRPr="00FD108F">
        <w:rPr>
          <w:bCs/>
          <w:spacing w:val="-3"/>
        </w:rPr>
        <w:t xml:space="preserve"> and testified on </w:t>
      </w:r>
      <w:r w:rsidR="007E4EBE">
        <w:rPr>
          <w:bCs/>
          <w:spacing w:val="-3"/>
        </w:rPr>
        <w:t>his</w:t>
      </w:r>
      <w:r w:rsidR="002E21C9" w:rsidRPr="00FD108F">
        <w:rPr>
          <w:bCs/>
          <w:spacing w:val="-3"/>
        </w:rPr>
        <w:t xml:space="preserve"> own behalf.  </w:t>
      </w:r>
      <w:r w:rsidR="00F12885">
        <w:rPr>
          <w:bCs/>
          <w:spacing w:val="-3"/>
        </w:rPr>
        <w:t>Mr. Wallace</w:t>
      </w:r>
      <w:r w:rsidR="007E4EBE">
        <w:rPr>
          <w:bCs/>
          <w:spacing w:val="-3"/>
        </w:rPr>
        <w:t xml:space="preserve"> offered three exhibits which were marked and admitted into the hearing record as </w:t>
      </w:r>
      <w:r w:rsidR="00F12885">
        <w:rPr>
          <w:bCs/>
          <w:spacing w:val="-3"/>
        </w:rPr>
        <w:t>Complainant</w:t>
      </w:r>
      <w:r w:rsidR="007E4EBE">
        <w:rPr>
          <w:bCs/>
          <w:spacing w:val="-3"/>
        </w:rPr>
        <w:t xml:space="preserve"> Exhibits A, C and E</w:t>
      </w:r>
      <w:r w:rsidR="002E21C9" w:rsidRPr="00FD108F">
        <w:rPr>
          <w:bCs/>
          <w:spacing w:val="-3"/>
        </w:rPr>
        <w:t xml:space="preserve">.  </w:t>
      </w:r>
      <w:r w:rsidR="007E4EBE">
        <w:rPr>
          <w:bCs/>
          <w:spacing w:val="-3"/>
        </w:rPr>
        <w:t>Respondent</w:t>
      </w:r>
      <w:r w:rsidR="002E21C9" w:rsidRPr="00FD108F">
        <w:rPr>
          <w:bCs/>
          <w:spacing w:val="-3"/>
        </w:rPr>
        <w:t xml:space="preserve"> was represented at the hearing by </w:t>
      </w:r>
      <w:r w:rsidR="007E4EBE">
        <w:rPr>
          <w:bCs/>
          <w:spacing w:val="-3"/>
        </w:rPr>
        <w:t>Jeremy V. Farrell</w:t>
      </w:r>
      <w:r w:rsidR="002E21C9" w:rsidRPr="00FD108F">
        <w:rPr>
          <w:bCs/>
          <w:spacing w:val="-3"/>
        </w:rPr>
        <w:t xml:space="preserve">, Esquire.  </w:t>
      </w:r>
      <w:r w:rsidR="007E4EBE">
        <w:rPr>
          <w:bCs/>
          <w:spacing w:val="-3"/>
        </w:rPr>
        <w:t>DLC</w:t>
      </w:r>
      <w:r w:rsidR="002E21C9" w:rsidRPr="00FD108F">
        <w:rPr>
          <w:bCs/>
          <w:spacing w:val="-3"/>
        </w:rPr>
        <w:t xml:space="preserve"> presented </w:t>
      </w:r>
      <w:r w:rsidR="007E4EBE">
        <w:rPr>
          <w:bCs/>
          <w:spacing w:val="-3"/>
        </w:rPr>
        <w:t>one</w:t>
      </w:r>
      <w:r w:rsidR="002E21C9" w:rsidRPr="00FD108F">
        <w:rPr>
          <w:bCs/>
          <w:spacing w:val="-3"/>
        </w:rPr>
        <w:t xml:space="preserve"> witness, </w:t>
      </w:r>
      <w:r w:rsidR="007E4EBE">
        <w:rPr>
          <w:bCs/>
          <w:spacing w:val="-3"/>
        </w:rPr>
        <w:t xml:space="preserve">Maria </w:t>
      </w:r>
      <w:proofErr w:type="spellStart"/>
      <w:r w:rsidR="007E4EBE">
        <w:rPr>
          <w:bCs/>
          <w:spacing w:val="-3"/>
        </w:rPr>
        <w:t>Tamilia</w:t>
      </w:r>
      <w:proofErr w:type="spellEnd"/>
      <w:r w:rsidR="002E21C9">
        <w:rPr>
          <w:bCs/>
          <w:spacing w:val="-3"/>
        </w:rPr>
        <w:t xml:space="preserve">, the Supervisor of </w:t>
      </w:r>
      <w:r w:rsidR="007E4EBE">
        <w:rPr>
          <w:bCs/>
          <w:spacing w:val="-3"/>
        </w:rPr>
        <w:t>Regulatory Consumer Relations</w:t>
      </w:r>
      <w:r w:rsidR="002E21C9">
        <w:rPr>
          <w:bCs/>
          <w:spacing w:val="-3"/>
        </w:rPr>
        <w:t xml:space="preserve">.  </w:t>
      </w:r>
      <w:r w:rsidR="007E4EBE">
        <w:rPr>
          <w:bCs/>
          <w:spacing w:val="-3"/>
        </w:rPr>
        <w:t>Respondent offered six exhibits which were marked and admitted into the hearing record as DLC Exhibits 1, 2, 3, 6, 7, and 10</w:t>
      </w:r>
      <w:r w:rsidR="002E21C9" w:rsidRPr="00FD108F">
        <w:rPr>
          <w:bCs/>
          <w:spacing w:val="-3"/>
        </w:rPr>
        <w:t>.</w:t>
      </w:r>
      <w:r w:rsidR="007E4EBE">
        <w:rPr>
          <w:bCs/>
          <w:spacing w:val="-3"/>
        </w:rPr>
        <w:t xml:space="preserve">  The parties offered final statements at the initial hearing.</w:t>
      </w:r>
    </w:p>
    <w:p w:rsidR="00945327" w:rsidRDefault="00945327" w:rsidP="002E21C9">
      <w:pPr>
        <w:spacing w:after="0"/>
        <w:rPr>
          <w:bCs/>
          <w:spacing w:val="-3"/>
        </w:rPr>
      </w:pPr>
    </w:p>
    <w:p w:rsidR="002E21C9" w:rsidRPr="002E21C9" w:rsidRDefault="002E21C9" w:rsidP="002E21C9">
      <w:pPr>
        <w:spacing w:after="0"/>
      </w:pPr>
      <w:r>
        <w:rPr>
          <w:bCs/>
          <w:spacing w:val="-3"/>
        </w:rPr>
        <w:tab/>
        <w:t>On August 14, 2015, t</w:t>
      </w:r>
      <w:r w:rsidRPr="00FD108F">
        <w:rPr>
          <w:bCs/>
          <w:spacing w:val="-3"/>
        </w:rPr>
        <w:t xml:space="preserve">he </w:t>
      </w:r>
      <w:r>
        <w:rPr>
          <w:bCs/>
          <w:spacing w:val="-3"/>
        </w:rPr>
        <w:t>presiding officer issued an Interim Order which closed the hearing record</w:t>
      </w:r>
      <w:r w:rsidRPr="00FD108F">
        <w:rPr>
          <w:bCs/>
          <w:spacing w:val="-3"/>
        </w:rPr>
        <w:t>.</w:t>
      </w:r>
      <w:r>
        <w:rPr>
          <w:rStyle w:val="FootnoteReference"/>
        </w:rPr>
        <w:footnoteReference w:id="1"/>
      </w:r>
      <w:r>
        <w:t xml:space="preserve">  </w:t>
      </w:r>
      <w:r w:rsidRPr="00FD108F">
        <w:rPr>
          <w:bCs/>
          <w:spacing w:val="-3"/>
        </w:rPr>
        <w:t>The record consist</w:t>
      </w:r>
      <w:r>
        <w:rPr>
          <w:bCs/>
          <w:spacing w:val="-3"/>
        </w:rPr>
        <w:t>s</w:t>
      </w:r>
      <w:r w:rsidRPr="00FD108F">
        <w:rPr>
          <w:bCs/>
          <w:spacing w:val="-3"/>
        </w:rPr>
        <w:t xml:space="preserve"> of a </w:t>
      </w:r>
      <w:r>
        <w:rPr>
          <w:bCs/>
          <w:spacing w:val="-3"/>
        </w:rPr>
        <w:t>94</w:t>
      </w:r>
      <w:r w:rsidRPr="00FD108F">
        <w:rPr>
          <w:bCs/>
          <w:spacing w:val="-3"/>
        </w:rPr>
        <w:t xml:space="preserve">-page hearing transcript </w:t>
      </w:r>
      <w:r>
        <w:rPr>
          <w:bCs/>
          <w:spacing w:val="-3"/>
        </w:rPr>
        <w:t xml:space="preserve">and six exhibits.  </w:t>
      </w:r>
      <w:r w:rsidRPr="00FD108F">
        <w:rPr>
          <w:bCs/>
          <w:spacing w:val="-3"/>
        </w:rPr>
        <w:t>This case is now ready for a decision.</w:t>
      </w:r>
    </w:p>
    <w:p w:rsidR="00AC6A9E" w:rsidRDefault="00AC6A9E" w:rsidP="00873272">
      <w:pPr>
        <w:spacing w:after="0"/>
        <w:jc w:val="center"/>
        <w:rPr>
          <w:u w:val="single"/>
        </w:rPr>
      </w:pPr>
      <w:r w:rsidRPr="00DC0BCC">
        <w:rPr>
          <w:u w:val="single"/>
        </w:rPr>
        <w:lastRenderedPageBreak/>
        <w:t>FINDINGS OF FACT</w:t>
      </w:r>
    </w:p>
    <w:p w:rsidR="00873272" w:rsidRPr="00DC0BCC" w:rsidRDefault="00873272" w:rsidP="00873272">
      <w:pPr>
        <w:spacing w:after="0"/>
        <w:jc w:val="center"/>
        <w:rPr>
          <w:u w:val="single"/>
        </w:rPr>
      </w:pPr>
    </w:p>
    <w:p w:rsidR="00E22790" w:rsidRDefault="0092467E" w:rsidP="0031599D">
      <w:pPr>
        <w:pStyle w:val="ListParagraph"/>
      </w:pPr>
      <w:r>
        <w:t>1.</w:t>
      </w:r>
      <w:r>
        <w:tab/>
      </w:r>
      <w:r w:rsidR="007E4EBE">
        <w:t>Wilber Jerome Wallace</w:t>
      </w:r>
      <w:r w:rsidR="00E22790">
        <w:t xml:space="preserve"> </w:t>
      </w:r>
      <w:r w:rsidR="00BB568A">
        <w:t>resides</w:t>
      </w:r>
      <w:r w:rsidR="00E22790">
        <w:t xml:space="preserve"> at </w:t>
      </w:r>
      <w:r w:rsidR="007E4EBE">
        <w:t>710 Bernd</w:t>
      </w:r>
      <w:r w:rsidR="00E22790">
        <w:t xml:space="preserve"> Street, </w:t>
      </w:r>
      <w:r w:rsidR="007E4EBE">
        <w:t>Pittsburgh</w:t>
      </w:r>
      <w:r w:rsidR="00E22790">
        <w:t>, PA</w:t>
      </w:r>
      <w:r w:rsidR="00130107">
        <w:t xml:space="preserve">  15210</w:t>
      </w:r>
      <w:r w:rsidR="007E4EBE">
        <w:t xml:space="preserve"> (servi</w:t>
      </w:r>
      <w:r w:rsidR="00BB568A">
        <w:t xml:space="preserve">ce address), </w:t>
      </w:r>
      <w:r w:rsidR="007E4EBE">
        <w:t xml:space="preserve">where he </w:t>
      </w:r>
      <w:r w:rsidR="0035563B">
        <w:t xml:space="preserve">has </w:t>
      </w:r>
      <w:r w:rsidR="007E4EBE">
        <w:t>rece</w:t>
      </w:r>
      <w:r w:rsidR="002C5F91">
        <w:t>ived</w:t>
      </w:r>
      <w:r w:rsidR="007E4EBE">
        <w:t xml:space="preserve"> residential electric</w:t>
      </w:r>
      <w:r w:rsidR="00E22790">
        <w:t xml:space="preserve"> service from </w:t>
      </w:r>
      <w:r w:rsidR="007E4EBE">
        <w:t>DLC</w:t>
      </w:r>
      <w:r w:rsidR="002C5F91">
        <w:t xml:space="preserve"> for 18 years</w:t>
      </w:r>
      <w:r w:rsidR="00E22790">
        <w:t xml:space="preserve">. </w:t>
      </w:r>
      <w:r w:rsidR="00873272">
        <w:t xml:space="preserve"> </w:t>
      </w:r>
      <w:r w:rsidR="00E22790">
        <w:t>(</w:t>
      </w:r>
      <w:r w:rsidR="007E4EBE">
        <w:t>Tr.</w:t>
      </w:r>
      <w:r w:rsidR="002D6B45">
        <w:t> </w:t>
      </w:r>
      <w:r w:rsidR="00BB568A">
        <w:t>9</w:t>
      </w:r>
      <w:r w:rsidR="00E21F12">
        <w:t>, 19</w:t>
      </w:r>
      <w:r w:rsidR="002C5F91">
        <w:t>, 25</w:t>
      </w:r>
      <w:r w:rsidR="00E22790">
        <w:t>)</w:t>
      </w:r>
    </w:p>
    <w:p w:rsidR="00873272" w:rsidRDefault="00873272" w:rsidP="008222DC">
      <w:pPr>
        <w:spacing w:after="0"/>
        <w:ind w:left="1440"/>
      </w:pPr>
    </w:p>
    <w:p w:rsidR="009A09D2" w:rsidRDefault="0092467E" w:rsidP="0031599D">
      <w:pPr>
        <w:pStyle w:val="ListParagraph"/>
      </w:pPr>
      <w:r>
        <w:t>2.</w:t>
      </w:r>
      <w:r>
        <w:tab/>
      </w:r>
      <w:r w:rsidR="00F12885">
        <w:t>Mr. Wallace</w:t>
      </w:r>
      <w:r w:rsidR="00BB568A">
        <w:t xml:space="preserve"> </w:t>
      </w:r>
      <w:r w:rsidR="00DD5417">
        <w:t xml:space="preserve">claimed to be </w:t>
      </w:r>
      <w:r w:rsidR="00BB568A">
        <w:t xml:space="preserve">an “indigent beneficiary” or customer </w:t>
      </w:r>
      <w:r w:rsidR="00F12885">
        <w:t xml:space="preserve">of </w:t>
      </w:r>
      <w:r w:rsidR="00F0156F">
        <w:t xml:space="preserve">electric service from </w:t>
      </w:r>
      <w:r w:rsidR="00BB568A">
        <w:t xml:space="preserve">DLC </w:t>
      </w:r>
      <w:r w:rsidR="00E21F12">
        <w:t xml:space="preserve">at the service address </w:t>
      </w:r>
      <w:r w:rsidR="00BB568A">
        <w:t xml:space="preserve">since </w:t>
      </w:r>
      <w:r w:rsidR="00DD5417">
        <w:t xml:space="preserve">he altered the account on </w:t>
      </w:r>
      <w:r w:rsidR="0035563B">
        <w:t>October 17</w:t>
      </w:r>
      <w:r w:rsidR="00E21F12">
        <w:t>,</w:t>
      </w:r>
      <w:r w:rsidR="00BB568A">
        <w:t xml:space="preserve"> 2013.  (Tr. 9, </w:t>
      </w:r>
      <w:r w:rsidR="00E21F12">
        <w:t>20</w:t>
      </w:r>
      <w:r w:rsidR="0035563B">
        <w:t>, 35</w:t>
      </w:r>
      <w:r w:rsidR="00E21F12">
        <w:t>; DLC Exhibit 3</w:t>
      </w:r>
      <w:r w:rsidR="00BB568A">
        <w:t>).</w:t>
      </w:r>
    </w:p>
    <w:p w:rsidR="008222DC" w:rsidRDefault="008222DC" w:rsidP="00562B4D">
      <w:pPr>
        <w:spacing w:after="0"/>
        <w:ind w:left="1440"/>
      </w:pPr>
    </w:p>
    <w:p w:rsidR="00E550C4" w:rsidRDefault="0092467E" w:rsidP="0031599D">
      <w:pPr>
        <w:pStyle w:val="ListParagraph"/>
      </w:pPr>
      <w:r>
        <w:t>3.</w:t>
      </w:r>
      <w:r>
        <w:tab/>
      </w:r>
      <w:r w:rsidR="00E21F12">
        <w:t xml:space="preserve">Since </w:t>
      </w:r>
      <w:r w:rsidR="0035563B">
        <w:t>October 17</w:t>
      </w:r>
      <w:r w:rsidR="00E21F12">
        <w:t xml:space="preserve">, 2013, </w:t>
      </w:r>
      <w:r w:rsidR="00273A54">
        <w:rPr>
          <w:szCs w:val="24"/>
        </w:rPr>
        <w:t xml:space="preserve">the </w:t>
      </w:r>
      <w:r w:rsidR="00273A54">
        <w:t xml:space="preserve">customer </w:t>
      </w:r>
      <w:r w:rsidR="00E21F12">
        <w:t>consumed $</w:t>
      </w:r>
      <w:r w:rsidR="00F0156F">
        <w:t>3,027.83</w:t>
      </w:r>
      <w:r w:rsidR="00E21F12">
        <w:t xml:space="preserve"> of electric</w:t>
      </w:r>
      <w:r w:rsidR="00F0156F">
        <w:t xml:space="preserve"> service.  (Tr. </w:t>
      </w:r>
      <w:r w:rsidR="0035563B">
        <w:t>35</w:t>
      </w:r>
      <w:r w:rsidR="00F0156F">
        <w:t xml:space="preserve">; DLC Exhibits 2 &amp; </w:t>
      </w:r>
      <w:r w:rsidR="00E21F12">
        <w:t>3).</w:t>
      </w:r>
    </w:p>
    <w:p w:rsidR="008222DC" w:rsidRDefault="008222DC" w:rsidP="00562B4D">
      <w:pPr>
        <w:spacing w:after="0"/>
        <w:ind w:left="1440"/>
      </w:pPr>
    </w:p>
    <w:p w:rsidR="009A09D2" w:rsidRDefault="0092467E" w:rsidP="0031599D">
      <w:pPr>
        <w:pStyle w:val="ListParagraph"/>
      </w:pPr>
      <w:r>
        <w:t>4.</w:t>
      </w:r>
      <w:r>
        <w:tab/>
      </w:r>
      <w:r w:rsidR="00E21F12">
        <w:t xml:space="preserve">Since </w:t>
      </w:r>
      <w:r w:rsidR="0035563B">
        <w:t>October 17</w:t>
      </w:r>
      <w:r w:rsidR="00E21F12">
        <w:t xml:space="preserve">, 2013, </w:t>
      </w:r>
      <w:r w:rsidR="00273A54">
        <w:rPr>
          <w:szCs w:val="24"/>
        </w:rPr>
        <w:t xml:space="preserve">the </w:t>
      </w:r>
      <w:r w:rsidR="00273A54">
        <w:t xml:space="preserve">customer </w:t>
      </w:r>
      <w:r w:rsidR="00E21F12">
        <w:t>paid $</w:t>
      </w:r>
      <w:r w:rsidR="00F0156F">
        <w:t>0</w:t>
      </w:r>
      <w:r w:rsidR="00E21F12">
        <w:t xml:space="preserve"> for the electric service he consumed</w:t>
      </w:r>
      <w:r w:rsidR="002C5F91">
        <w:t xml:space="preserve"> at the service address</w:t>
      </w:r>
      <w:r w:rsidR="00E21F12">
        <w:t xml:space="preserve">.  </w:t>
      </w:r>
      <w:r w:rsidR="00F0156F">
        <w:t xml:space="preserve">(Tr. </w:t>
      </w:r>
      <w:r w:rsidR="0035563B">
        <w:t>35</w:t>
      </w:r>
      <w:r w:rsidR="00F0156F">
        <w:t>; DLC Exhibits 2 &amp; 3).</w:t>
      </w:r>
    </w:p>
    <w:p w:rsidR="0035563B" w:rsidRDefault="0035563B" w:rsidP="004270EC">
      <w:pPr>
        <w:ind w:left="1440"/>
      </w:pPr>
    </w:p>
    <w:p w:rsidR="0035563B" w:rsidRDefault="0092467E" w:rsidP="0031599D">
      <w:pPr>
        <w:pStyle w:val="ListParagraph"/>
      </w:pPr>
      <w:r>
        <w:t>5.</w:t>
      </w:r>
      <w:r>
        <w:tab/>
      </w:r>
      <w:r w:rsidR="0035563B">
        <w:t>On October 25, 2013, an assistance payment totaling $500 was received as payment on the account established on October 17, 2013.  (Tr. 39; DLC Exhibit 3).</w:t>
      </w:r>
    </w:p>
    <w:p w:rsidR="008222DC" w:rsidRDefault="008222DC" w:rsidP="00562B4D">
      <w:pPr>
        <w:spacing w:after="0"/>
        <w:ind w:left="1440"/>
      </w:pPr>
    </w:p>
    <w:p w:rsidR="00594A87" w:rsidRDefault="0092467E" w:rsidP="0031599D">
      <w:pPr>
        <w:pStyle w:val="ListParagraph"/>
      </w:pPr>
      <w:r>
        <w:t>6.</w:t>
      </w:r>
      <w:r>
        <w:tab/>
      </w:r>
      <w:r w:rsidR="00F12885">
        <w:t>Mr. Wallace</w:t>
      </w:r>
      <w:r w:rsidR="002C5F91">
        <w:t xml:space="preserve"> refuses to pay for electric service he uses at the service address.  (Tr. 21-24).  </w:t>
      </w:r>
    </w:p>
    <w:p w:rsidR="008222DC" w:rsidRDefault="008222DC" w:rsidP="00562B4D">
      <w:pPr>
        <w:spacing w:after="0"/>
        <w:ind w:left="1440"/>
      </w:pPr>
    </w:p>
    <w:p w:rsidR="00594A87" w:rsidRDefault="0092467E" w:rsidP="0031599D">
      <w:pPr>
        <w:pStyle w:val="ListParagraph"/>
      </w:pPr>
      <w:r>
        <w:t>7.</w:t>
      </w:r>
      <w:r>
        <w:tab/>
      </w:r>
      <w:r w:rsidR="0035563B">
        <w:t xml:space="preserve">For approximately the first 16 years </w:t>
      </w:r>
      <w:r w:rsidR="00273A54">
        <w:rPr>
          <w:szCs w:val="24"/>
        </w:rPr>
        <w:t xml:space="preserve">the </w:t>
      </w:r>
      <w:r w:rsidR="00273A54">
        <w:t xml:space="preserve">customer </w:t>
      </w:r>
      <w:r w:rsidR="0035563B">
        <w:t xml:space="preserve">resided at the service address, </w:t>
      </w:r>
      <w:r w:rsidR="00F12885">
        <w:t>Mr. Wallace</w:t>
      </w:r>
      <w:r w:rsidR="002C5F91">
        <w:t xml:space="preserve"> paid for electric service until he received a termination notice from Respondent during a time when his son was ill.  </w:t>
      </w:r>
      <w:proofErr w:type="gramStart"/>
      <w:r w:rsidR="002C5F91">
        <w:t>(Tr. 24, 25).</w:t>
      </w:r>
      <w:proofErr w:type="gramEnd"/>
    </w:p>
    <w:p w:rsidR="00DD5417" w:rsidRDefault="00DD5417" w:rsidP="0031599D">
      <w:pPr>
        <w:pStyle w:val="ListParagraph"/>
      </w:pPr>
    </w:p>
    <w:p w:rsidR="00975AC4" w:rsidRDefault="0092467E" w:rsidP="0031599D">
      <w:pPr>
        <w:pStyle w:val="ListParagraph"/>
      </w:pPr>
      <w:r>
        <w:t>8.</w:t>
      </w:r>
      <w:r>
        <w:tab/>
      </w:r>
      <w:r w:rsidR="00975AC4">
        <w:t xml:space="preserve">On June 26, 2014, DLC sent a letter to Mr. Wallace explaining to him DLC’s position that </w:t>
      </w:r>
      <w:r w:rsidR="00273A54">
        <w:rPr>
          <w:szCs w:val="24"/>
        </w:rPr>
        <w:t xml:space="preserve">the </w:t>
      </w:r>
      <w:r w:rsidR="00273A54">
        <w:t xml:space="preserve">customer </w:t>
      </w:r>
      <w:r w:rsidR="00975AC4">
        <w:t>is responsible to pay the bills for the electric service DLC provided to him.  (Tr. 44, 45; DLC Exhibit 7).</w:t>
      </w:r>
    </w:p>
    <w:p w:rsidR="008222DC" w:rsidRDefault="008222DC" w:rsidP="00F12885">
      <w:pPr>
        <w:spacing w:after="0"/>
      </w:pPr>
    </w:p>
    <w:p w:rsidR="00594A87" w:rsidRDefault="0092467E" w:rsidP="0031599D">
      <w:pPr>
        <w:pStyle w:val="ListParagraph"/>
      </w:pPr>
      <w:r>
        <w:lastRenderedPageBreak/>
        <w:t>9.</w:t>
      </w:r>
      <w:r>
        <w:tab/>
      </w:r>
      <w:r w:rsidR="0035563B">
        <w:t xml:space="preserve">On July 14, 2014, DLC issued a ten-day shut-off notice to </w:t>
      </w:r>
      <w:r w:rsidR="00271825">
        <w:t>Mr. Wallace</w:t>
      </w:r>
      <w:r w:rsidR="0035563B">
        <w:t xml:space="preserve"> due to non-payment on the account.  (Tr. 40; DLC Exhibit 6).</w:t>
      </w:r>
    </w:p>
    <w:p w:rsidR="00271825" w:rsidRDefault="00271825" w:rsidP="004270EC">
      <w:pPr>
        <w:ind w:left="1440"/>
      </w:pPr>
    </w:p>
    <w:p w:rsidR="00271825" w:rsidRDefault="0092467E" w:rsidP="0031599D">
      <w:pPr>
        <w:pStyle w:val="ListParagraph"/>
      </w:pPr>
      <w:r>
        <w:t>10.</w:t>
      </w:r>
      <w:r>
        <w:tab/>
      </w:r>
      <w:r w:rsidR="00271825">
        <w:t xml:space="preserve">DLC stopped termination proceedings when </w:t>
      </w:r>
      <w:r w:rsidR="00273A54">
        <w:rPr>
          <w:szCs w:val="24"/>
        </w:rPr>
        <w:t xml:space="preserve">the </w:t>
      </w:r>
      <w:r w:rsidR="00273A54">
        <w:t xml:space="preserve">customer </w:t>
      </w:r>
      <w:r w:rsidR="00271825">
        <w:t>filed an informal complaint with the Commission on July 22, 2014.  (Tr. 42).</w:t>
      </w:r>
    </w:p>
    <w:p w:rsidR="008222DC" w:rsidRDefault="008222DC" w:rsidP="00F12885">
      <w:pPr>
        <w:spacing w:after="0"/>
      </w:pPr>
    </w:p>
    <w:p w:rsidR="00594A87" w:rsidRDefault="0092467E" w:rsidP="0031599D">
      <w:pPr>
        <w:pStyle w:val="ListParagraph"/>
      </w:pPr>
      <w:r>
        <w:t>11.</w:t>
      </w:r>
      <w:r>
        <w:tab/>
      </w:r>
      <w:r w:rsidR="00594A87">
        <w:t xml:space="preserve">As of the date of the hearing the balance on </w:t>
      </w:r>
      <w:r w:rsidR="00F12885">
        <w:t>Mr. Wallace’s</w:t>
      </w:r>
      <w:r w:rsidR="00594A87">
        <w:t xml:space="preserve"> account</w:t>
      </w:r>
      <w:r w:rsidR="007E4EBE">
        <w:t xml:space="preserve"> with Respondent</w:t>
      </w:r>
      <w:r w:rsidR="00594A87">
        <w:t xml:space="preserve"> was $</w:t>
      </w:r>
      <w:r w:rsidR="00F0156F">
        <w:t>3,027.83</w:t>
      </w:r>
      <w:r w:rsidR="00594A87">
        <w:t>.</w:t>
      </w:r>
      <w:r w:rsidR="008222DC">
        <w:t xml:space="preserve"> </w:t>
      </w:r>
      <w:r w:rsidR="00594A87">
        <w:t xml:space="preserve"> (</w:t>
      </w:r>
      <w:r w:rsidR="007E4EBE">
        <w:t xml:space="preserve">Tr. </w:t>
      </w:r>
      <w:r w:rsidR="0035563B">
        <w:t>39</w:t>
      </w:r>
      <w:r w:rsidR="007E4EBE">
        <w:t>; DLC Exhibit</w:t>
      </w:r>
      <w:r w:rsidR="00F0156F">
        <w:t>s 2 &amp; 3</w:t>
      </w:r>
      <w:r w:rsidR="00594A87">
        <w:t>)</w:t>
      </w:r>
      <w:r w:rsidR="00897B33">
        <w:t>.</w:t>
      </w:r>
    </w:p>
    <w:p w:rsidR="00DD7BFA" w:rsidRDefault="00DD7BFA" w:rsidP="00F12885">
      <w:pPr>
        <w:spacing w:after="0"/>
        <w:rPr>
          <w:u w:val="single"/>
        </w:rPr>
      </w:pPr>
    </w:p>
    <w:p w:rsidR="00BB568A" w:rsidRPr="00E33C6C" w:rsidRDefault="00F12885" w:rsidP="00F12885">
      <w:pPr>
        <w:spacing w:after="0"/>
        <w:rPr>
          <w:u w:val="single"/>
        </w:rPr>
      </w:pPr>
      <w:r>
        <w:rPr>
          <w:u w:val="single"/>
        </w:rPr>
        <w:t>Mr. Wallace</w:t>
      </w:r>
      <w:r w:rsidR="00BB568A">
        <w:rPr>
          <w:u w:val="single"/>
        </w:rPr>
        <w:t>’s Position</w:t>
      </w:r>
    </w:p>
    <w:p w:rsidR="00BB568A" w:rsidRDefault="00BB568A" w:rsidP="00F12885">
      <w:pPr>
        <w:spacing w:after="0"/>
        <w:ind w:firstLine="1440"/>
        <w:rPr>
          <w:szCs w:val="24"/>
        </w:rPr>
      </w:pPr>
    </w:p>
    <w:p w:rsidR="00E21F12" w:rsidRDefault="00F12885" w:rsidP="00F12885">
      <w:pPr>
        <w:spacing w:after="0"/>
        <w:ind w:firstLine="1440"/>
        <w:rPr>
          <w:szCs w:val="24"/>
        </w:rPr>
      </w:pPr>
      <w:r>
        <w:rPr>
          <w:szCs w:val="24"/>
        </w:rPr>
        <w:t>Mr. Wallace</w:t>
      </w:r>
      <w:r w:rsidR="009327A7">
        <w:rPr>
          <w:szCs w:val="24"/>
        </w:rPr>
        <w:t xml:space="preserve"> contended</w:t>
      </w:r>
      <w:r w:rsidR="00BB568A">
        <w:rPr>
          <w:szCs w:val="24"/>
        </w:rPr>
        <w:t xml:space="preserve"> </w:t>
      </w:r>
      <w:r w:rsidR="00487D8D">
        <w:rPr>
          <w:szCs w:val="24"/>
        </w:rPr>
        <w:t>initially DLC was wrong to attempt to terminate his electric service because he refused to pay DLC for the electricity received in his home.  Mr.</w:t>
      </w:r>
      <w:r w:rsidR="00130107">
        <w:rPr>
          <w:szCs w:val="24"/>
        </w:rPr>
        <w:t> </w:t>
      </w:r>
      <w:r w:rsidR="00487D8D">
        <w:rPr>
          <w:szCs w:val="24"/>
        </w:rPr>
        <w:t xml:space="preserve">Wallace argued DLC forced him to enter into </w:t>
      </w:r>
      <w:r w:rsidR="009327A7">
        <w:rPr>
          <w:szCs w:val="24"/>
        </w:rPr>
        <w:t xml:space="preserve">unrevealed contracts </w:t>
      </w:r>
      <w:r w:rsidR="00BB568A">
        <w:rPr>
          <w:szCs w:val="24"/>
        </w:rPr>
        <w:t xml:space="preserve">and to pay for a </w:t>
      </w:r>
      <w:r w:rsidR="00487D8D">
        <w:rPr>
          <w:szCs w:val="24"/>
        </w:rPr>
        <w:t xml:space="preserve">utility </w:t>
      </w:r>
      <w:r w:rsidR="00BB568A">
        <w:rPr>
          <w:szCs w:val="24"/>
        </w:rPr>
        <w:t>debt tha</w:t>
      </w:r>
      <w:r w:rsidR="009327A7">
        <w:rPr>
          <w:szCs w:val="24"/>
        </w:rPr>
        <w:t>t was not his debt.  He contended</w:t>
      </w:r>
      <w:r w:rsidR="00BB568A">
        <w:rPr>
          <w:szCs w:val="24"/>
        </w:rPr>
        <w:t xml:space="preserve"> he sent several affidavits to Respondent which affidavits have remained unanswered since 2013.  </w:t>
      </w:r>
      <w:r w:rsidR="009327A7">
        <w:rPr>
          <w:szCs w:val="24"/>
        </w:rPr>
        <w:t>He averred</w:t>
      </w:r>
      <w:r w:rsidR="00BB568A">
        <w:rPr>
          <w:szCs w:val="24"/>
        </w:rPr>
        <w:t xml:space="preserve"> he never agreed to a contract to pay for electric service and he ha</w:t>
      </w:r>
      <w:r w:rsidR="009327A7">
        <w:rPr>
          <w:szCs w:val="24"/>
        </w:rPr>
        <w:t>d</w:t>
      </w:r>
      <w:r w:rsidR="00BB568A">
        <w:rPr>
          <w:szCs w:val="24"/>
        </w:rPr>
        <w:t xml:space="preserve"> no contract with the for-profit United States government.  </w:t>
      </w:r>
      <w:r w:rsidR="009327A7">
        <w:rPr>
          <w:szCs w:val="24"/>
        </w:rPr>
        <w:t xml:space="preserve">He stated the name appearing on the bill was in all capital letters which represented a corporate fiction, and he was a flesh-and-blood person, not a corporate fiction.  </w:t>
      </w:r>
      <w:r w:rsidR="00E21F12">
        <w:rPr>
          <w:szCs w:val="24"/>
        </w:rPr>
        <w:t xml:space="preserve">He averred he appointed the Mayor of Pittsburgh, Governor of Pennsylvania and the board members of DLC as fiduciary trustees over his account and, as public </w:t>
      </w:r>
      <w:proofErr w:type="gramStart"/>
      <w:r w:rsidR="00E21F12">
        <w:rPr>
          <w:szCs w:val="24"/>
        </w:rPr>
        <w:t>servants,</w:t>
      </w:r>
      <w:proofErr w:type="gramEnd"/>
      <w:r w:rsidR="00E21F12">
        <w:rPr>
          <w:szCs w:val="24"/>
        </w:rPr>
        <w:t xml:space="preserve"> they were responsible to pay for the cost of his electric service.  (Tr. 10-19).   </w:t>
      </w:r>
    </w:p>
    <w:p w:rsidR="00E21F12" w:rsidRDefault="00E21F12" w:rsidP="00F12885">
      <w:pPr>
        <w:spacing w:after="0"/>
        <w:ind w:firstLine="1440"/>
        <w:rPr>
          <w:szCs w:val="24"/>
        </w:rPr>
      </w:pPr>
    </w:p>
    <w:p w:rsidR="00BB568A" w:rsidRDefault="009327A7" w:rsidP="00F12885">
      <w:pPr>
        <w:spacing w:after="0"/>
        <w:ind w:firstLine="1440"/>
        <w:rPr>
          <w:szCs w:val="24"/>
        </w:rPr>
      </w:pPr>
      <w:r>
        <w:rPr>
          <w:szCs w:val="24"/>
        </w:rPr>
        <w:t>In addition, he contended electricity doesn’t belong to anyone</w:t>
      </w:r>
      <w:r w:rsidR="00E21F12">
        <w:rPr>
          <w:szCs w:val="24"/>
        </w:rPr>
        <w:t>, is provided by God</w:t>
      </w:r>
      <w:r>
        <w:rPr>
          <w:szCs w:val="24"/>
        </w:rPr>
        <w:t xml:space="preserve"> and</w:t>
      </w:r>
      <w:r w:rsidR="00E21F12">
        <w:rPr>
          <w:szCs w:val="24"/>
        </w:rPr>
        <w:t>,</w:t>
      </w:r>
      <w:r>
        <w:rPr>
          <w:szCs w:val="24"/>
        </w:rPr>
        <w:t xml:space="preserve"> as a natural born man</w:t>
      </w:r>
      <w:r w:rsidR="00E21F12">
        <w:rPr>
          <w:szCs w:val="24"/>
        </w:rPr>
        <w:t>,</w:t>
      </w:r>
      <w:r>
        <w:rPr>
          <w:szCs w:val="24"/>
        </w:rPr>
        <w:t xml:space="preserve"> he does not have to pay to enjoy natural resources.  </w:t>
      </w:r>
      <w:proofErr w:type="gramStart"/>
      <w:r w:rsidR="00E21F12">
        <w:rPr>
          <w:szCs w:val="24"/>
        </w:rPr>
        <w:t>(Tr. 20).</w:t>
      </w:r>
      <w:proofErr w:type="gramEnd"/>
      <w:r w:rsidR="00E21F12">
        <w:rPr>
          <w:szCs w:val="24"/>
        </w:rPr>
        <w:t xml:space="preserve">  </w:t>
      </w:r>
      <w:r w:rsidR="00BB568A">
        <w:rPr>
          <w:szCs w:val="24"/>
        </w:rPr>
        <w:t>He argued the telephonic hearing was unlawful because DLC never rebutted his affidavits</w:t>
      </w:r>
      <w:r>
        <w:rPr>
          <w:szCs w:val="24"/>
        </w:rPr>
        <w:t xml:space="preserve"> and there appears to be collusion between the Commission and DLC to benefit the electric distribution company, instead of benefitting the natural people such as himself.  </w:t>
      </w:r>
      <w:proofErr w:type="gramStart"/>
      <w:r w:rsidR="00DD5417">
        <w:rPr>
          <w:szCs w:val="24"/>
        </w:rPr>
        <w:t>(Tr. 12).</w:t>
      </w:r>
      <w:proofErr w:type="gramEnd"/>
      <w:r w:rsidR="00DD5417">
        <w:rPr>
          <w:szCs w:val="24"/>
        </w:rPr>
        <w:t xml:space="preserve">  </w:t>
      </w:r>
      <w:r>
        <w:rPr>
          <w:szCs w:val="24"/>
        </w:rPr>
        <w:t xml:space="preserve">He requested the Commission uphold his </w:t>
      </w:r>
      <w:r w:rsidR="006259AD">
        <w:rPr>
          <w:szCs w:val="24"/>
        </w:rPr>
        <w:t>numerous</w:t>
      </w:r>
      <w:r>
        <w:rPr>
          <w:szCs w:val="24"/>
        </w:rPr>
        <w:t xml:space="preserve"> affidavits</w:t>
      </w:r>
      <w:r w:rsidR="006259AD">
        <w:rPr>
          <w:szCs w:val="24"/>
        </w:rPr>
        <w:t xml:space="preserve"> still</w:t>
      </w:r>
      <w:r>
        <w:rPr>
          <w:szCs w:val="24"/>
        </w:rPr>
        <w:t xml:space="preserve"> </w:t>
      </w:r>
      <w:r w:rsidR="006259AD">
        <w:rPr>
          <w:szCs w:val="24"/>
        </w:rPr>
        <w:t xml:space="preserve">un-rebutted </w:t>
      </w:r>
      <w:r>
        <w:rPr>
          <w:szCs w:val="24"/>
        </w:rPr>
        <w:t>since 2013.</w:t>
      </w:r>
      <w:r w:rsidR="00DD5417">
        <w:rPr>
          <w:szCs w:val="24"/>
        </w:rPr>
        <w:t xml:space="preserve">  (Tr. 11-12).</w:t>
      </w:r>
      <w:r>
        <w:rPr>
          <w:szCs w:val="24"/>
        </w:rPr>
        <w:t xml:space="preserve">  </w:t>
      </w:r>
    </w:p>
    <w:p w:rsidR="009327A7" w:rsidRDefault="009327A7" w:rsidP="00F12885">
      <w:pPr>
        <w:spacing w:after="0"/>
        <w:rPr>
          <w:szCs w:val="24"/>
        </w:rPr>
      </w:pPr>
    </w:p>
    <w:p w:rsidR="00DD5417" w:rsidRDefault="00DD5417" w:rsidP="00F12885">
      <w:pPr>
        <w:spacing w:after="0"/>
        <w:rPr>
          <w:szCs w:val="24"/>
          <w:u w:val="single"/>
        </w:rPr>
      </w:pPr>
    </w:p>
    <w:p w:rsidR="009327A7" w:rsidRPr="009327A7" w:rsidRDefault="009327A7" w:rsidP="00F12885">
      <w:pPr>
        <w:spacing w:after="0"/>
        <w:rPr>
          <w:szCs w:val="24"/>
          <w:u w:val="single"/>
        </w:rPr>
      </w:pPr>
      <w:r w:rsidRPr="009327A7">
        <w:rPr>
          <w:szCs w:val="24"/>
          <w:u w:val="single"/>
        </w:rPr>
        <w:lastRenderedPageBreak/>
        <w:t>Respondent’s Position</w:t>
      </w:r>
    </w:p>
    <w:p w:rsidR="00BB568A" w:rsidRDefault="00BB568A" w:rsidP="00F12885">
      <w:pPr>
        <w:spacing w:after="0"/>
        <w:ind w:firstLine="1440"/>
        <w:rPr>
          <w:szCs w:val="24"/>
        </w:rPr>
      </w:pPr>
    </w:p>
    <w:p w:rsidR="009327A7" w:rsidRDefault="002C5F91" w:rsidP="00F12885">
      <w:pPr>
        <w:spacing w:after="0"/>
        <w:ind w:firstLine="1440"/>
        <w:rPr>
          <w:szCs w:val="24"/>
        </w:rPr>
      </w:pPr>
      <w:r>
        <w:rPr>
          <w:szCs w:val="24"/>
        </w:rPr>
        <w:t>DLC contend</w:t>
      </w:r>
      <w:r w:rsidR="00F12885">
        <w:rPr>
          <w:szCs w:val="24"/>
        </w:rPr>
        <w:t>ed</w:t>
      </w:r>
      <w:r>
        <w:rPr>
          <w:szCs w:val="24"/>
        </w:rPr>
        <w:t xml:space="preserve"> </w:t>
      </w:r>
      <w:r w:rsidR="00273A54">
        <w:rPr>
          <w:szCs w:val="24"/>
        </w:rPr>
        <w:t xml:space="preserve">the customer </w:t>
      </w:r>
      <w:r>
        <w:rPr>
          <w:szCs w:val="24"/>
        </w:rPr>
        <w:t xml:space="preserve">is responsible for the monthly bills sent from DLC because </w:t>
      </w:r>
      <w:r w:rsidR="00F12885">
        <w:rPr>
          <w:szCs w:val="24"/>
        </w:rPr>
        <w:t>Mr. Wallace</w:t>
      </w:r>
      <w:r>
        <w:rPr>
          <w:szCs w:val="24"/>
        </w:rPr>
        <w:t xml:space="preserve"> benefitted from the electric service DLC provided to him at the service address.  DLC also argue</w:t>
      </w:r>
      <w:r w:rsidR="00F12885">
        <w:rPr>
          <w:szCs w:val="24"/>
        </w:rPr>
        <w:t>d</w:t>
      </w:r>
      <w:r>
        <w:rPr>
          <w:szCs w:val="24"/>
        </w:rPr>
        <w:t xml:space="preserve"> </w:t>
      </w:r>
      <w:r w:rsidR="00F12885">
        <w:rPr>
          <w:szCs w:val="24"/>
        </w:rPr>
        <w:t>the Commission lacks authority to determine if an</w:t>
      </w:r>
      <w:r w:rsidR="006259AD">
        <w:rPr>
          <w:szCs w:val="24"/>
        </w:rPr>
        <w:t>y</w:t>
      </w:r>
      <w:r w:rsidR="00F12885">
        <w:rPr>
          <w:szCs w:val="24"/>
        </w:rPr>
        <w:t xml:space="preserve"> affidavit (such as the ones provided by Mr. Wallace) is a negotiable instrument.  In addition, DLC argued Mr.</w:t>
      </w:r>
      <w:r w:rsidR="00130107">
        <w:rPr>
          <w:szCs w:val="24"/>
        </w:rPr>
        <w:t> </w:t>
      </w:r>
      <w:r w:rsidR="00F12885">
        <w:rPr>
          <w:szCs w:val="24"/>
        </w:rPr>
        <w:t xml:space="preserve">Wallace did not carry his burden of proving DLC violated any law or regulation that falls within the jurisdiction of the Public Utility Commission.  DLC requested the Commission grant either its Motion for Judgment on the Pleadings or grant the oral motion for non-suit, made during the initial hearing.  </w:t>
      </w:r>
    </w:p>
    <w:p w:rsidR="00975AC4" w:rsidRDefault="00975AC4" w:rsidP="00F12885">
      <w:pPr>
        <w:spacing w:after="0"/>
        <w:ind w:firstLine="1440"/>
        <w:rPr>
          <w:szCs w:val="24"/>
        </w:rPr>
      </w:pPr>
    </w:p>
    <w:p w:rsidR="00975AC4" w:rsidRDefault="00975AC4" w:rsidP="00F12885">
      <w:pPr>
        <w:spacing w:after="0"/>
        <w:ind w:firstLine="1440"/>
        <w:rPr>
          <w:szCs w:val="24"/>
        </w:rPr>
      </w:pPr>
      <w:r>
        <w:rPr>
          <w:szCs w:val="24"/>
        </w:rPr>
        <w:t>In summary, DLC avers this proceeding involves a simple fact pattern:</w:t>
      </w:r>
      <w:r w:rsidR="00130107">
        <w:rPr>
          <w:szCs w:val="24"/>
        </w:rPr>
        <w:t xml:space="preserve"> </w:t>
      </w:r>
      <w:r>
        <w:rPr>
          <w:szCs w:val="24"/>
        </w:rPr>
        <w:t xml:space="preserve"> </w:t>
      </w:r>
      <w:r w:rsidR="00273A54">
        <w:rPr>
          <w:szCs w:val="24"/>
        </w:rPr>
        <w:t xml:space="preserve">the customer </w:t>
      </w:r>
      <w:r>
        <w:rPr>
          <w:szCs w:val="24"/>
        </w:rPr>
        <w:t xml:space="preserve">admits he resides at the service address and admits he uses electricity provided by DLC there.  Accordingly, DLC contends </w:t>
      </w:r>
      <w:r w:rsidR="00273A54">
        <w:rPr>
          <w:szCs w:val="24"/>
        </w:rPr>
        <w:t xml:space="preserve">the customer </w:t>
      </w:r>
      <w:r>
        <w:rPr>
          <w:szCs w:val="24"/>
        </w:rPr>
        <w:t>is responsible to pay for the electric service he enjoys and his formal complaint should be dismissed</w:t>
      </w:r>
      <w:r w:rsidR="00487D8D">
        <w:rPr>
          <w:szCs w:val="24"/>
        </w:rPr>
        <w:t xml:space="preserve"> with prejudice</w:t>
      </w:r>
      <w:r>
        <w:rPr>
          <w:szCs w:val="24"/>
        </w:rPr>
        <w:t>.</w:t>
      </w:r>
    </w:p>
    <w:p w:rsidR="009327A7" w:rsidRDefault="009327A7" w:rsidP="00F12885">
      <w:pPr>
        <w:spacing w:after="0"/>
        <w:ind w:firstLine="1440"/>
        <w:rPr>
          <w:szCs w:val="24"/>
        </w:rPr>
      </w:pPr>
    </w:p>
    <w:p w:rsidR="009327A7" w:rsidRPr="009327A7" w:rsidRDefault="009327A7" w:rsidP="00F12885">
      <w:pPr>
        <w:spacing w:after="0"/>
        <w:rPr>
          <w:szCs w:val="24"/>
          <w:u w:val="single"/>
        </w:rPr>
      </w:pPr>
      <w:r w:rsidRPr="009327A7">
        <w:rPr>
          <w:szCs w:val="24"/>
          <w:u w:val="single"/>
        </w:rPr>
        <w:t>Applicable Law</w:t>
      </w:r>
    </w:p>
    <w:p w:rsidR="009327A7" w:rsidRDefault="009327A7" w:rsidP="00F12885">
      <w:pPr>
        <w:spacing w:after="0"/>
        <w:rPr>
          <w:szCs w:val="24"/>
        </w:rPr>
      </w:pPr>
    </w:p>
    <w:p w:rsidR="00AC6A9E" w:rsidRDefault="00AC6A9E" w:rsidP="00F12885">
      <w:pPr>
        <w:spacing w:after="0"/>
        <w:ind w:firstLine="1440"/>
        <w:rPr>
          <w:szCs w:val="24"/>
        </w:rPr>
      </w:pPr>
      <w:r w:rsidRPr="00035CC2">
        <w:rPr>
          <w:szCs w:val="24"/>
        </w:rPr>
        <w:t>Section 701 of the Public Utility Code (Code), provides that any person may complain, in writing, about any act or thing done or omitted to be done by a public utility in violation, or claimed violation, of any law which the Commission has the jurisdiction to administer, or of any regulation or order of the Commission.</w:t>
      </w:r>
      <w:r w:rsidRPr="00035CC2">
        <w:rPr>
          <w:rStyle w:val="FootnoteReference"/>
          <w:szCs w:val="24"/>
        </w:rPr>
        <w:footnoteReference w:id="2"/>
      </w:r>
      <w:r w:rsidRPr="00035CC2">
        <w:rPr>
          <w:szCs w:val="24"/>
        </w:rPr>
        <w:t xml:space="preserve">  A person seeking affirmative relief from the Commission has the burden of proof.</w:t>
      </w:r>
      <w:r w:rsidRPr="00035CC2">
        <w:rPr>
          <w:rStyle w:val="FootnoteReference"/>
          <w:szCs w:val="24"/>
        </w:rPr>
        <w:footnoteReference w:id="3"/>
      </w:r>
    </w:p>
    <w:p w:rsidR="00FD18DD" w:rsidRDefault="00FD18DD" w:rsidP="0035563B">
      <w:pPr>
        <w:ind w:firstLine="1440"/>
        <w:rPr>
          <w:szCs w:val="24"/>
        </w:rPr>
      </w:pPr>
    </w:p>
    <w:p w:rsidR="0035563B" w:rsidRDefault="0035563B" w:rsidP="0035563B">
      <w:pPr>
        <w:ind w:firstLine="1440"/>
        <w:rPr>
          <w:szCs w:val="24"/>
        </w:rPr>
      </w:pPr>
      <w:r>
        <w:rPr>
          <w:szCs w:val="24"/>
        </w:rPr>
        <w:t>DLC, like all Commission-regulated public utilities, is mandated to provide reasonable customer service:</w:t>
      </w:r>
    </w:p>
    <w:p w:rsidR="0035563B" w:rsidRDefault="0035563B" w:rsidP="0035563B">
      <w:pPr>
        <w:spacing w:line="240" w:lineRule="auto"/>
        <w:ind w:left="1440" w:right="1440"/>
        <w:rPr>
          <w:szCs w:val="24"/>
        </w:rPr>
      </w:pPr>
      <w:r w:rsidRPr="0062657B">
        <w:rPr>
          <w:szCs w:val="24"/>
        </w:rPr>
        <w:t xml:space="preserve">Every public utility shall furnish and maintain adequate, efficient, safe, and reasonable service and facilities, and shall make all such </w:t>
      </w:r>
      <w:r w:rsidRPr="0062657B">
        <w:rPr>
          <w:szCs w:val="24"/>
        </w:rPr>
        <w:lastRenderedPageBreak/>
        <w:t>repairs, changes, alterations, substitutions, extensions, and improvements in or to such service and facilities as shall be necessary or proper for the accommodation, convenience, and safety of its patrons, employees, and the public.  Such service also shall be reasonably continuous and without unreasonable interruptions or delay.  Such service and facilities shall be in conformity with the regulations and orders of the commission.</w:t>
      </w:r>
      <w:r w:rsidRPr="0062657B">
        <w:rPr>
          <w:rStyle w:val="FootnoteReference"/>
          <w:szCs w:val="24"/>
        </w:rPr>
        <w:footnoteReference w:id="4"/>
      </w:r>
    </w:p>
    <w:p w:rsidR="0035563B" w:rsidRPr="0062657B" w:rsidRDefault="0035563B" w:rsidP="0035563B">
      <w:pPr>
        <w:spacing w:line="240" w:lineRule="auto"/>
        <w:ind w:left="1440" w:right="1440"/>
        <w:rPr>
          <w:szCs w:val="24"/>
        </w:rPr>
      </w:pPr>
    </w:p>
    <w:p w:rsidR="0035563B" w:rsidRDefault="0035563B" w:rsidP="005B5C95">
      <w:pPr>
        <w:spacing w:after="0"/>
        <w:rPr>
          <w:szCs w:val="24"/>
        </w:rPr>
      </w:pPr>
      <w:r>
        <w:rPr>
          <w:szCs w:val="24"/>
        </w:rPr>
        <w:tab/>
        <w:t>Pennsylvania’s</w:t>
      </w:r>
      <w:r w:rsidRPr="0062657B">
        <w:rPr>
          <w:szCs w:val="24"/>
        </w:rPr>
        <w:t xml:space="preserve"> Commonwealth Court has cautioned the Commission may not sustain a complaint pursuant to Section 1501 unless it finds a utility violated a duty to render reasonable and reliable service.</w:t>
      </w:r>
      <w:r w:rsidRPr="0062657B">
        <w:rPr>
          <w:rStyle w:val="FootnoteReference"/>
          <w:szCs w:val="24"/>
        </w:rPr>
        <w:footnoteReference w:id="5"/>
      </w:r>
      <w:r w:rsidRPr="0062657B">
        <w:rPr>
          <w:szCs w:val="24"/>
        </w:rPr>
        <w:t xml:space="preserve">  The test to determine the adequacy of a utility’s service and facilities is </w:t>
      </w:r>
      <w:r>
        <w:rPr>
          <w:szCs w:val="24"/>
        </w:rPr>
        <w:t>one</w:t>
      </w:r>
      <w:r w:rsidRPr="0062657B">
        <w:rPr>
          <w:szCs w:val="24"/>
        </w:rPr>
        <w:t xml:space="preserve"> of reasonableness.</w:t>
      </w:r>
      <w:r w:rsidRPr="0062657B">
        <w:rPr>
          <w:rStyle w:val="FootnoteReference"/>
          <w:szCs w:val="24"/>
        </w:rPr>
        <w:footnoteReference w:id="6"/>
      </w:r>
      <w:r w:rsidRPr="0062657B">
        <w:rPr>
          <w:szCs w:val="24"/>
        </w:rPr>
        <w:t xml:space="preserve">  This test </w:t>
      </w:r>
      <w:r>
        <w:rPr>
          <w:szCs w:val="24"/>
        </w:rPr>
        <w:t>also</w:t>
      </w:r>
      <w:r w:rsidRPr="0062657B">
        <w:rPr>
          <w:szCs w:val="24"/>
        </w:rPr>
        <w:t xml:space="preserve"> determine</w:t>
      </w:r>
      <w:r>
        <w:rPr>
          <w:szCs w:val="24"/>
        </w:rPr>
        <w:t>s</w:t>
      </w:r>
      <w:r w:rsidRPr="0062657B">
        <w:rPr>
          <w:szCs w:val="24"/>
        </w:rPr>
        <w:t xml:space="preserve"> the adequacy of a utility’s response to customer service complaints, as well as repairs made to its facilities.</w:t>
      </w:r>
      <w:r w:rsidRPr="0062657B">
        <w:rPr>
          <w:rStyle w:val="FootnoteReference"/>
          <w:szCs w:val="24"/>
        </w:rPr>
        <w:footnoteReference w:id="7"/>
      </w:r>
    </w:p>
    <w:p w:rsidR="00525FF0" w:rsidRDefault="00525FF0" w:rsidP="00F12885">
      <w:pPr>
        <w:spacing w:after="0"/>
        <w:rPr>
          <w:szCs w:val="24"/>
        </w:rPr>
      </w:pPr>
    </w:p>
    <w:p w:rsidR="00F0156F" w:rsidRPr="00F0156F" w:rsidRDefault="00F0156F" w:rsidP="00F12885">
      <w:pPr>
        <w:spacing w:after="0"/>
        <w:rPr>
          <w:szCs w:val="24"/>
          <w:u w:val="single"/>
        </w:rPr>
      </w:pPr>
      <w:r w:rsidRPr="00F0156F">
        <w:rPr>
          <w:szCs w:val="24"/>
          <w:u w:val="single"/>
        </w:rPr>
        <w:t>Discussion</w:t>
      </w:r>
    </w:p>
    <w:p w:rsidR="00F0156F" w:rsidRPr="00035CC2" w:rsidRDefault="00F0156F" w:rsidP="00F12885">
      <w:pPr>
        <w:spacing w:after="0"/>
        <w:rPr>
          <w:szCs w:val="24"/>
        </w:rPr>
      </w:pPr>
    </w:p>
    <w:p w:rsidR="00AC6A9E" w:rsidRDefault="00AC6A9E" w:rsidP="00F12885">
      <w:pPr>
        <w:spacing w:after="0"/>
        <w:ind w:firstLine="1440"/>
        <w:rPr>
          <w:szCs w:val="24"/>
        </w:rPr>
      </w:pPr>
      <w:r w:rsidRPr="00035CC2">
        <w:rPr>
          <w:szCs w:val="24"/>
        </w:rPr>
        <w:t xml:space="preserve">In this matter, </w:t>
      </w:r>
      <w:r w:rsidR="00F0156F">
        <w:rPr>
          <w:szCs w:val="24"/>
        </w:rPr>
        <w:t>Mr. Wallace seeks</w:t>
      </w:r>
      <w:r w:rsidRPr="00035CC2">
        <w:rPr>
          <w:szCs w:val="24"/>
        </w:rPr>
        <w:t xml:space="preserve"> affirmative relief from the Commission</w:t>
      </w:r>
      <w:r w:rsidR="00F0156F">
        <w:rPr>
          <w:szCs w:val="24"/>
        </w:rPr>
        <w:t>.  T</w:t>
      </w:r>
      <w:r w:rsidRPr="00035CC2">
        <w:rPr>
          <w:szCs w:val="24"/>
        </w:rPr>
        <w:t>herefore, he has the burden of proof</w:t>
      </w:r>
      <w:r w:rsidR="00F0156F">
        <w:rPr>
          <w:szCs w:val="24"/>
        </w:rPr>
        <w:t>, which</w:t>
      </w:r>
      <w:r w:rsidRPr="00035CC2">
        <w:rPr>
          <w:szCs w:val="24"/>
        </w:rPr>
        <w:t xml:space="preserve"> means </w:t>
      </w:r>
      <w:r w:rsidR="00F0156F">
        <w:rPr>
          <w:szCs w:val="24"/>
        </w:rPr>
        <w:t>he has the responsibility</w:t>
      </w:r>
      <w:r w:rsidRPr="00035CC2">
        <w:rPr>
          <w:szCs w:val="24"/>
        </w:rPr>
        <w:t xml:space="preserve"> to establish </w:t>
      </w:r>
      <w:r>
        <w:rPr>
          <w:szCs w:val="24"/>
        </w:rPr>
        <w:t>relevant facts which support his claim</w:t>
      </w:r>
      <w:r w:rsidRPr="00035CC2">
        <w:rPr>
          <w:szCs w:val="24"/>
        </w:rPr>
        <w:t xml:space="preserve"> by a preponderance of the evidence</w:t>
      </w:r>
      <w:r w:rsidR="00F0156F">
        <w:rPr>
          <w:szCs w:val="24"/>
        </w:rPr>
        <w:t>.  He</w:t>
      </w:r>
      <w:r w:rsidRPr="00035CC2">
        <w:rPr>
          <w:szCs w:val="24"/>
        </w:rPr>
        <w:t xml:space="preserve"> must show </w:t>
      </w:r>
      <w:r w:rsidR="007E4EBE">
        <w:rPr>
          <w:szCs w:val="24"/>
        </w:rPr>
        <w:t>DLC</w:t>
      </w:r>
      <w:r w:rsidRPr="00035CC2">
        <w:rPr>
          <w:szCs w:val="24"/>
        </w:rPr>
        <w:t xml:space="preserve"> violated the Public Utility Code or Commission regulations.</w:t>
      </w:r>
      <w:r w:rsidRPr="00035CC2">
        <w:rPr>
          <w:rStyle w:val="FootnoteReference"/>
          <w:szCs w:val="24"/>
        </w:rPr>
        <w:footnoteReference w:id="8"/>
      </w:r>
      <w:r w:rsidRPr="00035CC2">
        <w:rPr>
          <w:szCs w:val="24"/>
        </w:rPr>
        <w:t xml:space="preserve"> </w:t>
      </w:r>
      <w:r>
        <w:rPr>
          <w:szCs w:val="24"/>
        </w:rPr>
        <w:t xml:space="preserve"> </w:t>
      </w:r>
      <w:r w:rsidR="00F0156F">
        <w:rPr>
          <w:szCs w:val="24"/>
        </w:rPr>
        <w:t>Specifically</w:t>
      </w:r>
      <w:r w:rsidR="009E35DA">
        <w:rPr>
          <w:szCs w:val="24"/>
        </w:rPr>
        <w:t>, he</w:t>
      </w:r>
      <w:r>
        <w:rPr>
          <w:szCs w:val="24"/>
        </w:rPr>
        <w:t xml:space="preserve"> must establish that </w:t>
      </w:r>
      <w:r w:rsidR="007E4EBE">
        <w:rPr>
          <w:szCs w:val="24"/>
        </w:rPr>
        <w:t>DLC’s</w:t>
      </w:r>
      <w:r>
        <w:rPr>
          <w:szCs w:val="24"/>
        </w:rPr>
        <w:t xml:space="preserve"> policy of </w:t>
      </w:r>
      <w:r w:rsidR="007E4EBE">
        <w:rPr>
          <w:szCs w:val="24"/>
        </w:rPr>
        <w:t xml:space="preserve">requiring him to be responsible to pay for the electric service he uses at the service address </w:t>
      </w:r>
      <w:r>
        <w:rPr>
          <w:szCs w:val="24"/>
        </w:rPr>
        <w:t xml:space="preserve">is unreasonable within the meaning of the Public Utility Code and its regulations.  As explained more fully below, </w:t>
      </w:r>
      <w:r w:rsidR="00F12885">
        <w:rPr>
          <w:szCs w:val="24"/>
        </w:rPr>
        <w:t>Mr. Wallace</w:t>
      </w:r>
      <w:r>
        <w:rPr>
          <w:szCs w:val="24"/>
        </w:rPr>
        <w:t xml:space="preserve"> failed to sustain this burden and his complaint will be dismissed.</w:t>
      </w:r>
    </w:p>
    <w:p w:rsidR="00925BA0" w:rsidRDefault="00925BA0" w:rsidP="00925BA0">
      <w:pPr>
        <w:spacing w:after="0"/>
        <w:rPr>
          <w:szCs w:val="24"/>
        </w:rPr>
      </w:pPr>
    </w:p>
    <w:p w:rsidR="00172D55" w:rsidRDefault="0024517E" w:rsidP="00373E22">
      <w:pPr>
        <w:spacing w:after="0"/>
      </w:pPr>
      <w:r>
        <w:lastRenderedPageBreak/>
        <w:tab/>
      </w:r>
      <w:r w:rsidR="00F12885">
        <w:t>Mr. Wallace</w:t>
      </w:r>
      <w:r w:rsidR="0027213B">
        <w:t xml:space="preserve"> contends </w:t>
      </w:r>
      <w:r w:rsidR="0069594F">
        <w:t xml:space="preserve">DLC </w:t>
      </w:r>
      <w:r w:rsidR="00F0156F">
        <w:t>must</w:t>
      </w:r>
      <w:r w:rsidR="0027213B">
        <w:t xml:space="preserve"> </w:t>
      </w:r>
      <w:r w:rsidR="0069594F">
        <w:t xml:space="preserve">stop insisting he pay for electric </w:t>
      </w:r>
      <w:r w:rsidR="009E35DA">
        <w:t>service.</w:t>
      </w:r>
      <w:r w:rsidR="0027213B">
        <w:t xml:space="preserve"> </w:t>
      </w:r>
      <w:r w:rsidR="00F06388">
        <w:t xml:space="preserve"> </w:t>
      </w:r>
      <w:r w:rsidR="0027213B">
        <w:t>He claims</w:t>
      </w:r>
      <w:r w:rsidR="0069594F">
        <w:t xml:space="preserve"> </w:t>
      </w:r>
      <w:r w:rsidR="00F0156F">
        <w:t xml:space="preserve">electricity is provided by God and DLC’s wires are nothing more than a conduit for a natural resource provided free to all citizens.  </w:t>
      </w:r>
      <w:r w:rsidR="00172D55">
        <w:t xml:space="preserve">In his view, </w:t>
      </w:r>
      <w:r w:rsidR="0069594F">
        <w:t>DLC</w:t>
      </w:r>
      <w:r w:rsidR="00172D55">
        <w:t xml:space="preserve"> unlawfully demand</w:t>
      </w:r>
      <w:r w:rsidR="00F0156F">
        <w:t>s</w:t>
      </w:r>
      <w:r w:rsidR="00172D55">
        <w:t xml:space="preserve"> </w:t>
      </w:r>
      <w:r w:rsidR="0069594F">
        <w:t>he pay for receiving a portion of the nation’s natural resource</w:t>
      </w:r>
      <w:r w:rsidR="00F0156F">
        <w:t>s</w:t>
      </w:r>
      <w:r w:rsidR="0069594F">
        <w:t xml:space="preserve"> but, as a natural born citizen, he is not required to pay for services which are free under the United States Constitution</w:t>
      </w:r>
      <w:r w:rsidR="00172D55">
        <w:t>.</w:t>
      </w:r>
    </w:p>
    <w:p w:rsidR="00373E22" w:rsidRDefault="00373E22" w:rsidP="00373E22">
      <w:pPr>
        <w:spacing w:after="0"/>
      </w:pPr>
    </w:p>
    <w:p w:rsidR="00487D8D" w:rsidRPr="00487D8D" w:rsidRDefault="00487D8D" w:rsidP="00373E22">
      <w:pPr>
        <w:spacing w:after="0"/>
        <w:rPr>
          <w:u w:val="single"/>
        </w:rPr>
      </w:pPr>
      <w:r w:rsidRPr="00487D8D">
        <w:rPr>
          <w:u w:val="single"/>
        </w:rPr>
        <w:t>Conclusion</w:t>
      </w:r>
    </w:p>
    <w:p w:rsidR="00487D8D" w:rsidRDefault="00487D8D" w:rsidP="00373E22">
      <w:pPr>
        <w:spacing w:after="0"/>
      </w:pPr>
    </w:p>
    <w:p w:rsidR="00135921" w:rsidRDefault="00172D55" w:rsidP="00373E22">
      <w:pPr>
        <w:spacing w:after="0"/>
        <w:rPr>
          <w:szCs w:val="24"/>
        </w:rPr>
      </w:pPr>
      <w:r>
        <w:tab/>
      </w:r>
      <w:r w:rsidR="00F12885">
        <w:t>Mr. Wallace</w:t>
      </w:r>
      <w:r w:rsidR="00FD500A">
        <w:t xml:space="preserve"> did not demonstrate that </w:t>
      </w:r>
      <w:r w:rsidR="0069594F">
        <w:t>DLC’s</w:t>
      </w:r>
      <w:r w:rsidR="00FD500A">
        <w:t xml:space="preserve"> policy </w:t>
      </w:r>
      <w:r w:rsidR="00F0156F">
        <w:t xml:space="preserve">to insist he pay for </w:t>
      </w:r>
      <w:r w:rsidR="002C5F91">
        <w:t xml:space="preserve">the </w:t>
      </w:r>
      <w:r w:rsidR="00F0156F">
        <w:t>electric service</w:t>
      </w:r>
      <w:r w:rsidR="002C5F91">
        <w:t xml:space="preserve"> he consumes and uses at the service address</w:t>
      </w:r>
      <w:r w:rsidR="00F0156F">
        <w:t xml:space="preserve"> is in any way</w:t>
      </w:r>
      <w:r w:rsidR="00FD500A">
        <w:t xml:space="preserve"> unreasonable</w:t>
      </w:r>
      <w:r w:rsidR="00F0156F">
        <w:t>, is</w:t>
      </w:r>
      <w:r w:rsidR="00FD500A">
        <w:t xml:space="preserve"> in violation of the Public Utility Code</w:t>
      </w:r>
      <w:r w:rsidR="00F0156F">
        <w:t>, or violates</w:t>
      </w:r>
      <w:r w:rsidR="00FD500A">
        <w:t xml:space="preserve"> any regulation of the Commission.  </w:t>
      </w:r>
      <w:proofErr w:type="gramStart"/>
      <w:r w:rsidR="00525FF0">
        <w:rPr>
          <w:szCs w:val="24"/>
        </w:rPr>
        <w:t xml:space="preserve">Pursuant to 66 </w:t>
      </w:r>
      <w:proofErr w:type="spellStart"/>
      <w:r w:rsidR="00525FF0">
        <w:rPr>
          <w:szCs w:val="24"/>
        </w:rPr>
        <w:t>Pa.C.S.A</w:t>
      </w:r>
      <w:proofErr w:type="spellEnd"/>
      <w:r w:rsidR="00525FF0">
        <w:rPr>
          <w:szCs w:val="24"/>
        </w:rPr>
        <w:t>.</w:t>
      </w:r>
      <w:proofErr w:type="gramEnd"/>
      <w:r w:rsidR="00525FF0">
        <w:rPr>
          <w:szCs w:val="24"/>
        </w:rPr>
        <w:t xml:space="preserve"> § 1406(a), DLC is permitted to terminate service due to nonpayment of an undisputed delinquent account.  </w:t>
      </w:r>
      <w:r w:rsidR="00B44132">
        <w:rPr>
          <w:szCs w:val="24"/>
        </w:rPr>
        <w:t>Furthermore, pursuant to the Commission’s regulations at 52</w:t>
      </w:r>
      <w:r w:rsidR="00130107">
        <w:rPr>
          <w:szCs w:val="24"/>
        </w:rPr>
        <w:t> </w:t>
      </w:r>
      <w:proofErr w:type="spellStart"/>
      <w:r w:rsidR="00B44132">
        <w:rPr>
          <w:szCs w:val="24"/>
        </w:rPr>
        <w:t>Pa.Code</w:t>
      </w:r>
      <w:proofErr w:type="spellEnd"/>
      <w:r w:rsidR="00B44132">
        <w:rPr>
          <w:szCs w:val="24"/>
        </w:rPr>
        <w:t xml:space="preserve"> § 56.164 and § 56.181, DLC may terminate electric service despite the filing of an informal or formal complaint by Mr. Wallace, if Mr. Wallace fails to pay undisputed portions of the monthly bills.  </w:t>
      </w:r>
    </w:p>
    <w:p w:rsidR="00135921" w:rsidRDefault="00135921" w:rsidP="00373E22">
      <w:pPr>
        <w:spacing w:after="0"/>
        <w:rPr>
          <w:szCs w:val="24"/>
        </w:rPr>
      </w:pPr>
    </w:p>
    <w:p w:rsidR="00FD500A" w:rsidRDefault="00135921" w:rsidP="00373E22">
      <w:pPr>
        <w:spacing w:after="0"/>
      </w:pPr>
      <w:r>
        <w:rPr>
          <w:szCs w:val="24"/>
        </w:rPr>
        <w:tab/>
      </w:r>
      <w:r w:rsidR="00B44132">
        <w:rPr>
          <w:szCs w:val="24"/>
        </w:rPr>
        <w:t>Mr. Wal</w:t>
      </w:r>
      <w:r w:rsidR="00525FF0">
        <w:rPr>
          <w:szCs w:val="24"/>
        </w:rPr>
        <w:t xml:space="preserve">lace admits he intentionally has not paid DLC for electric service he admits he used </w:t>
      </w:r>
      <w:r>
        <w:rPr>
          <w:szCs w:val="24"/>
        </w:rPr>
        <w:t xml:space="preserve">over the last two years </w:t>
      </w:r>
      <w:r w:rsidR="00525FF0">
        <w:rPr>
          <w:szCs w:val="24"/>
        </w:rPr>
        <w:t xml:space="preserve">and </w:t>
      </w:r>
      <w:r>
        <w:rPr>
          <w:szCs w:val="24"/>
        </w:rPr>
        <w:t xml:space="preserve">which he </w:t>
      </w:r>
      <w:r w:rsidR="00525FF0">
        <w:rPr>
          <w:szCs w:val="24"/>
        </w:rPr>
        <w:t>continues to use.  Mr. Wallace does not dispute the amounts charged by DLC for the electric service.  Mr. Wallace’s account with DLC is seriously deli</w:t>
      </w:r>
      <w:r w:rsidR="00487D8D">
        <w:rPr>
          <w:szCs w:val="24"/>
        </w:rPr>
        <w:t>nquent in that he personally has</w:t>
      </w:r>
      <w:r w:rsidR="00525FF0">
        <w:rPr>
          <w:szCs w:val="24"/>
        </w:rPr>
        <w:t xml:space="preserve"> not made any payment on the account since </w:t>
      </w:r>
      <w:r w:rsidR="00995554">
        <w:rPr>
          <w:szCs w:val="24"/>
        </w:rPr>
        <w:t xml:space="preserve">he altered </w:t>
      </w:r>
      <w:r w:rsidR="00525FF0">
        <w:rPr>
          <w:szCs w:val="24"/>
        </w:rPr>
        <w:t xml:space="preserve">the account in October 2013.  </w:t>
      </w:r>
      <w:r w:rsidR="00FD500A">
        <w:t>Theref</w:t>
      </w:r>
      <w:r w:rsidR="0069594F">
        <w:t xml:space="preserve">ore, </w:t>
      </w:r>
      <w:r w:rsidR="00525FF0">
        <w:t>Mr. Wallace</w:t>
      </w:r>
      <w:r w:rsidR="0069594F">
        <w:t xml:space="preserve"> failed to prove that DLC</w:t>
      </w:r>
      <w:r w:rsidR="00FD500A">
        <w:t>’s policy was unreasonable and his complaint will be dismissed.</w:t>
      </w:r>
    </w:p>
    <w:p w:rsidR="00135921" w:rsidRDefault="00135921" w:rsidP="00373E22">
      <w:pPr>
        <w:spacing w:after="0"/>
      </w:pPr>
    </w:p>
    <w:p w:rsidR="00135921" w:rsidRPr="00DB610B" w:rsidRDefault="00DB610B" w:rsidP="00373E22">
      <w:pPr>
        <w:spacing w:after="0"/>
        <w:rPr>
          <w:u w:val="single"/>
        </w:rPr>
      </w:pPr>
      <w:r w:rsidRPr="00DB610B">
        <w:rPr>
          <w:u w:val="single"/>
        </w:rPr>
        <w:t>Motion</w:t>
      </w:r>
      <w:r w:rsidR="00A769C7">
        <w:rPr>
          <w:u w:val="single"/>
        </w:rPr>
        <w:t xml:space="preserve"> for Judgment on the Pleadings</w:t>
      </w:r>
    </w:p>
    <w:p w:rsidR="00DB610B" w:rsidRDefault="00DB610B" w:rsidP="00373E22">
      <w:pPr>
        <w:spacing w:after="0"/>
      </w:pPr>
    </w:p>
    <w:p w:rsidR="00DB610B" w:rsidRDefault="00DB610B" w:rsidP="00DB610B">
      <w:pPr>
        <w:spacing w:after="0"/>
        <w:ind w:firstLine="1440"/>
        <w:rPr>
          <w:szCs w:val="24"/>
        </w:rPr>
      </w:pPr>
      <w:r>
        <w:rPr>
          <w:szCs w:val="24"/>
        </w:rPr>
        <w:t>In its Motio</w:t>
      </w:r>
      <w:r w:rsidR="00A769C7">
        <w:rPr>
          <w:szCs w:val="24"/>
        </w:rPr>
        <w:t>n for Judgment on the Pleadings filed on June 22, 2015, DLC averred the formal complaint should be dismissed on jurisdictional grounds.  DLC contended the formal complaint dealt exclusive</w:t>
      </w:r>
      <w:r w:rsidR="00DF73F8">
        <w:rPr>
          <w:szCs w:val="24"/>
        </w:rPr>
        <w:t>ly</w:t>
      </w:r>
      <w:r w:rsidR="00A769C7">
        <w:rPr>
          <w:szCs w:val="24"/>
        </w:rPr>
        <w:t xml:space="preserve"> with the negotiability of various affidavits (attached to the formal complaint) which Mr. Wallace averred satisfied his payment obligations to DLC for the electric service he received in the service address.  DLC correctly pointed to two cases in which the </w:t>
      </w:r>
      <w:r w:rsidR="00A769C7">
        <w:rPr>
          <w:szCs w:val="24"/>
        </w:rPr>
        <w:lastRenderedPageBreak/>
        <w:t xml:space="preserve">Commission ruled previously it lacked subject matter jurisdiction over </w:t>
      </w:r>
      <w:r w:rsidR="001B06F9">
        <w:rPr>
          <w:szCs w:val="24"/>
        </w:rPr>
        <w:t>negotiable instruments</w:t>
      </w:r>
      <w:r w:rsidR="00A769C7">
        <w:rPr>
          <w:szCs w:val="24"/>
        </w:rPr>
        <w:t xml:space="preserve">: </w:t>
      </w:r>
      <w:r w:rsidR="00DF73F8">
        <w:rPr>
          <w:szCs w:val="24"/>
        </w:rPr>
        <w:t xml:space="preserve"> </w:t>
      </w:r>
      <w:proofErr w:type="spellStart"/>
      <w:r w:rsidR="00A769C7" w:rsidRPr="00DF73F8">
        <w:rPr>
          <w:i/>
          <w:szCs w:val="24"/>
        </w:rPr>
        <w:t>Alkhatib</w:t>
      </w:r>
      <w:proofErr w:type="spellEnd"/>
      <w:r w:rsidR="00A769C7" w:rsidRPr="00DF73F8">
        <w:rPr>
          <w:i/>
          <w:szCs w:val="24"/>
        </w:rPr>
        <w:t xml:space="preserve"> v. PECO Energy Company,</w:t>
      </w:r>
      <w:r w:rsidR="00A769C7">
        <w:rPr>
          <w:szCs w:val="24"/>
        </w:rPr>
        <w:t xml:space="preserve"> Docket No. C-2011-2242125 (Opinion and Order dated January 12, 2012); and </w:t>
      </w:r>
      <w:proofErr w:type="spellStart"/>
      <w:r w:rsidR="00A769C7" w:rsidRPr="00DF73F8">
        <w:rPr>
          <w:i/>
          <w:szCs w:val="24"/>
        </w:rPr>
        <w:t>Coppedge</w:t>
      </w:r>
      <w:proofErr w:type="spellEnd"/>
      <w:r w:rsidR="00A769C7" w:rsidRPr="00DF73F8">
        <w:rPr>
          <w:i/>
          <w:szCs w:val="24"/>
        </w:rPr>
        <w:t xml:space="preserve"> v. PECO Energy Company</w:t>
      </w:r>
      <w:r w:rsidR="00A769C7">
        <w:rPr>
          <w:szCs w:val="24"/>
        </w:rPr>
        <w:t>, Docket No. F-2009-2135893 (Opinion and Order dated July 29, 2010).</w:t>
      </w:r>
      <w:r w:rsidR="00334210">
        <w:rPr>
          <w:rStyle w:val="FootnoteReference"/>
          <w:szCs w:val="24"/>
        </w:rPr>
        <w:footnoteReference w:id="9"/>
      </w:r>
      <w:r w:rsidR="00A769C7">
        <w:rPr>
          <w:szCs w:val="24"/>
        </w:rPr>
        <w:t xml:space="preserve">  </w:t>
      </w:r>
    </w:p>
    <w:p w:rsidR="00A769C7" w:rsidRDefault="00A769C7" w:rsidP="00DB610B">
      <w:pPr>
        <w:spacing w:after="0"/>
        <w:ind w:firstLine="1440"/>
        <w:rPr>
          <w:szCs w:val="24"/>
        </w:rPr>
      </w:pPr>
    </w:p>
    <w:p w:rsidR="00A769C7" w:rsidRDefault="00A769C7" w:rsidP="00DB610B">
      <w:pPr>
        <w:spacing w:after="0"/>
        <w:ind w:firstLine="1440"/>
        <w:rPr>
          <w:szCs w:val="24"/>
        </w:rPr>
      </w:pPr>
      <w:r>
        <w:rPr>
          <w:szCs w:val="24"/>
        </w:rPr>
        <w:t>Mr. Wallace’s formal complaint did not clearly state negotiability of his affidavits was at issue</w:t>
      </w:r>
      <w:r w:rsidR="00487D8D">
        <w:rPr>
          <w:szCs w:val="24"/>
        </w:rPr>
        <w:t xml:space="preserve"> or that it was the sole issue</w:t>
      </w:r>
      <w:r>
        <w:rPr>
          <w:szCs w:val="24"/>
        </w:rPr>
        <w:t xml:space="preserve">.  Therefore, </w:t>
      </w:r>
      <w:r w:rsidR="00374166">
        <w:rPr>
          <w:szCs w:val="24"/>
        </w:rPr>
        <w:t>the presiding officer held the motion in abeyance until the time of the initial hearing.  At the initial hearing, it became obvious Mr.</w:t>
      </w:r>
      <w:r w:rsidR="00A335F3">
        <w:rPr>
          <w:szCs w:val="24"/>
        </w:rPr>
        <w:t> </w:t>
      </w:r>
      <w:r w:rsidR="00374166">
        <w:rPr>
          <w:szCs w:val="24"/>
        </w:rPr>
        <w:t xml:space="preserve">Wallace’s complaint extended beyond the issue of whether his affidavits function as negotiable instruments.  In fact, Mr. Wallace’s complaint goes to the more basic question of whether electricity is an inalienable right of a citizen to receive free of charge and if he can be forced to pay for electric service.  Mr. Wallace clearly stated at the initial hearing that he is not responsible to pay for the electric service to his residence, and he clearly stated that, as a </w:t>
      </w:r>
      <w:r w:rsidR="00487D8D">
        <w:rPr>
          <w:szCs w:val="24"/>
        </w:rPr>
        <w:t>mere conduit for a resource God alone provides</w:t>
      </w:r>
      <w:r w:rsidR="00374166">
        <w:rPr>
          <w:szCs w:val="24"/>
        </w:rPr>
        <w:t>, DLC is not entitled to receive payment for the electricity which DLC</w:t>
      </w:r>
      <w:r w:rsidR="00487D8D">
        <w:rPr>
          <w:szCs w:val="24"/>
        </w:rPr>
        <w:t xml:space="preserve"> </w:t>
      </w:r>
      <w:r w:rsidR="00374166">
        <w:rPr>
          <w:szCs w:val="24"/>
        </w:rPr>
        <w:t>provides to his residence.</w:t>
      </w:r>
    </w:p>
    <w:p w:rsidR="00374166" w:rsidRDefault="00374166" w:rsidP="00DB610B">
      <w:pPr>
        <w:spacing w:after="0"/>
        <w:ind w:firstLine="1440"/>
        <w:rPr>
          <w:szCs w:val="24"/>
        </w:rPr>
      </w:pPr>
    </w:p>
    <w:p w:rsidR="00374166" w:rsidRDefault="00374166" w:rsidP="00DB610B">
      <w:pPr>
        <w:spacing w:after="0"/>
        <w:ind w:firstLine="1440"/>
        <w:rPr>
          <w:szCs w:val="24"/>
        </w:rPr>
      </w:pPr>
      <w:r>
        <w:rPr>
          <w:szCs w:val="24"/>
        </w:rPr>
        <w:t xml:space="preserve">Therefore, the </w:t>
      </w:r>
      <w:r w:rsidR="00BB1698">
        <w:rPr>
          <w:szCs w:val="24"/>
        </w:rPr>
        <w:t>M</w:t>
      </w:r>
      <w:r>
        <w:rPr>
          <w:szCs w:val="24"/>
        </w:rPr>
        <w:t xml:space="preserve">otion for </w:t>
      </w:r>
      <w:r w:rsidR="00BB1698">
        <w:rPr>
          <w:szCs w:val="24"/>
        </w:rPr>
        <w:t>J</w:t>
      </w:r>
      <w:r>
        <w:rPr>
          <w:szCs w:val="24"/>
        </w:rPr>
        <w:t xml:space="preserve">udgment on the </w:t>
      </w:r>
      <w:r w:rsidR="00BB1698">
        <w:rPr>
          <w:szCs w:val="24"/>
        </w:rPr>
        <w:t>P</w:t>
      </w:r>
      <w:r>
        <w:rPr>
          <w:szCs w:val="24"/>
        </w:rPr>
        <w:t xml:space="preserve">leadings is granted to the extent the formal complaint concerns the negotiability of the affidavits as payment on Mr. Wallace’s electric service account.  The motion is denied to the extent Mr. Wallace’s formal complaint concerns whether DLC violated any Commission statute or regulation, or any provision in DLC’s tariff.  </w:t>
      </w:r>
    </w:p>
    <w:p w:rsidR="00374166" w:rsidRDefault="00374166" w:rsidP="00374166">
      <w:pPr>
        <w:spacing w:after="0"/>
        <w:rPr>
          <w:szCs w:val="24"/>
        </w:rPr>
      </w:pPr>
    </w:p>
    <w:p w:rsidR="00374166" w:rsidRPr="0075476A" w:rsidRDefault="00374166" w:rsidP="00374166">
      <w:pPr>
        <w:spacing w:after="0"/>
        <w:rPr>
          <w:szCs w:val="24"/>
          <w:u w:val="single"/>
        </w:rPr>
      </w:pPr>
      <w:r w:rsidRPr="0075476A">
        <w:rPr>
          <w:szCs w:val="24"/>
          <w:u w:val="single"/>
        </w:rPr>
        <w:t>Motion for Non-Suit</w:t>
      </w:r>
    </w:p>
    <w:p w:rsidR="00374166" w:rsidRDefault="00374166" w:rsidP="00374166">
      <w:pPr>
        <w:spacing w:after="0"/>
        <w:rPr>
          <w:szCs w:val="24"/>
        </w:rPr>
      </w:pPr>
    </w:p>
    <w:p w:rsidR="00DB610B" w:rsidRDefault="0075476A" w:rsidP="00373E22">
      <w:pPr>
        <w:spacing w:after="0"/>
      </w:pPr>
      <w:r>
        <w:tab/>
      </w:r>
      <w:r>
        <w:rPr>
          <w:szCs w:val="24"/>
        </w:rPr>
        <w:t xml:space="preserve">DLC made an oral motion for non-suit, arguing Mr. Wallace did not present any evidence and thus could not possibly carry his burden of proving DLC violated any law or regulation that falls within the jurisdiction of the Public Utility Commission.  The motion was </w:t>
      </w:r>
      <w:r>
        <w:rPr>
          <w:szCs w:val="24"/>
        </w:rPr>
        <w:lastRenderedPageBreak/>
        <w:t xml:space="preserve">held in abeyance for decision </w:t>
      </w:r>
      <w:r w:rsidR="00D35E69">
        <w:rPr>
          <w:szCs w:val="24"/>
        </w:rPr>
        <w:t xml:space="preserve">until </w:t>
      </w:r>
      <w:r>
        <w:rPr>
          <w:szCs w:val="24"/>
        </w:rPr>
        <w:t xml:space="preserve">after the initial hearing by the presiding officer.  DLC is correct.  Mr. Wallace did not present evidence or aver that DLC violated a </w:t>
      </w:r>
      <w:r w:rsidRPr="00D35E69">
        <w:rPr>
          <w:szCs w:val="24"/>
          <w:u w:val="single"/>
        </w:rPr>
        <w:t>Commission</w:t>
      </w:r>
      <w:r>
        <w:rPr>
          <w:szCs w:val="24"/>
        </w:rPr>
        <w:t xml:space="preserve"> regulation, or a statutory provision of the </w:t>
      </w:r>
      <w:r w:rsidRPr="00D35E69">
        <w:rPr>
          <w:szCs w:val="24"/>
          <w:u w:val="single"/>
        </w:rPr>
        <w:t>Public Utility Code</w:t>
      </w:r>
      <w:r>
        <w:rPr>
          <w:szCs w:val="24"/>
        </w:rPr>
        <w:t xml:space="preserve">.  In addition, Mr. Wallace did not present evidence or aver that DLC violated its own tariff provisions. </w:t>
      </w:r>
      <w:r w:rsidR="00DF73F8">
        <w:rPr>
          <w:szCs w:val="24"/>
        </w:rPr>
        <w:t xml:space="preserve"> </w:t>
      </w:r>
      <w:r>
        <w:rPr>
          <w:szCs w:val="24"/>
        </w:rPr>
        <w:t xml:space="preserve">However, as the formal complaint is dismissed on the merits, as discussed above, decision on this motion is </w:t>
      </w:r>
      <w:r w:rsidR="00D35E69">
        <w:rPr>
          <w:szCs w:val="24"/>
        </w:rPr>
        <w:t xml:space="preserve">rendered </w:t>
      </w:r>
      <w:r>
        <w:rPr>
          <w:szCs w:val="24"/>
        </w:rPr>
        <w:t>moot.</w:t>
      </w:r>
    </w:p>
    <w:p w:rsidR="00373E22" w:rsidRDefault="00373E22" w:rsidP="004675B2">
      <w:pPr>
        <w:jc w:val="center"/>
        <w:rPr>
          <w:u w:val="single"/>
        </w:rPr>
      </w:pPr>
    </w:p>
    <w:p w:rsidR="00BA6DAA" w:rsidRDefault="00BA6DAA" w:rsidP="00DB638D">
      <w:pPr>
        <w:spacing w:after="0"/>
        <w:jc w:val="center"/>
        <w:rPr>
          <w:u w:val="single"/>
        </w:rPr>
      </w:pPr>
      <w:r w:rsidRPr="004675B2">
        <w:rPr>
          <w:u w:val="single"/>
        </w:rPr>
        <w:t>CONCLUSIONS OF LAW</w:t>
      </w:r>
    </w:p>
    <w:p w:rsidR="00DB638D" w:rsidRPr="004675B2" w:rsidRDefault="00DB638D" w:rsidP="00DB638D">
      <w:pPr>
        <w:spacing w:after="0"/>
        <w:jc w:val="center"/>
        <w:rPr>
          <w:u w:val="single"/>
        </w:rPr>
      </w:pPr>
    </w:p>
    <w:p w:rsidR="00BA6DAA" w:rsidRDefault="0031599D" w:rsidP="004C20FF">
      <w:pPr>
        <w:spacing w:after="0"/>
        <w:ind w:left="1440"/>
      </w:pPr>
      <w:r>
        <w:t>1.</w:t>
      </w:r>
      <w:r>
        <w:tab/>
      </w:r>
      <w:r w:rsidR="00BA6DAA">
        <w:t>The Commission has jurisdiction over this dispute.</w:t>
      </w:r>
      <w:r w:rsidR="00D35E69">
        <w:t xml:space="preserve">  </w:t>
      </w:r>
      <w:proofErr w:type="gramStart"/>
      <w:r w:rsidR="00D35E69">
        <w:t xml:space="preserve">66 </w:t>
      </w:r>
      <w:proofErr w:type="spellStart"/>
      <w:r w:rsidR="00D35E69">
        <w:t>Pa.</w:t>
      </w:r>
      <w:r w:rsidR="00D35E69" w:rsidRPr="00C81B96">
        <w:t>C.S.</w:t>
      </w:r>
      <w:r w:rsidR="00D35E69">
        <w:t>A</w:t>
      </w:r>
      <w:proofErr w:type="spellEnd"/>
      <w:r w:rsidR="00D35E69">
        <w:t>.</w:t>
      </w:r>
      <w:proofErr w:type="gramEnd"/>
      <w:r w:rsidR="00D35E69" w:rsidRPr="00C81B96">
        <w:t xml:space="preserve"> §</w:t>
      </w:r>
      <w:r w:rsidR="00D35E69">
        <w:t xml:space="preserve"> </w:t>
      </w:r>
      <w:r w:rsidR="00D35E69" w:rsidRPr="00C81B96">
        <w:t>701.</w:t>
      </w:r>
    </w:p>
    <w:p w:rsidR="00DB638D" w:rsidRDefault="00DB638D" w:rsidP="004C20FF">
      <w:pPr>
        <w:spacing w:after="0"/>
        <w:ind w:left="2160"/>
      </w:pPr>
    </w:p>
    <w:p w:rsidR="00BA6DAA" w:rsidRDefault="0031599D" w:rsidP="004C20FF">
      <w:pPr>
        <w:tabs>
          <w:tab w:val="clear" w:pos="1440"/>
          <w:tab w:val="left" w:pos="0"/>
        </w:tabs>
        <w:spacing w:after="0"/>
        <w:ind w:firstLine="1440"/>
      </w:pPr>
      <w:r>
        <w:t>2.</w:t>
      </w:r>
      <w:r>
        <w:tab/>
      </w:r>
      <w:r w:rsidR="00BA6DAA">
        <w:t>The Commission does not have jurisdiction to determine the negotiability of instruments.</w:t>
      </w:r>
      <w:r w:rsidR="00D35E69">
        <w:t xml:space="preserve">  </w:t>
      </w:r>
      <w:proofErr w:type="spellStart"/>
      <w:r w:rsidR="00D35E69" w:rsidRPr="0031599D">
        <w:rPr>
          <w:i/>
        </w:rPr>
        <w:t>Alkhatib</w:t>
      </w:r>
      <w:proofErr w:type="spellEnd"/>
      <w:r w:rsidR="00D35E69" w:rsidRPr="0031599D">
        <w:rPr>
          <w:i/>
        </w:rPr>
        <w:t xml:space="preserve"> v. PECO Energy Company</w:t>
      </w:r>
      <w:r w:rsidR="00D35E69">
        <w:t xml:space="preserve">, Docket No. C-2011-2242125 (Opinion and Order dated January 12, 2012); and </w:t>
      </w:r>
      <w:proofErr w:type="spellStart"/>
      <w:r w:rsidR="00D35E69" w:rsidRPr="0031599D">
        <w:rPr>
          <w:i/>
        </w:rPr>
        <w:t>Coppedge</w:t>
      </w:r>
      <w:proofErr w:type="spellEnd"/>
      <w:r w:rsidR="00D35E69" w:rsidRPr="0031599D">
        <w:rPr>
          <w:i/>
        </w:rPr>
        <w:t xml:space="preserve"> v. PECO Energy Company</w:t>
      </w:r>
      <w:r w:rsidR="00D35E69">
        <w:t>, Docket No. F-2009-2135893 (Opinion and Order dated July 29, 2010</w:t>
      </w:r>
      <w:r w:rsidR="008155B1">
        <w:t>)</w:t>
      </w:r>
      <w:r w:rsidR="00D35E69">
        <w:t>.</w:t>
      </w:r>
    </w:p>
    <w:p w:rsidR="00487D8D" w:rsidRDefault="00487D8D" w:rsidP="004C20FF">
      <w:pPr>
        <w:spacing w:after="0"/>
        <w:ind w:left="1440"/>
      </w:pPr>
    </w:p>
    <w:p w:rsidR="00487D8D" w:rsidRPr="00D35E69" w:rsidRDefault="0031599D" w:rsidP="004C20FF">
      <w:pPr>
        <w:pStyle w:val="ListParagraph"/>
      </w:pPr>
      <w:r>
        <w:t>3.</w:t>
      </w:r>
      <w:r>
        <w:tab/>
      </w:r>
      <w:r w:rsidR="00487D8D">
        <w:t xml:space="preserve">Duquesne Light Company proved its </w:t>
      </w:r>
      <w:r w:rsidR="00BB1698">
        <w:t>M</w:t>
      </w:r>
      <w:r w:rsidR="00487D8D">
        <w:t xml:space="preserve">otion for </w:t>
      </w:r>
      <w:r w:rsidR="00BB1698">
        <w:t>J</w:t>
      </w:r>
      <w:r w:rsidR="00487D8D">
        <w:t xml:space="preserve">udgment on the </w:t>
      </w:r>
      <w:r w:rsidR="00BB1698">
        <w:t>P</w:t>
      </w:r>
      <w:r w:rsidR="00487D8D">
        <w:t xml:space="preserve">leadings should be granted to the extent the formal complaint concerns the negotiability of the affidavits as payment on Mr. Wallace’s electric service account.  </w:t>
      </w:r>
      <w:proofErr w:type="gramStart"/>
      <w:r w:rsidR="00D35E69">
        <w:t xml:space="preserve">66 </w:t>
      </w:r>
      <w:proofErr w:type="spellStart"/>
      <w:r w:rsidR="00D35E69">
        <w:t>Pa.</w:t>
      </w:r>
      <w:r w:rsidR="00D35E69" w:rsidRPr="00C81B96">
        <w:t>C.S.</w:t>
      </w:r>
      <w:r w:rsidR="00D35E69">
        <w:t>A</w:t>
      </w:r>
      <w:proofErr w:type="spellEnd"/>
      <w:r w:rsidR="00D35E69">
        <w:t>.</w:t>
      </w:r>
      <w:proofErr w:type="gramEnd"/>
      <w:r w:rsidR="00D35E69" w:rsidRPr="00C81B96">
        <w:t xml:space="preserve"> §</w:t>
      </w:r>
      <w:r w:rsidR="00D35E69">
        <w:t xml:space="preserve"> </w:t>
      </w:r>
      <w:r w:rsidR="00D35E69" w:rsidRPr="00C81B96">
        <w:t>332(a).</w:t>
      </w:r>
    </w:p>
    <w:p w:rsidR="00D35E69" w:rsidRDefault="00D35E69" w:rsidP="004C20FF">
      <w:pPr>
        <w:spacing w:after="0"/>
        <w:ind w:left="1440"/>
      </w:pPr>
    </w:p>
    <w:p w:rsidR="00D35E69" w:rsidRPr="00D35E69" w:rsidRDefault="0031599D" w:rsidP="004C20FF">
      <w:pPr>
        <w:pStyle w:val="ListParagraph"/>
      </w:pPr>
      <w:r>
        <w:t>4.</w:t>
      </w:r>
      <w:r>
        <w:tab/>
      </w:r>
      <w:r w:rsidR="00D35E69">
        <w:t xml:space="preserve">Duquesne Light Company did not prove its </w:t>
      </w:r>
      <w:r w:rsidR="00BB1698">
        <w:t>M</w:t>
      </w:r>
      <w:r w:rsidR="00D35E69">
        <w:t xml:space="preserve">otion for </w:t>
      </w:r>
      <w:r w:rsidR="00BB1698">
        <w:t>J</w:t>
      </w:r>
      <w:r w:rsidR="00D35E69">
        <w:t xml:space="preserve">udgment on the </w:t>
      </w:r>
      <w:r w:rsidR="00BB1698">
        <w:t>P</w:t>
      </w:r>
      <w:r w:rsidR="00D35E69">
        <w:t xml:space="preserve">leadings should be granted to the extent Mr. Wallace’s formal complaint concerns whether Duquesne Light Company violated any Commission statute or regulation, or any provision in Duquesne Light Company’s tariff.  </w:t>
      </w:r>
      <w:proofErr w:type="gramStart"/>
      <w:r w:rsidR="00D35E69">
        <w:t xml:space="preserve">66 </w:t>
      </w:r>
      <w:proofErr w:type="spellStart"/>
      <w:r w:rsidR="00D35E69">
        <w:t>Pa.</w:t>
      </w:r>
      <w:r w:rsidR="00D35E69" w:rsidRPr="00C81B96">
        <w:t>C.S.</w:t>
      </w:r>
      <w:r w:rsidR="00D35E69">
        <w:t>A</w:t>
      </w:r>
      <w:proofErr w:type="spellEnd"/>
      <w:r w:rsidR="00D35E69">
        <w:t>.</w:t>
      </w:r>
      <w:proofErr w:type="gramEnd"/>
      <w:r w:rsidR="00D35E69" w:rsidRPr="00C81B96">
        <w:t xml:space="preserve"> §</w:t>
      </w:r>
      <w:r w:rsidR="00D35E69">
        <w:t xml:space="preserve"> 332(a) and </w:t>
      </w:r>
      <w:r w:rsidR="00D35E69" w:rsidRPr="00A64B1F">
        <w:t xml:space="preserve">66 </w:t>
      </w:r>
      <w:proofErr w:type="spellStart"/>
      <w:r w:rsidR="00D35E69" w:rsidRPr="00A64B1F">
        <w:t>Pa.C.S.</w:t>
      </w:r>
      <w:r w:rsidR="00D35E69">
        <w:t>A</w:t>
      </w:r>
      <w:proofErr w:type="spellEnd"/>
      <w:r w:rsidR="00D35E69">
        <w:t>.</w:t>
      </w:r>
      <w:r w:rsidR="00D35E69" w:rsidRPr="00A64B1F">
        <w:t xml:space="preserve"> § 1501</w:t>
      </w:r>
      <w:r w:rsidR="00D35E69">
        <w:t>.</w:t>
      </w:r>
    </w:p>
    <w:p w:rsidR="00D35E69" w:rsidRDefault="00D35E69" w:rsidP="004C20FF">
      <w:pPr>
        <w:spacing w:after="0"/>
        <w:ind w:left="1440"/>
      </w:pPr>
    </w:p>
    <w:p w:rsidR="00D35E69" w:rsidRDefault="0031599D" w:rsidP="004C20FF">
      <w:pPr>
        <w:pStyle w:val="ListParagraph"/>
      </w:pPr>
      <w:r>
        <w:t>5.</w:t>
      </w:r>
      <w:r>
        <w:tab/>
      </w:r>
      <w:r w:rsidR="00D35E69">
        <w:t xml:space="preserve">Wilbur Jerome Wallace failed to prove Duquesne Light Company’s policy to require him to pay for electric service provided to his service address was unreasonable or in violation of the Public Utility Code or the Commission’s regulations.  </w:t>
      </w:r>
      <w:proofErr w:type="gramStart"/>
      <w:r w:rsidR="00D35E69">
        <w:t xml:space="preserve">66 </w:t>
      </w:r>
      <w:proofErr w:type="spellStart"/>
      <w:r w:rsidR="00D35E69">
        <w:t>Pa.</w:t>
      </w:r>
      <w:r w:rsidR="00D35E69" w:rsidRPr="00C81B96">
        <w:t>C.S.</w:t>
      </w:r>
      <w:r w:rsidR="00D35E69">
        <w:t>A</w:t>
      </w:r>
      <w:proofErr w:type="spellEnd"/>
      <w:r w:rsidR="00D35E69">
        <w:t>.</w:t>
      </w:r>
      <w:proofErr w:type="gramEnd"/>
      <w:r w:rsidR="00D35E69" w:rsidRPr="00C81B96">
        <w:t xml:space="preserve"> §</w:t>
      </w:r>
      <w:r w:rsidR="00D35E69">
        <w:t xml:space="preserve"> </w:t>
      </w:r>
      <w:r w:rsidR="00D35E69" w:rsidRPr="00C81B96">
        <w:t>332(a)</w:t>
      </w:r>
      <w:r w:rsidR="00D35E69">
        <w:t xml:space="preserve"> and </w:t>
      </w:r>
      <w:r w:rsidR="00D35E69" w:rsidRPr="00A64B1F">
        <w:t xml:space="preserve">66 </w:t>
      </w:r>
      <w:proofErr w:type="spellStart"/>
      <w:r w:rsidR="00D35E69" w:rsidRPr="00A64B1F">
        <w:t>Pa.C.S.</w:t>
      </w:r>
      <w:r w:rsidR="00D35E69">
        <w:t>A</w:t>
      </w:r>
      <w:proofErr w:type="spellEnd"/>
      <w:r w:rsidR="00D35E69">
        <w:t>.</w:t>
      </w:r>
      <w:r w:rsidR="00D35E69" w:rsidRPr="00A64B1F">
        <w:t xml:space="preserve"> § 1501</w:t>
      </w:r>
      <w:r w:rsidR="00D35E69" w:rsidRPr="00C81B96">
        <w:t>.</w:t>
      </w:r>
    </w:p>
    <w:p w:rsidR="00BA6DAA" w:rsidRDefault="00BA6DAA" w:rsidP="004C20FF">
      <w:pPr>
        <w:spacing w:after="0"/>
      </w:pPr>
    </w:p>
    <w:p w:rsidR="007843C4" w:rsidRDefault="007843C4" w:rsidP="007843C4">
      <w:pPr>
        <w:spacing w:after="0"/>
      </w:pPr>
    </w:p>
    <w:p w:rsidR="004C20FF" w:rsidRDefault="004C20FF" w:rsidP="007843C4">
      <w:pPr>
        <w:spacing w:after="0"/>
      </w:pPr>
    </w:p>
    <w:p w:rsidR="005B5C95" w:rsidRDefault="005B5C95" w:rsidP="007843C4">
      <w:pPr>
        <w:spacing w:after="0"/>
      </w:pPr>
    </w:p>
    <w:p w:rsidR="005B5C95" w:rsidRDefault="005B5C95" w:rsidP="007843C4">
      <w:pPr>
        <w:spacing w:after="0"/>
      </w:pPr>
    </w:p>
    <w:p w:rsidR="005B5C95" w:rsidRDefault="005B5C95" w:rsidP="007843C4">
      <w:pPr>
        <w:spacing w:after="0"/>
      </w:pPr>
    </w:p>
    <w:p w:rsidR="00BA6DAA" w:rsidRDefault="00BA6DAA" w:rsidP="007843C4">
      <w:pPr>
        <w:spacing w:after="0"/>
        <w:jc w:val="center"/>
        <w:rPr>
          <w:u w:val="single"/>
        </w:rPr>
      </w:pPr>
      <w:r w:rsidRPr="004675B2">
        <w:rPr>
          <w:u w:val="single"/>
        </w:rPr>
        <w:t>ORDER</w:t>
      </w:r>
    </w:p>
    <w:p w:rsidR="007843C4" w:rsidRDefault="007843C4" w:rsidP="003350F1">
      <w:pPr>
        <w:spacing w:after="0" w:line="240" w:lineRule="auto"/>
        <w:jc w:val="center"/>
        <w:rPr>
          <w:u w:val="single"/>
        </w:rPr>
      </w:pPr>
    </w:p>
    <w:p w:rsidR="007843C4" w:rsidRPr="004675B2" w:rsidRDefault="007843C4" w:rsidP="004675B2">
      <w:pPr>
        <w:jc w:val="center"/>
        <w:rPr>
          <w:u w:val="single"/>
        </w:rPr>
      </w:pPr>
    </w:p>
    <w:p w:rsidR="00BA6DAA" w:rsidRDefault="007843C4" w:rsidP="007843C4">
      <w:pPr>
        <w:spacing w:after="0"/>
      </w:pPr>
      <w:r>
        <w:tab/>
      </w:r>
      <w:r w:rsidR="00BA6DAA">
        <w:t>THEREFORE</w:t>
      </w:r>
      <w:r>
        <w:t>,</w:t>
      </w:r>
    </w:p>
    <w:p w:rsidR="007843C4" w:rsidRDefault="007843C4" w:rsidP="007843C4">
      <w:pPr>
        <w:spacing w:after="0"/>
      </w:pPr>
    </w:p>
    <w:p w:rsidR="00BA6DAA" w:rsidRDefault="007843C4" w:rsidP="007843C4">
      <w:pPr>
        <w:spacing w:after="0"/>
      </w:pPr>
      <w:r>
        <w:tab/>
      </w:r>
      <w:r w:rsidR="00BA6DAA">
        <w:t>IT IS ORDERED:</w:t>
      </w:r>
    </w:p>
    <w:p w:rsidR="007843C4" w:rsidRDefault="007843C4" w:rsidP="007843C4">
      <w:pPr>
        <w:spacing w:after="0"/>
      </w:pPr>
    </w:p>
    <w:p w:rsidR="007843C4" w:rsidRDefault="00BA6DAA" w:rsidP="009040D2">
      <w:pPr>
        <w:pStyle w:val="ListParagraph"/>
        <w:numPr>
          <w:ilvl w:val="0"/>
          <w:numId w:val="21"/>
        </w:numPr>
        <w:ind w:left="0" w:firstLine="1440"/>
      </w:pPr>
      <w:r>
        <w:t xml:space="preserve">That the complaint of </w:t>
      </w:r>
      <w:r w:rsidR="005B15A5">
        <w:t xml:space="preserve">Wilbur Jerome Wallace v. Duquesne Light Company </w:t>
      </w:r>
      <w:r>
        <w:t xml:space="preserve">at </w:t>
      </w:r>
      <w:r w:rsidR="005B15A5">
        <w:t>D</w:t>
      </w:r>
      <w:r>
        <w:t>ocket No. F-</w:t>
      </w:r>
      <w:r w:rsidR="005B15A5">
        <w:t>2015-2478591</w:t>
      </w:r>
      <w:r>
        <w:t xml:space="preserve"> is dismissed</w:t>
      </w:r>
      <w:r w:rsidR="00D35E69">
        <w:t xml:space="preserve"> with prejudice</w:t>
      </w:r>
      <w:r>
        <w:t>.</w:t>
      </w:r>
    </w:p>
    <w:p w:rsidR="007843C4" w:rsidRDefault="007843C4" w:rsidP="00D35E69"/>
    <w:p w:rsidR="00BA6DAA" w:rsidRDefault="00BA6DAA" w:rsidP="0031599D">
      <w:pPr>
        <w:pStyle w:val="ListParagraph"/>
        <w:numPr>
          <w:ilvl w:val="0"/>
          <w:numId w:val="21"/>
        </w:numPr>
      </w:pPr>
      <w:r>
        <w:t>That the Secretary shall mark this docket closed.</w:t>
      </w:r>
    </w:p>
    <w:p w:rsidR="003350F1" w:rsidRDefault="003350F1" w:rsidP="004270EC">
      <w:pPr>
        <w:ind w:left="1440"/>
      </w:pPr>
    </w:p>
    <w:p w:rsidR="003350F1" w:rsidRDefault="003350F1" w:rsidP="004270EC">
      <w:pPr>
        <w:ind w:left="1440"/>
      </w:pPr>
    </w:p>
    <w:p w:rsidR="003350F1" w:rsidRDefault="003350F1" w:rsidP="003350F1">
      <w:pPr>
        <w:spacing w:after="0" w:line="240" w:lineRule="auto"/>
      </w:pPr>
      <w:r>
        <w:t xml:space="preserve">Date:  </w:t>
      </w:r>
      <w:r w:rsidR="0075476A">
        <w:rPr>
          <w:u w:val="single"/>
        </w:rPr>
        <w:t>October 2</w:t>
      </w:r>
      <w:r w:rsidR="0047502B">
        <w:rPr>
          <w:u w:val="single"/>
        </w:rPr>
        <w:t>8</w:t>
      </w:r>
      <w:r w:rsidR="005B15A5">
        <w:rPr>
          <w:u w:val="single"/>
        </w:rPr>
        <w:t>, 2015</w:t>
      </w:r>
      <w:r>
        <w:tab/>
      </w:r>
      <w:r>
        <w:tab/>
      </w:r>
      <w:r>
        <w:tab/>
      </w:r>
      <w:r>
        <w:tab/>
      </w:r>
      <w:r>
        <w:tab/>
      </w:r>
      <w:r>
        <w:rPr>
          <w:u w:val="single"/>
        </w:rPr>
        <w:tab/>
      </w:r>
      <w:r>
        <w:rPr>
          <w:u w:val="single"/>
        </w:rPr>
        <w:tab/>
        <w:t>/s/</w:t>
      </w:r>
      <w:r>
        <w:rPr>
          <w:u w:val="single"/>
        </w:rPr>
        <w:tab/>
      </w:r>
      <w:r>
        <w:rPr>
          <w:u w:val="single"/>
        </w:rPr>
        <w:tab/>
      </w:r>
      <w:r>
        <w:rPr>
          <w:u w:val="single"/>
        </w:rPr>
        <w:tab/>
      </w:r>
      <w:r>
        <w:tab/>
      </w:r>
      <w:r>
        <w:tab/>
      </w:r>
      <w:r>
        <w:tab/>
      </w:r>
      <w:r>
        <w:tab/>
      </w:r>
      <w:r>
        <w:tab/>
      </w:r>
      <w:r>
        <w:tab/>
      </w:r>
      <w:r>
        <w:tab/>
      </w:r>
      <w:r w:rsidR="005B15A5">
        <w:t>Katrina L. Dunderdale</w:t>
      </w:r>
    </w:p>
    <w:p w:rsidR="003350F1" w:rsidRDefault="003350F1" w:rsidP="003350F1">
      <w:pPr>
        <w:spacing w:line="240" w:lineRule="auto"/>
      </w:pPr>
      <w:r>
        <w:tab/>
      </w:r>
      <w:r>
        <w:tab/>
      </w:r>
      <w:r>
        <w:tab/>
      </w:r>
      <w:r>
        <w:tab/>
      </w:r>
      <w:r>
        <w:tab/>
      </w:r>
      <w:r>
        <w:tab/>
      </w:r>
      <w:r>
        <w:tab/>
        <w:t>Administrative Law Judge</w:t>
      </w:r>
    </w:p>
    <w:p w:rsidR="003350F1" w:rsidRPr="003350F1" w:rsidRDefault="003350F1" w:rsidP="004270EC">
      <w:pPr>
        <w:ind w:left="1440"/>
      </w:pPr>
    </w:p>
    <w:p w:rsidR="004100E8" w:rsidRDefault="004100E8" w:rsidP="00AC6A9E">
      <w:pPr>
        <w:ind w:firstLine="1440"/>
        <w:rPr>
          <w:szCs w:val="24"/>
        </w:rPr>
      </w:pPr>
    </w:p>
    <w:p w:rsidR="00AC6A9E" w:rsidRDefault="00AC6A9E"/>
    <w:sectPr w:rsidR="00AC6A9E" w:rsidSect="00693DCE">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7D45" w:rsidRDefault="00447D45" w:rsidP="00183468">
      <w:pPr>
        <w:spacing w:after="0" w:line="240" w:lineRule="auto"/>
      </w:pPr>
      <w:r>
        <w:separator/>
      </w:r>
    </w:p>
  </w:endnote>
  <w:endnote w:type="continuationSeparator" w:id="0">
    <w:p w:rsidR="00447D45" w:rsidRDefault="00447D45" w:rsidP="001834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4994365"/>
      <w:docPartObj>
        <w:docPartGallery w:val="Page Numbers (Bottom of Page)"/>
        <w:docPartUnique/>
      </w:docPartObj>
    </w:sdtPr>
    <w:sdtEndPr>
      <w:rPr>
        <w:noProof/>
        <w:sz w:val="20"/>
      </w:rPr>
    </w:sdtEndPr>
    <w:sdtContent>
      <w:p w:rsidR="00693DCE" w:rsidRPr="00935A2E" w:rsidRDefault="00693DCE">
        <w:pPr>
          <w:pStyle w:val="Footer"/>
          <w:jc w:val="center"/>
          <w:rPr>
            <w:sz w:val="20"/>
          </w:rPr>
        </w:pPr>
        <w:r w:rsidRPr="00935A2E">
          <w:rPr>
            <w:sz w:val="20"/>
          </w:rPr>
          <w:fldChar w:fldCharType="begin"/>
        </w:r>
        <w:r w:rsidRPr="00935A2E">
          <w:rPr>
            <w:sz w:val="20"/>
          </w:rPr>
          <w:instrText xml:space="preserve"> PAGE   \* MERGEFORMAT </w:instrText>
        </w:r>
        <w:r w:rsidRPr="00935A2E">
          <w:rPr>
            <w:sz w:val="20"/>
          </w:rPr>
          <w:fldChar w:fldCharType="separate"/>
        </w:r>
        <w:r w:rsidR="00616FBA">
          <w:rPr>
            <w:noProof/>
            <w:sz w:val="20"/>
          </w:rPr>
          <w:t>8</w:t>
        </w:r>
        <w:r w:rsidRPr="00935A2E">
          <w:rPr>
            <w:noProof/>
            <w:sz w:val="20"/>
          </w:rPr>
          <w:fldChar w:fldCharType="end"/>
        </w:r>
      </w:p>
    </w:sdtContent>
  </w:sdt>
  <w:p w:rsidR="00693DCE" w:rsidRDefault="00693D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7D45" w:rsidRDefault="00447D45" w:rsidP="00183468">
      <w:pPr>
        <w:spacing w:after="0" w:line="240" w:lineRule="auto"/>
      </w:pPr>
      <w:r>
        <w:separator/>
      </w:r>
    </w:p>
  </w:footnote>
  <w:footnote w:type="continuationSeparator" w:id="0">
    <w:p w:rsidR="00447D45" w:rsidRDefault="00447D45" w:rsidP="00183468">
      <w:pPr>
        <w:spacing w:after="0" w:line="240" w:lineRule="auto"/>
      </w:pPr>
      <w:r>
        <w:continuationSeparator/>
      </w:r>
    </w:p>
  </w:footnote>
  <w:footnote w:id="1">
    <w:p w:rsidR="002E21C9" w:rsidRDefault="002E21C9" w:rsidP="002E21C9">
      <w:pPr>
        <w:pStyle w:val="FootnoteText"/>
        <w:ind w:firstLine="720"/>
      </w:pPr>
      <w:r>
        <w:rPr>
          <w:rStyle w:val="FootnoteReference"/>
        </w:rPr>
        <w:footnoteRef/>
      </w:r>
      <w:r>
        <w:t xml:space="preserve">  </w:t>
      </w:r>
      <w:r>
        <w:tab/>
      </w:r>
      <w:r w:rsidR="00F12885">
        <w:t>Mr. Wallace</w:t>
      </w:r>
      <w:r>
        <w:t xml:space="preserve"> filed a document on </w:t>
      </w:r>
      <w:r w:rsidR="00945327">
        <w:t>September 2, 2015</w:t>
      </w:r>
      <w:r>
        <w:t>, entitled “</w:t>
      </w:r>
      <w:r w:rsidR="00945327">
        <w:t>Writ of Habeas Corpus</w:t>
      </w:r>
      <w:r>
        <w:t xml:space="preserve">.”  As this filing was made after the record was closed and without leave, it </w:t>
      </w:r>
      <w:r w:rsidR="00945327">
        <w:t>was</w:t>
      </w:r>
      <w:r w:rsidR="00752E0D">
        <w:t xml:space="preserve"> not</w:t>
      </w:r>
      <w:r>
        <w:t xml:space="preserve"> considered in the disposition of this matter.</w:t>
      </w:r>
    </w:p>
  </w:footnote>
  <w:footnote w:id="2">
    <w:p w:rsidR="00AC6A9E" w:rsidRDefault="00AC6A9E" w:rsidP="009A508F">
      <w:pPr>
        <w:pStyle w:val="FootnoteText"/>
        <w:spacing w:after="0"/>
        <w:ind w:firstLine="720"/>
      </w:pPr>
      <w:r w:rsidRPr="00C81B96">
        <w:rPr>
          <w:rStyle w:val="FootnoteReference"/>
        </w:rPr>
        <w:footnoteRef/>
      </w:r>
      <w:r w:rsidRPr="00C81B96">
        <w:t xml:space="preserve"> </w:t>
      </w:r>
      <w:r>
        <w:tab/>
      </w:r>
      <w:proofErr w:type="gramStart"/>
      <w:r>
        <w:t xml:space="preserve">66 </w:t>
      </w:r>
      <w:proofErr w:type="spellStart"/>
      <w:r>
        <w:t>Pa.</w:t>
      </w:r>
      <w:r w:rsidRPr="00C81B96">
        <w:t>C.S.</w:t>
      </w:r>
      <w:r w:rsidR="007E4EBE">
        <w:t>A</w:t>
      </w:r>
      <w:proofErr w:type="spellEnd"/>
      <w:r w:rsidR="007E4EBE">
        <w:t>.</w:t>
      </w:r>
      <w:proofErr w:type="gramEnd"/>
      <w:r w:rsidRPr="00C81B96">
        <w:t xml:space="preserve"> §</w:t>
      </w:r>
      <w:r>
        <w:t xml:space="preserve"> </w:t>
      </w:r>
      <w:r w:rsidRPr="00C81B96">
        <w:t>701.</w:t>
      </w:r>
    </w:p>
    <w:p w:rsidR="00AC6A9E" w:rsidRPr="00C81B96" w:rsidRDefault="00AC6A9E" w:rsidP="00AC6A9E">
      <w:pPr>
        <w:pStyle w:val="FootnoteText"/>
        <w:spacing w:after="0"/>
      </w:pPr>
    </w:p>
  </w:footnote>
  <w:footnote w:id="3">
    <w:p w:rsidR="00AC6A9E" w:rsidRDefault="00AC6A9E" w:rsidP="009A508F">
      <w:pPr>
        <w:pStyle w:val="FootnoteText"/>
        <w:spacing w:after="0"/>
        <w:ind w:firstLine="720"/>
      </w:pPr>
      <w:r w:rsidRPr="00C81B96">
        <w:rPr>
          <w:rStyle w:val="FootnoteReference"/>
        </w:rPr>
        <w:footnoteRef/>
      </w:r>
      <w:r w:rsidRPr="00C81B96">
        <w:t xml:space="preserve"> </w:t>
      </w:r>
      <w:r>
        <w:tab/>
      </w:r>
      <w:proofErr w:type="gramStart"/>
      <w:r>
        <w:t xml:space="preserve">66 </w:t>
      </w:r>
      <w:proofErr w:type="spellStart"/>
      <w:r>
        <w:t>Pa.</w:t>
      </w:r>
      <w:r w:rsidRPr="00C81B96">
        <w:t>C.S.</w:t>
      </w:r>
      <w:r w:rsidR="007E4EBE">
        <w:t>A</w:t>
      </w:r>
      <w:proofErr w:type="spellEnd"/>
      <w:r w:rsidR="007E4EBE">
        <w:t>.</w:t>
      </w:r>
      <w:proofErr w:type="gramEnd"/>
      <w:r w:rsidRPr="00C81B96">
        <w:t xml:space="preserve"> §</w:t>
      </w:r>
      <w:r>
        <w:t xml:space="preserve"> </w:t>
      </w:r>
      <w:r w:rsidRPr="00C81B96">
        <w:t>332(a).</w:t>
      </w:r>
    </w:p>
    <w:p w:rsidR="00AC6A9E" w:rsidRPr="00C81B96" w:rsidRDefault="00AC6A9E" w:rsidP="00AC6A9E">
      <w:pPr>
        <w:pStyle w:val="FootnoteText"/>
        <w:spacing w:after="0"/>
      </w:pPr>
    </w:p>
  </w:footnote>
  <w:footnote w:id="4">
    <w:p w:rsidR="0035563B" w:rsidRPr="00A64B1F" w:rsidRDefault="0035563B" w:rsidP="00A32BF0">
      <w:pPr>
        <w:pStyle w:val="FootnoteText"/>
        <w:spacing w:after="0"/>
        <w:ind w:firstLine="720"/>
      </w:pPr>
      <w:r w:rsidRPr="00A64B1F">
        <w:rPr>
          <w:rStyle w:val="FootnoteReference"/>
        </w:rPr>
        <w:footnoteRef/>
      </w:r>
      <w:r w:rsidRPr="00A64B1F">
        <w:t xml:space="preserve">  </w:t>
      </w:r>
      <w:r w:rsidRPr="00A64B1F">
        <w:tab/>
      </w:r>
      <w:proofErr w:type="gramStart"/>
      <w:r w:rsidRPr="00A64B1F">
        <w:t xml:space="preserve">66 </w:t>
      </w:r>
      <w:proofErr w:type="spellStart"/>
      <w:r w:rsidRPr="00A64B1F">
        <w:t>Pa.C.S.</w:t>
      </w:r>
      <w:r>
        <w:t>A</w:t>
      </w:r>
      <w:proofErr w:type="spellEnd"/>
      <w:r>
        <w:t>.</w:t>
      </w:r>
      <w:proofErr w:type="gramEnd"/>
      <w:r w:rsidRPr="00A64B1F">
        <w:t xml:space="preserve"> § 1501.</w:t>
      </w:r>
    </w:p>
  </w:footnote>
  <w:footnote w:id="5">
    <w:p w:rsidR="00487D8D" w:rsidRDefault="00487D8D" w:rsidP="0035563B">
      <w:pPr>
        <w:pStyle w:val="FootnoteText"/>
        <w:spacing w:after="0"/>
        <w:ind w:left="720"/>
      </w:pPr>
    </w:p>
    <w:p w:rsidR="0035563B" w:rsidRDefault="0035563B" w:rsidP="0035563B">
      <w:pPr>
        <w:pStyle w:val="FootnoteText"/>
        <w:spacing w:after="0"/>
        <w:ind w:left="720"/>
      </w:pPr>
      <w:r w:rsidRPr="00A64B1F">
        <w:rPr>
          <w:rStyle w:val="FootnoteReference"/>
        </w:rPr>
        <w:footnoteRef/>
      </w:r>
      <w:r w:rsidRPr="00A64B1F">
        <w:t xml:space="preserve">  </w:t>
      </w:r>
      <w:r w:rsidRPr="00A64B1F">
        <w:tab/>
      </w:r>
      <w:proofErr w:type="gramStart"/>
      <w:r w:rsidRPr="00931E61">
        <w:rPr>
          <w:i/>
        </w:rPr>
        <w:t>West Penn Power Co. v. Pa. Pub</w:t>
      </w:r>
      <w:r>
        <w:rPr>
          <w:i/>
        </w:rPr>
        <w:t>.</w:t>
      </w:r>
      <w:proofErr w:type="gramEnd"/>
      <w:r w:rsidRPr="00931E61">
        <w:rPr>
          <w:i/>
        </w:rPr>
        <w:t xml:space="preserve"> </w:t>
      </w:r>
      <w:proofErr w:type="gramStart"/>
      <w:r w:rsidRPr="00931E61">
        <w:rPr>
          <w:i/>
        </w:rPr>
        <w:t xml:space="preserve">Util. </w:t>
      </w:r>
      <w:proofErr w:type="spellStart"/>
      <w:r w:rsidRPr="00931E61">
        <w:rPr>
          <w:i/>
        </w:rPr>
        <w:t>Comm’n</w:t>
      </w:r>
      <w:proofErr w:type="spellEnd"/>
      <w:r w:rsidRPr="00A64B1F">
        <w:t>, 478 A.2d 947, 949 (</w:t>
      </w:r>
      <w:proofErr w:type="spellStart"/>
      <w:r w:rsidRPr="00A64B1F">
        <w:t>Pa.Cmwlth</w:t>
      </w:r>
      <w:proofErr w:type="spellEnd"/>
      <w:r w:rsidRPr="00A64B1F">
        <w:t>. 1984).</w:t>
      </w:r>
      <w:proofErr w:type="gramEnd"/>
    </w:p>
    <w:p w:rsidR="0035563B" w:rsidRPr="00A64B1F" w:rsidRDefault="0035563B" w:rsidP="0035563B">
      <w:pPr>
        <w:pStyle w:val="FootnoteText"/>
        <w:spacing w:after="0"/>
        <w:ind w:left="720"/>
      </w:pPr>
    </w:p>
  </w:footnote>
  <w:footnote w:id="6">
    <w:p w:rsidR="0035563B" w:rsidRDefault="0035563B" w:rsidP="0035563B">
      <w:pPr>
        <w:pStyle w:val="FootnoteText"/>
        <w:spacing w:after="0"/>
        <w:ind w:firstLine="720"/>
      </w:pPr>
      <w:r w:rsidRPr="00A64B1F">
        <w:rPr>
          <w:rStyle w:val="FootnoteReference"/>
        </w:rPr>
        <w:footnoteRef/>
      </w:r>
      <w:r w:rsidRPr="00A64B1F">
        <w:t xml:space="preserve"> </w:t>
      </w:r>
      <w:r w:rsidRPr="00A64B1F">
        <w:tab/>
      </w:r>
      <w:proofErr w:type="spellStart"/>
      <w:proofErr w:type="gramStart"/>
      <w:r w:rsidRPr="00A64B1F">
        <w:rPr>
          <w:i/>
        </w:rPr>
        <w:t>Scherich</w:t>
      </w:r>
      <w:proofErr w:type="spellEnd"/>
      <w:r w:rsidRPr="00A64B1F">
        <w:rPr>
          <w:i/>
        </w:rPr>
        <w:t xml:space="preserve"> v. Verizon Pennsylvania Inc.</w:t>
      </w:r>
      <w:r w:rsidRPr="00A64B1F">
        <w:t>, PUC Docket Nos.</w:t>
      </w:r>
      <w:proofErr w:type="gramEnd"/>
      <w:r w:rsidRPr="00A64B1F">
        <w:t xml:space="preserve"> C-2008-2061244, C-2008</w:t>
      </w:r>
      <w:r>
        <w:t>-</w:t>
      </w:r>
      <w:r w:rsidRPr="00A64B1F">
        <w:t>2068818 (Final Order January 28, 2010).</w:t>
      </w:r>
    </w:p>
    <w:p w:rsidR="0035563B" w:rsidRPr="00A64B1F" w:rsidRDefault="0035563B" w:rsidP="0035563B">
      <w:pPr>
        <w:pStyle w:val="FootnoteText"/>
        <w:spacing w:after="0"/>
        <w:ind w:firstLine="720"/>
      </w:pPr>
    </w:p>
  </w:footnote>
  <w:footnote w:id="7">
    <w:p w:rsidR="0035563B" w:rsidRDefault="0035563B" w:rsidP="0035563B">
      <w:pPr>
        <w:pStyle w:val="FootnoteText"/>
        <w:spacing w:after="0"/>
        <w:ind w:firstLine="720"/>
      </w:pPr>
      <w:r w:rsidRPr="00A64B1F">
        <w:rPr>
          <w:rStyle w:val="FootnoteReference"/>
        </w:rPr>
        <w:footnoteRef/>
      </w:r>
      <w:r w:rsidRPr="00A64B1F">
        <w:t xml:space="preserve">  </w:t>
      </w:r>
      <w:r w:rsidRPr="00A64B1F">
        <w:tab/>
      </w:r>
      <w:r w:rsidRPr="004A1C94">
        <w:rPr>
          <w:i/>
        </w:rPr>
        <w:t>Id</w:t>
      </w:r>
      <w:r w:rsidRPr="00A64B1F">
        <w:t>.</w:t>
      </w:r>
    </w:p>
    <w:p w:rsidR="0035563B" w:rsidRPr="00A64B1F" w:rsidRDefault="0035563B" w:rsidP="0035563B">
      <w:pPr>
        <w:pStyle w:val="FootnoteText"/>
        <w:spacing w:after="0"/>
        <w:ind w:firstLine="720"/>
      </w:pPr>
    </w:p>
  </w:footnote>
  <w:footnote w:id="8">
    <w:p w:rsidR="00AC6A9E" w:rsidRDefault="00AC6A9E" w:rsidP="009A508F">
      <w:pPr>
        <w:pStyle w:val="FootnoteText"/>
        <w:spacing w:after="0"/>
        <w:ind w:firstLine="720"/>
      </w:pPr>
      <w:r w:rsidRPr="00C81B96">
        <w:rPr>
          <w:rStyle w:val="FootnoteReference"/>
        </w:rPr>
        <w:footnoteRef/>
      </w:r>
      <w:r w:rsidRPr="00C81B96">
        <w:t xml:space="preserve"> </w:t>
      </w:r>
      <w:r>
        <w:tab/>
      </w:r>
      <w:proofErr w:type="gramStart"/>
      <w:r w:rsidRPr="000637F9">
        <w:rPr>
          <w:i/>
        </w:rPr>
        <w:t>Se-Ling Hosiery, Inc. v. Margulies</w:t>
      </w:r>
      <w:r w:rsidRPr="00C81B96">
        <w:t xml:space="preserve">, 364 Pa. 45, 70 A.2d 854 (1950); </w:t>
      </w:r>
      <w:r w:rsidRPr="000637F9">
        <w:rPr>
          <w:i/>
        </w:rPr>
        <w:t>Feinstein v. Philadelphia Suburban Water Company</w:t>
      </w:r>
      <w:r w:rsidRPr="000213A4">
        <w:t>,</w:t>
      </w:r>
      <w:r w:rsidRPr="00C81B96">
        <w:t xml:space="preserve"> 50 P</w:t>
      </w:r>
      <w:r w:rsidR="00DA26DF">
        <w:t>a.</w:t>
      </w:r>
      <w:r w:rsidRPr="00C81B96">
        <w:t xml:space="preserve"> PUC 300 (1976).</w:t>
      </w:r>
      <w:proofErr w:type="gramEnd"/>
    </w:p>
    <w:p w:rsidR="00AC6A9E" w:rsidRPr="00C81B96" w:rsidRDefault="00AC6A9E" w:rsidP="00AC6A9E">
      <w:pPr>
        <w:pStyle w:val="FootnoteText"/>
        <w:spacing w:after="0"/>
      </w:pPr>
    </w:p>
  </w:footnote>
  <w:footnote w:id="9">
    <w:p w:rsidR="00334210" w:rsidRPr="00086A0D" w:rsidRDefault="00334210" w:rsidP="00334210">
      <w:pPr>
        <w:pStyle w:val="PlainText"/>
        <w:ind w:firstLine="720"/>
        <w:rPr>
          <w:rFonts w:ascii="Times New Roman" w:hAnsi="Times New Roman" w:cs="Times New Roman"/>
          <w:sz w:val="20"/>
          <w:szCs w:val="20"/>
        </w:rPr>
      </w:pPr>
      <w:r w:rsidRPr="00616FBA">
        <w:rPr>
          <w:rStyle w:val="FootnoteReference"/>
          <w:rFonts w:ascii="Times New Roman" w:hAnsi="Times New Roman" w:cs="Times New Roman"/>
        </w:rPr>
        <w:footnoteRef/>
      </w:r>
      <w:r>
        <w:tab/>
      </w:r>
      <w:r w:rsidRPr="00086A0D">
        <w:rPr>
          <w:rFonts w:ascii="Times New Roman" w:hAnsi="Times New Roman" w:cs="Times New Roman"/>
          <w:sz w:val="20"/>
          <w:szCs w:val="20"/>
        </w:rPr>
        <w:t xml:space="preserve">The Commission does retain jurisdiction over whether Complainant’s proposed payment method is reasonable under the Code and our Regulations, and whether Respondent failed to provide reasonable and adequate customer service when refusing to accept Complainant’s instrument.  See </w:t>
      </w:r>
      <w:proofErr w:type="spellStart"/>
      <w:r w:rsidRPr="00086A0D">
        <w:rPr>
          <w:rFonts w:ascii="Times New Roman" w:hAnsi="Times New Roman" w:cs="Times New Roman"/>
          <w:i/>
          <w:sz w:val="20"/>
          <w:szCs w:val="20"/>
        </w:rPr>
        <w:t>Coppedge</w:t>
      </w:r>
      <w:proofErr w:type="spellEnd"/>
      <w:r w:rsidRPr="00086A0D">
        <w:rPr>
          <w:rFonts w:ascii="Times New Roman" w:hAnsi="Times New Roman" w:cs="Times New Roman"/>
          <w:i/>
          <w:sz w:val="20"/>
          <w:szCs w:val="20"/>
        </w:rPr>
        <w:t xml:space="preserve"> v</w:t>
      </w:r>
      <w:r>
        <w:rPr>
          <w:rFonts w:ascii="Times New Roman" w:hAnsi="Times New Roman" w:cs="Times New Roman"/>
          <w:i/>
          <w:sz w:val="20"/>
          <w:szCs w:val="20"/>
        </w:rPr>
        <w:t>.</w:t>
      </w:r>
      <w:r w:rsidRPr="00086A0D">
        <w:rPr>
          <w:rFonts w:ascii="Times New Roman" w:hAnsi="Times New Roman" w:cs="Times New Roman"/>
          <w:i/>
          <w:sz w:val="20"/>
          <w:szCs w:val="20"/>
        </w:rPr>
        <w:t xml:space="preserve"> PECO Energy Company</w:t>
      </w:r>
      <w:r w:rsidRPr="00086A0D">
        <w:rPr>
          <w:rFonts w:ascii="Times New Roman" w:hAnsi="Times New Roman" w:cs="Times New Roman"/>
          <w:sz w:val="20"/>
          <w:szCs w:val="20"/>
        </w:rPr>
        <w:t>, Docket No. F-2014-2406180 (Opinion and Order dated January 29, 2015).</w:t>
      </w:r>
    </w:p>
    <w:p w:rsidR="00334210" w:rsidRDefault="00334210">
      <w:pPr>
        <w:pStyle w:val="FootnoteText"/>
      </w:pPr>
      <w:bookmarkStart w:id="0" w:name="_GoBack"/>
      <w:bookmarkEnd w:id="0"/>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2B4C5B6"/>
    <w:lvl w:ilvl="0">
      <w:start w:val="1"/>
      <w:numFmt w:val="decimal"/>
      <w:lvlText w:val="%1."/>
      <w:lvlJc w:val="left"/>
      <w:pPr>
        <w:tabs>
          <w:tab w:val="num" w:pos="1800"/>
        </w:tabs>
        <w:ind w:left="1800" w:hanging="360"/>
      </w:pPr>
    </w:lvl>
  </w:abstractNum>
  <w:abstractNum w:abstractNumId="1">
    <w:nsid w:val="FFFFFF7D"/>
    <w:multiLevelType w:val="singleLevel"/>
    <w:tmpl w:val="45B0EE88"/>
    <w:lvl w:ilvl="0">
      <w:start w:val="1"/>
      <w:numFmt w:val="decimal"/>
      <w:lvlText w:val="%1."/>
      <w:lvlJc w:val="left"/>
      <w:pPr>
        <w:tabs>
          <w:tab w:val="num" w:pos="1440"/>
        </w:tabs>
        <w:ind w:left="1440" w:hanging="360"/>
      </w:pPr>
    </w:lvl>
  </w:abstractNum>
  <w:abstractNum w:abstractNumId="2">
    <w:nsid w:val="FFFFFF7E"/>
    <w:multiLevelType w:val="singleLevel"/>
    <w:tmpl w:val="F822BAB6"/>
    <w:lvl w:ilvl="0">
      <w:start w:val="1"/>
      <w:numFmt w:val="decimal"/>
      <w:lvlText w:val="%1."/>
      <w:lvlJc w:val="left"/>
      <w:pPr>
        <w:tabs>
          <w:tab w:val="num" w:pos="1080"/>
        </w:tabs>
        <w:ind w:left="1080" w:hanging="360"/>
      </w:pPr>
    </w:lvl>
  </w:abstractNum>
  <w:abstractNum w:abstractNumId="3">
    <w:nsid w:val="FFFFFF7F"/>
    <w:multiLevelType w:val="singleLevel"/>
    <w:tmpl w:val="392E1DA0"/>
    <w:lvl w:ilvl="0">
      <w:start w:val="1"/>
      <w:numFmt w:val="decimal"/>
      <w:lvlText w:val="%1."/>
      <w:lvlJc w:val="left"/>
      <w:pPr>
        <w:tabs>
          <w:tab w:val="num" w:pos="720"/>
        </w:tabs>
        <w:ind w:left="720" w:hanging="360"/>
      </w:pPr>
    </w:lvl>
  </w:abstractNum>
  <w:abstractNum w:abstractNumId="4">
    <w:nsid w:val="FFFFFF80"/>
    <w:multiLevelType w:val="singleLevel"/>
    <w:tmpl w:val="0B36783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989077F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8A74101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710AA3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56485BB8"/>
    <w:lvl w:ilvl="0">
      <w:start w:val="1"/>
      <w:numFmt w:val="decimal"/>
      <w:lvlText w:val="%1."/>
      <w:lvlJc w:val="left"/>
      <w:pPr>
        <w:tabs>
          <w:tab w:val="num" w:pos="360"/>
        </w:tabs>
        <w:ind w:left="360" w:hanging="360"/>
      </w:pPr>
    </w:lvl>
  </w:abstractNum>
  <w:abstractNum w:abstractNumId="9">
    <w:nsid w:val="FFFFFF89"/>
    <w:multiLevelType w:val="singleLevel"/>
    <w:tmpl w:val="584A7692"/>
    <w:lvl w:ilvl="0">
      <w:start w:val="1"/>
      <w:numFmt w:val="bullet"/>
      <w:lvlText w:val=""/>
      <w:lvlJc w:val="left"/>
      <w:pPr>
        <w:tabs>
          <w:tab w:val="num" w:pos="360"/>
        </w:tabs>
        <w:ind w:left="360" w:hanging="360"/>
      </w:pPr>
      <w:rPr>
        <w:rFonts w:ascii="Symbol" w:hAnsi="Symbol" w:hint="default"/>
      </w:rPr>
    </w:lvl>
  </w:abstractNum>
  <w:abstractNum w:abstractNumId="10">
    <w:nsid w:val="21B42D60"/>
    <w:multiLevelType w:val="hybridMultilevel"/>
    <w:tmpl w:val="5F20D824"/>
    <w:lvl w:ilvl="0" w:tplc="80C8E418">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nsid w:val="3B351277"/>
    <w:multiLevelType w:val="hybridMultilevel"/>
    <w:tmpl w:val="DDEC6B96"/>
    <w:lvl w:ilvl="0" w:tplc="ECFC1F3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1A06036"/>
    <w:multiLevelType w:val="hybridMultilevel"/>
    <w:tmpl w:val="3B164C08"/>
    <w:lvl w:ilvl="0" w:tplc="241E121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5C6A1664"/>
    <w:multiLevelType w:val="hybridMultilevel"/>
    <w:tmpl w:val="FCEEE7B0"/>
    <w:lvl w:ilvl="0" w:tplc="9BA8013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11C0C2F"/>
    <w:multiLevelType w:val="hybridMultilevel"/>
    <w:tmpl w:val="B01CBD7C"/>
    <w:lvl w:ilvl="0" w:tplc="BBD8085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9"/>
  </w:num>
  <w:num w:numId="2">
    <w:abstractNumId w:val="16"/>
  </w:num>
  <w:num w:numId="3">
    <w:abstractNumId w:val="18"/>
  </w:num>
  <w:num w:numId="4">
    <w:abstractNumId w:val="20"/>
  </w:num>
  <w:num w:numId="5">
    <w:abstractNumId w:val="12"/>
  </w:num>
  <w:num w:numId="6">
    <w:abstractNumId w:val="11"/>
  </w:num>
  <w:num w:numId="7">
    <w:abstractNumId w:val="13"/>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4"/>
  </w:num>
  <w:num w:numId="19">
    <w:abstractNumId w:val="17"/>
  </w:num>
  <w:num w:numId="20">
    <w:abstractNumId w:val="10"/>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7EB5"/>
    <w:rsid w:val="00004C37"/>
    <w:rsid w:val="0003386A"/>
    <w:rsid w:val="00060978"/>
    <w:rsid w:val="000639B1"/>
    <w:rsid w:val="000B1557"/>
    <w:rsid w:val="000C1DA6"/>
    <w:rsid w:val="000D1D95"/>
    <w:rsid w:val="000E0E30"/>
    <w:rsid w:val="00123DB3"/>
    <w:rsid w:val="00130107"/>
    <w:rsid w:val="00135921"/>
    <w:rsid w:val="001616D1"/>
    <w:rsid w:val="00172D55"/>
    <w:rsid w:val="00173391"/>
    <w:rsid w:val="00183468"/>
    <w:rsid w:val="001902EB"/>
    <w:rsid w:val="001B06F9"/>
    <w:rsid w:val="001B1CBA"/>
    <w:rsid w:val="001E5361"/>
    <w:rsid w:val="00203B6F"/>
    <w:rsid w:val="00213167"/>
    <w:rsid w:val="0024517E"/>
    <w:rsid w:val="00253EEF"/>
    <w:rsid w:val="00271825"/>
    <w:rsid w:val="0027213B"/>
    <w:rsid w:val="00273A54"/>
    <w:rsid w:val="0028709F"/>
    <w:rsid w:val="002C5F91"/>
    <w:rsid w:val="002D6B45"/>
    <w:rsid w:val="002E21C9"/>
    <w:rsid w:val="002F38BD"/>
    <w:rsid w:val="00301410"/>
    <w:rsid w:val="0031599D"/>
    <w:rsid w:val="0032329E"/>
    <w:rsid w:val="00334210"/>
    <w:rsid w:val="003350F1"/>
    <w:rsid w:val="0035563B"/>
    <w:rsid w:val="00367982"/>
    <w:rsid w:val="00373E22"/>
    <w:rsid w:val="00374166"/>
    <w:rsid w:val="00374C13"/>
    <w:rsid w:val="00393C92"/>
    <w:rsid w:val="003954F7"/>
    <w:rsid w:val="004100E8"/>
    <w:rsid w:val="004247F2"/>
    <w:rsid w:val="004270EC"/>
    <w:rsid w:val="00447D45"/>
    <w:rsid w:val="00457D3A"/>
    <w:rsid w:val="004675B2"/>
    <w:rsid w:val="0047502B"/>
    <w:rsid w:val="00487D8D"/>
    <w:rsid w:val="004C20FF"/>
    <w:rsid w:val="004D523C"/>
    <w:rsid w:val="00501154"/>
    <w:rsid w:val="00525FF0"/>
    <w:rsid w:val="00562B4D"/>
    <w:rsid w:val="00594A87"/>
    <w:rsid w:val="005A04D9"/>
    <w:rsid w:val="005B15A5"/>
    <w:rsid w:val="005B4D36"/>
    <w:rsid w:val="005B5C95"/>
    <w:rsid w:val="005C21D0"/>
    <w:rsid w:val="005D62F8"/>
    <w:rsid w:val="00616FBA"/>
    <w:rsid w:val="0061775F"/>
    <w:rsid w:val="006259AD"/>
    <w:rsid w:val="006732CC"/>
    <w:rsid w:val="00693DCE"/>
    <w:rsid w:val="0069594F"/>
    <w:rsid w:val="006A364B"/>
    <w:rsid w:val="00752E0D"/>
    <w:rsid w:val="0075476A"/>
    <w:rsid w:val="007843C4"/>
    <w:rsid w:val="00792796"/>
    <w:rsid w:val="00795E0D"/>
    <w:rsid w:val="007A300E"/>
    <w:rsid w:val="007A4DF8"/>
    <w:rsid w:val="007C514B"/>
    <w:rsid w:val="007E4EBE"/>
    <w:rsid w:val="007E6779"/>
    <w:rsid w:val="008155B1"/>
    <w:rsid w:val="008222DC"/>
    <w:rsid w:val="008529D2"/>
    <w:rsid w:val="00873272"/>
    <w:rsid w:val="008974BB"/>
    <w:rsid w:val="00897B33"/>
    <w:rsid w:val="008B022F"/>
    <w:rsid w:val="008D753A"/>
    <w:rsid w:val="008E3CBE"/>
    <w:rsid w:val="008F643B"/>
    <w:rsid w:val="009040D2"/>
    <w:rsid w:val="00910525"/>
    <w:rsid w:val="0092467E"/>
    <w:rsid w:val="00925BA0"/>
    <w:rsid w:val="009327A7"/>
    <w:rsid w:val="00935A2E"/>
    <w:rsid w:val="00945327"/>
    <w:rsid w:val="00975AC4"/>
    <w:rsid w:val="00995554"/>
    <w:rsid w:val="009A09D2"/>
    <w:rsid w:val="009A508F"/>
    <w:rsid w:val="009C1084"/>
    <w:rsid w:val="009C5F71"/>
    <w:rsid w:val="009E35DA"/>
    <w:rsid w:val="00A17D84"/>
    <w:rsid w:val="00A26A53"/>
    <w:rsid w:val="00A32BF0"/>
    <w:rsid w:val="00A335F3"/>
    <w:rsid w:val="00A42847"/>
    <w:rsid w:val="00A506B5"/>
    <w:rsid w:val="00A769C7"/>
    <w:rsid w:val="00A860AE"/>
    <w:rsid w:val="00AA2EC5"/>
    <w:rsid w:val="00AB4C73"/>
    <w:rsid w:val="00AC6A9E"/>
    <w:rsid w:val="00AE0B7E"/>
    <w:rsid w:val="00AE6F47"/>
    <w:rsid w:val="00B159C8"/>
    <w:rsid w:val="00B365B0"/>
    <w:rsid w:val="00B44132"/>
    <w:rsid w:val="00B6589E"/>
    <w:rsid w:val="00B75071"/>
    <w:rsid w:val="00BA259A"/>
    <w:rsid w:val="00BA6DAA"/>
    <w:rsid w:val="00BB1698"/>
    <w:rsid w:val="00BB568A"/>
    <w:rsid w:val="00BC6B21"/>
    <w:rsid w:val="00BF554E"/>
    <w:rsid w:val="00C37EB5"/>
    <w:rsid w:val="00C70E79"/>
    <w:rsid w:val="00CB6518"/>
    <w:rsid w:val="00CD1A01"/>
    <w:rsid w:val="00D16E89"/>
    <w:rsid w:val="00D35E69"/>
    <w:rsid w:val="00D6002D"/>
    <w:rsid w:val="00DA26DF"/>
    <w:rsid w:val="00DB610B"/>
    <w:rsid w:val="00DB638D"/>
    <w:rsid w:val="00DC0BCC"/>
    <w:rsid w:val="00DD5417"/>
    <w:rsid w:val="00DD5C37"/>
    <w:rsid w:val="00DD7BFA"/>
    <w:rsid w:val="00DF73F8"/>
    <w:rsid w:val="00E013C2"/>
    <w:rsid w:val="00E21F12"/>
    <w:rsid w:val="00E22790"/>
    <w:rsid w:val="00E279BF"/>
    <w:rsid w:val="00E33C6C"/>
    <w:rsid w:val="00E43D7C"/>
    <w:rsid w:val="00E550C4"/>
    <w:rsid w:val="00EA6AD6"/>
    <w:rsid w:val="00EC1CBA"/>
    <w:rsid w:val="00F0156F"/>
    <w:rsid w:val="00F06388"/>
    <w:rsid w:val="00F12885"/>
    <w:rsid w:val="00F544E1"/>
    <w:rsid w:val="00FA0461"/>
    <w:rsid w:val="00FD18DD"/>
    <w:rsid w:val="00FD50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2EC5"/>
    <w:pPr>
      <w:tabs>
        <w:tab w:val="left" w:pos="1440"/>
      </w:tabs>
      <w:spacing w:after="120" w:line="360" w:lineRule="auto"/>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31599D"/>
    <w:pPr>
      <w:tabs>
        <w:tab w:val="clear" w:pos="1440"/>
      </w:tabs>
      <w:spacing w:after="0"/>
      <w:ind w:firstLine="1440"/>
    </w:pPr>
  </w:style>
  <w:style w:type="paragraph" w:styleId="FootnoteText">
    <w:name w:val="footnote text"/>
    <w:aliases w:val="Car"/>
    <w:link w:val="FootnoteTextChar"/>
    <w:uiPriority w:val="99"/>
    <w:unhideWhenUsed/>
    <w:qFormat/>
    <w:rsid w:val="007E6779"/>
    <w:pPr>
      <w:spacing w:after="120" w:line="240" w:lineRule="auto"/>
    </w:pPr>
    <w:rPr>
      <w:rFonts w:ascii="Times New Roman" w:hAnsi="Times New Roman" w:cs="Times New Roman"/>
      <w:sz w:val="20"/>
      <w:szCs w:val="20"/>
    </w:rPr>
  </w:style>
  <w:style w:type="character" w:customStyle="1" w:styleId="FootnoteTextChar">
    <w:name w:val="Footnote Text Char"/>
    <w:aliases w:val="Car Char"/>
    <w:basedOn w:val="DefaultParagraphFont"/>
    <w:link w:val="FootnoteText"/>
    <w:uiPriority w:val="99"/>
    <w:rsid w:val="007E6779"/>
    <w:rPr>
      <w:rFonts w:ascii="Times New Roman" w:hAnsi="Times New Roman" w:cs="Times New Roman"/>
      <w:sz w:val="20"/>
      <w:szCs w:val="20"/>
    </w:rPr>
  </w:style>
  <w:style w:type="paragraph" w:styleId="EnvelopeReturn">
    <w:name w:val="envelope return"/>
    <w:basedOn w:val="Normal"/>
    <w:uiPriority w:val="99"/>
    <w:semiHidden/>
    <w:unhideWhenUsed/>
    <w:rsid w:val="00AE6F47"/>
    <w:pPr>
      <w:spacing w:after="0" w:line="240" w:lineRule="auto"/>
    </w:pPr>
    <w:rPr>
      <w:rFonts w:asciiTheme="majorHAnsi" w:eastAsiaTheme="majorEastAsia" w:hAnsiTheme="majorHAnsi" w:cstheme="majorBidi"/>
      <w:sz w:val="20"/>
    </w:rPr>
  </w:style>
  <w:style w:type="character" w:styleId="FootnoteReference">
    <w:name w:val="footnote reference"/>
    <w:basedOn w:val="DefaultParagraphFont"/>
    <w:uiPriority w:val="99"/>
    <w:unhideWhenUsed/>
    <w:rsid w:val="00183468"/>
    <w:rPr>
      <w:vertAlign w:val="superscript"/>
    </w:rPr>
  </w:style>
  <w:style w:type="paragraph" w:styleId="Header">
    <w:name w:val="header"/>
    <w:basedOn w:val="Normal"/>
    <w:link w:val="HeaderChar"/>
    <w:uiPriority w:val="99"/>
    <w:unhideWhenUsed/>
    <w:rsid w:val="00693DCE"/>
    <w:pPr>
      <w:tabs>
        <w:tab w:val="clear" w:pos="1440"/>
        <w:tab w:val="center" w:pos="4680"/>
        <w:tab w:val="right" w:pos="9360"/>
      </w:tabs>
      <w:spacing w:after="0" w:line="240" w:lineRule="auto"/>
    </w:pPr>
  </w:style>
  <w:style w:type="character" w:customStyle="1" w:styleId="HeaderChar">
    <w:name w:val="Header Char"/>
    <w:basedOn w:val="DefaultParagraphFont"/>
    <w:link w:val="Header"/>
    <w:uiPriority w:val="99"/>
    <w:rsid w:val="00693DCE"/>
    <w:rPr>
      <w:rFonts w:ascii="Times New Roman" w:hAnsi="Times New Roman" w:cs="Times New Roman"/>
      <w:sz w:val="24"/>
      <w:szCs w:val="20"/>
    </w:rPr>
  </w:style>
  <w:style w:type="paragraph" w:styleId="Footer">
    <w:name w:val="footer"/>
    <w:basedOn w:val="Normal"/>
    <w:link w:val="FooterChar"/>
    <w:uiPriority w:val="99"/>
    <w:unhideWhenUsed/>
    <w:rsid w:val="00693DCE"/>
    <w:pPr>
      <w:tabs>
        <w:tab w:val="clear" w:pos="1440"/>
        <w:tab w:val="center" w:pos="4680"/>
        <w:tab w:val="right" w:pos="9360"/>
      </w:tabs>
      <w:spacing w:after="0" w:line="240" w:lineRule="auto"/>
    </w:pPr>
  </w:style>
  <w:style w:type="character" w:customStyle="1" w:styleId="FooterChar">
    <w:name w:val="Footer Char"/>
    <w:basedOn w:val="DefaultParagraphFont"/>
    <w:link w:val="Footer"/>
    <w:uiPriority w:val="99"/>
    <w:rsid w:val="00693DCE"/>
    <w:rPr>
      <w:rFonts w:ascii="Times New Roman" w:hAnsi="Times New Roman" w:cs="Times New Roman"/>
      <w:sz w:val="24"/>
      <w:szCs w:val="20"/>
    </w:rPr>
  </w:style>
  <w:style w:type="paragraph" w:styleId="BalloonText">
    <w:name w:val="Balloon Text"/>
    <w:basedOn w:val="Normal"/>
    <w:link w:val="BalloonTextChar"/>
    <w:uiPriority w:val="99"/>
    <w:semiHidden/>
    <w:unhideWhenUsed/>
    <w:rsid w:val="00CB65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6518"/>
    <w:rPr>
      <w:rFonts w:ascii="Tahoma" w:hAnsi="Tahoma" w:cs="Tahoma"/>
      <w:sz w:val="16"/>
      <w:szCs w:val="16"/>
    </w:rPr>
  </w:style>
  <w:style w:type="paragraph" w:customStyle="1" w:styleId="ParaTab1">
    <w:name w:val="ParaTab 1"/>
    <w:rsid w:val="00273A54"/>
    <w:pPr>
      <w:tabs>
        <w:tab w:val="left" w:pos="-720"/>
      </w:tabs>
      <w:suppressAutoHyphens/>
      <w:autoSpaceDE w:val="0"/>
      <w:autoSpaceDN w:val="0"/>
      <w:spacing w:after="0" w:line="240" w:lineRule="auto"/>
      <w:ind w:firstLine="1440"/>
    </w:pPr>
    <w:rPr>
      <w:rFonts w:ascii="CG Times" w:hAnsi="CG Times" w:cs="CG Times"/>
      <w:sz w:val="24"/>
      <w:szCs w:val="24"/>
    </w:rPr>
  </w:style>
  <w:style w:type="paragraph" w:styleId="PlainText">
    <w:name w:val="Plain Text"/>
    <w:basedOn w:val="Normal"/>
    <w:link w:val="PlainTextChar"/>
    <w:uiPriority w:val="99"/>
    <w:semiHidden/>
    <w:unhideWhenUsed/>
    <w:rsid w:val="00334210"/>
    <w:pPr>
      <w:tabs>
        <w:tab w:val="clear" w:pos="1440"/>
      </w:tabs>
      <w:spacing w:after="0" w:line="240" w:lineRule="auto"/>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334210"/>
    <w:rPr>
      <w:rFonts w:ascii="Calibri" w:eastAsiaTheme="minorHAns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2EC5"/>
    <w:pPr>
      <w:tabs>
        <w:tab w:val="left" w:pos="1440"/>
      </w:tabs>
      <w:spacing w:after="120" w:line="360" w:lineRule="auto"/>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31599D"/>
    <w:pPr>
      <w:tabs>
        <w:tab w:val="clear" w:pos="1440"/>
      </w:tabs>
      <w:spacing w:after="0"/>
      <w:ind w:firstLine="1440"/>
    </w:pPr>
  </w:style>
  <w:style w:type="paragraph" w:styleId="FootnoteText">
    <w:name w:val="footnote text"/>
    <w:aliases w:val="Car"/>
    <w:link w:val="FootnoteTextChar"/>
    <w:uiPriority w:val="99"/>
    <w:unhideWhenUsed/>
    <w:qFormat/>
    <w:rsid w:val="007E6779"/>
    <w:pPr>
      <w:spacing w:after="120" w:line="240" w:lineRule="auto"/>
    </w:pPr>
    <w:rPr>
      <w:rFonts w:ascii="Times New Roman" w:hAnsi="Times New Roman" w:cs="Times New Roman"/>
      <w:sz w:val="20"/>
      <w:szCs w:val="20"/>
    </w:rPr>
  </w:style>
  <w:style w:type="character" w:customStyle="1" w:styleId="FootnoteTextChar">
    <w:name w:val="Footnote Text Char"/>
    <w:aliases w:val="Car Char"/>
    <w:basedOn w:val="DefaultParagraphFont"/>
    <w:link w:val="FootnoteText"/>
    <w:uiPriority w:val="99"/>
    <w:rsid w:val="007E6779"/>
    <w:rPr>
      <w:rFonts w:ascii="Times New Roman" w:hAnsi="Times New Roman" w:cs="Times New Roman"/>
      <w:sz w:val="20"/>
      <w:szCs w:val="20"/>
    </w:rPr>
  </w:style>
  <w:style w:type="paragraph" w:styleId="EnvelopeReturn">
    <w:name w:val="envelope return"/>
    <w:basedOn w:val="Normal"/>
    <w:uiPriority w:val="99"/>
    <w:semiHidden/>
    <w:unhideWhenUsed/>
    <w:rsid w:val="00AE6F47"/>
    <w:pPr>
      <w:spacing w:after="0" w:line="240" w:lineRule="auto"/>
    </w:pPr>
    <w:rPr>
      <w:rFonts w:asciiTheme="majorHAnsi" w:eastAsiaTheme="majorEastAsia" w:hAnsiTheme="majorHAnsi" w:cstheme="majorBidi"/>
      <w:sz w:val="20"/>
    </w:rPr>
  </w:style>
  <w:style w:type="character" w:styleId="FootnoteReference">
    <w:name w:val="footnote reference"/>
    <w:basedOn w:val="DefaultParagraphFont"/>
    <w:uiPriority w:val="99"/>
    <w:unhideWhenUsed/>
    <w:rsid w:val="00183468"/>
    <w:rPr>
      <w:vertAlign w:val="superscript"/>
    </w:rPr>
  </w:style>
  <w:style w:type="paragraph" w:styleId="Header">
    <w:name w:val="header"/>
    <w:basedOn w:val="Normal"/>
    <w:link w:val="HeaderChar"/>
    <w:uiPriority w:val="99"/>
    <w:unhideWhenUsed/>
    <w:rsid w:val="00693DCE"/>
    <w:pPr>
      <w:tabs>
        <w:tab w:val="clear" w:pos="1440"/>
        <w:tab w:val="center" w:pos="4680"/>
        <w:tab w:val="right" w:pos="9360"/>
      </w:tabs>
      <w:spacing w:after="0" w:line="240" w:lineRule="auto"/>
    </w:pPr>
  </w:style>
  <w:style w:type="character" w:customStyle="1" w:styleId="HeaderChar">
    <w:name w:val="Header Char"/>
    <w:basedOn w:val="DefaultParagraphFont"/>
    <w:link w:val="Header"/>
    <w:uiPriority w:val="99"/>
    <w:rsid w:val="00693DCE"/>
    <w:rPr>
      <w:rFonts w:ascii="Times New Roman" w:hAnsi="Times New Roman" w:cs="Times New Roman"/>
      <w:sz w:val="24"/>
      <w:szCs w:val="20"/>
    </w:rPr>
  </w:style>
  <w:style w:type="paragraph" w:styleId="Footer">
    <w:name w:val="footer"/>
    <w:basedOn w:val="Normal"/>
    <w:link w:val="FooterChar"/>
    <w:uiPriority w:val="99"/>
    <w:unhideWhenUsed/>
    <w:rsid w:val="00693DCE"/>
    <w:pPr>
      <w:tabs>
        <w:tab w:val="clear" w:pos="1440"/>
        <w:tab w:val="center" w:pos="4680"/>
        <w:tab w:val="right" w:pos="9360"/>
      </w:tabs>
      <w:spacing w:after="0" w:line="240" w:lineRule="auto"/>
    </w:pPr>
  </w:style>
  <w:style w:type="character" w:customStyle="1" w:styleId="FooterChar">
    <w:name w:val="Footer Char"/>
    <w:basedOn w:val="DefaultParagraphFont"/>
    <w:link w:val="Footer"/>
    <w:uiPriority w:val="99"/>
    <w:rsid w:val="00693DCE"/>
    <w:rPr>
      <w:rFonts w:ascii="Times New Roman" w:hAnsi="Times New Roman" w:cs="Times New Roman"/>
      <w:sz w:val="24"/>
      <w:szCs w:val="20"/>
    </w:rPr>
  </w:style>
  <w:style w:type="paragraph" w:styleId="BalloonText">
    <w:name w:val="Balloon Text"/>
    <w:basedOn w:val="Normal"/>
    <w:link w:val="BalloonTextChar"/>
    <w:uiPriority w:val="99"/>
    <w:semiHidden/>
    <w:unhideWhenUsed/>
    <w:rsid w:val="00CB65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6518"/>
    <w:rPr>
      <w:rFonts w:ascii="Tahoma" w:hAnsi="Tahoma" w:cs="Tahoma"/>
      <w:sz w:val="16"/>
      <w:szCs w:val="16"/>
    </w:rPr>
  </w:style>
  <w:style w:type="paragraph" w:customStyle="1" w:styleId="ParaTab1">
    <w:name w:val="ParaTab 1"/>
    <w:rsid w:val="00273A54"/>
    <w:pPr>
      <w:tabs>
        <w:tab w:val="left" w:pos="-720"/>
      </w:tabs>
      <w:suppressAutoHyphens/>
      <w:autoSpaceDE w:val="0"/>
      <w:autoSpaceDN w:val="0"/>
      <w:spacing w:after="0" w:line="240" w:lineRule="auto"/>
      <w:ind w:firstLine="1440"/>
    </w:pPr>
    <w:rPr>
      <w:rFonts w:ascii="CG Times" w:hAnsi="CG Times" w:cs="CG Times"/>
      <w:sz w:val="24"/>
      <w:szCs w:val="24"/>
    </w:rPr>
  </w:style>
  <w:style w:type="paragraph" w:styleId="PlainText">
    <w:name w:val="Plain Text"/>
    <w:basedOn w:val="Normal"/>
    <w:link w:val="PlainTextChar"/>
    <w:uiPriority w:val="99"/>
    <w:semiHidden/>
    <w:unhideWhenUsed/>
    <w:rsid w:val="00334210"/>
    <w:pPr>
      <w:tabs>
        <w:tab w:val="clear" w:pos="1440"/>
      </w:tabs>
      <w:spacing w:after="0" w:line="240" w:lineRule="auto"/>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334210"/>
    <w:rPr>
      <w:rFonts w:ascii="Calibri" w:eastAsiaTheme="minorHAns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65D059-1ADA-454D-9602-C68D6B88D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10</Pages>
  <Words>2389</Words>
  <Characters>13619</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15977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D Long</dc:creator>
  <cp:lastModifiedBy>sandra elizabeth oldynski</cp:lastModifiedBy>
  <cp:revision>35</cp:revision>
  <cp:lastPrinted>2015-11-06T20:00:00Z</cp:lastPrinted>
  <dcterms:created xsi:type="dcterms:W3CDTF">2015-10-28T13:01:00Z</dcterms:created>
  <dcterms:modified xsi:type="dcterms:W3CDTF">2015-11-06T20:03:00Z</dcterms:modified>
</cp:coreProperties>
</file>