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E57E75" w:rsidP="00E57E75">
      <w:pPr>
        <w:spacing w:line="240" w:lineRule="auto"/>
        <w:rPr>
          <w:b/>
        </w:rPr>
      </w:pPr>
      <w:r>
        <w:rPr>
          <w:b/>
        </w:rPr>
        <w:t>BEFORE THE</w:t>
      </w:r>
    </w:p>
    <w:p w:rsidR="00E57E75" w:rsidRDefault="00E57E75" w:rsidP="00E57E75">
      <w:pPr>
        <w:spacing w:line="240" w:lineRule="auto"/>
        <w:rPr>
          <w:b/>
        </w:rPr>
      </w:pPr>
      <w:r>
        <w:rPr>
          <w:b/>
        </w:rPr>
        <w:t>PENNSYLVANIA PUBLIC UTILITY COMMISSION</w:t>
      </w:r>
    </w:p>
    <w:p w:rsidR="00E57E75" w:rsidRDefault="00E57E75" w:rsidP="00E57E75">
      <w:pPr>
        <w:spacing w:line="240" w:lineRule="auto"/>
        <w:rPr>
          <w:b/>
        </w:rPr>
      </w:pPr>
    </w:p>
    <w:p w:rsidR="00E57E75" w:rsidRDefault="00E57E75" w:rsidP="00E57E75">
      <w:pPr>
        <w:spacing w:line="240" w:lineRule="auto"/>
        <w:rPr>
          <w:b/>
        </w:rPr>
      </w:pPr>
    </w:p>
    <w:p w:rsidR="00251996" w:rsidRDefault="00251996" w:rsidP="00E57E75">
      <w:pPr>
        <w:spacing w:line="240" w:lineRule="auto"/>
        <w:rPr>
          <w:b/>
        </w:rPr>
      </w:pPr>
    </w:p>
    <w:p w:rsidR="00E57E75" w:rsidRDefault="00E57E75" w:rsidP="00E57E75">
      <w:pPr>
        <w:spacing w:line="240" w:lineRule="auto"/>
        <w:jc w:val="left"/>
      </w:pPr>
      <w:r>
        <w:t>Michael J. Warnas</w:t>
      </w:r>
      <w:r>
        <w:tab/>
      </w:r>
      <w:r>
        <w:tab/>
      </w:r>
      <w:r>
        <w:tab/>
      </w:r>
      <w:r>
        <w:tab/>
      </w:r>
      <w:r>
        <w:tab/>
        <w:t>:</w:t>
      </w:r>
    </w:p>
    <w:p w:rsidR="00E57E75" w:rsidRDefault="00E57E75" w:rsidP="00E57E75">
      <w:pPr>
        <w:spacing w:line="240" w:lineRule="auto"/>
        <w:jc w:val="left"/>
      </w:pPr>
      <w:r>
        <w:tab/>
      </w:r>
      <w:r>
        <w:tab/>
      </w:r>
      <w:r>
        <w:tab/>
      </w:r>
      <w:r>
        <w:tab/>
      </w:r>
      <w:r>
        <w:tab/>
      </w:r>
      <w:r>
        <w:tab/>
      </w:r>
      <w:r>
        <w:tab/>
        <w:t>:</w:t>
      </w:r>
    </w:p>
    <w:p w:rsidR="00E57E75" w:rsidRDefault="00251996" w:rsidP="00E57E75">
      <w:pPr>
        <w:spacing w:line="240" w:lineRule="auto"/>
        <w:jc w:val="left"/>
      </w:pPr>
      <w:r>
        <w:tab/>
        <w:t>v.</w:t>
      </w:r>
      <w:r>
        <w:tab/>
      </w:r>
      <w:r>
        <w:tab/>
      </w:r>
      <w:r>
        <w:tab/>
      </w:r>
      <w:r>
        <w:tab/>
      </w:r>
      <w:r>
        <w:tab/>
      </w:r>
      <w:r>
        <w:tab/>
        <w:t>:</w:t>
      </w:r>
      <w:r>
        <w:tab/>
      </w:r>
      <w:r>
        <w:tab/>
      </w:r>
      <w:r w:rsidR="00E57E75">
        <w:t>C-2015-2500007</w:t>
      </w:r>
    </w:p>
    <w:p w:rsidR="00E57E75" w:rsidRDefault="00E57E75" w:rsidP="00E57E75">
      <w:pPr>
        <w:spacing w:line="240" w:lineRule="auto"/>
        <w:jc w:val="left"/>
      </w:pPr>
      <w:r>
        <w:tab/>
      </w:r>
      <w:r>
        <w:tab/>
      </w:r>
      <w:r>
        <w:tab/>
      </w:r>
      <w:r>
        <w:tab/>
      </w:r>
      <w:r>
        <w:tab/>
      </w:r>
      <w:r>
        <w:tab/>
      </w:r>
      <w:r>
        <w:tab/>
        <w:t>:</w:t>
      </w:r>
    </w:p>
    <w:p w:rsidR="00E57E75" w:rsidRDefault="00E57E75" w:rsidP="00E57E75">
      <w:pPr>
        <w:spacing w:line="240" w:lineRule="auto"/>
        <w:jc w:val="left"/>
      </w:pPr>
      <w:r>
        <w:t>PPL Electric Utilities Corporation</w:t>
      </w:r>
      <w:r>
        <w:tab/>
      </w:r>
      <w:r>
        <w:tab/>
      </w:r>
      <w:r>
        <w:tab/>
        <w:t>:</w:t>
      </w:r>
    </w:p>
    <w:p w:rsidR="00E57E75" w:rsidRDefault="00E57E75" w:rsidP="00E57E75">
      <w:pPr>
        <w:spacing w:line="240" w:lineRule="auto"/>
        <w:jc w:val="left"/>
      </w:pPr>
    </w:p>
    <w:p w:rsidR="00E57E75" w:rsidRDefault="00E57E75" w:rsidP="00E57E75">
      <w:pPr>
        <w:spacing w:line="240" w:lineRule="auto"/>
        <w:jc w:val="left"/>
      </w:pPr>
    </w:p>
    <w:p w:rsidR="00251996" w:rsidRDefault="00251996" w:rsidP="00E57E75">
      <w:pPr>
        <w:spacing w:line="240" w:lineRule="auto"/>
        <w:jc w:val="left"/>
      </w:pPr>
    </w:p>
    <w:p w:rsidR="00E57E75" w:rsidRDefault="00E57E75" w:rsidP="00E57E75">
      <w:pPr>
        <w:spacing w:line="240" w:lineRule="auto"/>
        <w:rPr>
          <w:b/>
          <w:u w:val="single"/>
        </w:rPr>
      </w:pPr>
      <w:r>
        <w:rPr>
          <w:b/>
          <w:u w:val="single"/>
        </w:rPr>
        <w:t>INITIAL DECISION</w:t>
      </w:r>
    </w:p>
    <w:p w:rsidR="00E57E75" w:rsidRDefault="00E57E75" w:rsidP="00E57E75">
      <w:pPr>
        <w:spacing w:line="240" w:lineRule="auto"/>
        <w:rPr>
          <w:b/>
          <w:u w:val="single"/>
        </w:rPr>
      </w:pPr>
    </w:p>
    <w:p w:rsidR="00E57E75" w:rsidRDefault="00E57E75" w:rsidP="00E57E75">
      <w:pPr>
        <w:spacing w:line="240" w:lineRule="auto"/>
        <w:rPr>
          <w:b/>
          <w:u w:val="single"/>
        </w:rPr>
      </w:pPr>
    </w:p>
    <w:p w:rsidR="00E57E75" w:rsidRDefault="00E57E75" w:rsidP="00E57E75">
      <w:pPr>
        <w:spacing w:line="240" w:lineRule="auto"/>
      </w:pPr>
      <w:r w:rsidRPr="00E57E75">
        <w:t>Before</w:t>
      </w:r>
    </w:p>
    <w:p w:rsidR="00E57E75" w:rsidRDefault="00E57E75" w:rsidP="00E57E75">
      <w:pPr>
        <w:spacing w:line="240" w:lineRule="auto"/>
      </w:pPr>
      <w:r>
        <w:t>Susan D. Colwell</w:t>
      </w:r>
    </w:p>
    <w:p w:rsidR="00E57E75" w:rsidRDefault="00E57E75" w:rsidP="00E57E75">
      <w:pPr>
        <w:spacing w:line="240" w:lineRule="auto"/>
      </w:pPr>
      <w:r>
        <w:t>Administrative Law Judge</w:t>
      </w:r>
    </w:p>
    <w:p w:rsidR="00E57E75" w:rsidRDefault="00E57E75" w:rsidP="00E57E75">
      <w:pPr>
        <w:spacing w:line="240" w:lineRule="auto"/>
      </w:pPr>
    </w:p>
    <w:p w:rsidR="00E57E75" w:rsidRDefault="00E57E75" w:rsidP="00E57E75">
      <w:pPr>
        <w:spacing w:line="240" w:lineRule="auto"/>
      </w:pPr>
    </w:p>
    <w:p w:rsidR="00E57E75" w:rsidRDefault="00E57E75" w:rsidP="00E57E75">
      <w:pPr>
        <w:spacing w:line="240" w:lineRule="auto"/>
        <w:rPr>
          <w:u w:val="single"/>
        </w:rPr>
      </w:pPr>
      <w:r>
        <w:rPr>
          <w:u w:val="single"/>
        </w:rPr>
        <w:t>INTRODUCTION</w:t>
      </w:r>
    </w:p>
    <w:p w:rsidR="00DC5CB8" w:rsidRDefault="00DC5CB8" w:rsidP="00E57E75">
      <w:pPr>
        <w:spacing w:line="240" w:lineRule="auto"/>
        <w:rPr>
          <w:u w:val="single"/>
        </w:rPr>
      </w:pPr>
    </w:p>
    <w:p w:rsidR="00E57E75" w:rsidRDefault="00E57E75" w:rsidP="00E57E75">
      <w:pPr>
        <w:spacing w:line="240" w:lineRule="auto"/>
        <w:rPr>
          <w:u w:val="single"/>
        </w:rPr>
      </w:pPr>
    </w:p>
    <w:p w:rsidR="00DC5CB8" w:rsidRDefault="00DC5CB8" w:rsidP="00B551BD">
      <w:pPr>
        <w:jc w:val="left"/>
      </w:pPr>
      <w:r>
        <w:tab/>
      </w:r>
      <w:r>
        <w:tab/>
        <w:t>This Initial Decision dismisses a formal complaint for failure to prosecute as the complainant failed to attend the scheduled hearing.</w:t>
      </w:r>
    </w:p>
    <w:p w:rsidR="00251996" w:rsidRPr="00DC5CB8" w:rsidRDefault="00251996" w:rsidP="00B551BD">
      <w:pPr>
        <w:jc w:val="left"/>
      </w:pPr>
    </w:p>
    <w:p w:rsidR="00E57E75" w:rsidRDefault="00E57E75" w:rsidP="00B551BD">
      <w:pPr>
        <w:rPr>
          <w:u w:val="single"/>
        </w:rPr>
      </w:pPr>
      <w:r>
        <w:rPr>
          <w:u w:val="single"/>
        </w:rPr>
        <w:t>HISTORY OF THE PROCEEDING</w:t>
      </w:r>
    </w:p>
    <w:p w:rsidR="00DC5CB8" w:rsidRDefault="00DC5CB8" w:rsidP="00B551BD"/>
    <w:p w:rsidR="00E57E75" w:rsidRDefault="00E57E75" w:rsidP="00B551BD">
      <w:pPr>
        <w:jc w:val="left"/>
      </w:pPr>
      <w:r>
        <w:tab/>
      </w:r>
      <w:r>
        <w:tab/>
        <w:t>On August 14, 2015, Michael J. Warnas (Complainant) filed a formal Complaint against PPL Electric Utilities Corporation (PPL or Respondent or Company) alleging that his bill for the months of July and August 2014 were too high to be correct.  He seeks reimbursement for the amount he believes was overpaid.</w:t>
      </w:r>
    </w:p>
    <w:p w:rsidR="00E57E75" w:rsidRDefault="00E57E75" w:rsidP="00E57E75">
      <w:pPr>
        <w:jc w:val="left"/>
      </w:pPr>
    </w:p>
    <w:p w:rsidR="00E57E75" w:rsidRDefault="00E57E75" w:rsidP="00E57E75">
      <w:pPr>
        <w:jc w:val="left"/>
      </w:pPr>
      <w:r>
        <w:tab/>
      </w:r>
      <w:r>
        <w:tab/>
        <w:t>Service by the Commission's Secretary was per</w:t>
      </w:r>
      <w:r w:rsidR="00B551BD">
        <w:t>formed electronically on August </w:t>
      </w:r>
      <w:r>
        <w:t>24, 2015.</w:t>
      </w:r>
      <w:r>
        <w:rPr>
          <w:rStyle w:val="FootnoteReference"/>
        </w:rPr>
        <w:footnoteReference w:id="1"/>
      </w:r>
    </w:p>
    <w:p w:rsidR="00E57E75" w:rsidRDefault="00E57E75" w:rsidP="00E57E75">
      <w:pPr>
        <w:jc w:val="left"/>
      </w:pPr>
      <w:r>
        <w:lastRenderedPageBreak/>
        <w:tab/>
      </w:r>
      <w:r>
        <w:tab/>
        <w:t xml:space="preserve">PPL filed its Answer on September 14, 2015, denying any incorrect charges on its bills.  In addition, PPL Electric avers that it performed an in-home analysis, followed by a high bill investigation conducted on August 19, 2015.  The </w:t>
      </w:r>
      <w:r w:rsidR="008432DC">
        <w:t xml:space="preserve">meter test showed the meter to be 100.2% accurate, and the increase in usage was attributed to the air conditioner.  </w:t>
      </w:r>
    </w:p>
    <w:p w:rsidR="008432DC" w:rsidRDefault="008432DC" w:rsidP="00E57E75">
      <w:pPr>
        <w:jc w:val="left"/>
      </w:pPr>
    </w:p>
    <w:p w:rsidR="008432DC" w:rsidRDefault="008432DC" w:rsidP="00E57E75">
      <w:pPr>
        <w:jc w:val="left"/>
      </w:pPr>
      <w:r>
        <w:tab/>
      </w:r>
      <w:r>
        <w:tab/>
        <w:t xml:space="preserve">A telephone hearing notice was issued on September 30, 2015, setting the hearing for Tuesday, November 3, 2015, before Administrative Law Judge Dennis J. Buckley.  ALJ Buckley issued a prehearing order on October 22, 2015, which set forth some of the requirements for a formal hearing before the Commission.  </w:t>
      </w:r>
    </w:p>
    <w:p w:rsidR="008432DC" w:rsidRDefault="008432DC" w:rsidP="00E57E75">
      <w:pPr>
        <w:jc w:val="left"/>
      </w:pPr>
    </w:p>
    <w:p w:rsidR="008432DC" w:rsidRDefault="008432DC" w:rsidP="00E57E75">
      <w:pPr>
        <w:jc w:val="left"/>
      </w:pPr>
      <w:r>
        <w:tab/>
      </w:r>
      <w:r>
        <w:tab/>
        <w:t>On November 2, 2015, the matter was reassigned to me.</w:t>
      </w:r>
    </w:p>
    <w:p w:rsidR="008432DC" w:rsidRDefault="008432DC" w:rsidP="00E57E75">
      <w:pPr>
        <w:jc w:val="left"/>
      </w:pPr>
    </w:p>
    <w:p w:rsidR="00D30BAF" w:rsidRDefault="008432DC" w:rsidP="00E57E75">
      <w:pPr>
        <w:jc w:val="left"/>
      </w:pPr>
      <w:r>
        <w:tab/>
      </w:r>
      <w:r>
        <w:tab/>
        <w:t xml:space="preserve">At the time set for the hearing, </w:t>
      </w:r>
      <w:r w:rsidR="004431D9">
        <w:t>I called the</w:t>
      </w:r>
      <w:r w:rsidR="00D30BAF">
        <w:t xml:space="preserve"> conference number as directed by the hearing notice.  Respondent was represented by Kimberly Krupka, Esq., who </w:t>
      </w:r>
      <w:r w:rsidR="004431D9">
        <w:t xml:space="preserve">was prepared to call a </w:t>
      </w:r>
      <w:r w:rsidR="00D30BAF">
        <w:t xml:space="preserve">witness, who </w:t>
      </w:r>
      <w:r w:rsidR="004431D9">
        <w:t>intended to</w:t>
      </w:r>
      <w:r w:rsidR="00D30BAF">
        <w:t xml:space="preserve"> sponsor</w:t>
      </w:r>
      <w:r w:rsidR="004431D9">
        <w:t xml:space="preserve"> five pre-submitted</w:t>
      </w:r>
      <w:r w:rsidR="00D30BAF">
        <w:t xml:space="preserve"> exhibits.  </w:t>
      </w:r>
      <w:r w:rsidR="004431D9">
        <w:t xml:space="preserve">Complainant failed to call in, and the hearing convened at 10:10 am without him.  Counsel for PPL Electric moved for dismissal of the Complaint for failure to prosecute, which was taken under advisement.  </w:t>
      </w:r>
      <w:r w:rsidR="00D30BAF">
        <w:t xml:space="preserve">A transcript </w:t>
      </w:r>
      <w:r w:rsidR="004431D9">
        <w:t>was generated.</w:t>
      </w:r>
      <w:r w:rsidR="00F75CAF">
        <w:t xml:space="preserve">  The record closed on the day of the hearing, November 2, 2015.</w:t>
      </w:r>
      <w:bookmarkStart w:id="0" w:name="_GoBack"/>
      <w:bookmarkEnd w:id="0"/>
    </w:p>
    <w:p w:rsidR="004431D9" w:rsidRDefault="004431D9" w:rsidP="00E57E75">
      <w:pPr>
        <w:jc w:val="left"/>
      </w:pPr>
    </w:p>
    <w:p w:rsidR="00D30BAF" w:rsidRDefault="00D30BAF" w:rsidP="00E57E75">
      <w:pPr>
        <w:jc w:val="left"/>
      </w:pPr>
      <w:r>
        <w:tab/>
      </w:r>
      <w:r>
        <w:tab/>
        <w:t>The case is ripe for decision.</w:t>
      </w:r>
    </w:p>
    <w:p w:rsidR="00D30BAF" w:rsidRDefault="00D30BAF" w:rsidP="00E57E75">
      <w:pPr>
        <w:jc w:val="left"/>
      </w:pPr>
    </w:p>
    <w:p w:rsidR="00D30BAF" w:rsidRPr="00D30BAF" w:rsidRDefault="00D30BAF" w:rsidP="00D30BAF">
      <w:pPr>
        <w:rPr>
          <w:u w:val="single"/>
        </w:rPr>
      </w:pPr>
      <w:r w:rsidRPr="00D30BAF">
        <w:rPr>
          <w:u w:val="single"/>
        </w:rPr>
        <w:t>FINDING</w:t>
      </w:r>
      <w:r w:rsidR="004431D9">
        <w:rPr>
          <w:u w:val="single"/>
        </w:rPr>
        <w:t>S</w:t>
      </w:r>
      <w:r w:rsidRPr="00D30BAF">
        <w:rPr>
          <w:u w:val="single"/>
        </w:rPr>
        <w:t xml:space="preserve"> OF FACT</w:t>
      </w:r>
    </w:p>
    <w:p w:rsidR="00D30BAF" w:rsidRDefault="00D30BAF" w:rsidP="00D30BAF"/>
    <w:p w:rsidR="004431D9" w:rsidRDefault="00D30BAF" w:rsidP="00D30BAF">
      <w:pPr>
        <w:jc w:val="left"/>
      </w:pPr>
      <w:r>
        <w:tab/>
      </w:r>
      <w:r>
        <w:tab/>
        <w:t>1.</w:t>
      </w:r>
      <w:r>
        <w:tab/>
        <w:t>Complainant is Michael J. Warnas,</w:t>
      </w:r>
      <w:r w:rsidR="004431D9">
        <w:t xml:space="preserve"> 461 Indian Crest Drive, Harleysville PA 19438.</w:t>
      </w:r>
    </w:p>
    <w:p w:rsidR="004431D9" w:rsidRDefault="004431D9" w:rsidP="00D30BAF">
      <w:pPr>
        <w:jc w:val="left"/>
      </w:pPr>
    </w:p>
    <w:p w:rsidR="00D30BAF" w:rsidRDefault="004431D9" w:rsidP="00D30BAF">
      <w:pPr>
        <w:jc w:val="left"/>
      </w:pPr>
      <w:r>
        <w:tab/>
      </w:r>
      <w:r>
        <w:tab/>
        <w:t>2.</w:t>
      </w:r>
      <w:r>
        <w:tab/>
        <w:t xml:space="preserve">The subject address was a prior residence, 1090 Thatcher </w:t>
      </w:r>
      <w:r w:rsidR="00F75CAF">
        <w:t>R</w:t>
      </w:r>
      <w:r>
        <w:t xml:space="preserve">oad, </w:t>
      </w:r>
      <w:r w:rsidR="00DC5CB8">
        <w:t>Apartment</w:t>
      </w:r>
      <w:r>
        <w:t xml:space="preserve"> 2B, Quakertown PA 18951.</w:t>
      </w:r>
      <w:r w:rsidR="00D30BAF">
        <w:t xml:space="preserve"> </w:t>
      </w:r>
    </w:p>
    <w:p w:rsidR="00D30BAF" w:rsidRDefault="00D30BAF" w:rsidP="00D30BAF">
      <w:pPr>
        <w:jc w:val="left"/>
      </w:pPr>
    </w:p>
    <w:p w:rsidR="00D30BAF" w:rsidRDefault="00D30BAF" w:rsidP="00D30BAF">
      <w:pPr>
        <w:jc w:val="left"/>
      </w:pPr>
      <w:r>
        <w:lastRenderedPageBreak/>
        <w:tab/>
      </w:r>
      <w:r>
        <w:tab/>
      </w:r>
      <w:r w:rsidR="004431D9">
        <w:t>3</w:t>
      </w:r>
      <w:r>
        <w:t>.</w:t>
      </w:r>
      <w:r>
        <w:tab/>
        <w:t>Respondent is PPL Electric Utilities Corporation, a jurisdictional public utility providing residential and commercial electric distribution service in the Commonwealth of Pennsylvania.</w:t>
      </w:r>
    </w:p>
    <w:p w:rsidR="00D30BAF" w:rsidRDefault="00D30BAF" w:rsidP="00D30BAF">
      <w:pPr>
        <w:jc w:val="left"/>
      </w:pPr>
    </w:p>
    <w:p w:rsidR="004431D9" w:rsidRDefault="00D30BAF" w:rsidP="004431D9">
      <w:pPr>
        <w:jc w:val="left"/>
      </w:pPr>
      <w:r>
        <w:tab/>
      </w:r>
      <w:r>
        <w:tab/>
      </w:r>
      <w:r w:rsidR="004431D9">
        <w:t>4</w:t>
      </w:r>
      <w:r>
        <w:t>.</w:t>
      </w:r>
      <w:r>
        <w:tab/>
      </w:r>
      <w:r w:rsidR="004431D9">
        <w:t xml:space="preserve">PPL filed its Answer on September 14, 2015, denying any incorrect charges on its bills.  In addition, PPL Electric avers that it performed an in-home analysis, followed by a high bill investigation conducted on August 19, 2015.  The meter test showed the meter to be 100.2% accurate, and the increase in usage was attributed to the air conditioner.  </w:t>
      </w:r>
    </w:p>
    <w:p w:rsidR="004431D9" w:rsidRDefault="004431D9" w:rsidP="004431D9">
      <w:pPr>
        <w:jc w:val="left"/>
      </w:pPr>
    </w:p>
    <w:p w:rsidR="004431D9" w:rsidRDefault="004431D9" w:rsidP="004431D9">
      <w:pPr>
        <w:jc w:val="left"/>
      </w:pPr>
      <w:r>
        <w:tab/>
      </w:r>
      <w:r>
        <w:tab/>
        <w:t>5.</w:t>
      </w:r>
      <w:r>
        <w:tab/>
        <w:t xml:space="preserve">A telephone hearing notice was issued on September 30, 2015, setting the hearing for Tuesday, November 3, 2015, before Administrative Law Judge Dennis J. Buckley.  </w:t>
      </w:r>
    </w:p>
    <w:p w:rsidR="004431D9" w:rsidRDefault="004431D9" w:rsidP="004431D9">
      <w:pPr>
        <w:jc w:val="left"/>
      </w:pPr>
    </w:p>
    <w:p w:rsidR="004431D9" w:rsidRDefault="004431D9" w:rsidP="004431D9">
      <w:pPr>
        <w:jc w:val="left"/>
      </w:pPr>
      <w:r>
        <w:tab/>
      </w:r>
      <w:r>
        <w:tab/>
        <w:t>6.</w:t>
      </w:r>
      <w:r>
        <w:tab/>
        <w:t xml:space="preserve">ALJ Buckley issued a prehearing order on October 22, 2015, which set forth some of the requirements for a formal hearing before the Commission.  </w:t>
      </w:r>
    </w:p>
    <w:p w:rsidR="004431D9" w:rsidRDefault="004431D9" w:rsidP="004431D9">
      <w:pPr>
        <w:jc w:val="left"/>
      </w:pPr>
    </w:p>
    <w:p w:rsidR="004431D9" w:rsidRDefault="004431D9" w:rsidP="004431D9">
      <w:pPr>
        <w:jc w:val="left"/>
      </w:pPr>
      <w:r>
        <w:tab/>
      </w:r>
      <w:r>
        <w:tab/>
        <w:t>7.</w:t>
      </w:r>
      <w:r>
        <w:tab/>
        <w:t>Both the telephone hearing notice and the prehearing order were sent to the residence listed on the formal Complaint as Complainant's present residence, 461 Indian Crest Drive, Harleysville PA 19438.</w:t>
      </w:r>
    </w:p>
    <w:p w:rsidR="004431D9" w:rsidRDefault="004431D9" w:rsidP="004431D9">
      <w:pPr>
        <w:jc w:val="left"/>
      </w:pPr>
    </w:p>
    <w:p w:rsidR="004431D9" w:rsidRDefault="004431D9" w:rsidP="004431D9">
      <w:pPr>
        <w:jc w:val="left"/>
      </w:pPr>
      <w:r>
        <w:tab/>
      </w:r>
      <w:r>
        <w:tab/>
        <w:t>8.</w:t>
      </w:r>
      <w:r>
        <w:tab/>
        <w:t>Neither the telephone hearing notice nor the prehearing order was returned as undeliverable.</w:t>
      </w:r>
    </w:p>
    <w:p w:rsidR="00DC5CB8" w:rsidRDefault="00DC5CB8" w:rsidP="004431D9">
      <w:pPr>
        <w:jc w:val="left"/>
      </w:pPr>
    </w:p>
    <w:p w:rsidR="00DC5CB8" w:rsidRDefault="00DC5CB8" w:rsidP="004431D9">
      <w:pPr>
        <w:jc w:val="left"/>
      </w:pPr>
      <w:r>
        <w:tab/>
      </w:r>
      <w:r>
        <w:tab/>
        <w:t>9.</w:t>
      </w:r>
      <w:r>
        <w:tab/>
        <w:t>Both the telephone hearing notice and the prehearing order contain a warning to the parties that failure to participate in the hearing may cause the non-participating party to lose the case.</w:t>
      </w:r>
    </w:p>
    <w:p w:rsidR="004431D9" w:rsidRDefault="004431D9" w:rsidP="004431D9">
      <w:pPr>
        <w:jc w:val="left"/>
      </w:pPr>
    </w:p>
    <w:p w:rsidR="004431D9" w:rsidRDefault="004431D9" w:rsidP="004431D9">
      <w:pPr>
        <w:jc w:val="left"/>
      </w:pPr>
      <w:r>
        <w:tab/>
      </w:r>
      <w:r>
        <w:tab/>
      </w:r>
      <w:r w:rsidR="00DC5CB8">
        <w:t>10</w:t>
      </w:r>
      <w:r>
        <w:t>.</w:t>
      </w:r>
      <w:r>
        <w:tab/>
        <w:t>Respondent's counsel was prepared to present a witness and to defend this case at the appointed time.</w:t>
      </w:r>
    </w:p>
    <w:p w:rsidR="004431D9" w:rsidRDefault="004431D9" w:rsidP="004431D9">
      <w:pPr>
        <w:jc w:val="left"/>
      </w:pPr>
    </w:p>
    <w:p w:rsidR="00D30BAF" w:rsidRDefault="004431D9" w:rsidP="00D30BAF">
      <w:pPr>
        <w:jc w:val="left"/>
      </w:pPr>
      <w:r>
        <w:tab/>
      </w:r>
      <w:r>
        <w:tab/>
        <w:t>1</w:t>
      </w:r>
      <w:r w:rsidR="00DC5CB8">
        <w:t>1</w:t>
      </w:r>
      <w:r>
        <w:t>.</w:t>
      </w:r>
      <w:r>
        <w:tab/>
        <w:t>Complainant failed to attend the hearing.</w:t>
      </w:r>
    </w:p>
    <w:p w:rsidR="00D30BAF" w:rsidRDefault="00D30BAF" w:rsidP="00D30BAF">
      <w:pPr>
        <w:jc w:val="left"/>
      </w:pPr>
    </w:p>
    <w:p w:rsidR="00D30BAF" w:rsidRDefault="00D30BAF" w:rsidP="00D30BAF">
      <w:pPr>
        <w:rPr>
          <w:u w:val="single"/>
        </w:rPr>
      </w:pPr>
      <w:r>
        <w:rPr>
          <w:u w:val="single"/>
        </w:rPr>
        <w:lastRenderedPageBreak/>
        <w:t>DISCUSSION</w:t>
      </w:r>
    </w:p>
    <w:p w:rsidR="00D30BAF" w:rsidRDefault="00D30BAF" w:rsidP="00251996">
      <w:pPr>
        <w:jc w:val="left"/>
        <w:rPr>
          <w:u w:val="single"/>
        </w:rPr>
      </w:pPr>
    </w:p>
    <w:p w:rsidR="00D30BAF" w:rsidRPr="005B12AD" w:rsidRDefault="004431D9" w:rsidP="00251996">
      <w:pPr>
        <w:jc w:val="left"/>
      </w:pPr>
      <w:r>
        <w:tab/>
      </w:r>
      <w:r>
        <w:tab/>
      </w:r>
      <w:r w:rsidR="00D30BAF" w:rsidRPr="005B12AD">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D30BAF" w:rsidRPr="005B12AD">
        <w:rPr>
          <w:i/>
        </w:rPr>
        <w:t xml:space="preserve">Patterson v. Bell Tel. Co. of PA, </w:t>
      </w:r>
      <w:r w:rsidR="00D30BAF" w:rsidRPr="005B12AD">
        <w:t xml:space="preserve">72 Pa. PUC 196 (1990); </w:t>
      </w:r>
      <w:r w:rsidR="00D30BAF" w:rsidRPr="005B12AD">
        <w:rPr>
          <w:i/>
        </w:rPr>
        <w:t xml:space="preserve">Feinstein v. Phila. Suburban Water Co., </w:t>
      </w:r>
      <w:r w:rsidR="00D30BAF" w:rsidRPr="005B12AD">
        <w:t xml:space="preserve">50 Pa. PUC 300 (1976).  This must be shown by a preponderance of the evidence.  </w:t>
      </w:r>
      <w:r w:rsidR="00D30BAF" w:rsidRPr="005B12AD">
        <w:rPr>
          <w:i/>
        </w:rPr>
        <w:t xml:space="preserve">Samuel J. Lansberry, Inc. v. Pa. Pub. Util. Comm'n, </w:t>
      </w:r>
      <w:r w:rsidR="00D30BAF" w:rsidRPr="005B12AD">
        <w:t xml:space="preserve">578 A.2d 600 (1990), </w:t>
      </w:r>
      <w:r w:rsidR="00D30BAF" w:rsidRPr="005B12AD">
        <w:rPr>
          <w:i/>
        </w:rPr>
        <w:t>alloc, denied</w:t>
      </w:r>
      <w:r w:rsidR="00D30BAF" w:rsidRPr="005B12AD">
        <w:t xml:space="preserve">, 602 A.2d 863 (1992).  A preponderance of evidence is that which is more convincing, by even the smallest amount, than that presented by the other party.  </w:t>
      </w:r>
      <w:r w:rsidR="00D30BAF" w:rsidRPr="005B12AD">
        <w:rPr>
          <w:i/>
        </w:rPr>
        <w:t>Se-Ling Hosiery v. Margulies,</w:t>
      </w:r>
      <w:r w:rsidR="00D30BAF" w:rsidRPr="005B12AD">
        <w:t xml:space="preserve"> </w:t>
      </w:r>
      <w:r w:rsidR="00D30BAF" w:rsidRPr="005B12AD">
        <w:rPr>
          <w:color w:val="333333"/>
        </w:rPr>
        <w:t>364 Pa. 45, 70 A.2d 854, 1950 Pa. LEXIS 316 (1950)</w:t>
      </w:r>
      <w:r w:rsidR="00D30BAF" w:rsidRPr="005B12AD">
        <w:t>.</w:t>
      </w:r>
    </w:p>
    <w:p w:rsidR="00D30BAF" w:rsidRPr="005B12AD" w:rsidRDefault="00D30BAF" w:rsidP="00251996">
      <w:pPr>
        <w:jc w:val="left"/>
      </w:pPr>
    </w:p>
    <w:p w:rsidR="00D30BAF" w:rsidRPr="005B12AD" w:rsidRDefault="00D30BAF" w:rsidP="00251996">
      <w:pPr>
        <w:jc w:val="left"/>
      </w:pPr>
      <w:r w:rsidRPr="005B12AD">
        <w:tab/>
      </w:r>
      <w:r w:rsidRPr="005B12AD">
        <w:tab/>
        <w:t xml:space="preserve">Additionally, any finding of fact necessary to support the Commission's adjudication must be based upon substantial evidence.  </w:t>
      </w:r>
      <w:r w:rsidRPr="005B12AD">
        <w:rPr>
          <w:i/>
        </w:rPr>
        <w:t>Mill v. Pa. Pub. Util. Comm'n</w:t>
      </w:r>
      <w:r w:rsidRPr="005B12AD">
        <w:t xml:space="preserve">, 447 A.2d 1100 (Pa.Cmwlth. 1982); </w:t>
      </w:r>
      <w:r w:rsidRPr="005B12AD">
        <w:rPr>
          <w:i/>
        </w:rPr>
        <w:t xml:space="preserve">Edan Transportation Corp. v. Pa. Pub. Util. Comm'n, </w:t>
      </w:r>
      <w:r w:rsidRPr="005B12AD">
        <w:t xml:space="preserve">623 A.2d 6 (Pa. Cmwlth. 1993); 2 Pa.C.S. § 704.  More is required than a mere trace of evidence or a suspicion of the existence of a fact sought to be established.  </w:t>
      </w:r>
      <w:r w:rsidRPr="005B12AD">
        <w:rPr>
          <w:i/>
        </w:rPr>
        <w:t xml:space="preserve">Norfolk and Western Ry. v. Pa. Pub. Util. Comm'n, </w:t>
      </w:r>
      <w:r w:rsidRPr="005B12AD">
        <w:t xml:space="preserve">489 Pa. 109, 413 A.2d 1037 (1980); </w:t>
      </w:r>
      <w:r w:rsidRPr="005B12AD">
        <w:rPr>
          <w:i/>
        </w:rPr>
        <w:t xml:space="preserve">Erie Resistor Corp. v. Unemployment Compensation Bd. Of Review, </w:t>
      </w:r>
      <w:r w:rsidRPr="005B12AD">
        <w:t xml:space="preserve">166 A.2d 96 (Pa.Super. 1960); </w:t>
      </w:r>
      <w:r w:rsidRPr="005B12AD">
        <w:rPr>
          <w:i/>
        </w:rPr>
        <w:t xml:space="preserve">Murphy v. Dep't. of Public Welfare, White Haven Center, </w:t>
      </w:r>
      <w:r w:rsidRPr="005B12AD">
        <w:t>480 A.2d 382 (Pa.Cmwlth. 1984).</w:t>
      </w:r>
    </w:p>
    <w:p w:rsidR="00D30BAF" w:rsidRPr="005B12AD" w:rsidRDefault="00D30BAF" w:rsidP="00251996">
      <w:pPr>
        <w:jc w:val="left"/>
      </w:pPr>
    </w:p>
    <w:p w:rsidR="00D30BAF" w:rsidRPr="005B12AD" w:rsidRDefault="00D30BAF" w:rsidP="00251996">
      <w:pPr>
        <w:jc w:val="left"/>
      </w:pPr>
      <w:r w:rsidRPr="005B12AD">
        <w:tab/>
      </w:r>
      <w:r w:rsidRPr="005B12AD">
        <w:tab/>
        <w:t>The offense must be a violation of the Public Utility Code, the Commission's regulations, or an outstanding order of the Commission.  66 Pa.C.S. § 701.</w:t>
      </w:r>
    </w:p>
    <w:p w:rsidR="00D30BAF" w:rsidRPr="005B12AD" w:rsidRDefault="00D30BAF" w:rsidP="00251996">
      <w:pPr>
        <w:jc w:val="left"/>
      </w:pPr>
    </w:p>
    <w:p w:rsidR="00D30BAF" w:rsidRPr="005B12AD" w:rsidRDefault="00B551BD" w:rsidP="00251996">
      <w:pPr>
        <w:jc w:val="left"/>
      </w:pPr>
      <w:r>
        <w:tab/>
      </w:r>
      <w:r>
        <w:tab/>
      </w:r>
      <w:r w:rsidR="00D30BAF" w:rsidRPr="005B12AD">
        <w:t>As the proponent of a Commission order, complainant has the burden of proof in this case.  66 Pa.C.S.A. § 332(a).</w:t>
      </w:r>
    </w:p>
    <w:p w:rsidR="00D30BAF" w:rsidRPr="005B12AD" w:rsidRDefault="00D30BAF" w:rsidP="00251996">
      <w:pPr>
        <w:jc w:val="left"/>
      </w:pPr>
    </w:p>
    <w:p w:rsidR="004431D9" w:rsidRPr="00EA4885" w:rsidRDefault="00DC5CB8" w:rsidP="00251996">
      <w:pPr>
        <w:jc w:val="left"/>
      </w:pPr>
      <w:r>
        <w:tab/>
      </w:r>
      <w:r>
        <w:tab/>
      </w:r>
      <w:r w:rsidR="004431D9" w:rsidRPr="00EA4885">
        <w:t xml:space="preserve">The Hearing </w:t>
      </w:r>
      <w:r w:rsidR="004431D9">
        <w:t xml:space="preserve">Cancellation/Reschedule </w:t>
      </w:r>
      <w:r w:rsidR="004431D9" w:rsidRPr="00EA4885">
        <w:t>Notice w</w:t>
      </w:r>
      <w:r w:rsidR="004431D9">
        <w:t>as</w:t>
      </w:r>
      <w:r w:rsidR="004431D9" w:rsidRPr="00EA4885">
        <w:t xml:space="preserve"> sent to the address provided by the Complainant</w:t>
      </w:r>
      <w:r w:rsidR="004431D9">
        <w:t xml:space="preserve"> and </w:t>
      </w:r>
      <w:r w:rsidR="004431D9" w:rsidRPr="00EA4885">
        <w:t xml:space="preserve">was </w:t>
      </w:r>
      <w:r w:rsidR="004431D9">
        <w:t xml:space="preserve">not </w:t>
      </w:r>
      <w:r w:rsidR="004431D9" w:rsidRPr="00EA4885">
        <w:t>returned as undeliverable.  Therefore, Complainant</w:t>
      </w:r>
      <w:r w:rsidR="004431D9">
        <w:t xml:space="preserve"> is deemed to have received the notice</w:t>
      </w:r>
      <w:r w:rsidR="004431D9" w:rsidRPr="00EA4885">
        <w:t xml:space="preserve"> and had sufficient notice of the date and time of the scheduled hearing.  Once notice of a hearing and the opportunity to be heard has been provided, it is the </w:t>
      </w:r>
      <w:r w:rsidR="004431D9" w:rsidRPr="00EA4885">
        <w:lastRenderedPageBreak/>
        <w:t xml:space="preserve">responsibility of the parties to appear and participate in the hearing.  </w:t>
      </w:r>
      <w:r w:rsidR="004431D9" w:rsidRPr="00EA4885">
        <w:rPr>
          <w:i/>
        </w:rPr>
        <w:t>Sentner v. Bell Tel. Co. of PA</w:t>
      </w:r>
      <w:r w:rsidR="004431D9" w:rsidRPr="00EA4885">
        <w:t xml:space="preserve">, </w:t>
      </w:r>
      <w:r w:rsidR="00F75CAF" w:rsidRPr="00EA4885">
        <w:t>Docket No. F-00161106</w:t>
      </w:r>
      <w:r w:rsidR="00F75CAF">
        <w:t xml:space="preserve"> (</w:t>
      </w:r>
      <w:r w:rsidR="004431D9" w:rsidRPr="00EA4885">
        <w:t>Opinion and Order entered October 25, 2003</w:t>
      </w:r>
      <w:r w:rsidR="00F75CAF">
        <w:t>)</w:t>
      </w:r>
      <w:r w:rsidR="004431D9" w:rsidRPr="00EA4885">
        <w:t>.</w:t>
      </w:r>
    </w:p>
    <w:p w:rsidR="004431D9" w:rsidRDefault="004431D9" w:rsidP="00251996">
      <w:pPr>
        <w:jc w:val="left"/>
      </w:pPr>
    </w:p>
    <w:p w:rsidR="00D30BAF" w:rsidRDefault="00DC5CB8" w:rsidP="00251996">
      <w:pPr>
        <w:jc w:val="left"/>
      </w:pPr>
      <w:r>
        <w:tab/>
      </w:r>
      <w:r>
        <w:tab/>
      </w:r>
      <w:r w:rsidR="004431D9" w:rsidRPr="00EA4885">
        <w:t xml:space="preserve">Both the Hearing Notice and the Prehearing Order warned the parties that failure to participate could result in the dismissal of the case.  In the present case, Complainant was clearly warned in </w:t>
      </w:r>
      <w:r w:rsidR="00F75CAF">
        <w:t>two</w:t>
      </w:r>
      <w:r w:rsidR="004431D9" w:rsidRPr="00EA4885">
        <w:t xml:space="preserve"> documents that h</w:t>
      </w:r>
      <w:r>
        <w:t>is</w:t>
      </w:r>
      <w:r w:rsidR="004431D9" w:rsidRPr="00EA4885">
        <w:t xml:space="preserve"> failure to participate in the evidentiary hearing could result in the loss of h</w:t>
      </w:r>
      <w:r>
        <w:t>is</w:t>
      </w:r>
      <w:r w:rsidR="004431D9">
        <w:t xml:space="preserve"> claim.</w:t>
      </w:r>
    </w:p>
    <w:p w:rsidR="00DC5CB8" w:rsidRDefault="00DC5CB8" w:rsidP="00251996">
      <w:pPr>
        <w:jc w:val="left"/>
      </w:pPr>
    </w:p>
    <w:p w:rsidR="00DC5CB8" w:rsidRPr="00EA4885" w:rsidRDefault="00DC5CB8" w:rsidP="00251996">
      <w:pPr>
        <w:jc w:val="left"/>
      </w:pPr>
      <w:r>
        <w:tab/>
      </w:r>
      <w:r>
        <w:tab/>
      </w:r>
      <w:r w:rsidRPr="00EA4885">
        <w:t xml:space="preserve">Notice mailed to a party’s last known address and not returned by the post office is presumed to have been received.  </w:t>
      </w:r>
      <w:r w:rsidRPr="00EA4885">
        <w:rPr>
          <w:i/>
        </w:rPr>
        <w:t>Chartiers Industrial and Commercial Development Authority v. Allegheny County Board of Property Assessment Appeals and Review</w:t>
      </w:r>
      <w:r>
        <w:t>, 645 A.2d 944 (Pa.</w:t>
      </w:r>
      <w:r w:rsidRPr="00EA4885">
        <w:t xml:space="preserve">Cmwlth.1994), </w:t>
      </w:r>
      <w:r w:rsidRPr="00EA4885">
        <w:rPr>
          <w:i/>
        </w:rPr>
        <w:t>appeal denied</w:t>
      </w:r>
      <w:r w:rsidRPr="00EA4885">
        <w:t xml:space="preserve"> 539 Pa. 696, 653 A.2d 1234 (1994).  </w:t>
      </w:r>
    </w:p>
    <w:p w:rsidR="00DC5CB8" w:rsidRPr="00D30BAF" w:rsidRDefault="00DC5CB8" w:rsidP="00251996">
      <w:pPr>
        <w:jc w:val="left"/>
      </w:pPr>
    </w:p>
    <w:p w:rsidR="004431D9" w:rsidRPr="00EA4885" w:rsidRDefault="00DC5CB8" w:rsidP="00251996">
      <w:pPr>
        <w:jc w:val="left"/>
      </w:pPr>
      <w:r>
        <w:tab/>
      </w:r>
      <w:r>
        <w:tab/>
      </w:r>
      <w:r w:rsidR="004431D9">
        <w:t>By h</w:t>
      </w:r>
      <w:r>
        <w:t>is</w:t>
      </w:r>
      <w:r w:rsidR="004431D9">
        <w:t xml:space="preserve"> failure to participate in the evidentiary portion of the hearing and h</w:t>
      </w:r>
      <w:r>
        <w:t>is</w:t>
      </w:r>
      <w:r w:rsidR="004431D9">
        <w:t xml:space="preserve"> failure to present evidence, Complainant failed to sustain h</w:t>
      </w:r>
      <w:r>
        <w:t>is</w:t>
      </w:r>
      <w:r w:rsidR="004431D9">
        <w:t xml:space="preserve"> burden of proof.</w:t>
      </w:r>
    </w:p>
    <w:p w:rsidR="004431D9" w:rsidRPr="00EA4885" w:rsidRDefault="004431D9" w:rsidP="00251996">
      <w:pPr>
        <w:jc w:val="left"/>
      </w:pPr>
    </w:p>
    <w:p w:rsidR="004431D9" w:rsidRDefault="004431D9" w:rsidP="00251996">
      <w:pPr>
        <w:jc w:val="left"/>
      </w:pPr>
      <w:r w:rsidRPr="00EA4885">
        <w:tab/>
      </w:r>
      <w:r w:rsidRPr="00EA4885">
        <w:tab/>
        <w:t>The Company was prepared with counsel and witness</w:t>
      </w:r>
      <w:r>
        <w:t>es</w:t>
      </w:r>
      <w:r w:rsidRPr="00EA4885">
        <w:t xml:space="preserve">. The Company’s motion to dismiss the Complaint with prejudice </w:t>
      </w:r>
      <w:r>
        <w:t>is</w:t>
      </w:r>
      <w:r w:rsidRPr="00EA4885">
        <w:t xml:space="preserve"> granted.  </w:t>
      </w:r>
    </w:p>
    <w:p w:rsidR="004431D9" w:rsidRDefault="004431D9" w:rsidP="00251996">
      <w:pPr>
        <w:jc w:val="left"/>
      </w:pPr>
    </w:p>
    <w:p w:rsidR="004431D9" w:rsidRPr="00EA4885" w:rsidRDefault="004431D9" w:rsidP="004431D9">
      <w:pPr>
        <w:rPr>
          <w:u w:val="single"/>
        </w:rPr>
      </w:pPr>
      <w:r w:rsidRPr="00EA4885">
        <w:rPr>
          <w:u w:val="single"/>
        </w:rPr>
        <w:t>CONCLUSIONS OF LAW</w:t>
      </w:r>
    </w:p>
    <w:p w:rsidR="004431D9" w:rsidRPr="00EA4885" w:rsidRDefault="004431D9" w:rsidP="00251996">
      <w:pPr>
        <w:jc w:val="left"/>
        <w:rPr>
          <w:u w:val="single"/>
        </w:rPr>
      </w:pPr>
    </w:p>
    <w:p w:rsidR="004431D9" w:rsidRPr="00EA4885" w:rsidRDefault="004431D9" w:rsidP="00251996">
      <w:pPr>
        <w:jc w:val="left"/>
      </w:pPr>
      <w:r w:rsidRPr="00EA4885">
        <w:tab/>
      </w:r>
      <w:r w:rsidRPr="00EA4885">
        <w:tab/>
        <w:t>1.</w:t>
      </w:r>
      <w:r w:rsidRPr="00EA4885">
        <w:tab/>
        <w:t>The Commission has jurisdiction over the parties and the subject mat</w:t>
      </w:r>
      <w:r>
        <w:t>ter of this proceeding.  66 Pa.</w:t>
      </w:r>
      <w:r w:rsidRPr="00EA4885">
        <w:t>C.S. § 701.</w:t>
      </w:r>
    </w:p>
    <w:p w:rsidR="004431D9" w:rsidRPr="00EA4885" w:rsidRDefault="004431D9" w:rsidP="00251996">
      <w:pPr>
        <w:jc w:val="left"/>
      </w:pPr>
    </w:p>
    <w:p w:rsidR="004431D9" w:rsidRPr="00EA4885" w:rsidRDefault="004431D9" w:rsidP="00251996">
      <w:pPr>
        <w:jc w:val="left"/>
      </w:pPr>
      <w:r w:rsidRPr="00EA4885">
        <w:tab/>
      </w:r>
      <w:r w:rsidRPr="00EA4885">
        <w:tab/>
        <w:t>2.</w:t>
      </w:r>
      <w:r w:rsidRPr="00EA4885">
        <w:tab/>
        <w:t xml:space="preserve">Notice mailed to a party’s last known address and not returned by the post office is presumed to have been received.  </w:t>
      </w:r>
      <w:r w:rsidRPr="00EA4885">
        <w:rPr>
          <w:i/>
        </w:rPr>
        <w:t>Chartiers Industrial and Commercial Development Authority v. Allegheny County Board of Property Assessment Appeals and Review</w:t>
      </w:r>
      <w:r>
        <w:t>, 645 A.2d 944 (Pa.</w:t>
      </w:r>
      <w:r w:rsidRPr="00EA4885">
        <w:t xml:space="preserve">Cmwlth.1994), </w:t>
      </w:r>
      <w:r w:rsidRPr="00EA4885">
        <w:rPr>
          <w:i/>
        </w:rPr>
        <w:t>appeal denied</w:t>
      </w:r>
      <w:r w:rsidRPr="00EA4885">
        <w:t xml:space="preserve"> 539 Pa. 696, 653 A.2d 1234 (1994).  </w:t>
      </w:r>
    </w:p>
    <w:p w:rsidR="004431D9" w:rsidRPr="00EA4885" w:rsidRDefault="004431D9" w:rsidP="00251996">
      <w:pPr>
        <w:jc w:val="left"/>
      </w:pPr>
    </w:p>
    <w:p w:rsidR="004431D9" w:rsidRPr="00EA4885" w:rsidRDefault="004431D9" w:rsidP="00251996">
      <w:pPr>
        <w:jc w:val="left"/>
      </w:pPr>
      <w:r w:rsidRPr="00EA4885">
        <w:tab/>
      </w:r>
      <w:r w:rsidRPr="00EA4885">
        <w:tab/>
        <w:t>3.</w:t>
      </w:r>
      <w:r w:rsidRPr="00EA4885">
        <w:tab/>
        <w:t>As the party seeking affirmative relief from the Commission, Complainant bears the burden of proof.  66 Pa.C.S. § 332(a).</w:t>
      </w:r>
    </w:p>
    <w:p w:rsidR="004431D9" w:rsidRPr="00EA4885" w:rsidRDefault="004431D9" w:rsidP="00251996">
      <w:pPr>
        <w:jc w:val="left"/>
      </w:pPr>
      <w:r w:rsidRPr="00EA4885">
        <w:lastRenderedPageBreak/>
        <w:tab/>
      </w:r>
      <w:r w:rsidRPr="00EA4885">
        <w:tab/>
        <w:t>4.</w:t>
      </w:r>
      <w:r w:rsidRPr="00EA4885">
        <w:tab/>
        <w:t xml:space="preserve">Due process is provided when the parties are afforded notice and the opportunity to appear and be heard.  </w:t>
      </w:r>
      <w:r w:rsidRPr="00EA4885">
        <w:rPr>
          <w:i/>
        </w:rPr>
        <w:t>Schneider v. Pa. Pub. Util. Comm’n</w:t>
      </w:r>
      <w:r w:rsidRPr="00EA4885">
        <w:t>, 479 A.2d 10 (Pa. Cmwlth. 1984).</w:t>
      </w:r>
    </w:p>
    <w:p w:rsidR="004431D9" w:rsidRPr="00EA4885" w:rsidRDefault="004431D9" w:rsidP="00251996">
      <w:pPr>
        <w:jc w:val="left"/>
      </w:pPr>
    </w:p>
    <w:p w:rsidR="004431D9" w:rsidRPr="00EA4885" w:rsidRDefault="004431D9" w:rsidP="00251996">
      <w:pPr>
        <w:jc w:val="left"/>
      </w:pPr>
      <w:r w:rsidRPr="00EA4885">
        <w:tab/>
      </w:r>
      <w:r w:rsidRPr="00EA4885">
        <w:tab/>
        <w:t>5.</w:t>
      </w:r>
      <w:r w:rsidRPr="00EA4885">
        <w:tab/>
        <w:t>By h</w:t>
      </w:r>
      <w:r w:rsidR="00DC5CB8">
        <w:t>is</w:t>
      </w:r>
      <w:r w:rsidRPr="00EA4885">
        <w:t xml:space="preserve"> unexcused failure to </w:t>
      </w:r>
      <w:r>
        <w:t>prosecute h</w:t>
      </w:r>
      <w:r w:rsidR="00F75CAF">
        <w:t>is</w:t>
      </w:r>
      <w:r>
        <w:t xml:space="preserve"> Complaint</w:t>
      </w:r>
      <w:r w:rsidRPr="00EA4885">
        <w:t>, Complainant has failed to carry h</w:t>
      </w:r>
      <w:r w:rsidR="00DC5CB8">
        <w:t>is</w:t>
      </w:r>
      <w:r w:rsidRPr="00EA4885">
        <w:t xml:space="preserve"> burden of proof.</w:t>
      </w:r>
    </w:p>
    <w:p w:rsidR="004431D9" w:rsidRPr="00EA4885" w:rsidRDefault="004431D9" w:rsidP="00251996">
      <w:pPr>
        <w:jc w:val="left"/>
      </w:pPr>
    </w:p>
    <w:p w:rsidR="004431D9" w:rsidRPr="00EA4885" w:rsidRDefault="004431D9" w:rsidP="004431D9">
      <w:pPr>
        <w:rPr>
          <w:u w:val="single"/>
        </w:rPr>
      </w:pPr>
      <w:r w:rsidRPr="00EA4885">
        <w:rPr>
          <w:u w:val="single"/>
        </w:rPr>
        <w:t>ORDER</w:t>
      </w:r>
    </w:p>
    <w:p w:rsidR="004431D9" w:rsidRPr="00EA4885" w:rsidRDefault="004431D9" w:rsidP="004431D9">
      <w:pPr>
        <w:rPr>
          <w:b/>
        </w:rPr>
      </w:pPr>
    </w:p>
    <w:p w:rsidR="004431D9" w:rsidRPr="00EA4885" w:rsidRDefault="004431D9" w:rsidP="00251996">
      <w:pPr>
        <w:rPr>
          <w:b/>
        </w:rPr>
      </w:pPr>
    </w:p>
    <w:p w:rsidR="004431D9" w:rsidRPr="00EA4885" w:rsidRDefault="004431D9" w:rsidP="00251996">
      <w:pPr>
        <w:jc w:val="left"/>
      </w:pPr>
      <w:r w:rsidRPr="00EA4885">
        <w:tab/>
      </w:r>
      <w:r w:rsidRPr="00EA4885">
        <w:tab/>
        <w:t>THEREFORE,</w:t>
      </w:r>
    </w:p>
    <w:p w:rsidR="004431D9" w:rsidRPr="00EA4885" w:rsidRDefault="004431D9" w:rsidP="00251996">
      <w:pPr>
        <w:jc w:val="left"/>
      </w:pPr>
    </w:p>
    <w:p w:rsidR="004431D9" w:rsidRPr="00EA4885" w:rsidRDefault="004431D9" w:rsidP="00251996">
      <w:pPr>
        <w:jc w:val="left"/>
      </w:pPr>
      <w:r w:rsidRPr="00EA4885">
        <w:tab/>
      </w:r>
      <w:r w:rsidRPr="00EA4885">
        <w:tab/>
        <w:t>IT IS ORDERED:</w:t>
      </w:r>
    </w:p>
    <w:p w:rsidR="004431D9" w:rsidRPr="00EA4885" w:rsidRDefault="004431D9" w:rsidP="00251996">
      <w:pPr>
        <w:jc w:val="left"/>
      </w:pPr>
    </w:p>
    <w:p w:rsidR="004431D9" w:rsidRPr="00EA4885" w:rsidRDefault="004431D9" w:rsidP="00251996">
      <w:pPr>
        <w:jc w:val="left"/>
      </w:pPr>
      <w:r w:rsidRPr="00EA4885">
        <w:tab/>
      </w:r>
      <w:r w:rsidRPr="00EA4885">
        <w:tab/>
        <w:t>1.</w:t>
      </w:r>
      <w:r w:rsidRPr="00EA4885">
        <w:tab/>
        <w:t xml:space="preserve">That the motion of </w:t>
      </w:r>
      <w:r w:rsidR="00DC5CB8">
        <w:t>PPL Electric Utilities Corporation</w:t>
      </w:r>
      <w:r w:rsidRPr="00EA4885">
        <w:t xml:space="preserve"> to dismiss the Complaint of </w:t>
      </w:r>
      <w:r w:rsidR="00DC5CB8">
        <w:t>Michael Warnas, filed at Docket No. C-2015-2500007,</w:t>
      </w:r>
      <w:r>
        <w:t xml:space="preserve"> </w:t>
      </w:r>
      <w:r w:rsidRPr="00EA4885">
        <w:t>is granted.</w:t>
      </w:r>
    </w:p>
    <w:p w:rsidR="004431D9" w:rsidRPr="00EA4885" w:rsidRDefault="004431D9" w:rsidP="00251996">
      <w:pPr>
        <w:jc w:val="left"/>
      </w:pPr>
    </w:p>
    <w:p w:rsidR="004431D9" w:rsidRPr="00EA4885" w:rsidRDefault="004431D9" w:rsidP="00251996">
      <w:pPr>
        <w:jc w:val="left"/>
      </w:pPr>
      <w:r w:rsidRPr="00EA4885">
        <w:tab/>
      </w:r>
      <w:r w:rsidRPr="00EA4885">
        <w:tab/>
        <w:t>2.</w:t>
      </w:r>
      <w:r w:rsidRPr="00EA4885">
        <w:tab/>
        <w:t xml:space="preserve">That the Formal Complaint filed by </w:t>
      </w:r>
      <w:r w:rsidR="00DC5CB8">
        <w:t>Michael Warnas</w:t>
      </w:r>
      <w:r w:rsidRPr="00EA4885">
        <w:t xml:space="preserve"> against P</w:t>
      </w:r>
      <w:r w:rsidR="00DC5CB8">
        <w:t>PL</w:t>
      </w:r>
      <w:r>
        <w:t xml:space="preserve"> Electric </w:t>
      </w:r>
      <w:r w:rsidR="00DC5CB8">
        <w:t xml:space="preserve">Utilities </w:t>
      </w:r>
      <w:r>
        <w:t>Co</w:t>
      </w:r>
      <w:r w:rsidR="00DC5CB8">
        <w:t>rporation</w:t>
      </w:r>
      <w:r w:rsidRPr="00EA4885">
        <w:t xml:space="preserve"> at Docket No. </w:t>
      </w:r>
      <w:r w:rsidR="00DC5CB8">
        <w:t>C</w:t>
      </w:r>
      <w:r>
        <w:t xml:space="preserve">-2015- </w:t>
      </w:r>
      <w:r w:rsidR="00DC5CB8">
        <w:t>2500007, is</w:t>
      </w:r>
      <w:r w:rsidRPr="00EA4885">
        <w:t xml:space="preserve"> dismissed with prejudice.</w:t>
      </w:r>
    </w:p>
    <w:p w:rsidR="004431D9" w:rsidRPr="00EA4885" w:rsidRDefault="004431D9" w:rsidP="00251996">
      <w:pPr>
        <w:jc w:val="left"/>
      </w:pPr>
    </w:p>
    <w:p w:rsidR="004431D9" w:rsidRPr="00EA4885" w:rsidRDefault="004431D9" w:rsidP="00251996">
      <w:pPr>
        <w:jc w:val="left"/>
      </w:pPr>
      <w:r w:rsidRPr="00EA4885">
        <w:tab/>
      </w:r>
      <w:r w:rsidRPr="00EA4885">
        <w:tab/>
        <w:t>3.</w:t>
      </w:r>
      <w:r w:rsidRPr="00EA4885">
        <w:tab/>
        <w:t>That the Secretary mark this docket closed.</w:t>
      </w:r>
    </w:p>
    <w:p w:rsidR="004431D9" w:rsidRPr="00EA4885" w:rsidRDefault="004431D9" w:rsidP="00251996">
      <w:pPr>
        <w:jc w:val="left"/>
      </w:pPr>
    </w:p>
    <w:p w:rsidR="004431D9" w:rsidRPr="00EA4885" w:rsidRDefault="004431D9" w:rsidP="00251996">
      <w:pPr>
        <w:jc w:val="left"/>
      </w:pPr>
    </w:p>
    <w:p w:rsidR="004431D9" w:rsidRPr="00B551BD" w:rsidRDefault="004431D9" w:rsidP="00DC5CB8">
      <w:pPr>
        <w:spacing w:line="240" w:lineRule="auto"/>
        <w:jc w:val="left"/>
        <w:rPr>
          <w:u w:val="single"/>
        </w:rPr>
      </w:pPr>
      <w:r w:rsidRPr="00EA4885">
        <w:t>Dated:</w:t>
      </w:r>
      <w:r w:rsidRPr="00EA4885">
        <w:tab/>
      </w:r>
      <w:r w:rsidR="00DC5CB8">
        <w:rPr>
          <w:u w:val="single"/>
        </w:rPr>
        <w:t>November 3</w:t>
      </w:r>
      <w:r>
        <w:rPr>
          <w:u w:val="single"/>
        </w:rPr>
        <w:t>, 2015</w:t>
      </w:r>
      <w:r>
        <w:tab/>
      </w:r>
      <w:r w:rsidRPr="00EA4885">
        <w:tab/>
      </w:r>
      <w:r w:rsidRPr="00EA4885">
        <w:tab/>
      </w:r>
      <w:r w:rsidR="00DC5CB8">
        <w:tab/>
      </w:r>
      <w:r w:rsidR="00B551BD">
        <w:rPr>
          <w:u w:val="single"/>
        </w:rPr>
        <w:tab/>
      </w:r>
      <w:r w:rsidR="00B551BD">
        <w:rPr>
          <w:u w:val="single"/>
        </w:rPr>
        <w:tab/>
        <w:t>/s/</w:t>
      </w:r>
      <w:r w:rsidR="00B551BD">
        <w:rPr>
          <w:u w:val="single"/>
        </w:rPr>
        <w:tab/>
      </w:r>
      <w:r w:rsidR="00B551BD">
        <w:rPr>
          <w:u w:val="single"/>
        </w:rPr>
        <w:tab/>
      </w:r>
      <w:r w:rsidR="00B551BD">
        <w:rPr>
          <w:u w:val="single"/>
        </w:rPr>
        <w:tab/>
      </w:r>
      <w:r w:rsidR="00B551BD">
        <w:rPr>
          <w:u w:val="single"/>
        </w:rPr>
        <w:tab/>
      </w:r>
    </w:p>
    <w:p w:rsidR="004431D9" w:rsidRPr="00EA4885" w:rsidRDefault="004431D9" w:rsidP="00DC5CB8">
      <w:pPr>
        <w:spacing w:line="240" w:lineRule="auto"/>
        <w:jc w:val="left"/>
      </w:pPr>
      <w:r w:rsidRPr="00EA4885">
        <w:tab/>
      </w:r>
      <w:r w:rsidRPr="00EA4885">
        <w:tab/>
      </w:r>
      <w:r w:rsidRPr="00EA4885">
        <w:tab/>
      </w:r>
      <w:r w:rsidRPr="00EA4885">
        <w:tab/>
      </w:r>
      <w:r w:rsidRPr="00EA4885">
        <w:tab/>
      </w:r>
      <w:r w:rsidRPr="00EA4885">
        <w:tab/>
      </w:r>
      <w:r w:rsidR="00DC5CB8">
        <w:tab/>
      </w:r>
      <w:r w:rsidRPr="00EA4885">
        <w:t>Susan D. Colwell</w:t>
      </w:r>
    </w:p>
    <w:p w:rsidR="004431D9" w:rsidRPr="00EA4885" w:rsidRDefault="004431D9" w:rsidP="00DC5CB8">
      <w:pPr>
        <w:spacing w:line="240" w:lineRule="auto"/>
        <w:jc w:val="left"/>
      </w:pPr>
      <w:r w:rsidRPr="00EA4885">
        <w:tab/>
      </w:r>
      <w:r w:rsidRPr="00EA4885">
        <w:tab/>
      </w:r>
      <w:r w:rsidRPr="00EA4885">
        <w:tab/>
      </w:r>
      <w:r w:rsidRPr="00EA4885">
        <w:tab/>
      </w:r>
      <w:r w:rsidRPr="00EA4885">
        <w:tab/>
      </w:r>
      <w:r w:rsidRPr="00EA4885">
        <w:tab/>
      </w:r>
      <w:r w:rsidR="00DC5CB8">
        <w:tab/>
      </w:r>
      <w:r w:rsidR="00251996">
        <w:t>Administrative Law Judge</w:t>
      </w:r>
    </w:p>
    <w:sectPr w:rsidR="004431D9" w:rsidRPr="00EA4885" w:rsidSect="00DC5CB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A9" w:rsidRDefault="009C2CA9" w:rsidP="00E57E75">
      <w:pPr>
        <w:spacing w:line="240" w:lineRule="auto"/>
      </w:pPr>
      <w:r>
        <w:separator/>
      </w:r>
    </w:p>
  </w:endnote>
  <w:endnote w:type="continuationSeparator" w:id="0">
    <w:p w:rsidR="009C2CA9" w:rsidRDefault="009C2CA9" w:rsidP="00E57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54120"/>
      <w:docPartObj>
        <w:docPartGallery w:val="Page Numbers (Bottom of Page)"/>
        <w:docPartUnique/>
      </w:docPartObj>
    </w:sdtPr>
    <w:sdtEndPr>
      <w:rPr>
        <w:noProof/>
        <w:sz w:val="20"/>
        <w:szCs w:val="20"/>
      </w:rPr>
    </w:sdtEndPr>
    <w:sdtContent>
      <w:p w:rsidR="00DC5CB8" w:rsidRPr="00251996" w:rsidRDefault="00DC5CB8">
        <w:pPr>
          <w:pStyle w:val="Footer"/>
          <w:rPr>
            <w:sz w:val="20"/>
            <w:szCs w:val="20"/>
          </w:rPr>
        </w:pPr>
        <w:r w:rsidRPr="00251996">
          <w:rPr>
            <w:sz w:val="20"/>
            <w:szCs w:val="20"/>
          </w:rPr>
          <w:fldChar w:fldCharType="begin"/>
        </w:r>
        <w:r w:rsidRPr="00251996">
          <w:rPr>
            <w:sz w:val="20"/>
            <w:szCs w:val="20"/>
          </w:rPr>
          <w:instrText xml:space="preserve"> PAGE   \* MERGEFORMAT </w:instrText>
        </w:r>
        <w:r w:rsidRPr="00251996">
          <w:rPr>
            <w:sz w:val="20"/>
            <w:szCs w:val="20"/>
          </w:rPr>
          <w:fldChar w:fldCharType="separate"/>
        </w:r>
        <w:r w:rsidR="00F75CAF">
          <w:rPr>
            <w:noProof/>
            <w:sz w:val="20"/>
            <w:szCs w:val="20"/>
          </w:rPr>
          <w:t>2</w:t>
        </w:r>
        <w:r w:rsidRPr="0025199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A9" w:rsidRDefault="009C2CA9" w:rsidP="00251996">
      <w:pPr>
        <w:spacing w:line="240" w:lineRule="auto"/>
        <w:jc w:val="both"/>
      </w:pPr>
      <w:r>
        <w:separator/>
      </w:r>
    </w:p>
  </w:footnote>
  <w:footnote w:type="continuationSeparator" w:id="0">
    <w:p w:rsidR="009C2CA9" w:rsidRDefault="009C2CA9" w:rsidP="00251996">
      <w:pPr>
        <w:spacing w:line="240" w:lineRule="auto"/>
        <w:jc w:val="both"/>
      </w:pPr>
    </w:p>
  </w:footnote>
  <w:footnote w:id="1">
    <w:p w:rsidR="00E57E75" w:rsidRDefault="00E57E75" w:rsidP="00E57E75">
      <w:pPr>
        <w:spacing w:line="240" w:lineRule="auto"/>
        <w:jc w:val="left"/>
      </w:pPr>
      <w:r>
        <w:rPr>
          <w:rStyle w:val="FootnoteReference"/>
        </w:rPr>
        <w:footnoteRef/>
      </w:r>
      <w:r>
        <w:t xml:space="preserve"> </w:t>
      </w:r>
      <w:r w:rsidR="00251996">
        <w:tab/>
      </w:r>
      <w:r>
        <w:rPr>
          <w:sz w:val="20"/>
          <w:szCs w:val="20"/>
        </w:rPr>
        <w:t>PPL Electric</w:t>
      </w:r>
      <w:r w:rsidRPr="00E57E75">
        <w:rPr>
          <w:sz w:val="20"/>
          <w:szCs w:val="20"/>
        </w:rPr>
        <w:t xml:space="preserve">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August 24, 2015.</w:t>
      </w:r>
    </w:p>
    <w:p w:rsidR="00E57E75" w:rsidRDefault="00E57E75" w:rsidP="00E57E75"/>
    <w:p w:rsidR="00E57E75" w:rsidRDefault="00E57E75" w:rsidP="00E57E75">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7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996"/>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1CC0"/>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1D9"/>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557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876"/>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2DC"/>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2CA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1044"/>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1BD"/>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924"/>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0BAF"/>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5CB8"/>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57E75"/>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5CAF"/>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E57E75"/>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E57E75"/>
    <w:rPr>
      <w:sz w:val="20"/>
      <w:szCs w:val="20"/>
    </w:rPr>
  </w:style>
  <w:style w:type="character" w:styleId="FootnoteReference">
    <w:name w:val="footnote reference"/>
    <w:aliases w:val="o,fr"/>
    <w:basedOn w:val="DefaultParagraphFont"/>
    <w:uiPriority w:val="99"/>
    <w:unhideWhenUsed/>
    <w:rsid w:val="00E57E75"/>
    <w:rPr>
      <w:vertAlign w:val="superscript"/>
    </w:rPr>
  </w:style>
  <w:style w:type="paragraph" w:styleId="Header">
    <w:name w:val="header"/>
    <w:basedOn w:val="Normal"/>
    <w:link w:val="HeaderChar"/>
    <w:uiPriority w:val="99"/>
    <w:unhideWhenUsed/>
    <w:rsid w:val="00DC5CB8"/>
    <w:pPr>
      <w:tabs>
        <w:tab w:val="center" w:pos="4680"/>
        <w:tab w:val="right" w:pos="9360"/>
      </w:tabs>
      <w:spacing w:line="240" w:lineRule="auto"/>
    </w:pPr>
  </w:style>
  <w:style w:type="character" w:customStyle="1" w:styleId="HeaderChar">
    <w:name w:val="Header Char"/>
    <w:basedOn w:val="DefaultParagraphFont"/>
    <w:link w:val="Header"/>
    <w:uiPriority w:val="99"/>
    <w:rsid w:val="00DC5CB8"/>
  </w:style>
  <w:style w:type="paragraph" w:styleId="Footer">
    <w:name w:val="footer"/>
    <w:basedOn w:val="Normal"/>
    <w:link w:val="FooterChar"/>
    <w:uiPriority w:val="99"/>
    <w:unhideWhenUsed/>
    <w:rsid w:val="00DC5CB8"/>
    <w:pPr>
      <w:tabs>
        <w:tab w:val="center" w:pos="4680"/>
        <w:tab w:val="right" w:pos="9360"/>
      </w:tabs>
      <w:spacing w:line="240" w:lineRule="auto"/>
    </w:pPr>
  </w:style>
  <w:style w:type="character" w:customStyle="1" w:styleId="FooterChar">
    <w:name w:val="Footer Char"/>
    <w:basedOn w:val="DefaultParagraphFont"/>
    <w:link w:val="Footer"/>
    <w:uiPriority w:val="99"/>
    <w:rsid w:val="00DC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E57E75"/>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E57E75"/>
    <w:rPr>
      <w:sz w:val="20"/>
      <w:szCs w:val="20"/>
    </w:rPr>
  </w:style>
  <w:style w:type="character" w:styleId="FootnoteReference">
    <w:name w:val="footnote reference"/>
    <w:aliases w:val="o,fr"/>
    <w:basedOn w:val="DefaultParagraphFont"/>
    <w:uiPriority w:val="99"/>
    <w:unhideWhenUsed/>
    <w:rsid w:val="00E57E75"/>
    <w:rPr>
      <w:vertAlign w:val="superscript"/>
    </w:rPr>
  </w:style>
  <w:style w:type="paragraph" w:styleId="Header">
    <w:name w:val="header"/>
    <w:basedOn w:val="Normal"/>
    <w:link w:val="HeaderChar"/>
    <w:uiPriority w:val="99"/>
    <w:unhideWhenUsed/>
    <w:rsid w:val="00DC5CB8"/>
    <w:pPr>
      <w:tabs>
        <w:tab w:val="center" w:pos="4680"/>
        <w:tab w:val="right" w:pos="9360"/>
      </w:tabs>
      <w:spacing w:line="240" w:lineRule="auto"/>
    </w:pPr>
  </w:style>
  <w:style w:type="character" w:customStyle="1" w:styleId="HeaderChar">
    <w:name w:val="Header Char"/>
    <w:basedOn w:val="DefaultParagraphFont"/>
    <w:link w:val="Header"/>
    <w:uiPriority w:val="99"/>
    <w:rsid w:val="00DC5CB8"/>
  </w:style>
  <w:style w:type="paragraph" w:styleId="Footer">
    <w:name w:val="footer"/>
    <w:basedOn w:val="Normal"/>
    <w:link w:val="FooterChar"/>
    <w:uiPriority w:val="99"/>
    <w:unhideWhenUsed/>
    <w:rsid w:val="00DC5CB8"/>
    <w:pPr>
      <w:tabs>
        <w:tab w:val="center" w:pos="4680"/>
        <w:tab w:val="right" w:pos="9360"/>
      </w:tabs>
      <w:spacing w:line="240" w:lineRule="auto"/>
    </w:pPr>
  </w:style>
  <w:style w:type="character" w:customStyle="1" w:styleId="FooterChar">
    <w:name w:val="Footer Char"/>
    <w:basedOn w:val="DefaultParagraphFont"/>
    <w:link w:val="Footer"/>
    <w:uiPriority w:val="99"/>
    <w:rsid w:val="00DC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AB13-E265-406B-8A84-E783C526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5</cp:revision>
  <dcterms:created xsi:type="dcterms:W3CDTF">2015-11-04T18:41:00Z</dcterms:created>
  <dcterms:modified xsi:type="dcterms:W3CDTF">2015-11-13T12:55:00Z</dcterms:modified>
</cp:coreProperties>
</file>