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90" w:rsidRDefault="008B1D90" w:rsidP="008B1D9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BEFORE THE</w:t>
      </w:r>
    </w:p>
    <w:p w:rsidR="008B1D90" w:rsidRDefault="008B1D90" w:rsidP="008B1D9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45980" w:rsidRDefault="00845980" w:rsidP="008B1D9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8B1D90" w:rsidRDefault="008B1D90" w:rsidP="008B1D9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8B1D90" w:rsidRDefault="008B1D90" w:rsidP="008B1D9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D77D22" w:rsidRPr="00D57D92" w:rsidRDefault="00686604" w:rsidP="00D77D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Dean</w:t>
      </w:r>
      <w:r w:rsidR="00845980">
        <w:rPr>
          <w:rFonts w:ascii="Times New Roman" w:hAnsi="Times New Roman" w:cs="Times New Roman"/>
        </w:rPr>
        <w:tab/>
      </w:r>
      <w:r w:rsidR="00D77D22">
        <w:rPr>
          <w:rFonts w:ascii="Times New Roman" w:hAnsi="Times New Roman" w:cs="Times New Roman"/>
        </w:rPr>
        <w:tab/>
      </w:r>
      <w:r w:rsidR="00D77D22">
        <w:rPr>
          <w:rFonts w:ascii="Times New Roman" w:hAnsi="Times New Roman" w:cs="Times New Roman"/>
        </w:rPr>
        <w:tab/>
      </w:r>
      <w:r w:rsidR="00D77D22" w:rsidRPr="00D57D92">
        <w:rPr>
          <w:rFonts w:ascii="Times New Roman" w:hAnsi="Times New Roman" w:cs="Times New Roman"/>
        </w:rPr>
        <w:tab/>
      </w:r>
      <w:r w:rsidR="00145B94">
        <w:rPr>
          <w:rFonts w:ascii="Times New Roman" w:hAnsi="Times New Roman" w:cs="Times New Roman"/>
        </w:rPr>
        <w:tab/>
      </w:r>
      <w:r w:rsidR="00845980">
        <w:rPr>
          <w:rFonts w:ascii="Times New Roman" w:hAnsi="Times New Roman" w:cs="Times New Roman"/>
        </w:rPr>
        <w:tab/>
      </w:r>
      <w:r w:rsidR="00D77D22" w:rsidRPr="00D57D92">
        <w:rPr>
          <w:rFonts w:ascii="Times New Roman" w:hAnsi="Times New Roman" w:cs="Times New Roman"/>
        </w:rPr>
        <w:t>:</w:t>
      </w:r>
    </w:p>
    <w:p w:rsidR="00D77D22" w:rsidRPr="00D57D92" w:rsidRDefault="00D77D22" w:rsidP="00082D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82D0F">
        <w:rPr>
          <w:rFonts w:ascii="Times New Roman" w:hAnsi="Times New Roman" w:cs="Times New Roman"/>
        </w:rPr>
        <w:tab/>
      </w:r>
      <w:r w:rsidR="00082D0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459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0C65F4">
        <w:rPr>
          <w:rFonts w:ascii="Times New Roman" w:hAnsi="Times New Roman" w:cs="Times New Roman"/>
        </w:rPr>
        <w:tab/>
      </w:r>
    </w:p>
    <w:p w:rsidR="00082D0F" w:rsidRPr="00D57D92" w:rsidRDefault="00845980" w:rsidP="00082D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77D22">
        <w:rPr>
          <w:rFonts w:ascii="Times New Roman" w:hAnsi="Times New Roman" w:cs="Times New Roman"/>
        </w:rPr>
        <w:t>v.</w:t>
      </w:r>
      <w:r w:rsidR="00D77D22">
        <w:rPr>
          <w:rFonts w:ascii="Times New Roman" w:hAnsi="Times New Roman" w:cs="Times New Roman"/>
        </w:rPr>
        <w:tab/>
      </w:r>
      <w:r w:rsidR="00D77D22" w:rsidRPr="00D57D92">
        <w:rPr>
          <w:rFonts w:ascii="Times New Roman" w:hAnsi="Times New Roman" w:cs="Times New Roman"/>
        </w:rPr>
        <w:tab/>
      </w:r>
      <w:r w:rsidR="00D77D22" w:rsidRPr="00D57D92">
        <w:rPr>
          <w:rFonts w:ascii="Times New Roman" w:hAnsi="Times New Roman" w:cs="Times New Roman"/>
        </w:rPr>
        <w:tab/>
      </w:r>
      <w:r w:rsidR="00D77D22" w:rsidRPr="00D57D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7D22" w:rsidRPr="00D57D92">
        <w:rPr>
          <w:rFonts w:ascii="Times New Roman" w:hAnsi="Times New Roman" w:cs="Times New Roman"/>
        </w:rPr>
        <w:t>:</w:t>
      </w:r>
      <w:r w:rsidR="00082D0F">
        <w:rPr>
          <w:rFonts w:ascii="Times New Roman" w:hAnsi="Times New Roman" w:cs="Times New Roman"/>
        </w:rPr>
        <w:tab/>
      </w:r>
      <w:r w:rsidR="00082D0F">
        <w:rPr>
          <w:rFonts w:ascii="Times New Roman" w:hAnsi="Times New Roman" w:cs="Times New Roman"/>
        </w:rPr>
        <w:tab/>
      </w:r>
      <w:r w:rsidR="00692A71">
        <w:rPr>
          <w:rFonts w:ascii="Times New Roman" w:hAnsi="Times New Roman" w:cs="Times New Roman"/>
        </w:rPr>
        <w:t>C</w:t>
      </w:r>
      <w:r w:rsidR="00145B94">
        <w:rPr>
          <w:rFonts w:ascii="Times New Roman" w:hAnsi="Times New Roman" w:cs="Times New Roman"/>
        </w:rPr>
        <w:t>-201</w:t>
      </w:r>
      <w:r w:rsidR="00686604">
        <w:rPr>
          <w:rFonts w:ascii="Times New Roman" w:hAnsi="Times New Roman" w:cs="Times New Roman"/>
        </w:rPr>
        <w:t>5</w:t>
      </w:r>
      <w:r w:rsidR="00145B94">
        <w:rPr>
          <w:rFonts w:ascii="Times New Roman" w:hAnsi="Times New Roman" w:cs="Times New Roman"/>
        </w:rPr>
        <w:t>-2</w:t>
      </w:r>
      <w:r w:rsidR="00692A71">
        <w:rPr>
          <w:rFonts w:ascii="Times New Roman" w:hAnsi="Times New Roman" w:cs="Times New Roman"/>
        </w:rPr>
        <w:t>5</w:t>
      </w:r>
      <w:r w:rsidR="00686604">
        <w:rPr>
          <w:rFonts w:ascii="Times New Roman" w:hAnsi="Times New Roman" w:cs="Times New Roman"/>
        </w:rPr>
        <w:t>05667</w:t>
      </w:r>
    </w:p>
    <w:p w:rsidR="00D77D22" w:rsidRPr="00D57D92" w:rsidRDefault="00D77D22" w:rsidP="00D77D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459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</w:p>
    <w:p w:rsidR="00D77D22" w:rsidRPr="00D57D92" w:rsidRDefault="003170A6" w:rsidP="00D77D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Duquesne Light</w:t>
      </w:r>
      <w:r w:rsidR="00145B94">
        <w:rPr>
          <w:rFonts w:ascii="Times New Roman" w:hAnsi="Times New Roman" w:cs="Times New Roman"/>
        </w:rPr>
        <w:t xml:space="preserve"> Co</w:t>
      </w:r>
      <w:r w:rsidR="00692A71">
        <w:rPr>
          <w:rFonts w:ascii="Times New Roman" w:hAnsi="Times New Roman" w:cs="Times New Roman"/>
        </w:rPr>
        <w:t>mp</w:t>
      </w:r>
      <w:r w:rsidR="00145B94">
        <w:rPr>
          <w:rFonts w:ascii="Times New Roman" w:hAnsi="Times New Roman" w:cs="Times New Roman"/>
        </w:rPr>
        <w:t>an</w:t>
      </w:r>
      <w:r w:rsidR="00692A7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ab/>
      </w:r>
      <w:r w:rsidR="00D77D22" w:rsidRPr="00D57D92">
        <w:rPr>
          <w:rFonts w:ascii="Times New Roman" w:hAnsi="Times New Roman" w:cs="Times New Roman"/>
        </w:rPr>
        <w:tab/>
      </w:r>
      <w:r w:rsidR="00D77D22" w:rsidRPr="00D57D92">
        <w:rPr>
          <w:rFonts w:ascii="Times New Roman" w:hAnsi="Times New Roman" w:cs="Times New Roman"/>
        </w:rPr>
        <w:tab/>
      </w:r>
      <w:r w:rsidR="00845980">
        <w:rPr>
          <w:rFonts w:ascii="Times New Roman" w:hAnsi="Times New Roman" w:cs="Times New Roman"/>
        </w:rPr>
        <w:tab/>
      </w:r>
      <w:r w:rsidR="00D77D22" w:rsidRPr="00D57D92">
        <w:rPr>
          <w:rFonts w:ascii="Times New Roman" w:hAnsi="Times New Roman" w:cs="Times New Roman"/>
        </w:rPr>
        <w:t>:</w:t>
      </w:r>
    </w:p>
    <w:p w:rsidR="00D77D22" w:rsidRPr="00D57D92" w:rsidRDefault="00D77D22" w:rsidP="00D77D22">
      <w:pPr>
        <w:rPr>
          <w:rFonts w:ascii="Times New Roman" w:hAnsi="Times New Roman" w:cs="Times New Roman"/>
        </w:rPr>
      </w:pPr>
      <w:r w:rsidRPr="00D57D92"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  <w:r w:rsidR="00EE4370"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  <w:r w:rsidR="00845980">
        <w:rPr>
          <w:rFonts w:ascii="Times New Roman" w:hAnsi="Times New Roman" w:cs="Times New Roman"/>
        </w:rPr>
        <w:tab/>
      </w:r>
    </w:p>
    <w:p w:rsidR="0041628B" w:rsidRDefault="00D77D22" w:rsidP="00845980">
      <w:pPr>
        <w:rPr>
          <w:rFonts w:ascii="Times New Roman" w:hAnsi="Times New Roman" w:cs="Times New Roman"/>
        </w:rPr>
      </w:pPr>
      <w:r w:rsidRPr="00D57D92"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</w:p>
    <w:p w:rsidR="00D77D22" w:rsidRPr="00D57D92" w:rsidRDefault="00D77D22" w:rsidP="00845980">
      <w:pPr>
        <w:rPr>
          <w:rFonts w:ascii="Times New Roman" w:hAnsi="Times New Roman" w:cs="Times New Roman"/>
          <w:spacing w:val="-3"/>
        </w:rPr>
      </w:pPr>
      <w:r w:rsidRPr="00D57D92"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</w:p>
    <w:p w:rsidR="00DA260C" w:rsidRDefault="003752CA" w:rsidP="00D77D22">
      <w:pPr>
        <w:jc w:val="center"/>
        <w:rPr>
          <w:rFonts w:ascii="Times New Roman" w:hAnsi="Times New Roman" w:cs="Times New Roman"/>
          <w:b/>
          <w:bCs/>
        </w:rPr>
      </w:pPr>
      <w:r w:rsidRPr="00692A71">
        <w:rPr>
          <w:rFonts w:ascii="Times New Roman" w:hAnsi="Times New Roman" w:cs="Times New Roman"/>
          <w:b/>
          <w:bCs/>
        </w:rPr>
        <w:t xml:space="preserve">FIRST INTERIM </w:t>
      </w:r>
      <w:r w:rsidR="00D77D22" w:rsidRPr="00692A71">
        <w:rPr>
          <w:rFonts w:ascii="Times New Roman" w:hAnsi="Times New Roman" w:cs="Times New Roman"/>
          <w:b/>
          <w:bCs/>
        </w:rPr>
        <w:t>ORDER</w:t>
      </w:r>
      <w:r w:rsidR="000A08B0">
        <w:rPr>
          <w:rFonts w:ascii="Times New Roman" w:hAnsi="Times New Roman" w:cs="Times New Roman"/>
          <w:b/>
          <w:bCs/>
        </w:rPr>
        <w:t xml:space="preserve"> </w:t>
      </w:r>
    </w:p>
    <w:p w:rsidR="00D77D22" w:rsidRPr="00B3678F" w:rsidRDefault="00D77D22" w:rsidP="00D77D2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DA260C">
        <w:rPr>
          <w:rFonts w:ascii="Times New Roman" w:hAnsi="Times New Roman" w:cs="Times New Roman"/>
          <w:b/>
          <w:bCs/>
          <w:u w:val="single"/>
        </w:rPr>
        <w:t>GRANTING</w:t>
      </w:r>
      <w:r w:rsidR="00DA260C" w:rsidRPr="00DA260C">
        <w:rPr>
          <w:rFonts w:ascii="Times New Roman" w:hAnsi="Times New Roman" w:cs="Times New Roman"/>
          <w:b/>
          <w:bCs/>
          <w:u w:val="single"/>
        </w:rPr>
        <w:t xml:space="preserve"> </w:t>
      </w:r>
      <w:r w:rsidR="00692A71">
        <w:rPr>
          <w:rFonts w:ascii="Times New Roman" w:hAnsi="Times New Roman" w:cs="Times New Roman"/>
          <w:b/>
          <w:bCs/>
          <w:u w:val="single"/>
        </w:rPr>
        <w:t xml:space="preserve">RESPONDENT’S </w:t>
      </w:r>
      <w:r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0A08B0">
        <w:rPr>
          <w:rFonts w:ascii="Times New Roman" w:hAnsi="Times New Roman" w:cs="Times New Roman"/>
          <w:b/>
          <w:bCs/>
          <w:u w:val="single"/>
        </w:rPr>
        <w:t xml:space="preserve">HEARING </w:t>
      </w:r>
      <w:r>
        <w:rPr>
          <w:rFonts w:ascii="Times New Roman" w:hAnsi="Times New Roman" w:cs="Times New Roman"/>
          <w:b/>
          <w:bCs/>
          <w:u w:val="single"/>
        </w:rPr>
        <w:t>CONTINUANCE</w:t>
      </w:r>
    </w:p>
    <w:p w:rsidR="00D77D22" w:rsidRPr="00B3678F" w:rsidRDefault="00D77D22" w:rsidP="000173EA">
      <w:pPr>
        <w:jc w:val="center"/>
        <w:rPr>
          <w:rFonts w:ascii="Times New Roman" w:hAnsi="Times New Roman" w:cs="Times New Roman"/>
          <w:bCs/>
        </w:rPr>
      </w:pPr>
    </w:p>
    <w:p w:rsidR="00052FB5" w:rsidRDefault="00052FB5" w:rsidP="000173EA">
      <w:pPr>
        <w:rPr>
          <w:rFonts w:ascii="Times New Roman" w:hAnsi="Times New Roman" w:cs="Times New Roman"/>
          <w:b/>
          <w:bCs/>
          <w:u w:val="single"/>
        </w:rPr>
      </w:pPr>
    </w:p>
    <w:p w:rsidR="00812E84" w:rsidRDefault="00813940" w:rsidP="0095674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By Hearing Notice dated</w:t>
      </w:r>
      <w:r w:rsidR="003752CA">
        <w:rPr>
          <w:rFonts w:ascii="Times New Roman" w:hAnsi="Times New Roman" w:cs="Times New Roman"/>
          <w:spacing w:val="-3"/>
        </w:rPr>
        <w:t xml:space="preserve"> </w:t>
      </w:r>
      <w:r w:rsidR="00686604">
        <w:rPr>
          <w:rFonts w:ascii="Times New Roman" w:hAnsi="Times New Roman" w:cs="Times New Roman"/>
          <w:spacing w:val="-3"/>
        </w:rPr>
        <w:t xml:space="preserve">October 21, </w:t>
      </w:r>
      <w:r w:rsidR="00692A71">
        <w:rPr>
          <w:rFonts w:ascii="Times New Roman" w:hAnsi="Times New Roman" w:cs="Times New Roman"/>
          <w:spacing w:val="-3"/>
        </w:rPr>
        <w:t>201</w:t>
      </w:r>
      <w:r w:rsidR="00686604">
        <w:rPr>
          <w:rFonts w:ascii="Times New Roman" w:hAnsi="Times New Roman" w:cs="Times New Roman"/>
          <w:spacing w:val="-3"/>
        </w:rPr>
        <w:t>5</w:t>
      </w:r>
      <w:r>
        <w:rPr>
          <w:rFonts w:ascii="Times New Roman" w:hAnsi="Times New Roman" w:cs="Times New Roman"/>
          <w:spacing w:val="-3"/>
        </w:rPr>
        <w:t>, a</w:t>
      </w:r>
      <w:r w:rsidR="00145B94">
        <w:rPr>
          <w:rFonts w:ascii="Times New Roman" w:hAnsi="Times New Roman" w:cs="Times New Roman"/>
          <w:spacing w:val="-3"/>
        </w:rPr>
        <w:t>n</w:t>
      </w:r>
      <w:r w:rsidR="00EE4370">
        <w:rPr>
          <w:rFonts w:ascii="Times New Roman" w:hAnsi="Times New Roman" w:cs="Times New Roman"/>
          <w:spacing w:val="-3"/>
        </w:rPr>
        <w:t xml:space="preserve"> </w:t>
      </w:r>
      <w:r w:rsidR="00145B94">
        <w:rPr>
          <w:rFonts w:ascii="Times New Roman" w:hAnsi="Times New Roman" w:cs="Times New Roman"/>
          <w:spacing w:val="-3"/>
        </w:rPr>
        <w:t>Initial Telephonic Hearing</w:t>
      </w:r>
      <w:r w:rsidRPr="001759AF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was scheduled </w:t>
      </w:r>
      <w:r w:rsidR="00EE4370">
        <w:rPr>
          <w:rFonts w:ascii="Times New Roman" w:hAnsi="Times New Roman" w:cs="Times New Roman"/>
          <w:spacing w:val="-3"/>
        </w:rPr>
        <w:t>in</w:t>
      </w:r>
      <w:r>
        <w:rPr>
          <w:rFonts w:ascii="Times New Roman" w:hAnsi="Times New Roman" w:cs="Times New Roman"/>
          <w:spacing w:val="-3"/>
        </w:rPr>
        <w:t xml:space="preserve"> this proceeding </w:t>
      </w:r>
      <w:r w:rsidR="00686604">
        <w:rPr>
          <w:rFonts w:ascii="Times New Roman" w:hAnsi="Times New Roman" w:cs="Times New Roman"/>
          <w:spacing w:val="-3"/>
        </w:rPr>
        <w:t xml:space="preserve">before me </w:t>
      </w:r>
      <w:r w:rsidR="00140F5C">
        <w:rPr>
          <w:rFonts w:ascii="Times New Roman" w:hAnsi="Times New Roman" w:cs="Times New Roman"/>
          <w:spacing w:val="-3"/>
        </w:rPr>
        <w:t xml:space="preserve">for </w:t>
      </w:r>
      <w:r w:rsidR="00686604">
        <w:rPr>
          <w:rFonts w:ascii="Times New Roman" w:hAnsi="Times New Roman" w:cs="Times New Roman"/>
          <w:spacing w:val="-3"/>
        </w:rPr>
        <w:t xml:space="preserve">Thursday, December 3, </w:t>
      </w:r>
      <w:r w:rsidR="00145B94">
        <w:rPr>
          <w:rFonts w:ascii="Times New Roman" w:hAnsi="Times New Roman" w:cs="Times New Roman"/>
          <w:spacing w:val="-3"/>
        </w:rPr>
        <w:t>201</w:t>
      </w:r>
      <w:r w:rsidR="00686604">
        <w:rPr>
          <w:rFonts w:ascii="Times New Roman" w:hAnsi="Times New Roman" w:cs="Times New Roman"/>
          <w:spacing w:val="-3"/>
        </w:rPr>
        <w:t>5</w:t>
      </w:r>
      <w:r w:rsidR="00EE4370">
        <w:rPr>
          <w:rFonts w:ascii="Times New Roman" w:hAnsi="Times New Roman" w:cs="Times New Roman"/>
          <w:spacing w:val="-3"/>
        </w:rPr>
        <w:t>,</w:t>
      </w:r>
      <w:r w:rsidRPr="001759AF">
        <w:rPr>
          <w:rFonts w:ascii="Times New Roman" w:hAnsi="Times New Roman" w:cs="Times New Roman"/>
          <w:spacing w:val="-3"/>
        </w:rPr>
        <w:fldChar w:fldCharType="begin"/>
      </w:r>
      <w:r w:rsidRPr="001759AF">
        <w:rPr>
          <w:rFonts w:ascii="Times New Roman" w:hAnsi="Times New Roman" w:cs="Times New Roman"/>
          <w:spacing w:val="-3"/>
        </w:rPr>
        <w:instrText>fillin "Day &amp; Date" \d ""</w:instrText>
      </w:r>
      <w:r w:rsidRPr="001759AF">
        <w:rPr>
          <w:rFonts w:ascii="Times New Roman" w:hAnsi="Times New Roman" w:cs="Times New Roman"/>
          <w:spacing w:val="-3"/>
        </w:rPr>
        <w:fldChar w:fldCharType="end"/>
      </w:r>
      <w:r w:rsidRPr="001759AF">
        <w:rPr>
          <w:rFonts w:ascii="Times New Roman" w:hAnsi="Times New Roman" w:cs="Times New Roman"/>
          <w:spacing w:val="-3"/>
        </w:rPr>
        <w:t xml:space="preserve"> at </w:t>
      </w:r>
      <w:r w:rsidR="00692A71">
        <w:rPr>
          <w:rFonts w:ascii="Times New Roman" w:hAnsi="Times New Roman" w:cs="Times New Roman"/>
          <w:spacing w:val="-3"/>
        </w:rPr>
        <w:t>10</w:t>
      </w:r>
      <w:r w:rsidRPr="001759AF">
        <w:rPr>
          <w:rFonts w:ascii="Times New Roman" w:hAnsi="Times New Roman" w:cs="Times New Roman"/>
          <w:spacing w:val="-3"/>
        </w:rPr>
        <w:t>:</w:t>
      </w:r>
      <w:r w:rsidR="00A937D9">
        <w:rPr>
          <w:rFonts w:ascii="Times New Roman" w:hAnsi="Times New Roman" w:cs="Times New Roman"/>
          <w:spacing w:val="-3"/>
        </w:rPr>
        <w:t>00</w:t>
      </w:r>
      <w:r w:rsidRPr="001759AF">
        <w:rPr>
          <w:rFonts w:ascii="Times New Roman" w:hAnsi="Times New Roman" w:cs="Times New Roman"/>
          <w:spacing w:val="-3"/>
        </w:rPr>
        <w:t xml:space="preserve"> a.m.</w:t>
      </w:r>
      <w:r w:rsidRPr="001759AF">
        <w:rPr>
          <w:rFonts w:ascii="Times New Roman" w:hAnsi="Times New Roman" w:cs="Times New Roman"/>
          <w:spacing w:val="-3"/>
        </w:rPr>
        <w:fldChar w:fldCharType="begin"/>
      </w:r>
      <w:r w:rsidRPr="001759AF">
        <w:rPr>
          <w:rFonts w:ascii="Times New Roman" w:hAnsi="Times New Roman" w:cs="Times New Roman"/>
          <w:spacing w:val="-3"/>
        </w:rPr>
        <w:instrText>fillin "Time" \d ""</w:instrText>
      </w:r>
      <w:r w:rsidRPr="001759AF">
        <w:rPr>
          <w:rFonts w:ascii="Times New Roman" w:hAnsi="Times New Roman" w:cs="Times New Roman"/>
          <w:spacing w:val="-3"/>
        </w:rPr>
        <w:fldChar w:fldCharType="end"/>
      </w:r>
      <w:r w:rsidRPr="001759AF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 </w:t>
      </w:r>
      <w:r w:rsidR="00686604">
        <w:rPr>
          <w:rFonts w:ascii="Times New Roman" w:hAnsi="Times New Roman" w:cs="Times New Roman"/>
          <w:spacing w:val="-3"/>
        </w:rPr>
        <w:t xml:space="preserve">On November 5, 2015, Respondent </w:t>
      </w:r>
      <w:r w:rsidR="003170A6">
        <w:rPr>
          <w:rFonts w:ascii="Times New Roman" w:hAnsi="Times New Roman" w:cs="Times New Roman"/>
          <w:spacing w:val="-3"/>
        </w:rPr>
        <w:t xml:space="preserve">Duquesne Light </w:t>
      </w:r>
      <w:r w:rsidR="00686604">
        <w:rPr>
          <w:rFonts w:ascii="Times New Roman" w:hAnsi="Times New Roman" w:cs="Times New Roman"/>
          <w:spacing w:val="-3"/>
        </w:rPr>
        <w:t>Company, through its counsel, Jeremy V. Farrell, Esquire</w:t>
      </w:r>
      <w:r w:rsidR="003170A6">
        <w:rPr>
          <w:rFonts w:ascii="Times New Roman" w:hAnsi="Times New Roman" w:cs="Times New Roman"/>
          <w:spacing w:val="-3"/>
        </w:rPr>
        <w:t>,</w:t>
      </w:r>
      <w:r w:rsidR="00686604">
        <w:rPr>
          <w:rFonts w:ascii="Times New Roman" w:hAnsi="Times New Roman" w:cs="Times New Roman"/>
          <w:spacing w:val="-3"/>
        </w:rPr>
        <w:t xml:space="preserve"> filed a Motion for Continuance of Hearing.  The motion stated that Respondent’s counsel had a scheduling conflict.  Attorney Farrell </w:t>
      </w:r>
      <w:r w:rsidR="003A16B5">
        <w:rPr>
          <w:rFonts w:ascii="Times New Roman" w:hAnsi="Times New Roman" w:cs="Times New Roman"/>
          <w:spacing w:val="-3"/>
        </w:rPr>
        <w:t>is</w:t>
      </w:r>
      <w:bookmarkStart w:id="0" w:name="_GoBack"/>
      <w:bookmarkEnd w:id="0"/>
      <w:r w:rsidR="00686604">
        <w:rPr>
          <w:rFonts w:ascii="Times New Roman" w:hAnsi="Times New Roman" w:cs="Times New Roman"/>
          <w:spacing w:val="-3"/>
        </w:rPr>
        <w:t xml:space="preserve"> also counsel in a trial in the Westmoreland Cou</w:t>
      </w:r>
      <w:r w:rsidR="003170A6">
        <w:rPr>
          <w:rFonts w:ascii="Times New Roman" w:hAnsi="Times New Roman" w:cs="Times New Roman"/>
          <w:spacing w:val="-3"/>
        </w:rPr>
        <w:t>n</w:t>
      </w:r>
      <w:r w:rsidR="00686604">
        <w:rPr>
          <w:rFonts w:ascii="Times New Roman" w:hAnsi="Times New Roman" w:cs="Times New Roman"/>
          <w:spacing w:val="-3"/>
        </w:rPr>
        <w:t xml:space="preserve">ty Court of Common Pleas </w:t>
      </w:r>
      <w:r w:rsidR="003170A6">
        <w:rPr>
          <w:rFonts w:ascii="Times New Roman" w:hAnsi="Times New Roman" w:cs="Times New Roman"/>
          <w:spacing w:val="-3"/>
        </w:rPr>
        <w:t xml:space="preserve">scheduled to </w:t>
      </w:r>
      <w:r w:rsidR="00686604">
        <w:rPr>
          <w:rFonts w:ascii="Times New Roman" w:hAnsi="Times New Roman" w:cs="Times New Roman"/>
          <w:spacing w:val="-3"/>
        </w:rPr>
        <w:t>begin on December 2, 20</w:t>
      </w:r>
      <w:r w:rsidR="003170A6">
        <w:rPr>
          <w:rFonts w:ascii="Times New Roman" w:hAnsi="Times New Roman" w:cs="Times New Roman"/>
          <w:spacing w:val="-3"/>
        </w:rPr>
        <w:t>1</w:t>
      </w:r>
      <w:r w:rsidR="00686604">
        <w:rPr>
          <w:rFonts w:ascii="Times New Roman" w:hAnsi="Times New Roman" w:cs="Times New Roman"/>
          <w:spacing w:val="-3"/>
        </w:rPr>
        <w:t>5, and the trial would likely proceed up to and through December 3, 20</w:t>
      </w:r>
      <w:r w:rsidR="003170A6">
        <w:rPr>
          <w:rFonts w:ascii="Times New Roman" w:hAnsi="Times New Roman" w:cs="Times New Roman"/>
          <w:spacing w:val="-3"/>
        </w:rPr>
        <w:t>1</w:t>
      </w:r>
      <w:r w:rsidR="00686604">
        <w:rPr>
          <w:rFonts w:ascii="Times New Roman" w:hAnsi="Times New Roman" w:cs="Times New Roman"/>
          <w:spacing w:val="-3"/>
        </w:rPr>
        <w:t xml:space="preserve">5.  Accordingly, Respondent requested a two-week continuance of the hearing scheduled in this proceeding. </w:t>
      </w:r>
      <w:r w:rsidR="004757EC">
        <w:rPr>
          <w:rFonts w:ascii="Times New Roman" w:hAnsi="Times New Roman" w:cs="Times New Roman"/>
          <w:spacing w:val="-3"/>
        </w:rPr>
        <w:t xml:space="preserve"> </w:t>
      </w:r>
      <w:r w:rsidR="00686604">
        <w:rPr>
          <w:rFonts w:ascii="Times New Roman" w:hAnsi="Times New Roman" w:cs="Times New Roman"/>
          <w:spacing w:val="-3"/>
        </w:rPr>
        <w:t>The motion further stated that Complainant Robert Dean had no objection to the request two</w:t>
      </w:r>
      <w:r w:rsidR="000751B2">
        <w:rPr>
          <w:rFonts w:ascii="Times New Roman" w:hAnsi="Times New Roman" w:cs="Times New Roman"/>
          <w:spacing w:val="-3"/>
        </w:rPr>
        <w:t>-</w:t>
      </w:r>
      <w:r w:rsidR="00686604">
        <w:rPr>
          <w:rFonts w:ascii="Times New Roman" w:hAnsi="Times New Roman" w:cs="Times New Roman"/>
          <w:spacing w:val="-3"/>
        </w:rPr>
        <w:t xml:space="preserve">week extension. </w:t>
      </w:r>
    </w:p>
    <w:p w:rsidR="002568A8" w:rsidRDefault="002568A8" w:rsidP="00956741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96360C" w:rsidRDefault="0098415F" w:rsidP="00956741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813940" w:rsidRPr="001759AF">
        <w:rPr>
          <w:rFonts w:ascii="Times New Roman" w:hAnsi="Times New Roman" w:cs="Times New Roman"/>
          <w:spacing w:val="-3"/>
        </w:rPr>
        <w:t xml:space="preserve">Pursuant to </w:t>
      </w:r>
      <w:r w:rsidR="00C509EC">
        <w:rPr>
          <w:rFonts w:ascii="Times New Roman" w:hAnsi="Times New Roman" w:cs="Times New Roman"/>
          <w:spacing w:val="-3"/>
        </w:rPr>
        <w:t xml:space="preserve">Section 1.15(b) of the Pennsylvania Public Utility Commission’s (Commission) regulations, </w:t>
      </w:r>
      <w:r w:rsidR="00813940" w:rsidRPr="001759AF">
        <w:rPr>
          <w:rFonts w:ascii="Times New Roman" w:hAnsi="Times New Roman" w:cs="Times New Roman"/>
          <w:spacing w:val="-3"/>
        </w:rPr>
        <w:t>52 Pa.Code §</w:t>
      </w:r>
      <w:r w:rsidR="00A1639F">
        <w:rPr>
          <w:rFonts w:ascii="Times New Roman" w:hAnsi="Times New Roman" w:cs="Times New Roman"/>
          <w:spacing w:val="-3"/>
        </w:rPr>
        <w:t xml:space="preserve"> </w:t>
      </w:r>
      <w:r w:rsidR="00813940" w:rsidRPr="001759AF">
        <w:rPr>
          <w:rFonts w:ascii="Times New Roman" w:hAnsi="Times New Roman" w:cs="Times New Roman"/>
          <w:spacing w:val="-3"/>
        </w:rPr>
        <w:t>1.1</w:t>
      </w:r>
      <w:r w:rsidR="00813940">
        <w:rPr>
          <w:rFonts w:ascii="Times New Roman" w:hAnsi="Times New Roman" w:cs="Times New Roman"/>
          <w:spacing w:val="-3"/>
        </w:rPr>
        <w:t xml:space="preserve">5(b), a request for a change of the scheduled hearing date </w:t>
      </w:r>
      <w:r w:rsidR="0006235B">
        <w:rPr>
          <w:rFonts w:ascii="Times New Roman" w:hAnsi="Times New Roman" w:cs="Times New Roman"/>
          <w:spacing w:val="-3"/>
        </w:rPr>
        <w:t>should</w:t>
      </w:r>
      <w:r w:rsidR="00813940">
        <w:rPr>
          <w:rFonts w:ascii="Times New Roman" w:hAnsi="Times New Roman" w:cs="Times New Roman"/>
          <w:spacing w:val="-3"/>
        </w:rPr>
        <w:t xml:space="preserve"> be submitted by motion in writing, filed no later than five (5) days prior to the hearing with the Commission.  The motion must state the facts upon which the request rests.  </w:t>
      </w:r>
      <w:r w:rsidR="0006235B">
        <w:rPr>
          <w:rFonts w:ascii="Times New Roman" w:hAnsi="Times New Roman" w:cs="Times New Roman"/>
          <w:spacing w:val="-3"/>
        </w:rPr>
        <w:t>Only for good cause shown will requests for continuance be considered</w:t>
      </w:r>
      <w:r w:rsidR="00C509EC">
        <w:rPr>
          <w:rFonts w:ascii="Times New Roman" w:hAnsi="Times New Roman" w:cs="Times New Roman"/>
          <w:spacing w:val="-3"/>
        </w:rPr>
        <w:t>.</w:t>
      </w:r>
      <w:r w:rsidR="00EB6EC2">
        <w:rPr>
          <w:rFonts w:ascii="Times New Roman" w:hAnsi="Times New Roman" w:cs="Times New Roman"/>
          <w:spacing w:val="-3"/>
        </w:rPr>
        <w:t xml:space="preserve"> </w:t>
      </w:r>
      <w:r w:rsidR="0006235B">
        <w:rPr>
          <w:rFonts w:ascii="Times New Roman" w:hAnsi="Times New Roman" w:cs="Times New Roman"/>
          <w:spacing w:val="-3"/>
        </w:rPr>
        <w:t xml:space="preserve"> </w:t>
      </w:r>
      <w:r w:rsidR="00F310A6">
        <w:rPr>
          <w:rFonts w:ascii="Times New Roman" w:hAnsi="Times New Roman" w:cs="Times New Roman"/>
          <w:spacing w:val="-3"/>
        </w:rPr>
        <w:t>Id.</w:t>
      </w:r>
    </w:p>
    <w:p w:rsidR="003542CC" w:rsidRDefault="003542CC" w:rsidP="00956741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509EC" w:rsidRDefault="00813940" w:rsidP="00956741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The </w:t>
      </w:r>
      <w:r w:rsidR="003F1504">
        <w:rPr>
          <w:rFonts w:ascii="Times New Roman" w:hAnsi="Times New Roman" w:cs="Times New Roman"/>
          <w:spacing w:val="-3"/>
        </w:rPr>
        <w:t xml:space="preserve">undersigned finds the </w:t>
      </w:r>
      <w:r w:rsidR="00C509EC">
        <w:rPr>
          <w:rFonts w:ascii="Times New Roman" w:hAnsi="Times New Roman" w:cs="Times New Roman"/>
          <w:spacing w:val="-3"/>
        </w:rPr>
        <w:t>m</w:t>
      </w:r>
      <w:r w:rsidR="003A4383">
        <w:rPr>
          <w:rFonts w:ascii="Times New Roman" w:hAnsi="Times New Roman" w:cs="Times New Roman"/>
          <w:spacing w:val="-3"/>
        </w:rPr>
        <w:t xml:space="preserve">otion </w:t>
      </w:r>
      <w:r w:rsidR="003F1504">
        <w:rPr>
          <w:rFonts w:ascii="Times New Roman" w:hAnsi="Times New Roman" w:cs="Times New Roman"/>
          <w:spacing w:val="-3"/>
        </w:rPr>
        <w:t>states good cause</w:t>
      </w:r>
      <w:r w:rsidR="000751B2">
        <w:rPr>
          <w:rFonts w:ascii="Times New Roman" w:hAnsi="Times New Roman" w:cs="Times New Roman"/>
          <w:spacing w:val="-3"/>
        </w:rPr>
        <w:t xml:space="preserve"> to warrant a continuance because</w:t>
      </w:r>
      <w:r w:rsidR="00536F9C">
        <w:rPr>
          <w:rFonts w:ascii="Times New Roman" w:hAnsi="Times New Roman" w:cs="Times New Roman"/>
          <w:spacing w:val="-3"/>
        </w:rPr>
        <w:t xml:space="preserve"> </w:t>
      </w:r>
      <w:r w:rsidR="00C509EC">
        <w:rPr>
          <w:rFonts w:ascii="Times New Roman" w:hAnsi="Times New Roman" w:cs="Times New Roman"/>
          <w:spacing w:val="-3"/>
        </w:rPr>
        <w:t xml:space="preserve">Respondent’s counsel’s </w:t>
      </w:r>
      <w:r w:rsidR="000751B2">
        <w:rPr>
          <w:rFonts w:ascii="Times New Roman" w:hAnsi="Times New Roman" w:cs="Times New Roman"/>
          <w:spacing w:val="-3"/>
        </w:rPr>
        <w:t xml:space="preserve">has </w:t>
      </w:r>
      <w:r w:rsidR="00C509EC">
        <w:rPr>
          <w:rFonts w:ascii="Times New Roman" w:hAnsi="Times New Roman" w:cs="Times New Roman"/>
          <w:spacing w:val="-3"/>
        </w:rPr>
        <w:t>conflicting hearing</w:t>
      </w:r>
      <w:r w:rsidR="003542CC">
        <w:rPr>
          <w:rFonts w:ascii="Times New Roman" w:hAnsi="Times New Roman" w:cs="Times New Roman"/>
          <w:spacing w:val="-3"/>
        </w:rPr>
        <w:t>/trial</w:t>
      </w:r>
      <w:r w:rsidR="00C509EC">
        <w:rPr>
          <w:rFonts w:ascii="Times New Roman" w:hAnsi="Times New Roman" w:cs="Times New Roman"/>
          <w:spacing w:val="-3"/>
        </w:rPr>
        <w:t xml:space="preserve"> </w:t>
      </w:r>
      <w:r w:rsidR="00F310A6">
        <w:rPr>
          <w:rFonts w:ascii="Times New Roman" w:hAnsi="Times New Roman" w:cs="Times New Roman"/>
          <w:spacing w:val="-3"/>
        </w:rPr>
        <w:t>schedule</w:t>
      </w:r>
      <w:r w:rsidR="00536F9C">
        <w:rPr>
          <w:rFonts w:ascii="Times New Roman" w:hAnsi="Times New Roman" w:cs="Times New Roman"/>
          <w:spacing w:val="-3"/>
        </w:rPr>
        <w:t xml:space="preserve">.  </w:t>
      </w:r>
      <w:r>
        <w:rPr>
          <w:rFonts w:ascii="Times New Roman" w:hAnsi="Times New Roman" w:cs="Times New Roman"/>
          <w:spacing w:val="-3"/>
        </w:rPr>
        <w:t xml:space="preserve">A </w:t>
      </w:r>
      <w:r w:rsidR="000751B2">
        <w:rPr>
          <w:rFonts w:ascii="Times New Roman" w:hAnsi="Times New Roman" w:cs="Times New Roman"/>
          <w:spacing w:val="-3"/>
        </w:rPr>
        <w:t>n</w:t>
      </w:r>
      <w:r>
        <w:rPr>
          <w:rFonts w:ascii="Times New Roman" w:hAnsi="Times New Roman" w:cs="Times New Roman"/>
          <w:spacing w:val="-3"/>
        </w:rPr>
        <w:t>otice cance</w:t>
      </w:r>
      <w:r w:rsidR="0074668C">
        <w:rPr>
          <w:rFonts w:ascii="Times New Roman" w:hAnsi="Times New Roman" w:cs="Times New Roman"/>
          <w:spacing w:val="-3"/>
        </w:rPr>
        <w:t>l</w:t>
      </w:r>
      <w:r>
        <w:rPr>
          <w:rFonts w:ascii="Times New Roman" w:hAnsi="Times New Roman" w:cs="Times New Roman"/>
          <w:spacing w:val="-3"/>
        </w:rPr>
        <w:t xml:space="preserve">ling the current hearing date and rescheduling </w:t>
      </w:r>
      <w:r w:rsidR="0074668C">
        <w:rPr>
          <w:rFonts w:ascii="Times New Roman" w:hAnsi="Times New Roman" w:cs="Times New Roman"/>
          <w:spacing w:val="-3"/>
        </w:rPr>
        <w:t>the hearing</w:t>
      </w:r>
      <w:r>
        <w:rPr>
          <w:rFonts w:ascii="Times New Roman" w:hAnsi="Times New Roman" w:cs="Times New Roman"/>
          <w:spacing w:val="-3"/>
        </w:rPr>
        <w:t xml:space="preserve"> will be issued.  </w:t>
      </w:r>
    </w:p>
    <w:p w:rsidR="0042277E" w:rsidRDefault="00C509EC" w:rsidP="00956741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ab/>
      </w:r>
      <w:r>
        <w:rPr>
          <w:rFonts w:ascii="Times New Roman" w:hAnsi="Times New Roman" w:cs="Times New Roman"/>
          <w:spacing w:val="-3"/>
        </w:rPr>
        <w:tab/>
        <w:t>The</w:t>
      </w:r>
      <w:r w:rsidR="00813940">
        <w:rPr>
          <w:rFonts w:ascii="Times New Roman" w:hAnsi="Times New Roman" w:cs="Times New Roman"/>
          <w:spacing w:val="-3"/>
        </w:rPr>
        <w:t xml:space="preserve"> parties are encouraged to talk with each other to resolve this matter or some portion thereof</w:t>
      </w:r>
      <w:r w:rsidR="00FF44E6">
        <w:rPr>
          <w:rFonts w:ascii="Times New Roman" w:hAnsi="Times New Roman" w:cs="Times New Roman"/>
          <w:spacing w:val="-3"/>
        </w:rPr>
        <w:t>.</w:t>
      </w:r>
      <w:r w:rsidR="00813940">
        <w:rPr>
          <w:rFonts w:ascii="Times New Roman" w:hAnsi="Times New Roman" w:cs="Times New Roman"/>
          <w:spacing w:val="-3"/>
        </w:rPr>
        <w:t xml:space="preserve"> </w:t>
      </w:r>
      <w:r w:rsidR="007D3C62">
        <w:rPr>
          <w:rFonts w:ascii="Times New Roman" w:hAnsi="Times New Roman" w:cs="Times New Roman"/>
          <w:spacing w:val="-3"/>
        </w:rPr>
        <w:t xml:space="preserve"> </w:t>
      </w:r>
      <w:r w:rsidR="00FF44E6">
        <w:rPr>
          <w:rFonts w:ascii="Times New Roman" w:hAnsi="Times New Roman" w:cs="Times New Roman"/>
          <w:spacing w:val="-3"/>
        </w:rPr>
        <w:t>I</w:t>
      </w:r>
      <w:r w:rsidR="00813940">
        <w:rPr>
          <w:rFonts w:ascii="Times New Roman" w:hAnsi="Times New Roman" w:cs="Times New Roman"/>
          <w:spacing w:val="-3"/>
        </w:rPr>
        <w:t>t is the Commission’s policy to encourage settlement</w:t>
      </w:r>
      <w:r w:rsidR="007D3C62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>.</w:t>
      </w:r>
      <w:r w:rsidR="004F3ECC">
        <w:rPr>
          <w:rFonts w:ascii="Times New Roman" w:hAnsi="Times New Roman" w:cs="Times New Roman"/>
          <w:spacing w:val="-3"/>
        </w:rPr>
        <w:t xml:space="preserve"> </w:t>
      </w:r>
      <w:r w:rsidR="00510231">
        <w:rPr>
          <w:rFonts w:ascii="Times New Roman" w:hAnsi="Times New Roman" w:cs="Times New Roman"/>
          <w:spacing w:val="-3"/>
        </w:rPr>
        <w:t xml:space="preserve"> </w:t>
      </w:r>
      <w:r w:rsidR="00813940">
        <w:rPr>
          <w:rFonts w:ascii="Times New Roman" w:hAnsi="Times New Roman" w:cs="Times New Roman"/>
          <w:spacing w:val="-3"/>
        </w:rPr>
        <w:t>52 Pa.Code §</w:t>
      </w:r>
      <w:r>
        <w:rPr>
          <w:rFonts w:ascii="Times New Roman" w:hAnsi="Times New Roman" w:cs="Times New Roman"/>
          <w:spacing w:val="-3"/>
        </w:rPr>
        <w:t xml:space="preserve"> </w:t>
      </w:r>
      <w:r w:rsidR="00813940">
        <w:rPr>
          <w:rFonts w:ascii="Times New Roman" w:hAnsi="Times New Roman" w:cs="Times New Roman"/>
          <w:spacing w:val="-3"/>
        </w:rPr>
        <w:t>5.231</w:t>
      </w:r>
      <w:r w:rsidR="004F3ECC">
        <w:rPr>
          <w:rFonts w:ascii="Times New Roman" w:hAnsi="Times New Roman" w:cs="Times New Roman"/>
          <w:spacing w:val="-3"/>
        </w:rPr>
        <w:t>.</w:t>
      </w:r>
      <w:r w:rsidR="00382B42">
        <w:rPr>
          <w:rFonts w:ascii="Times New Roman" w:hAnsi="Times New Roman" w:cs="Times New Roman"/>
          <w:spacing w:val="-3"/>
        </w:rPr>
        <w:t xml:space="preserve"> </w:t>
      </w:r>
      <w:r w:rsidR="00F74511">
        <w:rPr>
          <w:rFonts w:ascii="Times New Roman" w:hAnsi="Times New Roman" w:cs="Times New Roman"/>
          <w:spacing w:val="-3"/>
        </w:rPr>
        <w:t xml:space="preserve"> </w:t>
      </w:r>
    </w:p>
    <w:p w:rsidR="00FC6B9B" w:rsidRDefault="00FC6B9B" w:rsidP="00956741">
      <w:pPr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</w:p>
    <w:p w:rsidR="00813940" w:rsidRDefault="00813940" w:rsidP="00956741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THEREFORE,</w:t>
      </w:r>
    </w:p>
    <w:p w:rsidR="00813940" w:rsidRDefault="00813940" w:rsidP="00956741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813940" w:rsidRDefault="00813940" w:rsidP="00956741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IT IS ORDERED</w:t>
      </w:r>
      <w:r w:rsidR="00397839">
        <w:rPr>
          <w:rFonts w:ascii="Times New Roman" w:hAnsi="Times New Roman" w:cs="Times New Roman"/>
          <w:spacing w:val="-3"/>
        </w:rPr>
        <w:t>:</w:t>
      </w:r>
    </w:p>
    <w:p w:rsidR="00813940" w:rsidRDefault="00813940" w:rsidP="00956741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813940" w:rsidRDefault="00813940" w:rsidP="00956741">
      <w:pPr>
        <w:pStyle w:val="ParaTab1"/>
        <w:numPr>
          <w:ilvl w:val="0"/>
          <w:numId w:val="1"/>
        </w:numPr>
        <w:tabs>
          <w:tab w:val="clear" w:pos="2226"/>
          <w:tab w:val="num" w:pos="-48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the continuance requested by </w:t>
      </w:r>
      <w:r w:rsidR="00A377D0">
        <w:rPr>
          <w:rFonts w:ascii="Times New Roman" w:hAnsi="Times New Roman" w:cs="Times New Roman"/>
          <w:spacing w:val="-3"/>
        </w:rPr>
        <w:t xml:space="preserve">Respondent </w:t>
      </w:r>
      <w:r w:rsidR="003542CC">
        <w:rPr>
          <w:rFonts w:ascii="Times New Roman" w:hAnsi="Times New Roman" w:cs="Times New Roman"/>
          <w:spacing w:val="-3"/>
        </w:rPr>
        <w:t>Duquesne Light Company</w:t>
      </w:r>
      <w:r w:rsidR="004F3ECC">
        <w:rPr>
          <w:rFonts w:ascii="Times New Roman" w:hAnsi="Times New Roman" w:cs="Times New Roman"/>
          <w:spacing w:val="-3"/>
        </w:rPr>
        <w:t xml:space="preserve"> </w:t>
      </w:r>
      <w:r w:rsidR="00EF5487">
        <w:rPr>
          <w:rFonts w:ascii="Times New Roman" w:hAnsi="Times New Roman" w:cs="Times New Roman"/>
          <w:spacing w:val="-3"/>
        </w:rPr>
        <w:t xml:space="preserve">in the matter </w:t>
      </w:r>
      <w:r>
        <w:rPr>
          <w:rFonts w:ascii="Times New Roman" w:hAnsi="Times New Roman" w:cs="Times New Roman"/>
          <w:spacing w:val="-3"/>
        </w:rPr>
        <w:t xml:space="preserve">of </w:t>
      </w:r>
      <w:r w:rsidR="003542CC">
        <w:rPr>
          <w:rFonts w:ascii="Times New Roman" w:hAnsi="Times New Roman" w:cs="Times New Roman"/>
          <w:spacing w:val="-3"/>
        </w:rPr>
        <w:t xml:space="preserve">Robert Dean v. Duquesne Light Company </w:t>
      </w:r>
      <w:r>
        <w:rPr>
          <w:rFonts w:ascii="Times New Roman" w:hAnsi="Times New Roman" w:cs="Times New Roman"/>
          <w:spacing w:val="-3"/>
        </w:rPr>
        <w:t xml:space="preserve">at Docket No. </w:t>
      </w:r>
      <w:r w:rsidR="00A377D0">
        <w:rPr>
          <w:rFonts w:ascii="Times New Roman" w:hAnsi="Times New Roman" w:cs="Times New Roman"/>
          <w:spacing w:val="-3"/>
        </w:rPr>
        <w:t>C</w:t>
      </w:r>
      <w:r w:rsidR="00510231">
        <w:rPr>
          <w:rFonts w:ascii="Times New Roman" w:hAnsi="Times New Roman" w:cs="Times New Roman"/>
          <w:spacing w:val="-3"/>
        </w:rPr>
        <w:noBreakHyphen/>
      </w:r>
      <w:r w:rsidR="006144FE">
        <w:rPr>
          <w:rFonts w:ascii="Times New Roman" w:hAnsi="Times New Roman" w:cs="Times New Roman"/>
          <w:spacing w:val="-3"/>
        </w:rPr>
        <w:t>20</w:t>
      </w:r>
      <w:r w:rsidR="006F10A2">
        <w:rPr>
          <w:rFonts w:ascii="Times New Roman" w:hAnsi="Times New Roman" w:cs="Times New Roman"/>
          <w:spacing w:val="-3"/>
        </w:rPr>
        <w:t>1</w:t>
      </w:r>
      <w:r w:rsidR="003542CC">
        <w:rPr>
          <w:rFonts w:ascii="Times New Roman" w:hAnsi="Times New Roman" w:cs="Times New Roman"/>
          <w:spacing w:val="-3"/>
        </w:rPr>
        <w:t>5</w:t>
      </w:r>
      <w:r w:rsidR="006144FE">
        <w:rPr>
          <w:rFonts w:ascii="Times New Roman" w:hAnsi="Times New Roman" w:cs="Times New Roman"/>
          <w:spacing w:val="-3"/>
        </w:rPr>
        <w:t>-2</w:t>
      </w:r>
      <w:r w:rsidR="00A377D0">
        <w:rPr>
          <w:rFonts w:ascii="Times New Roman" w:hAnsi="Times New Roman" w:cs="Times New Roman"/>
          <w:spacing w:val="-3"/>
        </w:rPr>
        <w:t>5</w:t>
      </w:r>
      <w:r w:rsidR="003542CC">
        <w:rPr>
          <w:rFonts w:ascii="Times New Roman" w:hAnsi="Times New Roman" w:cs="Times New Roman"/>
          <w:spacing w:val="-3"/>
        </w:rPr>
        <w:t>05667</w:t>
      </w:r>
      <w:r>
        <w:rPr>
          <w:rFonts w:ascii="Times New Roman" w:hAnsi="Times New Roman" w:cs="Times New Roman"/>
          <w:spacing w:val="-3"/>
        </w:rPr>
        <w:t xml:space="preserve"> is granted.</w:t>
      </w:r>
    </w:p>
    <w:p w:rsidR="009A2E19" w:rsidRDefault="009A2E19" w:rsidP="00956741">
      <w:pPr>
        <w:pStyle w:val="ParaTab1"/>
        <w:spacing w:line="360" w:lineRule="auto"/>
        <w:ind w:left="1080" w:firstLine="0"/>
        <w:rPr>
          <w:rFonts w:ascii="Times New Roman" w:hAnsi="Times New Roman" w:cs="Times New Roman"/>
          <w:spacing w:val="-3"/>
        </w:rPr>
      </w:pPr>
    </w:p>
    <w:p w:rsidR="00813940" w:rsidRDefault="00813940" w:rsidP="00956741">
      <w:pPr>
        <w:pStyle w:val="ParaTab1"/>
        <w:numPr>
          <w:ilvl w:val="0"/>
          <w:numId w:val="1"/>
        </w:numPr>
        <w:tabs>
          <w:tab w:val="clear" w:pos="2226"/>
          <w:tab w:val="num" w:pos="-3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That th</w:t>
      </w:r>
      <w:r w:rsidR="001E3348">
        <w:rPr>
          <w:rFonts w:ascii="Times New Roman" w:hAnsi="Times New Roman" w:cs="Times New Roman"/>
          <w:spacing w:val="-3"/>
        </w:rPr>
        <w:t>e</w:t>
      </w:r>
      <w:r w:rsidR="00834D72">
        <w:rPr>
          <w:rFonts w:ascii="Times New Roman" w:hAnsi="Times New Roman" w:cs="Times New Roman"/>
          <w:spacing w:val="-3"/>
        </w:rPr>
        <w:t xml:space="preserve"> </w:t>
      </w:r>
      <w:r w:rsidR="006F10A2">
        <w:rPr>
          <w:rFonts w:ascii="Times New Roman" w:hAnsi="Times New Roman" w:cs="Times New Roman"/>
          <w:spacing w:val="-3"/>
        </w:rPr>
        <w:t>S</w:t>
      </w:r>
      <w:r w:rsidR="001E3348">
        <w:rPr>
          <w:rFonts w:ascii="Times New Roman" w:hAnsi="Times New Roman" w:cs="Times New Roman"/>
          <w:spacing w:val="-3"/>
        </w:rPr>
        <w:t xml:space="preserve">cheduling </w:t>
      </w:r>
      <w:r w:rsidR="006F10A2">
        <w:rPr>
          <w:rFonts w:ascii="Times New Roman" w:hAnsi="Times New Roman" w:cs="Times New Roman"/>
          <w:spacing w:val="-3"/>
        </w:rPr>
        <w:t>S</w:t>
      </w:r>
      <w:r w:rsidR="001E3348">
        <w:rPr>
          <w:rFonts w:ascii="Times New Roman" w:hAnsi="Times New Roman" w:cs="Times New Roman"/>
          <w:spacing w:val="-3"/>
        </w:rPr>
        <w:t xml:space="preserve">taff of the Office of Administrative </w:t>
      </w:r>
      <w:r w:rsidR="00140F5C">
        <w:rPr>
          <w:rFonts w:ascii="Times New Roman" w:hAnsi="Times New Roman" w:cs="Times New Roman"/>
          <w:spacing w:val="-3"/>
        </w:rPr>
        <w:t>L</w:t>
      </w:r>
      <w:r w:rsidR="001E3348">
        <w:rPr>
          <w:rFonts w:ascii="Times New Roman" w:hAnsi="Times New Roman" w:cs="Times New Roman"/>
          <w:spacing w:val="-3"/>
        </w:rPr>
        <w:t>aw Judge shall reschedule th</w:t>
      </w:r>
      <w:r>
        <w:rPr>
          <w:rFonts w:ascii="Times New Roman" w:hAnsi="Times New Roman" w:cs="Times New Roman"/>
          <w:spacing w:val="-3"/>
        </w:rPr>
        <w:t xml:space="preserve">is matter for </w:t>
      </w:r>
      <w:r w:rsidR="006F10A2">
        <w:rPr>
          <w:rFonts w:ascii="Times New Roman" w:hAnsi="Times New Roman" w:cs="Times New Roman"/>
          <w:spacing w:val="-3"/>
        </w:rPr>
        <w:t xml:space="preserve">a telephonic </w:t>
      </w:r>
      <w:r>
        <w:rPr>
          <w:rFonts w:ascii="Times New Roman" w:hAnsi="Times New Roman" w:cs="Times New Roman"/>
          <w:spacing w:val="-3"/>
        </w:rPr>
        <w:t>hearing</w:t>
      </w:r>
      <w:r w:rsidR="006F10A2">
        <w:rPr>
          <w:rFonts w:ascii="Times New Roman" w:hAnsi="Times New Roman" w:cs="Times New Roman"/>
          <w:spacing w:val="-3"/>
        </w:rPr>
        <w:t xml:space="preserve"> </w:t>
      </w:r>
      <w:r w:rsidR="008C34C0">
        <w:rPr>
          <w:rFonts w:ascii="Times New Roman" w:hAnsi="Times New Roman" w:cs="Times New Roman"/>
          <w:spacing w:val="-3"/>
        </w:rPr>
        <w:t>and the parties so notified</w:t>
      </w:r>
      <w:r w:rsidR="000244E9">
        <w:rPr>
          <w:rFonts w:ascii="Times New Roman" w:hAnsi="Times New Roman" w:cs="Times New Roman"/>
          <w:spacing w:val="-3"/>
        </w:rPr>
        <w:t xml:space="preserve"> in writing</w:t>
      </w:r>
      <w:r>
        <w:rPr>
          <w:rFonts w:ascii="Times New Roman" w:hAnsi="Times New Roman" w:cs="Times New Roman"/>
          <w:spacing w:val="-3"/>
        </w:rPr>
        <w:t>.</w:t>
      </w:r>
    </w:p>
    <w:p w:rsidR="006B138E" w:rsidRDefault="006B138E" w:rsidP="00956741">
      <w:pPr>
        <w:pStyle w:val="ListParagraph"/>
        <w:spacing w:line="360" w:lineRule="auto"/>
        <w:rPr>
          <w:rFonts w:ascii="Times New Roman" w:hAnsi="Times New Roman" w:cs="Times New Roman"/>
          <w:spacing w:val="-3"/>
        </w:rPr>
      </w:pPr>
    </w:p>
    <w:p w:rsidR="00EB2F95" w:rsidRDefault="00060E52" w:rsidP="0081394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49530</wp:posOffset>
            </wp:positionV>
            <wp:extent cx="2231390" cy="940435"/>
            <wp:effectExtent l="0" t="0" r="0" b="0"/>
            <wp:wrapNone/>
            <wp:docPr id="2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940" w:rsidRPr="001759AF" w:rsidRDefault="00813940" w:rsidP="00813940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1759AF">
        <w:rPr>
          <w:rFonts w:ascii="Times New Roman" w:hAnsi="Times New Roman" w:cs="Times New Roman"/>
          <w:spacing w:val="-3"/>
        </w:rPr>
        <w:t>Date:</w:t>
      </w:r>
      <w:r w:rsidR="00B16ECE">
        <w:rPr>
          <w:rFonts w:ascii="Times New Roman" w:hAnsi="Times New Roman" w:cs="Times New Roman"/>
          <w:spacing w:val="-3"/>
        </w:rPr>
        <w:t xml:space="preserve">  </w:t>
      </w:r>
      <w:r w:rsidR="003542CC" w:rsidRPr="003542CC">
        <w:rPr>
          <w:rFonts w:ascii="Times New Roman" w:hAnsi="Times New Roman" w:cs="Times New Roman"/>
          <w:spacing w:val="-3"/>
          <w:u w:val="single"/>
        </w:rPr>
        <w:t>November 1</w:t>
      </w:r>
      <w:r w:rsidR="00A1639F">
        <w:rPr>
          <w:rFonts w:ascii="Times New Roman" w:hAnsi="Times New Roman" w:cs="Times New Roman"/>
          <w:spacing w:val="-3"/>
          <w:u w:val="single"/>
        </w:rPr>
        <w:t>7</w:t>
      </w:r>
      <w:r w:rsidR="003542CC" w:rsidRPr="003542CC">
        <w:rPr>
          <w:rFonts w:ascii="Times New Roman" w:hAnsi="Times New Roman" w:cs="Times New Roman"/>
          <w:spacing w:val="-3"/>
          <w:u w:val="single"/>
        </w:rPr>
        <w:t>, 2015</w:t>
      </w:r>
      <w:r w:rsidRPr="001759AF">
        <w:rPr>
          <w:rFonts w:ascii="Times New Roman" w:hAnsi="Times New Roman" w:cs="Times New Roman"/>
          <w:spacing w:val="-3"/>
        </w:rPr>
        <w:tab/>
      </w:r>
      <w:r w:rsidR="00D85F92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:rsidR="00EB2F95" w:rsidRDefault="00813940" w:rsidP="001E3348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1759AF">
        <w:rPr>
          <w:rFonts w:ascii="Times New Roman" w:hAnsi="Times New Roman" w:cs="Times New Roman"/>
          <w:spacing w:val="-3"/>
        </w:rPr>
        <w:tab/>
      </w:r>
      <w:r w:rsidRPr="001759AF">
        <w:rPr>
          <w:rFonts w:ascii="Times New Roman" w:hAnsi="Times New Roman" w:cs="Times New Roman"/>
          <w:spacing w:val="-3"/>
        </w:rPr>
        <w:tab/>
      </w:r>
      <w:r w:rsidRPr="001759AF">
        <w:rPr>
          <w:rFonts w:ascii="Times New Roman" w:hAnsi="Times New Roman" w:cs="Times New Roman"/>
          <w:spacing w:val="-3"/>
        </w:rPr>
        <w:tab/>
      </w:r>
      <w:r w:rsidRPr="001759AF">
        <w:rPr>
          <w:rFonts w:ascii="Times New Roman" w:hAnsi="Times New Roman" w:cs="Times New Roman"/>
          <w:spacing w:val="-3"/>
        </w:rPr>
        <w:tab/>
      </w:r>
      <w:r w:rsidRPr="001759AF">
        <w:rPr>
          <w:rFonts w:ascii="Times New Roman" w:hAnsi="Times New Roman" w:cs="Times New Roman"/>
          <w:spacing w:val="-3"/>
        </w:rPr>
        <w:tab/>
      </w:r>
      <w:r w:rsidRPr="001759AF">
        <w:rPr>
          <w:rFonts w:ascii="Times New Roman" w:hAnsi="Times New Roman" w:cs="Times New Roman"/>
          <w:spacing w:val="-3"/>
        </w:rPr>
        <w:tab/>
      </w:r>
    </w:p>
    <w:p w:rsidR="002A6C97" w:rsidRDefault="002A6C97" w:rsidP="006F10A2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</w:pPr>
    </w:p>
    <w:p w:rsidR="003752CA" w:rsidRDefault="003752CA" w:rsidP="006F10A2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</w:pPr>
    </w:p>
    <w:p w:rsidR="003752CA" w:rsidRDefault="003752CA" w:rsidP="006F10A2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</w:pPr>
    </w:p>
    <w:p w:rsidR="0075299D" w:rsidRDefault="0075299D" w:rsidP="003752CA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  <w:sectPr w:rsidR="0075299D" w:rsidSect="005102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</w:p>
    <w:p w:rsidR="008743F8" w:rsidRDefault="008743F8" w:rsidP="003752CA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</w:pPr>
    </w:p>
    <w:p w:rsidR="003752CA" w:rsidRDefault="003752CA" w:rsidP="003752CA">
      <w:pPr>
        <w:pStyle w:val="ParaTab1"/>
        <w:ind w:firstLine="0"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8743F8" w:rsidRDefault="008743F8" w:rsidP="003752CA">
      <w:pPr>
        <w:pStyle w:val="ParaTab1"/>
        <w:ind w:firstLine="0"/>
        <w:rPr>
          <w:rFonts w:ascii="Times New Roman" w:hAnsi="Times New Roman" w:cs="Times New Roman"/>
          <w:b/>
          <w:spacing w:val="-3"/>
          <w:u w:val="single"/>
        </w:rPr>
      </w:pPr>
    </w:p>
    <w:p w:rsidR="0015549B" w:rsidRDefault="0015549B" w:rsidP="0074668C">
      <w:pPr>
        <w:rPr>
          <w:rFonts w:ascii="Microsoft Sans Serif"/>
          <w:b/>
          <w:u w:val="single"/>
        </w:rPr>
        <w:sectPr w:rsidR="0015549B" w:rsidSect="0015549B"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</w:p>
    <w:p w:rsidR="008743F8" w:rsidRDefault="008743F8" w:rsidP="003542CC">
      <w:pPr>
        <w:rPr>
          <w:rFonts w:ascii="Times New Roman" w:hAnsi="Times New Roman" w:cs="Times New Roman"/>
          <w:b/>
          <w:spacing w:val="-3"/>
          <w:u w:val="single"/>
        </w:rPr>
      </w:pPr>
    </w:p>
    <w:p w:rsidR="003170A6" w:rsidRDefault="003170A6" w:rsidP="003170A6">
      <w:pPr>
        <w:contextualSpacing/>
        <w:rPr>
          <w:rFonts w:ascii="Microsoft Sans Serif"/>
          <w:b/>
        </w:rPr>
      </w:pPr>
      <w:r>
        <w:rPr>
          <w:rFonts w:ascii="Microsoft Sans Serif"/>
          <w:b/>
          <w:u w:val="single"/>
        </w:rPr>
        <w:t>C-2015-2505667 - ROBERT DEAN v. DUQUESNE LIGHT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ROBERT DEAN</w:t>
      </w:r>
      <w:r>
        <w:rPr>
          <w:rFonts w:ascii="Microsoft Sans Serif"/>
        </w:rPr>
        <w:cr/>
        <w:t>5704 LIBRARY RD</w:t>
      </w:r>
      <w:r>
        <w:rPr>
          <w:rFonts w:ascii="Microsoft Sans Serif"/>
        </w:rPr>
        <w:cr/>
        <w:t>BETHEL PARK PA  15102</w:t>
      </w:r>
      <w:r>
        <w:rPr>
          <w:rFonts w:ascii="Microsoft Sans Serif"/>
        </w:rPr>
        <w:cr/>
      </w:r>
      <w:r w:rsidRPr="00563040">
        <w:rPr>
          <w:rFonts w:ascii="Microsoft Sans Serif"/>
          <w:b/>
        </w:rPr>
        <w:t>412.377.1002</w:t>
      </w:r>
      <w:r w:rsidRPr="00563040">
        <w:rPr>
          <w:rFonts w:ascii="Microsoft Sans Serif"/>
          <w:b/>
        </w:rPr>
        <w:cr/>
      </w:r>
    </w:p>
    <w:p w:rsidR="003170A6" w:rsidRDefault="003170A6" w:rsidP="003170A6">
      <w:pPr>
        <w:contextualSpacing/>
        <w:rPr>
          <w:rFonts w:ascii="Microsoft Sans Serif"/>
          <w:b/>
        </w:rPr>
      </w:pPr>
      <w:r>
        <w:rPr>
          <w:rFonts w:ascii="Microsoft Sans Serif"/>
        </w:rPr>
        <w:t>JEREMY V FARRELL ESQUIRE</w:t>
      </w:r>
      <w:r>
        <w:rPr>
          <w:rFonts w:ascii="Microsoft Sans Serif"/>
        </w:rPr>
        <w:cr/>
        <w:t>TUCKER ARENSBERG PC</w:t>
      </w:r>
      <w:r>
        <w:rPr>
          <w:rFonts w:ascii="Microsoft Sans Serif"/>
        </w:rPr>
        <w:cr/>
        <w:t>1500 ONE PPG PLACE</w:t>
      </w:r>
      <w:r>
        <w:rPr>
          <w:rFonts w:ascii="Microsoft Sans Serif"/>
        </w:rPr>
        <w:cr/>
        <w:t>PITTSBURGH PA  15222</w:t>
      </w:r>
      <w:r>
        <w:rPr>
          <w:rFonts w:ascii="Microsoft Sans Serif"/>
        </w:rPr>
        <w:cr/>
      </w:r>
      <w:r>
        <w:rPr>
          <w:rFonts w:ascii="Microsoft Sans Serif"/>
          <w:b/>
        </w:rPr>
        <w:t>412.594.</w:t>
      </w:r>
      <w:r w:rsidRPr="00563040">
        <w:rPr>
          <w:rFonts w:ascii="Microsoft Sans Serif"/>
          <w:b/>
        </w:rPr>
        <w:t>3938</w:t>
      </w:r>
    </w:p>
    <w:p w:rsidR="003170A6" w:rsidRPr="00563040" w:rsidRDefault="003170A6" w:rsidP="003170A6">
      <w:pPr>
        <w:contextualSpacing/>
        <w:rPr>
          <w:rFonts w:ascii="Microsoft Sans Serif"/>
          <w:i/>
        </w:rPr>
      </w:pPr>
      <w:r w:rsidRPr="00563040">
        <w:rPr>
          <w:rFonts w:ascii="Microsoft Sans Serif"/>
          <w:i/>
        </w:rPr>
        <w:t>Accepts E-service</w:t>
      </w:r>
    </w:p>
    <w:p w:rsidR="003170A6" w:rsidRDefault="003170A6" w:rsidP="003170A6">
      <w:pPr>
        <w:contextualSpacing/>
        <w:rPr>
          <w:rFonts w:ascii="Microsoft Sans Serif"/>
          <w:b/>
        </w:rPr>
      </w:pPr>
      <w:r w:rsidRPr="00563040">
        <w:rPr>
          <w:rFonts w:ascii="Microsoft Sans Serif"/>
          <w:i/>
        </w:rPr>
        <w:t xml:space="preserve">Representing </w:t>
      </w:r>
      <w:r>
        <w:rPr>
          <w:rFonts w:ascii="Microsoft Sans Serif"/>
          <w:i/>
        </w:rPr>
        <w:t>Duquesne light Company</w:t>
      </w:r>
      <w:r w:rsidRPr="00563040">
        <w:rPr>
          <w:rFonts w:ascii="Microsoft Sans Serif"/>
          <w:i/>
        </w:rPr>
        <w:cr/>
      </w:r>
      <w:r>
        <w:rPr>
          <w:rFonts w:ascii="Microsoft Sans Serif"/>
        </w:rPr>
        <w:cr/>
        <w:t>LINDSAY N KREPPEL ATTORNEY</w:t>
      </w:r>
      <w:r>
        <w:rPr>
          <w:rFonts w:ascii="Microsoft Sans Serif"/>
        </w:rPr>
        <w:cr/>
        <w:t>TUCKER ARENSBERG PC</w:t>
      </w:r>
      <w:r>
        <w:rPr>
          <w:rFonts w:ascii="Microsoft Sans Serif"/>
        </w:rPr>
        <w:cr/>
        <w:t>1500 ONE PPG PLACE</w:t>
      </w:r>
      <w:r>
        <w:rPr>
          <w:rFonts w:ascii="Microsoft Sans Serif"/>
        </w:rPr>
        <w:cr/>
        <w:t>PITTSBURGH PA  15222</w:t>
      </w:r>
      <w:r>
        <w:rPr>
          <w:rFonts w:ascii="Microsoft Sans Serif"/>
        </w:rPr>
        <w:cr/>
      </w:r>
      <w:r>
        <w:rPr>
          <w:rFonts w:ascii="Microsoft Sans Serif"/>
          <w:b/>
        </w:rPr>
        <w:t>412.594.</w:t>
      </w:r>
      <w:r w:rsidRPr="00563040">
        <w:rPr>
          <w:rFonts w:ascii="Microsoft Sans Serif"/>
          <w:b/>
        </w:rPr>
        <w:t>5640</w:t>
      </w:r>
    </w:p>
    <w:p w:rsidR="003170A6" w:rsidRPr="00563040" w:rsidRDefault="003170A6" w:rsidP="003170A6">
      <w:pPr>
        <w:contextualSpacing/>
        <w:rPr>
          <w:rFonts w:ascii="Microsoft Sans Serif"/>
          <w:i/>
        </w:rPr>
      </w:pPr>
      <w:r w:rsidRPr="00563040">
        <w:rPr>
          <w:rFonts w:ascii="Microsoft Sans Serif"/>
          <w:i/>
        </w:rPr>
        <w:t>Accepts E-service</w:t>
      </w:r>
    </w:p>
    <w:p w:rsidR="003170A6" w:rsidRPr="00C016A2" w:rsidRDefault="003170A6" w:rsidP="003170A6">
      <w:pPr>
        <w:tabs>
          <w:tab w:val="left" w:pos="0"/>
        </w:tabs>
        <w:jc w:val="both"/>
        <w:rPr>
          <w:b/>
        </w:rPr>
      </w:pPr>
      <w:r w:rsidRPr="00563040">
        <w:rPr>
          <w:rFonts w:ascii="Microsoft Sans Serif"/>
          <w:i/>
        </w:rPr>
        <w:t xml:space="preserve">Representing </w:t>
      </w:r>
      <w:r>
        <w:rPr>
          <w:rFonts w:ascii="Microsoft Sans Serif"/>
          <w:i/>
        </w:rPr>
        <w:t>Duquesne light Company</w:t>
      </w:r>
      <w:r w:rsidRPr="00563040">
        <w:rPr>
          <w:rFonts w:ascii="Microsoft Sans Serif"/>
          <w:i/>
        </w:rPr>
        <w:cr/>
      </w:r>
    </w:p>
    <w:p w:rsidR="003170A6" w:rsidRPr="003752CA" w:rsidRDefault="003170A6" w:rsidP="003542CC">
      <w:pPr>
        <w:rPr>
          <w:rFonts w:ascii="Times New Roman" w:hAnsi="Times New Roman" w:cs="Times New Roman"/>
          <w:b/>
          <w:spacing w:val="-3"/>
          <w:u w:val="single"/>
        </w:rPr>
      </w:pPr>
    </w:p>
    <w:sectPr w:rsidR="003170A6" w:rsidRPr="003752CA" w:rsidSect="0015549B"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F0D" w:rsidRDefault="003C3F0D">
      <w:pPr>
        <w:spacing w:line="20" w:lineRule="exact"/>
        <w:rPr>
          <w:sz w:val="23"/>
          <w:szCs w:val="23"/>
        </w:rPr>
      </w:pPr>
    </w:p>
  </w:endnote>
  <w:endnote w:type="continuationSeparator" w:id="0">
    <w:p w:rsidR="003C3F0D" w:rsidRDefault="003C3F0D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  <w:endnote w:type="continuationNotice" w:id="1">
    <w:p w:rsidR="003C3F0D" w:rsidRDefault="003C3F0D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31" w:rsidRDefault="005102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31" w:rsidRDefault="0051023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16B5">
      <w:rPr>
        <w:noProof/>
      </w:rPr>
      <w:t>2</w:t>
    </w:r>
    <w:r>
      <w:rPr>
        <w:noProof/>
      </w:rPr>
      <w:fldChar w:fldCharType="end"/>
    </w:r>
  </w:p>
  <w:p w:rsidR="004F7F07" w:rsidRDefault="004F7F07">
    <w:pPr>
      <w:pStyle w:val="Footer"/>
      <w:rPr>
        <w:sz w:val="23"/>
        <w:szCs w:val="2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31" w:rsidRDefault="00510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F0D" w:rsidRDefault="003C3F0D">
      <w:pPr>
        <w:pStyle w:val="ParaTab1"/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:rsidR="003C3F0D" w:rsidRDefault="003C3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31" w:rsidRDefault="005102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31" w:rsidRDefault="005102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31" w:rsidRDefault="005102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E9"/>
    <w:rsid w:val="00011B9C"/>
    <w:rsid w:val="000173EA"/>
    <w:rsid w:val="00021D03"/>
    <w:rsid w:val="000244E9"/>
    <w:rsid w:val="00035120"/>
    <w:rsid w:val="00052FB5"/>
    <w:rsid w:val="00060E52"/>
    <w:rsid w:val="0006235B"/>
    <w:rsid w:val="00064486"/>
    <w:rsid w:val="000661CA"/>
    <w:rsid w:val="00073A28"/>
    <w:rsid w:val="000751B2"/>
    <w:rsid w:val="00081FEB"/>
    <w:rsid w:val="00082D0F"/>
    <w:rsid w:val="00094D35"/>
    <w:rsid w:val="000A08B0"/>
    <w:rsid w:val="000A615C"/>
    <w:rsid w:val="000C0AAC"/>
    <w:rsid w:val="000C65F4"/>
    <w:rsid w:val="000D025D"/>
    <w:rsid w:val="000D0B2D"/>
    <w:rsid w:val="000D1F18"/>
    <w:rsid w:val="000E1B8E"/>
    <w:rsid w:val="001002F7"/>
    <w:rsid w:val="00105FB2"/>
    <w:rsid w:val="001305DA"/>
    <w:rsid w:val="00140890"/>
    <w:rsid w:val="00140F5C"/>
    <w:rsid w:val="00143D2B"/>
    <w:rsid w:val="00145B94"/>
    <w:rsid w:val="00147CDD"/>
    <w:rsid w:val="0015549B"/>
    <w:rsid w:val="00171D75"/>
    <w:rsid w:val="00177E9C"/>
    <w:rsid w:val="00193CC9"/>
    <w:rsid w:val="00194FD1"/>
    <w:rsid w:val="001A39E1"/>
    <w:rsid w:val="001B01D1"/>
    <w:rsid w:val="001B47BF"/>
    <w:rsid w:val="001C0BC2"/>
    <w:rsid w:val="001C0E09"/>
    <w:rsid w:val="001D3192"/>
    <w:rsid w:val="001E3348"/>
    <w:rsid w:val="00200A30"/>
    <w:rsid w:val="00221F89"/>
    <w:rsid w:val="00230C52"/>
    <w:rsid w:val="00230F3A"/>
    <w:rsid w:val="00232F55"/>
    <w:rsid w:val="002534C4"/>
    <w:rsid w:val="002568A8"/>
    <w:rsid w:val="002616F7"/>
    <w:rsid w:val="00267DCC"/>
    <w:rsid w:val="002862F4"/>
    <w:rsid w:val="00291E2C"/>
    <w:rsid w:val="002A3E99"/>
    <w:rsid w:val="002A45FE"/>
    <w:rsid w:val="002A6C97"/>
    <w:rsid w:val="002C012B"/>
    <w:rsid w:val="002C3D8B"/>
    <w:rsid w:val="002D5E3F"/>
    <w:rsid w:val="002E5F3D"/>
    <w:rsid w:val="00305C14"/>
    <w:rsid w:val="003170A6"/>
    <w:rsid w:val="003200DA"/>
    <w:rsid w:val="003407EC"/>
    <w:rsid w:val="003542CC"/>
    <w:rsid w:val="00357144"/>
    <w:rsid w:val="00373996"/>
    <w:rsid w:val="003752CA"/>
    <w:rsid w:val="003803E0"/>
    <w:rsid w:val="00382B42"/>
    <w:rsid w:val="00390001"/>
    <w:rsid w:val="00397839"/>
    <w:rsid w:val="003A16B5"/>
    <w:rsid w:val="003A4383"/>
    <w:rsid w:val="003B60F1"/>
    <w:rsid w:val="003C23FD"/>
    <w:rsid w:val="003C3F0D"/>
    <w:rsid w:val="003C6C3C"/>
    <w:rsid w:val="003D5E70"/>
    <w:rsid w:val="003E2A75"/>
    <w:rsid w:val="003F1504"/>
    <w:rsid w:val="003F76DE"/>
    <w:rsid w:val="00406FDB"/>
    <w:rsid w:val="004075D8"/>
    <w:rsid w:val="0041628B"/>
    <w:rsid w:val="0042277E"/>
    <w:rsid w:val="00435EA8"/>
    <w:rsid w:val="0043653D"/>
    <w:rsid w:val="00436AEE"/>
    <w:rsid w:val="0044182A"/>
    <w:rsid w:val="00444715"/>
    <w:rsid w:val="004757EC"/>
    <w:rsid w:val="00481BEC"/>
    <w:rsid w:val="00483F56"/>
    <w:rsid w:val="004A243A"/>
    <w:rsid w:val="004C24BE"/>
    <w:rsid w:val="004D0AA7"/>
    <w:rsid w:val="004D1722"/>
    <w:rsid w:val="004E615C"/>
    <w:rsid w:val="004F3ECC"/>
    <w:rsid w:val="004F7F07"/>
    <w:rsid w:val="00510231"/>
    <w:rsid w:val="00510545"/>
    <w:rsid w:val="00524588"/>
    <w:rsid w:val="0053227A"/>
    <w:rsid w:val="00536F9C"/>
    <w:rsid w:val="005472F5"/>
    <w:rsid w:val="0056032E"/>
    <w:rsid w:val="005648E8"/>
    <w:rsid w:val="00590E8D"/>
    <w:rsid w:val="005A624E"/>
    <w:rsid w:val="005A6828"/>
    <w:rsid w:val="005B5F35"/>
    <w:rsid w:val="005C338F"/>
    <w:rsid w:val="005C5056"/>
    <w:rsid w:val="005E5A16"/>
    <w:rsid w:val="005F4B59"/>
    <w:rsid w:val="006144FE"/>
    <w:rsid w:val="00620081"/>
    <w:rsid w:val="00623F60"/>
    <w:rsid w:val="006316BA"/>
    <w:rsid w:val="006477E9"/>
    <w:rsid w:val="00653545"/>
    <w:rsid w:val="0065795F"/>
    <w:rsid w:val="00662A34"/>
    <w:rsid w:val="00674D28"/>
    <w:rsid w:val="0068222F"/>
    <w:rsid w:val="00686604"/>
    <w:rsid w:val="00692A71"/>
    <w:rsid w:val="00693B2E"/>
    <w:rsid w:val="006A4A39"/>
    <w:rsid w:val="006B138E"/>
    <w:rsid w:val="006B7EA4"/>
    <w:rsid w:val="006C00D5"/>
    <w:rsid w:val="006E263F"/>
    <w:rsid w:val="006E5BCD"/>
    <w:rsid w:val="006F10A2"/>
    <w:rsid w:val="007024AF"/>
    <w:rsid w:val="00711100"/>
    <w:rsid w:val="00721E55"/>
    <w:rsid w:val="0072254C"/>
    <w:rsid w:val="0073672B"/>
    <w:rsid w:val="0074668C"/>
    <w:rsid w:val="0075299D"/>
    <w:rsid w:val="0077091D"/>
    <w:rsid w:val="00781193"/>
    <w:rsid w:val="00791139"/>
    <w:rsid w:val="00793DC6"/>
    <w:rsid w:val="00795A1B"/>
    <w:rsid w:val="007B2B3C"/>
    <w:rsid w:val="007B4D6C"/>
    <w:rsid w:val="007D3C62"/>
    <w:rsid w:val="00812E84"/>
    <w:rsid w:val="00813940"/>
    <w:rsid w:val="00816992"/>
    <w:rsid w:val="00820673"/>
    <w:rsid w:val="00820D49"/>
    <w:rsid w:val="00823E24"/>
    <w:rsid w:val="00827095"/>
    <w:rsid w:val="00830789"/>
    <w:rsid w:val="00834D72"/>
    <w:rsid w:val="00845980"/>
    <w:rsid w:val="008508D6"/>
    <w:rsid w:val="008654DA"/>
    <w:rsid w:val="008743F8"/>
    <w:rsid w:val="008968DE"/>
    <w:rsid w:val="008A27DF"/>
    <w:rsid w:val="008B1D90"/>
    <w:rsid w:val="008C146B"/>
    <w:rsid w:val="008C34C0"/>
    <w:rsid w:val="008D17BB"/>
    <w:rsid w:val="008F0585"/>
    <w:rsid w:val="008F14AE"/>
    <w:rsid w:val="00901100"/>
    <w:rsid w:val="00905B17"/>
    <w:rsid w:val="00915C59"/>
    <w:rsid w:val="009226AE"/>
    <w:rsid w:val="00932F9A"/>
    <w:rsid w:val="00940149"/>
    <w:rsid w:val="00943897"/>
    <w:rsid w:val="00946816"/>
    <w:rsid w:val="009471D6"/>
    <w:rsid w:val="009560D4"/>
    <w:rsid w:val="00956741"/>
    <w:rsid w:val="00957672"/>
    <w:rsid w:val="0096360C"/>
    <w:rsid w:val="00965122"/>
    <w:rsid w:val="0098102F"/>
    <w:rsid w:val="0098415F"/>
    <w:rsid w:val="009939F6"/>
    <w:rsid w:val="009A2E19"/>
    <w:rsid w:val="009A74FD"/>
    <w:rsid w:val="009C6D07"/>
    <w:rsid w:val="009D37C5"/>
    <w:rsid w:val="009D740A"/>
    <w:rsid w:val="009F1DCB"/>
    <w:rsid w:val="009F26C4"/>
    <w:rsid w:val="00A02300"/>
    <w:rsid w:val="00A1639F"/>
    <w:rsid w:val="00A30BEC"/>
    <w:rsid w:val="00A377D0"/>
    <w:rsid w:val="00A400BD"/>
    <w:rsid w:val="00A42D89"/>
    <w:rsid w:val="00A46748"/>
    <w:rsid w:val="00A6066F"/>
    <w:rsid w:val="00A77BF2"/>
    <w:rsid w:val="00A839FB"/>
    <w:rsid w:val="00A937D9"/>
    <w:rsid w:val="00A94AEE"/>
    <w:rsid w:val="00A95851"/>
    <w:rsid w:val="00AA3561"/>
    <w:rsid w:val="00AA4904"/>
    <w:rsid w:val="00AA6A77"/>
    <w:rsid w:val="00AB566A"/>
    <w:rsid w:val="00AD0EED"/>
    <w:rsid w:val="00AD4950"/>
    <w:rsid w:val="00AE199E"/>
    <w:rsid w:val="00AF1080"/>
    <w:rsid w:val="00B035CA"/>
    <w:rsid w:val="00B16ECE"/>
    <w:rsid w:val="00B45009"/>
    <w:rsid w:val="00B610AF"/>
    <w:rsid w:val="00B90367"/>
    <w:rsid w:val="00B91F61"/>
    <w:rsid w:val="00BC2A1B"/>
    <w:rsid w:val="00C1200C"/>
    <w:rsid w:val="00C30044"/>
    <w:rsid w:val="00C358AF"/>
    <w:rsid w:val="00C4747A"/>
    <w:rsid w:val="00C509EC"/>
    <w:rsid w:val="00C561F0"/>
    <w:rsid w:val="00C7789E"/>
    <w:rsid w:val="00C814E3"/>
    <w:rsid w:val="00C82A9C"/>
    <w:rsid w:val="00C96DAD"/>
    <w:rsid w:val="00CB3F7B"/>
    <w:rsid w:val="00CC582E"/>
    <w:rsid w:val="00CD05F5"/>
    <w:rsid w:val="00CE1B3E"/>
    <w:rsid w:val="00CE3C43"/>
    <w:rsid w:val="00CE585B"/>
    <w:rsid w:val="00D023F1"/>
    <w:rsid w:val="00D02B83"/>
    <w:rsid w:val="00D059E7"/>
    <w:rsid w:val="00D11907"/>
    <w:rsid w:val="00D121FE"/>
    <w:rsid w:val="00D24088"/>
    <w:rsid w:val="00D2638D"/>
    <w:rsid w:val="00D64E53"/>
    <w:rsid w:val="00D77D22"/>
    <w:rsid w:val="00D835C0"/>
    <w:rsid w:val="00D85F92"/>
    <w:rsid w:val="00DA260C"/>
    <w:rsid w:val="00DB4AFF"/>
    <w:rsid w:val="00DB4D11"/>
    <w:rsid w:val="00DC289E"/>
    <w:rsid w:val="00DD2824"/>
    <w:rsid w:val="00DE14DD"/>
    <w:rsid w:val="00DE4F54"/>
    <w:rsid w:val="00E06712"/>
    <w:rsid w:val="00E14654"/>
    <w:rsid w:val="00E24253"/>
    <w:rsid w:val="00E8085E"/>
    <w:rsid w:val="00E86ECE"/>
    <w:rsid w:val="00E97A9C"/>
    <w:rsid w:val="00E97E82"/>
    <w:rsid w:val="00EB2F95"/>
    <w:rsid w:val="00EB6EC2"/>
    <w:rsid w:val="00EC30AB"/>
    <w:rsid w:val="00EE4370"/>
    <w:rsid w:val="00EF3DF3"/>
    <w:rsid w:val="00EF5487"/>
    <w:rsid w:val="00F02796"/>
    <w:rsid w:val="00F21E60"/>
    <w:rsid w:val="00F310A6"/>
    <w:rsid w:val="00F5013F"/>
    <w:rsid w:val="00F52DB1"/>
    <w:rsid w:val="00F53CE7"/>
    <w:rsid w:val="00F5410C"/>
    <w:rsid w:val="00F65D00"/>
    <w:rsid w:val="00F74511"/>
    <w:rsid w:val="00FA36A5"/>
    <w:rsid w:val="00FC6B9B"/>
    <w:rsid w:val="00FE2A36"/>
    <w:rsid w:val="00FE4571"/>
    <w:rsid w:val="00FF28CA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C0AAC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rFonts w:cs="Times New Roman"/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0BEC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0C0AA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C0AAC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B138E"/>
    <w:pPr>
      <w:ind w:left="720"/>
    </w:pPr>
  </w:style>
  <w:style w:type="character" w:customStyle="1" w:styleId="FooterChar">
    <w:name w:val="Footer Char"/>
    <w:link w:val="Footer"/>
    <w:uiPriority w:val="99"/>
    <w:rsid w:val="00510231"/>
    <w:rPr>
      <w:rFonts w:ascii="CG Times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C0AAC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rFonts w:cs="Times New Roman"/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0BEC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0C0AA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C0AAC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B138E"/>
    <w:pPr>
      <w:ind w:left="720"/>
    </w:pPr>
  </w:style>
  <w:style w:type="character" w:customStyle="1" w:styleId="FooterChar">
    <w:name w:val="Footer Char"/>
    <w:link w:val="Footer"/>
    <w:uiPriority w:val="99"/>
    <w:rsid w:val="00510231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8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59FD9-03B3-4387-A657-6385C144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wlw</dc:creator>
  <cp:lastModifiedBy>Blanton, Leah</cp:lastModifiedBy>
  <cp:revision>11</cp:revision>
  <cp:lastPrinted>2015-11-17T16:17:00Z</cp:lastPrinted>
  <dcterms:created xsi:type="dcterms:W3CDTF">2015-11-17T16:06:00Z</dcterms:created>
  <dcterms:modified xsi:type="dcterms:W3CDTF">2015-11-17T16:38:00Z</dcterms:modified>
</cp:coreProperties>
</file>