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97089D" w:rsidRDefault="00176DE0" w:rsidP="00176DE0">
      <w:pPr>
        <w:jc w:val="center"/>
        <w:rPr>
          <w:b/>
          <w:sz w:val="24"/>
          <w:szCs w:val="24"/>
        </w:rPr>
      </w:pPr>
      <w:r w:rsidRPr="0097089D">
        <w:rPr>
          <w:b/>
          <w:sz w:val="24"/>
          <w:szCs w:val="24"/>
        </w:rPr>
        <w:t>BEFORE THE</w:t>
      </w:r>
    </w:p>
    <w:p w:rsidR="00176DE0" w:rsidRPr="0097089D" w:rsidRDefault="00176DE0" w:rsidP="00176DE0">
      <w:pPr>
        <w:jc w:val="center"/>
        <w:rPr>
          <w:b/>
          <w:sz w:val="24"/>
          <w:szCs w:val="24"/>
        </w:rPr>
      </w:pPr>
      <w:r w:rsidRPr="0097089D">
        <w:rPr>
          <w:b/>
          <w:sz w:val="24"/>
          <w:szCs w:val="24"/>
        </w:rPr>
        <w:t>PENNSYLVANIA PUBLIC UTILITY COMMISSION</w:t>
      </w:r>
    </w:p>
    <w:p w:rsidR="00176DE0" w:rsidRDefault="00176DE0" w:rsidP="00176DE0">
      <w:pPr>
        <w:jc w:val="center"/>
        <w:rPr>
          <w:sz w:val="24"/>
          <w:szCs w:val="24"/>
        </w:rPr>
      </w:pPr>
    </w:p>
    <w:p w:rsidR="0097089D" w:rsidRPr="0097089D" w:rsidRDefault="0097089D" w:rsidP="00176DE0">
      <w:pPr>
        <w:jc w:val="center"/>
        <w:rPr>
          <w:sz w:val="24"/>
          <w:szCs w:val="24"/>
        </w:rPr>
      </w:pPr>
    </w:p>
    <w:p w:rsidR="00176DE0" w:rsidRPr="0097089D" w:rsidRDefault="00176DE0" w:rsidP="00176DE0">
      <w:pPr>
        <w:jc w:val="center"/>
        <w:rPr>
          <w:sz w:val="24"/>
          <w:szCs w:val="24"/>
        </w:rPr>
      </w:pPr>
    </w:p>
    <w:p w:rsidR="00E030BF" w:rsidRPr="00E030BF" w:rsidRDefault="008E1EAD" w:rsidP="00E030BF">
      <w:pPr>
        <w:rPr>
          <w:sz w:val="24"/>
          <w:szCs w:val="24"/>
        </w:rPr>
      </w:pPr>
      <w:r>
        <w:rPr>
          <w:sz w:val="24"/>
          <w:szCs w:val="24"/>
        </w:rPr>
        <w:t>Hector Portillo</w:t>
      </w:r>
      <w:r>
        <w:rPr>
          <w:sz w:val="24"/>
          <w:szCs w:val="24"/>
        </w:rPr>
        <w:tab/>
      </w:r>
      <w:r>
        <w:rPr>
          <w:sz w:val="24"/>
          <w:szCs w:val="24"/>
        </w:rPr>
        <w:tab/>
      </w:r>
      <w:r>
        <w:rPr>
          <w:sz w:val="24"/>
          <w:szCs w:val="24"/>
        </w:rPr>
        <w:tab/>
      </w:r>
      <w:r>
        <w:rPr>
          <w:sz w:val="24"/>
          <w:szCs w:val="24"/>
        </w:rPr>
        <w:tab/>
      </w:r>
      <w:r>
        <w:rPr>
          <w:sz w:val="24"/>
          <w:szCs w:val="24"/>
        </w:rPr>
        <w:tab/>
      </w:r>
      <w:r w:rsidR="00E030BF" w:rsidRPr="00E030BF">
        <w:rPr>
          <w:sz w:val="24"/>
          <w:szCs w:val="24"/>
        </w:rPr>
        <w:tab/>
        <w:t>:</w:t>
      </w:r>
    </w:p>
    <w:p w:rsidR="00E030BF" w:rsidRPr="00E030BF" w:rsidRDefault="00E030BF" w:rsidP="00E030BF">
      <w:pPr>
        <w:rPr>
          <w:sz w:val="24"/>
          <w:szCs w:val="24"/>
        </w:rPr>
      </w:pPr>
      <w:r w:rsidRPr="00E030BF">
        <w:rPr>
          <w:sz w:val="24"/>
          <w:szCs w:val="24"/>
        </w:rPr>
        <w:tab/>
      </w:r>
      <w:r w:rsidRPr="00E030BF">
        <w:rPr>
          <w:sz w:val="24"/>
          <w:szCs w:val="24"/>
        </w:rPr>
        <w:tab/>
      </w:r>
      <w:r w:rsidRPr="00E030BF">
        <w:rPr>
          <w:sz w:val="24"/>
          <w:szCs w:val="24"/>
        </w:rPr>
        <w:tab/>
      </w:r>
      <w:r w:rsidRPr="00E030BF">
        <w:rPr>
          <w:sz w:val="24"/>
          <w:szCs w:val="24"/>
        </w:rPr>
        <w:tab/>
      </w:r>
      <w:r w:rsidRPr="00E030BF">
        <w:rPr>
          <w:sz w:val="24"/>
          <w:szCs w:val="24"/>
        </w:rPr>
        <w:tab/>
      </w:r>
      <w:r w:rsidRPr="00E030BF">
        <w:rPr>
          <w:sz w:val="24"/>
          <w:szCs w:val="24"/>
        </w:rPr>
        <w:tab/>
      </w:r>
      <w:r w:rsidR="008E1EAD">
        <w:rPr>
          <w:sz w:val="24"/>
          <w:szCs w:val="24"/>
        </w:rPr>
        <w:tab/>
        <w:t xml:space="preserve">: </w:t>
      </w:r>
    </w:p>
    <w:p w:rsidR="00E030BF" w:rsidRPr="00E030BF" w:rsidRDefault="00E030BF" w:rsidP="00E030BF">
      <w:pPr>
        <w:rPr>
          <w:sz w:val="24"/>
          <w:szCs w:val="24"/>
        </w:rPr>
      </w:pPr>
      <w:r w:rsidRPr="00E030BF">
        <w:rPr>
          <w:sz w:val="24"/>
          <w:szCs w:val="24"/>
        </w:rPr>
        <w:tab/>
        <w:t>v.</w:t>
      </w:r>
      <w:r w:rsidRPr="00E030BF">
        <w:rPr>
          <w:sz w:val="24"/>
          <w:szCs w:val="24"/>
        </w:rPr>
        <w:tab/>
      </w:r>
      <w:r w:rsidRPr="00E030BF">
        <w:rPr>
          <w:sz w:val="24"/>
          <w:szCs w:val="24"/>
        </w:rPr>
        <w:tab/>
      </w:r>
      <w:r w:rsidRPr="00E030BF">
        <w:rPr>
          <w:sz w:val="24"/>
          <w:szCs w:val="24"/>
        </w:rPr>
        <w:tab/>
      </w:r>
      <w:r w:rsidRPr="00E030BF">
        <w:rPr>
          <w:sz w:val="24"/>
          <w:szCs w:val="24"/>
        </w:rPr>
        <w:tab/>
      </w:r>
      <w:r w:rsidR="009D493E">
        <w:rPr>
          <w:sz w:val="24"/>
          <w:szCs w:val="24"/>
        </w:rPr>
        <w:tab/>
      </w:r>
      <w:r w:rsidR="008E1EAD">
        <w:rPr>
          <w:sz w:val="24"/>
          <w:szCs w:val="24"/>
        </w:rPr>
        <w:tab/>
      </w:r>
      <w:r w:rsidRPr="00E030BF">
        <w:rPr>
          <w:sz w:val="24"/>
          <w:szCs w:val="24"/>
        </w:rPr>
        <w:t>:</w:t>
      </w:r>
      <w:r w:rsidRPr="00E030BF">
        <w:rPr>
          <w:sz w:val="24"/>
          <w:szCs w:val="24"/>
        </w:rPr>
        <w:tab/>
      </w:r>
      <w:r w:rsidRPr="00E030BF">
        <w:rPr>
          <w:sz w:val="24"/>
          <w:szCs w:val="24"/>
        </w:rPr>
        <w:tab/>
        <w:t>C-2014-2454108</w:t>
      </w:r>
    </w:p>
    <w:p w:rsidR="00E030BF" w:rsidRPr="00E030BF" w:rsidRDefault="00E030BF" w:rsidP="00E030BF">
      <w:pPr>
        <w:rPr>
          <w:sz w:val="24"/>
          <w:szCs w:val="24"/>
        </w:rPr>
      </w:pPr>
      <w:r w:rsidRPr="00E030BF">
        <w:rPr>
          <w:sz w:val="24"/>
          <w:szCs w:val="24"/>
        </w:rPr>
        <w:tab/>
      </w:r>
      <w:r w:rsidRPr="00E030BF">
        <w:rPr>
          <w:sz w:val="24"/>
          <w:szCs w:val="24"/>
        </w:rPr>
        <w:tab/>
      </w:r>
      <w:r w:rsidRPr="00E030BF">
        <w:rPr>
          <w:sz w:val="24"/>
          <w:szCs w:val="24"/>
        </w:rPr>
        <w:tab/>
      </w:r>
      <w:r w:rsidRPr="00E030BF">
        <w:rPr>
          <w:sz w:val="24"/>
          <w:szCs w:val="24"/>
        </w:rPr>
        <w:tab/>
      </w:r>
      <w:r w:rsidRPr="00E030BF">
        <w:rPr>
          <w:sz w:val="24"/>
          <w:szCs w:val="24"/>
        </w:rPr>
        <w:tab/>
      </w:r>
      <w:r w:rsidRPr="00E030BF">
        <w:rPr>
          <w:sz w:val="24"/>
          <w:szCs w:val="24"/>
        </w:rPr>
        <w:tab/>
      </w:r>
      <w:r w:rsidR="008E1EAD">
        <w:rPr>
          <w:sz w:val="24"/>
          <w:szCs w:val="24"/>
        </w:rPr>
        <w:tab/>
      </w:r>
      <w:r w:rsidRPr="00E030BF">
        <w:rPr>
          <w:sz w:val="24"/>
          <w:szCs w:val="24"/>
        </w:rPr>
        <w:t>:</w:t>
      </w:r>
    </w:p>
    <w:p w:rsidR="00E030BF" w:rsidRDefault="00E030BF" w:rsidP="00E030BF">
      <w:pPr>
        <w:rPr>
          <w:sz w:val="24"/>
          <w:szCs w:val="24"/>
        </w:rPr>
      </w:pPr>
      <w:r w:rsidRPr="00E030BF">
        <w:rPr>
          <w:sz w:val="24"/>
          <w:szCs w:val="24"/>
        </w:rPr>
        <w:t>Washington Gas Energy Services</w:t>
      </w:r>
      <w:r w:rsidRPr="00E030BF">
        <w:rPr>
          <w:sz w:val="24"/>
          <w:szCs w:val="24"/>
        </w:rPr>
        <w:tab/>
      </w:r>
      <w:r w:rsidRPr="00E030BF">
        <w:rPr>
          <w:sz w:val="24"/>
          <w:szCs w:val="24"/>
        </w:rPr>
        <w:tab/>
      </w:r>
      <w:r w:rsidR="008E1EAD">
        <w:rPr>
          <w:sz w:val="24"/>
          <w:szCs w:val="24"/>
        </w:rPr>
        <w:tab/>
      </w:r>
      <w:r w:rsidRPr="00E030BF">
        <w:rPr>
          <w:sz w:val="24"/>
          <w:szCs w:val="24"/>
        </w:rPr>
        <w:t>:</w:t>
      </w:r>
    </w:p>
    <w:p w:rsidR="00E030BF" w:rsidRDefault="00E030BF" w:rsidP="00E030BF">
      <w:pPr>
        <w:rPr>
          <w:sz w:val="24"/>
          <w:szCs w:val="24"/>
        </w:rPr>
      </w:pPr>
    </w:p>
    <w:p w:rsidR="0097089D" w:rsidRPr="0097089D" w:rsidRDefault="0097089D" w:rsidP="00176DE0">
      <w:pPr>
        <w:rPr>
          <w:sz w:val="24"/>
          <w:szCs w:val="24"/>
        </w:rPr>
      </w:pPr>
    </w:p>
    <w:p w:rsidR="008D559E" w:rsidRPr="0097089D" w:rsidRDefault="008D559E" w:rsidP="00176DE0">
      <w:pPr>
        <w:rPr>
          <w:sz w:val="24"/>
          <w:szCs w:val="24"/>
        </w:rPr>
      </w:pPr>
    </w:p>
    <w:p w:rsidR="002820A0" w:rsidRPr="0097089D" w:rsidRDefault="002820A0" w:rsidP="002820A0">
      <w:pPr>
        <w:tabs>
          <w:tab w:val="left" w:pos="-720"/>
          <w:tab w:val="left" w:pos="5040"/>
        </w:tabs>
        <w:suppressAutoHyphens/>
        <w:autoSpaceDE w:val="0"/>
        <w:autoSpaceDN w:val="0"/>
        <w:jc w:val="center"/>
        <w:rPr>
          <w:b/>
          <w:spacing w:val="-3"/>
          <w:sz w:val="24"/>
          <w:szCs w:val="24"/>
          <w:u w:val="single"/>
        </w:rPr>
      </w:pPr>
      <w:r w:rsidRPr="0097089D">
        <w:rPr>
          <w:b/>
          <w:spacing w:val="-3"/>
          <w:sz w:val="24"/>
          <w:szCs w:val="24"/>
          <w:u w:val="single"/>
        </w:rPr>
        <w:t>INITIAL DECISION</w:t>
      </w:r>
    </w:p>
    <w:p w:rsidR="002820A0" w:rsidRPr="0097089D" w:rsidRDefault="002820A0" w:rsidP="002820A0">
      <w:pPr>
        <w:tabs>
          <w:tab w:val="left" w:pos="-720"/>
          <w:tab w:val="left" w:pos="5040"/>
        </w:tabs>
        <w:suppressAutoHyphens/>
        <w:autoSpaceDE w:val="0"/>
        <w:autoSpaceDN w:val="0"/>
        <w:jc w:val="center"/>
        <w:rPr>
          <w:b/>
          <w:spacing w:val="-3"/>
          <w:sz w:val="24"/>
          <w:szCs w:val="24"/>
          <w:u w:val="single"/>
        </w:rPr>
      </w:pPr>
    </w:p>
    <w:p w:rsidR="002820A0" w:rsidRPr="0097089D" w:rsidRDefault="002820A0" w:rsidP="002820A0">
      <w:pPr>
        <w:tabs>
          <w:tab w:val="left" w:pos="-720"/>
          <w:tab w:val="left" w:pos="5040"/>
        </w:tabs>
        <w:suppressAutoHyphens/>
        <w:autoSpaceDE w:val="0"/>
        <w:autoSpaceDN w:val="0"/>
        <w:jc w:val="center"/>
        <w:rPr>
          <w:b/>
          <w:spacing w:val="-3"/>
          <w:sz w:val="24"/>
          <w:szCs w:val="24"/>
          <w:u w:val="single"/>
        </w:rPr>
      </w:pPr>
    </w:p>
    <w:p w:rsidR="002820A0" w:rsidRPr="0097089D" w:rsidRDefault="002820A0" w:rsidP="002820A0">
      <w:pPr>
        <w:tabs>
          <w:tab w:val="left" w:pos="-720"/>
          <w:tab w:val="left" w:pos="5040"/>
        </w:tabs>
        <w:suppressAutoHyphens/>
        <w:autoSpaceDE w:val="0"/>
        <w:autoSpaceDN w:val="0"/>
        <w:jc w:val="center"/>
        <w:rPr>
          <w:spacing w:val="-3"/>
          <w:sz w:val="24"/>
          <w:szCs w:val="24"/>
        </w:rPr>
      </w:pPr>
      <w:r w:rsidRPr="0097089D">
        <w:rPr>
          <w:spacing w:val="-3"/>
          <w:sz w:val="24"/>
          <w:szCs w:val="24"/>
        </w:rPr>
        <w:t>Before</w:t>
      </w:r>
    </w:p>
    <w:p w:rsidR="002820A0" w:rsidRPr="0097089D" w:rsidRDefault="002820A0" w:rsidP="002820A0">
      <w:pPr>
        <w:tabs>
          <w:tab w:val="left" w:pos="-720"/>
          <w:tab w:val="left" w:pos="5040"/>
        </w:tabs>
        <w:suppressAutoHyphens/>
        <w:autoSpaceDE w:val="0"/>
        <w:autoSpaceDN w:val="0"/>
        <w:jc w:val="center"/>
        <w:rPr>
          <w:spacing w:val="-3"/>
          <w:sz w:val="24"/>
          <w:szCs w:val="24"/>
        </w:rPr>
      </w:pPr>
      <w:r w:rsidRPr="0097089D">
        <w:rPr>
          <w:spacing w:val="-3"/>
          <w:sz w:val="24"/>
          <w:szCs w:val="24"/>
        </w:rPr>
        <w:t>Dennis J. Buckley</w:t>
      </w:r>
    </w:p>
    <w:p w:rsidR="002820A0" w:rsidRPr="0097089D" w:rsidRDefault="002820A0" w:rsidP="002820A0">
      <w:pPr>
        <w:tabs>
          <w:tab w:val="left" w:pos="-720"/>
          <w:tab w:val="left" w:pos="5040"/>
        </w:tabs>
        <w:suppressAutoHyphens/>
        <w:autoSpaceDE w:val="0"/>
        <w:autoSpaceDN w:val="0"/>
        <w:jc w:val="center"/>
        <w:rPr>
          <w:spacing w:val="-3"/>
          <w:sz w:val="24"/>
          <w:szCs w:val="24"/>
        </w:rPr>
      </w:pPr>
      <w:r w:rsidRPr="0097089D">
        <w:rPr>
          <w:spacing w:val="-3"/>
          <w:sz w:val="24"/>
          <w:szCs w:val="24"/>
        </w:rPr>
        <w:t>Administrative Law Judge</w:t>
      </w:r>
    </w:p>
    <w:p w:rsidR="002820A0" w:rsidRDefault="002820A0" w:rsidP="002820A0">
      <w:pPr>
        <w:tabs>
          <w:tab w:val="left" w:pos="-720"/>
          <w:tab w:val="left" w:pos="5040"/>
        </w:tabs>
        <w:suppressAutoHyphens/>
        <w:autoSpaceDE w:val="0"/>
        <w:autoSpaceDN w:val="0"/>
        <w:jc w:val="center"/>
        <w:rPr>
          <w:spacing w:val="-3"/>
          <w:sz w:val="24"/>
          <w:szCs w:val="24"/>
        </w:rPr>
      </w:pPr>
    </w:p>
    <w:p w:rsidR="008D559E" w:rsidRPr="0097089D" w:rsidRDefault="008D559E" w:rsidP="002820A0">
      <w:pPr>
        <w:tabs>
          <w:tab w:val="left" w:pos="-720"/>
          <w:tab w:val="left" w:pos="5040"/>
        </w:tabs>
        <w:suppressAutoHyphens/>
        <w:autoSpaceDE w:val="0"/>
        <w:autoSpaceDN w:val="0"/>
        <w:jc w:val="center"/>
        <w:rPr>
          <w:spacing w:val="-3"/>
          <w:sz w:val="24"/>
          <w:szCs w:val="24"/>
        </w:rPr>
      </w:pPr>
    </w:p>
    <w:p w:rsidR="002820A0" w:rsidRDefault="002F5AB2" w:rsidP="009D493E">
      <w:pPr>
        <w:spacing w:line="360" w:lineRule="auto"/>
        <w:rPr>
          <w:spacing w:val="-3"/>
          <w:sz w:val="24"/>
          <w:szCs w:val="24"/>
        </w:rPr>
      </w:pPr>
      <w:r>
        <w:rPr>
          <w:spacing w:val="-3"/>
          <w:sz w:val="24"/>
          <w:szCs w:val="24"/>
        </w:rPr>
        <w:tab/>
      </w:r>
      <w:r>
        <w:rPr>
          <w:spacing w:val="-3"/>
          <w:sz w:val="24"/>
          <w:szCs w:val="24"/>
        </w:rPr>
        <w:tab/>
        <w:t xml:space="preserve">This Initial Decision dismisses a Complaint filed by </w:t>
      </w:r>
      <w:r w:rsidR="00E030BF">
        <w:rPr>
          <w:spacing w:val="-3"/>
          <w:sz w:val="24"/>
          <w:szCs w:val="24"/>
        </w:rPr>
        <w:t>Hector Portillo</w:t>
      </w:r>
      <w:r w:rsidRPr="002F5AB2">
        <w:rPr>
          <w:spacing w:val="-3"/>
          <w:sz w:val="24"/>
          <w:szCs w:val="24"/>
        </w:rPr>
        <w:t xml:space="preserve"> (Complainant) against </w:t>
      </w:r>
      <w:r w:rsidR="00E030BF" w:rsidRPr="00E030BF">
        <w:rPr>
          <w:spacing w:val="-3"/>
          <w:sz w:val="24"/>
          <w:szCs w:val="24"/>
        </w:rPr>
        <w:t xml:space="preserve">Washington Gas Energy Services </w:t>
      </w:r>
      <w:r w:rsidR="00E030BF">
        <w:rPr>
          <w:spacing w:val="-3"/>
          <w:sz w:val="24"/>
          <w:szCs w:val="24"/>
        </w:rPr>
        <w:t>(Washington</w:t>
      </w:r>
      <w:r w:rsidRPr="002F5AB2">
        <w:rPr>
          <w:spacing w:val="-3"/>
          <w:sz w:val="24"/>
          <w:szCs w:val="24"/>
        </w:rPr>
        <w:t xml:space="preserve"> or Company)</w:t>
      </w:r>
      <w:r w:rsidR="00E030BF">
        <w:rPr>
          <w:spacing w:val="-3"/>
          <w:sz w:val="24"/>
          <w:szCs w:val="24"/>
        </w:rPr>
        <w:t>.  Th</w:t>
      </w:r>
      <w:r w:rsidR="005A2692">
        <w:rPr>
          <w:spacing w:val="-3"/>
          <w:sz w:val="24"/>
          <w:szCs w:val="24"/>
        </w:rPr>
        <w:t>e</w:t>
      </w:r>
      <w:r w:rsidR="00E030BF">
        <w:rPr>
          <w:spacing w:val="-3"/>
          <w:sz w:val="24"/>
          <w:szCs w:val="24"/>
        </w:rPr>
        <w:t xml:space="preserve"> Complaint alleged that an agent of Washington had misrepresented himself as affiliated with Metropolitan Edison Company (Met Ed)</w:t>
      </w:r>
      <w:r w:rsidR="008B567A">
        <w:rPr>
          <w:spacing w:val="-3"/>
          <w:sz w:val="24"/>
          <w:szCs w:val="24"/>
        </w:rPr>
        <w:t>, switched Complainant’s electric and natural gas service without Complainant’s knowledge,</w:t>
      </w:r>
      <w:r w:rsidR="00E030BF">
        <w:rPr>
          <w:spacing w:val="-3"/>
          <w:sz w:val="24"/>
          <w:szCs w:val="24"/>
        </w:rPr>
        <w:t xml:space="preserve"> and that Washington </w:t>
      </w:r>
      <w:r w:rsidR="008B567A">
        <w:rPr>
          <w:spacing w:val="-3"/>
          <w:sz w:val="24"/>
          <w:szCs w:val="24"/>
        </w:rPr>
        <w:t xml:space="preserve">then </w:t>
      </w:r>
      <w:r w:rsidR="00E030BF">
        <w:rPr>
          <w:spacing w:val="-3"/>
          <w:sz w:val="24"/>
          <w:szCs w:val="24"/>
        </w:rPr>
        <w:t>mis-billed Complainant.  At hearing, Complainant did not establish that Washington violated the Public Utility Code (Code) or the rules and regulations of the Commission</w:t>
      </w:r>
      <w:r w:rsidR="008D559E">
        <w:rPr>
          <w:spacing w:val="-3"/>
          <w:sz w:val="24"/>
          <w:szCs w:val="24"/>
        </w:rPr>
        <w:t xml:space="preserve">. </w:t>
      </w:r>
    </w:p>
    <w:p w:rsidR="002F5AB2" w:rsidRDefault="002F5AB2" w:rsidP="009D493E">
      <w:pPr>
        <w:spacing w:line="360" w:lineRule="auto"/>
        <w:rPr>
          <w:spacing w:val="-3"/>
          <w:sz w:val="24"/>
          <w:szCs w:val="24"/>
        </w:rPr>
      </w:pPr>
    </w:p>
    <w:p w:rsidR="002820A0" w:rsidRPr="0097089D" w:rsidRDefault="002820A0" w:rsidP="009D493E">
      <w:pPr>
        <w:spacing w:line="360" w:lineRule="auto"/>
        <w:jc w:val="center"/>
        <w:rPr>
          <w:b/>
          <w:sz w:val="24"/>
          <w:szCs w:val="24"/>
        </w:rPr>
      </w:pPr>
      <w:r w:rsidRPr="0097089D">
        <w:rPr>
          <w:spacing w:val="-3"/>
          <w:sz w:val="24"/>
          <w:szCs w:val="24"/>
          <w:u w:val="single"/>
        </w:rPr>
        <w:t>HISTORY OF THE PROCEEDING</w:t>
      </w:r>
    </w:p>
    <w:p w:rsidR="002820A0" w:rsidRPr="0097089D" w:rsidRDefault="002820A0" w:rsidP="009D493E">
      <w:pPr>
        <w:spacing w:line="360" w:lineRule="auto"/>
        <w:rPr>
          <w:b/>
          <w:sz w:val="24"/>
          <w:szCs w:val="24"/>
        </w:rPr>
      </w:pPr>
    </w:p>
    <w:p w:rsidR="00E933CC" w:rsidRDefault="002820A0" w:rsidP="009D493E">
      <w:pPr>
        <w:spacing w:line="360" w:lineRule="auto"/>
        <w:rPr>
          <w:sz w:val="24"/>
          <w:szCs w:val="24"/>
        </w:rPr>
      </w:pPr>
      <w:r w:rsidRPr="0097089D">
        <w:rPr>
          <w:sz w:val="24"/>
          <w:szCs w:val="24"/>
        </w:rPr>
        <w:tab/>
      </w:r>
      <w:r w:rsidRPr="0097089D">
        <w:rPr>
          <w:sz w:val="24"/>
          <w:szCs w:val="24"/>
        </w:rPr>
        <w:tab/>
        <w:t xml:space="preserve">This case originated as a Complaint filed on </w:t>
      </w:r>
      <w:r w:rsidR="00E030BF">
        <w:rPr>
          <w:sz w:val="24"/>
          <w:szCs w:val="24"/>
        </w:rPr>
        <w:t>October 27, 2014</w:t>
      </w:r>
      <w:r w:rsidRPr="0097089D">
        <w:rPr>
          <w:sz w:val="24"/>
          <w:szCs w:val="24"/>
        </w:rPr>
        <w:t xml:space="preserve">, </w:t>
      </w:r>
      <w:r w:rsidR="00F0235F">
        <w:rPr>
          <w:sz w:val="24"/>
          <w:szCs w:val="24"/>
        </w:rPr>
        <w:t xml:space="preserve">by </w:t>
      </w:r>
      <w:r w:rsidRPr="0097089D">
        <w:rPr>
          <w:sz w:val="24"/>
          <w:szCs w:val="24"/>
        </w:rPr>
        <w:t xml:space="preserve">Complainant against </w:t>
      </w:r>
      <w:r w:rsidR="00E030BF">
        <w:rPr>
          <w:sz w:val="24"/>
          <w:szCs w:val="24"/>
        </w:rPr>
        <w:t>Washington.</w:t>
      </w:r>
      <w:r w:rsidRPr="0097089D">
        <w:rPr>
          <w:sz w:val="24"/>
          <w:szCs w:val="24"/>
        </w:rPr>
        <w:t xml:space="preserve">  </w:t>
      </w:r>
      <w:r w:rsidR="00E030BF" w:rsidRPr="00E030BF">
        <w:rPr>
          <w:sz w:val="24"/>
          <w:szCs w:val="24"/>
        </w:rPr>
        <w:t xml:space="preserve">That Complaint alleged that </w:t>
      </w:r>
      <w:r w:rsidR="00E030BF">
        <w:rPr>
          <w:sz w:val="24"/>
          <w:szCs w:val="24"/>
        </w:rPr>
        <w:t xml:space="preserve">an agent </w:t>
      </w:r>
      <w:r w:rsidR="005A2692">
        <w:rPr>
          <w:sz w:val="24"/>
          <w:szCs w:val="24"/>
        </w:rPr>
        <w:t xml:space="preserve">of </w:t>
      </w:r>
      <w:r w:rsidR="00E030BF" w:rsidRPr="00E030BF">
        <w:rPr>
          <w:sz w:val="24"/>
          <w:szCs w:val="24"/>
        </w:rPr>
        <w:t xml:space="preserve">Washington had misrepresented </w:t>
      </w:r>
      <w:r w:rsidR="00E030BF">
        <w:rPr>
          <w:sz w:val="24"/>
          <w:szCs w:val="24"/>
        </w:rPr>
        <w:t xml:space="preserve">himself as an employee of Met Ed, and that Washington had </w:t>
      </w:r>
      <w:r w:rsidR="00E030BF" w:rsidRPr="00E030BF">
        <w:rPr>
          <w:sz w:val="24"/>
          <w:szCs w:val="24"/>
        </w:rPr>
        <w:t>mis</w:t>
      </w:r>
      <w:r w:rsidR="00E030BF">
        <w:rPr>
          <w:sz w:val="24"/>
          <w:szCs w:val="24"/>
        </w:rPr>
        <w:t>-</w:t>
      </w:r>
      <w:r w:rsidR="00E030BF" w:rsidRPr="00E030BF">
        <w:rPr>
          <w:sz w:val="24"/>
          <w:szCs w:val="24"/>
        </w:rPr>
        <w:t xml:space="preserve">billed Complainant.  </w:t>
      </w:r>
    </w:p>
    <w:p w:rsidR="00B53272" w:rsidRDefault="00B53272" w:rsidP="008E1EAD">
      <w:pPr>
        <w:spacing w:line="360" w:lineRule="auto"/>
        <w:rPr>
          <w:sz w:val="24"/>
          <w:szCs w:val="24"/>
        </w:rPr>
      </w:pPr>
    </w:p>
    <w:p w:rsidR="00B53272" w:rsidRDefault="00B53272" w:rsidP="008E1EAD">
      <w:pPr>
        <w:spacing w:line="360" w:lineRule="auto"/>
        <w:rPr>
          <w:sz w:val="24"/>
          <w:szCs w:val="24"/>
        </w:rPr>
      </w:pPr>
      <w:r>
        <w:rPr>
          <w:sz w:val="24"/>
          <w:szCs w:val="24"/>
        </w:rPr>
        <w:tab/>
      </w:r>
      <w:r>
        <w:rPr>
          <w:sz w:val="24"/>
          <w:szCs w:val="24"/>
        </w:rPr>
        <w:tab/>
        <w:t>On November 20, 2014, the Secretary of the Commission served the Complaint on Washington.</w:t>
      </w:r>
    </w:p>
    <w:p w:rsidR="00E933CC" w:rsidRDefault="00E933CC" w:rsidP="002820A0">
      <w:pPr>
        <w:spacing w:line="360" w:lineRule="auto"/>
        <w:rPr>
          <w:sz w:val="24"/>
          <w:szCs w:val="24"/>
        </w:rPr>
      </w:pPr>
    </w:p>
    <w:p w:rsidR="00E030BF" w:rsidRDefault="002820A0" w:rsidP="002820A0">
      <w:pPr>
        <w:spacing w:line="360" w:lineRule="auto"/>
        <w:rPr>
          <w:sz w:val="24"/>
          <w:szCs w:val="24"/>
        </w:rPr>
      </w:pPr>
      <w:r w:rsidRPr="0097089D">
        <w:rPr>
          <w:sz w:val="24"/>
          <w:szCs w:val="24"/>
        </w:rPr>
        <w:lastRenderedPageBreak/>
        <w:tab/>
      </w:r>
      <w:r w:rsidRPr="0097089D">
        <w:rPr>
          <w:sz w:val="24"/>
          <w:szCs w:val="24"/>
        </w:rPr>
        <w:tab/>
      </w:r>
      <w:r w:rsidR="00F0235F">
        <w:rPr>
          <w:sz w:val="24"/>
          <w:szCs w:val="24"/>
        </w:rPr>
        <w:t>O</w:t>
      </w:r>
      <w:r w:rsidR="00DB40E5">
        <w:rPr>
          <w:sz w:val="24"/>
          <w:szCs w:val="24"/>
        </w:rPr>
        <w:t xml:space="preserve">n </w:t>
      </w:r>
      <w:r w:rsidR="00E030BF">
        <w:rPr>
          <w:sz w:val="24"/>
          <w:szCs w:val="24"/>
        </w:rPr>
        <w:t xml:space="preserve">December 10, 2014, Washington </w:t>
      </w:r>
      <w:r w:rsidR="00ED7869" w:rsidRPr="00ED7869">
        <w:rPr>
          <w:sz w:val="24"/>
          <w:szCs w:val="24"/>
        </w:rPr>
        <w:t xml:space="preserve">filed an Answer </w:t>
      </w:r>
      <w:r w:rsidR="00E030BF">
        <w:rPr>
          <w:sz w:val="24"/>
          <w:szCs w:val="24"/>
        </w:rPr>
        <w:t xml:space="preserve">and New Matter </w:t>
      </w:r>
      <w:r w:rsidR="00ED7869" w:rsidRPr="00ED7869">
        <w:rPr>
          <w:sz w:val="24"/>
          <w:szCs w:val="24"/>
        </w:rPr>
        <w:t>to the Complaint, denying the allegations set forth therein.</w:t>
      </w:r>
    </w:p>
    <w:p w:rsidR="00E030BF" w:rsidRDefault="00E030BF" w:rsidP="002820A0">
      <w:pPr>
        <w:spacing w:line="360" w:lineRule="auto"/>
        <w:rPr>
          <w:sz w:val="24"/>
          <w:szCs w:val="24"/>
        </w:rPr>
      </w:pPr>
    </w:p>
    <w:p w:rsidR="00921473" w:rsidRDefault="00ED7869" w:rsidP="002820A0">
      <w:pPr>
        <w:spacing w:line="360" w:lineRule="auto"/>
        <w:rPr>
          <w:sz w:val="24"/>
          <w:szCs w:val="24"/>
        </w:rPr>
      </w:pPr>
      <w:r>
        <w:rPr>
          <w:sz w:val="24"/>
          <w:szCs w:val="24"/>
        </w:rPr>
        <w:tab/>
      </w:r>
      <w:r>
        <w:rPr>
          <w:sz w:val="24"/>
          <w:szCs w:val="24"/>
        </w:rPr>
        <w:tab/>
        <w:t>On April 2</w:t>
      </w:r>
      <w:r w:rsidR="00B53272">
        <w:rPr>
          <w:sz w:val="24"/>
          <w:szCs w:val="24"/>
        </w:rPr>
        <w:t>9</w:t>
      </w:r>
      <w:r>
        <w:rPr>
          <w:sz w:val="24"/>
          <w:szCs w:val="24"/>
        </w:rPr>
        <w:t xml:space="preserve">, 2015, </w:t>
      </w:r>
      <w:r w:rsidR="00DB40E5">
        <w:rPr>
          <w:sz w:val="24"/>
          <w:szCs w:val="24"/>
        </w:rPr>
        <w:t xml:space="preserve">a </w:t>
      </w:r>
      <w:r w:rsidR="00921473">
        <w:rPr>
          <w:sz w:val="24"/>
          <w:szCs w:val="24"/>
        </w:rPr>
        <w:t xml:space="preserve">hearing notice was issued setting </w:t>
      </w:r>
      <w:r w:rsidR="00B53272">
        <w:rPr>
          <w:sz w:val="24"/>
          <w:szCs w:val="24"/>
        </w:rPr>
        <w:t>June 3, 2015</w:t>
      </w:r>
      <w:r w:rsidR="00921473">
        <w:rPr>
          <w:sz w:val="24"/>
          <w:szCs w:val="24"/>
        </w:rPr>
        <w:t>, as the date for a</w:t>
      </w:r>
      <w:r w:rsidR="00E933CC">
        <w:rPr>
          <w:sz w:val="24"/>
          <w:szCs w:val="24"/>
        </w:rPr>
        <w:t xml:space="preserve"> telephonic </w:t>
      </w:r>
      <w:r w:rsidR="00921473">
        <w:rPr>
          <w:sz w:val="24"/>
          <w:szCs w:val="24"/>
        </w:rPr>
        <w:t>hearing in this case.</w:t>
      </w:r>
    </w:p>
    <w:p w:rsidR="00F0235F" w:rsidRDefault="00F0235F" w:rsidP="002820A0">
      <w:pPr>
        <w:spacing w:line="360" w:lineRule="auto"/>
        <w:rPr>
          <w:sz w:val="24"/>
          <w:szCs w:val="24"/>
        </w:rPr>
      </w:pPr>
    </w:p>
    <w:p w:rsidR="00F0235F" w:rsidRPr="00F0235F" w:rsidRDefault="00F0235F" w:rsidP="00F0235F">
      <w:pPr>
        <w:spacing w:line="360" w:lineRule="auto"/>
        <w:rPr>
          <w:sz w:val="24"/>
          <w:szCs w:val="24"/>
        </w:rPr>
      </w:pPr>
      <w:r>
        <w:rPr>
          <w:sz w:val="24"/>
          <w:szCs w:val="24"/>
        </w:rPr>
        <w:tab/>
      </w:r>
      <w:r>
        <w:rPr>
          <w:sz w:val="24"/>
          <w:szCs w:val="24"/>
        </w:rPr>
        <w:tab/>
      </w:r>
      <w:r w:rsidRPr="00F0235F">
        <w:rPr>
          <w:sz w:val="24"/>
          <w:szCs w:val="24"/>
        </w:rPr>
        <w:t xml:space="preserve">On </w:t>
      </w:r>
      <w:r w:rsidR="00B53272">
        <w:rPr>
          <w:sz w:val="24"/>
          <w:szCs w:val="24"/>
        </w:rPr>
        <w:t>May 1, 2015</w:t>
      </w:r>
      <w:r w:rsidRPr="00F0235F">
        <w:rPr>
          <w:sz w:val="24"/>
          <w:szCs w:val="24"/>
        </w:rPr>
        <w:t xml:space="preserve">, I issued a standard form pre-hearing Order which was served on both parties.  </w:t>
      </w:r>
    </w:p>
    <w:p w:rsidR="00F0235F" w:rsidRDefault="00F0235F" w:rsidP="002820A0">
      <w:pPr>
        <w:spacing w:line="360" w:lineRule="auto"/>
        <w:rPr>
          <w:sz w:val="24"/>
          <w:szCs w:val="24"/>
        </w:rPr>
      </w:pPr>
    </w:p>
    <w:p w:rsidR="00B53272" w:rsidRDefault="008E4A13" w:rsidP="002820A0">
      <w:pPr>
        <w:spacing w:line="360" w:lineRule="auto"/>
        <w:rPr>
          <w:sz w:val="24"/>
          <w:szCs w:val="24"/>
        </w:rPr>
      </w:pPr>
      <w:r>
        <w:rPr>
          <w:sz w:val="24"/>
          <w:szCs w:val="24"/>
        </w:rPr>
        <w:tab/>
      </w:r>
      <w:r>
        <w:rPr>
          <w:sz w:val="24"/>
          <w:szCs w:val="24"/>
        </w:rPr>
        <w:tab/>
      </w:r>
      <w:r w:rsidR="002820A0" w:rsidRPr="0097089D">
        <w:rPr>
          <w:sz w:val="24"/>
          <w:szCs w:val="24"/>
        </w:rPr>
        <w:t xml:space="preserve">On </w:t>
      </w:r>
      <w:r w:rsidR="00B53272">
        <w:rPr>
          <w:sz w:val="24"/>
          <w:szCs w:val="24"/>
        </w:rPr>
        <w:t>June 3, 2015</w:t>
      </w:r>
      <w:r w:rsidR="00627A04" w:rsidRPr="0097089D">
        <w:rPr>
          <w:sz w:val="24"/>
          <w:szCs w:val="24"/>
        </w:rPr>
        <w:t xml:space="preserve">, </w:t>
      </w:r>
      <w:r w:rsidR="002820A0" w:rsidRPr="0097089D">
        <w:rPr>
          <w:sz w:val="24"/>
          <w:szCs w:val="24"/>
        </w:rPr>
        <w:t>a</w:t>
      </w:r>
      <w:r w:rsidR="00E933CC">
        <w:rPr>
          <w:sz w:val="24"/>
          <w:szCs w:val="24"/>
        </w:rPr>
        <w:t xml:space="preserve"> telephonic </w:t>
      </w:r>
      <w:r w:rsidR="005541E9" w:rsidRPr="0097089D">
        <w:rPr>
          <w:sz w:val="24"/>
          <w:szCs w:val="24"/>
        </w:rPr>
        <w:t xml:space="preserve">hearing </w:t>
      </w:r>
      <w:r w:rsidR="00E933CC">
        <w:rPr>
          <w:sz w:val="24"/>
          <w:szCs w:val="24"/>
        </w:rPr>
        <w:t xml:space="preserve">originated from </w:t>
      </w:r>
      <w:r w:rsidR="00627A04" w:rsidRPr="0097089D">
        <w:rPr>
          <w:sz w:val="24"/>
          <w:szCs w:val="24"/>
        </w:rPr>
        <w:t>the Commission’s Office</w:t>
      </w:r>
      <w:r w:rsidR="002820A0" w:rsidRPr="0097089D">
        <w:rPr>
          <w:sz w:val="24"/>
          <w:szCs w:val="24"/>
        </w:rPr>
        <w:t xml:space="preserve"> at 400 North Street, Harrisburg, Pennsylvania.  Counsel for </w:t>
      </w:r>
      <w:r w:rsidR="00B53272">
        <w:rPr>
          <w:sz w:val="24"/>
          <w:szCs w:val="24"/>
        </w:rPr>
        <w:t>Washington, Michael A. Gruin</w:t>
      </w:r>
      <w:r w:rsidR="00E933CC">
        <w:rPr>
          <w:sz w:val="24"/>
          <w:szCs w:val="24"/>
        </w:rPr>
        <w:t>, Esquire</w:t>
      </w:r>
      <w:r w:rsidR="001E2544" w:rsidRPr="0097089D">
        <w:rPr>
          <w:sz w:val="24"/>
          <w:szCs w:val="24"/>
        </w:rPr>
        <w:t xml:space="preserve">, </w:t>
      </w:r>
      <w:r w:rsidR="002820A0" w:rsidRPr="0097089D">
        <w:rPr>
          <w:sz w:val="24"/>
          <w:szCs w:val="24"/>
        </w:rPr>
        <w:t>was present</w:t>
      </w:r>
      <w:r w:rsidR="00B53272">
        <w:rPr>
          <w:sz w:val="24"/>
          <w:szCs w:val="24"/>
        </w:rPr>
        <w:t xml:space="preserve"> as was t</w:t>
      </w:r>
      <w:r w:rsidR="00C67696">
        <w:rPr>
          <w:sz w:val="24"/>
          <w:szCs w:val="24"/>
        </w:rPr>
        <w:t xml:space="preserve">he Complainant </w:t>
      </w:r>
      <w:r w:rsidR="00B53272">
        <w:rPr>
          <w:sz w:val="24"/>
          <w:szCs w:val="24"/>
        </w:rPr>
        <w:t>who appeared and testified on his own behalf</w:t>
      </w:r>
      <w:r w:rsidR="00C67696">
        <w:rPr>
          <w:sz w:val="24"/>
          <w:szCs w:val="24"/>
        </w:rPr>
        <w:t xml:space="preserve">.  </w:t>
      </w:r>
      <w:r w:rsidR="00B53272">
        <w:rPr>
          <w:sz w:val="24"/>
          <w:szCs w:val="24"/>
        </w:rPr>
        <w:t xml:space="preserve">Washington presented two witnesses: Jacqueline Lauer, </w:t>
      </w:r>
      <w:r w:rsidR="0026313A">
        <w:rPr>
          <w:sz w:val="24"/>
          <w:szCs w:val="24"/>
        </w:rPr>
        <w:t xml:space="preserve">a Customer Care Analyst employed by Washington, </w:t>
      </w:r>
      <w:r w:rsidR="00B53272">
        <w:rPr>
          <w:sz w:val="24"/>
          <w:szCs w:val="24"/>
        </w:rPr>
        <w:t>and Richard Allison</w:t>
      </w:r>
      <w:r w:rsidR="00BF7FB4">
        <w:rPr>
          <w:sz w:val="24"/>
          <w:szCs w:val="24"/>
        </w:rPr>
        <w:t>, Manager of Mass Market Sales</w:t>
      </w:r>
      <w:r w:rsidR="00B53272">
        <w:rPr>
          <w:sz w:val="24"/>
          <w:szCs w:val="24"/>
        </w:rPr>
        <w:t xml:space="preserve">.  Washington presented ten exhibits that were received into the record: Exhibit 1, a promotional flyer; Exhibit 2, </w:t>
      </w:r>
      <w:r w:rsidR="009876F3">
        <w:rPr>
          <w:sz w:val="24"/>
          <w:szCs w:val="24"/>
        </w:rPr>
        <w:t xml:space="preserve">a </w:t>
      </w:r>
      <w:proofErr w:type="spellStart"/>
      <w:r w:rsidR="009876F3">
        <w:rPr>
          <w:sz w:val="24"/>
          <w:szCs w:val="24"/>
        </w:rPr>
        <w:t>CD-Rom</w:t>
      </w:r>
      <w:proofErr w:type="spellEnd"/>
      <w:r w:rsidR="009876F3">
        <w:rPr>
          <w:sz w:val="24"/>
          <w:szCs w:val="24"/>
        </w:rPr>
        <w:t xml:space="preserve"> containing third-party call verification recordings; Exhibit 3, Copies of welcome letters sent to Complainant; Exhibit 4, copies of Washington’s electricity and natural gas disclosure statements; Exhibit 5, a summary of a determination by the Commission’s Bureau of Consumer Services (BCS) in Case No. 3219458; Exhibit 6, summaries of Washington’s electricity and natural gas charges to Complainant; Exhibit 7, a template of a Washington Gas Energy Service agent badge; Exhibit 8, a copy of the natural gas disclosure statement provide</w:t>
      </w:r>
      <w:r w:rsidR="00F41EDE">
        <w:rPr>
          <w:sz w:val="24"/>
          <w:szCs w:val="24"/>
        </w:rPr>
        <w:t>d</w:t>
      </w:r>
      <w:r w:rsidR="009876F3">
        <w:rPr>
          <w:sz w:val="24"/>
          <w:szCs w:val="24"/>
        </w:rPr>
        <w:t xml:space="preserve"> for door-to-door sales; Exhibit 9, </w:t>
      </w:r>
      <w:r w:rsidR="009876F3" w:rsidRPr="009876F3">
        <w:rPr>
          <w:sz w:val="24"/>
          <w:szCs w:val="24"/>
        </w:rPr>
        <w:t xml:space="preserve">a copy of the </w:t>
      </w:r>
      <w:r w:rsidR="009876F3">
        <w:rPr>
          <w:sz w:val="24"/>
          <w:szCs w:val="24"/>
        </w:rPr>
        <w:t>electricity</w:t>
      </w:r>
      <w:r w:rsidR="009876F3" w:rsidRPr="009876F3">
        <w:rPr>
          <w:sz w:val="24"/>
          <w:szCs w:val="24"/>
        </w:rPr>
        <w:t xml:space="preserve"> disclosure statement provide</w:t>
      </w:r>
      <w:r w:rsidR="00F41EDE">
        <w:rPr>
          <w:sz w:val="24"/>
          <w:szCs w:val="24"/>
        </w:rPr>
        <w:t>d</w:t>
      </w:r>
      <w:r w:rsidR="009876F3" w:rsidRPr="009876F3">
        <w:rPr>
          <w:sz w:val="24"/>
          <w:szCs w:val="24"/>
        </w:rPr>
        <w:t xml:space="preserve"> for door-to-door sales;</w:t>
      </w:r>
      <w:r w:rsidR="009876F3">
        <w:rPr>
          <w:sz w:val="24"/>
          <w:szCs w:val="24"/>
        </w:rPr>
        <w:t xml:space="preserve"> and Exhibit 10, a transcript of the </w:t>
      </w:r>
      <w:r w:rsidR="009876F3" w:rsidRPr="009876F3">
        <w:rPr>
          <w:sz w:val="24"/>
          <w:szCs w:val="24"/>
        </w:rPr>
        <w:t>third-pa</w:t>
      </w:r>
      <w:r w:rsidR="009876F3">
        <w:rPr>
          <w:sz w:val="24"/>
          <w:szCs w:val="24"/>
        </w:rPr>
        <w:t>rty call verification recording.</w:t>
      </w:r>
      <w:r w:rsidR="009876F3">
        <w:rPr>
          <w:rStyle w:val="FootnoteReference"/>
          <w:sz w:val="24"/>
          <w:szCs w:val="24"/>
        </w:rPr>
        <w:footnoteReference w:id="1"/>
      </w:r>
      <w:r w:rsidR="009876F3">
        <w:rPr>
          <w:sz w:val="24"/>
          <w:szCs w:val="24"/>
        </w:rPr>
        <w:t xml:space="preserve">  </w:t>
      </w:r>
    </w:p>
    <w:p w:rsidR="00C67696" w:rsidRDefault="00C67696" w:rsidP="002820A0">
      <w:pPr>
        <w:spacing w:line="360" w:lineRule="auto"/>
        <w:rPr>
          <w:sz w:val="24"/>
          <w:szCs w:val="24"/>
        </w:rPr>
      </w:pPr>
    </w:p>
    <w:p w:rsidR="00C26064" w:rsidRDefault="006903E0" w:rsidP="00F006AE">
      <w:pPr>
        <w:pStyle w:val="ParaTab1"/>
        <w:tabs>
          <w:tab w:val="left" w:pos="2070"/>
        </w:tabs>
        <w:spacing w:line="360" w:lineRule="auto"/>
        <w:rPr>
          <w:rFonts w:ascii="Times New Roman" w:hAnsi="Times New Roman"/>
        </w:rPr>
      </w:pPr>
      <w:r>
        <w:rPr>
          <w:rFonts w:ascii="Times New Roman" w:hAnsi="Times New Roman"/>
        </w:rPr>
        <w:t xml:space="preserve">On </w:t>
      </w:r>
      <w:r w:rsidR="009876F3">
        <w:rPr>
          <w:rFonts w:ascii="Times New Roman" w:hAnsi="Times New Roman"/>
        </w:rPr>
        <w:t xml:space="preserve">June 15, </w:t>
      </w:r>
      <w:r w:rsidR="0020223E">
        <w:rPr>
          <w:rFonts w:ascii="Times New Roman" w:hAnsi="Times New Roman"/>
        </w:rPr>
        <w:t>2015</w:t>
      </w:r>
      <w:r>
        <w:rPr>
          <w:rFonts w:ascii="Times New Roman" w:hAnsi="Times New Roman"/>
        </w:rPr>
        <w:t xml:space="preserve">, the </w:t>
      </w:r>
      <w:r w:rsidR="00337F5B">
        <w:rPr>
          <w:rFonts w:ascii="Times New Roman" w:hAnsi="Times New Roman"/>
        </w:rPr>
        <w:t xml:space="preserve">record closed when the </w:t>
      </w:r>
      <w:r>
        <w:rPr>
          <w:rFonts w:ascii="Times New Roman" w:hAnsi="Times New Roman"/>
        </w:rPr>
        <w:t xml:space="preserve">court reporter filed the transcript of the hearing of </w:t>
      </w:r>
      <w:r w:rsidR="009876F3">
        <w:rPr>
          <w:rFonts w:ascii="Times New Roman" w:hAnsi="Times New Roman"/>
        </w:rPr>
        <w:t>June 3</w:t>
      </w:r>
      <w:r>
        <w:rPr>
          <w:rFonts w:ascii="Times New Roman" w:hAnsi="Times New Roman"/>
        </w:rPr>
        <w:t>, 2015 with the Secretary of the Commission</w:t>
      </w:r>
      <w:r w:rsidR="00F006AE">
        <w:rPr>
          <w:rFonts w:ascii="Times New Roman" w:hAnsi="Times New Roman"/>
        </w:rPr>
        <w:t xml:space="preserve">.  The record in this case consists of </w:t>
      </w:r>
      <w:r w:rsidR="00FD31EF">
        <w:rPr>
          <w:rFonts w:ascii="Times New Roman" w:hAnsi="Times New Roman"/>
        </w:rPr>
        <w:t>the</w:t>
      </w:r>
      <w:r w:rsidR="00F006AE">
        <w:rPr>
          <w:rFonts w:ascii="Times New Roman" w:hAnsi="Times New Roman"/>
        </w:rPr>
        <w:t xml:space="preserve"> seven</w:t>
      </w:r>
      <w:r w:rsidR="009876F3">
        <w:rPr>
          <w:rFonts w:ascii="Times New Roman" w:hAnsi="Times New Roman"/>
        </w:rPr>
        <w:t xml:space="preserve">ty two </w:t>
      </w:r>
      <w:r w:rsidR="00F006AE">
        <w:rPr>
          <w:rFonts w:ascii="Times New Roman" w:hAnsi="Times New Roman"/>
        </w:rPr>
        <w:t>page transcript of the hearing</w:t>
      </w:r>
      <w:r w:rsidR="009876F3">
        <w:rPr>
          <w:rFonts w:ascii="Times New Roman" w:hAnsi="Times New Roman"/>
        </w:rPr>
        <w:t xml:space="preserve"> and Washington’s </w:t>
      </w:r>
      <w:r w:rsidR="008B567A">
        <w:rPr>
          <w:rFonts w:ascii="Times New Roman" w:hAnsi="Times New Roman"/>
        </w:rPr>
        <w:t>E</w:t>
      </w:r>
      <w:r w:rsidR="009876F3">
        <w:rPr>
          <w:rFonts w:ascii="Times New Roman" w:hAnsi="Times New Roman"/>
        </w:rPr>
        <w:t>xhibits 1-10</w:t>
      </w:r>
      <w:r w:rsidR="00F006AE">
        <w:rPr>
          <w:rFonts w:ascii="Times New Roman" w:hAnsi="Times New Roman"/>
        </w:rPr>
        <w:t xml:space="preserve">.  </w:t>
      </w:r>
    </w:p>
    <w:p w:rsidR="00C67696" w:rsidRDefault="00C67696" w:rsidP="002820A0">
      <w:pPr>
        <w:spacing w:line="360" w:lineRule="auto"/>
        <w:rPr>
          <w:sz w:val="24"/>
          <w:szCs w:val="24"/>
        </w:rPr>
      </w:pPr>
    </w:p>
    <w:p w:rsidR="00B535FB" w:rsidRDefault="00B535FB" w:rsidP="002820A0">
      <w:pPr>
        <w:spacing w:line="360" w:lineRule="auto"/>
        <w:rPr>
          <w:sz w:val="24"/>
          <w:szCs w:val="24"/>
        </w:rPr>
      </w:pPr>
      <w:r w:rsidRPr="0097089D">
        <w:rPr>
          <w:sz w:val="24"/>
          <w:szCs w:val="24"/>
        </w:rPr>
        <w:tab/>
      </w:r>
      <w:r w:rsidRPr="0097089D">
        <w:rPr>
          <w:sz w:val="24"/>
          <w:szCs w:val="24"/>
        </w:rPr>
        <w:tab/>
        <w:t>This case is now ready for decision.</w:t>
      </w:r>
    </w:p>
    <w:p w:rsidR="00413C57" w:rsidRDefault="00413C57" w:rsidP="002820A0">
      <w:pPr>
        <w:spacing w:line="360" w:lineRule="auto"/>
        <w:rPr>
          <w:sz w:val="24"/>
          <w:szCs w:val="24"/>
        </w:rPr>
      </w:pPr>
    </w:p>
    <w:p w:rsidR="00421A56" w:rsidRPr="00421A56" w:rsidRDefault="00421A56" w:rsidP="00421A56">
      <w:pPr>
        <w:spacing w:line="360" w:lineRule="auto"/>
        <w:jc w:val="center"/>
        <w:rPr>
          <w:sz w:val="24"/>
          <w:szCs w:val="24"/>
        </w:rPr>
      </w:pPr>
      <w:r>
        <w:rPr>
          <w:sz w:val="24"/>
          <w:szCs w:val="24"/>
          <w:u w:val="single"/>
        </w:rPr>
        <w:lastRenderedPageBreak/>
        <w:t>FINDINGS OF FACT</w:t>
      </w:r>
    </w:p>
    <w:p w:rsidR="005541E9" w:rsidRDefault="005541E9" w:rsidP="008E1EAD">
      <w:pPr>
        <w:spacing w:line="360" w:lineRule="auto"/>
        <w:rPr>
          <w:sz w:val="24"/>
          <w:szCs w:val="24"/>
        </w:rPr>
      </w:pPr>
    </w:p>
    <w:p w:rsidR="00421A56" w:rsidRDefault="00421A56" w:rsidP="008E1EAD">
      <w:pPr>
        <w:spacing w:line="360" w:lineRule="auto"/>
        <w:rPr>
          <w:sz w:val="24"/>
          <w:szCs w:val="24"/>
        </w:rPr>
      </w:pPr>
      <w:r>
        <w:rPr>
          <w:sz w:val="24"/>
          <w:szCs w:val="24"/>
        </w:rPr>
        <w:tab/>
      </w:r>
      <w:r>
        <w:rPr>
          <w:sz w:val="24"/>
          <w:szCs w:val="24"/>
        </w:rPr>
        <w:tab/>
        <w:t>1.</w:t>
      </w:r>
      <w:r>
        <w:rPr>
          <w:sz w:val="24"/>
          <w:szCs w:val="24"/>
        </w:rPr>
        <w:tab/>
      </w:r>
      <w:r w:rsidR="00476542">
        <w:rPr>
          <w:sz w:val="24"/>
          <w:szCs w:val="24"/>
        </w:rPr>
        <w:t xml:space="preserve">Hector </w:t>
      </w:r>
      <w:r w:rsidR="008B567A">
        <w:rPr>
          <w:sz w:val="24"/>
          <w:szCs w:val="24"/>
        </w:rPr>
        <w:t xml:space="preserve">M. </w:t>
      </w:r>
      <w:r w:rsidR="00476542">
        <w:rPr>
          <w:sz w:val="24"/>
          <w:szCs w:val="24"/>
        </w:rPr>
        <w:t>Portillo</w:t>
      </w:r>
      <w:r w:rsidR="00F006AE">
        <w:rPr>
          <w:sz w:val="24"/>
          <w:szCs w:val="24"/>
        </w:rPr>
        <w:t xml:space="preserve">, </w:t>
      </w:r>
      <w:r>
        <w:rPr>
          <w:sz w:val="24"/>
          <w:szCs w:val="24"/>
        </w:rPr>
        <w:t xml:space="preserve">the Complainant in this case, </w:t>
      </w:r>
      <w:r w:rsidR="00D80B40">
        <w:rPr>
          <w:sz w:val="24"/>
          <w:szCs w:val="24"/>
        </w:rPr>
        <w:t xml:space="preserve">received </w:t>
      </w:r>
      <w:r w:rsidR="00DF150D">
        <w:rPr>
          <w:sz w:val="24"/>
          <w:szCs w:val="24"/>
        </w:rPr>
        <w:t xml:space="preserve">electric and </w:t>
      </w:r>
      <w:r w:rsidR="00B00FFE">
        <w:rPr>
          <w:sz w:val="24"/>
          <w:szCs w:val="24"/>
        </w:rPr>
        <w:t>natural gas</w:t>
      </w:r>
      <w:r w:rsidR="005E47AD">
        <w:rPr>
          <w:sz w:val="24"/>
          <w:szCs w:val="24"/>
        </w:rPr>
        <w:t xml:space="preserve"> </w:t>
      </w:r>
      <w:r w:rsidR="008B567A">
        <w:rPr>
          <w:sz w:val="24"/>
          <w:szCs w:val="24"/>
        </w:rPr>
        <w:t xml:space="preserve">supply </w:t>
      </w:r>
      <w:r w:rsidR="005E47AD">
        <w:rPr>
          <w:sz w:val="24"/>
          <w:szCs w:val="24"/>
        </w:rPr>
        <w:t xml:space="preserve">service </w:t>
      </w:r>
      <w:r>
        <w:rPr>
          <w:sz w:val="24"/>
          <w:szCs w:val="24"/>
        </w:rPr>
        <w:t xml:space="preserve">at </w:t>
      </w:r>
      <w:r w:rsidR="002D712F">
        <w:rPr>
          <w:sz w:val="24"/>
          <w:szCs w:val="24"/>
        </w:rPr>
        <w:t>1429 Liggett Avenue</w:t>
      </w:r>
      <w:r w:rsidR="005E47AD">
        <w:rPr>
          <w:sz w:val="24"/>
          <w:szCs w:val="24"/>
        </w:rPr>
        <w:t xml:space="preserve">, </w:t>
      </w:r>
      <w:r w:rsidR="002D712F">
        <w:rPr>
          <w:sz w:val="24"/>
          <w:szCs w:val="24"/>
        </w:rPr>
        <w:t>Reading</w:t>
      </w:r>
      <w:r w:rsidR="00F006AE">
        <w:rPr>
          <w:sz w:val="24"/>
          <w:szCs w:val="24"/>
        </w:rPr>
        <w:t>, Pen</w:t>
      </w:r>
      <w:r>
        <w:rPr>
          <w:sz w:val="24"/>
          <w:szCs w:val="24"/>
        </w:rPr>
        <w:t xml:space="preserve">nsylvania from </w:t>
      </w:r>
      <w:r w:rsidR="002D712F">
        <w:rPr>
          <w:sz w:val="24"/>
          <w:szCs w:val="24"/>
        </w:rPr>
        <w:t>Washington Gas Energy Service</w:t>
      </w:r>
      <w:r w:rsidR="005E47AD">
        <w:rPr>
          <w:sz w:val="24"/>
          <w:szCs w:val="24"/>
        </w:rPr>
        <w:t xml:space="preserve"> dur</w:t>
      </w:r>
      <w:r>
        <w:rPr>
          <w:sz w:val="24"/>
          <w:szCs w:val="24"/>
        </w:rPr>
        <w:t>ing the period of the Complaint.</w:t>
      </w:r>
    </w:p>
    <w:p w:rsidR="00421A56" w:rsidRDefault="00421A56" w:rsidP="008E1EAD">
      <w:pPr>
        <w:spacing w:line="360" w:lineRule="auto"/>
        <w:rPr>
          <w:sz w:val="24"/>
          <w:szCs w:val="24"/>
        </w:rPr>
      </w:pPr>
    </w:p>
    <w:p w:rsidR="00421A56" w:rsidRDefault="00421A56" w:rsidP="008E1EAD">
      <w:pPr>
        <w:spacing w:line="360" w:lineRule="auto"/>
        <w:rPr>
          <w:sz w:val="24"/>
          <w:szCs w:val="24"/>
        </w:rPr>
      </w:pPr>
      <w:r>
        <w:rPr>
          <w:sz w:val="24"/>
          <w:szCs w:val="24"/>
        </w:rPr>
        <w:tab/>
      </w:r>
      <w:r>
        <w:rPr>
          <w:sz w:val="24"/>
          <w:szCs w:val="24"/>
        </w:rPr>
        <w:tab/>
        <w:t>2.</w:t>
      </w:r>
      <w:r>
        <w:rPr>
          <w:sz w:val="24"/>
          <w:szCs w:val="24"/>
        </w:rPr>
        <w:tab/>
      </w:r>
      <w:r w:rsidR="002D712F" w:rsidRPr="002D712F">
        <w:rPr>
          <w:sz w:val="24"/>
          <w:szCs w:val="24"/>
        </w:rPr>
        <w:t>Washington Gas Energy Service</w:t>
      </w:r>
      <w:r w:rsidR="00337F5B">
        <w:rPr>
          <w:sz w:val="24"/>
          <w:szCs w:val="24"/>
        </w:rPr>
        <w:t>, the Respondent,</w:t>
      </w:r>
      <w:r w:rsidR="005E47AD" w:rsidRPr="005E47AD">
        <w:rPr>
          <w:sz w:val="24"/>
          <w:szCs w:val="24"/>
        </w:rPr>
        <w:t xml:space="preserve"> </w:t>
      </w:r>
      <w:r>
        <w:rPr>
          <w:sz w:val="24"/>
          <w:szCs w:val="24"/>
        </w:rPr>
        <w:t xml:space="preserve">is a Commission jurisdictional </w:t>
      </w:r>
      <w:r w:rsidR="00B00FFE">
        <w:rPr>
          <w:sz w:val="24"/>
          <w:szCs w:val="24"/>
        </w:rPr>
        <w:t>natural gas supplier (N</w:t>
      </w:r>
      <w:r w:rsidR="002D712F">
        <w:rPr>
          <w:sz w:val="24"/>
          <w:szCs w:val="24"/>
        </w:rPr>
        <w:t>GS)</w:t>
      </w:r>
      <w:r w:rsidR="00DF150D">
        <w:rPr>
          <w:sz w:val="24"/>
          <w:szCs w:val="24"/>
        </w:rPr>
        <w:t xml:space="preserve"> and electric generation supplier (EGS)</w:t>
      </w:r>
      <w:r>
        <w:rPr>
          <w:sz w:val="24"/>
          <w:szCs w:val="24"/>
        </w:rPr>
        <w:t>.</w:t>
      </w:r>
    </w:p>
    <w:p w:rsidR="00421A56" w:rsidRDefault="00421A56" w:rsidP="008E1EAD">
      <w:pPr>
        <w:spacing w:line="360" w:lineRule="auto"/>
        <w:rPr>
          <w:sz w:val="24"/>
          <w:szCs w:val="24"/>
        </w:rPr>
      </w:pPr>
    </w:p>
    <w:p w:rsidR="002D712F" w:rsidRDefault="00421A56" w:rsidP="008E1EAD">
      <w:pPr>
        <w:spacing w:line="360" w:lineRule="auto"/>
        <w:rPr>
          <w:sz w:val="24"/>
          <w:szCs w:val="24"/>
        </w:rPr>
      </w:pPr>
      <w:r>
        <w:rPr>
          <w:sz w:val="24"/>
          <w:szCs w:val="24"/>
        </w:rPr>
        <w:tab/>
      </w:r>
      <w:r>
        <w:rPr>
          <w:sz w:val="24"/>
          <w:szCs w:val="24"/>
        </w:rPr>
        <w:tab/>
        <w:t>3.</w:t>
      </w:r>
      <w:r>
        <w:rPr>
          <w:sz w:val="24"/>
          <w:szCs w:val="24"/>
        </w:rPr>
        <w:tab/>
      </w:r>
      <w:r w:rsidR="00940B9E">
        <w:rPr>
          <w:sz w:val="24"/>
          <w:szCs w:val="24"/>
        </w:rPr>
        <w:t>Complainant alleged that an agent of Washington misrepresented himself as an employee of Metropolitan Edison Company and persuaded Complainant to execute paperwork for a discounted rate</w:t>
      </w:r>
      <w:r w:rsidR="00EC3829">
        <w:rPr>
          <w:sz w:val="24"/>
          <w:szCs w:val="24"/>
        </w:rPr>
        <w:t xml:space="preserve"> from Met Ed</w:t>
      </w:r>
      <w:r w:rsidR="00940B9E">
        <w:rPr>
          <w:sz w:val="24"/>
          <w:szCs w:val="24"/>
        </w:rPr>
        <w:t>.  Tr. 6-9.</w:t>
      </w:r>
    </w:p>
    <w:p w:rsidR="00B00FFE" w:rsidRDefault="00B00FFE" w:rsidP="008E1EAD">
      <w:pPr>
        <w:spacing w:line="360" w:lineRule="auto"/>
        <w:rPr>
          <w:sz w:val="24"/>
          <w:szCs w:val="24"/>
        </w:rPr>
      </w:pPr>
    </w:p>
    <w:p w:rsidR="00B00FFE" w:rsidRDefault="00B00FFE" w:rsidP="008E1EAD">
      <w:pPr>
        <w:spacing w:line="360" w:lineRule="auto"/>
        <w:rPr>
          <w:sz w:val="24"/>
          <w:szCs w:val="24"/>
        </w:rPr>
      </w:pPr>
      <w:r>
        <w:rPr>
          <w:sz w:val="24"/>
          <w:szCs w:val="24"/>
        </w:rPr>
        <w:tab/>
      </w:r>
      <w:r>
        <w:rPr>
          <w:sz w:val="24"/>
          <w:szCs w:val="24"/>
        </w:rPr>
        <w:tab/>
        <w:t>4.</w:t>
      </w:r>
      <w:r>
        <w:rPr>
          <w:sz w:val="24"/>
          <w:szCs w:val="24"/>
        </w:rPr>
        <w:tab/>
        <w:t>Complainant alleged that he was switched from his prior NGS, UGI Utilities, Inc.</w:t>
      </w:r>
      <w:r w:rsidR="00DF150D">
        <w:rPr>
          <w:sz w:val="24"/>
          <w:szCs w:val="24"/>
        </w:rPr>
        <w:t xml:space="preserve"> (UGI)</w:t>
      </w:r>
      <w:r>
        <w:rPr>
          <w:sz w:val="24"/>
          <w:szCs w:val="24"/>
        </w:rPr>
        <w:t>, to Washington without his knowledge.  Tr. at 12.</w:t>
      </w:r>
    </w:p>
    <w:p w:rsidR="00940B9E" w:rsidRDefault="00940B9E" w:rsidP="008E1EAD">
      <w:pPr>
        <w:spacing w:line="360" w:lineRule="auto"/>
        <w:rPr>
          <w:sz w:val="24"/>
          <w:szCs w:val="24"/>
        </w:rPr>
      </w:pPr>
    </w:p>
    <w:p w:rsidR="00940B9E" w:rsidRDefault="00940B9E" w:rsidP="008E1EAD">
      <w:pPr>
        <w:spacing w:line="360" w:lineRule="auto"/>
        <w:rPr>
          <w:sz w:val="24"/>
          <w:szCs w:val="24"/>
        </w:rPr>
      </w:pPr>
      <w:r>
        <w:rPr>
          <w:sz w:val="24"/>
          <w:szCs w:val="24"/>
        </w:rPr>
        <w:tab/>
      </w:r>
      <w:r>
        <w:rPr>
          <w:sz w:val="24"/>
          <w:szCs w:val="24"/>
        </w:rPr>
        <w:tab/>
      </w:r>
      <w:r w:rsidR="00BC4CCE">
        <w:rPr>
          <w:sz w:val="24"/>
          <w:szCs w:val="24"/>
        </w:rPr>
        <w:t>5</w:t>
      </w:r>
      <w:r>
        <w:rPr>
          <w:sz w:val="24"/>
          <w:szCs w:val="24"/>
        </w:rPr>
        <w:t>.</w:t>
      </w:r>
      <w:r>
        <w:rPr>
          <w:sz w:val="24"/>
          <w:szCs w:val="24"/>
        </w:rPr>
        <w:tab/>
        <w:t>Complainant alleged that he had been mis-billed in December, 2014, and January, 2015</w:t>
      </w:r>
      <w:r w:rsidR="00BC4CCE">
        <w:rPr>
          <w:sz w:val="24"/>
          <w:szCs w:val="24"/>
        </w:rPr>
        <w:t xml:space="preserve"> for his natural gas supply and was improperly assessed a $200 cancellation fee by Washington</w:t>
      </w:r>
      <w:r w:rsidR="00DF150D">
        <w:rPr>
          <w:sz w:val="24"/>
          <w:szCs w:val="24"/>
        </w:rPr>
        <w:t xml:space="preserve"> when he cancelled his contract</w:t>
      </w:r>
      <w:r>
        <w:rPr>
          <w:sz w:val="24"/>
          <w:szCs w:val="24"/>
        </w:rPr>
        <w:t>.  Tr. at 9</w:t>
      </w:r>
      <w:r w:rsidR="00B00FFE">
        <w:rPr>
          <w:sz w:val="24"/>
          <w:szCs w:val="24"/>
        </w:rPr>
        <w:t>-10</w:t>
      </w:r>
      <w:r w:rsidR="00BC4CCE">
        <w:rPr>
          <w:sz w:val="24"/>
          <w:szCs w:val="24"/>
        </w:rPr>
        <w:t>, 12</w:t>
      </w:r>
      <w:r>
        <w:rPr>
          <w:sz w:val="24"/>
          <w:szCs w:val="24"/>
        </w:rPr>
        <w:t>.</w:t>
      </w:r>
    </w:p>
    <w:p w:rsidR="00940B9E" w:rsidRDefault="00940B9E" w:rsidP="008E1EAD">
      <w:pPr>
        <w:spacing w:line="360" w:lineRule="auto"/>
        <w:rPr>
          <w:sz w:val="24"/>
          <w:szCs w:val="24"/>
        </w:rPr>
      </w:pPr>
    </w:p>
    <w:p w:rsidR="00DF150D" w:rsidRDefault="00940B9E" w:rsidP="008E1EAD">
      <w:pPr>
        <w:spacing w:line="360" w:lineRule="auto"/>
        <w:rPr>
          <w:sz w:val="24"/>
          <w:szCs w:val="24"/>
        </w:rPr>
      </w:pPr>
      <w:r>
        <w:rPr>
          <w:sz w:val="24"/>
          <w:szCs w:val="24"/>
        </w:rPr>
        <w:tab/>
      </w:r>
      <w:r>
        <w:rPr>
          <w:sz w:val="24"/>
          <w:szCs w:val="24"/>
        </w:rPr>
        <w:tab/>
      </w:r>
      <w:r w:rsidR="005A2692">
        <w:rPr>
          <w:sz w:val="24"/>
          <w:szCs w:val="24"/>
        </w:rPr>
        <w:t>6</w:t>
      </w:r>
      <w:r w:rsidR="00BC4CCE">
        <w:rPr>
          <w:sz w:val="24"/>
          <w:szCs w:val="24"/>
        </w:rPr>
        <w:t>.</w:t>
      </w:r>
      <w:r w:rsidR="00BC4CCE">
        <w:rPr>
          <w:sz w:val="24"/>
          <w:szCs w:val="24"/>
        </w:rPr>
        <w:tab/>
      </w:r>
      <w:r w:rsidR="00DF150D">
        <w:rPr>
          <w:sz w:val="24"/>
          <w:szCs w:val="24"/>
        </w:rPr>
        <w:t>Complainant was enrolled with Washington for a one year term by a door-to-door sales representative of Washington.  Tr. 19.</w:t>
      </w:r>
    </w:p>
    <w:p w:rsidR="00DF150D" w:rsidRDefault="00DF150D" w:rsidP="008E1EAD">
      <w:pPr>
        <w:spacing w:line="360" w:lineRule="auto"/>
        <w:rPr>
          <w:sz w:val="24"/>
          <w:szCs w:val="24"/>
        </w:rPr>
      </w:pPr>
    </w:p>
    <w:p w:rsidR="00006D9D" w:rsidRDefault="00DF150D" w:rsidP="008E1EAD">
      <w:pPr>
        <w:spacing w:line="360" w:lineRule="auto"/>
        <w:rPr>
          <w:sz w:val="24"/>
          <w:szCs w:val="24"/>
        </w:rPr>
      </w:pPr>
      <w:r>
        <w:rPr>
          <w:sz w:val="24"/>
          <w:szCs w:val="24"/>
        </w:rPr>
        <w:tab/>
      </w:r>
      <w:r>
        <w:rPr>
          <w:sz w:val="24"/>
          <w:szCs w:val="24"/>
        </w:rPr>
        <w:tab/>
      </w:r>
      <w:r w:rsidR="005A2692">
        <w:rPr>
          <w:sz w:val="24"/>
          <w:szCs w:val="24"/>
        </w:rPr>
        <w:t>7</w:t>
      </w:r>
      <w:r>
        <w:rPr>
          <w:sz w:val="24"/>
          <w:szCs w:val="24"/>
        </w:rPr>
        <w:t>.</w:t>
      </w:r>
      <w:r>
        <w:rPr>
          <w:sz w:val="24"/>
          <w:szCs w:val="24"/>
        </w:rPr>
        <w:tab/>
      </w:r>
      <w:r w:rsidR="00006D9D">
        <w:rPr>
          <w:sz w:val="24"/>
          <w:szCs w:val="24"/>
        </w:rPr>
        <w:t xml:space="preserve">Complainant enrolled with Washington on September 21, 2013, for fixed rate service for both electricity and natural gas service.  </w:t>
      </w:r>
      <w:proofErr w:type="gramStart"/>
      <w:r w:rsidR="00006D9D">
        <w:rPr>
          <w:sz w:val="24"/>
          <w:szCs w:val="24"/>
        </w:rPr>
        <w:t>Tr. 20</w:t>
      </w:r>
      <w:r w:rsidR="00765329">
        <w:rPr>
          <w:sz w:val="24"/>
          <w:szCs w:val="24"/>
        </w:rPr>
        <w:t>, 60</w:t>
      </w:r>
      <w:r w:rsidR="00006D9D">
        <w:rPr>
          <w:sz w:val="24"/>
          <w:szCs w:val="24"/>
        </w:rPr>
        <w:t>.</w:t>
      </w:r>
      <w:proofErr w:type="gramEnd"/>
    </w:p>
    <w:p w:rsidR="005A2692" w:rsidRDefault="005A2692" w:rsidP="008E1EAD">
      <w:pPr>
        <w:spacing w:line="360" w:lineRule="auto"/>
        <w:rPr>
          <w:sz w:val="24"/>
          <w:szCs w:val="24"/>
        </w:rPr>
      </w:pPr>
    </w:p>
    <w:p w:rsidR="00940B9E" w:rsidRDefault="00B00FFE" w:rsidP="008E1EAD">
      <w:pPr>
        <w:spacing w:line="360" w:lineRule="auto"/>
        <w:rPr>
          <w:sz w:val="24"/>
          <w:szCs w:val="24"/>
        </w:rPr>
      </w:pPr>
      <w:r>
        <w:rPr>
          <w:sz w:val="24"/>
          <w:szCs w:val="24"/>
        </w:rPr>
        <w:tab/>
      </w:r>
      <w:r w:rsidR="00EE490A">
        <w:rPr>
          <w:sz w:val="24"/>
          <w:szCs w:val="24"/>
        </w:rPr>
        <w:tab/>
      </w:r>
      <w:r w:rsidR="005A2692">
        <w:rPr>
          <w:sz w:val="24"/>
          <w:szCs w:val="24"/>
        </w:rPr>
        <w:t>8</w:t>
      </w:r>
      <w:r w:rsidR="00EE490A">
        <w:rPr>
          <w:sz w:val="24"/>
          <w:szCs w:val="24"/>
        </w:rPr>
        <w:t>.</w:t>
      </w:r>
      <w:r w:rsidR="00EE490A">
        <w:rPr>
          <w:sz w:val="24"/>
          <w:szCs w:val="24"/>
        </w:rPr>
        <w:tab/>
        <w:t>Washington has contracted with a third-party verification provider (TPV), Sales Verification, that is contacted by the salesperson after a sale, but while the customer is present. Tr. 21-22.</w:t>
      </w:r>
    </w:p>
    <w:p w:rsidR="00EE490A" w:rsidRDefault="00EE490A" w:rsidP="008E1EAD">
      <w:pPr>
        <w:spacing w:line="360" w:lineRule="auto"/>
        <w:rPr>
          <w:sz w:val="24"/>
          <w:szCs w:val="24"/>
        </w:rPr>
      </w:pPr>
    </w:p>
    <w:p w:rsidR="00EE490A" w:rsidRDefault="00EE490A" w:rsidP="008E1EAD">
      <w:pPr>
        <w:spacing w:line="360" w:lineRule="auto"/>
        <w:rPr>
          <w:sz w:val="24"/>
          <w:szCs w:val="24"/>
        </w:rPr>
      </w:pPr>
      <w:r>
        <w:rPr>
          <w:sz w:val="24"/>
          <w:szCs w:val="24"/>
        </w:rPr>
        <w:lastRenderedPageBreak/>
        <w:tab/>
      </w:r>
      <w:r>
        <w:rPr>
          <w:sz w:val="24"/>
          <w:szCs w:val="24"/>
        </w:rPr>
        <w:tab/>
      </w:r>
      <w:r w:rsidR="005A2692">
        <w:rPr>
          <w:sz w:val="24"/>
          <w:szCs w:val="24"/>
        </w:rPr>
        <w:t>9</w:t>
      </w:r>
      <w:r>
        <w:rPr>
          <w:sz w:val="24"/>
          <w:szCs w:val="24"/>
        </w:rPr>
        <w:t>.</w:t>
      </w:r>
      <w:r>
        <w:rPr>
          <w:sz w:val="24"/>
          <w:szCs w:val="24"/>
        </w:rPr>
        <w:tab/>
        <w:t>The salesperson provides the TPV with the customer’s account information as well as the terms of the plan agreed to.  Tr. 22.</w:t>
      </w:r>
    </w:p>
    <w:p w:rsidR="00EE490A" w:rsidRDefault="00EE490A" w:rsidP="008E1EAD">
      <w:pPr>
        <w:spacing w:line="360" w:lineRule="auto"/>
        <w:rPr>
          <w:sz w:val="24"/>
          <w:szCs w:val="24"/>
        </w:rPr>
      </w:pPr>
    </w:p>
    <w:p w:rsidR="00EE490A" w:rsidRDefault="00EE490A" w:rsidP="008E1EAD">
      <w:pPr>
        <w:spacing w:line="360" w:lineRule="auto"/>
        <w:rPr>
          <w:sz w:val="24"/>
          <w:szCs w:val="24"/>
        </w:rPr>
      </w:pPr>
      <w:r>
        <w:rPr>
          <w:sz w:val="24"/>
          <w:szCs w:val="24"/>
        </w:rPr>
        <w:tab/>
      </w:r>
      <w:r>
        <w:rPr>
          <w:sz w:val="24"/>
          <w:szCs w:val="24"/>
        </w:rPr>
        <w:tab/>
        <w:t>1</w:t>
      </w:r>
      <w:r w:rsidR="005A2692">
        <w:rPr>
          <w:sz w:val="24"/>
          <w:szCs w:val="24"/>
        </w:rPr>
        <w:t>0</w:t>
      </w:r>
      <w:r>
        <w:rPr>
          <w:sz w:val="24"/>
          <w:szCs w:val="24"/>
        </w:rPr>
        <w:t>.</w:t>
      </w:r>
      <w:r>
        <w:rPr>
          <w:sz w:val="24"/>
          <w:szCs w:val="24"/>
        </w:rPr>
        <w:tab/>
        <w:t>The customer is then put on the phone with the TPV and confirms his understanding of the enrollment and terms.  Tr. 22.</w:t>
      </w:r>
    </w:p>
    <w:p w:rsidR="00EE490A" w:rsidRDefault="00EE490A" w:rsidP="008E1EAD">
      <w:pPr>
        <w:spacing w:line="360" w:lineRule="auto"/>
        <w:rPr>
          <w:sz w:val="24"/>
          <w:szCs w:val="24"/>
        </w:rPr>
      </w:pPr>
    </w:p>
    <w:p w:rsidR="00EE490A" w:rsidRDefault="00EE490A" w:rsidP="008E1EAD">
      <w:pPr>
        <w:spacing w:line="360" w:lineRule="auto"/>
        <w:rPr>
          <w:sz w:val="24"/>
          <w:szCs w:val="24"/>
        </w:rPr>
      </w:pPr>
      <w:r>
        <w:rPr>
          <w:sz w:val="24"/>
          <w:szCs w:val="24"/>
        </w:rPr>
        <w:tab/>
      </w:r>
      <w:r>
        <w:rPr>
          <w:sz w:val="24"/>
          <w:szCs w:val="24"/>
        </w:rPr>
        <w:tab/>
        <w:t>1</w:t>
      </w:r>
      <w:r w:rsidR="005A2692">
        <w:rPr>
          <w:sz w:val="24"/>
          <w:szCs w:val="24"/>
        </w:rPr>
        <w:t>1</w:t>
      </w:r>
      <w:r>
        <w:rPr>
          <w:sz w:val="24"/>
          <w:szCs w:val="24"/>
        </w:rPr>
        <w:t>.</w:t>
      </w:r>
      <w:r>
        <w:rPr>
          <w:sz w:val="24"/>
          <w:szCs w:val="24"/>
        </w:rPr>
        <w:tab/>
        <w:t>After the salesperson leaves the premises, the TPV later calls the customer and confirms that the customer wants to enroll, confirms the terms and rescission period, and re-confirms the customer’s decision to enroll.  Tr. 22.</w:t>
      </w:r>
    </w:p>
    <w:p w:rsidR="006E08E5" w:rsidRDefault="006E08E5" w:rsidP="008E1EAD">
      <w:pPr>
        <w:spacing w:line="360" w:lineRule="auto"/>
        <w:rPr>
          <w:sz w:val="24"/>
          <w:szCs w:val="24"/>
        </w:rPr>
      </w:pPr>
    </w:p>
    <w:p w:rsidR="006E08E5" w:rsidRDefault="006E08E5" w:rsidP="008E1EAD">
      <w:pPr>
        <w:spacing w:line="360" w:lineRule="auto"/>
        <w:rPr>
          <w:sz w:val="24"/>
          <w:szCs w:val="24"/>
        </w:rPr>
      </w:pPr>
      <w:r>
        <w:rPr>
          <w:sz w:val="24"/>
          <w:szCs w:val="24"/>
        </w:rPr>
        <w:tab/>
      </w:r>
      <w:r>
        <w:rPr>
          <w:sz w:val="24"/>
          <w:szCs w:val="24"/>
        </w:rPr>
        <w:tab/>
        <w:t>1</w:t>
      </w:r>
      <w:r w:rsidR="005A2692">
        <w:rPr>
          <w:sz w:val="24"/>
          <w:szCs w:val="24"/>
        </w:rPr>
        <w:t>2</w:t>
      </w:r>
      <w:r>
        <w:rPr>
          <w:sz w:val="24"/>
          <w:szCs w:val="24"/>
        </w:rPr>
        <w:t>.</w:t>
      </w:r>
      <w:r>
        <w:rPr>
          <w:sz w:val="24"/>
          <w:szCs w:val="24"/>
        </w:rPr>
        <w:tab/>
        <w:t xml:space="preserve">The </w:t>
      </w:r>
      <w:proofErr w:type="spellStart"/>
      <w:r>
        <w:rPr>
          <w:sz w:val="24"/>
          <w:szCs w:val="24"/>
        </w:rPr>
        <w:t>CD-Rom</w:t>
      </w:r>
      <w:proofErr w:type="spellEnd"/>
      <w:r>
        <w:rPr>
          <w:sz w:val="24"/>
          <w:szCs w:val="24"/>
        </w:rPr>
        <w:t xml:space="preserve"> played at the hearing established that Complainant was advised of and acknowledged his switch to Washington as his electric and natural gas provider, the terms thereof, and that this was reconfirmed by the TPV outside of the presence of the salesperson.  Tr. 24-32; Exhibits 2, 10. </w:t>
      </w:r>
    </w:p>
    <w:p w:rsidR="00064463" w:rsidRDefault="00064463" w:rsidP="008E1EAD">
      <w:pPr>
        <w:spacing w:line="360" w:lineRule="auto"/>
        <w:rPr>
          <w:sz w:val="24"/>
          <w:szCs w:val="24"/>
        </w:rPr>
      </w:pPr>
    </w:p>
    <w:p w:rsidR="00064463" w:rsidRDefault="00064463" w:rsidP="008E1EAD">
      <w:pPr>
        <w:spacing w:line="360" w:lineRule="auto"/>
        <w:rPr>
          <w:sz w:val="24"/>
          <w:szCs w:val="24"/>
        </w:rPr>
      </w:pPr>
      <w:r>
        <w:rPr>
          <w:sz w:val="24"/>
          <w:szCs w:val="24"/>
        </w:rPr>
        <w:tab/>
      </w:r>
      <w:r>
        <w:rPr>
          <w:sz w:val="24"/>
          <w:szCs w:val="24"/>
        </w:rPr>
        <w:tab/>
        <w:t>1</w:t>
      </w:r>
      <w:r w:rsidR="005A2692">
        <w:rPr>
          <w:sz w:val="24"/>
          <w:szCs w:val="24"/>
        </w:rPr>
        <w:t>3</w:t>
      </w:r>
      <w:r>
        <w:rPr>
          <w:sz w:val="24"/>
          <w:szCs w:val="24"/>
        </w:rPr>
        <w:t>.</w:t>
      </w:r>
      <w:r>
        <w:rPr>
          <w:sz w:val="24"/>
          <w:szCs w:val="24"/>
        </w:rPr>
        <w:tab/>
        <w:t>Washington provides a pre-enrollment letter for each account within three days of the enrollment date that provides details of contract terms and cancellation fees.  Tr. 34.</w:t>
      </w:r>
    </w:p>
    <w:p w:rsidR="00064463" w:rsidRDefault="00064463" w:rsidP="008E1EAD">
      <w:pPr>
        <w:spacing w:line="360" w:lineRule="auto"/>
        <w:rPr>
          <w:sz w:val="24"/>
          <w:szCs w:val="24"/>
        </w:rPr>
      </w:pPr>
    </w:p>
    <w:p w:rsidR="00064463" w:rsidRDefault="00064463" w:rsidP="008E1EAD">
      <w:pPr>
        <w:spacing w:line="360" w:lineRule="auto"/>
        <w:rPr>
          <w:sz w:val="24"/>
          <w:szCs w:val="24"/>
        </w:rPr>
      </w:pPr>
      <w:r>
        <w:rPr>
          <w:sz w:val="24"/>
          <w:szCs w:val="24"/>
        </w:rPr>
        <w:tab/>
      </w:r>
      <w:r>
        <w:rPr>
          <w:sz w:val="24"/>
          <w:szCs w:val="24"/>
        </w:rPr>
        <w:tab/>
        <w:t>1</w:t>
      </w:r>
      <w:r w:rsidR="005A2692">
        <w:rPr>
          <w:sz w:val="24"/>
          <w:szCs w:val="24"/>
        </w:rPr>
        <w:t>4</w:t>
      </w:r>
      <w:r>
        <w:rPr>
          <w:sz w:val="24"/>
          <w:szCs w:val="24"/>
        </w:rPr>
        <w:t>.</w:t>
      </w:r>
      <w:r>
        <w:rPr>
          <w:sz w:val="24"/>
          <w:szCs w:val="24"/>
        </w:rPr>
        <w:tab/>
        <w:t>Once an enrollment is accepted by the customer’s utility provider, a confirmation letter with a contract start and end date, confirming the rate and the program enrolled in, is sent to the customer.  Tr. at 34; Exhibits 3,</w:t>
      </w:r>
      <w:r w:rsidR="00DD535D">
        <w:rPr>
          <w:sz w:val="24"/>
          <w:szCs w:val="24"/>
        </w:rPr>
        <w:t xml:space="preserve"> </w:t>
      </w:r>
      <w:r>
        <w:rPr>
          <w:sz w:val="24"/>
          <w:szCs w:val="24"/>
        </w:rPr>
        <w:t>4.</w:t>
      </w:r>
    </w:p>
    <w:p w:rsidR="00064463" w:rsidRDefault="00064463" w:rsidP="008E1EAD">
      <w:pPr>
        <w:spacing w:line="360" w:lineRule="auto"/>
        <w:rPr>
          <w:sz w:val="24"/>
          <w:szCs w:val="24"/>
        </w:rPr>
      </w:pPr>
    </w:p>
    <w:p w:rsidR="00DD535D" w:rsidRDefault="00064463" w:rsidP="008E1EAD">
      <w:pPr>
        <w:spacing w:line="360" w:lineRule="auto"/>
        <w:rPr>
          <w:sz w:val="24"/>
          <w:szCs w:val="24"/>
        </w:rPr>
      </w:pPr>
      <w:r>
        <w:rPr>
          <w:sz w:val="24"/>
          <w:szCs w:val="24"/>
        </w:rPr>
        <w:tab/>
      </w:r>
      <w:r>
        <w:rPr>
          <w:sz w:val="24"/>
          <w:szCs w:val="24"/>
        </w:rPr>
        <w:tab/>
        <w:t>1</w:t>
      </w:r>
      <w:r w:rsidR="005A2692">
        <w:rPr>
          <w:sz w:val="24"/>
          <w:szCs w:val="24"/>
        </w:rPr>
        <w:t>5</w:t>
      </w:r>
      <w:r>
        <w:rPr>
          <w:sz w:val="24"/>
          <w:szCs w:val="24"/>
        </w:rPr>
        <w:t>.</w:t>
      </w:r>
      <w:r>
        <w:rPr>
          <w:sz w:val="24"/>
          <w:szCs w:val="24"/>
        </w:rPr>
        <w:tab/>
      </w:r>
      <w:r w:rsidR="00DD535D">
        <w:rPr>
          <w:sz w:val="24"/>
          <w:szCs w:val="24"/>
        </w:rPr>
        <w:t>The pre-enrollment letter and confirmation letter sent to Complainant by Washington were not returned by the United States Postal Service.  Tr. 36.</w:t>
      </w:r>
    </w:p>
    <w:p w:rsidR="00DD535D" w:rsidRDefault="00DD535D" w:rsidP="008E1EAD">
      <w:pPr>
        <w:spacing w:line="360" w:lineRule="auto"/>
        <w:rPr>
          <w:sz w:val="24"/>
          <w:szCs w:val="24"/>
        </w:rPr>
      </w:pPr>
    </w:p>
    <w:p w:rsidR="00064463" w:rsidRDefault="00DD535D" w:rsidP="008E1EAD">
      <w:pPr>
        <w:spacing w:line="360" w:lineRule="auto"/>
        <w:rPr>
          <w:sz w:val="24"/>
          <w:szCs w:val="24"/>
        </w:rPr>
      </w:pPr>
      <w:r>
        <w:rPr>
          <w:sz w:val="24"/>
          <w:szCs w:val="24"/>
        </w:rPr>
        <w:tab/>
      </w:r>
      <w:r>
        <w:rPr>
          <w:sz w:val="24"/>
          <w:szCs w:val="24"/>
        </w:rPr>
        <w:tab/>
        <w:t>1</w:t>
      </w:r>
      <w:r w:rsidR="005A2692">
        <w:rPr>
          <w:sz w:val="24"/>
          <w:szCs w:val="24"/>
        </w:rPr>
        <w:t>6</w:t>
      </w:r>
      <w:r>
        <w:rPr>
          <w:sz w:val="24"/>
          <w:szCs w:val="24"/>
        </w:rPr>
        <w:t>.</w:t>
      </w:r>
      <w:r>
        <w:rPr>
          <w:sz w:val="24"/>
          <w:szCs w:val="24"/>
        </w:rPr>
        <w:tab/>
        <w:t>Complainant was a customer of Washington from November 6, 2013 to February 7, 2014, for natural gas supply service, and from October 29, 2013 through April 25, 2014 for electricity supply service.  Tr. 37.</w:t>
      </w:r>
    </w:p>
    <w:p w:rsidR="00DD535D" w:rsidRDefault="00DD535D" w:rsidP="008E1EAD">
      <w:pPr>
        <w:spacing w:line="360" w:lineRule="auto"/>
        <w:rPr>
          <w:sz w:val="24"/>
          <w:szCs w:val="24"/>
        </w:rPr>
      </w:pPr>
    </w:p>
    <w:p w:rsidR="00DD535D" w:rsidRDefault="00DD535D" w:rsidP="008E1EAD">
      <w:pPr>
        <w:spacing w:line="360" w:lineRule="auto"/>
        <w:rPr>
          <w:sz w:val="24"/>
          <w:szCs w:val="24"/>
        </w:rPr>
      </w:pPr>
      <w:r>
        <w:rPr>
          <w:sz w:val="24"/>
          <w:szCs w:val="24"/>
        </w:rPr>
        <w:tab/>
      </w:r>
      <w:r>
        <w:rPr>
          <w:sz w:val="24"/>
          <w:szCs w:val="24"/>
        </w:rPr>
        <w:tab/>
        <w:t>1</w:t>
      </w:r>
      <w:r w:rsidR="005A2692">
        <w:rPr>
          <w:sz w:val="24"/>
          <w:szCs w:val="24"/>
        </w:rPr>
        <w:t>7</w:t>
      </w:r>
      <w:r>
        <w:rPr>
          <w:sz w:val="24"/>
          <w:szCs w:val="24"/>
        </w:rPr>
        <w:t>.</w:t>
      </w:r>
      <w:r>
        <w:rPr>
          <w:sz w:val="24"/>
          <w:szCs w:val="24"/>
        </w:rPr>
        <w:tab/>
        <w:t>Washington was informed by Met Ed on December 31, 2013 that Complainant had cancel</w:t>
      </w:r>
      <w:r w:rsidR="007121EB">
        <w:rPr>
          <w:sz w:val="24"/>
          <w:szCs w:val="24"/>
        </w:rPr>
        <w:t>l</w:t>
      </w:r>
      <w:r>
        <w:rPr>
          <w:sz w:val="24"/>
          <w:szCs w:val="24"/>
        </w:rPr>
        <w:t>ed his natural gas supply service.  Tr. 37.</w:t>
      </w:r>
    </w:p>
    <w:p w:rsidR="00DD535D" w:rsidRDefault="00DD535D" w:rsidP="008E1EAD">
      <w:pPr>
        <w:spacing w:line="360" w:lineRule="auto"/>
        <w:rPr>
          <w:sz w:val="24"/>
          <w:szCs w:val="24"/>
        </w:rPr>
      </w:pPr>
    </w:p>
    <w:p w:rsidR="00DD535D" w:rsidRDefault="00DD535D" w:rsidP="008E1EAD">
      <w:pPr>
        <w:spacing w:line="360" w:lineRule="auto"/>
        <w:rPr>
          <w:sz w:val="24"/>
          <w:szCs w:val="24"/>
        </w:rPr>
      </w:pPr>
      <w:r>
        <w:rPr>
          <w:sz w:val="24"/>
          <w:szCs w:val="24"/>
        </w:rPr>
        <w:tab/>
      </w:r>
      <w:r>
        <w:rPr>
          <w:sz w:val="24"/>
          <w:szCs w:val="24"/>
        </w:rPr>
        <w:tab/>
      </w:r>
      <w:r w:rsidR="005A2692">
        <w:rPr>
          <w:sz w:val="24"/>
          <w:szCs w:val="24"/>
        </w:rPr>
        <w:t>18</w:t>
      </w:r>
      <w:r>
        <w:rPr>
          <w:sz w:val="24"/>
          <w:szCs w:val="24"/>
        </w:rPr>
        <w:t>.</w:t>
      </w:r>
      <w:r>
        <w:rPr>
          <w:sz w:val="24"/>
          <w:szCs w:val="24"/>
        </w:rPr>
        <w:tab/>
      </w:r>
      <w:r w:rsidR="007121EB">
        <w:rPr>
          <w:sz w:val="24"/>
          <w:szCs w:val="24"/>
        </w:rPr>
        <w:t>Complainant was contacted by Washington and reminded of the early cancellation fee, but Washington waived that fee.  Tr. 37.</w:t>
      </w:r>
    </w:p>
    <w:p w:rsidR="007121EB" w:rsidRDefault="007121EB" w:rsidP="008E1EAD">
      <w:pPr>
        <w:spacing w:line="360" w:lineRule="auto"/>
        <w:rPr>
          <w:sz w:val="24"/>
          <w:szCs w:val="24"/>
        </w:rPr>
      </w:pPr>
    </w:p>
    <w:p w:rsidR="007121EB" w:rsidRDefault="007121EB" w:rsidP="008E1EAD">
      <w:pPr>
        <w:spacing w:line="360" w:lineRule="auto"/>
        <w:rPr>
          <w:sz w:val="24"/>
          <w:szCs w:val="24"/>
        </w:rPr>
      </w:pPr>
      <w:r>
        <w:rPr>
          <w:sz w:val="24"/>
          <w:szCs w:val="24"/>
        </w:rPr>
        <w:tab/>
      </w:r>
      <w:r>
        <w:rPr>
          <w:sz w:val="24"/>
          <w:szCs w:val="24"/>
        </w:rPr>
        <w:tab/>
      </w:r>
      <w:r w:rsidR="005A2692">
        <w:rPr>
          <w:sz w:val="24"/>
          <w:szCs w:val="24"/>
        </w:rPr>
        <w:t>19</w:t>
      </w:r>
      <w:r>
        <w:rPr>
          <w:sz w:val="24"/>
          <w:szCs w:val="24"/>
        </w:rPr>
        <w:t>.</w:t>
      </w:r>
      <w:r>
        <w:rPr>
          <w:sz w:val="24"/>
          <w:szCs w:val="24"/>
        </w:rPr>
        <w:tab/>
      </w:r>
      <w:r w:rsidRPr="007121EB">
        <w:rPr>
          <w:sz w:val="24"/>
          <w:szCs w:val="24"/>
        </w:rPr>
        <w:t xml:space="preserve">Washington was </w:t>
      </w:r>
      <w:r w:rsidR="00F41EDE">
        <w:rPr>
          <w:sz w:val="24"/>
          <w:szCs w:val="24"/>
        </w:rPr>
        <w:t xml:space="preserve">again </w:t>
      </w:r>
      <w:r w:rsidRPr="007121EB">
        <w:rPr>
          <w:sz w:val="24"/>
          <w:szCs w:val="24"/>
        </w:rPr>
        <w:t xml:space="preserve">informed by </w:t>
      </w:r>
      <w:r>
        <w:rPr>
          <w:sz w:val="24"/>
          <w:szCs w:val="24"/>
        </w:rPr>
        <w:t xml:space="preserve">Complainant </w:t>
      </w:r>
      <w:r w:rsidRPr="007121EB">
        <w:rPr>
          <w:sz w:val="24"/>
          <w:szCs w:val="24"/>
        </w:rPr>
        <w:t xml:space="preserve">on </w:t>
      </w:r>
      <w:r>
        <w:rPr>
          <w:sz w:val="24"/>
          <w:szCs w:val="24"/>
        </w:rPr>
        <w:t>April 7, 2</w:t>
      </w:r>
      <w:r w:rsidRPr="007121EB">
        <w:rPr>
          <w:sz w:val="24"/>
          <w:szCs w:val="24"/>
        </w:rPr>
        <w:t>01</w:t>
      </w:r>
      <w:r>
        <w:rPr>
          <w:sz w:val="24"/>
          <w:szCs w:val="24"/>
        </w:rPr>
        <w:t>4</w:t>
      </w:r>
      <w:r w:rsidRPr="007121EB">
        <w:rPr>
          <w:sz w:val="24"/>
          <w:szCs w:val="24"/>
        </w:rPr>
        <w:t xml:space="preserve"> that </w:t>
      </w:r>
      <w:r>
        <w:rPr>
          <w:sz w:val="24"/>
          <w:szCs w:val="24"/>
        </w:rPr>
        <w:t xml:space="preserve">he wished to </w:t>
      </w:r>
      <w:r w:rsidRPr="007121EB">
        <w:rPr>
          <w:sz w:val="24"/>
          <w:szCs w:val="24"/>
        </w:rPr>
        <w:t xml:space="preserve">cancel his </w:t>
      </w:r>
      <w:r>
        <w:rPr>
          <w:sz w:val="24"/>
          <w:szCs w:val="24"/>
        </w:rPr>
        <w:t xml:space="preserve">electricity </w:t>
      </w:r>
      <w:r w:rsidRPr="007121EB">
        <w:rPr>
          <w:sz w:val="24"/>
          <w:szCs w:val="24"/>
        </w:rPr>
        <w:t>supply service.  Tr. 3</w:t>
      </w:r>
      <w:r>
        <w:rPr>
          <w:sz w:val="24"/>
          <w:szCs w:val="24"/>
        </w:rPr>
        <w:t>8</w:t>
      </w:r>
      <w:r w:rsidRPr="007121EB">
        <w:rPr>
          <w:sz w:val="24"/>
          <w:szCs w:val="24"/>
        </w:rPr>
        <w:t>.</w:t>
      </w:r>
    </w:p>
    <w:p w:rsidR="007121EB" w:rsidRDefault="007121EB" w:rsidP="008E1EAD">
      <w:pPr>
        <w:spacing w:line="360" w:lineRule="auto"/>
        <w:rPr>
          <w:sz w:val="24"/>
          <w:szCs w:val="24"/>
        </w:rPr>
      </w:pPr>
    </w:p>
    <w:p w:rsidR="007121EB" w:rsidRDefault="007121EB" w:rsidP="008E1EAD">
      <w:pPr>
        <w:spacing w:line="360" w:lineRule="auto"/>
        <w:rPr>
          <w:sz w:val="24"/>
          <w:szCs w:val="24"/>
        </w:rPr>
      </w:pPr>
      <w:r>
        <w:rPr>
          <w:sz w:val="24"/>
          <w:szCs w:val="24"/>
        </w:rPr>
        <w:tab/>
      </w:r>
      <w:r>
        <w:rPr>
          <w:sz w:val="24"/>
          <w:szCs w:val="24"/>
        </w:rPr>
        <w:tab/>
        <w:t>2</w:t>
      </w:r>
      <w:r w:rsidR="005A2692">
        <w:rPr>
          <w:sz w:val="24"/>
          <w:szCs w:val="24"/>
        </w:rPr>
        <w:t>0</w:t>
      </w:r>
      <w:r>
        <w:rPr>
          <w:sz w:val="24"/>
          <w:szCs w:val="24"/>
        </w:rPr>
        <w:t>.</w:t>
      </w:r>
      <w:r>
        <w:rPr>
          <w:sz w:val="24"/>
          <w:szCs w:val="24"/>
        </w:rPr>
        <w:tab/>
        <w:t xml:space="preserve">Complainant was advised of the early cancellation fee associated with the account, </w:t>
      </w:r>
      <w:r w:rsidRPr="007121EB">
        <w:rPr>
          <w:sz w:val="24"/>
          <w:szCs w:val="24"/>
        </w:rPr>
        <w:t>but Washington waived that fee.  Tr. 3</w:t>
      </w:r>
      <w:r>
        <w:rPr>
          <w:sz w:val="24"/>
          <w:szCs w:val="24"/>
        </w:rPr>
        <w:t>8</w:t>
      </w:r>
      <w:r w:rsidRPr="007121EB">
        <w:rPr>
          <w:sz w:val="24"/>
          <w:szCs w:val="24"/>
        </w:rPr>
        <w:t>.</w:t>
      </w:r>
    </w:p>
    <w:p w:rsidR="007121EB" w:rsidRDefault="007121EB" w:rsidP="008E1EAD">
      <w:pPr>
        <w:spacing w:line="360" w:lineRule="auto"/>
        <w:rPr>
          <w:sz w:val="24"/>
          <w:szCs w:val="24"/>
        </w:rPr>
      </w:pPr>
    </w:p>
    <w:p w:rsidR="007121EB" w:rsidRDefault="0004238E" w:rsidP="008E1EAD">
      <w:pPr>
        <w:spacing w:line="360" w:lineRule="auto"/>
        <w:rPr>
          <w:sz w:val="24"/>
          <w:szCs w:val="24"/>
        </w:rPr>
      </w:pPr>
      <w:r>
        <w:rPr>
          <w:sz w:val="24"/>
          <w:szCs w:val="24"/>
        </w:rPr>
        <w:tab/>
      </w:r>
      <w:r>
        <w:rPr>
          <w:sz w:val="24"/>
          <w:szCs w:val="24"/>
        </w:rPr>
        <w:tab/>
        <w:t>2</w:t>
      </w:r>
      <w:r w:rsidR="005A2692">
        <w:rPr>
          <w:sz w:val="24"/>
          <w:szCs w:val="24"/>
        </w:rPr>
        <w:t>1</w:t>
      </w:r>
      <w:r>
        <w:rPr>
          <w:sz w:val="24"/>
          <w:szCs w:val="24"/>
        </w:rPr>
        <w:t>.</w:t>
      </w:r>
      <w:r>
        <w:rPr>
          <w:sz w:val="24"/>
          <w:szCs w:val="24"/>
        </w:rPr>
        <w:tab/>
        <w:t>In April, 2014, Complainant contacted Washington about the amount of his electric bill and questioned whether his meter had been properly read. Tr. 42-43.</w:t>
      </w:r>
    </w:p>
    <w:p w:rsidR="0004238E" w:rsidRDefault="0004238E" w:rsidP="008E1EAD">
      <w:pPr>
        <w:spacing w:line="360" w:lineRule="auto"/>
        <w:rPr>
          <w:sz w:val="24"/>
          <w:szCs w:val="24"/>
        </w:rPr>
      </w:pPr>
    </w:p>
    <w:p w:rsidR="0004238E" w:rsidRDefault="0004238E" w:rsidP="008E1EAD">
      <w:pPr>
        <w:spacing w:line="360" w:lineRule="auto"/>
        <w:rPr>
          <w:sz w:val="24"/>
          <w:szCs w:val="24"/>
        </w:rPr>
      </w:pPr>
      <w:r>
        <w:rPr>
          <w:sz w:val="24"/>
          <w:szCs w:val="24"/>
        </w:rPr>
        <w:tab/>
      </w:r>
      <w:r>
        <w:rPr>
          <w:sz w:val="24"/>
          <w:szCs w:val="24"/>
        </w:rPr>
        <w:tab/>
        <w:t>2</w:t>
      </w:r>
      <w:r w:rsidR="005A2692">
        <w:rPr>
          <w:sz w:val="24"/>
          <w:szCs w:val="24"/>
        </w:rPr>
        <w:t>2</w:t>
      </w:r>
      <w:r>
        <w:rPr>
          <w:sz w:val="24"/>
          <w:szCs w:val="24"/>
        </w:rPr>
        <w:t>.</w:t>
      </w:r>
      <w:r>
        <w:rPr>
          <w:sz w:val="24"/>
          <w:szCs w:val="24"/>
        </w:rPr>
        <w:tab/>
        <w:t>Met Ed reads the Complainant’s electric meter.  Tr. 47.</w:t>
      </w:r>
    </w:p>
    <w:p w:rsidR="0004238E" w:rsidRDefault="0004238E" w:rsidP="008E1EAD">
      <w:pPr>
        <w:spacing w:line="360" w:lineRule="auto"/>
        <w:rPr>
          <w:sz w:val="24"/>
          <w:szCs w:val="24"/>
        </w:rPr>
      </w:pPr>
    </w:p>
    <w:p w:rsidR="0004238E" w:rsidRDefault="0004238E" w:rsidP="008E1EAD">
      <w:pPr>
        <w:spacing w:line="360" w:lineRule="auto"/>
        <w:rPr>
          <w:sz w:val="24"/>
          <w:szCs w:val="24"/>
        </w:rPr>
      </w:pPr>
      <w:r>
        <w:rPr>
          <w:sz w:val="24"/>
          <w:szCs w:val="24"/>
        </w:rPr>
        <w:tab/>
      </w:r>
      <w:r>
        <w:rPr>
          <w:sz w:val="24"/>
          <w:szCs w:val="24"/>
        </w:rPr>
        <w:tab/>
        <w:t>2</w:t>
      </w:r>
      <w:r w:rsidR="005A2692">
        <w:rPr>
          <w:sz w:val="24"/>
          <w:szCs w:val="24"/>
        </w:rPr>
        <w:t>3</w:t>
      </w:r>
      <w:r>
        <w:rPr>
          <w:sz w:val="24"/>
          <w:szCs w:val="24"/>
        </w:rPr>
        <w:t>.</w:t>
      </w:r>
      <w:r>
        <w:rPr>
          <w:sz w:val="24"/>
          <w:szCs w:val="24"/>
        </w:rPr>
        <w:tab/>
        <w:t>Complainant heats his residence with electric heat.  Tr. 48.</w:t>
      </w:r>
    </w:p>
    <w:p w:rsidR="0004238E" w:rsidRDefault="0004238E" w:rsidP="008E1EAD">
      <w:pPr>
        <w:spacing w:line="360" w:lineRule="auto"/>
        <w:rPr>
          <w:sz w:val="24"/>
          <w:szCs w:val="24"/>
        </w:rPr>
      </w:pPr>
    </w:p>
    <w:p w:rsidR="006E3DBF" w:rsidRDefault="0004238E" w:rsidP="008E1EAD">
      <w:pPr>
        <w:spacing w:line="360" w:lineRule="auto"/>
        <w:rPr>
          <w:sz w:val="24"/>
          <w:szCs w:val="24"/>
        </w:rPr>
      </w:pPr>
      <w:r>
        <w:rPr>
          <w:sz w:val="24"/>
          <w:szCs w:val="24"/>
        </w:rPr>
        <w:tab/>
      </w:r>
      <w:r>
        <w:rPr>
          <w:sz w:val="24"/>
          <w:szCs w:val="24"/>
        </w:rPr>
        <w:tab/>
        <w:t>2</w:t>
      </w:r>
      <w:r w:rsidR="005A2692">
        <w:rPr>
          <w:sz w:val="24"/>
          <w:szCs w:val="24"/>
        </w:rPr>
        <w:t>4</w:t>
      </w:r>
      <w:r>
        <w:rPr>
          <w:sz w:val="24"/>
          <w:szCs w:val="24"/>
        </w:rPr>
        <w:t>.</w:t>
      </w:r>
      <w:r>
        <w:rPr>
          <w:sz w:val="24"/>
          <w:szCs w:val="24"/>
        </w:rPr>
        <w:tab/>
      </w:r>
      <w:r w:rsidR="006E3DBF">
        <w:rPr>
          <w:sz w:val="24"/>
          <w:szCs w:val="24"/>
        </w:rPr>
        <w:t>Washington’s sales representatives go through a training program that includes the requirement of proper identification and adherence to a code of conduct.  Tr. 51.</w:t>
      </w:r>
    </w:p>
    <w:p w:rsidR="006E3DBF" w:rsidRDefault="006E3DBF" w:rsidP="008E1EAD">
      <w:pPr>
        <w:spacing w:line="360" w:lineRule="auto"/>
        <w:rPr>
          <w:sz w:val="24"/>
          <w:szCs w:val="24"/>
        </w:rPr>
      </w:pPr>
    </w:p>
    <w:p w:rsidR="006E3DBF" w:rsidRDefault="006E3DBF" w:rsidP="008E1EAD">
      <w:pPr>
        <w:spacing w:line="360" w:lineRule="auto"/>
        <w:rPr>
          <w:sz w:val="24"/>
          <w:szCs w:val="24"/>
        </w:rPr>
      </w:pPr>
      <w:r>
        <w:rPr>
          <w:sz w:val="24"/>
          <w:szCs w:val="24"/>
        </w:rPr>
        <w:tab/>
      </w:r>
      <w:r>
        <w:rPr>
          <w:sz w:val="24"/>
          <w:szCs w:val="24"/>
        </w:rPr>
        <w:tab/>
        <w:t>2</w:t>
      </w:r>
      <w:r w:rsidR="005A2692">
        <w:rPr>
          <w:sz w:val="24"/>
          <w:szCs w:val="24"/>
        </w:rPr>
        <w:t>5</w:t>
      </w:r>
      <w:bookmarkStart w:id="0" w:name="_GoBack"/>
      <w:bookmarkEnd w:id="0"/>
      <w:r>
        <w:rPr>
          <w:sz w:val="24"/>
          <w:szCs w:val="24"/>
        </w:rPr>
        <w:t>.</w:t>
      </w:r>
      <w:r>
        <w:rPr>
          <w:sz w:val="24"/>
          <w:szCs w:val="24"/>
        </w:rPr>
        <w:tab/>
        <w:t>The Washington sales representative identification badge states clearly that the wearer is not a utility employee in two places, and identifies the wearer, by name, as an authorized field agent for Washington Gas Energy Services.  Exhibit 7.</w:t>
      </w:r>
    </w:p>
    <w:p w:rsidR="008E1EAD" w:rsidRDefault="008E1EAD" w:rsidP="008E1EAD">
      <w:pPr>
        <w:spacing w:line="360" w:lineRule="auto"/>
        <w:rPr>
          <w:sz w:val="24"/>
          <w:szCs w:val="24"/>
        </w:rPr>
      </w:pPr>
      <w:r>
        <w:rPr>
          <w:sz w:val="24"/>
          <w:szCs w:val="24"/>
        </w:rPr>
        <w:br w:type="page"/>
      </w:r>
    </w:p>
    <w:p w:rsidR="008D559E" w:rsidRDefault="002820A0" w:rsidP="00765329">
      <w:pPr>
        <w:spacing w:line="360" w:lineRule="auto"/>
        <w:jc w:val="center"/>
        <w:rPr>
          <w:spacing w:val="-3"/>
          <w:sz w:val="24"/>
          <w:szCs w:val="24"/>
          <w:u w:val="single"/>
        </w:rPr>
      </w:pPr>
      <w:r w:rsidRPr="0097089D">
        <w:rPr>
          <w:spacing w:val="-3"/>
          <w:sz w:val="24"/>
          <w:szCs w:val="24"/>
          <w:u w:val="single"/>
        </w:rPr>
        <w:lastRenderedPageBreak/>
        <w:t>DISCUSSION</w:t>
      </w:r>
    </w:p>
    <w:p w:rsidR="008D559E" w:rsidRDefault="008D559E" w:rsidP="00657505">
      <w:pPr>
        <w:autoSpaceDE w:val="0"/>
        <w:autoSpaceDN w:val="0"/>
        <w:spacing w:line="360" w:lineRule="auto"/>
        <w:rPr>
          <w:spacing w:val="-3"/>
          <w:sz w:val="24"/>
          <w:szCs w:val="24"/>
        </w:rPr>
      </w:pPr>
    </w:p>
    <w:p w:rsidR="00FE52C1" w:rsidRDefault="002820A0" w:rsidP="00657505">
      <w:pPr>
        <w:autoSpaceDE w:val="0"/>
        <w:autoSpaceDN w:val="0"/>
        <w:spacing w:line="360" w:lineRule="auto"/>
        <w:rPr>
          <w:spacing w:val="-3"/>
          <w:sz w:val="24"/>
          <w:szCs w:val="24"/>
        </w:rPr>
      </w:pPr>
      <w:r w:rsidRPr="0097089D">
        <w:rPr>
          <w:spacing w:val="-3"/>
          <w:sz w:val="24"/>
          <w:szCs w:val="24"/>
        </w:rPr>
        <w:tab/>
      </w:r>
      <w:r w:rsidRPr="0097089D">
        <w:rPr>
          <w:spacing w:val="-3"/>
          <w:sz w:val="24"/>
          <w:szCs w:val="24"/>
        </w:rPr>
        <w:tab/>
        <w:t>In this proceeding, Complainant bears the burden of proving that</w:t>
      </w:r>
      <w:r w:rsidR="00627A04" w:rsidRPr="0097089D">
        <w:rPr>
          <w:spacing w:val="-3"/>
          <w:sz w:val="24"/>
          <w:szCs w:val="24"/>
        </w:rPr>
        <w:t xml:space="preserve"> he</w:t>
      </w:r>
      <w:r w:rsidR="00B134F4">
        <w:rPr>
          <w:spacing w:val="-3"/>
          <w:sz w:val="24"/>
          <w:szCs w:val="24"/>
        </w:rPr>
        <w:t xml:space="preserve"> is entitled to relief.  66 Pa.</w:t>
      </w:r>
      <w:r w:rsidRPr="0097089D">
        <w:rPr>
          <w:spacing w:val="-3"/>
          <w:sz w:val="24"/>
          <w:szCs w:val="24"/>
        </w:rPr>
        <w:t xml:space="preserve">C.S. § 332(a).  </w:t>
      </w:r>
    </w:p>
    <w:p w:rsidR="00765329" w:rsidRDefault="00765329" w:rsidP="00657505">
      <w:pPr>
        <w:autoSpaceDE w:val="0"/>
        <w:autoSpaceDN w:val="0"/>
        <w:spacing w:line="360" w:lineRule="auto"/>
        <w:rPr>
          <w:spacing w:val="-3"/>
          <w:sz w:val="24"/>
          <w:szCs w:val="24"/>
        </w:rPr>
      </w:pPr>
    </w:p>
    <w:p w:rsidR="005071A9" w:rsidRDefault="005071A9" w:rsidP="00657505">
      <w:pPr>
        <w:autoSpaceDE w:val="0"/>
        <w:autoSpaceDN w:val="0"/>
        <w:spacing w:line="360" w:lineRule="auto"/>
        <w:rPr>
          <w:spacing w:val="-3"/>
          <w:sz w:val="24"/>
          <w:szCs w:val="24"/>
        </w:rPr>
      </w:pPr>
      <w:r>
        <w:rPr>
          <w:spacing w:val="-3"/>
          <w:sz w:val="24"/>
          <w:szCs w:val="24"/>
        </w:rPr>
        <w:tab/>
      </w:r>
      <w:r>
        <w:rPr>
          <w:spacing w:val="-3"/>
          <w:sz w:val="24"/>
          <w:szCs w:val="24"/>
        </w:rPr>
        <w:tab/>
      </w:r>
      <w:r w:rsidRPr="005071A9">
        <w:rPr>
          <w:spacing w:val="-3"/>
          <w:sz w:val="24"/>
          <w:szCs w:val="24"/>
        </w:rPr>
        <w:t xml:space="preserve">To satisfy this burden, </w:t>
      </w:r>
      <w:r>
        <w:rPr>
          <w:spacing w:val="-3"/>
          <w:sz w:val="24"/>
          <w:szCs w:val="24"/>
        </w:rPr>
        <w:t>the C</w:t>
      </w:r>
      <w:r w:rsidRPr="005071A9">
        <w:rPr>
          <w:spacing w:val="-3"/>
          <w:sz w:val="24"/>
          <w:szCs w:val="24"/>
        </w:rPr>
        <w:t xml:space="preserve">omplainant must show that the named utility is responsible or accountable for the problem described in the Complaint.  </w:t>
      </w:r>
      <w:r w:rsidRPr="005071A9">
        <w:rPr>
          <w:i/>
          <w:spacing w:val="-3"/>
          <w:sz w:val="24"/>
          <w:szCs w:val="24"/>
        </w:rPr>
        <w:t>Patterson v. Bell Telephone Company of Pennsylvania</w:t>
      </w:r>
      <w:r w:rsidRPr="005071A9">
        <w:rPr>
          <w:spacing w:val="-3"/>
          <w:sz w:val="24"/>
          <w:szCs w:val="24"/>
        </w:rPr>
        <w:t xml:space="preserve">, 72 PA PUC 196 (1990); </w:t>
      </w:r>
      <w:r w:rsidRPr="005071A9">
        <w:rPr>
          <w:i/>
          <w:spacing w:val="-3"/>
          <w:sz w:val="24"/>
          <w:szCs w:val="24"/>
        </w:rPr>
        <w:t>Feinstein v. Philadelphia Suburban Water Company</w:t>
      </w:r>
      <w:r w:rsidRPr="005071A9">
        <w:rPr>
          <w:spacing w:val="-3"/>
          <w:sz w:val="24"/>
          <w:szCs w:val="24"/>
        </w:rPr>
        <w:t xml:space="preserve">, 50 PA PUC 300 (1976).  This must be shown by a preponderance of the evidence.  </w:t>
      </w:r>
      <w:proofErr w:type="gramStart"/>
      <w:r w:rsidRPr="005071A9">
        <w:rPr>
          <w:i/>
          <w:spacing w:val="-3"/>
          <w:sz w:val="24"/>
          <w:szCs w:val="24"/>
        </w:rPr>
        <w:t>Samuel J. Lansberry, Inc. v. PA Public Utility Comm'n</w:t>
      </w:r>
      <w:r w:rsidR="005A2692">
        <w:rPr>
          <w:spacing w:val="-3"/>
          <w:sz w:val="24"/>
          <w:szCs w:val="24"/>
        </w:rPr>
        <w:t>, 578 A.2d 600 (Pa.</w:t>
      </w:r>
      <w:r w:rsidRPr="005071A9">
        <w:rPr>
          <w:spacing w:val="-3"/>
          <w:sz w:val="24"/>
          <w:szCs w:val="24"/>
        </w:rPr>
        <w:t xml:space="preserve">Cmwlth. 1990), </w:t>
      </w:r>
      <w:r w:rsidRPr="005071A9">
        <w:rPr>
          <w:i/>
          <w:iCs/>
          <w:spacing w:val="-3"/>
          <w:sz w:val="24"/>
          <w:szCs w:val="24"/>
        </w:rPr>
        <w:t>alloc.</w:t>
      </w:r>
      <w:proofErr w:type="gramEnd"/>
      <w:r w:rsidRPr="005071A9">
        <w:rPr>
          <w:i/>
          <w:iCs/>
          <w:spacing w:val="-3"/>
          <w:sz w:val="24"/>
          <w:szCs w:val="24"/>
        </w:rPr>
        <w:t xml:space="preserve"> den.</w:t>
      </w:r>
      <w:r w:rsidRPr="005071A9">
        <w:rPr>
          <w:spacing w:val="-3"/>
          <w:sz w:val="24"/>
          <w:szCs w:val="24"/>
        </w:rPr>
        <w:t xml:space="preserve">, 602 A.2d 863 (Pa. 1992).  That is, by presenting evidence more convincing, by even the smallest amount, than that presented by the other party.  </w:t>
      </w:r>
      <w:r w:rsidRPr="005071A9">
        <w:rPr>
          <w:i/>
          <w:spacing w:val="-3"/>
          <w:sz w:val="24"/>
          <w:szCs w:val="24"/>
        </w:rPr>
        <w:t>Se-Ling Hosiery v. Margulies</w:t>
      </w:r>
      <w:r w:rsidRPr="005071A9">
        <w:rPr>
          <w:spacing w:val="-3"/>
          <w:sz w:val="24"/>
          <w:szCs w:val="24"/>
        </w:rPr>
        <w:t xml:space="preserve">, 70 A.2d 854 (Pa. 1950).  Additionally, any finding of fact necessary to support the Commission's adjudication must be based upon substantial evidence.  </w:t>
      </w:r>
      <w:r w:rsidRPr="005071A9">
        <w:rPr>
          <w:i/>
          <w:spacing w:val="-3"/>
          <w:sz w:val="24"/>
          <w:szCs w:val="24"/>
        </w:rPr>
        <w:t xml:space="preserve">Mill v. Comm'w., PA Pub. </w:t>
      </w:r>
      <w:proofErr w:type="gramStart"/>
      <w:r w:rsidRPr="005071A9">
        <w:rPr>
          <w:i/>
          <w:spacing w:val="-3"/>
          <w:sz w:val="24"/>
          <w:szCs w:val="24"/>
        </w:rPr>
        <w:t>Util. Comm'n</w:t>
      </w:r>
      <w:r w:rsidR="005A2692">
        <w:rPr>
          <w:spacing w:val="-3"/>
          <w:sz w:val="24"/>
          <w:szCs w:val="24"/>
        </w:rPr>
        <w:t>, 447 A.2d 1100 (Pa.</w:t>
      </w:r>
      <w:r w:rsidRPr="005071A9">
        <w:rPr>
          <w:spacing w:val="-3"/>
          <w:sz w:val="24"/>
          <w:szCs w:val="24"/>
        </w:rPr>
        <w:t xml:space="preserve">Cmwlth. 1982); </w:t>
      </w:r>
      <w:r w:rsidRPr="005071A9">
        <w:rPr>
          <w:i/>
          <w:spacing w:val="-3"/>
          <w:sz w:val="24"/>
          <w:szCs w:val="24"/>
        </w:rPr>
        <w:t>Edan Transportation Corp. v. PA Pub.</w:t>
      </w:r>
      <w:proofErr w:type="gramEnd"/>
      <w:r w:rsidRPr="005071A9">
        <w:rPr>
          <w:i/>
          <w:spacing w:val="-3"/>
          <w:sz w:val="24"/>
          <w:szCs w:val="24"/>
        </w:rPr>
        <w:t xml:space="preserve"> </w:t>
      </w:r>
      <w:proofErr w:type="gramStart"/>
      <w:r w:rsidRPr="005071A9">
        <w:rPr>
          <w:i/>
          <w:spacing w:val="-3"/>
          <w:sz w:val="24"/>
          <w:szCs w:val="24"/>
        </w:rPr>
        <w:t>Util. Comm'n</w:t>
      </w:r>
      <w:r w:rsidR="005A2692">
        <w:rPr>
          <w:spacing w:val="-3"/>
          <w:sz w:val="24"/>
          <w:szCs w:val="24"/>
        </w:rPr>
        <w:t>, 623 A.2d 6 (Pa.</w:t>
      </w:r>
      <w:r w:rsidRPr="005071A9">
        <w:rPr>
          <w:spacing w:val="-3"/>
          <w:sz w:val="24"/>
          <w:szCs w:val="24"/>
        </w:rPr>
        <w:t>Cmwlth. 1993), 2 Pa.C.S.</w:t>
      </w:r>
      <w:proofErr w:type="gramEnd"/>
      <w:r w:rsidRPr="005071A9">
        <w:rPr>
          <w:spacing w:val="-3"/>
          <w:sz w:val="24"/>
          <w:szCs w:val="24"/>
        </w:rPr>
        <w:t xml:space="preserve"> § 704.  More is required than a mere trace of evidence or a suspicion of the existence of a fact sought to be established.  </w:t>
      </w:r>
      <w:r w:rsidRPr="005071A9">
        <w:rPr>
          <w:i/>
          <w:spacing w:val="-3"/>
          <w:sz w:val="24"/>
          <w:szCs w:val="24"/>
        </w:rPr>
        <w:t>Norfolk and Western Ry. v. PA Pub. Util. Comm'n</w:t>
      </w:r>
      <w:r w:rsidRPr="005071A9">
        <w:rPr>
          <w:spacing w:val="-3"/>
          <w:sz w:val="24"/>
          <w:szCs w:val="24"/>
        </w:rPr>
        <w:t xml:space="preserve">, 413 A.2d 1037 (Pa. 1980); </w:t>
      </w:r>
      <w:r w:rsidRPr="005071A9">
        <w:rPr>
          <w:i/>
          <w:spacing w:val="-3"/>
          <w:sz w:val="24"/>
          <w:szCs w:val="24"/>
        </w:rPr>
        <w:t>Erie Resistor Corp. v. Unemployment Compensation Bd. of Review</w:t>
      </w:r>
      <w:r w:rsidRPr="005071A9">
        <w:rPr>
          <w:spacing w:val="-3"/>
          <w:sz w:val="24"/>
          <w:szCs w:val="24"/>
        </w:rPr>
        <w:t xml:space="preserve">, 166 A.2d 96 (Pa. Super. 1960); </w:t>
      </w:r>
      <w:r w:rsidRPr="005071A9">
        <w:rPr>
          <w:i/>
          <w:spacing w:val="-3"/>
          <w:sz w:val="24"/>
          <w:szCs w:val="24"/>
        </w:rPr>
        <w:t xml:space="preserve">Murphy v. Commonwealth, Dep't. </w:t>
      </w:r>
      <w:proofErr w:type="gramStart"/>
      <w:r w:rsidRPr="005071A9">
        <w:rPr>
          <w:i/>
          <w:spacing w:val="-3"/>
          <w:sz w:val="24"/>
          <w:szCs w:val="24"/>
        </w:rPr>
        <w:t>of</w:t>
      </w:r>
      <w:proofErr w:type="gramEnd"/>
      <w:r w:rsidRPr="005071A9">
        <w:rPr>
          <w:i/>
          <w:spacing w:val="-3"/>
          <w:sz w:val="24"/>
          <w:szCs w:val="24"/>
        </w:rPr>
        <w:t xml:space="preserve"> Public Welfare, White Haven Center</w:t>
      </w:r>
      <w:r w:rsidR="005A2692">
        <w:rPr>
          <w:spacing w:val="-3"/>
          <w:sz w:val="24"/>
          <w:szCs w:val="24"/>
        </w:rPr>
        <w:t>, 480 A.2d 382 (Pa.</w:t>
      </w:r>
      <w:r w:rsidRPr="005071A9">
        <w:rPr>
          <w:spacing w:val="-3"/>
          <w:sz w:val="24"/>
          <w:szCs w:val="24"/>
        </w:rPr>
        <w:t>Cmwlth. 1984).</w:t>
      </w:r>
    </w:p>
    <w:p w:rsidR="005071A9" w:rsidRDefault="005071A9" w:rsidP="00657505">
      <w:pPr>
        <w:autoSpaceDE w:val="0"/>
        <w:autoSpaceDN w:val="0"/>
        <w:spacing w:line="360" w:lineRule="auto"/>
        <w:rPr>
          <w:spacing w:val="-3"/>
          <w:sz w:val="24"/>
          <w:szCs w:val="24"/>
        </w:rPr>
      </w:pPr>
    </w:p>
    <w:p w:rsidR="003B7585" w:rsidRDefault="005071A9" w:rsidP="00657505">
      <w:pPr>
        <w:autoSpaceDE w:val="0"/>
        <w:autoSpaceDN w:val="0"/>
        <w:spacing w:line="360" w:lineRule="auto"/>
        <w:rPr>
          <w:spacing w:val="-3"/>
          <w:sz w:val="24"/>
          <w:szCs w:val="24"/>
        </w:rPr>
      </w:pPr>
      <w:r>
        <w:rPr>
          <w:spacing w:val="-3"/>
          <w:sz w:val="24"/>
          <w:szCs w:val="24"/>
        </w:rPr>
        <w:tab/>
      </w:r>
      <w:r>
        <w:rPr>
          <w:spacing w:val="-3"/>
          <w:sz w:val="24"/>
          <w:szCs w:val="24"/>
        </w:rPr>
        <w:tab/>
      </w:r>
      <w:r w:rsidR="00C57A37">
        <w:rPr>
          <w:spacing w:val="-3"/>
          <w:sz w:val="24"/>
          <w:szCs w:val="24"/>
        </w:rPr>
        <w:t>In sum, Complainant alleges that he was “slammed” by Washington; that is, that Complainant’s electric and natural gas service account</w:t>
      </w:r>
      <w:r w:rsidR="00620AC8">
        <w:rPr>
          <w:spacing w:val="-3"/>
          <w:sz w:val="24"/>
          <w:szCs w:val="24"/>
        </w:rPr>
        <w:t>s</w:t>
      </w:r>
      <w:r w:rsidR="00C57A37">
        <w:rPr>
          <w:spacing w:val="-3"/>
          <w:sz w:val="24"/>
          <w:szCs w:val="24"/>
        </w:rPr>
        <w:t xml:space="preserve"> were transferred to Washington without Complainant’s knowledge or permission.  At hearing, Complainant failed to prove this.  Washington, on the other hand, produced clear evidence that Complainant was aware of the switch and the rates, terms and conditions associated with the switch.  Findings of Fact 14, 17, 27.  </w:t>
      </w:r>
    </w:p>
    <w:p w:rsidR="003B7585" w:rsidRDefault="003B7585" w:rsidP="00657505">
      <w:pPr>
        <w:autoSpaceDE w:val="0"/>
        <w:autoSpaceDN w:val="0"/>
        <w:spacing w:line="360" w:lineRule="auto"/>
        <w:rPr>
          <w:spacing w:val="-3"/>
          <w:sz w:val="24"/>
          <w:szCs w:val="24"/>
        </w:rPr>
      </w:pPr>
    </w:p>
    <w:p w:rsidR="003B7585" w:rsidRDefault="003B7585" w:rsidP="00657505">
      <w:pPr>
        <w:autoSpaceDE w:val="0"/>
        <w:autoSpaceDN w:val="0"/>
        <w:spacing w:line="360" w:lineRule="auto"/>
        <w:rPr>
          <w:spacing w:val="-3"/>
          <w:sz w:val="24"/>
          <w:szCs w:val="24"/>
        </w:rPr>
      </w:pPr>
      <w:r>
        <w:rPr>
          <w:spacing w:val="-3"/>
          <w:sz w:val="24"/>
          <w:szCs w:val="24"/>
        </w:rPr>
        <w:tab/>
      </w:r>
      <w:r>
        <w:rPr>
          <w:spacing w:val="-3"/>
          <w:sz w:val="24"/>
          <w:szCs w:val="24"/>
        </w:rPr>
        <w:tab/>
      </w:r>
      <w:r w:rsidR="00C57A37">
        <w:rPr>
          <w:spacing w:val="-3"/>
          <w:sz w:val="24"/>
          <w:szCs w:val="24"/>
        </w:rPr>
        <w:t xml:space="preserve">The most compelling evidence </w:t>
      </w:r>
      <w:r w:rsidRPr="003B7585">
        <w:rPr>
          <w:spacing w:val="-3"/>
          <w:sz w:val="24"/>
          <w:szCs w:val="24"/>
        </w:rPr>
        <w:t>that Complainant was aware of the switch and the rates, terms and conditions associated with the switch</w:t>
      </w:r>
      <w:r w:rsidR="00C57A37">
        <w:rPr>
          <w:spacing w:val="-3"/>
          <w:sz w:val="24"/>
          <w:szCs w:val="24"/>
        </w:rPr>
        <w:t xml:space="preserve"> was the taped conversation of Complainant with the Third Party Verifier.  </w:t>
      </w:r>
      <w:r w:rsidR="00C57A37" w:rsidRPr="00C57A37">
        <w:rPr>
          <w:spacing w:val="-3"/>
          <w:sz w:val="24"/>
          <w:szCs w:val="24"/>
        </w:rPr>
        <w:t xml:space="preserve">The </w:t>
      </w:r>
      <w:proofErr w:type="spellStart"/>
      <w:r w:rsidR="00C57A37" w:rsidRPr="00C57A37">
        <w:rPr>
          <w:spacing w:val="-3"/>
          <w:sz w:val="24"/>
          <w:szCs w:val="24"/>
        </w:rPr>
        <w:t>CD-Rom</w:t>
      </w:r>
      <w:proofErr w:type="spellEnd"/>
      <w:r w:rsidR="00C57A37" w:rsidRPr="00C57A37">
        <w:rPr>
          <w:spacing w:val="-3"/>
          <w:sz w:val="24"/>
          <w:szCs w:val="24"/>
        </w:rPr>
        <w:t xml:space="preserve"> played at the hearing established that Complainant was advised of and acknowledged his switch to Washington as his electric and natural gas provider, the </w:t>
      </w:r>
      <w:r w:rsidR="00C57A37" w:rsidRPr="00C57A37">
        <w:rPr>
          <w:spacing w:val="-3"/>
          <w:sz w:val="24"/>
          <w:szCs w:val="24"/>
        </w:rPr>
        <w:lastRenderedPageBreak/>
        <w:t xml:space="preserve">terms thereof, and that this was reconfirmed by the TPV outside of the presence of the salesperson. </w:t>
      </w:r>
      <w:r w:rsidR="00C57A37">
        <w:rPr>
          <w:spacing w:val="-3"/>
          <w:sz w:val="24"/>
          <w:szCs w:val="24"/>
        </w:rPr>
        <w:t>Finding of Fact 14.  Complainant attempted to call that evidence into question by claiming that the TPV was a “</w:t>
      </w:r>
      <w:r>
        <w:rPr>
          <w:spacing w:val="-3"/>
          <w:sz w:val="24"/>
          <w:szCs w:val="24"/>
        </w:rPr>
        <w:t>Chinese girl,</w:t>
      </w:r>
      <w:r w:rsidR="00C57A37">
        <w:rPr>
          <w:spacing w:val="-3"/>
          <w:sz w:val="24"/>
          <w:szCs w:val="24"/>
        </w:rPr>
        <w:t xml:space="preserve">” </w:t>
      </w:r>
      <w:r>
        <w:rPr>
          <w:spacing w:val="-3"/>
          <w:sz w:val="24"/>
          <w:szCs w:val="24"/>
        </w:rPr>
        <w:t xml:space="preserve">whereas the recording played at hearing was of a TPV without an accent.  </w:t>
      </w:r>
      <w:r w:rsidR="00C57A37">
        <w:rPr>
          <w:spacing w:val="-3"/>
          <w:sz w:val="24"/>
          <w:szCs w:val="24"/>
        </w:rPr>
        <w:t>Tr. 44</w:t>
      </w:r>
      <w:r>
        <w:rPr>
          <w:spacing w:val="-3"/>
          <w:sz w:val="24"/>
          <w:szCs w:val="24"/>
        </w:rPr>
        <w:t>; Exhibit 2</w:t>
      </w:r>
      <w:r w:rsidR="00C57A37">
        <w:rPr>
          <w:spacing w:val="-3"/>
          <w:sz w:val="24"/>
          <w:szCs w:val="24"/>
        </w:rPr>
        <w:t>.</w:t>
      </w:r>
      <w:r>
        <w:rPr>
          <w:spacing w:val="-3"/>
          <w:sz w:val="24"/>
          <w:szCs w:val="24"/>
        </w:rPr>
        <w:t xml:space="preserve">  Perhaps, as one of Washington’s witnesses speculated, Complainant was recollecting a sales call from a different provider.  Tr. 55.  In any event, there is no basis to question the authenticity of the recording played at the hearing.</w:t>
      </w:r>
    </w:p>
    <w:p w:rsidR="003B7585" w:rsidRDefault="003B7585" w:rsidP="00657505">
      <w:pPr>
        <w:autoSpaceDE w:val="0"/>
        <w:autoSpaceDN w:val="0"/>
        <w:spacing w:line="360" w:lineRule="auto"/>
        <w:rPr>
          <w:spacing w:val="-3"/>
          <w:sz w:val="24"/>
          <w:szCs w:val="24"/>
        </w:rPr>
      </w:pPr>
    </w:p>
    <w:p w:rsidR="009D0B2C" w:rsidRDefault="003B7585" w:rsidP="00657505">
      <w:pPr>
        <w:autoSpaceDE w:val="0"/>
        <w:autoSpaceDN w:val="0"/>
        <w:spacing w:line="360" w:lineRule="auto"/>
        <w:rPr>
          <w:spacing w:val="-3"/>
          <w:sz w:val="24"/>
          <w:szCs w:val="24"/>
        </w:rPr>
      </w:pPr>
      <w:r>
        <w:rPr>
          <w:spacing w:val="-3"/>
          <w:sz w:val="24"/>
          <w:szCs w:val="24"/>
        </w:rPr>
        <w:tab/>
      </w:r>
      <w:r>
        <w:rPr>
          <w:spacing w:val="-3"/>
          <w:sz w:val="24"/>
          <w:szCs w:val="24"/>
        </w:rPr>
        <w:tab/>
      </w:r>
      <w:r w:rsidR="009D0B2C">
        <w:rPr>
          <w:spacing w:val="-3"/>
          <w:sz w:val="24"/>
          <w:szCs w:val="24"/>
        </w:rPr>
        <w:t>Complainant also questioned the accuracy of his electric meter reading.  However, it is Met Ed, not Washington that reads the meter.  Finding of Fact 24.  Complainant did not allege a “fast meter.”  Complainant heats his home with electric heat.  Finding of Fact 25.  The billing period in question occurred during that period of time when the “polar vortex” had the region in the grip of successive cold waves.  Even with a fixed rate contract, it is not unreasonable to conclude that a home heated with electric heat would have significantly higher bills at this time than during an average winter.</w:t>
      </w:r>
    </w:p>
    <w:p w:rsidR="009D0B2C" w:rsidRDefault="009D0B2C" w:rsidP="00657505">
      <w:pPr>
        <w:autoSpaceDE w:val="0"/>
        <w:autoSpaceDN w:val="0"/>
        <w:spacing w:line="360" w:lineRule="auto"/>
        <w:rPr>
          <w:spacing w:val="-3"/>
          <w:sz w:val="24"/>
          <w:szCs w:val="24"/>
        </w:rPr>
      </w:pPr>
    </w:p>
    <w:p w:rsidR="00765329" w:rsidRDefault="009D0B2C" w:rsidP="009D493E">
      <w:pPr>
        <w:autoSpaceDE w:val="0"/>
        <w:autoSpaceDN w:val="0"/>
        <w:spacing w:line="360" w:lineRule="auto"/>
        <w:rPr>
          <w:spacing w:val="-3"/>
          <w:sz w:val="24"/>
          <w:szCs w:val="24"/>
        </w:rPr>
      </w:pPr>
      <w:r>
        <w:rPr>
          <w:spacing w:val="-3"/>
          <w:sz w:val="24"/>
          <w:szCs w:val="24"/>
        </w:rPr>
        <w:tab/>
      </w:r>
      <w:r>
        <w:rPr>
          <w:spacing w:val="-3"/>
          <w:sz w:val="24"/>
          <w:szCs w:val="24"/>
        </w:rPr>
        <w:tab/>
        <w:t>Because Complainant has not met his burden of showing that Washington</w:t>
      </w:r>
      <w:r w:rsidRPr="009D0B2C">
        <w:rPr>
          <w:spacing w:val="-3"/>
          <w:sz w:val="24"/>
          <w:szCs w:val="24"/>
        </w:rPr>
        <w:t xml:space="preserve"> is responsible or accountable for the problem described in the Complaint</w:t>
      </w:r>
      <w:r>
        <w:rPr>
          <w:spacing w:val="-3"/>
          <w:sz w:val="24"/>
          <w:szCs w:val="24"/>
        </w:rPr>
        <w:t>, the Complaint must be dismissed</w:t>
      </w:r>
      <w:r w:rsidRPr="009D0B2C">
        <w:rPr>
          <w:spacing w:val="-3"/>
          <w:sz w:val="24"/>
          <w:szCs w:val="24"/>
        </w:rPr>
        <w:t xml:space="preserve">.  </w:t>
      </w:r>
    </w:p>
    <w:p w:rsidR="0051755B" w:rsidRDefault="0051755B" w:rsidP="009D493E">
      <w:pPr>
        <w:autoSpaceDE w:val="0"/>
        <w:autoSpaceDN w:val="0"/>
        <w:spacing w:line="360" w:lineRule="auto"/>
        <w:rPr>
          <w:spacing w:val="-3"/>
          <w:sz w:val="24"/>
          <w:szCs w:val="24"/>
        </w:rPr>
      </w:pPr>
    </w:p>
    <w:p w:rsidR="008D559E" w:rsidRDefault="002820A0" w:rsidP="009D493E">
      <w:pPr>
        <w:autoSpaceDE w:val="0"/>
        <w:autoSpaceDN w:val="0"/>
        <w:spacing w:line="360" w:lineRule="auto"/>
        <w:jc w:val="center"/>
        <w:rPr>
          <w:spacing w:val="-3"/>
          <w:sz w:val="24"/>
          <w:szCs w:val="24"/>
          <w:u w:val="single"/>
        </w:rPr>
      </w:pPr>
      <w:r w:rsidRPr="0097089D">
        <w:rPr>
          <w:spacing w:val="-3"/>
          <w:sz w:val="24"/>
          <w:szCs w:val="24"/>
          <w:u w:val="single"/>
        </w:rPr>
        <w:t>CONCLUSIONS OF LAW</w:t>
      </w:r>
    </w:p>
    <w:p w:rsidR="008D559E" w:rsidRDefault="008D559E" w:rsidP="009D493E">
      <w:pPr>
        <w:autoSpaceDE w:val="0"/>
        <w:autoSpaceDN w:val="0"/>
        <w:spacing w:line="360" w:lineRule="auto"/>
        <w:rPr>
          <w:spacing w:val="-3"/>
          <w:sz w:val="24"/>
          <w:szCs w:val="24"/>
        </w:rPr>
      </w:pPr>
    </w:p>
    <w:p w:rsidR="008D559E" w:rsidRDefault="002820A0" w:rsidP="009D493E">
      <w:pPr>
        <w:autoSpaceDE w:val="0"/>
        <w:autoSpaceDN w:val="0"/>
        <w:spacing w:line="360" w:lineRule="auto"/>
        <w:rPr>
          <w:spacing w:val="-3"/>
          <w:sz w:val="24"/>
          <w:szCs w:val="24"/>
        </w:rPr>
      </w:pPr>
      <w:r w:rsidRPr="0097089D">
        <w:rPr>
          <w:spacing w:val="-3"/>
          <w:sz w:val="24"/>
          <w:szCs w:val="24"/>
        </w:rPr>
        <w:tab/>
      </w:r>
      <w:r w:rsidRPr="0097089D">
        <w:rPr>
          <w:spacing w:val="-3"/>
          <w:sz w:val="24"/>
          <w:szCs w:val="24"/>
        </w:rPr>
        <w:tab/>
        <w:t>1.</w:t>
      </w:r>
      <w:r w:rsidRPr="0097089D">
        <w:rPr>
          <w:spacing w:val="-3"/>
          <w:sz w:val="24"/>
          <w:szCs w:val="24"/>
        </w:rPr>
        <w:tab/>
        <w:t>The Commission has jurisdiction over the subject matter and the part</w:t>
      </w:r>
      <w:r w:rsidR="00FE28F2" w:rsidRPr="0097089D">
        <w:rPr>
          <w:spacing w:val="-3"/>
          <w:sz w:val="24"/>
          <w:szCs w:val="24"/>
        </w:rPr>
        <w:t>ies to this proceeding.  66 Pa.</w:t>
      </w:r>
      <w:r w:rsidRPr="0097089D">
        <w:rPr>
          <w:spacing w:val="-3"/>
          <w:sz w:val="24"/>
          <w:szCs w:val="24"/>
        </w:rPr>
        <w:t>C.S. §</w:t>
      </w:r>
      <w:r w:rsidR="009D0B2C" w:rsidRPr="009D0B2C">
        <w:rPr>
          <w:spacing w:val="-3"/>
          <w:sz w:val="24"/>
          <w:szCs w:val="24"/>
        </w:rPr>
        <w:t>§</w:t>
      </w:r>
      <w:r w:rsidRPr="0097089D">
        <w:rPr>
          <w:spacing w:val="-3"/>
          <w:sz w:val="24"/>
          <w:szCs w:val="24"/>
        </w:rPr>
        <w:t xml:space="preserve"> 701</w:t>
      </w:r>
      <w:r w:rsidR="009D0B2C">
        <w:rPr>
          <w:spacing w:val="-3"/>
          <w:sz w:val="24"/>
          <w:szCs w:val="24"/>
        </w:rPr>
        <w:t>, 1501</w:t>
      </w:r>
      <w:r w:rsidRPr="0097089D">
        <w:rPr>
          <w:spacing w:val="-3"/>
          <w:sz w:val="24"/>
          <w:szCs w:val="24"/>
        </w:rPr>
        <w:t>.</w:t>
      </w:r>
    </w:p>
    <w:p w:rsidR="008D559E" w:rsidRDefault="008D559E" w:rsidP="009D493E">
      <w:pPr>
        <w:autoSpaceDE w:val="0"/>
        <w:autoSpaceDN w:val="0"/>
        <w:spacing w:line="360" w:lineRule="auto"/>
        <w:rPr>
          <w:spacing w:val="-3"/>
          <w:sz w:val="24"/>
          <w:szCs w:val="24"/>
        </w:rPr>
      </w:pPr>
    </w:p>
    <w:p w:rsidR="008D559E" w:rsidRDefault="002820A0" w:rsidP="009D493E">
      <w:pPr>
        <w:autoSpaceDE w:val="0"/>
        <w:autoSpaceDN w:val="0"/>
        <w:spacing w:line="360" w:lineRule="auto"/>
        <w:rPr>
          <w:spacing w:val="-3"/>
          <w:sz w:val="24"/>
          <w:szCs w:val="24"/>
        </w:rPr>
      </w:pPr>
      <w:r w:rsidRPr="0097089D">
        <w:rPr>
          <w:spacing w:val="-3"/>
          <w:sz w:val="24"/>
          <w:szCs w:val="24"/>
        </w:rPr>
        <w:tab/>
      </w:r>
      <w:r w:rsidRPr="0097089D">
        <w:rPr>
          <w:spacing w:val="-3"/>
          <w:sz w:val="24"/>
          <w:szCs w:val="24"/>
        </w:rPr>
        <w:tab/>
        <w:t>2.</w:t>
      </w:r>
      <w:r w:rsidRPr="0097089D">
        <w:rPr>
          <w:spacing w:val="-3"/>
          <w:sz w:val="24"/>
          <w:szCs w:val="24"/>
        </w:rPr>
        <w:tab/>
        <w:t xml:space="preserve">The due process rights of Complainant have been fully protected in this proceeding.  </w:t>
      </w:r>
      <w:r w:rsidRPr="0097089D">
        <w:rPr>
          <w:i/>
          <w:spacing w:val="-3"/>
          <w:sz w:val="24"/>
          <w:szCs w:val="24"/>
        </w:rPr>
        <w:t>Sentner v. Bell Telephone Company of Pennsylvania</w:t>
      </w:r>
      <w:r w:rsidRPr="0097089D">
        <w:rPr>
          <w:spacing w:val="-3"/>
          <w:sz w:val="24"/>
          <w:szCs w:val="24"/>
        </w:rPr>
        <w:t>, Docket No. F-00161106 (Order entere</w:t>
      </w:r>
      <w:r w:rsidR="00313E9A">
        <w:rPr>
          <w:spacing w:val="-3"/>
          <w:sz w:val="24"/>
          <w:szCs w:val="24"/>
        </w:rPr>
        <w:t>d October 25, 1993); and 52 Pa.</w:t>
      </w:r>
      <w:r w:rsidRPr="0097089D">
        <w:rPr>
          <w:spacing w:val="-3"/>
          <w:sz w:val="24"/>
          <w:szCs w:val="24"/>
        </w:rPr>
        <w:t>Code § 5.245(a).</w:t>
      </w:r>
    </w:p>
    <w:p w:rsidR="008D559E" w:rsidRDefault="008D559E" w:rsidP="002820A0">
      <w:pPr>
        <w:autoSpaceDE w:val="0"/>
        <w:autoSpaceDN w:val="0"/>
        <w:spacing w:line="360" w:lineRule="auto"/>
        <w:rPr>
          <w:spacing w:val="-3"/>
          <w:sz w:val="24"/>
          <w:szCs w:val="24"/>
        </w:rPr>
      </w:pPr>
    </w:p>
    <w:p w:rsidR="00B94C50" w:rsidRDefault="002820A0" w:rsidP="002820A0">
      <w:pPr>
        <w:autoSpaceDE w:val="0"/>
        <w:autoSpaceDN w:val="0"/>
        <w:spacing w:line="360" w:lineRule="auto"/>
        <w:rPr>
          <w:spacing w:val="-3"/>
          <w:sz w:val="24"/>
          <w:szCs w:val="24"/>
        </w:rPr>
      </w:pPr>
      <w:r w:rsidRPr="0097089D">
        <w:rPr>
          <w:spacing w:val="-3"/>
          <w:sz w:val="24"/>
          <w:szCs w:val="24"/>
        </w:rPr>
        <w:tab/>
      </w:r>
      <w:r w:rsidRPr="0097089D">
        <w:rPr>
          <w:spacing w:val="-3"/>
          <w:sz w:val="24"/>
          <w:szCs w:val="24"/>
        </w:rPr>
        <w:tab/>
        <w:t>3.</w:t>
      </w:r>
      <w:r w:rsidRPr="0097089D">
        <w:rPr>
          <w:spacing w:val="-3"/>
          <w:sz w:val="24"/>
          <w:szCs w:val="24"/>
        </w:rPr>
        <w:tab/>
      </w:r>
      <w:r w:rsidR="00B94C50">
        <w:rPr>
          <w:spacing w:val="-3"/>
          <w:sz w:val="24"/>
          <w:szCs w:val="24"/>
        </w:rPr>
        <w:t xml:space="preserve">A </w:t>
      </w:r>
      <w:r w:rsidR="00B94C50" w:rsidRPr="00B94C50">
        <w:rPr>
          <w:spacing w:val="-3"/>
          <w:sz w:val="24"/>
          <w:szCs w:val="24"/>
        </w:rPr>
        <w:t>preponderance</w:t>
      </w:r>
      <w:r w:rsidR="00B94C50">
        <w:rPr>
          <w:spacing w:val="-3"/>
          <w:sz w:val="24"/>
          <w:szCs w:val="24"/>
        </w:rPr>
        <w:t xml:space="preserve"> of the evidence</w:t>
      </w:r>
      <w:r w:rsidR="00B94C50" w:rsidRPr="00B94C50">
        <w:rPr>
          <w:spacing w:val="-3"/>
          <w:sz w:val="24"/>
          <w:szCs w:val="24"/>
        </w:rPr>
        <w:t xml:space="preserve"> is not dependent on the number of witnesses testifying on either side but rather on the </w:t>
      </w:r>
      <w:r w:rsidR="00B94C50" w:rsidRPr="00B94C50">
        <w:rPr>
          <w:bCs/>
          <w:spacing w:val="-3"/>
          <w:sz w:val="24"/>
          <w:szCs w:val="24"/>
        </w:rPr>
        <w:t>credibility</w:t>
      </w:r>
      <w:r w:rsidR="00B94C50" w:rsidRPr="00B94C50">
        <w:rPr>
          <w:spacing w:val="-3"/>
          <w:sz w:val="24"/>
          <w:szCs w:val="24"/>
        </w:rPr>
        <w:t xml:space="preserve"> of the testimony in the light of all the </w:t>
      </w:r>
      <w:r w:rsidR="00B94C50" w:rsidRPr="00B94C50">
        <w:rPr>
          <w:spacing w:val="-3"/>
          <w:sz w:val="24"/>
          <w:szCs w:val="24"/>
        </w:rPr>
        <w:lastRenderedPageBreak/>
        <w:t xml:space="preserve">evidence in a case. </w:t>
      </w:r>
      <w:r w:rsidR="00B94C50" w:rsidRPr="00E52346">
        <w:rPr>
          <w:i/>
          <w:spacing w:val="-3"/>
          <w:sz w:val="24"/>
          <w:szCs w:val="24"/>
        </w:rPr>
        <w:t>Burch v. Reading Co.</w:t>
      </w:r>
      <w:r w:rsidR="00B94C50" w:rsidRPr="00B94C50">
        <w:rPr>
          <w:spacing w:val="-3"/>
          <w:sz w:val="24"/>
          <w:szCs w:val="24"/>
        </w:rPr>
        <w:t>, 240 F.2d 574 (3d Cir. 1957) cert. denied, 353 U.S. 965 (1957).</w:t>
      </w:r>
    </w:p>
    <w:p w:rsidR="00BC12B2" w:rsidRDefault="00BC12B2" w:rsidP="002820A0">
      <w:pPr>
        <w:autoSpaceDE w:val="0"/>
        <w:autoSpaceDN w:val="0"/>
        <w:spacing w:line="360" w:lineRule="auto"/>
        <w:rPr>
          <w:spacing w:val="-3"/>
          <w:sz w:val="24"/>
          <w:szCs w:val="24"/>
        </w:rPr>
      </w:pPr>
    </w:p>
    <w:p w:rsidR="00BC12B2" w:rsidRPr="00BC12B2" w:rsidRDefault="00BC12B2" w:rsidP="00BC12B2">
      <w:pPr>
        <w:autoSpaceDE w:val="0"/>
        <w:autoSpaceDN w:val="0"/>
        <w:spacing w:line="360" w:lineRule="auto"/>
        <w:rPr>
          <w:spacing w:val="-3"/>
          <w:sz w:val="24"/>
          <w:szCs w:val="24"/>
        </w:rPr>
      </w:pPr>
      <w:r>
        <w:rPr>
          <w:spacing w:val="-3"/>
          <w:sz w:val="24"/>
          <w:szCs w:val="24"/>
        </w:rPr>
        <w:tab/>
      </w:r>
      <w:r>
        <w:rPr>
          <w:spacing w:val="-3"/>
          <w:sz w:val="24"/>
          <w:szCs w:val="24"/>
        </w:rPr>
        <w:tab/>
        <w:t>4</w:t>
      </w:r>
      <w:r w:rsidRPr="00BC12B2">
        <w:rPr>
          <w:spacing w:val="-3"/>
          <w:sz w:val="24"/>
          <w:szCs w:val="24"/>
        </w:rPr>
        <w:t>.</w:t>
      </w:r>
      <w:r w:rsidRPr="00BC12B2">
        <w:rPr>
          <w:spacing w:val="-3"/>
          <w:sz w:val="24"/>
          <w:szCs w:val="24"/>
        </w:rPr>
        <w:tab/>
        <w:t>Pursuant to 66 Pa. C.S. § 332(a), the burden of proof in this proceeding is on the Complainant.</w:t>
      </w:r>
    </w:p>
    <w:p w:rsidR="00BC12B2" w:rsidRPr="00BC12B2" w:rsidRDefault="00BC12B2" w:rsidP="00BC12B2">
      <w:pPr>
        <w:autoSpaceDE w:val="0"/>
        <w:autoSpaceDN w:val="0"/>
        <w:spacing w:line="360" w:lineRule="auto"/>
        <w:rPr>
          <w:spacing w:val="-3"/>
          <w:sz w:val="24"/>
          <w:szCs w:val="24"/>
        </w:rPr>
      </w:pPr>
    </w:p>
    <w:p w:rsidR="00BC12B2" w:rsidRDefault="00BC12B2" w:rsidP="00BC12B2">
      <w:pPr>
        <w:autoSpaceDE w:val="0"/>
        <w:autoSpaceDN w:val="0"/>
        <w:spacing w:line="360" w:lineRule="auto"/>
        <w:rPr>
          <w:spacing w:val="-3"/>
          <w:sz w:val="24"/>
          <w:szCs w:val="24"/>
        </w:rPr>
      </w:pPr>
      <w:r w:rsidRPr="00BC12B2">
        <w:rPr>
          <w:spacing w:val="-3"/>
          <w:sz w:val="24"/>
          <w:szCs w:val="24"/>
        </w:rPr>
        <w:tab/>
      </w:r>
      <w:r w:rsidRPr="00BC12B2">
        <w:rPr>
          <w:spacing w:val="-3"/>
          <w:sz w:val="24"/>
          <w:szCs w:val="24"/>
        </w:rPr>
        <w:tab/>
      </w:r>
      <w:r>
        <w:rPr>
          <w:spacing w:val="-3"/>
          <w:sz w:val="24"/>
          <w:szCs w:val="24"/>
        </w:rPr>
        <w:t>5</w:t>
      </w:r>
      <w:r w:rsidRPr="00BC12B2">
        <w:rPr>
          <w:spacing w:val="-3"/>
          <w:sz w:val="24"/>
          <w:szCs w:val="24"/>
        </w:rPr>
        <w:t>.</w:t>
      </w:r>
      <w:r w:rsidRPr="00BC12B2">
        <w:rPr>
          <w:spacing w:val="-3"/>
          <w:sz w:val="24"/>
          <w:szCs w:val="24"/>
        </w:rPr>
        <w:tab/>
        <w:t xml:space="preserve">The Complainant has not met his burden of proving that he is entitled to relief.  66 Pa. C.S. §§ 332(a).  </w:t>
      </w:r>
    </w:p>
    <w:p w:rsidR="00B94C50" w:rsidRDefault="00B94C50" w:rsidP="002820A0">
      <w:pPr>
        <w:autoSpaceDE w:val="0"/>
        <w:autoSpaceDN w:val="0"/>
        <w:spacing w:line="360" w:lineRule="auto"/>
        <w:rPr>
          <w:spacing w:val="-3"/>
          <w:sz w:val="24"/>
          <w:szCs w:val="24"/>
        </w:rPr>
      </w:pPr>
    </w:p>
    <w:p w:rsidR="002820A0" w:rsidRPr="008D559E" w:rsidRDefault="002820A0" w:rsidP="00BC12B2">
      <w:pPr>
        <w:autoSpaceDE w:val="0"/>
        <w:autoSpaceDN w:val="0"/>
        <w:spacing w:line="360" w:lineRule="auto"/>
        <w:jc w:val="center"/>
        <w:rPr>
          <w:spacing w:val="-3"/>
          <w:sz w:val="24"/>
          <w:szCs w:val="24"/>
        </w:rPr>
      </w:pPr>
      <w:r w:rsidRPr="008D559E">
        <w:rPr>
          <w:spacing w:val="-3"/>
          <w:sz w:val="24"/>
          <w:szCs w:val="24"/>
          <w:u w:val="single"/>
        </w:rPr>
        <w:t>ORDER</w:t>
      </w:r>
    </w:p>
    <w:p w:rsidR="002820A0" w:rsidRDefault="002820A0" w:rsidP="002820A0">
      <w:pPr>
        <w:autoSpaceDE w:val="0"/>
        <w:autoSpaceDN w:val="0"/>
        <w:spacing w:line="360" w:lineRule="auto"/>
        <w:jc w:val="center"/>
        <w:rPr>
          <w:spacing w:val="-3"/>
          <w:sz w:val="24"/>
          <w:szCs w:val="24"/>
        </w:rPr>
      </w:pPr>
    </w:p>
    <w:p w:rsidR="00313E9A" w:rsidRPr="0097089D" w:rsidRDefault="00313E9A" w:rsidP="002820A0">
      <w:pPr>
        <w:autoSpaceDE w:val="0"/>
        <w:autoSpaceDN w:val="0"/>
        <w:spacing w:line="360" w:lineRule="auto"/>
        <w:jc w:val="center"/>
        <w:rPr>
          <w:spacing w:val="-3"/>
          <w:sz w:val="24"/>
          <w:szCs w:val="24"/>
        </w:rPr>
      </w:pPr>
    </w:p>
    <w:p w:rsidR="008D559E" w:rsidRDefault="002820A0" w:rsidP="002820A0">
      <w:pPr>
        <w:tabs>
          <w:tab w:val="left" w:pos="0"/>
        </w:tabs>
        <w:suppressAutoHyphens/>
        <w:autoSpaceDE w:val="0"/>
        <w:autoSpaceDN w:val="0"/>
        <w:spacing w:line="360" w:lineRule="auto"/>
        <w:rPr>
          <w:spacing w:val="-3"/>
          <w:sz w:val="24"/>
          <w:szCs w:val="24"/>
        </w:rPr>
      </w:pPr>
      <w:r w:rsidRPr="0097089D">
        <w:rPr>
          <w:spacing w:val="-3"/>
          <w:sz w:val="24"/>
          <w:szCs w:val="24"/>
        </w:rPr>
        <w:tab/>
      </w:r>
      <w:r w:rsidRPr="0097089D">
        <w:rPr>
          <w:spacing w:val="-3"/>
          <w:sz w:val="24"/>
          <w:szCs w:val="24"/>
        </w:rPr>
        <w:tab/>
        <w:t>THEREFORE,</w:t>
      </w:r>
    </w:p>
    <w:p w:rsidR="008D559E" w:rsidRDefault="008D559E" w:rsidP="002820A0">
      <w:pPr>
        <w:tabs>
          <w:tab w:val="left" w:pos="0"/>
        </w:tabs>
        <w:suppressAutoHyphens/>
        <w:autoSpaceDE w:val="0"/>
        <w:autoSpaceDN w:val="0"/>
        <w:spacing w:line="360" w:lineRule="auto"/>
        <w:rPr>
          <w:spacing w:val="-3"/>
          <w:sz w:val="24"/>
          <w:szCs w:val="24"/>
        </w:rPr>
      </w:pPr>
    </w:p>
    <w:p w:rsidR="008D559E" w:rsidRDefault="002820A0" w:rsidP="002820A0">
      <w:pPr>
        <w:tabs>
          <w:tab w:val="left" w:pos="0"/>
        </w:tabs>
        <w:suppressAutoHyphens/>
        <w:autoSpaceDE w:val="0"/>
        <w:autoSpaceDN w:val="0"/>
        <w:spacing w:line="360" w:lineRule="auto"/>
        <w:rPr>
          <w:spacing w:val="-3"/>
          <w:sz w:val="24"/>
          <w:szCs w:val="24"/>
        </w:rPr>
      </w:pPr>
      <w:r w:rsidRPr="0097089D">
        <w:rPr>
          <w:spacing w:val="-3"/>
          <w:sz w:val="24"/>
          <w:szCs w:val="24"/>
        </w:rPr>
        <w:tab/>
      </w:r>
      <w:r w:rsidRPr="0097089D">
        <w:rPr>
          <w:spacing w:val="-3"/>
          <w:sz w:val="24"/>
          <w:szCs w:val="24"/>
        </w:rPr>
        <w:tab/>
        <w:t>IT IS ORDERED:</w:t>
      </w:r>
    </w:p>
    <w:p w:rsidR="008D559E" w:rsidRDefault="008D559E" w:rsidP="002820A0">
      <w:pPr>
        <w:tabs>
          <w:tab w:val="left" w:pos="0"/>
        </w:tabs>
        <w:suppressAutoHyphens/>
        <w:autoSpaceDE w:val="0"/>
        <w:autoSpaceDN w:val="0"/>
        <w:spacing w:line="360" w:lineRule="auto"/>
        <w:rPr>
          <w:spacing w:val="-3"/>
          <w:sz w:val="24"/>
          <w:szCs w:val="24"/>
        </w:rPr>
      </w:pPr>
    </w:p>
    <w:p w:rsidR="00E6288D" w:rsidRDefault="002820A0" w:rsidP="008D559E">
      <w:pPr>
        <w:tabs>
          <w:tab w:val="left" w:pos="0"/>
        </w:tabs>
        <w:suppressAutoHyphens/>
        <w:autoSpaceDE w:val="0"/>
        <w:autoSpaceDN w:val="0"/>
        <w:spacing w:line="360" w:lineRule="auto"/>
        <w:rPr>
          <w:spacing w:val="-3"/>
          <w:sz w:val="24"/>
          <w:szCs w:val="24"/>
        </w:rPr>
      </w:pPr>
      <w:r w:rsidRPr="0097089D">
        <w:rPr>
          <w:spacing w:val="-3"/>
          <w:sz w:val="24"/>
          <w:szCs w:val="24"/>
        </w:rPr>
        <w:tab/>
      </w:r>
      <w:r w:rsidRPr="0097089D">
        <w:rPr>
          <w:spacing w:val="-3"/>
          <w:sz w:val="24"/>
          <w:szCs w:val="24"/>
        </w:rPr>
        <w:tab/>
        <w:t>1.</w:t>
      </w:r>
      <w:r w:rsidRPr="0097089D">
        <w:rPr>
          <w:spacing w:val="-3"/>
          <w:sz w:val="24"/>
          <w:szCs w:val="24"/>
        </w:rPr>
        <w:tab/>
      </w:r>
      <w:r w:rsidR="00BC12B2" w:rsidRPr="00BC12B2">
        <w:rPr>
          <w:spacing w:val="-3"/>
          <w:sz w:val="24"/>
          <w:szCs w:val="24"/>
        </w:rPr>
        <w:t xml:space="preserve">That the Complaint of </w:t>
      </w:r>
      <w:r w:rsidR="00E52346">
        <w:rPr>
          <w:spacing w:val="-3"/>
          <w:sz w:val="24"/>
          <w:szCs w:val="24"/>
        </w:rPr>
        <w:t>Hector M. Portillo</w:t>
      </w:r>
      <w:r w:rsidR="00BC12B2" w:rsidRPr="00BC12B2">
        <w:rPr>
          <w:spacing w:val="-3"/>
          <w:sz w:val="24"/>
          <w:szCs w:val="24"/>
        </w:rPr>
        <w:t xml:space="preserve"> against </w:t>
      </w:r>
      <w:r w:rsidR="00E52346">
        <w:rPr>
          <w:spacing w:val="-3"/>
          <w:sz w:val="24"/>
          <w:szCs w:val="24"/>
        </w:rPr>
        <w:t>Washington Gas Energy Services</w:t>
      </w:r>
      <w:r w:rsidR="00BC12B2" w:rsidRPr="00BC12B2">
        <w:rPr>
          <w:spacing w:val="-3"/>
          <w:sz w:val="24"/>
          <w:szCs w:val="24"/>
        </w:rPr>
        <w:t xml:space="preserve"> at Docket No. C-201</w:t>
      </w:r>
      <w:r w:rsidR="00E52346">
        <w:rPr>
          <w:spacing w:val="-3"/>
          <w:sz w:val="24"/>
          <w:szCs w:val="24"/>
        </w:rPr>
        <w:t>4</w:t>
      </w:r>
      <w:r w:rsidR="00BC12B2" w:rsidRPr="00BC12B2">
        <w:rPr>
          <w:spacing w:val="-3"/>
          <w:sz w:val="24"/>
          <w:szCs w:val="24"/>
        </w:rPr>
        <w:t>-24</w:t>
      </w:r>
      <w:r w:rsidR="00E52346">
        <w:rPr>
          <w:spacing w:val="-3"/>
          <w:sz w:val="24"/>
          <w:szCs w:val="24"/>
        </w:rPr>
        <w:t>54108</w:t>
      </w:r>
      <w:r w:rsidR="00BC12B2" w:rsidRPr="00BC12B2">
        <w:rPr>
          <w:spacing w:val="-3"/>
          <w:sz w:val="24"/>
          <w:szCs w:val="24"/>
        </w:rPr>
        <w:t xml:space="preserve"> is </w:t>
      </w:r>
      <w:r w:rsidR="00E52346">
        <w:rPr>
          <w:spacing w:val="-3"/>
          <w:sz w:val="24"/>
          <w:szCs w:val="24"/>
        </w:rPr>
        <w:t>d</w:t>
      </w:r>
      <w:r w:rsidR="00BC12B2" w:rsidRPr="00BC12B2">
        <w:rPr>
          <w:spacing w:val="-3"/>
          <w:sz w:val="24"/>
          <w:szCs w:val="24"/>
        </w:rPr>
        <w:t>ismissed.</w:t>
      </w:r>
    </w:p>
    <w:p w:rsidR="00E6288D" w:rsidRDefault="00E6288D" w:rsidP="008D559E">
      <w:pPr>
        <w:tabs>
          <w:tab w:val="left" w:pos="0"/>
        </w:tabs>
        <w:suppressAutoHyphens/>
        <w:autoSpaceDE w:val="0"/>
        <w:autoSpaceDN w:val="0"/>
        <w:spacing w:line="360" w:lineRule="auto"/>
        <w:rPr>
          <w:spacing w:val="-3"/>
          <w:sz w:val="24"/>
          <w:szCs w:val="24"/>
        </w:rPr>
      </w:pPr>
    </w:p>
    <w:p w:rsidR="002820A0" w:rsidRDefault="00E6288D" w:rsidP="008D559E">
      <w:pPr>
        <w:tabs>
          <w:tab w:val="left" w:pos="0"/>
        </w:tabs>
        <w:suppressAutoHyphens/>
        <w:autoSpaceDE w:val="0"/>
        <w:autoSpaceDN w:val="0"/>
        <w:spacing w:line="360" w:lineRule="auto"/>
        <w:rPr>
          <w:spacing w:val="-3"/>
          <w:sz w:val="24"/>
          <w:szCs w:val="24"/>
        </w:rPr>
      </w:pPr>
      <w:r>
        <w:rPr>
          <w:spacing w:val="-3"/>
          <w:sz w:val="24"/>
          <w:szCs w:val="24"/>
        </w:rPr>
        <w:tab/>
      </w:r>
      <w:r>
        <w:rPr>
          <w:spacing w:val="-3"/>
          <w:sz w:val="24"/>
          <w:szCs w:val="24"/>
        </w:rPr>
        <w:tab/>
        <w:t>2.</w:t>
      </w:r>
      <w:r>
        <w:rPr>
          <w:spacing w:val="-3"/>
          <w:sz w:val="24"/>
          <w:szCs w:val="24"/>
        </w:rPr>
        <w:tab/>
      </w:r>
      <w:r w:rsidR="00BC12B2" w:rsidRPr="00BC12B2">
        <w:rPr>
          <w:spacing w:val="-3"/>
          <w:sz w:val="24"/>
          <w:szCs w:val="24"/>
        </w:rPr>
        <w:t>That the docket in this case is closed.</w:t>
      </w:r>
    </w:p>
    <w:p w:rsidR="002820A0" w:rsidRPr="0097089D" w:rsidRDefault="002820A0" w:rsidP="002820A0">
      <w:pPr>
        <w:tabs>
          <w:tab w:val="left" w:pos="0"/>
        </w:tabs>
        <w:suppressAutoHyphens/>
        <w:autoSpaceDE w:val="0"/>
        <w:autoSpaceDN w:val="0"/>
        <w:spacing w:line="360" w:lineRule="auto"/>
        <w:rPr>
          <w:bCs/>
          <w:spacing w:val="-3"/>
          <w:sz w:val="24"/>
          <w:szCs w:val="24"/>
        </w:rPr>
      </w:pPr>
    </w:p>
    <w:p w:rsidR="001E2544" w:rsidRPr="0097089D" w:rsidRDefault="001E2544" w:rsidP="002820A0">
      <w:pPr>
        <w:tabs>
          <w:tab w:val="left" w:pos="0"/>
        </w:tabs>
        <w:suppressAutoHyphens/>
        <w:autoSpaceDE w:val="0"/>
        <w:autoSpaceDN w:val="0"/>
        <w:spacing w:line="360" w:lineRule="auto"/>
        <w:rPr>
          <w:bCs/>
          <w:spacing w:val="-3"/>
          <w:sz w:val="24"/>
          <w:szCs w:val="24"/>
        </w:rPr>
      </w:pPr>
    </w:p>
    <w:p w:rsidR="002820A0" w:rsidRPr="008D559E" w:rsidRDefault="002820A0" w:rsidP="002820A0">
      <w:pPr>
        <w:widowControl w:val="0"/>
        <w:autoSpaceDE w:val="0"/>
        <w:autoSpaceDN w:val="0"/>
        <w:rPr>
          <w:sz w:val="24"/>
          <w:szCs w:val="24"/>
          <w:u w:val="single"/>
        </w:rPr>
      </w:pPr>
      <w:r w:rsidRPr="0097089D">
        <w:rPr>
          <w:sz w:val="24"/>
          <w:szCs w:val="24"/>
        </w:rPr>
        <w:t xml:space="preserve">Date:  </w:t>
      </w:r>
      <w:r w:rsidR="00BC12B2">
        <w:rPr>
          <w:sz w:val="24"/>
          <w:szCs w:val="24"/>
          <w:u w:val="single"/>
        </w:rPr>
        <w:t>November 3</w:t>
      </w:r>
      <w:r w:rsidRPr="0097089D">
        <w:rPr>
          <w:sz w:val="24"/>
          <w:szCs w:val="24"/>
          <w:u w:val="single"/>
        </w:rPr>
        <w:t>,</w:t>
      </w:r>
      <w:r w:rsidR="00175064" w:rsidRPr="0097089D">
        <w:rPr>
          <w:sz w:val="24"/>
          <w:szCs w:val="24"/>
          <w:u w:val="single"/>
        </w:rPr>
        <w:t xml:space="preserve"> </w:t>
      </w:r>
      <w:r w:rsidRPr="0097089D">
        <w:rPr>
          <w:sz w:val="24"/>
          <w:szCs w:val="24"/>
          <w:u w:val="single"/>
        </w:rPr>
        <w:t>201</w:t>
      </w:r>
      <w:r w:rsidR="001C18FE">
        <w:rPr>
          <w:sz w:val="24"/>
          <w:szCs w:val="24"/>
          <w:u w:val="single"/>
        </w:rPr>
        <w:t>5</w:t>
      </w:r>
      <w:r w:rsidR="001C18FE">
        <w:rPr>
          <w:sz w:val="24"/>
          <w:szCs w:val="24"/>
        </w:rPr>
        <w:tab/>
      </w:r>
      <w:r w:rsidRPr="0097089D">
        <w:rPr>
          <w:sz w:val="24"/>
          <w:szCs w:val="24"/>
        </w:rPr>
        <w:tab/>
      </w:r>
      <w:r w:rsidRPr="0097089D">
        <w:rPr>
          <w:sz w:val="24"/>
          <w:szCs w:val="24"/>
        </w:rPr>
        <w:tab/>
      </w:r>
      <w:r w:rsidRPr="0097089D">
        <w:rPr>
          <w:sz w:val="24"/>
          <w:szCs w:val="24"/>
        </w:rPr>
        <w:tab/>
      </w:r>
      <w:r w:rsidR="008D559E">
        <w:rPr>
          <w:sz w:val="24"/>
          <w:szCs w:val="24"/>
          <w:u w:val="single"/>
        </w:rPr>
        <w:tab/>
      </w:r>
      <w:r w:rsidR="001A607E">
        <w:rPr>
          <w:sz w:val="24"/>
          <w:szCs w:val="24"/>
          <w:u w:val="single"/>
        </w:rPr>
        <w:t>/s/</w:t>
      </w:r>
      <w:r w:rsidR="008D559E">
        <w:rPr>
          <w:sz w:val="24"/>
          <w:szCs w:val="24"/>
          <w:u w:val="single"/>
        </w:rPr>
        <w:tab/>
      </w:r>
      <w:r w:rsidR="008D559E">
        <w:rPr>
          <w:sz w:val="24"/>
          <w:szCs w:val="24"/>
          <w:u w:val="single"/>
        </w:rPr>
        <w:tab/>
      </w:r>
      <w:r w:rsidR="008D559E">
        <w:rPr>
          <w:sz w:val="24"/>
          <w:szCs w:val="24"/>
          <w:u w:val="single"/>
        </w:rPr>
        <w:tab/>
      </w:r>
    </w:p>
    <w:p w:rsidR="002820A0" w:rsidRPr="0097089D" w:rsidRDefault="002820A0" w:rsidP="002820A0">
      <w:pPr>
        <w:widowControl w:val="0"/>
        <w:autoSpaceDE w:val="0"/>
        <w:autoSpaceDN w:val="0"/>
        <w:rPr>
          <w:sz w:val="24"/>
          <w:szCs w:val="24"/>
        </w:rPr>
      </w:pP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t>Dennis J. Buckley</w:t>
      </w:r>
    </w:p>
    <w:p w:rsidR="00176DE0" w:rsidRPr="0097089D" w:rsidRDefault="002820A0" w:rsidP="008D559E">
      <w:pPr>
        <w:widowControl w:val="0"/>
        <w:autoSpaceDE w:val="0"/>
        <w:autoSpaceDN w:val="0"/>
        <w:rPr>
          <w:sz w:val="24"/>
          <w:szCs w:val="24"/>
        </w:rPr>
      </w:pP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t>Administrative Law Judge</w:t>
      </w:r>
    </w:p>
    <w:sectPr w:rsidR="00176DE0" w:rsidRPr="0097089D" w:rsidSect="002A5928">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955" w:rsidRDefault="00506955">
      <w:r>
        <w:separator/>
      </w:r>
    </w:p>
  </w:endnote>
  <w:endnote w:type="continuationSeparator" w:id="0">
    <w:p w:rsidR="00506955" w:rsidRDefault="0050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6A7851" w:rsidRDefault="00447316" w:rsidP="00ED3EC8">
    <w:pPr>
      <w:pStyle w:val="Footer"/>
      <w:framePr w:wrap="around" w:vAnchor="text" w:hAnchor="margin" w:xAlign="center" w:y="1"/>
      <w:rPr>
        <w:rStyle w:val="PageNumber"/>
        <w:sz w:val="20"/>
        <w:szCs w:val="20"/>
      </w:rPr>
    </w:pPr>
    <w:r w:rsidRPr="006A7851">
      <w:rPr>
        <w:rStyle w:val="PageNumber"/>
        <w:sz w:val="20"/>
        <w:szCs w:val="20"/>
      </w:rPr>
      <w:fldChar w:fldCharType="begin"/>
    </w:r>
    <w:r w:rsidR="00ED3EC8" w:rsidRPr="006A7851">
      <w:rPr>
        <w:rStyle w:val="PageNumber"/>
        <w:sz w:val="20"/>
        <w:szCs w:val="20"/>
      </w:rPr>
      <w:instrText xml:space="preserve">PAGE  </w:instrText>
    </w:r>
    <w:r w:rsidRPr="006A7851">
      <w:rPr>
        <w:rStyle w:val="PageNumber"/>
        <w:sz w:val="20"/>
        <w:szCs w:val="20"/>
      </w:rPr>
      <w:fldChar w:fldCharType="separate"/>
    </w:r>
    <w:r w:rsidR="005A2692">
      <w:rPr>
        <w:rStyle w:val="PageNumber"/>
        <w:noProof/>
        <w:sz w:val="20"/>
        <w:szCs w:val="20"/>
      </w:rPr>
      <w:t>6</w:t>
    </w:r>
    <w:r w:rsidRPr="006A7851">
      <w:rPr>
        <w:rStyle w:val="PageNumber"/>
        <w:sz w:val="20"/>
        <w:szCs w:val="20"/>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955" w:rsidRDefault="00506955">
      <w:r>
        <w:separator/>
      </w:r>
    </w:p>
  </w:footnote>
  <w:footnote w:type="continuationSeparator" w:id="0">
    <w:p w:rsidR="00506955" w:rsidRDefault="00506955">
      <w:r>
        <w:continuationSeparator/>
      </w:r>
    </w:p>
  </w:footnote>
  <w:footnote w:id="1">
    <w:p w:rsidR="009876F3" w:rsidRDefault="009876F3">
      <w:pPr>
        <w:pStyle w:val="FootnoteText"/>
      </w:pPr>
      <w:r>
        <w:rPr>
          <w:rStyle w:val="FootnoteReference"/>
        </w:rPr>
        <w:footnoteRef/>
      </w:r>
      <w:r>
        <w:t xml:space="preserve"> </w:t>
      </w:r>
      <w:r>
        <w:tab/>
        <w:t>This exhibit was provided post-hearing by Washington, without objection from Complainant.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4C99"/>
    <w:rsid w:val="00005558"/>
    <w:rsid w:val="00006D9D"/>
    <w:rsid w:val="000079FE"/>
    <w:rsid w:val="00011DD9"/>
    <w:rsid w:val="00012104"/>
    <w:rsid w:val="0001305A"/>
    <w:rsid w:val="00016E55"/>
    <w:rsid w:val="0002105C"/>
    <w:rsid w:val="00026731"/>
    <w:rsid w:val="00035BB8"/>
    <w:rsid w:val="0004238E"/>
    <w:rsid w:val="0005069E"/>
    <w:rsid w:val="000541C0"/>
    <w:rsid w:val="00057544"/>
    <w:rsid w:val="000576ED"/>
    <w:rsid w:val="000576F6"/>
    <w:rsid w:val="000605B6"/>
    <w:rsid w:val="00061278"/>
    <w:rsid w:val="00062037"/>
    <w:rsid w:val="000634EB"/>
    <w:rsid w:val="00063801"/>
    <w:rsid w:val="00064463"/>
    <w:rsid w:val="00067CBC"/>
    <w:rsid w:val="00083F22"/>
    <w:rsid w:val="000902E3"/>
    <w:rsid w:val="00092117"/>
    <w:rsid w:val="0009220F"/>
    <w:rsid w:val="00092B4E"/>
    <w:rsid w:val="00092E44"/>
    <w:rsid w:val="00093562"/>
    <w:rsid w:val="0009662B"/>
    <w:rsid w:val="000A5086"/>
    <w:rsid w:val="000A770B"/>
    <w:rsid w:val="000B339A"/>
    <w:rsid w:val="000C2A2B"/>
    <w:rsid w:val="000C34F3"/>
    <w:rsid w:val="000C6B6E"/>
    <w:rsid w:val="000C6EF0"/>
    <w:rsid w:val="000D29BA"/>
    <w:rsid w:val="000E7EF5"/>
    <w:rsid w:val="000F2E5F"/>
    <w:rsid w:val="001021FB"/>
    <w:rsid w:val="00102A77"/>
    <w:rsid w:val="0010420D"/>
    <w:rsid w:val="001077F1"/>
    <w:rsid w:val="00110560"/>
    <w:rsid w:val="001136A2"/>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064"/>
    <w:rsid w:val="0017580D"/>
    <w:rsid w:val="00176DE0"/>
    <w:rsid w:val="00177E9B"/>
    <w:rsid w:val="00181AB1"/>
    <w:rsid w:val="001857EA"/>
    <w:rsid w:val="00191522"/>
    <w:rsid w:val="00192EB5"/>
    <w:rsid w:val="001966CB"/>
    <w:rsid w:val="001A103D"/>
    <w:rsid w:val="001A216A"/>
    <w:rsid w:val="001A2897"/>
    <w:rsid w:val="001A3A8A"/>
    <w:rsid w:val="001A607E"/>
    <w:rsid w:val="001B1B1D"/>
    <w:rsid w:val="001B3D6F"/>
    <w:rsid w:val="001C18FE"/>
    <w:rsid w:val="001D18FE"/>
    <w:rsid w:val="001D1F1B"/>
    <w:rsid w:val="001E2544"/>
    <w:rsid w:val="001E2642"/>
    <w:rsid w:val="001E3C9A"/>
    <w:rsid w:val="001E5447"/>
    <w:rsid w:val="001E79A7"/>
    <w:rsid w:val="001F0835"/>
    <w:rsid w:val="001F74FC"/>
    <w:rsid w:val="002004A8"/>
    <w:rsid w:val="0020223E"/>
    <w:rsid w:val="0021162B"/>
    <w:rsid w:val="002125E4"/>
    <w:rsid w:val="00215381"/>
    <w:rsid w:val="00216C32"/>
    <w:rsid w:val="00216F76"/>
    <w:rsid w:val="002203FA"/>
    <w:rsid w:val="00221A88"/>
    <w:rsid w:val="00232968"/>
    <w:rsid w:val="002337D7"/>
    <w:rsid w:val="00234DB8"/>
    <w:rsid w:val="002369B5"/>
    <w:rsid w:val="002451F7"/>
    <w:rsid w:val="00251E5A"/>
    <w:rsid w:val="00252DB6"/>
    <w:rsid w:val="002546D8"/>
    <w:rsid w:val="00260459"/>
    <w:rsid w:val="002608A7"/>
    <w:rsid w:val="0026313A"/>
    <w:rsid w:val="0026705F"/>
    <w:rsid w:val="002704DD"/>
    <w:rsid w:val="0027768F"/>
    <w:rsid w:val="002820A0"/>
    <w:rsid w:val="002840E8"/>
    <w:rsid w:val="00284760"/>
    <w:rsid w:val="00287BC6"/>
    <w:rsid w:val="0029096F"/>
    <w:rsid w:val="0029353E"/>
    <w:rsid w:val="002945D2"/>
    <w:rsid w:val="00297286"/>
    <w:rsid w:val="002A05C6"/>
    <w:rsid w:val="002A5928"/>
    <w:rsid w:val="002A5F4D"/>
    <w:rsid w:val="002B1966"/>
    <w:rsid w:val="002B754D"/>
    <w:rsid w:val="002C1F80"/>
    <w:rsid w:val="002C4F02"/>
    <w:rsid w:val="002D712F"/>
    <w:rsid w:val="002E7DDB"/>
    <w:rsid w:val="002F42FC"/>
    <w:rsid w:val="002F5AB2"/>
    <w:rsid w:val="00304623"/>
    <w:rsid w:val="00304AA1"/>
    <w:rsid w:val="00306C33"/>
    <w:rsid w:val="00313E9A"/>
    <w:rsid w:val="00321DB1"/>
    <w:rsid w:val="00323C44"/>
    <w:rsid w:val="00330A67"/>
    <w:rsid w:val="00334F62"/>
    <w:rsid w:val="003364EB"/>
    <w:rsid w:val="003366D5"/>
    <w:rsid w:val="00337F5B"/>
    <w:rsid w:val="0034324C"/>
    <w:rsid w:val="00344C34"/>
    <w:rsid w:val="00354574"/>
    <w:rsid w:val="00360F5F"/>
    <w:rsid w:val="00361198"/>
    <w:rsid w:val="0036124A"/>
    <w:rsid w:val="00364636"/>
    <w:rsid w:val="00365459"/>
    <w:rsid w:val="0036754C"/>
    <w:rsid w:val="003819D6"/>
    <w:rsid w:val="00381B05"/>
    <w:rsid w:val="00386626"/>
    <w:rsid w:val="00390929"/>
    <w:rsid w:val="003A0B9C"/>
    <w:rsid w:val="003A0E5A"/>
    <w:rsid w:val="003A3F15"/>
    <w:rsid w:val="003A4D89"/>
    <w:rsid w:val="003A7581"/>
    <w:rsid w:val="003B4D40"/>
    <w:rsid w:val="003B5D19"/>
    <w:rsid w:val="003B610B"/>
    <w:rsid w:val="003B7585"/>
    <w:rsid w:val="003C47E8"/>
    <w:rsid w:val="003E2B14"/>
    <w:rsid w:val="003F01A7"/>
    <w:rsid w:val="003F70A9"/>
    <w:rsid w:val="004047B1"/>
    <w:rsid w:val="00406611"/>
    <w:rsid w:val="00407C2F"/>
    <w:rsid w:val="00411425"/>
    <w:rsid w:val="00412E46"/>
    <w:rsid w:val="00413BA5"/>
    <w:rsid w:val="00413C57"/>
    <w:rsid w:val="00421A56"/>
    <w:rsid w:val="00426277"/>
    <w:rsid w:val="004262B3"/>
    <w:rsid w:val="00431130"/>
    <w:rsid w:val="00435B5C"/>
    <w:rsid w:val="00442254"/>
    <w:rsid w:val="00446B02"/>
    <w:rsid w:val="00447316"/>
    <w:rsid w:val="0045300F"/>
    <w:rsid w:val="00454158"/>
    <w:rsid w:val="00454723"/>
    <w:rsid w:val="00456657"/>
    <w:rsid w:val="00460140"/>
    <w:rsid w:val="0046238B"/>
    <w:rsid w:val="00476542"/>
    <w:rsid w:val="00491F39"/>
    <w:rsid w:val="0049575D"/>
    <w:rsid w:val="004A5318"/>
    <w:rsid w:val="004A741E"/>
    <w:rsid w:val="004B1ADE"/>
    <w:rsid w:val="004B570B"/>
    <w:rsid w:val="004B652A"/>
    <w:rsid w:val="004B7858"/>
    <w:rsid w:val="004C30D2"/>
    <w:rsid w:val="004D0BE0"/>
    <w:rsid w:val="004D108E"/>
    <w:rsid w:val="004D14F0"/>
    <w:rsid w:val="004D4A68"/>
    <w:rsid w:val="004E429F"/>
    <w:rsid w:val="004F25E0"/>
    <w:rsid w:val="004F37CB"/>
    <w:rsid w:val="004F45CA"/>
    <w:rsid w:val="00504F92"/>
    <w:rsid w:val="00506955"/>
    <w:rsid w:val="005071A9"/>
    <w:rsid w:val="005078B3"/>
    <w:rsid w:val="0051755B"/>
    <w:rsid w:val="00521B57"/>
    <w:rsid w:val="00522DE9"/>
    <w:rsid w:val="00523FBA"/>
    <w:rsid w:val="00524079"/>
    <w:rsid w:val="005255C0"/>
    <w:rsid w:val="005328F4"/>
    <w:rsid w:val="00536683"/>
    <w:rsid w:val="00553033"/>
    <w:rsid w:val="005534BD"/>
    <w:rsid w:val="005541E9"/>
    <w:rsid w:val="00564A3A"/>
    <w:rsid w:val="005674EF"/>
    <w:rsid w:val="00570C2E"/>
    <w:rsid w:val="00575D4F"/>
    <w:rsid w:val="00575F27"/>
    <w:rsid w:val="0058036C"/>
    <w:rsid w:val="00585BD9"/>
    <w:rsid w:val="00585F33"/>
    <w:rsid w:val="0059410E"/>
    <w:rsid w:val="005A1839"/>
    <w:rsid w:val="005A2692"/>
    <w:rsid w:val="005A3759"/>
    <w:rsid w:val="005A4F3F"/>
    <w:rsid w:val="005B68AC"/>
    <w:rsid w:val="005C373B"/>
    <w:rsid w:val="005C4AAA"/>
    <w:rsid w:val="005D1442"/>
    <w:rsid w:val="005E47AD"/>
    <w:rsid w:val="005F064D"/>
    <w:rsid w:val="005F5A21"/>
    <w:rsid w:val="00600458"/>
    <w:rsid w:val="00603824"/>
    <w:rsid w:val="00620850"/>
    <w:rsid w:val="00620AC8"/>
    <w:rsid w:val="00624D32"/>
    <w:rsid w:val="006273ED"/>
    <w:rsid w:val="00627A04"/>
    <w:rsid w:val="0064750C"/>
    <w:rsid w:val="00657505"/>
    <w:rsid w:val="006621E9"/>
    <w:rsid w:val="00664C73"/>
    <w:rsid w:val="006856E2"/>
    <w:rsid w:val="006903E0"/>
    <w:rsid w:val="00695250"/>
    <w:rsid w:val="00695397"/>
    <w:rsid w:val="0069562F"/>
    <w:rsid w:val="006A488D"/>
    <w:rsid w:val="006A7851"/>
    <w:rsid w:val="006B2FA8"/>
    <w:rsid w:val="006B3E08"/>
    <w:rsid w:val="006C4536"/>
    <w:rsid w:val="006C51E2"/>
    <w:rsid w:val="006C71BB"/>
    <w:rsid w:val="006D1276"/>
    <w:rsid w:val="006D45CB"/>
    <w:rsid w:val="006E08E5"/>
    <w:rsid w:val="006E3DBF"/>
    <w:rsid w:val="006E670A"/>
    <w:rsid w:val="006E6833"/>
    <w:rsid w:val="006E7EC7"/>
    <w:rsid w:val="006F27FC"/>
    <w:rsid w:val="006F3153"/>
    <w:rsid w:val="006F4F6D"/>
    <w:rsid w:val="006F64E8"/>
    <w:rsid w:val="00705262"/>
    <w:rsid w:val="00705CA5"/>
    <w:rsid w:val="007121EB"/>
    <w:rsid w:val="00716D0A"/>
    <w:rsid w:val="00721ECF"/>
    <w:rsid w:val="00725BEA"/>
    <w:rsid w:val="007306D1"/>
    <w:rsid w:val="00732F45"/>
    <w:rsid w:val="00742CE1"/>
    <w:rsid w:val="0074372C"/>
    <w:rsid w:val="00744C7C"/>
    <w:rsid w:val="00747C4D"/>
    <w:rsid w:val="0075585E"/>
    <w:rsid w:val="0075724D"/>
    <w:rsid w:val="00761717"/>
    <w:rsid w:val="00765329"/>
    <w:rsid w:val="00767FCA"/>
    <w:rsid w:val="00777F0B"/>
    <w:rsid w:val="0078470A"/>
    <w:rsid w:val="00786751"/>
    <w:rsid w:val="00787AF1"/>
    <w:rsid w:val="007B1039"/>
    <w:rsid w:val="007C2A5F"/>
    <w:rsid w:val="007D5B1C"/>
    <w:rsid w:val="007E0ADA"/>
    <w:rsid w:val="007E5866"/>
    <w:rsid w:val="00803A63"/>
    <w:rsid w:val="00804065"/>
    <w:rsid w:val="00835C5D"/>
    <w:rsid w:val="00840A53"/>
    <w:rsid w:val="008427B3"/>
    <w:rsid w:val="0085047D"/>
    <w:rsid w:val="008524EA"/>
    <w:rsid w:val="00857642"/>
    <w:rsid w:val="00857F8E"/>
    <w:rsid w:val="0086268A"/>
    <w:rsid w:val="00864B15"/>
    <w:rsid w:val="00865C18"/>
    <w:rsid w:val="0086621E"/>
    <w:rsid w:val="0088248B"/>
    <w:rsid w:val="00882CB8"/>
    <w:rsid w:val="00884650"/>
    <w:rsid w:val="00890848"/>
    <w:rsid w:val="00893901"/>
    <w:rsid w:val="008A41C8"/>
    <w:rsid w:val="008B19B1"/>
    <w:rsid w:val="008B2982"/>
    <w:rsid w:val="008B567A"/>
    <w:rsid w:val="008B600B"/>
    <w:rsid w:val="008C03AD"/>
    <w:rsid w:val="008C1485"/>
    <w:rsid w:val="008C39C5"/>
    <w:rsid w:val="008D2DBA"/>
    <w:rsid w:val="008D559E"/>
    <w:rsid w:val="008D638B"/>
    <w:rsid w:val="008E19D7"/>
    <w:rsid w:val="008E1EAD"/>
    <w:rsid w:val="008E4A13"/>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1473"/>
    <w:rsid w:val="00923349"/>
    <w:rsid w:val="00926002"/>
    <w:rsid w:val="00930EBA"/>
    <w:rsid w:val="00935580"/>
    <w:rsid w:val="00940B9E"/>
    <w:rsid w:val="009412D9"/>
    <w:rsid w:val="00944730"/>
    <w:rsid w:val="009471B5"/>
    <w:rsid w:val="00952928"/>
    <w:rsid w:val="00953BFF"/>
    <w:rsid w:val="00953CFD"/>
    <w:rsid w:val="00955608"/>
    <w:rsid w:val="009669E3"/>
    <w:rsid w:val="009671DB"/>
    <w:rsid w:val="0097089D"/>
    <w:rsid w:val="00972738"/>
    <w:rsid w:val="00980958"/>
    <w:rsid w:val="00987014"/>
    <w:rsid w:val="009876F3"/>
    <w:rsid w:val="00990C56"/>
    <w:rsid w:val="00997443"/>
    <w:rsid w:val="009A68E7"/>
    <w:rsid w:val="009B66C0"/>
    <w:rsid w:val="009C24F9"/>
    <w:rsid w:val="009C6FFA"/>
    <w:rsid w:val="009D0B2C"/>
    <w:rsid w:val="009D3AAC"/>
    <w:rsid w:val="009D493E"/>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91174"/>
    <w:rsid w:val="00AA0379"/>
    <w:rsid w:val="00AA1496"/>
    <w:rsid w:val="00AA3D06"/>
    <w:rsid w:val="00AA4646"/>
    <w:rsid w:val="00AA4899"/>
    <w:rsid w:val="00AA639F"/>
    <w:rsid w:val="00AC0D42"/>
    <w:rsid w:val="00AC7DAD"/>
    <w:rsid w:val="00AD344D"/>
    <w:rsid w:val="00AD5E7B"/>
    <w:rsid w:val="00AE0D14"/>
    <w:rsid w:val="00AE7E8A"/>
    <w:rsid w:val="00AF32D8"/>
    <w:rsid w:val="00AF4C64"/>
    <w:rsid w:val="00B00FFE"/>
    <w:rsid w:val="00B01BE5"/>
    <w:rsid w:val="00B06DDF"/>
    <w:rsid w:val="00B079A5"/>
    <w:rsid w:val="00B134F4"/>
    <w:rsid w:val="00B16D92"/>
    <w:rsid w:val="00B20FAA"/>
    <w:rsid w:val="00B21FBA"/>
    <w:rsid w:val="00B25D82"/>
    <w:rsid w:val="00B2793E"/>
    <w:rsid w:val="00B35F6A"/>
    <w:rsid w:val="00B41B82"/>
    <w:rsid w:val="00B41F0B"/>
    <w:rsid w:val="00B42826"/>
    <w:rsid w:val="00B53272"/>
    <w:rsid w:val="00B535FB"/>
    <w:rsid w:val="00B55869"/>
    <w:rsid w:val="00B567F1"/>
    <w:rsid w:val="00B569FA"/>
    <w:rsid w:val="00B571D3"/>
    <w:rsid w:val="00B63DDB"/>
    <w:rsid w:val="00B6680C"/>
    <w:rsid w:val="00B759EC"/>
    <w:rsid w:val="00B75F96"/>
    <w:rsid w:val="00B76C5A"/>
    <w:rsid w:val="00B824F8"/>
    <w:rsid w:val="00B86154"/>
    <w:rsid w:val="00B86F52"/>
    <w:rsid w:val="00B91893"/>
    <w:rsid w:val="00B926BD"/>
    <w:rsid w:val="00B94C50"/>
    <w:rsid w:val="00B97C8E"/>
    <w:rsid w:val="00BA1610"/>
    <w:rsid w:val="00BB1D36"/>
    <w:rsid w:val="00BB5630"/>
    <w:rsid w:val="00BC12B2"/>
    <w:rsid w:val="00BC4CCE"/>
    <w:rsid w:val="00BC684E"/>
    <w:rsid w:val="00BD00D9"/>
    <w:rsid w:val="00BE5D1C"/>
    <w:rsid w:val="00BE7640"/>
    <w:rsid w:val="00BF0242"/>
    <w:rsid w:val="00BF7FB4"/>
    <w:rsid w:val="00C00958"/>
    <w:rsid w:val="00C02723"/>
    <w:rsid w:val="00C02A91"/>
    <w:rsid w:val="00C04960"/>
    <w:rsid w:val="00C11391"/>
    <w:rsid w:val="00C138A5"/>
    <w:rsid w:val="00C211F9"/>
    <w:rsid w:val="00C25927"/>
    <w:rsid w:val="00C26064"/>
    <w:rsid w:val="00C27126"/>
    <w:rsid w:val="00C310B8"/>
    <w:rsid w:val="00C31DBD"/>
    <w:rsid w:val="00C3343C"/>
    <w:rsid w:val="00C36C29"/>
    <w:rsid w:val="00C45F8C"/>
    <w:rsid w:val="00C57A37"/>
    <w:rsid w:val="00C619A3"/>
    <w:rsid w:val="00C65047"/>
    <w:rsid w:val="00C67696"/>
    <w:rsid w:val="00C833D6"/>
    <w:rsid w:val="00C90FD1"/>
    <w:rsid w:val="00C95318"/>
    <w:rsid w:val="00C95A99"/>
    <w:rsid w:val="00C96F6B"/>
    <w:rsid w:val="00CA27F9"/>
    <w:rsid w:val="00CA42D7"/>
    <w:rsid w:val="00CB1D88"/>
    <w:rsid w:val="00CB72BC"/>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5348C"/>
    <w:rsid w:val="00D62214"/>
    <w:rsid w:val="00D65E10"/>
    <w:rsid w:val="00D709A0"/>
    <w:rsid w:val="00D73BC0"/>
    <w:rsid w:val="00D76C93"/>
    <w:rsid w:val="00D80B40"/>
    <w:rsid w:val="00DA0625"/>
    <w:rsid w:val="00DA671A"/>
    <w:rsid w:val="00DA7E6E"/>
    <w:rsid w:val="00DB07B8"/>
    <w:rsid w:val="00DB40E5"/>
    <w:rsid w:val="00DB4533"/>
    <w:rsid w:val="00DB4F49"/>
    <w:rsid w:val="00DC22DB"/>
    <w:rsid w:val="00DC4772"/>
    <w:rsid w:val="00DC6711"/>
    <w:rsid w:val="00DC67F2"/>
    <w:rsid w:val="00DD535D"/>
    <w:rsid w:val="00DD5F86"/>
    <w:rsid w:val="00DD6047"/>
    <w:rsid w:val="00DD771A"/>
    <w:rsid w:val="00DE2759"/>
    <w:rsid w:val="00DE4037"/>
    <w:rsid w:val="00DF150D"/>
    <w:rsid w:val="00DF63EB"/>
    <w:rsid w:val="00E030BF"/>
    <w:rsid w:val="00E04EFF"/>
    <w:rsid w:val="00E101A9"/>
    <w:rsid w:val="00E13468"/>
    <w:rsid w:val="00E257AB"/>
    <w:rsid w:val="00E3212A"/>
    <w:rsid w:val="00E333C7"/>
    <w:rsid w:val="00E41293"/>
    <w:rsid w:val="00E429A6"/>
    <w:rsid w:val="00E44479"/>
    <w:rsid w:val="00E475F0"/>
    <w:rsid w:val="00E47E14"/>
    <w:rsid w:val="00E50CA8"/>
    <w:rsid w:val="00E52346"/>
    <w:rsid w:val="00E553E9"/>
    <w:rsid w:val="00E62177"/>
    <w:rsid w:val="00E6288D"/>
    <w:rsid w:val="00E6494D"/>
    <w:rsid w:val="00E703C3"/>
    <w:rsid w:val="00E80333"/>
    <w:rsid w:val="00E8107B"/>
    <w:rsid w:val="00E9310C"/>
    <w:rsid w:val="00E933CC"/>
    <w:rsid w:val="00E9501F"/>
    <w:rsid w:val="00E9676A"/>
    <w:rsid w:val="00EB7A35"/>
    <w:rsid w:val="00EC05B4"/>
    <w:rsid w:val="00EC074E"/>
    <w:rsid w:val="00EC33EA"/>
    <w:rsid w:val="00EC3829"/>
    <w:rsid w:val="00ED2F8A"/>
    <w:rsid w:val="00ED3EC8"/>
    <w:rsid w:val="00ED7543"/>
    <w:rsid w:val="00ED7869"/>
    <w:rsid w:val="00EE1EE5"/>
    <w:rsid w:val="00EE490A"/>
    <w:rsid w:val="00EF7235"/>
    <w:rsid w:val="00F006AE"/>
    <w:rsid w:val="00F0235F"/>
    <w:rsid w:val="00F04C8C"/>
    <w:rsid w:val="00F054DA"/>
    <w:rsid w:val="00F07BCF"/>
    <w:rsid w:val="00F16FAB"/>
    <w:rsid w:val="00F178B6"/>
    <w:rsid w:val="00F24E8C"/>
    <w:rsid w:val="00F275FE"/>
    <w:rsid w:val="00F31625"/>
    <w:rsid w:val="00F36E39"/>
    <w:rsid w:val="00F41EDE"/>
    <w:rsid w:val="00F5046F"/>
    <w:rsid w:val="00F5088C"/>
    <w:rsid w:val="00F510AC"/>
    <w:rsid w:val="00F561B9"/>
    <w:rsid w:val="00F62D04"/>
    <w:rsid w:val="00F70887"/>
    <w:rsid w:val="00F86EF9"/>
    <w:rsid w:val="00F86FB1"/>
    <w:rsid w:val="00F908E0"/>
    <w:rsid w:val="00F9335A"/>
    <w:rsid w:val="00F93E3A"/>
    <w:rsid w:val="00FA785B"/>
    <w:rsid w:val="00FA7CC2"/>
    <w:rsid w:val="00FB4C6F"/>
    <w:rsid w:val="00FB64A1"/>
    <w:rsid w:val="00FC110D"/>
    <w:rsid w:val="00FC3800"/>
    <w:rsid w:val="00FD31EF"/>
    <w:rsid w:val="00FD36CA"/>
    <w:rsid w:val="00FD3B41"/>
    <w:rsid w:val="00FD6C73"/>
    <w:rsid w:val="00FE28F2"/>
    <w:rsid w:val="00FE52C1"/>
    <w:rsid w:val="00FF0BE2"/>
    <w:rsid w:val="00FF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2820A0"/>
    <w:rPr>
      <w:sz w:val="20"/>
      <w:szCs w:val="20"/>
    </w:rPr>
  </w:style>
  <w:style w:type="character" w:customStyle="1" w:styleId="FootnoteTextChar">
    <w:name w:val="Footnote Text Char"/>
    <w:basedOn w:val="DefaultParagraphFont"/>
    <w:link w:val="FootnoteText"/>
    <w:uiPriority w:val="99"/>
    <w:semiHidden/>
    <w:rsid w:val="002820A0"/>
    <w:rPr>
      <w:rFonts w:eastAsia="Times New Roman"/>
    </w:rPr>
  </w:style>
  <w:style w:type="character" w:styleId="FootnoteReference">
    <w:name w:val="footnote reference"/>
    <w:basedOn w:val="DefaultParagraphFont"/>
    <w:uiPriority w:val="99"/>
    <w:semiHidden/>
    <w:unhideWhenUsed/>
    <w:rsid w:val="002820A0"/>
    <w:rPr>
      <w:vertAlign w:val="superscript"/>
    </w:rPr>
  </w:style>
  <w:style w:type="paragraph" w:styleId="Header">
    <w:name w:val="header"/>
    <w:basedOn w:val="Normal"/>
    <w:link w:val="HeaderChar"/>
    <w:uiPriority w:val="99"/>
    <w:unhideWhenUsed/>
    <w:rsid w:val="006A7851"/>
    <w:pPr>
      <w:tabs>
        <w:tab w:val="center" w:pos="4680"/>
        <w:tab w:val="right" w:pos="9360"/>
      </w:tabs>
    </w:pPr>
  </w:style>
  <w:style w:type="character" w:customStyle="1" w:styleId="HeaderChar">
    <w:name w:val="Header Char"/>
    <w:basedOn w:val="DefaultParagraphFont"/>
    <w:link w:val="Header"/>
    <w:uiPriority w:val="99"/>
    <w:rsid w:val="006A7851"/>
    <w:rPr>
      <w:rFonts w:eastAsia="Times New Roman"/>
      <w:sz w:val="26"/>
      <w:szCs w:val="26"/>
    </w:rPr>
  </w:style>
  <w:style w:type="paragraph" w:customStyle="1" w:styleId="ParaTab1">
    <w:name w:val="ParaTab 1"/>
    <w:rsid w:val="00C67696"/>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8D55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2820A0"/>
    <w:rPr>
      <w:sz w:val="20"/>
      <w:szCs w:val="20"/>
    </w:rPr>
  </w:style>
  <w:style w:type="character" w:customStyle="1" w:styleId="FootnoteTextChar">
    <w:name w:val="Footnote Text Char"/>
    <w:basedOn w:val="DefaultParagraphFont"/>
    <w:link w:val="FootnoteText"/>
    <w:uiPriority w:val="99"/>
    <w:semiHidden/>
    <w:rsid w:val="002820A0"/>
    <w:rPr>
      <w:rFonts w:eastAsia="Times New Roman"/>
    </w:rPr>
  </w:style>
  <w:style w:type="character" w:styleId="FootnoteReference">
    <w:name w:val="footnote reference"/>
    <w:basedOn w:val="DefaultParagraphFont"/>
    <w:uiPriority w:val="99"/>
    <w:semiHidden/>
    <w:unhideWhenUsed/>
    <w:rsid w:val="002820A0"/>
    <w:rPr>
      <w:vertAlign w:val="superscript"/>
    </w:rPr>
  </w:style>
  <w:style w:type="paragraph" w:styleId="Header">
    <w:name w:val="header"/>
    <w:basedOn w:val="Normal"/>
    <w:link w:val="HeaderChar"/>
    <w:uiPriority w:val="99"/>
    <w:unhideWhenUsed/>
    <w:rsid w:val="006A7851"/>
    <w:pPr>
      <w:tabs>
        <w:tab w:val="center" w:pos="4680"/>
        <w:tab w:val="right" w:pos="9360"/>
      </w:tabs>
    </w:pPr>
  </w:style>
  <w:style w:type="character" w:customStyle="1" w:styleId="HeaderChar">
    <w:name w:val="Header Char"/>
    <w:basedOn w:val="DefaultParagraphFont"/>
    <w:link w:val="Header"/>
    <w:uiPriority w:val="99"/>
    <w:rsid w:val="006A7851"/>
    <w:rPr>
      <w:rFonts w:eastAsia="Times New Roman"/>
      <w:sz w:val="26"/>
      <w:szCs w:val="26"/>
    </w:rPr>
  </w:style>
  <w:style w:type="paragraph" w:customStyle="1" w:styleId="ParaTab1">
    <w:name w:val="ParaTab 1"/>
    <w:rsid w:val="00C67696"/>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8D5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3448C-0305-4E15-93D6-4C95C1E9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1821</Words>
  <Characters>10382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debuckley</cp:lastModifiedBy>
  <cp:revision>7</cp:revision>
  <cp:lastPrinted>2015-11-03T20:37:00Z</cp:lastPrinted>
  <dcterms:created xsi:type="dcterms:W3CDTF">2015-11-03T20:36:00Z</dcterms:created>
  <dcterms:modified xsi:type="dcterms:W3CDTF">2015-11-17T19:31:00Z</dcterms:modified>
</cp:coreProperties>
</file>