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C8C" w:rsidRPr="00FC25EC" w:rsidRDefault="005A7C8C" w:rsidP="005A7C8C">
      <w:pPr>
        <w:spacing w:line="240" w:lineRule="auto"/>
        <w:rPr>
          <w:b/>
        </w:rPr>
      </w:pPr>
      <w:r w:rsidRPr="00FC25EC">
        <w:rPr>
          <w:b/>
        </w:rPr>
        <w:t>BEFORE THE</w:t>
      </w:r>
    </w:p>
    <w:p w:rsidR="005A7C8C" w:rsidRPr="00FC25EC" w:rsidRDefault="005A7C8C" w:rsidP="005A7C8C">
      <w:pPr>
        <w:spacing w:line="240" w:lineRule="auto"/>
        <w:rPr>
          <w:b/>
        </w:rPr>
      </w:pPr>
      <w:r w:rsidRPr="00FC25EC">
        <w:rPr>
          <w:b/>
        </w:rPr>
        <w:t>PENNSYLVANIA PUBLIC UTILITY COMMISSION</w:t>
      </w:r>
    </w:p>
    <w:p w:rsidR="005A7C8C" w:rsidRDefault="005A7C8C" w:rsidP="005A7C8C">
      <w:pPr>
        <w:spacing w:line="240" w:lineRule="auto"/>
        <w:rPr>
          <w:b/>
        </w:rPr>
      </w:pPr>
    </w:p>
    <w:p w:rsidR="00FC25EC" w:rsidRPr="00FC25EC" w:rsidRDefault="00FC25EC" w:rsidP="005A7C8C">
      <w:pPr>
        <w:spacing w:line="240" w:lineRule="auto"/>
        <w:rPr>
          <w:b/>
        </w:rPr>
      </w:pPr>
    </w:p>
    <w:p w:rsidR="005A7C8C" w:rsidRPr="00FC25EC" w:rsidRDefault="005A7C8C" w:rsidP="005A7C8C">
      <w:pPr>
        <w:spacing w:line="240" w:lineRule="auto"/>
        <w:rPr>
          <w:b/>
        </w:rPr>
      </w:pPr>
    </w:p>
    <w:p w:rsidR="005A7C8C" w:rsidRPr="00FC25EC" w:rsidRDefault="00284975" w:rsidP="005A7C8C">
      <w:pPr>
        <w:spacing w:line="240" w:lineRule="auto"/>
        <w:jc w:val="left"/>
      </w:pPr>
      <w:r>
        <w:t>Frederick Smith</w:t>
      </w:r>
      <w:r w:rsidR="005A7C8C" w:rsidRPr="00FC25EC">
        <w:tab/>
      </w:r>
      <w:r w:rsidR="005A7C8C" w:rsidRPr="00FC25EC">
        <w:tab/>
      </w:r>
      <w:r w:rsidR="005A7C8C" w:rsidRPr="00FC25EC">
        <w:tab/>
      </w:r>
      <w:r w:rsidR="005A7C8C" w:rsidRPr="00FC25EC">
        <w:tab/>
      </w:r>
      <w:r w:rsidR="00FC25EC">
        <w:tab/>
      </w:r>
      <w:r w:rsidR="005A7C8C" w:rsidRPr="00FC25EC">
        <w:t>:</w:t>
      </w:r>
    </w:p>
    <w:p w:rsidR="005A7C8C" w:rsidRPr="00FC25EC" w:rsidRDefault="005A7C8C" w:rsidP="005A7C8C">
      <w:pPr>
        <w:spacing w:line="240" w:lineRule="auto"/>
        <w:jc w:val="left"/>
      </w:pPr>
      <w:r w:rsidRPr="00FC25EC">
        <w:tab/>
      </w:r>
      <w:r w:rsidRPr="00FC25EC">
        <w:tab/>
      </w:r>
      <w:r w:rsidRPr="00FC25EC">
        <w:tab/>
      </w:r>
      <w:r w:rsidRPr="00FC25EC">
        <w:tab/>
      </w:r>
      <w:r w:rsidRPr="00FC25EC">
        <w:tab/>
      </w:r>
      <w:r w:rsidRPr="00FC25EC">
        <w:tab/>
      </w:r>
      <w:r w:rsidR="00FC25EC">
        <w:tab/>
      </w:r>
      <w:r w:rsidRPr="00FC25EC">
        <w:t>:</w:t>
      </w:r>
    </w:p>
    <w:p w:rsidR="005A7C8C" w:rsidRPr="00FC25EC" w:rsidRDefault="005A7C8C" w:rsidP="005A7C8C">
      <w:pPr>
        <w:spacing w:line="240" w:lineRule="auto"/>
        <w:jc w:val="left"/>
      </w:pPr>
      <w:r w:rsidRPr="00FC25EC">
        <w:tab/>
        <w:t>v.</w:t>
      </w:r>
      <w:r w:rsidRPr="00FC25EC">
        <w:tab/>
      </w:r>
      <w:r w:rsidRPr="00FC25EC">
        <w:tab/>
      </w:r>
      <w:r w:rsidRPr="00FC25EC">
        <w:tab/>
      </w:r>
      <w:r w:rsidRPr="00FC25EC">
        <w:tab/>
      </w:r>
      <w:r w:rsidRPr="00FC25EC">
        <w:tab/>
      </w:r>
      <w:r w:rsidR="00FC25EC">
        <w:tab/>
        <w:t>:</w:t>
      </w:r>
      <w:r w:rsidR="00FC25EC">
        <w:tab/>
      </w:r>
      <w:r w:rsidR="00FC25EC">
        <w:tab/>
      </w:r>
      <w:r w:rsidRPr="00FC25EC">
        <w:t>C-201</w:t>
      </w:r>
      <w:r w:rsidR="00284975">
        <w:t>5</w:t>
      </w:r>
      <w:r w:rsidRPr="00FC25EC">
        <w:t>-</w:t>
      </w:r>
      <w:r w:rsidR="00284975">
        <w:t>2477788</w:t>
      </w:r>
      <w:r w:rsidRPr="00FC25EC">
        <w:t xml:space="preserve"> </w:t>
      </w:r>
    </w:p>
    <w:p w:rsidR="005A7C8C" w:rsidRPr="00FC25EC" w:rsidRDefault="005A7C8C" w:rsidP="005A7C8C">
      <w:pPr>
        <w:spacing w:line="240" w:lineRule="auto"/>
        <w:jc w:val="left"/>
      </w:pPr>
      <w:r w:rsidRPr="00FC25EC">
        <w:tab/>
      </w:r>
      <w:r w:rsidRPr="00FC25EC">
        <w:tab/>
      </w:r>
      <w:r w:rsidRPr="00FC25EC">
        <w:tab/>
      </w:r>
      <w:r w:rsidRPr="00FC25EC">
        <w:tab/>
      </w:r>
      <w:r w:rsidRPr="00FC25EC">
        <w:tab/>
      </w:r>
      <w:r w:rsidRPr="00FC25EC">
        <w:tab/>
      </w:r>
      <w:r w:rsidR="002B2B5B">
        <w:tab/>
        <w:t>:</w:t>
      </w:r>
    </w:p>
    <w:p w:rsidR="005A7C8C" w:rsidRPr="00FC25EC" w:rsidRDefault="009B39B3" w:rsidP="005A7C8C">
      <w:pPr>
        <w:spacing w:line="240" w:lineRule="auto"/>
        <w:jc w:val="left"/>
      </w:pPr>
      <w:r>
        <w:t>Philadelphia Gas Works</w:t>
      </w:r>
      <w:r>
        <w:tab/>
      </w:r>
      <w:r w:rsidR="005A7C8C" w:rsidRPr="00FC25EC">
        <w:tab/>
      </w:r>
      <w:r w:rsidR="005A7C8C" w:rsidRPr="00FC25EC">
        <w:tab/>
      </w:r>
      <w:r w:rsidR="00FC25EC">
        <w:tab/>
      </w:r>
      <w:r w:rsidR="005A7C8C" w:rsidRPr="00FC25EC">
        <w:t>:</w:t>
      </w:r>
    </w:p>
    <w:p w:rsidR="005A7C8C" w:rsidRPr="00FC25EC" w:rsidRDefault="005A7C8C" w:rsidP="005A7C8C">
      <w:pPr>
        <w:spacing w:line="240" w:lineRule="auto"/>
        <w:jc w:val="left"/>
      </w:pPr>
    </w:p>
    <w:p w:rsidR="005A7C8C" w:rsidRPr="00FC25EC" w:rsidRDefault="005A7C8C" w:rsidP="005A7C8C">
      <w:pPr>
        <w:spacing w:line="240" w:lineRule="auto"/>
        <w:jc w:val="left"/>
      </w:pPr>
    </w:p>
    <w:p w:rsidR="005A7C8C" w:rsidRPr="00FC25EC" w:rsidRDefault="005A7C8C" w:rsidP="005A7C8C">
      <w:pPr>
        <w:spacing w:line="240" w:lineRule="auto"/>
        <w:jc w:val="left"/>
      </w:pPr>
    </w:p>
    <w:p w:rsidR="005A7C8C" w:rsidRPr="00FC25EC" w:rsidRDefault="005A7C8C" w:rsidP="005A7C8C">
      <w:pPr>
        <w:spacing w:line="240" w:lineRule="auto"/>
        <w:rPr>
          <w:b/>
          <w:u w:val="single"/>
        </w:rPr>
      </w:pPr>
      <w:r w:rsidRPr="00FC25EC">
        <w:rPr>
          <w:b/>
          <w:u w:val="single"/>
        </w:rPr>
        <w:t>INITIAL DECISION</w:t>
      </w:r>
    </w:p>
    <w:p w:rsidR="005A7C8C" w:rsidRDefault="005A7C8C" w:rsidP="005A7C8C">
      <w:pPr>
        <w:spacing w:line="240" w:lineRule="auto"/>
        <w:rPr>
          <w:b/>
        </w:rPr>
      </w:pPr>
    </w:p>
    <w:p w:rsidR="00FC25EC" w:rsidRPr="00FC25EC" w:rsidRDefault="00FC25EC" w:rsidP="005A7C8C">
      <w:pPr>
        <w:spacing w:line="240" w:lineRule="auto"/>
        <w:rPr>
          <w:b/>
        </w:rPr>
      </w:pPr>
    </w:p>
    <w:p w:rsidR="005A7C8C" w:rsidRPr="00FC25EC" w:rsidRDefault="005A7C8C" w:rsidP="005A7C8C">
      <w:pPr>
        <w:spacing w:line="240" w:lineRule="auto"/>
      </w:pPr>
      <w:r w:rsidRPr="00FC25EC">
        <w:t>Before</w:t>
      </w:r>
    </w:p>
    <w:p w:rsidR="005A7C8C" w:rsidRPr="00FC25EC" w:rsidRDefault="00284975" w:rsidP="005A7C8C">
      <w:pPr>
        <w:spacing w:line="240" w:lineRule="auto"/>
      </w:pPr>
      <w:r>
        <w:t>Steven K. Haas</w:t>
      </w:r>
    </w:p>
    <w:p w:rsidR="005A7C8C" w:rsidRPr="00FC25EC" w:rsidRDefault="005A7C8C" w:rsidP="005A7C8C">
      <w:pPr>
        <w:spacing w:line="240" w:lineRule="auto"/>
      </w:pPr>
      <w:r w:rsidRPr="00FC25EC">
        <w:t>Administrative Law Judge</w:t>
      </w:r>
    </w:p>
    <w:p w:rsidR="005A7C8C" w:rsidRPr="00FC25EC" w:rsidRDefault="005A7C8C" w:rsidP="005A7C8C">
      <w:pPr>
        <w:spacing w:line="240" w:lineRule="auto"/>
      </w:pPr>
    </w:p>
    <w:p w:rsidR="005A7C8C" w:rsidRPr="00FC25EC" w:rsidRDefault="005A7C8C" w:rsidP="005A7C8C">
      <w:pPr>
        <w:spacing w:line="240" w:lineRule="auto"/>
      </w:pPr>
      <w:bookmarkStart w:id="0" w:name="_GoBack"/>
      <w:bookmarkEnd w:id="0"/>
    </w:p>
    <w:p w:rsidR="005A7C8C" w:rsidRPr="00FC25EC" w:rsidRDefault="005A7C8C" w:rsidP="005A7C8C">
      <w:pPr>
        <w:spacing w:line="240" w:lineRule="auto"/>
        <w:rPr>
          <w:u w:val="single"/>
        </w:rPr>
      </w:pPr>
      <w:r w:rsidRPr="00FC25EC">
        <w:rPr>
          <w:u w:val="single"/>
        </w:rPr>
        <w:t>INTRODUCTION</w:t>
      </w:r>
    </w:p>
    <w:p w:rsidR="005A7C8C" w:rsidRDefault="005A7C8C" w:rsidP="005A7C8C">
      <w:pPr>
        <w:spacing w:line="240" w:lineRule="auto"/>
        <w:rPr>
          <w:u w:val="single"/>
        </w:rPr>
      </w:pPr>
    </w:p>
    <w:p w:rsidR="00FC25EC" w:rsidRPr="00FC25EC" w:rsidRDefault="00FC25EC" w:rsidP="005A7C8C">
      <w:pPr>
        <w:spacing w:line="240" w:lineRule="auto"/>
        <w:rPr>
          <w:u w:val="single"/>
        </w:rPr>
      </w:pPr>
    </w:p>
    <w:p w:rsidR="005A7C8C" w:rsidRPr="00FC25EC" w:rsidRDefault="005A7C8C" w:rsidP="008A63A7">
      <w:pPr>
        <w:jc w:val="left"/>
      </w:pPr>
      <w:r w:rsidRPr="00FC25EC">
        <w:tab/>
      </w:r>
      <w:r w:rsidRPr="00FC25EC">
        <w:tab/>
      </w:r>
      <w:r w:rsidR="00E95425">
        <w:t xml:space="preserve">A customer filed a formal complaint against his </w:t>
      </w:r>
      <w:r w:rsidR="005F3CE4">
        <w:t>natural gas</w:t>
      </w:r>
      <w:r w:rsidR="00E95425">
        <w:t xml:space="preserve"> company wherein he alleged that the company improperly transferred a balance from a prior account under his mother’s name to his account when he established service in his name at the same residence.  The customer is also seeking a payment arrangement for the portion of the total</w:t>
      </w:r>
      <w:r w:rsidR="00F22BB5">
        <w:t xml:space="preserve"> outstanding</w:t>
      </w:r>
      <w:r w:rsidR="00E95425">
        <w:t xml:space="preserve"> balance </w:t>
      </w:r>
      <w:r w:rsidR="00F22BB5">
        <w:t xml:space="preserve">on his account </w:t>
      </w:r>
      <w:r w:rsidR="00E95425">
        <w:t xml:space="preserve">for which he is found responsible.  </w:t>
      </w:r>
      <w:r w:rsidRPr="00FC25EC">
        <w:t>T</w:t>
      </w:r>
      <w:r w:rsidR="000163AF" w:rsidRPr="00FC25EC">
        <w:t>his Initial Decision</w:t>
      </w:r>
      <w:r w:rsidR="00E95425">
        <w:t xml:space="preserve"> (ID)</w:t>
      </w:r>
      <w:r w:rsidR="000163AF" w:rsidRPr="00FC25EC">
        <w:t xml:space="preserve"> </w:t>
      </w:r>
      <w:r w:rsidR="009F2D35">
        <w:t>d</w:t>
      </w:r>
      <w:r w:rsidR="0017275D">
        <w:t>eni</w:t>
      </w:r>
      <w:r w:rsidR="009F2D35">
        <w:t xml:space="preserve">es </w:t>
      </w:r>
      <w:r w:rsidR="00E95425">
        <w:t>the</w:t>
      </w:r>
      <w:r w:rsidR="00AB0C3B">
        <w:t xml:space="preserve"> portion of the</w:t>
      </w:r>
      <w:r w:rsidR="009F2D35">
        <w:t xml:space="preserve"> complaint</w:t>
      </w:r>
      <w:r w:rsidR="00AB0C3B">
        <w:t xml:space="preserve"> that alleges an improper balance transfer, since the Complainant lived at the address during the time the balance under his mother’s name accrued.  </w:t>
      </w:r>
      <w:r w:rsidR="009F2D35">
        <w:t xml:space="preserve"> </w:t>
      </w:r>
      <w:r w:rsidR="00E95425">
        <w:t xml:space="preserve"> The ID also </w:t>
      </w:r>
      <w:r w:rsidR="00AB0C3B">
        <w:t>establishes a payment arrangement for the portion of the Complainant’s balance that does not constitute C</w:t>
      </w:r>
      <w:r w:rsidR="008A63A7">
        <w:t xml:space="preserve">ustomer Responsibility </w:t>
      </w:r>
      <w:r w:rsidR="00AB0C3B">
        <w:t>P</w:t>
      </w:r>
      <w:r w:rsidR="008A63A7">
        <w:t>rogram (CRP)</w:t>
      </w:r>
      <w:r w:rsidR="00AB0C3B">
        <w:t xml:space="preserve"> arrears.  </w:t>
      </w:r>
      <w:r w:rsidR="00E95425">
        <w:t xml:space="preserve"> </w:t>
      </w:r>
      <w:r w:rsidR="009F2D35">
        <w:t xml:space="preserve"> </w:t>
      </w:r>
    </w:p>
    <w:p w:rsidR="005A7C8C" w:rsidRPr="00FC25EC" w:rsidRDefault="005A7C8C" w:rsidP="005A7C8C">
      <w:pPr>
        <w:spacing w:line="240" w:lineRule="auto"/>
      </w:pPr>
    </w:p>
    <w:p w:rsidR="005A7C8C" w:rsidRPr="00FC25EC" w:rsidRDefault="005A7C8C" w:rsidP="005A7C8C">
      <w:pPr>
        <w:spacing w:line="240" w:lineRule="auto"/>
        <w:rPr>
          <w:u w:val="single"/>
        </w:rPr>
      </w:pPr>
      <w:r w:rsidRPr="00FC25EC">
        <w:rPr>
          <w:u w:val="single"/>
        </w:rPr>
        <w:t>HISTORY OF THE PROCEEDING</w:t>
      </w:r>
    </w:p>
    <w:p w:rsidR="005A7C8C" w:rsidRDefault="005A7C8C" w:rsidP="00FC25EC">
      <w:pPr>
        <w:spacing w:line="240" w:lineRule="auto"/>
      </w:pPr>
    </w:p>
    <w:p w:rsidR="00FC25EC" w:rsidRPr="00FC25EC" w:rsidRDefault="00FC25EC" w:rsidP="00FC25EC">
      <w:pPr>
        <w:spacing w:line="240" w:lineRule="auto"/>
      </w:pPr>
    </w:p>
    <w:p w:rsidR="00E52080" w:rsidRDefault="005A7C8C" w:rsidP="005A7C8C">
      <w:pPr>
        <w:jc w:val="left"/>
      </w:pPr>
      <w:r w:rsidRPr="00FC25EC">
        <w:tab/>
      </w:r>
      <w:r w:rsidRPr="00FC25EC">
        <w:tab/>
        <w:t xml:space="preserve">On </w:t>
      </w:r>
      <w:r w:rsidR="00E52080">
        <w:t>April 17, 2015</w:t>
      </w:r>
      <w:r w:rsidRPr="00FC25EC">
        <w:t xml:space="preserve">, </w:t>
      </w:r>
      <w:r w:rsidR="00E52080">
        <w:t>Frederick Smith</w:t>
      </w:r>
      <w:r w:rsidRPr="00FC25EC">
        <w:t xml:space="preserve"> (</w:t>
      </w:r>
      <w:r w:rsidR="00E52080">
        <w:t xml:space="preserve">Mr. Smith or </w:t>
      </w:r>
      <w:r w:rsidRPr="00FC25EC">
        <w:t xml:space="preserve">Complainant) filed a formal </w:t>
      </w:r>
      <w:r w:rsidR="00AB0C3B">
        <w:t>c</w:t>
      </w:r>
      <w:r w:rsidRPr="00FC25EC">
        <w:t xml:space="preserve">omplaint against </w:t>
      </w:r>
      <w:r w:rsidR="00E52080">
        <w:t xml:space="preserve">Philadelphia Gas Works </w:t>
      </w:r>
      <w:r w:rsidRPr="00FC25EC">
        <w:t>(</w:t>
      </w:r>
      <w:r w:rsidR="00E52080">
        <w:t>PGW</w:t>
      </w:r>
      <w:r w:rsidRPr="00FC25EC">
        <w:t xml:space="preserve"> or Respondent), at</w:t>
      </w:r>
      <w:r w:rsidR="00E52080">
        <w:t xml:space="preserve"> </w:t>
      </w:r>
      <w:r w:rsidR="005F3CE4">
        <w:t xml:space="preserve">Docket No. </w:t>
      </w:r>
      <w:r w:rsidRPr="00FC25EC">
        <w:t>C-201</w:t>
      </w:r>
      <w:r w:rsidR="00E52080">
        <w:t>5</w:t>
      </w:r>
      <w:r w:rsidRPr="00FC25EC">
        <w:t>-</w:t>
      </w:r>
      <w:r w:rsidR="00E52080">
        <w:t>2477788</w:t>
      </w:r>
      <w:r w:rsidRPr="00FC25EC">
        <w:t xml:space="preserve">, alleging that </w:t>
      </w:r>
      <w:r w:rsidR="00E52080">
        <w:t>PGW improperly required that the outstanding balance from a</w:t>
      </w:r>
      <w:r w:rsidR="00B94371">
        <w:t xml:space="preserve"> prior </w:t>
      </w:r>
      <w:r w:rsidR="00E52080">
        <w:lastRenderedPageBreak/>
        <w:t xml:space="preserve">account under </w:t>
      </w:r>
      <w:r w:rsidR="00B94371">
        <w:t xml:space="preserve">his </w:t>
      </w:r>
      <w:r w:rsidR="00E52080">
        <w:t>mother’s name</w:t>
      </w:r>
      <w:r w:rsidR="008C4565">
        <w:t xml:space="preserve"> </w:t>
      </w:r>
      <w:r w:rsidR="00E52080">
        <w:t xml:space="preserve">be transferred to the Complainant’s account as a precondition </w:t>
      </w:r>
      <w:r w:rsidR="008C4565">
        <w:t>to</w:t>
      </w:r>
      <w:r w:rsidR="00E52080">
        <w:t xml:space="preserve"> the establishment of new service </w:t>
      </w:r>
      <w:r w:rsidR="00836C96">
        <w:t xml:space="preserve">under the </w:t>
      </w:r>
      <w:r w:rsidR="00E52080">
        <w:t>Complainant</w:t>
      </w:r>
      <w:r w:rsidR="00836C96">
        <w:t>’s name</w:t>
      </w:r>
      <w:r w:rsidR="008C4565">
        <w:t xml:space="preserve"> at the same address</w:t>
      </w:r>
      <w:r w:rsidR="00E52080">
        <w:t>.  Mr. Smith also requested that the Commission establish a</w:t>
      </w:r>
      <w:r w:rsidR="005F3CE4">
        <w:t>n affordable</w:t>
      </w:r>
      <w:r w:rsidR="00E52080">
        <w:t xml:space="preserve"> payment agreement</w:t>
      </w:r>
      <w:r w:rsidR="00EA6D52">
        <w:t xml:space="preserve"> for </w:t>
      </w:r>
      <w:r w:rsidR="00B94371">
        <w:t xml:space="preserve">the </w:t>
      </w:r>
      <w:r w:rsidR="00EA6D52">
        <w:t xml:space="preserve">portion of </w:t>
      </w:r>
      <w:r w:rsidR="00E62F62">
        <w:t xml:space="preserve">his current outstanding </w:t>
      </w:r>
      <w:r w:rsidR="00EA6D52">
        <w:t>balance for which he is found responsible</w:t>
      </w:r>
      <w:r w:rsidR="00E52080">
        <w:t xml:space="preserve">.  </w:t>
      </w:r>
    </w:p>
    <w:p w:rsidR="00E52080" w:rsidRDefault="00E52080" w:rsidP="005A7C8C">
      <w:pPr>
        <w:jc w:val="left"/>
      </w:pPr>
    </w:p>
    <w:p w:rsidR="004B220A" w:rsidRDefault="005A7C8C" w:rsidP="005A7C8C">
      <w:pPr>
        <w:jc w:val="left"/>
      </w:pPr>
      <w:r w:rsidRPr="00FC25EC">
        <w:tab/>
      </w:r>
      <w:r w:rsidRPr="00FC25EC">
        <w:tab/>
        <w:t xml:space="preserve">On </w:t>
      </w:r>
      <w:r w:rsidR="00E52080">
        <w:t>May 11, 2015</w:t>
      </w:r>
      <w:r w:rsidRPr="00FC25EC">
        <w:t xml:space="preserve">, </w:t>
      </w:r>
      <w:r w:rsidR="00E52080">
        <w:t>PGW</w:t>
      </w:r>
      <w:r w:rsidRPr="00FC25EC">
        <w:t xml:space="preserve"> filed its </w:t>
      </w:r>
      <w:r w:rsidR="008C4565">
        <w:t>a</w:t>
      </w:r>
      <w:r w:rsidRPr="00FC25EC">
        <w:t xml:space="preserve">nswer </w:t>
      </w:r>
      <w:r w:rsidR="00E52080">
        <w:t xml:space="preserve">to the complaint.  </w:t>
      </w:r>
      <w:r w:rsidR="00D2433F">
        <w:t>In its answer, PGW averred that</w:t>
      </w:r>
      <w:r w:rsidR="005F3CE4">
        <w:t xml:space="preserve"> the</w:t>
      </w:r>
      <w:r w:rsidR="00D2433F">
        <w:t xml:space="preserve"> transfer of the Complainant’s mother’s balance to his </w:t>
      </w:r>
      <w:r w:rsidR="005F3CE4">
        <w:t xml:space="preserve">new </w:t>
      </w:r>
      <w:r w:rsidR="00D2433F">
        <w:t>account was proper.</w:t>
      </w:r>
      <w:r w:rsidR="005F3CE4">
        <w:t xml:space="preserve">  </w:t>
      </w:r>
    </w:p>
    <w:p w:rsidR="005A7C8C" w:rsidRPr="00FC25EC" w:rsidRDefault="00D2433F" w:rsidP="005A7C8C">
      <w:pPr>
        <w:jc w:val="left"/>
      </w:pPr>
      <w:r>
        <w:t xml:space="preserve">    </w:t>
      </w:r>
    </w:p>
    <w:p w:rsidR="005A7C8C" w:rsidRPr="00FC25EC" w:rsidRDefault="005A7C8C" w:rsidP="005A7C8C">
      <w:pPr>
        <w:jc w:val="left"/>
      </w:pPr>
      <w:r w:rsidRPr="00FC25EC">
        <w:tab/>
      </w:r>
      <w:r w:rsidRPr="00FC25EC">
        <w:tab/>
        <w:t xml:space="preserve">On </w:t>
      </w:r>
      <w:r w:rsidR="00D2433F">
        <w:t>June 23, 2015</w:t>
      </w:r>
      <w:r w:rsidRPr="00FC25EC">
        <w:t>, a Telephonic Hearing</w:t>
      </w:r>
      <w:r w:rsidR="00D2433F">
        <w:t xml:space="preserve"> Notice</w:t>
      </w:r>
      <w:r w:rsidRPr="00FC25EC">
        <w:t xml:space="preserve"> was issued which s</w:t>
      </w:r>
      <w:r w:rsidR="008C4565">
        <w:t>cheduled</w:t>
      </w:r>
      <w:r w:rsidRPr="00FC25EC">
        <w:t xml:space="preserve"> </w:t>
      </w:r>
      <w:r w:rsidR="00D2433F">
        <w:t>a</w:t>
      </w:r>
      <w:r w:rsidR="00EA6D52">
        <w:t>n initial telephonic</w:t>
      </w:r>
      <w:r w:rsidR="00D2433F">
        <w:t xml:space="preserve"> </w:t>
      </w:r>
      <w:r w:rsidRPr="00FC25EC">
        <w:t xml:space="preserve">hearing for </w:t>
      </w:r>
      <w:r w:rsidR="00D2433F">
        <w:t>July 22, 2015,</w:t>
      </w:r>
      <w:r w:rsidRPr="00FC25EC">
        <w:t xml:space="preserve"> and assigned the matter to me.  A prehearing order was issued on </w:t>
      </w:r>
      <w:r w:rsidR="00D2433F">
        <w:t>June 29, 2015</w:t>
      </w:r>
      <w:r w:rsidRPr="00FC25EC">
        <w:t xml:space="preserve">, which set forth </w:t>
      </w:r>
      <w:r w:rsidR="00D2433F">
        <w:t>certain</w:t>
      </w:r>
      <w:r w:rsidRPr="00FC25EC">
        <w:t xml:space="preserve"> </w:t>
      </w:r>
      <w:r w:rsidR="008C4565">
        <w:t xml:space="preserve">procedural </w:t>
      </w:r>
      <w:r w:rsidRPr="00FC25EC">
        <w:t xml:space="preserve">requirements </w:t>
      </w:r>
      <w:r w:rsidR="008C4565">
        <w:t xml:space="preserve">for the </w:t>
      </w:r>
      <w:r w:rsidRPr="00FC25EC">
        <w:t>hearing.</w:t>
      </w:r>
    </w:p>
    <w:p w:rsidR="00B52564" w:rsidRDefault="00B52564" w:rsidP="005A7C8C">
      <w:pPr>
        <w:jc w:val="left"/>
      </w:pPr>
    </w:p>
    <w:p w:rsidR="005A7C8C" w:rsidRDefault="005A7C8C" w:rsidP="005A7C8C">
      <w:pPr>
        <w:jc w:val="left"/>
      </w:pPr>
      <w:r w:rsidRPr="00FC25EC">
        <w:tab/>
      </w:r>
      <w:r w:rsidRPr="00FC25EC">
        <w:tab/>
        <w:t xml:space="preserve">The </w:t>
      </w:r>
      <w:r w:rsidR="00B94371">
        <w:t xml:space="preserve">telephonic </w:t>
      </w:r>
      <w:r w:rsidRPr="00FC25EC">
        <w:t>hearing was held as scheduled on J</w:t>
      </w:r>
      <w:r w:rsidR="00D2433F">
        <w:t>uly 22, 2015</w:t>
      </w:r>
      <w:r w:rsidRPr="00FC25EC">
        <w:t xml:space="preserve">.  Complainant </w:t>
      </w:r>
      <w:r w:rsidR="00D2433F">
        <w:t xml:space="preserve">appeared and </w:t>
      </w:r>
      <w:r w:rsidRPr="00FC25EC">
        <w:t>represented h</w:t>
      </w:r>
      <w:r w:rsidR="00D2433F">
        <w:t>im</w:t>
      </w:r>
      <w:r w:rsidRPr="00FC25EC">
        <w:t>self.</w:t>
      </w:r>
      <w:r w:rsidR="00D2433F">
        <w:t xml:space="preserve">  One additional witness testified on behalf of the Complainant.</w:t>
      </w:r>
      <w:r w:rsidRPr="00FC25EC">
        <w:t xml:space="preserve">  Respondent was represented by </w:t>
      </w:r>
      <w:r w:rsidR="00D2433F">
        <w:t>Laureto Farinas</w:t>
      </w:r>
      <w:r w:rsidRPr="00FC25EC">
        <w:t>, Esq., who presented the testimony of</w:t>
      </w:r>
      <w:r w:rsidR="00E27BFC" w:rsidRPr="00FC25EC">
        <w:t xml:space="preserve"> </w:t>
      </w:r>
      <w:r w:rsidR="00D2433F">
        <w:t>Patricia Bernard</w:t>
      </w:r>
      <w:r w:rsidR="00E27BFC" w:rsidRPr="00FC25EC">
        <w:t xml:space="preserve">.  </w:t>
      </w:r>
      <w:r w:rsidR="00D5229D">
        <w:t>PGW’s</w:t>
      </w:r>
      <w:r w:rsidR="00E27BFC" w:rsidRPr="00FC25EC">
        <w:t xml:space="preserve"> witness sponsore</w:t>
      </w:r>
      <w:r w:rsidR="00A1186B">
        <w:t xml:space="preserve">d </w:t>
      </w:r>
      <w:r w:rsidR="00D2433F">
        <w:t>PGW</w:t>
      </w:r>
      <w:r w:rsidR="00A1186B">
        <w:t xml:space="preserve"> Exhibit</w:t>
      </w:r>
      <w:r w:rsidR="00D2433F">
        <w:t xml:space="preserve"> Nos.</w:t>
      </w:r>
      <w:r w:rsidR="00A1186B">
        <w:t xml:space="preserve"> 1 through </w:t>
      </w:r>
      <w:r w:rsidR="00D2433F">
        <w:t>5</w:t>
      </w:r>
      <w:r w:rsidR="00A1186B">
        <w:t>.</w:t>
      </w:r>
    </w:p>
    <w:p w:rsidR="00D2433F" w:rsidRDefault="00D2433F" w:rsidP="005A7C8C">
      <w:pPr>
        <w:jc w:val="left"/>
      </w:pPr>
    </w:p>
    <w:p w:rsidR="00D2433F" w:rsidRDefault="00D2433F" w:rsidP="005A7C8C">
      <w:pPr>
        <w:jc w:val="left"/>
      </w:pPr>
      <w:r>
        <w:tab/>
      </w:r>
      <w:r>
        <w:tab/>
        <w:t xml:space="preserve">The Complainant acknowledged </w:t>
      </w:r>
      <w:r w:rsidR="00B52564">
        <w:t xml:space="preserve">during the hearing </w:t>
      </w:r>
      <w:r>
        <w:t>receiving PGW Exhibit Nos. 1-3 prior to the hearing, but stated that he did not receive PGW Exhibit Nos. 4 and 5.</w:t>
      </w:r>
      <w:r w:rsidR="00AB0C3B">
        <w:t xml:space="preserve">  PGW Exhibit Nos. 1-3 were admitted into the record during the hearing.</w:t>
      </w:r>
      <w:r>
        <w:t xml:space="preserve">  </w:t>
      </w:r>
      <w:r w:rsidR="00AB0C3B">
        <w:t>B</w:t>
      </w:r>
      <w:r w:rsidR="00B52564">
        <w:t xml:space="preserve">y Order dated July 22, 2015, I directed PGW to transmit, via both electronic and first class mail, PGW Exhibit Nos. 4 and 5 to the Complainant by the close of business on that day.  I also directed the Complainant to raise any objections he may have to the two exhibits in writing on or before July 29, 2015.  As of August 4, 2015, I had not received notice of any objections from the Complainant.  Accordingly, by Order dated August 4, 2015, I admitted PGW Exhibit Nos. 4 and 5 into </w:t>
      </w:r>
      <w:r w:rsidR="00E62F62">
        <w:t>evidence</w:t>
      </w:r>
      <w:r w:rsidR="00B52564">
        <w:t xml:space="preserve">.   </w:t>
      </w:r>
    </w:p>
    <w:p w:rsidR="00EC543E" w:rsidRPr="00FC25EC" w:rsidRDefault="00EC543E" w:rsidP="005A7C8C">
      <w:pPr>
        <w:jc w:val="left"/>
      </w:pPr>
    </w:p>
    <w:p w:rsidR="005A7C8C" w:rsidRPr="00FC25EC" w:rsidRDefault="005A7C8C" w:rsidP="005A7C8C">
      <w:pPr>
        <w:jc w:val="left"/>
      </w:pPr>
      <w:r w:rsidRPr="00FC25EC">
        <w:tab/>
      </w:r>
      <w:r w:rsidRPr="00FC25EC">
        <w:tab/>
        <w:t>A transcript of</w:t>
      </w:r>
      <w:r w:rsidR="00E27BFC" w:rsidRPr="00FC25EC">
        <w:t xml:space="preserve"> 8</w:t>
      </w:r>
      <w:r w:rsidR="00D2433F">
        <w:t>1</w:t>
      </w:r>
      <w:r w:rsidRPr="00FC25EC">
        <w:t xml:space="preserve"> pages was generated and the record </w:t>
      </w:r>
      <w:r w:rsidR="00B52564">
        <w:t xml:space="preserve">was </w:t>
      </w:r>
      <w:r w:rsidRPr="00FC25EC">
        <w:t>closed</w:t>
      </w:r>
      <w:r w:rsidR="005F3CE4">
        <w:t xml:space="preserve"> </w:t>
      </w:r>
      <w:r w:rsidRPr="00FC25EC">
        <w:t xml:space="preserve">on </w:t>
      </w:r>
      <w:r w:rsidR="00B52564">
        <w:t xml:space="preserve">August </w:t>
      </w:r>
      <w:r w:rsidR="008A63A7">
        <w:t>20</w:t>
      </w:r>
      <w:r w:rsidR="00B52564">
        <w:t>, 2015</w:t>
      </w:r>
      <w:r w:rsidR="008A63A7">
        <w:t>, upon my receipt of the transcript</w:t>
      </w:r>
      <w:r w:rsidRPr="00FC25EC">
        <w:t>.</w:t>
      </w:r>
    </w:p>
    <w:p w:rsidR="005A7C8C" w:rsidRPr="00FC25EC" w:rsidRDefault="005A7C8C" w:rsidP="005A7C8C">
      <w:pPr>
        <w:jc w:val="left"/>
      </w:pPr>
    </w:p>
    <w:p w:rsidR="005A7C8C" w:rsidRDefault="005A7C8C" w:rsidP="005A7C8C">
      <w:pPr>
        <w:jc w:val="left"/>
      </w:pPr>
      <w:r w:rsidRPr="00FC25EC">
        <w:tab/>
      </w:r>
      <w:r w:rsidRPr="00FC25EC">
        <w:tab/>
        <w:t xml:space="preserve">The </w:t>
      </w:r>
      <w:r w:rsidR="00B52564">
        <w:t>proceeding</w:t>
      </w:r>
      <w:r w:rsidRPr="00FC25EC">
        <w:t xml:space="preserve"> is now r</w:t>
      </w:r>
      <w:r w:rsidR="00B52564">
        <w:t>eady</w:t>
      </w:r>
      <w:r w:rsidRPr="00FC25EC">
        <w:t xml:space="preserve"> for disposition.</w:t>
      </w:r>
    </w:p>
    <w:p w:rsidR="008A63A7" w:rsidRPr="00FC25EC" w:rsidRDefault="008A63A7" w:rsidP="005A7C8C">
      <w:pPr>
        <w:jc w:val="left"/>
      </w:pPr>
    </w:p>
    <w:p w:rsidR="005A7C8C" w:rsidRPr="00FC25EC" w:rsidRDefault="005A7C8C" w:rsidP="005A7C8C">
      <w:pPr>
        <w:rPr>
          <w:u w:val="single"/>
        </w:rPr>
      </w:pPr>
      <w:r w:rsidRPr="00FC25EC">
        <w:rPr>
          <w:u w:val="single"/>
        </w:rPr>
        <w:lastRenderedPageBreak/>
        <w:t>FINDINGS OF FACT</w:t>
      </w:r>
    </w:p>
    <w:p w:rsidR="005A7C8C" w:rsidRPr="00FC25EC" w:rsidRDefault="005A7C8C" w:rsidP="002B2B5B">
      <w:pPr>
        <w:jc w:val="left"/>
      </w:pPr>
    </w:p>
    <w:p w:rsidR="00B52564" w:rsidRDefault="00E27BFC" w:rsidP="00382A2A">
      <w:pPr>
        <w:pStyle w:val="ListParagraph"/>
        <w:numPr>
          <w:ilvl w:val="0"/>
          <w:numId w:val="1"/>
        </w:numPr>
        <w:ind w:left="0" w:firstLine="1440"/>
        <w:jc w:val="left"/>
      </w:pPr>
      <w:r w:rsidRPr="00FC25EC">
        <w:t xml:space="preserve">Complainant is </w:t>
      </w:r>
      <w:r w:rsidR="00B52564">
        <w:t>Frederick Smith.</w:t>
      </w:r>
    </w:p>
    <w:p w:rsidR="00D317D5" w:rsidRDefault="00D317D5" w:rsidP="002B2B5B">
      <w:pPr>
        <w:jc w:val="left"/>
      </w:pPr>
    </w:p>
    <w:p w:rsidR="00D317D5" w:rsidRDefault="00D317D5" w:rsidP="002B2B5B">
      <w:pPr>
        <w:pStyle w:val="ListParagraph"/>
        <w:numPr>
          <w:ilvl w:val="0"/>
          <w:numId w:val="1"/>
        </w:numPr>
        <w:ind w:left="0" w:firstLine="1440"/>
        <w:jc w:val="left"/>
      </w:pPr>
      <w:r>
        <w:t>Mr. Smith resides at 1548 South 55</w:t>
      </w:r>
      <w:r w:rsidRPr="00D317D5">
        <w:rPr>
          <w:vertAlign w:val="superscript"/>
        </w:rPr>
        <w:t>th</w:t>
      </w:r>
      <w:r>
        <w:t xml:space="preserve"> Street, Philadelphia, PA  19143.</w:t>
      </w:r>
      <w:r w:rsidR="00AB0C3B">
        <w:t xml:space="preserve">  Tr. 10.</w:t>
      </w:r>
    </w:p>
    <w:p w:rsidR="00B52564" w:rsidRDefault="00B52564" w:rsidP="002B2B5B">
      <w:pPr>
        <w:pStyle w:val="ListParagraph"/>
        <w:ind w:left="0"/>
        <w:jc w:val="left"/>
      </w:pPr>
    </w:p>
    <w:p w:rsidR="00E27BFC" w:rsidRPr="00FC25EC" w:rsidRDefault="00D317D5" w:rsidP="00382A2A">
      <w:pPr>
        <w:ind w:firstLine="1440"/>
        <w:jc w:val="left"/>
      </w:pPr>
      <w:r>
        <w:t>3.</w:t>
      </w:r>
      <w:r>
        <w:tab/>
      </w:r>
      <w:r w:rsidR="00E27BFC" w:rsidRPr="00FC25EC">
        <w:t xml:space="preserve">Respondent is </w:t>
      </w:r>
      <w:r>
        <w:t>Philadelphia Gas Works</w:t>
      </w:r>
      <w:r w:rsidR="00E27BFC" w:rsidRPr="00FC25EC">
        <w:t xml:space="preserve">, a jurisdictional public utility providing residential </w:t>
      </w:r>
      <w:r>
        <w:t>natural gas</w:t>
      </w:r>
      <w:r w:rsidR="00E27BFC" w:rsidRPr="00FC25EC">
        <w:t xml:space="preserve"> distribution service in the Commonwealth of Pennsylvania.</w:t>
      </w:r>
    </w:p>
    <w:p w:rsidR="00E27BFC" w:rsidRPr="00FC25EC" w:rsidRDefault="00E27BFC" w:rsidP="002B2B5B">
      <w:pPr>
        <w:jc w:val="left"/>
      </w:pPr>
    </w:p>
    <w:p w:rsidR="00AB0C3B" w:rsidRDefault="008A40FD" w:rsidP="00382A2A">
      <w:pPr>
        <w:ind w:firstLine="1440"/>
        <w:jc w:val="left"/>
      </w:pPr>
      <w:r>
        <w:t>4</w:t>
      </w:r>
      <w:r w:rsidR="00E27BFC" w:rsidRPr="00FC25EC">
        <w:t>.</w:t>
      </w:r>
      <w:r w:rsidR="00E27BFC" w:rsidRPr="00FC25EC">
        <w:tab/>
      </w:r>
      <w:r w:rsidR="008F1947">
        <w:t>On October 5, 2012, natural gas service to the 1548 South 55</w:t>
      </w:r>
      <w:r w:rsidR="008F1947" w:rsidRPr="008F1947">
        <w:rPr>
          <w:vertAlign w:val="superscript"/>
        </w:rPr>
        <w:t>th</w:t>
      </w:r>
      <w:r w:rsidR="008F1947">
        <w:t xml:space="preserve"> Street address was established in the name of the Complainant, Frederick Smith.  Tr. </w:t>
      </w:r>
      <w:r w:rsidR="00AB0C3B">
        <w:t>13</w:t>
      </w:r>
      <w:r w:rsidR="00F97C53">
        <w:t>, 41</w:t>
      </w:r>
      <w:r w:rsidR="00AB0C3B">
        <w:t>;</w:t>
      </w:r>
      <w:r w:rsidR="008F1947">
        <w:t xml:space="preserve"> PGW Exhibit No. 1.</w:t>
      </w:r>
    </w:p>
    <w:p w:rsidR="00E62F62" w:rsidRDefault="00E62F62" w:rsidP="002B2B5B">
      <w:pPr>
        <w:jc w:val="left"/>
      </w:pPr>
    </w:p>
    <w:p w:rsidR="00E27BFC" w:rsidRPr="00FC25EC" w:rsidRDefault="008A40FD" w:rsidP="00382A2A">
      <w:pPr>
        <w:ind w:firstLine="1440"/>
        <w:jc w:val="left"/>
      </w:pPr>
      <w:r>
        <w:t>5</w:t>
      </w:r>
      <w:r w:rsidR="007C0A93">
        <w:t>.</w:t>
      </w:r>
      <w:r w:rsidR="007C0A93">
        <w:tab/>
        <w:t>Prior to the service being provided to the home under the Complainant’s name, service was provided under his mother’s name, Margaret Thomas.  Tr. 11.</w:t>
      </w:r>
    </w:p>
    <w:p w:rsidR="000B526B" w:rsidRPr="00FC25EC" w:rsidRDefault="000B526B" w:rsidP="002B2B5B">
      <w:pPr>
        <w:jc w:val="left"/>
      </w:pPr>
    </w:p>
    <w:p w:rsidR="00E169B8" w:rsidRDefault="008A40FD" w:rsidP="00382A2A">
      <w:pPr>
        <w:ind w:firstLine="1440"/>
        <w:jc w:val="left"/>
      </w:pPr>
      <w:r>
        <w:t>6</w:t>
      </w:r>
      <w:r w:rsidR="00E169B8">
        <w:t>.</w:t>
      </w:r>
      <w:r w:rsidR="00E169B8">
        <w:tab/>
        <w:t>Ms. Thomas moved out of the 55</w:t>
      </w:r>
      <w:r w:rsidR="00E169B8" w:rsidRPr="00E169B8">
        <w:rPr>
          <w:vertAlign w:val="superscript"/>
        </w:rPr>
        <w:t>th</w:t>
      </w:r>
      <w:r w:rsidR="00E169B8">
        <w:t xml:space="preserve"> Street residence to her </w:t>
      </w:r>
      <w:r w:rsidR="008A63A7">
        <w:t>current</w:t>
      </w:r>
      <w:r w:rsidR="00E169B8">
        <w:t xml:space="preserve"> residence in 2008.  Tr. 26.</w:t>
      </w:r>
    </w:p>
    <w:p w:rsidR="00E169B8" w:rsidRDefault="00E169B8" w:rsidP="002B2B5B">
      <w:pPr>
        <w:jc w:val="left"/>
      </w:pPr>
    </w:p>
    <w:p w:rsidR="00E169B8" w:rsidRDefault="008A40FD" w:rsidP="00382A2A">
      <w:pPr>
        <w:ind w:firstLine="1440"/>
        <w:jc w:val="left"/>
      </w:pPr>
      <w:r>
        <w:t>7</w:t>
      </w:r>
      <w:r w:rsidR="00E169B8">
        <w:t>.</w:t>
      </w:r>
      <w:r w:rsidR="00E169B8">
        <w:tab/>
        <w:t xml:space="preserve">The Complainant </w:t>
      </w:r>
      <w:r w:rsidR="00F97C53">
        <w:t xml:space="preserve">moved into the </w:t>
      </w:r>
      <w:r w:rsidR="00E169B8">
        <w:t>55</w:t>
      </w:r>
      <w:r w:rsidR="00E169B8" w:rsidRPr="00E169B8">
        <w:rPr>
          <w:vertAlign w:val="superscript"/>
        </w:rPr>
        <w:t>th</w:t>
      </w:r>
      <w:r w:rsidR="00E169B8">
        <w:t xml:space="preserve"> Street address</w:t>
      </w:r>
      <w:r w:rsidR="00F97C53">
        <w:t xml:space="preserve"> permanently</w:t>
      </w:r>
      <w:r w:rsidR="00E169B8">
        <w:t xml:space="preserve"> </w:t>
      </w:r>
      <w:r w:rsidR="00F97C53">
        <w:t>in 2008, when his mother moved out</w:t>
      </w:r>
      <w:r w:rsidR="00E169B8">
        <w:t>.  Tr. 13</w:t>
      </w:r>
      <w:r w:rsidR="00F97C53">
        <w:t>, 77</w:t>
      </w:r>
      <w:r w:rsidR="00E169B8">
        <w:t>.</w:t>
      </w:r>
    </w:p>
    <w:p w:rsidR="00E169B8" w:rsidRDefault="00E169B8" w:rsidP="002B2B5B">
      <w:pPr>
        <w:jc w:val="left"/>
      </w:pPr>
    </w:p>
    <w:p w:rsidR="00383F90" w:rsidRDefault="008A40FD" w:rsidP="00382A2A">
      <w:pPr>
        <w:ind w:firstLine="1440"/>
        <w:jc w:val="left"/>
      </w:pPr>
      <w:r>
        <w:t>8</w:t>
      </w:r>
      <w:r w:rsidR="00E169B8">
        <w:t>.</w:t>
      </w:r>
      <w:r w:rsidR="00E169B8">
        <w:tab/>
      </w:r>
      <w:r w:rsidR="00383F90">
        <w:t>The Complainant’s mother lived at the 55</w:t>
      </w:r>
      <w:r w:rsidR="00383F90" w:rsidRPr="00383F90">
        <w:rPr>
          <w:vertAlign w:val="superscript"/>
        </w:rPr>
        <w:t>th</w:t>
      </w:r>
      <w:r w:rsidR="00383F90">
        <w:t xml:space="preserve"> Street address since 1986.  Tr. 27.</w:t>
      </w:r>
    </w:p>
    <w:p w:rsidR="00383F90" w:rsidRDefault="00383F90" w:rsidP="002B2B5B">
      <w:pPr>
        <w:jc w:val="left"/>
      </w:pPr>
    </w:p>
    <w:p w:rsidR="00383F90" w:rsidRDefault="008A40FD" w:rsidP="00382A2A">
      <w:pPr>
        <w:ind w:firstLine="1440"/>
        <w:jc w:val="left"/>
      </w:pPr>
      <w:r>
        <w:t>9</w:t>
      </w:r>
      <w:r w:rsidR="00383F90">
        <w:t>.</w:t>
      </w:r>
      <w:r w:rsidR="00383F90">
        <w:tab/>
        <w:t>The Complainant lived at the 55</w:t>
      </w:r>
      <w:r w:rsidR="00383F90" w:rsidRPr="00383F90">
        <w:rPr>
          <w:vertAlign w:val="superscript"/>
        </w:rPr>
        <w:t>th</w:t>
      </w:r>
      <w:r w:rsidR="00383F90">
        <w:t xml:space="preserve"> Street residence off and on with his mother prior to the time he moved there permanently in </w:t>
      </w:r>
      <w:r w:rsidR="00F97C53">
        <w:t>2008</w:t>
      </w:r>
      <w:r w:rsidR="00383F90">
        <w:t>.  Tr. 25, 27</w:t>
      </w:r>
      <w:r w:rsidR="002E1BD2">
        <w:t>, 29</w:t>
      </w:r>
      <w:r w:rsidR="00F97C53">
        <w:t>.</w:t>
      </w:r>
    </w:p>
    <w:p w:rsidR="00383F90" w:rsidRDefault="00383F90" w:rsidP="002B2B5B">
      <w:pPr>
        <w:jc w:val="left"/>
      </w:pPr>
    </w:p>
    <w:p w:rsidR="002E1BD2" w:rsidRDefault="00383F90" w:rsidP="00382A2A">
      <w:pPr>
        <w:ind w:firstLine="1440"/>
        <w:jc w:val="left"/>
      </w:pPr>
      <w:r>
        <w:t>1</w:t>
      </w:r>
      <w:r w:rsidR="008A40FD">
        <w:t>0</w:t>
      </w:r>
      <w:r>
        <w:t>.</w:t>
      </w:r>
      <w:r>
        <w:tab/>
        <w:t>Prior to the time the service was put into the Complainant’s name in 2012, he often helped pay the PGW bills for the service provided to the 55</w:t>
      </w:r>
      <w:r w:rsidRPr="00383F90">
        <w:rPr>
          <w:vertAlign w:val="superscript"/>
        </w:rPr>
        <w:t>th</w:t>
      </w:r>
      <w:r>
        <w:t xml:space="preserve"> Street residence</w:t>
      </w:r>
      <w:r w:rsidR="002E1BD2">
        <w:t xml:space="preserve"> while </w:t>
      </w:r>
      <w:r w:rsidR="005F3CE4">
        <w:t xml:space="preserve">the service was </w:t>
      </w:r>
      <w:r w:rsidR="00D87072">
        <w:t xml:space="preserve">in </w:t>
      </w:r>
      <w:r w:rsidR="002E1BD2">
        <w:t>his mother’s name</w:t>
      </w:r>
      <w:r>
        <w:t xml:space="preserve">.  </w:t>
      </w:r>
      <w:r w:rsidR="002E1BD2">
        <w:t>Tr. 25, 27-28</w:t>
      </w:r>
      <w:r w:rsidR="00340B3A">
        <w:t>, 76-77</w:t>
      </w:r>
      <w:r w:rsidR="002E1BD2">
        <w:t>.</w:t>
      </w:r>
    </w:p>
    <w:p w:rsidR="005665D1" w:rsidRDefault="005665D1" w:rsidP="002B2B5B">
      <w:pPr>
        <w:jc w:val="left"/>
      </w:pPr>
    </w:p>
    <w:p w:rsidR="00D87072" w:rsidRDefault="002E1BD2" w:rsidP="00382A2A">
      <w:pPr>
        <w:ind w:firstLine="1440"/>
        <w:jc w:val="left"/>
      </w:pPr>
      <w:r>
        <w:t>1</w:t>
      </w:r>
      <w:r w:rsidR="008A40FD">
        <w:t>1</w:t>
      </w:r>
      <w:r>
        <w:t>.</w:t>
      </w:r>
      <w:r>
        <w:tab/>
      </w:r>
      <w:r w:rsidR="00383F90">
        <w:t xml:space="preserve">  </w:t>
      </w:r>
      <w:r w:rsidR="00D87072">
        <w:t>Upon establishing new service in his name at the 55</w:t>
      </w:r>
      <w:r w:rsidR="00D87072" w:rsidRPr="00D87072">
        <w:rPr>
          <w:vertAlign w:val="superscript"/>
        </w:rPr>
        <w:t>th</w:t>
      </w:r>
      <w:r w:rsidR="00D87072">
        <w:t xml:space="preserve"> Street address, the Complainant was aware that his mother’s balance would be transferred to his new account.  Tr. 42; PGW Exhibit No. 1.</w:t>
      </w:r>
    </w:p>
    <w:p w:rsidR="00B94371" w:rsidRDefault="00B94371" w:rsidP="00382A2A">
      <w:pPr>
        <w:jc w:val="left"/>
      </w:pPr>
    </w:p>
    <w:p w:rsidR="00B94371" w:rsidRDefault="00B94371" w:rsidP="00382A2A">
      <w:pPr>
        <w:ind w:firstLine="1440"/>
        <w:jc w:val="left"/>
      </w:pPr>
      <w:r>
        <w:t>1</w:t>
      </w:r>
      <w:r w:rsidR="008A40FD">
        <w:t>2</w:t>
      </w:r>
      <w:r>
        <w:t>.</w:t>
      </w:r>
      <w:r>
        <w:tab/>
        <w:t>The balance from the mother’s account that was transferred to the Complainant’s account in October of 2012 was $</w:t>
      </w:r>
      <w:r w:rsidR="00D60971">
        <w:t>4,706.24.</w:t>
      </w:r>
      <w:r w:rsidR="004B4774">
        <w:t xml:space="preserve">  Tr. 42; PGW Exhibit No. 4.</w:t>
      </w:r>
    </w:p>
    <w:p w:rsidR="00D87072" w:rsidRDefault="00D87072" w:rsidP="00382A2A">
      <w:pPr>
        <w:jc w:val="left"/>
      </w:pPr>
    </w:p>
    <w:p w:rsidR="00F7194A" w:rsidRDefault="00D87072" w:rsidP="00382A2A">
      <w:pPr>
        <w:ind w:firstLine="1440"/>
        <w:jc w:val="left"/>
      </w:pPr>
      <w:r>
        <w:t>1</w:t>
      </w:r>
      <w:r w:rsidR="008A40FD">
        <w:t>3</w:t>
      </w:r>
      <w:r>
        <w:t>.</w:t>
      </w:r>
      <w:r>
        <w:tab/>
      </w:r>
      <w:r w:rsidR="005665D1">
        <w:t xml:space="preserve">PGW Exhibit No. 1 </w:t>
      </w:r>
      <w:r w:rsidR="00F7194A">
        <w:t>is labelled “Contacts for Account” and contains a record of the various activities on the Complainant’s account from the time it was established in October of 2012.  Tr. 37.</w:t>
      </w:r>
    </w:p>
    <w:p w:rsidR="00F7194A" w:rsidRDefault="00F7194A" w:rsidP="002B2B5B">
      <w:pPr>
        <w:jc w:val="left"/>
      </w:pPr>
    </w:p>
    <w:p w:rsidR="00F7194A" w:rsidRDefault="00F7194A" w:rsidP="00382A2A">
      <w:pPr>
        <w:ind w:firstLine="1440"/>
        <w:jc w:val="left"/>
      </w:pPr>
      <w:r>
        <w:t>1</w:t>
      </w:r>
      <w:r w:rsidR="008A40FD">
        <w:t>4</w:t>
      </w:r>
      <w:r>
        <w:t>.</w:t>
      </w:r>
      <w:r>
        <w:tab/>
        <w:t>PGW Exhibit No. 2 is a copy of the section of PGW’s tariff that addresses procedures for the discontinuance of service.  Tr. 37.</w:t>
      </w:r>
    </w:p>
    <w:p w:rsidR="00F7194A" w:rsidRDefault="00F7194A" w:rsidP="002B2B5B">
      <w:pPr>
        <w:jc w:val="left"/>
      </w:pPr>
    </w:p>
    <w:p w:rsidR="007D66A6" w:rsidRDefault="00F7194A" w:rsidP="00382A2A">
      <w:pPr>
        <w:ind w:firstLine="1440"/>
        <w:jc w:val="left"/>
      </w:pPr>
      <w:r>
        <w:t>1</w:t>
      </w:r>
      <w:r w:rsidR="008A40FD">
        <w:t>5</w:t>
      </w:r>
      <w:r>
        <w:t>.</w:t>
      </w:r>
      <w:r>
        <w:tab/>
        <w:t xml:space="preserve">PGW Exhibit No. 3 is labelled “Specific Service Agreement Statement of Account” </w:t>
      </w:r>
      <w:r w:rsidR="007D66A6">
        <w:t>and contains a month by month description of billing and payment activity on the Complainant’s account</w:t>
      </w:r>
      <w:r>
        <w:t xml:space="preserve"> </w:t>
      </w:r>
      <w:r w:rsidR="007D66A6">
        <w:t>since October of 2012.  Tr. 38.</w:t>
      </w:r>
    </w:p>
    <w:p w:rsidR="007D66A6" w:rsidRDefault="007D66A6" w:rsidP="002B2B5B">
      <w:pPr>
        <w:jc w:val="left"/>
      </w:pPr>
    </w:p>
    <w:p w:rsidR="007D66A6" w:rsidRDefault="007D66A6" w:rsidP="00382A2A">
      <w:pPr>
        <w:ind w:firstLine="1440"/>
        <w:jc w:val="left"/>
      </w:pPr>
      <w:r>
        <w:t>1</w:t>
      </w:r>
      <w:r w:rsidR="008A40FD">
        <w:t>6</w:t>
      </w:r>
      <w:r>
        <w:t>.</w:t>
      </w:r>
      <w:r>
        <w:tab/>
        <w:t>PGW Exhibit No. 4 is a Specific Service Agreement Statement of Account that contains a description of transactions associated with the transfer of the balance from the mother’s account to the Complainant’s account.  Tr. 63.</w:t>
      </w:r>
    </w:p>
    <w:p w:rsidR="007D66A6" w:rsidRDefault="007D66A6" w:rsidP="002B2B5B">
      <w:pPr>
        <w:jc w:val="left"/>
      </w:pPr>
    </w:p>
    <w:p w:rsidR="008A63A7" w:rsidRDefault="007D66A6" w:rsidP="00382A2A">
      <w:pPr>
        <w:ind w:firstLine="1440"/>
        <w:jc w:val="left"/>
      </w:pPr>
      <w:r>
        <w:t>1</w:t>
      </w:r>
      <w:r w:rsidR="008A40FD">
        <w:t>7</w:t>
      </w:r>
      <w:r>
        <w:t>.</w:t>
      </w:r>
      <w:r>
        <w:tab/>
        <w:t>PGW Exhibit No. 5 is a print out of the decision of the Commission’s Bureau of Consumer Services</w:t>
      </w:r>
      <w:r w:rsidR="008A63A7">
        <w:t xml:space="preserve"> (BCS)</w:t>
      </w:r>
      <w:r>
        <w:t xml:space="preserve"> on the Complainant’s informal complaint issued in February of 2015.  Tr. 38.</w:t>
      </w:r>
      <w:r w:rsidR="008A63A7">
        <w:t xml:space="preserve">  The BCS Case No. is 3255479.  </w:t>
      </w:r>
    </w:p>
    <w:p w:rsidR="008A63A7" w:rsidRDefault="008A63A7" w:rsidP="002B2B5B">
      <w:pPr>
        <w:jc w:val="left"/>
      </w:pPr>
    </w:p>
    <w:p w:rsidR="00565DE7" w:rsidRDefault="008A63A7" w:rsidP="00382A2A">
      <w:pPr>
        <w:ind w:firstLine="1440"/>
        <w:jc w:val="left"/>
      </w:pPr>
      <w:r>
        <w:t>1</w:t>
      </w:r>
      <w:r w:rsidR="008A40FD">
        <w:t>8</w:t>
      </w:r>
      <w:r>
        <w:t>.</w:t>
      </w:r>
      <w:r>
        <w:tab/>
      </w:r>
      <w:r w:rsidR="007F4E9D">
        <w:t xml:space="preserve">The BCS issued its decision on </w:t>
      </w:r>
      <w:r>
        <w:t>February 6, 2015</w:t>
      </w:r>
      <w:r w:rsidR="007F4E9D">
        <w:t xml:space="preserve">.  It </w:t>
      </w:r>
      <w:r>
        <w:t>dismissed the informal complaint</w:t>
      </w:r>
      <w:r w:rsidR="007F4E9D">
        <w:t xml:space="preserve"> under 66 Pa.C.S. §1405(c), finding that the balance at issue </w:t>
      </w:r>
      <w:r w:rsidR="005F3CE4">
        <w:t xml:space="preserve">included </w:t>
      </w:r>
      <w:r w:rsidR="007F4E9D">
        <w:t>CRP arrears, which may not be the subject of a Commission ordered payment arrangement.  PGW Exhibit No. 5.</w:t>
      </w:r>
      <w:r>
        <w:t xml:space="preserve"> </w:t>
      </w:r>
    </w:p>
    <w:p w:rsidR="00565DE7" w:rsidRDefault="00565DE7" w:rsidP="002B2B5B">
      <w:pPr>
        <w:jc w:val="left"/>
      </w:pPr>
    </w:p>
    <w:p w:rsidR="007D66A6" w:rsidRDefault="00565DE7" w:rsidP="002B2B5B">
      <w:pPr>
        <w:jc w:val="left"/>
      </w:pPr>
      <w:r>
        <w:tab/>
      </w:r>
      <w:r>
        <w:tab/>
      </w:r>
      <w:r w:rsidR="008A40FD">
        <w:t>19</w:t>
      </w:r>
      <w:r>
        <w:t>.</w:t>
      </w:r>
      <w:r>
        <w:tab/>
        <w:t xml:space="preserve">The BCS did not order a payment arrangement as part of its decision in the Complainant’s informal complaint at BCS Case No. </w:t>
      </w:r>
      <w:r w:rsidR="00587AD0">
        <w:t>3255479.</w:t>
      </w:r>
      <w:r w:rsidR="005F3CE4">
        <w:t xml:space="preserve">  PGW Exhibit No. 5.</w:t>
      </w:r>
      <w:r>
        <w:t xml:space="preserve"> </w:t>
      </w:r>
      <w:r w:rsidR="008A63A7">
        <w:t xml:space="preserve"> </w:t>
      </w:r>
    </w:p>
    <w:p w:rsidR="007D66A6" w:rsidRDefault="007D66A6" w:rsidP="002B2B5B">
      <w:pPr>
        <w:jc w:val="left"/>
      </w:pPr>
    </w:p>
    <w:p w:rsidR="007D66A6" w:rsidRDefault="007D66A6" w:rsidP="002B2B5B">
      <w:pPr>
        <w:jc w:val="left"/>
      </w:pPr>
      <w:r>
        <w:tab/>
      </w:r>
      <w:r>
        <w:tab/>
      </w:r>
      <w:r w:rsidR="007F4E9D">
        <w:t>2</w:t>
      </w:r>
      <w:r w:rsidR="008A40FD">
        <w:t>0</w:t>
      </w:r>
      <w:r>
        <w:t>.</w:t>
      </w:r>
      <w:r>
        <w:tab/>
        <w:t>Upon establishing new service in his name at the 55</w:t>
      </w:r>
      <w:r w:rsidRPr="007D66A6">
        <w:rPr>
          <w:vertAlign w:val="superscript"/>
        </w:rPr>
        <w:t>th</w:t>
      </w:r>
      <w:r>
        <w:t xml:space="preserve"> Street address, the Complainant was enrolled in PGW’s C</w:t>
      </w:r>
      <w:r w:rsidR="008A63A7">
        <w:t>R</w:t>
      </w:r>
      <w:r>
        <w:t>P</w:t>
      </w:r>
      <w:r w:rsidR="00362451">
        <w:t>.  Tr. 52-53.</w:t>
      </w:r>
    </w:p>
    <w:p w:rsidR="00362451" w:rsidRDefault="00362451" w:rsidP="002B2B5B">
      <w:pPr>
        <w:jc w:val="left"/>
      </w:pPr>
    </w:p>
    <w:p w:rsidR="00362451" w:rsidRDefault="00362451" w:rsidP="002B2B5B">
      <w:pPr>
        <w:jc w:val="left"/>
      </w:pPr>
      <w:r>
        <w:tab/>
      </w:r>
      <w:r>
        <w:tab/>
      </w:r>
      <w:r w:rsidR="004B4774">
        <w:t>2</w:t>
      </w:r>
      <w:r w:rsidR="008A40FD">
        <w:t>1</w:t>
      </w:r>
      <w:r>
        <w:t>.</w:t>
      </w:r>
      <w:r>
        <w:tab/>
        <w:t>Customers who are enrolled in PGW’s C</w:t>
      </w:r>
      <w:r w:rsidR="008A63A7">
        <w:t>R</w:t>
      </w:r>
      <w:r>
        <w:t>P pay a monthly fee toward their service based on their income, rather than on their natural gas usage.  Tr. 54.</w:t>
      </w:r>
    </w:p>
    <w:p w:rsidR="00362451" w:rsidRDefault="00362451" w:rsidP="002B2B5B">
      <w:pPr>
        <w:jc w:val="left"/>
      </w:pPr>
    </w:p>
    <w:p w:rsidR="00362451" w:rsidRDefault="00362451" w:rsidP="002B2B5B">
      <w:pPr>
        <w:jc w:val="left"/>
      </w:pPr>
      <w:r>
        <w:tab/>
      </w:r>
      <w:r>
        <w:tab/>
        <w:t>2</w:t>
      </w:r>
      <w:r w:rsidR="008A40FD">
        <w:t>2</w:t>
      </w:r>
      <w:r>
        <w:t>.</w:t>
      </w:r>
      <w:r>
        <w:tab/>
        <w:t>The Complainant’s monthly C</w:t>
      </w:r>
      <w:r w:rsidR="008A63A7">
        <w:t>R</w:t>
      </w:r>
      <w:r>
        <w:t>P payment was $14</w:t>
      </w:r>
      <w:r w:rsidR="003E3DB7">
        <w:t>1</w:t>
      </w:r>
      <w:r>
        <w:t>.77</w:t>
      </w:r>
      <w:r w:rsidR="00587AD0">
        <w:t>, plus an additional $5.00 toward the arrearage</w:t>
      </w:r>
      <w:r>
        <w:t xml:space="preserve">.  </w:t>
      </w:r>
      <w:r w:rsidR="003E3DB7">
        <w:t xml:space="preserve">Tr. </w:t>
      </w:r>
      <w:r>
        <w:t>55.</w:t>
      </w:r>
    </w:p>
    <w:p w:rsidR="00362451" w:rsidRDefault="00362451" w:rsidP="002B2B5B">
      <w:pPr>
        <w:jc w:val="left"/>
      </w:pPr>
    </w:p>
    <w:p w:rsidR="00362451" w:rsidRDefault="00362451" w:rsidP="002B2B5B">
      <w:pPr>
        <w:jc w:val="left"/>
      </w:pPr>
      <w:r>
        <w:tab/>
      </w:r>
      <w:r>
        <w:tab/>
        <w:t>2</w:t>
      </w:r>
      <w:r w:rsidR="008A40FD">
        <w:t>3</w:t>
      </w:r>
      <w:r>
        <w:t>.</w:t>
      </w:r>
      <w:r>
        <w:tab/>
        <w:t xml:space="preserve">The Complainant was enrolled in </w:t>
      </w:r>
      <w:r w:rsidR="008A63A7">
        <w:t xml:space="preserve">the </w:t>
      </w:r>
      <w:r>
        <w:t>C</w:t>
      </w:r>
      <w:r w:rsidR="008A63A7">
        <w:t>R</w:t>
      </w:r>
      <w:r>
        <w:t>P from October of 2012 through November of 2013.  Tr. 55; PGW Exhibit No. 3.</w:t>
      </w:r>
    </w:p>
    <w:p w:rsidR="00362451" w:rsidRDefault="00362451" w:rsidP="002B2B5B">
      <w:pPr>
        <w:jc w:val="left"/>
      </w:pPr>
    </w:p>
    <w:p w:rsidR="00362451" w:rsidRDefault="00362451" w:rsidP="002B2B5B">
      <w:pPr>
        <w:jc w:val="left"/>
      </w:pPr>
      <w:r>
        <w:tab/>
      </w:r>
      <w:r>
        <w:tab/>
        <w:t>2</w:t>
      </w:r>
      <w:r w:rsidR="008A40FD">
        <w:t>4</w:t>
      </w:r>
      <w:r>
        <w:t>.</w:t>
      </w:r>
      <w:r>
        <w:tab/>
        <w:t xml:space="preserve">The Complainant made </w:t>
      </w:r>
      <w:r w:rsidR="00A850C8">
        <w:t>only three</w:t>
      </w:r>
      <w:r>
        <w:t xml:space="preserve"> payments between October of 2012 and November of 2013.  Tr. 55; PGW Exhibit No. 3.</w:t>
      </w:r>
    </w:p>
    <w:p w:rsidR="00362451" w:rsidRDefault="00362451" w:rsidP="002B2B5B">
      <w:pPr>
        <w:jc w:val="left"/>
      </w:pPr>
    </w:p>
    <w:p w:rsidR="00A850C8" w:rsidRDefault="00362451" w:rsidP="002B2B5B">
      <w:pPr>
        <w:jc w:val="left"/>
      </w:pPr>
      <w:r>
        <w:tab/>
      </w:r>
      <w:r>
        <w:tab/>
        <w:t>2</w:t>
      </w:r>
      <w:r w:rsidR="008A40FD">
        <w:t>5</w:t>
      </w:r>
      <w:r>
        <w:t>.</w:t>
      </w:r>
      <w:r>
        <w:tab/>
        <w:t xml:space="preserve">The Complainant was removed </w:t>
      </w:r>
      <w:r w:rsidR="00A850C8">
        <w:t>from the C</w:t>
      </w:r>
      <w:r w:rsidR="008A63A7">
        <w:t>R</w:t>
      </w:r>
      <w:r w:rsidR="00A850C8">
        <w:t>P</w:t>
      </w:r>
      <w:r>
        <w:t xml:space="preserve"> </w:t>
      </w:r>
      <w:r w:rsidR="00A850C8">
        <w:t xml:space="preserve">in November of 2013 and, beginning with his December 2013 invoice, he was billed based on his </w:t>
      </w:r>
      <w:r w:rsidR="00B94371">
        <w:t xml:space="preserve">actual </w:t>
      </w:r>
      <w:r w:rsidR="00A850C8">
        <w:t>usage, rather than his income as was the case while under the C</w:t>
      </w:r>
      <w:r w:rsidR="005F3CE4">
        <w:t>R</w:t>
      </w:r>
      <w:r w:rsidR="00A850C8">
        <w:t>P.  Tr. 56-57; PGW Exhibit No. 3.</w:t>
      </w:r>
    </w:p>
    <w:p w:rsidR="00A850C8" w:rsidRDefault="00A850C8" w:rsidP="002B2B5B">
      <w:pPr>
        <w:jc w:val="left"/>
      </w:pPr>
    </w:p>
    <w:p w:rsidR="007D66A6" w:rsidRDefault="00A850C8" w:rsidP="002B2B5B">
      <w:pPr>
        <w:jc w:val="left"/>
      </w:pPr>
      <w:r>
        <w:tab/>
      </w:r>
      <w:r>
        <w:tab/>
      </w:r>
      <w:r w:rsidR="003759FC">
        <w:t>2</w:t>
      </w:r>
      <w:r w:rsidR="008A40FD">
        <w:t>6</w:t>
      </w:r>
      <w:r w:rsidR="007D66A6">
        <w:t>.</w:t>
      </w:r>
      <w:r w:rsidR="007D66A6">
        <w:tab/>
        <w:t>The total outstanding balance on the Complainant’s account is $10,929.95.  Tr. 59.</w:t>
      </w:r>
    </w:p>
    <w:p w:rsidR="007D66A6" w:rsidRDefault="007D66A6" w:rsidP="002B2B5B">
      <w:pPr>
        <w:jc w:val="left"/>
      </w:pPr>
    </w:p>
    <w:p w:rsidR="00903B94" w:rsidRDefault="007D66A6" w:rsidP="002B2B5B">
      <w:pPr>
        <w:jc w:val="left"/>
      </w:pPr>
      <w:r>
        <w:tab/>
      </w:r>
      <w:r>
        <w:tab/>
      </w:r>
      <w:r w:rsidR="008C2E6B">
        <w:t>2</w:t>
      </w:r>
      <w:r w:rsidR="008A40FD">
        <w:t>7</w:t>
      </w:r>
      <w:r w:rsidR="008C2E6B">
        <w:t>.</w:t>
      </w:r>
      <w:r w:rsidR="008C2E6B">
        <w:tab/>
        <w:t>T</w:t>
      </w:r>
      <w:r w:rsidR="00587AD0">
        <w:t xml:space="preserve">he balance on Mr. Smith’s account at the time he was removed from the CRP in November of 2013 was $3,120.99.  This balance reflects the three payments made between October of 2012 and November of 2013.  </w:t>
      </w:r>
    </w:p>
    <w:p w:rsidR="00903B94" w:rsidRDefault="00903B94" w:rsidP="002B2B5B">
      <w:pPr>
        <w:jc w:val="left"/>
      </w:pPr>
    </w:p>
    <w:p w:rsidR="00587AD0" w:rsidRDefault="00903B94" w:rsidP="00903B94">
      <w:pPr>
        <w:ind w:firstLine="1440"/>
        <w:jc w:val="left"/>
      </w:pPr>
      <w:r>
        <w:t>28.</w:t>
      </w:r>
      <w:r>
        <w:tab/>
        <w:t>The $3,120.9</w:t>
      </w:r>
      <w:r w:rsidR="002E1E33">
        <w:t>9</w:t>
      </w:r>
      <w:r>
        <w:t xml:space="preserve"> balance </w:t>
      </w:r>
      <w:r w:rsidR="008A40FD">
        <w:t xml:space="preserve">does not include the amount transferred from his mother’s account.  </w:t>
      </w:r>
      <w:r w:rsidR="00587AD0">
        <w:t>PGW Exhibit No. 1.</w:t>
      </w:r>
    </w:p>
    <w:p w:rsidR="00587AD0" w:rsidRDefault="00587AD0" w:rsidP="002B2B5B">
      <w:pPr>
        <w:jc w:val="left"/>
      </w:pPr>
    </w:p>
    <w:p w:rsidR="004A4A64" w:rsidRDefault="00587AD0" w:rsidP="002B2B5B">
      <w:pPr>
        <w:jc w:val="left"/>
      </w:pPr>
      <w:r>
        <w:tab/>
      </w:r>
      <w:r>
        <w:tab/>
      </w:r>
      <w:r w:rsidR="008C2E6B">
        <w:t>2</w:t>
      </w:r>
      <w:r w:rsidR="00903B94">
        <w:t>9</w:t>
      </w:r>
      <w:r w:rsidR="00F1723E">
        <w:t>.</w:t>
      </w:r>
      <w:r w:rsidR="00F1723E">
        <w:tab/>
        <w:t xml:space="preserve">The Complainant’s current monthly income is $925.00.  Tr. 14.  </w:t>
      </w:r>
    </w:p>
    <w:p w:rsidR="004A4A64" w:rsidRDefault="004A4A64" w:rsidP="002B2B5B">
      <w:pPr>
        <w:jc w:val="left"/>
      </w:pPr>
    </w:p>
    <w:p w:rsidR="003759FC" w:rsidRDefault="004A4A64" w:rsidP="002B2B5B">
      <w:pPr>
        <w:jc w:val="left"/>
      </w:pPr>
      <w:r>
        <w:tab/>
      </w:r>
      <w:r>
        <w:tab/>
      </w:r>
      <w:r w:rsidR="00903B94">
        <w:t>30</w:t>
      </w:r>
      <w:r>
        <w:t>.</w:t>
      </w:r>
      <w:r>
        <w:tab/>
        <w:t xml:space="preserve">The Complainant is not contesting </w:t>
      </w:r>
      <w:r w:rsidR="00C86F49">
        <w:t xml:space="preserve">the amount of </w:t>
      </w:r>
      <w:r>
        <w:t xml:space="preserve">either his mother’s or his bills with PGW.  He is seeking a payment arrangement he can afford.  Tr. 79. </w:t>
      </w:r>
      <w:r w:rsidR="00587AD0">
        <w:t xml:space="preserve">  </w:t>
      </w:r>
      <w:r w:rsidR="003759FC">
        <w:t xml:space="preserve">    </w:t>
      </w:r>
    </w:p>
    <w:p w:rsidR="00E169B8" w:rsidRPr="00FC25EC" w:rsidRDefault="007D66A6" w:rsidP="002B2B5B">
      <w:pPr>
        <w:jc w:val="left"/>
      </w:pPr>
      <w:r>
        <w:tab/>
        <w:t xml:space="preserve"> </w:t>
      </w:r>
      <w:r w:rsidR="00D87072">
        <w:tab/>
      </w:r>
      <w:r w:rsidR="00E169B8">
        <w:t xml:space="preserve"> </w:t>
      </w:r>
    </w:p>
    <w:p w:rsidR="005A7C8C" w:rsidRPr="00FC25EC" w:rsidRDefault="005A7C8C" w:rsidP="005A7C8C">
      <w:pPr>
        <w:rPr>
          <w:u w:val="single"/>
        </w:rPr>
      </w:pPr>
      <w:r w:rsidRPr="00FC25EC">
        <w:rPr>
          <w:u w:val="single"/>
        </w:rPr>
        <w:t>DISCUSSION</w:t>
      </w:r>
    </w:p>
    <w:p w:rsidR="005A7C8C" w:rsidRPr="00FC25EC" w:rsidRDefault="005A7C8C" w:rsidP="005A7C8C">
      <w:pPr>
        <w:jc w:val="left"/>
      </w:pPr>
    </w:p>
    <w:p w:rsidR="005A7C8C" w:rsidRPr="00FC25EC" w:rsidRDefault="005A7C8C" w:rsidP="005A7C8C">
      <w:pPr>
        <w:jc w:val="left"/>
      </w:pPr>
      <w:r w:rsidRPr="00FC25EC">
        <w:tab/>
      </w:r>
      <w:r w:rsidRPr="00FC25EC">
        <w:tab/>
      </w:r>
      <w:r w:rsidR="005F3346" w:rsidRPr="00FC25EC">
        <w:t xml:space="preserve">Complainant </w:t>
      </w:r>
      <w:r w:rsidR="002A0AD9">
        <w:t xml:space="preserve">argues that PGW improperly forced him to accept the transfer of the balance </w:t>
      </w:r>
      <w:r w:rsidR="00DB2E60">
        <w:t>from his mother’s account a</w:t>
      </w:r>
      <w:r w:rsidR="002A0AD9">
        <w:t xml:space="preserve">s a condition of establishing new service in his name at the same address.  In addition, he </w:t>
      </w:r>
      <w:r w:rsidR="005F3346" w:rsidRPr="00FC25EC">
        <w:t xml:space="preserve">seeks a payment arrangement </w:t>
      </w:r>
      <w:r w:rsidR="002A0AD9">
        <w:t xml:space="preserve">for the portion of the total balance for which he is found responsible. </w:t>
      </w:r>
    </w:p>
    <w:p w:rsidR="005F3346" w:rsidRPr="00FC25EC" w:rsidRDefault="005F3346" w:rsidP="005A7C8C">
      <w:pPr>
        <w:jc w:val="left"/>
      </w:pPr>
    </w:p>
    <w:p w:rsidR="00120C6A" w:rsidRPr="00FC25EC" w:rsidRDefault="00120C6A" w:rsidP="00120C6A">
      <w:pPr>
        <w:ind w:firstLine="1440"/>
        <w:jc w:val="left"/>
        <w:rPr>
          <w:spacing w:val="-3"/>
        </w:rPr>
      </w:pPr>
      <w:r w:rsidRPr="00FC25EC">
        <w:t>The C</w:t>
      </w:r>
      <w:r w:rsidRPr="00FC25EC">
        <w:rPr>
          <w:spacing w:val="-3"/>
        </w:rPr>
        <w:t xml:space="preserve">omplainant carries the burden of showing that the utility is responsible or accountable for the problem described in the Complaint in order to prevail.  </w:t>
      </w:r>
      <w:r w:rsidRPr="00FC25EC">
        <w:rPr>
          <w:i/>
          <w:spacing w:val="-3"/>
        </w:rPr>
        <w:t>Patterson v. Bell Telephone Company of Pennsylvania</w:t>
      </w:r>
      <w:r w:rsidRPr="00FC25EC">
        <w:rPr>
          <w:spacing w:val="-3"/>
        </w:rPr>
        <w:t xml:space="preserve">, 72 Pa. PUC 196 (1990); </w:t>
      </w:r>
      <w:r w:rsidRPr="00FC25EC">
        <w:rPr>
          <w:i/>
          <w:spacing w:val="-3"/>
        </w:rPr>
        <w:t>Feinstein v. Philadelphia Suburban Water Company</w:t>
      </w:r>
      <w:r w:rsidRPr="00FC25EC">
        <w:rPr>
          <w:spacing w:val="-3"/>
        </w:rPr>
        <w:t xml:space="preserve">, 50 Pa. PUC 300 (1976).  This must be shown by a preponderance of the evidence.  </w:t>
      </w:r>
      <w:r w:rsidRPr="00FC25EC">
        <w:rPr>
          <w:i/>
          <w:spacing w:val="-3"/>
        </w:rPr>
        <w:t>Samuel J. Lansberry, Inc. v. PA Pub</w:t>
      </w:r>
      <w:r w:rsidR="007A60E6">
        <w:rPr>
          <w:i/>
          <w:spacing w:val="-3"/>
        </w:rPr>
        <w:t xml:space="preserve">. </w:t>
      </w:r>
      <w:r w:rsidRPr="00FC25EC">
        <w:rPr>
          <w:i/>
          <w:spacing w:val="-3"/>
        </w:rPr>
        <w:t>Util</w:t>
      </w:r>
      <w:r w:rsidR="007A60E6">
        <w:rPr>
          <w:i/>
          <w:spacing w:val="-3"/>
        </w:rPr>
        <w:t xml:space="preserve">. </w:t>
      </w:r>
      <w:r w:rsidRPr="00FC25EC">
        <w:rPr>
          <w:i/>
          <w:spacing w:val="-3"/>
        </w:rPr>
        <w:t>Comm’n</w:t>
      </w:r>
      <w:r w:rsidRPr="00FC25EC">
        <w:rPr>
          <w:spacing w:val="-3"/>
        </w:rPr>
        <w:t xml:space="preserve">, 578 A.2d 600 (Pa.Cmwlth.1990), </w:t>
      </w:r>
      <w:r w:rsidRPr="00FC25EC">
        <w:rPr>
          <w:i/>
          <w:spacing w:val="-3"/>
        </w:rPr>
        <w:t>alloc. den.</w:t>
      </w:r>
      <w:r w:rsidRPr="00FC25EC">
        <w:rPr>
          <w:spacing w:val="-3"/>
        </w:rPr>
        <w:t xml:space="preserve">, 529 A.2d 654, 602 A.2d 863 (1992).  That is, by presenting evidence more convincing, by even the smallest amount, than that presented by the other party.  </w:t>
      </w:r>
      <w:r w:rsidRPr="00FC25EC">
        <w:rPr>
          <w:i/>
          <w:spacing w:val="-3"/>
        </w:rPr>
        <w:t>Se-Ling Hosiery v. Margulies</w:t>
      </w:r>
      <w:r w:rsidRPr="00FC25EC">
        <w:rPr>
          <w:spacing w:val="-3"/>
        </w:rPr>
        <w:t>, 3</w:t>
      </w:r>
      <w:r w:rsidR="00B14F2C">
        <w:rPr>
          <w:spacing w:val="-3"/>
        </w:rPr>
        <w:t>64 Pa. 45, 70 A.2d 854 (1950).</w:t>
      </w:r>
    </w:p>
    <w:p w:rsidR="00120C6A" w:rsidRPr="00FC25EC" w:rsidRDefault="00120C6A" w:rsidP="00120C6A">
      <w:pPr>
        <w:ind w:firstLine="1440"/>
        <w:jc w:val="left"/>
        <w:rPr>
          <w:spacing w:val="-3"/>
        </w:rPr>
      </w:pPr>
    </w:p>
    <w:p w:rsidR="00120C6A" w:rsidRPr="00FC25EC" w:rsidRDefault="00120C6A" w:rsidP="00120C6A">
      <w:pPr>
        <w:ind w:firstLine="1440"/>
        <w:jc w:val="left"/>
        <w:rPr>
          <w:spacing w:val="-3"/>
        </w:rPr>
      </w:pPr>
      <w:r w:rsidRPr="00FC25EC">
        <w:rPr>
          <w:spacing w:val="-3"/>
        </w:rPr>
        <w:t xml:space="preserve">Additionally, any finding of fact necessary to support the Commission’s adjudication must be based upon substantial evidence.  </w:t>
      </w:r>
      <w:r w:rsidRPr="00FC25EC">
        <w:rPr>
          <w:i/>
          <w:spacing w:val="-3"/>
        </w:rPr>
        <w:t>Mill v. Comm’w., PA Pub</w:t>
      </w:r>
      <w:r w:rsidR="007A60E6">
        <w:rPr>
          <w:i/>
          <w:spacing w:val="-3"/>
        </w:rPr>
        <w:t xml:space="preserve">. </w:t>
      </w:r>
      <w:r w:rsidRPr="00FC25EC">
        <w:rPr>
          <w:i/>
          <w:spacing w:val="-3"/>
        </w:rPr>
        <w:t>Util</w:t>
      </w:r>
      <w:r w:rsidR="007A60E6">
        <w:rPr>
          <w:i/>
          <w:spacing w:val="-3"/>
        </w:rPr>
        <w:t xml:space="preserve">. </w:t>
      </w:r>
      <w:r w:rsidRPr="00FC25EC">
        <w:rPr>
          <w:i/>
          <w:spacing w:val="-3"/>
        </w:rPr>
        <w:t>Comm’n</w:t>
      </w:r>
      <w:r w:rsidRPr="00FC25EC">
        <w:rPr>
          <w:spacing w:val="-3"/>
        </w:rPr>
        <w:t xml:space="preserve">, 447 A.2d 1100 (Pa.Cmwlth.1982); </w:t>
      </w:r>
      <w:r w:rsidRPr="00FC25EC">
        <w:rPr>
          <w:i/>
          <w:spacing w:val="-3"/>
        </w:rPr>
        <w:t>Edan Transportation Corp. v. PA Pub</w:t>
      </w:r>
      <w:r w:rsidR="007A60E6">
        <w:rPr>
          <w:i/>
          <w:spacing w:val="-3"/>
        </w:rPr>
        <w:t xml:space="preserve">. </w:t>
      </w:r>
      <w:r w:rsidRPr="00FC25EC">
        <w:rPr>
          <w:i/>
          <w:spacing w:val="-3"/>
        </w:rPr>
        <w:t>Util</w:t>
      </w:r>
      <w:r w:rsidR="007A60E6">
        <w:rPr>
          <w:i/>
          <w:spacing w:val="-3"/>
        </w:rPr>
        <w:t xml:space="preserve">. </w:t>
      </w:r>
      <w:r w:rsidRPr="00FC25EC">
        <w:rPr>
          <w:i/>
          <w:spacing w:val="-3"/>
        </w:rPr>
        <w:t>Comm’n,</w:t>
      </w:r>
      <w:r w:rsidRPr="00FC25EC">
        <w:rPr>
          <w:spacing w:val="-3"/>
        </w:rPr>
        <w:t xml:space="preserve"> 623 A.2d 6 (Pa.Cmwlth.1993), 2 Pa.C.S. §704.  More is required than a mere trace of evidence or a suspicion of the existence of a fact sought to be established.  </w:t>
      </w:r>
      <w:r w:rsidRPr="00FC25EC">
        <w:rPr>
          <w:i/>
          <w:spacing w:val="-3"/>
        </w:rPr>
        <w:t>Norfolk and Western Ry. v. PA Pub</w:t>
      </w:r>
      <w:r w:rsidR="007A60E6">
        <w:rPr>
          <w:i/>
          <w:spacing w:val="-3"/>
        </w:rPr>
        <w:t xml:space="preserve">. </w:t>
      </w:r>
      <w:r w:rsidRPr="00FC25EC">
        <w:rPr>
          <w:i/>
          <w:spacing w:val="-3"/>
        </w:rPr>
        <w:t>Util</w:t>
      </w:r>
      <w:r w:rsidR="007A60E6">
        <w:rPr>
          <w:i/>
          <w:spacing w:val="-3"/>
        </w:rPr>
        <w:t xml:space="preserve">. </w:t>
      </w:r>
      <w:r w:rsidRPr="00FC25EC">
        <w:rPr>
          <w:i/>
          <w:spacing w:val="-3"/>
        </w:rPr>
        <w:t xml:space="preserve"> Comm’n</w:t>
      </w:r>
      <w:r w:rsidRPr="00FC25EC">
        <w:rPr>
          <w:spacing w:val="-3"/>
        </w:rPr>
        <w:t xml:space="preserve">, 489 Pa. 109, 413 A.2d 1037 (1980); </w:t>
      </w:r>
      <w:r w:rsidRPr="00FC25EC">
        <w:rPr>
          <w:i/>
          <w:spacing w:val="-3"/>
        </w:rPr>
        <w:t>Erie Resistor Corp. v. Unemployment Compensation Bd. of Review</w:t>
      </w:r>
      <w:r w:rsidRPr="00FC25EC">
        <w:rPr>
          <w:spacing w:val="-3"/>
        </w:rPr>
        <w:t xml:space="preserve">, 166 A.2d 96 (Pa.Super.1960); </w:t>
      </w:r>
      <w:r w:rsidRPr="00FC25EC">
        <w:rPr>
          <w:i/>
          <w:spacing w:val="-3"/>
        </w:rPr>
        <w:t>Murphy v. Commonwealth, Dep’t. of Public Welfare, White Haven Center</w:t>
      </w:r>
      <w:r w:rsidRPr="00FC25EC">
        <w:rPr>
          <w:spacing w:val="-3"/>
        </w:rPr>
        <w:t>, 480 A.2d 382 (Pa.Cmwlth.1984).</w:t>
      </w:r>
    </w:p>
    <w:p w:rsidR="00120C6A" w:rsidRPr="00FC25EC" w:rsidRDefault="00120C6A" w:rsidP="00120C6A">
      <w:pPr>
        <w:ind w:firstLine="1440"/>
        <w:jc w:val="left"/>
        <w:rPr>
          <w:spacing w:val="-3"/>
        </w:rPr>
      </w:pPr>
    </w:p>
    <w:p w:rsidR="00120C6A" w:rsidRPr="00FC25EC" w:rsidRDefault="00120C6A" w:rsidP="00120C6A">
      <w:pPr>
        <w:jc w:val="left"/>
      </w:pPr>
      <w:r w:rsidRPr="00FC25EC">
        <w:tab/>
      </w:r>
      <w:r w:rsidRPr="00FC25EC">
        <w:tab/>
        <w:t>The offense must be a violation of the Public Utility Code, the Commission’s regulations, or an outstanding order of the C</w:t>
      </w:r>
      <w:r w:rsidR="00FA0643">
        <w:t>ommission.  66 Pa.C.S. § 701.</w:t>
      </w:r>
    </w:p>
    <w:p w:rsidR="00120C6A" w:rsidRPr="00FC25EC" w:rsidRDefault="00120C6A" w:rsidP="00903659">
      <w:pPr>
        <w:jc w:val="left"/>
      </w:pPr>
    </w:p>
    <w:p w:rsidR="005924CE" w:rsidRDefault="00FC4024" w:rsidP="00903659">
      <w:pPr>
        <w:jc w:val="left"/>
        <w:rPr>
          <w:u w:val="single"/>
        </w:rPr>
      </w:pPr>
      <w:r>
        <w:rPr>
          <w:u w:val="single"/>
        </w:rPr>
        <w:t>Transfer of Mother’s Balance</w:t>
      </w:r>
    </w:p>
    <w:p w:rsidR="00FC4024" w:rsidRDefault="00FC4024" w:rsidP="00903659">
      <w:pPr>
        <w:jc w:val="left"/>
        <w:rPr>
          <w:u w:val="single"/>
        </w:rPr>
      </w:pPr>
    </w:p>
    <w:p w:rsidR="00FC4024" w:rsidRDefault="00FC4024" w:rsidP="00903659">
      <w:pPr>
        <w:jc w:val="left"/>
      </w:pPr>
      <w:r>
        <w:tab/>
      </w:r>
      <w:r>
        <w:tab/>
        <w:t>The Commission’s regulations address the circumstances under which a public utility may require an applicant for new service to accept the transfer of a prior balance at the same service location as a condition for establishing the new service.  52 Pa.Code §56.191(d) provides:</w:t>
      </w:r>
    </w:p>
    <w:p w:rsidR="00FC4024" w:rsidRDefault="00FC4024" w:rsidP="00903659">
      <w:pPr>
        <w:jc w:val="left"/>
      </w:pPr>
    </w:p>
    <w:p w:rsidR="00FC4024" w:rsidRDefault="00FC4024" w:rsidP="007A60E6">
      <w:pPr>
        <w:spacing w:line="240" w:lineRule="auto"/>
        <w:ind w:left="1440" w:right="1530"/>
        <w:jc w:val="both"/>
      </w:pPr>
      <w:r>
        <w:tab/>
      </w:r>
      <w:r>
        <w:rPr>
          <w:i/>
        </w:rPr>
        <w:t>Payment of outstanding balance at premises as a condition to restore service.</w:t>
      </w:r>
      <w:r>
        <w:t xml:space="preserve">  A public utility may require the payment of any outstanding balance or portion of an outstanding balance if the applicant or customer resided at the property for which service is requested during the time the outstanding balance accrued and for the time the applicant or customer resided there, not exceeding 4 years prior to the date of requesting that service be restored.</w:t>
      </w:r>
    </w:p>
    <w:p w:rsidR="00FC4024" w:rsidRDefault="00FC4024" w:rsidP="002B2B5B">
      <w:pPr>
        <w:jc w:val="left"/>
        <w:rPr>
          <w:i/>
        </w:rPr>
      </w:pPr>
    </w:p>
    <w:p w:rsidR="0018172D" w:rsidRDefault="006205C5" w:rsidP="002B2B5B">
      <w:pPr>
        <w:jc w:val="left"/>
      </w:pPr>
      <w:r>
        <w:tab/>
      </w:r>
      <w:r>
        <w:tab/>
      </w:r>
      <w:r w:rsidR="00015626">
        <w:t>Here, the record evidence is c</w:t>
      </w:r>
      <w:r w:rsidR="003E3DB7">
        <w:t>lear</w:t>
      </w:r>
      <w:r w:rsidR="00015626">
        <w:t xml:space="preserve"> that the Complainant lived </w:t>
      </w:r>
      <w:r w:rsidR="00C86F49">
        <w:t xml:space="preserve">permanently </w:t>
      </w:r>
      <w:r w:rsidR="00015626">
        <w:t>at the 55</w:t>
      </w:r>
      <w:r w:rsidR="00015626" w:rsidRPr="00015626">
        <w:rPr>
          <w:vertAlign w:val="superscript"/>
        </w:rPr>
        <w:t>th</w:t>
      </w:r>
      <w:r w:rsidR="00015626">
        <w:t xml:space="preserve"> Street address and benefitted from the service</w:t>
      </w:r>
      <w:r w:rsidR="00C86F49">
        <w:t xml:space="preserve"> since 2008, even though the service was still in his mother’s name until 2012.  </w:t>
      </w:r>
      <w:r w:rsidR="00015626">
        <w:t xml:space="preserve">Mr. Smith </w:t>
      </w:r>
      <w:r w:rsidR="00BA18A1">
        <w:t xml:space="preserve">initially testified that he </w:t>
      </w:r>
      <w:r w:rsidR="003448EB">
        <w:t xml:space="preserve">thought he </w:t>
      </w:r>
      <w:r w:rsidR="00BA18A1">
        <w:t xml:space="preserve">moved into the residence two years before he put the service </w:t>
      </w:r>
      <w:r w:rsidR="0013357D">
        <w:t>in</w:t>
      </w:r>
      <w:r w:rsidR="00BA18A1">
        <w:t xml:space="preserve"> his name in 2012.  Tr. 13.  Subsequently, on cross examination, he </w:t>
      </w:r>
      <w:r w:rsidR="00EA6607">
        <w:t>acknowledg</w:t>
      </w:r>
      <w:r w:rsidR="00BA18A1">
        <w:t>ed that he moved into the residence in 2008, after his mother had moved out.  Tr. 77.  This is consistent with the testimony of the Complainant’s mother, Margaret Thomas, who testified that she moved out of the 55</w:t>
      </w:r>
      <w:r w:rsidR="00BA18A1" w:rsidRPr="00BA18A1">
        <w:rPr>
          <w:vertAlign w:val="superscript"/>
        </w:rPr>
        <w:t>th</w:t>
      </w:r>
      <w:r w:rsidR="00BA18A1">
        <w:t xml:space="preserve"> Street address to her current address in 2008.  </w:t>
      </w:r>
      <w:r w:rsidR="00EA6607">
        <w:t>S</w:t>
      </w:r>
      <w:r w:rsidR="0013357D">
        <w:t xml:space="preserve">he </w:t>
      </w:r>
      <w:r w:rsidR="00EA6607">
        <w:t xml:space="preserve">further </w:t>
      </w:r>
      <w:r w:rsidR="00BA18A1">
        <w:t>testified that</w:t>
      </w:r>
      <w:r w:rsidR="0013357D">
        <w:t>, before the Complainant moved into the residence permanently in 2008, he</w:t>
      </w:r>
      <w:r w:rsidR="00BA18A1">
        <w:t xml:space="preserve"> resided off and on at the 55</w:t>
      </w:r>
      <w:r w:rsidR="00BA18A1" w:rsidRPr="00BA18A1">
        <w:rPr>
          <w:vertAlign w:val="superscript"/>
        </w:rPr>
        <w:t>th</w:t>
      </w:r>
      <w:r w:rsidR="00BA18A1">
        <w:t xml:space="preserve"> Street address since 1986</w:t>
      </w:r>
      <w:r w:rsidR="0013357D">
        <w:t xml:space="preserve"> and helped pay for the service when he could during that time.  Tr. 25, 27-2</w:t>
      </w:r>
      <w:r w:rsidR="00A730F4">
        <w:t>9</w:t>
      </w:r>
      <w:r w:rsidR="00BA18A1">
        <w:t>.</w:t>
      </w:r>
      <w:r w:rsidR="008C6DB0">
        <w:t xml:space="preserve">  </w:t>
      </w:r>
    </w:p>
    <w:p w:rsidR="0018172D" w:rsidRDefault="0018172D" w:rsidP="002B2B5B">
      <w:pPr>
        <w:ind w:firstLine="720"/>
        <w:jc w:val="left"/>
      </w:pPr>
    </w:p>
    <w:p w:rsidR="008C6DB0" w:rsidRDefault="003E3DB7" w:rsidP="002B2B5B">
      <w:pPr>
        <w:ind w:firstLine="1440"/>
        <w:jc w:val="left"/>
      </w:pPr>
      <w:r>
        <w:t>N</w:t>
      </w:r>
      <w:r w:rsidR="008C6DB0">
        <w:t>either the Complainant nor his mother offered any evidence that refutes or counters the evidence demonstrating that the Complainant resided at the 55</w:t>
      </w:r>
      <w:r w:rsidR="008C6DB0" w:rsidRPr="008C6DB0">
        <w:rPr>
          <w:vertAlign w:val="superscript"/>
        </w:rPr>
        <w:t>th</w:t>
      </w:r>
      <w:r w:rsidR="008C6DB0">
        <w:t xml:space="preserve"> Street address during the time the outstanding balance </w:t>
      </w:r>
      <w:r>
        <w:t>from the mother’s account</w:t>
      </w:r>
      <w:r w:rsidR="008C6DB0">
        <w:t xml:space="preserve"> accrued</w:t>
      </w:r>
      <w:r w:rsidR="00C86F49">
        <w:t xml:space="preserve"> since 2008</w:t>
      </w:r>
      <w:r w:rsidR="008C6DB0">
        <w:t>.</w:t>
      </w:r>
      <w:r w:rsidR="0017275D">
        <w:t xml:space="preserve">  </w:t>
      </w:r>
      <w:r w:rsidR="008C6DB0">
        <w:t xml:space="preserve">PGW was in compliance with the Commission’s regulations when it transferred the </w:t>
      </w:r>
      <w:r w:rsidR="0018172D">
        <w:t xml:space="preserve">mother’s </w:t>
      </w:r>
      <w:r w:rsidR="008C6DB0">
        <w:t xml:space="preserve">account balance to the Complainant’s newly-established account.  Accordingly, the allegation in the complaint on this issue </w:t>
      </w:r>
      <w:r w:rsidR="008C2E6B">
        <w:t>is</w:t>
      </w:r>
      <w:r w:rsidR="008C6DB0">
        <w:t xml:space="preserve"> dismissed.</w:t>
      </w:r>
    </w:p>
    <w:p w:rsidR="008C6DB0" w:rsidRDefault="008C6DB0" w:rsidP="002B2B5B">
      <w:pPr>
        <w:jc w:val="left"/>
      </w:pPr>
    </w:p>
    <w:p w:rsidR="00892BD2" w:rsidRDefault="008C6DB0" w:rsidP="002B2B5B">
      <w:pPr>
        <w:jc w:val="left"/>
      </w:pPr>
      <w:r>
        <w:rPr>
          <w:u w:val="single"/>
        </w:rPr>
        <w:t>Request For Payment Arrangement</w:t>
      </w:r>
      <w:r>
        <w:t xml:space="preserve">  </w:t>
      </w:r>
      <w:r w:rsidR="00EA6607">
        <w:t xml:space="preserve">  </w:t>
      </w:r>
    </w:p>
    <w:p w:rsidR="00892BD2" w:rsidRDefault="00892BD2" w:rsidP="002B2B5B">
      <w:pPr>
        <w:jc w:val="left"/>
      </w:pPr>
    </w:p>
    <w:p w:rsidR="00BC589A" w:rsidRDefault="00903659" w:rsidP="002B2B5B">
      <w:pPr>
        <w:jc w:val="left"/>
      </w:pPr>
      <w:r w:rsidRPr="00FC25EC">
        <w:tab/>
      </w:r>
      <w:r w:rsidRPr="00FC25EC">
        <w:tab/>
      </w:r>
      <w:r w:rsidR="00B146E0">
        <w:t>The Commission’s authority with respect to investigating p</w:t>
      </w:r>
      <w:r w:rsidR="0049668C" w:rsidRPr="00FC25EC">
        <w:t>ayment</w:t>
      </w:r>
      <w:r w:rsidR="00B146E0">
        <w:t xml:space="preserve"> disputes and establishing payment arrangements is </w:t>
      </w:r>
      <w:r w:rsidR="0049668C" w:rsidRPr="00FC25EC">
        <w:t>governed by Chapter 14 of the Public Utility Code</w:t>
      </w:r>
      <w:r w:rsidR="00965DAB">
        <w:t xml:space="preserve">. 66 Pa. C.S. § 1401, </w:t>
      </w:r>
      <w:r w:rsidR="00965DAB">
        <w:rPr>
          <w:i/>
        </w:rPr>
        <w:t>et seq.</w:t>
      </w:r>
      <w:r w:rsidR="003E3DB7">
        <w:t xml:space="preserve">  </w:t>
      </w:r>
      <w:r w:rsidR="00BC589A">
        <w:t>With respect to payment arrangements, Chapter 14 provides, in relevant part, as follows:</w:t>
      </w:r>
    </w:p>
    <w:p w:rsidR="00BC589A" w:rsidRDefault="00BC589A" w:rsidP="002B2B5B">
      <w:pPr>
        <w:jc w:val="left"/>
      </w:pPr>
    </w:p>
    <w:p w:rsidR="00BC589A" w:rsidRDefault="0094623E" w:rsidP="00BC589A">
      <w:pPr>
        <w:spacing w:line="240" w:lineRule="auto"/>
        <w:ind w:left="720" w:right="720"/>
        <w:jc w:val="left"/>
        <w:rPr>
          <w:b/>
        </w:rPr>
      </w:pPr>
      <w:r>
        <w:rPr>
          <w:b/>
        </w:rPr>
        <w:t>§ 1405.  Payment Arrangements.</w:t>
      </w:r>
    </w:p>
    <w:p w:rsidR="0094623E" w:rsidRDefault="0094623E" w:rsidP="00BC589A">
      <w:pPr>
        <w:spacing w:line="240" w:lineRule="auto"/>
        <w:ind w:left="720" w:right="720"/>
        <w:jc w:val="left"/>
        <w:rPr>
          <w:b/>
        </w:rPr>
      </w:pPr>
    </w:p>
    <w:p w:rsidR="0094623E" w:rsidRPr="0094623E" w:rsidRDefault="0094623E" w:rsidP="0094623E">
      <w:pPr>
        <w:pStyle w:val="ListParagraph"/>
        <w:numPr>
          <w:ilvl w:val="0"/>
          <w:numId w:val="2"/>
        </w:numPr>
        <w:spacing w:line="240" w:lineRule="auto"/>
        <w:ind w:right="720"/>
        <w:jc w:val="left"/>
        <w:rPr>
          <w:b/>
        </w:rPr>
      </w:pPr>
      <w:r>
        <w:rPr>
          <w:b/>
        </w:rPr>
        <w:t xml:space="preserve">General rule. – </w:t>
      </w:r>
      <w:r>
        <w:t>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94623E" w:rsidRPr="0094623E" w:rsidRDefault="0094623E" w:rsidP="0094623E">
      <w:pPr>
        <w:pStyle w:val="ListParagraph"/>
        <w:spacing w:line="240" w:lineRule="auto"/>
        <w:ind w:left="1260" w:right="720"/>
        <w:jc w:val="left"/>
        <w:rPr>
          <w:b/>
        </w:rPr>
      </w:pPr>
    </w:p>
    <w:p w:rsidR="0094623E" w:rsidRPr="0094623E" w:rsidRDefault="0094623E" w:rsidP="0094623E">
      <w:pPr>
        <w:pStyle w:val="ListParagraph"/>
        <w:numPr>
          <w:ilvl w:val="0"/>
          <w:numId w:val="2"/>
        </w:numPr>
        <w:spacing w:line="240" w:lineRule="auto"/>
        <w:ind w:right="720"/>
        <w:jc w:val="left"/>
        <w:rPr>
          <w:b/>
        </w:rPr>
      </w:pPr>
      <w:r>
        <w:rPr>
          <w:b/>
        </w:rPr>
        <w:t xml:space="preserve">Length of payment arrangements. – </w:t>
      </w:r>
      <w:r>
        <w:t>The length of time for a customer to resolve an unpaid balance on an account that is subject to a payment arrangement that is investigated by the commission and is entered into by a public utility and a customer shall not extend beyond:</w:t>
      </w:r>
    </w:p>
    <w:p w:rsidR="0094623E" w:rsidRPr="0094623E" w:rsidRDefault="0094623E" w:rsidP="0094623E">
      <w:pPr>
        <w:pStyle w:val="ListParagraph"/>
        <w:rPr>
          <w:b/>
        </w:rPr>
      </w:pPr>
    </w:p>
    <w:p w:rsidR="0094623E" w:rsidRDefault="0094623E" w:rsidP="0094623E">
      <w:pPr>
        <w:pStyle w:val="ListParagraph"/>
        <w:numPr>
          <w:ilvl w:val="0"/>
          <w:numId w:val="3"/>
        </w:numPr>
        <w:spacing w:line="240" w:lineRule="auto"/>
        <w:jc w:val="left"/>
      </w:pPr>
      <w:r>
        <w:t>Five years for customers with a gross monthly household income level not exceeding 150% of the Federal poverty level.</w:t>
      </w:r>
    </w:p>
    <w:p w:rsidR="0094623E" w:rsidRDefault="0094623E" w:rsidP="0094623E">
      <w:pPr>
        <w:spacing w:line="240" w:lineRule="auto"/>
        <w:jc w:val="left"/>
      </w:pPr>
    </w:p>
    <w:p w:rsidR="0094623E" w:rsidRDefault="0094623E" w:rsidP="0094623E">
      <w:pPr>
        <w:spacing w:line="240" w:lineRule="auto"/>
      </w:pPr>
      <w:r>
        <w:t>. . .</w:t>
      </w:r>
    </w:p>
    <w:p w:rsidR="0094623E" w:rsidRDefault="0094623E" w:rsidP="0094623E">
      <w:pPr>
        <w:spacing w:line="240" w:lineRule="auto"/>
        <w:jc w:val="left"/>
      </w:pPr>
    </w:p>
    <w:p w:rsidR="0094623E" w:rsidRPr="0094623E" w:rsidRDefault="0094623E" w:rsidP="0094623E">
      <w:pPr>
        <w:pStyle w:val="ListParagraph"/>
        <w:numPr>
          <w:ilvl w:val="0"/>
          <w:numId w:val="2"/>
        </w:numPr>
        <w:spacing w:line="240" w:lineRule="auto"/>
        <w:jc w:val="left"/>
        <w:rPr>
          <w:b/>
        </w:rPr>
      </w:pPr>
      <w:r>
        <w:rPr>
          <w:b/>
        </w:rPr>
        <w:t xml:space="preserve">Customer assistance programs. – </w:t>
      </w:r>
      <w:r>
        <w:t>Customer assistance program rates shall be timely paid and shall not be the subject of payment arrangements negotiated or approved by the commission.</w:t>
      </w:r>
    </w:p>
    <w:p w:rsidR="0094623E" w:rsidRDefault="0094623E" w:rsidP="0094623E">
      <w:pPr>
        <w:spacing w:line="240" w:lineRule="auto"/>
        <w:jc w:val="left"/>
      </w:pPr>
    </w:p>
    <w:p w:rsidR="00563841" w:rsidRPr="00563841" w:rsidRDefault="0094623E" w:rsidP="0094623E">
      <w:pPr>
        <w:pStyle w:val="ListParagraph"/>
        <w:numPr>
          <w:ilvl w:val="0"/>
          <w:numId w:val="2"/>
        </w:numPr>
        <w:spacing w:line="240" w:lineRule="auto"/>
        <w:jc w:val="left"/>
        <w:rPr>
          <w:b/>
        </w:rPr>
      </w:pPr>
      <w:r w:rsidRPr="0094623E">
        <w:rPr>
          <w:b/>
        </w:rPr>
        <w:t>Number of</w:t>
      </w:r>
      <w:r>
        <w:rPr>
          <w:b/>
        </w:rPr>
        <w:t xml:space="preserve"> payment arrangements. – </w:t>
      </w:r>
      <w:r>
        <w:t>Absent a change in income, the commission shall not establish or order a public utility to establish a second or subsequent payment arrangement if a customer has defaulted on the previous payment arrangement</w:t>
      </w:r>
      <w:r w:rsidR="00563841">
        <w:t xml:space="preserve"> established by a commission order or decision.  A public utility may, at its discretion, enter into a second or subsequent payment arrangement with a customer.</w:t>
      </w:r>
    </w:p>
    <w:p w:rsidR="00563841" w:rsidRDefault="00563841" w:rsidP="002B2B5B">
      <w:pPr>
        <w:pStyle w:val="ListParagraph"/>
        <w:ind w:left="0"/>
        <w:jc w:val="left"/>
      </w:pPr>
    </w:p>
    <w:p w:rsidR="00563841" w:rsidRDefault="00563841" w:rsidP="002B2B5B">
      <w:pPr>
        <w:jc w:val="left"/>
      </w:pPr>
      <w:r>
        <w:t>66 Pa.C.S. §1405.</w:t>
      </w:r>
    </w:p>
    <w:p w:rsidR="00DB72E5" w:rsidRDefault="00DB72E5" w:rsidP="002B2B5B">
      <w:pPr>
        <w:jc w:val="left"/>
      </w:pPr>
    </w:p>
    <w:p w:rsidR="0017175C" w:rsidRDefault="00DB72E5" w:rsidP="002B2B5B">
      <w:pPr>
        <w:jc w:val="left"/>
      </w:pPr>
      <w:r>
        <w:tab/>
        <w:t xml:space="preserve">By way of summary, and as relevant here, </w:t>
      </w:r>
      <w:r w:rsidR="00B146E0">
        <w:t xml:space="preserve">the Commission may order a payment arrangement for the payment of an outstanding balance whereby </w:t>
      </w:r>
      <w:r w:rsidR="00E607D9">
        <w:t xml:space="preserve">the </w:t>
      </w:r>
      <w:r w:rsidR="00B146E0">
        <w:t xml:space="preserve">payments are spread over a period of </w:t>
      </w:r>
      <w:r w:rsidR="00D263E2">
        <w:t xml:space="preserve">time, </w:t>
      </w:r>
      <w:r w:rsidR="00B146E0">
        <w:t xml:space="preserve">depending on the customer’s income.  </w:t>
      </w:r>
      <w:r w:rsidR="00D263E2">
        <w:t xml:space="preserve">Where the customer’s income is at or below 150% of the Federal poverty level, </w:t>
      </w:r>
      <w:r w:rsidR="00B146E0">
        <w:t xml:space="preserve">the Commission may order a payment arrangement </w:t>
      </w:r>
      <w:r>
        <w:t xml:space="preserve">spread </w:t>
      </w:r>
      <w:r w:rsidR="00B146E0">
        <w:t xml:space="preserve">over a five year period of time.  Additionally, </w:t>
      </w:r>
      <w:r w:rsidR="00E607D9">
        <w:t xml:space="preserve">absent a change in income for the customer, </w:t>
      </w:r>
      <w:r w:rsidR="00B146E0">
        <w:t>the Commission is authorized to establish only one payment arrangement for a given balance</w:t>
      </w:r>
      <w:r w:rsidR="00E607D9">
        <w:t>.  Further, Section 1405 prohibits the Commission from establishing payment arrangements for outstanding balances that accrued during the time a customer was enrolled in a utility’s customer assistance program.  CAP arrearages may not be the subject of payment arrangements</w:t>
      </w:r>
      <w:r w:rsidR="008E41CB">
        <w:t xml:space="preserve"> ordered by the Commission</w:t>
      </w:r>
      <w:r w:rsidR="00E607D9">
        <w:t>.</w:t>
      </w:r>
      <w:r w:rsidR="003448EB">
        <w:t xml:space="preserve">  66 Pa.C.S. §1405(c).</w:t>
      </w:r>
      <w:r w:rsidR="00E607D9">
        <w:t xml:space="preserve"> </w:t>
      </w:r>
    </w:p>
    <w:p w:rsidR="0017175C" w:rsidRDefault="0017175C" w:rsidP="002B2B5B">
      <w:pPr>
        <w:jc w:val="left"/>
      </w:pPr>
    </w:p>
    <w:p w:rsidR="00903659" w:rsidRDefault="0017175C" w:rsidP="00965DAB">
      <w:pPr>
        <w:jc w:val="left"/>
      </w:pPr>
      <w:r>
        <w:tab/>
      </w:r>
      <w:r>
        <w:tab/>
        <w:t xml:space="preserve">The Complainant registered one informal complaint with the Commission concerning his account that is at issue in this proceeding.  The BCS Case No. is 3255479.  PGW Exhibit No. 5.  In its decision, which was issued on </w:t>
      </w:r>
      <w:r w:rsidR="00E65A46">
        <w:t xml:space="preserve">February 10, 2015, the Commission dismissed the complaint on the basis that a portion of the balance was made up of CAP arrears, which, under 1405(c), may not be the subject of a Commission ordered payment arrangement.  PGW Exhibit No. 1, </w:t>
      </w:r>
      <w:r w:rsidR="008C2E6B">
        <w:t>5</w:t>
      </w:r>
      <w:r w:rsidR="00E65A46">
        <w:t xml:space="preserve">.  The Commission did not order a payment arrangement as part of its decision.  Since there is no record evidence of any other payment arrangements having been ordered by the Commission, the Commission is authorized to establish a payment arrangement in this proceeding for any eligible balance.    </w:t>
      </w:r>
      <w:r w:rsidR="00E607D9">
        <w:t xml:space="preserve">  </w:t>
      </w:r>
    </w:p>
    <w:p w:rsidR="00DB72E5" w:rsidRDefault="00DB72E5" w:rsidP="00965DAB">
      <w:pPr>
        <w:jc w:val="left"/>
      </w:pPr>
    </w:p>
    <w:p w:rsidR="003047CE" w:rsidRDefault="00DB72E5" w:rsidP="00965DAB">
      <w:pPr>
        <w:jc w:val="left"/>
      </w:pPr>
      <w:r>
        <w:tab/>
      </w:r>
      <w:r>
        <w:tab/>
      </w:r>
      <w:r w:rsidR="004C3E75">
        <w:t xml:space="preserve">Here, </w:t>
      </w:r>
      <w:r w:rsidR="00D263E2">
        <w:t xml:space="preserve">the Complainant’s total outstanding balance at the time of the hearing was $10,929.95.  Tr. 59.  Of this total, </w:t>
      </w:r>
      <w:r w:rsidR="004C3E75">
        <w:t xml:space="preserve">$4,706.24 was transferred from the mother’s account to the </w:t>
      </w:r>
      <w:r w:rsidR="003047CE">
        <w:t xml:space="preserve">Complainant’s </w:t>
      </w:r>
      <w:r w:rsidR="004C3E75">
        <w:t>new account when</w:t>
      </w:r>
      <w:r w:rsidR="003047CE">
        <w:t xml:space="preserve"> the</w:t>
      </w:r>
      <w:r w:rsidR="004C3E75">
        <w:t xml:space="preserve"> </w:t>
      </w:r>
      <w:r w:rsidR="003047CE">
        <w:t xml:space="preserve">new </w:t>
      </w:r>
      <w:r w:rsidR="004C3E75">
        <w:t xml:space="preserve">service was established in October of 2012.  </w:t>
      </w:r>
      <w:r w:rsidR="00A249BD">
        <w:t>Tr. 42</w:t>
      </w:r>
      <w:r w:rsidR="00E65A46">
        <w:t>, 64</w:t>
      </w:r>
      <w:r w:rsidR="00A249BD">
        <w:t xml:space="preserve">; </w:t>
      </w:r>
      <w:r w:rsidR="004C3E75">
        <w:t>PGW Exhibit No. 4.  The Complainant was made aware of the balance transfer at the time</w:t>
      </w:r>
      <w:r w:rsidR="003047CE">
        <w:t xml:space="preserve"> his account was established.  P</w:t>
      </w:r>
      <w:r w:rsidR="004C3E75">
        <w:t>GW Exhibit No. 1.</w:t>
      </w:r>
      <w:r w:rsidR="003047CE">
        <w:t xml:space="preserve">  There is no evidence in the record indicating that the mother’s balance accrued while the account was enrolled in </w:t>
      </w:r>
      <w:r w:rsidR="003448EB">
        <w:t>PGW’s</w:t>
      </w:r>
      <w:r w:rsidR="003047CE">
        <w:t xml:space="preserve"> C</w:t>
      </w:r>
      <w:r w:rsidR="003448EB">
        <w:t>R</w:t>
      </w:r>
      <w:r w:rsidR="003047CE">
        <w:t>P.  Accordingly, this portion of the total balance of $10,929.95 at issue here does not constitute a CAP arrearage</w:t>
      </w:r>
      <w:r w:rsidR="00D263E2">
        <w:t xml:space="preserve"> and, therefore, may be included in a Commission ordered payment arrangement</w:t>
      </w:r>
      <w:r w:rsidR="003047CE">
        <w:t>.</w:t>
      </w:r>
      <w:r w:rsidR="000A7F5E">
        <w:t xml:space="preserve"> </w:t>
      </w:r>
    </w:p>
    <w:p w:rsidR="000A7F5E" w:rsidRDefault="000A7F5E" w:rsidP="00965DAB">
      <w:pPr>
        <w:jc w:val="left"/>
      </w:pPr>
    </w:p>
    <w:p w:rsidR="000A7F5E" w:rsidRDefault="000A7F5E" w:rsidP="00965DAB">
      <w:pPr>
        <w:jc w:val="left"/>
      </w:pPr>
      <w:r>
        <w:tab/>
      </w:r>
      <w:r>
        <w:tab/>
        <w:t xml:space="preserve">Upon initiation of new service in the Complainant’s name in October of 2012, the account was enrolled in PGW’s CRP.  Tr. 52-53.  The Complainant’s account remained in the CRP until </w:t>
      </w:r>
      <w:r w:rsidR="00A249BD">
        <w:t>November of 2013, when the C</w:t>
      </w:r>
      <w:r w:rsidR="0017175C">
        <w:t xml:space="preserve">omplainant </w:t>
      </w:r>
      <w:r w:rsidR="00A249BD">
        <w:t>was dropped</w:t>
      </w:r>
      <w:r w:rsidR="0017175C">
        <w:t xml:space="preserve"> from the plan</w:t>
      </w:r>
      <w:r w:rsidR="00A249BD">
        <w:t xml:space="preserve"> due to non-payment.  PGW Exhibit No. 3.  </w:t>
      </w:r>
      <w:r w:rsidR="0017175C">
        <w:t>As noted above, any account balance that accrued during the time the account was under a CRP may not be included in a Commission ordered payment arrangement.  66 Pa.C.S. §1405(c).  Therefore, the portion of the Complainant’s total account balance of $10,929.95 that accrued between October of 2012 and November of 2013 may not be included in the payment arrangement established here.  In order to assure accuracy, PGW is directed to calculate the precise CRP arrearage th</w:t>
      </w:r>
      <w:r w:rsidR="007A60E6">
        <w:t>at</w:t>
      </w:r>
      <w:r w:rsidR="0017175C">
        <w:t xml:space="preserve"> accrued on the Complainant’s account from the time service was established in his name </w:t>
      </w:r>
      <w:r w:rsidR="004B4AB2">
        <w:t xml:space="preserve">in October of 2012 </w:t>
      </w:r>
      <w:r w:rsidR="0017175C">
        <w:t xml:space="preserve">until the date the account was removed from the CRP </w:t>
      </w:r>
      <w:r w:rsidR="004B4AB2">
        <w:t xml:space="preserve">in November of 2013 </w:t>
      </w:r>
      <w:r w:rsidR="0017175C">
        <w:t xml:space="preserve">and to subtract this amount from the total balance of $10,929.95.        </w:t>
      </w:r>
      <w:r w:rsidR="00A249BD">
        <w:t xml:space="preserve">  </w:t>
      </w:r>
      <w:r>
        <w:t xml:space="preserve">  </w:t>
      </w:r>
    </w:p>
    <w:p w:rsidR="003047CE" w:rsidRDefault="003047CE" w:rsidP="00965DAB">
      <w:pPr>
        <w:jc w:val="left"/>
      </w:pPr>
    </w:p>
    <w:p w:rsidR="004B4AB2" w:rsidRDefault="003047CE" w:rsidP="00965DAB">
      <w:pPr>
        <w:jc w:val="left"/>
      </w:pPr>
      <w:r>
        <w:tab/>
      </w:r>
      <w:r>
        <w:tab/>
      </w:r>
      <w:r w:rsidR="004B4AB2">
        <w:t xml:space="preserve">The remaining balance on the Complainant’s account, which accrued </w:t>
      </w:r>
      <w:r w:rsidR="0057247A">
        <w:t xml:space="preserve">after </w:t>
      </w:r>
      <w:r w:rsidR="004B4AB2">
        <w:t>the time the CRP ended in November of 2013, is also eligible to be included in a payment arrangement, since it was not the subject of a prior Commission ordered payment arrangement and is not made up of CRP arrears.  Again, in order to assure accuracy, PGW is directed to calculate this portion of the total balance.  This amount will be combined with the balance that was transferred from the mother’s account and will be the subject of the payment arrangement ordered herein.</w:t>
      </w:r>
    </w:p>
    <w:p w:rsidR="004B4AB2" w:rsidRDefault="004B4AB2" w:rsidP="00965DAB">
      <w:pPr>
        <w:jc w:val="left"/>
      </w:pPr>
    </w:p>
    <w:p w:rsidR="008C2E6B" w:rsidRDefault="004B4AB2" w:rsidP="005A7C8C">
      <w:pPr>
        <w:jc w:val="left"/>
      </w:pPr>
      <w:r>
        <w:tab/>
      </w:r>
      <w:r>
        <w:tab/>
        <w:t xml:space="preserve">The Complainant testified that he has a current income of $925 per month.  Tr. 14.  This calculates to an annual income of $11,100.00.  </w:t>
      </w:r>
      <w:r w:rsidR="00AC2AF2">
        <w:t>This annual income is below 150% of the federal poverty guidelines.  Accordingly, under 66 Pa.Code §1405(b)(1), the Complainant is eligible for a payment arrangement whereby the eligible balance may be amortized over a period of five (5) years</w:t>
      </w:r>
      <w:r w:rsidR="009952B5">
        <w:t>, or sixty (60) months</w:t>
      </w:r>
      <w:r w:rsidR="00AC2AF2">
        <w:t>.</w:t>
      </w:r>
      <w:r w:rsidR="0028093E">
        <w:t xml:space="preserve">  </w:t>
      </w:r>
      <w:r w:rsidR="00217665" w:rsidRPr="00FC25EC">
        <w:t>This means that he would have to pay h</w:t>
      </w:r>
      <w:r w:rsidR="0028093E">
        <w:t>is</w:t>
      </w:r>
      <w:r w:rsidR="00217665" w:rsidRPr="00FC25EC">
        <w:t xml:space="preserve"> </w:t>
      </w:r>
      <w:r w:rsidR="0028093E">
        <w:t>current</w:t>
      </w:r>
      <w:r w:rsidR="00217665" w:rsidRPr="00FC25EC">
        <w:t xml:space="preserve"> bill</w:t>
      </w:r>
      <w:r w:rsidR="0028093E">
        <w:t xml:space="preserve"> </w:t>
      </w:r>
      <w:r w:rsidR="00217665" w:rsidRPr="00FC25EC">
        <w:t xml:space="preserve">plus </w:t>
      </w:r>
      <w:r w:rsidR="00A920E7" w:rsidRPr="00FC25EC">
        <w:t>1/60</w:t>
      </w:r>
      <w:r w:rsidR="00A920E7" w:rsidRPr="00FC25EC">
        <w:rPr>
          <w:vertAlign w:val="superscript"/>
        </w:rPr>
        <w:t>th</w:t>
      </w:r>
      <w:r w:rsidR="00A920E7" w:rsidRPr="00FC25EC">
        <w:t xml:space="preserve"> of the non-C</w:t>
      </w:r>
      <w:r w:rsidR="0028093E">
        <w:t>R</w:t>
      </w:r>
      <w:r w:rsidR="00A920E7" w:rsidRPr="00FC25EC">
        <w:t>P arrearage</w:t>
      </w:r>
      <w:r w:rsidR="00217665" w:rsidRPr="00FC25EC">
        <w:t xml:space="preserve"> each month for five years to pay off h</w:t>
      </w:r>
      <w:r w:rsidR="0028093E">
        <w:t>is</w:t>
      </w:r>
      <w:r w:rsidR="00217665" w:rsidRPr="00FC25EC">
        <w:t xml:space="preserve"> present </w:t>
      </w:r>
      <w:r w:rsidR="00A920E7" w:rsidRPr="00FC25EC">
        <w:t>non-</w:t>
      </w:r>
      <w:r w:rsidR="0028093E">
        <w:t>CR</w:t>
      </w:r>
      <w:r w:rsidR="00A920E7" w:rsidRPr="00FC25EC">
        <w:t xml:space="preserve">P </w:t>
      </w:r>
      <w:r w:rsidR="005D54FA">
        <w:t>arrearage.</w:t>
      </w:r>
    </w:p>
    <w:p w:rsidR="009952B5" w:rsidRDefault="009952B5" w:rsidP="005A7C8C">
      <w:pPr>
        <w:jc w:val="left"/>
      </w:pPr>
    </w:p>
    <w:p w:rsidR="009D5523" w:rsidRDefault="008C2E6B" w:rsidP="005A7C8C">
      <w:pPr>
        <w:jc w:val="left"/>
      </w:pPr>
      <w:r>
        <w:tab/>
      </w:r>
      <w:r>
        <w:tab/>
        <w:t xml:space="preserve">By way of summary, PGW </w:t>
      </w:r>
      <w:r w:rsidR="007A60E6">
        <w:t xml:space="preserve">is directed to </w:t>
      </w:r>
      <w:r>
        <w:t>calculate the precise CRP arrearage that accrued on the account from the time service was established in the Complainant’s name in October of 2012 until the time the account was removed from the CRP in November of 2013.  Th</w:t>
      </w:r>
      <w:r w:rsidR="0056021B">
        <w:t>e Complainant is responsible for payment of this total and it may not be included as part of a payment arrangement.  PGW will also calculate the total account balance that accrue</w:t>
      </w:r>
      <w:r w:rsidR="009D5523">
        <w:t>d</w:t>
      </w:r>
      <w:r w:rsidR="0056021B">
        <w:t xml:space="preserve"> on the account after the account was removed from PGW’s CRP.</w:t>
      </w:r>
      <w:r w:rsidR="009D5523">
        <w:t xml:space="preserve">  This amount, plus the balance that was transferred to the Complainant’s account from his mother’s account, will be the subject of a payment arrangement whereby the Complainant will be required to pay his current charges plus an amount equal to 1/60</w:t>
      </w:r>
      <w:r w:rsidR="009D5523" w:rsidRPr="009D5523">
        <w:rPr>
          <w:vertAlign w:val="superscript"/>
        </w:rPr>
        <w:t>th</w:t>
      </w:r>
      <w:r w:rsidR="009D5523">
        <w:t xml:space="preserve"> of the total outstanding balance each month.</w:t>
      </w:r>
      <w:r w:rsidR="0031136C">
        <w:t xml:space="preserve">  </w:t>
      </w:r>
    </w:p>
    <w:p w:rsidR="0031136C" w:rsidRDefault="0031136C" w:rsidP="005A7C8C">
      <w:pPr>
        <w:jc w:val="left"/>
      </w:pPr>
    </w:p>
    <w:p w:rsidR="001C5D15" w:rsidRDefault="009D5523" w:rsidP="005A7C8C">
      <w:pPr>
        <w:jc w:val="left"/>
      </w:pPr>
      <w:r>
        <w:tab/>
      </w:r>
      <w:r>
        <w:tab/>
        <w:t xml:space="preserve">I note here that PGW described during the hearing two </w:t>
      </w:r>
      <w:r w:rsidR="0031136C">
        <w:t xml:space="preserve">options </w:t>
      </w:r>
      <w:r>
        <w:t>available to the Complainant for payment of the outstanding balance on the account.  The first was for the Complainant to re-enroll in the CRP by making an initial payment of $3,642.33 and presenting proof of his income</w:t>
      </w:r>
      <w:r w:rsidR="0031136C">
        <w:t xml:space="preserve"> to PGW.  His monthly payments would again be based on his income, rather than on his actual usage.  The second option was to enter into a standard payment arrangement whereby the Complainant would make an initial upfront payment of $2,308.23, then pay his budget amount each month plus an additional $146.00 toward the outstanding balance for 60 months.  Tr. 66-68.  I encourage PGW to continue to work with the Complainant to </w:t>
      </w:r>
      <w:r w:rsidR="007018BC">
        <w:t xml:space="preserve">establish a mutually acceptable arrangement for the payment of the outstanding charges on the account, in which case the parties may file a Certificate of Satisfaction.  The payment arrangement described above, however, is the arrangement that will be ordered by the Commission provided no other arrangement is established by the parties.  </w:t>
      </w:r>
    </w:p>
    <w:p w:rsidR="001C5D15" w:rsidRDefault="001C5D15" w:rsidP="005A7C8C">
      <w:pPr>
        <w:jc w:val="left"/>
      </w:pPr>
    </w:p>
    <w:p w:rsidR="008C2E6B" w:rsidRDefault="001C5D15" w:rsidP="005A7C8C">
      <w:pPr>
        <w:jc w:val="left"/>
      </w:pPr>
      <w:r>
        <w:tab/>
      </w:r>
      <w:r>
        <w:tab/>
        <w:t xml:space="preserve">The Complainant is cautioned that failure to make a payment under the </w:t>
      </w:r>
      <w:r w:rsidR="00B33FC3">
        <w:t xml:space="preserve">arrangement ordered herein could result in the Company seeking payment of the entire amount, and that the Commission is barred by law from establishing another payment arrangement, absent a legally recognized change in circumstances.  </w:t>
      </w:r>
      <w:r w:rsidR="0031136C">
        <w:t xml:space="preserve">    </w:t>
      </w:r>
      <w:r w:rsidR="009D5523">
        <w:t xml:space="preserve"> </w:t>
      </w:r>
      <w:r w:rsidR="0056021B">
        <w:t xml:space="preserve">    </w:t>
      </w:r>
      <w:r w:rsidR="008C2E6B">
        <w:t xml:space="preserve">  </w:t>
      </w:r>
    </w:p>
    <w:p w:rsidR="0049668C" w:rsidRDefault="008C2E6B" w:rsidP="005A7C8C">
      <w:pPr>
        <w:jc w:val="left"/>
      </w:pPr>
      <w:r>
        <w:tab/>
      </w:r>
      <w:r w:rsidR="005D54FA">
        <w:t xml:space="preserve">  </w:t>
      </w:r>
    </w:p>
    <w:p w:rsidR="0049668C" w:rsidRDefault="0049668C" w:rsidP="0049668C">
      <w:pPr>
        <w:contextualSpacing/>
        <w:rPr>
          <w:u w:val="single"/>
        </w:rPr>
      </w:pPr>
      <w:r w:rsidRPr="00FC25EC">
        <w:rPr>
          <w:u w:val="single"/>
        </w:rPr>
        <w:t>CONCLUSIONS OF LAW</w:t>
      </w:r>
    </w:p>
    <w:p w:rsidR="00790836" w:rsidRDefault="00790836" w:rsidP="0049668C">
      <w:pPr>
        <w:contextualSpacing/>
        <w:rPr>
          <w:u w:val="single"/>
        </w:rPr>
      </w:pPr>
    </w:p>
    <w:p w:rsidR="00790836" w:rsidRPr="00790836" w:rsidRDefault="00790836" w:rsidP="00790836">
      <w:pPr>
        <w:pStyle w:val="ListParagraph"/>
        <w:numPr>
          <w:ilvl w:val="0"/>
          <w:numId w:val="6"/>
        </w:numPr>
        <w:ind w:left="0" w:firstLine="1440"/>
        <w:jc w:val="both"/>
      </w:pPr>
      <w:r>
        <w:t>The Commission has jurisdiction over the parties to and the subject matter of this proceeding.</w:t>
      </w:r>
    </w:p>
    <w:p w:rsidR="0049668C" w:rsidRPr="00FC25EC" w:rsidRDefault="0049668C" w:rsidP="002B2B5B">
      <w:pPr>
        <w:contextualSpacing/>
        <w:jc w:val="left"/>
      </w:pPr>
    </w:p>
    <w:p w:rsidR="0049668C" w:rsidRPr="00FC25EC" w:rsidRDefault="00790836" w:rsidP="002B2B5B">
      <w:pPr>
        <w:ind w:firstLine="1440"/>
        <w:jc w:val="left"/>
        <w:rPr>
          <w:spacing w:val="-3"/>
        </w:rPr>
      </w:pPr>
      <w:r>
        <w:t>2</w:t>
      </w:r>
      <w:r w:rsidR="0049668C" w:rsidRPr="00FC25EC">
        <w:t>.</w:t>
      </w:r>
      <w:r w:rsidR="0049668C" w:rsidRPr="00FC25EC">
        <w:tab/>
        <w:t>The C</w:t>
      </w:r>
      <w:r w:rsidR="0049668C" w:rsidRPr="00FC25EC">
        <w:rPr>
          <w:spacing w:val="-3"/>
        </w:rPr>
        <w:t xml:space="preserve">omplainant has the burden of showing that the utility is responsible or accountable for the problem described in the Complaint in order to prevail.  </w:t>
      </w:r>
      <w:r w:rsidR="0049668C" w:rsidRPr="00FC25EC">
        <w:rPr>
          <w:i/>
          <w:spacing w:val="-3"/>
        </w:rPr>
        <w:t>Patterson v. Bell Telephone Company of Pennsylvania</w:t>
      </w:r>
      <w:r w:rsidR="0049668C" w:rsidRPr="00FC25EC">
        <w:rPr>
          <w:spacing w:val="-3"/>
        </w:rPr>
        <w:t xml:space="preserve">, 72 Pa. PUC 196 (1990); </w:t>
      </w:r>
      <w:r w:rsidR="0049668C" w:rsidRPr="00FC25EC">
        <w:rPr>
          <w:i/>
          <w:spacing w:val="-3"/>
        </w:rPr>
        <w:t>Feinstein v. Philadelphia Suburban Water Company</w:t>
      </w:r>
      <w:r w:rsidR="0049668C" w:rsidRPr="00FC25EC">
        <w:rPr>
          <w:spacing w:val="-3"/>
        </w:rPr>
        <w:t xml:space="preserve">, 50 Pa. PUC 300 (1976).  This must be shown by a preponderance of the evidence.  </w:t>
      </w:r>
      <w:r w:rsidR="0049668C" w:rsidRPr="00FC25EC">
        <w:rPr>
          <w:i/>
          <w:spacing w:val="-3"/>
        </w:rPr>
        <w:t>Samuel J. Lansberry, Inc. v. PA Pub</w:t>
      </w:r>
      <w:r w:rsidR="007A60E6">
        <w:rPr>
          <w:i/>
          <w:spacing w:val="-3"/>
        </w:rPr>
        <w:t xml:space="preserve">. </w:t>
      </w:r>
      <w:r w:rsidR="0049668C" w:rsidRPr="00FC25EC">
        <w:rPr>
          <w:i/>
          <w:spacing w:val="-3"/>
        </w:rPr>
        <w:t>Util</w:t>
      </w:r>
      <w:r w:rsidR="007A60E6">
        <w:rPr>
          <w:i/>
          <w:spacing w:val="-3"/>
        </w:rPr>
        <w:t xml:space="preserve">. </w:t>
      </w:r>
      <w:r w:rsidR="0049668C" w:rsidRPr="00FC25EC">
        <w:rPr>
          <w:i/>
          <w:spacing w:val="-3"/>
        </w:rPr>
        <w:t>Comm’n</w:t>
      </w:r>
      <w:r w:rsidR="0049668C" w:rsidRPr="00FC25EC">
        <w:rPr>
          <w:spacing w:val="-3"/>
        </w:rPr>
        <w:t xml:space="preserve">, 578 A.2d 600 (Pa.Cmwlth.1990), </w:t>
      </w:r>
      <w:r w:rsidR="0049668C" w:rsidRPr="00FC25EC">
        <w:rPr>
          <w:i/>
          <w:spacing w:val="-3"/>
        </w:rPr>
        <w:t>alloc. den.</w:t>
      </w:r>
      <w:r w:rsidR="0049668C" w:rsidRPr="00FC25EC">
        <w:rPr>
          <w:spacing w:val="-3"/>
        </w:rPr>
        <w:t xml:space="preserve">, 529 A.2d 654, 602 A.2d 863 (1992).  That is, by presenting evidence more convincing, by even the smallest amount, than that presented by the other party.  </w:t>
      </w:r>
      <w:r w:rsidR="0049668C" w:rsidRPr="00FC25EC">
        <w:rPr>
          <w:i/>
          <w:spacing w:val="-3"/>
        </w:rPr>
        <w:t>Se-Ling Hosiery v. Margulies</w:t>
      </w:r>
      <w:r w:rsidR="0049668C" w:rsidRPr="00FC25EC">
        <w:rPr>
          <w:spacing w:val="-3"/>
        </w:rPr>
        <w:t>, 3</w:t>
      </w:r>
      <w:r w:rsidR="008E524D">
        <w:rPr>
          <w:spacing w:val="-3"/>
        </w:rPr>
        <w:t>64 Pa. 45, 70 A.2d 854 (1950).</w:t>
      </w:r>
    </w:p>
    <w:p w:rsidR="0049668C" w:rsidRPr="00FC25EC" w:rsidRDefault="0049668C" w:rsidP="002B2B5B">
      <w:pPr>
        <w:ind w:firstLine="1440"/>
        <w:jc w:val="left"/>
        <w:rPr>
          <w:spacing w:val="-3"/>
        </w:rPr>
      </w:pPr>
    </w:p>
    <w:p w:rsidR="0049668C" w:rsidRPr="00FC25EC" w:rsidRDefault="00790836" w:rsidP="002B2B5B">
      <w:pPr>
        <w:ind w:firstLine="1440"/>
        <w:jc w:val="left"/>
        <w:rPr>
          <w:spacing w:val="-3"/>
        </w:rPr>
      </w:pPr>
      <w:r>
        <w:rPr>
          <w:spacing w:val="-3"/>
        </w:rPr>
        <w:t>3</w:t>
      </w:r>
      <w:r w:rsidR="0049668C" w:rsidRPr="00FC25EC">
        <w:rPr>
          <w:spacing w:val="-3"/>
        </w:rPr>
        <w:t>.</w:t>
      </w:r>
      <w:r w:rsidR="0049668C" w:rsidRPr="00FC25EC">
        <w:rPr>
          <w:spacing w:val="-3"/>
        </w:rPr>
        <w:tab/>
        <w:t xml:space="preserve">Any finding of fact necessary to support the Commission’s adjudication must be based upon substantial evidence.  </w:t>
      </w:r>
      <w:r w:rsidR="0049668C" w:rsidRPr="00FC25EC">
        <w:rPr>
          <w:i/>
          <w:spacing w:val="-3"/>
        </w:rPr>
        <w:t>Mill v. Comm’w., PA Pub</w:t>
      </w:r>
      <w:r w:rsidR="007A60E6">
        <w:rPr>
          <w:i/>
          <w:spacing w:val="-3"/>
        </w:rPr>
        <w:t xml:space="preserve">. </w:t>
      </w:r>
      <w:r w:rsidR="0049668C" w:rsidRPr="00FC25EC">
        <w:rPr>
          <w:i/>
          <w:spacing w:val="-3"/>
        </w:rPr>
        <w:t>Util</w:t>
      </w:r>
      <w:r w:rsidR="007A60E6">
        <w:rPr>
          <w:i/>
          <w:spacing w:val="-3"/>
        </w:rPr>
        <w:t xml:space="preserve">. </w:t>
      </w:r>
      <w:r w:rsidR="0049668C" w:rsidRPr="00FC25EC">
        <w:rPr>
          <w:i/>
          <w:spacing w:val="-3"/>
        </w:rPr>
        <w:t>Comm’n</w:t>
      </w:r>
      <w:r w:rsidR="00C62291">
        <w:rPr>
          <w:spacing w:val="-3"/>
        </w:rPr>
        <w:t>, 447 A.2d </w:t>
      </w:r>
      <w:r w:rsidR="0049668C" w:rsidRPr="00FC25EC">
        <w:rPr>
          <w:spacing w:val="-3"/>
        </w:rPr>
        <w:t xml:space="preserve">1100 (Pa.Cmwlth.1982); </w:t>
      </w:r>
      <w:r w:rsidR="0049668C" w:rsidRPr="00FC25EC">
        <w:rPr>
          <w:i/>
          <w:spacing w:val="-3"/>
        </w:rPr>
        <w:t>Edan Transportation Corp. v. PA Pub</w:t>
      </w:r>
      <w:r w:rsidR="007A60E6">
        <w:rPr>
          <w:i/>
          <w:spacing w:val="-3"/>
        </w:rPr>
        <w:t xml:space="preserve">. </w:t>
      </w:r>
      <w:r w:rsidR="0049668C" w:rsidRPr="00FC25EC">
        <w:rPr>
          <w:i/>
          <w:spacing w:val="-3"/>
        </w:rPr>
        <w:t>Util</w:t>
      </w:r>
      <w:r w:rsidR="007A60E6">
        <w:rPr>
          <w:i/>
          <w:spacing w:val="-3"/>
        </w:rPr>
        <w:t xml:space="preserve">. </w:t>
      </w:r>
      <w:r w:rsidR="0049668C" w:rsidRPr="00FC25EC">
        <w:rPr>
          <w:i/>
          <w:spacing w:val="-3"/>
        </w:rPr>
        <w:t>Comm’n,</w:t>
      </w:r>
      <w:r w:rsidR="00D342C7">
        <w:rPr>
          <w:spacing w:val="-3"/>
        </w:rPr>
        <w:t xml:space="preserve"> 623 A.2d </w:t>
      </w:r>
      <w:r w:rsidR="0049668C" w:rsidRPr="00FC25EC">
        <w:rPr>
          <w:spacing w:val="-3"/>
        </w:rPr>
        <w:t xml:space="preserve">6 (Pa. Cmwlth.1993), 2 Pa.C.S. §704.  More is required than a mere trace of evidence or a suspicion of the existence of a fact sought to be established.  </w:t>
      </w:r>
      <w:r w:rsidR="0049668C" w:rsidRPr="00FC25EC">
        <w:rPr>
          <w:i/>
          <w:spacing w:val="-3"/>
        </w:rPr>
        <w:t>Norfolk and Western Ry. v. PA Pub</w:t>
      </w:r>
      <w:r w:rsidR="007A60E6">
        <w:rPr>
          <w:i/>
          <w:spacing w:val="-3"/>
        </w:rPr>
        <w:t xml:space="preserve">. </w:t>
      </w:r>
      <w:r w:rsidR="0049668C" w:rsidRPr="00FC25EC">
        <w:rPr>
          <w:i/>
          <w:spacing w:val="-3"/>
        </w:rPr>
        <w:t>Util</w:t>
      </w:r>
      <w:r w:rsidR="007A60E6">
        <w:rPr>
          <w:i/>
          <w:spacing w:val="-3"/>
        </w:rPr>
        <w:t xml:space="preserve">. </w:t>
      </w:r>
      <w:r w:rsidR="0049668C" w:rsidRPr="00FC25EC">
        <w:rPr>
          <w:i/>
          <w:spacing w:val="-3"/>
        </w:rPr>
        <w:t>Comm’n</w:t>
      </w:r>
      <w:r w:rsidR="0049668C" w:rsidRPr="00FC25EC">
        <w:rPr>
          <w:spacing w:val="-3"/>
        </w:rPr>
        <w:t xml:space="preserve">, 489 Pa. 109, 413 A.2d 1037 (1980); </w:t>
      </w:r>
      <w:r w:rsidR="0049668C" w:rsidRPr="00FC25EC">
        <w:rPr>
          <w:i/>
          <w:spacing w:val="-3"/>
        </w:rPr>
        <w:t>Erie Resistor Corp. v. Unemployment Compensation Bd. of Review</w:t>
      </w:r>
      <w:r w:rsidR="0049668C" w:rsidRPr="00FC25EC">
        <w:rPr>
          <w:spacing w:val="-3"/>
        </w:rPr>
        <w:t xml:space="preserve">, 166 A.2d 96 (Pa.Super.1960); </w:t>
      </w:r>
      <w:r w:rsidR="0049668C" w:rsidRPr="00FC25EC">
        <w:rPr>
          <w:i/>
          <w:spacing w:val="-3"/>
        </w:rPr>
        <w:t>Murphy v. Commonwealth, Dep’t. of Public Welfare, White Haven Center</w:t>
      </w:r>
      <w:r w:rsidR="0049668C" w:rsidRPr="00FC25EC">
        <w:rPr>
          <w:spacing w:val="-3"/>
        </w:rPr>
        <w:t>, 480 A.2d 382 (Pa.Cmwlth.1984).</w:t>
      </w:r>
    </w:p>
    <w:p w:rsidR="0049668C" w:rsidRPr="00FC25EC" w:rsidRDefault="0049668C" w:rsidP="002B2B5B">
      <w:pPr>
        <w:ind w:firstLine="1440"/>
        <w:jc w:val="left"/>
        <w:rPr>
          <w:spacing w:val="-3"/>
        </w:rPr>
      </w:pPr>
    </w:p>
    <w:p w:rsidR="0049668C" w:rsidRDefault="0049668C" w:rsidP="002B2B5B">
      <w:pPr>
        <w:jc w:val="left"/>
      </w:pPr>
      <w:r w:rsidRPr="00FC25EC">
        <w:tab/>
      </w:r>
      <w:r w:rsidRPr="00FC25EC">
        <w:tab/>
      </w:r>
      <w:r w:rsidR="00790836">
        <w:t>4</w:t>
      </w:r>
      <w:r w:rsidRPr="00FC25EC">
        <w:t>.</w:t>
      </w:r>
      <w:r w:rsidRPr="00FC25EC">
        <w:tab/>
        <w:t>The offense must be a violation of the Public Utility Code, the Commission’s regulations, or an outstanding order of the C</w:t>
      </w:r>
      <w:r w:rsidR="004700FD">
        <w:t>ommission.  66 Pa.C.S. § 701.</w:t>
      </w:r>
    </w:p>
    <w:p w:rsidR="00B33FC3" w:rsidRPr="00FC25EC" w:rsidRDefault="00B33FC3" w:rsidP="002B2B5B">
      <w:pPr>
        <w:jc w:val="left"/>
      </w:pPr>
    </w:p>
    <w:p w:rsidR="00B33FC3" w:rsidRDefault="00B33FC3" w:rsidP="00790836">
      <w:pPr>
        <w:pStyle w:val="ListParagraph"/>
        <w:numPr>
          <w:ilvl w:val="0"/>
          <w:numId w:val="7"/>
        </w:numPr>
        <w:ind w:left="0" w:firstLine="1440"/>
        <w:jc w:val="left"/>
      </w:pPr>
      <w:r>
        <w:t>A public utility may require the payment of any outstanding balance or portion of an outstanding balance if the applicant or customer resided at the property for which service is requested during the time the outstanding balance accrued and for the time the applicant or customer resided there</w:t>
      </w:r>
      <w:r w:rsidR="006B4003">
        <w:t xml:space="preserve">, </w:t>
      </w:r>
      <w:r w:rsidR="00EE4F3B">
        <w:t xml:space="preserve">for a period of time not exceeding </w:t>
      </w:r>
      <w:r w:rsidR="006B4003">
        <w:t>4 years from the date of the request.</w:t>
      </w:r>
      <w:r>
        <w:t xml:space="preserve">  52 Pa.Code §56.191</w:t>
      </w:r>
      <w:r w:rsidR="00BE44B6">
        <w:t xml:space="preserve">.  </w:t>
      </w:r>
    </w:p>
    <w:p w:rsidR="00B33FC3" w:rsidRDefault="00B33FC3" w:rsidP="002B2B5B">
      <w:pPr>
        <w:jc w:val="left"/>
      </w:pPr>
    </w:p>
    <w:p w:rsidR="00BE44B6" w:rsidRPr="00790836" w:rsidRDefault="006B4003" w:rsidP="006B4003">
      <w:pPr>
        <w:pStyle w:val="ListParagraph"/>
        <w:ind w:left="0" w:firstLine="1440"/>
        <w:jc w:val="left"/>
        <w:rPr>
          <w:b/>
        </w:rPr>
      </w:pPr>
      <w:r>
        <w:t xml:space="preserve">6. </w:t>
      </w:r>
      <w:r>
        <w:tab/>
      </w:r>
      <w:r w:rsidR="00BE44B6">
        <w:t xml:space="preserve">The Commission is authorized to investigate complaints regarding payment disputes between a public utility, applicants and customers.  The </w:t>
      </w:r>
      <w:r w:rsidR="00F10DE0">
        <w:t>C</w:t>
      </w:r>
      <w:r w:rsidR="00BE44B6">
        <w:t>ommission is authorized to establish payment arrangements between a public utility, customers and applicants within the limits established by this chapter.  66 Pa.C.S. §1405(a).</w:t>
      </w:r>
    </w:p>
    <w:p w:rsidR="00BE44B6" w:rsidRPr="00BE44B6" w:rsidRDefault="00BE44B6" w:rsidP="002B2B5B">
      <w:pPr>
        <w:pStyle w:val="ListParagraph"/>
        <w:ind w:left="0"/>
        <w:jc w:val="left"/>
        <w:rPr>
          <w:b/>
        </w:rPr>
      </w:pPr>
    </w:p>
    <w:p w:rsidR="00BE44B6" w:rsidRDefault="00BE44B6" w:rsidP="006B4003">
      <w:pPr>
        <w:pStyle w:val="ListParagraph"/>
        <w:numPr>
          <w:ilvl w:val="0"/>
          <w:numId w:val="9"/>
        </w:numPr>
        <w:ind w:left="0" w:firstLine="1440"/>
        <w:jc w:val="left"/>
      </w:pPr>
      <w:r>
        <w:t xml:space="preserve">The length of time for a customer to resolve an unpaid balance on an account that is subject to a payment arrangement that is investigated by the </w:t>
      </w:r>
      <w:r w:rsidR="00F10DE0">
        <w:t>C</w:t>
      </w:r>
      <w:r>
        <w:t>ommission and is entered into by a public utility and a customer shall not extend beyond five years for customers with a gross monthly household income level not exceeding 150% of the Federal poverty level.  66 Pa.C.S. §1405(b)(1).</w:t>
      </w:r>
    </w:p>
    <w:p w:rsidR="00BE44B6" w:rsidRDefault="00BE44B6" w:rsidP="002B2B5B">
      <w:pPr>
        <w:jc w:val="left"/>
      </w:pPr>
    </w:p>
    <w:p w:rsidR="00BE44B6" w:rsidRPr="006B4003" w:rsidRDefault="00BE44B6" w:rsidP="006B4003">
      <w:pPr>
        <w:pStyle w:val="ListParagraph"/>
        <w:numPr>
          <w:ilvl w:val="0"/>
          <w:numId w:val="8"/>
        </w:numPr>
        <w:ind w:left="0" w:firstLine="1440"/>
        <w:jc w:val="left"/>
        <w:rPr>
          <w:b/>
        </w:rPr>
      </w:pPr>
      <w:r>
        <w:t xml:space="preserve">Customer assistance program rates shall be timely paid and shall not be the subject of payment arrangements negotiated or approved by the </w:t>
      </w:r>
      <w:r w:rsidR="00F10DE0">
        <w:t>C</w:t>
      </w:r>
      <w:r>
        <w:t>ommission.</w:t>
      </w:r>
      <w:r w:rsidRPr="00BE44B6">
        <w:t xml:space="preserve"> </w:t>
      </w:r>
      <w:r>
        <w:t xml:space="preserve">66 Pa.C.S. §1405(c).    </w:t>
      </w:r>
    </w:p>
    <w:p w:rsidR="00BE44B6" w:rsidRDefault="00BE44B6" w:rsidP="002B2B5B">
      <w:pPr>
        <w:jc w:val="left"/>
      </w:pPr>
    </w:p>
    <w:p w:rsidR="00BE44B6" w:rsidRPr="006B4003" w:rsidRDefault="00BE44B6" w:rsidP="006B4003">
      <w:pPr>
        <w:pStyle w:val="ListParagraph"/>
        <w:numPr>
          <w:ilvl w:val="0"/>
          <w:numId w:val="8"/>
        </w:numPr>
        <w:ind w:left="0" w:firstLine="1440"/>
        <w:jc w:val="left"/>
        <w:rPr>
          <w:b/>
        </w:rPr>
      </w:pPr>
      <w:r>
        <w:t xml:space="preserve">Absent a change in income, the </w:t>
      </w:r>
      <w:r w:rsidR="00F10DE0">
        <w:t>C</w:t>
      </w:r>
      <w:r>
        <w:t xml:space="preserve">ommission shall not establish or order a public utility to establish a second or subsequent payment arrangement if a customer has defaulted on the previous payment arrangement established by a </w:t>
      </w:r>
      <w:r w:rsidR="00F10DE0">
        <w:t>C</w:t>
      </w:r>
      <w:r>
        <w:t>ommission order or decision.  A public utility may, at its discretion, enter into a second or subsequent payment arrangement with a customer.   66 Pa.C.S. §1405(d)</w:t>
      </w:r>
      <w:r w:rsidR="001846A6">
        <w:t>.</w:t>
      </w:r>
      <w:r>
        <w:t xml:space="preserve"> </w:t>
      </w:r>
    </w:p>
    <w:p w:rsidR="0049668C" w:rsidRDefault="0049668C" w:rsidP="002B2B5B">
      <w:pPr>
        <w:pStyle w:val="ListParagraph"/>
        <w:ind w:left="0"/>
        <w:jc w:val="left"/>
      </w:pPr>
    </w:p>
    <w:p w:rsidR="00790836" w:rsidRDefault="00790836" w:rsidP="002B2B5B">
      <w:pPr>
        <w:pStyle w:val="ListParagraph"/>
        <w:ind w:left="0"/>
        <w:jc w:val="left"/>
      </w:pPr>
    </w:p>
    <w:p w:rsidR="00790836" w:rsidRDefault="00790836" w:rsidP="002B2B5B">
      <w:pPr>
        <w:pStyle w:val="ListParagraph"/>
        <w:ind w:left="0"/>
        <w:jc w:val="left"/>
      </w:pPr>
    </w:p>
    <w:p w:rsidR="00790836" w:rsidRDefault="00790836" w:rsidP="002B2B5B">
      <w:pPr>
        <w:pStyle w:val="ListParagraph"/>
        <w:ind w:left="0"/>
        <w:jc w:val="left"/>
      </w:pPr>
    </w:p>
    <w:p w:rsidR="00790836" w:rsidRPr="00FC25EC" w:rsidRDefault="00790836" w:rsidP="002B2B5B">
      <w:pPr>
        <w:pStyle w:val="ListParagraph"/>
        <w:ind w:left="0"/>
        <w:jc w:val="left"/>
      </w:pPr>
    </w:p>
    <w:p w:rsidR="0049668C" w:rsidRPr="002B2B5B" w:rsidRDefault="0049668C" w:rsidP="0049668C">
      <w:pPr>
        <w:spacing w:before="100" w:beforeAutospacing="1" w:after="100" w:afterAutospacing="1"/>
        <w:contextualSpacing/>
        <w:rPr>
          <w:u w:val="single"/>
        </w:rPr>
      </w:pPr>
      <w:r w:rsidRPr="002B2B5B">
        <w:rPr>
          <w:u w:val="single"/>
        </w:rPr>
        <w:t>ORDER</w:t>
      </w:r>
    </w:p>
    <w:p w:rsidR="00700C65" w:rsidRDefault="00700C65" w:rsidP="002B2B5B">
      <w:pPr>
        <w:contextualSpacing/>
        <w:jc w:val="left"/>
      </w:pPr>
    </w:p>
    <w:p w:rsidR="005157A2" w:rsidRPr="00FC25EC" w:rsidRDefault="005157A2" w:rsidP="002B2B5B">
      <w:pPr>
        <w:contextualSpacing/>
        <w:jc w:val="left"/>
      </w:pPr>
    </w:p>
    <w:p w:rsidR="005A7C8C" w:rsidRPr="00FC25EC" w:rsidRDefault="005A7C8C" w:rsidP="002B2B5B">
      <w:pPr>
        <w:contextualSpacing/>
        <w:jc w:val="left"/>
      </w:pPr>
      <w:r w:rsidRPr="00FC25EC">
        <w:tab/>
      </w:r>
      <w:r w:rsidRPr="00FC25EC">
        <w:tab/>
        <w:t>THEREFORE,</w:t>
      </w:r>
    </w:p>
    <w:p w:rsidR="005A7C8C" w:rsidRPr="00FC25EC" w:rsidRDefault="005A7C8C" w:rsidP="002B2B5B">
      <w:pPr>
        <w:contextualSpacing/>
        <w:jc w:val="left"/>
      </w:pPr>
    </w:p>
    <w:p w:rsidR="005A7C8C" w:rsidRPr="00FC25EC" w:rsidRDefault="005A7C8C" w:rsidP="002B2B5B">
      <w:pPr>
        <w:contextualSpacing/>
        <w:jc w:val="left"/>
      </w:pPr>
      <w:r w:rsidRPr="00FC25EC">
        <w:tab/>
      </w:r>
      <w:r w:rsidRPr="00FC25EC">
        <w:tab/>
        <w:t>IT IS ORDERED:</w:t>
      </w:r>
    </w:p>
    <w:p w:rsidR="005A7C8C" w:rsidRPr="00FC25EC" w:rsidRDefault="005A7C8C" w:rsidP="002B2B5B">
      <w:pPr>
        <w:contextualSpacing/>
        <w:jc w:val="left"/>
      </w:pPr>
    </w:p>
    <w:p w:rsidR="005A7C8C" w:rsidRPr="00FC25EC" w:rsidRDefault="005A7C8C" w:rsidP="002B2B5B">
      <w:pPr>
        <w:contextualSpacing/>
        <w:jc w:val="left"/>
      </w:pPr>
      <w:r w:rsidRPr="00FC25EC">
        <w:tab/>
      </w:r>
      <w:r w:rsidRPr="00FC25EC">
        <w:tab/>
        <w:t>1.</w:t>
      </w:r>
      <w:r w:rsidRPr="00FC25EC">
        <w:tab/>
        <w:t xml:space="preserve">That the </w:t>
      </w:r>
      <w:r w:rsidR="00DF7975" w:rsidRPr="00FC25EC">
        <w:t>Complaint</w:t>
      </w:r>
      <w:r w:rsidRPr="00FC25EC">
        <w:t xml:space="preserve"> filed in the </w:t>
      </w:r>
      <w:r w:rsidR="001846A6">
        <w:t xml:space="preserve">matter </w:t>
      </w:r>
      <w:r w:rsidR="001846A6" w:rsidRPr="0006793A">
        <w:t>of Frederick Smith</w:t>
      </w:r>
      <w:r w:rsidRPr="0006793A">
        <w:t xml:space="preserve"> v. </w:t>
      </w:r>
      <w:r w:rsidR="001846A6" w:rsidRPr="0006793A">
        <w:t>Philadelphia Gas Works</w:t>
      </w:r>
      <w:r w:rsidR="00DF7975" w:rsidRPr="0006793A">
        <w:t>, Docket No. C-201</w:t>
      </w:r>
      <w:r w:rsidR="001846A6" w:rsidRPr="0006793A">
        <w:t>5</w:t>
      </w:r>
      <w:r w:rsidR="00DF7975" w:rsidRPr="0006793A">
        <w:t>-2</w:t>
      </w:r>
      <w:r w:rsidR="001846A6" w:rsidRPr="0006793A">
        <w:t>477788</w:t>
      </w:r>
      <w:r w:rsidR="00DF7975" w:rsidRPr="0006793A">
        <w:t xml:space="preserve"> </w:t>
      </w:r>
      <w:r w:rsidR="001846A6" w:rsidRPr="0006793A">
        <w:t>is d</w:t>
      </w:r>
      <w:r w:rsidR="00790836" w:rsidRPr="0006793A">
        <w:t xml:space="preserve">enied </w:t>
      </w:r>
      <w:r w:rsidRPr="0006793A">
        <w:t xml:space="preserve">insofar as </w:t>
      </w:r>
      <w:r w:rsidR="001846A6" w:rsidRPr="0006793A">
        <w:t>it seeks a finding that the transfer</w:t>
      </w:r>
      <w:r w:rsidR="001846A6">
        <w:t xml:space="preserve"> of the Complainant’s mother’s balance to his account was improper or illegal.  </w:t>
      </w:r>
    </w:p>
    <w:p w:rsidR="005A7C8C" w:rsidRPr="00FC25EC" w:rsidRDefault="005A7C8C" w:rsidP="002B2B5B">
      <w:pPr>
        <w:contextualSpacing/>
        <w:jc w:val="left"/>
      </w:pPr>
    </w:p>
    <w:p w:rsidR="005A7C8C" w:rsidRDefault="005A7C8C" w:rsidP="002B2B5B">
      <w:pPr>
        <w:contextualSpacing/>
        <w:jc w:val="left"/>
      </w:pPr>
      <w:r w:rsidRPr="00FC25EC">
        <w:tab/>
      </w:r>
      <w:r w:rsidRPr="00FC25EC">
        <w:tab/>
        <w:t>2.</w:t>
      </w:r>
      <w:r w:rsidRPr="00FC25EC">
        <w:tab/>
      </w:r>
      <w:r w:rsidR="001846A6" w:rsidRPr="00FC25EC">
        <w:t xml:space="preserve">That the Complaint filed in the </w:t>
      </w:r>
      <w:r w:rsidR="001846A6">
        <w:t xml:space="preserve">matter of </w:t>
      </w:r>
      <w:r w:rsidR="001846A6" w:rsidRPr="0006793A">
        <w:t>Frederick Smith v. Philadelphia Gas Works, Docket No. C-2015-2477788 is granted insofar as it seeks the establishment of a Commission-</w:t>
      </w:r>
      <w:r w:rsidR="00F10DE0" w:rsidRPr="0006793A">
        <w:t>order</w:t>
      </w:r>
      <w:r w:rsidR="001846A6" w:rsidRPr="0006793A">
        <w:t>ed payment agreement for the account’s non-CR</w:t>
      </w:r>
      <w:r w:rsidR="001846A6">
        <w:t xml:space="preserve">P arrears. </w:t>
      </w:r>
    </w:p>
    <w:p w:rsidR="001846A6" w:rsidRDefault="001846A6" w:rsidP="002B2B5B">
      <w:pPr>
        <w:contextualSpacing/>
        <w:jc w:val="left"/>
      </w:pPr>
    </w:p>
    <w:p w:rsidR="00517445" w:rsidRDefault="001846A6" w:rsidP="002B2B5B">
      <w:pPr>
        <w:pStyle w:val="ListParagraph"/>
        <w:numPr>
          <w:ilvl w:val="0"/>
          <w:numId w:val="1"/>
        </w:numPr>
        <w:ind w:left="0" w:firstLine="1440"/>
        <w:jc w:val="left"/>
      </w:pPr>
      <w:r>
        <w:t xml:space="preserve">That within </w:t>
      </w:r>
      <w:r w:rsidR="007A60E6">
        <w:t xml:space="preserve">30 days of a final Commission </w:t>
      </w:r>
      <w:r w:rsidR="000A1CD5">
        <w:t>O</w:t>
      </w:r>
      <w:r w:rsidR="007A60E6">
        <w:t xml:space="preserve">rder in this proceeding, PGW shall establish the exact terms of a payment arrangement by </w:t>
      </w:r>
      <w:r w:rsidR="00360E3C">
        <w:t xml:space="preserve">calculating and </w:t>
      </w:r>
      <w:r w:rsidR="007A60E6">
        <w:t xml:space="preserve">subtracting the amount that accrued when Frederick Smith was charged rates under the customer </w:t>
      </w:r>
      <w:r w:rsidR="000A1CD5">
        <w:t xml:space="preserve">responsibility program from the total arrearage to determine the amount subject to a payment arrangement, and then divide this amount by 60. </w:t>
      </w:r>
    </w:p>
    <w:p w:rsidR="00517445" w:rsidRDefault="00517445" w:rsidP="00517445">
      <w:pPr>
        <w:jc w:val="left"/>
      </w:pPr>
    </w:p>
    <w:p w:rsidR="00DF7975" w:rsidRPr="00FC25EC" w:rsidRDefault="00DF7975" w:rsidP="002B2B5B">
      <w:pPr>
        <w:contextualSpacing/>
        <w:jc w:val="left"/>
      </w:pPr>
      <w:r w:rsidRPr="00FC25EC">
        <w:tab/>
      </w:r>
      <w:r w:rsidRPr="00FC25EC">
        <w:tab/>
      </w:r>
      <w:r w:rsidR="00360E3C">
        <w:t>4</w:t>
      </w:r>
      <w:r w:rsidRPr="00FC25EC">
        <w:t>.</w:t>
      </w:r>
      <w:r w:rsidRPr="00FC25EC">
        <w:tab/>
        <w:t xml:space="preserve">That </w:t>
      </w:r>
      <w:r w:rsidR="00474D33">
        <w:t>beginning with the first bill</w:t>
      </w:r>
      <w:r w:rsidR="000A1CD5">
        <w:t xml:space="preserve"> issued after </w:t>
      </w:r>
      <w:r w:rsidR="00474D33">
        <w:t xml:space="preserve">the entry of the final Commission Order in this case, </w:t>
      </w:r>
      <w:r w:rsidR="001846A6">
        <w:t>Philadelphia Gas Works</w:t>
      </w:r>
      <w:r w:rsidRPr="00FC25EC">
        <w:t xml:space="preserve"> shall bill </w:t>
      </w:r>
      <w:r w:rsidR="001846A6">
        <w:t>Frederick Smith</w:t>
      </w:r>
      <w:r w:rsidRPr="00FC25EC">
        <w:t xml:space="preserve"> for </w:t>
      </w:r>
      <w:r w:rsidR="001846A6">
        <w:t>his</w:t>
      </w:r>
      <w:r w:rsidRPr="00FC25EC">
        <w:t xml:space="preserve"> normal monthly usage plus 1/60 of </w:t>
      </w:r>
      <w:r w:rsidR="001846A6">
        <w:t>the</w:t>
      </w:r>
      <w:r w:rsidRPr="00FC25EC">
        <w:t xml:space="preserve"> </w:t>
      </w:r>
      <w:r w:rsidR="001846A6">
        <w:t xml:space="preserve">total </w:t>
      </w:r>
      <w:r w:rsidRPr="00FC25EC">
        <w:t>non-</w:t>
      </w:r>
      <w:r w:rsidR="001846A6">
        <w:t>CR</w:t>
      </w:r>
      <w:r w:rsidRPr="00FC25EC">
        <w:t>P arrearage until the arrearage is paid off.</w:t>
      </w:r>
    </w:p>
    <w:p w:rsidR="00DF7975" w:rsidRPr="00FC25EC" w:rsidRDefault="00DF7975" w:rsidP="002B2B5B">
      <w:pPr>
        <w:contextualSpacing/>
        <w:jc w:val="left"/>
      </w:pPr>
    </w:p>
    <w:p w:rsidR="00DF7975" w:rsidRPr="00FC25EC" w:rsidRDefault="00DF7975" w:rsidP="002B2B5B">
      <w:pPr>
        <w:contextualSpacing/>
        <w:jc w:val="left"/>
      </w:pPr>
      <w:r w:rsidRPr="00FC25EC">
        <w:tab/>
      </w:r>
      <w:r w:rsidRPr="00FC25EC">
        <w:tab/>
      </w:r>
      <w:r w:rsidR="00360E3C">
        <w:t>5</w:t>
      </w:r>
      <w:r w:rsidR="00D52C8D" w:rsidRPr="00FC25EC">
        <w:t>.</w:t>
      </w:r>
      <w:r w:rsidR="00D52C8D" w:rsidRPr="00FC25EC">
        <w:tab/>
        <w:t xml:space="preserve">That </w:t>
      </w:r>
      <w:r w:rsidRPr="00FC25EC">
        <w:t>the Secretary mark th</w:t>
      </w:r>
      <w:r w:rsidR="00203098">
        <w:t>is</w:t>
      </w:r>
      <w:r w:rsidRPr="00FC25EC">
        <w:t xml:space="preserve"> docket closed.</w:t>
      </w:r>
    </w:p>
    <w:p w:rsidR="00DF7975" w:rsidRPr="00FC25EC" w:rsidRDefault="00DF7975" w:rsidP="002B2B5B">
      <w:pPr>
        <w:contextualSpacing/>
        <w:jc w:val="left"/>
      </w:pPr>
    </w:p>
    <w:p w:rsidR="005A7C8C" w:rsidRPr="00FC25EC" w:rsidRDefault="005A7C8C" w:rsidP="002B2B5B">
      <w:pPr>
        <w:contextualSpacing/>
        <w:jc w:val="left"/>
      </w:pPr>
    </w:p>
    <w:p w:rsidR="005A7C8C" w:rsidRPr="00FC25EC" w:rsidRDefault="005A7C8C" w:rsidP="005A7C8C">
      <w:pPr>
        <w:spacing w:line="240" w:lineRule="auto"/>
        <w:contextualSpacing/>
        <w:jc w:val="left"/>
      </w:pPr>
      <w:r w:rsidRPr="00FC25EC">
        <w:t>Dated:</w:t>
      </w:r>
      <w:r w:rsidRPr="00FC25EC">
        <w:tab/>
      </w:r>
      <w:r w:rsidR="00203098" w:rsidRPr="00203098">
        <w:rPr>
          <w:u w:val="single"/>
        </w:rPr>
        <w:t>November 3, 2015</w:t>
      </w:r>
      <w:r w:rsidR="009C00D9">
        <w:tab/>
      </w:r>
      <w:r w:rsidR="009C00D9">
        <w:tab/>
      </w:r>
      <w:r w:rsidR="009C00D9">
        <w:tab/>
      </w:r>
      <w:r w:rsidR="009C00D9">
        <w:tab/>
      </w:r>
      <w:r w:rsidRPr="0006793A">
        <w:t>___</w:t>
      </w:r>
      <w:r w:rsidR="003F351D" w:rsidRPr="0006793A">
        <w:rPr>
          <w:u w:val="single"/>
        </w:rPr>
        <w:t>/s/</w:t>
      </w:r>
      <w:r w:rsidRPr="0006793A">
        <w:t>___________________________</w:t>
      </w:r>
    </w:p>
    <w:p w:rsidR="005A7C8C" w:rsidRPr="00FC25EC" w:rsidRDefault="009C00D9" w:rsidP="005A7C8C">
      <w:pPr>
        <w:spacing w:line="240" w:lineRule="auto"/>
        <w:contextualSpacing/>
        <w:jc w:val="left"/>
      </w:pPr>
      <w:r>
        <w:tab/>
      </w:r>
      <w:r>
        <w:tab/>
      </w:r>
      <w:r>
        <w:tab/>
      </w:r>
      <w:r>
        <w:tab/>
      </w:r>
      <w:r>
        <w:tab/>
      </w:r>
      <w:r>
        <w:tab/>
      </w:r>
      <w:r w:rsidR="005A7C8C" w:rsidRPr="00FC25EC">
        <w:tab/>
      </w:r>
      <w:r w:rsidR="00203098">
        <w:t>Steven K. Haas</w:t>
      </w:r>
    </w:p>
    <w:p w:rsidR="005A7C8C" w:rsidRPr="00FC25EC" w:rsidRDefault="009C00D9" w:rsidP="005A7C8C">
      <w:pPr>
        <w:spacing w:line="240" w:lineRule="auto"/>
        <w:contextualSpacing/>
        <w:jc w:val="left"/>
      </w:pPr>
      <w:r>
        <w:tab/>
      </w:r>
      <w:r>
        <w:tab/>
      </w:r>
      <w:r>
        <w:tab/>
      </w:r>
      <w:r>
        <w:tab/>
      </w:r>
      <w:r>
        <w:tab/>
      </w:r>
      <w:r w:rsidR="005A7C8C" w:rsidRPr="00FC25EC">
        <w:tab/>
      </w:r>
      <w:r w:rsidR="005A7C8C" w:rsidRPr="00FC25EC">
        <w:tab/>
        <w:t>Administrative Law Judge</w:t>
      </w:r>
      <w:r w:rsidR="005A7C8C" w:rsidRPr="00FC25EC">
        <w:tab/>
      </w:r>
    </w:p>
    <w:p w:rsidR="005A7C8C" w:rsidRPr="00FC25EC" w:rsidRDefault="005A7C8C" w:rsidP="005A7C8C">
      <w:pPr>
        <w:contextualSpacing/>
        <w:jc w:val="left"/>
      </w:pPr>
    </w:p>
    <w:sectPr w:rsidR="005A7C8C" w:rsidRPr="00FC25EC" w:rsidSect="00FC25E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93A" w:rsidRDefault="0006793A" w:rsidP="005A7C8C">
      <w:pPr>
        <w:spacing w:line="240" w:lineRule="auto"/>
      </w:pPr>
      <w:r>
        <w:separator/>
      </w:r>
    </w:p>
  </w:endnote>
  <w:endnote w:type="continuationSeparator" w:id="0">
    <w:p w:rsidR="0006793A" w:rsidRDefault="0006793A" w:rsidP="005A7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697701"/>
      <w:docPartObj>
        <w:docPartGallery w:val="Page Numbers (Bottom of Page)"/>
        <w:docPartUnique/>
      </w:docPartObj>
    </w:sdtPr>
    <w:sdtEndPr>
      <w:rPr>
        <w:noProof/>
        <w:sz w:val="20"/>
        <w:szCs w:val="20"/>
      </w:rPr>
    </w:sdtEndPr>
    <w:sdtContent>
      <w:p w:rsidR="0006793A" w:rsidRPr="007A38E8" w:rsidRDefault="0006793A" w:rsidP="00FC25EC">
        <w:pPr>
          <w:pStyle w:val="Footer"/>
          <w:rPr>
            <w:sz w:val="20"/>
            <w:szCs w:val="20"/>
          </w:rPr>
        </w:pPr>
        <w:r w:rsidRPr="007A38E8">
          <w:rPr>
            <w:sz w:val="20"/>
            <w:szCs w:val="20"/>
          </w:rPr>
          <w:fldChar w:fldCharType="begin"/>
        </w:r>
        <w:r w:rsidRPr="007A38E8">
          <w:rPr>
            <w:sz w:val="20"/>
            <w:szCs w:val="20"/>
          </w:rPr>
          <w:instrText xml:space="preserve"> PAGE   \* MERGEFORMAT </w:instrText>
        </w:r>
        <w:r w:rsidRPr="007A38E8">
          <w:rPr>
            <w:sz w:val="20"/>
            <w:szCs w:val="20"/>
          </w:rPr>
          <w:fldChar w:fldCharType="separate"/>
        </w:r>
        <w:r w:rsidR="008F47FC">
          <w:rPr>
            <w:noProof/>
            <w:sz w:val="20"/>
            <w:szCs w:val="20"/>
          </w:rPr>
          <w:t>13</w:t>
        </w:r>
        <w:r w:rsidRPr="007A38E8">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93A" w:rsidRDefault="0006793A" w:rsidP="00EC543E">
      <w:pPr>
        <w:spacing w:line="240" w:lineRule="auto"/>
        <w:jc w:val="left"/>
      </w:pPr>
      <w:r>
        <w:separator/>
      </w:r>
    </w:p>
  </w:footnote>
  <w:footnote w:type="continuationSeparator" w:id="0">
    <w:p w:rsidR="0006793A" w:rsidRDefault="0006793A" w:rsidP="005A7C8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40775"/>
    <w:multiLevelType w:val="hybridMultilevel"/>
    <w:tmpl w:val="0C88287C"/>
    <w:lvl w:ilvl="0" w:tplc="89DC4EF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51362E5"/>
    <w:multiLevelType w:val="hybridMultilevel"/>
    <w:tmpl w:val="53845F2A"/>
    <w:lvl w:ilvl="0" w:tplc="E5601F9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149624E"/>
    <w:multiLevelType w:val="hybridMultilevel"/>
    <w:tmpl w:val="BA7247FC"/>
    <w:lvl w:ilvl="0" w:tplc="FC2816F0">
      <w:start w:val="4"/>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473387E"/>
    <w:multiLevelType w:val="hybridMultilevel"/>
    <w:tmpl w:val="0DF82CD8"/>
    <w:lvl w:ilvl="0" w:tplc="D0CA66EE">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CFF0885"/>
    <w:multiLevelType w:val="hybridMultilevel"/>
    <w:tmpl w:val="AD3A0432"/>
    <w:lvl w:ilvl="0" w:tplc="0D0244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1E74A60"/>
    <w:multiLevelType w:val="hybridMultilevel"/>
    <w:tmpl w:val="87066C84"/>
    <w:lvl w:ilvl="0" w:tplc="AB4C07E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5C510FC"/>
    <w:multiLevelType w:val="hybridMultilevel"/>
    <w:tmpl w:val="FCD04B7E"/>
    <w:lvl w:ilvl="0" w:tplc="26AE297C">
      <w:start w:val="8"/>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6F627B2"/>
    <w:multiLevelType w:val="hybridMultilevel"/>
    <w:tmpl w:val="E72E8DC8"/>
    <w:lvl w:ilvl="0" w:tplc="89DC4EF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2EC1976"/>
    <w:multiLevelType w:val="hybridMultilevel"/>
    <w:tmpl w:val="68B66626"/>
    <w:lvl w:ilvl="0" w:tplc="01CA13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
  </w:num>
  <w:num w:numId="3">
    <w:abstractNumId w:val="4"/>
  </w:num>
  <w:num w:numId="4">
    <w:abstractNumId w:val="0"/>
  </w:num>
  <w:num w:numId="5">
    <w:abstractNumId w:val="2"/>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C8C"/>
    <w:rsid w:val="00001E3A"/>
    <w:rsid w:val="00001EF6"/>
    <w:rsid w:val="000028EA"/>
    <w:rsid w:val="00003D11"/>
    <w:rsid w:val="00004AA3"/>
    <w:rsid w:val="00005558"/>
    <w:rsid w:val="000079FE"/>
    <w:rsid w:val="00012104"/>
    <w:rsid w:val="00012655"/>
    <w:rsid w:val="0001305A"/>
    <w:rsid w:val="00015626"/>
    <w:rsid w:val="000163AF"/>
    <w:rsid w:val="00016D77"/>
    <w:rsid w:val="00016E55"/>
    <w:rsid w:val="0002023D"/>
    <w:rsid w:val="00020760"/>
    <w:rsid w:val="0002105C"/>
    <w:rsid w:val="0002110E"/>
    <w:rsid w:val="00022B3F"/>
    <w:rsid w:val="00025D7A"/>
    <w:rsid w:val="000264B7"/>
    <w:rsid w:val="000304BF"/>
    <w:rsid w:val="00030C60"/>
    <w:rsid w:val="00032379"/>
    <w:rsid w:val="0003306B"/>
    <w:rsid w:val="00033303"/>
    <w:rsid w:val="000338CD"/>
    <w:rsid w:val="00035BB8"/>
    <w:rsid w:val="0003687A"/>
    <w:rsid w:val="00037007"/>
    <w:rsid w:val="000372C5"/>
    <w:rsid w:val="00037484"/>
    <w:rsid w:val="000377F5"/>
    <w:rsid w:val="00037E0F"/>
    <w:rsid w:val="00040EB6"/>
    <w:rsid w:val="000442F0"/>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93A"/>
    <w:rsid w:val="00067CBC"/>
    <w:rsid w:val="00070AA1"/>
    <w:rsid w:val="00071A36"/>
    <w:rsid w:val="00072595"/>
    <w:rsid w:val="00072D46"/>
    <w:rsid w:val="00073A2A"/>
    <w:rsid w:val="00073BE1"/>
    <w:rsid w:val="00074065"/>
    <w:rsid w:val="00076092"/>
    <w:rsid w:val="000779CB"/>
    <w:rsid w:val="000808C3"/>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1CD5"/>
    <w:rsid w:val="000A2192"/>
    <w:rsid w:val="000A4551"/>
    <w:rsid w:val="000A4E7A"/>
    <w:rsid w:val="000A5DEA"/>
    <w:rsid w:val="000A652E"/>
    <w:rsid w:val="000A770B"/>
    <w:rsid w:val="000A7F5E"/>
    <w:rsid w:val="000B1BFC"/>
    <w:rsid w:val="000B2D0C"/>
    <w:rsid w:val="000B339A"/>
    <w:rsid w:val="000B526B"/>
    <w:rsid w:val="000B7111"/>
    <w:rsid w:val="000C0311"/>
    <w:rsid w:val="000C2696"/>
    <w:rsid w:val="000C2A2B"/>
    <w:rsid w:val="000C34F3"/>
    <w:rsid w:val="000C4163"/>
    <w:rsid w:val="000C5976"/>
    <w:rsid w:val="000C6B6E"/>
    <w:rsid w:val="000C6EF0"/>
    <w:rsid w:val="000C7A4F"/>
    <w:rsid w:val="000D29BA"/>
    <w:rsid w:val="000D3E49"/>
    <w:rsid w:val="000D5763"/>
    <w:rsid w:val="000E059D"/>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C6A"/>
    <w:rsid w:val="00120D02"/>
    <w:rsid w:val="00120DE8"/>
    <w:rsid w:val="00121291"/>
    <w:rsid w:val="001219A5"/>
    <w:rsid w:val="0012343C"/>
    <w:rsid w:val="00124101"/>
    <w:rsid w:val="00124D49"/>
    <w:rsid w:val="00126739"/>
    <w:rsid w:val="0012770C"/>
    <w:rsid w:val="0013068D"/>
    <w:rsid w:val="00130A2C"/>
    <w:rsid w:val="0013357D"/>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175C"/>
    <w:rsid w:val="0017275D"/>
    <w:rsid w:val="00172857"/>
    <w:rsid w:val="00172B0B"/>
    <w:rsid w:val="00172E8C"/>
    <w:rsid w:val="00173570"/>
    <w:rsid w:val="00173C70"/>
    <w:rsid w:val="00174F7E"/>
    <w:rsid w:val="0017580D"/>
    <w:rsid w:val="00175F76"/>
    <w:rsid w:val="00176C44"/>
    <w:rsid w:val="0018172D"/>
    <w:rsid w:val="00181AB1"/>
    <w:rsid w:val="001846A6"/>
    <w:rsid w:val="001857EA"/>
    <w:rsid w:val="00186328"/>
    <w:rsid w:val="001868F5"/>
    <w:rsid w:val="00190B2C"/>
    <w:rsid w:val="00191522"/>
    <w:rsid w:val="00192EB5"/>
    <w:rsid w:val="00195C2B"/>
    <w:rsid w:val="001966CB"/>
    <w:rsid w:val="001969A7"/>
    <w:rsid w:val="00196C5A"/>
    <w:rsid w:val="00196E59"/>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5D15"/>
    <w:rsid w:val="001C64B4"/>
    <w:rsid w:val="001C65CD"/>
    <w:rsid w:val="001D05DB"/>
    <w:rsid w:val="001D0876"/>
    <w:rsid w:val="001D0F91"/>
    <w:rsid w:val="001D1F1B"/>
    <w:rsid w:val="001D4223"/>
    <w:rsid w:val="001D556B"/>
    <w:rsid w:val="001E0A69"/>
    <w:rsid w:val="001E2642"/>
    <w:rsid w:val="001E3C9A"/>
    <w:rsid w:val="001E5447"/>
    <w:rsid w:val="001E5DF5"/>
    <w:rsid w:val="001E604F"/>
    <w:rsid w:val="001E76FD"/>
    <w:rsid w:val="001E79A7"/>
    <w:rsid w:val="001F0351"/>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3098"/>
    <w:rsid w:val="00205C33"/>
    <w:rsid w:val="0021162B"/>
    <w:rsid w:val="002125E4"/>
    <w:rsid w:val="002131B7"/>
    <w:rsid w:val="00214E49"/>
    <w:rsid w:val="00215381"/>
    <w:rsid w:val="00215BA6"/>
    <w:rsid w:val="002163B7"/>
    <w:rsid w:val="00216C32"/>
    <w:rsid w:val="00216F76"/>
    <w:rsid w:val="0021750E"/>
    <w:rsid w:val="00217665"/>
    <w:rsid w:val="0021774A"/>
    <w:rsid w:val="002178EA"/>
    <w:rsid w:val="0022017F"/>
    <w:rsid w:val="002205EC"/>
    <w:rsid w:val="00220D97"/>
    <w:rsid w:val="00221A88"/>
    <w:rsid w:val="002241D0"/>
    <w:rsid w:val="00224756"/>
    <w:rsid w:val="0022478F"/>
    <w:rsid w:val="00227A4A"/>
    <w:rsid w:val="00230CC6"/>
    <w:rsid w:val="00232843"/>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0C50"/>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5759"/>
    <w:rsid w:val="002761E2"/>
    <w:rsid w:val="00277591"/>
    <w:rsid w:val="0028093E"/>
    <w:rsid w:val="00283282"/>
    <w:rsid w:val="00284760"/>
    <w:rsid w:val="00284975"/>
    <w:rsid w:val="00286A34"/>
    <w:rsid w:val="002871C2"/>
    <w:rsid w:val="00287CB1"/>
    <w:rsid w:val="0029096F"/>
    <w:rsid w:val="00290AD2"/>
    <w:rsid w:val="0029353E"/>
    <w:rsid w:val="00293F4E"/>
    <w:rsid w:val="00296B74"/>
    <w:rsid w:val="00297286"/>
    <w:rsid w:val="002A05C6"/>
    <w:rsid w:val="002A0AD9"/>
    <w:rsid w:val="002A1522"/>
    <w:rsid w:val="002A17F4"/>
    <w:rsid w:val="002A4E7E"/>
    <w:rsid w:val="002A512A"/>
    <w:rsid w:val="002A5F4D"/>
    <w:rsid w:val="002A70E9"/>
    <w:rsid w:val="002A73A9"/>
    <w:rsid w:val="002A7A0A"/>
    <w:rsid w:val="002B0D61"/>
    <w:rsid w:val="002B2AF4"/>
    <w:rsid w:val="002B2B5B"/>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1BD2"/>
    <w:rsid w:val="002E1E33"/>
    <w:rsid w:val="002E2283"/>
    <w:rsid w:val="002E2CAD"/>
    <w:rsid w:val="002E32C2"/>
    <w:rsid w:val="002E5790"/>
    <w:rsid w:val="002E6CB4"/>
    <w:rsid w:val="002E7DDB"/>
    <w:rsid w:val="002F21B6"/>
    <w:rsid w:val="002F222D"/>
    <w:rsid w:val="002F2A4A"/>
    <w:rsid w:val="002F42FC"/>
    <w:rsid w:val="002F5C03"/>
    <w:rsid w:val="002F6F4F"/>
    <w:rsid w:val="002F75DA"/>
    <w:rsid w:val="003028FF"/>
    <w:rsid w:val="00303526"/>
    <w:rsid w:val="00303761"/>
    <w:rsid w:val="003047CE"/>
    <w:rsid w:val="00304AA1"/>
    <w:rsid w:val="00305F62"/>
    <w:rsid w:val="0030682B"/>
    <w:rsid w:val="00306C33"/>
    <w:rsid w:val="0031136C"/>
    <w:rsid w:val="00311531"/>
    <w:rsid w:val="003115D2"/>
    <w:rsid w:val="00312F06"/>
    <w:rsid w:val="00313595"/>
    <w:rsid w:val="0031425A"/>
    <w:rsid w:val="00314713"/>
    <w:rsid w:val="003149F5"/>
    <w:rsid w:val="003151E4"/>
    <w:rsid w:val="003156D7"/>
    <w:rsid w:val="00316C81"/>
    <w:rsid w:val="00317261"/>
    <w:rsid w:val="0032130D"/>
    <w:rsid w:val="00321DB1"/>
    <w:rsid w:val="00326EEE"/>
    <w:rsid w:val="00326F3E"/>
    <w:rsid w:val="00330A67"/>
    <w:rsid w:val="003315EC"/>
    <w:rsid w:val="00332A51"/>
    <w:rsid w:val="00333ADD"/>
    <w:rsid w:val="00334F62"/>
    <w:rsid w:val="00336496"/>
    <w:rsid w:val="003364EB"/>
    <w:rsid w:val="00336CE8"/>
    <w:rsid w:val="00340B3A"/>
    <w:rsid w:val="003425CF"/>
    <w:rsid w:val="0034272B"/>
    <w:rsid w:val="00342BFE"/>
    <w:rsid w:val="003448EB"/>
    <w:rsid w:val="00344C34"/>
    <w:rsid w:val="00345C65"/>
    <w:rsid w:val="00346679"/>
    <w:rsid w:val="003470E8"/>
    <w:rsid w:val="0035100D"/>
    <w:rsid w:val="003534EB"/>
    <w:rsid w:val="00354574"/>
    <w:rsid w:val="00354BD0"/>
    <w:rsid w:val="003550C3"/>
    <w:rsid w:val="00356988"/>
    <w:rsid w:val="003572CC"/>
    <w:rsid w:val="003601E1"/>
    <w:rsid w:val="00360E3C"/>
    <w:rsid w:val="00360F5F"/>
    <w:rsid w:val="0036124A"/>
    <w:rsid w:val="0036153E"/>
    <w:rsid w:val="0036237C"/>
    <w:rsid w:val="00362451"/>
    <w:rsid w:val="003625F5"/>
    <w:rsid w:val="003643C9"/>
    <w:rsid w:val="003657F1"/>
    <w:rsid w:val="00365826"/>
    <w:rsid w:val="00365A2F"/>
    <w:rsid w:val="00366696"/>
    <w:rsid w:val="0036754C"/>
    <w:rsid w:val="003700B0"/>
    <w:rsid w:val="00375889"/>
    <w:rsid w:val="003759FC"/>
    <w:rsid w:val="003760EB"/>
    <w:rsid w:val="00380892"/>
    <w:rsid w:val="003818C5"/>
    <w:rsid w:val="00381B05"/>
    <w:rsid w:val="00382A2A"/>
    <w:rsid w:val="00383321"/>
    <w:rsid w:val="00383F90"/>
    <w:rsid w:val="00384BCF"/>
    <w:rsid w:val="00385BF0"/>
    <w:rsid w:val="00385DAD"/>
    <w:rsid w:val="00386626"/>
    <w:rsid w:val="003908D7"/>
    <w:rsid w:val="00390929"/>
    <w:rsid w:val="00390DBB"/>
    <w:rsid w:val="00391CFF"/>
    <w:rsid w:val="003924CC"/>
    <w:rsid w:val="00395B13"/>
    <w:rsid w:val="00396333"/>
    <w:rsid w:val="00396ADD"/>
    <w:rsid w:val="0039716B"/>
    <w:rsid w:val="003A05D9"/>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D6541"/>
    <w:rsid w:val="003E1442"/>
    <w:rsid w:val="003E2B14"/>
    <w:rsid w:val="003E2FDE"/>
    <w:rsid w:val="003E3DB7"/>
    <w:rsid w:val="003E447A"/>
    <w:rsid w:val="003E5240"/>
    <w:rsid w:val="003E7E85"/>
    <w:rsid w:val="003F01A7"/>
    <w:rsid w:val="003F2E62"/>
    <w:rsid w:val="003F351D"/>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197D"/>
    <w:rsid w:val="004222CB"/>
    <w:rsid w:val="00423359"/>
    <w:rsid w:val="00425C94"/>
    <w:rsid w:val="00426277"/>
    <w:rsid w:val="004262B3"/>
    <w:rsid w:val="00426605"/>
    <w:rsid w:val="00427EBA"/>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187"/>
    <w:rsid w:val="00453A6E"/>
    <w:rsid w:val="00454158"/>
    <w:rsid w:val="00454358"/>
    <w:rsid w:val="00454723"/>
    <w:rsid w:val="00455691"/>
    <w:rsid w:val="004565C0"/>
    <w:rsid w:val="00460024"/>
    <w:rsid w:val="00460031"/>
    <w:rsid w:val="00460140"/>
    <w:rsid w:val="00460852"/>
    <w:rsid w:val="0046238B"/>
    <w:rsid w:val="004625E8"/>
    <w:rsid w:val="00464B18"/>
    <w:rsid w:val="00465D71"/>
    <w:rsid w:val="00466D15"/>
    <w:rsid w:val="004700FD"/>
    <w:rsid w:val="0047070D"/>
    <w:rsid w:val="00474D33"/>
    <w:rsid w:val="0047539E"/>
    <w:rsid w:val="00477A71"/>
    <w:rsid w:val="00481269"/>
    <w:rsid w:val="004839FC"/>
    <w:rsid w:val="00483C70"/>
    <w:rsid w:val="00484589"/>
    <w:rsid w:val="00484BCE"/>
    <w:rsid w:val="00487E8F"/>
    <w:rsid w:val="00491F39"/>
    <w:rsid w:val="004938B5"/>
    <w:rsid w:val="00493AC3"/>
    <w:rsid w:val="0049422F"/>
    <w:rsid w:val="0049475D"/>
    <w:rsid w:val="0049575D"/>
    <w:rsid w:val="0049668C"/>
    <w:rsid w:val="00496D95"/>
    <w:rsid w:val="00496DB8"/>
    <w:rsid w:val="004A11A6"/>
    <w:rsid w:val="004A1729"/>
    <w:rsid w:val="004A21F4"/>
    <w:rsid w:val="004A3363"/>
    <w:rsid w:val="004A4A64"/>
    <w:rsid w:val="004A4B6C"/>
    <w:rsid w:val="004A5318"/>
    <w:rsid w:val="004A5D57"/>
    <w:rsid w:val="004A741E"/>
    <w:rsid w:val="004B0321"/>
    <w:rsid w:val="004B1ADE"/>
    <w:rsid w:val="004B220A"/>
    <w:rsid w:val="004B2625"/>
    <w:rsid w:val="004B4774"/>
    <w:rsid w:val="004B4AB2"/>
    <w:rsid w:val="004B570B"/>
    <w:rsid w:val="004B5C7F"/>
    <w:rsid w:val="004B652A"/>
    <w:rsid w:val="004B7DB2"/>
    <w:rsid w:val="004C015B"/>
    <w:rsid w:val="004C125D"/>
    <w:rsid w:val="004C1ABF"/>
    <w:rsid w:val="004C30D2"/>
    <w:rsid w:val="004C3AE2"/>
    <w:rsid w:val="004C3E75"/>
    <w:rsid w:val="004C4C1E"/>
    <w:rsid w:val="004C657C"/>
    <w:rsid w:val="004D0BE0"/>
    <w:rsid w:val="004D14F0"/>
    <w:rsid w:val="004D1505"/>
    <w:rsid w:val="004D17DF"/>
    <w:rsid w:val="004D38F8"/>
    <w:rsid w:val="004D4A68"/>
    <w:rsid w:val="004D5646"/>
    <w:rsid w:val="004D6D13"/>
    <w:rsid w:val="004D6DCE"/>
    <w:rsid w:val="004E1B61"/>
    <w:rsid w:val="004E1F1A"/>
    <w:rsid w:val="004E1FD5"/>
    <w:rsid w:val="004E23ED"/>
    <w:rsid w:val="004E429F"/>
    <w:rsid w:val="004E60E4"/>
    <w:rsid w:val="004F028B"/>
    <w:rsid w:val="004F160A"/>
    <w:rsid w:val="004F2F62"/>
    <w:rsid w:val="004F37CB"/>
    <w:rsid w:val="004F45CA"/>
    <w:rsid w:val="004F5216"/>
    <w:rsid w:val="004F616B"/>
    <w:rsid w:val="004F64E4"/>
    <w:rsid w:val="004F749F"/>
    <w:rsid w:val="00500A53"/>
    <w:rsid w:val="00503634"/>
    <w:rsid w:val="00504F92"/>
    <w:rsid w:val="00505551"/>
    <w:rsid w:val="005078B3"/>
    <w:rsid w:val="00510A28"/>
    <w:rsid w:val="00511C54"/>
    <w:rsid w:val="0051292E"/>
    <w:rsid w:val="005154E3"/>
    <w:rsid w:val="005157A2"/>
    <w:rsid w:val="00516207"/>
    <w:rsid w:val="00517445"/>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3D0C"/>
    <w:rsid w:val="00535220"/>
    <w:rsid w:val="00536ABE"/>
    <w:rsid w:val="00540B74"/>
    <w:rsid w:val="00540B8B"/>
    <w:rsid w:val="00540ED6"/>
    <w:rsid w:val="00541C1D"/>
    <w:rsid w:val="005449AC"/>
    <w:rsid w:val="00544A16"/>
    <w:rsid w:val="0054599F"/>
    <w:rsid w:val="005472EC"/>
    <w:rsid w:val="00547C82"/>
    <w:rsid w:val="0055122B"/>
    <w:rsid w:val="00552915"/>
    <w:rsid w:val="005534BD"/>
    <w:rsid w:val="0056021B"/>
    <w:rsid w:val="005623DE"/>
    <w:rsid w:val="00562A9A"/>
    <w:rsid w:val="00563841"/>
    <w:rsid w:val="00564A3A"/>
    <w:rsid w:val="005650FF"/>
    <w:rsid w:val="00565DE7"/>
    <w:rsid w:val="005665D1"/>
    <w:rsid w:val="00566DDB"/>
    <w:rsid w:val="005674EF"/>
    <w:rsid w:val="00570742"/>
    <w:rsid w:val="00570C2E"/>
    <w:rsid w:val="00571577"/>
    <w:rsid w:val="00571C60"/>
    <w:rsid w:val="0057213D"/>
    <w:rsid w:val="0057247A"/>
    <w:rsid w:val="005729E9"/>
    <w:rsid w:val="005732E9"/>
    <w:rsid w:val="0057454E"/>
    <w:rsid w:val="00575D4F"/>
    <w:rsid w:val="00575F27"/>
    <w:rsid w:val="0058036C"/>
    <w:rsid w:val="0058073B"/>
    <w:rsid w:val="00580815"/>
    <w:rsid w:val="00582289"/>
    <w:rsid w:val="0058363F"/>
    <w:rsid w:val="00584CB9"/>
    <w:rsid w:val="00585BD9"/>
    <w:rsid w:val="00587AD0"/>
    <w:rsid w:val="00587B74"/>
    <w:rsid w:val="00591696"/>
    <w:rsid w:val="005924CE"/>
    <w:rsid w:val="00593FF1"/>
    <w:rsid w:val="00594648"/>
    <w:rsid w:val="00594E77"/>
    <w:rsid w:val="0059623B"/>
    <w:rsid w:val="00596D1D"/>
    <w:rsid w:val="00597981"/>
    <w:rsid w:val="005A1839"/>
    <w:rsid w:val="005A25E0"/>
    <w:rsid w:val="005A2923"/>
    <w:rsid w:val="005A3759"/>
    <w:rsid w:val="005A44D9"/>
    <w:rsid w:val="005A5826"/>
    <w:rsid w:val="005A6ADE"/>
    <w:rsid w:val="005A7C8C"/>
    <w:rsid w:val="005B3D45"/>
    <w:rsid w:val="005B78C4"/>
    <w:rsid w:val="005C373B"/>
    <w:rsid w:val="005C3DD2"/>
    <w:rsid w:val="005C4AAA"/>
    <w:rsid w:val="005C610A"/>
    <w:rsid w:val="005D0AF7"/>
    <w:rsid w:val="005D1442"/>
    <w:rsid w:val="005D1922"/>
    <w:rsid w:val="005D2788"/>
    <w:rsid w:val="005D4281"/>
    <w:rsid w:val="005D54FA"/>
    <w:rsid w:val="005D6E32"/>
    <w:rsid w:val="005E06D4"/>
    <w:rsid w:val="005E1521"/>
    <w:rsid w:val="005E3768"/>
    <w:rsid w:val="005E448D"/>
    <w:rsid w:val="005E724A"/>
    <w:rsid w:val="005F064D"/>
    <w:rsid w:val="005F3346"/>
    <w:rsid w:val="005F3CE4"/>
    <w:rsid w:val="005F512E"/>
    <w:rsid w:val="005F5A21"/>
    <w:rsid w:val="005F6A04"/>
    <w:rsid w:val="00600458"/>
    <w:rsid w:val="0060118D"/>
    <w:rsid w:val="0060369E"/>
    <w:rsid w:val="00603808"/>
    <w:rsid w:val="00603824"/>
    <w:rsid w:val="0060530E"/>
    <w:rsid w:val="00605D75"/>
    <w:rsid w:val="006073B5"/>
    <w:rsid w:val="00610CE1"/>
    <w:rsid w:val="006113D8"/>
    <w:rsid w:val="00612C6B"/>
    <w:rsid w:val="006151E3"/>
    <w:rsid w:val="00616232"/>
    <w:rsid w:val="006205C5"/>
    <w:rsid w:val="00620850"/>
    <w:rsid w:val="00620DB5"/>
    <w:rsid w:val="00621A59"/>
    <w:rsid w:val="0062201A"/>
    <w:rsid w:val="006225AC"/>
    <w:rsid w:val="006230A9"/>
    <w:rsid w:val="00623799"/>
    <w:rsid w:val="00624D32"/>
    <w:rsid w:val="006273ED"/>
    <w:rsid w:val="00630C84"/>
    <w:rsid w:val="0063256A"/>
    <w:rsid w:val="006326D0"/>
    <w:rsid w:val="00632E8D"/>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56A85"/>
    <w:rsid w:val="006572CF"/>
    <w:rsid w:val="00660216"/>
    <w:rsid w:val="006621E9"/>
    <w:rsid w:val="00662904"/>
    <w:rsid w:val="00664A57"/>
    <w:rsid w:val="00664C73"/>
    <w:rsid w:val="00671999"/>
    <w:rsid w:val="0067226F"/>
    <w:rsid w:val="006764EA"/>
    <w:rsid w:val="00677DDE"/>
    <w:rsid w:val="00680B65"/>
    <w:rsid w:val="00681287"/>
    <w:rsid w:val="006815A6"/>
    <w:rsid w:val="00681809"/>
    <w:rsid w:val="00681FD9"/>
    <w:rsid w:val="0068285E"/>
    <w:rsid w:val="00684EF6"/>
    <w:rsid w:val="00684F40"/>
    <w:rsid w:val="006856E2"/>
    <w:rsid w:val="0069096C"/>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003"/>
    <w:rsid w:val="006B49AE"/>
    <w:rsid w:val="006B529B"/>
    <w:rsid w:val="006C0A2F"/>
    <w:rsid w:val="006C3BAF"/>
    <w:rsid w:val="006C4536"/>
    <w:rsid w:val="006C46F3"/>
    <w:rsid w:val="006C4D4E"/>
    <w:rsid w:val="006C51E2"/>
    <w:rsid w:val="006C5247"/>
    <w:rsid w:val="006C588E"/>
    <w:rsid w:val="006C62F8"/>
    <w:rsid w:val="006C71BB"/>
    <w:rsid w:val="006D071F"/>
    <w:rsid w:val="006D1276"/>
    <w:rsid w:val="006D13C4"/>
    <w:rsid w:val="006D15E1"/>
    <w:rsid w:val="006D1E5C"/>
    <w:rsid w:val="006D2C14"/>
    <w:rsid w:val="006D3945"/>
    <w:rsid w:val="006D4C15"/>
    <w:rsid w:val="006D5AA4"/>
    <w:rsid w:val="006D7692"/>
    <w:rsid w:val="006D77ED"/>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0C65"/>
    <w:rsid w:val="007018BC"/>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0836"/>
    <w:rsid w:val="0079132B"/>
    <w:rsid w:val="0079360E"/>
    <w:rsid w:val="00795245"/>
    <w:rsid w:val="007969E6"/>
    <w:rsid w:val="00796DA1"/>
    <w:rsid w:val="007A2C44"/>
    <w:rsid w:val="007A2C57"/>
    <w:rsid w:val="007A2CB0"/>
    <w:rsid w:val="007A3440"/>
    <w:rsid w:val="007A34B3"/>
    <w:rsid w:val="007A38E8"/>
    <w:rsid w:val="007A60E6"/>
    <w:rsid w:val="007B1039"/>
    <w:rsid w:val="007B1644"/>
    <w:rsid w:val="007B33F8"/>
    <w:rsid w:val="007B3B6F"/>
    <w:rsid w:val="007B3F3D"/>
    <w:rsid w:val="007B413B"/>
    <w:rsid w:val="007B4FD7"/>
    <w:rsid w:val="007B5461"/>
    <w:rsid w:val="007B6474"/>
    <w:rsid w:val="007B7F0F"/>
    <w:rsid w:val="007C0A93"/>
    <w:rsid w:val="007C19EC"/>
    <w:rsid w:val="007C29CE"/>
    <w:rsid w:val="007C342D"/>
    <w:rsid w:val="007C3C7F"/>
    <w:rsid w:val="007C4B98"/>
    <w:rsid w:val="007C51EB"/>
    <w:rsid w:val="007C60E2"/>
    <w:rsid w:val="007C7435"/>
    <w:rsid w:val="007D158A"/>
    <w:rsid w:val="007D5B1C"/>
    <w:rsid w:val="007D66A6"/>
    <w:rsid w:val="007D6D87"/>
    <w:rsid w:val="007D6FD6"/>
    <w:rsid w:val="007E0ADA"/>
    <w:rsid w:val="007E15CF"/>
    <w:rsid w:val="007E1DB4"/>
    <w:rsid w:val="007E5866"/>
    <w:rsid w:val="007F07AF"/>
    <w:rsid w:val="007F1065"/>
    <w:rsid w:val="007F2A44"/>
    <w:rsid w:val="007F4E9D"/>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252"/>
    <w:rsid w:val="008236C7"/>
    <w:rsid w:val="00823E67"/>
    <w:rsid w:val="00826045"/>
    <w:rsid w:val="008307DB"/>
    <w:rsid w:val="00830A48"/>
    <w:rsid w:val="00833331"/>
    <w:rsid w:val="00833C36"/>
    <w:rsid w:val="00834B96"/>
    <w:rsid w:val="00835704"/>
    <w:rsid w:val="00836409"/>
    <w:rsid w:val="00836415"/>
    <w:rsid w:val="00836B47"/>
    <w:rsid w:val="00836C96"/>
    <w:rsid w:val="00840A53"/>
    <w:rsid w:val="00841D39"/>
    <w:rsid w:val="008427B3"/>
    <w:rsid w:val="008428A1"/>
    <w:rsid w:val="008458C2"/>
    <w:rsid w:val="0085047D"/>
    <w:rsid w:val="008524EA"/>
    <w:rsid w:val="0085263B"/>
    <w:rsid w:val="008530B9"/>
    <w:rsid w:val="008537C0"/>
    <w:rsid w:val="00855167"/>
    <w:rsid w:val="00857642"/>
    <w:rsid w:val="00857872"/>
    <w:rsid w:val="00857F8E"/>
    <w:rsid w:val="00860759"/>
    <w:rsid w:val="0086268A"/>
    <w:rsid w:val="008644EC"/>
    <w:rsid w:val="00864B15"/>
    <w:rsid w:val="00864CAE"/>
    <w:rsid w:val="00864D3B"/>
    <w:rsid w:val="00865C18"/>
    <w:rsid w:val="0086621E"/>
    <w:rsid w:val="0086717D"/>
    <w:rsid w:val="0087121E"/>
    <w:rsid w:val="00876B32"/>
    <w:rsid w:val="00877B45"/>
    <w:rsid w:val="00882CB8"/>
    <w:rsid w:val="00884366"/>
    <w:rsid w:val="00884650"/>
    <w:rsid w:val="008851B9"/>
    <w:rsid w:val="00885F50"/>
    <w:rsid w:val="00887314"/>
    <w:rsid w:val="00890EB4"/>
    <w:rsid w:val="00891D35"/>
    <w:rsid w:val="00892BD2"/>
    <w:rsid w:val="00893901"/>
    <w:rsid w:val="00894BD8"/>
    <w:rsid w:val="0089667B"/>
    <w:rsid w:val="0089728F"/>
    <w:rsid w:val="008A0874"/>
    <w:rsid w:val="008A0FD5"/>
    <w:rsid w:val="008A0FF6"/>
    <w:rsid w:val="008A28F5"/>
    <w:rsid w:val="008A40FD"/>
    <w:rsid w:val="008A51AD"/>
    <w:rsid w:val="008A63A7"/>
    <w:rsid w:val="008B2982"/>
    <w:rsid w:val="008B2F05"/>
    <w:rsid w:val="008B456E"/>
    <w:rsid w:val="008B51B9"/>
    <w:rsid w:val="008B5BC6"/>
    <w:rsid w:val="008B6119"/>
    <w:rsid w:val="008B62FA"/>
    <w:rsid w:val="008B7153"/>
    <w:rsid w:val="008C03AD"/>
    <w:rsid w:val="008C11EE"/>
    <w:rsid w:val="008C1485"/>
    <w:rsid w:val="008C175C"/>
    <w:rsid w:val="008C2DAF"/>
    <w:rsid w:val="008C2E6B"/>
    <w:rsid w:val="008C3720"/>
    <w:rsid w:val="008C4565"/>
    <w:rsid w:val="008C668F"/>
    <w:rsid w:val="008C6DB0"/>
    <w:rsid w:val="008D2DBA"/>
    <w:rsid w:val="008D530C"/>
    <w:rsid w:val="008D56D1"/>
    <w:rsid w:val="008D638B"/>
    <w:rsid w:val="008D7ECE"/>
    <w:rsid w:val="008E01A0"/>
    <w:rsid w:val="008E1BF6"/>
    <w:rsid w:val="008E41CB"/>
    <w:rsid w:val="008E44FF"/>
    <w:rsid w:val="008E524D"/>
    <w:rsid w:val="008E5A58"/>
    <w:rsid w:val="008E5F96"/>
    <w:rsid w:val="008E6FB7"/>
    <w:rsid w:val="008E7557"/>
    <w:rsid w:val="008E7FE5"/>
    <w:rsid w:val="008F1874"/>
    <w:rsid w:val="008F1947"/>
    <w:rsid w:val="008F1BA1"/>
    <w:rsid w:val="008F25DF"/>
    <w:rsid w:val="008F29E0"/>
    <w:rsid w:val="008F47FC"/>
    <w:rsid w:val="008F4FCE"/>
    <w:rsid w:val="008F63E4"/>
    <w:rsid w:val="008F7E50"/>
    <w:rsid w:val="00900008"/>
    <w:rsid w:val="00900E6A"/>
    <w:rsid w:val="00902EB1"/>
    <w:rsid w:val="00903659"/>
    <w:rsid w:val="00903B94"/>
    <w:rsid w:val="00904C01"/>
    <w:rsid w:val="009050BB"/>
    <w:rsid w:val="00905195"/>
    <w:rsid w:val="00905609"/>
    <w:rsid w:val="00905F7A"/>
    <w:rsid w:val="00906A31"/>
    <w:rsid w:val="00906B1B"/>
    <w:rsid w:val="00907315"/>
    <w:rsid w:val="00910398"/>
    <w:rsid w:val="0091039C"/>
    <w:rsid w:val="00911640"/>
    <w:rsid w:val="0091213F"/>
    <w:rsid w:val="00912783"/>
    <w:rsid w:val="00913D36"/>
    <w:rsid w:val="009140BC"/>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4BD3"/>
    <w:rsid w:val="00935580"/>
    <w:rsid w:val="009366E0"/>
    <w:rsid w:val="00936EB3"/>
    <w:rsid w:val="00940622"/>
    <w:rsid w:val="009412D9"/>
    <w:rsid w:val="00941AF3"/>
    <w:rsid w:val="00944730"/>
    <w:rsid w:val="00944858"/>
    <w:rsid w:val="0094623E"/>
    <w:rsid w:val="009471B5"/>
    <w:rsid w:val="009502D3"/>
    <w:rsid w:val="00951A6C"/>
    <w:rsid w:val="00952928"/>
    <w:rsid w:val="009531DA"/>
    <w:rsid w:val="00953CFD"/>
    <w:rsid w:val="009540FD"/>
    <w:rsid w:val="0095579C"/>
    <w:rsid w:val="00956E7E"/>
    <w:rsid w:val="0096094F"/>
    <w:rsid w:val="0096539B"/>
    <w:rsid w:val="00965DAB"/>
    <w:rsid w:val="00966487"/>
    <w:rsid w:val="009669E3"/>
    <w:rsid w:val="009671DB"/>
    <w:rsid w:val="0096755D"/>
    <w:rsid w:val="00972738"/>
    <w:rsid w:val="009727FE"/>
    <w:rsid w:val="00974C35"/>
    <w:rsid w:val="00976545"/>
    <w:rsid w:val="00976E81"/>
    <w:rsid w:val="009808B0"/>
    <w:rsid w:val="00980958"/>
    <w:rsid w:val="00983488"/>
    <w:rsid w:val="00983EDB"/>
    <w:rsid w:val="009849EF"/>
    <w:rsid w:val="00984E36"/>
    <w:rsid w:val="0098553B"/>
    <w:rsid w:val="00987014"/>
    <w:rsid w:val="009871AC"/>
    <w:rsid w:val="00990892"/>
    <w:rsid w:val="009913FB"/>
    <w:rsid w:val="009952B5"/>
    <w:rsid w:val="00997146"/>
    <w:rsid w:val="00997443"/>
    <w:rsid w:val="00997B66"/>
    <w:rsid w:val="009A1BA1"/>
    <w:rsid w:val="009A2A81"/>
    <w:rsid w:val="009A2AFB"/>
    <w:rsid w:val="009A2DE2"/>
    <w:rsid w:val="009A3B62"/>
    <w:rsid w:val="009A3ED4"/>
    <w:rsid w:val="009A56EE"/>
    <w:rsid w:val="009A5C47"/>
    <w:rsid w:val="009A686F"/>
    <w:rsid w:val="009A68E7"/>
    <w:rsid w:val="009A6BC5"/>
    <w:rsid w:val="009B0164"/>
    <w:rsid w:val="009B2B90"/>
    <w:rsid w:val="009B39B3"/>
    <w:rsid w:val="009B4A92"/>
    <w:rsid w:val="009B4B7B"/>
    <w:rsid w:val="009B4CB6"/>
    <w:rsid w:val="009B50D1"/>
    <w:rsid w:val="009B66C0"/>
    <w:rsid w:val="009B72A1"/>
    <w:rsid w:val="009B74A5"/>
    <w:rsid w:val="009C00D9"/>
    <w:rsid w:val="009C0E90"/>
    <w:rsid w:val="009C24F9"/>
    <w:rsid w:val="009C638A"/>
    <w:rsid w:val="009C6E19"/>
    <w:rsid w:val="009C7053"/>
    <w:rsid w:val="009D15B1"/>
    <w:rsid w:val="009D26C0"/>
    <w:rsid w:val="009D3AAC"/>
    <w:rsid w:val="009D5523"/>
    <w:rsid w:val="009D5B63"/>
    <w:rsid w:val="009D6C48"/>
    <w:rsid w:val="009E1679"/>
    <w:rsid w:val="009E1BE9"/>
    <w:rsid w:val="009E2348"/>
    <w:rsid w:val="009E239E"/>
    <w:rsid w:val="009E271D"/>
    <w:rsid w:val="009E362F"/>
    <w:rsid w:val="009E40DF"/>
    <w:rsid w:val="009E59CA"/>
    <w:rsid w:val="009F1AEE"/>
    <w:rsid w:val="009F1DB1"/>
    <w:rsid w:val="009F1EA5"/>
    <w:rsid w:val="009F2D35"/>
    <w:rsid w:val="009F5E68"/>
    <w:rsid w:val="009F69E5"/>
    <w:rsid w:val="009F7476"/>
    <w:rsid w:val="009F768D"/>
    <w:rsid w:val="00A00F26"/>
    <w:rsid w:val="00A018F7"/>
    <w:rsid w:val="00A02ABC"/>
    <w:rsid w:val="00A039B4"/>
    <w:rsid w:val="00A0555A"/>
    <w:rsid w:val="00A063F2"/>
    <w:rsid w:val="00A0799C"/>
    <w:rsid w:val="00A07D8F"/>
    <w:rsid w:val="00A1186B"/>
    <w:rsid w:val="00A12531"/>
    <w:rsid w:val="00A13C95"/>
    <w:rsid w:val="00A15615"/>
    <w:rsid w:val="00A1707A"/>
    <w:rsid w:val="00A215E2"/>
    <w:rsid w:val="00A2164F"/>
    <w:rsid w:val="00A23803"/>
    <w:rsid w:val="00A249BD"/>
    <w:rsid w:val="00A249F6"/>
    <w:rsid w:val="00A2509D"/>
    <w:rsid w:val="00A250AD"/>
    <w:rsid w:val="00A25E2A"/>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007C"/>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0F4"/>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0C8"/>
    <w:rsid w:val="00A851A4"/>
    <w:rsid w:val="00A86BD8"/>
    <w:rsid w:val="00A8787E"/>
    <w:rsid w:val="00A87EDF"/>
    <w:rsid w:val="00A90897"/>
    <w:rsid w:val="00A908F4"/>
    <w:rsid w:val="00A909E1"/>
    <w:rsid w:val="00A90C67"/>
    <w:rsid w:val="00A920E7"/>
    <w:rsid w:val="00A92B4B"/>
    <w:rsid w:val="00A93509"/>
    <w:rsid w:val="00A935BC"/>
    <w:rsid w:val="00A940DD"/>
    <w:rsid w:val="00A9585F"/>
    <w:rsid w:val="00A96792"/>
    <w:rsid w:val="00AA013D"/>
    <w:rsid w:val="00AA0422"/>
    <w:rsid w:val="00AA1496"/>
    <w:rsid w:val="00AA155D"/>
    <w:rsid w:val="00AA3354"/>
    <w:rsid w:val="00AA3D06"/>
    <w:rsid w:val="00AA4899"/>
    <w:rsid w:val="00AA4D37"/>
    <w:rsid w:val="00AA59F2"/>
    <w:rsid w:val="00AA639F"/>
    <w:rsid w:val="00AA6461"/>
    <w:rsid w:val="00AA753E"/>
    <w:rsid w:val="00AA763C"/>
    <w:rsid w:val="00AB0C3B"/>
    <w:rsid w:val="00AB16AD"/>
    <w:rsid w:val="00AB24CE"/>
    <w:rsid w:val="00AB3CE6"/>
    <w:rsid w:val="00AB3E2B"/>
    <w:rsid w:val="00AB444B"/>
    <w:rsid w:val="00AB65C7"/>
    <w:rsid w:val="00AB671D"/>
    <w:rsid w:val="00AB6BFE"/>
    <w:rsid w:val="00AB7130"/>
    <w:rsid w:val="00AB7311"/>
    <w:rsid w:val="00AC0D42"/>
    <w:rsid w:val="00AC20BE"/>
    <w:rsid w:val="00AC2AF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1C3E"/>
    <w:rsid w:val="00AF32D8"/>
    <w:rsid w:val="00AF3F64"/>
    <w:rsid w:val="00AF40CA"/>
    <w:rsid w:val="00AF4C64"/>
    <w:rsid w:val="00AF70FF"/>
    <w:rsid w:val="00B01BE5"/>
    <w:rsid w:val="00B02385"/>
    <w:rsid w:val="00B02FCE"/>
    <w:rsid w:val="00B03878"/>
    <w:rsid w:val="00B06DDF"/>
    <w:rsid w:val="00B07809"/>
    <w:rsid w:val="00B079A5"/>
    <w:rsid w:val="00B11C89"/>
    <w:rsid w:val="00B134C7"/>
    <w:rsid w:val="00B136CC"/>
    <w:rsid w:val="00B1391F"/>
    <w:rsid w:val="00B143BA"/>
    <w:rsid w:val="00B146E0"/>
    <w:rsid w:val="00B14F2C"/>
    <w:rsid w:val="00B17521"/>
    <w:rsid w:val="00B17683"/>
    <w:rsid w:val="00B20FAA"/>
    <w:rsid w:val="00B21806"/>
    <w:rsid w:val="00B21CD8"/>
    <w:rsid w:val="00B21FBA"/>
    <w:rsid w:val="00B23036"/>
    <w:rsid w:val="00B23264"/>
    <w:rsid w:val="00B2793E"/>
    <w:rsid w:val="00B3022C"/>
    <w:rsid w:val="00B32ABD"/>
    <w:rsid w:val="00B32E35"/>
    <w:rsid w:val="00B33B37"/>
    <w:rsid w:val="00B33FC3"/>
    <w:rsid w:val="00B34386"/>
    <w:rsid w:val="00B35017"/>
    <w:rsid w:val="00B374E5"/>
    <w:rsid w:val="00B3764A"/>
    <w:rsid w:val="00B37AA5"/>
    <w:rsid w:val="00B37B85"/>
    <w:rsid w:val="00B41FA0"/>
    <w:rsid w:val="00B42826"/>
    <w:rsid w:val="00B43066"/>
    <w:rsid w:val="00B430FA"/>
    <w:rsid w:val="00B43982"/>
    <w:rsid w:val="00B459AF"/>
    <w:rsid w:val="00B475B6"/>
    <w:rsid w:val="00B52564"/>
    <w:rsid w:val="00B55181"/>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1970"/>
    <w:rsid w:val="00B91FD2"/>
    <w:rsid w:val="00B922A7"/>
    <w:rsid w:val="00B926BD"/>
    <w:rsid w:val="00B92DE8"/>
    <w:rsid w:val="00B93D8F"/>
    <w:rsid w:val="00B941A2"/>
    <w:rsid w:val="00B94371"/>
    <w:rsid w:val="00B96A32"/>
    <w:rsid w:val="00B9799D"/>
    <w:rsid w:val="00BA1322"/>
    <w:rsid w:val="00BA18A1"/>
    <w:rsid w:val="00BA25FD"/>
    <w:rsid w:val="00BA2D85"/>
    <w:rsid w:val="00BA301A"/>
    <w:rsid w:val="00BA3AA7"/>
    <w:rsid w:val="00BA3C3F"/>
    <w:rsid w:val="00BA5CEA"/>
    <w:rsid w:val="00BA690D"/>
    <w:rsid w:val="00BA7612"/>
    <w:rsid w:val="00BB0058"/>
    <w:rsid w:val="00BB090C"/>
    <w:rsid w:val="00BB1D36"/>
    <w:rsid w:val="00BB3631"/>
    <w:rsid w:val="00BB3FF6"/>
    <w:rsid w:val="00BB5630"/>
    <w:rsid w:val="00BB6BE1"/>
    <w:rsid w:val="00BC392E"/>
    <w:rsid w:val="00BC589A"/>
    <w:rsid w:val="00BC60A6"/>
    <w:rsid w:val="00BC62E0"/>
    <w:rsid w:val="00BC6CE4"/>
    <w:rsid w:val="00BC6FBF"/>
    <w:rsid w:val="00BD00D9"/>
    <w:rsid w:val="00BD1886"/>
    <w:rsid w:val="00BD23E3"/>
    <w:rsid w:val="00BD40BC"/>
    <w:rsid w:val="00BD6234"/>
    <w:rsid w:val="00BE0437"/>
    <w:rsid w:val="00BE04F6"/>
    <w:rsid w:val="00BE107D"/>
    <w:rsid w:val="00BE2D6C"/>
    <w:rsid w:val="00BE3741"/>
    <w:rsid w:val="00BE44B6"/>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0BD4"/>
    <w:rsid w:val="00C41646"/>
    <w:rsid w:val="00C4383B"/>
    <w:rsid w:val="00C4601A"/>
    <w:rsid w:val="00C478FE"/>
    <w:rsid w:val="00C502DD"/>
    <w:rsid w:val="00C613E2"/>
    <w:rsid w:val="00C621E3"/>
    <w:rsid w:val="00C62291"/>
    <w:rsid w:val="00C6430C"/>
    <w:rsid w:val="00C64E24"/>
    <w:rsid w:val="00C65047"/>
    <w:rsid w:val="00C653CC"/>
    <w:rsid w:val="00C65F83"/>
    <w:rsid w:val="00C665D4"/>
    <w:rsid w:val="00C67E56"/>
    <w:rsid w:val="00C73CE1"/>
    <w:rsid w:val="00C74775"/>
    <w:rsid w:val="00C76F9B"/>
    <w:rsid w:val="00C77064"/>
    <w:rsid w:val="00C80AB6"/>
    <w:rsid w:val="00C824FE"/>
    <w:rsid w:val="00C833D6"/>
    <w:rsid w:val="00C84CDE"/>
    <w:rsid w:val="00C86F49"/>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10"/>
    <w:rsid w:val="00CC3D4E"/>
    <w:rsid w:val="00CC4003"/>
    <w:rsid w:val="00CC74BD"/>
    <w:rsid w:val="00CD0768"/>
    <w:rsid w:val="00CD3CC4"/>
    <w:rsid w:val="00CD788F"/>
    <w:rsid w:val="00CE047D"/>
    <w:rsid w:val="00CE1017"/>
    <w:rsid w:val="00CE358A"/>
    <w:rsid w:val="00CE373E"/>
    <w:rsid w:val="00CE43AF"/>
    <w:rsid w:val="00CE46DC"/>
    <w:rsid w:val="00CE577D"/>
    <w:rsid w:val="00CE6379"/>
    <w:rsid w:val="00CE665D"/>
    <w:rsid w:val="00CE6758"/>
    <w:rsid w:val="00CE7731"/>
    <w:rsid w:val="00CF04F6"/>
    <w:rsid w:val="00CF096F"/>
    <w:rsid w:val="00CF1226"/>
    <w:rsid w:val="00CF329F"/>
    <w:rsid w:val="00CF5DE3"/>
    <w:rsid w:val="00CF6106"/>
    <w:rsid w:val="00CF6A79"/>
    <w:rsid w:val="00CF73D7"/>
    <w:rsid w:val="00D00AAE"/>
    <w:rsid w:val="00D02D5A"/>
    <w:rsid w:val="00D03B9D"/>
    <w:rsid w:val="00D0498A"/>
    <w:rsid w:val="00D065E6"/>
    <w:rsid w:val="00D06F2D"/>
    <w:rsid w:val="00D10843"/>
    <w:rsid w:val="00D11B6A"/>
    <w:rsid w:val="00D13B2D"/>
    <w:rsid w:val="00D144FC"/>
    <w:rsid w:val="00D154A5"/>
    <w:rsid w:val="00D15660"/>
    <w:rsid w:val="00D1656B"/>
    <w:rsid w:val="00D16E7D"/>
    <w:rsid w:val="00D17731"/>
    <w:rsid w:val="00D20E86"/>
    <w:rsid w:val="00D20FB3"/>
    <w:rsid w:val="00D21DFB"/>
    <w:rsid w:val="00D227C4"/>
    <w:rsid w:val="00D23048"/>
    <w:rsid w:val="00D2352A"/>
    <w:rsid w:val="00D23DD0"/>
    <w:rsid w:val="00D2433F"/>
    <w:rsid w:val="00D251C3"/>
    <w:rsid w:val="00D263E2"/>
    <w:rsid w:val="00D26CB5"/>
    <w:rsid w:val="00D27EA0"/>
    <w:rsid w:val="00D31593"/>
    <w:rsid w:val="00D317D5"/>
    <w:rsid w:val="00D33231"/>
    <w:rsid w:val="00D342C7"/>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229D"/>
    <w:rsid w:val="00D52C8D"/>
    <w:rsid w:val="00D54C37"/>
    <w:rsid w:val="00D5779A"/>
    <w:rsid w:val="00D60971"/>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87072"/>
    <w:rsid w:val="00D90E7B"/>
    <w:rsid w:val="00D91EDC"/>
    <w:rsid w:val="00D92D94"/>
    <w:rsid w:val="00D961DB"/>
    <w:rsid w:val="00DA0625"/>
    <w:rsid w:val="00DA3748"/>
    <w:rsid w:val="00DA4C82"/>
    <w:rsid w:val="00DA651F"/>
    <w:rsid w:val="00DA671A"/>
    <w:rsid w:val="00DA756A"/>
    <w:rsid w:val="00DA7819"/>
    <w:rsid w:val="00DA78D9"/>
    <w:rsid w:val="00DA7E64"/>
    <w:rsid w:val="00DA7E6E"/>
    <w:rsid w:val="00DB07B8"/>
    <w:rsid w:val="00DB2D76"/>
    <w:rsid w:val="00DB2E60"/>
    <w:rsid w:val="00DB345B"/>
    <w:rsid w:val="00DB3871"/>
    <w:rsid w:val="00DB38BB"/>
    <w:rsid w:val="00DB45E2"/>
    <w:rsid w:val="00DB4F49"/>
    <w:rsid w:val="00DB6D5A"/>
    <w:rsid w:val="00DB72E5"/>
    <w:rsid w:val="00DC1ACA"/>
    <w:rsid w:val="00DC4772"/>
    <w:rsid w:val="00DC48CF"/>
    <w:rsid w:val="00DC5BB0"/>
    <w:rsid w:val="00DC6711"/>
    <w:rsid w:val="00DC6826"/>
    <w:rsid w:val="00DD20E3"/>
    <w:rsid w:val="00DD2605"/>
    <w:rsid w:val="00DD2AAA"/>
    <w:rsid w:val="00DD4827"/>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975"/>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169B8"/>
    <w:rsid w:val="00E21712"/>
    <w:rsid w:val="00E22883"/>
    <w:rsid w:val="00E24543"/>
    <w:rsid w:val="00E2457B"/>
    <w:rsid w:val="00E247DE"/>
    <w:rsid w:val="00E257AB"/>
    <w:rsid w:val="00E272E2"/>
    <w:rsid w:val="00E274DF"/>
    <w:rsid w:val="00E27BFC"/>
    <w:rsid w:val="00E3212A"/>
    <w:rsid w:val="00E32221"/>
    <w:rsid w:val="00E32512"/>
    <w:rsid w:val="00E333C7"/>
    <w:rsid w:val="00E3374E"/>
    <w:rsid w:val="00E33A7F"/>
    <w:rsid w:val="00E34A79"/>
    <w:rsid w:val="00E37644"/>
    <w:rsid w:val="00E376F7"/>
    <w:rsid w:val="00E4104D"/>
    <w:rsid w:val="00E41293"/>
    <w:rsid w:val="00E41C3F"/>
    <w:rsid w:val="00E41CE3"/>
    <w:rsid w:val="00E44479"/>
    <w:rsid w:val="00E45108"/>
    <w:rsid w:val="00E4622A"/>
    <w:rsid w:val="00E475F0"/>
    <w:rsid w:val="00E5099A"/>
    <w:rsid w:val="00E50CA8"/>
    <w:rsid w:val="00E519D9"/>
    <w:rsid w:val="00E52080"/>
    <w:rsid w:val="00E52A4C"/>
    <w:rsid w:val="00E536DE"/>
    <w:rsid w:val="00E538E6"/>
    <w:rsid w:val="00E5535A"/>
    <w:rsid w:val="00E553E9"/>
    <w:rsid w:val="00E563DF"/>
    <w:rsid w:val="00E569B2"/>
    <w:rsid w:val="00E577FD"/>
    <w:rsid w:val="00E607D9"/>
    <w:rsid w:val="00E61098"/>
    <w:rsid w:val="00E619A4"/>
    <w:rsid w:val="00E62177"/>
    <w:rsid w:val="00E622AF"/>
    <w:rsid w:val="00E62A45"/>
    <w:rsid w:val="00E62F62"/>
    <w:rsid w:val="00E638EF"/>
    <w:rsid w:val="00E645FC"/>
    <w:rsid w:val="00E6494D"/>
    <w:rsid w:val="00E65A46"/>
    <w:rsid w:val="00E6634F"/>
    <w:rsid w:val="00E6716A"/>
    <w:rsid w:val="00E67F40"/>
    <w:rsid w:val="00E70167"/>
    <w:rsid w:val="00E703C3"/>
    <w:rsid w:val="00E73F29"/>
    <w:rsid w:val="00E74899"/>
    <w:rsid w:val="00E759B1"/>
    <w:rsid w:val="00E77773"/>
    <w:rsid w:val="00E779AA"/>
    <w:rsid w:val="00E80333"/>
    <w:rsid w:val="00E8107B"/>
    <w:rsid w:val="00E83629"/>
    <w:rsid w:val="00E838DB"/>
    <w:rsid w:val="00E83F7E"/>
    <w:rsid w:val="00E865F0"/>
    <w:rsid w:val="00E868E7"/>
    <w:rsid w:val="00E9310C"/>
    <w:rsid w:val="00E93979"/>
    <w:rsid w:val="00E93CD3"/>
    <w:rsid w:val="00E93F61"/>
    <w:rsid w:val="00E9501F"/>
    <w:rsid w:val="00E95425"/>
    <w:rsid w:val="00E962BC"/>
    <w:rsid w:val="00E9676A"/>
    <w:rsid w:val="00EA379C"/>
    <w:rsid w:val="00EA47EF"/>
    <w:rsid w:val="00EA47FB"/>
    <w:rsid w:val="00EA4CB5"/>
    <w:rsid w:val="00EA6607"/>
    <w:rsid w:val="00EA67B2"/>
    <w:rsid w:val="00EA6D52"/>
    <w:rsid w:val="00EA72B1"/>
    <w:rsid w:val="00EB0757"/>
    <w:rsid w:val="00EB3C74"/>
    <w:rsid w:val="00EB5926"/>
    <w:rsid w:val="00EB5D98"/>
    <w:rsid w:val="00EB7A35"/>
    <w:rsid w:val="00EC027A"/>
    <w:rsid w:val="00EC05B4"/>
    <w:rsid w:val="00EC074E"/>
    <w:rsid w:val="00EC0B10"/>
    <w:rsid w:val="00EC33EA"/>
    <w:rsid w:val="00EC41C2"/>
    <w:rsid w:val="00EC4E71"/>
    <w:rsid w:val="00EC543E"/>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4F3B"/>
    <w:rsid w:val="00EE5BA1"/>
    <w:rsid w:val="00EE6714"/>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0DE0"/>
    <w:rsid w:val="00F1597D"/>
    <w:rsid w:val="00F16EF8"/>
    <w:rsid w:val="00F16FAB"/>
    <w:rsid w:val="00F170B7"/>
    <w:rsid w:val="00F1723E"/>
    <w:rsid w:val="00F21CA5"/>
    <w:rsid w:val="00F22BB5"/>
    <w:rsid w:val="00F255B6"/>
    <w:rsid w:val="00F25E47"/>
    <w:rsid w:val="00F26ED7"/>
    <w:rsid w:val="00F31625"/>
    <w:rsid w:val="00F31BDC"/>
    <w:rsid w:val="00F32232"/>
    <w:rsid w:val="00F32242"/>
    <w:rsid w:val="00F3368C"/>
    <w:rsid w:val="00F358FE"/>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55D"/>
    <w:rsid w:val="00F70887"/>
    <w:rsid w:val="00F70A7D"/>
    <w:rsid w:val="00F7194A"/>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C53"/>
    <w:rsid w:val="00F97EE2"/>
    <w:rsid w:val="00FA0643"/>
    <w:rsid w:val="00FA0810"/>
    <w:rsid w:val="00FA106C"/>
    <w:rsid w:val="00FA14B5"/>
    <w:rsid w:val="00FA16BB"/>
    <w:rsid w:val="00FA2895"/>
    <w:rsid w:val="00FA29A4"/>
    <w:rsid w:val="00FA3DD7"/>
    <w:rsid w:val="00FA4D12"/>
    <w:rsid w:val="00FA5031"/>
    <w:rsid w:val="00FA56FF"/>
    <w:rsid w:val="00FB106B"/>
    <w:rsid w:val="00FB27B2"/>
    <w:rsid w:val="00FB4326"/>
    <w:rsid w:val="00FB4C6F"/>
    <w:rsid w:val="00FB64A1"/>
    <w:rsid w:val="00FB6732"/>
    <w:rsid w:val="00FB7D16"/>
    <w:rsid w:val="00FC0858"/>
    <w:rsid w:val="00FC110D"/>
    <w:rsid w:val="00FC25EC"/>
    <w:rsid w:val="00FC3800"/>
    <w:rsid w:val="00FC4024"/>
    <w:rsid w:val="00FC4527"/>
    <w:rsid w:val="00FC65BE"/>
    <w:rsid w:val="00FC70C0"/>
    <w:rsid w:val="00FC7307"/>
    <w:rsid w:val="00FD1EEA"/>
    <w:rsid w:val="00FD30C0"/>
    <w:rsid w:val="00FD33CF"/>
    <w:rsid w:val="00FD36CA"/>
    <w:rsid w:val="00FD3B41"/>
    <w:rsid w:val="00FD4E22"/>
    <w:rsid w:val="00FD5D24"/>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A7C8C"/>
    <w:pPr>
      <w:spacing w:line="240" w:lineRule="auto"/>
    </w:pPr>
    <w:rPr>
      <w:sz w:val="20"/>
      <w:szCs w:val="20"/>
    </w:rPr>
  </w:style>
  <w:style w:type="character" w:customStyle="1" w:styleId="FootnoteTextChar">
    <w:name w:val="Footnote Text Char"/>
    <w:basedOn w:val="DefaultParagraphFont"/>
    <w:link w:val="FootnoteText"/>
    <w:uiPriority w:val="99"/>
    <w:semiHidden/>
    <w:rsid w:val="005A7C8C"/>
    <w:rPr>
      <w:sz w:val="20"/>
      <w:szCs w:val="20"/>
    </w:rPr>
  </w:style>
  <w:style w:type="character" w:styleId="FootnoteReference">
    <w:name w:val="footnote reference"/>
    <w:basedOn w:val="DefaultParagraphFont"/>
    <w:uiPriority w:val="99"/>
    <w:semiHidden/>
    <w:unhideWhenUsed/>
    <w:rsid w:val="005A7C8C"/>
    <w:rPr>
      <w:vertAlign w:val="superscript"/>
    </w:rPr>
  </w:style>
  <w:style w:type="paragraph" w:styleId="Footer">
    <w:name w:val="footer"/>
    <w:basedOn w:val="Normal"/>
    <w:link w:val="FooterChar"/>
    <w:uiPriority w:val="99"/>
    <w:unhideWhenUsed/>
    <w:rsid w:val="005A7C8C"/>
    <w:pPr>
      <w:tabs>
        <w:tab w:val="center" w:pos="4680"/>
        <w:tab w:val="right" w:pos="9360"/>
      </w:tabs>
      <w:spacing w:line="240" w:lineRule="auto"/>
    </w:pPr>
  </w:style>
  <w:style w:type="character" w:customStyle="1" w:styleId="FooterChar">
    <w:name w:val="Footer Char"/>
    <w:basedOn w:val="DefaultParagraphFont"/>
    <w:link w:val="Footer"/>
    <w:uiPriority w:val="99"/>
    <w:rsid w:val="005A7C8C"/>
  </w:style>
  <w:style w:type="paragraph" w:styleId="Header">
    <w:name w:val="header"/>
    <w:basedOn w:val="Normal"/>
    <w:link w:val="HeaderChar"/>
    <w:uiPriority w:val="99"/>
    <w:unhideWhenUsed/>
    <w:rsid w:val="009C6E19"/>
    <w:pPr>
      <w:tabs>
        <w:tab w:val="center" w:pos="4680"/>
        <w:tab w:val="right" w:pos="9360"/>
      </w:tabs>
      <w:spacing w:line="240" w:lineRule="auto"/>
    </w:pPr>
  </w:style>
  <w:style w:type="character" w:customStyle="1" w:styleId="HeaderChar">
    <w:name w:val="Header Char"/>
    <w:basedOn w:val="DefaultParagraphFont"/>
    <w:link w:val="Header"/>
    <w:uiPriority w:val="99"/>
    <w:rsid w:val="009C6E19"/>
  </w:style>
  <w:style w:type="paragraph" w:styleId="BalloonText">
    <w:name w:val="Balloon Text"/>
    <w:basedOn w:val="Normal"/>
    <w:link w:val="BalloonTextChar"/>
    <w:uiPriority w:val="99"/>
    <w:semiHidden/>
    <w:unhideWhenUsed/>
    <w:rsid w:val="000163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3AF"/>
    <w:rPr>
      <w:rFonts w:ascii="Tahoma" w:hAnsi="Tahoma" w:cs="Tahoma"/>
      <w:sz w:val="16"/>
      <w:szCs w:val="16"/>
    </w:rPr>
  </w:style>
  <w:style w:type="paragraph" w:styleId="ListParagraph">
    <w:name w:val="List Paragraph"/>
    <w:basedOn w:val="Normal"/>
    <w:uiPriority w:val="34"/>
    <w:qFormat/>
    <w:rsid w:val="00B525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A7C8C"/>
    <w:pPr>
      <w:spacing w:line="240" w:lineRule="auto"/>
    </w:pPr>
    <w:rPr>
      <w:sz w:val="20"/>
      <w:szCs w:val="20"/>
    </w:rPr>
  </w:style>
  <w:style w:type="character" w:customStyle="1" w:styleId="FootnoteTextChar">
    <w:name w:val="Footnote Text Char"/>
    <w:basedOn w:val="DefaultParagraphFont"/>
    <w:link w:val="FootnoteText"/>
    <w:uiPriority w:val="99"/>
    <w:semiHidden/>
    <w:rsid w:val="005A7C8C"/>
    <w:rPr>
      <w:sz w:val="20"/>
      <w:szCs w:val="20"/>
    </w:rPr>
  </w:style>
  <w:style w:type="character" w:styleId="FootnoteReference">
    <w:name w:val="footnote reference"/>
    <w:basedOn w:val="DefaultParagraphFont"/>
    <w:uiPriority w:val="99"/>
    <w:semiHidden/>
    <w:unhideWhenUsed/>
    <w:rsid w:val="005A7C8C"/>
    <w:rPr>
      <w:vertAlign w:val="superscript"/>
    </w:rPr>
  </w:style>
  <w:style w:type="paragraph" w:styleId="Footer">
    <w:name w:val="footer"/>
    <w:basedOn w:val="Normal"/>
    <w:link w:val="FooterChar"/>
    <w:uiPriority w:val="99"/>
    <w:unhideWhenUsed/>
    <w:rsid w:val="005A7C8C"/>
    <w:pPr>
      <w:tabs>
        <w:tab w:val="center" w:pos="4680"/>
        <w:tab w:val="right" w:pos="9360"/>
      </w:tabs>
      <w:spacing w:line="240" w:lineRule="auto"/>
    </w:pPr>
  </w:style>
  <w:style w:type="character" w:customStyle="1" w:styleId="FooterChar">
    <w:name w:val="Footer Char"/>
    <w:basedOn w:val="DefaultParagraphFont"/>
    <w:link w:val="Footer"/>
    <w:uiPriority w:val="99"/>
    <w:rsid w:val="005A7C8C"/>
  </w:style>
  <w:style w:type="paragraph" w:styleId="Header">
    <w:name w:val="header"/>
    <w:basedOn w:val="Normal"/>
    <w:link w:val="HeaderChar"/>
    <w:uiPriority w:val="99"/>
    <w:unhideWhenUsed/>
    <w:rsid w:val="009C6E19"/>
    <w:pPr>
      <w:tabs>
        <w:tab w:val="center" w:pos="4680"/>
        <w:tab w:val="right" w:pos="9360"/>
      </w:tabs>
      <w:spacing w:line="240" w:lineRule="auto"/>
    </w:pPr>
  </w:style>
  <w:style w:type="character" w:customStyle="1" w:styleId="HeaderChar">
    <w:name w:val="Header Char"/>
    <w:basedOn w:val="DefaultParagraphFont"/>
    <w:link w:val="Header"/>
    <w:uiPriority w:val="99"/>
    <w:rsid w:val="009C6E19"/>
  </w:style>
  <w:style w:type="paragraph" w:styleId="BalloonText">
    <w:name w:val="Balloon Text"/>
    <w:basedOn w:val="Normal"/>
    <w:link w:val="BalloonTextChar"/>
    <w:uiPriority w:val="99"/>
    <w:semiHidden/>
    <w:unhideWhenUsed/>
    <w:rsid w:val="000163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3AF"/>
    <w:rPr>
      <w:rFonts w:ascii="Tahoma" w:hAnsi="Tahoma" w:cs="Tahoma"/>
      <w:sz w:val="16"/>
      <w:szCs w:val="16"/>
    </w:rPr>
  </w:style>
  <w:style w:type="paragraph" w:styleId="ListParagraph">
    <w:name w:val="List Paragraph"/>
    <w:basedOn w:val="Normal"/>
    <w:uiPriority w:val="34"/>
    <w:qFormat/>
    <w:rsid w:val="00B52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D9D4B-D93D-4206-BAB3-4CDFD10A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3731</Words>
  <Characters>21273</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2013-02-08T18:48:00Z</cp:lastPrinted>
  <dcterms:created xsi:type="dcterms:W3CDTF">2015-11-18T20:08:00Z</dcterms:created>
  <dcterms:modified xsi:type="dcterms:W3CDTF">2015-11-18T20:08:00Z</dcterms:modified>
</cp:coreProperties>
</file>