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4" w:type="dxa"/>
        <w:tblLayout w:type="fixed"/>
        <w:tblLook w:val="04A0" w:firstRow="1" w:lastRow="0" w:firstColumn="1" w:lastColumn="0" w:noHBand="0" w:noVBand="1"/>
      </w:tblPr>
      <w:tblGrid>
        <w:gridCol w:w="2449"/>
        <w:gridCol w:w="4233"/>
        <w:gridCol w:w="2882"/>
      </w:tblGrid>
      <w:tr w:rsidR="00415BA8" w:rsidTr="00415BA8">
        <w:tc>
          <w:tcPr>
            <w:tcW w:w="2448" w:type="dxa"/>
            <w:hideMark/>
          </w:tcPr>
          <w:p w:rsidR="00415BA8" w:rsidRDefault="00415BA8">
            <w:pPr>
              <w:rPr>
                <w:color w:val="auto"/>
                <w:sz w:val="26"/>
                <w:szCs w:val="26"/>
              </w:rPr>
            </w:pPr>
          </w:p>
        </w:tc>
        <w:tc>
          <w:tcPr>
            <w:tcW w:w="4230" w:type="dxa"/>
            <w:hideMark/>
          </w:tcPr>
          <w:p w:rsidR="00415BA8" w:rsidRDefault="00415BA8">
            <w:pPr>
              <w:jc w:val="center"/>
              <w:rPr>
                <w:b/>
                <w:color w:val="auto"/>
                <w:sz w:val="26"/>
                <w:szCs w:val="26"/>
              </w:rPr>
            </w:pPr>
            <w:r>
              <w:rPr>
                <w:b/>
                <w:color w:val="auto"/>
                <w:sz w:val="26"/>
                <w:szCs w:val="26"/>
              </w:rPr>
              <w:t>PENNSYLVANIA</w:t>
            </w:r>
          </w:p>
          <w:p w:rsidR="00415BA8" w:rsidRDefault="00415BA8">
            <w:pPr>
              <w:jc w:val="center"/>
              <w:rPr>
                <w:b/>
                <w:color w:val="auto"/>
                <w:sz w:val="26"/>
                <w:szCs w:val="26"/>
              </w:rPr>
            </w:pPr>
            <w:r>
              <w:rPr>
                <w:b/>
                <w:color w:val="auto"/>
                <w:sz w:val="26"/>
                <w:szCs w:val="26"/>
              </w:rPr>
              <w:t>PUBLIC UTILITY COMMISSION</w:t>
            </w:r>
          </w:p>
          <w:p w:rsidR="00415BA8" w:rsidRDefault="00415BA8">
            <w:pPr>
              <w:jc w:val="center"/>
              <w:rPr>
                <w:color w:val="auto"/>
                <w:sz w:val="26"/>
                <w:szCs w:val="26"/>
              </w:rPr>
            </w:pPr>
            <w:r>
              <w:rPr>
                <w:b/>
                <w:color w:val="auto"/>
                <w:sz w:val="26"/>
                <w:szCs w:val="26"/>
              </w:rPr>
              <w:t>Harrisburg, PA  17105-3265</w:t>
            </w:r>
          </w:p>
        </w:tc>
        <w:tc>
          <w:tcPr>
            <w:tcW w:w="2880" w:type="dxa"/>
          </w:tcPr>
          <w:p w:rsidR="00415BA8" w:rsidRDefault="00415BA8">
            <w:pPr>
              <w:jc w:val="center"/>
              <w:rPr>
                <w:color w:val="auto"/>
                <w:sz w:val="26"/>
                <w:szCs w:val="26"/>
              </w:rPr>
            </w:pPr>
          </w:p>
        </w:tc>
      </w:tr>
      <w:tr w:rsidR="00415BA8" w:rsidTr="00415BA8">
        <w:tc>
          <w:tcPr>
            <w:tcW w:w="2448" w:type="dxa"/>
          </w:tcPr>
          <w:p w:rsidR="00415BA8" w:rsidRDefault="00415BA8">
            <w:pPr>
              <w:rPr>
                <w:color w:val="auto"/>
                <w:sz w:val="26"/>
                <w:szCs w:val="26"/>
              </w:rPr>
            </w:pPr>
          </w:p>
        </w:tc>
        <w:tc>
          <w:tcPr>
            <w:tcW w:w="4230" w:type="dxa"/>
          </w:tcPr>
          <w:p w:rsidR="00415BA8" w:rsidRDefault="00415BA8">
            <w:pPr>
              <w:rPr>
                <w:color w:val="auto"/>
                <w:sz w:val="26"/>
                <w:szCs w:val="26"/>
              </w:rPr>
            </w:pPr>
          </w:p>
        </w:tc>
        <w:tc>
          <w:tcPr>
            <w:tcW w:w="2880" w:type="dxa"/>
          </w:tcPr>
          <w:p w:rsidR="00415BA8" w:rsidRDefault="00415BA8">
            <w:pPr>
              <w:rPr>
                <w:color w:val="auto"/>
                <w:sz w:val="26"/>
                <w:szCs w:val="26"/>
              </w:rPr>
            </w:pPr>
          </w:p>
        </w:tc>
      </w:tr>
    </w:tbl>
    <w:p w:rsidR="00415BA8" w:rsidRDefault="00415BA8" w:rsidP="00415BA8">
      <w:pPr>
        <w:rPr>
          <w:color w:val="auto"/>
          <w:sz w:val="26"/>
          <w:szCs w:val="26"/>
        </w:rPr>
      </w:pPr>
    </w:p>
    <w:tbl>
      <w:tblPr>
        <w:tblW w:w="9564" w:type="dxa"/>
        <w:tblLayout w:type="fixed"/>
        <w:tblLook w:val="04A0" w:firstRow="1" w:lastRow="0" w:firstColumn="1" w:lastColumn="0" w:noHBand="0" w:noVBand="1"/>
      </w:tblPr>
      <w:tblGrid>
        <w:gridCol w:w="4251"/>
        <w:gridCol w:w="5313"/>
      </w:tblGrid>
      <w:tr w:rsidR="00415BA8" w:rsidTr="00415BA8">
        <w:tc>
          <w:tcPr>
            <w:tcW w:w="4248" w:type="dxa"/>
          </w:tcPr>
          <w:p w:rsidR="00415BA8" w:rsidRDefault="00415BA8">
            <w:pPr>
              <w:rPr>
                <w:color w:val="auto"/>
                <w:sz w:val="26"/>
                <w:szCs w:val="26"/>
              </w:rPr>
            </w:pPr>
          </w:p>
        </w:tc>
        <w:tc>
          <w:tcPr>
            <w:tcW w:w="5310" w:type="dxa"/>
            <w:hideMark/>
          </w:tcPr>
          <w:p w:rsidR="00415BA8" w:rsidRDefault="00415BA8">
            <w:pPr>
              <w:ind w:left="720" w:firstLine="72"/>
              <w:rPr>
                <w:color w:val="auto"/>
                <w:sz w:val="26"/>
                <w:szCs w:val="26"/>
              </w:rPr>
            </w:pPr>
            <w:r>
              <w:rPr>
                <w:color w:val="auto"/>
                <w:sz w:val="26"/>
                <w:szCs w:val="26"/>
              </w:rPr>
              <w:t>Public Meeting held November 19, 2015</w:t>
            </w:r>
          </w:p>
        </w:tc>
      </w:tr>
      <w:tr w:rsidR="00415BA8" w:rsidTr="00415BA8">
        <w:tc>
          <w:tcPr>
            <w:tcW w:w="4248" w:type="dxa"/>
            <w:hideMark/>
          </w:tcPr>
          <w:p w:rsidR="00415BA8" w:rsidRDefault="00415BA8">
            <w:pPr>
              <w:rPr>
                <w:color w:val="auto"/>
                <w:sz w:val="26"/>
                <w:szCs w:val="26"/>
              </w:rPr>
            </w:pPr>
            <w:r>
              <w:rPr>
                <w:color w:val="auto"/>
                <w:sz w:val="26"/>
                <w:szCs w:val="26"/>
              </w:rPr>
              <w:t>Commissioners Present:</w:t>
            </w:r>
          </w:p>
        </w:tc>
        <w:tc>
          <w:tcPr>
            <w:tcW w:w="5310" w:type="dxa"/>
          </w:tcPr>
          <w:p w:rsidR="00415BA8" w:rsidRDefault="00415BA8">
            <w:pPr>
              <w:rPr>
                <w:color w:val="auto"/>
                <w:sz w:val="26"/>
                <w:szCs w:val="26"/>
              </w:rPr>
            </w:pPr>
          </w:p>
        </w:tc>
      </w:tr>
    </w:tbl>
    <w:p w:rsidR="00415BA8" w:rsidRDefault="00415BA8" w:rsidP="00415BA8">
      <w:pPr>
        <w:rPr>
          <w:color w:val="auto"/>
          <w:sz w:val="26"/>
          <w:szCs w:val="26"/>
        </w:rPr>
      </w:pPr>
    </w:p>
    <w:tbl>
      <w:tblPr>
        <w:tblW w:w="9564" w:type="dxa"/>
        <w:tblLayout w:type="fixed"/>
        <w:tblLook w:val="04A0" w:firstRow="1" w:lastRow="0" w:firstColumn="1" w:lastColumn="0" w:noHBand="0" w:noVBand="1"/>
      </w:tblPr>
      <w:tblGrid>
        <w:gridCol w:w="9564"/>
      </w:tblGrid>
      <w:tr w:rsidR="00415BA8" w:rsidTr="00415BA8">
        <w:tc>
          <w:tcPr>
            <w:tcW w:w="9558" w:type="dxa"/>
            <w:hideMark/>
          </w:tcPr>
          <w:tbl>
            <w:tblPr>
              <w:tblW w:w="9564" w:type="dxa"/>
              <w:tblLayout w:type="fixed"/>
              <w:tblLook w:val="04A0" w:firstRow="1" w:lastRow="0" w:firstColumn="1" w:lastColumn="0" w:noHBand="0" w:noVBand="1"/>
            </w:tblPr>
            <w:tblGrid>
              <w:gridCol w:w="8293"/>
              <w:gridCol w:w="1271"/>
            </w:tblGrid>
            <w:tr w:rsidR="00415BA8">
              <w:trPr>
                <w:gridAfter w:val="1"/>
                <w:wAfter w:w="720" w:type="dxa"/>
              </w:trPr>
              <w:tc>
                <w:tcPr>
                  <w:tcW w:w="4698" w:type="dxa"/>
                  <w:hideMark/>
                </w:tcPr>
                <w:p w:rsidR="00415BA8" w:rsidRDefault="00415BA8">
                  <w:pPr>
                    <w:rPr>
                      <w:color w:val="auto"/>
                      <w:sz w:val="26"/>
                      <w:szCs w:val="26"/>
                    </w:rPr>
                  </w:pPr>
                  <w:r>
                    <w:rPr>
                      <w:color w:val="auto"/>
                      <w:sz w:val="26"/>
                      <w:szCs w:val="26"/>
                    </w:rPr>
                    <w:t xml:space="preserve">     Gladys M. Brown, Chairman</w:t>
                  </w:r>
                </w:p>
              </w:tc>
            </w:tr>
            <w:tr w:rsidR="00415BA8">
              <w:tc>
                <w:tcPr>
                  <w:tcW w:w="5418" w:type="dxa"/>
                  <w:gridSpan w:val="2"/>
                  <w:hideMark/>
                </w:tcPr>
                <w:p w:rsidR="00415BA8" w:rsidRDefault="00415BA8">
                  <w:pPr>
                    <w:rPr>
                      <w:color w:val="auto"/>
                      <w:sz w:val="26"/>
                      <w:szCs w:val="26"/>
                    </w:rPr>
                  </w:pPr>
                  <w:r>
                    <w:rPr>
                      <w:color w:val="auto"/>
                      <w:sz w:val="26"/>
                      <w:szCs w:val="26"/>
                    </w:rPr>
                    <w:t xml:space="preserve">     John F. Coleman, Jr., Vice Chairman</w:t>
                  </w:r>
                </w:p>
              </w:tc>
            </w:tr>
            <w:tr w:rsidR="00415BA8">
              <w:trPr>
                <w:gridAfter w:val="1"/>
                <w:wAfter w:w="720" w:type="dxa"/>
              </w:trPr>
              <w:tc>
                <w:tcPr>
                  <w:tcW w:w="4698" w:type="dxa"/>
                  <w:hideMark/>
                </w:tcPr>
                <w:p w:rsidR="00415BA8" w:rsidRDefault="00415BA8">
                  <w:pPr>
                    <w:rPr>
                      <w:color w:val="auto"/>
                      <w:sz w:val="26"/>
                      <w:szCs w:val="26"/>
                    </w:rPr>
                  </w:pPr>
                  <w:r>
                    <w:rPr>
                      <w:color w:val="auto"/>
                      <w:sz w:val="26"/>
                      <w:szCs w:val="26"/>
                    </w:rPr>
                    <w:t xml:space="preserve">     Pamela A. Witmer</w:t>
                  </w:r>
                </w:p>
              </w:tc>
            </w:tr>
            <w:tr w:rsidR="00415BA8">
              <w:trPr>
                <w:gridAfter w:val="1"/>
                <w:wAfter w:w="720" w:type="dxa"/>
              </w:trPr>
              <w:tc>
                <w:tcPr>
                  <w:tcW w:w="4698" w:type="dxa"/>
                </w:tcPr>
                <w:p w:rsidR="00415BA8" w:rsidRDefault="00415BA8">
                  <w:pPr>
                    <w:rPr>
                      <w:color w:val="auto"/>
                      <w:sz w:val="26"/>
                      <w:szCs w:val="26"/>
                    </w:rPr>
                  </w:pPr>
                  <w:r>
                    <w:rPr>
                      <w:color w:val="auto"/>
                      <w:sz w:val="26"/>
                      <w:szCs w:val="26"/>
                    </w:rPr>
                    <w:t xml:space="preserve">     Robert F. Powelson</w:t>
                  </w:r>
                </w:p>
                <w:p w:rsidR="00415BA8" w:rsidRDefault="00415BA8">
                  <w:pPr>
                    <w:rPr>
                      <w:color w:val="auto"/>
                      <w:sz w:val="26"/>
                      <w:szCs w:val="26"/>
                    </w:rPr>
                  </w:pPr>
                  <w:r>
                    <w:rPr>
                      <w:color w:val="auto"/>
                      <w:sz w:val="26"/>
                      <w:szCs w:val="26"/>
                    </w:rPr>
                    <w:t xml:space="preserve">     Andrew G. Place</w:t>
                  </w:r>
                </w:p>
                <w:p w:rsidR="00415BA8" w:rsidRDefault="00415BA8">
                  <w:pPr>
                    <w:rPr>
                      <w:color w:val="auto"/>
                      <w:sz w:val="26"/>
                      <w:szCs w:val="26"/>
                    </w:rPr>
                  </w:pPr>
                </w:p>
              </w:tc>
            </w:tr>
          </w:tbl>
          <w:p w:rsidR="00415BA8" w:rsidRDefault="00415BA8">
            <w:pPr>
              <w:rPr>
                <w:sz w:val="26"/>
                <w:szCs w:val="26"/>
              </w:rPr>
            </w:pPr>
          </w:p>
        </w:tc>
      </w:tr>
    </w:tbl>
    <w:p w:rsidR="00415BA8" w:rsidRDefault="00415BA8" w:rsidP="00415BA8">
      <w:pPr>
        <w:rPr>
          <w:color w:val="auto"/>
          <w:sz w:val="26"/>
          <w:szCs w:val="26"/>
        </w:rPr>
      </w:pPr>
    </w:p>
    <w:tbl>
      <w:tblPr>
        <w:tblW w:w="10284" w:type="dxa"/>
        <w:tblLayout w:type="fixed"/>
        <w:tblLook w:val="04A0" w:firstRow="1" w:lastRow="0" w:firstColumn="1" w:lastColumn="0" w:noHBand="0" w:noVBand="1"/>
      </w:tblPr>
      <w:tblGrid>
        <w:gridCol w:w="6502"/>
        <w:gridCol w:w="3782"/>
      </w:tblGrid>
      <w:tr w:rsidR="00415BA8" w:rsidTr="00415BA8">
        <w:tc>
          <w:tcPr>
            <w:tcW w:w="6498" w:type="dxa"/>
          </w:tcPr>
          <w:p w:rsidR="00415BA8" w:rsidRDefault="00415BA8">
            <w:pPr>
              <w:rPr>
                <w:color w:val="auto"/>
                <w:sz w:val="26"/>
                <w:szCs w:val="26"/>
              </w:rPr>
            </w:pPr>
          </w:p>
          <w:p w:rsidR="00415BA8" w:rsidRDefault="008E3BB1">
            <w:pPr>
              <w:rPr>
                <w:color w:val="auto"/>
                <w:sz w:val="26"/>
                <w:szCs w:val="26"/>
              </w:rPr>
            </w:pPr>
            <w:r>
              <w:rPr>
                <w:color w:val="auto"/>
                <w:sz w:val="26"/>
                <w:szCs w:val="26"/>
              </w:rPr>
              <w:t xml:space="preserve">Pennsylvania Electric Company </w:t>
            </w:r>
            <w:r w:rsidR="004626FC">
              <w:rPr>
                <w:color w:val="auto"/>
                <w:sz w:val="26"/>
                <w:szCs w:val="26"/>
              </w:rPr>
              <w:t>Supplement No. 7</w:t>
            </w:r>
            <w:r w:rsidR="00415BA8">
              <w:rPr>
                <w:color w:val="auto"/>
                <w:sz w:val="26"/>
                <w:szCs w:val="26"/>
              </w:rPr>
              <w:t xml:space="preserve"> to Tariff </w:t>
            </w:r>
          </w:p>
          <w:p w:rsidR="00415BA8" w:rsidRDefault="004626FC" w:rsidP="004B4644">
            <w:pPr>
              <w:rPr>
                <w:color w:val="auto"/>
                <w:sz w:val="26"/>
                <w:szCs w:val="26"/>
              </w:rPr>
            </w:pPr>
            <w:r>
              <w:rPr>
                <w:color w:val="auto"/>
                <w:sz w:val="26"/>
                <w:szCs w:val="26"/>
              </w:rPr>
              <w:t>Electric Pa. P.U.C. No. 81</w:t>
            </w:r>
          </w:p>
        </w:tc>
        <w:tc>
          <w:tcPr>
            <w:tcW w:w="3780" w:type="dxa"/>
            <w:vAlign w:val="center"/>
          </w:tcPr>
          <w:p w:rsidR="004B4644" w:rsidRDefault="004B4644">
            <w:pPr>
              <w:rPr>
                <w:color w:val="auto"/>
                <w:sz w:val="26"/>
                <w:szCs w:val="26"/>
              </w:rPr>
            </w:pPr>
          </w:p>
          <w:p w:rsidR="00415BA8" w:rsidRDefault="00415BA8">
            <w:pPr>
              <w:rPr>
                <w:color w:val="auto"/>
                <w:sz w:val="26"/>
                <w:szCs w:val="26"/>
              </w:rPr>
            </w:pPr>
            <w:r>
              <w:rPr>
                <w:color w:val="auto"/>
                <w:sz w:val="26"/>
                <w:szCs w:val="26"/>
              </w:rPr>
              <w:t>Docket Number:</w:t>
            </w:r>
          </w:p>
          <w:p w:rsidR="00415BA8" w:rsidRDefault="004626FC">
            <w:pPr>
              <w:rPr>
                <w:color w:val="auto"/>
                <w:sz w:val="26"/>
                <w:szCs w:val="26"/>
              </w:rPr>
            </w:pPr>
            <w:r>
              <w:rPr>
                <w:color w:val="auto"/>
                <w:sz w:val="26"/>
                <w:szCs w:val="26"/>
              </w:rPr>
              <w:t>R-2015-2496897</w:t>
            </w:r>
          </w:p>
          <w:p w:rsidR="00415BA8" w:rsidRDefault="00415BA8">
            <w:pPr>
              <w:rPr>
                <w:color w:val="auto"/>
                <w:sz w:val="26"/>
                <w:szCs w:val="26"/>
              </w:rPr>
            </w:pPr>
          </w:p>
        </w:tc>
      </w:tr>
    </w:tbl>
    <w:p w:rsidR="00415BA8" w:rsidRDefault="00415BA8" w:rsidP="00415BA8">
      <w:pPr>
        <w:pStyle w:val="Heading1"/>
        <w:rPr>
          <w:color w:val="auto"/>
          <w:szCs w:val="26"/>
        </w:rPr>
      </w:pPr>
      <w:r>
        <w:rPr>
          <w:color w:val="auto"/>
          <w:szCs w:val="26"/>
        </w:rPr>
        <w:t>ORDER</w:t>
      </w:r>
    </w:p>
    <w:p w:rsidR="00415BA8" w:rsidRDefault="00415BA8" w:rsidP="00415BA8">
      <w:pPr>
        <w:jc w:val="center"/>
        <w:rPr>
          <w:b/>
          <w:color w:val="auto"/>
          <w:sz w:val="26"/>
          <w:szCs w:val="26"/>
        </w:rPr>
      </w:pPr>
    </w:p>
    <w:p w:rsidR="00415BA8" w:rsidRDefault="00415BA8" w:rsidP="00415BA8">
      <w:pPr>
        <w:spacing w:line="360" w:lineRule="auto"/>
        <w:rPr>
          <w:b/>
          <w:color w:val="auto"/>
          <w:sz w:val="26"/>
          <w:szCs w:val="26"/>
        </w:rPr>
      </w:pPr>
      <w:r>
        <w:rPr>
          <w:b/>
          <w:color w:val="auto"/>
          <w:sz w:val="26"/>
          <w:szCs w:val="26"/>
        </w:rPr>
        <w:t>BY THE COMMISSION:</w:t>
      </w:r>
    </w:p>
    <w:p w:rsidR="00BB031B" w:rsidRDefault="00BB031B" w:rsidP="00415BA8">
      <w:pPr>
        <w:spacing w:line="360" w:lineRule="auto"/>
        <w:rPr>
          <w:b/>
          <w:color w:val="auto"/>
          <w:sz w:val="26"/>
          <w:szCs w:val="26"/>
        </w:rPr>
      </w:pPr>
    </w:p>
    <w:p w:rsidR="00BB031B" w:rsidRPr="00F025F1" w:rsidRDefault="00BB031B" w:rsidP="00BB031B">
      <w:pPr>
        <w:spacing w:line="360" w:lineRule="auto"/>
        <w:rPr>
          <w:color w:val="auto"/>
          <w:sz w:val="26"/>
          <w:szCs w:val="26"/>
        </w:rPr>
      </w:pPr>
      <w:r w:rsidRPr="00F025F1">
        <w:rPr>
          <w:color w:val="auto"/>
          <w:sz w:val="26"/>
          <w:szCs w:val="26"/>
        </w:rPr>
        <w:tab/>
      </w:r>
      <w:r w:rsidRPr="00F025F1">
        <w:rPr>
          <w:color w:val="auto"/>
          <w:sz w:val="26"/>
          <w:szCs w:val="26"/>
        </w:rPr>
        <w:tab/>
        <w:t xml:space="preserve">On August 7, 2015, </w:t>
      </w:r>
      <w:r>
        <w:rPr>
          <w:color w:val="auto"/>
          <w:sz w:val="26"/>
          <w:szCs w:val="26"/>
        </w:rPr>
        <w:t xml:space="preserve">Pennsylvania Electric Company </w:t>
      </w:r>
      <w:r w:rsidRPr="00F025F1">
        <w:rPr>
          <w:color w:val="auto"/>
          <w:sz w:val="26"/>
          <w:szCs w:val="26"/>
        </w:rPr>
        <w:t>(P</w:t>
      </w:r>
      <w:r>
        <w:rPr>
          <w:color w:val="auto"/>
          <w:sz w:val="26"/>
          <w:szCs w:val="26"/>
        </w:rPr>
        <w:t>enelec or the Company), Utility Code: 110400</w:t>
      </w:r>
      <w:r w:rsidRPr="00F025F1">
        <w:rPr>
          <w:color w:val="auto"/>
          <w:sz w:val="26"/>
          <w:szCs w:val="26"/>
        </w:rPr>
        <w:t xml:space="preserve">, </w:t>
      </w:r>
      <w:r>
        <w:rPr>
          <w:color w:val="auto"/>
          <w:sz w:val="26"/>
          <w:szCs w:val="26"/>
        </w:rPr>
        <w:t xml:space="preserve">filed </w:t>
      </w:r>
      <w:r w:rsidR="002D062A">
        <w:rPr>
          <w:color w:val="auto"/>
          <w:sz w:val="26"/>
          <w:szCs w:val="26"/>
        </w:rPr>
        <w:t xml:space="preserve">Supplement No. 7 to </w:t>
      </w:r>
      <w:r>
        <w:rPr>
          <w:color w:val="auto"/>
          <w:sz w:val="26"/>
          <w:szCs w:val="26"/>
        </w:rPr>
        <w:t>Penelec</w:t>
      </w:r>
      <w:r w:rsidRPr="00F025F1">
        <w:rPr>
          <w:color w:val="auto"/>
          <w:sz w:val="26"/>
          <w:szCs w:val="26"/>
        </w:rPr>
        <w:t xml:space="preserve">’s Tariff Electric </w:t>
      </w:r>
      <w:r>
        <w:rPr>
          <w:color w:val="auto"/>
          <w:sz w:val="26"/>
          <w:szCs w:val="26"/>
        </w:rPr>
        <w:t>Pa. P.U.C. No. 81 (Supplement No. 7</w:t>
      </w:r>
      <w:r w:rsidRPr="00F025F1">
        <w:rPr>
          <w:color w:val="auto"/>
          <w:sz w:val="26"/>
          <w:szCs w:val="26"/>
        </w:rPr>
        <w:t>)</w:t>
      </w:r>
      <w:r>
        <w:rPr>
          <w:color w:val="auto"/>
          <w:sz w:val="26"/>
          <w:szCs w:val="26"/>
        </w:rPr>
        <w:t xml:space="preserve">.  On August 18, 2015, Penelec filed </w:t>
      </w:r>
      <w:r w:rsidR="005364B7">
        <w:rPr>
          <w:color w:val="auto"/>
          <w:sz w:val="26"/>
          <w:szCs w:val="26"/>
        </w:rPr>
        <w:t>an errata</w:t>
      </w:r>
      <w:r>
        <w:rPr>
          <w:color w:val="auto"/>
          <w:sz w:val="26"/>
          <w:szCs w:val="26"/>
        </w:rPr>
        <w:t xml:space="preserve"> to its Supplement No. 7 to add an additional tariff page to its original filing.  On September 30, 2015, the Company filed a</w:t>
      </w:r>
      <w:r w:rsidR="002D062A">
        <w:rPr>
          <w:color w:val="auto"/>
          <w:sz w:val="26"/>
          <w:szCs w:val="26"/>
        </w:rPr>
        <w:t xml:space="preserve"> Revised Supplement No. 9 </w:t>
      </w:r>
      <w:r>
        <w:rPr>
          <w:color w:val="auto"/>
          <w:sz w:val="26"/>
          <w:szCs w:val="26"/>
        </w:rPr>
        <w:t xml:space="preserve">which voluntarily postponed the effective date from October 6, 2015 until November 18, 2015.  On October 7, 2015, Penelec filed a request to withdraw Revised Supplement No. </w:t>
      </w:r>
      <w:r w:rsidR="00920FC4">
        <w:rPr>
          <w:color w:val="auto"/>
          <w:sz w:val="26"/>
          <w:szCs w:val="26"/>
        </w:rPr>
        <w:t>9</w:t>
      </w:r>
      <w:r>
        <w:rPr>
          <w:color w:val="auto"/>
          <w:sz w:val="26"/>
          <w:szCs w:val="26"/>
        </w:rPr>
        <w:t>.  Also</w:t>
      </w:r>
      <w:r w:rsidRPr="00F025F1">
        <w:rPr>
          <w:color w:val="auto"/>
          <w:sz w:val="26"/>
          <w:szCs w:val="26"/>
        </w:rPr>
        <w:t xml:space="preserve">, </w:t>
      </w:r>
      <w:r>
        <w:rPr>
          <w:color w:val="auto"/>
          <w:sz w:val="26"/>
          <w:szCs w:val="26"/>
        </w:rPr>
        <w:t>on October 7, 2015, Penelec</w:t>
      </w:r>
      <w:r w:rsidRPr="00F025F1">
        <w:rPr>
          <w:color w:val="auto"/>
          <w:sz w:val="26"/>
          <w:szCs w:val="26"/>
        </w:rPr>
        <w:t xml:space="preserve"> filed Supplement No. </w:t>
      </w:r>
      <w:r>
        <w:rPr>
          <w:color w:val="auto"/>
          <w:sz w:val="26"/>
          <w:szCs w:val="26"/>
        </w:rPr>
        <w:t>10</w:t>
      </w:r>
      <w:r w:rsidRPr="00F025F1">
        <w:rPr>
          <w:color w:val="auto"/>
          <w:sz w:val="26"/>
          <w:szCs w:val="26"/>
        </w:rPr>
        <w:t xml:space="preserve"> </w:t>
      </w:r>
      <w:r>
        <w:rPr>
          <w:color w:val="auto"/>
          <w:sz w:val="26"/>
          <w:szCs w:val="26"/>
        </w:rPr>
        <w:t xml:space="preserve">which </w:t>
      </w:r>
      <w:r w:rsidRPr="00F025F1">
        <w:rPr>
          <w:color w:val="auto"/>
          <w:sz w:val="26"/>
          <w:szCs w:val="26"/>
        </w:rPr>
        <w:t>voluntarily postpon</w:t>
      </w:r>
      <w:r>
        <w:rPr>
          <w:color w:val="auto"/>
          <w:sz w:val="26"/>
          <w:szCs w:val="26"/>
        </w:rPr>
        <w:t>ed</w:t>
      </w:r>
      <w:r w:rsidRPr="00F025F1">
        <w:rPr>
          <w:color w:val="auto"/>
          <w:sz w:val="26"/>
          <w:szCs w:val="26"/>
        </w:rPr>
        <w:t xml:space="preserve"> the effective date until November 18, 2015.</w:t>
      </w:r>
      <w:r>
        <w:rPr>
          <w:color w:val="auto"/>
          <w:sz w:val="26"/>
          <w:szCs w:val="26"/>
        </w:rPr>
        <w:t xml:space="preserve">  </w:t>
      </w:r>
      <w:r w:rsidRPr="00DD032D">
        <w:rPr>
          <w:color w:val="auto"/>
          <w:sz w:val="26"/>
          <w:szCs w:val="26"/>
        </w:rPr>
        <w:t>On November 2</w:t>
      </w:r>
      <w:r w:rsidR="002D062A">
        <w:rPr>
          <w:color w:val="auto"/>
          <w:sz w:val="26"/>
          <w:szCs w:val="26"/>
        </w:rPr>
        <w:t xml:space="preserve">, 2015, Penelec filed Supplement No. 12 </w:t>
      </w:r>
      <w:r>
        <w:rPr>
          <w:color w:val="auto"/>
          <w:sz w:val="26"/>
          <w:szCs w:val="26"/>
        </w:rPr>
        <w:t>which voluntarily postponed the effective date until November 20, 2015.</w:t>
      </w:r>
      <w:r w:rsidRPr="00097FD7">
        <w:rPr>
          <w:color w:val="auto"/>
          <w:sz w:val="26"/>
          <w:szCs w:val="26"/>
        </w:rPr>
        <w:t xml:space="preserve"> </w:t>
      </w:r>
      <w:r>
        <w:rPr>
          <w:color w:val="auto"/>
          <w:sz w:val="26"/>
          <w:szCs w:val="26"/>
        </w:rPr>
        <w:t xml:space="preserve"> </w:t>
      </w:r>
    </w:p>
    <w:p w:rsidR="00CD2A1C" w:rsidRDefault="00CD2A1C" w:rsidP="008F49A5">
      <w:pPr>
        <w:spacing w:line="360" w:lineRule="auto"/>
        <w:contextualSpacing/>
        <w:rPr>
          <w:color w:val="auto"/>
          <w:sz w:val="26"/>
          <w:szCs w:val="26"/>
        </w:rPr>
      </w:pPr>
    </w:p>
    <w:p w:rsidR="008F49A5" w:rsidRDefault="00BB031B" w:rsidP="008F49A5">
      <w:pPr>
        <w:spacing w:line="360" w:lineRule="auto"/>
        <w:contextualSpacing/>
        <w:rPr>
          <w:color w:val="auto"/>
          <w:sz w:val="26"/>
          <w:szCs w:val="26"/>
        </w:rPr>
      </w:pPr>
      <w:r w:rsidRPr="00F025F1">
        <w:rPr>
          <w:color w:val="auto"/>
          <w:sz w:val="26"/>
          <w:szCs w:val="26"/>
        </w:rPr>
        <w:lastRenderedPageBreak/>
        <w:tab/>
      </w:r>
      <w:r w:rsidRPr="00F025F1">
        <w:rPr>
          <w:color w:val="auto"/>
          <w:sz w:val="26"/>
          <w:szCs w:val="26"/>
        </w:rPr>
        <w:tab/>
      </w:r>
      <w:r w:rsidR="008F49A5" w:rsidRPr="00E70DDB">
        <w:rPr>
          <w:color w:val="auto"/>
          <w:sz w:val="26"/>
          <w:szCs w:val="26"/>
        </w:rPr>
        <w:t xml:space="preserve">The Company avers that the filing of Supplement </w:t>
      </w:r>
      <w:r w:rsidR="008F49A5">
        <w:rPr>
          <w:color w:val="auto"/>
          <w:sz w:val="26"/>
          <w:szCs w:val="26"/>
        </w:rPr>
        <w:t>No. 7</w:t>
      </w:r>
      <w:r w:rsidR="008F49A5" w:rsidRPr="00E70DDB">
        <w:rPr>
          <w:color w:val="auto"/>
          <w:sz w:val="26"/>
          <w:szCs w:val="26"/>
        </w:rPr>
        <w:t xml:space="preserve"> is necessary </w:t>
      </w:r>
      <w:r w:rsidR="008F49A5">
        <w:rPr>
          <w:color w:val="auto"/>
          <w:sz w:val="26"/>
          <w:szCs w:val="26"/>
        </w:rPr>
        <w:t xml:space="preserve">to revise the tariff that was effective on </w:t>
      </w:r>
      <w:r w:rsidR="008F49A5" w:rsidRPr="00E70DDB">
        <w:rPr>
          <w:color w:val="auto"/>
          <w:sz w:val="26"/>
          <w:szCs w:val="26"/>
        </w:rPr>
        <w:t>May 3, 2015</w:t>
      </w:r>
      <w:r w:rsidR="00CD2A1C">
        <w:rPr>
          <w:color w:val="auto"/>
          <w:sz w:val="26"/>
          <w:szCs w:val="26"/>
        </w:rPr>
        <w:t>,</w:t>
      </w:r>
      <w:r w:rsidR="008F49A5">
        <w:rPr>
          <w:color w:val="auto"/>
          <w:sz w:val="26"/>
          <w:szCs w:val="26"/>
        </w:rPr>
        <w:t xml:space="preserve"> in</w:t>
      </w:r>
      <w:r w:rsidR="008F49A5" w:rsidRPr="00E70DDB">
        <w:rPr>
          <w:color w:val="auto"/>
          <w:sz w:val="26"/>
          <w:szCs w:val="26"/>
        </w:rPr>
        <w:t xml:space="preserve"> compliance</w:t>
      </w:r>
      <w:r w:rsidR="008F49A5">
        <w:rPr>
          <w:color w:val="auto"/>
          <w:sz w:val="26"/>
          <w:szCs w:val="26"/>
        </w:rPr>
        <w:t xml:space="preserve"> with the Commission’s </w:t>
      </w:r>
      <w:r w:rsidR="008F49A5" w:rsidRPr="00E70DDB">
        <w:rPr>
          <w:color w:val="auto"/>
          <w:sz w:val="26"/>
          <w:szCs w:val="26"/>
        </w:rPr>
        <w:t xml:space="preserve"> </w:t>
      </w:r>
      <w:r w:rsidR="008F49A5">
        <w:rPr>
          <w:color w:val="auto"/>
          <w:sz w:val="26"/>
          <w:szCs w:val="26"/>
        </w:rPr>
        <w:t>April 9, 2015 Opinion and Order at Docket No. R-2014-2428743 (Rate Case).  Penelec declares that these revisions provide correction and clarification to the tariff that became effective on May 3, 2015 (Compliance Tariff) in order to ensure its consistency with the terms and intent of the Joint Petition for Partial Settlement of Rate Investigation as filed on February 3, 2015</w:t>
      </w:r>
      <w:r w:rsidR="00CD2A1C">
        <w:rPr>
          <w:color w:val="auto"/>
          <w:sz w:val="26"/>
          <w:szCs w:val="26"/>
        </w:rPr>
        <w:t>,</w:t>
      </w:r>
      <w:r w:rsidR="008F49A5">
        <w:rPr>
          <w:color w:val="auto"/>
          <w:sz w:val="26"/>
          <w:szCs w:val="26"/>
        </w:rPr>
        <w:t xml:space="preserve"> and approved in its Rate Case.</w:t>
      </w:r>
      <w:r w:rsidR="008F49A5" w:rsidRPr="00097FD7">
        <w:rPr>
          <w:color w:val="auto"/>
          <w:sz w:val="26"/>
          <w:szCs w:val="26"/>
        </w:rPr>
        <w:t xml:space="preserve"> </w:t>
      </w:r>
      <w:r w:rsidR="008F49A5">
        <w:rPr>
          <w:color w:val="auto"/>
          <w:sz w:val="26"/>
          <w:szCs w:val="26"/>
        </w:rPr>
        <w:t xml:space="preserve"> </w:t>
      </w:r>
    </w:p>
    <w:p w:rsidR="008F49A5" w:rsidRDefault="008F49A5" w:rsidP="008F49A5">
      <w:pPr>
        <w:spacing w:line="360" w:lineRule="auto"/>
        <w:contextualSpacing/>
        <w:rPr>
          <w:color w:val="auto"/>
          <w:sz w:val="26"/>
          <w:szCs w:val="26"/>
        </w:rPr>
      </w:pPr>
    </w:p>
    <w:p w:rsidR="008F49A5" w:rsidRPr="00F025F1" w:rsidRDefault="008F49A5" w:rsidP="008F49A5">
      <w:pPr>
        <w:spacing w:line="360" w:lineRule="auto"/>
        <w:ind w:firstLine="1440"/>
        <w:contextualSpacing/>
        <w:rPr>
          <w:color w:val="auto"/>
          <w:sz w:val="26"/>
          <w:szCs w:val="26"/>
        </w:rPr>
      </w:pPr>
      <w:r w:rsidRPr="00F025F1">
        <w:rPr>
          <w:color w:val="auto"/>
          <w:sz w:val="26"/>
          <w:szCs w:val="26"/>
        </w:rPr>
        <w:t xml:space="preserve">The vast majority of the changes proposed in these tariff filings </w:t>
      </w:r>
      <w:r>
        <w:rPr>
          <w:color w:val="auto"/>
          <w:sz w:val="26"/>
          <w:szCs w:val="26"/>
        </w:rPr>
        <w:t>are</w:t>
      </w:r>
      <w:r w:rsidRPr="00F025F1">
        <w:rPr>
          <w:color w:val="auto"/>
          <w:sz w:val="26"/>
          <w:szCs w:val="26"/>
        </w:rPr>
        <w:t xml:space="preserve"> of a non-substantive nature.  </w:t>
      </w:r>
      <w:r w:rsidRPr="00E70DDB">
        <w:rPr>
          <w:color w:val="auto"/>
          <w:sz w:val="26"/>
          <w:szCs w:val="26"/>
        </w:rPr>
        <w:t xml:space="preserve">The Company maintains that the changes had already been approved under the </w:t>
      </w:r>
      <w:r>
        <w:rPr>
          <w:color w:val="auto"/>
          <w:sz w:val="26"/>
          <w:szCs w:val="26"/>
        </w:rPr>
        <w:t>Rate Case</w:t>
      </w:r>
      <w:r w:rsidRPr="00E70DDB">
        <w:rPr>
          <w:color w:val="auto"/>
          <w:sz w:val="26"/>
          <w:szCs w:val="26"/>
        </w:rPr>
        <w:t xml:space="preserve"> and that the main purpose of this instant filing is to make corrections to the </w:t>
      </w:r>
      <w:r>
        <w:rPr>
          <w:color w:val="auto"/>
          <w:sz w:val="26"/>
          <w:szCs w:val="26"/>
        </w:rPr>
        <w:t>Commission</w:t>
      </w:r>
      <w:r w:rsidRPr="00E70DDB">
        <w:rPr>
          <w:color w:val="auto"/>
          <w:sz w:val="26"/>
          <w:szCs w:val="26"/>
        </w:rPr>
        <w:t xml:space="preserve"> approved </w:t>
      </w:r>
      <w:r>
        <w:rPr>
          <w:color w:val="auto"/>
          <w:sz w:val="26"/>
          <w:szCs w:val="26"/>
        </w:rPr>
        <w:t>Compliance Tariff</w:t>
      </w:r>
      <w:r w:rsidRPr="00E70DDB">
        <w:rPr>
          <w:color w:val="auto"/>
          <w:sz w:val="26"/>
          <w:szCs w:val="26"/>
        </w:rPr>
        <w:t xml:space="preserve">.  </w:t>
      </w:r>
      <w:r w:rsidRPr="00F025F1">
        <w:rPr>
          <w:color w:val="auto"/>
          <w:sz w:val="26"/>
          <w:szCs w:val="26"/>
        </w:rPr>
        <w:t xml:space="preserve">The </w:t>
      </w:r>
      <w:r>
        <w:rPr>
          <w:color w:val="auto"/>
          <w:sz w:val="26"/>
          <w:szCs w:val="26"/>
        </w:rPr>
        <w:t>Compliance Tariff</w:t>
      </w:r>
      <w:r w:rsidRPr="00F025F1">
        <w:rPr>
          <w:color w:val="auto"/>
          <w:sz w:val="26"/>
          <w:szCs w:val="26"/>
        </w:rPr>
        <w:t xml:space="preserve"> incorrectly quoted testimony or erroneously changed items that should have remained the same.  </w:t>
      </w:r>
    </w:p>
    <w:p w:rsidR="008F49A5" w:rsidRPr="00F025F1" w:rsidRDefault="008F49A5" w:rsidP="008F49A5">
      <w:pPr>
        <w:spacing w:line="360" w:lineRule="auto"/>
        <w:ind w:firstLine="1354"/>
        <w:rPr>
          <w:color w:val="auto"/>
          <w:sz w:val="26"/>
          <w:szCs w:val="26"/>
        </w:rPr>
      </w:pPr>
    </w:p>
    <w:p w:rsidR="008F49A5" w:rsidRDefault="008F49A5" w:rsidP="008F49A5">
      <w:pPr>
        <w:spacing w:line="360" w:lineRule="auto"/>
        <w:ind w:firstLine="1354"/>
        <w:rPr>
          <w:color w:val="auto"/>
          <w:sz w:val="26"/>
          <w:szCs w:val="26"/>
        </w:rPr>
      </w:pPr>
      <w:r w:rsidRPr="00F025F1">
        <w:rPr>
          <w:color w:val="auto"/>
          <w:sz w:val="26"/>
          <w:szCs w:val="26"/>
        </w:rPr>
        <w:t xml:space="preserve">The </w:t>
      </w:r>
      <w:r>
        <w:rPr>
          <w:color w:val="auto"/>
          <w:sz w:val="26"/>
          <w:szCs w:val="26"/>
        </w:rPr>
        <w:t>Company</w:t>
      </w:r>
      <w:r w:rsidRPr="00F025F1">
        <w:rPr>
          <w:color w:val="auto"/>
          <w:sz w:val="26"/>
          <w:szCs w:val="26"/>
        </w:rPr>
        <w:t xml:space="preserve"> served the tariff supplements</w:t>
      </w:r>
      <w:r>
        <w:rPr>
          <w:color w:val="auto"/>
          <w:sz w:val="26"/>
          <w:szCs w:val="26"/>
        </w:rPr>
        <w:t xml:space="preserve"> on all parties of record to the original Rate Case</w:t>
      </w:r>
      <w:r w:rsidRPr="00F025F1">
        <w:rPr>
          <w:color w:val="auto"/>
          <w:sz w:val="26"/>
          <w:szCs w:val="26"/>
        </w:rPr>
        <w:t>.</w:t>
      </w:r>
      <w:r>
        <w:rPr>
          <w:color w:val="auto"/>
          <w:sz w:val="26"/>
          <w:szCs w:val="26"/>
        </w:rPr>
        <w:t xml:space="preserve">  </w:t>
      </w:r>
      <w:r w:rsidRPr="00F025F1">
        <w:rPr>
          <w:color w:val="auto"/>
          <w:sz w:val="26"/>
          <w:szCs w:val="26"/>
        </w:rPr>
        <w:t>No objections have been received, and no complaints have been filed aga</w:t>
      </w:r>
      <w:r>
        <w:rPr>
          <w:color w:val="auto"/>
          <w:sz w:val="26"/>
          <w:szCs w:val="26"/>
        </w:rPr>
        <w:t>inst this tariff supplement</w:t>
      </w:r>
      <w:r w:rsidRPr="00F025F1">
        <w:rPr>
          <w:color w:val="auto"/>
          <w:sz w:val="26"/>
          <w:szCs w:val="26"/>
        </w:rPr>
        <w:t>.</w:t>
      </w:r>
    </w:p>
    <w:p w:rsidR="008F49A5" w:rsidRDefault="008F49A5" w:rsidP="008F49A5">
      <w:pPr>
        <w:spacing w:line="360" w:lineRule="auto"/>
        <w:ind w:firstLine="1354"/>
        <w:rPr>
          <w:color w:val="auto"/>
          <w:sz w:val="26"/>
          <w:szCs w:val="26"/>
        </w:rPr>
      </w:pPr>
    </w:p>
    <w:p w:rsidR="008F49A5" w:rsidRPr="00F025F1" w:rsidRDefault="008F49A5" w:rsidP="008F49A5">
      <w:pPr>
        <w:spacing w:line="360" w:lineRule="auto"/>
        <w:ind w:firstLine="1354"/>
        <w:rPr>
          <w:color w:val="auto"/>
          <w:sz w:val="26"/>
          <w:szCs w:val="26"/>
        </w:rPr>
      </w:pPr>
      <w:r>
        <w:rPr>
          <w:color w:val="auto"/>
          <w:sz w:val="26"/>
          <w:szCs w:val="26"/>
        </w:rPr>
        <w:t>Some</w:t>
      </w:r>
      <w:r w:rsidRPr="00F025F1">
        <w:rPr>
          <w:color w:val="auto"/>
          <w:sz w:val="26"/>
          <w:szCs w:val="26"/>
        </w:rPr>
        <w:t xml:space="preserve"> changes included in the tariff filing </w:t>
      </w:r>
      <w:r>
        <w:rPr>
          <w:color w:val="auto"/>
          <w:sz w:val="26"/>
          <w:szCs w:val="26"/>
        </w:rPr>
        <w:t>are</w:t>
      </w:r>
      <w:r w:rsidRPr="00F025F1">
        <w:rPr>
          <w:color w:val="auto"/>
          <w:sz w:val="26"/>
          <w:szCs w:val="26"/>
        </w:rPr>
        <w:t xml:space="preserve"> substantive and </w:t>
      </w:r>
      <w:r>
        <w:rPr>
          <w:color w:val="auto"/>
          <w:sz w:val="26"/>
          <w:szCs w:val="26"/>
        </w:rPr>
        <w:t>are</w:t>
      </w:r>
      <w:r w:rsidRPr="00F025F1">
        <w:rPr>
          <w:color w:val="auto"/>
          <w:sz w:val="26"/>
          <w:szCs w:val="26"/>
        </w:rPr>
        <w:t xml:space="preserve"> explained </w:t>
      </w:r>
      <w:r>
        <w:rPr>
          <w:color w:val="auto"/>
          <w:sz w:val="26"/>
          <w:szCs w:val="26"/>
        </w:rPr>
        <w:t xml:space="preserve">in further detail below.  Unless otherwise noted, the following changes (as indicated above) are correcting errors to the Compliance Tariff, and are consistent with, and as approved in its Rate Case. </w:t>
      </w:r>
    </w:p>
    <w:p w:rsidR="00920FC4" w:rsidRPr="00F025F1" w:rsidRDefault="00920FC4" w:rsidP="00BB031B">
      <w:pPr>
        <w:spacing w:line="360" w:lineRule="auto"/>
        <w:ind w:firstLine="1354"/>
        <w:rPr>
          <w:color w:val="auto"/>
          <w:sz w:val="26"/>
          <w:szCs w:val="26"/>
        </w:rPr>
      </w:pPr>
    </w:p>
    <w:p w:rsidR="00920FC4" w:rsidRPr="00DF661E" w:rsidRDefault="00920FC4" w:rsidP="00920FC4">
      <w:pPr>
        <w:spacing w:line="360" w:lineRule="auto"/>
        <w:ind w:firstLine="720"/>
        <w:jc w:val="both"/>
        <w:rPr>
          <w:b/>
          <w:color w:val="auto"/>
          <w:sz w:val="26"/>
          <w:szCs w:val="26"/>
        </w:rPr>
      </w:pPr>
      <w:r w:rsidRPr="00DF661E">
        <w:rPr>
          <w:b/>
          <w:color w:val="auto"/>
          <w:sz w:val="26"/>
          <w:szCs w:val="26"/>
        </w:rPr>
        <w:t xml:space="preserve">Total Consumption and Billing Demand </w:t>
      </w:r>
      <w:r>
        <w:rPr>
          <w:b/>
          <w:color w:val="auto"/>
          <w:sz w:val="26"/>
          <w:szCs w:val="26"/>
        </w:rPr>
        <w:t>Rate GS-Medium</w:t>
      </w:r>
      <w:r w:rsidR="00A436B1">
        <w:rPr>
          <w:b/>
          <w:color w:val="auto"/>
          <w:sz w:val="26"/>
          <w:szCs w:val="26"/>
        </w:rPr>
        <w:t>:</w:t>
      </w:r>
      <w:r w:rsidRPr="00DF661E">
        <w:rPr>
          <w:b/>
          <w:color w:val="auto"/>
          <w:sz w:val="26"/>
          <w:szCs w:val="26"/>
        </w:rPr>
        <w:t xml:space="preserve"> </w:t>
      </w:r>
    </w:p>
    <w:p w:rsidR="00746A77" w:rsidRDefault="00746A77" w:rsidP="00415BA8">
      <w:pPr>
        <w:spacing w:line="360" w:lineRule="auto"/>
        <w:ind w:firstLine="1354"/>
        <w:jc w:val="both"/>
        <w:rPr>
          <w:color w:val="auto"/>
          <w:sz w:val="26"/>
          <w:szCs w:val="26"/>
        </w:rPr>
      </w:pPr>
    </w:p>
    <w:p w:rsidR="00920FC4" w:rsidRDefault="00920FC4" w:rsidP="00C22EAA">
      <w:pPr>
        <w:pStyle w:val="ListParagraph"/>
        <w:numPr>
          <w:ilvl w:val="0"/>
          <w:numId w:val="1"/>
        </w:numPr>
        <w:spacing w:line="360" w:lineRule="auto"/>
        <w:ind w:left="1440" w:hanging="720"/>
        <w:jc w:val="both"/>
        <w:rPr>
          <w:color w:val="auto"/>
          <w:sz w:val="26"/>
          <w:szCs w:val="26"/>
        </w:rPr>
      </w:pPr>
      <w:r>
        <w:rPr>
          <w:b/>
          <w:bCs/>
          <w:color w:val="auto"/>
          <w:sz w:val="26"/>
          <w:szCs w:val="26"/>
        </w:rPr>
        <w:t>Total Consumption</w:t>
      </w:r>
      <w:r>
        <w:rPr>
          <w:color w:val="auto"/>
          <w:sz w:val="26"/>
          <w:szCs w:val="26"/>
        </w:rPr>
        <w:t xml:space="preserve"> </w:t>
      </w:r>
    </w:p>
    <w:p w:rsidR="00920FC4" w:rsidRDefault="00C22EAA" w:rsidP="00C22EAA">
      <w:pPr>
        <w:pStyle w:val="ListParagraph"/>
        <w:spacing w:line="360" w:lineRule="auto"/>
        <w:ind w:left="1440" w:hanging="1440"/>
        <w:jc w:val="both"/>
        <w:rPr>
          <w:color w:val="auto"/>
          <w:sz w:val="26"/>
          <w:szCs w:val="26"/>
        </w:rPr>
      </w:pPr>
      <w:r>
        <w:rPr>
          <w:color w:val="auto"/>
          <w:sz w:val="26"/>
          <w:szCs w:val="26"/>
        </w:rPr>
        <w:tab/>
      </w:r>
      <w:r w:rsidR="00920FC4">
        <w:rPr>
          <w:color w:val="auto"/>
          <w:sz w:val="26"/>
          <w:szCs w:val="26"/>
        </w:rPr>
        <w:t>For Rate class GS-M</w:t>
      </w:r>
      <w:r w:rsidR="00920FC4" w:rsidRPr="00CF2361">
        <w:rPr>
          <w:color w:val="auto"/>
          <w:sz w:val="26"/>
          <w:szCs w:val="26"/>
        </w:rPr>
        <w:t xml:space="preserve">edium, </w:t>
      </w:r>
      <w:r w:rsidR="00835472">
        <w:rPr>
          <w:color w:val="auto"/>
          <w:sz w:val="26"/>
          <w:szCs w:val="26"/>
        </w:rPr>
        <w:t>the May 3,</w:t>
      </w:r>
      <w:r w:rsidR="00920FC4">
        <w:rPr>
          <w:color w:val="auto"/>
          <w:sz w:val="26"/>
          <w:szCs w:val="26"/>
        </w:rPr>
        <w:t xml:space="preserve"> Compliance Tariff states that if an existing customer’s total consumption is less than 1,500KWH/month for </w:t>
      </w:r>
      <w:r w:rsidR="00920FC4">
        <w:rPr>
          <w:color w:val="auto"/>
          <w:sz w:val="26"/>
          <w:szCs w:val="26"/>
        </w:rPr>
        <w:lastRenderedPageBreak/>
        <w:t xml:space="preserve">twelve consecutive months, the customer may no longer be eligible for service under the GS-Medium rate and will be placed on rate schedule GS-Small or another rate schedule for which the customer most qualifies.  </w:t>
      </w:r>
    </w:p>
    <w:p w:rsidR="00920FC4" w:rsidRDefault="00920FC4" w:rsidP="00C22EAA">
      <w:pPr>
        <w:pStyle w:val="ListParagraph"/>
        <w:spacing w:line="360" w:lineRule="auto"/>
        <w:ind w:left="1440" w:hanging="1440"/>
        <w:jc w:val="both"/>
        <w:rPr>
          <w:color w:val="auto"/>
          <w:sz w:val="26"/>
          <w:szCs w:val="26"/>
        </w:rPr>
      </w:pPr>
    </w:p>
    <w:p w:rsidR="00920FC4" w:rsidRPr="00CF2361" w:rsidRDefault="00C22EAA" w:rsidP="00C22EAA">
      <w:pPr>
        <w:pStyle w:val="ListParagraph"/>
        <w:spacing w:line="360" w:lineRule="auto"/>
        <w:ind w:left="1440" w:hanging="1440"/>
        <w:jc w:val="both"/>
        <w:rPr>
          <w:color w:val="auto"/>
          <w:sz w:val="26"/>
          <w:szCs w:val="26"/>
        </w:rPr>
      </w:pPr>
      <w:r>
        <w:rPr>
          <w:color w:val="auto"/>
          <w:sz w:val="26"/>
          <w:szCs w:val="26"/>
        </w:rPr>
        <w:tab/>
      </w:r>
      <w:r w:rsidR="00920FC4">
        <w:rPr>
          <w:color w:val="auto"/>
          <w:sz w:val="26"/>
          <w:szCs w:val="26"/>
        </w:rPr>
        <w:t>The Company changed the number of months, above, from twelve to two.  Penelec</w:t>
      </w:r>
      <w:r w:rsidR="00920FC4" w:rsidRPr="00CF2361">
        <w:rPr>
          <w:color w:val="auto"/>
          <w:sz w:val="26"/>
          <w:szCs w:val="26"/>
        </w:rPr>
        <w:t xml:space="preserve"> claims that the GSM rate schedule </w:t>
      </w:r>
      <w:r w:rsidR="00920FC4">
        <w:rPr>
          <w:color w:val="auto"/>
          <w:sz w:val="26"/>
          <w:szCs w:val="26"/>
        </w:rPr>
        <w:t xml:space="preserve">should not have </w:t>
      </w:r>
      <w:r w:rsidR="00920FC4" w:rsidRPr="00CF2361">
        <w:rPr>
          <w:color w:val="auto"/>
          <w:sz w:val="26"/>
          <w:szCs w:val="26"/>
        </w:rPr>
        <w:t>reference</w:t>
      </w:r>
      <w:r w:rsidR="00920FC4">
        <w:rPr>
          <w:color w:val="auto"/>
          <w:sz w:val="26"/>
          <w:szCs w:val="26"/>
        </w:rPr>
        <w:t>d</w:t>
      </w:r>
      <w:r w:rsidR="00920FC4" w:rsidRPr="00CF2361">
        <w:rPr>
          <w:color w:val="auto"/>
          <w:sz w:val="26"/>
          <w:szCs w:val="26"/>
        </w:rPr>
        <w:t xml:space="preserve"> twelve months in the </w:t>
      </w:r>
      <w:r w:rsidR="005364B7">
        <w:rPr>
          <w:color w:val="auto"/>
          <w:sz w:val="26"/>
          <w:szCs w:val="26"/>
        </w:rPr>
        <w:t>Compliance Tariff.</w:t>
      </w:r>
    </w:p>
    <w:p w:rsidR="00920FC4" w:rsidRDefault="00920FC4" w:rsidP="00920FC4">
      <w:pPr>
        <w:pStyle w:val="ListParagraph"/>
        <w:spacing w:line="360" w:lineRule="auto"/>
        <w:ind w:left="2160"/>
        <w:jc w:val="both"/>
        <w:rPr>
          <w:color w:val="auto"/>
          <w:sz w:val="26"/>
          <w:szCs w:val="26"/>
        </w:rPr>
      </w:pPr>
    </w:p>
    <w:p w:rsidR="00920FC4" w:rsidRDefault="00920FC4" w:rsidP="004B4644">
      <w:pPr>
        <w:pStyle w:val="ListParagraph"/>
        <w:numPr>
          <w:ilvl w:val="0"/>
          <w:numId w:val="1"/>
        </w:numPr>
        <w:spacing w:line="360" w:lineRule="auto"/>
        <w:ind w:left="1440" w:hanging="720"/>
        <w:jc w:val="both"/>
        <w:rPr>
          <w:color w:val="auto"/>
          <w:sz w:val="26"/>
          <w:szCs w:val="26"/>
        </w:rPr>
      </w:pPr>
      <w:r>
        <w:rPr>
          <w:b/>
          <w:bCs/>
          <w:color w:val="auto"/>
          <w:sz w:val="26"/>
          <w:szCs w:val="26"/>
        </w:rPr>
        <w:t>Billing Demand</w:t>
      </w:r>
      <w:r>
        <w:rPr>
          <w:color w:val="auto"/>
          <w:sz w:val="26"/>
          <w:szCs w:val="26"/>
        </w:rPr>
        <w:t xml:space="preserve"> </w:t>
      </w:r>
    </w:p>
    <w:p w:rsidR="00920FC4" w:rsidRDefault="00C22EAA" w:rsidP="00C22EAA">
      <w:pPr>
        <w:pStyle w:val="ListParagraph"/>
        <w:spacing w:line="360" w:lineRule="auto"/>
        <w:ind w:left="1440" w:hanging="1440"/>
        <w:jc w:val="both"/>
        <w:rPr>
          <w:color w:val="auto"/>
          <w:sz w:val="26"/>
          <w:szCs w:val="26"/>
        </w:rPr>
      </w:pPr>
      <w:r>
        <w:rPr>
          <w:color w:val="auto"/>
          <w:sz w:val="26"/>
          <w:szCs w:val="26"/>
        </w:rPr>
        <w:tab/>
      </w:r>
      <w:r w:rsidR="00920FC4">
        <w:rPr>
          <w:color w:val="auto"/>
          <w:sz w:val="26"/>
          <w:szCs w:val="26"/>
        </w:rPr>
        <w:t>For Rate class GS-M</w:t>
      </w:r>
      <w:r w:rsidR="00920FC4" w:rsidRPr="00CF2361">
        <w:rPr>
          <w:color w:val="auto"/>
          <w:sz w:val="26"/>
          <w:szCs w:val="26"/>
        </w:rPr>
        <w:t xml:space="preserve">edium, </w:t>
      </w:r>
      <w:r w:rsidR="005364B7">
        <w:rPr>
          <w:color w:val="auto"/>
          <w:sz w:val="26"/>
          <w:szCs w:val="26"/>
        </w:rPr>
        <w:t xml:space="preserve">the </w:t>
      </w:r>
      <w:r w:rsidR="00920FC4">
        <w:rPr>
          <w:color w:val="auto"/>
          <w:sz w:val="26"/>
          <w:szCs w:val="26"/>
        </w:rPr>
        <w:t xml:space="preserve">Compliance Tariff states that if the customer’s demand exceeds 400kW for twelve consecutive months, the customer may no longer be eligible for service under the schedule GS-Medium and will be placed on rate schedule GS-Large or another rate schedule for which the customer most qualifies.  </w:t>
      </w:r>
    </w:p>
    <w:p w:rsidR="00920FC4" w:rsidRDefault="00920FC4" w:rsidP="00C22EAA">
      <w:pPr>
        <w:pStyle w:val="ListParagraph"/>
        <w:spacing w:line="360" w:lineRule="auto"/>
        <w:ind w:left="1440" w:hanging="1440"/>
        <w:jc w:val="both"/>
        <w:rPr>
          <w:color w:val="auto"/>
          <w:sz w:val="26"/>
          <w:szCs w:val="26"/>
        </w:rPr>
      </w:pPr>
    </w:p>
    <w:p w:rsidR="00920FC4" w:rsidRPr="00CF2361" w:rsidRDefault="00C22EAA" w:rsidP="00C22EAA">
      <w:pPr>
        <w:pStyle w:val="ListParagraph"/>
        <w:spacing w:line="360" w:lineRule="auto"/>
        <w:ind w:left="1440" w:hanging="1440"/>
        <w:jc w:val="both"/>
        <w:rPr>
          <w:color w:val="auto"/>
          <w:sz w:val="26"/>
          <w:szCs w:val="26"/>
        </w:rPr>
      </w:pPr>
      <w:r>
        <w:rPr>
          <w:color w:val="auto"/>
          <w:sz w:val="26"/>
          <w:szCs w:val="26"/>
        </w:rPr>
        <w:tab/>
      </w:r>
      <w:r w:rsidR="00920FC4">
        <w:rPr>
          <w:color w:val="auto"/>
          <w:sz w:val="26"/>
          <w:szCs w:val="26"/>
        </w:rPr>
        <w:t xml:space="preserve">The Company changed the number of months, above, from twelve to two.  Penelec </w:t>
      </w:r>
      <w:r w:rsidR="00920FC4" w:rsidRPr="00CF2361">
        <w:rPr>
          <w:color w:val="auto"/>
          <w:sz w:val="26"/>
          <w:szCs w:val="26"/>
        </w:rPr>
        <w:t xml:space="preserve">claims that the GSM rate schedule </w:t>
      </w:r>
      <w:r w:rsidR="00920FC4">
        <w:rPr>
          <w:color w:val="auto"/>
          <w:sz w:val="26"/>
          <w:szCs w:val="26"/>
        </w:rPr>
        <w:t xml:space="preserve">should not have </w:t>
      </w:r>
      <w:r w:rsidR="00920FC4" w:rsidRPr="00CF2361">
        <w:rPr>
          <w:color w:val="auto"/>
          <w:sz w:val="26"/>
          <w:szCs w:val="26"/>
        </w:rPr>
        <w:t>reference</w:t>
      </w:r>
      <w:r w:rsidR="00920FC4">
        <w:rPr>
          <w:color w:val="auto"/>
          <w:sz w:val="26"/>
          <w:szCs w:val="26"/>
        </w:rPr>
        <w:t>d</w:t>
      </w:r>
      <w:r w:rsidR="00920FC4" w:rsidRPr="00CF2361">
        <w:rPr>
          <w:color w:val="auto"/>
          <w:sz w:val="26"/>
          <w:szCs w:val="26"/>
        </w:rPr>
        <w:t xml:space="preserve"> twelve months in the </w:t>
      </w:r>
      <w:r w:rsidR="005364B7">
        <w:rPr>
          <w:color w:val="auto"/>
          <w:sz w:val="26"/>
          <w:szCs w:val="26"/>
        </w:rPr>
        <w:t>Compliance T</w:t>
      </w:r>
      <w:r w:rsidR="00920FC4" w:rsidRPr="00CF2361">
        <w:rPr>
          <w:color w:val="auto"/>
          <w:sz w:val="26"/>
          <w:szCs w:val="26"/>
        </w:rPr>
        <w:t>ariff.</w:t>
      </w:r>
    </w:p>
    <w:p w:rsidR="00415BA8" w:rsidRDefault="00415BA8" w:rsidP="00415BA8">
      <w:pPr>
        <w:spacing w:line="360" w:lineRule="auto"/>
        <w:jc w:val="both"/>
        <w:rPr>
          <w:color w:val="auto"/>
          <w:sz w:val="26"/>
          <w:szCs w:val="26"/>
        </w:rPr>
      </w:pPr>
    </w:p>
    <w:p w:rsidR="00415BA8" w:rsidRDefault="00415BA8" w:rsidP="00415BA8">
      <w:pPr>
        <w:spacing w:line="360" w:lineRule="auto"/>
        <w:ind w:firstLine="1354"/>
        <w:jc w:val="both"/>
        <w:rPr>
          <w:b/>
          <w:color w:val="auto"/>
          <w:sz w:val="26"/>
          <w:szCs w:val="26"/>
        </w:rPr>
      </w:pPr>
      <w:r>
        <w:rPr>
          <w:b/>
          <w:color w:val="auto"/>
          <w:sz w:val="26"/>
          <w:szCs w:val="26"/>
        </w:rPr>
        <w:t xml:space="preserve">Demand Calculation for customers without demand meters </w:t>
      </w:r>
      <w:r w:rsidR="00934109">
        <w:rPr>
          <w:b/>
          <w:color w:val="auto"/>
          <w:sz w:val="26"/>
          <w:szCs w:val="26"/>
        </w:rPr>
        <w:t>for rate schedule GS</w:t>
      </w:r>
      <w:r w:rsidR="00FE6E97">
        <w:rPr>
          <w:b/>
          <w:color w:val="auto"/>
          <w:sz w:val="26"/>
          <w:szCs w:val="26"/>
        </w:rPr>
        <w:t>-</w:t>
      </w:r>
      <w:r w:rsidR="00934109">
        <w:rPr>
          <w:b/>
          <w:color w:val="auto"/>
          <w:sz w:val="26"/>
          <w:szCs w:val="26"/>
        </w:rPr>
        <w:t>M</w:t>
      </w:r>
      <w:r w:rsidR="00FE6E97">
        <w:rPr>
          <w:b/>
          <w:color w:val="auto"/>
          <w:sz w:val="26"/>
          <w:szCs w:val="26"/>
        </w:rPr>
        <w:t>edium</w:t>
      </w:r>
      <w:r>
        <w:rPr>
          <w:b/>
          <w:color w:val="auto"/>
          <w:sz w:val="26"/>
          <w:szCs w:val="26"/>
        </w:rPr>
        <w:t xml:space="preserve">: </w:t>
      </w:r>
    </w:p>
    <w:p w:rsidR="004B2DA9" w:rsidRDefault="004B2DA9" w:rsidP="00415BA8">
      <w:pPr>
        <w:spacing w:line="360" w:lineRule="auto"/>
        <w:ind w:firstLine="1354"/>
        <w:jc w:val="both"/>
        <w:rPr>
          <w:b/>
          <w:color w:val="auto"/>
          <w:sz w:val="26"/>
          <w:szCs w:val="26"/>
        </w:rPr>
      </w:pPr>
    </w:p>
    <w:p w:rsidR="00415BA8" w:rsidRDefault="007D21E3" w:rsidP="00C22EAA">
      <w:pPr>
        <w:spacing w:line="360" w:lineRule="auto"/>
        <w:ind w:left="1440" w:hanging="1440"/>
        <w:jc w:val="both"/>
        <w:rPr>
          <w:color w:val="auto"/>
          <w:sz w:val="26"/>
          <w:szCs w:val="26"/>
        </w:rPr>
      </w:pPr>
      <w:r>
        <w:rPr>
          <w:color w:val="auto"/>
          <w:sz w:val="26"/>
          <w:szCs w:val="26"/>
        </w:rPr>
        <w:tab/>
      </w:r>
      <w:r w:rsidR="00211140">
        <w:rPr>
          <w:color w:val="auto"/>
          <w:sz w:val="26"/>
          <w:szCs w:val="26"/>
        </w:rPr>
        <w:t xml:space="preserve">Penelec is proposing to include language that indicates </w:t>
      </w:r>
      <w:r w:rsidR="008A439A">
        <w:rPr>
          <w:color w:val="auto"/>
          <w:sz w:val="26"/>
          <w:szCs w:val="26"/>
        </w:rPr>
        <w:t xml:space="preserve">that GS-Medium </w:t>
      </w:r>
      <w:r w:rsidR="00415BA8">
        <w:rPr>
          <w:color w:val="auto"/>
          <w:sz w:val="26"/>
          <w:szCs w:val="26"/>
        </w:rPr>
        <w:t>customers whose service is not being metered by me</w:t>
      </w:r>
      <w:r w:rsidR="00EA496E">
        <w:rPr>
          <w:color w:val="auto"/>
          <w:sz w:val="26"/>
          <w:szCs w:val="26"/>
        </w:rPr>
        <w:t>ans of a demand meter, demand will be</w:t>
      </w:r>
      <w:r w:rsidR="00415BA8">
        <w:rPr>
          <w:color w:val="auto"/>
          <w:sz w:val="26"/>
          <w:szCs w:val="26"/>
        </w:rPr>
        <w:t xml:space="preserve"> calculated by dividing the kilowatt-hour consumption by 200</w:t>
      </w:r>
      <w:r w:rsidR="00EA496E">
        <w:rPr>
          <w:color w:val="auto"/>
          <w:sz w:val="26"/>
          <w:szCs w:val="26"/>
        </w:rPr>
        <w:t>.</w:t>
      </w:r>
      <w:r w:rsidR="00415BA8">
        <w:rPr>
          <w:color w:val="auto"/>
          <w:sz w:val="26"/>
          <w:szCs w:val="26"/>
        </w:rPr>
        <w:t xml:space="preserve"> </w:t>
      </w:r>
      <w:r w:rsidR="00C430F4">
        <w:rPr>
          <w:color w:val="auto"/>
          <w:sz w:val="26"/>
          <w:szCs w:val="26"/>
        </w:rPr>
        <w:t xml:space="preserve"> The Company proposed to utilize this formula until the installation of demand meters.  Penelec claimed that this language was approved by the Commission in the Rate Case and had inadvertently been left out of the Compliance Tariff.</w:t>
      </w:r>
    </w:p>
    <w:p w:rsidR="00415BA8" w:rsidRDefault="00415BA8" w:rsidP="00415BA8">
      <w:pPr>
        <w:spacing w:line="360" w:lineRule="auto"/>
        <w:ind w:firstLine="1354"/>
        <w:jc w:val="both"/>
        <w:rPr>
          <w:b/>
          <w:color w:val="auto"/>
          <w:sz w:val="26"/>
          <w:szCs w:val="26"/>
        </w:rPr>
      </w:pPr>
      <w:r>
        <w:rPr>
          <w:b/>
          <w:color w:val="auto"/>
          <w:sz w:val="26"/>
          <w:szCs w:val="26"/>
        </w:rPr>
        <w:lastRenderedPageBreak/>
        <w:t xml:space="preserve">Exclusion of </w:t>
      </w:r>
      <w:r w:rsidR="00FE6E97">
        <w:rPr>
          <w:b/>
          <w:color w:val="auto"/>
          <w:sz w:val="26"/>
          <w:szCs w:val="26"/>
        </w:rPr>
        <w:t xml:space="preserve">the GS-Medium and General Service-Primary Rate (GP) rate </w:t>
      </w:r>
      <w:r>
        <w:rPr>
          <w:b/>
          <w:color w:val="auto"/>
          <w:sz w:val="26"/>
          <w:szCs w:val="26"/>
        </w:rPr>
        <w:t>energy charge:</w:t>
      </w:r>
    </w:p>
    <w:p w:rsidR="004B2DA9" w:rsidRDefault="004B2DA9" w:rsidP="00415BA8">
      <w:pPr>
        <w:spacing w:line="360" w:lineRule="auto"/>
        <w:ind w:firstLine="1354"/>
        <w:jc w:val="both"/>
        <w:rPr>
          <w:b/>
          <w:color w:val="auto"/>
          <w:sz w:val="26"/>
          <w:szCs w:val="26"/>
        </w:rPr>
      </w:pPr>
    </w:p>
    <w:p w:rsidR="00415BA8" w:rsidRDefault="004853E7" w:rsidP="004853E7">
      <w:pPr>
        <w:spacing w:line="360" w:lineRule="auto"/>
        <w:ind w:left="1440" w:hanging="1440"/>
        <w:jc w:val="both"/>
        <w:rPr>
          <w:color w:val="auto"/>
          <w:sz w:val="26"/>
          <w:szCs w:val="26"/>
        </w:rPr>
      </w:pPr>
      <w:r>
        <w:rPr>
          <w:color w:val="auto"/>
          <w:sz w:val="26"/>
          <w:szCs w:val="26"/>
        </w:rPr>
        <w:tab/>
      </w:r>
      <w:r w:rsidR="00FE6E97">
        <w:rPr>
          <w:color w:val="auto"/>
          <w:sz w:val="26"/>
          <w:szCs w:val="26"/>
        </w:rPr>
        <w:t>Penelec</w:t>
      </w:r>
      <w:r w:rsidR="00415BA8">
        <w:rPr>
          <w:color w:val="auto"/>
          <w:sz w:val="26"/>
          <w:szCs w:val="26"/>
        </w:rPr>
        <w:t xml:space="preserve"> proposes to remove language pertaining to the </w:t>
      </w:r>
      <w:r w:rsidR="00FE6E97">
        <w:rPr>
          <w:color w:val="auto"/>
          <w:sz w:val="26"/>
          <w:szCs w:val="26"/>
        </w:rPr>
        <w:t>rate schedules GS-Medium and GP energy charges which were</w:t>
      </w:r>
      <w:r w:rsidR="0027277B">
        <w:rPr>
          <w:color w:val="auto"/>
          <w:sz w:val="26"/>
          <w:szCs w:val="26"/>
        </w:rPr>
        <w:t xml:space="preserve"> set at $.000.  The Company removed the energy cha</w:t>
      </w:r>
      <w:r>
        <w:rPr>
          <w:color w:val="auto"/>
          <w:sz w:val="26"/>
          <w:szCs w:val="26"/>
        </w:rPr>
        <w:t>rge because it is no longer applicable</w:t>
      </w:r>
      <w:r w:rsidR="0027277B">
        <w:rPr>
          <w:color w:val="auto"/>
          <w:sz w:val="26"/>
          <w:szCs w:val="26"/>
        </w:rPr>
        <w:t>.</w:t>
      </w:r>
    </w:p>
    <w:p w:rsidR="00415BA8" w:rsidRDefault="00415BA8" w:rsidP="00415BA8">
      <w:pPr>
        <w:spacing w:line="360" w:lineRule="auto"/>
        <w:ind w:firstLine="1354"/>
        <w:jc w:val="both"/>
        <w:rPr>
          <w:color w:val="auto"/>
          <w:sz w:val="26"/>
          <w:szCs w:val="26"/>
        </w:rPr>
      </w:pPr>
    </w:p>
    <w:p w:rsidR="009361E2" w:rsidRPr="003E5026" w:rsidRDefault="007A2DF9" w:rsidP="009361E2">
      <w:pPr>
        <w:spacing w:line="360" w:lineRule="auto"/>
        <w:ind w:firstLine="720"/>
        <w:jc w:val="both"/>
        <w:rPr>
          <w:b/>
          <w:color w:val="auto"/>
          <w:sz w:val="26"/>
          <w:szCs w:val="26"/>
        </w:rPr>
      </w:pPr>
      <w:r>
        <w:rPr>
          <w:b/>
          <w:color w:val="auto"/>
          <w:sz w:val="26"/>
          <w:szCs w:val="26"/>
        </w:rPr>
        <w:tab/>
      </w:r>
      <w:r w:rsidR="009361E2" w:rsidRPr="003E5026">
        <w:rPr>
          <w:b/>
          <w:color w:val="auto"/>
          <w:sz w:val="26"/>
          <w:szCs w:val="26"/>
        </w:rPr>
        <w:t>Bi</w:t>
      </w:r>
      <w:r w:rsidR="009361E2">
        <w:rPr>
          <w:b/>
          <w:color w:val="auto"/>
          <w:sz w:val="26"/>
          <w:szCs w:val="26"/>
        </w:rPr>
        <w:t>lling Demand Determination for Rate C</w:t>
      </w:r>
      <w:r w:rsidR="009361E2" w:rsidRPr="003E5026">
        <w:rPr>
          <w:b/>
          <w:color w:val="auto"/>
          <w:sz w:val="26"/>
          <w:szCs w:val="26"/>
        </w:rPr>
        <w:t>lasses G</w:t>
      </w:r>
      <w:r w:rsidR="009361E2">
        <w:rPr>
          <w:b/>
          <w:color w:val="auto"/>
          <w:sz w:val="26"/>
          <w:szCs w:val="26"/>
        </w:rPr>
        <w:t>S</w:t>
      </w:r>
      <w:r w:rsidR="009361E2" w:rsidRPr="003E5026">
        <w:rPr>
          <w:b/>
          <w:color w:val="auto"/>
          <w:sz w:val="26"/>
          <w:szCs w:val="26"/>
        </w:rPr>
        <w:t xml:space="preserve">M, GSL, GP, </w:t>
      </w:r>
      <w:r w:rsidR="009361E2">
        <w:rPr>
          <w:b/>
          <w:color w:val="auto"/>
          <w:sz w:val="26"/>
          <w:szCs w:val="26"/>
        </w:rPr>
        <w:t>and Rate LP</w:t>
      </w:r>
      <w:r w:rsidR="00A436B1">
        <w:rPr>
          <w:b/>
          <w:color w:val="auto"/>
          <w:sz w:val="26"/>
          <w:szCs w:val="26"/>
        </w:rPr>
        <w:t>:</w:t>
      </w:r>
    </w:p>
    <w:p w:rsidR="009361E2" w:rsidRPr="003E5026" w:rsidRDefault="009361E2" w:rsidP="009361E2">
      <w:pPr>
        <w:spacing w:line="360" w:lineRule="auto"/>
        <w:ind w:firstLine="720"/>
        <w:jc w:val="both"/>
        <w:rPr>
          <w:b/>
          <w:color w:val="auto"/>
          <w:sz w:val="26"/>
          <w:szCs w:val="26"/>
        </w:rPr>
      </w:pPr>
    </w:p>
    <w:p w:rsidR="009361E2" w:rsidRPr="003E5026" w:rsidRDefault="004853E7" w:rsidP="004853E7">
      <w:pPr>
        <w:pStyle w:val="ListParagraph"/>
        <w:spacing w:line="360" w:lineRule="auto"/>
        <w:ind w:left="1440" w:hanging="1440"/>
        <w:jc w:val="both"/>
        <w:rPr>
          <w:color w:val="auto"/>
          <w:sz w:val="26"/>
          <w:szCs w:val="26"/>
        </w:rPr>
      </w:pPr>
      <w:r>
        <w:rPr>
          <w:color w:val="auto"/>
          <w:sz w:val="26"/>
          <w:szCs w:val="26"/>
        </w:rPr>
        <w:tab/>
      </w:r>
      <w:r w:rsidR="009361E2" w:rsidRPr="003E5026">
        <w:rPr>
          <w:color w:val="auto"/>
          <w:sz w:val="26"/>
          <w:szCs w:val="26"/>
        </w:rPr>
        <w:t xml:space="preserve">The Company added </w:t>
      </w:r>
      <w:r w:rsidR="00835472">
        <w:rPr>
          <w:color w:val="auto"/>
          <w:sz w:val="26"/>
          <w:szCs w:val="26"/>
        </w:rPr>
        <w:t>language</w:t>
      </w:r>
      <w:r w:rsidR="009361E2" w:rsidRPr="003E5026">
        <w:rPr>
          <w:color w:val="auto"/>
          <w:sz w:val="26"/>
          <w:szCs w:val="26"/>
        </w:rPr>
        <w:t xml:space="preserve"> </w:t>
      </w:r>
      <w:r w:rsidR="009361E2">
        <w:rPr>
          <w:color w:val="auto"/>
          <w:sz w:val="26"/>
          <w:szCs w:val="26"/>
        </w:rPr>
        <w:t>to a definition on Rate Sch</w:t>
      </w:r>
      <w:r w:rsidR="00EA5428">
        <w:rPr>
          <w:color w:val="auto"/>
          <w:sz w:val="26"/>
          <w:szCs w:val="26"/>
        </w:rPr>
        <w:t>edules GSM, GSL, GP, and Rate LP</w:t>
      </w:r>
      <w:r w:rsidR="009361E2">
        <w:rPr>
          <w:color w:val="auto"/>
          <w:sz w:val="26"/>
          <w:szCs w:val="26"/>
        </w:rPr>
        <w:t xml:space="preserve"> </w:t>
      </w:r>
      <w:r w:rsidR="009361E2" w:rsidRPr="003E5026">
        <w:rPr>
          <w:color w:val="auto"/>
          <w:sz w:val="26"/>
          <w:szCs w:val="26"/>
        </w:rPr>
        <w:t xml:space="preserve">which clarifies that the </w:t>
      </w:r>
      <w:r w:rsidR="009361E2">
        <w:rPr>
          <w:color w:val="auto"/>
          <w:sz w:val="26"/>
          <w:szCs w:val="26"/>
        </w:rPr>
        <w:t>On-P</w:t>
      </w:r>
      <w:r>
        <w:rPr>
          <w:color w:val="auto"/>
          <w:sz w:val="26"/>
          <w:szCs w:val="26"/>
        </w:rPr>
        <w:t>eak and Off-P</w:t>
      </w:r>
      <w:r w:rsidR="009361E2" w:rsidRPr="003E5026">
        <w:rPr>
          <w:color w:val="auto"/>
          <w:sz w:val="26"/>
          <w:szCs w:val="26"/>
        </w:rPr>
        <w:t xml:space="preserve">eak provisions </w:t>
      </w:r>
      <w:r w:rsidR="00835472">
        <w:rPr>
          <w:color w:val="auto"/>
          <w:sz w:val="26"/>
          <w:szCs w:val="26"/>
        </w:rPr>
        <w:t xml:space="preserve">explained in the definition, </w:t>
      </w:r>
      <w:r w:rsidR="009361E2" w:rsidRPr="003E5026">
        <w:rPr>
          <w:color w:val="auto"/>
          <w:sz w:val="26"/>
          <w:szCs w:val="26"/>
        </w:rPr>
        <w:t>are only applicable to customer</w:t>
      </w:r>
      <w:r w:rsidR="00835472">
        <w:rPr>
          <w:color w:val="auto"/>
          <w:sz w:val="26"/>
          <w:szCs w:val="26"/>
        </w:rPr>
        <w:t>s</w:t>
      </w:r>
      <w:r w:rsidR="009361E2" w:rsidRPr="003E5026">
        <w:rPr>
          <w:color w:val="auto"/>
          <w:sz w:val="26"/>
          <w:szCs w:val="26"/>
        </w:rPr>
        <w:t xml:space="preserve"> who have ins</w:t>
      </w:r>
      <w:r w:rsidR="009361E2">
        <w:rPr>
          <w:color w:val="auto"/>
          <w:sz w:val="26"/>
          <w:szCs w:val="26"/>
        </w:rPr>
        <w:t>tallations of non-interval Time-</w:t>
      </w:r>
      <w:r w:rsidR="009361E2" w:rsidRPr="003E5026">
        <w:rPr>
          <w:color w:val="auto"/>
          <w:sz w:val="26"/>
          <w:szCs w:val="26"/>
        </w:rPr>
        <w:t>of-Use demand meters.</w:t>
      </w:r>
      <w:r w:rsidR="009361E2">
        <w:rPr>
          <w:color w:val="auto"/>
          <w:sz w:val="26"/>
          <w:szCs w:val="26"/>
        </w:rPr>
        <w:t xml:space="preserve">  The Company included this caveat because the definition explicitly mentions 15-minute intervals, which are only available with the non-interval Time-</w:t>
      </w:r>
      <w:r w:rsidR="009361E2" w:rsidRPr="003E5026">
        <w:rPr>
          <w:color w:val="auto"/>
          <w:sz w:val="26"/>
          <w:szCs w:val="26"/>
        </w:rPr>
        <w:t>of-Use demand meters</w:t>
      </w:r>
      <w:r w:rsidR="009361E2">
        <w:rPr>
          <w:color w:val="auto"/>
          <w:sz w:val="26"/>
          <w:szCs w:val="26"/>
        </w:rPr>
        <w:t>.</w:t>
      </w:r>
    </w:p>
    <w:p w:rsidR="004B2DA9" w:rsidRDefault="004B2DA9" w:rsidP="00415BA8">
      <w:pPr>
        <w:spacing w:line="360" w:lineRule="auto"/>
        <w:ind w:firstLine="1354"/>
        <w:jc w:val="both"/>
        <w:rPr>
          <w:b/>
          <w:color w:val="auto"/>
          <w:sz w:val="26"/>
          <w:szCs w:val="26"/>
        </w:rPr>
      </w:pPr>
    </w:p>
    <w:p w:rsidR="000F08D3" w:rsidRDefault="00441455" w:rsidP="000F08D3">
      <w:pPr>
        <w:spacing w:line="360" w:lineRule="auto"/>
        <w:ind w:firstLine="720"/>
        <w:jc w:val="both"/>
        <w:rPr>
          <w:b/>
          <w:color w:val="auto"/>
          <w:sz w:val="26"/>
          <w:szCs w:val="26"/>
        </w:rPr>
      </w:pPr>
      <w:r>
        <w:rPr>
          <w:b/>
          <w:color w:val="auto"/>
          <w:sz w:val="26"/>
          <w:szCs w:val="26"/>
        </w:rPr>
        <w:t xml:space="preserve">Omission of </w:t>
      </w:r>
      <w:r w:rsidR="000F08D3">
        <w:rPr>
          <w:b/>
          <w:color w:val="auto"/>
          <w:sz w:val="26"/>
          <w:szCs w:val="26"/>
        </w:rPr>
        <w:t xml:space="preserve">Reactive </w:t>
      </w:r>
      <w:r w:rsidR="000F08D3" w:rsidRPr="003E5026">
        <w:rPr>
          <w:b/>
          <w:color w:val="auto"/>
          <w:sz w:val="26"/>
          <w:szCs w:val="26"/>
        </w:rPr>
        <w:t>Bi</w:t>
      </w:r>
      <w:r w:rsidR="000F08D3">
        <w:rPr>
          <w:b/>
          <w:color w:val="auto"/>
          <w:sz w:val="26"/>
          <w:szCs w:val="26"/>
        </w:rPr>
        <w:t xml:space="preserve">lling </w:t>
      </w:r>
      <w:r>
        <w:rPr>
          <w:b/>
          <w:color w:val="auto"/>
          <w:sz w:val="26"/>
          <w:szCs w:val="26"/>
        </w:rPr>
        <w:t>Demand charge</w:t>
      </w:r>
      <w:r w:rsidR="000F08D3">
        <w:rPr>
          <w:b/>
          <w:color w:val="auto"/>
          <w:sz w:val="26"/>
          <w:szCs w:val="26"/>
        </w:rPr>
        <w:t xml:space="preserve"> for Rate C</w:t>
      </w:r>
      <w:r w:rsidR="000F08D3" w:rsidRPr="003E5026">
        <w:rPr>
          <w:b/>
          <w:color w:val="auto"/>
          <w:sz w:val="26"/>
          <w:szCs w:val="26"/>
        </w:rPr>
        <w:t>lass</w:t>
      </w:r>
      <w:r w:rsidR="00EA5428">
        <w:rPr>
          <w:b/>
          <w:color w:val="auto"/>
          <w:sz w:val="26"/>
          <w:szCs w:val="26"/>
        </w:rPr>
        <w:t xml:space="preserve"> GSM</w:t>
      </w:r>
      <w:r w:rsidR="00A436B1">
        <w:rPr>
          <w:b/>
          <w:color w:val="auto"/>
          <w:sz w:val="26"/>
          <w:szCs w:val="26"/>
        </w:rPr>
        <w:t>:</w:t>
      </w:r>
    </w:p>
    <w:p w:rsidR="000F08D3" w:rsidRDefault="000F08D3" w:rsidP="000F08D3">
      <w:pPr>
        <w:spacing w:line="360" w:lineRule="auto"/>
        <w:ind w:firstLine="720"/>
        <w:jc w:val="both"/>
        <w:rPr>
          <w:color w:val="auto"/>
          <w:sz w:val="26"/>
          <w:szCs w:val="26"/>
        </w:rPr>
      </w:pPr>
    </w:p>
    <w:p w:rsidR="000F08D3" w:rsidRPr="006821AA" w:rsidRDefault="004853E7" w:rsidP="004853E7">
      <w:pPr>
        <w:pStyle w:val="ListParagraph"/>
        <w:spacing w:line="360" w:lineRule="auto"/>
        <w:ind w:left="1440" w:hanging="1440"/>
        <w:jc w:val="both"/>
        <w:rPr>
          <w:color w:val="auto"/>
          <w:sz w:val="26"/>
          <w:szCs w:val="26"/>
        </w:rPr>
      </w:pPr>
      <w:r>
        <w:rPr>
          <w:color w:val="auto"/>
          <w:sz w:val="26"/>
          <w:szCs w:val="26"/>
        </w:rPr>
        <w:tab/>
      </w:r>
      <w:r w:rsidR="000F08D3">
        <w:rPr>
          <w:color w:val="auto"/>
          <w:sz w:val="26"/>
          <w:szCs w:val="26"/>
        </w:rPr>
        <w:t xml:space="preserve">The Company </w:t>
      </w:r>
      <w:r w:rsidR="00441455">
        <w:rPr>
          <w:color w:val="auto"/>
          <w:sz w:val="26"/>
          <w:szCs w:val="26"/>
        </w:rPr>
        <w:t>proposes to eliminate the $.21</w:t>
      </w:r>
      <w:r w:rsidR="00835472">
        <w:rPr>
          <w:color w:val="auto"/>
          <w:sz w:val="26"/>
          <w:szCs w:val="26"/>
        </w:rPr>
        <w:t xml:space="preserve"> charge for each rkVA reactive billing demand</w:t>
      </w:r>
      <w:r w:rsidR="00441455">
        <w:rPr>
          <w:color w:val="auto"/>
          <w:sz w:val="26"/>
          <w:szCs w:val="26"/>
        </w:rPr>
        <w:t xml:space="preserve"> for single phase customers in the GSM rate schedule. Penelec avers that the elimination of this charge is due to its single phase customer meters not being capable of reading reactive billing demand. </w:t>
      </w:r>
    </w:p>
    <w:p w:rsidR="00415BA8" w:rsidRDefault="00415BA8" w:rsidP="00415BA8">
      <w:pPr>
        <w:spacing w:line="360" w:lineRule="auto"/>
        <w:ind w:firstLine="1354"/>
        <w:jc w:val="both"/>
        <w:rPr>
          <w:color w:val="auto"/>
          <w:sz w:val="26"/>
          <w:szCs w:val="26"/>
        </w:rPr>
      </w:pPr>
    </w:p>
    <w:p w:rsidR="004B4644" w:rsidRDefault="004B4644" w:rsidP="00415BA8">
      <w:pPr>
        <w:spacing w:line="360" w:lineRule="auto"/>
        <w:ind w:firstLine="1354"/>
        <w:jc w:val="both"/>
        <w:rPr>
          <w:color w:val="auto"/>
          <w:sz w:val="26"/>
          <w:szCs w:val="26"/>
        </w:rPr>
      </w:pPr>
    </w:p>
    <w:p w:rsidR="004B4644" w:rsidRDefault="004B4644" w:rsidP="00415BA8">
      <w:pPr>
        <w:spacing w:line="360" w:lineRule="auto"/>
        <w:ind w:firstLine="1354"/>
        <w:jc w:val="both"/>
        <w:rPr>
          <w:color w:val="auto"/>
          <w:sz w:val="26"/>
          <w:szCs w:val="26"/>
        </w:rPr>
      </w:pPr>
    </w:p>
    <w:p w:rsidR="004B4644" w:rsidRDefault="004B4644" w:rsidP="00415BA8">
      <w:pPr>
        <w:spacing w:line="360" w:lineRule="auto"/>
        <w:ind w:firstLine="1354"/>
        <w:jc w:val="both"/>
        <w:rPr>
          <w:color w:val="auto"/>
          <w:sz w:val="26"/>
          <w:szCs w:val="26"/>
        </w:rPr>
      </w:pPr>
    </w:p>
    <w:p w:rsidR="00415BA8" w:rsidRPr="00854A43" w:rsidRDefault="001C70E0" w:rsidP="00415BA8">
      <w:pPr>
        <w:spacing w:line="360" w:lineRule="auto"/>
        <w:ind w:firstLine="1354"/>
        <w:jc w:val="both"/>
        <w:rPr>
          <w:b/>
          <w:color w:val="auto"/>
          <w:sz w:val="26"/>
          <w:szCs w:val="26"/>
        </w:rPr>
      </w:pPr>
      <w:r>
        <w:rPr>
          <w:b/>
          <w:color w:val="auto"/>
          <w:sz w:val="26"/>
          <w:szCs w:val="26"/>
        </w:rPr>
        <w:lastRenderedPageBreak/>
        <w:t>Hourly Pricing Default Service Rider</w:t>
      </w:r>
      <w:r w:rsidR="00854A43">
        <w:rPr>
          <w:b/>
          <w:color w:val="auto"/>
          <w:sz w:val="26"/>
          <w:szCs w:val="26"/>
        </w:rPr>
        <w:t xml:space="preserve"> I for Rate Class</w:t>
      </w:r>
      <w:r w:rsidR="00854A43" w:rsidRPr="00854A43">
        <w:rPr>
          <w:sz w:val="23"/>
          <w:szCs w:val="23"/>
        </w:rPr>
        <w:t xml:space="preserve"> </w:t>
      </w:r>
      <w:r w:rsidR="00854A43">
        <w:rPr>
          <w:b/>
          <w:color w:val="auto"/>
          <w:sz w:val="26"/>
          <w:szCs w:val="26"/>
        </w:rPr>
        <w:t xml:space="preserve">GS-Large, GP, </w:t>
      </w:r>
      <w:r w:rsidR="00854A43" w:rsidRPr="00854A43">
        <w:rPr>
          <w:b/>
          <w:color w:val="auto"/>
          <w:sz w:val="26"/>
          <w:szCs w:val="26"/>
        </w:rPr>
        <w:t>LP</w:t>
      </w:r>
      <w:r w:rsidR="00854A43">
        <w:rPr>
          <w:b/>
          <w:color w:val="auto"/>
          <w:sz w:val="26"/>
          <w:szCs w:val="26"/>
        </w:rPr>
        <w:t>, GS-Small and GS-Medium</w:t>
      </w:r>
      <w:r w:rsidRPr="00854A43">
        <w:rPr>
          <w:b/>
          <w:color w:val="auto"/>
          <w:sz w:val="26"/>
          <w:szCs w:val="26"/>
        </w:rPr>
        <w:t xml:space="preserve">: </w:t>
      </w:r>
    </w:p>
    <w:p w:rsidR="004853E7" w:rsidRDefault="004853E7" w:rsidP="00415BA8">
      <w:pPr>
        <w:spacing w:line="360" w:lineRule="auto"/>
        <w:ind w:firstLine="1354"/>
        <w:jc w:val="both"/>
        <w:rPr>
          <w:b/>
          <w:color w:val="auto"/>
          <w:sz w:val="26"/>
          <w:szCs w:val="26"/>
        </w:rPr>
      </w:pPr>
    </w:p>
    <w:p w:rsidR="00A44ADA" w:rsidRPr="00A44ADA" w:rsidRDefault="004853E7" w:rsidP="004853E7">
      <w:pPr>
        <w:spacing w:line="360" w:lineRule="auto"/>
        <w:ind w:left="1440" w:hanging="1440"/>
        <w:jc w:val="both"/>
        <w:rPr>
          <w:color w:val="auto"/>
          <w:sz w:val="26"/>
          <w:szCs w:val="26"/>
        </w:rPr>
      </w:pPr>
      <w:r>
        <w:rPr>
          <w:color w:val="auto"/>
          <w:sz w:val="26"/>
          <w:szCs w:val="26"/>
        </w:rPr>
        <w:tab/>
      </w:r>
      <w:r w:rsidR="00A44ADA" w:rsidRPr="00A44ADA">
        <w:rPr>
          <w:color w:val="auto"/>
          <w:sz w:val="26"/>
          <w:szCs w:val="26"/>
        </w:rPr>
        <w:t>The</w:t>
      </w:r>
      <w:r w:rsidR="00A44ADA">
        <w:rPr>
          <w:color w:val="auto"/>
          <w:sz w:val="26"/>
          <w:szCs w:val="26"/>
        </w:rPr>
        <w:t xml:space="preserve"> Company </w:t>
      </w:r>
      <w:r w:rsidR="00854A43">
        <w:rPr>
          <w:color w:val="auto"/>
          <w:sz w:val="26"/>
          <w:szCs w:val="26"/>
        </w:rPr>
        <w:t>is proposing to exclude</w:t>
      </w:r>
      <w:r w:rsidR="00A44ADA">
        <w:rPr>
          <w:color w:val="auto"/>
          <w:sz w:val="26"/>
          <w:szCs w:val="26"/>
        </w:rPr>
        <w:t xml:space="preserve"> multiplier DSHPExp3 </w:t>
      </w:r>
      <w:r w:rsidR="00097689">
        <w:rPr>
          <w:color w:val="auto"/>
          <w:sz w:val="26"/>
          <w:szCs w:val="26"/>
        </w:rPr>
        <w:t>in the formula for calculating the HP reconciliation charge rate</w:t>
      </w:r>
      <w:r>
        <w:rPr>
          <w:color w:val="auto"/>
          <w:sz w:val="26"/>
          <w:szCs w:val="26"/>
        </w:rPr>
        <w:t>,</w:t>
      </w:r>
      <w:r w:rsidR="00097689">
        <w:rPr>
          <w:color w:val="auto"/>
          <w:sz w:val="26"/>
          <w:szCs w:val="26"/>
        </w:rPr>
        <w:t xml:space="preserve"> </w:t>
      </w:r>
      <w:r w:rsidR="00A44ADA">
        <w:rPr>
          <w:color w:val="auto"/>
          <w:sz w:val="26"/>
          <w:szCs w:val="26"/>
        </w:rPr>
        <w:t>which has no definition</w:t>
      </w:r>
      <w:r>
        <w:rPr>
          <w:color w:val="auto"/>
          <w:sz w:val="26"/>
          <w:szCs w:val="26"/>
        </w:rPr>
        <w:t>,</w:t>
      </w:r>
      <w:r w:rsidR="00A44ADA">
        <w:rPr>
          <w:color w:val="auto"/>
          <w:sz w:val="26"/>
          <w:szCs w:val="26"/>
        </w:rPr>
        <w:t xml:space="preserve"> and </w:t>
      </w:r>
      <w:r w:rsidR="00097689">
        <w:rPr>
          <w:color w:val="auto"/>
          <w:sz w:val="26"/>
          <w:szCs w:val="26"/>
        </w:rPr>
        <w:t>was</w:t>
      </w:r>
      <w:r w:rsidR="00A44ADA">
        <w:rPr>
          <w:color w:val="auto"/>
          <w:sz w:val="26"/>
          <w:szCs w:val="26"/>
        </w:rPr>
        <w:t xml:space="preserve"> erroneously </w:t>
      </w:r>
      <w:r w:rsidR="00097689">
        <w:rPr>
          <w:color w:val="auto"/>
          <w:sz w:val="26"/>
          <w:szCs w:val="26"/>
        </w:rPr>
        <w:t xml:space="preserve">included in the </w:t>
      </w:r>
      <w:r>
        <w:rPr>
          <w:color w:val="auto"/>
          <w:sz w:val="26"/>
          <w:szCs w:val="26"/>
        </w:rPr>
        <w:t>C</w:t>
      </w:r>
      <w:r w:rsidR="00097689">
        <w:rPr>
          <w:color w:val="auto"/>
          <w:sz w:val="26"/>
          <w:szCs w:val="26"/>
        </w:rPr>
        <w:t>ompliance Tariff</w:t>
      </w:r>
      <w:r w:rsidR="00A44ADA">
        <w:rPr>
          <w:color w:val="auto"/>
          <w:sz w:val="26"/>
          <w:szCs w:val="26"/>
        </w:rPr>
        <w:t xml:space="preserve"> due </w:t>
      </w:r>
      <w:r w:rsidR="00466757">
        <w:rPr>
          <w:color w:val="auto"/>
          <w:sz w:val="26"/>
          <w:szCs w:val="26"/>
        </w:rPr>
        <w:t>to its</w:t>
      </w:r>
      <w:r w:rsidR="00A44ADA">
        <w:rPr>
          <w:color w:val="auto"/>
          <w:sz w:val="26"/>
          <w:szCs w:val="26"/>
        </w:rPr>
        <w:t xml:space="preserve"> similarity to DSHPExp1 and DSHPExp2</w:t>
      </w:r>
      <w:r w:rsidR="00466757">
        <w:rPr>
          <w:color w:val="auto"/>
          <w:sz w:val="26"/>
          <w:szCs w:val="26"/>
        </w:rPr>
        <w:t>.</w:t>
      </w:r>
      <w:r w:rsidR="00A44ADA">
        <w:rPr>
          <w:color w:val="auto"/>
          <w:sz w:val="26"/>
          <w:szCs w:val="26"/>
        </w:rPr>
        <w:t xml:space="preserve"> </w:t>
      </w:r>
      <w:r w:rsidR="00466757">
        <w:rPr>
          <w:color w:val="auto"/>
          <w:sz w:val="26"/>
          <w:szCs w:val="26"/>
        </w:rPr>
        <w:t xml:space="preserve">DSHPExp1 and DSHPExp2 </w:t>
      </w:r>
      <w:r w:rsidR="00A44ADA">
        <w:rPr>
          <w:color w:val="auto"/>
          <w:sz w:val="26"/>
          <w:szCs w:val="26"/>
        </w:rPr>
        <w:t xml:space="preserve">represent allocated startup costs and </w:t>
      </w:r>
      <w:r w:rsidR="00466757">
        <w:rPr>
          <w:color w:val="auto"/>
          <w:sz w:val="26"/>
          <w:szCs w:val="26"/>
        </w:rPr>
        <w:t>cumulative costs incurred by the company</w:t>
      </w:r>
      <w:r w:rsidR="00EE13FE">
        <w:rPr>
          <w:color w:val="auto"/>
          <w:sz w:val="26"/>
          <w:szCs w:val="26"/>
        </w:rPr>
        <w:t xml:space="preserve"> to determine the rate</w:t>
      </w:r>
      <w:r w:rsidR="00854A43">
        <w:rPr>
          <w:color w:val="auto"/>
          <w:sz w:val="26"/>
          <w:szCs w:val="26"/>
        </w:rPr>
        <w:t xml:space="preserve"> for default customers under these rate </w:t>
      </w:r>
      <w:r w:rsidR="00EE13FE">
        <w:rPr>
          <w:color w:val="auto"/>
          <w:sz w:val="26"/>
          <w:szCs w:val="26"/>
        </w:rPr>
        <w:t>schedules</w:t>
      </w:r>
      <w:r w:rsidR="00466757">
        <w:rPr>
          <w:color w:val="auto"/>
          <w:sz w:val="26"/>
          <w:szCs w:val="26"/>
        </w:rPr>
        <w:t>.</w:t>
      </w:r>
    </w:p>
    <w:p w:rsidR="00415BA8" w:rsidRDefault="00415BA8" w:rsidP="00415BA8">
      <w:pPr>
        <w:spacing w:line="360" w:lineRule="auto"/>
        <w:ind w:firstLine="1354"/>
        <w:jc w:val="both"/>
        <w:rPr>
          <w:color w:val="auto"/>
          <w:sz w:val="26"/>
          <w:szCs w:val="26"/>
        </w:rPr>
      </w:pPr>
    </w:p>
    <w:p w:rsidR="00A436B1" w:rsidRDefault="00415BA8" w:rsidP="00415BA8">
      <w:pPr>
        <w:spacing w:line="360" w:lineRule="auto"/>
        <w:ind w:firstLine="1354"/>
        <w:jc w:val="both"/>
        <w:rPr>
          <w:b/>
          <w:color w:val="auto"/>
          <w:sz w:val="26"/>
          <w:szCs w:val="26"/>
        </w:rPr>
      </w:pPr>
      <w:r>
        <w:rPr>
          <w:b/>
          <w:color w:val="auto"/>
          <w:sz w:val="26"/>
          <w:szCs w:val="26"/>
        </w:rPr>
        <w:t xml:space="preserve">Rider K removal of Independence Day from the inclusion of on-peak hours: </w:t>
      </w:r>
      <w:r>
        <w:rPr>
          <w:b/>
          <w:color w:val="auto"/>
          <w:sz w:val="26"/>
          <w:szCs w:val="26"/>
        </w:rPr>
        <w:tab/>
      </w:r>
    </w:p>
    <w:p w:rsidR="00415BA8" w:rsidRDefault="004853E7" w:rsidP="004853E7">
      <w:pPr>
        <w:spacing w:line="360" w:lineRule="auto"/>
        <w:ind w:left="1440" w:hanging="1440"/>
        <w:jc w:val="both"/>
        <w:rPr>
          <w:color w:val="auto"/>
          <w:sz w:val="26"/>
          <w:szCs w:val="26"/>
        </w:rPr>
      </w:pPr>
      <w:r>
        <w:rPr>
          <w:color w:val="auto"/>
          <w:sz w:val="26"/>
          <w:szCs w:val="26"/>
        </w:rPr>
        <w:tab/>
      </w:r>
      <w:r w:rsidR="00166F88">
        <w:rPr>
          <w:color w:val="auto"/>
          <w:sz w:val="26"/>
          <w:szCs w:val="26"/>
        </w:rPr>
        <w:t>Penelec</w:t>
      </w:r>
      <w:r w:rsidR="00415BA8">
        <w:rPr>
          <w:color w:val="auto"/>
          <w:sz w:val="26"/>
          <w:szCs w:val="26"/>
        </w:rPr>
        <w:t xml:space="preserve"> is proposing to remove language excluding Independence Day from the definition of on-peak hours</w:t>
      </w:r>
      <w:r w:rsidR="00A436B1">
        <w:rPr>
          <w:color w:val="auto"/>
          <w:sz w:val="26"/>
          <w:szCs w:val="26"/>
        </w:rPr>
        <w:t xml:space="preserve">. The company states that this exclusion is necessary </w:t>
      </w:r>
      <w:r w:rsidR="00097689">
        <w:rPr>
          <w:color w:val="auto"/>
          <w:sz w:val="26"/>
          <w:szCs w:val="26"/>
        </w:rPr>
        <w:t xml:space="preserve">due to </w:t>
      </w:r>
      <w:r w:rsidR="00A436B1">
        <w:rPr>
          <w:color w:val="auto"/>
          <w:sz w:val="26"/>
          <w:szCs w:val="26"/>
        </w:rPr>
        <w:t>the fact that its meters are not capable of distinguishing Independence Day</w:t>
      </w:r>
      <w:r w:rsidR="00415BA8">
        <w:rPr>
          <w:color w:val="auto"/>
          <w:sz w:val="26"/>
          <w:szCs w:val="26"/>
        </w:rPr>
        <w:t xml:space="preserve">.  </w:t>
      </w:r>
    </w:p>
    <w:p w:rsidR="00415BA8" w:rsidRDefault="00415BA8" w:rsidP="00415BA8">
      <w:pPr>
        <w:spacing w:line="360" w:lineRule="auto"/>
        <w:ind w:firstLine="1354"/>
        <w:rPr>
          <w:color w:val="auto"/>
          <w:sz w:val="26"/>
          <w:szCs w:val="26"/>
        </w:rPr>
      </w:pPr>
    </w:p>
    <w:p w:rsidR="00415BA8" w:rsidRPr="004B2DA9" w:rsidRDefault="008E3BB1" w:rsidP="004B2DA9">
      <w:pPr>
        <w:pStyle w:val="BodyText"/>
        <w:spacing w:line="360" w:lineRule="auto"/>
        <w:ind w:firstLine="1440"/>
        <w:rPr>
          <w:color w:val="auto"/>
        </w:rPr>
      </w:pPr>
      <w:r>
        <w:rPr>
          <w:color w:val="auto"/>
        </w:rPr>
        <w:t>Upon review of Penelec</w:t>
      </w:r>
      <w:r w:rsidR="00415BA8">
        <w:rPr>
          <w:color w:val="auto"/>
        </w:rPr>
        <w:t>’s Supplement</w:t>
      </w:r>
      <w:r w:rsidR="00415BA8">
        <w:rPr>
          <w:color w:val="auto"/>
          <w:szCs w:val="26"/>
        </w:rPr>
        <w:t xml:space="preserve"> </w:t>
      </w:r>
      <w:r w:rsidR="008A439A">
        <w:rPr>
          <w:color w:val="auto"/>
          <w:szCs w:val="26"/>
        </w:rPr>
        <w:t xml:space="preserve">No. 7 </w:t>
      </w:r>
      <w:r w:rsidR="00415BA8">
        <w:rPr>
          <w:color w:val="auto"/>
          <w:szCs w:val="26"/>
        </w:rPr>
        <w:t xml:space="preserve">to </w:t>
      </w:r>
      <w:r w:rsidR="00CD2A1C">
        <w:rPr>
          <w:color w:val="auto"/>
          <w:szCs w:val="26"/>
        </w:rPr>
        <w:t>Tariff Electric-Pa</w:t>
      </w:r>
      <w:r w:rsidR="00EE13FE">
        <w:rPr>
          <w:color w:val="auto"/>
          <w:szCs w:val="26"/>
        </w:rPr>
        <w:t xml:space="preserve"> P.U.C. No. 81</w:t>
      </w:r>
      <w:r w:rsidR="00415BA8">
        <w:rPr>
          <w:color w:val="auto"/>
        </w:rPr>
        <w:t xml:space="preserve">, we find that the proposed </w:t>
      </w:r>
      <w:r w:rsidR="00415BA8">
        <w:rPr>
          <w:color w:val="auto"/>
          <w:szCs w:val="26"/>
        </w:rPr>
        <w:t xml:space="preserve">changes are necessary </w:t>
      </w:r>
      <w:r w:rsidR="00CD2A1C">
        <w:rPr>
          <w:color w:val="auto"/>
          <w:szCs w:val="26"/>
        </w:rPr>
        <w:t>to make corrections to its</w:t>
      </w:r>
      <w:r w:rsidR="00097689">
        <w:rPr>
          <w:color w:val="auto"/>
          <w:szCs w:val="26"/>
        </w:rPr>
        <w:t xml:space="preserve"> </w:t>
      </w:r>
      <w:r w:rsidR="008F49A5">
        <w:rPr>
          <w:color w:val="auto"/>
          <w:szCs w:val="26"/>
        </w:rPr>
        <w:t xml:space="preserve">May 3, </w:t>
      </w:r>
      <w:r w:rsidR="00CD2A1C">
        <w:rPr>
          <w:color w:val="auto"/>
          <w:szCs w:val="26"/>
        </w:rPr>
        <w:t>2015</w:t>
      </w:r>
      <w:r w:rsidR="004853E7">
        <w:rPr>
          <w:color w:val="auto"/>
          <w:szCs w:val="26"/>
        </w:rPr>
        <w:t xml:space="preserve"> </w:t>
      </w:r>
      <w:r w:rsidR="00097689">
        <w:rPr>
          <w:color w:val="auto"/>
          <w:szCs w:val="26"/>
        </w:rPr>
        <w:t>Compliance Tariff</w:t>
      </w:r>
      <w:r w:rsidR="00415BA8">
        <w:rPr>
          <w:color w:val="auto"/>
          <w:szCs w:val="26"/>
        </w:rPr>
        <w:t xml:space="preserve">, and that the changes/revisions </w:t>
      </w:r>
      <w:r w:rsidR="00415BA8">
        <w:rPr>
          <w:color w:val="auto"/>
        </w:rPr>
        <w:t>contained herein do not appear to be unlawful, unjust, unreasonable, or contrary t</w:t>
      </w:r>
      <w:r w:rsidR="00EE13FE">
        <w:rPr>
          <w:color w:val="auto"/>
        </w:rPr>
        <w:t>o the public interest.</w:t>
      </w:r>
      <w:r w:rsidR="004B2DA9">
        <w:rPr>
          <w:color w:val="auto"/>
        </w:rPr>
        <w:t xml:space="preserve">  </w:t>
      </w:r>
      <w:r w:rsidR="00415BA8">
        <w:rPr>
          <w:color w:val="auto"/>
          <w:szCs w:val="26"/>
        </w:rPr>
        <w:t xml:space="preserve">Accordingly, we will permit Supplement No. </w:t>
      </w:r>
      <w:r>
        <w:rPr>
          <w:color w:val="auto"/>
          <w:szCs w:val="26"/>
        </w:rPr>
        <w:t>7</w:t>
      </w:r>
      <w:r w:rsidR="00415BA8">
        <w:rPr>
          <w:color w:val="auto"/>
          <w:szCs w:val="26"/>
        </w:rPr>
        <w:t xml:space="preserve"> to become effective on the date requested.  However, approval of this filing does not constitute a determination that this filing is lawful, just, or reasonable, but only that further investigation or suspension does not appear to be warranted at this time; </w:t>
      </w:r>
      <w:r w:rsidR="00415BA8">
        <w:rPr>
          <w:b/>
          <w:color w:val="auto"/>
        </w:rPr>
        <w:t>THEREFORE,</w:t>
      </w:r>
    </w:p>
    <w:p w:rsidR="00415BA8" w:rsidRDefault="00415BA8" w:rsidP="00415BA8">
      <w:pPr>
        <w:rPr>
          <w:b/>
          <w:color w:val="auto"/>
        </w:rPr>
      </w:pPr>
    </w:p>
    <w:p w:rsidR="004B4644" w:rsidRDefault="004B4644" w:rsidP="00415BA8">
      <w:pPr>
        <w:rPr>
          <w:b/>
          <w:color w:val="auto"/>
        </w:rPr>
      </w:pPr>
    </w:p>
    <w:p w:rsidR="004B4644" w:rsidRDefault="004B4644" w:rsidP="00415BA8">
      <w:pPr>
        <w:rPr>
          <w:b/>
          <w:color w:val="auto"/>
        </w:rPr>
      </w:pPr>
    </w:p>
    <w:p w:rsidR="004B4644" w:rsidRDefault="004B4644" w:rsidP="00415BA8">
      <w:pPr>
        <w:rPr>
          <w:b/>
          <w:color w:val="auto"/>
        </w:rPr>
      </w:pPr>
    </w:p>
    <w:p w:rsidR="004B4644" w:rsidRDefault="004B4644" w:rsidP="00415BA8">
      <w:pPr>
        <w:rPr>
          <w:b/>
          <w:color w:val="auto"/>
        </w:rPr>
      </w:pPr>
    </w:p>
    <w:p w:rsidR="004B4644" w:rsidRDefault="004B4644" w:rsidP="00415BA8">
      <w:pPr>
        <w:rPr>
          <w:b/>
          <w:color w:val="auto"/>
        </w:rPr>
      </w:pPr>
    </w:p>
    <w:p w:rsidR="00415BA8" w:rsidRDefault="00415BA8" w:rsidP="004B4644">
      <w:pPr>
        <w:ind w:left="720" w:firstLine="720"/>
        <w:rPr>
          <w:b/>
          <w:color w:val="auto"/>
        </w:rPr>
      </w:pPr>
      <w:r>
        <w:rPr>
          <w:b/>
          <w:color w:val="auto"/>
          <w:sz w:val="26"/>
        </w:rPr>
        <w:lastRenderedPageBreak/>
        <w:t>IT IS ORDERED:</w:t>
      </w:r>
    </w:p>
    <w:p w:rsidR="00415BA8" w:rsidRDefault="00415BA8" w:rsidP="00415BA8">
      <w:pPr>
        <w:pStyle w:val="BodyText"/>
        <w:tabs>
          <w:tab w:val="clear" w:pos="0"/>
          <w:tab w:val="left" w:pos="720"/>
        </w:tabs>
        <w:spacing w:line="240" w:lineRule="auto"/>
        <w:rPr>
          <w:b/>
          <w:color w:val="000000"/>
          <w:szCs w:val="26"/>
        </w:rPr>
      </w:pPr>
    </w:p>
    <w:p w:rsidR="00415BA8" w:rsidRDefault="00415BA8" w:rsidP="00415BA8">
      <w:pPr>
        <w:spacing w:line="360" w:lineRule="auto"/>
        <w:rPr>
          <w:color w:val="000000"/>
          <w:szCs w:val="26"/>
        </w:rPr>
      </w:pPr>
    </w:p>
    <w:p w:rsidR="00415BA8" w:rsidRDefault="00415BA8" w:rsidP="008E3BB1">
      <w:pPr>
        <w:spacing w:line="360" w:lineRule="auto"/>
        <w:rPr>
          <w:b/>
          <w:color w:val="auto"/>
          <w:sz w:val="26"/>
          <w:szCs w:val="26"/>
        </w:rPr>
      </w:pPr>
      <w:r>
        <w:rPr>
          <w:color w:val="000000"/>
          <w:sz w:val="26"/>
          <w:szCs w:val="26"/>
        </w:rPr>
        <w:tab/>
      </w:r>
      <w:r>
        <w:rPr>
          <w:color w:val="000000"/>
          <w:sz w:val="26"/>
          <w:szCs w:val="26"/>
        </w:rPr>
        <w:tab/>
        <w:t>1.</w:t>
      </w:r>
      <w:r>
        <w:rPr>
          <w:color w:val="000000"/>
          <w:sz w:val="26"/>
          <w:szCs w:val="26"/>
        </w:rPr>
        <w:tab/>
        <w:t>That</w:t>
      </w:r>
      <w:r>
        <w:rPr>
          <w:color w:val="auto"/>
          <w:sz w:val="26"/>
          <w:szCs w:val="26"/>
        </w:rPr>
        <w:t xml:space="preserve"> </w:t>
      </w:r>
      <w:r w:rsidR="008E3BB1">
        <w:rPr>
          <w:color w:val="auto"/>
          <w:sz w:val="26"/>
          <w:szCs w:val="26"/>
        </w:rPr>
        <w:t>Pennsylvania Electric Company Supplement No. 7 to Tariff Electric Pa. P.U.C. No. 81</w:t>
      </w:r>
      <w:r>
        <w:rPr>
          <w:color w:val="auto"/>
          <w:sz w:val="26"/>
          <w:szCs w:val="26"/>
        </w:rPr>
        <w:t xml:space="preserve"> </w:t>
      </w:r>
      <w:r>
        <w:rPr>
          <w:color w:val="000000"/>
          <w:sz w:val="26"/>
          <w:szCs w:val="26"/>
        </w:rPr>
        <w:t>is hereby pe</w:t>
      </w:r>
      <w:r w:rsidR="004853E7">
        <w:rPr>
          <w:color w:val="000000"/>
          <w:sz w:val="26"/>
          <w:szCs w:val="26"/>
        </w:rPr>
        <w:t xml:space="preserve">rmitted to become effective on </w:t>
      </w:r>
      <w:r>
        <w:rPr>
          <w:color w:val="000000"/>
          <w:sz w:val="26"/>
          <w:szCs w:val="26"/>
        </w:rPr>
        <w:t>November 20, 2015.</w:t>
      </w:r>
    </w:p>
    <w:p w:rsidR="00415BA8" w:rsidRDefault="00415BA8" w:rsidP="00415BA8">
      <w:pPr>
        <w:pStyle w:val="BodyText"/>
        <w:tabs>
          <w:tab w:val="clear" w:pos="0"/>
          <w:tab w:val="left" w:pos="720"/>
        </w:tabs>
        <w:spacing w:line="360" w:lineRule="auto"/>
        <w:ind w:firstLine="1440"/>
        <w:rPr>
          <w:color w:val="000000"/>
          <w:szCs w:val="26"/>
        </w:rPr>
      </w:pPr>
    </w:p>
    <w:p w:rsidR="00415BA8" w:rsidRDefault="00415BA8" w:rsidP="00415BA8">
      <w:pPr>
        <w:pStyle w:val="BodyText"/>
        <w:tabs>
          <w:tab w:val="clear" w:pos="0"/>
          <w:tab w:val="left" w:pos="720"/>
        </w:tabs>
        <w:spacing w:line="360" w:lineRule="auto"/>
        <w:ind w:firstLine="1440"/>
        <w:rPr>
          <w:color w:val="000000"/>
          <w:szCs w:val="26"/>
        </w:rPr>
      </w:pPr>
      <w:r>
        <w:rPr>
          <w:color w:val="000000"/>
          <w:szCs w:val="26"/>
        </w:rPr>
        <w:t>2.</w:t>
      </w:r>
      <w:r>
        <w:rPr>
          <w:color w:val="000000"/>
          <w:szCs w:val="26"/>
        </w:rPr>
        <w:tab/>
        <w:t>That a copy of this Order be served on the Office of Consumer Advocate, the Office of Small Business Advocate, and the Bureau of</w:t>
      </w:r>
      <w:r w:rsidR="004853E7">
        <w:rPr>
          <w:color w:val="000000"/>
          <w:szCs w:val="26"/>
        </w:rPr>
        <w:t xml:space="preserve"> Investigation </w:t>
      </w:r>
      <w:r w:rsidR="00097689">
        <w:rPr>
          <w:color w:val="000000"/>
          <w:szCs w:val="26"/>
        </w:rPr>
        <w:t xml:space="preserve">and Enforcement and all parties of </w:t>
      </w:r>
      <w:r w:rsidR="004853E7">
        <w:rPr>
          <w:color w:val="000000"/>
          <w:szCs w:val="26"/>
        </w:rPr>
        <w:t>record</w:t>
      </w:r>
      <w:r w:rsidR="00722E05">
        <w:rPr>
          <w:color w:val="000000"/>
          <w:szCs w:val="26"/>
        </w:rPr>
        <w:t xml:space="preserve"> to Pennsylvania Electric Company’s Rate Case at Docket No. R-2014-2428743.</w:t>
      </w:r>
    </w:p>
    <w:p w:rsidR="00415BA8" w:rsidRDefault="00415BA8" w:rsidP="00415BA8">
      <w:pPr>
        <w:pStyle w:val="BodyText"/>
        <w:tabs>
          <w:tab w:val="clear" w:pos="0"/>
          <w:tab w:val="left" w:pos="720"/>
        </w:tabs>
        <w:spacing w:line="360" w:lineRule="auto"/>
        <w:ind w:firstLine="1440"/>
        <w:rPr>
          <w:color w:val="000000"/>
          <w:szCs w:val="26"/>
        </w:rPr>
      </w:pPr>
    </w:p>
    <w:p w:rsidR="00415BA8" w:rsidRDefault="00415BA8" w:rsidP="00415BA8">
      <w:pPr>
        <w:spacing w:line="360" w:lineRule="auto"/>
        <w:rPr>
          <w:szCs w:val="26"/>
        </w:rPr>
      </w:pPr>
      <w:r>
        <w:rPr>
          <w:color w:val="000000"/>
          <w:kern w:val="2"/>
          <w:sz w:val="26"/>
          <w:szCs w:val="26"/>
        </w:rPr>
        <w:tab/>
      </w:r>
      <w:r>
        <w:rPr>
          <w:color w:val="000000"/>
          <w:kern w:val="2"/>
          <w:sz w:val="26"/>
          <w:szCs w:val="26"/>
        </w:rPr>
        <w:tab/>
        <w:t>3.</w:t>
      </w:r>
      <w:r>
        <w:rPr>
          <w:color w:val="000000"/>
          <w:kern w:val="2"/>
          <w:sz w:val="26"/>
          <w:szCs w:val="26"/>
        </w:rPr>
        <w:tab/>
      </w:r>
      <w:r w:rsidRPr="008E3BB1">
        <w:rPr>
          <w:color w:val="000000"/>
          <w:kern w:val="2"/>
          <w:sz w:val="26"/>
          <w:szCs w:val="26"/>
        </w:rPr>
        <w:t xml:space="preserve"> That the proceedings at Docket No.</w:t>
      </w:r>
      <w:r w:rsidRPr="008E3BB1">
        <w:rPr>
          <w:sz w:val="26"/>
          <w:szCs w:val="26"/>
        </w:rPr>
        <w:t xml:space="preserve"> </w:t>
      </w:r>
      <w:r w:rsidR="009E5CC2">
        <w:rPr>
          <w:color w:val="auto"/>
          <w:sz w:val="26"/>
          <w:szCs w:val="26"/>
        </w:rPr>
        <w:t>R-2015-249689</w:t>
      </w:r>
      <w:r w:rsidR="00651722">
        <w:rPr>
          <w:color w:val="auto"/>
          <w:sz w:val="26"/>
          <w:szCs w:val="26"/>
        </w:rPr>
        <w:t>7</w:t>
      </w:r>
      <w:r w:rsidRPr="008E3BB1">
        <w:rPr>
          <w:color w:val="auto"/>
          <w:sz w:val="26"/>
          <w:szCs w:val="26"/>
        </w:rPr>
        <w:t xml:space="preserve"> </w:t>
      </w:r>
      <w:proofErr w:type="gramStart"/>
      <w:r w:rsidRPr="008E3BB1">
        <w:rPr>
          <w:color w:val="000000"/>
          <w:kern w:val="2"/>
          <w:sz w:val="26"/>
          <w:szCs w:val="26"/>
        </w:rPr>
        <w:t>be</w:t>
      </w:r>
      <w:proofErr w:type="gramEnd"/>
      <w:r w:rsidRPr="008E3BB1">
        <w:rPr>
          <w:color w:val="000000"/>
          <w:kern w:val="2"/>
          <w:sz w:val="26"/>
          <w:szCs w:val="26"/>
        </w:rPr>
        <w:t xml:space="preserve"> closed.</w:t>
      </w:r>
    </w:p>
    <w:p w:rsidR="00415BA8" w:rsidRDefault="00415BA8" w:rsidP="00415BA8">
      <w:pPr>
        <w:pStyle w:val="ListParagraph"/>
        <w:rPr>
          <w:color w:val="000000"/>
          <w:kern w:val="2"/>
          <w:sz w:val="26"/>
          <w:szCs w:val="26"/>
        </w:rPr>
      </w:pPr>
    </w:p>
    <w:p w:rsidR="00415BA8" w:rsidRDefault="00415BA8" w:rsidP="00415BA8">
      <w:pPr>
        <w:tabs>
          <w:tab w:val="left" w:pos="0"/>
        </w:tabs>
        <w:suppressAutoHyphens/>
        <w:jc w:val="both"/>
        <w:rPr>
          <w:color w:val="auto"/>
          <w:spacing w:val="-3"/>
          <w:sz w:val="26"/>
          <w:szCs w:val="26"/>
        </w:rPr>
      </w:pPr>
    </w:p>
    <w:p w:rsidR="00415BA8" w:rsidRDefault="00651722" w:rsidP="00415BA8">
      <w:pPr>
        <w:tabs>
          <w:tab w:val="left" w:pos="0"/>
        </w:tabs>
        <w:suppressAutoHyphens/>
        <w:jc w:val="both"/>
        <w:rPr>
          <w:color w:val="auto"/>
          <w:spacing w:val="-3"/>
          <w:sz w:val="26"/>
          <w:szCs w:val="26"/>
        </w:rPr>
      </w:pPr>
      <w:bookmarkStart w:id="0" w:name="_GoBack"/>
      <w:r w:rsidRPr="00F45E06">
        <w:rPr>
          <w:b/>
          <w:noProof/>
        </w:rPr>
        <w:drawing>
          <wp:anchor distT="0" distB="0" distL="114300" distR="114300" simplePos="0" relativeHeight="251659264" behindDoc="1" locked="0" layoutInCell="1" allowOverlap="1" wp14:anchorId="631E16D8" wp14:editId="145F4466">
            <wp:simplePos x="0" y="0"/>
            <wp:positionH relativeFrom="column">
              <wp:posOffset>2931160</wp:posOffset>
            </wp:positionH>
            <wp:positionV relativeFrom="paragraph">
              <wp:posOffset>113665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415BA8" w:rsidRDefault="00415BA8" w:rsidP="00415BA8">
      <w:pPr>
        <w:tabs>
          <w:tab w:val="left" w:pos="5040"/>
        </w:tabs>
        <w:rPr>
          <w:color w:val="auto"/>
          <w:sz w:val="26"/>
          <w:szCs w:val="26"/>
        </w:rPr>
      </w:pPr>
      <w:r>
        <w:rPr>
          <w:color w:val="auto"/>
          <w:sz w:val="26"/>
          <w:szCs w:val="26"/>
        </w:rPr>
        <w:tab/>
      </w:r>
      <w:r>
        <w:rPr>
          <w:b/>
          <w:color w:val="auto"/>
          <w:sz w:val="26"/>
          <w:szCs w:val="26"/>
        </w:rPr>
        <w:t>BY THE COMMISSION,</w:t>
      </w:r>
    </w:p>
    <w:p w:rsidR="00415BA8" w:rsidRDefault="00415BA8" w:rsidP="00415BA8">
      <w:pPr>
        <w:tabs>
          <w:tab w:val="left" w:pos="5040"/>
        </w:tabs>
        <w:rPr>
          <w:color w:val="auto"/>
          <w:sz w:val="26"/>
          <w:szCs w:val="26"/>
        </w:rPr>
      </w:pPr>
    </w:p>
    <w:p w:rsidR="00415BA8" w:rsidRDefault="00415BA8" w:rsidP="00415BA8">
      <w:pPr>
        <w:tabs>
          <w:tab w:val="left" w:pos="5040"/>
        </w:tabs>
        <w:rPr>
          <w:color w:val="auto"/>
          <w:sz w:val="26"/>
          <w:szCs w:val="26"/>
        </w:rPr>
      </w:pPr>
    </w:p>
    <w:p w:rsidR="00415BA8" w:rsidRDefault="00415BA8" w:rsidP="00415BA8">
      <w:pPr>
        <w:tabs>
          <w:tab w:val="left" w:pos="5040"/>
        </w:tabs>
        <w:rPr>
          <w:color w:val="auto"/>
          <w:sz w:val="26"/>
          <w:szCs w:val="26"/>
        </w:rPr>
      </w:pPr>
    </w:p>
    <w:p w:rsidR="00415BA8" w:rsidRDefault="00415BA8" w:rsidP="00415BA8">
      <w:pPr>
        <w:tabs>
          <w:tab w:val="left" w:pos="5040"/>
        </w:tabs>
        <w:rPr>
          <w:color w:val="auto"/>
          <w:sz w:val="26"/>
          <w:szCs w:val="26"/>
        </w:rPr>
      </w:pPr>
      <w:r>
        <w:rPr>
          <w:color w:val="auto"/>
          <w:sz w:val="26"/>
          <w:szCs w:val="26"/>
        </w:rPr>
        <w:tab/>
        <w:t>Rosemary Chiavetta</w:t>
      </w:r>
    </w:p>
    <w:p w:rsidR="00415BA8" w:rsidRDefault="00415BA8" w:rsidP="00415BA8">
      <w:pPr>
        <w:tabs>
          <w:tab w:val="left" w:pos="5040"/>
        </w:tabs>
        <w:spacing w:line="360" w:lineRule="auto"/>
        <w:rPr>
          <w:color w:val="auto"/>
          <w:sz w:val="26"/>
          <w:szCs w:val="26"/>
        </w:rPr>
      </w:pPr>
      <w:r>
        <w:rPr>
          <w:color w:val="auto"/>
          <w:sz w:val="26"/>
          <w:szCs w:val="26"/>
        </w:rPr>
        <w:tab/>
        <w:t>Secretary</w:t>
      </w:r>
    </w:p>
    <w:p w:rsidR="00415BA8" w:rsidRDefault="00415BA8" w:rsidP="00415BA8">
      <w:pPr>
        <w:tabs>
          <w:tab w:val="left" w:pos="4320"/>
        </w:tabs>
        <w:rPr>
          <w:color w:val="auto"/>
          <w:sz w:val="26"/>
          <w:szCs w:val="26"/>
        </w:rPr>
      </w:pPr>
    </w:p>
    <w:p w:rsidR="00415BA8" w:rsidRDefault="00415BA8" w:rsidP="00415BA8">
      <w:pPr>
        <w:tabs>
          <w:tab w:val="left" w:pos="4320"/>
        </w:tabs>
        <w:spacing w:line="360" w:lineRule="auto"/>
        <w:rPr>
          <w:color w:val="auto"/>
          <w:sz w:val="26"/>
          <w:szCs w:val="26"/>
        </w:rPr>
      </w:pPr>
      <w:r>
        <w:rPr>
          <w:color w:val="auto"/>
          <w:sz w:val="26"/>
          <w:szCs w:val="26"/>
        </w:rPr>
        <w:t>(SEAL)</w:t>
      </w:r>
    </w:p>
    <w:p w:rsidR="00415BA8" w:rsidRDefault="00415BA8" w:rsidP="00415BA8">
      <w:pPr>
        <w:tabs>
          <w:tab w:val="left" w:pos="4320"/>
        </w:tabs>
        <w:rPr>
          <w:color w:val="auto"/>
          <w:sz w:val="26"/>
          <w:szCs w:val="26"/>
        </w:rPr>
      </w:pPr>
    </w:p>
    <w:p w:rsidR="00415BA8" w:rsidRDefault="00415BA8" w:rsidP="00415BA8">
      <w:pPr>
        <w:tabs>
          <w:tab w:val="left" w:pos="4320"/>
        </w:tabs>
        <w:spacing w:line="360" w:lineRule="auto"/>
        <w:rPr>
          <w:color w:val="auto"/>
          <w:sz w:val="26"/>
          <w:szCs w:val="26"/>
        </w:rPr>
      </w:pPr>
      <w:r>
        <w:rPr>
          <w:color w:val="auto"/>
          <w:sz w:val="26"/>
          <w:szCs w:val="26"/>
        </w:rPr>
        <w:t>ORDER ADOPTED:  November 19, 2015</w:t>
      </w:r>
    </w:p>
    <w:p w:rsidR="00415BA8" w:rsidRDefault="00415BA8" w:rsidP="00415BA8">
      <w:pPr>
        <w:tabs>
          <w:tab w:val="left" w:pos="4320"/>
        </w:tabs>
        <w:spacing w:line="360" w:lineRule="auto"/>
        <w:rPr>
          <w:color w:val="auto"/>
          <w:sz w:val="26"/>
          <w:szCs w:val="26"/>
        </w:rPr>
      </w:pPr>
      <w:r>
        <w:rPr>
          <w:color w:val="auto"/>
          <w:sz w:val="26"/>
          <w:szCs w:val="26"/>
        </w:rPr>
        <w:t xml:space="preserve">ORDER ENTERED:  </w:t>
      </w:r>
      <w:r w:rsidR="00651722">
        <w:rPr>
          <w:color w:val="auto"/>
          <w:sz w:val="26"/>
          <w:szCs w:val="26"/>
        </w:rPr>
        <w:t>November 19, 2015</w:t>
      </w:r>
    </w:p>
    <w:p w:rsidR="00BB79C8" w:rsidRDefault="00651722"/>
    <w:sectPr w:rsidR="00BB7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7776"/>
    <w:multiLevelType w:val="hybridMultilevel"/>
    <w:tmpl w:val="49F813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A8"/>
    <w:rsid w:val="0005535D"/>
    <w:rsid w:val="00097689"/>
    <w:rsid w:val="000D2278"/>
    <w:rsid w:val="000F08D3"/>
    <w:rsid w:val="000F3954"/>
    <w:rsid w:val="00166F88"/>
    <w:rsid w:val="00186C8A"/>
    <w:rsid w:val="001A5270"/>
    <w:rsid w:val="001C70E0"/>
    <w:rsid w:val="00211140"/>
    <w:rsid w:val="00222006"/>
    <w:rsid w:val="0027277B"/>
    <w:rsid w:val="002A66F8"/>
    <w:rsid w:val="002D062A"/>
    <w:rsid w:val="002D755B"/>
    <w:rsid w:val="0037169F"/>
    <w:rsid w:val="00415BA8"/>
    <w:rsid w:val="00441455"/>
    <w:rsid w:val="004626FC"/>
    <w:rsid w:val="00466757"/>
    <w:rsid w:val="004853E7"/>
    <w:rsid w:val="004B2DA9"/>
    <w:rsid w:val="004B4644"/>
    <w:rsid w:val="004E0FC0"/>
    <w:rsid w:val="005364B7"/>
    <w:rsid w:val="00594DC6"/>
    <w:rsid w:val="00651722"/>
    <w:rsid w:val="0070588B"/>
    <w:rsid w:val="00722E05"/>
    <w:rsid w:val="00746A77"/>
    <w:rsid w:val="007A2DF9"/>
    <w:rsid w:val="007A70FB"/>
    <w:rsid w:val="007D21E3"/>
    <w:rsid w:val="00835472"/>
    <w:rsid w:val="00854A43"/>
    <w:rsid w:val="008955DF"/>
    <w:rsid w:val="008A439A"/>
    <w:rsid w:val="008C78FE"/>
    <w:rsid w:val="008E3BB1"/>
    <w:rsid w:val="008F49A5"/>
    <w:rsid w:val="00920FC4"/>
    <w:rsid w:val="00934109"/>
    <w:rsid w:val="009361E2"/>
    <w:rsid w:val="00983042"/>
    <w:rsid w:val="009E5CC2"/>
    <w:rsid w:val="00A436B1"/>
    <w:rsid w:val="00A44ADA"/>
    <w:rsid w:val="00AC5D81"/>
    <w:rsid w:val="00BB031B"/>
    <w:rsid w:val="00C22EAA"/>
    <w:rsid w:val="00C430F4"/>
    <w:rsid w:val="00CD2A1C"/>
    <w:rsid w:val="00D6602E"/>
    <w:rsid w:val="00DF55AD"/>
    <w:rsid w:val="00E36834"/>
    <w:rsid w:val="00EA496E"/>
    <w:rsid w:val="00EA5428"/>
    <w:rsid w:val="00EC43C2"/>
    <w:rsid w:val="00EE13FE"/>
    <w:rsid w:val="00FC27C7"/>
    <w:rsid w:val="00FE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BA8"/>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415BA8"/>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5BA8"/>
    <w:rPr>
      <w:rFonts w:ascii="Times New Roman" w:eastAsia="Times New Roman" w:hAnsi="Times New Roman" w:cs="Times New Roman"/>
      <w:b/>
      <w:color w:val="0000FF"/>
      <w:sz w:val="26"/>
      <w:szCs w:val="20"/>
    </w:rPr>
  </w:style>
  <w:style w:type="paragraph" w:styleId="BodyText">
    <w:name w:val="Body Text"/>
    <w:basedOn w:val="Normal"/>
    <w:link w:val="BodyTextChar"/>
    <w:unhideWhenUsed/>
    <w:rsid w:val="00415BA8"/>
    <w:pPr>
      <w:tabs>
        <w:tab w:val="left" w:pos="0"/>
      </w:tabs>
      <w:suppressAutoHyphens/>
      <w:spacing w:line="480" w:lineRule="auto"/>
    </w:pPr>
    <w:rPr>
      <w:spacing w:val="-3"/>
      <w:kern w:val="2"/>
      <w:sz w:val="26"/>
    </w:rPr>
  </w:style>
  <w:style w:type="character" w:customStyle="1" w:styleId="BodyTextChar">
    <w:name w:val="Body Text Char"/>
    <w:basedOn w:val="DefaultParagraphFont"/>
    <w:link w:val="BodyText"/>
    <w:rsid w:val="00415BA8"/>
    <w:rPr>
      <w:rFonts w:ascii="Times New Roman" w:eastAsia="Times New Roman" w:hAnsi="Times New Roman" w:cs="Times New Roman"/>
      <w:color w:val="0000FF"/>
      <w:spacing w:val="-3"/>
      <w:kern w:val="2"/>
      <w:sz w:val="26"/>
      <w:szCs w:val="20"/>
    </w:rPr>
  </w:style>
  <w:style w:type="paragraph" w:styleId="ListParagraph">
    <w:name w:val="List Paragraph"/>
    <w:basedOn w:val="Normal"/>
    <w:uiPriority w:val="34"/>
    <w:qFormat/>
    <w:rsid w:val="00415BA8"/>
    <w:pPr>
      <w:ind w:left="720"/>
      <w:contextualSpacing/>
    </w:pPr>
  </w:style>
  <w:style w:type="paragraph" w:styleId="BalloonText">
    <w:name w:val="Balloon Text"/>
    <w:basedOn w:val="Normal"/>
    <w:link w:val="BalloonTextChar"/>
    <w:uiPriority w:val="99"/>
    <w:semiHidden/>
    <w:unhideWhenUsed/>
    <w:rsid w:val="00222006"/>
    <w:rPr>
      <w:rFonts w:ascii="Tahoma" w:hAnsi="Tahoma" w:cs="Tahoma"/>
      <w:sz w:val="16"/>
      <w:szCs w:val="16"/>
    </w:rPr>
  </w:style>
  <w:style w:type="character" w:customStyle="1" w:styleId="BalloonTextChar">
    <w:name w:val="Balloon Text Char"/>
    <w:basedOn w:val="DefaultParagraphFont"/>
    <w:link w:val="BalloonText"/>
    <w:uiPriority w:val="99"/>
    <w:semiHidden/>
    <w:rsid w:val="00222006"/>
    <w:rPr>
      <w:rFonts w:ascii="Tahoma" w:eastAsia="Times New Roman" w:hAnsi="Tahoma" w:cs="Tahoma"/>
      <w:color w:val="0000FF"/>
      <w:sz w:val="16"/>
      <w:szCs w:val="16"/>
    </w:rPr>
  </w:style>
  <w:style w:type="paragraph" w:customStyle="1" w:styleId="Default">
    <w:name w:val="Default"/>
    <w:rsid w:val="00854A4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BA8"/>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415BA8"/>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5BA8"/>
    <w:rPr>
      <w:rFonts w:ascii="Times New Roman" w:eastAsia="Times New Roman" w:hAnsi="Times New Roman" w:cs="Times New Roman"/>
      <w:b/>
      <w:color w:val="0000FF"/>
      <w:sz w:val="26"/>
      <w:szCs w:val="20"/>
    </w:rPr>
  </w:style>
  <w:style w:type="paragraph" w:styleId="BodyText">
    <w:name w:val="Body Text"/>
    <w:basedOn w:val="Normal"/>
    <w:link w:val="BodyTextChar"/>
    <w:unhideWhenUsed/>
    <w:rsid w:val="00415BA8"/>
    <w:pPr>
      <w:tabs>
        <w:tab w:val="left" w:pos="0"/>
      </w:tabs>
      <w:suppressAutoHyphens/>
      <w:spacing w:line="480" w:lineRule="auto"/>
    </w:pPr>
    <w:rPr>
      <w:spacing w:val="-3"/>
      <w:kern w:val="2"/>
      <w:sz w:val="26"/>
    </w:rPr>
  </w:style>
  <w:style w:type="character" w:customStyle="1" w:styleId="BodyTextChar">
    <w:name w:val="Body Text Char"/>
    <w:basedOn w:val="DefaultParagraphFont"/>
    <w:link w:val="BodyText"/>
    <w:rsid w:val="00415BA8"/>
    <w:rPr>
      <w:rFonts w:ascii="Times New Roman" w:eastAsia="Times New Roman" w:hAnsi="Times New Roman" w:cs="Times New Roman"/>
      <w:color w:val="0000FF"/>
      <w:spacing w:val="-3"/>
      <w:kern w:val="2"/>
      <w:sz w:val="26"/>
      <w:szCs w:val="20"/>
    </w:rPr>
  </w:style>
  <w:style w:type="paragraph" w:styleId="ListParagraph">
    <w:name w:val="List Paragraph"/>
    <w:basedOn w:val="Normal"/>
    <w:uiPriority w:val="34"/>
    <w:qFormat/>
    <w:rsid w:val="00415BA8"/>
    <w:pPr>
      <w:ind w:left="720"/>
      <w:contextualSpacing/>
    </w:pPr>
  </w:style>
  <w:style w:type="paragraph" w:styleId="BalloonText">
    <w:name w:val="Balloon Text"/>
    <w:basedOn w:val="Normal"/>
    <w:link w:val="BalloonTextChar"/>
    <w:uiPriority w:val="99"/>
    <w:semiHidden/>
    <w:unhideWhenUsed/>
    <w:rsid w:val="00222006"/>
    <w:rPr>
      <w:rFonts w:ascii="Tahoma" w:hAnsi="Tahoma" w:cs="Tahoma"/>
      <w:sz w:val="16"/>
      <w:szCs w:val="16"/>
    </w:rPr>
  </w:style>
  <w:style w:type="character" w:customStyle="1" w:styleId="BalloonTextChar">
    <w:name w:val="Balloon Text Char"/>
    <w:basedOn w:val="DefaultParagraphFont"/>
    <w:link w:val="BalloonText"/>
    <w:uiPriority w:val="99"/>
    <w:semiHidden/>
    <w:rsid w:val="00222006"/>
    <w:rPr>
      <w:rFonts w:ascii="Tahoma" w:eastAsia="Times New Roman" w:hAnsi="Tahoma" w:cs="Tahoma"/>
      <w:color w:val="0000FF"/>
      <w:sz w:val="16"/>
      <w:szCs w:val="16"/>
    </w:rPr>
  </w:style>
  <w:style w:type="paragraph" w:customStyle="1" w:styleId="Default">
    <w:name w:val="Default"/>
    <w:rsid w:val="00854A4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95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5AEEE-E9E6-4756-A35E-2EDFE8CC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6</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Yalcin, Lee</dc:creator>
  <cp:lastModifiedBy>Farner, Joyce</cp:lastModifiedBy>
  <cp:revision>32</cp:revision>
  <cp:lastPrinted>2015-11-19T15:47:00Z</cp:lastPrinted>
  <dcterms:created xsi:type="dcterms:W3CDTF">2015-11-09T13:31:00Z</dcterms:created>
  <dcterms:modified xsi:type="dcterms:W3CDTF">2015-11-19T15:47:00Z</dcterms:modified>
</cp:coreProperties>
</file>