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788"/>
        <w:gridCol w:w="4788"/>
      </w:tblGrid>
      <w:tr w:rsidR="00B36E9A" w:rsidRPr="003F347A" w:rsidTr="006278C5">
        <w:tc>
          <w:tcPr>
            <w:tcW w:w="5000" w:type="pct"/>
            <w:gridSpan w:val="2"/>
          </w:tcPr>
          <w:p w:rsidR="00B36E9A" w:rsidRPr="003F347A" w:rsidRDefault="00B36E9A" w:rsidP="00AA6F30">
            <w:pPr>
              <w:jc w:val="center"/>
              <w:rPr>
                <w:b/>
                <w:sz w:val="26"/>
              </w:rPr>
            </w:pPr>
            <w:r w:rsidRPr="003F347A">
              <w:rPr>
                <w:b/>
                <w:sz w:val="26"/>
              </w:rPr>
              <w:t>PENNSYLVANIA</w:t>
            </w:r>
          </w:p>
          <w:p w:rsidR="00B36E9A" w:rsidRPr="003F347A" w:rsidRDefault="00B36E9A" w:rsidP="00AA6F30">
            <w:pPr>
              <w:jc w:val="center"/>
              <w:rPr>
                <w:b/>
                <w:sz w:val="26"/>
              </w:rPr>
            </w:pPr>
            <w:r w:rsidRPr="003F347A">
              <w:rPr>
                <w:b/>
                <w:sz w:val="26"/>
              </w:rPr>
              <w:t>PUBLIC UTILITY COMMISSION</w:t>
            </w:r>
          </w:p>
          <w:p w:rsidR="00B36E9A" w:rsidRPr="003F347A" w:rsidRDefault="00B36E9A" w:rsidP="00AA6F30">
            <w:pPr>
              <w:jc w:val="center"/>
              <w:rPr>
                <w:b/>
                <w:sz w:val="26"/>
              </w:rPr>
            </w:pPr>
            <w:r w:rsidRPr="003F347A">
              <w:rPr>
                <w:b/>
                <w:sz w:val="26"/>
              </w:rPr>
              <w:t>Harrisburg, PA  17105-3265</w:t>
            </w:r>
          </w:p>
          <w:p w:rsidR="00B36E9A" w:rsidRPr="003F347A" w:rsidRDefault="00B36E9A" w:rsidP="00AA6F30">
            <w:pPr>
              <w:rPr>
                <w:sz w:val="26"/>
              </w:rPr>
            </w:pPr>
          </w:p>
          <w:p w:rsidR="003F6177" w:rsidRPr="003F347A" w:rsidRDefault="003F6177" w:rsidP="00AA6F30">
            <w:pPr>
              <w:rPr>
                <w:sz w:val="26"/>
              </w:rPr>
            </w:pPr>
          </w:p>
        </w:tc>
      </w:tr>
      <w:tr w:rsidR="00B36E9A" w:rsidRPr="003F347A" w:rsidTr="006278C5">
        <w:tc>
          <w:tcPr>
            <w:tcW w:w="2500" w:type="pct"/>
          </w:tcPr>
          <w:p w:rsidR="00B36E9A" w:rsidRPr="003F347A" w:rsidRDefault="00B36E9A" w:rsidP="00AA6F30">
            <w:pPr>
              <w:rPr>
                <w:sz w:val="26"/>
              </w:rPr>
            </w:pPr>
          </w:p>
        </w:tc>
        <w:tc>
          <w:tcPr>
            <w:tcW w:w="2500" w:type="pct"/>
          </w:tcPr>
          <w:p w:rsidR="00B36E9A" w:rsidRPr="003F347A" w:rsidRDefault="0037055E" w:rsidP="00AA6F30">
            <w:pPr>
              <w:jc w:val="right"/>
              <w:rPr>
                <w:sz w:val="26"/>
              </w:rPr>
            </w:pPr>
            <w:r w:rsidRPr="003F347A">
              <w:rPr>
                <w:sz w:val="26"/>
              </w:rPr>
              <w:t xml:space="preserve">Public Meeting held </w:t>
            </w:r>
            <w:r w:rsidR="00E01593">
              <w:rPr>
                <w:sz w:val="26"/>
              </w:rPr>
              <w:t>November 19, 2015</w:t>
            </w:r>
          </w:p>
          <w:p w:rsidR="00B36E9A" w:rsidRPr="003F347A" w:rsidRDefault="00B36E9A" w:rsidP="00AA6F30">
            <w:pPr>
              <w:jc w:val="right"/>
              <w:rPr>
                <w:sz w:val="26"/>
              </w:rPr>
            </w:pPr>
          </w:p>
        </w:tc>
      </w:tr>
      <w:tr w:rsidR="007772A1" w:rsidRPr="00E01593" w:rsidTr="007772A1">
        <w:tc>
          <w:tcPr>
            <w:tcW w:w="5000" w:type="pct"/>
            <w:gridSpan w:val="2"/>
          </w:tcPr>
          <w:p w:rsidR="007772A1" w:rsidRPr="00715A21" w:rsidRDefault="007772A1" w:rsidP="00950EF9">
            <w:pPr>
              <w:ind w:right="1080"/>
              <w:rPr>
                <w:sz w:val="26"/>
              </w:rPr>
            </w:pPr>
            <w:r w:rsidRPr="00715A21">
              <w:rPr>
                <w:sz w:val="26"/>
              </w:rPr>
              <w:t>Commissioners Present:</w:t>
            </w:r>
          </w:p>
          <w:p w:rsidR="007772A1" w:rsidRPr="00715A21" w:rsidRDefault="007772A1" w:rsidP="00950EF9">
            <w:pPr>
              <w:ind w:right="1080"/>
              <w:rPr>
                <w:sz w:val="26"/>
              </w:rPr>
            </w:pPr>
          </w:p>
          <w:p w:rsidR="00715A21" w:rsidRPr="00715A21" w:rsidRDefault="00715A21" w:rsidP="00715A21">
            <w:pPr>
              <w:ind w:firstLine="540"/>
              <w:rPr>
                <w:sz w:val="26"/>
              </w:rPr>
            </w:pPr>
            <w:r w:rsidRPr="00715A21">
              <w:rPr>
                <w:sz w:val="26"/>
              </w:rPr>
              <w:t>Gladys M. Brown, Chairman</w:t>
            </w:r>
          </w:p>
          <w:p w:rsidR="00715A21" w:rsidRPr="00715A21" w:rsidRDefault="00715A21" w:rsidP="00715A21">
            <w:pPr>
              <w:ind w:firstLine="540"/>
              <w:rPr>
                <w:sz w:val="26"/>
              </w:rPr>
            </w:pPr>
            <w:r w:rsidRPr="00715A21">
              <w:rPr>
                <w:sz w:val="26"/>
              </w:rPr>
              <w:t>John F. Coleman, Jr., Vice Chairman</w:t>
            </w:r>
          </w:p>
          <w:p w:rsidR="00715A21" w:rsidRPr="00715A21" w:rsidRDefault="00715A21" w:rsidP="00715A21">
            <w:pPr>
              <w:ind w:firstLine="540"/>
              <w:rPr>
                <w:sz w:val="26"/>
              </w:rPr>
            </w:pPr>
            <w:r w:rsidRPr="00715A21">
              <w:rPr>
                <w:sz w:val="26"/>
              </w:rPr>
              <w:t>Pamela A. Witmer</w:t>
            </w:r>
          </w:p>
          <w:p w:rsidR="00715A21" w:rsidRPr="00715A21" w:rsidRDefault="00715A21" w:rsidP="00715A21">
            <w:pPr>
              <w:ind w:firstLine="540"/>
              <w:rPr>
                <w:sz w:val="26"/>
              </w:rPr>
            </w:pPr>
            <w:r w:rsidRPr="00715A21">
              <w:rPr>
                <w:sz w:val="26"/>
              </w:rPr>
              <w:t>Robert F. Powelson</w:t>
            </w:r>
          </w:p>
          <w:p w:rsidR="00715A21" w:rsidRPr="00715A21" w:rsidRDefault="00715A21" w:rsidP="00715A21">
            <w:pPr>
              <w:ind w:firstLine="540"/>
              <w:rPr>
                <w:sz w:val="26"/>
              </w:rPr>
            </w:pPr>
            <w:r w:rsidRPr="00715A21">
              <w:rPr>
                <w:sz w:val="26"/>
              </w:rPr>
              <w:t>Andrew G. Place</w:t>
            </w:r>
          </w:p>
          <w:p w:rsidR="00F81EA0" w:rsidRPr="00715A21" w:rsidRDefault="00F81EA0" w:rsidP="00AA6F30">
            <w:pPr>
              <w:rPr>
                <w:sz w:val="26"/>
              </w:rPr>
            </w:pPr>
          </w:p>
          <w:p w:rsidR="007772A1" w:rsidRPr="00E01593" w:rsidRDefault="007772A1" w:rsidP="00AA6F30">
            <w:pPr>
              <w:rPr>
                <w:sz w:val="26"/>
                <w:highlight w:val="green"/>
              </w:rPr>
            </w:pPr>
          </w:p>
        </w:tc>
      </w:tr>
      <w:tr w:rsidR="00B36E9A" w:rsidRPr="004F6061" w:rsidTr="006278C5">
        <w:tc>
          <w:tcPr>
            <w:tcW w:w="2500" w:type="pct"/>
          </w:tcPr>
          <w:p w:rsidR="00B456D3" w:rsidRPr="004F6061" w:rsidRDefault="00B456D3" w:rsidP="00B456D3">
            <w:pPr>
              <w:rPr>
                <w:sz w:val="26"/>
              </w:rPr>
            </w:pPr>
            <w:r w:rsidRPr="004F6061">
              <w:rPr>
                <w:sz w:val="26"/>
              </w:rPr>
              <w:t>Pennsylvania Public Utility Commission</w:t>
            </w:r>
          </w:p>
          <w:p w:rsidR="00B456D3" w:rsidRPr="004F6061" w:rsidRDefault="00B456D3" w:rsidP="00B456D3">
            <w:pPr>
              <w:rPr>
                <w:sz w:val="26"/>
              </w:rPr>
            </w:pPr>
            <w:r w:rsidRPr="004F6061">
              <w:rPr>
                <w:sz w:val="26"/>
              </w:rPr>
              <w:t>Office of Consumer Advocate</w:t>
            </w:r>
          </w:p>
          <w:p w:rsidR="00B456D3" w:rsidRPr="004F6061" w:rsidRDefault="00B456D3" w:rsidP="00B456D3">
            <w:pPr>
              <w:rPr>
                <w:sz w:val="26"/>
              </w:rPr>
            </w:pPr>
            <w:r w:rsidRPr="004F6061">
              <w:rPr>
                <w:sz w:val="26"/>
              </w:rPr>
              <w:t>Office of Small Business Advocate</w:t>
            </w:r>
          </w:p>
          <w:p w:rsidR="00B456D3" w:rsidRPr="004F6061" w:rsidRDefault="0020435C" w:rsidP="00B456D3">
            <w:pPr>
              <w:rPr>
                <w:sz w:val="26"/>
              </w:rPr>
            </w:pPr>
            <w:r w:rsidRPr="004F6061">
              <w:rPr>
                <w:sz w:val="26"/>
              </w:rPr>
              <w:t>PP&amp;L Industrial Customer Alliance</w:t>
            </w:r>
          </w:p>
          <w:p w:rsidR="00B456D3" w:rsidRPr="004F6061" w:rsidRDefault="0089546B" w:rsidP="00B456D3">
            <w:pPr>
              <w:rPr>
                <w:sz w:val="26"/>
              </w:rPr>
            </w:pPr>
            <w:r>
              <w:rPr>
                <w:sz w:val="26"/>
              </w:rPr>
              <w:t>D</w:t>
            </w:r>
            <w:r w:rsidR="0020435C" w:rsidRPr="004F6061">
              <w:rPr>
                <w:sz w:val="26"/>
              </w:rPr>
              <w:t>. Wintermeyer</w:t>
            </w:r>
          </w:p>
          <w:p w:rsidR="00B456D3" w:rsidRPr="004F6061" w:rsidRDefault="0020435C" w:rsidP="00B456D3">
            <w:pPr>
              <w:rPr>
                <w:sz w:val="26"/>
              </w:rPr>
            </w:pPr>
            <w:r w:rsidRPr="004F6061">
              <w:rPr>
                <w:sz w:val="26"/>
              </w:rPr>
              <w:t>Cathleen A. Woomert</w:t>
            </w:r>
          </w:p>
          <w:p w:rsidR="00B456D3" w:rsidRPr="004F6061" w:rsidRDefault="0020435C" w:rsidP="00B456D3">
            <w:pPr>
              <w:rPr>
                <w:sz w:val="26"/>
              </w:rPr>
            </w:pPr>
            <w:r w:rsidRPr="004F6061">
              <w:rPr>
                <w:sz w:val="26"/>
              </w:rPr>
              <w:t>Michael B. Young</w:t>
            </w:r>
          </w:p>
          <w:p w:rsidR="00B456D3" w:rsidRPr="004F6061" w:rsidRDefault="0020435C" w:rsidP="00B456D3">
            <w:pPr>
              <w:rPr>
                <w:sz w:val="26"/>
              </w:rPr>
            </w:pPr>
            <w:r w:rsidRPr="004F6061">
              <w:rPr>
                <w:sz w:val="26"/>
              </w:rPr>
              <w:t>Joseph E. McAndrew</w:t>
            </w:r>
          </w:p>
          <w:p w:rsidR="00B456D3" w:rsidRPr="004F6061" w:rsidRDefault="0020435C" w:rsidP="00B456D3">
            <w:pPr>
              <w:rPr>
                <w:sz w:val="26"/>
              </w:rPr>
            </w:pPr>
            <w:r w:rsidRPr="004F6061">
              <w:rPr>
                <w:sz w:val="26"/>
              </w:rPr>
              <w:t>Michael C. Muller</w:t>
            </w:r>
          </w:p>
          <w:p w:rsidR="00B456D3" w:rsidRPr="004F6061" w:rsidRDefault="00B456D3" w:rsidP="00B456D3">
            <w:pPr>
              <w:rPr>
                <w:sz w:val="26"/>
              </w:rPr>
            </w:pPr>
          </w:p>
          <w:p w:rsidR="00B456D3" w:rsidRPr="004F6061" w:rsidRDefault="00B456D3" w:rsidP="00B456D3">
            <w:pPr>
              <w:rPr>
                <w:sz w:val="26"/>
              </w:rPr>
            </w:pPr>
            <w:r w:rsidRPr="004F6061">
              <w:rPr>
                <w:sz w:val="26"/>
              </w:rPr>
              <w:tab/>
              <w:t xml:space="preserve">v. </w:t>
            </w:r>
          </w:p>
          <w:p w:rsidR="00B456D3" w:rsidRPr="004F6061" w:rsidRDefault="00B456D3" w:rsidP="00B456D3">
            <w:pPr>
              <w:rPr>
                <w:sz w:val="26"/>
              </w:rPr>
            </w:pPr>
          </w:p>
          <w:p w:rsidR="00A3782D" w:rsidRPr="004F6061" w:rsidRDefault="0020435C" w:rsidP="00B456D3">
            <w:pPr>
              <w:rPr>
                <w:sz w:val="26"/>
              </w:rPr>
            </w:pPr>
            <w:r w:rsidRPr="004F6061">
              <w:rPr>
                <w:sz w:val="26"/>
              </w:rPr>
              <w:t>PPL Electric Utilities Corporation</w:t>
            </w:r>
          </w:p>
          <w:p w:rsidR="0080224E" w:rsidRPr="004F6061" w:rsidRDefault="0080224E" w:rsidP="00B456D3">
            <w:pPr>
              <w:rPr>
                <w:sz w:val="26"/>
              </w:rPr>
            </w:pPr>
          </w:p>
          <w:p w:rsidR="0080224E" w:rsidRPr="004F6061" w:rsidRDefault="0080224E" w:rsidP="00B456D3">
            <w:pPr>
              <w:rPr>
                <w:sz w:val="26"/>
              </w:rPr>
            </w:pPr>
          </w:p>
        </w:tc>
        <w:tc>
          <w:tcPr>
            <w:tcW w:w="2500" w:type="pct"/>
          </w:tcPr>
          <w:p w:rsidR="006E6886" w:rsidRPr="004F6061" w:rsidRDefault="004F6061" w:rsidP="00B456D3">
            <w:pPr>
              <w:jc w:val="right"/>
              <w:rPr>
                <w:bCs/>
                <w:sz w:val="26"/>
                <w:szCs w:val="26"/>
              </w:rPr>
            </w:pPr>
            <w:r w:rsidRPr="004F6061">
              <w:rPr>
                <w:bCs/>
                <w:sz w:val="26"/>
                <w:szCs w:val="26"/>
              </w:rPr>
              <w:t>R-2015-2469275</w:t>
            </w:r>
          </w:p>
          <w:p w:rsidR="00B456D3" w:rsidRPr="004F6061" w:rsidRDefault="004F6061" w:rsidP="00B456D3">
            <w:pPr>
              <w:jc w:val="right"/>
              <w:rPr>
                <w:bCs/>
                <w:sz w:val="26"/>
                <w:szCs w:val="26"/>
              </w:rPr>
            </w:pPr>
            <w:r w:rsidRPr="004F6061">
              <w:rPr>
                <w:bCs/>
                <w:sz w:val="26"/>
                <w:szCs w:val="26"/>
              </w:rPr>
              <w:t>C-2015-2475448</w:t>
            </w:r>
          </w:p>
          <w:p w:rsidR="00B456D3" w:rsidRPr="004F6061" w:rsidRDefault="004F6061" w:rsidP="00B456D3">
            <w:pPr>
              <w:jc w:val="right"/>
              <w:rPr>
                <w:bCs/>
                <w:sz w:val="26"/>
                <w:szCs w:val="26"/>
              </w:rPr>
            </w:pPr>
            <w:r w:rsidRPr="004F6061">
              <w:rPr>
                <w:bCs/>
                <w:sz w:val="26"/>
                <w:szCs w:val="26"/>
              </w:rPr>
              <w:t>C-2015-2478277</w:t>
            </w:r>
          </w:p>
          <w:p w:rsidR="00B456D3" w:rsidRPr="004F6061" w:rsidRDefault="004F6061" w:rsidP="00B456D3">
            <w:pPr>
              <w:jc w:val="right"/>
              <w:rPr>
                <w:bCs/>
                <w:sz w:val="26"/>
                <w:szCs w:val="26"/>
              </w:rPr>
            </w:pPr>
            <w:r w:rsidRPr="004F6061">
              <w:rPr>
                <w:bCs/>
                <w:sz w:val="26"/>
                <w:szCs w:val="26"/>
              </w:rPr>
              <w:t>C-2015-2480265</w:t>
            </w:r>
          </w:p>
          <w:p w:rsidR="00B456D3" w:rsidRPr="004F6061" w:rsidRDefault="004F6061" w:rsidP="00B456D3">
            <w:pPr>
              <w:jc w:val="right"/>
              <w:rPr>
                <w:bCs/>
                <w:sz w:val="26"/>
                <w:szCs w:val="26"/>
              </w:rPr>
            </w:pPr>
            <w:r w:rsidRPr="004F6061">
              <w:rPr>
                <w:bCs/>
                <w:sz w:val="26"/>
                <w:szCs w:val="26"/>
              </w:rPr>
              <w:t>C-2015-2485827</w:t>
            </w:r>
          </w:p>
          <w:p w:rsidR="00B456D3" w:rsidRPr="004F6061" w:rsidRDefault="004F6061" w:rsidP="00B456D3">
            <w:pPr>
              <w:jc w:val="right"/>
              <w:rPr>
                <w:bCs/>
                <w:sz w:val="26"/>
                <w:szCs w:val="26"/>
              </w:rPr>
            </w:pPr>
            <w:r w:rsidRPr="004F6061">
              <w:rPr>
                <w:bCs/>
                <w:sz w:val="26"/>
                <w:szCs w:val="26"/>
              </w:rPr>
              <w:t>C-2015-2484588</w:t>
            </w:r>
          </w:p>
          <w:p w:rsidR="00B456D3" w:rsidRPr="004F6061" w:rsidRDefault="004F6061" w:rsidP="00B456D3">
            <w:pPr>
              <w:jc w:val="right"/>
              <w:rPr>
                <w:bCs/>
                <w:sz w:val="26"/>
                <w:szCs w:val="26"/>
              </w:rPr>
            </w:pPr>
            <w:r w:rsidRPr="004F6061">
              <w:rPr>
                <w:bCs/>
                <w:sz w:val="26"/>
                <w:szCs w:val="26"/>
              </w:rPr>
              <w:t>C-2015-2485860</w:t>
            </w:r>
          </w:p>
          <w:p w:rsidR="00B456D3" w:rsidRPr="004F6061" w:rsidRDefault="004F6061" w:rsidP="00B456D3">
            <w:pPr>
              <w:jc w:val="right"/>
              <w:rPr>
                <w:bCs/>
                <w:sz w:val="26"/>
                <w:szCs w:val="26"/>
              </w:rPr>
            </w:pPr>
            <w:r w:rsidRPr="004F6061">
              <w:rPr>
                <w:bCs/>
                <w:sz w:val="26"/>
                <w:szCs w:val="26"/>
              </w:rPr>
              <w:t>C-2015-2489524</w:t>
            </w:r>
          </w:p>
          <w:p w:rsidR="00B36E9A" w:rsidRPr="004F6061" w:rsidRDefault="004F6061" w:rsidP="00B456D3">
            <w:pPr>
              <w:jc w:val="right"/>
              <w:rPr>
                <w:sz w:val="26"/>
              </w:rPr>
            </w:pPr>
            <w:r w:rsidRPr="004F6061">
              <w:rPr>
                <w:bCs/>
                <w:sz w:val="26"/>
                <w:szCs w:val="26"/>
              </w:rPr>
              <w:t>C-2015</w:t>
            </w:r>
            <w:r w:rsidR="00B456D3" w:rsidRPr="004F6061">
              <w:rPr>
                <w:bCs/>
                <w:sz w:val="26"/>
                <w:szCs w:val="26"/>
              </w:rPr>
              <w:t>-2</w:t>
            </w:r>
            <w:r w:rsidRPr="004F6061">
              <w:rPr>
                <w:bCs/>
                <w:sz w:val="26"/>
                <w:szCs w:val="26"/>
              </w:rPr>
              <w:t>501983</w:t>
            </w:r>
          </w:p>
        </w:tc>
      </w:tr>
      <w:tr w:rsidR="00DA0054" w:rsidRPr="004F6061" w:rsidTr="006278C5">
        <w:tc>
          <w:tcPr>
            <w:tcW w:w="2500" w:type="pct"/>
          </w:tcPr>
          <w:p w:rsidR="00DA0054" w:rsidRDefault="00DA0054" w:rsidP="00B456D3">
            <w:pPr>
              <w:rPr>
                <w:sz w:val="26"/>
              </w:rPr>
            </w:pPr>
            <w:r>
              <w:rPr>
                <w:sz w:val="26"/>
              </w:rPr>
              <w:t>PPL Electric Utilities Corporation</w:t>
            </w:r>
          </w:p>
          <w:p w:rsidR="00DA0054" w:rsidRPr="004F6061" w:rsidRDefault="00DA0054" w:rsidP="00B456D3">
            <w:pPr>
              <w:rPr>
                <w:sz w:val="26"/>
              </w:rPr>
            </w:pPr>
            <w:r>
              <w:rPr>
                <w:sz w:val="26"/>
              </w:rPr>
              <w:t>Petition for a Waiver of the Distribution System Improvement Charge Cap of 5% of Billed Revenues</w:t>
            </w:r>
          </w:p>
        </w:tc>
        <w:tc>
          <w:tcPr>
            <w:tcW w:w="2500" w:type="pct"/>
          </w:tcPr>
          <w:p w:rsidR="00DA0054" w:rsidRPr="004F6061" w:rsidRDefault="00104FC1" w:rsidP="00B456D3">
            <w:pPr>
              <w:jc w:val="right"/>
              <w:rPr>
                <w:bCs/>
                <w:sz w:val="26"/>
                <w:szCs w:val="26"/>
              </w:rPr>
            </w:pPr>
            <w:r>
              <w:rPr>
                <w:bCs/>
                <w:sz w:val="26"/>
                <w:szCs w:val="26"/>
              </w:rPr>
              <w:t>P-2015-2474714</w:t>
            </w:r>
          </w:p>
        </w:tc>
      </w:tr>
    </w:tbl>
    <w:p w:rsidR="00DA0054" w:rsidRDefault="00DA0054" w:rsidP="00DA0054">
      <w:pPr>
        <w:spacing w:line="360" w:lineRule="auto"/>
        <w:rPr>
          <w:sz w:val="26"/>
        </w:rPr>
      </w:pPr>
    </w:p>
    <w:p w:rsidR="00EC551D" w:rsidRDefault="00EC551D" w:rsidP="00DA0054">
      <w:pPr>
        <w:spacing w:line="360" w:lineRule="auto"/>
        <w:rPr>
          <w:sz w:val="26"/>
        </w:rPr>
      </w:pPr>
    </w:p>
    <w:p w:rsidR="005E4500" w:rsidRPr="00EC551D" w:rsidRDefault="00AF39E2" w:rsidP="00EC551D">
      <w:pPr>
        <w:spacing w:line="360" w:lineRule="auto"/>
        <w:jc w:val="center"/>
        <w:rPr>
          <w:b/>
          <w:sz w:val="26"/>
        </w:rPr>
      </w:pPr>
      <w:r w:rsidRPr="008D51EC">
        <w:rPr>
          <w:b/>
          <w:sz w:val="26"/>
        </w:rPr>
        <w:t>OPINION AND ORDER</w:t>
      </w:r>
    </w:p>
    <w:p w:rsidR="00DF5F6D" w:rsidRPr="008D51EC" w:rsidRDefault="00DF5F6D" w:rsidP="00573C2A">
      <w:pPr>
        <w:keepNext/>
        <w:spacing w:line="360" w:lineRule="auto"/>
        <w:rPr>
          <w:b/>
          <w:sz w:val="26"/>
        </w:rPr>
      </w:pPr>
      <w:r w:rsidRPr="008D51EC">
        <w:rPr>
          <w:b/>
          <w:sz w:val="26"/>
        </w:rPr>
        <w:lastRenderedPageBreak/>
        <w:t>BY THE COMMISSION:</w:t>
      </w:r>
    </w:p>
    <w:p w:rsidR="00DF5F6D" w:rsidRPr="008D51EC" w:rsidRDefault="00DF5F6D" w:rsidP="00573C2A">
      <w:pPr>
        <w:keepNext/>
        <w:spacing w:line="360" w:lineRule="auto"/>
        <w:rPr>
          <w:b/>
          <w:sz w:val="26"/>
        </w:rPr>
      </w:pPr>
    </w:p>
    <w:p w:rsidR="004B74CE" w:rsidRDefault="00F928AB" w:rsidP="00F928AB">
      <w:pPr>
        <w:tabs>
          <w:tab w:val="left" w:pos="-720"/>
        </w:tabs>
        <w:suppressAutoHyphens/>
        <w:spacing w:line="360" w:lineRule="auto"/>
        <w:rPr>
          <w:sz w:val="26"/>
          <w:szCs w:val="20"/>
        </w:rPr>
      </w:pPr>
      <w:r w:rsidRPr="00573C2A">
        <w:rPr>
          <w:sz w:val="26"/>
          <w:szCs w:val="20"/>
        </w:rPr>
        <w:tab/>
      </w:r>
      <w:r w:rsidRPr="00573C2A">
        <w:rPr>
          <w:sz w:val="26"/>
          <w:szCs w:val="20"/>
        </w:rPr>
        <w:tab/>
      </w:r>
      <w:r w:rsidR="003E6366" w:rsidRPr="00573C2A">
        <w:rPr>
          <w:sz w:val="26"/>
          <w:szCs w:val="20"/>
        </w:rPr>
        <w:t>Before the Pennsylvania Public Utility Commission (Commission) for consideration and disposition is</w:t>
      </w:r>
      <w:r w:rsidR="00573C2A">
        <w:rPr>
          <w:sz w:val="26"/>
          <w:szCs w:val="20"/>
        </w:rPr>
        <w:t xml:space="preserve"> the</w:t>
      </w:r>
      <w:r w:rsidR="003E6366" w:rsidRPr="00573C2A">
        <w:rPr>
          <w:sz w:val="26"/>
          <w:szCs w:val="20"/>
        </w:rPr>
        <w:t xml:space="preserve"> </w:t>
      </w:r>
      <w:r w:rsidR="00573C2A">
        <w:rPr>
          <w:sz w:val="26"/>
          <w:szCs w:val="20"/>
        </w:rPr>
        <w:t>Letter in Lieu of Exceptions</w:t>
      </w:r>
      <w:r w:rsidR="00646D46">
        <w:rPr>
          <w:sz w:val="26"/>
          <w:szCs w:val="20"/>
        </w:rPr>
        <w:t xml:space="preserve"> (Letter)</w:t>
      </w:r>
      <w:r w:rsidR="00573C2A">
        <w:rPr>
          <w:sz w:val="26"/>
          <w:szCs w:val="20"/>
        </w:rPr>
        <w:t xml:space="preserve"> filed by the PP&amp;L Industrial Customer Alliance (PPLICA)</w:t>
      </w:r>
      <w:r w:rsidR="004B74CE" w:rsidRPr="004B74CE">
        <w:rPr>
          <w:kern w:val="24"/>
          <w:sz w:val="26"/>
          <w:szCs w:val="26"/>
          <w:vertAlign w:val="superscript"/>
        </w:rPr>
        <w:t xml:space="preserve"> </w:t>
      </w:r>
      <w:r w:rsidR="004B74CE" w:rsidRPr="004B74CE">
        <w:rPr>
          <w:sz w:val="26"/>
          <w:szCs w:val="20"/>
          <w:vertAlign w:val="superscript"/>
        </w:rPr>
        <w:footnoteReference w:id="1"/>
      </w:r>
      <w:r w:rsidR="007F50D4">
        <w:rPr>
          <w:sz w:val="26"/>
          <w:szCs w:val="20"/>
        </w:rPr>
        <w:t xml:space="preserve"> on October 13, 2015,</w:t>
      </w:r>
      <w:r w:rsidR="00573C2A">
        <w:rPr>
          <w:sz w:val="26"/>
          <w:szCs w:val="20"/>
        </w:rPr>
        <w:t xml:space="preserve"> seeking clarification of </w:t>
      </w:r>
      <w:r w:rsidR="00EE77B3">
        <w:rPr>
          <w:sz w:val="26"/>
          <w:szCs w:val="20"/>
        </w:rPr>
        <w:t>the</w:t>
      </w:r>
      <w:r w:rsidR="001B1589">
        <w:rPr>
          <w:sz w:val="26"/>
          <w:szCs w:val="20"/>
        </w:rPr>
        <w:t xml:space="preserve"> record regarding a statement included in the</w:t>
      </w:r>
      <w:r w:rsidR="00EE77B3">
        <w:rPr>
          <w:sz w:val="26"/>
          <w:szCs w:val="20"/>
        </w:rPr>
        <w:t xml:space="preserve"> Recommended Decision (R.D.) of Administrative Law Judge (ALJ) Susan D. Colwell, issued October 5, 2015, in the above-captioned proceeding</w:t>
      </w:r>
      <w:r w:rsidR="00EC551D">
        <w:rPr>
          <w:sz w:val="26"/>
          <w:szCs w:val="20"/>
        </w:rPr>
        <w:t>s</w:t>
      </w:r>
      <w:r w:rsidR="00EE77B3">
        <w:rPr>
          <w:sz w:val="26"/>
          <w:szCs w:val="20"/>
        </w:rPr>
        <w:t>.</w:t>
      </w:r>
      <w:r w:rsidR="00236523">
        <w:rPr>
          <w:sz w:val="26"/>
          <w:szCs w:val="20"/>
        </w:rPr>
        <w:t xml:space="preserve">  </w:t>
      </w:r>
      <w:r w:rsidR="001B1589">
        <w:rPr>
          <w:sz w:val="26"/>
          <w:szCs w:val="20"/>
        </w:rPr>
        <w:t xml:space="preserve">A </w:t>
      </w:r>
      <w:r w:rsidR="00161238">
        <w:rPr>
          <w:sz w:val="26"/>
          <w:szCs w:val="20"/>
        </w:rPr>
        <w:t xml:space="preserve">letter </w:t>
      </w:r>
      <w:r w:rsidR="001B1589">
        <w:rPr>
          <w:sz w:val="26"/>
          <w:szCs w:val="20"/>
        </w:rPr>
        <w:t>response to PPLICA</w:t>
      </w:r>
      <w:r w:rsidR="00EE6F5E">
        <w:rPr>
          <w:sz w:val="26"/>
          <w:szCs w:val="20"/>
        </w:rPr>
        <w:t>’</w:t>
      </w:r>
      <w:r w:rsidR="001B1589">
        <w:rPr>
          <w:sz w:val="26"/>
          <w:szCs w:val="20"/>
        </w:rPr>
        <w:t>s Letter</w:t>
      </w:r>
      <w:r w:rsidR="00161238">
        <w:rPr>
          <w:sz w:val="26"/>
          <w:szCs w:val="20"/>
        </w:rPr>
        <w:t xml:space="preserve"> (Response)</w:t>
      </w:r>
      <w:r w:rsidR="001B1589">
        <w:rPr>
          <w:sz w:val="26"/>
          <w:szCs w:val="20"/>
        </w:rPr>
        <w:t xml:space="preserve"> was filed by</w:t>
      </w:r>
      <w:r w:rsidR="001B1589" w:rsidRPr="001B1589">
        <w:rPr>
          <w:sz w:val="26"/>
          <w:szCs w:val="20"/>
        </w:rPr>
        <w:t xml:space="preserve"> </w:t>
      </w:r>
      <w:r w:rsidR="001B1589" w:rsidRPr="00020AD6">
        <w:rPr>
          <w:sz w:val="26"/>
          <w:szCs w:val="20"/>
        </w:rPr>
        <w:t>PPL Electric Utilities Corporation (PPL or the Company)</w:t>
      </w:r>
      <w:r w:rsidR="001B1589">
        <w:rPr>
          <w:sz w:val="26"/>
          <w:szCs w:val="20"/>
        </w:rPr>
        <w:t xml:space="preserve"> on October 22, 2015.</w:t>
      </w:r>
      <w:r w:rsidR="00694EF0">
        <w:rPr>
          <w:rStyle w:val="FootnoteReference"/>
          <w:sz w:val="26"/>
          <w:szCs w:val="20"/>
        </w:rPr>
        <w:footnoteReference w:id="2"/>
      </w:r>
    </w:p>
    <w:p w:rsidR="004B74CE" w:rsidRDefault="004B74CE" w:rsidP="00F928AB">
      <w:pPr>
        <w:tabs>
          <w:tab w:val="left" w:pos="-720"/>
        </w:tabs>
        <w:suppressAutoHyphens/>
        <w:spacing w:line="360" w:lineRule="auto"/>
        <w:rPr>
          <w:sz w:val="26"/>
          <w:szCs w:val="20"/>
        </w:rPr>
      </w:pPr>
    </w:p>
    <w:p w:rsidR="00B36E9A" w:rsidRPr="00D70E1B" w:rsidRDefault="00236523" w:rsidP="00826474">
      <w:pPr>
        <w:tabs>
          <w:tab w:val="left" w:pos="-720"/>
        </w:tabs>
        <w:suppressAutoHyphens/>
        <w:spacing w:line="360" w:lineRule="auto"/>
        <w:ind w:firstLine="1440"/>
        <w:rPr>
          <w:sz w:val="26"/>
          <w:szCs w:val="20"/>
        </w:rPr>
      </w:pPr>
      <w:r w:rsidRPr="00020AD6">
        <w:rPr>
          <w:sz w:val="26"/>
          <w:szCs w:val="20"/>
        </w:rPr>
        <w:t xml:space="preserve">Also before </w:t>
      </w:r>
      <w:r w:rsidR="007F50D4" w:rsidRPr="00020AD6">
        <w:rPr>
          <w:sz w:val="26"/>
          <w:szCs w:val="20"/>
        </w:rPr>
        <w:t xml:space="preserve">the Commission is </w:t>
      </w:r>
      <w:r w:rsidR="003E6366" w:rsidRPr="00020AD6">
        <w:rPr>
          <w:sz w:val="26"/>
          <w:szCs w:val="20"/>
        </w:rPr>
        <w:t xml:space="preserve">the Joint </w:t>
      </w:r>
      <w:r w:rsidR="00D07C57" w:rsidRPr="00020AD6">
        <w:rPr>
          <w:sz w:val="26"/>
          <w:szCs w:val="20"/>
        </w:rPr>
        <w:t>Petition for</w:t>
      </w:r>
      <w:r w:rsidRPr="00020AD6">
        <w:rPr>
          <w:sz w:val="26"/>
          <w:szCs w:val="20"/>
        </w:rPr>
        <w:t xml:space="preserve"> Approval of</w:t>
      </w:r>
      <w:r w:rsidR="00D07C57" w:rsidRPr="00020AD6">
        <w:rPr>
          <w:sz w:val="26"/>
          <w:szCs w:val="20"/>
        </w:rPr>
        <w:t xml:space="preserve"> Settlement</w:t>
      </w:r>
      <w:r w:rsidRPr="00020AD6">
        <w:rPr>
          <w:sz w:val="26"/>
          <w:szCs w:val="20"/>
        </w:rPr>
        <w:t xml:space="preserve"> of All Issues</w:t>
      </w:r>
      <w:r w:rsidR="003E6366" w:rsidRPr="00020AD6">
        <w:rPr>
          <w:sz w:val="26"/>
          <w:szCs w:val="20"/>
        </w:rPr>
        <w:t xml:space="preserve"> (</w:t>
      </w:r>
      <w:r w:rsidR="000F1513" w:rsidRPr="00020AD6">
        <w:rPr>
          <w:sz w:val="26"/>
          <w:szCs w:val="20"/>
        </w:rPr>
        <w:t xml:space="preserve">Joint Petition or </w:t>
      </w:r>
      <w:r w:rsidR="00D07C57" w:rsidRPr="00020AD6">
        <w:rPr>
          <w:sz w:val="26"/>
          <w:szCs w:val="20"/>
        </w:rPr>
        <w:t>Settlement</w:t>
      </w:r>
      <w:r w:rsidR="003E6366" w:rsidRPr="00020AD6">
        <w:rPr>
          <w:sz w:val="26"/>
          <w:szCs w:val="20"/>
        </w:rPr>
        <w:t>), filed</w:t>
      </w:r>
      <w:r w:rsidRPr="00020AD6">
        <w:rPr>
          <w:sz w:val="26"/>
          <w:szCs w:val="20"/>
        </w:rPr>
        <w:t xml:space="preserve"> September 3, 2015</w:t>
      </w:r>
      <w:r w:rsidR="00D07C57" w:rsidRPr="00020AD6">
        <w:rPr>
          <w:sz w:val="26"/>
          <w:szCs w:val="20"/>
        </w:rPr>
        <w:t xml:space="preserve">, by </w:t>
      </w:r>
      <w:r w:rsidR="00767C8F">
        <w:rPr>
          <w:sz w:val="26"/>
          <w:szCs w:val="20"/>
        </w:rPr>
        <w:t>PPL</w:t>
      </w:r>
      <w:r w:rsidRPr="00020AD6">
        <w:rPr>
          <w:sz w:val="26"/>
          <w:szCs w:val="20"/>
        </w:rPr>
        <w:t>, the Commission</w:t>
      </w:r>
      <w:r w:rsidR="00EE6F5E">
        <w:rPr>
          <w:sz w:val="26"/>
          <w:szCs w:val="20"/>
        </w:rPr>
        <w:t>’</w:t>
      </w:r>
      <w:r w:rsidRPr="00020AD6">
        <w:rPr>
          <w:sz w:val="26"/>
          <w:szCs w:val="20"/>
        </w:rPr>
        <w:t xml:space="preserve">s </w:t>
      </w:r>
      <w:r w:rsidR="00D07C57" w:rsidRPr="00020AD6">
        <w:rPr>
          <w:sz w:val="26"/>
          <w:szCs w:val="20"/>
        </w:rPr>
        <w:t>Bureau of Inve</w:t>
      </w:r>
      <w:r w:rsidR="00E71A48" w:rsidRPr="00020AD6">
        <w:rPr>
          <w:sz w:val="26"/>
          <w:szCs w:val="20"/>
        </w:rPr>
        <w:t>stigation and Enforceme</w:t>
      </w:r>
      <w:r w:rsidR="00E71A48">
        <w:rPr>
          <w:sz w:val="26"/>
          <w:szCs w:val="20"/>
        </w:rPr>
        <w:t>nt (I&amp;E),</w:t>
      </w:r>
      <w:r w:rsidR="00D07C57" w:rsidRPr="00236523">
        <w:rPr>
          <w:sz w:val="26"/>
          <w:szCs w:val="20"/>
        </w:rPr>
        <w:t xml:space="preserve"> the Office of </w:t>
      </w:r>
      <w:r w:rsidR="00E71A48">
        <w:rPr>
          <w:sz w:val="26"/>
          <w:szCs w:val="20"/>
        </w:rPr>
        <w:t>Consumer Advocate (OCA),</w:t>
      </w:r>
      <w:r w:rsidR="00D07C57" w:rsidRPr="00E71A48">
        <w:rPr>
          <w:sz w:val="26"/>
          <w:szCs w:val="20"/>
        </w:rPr>
        <w:t xml:space="preserve"> the Office of</w:t>
      </w:r>
      <w:r w:rsidR="00E71A48">
        <w:rPr>
          <w:sz w:val="26"/>
          <w:szCs w:val="20"/>
        </w:rPr>
        <w:t xml:space="preserve"> Small </w:t>
      </w:r>
      <w:r w:rsidR="00E71A48" w:rsidRPr="00E71A48">
        <w:rPr>
          <w:sz w:val="26"/>
          <w:szCs w:val="20"/>
        </w:rPr>
        <w:t>Business Advocate (OSBA),</w:t>
      </w:r>
      <w:r w:rsidR="00D07C57" w:rsidRPr="00E71A48">
        <w:rPr>
          <w:sz w:val="26"/>
          <w:szCs w:val="20"/>
        </w:rPr>
        <w:t xml:space="preserve"> </w:t>
      </w:r>
      <w:r w:rsidRPr="00E71A48">
        <w:rPr>
          <w:sz w:val="26"/>
          <w:szCs w:val="20"/>
        </w:rPr>
        <w:t>PPLICA,</w:t>
      </w:r>
      <w:r w:rsidR="0098161F">
        <w:rPr>
          <w:rStyle w:val="FootnoteReference"/>
          <w:sz w:val="26"/>
          <w:szCs w:val="20"/>
        </w:rPr>
        <w:footnoteReference w:id="3"/>
      </w:r>
      <w:r w:rsidR="00E71A48" w:rsidRPr="00E71A48">
        <w:rPr>
          <w:sz w:val="26"/>
          <w:szCs w:val="20"/>
        </w:rPr>
        <w:t xml:space="preserve"> the Commission for Economic Opportunity (CEO), </w:t>
      </w:r>
      <w:r w:rsidR="00241CD0" w:rsidRPr="00E71A48">
        <w:rPr>
          <w:sz w:val="26"/>
          <w:szCs w:val="20"/>
        </w:rPr>
        <w:t xml:space="preserve">the Coalition for Affordable Utility Services and Energy Efficiency in Pennsylvania (CAUSE-PA), </w:t>
      </w:r>
      <w:r w:rsidR="00137102">
        <w:rPr>
          <w:sz w:val="26"/>
          <w:szCs w:val="20"/>
        </w:rPr>
        <w:t xml:space="preserve">the Clean Air Council (CAC), </w:t>
      </w:r>
      <w:r w:rsidR="00C44FEE">
        <w:rPr>
          <w:sz w:val="26"/>
          <w:szCs w:val="20"/>
        </w:rPr>
        <w:t xml:space="preserve">Sustainable Energy Fund (SEF), The Alliance for </w:t>
      </w:r>
      <w:r w:rsidR="00C44FEE" w:rsidRPr="00663A40">
        <w:rPr>
          <w:sz w:val="26"/>
          <w:szCs w:val="20"/>
        </w:rPr>
        <w:t>Solar Choice (TASC), Keystone Energy Efficiency Alliance Energy Education Fund</w:t>
      </w:r>
      <w:r w:rsidR="00663A40" w:rsidRPr="00663A40">
        <w:rPr>
          <w:sz w:val="26"/>
          <w:szCs w:val="20"/>
        </w:rPr>
        <w:t xml:space="preserve"> (KEE</w:t>
      </w:r>
      <w:r w:rsidR="00585CA0">
        <w:rPr>
          <w:sz w:val="26"/>
          <w:szCs w:val="20"/>
        </w:rPr>
        <w:t>A</w:t>
      </w:r>
      <w:r w:rsidR="00663A40" w:rsidRPr="00663A40">
        <w:rPr>
          <w:sz w:val="26"/>
          <w:szCs w:val="20"/>
        </w:rPr>
        <w:t xml:space="preserve">), Natural Resources </w:t>
      </w:r>
      <w:r w:rsidR="00663A40" w:rsidRPr="00D70E1B">
        <w:rPr>
          <w:sz w:val="26"/>
          <w:szCs w:val="20"/>
        </w:rPr>
        <w:t xml:space="preserve">Defense Council (NRDC), Environmental Defense Fund (EDF), and Eric Joseph Epstein, </w:t>
      </w:r>
      <w:r w:rsidR="00663A40" w:rsidRPr="00FB73BD">
        <w:rPr>
          <w:sz w:val="26"/>
          <w:szCs w:val="20"/>
        </w:rPr>
        <w:t xml:space="preserve">all </w:t>
      </w:r>
      <w:r w:rsidR="00241CD0" w:rsidRPr="00FB73BD">
        <w:rPr>
          <w:sz w:val="26"/>
          <w:szCs w:val="20"/>
        </w:rPr>
        <w:t xml:space="preserve">parties to the above-captioned proceeding (collectively, </w:t>
      </w:r>
      <w:r w:rsidR="00237A1B">
        <w:rPr>
          <w:sz w:val="26"/>
          <w:szCs w:val="20"/>
        </w:rPr>
        <w:t xml:space="preserve">Parties or </w:t>
      </w:r>
      <w:r w:rsidR="00241CD0" w:rsidRPr="00FB73BD">
        <w:rPr>
          <w:sz w:val="26"/>
          <w:szCs w:val="20"/>
        </w:rPr>
        <w:t xml:space="preserve">Joint Petitioners).  </w:t>
      </w:r>
      <w:r w:rsidR="005A26CF" w:rsidRPr="00FB73BD">
        <w:rPr>
          <w:sz w:val="26"/>
        </w:rPr>
        <w:t>For the rea</w:t>
      </w:r>
      <w:r w:rsidR="00BA1FD5" w:rsidRPr="00FB73BD">
        <w:rPr>
          <w:sz w:val="26"/>
        </w:rPr>
        <w:t>sons set forth</w:t>
      </w:r>
      <w:r w:rsidR="003E6366" w:rsidRPr="00FB73BD">
        <w:rPr>
          <w:sz w:val="26"/>
        </w:rPr>
        <w:t xml:space="preserve"> herein, we shall</w:t>
      </w:r>
      <w:r w:rsidR="00FB73BD" w:rsidRPr="00FB73BD">
        <w:rPr>
          <w:sz w:val="26"/>
        </w:rPr>
        <w:t xml:space="preserve"> deny</w:t>
      </w:r>
      <w:r w:rsidR="00663A40" w:rsidRPr="00FB73BD">
        <w:rPr>
          <w:sz w:val="26"/>
        </w:rPr>
        <w:t xml:space="preserve"> PPLICA</w:t>
      </w:r>
      <w:r w:rsidR="00EE6F5E">
        <w:rPr>
          <w:sz w:val="26"/>
        </w:rPr>
        <w:t>’</w:t>
      </w:r>
      <w:r w:rsidR="00663A40" w:rsidRPr="00FB73BD">
        <w:rPr>
          <w:sz w:val="26"/>
        </w:rPr>
        <w:t xml:space="preserve">s request for </w:t>
      </w:r>
      <w:r w:rsidR="00663A40" w:rsidRPr="00FB73BD">
        <w:rPr>
          <w:sz w:val="26"/>
        </w:rPr>
        <w:lastRenderedPageBreak/>
        <w:t>clarification of the Recommended Decision,</w:t>
      </w:r>
      <w:r w:rsidR="00BA1FD5" w:rsidRPr="00FB73BD">
        <w:rPr>
          <w:sz w:val="26"/>
        </w:rPr>
        <w:t xml:space="preserve"> adopt the Recommend</w:t>
      </w:r>
      <w:r w:rsidR="001B7256" w:rsidRPr="00FB73BD">
        <w:rPr>
          <w:sz w:val="26"/>
        </w:rPr>
        <w:t>ed Decision</w:t>
      </w:r>
      <w:r w:rsidR="00FB73BD" w:rsidRPr="00FB73BD">
        <w:rPr>
          <w:sz w:val="26"/>
        </w:rPr>
        <w:t>, consistent with this</w:t>
      </w:r>
      <w:r w:rsidR="00BA1FD5" w:rsidRPr="00FB73BD">
        <w:rPr>
          <w:sz w:val="26"/>
        </w:rPr>
        <w:t xml:space="preserve"> Opinion and Order, and</w:t>
      </w:r>
      <w:r w:rsidR="00681429" w:rsidRPr="00FB73BD">
        <w:rPr>
          <w:sz w:val="26"/>
        </w:rPr>
        <w:t xml:space="preserve"> </w:t>
      </w:r>
      <w:r w:rsidR="00B261FE" w:rsidRPr="00FB73BD">
        <w:rPr>
          <w:sz w:val="26"/>
        </w:rPr>
        <w:t>approve the Sett</w:t>
      </w:r>
      <w:r w:rsidR="00663A40" w:rsidRPr="00FB73BD">
        <w:rPr>
          <w:sz w:val="26"/>
        </w:rPr>
        <w:t>lement</w:t>
      </w:r>
      <w:r w:rsidR="00B261FE" w:rsidRPr="00FB73BD">
        <w:rPr>
          <w:sz w:val="26"/>
        </w:rPr>
        <w:t>.</w:t>
      </w:r>
    </w:p>
    <w:p w:rsidR="003C1390" w:rsidRPr="00D70E1B" w:rsidRDefault="003C1390" w:rsidP="009E1963">
      <w:pPr>
        <w:tabs>
          <w:tab w:val="left" w:pos="-720"/>
        </w:tabs>
        <w:suppressAutoHyphens/>
        <w:spacing w:line="360" w:lineRule="auto"/>
        <w:rPr>
          <w:b/>
          <w:sz w:val="26"/>
          <w:szCs w:val="20"/>
        </w:rPr>
      </w:pPr>
    </w:p>
    <w:p w:rsidR="00AF39E2" w:rsidRPr="00DA49E5" w:rsidRDefault="000745AC" w:rsidP="0031782B">
      <w:pPr>
        <w:keepNext/>
        <w:spacing w:line="360" w:lineRule="auto"/>
        <w:jc w:val="center"/>
        <w:rPr>
          <w:b/>
          <w:sz w:val="26"/>
        </w:rPr>
      </w:pPr>
      <w:r w:rsidRPr="00DA49E5">
        <w:rPr>
          <w:b/>
          <w:sz w:val="26"/>
        </w:rPr>
        <w:t>I.</w:t>
      </w:r>
      <w:r w:rsidRPr="00DA49E5">
        <w:rPr>
          <w:b/>
          <w:sz w:val="26"/>
        </w:rPr>
        <w:tab/>
      </w:r>
      <w:r w:rsidR="00AF39E2" w:rsidRPr="00DA49E5">
        <w:rPr>
          <w:b/>
          <w:sz w:val="26"/>
        </w:rPr>
        <w:t>History of the Proceeding</w:t>
      </w:r>
      <w:r w:rsidR="001546A1">
        <w:rPr>
          <w:rStyle w:val="FootnoteReference"/>
          <w:b/>
          <w:sz w:val="26"/>
        </w:rPr>
        <w:footnoteReference w:id="4"/>
      </w:r>
    </w:p>
    <w:p w:rsidR="00AF6FBC" w:rsidRPr="002C6286" w:rsidRDefault="00AF6FBC" w:rsidP="002C6286">
      <w:pPr>
        <w:keepNext/>
        <w:spacing w:line="360" w:lineRule="auto"/>
        <w:rPr>
          <w:kern w:val="24"/>
          <w:sz w:val="26"/>
          <w:szCs w:val="26"/>
          <w:highlight w:val="green"/>
        </w:rPr>
      </w:pPr>
      <w:r w:rsidRPr="00E01593">
        <w:rPr>
          <w:kern w:val="24"/>
          <w:sz w:val="26"/>
          <w:szCs w:val="26"/>
          <w:highlight w:val="green"/>
        </w:rPr>
        <w:t xml:space="preserve"> </w:t>
      </w:r>
    </w:p>
    <w:p w:rsidR="00137338" w:rsidRDefault="00DA49E5" w:rsidP="00137338">
      <w:pPr>
        <w:spacing w:line="360" w:lineRule="auto"/>
        <w:rPr>
          <w:kern w:val="24"/>
          <w:sz w:val="26"/>
          <w:szCs w:val="26"/>
        </w:rPr>
      </w:pPr>
      <w:r w:rsidRPr="0031782B">
        <w:rPr>
          <w:kern w:val="24"/>
          <w:sz w:val="26"/>
          <w:szCs w:val="26"/>
        </w:rPr>
        <w:tab/>
      </w:r>
      <w:r w:rsidRPr="0031782B">
        <w:rPr>
          <w:kern w:val="24"/>
          <w:sz w:val="26"/>
          <w:szCs w:val="26"/>
        </w:rPr>
        <w:tab/>
      </w:r>
      <w:r w:rsidR="00137338" w:rsidRPr="0031782B">
        <w:rPr>
          <w:kern w:val="24"/>
          <w:sz w:val="26"/>
          <w:szCs w:val="26"/>
        </w:rPr>
        <w:t>On March 31, 201</w:t>
      </w:r>
      <w:r w:rsidRPr="0031782B">
        <w:rPr>
          <w:kern w:val="24"/>
          <w:sz w:val="26"/>
          <w:szCs w:val="26"/>
        </w:rPr>
        <w:t xml:space="preserve">5, PPL </w:t>
      </w:r>
      <w:r w:rsidR="00137338" w:rsidRPr="0031782B">
        <w:rPr>
          <w:kern w:val="24"/>
          <w:sz w:val="26"/>
          <w:szCs w:val="26"/>
        </w:rPr>
        <w:t xml:space="preserve">filed Supplement No. 179 to Tariff </w:t>
      </w:r>
      <w:r w:rsidR="007F7417">
        <w:rPr>
          <w:kern w:val="24"/>
          <w:sz w:val="26"/>
          <w:szCs w:val="26"/>
        </w:rPr>
        <w:t xml:space="preserve">– </w:t>
      </w:r>
      <w:r w:rsidR="00137338" w:rsidRPr="0031782B">
        <w:rPr>
          <w:kern w:val="24"/>
          <w:sz w:val="26"/>
          <w:szCs w:val="26"/>
        </w:rPr>
        <w:t>Electric Pa. P</w:t>
      </w:r>
      <w:r w:rsidR="007F7417">
        <w:rPr>
          <w:kern w:val="24"/>
          <w:sz w:val="26"/>
          <w:szCs w:val="26"/>
        </w:rPr>
        <w:t>.</w:t>
      </w:r>
      <w:r w:rsidR="00137338" w:rsidRPr="0031782B">
        <w:rPr>
          <w:kern w:val="24"/>
          <w:sz w:val="26"/>
          <w:szCs w:val="26"/>
        </w:rPr>
        <w:t>U</w:t>
      </w:r>
      <w:r w:rsidR="007F7417">
        <w:rPr>
          <w:kern w:val="24"/>
          <w:sz w:val="26"/>
          <w:szCs w:val="26"/>
        </w:rPr>
        <w:t>.</w:t>
      </w:r>
      <w:r w:rsidR="00137338" w:rsidRPr="0031782B">
        <w:rPr>
          <w:kern w:val="24"/>
          <w:sz w:val="26"/>
          <w:szCs w:val="26"/>
        </w:rPr>
        <w:t>C</w:t>
      </w:r>
      <w:r w:rsidR="007F7417">
        <w:rPr>
          <w:kern w:val="24"/>
          <w:sz w:val="26"/>
          <w:szCs w:val="26"/>
        </w:rPr>
        <w:t>.</w:t>
      </w:r>
      <w:r w:rsidR="00137338" w:rsidRPr="0031782B">
        <w:rPr>
          <w:kern w:val="24"/>
          <w:sz w:val="26"/>
          <w:szCs w:val="26"/>
        </w:rPr>
        <w:t xml:space="preserve"> No. 201</w:t>
      </w:r>
      <w:r w:rsidR="00585FA4">
        <w:rPr>
          <w:kern w:val="24"/>
          <w:sz w:val="26"/>
          <w:szCs w:val="26"/>
        </w:rPr>
        <w:t xml:space="preserve"> (Supplement No. 179)</w:t>
      </w:r>
      <w:r w:rsidR="00137338" w:rsidRPr="0031782B">
        <w:rPr>
          <w:kern w:val="24"/>
          <w:sz w:val="26"/>
          <w:szCs w:val="26"/>
        </w:rPr>
        <w:t xml:space="preserve">, containing proposed changes in rates, rules, and regulations calculated to produce approximately $167.5 million in additional annual revenues based upon data for a </w:t>
      </w:r>
      <w:r w:rsidR="002D3777">
        <w:rPr>
          <w:kern w:val="24"/>
          <w:sz w:val="26"/>
          <w:szCs w:val="26"/>
        </w:rPr>
        <w:t>F</w:t>
      </w:r>
      <w:r w:rsidR="00137338" w:rsidRPr="0031782B">
        <w:rPr>
          <w:kern w:val="24"/>
          <w:sz w:val="26"/>
          <w:szCs w:val="26"/>
        </w:rPr>
        <w:t xml:space="preserve">ully </w:t>
      </w:r>
      <w:r w:rsidR="002D3777">
        <w:rPr>
          <w:kern w:val="24"/>
          <w:sz w:val="26"/>
          <w:szCs w:val="26"/>
        </w:rPr>
        <w:t>P</w:t>
      </w:r>
      <w:r w:rsidR="00137338" w:rsidRPr="0031782B">
        <w:rPr>
          <w:kern w:val="24"/>
          <w:sz w:val="26"/>
          <w:szCs w:val="26"/>
        </w:rPr>
        <w:t xml:space="preserve">rojected </w:t>
      </w:r>
      <w:r w:rsidR="002D3777">
        <w:rPr>
          <w:kern w:val="24"/>
          <w:sz w:val="26"/>
          <w:szCs w:val="26"/>
        </w:rPr>
        <w:t>F</w:t>
      </w:r>
      <w:r w:rsidR="00137338" w:rsidRPr="0031782B">
        <w:rPr>
          <w:kern w:val="24"/>
          <w:sz w:val="26"/>
          <w:szCs w:val="26"/>
        </w:rPr>
        <w:t xml:space="preserve">uture </w:t>
      </w:r>
      <w:r w:rsidR="002D3777">
        <w:rPr>
          <w:kern w:val="24"/>
          <w:sz w:val="26"/>
          <w:szCs w:val="26"/>
        </w:rPr>
        <w:t>T</w:t>
      </w:r>
      <w:r w:rsidR="00137338" w:rsidRPr="0031782B">
        <w:rPr>
          <w:kern w:val="24"/>
          <w:sz w:val="26"/>
          <w:szCs w:val="26"/>
        </w:rPr>
        <w:t xml:space="preserve">est </w:t>
      </w:r>
      <w:r w:rsidR="002D3777">
        <w:rPr>
          <w:kern w:val="24"/>
          <w:sz w:val="26"/>
          <w:szCs w:val="26"/>
        </w:rPr>
        <w:t>Y</w:t>
      </w:r>
      <w:r w:rsidR="00137338" w:rsidRPr="0031782B">
        <w:rPr>
          <w:kern w:val="24"/>
          <w:sz w:val="26"/>
          <w:szCs w:val="26"/>
        </w:rPr>
        <w:t xml:space="preserve">ear </w:t>
      </w:r>
      <w:r w:rsidR="00D7084E">
        <w:rPr>
          <w:kern w:val="24"/>
          <w:sz w:val="26"/>
          <w:szCs w:val="26"/>
        </w:rPr>
        <w:t xml:space="preserve">(FPFTY) </w:t>
      </w:r>
      <w:r w:rsidR="00137338" w:rsidRPr="0031782B">
        <w:rPr>
          <w:kern w:val="24"/>
          <w:sz w:val="26"/>
          <w:szCs w:val="26"/>
        </w:rPr>
        <w:t>ending December</w:t>
      </w:r>
      <w:r w:rsidR="00D7084E">
        <w:rPr>
          <w:kern w:val="24"/>
          <w:sz w:val="26"/>
          <w:szCs w:val="26"/>
        </w:rPr>
        <w:t> </w:t>
      </w:r>
      <w:r w:rsidR="00137338" w:rsidRPr="0031782B">
        <w:rPr>
          <w:kern w:val="24"/>
          <w:sz w:val="26"/>
          <w:szCs w:val="26"/>
        </w:rPr>
        <w:t>31, 2016.  This</w:t>
      </w:r>
      <w:r w:rsidRPr="0031782B">
        <w:rPr>
          <w:kern w:val="24"/>
          <w:sz w:val="26"/>
          <w:szCs w:val="26"/>
        </w:rPr>
        <w:t xml:space="preserve"> proposed rate change represented</w:t>
      </w:r>
      <w:r w:rsidR="00137338" w:rsidRPr="0031782B">
        <w:rPr>
          <w:kern w:val="24"/>
          <w:sz w:val="26"/>
          <w:szCs w:val="26"/>
        </w:rPr>
        <w:t xml:space="preserve"> an average increase in </w:t>
      </w:r>
      <w:r w:rsidR="0031782B" w:rsidRPr="0031782B">
        <w:rPr>
          <w:kern w:val="24"/>
          <w:sz w:val="26"/>
          <w:szCs w:val="26"/>
        </w:rPr>
        <w:t>the Company</w:t>
      </w:r>
      <w:r w:rsidR="00EE6F5E">
        <w:rPr>
          <w:kern w:val="24"/>
          <w:sz w:val="26"/>
          <w:szCs w:val="26"/>
        </w:rPr>
        <w:t>’</w:t>
      </w:r>
      <w:r w:rsidR="0031782B" w:rsidRPr="0031782B">
        <w:rPr>
          <w:kern w:val="24"/>
          <w:sz w:val="26"/>
          <w:szCs w:val="26"/>
        </w:rPr>
        <w:t xml:space="preserve">s </w:t>
      </w:r>
      <w:r w:rsidR="0031782B" w:rsidRPr="00D7084E">
        <w:rPr>
          <w:kern w:val="24"/>
          <w:sz w:val="26"/>
          <w:szCs w:val="26"/>
        </w:rPr>
        <w:t>distribution rates</w:t>
      </w:r>
      <w:r w:rsidR="00137338" w:rsidRPr="00D7084E">
        <w:rPr>
          <w:kern w:val="24"/>
          <w:sz w:val="26"/>
          <w:szCs w:val="26"/>
        </w:rPr>
        <w:t xml:space="preserve"> of appro</w:t>
      </w:r>
      <w:r w:rsidRPr="00D7084E">
        <w:rPr>
          <w:kern w:val="24"/>
          <w:sz w:val="26"/>
          <w:szCs w:val="26"/>
        </w:rPr>
        <w:t>ximately 18.5%, and</w:t>
      </w:r>
      <w:r w:rsidR="00137338" w:rsidRPr="002D3777">
        <w:rPr>
          <w:kern w:val="24"/>
          <w:sz w:val="26"/>
          <w:szCs w:val="26"/>
        </w:rPr>
        <w:t xml:space="preserve"> an</w:t>
      </w:r>
      <w:r w:rsidR="0031782B" w:rsidRPr="002D3777">
        <w:rPr>
          <w:kern w:val="24"/>
          <w:sz w:val="26"/>
          <w:szCs w:val="26"/>
        </w:rPr>
        <w:t xml:space="preserve"> average increase in total rates</w:t>
      </w:r>
      <w:r w:rsidR="00137338" w:rsidRPr="002D3777">
        <w:rPr>
          <w:kern w:val="24"/>
          <w:sz w:val="26"/>
          <w:szCs w:val="26"/>
        </w:rPr>
        <w:t xml:space="preserve"> (distribution, transmission, and generation charges) of approximately 3.9</w:t>
      </w:r>
      <w:r w:rsidR="00137338" w:rsidRPr="00D7084E">
        <w:rPr>
          <w:kern w:val="24"/>
          <w:sz w:val="26"/>
          <w:szCs w:val="26"/>
        </w:rPr>
        <w:t>%.</w:t>
      </w:r>
      <w:r w:rsidR="00137338" w:rsidRPr="0031782B">
        <w:rPr>
          <w:kern w:val="24"/>
          <w:sz w:val="26"/>
          <w:szCs w:val="26"/>
        </w:rPr>
        <w:t xml:space="preserve">  Supplement No. 179 was </w:t>
      </w:r>
      <w:r w:rsidR="007F7417">
        <w:rPr>
          <w:kern w:val="24"/>
          <w:sz w:val="26"/>
          <w:szCs w:val="26"/>
        </w:rPr>
        <w:t xml:space="preserve">originally </w:t>
      </w:r>
      <w:r w:rsidR="00137338" w:rsidRPr="0031782B">
        <w:rPr>
          <w:kern w:val="24"/>
          <w:sz w:val="26"/>
          <w:szCs w:val="26"/>
        </w:rPr>
        <w:t xml:space="preserve">proposed to </w:t>
      </w:r>
      <w:r w:rsidR="007F7417">
        <w:rPr>
          <w:kern w:val="24"/>
          <w:sz w:val="26"/>
          <w:szCs w:val="26"/>
        </w:rPr>
        <w:t xml:space="preserve">become </w:t>
      </w:r>
      <w:r w:rsidR="00137338" w:rsidRPr="0031782B">
        <w:rPr>
          <w:kern w:val="24"/>
          <w:sz w:val="26"/>
          <w:szCs w:val="26"/>
        </w:rPr>
        <w:t>effect</w:t>
      </w:r>
      <w:r w:rsidR="007F7417">
        <w:rPr>
          <w:kern w:val="24"/>
          <w:sz w:val="26"/>
          <w:szCs w:val="26"/>
        </w:rPr>
        <w:t>ive</w:t>
      </w:r>
      <w:r w:rsidR="00137338" w:rsidRPr="0031782B">
        <w:rPr>
          <w:kern w:val="24"/>
          <w:sz w:val="26"/>
          <w:szCs w:val="26"/>
        </w:rPr>
        <w:t xml:space="preserve"> on June 1, 2015</w:t>
      </w:r>
      <w:r w:rsidR="007F7417">
        <w:rPr>
          <w:kern w:val="24"/>
          <w:sz w:val="26"/>
          <w:szCs w:val="26"/>
        </w:rPr>
        <w:t xml:space="preserve">, but as noted </w:t>
      </w:r>
      <w:r w:rsidR="007F7417">
        <w:rPr>
          <w:i/>
          <w:kern w:val="24"/>
          <w:sz w:val="26"/>
          <w:szCs w:val="26"/>
        </w:rPr>
        <w:t>infra</w:t>
      </w:r>
      <w:r w:rsidR="007F7417">
        <w:rPr>
          <w:kern w:val="24"/>
          <w:sz w:val="26"/>
          <w:szCs w:val="26"/>
        </w:rPr>
        <w:t>, was subsequently suspended by the Commission until January 1, 2016.</w:t>
      </w:r>
    </w:p>
    <w:p w:rsidR="00366694" w:rsidRDefault="00366694" w:rsidP="00137338">
      <w:pPr>
        <w:spacing w:line="360" w:lineRule="auto"/>
        <w:rPr>
          <w:kern w:val="24"/>
          <w:sz w:val="26"/>
          <w:szCs w:val="26"/>
        </w:rPr>
      </w:pPr>
    </w:p>
    <w:p w:rsidR="00366694" w:rsidRPr="00366694" w:rsidRDefault="00233844" w:rsidP="00366694">
      <w:pPr>
        <w:spacing w:line="360" w:lineRule="auto"/>
        <w:rPr>
          <w:kern w:val="24"/>
          <w:sz w:val="26"/>
          <w:szCs w:val="26"/>
        </w:rPr>
      </w:pPr>
      <w:r>
        <w:rPr>
          <w:kern w:val="24"/>
          <w:sz w:val="26"/>
          <w:szCs w:val="26"/>
        </w:rPr>
        <w:tab/>
      </w:r>
      <w:r>
        <w:rPr>
          <w:kern w:val="24"/>
          <w:sz w:val="26"/>
          <w:szCs w:val="26"/>
        </w:rPr>
        <w:tab/>
      </w:r>
      <w:r w:rsidR="00366694" w:rsidRPr="00366694">
        <w:rPr>
          <w:kern w:val="24"/>
          <w:sz w:val="26"/>
          <w:szCs w:val="26"/>
        </w:rPr>
        <w:t xml:space="preserve">Also </w:t>
      </w:r>
      <w:r>
        <w:rPr>
          <w:kern w:val="24"/>
          <w:sz w:val="26"/>
          <w:szCs w:val="26"/>
        </w:rPr>
        <w:t xml:space="preserve">on March 31, 2015, PPL </w:t>
      </w:r>
      <w:r w:rsidR="00366694" w:rsidRPr="00366694">
        <w:rPr>
          <w:kern w:val="24"/>
          <w:sz w:val="26"/>
          <w:szCs w:val="26"/>
        </w:rPr>
        <w:t xml:space="preserve">filed a Petition at Docket </w:t>
      </w:r>
      <w:r>
        <w:rPr>
          <w:kern w:val="24"/>
          <w:sz w:val="26"/>
          <w:szCs w:val="26"/>
        </w:rPr>
        <w:t>No. P-2015-2474714 requesting (1</w:t>
      </w:r>
      <w:r w:rsidR="00366694" w:rsidRPr="00366694">
        <w:rPr>
          <w:kern w:val="24"/>
          <w:sz w:val="26"/>
          <w:szCs w:val="26"/>
        </w:rPr>
        <w:t>) waiver of the Distribut</w:t>
      </w:r>
      <w:r>
        <w:rPr>
          <w:kern w:val="24"/>
          <w:sz w:val="26"/>
          <w:szCs w:val="26"/>
        </w:rPr>
        <w:t>ion System Improvement Charge (DSIC</w:t>
      </w:r>
      <w:r w:rsidR="00366694" w:rsidRPr="00366694">
        <w:rPr>
          <w:kern w:val="24"/>
          <w:sz w:val="26"/>
          <w:szCs w:val="26"/>
        </w:rPr>
        <w:t>) cap of 5% of billed revenues</w:t>
      </w:r>
      <w:r>
        <w:rPr>
          <w:kern w:val="24"/>
          <w:sz w:val="26"/>
          <w:szCs w:val="26"/>
        </w:rPr>
        <w:t>; and (2</w:t>
      </w:r>
      <w:r w:rsidR="00366694" w:rsidRPr="00366694">
        <w:rPr>
          <w:kern w:val="24"/>
          <w:sz w:val="26"/>
          <w:szCs w:val="26"/>
        </w:rPr>
        <w:t xml:space="preserve">) approval to increase the maximum allowable DSIC cap from 5% to 7.5% of billed revenue for service rendered on or after </w:t>
      </w:r>
      <w:r>
        <w:rPr>
          <w:kern w:val="24"/>
          <w:sz w:val="26"/>
          <w:szCs w:val="26"/>
        </w:rPr>
        <w:t>January 1, 2016 (DSIC Petition</w:t>
      </w:r>
      <w:r w:rsidR="00366694" w:rsidRPr="00366694">
        <w:rPr>
          <w:kern w:val="24"/>
          <w:sz w:val="26"/>
          <w:szCs w:val="26"/>
        </w:rPr>
        <w:t xml:space="preserve">).  Because issues related to the waiver </w:t>
      </w:r>
      <w:r w:rsidR="004F28F4">
        <w:rPr>
          <w:kern w:val="24"/>
          <w:sz w:val="26"/>
          <w:szCs w:val="26"/>
        </w:rPr>
        <w:t>and increase in the DSIC cap are interrelated with</w:t>
      </w:r>
      <w:r w:rsidR="00366694" w:rsidRPr="00366694">
        <w:rPr>
          <w:kern w:val="24"/>
          <w:sz w:val="26"/>
          <w:szCs w:val="26"/>
        </w:rPr>
        <w:t xml:space="preserve"> t</w:t>
      </w:r>
      <w:r w:rsidR="004F28F4">
        <w:rPr>
          <w:kern w:val="24"/>
          <w:sz w:val="26"/>
          <w:szCs w:val="26"/>
        </w:rPr>
        <w:t xml:space="preserve">he base rate case, PPL </w:t>
      </w:r>
      <w:r w:rsidR="00366694" w:rsidRPr="00366694">
        <w:rPr>
          <w:kern w:val="24"/>
          <w:sz w:val="26"/>
          <w:szCs w:val="26"/>
        </w:rPr>
        <w:t>requested that the DSIC Petition be consol</w:t>
      </w:r>
      <w:r>
        <w:rPr>
          <w:kern w:val="24"/>
          <w:sz w:val="26"/>
          <w:szCs w:val="26"/>
        </w:rPr>
        <w:t xml:space="preserve">idated </w:t>
      </w:r>
      <w:r w:rsidR="00366694" w:rsidRPr="00366694">
        <w:rPr>
          <w:kern w:val="24"/>
          <w:sz w:val="26"/>
          <w:szCs w:val="26"/>
        </w:rPr>
        <w:t>and considered in conjunction with the rate case.</w:t>
      </w:r>
    </w:p>
    <w:p w:rsidR="00366694" w:rsidRPr="0031782B" w:rsidRDefault="00366694" w:rsidP="00137338">
      <w:pPr>
        <w:spacing w:line="360" w:lineRule="auto"/>
        <w:rPr>
          <w:kern w:val="24"/>
          <w:sz w:val="26"/>
          <w:szCs w:val="26"/>
        </w:rPr>
      </w:pPr>
    </w:p>
    <w:p w:rsidR="00B82B5A" w:rsidRPr="00B82B5A" w:rsidRDefault="00B82B5A" w:rsidP="00B82B5A">
      <w:pPr>
        <w:spacing w:line="360" w:lineRule="auto"/>
        <w:rPr>
          <w:kern w:val="24"/>
          <w:sz w:val="26"/>
          <w:szCs w:val="26"/>
        </w:rPr>
      </w:pPr>
      <w:r>
        <w:rPr>
          <w:kern w:val="24"/>
          <w:sz w:val="26"/>
          <w:szCs w:val="26"/>
        </w:rPr>
        <w:tab/>
      </w:r>
      <w:r>
        <w:rPr>
          <w:kern w:val="24"/>
          <w:sz w:val="26"/>
          <w:szCs w:val="26"/>
        </w:rPr>
        <w:tab/>
      </w:r>
      <w:r w:rsidRPr="00B82B5A">
        <w:rPr>
          <w:kern w:val="24"/>
          <w:sz w:val="26"/>
          <w:szCs w:val="26"/>
        </w:rPr>
        <w:t>On April 11, 2015, notice of t</w:t>
      </w:r>
      <w:r>
        <w:rPr>
          <w:kern w:val="24"/>
          <w:sz w:val="26"/>
          <w:szCs w:val="26"/>
        </w:rPr>
        <w:t>he filing of PPL</w:t>
      </w:r>
      <w:r w:rsidR="00EE6F5E">
        <w:rPr>
          <w:kern w:val="24"/>
          <w:sz w:val="26"/>
          <w:szCs w:val="26"/>
        </w:rPr>
        <w:t>’</w:t>
      </w:r>
      <w:r>
        <w:rPr>
          <w:kern w:val="24"/>
          <w:sz w:val="26"/>
          <w:szCs w:val="26"/>
        </w:rPr>
        <w:t xml:space="preserve">s </w:t>
      </w:r>
      <w:r w:rsidRPr="00B82B5A">
        <w:rPr>
          <w:kern w:val="24"/>
          <w:sz w:val="26"/>
          <w:szCs w:val="26"/>
        </w:rPr>
        <w:t xml:space="preserve">DSIC Petition was published in the </w:t>
      </w:r>
      <w:r w:rsidRPr="00B82B5A">
        <w:rPr>
          <w:i/>
          <w:kern w:val="24"/>
          <w:sz w:val="26"/>
          <w:szCs w:val="26"/>
        </w:rPr>
        <w:t>Pennsylvania Bulletin</w:t>
      </w:r>
      <w:r w:rsidRPr="00B82B5A">
        <w:rPr>
          <w:kern w:val="24"/>
          <w:sz w:val="26"/>
          <w:szCs w:val="26"/>
        </w:rPr>
        <w:t xml:space="preserve">.  45 </w:t>
      </w:r>
      <w:r w:rsidRPr="00826474">
        <w:rPr>
          <w:i/>
          <w:kern w:val="24"/>
          <w:sz w:val="26"/>
          <w:szCs w:val="26"/>
        </w:rPr>
        <w:t>Pa.</w:t>
      </w:r>
      <w:r w:rsidR="004B74CE" w:rsidRPr="00826474">
        <w:rPr>
          <w:i/>
          <w:kern w:val="24"/>
          <w:sz w:val="26"/>
          <w:szCs w:val="26"/>
        </w:rPr>
        <w:t xml:space="preserve"> </w:t>
      </w:r>
      <w:r w:rsidRPr="00826474">
        <w:rPr>
          <w:i/>
          <w:kern w:val="24"/>
          <w:sz w:val="26"/>
          <w:szCs w:val="26"/>
        </w:rPr>
        <w:t>B.</w:t>
      </w:r>
      <w:r w:rsidRPr="00B82B5A">
        <w:rPr>
          <w:kern w:val="24"/>
          <w:sz w:val="26"/>
          <w:szCs w:val="26"/>
        </w:rPr>
        <w:t xml:space="preserve"> 1917.  </w:t>
      </w:r>
    </w:p>
    <w:p w:rsidR="00B82B5A" w:rsidRPr="00B82B5A" w:rsidRDefault="00B82B5A" w:rsidP="00B82B5A">
      <w:pPr>
        <w:spacing w:line="360" w:lineRule="auto"/>
        <w:rPr>
          <w:kern w:val="24"/>
          <w:sz w:val="26"/>
          <w:szCs w:val="26"/>
        </w:rPr>
      </w:pPr>
    </w:p>
    <w:p w:rsidR="00AF6FBC" w:rsidRPr="00585FA4" w:rsidRDefault="00585FA4" w:rsidP="009E1963">
      <w:pPr>
        <w:spacing w:line="360" w:lineRule="auto"/>
        <w:rPr>
          <w:kern w:val="24"/>
          <w:sz w:val="26"/>
          <w:szCs w:val="26"/>
        </w:rPr>
      </w:pPr>
      <w:r>
        <w:rPr>
          <w:kern w:val="24"/>
          <w:sz w:val="26"/>
          <w:szCs w:val="26"/>
        </w:rPr>
        <w:lastRenderedPageBreak/>
        <w:tab/>
      </w:r>
      <w:r>
        <w:rPr>
          <w:kern w:val="24"/>
          <w:sz w:val="26"/>
          <w:szCs w:val="26"/>
        </w:rPr>
        <w:tab/>
      </w:r>
      <w:r w:rsidRPr="00585FA4">
        <w:rPr>
          <w:kern w:val="24"/>
          <w:sz w:val="26"/>
          <w:szCs w:val="26"/>
        </w:rPr>
        <w:t>By</w:t>
      </w:r>
      <w:r w:rsidR="00B82B5A" w:rsidRPr="00585FA4">
        <w:rPr>
          <w:kern w:val="24"/>
          <w:sz w:val="26"/>
          <w:szCs w:val="26"/>
        </w:rPr>
        <w:t xml:space="preserve"> O</w:t>
      </w:r>
      <w:r w:rsidRPr="00585FA4">
        <w:rPr>
          <w:kern w:val="24"/>
          <w:sz w:val="26"/>
          <w:szCs w:val="26"/>
        </w:rPr>
        <w:t xml:space="preserve">rder entered April 23, 2015, the Commission suspended Supplement No. 179 until January 1, 2016, </w:t>
      </w:r>
      <w:r w:rsidR="00AF6FBC" w:rsidRPr="00585FA4">
        <w:rPr>
          <w:kern w:val="24"/>
          <w:sz w:val="26"/>
          <w:szCs w:val="26"/>
        </w:rPr>
        <w:t xml:space="preserve">unless otherwise directed by Order of the Commission. </w:t>
      </w:r>
    </w:p>
    <w:p w:rsidR="00700856" w:rsidRPr="00AE2C06" w:rsidRDefault="00700856" w:rsidP="009E1963">
      <w:pPr>
        <w:spacing w:line="360" w:lineRule="auto"/>
        <w:rPr>
          <w:kern w:val="24"/>
          <w:sz w:val="26"/>
          <w:szCs w:val="26"/>
        </w:rPr>
      </w:pPr>
    </w:p>
    <w:p w:rsidR="00AE2C06" w:rsidRPr="00AE2C06" w:rsidRDefault="00AE2C06" w:rsidP="00AE2C06">
      <w:pPr>
        <w:spacing w:line="360" w:lineRule="auto"/>
        <w:rPr>
          <w:kern w:val="24"/>
          <w:sz w:val="26"/>
          <w:szCs w:val="26"/>
        </w:rPr>
      </w:pPr>
      <w:r w:rsidRPr="00AE2C06">
        <w:rPr>
          <w:kern w:val="24"/>
          <w:sz w:val="26"/>
          <w:szCs w:val="26"/>
        </w:rPr>
        <w:tab/>
      </w:r>
      <w:r w:rsidRPr="00AE2C06">
        <w:rPr>
          <w:kern w:val="24"/>
          <w:sz w:val="26"/>
          <w:szCs w:val="26"/>
        </w:rPr>
        <w:tab/>
        <w:t>On April 27, 2015, the OCA and OSBA filed Answers to the DSIC Petition, and PPLICA filed a Petition to Intervene and Protest to the DSIC</w:t>
      </w:r>
      <w:r w:rsidR="00711382">
        <w:rPr>
          <w:kern w:val="24"/>
          <w:sz w:val="26"/>
          <w:szCs w:val="26"/>
        </w:rPr>
        <w:t xml:space="preserve"> Petition</w:t>
      </w:r>
      <w:r w:rsidRPr="00AE2C06">
        <w:rPr>
          <w:kern w:val="24"/>
          <w:sz w:val="26"/>
          <w:szCs w:val="26"/>
        </w:rPr>
        <w:t>.</w:t>
      </w:r>
    </w:p>
    <w:p w:rsidR="00AE2C06" w:rsidRPr="00AE2C06" w:rsidRDefault="00AE2C06" w:rsidP="00AE2C06">
      <w:pPr>
        <w:spacing w:line="360" w:lineRule="auto"/>
        <w:rPr>
          <w:kern w:val="24"/>
          <w:sz w:val="26"/>
          <w:szCs w:val="26"/>
        </w:rPr>
      </w:pPr>
    </w:p>
    <w:p w:rsidR="00D354F5" w:rsidRDefault="00AE2C06" w:rsidP="009E1963">
      <w:pPr>
        <w:spacing w:line="360" w:lineRule="auto"/>
        <w:rPr>
          <w:kern w:val="24"/>
          <w:sz w:val="26"/>
          <w:szCs w:val="26"/>
        </w:rPr>
      </w:pPr>
      <w:r w:rsidRPr="009706B6">
        <w:rPr>
          <w:kern w:val="24"/>
          <w:sz w:val="26"/>
          <w:szCs w:val="26"/>
        </w:rPr>
        <w:tab/>
      </w:r>
      <w:r w:rsidRPr="009706B6">
        <w:rPr>
          <w:kern w:val="24"/>
          <w:sz w:val="26"/>
          <w:szCs w:val="26"/>
        </w:rPr>
        <w:tab/>
        <w:t xml:space="preserve">Formal </w:t>
      </w:r>
      <w:r w:rsidR="00A8246C">
        <w:rPr>
          <w:kern w:val="24"/>
          <w:sz w:val="26"/>
          <w:szCs w:val="26"/>
        </w:rPr>
        <w:t>C</w:t>
      </w:r>
      <w:r w:rsidRPr="009706B6">
        <w:rPr>
          <w:kern w:val="24"/>
          <w:sz w:val="26"/>
          <w:szCs w:val="26"/>
        </w:rPr>
        <w:t>omplain</w:t>
      </w:r>
      <w:r w:rsidR="00B64005" w:rsidRPr="009706B6">
        <w:rPr>
          <w:kern w:val="24"/>
          <w:sz w:val="26"/>
          <w:szCs w:val="26"/>
        </w:rPr>
        <w:t>ts against Supplement No. 179</w:t>
      </w:r>
      <w:r w:rsidRPr="009706B6">
        <w:rPr>
          <w:kern w:val="24"/>
          <w:sz w:val="26"/>
          <w:szCs w:val="26"/>
        </w:rPr>
        <w:t xml:space="preserve"> were filed by</w:t>
      </w:r>
      <w:r w:rsidR="00B64005" w:rsidRPr="009706B6">
        <w:rPr>
          <w:kern w:val="24"/>
          <w:sz w:val="26"/>
          <w:szCs w:val="26"/>
        </w:rPr>
        <w:t xml:space="preserve"> </w:t>
      </w:r>
      <w:r w:rsidRPr="009706B6">
        <w:rPr>
          <w:kern w:val="24"/>
          <w:sz w:val="26"/>
          <w:szCs w:val="26"/>
        </w:rPr>
        <w:t>the OC</w:t>
      </w:r>
      <w:r w:rsidR="00B64005" w:rsidRPr="009706B6">
        <w:rPr>
          <w:kern w:val="24"/>
          <w:sz w:val="26"/>
          <w:szCs w:val="26"/>
        </w:rPr>
        <w:t xml:space="preserve">A, </w:t>
      </w:r>
      <w:r w:rsidRPr="009706B6">
        <w:rPr>
          <w:kern w:val="24"/>
          <w:sz w:val="26"/>
          <w:szCs w:val="26"/>
        </w:rPr>
        <w:t>OSBA, PPLICA, D. Winterme</w:t>
      </w:r>
      <w:r w:rsidR="009706B6" w:rsidRPr="009706B6">
        <w:rPr>
          <w:kern w:val="24"/>
          <w:sz w:val="26"/>
          <w:szCs w:val="26"/>
        </w:rPr>
        <w:t>yer, Cathleen A. Woomert, Michael</w:t>
      </w:r>
      <w:r w:rsidRPr="009706B6">
        <w:rPr>
          <w:kern w:val="24"/>
          <w:sz w:val="26"/>
          <w:szCs w:val="26"/>
        </w:rPr>
        <w:t xml:space="preserve"> B. </w:t>
      </w:r>
      <w:r w:rsidRPr="00D70FF7">
        <w:rPr>
          <w:kern w:val="24"/>
          <w:sz w:val="26"/>
          <w:szCs w:val="26"/>
        </w:rPr>
        <w:t>Young, Joseph E. McAndrew, and Michael C. Muller.</w:t>
      </w:r>
      <w:r w:rsidR="009706B6" w:rsidRPr="00D70FF7">
        <w:rPr>
          <w:kern w:val="24"/>
          <w:sz w:val="26"/>
          <w:szCs w:val="26"/>
        </w:rPr>
        <w:t xml:space="preserve">  </w:t>
      </w:r>
      <w:r w:rsidRPr="00D70FF7">
        <w:rPr>
          <w:kern w:val="24"/>
          <w:sz w:val="26"/>
          <w:szCs w:val="26"/>
        </w:rPr>
        <w:t xml:space="preserve">Petitions to intervene were filed </w:t>
      </w:r>
      <w:r w:rsidR="009706B6" w:rsidRPr="00D70FF7">
        <w:rPr>
          <w:kern w:val="24"/>
          <w:sz w:val="26"/>
          <w:szCs w:val="26"/>
        </w:rPr>
        <w:t>by CEO, CAUSE-PA</w:t>
      </w:r>
      <w:r w:rsidRPr="00D70FF7">
        <w:rPr>
          <w:kern w:val="24"/>
          <w:sz w:val="26"/>
          <w:szCs w:val="26"/>
        </w:rPr>
        <w:t>,</w:t>
      </w:r>
      <w:r w:rsidR="009706B6" w:rsidRPr="00D70FF7">
        <w:rPr>
          <w:kern w:val="24"/>
          <w:sz w:val="26"/>
          <w:szCs w:val="26"/>
        </w:rPr>
        <w:t xml:space="preserve"> CAC, SEF</w:t>
      </w:r>
      <w:r w:rsidRPr="00D70FF7">
        <w:rPr>
          <w:kern w:val="24"/>
          <w:sz w:val="26"/>
          <w:szCs w:val="26"/>
        </w:rPr>
        <w:t>,</w:t>
      </w:r>
      <w:r w:rsidR="009706B6" w:rsidRPr="00D70FF7">
        <w:rPr>
          <w:kern w:val="24"/>
          <w:sz w:val="26"/>
          <w:szCs w:val="26"/>
        </w:rPr>
        <w:t xml:space="preserve"> TASC</w:t>
      </w:r>
      <w:r w:rsidRPr="00D70FF7">
        <w:rPr>
          <w:kern w:val="24"/>
          <w:sz w:val="26"/>
          <w:szCs w:val="26"/>
        </w:rPr>
        <w:t xml:space="preserve">, </w:t>
      </w:r>
      <w:r w:rsidR="00585CA0" w:rsidRPr="00D70FF7">
        <w:rPr>
          <w:kern w:val="24"/>
          <w:sz w:val="26"/>
          <w:szCs w:val="26"/>
        </w:rPr>
        <w:t xml:space="preserve">NRDC, KEEA, EDF, </w:t>
      </w:r>
      <w:r w:rsidRPr="00D70FF7">
        <w:rPr>
          <w:kern w:val="24"/>
          <w:sz w:val="26"/>
          <w:szCs w:val="26"/>
        </w:rPr>
        <w:t>and Eric Joseph Epstein.</w:t>
      </w:r>
      <w:r w:rsidR="00D70FF7" w:rsidRPr="00D70FF7">
        <w:rPr>
          <w:kern w:val="24"/>
          <w:sz w:val="26"/>
          <w:szCs w:val="26"/>
        </w:rPr>
        <w:t xml:space="preserve"> </w:t>
      </w:r>
      <w:r w:rsidRPr="00D70FF7">
        <w:rPr>
          <w:kern w:val="24"/>
          <w:sz w:val="26"/>
          <w:szCs w:val="26"/>
        </w:rPr>
        <w:t xml:space="preserve"> </w:t>
      </w:r>
      <w:r w:rsidR="00D70FF7" w:rsidRPr="00D70FF7">
        <w:rPr>
          <w:kern w:val="24"/>
          <w:sz w:val="26"/>
          <w:szCs w:val="26"/>
        </w:rPr>
        <w:t>I&amp;E</w:t>
      </w:r>
      <w:r w:rsidRPr="00D70FF7">
        <w:rPr>
          <w:kern w:val="24"/>
          <w:sz w:val="26"/>
          <w:szCs w:val="26"/>
        </w:rPr>
        <w:t xml:space="preserve"> filed a Notice of Appearance.</w:t>
      </w:r>
      <w:r w:rsidR="00C549F5">
        <w:rPr>
          <w:kern w:val="24"/>
          <w:sz w:val="26"/>
          <w:szCs w:val="26"/>
        </w:rPr>
        <w:t xml:space="preserve">  The petitions to intervene were granted in subsequent orders issued by the ALJ.</w:t>
      </w:r>
    </w:p>
    <w:p w:rsidR="00C83E32" w:rsidRPr="002D4911" w:rsidRDefault="00C83E32" w:rsidP="009E1963">
      <w:pPr>
        <w:spacing w:line="360" w:lineRule="auto"/>
        <w:rPr>
          <w:kern w:val="24"/>
          <w:sz w:val="26"/>
          <w:szCs w:val="26"/>
        </w:rPr>
      </w:pPr>
    </w:p>
    <w:p w:rsidR="00794071" w:rsidRDefault="00E6758E" w:rsidP="00794071">
      <w:pPr>
        <w:spacing w:line="360" w:lineRule="auto"/>
        <w:rPr>
          <w:kern w:val="24"/>
          <w:sz w:val="26"/>
          <w:szCs w:val="26"/>
        </w:rPr>
      </w:pPr>
      <w:r w:rsidRPr="00E6758E">
        <w:rPr>
          <w:kern w:val="24"/>
          <w:sz w:val="26"/>
          <w:szCs w:val="26"/>
        </w:rPr>
        <w:tab/>
      </w:r>
      <w:r w:rsidRPr="00E6758E">
        <w:rPr>
          <w:kern w:val="24"/>
          <w:sz w:val="26"/>
          <w:szCs w:val="26"/>
        </w:rPr>
        <w:tab/>
      </w:r>
      <w:r w:rsidR="00794071" w:rsidRPr="00E6758E">
        <w:rPr>
          <w:kern w:val="24"/>
          <w:sz w:val="26"/>
          <w:szCs w:val="26"/>
        </w:rPr>
        <w:t>Two public input hearings were held in Harrisburg</w:t>
      </w:r>
      <w:r w:rsidRPr="00E6758E">
        <w:rPr>
          <w:kern w:val="24"/>
          <w:sz w:val="26"/>
          <w:szCs w:val="26"/>
        </w:rPr>
        <w:t>, Pennsylvania</w:t>
      </w:r>
      <w:r w:rsidR="00794071" w:rsidRPr="00E6758E">
        <w:rPr>
          <w:kern w:val="24"/>
          <w:sz w:val="26"/>
          <w:szCs w:val="26"/>
        </w:rPr>
        <w:t xml:space="preserve"> on June 2, 2015.  A separate public input hearing was held in Allentown</w:t>
      </w:r>
      <w:r w:rsidRPr="00E6758E">
        <w:rPr>
          <w:kern w:val="24"/>
          <w:sz w:val="26"/>
          <w:szCs w:val="26"/>
        </w:rPr>
        <w:t>, Pennsylvania</w:t>
      </w:r>
      <w:r w:rsidR="00794071" w:rsidRPr="00E6758E">
        <w:rPr>
          <w:kern w:val="24"/>
          <w:sz w:val="26"/>
          <w:szCs w:val="26"/>
        </w:rPr>
        <w:t xml:space="preserve"> on June 4, 2015.  A total of </w:t>
      </w:r>
      <w:r w:rsidR="00237A1B">
        <w:rPr>
          <w:kern w:val="24"/>
          <w:sz w:val="26"/>
          <w:szCs w:val="26"/>
        </w:rPr>
        <w:t>twenty-three</w:t>
      </w:r>
      <w:r w:rsidR="00237A1B" w:rsidRPr="00E6758E">
        <w:rPr>
          <w:kern w:val="24"/>
          <w:sz w:val="26"/>
          <w:szCs w:val="26"/>
        </w:rPr>
        <w:t xml:space="preserve"> </w:t>
      </w:r>
      <w:r w:rsidR="00794071" w:rsidRPr="00E6758E">
        <w:rPr>
          <w:kern w:val="24"/>
          <w:sz w:val="26"/>
          <w:szCs w:val="26"/>
        </w:rPr>
        <w:t>witnesses testified at the public input hearings.</w:t>
      </w:r>
    </w:p>
    <w:p w:rsidR="00F0064F" w:rsidRDefault="00F0064F" w:rsidP="00794071">
      <w:pPr>
        <w:spacing w:line="360" w:lineRule="auto"/>
        <w:rPr>
          <w:kern w:val="24"/>
          <w:sz w:val="26"/>
          <w:szCs w:val="26"/>
        </w:rPr>
      </w:pPr>
    </w:p>
    <w:p w:rsidR="00F0064F" w:rsidRPr="003A7942" w:rsidRDefault="003A7942" w:rsidP="00F0064F">
      <w:pPr>
        <w:spacing w:line="360" w:lineRule="auto"/>
        <w:rPr>
          <w:kern w:val="24"/>
          <w:sz w:val="26"/>
          <w:szCs w:val="26"/>
        </w:rPr>
      </w:pPr>
      <w:r w:rsidRPr="003A7942">
        <w:rPr>
          <w:kern w:val="24"/>
          <w:sz w:val="26"/>
          <w:szCs w:val="26"/>
        </w:rPr>
        <w:tab/>
      </w:r>
      <w:r w:rsidRPr="003A7942">
        <w:rPr>
          <w:kern w:val="24"/>
          <w:sz w:val="26"/>
          <w:szCs w:val="26"/>
        </w:rPr>
        <w:tab/>
        <w:t xml:space="preserve">On July 28, 2015, PPL informed the ALJ </w:t>
      </w:r>
      <w:r w:rsidR="00F0064F" w:rsidRPr="003A7942">
        <w:rPr>
          <w:kern w:val="24"/>
          <w:sz w:val="26"/>
          <w:szCs w:val="26"/>
        </w:rPr>
        <w:t>that a partial settlement in principle had been reached</w:t>
      </w:r>
      <w:r w:rsidR="009C286A">
        <w:rPr>
          <w:kern w:val="24"/>
          <w:sz w:val="26"/>
          <w:szCs w:val="26"/>
        </w:rPr>
        <w:t xml:space="preserve"> among the Parties</w:t>
      </w:r>
      <w:r w:rsidR="00F0064F" w:rsidRPr="003A7942">
        <w:rPr>
          <w:kern w:val="24"/>
          <w:sz w:val="26"/>
          <w:szCs w:val="26"/>
        </w:rPr>
        <w:t xml:space="preserve"> on a majority of the issues</w:t>
      </w:r>
      <w:r w:rsidRPr="003A7942">
        <w:rPr>
          <w:kern w:val="24"/>
          <w:sz w:val="26"/>
          <w:szCs w:val="26"/>
        </w:rPr>
        <w:t xml:space="preserve"> in the proceeding, and b</w:t>
      </w:r>
      <w:r w:rsidR="00F0064F" w:rsidRPr="003A7942">
        <w:rPr>
          <w:kern w:val="24"/>
          <w:sz w:val="26"/>
          <w:szCs w:val="26"/>
        </w:rPr>
        <w:t>y August 3, 2015, all i</w:t>
      </w:r>
      <w:r w:rsidR="009F7E40">
        <w:rPr>
          <w:kern w:val="24"/>
          <w:sz w:val="26"/>
          <w:szCs w:val="26"/>
        </w:rPr>
        <w:t>ssues but</w:t>
      </w:r>
      <w:r w:rsidRPr="003A7942">
        <w:rPr>
          <w:kern w:val="24"/>
          <w:sz w:val="26"/>
          <w:szCs w:val="26"/>
        </w:rPr>
        <w:t xml:space="preserve"> one had been settled.  At the request of the Parties, the scheduled hearing dates were reduced from four to one</w:t>
      </w:r>
      <w:r w:rsidR="009C286A">
        <w:rPr>
          <w:kern w:val="24"/>
          <w:sz w:val="26"/>
          <w:szCs w:val="26"/>
        </w:rPr>
        <w:t>.  O</w:t>
      </w:r>
      <w:r w:rsidRPr="003A7942">
        <w:rPr>
          <w:kern w:val="24"/>
          <w:sz w:val="26"/>
          <w:szCs w:val="26"/>
        </w:rPr>
        <w:t xml:space="preserve">n August 5, 2015, PPL informed the ALJ </w:t>
      </w:r>
      <w:r w:rsidR="00F0064F" w:rsidRPr="003A7942">
        <w:rPr>
          <w:kern w:val="24"/>
          <w:sz w:val="26"/>
          <w:szCs w:val="26"/>
        </w:rPr>
        <w:t xml:space="preserve">that the </w:t>
      </w:r>
      <w:r w:rsidRPr="003A7942">
        <w:rPr>
          <w:kern w:val="24"/>
          <w:sz w:val="26"/>
          <w:szCs w:val="26"/>
        </w:rPr>
        <w:t>case had been fully settled.</w:t>
      </w:r>
    </w:p>
    <w:p w:rsidR="00F0064F" w:rsidRPr="003A7942" w:rsidRDefault="00F0064F" w:rsidP="00F0064F">
      <w:pPr>
        <w:spacing w:line="360" w:lineRule="auto"/>
        <w:rPr>
          <w:kern w:val="24"/>
          <w:sz w:val="26"/>
          <w:szCs w:val="26"/>
        </w:rPr>
      </w:pPr>
    </w:p>
    <w:p w:rsidR="00F0064F" w:rsidRPr="00F0064F" w:rsidRDefault="00F0064F" w:rsidP="00F0064F">
      <w:pPr>
        <w:spacing w:line="360" w:lineRule="auto"/>
        <w:rPr>
          <w:kern w:val="24"/>
          <w:sz w:val="26"/>
          <w:szCs w:val="26"/>
        </w:rPr>
      </w:pPr>
      <w:r w:rsidRPr="009C286A">
        <w:rPr>
          <w:kern w:val="24"/>
          <w:sz w:val="26"/>
          <w:szCs w:val="26"/>
        </w:rPr>
        <w:tab/>
      </w:r>
      <w:r w:rsidRPr="009C286A">
        <w:rPr>
          <w:kern w:val="24"/>
          <w:sz w:val="26"/>
          <w:szCs w:val="26"/>
        </w:rPr>
        <w:tab/>
        <w:t>On August 11, 2015, the hearing was held as scheduled</w:t>
      </w:r>
      <w:r w:rsidR="00BF1E74">
        <w:rPr>
          <w:kern w:val="24"/>
          <w:sz w:val="26"/>
          <w:szCs w:val="26"/>
        </w:rPr>
        <w:t xml:space="preserve"> in order</w:t>
      </w:r>
      <w:r w:rsidRPr="009C286A">
        <w:rPr>
          <w:kern w:val="24"/>
          <w:sz w:val="26"/>
          <w:szCs w:val="26"/>
        </w:rPr>
        <w:t xml:space="preserve"> to hear testimony of </w:t>
      </w:r>
      <w:r w:rsidRPr="009C286A">
        <w:rPr>
          <w:i/>
          <w:kern w:val="24"/>
          <w:sz w:val="26"/>
          <w:szCs w:val="26"/>
        </w:rPr>
        <w:t>pro se</w:t>
      </w:r>
      <w:r w:rsidR="004F5483">
        <w:rPr>
          <w:kern w:val="24"/>
          <w:sz w:val="26"/>
          <w:szCs w:val="26"/>
        </w:rPr>
        <w:t xml:space="preserve"> C</w:t>
      </w:r>
      <w:r w:rsidRPr="009C286A">
        <w:rPr>
          <w:kern w:val="24"/>
          <w:sz w:val="26"/>
          <w:szCs w:val="26"/>
        </w:rPr>
        <w:t xml:space="preserve">omplainants and to receive prepared testimony into the record.  </w:t>
      </w:r>
      <w:r w:rsidR="00E54B04">
        <w:rPr>
          <w:kern w:val="24"/>
          <w:sz w:val="26"/>
          <w:szCs w:val="26"/>
        </w:rPr>
        <w:t xml:space="preserve">The </w:t>
      </w:r>
      <w:r w:rsidRPr="009C286A">
        <w:rPr>
          <w:kern w:val="24"/>
          <w:sz w:val="26"/>
          <w:szCs w:val="26"/>
        </w:rPr>
        <w:t>testimony and exhibits</w:t>
      </w:r>
      <w:r w:rsidR="00E54B04">
        <w:rPr>
          <w:kern w:val="24"/>
          <w:sz w:val="26"/>
          <w:szCs w:val="26"/>
        </w:rPr>
        <w:t xml:space="preserve"> of the Parties</w:t>
      </w:r>
      <w:r w:rsidRPr="009C286A">
        <w:rPr>
          <w:kern w:val="24"/>
          <w:sz w:val="26"/>
          <w:szCs w:val="26"/>
        </w:rPr>
        <w:t xml:space="preserve"> w</w:t>
      </w:r>
      <w:r w:rsidR="002C6286">
        <w:rPr>
          <w:kern w:val="24"/>
          <w:sz w:val="26"/>
          <w:szCs w:val="26"/>
        </w:rPr>
        <w:t>ere admitted without opposition.</w:t>
      </w:r>
    </w:p>
    <w:p w:rsidR="00F0064F" w:rsidRPr="00E6758E" w:rsidRDefault="00F0064F" w:rsidP="00794071">
      <w:pPr>
        <w:spacing w:line="360" w:lineRule="auto"/>
        <w:rPr>
          <w:kern w:val="24"/>
          <w:sz w:val="26"/>
          <w:szCs w:val="26"/>
        </w:rPr>
      </w:pPr>
    </w:p>
    <w:p w:rsidR="00B5735F" w:rsidRDefault="003506A0" w:rsidP="00D643F7">
      <w:pPr>
        <w:spacing w:line="360" w:lineRule="auto"/>
        <w:rPr>
          <w:kern w:val="24"/>
          <w:sz w:val="26"/>
          <w:szCs w:val="26"/>
        </w:rPr>
      </w:pPr>
      <w:r w:rsidRPr="000264F8">
        <w:rPr>
          <w:kern w:val="24"/>
          <w:sz w:val="26"/>
          <w:szCs w:val="26"/>
        </w:rPr>
        <w:lastRenderedPageBreak/>
        <w:tab/>
      </w:r>
      <w:r w:rsidRPr="000264F8">
        <w:rPr>
          <w:kern w:val="24"/>
          <w:sz w:val="26"/>
          <w:szCs w:val="26"/>
        </w:rPr>
        <w:tab/>
        <w:t>As noted, t</w:t>
      </w:r>
      <w:r w:rsidR="00D643F7" w:rsidRPr="000264F8">
        <w:rPr>
          <w:kern w:val="24"/>
          <w:sz w:val="26"/>
          <w:szCs w:val="26"/>
        </w:rPr>
        <w:t>h</w:t>
      </w:r>
      <w:r w:rsidRPr="000264F8">
        <w:rPr>
          <w:kern w:val="24"/>
          <w:sz w:val="26"/>
          <w:szCs w:val="26"/>
        </w:rPr>
        <w:t xml:space="preserve">e Joint Petition </w:t>
      </w:r>
      <w:r w:rsidR="00D643F7" w:rsidRPr="000264F8">
        <w:rPr>
          <w:kern w:val="24"/>
          <w:sz w:val="26"/>
          <w:szCs w:val="26"/>
        </w:rPr>
        <w:t>was filed on</w:t>
      </w:r>
      <w:r w:rsidR="004B6625">
        <w:rPr>
          <w:kern w:val="24"/>
          <w:sz w:val="26"/>
          <w:szCs w:val="26"/>
        </w:rPr>
        <w:t xml:space="preserve"> September 3, 2015.  </w:t>
      </w:r>
      <w:r w:rsidR="00CB1189">
        <w:rPr>
          <w:kern w:val="24"/>
          <w:sz w:val="26"/>
          <w:szCs w:val="26"/>
        </w:rPr>
        <w:t>Individual Statements in S</w:t>
      </w:r>
      <w:r w:rsidR="00D643F7" w:rsidRPr="000264F8">
        <w:rPr>
          <w:kern w:val="24"/>
          <w:sz w:val="26"/>
          <w:szCs w:val="26"/>
        </w:rPr>
        <w:t>upport of</w:t>
      </w:r>
      <w:r w:rsidRPr="000264F8">
        <w:rPr>
          <w:kern w:val="24"/>
          <w:sz w:val="26"/>
          <w:szCs w:val="26"/>
        </w:rPr>
        <w:t xml:space="preserve"> the Settlement</w:t>
      </w:r>
      <w:r w:rsidR="004B6625">
        <w:rPr>
          <w:kern w:val="24"/>
          <w:sz w:val="26"/>
          <w:szCs w:val="26"/>
        </w:rPr>
        <w:t xml:space="preserve"> were als</w:t>
      </w:r>
      <w:r w:rsidR="004B5E3F">
        <w:rPr>
          <w:kern w:val="24"/>
          <w:sz w:val="26"/>
          <w:szCs w:val="26"/>
        </w:rPr>
        <w:t>o filed by the Joint Petitioners</w:t>
      </w:r>
      <w:r w:rsidRPr="000264F8">
        <w:rPr>
          <w:kern w:val="24"/>
          <w:sz w:val="26"/>
          <w:szCs w:val="26"/>
        </w:rPr>
        <w:t>.</w:t>
      </w:r>
      <w:r w:rsidR="00005208">
        <w:rPr>
          <w:rStyle w:val="FootnoteReference"/>
          <w:kern w:val="24"/>
          <w:sz w:val="26"/>
          <w:szCs w:val="26"/>
        </w:rPr>
        <w:footnoteReference w:id="5"/>
      </w:r>
    </w:p>
    <w:p w:rsidR="00B5735F" w:rsidRDefault="00B5735F" w:rsidP="00D643F7">
      <w:pPr>
        <w:spacing w:line="360" w:lineRule="auto"/>
        <w:rPr>
          <w:kern w:val="24"/>
          <w:sz w:val="26"/>
          <w:szCs w:val="26"/>
        </w:rPr>
      </w:pPr>
    </w:p>
    <w:p w:rsidR="00D643F7" w:rsidRPr="00D93A0D" w:rsidRDefault="00B5735F" w:rsidP="00D643F7">
      <w:pPr>
        <w:spacing w:line="360" w:lineRule="auto"/>
        <w:rPr>
          <w:kern w:val="24"/>
          <w:sz w:val="26"/>
          <w:szCs w:val="26"/>
        </w:rPr>
      </w:pPr>
      <w:r>
        <w:rPr>
          <w:kern w:val="24"/>
          <w:sz w:val="26"/>
          <w:szCs w:val="26"/>
        </w:rPr>
        <w:tab/>
      </w:r>
      <w:r>
        <w:rPr>
          <w:kern w:val="24"/>
          <w:sz w:val="26"/>
          <w:szCs w:val="26"/>
        </w:rPr>
        <w:tab/>
      </w:r>
      <w:r w:rsidR="00D643F7" w:rsidRPr="000264F8">
        <w:rPr>
          <w:kern w:val="24"/>
          <w:sz w:val="26"/>
          <w:szCs w:val="26"/>
        </w:rPr>
        <w:t xml:space="preserve">On September 8, 2015, </w:t>
      </w:r>
      <w:r w:rsidR="002E3928">
        <w:rPr>
          <w:kern w:val="24"/>
          <w:sz w:val="26"/>
          <w:szCs w:val="26"/>
        </w:rPr>
        <w:t>Formal C</w:t>
      </w:r>
      <w:r w:rsidR="00D643F7" w:rsidRPr="000264F8">
        <w:rPr>
          <w:kern w:val="24"/>
          <w:sz w:val="26"/>
          <w:szCs w:val="26"/>
        </w:rPr>
        <w:t xml:space="preserve">omplainants </w:t>
      </w:r>
      <w:r w:rsidR="003506A0" w:rsidRPr="000264F8">
        <w:rPr>
          <w:kern w:val="24"/>
          <w:sz w:val="26"/>
          <w:szCs w:val="26"/>
        </w:rPr>
        <w:t xml:space="preserve">Cathleen A. </w:t>
      </w:r>
      <w:r w:rsidR="00D643F7" w:rsidRPr="000264F8">
        <w:rPr>
          <w:kern w:val="24"/>
          <w:sz w:val="26"/>
          <w:szCs w:val="26"/>
        </w:rPr>
        <w:t xml:space="preserve">Woomert, </w:t>
      </w:r>
      <w:r w:rsidR="00991081" w:rsidRPr="000264F8">
        <w:rPr>
          <w:kern w:val="24"/>
          <w:sz w:val="26"/>
          <w:szCs w:val="26"/>
        </w:rPr>
        <w:t>D</w:t>
      </w:r>
      <w:r w:rsidR="003506A0" w:rsidRPr="000264F8">
        <w:rPr>
          <w:kern w:val="24"/>
          <w:sz w:val="26"/>
          <w:szCs w:val="26"/>
        </w:rPr>
        <w:t>.</w:t>
      </w:r>
      <w:r w:rsidR="00237A1B">
        <w:rPr>
          <w:kern w:val="24"/>
          <w:sz w:val="26"/>
          <w:szCs w:val="26"/>
        </w:rPr>
        <w:t> </w:t>
      </w:r>
      <w:r w:rsidR="00D643F7" w:rsidRPr="000264F8">
        <w:rPr>
          <w:kern w:val="24"/>
          <w:sz w:val="26"/>
          <w:szCs w:val="26"/>
        </w:rPr>
        <w:t xml:space="preserve">Wintermeyer, </w:t>
      </w:r>
      <w:r w:rsidR="00991081" w:rsidRPr="000264F8">
        <w:rPr>
          <w:kern w:val="24"/>
          <w:sz w:val="26"/>
          <w:szCs w:val="26"/>
        </w:rPr>
        <w:t xml:space="preserve">Michael B. </w:t>
      </w:r>
      <w:r w:rsidR="00D643F7" w:rsidRPr="000264F8">
        <w:rPr>
          <w:kern w:val="24"/>
          <w:sz w:val="26"/>
          <w:szCs w:val="26"/>
        </w:rPr>
        <w:t>Young</w:t>
      </w:r>
      <w:r w:rsidR="00991081" w:rsidRPr="000264F8">
        <w:rPr>
          <w:kern w:val="24"/>
          <w:sz w:val="26"/>
          <w:szCs w:val="26"/>
        </w:rPr>
        <w:t>,</w:t>
      </w:r>
      <w:r w:rsidR="00D643F7" w:rsidRPr="000264F8">
        <w:rPr>
          <w:kern w:val="24"/>
          <w:sz w:val="26"/>
          <w:szCs w:val="26"/>
        </w:rPr>
        <w:t xml:space="preserve"> and </w:t>
      </w:r>
      <w:r w:rsidR="00991081" w:rsidRPr="000264F8">
        <w:rPr>
          <w:kern w:val="24"/>
          <w:sz w:val="26"/>
          <w:szCs w:val="26"/>
        </w:rPr>
        <w:t xml:space="preserve">Joseph E. </w:t>
      </w:r>
      <w:r w:rsidR="00D643F7" w:rsidRPr="000264F8">
        <w:rPr>
          <w:kern w:val="24"/>
          <w:sz w:val="26"/>
          <w:szCs w:val="26"/>
        </w:rPr>
        <w:t xml:space="preserve">McAndrew were each sent a copy of the Joint Petition and given until September 21, 2015, to file comments on the Settlement.  </w:t>
      </w:r>
      <w:r w:rsidR="00991081" w:rsidRPr="000264F8">
        <w:rPr>
          <w:kern w:val="24"/>
          <w:sz w:val="26"/>
          <w:szCs w:val="26"/>
        </w:rPr>
        <w:t xml:space="preserve">On </w:t>
      </w:r>
      <w:r w:rsidR="000264F8" w:rsidRPr="000264F8">
        <w:rPr>
          <w:kern w:val="24"/>
          <w:sz w:val="26"/>
          <w:szCs w:val="26"/>
        </w:rPr>
        <w:t xml:space="preserve">September 23, 2015, </w:t>
      </w:r>
      <w:r w:rsidR="002E3928">
        <w:rPr>
          <w:kern w:val="24"/>
          <w:sz w:val="26"/>
          <w:szCs w:val="26"/>
        </w:rPr>
        <w:t>F</w:t>
      </w:r>
      <w:r w:rsidR="000264F8" w:rsidRPr="000264F8">
        <w:rPr>
          <w:kern w:val="24"/>
          <w:sz w:val="26"/>
          <w:szCs w:val="26"/>
        </w:rPr>
        <w:t xml:space="preserve">ormal </w:t>
      </w:r>
      <w:r w:rsidR="002E3928">
        <w:rPr>
          <w:kern w:val="24"/>
          <w:sz w:val="26"/>
          <w:szCs w:val="26"/>
        </w:rPr>
        <w:t>C</w:t>
      </w:r>
      <w:r w:rsidR="000264F8" w:rsidRPr="000264F8">
        <w:rPr>
          <w:kern w:val="24"/>
          <w:sz w:val="26"/>
          <w:szCs w:val="26"/>
        </w:rPr>
        <w:t xml:space="preserve">omplainant Michael C. Muller was served with the Joint Petition and given until September 28, 2015 to respond.  </w:t>
      </w:r>
      <w:r w:rsidR="00D93A0D">
        <w:rPr>
          <w:kern w:val="24"/>
          <w:sz w:val="26"/>
          <w:szCs w:val="26"/>
        </w:rPr>
        <w:t xml:space="preserve">A response was filed by </w:t>
      </w:r>
      <w:r w:rsidR="000264F8" w:rsidRPr="000264F8">
        <w:rPr>
          <w:kern w:val="24"/>
          <w:sz w:val="26"/>
          <w:szCs w:val="26"/>
        </w:rPr>
        <w:t xml:space="preserve">D. </w:t>
      </w:r>
      <w:r w:rsidR="00D93A0D">
        <w:rPr>
          <w:kern w:val="24"/>
          <w:sz w:val="26"/>
          <w:szCs w:val="26"/>
        </w:rPr>
        <w:t>Wintermeyer on September 21, 2015</w:t>
      </w:r>
      <w:r w:rsidR="009F7E40">
        <w:rPr>
          <w:kern w:val="24"/>
          <w:sz w:val="26"/>
          <w:szCs w:val="26"/>
        </w:rPr>
        <w:t xml:space="preserve">.  None of the other </w:t>
      </w:r>
      <w:r w:rsidR="009F7E40" w:rsidRPr="009F7E40">
        <w:rPr>
          <w:i/>
          <w:kern w:val="24"/>
          <w:sz w:val="26"/>
          <w:szCs w:val="26"/>
        </w:rPr>
        <w:t>pro se</w:t>
      </w:r>
      <w:r w:rsidR="009F7E40">
        <w:rPr>
          <w:kern w:val="24"/>
          <w:sz w:val="26"/>
          <w:szCs w:val="26"/>
        </w:rPr>
        <w:t xml:space="preserve"> </w:t>
      </w:r>
      <w:r w:rsidR="002E3928">
        <w:rPr>
          <w:kern w:val="24"/>
          <w:sz w:val="26"/>
          <w:szCs w:val="26"/>
        </w:rPr>
        <w:t>C</w:t>
      </w:r>
      <w:r w:rsidR="009F7E40">
        <w:rPr>
          <w:kern w:val="24"/>
          <w:sz w:val="26"/>
          <w:szCs w:val="26"/>
        </w:rPr>
        <w:t>omplainants filed responses</w:t>
      </w:r>
      <w:r w:rsidR="00D93A0D">
        <w:rPr>
          <w:kern w:val="24"/>
          <w:sz w:val="26"/>
          <w:szCs w:val="26"/>
        </w:rPr>
        <w:t>.</w:t>
      </w:r>
    </w:p>
    <w:p w:rsidR="00690DB7" w:rsidRPr="00DB0551" w:rsidRDefault="00690DB7" w:rsidP="009E1963">
      <w:pPr>
        <w:spacing w:line="360" w:lineRule="auto"/>
        <w:rPr>
          <w:kern w:val="24"/>
          <w:sz w:val="26"/>
          <w:szCs w:val="26"/>
        </w:rPr>
      </w:pPr>
    </w:p>
    <w:p w:rsidR="00690DB7" w:rsidRPr="00DB0551" w:rsidRDefault="00690DB7" w:rsidP="009E1963">
      <w:pPr>
        <w:spacing w:line="360" w:lineRule="auto"/>
        <w:rPr>
          <w:kern w:val="24"/>
          <w:sz w:val="26"/>
          <w:szCs w:val="26"/>
        </w:rPr>
      </w:pPr>
      <w:r w:rsidRPr="00DB0551">
        <w:rPr>
          <w:kern w:val="24"/>
          <w:sz w:val="26"/>
          <w:szCs w:val="26"/>
        </w:rPr>
        <w:tab/>
      </w:r>
      <w:r w:rsidRPr="00DB0551">
        <w:rPr>
          <w:kern w:val="24"/>
          <w:sz w:val="26"/>
          <w:szCs w:val="26"/>
        </w:rPr>
        <w:tab/>
        <w:t xml:space="preserve">On </w:t>
      </w:r>
      <w:r w:rsidR="00277646" w:rsidRPr="00DB0551">
        <w:rPr>
          <w:kern w:val="24"/>
          <w:sz w:val="26"/>
          <w:szCs w:val="26"/>
        </w:rPr>
        <w:t>October 5, 2015</w:t>
      </w:r>
      <w:r w:rsidR="001E780B" w:rsidRPr="00DB0551">
        <w:rPr>
          <w:kern w:val="24"/>
          <w:sz w:val="26"/>
          <w:szCs w:val="26"/>
        </w:rPr>
        <w:t>, the Commission issued the R</w:t>
      </w:r>
      <w:r w:rsidR="00277646" w:rsidRPr="00DB0551">
        <w:rPr>
          <w:kern w:val="24"/>
          <w:sz w:val="26"/>
          <w:szCs w:val="26"/>
        </w:rPr>
        <w:t>ecommended Decision of ALJ Colwell</w:t>
      </w:r>
      <w:r w:rsidR="001E780B" w:rsidRPr="00DB0551">
        <w:rPr>
          <w:kern w:val="24"/>
          <w:sz w:val="26"/>
          <w:szCs w:val="26"/>
        </w:rPr>
        <w:t xml:space="preserve">, </w:t>
      </w:r>
      <w:r w:rsidR="002E3928">
        <w:rPr>
          <w:kern w:val="24"/>
          <w:sz w:val="26"/>
          <w:szCs w:val="26"/>
        </w:rPr>
        <w:t>in which she</w:t>
      </w:r>
      <w:r w:rsidR="001E780B" w:rsidRPr="00DB0551">
        <w:rPr>
          <w:kern w:val="24"/>
          <w:sz w:val="26"/>
          <w:szCs w:val="26"/>
        </w:rPr>
        <w:t xml:space="preserve"> recommended, </w:t>
      </w:r>
      <w:r w:rsidR="001E780B" w:rsidRPr="00DB0551">
        <w:rPr>
          <w:i/>
          <w:kern w:val="24"/>
          <w:sz w:val="26"/>
          <w:szCs w:val="26"/>
        </w:rPr>
        <w:t>inter alia</w:t>
      </w:r>
      <w:r w:rsidR="001E780B" w:rsidRPr="00DB0551">
        <w:rPr>
          <w:kern w:val="24"/>
          <w:sz w:val="26"/>
          <w:szCs w:val="26"/>
        </w:rPr>
        <w:t>, that the Joint Petition be approved w</w:t>
      </w:r>
      <w:r w:rsidR="007F50D4" w:rsidRPr="00DB0551">
        <w:rPr>
          <w:kern w:val="24"/>
          <w:sz w:val="26"/>
          <w:szCs w:val="26"/>
        </w:rPr>
        <w:t>ithout modification.  R.D. at 66</w:t>
      </w:r>
      <w:r w:rsidR="001E780B" w:rsidRPr="00DB0551">
        <w:rPr>
          <w:kern w:val="24"/>
          <w:sz w:val="26"/>
          <w:szCs w:val="26"/>
        </w:rPr>
        <w:t>.</w:t>
      </w:r>
      <w:r w:rsidR="005E3BA3" w:rsidRPr="00DB0551">
        <w:rPr>
          <w:kern w:val="24"/>
          <w:sz w:val="26"/>
          <w:szCs w:val="26"/>
        </w:rPr>
        <w:t xml:space="preserve">  The Par</w:t>
      </w:r>
      <w:r w:rsidR="007F50D4" w:rsidRPr="00DB0551">
        <w:rPr>
          <w:kern w:val="24"/>
          <w:sz w:val="26"/>
          <w:szCs w:val="26"/>
        </w:rPr>
        <w:t>ties were given until October 13, 2015</w:t>
      </w:r>
      <w:r w:rsidR="002E3928">
        <w:rPr>
          <w:kern w:val="24"/>
          <w:sz w:val="26"/>
          <w:szCs w:val="26"/>
        </w:rPr>
        <w:t>,</w:t>
      </w:r>
      <w:r w:rsidR="005E3BA3" w:rsidRPr="00DB0551">
        <w:rPr>
          <w:kern w:val="24"/>
          <w:sz w:val="26"/>
          <w:szCs w:val="26"/>
        </w:rPr>
        <w:t xml:space="preserve"> to file exceptions to the Recommended Deci</w:t>
      </w:r>
      <w:r w:rsidR="002A5220">
        <w:rPr>
          <w:kern w:val="24"/>
          <w:sz w:val="26"/>
          <w:szCs w:val="26"/>
        </w:rPr>
        <w:t>sion.  A</w:t>
      </w:r>
      <w:r w:rsidR="007F50D4" w:rsidRPr="00DB0551">
        <w:rPr>
          <w:kern w:val="24"/>
          <w:sz w:val="26"/>
          <w:szCs w:val="26"/>
        </w:rPr>
        <w:t>s noted above, PPLICA filed its Letter</w:t>
      </w:r>
      <w:r w:rsidR="002A5220">
        <w:rPr>
          <w:kern w:val="24"/>
          <w:sz w:val="26"/>
          <w:szCs w:val="26"/>
        </w:rPr>
        <w:t xml:space="preserve"> </w:t>
      </w:r>
      <w:r w:rsidR="00237A1B" w:rsidRPr="00237A1B">
        <w:rPr>
          <w:kern w:val="24"/>
          <w:sz w:val="26"/>
          <w:szCs w:val="26"/>
        </w:rPr>
        <w:t>on October 13, 2015</w:t>
      </w:r>
      <w:r w:rsidR="00237A1B">
        <w:rPr>
          <w:kern w:val="24"/>
          <w:sz w:val="26"/>
          <w:szCs w:val="26"/>
        </w:rPr>
        <w:t xml:space="preserve">, </w:t>
      </w:r>
      <w:r w:rsidR="002A5220">
        <w:rPr>
          <w:kern w:val="24"/>
          <w:sz w:val="26"/>
          <w:szCs w:val="26"/>
        </w:rPr>
        <w:t>seeking clarification with regard to a statement included in the</w:t>
      </w:r>
      <w:r w:rsidR="00DB0551" w:rsidRPr="00DB0551">
        <w:rPr>
          <w:kern w:val="24"/>
          <w:sz w:val="26"/>
          <w:szCs w:val="26"/>
        </w:rPr>
        <w:t xml:space="preserve"> Recommended Decision.  </w:t>
      </w:r>
      <w:r w:rsidR="00161238">
        <w:rPr>
          <w:kern w:val="24"/>
          <w:sz w:val="26"/>
          <w:szCs w:val="26"/>
        </w:rPr>
        <w:t>PPL filed its R</w:t>
      </w:r>
      <w:r w:rsidR="002A5220">
        <w:rPr>
          <w:kern w:val="24"/>
          <w:sz w:val="26"/>
          <w:szCs w:val="26"/>
        </w:rPr>
        <w:t>esponse to PPLICA</w:t>
      </w:r>
      <w:r w:rsidR="00EE6F5E">
        <w:rPr>
          <w:kern w:val="24"/>
          <w:sz w:val="26"/>
          <w:szCs w:val="26"/>
        </w:rPr>
        <w:t>’</w:t>
      </w:r>
      <w:r w:rsidR="002A5220">
        <w:rPr>
          <w:kern w:val="24"/>
          <w:sz w:val="26"/>
          <w:szCs w:val="26"/>
        </w:rPr>
        <w:t>s Letter on October 22, 2015.  None of the other Joint Petitioners filed exceptions to the Recommended Decision or responses to PPLICA</w:t>
      </w:r>
      <w:r w:rsidR="00EE6F5E">
        <w:rPr>
          <w:kern w:val="24"/>
          <w:sz w:val="26"/>
          <w:szCs w:val="26"/>
        </w:rPr>
        <w:t>’</w:t>
      </w:r>
      <w:r w:rsidR="002A5220">
        <w:rPr>
          <w:kern w:val="24"/>
          <w:sz w:val="26"/>
          <w:szCs w:val="26"/>
        </w:rPr>
        <w:t>s Letter.</w:t>
      </w:r>
    </w:p>
    <w:p w:rsidR="005E74B5" w:rsidRPr="00DB0551" w:rsidRDefault="005E74B5" w:rsidP="009E1963">
      <w:pPr>
        <w:spacing w:line="360" w:lineRule="auto"/>
        <w:rPr>
          <w:b/>
          <w:sz w:val="26"/>
        </w:rPr>
      </w:pPr>
    </w:p>
    <w:p w:rsidR="00DB59C1" w:rsidRPr="00435017" w:rsidRDefault="000745AC" w:rsidP="00B82827">
      <w:pPr>
        <w:keepNext/>
        <w:spacing w:line="360" w:lineRule="auto"/>
        <w:jc w:val="center"/>
        <w:rPr>
          <w:b/>
          <w:sz w:val="26"/>
        </w:rPr>
      </w:pPr>
      <w:r w:rsidRPr="00435017">
        <w:rPr>
          <w:b/>
          <w:sz w:val="26"/>
        </w:rPr>
        <w:t>II.</w:t>
      </w:r>
      <w:r w:rsidRPr="00435017">
        <w:rPr>
          <w:b/>
          <w:sz w:val="26"/>
        </w:rPr>
        <w:tab/>
      </w:r>
      <w:r w:rsidR="00DB59C1" w:rsidRPr="00435017">
        <w:rPr>
          <w:b/>
          <w:sz w:val="26"/>
        </w:rPr>
        <w:t>Discussion</w:t>
      </w:r>
    </w:p>
    <w:p w:rsidR="00DB59C1" w:rsidRPr="00435017" w:rsidRDefault="00DB59C1" w:rsidP="00B82827">
      <w:pPr>
        <w:keepNext/>
        <w:spacing w:line="360" w:lineRule="auto"/>
        <w:rPr>
          <w:b/>
          <w:sz w:val="26"/>
        </w:rPr>
      </w:pPr>
    </w:p>
    <w:p w:rsidR="00DB59C1" w:rsidRPr="002A3BE2" w:rsidRDefault="000745AC" w:rsidP="00B82827">
      <w:pPr>
        <w:keepNext/>
        <w:spacing w:line="360" w:lineRule="auto"/>
        <w:rPr>
          <w:b/>
          <w:sz w:val="26"/>
          <w:szCs w:val="26"/>
        </w:rPr>
      </w:pPr>
      <w:r w:rsidRPr="00435017">
        <w:rPr>
          <w:b/>
          <w:sz w:val="26"/>
          <w:szCs w:val="26"/>
        </w:rPr>
        <w:t>A.</w:t>
      </w:r>
      <w:r w:rsidRPr="00435017">
        <w:rPr>
          <w:b/>
          <w:sz w:val="26"/>
          <w:szCs w:val="26"/>
        </w:rPr>
        <w:tab/>
        <w:t xml:space="preserve">Joint Petition </w:t>
      </w:r>
      <w:r w:rsidRPr="002A3BE2">
        <w:rPr>
          <w:b/>
          <w:sz w:val="26"/>
          <w:szCs w:val="26"/>
        </w:rPr>
        <w:t xml:space="preserve">for </w:t>
      </w:r>
      <w:r w:rsidR="00435017" w:rsidRPr="002A3BE2">
        <w:rPr>
          <w:b/>
          <w:sz w:val="26"/>
          <w:szCs w:val="26"/>
        </w:rPr>
        <w:t xml:space="preserve">Approval of </w:t>
      </w:r>
      <w:r w:rsidRPr="002A3BE2">
        <w:rPr>
          <w:b/>
          <w:sz w:val="26"/>
          <w:szCs w:val="26"/>
        </w:rPr>
        <w:t>Settlement</w:t>
      </w:r>
      <w:r w:rsidR="00DB59C1" w:rsidRPr="002A3BE2">
        <w:rPr>
          <w:b/>
          <w:sz w:val="26"/>
          <w:szCs w:val="26"/>
        </w:rPr>
        <w:t xml:space="preserve"> </w:t>
      </w:r>
      <w:r w:rsidR="00435017" w:rsidRPr="002A3BE2">
        <w:rPr>
          <w:b/>
          <w:sz w:val="26"/>
          <w:szCs w:val="26"/>
        </w:rPr>
        <w:t>of All Issues</w:t>
      </w:r>
    </w:p>
    <w:p w:rsidR="00DB59C1" w:rsidRPr="002A3BE2" w:rsidRDefault="00DB59C1" w:rsidP="00B82827">
      <w:pPr>
        <w:keepNext/>
        <w:spacing w:line="360" w:lineRule="auto"/>
        <w:rPr>
          <w:sz w:val="26"/>
          <w:szCs w:val="26"/>
        </w:rPr>
      </w:pPr>
    </w:p>
    <w:p w:rsidR="00FD0E1B" w:rsidRPr="006F7285" w:rsidRDefault="009E1963" w:rsidP="009E1963">
      <w:pPr>
        <w:spacing w:line="360" w:lineRule="auto"/>
        <w:rPr>
          <w:sz w:val="26"/>
          <w:szCs w:val="26"/>
        </w:rPr>
      </w:pPr>
      <w:r w:rsidRPr="002A3BE2">
        <w:rPr>
          <w:sz w:val="26"/>
          <w:szCs w:val="26"/>
        </w:rPr>
        <w:tab/>
      </w:r>
      <w:r w:rsidRPr="002A3BE2">
        <w:rPr>
          <w:sz w:val="26"/>
          <w:szCs w:val="26"/>
        </w:rPr>
        <w:tab/>
      </w:r>
      <w:r w:rsidR="000F1513" w:rsidRPr="002A3BE2">
        <w:rPr>
          <w:sz w:val="26"/>
          <w:szCs w:val="26"/>
        </w:rPr>
        <w:t>The Joint Petition</w:t>
      </w:r>
      <w:r w:rsidR="00DA216A" w:rsidRPr="002A3BE2">
        <w:rPr>
          <w:sz w:val="26"/>
          <w:szCs w:val="26"/>
        </w:rPr>
        <w:t xml:space="preserve"> </w:t>
      </w:r>
      <w:r w:rsidR="002A3BE2">
        <w:rPr>
          <w:sz w:val="26"/>
          <w:szCs w:val="26"/>
        </w:rPr>
        <w:t>represents a full settlement of all issues raised in this proceeding, and provides for increases in rates designed to produce a net increase in PPL</w:t>
      </w:r>
      <w:r w:rsidR="00EE6F5E">
        <w:rPr>
          <w:sz w:val="26"/>
          <w:szCs w:val="26"/>
        </w:rPr>
        <w:t>’</w:t>
      </w:r>
      <w:r w:rsidR="002A3BE2">
        <w:rPr>
          <w:sz w:val="26"/>
          <w:szCs w:val="26"/>
        </w:rPr>
        <w:t xml:space="preserve">s annual distribution operating revenues of $124 </w:t>
      </w:r>
      <w:r w:rsidR="002A3BE2" w:rsidRPr="006F7285">
        <w:rPr>
          <w:sz w:val="26"/>
          <w:szCs w:val="26"/>
        </w:rPr>
        <w:t xml:space="preserve">million, based upon a FPFTY </w:t>
      </w:r>
      <w:r w:rsidR="002A3BE2" w:rsidRPr="006F7285">
        <w:rPr>
          <w:sz w:val="26"/>
          <w:szCs w:val="26"/>
        </w:rPr>
        <w:lastRenderedPageBreak/>
        <w:t>ending December 31, 2016, to become effective for service rendered on and after January</w:t>
      </w:r>
      <w:r w:rsidR="002E3928">
        <w:rPr>
          <w:sz w:val="26"/>
          <w:szCs w:val="26"/>
        </w:rPr>
        <w:t> </w:t>
      </w:r>
      <w:r w:rsidR="002A3BE2" w:rsidRPr="006F7285">
        <w:rPr>
          <w:sz w:val="26"/>
          <w:szCs w:val="26"/>
        </w:rPr>
        <w:t>1, 2016.</w:t>
      </w:r>
      <w:r w:rsidR="00FD0E1B" w:rsidRPr="006F7285">
        <w:rPr>
          <w:sz w:val="26"/>
          <w:szCs w:val="26"/>
        </w:rPr>
        <w:t xml:space="preserve">  Joint Petition at 2.  The Joint Petition consists of a twenty-two-</w:t>
      </w:r>
      <w:r w:rsidR="00DA216A" w:rsidRPr="006F7285">
        <w:rPr>
          <w:sz w:val="26"/>
          <w:szCs w:val="26"/>
        </w:rPr>
        <w:t>page document with</w:t>
      </w:r>
      <w:r w:rsidR="002A3BE2" w:rsidRPr="006F7285">
        <w:rPr>
          <w:sz w:val="26"/>
          <w:szCs w:val="26"/>
        </w:rPr>
        <w:t xml:space="preserve"> attached Appendices A and B</w:t>
      </w:r>
      <w:r w:rsidR="00DA216A" w:rsidRPr="006F7285">
        <w:rPr>
          <w:sz w:val="26"/>
          <w:szCs w:val="26"/>
        </w:rPr>
        <w:t>.  The body of th</w:t>
      </w:r>
      <w:r w:rsidR="008E2CA7" w:rsidRPr="006F7285">
        <w:rPr>
          <w:sz w:val="26"/>
          <w:szCs w:val="26"/>
        </w:rPr>
        <w:t>e document contains</w:t>
      </w:r>
      <w:r w:rsidR="00DA216A" w:rsidRPr="006F7285">
        <w:rPr>
          <w:sz w:val="26"/>
          <w:szCs w:val="26"/>
        </w:rPr>
        <w:t xml:space="preserve"> the terms and conditions of the Settlement as agreed to by the Joint Petitioners.</w:t>
      </w:r>
      <w:r w:rsidR="008E2CA7" w:rsidRPr="006F7285">
        <w:rPr>
          <w:sz w:val="26"/>
          <w:szCs w:val="26"/>
        </w:rPr>
        <w:t xml:space="preserve">  </w:t>
      </w:r>
      <w:r w:rsidR="00DA216A" w:rsidRPr="006F7285">
        <w:rPr>
          <w:sz w:val="26"/>
          <w:szCs w:val="26"/>
        </w:rPr>
        <w:t xml:space="preserve">Appendix A </w:t>
      </w:r>
      <w:r w:rsidR="008E2CA7" w:rsidRPr="006F7285">
        <w:rPr>
          <w:sz w:val="26"/>
          <w:szCs w:val="26"/>
        </w:rPr>
        <w:t xml:space="preserve">consists of a </w:t>
      </w:r>
      <w:r w:rsidR="00FD0E1B" w:rsidRPr="002E3928">
        <w:rPr>
          <w:i/>
          <w:sz w:val="26"/>
          <w:szCs w:val="26"/>
        </w:rPr>
        <w:t>pro forma</w:t>
      </w:r>
      <w:r w:rsidR="00FD0E1B" w:rsidRPr="006F7285">
        <w:rPr>
          <w:sz w:val="26"/>
          <w:szCs w:val="26"/>
        </w:rPr>
        <w:t xml:space="preserve"> tariff supplement </w:t>
      </w:r>
      <w:r w:rsidR="00EF0E6E">
        <w:rPr>
          <w:sz w:val="26"/>
          <w:szCs w:val="26"/>
        </w:rPr>
        <w:t>reflecting th</w:t>
      </w:r>
      <w:r w:rsidR="00D8557A">
        <w:rPr>
          <w:sz w:val="26"/>
          <w:szCs w:val="26"/>
        </w:rPr>
        <w:t>e rates and tariff changes agreed to by the Joint Petitioners.  Appendix B is a proof of revenues statement reflecting the rates agreed to by the Joint Petitioners.</w:t>
      </w:r>
    </w:p>
    <w:p w:rsidR="000F1513" w:rsidRPr="0098381A" w:rsidRDefault="000F1513" w:rsidP="009E1963">
      <w:pPr>
        <w:spacing w:line="360" w:lineRule="auto"/>
        <w:rPr>
          <w:sz w:val="26"/>
          <w:szCs w:val="26"/>
        </w:rPr>
      </w:pPr>
    </w:p>
    <w:p w:rsidR="00922C0C" w:rsidRPr="0098381A" w:rsidRDefault="009E1963" w:rsidP="009E1963">
      <w:pPr>
        <w:spacing w:line="360" w:lineRule="auto"/>
        <w:rPr>
          <w:sz w:val="26"/>
          <w:szCs w:val="26"/>
        </w:rPr>
      </w:pPr>
      <w:r w:rsidRPr="0098381A">
        <w:rPr>
          <w:sz w:val="26"/>
          <w:szCs w:val="26"/>
        </w:rPr>
        <w:tab/>
      </w:r>
      <w:r w:rsidRPr="0098381A">
        <w:rPr>
          <w:sz w:val="26"/>
          <w:szCs w:val="26"/>
        </w:rPr>
        <w:tab/>
      </w:r>
      <w:r w:rsidR="00271873" w:rsidRPr="0098381A">
        <w:rPr>
          <w:sz w:val="26"/>
          <w:szCs w:val="26"/>
        </w:rPr>
        <w:t>The s</w:t>
      </w:r>
      <w:r w:rsidR="000F1513" w:rsidRPr="0098381A">
        <w:rPr>
          <w:sz w:val="26"/>
          <w:szCs w:val="26"/>
        </w:rPr>
        <w:t>ubstan</w:t>
      </w:r>
      <w:r w:rsidRPr="0098381A">
        <w:rPr>
          <w:sz w:val="26"/>
          <w:szCs w:val="26"/>
        </w:rPr>
        <w:t xml:space="preserve">tive terms of the Settlement </w:t>
      </w:r>
      <w:r w:rsidR="00271873" w:rsidRPr="0098381A">
        <w:rPr>
          <w:sz w:val="26"/>
          <w:szCs w:val="26"/>
        </w:rPr>
        <w:t>are</w:t>
      </w:r>
      <w:r w:rsidR="000F1513" w:rsidRPr="0098381A">
        <w:rPr>
          <w:sz w:val="26"/>
          <w:szCs w:val="26"/>
        </w:rPr>
        <w:t xml:space="preserve"> set forth</w:t>
      </w:r>
      <w:r w:rsidR="00271873" w:rsidRPr="0098381A">
        <w:rPr>
          <w:sz w:val="26"/>
          <w:szCs w:val="26"/>
        </w:rPr>
        <w:t xml:space="preserve"> in</w:t>
      </w:r>
      <w:r w:rsidR="00E8193A">
        <w:rPr>
          <w:sz w:val="26"/>
          <w:szCs w:val="26"/>
        </w:rPr>
        <w:t xml:space="preserve"> P</w:t>
      </w:r>
      <w:r w:rsidR="009D5B7C" w:rsidRPr="0098381A">
        <w:rPr>
          <w:sz w:val="26"/>
          <w:szCs w:val="26"/>
        </w:rPr>
        <w:t>aragraph</w:t>
      </w:r>
      <w:r w:rsidR="004F3E3D">
        <w:rPr>
          <w:sz w:val="26"/>
          <w:szCs w:val="26"/>
        </w:rPr>
        <w:t>s</w:t>
      </w:r>
      <w:r w:rsidR="00E8193A">
        <w:rPr>
          <w:sz w:val="26"/>
          <w:szCs w:val="26"/>
        </w:rPr>
        <w:t xml:space="preserve"> 19 through 55</w:t>
      </w:r>
      <w:r w:rsidR="009D5B7C" w:rsidRPr="0098381A">
        <w:rPr>
          <w:sz w:val="26"/>
          <w:szCs w:val="26"/>
        </w:rPr>
        <w:t xml:space="preserve"> </w:t>
      </w:r>
      <w:r w:rsidR="00922C0C" w:rsidRPr="0098381A">
        <w:rPr>
          <w:sz w:val="26"/>
          <w:szCs w:val="26"/>
        </w:rPr>
        <w:t>of the Joint Petition</w:t>
      </w:r>
      <w:r w:rsidR="00271873" w:rsidRPr="0098381A">
        <w:rPr>
          <w:sz w:val="26"/>
          <w:szCs w:val="26"/>
        </w:rPr>
        <w:t xml:space="preserve">, </w:t>
      </w:r>
      <w:r w:rsidR="00332E29">
        <w:rPr>
          <w:sz w:val="26"/>
          <w:szCs w:val="26"/>
        </w:rPr>
        <w:t xml:space="preserve">and are repeated verbatim below </w:t>
      </w:r>
      <w:r w:rsidR="00271873" w:rsidRPr="0098381A">
        <w:rPr>
          <w:sz w:val="26"/>
          <w:szCs w:val="26"/>
        </w:rPr>
        <w:t>as follows:</w:t>
      </w:r>
    </w:p>
    <w:p w:rsidR="004868F8" w:rsidRPr="008A7BAF" w:rsidRDefault="004868F8" w:rsidP="00520516">
      <w:pPr>
        <w:spacing w:line="360" w:lineRule="auto"/>
        <w:rPr>
          <w:sz w:val="26"/>
          <w:szCs w:val="26"/>
        </w:rPr>
      </w:pPr>
    </w:p>
    <w:p w:rsidR="008A7BAF" w:rsidRPr="008A7BAF" w:rsidRDefault="008A7BAF" w:rsidP="008A7BAF">
      <w:pPr>
        <w:ind w:left="1440" w:right="1440"/>
        <w:rPr>
          <w:b/>
          <w:bCs/>
          <w:iCs/>
          <w:sz w:val="26"/>
          <w:szCs w:val="26"/>
        </w:rPr>
      </w:pPr>
      <w:r w:rsidRPr="008A7BAF">
        <w:rPr>
          <w:b/>
          <w:bCs/>
          <w:iCs/>
          <w:sz w:val="26"/>
          <w:szCs w:val="26"/>
        </w:rPr>
        <w:t>A.</w:t>
      </w:r>
      <w:r w:rsidRPr="008A7BAF">
        <w:rPr>
          <w:b/>
          <w:bCs/>
          <w:iCs/>
          <w:sz w:val="26"/>
          <w:szCs w:val="26"/>
        </w:rPr>
        <w:tab/>
        <w:t>GENERAL</w:t>
      </w:r>
    </w:p>
    <w:p w:rsidR="008A7BAF" w:rsidRPr="008A7BAF" w:rsidRDefault="008A7BAF" w:rsidP="008A7BAF">
      <w:pPr>
        <w:ind w:left="1440" w:right="1440"/>
        <w:rPr>
          <w:bCs/>
          <w:iCs/>
          <w:sz w:val="26"/>
          <w:szCs w:val="26"/>
        </w:rPr>
      </w:pPr>
    </w:p>
    <w:p w:rsidR="008A7BAF" w:rsidRPr="008A7BAF" w:rsidRDefault="008A7BAF" w:rsidP="008A7BAF">
      <w:pPr>
        <w:ind w:left="1440" w:right="1440"/>
        <w:rPr>
          <w:sz w:val="26"/>
          <w:szCs w:val="26"/>
        </w:rPr>
      </w:pPr>
      <w:r w:rsidRPr="008A7BAF">
        <w:rPr>
          <w:sz w:val="26"/>
          <w:szCs w:val="26"/>
        </w:rPr>
        <w:tab/>
        <w:t>19.</w:t>
      </w:r>
      <w:r w:rsidRPr="008A7BAF">
        <w:rPr>
          <w:sz w:val="26"/>
          <w:szCs w:val="26"/>
        </w:rPr>
        <w:tab/>
        <w:t xml:space="preserve">The following terms of this Settlement reflect a carefully balanced compromise of the interests of all of the active parties in this proceeding.  The Joint Petitioners unanimously agree that the Settlement is in the public interest.  </w:t>
      </w:r>
    </w:p>
    <w:p w:rsidR="008A7BAF" w:rsidRPr="008A7BAF" w:rsidRDefault="008A7BAF" w:rsidP="008A7BAF">
      <w:pPr>
        <w:ind w:left="1440" w:right="1440"/>
        <w:rPr>
          <w:sz w:val="26"/>
          <w:szCs w:val="26"/>
        </w:rPr>
      </w:pPr>
    </w:p>
    <w:p w:rsidR="008A7BAF" w:rsidRPr="008A7BAF" w:rsidRDefault="008A7BAF" w:rsidP="008A7BAF">
      <w:pPr>
        <w:ind w:left="1440" w:right="1440"/>
        <w:rPr>
          <w:sz w:val="26"/>
          <w:szCs w:val="26"/>
        </w:rPr>
      </w:pPr>
      <w:r w:rsidRPr="008A7BAF">
        <w:rPr>
          <w:sz w:val="26"/>
          <w:szCs w:val="26"/>
        </w:rPr>
        <w:tab/>
        <w:t>20.</w:t>
      </w:r>
      <w:r w:rsidRPr="008A7BAF">
        <w:rPr>
          <w:sz w:val="26"/>
          <w:szCs w:val="26"/>
        </w:rPr>
        <w:tab/>
        <w:t>The Joint Petitioners unanimously agree that PPL Electric</w:t>
      </w:r>
      <w:r w:rsidR="00EE6F5E">
        <w:rPr>
          <w:sz w:val="26"/>
          <w:szCs w:val="26"/>
        </w:rPr>
        <w:t>’</w:t>
      </w:r>
      <w:r w:rsidRPr="008A7BAF">
        <w:rPr>
          <w:sz w:val="26"/>
          <w:szCs w:val="26"/>
        </w:rPr>
        <w:t xml:space="preserve">s March 31, 2015 distribution base rate increase filing will be approved, including those tariff changes included in and specifically identified in Appendix A attached hereto, subject to the terms and conditions of this Settlement specified below: </w:t>
      </w:r>
    </w:p>
    <w:p w:rsidR="008A7BAF" w:rsidRPr="00FF5E61" w:rsidRDefault="008A7BAF" w:rsidP="00FF5E61">
      <w:pPr>
        <w:ind w:left="1440" w:right="1440"/>
        <w:rPr>
          <w:b/>
          <w:sz w:val="26"/>
          <w:szCs w:val="26"/>
        </w:rPr>
      </w:pPr>
    </w:p>
    <w:p w:rsidR="00FF5E61" w:rsidRPr="00FF5E61" w:rsidRDefault="00FF5E61" w:rsidP="00FF5E61">
      <w:pPr>
        <w:ind w:left="1440" w:right="1440"/>
        <w:rPr>
          <w:b/>
          <w:bCs/>
          <w:iCs/>
          <w:sz w:val="26"/>
          <w:szCs w:val="26"/>
        </w:rPr>
      </w:pPr>
      <w:r w:rsidRPr="00FF5E61">
        <w:rPr>
          <w:b/>
          <w:bCs/>
          <w:iCs/>
          <w:sz w:val="26"/>
          <w:szCs w:val="26"/>
        </w:rPr>
        <w:t>B.</w:t>
      </w:r>
      <w:r w:rsidRPr="00FF5E61">
        <w:rPr>
          <w:b/>
          <w:bCs/>
          <w:iCs/>
          <w:sz w:val="26"/>
          <w:szCs w:val="26"/>
        </w:rPr>
        <w:tab/>
        <w:t>REVENUE REQUIREMENT</w:t>
      </w:r>
    </w:p>
    <w:p w:rsidR="00FF5E61" w:rsidRPr="00FF5E61" w:rsidRDefault="00FF5E61" w:rsidP="00FF5E61">
      <w:pPr>
        <w:ind w:left="1440" w:right="1440"/>
        <w:rPr>
          <w:sz w:val="26"/>
          <w:szCs w:val="26"/>
        </w:rPr>
      </w:pPr>
    </w:p>
    <w:p w:rsidR="00FF5E61" w:rsidRPr="00FF5E61" w:rsidRDefault="00FF5E61" w:rsidP="00FF5E61">
      <w:pPr>
        <w:ind w:left="1440" w:right="1440"/>
        <w:rPr>
          <w:sz w:val="26"/>
          <w:szCs w:val="26"/>
        </w:rPr>
      </w:pPr>
      <w:r w:rsidRPr="00FF5E61">
        <w:rPr>
          <w:sz w:val="26"/>
          <w:szCs w:val="26"/>
        </w:rPr>
        <w:tab/>
        <w:t>21.</w:t>
      </w:r>
      <w:r w:rsidRPr="00FF5E61">
        <w:rPr>
          <w:sz w:val="26"/>
          <w:szCs w:val="26"/>
        </w:rPr>
        <w:tab/>
        <w:t>PPL Electric will be permitted to submit a revised Supplement to PPL Electric</w:t>
      </w:r>
      <w:r w:rsidR="00EE6F5E">
        <w:rPr>
          <w:sz w:val="26"/>
          <w:szCs w:val="26"/>
        </w:rPr>
        <w:t>’</w:t>
      </w:r>
      <w:r w:rsidRPr="00FF5E61">
        <w:rPr>
          <w:sz w:val="26"/>
          <w:szCs w:val="26"/>
        </w:rPr>
        <w:t xml:space="preserve">s Tariff – Electric Pa. P.U.C. No. 201 designed to produce an annual distribution rate revenue increase of $124 million, to become effective for service rendered on and after January 1, 2016.  The increase in annual operating revenue is in lieu of the as filed net increase of approximately $167.5 million.  The settlement as to revenue requirement shall be a “black box” settlement, except for the following items:  (1) the $14,700,000 for </w:t>
      </w:r>
      <w:r w:rsidRPr="00FF5E61">
        <w:rPr>
          <w:sz w:val="26"/>
          <w:szCs w:val="26"/>
        </w:rPr>
        <w:lastRenderedPageBreak/>
        <w:t>reportable storm damage expenses; (2) the roll-in of the DSIC capital investment and associated depreciation and tax effects in base rates per the Company</w:t>
      </w:r>
      <w:r w:rsidR="00EE6F5E">
        <w:rPr>
          <w:sz w:val="26"/>
          <w:szCs w:val="26"/>
        </w:rPr>
        <w:t>’</w:t>
      </w:r>
      <w:r w:rsidRPr="00FF5E61">
        <w:rPr>
          <w:sz w:val="26"/>
          <w:szCs w:val="26"/>
        </w:rPr>
        <w:t>s proposal; (3) as provided in I&amp;E Statement No. 2, the 2011 amortized storm expense of $5,324,000 will be included in the base rate component of the Storm Damage Expense Rider (“SDER”) beginning January</w:t>
      </w:r>
      <w:r w:rsidR="00332E29">
        <w:rPr>
          <w:sz w:val="26"/>
          <w:szCs w:val="26"/>
        </w:rPr>
        <w:t> </w:t>
      </w:r>
      <w:r w:rsidRPr="00FF5E61">
        <w:rPr>
          <w:sz w:val="26"/>
          <w:szCs w:val="26"/>
        </w:rPr>
        <w:t>1, 2018, as specified below; and (4) the return on equity (“ROE”) for purposes of the DSIC and Smart Meter Rider (“SMR”) will be the ROE for the DSIC set forth in the Commission</w:t>
      </w:r>
      <w:r w:rsidR="00EE6F5E">
        <w:rPr>
          <w:sz w:val="26"/>
          <w:szCs w:val="26"/>
        </w:rPr>
        <w:t>’</w:t>
      </w:r>
      <w:r w:rsidRPr="00FF5E61">
        <w:rPr>
          <w:sz w:val="26"/>
          <w:szCs w:val="26"/>
        </w:rPr>
        <w:t>s Report on the Quarterly Earnings of Jurisdictional Utilities.</w:t>
      </w:r>
    </w:p>
    <w:p w:rsidR="00FF5E61" w:rsidRPr="00FF5E61" w:rsidRDefault="00FF5E61" w:rsidP="00FF5E61">
      <w:pPr>
        <w:ind w:left="1440" w:right="1440"/>
        <w:rPr>
          <w:sz w:val="26"/>
          <w:szCs w:val="26"/>
        </w:rPr>
      </w:pPr>
    </w:p>
    <w:p w:rsidR="00FF5E61" w:rsidRPr="00FF5E61" w:rsidRDefault="00FF5E61" w:rsidP="00FF5E61">
      <w:pPr>
        <w:ind w:left="1440" w:right="1440"/>
        <w:rPr>
          <w:sz w:val="26"/>
          <w:szCs w:val="26"/>
        </w:rPr>
      </w:pPr>
      <w:r w:rsidRPr="00FF5E61">
        <w:rPr>
          <w:sz w:val="26"/>
          <w:szCs w:val="26"/>
        </w:rPr>
        <w:tab/>
        <w:t>22.</w:t>
      </w:r>
      <w:r w:rsidRPr="00FF5E61">
        <w:rPr>
          <w:sz w:val="26"/>
          <w:szCs w:val="26"/>
        </w:rPr>
        <w:tab/>
        <w:t>As provided in I&amp;E Statement No. 3, on or before April 1, 2016, PPL Electric will provide the Commission</w:t>
      </w:r>
      <w:r w:rsidR="00EE6F5E">
        <w:rPr>
          <w:sz w:val="26"/>
          <w:szCs w:val="26"/>
        </w:rPr>
        <w:t>’</w:t>
      </w:r>
      <w:r w:rsidRPr="00FF5E61">
        <w:rPr>
          <w:sz w:val="26"/>
          <w:szCs w:val="26"/>
        </w:rPr>
        <w:t>s Bureau of Technical Utility Services (“TUS”), I&amp;E, OCA, and OSBA an update to PPL Electric Exhibits JJS-2 and JJS-3, which will include actual capital expenditures, plant additions, and retirements by month for the twelve months ending December 31, 2015.  On or before April 1, 2017, PPL Electric will update Exhibits JJS-2 and JJS-3 filed in this proceeding for the twelve months ending December 31, 2016.  In PPL Electric</w:t>
      </w:r>
      <w:r w:rsidR="00EE6F5E">
        <w:rPr>
          <w:sz w:val="26"/>
          <w:szCs w:val="26"/>
        </w:rPr>
        <w:t>’</w:t>
      </w:r>
      <w:r w:rsidRPr="00FF5E61">
        <w:rPr>
          <w:sz w:val="26"/>
          <w:szCs w:val="26"/>
        </w:rPr>
        <w:t>s next base rate proceeding, the Company will prepare a comparison of its actual expenses and rate base additions for the twelve months ended December 31, 2016 to its projections in this case.  However, it is recognized that this is a black box settlement that is a compromise of the parties</w:t>
      </w:r>
      <w:r w:rsidR="00EE6F5E">
        <w:rPr>
          <w:sz w:val="26"/>
          <w:szCs w:val="26"/>
        </w:rPr>
        <w:t>’</w:t>
      </w:r>
      <w:r w:rsidRPr="00FF5E61">
        <w:rPr>
          <w:sz w:val="26"/>
          <w:szCs w:val="26"/>
        </w:rPr>
        <w:t xml:space="preserve"> positions on various issues.</w:t>
      </w:r>
      <w:r w:rsidR="003F7D02">
        <w:rPr>
          <w:sz w:val="26"/>
          <w:szCs w:val="26"/>
        </w:rPr>
        <w:t xml:space="preserve"> </w:t>
      </w:r>
    </w:p>
    <w:p w:rsidR="00FF5E61" w:rsidRPr="00FF5E61" w:rsidRDefault="00FF5E61" w:rsidP="00FF5E61">
      <w:pPr>
        <w:ind w:left="1440" w:right="1440"/>
        <w:rPr>
          <w:sz w:val="26"/>
          <w:szCs w:val="26"/>
        </w:rPr>
      </w:pPr>
    </w:p>
    <w:p w:rsidR="001D3C94" w:rsidRPr="00133601" w:rsidRDefault="001D3C94" w:rsidP="0070739E">
      <w:pPr>
        <w:keepNext/>
        <w:ind w:left="1440" w:right="1440"/>
        <w:rPr>
          <w:b/>
          <w:bCs/>
          <w:iCs/>
          <w:sz w:val="26"/>
          <w:szCs w:val="26"/>
        </w:rPr>
      </w:pPr>
      <w:r w:rsidRPr="00133601">
        <w:rPr>
          <w:b/>
          <w:bCs/>
          <w:iCs/>
          <w:sz w:val="26"/>
          <w:szCs w:val="26"/>
        </w:rPr>
        <w:lastRenderedPageBreak/>
        <w:t>C.</w:t>
      </w:r>
      <w:r w:rsidRPr="00133601">
        <w:rPr>
          <w:b/>
          <w:bCs/>
          <w:iCs/>
          <w:sz w:val="26"/>
          <w:szCs w:val="26"/>
        </w:rPr>
        <w:tab/>
        <w:t>REVENUE ALLOCATION</w:t>
      </w:r>
    </w:p>
    <w:p w:rsidR="001D3C94" w:rsidRPr="001D3C94" w:rsidRDefault="001D3C94" w:rsidP="0070739E">
      <w:pPr>
        <w:keepNext/>
        <w:ind w:left="1440" w:right="1440"/>
        <w:rPr>
          <w:bCs/>
          <w:iCs/>
          <w:sz w:val="26"/>
          <w:szCs w:val="26"/>
        </w:rPr>
      </w:pPr>
    </w:p>
    <w:p w:rsidR="001D3C94" w:rsidRPr="001D3C94" w:rsidRDefault="001D3C94" w:rsidP="0070739E">
      <w:pPr>
        <w:keepNext/>
        <w:ind w:left="1440" w:right="1440"/>
        <w:rPr>
          <w:sz w:val="26"/>
          <w:szCs w:val="26"/>
        </w:rPr>
      </w:pPr>
      <w:r w:rsidRPr="001D3C94">
        <w:rPr>
          <w:sz w:val="26"/>
          <w:szCs w:val="26"/>
        </w:rPr>
        <w:tab/>
        <w:t>23.</w:t>
      </w:r>
      <w:r w:rsidRPr="001D3C94">
        <w:rPr>
          <w:sz w:val="26"/>
          <w:szCs w:val="26"/>
        </w:rPr>
        <w:tab/>
        <w:t>The Joint Petitioners agree or do not oppose the following revenue allocation:</w:t>
      </w:r>
      <w:r w:rsidR="001116B0">
        <w:rPr>
          <w:rStyle w:val="FootnoteReference"/>
          <w:sz w:val="26"/>
          <w:szCs w:val="26"/>
        </w:rPr>
        <w:footnoteReference w:id="6"/>
      </w:r>
    </w:p>
    <w:p w:rsidR="001D3C94" w:rsidRPr="001D3C94" w:rsidRDefault="001D3C94" w:rsidP="0070739E">
      <w:pPr>
        <w:keepNext/>
        <w:ind w:left="1440" w:right="1440"/>
        <w:rPr>
          <w:sz w:val="26"/>
          <w:szCs w:val="26"/>
        </w:rPr>
      </w:pPr>
    </w:p>
    <w:tbl>
      <w:tblPr>
        <w:tblStyle w:val="TableGrid"/>
        <w:tblW w:w="684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510"/>
      </w:tblGrid>
      <w:tr w:rsidR="003D0039" w:rsidRPr="00890DD2" w:rsidTr="003D0039">
        <w:tc>
          <w:tcPr>
            <w:tcW w:w="3330" w:type="dxa"/>
          </w:tcPr>
          <w:p w:rsidR="003D0039" w:rsidRPr="00890DD2" w:rsidRDefault="003D0039" w:rsidP="0070739E">
            <w:pPr>
              <w:pStyle w:val="FootnoteText"/>
              <w:keepNext/>
              <w:rPr>
                <w:sz w:val="26"/>
                <w:szCs w:val="26"/>
                <w:u w:val="single"/>
              </w:rPr>
            </w:pPr>
            <w:r w:rsidRPr="00890DD2">
              <w:rPr>
                <w:sz w:val="26"/>
                <w:szCs w:val="26"/>
                <w:u w:val="single"/>
              </w:rPr>
              <w:t>Rate Schedule</w:t>
            </w:r>
          </w:p>
        </w:tc>
        <w:tc>
          <w:tcPr>
            <w:tcW w:w="3510" w:type="dxa"/>
          </w:tcPr>
          <w:p w:rsidR="003D0039" w:rsidRPr="00890DD2" w:rsidRDefault="003D0039" w:rsidP="0070739E">
            <w:pPr>
              <w:pStyle w:val="FootnoteText"/>
              <w:keepNext/>
              <w:rPr>
                <w:sz w:val="26"/>
                <w:szCs w:val="26"/>
                <w:u w:val="single"/>
              </w:rPr>
            </w:pPr>
            <w:r w:rsidRPr="00890DD2">
              <w:rPr>
                <w:sz w:val="26"/>
                <w:szCs w:val="26"/>
                <w:u w:val="single"/>
              </w:rPr>
              <w:t>Revenue Allocation (thousands)</w:t>
            </w:r>
          </w:p>
        </w:tc>
      </w:tr>
      <w:tr w:rsidR="003D0039" w:rsidRPr="00890DD2" w:rsidTr="003D0039">
        <w:tc>
          <w:tcPr>
            <w:tcW w:w="3330" w:type="dxa"/>
          </w:tcPr>
          <w:p w:rsidR="003D0039" w:rsidRPr="00890DD2" w:rsidRDefault="003D0039" w:rsidP="0070739E">
            <w:pPr>
              <w:pStyle w:val="FootnoteText"/>
              <w:keepNext/>
              <w:rPr>
                <w:sz w:val="26"/>
                <w:szCs w:val="26"/>
              </w:rPr>
            </w:pPr>
            <w:r w:rsidRPr="00890DD2">
              <w:rPr>
                <w:sz w:val="26"/>
                <w:szCs w:val="26"/>
              </w:rPr>
              <w:t>RS</w:t>
            </w:r>
          </w:p>
        </w:tc>
        <w:tc>
          <w:tcPr>
            <w:tcW w:w="3510" w:type="dxa"/>
          </w:tcPr>
          <w:p w:rsidR="003D0039" w:rsidRPr="00890DD2" w:rsidRDefault="003D0039" w:rsidP="0070739E">
            <w:pPr>
              <w:pStyle w:val="FootnoteText"/>
              <w:keepNext/>
              <w:rPr>
                <w:sz w:val="26"/>
                <w:szCs w:val="26"/>
              </w:rPr>
            </w:pPr>
            <w:r w:rsidRPr="00890DD2">
              <w:rPr>
                <w:sz w:val="26"/>
                <w:szCs w:val="26"/>
              </w:rPr>
              <w:t>$110,875</w:t>
            </w:r>
          </w:p>
        </w:tc>
      </w:tr>
      <w:tr w:rsidR="003D0039" w:rsidRPr="00890DD2" w:rsidTr="003D0039">
        <w:tc>
          <w:tcPr>
            <w:tcW w:w="3330" w:type="dxa"/>
          </w:tcPr>
          <w:p w:rsidR="003D0039" w:rsidRPr="00890DD2" w:rsidRDefault="003D0039" w:rsidP="0070739E">
            <w:pPr>
              <w:pStyle w:val="FootnoteText"/>
              <w:keepNext/>
              <w:rPr>
                <w:sz w:val="26"/>
                <w:szCs w:val="26"/>
              </w:rPr>
            </w:pPr>
            <w:r w:rsidRPr="00890DD2">
              <w:rPr>
                <w:sz w:val="26"/>
                <w:szCs w:val="26"/>
              </w:rPr>
              <w:t>RTS</w:t>
            </w:r>
          </w:p>
        </w:tc>
        <w:tc>
          <w:tcPr>
            <w:tcW w:w="3510" w:type="dxa"/>
          </w:tcPr>
          <w:p w:rsidR="003D0039" w:rsidRPr="00890DD2" w:rsidRDefault="003D0039" w:rsidP="0070739E">
            <w:pPr>
              <w:pStyle w:val="FootnoteText"/>
              <w:keepNext/>
              <w:rPr>
                <w:sz w:val="26"/>
                <w:szCs w:val="26"/>
              </w:rPr>
            </w:pPr>
            <w:r w:rsidRPr="00890DD2">
              <w:rPr>
                <w:sz w:val="26"/>
                <w:szCs w:val="26"/>
              </w:rPr>
              <w:t>$1,800</w:t>
            </w:r>
          </w:p>
        </w:tc>
      </w:tr>
      <w:tr w:rsidR="003D0039" w:rsidRPr="00890DD2" w:rsidTr="003D0039">
        <w:tc>
          <w:tcPr>
            <w:tcW w:w="3330" w:type="dxa"/>
          </w:tcPr>
          <w:p w:rsidR="003D0039" w:rsidRPr="00890DD2" w:rsidRDefault="003D0039" w:rsidP="0070739E">
            <w:pPr>
              <w:pStyle w:val="FootnoteText"/>
              <w:keepNext/>
              <w:rPr>
                <w:sz w:val="26"/>
                <w:szCs w:val="26"/>
              </w:rPr>
            </w:pPr>
            <w:r w:rsidRPr="00890DD2">
              <w:rPr>
                <w:sz w:val="26"/>
                <w:szCs w:val="26"/>
              </w:rPr>
              <w:t>GS-1</w:t>
            </w:r>
          </w:p>
        </w:tc>
        <w:tc>
          <w:tcPr>
            <w:tcW w:w="3510" w:type="dxa"/>
          </w:tcPr>
          <w:p w:rsidR="003D0039" w:rsidRPr="00890DD2" w:rsidRDefault="003D0039" w:rsidP="0070739E">
            <w:pPr>
              <w:pStyle w:val="FootnoteText"/>
              <w:keepNext/>
              <w:rPr>
                <w:sz w:val="26"/>
                <w:szCs w:val="26"/>
              </w:rPr>
            </w:pPr>
            <w:r w:rsidRPr="00890DD2">
              <w:rPr>
                <w:sz w:val="26"/>
                <w:szCs w:val="26"/>
              </w:rPr>
              <w:t>$9,745</w:t>
            </w:r>
          </w:p>
        </w:tc>
      </w:tr>
      <w:tr w:rsidR="003D0039" w:rsidRPr="00890DD2" w:rsidTr="003D0039">
        <w:tc>
          <w:tcPr>
            <w:tcW w:w="3330" w:type="dxa"/>
          </w:tcPr>
          <w:p w:rsidR="003D0039" w:rsidRPr="00890DD2" w:rsidRDefault="003D0039" w:rsidP="0070739E">
            <w:pPr>
              <w:pStyle w:val="FootnoteText"/>
              <w:keepNext/>
              <w:rPr>
                <w:sz w:val="26"/>
                <w:szCs w:val="26"/>
              </w:rPr>
            </w:pPr>
            <w:r w:rsidRPr="00890DD2">
              <w:rPr>
                <w:sz w:val="26"/>
                <w:szCs w:val="26"/>
              </w:rPr>
              <w:t>GS-3</w:t>
            </w:r>
          </w:p>
        </w:tc>
        <w:tc>
          <w:tcPr>
            <w:tcW w:w="3510" w:type="dxa"/>
          </w:tcPr>
          <w:p w:rsidR="003D0039" w:rsidRPr="00890DD2" w:rsidRDefault="003D0039" w:rsidP="0070739E">
            <w:pPr>
              <w:pStyle w:val="FootnoteText"/>
              <w:keepNext/>
              <w:rPr>
                <w:sz w:val="26"/>
                <w:szCs w:val="26"/>
              </w:rPr>
            </w:pPr>
            <w:r w:rsidRPr="00890DD2">
              <w:rPr>
                <w:sz w:val="26"/>
                <w:szCs w:val="26"/>
              </w:rPr>
              <w:t>$(3,200)</w:t>
            </w:r>
          </w:p>
        </w:tc>
      </w:tr>
      <w:tr w:rsidR="003D0039" w:rsidRPr="00890DD2" w:rsidTr="003D0039">
        <w:tc>
          <w:tcPr>
            <w:tcW w:w="3330" w:type="dxa"/>
          </w:tcPr>
          <w:p w:rsidR="003D0039" w:rsidRPr="00890DD2" w:rsidRDefault="003D0039" w:rsidP="0070739E">
            <w:pPr>
              <w:pStyle w:val="FootnoteText"/>
              <w:keepNext/>
              <w:rPr>
                <w:sz w:val="26"/>
                <w:szCs w:val="26"/>
              </w:rPr>
            </w:pPr>
            <w:r w:rsidRPr="00890DD2">
              <w:rPr>
                <w:sz w:val="26"/>
                <w:szCs w:val="26"/>
              </w:rPr>
              <w:t>LP-4</w:t>
            </w:r>
          </w:p>
        </w:tc>
        <w:tc>
          <w:tcPr>
            <w:tcW w:w="3510" w:type="dxa"/>
          </w:tcPr>
          <w:p w:rsidR="003D0039" w:rsidRPr="00890DD2" w:rsidRDefault="003D0039" w:rsidP="0070739E">
            <w:pPr>
              <w:pStyle w:val="FootnoteText"/>
              <w:keepNext/>
              <w:rPr>
                <w:sz w:val="26"/>
                <w:szCs w:val="26"/>
              </w:rPr>
            </w:pPr>
            <w:r w:rsidRPr="00890DD2">
              <w:rPr>
                <w:sz w:val="26"/>
                <w:szCs w:val="26"/>
              </w:rPr>
              <w:t>$3,900</w:t>
            </w:r>
          </w:p>
        </w:tc>
      </w:tr>
      <w:tr w:rsidR="003D0039" w:rsidRPr="00890DD2" w:rsidTr="003D0039">
        <w:tc>
          <w:tcPr>
            <w:tcW w:w="3330" w:type="dxa"/>
          </w:tcPr>
          <w:p w:rsidR="003D0039" w:rsidRPr="00890DD2" w:rsidRDefault="003D0039" w:rsidP="0070739E">
            <w:pPr>
              <w:pStyle w:val="FootnoteText"/>
              <w:keepNext/>
              <w:rPr>
                <w:sz w:val="26"/>
                <w:szCs w:val="26"/>
              </w:rPr>
            </w:pPr>
            <w:r w:rsidRPr="00890DD2">
              <w:rPr>
                <w:sz w:val="26"/>
                <w:szCs w:val="26"/>
              </w:rPr>
              <w:t>LP-5</w:t>
            </w:r>
          </w:p>
        </w:tc>
        <w:tc>
          <w:tcPr>
            <w:tcW w:w="3510" w:type="dxa"/>
          </w:tcPr>
          <w:p w:rsidR="003D0039" w:rsidRPr="00890DD2" w:rsidRDefault="003D0039" w:rsidP="0070739E">
            <w:pPr>
              <w:pStyle w:val="FootnoteText"/>
              <w:keepNext/>
              <w:rPr>
                <w:sz w:val="26"/>
                <w:szCs w:val="26"/>
              </w:rPr>
            </w:pPr>
            <w:r w:rsidRPr="00890DD2">
              <w:rPr>
                <w:sz w:val="26"/>
                <w:szCs w:val="26"/>
              </w:rPr>
              <w:t>$(750)</w:t>
            </w:r>
          </w:p>
        </w:tc>
      </w:tr>
      <w:tr w:rsidR="003D0039" w:rsidRPr="00890DD2" w:rsidTr="003D0039">
        <w:tc>
          <w:tcPr>
            <w:tcW w:w="3330" w:type="dxa"/>
          </w:tcPr>
          <w:p w:rsidR="003D0039" w:rsidRPr="00890DD2" w:rsidRDefault="003D0039" w:rsidP="0070739E">
            <w:pPr>
              <w:pStyle w:val="FootnoteText"/>
              <w:keepNext/>
              <w:rPr>
                <w:sz w:val="26"/>
                <w:szCs w:val="26"/>
              </w:rPr>
            </w:pPr>
            <w:r w:rsidRPr="00890DD2">
              <w:rPr>
                <w:sz w:val="26"/>
                <w:szCs w:val="26"/>
              </w:rPr>
              <w:t>LPEP</w:t>
            </w:r>
          </w:p>
        </w:tc>
        <w:tc>
          <w:tcPr>
            <w:tcW w:w="3510" w:type="dxa"/>
          </w:tcPr>
          <w:p w:rsidR="003D0039" w:rsidRPr="00890DD2" w:rsidRDefault="003D0039" w:rsidP="0070739E">
            <w:pPr>
              <w:pStyle w:val="FootnoteText"/>
              <w:keepNext/>
              <w:rPr>
                <w:sz w:val="26"/>
                <w:szCs w:val="26"/>
              </w:rPr>
            </w:pPr>
            <w:r w:rsidRPr="00890DD2">
              <w:rPr>
                <w:sz w:val="26"/>
                <w:szCs w:val="26"/>
              </w:rPr>
              <w:t>$1,071</w:t>
            </w:r>
          </w:p>
        </w:tc>
      </w:tr>
      <w:tr w:rsidR="003D0039" w:rsidRPr="00890DD2" w:rsidTr="003D0039">
        <w:tc>
          <w:tcPr>
            <w:tcW w:w="3330" w:type="dxa"/>
          </w:tcPr>
          <w:p w:rsidR="003D0039" w:rsidRPr="00890DD2" w:rsidRDefault="003D0039" w:rsidP="0070739E">
            <w:pPr>
              <w:pStyle w:val="FootnoteText"/>
              <w:keepNext/>
              <w:rPr>
                <w:sz w:val="26"/>
                <w:szCs w:val="26"/>
              </w:rPr>
            </w:pPr>
            <w:r w:rsidRPr="00890DD2">
              <w:rPr>
                <w:sz w:val="26"/>
                <w:szCs w:val="26"/>
              </w:rPr>
              <w:t>GH-2</w:t>
            </w:r>
          </w:p>
        </w:tc>
        <w:tc>
          <w:tcPr>
            <w:tcW w:w="3510" w:type="dxa"/>
          </w:tcPr>
          <w:p w:rsidR="003D0039" w:rsidRPr="00890DD2" w:rsidRDefault="003D0039" w:rsidP="0070739E">
            <w:pPr>
              <w:pStyle w:val="FootnoteText"/>
              <w:keepNext/>
              <w:rPr>
                <w:sz w:val="26"/>
                <w:szCs w:val="26"/>
              </w:rPr>
            </w:pPr>
            <w:r w:rsidRPr="00890DD2">
              <w:rPr>
                <w:sz w:val="26"/>
                <w:szCs w:val="26"/>
              </w:rPr>
              <w:t>$355</w:t>
            </w:r>
          </w:p>
        </w:tc>
      </w:tr>
      <w:tr w:rsidR="003D0039" w:rsidRPr="00890DD2" w:rsidTr="003D0039">
        <w:tc>
          <w:tcPr>
            <w:tcW w:w="3330" w:type="dxa"/>
            <w:tcBorders>
              <w:bottom w:val="single" w:sz="18" w:space="0" w:color="auto"/>
            </w:tcBorders>
          </w:tcPr>
          <w:p w:rsidR="003D0039" w:rsidRPr="00890DD2" w:rsidRDefault="003D0039" w:rsidP="0070739E">
            <w:pPr>
              <w:pStyle w:val="FootnoteText"/>
              <w:keepNext/>
              <w:rPr>
                <w:sz w:val="26"/>
                <w:szCs w:val="26"/>
              </w:rPr>
            </w:pPr>
            <w:r w:rsidRPr="00890DD2">
              <w:rPr>
                <w:sz w:val="26"/>
                <w:szCs w:val="26"/>
              </w:rPr>
              <w:t>SL/AL</w:t>
            </w:r>
          </w:p>
        </w:tc>
        <w:tc>
          <w:tcPr>
            <w:tcW w:w="3510" w:type="dxa"/>
            <w:tcBorders>
              <w:bottom w:val="single" w:sz="18" w:space="0" w:color="auto"/>
            </w:tcBorders>
          </w:tcPr>
          <w:p w:rsidR="003D0039" w:rsidRPr="00890DD2" w:rsidRDefault="003D0039" w:rsidP="0070739E">
            <w:pPr>
              <w:pStyle w:val="FootnoteText"/>
              <w:keepNext/>
              <w:rPr>
                <w:sz w:val="26"/>
                <w:szCs w:val="26"/>
              </w:rPr>
            </w:pPr>
            <w:r w:rsidRPr="00890DD2">
              <w:rPr>
                <w:sz w:val="26"/>
                <w:szCs w:val="26"/>
              </w:rPr>
              <w:t>$204</w:t>
            </w:r>
          </w:p>
        </w:tc>
      </w:tr>
      <w:tr w:rsidR="003D0039" w:rsidRPr="00890DD2" w:rsidTr="003D0039">
        <w:tc>
          <w:tcPr>
            <w:tcW w:w="3330" w:type="dxa"/>
            <w:tcBorders>
              <w:top w:val="single" w:sz="18" w:space="0" w:color="auto"/>
            </w:tcBorders>
          </w:tcPr>
          <w:p w:rsidR="003D0039" w:rsidRPr="00890DD2" w:rsidRDefault="003D0039" w:rsidP="0070739E">
            <w:pPr>
              <w:pStyle w:val="FootnoteText"/>
              <w:keepNext/>
              <w:rPr>
                <w:sz w:val="26"/>
                <w:szCs w:val="26"/>
              </w:rPr>
            </w:pPr>
            <w:r>
              <w:rPr>
                <w:sz w:val="26"/>
                <w:szCs w:val="26"/>
              </w:rPr>
              <w:t>Total</w:t>
            </w:r>
          </w:p>
        </w:tc>
        <w:tc>
          <w:tcPr>
            <w:tcW w:w="3510" w:type="dxa"/>
            <w:tcBorders>
              <w:top w:val="single" w:sz="18" w:space="0" w:color="auto"/>
            </w:tcBorders>
          </w:tcPr>
          <w:p w:rsidR="003D0039" w:rsidRPr="00890DD2" w:rsidRDefault="003D0039" w:rsidP="0070739E">
            <w:pPr>
              <w:pStyle w:val="FootnoteText"/>
              <w:keepNext/>
              <w:rPr>
                <w:sz w:val="26"/>
                <w:szCs w:val="26"/>
              </w:rPr>
            </w:pPr>
            <w:r>
              <w:rPr>
                <w:sz w:val="26"/>
                <w:szCs w:val="26"/>
              </w:rPr>
              <w:t>$124,000</w:t>
            </w:r>
          </w:p>
        </w:tc>
      </w:tr>
    </w:tbl>
    <w:p w:rsidR="001D3C94" w:rsidRPr="001D3C94" w:rsidRDefault="001D3C94" w:rsidP="00932C32">
      <w:pPr>
        <w:keepNext/>
        <w:ind w:left="1440" w:right="1440"/>
        <w:rPr>
          <w:sz w:val="26"/>
          <w:szCs w:val="26"/>
        </w:rPr>
      </w:pPr>
    </w:p>
    <w:p w:rsidR="00C310AF" w:rsidRPr="00C310AF" w:rsidRDefault="00C310AF" w:rsidP="00C310AF">
      <w:pPr>
        <w:ind w:left="1440" w:right="1440"/>
        <w:rPr>
          <w:sz w:val="26"/>
          <w:szCs w:val="26"/>
        </w:rPr>
      </w:pPr>
      <w:r w:rsidRPr="00C310AF">
        <w:rPr>
          <w:sz w:val="26"/>
          <w:szCs w:val="26"/>
        </w:rPr>
        <w:tab/>
        <w:t>24.</w:t>
      </w:r>
      <w:r w:rsidRPr="00C310AF">
        <w:rPr>
          <w:sz w:val="26"/>
          <w:szCs w:val="26"/>
        </w:rPr>
        <w:tab/>
        <w:t>The proposal in OSBA Statement No. 1 that the rate increase for Rate Schedule BL match Rate Schedule GS</w:t>
      </w:r>
      <w:r w:rsidR="004C08C6">
        <w:rPr>
          <w:sz w:val="26"/>
          <w:szCs w:val="26"/>
        </w:rPr>
        <w:noBreakHyphen/>
      </w:r>
      <w:r w:rsidRPr="00C310AF">
        <w:rPr>
          <w:sz w:val="26"/>
          <w:szCs w:val="26"/>
        </w:rPr>
        <w:t>-1 is accepted.</w:t>
      </w:r>
    </w:p>
    <w:p w:rsidR="00C310AF" w:rsidRPr="00C310AF" w:rsidRDefault="00C310AF" w:rsidP="00C310AF">
      <w:pPr>
        <w:ind w:left="1440" w:right="1440"/>
        <w:rPr>
          <w:sz w:val="26"/>
          <w:szCs w:val="26"/>
        </w:rPr>
      </w:pPr>
    </w:p>
    <w:p w:rsidR="00C310AF" w:rsidRDefault="00C310AF" w:rsidP="00C310AF">
      <w:pPr>
        <w:ind w:left="1440" w:right="1440"/>
        <w:rPr>
          <w:sz w:val="26"/>
          <w:szCs w:val="26"/>
        </w:rPr>
      </w:pPr>
      <w:r w:rsidRPr="00C310AF">
        <w:rPr>
          <w:sz w:val="26"/>
          <w:szCs w:val="26"/>
        </w:rPr>
        <w:tab/>
        <w:t>25.</w:t>
      </w:r>
      <w:r w:rsidRPr="00C310AF">
        <w:rPr>
          <w:sz w:val="26"/>
          <w:szCs w:val="26"/>
        </w:rPr>
        <w:tab/>
        <w:t>The proposal in OSBA Statement No. 1 that Rate Schedule GH-2 continue to be phased out is accepted.</w:t>
      </w:r>
    </w:p>
    <w:p w:rsidR="0070739E" w:rsidRPr="00C310AF" w:rsidRDefault="0070739E" w:rsidP="00C310AF">
      <w:pPr>
        <w:ind w:left="1440" w:right="1440"/>
        <w:rPr>
          <w:sz w:val="26"/>
          <w:szCs w:val="26"/>
        </w:rPr>
      </w:pPr>
    </w:p>
    <w:p w:rsidR="00133601" w:rsidRPr="00133601" w:rsidRDefault="00133601" w:rsidP="00133601">
      <w:pPr>
        <w:ind w:left="1440" w:right="1440"/>
        <w:rPr>
          <w:b/>
          <w:bCs/>
          <w:iCs/>
          <w:sz w:val="26"/>
          <w:szCs w:val="26"/>
        </w:rPr>
      </w:pPr>
      <w:r w:rsidRPr="00133601">
        <w:rPr>
          <w:b/>
          <w:bCs/>
          <w:iCs/>
          <w:sz w:val="26"/>
          <w:szCs w:val="26"/>
        </w:rPr>
        <w:t>D.</w:t>
      </w:r>
      <w:r w:rsidRPr="00133601">
        <w:rPr>
          <w:b/>
          <w:bCs/>
          <w:iCs/>
          <w:sz w:val="26"/>
          <w:szCs w:val="26"/>
        </w:rPr>
        <w:tab/>
        <w:t>RATE DESIGN</w:t>
      </w:r>
    </w:p>
    <w:p w:rsidR="00133601" w:rsidRPr="00133601" w:rsidRDefault="00133601" w:rsidP="00133601">
      <w:pPr>
        <w:ind w:left="1440" w:right="1440"/>
        <w:rPr>
          <w:sz w:val="26"/>
          <w:szCs w:val="26"/>
        </w:rPr>
      </w:pPr>
    </w:p>
    <w:p w:rsidR="00133601" w:rsidRPr="00133601" w:rsidRDefault="00133601" w:rsidP="00133601">
      <w:pPr>
        <w:ind w:left="1440" w:right="1440"/>
        <w:rPr>
          <w:sz w:val="26"/>
          <w:szCs w:val="26"/>
        </w:rPr>
      </w:pPr>
      <w:r w:rsidRPr="00133601">
        <w:rPr>
          <w:sz w:val="26"/>
          <w:szCs w:val="26"/>
        </w:rPr>
        <w:tab/>
        <w:t>26.</w:t>
      </w:r>
      <w:r w:rsidRPr="00133601">
        <w:rPr>
          <w:sz w:val="26"/>
          <w:szCs w:val="26"/>
        </w:rPr>
        <w:tab/>
        <w:t>PPL Electric</w:t>
      </w:r>
      <w:r w:rsidR="00EE6F5E">
        <w:rPr>
          <w:sz w:val="26"/>
          <w:szCs w:val="26"/>
        </w:rPr>
        <w:t>’</w:t>
      </w:r>
      <w:r w:rsidRPr="00133601">
        <w:rPr>
          <w:sz w:val="26"/>
          <w:szCs w:val="26"/>
        </w:rPr>
        <w:t>s proposal to move to a daily customer charge for all Rate Schedules and Riders is withdrawn without prejudice.</w:t>
      </w:r>
    </w:p>
    <w:p w:rsidR="00133601" w:rsidRPr="00133601" w:rsidRDefault="00133601" w:rsidP="00133601">
      <w:pPr>
        <w:ind w:left="1440" w:right="1440"/>
        <w:rPr>
          <w:sz w:val="26"/>
          <w:szCs w:val="26"/>
        </w:rPr>
      </w:pPr>
    </w:p>
    <w:p w:rsidR="00133601" w:rsidRPr="00133601" w:rsidRDefault="00133601" w:rsidP="00133601">
      <w:pPr>
        <w:ind w:left="1440" w:right="1440"/>
        <w:rPr>
          <w:sz w:val="26"/>
          <w:szCs w:val="26"/>
        </w:rPr>
      </w:pPr>
      <w:r w:rsidRPr="00133601">
        <w:rPr>
          <w:sz w:val="26"/>
          <w:szCs w:val="26"/>
        </w:rPr>
        <w:tab/>
        <w:t>27.</w:t>
      </w:r>
      <w:r w:rsidRPr="00133601">
        <w:rPr>
          <w:sz w:val="26"/>
          <w:szCs w:val="26"/>
        </w:rPr>
        <w:tab/>
        <w:t xml:space="preserve">The proposed customer charge for Rate Schedule RS will be maintained at $14.09 per month. </w:t>
      </w:r>
    </w:p>
    <w:p w:rsidR="00133601" w:rsidRPr="00133601" w:rsidRDefault="00133601" w:rsidP="00133601">
      <w:pPr>
        <w:ind w:left="1440" w:right="1440"/>
        <w:rPr>
          <w:sz w:val="26"/>
          <w:szCs w:val="26"/>
        </w:rPr>
      </w:pPr>
    </w:p>
    <w:p w:rsidR="00133601" w:rsidRPr="00133601" w:rsidRDefault="00133601" w:rsidP="00133601">
      <w:pPr>
        <w:ind w:left="1440" w:right="1440"/>
        <w:rPr>
          <w:sz w:val="26"/>
          <w:szCs w:val="26"/>
        </w:rPr>
      </w:pPr>
      <w:r w:rsidRPr="00133601">
        <w:rPr>
          <w:sz w:val="26"/>
          <w:szCs w:val="26"/>
        </w:rPr>
        <w:tab/>
        <w:t>28.</w:t>
      </w:r>
      <w:r w:rsidRPr="00133601">
        <w:rPr>
          <w:sz w:val="26"/>
          <w:szCs w:val="26"/>
        </w:rPr>
        <w:tab/>
        <w:t>PPL Electric</w:t>
      </w:r>
      <w:r w:rsidR="00EE6F5E">
        <w:rPr>
          <w:sz w:val="26"/>
          <w:szCs w:val="26"/>
        </w:rPr>
        <w:t>’</w:t>
      </w:r>
      <w:r w:rsidRPr="00133601">
        <w:rPr>
          <w:sz w:val="26"/>
          <w:szCs w:val="26"/>
        </w:rPr>
        <w:t xml:space="preserve">s proposal to roll the Small Commercial &amp; Industrial (“Small C&amp;I”) Merchant Function Charge (“MFC”) and Purchase of Receivables (“POR”) uncollectible accounts expense percentages into base rates </w:t>
      </w:r>
      <w:r w:rsidRPr="00133601">
        <w:rPr>
          <w:sz w:val="26"/>
          <w:szCs w:val="26"/>
        </w:rPr>
        <w:lastRenderedPageBreak/>
        <w:t>and to set the uncollectible percentage at 0.0% for both the MFC and POR is withdrawn.  PPL Electric</w:t>
      </w:r>
      <w:r w:rsidR="00EE6F5E">
        <w:rPr>
          <w:sz w:val="26"/>
          <w:szCs w:val="26"/>
        </w:rPr>
        <w:t>’</w:t>
      </w:r>
      <w:r w:rsidRPr="00133601">
        <w:rPr>
          <w:sz w:val="26"/>
          <w:szCs w:val="26"/>
        </w:rPr>
        <w:t>s proposal to annually adjust the uncollectible percentage for both the MFC and POR is withdrawn.  The Residential uncollectible percentage will be set at 2.31% for both the MFC and the POR, and the Small C&amp;I uncollectible percentage will be set at 0.23% for both the MFC and the POR</w:t>
      </w:r>
    </w:p>
    <w:p w:rsidR="00133601" w:rsidRPr="00133601" w:rsidRDefault="00133601" w:rsidP="00133601">
      <w:pPr>
        <w:ind w:left="1440" w:right="1440"/>
        <w:rPr>
          <w:sz w:val="26"/>
          <w:szCs w:val="26"/>
        </w:rPr>
      </w:pPr>
    </w:p>
    <w:p w:rsidR="00133601" w:rsidRPr="00133601" w:rsidRDefault="00133601" w:rsidP="00133601">
      <w:pPr>
        <w:ind w:left="1440" w:right="1440"/>
        <w:rPr>
          <w:b/>
          <w:sz w:val="26"/>
          <w:szCs w:val="26"/>
        </w:rPr>
      </w:pPr>
      <w:r w:rsidRPr="00133601">
        <w:rPr>
          <w:b/>
          <w:sz w:val="26"/>
          <w:szCs w:val="26"/>
        </w:rPr>
        <w:t>E.</w:t>
      </w:r>
      <w:r w:rsidRPr="00133601">
        <w:rPr>
          <w:b/>
          <w:sz w:val="26"/>
          <w:szCs w:val="26"/>
        </w:rPr>
        <w:tab/>
        <w:t>AMTRAK</w:t>
      </w:r>
    </w:p>
    <w:p w:rsidR="00133601" w:rsidRPr="00133601" w:rsidRDefault="00133601" w:rsidP="00133601">
      <w:pPr>
        <w:ind w:left="1440" w:right="1440"/>
        <w:rPr>
          <w:sz w:val="26"/>
          <w:szCs w:val="26"/>
        </w:rPr>
      </w:pPr>
    </w:p>
    <w:p w:rsidR="00133601" w:rsidRPr="00133601" w:rsidRDefault="00133601" w:rsidP="00133601">
      <w:pPr>
        <w:ind w:left="1440" w:right="1440"/>
        <w:rPr>
          <w:sz w:val="26"/>
          <w:szCs w:val="26"/>
        </w:rPr>
      </w:pPr>
      <w:r w:rsidRPr="00133601">
        <w:rPr>
          <w:sz w:val="26"/>
          <w:szCs w:val="26"/>
        </w:rPr>
        <w:tab/>
        <w:t>29.</w:t>
      </w:r>
      <w:r w:rsidRPr="00133601">
        <w:rPr>
          <w:sz w:val="26"/>
          <w:szCs w:val="26"/>
        </w:rPr>
        <w:tab/>
        <w:t>PPL Electric and National Railroad Passenger Corporation (“Amtrak”) agree that for purposes of settlement of this proceeding the customer charge for Rate Schedule LPEP will be reduced from the proposed $252,647.17 per month to $126,323.59 per month, effective January 1, 2016, subject to further resolution of the issues as described in Paragraphs 30 and 31 below.</w:t>
      </w:r>
    </w:p>
    <w:p w:rsidR="00133601" w:rsidRPr="00133601" w:rsidRDefault="00133601" w:rsidP="00133601">
      <w:pPr>
        <w:ind w:left="1440" w:right="1440"/>
        <w:rPr>
          <w:sz w:val="26"/>
          <w:szCs w:val="26"/>
        </w:rPr>
      </w:pPr>
    </w:p>
    <w:p w:rsidR="00133601" w:rsidRPr="00133601" w:rsidRDefault="00133601" w:rsidP="00133601">
      <w:pPr>
        <w:ind w:left="1440" w:right="1440"/>
        <w:rPr>
          <w:sz w:val="26"/>
          <w:szCs w:val="26"/>
        </w:rPr>
      </w:pPr>
      <w:r w:rsidRPr="00133601">
        <w:rPr>
          <w:sz w:val="26"/>
          <w:szCs w:val="26"/>
        </w:rPr>
        <w:tab/>
        <w:t>30.</w:t>
      </w:r>
      <w:r w:rsidRPr="00133601">
        <w:rPr>
          <w:sz w:val="26"/>
          <w:szCs w:val="26"/>
        </w:rPr>
        <w:tab/>
        <w:t xml:space="preserve">PPL Electric and Amtrak agree to continue to work together to resolve all open issues regarding the upgrade of the Conestoga Substation, including possible alternative resolution regarding the final scope, timing, and costs of the upgrades needed for the Conestoga Substation.  PPL Electric and Amtrak agree to make good faith efforts to conclude the negotiations and execute a final agreement by no later than September 1, 2016.  </w:t>
      </w:r>
    </w:p>
    <w:p w:rsidR="00133601" w:rsidRPr="00133601" w:rsidRDefault="00133601" w:rsidP="00133601">
      <w:pPr>
        <w:ind w:left="1440" w:right="1440"/>
        <w:rPr>
          <w:sz w:val="26"/>
          <w:szCs w:val="26"/>
        </w:rPr>
      </w:pPr>
    </w:p>
    <w:p w:rsidR="00133601" w:rsidRPr="00133601" w:rsidRDefault="00133601" w:rsidP="00133601">
      <w:pPr>
        <w:ind w:left="1440" w:right="1440"/>
        <w:rPr>
          <w:sz w:val="26"/>
          <w:szCs w:val="26"/>
        </w:rPr>
      </w:pPr>
      <w:r w:rsidRPr="00133601">
        <w:rPr>
          <w:sz w:val="26"/>
          <w:szCs w:val="26"/>
        </w:rPr>
        <w:tab/>
        <w:t>31.</w:t>
      </w:r>
      <w:r w:rsidRPr="00133601">
        <w:rPr>
          <w:sz w:val="26"/>
          <w:szCs w:val="26"/>
        </w:rPr>
        <w:tab/>
        <w:t>PPL Electric and Amtrak agree that PPL Electric will submit a further tariff filing for Rate Schedule LPEP to reflect (i) the negotiated agreement ultimately reached by PPL Electric and Amtrak or (ii) the fact PPL Electric and Amtrak were unable to reach an agreement by September 1, 2016.</w:t>
      </w:r>
    </w:p>
    <w:p w:rsidR="008A7BAF" w:rsidRPr="00FF5E61" w:rsidRDefault="008A7BAF" w:rsidP="00FF5E61">
      <w:pPr>
        <w:ind w:left="1440" w:right="1440"/>
        <w:rPr>
          <w:sz w:val="26"/>
          <w:szCs w:val="26"/>
        </w:rPr>
      </w:pPr>
    </w:p>
    <w:p w:rsidR="00144AA7" w:rsidRPr="00144AA7" w:rsidRDefault="00144AA7" w:rsidP="00144AA7">
      <w:pPr>
        <w:ind w:left="1440" w:right="1440"/>
        <w:rPr>
          <w:b/>
          <w:bCs/>
          <w:iCs/>
          <w:sz w:val="26"/>
          <w:szCs w:val="26"/>
        </w:rPr>
      </w:pPr>
      <w:r w:rsidRPr="00144AA7">
        <w:rPr>
          <w:b/>
          <w:bCs/>
          <w:iCs/>
          <w:sz w:val="26"/>
          <w:szCs w:val="26"/>
        </w:rPr>
        <w:t>F.</w:t>
      </w:r>
      <w:r w:rsidRPr="00144AA7">
        <w:rPr>
          <w:b/>
          <w:bCs/>
          <w:iCs/>
          <w:sz w:val="26"/>
          <w:szCs w:val="26"/>
        </w:rPr>
        <w:tab/>
        <w:t>DSIC</w:t>
      </w:r>
    </w:p>
    <w:p w:rsidR="00D7084E" w:rsidRDefault="00D7084E" w:rsidP="00144AA7">
      <w:pPr>
        <w:ind w:left="1440" w:right="1440"/>
        <w:rPr>
          <w:sz w:val="26"/>
          <w:szCs w:val="26"/>
        </w:rPr>
      </w:pPr>
    </w:p>
    <w:p w:rsidR="00144AA7" w:rsidRPr="00144AA7" w:rsidRDefault="00144AA7" w:rsidP="00144AA7">
      <w:pPr>
        <w:ind w:left="1440" w:right="1440"/>
        <w:rPr>
          <w:sz w:val="26"/>
          <w:szCs w:val="26"/>
        </w:rPr>
      </w:pPr>
      <w:r w:rsidRPr="00144AA7">
        <w:rPr>
          <w:sz w:val="26"/>
          <w:szCs w:val="26"/>
        </w:rPr>
        <w:tab/>
        <w:t>32.</w:t>
      </w:r>
      <w:r w:rsidRPr="00144AA7">
        <w:rPr>
          <w:sz w:val="26"/>
          <w:szCs w:val="26"/>
        </w:rPr>
        <w:tab/>
        <w:t>The DSIC capital investment and associated depreciation and tax effects will be rolled into base rates per PPL Electric</w:t>
      </w:r>
      <w:r w:rsidR="00EE6F5E">
        <w:rPr>
          <w:sz w:val="26"/>
          <w:szCs w:val="26"/>
        </w:rPr>
        <w:t>’</w:t>
      </w:r>
      <w:r w:rsidRPr="00144AA7">
        <w:rPr>
          <w:sz w:val="26"/>
          <w:szCs w:val="26"/>
        </w:rPr>
        <w:t xml:space="preserve">s proposal and the DSIC will be reset to 0% upon implementation of new base rates.  </w:t>
      </w:r>
    </w:p>
    <w:p w:rsidR="00144AA7" w:rsidRPr="00144AA7" w:rsidRDefault="00144AA7" w:rsidP="00144AA7">
      <w:pPr>
        <w:ind w:left="1440" w:right="1440"/>
        <w:rPr>
          <w:sz w:val="26"/>
          <w:szCs w:val="26"/>
        </w:rPr>
      </w:pPr>
    </w:p>
    <w:p w:rsidR="00144AA7" w:rsidRPr="00144AA7" w:rsidRDefault="00144AA7" w:rsidP="00144AA7">
      <w:pPr>
        <w:ind w:left="1440" w:right="1440"/>
        <w:rPr>
          <w:sz w:val="26"/>
          <w:szCs w:val="26"/>
        </w:rPr>
      </w:pPr>
      <w:r w:rsidRPr="00144AA7">
        <w:rPr>
          <w:sz w:val="26"/>
          <w:szCs w:val="26"/>
        </w:rPr>
        <w:tab/>
        <w:t>33.</w:t>
      </w:r>
      <w:r w:rsidRPr="00144AA7">
        <w:rPr>
          <w:sz w:val="26"/>
          <w:szCs w:val="26"/>
        </w:rPr>
        <w:tab/>
        <w:t xml:space="preserve">As of the effective date of rates in this proceeding, PPL Electric will be eligible to include plant </w:t>
      </w:r>
      <w:r w:rsidRPr="00144AA7">
        <w:rPr>
          <w:sz w:val="26"/>
          <w:szCs w:val="26"/>
        </w:rPr>
        <w:lastRenderedPageBreak/>
        <w:t xml:space="preserve">additions in the DSIC once eligible account balances exceed the levels projected by PPL Electric at December 31, 2016.  The foregoing provision is included solely for purposes of calculating the DSIC, and is not determinative for future ratemaking purposes of the projected additions to be included in rate base in a FPFTY filing.  </w:t>
      </w:r>
    </w:p>
    <w:p w:rsidR="00144AA7" w:rsidRPr="00144AA7" w:rsidRDefault="00144AA7" w:rsidP="00144AA7">
      <w:pPr>
        <w:ind w:left="1440" w:right="1440"/>
        <w:rPr>
          <w:sz w:val="26"/>
          <w:szCs w:val="26"/>
        </w:rPr>
      </w:pPr>
    </w:p>
    <w:p w:rsidR="00144AA7" w:rsidRPr="00144AA7" w:rsidRDefault="00144AA7" w:rsidP="00144AA7">
      <w:pPr>
        <w:ind w:left="1440" w:right="1440"/>
        <w:rPr>
          <w:sz w:val="26"/>
          <w:szCs w:val="26"/>
        </w:rPr>
      </w:pPr>
      <w:r w:rsidRPr="00144AA7">
        <w:rPr>
          <w:sz w:val="26"/>
          <w:szCs w:val="26"/>
        </w:rPr>
        <w:tab/>
        <w:t>34.</w:t>
      </w:r>
      <w:r w:rsidRPr="00144AA7">
        <w:rPr>
          <w:sz w:val="26"/>
          <w:szCs w:val="26"/>
        </w:rPr>
        <w:tab/>
        <w:t>PPL Electric</w:t>
      </w:r>
      <w:r w:rsidR="00EE6F5E">
        <w:rPr>
          <w:sz w:val="26"/>
          <w:szCs w:val="26"/>
        </w:rPr>
        <w:t>’</w:t>
      </w:r>
      <w:r w:rsidRPr="00144AA7">
        <w:rPr>
          <w:sz w:val="26"/>
          <w:szCs w:val="26"/>
        </w:rPr>
        <w:t>s proposal to increase the DSIC cap from 5% to 7.5% of billed revenues is withdrawn without prejudice.</w:t>
      </w:r>
    </w:p>
    <w:p w:rsidR="00144AA7" w:rsidRPr="00144AA7" w:rsidRDefault="00144AA7" w:rsidP="00144AA7">
      <w:pPr>
        <w:ind w:left="1440" w:right="1440"/>
        <w:rPr>
          <w:sz w:val="26"/>
          <w:szCs w:val="26"/>
        </w:rPr>
      </w:pPr>
    </w:p>
    <w:p w:rsidR="00144AA7" w:rsidRPr="00144AA7" w:rsidRDefault="00144AA7" w:rsidP="00144AA7">
      <w:pPr>
        <w:ind w:left="1440" w:right="1440"/>
        <w:rPr>
          <w:sz w:val="26"/>
          <w:szCs w:val="26"/>
        </w:rPr>
      </w:pPr>
      <w:r w:rsidRPr="00144AA7">
        <w:rPr>
          <w:sz w:val="26"/>
          <w:szCs w:val="26"/>
        </w:rPr>
        <w:tab/>
        <w:t>35.</w:t>
      </w:r>
      <w:r w:rsidRPr="00144AA7">
        <w:rPr>
          <w:sz w:val="26"/>
          <w:szCs w:val="26"/>
        </w:rPr>
        <w:tab/>
        <w:t>PPL Electric will modify the DSIC tariff to exclude Rate Schedule LPEP prospectively beginning January 1, 2016.</w:t>
      </w:r>
    </w:p>
    <w:p w:rsidR="00144AA7" w:rsidRPr="00144AA7" w:rsidRDefault="00144AA7" w:rsidP="00144AA7">
      <w:pPr>
        <w:ind w:left="1440" w:right="1440"/>
        <w:rPr>
          <w:sz w:val="26"/>
          <w:szCs w:val="26"/>
        </w:rPr>
      </w:pPr>
    </w:p>
    <w:p w:rsidR="00144AA7" w:rsidRPr="00144AA7" w:rsidRDefault="00144AA7" w:rsidP="00144AA7">
      <w:pPr>
        <w:ind w:left="1440" w:right="1440"/>
        <w:rPr>
          <w:b/>
          <w:bCs/>
          <w:iCs/>
          <w:sz w:val="26"/>
          <w:szCs w:val="26"/>
        </w:rPr>
      </w:pPr>
      <w:r w:rsidRPr="00144AA7">
        <w:rPr>
          <w:b/>
          <w:bCs/>
          <w:iCs/>
          <w:sz w:val="26"/>
          <w:szCs w:val="26"/>
        </w:rPr>
        <w:t>G.</w:t>
      </w:r>
      <w:r w:rsidRPr="00144AA7">
        <w:rPr>
          <w:b/>
          <w:bCs/>
          <w:iCs/>
          <w:sz w:val="26"/>
          <w:szCs w:val="26"/>
        </w:rPr>
        <w:tab/>
        <w:t>SDER</w:t>
      </w:r>
    </w:p>
    <w:p w:rsidR="00144AA7" w:rsidRPr="00144AA7" w:rsidRDefault="00144AA7" w:rsidP="00144AA7">
      <w:pPr>
        <w:ind w:left="1440" w:right="1440"/>
        <w:rPr>
          <w:bCs/>
          <w:iCs/>
          <w:sz w:val="26"/>
          <w:szCs w:val="26"/>
        </w:rPr>
      </w:pPr>
    </w:p>
    <w:p w:rsidR="00144AA7" w:rsidRPr="00144AA7" w:rsidRDefault="00144AA7" w:rsidP="00144AA7">
      <w:pPr>
        <w:ind w:left="1440" w:right="1440"/>
        <w:rPr>
          <w:sz w:val="26"/>
          <w:szCs w:val="26"/>
        </w:rPr>
      </w:pPr>
      <w:r w:rsidRPr="00144AA7">
        <w:rPr>
          <w:sz w:val="26"/>
          <w:szCs w:val="26"/>
        </w:rPr>
        <w:tab/>
        <w:t>36.</w:t>
      </w:r>
      <w:r w:rsidRPr="00144AA7">
        <w:rPr>
          <w:sz w:val="26"/>
          <w:szCs w:val="26"/>
        </w:rPr>
        <w:tab/>
        <w:t>The reportable storm damage expenses to be recovered annually through base rates will be set at $14,700,000.  The SDER will recover from customers or refund to customers, as appropriate, only applicable expenses from reportable storms that are less than or greater than $14,700,000 million recovered annually through base rates.</w:t>
      </w:r>
    </w:p>
    <w:p w:rsidR="00144AA7" w:rsidRPr="00144AA7" w:rsidRDefault="00144AA7" w:rsidP="00144AA7">
      <w:pPr>
        <w:ind w:left="1440" w:right="1440"/>
        <w:rPr>
          <w:sz w:val="26"/>
          <w:szCs w:val="26"/>
        </w:rPr>
      </w:pPr>
    </w:p>
    <w:p w:rsidR="00144AA7" w:rsidRPr="00144AA7" w:rsidRDefault="00144AA7" w:rsidP="00144AA7">
      <w:pPr>
        <w:ind w:left="1440" w:right="1440"/>
        <w:rPr>
          <w:sz w:val="26"/>
          <w:szCs w:val="26"/>
        </w:rPr>
      </w:pPr>
      <w:r w:rsidRPr="00144AA7">
        <w:rPr>
          <w:sz w:val="26"/>
          <w:szCs w:val="26"/>
        </w:rPr>
        <w:tab/>
        <w:t>37.</w:t>
      </w:r>
      <w:r w:rsidRPr="00144AA7">
        <w:rPr>
          <w:sz w:val="26"/>
          <w:szCs w:val="26"/>
        </w:rPr>
        <w:tab/>
        <w:t>Beginning January 1, 2018, the amortized 2011 storm expense of $5,324,000 will be included in the base rate component of the SDER as provided in I&amp;E Statement No. 2.</w:t>
      </w:r>
    </w:p>
    <w:p w:rsidR="00144AA7" w:rsidRPr="00144AA7" w:rsidRDefault="00144AA7" w:rsidP="00144AA7">
      <w:pPr>
        <w:ind w:left="1440" w:right="1440"/>
        <w:rPr>
          <w:sz w:val="26"/>
          <w:szCs w:val="26"/>
        </w:rPr>
      </w:pPr>
    </w:p>
    <w:p w:rsidR="00144AA7" w:rsidRPr="00144AA7" w:rsidRDefault="00144AA7" w:rsidP="00144AA7">
      <w:pPr>
        <w:ind w:left="1440" w:right="1440"/>
        <w:rPr>
          <w:sz w:val="26"/>
          <w:szCs w:val="26"/>
        </w:rPr>
      </w:pPr>
      <w:r w:rsidRPr="00144AA7">
        <w:rPr>
          <w:sz w:val="26"/>
          <w:szCs w:val="26"/>
        </w:rPr>
        <w:tab/>
        <w:t>38.</w:t>
      </w:r>
      <w:r w:rsidRPr="00144AA7">
        <w:rPr>
          <w:sz w:val="26"/>
          <w:szCs w:val="26"/>
        </w:rPr>
        <w:tab/>
        <w:t xml:space="preserve">To the extent that actual eligible storm damage expenses for 2015 are more or less than the $14.7 million PPL Electric is recovering through base rates, this over/under collection will be refunded/recouped during the 2016 SDER recovery period (January 1, 2016 through December 31, 2016).  </w:t>
      </w:r>
    </w:p>
    <w:p w:rsidR="00144AA7" w:rsidRPr="00144AA7" w:rsidRDefault="00144AA7" w:rsidP="00144AA7">
      <w:pPr>
        <w:ind w:left="1440" w:right="1440"/>
        <w:rPr>
          <w:sz w:val="26"/>
          <w:szCs w:val="26"/>
        </w:rPr>
      </w:pPr>
    </w:p>
    <w:p w:rsidR="00144AA7" w:rsidRPr="00144AA7" w:rsidRDefault="00144AA7" w:rsidP="00144AA7">
      <w:pPr>
        <w:ind w:left="1440" w:right="1440"/>
        <w:rPr>
          <w:sz w:val="26"/>
          <w:szCs w:val="26"/>
        </w:rPr>
      </w:pPr>
      <w:r w:rsidRPr="00144AA7">
        <w:rPr>
          <w:sz w:val="26"/>
          <w:szCs w:val="26"/>
        </w:rPr>
        <w:tab/>
        <w:t>39.</w:t>
      </w:r>
      <w:r w:rsidRPr="00144AA7">
        <w:rPr>
          <w:sz w:val="26"/>
          <w:szCs w:val="26"/>
        </w:rPr>
        <w:tab/>
        <w:t>PPL Electric will continue to recover the Hurricane Sandy amortization during the 2016 SDER recovery period (January 1, 2016 through December 31, 2016), consistent with Commission-approved consecutive three year recovery period for major storm events.</w:t>
      </w:r>
    </w:p>
    <w:p w:rsidR="00144AA7" w:rsidRPr="00144AA7" w:rsidRDefault="00144AA7" w:rsidP="00144AA7">
      <w:pPr>
        <w:ind w:left="1440" w:right="1440"/>
        <w:rPr>
          <w:sz w:val="26"/>
          <w:szCs w:val="26"/>
        </w:rPr>
      </w:pPr>
    </w:p>
    <w:p w:rsidR="00144AA7" w:rsidRPr="00144AA7" w:rsidRDefault="00144AA7" w:rsidP="00144AA7">
      <w:pPr>
        <w:ind w:left="1440" w:right="1440"/>
        <w:rPr>
          <w:sz w:val="26"/>
          <w:szCs w:val="26"/>
        </w:rPr>
      </w:pPr>
      <w:r w:rsidRPr="00144AA7">
        <w:rPr>
          <w:sz w:val="26"/>
          <w:szCs w:val="26"/>
        </w:rPr>
        <w:lastRenderedPageBreak/>
        <w:tab/>
        <w:t>40.</w:t>
      </w:r>
      <w:r w:rsidRPr="00144AA7">
        <w:rPr>
          <w:sz w:val="26"/>
          <w:szCs w:val="26"/>
        </w:rPr>
        <w:tab/>
        <w:t>The SDER rate structure for the Large Commercial and Industrial Class (“LC&amp;I”) will be changed from a $/kW charge to a monthly customer charge.</w:t>
      </w:r>
    </w:p>
    <w:p w:rsidR="00144AA7" w:rsidRPr="00144AA7" w:rsidRDefault="00144AA7" w:rsidP="00144AA7">
      <w:pPr>
        <w:ind w:left="1440" w:right="1440"/>
        <w:rPr>
          <w:sz w:val="26"/>
          <w:szCs w:val="26"/>
        </w:rPr>
      </w:pPr>
    </w:p>
    <w:p w:rsidR="00144AA7" w:rsidRPr="00144AA7" w:rsidRDefault="00144AA7" w:rsidP="00144AA7">
      <w:pPr>
        <w:ind w:left="1440" w:right="1440"/>
        <w:rPr>
          <w:sz w:val="26"/>
          <w:szCs w:val="26"/>
        </w:rPr>
      </w:pPr>
      <w:r w:rsidRPr="00144AA7">
        <w:rPr>
          <w:sz w:val="26"/>
          <w:szCs w:val="26"/>
        </w:rPr>
        <w:tab/>
        <w:t>41.</w:t>
      </w:r>
      <w:r w:rsidRPr="00144AA7">
        <w:rPr>
          <w:sz w:val="26"/>
          <w:szCs w:val="26"/>
        </w:rPr>
        <w:tab/>
        <w:t>Notwithstanding any agreements made herein as to the SDER, the Joint Petitioners agree that the final determination of the courts as to the disposition of the SDER in the current appeal process will control as to the legality of the SDER under Section 1307(a) of the Public Utility Code, 66 Pa.C.S. § 1307(a).  All Joint Petitioners reserve their rights, however, to address design and public policy issues as to the SDER in any future proceeding.  By agreeing to these terms at this time, no Joint Petitioner is waiving or relinquishing any of its rights or claims that are currently before the courts.</w:t>
      </w:r>
    </w:p>
    <w:p w:rsidR="008A7BAF" w:rsidRPr="00FF5E61" w:rsidRDefault="008A7BAF" w:rsidP="00FF5E61">
      <w:pPr>
        <w:ind w:left="1440" w:right="1440"/>
        <w:rPr>
          <w:sz w:val="26"/>
          <w:szCs w:val="26"/>
        </w:rPr>
      </w:pPr>
    </w:p>
    <w:p w:rsidR="00A22125" w:rsidRPr="00A22125" w:rsidRDefault="00A22125" w:rsidP="00A22125">
      <w:pPr>
        <w:ind w:left="1440" w:right="1440"/>
        <w:rPr>
          <w:b/>
          <w:sz w:val="26"/>
          <w:szCs w:val="26"/>
        </w:rPr>
      </w:pPr>
      <w:r w:rsidRPr="00A22125">
        <w:rPr>
          <w:b/>
          <w:sz w:val="26"/>
          <w:szCs w:val="26"/>
        </w:rPr>
        <w:t>H.</w:t>
      </w:r>
      <w:r w:rsidRPr="00A22125">
        <w:rPr>
          <w:b/>
          <w:sz w:val="26"/>
          <w:szCs w:val="26"/>
        </w:rPr>
        <w:tab/>
        <w:t>CUSTOMER ASSISTANCE PROGRAMS</w:t>
      </w:r>
    </w:p>
    <w:p w:rsidR="00A22125" w:rsidRPr="00A22125" w:rsidRDefault="00A22125" w:rsidP="00A22125">
      <w:pPr>
        <w:ind w:left="1440" w:right="1440"/>
        <w:rPr>
          <w:b/>
          <w:sz w:val="26"/>
          <w:szCs w:val="26"/>
        </w:rPr>
      </w:pPr>
    </w:p>
    <w:p w:rsidR="00A22125" w:rsidRPr="00A22125" w:rsidRDefault="00A22125" w:rsidP="00A22125">
      <w:pPr>
        <w:ind w:left="1440" w:right="1440"/>
        <w:rPr>
          <w:sz w:val="26"/>
          <w:szCs w:val="26"/>
        </w:rPr>
      </w:pPr>
      <w:r w:rsidRPr="00A22125">
        <w:rPr>
          <w:b/>
          <w:sz w:val="26"/>
          <w:szCs w:val="26"/>
        </w:rPr>
        <w:tab/>
      </w:r>
      <w:r w:rsidRPr="00A22125">
        <w:rPr>
          <w:sz w:val="26"/>
          <w:szCs w:val="26"/>
        </w:rPr>
        <w:t>42.</w:t>
      </w:r>
      <w:r w:rsidRPr="00A22125">
        <w:rPr>
          <w:sz w:val="26"/>
          <w:szCs w:val="26"/>
        </w:rPr>
        <w:tab/>
        <w:t>PPL Electric will increase its maximum CAP credits by a percentage equal to 50% of the overall percentage increase in Rate Schedule RS rates.  The Joint Petitioners reserve the right to evaluate further revisions to CAP credits and to recommend additional changes in the Company</w:t>
      </w:r>
      <w:r w:rsidR="00EE6F5E">
        <w:rPr>
          <w:sz w:val="26"/>
          <w:szCs w:val="26"/>
        </w:rPr>
        <w:t>’</w:t>
      </w:r>
      <w:r w:rsidRPr="00A22125">
        <w:rPr>
          <w:sz w:val="26"/>
          <w:szCs w:val="26"/>
        </w:rPr>
        <w:t>s next universal service proceeding.  The Joint Petitioners retain the right to review and file testimony concerning any such proposals as permitted by the normal Commission process for review of Universal Service Plans.</w:t>
      </w:r>
    </w:p>
    <w:p w:rsidR="00A22125" w:rsidRPr="00A22125" w:rsidRDefault="00A22125" w:rsidP="00A22125">
      <w:pPr>
        <w:ind w:left="1440" w:right="1440"/>
        <w:rPr>
          <w:sz w:val="26"/>
          <w:szCs w:val="26"/>
        </w:rPr>
      </w:pPr>
    </w:p>
    <w:p w:rsidR="00A22125" w:rsidRPr="00A22125" w:rsidRDefault="00A22125" w:rsidP="00A22125">
      <w:pPr>
        <w:ind w:left="1440" w:right="1440"/>
        <w:rPr>
          <w:sz w:val="26"/>
          <w:szCs w:val="26"/>
        </w:rPr>
      </w:pPr>
      <w:r w:rsidRPr="00A22125">
        <w:rPr>
          <w:sz w:val="26"/>
          <w:szCs w:val="26"/>
        </w:rPr>
        <w:tab/>
        <w:t>43.</w:t>
      </w:r>
      <w:r w:rsidRPr="00A22125">
        <w:rPr>
          <w:sz w:val="26"/>
          <w:szCs w:val="26"/>
        </w:rPr>
        <w:tab/>
        <w:t>PPL Electric will increase its annual Low Income Usage Reduction Program (“LIURP”) funding by $500,000, effective January 1, 2016.  The Joint Petitioners reserve the right to evaluate further revisions in LIURP funding and to recommend additional changes in the Company</w:t>
      </w:r>
      <w:r w:rsidR="00EE6F5E">
        <w:rPr>
          <w:sz w:val="26"/>
          <w:szCs w:val="26"/>
        </w:rPr>
        <w:t>’</w:t>
      </w:r>
      <w:r w:rsidRPr="00A22125">
        <w:rPr>
          <w:sz w:val="26"/>
          <w:szCs w:val="26"/>
        </w:rPr>
        <w:t>s next universal service proceeding.  The Joint Petitioners retain the right to review and file testimony concerning any such proposals as permitted by the normal Commission process for review of Universal Service Plans.</w:t>
      </w:r>
    </w:p>
    <w:p w:rsidR="00A22125" w:rsidRPr="00A22125" w:rsidRDefault="00A22125" w:rsidP="00A22125">
      <w:pPr>
        <w:ind w:left="1440" w:right="1440"/>
        <w:rPr>
          <w:sz w:val="26"/>
          <w:szCs w:val="26"/>
        </w:rPr>
      </w:pPr>
    </w:p>
    <w:p w:rsidR="00A22125" w:rsidRPr="00A22125" w:rsidRDefault="00A22125" w:rsidP="00A22125">
      <w:pPr>
        <w:ind w:left="1440" w:right="1440"/>
        <w:rPr>
          <w:sz w:val="26"/>
          <w:szCs w:val="26"/>
        </w:rPr>
      </w:pPr>
      <w:r w:rsidRPr="00A22125">
        <w:rPr>
          <w:sz w:val="26"/>
          <w:szCs w:val="26"/>
        </w:rPr>
        <w:tab/>
        <w:t>44.</w:t>
      </w:r>
      <w:r w:rsidRPr="00A22125">
        <w:rPr>
          <w:sz w:val="26"/>
          <w:szCs w:val="26"/>
        </w:rPr>
        <w:tab/>
        <w:t>PPL Electric intends to continue to use community based organizations to assist in the implementation of its universal service programs, subject to changes in the Company</w:t>
      </w:r>
      <w:r w:rsidR="00EE6F5E">
        <w:rPr>
          <w:sz w:val="26"/>
          <w:szCs w:val="26"/>
        </w:rPr>
        <w:t>’</w:t>
      </w:r>
      <w:r w:rsidRPr="00A22125">
        <w:rPr>
          <w:sz w:val="26"/>
          <w:szCs w:val="26"/>
        </w:rPr>
        <w:t xml:space="preserve">s future universal service proceedings.  The Joint Petitioners retain the right to review </w:t>
      </w:r>
      <w:r w:rsidRPr="00A22125">
        <w:rPr>
          <w:sz w:val="26"/>
          <w:szCs w:val="26"/>
        </w:rPr>
        <w:lastRenderedPageBreak/>
        <w:t>and file testimony concerning any such proposals as permitted by the normal Commission process for review of Universal Service Plans.</w:t>
      </w:r>
    </w:p>
    <w:p w:rsidR="00A22125" w:rsidRPr="00A22125" w:rsidRDefault="00A22125" w:rsidP="00A22125">
      <w:pPr>
        <w:ind w:left="1440" w:right="1440"/>
        <w:rPr>
          <w:sz w:val="26"/>
          <w:szCs w:val="26"/>
        </w:rPr>
      </w:pPr>
    </w:p>
    <w:p w:rsidR="00A22125" w:rsidRPr="00A22125" w:rsidRDefault="00A22125" w:rsidP="00A22125">
      <w:pPr>
        <w:ind w:left="1440" w:right="1440"/>
        <w:rPr>
          <w:sz w:val="26"/>
          <w:szCs w:val="26"/>
        </w:rPr>
      </w:pPr>
      <w:r w:rsidRPr="00A22125">
        <w:rPr>
          <w:sz w:val="26"/>
          <w:szCs w:val="26"/>
        </w:rPr>
        <w:tab/>
        <w:t>45.</w:t>
      </w:r>
      <w:r w:rsidRPr="00A22125">
        <w:rPr>
          <w:sz w:val="26"/>
          <w:szCs w:val="26"/>
        </w:rPr>
        <w:tab/>
        <w:t xml:space="preserve">PPL Electric commits to evaluate existing senior education programs established by comparable utilities and to recommend whether or not to adopt a senior education program in its next universal service proceeding. </w:t>
      </w:r>
    </w:p>
    <w:p w:rsidR="00A22125" w:rsidRPr="00A22125" w:rsidRDefault="00A22125" w:rsidP="00A22125">
      <w:pPr>
        <w:ind w:left="1440" w:right="1440"/>
        <w:rPr>
          <w:sz w:val="26"/>
          <w:szCs w:val="26"/>
        </w:rPr>
      </w:pPr>
    </w:p>
    <w:p w:rsidR="00A22125" w:rsidRPr="00A22125" w:rsidRDefault="00A22125" w:rsidP="00A22125">
      <w:pPr>
        <w:ind w:left="1440" w:right="1440"/>
        <w:rPr>
          <w:sz w:val="26"/>
          <w:szCs w:val="26"/>
        </w:rPr>
      </w:pPr>
      <w:r w:rsidRPr="00A22125">
        <w:rPr>
          <w:sz w:val="26"/>
          <w:szCs w:val="26"/>
        </w:rPr>
        <w:tab/>
        <w:t>46.</w:t>
      </w:r>
      <w:r w:rsidRPr="00A22125">
        <w:rPr>
          <w:sz w:val="26"/>
          <w:szCs w:val="26"/>
        </w:rPr>
        <w:tab/>
        <w:t xml:space="preserve">PPL Electric agrees to undertake a pilot program in the Lancaster County area using local churches and food banks to further promote and educate customers about LIURP and Act 129 programs.  </w:t>
      </w:r>
    </w:p>
    <w:p w:rsidR="00A22125" w:rsidRPr="00A22125" w:rsidRDefault="00A22125" w:rsidP="00A22125">
      <w:pPr>
        <w:ind w:left="1440" w:right="1440"/>
        <w:rPr>
          <w:sz w:val="26"/>
          <w:szCs w:val="26"/>
        </w:rPr>
      </w:pPr>
    </w:p>
    <w:p w:rsidR="00A22125" w:rsidRPr="00A22125" w:rsidRDefault="00A22125" w:rsidP="00A22125">
      <w:pPr>
        <w:ind w:left="1440" w:right="1440"/>
        <w:rPr>
          <w:sz w:val="26"/>
          <w:szCs w:val="26"/>
        </w:rPr>
      </w:pPr>
      <w:r w:rsidRPr="00A22125">
        <w:rPr>
          <w:sz w:val="26"/>
          <w:szCs w:val="26"/>
        </w:rPr>
        <w:tab/>
        <w:t>47.</w:t>
      </w:r>
      <w:r w:rsidRPr="00A22125">
        <w:rPr>
          <w:sz w:val="26"/>
          <w:szCs w:val="26"/>
        </w:rPr>
        <w:tab/>
        <w:t>To address the bad debt, arrearage forgiveness, and Cash Working Capital issues raised in OCA Statement No. 4, PPL Electric will provide a fixed Universal Service Rider (“USR”) credit of $100 per month for all CAP customers above 44,000.  The Joint Petitioners further agree to evaluate further revisions in the USR credit and arrearage forgiveness and to recommend additional changes in the Company</w:t>
      </w:r>
      <w:r w:rsidR="00EE6F5E">
        <w:rPr>
          <w:sz w:val="26"/>
          <w:szCs w:val="26"/>
        </w:rPr>
        <w:t>’</w:t>
      </w:r>
      <w:r w:rsidRPr="00A22125">
        <w:rPr>
          <w:sz w:val="26"/>
          <w:szCs w:val="26"/>
        </w:rPr>
        <w:t xml:space="preserve">s next universal service proceeding.  The Joint Petitioners retain the right to review and file testimony concerning any such proposals as permitted by the normal Commission process for review of the Universal Service Plan.  </w:t>
      </w:r>
    </w:p>
    <w:p w:rsidR="00A22125" w:rsidRPr="00A22125" w:rsidRDefault="00A22125" w:rsidP="00A22125">
      <w:pPr>
        <w:ind w:left="1440" w:right="1440"/>
        <w:rPr>
          <w:sz w:val="26"/>
          <w:szCs w:val="26"/>
        </w:rPr>
      </w:pPr>
    </w:p>
    <w:p w:rsidR="00A22125" w:rsidRPr="00A22125" w:rsidRDefault="00A22125" w:rsidP="00A22125">
      <w:pPr>
        <w:ind w:left="1440" w:right="1440"/>
        <w:rPr>
          <w:sz w:val="26"/>
          <w:szCs w:val="26"/>
        </w:rPr>
      </w:pPr>
      <w:r w:rsidRPr="00A22125">
        <w:rPr>
          <w:sz w:val="26"/>
          <w:szCs w:val="26"/>
        </w:rPr>
        <w:tab/>
        <w:t>48.</w:t>
      </w:r>
      <w:r w:rsidRPr="00A22125">
        <w:rPr>
          <w:sz w:val="26"/>
          <w:szCs w:val="26"/>
        </w:rPr>
        <w:tab/>
        <w:t>PPL Electric shall apply all residential payments in compliance with Rule 9.D(8) of its Tariff, which provides in relevant part:  “Payments which are insufficient to pay for both a balance due for prior use and billing for current use are first applied to the balance due for prior use, except when an unpaid bill is a disputed bill or when a payment plan for an overdue balance is agreed upon.”  Residential payments will be posted against late payment charges only when there is no unpaid balance due for prior consumption, and late fees will not be compounded.</w:t>
      </w:r>
    </w:p>
    <w:p w:rsidR="00A22125" w:rsidRPr="00A22125" w:rsidRDefault="00A22125" w:rsidP="00A22125">
      <w:pPr>
        <w:ind w:left="1440" w:right="1440"/>
        <w:rPr>
          <w:sz w:val="26"/>
          <w:szCs w:val="26"/>
        </w:rPr>
      </w:pPr>
    </w:p>
    <w:p w:rsidR="00A22125" w:rsidRPr="00A22125" w:rsidRDefault="00A22125" w:rsidP="00A22125">
      <w:pPr>
        <w:ind w:left="1440" w:right="1440"/>
        <w:rPr>
          <w:sz w:val="26"/>
          <w:szCs w:val="26"/>
        </w:rPr>
      </w:pPr>
      <w:r w:rsidRPr="00A22125">
        <w:rPr>
          <w:sz w:val="26"/>
          <w:szCs w:val="26"/>
        </w:rPr>
        <w:tab/>
        <w:t>49.</w:t>
      </w:r>
      <w:r w:rsidRPr="00A22125">
        <w:rPr>
          <w:sz w:val="26"/>
          <w:szCs w:val="26"/>
        </w:rPr>
        <w:tab/>
        <w:t xml:space="preserve">PPL Electric commits to hold a collaborative by May 31, 2016, with all interested stakeholders to discuss and evaluate CAP customer participation in the competitive shopping market as set forth in OCA Statement No. 4 and CAUSE-PA Statement No. 1-R.  In advance of the collaborative, PPL Electric shall obtain and provide data to </w:t>
      </w:r>
      <w:r w:rsidRPr="00A22125">
        <w:rPr>
          <w:sz w:val="26"/>
          <w:szCs w:val="26"/>
        </w:rPr>
        <w:lastRenderedPageBreak/>
        <w:t>interested stakeholders regarding the number of CAP customers that are shopping, whether the rates paid by shopping CAP customers is above or below the Price to Compare, and the impact that shopping CAP customers have on CAP credits and CAP customers</w:t>
      </w:r>
      <w:r w:rsidR="00EE6F5E">
        <w:rPr>
          <w:sz w:val="26"/>
          <w:szCs w:val="26"/>
        </w:rPr>
        <w:t>’</w:t>
      </w:r>
      <w:r w:rsidRPr="00A22125">
        <w:rPr>
          <w:sz w:val="26"/>
          <w:szCs w:val="26"/>
        </w:rPr>
        <w:t xml:space="preserve"> bills.  The Joint Petitioners reserve the right to evaluate further revisions to CAP customer participation in the competitive shopping market and to recommend changes to CAP customer shopping in the Company</w:t>
      </w:r>
      <w:r w:rsidR="00EE6F5E">
        <w:rPr>
          <w:sz w:val="26"/>
          <w:szCs w:val="26"/>
        </w:rPr>
        <w:t>’</w:t>
      </w:r>
      <w:r w:rsidRPr="00A22125">
        <w:rPr>
          <w:sz w:val="26"/>
          <w:szCs w:val="26"/>
        </w:rPr>
        <w:t xml:space="preserve">s next default service procurement plan proceeding.  The Joint Petitioners retain the right to review and file testimony concerning any such proposals as permitted by the normal Commission process for review of the default service plan proceeding.  </w:t>
      </w:r>
    </w:p>
    <w:p w:rsidR="00FF5E61" w:rsidRPr="00FF5E61" w:rsidRDefault="00FF5E61" w:rsidP="00FF5E61">
      <w:pPr>
        <w:ind w:left="1440" w:right="1440"/>
        <w:rPr>
          <w:sz w:val="26"/>
          <w:szCs w:val="26"/>
        </w:rPr>
      </w:pPr>
    </w:p>
    <w:p w:rsidR="00DE6AB6" w:rsidRPr="00DE6AB6" w:rsidRDefault="00DE6AB6" w:rsidP="00DE6AB6">
      <w:pPr>
        <w:ind w:left="1440" w:right="1440"/>
        <w:rPr>
          <w:b/>
          <w:sz w:val="26"/>
          <w:szCs w:val="26"/>
        </w:rPr>
      </w:pPr>
      <w:r w:rsidRPr="00DE6AB6">
        <w:rPr>
          <w:b/>
          <w:sz w:val="26"/>
          <w:szCs w:val="26"/>
        </w:rPr>
        <w:t>I.</w:t>
      </w:r>
      <w:r w:rsidRPr="00DE6AB6">
        <w:rPr>
          <w:b/>
          <w:sz w:val="26"/>
          <w:szCs w:val="26"/>
        </w:rPr>
        <w:tab/>
        <w:t>NET METERING</w:t>
      </w:r>
    </w:p>
    <w:p w:rsidR="00DE6AB6" w:rsidRPr="00DE6AB6" w:rsidRDefault="00DE6AB6" w:rsidP="00DE6AB6">
      <w:pPr>
        <w:ind w:left="1440" w:right="1440"/>
        <w:rPr>
          <w:b/>
          <w:sz w:val="26"/>
          <w:szCs w:val="26"/>
        </w:rPr>
      </w:pPr>
    </w:p>
    <w:p w:rsidR="00DE6AB6" w:rsidRPr="00DE6AB6" w:rsidRDefault="00DE6AB6" w:rsidP="00DE6AB6">
      <w:pPr>
        <w:ind w:left="1440" w:right="1440"/>
        <w:rPr>
          <w:sz w:val="26"/>
          <w:szCs w:val="26"/>
        </w:rPr>
      </w:pPr>
      <w:r w:rsidRPr="00DE6AB6">
        <w:rPr>
          <w:b/>
          <w:sz w:val="26"/>
          <w:szCs w:val="26"/>
        </w:rPr>
        <w:tab/>
      </w:r>
      <w:r w:rsidRPr="00DE6AB6">
        <w:rPr>
          <w:sz w:val="26"/>
          <w:szCs w:val="26"/>
        </w:rPr>
        <w:t>50.</w:t>
      </w:r>
      <w:r w:rsidRPr="00DE6AB6">
        <w:rPr>
          <w:b/>
          <w:sz w:val="26"/>
          <w:szCs w:val="26"/>
        </w:rPr>
        <w:tab/>
      </w:r>
      <w:r w:rsidRPr="00DE6AB6">
        <w:rPr>
          <w:sz w:val="26"/>
          <w:szCs w:val="26"/>
        </w:rPr>
        <w:t>PPL Electric</w:t>
      </w:r>
      <w:r w:rsidR="00EE6F5E">
        <w:rPr>
          <w:sz w:val="26"/>
          <w:szCs w:val="26"/>
        </w:rPr>
        <w:t>’</w:t>
      </w:r>
      <w:r w:rsidRPr="00DE6AB6">
        <w:rPr>
          <w:sz w:val="26"/>
          <w:szCs w:val="26"/>
        </w:rPr>
        <w:t xml:space="preserve">s proposal to revise Rate Schedule RS to move residential customers with a renewable generation facility greater than 50 kW from residential rates to a general service rate is adopted.  </w:t>
      </w:r>
    </w:p>
    <w:p w:rsidR="00DE6AB6" w:rsidRPr="00DE6AB6" w:rsidRDefault="00DE6AB6" w:rsidP="00DE6AB6">
      <w:pPr>
        <w:ind w:left="1440" w:right="1440"/>
        <w:rPr>
          <w:sz w:val="26"/>
          <w:szCs w:val="26"/>
        </w:rPr>
      </w:pPr>
    </w:p>
    <w:p w:rsidR="00DE6AB6" w:rsidRPr="00DE6AB6" w:rsidRDefault="00DE6AB6" w:rsidP="00DE6AB6">
      <w:pPr>
        <w:ind w:left="1440" w:right="1440"/>
        <w:rPr>
          <w:sz w:val="26"/>
          <w:szCs w:val="26"/>
        </w:rPr>
      </w:pPr>
      <w:r w:rsidRPr="00DE6AB6">
        <w:rPr>
          <w:sz w:val="26"/>
          <w:szCs w:val="26"/>
        </w:rPr>
        <w:tab/>
        <w:t>51.</w:t>
      </w:r>
      <w:r w:rsidRPr="00DE6AB6">
        <w:rPr>
          <w:sz w:val="26"/>
          <w:szCs w:val="26"/>
        </w:rPr>
        <w:tab/>
        <w:t>PPL Electric</w:t>
      </w:r>
      <w:r w:rsidR="00EE6F5E">
        <w:rPr>
          <w:sz w:val="26"/>
          <w:szCs w:val="26"/>
        </w:rPr>
        <w:t>’</w:t>
      </w:r>
      <w:r w:rsidRPr="00DE6AB6">
        <w:rPr>
          <w:sz w:val="26"/>
          <w:szCs w:val="26"/>
        </w:rPr>
        <w:t xml:space="preserve">s proposed revisions to its Net Metering tariff provisions on (Tariff Pages 19L.2 and 19L.4) are withdrawn with the exception of the proposal to eliminate the Time-of-Use language.  </w:t>
      </w:r>
    </w:p>
    <w:p w:rsidR="00DE6AB6" w:rsidRPr="00DE6AB6" w:rsidRDefault="00DE6AB6" w:rsidP="00DE6AB6">
      <w:pPr>
        <w:ind w:left="1440" w:right="1440"/>
        <w:rPr>
          <w:sz w:val="26"/>
          <w:szCs w:val="26"/>
        </w:rPr>
      </w:pPr>
    </w:p>
    <w:p w:rsidR="00DE6AB6" w:rsidRPr="00DE6AB6" w:rsidRDefault="00DE6AB6" w:rsidP="00DE6AB6">
      <w:pPr>
        <w:ind w:left="1440" w:right="1440"/>
        <w:rPr>
          <w:b/>
          <w:sz w:val="26"/>
          <w:szCs w:val="26"/>
        </w:rPr>
      </w:pPr>
      <w:r w:rsidRPr="00DE6AB6">
        <w:rPr>
          <w:b/>
          <w:sz w:val="26"/>
          <w:szCs w:val="26"/>
        </w:rPr>
        <w:t>J.</w:t>
      </w:r>
      <w:r w:rsidRPr="00DE6AB6">
        <w:rPr>
          <w:b/>
          <w:sz w:val="26"/>
          <w:szCs w:val="26"/>
        </w:rPr>
        <w:tab/>
        <w:t>INTERCONNECTION RULES</w:t>
      </w:r>
    </w:p>
    <w:p w:rsidR="00DE6AB6" w:rsidRPr="00DE6AB6" w:rsidRDefault="00DE6AB6" w:rsidP="00DE6AB6">
      <w:pPr>
        <w:ind w:left="1440" w:right="1440"/>
        <w:rPr>
          <w:b/>
          <w:sz w:val="26"/>
          <w:szCs w:val="26"/>
        </w:rPr>
      </w:pPr>
    </w:p>
    <w:p w:rsidR="00DE6AB6" w:rsidRPr="00DE6AB6" w:rsidRDefault="00DE6AB6" w:rsidP="00DE6AB6">
      <w:pPr>
        <w:ind w:left="1440" w:right="1440"/>
        <w:rPr>
          <w:sz w:val="26"/>
          <w:szCs w:val="26"/>
        </w:rPr>
      </w:pPr>
      <w:r w:rsidRPr="00DE6AB6">
        <w:rPr>
          <w:b/>
          <w:sz w:val="26"/>
          <w:szCs w:val="26"/>
        </w:rPr>
        <w:tab/>
      </w:r>
      <w:r w:rsidRPr="00DE6AB6">
        <w:rPr>
          <w:sz w:val="26"/>
          <w:szCs w:val="26"/>
        </w:rPr>
        <w:t>52.</w:t>
      </w:r>
      <w:r w:rsidRPr="00DE6AB6">
        <w:rPr>
          <w:b/>
          <w:sz w:val="26"/>
          <w:szCs w:val="26"/>
        </w:rPr>
        <w:tab/>
      </w:r>
      <w:r w:rsidRPr="00DE6AB6">
        <w:rPr>
          <w:sz w:val="26"/>
          <w:szCs w:val="26"/>
        </w:rPr>
        <w:t>For Level 1, 2, 3, and 4 interconnection requests, PPL Electric will undertake best efforts to return a fully executed Certificate of Completion, approving the facility for operation, within (i) ten days from the date of a witness test or inspection that confirms all the equipment has been properly installed and that all electrical connections meet the Company</w:t>
      </w:r>
      <w:r w:rsidR="00EE6F5E">
        <w:rPr>
          <w:sz w:val="26"/>
          <w:szCs w:val="26"/>
        </w:rPr>
        <w:t>’</w:t>
      </w:r>
      <w:r w:rsidRPr="00DE6AB6">
        <w:rPr>
          <w:sz w:val="26"/>
          <w:szCs w:val="26"/>
        </w:rPr>
        <w:t xml:space="preserve">s requirements, or (ii) ten days after the witness test has been deemed waived. </w:t>
      </w:r>
    </w:p>
    <w:p w:rsidR="00DE6AB6" w:rsidRPr="00DE6AB6" w:rsidRDefault="00DE6AB6" w:rsidP="00DE6AB6">
      <w:pPr>
        <w:ind w:left="1440" w:right="1440"/>
        <w:rPr>
          <w:sz w:val="26"/>
          <w:szCs w:val="26"/>
        </w:rPr>
      </w:pPr>
    </w:p>
    <w:p w:rsidR="00DE6AB6" w:rsidRPr="00DE6AB6" w:rsidRDefault="00DE6AB6" w:rsidP="00DE6AB6">
      <w:pPr>
        <w:ind w:left="1440" w:right="1440"/>
        <w:rPr>
          <w:sz w:val="26"/>
          <w:szCs w:val="26"/>
        </w:rPr>
      </w:pPr>
      <w:r w:rsidRPr="00DE6AB6">
        <w:rPr>
          <w:sz w:val="26"/>
          <w:szCs w:val="26"/>
        </w:rPr>
        <w:tab/>
        <w:t>53.</w:t>
      </w:r>
      <w:r w:rsidRPr="00DE6AB6">
        <w:rPr>
          <w:sz w:val="26"/>
          <w:szCs w:val="26"/>
        </w:rPr>
        <w:tab/>
        <w:t>PPL Electric agrees to undertake a study of the legality, feasibility, and technical requirements of interconnecting distributed generation storage and battery facilities, including solar storage facilities.  PPL Electric agrees to consult with TASC in preparing the study.</w:t>
      </w:r>
    </w:p>
    <w:p w:rsidR="00DE6AB6" w:rsidRPr="00DE6AB6" w:rsidRDefault="00DE6AB6" w:rsidP="00DE6AB6">
      <w:pPr>
        <w:ind w:left="1440" w:right="1440"/>
        <w:rPr>
          <w:sz w:val="26"/>
          <w:szCs w:val="26"/>
        </w:rPr>
      </w:pPr>
    </w:p>
    <w:p w:rsidR="00DE6AB6" w:rsidRPr="00DE6AB6" w:rsidRDefault="00DE6AB6" w:rsidP="00DE6AB6">
      <w:pPr>
        <w:ind w:left="1440" w:right="1440"/>
        <w:rPr>
          <w:sz w:val="26"/>
          <w:szCs w:val="26"/>
        </w:rPr>
      </w:pPr>
      <w:r w:rsidRPr="00DE6AB6">
        <w:rPr>
          <w:sz w:val="26"/>
          <w:szCs w:val="26"/>
        </w:rPr>
        <w:lastRenderedPageBreak/>
        <w:tab/>
        <w:t>54.</w:t>
      </w:r>
      <w:r w:rsidRPr="00DE6AB6">
        <w:rPr>
          <w:sz w:val="26"/>
          <w:szCs w:val="26"/>
        </w:rPr>
        <w:tab/>
        <w:t>The Joint Petitioners agree that TASC</w:t>
      </w:r>
      <w:r w:rsidR="00EE6F5E">
        <w:rPr>
          <w:sz w:val="26"/>
          <w:szCs w:val="26"/>
        </w:rPr>
        <w:t>’</w:t>
      </w:r>
      <w:r w:rsidRPr="00DE6AB6">
        <w:rPr>
          <w:sz w:val="26"/>
          <w:szCs w:val="26"/>
        </w:rPr>
        <w:t>s proposed distributed generation interconnection standards and reporting requirements should be addressed through a statewide proceeding that provides all potentially affected parties with the opportunity to fully participate and/or comment.  In the event that the Commission initiates a statewide stakeholder collaborative or discussion of the distributed generation interconnection standards and reporting requirements, PPL Electric agrees not to oppose the opening of a statewide process and will participate in any such proceeding.  PPL Electric reserves the right to raise any and all arguments and positions in any such stakeholder process (other than an opposition to holding such a process), and this agreement is made without any admission against, or prejudice to, any position that any party may raise in any such stakeholder process.</w:t>
      </w:r>
    </w:p>
    <w:p w:rsidR="00DE6AB6" w:rsidRPr="00DE6AB6" w:rsidRDefault="00DE6AB6" w:rsidP="00DE6AB6">
      <w:pPr>
        <w:ind w:left="1440" w:right="1440"/>
        <w:rPr>
          <w:sz w:val="26"/>
          <w:szCs w:val="26"/>
        </w:rPr>
      </w:pPr>
    </w:p>
    <w:p w:rsidR="00DE6AB6" w:rsidRPr="00DE6AB6" w:rsidRDefault="00DE6AB6" w:rsidP="00DE6AB6">
      <w:pPr>
        <w:ind w:left="1440" w:right="1440"/>
        <w:rPr>
          <w:b/>
          <w:sz w:val="26"/>
          <w:szCs w:val="26"/>
        </w:rPr>
      </w:pPr>
      <w:r w:rsidRPr="00DE6AB6">
        <w:rPr>
          <w:b/>
          <w:sz w:val="26"/>
          <w:szCs w:val="26"/>
        </w:rPr>
        <w:t>K.</w:t>
      </w:r>
      <w:r w:rsidRPr="00DE6AB6">
        <w:rPr>
          <w:b/>
          <w:sz w:val="26"/>
          <w:szCs w:val="26"/>
        </w:rPr>
        <w:tab/>
        <w:t>REVENUE DECOUPLING</w:t>
      </w:r>
      <w:r w:rsidR="00557C71">
        <w:rPr>
          <w:rStyle w:val="FootnoteReference"/>
          <w:b/>
          <w:sz w:val="26"/>
          <w:szCs w:val="26"/>
        </w:rPr>
        <w:footnoteReference w:id="7"/>
      </w:r>
    </w:p>
    <w:p w:rsidR="00DE6AB6" w:rsidRPr="00DE6AB6" w:rsidRDefault="00DE6AB6" w:rsidP="00DE6AB6">
      <w:pPr>
        <w:ind w:left="1440" w:right="1440"/>
        <w:rPr>
          <w:sz w:val="26"/>
          <w:szCs w:val="26"/>
        </w:rPr>
      </w:pPr>
    </w:p>
    <w:p w:rsidR="00DE6AB6" w:rsidRDefault="00DE6AB6" w:rsidP="00DE6AB6">
      <w:pPr>
        <w:ind w:left="1440" w:right="1440"/>
        <w:rPr>
          <w:sz w:val="26"/>
          <w:szCs w:val="26"/>
        </w:rPr>
      </w:pPr>
      <w:r w:rsidRPr="00DE6AB6">
        <w:rPr>
          <w:sz w:val="26"/>
          <w:szCs w:val="26"/>
        </w:rPr>
        <w:tab/>
        <w:t>55.</w:t>
      </w:r>
      <w:r w:rsidRPr="00DE6AB6">
        <w:rPr>
          <w:sz w:val="26"/>
          <w:szCs w:val="26"/>
        </w:rPr>
        <w:tab/>
        <w:t>On or before March 1, 2016, PPL Electric will hold a collaborative open to all interested parties to seek input regarding revenue decoupling.  All Joint Petitioners reserve their right to raise any and all arguments and positions in the collaborative, or to the Commission, including opposing the implementation of decoupling in whole or in part.</w:t>
      </w:r>
      <w:r w:rsidR="009711FB" w:rsidRPr="009711FB">
        <w:rPr>
          <w:sz w:val="26"/>
          <w:szCs w:val="26"/>
          <w:vertAlign w:val="superscript"/>
        </w:rPr>
        <w:t>3</w:t>
      </w:r>
      <w:r w:rsidRPr="00DE6AB6">
        <w:rPr>
          <w:sz w:val="26"/>
          <w:szCs w:val="26"/>
        </w:rPr>
        <w:t xml:space="preserve">  </w:t>
      </w:r>
    </w:p>
    <w:p w:rsidR="002D3777" w:rsidRPr="00DE6AB6" w:rsidRDefault="002D3777" w:rsidP="00DE6AB6">
      <w:pPr>
        <w:ind w:left="1440" w:right="1440"/>
        <w:rPr>
          <w:sz w:val="26"/>
          <w:szCs w:val="26"/>
        </w:rPr>
      </w:pPr>
    </w:p>
    <w:p w:rsidR="009711FB" w:rsidRDefault="009711FB" w:rsidP="00296AA1">
      <w:pPr>
        <w:spacing w:line="360" w:lineRule="auto"/>
        <w:ind w:left="1440" w:right="1440"/>
        <w:rPr>
          <w:sz w:val="26"/>
          <w:szCs w:val="26"/>
        </w:rPr>
      </w:pPr>
      <w:r>
        <w:rPr>
          <w:sz w:val="26"/>
          <w:szCs w:val="26"/>
        </w:rPr>
        <w:t>_________________</w:t>
      </w:r>
    </w:p>
    <w:p w:rsidR="009711FB" w:rsidRDefault="009711FB" w:rsidP="009711FB">
      <w:pPr>
        <w:tabs>
          <w:tab w:val="left" w:pos="2160"/>
        </w:tabs>
        <w:ind w:left="1440" w:right="1440"/>
        <w:rPr>
          <w:sz w:val="26"/>
          <w:szCs w:val="26"/>
        </w:rPr>
      </w:pPr>
      <w:r>
        <w:rPr>
          <w:sz w:val="26"/>
          <w:szCs w:val="26"/>
        </w:rPr>
        <w:tab/>
      </w:r>
      <w:r w:rsidRPr="009711FB">
        <w:rPr>
          <w:sz w:val="26"/>
          <w:szCs w:val="26"/>
          <w:vertAlign w:val="superscript"/>
        </w:rPr>
        <w:t>3</w:t>
      </w:r>
      <w:r>
        <w:rPr>
          <w:sz w:val="26"/>
          <w:szCs w:val="26"/>
          <w:vertAlign w:val="superscript"/>
        </w:rPr>
        <w:tab/>
      </w:r>
      <w:r w:rsidRPr="009711FB">
        <w:rPr>
          <w:sz w:val="26"/>
          <w:szCs w:val="26"/>
        </w:rPr>
        <w:t>I&amp;E, PPLICA, and CEO do not endorse or support the revenue decoupling collaborative in Paragraph 55 but, for the sole purpose of reaching a settlement of this rate case, do not actively oppose Paragraph 55</w:t>
      </w:r>
      <w:r>
        <w:rPr>
          <w:sz w:val="26"/>
          <w:szCs w:val="26"/>
        </w:rPr>
        <w:t>.</w:t>
      </w:r>
    </w:p>
    <w:p w:rsidR="009711FB" w:rsidRDefault="009711FB" w:rsidP="009711FB">
      <w:pPr>
        <w:tabs>
          <w:tab w:val="left" w:pos="2160"/>
        </w:tabs>
        <w:ind w:left="1440" w:right="1440"/>
        <w:rPr>
          <w:sz w:val="26"/>
          <w:szCs w:val="26"/>
        </w:rPr>
      </w:pPr>
    </w:p>
    <w:p w:rsidR="009711FB" w:rsidRPr="009711FB" w:rsidRDefault="009711FB" w:rsidP="009711FB">
      <w:pPr>
        <w:tabs>
          <w:tab w:val="left" w:pos="2160"/>
        </w:tabs>
        <w:ind w:left="1440" w:right="1440"/>
        <w:rPr>
          <w:sz w:val="26"/>
          <w:szCs w:val="26"/>
        </w:rPr>
      </w:pPr>
    </w:p>
    <w:p w:rsidR="002D3777" w:rsidRDefault="002D3777" w:rsidP="00EC1A44">
      <w:pPr>
        <w:spacing w:line="360" w:lineRule="auto"/>
        <w:rPr>
          <w:sz w:val="26"/>
          <w:szCs w:val="26"/>
        </w:rPr>
      </w:pPr>
      <w:r>
        <w:rPr>
          <w:sz w:val="26"/>
          <w:szCs w:val="26"/>
        </w:rPr>
        <w:t>Joint Petition at 7-15.</w:t>
      </w:r>
    </w:p>
    <w:p w:rsidR="00891892" w:rsidRDefault="00891892" w:rsidP="00EC1A44">
      <w:pPr>
        <w:spacing w:line="360" w:lineRule="auto"/>
      </w:pPr>
    </w:p>
    <w:p w:rsidR="00630850" w:rsidRPr="00630850" w:rsidRDefault="00296AA1" w:rsidP="00826474">
      <w:pPr>
        <w:spacing w:line="360" w:lineRule="auto"/>
        <w:ind w:firstLine="1440"/>
        <w:rPr>
          <w:sz w:val="26"/>
          <w:szCs w:val="26"/>
        </w:rPr>
      </w:pPr>
      <w:r w:rsidRPr="00296AA1">
        <w:rPr>
          <w:sz w:val="26"/>
          <w:szCs w:val="26"/>
        </w:rPr>
        <w:t>The Settlement</w:t>
      </w:r>
      <w:r w:rsidR="00EC1A44" w:rsidRPr="00296AA1">
        <w:rPr>
          <w:sz w:val="26"/>
          <w:szCs w:val="26"/>
        </w:rPr>
        <w:t xml:space="preserve"> is conditioned upon the Commission</w:t>
      </w:r>
      <w:r w:rsidR="00EE6F5E">
        <w:rPr>
          <w:sz w:val="26"/>
          <w:szCs w:val="26"/>
        </w:rPr>
        <w:t>’</w:t>
      </w:r>
      <w:r w:rsidR="00EC1A44" w:rsidRPr="00296AA1">
        <w:rPr>
          <w:sz w:val="26"/>
          <w:szCs w:val="26"/>
        </w:rPr>
        <w:t xml:space="preserve">s approval of the terms and conditions contained therein without modification.  The Joint Petitioners agree </w:t>
      </w:r>
      <w:r w:rsidR="00EC1A44" w:rsidRPr="00296AA1">
        <w:rPr>
          <w:sz w:val="26"/>
          <w:szCs w:val="26"/>
        </w:rPr>
        <w:lastRenderedPageBreak/>
        <w:t>that if the Commis</w:t>
      </w:r>
      <w:r w:rsidRPr="00296AA1">
        <w:rPr>
          <w:sz w:val="26"/>
          <w:szCs w:val="26"/>
        </w:rPr>
        <w:t>sion modifies the Settlement</w:t>
      </w:r>
      <w:r w:rsidR="00EC1A44" w:rsidRPr="00296AA1">
        <w:rPr>
          <w:sz w:val="26"/>
          <w:szCs w:val="26"/>
        </w:rPr>
        <w:t>, then any Joint Petitioner may elect to withdraw from the Joint Petition and may proceed with litigation and, i</w:t>
      </w:r>
      <w:r w:rsidRPr="00296AA1">
        <w:rPr>
          <w:sz w:val="26"/>
          <w:szCs w:val="26"/>
        </w:rPr>
        <w:t>n such event, the Settlement</w:t>
      </w:r>
      <w:r w:rsidR="00EC1A44" w:rsidRPr="00296AA1">
        <w:rPr>
          <w:sz w:val="26"/>
          <w:szCs w:val="26"/>
        </w:rPr>
        <w:t xml:space="preserve"> shall be void and of no effect.</w:t>
      </w:r>
      <w:r w:rsidR="00630850">
        <w:rPr>
          <w:sz w:val="26"/>
          <w:szCs w:val="26"/>
        </w:rPr>
        <w:t xml:space="preserve">  </w:t>
      </w:r>
      <w:r w:rsidR="00EC1A44" w:rsidRPr="00630850">
        <w:rPr>
          <w:sz w:val="26"/>
          <w:szCs w:val="26"/>
        </w:rPr>
        <w:t>The Joint Petitioners acknowledge and agree that</w:t>
      </w:r>
      <w:r w:rsidR="00630850" w:rsidRPr="00630850">
        <w:rPr>
          <w:sz w:val="26"/>
          <w:szCs w:val="26"/>
        </w:rPr>
        <w:t xml:space="preserve"> if the Settlement is approved, </w:t>
      </w:r>
      <w:r w:rsidR="00630850">
        <w:rPr>
          <w:sz w:val="26"/>
          <w:szCs w:val="26"/>
        </w:rPr>
        <w:t>the rates, rules, and proposals set forth in PPL</w:t>
      </w:r>
      <w:r w:rsidR="00EE6F5E">
        <w:rPr>
          <w:sz w:val="26"/>
          <w:szCs w:val="26"/>
        </w:rPr>
        <w:t>’</w:t>
      </w:r>
      <w:r w:rsidR="00630850">
        <w:rPr>
          <w:sz w:val="26"/>
          <w:szCs w:val="26"/>
        </w:rPr>
        <w:t xml:space="preserve">s base rate filing, as modified by the Settlement, shall be Commission-made rates.  </w:t>
      </w:r>
      <w:r w:rsidR="00955B0C">
        <w:rPr>
          <w:i/>
          <w:sz w:val="26"/>
          <w:szCs w:val="26"/>
        </w:rPr>
        <w:t>Id.</w:t>
      </w:r>
      <w:r w:rsidR="00630850">
        <w:rPr>
          <w:sz w:val="26"/>
          <w:szCs w:val="26"/>
        </w:rPr>
        <w:t xml:space="preserve"> at 16.</w:t>
      </w:r>
    </w:p>
    <w:p w:rsidR="00630850" w:rsidRPr="00630850" w:rsidRDefault="00630850" w:rsidP="00EC1A44">
      <w:pPr>
        <w:spacing w:line="360" w:lineRule="auto"/>
        <w:rPr>
          <w:sz w:val="26"/>
          <w:szCs w:val="26"/>
        </w:rPr>
      </w:pPr>
    </w:p>
    <w:p w:rsidR="00EC1A44" w:rsidRPr="00E966F4" w:rsidRDefault="00EB004C" w:rsidP="00EC1A44">
      <w:pPr>
        <w:spacing w:line="360" w:lineRule="auto"/>
        <w:rPr>
          <w:sz w:val="26"/>
          <w:szCs w:val="26"/>
        </w:rPr>
      </w:pPr>
      <w:r>
        <w:rPr>
          <w:sz w:val="26"/>
          <w:szCs w:val="26"/>
        </w:rPr>
        <w:tab/>
      </w:r>
      <w:r>
        <w:rPr>
          <w:sz w:val="26"/>
          <w:szCs w:val="26"/>
        </w:rPr>
        <w:tab/>
        <w:t xml:space="preserve">The Joint Petitioners agree </w:t>
      </w:r>
      <w:r w:rsidRPr="00EB004C">
        <w:rPr>
          <w:sz w:val="26"/>
          <w:szCs w:val="26"/>
        </w:rPr>
        <w:t>that i</w:t>
      </w:r>
      <w:r w:rsidR="00EC1A44" w:rsidRPr="00EB004C">
        <w:rPr>
          <w:sz w:val="26"/>
          <w:szCs w:val="26"/>
        </w:rPr>
        <w:t>f the Commission does not approve the Settlement and the proceedin</w:t>
      </w:r>
      <w:r w:rsidRPr="00EB004C">
        <w:rPr>
          <w:sz w:val="26"/>
          <w:szCs w:val="26"/>
        </w:rPr>
        <w:t>gs continue</w:t>
      </w:r>
      <w:r w:rsidR="00EC1A44" w:rsidRPr="00EB004C">
        <w:rPr>
          <w:sz w:val="26"/>
          <w:szCs w:val="26"/>
        </w:rPr>
        <w:t xml:space="preserve">, the Joint Petitioners reserve their respective rights to </w:t>
      </w:r>
      <w:r w:rsidRPr="00EB004C">
        <w:rPr>
          <w:sz w:val="26"/>
          <w:szCs w:val="26"/>
        </w:rPr>
        <w:t xml:space="preserve">evidentiary hearings, submission of </w:t>
      </w:r>
      <w:r w:rsidR="00EC1A44" w:rsidRPr="00EB004C">
        <w:rPr>
          <w:sz w:val="26"/>
          <w:szCs w:val="26"/>
        </w:rPr>
        <w:t>additional testimony</w:t>
      </w:r>
      <w:r w:rsidRPr="00EB004C">
        <w:rPr>
          <w:sz w:val="26"/>
          <w:szCs w:val="26"/>
        </w:rPr>
        <w:t xml:space="preserve"> and exhibits, </w:t>
      </w:r>
      <w:r w:rsidR="00EC1A44" w:rsidRPr="00EB004C">
        <w:rPr>
          <w:sz w:val="26"/>
          <w:szCs w:val="26"/>
        </w:rPr>
        <w:t>cross-examination</w:t>
      </w:r>
      <w:r w:rsidRPr="00EB004C">
        <w:rPr>
          <w:sz w:val="26"/>
          <w:szCs w:val="26"/>
        </w:rPr>
        <w:t xml:space="preserve"> of witnesses, </w:t>
      </w:r>
      <w:r w:rsidR="00EC1A44" w:rsidRPr="00EB004C">
        <w:rPr>
          <w:sz w:val="26"/>
          <w:szCs w:val="26"/>
        </w:rPr>
        <w:t>briefing</w:t>
      </w:r>
      <w:r w:rsidRPr="00EB004C">
        <w:rPr>
          <w:sz w:val="26"/>
          <w:szCs w:val="26"/>
        </w:rPr>
        <w:t>,</w:t>
      </w:r>
      <w:r w:rsidR="00EC1A44" w:rsidRPr="00EB004C">
        <w:rPr>
          <w:sz w:val="26"/>
          <w:szCs w:val="26"/>
        </w:rPr>
        <w:t xml:space="preserve"> and argument</w:t>
      </w:r>
      <w:r w:rsidRPr="00EB004C">
        <w:rPr>
          <w:sz w:val="26"/>
          <w:szCs w:val="26"/>
        </w:rPr>
        <w:t xml:space="preserve"> of their respective positions</w:t>
      </w:r>
      <w:r w:rsidR="00EC1A44" w:rsidRPr="00EB004C">
        <w:rPr>
          <w:sz w:val="26"/>
          <w:szCs w:val="26"/>
        </w:rPr>
        <w:t>.  The Joint Petitioners furt</w:t>
      </w:r>
      <w:r w:rsidR="00C50D45" w:rsidRPr="00EB004C">
        <w:rPr>
          <w:sz w:val="26"/>
          <w:szCs w:val="26"/>
        </w:rPr>
        <w:t>her agree that the</w:t>
      </w:r>
      <w:r w:rsidR="00EC1A44" w:rsidRPr="00EB004C">
        <w:rPr>
          <w:sz w:val="26"/>
          <w:szCs w:val="26"/>
        </w:rPr>
        <w:t xml:space="preserve"> Settlement is made without any admission against, or </w:t>
      </w:r>
      <w:r w:rsidR="00EC1A44" w:rsidRPr="00E966F4">
        <w:rPr>
          <w:sz w:val="26"/>
          <w:szCs w:val="26"/>
        </w:rPr>
        <w:t>prejudice to, any position that any Joint Petitioner may adopt in the event of any further litigation in these proceedings</w:t>
      </w:r>
      <w:r w:rsidRPr="00E966F4">
        <w:rPr>
          <w:sz w:val="26"/>
          <w:szCs w:val="26"/>
        </w:rPr>
        <w:t xml:space="preserve"> or any other proceeding</w:t>
      </w:r>
      <w:r w:rsidR="00EC1A44" w:rsidRPr="00E966F4">
        <w:rPr>
          <w:sz w:val="26"/>
          <w:szCs w:val="26"/>
        </w:rPr>
        <w:t>.</w:t>
      </w:r>
      <w:r w:rsidR="00C50D45" w:rsidRPr="00E966F4">
        <w:rPr>
          <w:sz w:val="26"/>
          <w:szCs w:val="26"/>
        </w:rPr>
        <w:t xml:space="preserve">  </w:t>
      </w:r>
      <w:r w:rsidR="00C50D45" w:rsidRPr="00E966F4">
        <w:rPr>
          <w:i/>
          <w:sz w:val="26"/>
          <w:szCs w:val="26"/>
        </w:rPr>
        <w:t>Id</w:t>
      </w:r>
      <w:r w:rsidR="00C50D45" w:rsidRPr="00E966F4">
        <w:rPr>
          <w:sz w:val="26"/>
          <w:szCs w:val="26"/>
        </w:rPr>
        <w:t xml:space="preserve">. at </w:t>
      </w:r>
      <w:r w:rsidRPr="00E966F4">
        <w:rPr>
          <w:sz w:val="26"/>
          <w:szCs w:val="26"/>
        </w:rPr>
        <w:t>16-17</w:t>
      </w:r>
      <w:r w:rsidR="00EC1A44" w:rsidRPr="00E966F4">
        <w:rPr>
          <w:sz w:val="26"/>
          <w:szCs w:val="26"/>
        </w:rPr>
        <w:t xml:space="preserve">.  </w:t>
      </w:r>
    </w:p>
    <w:p w:rsidR="00EC1A44" w:rsidRPr="00E966F4" w:rsidRDefault="00EC1A44" w:rsidP="00EC1A44">
      <w:pPr>
        <w:spacing w:line="360" w:lineRule="auto"/>
        <w:rPr>
          <w:sz w:val="26"/>
          <w:szCs w:val="26"/>
        </w:rPr>
      </w:pPr>
    </w:p>
    <w:p w:rsidR="00EC1A44" w:rsidRDefault="001F240E" w:rsidP="00E966F4">
      <w:pPr>
        <w:spacing w:line="360" w:lineRule="auto"/>
        <w:rPr>
          <w:sz w:val="26"/>
          <w:szCs w:val="26"/>
        </w:rPr>
      </w:pPr>
      <w:r w:rsidRPr="00E966F4">
        <w:rPr>
          <w:sz w:val="26"/>
          <w:szCs w:val="26"/>
        </w:rPr>
        <w:tab/>
      </w:r>
      <w:r w:rsidRPr="00E966F4">
        <w:rPr>
          <w:sz w:val="26"/>
          <w:szCs w:val="26"/>
        </w:rPr>
        <w:tab/>
      </w:r>
      <w:r w:rsidR="003B74B5">
        <w:rPr>
          <w:sz w:val="26"/>
          <w:szCs w:val="26"/>
        </w:rPr>
        <w:t>The Joint Petitioners acknowledge that the Settlement reflects a compromise of competing positions and does not necessarily reflect any Joint Petitioner</w:t>
      </w:r>
      <w:r w:rsidR="00EE6F5E">
        <w:rPr>
          <w:sz w:val="26"/>
          <w:szCs w:val="26"/>
        </w:rPr>
        <w:t>’</w:t>
      </w:r>
      <w:r w:rsidR="003B74B5">
        <w:rPr>
          <w:sz w:val="26"/>
          <w:szCs w:val="26"/>
        </w:rPr>
        <w:t>s position with respect to any issues raised in this proceeding.  The Joint Petitioners agree that the terms and conditions of the Settlement are limited to the facts of this specific case and are the product of compromise for the sole purpose of settling this case.  The Settlement is presented without prejudice to any position that any of the Joint Petitioners may have advanced and without prejudice to the position any of the Parties may advance on the merits of the issues in future proceedings.  The Joint Petitioners further agree that the Settlement does not preclude them from taking other positions in proceedings of other public utilities under Section 1308 of the Public Utility Code</w:t>
      </w:r>
      <w:r w:rsidR="00D97043">
        <w:rPr>
          <w:sz w:val="26"/>
          <w:szCs w:val="26"/>
        </w:rPr>
        <w:t xml:space="preserve"> (Code)</w:t>
      </w:r>
      <w:r w:rsidR="003B74B5">
        <w:rPr>
          <w:sz w:val="26"/>
          <w:szCs w:val="26"/>
        </w:rPr>
        <w:t xml:space="preserve">, 66 Pa. C.S. § 1308, or any other proceeding.  Finally, the Joint Petitioners agree that if the ALJ adopts the Settlement without modification, the Joint Petitioners waive their right to file Exceptions.  </w:t>
      </w:r>
      <w:r w:rsidR="003B74B5" w:rsidRPr="003B74B5">
        <w:rPr>
          <w:i/>
          <w:sz w:val="26"/>
          <w:szCs w:val="26"/>
        </w:rPr>
        <w:t>Id</w:t>
      </w:r>
      <w:r w:rsidR="003B74B5">
        <w:rPr>
          <w:sz w:val="26"/>
          <w:szCs w:val="26"/>
        </w:rPr>
        <w:t>. at 17.</w:t>
      </w:r>
    </w:p>
    <w:p w:rsidR="006405D7" w:rsidRDefault="006405D7" w:rsidP="00E966F4">
      <w:pPr>
        <w:spacing w:line="360" w:lineRule="auto"/>
        <w:rPr>
          <w:sz w:val="26"/>
          <w:szCs w:val="26"/>
        </w:rPr>
      </w:pPr>
    </w:p>
    <w:p w:rsidR="006405D7" w:rsidRPr="006405D7" w:rsidRDefault="003C67AF" w:rsidP="00D26F25">
      <w:pPr>
        <w:keepNext/>
        <w:spacing w:line="360" w:lineRule="auto"/>
        <w:rPr>
          <w:b/>
          <w:sz w:val="26"/>
          <w:szCs w:val="26"/>
        </w:rPr>
      </w:pPr>
      <w:r>
        <w:rPr>
          <w:b/>
          <w:sz w:val="26"/>
          <w:szCs w:val="26"/>
        </w:rPr>
        <w:lastRenderedPageBreak/>
        <w:t>B.</w:t>
      </w:r>
      <w:r>
        <w:rPr>
          <w:b/>
          <w:sz w:val="26"/>
          <w:szCs w:val="26"/>
        </w:rPr>
        <w:tab/>
        <w:t>Legal Standards</w:t>
      </w:r>
    </w:p>
    <w:p w:rsidR="00E966F4" w:rsidRDefault="00E966F4" w:rsidP="00D26F25">
      <w:pPr>
        <w:keepNext/>
        <w:spacing w:line="360" w:lineRule="auto"/>
        <w:rPr>
          <w:sz w:val="26"/>
          <w:szCs w:val="26"/>
        </w:rPr>
      </w:pPr>
    </w:p>
    <w:p w:rsidR="006405D7" w:rsidRPr="00D97043" w:rsidRDefault="006405D7" w:rsidP="006405D7">
      <w:pPr>
        <w:spacing w:line="360" w:lineRule="auto"/>
        <w:rPr>
          <w:sz w:val="26"/>
          <w:szCs w:val="26"/>
        </w:rPr>
      </w:pPr>
      <w:r w:rsidRPr="00D97043">
        <w:rPr>
          <w:sz w:val="26"/>
          <w:szCs w:val="26"/>
        </w:rPr>
        <w:tab/>
      </w:r>
      <w:r w:rsidRPr="00D97043">
        <w:rPr>
          <w:sz w:val="26"/>
          <w:szCs w:val="26"/>
        </w:rPr>
        <w:tab/>
        <w:t xml:space="preserve">The purpose of this investigation is to establish </w:t>
      </w:r>
      <w:r w:rsidRPr="00D97043">
        <w:rPr>
          <w:bCs/>
          <w:sz w:val="26"/>
          <w:szCs w:val="26"/>
        </w:rPr>
        <w:t>rates</w:t>
      </w:r>
      <w:r w:rsidRPr="00D97043">
        <w:rPr>
          <w:sz w:val="26"/>
          <w:szCs w:val="26"/>
        </w:rPr>
        <w:t xml:space="preserve"> for </w:t>
      </w:r>
      <w:r w:rsidR="00D97043" w:rsidRPr="00D97043">
        <w:rPr>
          <w:bCs/>
          <w:sz w:val="26"/>
          <w:szCs w:val="26"/>
        </w:rPr>
        <w:t>PPL</w:t>
      </w:r>
      <w:r w:rsidR="00EE6F5E">
        <w:rPr>
          <w:bCs/>
          <w:sz w:val="26"/>
          <w:szCs w:val="26"/>
        </w:rPr>
        <w:t>’</w:t>
      </w:r>
      <w:r w:rsidRPr="00D97043">
        <w:rPr>
          <w:bCs/>
          <w:sz w:val="26"/>
          <w:szCs w:val="26"/>
        </w:rPr>
        <w:t>s</w:t>
      </w:r>
      <w:r w:rsidR="00D97043" w:rsidRPr="00D97043">
        <w:rPr>
          <w:sz w:val="26"/>
          <w:szCs w:val="26"/>
        </w:rPr>
        <w:t xml:space="preserve"> customers that</w:t>
      </w:r>
      <w:r w:rsidRPr="00D97043">
        <w:rPr>
          <w:sz w:val="26"/>
          <w:szCs w:val="26"/>
        </w:rPr>
        <w:t xml:space="preserve"> are “just and reasonable” pursuant to Section 1301 of the Code, 66 Pa. C.S. § 1301.  A public utility seeking a general </w:t>
      </w:r>
      <w:r w:rsidRPr="00D97043">
        <w:rPr>
          <w:bCs/>
          <w:sz w:val="26"/>
          <w:szCs w:val="26"/>
        </w:rPr>
        <w:t>rate</w:t>
      </w:r>
      <w:r w:rsidRPr="00D97043">
        <w:rPr>
          <w:sz w:val="26"/>
          <w:szCs w:val="26"/>
        </w:rPr>
        <w:t xml:space="preserve"> increase is entitled to an opportunity to earn a fair </w:t>
      </w:r>
      <w:r w:rsidRPr="00D97043">
        <w:rPr>
          <w:bCs/>
          <w:sz w:val="26"/>
          <w:szCs w:val="26"/>
        </w:rPr>
        <w:t>rate</w:t>
      </w:r>
      <w:r w:rsidRPr="00D97043">
        <w:rPr>
          <w:sz w:val="26"/>
          <w:szCs w:val="26"/>
        </w:rPr>
        <w:t xml:space="preserve"> of return on the value of the property dedicated to public service.  </w:t>
      </w:r>
      <w:r w:rsidRPr="00D97043">
        <w:rPr>
          <w:i/>
          <w:iCs/>
          <w:sz w:val="26"/>
          <w:szCs w:val="26"/>
        </w:rPr>
        <w:t>Pennsylvania Gas and Water Co. v. P</w:t>
      </w:r>
      <w:r w:rsidR="009711FB">
        <w:rPr>
          <w:i/>
          <w:iCs/>
          <w:sz w:val="26"/>
          <w:szCs w:val="26"/>
        </w:rPr>
        <w:t>a. PUC</w:t>
      </w:r>
      <w:r w:rsidRPr="00D97043">
        <w:rPr>
          <w:sz w:val="26"/>
          <w:szCs w:val="26"/>
        </w:rPr>
        <w:t xml:space="preserve">, 341 A.2d 239 (Pa. Cmwlth. 1975).  In determining what constitutes a fair </w:t>
      </w:r>
      <w:r w:rsidRPr="00D97043">
        <w:rPr>
          <w:bCs/>
          <w:sz w:val="26"/>
          <w:szCs w:val="26"/>
        </w:rPr>
        <w:t>rate</w:t>
      </w:r>
      <w:r w:rsidRPr="00D97043">
        <w:rPr>
          <w:sz w:val="26"/>
          <w:szCs w:val="26"/>
        </w:rPr>
        <w:t xml:space="preserve"> of return, the Commission is guided by the criteria set forth in </w:t>
      </w:r>
      <w:r w:rsidRPr="00D97043">
        <w:rPr>
          <w:i/>
          <w:iCs/>
          <w:sz w:val="26"/>
          <w:szCs w:val="26"/>
        </w:rPr>
        <w:t>Bluefield Water Works and Improvement Co. v. Public Service Comm</w:t>
      </w:r>
      <w:r w:rsidR="00EE6F5E">
        <w:rPr>
          <w:i/>
          <w:iCs/>
          <w:sz w:val="26"/>
          <w:szCs w:val="26"/>
        </w:rPr>
        <w:t>’</w:t>
      </w:r>
      <w:r w:rsidRPr="00D97043">
        <w:rPr>
          <w:i/>
          <w:iCs/>
          <w:sz w:val="26"/>
          <w:szCs w:val="26"/>
        </w:rPr>
        <w:t>n of West Virginia,</w:t>
      </w:r>
      <w:r w:rsidRPr="00D97043">
        <w:rPr>
          <w:sz w:val="26"/>
          <w:szCs w:val="26"/>
        </w:rPr>
        <w:t xml:space="preserve"> 262 U.S. 679 (1923) and </w:t>
      </w:r>
      <w:r w:rsidRPr="00D97043">
        <w:rPr>
          <w:i/>
          <w:iCs/>
          <w:sz w:val="26"/>
          <w:szCs w:val="26"/>
        </w:rPr>
        <w:t>Federal Power Comm</w:t>
      </w:r>
      <w:r w:rsidR="00EE6F5E">
        <w:rPr>
          <w:i/>
          <w:iCs/>
          <w:sz w:val="26"/>
          <w:szCs w:val="26"/>
        </w:rPr>
        <w:t>’</w:t>
      </w:r>
      <w:r w:rsidRPr="00D97043">
        <w:rPr>
          <w:i/>
          <w:iCs/>
          <w:sz w:val="26"/>
          <w:szCs w:val="26"/>
        </w:rPr>
        <w:t>n v. Hope Natural Gas Co.</w:t>
      </w:r>
      <w:r w:rsidRPr="00D97043">
        <w:rPr>
          <w:sz w:val="26"/>
          <w:szCs w:val="26"/>
        </w:rPr>
        <w:t xml:space="preserve">, 320 U.S. 591 (1944).  In </w:t>
      </w:r>
      <w:r w:rsidRPr="00D97043">
        <w:rPr>
          <w:i/>
          <w:iCs/>
          <w:sz w:val="26"/>
          <w:szCs w:val="26"/>
        </w:rPr>
        <w:t>Bluefield,</w:t>
      </w:r>
      <w:r w:rsidRPr="00D97043">
        <w:rPr>
          <w:sz w:val="26"/>
          <w:szCs w:val="26"/>
        </w:rPr>
        <w:t xml:space="preserve"> the United States Supreme Court stated:</w:t>
      </w:r>
    </w:p>
    <w:p w:rsidR="006405D7" w:rsidRPr="00D97043" w:rsidRDefault="006405D7" w:rsidP="006405D7">
      <w:pPr>
        <w:spacing w:line="360" w:lineRule="auto"/>
        <w:rPr>
          <w:sz w:val="26"/>
          <w:szCs w:val="26"/>
        </w:rPr>
      </w:pPr>
    </w:p>
    <w:p w:rsidR="006405D7" w:rsidRPr="00D97043" w:rsidRDefault="006405D7" w:rsidP="006405D7">
      <w:pPr>
        <w:ind w:left="1440" w:right="1440"/>
        <w:rPr>
          <w:sz w:val="26"/>
          <w:szCs w:val="26"/>
        </w:rPr>
      </w:pPr>
      <w:r w:rsidRPr="00D97043">
        <w:rPr>
          <w:sz w:val="26"/>
          <w:szCs w:val="26"/>
        </w:rPr>
        <w:t xml:space="preserve">A public utility is entitled to such </w:t>
      </w:r>
      <w:r w:rsidRPr="00D97043">
        <w:rPr>
          <w:bCs/>
          <w:sz w:val="26"/>
          <w:szCs w:val="26"/>
        </w:rPr>
        <w:t>rates</w:t>
      </w:r>
      <w:r w:rsidRPr="00D97043">
        <w:rPr>
          <w:sz w:val="26"/>
          <w:szCs w:val="26"/>
        </w:rPr>
        <w:t xml:space="preserve">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A </w:t>
      </w:r>
      <w:r w:rsidRPr="00D97043">
        <w:rPr>
          <w:bCs/>
          <w:sz w:val="26"/>
          <w:szCs w:val="26"/>
        </w:rPr>
        <w:t>rate</w:t>
      </w:r>
      <w:r w:rsidRPr="00D97043">
        <w:rPr>
          <w:sz w:val="26"/>
          <w:szCs w:val="26"/>
        </w:rPr>
        <w:t xml:space="preserve"> of return may be too high or too low by changes affecting opportunities for investment, the money market and business conditions generally.</w:t>
      </w:r>
    </w:p>
    <w:p w:rsidR="006405D7" w:rsidRDefault="006405D7" w:rsidP="006405D7">
      <w:pPr>
        <w:ind w:left="1440" w:right="1440"/>
        <w:rPr>
          <w:sz w:val="26"/>
          <w:szCs w:val="26"/>
        </w:rPr>
      </w:pPr>
    </w:p>
    <w:p w:rsidR="006A5E9F" w:rsidRPr="00D97043" w:rsidRDefault="006A5E9F" w:rsidP="006405D7">
      <w:pPr>
        <w:ind w:left="1440" w:right="1440"/>
        <w:rPr>
          <w:sz w:val="26"/>
          <w:szCs w:val="26"/>
        </w:rPr>
      </w:pPr>
    </w:p>
    <w:p w:rsidR="006405D7" w:rsidRPr="00D97043" w:rsidRDefault="006405D7" w:rsidP="00826474">
      <w:pPr>
        <w:spacing w:line="360" w:lineRule="auto"/>
        <w:rPr>
          <w:sz w:val="26"/>
          <w:szCs w:val="26"/>
        </w:rPr>
      </w:pPr>
      <w:r w:rsidRPr="00D97043">
        <w:rPr>
          <w:i/>
          <w:iCs/>
          <w:sz w:val="26"/>
          <w:szCs w:val="26"/>
        </w:rPr>
        <w:t>Bluefield,</w:t>
      </w:r>
      <w:r w:rsidRPr="00D97043">
        <w:rPr>
          <w:sz w:val="26"/>
          <w:szCs w:val="26"/>
        </w:rPr>
        <w:t xml:space="preserve"> 262 U.S. at 692-</w:t>
      </w:r>
      <w:r w:rsidR="009711FB">
        <w:rPr>
          <w:sz w:val="26"/>
          <w:szCs w:val="26"/>
        </w:rPr>
        <w:t>9</w:t>
      </w:r>
      <w:r w:rsidRPr="00D97043">
        <w:rPr>
          <w:sz w:val="26"/>
          <w:szCs w:val="26"/>
        </w:rPr>
        <w:t>3.</w:t>
      </w:r>
    </w:p>
    <w:p w:rsidR="006405D7" w:rsidRPr="00D97043" w:rsidRDefault="006405D7" w:rsidP="006A5E9F">
      <w:pPr>
        <w:spacing w:line="360" w:lineRule="auto"/>
        <w:rPr>
          <w:sz w:val="26"/>
          <w:szCs w:val="26"/>
        </w:rPr>
      </w:pPr>
    </w:p>
    <w:p w:rsidR="00D97043" w:rsidRPr="009B1CCF" w:rsidRDefault="006405D7" w:rsidP="00D97043">
      <w:pPr>
        <w:spacing w:line="360" w:lineRule="auto"/>
        <w:rPr>
          <w:sz w:val="26"/>
          <w:szCs w:val="26"/>
        </w:rPr>
      </w:pPr>
      <w:r w:rsidRPr="009B1CCF">
        <w:rPr>
          <w:sz w:val="26"/>
          <w:szCs w:val="26"/>
        </w:rPr>
        <w:tab/>
      </w:r>
      <w:r w:rsidRPr="009B1CCF">
        <w:rPr>
          <w:sz w:val="26"/>
          <w:szCs w:val="26"/>
        </w:rPr>
        <w:tab/>
      </w:r>
      <w:r w:rsidR="008A4945" w:rsidRPr="009B1CCF">
        <w:rPr>
          <w:sz w:val="26"/>
          <w:szCs w:val="26"/>
        </w:rPr>
        <w:t xml:space="preserve">It is the </w:t>
      </w:r>
      <w:r w:rsidRPr="009B1CCF">
        <w:rPr>
          <w:sz w:val="26"/>
          <w:szCs w:val="26"/>
        </w:rPr>
        <w:t>Commiss</w:t>
      </w:r>
      <w:r w:rsidR="00D97043" w:rsidRPr="009B1CCF">
        <w:rPr>
          <w:sz w:val="26"/>
          <w:szCs w:val="26"/>
        </w:rPr>
        <w:t>ion</w:t>
      </w:r>
      <w:r w:rsidR="00EE6F5E">
        <w:rPr>
          <w:sz w:val="26"/>
          <w:szCs w:val="26"/>
        </w:rPr>
        <w:t>’</w:t>
      </w:r>
      <w:r w:rsidR="008A4945" w:rsidRPr="009B1CCF">
        <w:rPr>
          <w:sz w:val="26"/>
          <w:szCs w:val="26"/>
        </w:rPr>
        <w:t>s</w:t>
      </w:r>
      <w:r w:rsidR="00D97043" w:rsidRPr="009B1CCF">
        <w:rPr>
          <w:sz w:val="26"/>
          <w:szCs w:val="26"/>
        </w:rPr>
        <w:t xml:space="preserve"> policy</w:t>
      </w:r>
      <w:r w:rsidR="008A4945" w:rsidRPr="009B1CCF">
        <w:rPr>
          <w:sz w:val="26"/>
          <w:szCs w:val="26"/>
        </w:rPr>
        <w:t xml:space="preserve"> to promote</w:t>
      </w:r>
      <w:r w:rsidR="00D97043" w:rsidRPr="009B1CCF">
        <w:rPr>
          <w:sz w:val="26"/>
          <w:szCs w:val="26"/>
        </w:rPr>
        <w:t xml:space="preserve"> settlements.</w:t>
      </w:r>
      <w:r w:rsidRPr="009B1CCF">
        <w:rPr>
          <w:sz w:val="26"/>
          <w:szCs w:val="26"/>
        </w:rPr>
        <w:t xml:space="preserve"> </w:t>
      </w:r>
      <w:r w:rsidR="00D97043" w:rsidRPr="009B1CCF">
        <w:rPr>
          <w:sz w:val="26"/>
          <w:szCs w:val="26"/>
        </w:rPr>
        <w:t xml:space="preserve"> </w:t>
      </w:r>
      <w:r w:rsidR="00CB1189">
        <w:rPr>
          <w:sz w:val="26"/>
          <w:szCs w:val="26"/>
        </w:rPr>
        <w:t>52 Pa. Code §§ </w:t>
      </w:r>
      <w:r w:rsidRPr="009B1CCF">
        <w:rPr>
          <w:sz w:val="26"/>
          <w:szCs w:val="26"/>
        </w:rPr>
        <w:t xml:space="preserve">5.231 and 69.401.  </w:t>
      </w:r>
      <w:r w:rsidR="008A4945" w:rsidRPr="009B1CCF">
        <w:rPr>
          <w:sz w:val="26"/>
          <w:szCs w:val="26"/>
        </w:rPr>
        <w:t>Settlements eliminate the time, effort and expense of litigating a matter to its ultimate conclusion, which may entail review of the Commission</w:t>
      </w:r>
      <w:r w:rsidR="00EE6F5E">
        <w:rPr>
          <w:sz w:val="26"/>
          <w:szCs w:val="26"/>
        </w:rPr>
        <w:t>’</w:t>
      </w:r>
      <w:r w:rsidR="008A4945" w:rsidRPr="009B1CCF">
        <w:rPr>
          <w:sz w:val="26"/>
          <w:szCs w:val="26"/>
        </w:rPr>
        <w:t xml:space="preserve">s decision </w:t>
      </w:r>
      <w:r w:rsidR="008A4945" w:rsidRPr="009B1CCF">
        <w:rPr>
          <w:sz w:val="26"/>
          <w:szCs w:val="26"/>
        </w:rPr>
        <w:lastRenderedPageBreak/>
        <w:t xml:space="preserve">by the appellate courts of Pennsylvania.  Such savings benefit not only the individual parties, but also the Commission and all ratepayers of a utility, who otherwise may have to bear the financial burden such litigation necessarily entails.  </w:t>
      </w:r>
      <w:r w:rsidRPr="009B1CCF">
        <w:rPr>
          <w:sz w:val="26"/>
          <w:szCs w:val="26"/>
        </w:rPr>
        <w:t xml:space="preserve">The Commission has indicated that settlement results are often preferable to those achieved at the conclusion of a fully litigated proceeding.  52 Pa. Code § 69.401.  </w:t>
      </w:r>
      <w:r w:rsidR="00D97043" w:rsidRPr="009B1CCF">
        <w:rPr>
          <w:sz w:val="26"/>
          <w:szCs w:val="26"/>
        </w:rPr>
        <w:t xml:space="preserve">The Commission must, however, review proposed settlements to determine whether the terms are in the public interest.  </w:t>
      </w:r>
      <w:r w:rsidR="00D97043" w:rsidRPr="009B1CCF">
        <w:rPr>
          <w:i/>
          <w:sz w:val="26"/>
          <w:szCs w:val="26"/>
        </w:rPr>
        <w:t>Pa. PUC v. Philadelphia Gas Works</w:t>
      </w:r>
      <w:r w:rsidR="00D97043" w:rsidRPr="009B1CCF">
        <w:rPr>
          <w:sz w:val="26"/>
          <w:szCs w:val="26"/>
        </w:rPr>
        <w:t>, Docket No. M</w:t>
      </w:r>
      <w:r w:rsidR="00D97043" w:rsidRPr="009B1CCF">
        <w:rPr>
          <w:sz w:val="26"/>
          <w:szCs w:val="26"/>
        </w:rPr>
        <w:noBreakHyphen/>
        <w:t xml:space="preserve">00031768 (Order entered January 7, 2004); </w:t>
      </w:r>
      <w:r w:rsidR="00D97043" w:rsidRPr="009B1CCF">
        <w:rPr>
          <w:i/>
          <w:sz w:val="26"/>
          <w:szCs w:val="26"/>
        </w:rPr>
        <w:t>Pa. PUC v. C S Water and Sewer Assoc.</w:t>
      </w:r>
      <w:r w:rsidR="00D97043" w:rsidRPr="009B1CCF">
        <w:rPr>
          <w:sz w:val="26"/>
          <w:szCs w:val="26"/>
        </w:rPr>
        <w:t xml:space="preserve">, 74 Pa. P.U.C. 767 (1991); </w:t>
      </w:r>
      <w:r w:rsidR="00D97043" w:rsidRPr="009B1CCF">
        <w:rPr>
          <w:i/>
          <w:sz w:val="26"/>
          <w:szCs w:val="26"/>
        </w:rPr>
        <w:t>Pa. PUC v. Philadelphia Electric Co.</w:t>
      </w:r>
      <w:r w:rsidR="00D97043" w:rsidRPr="009B1CCF">
        <w:rPr>
          <w:sz w:val="26"/>
          <w:szCs w:val="26"/>
        </w:rPr>
        <w:t>, 60 Pa. P.U.C. 1 (1985).</w:t>
      </w:r>
    </w:p>
    <w:p w:rsidR="00D97043" w:rsidRDefault="00D97043" w:rsidP="006405D7">
      <w:pPr>
        <w:spacing w:line="360" w:lineRule="auto"/>
        <w:rPr>
          <w:sz w:val="26"/>
          <w:szCs w:val="26"/>
        </w:rPr>
      </w:pPr>
    </w:p>
    <w:p w:rsidR="006405D7" w:rsidRPr="006405D7" w:rsidRDefault="003C67AF" w:rsidP="006405D7">
      <w:pPr>
        <w:spacing w:line="360" w:lineRule="auto"/>
        <w:rPr>
          <w:sz w:val="26"/>
          <w:szCs w:val="26"/>
        </w:rPr>
      </w:pPr>
      <w:r>
        <w:rPr>
          <w:sz w:val="26"/>
          <w:szCs w:val="26"/>
        </w:rPr>
        <w:tab/>
      </w:r>
      <w:r>
        <w:rPr>
          <w:sz w:val="26"/>
          <w:szCs w:val="26"/>
        </w:rPr>
        <w:tab/>
      </w:r>
      <w:r w:rsidRPr="003C67AF">
        <w:rPr>
          <w:sz w:val="26"/>
          <w:szCs w:val="26"/>
        </w:rPr>
        <w:t xml:space="preserve">Typically in proceedings before the Commission, the public utility has the burden to establish the justness and reasonableness of every element of its rate increase in all proceedings conducted under Section 1308(d) of the Code, </w:t>
      </w:r>
      <w:hyperlink r:id="rId9" w:history="1">
        <w:r w:rsidRPr="003C67AF">
          <w:rPr>
            <w:sz w:val="26"/>
            <w:szCs w:val="26"/>
          </w:rPr>
          <w:t>66 Pa. C.S. § 1308(d)</w:t>
        </w:r>
      </w:hyperlink>
      <w:r w:rsidRPr="003C67AF">
        <w:rPr>
          <w:sz w:val="26"/>
          <w:szCs w:val="26"/>
        </w:rPr>
        <w:t xml:space="preserve">.  Section 315(a) of the Code, </w:t>
      </w:r>
      <w:hyperlink r:id="rId10" w:history="1">
        <w:r w:rsidRPr="003C67AF">
          <w:rPr>
            <w:sz w:val="26"/>
            <w:szCs w:val="26"/>
          </w:rPr>
          <w:t>66 Pa. C.S. § 315(a)</w:t>
        </w:r>
      </w:hyperlink>
      <w:r w:rsidRPr="003C67AF">
        <w:rPr>
          <w:sz w:val="26"/>
          <w:szCs w:val="26"/>
        </w:rPr>
        <w:t xml:space="preserve">, specifies that “[i]n any proceeding upon the motion of the Commission, involving any proposed or existing rate of any public utility, or in any proceeding upon complaint involving any proposed increase in rates, the burden of proof to show that the rate involved is just and reasonable shall be upon the public utility.”  </w:t>
      </w:r>
      <w:r w:rsidRPr="003C67AF">
        <w:rPr>
          <w:i/>
          <w:sz w:val="26"/>
          <w:szCs w:val="26"/>
        </w:rPr>
        <w:t>See Pa. PUC v. Columbia Gas of Pennsylvania, Inc.</w:t>
      </w:r>
      <w:r w:rsidRPr="003C67AF">
        <w:rPr>
          <w:sz w:val="26"/>
          <w:szCs w:val="26"/>
        </w:rPr>
        <w:t>, Docket No. R-2010-2215623 (Order entered October 14, 2011) (</w:t>
      </w:r>
      <w:r w:rsidRPr="003C67AF">
        <w:rPr>
          <w:i/>
          <w:sz w:val="26"/>
          <w:szCs w:val="26"/>
        </w:rPr>
        <w:t>Columbia Gas</w:t>
      </w:r>
      <w:r w:rsidRPr="003C67AF">
        <w:rPr>
          <w:sz w:val="26"/>
          <w:szCs w:val="26"/>
        </w:rPr>
        <w:t xml:space="preserve">).  </w:t>
      </w:r>
      <w:r w:rsidRPr="003C67AF">
        <w:rPr>
          <w:rFonts w:eastAsia="Calibri"/>
          <w:snapToGrid w:val="0"/>
          <w:sz w:val="26"/>
        </w:rPr>
        <w:t>In addition, Section 332(a) of the Code, 66 Pa. C.S. §</w:t>
      </w:r>
      <w:r w:rsidR="009711FB">
        <w:rPr>
          <w:rFonts w:eastAsia="Calibri"/>
          <w:snapToGrid w:val="0"/>
          <w:sz w:val="26"/>
        </w:rPr>
        <w:t xml:space="preserve"> </w:t>
      </w:r>
      <w:r w:rsidRPr="003C67AF">
        <w:rPr>
          <w:rFonts w:eastAsia="Calibri"/>
          <w:snapToGrid w:val="0"/>
          <w:sz w:val="26"/>
        </w:rPr>
        <w:t xml:space="preserve">332 (a), provides that the party seeking a rule or order from the Commission has the burden of proof in that proceeding.  </w:t>
      </w:r>
      <w:r w:rsidR="006405D7" w:rsidRPr="003C67AF">
        <w:rPr>
          <w:sz w:val="26"/>
          <w:szCs w:val="26"/>
        </w:rPr>
        <w:t>Consequently</w:t>
      </w:r>
      <w:r w:rsidR="00652513">
        <w:rPr>
          <w:sz w:val="26"/>
          <w:szCs w:val="26"/>
        </w:rPr>
        <w:t>,</w:t>
      </w:r>
      <w:r w:rsidR="006405D7" w:rsidRPr="003C67AF">
        <w:rPr>
          <w:sz w:val="26"/>
          <w:szCs w:val="26"/>
        </w:rPr>
        <w:t xml:space="preserve"> in this proceeding, </w:t>
      </w:r>
      <w:r w:rsidRPr="003C67AF">
        <w:rPr>
          <w:bCs/>
          <w:sz w:val="26"/>
          <w:szCs w:val="26"/>
        </w:rPr>
        <w:t>the Joint Petitioners have</w:t>
      </w:r>
      <w:r w:rsidRPr="003C67AF">
        <w:rPr>
          <w:sz w:val="26"/>
          <w:szCs w:val="26"/>
        </w:rPr>
        <w:t xml:space="preserve"> </w:t>
      </w:r>
      <w:r w:rsidR="006405D7" w:rsidRPr="003C67AF">
        <w:rPr>
          <w:sz w:val="26"/>
          <w:szCs w:val="26"/>
        </w:rPr>
        <w:t>the burden to prove that the</w:t>
      </w:r>
      <w:r w:rsidRPr="003C67AF">
        <w:rPr>
          <w:sz w:val="26"/>
          <w:szCs w:val="26"/>
        </w:rPr>
        <w:t xml:space="preserve"> terms and conditions of the </w:t>
      </w:r>
      <w:r w:rsidR="00652513" w:rsidRPr="003C67AF">
        <w:rPr>
          <w:sz w:val="26"/>
          <w:szCs w:val="26"/>
        </w:rPr>
        <w:t>Settlement</w:t>
      </w:r>
      <w:r w:rsidRPr="003C67AF">
        <w:rPr>
          <w:sz w:val="26"/>
          <w:szCs w:val="26"/>
        </w:rPr>
        <w:t xml:space="preserve"> are just, reasonable, and in the public interest.</w:t>
      </w:r>
      <w:r w:rsidR="006405D7" w:rsidRPr="003C67AF">
        <w:rPr>
          <w:sz w:val="26"/>
          <w:szCs w:val="26"/>
        </w:rPr>
        <w:t xml:space="preserve"> </w:t>
      </w:r>
    </w:p>
    <w:p w:rsidR="006405D7" w:rsidRPr="006405D7" w:rsidRDefault="006405D7" w:rsidP="006405D7">
      <w:pPr>
        <w:spacing w:line="360" w:lineRule="auto"/>
        <w:rPr>
          <w:sz w:val="26"/>
          <w:szCs w:val="26"/>
        </w:rPr>
      </w:pPr>
    </w:p>
    <w:p w:rsidR="00652513" w:rsidRPr="00652513" w:rsidRDefault="00652513" w:rsidP="00652513">
      <w:pPr>
        <w:spacing w:line="360" w:lineRule="auto"/>
        <w:rPr>
          <w:rFonts w:eastAsia="Calibri"/>
          <w:iCs/>
          <w:sz w:val="26"/>
        </w:rPr>
      </w:pPr>
      <w:r>
        <w:rPr>
          <w:rFonts w:eastAsia="Calibri"/>
          <w:snapToGrid w:val="0"/>
          <w:sz w:val="26"/>
        </w:rPr>
        <w:tab/>
      </w:r>
      <w:r>
        <w:rPr>
          <w:rFonts w:eastAsia="Calibri"/>
          <w:snapToGrid w:val="0"/>
          <w:sz w:val="26"/>
        </w:rPr>
        <w:tab/>
      </w:r>
      <w:r w:rsidRPr="00652513">
        <w:rPr>
          <w:rFonts w:eastAsia="Calibri"/>
          <w:snapToGrid w:val="0"/>
          <w:sz w:val="26"/>
        </w:rPr>
        <w:t>It is axiomatic that “[a] litigant</w:t>
      </w:r>
      <w:r w:rsidR="00EE6F5E">
        <w:rPr>
          <w:rFonts w:eastAsia="Calibri"/>
          <w:snapToGrid w:val="0"/>
          <w:sz w:val="26"/>
        </w:rPr>
        <w:t>’</w:t>
      </w:r>
      <w:r w:rsidRPr="00652513">
        <w:rPr>
          <w:rFonts w:eastAsia="Calibri"/>
          <w:snapToGrid w:val="0"/>
          <w:sz w:val="26"/>
        </w:rPr>
        <w:t xml:space="preserve">s burden of proof before administrative tribunals as well as before most civil proceedings is satisfied by establishing a preponderance of evidence which is substantial and legally credible.”  </w:t>
      </w:r>
      <w:r w:rsidRPr="00652513">
        <w:rPr>
          <w:rFonts w:eastAsia="Calibri"/>
          <w:i/>
          <w:snapToGrid w:val="0"/>
          <w:sz w:val="26"/>
        </w:rPr>
        <w:t>Samuel J. Lansberry, Inc. v. Pa. PUC</w:t>
      </w:r>
      <w:r w:rsidRPr="00652513">
        <w:rPr>
          <w:rFonts w:eastAsia="Calibri"/>
          <w:snapToGrid w:val="0"/>
          <w:sz w:val="26"/>
        </w:rPr>
        <w:t>, 578</w:t>
      </w:r>
      <w:r w:rsidRPr="00652513">
        <w:rPr>
          <w:rFonts w:eastAsia="Calibri"/>
          <w:bCs/>
          <w:sz w:val="26"/>
        </w:rPr>
        <w:t xml:space="preserve"> A.2d 600, 602 (Pa. Cmwlth. 1990), </w:t>
      </w:r>
      <w:r w:rsidRPr="00652513">
        <w:rPr>
          <w:rFonts w:eastAsia="Calibri"/>
          <w:bCs/>
          <w:i/>
          <w:sz w:val="26"/>
        </w:rPr>
        <w:t>alloc. denied</w:t>
      </w:r>
      <w:r w:rsidRPr="00652513">
        <w:rPr>
          <w:rFonts w:eastAsia="Calibri"/>
          <w:bCs/>
          <w:sz w:val="26"/>
        </w:rPr>
        <w:t>, 529 Pa. 654,</w:t>
      </w:r>
      <w:r w:rsidR="008A70A3">
        <w:rPr>
          <w:rFonts w:eastAsia="Calibri"/>
          <w:bCs/>
          <w:sz w:val="26"/>
        </w:rPr>
        <w:t xml:space="preserve"> </w:t>
      </w:r>
      <w:r w:rsidRPr="00652513">
        <w:rPr>
          <w:rFonts w:eastAsia="Calibri"/>
          <w:bCs/>
          <w:sz w:val="26"/>
        </w:rPr>
        <w:t>602 A.2d 863 (1992).  T</w:t>
      </w:r>
      <w:r w:rsidRPr="00652513">
        <w:rPr>
          <w:rFonts w:eastAsia="Calibri"/>
          <w:iCs/>
          <w:sz w:val="26"/>
        </w:rPr>
        <w:t xml:space="preserve">he term “preponderance of the evidence” means that one </w:t>
      </w:r>
      <w:r w:rsidRPr="00652513">
        <w:rPr>
          <w:rFonts w:eastAsia="Calibri"/>
          <w:iCs/>
          <w:sz w:val="26"/>
        </w:rPr>
        <w:lastRenderedPageBreak/>
        <w:t xml:space="preserve">party has presented evidence that is more convincing, by even the smallest amount, than the evidence presented by the other party.  </w:t>
      </w:r>
      <w:r w:rsidRPr="00652513">
        <w:rPr>
          <w:rFonts w:eastAsia="Calibri"/>
          <w:i/>
          <w:iCs/>
          <w:sz w:val="26"/>
        </w:rPr>
        <w:t xml:space="preserve">Se-ling Hosiery v. Margulies, </w:t>
      </w:r>
      <w:r w:rsidRPr="00652513">
        <w:rPr>
          <w:rFonts w:eastAsia="Calibri"/>
          <w:iCs/>
          <w:sz w:val="26"/>
        </w:rPr>
        <w:t xml:space="preserve">364 Pa. 45, 70 A.2d 857 (1950).  </w:t>
      </w:r>
    </w:p>
    <w:p w:rsidR="006405D7" w:rsidRPr="00E966F4" w:rsidRDefault="006405D7" w:rsidP="004323F6">
      <w:pPr>
        <w:spacing w:line="360" w:lineRule="auto"/>
        <w:rPr>
          <w:sz w:val="26"/>
          <w:szCs w:val="26"/>
        </w:rPr>
      </w:pPr>
    </w:p>
    <w:p w:rsidR="004323F6" w:rsidRPr="00E87ED3" w:rsidRDefault="006405D7" w:rsidP="00D26F25">
      <w:pPr>
        <w:keepNext/>
        <w:spacing w:line="360" w:lineRule="auto"/>
        <w:rPr>
          <w:b/>
          <w:sz w:val="26"/>
          <w:szCs w:val="26"/>
        </w:rPr>
      </w:pPr>
      <w:r>
        <w:rPr>
          <w:b/>
          <w:sz w:val="26"/>
          <w:szCs w:val="26"/>
        </w:rPr>
        <w:t>C</w:t>
      </w:r>
      <w:r w:rsidR="004323F6" w:rsidRPr="00E87ED3">
        <w:rPr>
          <w:b/>
          <w:sz w:val="26"/>
          <w:szCs w:val="26"/>
        </w:rPr>
        <w:t>.</w:t>
      </w:r>
      <w:r w:rsidR="004323F6" w:rsidRPr="00E87ED3">
        <w:rPr>
          <w:b/>
          <w:sz w:val="26"/>
          <w:szCs w:val="26"/>
        </w:rPr>
        <w:tab/>
        <w:t>ALJ</w:t>
      </w:r>
      <w:r w:rsidR="00EE6F5E">
        <w:rPr>
          <w:b/>
          <w:sz w:val="26"/>
          <w:szCs w:val="26"/>
        </w:rPr>
        <w:t>’</w:t>
      </w:r>
      <w:r w:rsidR="004323F6" w:rsidRPr="00E87ED3">
        <w:rPr>
          <w:b/>
          <w:sz w:val="26"/>
          <w:szCs w:val="26"/>
        </w:rPr>
        <w:t>s Recommendation</w:t>
      </w:r>
    </w:p>
    <w:p w:rsidR="00E87ED3" w:rsidRPr="00E87ED3" w:rsidRDefault="00E87ED3" w:rsidP="00D26F25">
      <w:pPr>
        <w:keepNext/>
        <w:spacing w:line="360" w:lineRule="auto"/>
        <w:rPr>
          <w:sz w:val="26"/>
          <w:szCs w:val="26"/>
        </w:rPr>
      </w:pPr>
    </w:p>
    <w:p w:rsidR="00E87ED3" w:rsidRPr="00E87ED3" w:rsidRDefault="00E87ED3" w:rsidP="00E87ED3">
      <w:pPr>
        <w:spacing w:line="360" w:lineRule="auto"/>
        <w:rPr>
          <w:sz w:val="26"/>
          <w:szCs w:val="26"/>
        </w:rPr>
      </w:pPr>
      <w:r>
        <w:rPr>
          <w:sz w:val="26"/>
          <w:szCs w:val="26"/>
        </w:rPr>
        <w:tab/>
      </w:r>
      <w:r>
        <w:rPr>
          <w:sz w:val="26"/>
          <w:szCs w:val="26"/>
        </w:rPr>
        <w:tab/>
      </w:r>
      <w:r w:rsidRPr="00E87ED3">
        <w:rPr>
          <w:sz w:val="26"/>
          <w:szCs w:val="26"/>
        </w:rPr>
        <w:t>As a preliminary matter, we note that the ALJ made six</w:t>
      </w:r>
      <w:r>
        <w:rPr>
          <w:sz w:val="26"/>
          <w:szCs w:val="26"/>
        </w:rPr>
        <w:t>teen</w:t>
      </w:r>
      <w:r w:rsidRPr="00E87ED3">
        <w:rPr>
          <w:sz w:val="26"/>
          <w:szCs w:val="26"/>
        </w:rPr>
        <w:t xml:space="preserve"> Findings of Fact and reached nineteen Conclusions of Law.  R</w:t>
      </w:r>
      <w:r>
        <w:rPr>
          <w:sz w:val="26"/>
          <w:szCs w:val="26"/>
        </w:rPr>
        <w:t>.D. at 8-10</w:t>
      </w:r>
      <w:r w:rsidRPr="00E87ED3">
        <w:rPr>
          <w:sz w:val="26"/>
          <w:szCs w:val="26"/>
        </w:rPr>
        <w:t>;</w:t>
      </w:r>
      <w:r>
        <w:rPr>
          <w:sz w:val="26"/>
          <w:szCs w:val="26"/>
        </w:rPr>
        <w:t xml:space="preserve"> 66-69</w:t>
      </w:r>
      <w:r w:rsidRPr="00E87ED3">
        <w:rPr>
          <w:sz w:val="26"/>
          <w:szCs w:val="26"/>
        </w:rPr>
        <w:t>.  We will adopt the Findings of Fact and Conclusions of Law unless they are overruled expressly or by necessary implication.</w:t>
      </w:r>
    </w:p>
    <w:p w:rsidR="00E87ED3" w:rsidRPr="00E87ED3" w:rsidRDefault="00E87ED3" w:rsidP="00EB096E">
      <w:pPr>
        <w:spacing w:line="360" w:lineRule="auto"/>
        <w:rPr>
          <w:sz w:val="26"/>
          <w:szCs w:val="26"/>
        </w:rPr>
      </w:pPr>
    </w:p>
    <w:p w:rsidR="00B17339" w:rsidRPr="00B17339" w:rsidRDefault="00B17339" w:rsidP="00EB096E">
      <w:pPr>
        <w:spacing w:line="360" w:lineRule="auto"/>
        <w:rPr>
          <w:sz w:val="26"/>
          <w:szCs w:val="26"/>
        </w:rPr>
      </w:pPr>
      <w:r w:rsidRPr="00B17339">
        <w:rPr>
          <w:sz w:val="26"/>
          <w:szCs w:val="26"/>
        </w:rPr>
        <w:tab/>
      </w:r>
      <w:r w:rsidRPr="00B17339">
        <w:rPr>
          <w:sz w:val="26"/>
          <w:szCs w:val="26"/>
        </w:rPr>
        <w:tab/>
        <w:t>In her Recommended Decision, ALJ Colwell</w:t>
      </w:r>
      <w:r w:rsidR="009820D9" w:rsidRPr="00B17339">
        <w:rPr>
          <w:sz w:val="26"/>
          <w:szCs w:val="26"/>
        </w:rPr>
        <w:t xml:space="preserve"> provided an extensive discussion of the</w:t>
      </w:r>
      <w:r w:rsidR="00D73FED" w:rsidRPr="00B17339">
        <w:rPr>
          <w:sz w:val="26"/>
          <w:szCs w:val="26"/>
        </w:rPr>
        <w:t xml:space="preserve"> issues addressed by the terms and conditions of the Settlement, as well as the</w:t>
      </w:r>
      <w:r w:rsidR="009820D9" w:rsidRPr="00B17339">
        <w:rPr>
          <w:sz w:val="26"/>
          <w:szCs w:val="26"/>
        </w:rPr>
        <w:t xml:space="preserve"> positions of the Joint Petitioners regarding the Settlement, </w:t>
      </w:r>
      <w:r w:rsidR="00C72079" w:rsidRPr="00B17339">
        <w:rPr>
          <w:sz w:val="26"/>
          <w:szCs w:val="26"/>
        </w:rPr>
        <w:t>as set forth in the individual Statements in S</w:t>
      </w:r>
      <w:r w:rsidR="009820D9" w:rsidRPr="00B17339">
        <w:rPr>
          <w:sz w:val="26"/>
          <w:szCs w:val="26"/>
        </w:rPr>
        <w:t>upport of the S</w:t>
      </w:r>
      <w:r w:rsidR="00C72079" w:rsidRPr="00B17339">
        <w:rPr>
          <w:sz w:val="26"/>
          <w:szCs w:val="26"/>
        </w:rPr>
        <w:t xml:space="preserve">ettlement.  </w:t>
      </w:r>
      <w:r>
        <w:rPr>
          <w:sz w:val="26"/>
          <w:szCs w:val="26"/>
        </w:rPr>
        <w:t xml:space="preserve">The ALJ found the </w:t>
      </w:r>
      <w:r w:rsidR="00CB1189">
        <w:rPr>
          <w:sz w:val="26"/>
          <w:szCs w:val="26"/>
        </w:rPr>
        <w:t>Settlement terms with regard to each</w:t>
      </w:r>
      <w:r>
        <w:rPr>
          <w:sz w:val="26"/>
          <w:szCs w:val="26"/>
        </w:rPr>
        <w:t xml:space="preserve"> issue to be reasonable and in the public interest.  R.D. at 33-6</w:t>
      </w:r>
      <w:r w:rsidR="00C72079" w:rsidRPr="00B17339">
        <w:rPr>
          <w:sz w:val="26"/>
          <w:szCs w:val="26"/>
        </w:rPr>
        <w:t xml:space="preserve">3.  </w:t>
      </w:r>
      <w:r w:rsidR="00E5597E">
        <w:rPr>
          <w:sz w:val="26"/>
          <w:szCs w:val="26"/>
        </w:rPr>
        <w:t>In addition, the ALJ stated as follows:</w:t>
      </w:r>
    </w:p>
    <w:p w:rsidR="00B17339" w:rsidRPr="00B17339" w:rsidRDefault="00B17339" w:rsidP="00EB096E">
      <w:pPr>
        <w:spacing w:line="360" w:lineRule="auto"/>
        <w:rPr>
          <w:sz w:val="26"/>
          <w:szCs w:val="26"/>
        </w:rPr>
      </w:pPr>
    </w:p>
    <w:p w:rsidR="00AA7BF4" w:rsidRPr="00AA7BF4" w:rsidRDefault="00AA7BF4" w:rsidP="00AA7BF4">
      <w:pPr>
        <w:ind w:left="1440" w:right="1440"/>
        <w:rPr>
          <w:sz w:val="26"/>
          <w:szCs w:val="26"/>
        </w:rPr>
      </w:pPr>
      <w:r w:rsidRPr="00AA7BF4">
        <w:rPr>
          <w:sz w:val="26"/>
          <w:szCs w:val="26"/>
        </w:rPr>
        <w:t>The proposed Settlement is an indication that the litigating parties agree that the agreed-upon rates will permit the utility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The parties are confident that the return is sufficient to assure confidence in the financial soundness of the utility and is adequate to maintain and support its credit and enable it to raise the money necessary for the proper discharge of the utility</w:t>
      </w:r>
      <w:r w:rsidR="00EE6F5E">
        <w:rPr>
          <w:sz w:val="26"/>
          <w:szCs w:val="26"/>
        </w:rPr>
        <w:t>’</w:t>
      </w:r>
      <w:r w:rsidRPr="00AA7BF4">
        <w:rPr>
          <w:sz w:val="26"/>
          <w:szCs w:val="26"/>
        </w:rPr>
        <w:t xml:space="preserve">s public duties, consistent with </w:t>
      </w:r>
      <w:r w:rsidRPr="00AA7BF4">
        <w:rPr>
          <w:i/>
          <w:sz w:val="26"/>
          <w:szCs w:val="26"/>
        </w:rPr>
        <w:t>Bluefield,</w:t>
      </w:r>
      <w:r w:rsidRPr="00AA7BF4">
        <w:rPr>
          <w:sz w:val="26"/>
          <w:szCs w:val="26"/>
        </w:rPr>
        <w:t xml:space="preserve"> supra. </w:t>
      </w:r>
    </w:p>
    <w:p w:rsidR="008A70A3" w:rsidRPr="00AA7BF4" w:rsidRDefault="008A70A3" w:rsidP="00247628">
      <w:pPr>
        <w:spacing w:line="360" w:lineRule="auto"/>
        <w:rPr>
          <w:sz w:val="26"/>
          <w:szCs w:val="26"/>
        </w:rPr>
      </w:pPr>
    </w:p>
    <w:p w:rsidR="004479A2" w:rsidRDefault="00AA7BF4" w:rsidP="004323F6">
      <w:pPr>
        <w:spacing w:line="360" w:lineRule="auto"/>
        <w:rPr>
          <w:sz w:val="26"/>
          <w:szCs w:val="26"/>
        </w:rPr>
      </w:pPr>
      <w:r w:rsidRPr="00AA7BF4">
        <w:rPr>
          <w:i/>
          <w:sz w:val="26"/>
          <w:szCs w:val="26"/>
        </w:rPr>
        <w:t>Id</w:t>
      </w:r>
      <w:r>
        <w:rPr>
          <w:sz w:val="26"/>
          <w:szCs w:val="26"/>
        </w:rPr>
        <w:t>. at 65.</w:t>
      </w:r>
    </w:p>
    <w:p w:rsidR="00AA7BF4" w:rsidRDefault="00AA7BF4" w:rsidP="004323F6">
      <w:pPr>
        <w:spacing w:line="360" w:lineRule="auto"/>
        <w:rPr>
          <w:sz w:val="26"/>
          <w:szCs w:val="26"/>
        </w:rPr>
      </w:pPr>
    </w:p>
    <w:p w:rsidR="008506B2" w:rsidRDefault="008506B2" w:rsidP="008506B2">
      <w:pPr>
        <w:spacing w:line="360" w:lineRule="auto"/>
        <w:rPr>
          <w:sz w:val="26"/>
          <w:szCs w:val="26"/>
        </w:rPr>
      </w:pPr>
      <w:r>
        <w:rPr>
          <w:sz w:val="26"/>
          <w:szCs w:val="26"/>
        </w:rPr>
        <w:lastRenderedPageBreak/>
        <w:tab/>
      </w:r>
      <w:r>
        <w:rPr>
          <w:sz w:val="26"/>
          <w:szCs w:val="26"/>
        </w:rPr>
        <w:tab/>
      </w:r>
      <w:r w:rsidR="005B207F">
        <w:rPr>
          <w:sz w:val="26"/>
          <w:szCs w:val="26"/>
        </w:rPr>
        <w:t xml:space="preserve">The ALJ also addressed the response in opposition to the Settlement filed by the </w:t>
      </w:r>
      <w:r w:rsidR="005B207F" w:rsidRPr="005B207F">
        <w:rPr>
          <w:i/>
          <w:sz w:val="26"/>
          <w:szCs w:val="26"/>
        </w:rPr>
        <w:t>pro se</w:t>
      </w:r>
      <w:r w:rsidR="005B207F">
        <w:rPr>
          <w:sz w:val="26"/>
          <w:szCs w:val="26"/>
        </w:rPr>
        <w:t xml:space="preserve"> </w:t>
      </w:r>
      <w:r w:rsidR="004F5483">
        <w:rPr>
          <w:sz w:val="26"/>
          <w:szCs w:val="26"/>
        </w:rPr>
        <w:t>C</w:t>
      </w:r>
      <w:r w:rsidR="005B207F">
        <w:rPr>
          <w:sz w:val="26"/>
          <w:szCs w:val="26"/>
        </w:rPr>
        <w:t xml:space="preserve">omplainant D. Wintermeyer.  The ALJ </w:t>
      </w:r>
      <w:r w:rsidR="000E31BB">
        <w:rPr>
          <w:sz w:val="26"/>
          <w:szCs w:val="26"/>
        </w:rPr>
        <w:t>found that</w:t>
      </w:r>
      <w:r w:rsidR="005B207F">
        <w:rPr>
          <w:sz w:val="26"/>
          <w:szCs w:val="26"/>
        </w:rPr>
        <w:t xml:space="preserve"> Mr. Wintermeyer</w:t>
      </w:r>
      <w:r w:rsidR="000E31BB">
        <w:rPr>
          <w:sz w:val="26"/>
          <w:szCs w:val="26"/>
        </w:rPr>
        <w:t xml:space="preserve"> </w:t>
      </w:r>
      <w:r w:rsidRPr="000E31BB">
        <w:rPr>
          <w:sz w:val="26"/>
          <w:szCs w:val="26"/>
        </w:rPr>
        <w:t xml:space="preserve">failed to sustain his burden of supporting his claims </w:t>
      </w:r>
      <w:r w:rsidR="000E31BB">
        <w:rPr>
          <w:sz w:val="26"/>
          <w:szCs w:val="26"/>
        </w:rPr>
        <w:t>“</w:t>
      </w:r>
      <w:r w:rsidRPr="000E31BB">
        <w:rPr>
          <w:sz w:val="26"/>
          <w:szCs w:val="26"/>
        </w:rPr>
        <w:t xml:space="preserve">that the operations of the Company </w:t>
      </w:r>
      <w:r w:rsidR="008A70A3">
        <w:rPr>
          <w:sz w:val="26"/>
          <w:szCs w:val="26"/>
        </w:rPr>
        <w:t>[were]</w:t>
      </w:r>
      <w:r w:rsidRPr="000E31BB">
        <w:rPr>
          <w:sz w:val="26"/>
          <w:szCs w:val="26"/>
        </w:rPr>
        <w:t xml:space="preserve"> in any way unconstitutional or criminal or that its nature as a regulated monopoly </w:t>
      </w:r>
      <w:r w:rsidR="008A70A3">
        <w:rPr>
          <w:sz w:val="26"/>
          <w:szCs w:val="26"/>
        </w:rPr>
        <w:t>[was]</w:t>
      </w:r>
      <w:r w:rsidRPr="000E31BB">
        <w:rPr>
          <w:sz w:val="26"/>
          <w:szCs w:val="26"/>
        </w:rPr>
        <w:t xml:space="preserve"> illegal or in violation of the Federal antitrust laws, or that the Company has enjoyed unfair partiality at the hands of this Commission.</w:t>
      </w:r>
      <w:r w:rsidR="000E31BB">
        <w:rPr>
          <w:sz w:val="26"/>
          <w:szCs w:val="26"/>
        </w:rPr>
        <w:t xml:space="preserve">”  </w:t>
      </w:r>
      <w:r w:rsidR="000E31BB" w:rsidRPr="000E31BB">
        <w:rPr>
          <w:i/>
          <w:sz w:val="26"/>
          <w:szCs w:val="26"/>
        </w:rPr>
        <w:t>Id</w:t>
      </w:r>
      <w:r w:rsidR="000E31BB">
        <w:rPr>
          <w:sz w:val="26"/>
          <w:szCs w:val="26"/>
        </w:rPr>
        <w:t>. at 65-66.  Accordingly, the A</w:t>
      </w:r>
      <w:r w:rsidR="00A8246C">
        <w:rPr>
          <w:sz w:val="26"/>
          <w:szCs w:val="26"/>
        </w:rPr>
        <w:t>LJ dismissed Mr. Wintermeyer</w:t>
      </w:r>
      <w:r w:rsidR="00EE6F5E">
        <w:rPr>
          <w:sz w:val="26"/>
          <w:szCs w:val="26"/>
        </w:rPr>
        <w:t>’</w:t>
      </w:r>
      <w:r w:rsidR="00A8246C">
        <w:rPr>
          <w:sz w:val="26"/>
          <w:szCs w:val="26"/>
        </w:rPr>
        <w:t>s F</w:t>
      </w:r>
      <w:r w:rsidR="000E31BB">
        <w:rPr>
          <w:sz w:val="26"/>
          <w:szCs w:val="26"/>
        </w:rPr>
        <w:t xml:space="preserve">ormal </w:t>
      </w:r>
      <w:r w:rsidR="00A8246C">
        <w:rPr>
          <w:sz w:val="26"/>
          <w:szCs w:val="26"/>
        </w:rPr>
        <w:t>C</w:t>
      </w:r>
      <w:r w:rsidR="000E31BB">
        <w:rPr>
          <w:sz w:val="26"/>
          <w:szCs w:val="26"/>
        </w:rPr>
        <w:t xml:space="preserve">omplaint.  </w:t>
      </w:r>
      <w:r w:rsidR="000E31BB" w:rsidRPr="000E31BB">
        <w:rPr>
          <w:i/>
          <w:sz w:val="26"/>
          <w:szCs w:val="26"/>
        </w:rPr>
        <w:t>Id</w:t>
      </w:r>
      <w:r w:rsidR="000E31BB">
        <w:rPr>
          <w:sz w:val="26"/>
          <w:szCs w:val="26"/>
        </w:rPr>
        <w:t>. at 66.</w:t>
      </w:r>
      <w:r w:rsidR="00E366C8">
        <w:rPr>
          <w:sz w:val="26"/>
          <w:szCs w:val="26"/>
        </w:rPr>
        <w:t xml:space="preserve">  The ALJ also dismiss</w:t>
      </w:r>
      <w:r w:rsidR="00A8246C">
        <w:rPr>
          <w:sz w:val="26"/>
          <w:szCs w:val="26"/>
        </w:rPr>
        <w:t>ed the F</w:t>
      </w:r>
      <w:r w:rsidR="00E366C8">
        <w:rPr>
          <w:sz w:val="26"/>
          <w:szCs w:val="26"/>
        </w:rPr>
        <w:t xml:space="preserve">ormal </w:t>
      </w:r>
      <w:r w:rsidR="00A8246C">
        <w:rPr>
          <w:sz w:val="26"/>
          <w:szCs w:val="26"/>
        </w:rPr>
        <w:t>C</w:t>
      </w:r>
      <w:r w:rsidR="00E366C8">
        <w:rPr>
          <w:sz w:val="26"/>
          <w:szCs w:val="26"/>
        </w:rPr>
        <w:t xml:space="preserve">omplaints of </w:t>
      </w:r>
      <w:r w:rsidR="00E366C8" w:rsidRPr="00E366C8">
        <w:rPr>
          <w:i/>
          <w:sz w:val="26"/>
          <w:szCs w:val="26"/>
        </w:rPr>
        <w:t>pro se</w:t>
      </w:r>
      <w:r w:rsidR="00E366C8">
        <w:rPr>
          <w:sz w:val="26"/>
          <w:szCs w:val="26"/>
        </w:rPr>
        <w:t xml:space="preserve"> </w:t>
      </w:r>
      <w:r w:rsidR="004F5483">
        <w:rPr>
          <w:sz w:val="26"/>
          <w:szCs w:val="26"/>
        </w:rPr>
        <w:t>C</w:t>
      </w:r>
      <w:r w:rsidR="00E366C8">
        <w:rPr>
          <w:sz w:val="26"/>
          <w:szCs w:val="26"/>
        </w:rPr>
        <w:t>omplainants Cathleen A. Woomert</w:t>
      </w:r>
      <w:r w:rsidR="00E366C8" w:rsidRPr="00BB34F3">
        <w:rPr>
          <w:sz w:val="26"/>
          <w:szCs w:val="26"/>
        </w:rPr>
        <w:t xml:space="preserve">, </w:t>
      </w:r>
      <w:r w:rsidR="00E366C8">
        <w:rPr>
          <w:sz w:val="26"/>
          <w:szCs w:val="26"/>
        </w:rPr>
        <w:t>Michael B. Young</w:t>
      </w:r>
      <w:r w:rsidR="00E366C8" w:rsidRPr="00BB34F3">
        <w:rPr>
          <w:sz w:val="26"/>
          <w:szCs w:val="26"/>
        </w:rPr>
        <w:t xml:space="preserve">, </w:t>
      </w:r>
      <w:r w:rsidR="00E366C8">
        <w:rPr>
          <w:sz w:val="26"/>
          <w:szCs w:val="26"/>
        </w:rPr>
        <w:t>Joseph E. McAndrew</w:t>
      </w:r>
      <w:r w:rsidR="00E366C8" w:rsidRPr="00BB34F3">
        <w:rPr>
          <w:sz w:val="26"/>
          <w:szCs w:val="26"/>
        </w:rPr>
        <w:t xml:space="preserve">, and </w:t>
      </w:r>
      <w:r w:rsidR="00E366C8">
        <w:rPr>
          <w:sz w:val="26"/>
          <w:szCs w:val="26"/>
        </w:rPr>
        <w:t>Michael C. Muller.</w:t>
      </w:r>
      <w:r w:rsidR="00D65D78">
        <w:rPr>
          <w:sz w:val="26"/>
          <w:szCs w:val="26"/>
        </w:rPr>
        <w:t xml:space="preserve">  </w:t>
      </w:r>
      <w:r w:rsidR="00D65D78" w:rsidRPr="00D65D78">
        <w:rPr>
          <w:i/>
          <w:sz w:val="26"/>
          <w:szCs w:val="26"/>
        </w:rPr>
        <w:t>Id</w:t>
      </w:r>
      <w:r w:rsidR="00D65D78">
        <w:rPr>
          <w:sz w:val="26"/>
          <w:szCs w:val="26"/>
        </w:rPr>
        <w:t>. at 71.</w:t>
      </w:r>
    </w:p>
    <w:p w:rsidR="009040F2" w:rsidRDefault="009040F2" w:rsidP="008506B2">
      <w:pPr>
        <w:spacing w:line="360" w:lineRule="auto"/>
        <w:rPr>
          <w:sz w:val="26"/>
          <w:szCs w:val="26"/>
        </w:rPr>
      </w:pPr>
    </w:p>
    <w:p w:rsidR="008506B2" w:rsidRPr="00740355" w:rsidRDefault="009040F2" w:rsidP="008506B2">
      <w:pPr>
        <w:spacing w:line="360" w:lineRule="auto"/>
        <w:rPr>
          <w:sz w:val="26"/>
          <w:szCs w:val="26"/>
        </w:rPr>
      </w:pPr>
      <w:r>
        <w:rPr>
          <w:sz w:val="26"/>
          <w:szCs w:val="26"/>
        </w:rPr>
        <w:tab/>
      </w:r>
      <w:r>
        <w:rPr>
          <w:sz w:val="26"/>
          <w:szCs w:val="26"/>
        </w:rPr>
        <w:tab/>
      </w:r>
      <w:r w:rsidRPr="009040F2">
        <w:rPr>
          <w:sz w:val="26"/>
          <w:szCs w:val="26"/>
        </w:rPr>
        <w:t>Based on her analysis of the Settlement, the ALJ concluded that the Joint Petition “</w:t>
      </w:r>
      <w:r w:rsidR="008506B2" w:rsidRPr="009040F2">
        <w:rPr>
          <w:sz w:val="26"/>
          <w:szCs w:val="26"/>
        </w:rPr>
        <w:t xml:space="preserve">is in the public interest, and is consistent with the legal standards required under </w:t>
      </w:r>
      <w:r w:rsidR="008506B2" w:rsidRPr="009040F2">
        <w:rPr>
          <w:i/>
          <w:sz w:val="26"/>
          <w:szCs w:val="26"/>
        </w:rPr>
        <w:t>Bluefield, supra.</w:t>
      </w:r>
      <w:r w:rsidRPr="009040F2">
        <w:rPr>
          <w:i/>
          <w:sz w:val="26"/>
          <w:szCs w:val="26"/>
        </w:rPr>
        <w:t>”</w:t>
      </w:r>
      <w:r w:rsidRPr="009040F2">
        <w:rPr>
          <w:sz w:val="26"/>
          <w:szCs w:val="26"/>
        </w:rPr>
        <w:t xml:space="preserve">  </w:t>
      </w:r>
      <w:r w:rsidRPr="009040F2">
        <w:rPr>
          <w:i/>
          <w:sz w:val="26"/>
          <w:szCs w:val="26"/>
        </w:rPr>
        <w:t>Id</w:t>
      </w:r>
      <w:r w:rsidRPr="009040F2">
        <w:rPr>
          <w:sz w:val="26"/>
          <w:szCs w:val="26"/>
        </w:rPr>
        <w:t xml:space="preserve">.  </w:t>
      </w:r>
      <w:r w:rsidR="008506B2" w:rsidRPr="009040F2">
        <w:rPr>
          <w:sz w:val="26"/>
          <w:szCs w:val="26"/>
        </w:rPr>
        <w:t xml:space="preserve">Accordingly, </w:t>
      </w:r>
      <w:r w:rsidRPr="009040F2">
        <w:rPr>
          <w:sz w:val="26"/>
          <w:szCs w:val="26"/>
        </w:rPr>
        <w:t xml:space="preserve">the ALJ recommended that the Settlement be </w:t>
      </w:r>
      <w:r w:rsidRPr="00740355">
        <w:rPr>
          <w:sz w:val="26"/>
          <w:szCs w:val="26"/>
        </w:rPr>
        <w:t xml:space="preserve">approved without modification.  </w:t>
      </w:r>
      <w:r w:rsidRPr="00740355">
        <w:rPr>
          <w:i/>
          <w:sz w:val="26"/>
          <w:szCs w:val="26"/>
        </w:rPr>
        <w:t>Id</w:t>
      </w:r>
      <w:r w:rsidRPr="00740355">
        <w:rPr>
          <w:sz w:val="26"/>
          <w:szCs w:val="26"/>
        </w:rPr>
        <w:t>.</w:t>
      </w:r>
    </w:p>
    <w:p w:rsidR="00AA7BF4" w:rsidRPr="00740355" w:rsidRDefault="00AA7BF4" w:rsidP="004323F6">
      <w:pPr>
        <w:spacing w:line="360" w:lineRule="auto"/>
        <w:rPr>
          <w:sz w:val="26"/>
          <w:szCs w:val="26"/>
        </w:rPr>
      </w:pPr>
    </w:p>
    <w:p w:rsidR="004479A2" w:rsidRPr="00740355" w:rsidRDefault="00740355" w:rsidP="00AB078F">
      <w:pPr>
        <w:keepNext/>
        <w:spacing w:line="360" w:lineRule="auto"/>
        <w:rPr>
          <w:b/>
          <w:sz w:val="26"/>
          <w:szCs w:val="26"/>
        </w:rPr>
      </w:pPr>
      <w:r w:rsidRPr="00740355">
        <w:rPr>
          <w:b/>
          <w:sz w:val="26"/>
          <w:szCs w:val="26"/>
        </w:rPr>
        <w:t>D</w:t>
      </w:r>
      <w:r w:rsidR="004323F6" w:rsidRPr="00740355">
        <w:rPr>
          <w:b/>
          <w:sz w:val="26"/>
          <w:szCs w:val="26"/>
        </w:rPr>
        <w:t>.</w:t>
      </w:r>
      <w:r w:rsidR="004323F6" w:rsidRPr="00740355">
        <w:rPr>
          <w:b/>
          <w:sz w:val="26"/>
          <w:szCs w:val="26"/>
        </w:rPr>
        <w:tab/>
      </w:r>
      <w:r w:rsidRPr="00740355">
        <w:rPr>
          <w:b/>
          <w:sz w:val="26"/>
          <w:szCs w:val="26"/>
        </w:rPr>
        <w:t>P</w:t>
      </w:r>
      <w:r w:rsidR="009C3D2D">
        <w:rPr>
          <w:b/>
          <w:sz w:val="26"/>
          <w:szCs w:val="26"/>
        </w:rPr>
        <w:t>PLICA</w:t>
      </w:r>
      <w:r w:rsidR="00EE6F5E">
        <w:rPr>
          <w:b/>
          <w:sz w:val="26"/>
          <w:szCs w:val="26"/>
        </w:rPr>
        <w:t>’</w:t>
      </w:r>
      <w:r w:rsidR="009C3D2D">
        <w:rPr>
          <w:b/>
          <w:sz w:val="26"/>
          <w:szCs w:val="26"/>
        </w:rPr>
        <w:t>s Letter and PPL</w:t>
      </w:r>
      <w:r w:rsidR="00EE6F5E">
        <w:rPr>
          <w:b/>
          <w:sz w:val="26"/>
          <w:szCs w:val="26"/>
        </w:rPr>
        <w:t>’</w:t>
      </w:r>
      <w:r w:rsidR="009C3D2D">
        <w:rPr>
          <w:b/>
          <w:sz w:val="26"/>
          <w:szCs w:val="26"/>
        </w:rPr>
        <w:t>s Response</w:t>
      </w:r>
      <w:r w:rsidR="00464FC8">
        <w:rPr>
          <w:rStyle w:val="FootnoteReference"/>
          <w:b/>
          <w:sz w:val="26"/>
          <w:szCs w:val="26"/>
        </w:rPr>
        <w:footnoteReference w:id="8"/>
      </w:r>
    </w:p>
    <w:p w:rsidR="004479A2" w:rsidRDefault="004479A2" w:rsidP="009E1963">
      <w:pPr>
        <w:keepNext/>
        <w:spacing w:line="360" w:lineRule="auto"/>
        <w:rPr>
          <w:sz w:val="26"/>
          <w:szCs w:val="26"/>
        </w:rPr>
      </w:pPr>
    </w:p>
    <w:p w:rsidR="00740355" w:rsidRDefault="00067DC5" w:rsidP="00F754CF">
      <w:pPr>
        <w:spacing w:line="360" w:lineRule="auto"/>
        <w:rPr>
          <w:sz w:val="26"/>
          <w:szCs w:val="26"/>
        </w:rPr>
      </w:pPr>
      <w:r>
        <w:rPr>
          <w:sz w:val="26"/>
          <w:szCs w:val="26"/>
        </w:rPr>
        <w:tab/>
      </w:r>
      <w:r>
        <w:rPr>
          <w:sz w:val="26"/>
          <w:szCs w:val="26"/>
        </w:rPr>
        <w:tab/>
        <w:t>In its Letter, PPLICA, a signatory</w:t>
      </w:r>
      <w:r w:rsidR="004467B8">
        <w:rPr>
          <w:sz w:val="26"/>
          <w:szCs w:val="26"/>
        </w:rPr>
        <w:t xml:space="preserve"> Party</w:t>
      </w:r>
      <w:r>
        <w:rPr>
          <w:sz w:val="26"/>
          <w:szCs w:val="26"/>
        </w:rPr>
        <w:t xml:space="preserve"> to the Settlement, states that it</w:t>
      </w:r>
      <w:r w:rsidR="00F60B4F" w:rsidRPr="00F60B4F">
        <w:rPr>
          <w:sz w:val="26"/>
          <w:szCs w:val="26"/>
        </w:rPr>
        <w:t xml:space="preserve"> </w:t>
      </w:r>
      <w:r w:rsidR="00F60B4F">
        <w:rPr>
          <w:sz w:val="26"/>
          <w:szCs w:val="26"/>
        </w:rPr>
        <w:t>does not except to the findings in the Recommended Decision, and</w:t>
      </w:r>
      <w:r>
        <w:rPr>
          <w:sz w:val="26"/>
          <w:szCs w:val="26"/>
        </w:rPr>
        <w:t xml:space="preserve"> supports the ALJ</w:t>
      </w:r>
      <w:r w:rsidR="00EE6F5E">
        <w:rPr>
          <w:sz w:val="26"/>
          <w:szCs w:val="26"/>
        </w:rPr>
        <w:t>’</w:t>
      </w:r>
      <w:r>
        <w:rPr>
          <w:sz w:val="26"/>
          <w:szCs w:val="26"/>
        </w:rPr>
        <w:t xml:space="preserve">s finding that the Settlement is in the public </w:t>
      </w:r>
      <w:r w:rsidR="00F60B4F">
        <w:rPr>
          <w:sz w:val="26"/>
          <w:szCs w:val="26"/>
        </w:rPr>
        <w:t>interest</w:t>
      </w:r>
      <w:r>
        <w:rPr>
          <w:sz w:val="26"/>
          <w:szCs w:val="26"/>
        </w:rPr>
        <w:t>.  However, PPLICA asserts that the Recommended Decision in</w:t>
      </w:r>
      <w:r w:rsidR="00A11940">
        <w:rPr>
          <w:sz w:val="26"/>
          <w:szCs w:val="26"/>
        </w:rPr>
        <w:t xml:space="preserve">cludes </w:t>
      </w:r>
      <w:r w:rsidR="00F60B4F">
        <w:rPr>
          <w:sz w:val="26"/>
          <w:szCs w:val="26"/>
        </w:rPr>
        <w:t>a factual statement regarding</w:t>
      </w:r>
      <w:r w:rsidR="008F48D7">
        <w:rPr>
          <w:sz w:val="26"/>
          <w:szCs w:val="26"/>
        </w:rPr>
        <w:t xml:space="preserve"> Amtrak</w:t>
      </w:r>
      <w:r w:rsidR="00EE6F5E">
        <w:rPr>
          <w:sz w:val="26"/>
          <w:szCs w:val="26"/>
        </w:rPr>
        <w:t>’</w:t>
      </w:r>
      <w:r w:rsidR="008F48D7">
        <w:rPr>
          <w:sz w:val="26"/>
          <w:szCs w:val="26"/>
        </w:rPr>
        <w:t>s savings under</w:t>
      </w:r>
      <w:r w:rsidR="00A629D2">
        <w:rPr>
          <w:sz w:val="26"/>
          <w:szCs w:val="26"/>
        </w:rPr>
        <w:t xml:space="preserve"> Rate Schedule LPEP that </w:t>
      </w:r>
      <w:r w:rsidR="004467B8">
        <w:rPr>
          <w:sz w:val="26"/>
          <w:szCs w:val="26"/>
        </w:rPr>
        <w:t>merit</w:t>
      </w:r>
      <w:r>
        <w:rPr>
          <w:sz w:val="26"/>
          <w:szCs w:val="26"/>
        </w:rPr>
        <w:t xml:space="preserve">s clarification of the record.  </w:t>
      </w:r>
      <w:r w:rsidR="0039273E">
        <w:rPr>
          <w:sz w:val="26"/>
          <w:szCs w:val="26"/>
        </w:rPr>
        <w:t xml:space="preserve">PPLICA </w:t>
      </w:r>
      <w:r>
        <w:rPr>
          <w:sz w:val="26"/>
          <w:szCs w:val="26"/>
        </w:rPr>
        <w:t>Letter at 1.</w:t>
      </w:r>
      <w:r w:rsidR="00A629D2">
        <w:rPr>
          <w:sz w:val="26"/>
          <w:szCs w:val="26"/>
        </w:rPr>
        <w:t xml:space="preserve">  </w:t>
      </w:r>
      <w:r w:rsidR="00554E40">
        <w:rPr>
          <w:sz w:val="26"/>
          <w:szCs w:val="26"/>
        </w:rPr>
        <w:t xml:space="preserve">PPLICA expresses its concern that, absent such clarification, the subject language in the </w:t>
      </w:r>
      <w:r w:rsidR="00554E40">
        <w:rPr>
          <w:sz w:val="26"/>
          <w:szCs w:val="26"/>
        </w:rPr>
        <w:lastRenderedPageBreak/>
        <w:t xml:space="preserve">Recommended Decision could be cited with prejudice, contrary to the language set forth in Paragraph 63 of the Joint Petition.  </w:t>
      </w:r>
      <w:r w:rsidR="00554E40" w:rsidRPr="00554E40">
        <w:rPr>
          <w:i/>
          <w:sz w:val="26"/>
          <w:szCs w:val="26"/>
        </w:rPr>
        <w:t>Id</w:t>
      </w:r>
      <w:r w:rsidR="00554E40">
        <w:rPr>
          <w:sz w:val="26"/>
          <w:szCs w:val="26"/>
        </w:rPr>
        <w:t>., n.1.</w:t>
      </w:r>
      <w:r w:rsidR="00F30274">
        <w:rPr>
          <w:rStyle w:val="FootnoteReference"/>
          <w:sz w:val="26"/>
          <w:szCs w:val="26"/>
        </w:rPr>
        <w:footnoteReference w:id="9"/>
      </w:r>
    </w:p>
    <w:p w:rsidR="00740355" w:rsidRDefault="00740355" w:rsidP="004F5483">
      <w:pPr>
        <w:spacing w:line="360" w:lineRule="auto"/>
        <w:rPr>
          <w:sz w:val="26"/>
          <w:szCs w:val="26"/>
        </w:rPr>
      </w:pPr>
    </w:p>
    <w:p w:rsidR="00026340" w:rsidRPr="00026340" w:rsidRDefault="00026340" w:rsidP="004F5483">
      <w:pPr>
        <w:spacing w:line="360" w:lineRule="auto"/>
        <w:rPr>
          <w:sz w:val="26"/>
          <w:szCs w:val="26"/>
        </w:rPr>
      </w:pPr>
      <w:r>
        <w:rPr>
          <w:sz w:val="26"/>
          <w:szCs w:val="26"/>
        </w:rPr>
        <w:tab/>
      </w:r>
      <w:r>
        <w:rPr>
          <w:sz w:val="26"/>
          <w:szCs w:val="26"/>
        </w:rPr>
        <w:tab/>
        <w:t xml:space="preserve">As the ALJ noted, </w:t>
      </w:r>
      <w:r w:rsidR="00D065C2">
        <w:rPr>
          <w:sz w:val="26"/>
          <w:szCs w:val="26"/>
        </w:rPr>
        <w:t xml:space="preserve">Amtrak is the sole customer taking service under </w:t>
      </w:r>
      <w:r>
        <w:rPr>
          <w:sz w:val="26"/>
          <w:szCs w:val="26"/>
        </w:rPr>
        <w:t>Rate Schedule LPEP</w:t>
      </w:r>
      <w:r w:rsidR="00D065C2">
        <w:rPr>
          <w:sz w:val="26"/>
          <w:szCs w:val="26"/>
        </w:rPr>
        <w:t>, which</w:t>
      </w:r>
      <w:r>
        <w:rPr>
          <w:sz w:val="26"/>
          <w:szCs w:val="26"/>
        </w:rPr>
        <w:t xml:space="preserve"> is the rate schedule under which PPL provides electricity for electric propulsion service from the Company</w:t>
      </w:r>
      <w:r w:rsidR="00EE6F5E">
        <w:rPr>
          <w:sz w:val="26"/>
          <w:szCs w:val="26"/>
        </w:rPr>
        <w:t>’</w:t>
      </w:r>
      <w:r>
        <w:rPr>
          <w:sz w:val="26"/>
          <w:szCs w:val="26"/>
        </w:rPr>
        <w:t>s high voltage lines of 69,000 volts or higher, when the customer furnishes and maintains</w:t>
      </w:r>
      <w:r w:rsidR="00D065C2">
        <w:rPr>
          <w:sz w:val="26"/>
          <w:szCs w:val="26"/>
        </w:rPr>
        <w:t xml:space="preserve"> all equipment necessary to transform the energy from line voltage.  R.D. at 44</w:t>
      </w:r>
      <w:r w:rsidR="00EA7A99">
        <w:rPr>
          <w:sz w:val="26"/>
          <w:szCs w:val="26"/>
        </w:rPr>
        <w:t>,</w:t>
      </w:r>
      <w:r w:rsidR="00D065C2">
        <w:rPr>
          <w:sz w:val="26"/>
          <w:szCs w:val="26"/>
        </w:rPr>
        <w:t xml:space="preserve"> citing PPL St. No. 4-R at 30.</w:t>
      </w:r>
      <w:r w:rsidR="003A5256">
        <w:rPr>
          <w:sz w:val="26"/>
          <w:szCs w:val="26"/>
        </w:rPr>
        <w:t xml:space="preserve">  In accordance with the Settlement, PPL and Amtrak agree that </w:t>
      </w:r>
      <w:r w:rsidRPr="00026340">
        <w:rPr>
          <w:sz w:val="26"/>
          <w:szCs w:val="26"/>
        </w:rPr>
        <w:t xml:space="preserve">the customer charge for Rate Schedule LPEP will be reduced from the proposed $252,647.17 per month to $126,323.59 per month, effective January 1, 2016, </w:t>
      </w:r>
      <w:r w:rsidR="00D34180">
        <w:rPr>
          <w:sz w:val="26"/>
          <w:szCs w:val="26"/>
        </w:rPr>
        <w:t xml:space="preserve">and that </w:t>
      </w:r>
      <w:r w:rsidR="00DF6662">
        <w:rPr>
          <w:sz w:val="26"/>
          <w:szCs w:val="26"/>
        </w:rPr>
        <w:t>PPL</w:t>
      </w:r>
      <w:r w:rsidR="00D34180">
        <w:rPr>
          <w:sz w:val="26"/>
          <w:szCs w:val="26"/>
        </w:rPr>
        <w:t xml:space="preserve"> and Amtrak will</w:t>
      </w:r>
      <w:r w:rsidRPr="00026340">
        <w:rPr>
          <w:sz w:val="26"/>
          <w:szCs w:val="26"/>
        </w:rPr>
        <w:t xml:space="preserve"> continue to work together to resolve all open issues regarding the upgrade of the Conestoga Sub</w:t>
      </w:r>
      <w:r w:rsidR="00B35E4F">
        <w:rPr>
          <w:sz w:val="26"/>
          <w:szCs w:val="26"/>
        </w:rPr>
        <w:t>station.</w:t>
      </w:r>
      <w:r w:rsidR="00E423BA">
        <w:rPr>
          <w:rStyle w:val="FootnoteReference"/>
          <w:sz w:val="26"/>
          <w:szCs w:val="26"/>
        </w:rPr>
        <w:footnoteReference w:id="10"/>
      </w:r>
      <w:r w:rsidR="00631589">
        <w:rPr>
          <w:sz w:val="26"/>
          <w:szCs w:val="26"/>
        </w:rPr>
        <w:t xml:space="preserve">  PPL</w:t>
      </w:r>
      <w:r w:rsidRPr="00026340">
        <w:rPr>
          <w:sz w:val="26"/>
          <w:szCs w:val="26"/>
        </w:rPr>
        <w:t xml:space="preserve"> and Amtrak agree to make good faith efforts to conclude the negotiations and execute a final agreement by no later than September 1, 2016.  </w:t>
      </w:r>
      <w:r w:rsidR="00631589">
        <w:rPr>
          <w:sz w:val="26"/>
          <w:szCs w:val="26"/>
        </w:rPr>
        <w:t>PPL will then</w:t>
      </w:r>
      <w:r w:rsidRPr="00026340">
        <w:rPr>
          <w:sz w:val="26"/>
          <w:szCs w:val="26"/>
        </w:rPr>
        <w:t xml:space="preserve"> submit a further tariff filing for </w:t>
      </w:r>
      <w:r w:rsidR="00631589">
        <w:rPr>
          <w:sz w:val="26"/>
          <w:szCs w:val="26"/>
        </w:rPr>
        <w:t>Rate Schedule LPEP to reflect either</w:t>
      </w:r>
      <w:r w:rsidRPr="00026340">
        <w:rPr>
          <w:sz w:val="26"/>
          <w:szCs w:val="26"/>
        </w:rPr>
        <w:t xml:space="preserve"> the negotiated agreement </w:t>
      </w:r>
      <w:r w:rsidRPr="00026340">
        <w:rPr>
          <w:sz w:val="26"/>
          <w:szCs w:val="26"/>
        </w:rPr>
        <w:lastRenderedPageBreak/>
        <w:t>ult</w:t>
      </w:r>
      <w:r w:rsidR="00631589">
        <w:rPr>
          <w:sz w:val="26"/>
          <w:szCs w:val="26"/>
        </w:rPr>
        <w:t xml:space="preserve">imately reached by PPL </w:t>
      </w:r>
      <w:r w:rsidRPr="00026340">
        <w:rPr>
          <w:sz w:val="26"/>
          <w:szCs w:val="26"/>
        </w:rPr>
        <w:t>and Amtrak</w:t>
      </w:r>
      <w:r w:rsidR="00631589">
        <w:rPr>
          <w:sz w:val="26"/>
          <w:szCs w:val="26"/>
        </w:rPr>
        <w:t xml:space="preserve">, or </w:t>
      </w:r>
      <w:r w:rsidRPr="00026340">
        <w:rPr>
          <w:sz w:val="26"/>
          <w:szCs w:val="26"/>
        </w:rPr>
        <w:t>t</w:t>
      </w:r>
      <w:r w:rsidR="00631589">
        <w:rPr>
          <w:sz w:val="26"/>
          <w:szCs w:val="26"/>
        </w:rPr>
        <w:t>he fact</w:t>
      </w:r>
      <w:r w:rsidR="00E70A4F">
        <w:rPr>
          <w:sz w:val="26"/>
          <w:szCs w:val="26"/>
        </w:rPr>
        <w:t xml:space="preserve"> that</w:t>
      </w:r>
      <w:r w:rsidR="00631589">
        <w:rPr>
          <w:sz w:val="26"/>
          <w:szCs w:val="26"/>
        </w:rPr>
        <w:t xml:space="preserve"> PPL </w:t>
      </w:r>
      <w:r w:rsidRPr="00026340">
        <w:rPr>
          <w:sz w:val="26"/>
          <w:szCs w:val="26"/>
        </w:rPr>
        <w:t>and Amtrak were unable to reach an agreement by September 1, 2016.</w:t>
      </w:r>
      <w:r w:rsidR="00631589">
        <w:rPr>
          <w:sz w:val="26"/>
          <w:szCs w:val="26"/>
        </w:rPr>
        <w:t xml:space="preserve">  Joint Petition at 9-10.</w:t>
      </w:r>
    </w:p>
    <w:p w:rsidR="00740355" w:rsidRDefault="00740355" w:rsidP="004F5483">
      <w:pPr>
        <w:spacing w:line="360" w:lineRule="auto"/>
        <w:rPr>
          <w:sz w:val="26"/>
          <w:szCs w:val="26"/>
        </w:rPr>
      </w:pPr>
    </w:p>
    <w:p w:rsidR="005A417E" w:rsidRDefault="005A417E" w:rsidP="004F5483">
      <w:pPr>
        <w:spacing w:line="360" w:lineRule="auto"/>
        <w:rPr>
          <w:sz w:val="26"/>
          <w:szCs w:val="26"/>
        </w:rPr>
      </w:pPr>
      <w:r>
        <w:rPr>
          <w:sz w:val="26"/>
          <w:szCs w:val="26"/>
        </w:rPr>
        <w:tab/>
      </w:r>
      <w:r>
        <w:rPr>
          <w:sz w:val="26"/>
          <w:szCs w:val="26"/>
        </w:rPr>
        <w:tab/>
        <w:t>In her discussion of Rate Schedule LPEP and the applicable Settlement provisions, the ALJ stated that “[t]</w:t>
      </w:r>
      <w:r w:rsidRPr="005A417E">
        <w:rPr>
          <w:sz w:val="26"/>
          <w:szCs w:val="26"/>
        </w:rPr>
        <w:t>he history of how Rate Schedule LPEP has evolved and the very significant savings Amtrak has received as a result of being on Rate Schedule LPEP is explained in PPL Electric St. No. 4-R, pp. 30-32.</w:t>
      </w:r>
      <w:r>
        <w:rPr>
          <w:sz w:val="26"/>
          <w:szCs w:val="26"/>
        </w:rPr>
        <w:t xml:space="preserve">”  </w:t>
      </w:r>
      <w:proofErr w:type="gramStart"/>
      <w:r>
        <w:rPr>
          <w:sz w:val="26"/>
          <w:szCs w:val="26"/>
        </w:rPr>
        <w:t>R.D. at 44.</w:t>
      </w:r>
      <w:proofErr w:type="gramEnd"/>
      <w:r>
        <w:rPr>
          <w:rStyle w:val="FootnoteReference"/>
          <w:sz w:val="26"/>
          <w:szCs w:val="26"/>
        </w:rPr>
        <w:footnoteReference w:id="11"/>
      </w:r>
      <w:r w:rsidR="00687002">
        <w:rPr>
          <w:sz w:val="26"/>
          <w:szCs w:val="26"/>
        </w:rPr>
        <w:t xml:space="preserve">  PPLICA asserts that </w:t>
      </w:r>
      <w:r w:rsidR="00D728D2">
        <w:rPr>
          <w:sz w:val="26"/>
          <w:szCs w:val="26"/>
        </w:rPr>
        <w:t>this statement regarding PP</w:t>
      </w:r>
      <w:r w:rsidR="00E70A4F">
        <w:rPr>
          <w:sz w:val="26"/>
          <w:szCs w:val="26"/>
        </w:rPr>
        <w:t>L</w:t>
      </w:r>
      <w:r w:rsidR="00EE6F5E">
        <w:rPr>
          <w:sz w:val="26"/>
          <w:szCs w:val="26"/>
        </w:rPr>
        <w:t>’</w:t>
      </w:r>
      <w:r w:rsidR="00E70A4F">
        <w:rPr>
          <w:sz w:val="26"/>
          <w:szCs w:val="26"/>
        </w:rPr>
        <w:t>s testimony about</w:t>
      </w:r>
      <w:r w:rsidR="00D728D2">
        <w:rPr>
          <w:sz w:val="26"/>
          <w:szCs w:val="26"/>
        </w:rPr>
        <w:t xml:space="preserve"> Amtrak</w:t>
      </w:r>
      <w:r w:rsidR="00EE6F5E">
        <w:rPr>
          <w:sz w:val="26"/>
          <w:szCs w:val="26"/>
        </w:rPr>
        <w:t>’</w:t>
      </w:r>
      <w:r w:rsidR="00D728D2">
        <w:rPr>
          <w:sz w:val="26"/>
          <w:szCs w:val="26"/>
        </w:rPr>
        <w:t>s savings under Rate Schedule LPEP “should be clarified to reflect PPLICA</w:t>
      </w:r>
      <w:r w:rsidR="00EE6F5E">
        <w:rPr>
          <w:sz w:val="26"/>
          <w:szCs w:val="26"/>
        </w:rPr>
        <w:t>’</w:t>
      </w:r>
      <w:r w:rsidR="00D728D2">
        <w:rPr>
          <w:sz w:val="26"/>
          <w:szCs w:val="26"/>
        </w:rPr>
        <w:t xml:space="preserve">s record testimony stating that Rate LPEP eliminated cross-subsidization, as </w:t>
      </w:r>
      <w:r w:rsidR="00EE6F5E">
        <w:rPr>
          <w:sz w:val="26"/>
          <w:szCs w:val="26"/>
        </w:rPr>
        <w:t>‘</w:t>
      </w:r>
      <w:r w:rsidR="00D728D2">
        <w:rPr>
          <w:sz w:val="26"/>
          <w:szCs w:val="26"/>
        </w:rPr>
        <w:t>Amtrak would have been s</w:t>
      </w:r>
      <w:r w:rsidR="00F96263">
        <w:rPr>
          <w:sz w:val="26"/>
          <w:szCs w:val="26"/>
        </w:rPr>
        <w:t>ubsidizing LP-5 customers had it</w:t>
      </w:r>
      <w:r w:rsidR="00D728D2">
        <w:rPr>
          <w:sz w:val="26"/>
          <w:szCs w:val="26"/>
        </w:rPr>
        <w:t xml:space="preserve"> not changed to the LPEP rate.</w:t>
      </w:r>
      <w:r w:rsidR="00EE6F5E">
        <w:rPr>
          <w:sz w:val="26"/>
          <w:szCs w:val="26"/>
        </w:rPr>
        <w:t>’</w:t>
      </w:r>
      <w:r w:rsidR="00D728D2">
        <w:rPr>
          <w:sz w:val="26"/>
          <w:szCs w:val="26"/>
        </w:rPr>
        <w:t xml:space="preserve">”  </w:t>
      </w:r>
      <w:r w:rsidR="0039273E">
        <w:rPr>
          <w:sz w:val="26"/>
          <w:szCs w:val="26"/>
        </w:rPr>
        <w:t xml:space="preserve">PPLICA </w:t>
      </w:r>
      <w:r w:rsidR="00D728D2">
        <w:rPr>
          <w:sz w:val="26"/>
          <w:szCs w:val="26"/>
        </w:rPr>
        <w:t>Letter at 1</w:t>
      </w:r>
      <w:r w:rsidR="00EA7A99">
        <w:rPr>
          <w:sz w:val="26"/>
          <w:szCs w:val="26"/>
        </w:rPr>
        <w:t>,</w:t>
      </w:r>
      <w:r w:rsidR="00D728D2">
        <w:rPr>
          <w:sz w:val="26"/>
          <w:szCs w:val="26"/>
        </w:rPr>
        <w:t xml:space="preserve"> citing R.D. at 44</w:t>
      </w:r>
      <w:r w:rsidR="00EA7A99">
        <w:rPr>
          <w:sz w:val="26"/>
          <w:szCs w:val="26"/>
        </w:rPr>
        <w:t>,</w:t>
      </w:r>
      <w:r w:rsidR="00D728D2">
        <w:rPr>
          <w:sz w:val="26"/>
          <w:szCs w:val="26"/>
        </w:rPr>
        <w:t xml:space="preserve"> PPL St. No. 4-R at 30-32 </w:t>
      </w:r>
      <w:r w:rsidR="00EA7A99">
        <w:rPr>
          <w:sz w:val="26"/>
          <w:szCs w:val="26"/>
        </w:rPr>
        <w:t xml:space="preserve">and </w:t>
      </w:r>
      <w:r w:rsidR="00D728D2">
        <w:rPr>
          <w:sz w:val="26"/>
          <w:szCs w:val="26"/>
        </w:rPr>
        <w:t>PPLICA St. No. 3-S at 5.  PPLICA argues that because the Settlement did not address the matter of whether Amtrak received savings a</w:t>
      </w:r>
      <w:r w:rsidR="00A06485">
        <w:rPr>
          <w:sz w:val="26"/>
          <w:szCs w:val="26"/>
        </w:rPr>
        <w:t>s</w:t>
      </w:r>
      <w:r w:rsidR="00D728D2">
        <w:rPr>
          <w:sz w:val="26"/>
          <w:szCs w:val="26"/>
        </w:rPr>
        <w:t xml:space="preserve"> </w:t>
      </w:r>
      <w:r w:rsidR="00E70A4F">
        <w:rPr>
          <w:sz w:val="26"/>
          <w:szCs w:val="26"/>
        </w:rPr>
        <w:t xml:space="preserve">a </w:t>
      </w:r>
      <w:r w:rsidR="00D728D2">
        <w:rPr>
          <w:sz w:val="26"/>
          <w:szCs w:val="26"/>
        </w:rPr>
        <w:t xml:space="preserve">result of </w:t>
      </w:r>
      <w:r w:rsidR="00E70A4F">
        <w:rPr>
          <w:sz w:val="26"/>
          <w:szCs w:val="26"/>
        </w:rPr>
        <w:t>being on Rate Schedule LPEP, PPLICA</w:t>
      </w:r>
      <w:r w:rsidR="00EE6F5E">
        <w:rPr>
          <w:sz w:val="26"/>
          <w:szCs w:val="26"/>
        </w:rPr>
        <w:t>’</w:t>
      </w:r>
      <w:r w:rsidR="00E70A4F">
        <w:rPr>
          <w:sz w:val="26"/>
          <w:szCs w:val="26"/>
        </w:rPr>
        <w:t>s</w:t>
      </w:r>
      <w:r w:rsidR="00D728D2">
        <w:rPr>
          <w:sz w:val="26"/>
          <w:szCs w:val="26"/>
        </w:rPr>
        <w:t xml:space="preserve"> proposed limited clarification “benefits the Commission and all parties by avoiding uncertainty and providing a full account of the record supporting the Settlement.”  </w:t>
      </w:r>
      <w:r w:rsidR="0039273E">
        <w:rPr>
          <w:sz w:val="26"/>
          <w:szCs w:val="26"/>
        </w:rPr>
        <w:t xml:space="preserve">PPLICA </w:t>
      </w:r>
      <w:r w:rsidR="00D728D2">
        <w:rPr>
          <w:sz w:val="26"/>
          <w:szCs w:val="26"/>
        </w:rPr>
        <w:t>Letter at 2.</w:t>
      </w:r>
    </w:p>
    <w:p w:rsidR="00D642F2" w:rsidRDefault="00D642F2" w:rsidP="004F5483">
      <w:pPr>
        <w:spacing w:line="360" w:lineRule="auto"/>
        <w:rPr>
          <w:sz w:val="26"/>
          <w:szCs w:val="26"/>
        </w:rPr>
      </w:pPr>
    </w:p>
    <w:p w:rsidR="00D642F2" w:rsidRDefault="00D642F2" w:rsidP="004F5483">
      <w:pPr>
        <w:spacing w:line="360" w:lineRule="auto"/>
        <w:rPr>
          <w:sz w:val="26"/>
          <w:szCs w:val="26"/>
        </w:rPr>
      </w:pPr>
      <w:r>
        <w:rPr>
          <w:sz w:val="26"/>
          <w:szCs w:val="26"/>
        </w:rPr>
        <w:tab/>
      </w:r>
      <w:r>
        <w:rPr>
          <w:sz w:val="26"/>
          <w:szCs w:val="26"/>
        </w:rPr>
        <w:tab/>
        <w:t>In its response, PPL considers PPLICA</w:t>
      </w:r>
      <w:r w:rsidR="00EE6F5E">
        <w:rPr>
          <w:sz w:val="26"/>
          <w:szCs w:val="26"/>
        </w:rPr>
        <w:t>’</w:t>
      </w:r>
      <w:r>
        <w:rPr>
          <w:sz w:val="26"/>
          <w:szCs w:val="26"/>
        </w:rPr>
        <w:t>s Letter to represent an exception to the Recommended Decision, and asserts that it</w:t>
      </w:r>
      <w:r w:rsidR="00CE2529">
        <w:rPr>
          <w:sz w:val="26"/>
          <w:szCs w:val="26"/>
        </w:rPr>
        <w:t xml:space="preserve"> is improper, is </w:t>
      </w:r>
      <w:r>
        <w:rPr>
          <w:sz w:val="26"/>
          <w:szCs w:val="26"/>
        </w:rPr>
        <w:t>without merit</w:t>
      </w:r>
      <w:r w:rsidR="00CE2529">
        <w:rPr>
          <w:sz w:val="26"/>
          <w:szCs w:val="26"/>
        </w:rPr>
        <w:t>,</w:t>
      </w:r>
      <w:r>
        <w:rPr>
          <w:sz w:val="26"/>
          <w:szCs w:val="26"/>
        </w:rPr>
        <w:t xml:space="preserve"> and should be denied.  PPL points out that </w:t>
      </w:r>
      <w:r w:rsidR="00BE11F3">
        <w:rPr>
          <w:sz w:val="26"/>
          <w:szCs w:val="26"/>
        </w:rPr>
        <w:t xml:space="preserve">the Joint Petitioners agreed to waive their right to file exceptions if the ALJ adopted the Settlement without modification.  Because PPLICA </w:t>
      </w:r>
      <w:r w:rsidR="00CE2529">
        <w:rPr>
          <w:sz w:val="26"/>
          <w:szCs w:val="26"/>
        </w:rPr>
        <w:t>was a P</w:t>
      </w:r>
      <w:r w:rsidR="00BE11F3">
        <w:rPr>
          <w:sz w:val="26"/>
          <w:szCs w:val="26"/>
        </w:rPr>
        <w:t>arty</w:t>
      </w:r>
      <w:r w:rsidR="00EE5265">
        <w:rPr>
          <w:sz w:val="26"/>
          <w:szCs w:val="26"/>
        </w:rPr>
        <w:t xml:space="preserve"> to the Settlement, and because</w:t>
      </w:r>
      <w:r w:rsidR="00BE11F3">
        <w:rPr>
          <w:sz w:val="26"/>
          <w:szCs w:val="26"/>
        </w:rPr>
        <w:t xml:space="preserve"> the ALJ adopted the Settlement without modification, PPL argues that PPLICA</w:t>
      </w:r>
      <w:r w:rsidR="00EE6F5E">
        <w:rPr>
          <w:sz w:val="26"/>
          <w:szCs w:val="26"/>
        </w:rPr>
        <w:t>’</w:t>
      </w:r>
      <w:r w:rsidR="00BE11F3">
        <w:rPr>
          <w:sz w:val="26"/>
          <w:szCs w:val="26"/>
        </w:rPr>
        <w:t>s exception must be denied.  PPL contends that consideration of PPLICA</w:t>
      </w:r>
      <w:r w:rsidR="00EE6F5E">
        <w:rPr>
          <w:sz w:val="26"/>
          <w:szCs w:val="26"/>
        </w:rPr>
        <w:t>’</w:t>
      </w:r>
      <w:r w:rsidR="00BE11F3">
        <w:rPr>
          <w:sz w:val="26"/>
          <w:szCs w:val="26"/>
        </w:rPr>
        <w:t>s exception by the Commission would set a</w:t>
      </w:r>
      <w:r w:rsidR="0069745B">
        <w:rPr>
          <w:sz w:val="26"/>
          <w:szCs w:val="26"/>
        </w:rPr>
        <w:t xml:space="preserve"> very</w:t>
      </w:r>
      <w:r w:rsidR="00BE11F3">
        <w:rPr>
          <w:sz w:val="26"/>
          <w:szCs w:val="26"/>
        </w:rPr>
        <w:t xml:space="preserve"> bad precedent</w:t>
      </w:r>
      <w:r w:rsidR="0093055B">
        <w:rPr>
          <w:sz w:val="26"/>
          <w:szCs w:val="26"/>
        </w:rPr>
        <w:t xml:space="preserve"> by allowing a party to a settlement to disregard and take actions contrary to the exp</w:t>
      </w:r>
      <w:r w:rsidR="00EE5265">
        <w:rPr>
          <w:sz w:val="26"/>
          <w:szCs w:val="26"/>
        </w:rPr>
        <w:t>ress terms and conditions of that</w:t>
      </w:r>
      <w:r w:rsidR="0093055B">
        <w:rPr>
          <w:sz w:val="26"/>
          <w:szCs w:val="26"/>
        </w:rPr>
        <w:t xml:space="preserve"> settlement.</w:t>
      </w:r>
      <w:r w:rsidR="0039273E">
        <w:rPr>
          <w:sz w:val="26"/>
          <w:szCs w:val="26"/>
        </w:rPr>
        <w:t xml:space="preserve">  According to PPL, the only conditions under which a party to the Settlement in this proceeding may file exceptions are if the ALJ does </w:t>
      </w:r>
      <w:r w:rsidR="0039273E">
        <w:rPr>
          <w:sz w:val="26"/>
          <w:szCs w:val="26"/>
        </w:rPr>
        <w:lastRenderedPageBreak/>
        <w:t>not adopt the Settlement, or if the ALJ adopts the Settlement with modifications.  PPL Response at 3.</w:t>
      </w:r>
    </w:p>
    <w:p w:rsidR="00800938" w:rsidRDefault="00800938" w:rsidP="004F5483">
      <w:pPr>
        <w:spacing w:line="360" w:lineRule="auto"/>
        <w:rPr>
          <w:sz w:val="26"/>
          <w:szCs w:val="26"/>
        </w:rPr>
      </w:pPr>
    </w:p>
    <w:p w:rsidR="00800938" w:rsidRPr="005A417E" w:rsidRDefault="00302394" w:rsidP="004F5483">
      <w:pPr>
        <w:spacing w:line="360" w:lineRule="auto"/>
        <w:rPr>
          <w:sz w:val="26"/>
          <w:szCs w:val="26"/>
        </w:rPr>
      </w:pPr>
      <w:r>
        <w:rPr>
          <w:sz w:val="26"/>
          <w:szCs w:val="26"/>
        </w:rPr>
        <w:tab/>
      </w:r>
      <w:r>
        <w:rPr>
          <w:sz w:val="26"/>
          <w:szCs w:val="26"/>
        </w:rPr>
        <w:tab/>
        <w:t>PPL also contends that the basis for PPLICA</w:t>
      </w:r>
      <w:r w:rsidR="00EE6F5E">
        <w:rPr>
          <w:sz w:val="26"/>
          <w:szCs w:val="26"/>
        </w:rPr>
        <w:t>’</w:t>
      </w:r>
      <w:r>
        <w:rPr>
          <w:sz w:val="26"/>
          <w:szCs w:val="26"/>
        </w:rPr>
        <w:t xml:space="preserve">s Letter is contrary to the Settlement.  According to PPL, </w:t>
      </w:r>
      <w:r w:rsidR="001A2A1B">
        <w:rPr>
          <w:sz w:val="26"/>
          <w:szCs w:val="26"/>
        </w:rPr>
        <w:t>PPLICA</w:t>
      </w:r>
      <w:r w:rsidR="00EE6F5E">
        <w:rPr>
          <w:sz w:val="26"/>
          <w:szCs w:val="26"/>
        </w:rPr>
        <w:t>’</w:t>
      </w:r>
      <w:r w:rsidR="001A2A1B">
        <w:rPr>
          <w:sz w:val="26"/>
          <w:szCs w:val="26"/>
        </w:rPr>
        <w:t>s concern</w:t>
      </w:r>
      <w:r>
        <w:rPr>
          <w:sz w:val="26"/>
          <w:szCs w:val="26"/>
        </w:rPr>
        <w:t xml:space="preserve"> that the language in the Recommended Decision regarding Amtrak</w:t>
      </w:r>
      <w:r w:rsidR="00EE6F5E">
        <w:rPr>
          <w:sz w:val="26"/>
          <w:szCs w:val="26"/>
        </w:rPr>
        <w:t>’</w:t>
      </w:r>
      <w:r>
        <w:rPr>
          <w:sz w:val="26"/>
          <w:szCs w:val="26"/>
        </w:rPr>
        <w:t>s savings under Rate Schedule LPEP might be cited with prejudice</w:t>
      </w:r>
      <w:r w:rsidR="00A7007E">
        <w:rPr>
          <w:sz w:val="26"/>
          <w:szCs w:val="26"/>
        </w:rPr>
        <w:t xml:space="preserve"> already</w:t>
      </w:r>
      <w:r>
        <w:rPr>
          <w:sz w:val="26"/>
          <w:szCs w:val="26"/>
        </w:rPr>
        <w:t xml:space="preserve"> has been addressed and resolved by the Settlement.  PPL</w:t>
      </w:r>
      <w:r w:rsidR="001A2A1B">
        <w:rPr>
          <w:sz w:val="26"/>
          <w:szCs w:val="26"/>
        </w:rPr>
        <w:t xml:space="preserve"> points out that the Joint Petition expressly provides that the Settlement</w:t>
      </w:r>
      <w:r>
        <w:rPr>
          <w:sz w:val="26"/>
          <w:szCs w:val="26"/>
        </w:rPr>
        <w:t xml:space="preserve"> is </w:t>
      </w:r>
      <w:r w:rsidR="009F303A">
        <w:rPr>
          <w:sz w:val="26"/>
          <w:szCs w:val="26"/>
        </w:rPr>
        <w:t>“</w:t>
      </w:r>
      <w:r w:rsidRPr="00302394">
        <w:rPr>
          <w:sz w:val="26"/>
          <w:szCs w:val="26"/>
        </w:rPr>
        <w:t>presented without prejudice to any position which any of the Joint Petitioners may have</w:t>
      </w:r>
      <w:r w:rsidR="009F303A">
        <w:rPr>
          <w:sz w:val="26"/>
          <w:szCs w:val="26"/>
        </w:rPr>
        <w:t xml:space="preserve"> advanced</w:t>
      </w:r>
      <w:r w:rsidR="00A7007E">
        <w:rPr>
          <w:sz w:val="26"/>
          <w:szCs w:val="26"/>
        </w:rPr>
        <w:t>,</w:t>
      </w:r>
      <w:r w:rsidR="009F303A">
        <w:rPr>
          <w:sz w:val="26"/>
          <w:szCs w:val="26"/>
        </w:rPr>
        <w:t xml:space="preserve"> and without prejudice </w:t>
      </w:r>
      <w:r w:rsidRPr="00302394">
        <w:rPr>
          <w:sz w:val="26"/>
          <w:szCs w:val="26"/>
        </w:rPr>
        <w:t>to the position any of the parties may advance on the merits of</w:t>
      </w:r>
      <w:r w:rsidR="009F303A">
        <w:rPr>
          <w:sz w:val="26"/>
          <w:szCs w:val="26"/>
        </w:rPr>
        <w:t xml:space="preserve"> the issues in future proceedings.”  </w:t>
      </w:r>
      <w:r w:rsidR="009F303A" w:rsidRPr="009F303A">
        <w:rPr>
          <w:i/>
          <w:sz w:val="26"/>
          <w:szCs w:val="26"/>
        </w:rPr>
        <w:t>Id</w:t>
      </w:r>
      <w:r w:rsidR="005745FE">
        <w:rPr>
          <w:sz w:val="26"/>
          <w:szCs w:val="26"/>
        </w:rPr>
        <w:t>.</w:t>
      </w:r>
      <w:r w:rsidR="00EA7A99">
        <w:rPr>
          <w:sz w:val="26"/>
          <w:szCs w:val="26"/>
        </w:rPr>
        <w:t>,</w:t>
      </w:r>
      <w:r w:rsidR="005745FE">
        <w:rPr>
          <w:sz w:val="26"/>
          <w:szCs w:val="26"/>
        </w:rPr>
        <w:t xml:space="preserve"> citing Joint Petition</w:t>
      </w:r>
      <w:r w:rsidR="009F303A">
        <w:rPr>
          <w:sz w:val="26"/>
          <w:szCs w:val="26"/>
        </w:rPr>
        <w:t xml:space="preserve"> </w:t>
      </w:r>
      <w:r w:rsidR="009F303A" w:rsidRPr="009F303A">
        <w:rPr>
          <w:sz w:val="26"/>
          <w:szCs w:val="26"/>
        </w:rPr>
        <w:t>¶</w:t>
      </w:r>
      <w:r w:rsidR="009F303A">
        <w:rPr>
          <w:sz w:val="26"/>
          <w:szCs w:val="26"/>
        </w:rPr>
        <w:t xml:space="preserve"> 63.</w:t>
      </w:r>
    </w:p>
    <w:p w:rsidR="00740355" w:rsidRDefault="00740355" w:rsidP="004F5483">
      <w:pPr>
        <w:spacing w:line="360" w:lineRule="auto"/>
        <w:rPr>
          <w:sz w:val="26"/>
          <w:szCs w:val="26"/>
        </w:rPr>
      </w:pPr>
    </w:p>
    <w:p w:rsidR="00740355" w:rsidRDefault="00033491" w:rsidP="004F5483">
      <w:pPr>
        <w:spacing w:line="360" w:lineRule="auto"/>
        <w:rPr>
          <w:sz w:val="26"/>
          <w:szCs w:val="26"/>
        </w:rPr>
      </w:pPr>
      <w:r>
        <w:rPr>
          <w:sz w:val="26"/>
          <w:szCs w:val="26"/>
        </w:rPr>
        <w:tab/>
      </w:r>
      <w:r>
        <w:rPr>
          <w:sz w:val="26"/>
          <w:szCs w:val="26"/>
        </w:rPr>
        <w:tab/>
      </w:r>
      <w:r w:rsidR="00EE5265">
        <w:rPr>
          <w:sz w:val="26"/>
          <w:szCs w:val="26"/>
        </w:rPr>
        <w:t>Finally</w:t>
      </w:r>
      <w:r>
        <w:rPr>
          <w:sz w:val="26"/>
          <w:szCs w:val="26"/>
        </w:rPr>
        <w:t>, PPL asserts that the ALJ</w:t>
      </w:r>
      <w:r w:rsidR="00EE6F5E">
        <w:rPr>
          <w:sz w:val="26"/>
          <w:szCs w:val="26"/>
        </w:rPr>
        <w:t>’</w:t>
      </w:r>
      <w:r>
        <w:rPr>
          <w:sz w:val="26"/>
          <w:szCs w:val="26"/>
        </w:rPr>
        <w:t>s statement regarding Amtrak</w:t>
      </w:r>
      <w:r w:rsidR="00EE6F5E">
        <w:rPr>
          <w:sz w:val="26"/>
          <w:szCs w:val="26"/>
        </w:rPr>
        <w:t>’</w:t>
      </w:r>
      <w:r>
        <w:rPr>
          <w:sz w:val="26"/>
          <w:szCs w:val="26"/>
        </w:rPr>
        <w:t>s savings under Rate Schedule LPEP is not a finding of fact or conclusion of law, but is simply a summary of PPL</w:t>
      </w:r>
      <w:r w:rsidR="00EE6F5E">
        <w:rPr>
          <w:sz w:val="26"/>
          <w:szCs w:val="26"/>
        </w:rPr>
        <w:t>’</w:t>
      </w:r>
      <w:r>
        <w:rPr>
          <w:sz w:val="26"/>
          <w:szCs w:val="26"/>
        </w:rPr>
        <w:t>s position in support of its original proposal regarding Rate Schedule LPEP.  PPL argues that it is not necessary to modify the Recommended Decision to clarify the record regarding PPLICA</w:t>
      </w:r>
      <w:r w:rsidR="00EE6F5E">
        <w:rPr>
          <w:sz w:val="26"/>
          <w:szCs w:val="26"/>
        </w:rPr>
        <w:t>’</w:t>
      </w:r>
      <w:r>
        <w:rPr>
          <w:sz w:val="26"/>
          <w:szCs w:val="26"/>
        </w:rPr>
        <w:t>s own position</w:t>
      </w:r>
      <w:r w:rsidR="00570116">
        <w:rPr>
          <w:sz w:val="26"/>
          <w:szCs w:val="26"/>
        </w:rPr>
        <w:t xml:space="preserve"> as PPLICA requests,</w:t>
      </w:r>
      <w:r w:rsidR="00026931">
        <w:rPr>
          <w:sz w:val="26"/>
          <w:szCs w:val="26"/>
        </w:rPr>
        <w:t xml:space="preserve"> because that position is already a part of the record in the form of PPLICA</w:t>
      </w:r>
      <w:r w:rsidR="00EE6F5E">
        <w:rPr>
          <w:sz w:val="26"/>
          <w:szCs w:val="26"/>
        </w:rPr>
        <w:t>’</w:t>
      </w:r>
      <w:r w:rsidR="00026931">
        <w:rPr>
          <w:sz w:val="26"/>
          <w:szCs w:val="26"/>
        </w:rPr>
        <w:t>s testimony and exhibits, which were admitted to the record without objection.</w:t>
      </w:r>
      <w:r w:rsidR="00570116">
        <w:rPr>
          <w:sz w:val="26"/>
          <w:szCs w:val="26"/>
        </w:rPr>
        <w:t xml:space="preserve">  PPL Response at 4.</w:t>
      </w:r>
    </w:p>
    <w:p w:rsidR="00A7007E" w:rsidRDefault="00A7007E" w:rsidP="004F5483">
      <w:pPr>
        <w:spacing w:line="360" w:lineRule="auto"/>
        <w:rPr>
          <w:sz w:val="26"/>
          <w:szCs w:val="26"/>
        </w:rPr>
      </w:pPr>
    </w:p>
    <w:p w:rsidR="00740355" w:rsidRPr="00740355" w:rsidRDefault="00740355" w:rsidP="009E1963">
      <w:pPr>
        <w:keepNext/>
        <w:spacing w:line="360" w:lineRule="auto"/>
        <w:rPr>
          <w:b/>
          <w:sz w:val="26"/>
          <w:szCs w:val="26"/>
        </w:rPr>
      </w:pPr>
      <w:r w:rsidRPr="00740355">
        <w:rPr>
          <w:b/>
          <w:sz w:val="26"/>
          <w:szCs w:val="26"/>
        </w:rPr>
        <w:lastRenderedPageBreak/>
        <w:t>E.</w:t>
      </w:r>
      <w:r w:rsidRPr="00740355">
        <w:rPr>
          <w:b/>
          <w:sz w:val="26"/>
          <w:szCs w:val="26"/>
        </w:rPr>
        <w:tab/>
        <w:t>Disposition</w:t>
      </w:r>
    </w:p>
    <w:p w:rsidR="00E0554A" w:rsidRPr="00F22FBE" w:rsidRDefault="00E0554A" w:rsidP="009E1963">
      <w:pPr>
        <w:keepNext/>
        <w:spacing w:line="360" w:lineRule="auto"/>
        <w:rPr>
          <w:sz w:val="26"/>
          <w:szCs w:val="26"/>
        </w:rPr>
      </w:pPr>
    </w:p>
    <w:p w:rsidR="006C5775" w:rsidRDefault="00F22FBE" w:rsidP="00DB4413">
      <w:pPr>
        <w:keepNext/>
        <w:spacing w:line="360" w:lineRule="auto"/>
        <w:rPr>
          <w:sz w:val="26"/>
          <w:szCs w:val="26"/>
        </w:rPr>
      </w:pPr>
      <w:r w:rsidRPr="00F22FBE">
        <w:rPr>
          <w:sz w:val="26"/>
          <w:szCs w:val="26"/>
        </w:rPr>
        <w:tab/>
      </w:r>
      <w:r w:rsidRPr="00F22FBE">
        <w:rPr>
          <w:sz w:val="26"/>
          <w:szCs w:val="26"/>
        </w:rPr>
        <w:tab/>
      </w:r>
      <w:r w:rsidR="004876FA" w:rsidRPr="00F22FBE">
        <w:rPr>
          <w:sz w:val="26"/>
          <w:szCs w:val="26"/>
        </w:rPr>
        <w:t>Based</w:t>
      </w:r>
      <w:r w:rsidRPr="00F22FBE">
        <w:rPr>
          <w:sz w:val="26"/>
          <w:szCs w:val="26"/>
        </w:rPr>
        <w:t xml:space="preserve"> on</w:t>
      </w:r>
      <w:r w:rsidR="00E0554A" w:rsidRPr="00F22FBE">
        <w:rPr>
          <w:sz w:val="26"/>
          <w:szCs w:val="26"/>
        </w:rPr>
        <w:t xml:space="preserve"> our </w:t>
      </w:r>
      <w:r w:rsidR="00F3171E" w:rsidRPr="00F22FBE">
        <w:rPr>
          <w:sz w:val="26"/>
          <w:szCs w:val="26"/>
        </w:rPr>
        <w:t>review of the</w:t>
      </w:r>
      <w:r w:rsidRPr="00F22FBE">
        <w:rPr>
          <w:sz w:val="26"/>
          <w:szCs w:val="26"/>
        </w:rPr>
        <w:t xml:space="preserve"> record, we concur with the ALJ that the</w:t>
      </w:r>
      <w:r w:rsidR="00F3171E" w:rsidRPr="00F22FBE">
        <w:rPr>
          <w:sz w:val="26"/>
          <w:szCs w:val="26"/>
        </w:rPr>
        <w:t xml:space="preserve"> Joint Petition</w:t>
      </w:r>
      <w:r w:rsidRPr="00F22FBE">
        <w:rPr>
          <w:sz w:val="26"/>
          <w:szCs w:val="26"/>
        </w:rPr>
        <w:t xml:space="preserve"> is</w:t>
      </w:r>
      <w:r w:rsidR="00E0554A" w:rsidRPr="00F22FBE">
        <w:rPr>
          <w:sz w:val="26"/>
          <w:szCs w:val="26"/>
        </w:rPr>
        <w:t xml:space="preserve"> reasonable and in the public int</w:t>
      </w:r>
      <w:r w:rsidR="00FE58D5" w:rsidRPr="00F22FBE">
        <w:rPr>
          <w:sz w:val="26"/>
          <w:szCs w:val="26"/>
        </w:rPr>
        <w:t>erest, and we will approve it</w:t>
      </w:r>
      <w:r w:rsidRPr="00F22FBE">
        <w:rPr>
          <w:sz w:val="26"/>
          <w:szCs w:val="26"/>
        </w:rPr>
        <w:t xml:space="preserve"> without modification</w:t>
      </w:r>
      <w:r w:rsidR="00FE58D5" w:rsidRPr="00F22FBE">
        <w:rPr>
          <w:sz w:val="26"/>
          <w:szCs w:val="26"/>
        </w:rPr>
        <w:t>.</w:t>
      </w:r>
      <w:r w:rsidR="00DB4413" w:rsidRPr="00F22FBE">
        <w:rPr>
          <w:sz w:val="26"/>
          <w:szCs w:val="26"/>
        </w:rPr>
        <w:t xml:space="preserve">  </w:t>
      </w:r>
      <w:r w:rsidR="00F30BB9">
        <w:rPr>
          <w:sz w:val="26"/>
          <w:szCs w:val="26"/>
        </w:rPr>
        <w:t>We believe the proposed Settlement reasonably balances the interests of the Joint Petitioners, and is consistent with the applicable legal standards, as the ALJ found.</w:t>
      </w:r>
    </w:p>
    <w:p w:rsidR="00F22FBE" w:rsidRDefault="00F22FBE" w:rsidP="00DB4413">
      <w:pPr>
        <w:keepNext/>
        <w:spacing w:line="360" w:lineRule="auto"/>
        <w:rPr>
          <w:sz w:val="26"/>
          <w:szCs w:val="26"/>
        </w:rPr>
      </w:pPr>
    </w:p>
    <w:p w:rsidR="00E4041C" w:rsidRDefault="006C5775" w:rsidP="006F5CC8">
      <w:pPr>
        <w:keepNext/>
        <w:spacing w:line="360" w:lineRule="auto"/>
        <w:rPr>
          <w:sz w:val="26"/>
          <w:szCs w:val="26"/>
        </w:rPr>
      </w:pPr>
      <w:r>
        <w:rPr>
          <w:sz w:val="26"/>
          <w:szCs w:val="26"/>
        </w:rPr>
        <w:tab/>
      </w:r>
      <w:r>
        <w:rPr>
          <w:sz w:val="26"/>
          <w:szCs w:val="26"/>
        </w:rPr>
        <w:tab/>
      </w:r>
      <w:r w:rsidR="00E4041C">
        <w:rPr>
          <w:sz w:val="26"/>
          <w:szCs w:val="26"/>
        </w:rPr>
        <w:t>With regard to PPLICA</w:t>
      </w:r>
      <w:r w:rsidR="00EE6F5E">
        <w:rPr>
          <w:sz w:val="26"/>
          <w:szCs w:val="26"/>
        </w:rPr>
        <w:t>’</w:t>
      </w:r>
      <w:r w:rsidR="00E4041C">
        <w:rPr>
          <w:sz w:val="26"/>
          <w:szCs w:val="26"/>
        </w:rPr>
        <w:t xml:space="preserve">s Letter, we find the request </w:t>
      </w:r>
      <w:r w:rsidR="00E4041C" w:rsidRPr="00E4041C">
        <w:rPr>
          <w:sz w:val="26"/>
          <w:szCs w:val="26"/>
        </w:rPr>
        <w:t>to modify</w:t>
      </w:r>
      <w:r w:rsidR="00DB4413" w:rsidRPr="00E4041C">
        <w:rPr>
          <w:sz w:val="26"/>
          <w:szCs w:val="26"/>
        </w:rPr>
        <w:t xml:space="preserve"> the </w:t>
      </w:r>
      <w:r w:rsidR="00E4041C" w:rsidRPr="00E4041C">
        <w:rPr>
          <w:sz w:val="26"/>
          <w:szCs w:val="26"/>
        </w:rPr>
        <w:t>Recommended Decision</w:t>
      </w:r>
      <w:r w:rsidR="00E4041C">
        <w:rPr>
          <w:sz w:val="26"/>
          <w:szCs w:val="26"/>
        </w:rPr>
        <w:t xml:space="preserve"> regarding the language in question to be improper and without merit, and we will deny it.</w:t>
      </w:r>
      <w:r w:rsidR="00186FE3">
        <w:rPr>
          <w:sz w:val="26"/>
          <w:szCs w:val="26"/>
        </w:rPr>
        <w:t xml:space="preserve">  Although PPLICA states that it does not except to the </w:t>
      </w:r>
      <w:r w:rsidR="000D397E">
        <w:rPr>
          <w:sz w:val="26"/>
          <w:szCs w:val="26"/>
        </w:rPr>
        <w:t>findings set forth in the Re</w:t>
      </w:r>
      <w:r w:rsidR="00913258">
        <w:rPr>
          <w:sz w:val="26"/>
          <w:szCs w:val="26"/>
        </w:rPr>
        <w:t xml:space="preserve">commended Decision, it </w:t>
      </w:r>
      <w:r w:rsidR="00D42E64">
        <w:rPr>
          <w:sz w:val="26"/>
          <w:szCs w:val="26"/>
        </w:rPr>
        <w:t xml:space="preserve">clearly </w:t>
      </w:r>
      <w:r w:rsidR="00913258">
        <w:rPr>
          <w:sz w:val="26"/>
          <w:szCs w:val="26"/>
        </w:rPr>
        <w:t>is not comfortable</w:t>
      </w:r>
      <w:r w:rsidR="000D397E">
        <w:rPr>
          <w:sz w:val="26"/>
          <w:szCs w:val="26"/>
        </w:rPr>
        <w:t xml:space="preserve"> with the ALJ</w:t>
      </w:r>
      <w:r w:rsidR="00EE6F5E">
        <w:rPr>
          <w:sz w:val="26"/>
          <w:szCs w:val="26"/>
        </w:rPr>
        <w:t>’</w:t>
      </w:r>
      <w:r w:rsidR="000D397E">
        <w:rPr>
          <w:sz w:val="26"/>
          <w:szCs w:val="26"/>
        </w:rPr>
        <w:t>s statement that PPL</w:t>
      </w:r>
      <w:r w:rsidR="00EE6F5E">
        <w:rPr>
          <w:sz w:val="26"/>
          <w:szCs w:val="26"/>
        </w:rPr>
        <w:t>’</w:t>
      </w:r>
      <w:r w:rsidR="000D397E">
        <w:rPr>
          <w:sz w:val="26"/>
          <w:szCs w:val="26"/>
        </w:rPr>
        <w:t xml:space="preserve">s testimony regarding Rate </w:t>
      </w:r>
      <w:r w:rsidR="00034C36">
        <w:rPr>
          <w:sz w:val="26"/>
          <w:szCs w:val="26"/>
        </w:rPr>
        <w:t>Schedule LPEP included</w:t>
      </w:r>
      <w:r w:rsidR="000D397E">
        <w:rPr>
          <w:sz w:val="26"/>
          <w:szCs w:val="26"/>
        </w:rPr>
        <w:t xml:space="preserve"> a discussion of </w:t>
      </w:r>
      <w:r w:rsidR="00913258">
        <w:rPr>
          <w:sz w:val="26"/>
          <w:szCs w:val="26"/>
        </w:rPr>
        <w:t xml:space="preserve">“[t]he </w:t>
      </w:r>
      <w:r w:rsidR="000D397E">
        <w:rPr>
          <w:sz w:val="26"/>
          <w:szCs w:val="26"/>
        </w:rPr>
        <w:t>history</w:t>
      </w:r>
      <w:r w:rsidR="000D397E" w:rsidRPr="005A417E">
        <w:rPr>
          <w:sz w:val="26"/>
          <w:szCs w:val="26"/>
        </w:rPr>
        <w:t xml:space="preserve"> of how Rate Schedule LPEP has evolved and the very significant savings Amtrak has received as a result of </w:t>
      </w:r>
      <w:r w:rsidR="000D397E" w:rsidRPr="00034C36">
        <w:rPr>
          <w:sz w:val="26"/>
          <w:szCs w:val="26"/>
        </w:rPr>
        <w:t>being on Rate Schedule LPEP</w:t>
      </w:r>
      <w:r w:rsidR="00913258" w:rsidRPr="00034C36">
        <w:rPr>
          <w:sz w:val="26"/>
          <w:szCs w:val="26"/>
        </w:rPr>
        <w:t>. . .</w:t>
      </w:r>
      <w:r w:rsidR="00CA76BD">
        <w:rPr>
          <w:sz w:val="26"/>
          <w:szCs w:val="26"/>
        </w:rPr>
        <w:t xml:space="preserve"> .</w:t>
      </w:r>
      <w:r w:rsidR="00913258" w:rsidRPr="00034C36">
        <w:rPr>
          <w:sz w:val="26"/>
          <w:szCs w:val="26"/>
        </w:rPr>
        <w:t xml:space="preserve">”  </w:t>
      </w:r>
      <w:r w:rsidR="000D397E" w:rsidRPr="00034C36">
        <w:rPr>
          <w:sz w:val="26"/>
          <w:szCs w:val="26"/>
        </w:rPr>
        <w:t>R.D. at 44</w:t>
      </w:r>
      <w:r w:rsidR="00034C36" w:rsidRPr="00034C36">
        <w:rPr>
          <w:sz w:val="26"/>
          <w:szCs w:val="26"/>
        </w:rPr>
        <w:t>.  Accordingly, PPLICA requests that the Recommended Decision be modified to include its counter position that such</w:t>
      </w:r>
      <w:r w:rsidR="006D0A12">
        <w:rPr>
          <w:sz w:val="26"/>
          <w:szCs w:val="26"/>
        </w:rPr>
        <w:t xml:space="preserve"> </w:t>
      </w:r>
      <w:r w:rsidR="00D42E64">
        <w:rPr>
          <w:sz w:val="26"/>
          <w:szCs w:val="26"/>
        </w:rPr>
        <w:t xml:space="preserve">so-called </w:t>
      </w:r>
      <w:r w:rsidR="006D0A12">
        <w:rPr>
          <w:sz w:val="26"/>
          <w:szCs w:val="26"/>
        </w:rPr>
        <w:t>savings</w:t>
      </w:r>
      <w:r w:rsidR="00034C36" w:rsidRPr="00034C36">
        <w:rPr>
          <w:sz w:val="26"/>
          <w:szCs w:val="26"/>
        </w:rPr>
        <w:t xml:space="preserve"> were due to the fact that the creation of Rate Schedule LPEP eliminated the subsidization of Rate Schedule LP-5 customers by Amtrak.  </w:t>
      </w:r>
      <w:r w:rsidR="00034C36" w:rsidRPr="00034C36">
        <w:rPr>
          <w:i/>
          <w:sz w:val="26"/>
          <w:szCs w:val="26"/>
        </w:rPr>
        <w:t>See</w:t>
      </w:r>
      <w:r w:rsidR="00034C36" w:rsidRPr="00034C36">
        <w:rPr>
          <w:sz w:val="26"/>
          <w:szCs w:val="26"/>
        </w:rPr>
        <w:t xml:space="preserve"> PPLICA St. No. 3-S at 5.  </w:t>
      </w:r>
      <w:r w:rsidR="00326DE7">
        <w:rPr>
          <w:sz w:val="26"/>
          <w:szCs w:val="26"/>
        </w:rPr>
        <w:t xml:space="preserve">Thus, while PPLICA apparently does not characterize its Letter as an exception, we believe it clearly functions as an exception to the extent that it expresses dissatisfaction with the Recommended Decision as issued, and seeks to have it modified in order to </w:t>
      </w:r>
      <w:r w:rsidR="00C06A74">
        <w:rPr>
          <w:sz w:val="26"/>
          <w:szCs w:val="26"/>
        </w:rPr>
        <w:t>provide what it believes to be a necessary clarification of the record.</w:t>
      </w:r>
      <w:r w:rsidR="006D6303">
        <w:rPr>
          <w:sz w:val="26"/>
          <w:szCs w:val="26"/>
        </w:rPr>
        <w:t xml:space="preserve">  However, </w:t>
      </w:r>
      <w:r w:rsidR="00D42E64">
        <w:rPr>
          <w:sz w:val="26"/>
          <w:szCs w:val="26"/>
        </w:rPr>
        <w:t>PPLICA, as a P</w:t>
      </w:r>
      <w:r w:rsidR="006D6303">
        <w:rPr>
          <w:sz w:val="26"/>
          <w:szCs w:val="26"/>
        </w:rPr>
        <w:t>arty to the Settlement, expressly agreed to waive its right to file exceptions if the ALJ adopted the Settlement without modification.  Thus, we agree with PPL that PPLICA</w:t>
      </w:r>
      <w:r w:rsidR="00EE6F5E">
        <w:rPr>
          <w:sz w:val="26"/>
          <w:szCs w:val="26"/>
        </w:rPr>
        <w:t>’</w:t>
      </w:r>
      <w:r w:rsidR="006D6303">
        <w:rPr>
          <w:sz w:val="26"/>
          <w:szCs w:val="26"/>
        </w:rPr>
        <w:t xml:space="preserve">s Letter requesting a modification to the Recommended Decision was filed in violation of the terms of the </w:t>
      </w:r>
      <w:r w:rsidR="003B2E6F">
        <w:rPr>
          <w:sz w:val="26"/>
          <w:szCs w:val="26"/>
        </w:rPr>
        <w:t>Settlement, and must be denied</w:t>
      </w:r>
      <w:r w:rsidR="006D6303">
        <w:rPr>
          <w:sz w:val="26"/>
          <w:szCs w:val="26"/>
        </w:rPr>
        <w:t>.</w:t>
      </w:r>
    </w:p>
    <w:p w:rsidR="00810E6B" w:rsidRDefault="00810E6B" w:rsidP="006F5CC8">
      <w:pPr>
        <w:keepNext/>
        <w:spacing w:line="360" w:lineRule="auto"/>
        <w:rPr>
          <w:sz w:val="26"/>
          <w:szCs w:val="26"/>
        </w:rPr>
      </w:pPr>
    </w:p>
    <w:p w:rsidR="00810E6B" w:rsidRDefault="00810E6B" w:rsidP="004F5483">
      <w:pPr>
        <w:spacing w:line="360" w:lineRule="auto"/>
        <w:rPr>
          <w:sz w:val="26"/>
          <w:szCs w:val="26"/>
        </w:rPr>
      </w:pPr>
      <w:r>
        <w:rPr>
          <w:sz w:val="26"/>
          <w:szCs w:val="26"/>
        </w:rPr>
        <w:lastRenderedPageBreak/>
        <w:tab/>
      </w:r>
      <w:r>
        <w:rPr>
          <w:sz w:val="26"/>
          <w:szCs w:val="26"/>
        </w:rPr>
        <w:tab/>
        <w:t>In addition, we agree with PPL that no clarification of the record is necessary with regard to PPLICA</w:t>
      </w:r>
      <w:r w:rsidR="00EE6F5E">
        <w:rPr>
          <w:sz w:val="26"/>
          <w:szCs w:val="26"/>
        </w:rPr>
        <w:t>’</w:t>
      </w:r>
      <w:r>
        <w:rPr>
          <w:sz w:val="26"/>
          <w:szCs w:val="26"/>
        </w:rPr>
        <w:t>s position</w:t>
      </w:r>
      <w:r w:rsidR="00572B19">
        <w:rPr>
          <w:sz w:val="26"/>
          <w:szCs w:val="26"/>
        </w:rPr>
        <w:t>,</w:t>
      </w:r>
      <w:r>
        <w:rPr>
          <w:sz w:val="26"/>
          <w:szCs w:val="26"/>
        </w:rPr>
        <w:t xml:space="preserve"> </w:t>
      </w:r>
      <w:r w:rsidRPr="00810E6B">
        <w:rPr>
          <w:sz w:val="26"/>
          <w:szCs w:val="26"/>
        </w:rPr>
        <w:t xml:space="preserve">because this position is clearly set forth in its testimony, which is already part of the record.  </w:t>
      </w:r>
      <w:r w:rsidRPr="00810E6B">
        <w:rPr>
          <w:i/>
          <w:sz w:val="26"/>
          <w:szCs w:val="26"/>
        </w:rPr>
        <w:t>See</w:t>
      </w:r>
      <w:r w:rsidRPr="00810E6B">
        <w:rPr>
          <w:sz w:val="26"/>
          <w:szCs w:val="26"/>
        </w:rPr>
        <w:t xml:space="preserve"> PPLICA St. No. 3-S at 5.  </w:t>
      </w:r>
      <w:r>
        <w:rPr>
          <w:sz w:val="26"/>
          <w:szCs w:val="26"/>
        </w:rPr>
        <w:t>We find no harm in the ALJ</w:t>
      </w:r>
      <w:r w:rsidR="00EE6F5E">
        <w:rPr>
          <w:sz w:val="26"/>
          <w:szCs w:val="26"/>
        </w:rPr>
        <w:t>’</w:t>
      </w:r>
      <w:r>
        <w:rPr>
          <w:sz w:val="26"/>
          <w:szCs w:val="26"/>
        </w:rPr>
        <w:t>s failure to specifically recount this position in her Recommended Decision</w:t>
      </w:r>
      <w:r w:rsidR="00E40521">
        <w:rPr>
          <w:sz w:val="26"/>
          <w:szCs w:val="26"/>
        </w:rPr>
        <w:t>, because the Settlement—which the ALJ adopted without modification—was not based on any one of the Joint Petitioners</w:t>
      </w:r>
      <w:r w:rsidR="00EE6F5E">
        <w:rPr>
          <w:sz w:val="26"/>
          <w:szCs w:val="26"/>
        </w:rPr>
        <w:t>’</w:t>
      </w:r>
      <w:r w:rsidR="00E40521">
        <w:rPr>
          <w:sz w:val="26"/>
          <w:szCs w:val="26"/>
        </w:rPr>
        <w:t xml:space="preserve"> positions on any issue, and was presented without prejudice to any position that any of the Joint Petitioners </w:t>
      </w:r>
      <w:r w:rsidR="000A492E">
        <w:rPr>
          <w:sz w:val="26"/>
          <w:szCs w:val="26"/>
        </w:rPr>
        <w:t xml:space="preserve">may have advanced in this proceeding, or may advance in future proceedings.  </w:t>
      </w:r>
      <w:r w:rsidR="000A492E" w:rsidRPr="000A492E">
        <w:rPr>
          <w:i/>
          <w:sz w:val="26"/>
          <w:szCs w:val="26"/>
        </w:rPr>
        <w:t>See</w:t>
      </w:r>
      <w:r w:rsidR="000A492E">
        <w:rPr>
          <w:sz w:val="26"/>
          <w:szCs w:val="26"/>
        </w:rPr>
        <w:t xml:space="preserve"> Joint Petition at 17.</w:t>
      </w:r>
      <w:r w:rsidR="003B2E6F">
        <w:rPr>
          <w:sz w:val="26"/>
          <w:szCs w:val="26"/>
        </w:rPr>
        <w:t xml:space="preserve">  Moreover, the ALJ made it clear that the statement regarding savings experienced by Amtrak under Rate Schedule LPEP was the testimony of PPL, and</w:t>
      </w:r>
      <w:r w:rsidR="003B51A0">
        <w:rPr>
          <w:sz w:val="26"/>
          <w:szCs w:val="26"/>
        </w:rPr>
        <w:t xml:space="preserve"> she</w:t>
      </w:r>
      <w:r w:rsidR="003B2E6F">
        <w:rPr>
          <w:sz w:val="26"/>
          <w:szCs w:val="26"/>
        </w:rPr>
        <w:t xml:space="preserve"> did not present this statement as a finding of fact.  Thus, we find no reason to modify the Recommended Decision as PPLICA requests.</w:t>
      </w:r>
    </w:p>
    <w:p w:rsidR="00405B89" w:rsidRPr="00C20DC5" w:rsidRDefault="00405B89" w:rsidP="009E1963">
      <w:pPr>
        <w:spacing w:line="360" w:lineRule="auto"/>
        <w:rPr>
          <w:sz w:val="26"/>
        </w:rPr>
      </w:pPr>
    </w:p>
    <w:p w:rsidR="00E61914" w:rsidRPr="00BB5800" w:rsidRDefault="00EE6F5E" w:rsidP="006A75BF">
      <w:pPr>
        <w:keepNext/>
        <w:spacing w:line="360" w:lineRule="auto"/>
        <w:jc w:val="center"/>
        <w:rPr>
          <w:b/>
          <w:sz w:val="26"/>
        </w:rPr>
      </w:pPr>
      <w:r>
        <w:rPr>
          <w:b/>
          <w:sz w:val="26"/>
        </w:rPr>
        <w:t>III.</w:t>
      </w:r>
      <w:r>
        <w:rPr>
          <w:b/>
          <w:sz w:val="26"/>
        </w:rPr>
        <w:tab/>
      </w:r>
      <w:r w:rsidR="00E15111" w:rsidRPr="00BB5800">
        <w:rPr>
          <w:b/>
          <w:sz w:val="26"/>
        </w:rPr>
        <w:t>Conclusion</w:t>
      </w:r>
    </w:p>
    <w:p w:rsidR="00950EF9" w:rsidRPr="00BB5800" w:rsidRDefault="00950EF9" w:rsidP="006A75BF">
      <w:pPr>
        <w:keepNext/>
        <w:spacing w:line="360" w:lineRule="auto"/>
        <w:ind w:firstLine="1440"/>
        <w:rPr>
          <w:sz w:val="26"/>
          <w:szCs w:val="26"/>
        </w:rPr>
      </w:pPr>
    </w:p>
    <w:p w:rsidR="000C3DC9" w:rsidRPr="00B76163" w:rsidRDefault="009E1963" w:rsidP="006A75BF">
      <w:pPr>
        <w:keepNext/>
        <w:spacing w:line="360" w:lineRule="auto"/>
        <w:rPr>
          <w:sz w:val="26"/>
          <w:szCs w:val="26"/>
        </w:rPr>
      </w:pPr>
      <w:r w:rsidRPr="00BB5800">
        <w:rPr>
          <w:sz w:val="26"/>
          <w:szCs w:val="26"/>
        </w:rPr>
        <w:tab/>
      </w:r>
      <w:r w:rsidRPr="00BB5800">
        <w:rPr>
          <w:sz w:val="26"/>
          <w:szCs w:val="26"/>
        </w:rPr>
        <w:tab/>
      </w:r>
      <w:r w:rsidR="000C3DC9" w:rsidRPr="00BB5800">
        <w:rPr>
          <w:sz w:val="26"/>
          <w:szCs w:val="26"/>
        </w:rPr>
        <w:t>Based upon our review of the</w:t>
      </w:r>
      <w:r w:rsidR="00752D91" w:rsidRPr="00BB5800">
        <w:rPr>
          <w:sz w:val="26"/>
          <w:szCs w:val="26"/>
        </w:rPr>
        <w:t xml:space="preserve"> record in this proceeding, the</w:t>
      </w:r>
      <w:r w:rsidR="000C3DC9" w:rsidRPr="00BB5800">
        <w:rPr>
          <w:sz w:val="26"/>
          <w:szCs w:val="26"/>
        </w:rPr>
        <w:t xml:space="preserve"> </w:t>
      </w:r>
      <w:r w:rsidR="00606E24" w:rsidRPr="00BB5800">
        <w:rPr>
          <w:sz w:val="26"/>
          <w:szCs w:val="26"/>
        </w:rPr>
        <w:t xml:space="preserve">Joint </w:t>
      </w:r>
      <w:r w:rsidR="000C3DC9" w:rsidRPr="00BB5800">
        <w:rPr>
          <w:sz w:val="26"/>
          <w:szCs w:val="26"/>
        </w:rPr>
        <w:t>Petition,</w:t>
      </w:r>
      <w:r w:rsidR="00752D91" w:rsidRPr="00BB5800">
        <w:rPr>
          <w:sz w:val="26"/>
          <w:szCs w:val="26"/>
        </w:rPr>
        <w:t xml:space="preserve"> the Joint Petitioners</w:t>
      </w:r>
      <w:r w:rsidR="00EE6F5E">
        <w:rPr>
          <w:sz w:val="26"/>
          <w:szCs w:val="26"/>
        </w:rPr>
        <w:t>’</w:t>
      </w:r>
      <w:r w:rsidR="00752D91" w:rsidRPr="00BB5800">
        <w:rPr>
          <w:sz w:val="26"/>
          <w:szCs w:val="26"/>
        </w:rPr>
        <w:t xml:space="preserve"> Statements in S</w:t>
      </w:r>
      <w:r w:rsidR="00BA3084" w:rsidRPr="00BB5800">
        <w:rPr>
          <w:sz w:val="26"/>
          <w:szCs w:val="26"/>
        </w:rPr>
        <w:t>upport</w:t>
      </w:r>
      <w:r w:rsidR="00752D91" w:rsidRPr="00BB5800">
        <w:rPr>
          <w:sz w:val="26"/>
          <w:szCs w:val="26"/>
        </w:rPr>
        <w:t xml:space="preserve"> of the Settlement</w:t>
      </w:r>
      <w:r w:rsidR="00BA3084" w:rsidRPr="00BB5800">
        <w:rPr>
          <w:sz w:val="26"/>
          <w:szCs w:val="26"/>
        </w:rPr>
        <w:t>,</w:t>
      </w:r>
      <w:r w:rsidR="00606E24" w:rsidRPr="00BB5800">
        <w:rPr>
          <w:sz w:val="26"/>
          <w:szCs w:val="26"/>
        </w:rPr>
        <w:t xml:space="preserve"> </w:t>
      </w:r>
      <w:r w:rsidR="00D318BE" w:rsidRPr="00BB5800">
        <w:rPr>
          <w:sz w:val="26"/>
          <w:szCs w:val="26"/>
        </w:rPr>
        <w:t>the</w:t>
      </w:r>
      <w:r w:rsidR="00BA3084" w:rsidRPr="00BB5800">
        <w:rPr>
          <w:sz w:val="26"/>
          <w:szCs w:val="26"/>
        </w:rPr>
        <w:t xml:space="preserve"> Recommended Decision, </w:t>
      </w:r>
      <w:r w:rsidR="000C3DC9" w:rsidRPr="00BB5800">
        <w:rPr>
          <w:sz w:val="26"/>
          <w:szCs w:val="26"/>
        </w:rPr>
        <w:t>and the applica</w:t>
      </w:r>
      <w:r w:rsidR="00BA3084" w:rsidRPr="00BB5800">
        <w:rPr>
          <w:sz w:val="26"/>
          <w:szCs w:val="26"/>
        </w:rPr>
        <w:t>ble law, we shall</w:t>
      </w:r>
      <w:r w:rsidR="00CE5595" w:rsidRPr="00BB5800">
        <w:rPr>
          <w:sz w:val="26"/>
          <w:szCs w:val="26"/>
        </w:rPr>
        <w:t>:</w:t>
      </w:r>
      <w:r w:rsidR="00BA3084" w:rsidRPr="00BB5800">
        <w:rPr>
          <w:sz w:val="26"/>
          <w:szCs w:val="26"/>
        </w:rPr>
        <w:t xml:space="preserve"> </w:t>
      </w:r>
      <w:r w:rsidR="00370FC0" w:rsidRPr="00BB5800">
        <w:rPr>
          <w:sz w:val="26"/>
          <w:szCs w:val="26"/>
        </w:rPr>
        <w:t>(1) </w:t>
      </w:r>
      <w:r w:rsidR="00BA3084" w:rsidRPr="00BB5800">
        <w:rPr>
          <w:sz w:val="26"/>
          <w:szCs w:val="26"/>
        </w:rPr>
        <w:t>approve the Settl</w:t>
      </w:r>
      <w:r w:rsidR="003C4324" w:rsidRPr="00BB5800">
        <w:rPr>
          <w:sz w:val="26"/>
          <w:szCs w:val="26"/>
        </w:rPr>
        <w:t xml:space="preserve">ement without modification; (2) </w:t>
      </w:r>
      <w:r w:rsidR="00FB73BD">
        <w:rPr>
          <w:sz w:val="26"/>
          <w:szCs w:val="26"/>
        </w:rPr>
        <w:t>deny</w:t>
      </w:r>
      <w:r w:rsidR="00BB5800" w:rsidRPr="00B76163">
        <w:rPr>
          <w:sz w:val="26"/>
          <w:szCs w:val="26"/>
        </w:rPr>
        <w:t xml:space="preserve"> PPLICA</w:t>
      </w:r>
      <w:r w:rsidR="00EE6F5E">
        <w:rPr>
          <w:sz w:val="26"/>
          <w:szCs w:val="26"/>
        </w:rPr>
        <w:t>’</w:t>
      </w:r>
      <w:r w:rsidR="00BB5800" w:rsidRPr="00B76163">
        <w:rPr>
          <w:sz w:val="26"/>
          <w:szCs w:val="26"/>
        </w:rPr>
        <w:t xml:space="preserve">s request for clarification of the Recommended Decision, as set forth in its Letter; (3) </w:t>
      </w:r>
      <w:r w:rsidR="00C0673D" w:rsidRPr="00B76163">
        <w:rPr>
          <w:sz w:val="26"/>
          <w:szCs w:val="26"/>
        </w:rPr>
        <w:t>adopt the Recommended Decision</w:t>
      </w:r>
      <w:r w:rsidR="00B76163" w:rsidRPr="00B76163">
        <w:rPr>
          <w:sz w:val="26"/>
          <w:szCs w:val="26"/>
        </w:rPr>
        <w:t>,</w:t>
      </w:r>
      <w:r w:rsidR="00FB73BD">
        <w:rPr>
          <w:sz w:val="26"/>
          <w:szCs w:val="26"/>
        </w:rPr>
        <w:t xml:space="preserve"> consistent with this </w:t>
      </w:r>
      <w:r w:rsidR="00C0673D" w:rsidRPr="00B76163">
        <w:rPr>
          <w:sz w:val="26"/>
          <w:szCs w:val="26"/>
        </w:rPr>
        <w:t>Opinion and Order; (4</w:t>
      </w:r>
      <w:r w:rsidR="00370FC0" w:rsidRPr="00B76163">
        <w:rPr>
          <w:sz w:val="26"/>
          <w:szCs w:val="26"/>
        </w:rPr>
        <w:t>) </w:t>
      </w:r>
      <w:r w:rsidR="000B5432" w:rsidRPr="00B76163">
        <w:rPr>
          <w:sz w:val="26"/>
          <w:szCs w:val="26"/>
        </w:rPr>
        <w:t xml:space="preserve">mark </w:t>
      </w:r>
      <w:r w:rsidR="00A7007E" w:rsidRPr="00B76163">
        <w:rPr>
          <w:sz w:val="26"/>
          <w:szCs w:val="26"/>
        </w:rPr>
        <w:t xml:space="preserve">the </w:t>
      </w:r>
      <w:r w:rsidR="00A7007E">
        <w:rPr>
          <w:sz w:val="26"/>
          <w:szCs w:val="26"/>
        </w:rPr>
        <w:t>F</w:t>
      </w:r>
      <w:r w:rsidR="00A7007E" w:rsidRPr="00B76163">
        <w:rPr>
          <w:sz w:val="26"/>
          <w:szCs w:val="26"/>
        </w:rPr>
        <w:t xml:space="preserve">ormal </w:t>
      </w:r>
      <w:r w:rsidR="00A7007E">
        <w:rPr>
          <w:sz w:val="26"/>
          <w:szCs w:val="26"/>
        </w:rPr>
        <w:t>C</w:t>
      </w:r>
      <w:r w:rsidR="00A7007E" w:rsidRPr="00B76163">
        <w:rPr>
          <w:sz w:val="26"/>
          <w:szCs w:val="26"/>
        </w:rPr>
        <w:t>omplaints of the OCA, OSBA, and PPLICA,</w:t>
      </w:r>
      <w:r w:rsidR="00A7007E">
        <w:rPr>
          <w:sz w:val="26"/>
          <w:szCs w:val="26"/>
        </w:rPr>
        <w:t xml:space="preserve"> </w:t>
      </w:r>
      <w:r w:rsidR="000B5432" w:rsidRPr="00B76163">
        <w:rPr>
          <w:sz w:val="26"/>
          <w:szCs w:val="26"/>
        </w:rPr>
        <w:t>as satisfied</w:t>
      </w:r>
      <w:r w:rsidR="00B76163" w:rsidRPr="00B76163">
        <w:rPr>
          <w:sz w:val="26"/>
          <w:szCs w:val="26"/>
        </w:rPr>
        <w:t>, in part, and dismissed, in part,</w:t>
      </w:r>
      <w:r w:rsidR="000B5432" w:rsidRPr="00B76163">
        <w:rPr>
          <w:sz w:val="26"/>
          <w:szCs w:val="26"/>
        </w:rPr>
        <w:t xml:space="preserve"> </w:t>
      </w:r>
      <w:r w:rsidR="00B76163" w:rsidRPr="00B76163">
        <w:rPr>
          <w:sz w:val="26"/>
          <w:szCs w:val="26"/>
        </w:rPr>
        <w:t>consistent with this Opinion and Order</w:t>
      </w:r>
      <w:r w:rsidR="008C27A2" w:rsidRPr="00B76163">
        <w:rPr>
          <w:sz w:val="26"/>
          <w:szCs w:val="26"/>
        </w:rPr>
        <w:t>; and (5</w:t>
      </w:r>
      <w:r w:rsidR="00B76163" w:rsidRPr="00B76163">
        <w:rPr>
          <w:sz w:val="26"/>
          <w:szCs w:val="26"/>
        </w:rPr>
        <w:t xml:space="preserve">) </w:t>
      </w:r>
      <w:r w:rsidR="000B5432" w:rsidRPr="00B76163">
        <w:rPr>
          <w:sz w:val="26"/>
          <w:szCs w:val="26"/>
        </w:rPr>
        <w:t>dismi</w:t>
      </w:r>
      <w:r w:rsidR="00B76163" w:rsidRPr="00B76163">
        <w:rPr>
          <w:sz w:val="26"/>
          <w:szCs w:val="26"/>
        </w:rPr>
        <w:t xml:space="preserve">ss the </w:t>
      </w:r>
      <w:r w:rsidR="004F5483">
        <w:rPr>
          <w:sz w:val="26"/>
          <w:szCs w:val="26"/>
        </w:rPr>
        <w:t>F</w:t>
      </w:r>
      <w:r w:rsidR="00B76163" w:rsidRPr="00B76163">
        <w:rPr>
          <w:sz w:val="26"/>
          <w:szCs w:val="26"/>
        </w:rPr>
        <w:t xml:space="preserve">ormal </w:t>
      </w:r>
      <w:r w:rsidR="004F5483">
        <w:rPr>
          <w:sz w:val="26"/>
          <w:szCs w:val="26"/>
        </w:rPr>
        <w:t>C</w:t>
      </w:r>
      <w:r w:rsidR="00B76163" w:rsidRPr="00B76163">
        <w:rPr>
          <w:sz w:val="26"/>
          <w:szCs w:val="26"/>
        </w:rPr>
        <w:t xml:space="preserve">omplaints of </w:t>
      </w:r>
      <w:r w:rsidR="00B76163">
        <w:rPr>
          <w:sz w:val="26"/>
          <w:szCs w:val="26"/>
        </w:rPr>
        <w:t>D. Wintermeyer, Cathleen A. Woo</w:t>
      </w:r>
      <w:r w:rsidR="007F06A6">
        <w:rPr>
          <w:sz w:val="26"/>
          <w:szCs w:val="26"/>
        </w:rPr>
        <w:t>mert, Michael B. Young, Joseph E</w:t>
      </w:r>
      <w:r w:rsidR="00B76163">
        <w:rPr>
          <w:sz w:val="26"/>
          <w:szCs w:val="26"/>
        </w:rPr>
        <w:t>. McAndrew, and Michael C. Muller</w:t>
      </w:r>
      <w:r w:rsidR="0030735F" w:rsidRPr="00B76163">
        <w:rPr>
          <w:sz w:val="26"/>
          <w:szCs w:val="26"/>
        </w:rPr>
        <w:t xml:space="preserve">; </w:t>
      </w:r>
      <w:r w:rsidR="000C3DC9" w:rsidRPr="00B76163">
        <w:rPr>
          <w:b/>
          <w:sz w:val="26"/>
          <w:szCs w:val="26"/>
        </w:rPr>
        <w:t>THEREFORE,</w:t>
      </w:r>
    </w:p>
    <w:p w:rsidR="000C3DC9" w:rsidRPr="00B76163" w:rsidRDefault="000C3DC9" w:rsidP="00AA6F30">
      <w:pPr>
        <w:spacing w:line="360" w:lineRule="auto"/>
        <w:ind w:firstLine="1440"/>
        <w:rPr>
          <w:sz w:val="26"/>
          <w:szCs w:val="26"/>
        </w:rPr>
      </w:pPr>
    </w:p>
    <w:p w:rsidR="00E61914" w:rsidRDefault="00E61914" w:rsidP="00A7007E">
      <w:pPr>
        <w:keepNext/>
        <w:keepLines/>
        <w:spacing w:line="360" w:lineRule="auto"/>
        <w:rPr>
          <w:b/>
          <w:sz w:val="26"/>
        </w:rPr>
      </w:pPr>
      <w:r w:rsidRPr="00B76163">
        <w:rPr>
          <w:b/>
          <w:sz w:val="26"/>
        </w:rPr>
        <w:lastRenderedPageBreak/>
        <w:tab/>
      </w:r>
      <w:r w:rsidRPr="00B76163">
        <w:rPr>
          <w:b/>
          <w:sz w:val="26"/>
        </w:rPr>
        <w:tab/>
        <w:t>IT IS ORDERED:</w:t>
      </w:r>
    </w:p>
    <w:p w:rsidR="00A7007E" w:rsidRPr="00B76163" w:rsidRDefault="00A7007E" w:rsidP="00A7007E">
      <w:pPr>
        <w:keepNext/>
        <w:keepLines/>
        <w:spacing w:line="360" w:lineRule="auto"/>
        <w:rPr>
          <w:b/>
          <w:sz w:val="26"/>
        </w:rPr>
      </w:pPr>
    </w:p>
    <w:p w:rsidR="00A7007E" w:rsidRDefault="00A7007E" w:rsidP="00A7007E">
      <w:pPr>
        <w:spacing w:line="360" w:lineRule="auto"/>
        <w:rPr>
          <w:sz w:val="26"/>
          <w:szCs w:val="20"/>
        </w:rPr>
      </w:pPr>
      <w:r>
        <w:rPr>
          <w:sz w:val="26"/>
          <w:szCs w:val="20"/>
        </w:rPr>
        <w:tab/>
      </w:r>
      <w:r>
        <w:rPr>
          <w:sz w:val="26"/>
          <w:szCs w:val="20"/>
        </w:rPr>
        <w:tab/>
        <w:t>1.</w:t>
      </w:r>
      <w:r>
        <w:rPr>
          <w:sz w:val="26"/>
          <w:szCs w:val="20"/>
        </w:rPr>
        <w:tab/>
        <w:t>That the request of the PP&amp;L Industrial Customer Alliance to modify the Recommended Decision as set forth in its Letter in Lieu of Exceptions filed on October 13, 2015, is denied, consistent with this Opinion and Order.</w:t>
      </w:r>
    </w:p>
    <w:p w:rsidR="00A7007E" w:rsidRDefault="00A7007E" w:rsidP="00A7007E">
      <w:pPr>
        <w:spacing w:line="360" w:lineRule="auto"/>
        <w:rPr>
          <w:sz w:val="26"/>
          <w:szCs w:val="20"/>
        </w:rPr>
      </w:pPr>
    </w:p>
    <w:p w:rsidR="00A7007E" w:rsidRDefault="00A7007E" w:rsidP="00A7007E">
      <w:pPr>
        <w:spacing w:line="360" w:lineRule="auto"/>
        <w:rPr>
          <w:sz w:val="26"/>
          <w:szCs w:val="20"/>
        </w:rPr>
      </w:pPr>
      <w:r w:rsidRPr="00203D6F">
        <w:rPr>
          <w:sz w:val="26"/>
          <w:szCs w:val="20"/>
        </w:rPr>
        <w:tab/>
      </w:r>
      <w:r w:rsidRPr="00203D6F">
        <w:rPr>
          <w:sz w:val="26"/>
          <w:szCs w:val="20"/>
        </w:rPr>
        <w:tab/>
        <w:t>2.</w:t>
      </w:r>
      <w:r w:rsidRPr="00203D6F">
        <w:rPr>
          <w:sz w:val="26"/>
          <w:szCs w:val="20"/>
        </w:rPr>
        <w:tab/>
        <w:t>That the Recommended Decision of Administrative Law Judge Susan D. Colwell, issued October 5,</w:t>
      </w:r>
      <w:r>
        <w:rPr>
          <w:sz w:val="26"/>
          <w:szCs w:val="20"/>
        </w:rPr>
        <w:t xml:space="preserve"> 2015, is adopted, consistent with</w:t>
      </w:r>
      <w:r w:rsidRPr="00203D6F">
        <w:rPr>
          <w:sz w:val="26"/>
          <w:szCs w:val="20"/>
        </w:rPr>
        <w:t xml:space="preserve"> this Opinion and Order.</w:t>
      </w:r>
    </w:p>
    <w:p w:rsidR="008503CE" w:rsidRPr="00B76163" w:rsidRDefault="008503CE" w:rsidP="004F0E3B">
      <w:pPr>
        <w:spacing w:line="360" w:lineRule="auto"/>
        <w:rPr>
          <w:szCs w:val="26"/>
        </w:rPr>
      </w:pPr>
    </w:p>
    <w:p w:rsidR="00155895" w:rsidRPr="00203D6F" w:rsidRDefault="004F0E3B" w:rsidP="004F0E3B">
      <w:pPr>
        <w:spacing w:line="360" w:lineRule="auto"/>
        <w:rPr>
          <w:sz w:val="26"/>
          <w:szCs w:val="20"/>
        </w:rPr>
      </w:pPr>
      <w:r w:rsidRPr="008710D0">
        <w:rPr>
          <w:sz w:val="26"/>
          <w:szCs w:val="26"/>
        </w:rPr>
        <w:tab/>
      </w:r>
      <w:r w:rsidRPr="008710D0">
        <w:rPr>
          <w:sz w:val="26"/>
          <w:szCs w:val="26"/>
        </w:rPr>
        <w:tab/>
      </w:r>
      <w:r w:rsidR="00A7007E">
        <w:rPr>
          <w:sz w:val="26"/>
          <w:szCs w:val="26"/>
        </w:rPr>
        <w:t>3</w:t>
      </w:r>
      <w:r w:rsidR="00826AB7" w:rsidRPr="008710D0">
        <w:rPr>
          <w:sz w:val="26"/>
          <w:szCs w:val="26"/>
        </w:rPr>
        <w:t>.</w:t>
      </w:r>
      <w:r w:rsidR="00826AB7" w:rsidRPr="008710D0">
        <w:rPr>
          <w:sz w:val="26"/>
          <w:szCs w:val="26"/>
        </w:rPr>
        <w:tab/>
        <w:t xml:space="preserve">That </w:t>
      </w:r>
      <w:r w:rsidR="005F369D" w:rsidRPr="008710D0">
        <w:rPr>
          <w:sz w:val="26"/>
          <w:szCs w:val="20"/>
        </w:rPr>
        <w:t xml:space="preserve">the Joint Petition for </w:t>
      </w:r>
      <w:r w:rsidR="008710D0" w:rsidRPr="008710D0">
        <w:rPr>
          <w:sz w:val="26"/>
          <w:szCs w:val="20"/>
        </w:rPr>
        <w:t xml:space="preserve">Approval of </w:t>
      </w:r>
      <w:r w:rsidR="005F369D" w:rsidRPr="008710D0">
        <w:rPr>
          <w:sz w:val="26"/>
          <w:szCs w:val="20"/>
        </w:rPr>
        <w:t>Settlement</w:t>
      </w:r>
      <w:r w:rsidR="008710D0" w:rsidRPr="008710D0">
        <w:rPr>
          <w:sz w:val="26"/>
          <w:szCs w:val="20"/>
        </w:rPr>
        <w:t xml:space="preserve"> of all Issues filed September 3, 2015</w:t>
      </w:r>
      <w:r w:rsidR="005F369D" w:rsidRPr="008710D0">
        <w:rPr>
          <w:sz w:val="26"/>
          <w:szCs w:val="20"/>
        </w:rPr>
        <w:t xml:space="preserve">, </w:t>
      </w:r>
      <w:r w:rsidR="00D44556" w:rsidRPr="00236523">
        <w:rPr>
          <w:sz w:val="26"/>
          <w:szCs w:val="20"/>
        </w:rPr>
        <w:t xml:space="preserve">by PPL Electric Utilities </w:t>
      </w:r>
      <w:r w:rsidR="00D44556">
        <w:rPr>
          <w:sz w:val="26"/>
          <w:szCs w:val="20"/>
        </w:rPr>
        <w:t>Corporation</w:t>
      </w:r>
      <w:r w:rsidR="00D44556" w:rsidRPr="00236523">
        <w:rPr>
          <w:sz w:val="26"/>
          <w:szCs w:val="20"/>
        </w:rPr>
        <w:t>, the Commission</w:t>
      </w:r>
      <w:r w:rsidR="00EE6F5E">
        <w:rPr>
          <w:sz w:val="26"/>
          <w:szCs w:val="20"/>
        </w:rPr>
        <w:t>’</w:t>
      </w:r>
      <w:r w:rsidR="00D44556" w:rsidRPr="00236523">
        <w:rPr>
          <w:sz w:val="26"/>
          <w:szCs w:val="20"/>
        </w:rPr>
        <w:t>s Bureau of Inve</w:t>
      </w:r>
      <w:r w:rsidR="00D44556">
        <w:rPr>
          <w:sz w:val="26"/>
          <w:szCs w:val="20"/>
        </w:rPr>
        <w:t>stigation and Enforcement,</w:t>
      </w:r>
      <w:r w:rsidR="00D44556" w:rsidRPr="00236523">
        <w:rPr>
          <w:sz w:val="26"/>
          <w:szCs w:val="20"/>
        </w:rPr>
        <w:t xml:space="preserve"> the Office of </w:t>
      </w:r>
      <w:r w:rsidR="00D44556">
        <w:rPr>
          <w:sz w:val="26"/>
          <w:szCs w:val="20"/>
        </w:rPr>
        <w:t>Consumer Advocate,</w:t>
      </w:r>
      <w:r w:rsidR="00D44556" w:rsidRPr="00E71A48">
        <w:rPr>
          <w:sz w:val="26"/>
          <w:szCs w:val="20"/>
        </w:rPr>
        <w:t xml:space="preserve"> the Office of</w:t>
      </w:r>
      <w:r w:rsidR="00D44556">
        <w:rPr>
          <w:sz w:val="26"/>
          <w:szCs w:val="20"/>
        </w:rPr>
        <w:t xml:space="preserve"> Small Business Advocate</w:t>
      </w:r>
      <w:r w:rsidR="00D44556" w:rsidRPr="00E71A48">
        <w:rPr>
          <w:sz w:val="26"/>
          <w:szCs w:val="20"/>
        </w:rPr>
        <w:t xml:space="preserve">, </w:t>
      </w:r>
      <w:r w:rsidR="00D44556">
        <w:rPr>
          <w:sz w:val="26"/>
          <w:szCs w:val="20"/>
        </w:rPr>
        <w:t>the PP&amp;L Industrial Customer Alliance,</w:t>
      </w:r>
      <w:r w:rsidR="00D44556" w:rsidRPr="00E71A48">
        <w:rPr>
          <w:sz w:val="26"/>
          <w:szCs w:val="20"/>
        </w:rPr>
        <w:t xml:space="preserve"> the Commissio</w:t>
      </w:r>
      <w:r w:rsidR="00D44556">
        <w:rPr>
          <w:sz w:val="26"/>
          <w:szCs w:val="20"/>
        </w:rPr>
        <w:t>n for Economic Opportunity</w:t>
      </w:r>
      <w:r w:rsidR="00D44556" w:rsidRPr="00E71A48">
        <w:rPr>
          <w:sz w:val="26"/>
          <w:szCs w:val="20"/>
        </w:rPr>
        <w:t>, the Coalition for Affordable Utility Services and Energy Effic</w:t>
      </w:r>
      <w:r w:rsidR="00D44556">
        <w:rPr>
          <w:sz w:val="26"/>
          <w:szCs w:val="20"/>
        </w:rPr>
        <w:t>iency in Pennsylvania</w:t>
      </w:r>
      <w:r w:rsidR="00D44556" w:rsidRPr="00E71A48">
        <w:rPr>
          <w:sz w:val="26"/>
          <w:szCs w:val="20"/>
        </w:rPr>
        <w:t xml:space="preserve">, </w:t>
      </w:r>
      <w:r w:rsidR="00D44556">
        <w:rPr>
          <w:sz w:val="26"/>
          <w:szCs w:val="20"/>
        </w:rPr>
        <w:t xml:space="preserve">the Clean Air Council, Sustainable Energy Fund, The Alliance </w:t>
      </w:r>
      <w:r w:rsidR="00D44556" w:rsidRPr="00D44556">
        <w:rPr>
          <w:sz w:val="26"/>
          <w:szCs w:val="20"/>
        </w:rPr>
        <w:t>for Solar Choice, Keystone Energy Efficiency Alliance Energy Education Fund, Natural Resources Defense Council, Environmental Defense Fund, and Eric Joseph Epstein</w:t>
      </w:r>
      <w:r w:rsidR="00C0673D" w:rsidRPr="00D44556">
        <w:rPr>
          <w:sz w:val="26"/>
          <w:szCs w:val="20"/>
        </w:rPr>
        <w:t xml:space="preserve">, is approved </w:t>
      </w:r>
      <w:r w:rsidR="00B4206A" w:rsidRPr="00D44556">
        <w:rPr>
          <w:sz w:val="26"/>
          <w:szCs w:val="20"/>
        </w:rPr>
        <w:t xml:space="preserve">without </w:t>
      </w:r>
      <w:r w:rsidR="00B4206A" w:rsidRPr="00203D6F">
        <w:rPr>
          <w:sz w:val="26"/>
          <w:szCs w:val="20"/>
        </w:rPr>
        <w:t>modification.</w:t>
      </w:r>
    </w:p>
    <w:p w:rsidR="00815065" w:rsidRDefault="00815065" w:rsidP="004F0E3B">
      <w:pPr>
        <w:spacing w:line="360" w:lineRule="auto"/>
        <w:rPr>
          <w:sz w:val="26"/>
          <w:szCs w:val="20"/>
        </w:rPr>
      </w:pPr>
    </w:p>
    <w:p w:rsidR="00815065" w:rsidRPr="00815065" w:rsidRDefault="00815065" w:rsidP="00815065">
      <w:pPr>
        <w:spacing w:line="360" w:lineRule="auto"/>
        <w:rPr>
          <w:sz w:val="26"/>
          <w:szCs w:val="20"/>
        </w:rPr>
      </w:pPr>
      <w:r>
        <w:rPr>
          <w:sz w:val="26"/>
          <w:szCs w:val="20"/>
        </w:rPr>
        <w:tab/>
      </w:r>
      <w:r>
        <w:rPr>
          <w:sz w:val="26"/>
          <w:szCs w:val="20"/>
        </w:rPr>
        <w:tab/>
      </w:r>
      <w:r w:rsidR="00B8435C">
        <w:rPr>
          <w:sz w:val="26"/>
          <w:szCs w:val="20"/>
        </w:rPr>
        <w:t>4</w:t>
      </w:r>
      <w:r>
        <w:rPr>
          <w:sz w:val="26"/>
          <w:szCs w:val="20"/>
        </w:rPr>
        <w:t>.</w:t>
      </w:r>
      <w:r>
        <w:rPr>
          <w:sz w:val="26"/>
          <w:szCs w:val="20"/>
        </w:rPr>
        <w:tab/>
      </w:r>
      <w:r w:rsidRPr="00815065">
        <w:rPr>
          <w:sz w:val="26"/>
          <w:szCs w:val="20"/>
        </w:rPr>
        <w:t xml:space="preserve">That PPL Electric Utilities Corporation shall not place into effect the rules, rates and regulations contained in Supplement No. 179 to Tariff </w:t>
      </w:r>
      <w:r w:rsidR="007F7417">
        <w:rPr>
          <w:sz w:val="26"/>
          <w:szCs w:val="20"/>
        </w:rPr>
        <w:t xml:space="preserve">– </w:t>
      </w:r>
      <w:r w:rsidRPr="00815065">
        <w:rPr>
          <w:sz w:val="26"/>
          <w:szCs w:val="20"/>
        </w:rPr>
        <w:t>Electric</w:t>
      </w:r>
      <w:r w:rsidR="002C0F72">
        <w:rPr>
          <w:sz w:val="26"/>
          <w:szCs w:val="20"/>
        </w:rPr>
        <w:t xml:space="preserve"> </w:t>
      </w:r>
      <w:r w:rsidRPr="00815065">
        <w:rPr>
          <w:sz w:val="26"/>
          <w:szCs w:val="20"/>
        </w:rPr>
        <w:t>Pa. P.U.C. No. 201.</w:t>
      </w:r>
    </w:p>
    <w:p w:rsidR="00815065" w:rsidRPr="00203D6F" w:rsidRDefault="00815065" w:rsidP="004F0E3B">
      <w:pPr>
        <w:spacing w:line="360" w:lineRule="auto"/>
        <w:rPr>
          <w:sz w:val="26"/>
          <w:szCs w:val="26"/>
        </w:rPr>
      </w:pPr>
    </w:p>
    <w:p w:rsidR="00815065" w:rsidRPr="00815065" w:rsidRDefault="00815065" w:rsidP="00815065">
      <w:pPr>
        <w:spacing w:line="360" w:lineRule="auto"/>
        <w:rPr>
          <w:sz w:val="26"/>
          <w:szCs w:val="26"/>
        </w:rPr>
      </w:pPr>
      <w:r>
        <w:rPr>
          <w:sz w:val="26"/>
          <w:szCs w:val="26"/>
        </w:rPr>
        <w:tab/>
      </w:r>
      <w:r>
        <w:rPr>
          <w:sz w:val="26"/>
          <w:szCs w:val="26"/>
        </w:rPr>
        <w:tab/>
      </w:r>
      <w:r w:rsidR="00B8435C">
        <w:rPr>
          <w:sz w:val="26"/>
          <w:szCs w:val="26"/>
        </w:rPr>
        <w:t>5</w:t>
      </w:r>
      <w:r>
        <w:rPr>
          <w:sz w:val="26"/>
          <w:szCs w:val="26"/>
        </w:rPr>
        <w:t>.</w:t>
      </w:r>
      <w:r>
        <w:rPr>
          <w:sz w:val="26"/>
          <w:szCs w:val="26"/>
        </w:rPr>
        <w:tab/>
      </w:r>
      <w:r w:rsidRPr="00815065">
        <w:rPr>
          <w:sz w:val="26"/>
          <w:szCs w:val="26"/>
        </w:rPr>
        <w:t>That the proposals set forth in PPL Electric Utilities Corporation</w:t>
      </w:r>
      <w:r w:rsidR="00EE6F5E">
        <w:rPr>
          <w:sz w:val="26"/>
          <w:szCs w:val="26"/>
        </w:rPr>
        <w:t>’</w:t>
      </w:r>
      <w:r w:rsidRPr="00815065">
        <w:rPr>
          <w:sz w:val="26"/>
          <w:szCs w:val="26"/>
        </w:rPr>
        <w:t>s March 31, 2015 distribution base rate increase filing are approved</w:t>
      </w:r>
      <w:r>
        <w:rPr>
          <w:sz w:val="26"/>
          <w:szCs w:val="26"/>
        </w:rPr>
        <w:t>,</w:t>
      </w:r>
      <w:r w:rsidRPr="00815065">
        <w:rPr>
          <w:sz w:val="26"/>
          <w:szCs w:val="26"/>
        </w:rPr>
        <w:t xml:space="preserve"> subject to the terms and conditions of the Joint Petition for</w:t>
      </w:r>
      <w:r>
        <w:rPr>
          <w:sz w:val="26"/>
          <w:szCs w:val="26"/>
        </w:rPr>
        <w:t xml:space="preserve"> Approval of</w:t>
      </w:r>
      <w:r w:rsidRPr="00815065">
        <w:rPr>
          <w:sz w:val="26"/>
          <w:szCs w:val="26"/>
        </w:rPr>
        <w:t xml:space="preserve"> Settlement</w:t>
      </w:r>
      <w:r>
        <w:rPr>
          <w:sz w:val="26"/>
          <w:szCs w:val="26"/>
        </w:rPr>
        <w:t xml:space="preserve"> of All Issues.</w:t>
      </w:r>
    </w:p>
    <w:p w:rsidR="00826AB7" w:rsidRPr="00203D6F" w:rsidRDefault="00826AB7" w:rsidP="00D45491">
      <w:pPr>
        <w:spacing w:line="360" w:lineRule="auto"/>
        <w:rPr>
          <w:sz w:val="26"/>
          <w:szCs w:val="26"/>
        </w:rPr>
      </w:pPr>
    </w:p>
    <w:p w:rsidR="004F0E3B" w:rsidRDefault="00CE5595" w:rsidP="004F0E3B">
      <w:pPr>
        <w:spacing w:line="360" w:lineRule="auto"/>
        <w:rPr>
          <w:sz w:val="26"/>
          <w:szCs w:val="26"/>
        </w:rPr>
      </w:pPr>
      <w:r w:rsidRPr="00815065">
        <w:rPr>
          <w:sz w:val="26"/>
          <w:szCs w:val="26"/>
        </w:rPr>
        <w:lastRenderedPageBreak/>
        <w:tab/>
      </w:r>
      <w:r w:rsidR="00D45491" w:rsidRPr="00815065">
        <w:rPr>
          <w:sz w:val="26"/>
          <w:szCs w:val="26"/>
        </w:rPr>
        <w:tab/>
      </w:r>
      <w:r w:rsidR="00B8435C">
        <w:rPr>
          <w:sz w:val="26"/>
          <w:szCs w:val="26"/>
        </w:rPr>
        <w:t>6</w:t>
      </w:r>
      <w:r w:rsidRPr="00815065">
        <w:rPr>
          <w:sz w:val="26"/>
          <w:szCs w:val="26"/>
        </w:rPr>
        <w:t>.</w:t>
      </w:r>
      <w:r w:rsidR="00995A12" w:rsidRPr="00815065">
        <w:rPr>
          <w:sz w:val="26"/>
          <w:szCs w:val="26"/>
        </w:rPr>
        <w:tab/>
      </w:r>
      <w:r w:rsidR="004F0E3B" w:rsidRPr="00815065">
        <w:rPr>
          <w:sz w:val="26"/>
          <w:szCs w:val="26"/>
        </w:rPr>
        <w:t xml:space="preserve">That </w:t>
      </w:r>
      <w:r w:rsidR="00815065" w:rsidRPr="00815065">
        <w:rPr>
          <w:sz w:val="26"/>
          <w:szCs w:val="26"/>
        </w:rPr>
        <w:t>PPL Electric Utilities Corporation</w:t>
      </w:r>
      <w:r w:rsidR="004F0E3B" w:rsidRPr="00815065">
        <w:rPr>
          <w:sz w:val="26"/>
          <w:szCs w:val="26"/>
        </w:rPr>
        <w:t xml:space="preserve"> shall be permitted to file a tariff supplement</w:t>
      </w:r>
      <w:r w:rsidR="0077066E">
        <w:rPr>
          <w:sz w:val="26"/>
          <w:szCs w:val="26"/>
        </w:rPr>
        <w:t xml:space="preserve"> to its</w:t>
      </w:r>
      <w:r w:rsidR="004F0E3B" w:rsidRPr="00815065">
        <w:rPr>
          <w:sz w:val="26"/>
          <w:szCs w:val="26"/>
        </w:rPr>
        <w:t xml:space="preserve"> </w:t>
      </w:r>
      <w:r w:rsidR="0077066E" w:rsidRPr="0077066E">
        <w:rPr>
          <w:sz w:val="26"/>
          <w:szCs w:val="26"/>
        </w:rPr>
        <w:t xml:space="preserve">Tariff </w:t>
      </w:r>
      <w:r w:rsidR="007F7417">
        <w:rPr>
          <w:sz w:val="26"/>
          <w:szCs w:val="26"/>
        </w:rPr>
        <w:t xml:space="preserve">– </w:t>
      </w:r>
      <w:r w:rsidR="0077066E" w:rsidRPr="0077066E">
        <w:rPr>
          <w:sz w:val="26"/>
          <w:szCs w:val="26"/>
        </w:rPr>
        <w:t>Electric</w:t>
      </w:r>
      <w:r w:rsidR="002C0F72">
        <w:rPr>
          <w:sz w:val="26"/>
          <w:szCs w:val="26"/>
        </w:rPr>
        <w:t xml:space="preserve"> </w:t>
      </w:r>
      <w:r w:rsidR="0077066E" w:rsidRPr="0077066E">
        <w:rPr>
          <w:sz w:val="26"/>
          <w:szCs w:val="26"/>
        </w:rPr>
        <w:t>Pa. P.U.C. No. 201</w:t>
      </w:r>
      <w:r w:rsidR="0089412A">
        <w:rPr>
          <w:sz w:val="26"/>
          <w:szCs w:val="26"/>
        </w:rPr>
        <w:t>,</w:t>
      </w:r>
      <w:r w:rsidR="00667922">
        <w:rPr>
          <w:sz w:val="26"/>
          <w:szCs w:val="26"/>
        </w:rPr>
        <w:t xml:space="preserve"> </w:t>
      </w:r>
      <w:r w:rsidR="004F0E3B" w:rsidRPr="00815065">
        <w:rPr>
          <w:sz w:val="26"/>
          <w:szCs w:val="26"/>
        </w:rPr>
        <w:t xml:space="preserve">incorporating the terms of the </w:t>
      </w:r>
      <w:r w:rsidR="00815065" w:rsidRPr="00815065">
        <w:rPr>
          <w:sz w:val="26"/>
          <w:szCs w:val="26"/>
        </w:rPr>
        <w:t xml:space="preserve">Joint Petition for Approval of Settlement of All Issues </w:t>
      </w:r>
      <w:r w:rsidR="004F0E3B" w:rsidRPr="00815065">
        <w:rPr>
          <w:sz w:val="26"/>
          <w:szCs w:val="26"/>
        </w:rPr>
        <w:t>and changes to rates, rules and regula</w:t>
      </w:r>
      <w:r w:rsidR="00815065" w:rsidRPr="00815065">
        <w:rPr>
          <w:sz w:val="26"/>
          <w:szCs w:val="26"/>
        </w:rPr>
        <w:t>tions as set forth in Appendix A</w:t>
      </w:r>
      <w:r w:rsidR="004F0E3B" w:rsidRPr="00815065">
        <w:rPr>
          <w:sz w:val="26"/>
          <w:szCs w:val="26"/>
        </w:rPr>
        <w:t xml:space="preserve"> of the </w:t>
      </w:r>
      <w:r w:rsidR="00815065" w:rsidRPr="00815065">
        <w:rPr>
          <w:sz w:val="26"/>
          <w:szCs w:val="26"/>
        </w:rPr>
        <w:t>Joint Petition for Approval of Settlement of All Issues</w:t>
      </w:r>
      <w:r w:rsidR="004F0E3B" w:rsidRPr="00815065">
        <w:rPr>
          <w:sz w:val="26"/>
          <w:szCs w:val="26"/>
        </w:rPr>
        <w:t xml:space="preserve">, to become effective upon one </w:t>
      </w:r>
      <w:r w:rsidRPr="00815065">
        <w:rPr>
          <w:sz w:val="26"/>
          <w:szCs w:val="26"/>
        </w:rPr>
        <w:t xml:space="preserve">(1) </w:t>
      </w:r>
      <w:r w:rsidR="004F4F50" w:rsidRPr="00815065">
        <w:rPr>
          <w:sz w:val="26"/>
          <w:szCs w:val="26"/>
        </w:rPr>
        <w:t>days</w:t>
      </w:r>
      <w:r w:rsidR="00EE6F5E">
        <w:rPr>
          <w:sz w:val="26"/>
          <w:szCs w:val="26"/>
        </w:rPr>
        <w:t>’</w:t>
      </w:r>
      <w:r w:rsidR="004F4F50" w:rsidRPr="00815065">
        <w:rPr>
          <w:sz w:val="26"/>
          <w:szCs w:val="26"/>
        </w:rPr>
        <w:t xml:space="preserve"> notice</w:t>
      </w:r>
      <w:r w:rsidR="004F0E3B" w:rsidRPr="00815065">
        <w:rPr>
          <w:sz w:val="26"/>
          <w:szCs w:val="26"/>
        </w:rPr>
        <w:t xml:space="preserve"> after entry of th</w:t>
      </w:r>
      <w:r w:rsidR="00122A1C" w:rsidRPr="00815065">
        <w:rPr>
          <w:sz w:val="26"/>
          <w:szCs w:val="26"/>
        </w:rPr>
        <w:t>is Opinion and Order</w:t>
      </w:r>
      <w:r w:rsidR="004F0E3B" w:rsidRPr="00815065">
        <w:rPr>
          <w:sz w:val="26"/>
          <w:szCs w:val="26"/>
        </w:rPr>
        <w:t xml:space="preserve">, for service rendered on and after </w:t>
      </w:r>
      <w:r w:rsidR="00815065" w:rsidRPr="00815065">
        <w:rPr>
          <w:sz w:val="26"/>
          <w:szCs w:val="26"/>
        </w:rPr>
        <w:t>January 1, 2016</w:t>
      </w:r>
      <w:r w:rsidR="004F0E3B" w:rsidRPr="00815065">
        <w:rPr>
          <w:sz w:val="26"/>
          <w:szCs w:val="26"/>
        </w:rPr>
        <w:t xml:space="preserve">, </w:t>
      </w:r>
      <w:r w:rsidR="004F0E3B" w:rsidRPr="00667922">
        <w:rPr>
          <w:sz w:val="26"/>
          <w:szCs w:val="26"/>
        </w:rPr>
        <w:t xml:space="preserve">which tariff supplement increases </w:t>
      </w:r>
      <w:r w:rsidR="0077066E" w:rsidRPr="00667922">
        <w:rPr>
          <w:sz w:val="26"/>
          <w:szCs w:val="26"/>
        </w:rPr>
        <w:t>PPL Electric Utilities Corporation</w:t>
      </w:r>
      <w:r w:rsidR="00EE6F5E">
        <w:rPr>
          <w:sz w:val="26"/>
          <w:szCs w:val="26"/>
        </w:rPr>
        <w:t>’</w:t>
      </w:r>
      <w:r w:rsidR="004F0E3B" w:rsidRPr="00667922">
        <w:rPr>
          <w:sz w:val="26"/>
          <w:szCs w:val="26"/>
        </w:rPr>
        <w:t>s rates so as to pr</w:t>
      </w:r>
      <w:r w:rsidR="0077066E" w:rsidRPr="00667922">
        <w:rPr>
          <w:sz w:val="26"/>
          <w:szCs w:val="26"/>
        </w:rPr>
        <w:t>oduce an annual increase in distribution rate revenues of not more than $124,0</w:t>
      </w:r>
      <w:r w:rsidR="004F0E3B" w:rsidRPr="00667922">
        <w:rPr>
          <w:sz w:val="26"/>
          <w:szCs w:val="26"/>
        </w:rPr>
        <w:t>00,000.</w:t>
      </w:r>
    </w:p>
    <w:p w:rsidR="006A33D6" w:rsidRDefault="006A33D6" w:rsidP="004F0E3B">
      <w:pPr>
        <w:spacing w:line="360" w:lineRule="auto"/>
        <w:rPr>
          <w:sz w:val="26"/>
          <w:szCs w:val="26"/>
        </w:rPr>
      </w:pPr>
    </w:p>
    <w:p w:rsidR="006A33D6" w:rsidRDefault="006A33D6" w:rsidP="006A33D6">
      <w:pPr>
        <w:spacing w:line="360" w:lineRule="auto"/>
        <w:rPr>
          <w:sz w:val="26"/>
          <w:szCs w:val="26"/>
        </w:rPr>
      </w:pPr>
      <w:r>
        <w:rPr>
          <w:sz w:val="26"/>
          <w:szCs w:val="26"/>
        </w:rPr>
        <w:tab/>
      </w:r>
      <w:r>
        <w:rPr>
          <w:sz w:val="26"/>
          <w:szCs w:val="26"/>
        </w:rPr>
        <w:tab/>
      </w:r>
      <w:r w:rsidR="00B8435C">
        <w:rPr>
          <w:sz w:val="26"/>
          <w:szCs w:val="26"/>
        </w:rPr>
        <w:t>7</w:t>
      </w:r>
      <w:r>
        <w:rPr>
          <w:sz w:val="26"/>
          <w:szCs w:val="26"/>
        </w:rPr>
        <w:t>.</w:t>
      </w:r>
      <w:r>
        <w:rPr>
          <w:sz w:val="26"/>
          <w:szCs w:val="26"/>
        </w:rPr>
        <w:tab/>
      </w:r>
      <w:r w:rsidRPr="006A33D6">
        <w:rPr>
          <w:sz w:val="26"/>
          <w:szCs w:val="26"/>
        </w:rPr>
        <w:t>That the proof of revenues statement attached</w:t>
      </w:r>
      <w:r w:rsidR="0089412A">
        <w:rPr>
          <w:sz w:val="26"/>
          <w:szCs w:val="26"/>
        </w:rPr>
        <w:t xml:space="preserve"> as Appendix B</w:t>
      </w:r>
      <w:r w:rsidRPr="006A33D6">
        <w:rPr>
          <w:sz w:val="26"/>
          <w:szCs w:val="26"/>
        </w:rPr>
        <w:t xml:space="preserve"> to the Joint Petition fo</w:t>
      </w:r>
      <w:r>
        <w:rPr>
          <w:sz w:val="26"/>
          <w:szCs w:val="26"/>
        </w:rPr>
        <w:t>r Approval of Settlement of All Issues</w:t>
      </w:r>
      <w:r w:rsidRPr="006A33D6">
        <w:rPr>
          <w:sz w:val="26"/>
          <w:szCs w:val="26"/>
        </w:rPr>
        <w:t xml:space="preserve"> is approved.</w:t>
      </w:r>
    </w:p>
    <w:p w:rsidR="00A46497" w:rsidRDefault="00A46497" w:rsidP="006A33D6">
      <w:pPr>
        <w:spacing w:line="360" w:lineRule="auto"/>
        <w:rPr>
          <w:sz w:val="26"/>
          <w:szCs w:val="26"/>
        </w:rPr>
      </w:pPr>
    </w:p>
    <w:p w:rsidR="00A46497" w:rsidRDefault="00A46497" w:rsidP="00A46497">
      <w:pPr>
        <w:spacing w:line="360" w:lineRule="auto"/>
        <w:rPr>
          <w:sz w:val="26"/>
          <w:szCs w:val="26"/>
        </w:rPr>
      </w:pPr>
      <w:r>
        <w:rPr>
          <w:sz w:val="26"/>
          <w:szCs w:val="26"/>
        </w:rPr>
        <w:tab/>
      </w:r>
      <w:r>
        <w:rPr>
          <w:sz w:val="26"/>
          <w:szCs w:val="26"/>
        </w:rPr>
        <w:tab/>
      </w:r>
      <w:r w:rsidR="00B8435C">
        <w:rPr>
          <w:sz w:val="26"/>
          <w:szCs w:val="26"/>
        </w:rPr>
        <w:t>8</w:t>
      </w:r>
      <w:r>
        <w:rPr>
          <w:sz w:val="26"/>
          <w:szCs w:val="26"/>
        </w:rPr>
        <w:t>.</w:t>
      </w:r>
      <w:r>
        <w:rPr>
          <w:sz w:val="26"/>
          <w:szCs w:val="26"/>
        </w:rPr>
        <w:tab/>
      </w:r>
      <w:r w:rsidRPr="00A46497">
        <w:rPr>
          <w:sz w:val="26"/>
          <w:szCs w:val="26"/>
        </w:rPr>
        <w:t>That PPL Electric Utilities Corporation shall file detailed cal</w:t>
      </w:r>
      <w:r>
        <w:rPr>
          <w:sz w:val="26"/>
          <w:szCs w:val="26"/>
        </w:rPr>
        <w:t>culations with its tariff supplement demonstrating to the P</w:t>
      </w:r>
      <w:r w:rsidRPr="00A46497">
        <w:rPr>
          <w:sz w:val="26"/>
          <w:szCs w:val="26"/>
        </w:rPr>
        <w:t>arties</w:t>
      </w:r>
      <w:r w:rsidR="00EE6F5E">
        <w:rPr>
          <w:sz w:val="26"/>
          <w:szCs w:val="26"/>
        </w:rPr>
        <w:t>’</w:t>
      </w:r>
      <w:r w:rsidRPr="00A46497">
        <w:rPr>
          <w:sz w:val="26"/>
          <w:szCs w:val="26"/>
        </w:rPr>
        <w:t xml:space="preserve"> satisfaction that the filed tariffs with the adjustments comply with the pro</w:t>
      </w:r>
      <w:r>
        <w:rPr>
          <w:sz w:val="26"/>
          <w:szCs w:val="26"/>
        </w:rPr>
        <w:t xml:space="preserve">visions of this Opinion and </w:t>
      </w:r>
      <w:r w:rsidRPr="00A46497">
        <w:rPr>
          <w:sz w:val="26"/>
          <w:szCs w:val="26"/>
        </w:rPr>
        <w:t>Order.</w:t>
      </w:r>
    </w:p>
    <w:p w:rsidR="007F1F19" w:rsidRDefault="007F1F19" w:rsidP="00A46497">
      <w:pPr>
        <w:spacing w:line="360" w:lineRule="auto"/>
        <w:rPr>
          <w:sz w:val="26"/>
          <w:szCs w:val="26"/>
        </w:rPr>
      </w:pPr>
    </w:p>
    <w:p w:rsidR="002A79C6" w:rsidRPr="002A79C6" w:rsidRDefault="007F1F19" w:rsidP="002A79C6">
      <w:pPr>
        <w:spacing w:line="360" w:lineRule="auto"/>
        <w:rPr>
          <w:sz w:val="26"/>
          <w:szCs w:val="26"/>
        </w:rPr>
      </w:pPr>
      <w:r>
        <w:rPr>
          <w:sz w:val="26"/>
          <w:szCs w:val="26"/>
        </w:rPr>
        <w:tab/>
      </w:r>
      <w:r>
        <w:rPr>
          <w:sz w:val="26"/>
          <w:szCs w:val="26"/>
        </w:rPr>
        <w:tab/>
      </w:r>
      <w:r w:rsidR="00B8435C">
        <w:rPr>
          <w:sz w:val="26"/>
          <w:szCs w:val="26"/>
        </w:rPr>
        <w:t>9</w:t>
      </w:r>
      <w:r>
        <w:rPr>
          <w:sz w:val="26"/>
          <w:szCs w:val="26"/>
        </w:rPr>
        <w:t>.</w:t>
      </w:r>
      <w:r>
        <w:rPr>
          <w:sz w:val="26"/>
          <w:szCs w:val="26"/>
        </w:rPr>
        <w:tab/>
      </w:r>
      <w:r w:rsidRPr="007F1F19">
        <w:rPr>
          <w:sz w:val="26"/>
          <w:szCs w:val="26"/>
        </w:rPr>
        <w:t>That PPL Electric Utilities Corporation shall allocate the authorized increase in operating revenue to each customer clas</w:t>
      </w:r>
      <w:r>
        <w:rPr>
          <w:sz w:val="26"/>
          <w:szCs w:val="26"/>
        </w:rPr>
        <w:t xml:space="preserve">s and rate schedule </w:t>
      </w:r>
      <w:r w:rsidR="00331D9E">
        <w:rPr>
          <w:sz w:val="26"/>
          <w:szCs w:val="26"/>
        </w:rPr>
        <w:t>in the manner prescribed in this Opinion and Order.</w:t>
      </w:r>
    </w:p>
    <w:p w:rsidR="002A79C6" w:rsidRPr="007F1F19" w:rsidRDefault="002A79C6" w:rsidP="007F1F19">
      <w:pPr>
        <w:spacing w:line="360" w:lineRule="auto"/>
        <w:rPr>
          <w:sz w:val="26"/>
          <w:szCs w:val="26"/>
        </w:rPr>
      </w:pPr>
    </w:p>
    <w:p w:rsidR="00930077" w:rsidRPr="000C3AF4" w:rsidRDefault="002A79C6" w:rsidP="004F0E3B">
      <w:pPr>
        <w:spacing w:line="360" w:lineRule="auto"/>
        <w:rPr>
          <w:sz w:val="26"/>
          <w:szCs w:val="26"/>
        </w:rPr>
      </w:pPr>
      <w:r>
        <w:rPr>
          <w:sz w:val="26"/>
          <w:szCs w:val="26"/>
        </w:rPr>
        <w:tab/>
      </w:r>
      <w:r>
        <w:rPr>
          <w:sz w:val="26"/>
          <w:szCs w:val="26"/>
        </w:rPr>
        <w:tab/>
      </w:r>
      <w:r w:rsidR="00B8435C">
        <w:rPr>
          <w:sz w:val="26"/>
          <w:szCs w:val="26"/>
        </w:rPr>
        <w:t>10</w:t>
      </w:r>
      <w:r w:rsidRPr="000C3AF4">
        <w:rPr>
          <w:sz w:val="26"/>
          <w:szCs w:val="26"/>
        </w:rPr>
        <w:t>.</w:t>
      </w:r>
      <w:r w:rsidRPr="000C3AF4">
        <w:rPr>
          <w:sz w:val="26"/>
          <w:szCs w:val="26"/>
        </w:rPr>
        <w:tab/>
      </w:r>
      <w:r w:rsidR="00930077" w:rsidRPr="000C3AF4">
        <w:rPr>
          <w:sz w:val="26"/>
          <w:szCs w:val="26"/>
        </w:rPr>
        <w:t xml:space="preserve">That the </w:t>
      </w:r>
      <w:r w:rsidR="004F5483">
        <w:rPr>
          <w:sz w:val="26"/>
          <w:szCs w:val="26"/>
        </w:rPr>
        <w:t>F</w:t>
      </w:r>
      <w:r w:rsidR="005E0026" w:rsidRPr="000C3AF4">
        <w:rPr>
          <w:sz w:val="26"/>
          <w:szCs w:val="26"/>
        </w:rPr>
        <w:t xml:space="preserve">ormal </w:t>
      </w:r>
      <w:r w:rsidR="004F5483">
        <w:rPr>
          <w:sz w:val="26"/>
          <w:szCs w:val="26"/>
        </w:rPr>
        <w:t>C</w:t>
      </w:r>
      <w:r w:rsidR="005E0026" w:rsidRPr="000C3AF4">
        <w:rPr>
          <w:sz w:val="26"/>
          <w:szCs w:val="26"/>
        </w:rPr>
        <w:t xml:space="preserve">omplaint </w:t>
      </w:r>
      <w:r w:rsidR="001A0A41">
        <w:rPr>
          <w:sz w:val="26"/>
          <w:szCs w:val="26"/>
        </w:rPr>
        <w:t xml:space="preserve">of </w:t>
      </w:r>
      <w:r w:rsidR="00930077" w:rsidRPr="000C3AF4">
        <w:rPr>
          <w:sz w:val="26"/>
          <w:szCs w:val="26"/>
        </w:rPr>
        <w:t>the Office of Co</w:t>
      </w:r>
      <w:r w:rsidR="005E0026" w:rsidRPr="000C3AF4">
        <w:rPr>
          <w:sz w:val="26"/>
          <w:szCs w:val="26"/>
        </w:rPr>
        <w:t>nsumer Advocate</w:t>
      </w:r>
      <w:r w:rsidR="001A0A41">
        <w:rPr>
          <w:sz w:val="26"/>
          <w:szCs w:val="26"/>
        </w:rPr>
        <w:t>, filed</w:t>
      </w:r>
      <w:r w:rsidR="005E0026" w:rsidRPr="000C3AF4">
        <w:rPr>
          <w:sz w:val="26"/>
          <w:szCs w:val="26"/>
        </w:rPr>
        <w:t xml:space="preserve"> at Docket No.</w:t>
      </w:r>
      <w:r w:rsidR="00930077" w:rsidRPr="000C3AF4">
        <w:rPr>
          <w:sz w:val="26"/>
          <w:szCs w:val="26"/>
        </w:rPr>
        <w:t xml:space="preserve"> </w:t>
      </w:r>
      <w:r w:rsidR="000C3AF4" w:rsidRPr="000C3AF4">
        <w:rPr>
          <w:kern w:val="24"/>
          <w:sz w:val="26"/>
          <w:szCs w:val="26"/>
        </w:rPr>
        <w:t>C</w:t>
      </w:r>
      <w:r w:rsidR="000C3AF4" w:rsidRPr="000C3AF4">
        <w:rPr>
          <w:kern w:val="24"/>
          <w:sz w:val="26"/>
          <w:szCs w:val="26"/>
        </w:rPr>
        <w:noBreakHyphen/>
        <w:t>2015</w:t>
      </w:r>
      <w:r w:rsidR="005E0026" w:rsidRPr="000C3AF4">
        <w:rPr>
          <w:kern w:val="24"/>
          <w:sz w:val="26"/>
          <w:szCs w:val="26"/>
        </w:rPr>
        <w:noBreakHyphen/>
        <w:t>24</w:t>
      </w:r>
      <w:r w:rsidR="000C3AF4" w:rsidRPr="000C3AF4">
        <w:rPr>
          <w:kern w:val="24"/>
          <w:sz w:val="26"/>
          <w:szCs w:val="26"/>
        </w:rPr>
        <w:t>75448</w:t>
      </w:r>
      <w:r w:rsidR="00630698">
        <w:rPr>
          <w:kern w:val="24"/>
          <w:sz w:val="26"/>
          <w:szCs w:val="26"/>
        </w:rPr>
        <w:t>,</w:t>
      </w:r>
      <w:r w:rsidR="00930077" w:rsidRPr="000C3AF4">
        <w:rPr>
          <w:sz w:val="26"/>
          <w:szCs w:val="26"/>
        </w:rPr>
        <w:t xml:space="preserve"> be marked satisfied</w:t>
      </w:r>
      <w:r w:rsidR="000C3AF4" w:rsidRPr="000C3AF4">
        <w:rPr>
          <w:sz w:val="26"/>
          <w:szCs w:val="26"/>
        </w:rPr>
        <w:t>, in part, and dismissed, in part, consistent with this Opinion and Order</w:t>
      </w:r>
      <w:r w:rsidR="00F04EAE">
        <w:rPr>
          <w:sz w:val="26"/>
          <w:szCs w:val="26"/>
        </w:rPr>
        <w:t>, and that the docket be marked closed</w:t>
      </w:r>
      <w:r w:rsidR="000C3AF4" w:rsidRPr="000C3AF4">
        <w:rPr>
          <w:sz w:val="26"/>
          <w:szCs w:val="26"/>
        </w:rPr>
        <w:t>.</w:t>
      </w:r>
    </w:p>
    <w:p w:rsidR="00930077" w:rsidRPr="000C3AF4" w:rsidRDefault="00930077" w:rsidP="004F0E3B">
      <w:pPr>
        <w:spacing w:line="360" w:lineRule="auto"/>
        <w:rPr>
          <w:sz w:val="26"/>
          <w:szCs w:val="26"/>
        </w:rPr>
      </w:pPr>
    </w:p>
    <w:p w:rsidR="00F04EAE" w:rsidRPr="000C3AF4" w:rsidRDefault="005E0026" w:rsidP="00F04EAE">
      <w:pPr>
        <w:spacing w:line="360" w:lineRule="auto"/>
        <w:rPr>
          <w:sz w:val="26"/>
          <w:szCs w:val="26"/>
        </w:rPr>
      </w:pPr>
      <w:r w:rsidRPr="00657235">
        <w:rPr>
          <w:sz w:val="26"/>
          <w:szCs w:val="26"/>
        </w:rPr>
        <w:tab/>
      </w:r>
      <w:r w:rsidRPr="00657235">
        <w:rPr>
          <w:sz w:val="26"/>
          <w:szCs w:val="26"/>
        </w:rPr>
        <w:tab/>
      </w:r>
      <w:r w:rsidR="00B8435C">
        <w:rPr>
          <w:sz w:val="26"/>
          <w:szCs w:val="26"/>
        </w:rPr>
        <w:t>11</w:t>
      </w:r>
      <w:r w:rsidRPr="00657235">
        <w:rPr>
          <w:sz w:val="26"/>
          <w:szCs w:val="26"/>
        </w:rPr>
        <w:t>.</w:t>
      </w:r>
      <w:r w:rsidRPr="00657235">
        <w:rPr>
          <w:sz w:val="26"/>
          <w:szCs w:val="26"/>
        </w:rPr>
        <w:tab/>
        <w:t xml:space="preserve">That the </w:t>
      </w:r>
      <w:r w:rsidR="004F5483">
        <w:rPr>
          <w:sz w:val="26"/>
          <w:szCs w:val="26"/>
        </w:rPr>
        <w:t>F</w:t>
      </w:r>
      <w:r w:rsidRPr="00657235">
        <w:rPr>
          <w:sz w:val="26"/>
          <w:szCs w:val="26"/>
        </w:rPr>
        <w:t xml:space="preserve">ormal </w:t>
      </w:r>
      <w:r w:rsidR="004F5483">
        <w:rPr>
          <w:sz w:val="26"/>
          <w:szCs w:val="26"/>
        </w:rPr>
        <w:t>C</w:t>
      </w:r>
      <w:r w:rsidRPr="00657235">
        <w:rPr>
          <w:sz w:val="26"/>
          <w:szCs w:val="26"/>
        </w:rPr>
        <w:t xml:space="preserve">omplaint </w:t>
      </w:r>
      <w:r w:rsidR="001A0A41">
        <w:rPr>
          <w:sz w:val="26"/>
          <w:szCs w:val="26"/>
        </w:rPr>
        <w:t xml:space="preserve">of </w:t>
      </w:r>
      <w:r w:rsidRPr="00657235">
        <w:rPr>
          <w:sz w:val="26"/>
          <w:szCs w:val="26"/>
        </w:rPr>
        <w:t>the Office of Small Business Advocate</w:t>
      </w:r>
      <w:r w:rsidR="001A0A41">
        <w:rPr>
          <w:sz w:val="26"/>
          <w:szCs w:val="26"/>
        </w:rPr>
        <w:t>, filed</w:t>
      </w:r>
      <w:r w:rsidRPr="00657235">
        <w:rPr>
          <w:sz w:val="26"/>
          <w:szCs w:val="26"/>
        </w:rPr>
        <w:t xml:space="preserve"> at Docket No. </w:t>
      </w:r>
      <w:r w:rsidR="00657235" w:rsidRPr="00657235">
        <w:rPr>
          <w:kern w:val="24"/>
          <w:sz w:val="26"/>
          <w:szCs w:val="26"/>
        </w:rPr>
        <w:t>C-2015</w:t>
      </w:r>
      <w:r w:rsidRPr="00657235">
        <w:rPr>
          <w:kern w:val="24"/>
          <w:sz w:val="26"/>
          <w:szCs w:val="26"/>
        </w:rPr>
        <w:t>-24</w:t>
      </w:r>
      <w:r w:rsidR="00657235" w:rsidRPr="00657235">
        <w:rPr>
          <w:kern w:val="24"/>
          <w:sz w:val="26"/>
          <w:szCs w:val="26"/>
        </w:rPr>
        <w:t>78277</w:t>
      </w:r>
      <w:r w:rsidR="00630698">
        <w:rPr>
          <w:kern w:val="24"/>
          <w:sz w:val="26"/>
          <w:szCs w:val="26"/>
        </w:rPr>
        <w:t>,</w:t>
      </w:r>
      <w:r w:rsidRPr="00657235">
        <w:rPr>
          <w:sz w:val="26"/>
          <w:szCs w:val="26"/>
        </w:rPr>
        <w:t xml:space="preserve"> </w:t>
      </w:r>
      <w:r w:rsidR="00657235" w:rsidRPr="00657235">
        <w:rPr>
          <w:sz w:val="26"/>
          <w:szCs w:val="26"/>
        </w:rPr>
        <w:t>be marked satisfied, in part, and dismissed, in part, consistent with this Opinion and Or</w:t>
      </w:r>
      <w:r w:rsidR="00F04EAE">
        <w:rPr>
          <w:sz w:val="26"/>
          <w:szCs w:val="26"/>
        </w:rPr>
        <w:t>der,</w:t>
      </w:r>
      <w:r w:rsidR="00F04EAE" w:rsidRPr="00F04EAE">
        <w:rPr>
          <w:sz w:val="26"/>
          <w:szCs w:val="26"/>
        </w:rPr>
        <w:t xml:space="preserve"> </w:t>
      </w:r>
      <w:r w:rsidR="00F04EAE">
        <w:rPr>
          <w:sz w:val="26"/>
          <w:szCs w:val="26"/>
        </w:rPr>
        <w:t>and that the docket be marked closed</w:t>
      </w:r>
      <w:r w:rsidR="00F04EAE" w:rsidRPr="000C3AF4">
        <w:rPr>
          <w:sz w:val="26"/>
          <w:szCs w:val="26"/>
        </w:rPr>
        <w:t>.</w:t>
      </w:r>
    </w:p>
    <w:p w:rsidR="005E0026" w:rsidRPr="00657235" w:rsidRDefault="005E0026" w:rsidP="005E0026">
      <w:pPr>
        <w:spacing w:line="360" w:lineRule="auto"/>
        <w:rPr>
          <w:sz w:val="26"/>
          <w:szCs w:val="26"/>
        </w:rPr>
      </w:pPr>
    </w:p>
    <w:p w:rsidR="00F04EAE" w:rsidRPr="000C3AF4" w:rsidRDefault="005E0026" w:rsidP="00F04EAE">
      <w:pPr>
        <w:spacing w:line="360" w:lineRule="auto"/>
        <w:rPr>
          <w:sz w:val="26"/>
          <w:szCs w:val="26"/>
        </w:rPr>
      </w:pPr>
      <w:r w:rsidRPr="00007AC2">
        <w:rPr>
          <w:sz w:val="26"/>
          <w:szCs w:val="26"/>
        </w:rPr>
        <w:lastRenderedPageBreak/>
        <w:tab/>
      </w:r>
      <w:r w:rsidRPr="00007AC2">
        <w:rPr>
          <w:sz w:val="26"/>
          <w:szCs w:val="26"/>
        </w:rPr>
        <w:tab/>
      </w:r>
      <w:r w:rsidR="00B8435C">
        <w:rPr>
          <w:sz w:val="26"/>
          <w:szCs w:val="26"/>
        </w:rPr>
        <w:t>12</w:t>
      </w:r>
      <w:r w:rsidRPr="00007AC2">
        <w:rPr>
          <w:sz w:val="26"/>
          <w:szCs w:val="26"/>
        </w:rPr>
        <w:t>.</w:t>
      </w:r>
      <w:r w:rsidRPr="00007AC2">
        <w:rPr>
          <w:sz w:val="26"/>
          <w:szCs w:val="26"/>
        </w:rPr>
        <w:tab/>
        <w:t xml:space="preserve">That the </w:t>
      </w:r>
      <w:r w:rsidR="004F5483">
        <w:rPr>
          <w:sz w:val="26"/>
          <w:szCs w:val="26"/>
        </w:rPr>
        <w:t>F</w:t>
      </w:r>
      <w:r w:rsidRPr="00007AC2">
        <w:rPr>
          <w:sz w:val="26"/>
          <w:szCs w:val="26"/>
        </w:rPr>
        <w:t xml:space="preserve">ormal </w:t>
      </w:r>
      <w:r w:rsidR="004F5483">
        <w:rPr>
          <w:sz w:val="26"/>
          <w:szCs w:val="26"/>
        </w:rPr>
        <w:t>C</w:t>
      </w:r>
      <w:r w:rsidRPr="00007AC2">
        <w:rPr>
          <w:sz w:val="26"/>
          <w:szCs w:val="26"/>
        </w:rPr>
        <w:t xml:space="preserve">omplaint </w:t>
      </w:r>
      <w:r w:rsidR="001A0A41">
        <w:rPr>
          <w:sz w:val="26"/>
          <w:szCs w:val="26"/>
        </w:rPr>
        <w:t xml:space="preserve">of </w:t>
      </w:r>
      <w:r w:rsidR="00007AC2" w:rsidRPr="00007AC2">
        <w:rPr>
          <w:sz w:val="26"/>
          <w:szCs w:val="26"/>
        </w:rPr>
        <w:t>the PP&amp;L Industrial Customer Alliance</w:t>
      </w:r>
      <w:r w:rsidR="001A0A41">
        <w:rPr>
          <w:sz w:val="26"/>
          <w:szCs w:val="26"/>
        </w:rPr>
        <w:t>, filed</w:t>
      </w:r>
      <w:r w:rsidRPr="00007AC2">
        <w:rPr>
          <w:sz w:val="26"/>
          <w:szCs w:val="26"/>
        </w:rPr>
        <w:t xml:space="preserve"> at Docket No. </w:t>
      </w:r>
      <w:r w:rsidR="00007AC2" w:rsidRPr="00007AC2">
        <w:rPr>
          <w:kern w:val="24"/>
          <w:sz w:val="26"/>
          <w:szCs w:val="26"/>
        </w:rPr>
        <w:t>C</w:t>
      </w:r>
      <w:r w:rsidR="00007AC2" w:rsidRPr="00007AC2">
        <w:rPr>
          <w:kern w:val="24"/>
          <w:sz w:val="26"/>
          <w:szCs w:val="26"/>
        </w:rPr>
        <w:noBreakHyphen/>
        <w:t>2015</w:t>
      </w:r>
      <w:r w:rsidRPr="00007AC2">
        <w:rPr>
          <w:kern w:val="24"/>
          <w:sz w:val="26"/>
          <w:szCs w:val="26"/>
        </w:rPr>
        <w:noBreakHyphen/>
        <w:t>24</w:t>
      </w:r>
      <w:r w:rsidR="00007AC2" w:rsidRPr="00007AC2">
        <w:rPr>
          <w:kern w:val="24"/>
          <w:sz w:val="26"/>
          <w:szCs w:val="26"/>
        </w:rPr>
        <w:t>80265</w:t>
      </w:r>
      <w:r w:rsidR="001A0A41">
        <w:rPr>
          <w:kern w:val="24"/>
          <w:sz w:val="26"/>
          <w:szCs w:val="26"/>
        </w:rPr>
        <w:t>,</w:t>
      </w:r>
      <w:r w:rsidRPr="00007AC2">
        <w:rPr>
          <w:sz w:val="26"/>
          <w:szCs w:val="26"/>
        </w:rPr>
        <w:t xml:space="preserve"> </w:t>
      </w:r>
      <w:r w:rsidR="00007AC2" w:rsidRPr="00007AC2">
        <w:rPr>
          <w:sz w:val="26"/>
          <w:szCs w:val="26"/>
        </w:rPr>
        <w:t>be marked satisfied, in part, and dismissed, in part, consistent with this Opinion and Or</w:t>
      </w:r>
      <w:r w:rsidR="00F04EAE">
        <w:rPr>
          <w:sz w:val="26"/>
          <w:szCs w:val="26"/>
        </w:rPr>
        <w:t>der,</w:t>
      </w:r>
      <w:r w:rsidR="00F04EAE" w:rsidRPr="00F04EAE">
        <w:rPr>
          <w:sz w:val="26"/>
          <w:szCs w:val="26"/>
        </w:rPr>
        <w:t xml:space="preserve"> </w:t>
      </w:r>
      <w:r w:rsidR="00F04EAE">
        <w:rPr>
          <w:sz w:val="26"/>
          <w:szCs w:val="26"/>
        </w:rPr>
        <w:t>and that the docket be marked closed</w:t>
      </w:r>
      <w:r w:rsidR="00F04EAE" w:rsidRPr="000C3AF4">
        <w:rPr>
          <w:sz w:val="26"/>
          <w:szCs w:val="26"/>
        </w:rPr>
        <w:t>.</w:t>
      </w:r>
    </w:p>
    <w:p w:rsidR="005E0026" w:rsidRPr="00A663FF" w:rsidRDefault="005E0026" w:rsidP="00B80A8B">
      <w:pPr>
        <w:spacing w:line="360" w:lineRule="auto"/>
        <w:rPr>
          <w:sz w:val="26"/>
          <w:szCs w:val="26"/>
        </w:rPr>
      </w:pPr>
    </w:p>
    <w:p w:rsidR="00A663FF" w:rsidRDefault="00A60D34" w:rsidP="00865DD2">
      <w:pPr>
        <w:spacing w:line="360" w:lineRule="auto"/>
        <w:rPr>
          <w:sz w:val="26"/>
          <w:szCs w:val="26"/>
        </w:rPr>
      </w:pPr>
      <w:r w:rsidRPr="00A663FF">
        <w:rPr>
          <w:sz w:val="26"/>
          <w:szCs w:val="26"/>
        </w:rPr>
        <w:tab/>
      </w:r>
      <w:r w:rsidRPr="00A663FF">
        <w:rPr>
          <w:sz w:val="26"/>
          <w:szCs w:val="26"/>
        </w:rPr>
        <w:tab/>
      </w:r>
      <w:r w:rsidR="00B8435C">
        <w:rPr>
          <w:sz w:val="26"/>
          <w:szCs w:val="26"/>
        </w:rPr>
        <w:t>13</w:t>
      </w:r>
      <w:r w:rsidR="00BB73A6" w:rsidRPr="00B652B3">
        <w:rPr>
          <w:sz w:val="26"/>
          <w:szCs w:val="26"/>
        </w:rPr>
        <w:t>.</w:t>
      </w:r>
      <w:r w:rsidR="00BB73A6" w:rsidRPr="00B652B3">
        <w:rPr>
          <w:sz w:val="26"/>
          <w:szCs w:val="26"/>
        </w:rPr>
        <w:tab/>
      </w:r>
      <w:r w:rsidRPr="00B652B3">
        <w:rPr>
          <w:sz w:val="26"/>
          <w:szCs w:val="26"/>
        </w:rPr>
        <w:t xml:space="preserve">That </w:t>
      </w:r>
      <w:r w:rsidRPr="00BB34F3">
        <w:rPr>
          <w:sz w:val="26"/>
          <w:szCs w:val="26"/>
        </w:rPr>
        <w:t>the</w:t>
      </w:r>
      <w:r w:rsidR="005E0026" w:rsidRPr="00BB34F3">
        <w:rPr>
          <w:sz w:val="26"/>
          <w:szCs w:val="26"/>
        </w:rPr>
        <w:t xml:space="preserve"> </w:t>
      </w:r>
      <w:r w:rsidR="004F5483">
        <w:rPr>
          <w:sz w:val="26"/>
          <w:szCs w:val="26"/>
        </w:rPr>
        <w:t>F</w:t>
      </w:r>
      <w:r w:rsidR="005E0026" w:rsidRPr="00BB34F3">
        <w:rPr>
          <w:sz w:val="26"/>
          <w:szCs w:val="26"/>
        </w:rPr>
        <w:t xml:space="preserve">ormal </w:t>
      </w:r>
      <w:r w:rsidR="004F5483">
        <w:rPr>
          <w:sz w:val="26"/>
          <w:szCs w:val="26"/>
        </w:rPr>
        <w:t>C</w:t>
      </w:r>
      <w:r w:rsidR="005E0026" w:rsidRPr="00BB34F3">
        <w:rPr>
          <w:sz w:val="26"/>
          <w:szCs w:val="26"/>
        </w:rPr>
        <w:t xml:space="preserve">omplaints filed by </w:t>
      </w:r>
      <w:r w:rsidR="00A663FF" w:rsidRPr="00BB34F3">
        <w:rPr>
          <w:sz w:val="26"/>
          <w:szCs w:val="26"/>
        </w:rPr>
        <w:t xml:space="preserve">D. Wintermeyer </w:t>
      </w:r>
      <w:r w:rsidR="005E0026" w:rsidRPr="00BB34F3">
        <w:rPr>
          <w:sz w:val="26"/>
          <w:szCs w:val="26"/>
        </w:rPr>
        <w:t xml:space="preserve">at Docket No. </w:t>
      </w:r>
      <w:r w:rsidR="00B652B3" w:rsidRPr="00BB34F3">
        <w:rPr>
          <w:sz w:val="26"/>
          <w:szCs w:val="26"/>
        </w:rPr>
        <w:t xml:space="preserve"> C-2015-2485827</w:t>
      </w:r>
      <w:r w:rsidR="005E0026" w:rsidRPr="00BB34F3">
        <w:rPr>
          <w:sz w:val="26"/>
          <w:szCs w:val="26"/>
        </w:rPr>
        <w:t xml:space="preserve">, </w:t>
      </w:r>
      <w:r w:rsidR="00A663FF" w:rsidRPr="00BB34F3">
        <w:rPr>
          <w:sz w:val="26"/>
          <w:szCs w:val="26"/>
        </w:rPr>
        <w:t xml:space="preserve">Cathleen A. Woomert </w:t>
      </w:r>
      <w:r w:rsidR="005E0026" w:rsidRPr="00BB34F3">
        <w:rPr>
          <w:sz w:val="26"/>
          <w:szCs w:val="26"/>
        </w:rPr>
        <w:t>at Docket No.</w:t>
      </w:r>
      <w:r w:rsidR="00B652B3" w:rsidRPr="00BB34F3">
        <w:rPr>
          <w:sz w:val="26"/>
          <w:szCs w:val="26"/>
        </w:rPr>
        <w:t xml:space="preserve"> C-2015-2484588</w:t>
      </w:r>
      <w:r w:rsidR="005E0026" w:rsidRPr="00BB34F3">
        <w:rPr>
          <w:sz w:val="26"/>
          <w:szCs w:val="26"/>
        </w:rPr>
        <w:t>,</w:t>
      </w:r>
      <w:r w:rsidRPr="00BB34F3">
        <w:rPr>
          <w:sz w:val="26"/>
          <w:szCs w:val="26"/>
        </w:rPr>
        <w:t xml:space="preserve"> </w:t>
      </w:r>
      <w:r w:rsidR="00A663FF" w:rsidRPr="00BB34F3">
        <w:rPr>
          <w:sz w:val="26"/>
          <w:szCs w:val="26"/>
        </w:rPr>
        <w:t xml:space="preserve">Michael B. Young </w:t>
      </w:r>
      <w:r w:rsidR="005E0026" w:rsidRPr="00BB34F3">
        <w:rPr>
          <w:sz w:val="26"/>
          <w:szCs w:val="26"/>
        </w:rPr>
        <w:t>at Docket No.</w:t>
      </w:r>
      <w:r w:rsidR="00B652B3" w:rsidRPr="00BB34F3">
        <w:rPr>
          <w:sz w:val="26"/>
          <w:szCs w:val="26"/>
        </w:rPr>
        <w:t xml:space="preserve"> C-2015-2485860</w:t>
      </w:r>
      <w:r w:rsidR="005E0026" w:rsidRPr="00BB34F3">
        <w:rPr>
          <w:sz w:val="26"/>
          <w:szCs w:val="26"/>
        </w:rPr>
        <w:t xml:space="preserve">, </w:t>
      </w:r>
      <w:r w:rsidR="00A663FF" w:rsidRPr="00BB34F3">
        <w:rPr>
          <w:sz w:val="26"/>
          <w:szCs w:val="26"/>
        </w:rPr>
        <w:t xml:space="preserve">Joseph E. McAndrew </w:t>
      </w:r>
      <w:r w:rsidR="005E0026" w:rsidRPr="00BB34F3">
        <w:rPr>
          <w:sz w:val="26"/>
          <w:szCs w:val="26"/>
        </w:rPr>
        <w:t>at Docket No.</w:t>
      </w:r>
      <w:r w:rsidR="008A65D8">
        <w:rPr>
          <w:sz w:val="26"/>
          <w:szCs w:val="26"/>
        </w:rPr>
        <w:t xml:space="preserve"> C</w:t>
      </w:r>
      <w:r w:rsidR="008A65D8">
        <w:rPr>
          <w:sz w:val="26"/>
          <w:szCs w:val="26"/>
        </w:rPr>
        <w:noBreakHyphen/>
        <w:t>2015</w:t>
      </w:r>
      <w:r w:rsidR="008A65D8">
        <w:rPr>
          <w:sz w:val="26"/>
          <w:szCs w:val="26"/>
        </w:rPr>
        <w:noBreakHyphen/>
      </w:r>
      <w:r w:rsidR="00740FD8" w:rsidRPr="00BB34F3">
        <w:rPr>
          <w:sz w:val="26"/>
          <w:szCs w:val="26"/>
        </w:rPr>
        <w:t xml:space="preserve">2489524, and </w:t>
      </w:r>
      <w:r w:rsidR="00A663FF" w:rsidRPr="00BB34F3">
        <w:rPr>
          <w:sz w:val="26"/>
          <w:szCs w:val="26"/>
        </w:rPr>
        <w:t xml:space="preserve">Michael C. Muller </w:t>
      </w:r>
      <w:r w:rsidR="00740FD8" w:rsidRPr="00BB34F3">
        <w:rPr>
          <w:sz w:val="26"/>
          <w:szCs w:val="26"/>
        </w:rPr>
        <w:t>at Docket No. C-2015</w:t>
      </w:r>
      <w:r w:rsidR="00BB34F3" w:rsidRPr="00BB34F3">
        <w:rPr>
          <w:sz w:val="26"/>
          <w:szCs w:val="26"/>
        </w:rPr>
        <w:t>-2501983</w:t>
      </w:r>
      <w:r w:rsidR="000B5432" w:rsidRPr="00BB34F3">
        <w:rPr>
          <w:sz w:val="26"/>
          <w:szCs w:val="26"/>
        </w:rPr>
        <w:t xml:space="preserve">, </w:t>
      </w:r>
      <w:r w:rsidR="00BB34F3" w:rsidRPr="00BB34F3">
        <w:rPr>
          <w:sz w:val="26"/>
          <w:szCs w:val="26"/>
        </w:rPr>
        <w:t xml:space="preserve">are </w:t>
      </w:r>
      <w:r w:rsidR="000B5432" w:rsidRPr="00BB34F3">
        <w:rPr>
          <w:sz w:val="26"/>
          <w:szCs w:val="26"/>
        </w:rPr>
        <w:t>dismissed</w:t>
      </w:r>
      <w:r w:rsidR="005E0026" w:rsidRPr="00BB34F3">
        <w:rPr>
          <w:sz w:val="26"/>
          <w:szCs w:val="26"/>
        </w:rPr>
        <w:t xml:space="preserve">, consistent with </w:t>
      </w:r>
      <w:r w:rsidR="005E0026" w:rsidRPr="00510215">
        <w:rPr>
          <w:sz w:val="26"/>
          <w:szCs w:val="26"/>
        </w:rPr>
        <w:t>this Opinion and Order</w:t>
      </w:r>
      <w:r w:rsidR="00F04EAE" w:rsidRPr="00510215">
        <w:rPr>
          <w:sz w:val="26"/>
          <w:szCs w:val="26"/>
        </w:rPr>
        <w:t>, and that the dockets</w:t>
      </w:r>
      <w:r w:rsidR="005E44AA" w:rsidRPr="00510215">
        <w:rPr>
          <w:sz w:val="26"/>
          <w:szCs w:val="26"/>
        </w:rPr>
        <w:t xml:space="preserve"> be marked closed</w:t>
      </w:r>
      <w:r w:rsidR="005E0026" w:rsidRPr="00510215">
        <w:rPr>
          <w:sz w:val="26"/>
          <w:szCs w:val="26"/>
        </w:rPr>
        <w:t>.</w:t>
      </w:r>
    </w:p>
    <w:p w:rsidR="00814B75" w:rsidRDefault="00814B75" w:rsidP="00865DD2">
      <w:pPr>
        <w:spacing w:line="360" w:lineRule="auto"/>
        <w:rPr>
          <w:sz w:val="26"/>
          <w:szCs w:val="26"/>
        </w:rPr>
      </w:pPr>
    </w:p>
    <w:p w:rsidR="00814B75" w:rsidRPr="00510215" w:rsidRDefault="00814B75" w:rsidP="00814B75">
      <w:pPr>
        <w:spacing w:line="360" w:lineRule="auto"/>
        <w:rPr>
          <w:sz w:val="26"/>
          <w:szCs w:val="26"/>
        </w:rPr>
      </w:pPr>
      <w:r>
        <w:rPr>
          <w:sz w:val="26"/>
          <w:szCs w:val="26"/>
        </w:rPr>
        <w:tab/>
      </w:r>
      <w:r>
        <w:rPr>
          <w:sz w:val="26"/>
          <w:szCs w:val="26"/>
        </w:rPr>
        <w:tab/>
      </w:r>
      <w:r w:rsidR="00B8435C">
        <w:rPr>
          <w:sz w:val="26"/>
          <w:szCs w:val="26"/>
        </w:rPr>
        <w:t>14</w:t>
      </w:r>
      <w:r>
        <w:rPr>
          <w:sz w:val="26"/>
          <w:szCs w:val="26"/>
        </w:rPr>
        <w:t>.</w:t>
      </w:r>
      <w:r>
        <w:rPr>
          <w:sz w:val="26"/>
          <w:szCs w:val="26"/>
        </w:rPr>
        <w:tab/>
        <w:t xml:space="preserve">That the Petition of </w:t>
      </w:r>
      <w:r w:rsidRPr="00814B75">
        <w:rPr>
          <w:sz w:val="26"/>
          <w:szCs w:val="26"/>
        </w:rPr>
        <w:t>PPL Electric Utilities Corporation</w:t>
      </w:r>
      <w:r w:rsidR="00331D9E">
        <w:rPr>
          <w:sz w:val="26"/>
          <w:szCs w:val="26"/>
        </w:rPr>
        <w:t xml:space="preserve"> </w:t>
      </w:r>
      <w:r w:rsidRPr="00814B75">
        <w:rPr>
          <w:sz w:val="26"/>
          <w:szCs w:val="26"/>
        </w:rPr>
        <w:t>for a Waiver of the Distribution System Improvement Charge Cap of 5% of Billed Revenues</w:t>
      </w:r>
      <w:r w:rsidR="00DA6801">
        <w:rPr>
          <w:sz w:val="26"/>
          <w:szCs w:val="26"/>
        </w:rPr>
        <w:t>,</w:t>
      </w:r>
      <w:r>
        <w:rPr>
          <w:sz w:val="26"/>
          <w:szCs w:val="26"/>
        </w:rPr>
        <w:t xml:space="preserve"> filed at Docket No. P-2015-2474714</w:t>
      </w:r>
      <w:r w:rsidR="001A0A41">
        <w:rPr>
          <w:sz w:val="26"/>
          <w:szCs w:val="26"/>
        </w:rPr>
        <w:t>,</w:t>
      </w:r>
      <w:r>
        <w:rPr>
          <w:sz w:val="26"/>
          <w:szCs w:val="26"/>
        </w:rPr>
        <w:t xml:space="preserve"> be marked withdrawn with</w:t>
      </w:r>
      <w:r w:rsidR="00331D9E">
        <w:rPr>
          <w:sz w:val="26"/>
          <w:szCs w:val="26"/>
        </w:rPr>
        <w:t xml:space="preserve">out prejudice and the docket </w:t>
      </w:r>
      <w:r>
        <w:rPr>
          <w:sz w:val="26"/>
          <w:szCs w:val="26"/>
        </w:rPr>
        <w:t>marked closed.</w:t>
      </w:r>
    </w:p>
    <w:p w:rsidR="00A663FF" w:rsidRPr="00510215" w:rsidRDefault="00A663FF" w:rsidP="00865DD2">
      <w:pPr>
        <w:spacing w:line="360" w:lineRule="auto"/>
        <w:rPr>
          <w:sz w:val="26"/>
          <w:szCs w:val="26"/>
        </w:rPr>
      </w:pPr>
    </w:p>
    <w:p w:rsidR="008E05A6" w:rsidRPr="00510215" w:rsidRDefault="008E05A6" w:rsidP="00936480">
      <w:pPr>
        <w:keepNext/>
        <w:spacing w:line="360" w:lineRule="auto"/>
        <w:rPr>
          <w:sz w:val="26"/>
          <w:szCs w:val="26"/>
        </w:rPr>
      </w:pPr>
      <w:r w:rsidRPr="00510215">
        <w:rPr>
          <w:sz w:val="26"/>
          <w:szCs w:val="26"/>
        </w:rPr>
        <w:tab/>
      </w:r>
      <w:r w:rsidRPr="00510215">
        <w:rPr>
          <w:sz w:val="26"/>
          <w:szCs w:val="26"/>
        </w:rPr>
        <w:tab/>
      </w:r>
      <w:r w:rsidR="00510215">
        <w:rPr>
          <w:sz w:val="26"/>
          <w:szCs w:val="26"/>
        </w:rPr>
        <w:t>1</w:t>
      </w:r>
      <w:r w:rsidR="00B8435C">
        <w:rPr>
          <w:sz w:val="26"/>
          <w:szCs w:val="26"/>
        </w:rPr>
        <w:t>5</w:t>
      </w:r>
      <w:r w:rsidR="00D72326" w:rsidRPr="00510215">
        <w:rPr>
          <w:sz w:val="26"/>
          <w:szCs w:val="26"/>
        </w:rPr>
        <w:t>.</w:t>
      </w:r>
      <w:r w:rsidR="00D72326" w:rsidRPr="00510215">
        <w:rPr>
          <w:sz w:val="26"/>
          <w:szCs w:val="26"/>
        </w:rPr>
        <w:tab/>
        <w:t xml:space="preserve">That, upon Commission approval of the tariff supplement filed by </w:t>
      </w:r>
      <w:r w:rsidR="00510215" w:rsidRPr="00510215">
        <w:rPr>
          <w:sz w:val="26"/>
          <w:szCs w:val="26"/>
        </w:rPr>
        <w:t xml:space="preserve">PPL Electric Utilities Corporation </w:t>
      </w:r>
      <w:r w:rsidR="00D72326" w:rsidRPr="00510215">
        <w:rPr>
          <w:sz w:val="26"/>
          <w:szCs w:val="26"/>
        </w:rPr>
        <w:t>in compliance with this Opinion and Order, the investigation</w:t>
      </w:r>
      <w:r w:rsidR="00D9138E" w:rsidRPr="00510215">
        <w:rPr>
          <w:sz w:val="26"/>
          <w:szCs w:val="26"/>
        </w:rPr>
        <w:t xml:space="preserve"> at Docket No.</w:t>
      </w:r>
      <w:r w:rsidR="00510215" w:rsidRPr="00510215">
        <w:rPr>
          <w:sz w:val="26"/>
          <w:szCs w:val="26"/>
        </w:rPr>
        <w:t xml:space="preserve"> R-2015-2469275</w:t>
      </w:r>
      <w:r w:rsidR="00D72326" w:rsidRPr="00510215">
        <w:rPr>
          <w:sz w:val="26"/>
          <w:szCs w:val="26"/>
        </w:rPr>
        <w:t xml:space="preserve"> be marked closed.</w:t>
      </w:r>
    </w:p>
    <w:p w:rsidR="00865DD2" w:rsidRPr="00510215" w:rsidRDefault="00865DD2" w:rsidP="00936480">
      <w:pPr>
        <w:keepNext/>
        <w:spacing w:line="360" w:lineRule="auto"/>
        <w:rPr>
          <w:sz w:val="26"/>
          <w:szCs w:val="26"/>
        </w:rPr>
      </w:pPr>
    </w:p>
    <w:p w:rsidR="00E61914" w:rsidRPr="00826AB7" w:rsidRDefault="003F17B0" w:rsidP="00936480">
      <w:pPr>
        <w:keepNext/>
        <w:tabs>
          <w:tab w:val="left" w:pos="-720"/>
        </w:tabs>
        <w:rPr>
          <w:sz w:val="26"/>
        </w:rPr>
      </w:pPr>
      <w:r w:rsidRPr="00510215">
        <w:rPr>
          <w:sz w:val="26"/>
        </w:rPr>
        <w:tab/>
      </w:r>
      <w:r w:rsidR="00E61914" w:rsidRPr="00510215">
        <w:rPr>
          <w:sz w:val="26"/>
        </w:rPr>
        <w:tab/>
      </w:r>
      <w:r w:rsidR="00E61914" w:rsidRPr="00510215">
        <w:rPr>
          <w:sz w:val="26"/>
        </w:rPr>
        <w:tab/>
      </w:r>
      <w:r w:rsidR="00E61914" w:rsidRPr="00510215">
        <w:rPr>
          <w:sz w:val="26"/>
        </w:rPr>
        <w:tab/>
      </w:r>
      <w:r w:rsidR="00E61914" w:rsidRPr="00510215">
        <w:rPr>
          <w:sz w:val="26"/>
        </w:rPr>
        <w:tab/>
      </w:r>
      <w:r w:rsidR="00E61914" w:rsidRPr="00510215">
        <w:rPr>
          <w:sz w:val="26"/>
        </w:rPr>
        <w:tab/>
      </w:r>
      <w:r w:rsidR="00E61914" w:rsidRPr="00510215">
        <w:rPr>
          <w:sz w:val="26"/>
        </w:rPr>
        <w:tab/>
      </w:r>
      <w:r w:rsidR="00E61914" w:rsidRPr="00510215">
        <w:rPr>
          <w:b/>
          <w:sz w:val="26"/>
        </w:rPr>
        <w:t>BY THE COMMISSION,</w:t>
      </w:r>
    </w:p>
    <w:p w:rsidR="00E61914" w:rsidRPr="00826AB7" w:rsidRDefault="00D16A13" w:rsidP="00936480">
      <w:pPr>
        <w:keepNext/>
        <w:tabs>
          <w:tab w:val="left" w:pos="-720"/>
        </w:tabs>
        <w:rPr>
          <w:sz w:val="26"/>
        </w:rPr>
      </w:pPr>
      <w:r>
        <w:rPr>
          <w:noProof/>
        </w:rPr>
        <w:drawing>
          <wp:anchor distT="0" distB="0" distL="114300" distR="114300" simplePos="0" relativeHeight="251659264" behindDoc="1" locked="0" layoutInCell="1" allowOverlap="1" wp14:anchorId="7008A4CD" wp14:editId="16A752BF">
            <wp:simplePos x="0" y="0"/>
            <wp:positionH relativeFrom="column">
              <wp:posOffset>3117215</wp:posOffset>
            </wp:positionH>
            <wp:positionV relativeFrom="paragraph">
              <wp:posOffset>89535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15D92" w:rsidRPr="00826AB7" w:rsidRDefault="00815D92" w:rsidP="00936480">
      <w:pPr>
        <w:keepNext/>
        <w:tabs>
          <w:tab w:val="left" w:pos="-720"/>
        </w:tabs>
        <w:rPr>
          <w:sz w:val="26"/>
        </w:rPr>
      </w:pPr>
    </w:p>
    <w:p w:rsidR="00E61914" w:rsidRDefault="00E61914" w:rsidP="00936480">
      <w:pPr>
        <w:keepNext/>
        <w:tabs>
          <w:tab w:val="left" w:pos="-720"/>
        </w:tabs>
        <w:rPr>
          <w:sz w:val="26"/>
        </w:rPr>
      </w:pPr>
    </w:p>
    <w:p w:rsidR="006A75BF" w:rsidRPr="00826AB7" w:rsidRDefault="006A75BF" w:rsidP="00936480">
      <w:pPr>
        <w:keepNext/>
        <w:tabs>
          <w:tab w:val="left" w:pos="-720"/>
        </w:tabs>
        <w:rPr>
          <w:sz w:val="26"/>
        </w:rPr>
      </w:pPr>
    </w:p>
    <w:p w:rsidR="00E61914" w:rsidRPr="00826AB7" w:rsidRDefault="00E61914" w:rsidP="00936480">
      <w:pPr>
        <w:keepNext/>
        <w:tabs>
          <w:tab w:val="left" w:pos="-720"/>
        </w:tabs>
        <w:rPr>
          <w:b/>
          <w:sz w:val="26"/>
        </w:rPr>
      </w:pPr>
      <w:r w:rsidRPr="00826AB7">
        <w:rPr>
          <w:b/>
          <w:sz w:val="26"/>
        </w:rPr>
        <w:tab/>
      </w:r>
      <w:r w:rsidRPr="00826AB7">
        <w:rPr>
          <w:b/>
          <w:sz w:val="26"/>
        </w:rPr>
        <w:tab/>
      </w:r>
      <w:r w:rsidRPr="00826AB7">
        <w:rPr>
          <w:b/>
          <w:sz w:val="26"/>
        </w:rPr>
        <w:tab/>
      </w:r>
      <w:r w:rsidRPr="00826AB7">
        <w:rPr>
          <w:b/>
          <w:sz w:val="26"/>
        </w:rPr>
        <w:tab/>
      </w:r>
      <w:r w:rsidRPr="00826AB7">
        <w:rPr>
          <w:b/>
          <w:sz w:val="26"/>
        </w:rPr>
        <w:tab/>
      </w:r>
      <w:r w:rsidRPr="00826AB7">
        <w:rPr>
          <w:b/>
          <w:sz w:val="26"/>
        </w:rPr>
        <w:tab/>
      </w:r>
      <w:r w:rsidRPr="00826AB7">
        <w:rPr>
          <w:b/>
          <w:sz w:val="26"/>
        </w:rPr>
        <w:tab/>
      </w:r>
      <w:r w:rsidR="005F58D8" w:rsidRPr="00826AB7">
        <w:rPr>
          <w:sz w:val="26"/>
        </w:rPr>
        <w:t>Rosemary Chiavetta</w:t>
      </w:r>
    </w:p>
    <w:p w:rsidR="00E61914" w:rsidRPr="00826AB7" w:rsidRDefault="00E61914" w:rsidP="00936480">
      <w:pPr>
        <w:keepNext/>
        <w:tabs>
          <w:tab w:val="left" w:pos="-720"/>
        </w:tabs>
        <w:rPr>
          <w:sz w:val="26"/>
        </w:rPr>
      </w:pPr>
      <w:r w:rsidRPr="00826AB7">
        <w:rPr>
          <w:sz w:val="26"/>
        </w:rPr>
        <w:tab/>
      </w:r>
      <w:r w:rsidRPr="00826AB7">
        <w:rPr>
          <w:sz w:val="26"/>
        </w:rPr>
        <w:tab/>
      </w:r>
      <w:r w:rsidRPr="00826AB7">
        <w:rPr>
          <w:sz w:val="26"/>
        </w:rPr>
        <w:tab/>
      </w:r>
      <w:r w:rsidRPr="00826AB7">
        <w:rPr>
          <w:sz w:val="26"/>
        </w:rPr>
        <w:tab/>
      </w:r>
      <w:r w:rsidR="00950EF9" w:rsidRPr="00826AB7">
        <w:rPr>
          <w:sz w:val="26"/>
        </w:rPr>
        <w:tab/>
      </w:r>
      <w:r w:rsidR="003A58D0" w:rsidRPr="00826AB7">
        <w:rPr>
          <w:sz w:val="26"/>
        </w:rPr>
        <w:tab/>
      </w:r>
      <w:r w:rsidR="003A58D0" w:rsidRPr="00826AB7">
        <w:rPr>
          <w:sz w:val="26"/>
        </w:rPr>
        <w:tab/>
      </w:r>
      <w:r w:rsidRPr="00826AB7">
        <w:rPr>
          <w:sz w:val="26"/>
        </w:rPr>
        <w:t>Secretary</w:t>
      </w:r>
    </w:p>
    <w:p w:rsidR="00815D92" w:rsidRPr="00826AB7" w:rsidRDefault="00815D92" w:rsidP="00936480">
      <w:pPr>
        <w:keepNext/>
        <w:tabs>
          <w:tab w:val="left" w:pos="-720"/>
        </w:tabs>
        <w:rPr>
          <w:sz w:val="26"/>
        </w:rPr>
      </w:pPr>
    </w:p>
    <w:p w:rsidR="00E61914" w:rsidRPr="00826AB7" w:rsidRDefault="00E61914" w:rsidP="00936480">
      <w:pPr>
        <w:keepNext/>
        <w:tabs>
          <w:tab w:val="left" w:pos="-720"/>
        </w:tabs>
        <w:rPr>
          <w:sz w:val="26"/>
        </w:rPr>
      </w:pPr>
      <w:r w:rsidRPr="00826AB7">
        <w:rPr>
          <w:sz w:val="26"/>
        </w:rPr>
        <w:t>(SEAL)</w:t>
      </w:r>
    </w:p>
    <w:p w:rsidR="00257BDE" w:rsidRPr="00826AB7" w:rsidRDefault="00257BDE" w:rsidP="00936480">
      <w:pPr>
        <w:keepNext/>
        <w:tabs>
          <w:tab w:val="left" w:pos="-720"/>
        </w:tabs>
        <w:rPr>
          <w:sz w:val="26"/>
        </w:rPr>
      </w:pPr>
    </w:p>
    <w:p w:rsidR="00093F1D" w:rsidRPr="00826AB7" w:rsidRDefault="00D26BA8" w:rsidP="00936480">
      <w:pPr>
        <w:keepNext/>
        <w:tabs>
          <w:tab w:val="left" w:pos="-720"/>
        </w:tabs>
        <w:rPr>
          <w:sz w:val="26"/>
        </w:rPr>
      </w:pPr>
      <w:r w:rsidRPr="00826AB7">
        <w:rPr>
          <w:sz w:val="26"/>
        </w:rPr>
        <w:t>ORDER ADOPTED:</w:t>
      </w:r>
      <w:r w:rsidR="00385AAB" w:rsidRPr="00826AB7">
        <w:rPr>
          <w:sz w:val="26"/>
        </w:rPr>
        <w:t xml:space="preserve">  </w:t>
      </w:r>
      <w:r w:rsidR="00E01593">
        <w:rPr>
          <w:sz w:val="26"/>
        </w:rPr>
        <w:t>November 19, 2015</w:t>
      </w:r>
    </w:p>
    <w:p w:rsidR="00815D92" w:rsidRPr="00826AB7" w:rsidRDefault="00815D92" w:rsidP="00936480">
      <w:pPr>
        <w:keepNext/>
        <w:tabs>
          <w:tab w:val="left" w:pos="-720"/>
          <w:tab w:val="center" w:pos="4680"/>
        </w:tabs>
        <w:rPr>
          <w:sz w:val="26"/>
        </w:rPr>
      </w:pPr>
    </w:p>
    <w:p w:rsidR="00737CA8" w:rsidRDefault="00E61914" w:rsidP="00936480">
      <w:pPr>
        <w:keepNext/>
        <w:tabs>
          <w:tab w:val="left" w:pos="-720"/>
          <w:tab w:val="center" w:pos="4680"/>
        </w:tabs>
        <w:rPr>
          <w:sz w:val="26"/>
        </w:rPr>
      </w:pPr>
      <w:r w:rsidRPr="00826AB7">
        <w:rPr>
          <w:sz w:val="26"/>
        </w:rPr>
        <w:t>ORDER ENTERED</w:t>
      </w:r>
      <w:r w:rsidR="005F58D8" w:rsidRPr="00826AB7">
        <w:rPr>
          <w:sz w:val="26"/>
        </w:rPr>
        <w:t>:</w:t>
      </w:r>
      <w:r w:rsidR="00D26BA8" w:rsidRPr="003F347A">
        <w:rPr>
          <w:sz w:val="26"/>
        </w:rPr>
        <w:t xml:space="preserve">  </w:t>
      </w:r>
      <w:r w:rsidR="00D16A13">
        <w:rPr>
          <w:sz w:val="26"/>
        </w:rPr>
        <w:t>November 19, 2015</w:t>
      </w:r>
      <w:bookmarkStart w:id="0" w:name="_GoBack"/>
      <w:bookmarkEnd w:id="0"/>
    </w:p>
    <w:sectPr w:rsidR="00737CA8" w:rsidSect="00851C76">
      <w:footerReference w:type="default" r:id="rId12"/>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1C8" w:rsidRDefault="00E621C8">
      <w:r>
        <w:separator/>
      </w:r>
    </w:p>
  </w:endnote>
  <w:endnote w:type="continuationSeparator" w:id="0">
    <w:p w:rsidR="00E621C8" w:rsidRDefault="00E6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880280"/>
      <w:docPartObj>
        <w:docPartGallery w:val="Page Numbers (Bottom of Page)"/>
        <w:docPartUnique/>
      </w:docPartObj>
    </w:sdtPr>
    <w:sdtEndPr>
      <w:rPr>
        <w:noProof/>
      </w:rPr>
    </w:sdtEndPr>
    <w:sdtContent>
      <w:p w:rsidR="00EA7A99" w:rsidRDefault="00EA7A99">
        <w:pPr>
          <w:pStyle w:val="Footer"/>
          <w:jc w:val="center"/>
        </w:pPr>
        <w:r>
          <w:fldChar w:fldCharType="begin"/>
        </w:r>
        <w:r>
          <w:instrText xml:space="preserve"> PAGE   \* MERGEFORMAT </w:instrText>
        </w:r>
        <w:r>
          <w:fldChar w:fldCharType="separate"/>
        </w:r>
        <w:r w:rsidR="00D16A13">
          <w:rPr>
            <w:noProof/>
          </w:rPr>
          <w:t>27</w:t>
        </w:r>
        <w:r>
          <w:rPr>
            <w:noProof/>
          </w:rPr>
          <w:fldChar w:fldCharType="end"/>
        </w:r>
      </w:p>
    </w:sdtContent>
  </w:sdt>
  <w:p w:rsidR="00EA7A99" w:rsidRPr="00594567" w:rsidRDefault="00EA7A99">
    <w:pPr>
      <w:pStyle w:val="Footer"/>
      <w:jc w:val="center"/>
      <w:rPr>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1C8" w:rsidRDefault="00E621C8">
      <w:r>
        <w:separator/>
      </w:r>
    </w:p>
  </w:footnote>
  <w:footnote w:type="continuationSeparator" w:id="0">
    <w:p w:rsidR="00E621C8" w:rsidRDefault="00E621C8">
      <w:r>
        <w:continuationSeparator/>
      </w:r>
    </w:p>
  </w:footnote>
  <w:footnote w:id="1">
    <w:p w:rsidR="00EA7A99" w:rsidRDefault="00EA7A99" w:rsidP="00EC551D">
      <w:pPr>
        <w:pStyle w:val="FootnoteText"/>
        <w:keepNext/>
        <w:keepLines/>
        <w:rPr>
          <w:sz w:val="26"/>
          <w:szCs w:val="26"/>
        </w:rPr>
      </w:pPr>
      <w:r>
        <w:rPr>
          <w:sz w:val="26"/>
          <w:szCs w:val="26"/>
        </w:rPr>
        <w:tab/>
      </w:r>
      <w:r w:rsidRPr="00327D1F">
        <w:rPr>
          <w:rStyle w:val="FootnoteReference"/>
          <w:sz w:val="26"/>
          <w:szCs w:val="26"/>
        </w:rPr>
        <w:footnoteRef/>
      </w:r>
      <w:r>
        <w:rPr>
          <w:sz w:val="26"/>
          <w:szCs w:val="26"/>
        </w:rPr>
        <w:tab/>
        <w:t xml:space="preserve">PPLICA is an </w:t>
      </w:r>
      <w:r w:rsidRPr="00F057B5">
        <w:rPr>
          <w:i/>
          <w:sz w:val="26"/>
          <w:szCs w:val="26"/>
        </w:rPr>
        <w:t>ad hoc</w:t>
      </w:r>
      <w:r>
        <w:rPr>
          <w:sz w:val="26"/>
          <w:szCs w:val="26"/>
        </w:rPr>
        <w:t xml:space="preserve"> association of energy-intensive commercial and industrial customers receiving electric service in PPL’s service territory</w:t>
      </w:r>
      <w:r w:rsidR="0098161F">
        <w:rPr>
          <w:sz w:val="26"/>
          <w:szCs w:val="26"/>
        </w:rPr>
        <w:t xml:space="preserve">. </w:t>
      </w:r>
    </w:p>
    <w:p w:rsidR="00B40419" w:rsidRPr="00327D1F" w:rsidRDefault="00B40419" w:rsidP="00B40419">
      <w:pPr>
        <w:pStyle w:val="FootnoteText"/>
        <w:spacing w:line="72" w:lineRule="auto"/>
        <w:rPr>
          <w:sz w:val="26"/>
          <w:szCs w:val="26"/>
        </w:rPr>
      </w:pPr>
    </w:p>
  </w:footnote>
  <w:footnote w:id="2">
    <w:p w:rsidR="00EA7A99" w:rsidRDefault="00EA7A99" w:rsidP="00EC551D">
      <w:pPr>
        <w:pStyle w:val="FootnoteText"/>
        <w:keepNext/>
        <w:keepLines/>
        <w:rPr>
          <w:sz w:val="26"/>
          <w:szCs w:val="26"/>
        </w:rPr>
      </w:pPr>
      <w:r>
        <w:rPr>
          <w:sz w:val="26"/>
          <w:szCs w:val="26"/>
        </w:rPr>
        <w:tab/>
      </w:r>
      <w:r w:rsidRPr="00694EF0">
        <w:rPr>
          <w:rStyle w:val="FootnoteReference"/>
          <w:sz w:val="26"/>
          <w:szCs w:val="26"/>
        </w:rPr>
        <w:footnoteRef/>
      </w:r>
      <w:r>
        <w:rPr>
          <w:sz w:val="26"/>
          <w:szCs w:val="26"/>
        </w:rPr>
        <w:tab/>
        <w:t>PPL labels its Response as “Reply to Exceptions of PP&amp;L Industrial Customer Alliance.”</w:t>
      </w:r>
    </w:p>
    <w:p w:rsidR="00EA7A99" w:rsidRPr="00694EF0" w:rsidRDefault="00EA7A99" w:rsidP="00694EF0">
      <w:pPr>
        <w:pStyle w:val="FootnoteText"/>
        <w:spacing w:line="72" w:lineRule="auto"/>
        <w:rPr>
          <w:sz w:val="26"/>
          <w:szCs w:val="26"/>
        </w:rPr>
      </w:pPr>
    </w:p>
  </w:footnote>
  <w:footnote w:id="3">
    <w:p w:rsidR="0098161F" w:rsidRPr="00327D1F" w:rsidRDefault="0098161F" w:rsidP="00EC551D">
      <w:pPr>
        <w:pStyle w:val="FootnoteText"/>
        <w:keepNext/>
        <w:keepLines/>
        <w:rPr>
          <w:sz w:val="26"/>
          <w:szCs w:val="26"/>
        </w:rPr>
      </w:pPr>
      <w:r>
        <w:rPr>
          <w:sz w:val="26"/>
          <w:szCs w:val="26"/>
        </w:rPr>
        <w:tab/>
      </w:r>
      <w:r w:rsidRPr="0098161F">
        <w:rPr>
          <w:rStyle w:val="FootnoteReference"/>
          <w:sz w:val="26"/>
          <w:szCs w:val="26"/>
        </w:rPr>
        <w:footnoteRef/>
      </w:r>
      <w:r w:rsidRPr="0098161F">
        <w:rPr>
          <w:sz w:val="26"/>
          <w:szCs w:val="26"/>
        </w:rPr>
        <w:tab/>
        <w:t>PPLICA joined the Settlement on behalf of one its participating members, the National Railroad Passenger Corporation (Amtrak), which supported the Settlement.  The remaining members of PPLICA did not join the Settlement, but did not object to it.</w:t>
      </w:r>
    </w:p>
    <w:p w:rsidR="0098161F" w:rsidRPr="0098161F" w:rsidRDefault="0098161F">
      <w:pPr>
        <w:pStyle w:val="FootnoteText"/>
        <w:rPr>
          <w:sz w:val="26"/>
          <w:szCs w:val="26"/>
        </w:rPr>
      </w:pPr>
    </w:p>
  </w:footnote>
  <w:footnote w:id="4">
    <w:p w:rsidR="00EA7A99" w:rsidRPr="001546A1" w:rsidRDefault="00EA7A99">
      <w:pPr>
        <w:pStyle w:val="FootnoteText"/>
        <w:rPr>
          <w:sz w:val="26"/>
          <w:szCs w:val="26"/>
        </w:rPr>
      </w:pPr>
      <w:r>
        <w:rPr>
          <w:sz w:val="26"/>
          <w:szCs w:val="26"/>
        </w:rPr>
        <w:tab/>
      </w:r>
      <w:r w:rsidRPr="001546A1">
        <w:rPr>
          <w:rStyle w:val="FootnoteReference"/>
          <w:sz w:val="26"/>
          <w:szCs w:val="26"/>
        </w:rPr>
        <w:footnoteRef/>
      </w:r>
      <w:r>
        <w:rPr>
          <w:sz w:val="26"/>
          <w:szCs w:val="26"/>
        </w:rPr>
        <w:tab/>
        <w:t>A more detailed procedural history can be found on pages 1 through 7</w:t>
      </w:r>
      <w:r w:rsidR="0070739E">
        <w:rPr>
          <w:sz w:val="26"/>
          <w:szCs w:val="26"/>
        </w:rPr>
        <w:t xml:space="preserve"> of</w:t>
      </w:r>
      <w:r>
        <w:rPr>
          <w:sz w:val="26"/>
          <w:szCs w:val="26"/>
        </w:rPr>
        <w:t xml:space="preserve"> the Recommended Decision.</w:t>
      </w:r>
    </w:p>
  </w:footnote>
  <w:footnote w:id="5">
    <w:p w:rsidR="00EA7A99" w:rsidRPr="00005208" w:rsidRDefault="00EA7A99">
      <w:pPr>
        <w:pStyle w:val="FootnoteText"/>
        <w:rPr>
          <w:sz w:val="26"/>
          <w:szCs w:val="26"/>
        </w:rPr>
      </w:pPr>
      <w:r>
        <w:rPr>
          <w:sz w:val="26"/>
          <w:szCs w:val="26"/>
        </w:rPr>
        <w:tab/>
      </w:r>
      <w:r w:rsidRPr="00005208">
        <w:rPr>
          <w:rStyle w:val="FootnoteReference"/>
          <w:sz w:val="26"/>
          <w:szCs w:val="26"/>
        </w:rPr>
        <w:footnoteRef/>
      </w:r>
      <w:r>
        <w:rPr>
          <w:sz w:val="26"/>
          <w:szCs w:val="26"/>
        </w:rPr>
        <w:tab/>
        <w:t>PPLICA did not file a Statement in Support of the Settlement, but filed a letter on September 4, 2015, stating that it did not oppose the Settlement.</w:t>
      </w:r>
    </w:p>
  </w:footnote>
  <w:footnote w:id="6">
    <w:p w:rsidR="00EA7A99" w:rsidRPr="001116B0" w:rsidRDefault="00EA7A99" w:rsidP="006C4B63">
      <w:pPr>
        <w:pStyle w:val="FootnoteText"/>
        <w:keepLines/>
        <w:rPr>
          <w:sz w:val="26"/>
          <w:szCs w:val="26"/>
        </w:rPr>
      </w:pPr>
      <w:r>
        <w:rPr>
          <w:sz w:val="26"/>
          <w:szCs w:val="26"/>
        </w:rPr>
        <w:tab/>
      </w:r>
      <w:r w:rsidRPr="001116B0">
        <w:rPr>
          <w:rStyle w:val="FootnoteReference"/>
          <w:sz w:val="26"/>
          <w:szCs w:val="26"/>
        </w:rPr>
        <w:footnoteRef/>
      </w:r>
      <w:r>
        <w:rPr>
          <w:sz w:val="26"/>
          <w:szCs w:val="26"/>
        </w:rPr>
        <w:tab/>
      </w:r>
      <w:r w:rsidR="00995F2A">
        <w:rPr>
          <w:sz w:val="26"/>
          <w:szCs w:val="26"/>
        </w:rPr>
        <w:t xml:space="preserve">The revenue allocation table </w:t>
      </w:r>
      <w:r>
        <w:rPr>
          <w:sz w:val="26"/>
          <w:szCs w:val="26"/>
        </w:rPr>
        <w:t xml:space="preserve">set forth in the Joint Petition and </w:t>
      </w:r>
      <w:r w:rsidR="00E04287">
        <w:rPr>
          <w:sz w:val="26"/>
          <w:szCs w:val="26"/>
        </w:rPr>
        <w:t>reproduced in the Recommended Decision</w:t>
      </w:r>
      <w:r>
        <w:rPr>
          <w:sz w:val="26"/>
          <w:szCs w:val="26"/>
        </w:rPr>
        <w:t xml:space="preserve"> appears to be presented incorrectly.  PPL’s Statement in Support of the Settlement appears to contain the correct v</w:t>
      </w:r>
      <w:r w:rsidR="00E04287">
        <w:rPr>
          <w:sz w:val="26"/>
          <w:szCs w:val="26"/>
        </w:rPr>
        <w:t xml:space="preserve">ersion of the table, </w:t>
      </w:r>
      <w:r w:rsidR="00694EFF">
        <w:rPr>
          <w:sz w:val="26"/>
          <w:szCs w:val="26"/>
        </w:rPr>
        <w:t>whi</w:t>
      </w:r>
      <w:r w:rsidR="00995F2A">
        <w:rPr>
          <w:sz w:val="26"/>
          <w:szCs w:val="26"/>
        </w:rPr>
        <w:t>ch is shown above</w:t>
      </w:r>
      <w:r w:rsidR="00E04287">
        <w:rPr>
          <w:sz w:val="26"/>
          <w:szCs w:val="26"/>
        </w:rPr>
        <w:t xml:space="preserve">.  </w:t>
      </w:r>
      <w:r w:rsidR="00E04287" w:rsidRPr="00E04287">
        <w:rPr>
          <w:i/>
          <w:sz w:val="26"/>
          <w:szCs w:val="26"/>
        </w:rPr>
        <w:t>See</w:t>
      </w:r>
      <w:r w:rsidR="00E04287">
        <w:rPr>
          <w:sz w:val="26"/>
          <w:szCs w:val="26"/>
        </w:rPr>
        <w:t xml:space="preserve"> </w:t>
      </w:r>
      <w:r>
        <w:rPr>
          <w:sz w:val="26"/>
          <w:szCs w:val="26"/>
        </w:rPr>
        <w:t>PPL Statement in Support at 9-10.</w:t>
      </w:r>
    </w:p>
  </w:footnote>
  <w:footnote w:id="7">
    <w:p w:rsidR="00557C71" w:rsidRPr="00891892" w:rsidRDefault="00557C71" w:rsidP="00A8246C">
      <w:pPr>
        <w:rPr>
          <w:sz w:val="26"/>
        </w:rPr>
      </w:pPr>
      <w:r w:rsidRPr="00A8246C">
        <w:rPr>
          <w:sz w:val="26"/>
          <w:szCs w:val="26"/>
        </w:rPr>
        <w:tab/>
      </w:r>
      <w:r w:rsidRPr="00A8246C">
        <w:rPr>
          <w:rStyle w:val="FootnoteReference"/>
          <w:sz w:val="26"/>
          <w:szCs w:val="26"/>
        </w:rPr>
        <w:footnoteRef/>
      </w:r>
      <w:r w:rsidRPr="00A8246C">
        <w:rPr>
          <w:sz w:val="26"/>
          <w:szCs w:val="26"/>
        </w:rPr>
        <w:tab/>
      </w:r>
      <w:r w:rsidR="00A8246C" w:rsidRPr="00A8246C">
        <w:rPr>
          <w:sz w:val="26"/>
          <w:szCs w:val="26"/>
        </w:rPr>
        <w:t xml:space="preserve">Revenue decoupling is a regulatory mechanism that allows a utility to recover its full authorized revenues, regardless of sales volumes or the reason for changes in sales volumes.  </w:t>
      </w:r>
      <w:r w:rsidR="00A8246C">
        <w:rPr>
          <w:sz w:val="26"/>
          <w:szCs w:val="26"/>
        </w:rPr>
        <w:t>R.D. at 62; CAC Statement in Support of Joint Petition at 7.</w:t>
      </w:r>
    </w:p>
  </w:footnote>
  <w:footnote w:id="8">
    <w:p w:rsidR="00EA7A99" w:rsidRPr="00464FC8" w:rsidRDefault="00EA7A99">
      <w:pPr>
        <w:pStyle w:val="FootnoteText"/>
        <w:rPr>
          <w:sz w:val="26"/>
          <w:szCs w:val="26"/>
        </w:rPr>
      </w:pPr>
      <w:r>
        <w:rPr>
          <w:sz w:val="26"/>
          <w:szCs w:val="26"/>
        </w:rPr>
        <w:tab/>
      </w:r>
      <w:r w:rsidRPr="00464FC8">
        <w:rPr>
          <w:rStyle w:val="FootnoteReference"/>
          <w:sz w:val="26"/>
          <w:szCs w:val="26"/>
        </w:rPr>
        <w:footnoteRef/>
      </w:r>
      <w:r>
        <w:rPr>
          <w:sz w:val="26"/>
          <w:szCs w:val="26"/>
        </w:rPr>
        <w:tab/>
        <w:t>As noted above, PPL considers its Response to PPLICA’s Letter to be a Reply to Exceptions.  We note that the October 5, 2015 Secretarial Letter under which the Recommended Decision was issued stated that “Replies to Exceptions will not be accepted and will not be entertained by the Commission.”  However, in the interest of providing due process, and in order to present a more balanced analysis of the issue in question, we will exercise our discretion in this instance and entertain PPL’s Response.</w:t>
      </w:r>
    </w:p>
  </w:footnote>
  <w:footnote w:id="9">
    <w:p w:rsidR="00EA7A99" w:rsidRDefault="00EA7A99" w:rsidP="00E615B6">
      <w:pPr>
        <w:pStyle w:val="FootnoteText"/>
        <w:keepNext/>
        <w:keepLines/>
        <w:rPr>
          <w:sz w:val="26"/>
          <w:szCs w:val="26"/>
        </w:rPr>
      </w:pPr>
      <w:r>
        <w:rPr>
          <w:sz w:val="26"/>
          <w:szCs w:val="26"/>
        </w:rPr>
        <w:tab/>
      </w:r>
      <w:r w:rsidRPr="00F30274">
        <w:rPr>
          <w:rStyle w:val="FootnoteReference"/>
          <w:sz w:val="26"/>
          <w:szCs w:val="26"/>
        </w:rPr>
        <w:footnoteRef/>
      </w:r>
      <w:r>
        <w:rPr>
          <w:sz w:val="26"/>
          <w:szCs w:val="26"/>
        </w:rPr>
        <w:tab/>
        <w:t>Paragraph 63 of the Joint Petition states:</w:t>
      </w:r>
    </w:p>
    <w:p w:rsidR="00EA7A99" w:rsidRDefault="00EA7A99" w:rsidP="00E615B6">
      <w:pPr>
        <w:pStyle w:val="FootnoteText"/>
        <w:keepNext/>
        <w:keepLines/>
        <w:rPr>
          <w:sz w:val="26"/>
          <w:szCs w:val="26"/>
        </w:rPr>
      </w:pPr>
    </w:p>
    <w:p w:rsidR="00EA7A99" w:rsidRDefault="00EA7A99" w:rsidP="00E615B6">
      <w:pPr>
        <w:pStyle w:val="FootnoteText"/>
        <w:keepNext/>
        <w:keepLines/>
        <w:ind w:left="1440" w:right="1440"/>
        <w:rPr>
          <w:sz w:val="26"/>
          <w:szCs w:val="26"/>
        </w:rPr>
      </w:pPr>
      <w:r>
        <w:rPr>
          <w:sz w:val="26"/>
          <w:szCs w:val="26"/>
        </w:rPr>
        <w:t>The Joint Petitioners acknowledge that the Settlement reflects a compromise of competing positions and does not necessarily reflect any Joint Petitioner’s position with respect to any issues raised in this proceeding.  The terms and conditions of the Settlement are limited to the facts of this specific case and are the product of compromise for the sole purpose of settling this case.  This Settlement is presented without prejudice to any position which any of the Joint Petitioners may have advanced and without prejudice to the position any of the parties may advance on the merits of the issues in future proceedings.  This Settlement does not preclude the Joint Petitioners from taking other positions in proceedings of other public utilities under Section 1308 of the Public Utility Code, 66 Pa.C.S. § 1308, or any other proceeding.</w:t>
      </w:r>
    </w:p>
    <w:p w:rsidR="00EA7A99" w:rsidRPr="00F30274" w:rsidRDefault="00EA7A99" w:rsidP="00733DBF">
      <w:pPr>
        <w:pStyle w:val="FootnoteText"/>
        <w:keepNext/>
        <w:keepLines/>
        <w:spacing w:line="72" w:lineRule="auto"/>
        <w:ind w:left="1440" w:right="1440"/>
        <w:rPr>
          <w:sz w:val="26"/>
          <w:szCs w:val="26"/>
        </w:rPr>
      </w:pPr>
    </w:p>
  </w:footnote>
  <w:footnote w:id="10">
    <w:p w:rsidR="00EA7A99" w:rsidRPr="00E423BA" w:rsidRDefault="00EA7A99">
      <w:pPr>
        <w:pStyle w:val="FootnoteText"/>
        <w:rPr>
          <w:sz w:val="26"/>
          <w:szCs w:val="26"/>
        </w:rPr>
      </w:pPr>
      <w:r>
        <w:rPr>
          <w:sz w:val="26"/>
          <w:szCs w:val="26"/>
        </w:rPr>
        <w:tab/>
      </w:r>
      <w:r w:rsidRPr="00E423BA">
        <w:rPr>
          <w:rStyle w:val="FootnoteReference"/>
          <w:sz w:val="26"/>
          <w:szCs w:val="26"/>
        </w:rPr>
        <w:footnoteRef/>
      </w:r>
      <w:r>
        <w:rPr>
          <w:sz w:val="26"/>
          <w:szCs w:val="26"/>
        </w:rPr>
        <w:tab/>
        <w:t>The Conestoga Substation exists solely to serve Amtrak, and investments made at this substation are attributed entirely to Rate Schedule LPEP.  PPL St. No. 4-R at 33.</w:t>
      </w:r>
    </w:p>
  </w:footnote>
  <w:footnote w:id="11">
    <w:p w:rsidR="00EA7A99" w:rsidRPr="005A417E" w:rsidRDefault="00EA7A99">
      <w:pPr>
        <w:pStyle w:val="FootnoteText"/>
        <w:rPr>
          <w:sz w:val="26"/>
          <w:szCs w:val="26"/>
        </w:rPr>
      </w:pPr>
      <w:r>
        <w:rPr>
          <w:sz w:val="26"/>
          <w:szCs w:val="26"/>
        </w:rPr>
        <w:tab/>
      </w:r>
      <w:r w:rsidRPr="005A417E">
        <w:rPr>
          <w:rStyle w:val="FootnoteReference"/>
          <w:sz w:val="26"/>
          <w:szCs w:val="26"/>
        </w:rPr>
        <w:footnoteRef/>
      </w:r>
      <w:r>
        <w:rPr>
          <w:sz w:val="26"/>
          <w:szCs w:val="26"/>
        </w:rPr>
        <w:tab/>
        <w:t>In its Letter, PPLICA cites to page 46 of the Recommended Decision as the source of this statement.  Letter at 1.  However, the statement is found on page 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6248050"/>
    <w:lvl w:ilvl="0">
      <w:start w:val="1"/>
      <w:numFmt w:val="decimal"/>
      <w:pStyle w:val="ListNumber"/>
      <w:lvlText w:val="%1."/>
      <w:lvlJc w:val="left"/>
      <w:pPr>
        <w:tabs>
          <w:tab w:val="num" w:pos="360"/>
        </w:tabs>
        <w:ind w:left="360" w:hanging="360"/>
      </w:pPr>
    </w:lvl>
  </w:abstractNum>
  <w:abstractNum w:abstractNumId="1">
    <w:nsid w:val="1D782CE5"/>
    <w:multiLevelType w:val="hybridMultilevel"/>
    <w:tmpl w:val="2F7AADA2"/>
    <w:lvl w:ilvl="0" w:tplc="A1244B9C">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24FD266B"/>
    <w:multiLevelType w:val="hybridMultilevel"/>
    <w:tmpl w:val="1D0CAC72"/>
    <w:lvl w:ilvl="0" w:tplc="813C424E">
      <w:start w:val="1"/>
      <w:numFmt w:val="decimal"/>
      <w:lvlText w:val="(%1)"/>
      <w:lvlJc w:val="left"/>
      <w:pPr>
        <w:ind w:left="2520" w:hanging="360"/>
      </w:pPr>
      <w:rPr>
        <w:rFonts w:hint="default"/>
        <w:sz w:val="26"/>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6F3664"/>
    <w:multiLevelType w:val="hybridMultilevel"/>
    <w:tmpl w:val="EB1C4464"/>
    <w:lvl w:ilvl="0" w:tplc="334896D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6923A20"/>
    <w:multiLevelType w:val="hybridMultilevel"/>
    <w:tmpl w:val="CD88834A"/>
    <w:lvl w:ilvl="0" w:tplc="316C6EE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9807DC6"/>
    <w:multiLevelType w:val="hybridMultilevel"/>
    <w:tmpl w:val="E7900392"/>
    <w:lvl w:ilvl="0" w:tplc="D7FEA5C0">
      <w:start w:val="10"/>
      <w:numFmt w:val="decimal"/>
      <w:lvlText w:val="%1."/>
      <w:lvlJc w:val="left"/>
      <w:pPr>
        <w:tabs>
          <w:tab w:val="num" w:pos="1440"/>
        </w:tabs>
        <w:ind w:firstLine="720"/>
      </w:pPr>
      <w:rPr>
        <w:rFonts w:hint="default"/>
        <w:b w:val="0"/>
        <w:bCs w:val="0"/>
      </w:rPr>
    </w:lvl>
    <w:lvl w:ilvl="1" w:tplc="9D74DC84">
      <w:start w:val="20"/>
      <w:numFmt w:val="decimal"/>
      <w:lvlText w:val="%2"/>
      <w:lvlJc w:val="left"/>
      <w:pPr>
        <w:tabs>
          <w:tab w:val="num" w:pos="1860"/>
        </w:tabs>
        <w:ind w:left="1860" w:hanging="780"/>
      </w:pPr>
      <w:rPr>
        <w:rFonts w:hint="default"/>
        <w:b w:val="0"/>
        <w:bCs w:val="0"/>
      </w:rPr>
    </w:lvl>
    <w:lvl w:ilvl="2" w:tplc="077A3596">
      <w:start w:val="1"/>
      <w:numFmt w:val="lowerRoman"/>
      <w:lvlText w:val="%3."/>
      <w:lvlJc w:val="right"/>
      <w:pPr>
        <w:tabs>
          <w:tab w:val="num" w:pos="2160"/>
        </w:tabs>
        <w:ind w:left="2160" w:hanging="180"/>
      </w:pPr>
      <w:rPr>
        <w:rFonts w:hint="default"/>
      </w:rPr>
    </w:lvl>
    <w:lvl w:ilvl="3" w:tplc="17626B10">
      <w:start w:val="1"/>
      <w:numFmt w:val="upperLetter"/>
      <w:lvlText w:val="%4."/>
      <w:lvlJc w:val="left"/>
      <w:pPr>
        <w:tabs>
          <w:tab w:val="num" w:pos="2880"/>
        </w:tabs>
        <w:ind w:left="2880" w:hanging="360"/>
      </w:pPr>
      <w:rPr>
        <w:rFonts w:hint="default"/>
        <w:sz w:val="26"/>
        <w:szCs w:val="26"/>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9EA5F0A"/>
    <w:multiLevelType w:val="hybridMultilevel"/>
    <w:tmpl w:val="9CCCB16E"/>
    <w:lvl w:ilvl="0" w:tplc="1124E0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4F995619"/>
    <w:multiLevelType w:val="hybridMultilevel"/>
    <w:tmpl w:val="FD58B850"/>
    <w:lvl w:ilvl="0" w:tplc="AFCA7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3405D8"/>
    <w:multiLevelType w:val="hybridMultilevel"/>
    <w:tmpl w:val="390E5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D07265"/>
    <w:multiLevelType w:val="hybridMultilevel"/>
    <w:tmpl w:val="682E026A"/>
    <w:lvl w:ilvl="0" w:tplc="F760D358">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79C2AF0"/>
    <w:multiLevelType w:val="hybridMultilevel"/>
    <w:tmpl w:val="25D483A4"/>
    <w:lvl w:ilvl="0" w:tplc="04090001">
      <w:start w:val="200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AE141B"/>
    <w:multiLevelType w:val="hybridMultilevel"/>
    <w:tmpl w:val="A28C8018"/>
    <w:lvl w:ilvl="0" w:tplc="A6C44F9A">
      <w:start w:val="1"/>
      <w:numFmt w:val="lowerLetter"/>
      <w:lvlText w:val="%1."/>
      <w:lvlJc w:val="left"/>
      <w:pPr>
        <w:tabs>
          <w:tab w:val="num" w:pos="1080"/>
        </w:tabs>
        <w:ind w:left="1080" w:hanging="360"/>
      </w:pPr>
      <w:rPr>
        <w:rFonts w:ascii="Times New Roman" w:eastAsia="Times New Roman" w:hAnsi="Times New Roman" w:cs="Times New Roman"/>
      </w:rPr>
    </w:lvl>
    <w:lvl w:ilvl="1" w:tplc="4686F508">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nsid w:val="74A06F8A"/>
    <w:multiLevelType w:val="hybridMultilevel"/>
    <w:tmpl w:val="5C3E4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A34CBE"/>
    <w:multiLevelType w:val="hybridMultilevel"/>
    <w:tmpl w:val="9BF81C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
  </w:num>
  <w:num w:numId="3">
    <w:abstractNumId w:val="2"/>
  </w:num>
  <w:num w:numId="4">
    <w:abstractNumId w:val="14"/>
  </w:num>
  <w:num w:numId="5">
    <w:abstractNumId w:val="1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8"/>
  </w:num>
  <w:num w:numId="10">
    <w:abstractNumId w:val="13"/>
  </w:num>
  <w:num w:numId="11">
    <w:abstractNumId w:val="5"/>
  </w:num>
  <w:num w:numId="12">
    <w:abstractNumId w:val="4"/>
  </w:num>
  <w:num w:numId="13">
    <w:abstractNumId w:val="0"/>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E9A"/>
    <w:rsid w:val="00000836"/>
    <w:rsid w:val="00002E94"/>
    <w:rsid w:val="00003C08"/>
    <w:rsid w:val="00004323"/>
    <w:rsid w:val="00004E5B"/>
    <w:rsid w:val="00005208"/>
    <w:rsid w:val="00005617"/>
    <w:rsid w:val="000060F9"/>
    <w:rsid w:val="00006B8D"/>
    <w:rsid w:val="0000765E"/>
    <w:rsid w:val="00007AC2"/>
    <w:rsid w:val="00007B6A"/>
    <w:rsid w:val="00013026"/>
    <w:rsid w:val="00020AD6"/>
    <w:rsid w:val="00022FEE"/>
    <w:rsid w:val="000234BA"/>
    <w:rsid w:val="0002374A"/>
    <w:rsid w:val="00023D3C"/>
    <w:rsid w:val="000242CA"/>
    <w:rsid w:val="0002495C"/>
    <w:rsid w:val="00024DB7"/>
    <w:rsid w:val="00026340"/>
    <w:rsid w:val="000264F8"/>
    <w:rsid w:val="00026931"/>
    <w:rsid w:val="00026CF4"/>
    <w:rsid w:val="000270E2"/>
    <w:rsid w:val="00032210"/>
    <w:rsid w:val="00033491"/>
    <w:rsid w:val="00033904"/>
    <w:rsid w:val="000342C1"/>
    <w:rsid w:val="00034C36"/>
    <w:rsid w:val="00036A2A"/>
    <w:rsid w:val="00037716"/>
    <w:rsid w:val="00040A55"/>
    <w:rsid w:val="00041536"/>
    <w:rsid w:val="000439B2"/>
    <w:rsid w:val="00044E56"/>
    <w:rsid w:val="000451CF"/>
    <w:rsid w:val="00045B37"/>
    <w:rsid w:val="00046321"/>
    <w:rsid w:val="000464F5"/>
    <w:rsid w:val="00046C0C"/>
    <w:rsid w:val="0004783E"/>
    <w:rsid w:val="00051860"/>
    <w:rsid w:val="00052148"/>
    <w:rsid w:val="00055273"/>
    <w:rsid w:val="00055C88"/>
    <w:rsid w:val="00055E29"/>
    <w:rsid w:val="000560A0"/>
    <w:rsid w:val="00062E18"/>
    <w:rsid w:val="000644A5"/>
    <w:rsid w:val="00064FED"/>
    <w:rsid w:val="00065BE8"/>
    <w:rsid w:val="000677DF"/>
    <w:rsid w:val="00067CB6"/>
    <w:rsid w:val="00067DC5"/>
    <w:rsid w:val="00067EA4"/>
    <w:rsid w:val="000701DF"/>
    <w:rsid w:val="000710CE"/>
    <w:rsid w:val="0007174A"/>
    <w:rsid w:val="00071A40"/>
    <w:rsid w:val="00072185"/>
    <w:rsid w:val="00074092"/>
    <w:rsid w:val="000741D7"/>
    <w:rsid w:val="000745AC"/>
    <w:rsid w:val="00075DE1"/>
    <w:rsid w:val="000770F4"/>
    <w:rsid w:val="0008159E"/>
    <w:rsid w:val="00082498"/>
    <w:rsid w:val="000843B0"/>
    <w:rsid w:val="00084C71"/>
    <w:rsid w:val="000914BD"/>
    <w:rsid w:val="00091C5A"/>
    <w:rsid w:val="00092977"/>
    <w:rsid w:val="000934CC"/>
    <w:rsid w:val="0009353E"/>
    <w:rsid w:val="00093DBD"/>
    <w:rsid w:val="00093F1D"/>
    <w:rsid w:val="00096DF6"/>
    <w:rsid w:val="000A0716"/>
    <w:rsid w:val="000A1B8B"/>
    <w:rsid w:val="000A1F99"/>
    <w:rsid w:val="000A27D2"/>
    <w:rsid w:val="000A2A82"/>
    <w:rsid w:val="000A2B74"/>
    <w:rsid w:val="000A30AE"/>
    <w:rsid w:val="000A3225"/>
    <w:rsid w:val="000A492E"/>
    <w:rsid w:val="000A507C"/>
    <w:rsid w:val="000A5A04"/>
    <w:rsid w:val="000B1BC3"/>
    <w:rsid w:val="000B1F71"/>
    <w:rsid w:val="000B30F4"/>
    <w:rsid w:val="000B3D45"/>
    <w:rsid w:val="000B3E0C"/>
    <w:rsid w:val="000B43C3"/>
    <w:rsid w:val="000B5432"/>
    <w:rsid w:val="000B570B"/>
    <w:rsid w:val="000C1561"/>
    <w:rsid w:val="000C15A4"/>
    <w:rsid w:val="000C3AF4"/>
    <w:rsid w:val="000C3DC9"/>
    <w:rsid w:val="000C444F"/>
    <w:rsid w:val="000C6A49"/>
    <w:rsid w:val="000C6FAA"/>
    <w:rsid w:val="000D017E"/>
    <w:rsid w:val="000D26FF"/>
    <w:rsid w:val="000D397E"/>
    <w:rsid w:val="000D4CD6"/>
    <w:rsid w:val="000D5CD2"/>
    <w:rsid w:val="000E147C"/>
    <w:rsid w:val="000E17B1"/>
    <w:rsid w:val="000E31BB"/>
    <w:rsid w:val="000E35BD"/>
    <w:rsid w:val="000E4412"/>
    <w:rsid w:val="000E6D8B"/>
    <w:rsid w:val="000E7968"/>
    <w:rsid w:val="000F1513"/>
    <w:rsid w:val="000F1CD4"/>
    <w:rsid w:val="000F27ED"/>
    <w:rsid w:val="000F281B"/>
    <w:rsid w:val="000F43BE"/>
    <w:rsid w:val="000F5281"/>
    <w:rsid w:val="000F5C8F"/>
    <w:rsid w:val="000F690F"/>
    <w:rsid w:val="000F721E"/>
    <w:rsid w:val="00100F45"/>
    <w:rsid w:val="001018F8"/>
    <w:rsid w:val="00101CE7"/>
    <w:rsid w:val="00102BE9"/>
    <w:rsid w:val="00102F54"/>
    <w:rsid w:val="00103D93"/>
    <w:rsid w:val="001045C5"/>
    <w:rsid w:val="00104FC1"/>
    <w:rsid w:val="00105F3D"/>
    <w:rsid w:val="001101C5"/>
    <w:rsid w:val="001102FF"/>
    <w:rsid w:val="00111613"/>
    <w:rsid w:val="001116B0"/>
    <w:rsid w:val="00112CFD"/>
    <w:rsid w:val="00112E23"/>
    <w:rsid w:val="001173DC"/>
    <w:rsid w:val="00117489"/>
    <w:rsid w:val="0011773C"/>
    <w:rsid w:val="00120F27"/>
    <w:rsid w:val="0012106A"/>
    <w:rsid w:val="001211B4"/>
    <w:rsid w:val="00121C0D"/>
    <w:rsid w:val="00121E5E"/>
    <w:rsid w:val="00122370"/>
    <w:rsid w:val="0012288D"/>
    <w:rsid w:val="00122A1C"/>
    <w:rsid w:val="00123FA5"/>
    <w:rsid w:val="00125E1D"/>
    <w:rsid w:val="00126D45"/>
    <w:rsid w:val="00126FA2"/>
    <w:rsid w:val="00130638"/>
    <w:rsid w:val="001308C9"/>
    <w:rsid w:val="00130A58"/>
    <w:rsid w:val="00130F1A"/>
    <w:rsid w:val="00131946"/>
    <w:rsid w:val="001334B3"/>
    <w:rsid w:val="00133601"/>
    <w:rsid w:val="001350B6"/>
    <w:rsid w:val="00137102"/>
    <w:rsid w:val="00137338"/>
    <w:rsid w:val="00137874"/>
    <w:rsid w:val="00141946"/>
    <w:rsid w:val="00142718"/>
    <w:rsid w:val="0014418C"/>
    <w:rsid w:val="00144AA7"/>
    <w:rsid w:val="00145C8B"/>
    <w:rsid w:val="0014782C"/>
    <w:rsid w:val="00147CB9"/>
    <w:rsid w:val="001506F9"/>
    <w:rsid w:val="00150845"/>
    <w:rsid w:val="001512D0"/>
    <w:rsid w:val="0015190E"/>
    <w:rsid w:val="00152B88"/>
    <w:rsid w:val="0015457C"/>
    <w:rsid w:val="0015467F"/>
    <w:rsid w:val="001546A1"/>
    <w:rsid w:val="00155895"/>
    <w:rsid w:val="001562E0"/>
    <w:rsid w:val="0015704F"/>
    <w:rsid w:val="001572FC"/>
    <w:rsid w:val="00161238"/>
    <w:rsid w:val="001617E3"/>
    <w:rsid w:val="00161FD7"/>
    <w:rsid w:val="00164661"/>
    <w:rsid w:val="0016490C"/>
    <w:rsid w:val="00164A0F"/>
    <w:rsid w:val="00164E4D"/>
    <w:rsid w:val="00167408"/>
    <w:rsid w:val="00170098"/>
    <w:rsid w:val="001738FA"/>
    <w:rsid w:val="00173B03"/>
    <w:rsid w:val="0017449A"/>
    <w:rsid w:val="001749F5"/>
    <w:rsid w:val="00175193"/>
    <w:rsid w:val="001765B0"/>
    <w:rsid w:val="001777AB"/>
    <w:rsid w:val="001806A9"/>
    <w:rsid w:val="00183F67"/>
    <w:rsid w:val="00186FE3"/>
    <w:rsid w:val="0018781A"/>
    <w:rsid w:val="0019024F"/>
    <w:rsid w:val="001914DF"/>
    <w:rsid w:val="00191DEF"/>
    <w:rsid w:val="00192084"/>
    <w:rsid w:val="00192567"/>
    <w:rsid w:val="0019274D"/>
    <w:rsid w:val="00192B72"/>
    <w:rsid w:val="00193936"/>
    <w:rsid w:val="00193D9A"/>
    <w:rsid w:val="00195A64"/>
    <w:rsid w:val="00195AAE"/>
    <w:rsid w:val="001961C3"/>
    <w:rsid w:val="00196BDA"/>
    <w:rsid w:val="001977AE"/>
    <w:rsid w:val="001979E9"/>
    <w:rsid w:val="00197B90"/>
    <w:rsid w:val="001A0669"/>
    <w:rsid w:val="001A0A41"/>
    <w:rsid w:val="001A2A1B"/>
    <w:rsid w:val="001A2FD3"/>
    <w:rsid w:val="001A338D"/>
    <w:rsid w:val="001A3868"/>
    <w:rsid w:val="001A4654"/>
    <w:rsid w:val="001A51BA"/>
    <w:rsid w:val="001A6110"/>
    <w:rsid w:val="001A64BF"/>
    <w:rsid w:val="001A68BB"/>
    <w:rsid w:val="001A7E52"/>
    <w:rsid w:val="001B09B5"/>
    <w:rsid w:val="001B0BA4"/>
    <w:rsid w:val="001B1589"/>
    <w:rsid w:val="001B1A87"/>
    <w:rsid w:val="001B40AC"/>
    <w:rsid w:val="001B431A"/>
    <w:rsid w:val="001B4CAC"/>
    <w:rsid w:val="001B4DA4"/>
    <w:rsid w:val="001B584D"/>
    <w:rsid w:val="001B6E7B"/>
    <w:rsid w:val="001B7256"/>
    <w:rsid w:val="001C0BC1"/>
    <w:rsid w:val="001C1244"/>
    <w:rsid w:val="001C26BC"/>
    <w:rsid w:val="001C5614"/>
    <w:rsid w:val="001C5764"/>
    <w:rsid w:val="001C5C0D"/>
    <w:rsid w:val="001C5F7A"/>
    <w:rsid w:val="001C61B6"/>
    <w:rsid w:val="001D0186"/>
    <w:rsid w:val="001D1A0B"/>
    <w:rsid w:val="001D1B4F"/>
    <w:rsid w:val="001D2FD6"/>
    <w:rsid w:val="001D3C94"/>
    <w:rsid w:val="001D3ECE"/>
    <w:rsid w:val="001D56B3"/>
    <w:rsid w:val="001D6489"/>
    <w:rsid w:val="001D6B64"/>
    <w:rsid w:val="001D752F"/>
    <w:rsid w:val="001E0E06"/>
    <w:rsid w:val="001E1174"/>
    <w:rsid w:val="001E2818"/>
    <w:rsid w:val="001E57CC"/>
    <w:rsid w:val="001E6B70"/>
    <w:rsid w:val="001E712B"/>
    <w:rsid w:val="001E780B"/>
    <w:rsid w:val="001E7BF6"/>
    <w:rsid w:val="001F1BF0"/>
    <w:rsid w:val="001F1BF4"/>
    <w:rsid w:val="001F240E"/>
    <w:rsid w:val="001F2899"/>
    <w:rsid w:val="001F2CC8"/>
    <w:rsid w:val="001F2EC2"/>
    <w:rsid w:val="001F405E"/>
    <w:rsid w:val="001F59A0"/>
    <w:rsid w:val="001F7369"/>
    <w:rsid w:val="002035AF"/>
    <w:rsid w:val="00203D6F"/>
    <w:rsid w:val="00204096"/>
    <w:rsid w:val="0020435C"/>
    <w:rsid w:val="00207D7E"/>
    <w:rsid w:val="00207F9F"/>
    <w:rsid w:val="002124F5"/>
    <w:rsid w:val="00212DC1"/>
    <w:rsid w:val="00213233"/>
    <w:rsid w:val="00213CC6"/>
    <w:rsid w:val="00214083"/>
    <w:rsid w:val="0021411D"/>
    <w:rsid w:val="00215069"/>
    <w:rsid w:val="002158E6"/>
    <w:rsid w:val="00215EE6"/>
    <w:rsid w:val="00216669"/>
    <w:rsid w:val="00216C76"/>
    <w:rsid w:val="00220A43"/>
    <w:rsid w:val="00224632"/>
    <w:rsid w:val="00224BA9"/>
    <w:rsid w:val="0022554C"/>
    <w:rsid w:val="00225907"/>
    <w:rsid w:val="002268D2"/>
    <w:rsid w:val="00227C2C"/>
    <w:rsid w:val="00230D76"/>
    <w:rsid w:val="0023101C"/>
    <w:rsid w:val="00232CBE"/>
    <w:rsid w:val="00232E1F"/>
    <w:rsid w:val="00233844"/>
    <w:rsid w:val="002345DE"/>
    <w:rsid w:val="00236523"/>
    <w:rsid w:val="002366D6"/>
    <w:rsid w:val="00236CA8"/>
    <w:rsid w:val="002375CF"/>
    <w:rsid w:val="00237A1B"/>
    <w:rsid w:val="00237CD5"/>
    <w:rsid w:val="00237F4D"/>
    <w:rsid w:val="00241CD0"/>
    <w:rsid w:val="00241CFE"/>
    <w:rsid w:val="00241D7D"/>
    <w:rsid w:val="0024234A"/>
    <w:rsid w:val="002430F1"/>
    <w:rsid w:val="002455AB"/>
    <w:rsid w:val="00245BB0"/>
    <w:rsid w:val="002463A2"/>
    <w:rsid w:val="00247628"/>
    <w:rsid w:val="00251049"/>
    <w:rsid w:val="002510A4"/>
    <w:rsid w:val="0025162D"/>
    <w:rsid w:val="002526D6"/>
    <w:rsid w:val="00252DE4"/>
    <w:rsid w:val="00253939"/>
    <w:rsid w:val="002550F1"/>
    <w:rsid w:val="00255F4B"/>
    <w:rsid w:val="0025661A"/>
    <w:rsid w:val="0025666E"/>
    <w:rsid w:val="00257BDE"/>
    <w:rsid w:val="0026279E"/>
    <w:rsid w:val="00263371"/>
    <w:rsid w:val="00263493"/>
    <w:rsid w:val="002641B9"/>
    <w:rsid w:val="00265F18"/>
    <w:rsid w:val="00266481"/>
    <w:rsid w:val="0026783A"/>
    <w:rsid w:val="00270EA8"/>
    <w:rsid w:val="00271450"/>
    <w:rsid w:val="00271873"/>
    <w:rsid w:val="002718B5"/>
    <w:rsid w:val="00271E42"/>
    <w:rsid w:val="00272A00"/>
    <w:rsid w:val="00272CC6"/>
    <w:rsid w:val="00273D32"/>
    <w:rsid w:val="00273FE2"/>
    <w:rsid w:val="00274C74"/>
    <w:rsid w:val="00274FEA"/>
    <w:rsid w:val="00275B68"/>
    <w:rsid w:val="00275CDD"/>
    <w:rsid w:val="002771BE"/>
    <w:rsid w:val="002773A8"/>
    <w:rsid w:val="00277646"/>
    <w:rsid w:val="0028266B"/>
    <w:rsid w:val="002843C0"/>
    <w:rsid w:val="00284A45"/>
    <w:rsid w:val="0028521C"/>
    <w:rsid w:val="00286613"/>
    <w:rsid w:val="00286B84"/>
    <w:rsid w:val="00287207"/>
    <w:rsid w:val="002878A3"/>
    <w:rsid w:val="00287C17"/>
    <w:rsid w:val="00290B08"/>
    <w:rsid w:val="0029122F"/>
    <w:rsid w:val="002923D1"/>
    <w:rsid w:val="00292C1A"/>
    <w:rsid w:val="00296AA1"/>
    <w:rsid w:val="002971E9"/>
    <w:rsid w:val="00297C5D"/>
    <w:rsid w:val="002A18A7"/>
    <w:rsid w:val="002A2BE9"/>
    <w:rsid w:val="002A2E6C"/>
    <w:rsid w:val="002A3BE2"/>
    <w:rsid w:val="002A4883"/>
    <w:rsid w:val="002A5220"/>
    <w:rsid w:val="002A79C6"/>
    <w:rsid w:val="002A7BBE"/>
    <w:rsid w:val="002B0123"/>
    <w:rsid w:val="002B1254"/>
    <w:rsid w:val="002B138F"/>
    <w:rsid w:val="002B36A0"/>
    <w:rsid w:val="002B36D8"/>
    <w:rsid w:val="002B3806"/>
    <w:rsid w:val="002B4515"/>
    <w:rsid w:val="002B4B77"/>
    <w:rsid w:val="002B5822"/>
    <w:rsid w:val="002B76E8"/>
    <w:rsid w:val="002B7945"/>
    <w:rsid w:val="002C0F72"/>
    <w:rsid w:val="002C299E"/>
    <w:rsid w:val="002C4509"/>
    <w:rsid w:val="002C46BE"/>
    <w:rsid w:val="002C4D08"/>
    <w:rsid w:val="002C5A3E"/>
    <w:rsid w:val="002C5EFF"/>
    <w:rsid w:val="002C6286"/>
    <w:rsid w:val="002C64AE"/>
    <w:rsid w:val="002C7162"/>
    <w:rsid w:val="002C7C9B"/>
    <w:rsid w:val="002D15B4"/>
    <w:rsid w:val="002D168C"/>
    <w:rsid w:val="002D2AE2"/>
    <w:rsid w:val="002D3777"/>
    <w:rsid w:val="002D40CD"/>
    <w:rsid w:val="002D46D8"/>
    <w:rsid w:val="002D4911"/>
    <w:rsid w:val="002D57CE"/>
    <w:rsid w:val="002D5A09"/>
    <w:rsid w:val="002E085F"/>
    <w:rsid w:val="002E1C19"/>
    <w:rsid w:val="002E1DC9"/>
    <w:rsid w:val="002E229E"/>
    <w:rsid w:val="002E3632"/>
    <w:rsid w:val="002E3928"/>
    <w:rsid w:val="002E50BB"/>
    <w:rsid w:val="002E66BA"/>
    <w:rsid w:val="002E684E"/>
    <w:rsid w:val="002E7FA1"/>
    <w:rsid w:val="002F00D9"/>
    <w:rsid w:val="002F45D4"/>
    <w:rsid w:val="002F5B09"/>
    <w:rsid w:val="002F784C"/>
    <w:rsid w:val="002F7C84"/>
    <w:rsid w:val="002F7EA0"/>
    <w:rsid w:val="00300F2E"/>
    <w:rsid w:val="0030215B"/>
    <w:rsid w:val="00302394"/>
    <w:rsid w:val="00302B62"/>
    <w:rsid w:val="00302DDA"/>
    <w:rsid w:val="00303D41"/>
    <w:rsid w:val="00303FD8"/>
    <w:rsid w:val="00304F09"/>
    <w:rsid w:val="00305487"/>
    <w:rsid w:val="00305EBA"/>
    <w:rsid w:val="0030687E"/>
    <w:rsid w:val="00307139"/>
    <w:rsid w:val="0030735F"/>
    <w:rsid w:val="0031193B"/>
    <w:rsid w:val="003152BB"/>
    <w:rsid w:val="00317119"/>
    <w:rsid w:val="0031782B"/>
    <w:rsid w:val="00317C9C"/>
    <w:rsid w:val="00317CAD"/>
    <w:rsid w:val="003200BA"/>
    <w:rsid w:val="0032297A"/>
    <w:rsid w:val="003238A6"/>
    <w:rsid w:val="003247AF"/>
    <w:rsid w:val="00324938"/>
    <w:rsid w:val="003254A3"/>
    <w:rsid w:val="00326D2C"/>
    <w:rsid w:val="00326DE7"/>
    <w:rsid w:val="00327D1F"/>
    <w:rsid w:val="00327F21"/>
    <w:rsid w:val="00331D9E"/>
    <w:rsid w:val="00331EB8"/>
    <w:rsid w:val="003323AC"/>
    <w:rsid w:val="0033283E"/>
    <w:rsid w:val="00332D79"/>
    <w:rsid w:val="00332E29"/>
    <w:rsid w:val="003340D5"/>
    <w:rsid w:val="00335EAA"/>
    <w:rsid w:val="00340068"/>
    <w:rsid w:val="0034059B"/>
    <w:rsid w:val="00341C98"/>
    <w:rsid w:val="0034368F"/>
    <w:rsid w:val="003438C0"/>
    <w:rsid w:val="003441D5"/>
    <w:rsid w:val="00344309"/>
    <w:rsid w:val="00344891"/>
    <w:rsid w:val="00345AF4"/>
    <w:rsid w:val="003466D6"/>
    <w:rsid w:val="003500E8"/>
    <w:rsid w:val="003506A0"/>
    <w:rsid w:val="0035075F"/>
    <w:rsid w:val="00351957"/>
    <w:rsid w:val="00351C6F"/>
    <w:rsid w:val="00354FA5"/>
    <w:rsid w:val="00355828"/>
    <w:rsid w:val="003558D4"/>
    <w:rsid w:val="00355ACB"/>
    <w:rsid w:val="0036020C"/>
    <w:rsid w:val="003635CB"/>
    <w:rsid w:val="00363D4E"/>
    <w:rsid w:val="003640BA"/>
    <w:rsid w:val="00365784"/>
    <w:rsid w:val="00365965"/>
    <w:rsid w:val="00366694"/>
    <w:rsid w:val="0037055E"/>
    <w:rsid w:val="00370FC0"/>
    <w:rsid w:val="00375650"/>
    <w:rsid w:val="00377128"/>
    <w:rsid w:val="003846FF"/>
    <w:rsid w:val="003851BB"/>
    <w:rsid w:val="00385AAB"/>
    <w:rsid w:val="00385E98"/>
    <w:rsid w:val="0038607E"/>
    <w:rsid w:val="00387A56"/>
    <w:rsid w:val="00387AB4"/>
    <w:rsid w:val="00390F97"/>
    <w:rsid w:val="00392270"/>
    <w:rsid w:val="00392598"/>
    <w:rsid w:val="0039273E"/>
    <w:rsid w:val="003928CE"/>
    <w:rsid w:val="00393908"/>
    <w:rsid w:val="003951A5"/>
    <w:rsid w:val="00395C47"/>
    <w:rsid w:val="003A0563"/>
    <w:rsid w:val="003A1279"/>
    <w:rsid w:val="003A2B9A"/>
    <w:rsid w:val="003A429E"/>
    <w:rsid w:val="003A50F2"/>
    <w:rsid w:val="003A5256"/>
    <w:rsid w:val="003A58D0"/>
    <w:rsid w:val="003A5E2E"/>
    <w:rsid w:val="003A6724"/>
    <w:rsid w:val="003A7942"/>
    <w:rsid w:val="003B2E6F"/>
    <w:rsid w:val="003B31A0"/>
    <w:rsid w:val="003B36A0"/>
    <w:rsid w:val="003B51A0"/>
    <w:rsid w:val="003B74B5"/>
    <w:rsid w:val="003B7515"/>
    <w:rsid w:val="003C1390"/>
    <w:rsid w:val="003C1D21"/>
    <w:rsid w:val="003C30FB"/>
    <w:rsid w:val="003C3748"/>
    <w:rsid w:val="003C3AD0"/>
    <w:rsid w:val="003C41DB"/>
    <w:rsid w:val="003C4324"/>
    <w:rsid w:val="003C64A3"/>
    <w:rsid w:val="003C67AF"/>
    <w:rsid w:val="003C7EF2"/>
    <w:rsid w:val="003D0039"/>
    <w:rsid w:val="003D2610"/>
    <w:rsid w:val="003D3487"/>
    <w:rsid w:val="003D522F"/>
    <w:rsid w:val="003D6941"/>
    <w:rsid w:val="003D7160"/>
    <w:rsid w:val="003E05B6"/>
    <w:rsid w:val="003E093C"/>
    <w:rsid w:val="003E0DAB"/>
    <w:rsid w:val="003E3935"/>
    <w:rsid w:val="003E4CD1"/>
    <w:rsid w:val="003E5518"/>
    <w:rsid w:val="003E5732"/>
    <w:rsid w:val="003E6366"/>
    <w:rsid w:val="003E65E1"/>
    <w:rsid w:val="003E73AC"/>
    <w:rsid w:val="003E7F56"/>
    <w:rsid w:val="003F06D3"/>
    <w:rsid w:val="003F17B0"/>
    <w:rsid w:val="003F1834"/>
    <w:rsid w:val="003F347A"/>
    <w:rsid w:val="003F6177"/>
    <w:rsid w:val="003F62C3"/>
    <w:rsid w:val="003F7050"/>
    <w:rsid w:val="003F7580"/>
    <w:rsid w:val="003F7D02"/>
    <w:rsid w:val="004010B2"/>
    <w:rsid w:val="004024FF"/>
    <w:rsid w:val="00403B46"/>
    <w:rsid w:val="0040401A"/>
    <w:rsid w:val="004046F5"/>
    <w:rsid w:val="00404F04"/>
    <w:rsid w:val="00405B89"/>
    <w:rsid w:val="00405EB9"/>
    <w:rsid w:val="004118DB"/>
    <w:rsid w:val="00411C90"/>
    <w:rsid w:val="00412337"/>
    <w:rsid w:val="0041251A"/>
    <w:rsid w:val="004126BC"/>
    <w:rsid w:val="00412B14"/>
    <w:rsid w:val="0041527A"/>
    <w:rsid w:val="004159EB"/>
    <w:rsid w:val="00415A69"/>
    <w:rsid w:val="00415CE3"/>
    <w:rsid w:val="00416195"/>
    <w:rsid w:val="0042008E"/>
    <w:rsid w:val="004209DD"/>
    <w:rsid w:val="004209FF"/>
    <w:rsid w:val="004220FF"/>
    <w:rsid w:val="0042288C"/>
    <w:rsid w:val="00422911"/>
    <w:rsid w:val="00423597"/>
    <w:rsid w:val="00424D8C"/>
    <w:rsid w:val="00425F1C"/>
    <w:rsid w:val="004272BB"/>
    <w:rsid w:val="004273F1"/>
    <w:rsid w:val="00432085"/>
    <w:rsid w:val="004323F6"/>
    <w:rsid w:val="00432763"/>
    <w:rsid w:val="00432F93"/>
    <w:rsid w:val="00434C75"/>
    <w:rsid w:val="00435017"/>
    <w:rsid w:val="00442D9B"/>
    <w:rsid w:val="00443A97"/>
    <w:rsid w:val="00443D19"/>
    <w:rsid w:val="00444EC0"/>
    <w:rsid w:val="00446743"/>
    <w:rsid w:val="004467B8"/>
    <w:rsid w:val="00446E67"/>
    <w:rsid w:val="00446F17"/>
    <w:rsid w:val="00446F6F"/>
    <w:rsid w:val="004479A2"/>
    <w:rsid w:val="00451D9C"/>
    <w:rsid w:val="0045661F"/>
    <w:rsid w:val="004567D3"/>
    <w:rsid w:val="00456A33"/>
    <w:rsid w:val="004627BA"/>
    <w:rsid w:val="00462832"/>
    <w:rsid w:val="00464512"/>
    <w:rsid w:val="00464635"/>
    <w:rsid w:val="00464FC8"/>
    <w:rsid w:val="004652DB"/>
    <w:rsid w:val="0046541F"/>
    <w:rsid w:val="00466ACD"/>
    <w:rsid w:val="00467290"/>
    <w:rsid w:val="004705BF"/>
    <w:rsid w:val="00471F1E"/>
    <w:rsid w:val="00474E9D"/>
    <w:rsid w:val="00475475"/>
    <w:rsid w:val="0047561A"/>
    <w:rsid w:val="00475BE5"/>
    <w:rsid w:val="00476D23"/>
    <w:rsid w:val="00477A0A"/>
    <w:rsid w:val="00484053"/>
    <w:rsid w:val="004847D0"/>
    <w:rsid w:val="00484CC4"/>
    <w:rsid w:val="004865E7"/>
    <w:rsid w:val="00486626"/>
    <w:rsid w:val="004868F8"/>
    <w:rsid w:val="004876FA"/>
    <w:rsid w:val="00487CCB"/>
    <w:rsid w:val="004900DD"/>
    <w:rsid w:val="0049115C"/>
    <w:rsid w:val="00491583"/>
    <w:rsid w:val="004922A7"/>
    <w:rsid w:val="004939A3"/>
    <w:rsid w:val="00495247"/>
    <w:rsid w:val="00497BC7"/>
    <w:rsid w:val="004A2B26"/>
    <w:rsid w:val="004A4372"/>
    <w:rsid w:val="004A722D"/>
    <w:rsid w:val="004A7885"/>
    <w:rsid w:val="004B04E3"/>
    <w:rsid w:val="004B0D35"/>
    <w:rsid w:val="004B118E"/>
    <w:rsid w:val="004B5E3F"/>
    <w:rsid w:val="004B6625"/>
    <w:rsid w:val="004B676B"/>
    <w:rsid w:val="004B728A"/>
    <w:rsid w:val="004B74CE"/>
    <w:rsid w:val="004B76DD"/>
    <w:rsid w:val="004C08C6"/>
    <w:rsid w:val="004C165C"/>
    <w:rsid w:val="004C2D8B"/>
    <w:rsid w:val="004C3219"/>
    <w:rsid w:val="004C622F"/>
    <w:rsid w:val="004C653C"/>
    <w:rsid w:val="004C6AA9"/>
    <w:rsid w:val="004C6BF0"/>
    <w:rsid w:val="004C6FF2"/>
    <w:rsid w:val="004C7599"/>
    <w:rsid w:val="004D008A"/>
    <w:rsid w:val="004D0A42"/>
    <w:rsid w:val="004D2B57"/>
    <w:rsid w:val="004D34A0"/>
    <w:rsid w:val="004D3656"/>
    <w:rsid w:val="004D38E5"/>
    <w:rsid w:val="004D5EB6"/>
    <w:rsid w:val="004D70B2"/>
    <w:rsid w:val="004E0ACC"/>
    <w:rsid w:val="004E582E"/>
    <w:rsid w:val="004E764F"/>
    <w:rsid w:val="004E7808"/>
    <w:rsid w:val="004E7C41"/>
    <w:rsid w:val="004F03F8"/>
    <w:rsid w:val="004F04BC"/>
    <w:rsid w:val="004F0750"/>
    <w:rsid w:val="004F0E3B"/>
    <w:rsid w:val="004F221D"/>
    <w:rsid w:val="004F23A7"/>
    <w:rsid w:val="004F28F4"/>
    <w:rsid w:val="004F3E3D"/>
    <w:rsid w:val="004F4F50"/>
    <w:rsid w:val="004F5483"/>
    <w:rsid w:val="004F6061"/>
    <w:rsid w:val="004F6B33"/>
    <w:rsid w:val="004F7BCE"/>
    <w:rsid w:val="00502E1E"/>
    <w:rsid w:val="0050303E"/>
    <w:rsid w:val="0050360E"/>
    <w:rsid w:val="005043B7"/>
    <w:rsid w:val="00504CE0"/>
    <w:rsid w:val="0050526F"/>
    <w:rsid w:val="0050545F"/>
    <w:rsid w:val="0050687A"/>
    <w:rsid w:val="0050752D"/>
    <w:rsid w:val="00507EEA"/>
    <w:rsid w:val="00510215"/>
    <w:rsid w:val="00510AA9"/>
    <w:rsid w:val="00512908"/>
    <w:rsid w:val="005152EC"/>
    <w:rsid w:val="00516CF6"/>
    <w:rsid w:val="00516DB4"/>
    <w:rsid w:val="00520516"/>
    <w:rsid w:val="00520ABD"/>
    <w:rsid w:val="005211A6"/>
    <w:rsid w:val="00522026"/>
    <w:rsid w:val="00522E48"/>
    <w:rsid w:val="00523CCF"/>
    <w:rsid w:val="00524277"/>
    <w:rsid w:val="00525887"/>
    <w:rsid w:val="00527E84"/>
    <w:rsid w:val="0053254C"/>
    <w:rsid w:val="0053268B"/>
    <w:rsid w:val="00533780"/>
    <w:rsid w:val="005351ED"/>
    <w:rsid w:val="00536F76"/>
    <w:rsid w:val="0053711C"/>
    <w:rsid w:val="005375A8"/>
    <w:rsid w:val="00537CF2"/>
    <w:rsid w:val="005438C2"/>
    <w:rsid w:val="00544150"/>
    <w:rsid w:val="0054543D"/>
    <w:rsid w:val="005458C8"/>
    <w:rsid w:val="00545ED9"/>
    <w:rsid w:val="005464BD"/>
    <w:rsid w:val="005503C0"/>
    <w:rsid w:val="0055132A"/>
    <w:rsid w:val="005513E8"/>
    <w:rsid w:val="00551525"/>
    <w:rsid w:val="00552CA2"/>
    <w:rsid w:val="005534EF"/>
    <w:rsid w:val="005544D7"/>
    <w:rsid w:val="00554517"/>
    <w:rsid w:val="00554E40"/>
    <w:rsid w:val="00557C71"/>
    <w:rsid w:val="005606BD"/>
    <w:rsid w:val="0056273A"/>
    <w:rsid w:val="005638B3"/>
    <w:rsid w:val="0056440A"/>
    <w:rsid w:val="00564AE9"/>
    <w:rsid w:val="00566882"/>
    <w:rsid w:val="005675FC"/>
    <w:rsid w:val="00567DE9"/>
    <w:rsid w:val="00570116"/>
    <w:rsid w:val="005709E5"/>
    <w:rsid w:val="00571E51"/>
    <w:rsid w:val="00572B19"/>
    <w:rsid w:val="005733CD"/>
    <w:rsid w:val="0057353A"/>
    <w:rsid w:val="00573C2A"/>
    <w:rsid w:val="00573CF8"/>
    <w:rsid w:val="005745FE"/>
    <w:rsid w:val="00574C46"/>
    <w:rsid w:val="00576441"/>
    <w:rsid w:val="00576481"/>
    <w:rsid w:val="0057731C"/>
    <w:rsid w:val="00577B24"/>
    <w:rsid w:val="005814A9"/>
    <w:rsid w:val="00581AE8"/>
    <w:rsid w:val="005822CE"/>
    <w:rsid w:val="0058343A"/>
    <w:rsid w:val="00585CA0"/>
    <w:rsid w:val="00585FA4"/>
    <w:rsid w:val="00586E76"/>
    <w:rsid w:val="005871A8"/>
    <w:rsid w:val="005871BD"/>
    <w:rsid w:val="00590E67"/>
    <w:rsid w:val="00592192"/>
    <w:rsid w:val="00592C7A"/>
    <w:rsid w:val="00593B6E"/>
    <w:rsid w:val="005944B5"/>
    <w:rsid w:val="00594567"/>
    <w:rsid w:val="00595552"/>
    <w:rsid w:val="00597258"/>
    <w:rsid w:val="005A01B7"/>
    <w:rsid w:val="005A0A6B"/>
    <w:rsid w:val="005A26CF"/>
    <w:rsid w:val="005A2965"/>
    <w:rsid w:val="005A417E"/>
    <w:rsid w:val="005A4CA4"/>
    <w:rsid w:val="005A5097"/>
    <w:rsid w:val="005A57D6"/>
    <w:rsid w:val="005A6C3D"/>
    <w:rsid w:val="005A7C53"/>
    <w:rsid w:val="005B207F"/>
    <w:rsid w:val="005B5B5D"/>
    <w:rsid w:val="005B630F"/>
    <w:rsid w:val="005B6C52"/>
    <w:rsid w:val="005C03A3"/>
    <w:rsid w:val="005C17D0"/>
    <w:rsid w:val="005C40C9"/>
    <w:rsid w:val="005C4C8B"/>
    <w:rsid w:val="005C4CDC"/>
    <w:rsid w:val="005C6FBA"/>
    <w:rsid w:val="005D01F0"/>
    <w:rsid w:val="005D2032"/>
    <w:rsid w:val="005D32BA"/>
    <w:rsid w:val="005D4135"/>
    <w:rsid w:val="005D54E9"/>
    <w:rsid w:val="005D6081"/>
    <w:rsid w:val="005D6A8D"/>
    <w:rsid w:val="005D7F90"/>
    <w:rsid w:val="005E0026"/>
    <w:rsid w:val="005E271A"/>
    <w:rsid w:val="005E3BA3"/>
    <w:rsid w:val="005E3F11"/>
    <w:rsid w:val="005E44AA"/>
    <w:rsid w:val="005E4500"/>
    <w:rsid w:val="005E510B"/>
    <w:rsid w:val="005E6240"/>
    <w:rsid w:val="005E74B5"/>
    <w:rsid w:val="005F04CF"/>
    <w:rsid w:val="005F1D79"/>
    <w:rsid w:val="005F369D"/>
    <w:rsid w:val="005F3774"/>
    <w:rsid w:val="005F58D8"/>
    <w:rsid w:val="005F6391"/>
    <w:rsid w:val="005F650D"/>
    <w:rsid w:val="005F7949"/>
    <w:rsid w:val="005F7CE4"/>
    <w:rsid w:val="005F7D32"/>
    <w:rsid w:val="00600578"/>
    <w:rsid w:val="006008A9"/>
    <w:rsid w:val="00601561"/>
    <w:rsid w:val="006020DA"/>
    <w:rsid w:val="0060247A"/>
    <w:rsid w:val="00604498"/>
    <w:rsid w:val="00604D9C"/>
    <w:rsid w:val="0060639C"/>
    <w:rsid w:val="0060652B"/>
    <w:rsid w:val="00606D29"/>
    <w:rsid w:val="00606E24"/>
    <w:rsid w:val="006072C6"/>
    <w:rsid w:val="00610580"/>
    <w:rsid w:val="006119D1"/>
    <w:rsid w:val="00611DA5"/>
    <w:rsid w:val="0061543C"/>
    <w:rsid w:val="00615C37"/>
    <w:rsid w:val="00617013"/>
    <w:rsid w:val="006211FB"/>
    <w:rsid w:val="0062406F"/>
    <w:rsid w:val="00624A73"/>
    <w:rsid w:val="00624DB9"/>
    <w:rsid w:val="00624FB8"/>
    <w:rsid w:val="006255A2"/>
    <w:rsid w:val="006269AC"/>
    <w:rsid w:val="006278C5"/>
    <w:rsid w:val="00630698"/>
    <w:rsid w:val="00630850"/>
    <w:rsid w:val="00631589"/>
    <w:rsid w:val="00631CD5"/>
    <w:rsid w:val="00632241"/>
    <w:rsid w:val="006360F8"/>
    <w:rsid w:val="00636197"/>
    <w:rsid w:val="00637EF2"/>
    <w:rsid w:val="006405D7"/>
    <w:rsid w:val="006429EE"/>
    <w:rsid w:val="00642B10"/>
    <w:rsid w:val="00642E88"/>
    <w:rsid w:val="006431C5"/>
    <w:rsid w:val="00643353"/>
    <w:rsid w:val="0064458F"/>
    <w:rsid w:val="006462CA"/>
    <w:rsid w:val="00646D46"/>
    <w:rsid w:val="00647A2F"/>
    <w:rsid w:val="0065009B"/>
    <w:rsid w:val="00650393"/>
    <w:rsid w:val="00650CA7"/>
    <w:rsid w:val="00650EFB"/>
    <w:rsid w:val="00651087"/>
    <w:rsid w:val="00651924"/>
    <w:rsid w:val="00652513"/>
    <w:rsid w:val="00653070"/>
    <w:rsid w:val="006539DF"/>
    <w:rsid w:val="00654897"/>
    <w:rsid w:val="006555A9"/>
    <w:rsid w:val="006556B1"/>
    <w:rsid w:val="00655867"/>
    <w:rsid w:val="0065590A"/>
    <w:rsid w:val="00655D8B"/>
    <w:rsid w:val="00657235"/>
    <w:rsid w:val="00660945"/>
    <w:rsid w:val="00660F43"/>
    <w:rsid w:val="00661160"/>
    <w:rsid w:val="0066183D"/>
    <w:rsid w:val="00662110"/>
    <w:rsid w:val="00663A40"/>
    <w:rsid w:val="0066477F"/>
    <w:rsid w:val="006649D6"/>
    <w:rsid w:val="00666D2D"/>
    <w:rsid w:val="006678D5"/>
    <w:rsid w:val="00667922"/>
    <w:rsid w:val="00671EE5"/>
    <w:rsid w:val="00672A96"/>
    <w:rsid w:val="006770B9"/>
    <w:rsid w:val="00681429"/>
    <w:rsid w:val="00682147"/>
    <w:rsid w:val="00687002"/>
    <w:rsid w:val="006876D7"/>
    <w:rsid w:val="00690049"/>
    <w:rsid w:val="00690DB7"/>
    <w:rsid w:val="006922C2"/>
    <w:rsid w:val="006930D0"/>
    <w:rsid w:val="00693A7E"/>
    <w:rsid w:val="00693D3B"/>
    <w:rsid w:val="00694EF0"/>
    <w:rsid w:val="00694EFF"/>
    <w:rsid w:val="0069745B"/>
    <w:rsid w:val="00697BA4"/>
    <w:rsid w:val="006A005D"/>
    <w:rsid w:val="006A0EEE"/>
    <w:rsid w:val="006A1135"/>
    <w:rsid w:val="006A1BAF"/>
    <w:rsid w:val="006A33D6"/>
    <w:rsid w:val="006A4C15"/>
    <w:rsid w:val="006A53D7"/>
    <w:rsid w:val="006A5D29"/>
    <w:rsid w:val="006A5E9F"/>
    <w:rsid w:val="006A5F0F"/>
    <w:rsid w:val="006A722A"/>
    <w:rsid w:val="006A75BF"/>
    <w:rsid w:val="006B032B"/>
    <w:rsid w:val="006B47DF"/>
    <w:rsid w:val="006B4825"/>
    <w:rsid w:val="006B4DF7"/>
    <w:rsid w:val="006B5C40"/>
    <w:rsid w:val="006C0181"/>
    <w:rsid w:val="006C0563"/>
    <w:rsid w:val="006C1A1B"/>
    <w:rsid w:val="006C4B63"/>
    <w:rsid w:val="006C5042"/>
    <w:rsid w:val="006C5775"/>
    <w:rsid w:val="006C78C7"/>
    <w:rsid w:val="006D004B"/>
    <w:rsid w:val="006D0A12"/>
    <w:rsid w:val="006D1361"/>
    <w:rsid w:val="006D21F2"/>
    <w:rsid w:val="006D2F89"/>
    <w:rsid w:val="006D35FF"/>
    <w:rsid w:val="006D50D0"/>
    <w:rsid w:val="006D5854"/>
    <w:rsid w:val="006D6303"/>
    <w:rsid w:val="006D6FDB"/>
    <w:rsid w:val="006E122B"/>
    <w:rsid w:val="006E13DF"/>
    <w:rsid w:val="006E20FA"/>
    <w:rsid w:val="006E3C50"/>
    <w:rsid w:val="006E5480"/>
    <w:rsid w:val="006E6886"/>
    <w:rsid w:val="006E69E3"/>
    <w:rsid w:val="006E7018"/>
    <w:rsid w:val="006E7263"/>
    <w:rsid w:val="006F007A"/>
    <w:rsid w:val="006F088D"/>
    <w:rsid w:val="006F1312"/>
    <w:rsid w:val="006F19E5"/>
    <w:rsid w:val="006F21EE"/>
    <w:rsid w:val="006F382C"/>
    <w:rsid w:val="006F41DB"/>
    <w:rsid w:val="006F48A7"/>
    <w:rsid w:val="006F4A40"/>
    <w:rsid w:val="006F5CC8"/>
    <w:rsid w:val="006F7285"/>
    <w:rsid w:val="006F7EDE"/>
    <w:rsid w:val="00700856"/>
    <w:rsid w:val="0070239D"/>
    <w:rsid w:val="0070624A"/>
    <w:rsid w:val="0070739E"/>
    <w:rsid w:val="007105D2"/>
    <w:rsid w:val="00710A5A"/>
    <w:rsid w:val="00710FD3"/>
    <w:rsid w:val="00711382"/>
    <w:rsid w:val="00713874"/>
    <w:rsid w:val="00714895"/>
    <w:rsid w:val="00715A21"/>
    <w:rsid w:val="00715CAB"/>
    <w:rsid w:val="007161ED"/>
    <w:rsid w:val="00716553"/>
    <w:rsid w:val="007177E2"/>
    <w:rsid w:val="007240A6"/>
    <w:rsid w:val="00724727"/>
    <w:rsid w:val="007248E9"/>
    <w:rsid w:val="007261C5"/>
    <w:rsid w:val="00726649"/>
    <w:rsid w:val="007267F3"/>
    <w:rsid w:val="00731762"/>
    <w:rsid w:val="00733DBF"/>
    <w:rsid w:val="007354D1"/>
    <w:rsid w:val="00737CA8"/>
    <w:rsid w:val="00740355"/>
    <w:rsid w:val="00740FD8"/>
    <w:rsid w:val="00741748"/>
    <w:rsid w:val="00742AD4"/>
    <w:rsid w:val="00744968"/>
    <w:rsid w:val="007465D5"/>
    <w:rsid w:val="00746B93"/>
    <w:rsid w:val="0074786B"/>
    <w:rsid w:val="0075072C"/>
    <w:rsid w:val="00750978"/>
    <w:rsid w:val="00752CD0"/>
    <w:rsid w:val="00752D91"/>
    <w:rsid w:val="00753EA6"/>
    <w:rsid w:val="00754805"/>
    <w:rsid w:val="007549FF"/>
    <w:rsid w:val="00762F8A"/>
    <w:rsid w:val="007631A1"/>
    <w:rsid w:val="00764375"/>
    <w:rsid w:val="007652BF"/>
    <w:rsid w:val="007653F3"/>
    <w:rsid w:val="00765429"/>
    <w:rsid w:val="007673D6"/>
    <w:rsid w:val="00767AB8"/>
    <w:rsid w:val="00767C8F"/>
    <w:rsid w:val="0077066E"/>
    <w:rsid w:val="007706CC"/>
    <w:rsid w:val="00772084"/>
    <w:rsid w:val="0077261B"/>
    <w:rsid w:val="007727F9"/>
    <w:rsid w:val="00772C52"/>
    <w:rsid w:val="00773260"/>
    <w:rsid w:val="007772A1"/>
    <w:rsid w:val="00782635"/>
    <w:rsid w:val="00782D38"/>
    <w:rsid w:val="007866B0"/>
    <w:rsid w:val="00787BF1"/>
    <w:rsid w:val="00790DEE"/>
    <w:rsid w:val="00791520"/>
    <w:rsid w:val="00794071"/>
    <w:rsid w:val="0079430F"/>
    <w:rsid w:val="007945A1"/>
    <w:rsid w:val="00794843"/>
    <w:rsid w:val="00797E71"/>
    <w:rsid w:val="007A1110"/>
    <w:rsid w:val="007A2649"/>
    <w:rsid w:val="007A3B26"/>
    <w:rsid w:val="007A474F"/>
    <w:rsid w:val="007A5442"/>
    <w:rsid w:val="007A6643"/>
    <w:rsid w:val="007A68A4"/>
    <w:rsid w:val="007B373F"/>
    <w:rsid w:val="007B37D4"/>
    <w:rsid w:val="007B4BA6"/>
    <w:rsid w:val="007B63D0"/>
    <w:rsid w:val="007B678B"/>
    <w:rsid w:val="007B77FC"/>
    <w:rsid w:val="007B793B"/>
    <w:rsid w:val="007C571E"/>
    <w:rsid w:val="007C6275"/>
    <w:rsid w:val="007C6562"/>
    <w:rsid w:val="007D1673"/>
    <w:rsid w:val="007D1895"/>
    <w:rsid w:val="007D4D17"/>
    <w:rsid w:val="007D5A3A"/>
    <w:rsid w:val="007D5FD7"/>
    <w:rsid w:val="007D635B"/>
    <w:rsid w:val="007E03E0"/>
    <w:rsid w:val="007E0BF6"/>
    <w:rsid w:val="007E12E6"/>
    <w:rsid w:val="007E167F"/>
    <w:rsid w:val="007E1E62"/>
    <w:rsid w:val="007E387B"/>
    <w:rsid w:val="007E770C"/>
    <w:rsid w:val="007F06A6"/>
    <w:rsid w:val="007F083B"/>
    <w:rsid w:val="007F1CB6"/>
    <w:rsid w:val="007F1F19"/>
    <w:rsid w:val="007F2C48"/>
    <w:rsid w:val="007F50D4"/>
    <w:rsid w:val="007F5D41"/>
    <w:rsid w:val="007F7417"/>
    <w:rsid w:val="00800938"/>
    <w:rsid w:val="0080224E"/>
    <w:rsid w:val="008024D6"/>
    <w:rsid w:val="00802707"/>
    <w:rsid w:val="00804BE9"/>
    <w:rsid w:val="00805AE8"/>
    <w:rsid w:val="00805FD5"/>
    <w:rsid w:val="0080672D"/>
    <w:rsid w:val="00810E6B"/>
    <w:rsid w:val="00814724"/>
    <w:rsid w:val="00814B75"/>
    <w:rsid w:val="00814E18"/>
    <w:rsid w:val="00815065"/>
    <w:rsid w:val="00815D92"/>
    <w:rsid w:val="00815E09"/>
    <w:rsid w:val="00816356"/>
    <w:rsid w:val="0081636C"/>
    <w:rsid w:val="00816C44"/>
    <w:rsid w:val="008177CC"/>
    <w:rsid w:val="00820205"/>
    <w:rsid w:val="0082046C"/>
    <w:rsid w:val="00820B0F"/>
    <w:rsid w:val="00823190"/>
    <w:rsid w:val="0082347A"/>
    <w:rsid w:val="00823BD9"/>
    <w:rsid w:val="008243ED"/>
    <w:rsid w:val="0082521F"/>
    <w:rsid w:val="008258EF"/>
    <w:rsid w:val="00826474"/>
    <w:rsid w:val="00826AB7"/>
    <w:rsid w:val="00830606"/>
    <w:rsid w:val="0083081A"/>
    <w:rsid w:val="0083116D"/>
    <w:rsid w:val="00831F52"/>
    <w:rsid w:val="00832CD3"/>
    <w:rsid w:val="008337E4"/>
    <w:rsid w:val="00834147"/>
    <w:rsid w:val="008348AF"/>
    <w:rsid w:val="00840AF9"/>
    <w:rsid w:val="00841643"/>
    <w:rsid w:val="00842234"/>
    <w:rsid w:val="00842313"/>
    <w:rsid w:val="00842D8B"/>
    <w:rsid w:val="00843091"/>
    <w:rsid w:val="008431DD"/>
    <w:rsid w:val="008434E2"/>
    <w:rsid w:val="00843F34"/>
    <w:rsid w:val="00844BFC"/>
    <w:rsid w:val="008451E1"/>
    <w:rsid w:val="0084552E"/>
    <w:rsid w:val="008477A5"/>
    <w:rsid w:val="00847DB3"/>
    <w:rsid w:val="008503CE"/>
    <w:rsid w:val="008506B2"/>
    <w:rsid w:val="00851C76"/>
    <w:rsid w:val="0085214B"/>
    <w:rsid w:val="00852A2B"/>
    <w:rsid w:val="00854B3C"/>
    <w:rsid w:val="00854C10"/>
    <w:rsid w:val="00854E09"/>
    <w:rsid w:val="008552B4"/>
    <w:rsid w:val="0085583E"/>
    <w:rsid w:val="00855D07"/>
    <w:rsid w:val="00856D2A"/>
    <w:rsid w:val="0085772C"/>
    <w:rsid w:val="008615A6"/>
    <w:rsid w:val="00861843"/>
    <w:rsid w:val="00861D12"/>
    <w:rsid w:val="0086248F"/>
    <w:rsid w:val="008625BC"/>
    <w:rsid w:val="00862791"/>
    <w:rsid w:val="00863153"/>
    <w:rsid w:val="008633AE"/>
    <w:rsid w:val="00863F03"/>
    <w:rsid w:val="00864794"/>
    <w:rsid w:val="008651CF"/>
    <w:rsid w:val="008654C1"/>
    <w:rsid w:val="00865DD2"/>
    <w:rsid w:val="00865F59"/>
    <w:rsid w:val="00867BB8"/>
    <w:rsid w:val="00870A6E"/>
    <w:rsid w:val="008710D0"/>
    <w:rsid w:val="008719B1"/>
    <w:rsid w:val="00872DDB"/>
    <w:rsid w:val="00873D4D"/>
    <w:rsid w:val="00875976"/>
    <w:rsid w:val="0087600C"/>
    <w:rsid w:val="00876F31"/>
    <w:rsid w:val="008779A2"/>
    <w:rsid w:val="00880F06"/>
    <w:rsid w:val="00882045"/>
    <w:rsid w:val="008843FB"/>
    <w:rsid w:val="00886971"/>
    <w:rsid w:val="00887743"/>
    <w:rsid w:val="00887DCE"/>
    <w:rsid w:val="0089044D"/>
    <w:rsid w:val="00890DD2"/>
    <w:rsid w:val="00890FE4"/>
    <w:rsid w:val="008911D8"/>
    <w:rsid w:val="00891892"/>
    <w:rsid w:val="00892ED4"/>
    <w:rsid w:val="00892FB8"/>
    <w:rsid w:val="0089412A"/>
    <w:rsid w:val="00894219"/>
    <w:rsid w:val="008947B0"/>
    <w:rsid w:val="0089546B"/>
    <w:rsid w:val="0089576A"/>
    <w:rsid w:val="00895C72"/>
    <w:rsid w:val="008967CC"/>
    <w:rsid w:val="00896943"/>
    <w:rsid w:val="00897380"/>
    <w:rsid w:val="00897BF0"/>
    <w:rsid w:val="008A00B8"/>
    <w:rsid w:val="008A11DB"/>
    <w:rsid w:val="008A1696"/>
    <w:rsid w:val="008A2714"/>
    <w:rsid w:val="008A3FA4"/>
    <w:rsid w:val="008A4945"/>
    <w:rsid w:val="008A65D8"/>
    <w:rsid w:val="008A70A3"/>
    <w:rsid w:val="008A7995"/>
    <w:rsid w:val="008A7BAF"/>
    <w:rsid w:val="008B0029"/>
    <w:rsid w:val="008B0076"/>
    <w:rsid w:val="008B070D"/>
    <w:rsid w:val="008B343E"/>
    <w:rsid w:val="008B3EDF"/>
    <w:rsid w:val="008B4F3A"/>
    <w:rsid w:val="008B60B1"/>
    <w:rsid w:val="008B65DD"/>
    <w:rsid w:val="008B662D"/>
    <w:rsid w:val="008B6D35"/>
    <w:rsid w:val="008B7C40"/>
    <w:rsid w:val="008C06F1"/>
    <w:rsid w:val="008C0CC8"/>
    <w:rsid w:val="008C148A"/>
    <w:rsid w:val="008C14A3"/>
    <w:rsid w:val="008C1D67"/>
    <w:rsid w:val="008C27A2"/>
    <w:rsid w:val="008C2853"/>
    <w:rsid w:val="008C2CB8"/>
    <w:rsid w:val="008C5975"/>
    <w:rsid w:val="008C78B8"/>
    <w:rsid w:val="008D09C3"/>
    <w:rsid w:val="008D0DD1"/>
    <w:rsid w:val="008D1C8B"/>
    <w:rsid w:val="008D26A1"/>
    <w:rsid w:val="008D42C6"/>
    <w:rsid w:val="008D49FE"/>
    <w:rsid w:val="008D4A2F"/>
    <w:rsid w:val="008D51EC"/>
    <w:rsid w:val="008D5E09"/>
    <w:rsid w:val="008D61BC"/>
    <w:rsid w:val="008D77F5"/>
    <w:rsid w:val="008D7D18"/>
    <w:rsid w:val="008E05A6"/>
    <w:rsid w:val="008E2CA7"/>
    <w:rsid w:val="008E38CB"/>
    <w:rsid w:val="008E39A1"/>
    <w:rsid w:val="008E3AA0"/>
    <w:rsid w:val="008E3EC4"/>
    <w:rsid w:val="008E4583"/>
    <w:rsid w:val="008E7E53"/>
    <w:rsid w:val="008F0A83"/>
    <w:rsid w:val="008F2E0C"/>
    <w:rsid w:val="008F48D7"/>
    <w:rsid w:val="008F6908"/>
    <w:rsid w:val="008F7BE3"/>
    <w:rsid w:val="009036AF"/>
    <w:rsid w:val="00903B14"/>
    <w:rsid w:val="0090407B"/>
    <w:rsid w:val="009040F2"/>
    <w:rsid w:val="0090418B"/>
    <w:rsid w:val="009047A1"/>
    <w:rsid w:val="00905779"/>
    <w:rsid w:val="00905C80"/>
    <w:rsid w:val="00905DE8"/>
    <w:rsid w:val="00906150"/>
    <w:rsid w:val="009061CE"/>
    <w:rsid w:val="0090728F"/>
    <w:rsid w:val="00913258"/>
    <w:rsid w:val="009133AD"/>
    <w:rsid w:val="009136E0"/>
    <w:rsid w:val="00915140"/>
    <w:rsid w:val="00916BA4"/>
    <w:rsid w:val="0091726D"/>
    <w:rsid w:val="00917CE7"/>
    <w:rsid w:val="00917EE7"/>
    <w:rsid w:val="009209FC"/>
    <w:rsid w:val="00922A20"/>
    <w:rsid w:val="00922C0C"/>
    <w:rsid w:val="00923936"/>
    <w:rsid w:val="00924CCB"/>
    <w:rsid w:val="00925B23"/>
    <w:rsid w:val="00926965"/>
    <w:rsid w:val="009274CF"/>
    <w:rsid w:val="00930077"/>
    <w:rsid w:val="0093055B"/>
    <w:rsid w:val="00930B71"/>
    <w:rsid w:val="009316A3"/>
    <w:rsid w:val="00931FBF"/>
    <w:rsid w:val="00932C32"/>
    <w:rsid w:val="0093312A"/>
    <w:rsid w:val="009336B6"/>
    <w:rsid w:val="00935E6F"/>
    <w:rsid w:val="00936480"/>
    <w:rsid w:val="00936836"/>
    <w:rsid w:val="0093724E"/>
    <w:rsid w:val="00937292"/>
    <w:rsid w:val="00940024"/>
    <w:rsid w:val="00941865"/>
    <w:rsid w:val="009428C0"/>
    <w:rsid w:val="00943BC8"/>
    <w:rsid w:val="00943F3B"/>
    <w:rsid w:val="00945000"/>
    <w:rsid w:val="00945770"/>
    <w:rsid w:val="00945DB2"/>
    <w:rsid w:val="00945E7D"/>
    <w:rsid w:val="00947624"/>
    <w:rsid w:val="00950EF9"/>
    <w:rsid w:val="00953C3D"/>
    <w:rsid w:val="00953F1B"/>
    <w:rsid w:val="00955B0C"/>
    <w:rsid w:val="00956979"/>
    <w:rsid w:val="00960111"/>
    <w:rsid w:val="00960BFB"/>
    <w:rsid w:val="0096170D"/>
    <w:rsid w:val="0096390B"/>
    <w:rsid w:val="00964007"/>
    <w:rsid w:val="009658FA"/>
    <w:rsid w:val="00966F17"/>
    <w:rsid w:val="00967681"/>
    <w:rsid w:val="009706B6"/>
    <w:rsid w:val="009711FB"/>
    <w:rsid w:val="00971939"/>
    <w:rsid w:val="00972380"/>
    <w:rsid w:val="009725D2"/>
    <w:rsid w:val="0097306C"/>
    <w:rsid w:val="00973A5C"/>
    <w:rsid w:val="00973C3C"/>
    <w:rsid w:val="00974381"/>
    <w:rsid w:val="00974FBC"/>
    <w:rsid w:val="009760A8"/>
    <w:rsid w:val="009768BA"/>
    <w:rsid w:val="00980014"/>
    <w:rsid w:val="009804D2"/>
    <w:rsid w:val="00980783"/>
    <w:rsid w:val="0098161F"/>
    <w:rsid w:val="0098167D"/>
    <w:rsid w:val="0098198A"/>
    <w:rsid w:val="00981A40"/>
    <w:rsid w:val="009820D9"/>
    <w:rsid w:val="0098381A"/>
    <w:rsid w:val="009842AD"/>
    <w:rsid w:val="00985203"/>
    <w:rsid w:val="009855F4"/>
    <w:rsid w:val="00985603"/>
    <w:rsid w:val="00991081"/>
    <w:rsid w:val="009919B8"/>
    <w:rsid w:val="0099382B"/>
    <w:rsid w:val="009941F8"/>
    <w:rsid w:val="00995009"/>
    <w:rsid w:val="00995A12"/>
    <w:rsid w:val="00995F2A"/>
    <w:rsid w:val="009965D4"/>
    <w:rsid w:val="00997E4F"/>
    <w:rsid w:val="009A2043"/>
    <w:rsid w:val="009A2D94"/>
    <w:rsid w:val="009A4486"/>
    <w:rsid w:val="009A4578"/>
    <w:rsid w:val="009A51E8"/>
    <w:rsid w:val="009A604D"/>
    <w:rsid w:val="009A6654"/>
    <w:rsid w:val="009B090E"/>
    <w:rsid w:val="009B1283"/>
    <w:rsid w:val="009B168D"/>
    <w:rsid w:val="009B1CCF"/>
    <w:rsid w:val="009B22A7"/>
    <w:rsid w:val="009B3B6A"/>
    <w:rsid w:val="009B3F83"/>
    <w:rsid w:val="009B4438"/>
    <w:rsid w:val="009C0486"/>
    <w:rsid w:val="009C2690"/>
    <w:rsid w:val="009C286A"/>
    <w:rsid w:val="009C3D2D"/>
    <w:rsid w:val="009C3DDC"/>
    <w:rsid w:val="009C4DE1"/>
    <w:rsid w:val="009C502C"/>
    <w:rsid w:val="009C767A"/>
    <w:rsid w:val="009C7827"/>
    <w:rsid w:val="009D02D7"/>
    <w:rsid w:val="009D0D9D"/>
    <w:rsid w:val="009D1E9D"/>
    <w:rsid w:val="009D26B0"/>
    <w:rsid w:val="009D5497"/>
    <w:rsid w:val="009D5B7C"/>
    <w:rsid w:val="009D69BD"/>
    <w:rsid w:val="009E042C"/>
    <w:rsid w:val="009E1963"/>
    <w:rsid w:val="009E464A"/>
    <w:rsid w:val="009E46B5"/>
    <w:rsid w:val="009E4A10"/>
    <w:rsid w:val="009E4E4E"/>
    <w:rsid w:val="009E6663"/>
    <w:rsid w:val="009E7778"/>
    <w:rsid w:val="009F06DC"/>
    <w:rsid w:val="009F093A"/>
    <w:rsid w:val="009F2F64"/>
    <w:rsid w:val="009F303A"/>
    <w:rsid w:val="009F3E2A"/>
    <w:rsid w:val="009F482C"/>
    <w:rsid w:val="009F5AA2"/>
    <w:rsid w:val="009F7558"/>
    <w:rsid w:val="009F77C2"/>
    <w:rsid w:val="009F77E5"/>
    <w:rsid w:val="009F7E40"/>
    <w:rsid w:val="00A0023E"/>
    <w:rsid w:val="00A00384"/>
    <w:rsid w:val="00A01E19"/>
    <w:rsid w:val="00A02F36"/>
    <w:rsid w:val="00A03CBC"/>
    <w:rsid w:val="00A06485"/>
    <w:rsid w:val="00A07117"/>
    <w:rsid w:val="00A07175"/>
    <w:rsid w:val="00A11940"/>
    <w:rsid w:val="00A1308D"/>
    <w:rsid w:val="00A14ACC"/>
    <w:rsid w:val="00A20A61"/>
    <w:rsid w:val="00A22125"/>
    <w:rsid w:val="00A224E7"/>
    <w:rsid w:val="00A245B2"/>
    <w:rsid w:val="00A26E2D"/>
    <w:rsid w:val="00A27F2C"/>
    <w:rsid w:val="00A31B3C"/>
    <w:rsid w:val="00A3310D"/>
    <w:rsid w:val="00A347B0"/>
    <w:rsid w:val="00A372FB"/>
    <w:rsid w:val="00A37812"/>
    <w:rsid w:val="00A3782D"/>
    <w:rsid w:val="00A40CE0"/>
    <w:rsid w:val="00A41210"/>
    <w:rsid w:val="00A43782"/>
    <w:rsid w:val="00A442BC"/>
    <w:rsid w:val="00A44A5A"/>
    <w:rsid w:val="00A44CF8"/>
    <w:rsid w:val="00A454A2"/>
    <w:rsid w:val="00A45BEB"/>
    <w:rsid w:val="00A46497"/>
    <w:rsid w:val="00A46A90"/>
    <w:rsid w:val="00A5791A"/>
    <w:rsid w:val="00A60A21"/>
    <w:rsid w:val="00A60AD5"/>
    <w:rsid w:val="00A60BE7"/>
    <w:rsid w:val="00A60D34"/>
    <w:rsid w:val="00A60F35"/>
    <w:rsid w:val="00A618E2"/>
    <w:rsid w:val="00A61DB8"/>
    <w:rsid w:val="00A629D2"/>
    <w:rsid w:val="00A63355"/>
    <w:rsid w:val="00A63DBD"/>
    <w:rsid w:val="00A663FF"/>
    <w:rsid w:val="00A7007E"/>
    <w:rsid w:val="00A705A7"/>
    <w:rsid w:val="00A71AF5"/>
    <w:rsid w:val="00A73E46"/>
    <w:rsid w:val="00A74381"/>
    <w:rsid w:val="00A7517E"/>
    <w:rsid w:val="00A7522F"/>
    <w:rsid w:val="00A80A49"/>
    <w:rsid w:val="00A80C49"/>
    <w:rsid w:val="00A81427"/>
    <w:rsid w:val="00A81FAD"/>
    <w:rsid w:val="00A8246C"/>
    <w:rsid w:val="00A831EB"/>
    <w:rsid w:val="00A8344B"/>
    <w:rsid w:val="00A8579F"/>
    <w:rsid w:val="00A85ABE"/>
    <w:rsid w:val="00A9426C"/>
    <w:rsid w:val="00A94859"/>
    <w:rsid w:val="00A95362"/>
    <w:rsid w:val="00A96247"/>
    <w:rsid w:val="00A96CB7"/>
    <w:rsid w:val="00A9788B"/>
    <w:rsid w:val="00AA3765"/>
    <w:rsid w:val="00AA3B4E"/>
    <w:rsid w:val="00AA430B"/>
    <w:rsid w:val="00AA4D20"/>
    <w:rsid w:val="00AA5243"/>
    <w:rsid w:val="00AA545F"/>
    <w:rsid w:val="00AA5C8E"/>
    <w:rsid w:val="00AA6168"/>
    <w:rsid w:val="00AA6266"/>
    <w:rsid w:val="00AA6F30"/>
    <w:rsid w:val="00AA7128"/>
    <w:rsid w:val="00AA7BF4"/>
    <w:rsid w:val="00AB078F"/>
    <w:rsid w:val="00AB1FD3"/>
    <w:rsid w:val="00AB3C92"/>
    <w:rsid w:val="00AC0A53"/>
    <w:rsid w:val="00AC129F"/>
    <w:rsid w:val="00AC21ED"/>
    <w:rsid w:val="00AC2C35"/>
    <w:rsid w:val="00AC2DFA"/>
    <w:rsid w:val="00AC308E"/>
    <w:rsid w:val="00AC4615"/>
    <w:rsid w:val="00AC7D73"/>
    <w:rsid w:val="00AD2842"/>
    <w:rsid w:val="00AD28B9"/>
    <w:rsid w:val="00AD3CB9"/>
    <w:rsid w:val="00AD72F9"/>
    <w:rsid w:val="00AE08C9"/>
    <w:rsid w:val="00AE216D"/>
    <w:rsid w:val="00AE2C06"/>
    <w:rsid w:val="00AE4AE8"/>
    <w:rsid w:val="00AE6194"/>
    <w:rsid w:val="00AE668B"/>
    <w:rsid w:val="00AF39E2"/>
    <w:rsid w:val="00AF4335"/>
    <w:rsid w:val="00AF547F"/>
    <w:rsid w:val="00AF6FBC"/>
    <w:rsid w:val="00B012ED"/>
    <w:rsid w:val="00B01E44"/>
    <w:rsid w:val="00B023E1"/>
    <w:rsid w:val="00B04403"/>
    <w:rsid w:val="00B0483E"/>
    <w:rsid w:val="00B0490E"/>
    <w:rsid w:val="00B0510F"/>
    <w:rsid w:val="00B05CFC"/>
    <w:rsid w:val="00B12EA7"/>
    <w:rsid w:val="00B1335D"/>
    <w:rsid w:val="00B14764"/>
    <w:rsid w:val="00B14DCB"/>
    <w:rsid w:val="00B15DE7"/>
    <w:rsid w:val="00B161F1"/>
    <w:rsid w:val="00B16EA7"/>
    <w:rsid w:val="00B17339"/>
    <w:rsid w:val="00B173CA"/>
    <w:rsid w:val="00B20E14"/>
    <w:rsid w:val="00B22553"/>
    <w:rsid w:val="00B23B05"/>
    <w:rsid w:val="00B240CF"/>
    <w:rsid w:val="00B24898"/>
    <w:rsid w:val="00B24C22"/>
    <w:rsid w:val="00B25E59"/>
    <w:rsid w:val="00B261FE"/>
    <w:rsid w:val="00B26F47"/>
    <w:rsid w:val="00B32F16"/>
    <w:rsid w:val="00B331B3"/>
    <w:rsid w:val="00B35E4F"/>
    <w:rsid w:val="00B36879"/>
    <w:rsid w:val="00B36E9A"/>
    <w:rsid w:val="00B36F31"/>
    <w:rsid w:val="00B40038"/>
    <w:rsid w:val="00B40419"/>
    <w:rsid w:val="00B40DC4"/>
    <w:rsid w:val="00B4183C"/>
    <w:rsid w:val="00B4206A"/>
    <w:rsid w:val="00B441D1"/>
    <w:rsid w:val="00B4444E"/>
    <w:rsid w:val="00B44A63"/>
    <w:rsid w:val="00B456D3"/>
    <w:rsid w:val="00B45F52"/>
    <w:rsid w:val="00B4689B"/>
    <w:rsid w:val="00B47701"/>
    <w:rsid w:val="00B47CD1"/>
    <w:rsid w:val="00B5089A"/>
    <w:rsid w:val="00B513B6"/>
    <w:rsid w:val="00B522ED"/>
    <w:rsid w:val="00B5284D"/>
    <w:rsid w:val="00B535F9"/>
    <w:rsid w:val="00B53F16"/>
    <w:rsid w:val="00B55FA4"/>
    <w:rsid w:val="00B5735F"/>
    <w:rsid w:val="00B576DE"/>
    <w:rsid w:val="00B60408"/>
    <w:rsid w:val="00B61695"/>
    <w:rsid w:val="00B6320E"/>
    <w:rsid w:val="00B6326F"/>
    <w:rsid w:val="00B638D2"/>
    <w:rsid w:val="00B64005"/>
    <w:rsid w:val="00B652B3"/>
    <w:rsid w:val="00B65C6A"/>
    <w:rsid w:val="00B66110"/>
    <w:rsid w:val="00B665E2"/>
    <w:rsid w:val="00B70F5B"/>
    <w:rsid w:val="00B70F7A"/>
    <w:rsid w:val="00B71A70"/>
    <w:rsid w:val="00B725E3"/>
    <w:rsid w:val="00B72960"/>
    <w:rsid w:val="00B76163"/>
    <w:rsid w:val="00B76AC6"/>
    <w:rsid w:val="00B8008A"/>
    <w:rsid w:val="00B80A8B"/>
    <w:rsid w:val="00B81B7A"/>
    <w:rsid w:val="00B82827"/>
    <w:rsid w:val="00B82B5A"/>
    <w:rsid w:val="00B8435C"/>
    <w:rsid w:val="00B85CEB"/>
    <w:rsid w:val="00B85F7E"/>
    <w:rsid w:val="00B8656A"/>
    <w:rsid w:val="00B90AC8"/>
    <w:rsid w:val="00B9206E"/>
    <w:rsid w:val="00B92FA4"/>
    <w:rsid w:val="00B93E13"/>
    <w:rsid w:val="00B97B53"/>
    <w:rsid w:val="00BA19F2"/>
    <w:rsid w:val="00BA1FD5"/>
    <w:rsid w:val="00BA2BC7"/>
    <w:rsid w:val="00BA3084"/>
    <w:rsid w:val="00BA41C3"/>
    <w:rsid w:val="00BA5985"/>
    <w:rsid w:val="00BA65A9"/>
    <w:rsid w:val="00BA68B9"/>
    <w:rsid w:val="00BA6EE6"/>
    <w:rsid w:val="00BA7568"/>
    <w:rsid w:val="00BB0813"/>
    <w:rsid w:val="00BB1349"/>
    <w:rsid w:val="00BB1BE3"/>
    <w:rsid w:val="00BB2492"/>
    <w:rsid w:val="00BB34F3"/>
    <w:rsid w:val="00BB5800"/>
    <w:rsid w:val="00BB73A6"/>
    <w:rsid w:val="00BB7C26"/>
    <w:rsid w:val="00BC0DFA"/>
    <w:rsid w:val="00BC15CD"/>
    <w:rsid w:val="00BC1F12"/>
    <w:rsid w:val="00BC239B"/>
    <w:rsid w:val="00BC4A82"/>
    <w:rsid w:val="00BC62C3"/>
    <w:rsid w:val="00BC72FC"/>
    <w:rsid w:val="00BC76CA"/>
    <w:rsid w:val="00BC7FBB"/>
    <w:rsid w:val="00BD1C6B"/>
    <w:rsid w:val="00BD39C6"/>
    <w:rsid w:val="00BD5BC8"/>
    <w:rsid w:val="00BD5C50"/>
    <w:rsid w:val="00BD5E8D"/>
    <w:rsid w:val="00BD5EF9"/>
    <w:rsid w:val="00BD684A"/>
    <w:rsid w:val="00BD6A82"/>
    <w:rsid w:val="00BD75B9"/>
    <w:rsid w:val="00BE11F3"/>
    <w:rsid w:val="00BE135C"/>
    <w:rsid w:val="00BE1B9E"/>
    <w:rsid w:val="00BE2FB7"/>
    <w:rsid w:val="00BE4183"/>
    <w:rsid w:val="00BE58F6"/>
    <w:rsid w:val="00BE607C"/>
    <w:rsid w:val="00BE6C83"/>
    <w:rsid w:val="00BE71E9"/>
    <w:rsid w:val="00BE768A"/>
    <w:rsid w:val="00BE7C66"/>
    <w:rsid w:val="00BF0F0E"/>
    <w:rsid w:val="00BF1E74"/>
    <w:rsid w:val="00BF29E4"/>
    <w:rsid w:val="00BF469A"/>
    <w:rsid w:val="00BF4FBE"/>
    <w:rsid w:val="00BF66C8"/>
    <w:rsid w:val="00BF75B3"/>
    <w:rsid w:val="00C0031E"/>
    <w:rsid w:val="00C00719"/>
    <w:rsid w:val="00C00F98"/>
    <w:rsid w:val="00C017D4"/>
    <w:rsid w:val="00C019C3"/>
    <w:rsid w:val="00C02115"/>
    <w:rsid w:val="00C0353E"/>
    <w:rsid w:val="00C0369B"/>
    <w:rsid w:val="00C0384D"/>
    <w:rsid w:val="00C038ED"/>
    <w:rsid w:val="00C03EFE"/>
    <w:rsid w:val="00C05592"/>
    <w:rsid w:val="00C0673D"/>
    <w:rsid w:val="00C06A74"/>
    <w:rsid w:val="00C0727C"/>
    <w:rsid w:val="00C1349D"/>
    <w:rsid w:val="00C14AB7"/>
    <w:rsid w:val="00C15384"/>
    <w:rsid w:val="00C17461"/>
    <w:rsid w:val="00C20DC5"/>
    <w:rsid w:val="00C225AF"/>
    <w:rsid w:val="00C23618"/>
    <w:rsid w:val="00C25839"/>
    <w:rsid w:val="00C258EB"/>
    <w:rsid w:val="00C25DF6"/>
    <w:rsid w:val="00C27F18"/>
    <w:rsid w:val="00C310AF"/>
    <w:rsid w:val="00C31ADA"/>
    <w:rsid w:val="00C336CA"/>
    <w:rsid w:val="00C3553B"/>
    <w:rsid w:val="00C35EEC"/>
    <w:rsid w:val="00C40A57"/>
    <w:rsid w:val="00C430B3"/>
    <w:rsid w:val="00C44800"/>
    <w:rsid w:val="00C44F48"/>
    <w:rsid w:val="00C44FEE"/>
    <w:rsid w:val="00C45B7C"/>
    <w:rsid w:val="00C45E05"/>
    <w:rsid w:val="00C469E1"/>
    <w:rsid w:val="00C50314"/>
    <w:rsid w:val="00C50D45"/>
    <w:rsid w:val="00C52847"/>
    <w:rsid w:val="00C53BD9"/>
    <w:rsid w:val="00C540E7"/>
    <w:rsid w:val="00C549F5"/>
    <w:rsid w:val="00C55590"/>
    <w:rsid w:val="00C573C4"/>
    <w:rsid w:val="00C605FA"/>
    <w:rsid w:val="00C636F3"/>
    <w:rsid w:val="00C63E64"/>
    <w:rsid w:val="00C64983"/>
    <w:rsid w:val="00C668C7"/>
    <w:rsid w:val="00C6695B"/>
    <w:rsid w:val="00C67FCA"/>
    <w:rsid w:val="00C706BB"/>
    <w:rsid w:val="00C71006"/>
    <w:rsid w:val="00C72079"/>
    <w:rsid w:val="00C7276A"/>
    <w:rsid w:val="00C72C0A"/>
    <w:rsid w:val="00C74921"/>
    <w:rsid w:val="00C76181"/>
    <w:rsid w:val="00C777F2"/>
    <w:rsid w:val="00C8029D"/>
    <w:rsid w:val="00C810A7"/>
    <w:rsid w:val="00C83E32"/>
    <w:rsid w:val="00C84EEE"/>
    <w:rsid w:val="00C852D8"/>
    <w:rsid w:val="00C86C67"/>
    <w:rsid w:val="00C87377"/>
    <w:rsid w:val="00C87E9F"/>
    <w:rsid w:val="00C90E63"/>
    <w:rsid w:val="00C90F8B"/>
    <w:rsid w:val="00C91583"/>
    <w:rsid w:val="00C9160C"/>
    <w:rsid w:val="00C920A3"/>
    <w:rsid w:val="00C93590"/>
    <w:rsid w:val="00C93EEE"/>
    <w:rsid w:val="00C951A5"/>
    <w:rsid w:val="00C9553C"/>
    <w:rsid w:val="00C95C51"/>
    <w:rsid w:val="00CA0C4E"/>
    <w:rsid w:val="00CA0D34"/>
    <w:rsid w:val="00CA1856"/>
    <w:rsid w:val="00CA195E"/>
    <w:rsid w:val="00CA27E1"/>
    <w:rsid w:val="00CA2F11"/>
    <w:rsid w:val="00CA5622"/>
    <w:rsid w:val="00CA6087"/>
    <w:rsid w:val="00CA62E6"/>
    <w:rsid w:val="00CA76BD"/>
    <w:rsid w:val="00CA7C34"/>
    <w:rsid w:val="00CB1189"/>
    <w:rsid w:val="00CB1906"/>
    <w:rsid w:val="00CB2092"/>
    <w:rsid w:val="00CB29A0"/>
    <w:rsid w:val="00CB3EC6"/>
    <w:rsid w:val="00CB41B1"/>
    <w:rsid w:val="00CB4A48"/>
    <w:rsid w:val="00CB4CC9"/>
    <w:rsid w:val="00CB788C"/>
    <w:rsid w:val="00CC4031"/>
    <w:rsid w:val="00CC58B6"/>
    <w:rsid w:val="00CC6EA7"/>
    <w:rsid w:val="00CC72B0"/>
    <w:rsid w:val="00CC7505"/>
    <w:rsid w:val="00CD0CE3"/>
    <w:rsid w:val="00CD135C"/>
    <w:rsid w:val="00CD1594"/>
    <w:rsid w:val="00CD1602"/>
    <w:rsid w:val="00CD61D4"/>
    <w:rsid w:val="00CD62F5"/>
    <w:rsid w:val="00CD7941"/>
    <w:rsid w:val="00CE091D"/>
    <w:rsid w:val="00CE2529"/>
    <w:rsid w:val="00CE3EAF"/>
    <w:rsid w:val="00CE3EBC"/>
    <w:rsid w:val="00CE4963"/>
    <w:rsid w:val="00CE5595"/>
    <w:rsid w:val="00CE5873"/>
    <w:rsid w:val="00CE5DCE"/>
    <w:rsid w:val="00CE5FB8"/>
    <w:rsid w:val="00CE65AC"/>
    <w:rsid w:val="00CE7364"/>
    <w:rsid w:val="00CF0A93"/>
    <w:rsid w:val="00CF2D58"/>
    <w:rsid w:val="00CF3203"/>
    <w:rsid w:val="00CF6879"/>
    <w:rsid w:val="00CF70C0"/>
    <w:rsid w:val="00CF7AE7"/>
    <w:rsid w:val="00CF7DE4"/>
    <w:rsid w:val="00CF7F1F"/>
    <w:rsid w:val="00D00572"/>
    <w:rsid w:val="00D013B2"/>
    <w:rsid w:val="00D0182C"/>
    <w:rsid w:val="00D02015"/>
    <w:rsid w:val="00D06445"/>
    <w:rsid w:val="00D065C2"/>
    <w:rsid w:val="00D0763B"/>
    <w:rsid w:val="00D07A77"/>
    <w:rsid w:val="00D07C57"/>
    <w:rsid w:val="00D07DD3"/>
    <w:rsid w:val="00D12335"/>
    <w:rsid w:val="00D12F85"/>
    <w:rsid w:val="00D12FBD"/>
    <w:rsid w:val="00D136C6"/>
    <w:rsid w:val="00D136F9"/>
    <w:rsid w:val="00D138BF"/>
    <w:rsid w:val="00D1403F"/>
    <w:rsid w:val="00D143FC"/>
    <w:rsid w:val="00D16118"/>
    <w:rsid w:val="00D16A13"/>
    <w:rsid w:val="00D16A49"/>
    <w:rsid w:val="00D1728D"/>
    <w:rsid w:val="00D21613"/>
    <w:rsid w:val="00D21CF1"/>
    <w:rsid w:val="00D22EC4"/>
    <w:rsid w:val="00D233B6"/>
    <w:rsid w:val="00D23742"/>
    <w:rsid w:val="00D23C54"/>
    <w:rsid w:val="00D23F82"/>
    <w:rsid w:val="00D24AE1"/>
    <w:rsid w:val="00D25FDB"/>
    <w:rsid w:val="00D26B90"/>
    <w:rsid w:val="00D26BA8"/>
    <w:rsid w:val="00D26F25"/>
    <w:rsid w:val="00D27127"/>
    <w:rsid w:val="00D275D0"/>
    <w:rsid w:val="00D275EA"/>
    <w:rsid w:val="00D276D4"/>
    <w:rsid w:val="00D30F4E"/>
    <w:rsid w:val="00D318BE"/>
    <w:rsid w:val="00D33433"/>
    <w:rsid w:val="00D34180"/>
    <w:rsid w:val="00D34C7A"/>
    <w:rsid w:val="00D354F5"/>
    <w:rsid w:val="00D362AE"/>
    <w:rsid w:val="00D36FFA"/>
    <w:rsid w:val="00D40194"/>
    <w:rsid w:val="00D42880"/>
    <w:rsid w:val="00D42E64"/>
    <w:rsid w:val="00D44314"/>
    <w:rsid w:val="00D44556"/>
    <w:rsid w:val="00D45491"/>
    <w:rsid w:val="00D45772"/>
    <w:rsid w:val="00D45D98"/>
    <w:rsid w:val="00D53341"/>
    <w:rsid w:val="00D62020"/>
    <w:rsid w:val="00D642F2"/>
    <w:rsid w:val="00D643F7"/>
    <w:rsid w:val="00D65D78"/>
    <w:rsid w:val="00D7048B"/>
    <w:rsid w:val="00D7084E"/>
    <w:rsid w:val="00D70E1B"/>
    <w:rsid w:val="00D70FF7"/>
    <w:rsid w:val="00D72326"/>
    <w:rsid w:val="00D728D2"/>
    <w:rsid w:val="00D739B3"/>
    <w:rsid w:val="00D73A0B"/>
    <w:rsid w:val="00D73FED"/>
    <w:rsid w:val="00D74F5A"/>
    <w:rsid w:val="00D75D68"/>
    <w:rsid w:val="00D7618F"/>
    <w:rsid w:val="00D77E00"/>
    <w:rsid w:val="00D83ED9"/>
    <w:rsid w:val="00D8557A"/>
    <w:rsid w:val="00D8599E"/>
    <w:rsid w:val="00D85D8C"/>
    <w:rsid w:val="00D8691A"/>
    <w:rsid w:val="00D87665"/>
    <w:rsid w:val="00D9138E"/>
    <w:rsid w:val="00D93A0D"/>
    <w:rsid w:val="00D94500"/>
    <w:rsid w:val="00D95A86"/>
    <w:rsid w:val="00D97043"/>
    <w:rsid w:val="00DA0054"/>
    <w:rsid w:val="00DA16E1"/>
    <w:rsid w:val="00DA1BCC"/>
    <w:rsid w:val="00DA216A"/>
    <w:rsid w:val="00DA3901"/>
    <w:rsid w:val="00DA49E5"/>
    <w:rsid w:val="00DA4FB5"/>
    <w:rsid w:val="00DA5DF1"/>
    <w:rsid w:val="00DA6801"/>
    <w:rsid w:val="00DA7C66"/>
    <w:rsid w:val="00DB0342"/>
    <w:rsid w:val="00DB0551"/>
    <w:rsid w:val="00DB1533"/>
    <w:rsid w:val="00DB27E9"/>
    <w:rsid w:val="00DB4413"/>
    <w:rsid w:val="00DB4CD4"/>
    <w:rsid w:val="00DB59C1"/>
    <w:rsid w:val="00DB5C93"/>
    <w:rsid w:val="00DC14B6"/>
    <w:rsid w:val="00DC15D6"/>
    <w:rsid w:val="00DC263E"/>
    <w:rsid w:val="00DC340B"/>
    <w:rsid w:val="00DC3553"/>
    <w:rsid w:val="00DC5492"/>
    <w:rsid w:val="00DC556C"/>
    <w:rsid w:val="00DC73F6"/>
    <w:rsid w:val="00DC7448"/>
    <w:rsid w:val="00DD03D8"/>
    <w:rsid w:val="00DD040D"/>
    <w:rsid w:val="00DD05A8"/>
    <w:rsid w:val="00DD080F"/>
    <w:rsid w:val="00DD11AB"/>
    <w:rsid w:val="00DD2B6F"/>
    <w:rsid w:val="00DD39D5"/>
    <w:rsid w:val="00DD3A55"/>
    <w:rsid w:val="00DD42B4"/>
    <w:rsid w:val="00DD4455"/>
    <w:rsid w:val="00DD57C0"/>
    <w:rsid w:val="00DD7C6E"/>
    <w:rsid w:val="00DD7CBC"/>
    <w:rsid w:val="00DE02E9"/>
    <w:rsid w:val="00DE509B"/>
    <w:rsid w:val="00DE606B"/>
    <w:rsid w:val="00DE6AB6"/>
    <w:rsid w:val="00DE7401"/>
    <w:rsid w:val="00DE7615"/>
    <w:rsid w:val="00DE7E1A"/>
    <w:rsid w:val="00DE7ED1"/>
    <w:rsid w:val="00DF0447"/>
    <w:rsid w:val="00DF1264"/>
    <w:rsid w:val="00DF18C1"/>
    <w:rsid w:val="00DF2CB7"/>
    <w:rsid w:val="00DF45A2"/>
    <w:rsid w:val="00DF5268"/>
    <w:rsid w:val="00DF5523"/>
    <w:rsid w:val="00DF5585"/>
    <w:rsid w:val="00DF5F6D"/>
    <w:rsid w:val="00DF6504"/>
    <w:rsid w:val="00DF6662"/>
    <w:rsid w:val="00DF67DD"/>
    <w:rsid w:val="00DF6F6B"/>
    <w:rsid w:val="00DF79E4"/>
    <w:rsid w:val="00E01593"/>
    <w:rsid w:val="00E01A34"/>
    <w:rsid w:val="00E01EE6"/>
    <w:rsid w:val="00E04287"/>
    <w:rsid w:val="00E0554A"/>
    <w:rsid w:val="00E10A23"/>
    <w:rsid w:val="00E10FBD"/>
    <w:rsid w:val="00E11E80"/>
    <w:rsid w:val="00E12C2A"/>
    <w:rsid w:val="00E14FDA"/>
    <w:rsid w:val="00E15111"/>
    <w:rsid w:val="00E15DA1"/>
    <w:rsid w:val="00E162CA"/>
    <w:rsid w:val="00E16FCA"/>
    <w:rsid w:val="00E2012A"/>
    <w:rsid w:val="00E2083C"/>
    <w:rsid w:val="00E226CD"/>
    <w:rsid w:val="00E246E5"/>
    <w:rsid w:val="00E274B8"/>
    <w:rsid w:val="00E30304"/>
    <w:rsid w:val="00E34C08"/>
    <w:rsid w:val="00E366C8"/>
    <w:rsid w:val="00E40297"/>
    <w:rsid w:val="00E4041C"/>
    <w:rsid w:val="00E40521"/>
    <w:rsid w:val="00E40A3F"/>
    <w:rsid w:val="00E4119E"/>
    <w:rsid w:val="00E423BA"/>
    <w:rsid w:val="00E442AC"/>
    <w:rsid w:val="00E44DF3"/>
    <w:rsid w:val="00E47603"/>
    <w:rsid w:val="00E479EA"/>
    <w:rsid w:val="00E50276"/>
    <w:rsid w:val="00E5266B"/>
    <w:rsid w:val="00E54B04"/>
    <w:rsid w:val="00E5597E"/>
    <w:rsid w:val="00E56EEE"/>
    <w:rsid w:val="00E615B6"/>
    <w:rsid w:val="00E61914"/>
    <w:rsid w:val="00E61C47"/>
    <w:rsid w:val="00E61ED3"/>
    <w:rsid w:val="00E621C8"/>
    <w:rsid w:val="00E622A5"/>
    <w:rsid w:val="00E63788"/>
    <w:rsid w:val="00E6514A"/>
    <w:rsid w:val="00E65F28"/>
    <w:rsid w:val="00E66713"/>
    <w:rsid w:val="00E6758E"/>
    <w:rsid w:val="00E70A4F"/>
    <w:rsid w:val="00E719B9"/>
    <w:rsid w:val="00E71A48"/>
    <w:rsid w:val="00E72925"/>
    <w:rsid w:val="00E738AB"/>
    <w:rsid w:val="00E74F88"/>
    <w:rsid w:val="00E750B4"/>
    <w:rsid w:val="00E751E2"/>
    <w:rsid w:val="00E76AE3"/>
    <w:rsid w:val="00E80391"/>
    <w:rsid w:val="00E815DC"/>
    <w:rsid w:val="00E8193A"/>
    <w:rsid w:val="00E83901"/>
    <w:rsid w:val="00E84436"/>
    <w:rsid w:val="00E86919"/>
    <w:rsid w:val="00E878EA"/>
    <w:rsid w:val="00E87ED3"/>
    <w:rsid w:val="00E910B3"/>
    <w:rsid w:val="00E94109"/>
    <w:rsid w:val="00E9554C"/>
    <w:rsid w:val="00E955FA"/>
    <w:rsid w:val="00E966F4"/>
    <w:rsid w:val="00E979EC"/>
    <w:rsid w:val="00EA11A7"/>
    <w:rsid w:val="00EA126A"/>
    <w:rsid w:val="00EA1620"/>
    <w:rsid w:val="00EA2F5E"/>
    <w:rsid w:val="00EA321D"/>
    <w:rsid w:val="00EA36AB"/>
    <w:rsid w:val="00EA42C2"/>
    <w:rsid w:val="00EA5D8A"/>
    <w:rsid w:val="00EA6943"/>
    <w:rsid w:val="00EA7A99"/>
    <w:rsid w:val="00EB004C"/>
    <w:rsid w:val="00EB05AC"/>
    <w:rsid w:val="00EB096E"/>
    <w:rsid w:val="00EB0F45"/>
    <w:rsid w:val="00EB2A69"/>
    <w:rsid w:val="00EB354A"/>
    <w:rsid w:val="00EB35CF"/>
    <w:rsid w:val="00EB5855"/>
    <w:rsid w:val="00EB696E"/>
    <w:rsid w:val="00EB6B4F"/>
    <w:rsid w:val="00EB784D"/>
    <w:rsid w:val="00EC1A44"/>
    <w:rsid w:val="00EC2883"/>
    <w:rsid w:val="00EC3E3C"/>
    <w:rsid w:val="00EC4FD8"/>
    <w:rsid w:val="00EC551D"/>
    <w:rsid w:val="00EC6332"/>
    <w:rsid w:val="00EC79D5"/>
    <w:rsid w:val="00ED00D7"/>
    <w:rsid w:val="00ED1A7E"/>
    <w:rsid w:val="00ED1F9A"/>
    <w:rsid w:val="00ED3D1B"/>
    <w:rsid w:val="00ED459B"/>
    <w:rsid w:val="00ED7F63"/>
    <w:rsid w:val="00EE03DB"/>
    <w:rsid w:val="00EE1E33"/>
    <w:rsid w:val="00EE1E88"/>
    <w:rsid w:val="00EE3E5E"/>
    <w:rsid w:val="00EE4084"/>
    <w:rsid w:val="00EE4754"/>
    <w:rsid w:val="00EE5265"/>
    <w:rsid w:val="00EE5496"/>
    <w:rsid w:val="00EE556E"/>
    <w:rsid w:val="00EE5AC5"/>
    <w:rsid w:val="00EE681C"/>
    <w:rsid w:val="00EE6F5E"/>
    <w:rsid w:val="00EE758D"/>
    <w:rsid w:val="00EE77B3"/>
    <w:rsid w:val="00EF0E6E"/>
    <w:rsid w:val="00EF183F"/>
    <w:rsid w:val="00EF1A7D"/>
    <w:rsid w:val="00EF1CD0"/>
    <w:rsid w:val="00EF2F21"/>
    <w:rsid w:val="00EF344D"/>
    <w:rsid w:val="00EF4EDD"/>
    <w:rsid w:val="00EF7157"/>
    <w:rsid w:val="00EF734F"/>
    <w:rsid w:val="00EF7700"/>
    <w:rsid w:val="00EF7CFC"/>
    <w:rsid w:val="00F00257"/>
    <w:rsid w:val="00F0064F"/>
    <w:rsid w:val="00F0086D"/>
    <w:rsid w:val="00F03C54"/>
    <w:rsid w:val="00F04EAE"/>
    <w:rsid w:val="00F05527"/>
    <w:rsid w:val="00F057B5"/>
    <w:rsid w:val="00F058E8"/>
    <w:rsid w:val="00F06EBB"/>
    <w:rsid w:val="00F11B78"/>
    <w:rsid w:val="00F13CB5"/>
    <w:rsid w:val="00F13DEE"/>
    <w:rsid w:val="00F16089"/>
    <w:rsid w:val="00F16092"/>
    <w:rsid w:val="00F16155"/>
    <w:rsid w:val="00F161FC"/>
    <w:rsid w:val="00F2275A"/>
    <w:rsid w:val="00F22FBE"/>
    <w:rsid w:val="00F23E94"/>
    <w:rsid w:val="00F27E60"/>
    <w:rsid w:val="00F30274"/>
    <w:rsid w:val="00F30BB9"/>
    <w:rsid w:val="00F3171E"/>
    <w:rsid w:val="00F319AD"/>
    <w:rsid w:val="00F31B86"/>
    <w:rsid w:val="00F32EC2"/>
    <w:rsid w:val="00F349A2"/>
    <w:rsid w:val="00F40556"/>
    <w:rsid w:val="00F4093E"/>
    <w:rsid w:val="00F45A00"/>
    <w:rsid w:val="00F46405"/>
    <w:rsid w:val="00F5062F"/>
    <w:rsid w:val="00F50F7F"/>
    <w:rsid w:val="00F5190E"/>
    <w:rsid w:val="00F52BB1"/>
    <w:rsid w:val="00F541DF"/>
    <w:rsid w:val="00F560A3"/>
    <w:rsid w:val="00F57109"/>
    <w:rsid w:val="00F571F8"/>
    <w:rsid w:val="00F604BE"/>
    <w:rsid w:val="00F60B4F"/>
    <w:rsid w:val="00F60BDB"/>
    <w:rsid w:val="00F60F4C"/>
    <w:rsid w:val="00F619BD"/>
    <w:rsid w:val="00F64662"/>
    <w:rsid w:val="00F64D1E"/>
    <w:rsid w:val="00F673BA"/>
    <w:rsid w:val="00F716E6"/>
    <w:rsid w:val="00F72967"/>
    <w:rsid w:val="00F72CF1"/>
    <w:rsid w:val="00F74B85"/>
    <w:rsid w:val="00F754CF"/>
    <w:rsid w:val="00F75D1D"/>
    <w:rsid w:val="00F76823"/>
    <w:rsid w:val="00F77C01"/>
    <w:rsid w:val="00F80855"/>
    <w:rsid w:val="00F80CD7"/>
    <w:rsid w:val="00F81EA0"/>
    <w:rsid w:val="00F82393"/>
    <w:rsid w:val="00F8414E"/>
    <w:rsid w:val="00F847FF"/>
    <w:rsid w:val="00F90012"/>
    <w:rsid w:val="00F928AB"/>
    <w:rsid w:val="00F94831"/>
    <w:rsid w:val="00F9492C"/>
    <w:rsid w:val="00F9581A"/>
    <w:rsid w:val="00F96263"/>
    <w:rsid w:val="00F973C5"/>
    <w:rsid w:val="00FA0886"/>
    <w:rsid w:val="00FA1127"/>
    <w:rsid w:val="00FA264F"/>
    <w:rsid w:val="00FA6240"/>
    <w:rsid w:val="00FA66AE"/>
    <w:rsid w:val="00FA7220"/>
    <w:rsid w:val="00FA7826"/>
    <w:rsid w:val="00FA788F"/>
    <w:rsid w:val="00FB0DE4"/>
    <w:rsid w:val="00FB27C4"/>
    <w:rsid w:val="00FB345B"/>
    <w:rsid w:val="00FB34DE"/>
    <w:rsid w:val="00FB686D"/>
    <w:rsid w:val="00FB6BD8"/>
    <w:rsid w:val="00FB73BD"/>
    <w:rsid w:val="00FC4645"/>
    <w:rsid w:val="00FC59DD"/>
    <w:rsid w:val="00FC7F11"/>
    <w:rsid w:val="00FD0E1B"/>
    <w:rsid w:val="00FD22B0"/>
    <w:rsid w:val="00FD330B"/>
    <w:rsid w:val="00FD4AA8"/>
    <w:rsid w:val="00FD6628"/>
    <w:rsid w:val="00FD6E8E"/>
    <w:rsid w:val="00FE0BF4"/>
    <w:rsid w:val="00FE297C"/>
    <w:rsid w:val="00FE4F2E"/>
    <w:rsid w:val="00FE58D5"/>
    <w:rsid w:val="00FE651C"/>
    <w:rsid w:val="00FE775F"/>
    <w:rsid w:val="00FE7AFF"/>
    <w:rsid w:val="00FF0D22"/>
    <w:rsid w:val="00FF2ED6"/>
    <w:rsid w:val="00FF59D6"/>
    <w:rsid w:val="00FF5A90"/>
    <w:rsid w:val="00FF5B87"/>
    <w:rsid w:val="00FF5E61"/>
    <w:rsid w:val="00FF5F90"/>
    <w:rsid w:val="00FF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E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428C0"/>
    <w:pPr>
      <w:tabs>
        <w:tab w:val="center" w:pos="4320"/>
        <w:tab w:val="right" w:pos="8640"/>
      </w:tabs>
    </w:pPr>
  </w:style>
  <w:style w:type="character" w:styleId="PageNumber">
    <w:name w:val="page number"/>
    <w:basedOn w:val="DefaultParagraphFont"/>
    <w:rsid w:val="009428C0"/>
  </w:style>
  <w:style w:type="paragraph" w:styleId="FootnoteText">
    <w:name w:val="footnote text"/>
    <w:aliases w:val="Footnote Text Char4 Char,Footnote Text Char Char4 Char,Footnote Text Char4 Char1 Char Char,Footnote Text Char Char4 Char1 Char Char,Footnote Text Char5 Char1 Char Char Char Char Char,Footnote Text Char2,ALTS FOOTNOTE"/>
    <w:basedOn w:val="Normal"/>
    <w:link w:val="FootnoteTextChar"/>
    <w:rsid w:val="005871BD"/>
    <w:rPr>
      <w:sz w:val="20"/>
      <w:szCs w:val="20"/>
    </w:rPr>
  </w:style>
  <w:style w:type="character" w:styleId="FootnoteReference">
    <w:name w:val="footnote reference"/>
    <w:aliases w:val="o,fr,footnote text,Style 42"/>
    <w:uiPriority w:val="99"/>
    <w:rsid w:val="005871BD"/>
    <w:rPr>
      <w:vertAlign w:val="superscript"/>
    </w:rPr>
  </w:style>
  <w:style w:type="paragraph" w:styleId="BodyText">
    <w:name w:val="Body Text"/>
    <w:basedOn w:val="Normal"/>
    <w:link w:val="BodyTextChar"/>
    <w:rsid w:val="002E3632"/>
    <w:pPr>
      <w:spacing w:line="360" w:lineRule="auto"/>
      <w:jc w:val="both"/>
    </w:pPr>
    <w:rPr>
      <w:rFonts w:eastAsia="SimSun"/>
      <w:sz w:val="26"/>
      <w:szCs w:val="20"/>
    </w:rPr>
  </w:style>
  <w:style w:type="paragraph" w:styleId="ListParagraph">
    <w:name w:val="List Paragraph"/>
    <w:basedOn w:val="Normal"/>
    <w:uiPriority w:val="34"/>
    <w:qFormat/>
    <w:rsid w:val="00C6695B"/>
    <w:pPr>
      <w:ind w:left="720"/>
    </w:pPr>
  </w:style>
  <w:style w:type="character" w:styleId="Hyperlink">
    <w:name w:val="Hyperlink"/>
    <w:uiPriority w:val="99"/>
    <w:unhideWhenUsed/>
    <w:rsid w:val="002B4515"/>
    <w:rPr>
      <w:color w:val="0000FF"/>
      <w:u w:val="single"/>
    </w:rPr>
  </w:style>
  <w:style w:type="character" w:customStyle="1" w:styleId="term1">
    <w:name w:val="term1"/>
    <w:rsid w:val="002B4515"/>
    <w:rPr>
      <w:b/>
      <w:bCs/>
    </w:rPr>
  </w:style>
  <w:style w:type="character" w:customStyle="1" w:styleId="BodyTextChar">
    <w:name w:val="Body Text Char"/>
    <w:link w:val="BodyText"/>
    <w:rsid w:val="006F21EE"/>
    <w:rPr>
      <w:rFonts w:eastAsia="SimSun"/>
      <w:sz w:val="26"/>
    </w:rPr>
  </w:style>
  <w:style w:type="paragraph" w:styleId="Header">
    <w:name w:val="header"/>
    <w:basedOn w:val="Normal"/>
    <w:link w:val="HeaderChar"/>
    <w:rsid w:val="006F382C"/>
    <w:pPr>
      <w:tabs>
        <w:tab w:val="center" w:pos="4680"/>
        <w:tab w:val="right" w:pos="9360"/>
      </w:tabs>
    </w:pPr>
  </w:style>
  <w:style w:type="character" w:customStyle="1" w:styleId="HeaderChar">
    <w:name w:val="Header Char"/>
    <w:link w:val="Header"/>
    <w:rsid w:val="006F382C"/>
    <w:rPr>
      <w:sz w:val="24"/>
      <w:szCs w:val="24"/>
    </w:rPr>
  </w:style>
  <w:style w:type="character" w:customStyle="1" w:styleId="FooterChar">
    <w:name w:val="Footer Char"/>
    <w:link w:val="Footer"/>
    <w:uiPriority w:val="99"/>
    <w:rsid w:val="006F382C"/>
    <w:rPr>
      <w:sz w:val="24"/>
      <w:szCs w:val="24"/>
    </w:rPr>
  </w:style>
  <w:style w:type="paragraph" w:styleId="BalloonText">
    <w:name w:val="Balloon Text"/>
    <w:basedOn w:val="Normal"/>
    <w:link w:val="BalloonTextChar"/>
    <w:rsid w:val="006F382C"/>
    <w:rPr>
      <w:rFonts w:ascii="Tahoma" w:hAnsi="Tahoma" w:cs="Tahoma"/>
      <w:sz w:val="16"/>
      <w:szCs w:val="16"/>
    </w:rPr>
  </w:style>
  <w:style w:type="character" w:customStyle="1" w:styleId="BalloonTextChar">
    <w:name w:val="Balloon Text Char"/>
    <w:link w:val="BalloonText"/>
    <w:rsid w:val="006F382C"/>
    <w:rPr>
      <w:rFonts w:ascii="Tahoma" w:hAnsi="Tahoma" w:cs="Tahoma"/>
      <w:sz w:val="16"/>
      <w:szCs w:val="16"/>
    </w:rPr>
  </w:style>
  <w:style w:type="table" w:styleId="TableContemporary">
    <w:name w:val="Table Contemporary"/>
    <w:basedOn w:val="TableNormal"/>
    <w:rsid w:val="00854E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noteTextChar">
    <w:name w:val="Footnote Text Char"/>
    <w:aliases w:val="Footnote Text Char4 Char Char,Footnote Text Char Char4 Char Char,Footnote Text Char4 Char1 Char Char Char,Footnote Text Char Char4 Char1 Char Char Char,Footnote Text Char5 Char1 Char Char Char Char Char Char,Footnote Text Char2 Char"/>
    <w:link w:val="FootnoteText"/>
    <w:rsid w:val="00BE768A"/>
  </w:style>
  <w:style w:type="character" w:styleId="CommentReference">
    <w:name w:val="annotation reference"/>
    <w:basedOn w:val="DefaultParagraphFont"/>
    <w:rsid w:val="00814724"/>
    <w:rPr>
      <w:sz w:val="16"/>
      <w:szCs w:val="16"/>
    </w:rPr>
  </w:style>
  <w:style w:type="paragraph" w:styleId="CommentText">
    <w:name w:val="annotation text"/>
    <w:basedOn w:val="Normal"/>
    <w:link w:val="CommentTextChar"/>
    <w:rsid w:val="00814724"/>
    <w:rPr>
      <w:sz w:val="20"/>
      <w:szCs w:val="20"/>
    </w:rPr>
  </w:style>
  <w:style w:type="character" w:customStyle="1" w:styleId="CommentTextChar">
    <w:name w:val="Comment Text Char"/>
    <w:basedOn w:val="DefaultParagraphFont"/>
    <w:link w:val="CommentText"/>
    <w:rsid w:val="00814724"/>
  </w:style>
  <w:style w:type="paragraph" w:styleId="CommentSubject">
    <w:name w:val="annotation subject"/>
    <w:basedOn w:val="CommentText"/>
    <w:next w:val="CommentText"/>
    <w:link w:val="CommentSubjectChar"/>
    <w:rsid w:val="00814724"/>
    <w:rPr>
      <w:b/>
      <w:bCs/>
    </w:rPr>
  </w:style>
  <w:style w:type="character" w:customStyle="1" w:styleId="CommentSubjectChar">
    <w:name w:val="Comment Subject Char"/>
    <w:basedOn w:val="CommentTextChar"/>
    <w:link w:val="CommentSubject"/>
    <w:rsid w:val="00814724"/>
    <w:rPr>
      <w:b/>
      <w:bCs/>
    </w:rPr>
  </w:style>
  <w:style w:type="paragraph" w:styleId="Revision">
    <w:name w:val="Revision"/>
    <w:hidden/>
    <w:uiPriority w:val="99"/>
    <w:semiHidden/>
    <w:rsid w:val="00512908"/>
    <w:rPr>
      <w:sz w:val="24"/>
      <w:szCs w:val="24"/>
    </w:rPr>
  </w:style>
  <w:style w:type="paragraph" w:styleId="ListNumber">
    <w:name w:val="List Number"/>
    <w:basedOn w:val="Normal"/>
    <w:rsid w:val="00922C0C"/>
    <w:pPr>
      <w:numPr>
        <w:numId w:val="13"/>
      </w:numPr>
      <w:contextualSpacing/>
    </w:pPr>
  </w:style>
  <w:style w:type="paragraph" w:styleId="BodyText2">
    <w:name w:val="Body Text 2"/>
    <w:basedOn w:val="Normal"/>
    <w:link w:val="BodyText2Char"/>
    <w:rsid w:val="00FF5E61"/>
    <w:pPr>
      <w:spacing w:after="120" w:line="480" w:lineRule="auto"/>
    </w:pPr>
  </w:style>
  <w:style w:type="character" w:customStyle="1" w:styleId="BodyText2Char">
    <w:name w:val="Body Text 2 Char"/>
    <w:basedOn w:val="DefaultParagraphFont"/>
    <w:link w:val="BodyText2"/>
    <w:rsid w:val="00FF5E61"/>
    <w:rPr>
      <w:sz w:val="24"/>
      <w:szCs w:val="24"/>
    </w:rPr>
  </w:style>
  <w:style w:type="paragraph" w:customStyle="1" w:styleId="OutlineL3">
    <w:name w:val="Outline_L3"/>
    <w:basedOn w:val="Normal"/>
    <w:rsid w:val="00F22FBE"/>
    <w:pPr>
      <w:numPr>
        <w:ilvl w:val="2"/>
      </w:numPr>
      <w:tabs>
        <w:tab w:val="num" w:pos="720"/>
        <w:tab w:val="num" w:pos="2160"/>
      </w:tabs>
      <w:spacing w:after="120" w:line="480" w:lineRule="auto"/>
      <w:ind w:firstLine="1440"/>
      <w:outlineLvl w:val="2"/>
    </w:pPr>
    <w:rPr>
      <w:szCs w:val="20"/>
    </w:rPr>
  </w:style>
  <w:style w:type="paragraph" w:customStyle="1" w:styleId="Default">
    <w:name w:val="Default"/>
    <w:rsid w:val="00557C7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E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428C0"/>
    <w:pPr>
      <w:tabs>
        <w:tab w:val="center" w:pos="4320"/>
        <w:tab w:val="right" w:pos="8640"/>
      </w:tabs>
    </w:pPr>
  </w:style>
  <w:style w:type="character" w:styleId="PageNumber">
    <w:name w:val="page number"/>
    <w:basedOn w:val="DefaultParagraphFont"/>
    <w:rsid w:val="009428C0"/>
  </w:style>
  <w:style w:type="paragraph" w:styleId="FootnoteText">
    <w:name w:val="footnote text"/>
    <w:aliases w:val="Footnote Text Char4 Char,Footnote Text Char Char4 Char,Footnote Text Char4 Char1 Char Char,Footnote Text Char Char4 Char1 Char Char,Footnote Text Char5 Char1 Char Char Char Char Char,Footnote Text Char2,ALTS FOOTNOTE"/>
    <w:basedOn w:val="Normal"/>
    <w:link w:val="FootnoteTextChar"/>
    <w:rsid w:val="005871BD"/>
    <w:rPr>
      <w:sz w:val="20"/>
      <w:szCs w:val="20"/>
    </w:rPr>
  </w:style>
  <w:style w:type="character" w:styleId="FootnoteReference">
    <w:name w:val="footnote reference"/>
    <w:aliases w:val="o,fr,footnote text,Style 42"/>
    <w:uiPriority w:val="99"/>
    <w:rsid w:val="005871BD"/>
    <w:rPr>
      <w:vertAlign w:val="superscript"/>
    </w:rPr>
  </w:style>
  <w:style w:type="paragraph" w:styleId="BodyText">
    <w:name w:val="Body Text"/>
    <w:basedOn w:val="Normal"/>
    <w:link w:val="BodyTextChar"/>
    <w:rsid w:val="002E3632"/>
    <w:pPr>
      <w:spacing w:line="360" w:lineRule="auto"/>
      <w:jc w:val="both"/>
    </w:pPr>
    <w:rPr>
      <w:rFonts w:eastAsia="SimSun"/>
      <w:sz w:val="26"/>
      <w:szCs w:val="20"/>
    </w:rPr>
  </w:style>
  <w:style w:type="paragraph" w:styleId="ListParagraph">
    <w:name w:val="List Paragraph"/>
    <w:basedOn w:val="Normal"/>
    <w:uiPriority w:val="34"/>
    <w:qFormat/>
    <w:rsid w:val="00C6695B"/>
    <w:pPr>
      <w:ind w:left="720"/>
    </w:pPr>
  </w:style>
  <w:style w:type="character" w:styleId="Hyperlink">
    <w:name w:val="Hyperlink"/>
    <w:uiPriority w:val="99"/>
    <w:unhideWhenUsed/>
    <w:rsid w:val="002B4515"/>
    <w:rPr>
      <w:color w:val="0000FF"/>
      <w:u w:val="single"/>
    </w:rPr>
  </w:style>
  <w:style w:type="character" w:customStyle="1" w:styleId="term1">
    <w:name w:val="term1"/>
    <w:rsid w:val="002B4515"/>
    <w:rPr>
      <w:b/>
      <w:bCs/>
    </w:rPr>
  </w:style>
  <w:style w:type="character" w:customStyle="1" w:styleId="BodyTextChar">
    <w:name w:val="Body Text Char"/>
    <w:link w:val="BodyText"/>
    <w:rsid w:val="006F21EE"/>
    <w:rPr>
      <w:rFonts w:eastAsia="SimSun"/>
      <w:sz w:val="26"/>
    </w:rPr>
  </w:style>
  <w:style w:type="paragraph" w:styleId="Header">
    <w:name w:val="header"/>
    <w:basedOn w:val="Normal"/>
    <w:link w:val="HeaderChar"/>
    <w:rsid w:val="006F382C"/>
    <w:pPr>
      <w:tabs>
        <w:tab w:val="center" w:pos="4680"/>
        <w:tab w:val="right" w:pos="9360"/>
      </w:tabs>
    </w:pPr>
  </w:style>
  <w:style w:type="character" w:customStyle="1" w:styleId="HeaderChar">
    <w:name w:val="Header Char"/>
    <w:link w:val="Header"/>
    <w:rsid w:val="006F382C"/>
    <w:rPr>
      <w:sz w:val="24"/>
      <w:szCs w:val="24"/>
    </w:rPr>
  </w:style>
  <w:style w:type="character" w:customStyle="1" w:styleId="FooterChar">
    <w:name w:val="Footer Char"/>
    <w:link w:val="Footer"/>
    <w:uiPriority w:val="99"/>
    <w:rsid w:val="006F382C"/>
    <w:rPr>
      <w:sz w:val="24"/>
      <w:szCs w:val="24"/>
    </w:rPr>
  </w:style>
  <w:style w:type="paragraph" w:styleId="BalloonText">
    <w:name w:val="Balloon Text"/>
    <w:basedOn w:val="Normal"/>
    <w:link w:val="BalloonTextChar"/>
    <w:rsid w:val="006F382C"/>
    <w:rPr>
      <w:rFonts w:ascii="Tahoma" w:hAnsi="Tahoma" w:cs="Tahoma"/>
      <w:sz w:val="16"/>
      <w:szCs w:val="16"/>
    </w:rPr>
  </w:style>
  <w:style w:type="character" w:customStyle="1" w:styleId="BalloonTextChar">
    <w:name w:val="Balloon Text Char"/>
    <w:link w:val="BalloonText"/>
    <w:rsid w:val="006F382C"/>
    <w:rPr>
      <w:rFonts w:ascii="Tahoma" w:hAnsi="Tahoma" w:cs="Tahoma"/>
      <w:sz w:val="16"/>
      <w:szCs w:val="16"/>
    </w:rPr>
  </w:style>
  <w:style w:type="table" w:styleId="TableContemporary">
    <w:name w:val="Table Contemporary"/>
    <w:basedOn w:val="TableNormal"/>
    <w:rsid w:val="00854E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noteTextChar">
    <w:name w:val="Footnote Text Char"/>
    <w:aliases w:val="Footnote Text Char4 Char Char,Footnote Text Char Char4 Char Char,Footnote Text Char4 Char1 Char Char Char,Footnote Text Char Char4 Char1 Char Char Char,Footnote Text Char5 Char1 Char Char Char Char Char Char,Footnote Text Char2 Char"/>
    <w:link w:val="FootnoteText"/>
    <w:rsid w:val="00BE768A"/>
  </w:style>
  <w:style w:type="character" w:styleId="CommentReference">
    <w:name w:val="annotation reference"/>
    <w:basedOn w:val="DefaultParagraphFont"/>
    <w:rsid w:val="00814724"/>
    <w:rPr>
      <w:sz w:val="16"/>
      <w:szCs w:val="16"/>
    </w:rPr>
  </w:style>
  <w:style w:type="paragraph" w:styleId="CommentText">
    <w:name w:val="annotation text"/>
    <w:basedOn w:val="Normal"/>
    <w:link w:val="CommentTextChar"/>
    <w:rsid w:val="00814724"/>
    <w:rPr>
      <w:sz w:val="20"/>
      <w:szCs w:val="20"/>
    </w:rPr>
  </w:style>
  <w:style w:type="character" w:customStyle="1" w:styleId="CommentTextChar">
    <w:name w:val="Comment Text Char"/>
    <w:basedOn w:val="DefaultParagraphFont"/>
    <w:link w:val="CommentText"/>
    <w:rsid w:val="00814724"/>
  </w:style>
  <w:style w:type="paragraph" w:styleId="CommentSubject">
    <w:name w:val="annotation subject"/>
    <w:basedOn w:val="CommentText"/>
    <w:next w:val="CommentText"/>
    <w:link w:val="CommentSubjectChar"/>
    <w:rsid w:val="00814724"/>
    <w:rPr>
      <w:b/>
      <w:bCs/>
    </w:rPr>
  </w:style>
  <w:style w:type="character" w:customStyle="1" w:styleId="CommentSubjectChar">
    <w:name w:val="Comment Subject Char"/>
    <w:basedOn w:val="CommentTextChar"/>
    <w:link w:val="CommentSubject"/>
    <w:rsid w:val="00814724"/>
    <w:rPr>
      <w:b/>
      <w:bCs/>
    </w:rPr>
  </w:style>
  <w:style w:type="paragraph" w:styleId="Revision">
    <w:name w:val="Revision"/>
    <w:hidden/>
    <w:uiPriority w:val="99"/>
    <w:semiHidden/>
    <w:rsid w:val="00512908"/>
    <w:rPr>
      <w:sz w:val="24"/>
      <w:szCs w:val="24"/>
    </w:rPr>
  </w:style>
  <w:style w:type="paragraph" w:styleId="ListNumber">
    <w:name w:val="List Number"/>
    <w:basedOn w:val="Normal"/>
    <w:rsid w:val="00922C0C"/>
    <w:pPr>
      <w:numPr>
        <w:numId w:val="13"/>
      </w:numPr>
      <w:contextualSpacing/>
    </w:pPr>
  </w:style>
  <w:style w:type="paragraph" w:styleId="BodyText2">
    <w:name w:val="Body Text 2"/>
    <w:basedOn w:val="Normal"/>
    <w:link w:val="BodyText2Char"/>
    <w:rsid w:val="00FF5E61"/>
    <w:pPr>
      <w:spacing w:after="120" w:line="480" w:lineRule="auto"/>
    </w:pPr>
  </w:style>
  <w:style w:type="character" w:customStyle="1" w:styleId="BodyText2Char">
    <w:name w:val="Body Text 2 Char"/>
    <w:basedOn w:val="DefaultParagraphFont"/>
    <w:link w:val="BodyText2"/>
    <w:rsid w:val="00FF5E61"/>
    <w:rPr>
      <w:sz w:val="24"/>
      <w:szCs w:val="24"/>
    </w:rPr>
  </w:style>
  <w:style w:type="paragraph" w:customStyle="1" w:styleId="OutlineL3">
    <w:name w:val="Outline_L3"/>
    <w:basedOn w:val="Normal"/>
    <w:rsid w:val="00F22FBE"/>
    <w:pPr>
      <w:numPr>
        <w:ilvl w:val="2"/>
      </w:numPr>
      <w:tabs>
        <w:tab w:val="num" w:pos="720"/>
        <w:tab w:val="num" w:pos="2160"/>
      </w:tabs>
      <w:spacing w:after="120" w:line="480" w:lineRule="auto"/>
      <w:ind w:firstLine="1440"/>
      <w:outlineLvl w:val="2"/>
    </w:pPr>
    <w:rPr>
      <w:szCs w:val="20"/>
    </w:rPr>
  </w:style>
  <w:style w:type="paragraph" w:customStyle="1" w:styleId="Default">
    <w:name w:val="Default"/>
    <w:rsid w:val="00557C7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74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lexis.com/research/buttonTFLink?_m=6840269e96d866f7def0bd999ce92e73&amp;_xfercite=%3ccite%20cc%3d%22USA%22%3e%3c%21%5bCDATA%5b293%20P.U.R.4th%20235%5d%5d%3e%3c%2fcite%3e&amp;_butType=4&amp;_butStat=0&amp;_butNum=15&amp;_butInline=1&amp;_butinfo=66%20PACS%20315&amp;_fmtstr=FULL&amp;docnum=2&amp;_startdoc=1&amp;wchp=dGLbVzt-zSkAW&amp;_md5=a106ff73ba6d63872120ef8ca081a002" TargetMode="External"/><Relationship Id="rId4" Type="http://schemas.microsoft.com/office/2007/relationships/stylesWithEffects" Target="stylesWithEffects.xml"/><Relationship Id="rId9" Type="http://schemas.openxmlformats.org/officeDocument/2006/relationships/hyperlink" Target="http://www.lexis.com/research/buttonTFLink?_m=6840269e96d866f7def0bd999ce92e73&amp;_xfercite=%3ccite%20cc%3d%22USA%22%3e%3c%21%5bCDATA%5b293%20P.U.R.4th%20235%5d%5d%3e%3c%2fcite%3e&amp;_butType=4&amp;_butStat=0&amp;_butNum=14&amp;_butInline=1&amp;_butinfo=66%20PACS%201308&amp;_fmtstr=FULL&amp;docnum=2&amp;_startdoc=1&amp;wchp=dGLbVzt-zSkAW&amp;_md5=464915d2447578a011ff30165eef4e7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38072-8518-433F-9202-58F20EEB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6805</Words>
  <Characters>38792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eberzonsky@pa.gov</dc:creator>
  <cp:lastModifiedBy>Wagner, Nathan R</cp:lastModifiedBy>
  <cp:revision>4</cp:revision>
  <cp:lastPrinted>2015-10-20T15:25:00Z</cp:lastPrinted>
  <dcterms:created xsi:type="dcterms:W3CDTF">2015-11-18T18:14:00Z</dcterms:created>
  <dcterms:modified xsi:type="dcterms:W3CDTF">2015-11-19T13:06:00Z</dcterms:modified>
</cp:coreProperties>
</file>