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085E5A">
      <w:pPr>
        <w:widowControl/>
        <w:tabs>
          <w:tab w:val="center" w:pos="4680"/>
        </w:tabs>
        <w:suppressAutoHyphens/>
        <w:contextualSpacing/>
        <w:jc w:val="center"/>
        <w:rPr>
          <w:b/>
          <w:sz w:val="26"/>
          <w:szCs w:val="26"/>
        </w:rPr>
      </w:pPr>
      <w:r w:rsidRPr="00D365A7">
        <w:rPr>
          <w:b/>
          <w:sz w:val="26"/>
          <w:szCs w:val="26"/>
        </w:rPr>
        <w:t>PENNSYLVANIA</w:t>
      </w:r>
    </w:p>
    <w:p w:rsidR="00F514FB" w:rsidRPr="00D365A7" w:rsidRDefault="00F514FB" w:rsidP="00085E5A">
      <w:pPr>
        <w:widowControl/>
        <w:tabs>
          <w:tab w:val="center" w:pos="4680"/>
        </w:tabs>
        <w:suppressAutoHyphens/>
        <w:contextualSpacing/>
        <w:jc w:val="center"/>
        <w:rPr>
          <w:sz w:val="26"/>
          <w:szCs w:val="26"/>
        </w:rPr>
      </w:pPr>
      <w:r w:rsidRPr="00D365A7">
        <w:rPr>
          <w:b/>
          <w:sz w:val="26"/>
          <w:szCs w:val="26"/>
        </w:rPr>
        <w:t>PUBLIC UTILITY COMMISSION</w:t>
      </w:r>
    </w:p>
    <w:p w:rsidR="00F514FB" w:rsidRPr="00D365A7" w:rsidRDefault="00F514FB" w:rsidP="00085E5A">
      <w:pPr>
        <w:widowControl/>
        <w:tabs>
          <w:tab w:val="center" w:pos="4680"/>
        </w:tabs>
        <w:suppressAutoHyphens/>
        <w:contextualSpacing/>
        <w:jc w:val="center"/>
        <w:rPr>
          <w:sz w:val="26"/>
          <w:szCs w:val="26"/>
        </w:rPr>
      </w:pPr>
      <w:r w:rsidRPr="00D365A7">
        <w:rPr>
          <w:b/>
          <w:sz w:val="26"/>
          <w:szCs w:val="26"/>
        </w:rPr>
        <w:t>Harrisburg, PA 17105-3265</w:t>
      </w:r>
    </w:p>
    <w:p w:rsidR="00F514FB" w:rsidRPr="00D365A7" w:rsidRDefault="00F514FB" w:rsidP="00085E5A">
      <w:pPr>
        <w:widowControl/>
        <w:tabs>
          <w:tab w:val="left" w:pos="-720"/>
        </w:tabs>
        <w:suppressAutoHyphens/>
        <w:contextualSpacing/>
        <w:rPr>
          <w:sz w:val="26"/>
          <w:szCs w:val="26"/>
        </w:rPr>
      </w:pPr>
    </w:p>
    <w:p w:rsidR="00F514FB" w:rsidRPr="00D365A7" w:rsidRDefault="00F514FB" w:rsidP="00085E5A">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085E5A">
            <w:pPr>
              <w:widowControl/>
              <w:contextualSpacing/>
              <w:rPr>
                <w:sz w:val="26"/>
                <w:szCs w:val="26"/>
              </w:rPr>
            </w:pPr>
          </w:p>
        </w:tc>
        <w:tc>
          <w:tcPr>
            <w:tcW w:w="4500" w:type="dxa"/>
          </w:tcPr>
          <w:p w:rsidR="00F514FB" w:rsidRPr="00D365A7" w:rsidRDefault="000E563C" w:rsidP="00085E5A">
            <w:pPr>
              <w:widowControl/>
              <w:contextualSpacing/>
              <w:jc w:val="right"/>
              <w:rPr>
                <w:sz w:val="26"/>
                <w:szCs w:val="26"/>
              </w:rPr>
            </w:pPr>
            <w:r>
              <w:rPr>
                <w:sz w:val="26"/>
                <w:szCs w:val="26"/>
              </w:rPr>
              <w:t>Public Meeting held November 19</w:t>
            </w:r>
            <w:r w:rsidR="00D54B2B">
              <w:rPr>
                <w:sz w:val="26"/>
                <w:szCs w:val="26"/>
              </w:rPr>
              <w:t>, 2015</w:t>
            </w:r>
          </w:p>
          <w:p w:rsidR="00F514FB" w:rsidRPr="00D365A7" w:rsidRDefault="00F514FB" w:rsidP="00085E5A">
            <w:pPr>
              <w:widowControl/>
              <w:contextualSpacing/>
              <w:jc w:val="right"/>
              <w:rPr>
                <w:sz w:val="26"/>
                <w:szCs w:val="26"/>
              </w:rPr>
            </w:pPr>
          </w:p>
          <w:p w:rsidR="00F514FB" w:rsidRPr="00D365A7" w:rsidRDefault="00F514FB" w:rsidP="00085E5A">
            <w:pPr>
              <w:widowControl/>
              <w:contextualSpacing/>
              <w:jc w:val="right"/>
              <w:rPr>
                <w:sz w:val="26"/>
                <w:szCs w:val="26"/>
              </w:rPr>
            </w:pPr>
          </w:p>
        </w:tc>
      </w:tr>
      <w:tr w:rsidR="00D365A7" w:rsidRPr="00D365A7" w:rsidTr="00716C74">
        <w:tc>
          <w:tcPr>
            <w:tcW w:w="5058" w:type="dxa"/>
          </w:tcPr>
          <w:p w:rsidR="00F514FB" w:rsidRPr="00D365A7" w:rsidRDefault="00F514FB" w:rsidP="00085E5A">
            <w:pPr>
              <w:widowControl/>
              <w:contextualSpacing/>
              <w:rPr>
                <w:sz w:val="26"/>
                <w:szCs w:val="26"/>
              </w:rPr>
            </w:pPr>
            <w:r w:rsidRPr="00D365A7">
              <w:rPr>
                <w:sz w:val="26"/>
                <w:szCs w:val="26"/>
              </w:rPr>
              <w:t>Commissioners Present:</w:t>
            </w:r>
          </w:p>
          <w:p w:rsidR="00F514FB" w:rsidRPr="00D365A7" w:rsidRDefault="00F514FB" w:rsidP="00085E5A">
            <w:pPr>
              <w:widowControl/>
              <w:contextualSpacing/>
              <w:rPr>
                <w:sz w:val="26"/>
                <w:szCs w:val="26"/>
              </w:rPr>
            </w:pPr>
          </w:p>
          <w:p w:rsidR="00F514FB" w:rsidRPr="00D365A7" w:rsidRDefault="00E854DD" w:rsidP="00085E5A">
            <w:pPr>
              <w:widowControl/>
              <w:tabs>
                <w:tab w:val="left" w:pos="705"/>
              </w:tabs>
              <w:ind w:firstLine="720"/>
              <w:contextualSpacing/>
              <w:rPr>
                <w:sz w:val="26"/>
                <w:szCs w:val="26"/>
              </w:rPr>
            </w:pPr>
            <w:r>
              <w:rPr>
                <w:sz w:val="26"/>
                <w:szCs w:val="26"/>
              </w:rPr>
              <w:t>Gladys M. Brown</w:t>
            </w:r>
            <w:r w:rsidR="00F514FB" w:rsidRPr="00D365A7">
              <w:rPr>
                <w:sz w:val="26"/>
                <w:szCs w:val="26"/>
              </w:rPr>
              <w:t>, Chairman</w:t>
            </w:r>
          </w:p>
          <w:p w:rsidR="00F514FB" w:rsidRPr="00D365A7" w:rsidRDefault="00F514FB" w:rsidP="00085E5A">
            <w:pPr>
              <w:widowControl/>
              <w:tabs>
                <w:tab w:val="left" w:pos="705"/>
              </w:tabs>
              <w:ind w:firstLine="720"/>
              <w:contextualSpacing/>
              <w:rPr>
                <w:sz w:val="26"/>
                <w:szCs w:val="26"/>
              </w:rPr>
            </w:pPr>
            <w:r w:rsidRPr="00D365A7">
              <w:rPr>
                <w:sz w:val="26"/>
                <w:szCs w:val="26"/>
              </w:rPr>
              <w:t>John F. Coleman, Jr., Vice Chairman</w:t>
            </w:r>
          </w:p>
          <w:p w:rsidR="00F514FB" w:rsidRDefault="00F514FB" w:rsidP="00085E5A">
            <w:pPr>
              <w:widowControl/>
              <w:tabs>
                <w:tab w:val="left" w:pos="705"/>
              </w:tabs>
              <w:ind w:firstLine="720"/>
              <w:contextualSpacing/>
              <w:rPr>
                <w:sz w:val="26"/>
                <w:szCs w:val="26"/>
              </w:rPr>
            </w:pPr>
            <w:r w:rsidRPr="00D365A7">
              <w:rPr>
                <w:sz w:val="26"/>
                <w:szCs w:val="26"/>
              </w:rPr>
              <w:t>Pamela A. Witmer</w:t>
            </w:r>
          </w:p>
          <w:p w:rsidR="00DF7069" w:rsidRDefault="00E854DD" w:rsidP="00085E5A">
            <w:pPr>
              <w:widowControl/>
              <w:tabs>
                <w:tab w:val="left" w:pos="705"/>
              </w:tabs>
              <w:ind w:firstLine="720"/>
              <w:contextualSpacing/>
              <w:rPr>
                <w:sz w:val="26"/>
                <w:szCs w:val="26"/>
              </w:rPr>
            </w:pPr>
            <w:r w:rsidRPr="00D365A7">
              <w:rPr>
                <w:sz w:val="26"/>
                <w:szCs w:val="26"/>
              </w:rPr>
              <w:t>Robert F. Powelson</w:t>
            </w:r>
          </w:p>
          <w:p w:rsidR="0065154F" w:rsidRPr="00D365A7" w:rsidRDefault="0065154F" w:rsidP="00085E5A">
            <w:pPr>
              <w:widowControl/>
              <w:tabs>
                <w:tab w:val="left" w:pos="705"/>
              </w:tabs>
              <w:ind w:firstLine="720"/>
              <w:contextualSpacing/>
              <w:rPr>
                <w:sz w:val="26"/>
                <w:szCs w:val="26"/>
              </w:rPr>
            </w:pPr>
            <w:r>
              <w:rPr>
                <w:sz w:val="26"/>
                <w:szCs w:val="26"/>
              </w:rPr>
              <w:t xml:space="preserve">Andrew </w:t>
            </w:r>
            <w:r w:rsidR="00095980">
              <w:rPr>
                <w:sz w:val="26"/>
                <w:szCs w:val="26"/>
              </w:rPr>
              <w:t xml:space="preserve">G. </w:t>
            </w:r>
            <w:r w:rsidR="00F841E0">
              <w:rPr>
                <w:sz w:val="26"/>
                <w:szCs w:val="26"/>
              </w:rPr>
              <w:t>Place</w:t>
            </w:r>
          </w:p>
          <w:p w:rsidR="00F514FB" w:rsidRPr="00D365A7" w:rsidRDefault="00F514FB" w:rsidP="00085E5A">
            <w:pPr>
              <w:widowControl/>
              <w:contextualSpacing/>
              <w:rPr>
                <w:sz w:val="26"/>
                <w:szCs w:val="26"/>
              </w:rPr>
            </w:pPr>
          </w:p>
          <w:p w:rsidR="00F514FB" w:rsidRPr="00D365A7" w:rsidRDefault="00F514FB" w:rsidP="00085E5A">
            <w:pPr>
              <w:widowControl/>
              <w:contextualSpacing/>
              <w:rPr>
                <w:sz w:val="26"/>
                <w:szCs w:val="26"/>
              </w:rPr>
            </w:pPr>
          </w:p>
        </w:tc>
        <w:tc>
          <w:tcPr>
            <w:tcW w:w="4500" w:type="dxa"/>
          </w:tcPr>
          <w:p w:rsidR="00F514FB" w:rsidRPr="00D365A7" w:rsidRDefault="00F514FB" w:rsidP="00085E5A">
            <w:pPr>
              <w:widowControl/>
              <w:contextualSpacing/>
              <w:jc w:val="right"/>
              <w:rPr>
                <w:sz w:val="26"/>
                <w:szCs w:val="26"/>
              </w:rPr>
            </w:pPr>
          </w:p>
          <w:p w:rsidR="00F514FB" w:rsidRPr="00D365A7" w:rsidRDefault="00F514FB" w:rsidP="00085E5A">
            <w:pPr>
              <w:widowControl/>
              <w:contextualSpacing/>
              <w:jc w:val="right"/>
              <w:rPr>
                <w:sz w:val="26"/>
                <w:szCs w:val="26"/>
              </w:rPr>
            </w:pPr>
          </w:p>
        </w:tc>
      </w:tr>
      <w:tr w:rsidR="00D365A7" w:rsidRPr="00D365A7" w:rsidTr="006C1EE9">
        <w:trPr>
          <w:trHeight w:val="675"/>
        </w:trPr>
        <w:tc>
          <w:tcPr>
            <w:tcW w:w="5058" w:type="dxa"/>
          </w:tcPr>
          <w:p w:rsidR="00F514FB" w:rsidRPr="00D365A7" w:rsidRDefault="00EB7C86" w:rsidP="00085E5A">
            <w:pPr>
              <w:widowControl/>
              <w:contextualSpacing/>
              <w:rPr>
                <w:sz w:val="26"/>
                <w:szCs w:val="26"/>
              </w:rPr>
            </w:pPr>
            <w:r>
              <w:rPr>
                <w:sz w:val="26"/>
                <w:szCs w:val="26"/>
              </w:rPr>
              <w:t xml:space="preserve">Sandra </w:t>
            </w:r>
            <w:r w:rsidR="00BE2C58">
              <w:rPr>
                <w:sz w:val="26"/>
                <w:szCs w:val="26"/>
              </w:rPr>
              <w:t xml:space="preserve">C. </w:t>
            </w:r>
            <w:r>
              <w:rPr>
                <w:sz w:val="26"/>
                <w:szCs w:val="26"/>
              </w:rPr>
              <w:t>Laws</w:t>
            </w:r>
          </w:p>
          <w:p w:rsidR="00F514FB" w:rsidRDefault="00F514FB" w:rsidP="00085E5A">
            <w:pPr>
              <w:widowControl/>
              <w:contextualSpacing/>
              <w:rPr>
                <w:sz w:val="26"/>
                <w:szCs w:val="26"/>
              </w:rPr>
            </w:pPr>
          </w:p>
          <w:p w:rsidR="00CE2E09" w:rsidRPr="00D365A7" w:rsidRDefault="00CE2E09" w:rsidP="00085E5A">
            <w:pPr>
              <w:widowControl/>
              <w:contextualSpacing/>
              <w:rPr>
                <w:sz w:val="26"/>
                <w:szCs w:val="26"/>
              </w:rPr>
            </w:pPr>
          </w:p>
        </w:tc>
        <w:tc>
          <w:tcPr>
            <w:tcW w:w="4500" w:type="dxa"/>
          </w:tcPr>
          <w:p w:rsidR="00F514FB" w:rsidRPr="00D365A7" w:rsidRDefault="00EC270B" w:rsidP="00085E5A">
            <w:pPr>
              <w:widowControl/>
              <w:contextualSpacing/>
              <w:jc w:val="right"/>
              <w:rPr>
                <w:sz w:val="26"/>
                <w:szCs w:val="26"/>
              </w:rPr>
            </w:pPr>
            <w:r>
              <w:rPr>
                <w:sz w:val="26"/>
                <w:szCs w:val="26"/>
              </w:rPr>
              <w:t>F</w:t>
            </w:r>
            <w:r w:rsidR="00992D66" w:rsidRPr="00D365A7">
              <w:rPr>
                <w:sz w:val="26"/>
                <w:szCs w:val="26"/>
              </w:rPr>
              <w:t>-201</w:t>
            </w:r>
            <w:r w:rsidR="006C1EE9">
              <w:rPr>
                <w:sz w:val="26"/>
                <w:szCs w:val="26"/>
              </w:rPr>
              <w:t>4</w:t>
            </w:r>
            <w:r w:rsidR="00992D66" w:rsidRPr="00D365A7">
              <w:rPr>
                <w:sz w:val="26"/>
                <w:szCs w:val="26"/>
              </w:rPr>
              <w:t>-</w:t>
            </w:r>
            <w:r w:rsidR="00EB7C86">
              <w:rPr>
                <w:sz w:val="26"/>
                <w:szCs w:val="26"/>
              </w:rPr>
              <w:t>2426789</w:t>
            </w:r>
          </w:p>
        </w:tc>
      </w:tr>
      <w:tr w:rsidR="00D365A7" w:rsidRPr="00D365A7" w:rsidTr="00716C74">
        <w:tc>
          <w:tcPr>
            <w:tcW w:w="5058" w:type="dxa"/>
          </w:tcPr>
          <w:p w:rsidR="00F514FB" w:rsidRPr="00D365A7" w:rsidRDefault="00F514FB" w:rsidP="00085E5A">
            <w:pPr>
              <w:widowControl/>
              <w:ind w:firstLine="900"/>
              <w:contextualSpacing/>
              <w:rPr>
                <w:sz w:val="26"/>
                <w:szCs w:val="26"/>
              </w:rPr>
            </w:pPr>
            <w:r w:rsidRPr="00D365A7">
              <w:rPr>
                <w:sz w:val="26"/>
                <w:szCs w:val="26"/>
              </w:rPr>
              <w:t>v.</w:t>
            </w:r>
          </w:p>
          <w:p w:rsidR="00F514FB" w:rsidRDefault="00F514FB" w:rsidP="00085E5A">
            <w:pPr>
              <w:widowControl/>
              <w:ind w:firstLine="1440"/>
              <w:contextualSpacing/>
              <w:rPr>
                <w:sz w:val="26"/>
                <w:szCs w:val="26"/>
              </w:rPr>
            </w:pPr>
          </w:p>
          <w:p w:rsidR="00CE2E09" w:rsidRPr="00D365A7" w:rsidRDefault="00CE2E09" w:rsidP="00085E5A">
            <w:pPr>
              <w:widowControl/>
              <w:ind w:firstLine="1440"/>
              <w:contextualSpacing/>
              <w:rPr>
                <w:sz w:val="26"/>
                <w:szCs w:val="26"/>
              </w:rPr>
            </w:pPr>
          </w:p>
        </w:tc>
        <w:tc>
          <w:tcPr>
            <w:tcW w:w="4500" w:type="dxa"/>
          </w:tcPr>
          <w:p w:rsidR="00F514FB" w:rsidRPr="00D365A7" w:rsidRDefault="00F514FB" w:rsidP="00085E5A">
            <w:pPr>
              <w:widowControl/>
              <w:contextualSpacing/>
              <w:rPr>
                <w:sz w:val="26"/>
                <w:szCs w:val="26"/>
              </w:rPr>
            </w:pPr>
          </w:p>
        </w:tc>
      </w:tr>
      <w:tr w:rsidR="00F514FB" w:rsidRPr="00D365A7" w:rsidTr="00716C74">
        <w:tc>
          <w:tcPr>
            <w:tcW w:w="5058" w:type="dxa"/>
          </w:tcPr>
          <w:p w:rsidR="00F514FB" w:rsidRPr="00D365A7" w:rsidRDefault="00CE2E09" w:rsidP="00085E5A">
            <w:pPr>
              <w:widowControl/>
              <w:contextualSpacing/>
              <w:rPr>
                <w:sz w:val="26"/>
                <w:szCs w:val="26"/>
              </w:rPr>
            </w:pPr>
            <w:r>
              <w:rPr>
                <w:sz w:val="26"/>
                <w:szCs w:val="26"/>
              </w:rPr>
              <w:t>Philadelphia Gas Works</w:t>
            </w:r>
          </w:p>
        </w:tc>
        <w:tc>
          <w:tcPr>
            <w:tcW w:w="4500" w:type="dxa"/>
          </w:tcPr>
          <w:p w:rsidR="00F514FB" w:rsidRPr="00D365A7" w:rsidRDefault="00F514FB" w:rsidP="00085E5A">
            <w:pPr>
              <w:widowControl/>
              <w:contextualSpacing/>
              <w:rPr>
                <w:sz w:val="26"/>
                <w:szCs w:val="26"/>
              </w:rPr>
            </w:pPr>
          </w:p>
        </w:tc>
      </w:tr>
    </w:tbl>
    <w:p w:rsidR="00F514FB" w:rsidRPr="00D365A7" w:rsidRDefault="00F514FB" w:rsidP="00085E5A">
      <w:pPr>
        <w:widowControl/>
        <w:contextualSpacing/>
        <w:rPr>
          <w:sz w:val="26"/>
          <w:szCs w:val="26"/>
        </w:rPr>
      </w:pPr>
    </w:p>
    <w:p w:rsidR="00F514FB" w:rsidRDefault="00F514FB" w:rsidP="00085E5A">
      <w:pPr>
        <w:widowControl/>
        <w:contextualSpacing/>
        <w:rPr>
          <w:sz w:val="26"/>
          <w:szCs w:val="26"/>
        </w:rPr>
      </w:pPr>
    </w:p>
    <w:p w:rsidR="00C46B34" w:rsidRDefault="00C46B34" w:rsidP="00085E5A">
      <w:pPr>
        <w:widowControl/>
        <w:contextualSpacing/>
        <w:jc w:val="center"/>
        <w:rPr>
          <w:b/>
          <w:sz w:val="26"/>
          <w:szCs w:val="26"/>
        </w:rPr>
      </w:pPr>
    </w:p>
    <w:p w:rsidR="00F514FB" w:rsidRPr="00D365A7" w:rsidRDefault="00F514FB" w:rsidP="00085E5A">
      <w:pPr>
        <w:widowControl/>
        <w:contextualSpacing/>
        <w:jc w:val="center"/>
        <w:rPr>
          <w:b/>
          <w:sz w:val="26"/>
          <w:szCs w:val="26"/>
        </w:rPr>
      </w:pPr>
      <w:r w:rsidRPr="00D365A7">
        <w:rPr>
          <w:b/>
          <w:sz w:val="26"/>
          <w:szCs w:val="26"/>
        </w:rPr>
        <w:t>OPINION AND ORDER</w:t>
      </w:r>
    </w:p>
    <w:p w:rsidR="00F514FB" w:rsidRPr="00D365A7" w:rsidRDefault="00F514FB" w:rsidP="00085E5A">
      <w:pPr>
        <w:widowControl/>
        <w:contextualSpacing/>
        <w:jc w:val="center"/>
        <w:rPr>
          <w:b/>
          <w:sz w:val="26"/>
          <w:szCs w:val="26"/>
        </w:rPr>
      </w:pPr>
    </w:p>
    <w:p w:rsidR="00F514FB" w:rsidRPr="00D365A7" w:rsidRDefault="00F514FB" w:rsidP="00085E5A">
      <w:pPr>
        <w:widowControl/>
        <w:contextualSpacing/>
        <w:jc w:val="center"/>
        <w:rPr>
          <w:b/>
          <w:sz w:val="26"/>
          <w:szCs w:val="26"/>
        </w:rPr>
      </w:pPr>
    </w:p>
    <w:p w:rsidR="00F514FB" w:rsidRPr="00D365A7" w:rsidRDefault="00F514FB" w:rsidP="00085E5A">
      <w:pPr>
        <w:widowControl/>
        <w:contextualSpacing/>
        <w:rPr>
          <w:b/>
          <w:sz w:val="26"/>
          <w:szCs w:val="26"/>
        </w:rPr>
      </w:pPr>
      <w:r w:rsidRPr="00D365A7">
        <w:rPr>
          <w:b/>
          <w:sz w:val="26"/>
          <w:szCs w:val="26"/>
        </w:rPr>
        <w:t>BY THE COMMISSION:</w:t>
      </w:r>
    </w:p>
    <w:p w:rsidR="00F514FB" w:rsidRPr="00D365A7" w:rsidRDefault="00F514FB" w:rsidP="00085E5A">
      <w:pPr>
        <w:widowControl/>
        <w:contextualSpacing/>
        <w:rPr>
          <w:sz w:val="26"/>
          <w:szCs w:val="26"/>
        </w:rPr>
      </w:pPr>
    </w:p>
    <w:p w:rsidR="00E22C75" w:rsidRDefault="00CA43A5" w:rsidP="00006577">
      <w:pPr>
        <w:widowControl/>
        <w:spacing w:line="360" w:lineRule="auto"/>
        <w:ind w:firstLine="1440"/>
        <w:contextualSpacing/>
        <w:rPr>
          <w:sz w:val="26"/>
          <w:szCs w:val="26"/>
        </w:rPr>
      </w:pPr>
      <w:r w:rsidRPr="00D365A7">
        <w:rPr>
          <w:sz w:val="26"/>
          <w:szCs w:val="26"/>
        </w:rPr>
        <w:t xml:space="preserve">Before the Pennsylvania Public Utility Commission (Commission) for consideration and disposition </w:t>
      </w:r>
      <w:r w:rsidR="00A30A39">
        <w:rPr>
          <w:sz w:val="26"/>
          <w:szCs w:val="26"/>
        </w:rPr>
        <w:t xml:space="preserve">are the </w:t>
      </w:r>
      <w:r w:rsidR="002C4494">
        <w:rPr>
          <w:sz w:val="26"/>
          <w:szCs w:val="26"/>
        </w:rPr>
        <w:t xml:space="preserve">Exceptions </w:t>
      </w:r>
      <w:r w:rsidR="002C4494">
        <w:rPr>
          <w:sz w:val="26"/>
        </w:rPr>
        <w:t>of</w:t>
      </w:r>
      <w:r w:rsidR="00A16587" w:rsidRPr="00D365A7">
        <w:rPr>
          <w:sz w:val="26"/>
        </w:rPr>
        <w:t xml:space="preserve"> </w:t>
      </w:r>
      <w:r w:rsidR="00EB7C86">
        <w:rPr>
          <w:sz w:val="26"/>
        </w:rPr>
        <w:t>Philadelphia Gas Works (</w:t>
      </w:r>
      <w:r w:rsidR="00EB7C86">
        <w:rPr>
          <w:sz w:val="26"/>
          <w:szCs w:val="26"/>
        </w:rPr>
        <w:t>PGW</w:t>
      </w:r>
      <w:r w:rsidR="00F50376">
        <w:rPr>
          <w:sz w:val="26"/>
          <w:szCs w:val="26"/>
        </w:rPr>
        <w:t xml:space="preserve"> or Company</w:t>
      </w:r>
      <w:r w:rsidR="00EB7C86">
        <w:rPr>
          <w:sz w:val="26"/>
          <w:szCs w:val="26"/>
        </w:rPr>
        <w:t xml:space="preserve">) </w:t>
      </w:r>
      <w:r w:rsidR="00D54B2B">
        <w:rPr>
          <w:sz w:val="26"/>
        </w:rPr>
        <w:t>filed on</w:t>
      </w:r>
      <w:r w:rsidR="00EB7C86">
        <w:rPr>
          <w:sz w:val="26"/>
        </w:rPr>
        <w:t xml:space="preserve"> August 5</w:t>
      </w:r>
      <w:r w:rsidR="004064EA" w:rsidRPr="00D365A7">
        <w:rPr>
          <w:sz w:val="26"/>
        </w:rPr>
        <w:t>,</w:t>
      </w:r>
      <w:r w:rsidR="00311378">
        <w:rPr>
          <w:sz w:val="26"/>
        </w:rPr>
        <w:t xml:space="preserve"> 2015</w:t>
      </w:r>
      <w:r w:rsidR="007E2AAF">
        <w:rPr>
          <w:sz w:val="26"/>
        </w:rPr>
        <w:t>,</w:t>
      </w:r>
      <w:r w:rsidR="00671E4C" w:rsidRPr="00D365A7">
        <w:rPr>
          <w:sz w:val="26"/>
        </w:rPr>
        <w:t xml:space="preserve"> to the Initial Decision (I.D.) of Administrative </w:t>
      </w:r>
      <w:r w:rsidR="00193757">
        <w:rPr>
          <w:sz w:val="26"/>
        </w:rPr>
        <w:t>Law J</w:t>
      </w:r>
      <w:r w:rsidR="00EB7C86">
        <w:rPr>
          <w:sz w:val="26"/>
        </w:rPr>
        <w:t>udge (ALJ) Angela T. Jones</w:t>
      </w:r>
      <w:r w:rsidR="004E31FF">
        <w:rPr>
          <w:sz w:val="26"/>
        </w:rPr>
        <w:t>, i</w:t>
      </w:r>
      <w:r w:rsidR="00EB7C86">
        <w:rPr>
          <w:sz w:val="26"/>
        </w:rPr>
        <w:t>ssued on July 16</w:t>
      </w:r>
      <w:r w:rsidR="00311378">
        <w:rPr>
          <w:sz w:val="26"/>
        </w:rPr>
        <w:t>, 2015</w:t>
      </w:r>
      <w:r w:rsidR="00671E4C" w:rsidRPr="00795E1B">
        <w:rPr>
          <w:sz w:val="26"/>
        </w:rPr>
        <w:t>,</w:t>
      </w:r>
      <w:r w:rsidR="00671E4C" w:rsidRPr="00D365A7">
        <w:rPr>
          <w:sz w:val="26"/>
        </w:rPr>
        <w:t xml:space="preserve"> in</w:t>
      </w:r>
      <w:r w:rsidR="0035728C" w:rsidRPr="00D365A7">
        <w:rPr>
          <w:sz w:val="26"/>
        </w:rPr>
        <w:t xml:space="preserve"> the above-captioned proceeding</w:t>
      </w:r>
      <w:r w:rsidR="00671E4C" w:rsidRPr="00D365A7">
        <w:rPr>
          <w:sz w:val="26"/>
        </w:rPr>
        <w:t>.</w:t>
      </w:r>
      <w:r w:rsidR="00937995">
        <w:rPr>
          <w:sz w:val="26"/>
        </w:rPr>
        <w:t xml:space="preserve">  </w:t>
      </w:r>
      <w:r w:rsidR="00EB7C86">
        <w:rPr>
          <w:sz w:val="26"/>
          <w:szCs w:val="26"/>
        </w:rPr>
        <w:t xml:space="preserve">Sandra </w:t>
      </w:r>
      <w:r w:rsidR="00BE2C58">
        <w:rPr>
          <w:sz w:val="26"/>
          <w:szCs w:val="26"/>
        </w:rPr>
        <w:t xml:space="preserve">C. </w:t>
      </w:r>
      <w:r w:rsidR="00EB7C86">
        <w:rPr>
          <w:sz w:val="26"/>
          <w:szCs w:val="26"/>
        </w:rPr>
        <w:t>Laws (Complainant ) did not file Replies to Exceptions</w:t>
      </w:r>
      <w:r w:rsidR="00C6669C">
        <w:rPr>
          <w:sz w:val="26"/>
          <w:szCs w:val="26"/>
        </w:rPr>
        <w:t>.</w:t>
      </w:r>
      <w:r w:rsidR="00CE2E09">
        <w:rPr>
          <w:sz w:val="26"/>
          <w:szCs w:val="26"/>
        </w:rPr>
        <w:t xml:space="preserve">  </w:t>
      </w:r>
      <w:r w:rsidR="00E22C75" w:rsidRPr="00D365A7">
        <w:rPr>
          <w:sz w:val="26"/>
          <w:szCs w:val="26"/>
        </w:rPr>
        <w:t xml:space="preserve">For the reasons stated below, </w:t>
      </w:r>
      <w:r w:rsidR="002C4494">
        <w:rPr>
          <w:sz w:val="26"/>
          <w:szCs w:val="26"/>
        </w:rPr>
        <w:t xml:space="preserve">we shall </w:t>
      </w:r>
      <w:r w:rsidR="009C54AD">
        <w:rPr>
          <w:sz w:val="26"/>
          <w:szCs w:val="26"/>
        </w:rPr>
        <w:t xml:space="preserve">grant </w:t>
      </w:r>
      <w:r w:rsidR="00EB7C86">
        <w:rPr>
          <w:sz w:val="26"/>
          <w:szCs w:val="26"/>
        </w:rPr>
        <w:t>PGW’s</w:t>
      </w:r>
      <w:r w:rsidR="002C4494">
        <w:rPr>
          <w:sz w:val="26"/>
          <w:szCs w:val="26"/>
        </w:rPr>
        <w:t xml:space="preserve"> Exceptions</w:t>
      </w:r>
      <w:r w:rsidR="00BC5A72">
        <w:rPr>
          <w:sz w:val="26"/>
          <w:szCs w:val="26"/>
        </w:rPr>
        <w:t xml:space="preserve"> and </w:t>
      </w:r>
      <w:r w:rsidR="006D1322">
        <w:rPr>
          <w:sz w:val="26"/>
          <w:szCs w:val="26"/>
        </w:rPr>
        <w:t>modify</w:t>
      </w:r>
      <w:r w:rsidR="00BC5A72">
        <w:rPr>
          <w:sz w:val="26"/>
          <w:szCs w:val="26"/>
        </w:rPr>
        <w:t xml:space="preserve"> the Initial Decision</w:t>
      </w:r>
      <w:r w:rsidR="00E22C75">
        <w:rPr>
          <w:sz w:val="26"/>
          <w:szCs w:val="26"/>
        </w:rPr>
        <w:t>.</w:t>
      </w:r>
    </w:p>
    <w:p w:rsidR="00CE2E09" w:rsidRDefault="00CE2E09" w:rsidP="00085E5A">
      <w:pPr>
        <w:keepNext/>
        <w:widowControl/>
        <w:spacing w:line="360" w:lineRule="auto"/>
        <w:contextualSpacing/>
        <w:jc w:val="center"/>
        <w:rPr>
          <w:b/>
          <w:sz w:val="26"/>
          <w:szCs w:val="26"/>
        </w:rPr>
      </w:pPr>
      <w:bookmarkStart w:id="0" w:name="OLE_LINK1"/>
      <w:bookmarkStart w:id="1" w:name="OLE_LINK2"/>
      <w:r w:rsidRPr="00D365A7">
        <w:rPr>
          <w:b/>
          <w:sz w:val="26"/>
          <w:szCs w:val="26"/>
        </w:rPr>
        <w:lastRenderedPageBreak/>
        <w:t>History of the Proceeding</w:t>
      </w:r>
    </w:p>
    <w:p w:rsidR="00C17323" w:rsidRPr="00D365A7" w:rsidRDefault="00C17323" w:rsidP="00085E5A">
      <w:pPr>
        <w:keepNext/>
        <w:widowControl/>
        <w:spacing w:line="360" w:lineRule="auto"/>
        <w:contextualSpacing/>
        <w:jc w:val="center"/>
        <w:rPr>
          <w:sz w:val="26"/>
          <w:szCs w:val="26"/>
        </w:rPr>
      </w:pPr>
    </w:p>
    <w:p w:rsidR="00A96603" w:rsidRDefault="00567488" w:rsidP="00085E5A">
      <w:pPr>
        <w:pStyle w:val="Style"/>
        <w:widowControl/>
        <w:spacing w:line="360" w:lineRule="auto"/>
        <w:ind w:firstLine="1440"/>
        <w:contextualSpacing/>
        <w:rPr>
          <w:sz w:val="26"/>
          <w:szCs w:val="26"/>
        </w:rPr>
      </w:pPr>
      <w:r>
        <w:rPr>
          <w:bCs/>
          <w:color w:val="000000"/>
          <w:sz w:val="26"/>
          <w:szCs w:val="26"/>
        </w:rPr>
        <w:t>On May 16</w:t>
      </w:r>
      <w:r w:rsidR="00C17323">
        <w:rPr>
          <w:bCs/>
          <w:color w:val="000000"/>
          <w:sz w:val="26"/>
          <w:szCs w:val="26"/>
        </w:rPr>
        <w:t xml:space="preserve">, 2014, </w:t>
      </w:r>
      <w:r w:rsidR="00CE2E09">
        <w:rPr>
          <w:bCs/>
          <w:color w:val="000000"/>
          <w:sz w:val="26"/>
          <w:szCs w:val="26"/>
        </w:rPr>
        <w:t xml:space="preserve">the Complainant </w:t>
      </w:r>
      <w:r w:rsidR="00CE2E09" w:rsidRPr="008B28D0">
        <w:rPr>
          <w:bCs/>
          <w:color w:val="000000"/>
          <w:sz w:val="26"/>
          <w:szCs w:val="26"/>
        </w:rPr>
        <w:t xml:space="preserve">filed </w:t>
      </w:r>
      <w:r w:rsidR="00CE2E09">
        <w:rPr>
          <w:bCs/>
          <w:color w:val="000000"/>
          <w:sz w:val="26"/>
          <w:szCs w:val="26"/>
        </w:rPr>
        <w:t>a F</w:t>
      </w:r>
      <w:r w:rsidR="00CE2E09" w:rsidRPr="008B28D0">
        <w:rPr>
          <w:bCs/>
          <w:color w:val="000000"/>
          <w:sz w:val="26"/>
          <w:szCs w:val="26"/>
        </w:rPr>
        <w:t xml:space="preserve">ormal Complaint </w:t>
      </w:r>
      <w:r w:rsidR="00CE2E09">
        <w:rPr>
          <w:bCs/>
          <w:color w:val="000000"/>
          <w:sz w:val="26"/>
          <w:szCs w:val="26"/>
        </w:rPr>
        <w:t>(Complaint</w:t>
      </w:r>
      <w:r w:rsidR="00C17323">
        <w:rPr>
          <w:bCs/>
          <w:color w:val="000000"/>
          <w:sz w:val="26"/>
          <w:szCs w:val="26"/>
        </w:rPr>
        <w:t>)</w:t>
      </w:r>
      <w:r w:rsidR="00006577" w:rsidRPr="00006577">
        <w:rPr>
          <w:rStyle w:val="FootnoteReference"/>
          <w:sz w:val="26"/>
          <w:szCs w:val="26"/>
        </w:rPr>
        <w:t xml:space="preserve"> </w:t>
      </w:r>
      <w:r w:rsidR="00006577">
        <w:rPr>
          <w:rStyle w:val="FootnoteReference"/>
          <w:sz w:val="26"/>
          <w:szCs w:val="26"/>
        </w:rPr>
        <w:footnoteReference w:id="1"/>
      </w:r>
      <w:r w:rsidR="00C17323">
        <w:rPr>
          <w:bCs/>
          <w:color w:val="000000"/>
          <w:sz w:val="26"/>
          <w:szCs w:val="26"/>
        </w:rPr>
        <w:t xml:space="preserve"> against PGW</w:t>
      </w:r>
      <w:r>
        <w:rPr>
          <w:bCs/>
          <w:color w:val="000000"/>
          <w:sz w:val="26"/>
          <w:szCs w:val="26"/>
        </w:rPr>
        <w:t xml:space="preserve"> alleging that</w:t>
      </w:r>
      <w:r w:rsidR="00D23DD3">
        <w:rPr>
          <w:bCs/>
          <w:color w:val="000000"/>
          <w:sz w:val="26"/>
          <w:szCs w:val="26"/>
        </w:rPr>
        <w:t xml:space="preserve"> she was charged</w:t>
      </w:r>
      <w:r w:rsidR="009C54AD">
        <w:rPr>
          <w:bCs/>
          <w:color w:val="000000"/>
          <w:sz w:val="26"/>
          <w:szCs w:val="26"/>
        </w:rPr>
        <w:t xml:space="preserve"> </w:t>
      </w:r>
      <w:r w:rsidR="00D23DD3">
        <w:rPr>
          <w:bCs/>
          <w:color w:val="000000"/>
          <w:sz w:val="26"/>
          <w:szCs w:val="26"/>
        </w:rPr>
        <w:t>150</w:t>
      </w:r>
      <w:r w:rsidR="00BB1369">
        <w:rPr>
          <w:bCs/>
          <w:color w:val="000000"/>
          <w:sz w:val="26"/>
          <w:szCs w:val="26"/>
        </w:rPr>
        <w:t xml:space="preserve"> </w:t>
      </w:r>
      <w:r w:rsidR="00D23DD3">
        <w:rPr>
          <w:bCs/>
          <w:color w:val="000000"/>
          <w:sz w:val="26"/>
          <w:szCs w:val="26"/>
        </w:rPr>
        <w:t>percent</w:t>
      </w:r>
      <w:r w:rsidR="00557A18">
        <w:rPr>
          <w:bCs/>
          <w:color w:val="000000"/>
          <w:sz w:val="26"/>
          <w:szCs w:val="26"/>
        </w:rPr>
        <w:t xml:space="preserve"> of her actual usage th</w:t>
      </w:r>
      <w:r w:rsidR="009C54AD">
        <w:rPr>
          <w:bCs/>
          <w:color w:val="000000"/>
          <w:sz w:val="26"/>
          <w:szCs w:val="26"/>
        </w:rPr>
        <w:t>r</w:t>
      </w:r>
      <w:r w:rsidR="00557A18">
        <w:rPr>
          <w:bCs/>
          <w:color w:val="000000"/>
          <w:sz w:val="26"/>
          <w:szCs w:val="26"/>
        </w:rPr>
        <w:t xml:space="preserve">ough PGW’s </w:t>
      </w:r>
      <w:r w:rsidR="00C56035">
        <w:rPr>
          <w:bCs/>
          <w:color w:val="000000"/>
          <w:sz w:val="26"/>
          <w:szCs w:val="26"/>
        </w:rPr>
        <w:t>Distribution Charge</w:t>
      </w:r>
      <w:r w:rsidR="009C54AD">
        <w:rPr>
          <w:bCs/>
          <w:color w:val="000000"/>
          <w:sz w:val="26"/>
          <w:szCs w:val="26"/>
        </w:rPr>
        <w:t>.</w:t>
      </w:r>
      <w:r w:rsidR="00006577" w:rsidRPr="00006577">
        <w:rPr>
          <w:rStyle w:val="FootnoteReference"/>
          <w:bCs/>
          <w:color w:val="000000"/>
          <w:sz w:val="26"/>
          <w:szCs w:val="26"/>
        </w:rPr>
        <w:t xml:space="preserve"> </w:t>
      </w:r>
      <w:r w:rsidR="00006577">
        <w:rPr>
          <w:rStyle w:val="FootnoteReference"/>
          <w:bCs/>
          <w:color w:val="000000"/>
          <w:sz w:val="26"/>
          <w:szCs w:val="26"/>
        </w:rPr>
        <w:footnoteReference w:id="2"/>
      </w:r>
      <w:r w:rsidR="009C54AD">
        <w:rPr>
          <w:bCs/>
          <w:color w:val="000000"/>
          <w:sz w:val="26"/>
          <w:szCs w:val="26"/>
        </w:rPr>
        <w:t xml:space="preserve">  The Complainant characterized this charge as</w:t>
      </w:r>
      <w:r w:rsidR="00557A18">
        <w:rPr>
          <w:bCs/>
          <w:color w:val="000000"/>
          <w:sz w:val="26"/>
          <w:szCs w:val="26"/>
        </w:rPr>
        <w:t xml:space="preserve"> excessive and unreasonable</w:t>
      </w:r>
      <w:r w:rsidR="00A96603">
        <w:rPr>
          <w:bCs/>
          <w:color w:val="000000"/>
          <w:sz w:val="26"/>
          <w:szCs w:val="26"/>
        </w:rPr>
        <w:t>.</w:t>
      </w:r>
      <w:r w:rsidR="006D6983">
        <w:rPr>
          <w:bCs/>
          <w:color w:val="000000"/>
          <w:sz w:val="26"/>
          <w:szCs w:val="26"/>
        </w:rPr>
        <w:t xml:space="preserve">  </w:t>
      </w:r>
      <w:r w:rsidR="009C54AD">
        <w:rPr>
          <w:bCs/>
          <w:color w:val="000000"/>
          <w:sz w:val="26"/>
          <w:szCs w:val="26"/>
        </w:rPr>
        <w:t xml:space="preserve">As </w:t>
      </w:r>
      <w:r w:rsidR="00CE2E09">
        <w:rPr>
          <w:bCs/>
          <w:color w:val="000000"/>
          <w:sz w:val="26"/>
          <w:szCs w:val="26"/>
        </w:rPr>
        <w:t xml:space="preserve">relief, </w:t>
      </w:r>
      <w:r w:rsidR="00A96603">
        <w:rPr>
          <w:bCs/>
          <w:color w:val="000000"/>
          <w:sz w:val="26"/>
          <w:szCs w:val="26"/>
        </w:rPr>
        <w:t>s</w:t>
      </w:r>
      <w:r w:rsidR="00CE2E09">
        <w:rPr>
          <w:kern w:val="1"/>
          <w:sz w:val="26"/>
          <w:szCs w:val="26"/>
        </w:rPr>
        <w:t xml:space="preserve">he </w:t>
      </w:r>
      <w:r w:rsidR="00A96603">
        <w:rPr>
          <w:bCs/>
          <w:color w:val="000000"/>
          <w:sz w:val="26"/>
          <w:szCs w:val="26"/>
        </w:rPr>
        <w:t xml:space="preserve">requested </w:t>
      </w:r>
      <w:r w:rsidR="00557A18">
        <w:rPr>
          <w:bCs/>
          <w:color w:val="000000"/>
          <w:sz w:val="26"/>
          <w:szCs w:val="26"/>
        </w:rPr>
        <w:t xml:space="preserve">that the </w:t>
      </w:r>
      <w:r w:rsidR="00C56035">
        <w:rPr>
          <w:bCs/>
          <w:color w:val="000000"/>
          <w:sz w:val="26"/>
          <w:szCs w:val="26"/>
        </w:rPr>
        <w:t>Distribution Charge</w:t>
      </w:r>
      <w:r w:rsidR="00557A18">
        <w:rPr>
          <w:bCs/>
          <w:color w:val="000000"/>
          <w:sz w:val="26"/>
          <w:szCs w:val="26"/>
        </w:rPr>
        <w:t xml:space="preserve"> be limited to five percent of her usage charge.</w:t>
      </w:r>
      <w:r w:rsidR="00557A18">
        <w:rPr>
          <w:rStyle w:val="FootnoteReference"/>
          <w:bCs/>
          <w:color w:val="000000"/>
          <w:sz w:val="26"/>
          <w:szCs w:val="26"/>
        </w:rPr>
        <w:footnoteReference w:id="3"/>
      </w:r>
      <w:r w:rsidR="00557A18">
        <w:rPr>
          <w:bCs/>
          <w:color w:val="000000"/>
          <w:sz w:val="26"/>
          <w:szCs w:val="26"/>
        </w:rPr>
        <w:t xml:space="preserve">  </w:t>
      </w:r>
      <w:r w:rsidR="00A96603">
        <w:rPr>
          <w:sz w:val="26"/>
          <w:szCs w:val="26"/>
        </w:rPr>
        <w:t>Complaint at 2-3</w:t>
      </w:r>
      <w:r w:rsidR="00CE2E09">
        <w:rPr>
          <w:sz w:val="26"/>
          <w:szCs w:val="26"/>
        </w:rPr>
        <w:t>.</w:t>
      </w:r>
    </w:p>
    <w:p w:rsidR="00CE2E09" w:rsidRDefault="00CE2E09" w:rsidP="00085E5A">
      <w:pPr>
        <w:pStyle w:val="Style"/>
        <w:widowControl/>
        <w:spacing w:line="360" w:lineRule="auto"/>
        <w:ind w:firstLine="1440"/>
        <w:contextualSpacing/>
        <w:rPr>
          <w:sz w:val="26"/>
          <w:szCs w:val="26"/>
        </w:rPr>
      </w:pPr>
    </w:p>
    <w:p w:rsidR="00CE2E09" w:rsidRDefault="00F50376" w:rsidP="00085E5A">
      <w:pPr>
        <w:pStyle w:val="Style"/>
        <w:widowControl/>
        <w:spacing w:line="360" w:lineRule="auto"/>
        <w:ind w:firstLine="1440"/>
        <w:contextualSpacing/>
        <w:rPr>
          <w:sz w:val="26"/>
          <w:szCs w:val="26"/>
        </w:rPr>
      </w:pPr>
      <w:r>
        <w:rPr>
          <w:sz w:val="26"/>
          <w:szCs w:val="26"/>
        </w:rPr>
        <w:t>On July 15</w:t>
      </w:r>
      <w:r w:rsidR="00A96603">
        <w:rPr>
          <w:sz w:val="26"/>
          <w:szCs w:val="26"/>
        </w:rPr>
        <w:t>, 2014, PGW</w:t>
      </w:r>
      <w:r w:rsidR="00CE2E09" w:rsidRPr="008B1B88">
        <w:rPr>
          <w:sz w:val="26"/>
          <w:szCs w:val="26"/>
        </w:rPr>
        <w:t xml:space="preserve"> filed an Answer to the Complaint (Answer) in which it </w:t>
      </w:r>
      <w:r>
        <w:rPr>
          <w:sz w:val="26"/>
          <w:szCs w:val="26"/>
        </w:rPr>
        <w:t xml:space="preserve">denied the </w:t>
      </w:r>
      <w:r w:rsidR="00103218">
        <w:rPr>
          <w:sz w:val="26"/>
          <w:szCs w:val="26"/>
        </w:rPr>
        <w:t xml:space="preserve">material </w:t>
      </w:r>
      <w:r w:rsidR="00D23DD3">
        <w:rPr>
          <w:sz w:val="26"/>
          <w:szCs w:val="26"/>
        </w:rPr>
        <w:t xml:space="preserve">allegations in the </w:t>
      </w:r>
      <w:r>
        <w:rPr>
          <w:sz w:val="26"/>
          <w:szCs w:val="26"/>
        </w:rPr>
        <w:t>Complain</w:t>
      </w:r>
      <w:r w:rsidR="00F10838">
        <w:rPr>
          <w:sz w:val="26"/>
          <w:szCs w:val="26"/>
        </w:rPr>
        <w:t>t</w:t>
      </w:r>
      <w:r w:rsidR="00103218">
        <w:rPr>
          <w:sz w:val="26"/>
          <w:szCs w:val="26"/>
        </w:rPr>
        <w:t>.</w:t>
      </w:r>
      <w:r w:rsidR="00BB1369">
        <w:rPr>
          <w:rStyle w:val="FootnoteReference"/>
          <w:sz w:val="26"/>
          <w:szCs w:val="26"/>
        </w:rPr>
        <w:t xml:space="preserve"> </w:t>
      </w:r>
      <w:r w:rsidR="00BB1369">
        <w:rPr>
          <w:sz w:val="26"/>
          <w:szCs w:val="26"/>
        </w:rPr>
        <w:t xml:space="preserve"> </w:t>
      </w:r>
      <w:r w:rsidR="00103218">
        <w:rPr>
          <w:sz w:val="26"/>
          <w:szCs w:val="26"/>
        </w:rPr>
        <w:t xml:space="preserve">PGW </w:t>
      </w:r>
      <w:r w:rsidR="003D1E9A">
        <w:rPr>
          <w:sz w:val="26"/>
          <w:szCs w:val="26"/>
        </w:rPr>
        <w:t xml:space="preserve">also </w:t>
      </w:r>
      <w:r w:rsidR="00103218">
        <w:rPr>
          <w:sz w:val="26"/>
          <w:szCs w:val="26"/>
        </w:rPr>
        <w:t xml:space="preserve">explained </w:t>
      </w:r>
      <w:r>
        <w:rPr>
          <w:sz w:val="26"/>
          <w:szCs w:val="26"/>
        </w:rPr>
        <w:t xml:space="preserve">that the </w:t>
      </w:r>
      <w:r w:rsidR="00C56035">
        <w:rPr>
          <w:sz w:val="26"/>
          <w:szCs w:val="26"/>
        </w:rPr>
        <w:t>Distribution Charge</w:t>
      </w:r>
      <w:r>
        <w:rPr>
          <w:sz w:val="26"/>
          <w:szCs w:val="26"/>
        </w:rPr>
        <w:t xml:space="preserve"> is a component of the general service rate in the Company’s tariff</w:t>
      </w:r>
      <w:r w:rsidR="00F10838">
        <w:rPr>
          <w:sz w:val="26"/>
          <w:szCs w:val="26"/>
        </w:rPr>
        <w:t xml:space="preserve"> and requested that the Commission dismiss the Complaint</w:t>
      </w:r>
      <w:r>
        <w:rPr>
          <w:sz w:val="26"/>
          <w:szCs w:val="26"/>
        </w:rPr>
        <w:t>.</w:t>
      </w:r>
      <w:r w:rsidR="00BD1206">
        <w:rPr>
          <w:sz w:val="26"/>
          <w:szCs w:val="26"/>
        </w:rPr>
        <w:t xml:space="preserve">  </w:t>
      </w:r>
      <w:r w:rsidR="00D9393B">
        <w:rPr>
          <w:sz w:val="26"/>
          <w:szCs w:val="26"/>
        </w:rPr>
        <w:t>Answer at 1-2</w:t>
      </w:r>
      <w:r>
        <w:rPr>
          <w:sz w:val="26"/>
          <w:szCs w:val="26"/>
        </w:rPr>
        <w:t>.</w:t>
      </w:r>
    </w:p>
    <w:p w:rsidR="00F50376" w:rsidRPr="008B28D0" w:rsidRDefault="00F50376" w:rsidP="00085E5A">
      <w:pPr>
        <w:pStyle w:val="Style"/>
        <w:widowControl/>
        <w:spacing w:line="360" w:lineRule="auto"/>
        <w:ind w:firstLine="1440"/>
        <w:contextualSpacing/>
        <w:rPr>
          <w:sz w:val="26"/>
          <w:szCs w:val="26"/>
        </w:rPr>
      </w:pPr>
    </w:p>
    <w:p w:rsidR="00CE2E09" w:rsidRDefault="00CE2E09" w:rsidP="00085E5A">
      <w:pPr>
        <w:widowControl/>
        <w:spacing w:line="360" w:lineRule="auto"/>
        <w:contextualSpacing/>
        <w:rPr>
          <w:sz w:val="26"/>
          <w:szCs w:val="26"/>
        </w:rPr>
      </w:pPr>
      <w:r w:rsidRPr="00D365A7">
        <w:rPr>
          <w:sz w:val="26"/>
          <w:szCs w:val="26"/>
        </w:rPr>
        <w:tab/>
      </w:r>
      <w:r w:rsidR="001012C7">
        <w:rPr>
          <w:sz w:val="26"/>
          <w:szCs w:val="26"/>
        </w:rPr>
        <w:tab/>
      </w:r>
      <w:r w:rsidR="00F10838">
        <w:rPr>
          <w:sz w:val="26"/>
          <w:szCs w:val="26"/>
        </w:rPr>
        <w:t>On September 17, 2014</w:t>
      </w:r>
      <w:r w:rsidR="00C37AD6">
        <w:rPr>
          <w:sz w:val="26"/>
          <w:szCs w:val="26"/>
        </w:rPr>
        <w:t>, a</w:t>
      </w:r>
      <w:r w:rsidRPr="00EB0468">
        <w:rPr>
          <w:sz w:val="26"/>
          <w:szCs w:val="26"/>
        </w:rPr>
        <w:t xml:space="preserve"> hearing was held in this matter.  The Complainant appeared </w:t>
      </w:r>
      <w:r w:rsidRPr="00C135B8">
        <w:rPr>
          <w:i/>
          <w:sz w:val="26"/>
          <w:szCs w:val="26"/>
        </w:rPr>
        <w:t>pro se</w:t>
      </w:r>
      <w:r w:rsidR="007A6772">
        <w:rPr>
          <w:sz w:val="26"/>
          <w:szCs w:val="26"/>
        </w:rPr>
        <w:t xml:space="preserve">, </w:t>
      </w:r>
      <w:r w:rsidRPr="00EB0468">
        <w:rPr>
          <w:sz w:val="26"/>
          <w:szCs w:val="26"/>
        </w:rPr>
        <w:t>testified</w:t>
      </w:r>
      <w:r w:rsidR="00324AE2">
        <w:rPr>
          <w:sz w:val="26"/>
          <w:szCs w:val="26"/>
        </w:rPr>
        <w:t xml:space="preserve"> on her own behalf</w:t>
      </w:r>
      <w:r w:rsidR="00103218">
        <w:rPr>
          <w:sz w:val="26"/>
          <w:szCs w:val="26"/>
        </w:rPr>
        <w:t>,</w:t>
      </w:r>
      <w:r w:rsidR="007A6772">
        <w:rPr>
          <w:sz w:val="26"/>
          <w:szCs w:val="26"/>
        </w:rPr>
        <w:t xml:space="preserve"> and offered one exhibit (Complainant Exhibit 1)</w:t>
      </w:r>
      <w:r w:rsidR="00103218">
        <w:rPr>
          <w:sz w:val="26"/>
          <w:szCs w:val="26"/>
        </w:rPr>
        <w:t>, which was admitted into the record</w:t>
      </w:r>
      <w:r>
        <w:rPr>
          <w:sz w:val="26"/>
          <w:szCs w:val="26"/>
        </w:rPr>
        <w:t xml:space="preserve">.  </w:t>
      </w:r>
      <w:r w:rsidR="007A0298">
        <w:rPr>
          <w:sz w:val="26"/>
          <w:szCs w:val="26"/>
        </w:rPr>
        <w:t>PGW</w:t>
      </w:r>
      <w:r w:rsidR="007A0298" w:rsidRPr="00EB0468">
        <w:rPr>
          <w:sz w:val="26"/>
          <w:szCs w:val="26"/>
        </w:rPr>
        <w:t xml:space="preserve"> was</w:t>
      </w:r>
      <w:r w:rsidRPr="00EB0468">
        <w:rPr>
          <w:sz w:val="26"/>
          <w:szCs w:val="26"/>
        </w:rPr>
        <w:t xml:space="preserve"> represented by </w:t>
      </w:r>
      <w:r>
        <w:rPr>
          <w:sz w:val="26"/>
          <w:szCs w:val="26"/>
        </w:rPr>
        <w:t>its counsel</w:t>
      </w:r>
      <w:r w:rsidRPr="00EB0468">
        <w:rPr>
          <w:sz w:val="26"/>
          <w:szCs w:val="26"/>
        </w:rPr>
        <w:t xml:space="preserve"> who presente</w:t>
      </w:r>
      <w:r w:rsidR="00FF63A5">
        <w:rPr>
          <w:sz w:val="26"/>
          <w:szCs w:val="26"/>
        </w:rPr>
        <w:t>d the testimony of one witness</w:t>
      </w:r>
      <w:r w:rsidR="00F10838">
        <w:rPr>
          <w:sz w:val="26"/>
          <w:szCs w:val="26"/>
        </w:rPr>
        <w:t xml:space="preserve"> and offered four</w:t>
      </w:r>
      <w:r w:rsidRPr="00EB0468">
        <w:rPr>
          <w:sz w:val="26"/>
          <w:szCs w:val="26"/>
        </w:rPr>
        <w:t xml:space="preserve"> </w:t>
      </w:r>
      <w:r w:rsidR="007A0298">
        <w:rPr>
          <w:sz w:val="26"/>
          <w:szCs w:val="26"/>
        </w:rPr>
        <w:t xml:space="preserve">exhibits </w:t>
      </w:r>
      <w:r w:rsidR="00D9393B">
        <w:rPr>
          <w:sz w:val="26"/>
          <w:szCs w:val="26"/>
        </w:rPr>
        <w:t>(PGW Exhibits 1 through 4)</w:t>
      </w:r>
      <w:r w:rsidR="00103218">
        <w:rPr>
          <w:sz w:val="26"/>
          <w:szCs w:val="26"/>
        </w:rPr>
        <w:t>, all of</w:t>
      </w:r>
      <w:r w:rsidR="00D9393B">
        <w:rPr>
          <w:sz w:val="26"/>
          <w:szCs w:val="26"/>
        </w:rPr>
        <w:t xml:space="preserve"> </w:t>
      </w:r>
      <w:r w:rsidR="007A0298" w:rsidRPr="00EB0468">
        <w:rPr>
          <w:sz w:val="26"/>
          <w:szCs w:val="26"/>
        </w:rPr>
        <w:t>which</w:t>
      </w:r>
      <w:r w:rsidRPr="00EB0468">
        <w:rPr>
          <w:sz w:val="26"/>
          <w:szCs w:val="26"/>
        </w:rPr>
        <w:t xml:space="preserve"> </w:t>
      </w:r>
      <w:r w:rsidR="007A0298" w:rsidRPr="00EB0468">
        <w:rPr>
          <w:sz w:val="26"/>
          <w:szCs w:val="26"/>
        </w:rPr>
        <w:t>were admitted</w:t>
      </w:r>
      <w:r w:rsidRPr="00EB0468">
        <w:rPr>
          <w:sz w:val="26"/>
          <w:szCs w:val="26"/>
        </w:rPr>
        <w:t xml:space="preserve"> into the record.  T</w:t>
      </w:r>
      <w:r>
        <w:rPr>
          <w:sz w:val="26"/>
          <w:szCs w:val="26"/>
        </w:rPr>
        <w:t>he r</w:t>
      </w:r>
      <w:r w:rsidR="00C37AD6">
        <w:rPr>
          <w:sz w:val="26"/>
          <w:szCs w:val="26"/>
        </w:rPr>
        <w:t>ecord was closed o</w:t>
      </w:r>
      <w:r w:rsidR="00F10838">
        <w:rPr>
          <w:sz w:val="26"/>
          <w:szCs w:val="26"/>
        </w:rPr>
        <w:t>n October 17, 2014</w:t>
      </w:r>
      <w:r w:rsidRPr="00EB0468">
        <w:rPr>
          <w:sz w:val="26"/>
          <w:szCs w:val="26"/>
        </w:rPr>
        <w:t>.</w:t>
      </w:r>
    </w:p>
    <w:p w:rsidR="00CE2E09" w:rsidRDefault="00CE2E09" w:rsidP="00085E5A">
      <w:pPr>
        <w:widowControl/>
        <w:spacing w:line="360" w:lineRule="auto"/>
        <w:ind w:firstLine="1440"/>
        <w:contextualSpacing/>
        <w:rPr>
          <w:sz w:val="26"/>
          <w:szCs w:val="26"/>
        </w:rPr>
      </w:pPr>
    </w:p>
    <w:p w:rsidR="00F10838" w:rsidRPr="00F10838" w:rsidRDefault="00D23DD3" w:rsidP="00085E5A">
      <w:pPr>
        <w:widowControl/>
        <w:tabs>
          <w:tab w:val="left" w:pos="-1440"/>
          <w:tab w:val="left" w:pos="-720"/>
        </w:tabs>
        <w:suppressAutoHyphens/>
        <w:spacing w:line="360" w:lineRule="auto"/>
        <w:ind w:firstLine="1440"/>
        <w:contextualSpacing/>
        <w:rPr>
          <w:sz w:val="26"/>
          <w:szCs w:val="26"/>
        </w:rPr>
      </w:pPr>
      <w:r>
        <w:rPr>
          <w:sz w:val="26"/>
          <w:szCs w:val="26"/>
        </w:rPr>
        <w:t xml:space="preserve">However, </w:t>
      </w:r>
      <w:r w:rsidR="00103218">
        <w:rPr>
          <w:sz w:val="26"/>
          <w:szCs w:val="26"/>
        </w:rPr>
        <w:t xml:space="preserve">subsequent to the close of the record, </w:t>
      </w:r>
      <w:r w:rsidR="00F10838" w:rsidRPr="00F10838">
        <w:rPr>
          <w:sz w:val="26"/>
          <w:szCs w:val="26"/>
        </w:rPr>
        <w:t xml:space="preserve">the ALJ found that several surcharges that </w:t>
      </w:r>
      <w:r w:rsidR="005C0710">
        <w:rPr>
          <w:sz w:val="26"/>
          <w:szCs w:val="26"/>
        </w:rPr>
        <w:t>comprise</w:t>
      </w:r>
      <w:r w:rsidR="00F10838" w:rsidRPr="00F10838">
        <w:rPr>
          <w:sz w:val="26"/>
          <w:szCs w:val="26"/>
        </w:rPr>
        <w:t xml:space="preserve"> the </w:t>
      </w:r>
      <w:r w:rsidR="00C56035">
        <w:rPr>
          <w:sz w:val="26"/>
          <w:szCs w:val="26"/>
        </w:rPr>
        <w:t>Distribution Charge</w:t>
      </w:r>
      <w:r w:rsidR="00F10838" w:rsidRPr="00F10838">
        <w:rPr>
          <w:sz w:val="26"/>
          <w:szCs w:val="26"/>
        </w:rPr>
        <w:t xml:space="preserve"> were not provided in the record.  </w:t>
      </w:r>
      <w:r>
        <w:rPr>
          <w:sz w:val="26"/>
          <w:szCs w:val="26"/>
        </w:rPr>
        <w:t>Therefore, b</w:t>
      </w:r>
      <w:r w:rsidRPr="00F10838">
        <w:rPr>
          <w:sz w:val="26"/>
          <w:szCs w:val="26"/>
        </w:rPr>
        <w:t xml:space="preserve">y Order dated January 23, 2015 (Order #2), </w:t>
      </w:r>
      <w:r>
        <w:rPr>
          <w:sz w:val="26"/>
          <w:szCs w:val="26"/>
        </w:rPr>
        <w:t>t</w:t>
      </w:r>
      <w:r w:rsidR="00F10838" w:rsidRPr="00F10838">
        <w:rPr>
          <w:sz w:val="26"/>
          <w:szCs w:val="26"/>
        </w:rPr>
        <w:t xml:space="preserve">he record was reopened pursuant </w:t>
      </w:r>
      <w:r w:rsidR="00F10838" w:rsidRPr="00F10838">
        <w:rPr>
          <w:sz w:val="26"/>
          <w:szCs w:val="26"/>
        </w:rPr>
        <w:lastRenderedPageBreak/>
        <w:t>to 52 Pa. Code § 5.571(d)(1)</w:t>
      </w:r>
      <w:r>
        <w:rPr>
          <w:sz w:val="26"/>
          <w:szCs w:val="26"/>
        </w:rPr>
        <w:t xml:space="preserve"> to provide </w:t>
      </w:r>
      <w:r w:rsidR="00F10838" w:rsidRPr="00F10838">
        <w:rPr>
          <w:sz w:val="26"/>
          <w:szCs w:val="26"/>
        </w:rPr>
        <w:t xml:space="preserve">opportunity for an explanation of the surcharges that make up the </w:t>
      </w:r>
      <w:r w:rsidR="00C56035">
        <w:rPr>
          <w:sz w:val="26"/>
          <w:szCs w:val="26"/>
        </w:rPr>
        <w:t>Distribution Charge</w:t>
      </w:r>
      <w:r w:rsidR="00F10838" w:rsidRPr="00F10838">
        <w:rPr>
          <w:sz w:val="26"/>
          <w:szCs w:val="26"/>
        </w:rPr>
        <w:t xml:space="preserve"> </w:t>
      </w:r>
      <w:r w:rsidR="00FD6A7F">
        <w:rPr>
          <w:sz w:val="26"/>
          <w:szCs w:val="26"/>
        </w:rPr>
        <w:t xml:space="preserve">to be </w:t>
      </w:r>
      <w:r w:rsidR="00F10838" w:rsidRPr="00F10838">
        <w:rPr>
          <w:sz w:val="26"/>
          <w:szCs w:val="26"/>
        </w:rPr>
        <w:t>discussed on the record.</w:t>
      </w:r>
    </w:p>
    <w:p w:rsidR="00F10838" w:rsidRDefault="00F10838" w:rsidP="00085E5A">
      <w:pPr>
        <w:widowControl/>
        <w:spacing w:line="360" w:lineRule="auto"/>
        <w:ind w:firstLine="1440"/>
        <w:contextualSpacing/>
        <w:rPr>
          <w:sz w:val="26"/>
          <w:szCs w:val="26"/>
        </w:rPr>
      </w:pPr>
    </w:p>
    <w:p w:rsidR="000D3742" w:rsidRDefault="000D3742" w:rsidP="00085E5A">
      <w:pPr>
        <w:widowControl/>
        <w:spacing w:line="360" w:lineRule="auto"/>
        <w:ind w:firstLine="1440"/>
        <w:contextualSpacing/>
        <w:rPr>
          <w:sz w:val="26"/>
          <w:szCs w:val="26"/>
        </w:rPr>
      </w:pPr>
      <w:r>
        <w:rPr>
          <w:sz w:val="26"/>
          <w:szCs w:val="26"/>
        </w:rPr>
        <w:t>On February 27, 2015, a</w:t>
      </w:r>
      <w:r w:rsidRPr="00EB0468">
        <w:rPr>
          <w:sz w:val="26"/>
          <w:szCs w:val="26"/>
        </w:rPr>
        <w:t xml:space="preserve"> </w:t>
      </w:r>
      <w:r>
        <w:rPr>
          <w:sz w:val="26"/>
          <w:szCs w:val="26"/>
        </w:rPr>
        <w:t xml:space="preserve">second </w:t>
      </w:r>
      <w:r w:rsidRPr="00EB0468">
        <w:rPr>
          <w:sz w:val="26"/>
          <w:szCs w:val="26"/>
        </w:rPr>
        <w:t xml:space="preserve">hearing was held in this matter.  The Complainant appeared </w:t>
      </w:r>
      <w:r w:rsidRPr="00C135B8">
        <w:rPr>
          <w:i/>
          <w:sz w:val="26"/>
          <w:szCs w:val="26"/>
        </w:rPr>
        <w:t>pro se</w:t>
      </w:r>
      <w:r w:rsidRPr="00EB0468">
        <w:rPr>
          <w:sz w:val="26"/>
          <w:szCs w:val="26"/>
        </w:rPr>
        <w:t xml:space="preserve"> and testified</w:t>
      </w:r>
      <w:r>
        <w:rPr>
          <w:sz w:val="26"/>
          <w:szCs w:val="26"/>
        </w:rPr>
        <w:t xml:space="preserve"> on her own behalf.  PGW</w:t>
      </w:r>
      <w:r w:rsidRPr="00EB0468">
        <w:rPr>
          <w:sz w:val="26"/>
          <w:szCs w:val="26"/>
        </w:rPr>
        <w:t xml:space="preserve"> was represented by </w:t>
      </w:r>
      <w:r>
        <w:rPr>
          <w:sz w:val="26"/>
          <w:szCs w:val="26"/>
        </w:rPr>
        <w:t>its counsel</w:t>
      </w:r>
      <w:r w:rsidRPr="00EB0468">
        <w:rPr>
          <w:sz w:val="26"/>
          <w:szCs w:val="26"/>
        </w:rPr>
        <w:t xml:space="preserve"> who presente</w:t>
      </w:r>
      <w:r>
        <w:rPr>
          <w:sz w:val="26"/>
          <w:szCs w:val="26"/>
        </w:rPr>
        <w:t>d the testimony of one witness and offered one</w:t>
      </w:r>
      <w:r w:rsidRPr="00EB0468">
        <w:rPr>
          <w:sz w:val="26"/>
          <w:szCs w:val="26"/>
        </w:rPr>
        <w:t xml:space="preserve"> </w:t>
      </w:r>
      <w:r>
        <w:rPr>
          <w:sz w:val="26"/>
          <w:szCs w:val="26"/>
        </w:rPr>
        <w:t>exhibit (PGW Exhibit 5)</w:t>
      </w:r>
      <w:r w:rsidR="00FD6A7F">
        <w:rPr>
          <w:sz w:val="26"/>
          <w:szCs w:val="26"/>
        </w:rPr>
        <w:t>,</w:t>
      </w:r>
      <w:r>
        <w:rPr>
          <w:sz w:val="26"/>
          <w:szCs w:val="26"/>
        </w:rPr>
        <w:t xml:space="preserve"> </w:t>
      </w:r>
      <w:r w:rsidRPr="00EB0468">
        <w:rPr>
          <w:sz w:val="26"/>
          <w:szCs w:val="26"/>
        </w:rPr>
        <w:t xml:space="preserve">which </w:t>
      </w:r>
      <w:r>
        <w:rPr>
          <w:sz w:val="26"/>
          <w:szCs w:val="26"/>
        </w:rPr>
        <w:t>was</w:t>
      </w:r>
      <w:r w:rsidRPr="00EB0468">
        <w:rPr>
          <w:sz w:val="26"/>
          <w:szCs w:val="26"/>
        </w:rPr>
        <w:t xml:space="preserve"> admitted into the record.</w:t>
      </w:r>
      <w:r w:rsidR="00CE4DFE" w:rsidRPr="00CE4DFE">
        <w:rPr>
          <w:rStyle w:val="FootnoteReference"/>
          <w:sz w:val="26"/>
          <w:szCs w:val="26"/>
        </w:rPr>
        <w:t xml:space="preserve"> </w:t>
      </w:r>
      <w:r w:rsidR="00CE4DFE">
        <w:rPr>
          <w:rStyle w:val="FootnoteReference"/>
          <w:sz w:val="26"/>
          <w:szCs w:val="26"/>
        </w:rPr>
        <w:footnoteReference w:id="4"/>
      </w:r>
      <w:r w:rsidRPr="00EB0468">
        <w:rPr>
          <w:sz w:val="26"/>
          <w:szCs w:val="26"/>
        </w:rPr>
        <w:t xml:space="preserve">  </w:t>
      </w:r>
    </w:p>
    <w:p w:rsidR="000D3742" w:rsidRDefault="000D3742" w:rsidP="00085E5A">
      <w:pPr>
        <w:widowControl/>
        <w:spacing w:line="360" w:lineRule="auto"/>
        <w:ind w:firstLine="1440"/>
        <w:contextualSpacing/>
        <w:rPr>
          <w:sz w:val="26"/>
          <w:szCs w:val="26"/>
        </w:rPr>
      </w:pPr>
    </w:p>
    <w:p w:rsidR="00503888" w:rsidRDefault="00503888" w:rsidP="00085E5A">
      <w:pPr>
        <w:widowControl/>
        <w:spacing w:line="360" w:lineRule="auto"/>
        <w:ind w:firstLine="1440"/>
        <w:contextualSpacing/>
        <w:rPr>
          <w:sz w:val="26"/>
          <w:szCs w:val="26"/>
        </w:rPr>
      </w:pPr>
      <w:r w:rsidRPr="00503888">
        <w:rPr>
          <w:sz w:val="26"/>
          <w:szCs w:val="26"/>
        </w:rPr>
        <w:t>By Order dated March 3, 2014, (Order #3), PGW’s request to file a late-filed exhi</w:t>
      </w:r>
      <w:r>
        <w:rPr>
          <w:sz w:val="26"/>
          <w:szCs w:val="26"/>
        </w:rPr>
        <w:t xml:space="preserve">bit was granted.  Order #3 </w:t>
      </w:r>
      <w:r w:rsidRPr="00503888">
        <w:rPr>
          <w:sz w:val="26"/>
          <w:szCs w:val="26"/>
        </w:rPr>
        <w:t>provided the procedure for the late-filed exhibit, w</w:t>
      </w:r>
      <w:r w:rsidR="00D23DD3">
        <w:rPr>
          <w:sz w:val="26"/>
          <w:szCs w:val="26"/>
        </w:rPr>
        <w:t xml:space="preserve">hich was identified as </w:t>
      </w:r>
      <w:r w:rsidR="00D9393B">
        <w:rPr>
          <w:sz w:val="26"/>
          <w:szCs w:val="26"/>
        </w:rPr>
        <w:t>“</w:t>
      </w:r>
      <w:r w:rsidR="00D23DD3">
        <w:rPr>
          <w:sz w:val="26"/>
          <w:szCs w:val="26"/>
        </w:rPr>
        <w:t xml:space="preserve">PGW Exhibit </w:t>
      </w:r>
      <w:r w:rsidRPr="00503888">
        <w:rPr>
          <w:sz w:val="26"/>
          <w:szCs w:val="26"/>
        </w:rPr>
        <w:t>5 Revised.</w:t>
      </w:r>
      <w:r w:rsidR="00D9393B">
        <w:rPr>
          <w:sz w:val="26"/>
          <w:szCs w:val="26"/>
        </w:rPr>
        <w:t>”</w:t>
      </w:r>
      <w:r w:rsidRPr="00503888">
        <w:rPr>
          <w:sz w:val="26"/>
          <w:szCs w:val="26"/>
        </w:rPr>
        <w:t xml:space="preserve">  There</w:t>
      </w:r>
      <w:r w:rsidR="00D23DD3">
        <w:rPr>
          <w:sz w:val="26"/>
          <w:szCs w:val="26"/>
        </w:rPr>
        <w:t xml:space="preserve"> was no objection to PGW Exhibit</w:t>
      </w:r>
      <w:r w:rsidRPr="00503888">
        <w:rPr>
          <w:sz w:val="26"/>
          <w:szCs w:val="26"/>
        </w:rPr>
        <w:t xml:space="preserve"> 5 Revised and it was admitted by Order #4 dated March 31, 2015.  </w:t>
      </w:r>
    </w:p>
    <w:p w:rsidR="00503888" w:rsidRDefault="00503888" w:rsidP="00085E5A">
      <w:pPr>
        <w:widowControl/>
        <w:spacing w:line="360" w:lineRule="auto"/>
        <w:ind w:firstLine="1440"/>
        <w:contextualSpacing/>
        <w:rPr>
          <w:sz w:val="26"/>
          <w:szCs w:val="26"/>
        </w:rPr>
      </w:pPr>
    </w:p>
    <w:p w:rsidR="00F10838" w:rsidRDefault="00503888" w:rsidP="00085E5A">
      <w:pPr>
        <w:widowControl/>
        <w:spacing w:line="360" w:lineRule="auto"/>
        <w:ind w:firstLine="1440"/>
        <w:contextualSpacing/>
        <w:rPr>
          <w:sz w:val="26"/>
          <w:szCs w:val="26"/>
        </w:rPr>
      </w:pPr>
      <w:r>
        <w:rPr>
          <w:sz w:val="26"/>
          <w:szCs w:val="26"/>
        </w:rPr>
        <w:t>On March 27, 2015, PGW filed its Main Brief</w:t>
      </w:r>
      <w:r w:rsidR="00D23DD3">
        <w:rPr>
          <w:sz w:val="26"/>
          <w:szCs w:val="26"/>
        </w:rPr>
        <w:t xml:space="preserve"> (</w:t>
      </w:r>
      <w:r w:rsidR="003A661F">
        <w:rPr>
          <w:sz w:val="26"/>
          <w:szCs w:val="26"/>
        </w:rPr>
        <w:t xml:space="preserve">PGW </w:t>
      </w:r>
      <w:r w:rsidR="00D23DD3">
        <w:rPr>
          <w:sz w:val="26"/>
          <w:szCs w:val="26"/>
        </w:rPr>
        <w:t>M</w:t>
      </w:r>
      <w:r w:rsidR="00264053">
        <w:rPr>
          <w:sz w:val="26"/>
          <w:szCs w:val="26"/>
        </w:rPr>
        <w:t>.</w:t>
      </w:r>
      <w:r w:rsidR="00D23DD3">
        <w:rPr>
          <w:sz w:val="26"/>
          <w:szCs w:val="26"/>
        </w:rPr>
        <w:t>B</w:t>
      </w:r>
      <w:r w:rsidR="00264053">
        <w:rPr>
          <w:sz w:val="26"/>
          <w:szCs w:val="26"/>
        </w:rPr>
        <w:t>.</w:t>
      </w:r>
      <w:r w:rsidR="00D23DD3">
        <w:rPr>
          <w:sz w:val="26"/>
          <w:szCs w:val="26"/>
        </w:rPr>
        <w:t>)</w:t>
      </w:r>
      <w:r w:rsidR="00F747B9">
        <w:rPr>
          <w:sz w:val="26"/>
          <w:szCs w:val="26"/>
        </w:rPr>
        <w:t xml:space="preserve">.  The </w:t>
      </w:r>
      <w:r w:rsidR="005C0710">
        <w:rPr>
          <w:sz w:val="26"/>
          <w:szCs w:val="26"/>
        </w:rPr>
        <w:t xml:space="preserve">Complainant filed </w:t>
      </w:r>
      <w:r w:rsidR="00BB1369">
        <w:rPr>
          <w:sz w:val="26"/>
          <w:szCs w:val="26"/>
        </w:rPr>
        <w:t>a</w:t>
      </w:r>
      <w:r w:rsidR="00434FAD">
        <w:rPr>
          <w:sz w:val="26"/>
          <w:szCs w:val="26"/>
        </w:rPr>
        <w:t xml:space="preserve"> </w:t>
      </w:r>
      <w:r w:rsidR="005C0710">
        <w:rPr>
          <w:sz w:val="26"/>
          <w:szCs w:val="26"/>
        </w:rPr>
        <w:t>Reply Brief</w:t>
      </w:r>
      <w:r w:rsidR="003A661F">
        <w:rPr>
          <w:sz w:val="26"/>
          <w:szCs w:val="26"/>
        </w:rPr>
        <w:t xml:space="preserve"> o</w:t>
      </w:r>
      <w:r>
        <w:rPr>
          <w:sz w:val="26"/>
          <w:szCs w:val="26"/>
        </w:rPr>
        <w:t>n April</w:t>
      </w:r>
      <w:r w:rsidR="00F747B9">
        <w:rPr>
          <w:sz w:val="26"/>
          <w:szCs w:val="26"/>
        </w:rPr>
        <w:t xml:space="preserve"> 6, 2015 </w:t>
      </w:r>
      <w:r w:rsidR="00BB1369">
        <w:rPr>
          <w:sz w:val="26"/>
          <w:szCs w:val="26"/>
        </w:rPr>
        <w:t>(R.B.</w:t>
      </w:r>
      <w:r w:rsidR="003A661F" w:rsidRPr="00BB1369">
        <w:rPr>
          <w:sz w:val="26"/>
          <w:szCs w:val="26"/>
        </w:rPr>
        <w:t xml:space="preserve">).  </w:t>
      </w:r>
      <w:r w:rsidRPr="00503888">
        <w:rPr>
          <w:sz w:val="26"/>
          <w:szCs w:val="26"/>
        </w:rPr>
        <w:t>The total record in this matter contains a ninety-seven page transc</w:t>
      </w:r>
      <w:r w:rsidR="00171F88">
        <w:rPr>
          <w:sz w:val="26"/>
          <w:szCs w:val="26"/>
        </w:rPr>
        <w:t xml:space="preserve">ript and </w:t>
      </w:r>
      <w:r w:rsidR="007A6772">
        <w:rPr>
          <w:sz w:val="26"/>
          <w:szCs w:val="26"/>
        </w:rPr>
        <w:t>six</w:t>
      </w:r>
      <w:r w:rsidR="00171F88">
        <w:rPr>
          <w:sz w:val="26"/>
          <w:szCs w:val="26"/>
        </w:rPr>
        <w:t xml:space="preserve"> exhibits</w:t>
      </w:r>
      <w:r w:rsidR="007A6772">
        <w:rPr>
          <w:sz w:val="26"/>
          <w:szCs w:val="26"/>
        </w:rPr>
        <w:t xml:space="preserve"> </w:t>
      </w:r>
      <w:r w:rsidR="0086312D">
        <w:rPr>
          <w:sz w:val="26"/>
          <w:szCs w:val="26"/>
        </w:rPr>
        <w:t xml:space="preserve">– </w:t>
      </w:r>
      <w:r w:rsidR="007A6772">
        <w:rPr>
          <w:sz w:val="26"/>
          <w:szCs w:val="26"/>
        </w:rPr>
        <w:t>Complainant Exhibit 1 and</w:t>
      </w:r>
      <w:r w:rsidR="00171F88">
        <w:rPr>
          <w:sz w:val="26"/>
          <w:szCs w:val="26"/>
        </w:rPr>
        <w:t xml:space="preserve"> PGW Exhibits</w:t>
      </w:r>
      <w:r w:rsidRPr="00503888">
        <w:rPr>
          <w:sz w:val="26"/>
          <w:szCs w:val="26"/>
        </w:rPr>
        <w:t xml:space="preserve"> 1 through 5.  The record was closed on </w:t>
      </w:r>
      <w:r>
        <w:rPr>
          <w:sz w:val="26"/>
          <w:szCs w:val="26"/>
        </w:rPr>
        <w:t>April 27</w:t>
      </w:r>
      <w:r w:rsidRPr="00503888">
        <w:rPr>
          <w:sz w:val="26"/>
          <w:szCs w:val="26"/>
        </w:rPr>
        <w:t>, 201</w:t>
      </w:r>
      <w:r>
        <w:rPr>
          <w:sz w:val="26"/>
          <w:szCs w:val="26"/>
        </w:rPr>
        <w:t>5, when the Reply Briefs were due.</w:t>
      </w:r>
    </w:p>
    <w:p w:rsidR="00503888" w:rsidRDefault="00503888" w:rsidP="00085E5A">
      <w:pPr>
        <w:widowControl/>
        <w:spacing w:line="360" w:lineRule="auto"/>
        <w:ind w:firstLine="1440"/>
        <w:contextualSpacing/>
        <w:rPr>
          <w:sz w:val="26"/>
          <w:szCs w:val="26"/>
        </w:rPr>
      </w:pPr>
    </w:p>
    <w:p w:rsidR="00CE2E09" w:rsidRDefault="00CE2E09" w:rsidP="00085E5A">
      <w:pPr>
        <w:widowControl/>
        <w:spacing w:line="360" w:lineRule="auto"/>
        <w:contextualSpacing/>
        <w:rPr>
          <w:sz w:val="26"/>
          <w:szCs w:val="26"/>
        </w:rPr>
      </w:pPr>
      <w:r w:rsidRPr="00D365A7">
        <w:rPr>
          <w:sz w:val="26"/>
          <w:szCs w:val="26"/>
        </w:rPr>
        <w:tab/>
      </w:r>
      <w:r w:rsidRPr="00D365A7">
        <w:rPr>
          <w:sz w:val="26"/>
          <w:szCs w:val="26"/>
        </w:rPr>
        <w:tab/>
      </w:r>
      <w:r w:rsidR="003103D6">
        <w:rPr>
          <w:sz w:val="26"/>
          <w:szCs w:val="26"/>
        </w:rPr>
        <w:t>In her</w:t>
      </w:r>
      <w:r w:rsidRPr="00D365A7">
        <w:rPr>
          <w:sz w:val="26"/>
          <w:szCs w:val="26"/>
        </w:rPr>
        <w:t xml:space="preserve"> Init</w:t>
      </w:r>
      <w:r>
        <w:rPr>
          <w:sz w:val="26"/>
          <w:szCs w:val="26"/>
        </w:rPr>
        <w:t xml:space="preserve">ial </w:t>
      </w:r>
      <w:r w:rsidR="00503888">
        <w:rPr>
          <w:sz w:val="26"/>
          <w:szCs w:val="26"/>
        </w:rPr>
        <w:t>Decision, issued on July 16</w:t>
      </w:r>
      <w:r>
        <w:rPr>
          <w:sz w:val="26"/>
          <w:szCs w:val="26"/>
        </w:rPr>
        <w:t xml:space="preserve">, 2015, the ALJ dismissed </w:t>
      </w:r>
      <w:r w:rsidRPr="00D365A7">
        <w:rPr>
          <w:sz w:val="26"/>
          <w:szCs w:val="26"/>
        </w:rPr>
        <w:t>the Complaint</w:t>
      </w:r>
      <w:r>
        <w:rPr>
          <w:sz w:val="26"/>
          <w:szCs w:val="26"/>
        </w:rPr>
        <w:t>.</w:t>
      </w:r>
      <w:r w:rsidRPr="00D365A7">
        <w:rPr>
          <w:sz w:val="26"/>
          <w:szCs w:val="26"/>
        </w:rPr>
        <w:t xml:space="preserve">  I.D. at </w:t>
      </w:r>
      <w:r w:rsidR="00503888">
        <w:rPr>
          <w:sz w:val="26"/>
          <w:szCs w:val="26"/>
        </w:rPr>
        <w:t>20</w:t>
      </w:r>
      <w:r w:rsidRPr="00D365A7">
        <w:rPr>
          <w:sz w:val="26"/>
          <w:szCs w:val="26"/>
        </w:rPr>
        <w:t xml:space="preserve">.  As noted, </w:t>
      </w:r>
      <w:r w:rsidRPr="00D365A7">
        <w:rPr>
          <w:i/>
          <w:sz w:val="26"/>
          <w:szCs w:val="26"/>
        </w:rPr>
        <w:t>supra</w:t>
      </w:r>
      <w:r w:rsidRPr="00D365A7">
        <w:rPr>
          <w:sz w:val="26"/>
          <w:szCs w:val="26"/>
        </w:rPr>
        <w:t xml:space="preserve">, </w:t>
      </w:r>
      <w:r w:rsidR="004C57CC">
        <w:rPr>
          <w:sz w:val="26"/>
          <w:szCs w:val="26"/>
        </w:rPr>
        <w:t>PGW</w:t>
      </w:r>
      <w:r w:rsidR="00F9172E">
        <w:rPr>
          <w:sz w:val="26"/>
          <w:szCs w:val="26"/>
        </w:rPr>
        <w:t xml:space="preserve"> filed </w:t>
      </w:r>
      <w:r w:rsidR="00CE4DFE">
        <w:rPr>
          <w:sz w:val="26"/>
          <w:szCs w:val="26"/>
        </w:rPr>
        <w:t xml:space="preserve">Exceptions on August 5, 2015.  </w:t>
      </w:r>
      <w:r w:rsidR="00F9172E">
        <w:rPr>
          <w:sz w:val="26"/>
          <w:szCs w:val="26"/>
        </w:rPr>
        <w:t>T</w:t>
      </w:r>
      <w:r w:rsidR="00F9172E" w:rsidRPr="00D365A7">
        <w:rPr>
          <w:sz w:val="26"/>
          <w:szCs w:val="26"/>
        </w:rPr>
        <w:t>he Complainant</w:t>
      </w:r>
      <w:r w:rsidR="00F9172E">
        <w:rPr>
          <w:sz w:val="26"/>
          <w:szCs w:val="26"/>
        </w:rPr>
        <w:t xml:space="preserve"> did not file Replies to Exceptions.</w:t>
      </w:r>
    </w:p>
    <w:p w:rsidR="00085E5A" w:rsidRDefault="00085E5A" w:rsidP="00085E5A">
      <w:pPr>
        <w:widowControl/>
        <w:spacing w:line="360" w:lineRule="auto"/>
        <w:contextualSpacing/>
        <w:rPr>
          <w:sz w:val="26"/>
          <w:szCs w:val="26"/>
        </w:rPr>
      </w:pPr>
    </w:p>
    <w:p w:rsidR="00085E5A" w:rsidRPr="00D365A7" w:rsidRDefault="00085E5A" w:rsidP="00C56035">
      <w:pPr>
        <w:keepNext/>
        <w:keepLines/>
        <w:widowControl/>
        <w:jc w:val="center"/>
        <w:rPr>
          <w:b/>
          <w:sz w:val="26"/>
          <w:szCs w:val="26"/>
        </w:rPr>
      </w:pPr>
      <w:r>
        <w:rPr>
          <w:b/>
          <w:sz w:val="26"/>
          <w:szCs w:val="26"/>
        </w:rPr>
        <w:lastRenderedPageBreak/>
        <w:t>Backg</w:t>
      </w:r>
      <w:r w:rsidR="00BD1206">
        <w:rPr>
          <w:b/>
          <w:sz w:val="26"/>
          <w:szCs w:val="26"/>
        </w:rPr>
        <w:t>r</w:t>
      </w:r>
      <w:r>
        <w:rPr>
          <w:b/>
          <w:sz w:val="26"/>
          <w:szCs w:val="26"/>
        </w:rPr>
        <w:t>ound</w:t>
      </w:r>
    </w:p>
    <w:p w:rsidR="00085E5A" w:rsidRDefault="00085E5A" w:rsidP="00CE4DFE">
      <w:pPr>
        <w:keepNext/>
        <w:keepLines/>
        <w:widowControl/>
        <w:spacing w:line="360" w:lineRule="auto"/>
        <w:contextualSpacing/>
        <w:rPr>
          <w:sz w:val="26"/>
          <w:szCs w:val="26"/>
        </w:rPr>
      </w:pPr>
    </w:p>
    <w:p w:rsidR="00085E5A" w:rsidRDefault="00085E5A" w:rsidP="00085E5A">
      <w:pPr>
        <w:widowControl/>
        <w:spacing w:line="360" w:lineRule="auto"/>
        <w:ind w:firstLine="1440"/>
        <w:contextualSpacing/>
        <w:rPr>
          <w:sz w:val="26"/>
          <w:szCs w:val="26"/>
        </w:rPr>
      </w:pPr>
      <w:r>
        <w:rPr>
          <w:sz w:val="26"/>
          <w:szCs w:val="26"/>
        </w:rPr>
        <w:t>Th</w:t>
      </w:r>
      <w:r w:rsidR="00BD1206">
        <w:rPr>
          <w:sz w:val="26"/>
          <w:szCs w:val="26"/>
        </w:rPr>
        <w:t>e Complainant in this case</w:t>
      </w:r>
      <w:r w:rsidR="008A5CDB">
        <w:rPr>
          <w:sz w:val="26"/>
          <w:szCs w:val="26"/>
        </w:rPr>
        <w:t xml:space="preserve">, </w:t>
      </w:r>
      <w:r>
        <w:rPr>
          <w:sz w:val="26"/>
          <w:szCs w:val="26"/>
        </w:rPr>
        <w:t xml:space="preserve">was a gas customer of PGW for </w:t>
      </w:r>
      <w:r w:rsidR="0086312D">
        <w:rPr>
          <w:sz w:val="26"/>
          <w:szCs w:val="26"/>
        </w:rPr>
        <w:t xml:space="preserve">only </w:t>
      </w:r>
      <w:r>
        <w:rPr>
          <w:sz w:val="26"/>
          <w:szCs w:val="26"/>
        </w:rPr>
        <w:t>approximately three months, from J</w:t>
      </w:r>
      <w:r w:rsidR="00BD1206">
        <w:rPr>
          <w:sz w:val="26"/>
          <w:szCs w:val="26"/>
        </w:rPr>
        <w:t>anuary 15</w:t>
      </w:r>
      <w:r w:rsidR="008A5CDB">
        <w:rPr>
          <w:sz w:val="26"/>
          <w:szCs w:val="26"/>
        </w:rPr>
        <w:t>, 2014,</w:t>
      </w:r>
      <w:r w:rsidR="00BD1206">
        <w:rPr>
          <w:sz w:val="26"/>
          <w:szCs w:val="26"/>
        </w:rPr>
        <w:t xml:space="preserve"> to March 10, 2014.  </w:t>
      </w:r>
      <w:r>
        <w:rPr>
          <w:sz w:val="26"/>
          <w:szCs w:val="26"/>
        </w:rPr>
        <w:t xml:space="preserve">According to the Complainant, PGW’s </w:t>
      </w:r>
      <w:r w:rsidR="00C56035">
        <w:rPr>
          <w:sz w:val="26"/>
          <w:szCs w:val="26"/>
        </w:rPr>
        <w:t>Distribution Charge</w:t>
      </w:r>
      <w:r w:rsidR="00BD1206">
        <w:rPr>
          <w:sz w:val="26"/>
          <w:szCs w:val="26"/>
        </w:rPr>
        <w:t xml:space="preserve"> on her bill wa</w:t>
      </w:r>
      <w:r>
        <w:rPr>
          <w:sz w:val="26"/>
          <w:szCs w:val="26"/>
        </w:rPr>
        <w:t xml:space="preserve">s excessive and unreasonable.  Tr. 11-12, 16-18, 23-25, 26 and 28; I.D. at 8.  The Complainant claimed she was charged for more than 140 percent of her actual usage through the </w:t>
      </w:r>
      <w:r w:rsidR="00C56035">
        <w:rPr>
          <w:sz w:val="26"/>
          <w:szCs w:val="26"/>
        </w:rPr>
        <w:t>Distribution Charge</w:t>
      </w:r>
      <w:r>
        <w:rPr>
          <w:sz w:val="26"/>
          <w:szCs w:val="26"/>
        </w:rPr>
        <w:t xml:space="preserve"> and believes there should be a maximum limit or cap </w:t>
      </w:r>
      <w:r w:rsidR="0086312D">
        <w:rPr>
          <w:sz w:val="26"/>
          <w:szCs w:val="26"/>
        </w:rPr>
        <w:t>o</w:t>
      </w:r>
      <w:r>
        <w:rPr>
          <w:sz w:val="26"/>
          <w:szCs w:val="26"/>
        </w:rPr>
        <w:t xml:space="preserve">n the amount of the </w:t>
      </w:r>
      <w:r w:rsidR="00C56035">
        <w:rPr>
          <w:sz w:val="26"/>
          <w:szCs w:val="26"/>
        </w:rPr>
        <w:t>Distribution Charge</w:t>
      </w:r>
      <w:r>
        <w:rPr>
          <w:sz w:val="26"/>
          <w:szCs w:val="26"/>
        </w:rPr>
        <w:t>. Tr. at 17 and 26; I.D. at 8.  The Complainant desire</w:t>
      </w:r>
      <w:r w:rsidR="0086312D">
        <w:rPr>
          <w:sz w:val="26"/>
          <w:szCs w:val="26"/>
        </w:rPr>
        <w:t>d</w:t>
      </w:r>
      <w:r>
        <w:rPr>
          <w:sz w:val="26"/>
          <w:szCs w:val="26"/>
        </w:rPr>
        <w:t xml:space="preserve"> an explanation regarding how PGW obtained approval from the Commission to levy such charges within its </w:t>
      </w:r>
      <w:r w:rsidR="00C56035">
        <w:rPr>
          <w:sz w:val="26"/>
          <w:szCs w:val="26"/>
        </w:rPr>
        <w:t>Distribution Charge</w:t>
      </w:r>
      <w:r w:rsidR="00BD1206">
        <w:rPr>
          <w:sz w:val="26"/>
          <w:szCs w:val="26"/>
        </w:rPr>
        <w:t xml:space="preserve">.  </w:t>
      </w:r>
      <w:r w:rsidR="008A5CDB">
        <w:rPr>
          <w:sz w:val="26"/>
          <w:szCs w:val="26"/>
        </w:rPr>
        <w:t xml:space="preserve">R.B. </w:t>
      </w:r>
      <w:r>
        <w:rPr>
          <w:sz w:val="26"/>
          <w:szCs w:val="26"/>
        </w:rPr>
        <w:t xml:space="preserve">at 2; I.D. at 8.  </w:t>
      </w:r>
    </w:p>
    <w:p w:rsidR="00085E5A" w:rsidRDefault="00085E5A" w:rsidP="00085E5A">
      <w:pPr>
        <w:widowControl/>
        <w:spacing w:line="360" w:lineRule="auto"/>
        <w:ind w:firstLine="1440"/>
        <w:contextualSpacing/>
        <w:rPr>
          <w:sz w:val="26"/>
          <w:szCs w:val="26"/>
        </w:rPr>
      </w:pPr>
    </w:p>
    <w:p w:rsidR="00CC475A" w:rsidRDefault="00085E5A" w:rsidP="00085E5A">
      <w:pPr>
        <w:widowControl/>
        <w:spacing w:line="360" w:lineRule="auto"/>
        <w:ind w:firstLine="1440"/>
        <w:contextualSpacing/>
        <w:rPr>
          <w:sz w:val="26"/>
          <w:szCs w:val="26"/>
        </w:rPr>
      </w:pPr>
      <w:r>
        <w:rPr>
          <w:sz w:val="26"/>
          <w:szCs w:val="26"/>
        </w:rPr>
        <w:t xml:space="preserve">PGW, on the other hand, contended that it has a Commission-approved tariff for the </w:t>
      </w:r>
      <w:r w:rsidR="00C56035">
        <w:rPr>
          <w:sz w:val="26"/>
          <w:szCs w:val="26"/>
        </w:rPr>
        <w:t>Distribution Charge</w:t>
      </w:r>
      <w:r>
        <w:rPr>
          <w:sz w:val="26"/>
          <w:szCs w:val="26"/>
        </w:rPr>
        <w:t>.  PGW stated that the charges on its customer bill</w:t>
      </w:r>
      <w:r w:rsidR="00536757">
        <w:rPr>
          <w:sz w:val="26"/>
          <w:szCs w:val="26"/>
        </w:rPr>
        <w:t>s</w:t>
      </w:r>
      <w:r>
        <w:rPr>
          <w:sz w:val="26"/>
          <w:szCs w:val="26"/>
        </w:rPr>
        <w:t xml:space="preserve"> </w:t>
      </w:r>
      <w:r w:rsidR="00A32C52">
        <w:rPr>
          <w:sz w:val="26"/>
          <w:szCs w:val="26"/>
        </w:rPr>
        <w:t xml:space="preserve">are </w:t>
      </w:r>
      <w:r w:rsidR="00C56035">
        <w:rPr>
          <w:sz w:val="26"/>
          <w:szCs w:val="26"/>
        </w:rPr>
        <w:t>divided into two sections: (1) S</w:t>
      </w:r>
      <w:r>
        <w:rPr>
          <w:sz w:val="26"/>
          <w:szCs w:val="26"/>
        </w:rPr>
        <w:t xml:space="preserve">upply or </w:t>
      </w:r>
      <w:r w:rsidR="00C56035">
        <w:rPr>
          <w:sz w:val="26"/>
          <w:szCs w:val="26"/>
        </w:rPr>
        <w:t>Commodity C</w:t>
      </w:r>
      <w:r>
        <w:rPr>
          <w:sz w:val="26"/>
          <w:szCs w:val="26"/>
        </w:rPr>
        <w:t xml:space="preserve">harge and (2) </w:t>
      </w:r>
      <w:r w:rsidR="00C56035">
        <w:rPr>
          <w:sz w:val="26"/>
          <w:szCs w:val="26"/>
        </w:rPr>
        <w:t>D</w:t>
      </w:r>
      <w:r>
        <w:rPr>
          <w:sz w:val="26"/>
          <w:szCs w:val="26"/>
        </w:rPr>
        <w:t xml:space="preserve">elivery </w:t>
      </w:r>
      <w:r w:rsidR="00C56035">
        <w:rPr>
          <w:sz w:val="26"/>
          <w:szCs w:val="26"/>
        </w:rPr>
        <w:t>Charge.  PGW averred that the D</w:t>
      </w:r>
      <w:r>
        <w:rPr>
          <w:sz w:val="26"/>
          <w:szCs w:val="26"/>
        </w:rPr>
        <w:t xml:space="preserve">elivery </w:t>
      </w:r>
      <w:r w:rsidR="00C56035">
        <w:rPr>
          <w:sz w:val="26"/>
          <w:szCs w:val="26"/>
        </w:rPr>
        <w:t>C</w:t>
      </w:r>
      <w:r>
        <w:rPr>
          <w:sz w:val="26"/>
          <w:szCs w:val="26"/>
        </w:rPr>
        <w:t>harge is further broken down into five separate charges: (1)</w:t>
      </w:r>
      <w:r w:rsidR="0086312D">
        <w:rPr>
          <w:sz w:val="26"/>
          <w:szCs w:val="26"/>
        </w:rPr>
        <w:t> </w:t>
      </w:r>
      <w:r w:rsidR="00C56035">
        <w:rPr>
          <w:sz w:val="26"/>
          <w:szCs w:val="26"/>
        </w:rPr>
        <w:t>Distribution Charge</w:t>
      </w:r>
      <w:r w:rsidR="00A32C52">
        <w:rPr>
          <w:sz w:val="26"/>
          <w:szCs w:val="26"/>
        </w:rPr>
        <w:t>;</w:t>
      </w:r>
      <w:r>
        <w:rPr>
          <w:sz w:val="26"/>
          <w:szCs w:val="26"/>
        </w:rPr>
        <w:t xml:space="preserve"> (2) </w:t>
      </w:r>
      <w:r w:rsidR="00C56035">
        <w:rPr>
          <w:sz w:val="26"/>
          <w:szCs w:val="26"/>
        </w:rPr>
        <w:t>Customer C</w:t>
      </w:r>
      <w:r>
        <w:rPr>
          <w:sz w:val="26"/>
          <w:szCs w:val="26"/>
        </w:rPr>
        <w:t>harge</w:t>
      </w:r>
      <w:r w:rsidR="00A32C52">
        <w:rPr>
          <w:sz w:val="26"/>
          <w:szCs w:val="26"/>
        </w:rPr>
        <w:t>;</w:t>
      </w:r>
      <w:r>
        <w:rPr>
          <w:sz w:val="26"/>
          <w:szCs w:val="26"/>
        </w:rPr>
        <w:t xml:space="preserve"> (3) DSIC</w:t>
      </w:r>
      <w:r w:rsidR="00061705">
        <w:rPr>
          <w:sz w:val="26"/>
          <w:szCs w:val="26"/>
        </w:rPr>
        <w:t>;</w:t>
      </w:r>
      <w:r>
        <w:rPr>
          <w:sz w:val="26"/>
          <w:szCs w:val="26"/>
        </w:rPr>
        <w:t xml:space="preserve"> (4) </w:t>
      </w:r>
      <w:r w:rsidR="00C56035">
        <w:rPr>
          <w:sz w:val="26"/>
          <w:szCs w:val="26"/>
        </w:rPr>
        <w:t>G</w:t>
      </w:r>
      <w:r>
        <w:rPr>
          <w:sz w:val="26"/>
          <w:szCs w:val="26"/>
        </w:rPr>
        <w:t xml:space="preserve">as </w:t>
      </w:r>
      <w:r w:rsidR="00C56035">
        <w:rPr>
          <w:sz w:val="26"/>
          <w:szCs w:val="26"/>
        </w:rPr>
        <w:t>C</w:t>
      </w:r>
      <w:r>
        <w:rPr>
          <w:sz w:val="26"/>
          <w:szCs w:val="26"/>
        </w:rPr>
        <w:t xml:space="preserve">ost </w:t>
      </w:r>
      <w:r w:rsidR="00C56035">
        <w:rPr>
          <w:sz w:val="26"/>
          <w:szCs w:val="26"/>
        </w:rPr>
        <w:t>A</w:t>
      </w:r>
      <w:r>
        <w:rPr>
          <w:sz w:val="26"/>
          <w:szCs w:val="26"/>
        </w:rPr>
        <w:t xml:space="preserve">djustment </w:t>
      </w:r>
      <w:r w:rsidR="00C56035">
        <w:rPr>
          <w:sz w:val="26"/>
          <w:szCs w:val="26"/>
        </w:rPr>
        <w:t>C</w:t>
      </w:r>
      <w:r>
        <w:rPr>
          <w:sz w:val="26"/>
          <w:szCs w:val="26"/>
        </w:rPr>
        <w:t>harge</w:t>
      </w:r>
      <w:r w:rsidR="00061705">
        <w:rPr>
          <w:sz w:val="26"/>
          <w:szCs w:val="26"/>
        </w:rPr>
        <w:t>;</w:t>
      </w:r>
      <w:r>
        <w:rPr>
          <w:sz w:val="26"/>
          <w:szCs w:val="26"/>
        </w:rPr>
        <w:t xml:space="preserve"> and (5) </w:t>
      </w:r>
      <w:r w:rsidR="00C56035">
        <w:rPr>
          <w:sz w:val="26"/>
          <w:szCs w:val="26"/>
        </w:rPr>
        <w:t>W</w:t>
      </w:r>
      <w:r>
        <w:rPr>
          <w:sz w:val="26"/>
          <w:szCs w:val="26"/>
        </w:rPr>
        <w:t xml:space="preserve">eather </w:t>
      </w:r>
      <w:r w:rsidR="00C56035">
        <w:rPr>
          <w:sz w:val="26"/>
          <w:szCs w:val="26"/>
        </w:rPr>
        <w:t>N</w:t>
      </w:r>
      <w:r>
        <w:rPr>
          <w:sz w:val="26"/>
          <w:szCs w:val="26"/>
        </w:rPr>
        <w:t xml:space="preserve">ormalization </w:t>
      </w:r>
      <w:r w:rsidR="00C56035">
        <w:rPr>
          <w:sz w:val="26"/>
          <w:szCs w:val="26"/>
        </w:rPr>
        <w:t>A</w:t>
      </w:r>
      <w:r>
        <w:rPr>
          <w:sz w:val="26"/>
          <w:szCs w:val="26"/>
        </w:rPr>
        <w:t xml:space="preserve">djustment </w:t>
      </w:r>
      <w:r w:rsidR="00C56035">
        <w:rPr>
          <w:sz w:val="26"/>
          <w:szCs w:val="26"/>
        </w:rPr>
        <w:t>C</w:t>
      </w:r>
      <w:r>
        <w:rPr>
          <w:sz w:val="26"/>
          <w:szCs w:val="26"/>
        </w:rPr>
        <w:t xml:space="preserve">harge.  PGW averred that the </w:t>
      </w:r>
      <w:r w:rsidR="0086312D">
        <w:rPr>
          <w:sz w:val="26"/>
          <w:szCs w:val="26"/>
        </w:rPr>
        <w:t xml:space="preserve">Complainant’s February 19, 2014 bill includes a </w:t>
      </w:r>
      <w:r>
        <w:rPr>
          <w:sz w:val="26"/>
          <w:szCs w:val="26"/>
        </w:rPr>
        <w:t>definition of each of the above charges</w:t>
      </w:r>
      <w:r w:rsidR="00061705">
        <w:rPr>
          <w:sz w:val="26"/>
          <w:szCs w:val="26"/>
        </w:rPr>
        <w:t>,</w:t>
      </w:r>
      <w:r>
        <w:rPr>
          <w:sz w:val="26"/>
          <w:szCs w:val="26"/>
        </w:rPr>
        <w:t xml:space="preserve"> including the </w:t>
      </w:r>
      <w:r w:rsidR="00C56035">
        <w:rPr>
          <w:sz w:val="26"/>
          <w:szCs w:val="26"/>
        </w:rPr>
        <w:t>Distribution Charge</w:t>
      </w:r>
      <w:r>
        <w:rPr>
          <w:sz w:val="26"/>
          <w:szCs w:val="26"/>
        </w:rPr>
        <w:t xml:space="preserve">, which is the charge for delivery of natural gas from the city gate to the customer.  PGW stated that it obtains its gas through the Trans-Union Pipeline and that the city gate is actually the city limit where the pipeline comes into the city.  Tr. at 49-50; PGW Exh. 2; Complainant Exh. 1; I.D. at 7-8.  </w:t>
      </w:r>
    </w:p>
    <w:p w:rsidR="00CC475A" w:rsidRDefault="00CC475A" w:rsidP="00085E5A">
      <w:pPr>
        <w:widowControl/>
        <w:spacing w:line="360" w:lineRule="auto"/>
        <w:ind w:firstLine="1440"/>
        <w:contextualSpacing/>
        <w:rPr>
          <w:sz w:val="26"/>
          <w:szCs w:val="26"/>
        </w:rPr>
      </w:pPr>
    </w:p>
    <w:p w:rsidR="00085E5A" w:rsidRDefault="00085E5A" w:rsidP="00085E5A">
      <w:pPr>
        <w:widowControl/>
        <w:spacing w:line="360" w:lineRule="auto"/>
        <w:ind w:firstLine="1440"/>
        <w:contextualSpacing/>
        <w:rPr>
          <w:sz w:val="26"/>
          <w:szCs w:val="26"/>
        </w:rPr>
      </w:pPr>
      <w:r>
        <w:rPr>
          <w:sz w:val="26"/>
          <w:szCs w:val="26"/>
        </w:rPr>
        <w:t xml:space="preserve">PGW </w:t>
      </w:r>
      <w:r w:rsidR="00CC475A">
        <w:rPr>
          <w:sz w:val="26"/>
          <w:szCs w:val="26"/>
        </w:rPr>
        <w:t xml:space="preserve">explained </w:t>
      </w:r>
      <w:r>
        <w:rPr>
          <w:sz w:val="26"/>
          <w:szCs w:val="26"/>
        </w:rPr>
        <w:t xml:space="preserve">that the </w:t>
      </w:r>
      <w:r w:rsidR="00C56035">
        <w:rPr>
          <w:sz w:val="26"/>
          <w:szCs w:val="26"/>
        </w:rPr>
        <w:t>Distribution Charge</w:t>
      </w:r>
      <w:r>
        <w:rPr>
          <w:sz w:val="26"/>
          <w:szCs w:val="26"/>
        </w:rPr>
        <w:t xml:space="preserve"> </w:t>
      </w:r>
      <w:r w:rsidR="00FA49A5">
        <w:rPr>
          <w:sz w:val="26"/>
          <w:szCs w:val="26"/>
        </w:rPr>
        <w:t>of $0.81381</w:t>
      </w:r>
      <w:r w:rsidR="00CC475A">
        <w:rPr>
          <w:sz w:val="26"/>
          <w:szCs w:val="26"/>
        </w:rPr>
        <w:t xml:space="preserve"> </w:t>
      </w:r>
      <w:r>
        <w:rPr>
          <w:sz w:val="26"/>
          <w:szCs w:val="26"/>
        </w:rPr>
        <w:t xml:space="preserve">at issue in this proceeding, </w:t>
      </w:r>
      <w:r w:rsidR="00FA49A5">
        <w:rPr>
          <w:sz w:val="26"/>
          <w:szCs w:val="26"/>
        </w:rPr>
        <w:t xml:space="preserve">is </w:t>
      </w:r>
      <w:r>
        <w:rPr>
          <w:sz w:val="26"/>
          <w:szCs w:val="26"/>
        </w:rPr>
        <w:t xml:space="preserve">reflected on the February 19, 2014 bill and </w:t>
      </w:r>
      <w:r w:rsidR="00CC475A">
        <w:rPr>
          <w:sz w:val="26"/>
          <w:szCs w:val="26"/>
        </w:rPr>
        <w:t xml:space="preserve">is the </w:t>
      </w:r>
      <w:r>
        <w:rPr>
          <w:sz w:val="26"/>
          <w:szCs w:val="26"/>
        </w:rPr>
        <w:t xml:space="preserve">rate that was in effect </w:t>
      </w:r>
      <w:r w:rsidR="00CC475A">
        <w:rPr>
          <w:sz w:val="26"/>
          <w:szCs w:val="26"/>
        </w:rPr>
        <w:t xml:space="preserve">in </w:t>
      </w:r>
      <w:r w:rsidR="00CC475A">
        <w:rPr>
          <w:sz w:val="26"/>
          <w:szCs w:val="26"/>
        </w:rPr>
        <w:lastRenderedPageBreak/>
        <w:t xml:space="preserve">its tariff </w:t>
      </w:r>
      <w:r>
        <w:rPr>
          <w:sz w:val="26"/>
          <w:szCs w:val="26"/>
        </w:rPr>
        <w:t xml:space="preserve">at the time </w:t>
      </w:r>
      <w:r w:rsidR="00CC475A">
        <w:rPr>
          <w:sz w:val="26"/>
          <w:szCs w:val="26"/>
        </w:rPr>
        <w:t xml:space="preserve">the Complainant was </w:t>
      </w:r>
      <w:r>
        <w:rPr>
          <w:sz w:val="26"/>
          <w:szCs w:val="26"/>
        </w:rPr>
        <w:t>billed</w:t>
      </w:r>
      <w:r w:rsidR="00CC475A">
        <w:rPr>
          <w:sz w:val="26"/>
          <w:szCs w:val="26"/>
        </w:rPr>
        <w:t>.</w:t>
      </w:r>
      <w:r>
        <w:rPr>
          <w:rStyle w:val="FootnoteReference"/>
          <w:sz w:val="26"/>
          <w:szCs w:val="26"/>
        </w:rPr>
        <w:footnoteReference w:id="5"/>
      </w:r>
      <w:r>
        <w:rPr>
          <w:sz w:val="26"/>
          <w:szCs w:val="26"/>
        </w:rPr>
        <w:t xml:space="preserve">  PGW </w:t>
      </w:r>
      <w:r w:rsidR="00CC475A">
        <w:rPr>
          <w:sz w:val="26"/>
          <w:szCs w:val="26"/>
        </w:rPr>
        <w:t xml:space="preserve">clarified that </w:t>
      </w:r>
      <w:r>
        <w:rPr>
          <w:sz w:val="26"/>
          <w:szCs w:val="26"/>
        </w:rPr>
        <w:t xml:space="preserve">the </w:t>
      </w:r>
      <w:r w:rsidR="00C56035">
        <w:rPr>
          <w:sz w:val="26"/>
          <w:szCs w:val="26"/>
        </w:rPr>
        <w:t>Distribution Charge</w:t>
      </w:r>
      <w:r>
        <w:rPr>
          <w:sz w:val="26"/>
          <w:szCs w:val="26"/>
        </w:rPr>
        <w:t xml:space="preserve"> of $0.81381</w:t>
      </w:r>
      <w:r w:rsidR="00CC475A">
        <w:rPr>
          <w:sz w:val="26"/>
          <w:szCs w:val="26"/>
        </w:rPr>
        <w:t xml:space="preserve"> is comprised of </w:t>
      </w:r>
      <w:r w:rsidR="00C56035">
        <w:rPr>
          <w:sz w:val="26"/>
          <w:szCs w:val="26"/>
        </w:rPr>
        <w:t>four charges including a D</w:t>
      </w:r>
      <w:r>
        <w:rPr>
          <w:sz w:val="26"/>
          <w:szCs w:val="26"/>
        </w:rPr>
        <w:t xml:space="preserve">elivery </w:t>
      </w:r>
      <w:r w:rsidR="00C56035">
        <w:rPr>
          <w:sz w:val="26"/>
          <w:szCs w:val="26"/>
        </w:rPr>
        <w:t>Charge of $0.60067, a P</w:t>
      </w:r>
      <w:r>
        <w:rPr>
          <w:sz w:val="26"/>
          <w:szCs w:val="26"/>
        </w:rPr>
        <w:t>ost-</w:t>
      </w:r>
      <w:r w:rsidR="00C56035">
        <w:rPr>
          <w:sz w:val="26"/>
          <w:szCs w:val="26"/>
        </w:rPr>
        <w:t>E</w:t>
      </w:r>
      <w:r>
        <w:rPr>
          <w:sz w:val="26"/>
          <w:szCs w:val="26"/>
        </w:rPr>
        <w:t xml:space="preserve">mployment </w:t>
      </w:r>
      <w:r w:rsidR="00C56035">
        <w:rPr>
          <w:sz w:val="26"/>
          <w:szCs w:val="26"/>
        </w:rPr>
        <w:t>B</w:t>
      </w:r>
      <w:r>
        <w:rPr>
          <w:sz w:val="26"/>
          <w:szCs w:val="26"/>
        </w:rPr>
        <w:t xml:space="preserve">enefit </w:t>
      </w:r>
      <w:r w:rsidR="00C56035">
        <w:rPr>
          <w:sz w:val="26"/>
          <w:szCs w:val="26"/>
        </w:rPr>
        <w:t>S</w:t>
      </w:r>
      <w:r>
        <w:rPr>
          <w:sz w:val="26"/>
          <w:szCs w:val="26"/>
        </w:rPr>
        <w:t xml:space="preserve">urcharge of $0.03482, an </w:t>
      </w:r>
      <w:r w:rsidR="00C56035">
        <w:rPr>
          <w:sz w:val="26"/>
          <w:szCs w:val="26"/>
        </w:rPr>
        <w:t>E</w:t>
      </w:r>
      <w:r>
        <w:rPr>
          <w:sz w:val="26"/>
          <w:szCs w:val="26"/>
        </w:rPr>
        <w:t xml:space="preserve">fficiency cost </w:t>
      </w:r>
      <w:r w:rsidR="00C56035">
        <w:rPr>
          <w:sz w:val="26"/>
          <w:szCs w:val="26"/>
        </w:rPr>
        <w:t>Recovery S</w:t>
      </w:r>
      <w:r>
        <w:rPr>
          <w:sz w:val="26"/>
          <w:szCs w:val="26"/>
        </w:rPr>
        <w:t>urcharge of $0.00804</w:t>
      </w:r>
      <w:r w:rsidR="008A5CDB">
        <w:rPr>
          <w:sz w:val="26"/>
          <w:szCs w:val="26"/>
        </w:rPr>
        <w:t xml:space="preserve">, </w:t>
      </w:r>
      <w:r>
        <w:rPr>
          <w:sz w:val="26"/>
          <w:szCs w:val="26"/>
        </w:rPr>
        <w:t xml:space="preserve">and a </w:t>
      </w:r>
      <w:r w:rsidR="00C56035">
        <w:rPr>
          <w:sz w:val="26"/>
          <w:szCs w:val="26"/>
        </w:rPr>
        <w:t>U</w:t>
      </w:r>
      <w:r>
        <w:rPr>
          <w:sz w:val="26"/>
          <w:szCs w:val="26"/>
        </w:rPr>
        <w:t xml:space="preserve">niversal </w:t>
      </w:r>
      <w:r w:rsidR="00C56035">
        <w:rPr>
          <w:sz w:val="26"/>
          <w:szCs w:val="26"/>
        </w:rPr>
        <w:t>S</w:t>
      </w:r>
      <w:r>
        <w:rPr>
          <w:sz w:val="26"/>
          <w:szCs w:val="26"/>
        </w:rPr>
        <w:t>e</w:t>
      </w:r>
      <w:r w:rsidR="00CC475A">
        <w:rPr>
          <w:sz w:val="26"/>
          <w:szCs w:val="26"/>
        </w:rPr>
        <w:t xml:space="preserve">rvice and </w:t>
      </w:r>
      <w:r w:rsidR="00C56035">
        <w:rPr>
          <w:sz w:val="26"/>
          <w:szCs w:val="26"/>
        </w:rPr>
        <w:t>E</w:t>
      </w:r>
      <w:r>
        <w:rPr>
          <w:sz w:val="26"/>
          <w:szCs w:val="26"/>
        </w:rPr>
        <w:t xml:space="preserve">nergy </w:t>
      </w:r>
      <w:r w:rsidR="00C56035">
        <w:rPr>
          <w:sz w:val="26"/>
          <w:szCs w:val="26"/>
        </w:rPr>
        <w:t>C</w:t>
      </w:r>
      <w:r>
        <w:rPr>
          <w:sz w:val="26"/>
          <w:szCs w:val="26"/>
        </w:rPr>
        <w:t xml:space="preserve">onservation </w:t>
      </w:r>
      <w:r w:rsidR="00C56035">
        <w:rPr>
          <w:sz w:val="26"/>
          <w:szCs w:val="26"/>
        </w:rPr>
        <w:t>S</w:t>
      </w:r>
      <w:r>
        <w:rPr>
          <w:sz w:val="26"/>
          <w:szCs w:val="26"/>
        </w:rPr>
        <w:t>urcharge of $0.17028.  Tr. at 81-82; PGW Exh. 5.</w:t>
      </w:r>
      <w:r w:rsidR="00CC475A">
        <w:rPr>
          <w:sz w:val="26"/>
          <w:szCs w:val="26"/>
        </w:rPr>
        <w:t xml:space="preserve">  </w:t>
      </w:r>
      <w:r w:rsidR="00CC475A" w:rsidRPr="00BD1206">
        <w:rPr>
          <w:sz w:val="26"/>
          <w:szCs w:val="26"/>
        </w:rPr>
        <w:t xml:space="preserve">PGW’s witness also </w:t>
      </w:r>
      <w:r w:rsidR="00EE526B">
        <w:rPr>
          <w:sz w:val="26"/>
          <w:szCs w:val="26"/>
        </w:rPr>
        <w:t>explained that t</w:t>
      </w:r>
      <w:r w:rsidR="00CC475A" w:rsidRPr="00BD1206">
        <w:rPr>
          <w:sz w:val="26"/>
          <w:szCs w:val="26"/>
        </w:rPr>
        <w:t>here are some surcha</w:t>
      </w:r>
      <w:r w:rsidR="00CC475A">
        <w:rPr>
          <w:sz w:val="26"/>
          <w:szCs w:val="26"/>
        </w:rPr>
        <w:t>rges</w:t>
      </w:r>
      <w:r w:rsidR="00CC475A" w:rsidRPr="00BD1206">
        <w:rPr>
          <w:sz w:val="26"/>
          <w:szCs w:val="26"/>
        </w:rPr>
        <w:t xml:space="preserve"> in </w:t>
      </w:r>
      <w:r w:rsidR="00CC475A">
        <w:rPr>
          <w:sz w:val="26"/>
          <w:szCs w:val="26"/>
        </w:rPr>
        <w:t xml:space="preserve">the </w:t>
      </w:r>
      <w:r w:rsidR="00EE526B">
        <w:rPr>
          <w:sz w:val="26"/>
          <w:szCs w:val="26"/>
        </w:rPr>
        <w:t xml:space="preserve">PGW’s </w:t>
      </w:r>
      <w:r w:rsidR="00CC475A" w:rsidRPr="00BD1206">
        <w:rPr>
          <w:sz w:val="26"/>
          <w:szCs w:val="26"/>
        </w:rPr>
        <w:t xml:space="preserve">Commission-approved tariff that </w:t>
      </w:r>
      <w:r w:rsidR="00EE526B">
        <w:rPr>
          <w:sz w:val="26"/>
          <w:szCs w:val="26"/>
        </w:rPr>
        <w:t>are</w:t>
      </w:r>
      <w:r w:rsidR="00CC475A" w:rsidRPr="00BD1206">
        <w:rPr>
          <w:sz w:val="26"/>
          <w:szCs w:val="26"/>
        </w:rPr>
        <w:t xml:space="preserve"> not part of the </w:t>
      </w:r>
      <w:r w:rsidR="00C56035">
        <w:rPr>
          <w:sz w:val="26"/>
          <w:szCs w:val="26"/>
        </w:rPr>
        <w:t>Distribution Charge</w:t>
      </w:r>
      <w:r w:rsidR="00CC475A" w:rsidRPr="00BD1206">
        <w:rPr>
          <w:sz w:val="26"/>
          <w:szCs w:val="26"/>
        </w:rPr>
        <w:t xml:space="preserve"> on the February 19, 2014 bill.  For example, according PGW, it did not include the restructuring and consumer education surcharge on the Complainant’s February 19, 2014 bill because it does not bill for that surcharge.  Tr. at 85-86; PGW Exh. 5.</w:t>
      </w:r>
    </w:p>
    <w:p w:rsidR="00085E5A" w:rsidRDefault="00085E5A" w:rsidP="00085E5A">
      <w:pPr>
        <w:widowControl/>
        <w:spacing w:line="360" w:lineRule="auto"/>
        <w:contextualSpacing/>
        <w:rPr>
          <w:sz w:val="26"/>
          <w:szCs w:val="26"/>
        </w:rPr>
      </w:pPr>
    </w:p>
    <w:bookmarkEnd w:id="0"/>
    <w:bookmarkEnd w:id="1"/>
    <w:p w:rsidR="001A4982" w:rsidRDefault="00CE2E09" w:rsidP="00085E5A">
      <w:pPr>
        <w:keepNext/>
        <w:widowControl/>
        <w:spacing w:line="360" w:lineRule="auto"/>
        <w:contextualSpacing/>
        <w:jc w:val="center"/>
        <w:rPr>
          <w:b/>
          <w:sz w:val="26"/>
          <w:szCs w:val="26"/>
        </w:rPr>
      </w:pPr>
      <w:r w:rsidRPr="00D365A7">
        <w:rPr>
          <w:b/>
          <w:sz w:val="26"/>
          <w:szCs w:val="26"/>
        </w:rPr>
        <w:t>Discussion</w:t>
      </w:r>
    </w:p>
    <w:p w:rsidR="000E7C8C" w:rsidRDefault="000E7C8C" w:rsidP="00085E5A">
      <w:pPr>
        <w:keepNext/>
        <w:widowControl/>
        <w:spacing w:line="360" w:lineRule="auto"/>
        <w:contextualSpacing/>
        <w:jc w:val="center"/>
        <w:rPr>
          <w:b/>
          <w:sz w:val="26"/>
          <w:szCs w:val="26"/>
        </w:rPr>
      </w:pPr>
    </w:p>
    <w:p w:rsidR="00CE2E09" w:rsidRPr="00D365A7" w:rsidRDefault="00CE2E09" w:rsidP="00085E5A">
      <w:pPr>
        <w:keepNext/>
        <w:widowControl/>
        <w:spacing w:line="360" w:lineRule="auto"/>
        <w:contextualSpacing/>
        <w:rPr>
          <w:b/>
          <w:sz w:val="26"/>
          <w:szCs w:val="26"/>
        </w:rPr>
      </w:pPr>
      <w:r w:rsidRPr="00D365A7">
        <w:rPr>
          <w:b/>
          <w:sz w:val="26"/>
          <w:szCs w:val="26"/>
        </w:rPr>
        <w:t>Legal Standards</w:t>
      </w:r>
    </w:p>
    <w:p w:rsidR="00CE2E09" w:rsidRPr="00D365A7" w:rsidRDefault="00CE2E09" w:rsidP="00085E5A">
      <w:pPr>
        <w:keepNext/>
        <w:widowControl/>
        <w:spacing w:line="360" w:lineRule="auto"/>
        <w:contextualSpacing/>
        <w:rPr>
          <w:sz w:val="26"/>
          <w:szCs w:val="26"/>
        </w:rPr>
      </w:pPr>
    </w:p>
    <w:p w:rsidR="00CE2E09" w:rsidRPr="00770896" w:rsidRDefault="00CE2E09" w:rsidP="00085E5A">
      <w:pPr>
        <w:widowControl/>
        <w:spacing w:line="360" w:lineRule="auto"/>
        <w:ind w:firstLine="1440"/>
        <w:contextualSpacing/>
        <w:rPr>
          <w:sz w:val="26"/>
        </w:rPr>
      </w:pPr>
      <w:r w:rsidRPr="00770896">
        <w:rPr>
          <w:sz w:val="26"/>
          <w:szCs w:val="26"/>
        </w:rPr>
        <w:t>As the proponent of a rule or order, the Complainant in this proceeding bears the burden of proof pu</w:t>
      </w:r>
      <w:r w:rsidR="00701994">
        <w:rPr>
          <w:sz w:val="26"/>
          <w:szCs w:val="26"/>
        </w:rPr>
        <w:t>rsuant to Section 332(a) of the Public Utility Code (Code</w:t>
      </w:r>
      <w:r w:rsidR="00701994" w:rsidRPr="00701994">
        <w:rPr>
          <w:sz w:val="26"/>
          <w:szCs w:val="26"/>
        </w:rPr>
        <w:t>)</w:t>
      </w:r>
      <w:r w:rsidRPr="00770896">
        <w:rPr>
          <w:sz w:val="26"/>
          <w:szCs w:val="26"/>
        </w:rPr>
        <w:t>.  66 Pa. C.S. § 332(a).  To establish a sufficient case and satisfy the burden of proof, the Complainant, as the party seeking relief, must show that</w:t>
      </w:r>
      <w:r>
        <w:rPr>
          <w:sz w:val="26"/>
          <w:szCs w:val="26"/>
        </w:rPr>
        <w:t xml:space="preserve"> </w:t>
      </w:r>
      <w:r w:rsidR="001A4982">
        <w:rPr>
          <w:sz w:val="26"/>
          <w:szCs w:val="26"/>
        </w:rPr>
        <w:t>PGW is</w:t>
      </w:r>
      <w:r w:rsidRPr="00770896">
        <w:rPr>
          <w:sz w:val="26"/>
          <w:szCs w:val="26"/>
        </w:rPr>
        <w:t xml:space="preserve"> responsible or accountable for the problem described in the Complaint.  </w:t>
      </w:r>
      <w:r w:rsidRPr="00770896">
        <w:rPr>
          <w:i/>
          <w:sz w:val="26"/>
          <w:szCs w:val="26"/>
        </w:rPr>
        <w:t>Patterson v. The Bell Telephone Company of Pennsylvania</w:t>
      </w:r>
      <w:r w:rsidRPr="00770896">
        <w:rPr>
          <w:sz w:val="26"/>
          <w:szCs w:val="26"/>
        </w:rPr>
        <w:t xml:space="preserve">, 72 Pa. P.U.C. 196 (1990).  Such a showing must be by a preponderance of the evidence.  </w:t>
      </w:r>
      <w:r w:rsidRPr="00770896">
        <w:rPr>
          <w:i/>
          <w:iCs/>
          <w:sz w:val="26"/>
          <w:szCs w:val="26"/>
        </w:rPr>
        <w:t>Samuel J. Lansberry, Inc. v. Pa. PUC</w:t>
      </w:r>
      <w:r w:rsidRPr="00770896">
        <w:rPr>
          <w:sz w:val="26"/>
          <w:szCs w:val="26"/>
        </w:rPr>
        <w:t xml:space="preserve">, 578 A.2d 600 (Pa. Cmwlth. 1990), </w:t>
      </w:r>
      <w:r w:rsidRPr="00770896">
        <w:rPr>
          <w:i/>
          <w:sz w:val="26"/>
          <w:szCs w:val="26"/>
        </w:rPr>
        <w:t>alloc. denied,</w:t>
      </w:r>
      <w:r w:rsidRPr="00770896">
        <w:rPr>
          <w:sz w:val="26"/>
          <w:szCs w:val="26"/>
        </w:rPr>
        <w:t xml:space="preserve"> 529 Pa. 654, 602 A.2d 863 (1992).  That is, the Complainant’s evidence must be more convincing, by even the smallest am</w:t>
      </w:r>
      <w:r>
        <w:rPr>
          <w:sz w:val="26"/>
          <w:szCs w:val="26"/>
        </w:rPr>
        <w:t xml:space="preserve">ount, than that presented by </w:t>
      </w:r>
      <w:r w:rsidR="001A4982">
        <w:rPr>
          <w:sz w:val="26"/>
          <w:szCs w:val="26"/>
        </w:rPr>
        <w:t>PGW</w:t>
      </w:r>
      <w:r w:rsidRPr="00770896">
        <w:rPr>
          <w:sz w:val="26"/>
          <w:szCs w:val="26"/>
        </w:rPr>
        <w:t xml:space="preserve">.  </w:t>
      </w:r>
      <w:r w:rsidRPr="00770896">
        <w:rPr>
          <w:i/>
          <w:sz w:val="26"/>
          <w:szCs w:val="26"/>
        </w:rPr>
        <w:t>Se-Ling Hosiery, Inc. v. Margulies</w:t>
      </w:r>
      <w:r w:rsidRPr="00770896">
        <w:rPr>
          <w:sz w:val="26"/>
          <w:szCs w:val="26"/>
        </w:rPr>
        <w:t xml:space="preserve">, 364 Pa. 45, 70 A.2d 854 (1950).  Additionally, this Commission’s </w:t>
      </w:r>
      <w:r w:rsidRPr="00770896">
        <w:rPr>
          <w:sz w:val="26"/>
        </w:rPr>
        <w:t xml:space="preserve">decision must be supported by substantial evidence in </w:t>
      </w:r>
      <w:r w:rsidRPr="00770896">
        <w:rPr>
          <w:sz w:val="26"/>
        </w:rPr>
        <w:lastRenderedPageBreak/>
        <w:t xml:space="preserve">the record.  More is required than a mere trace of evidence or a suspicion of the existence of a fact sought to be established.  </w:t>
      </w:r>
      <w:r w:rsidRPr="00770896">
        <w:rPr>
          <w:i/>
          <w:sz w:val="26"/>
        </w:rPr>
        <w:t xml:space="preserve">Norfolk &amp; Western Ry. Co. v. Pa. PUC, </w:t>
      </w:r>
      <w:r w:rsidRPr="00770896">
        <w:rPr>
          <w:sz w:val="26"/>
        </w:rPr>
        <w:t>489 Pa. 109, 413 A.2d 1037 (1980).</w:t>
      </w:r>
    </w:p>
    <w:p w:rsidR="00CE2E09" w:rsidRPr="00770896" w:rsidRDefault="00CE2E09" w:rsidP="00085E5A">
      <w:pPr>
        <w:widowControl/>
        <w:spacing w:line="360" w:lineRule="auto"/>
        <w:ind w:firstLine="1440"/>
        <w:contextualSpacing/>
        <w:rPr>
          <w:sz w:val="26"/>
        </w:rPr>
      </w:pPr>
    </w:p>
    <w:p w:rsidR="00CE2E09" w:rsidRPr="00770896" w:rsidRDefault="00CE2E09" w:rsidP="00085E5A">
      <w:pPr>
        <w:widowControl/>
        <w:spacing w:line="360" w:lineRule="auto"/>
        <w:ind w:firstLine="1440"/>
        <w:contextualSpacing/>
        <w:rPr>
          <w:sz w:val="26"/>
          <w:szCs w:val="26"/>
        </w:rPr>
      </w:pPr>
      <w:r w:rsidRPr="00770896">
        <w:rPr>
          <w:sz w:val="26"/>
          <w:szCs w:val="26"/>
        </w:rPr>
        <w:t>Upon the presentation by the Complainant of evidence sufficient to initially satisfy the burden of proof, the burden of going forward with the evidence to rebut the evidence of the Complainant</w:t>
      </w:r>
      <w:r>
        <w:rPr>
          <w:sz w:val="26"/>
          <w:szCs w:val="26"/>
        </w:rPr>
        <w:t xml:space="preserve"> shifts to </w:t>
      </w:r>
      <w:r w:rsidR="001A4982">
        <w:rPr>
          <w:sz w:val="26"/>
          <w:szCs w:val="26"/>
        </w:rPr>
        <w:t>PGW</w:t>
      </w:r>
      <w:r w:rsidRPr="00770896">
        <w:rPr>
          <w:sz w:val="26"/>
          <w:szCs w:val="26"/>
        </w:rPr>
        <w:t xml:space="preserve">.  </w:t>
      </w:r>
      <w:r>
        <w:rPr>
          <w:sz w:val="26"/>
          <w:szCs w:val="26"/>
        </w:rPr>
        <w:t xml:space="preserve">If the evidence presented by </w:t>
      </w:r>
      <w:r w:rsidR="001A4982">
        <w:rPr>
          <w:sz w:val="26"/>
          <w:szCs w:val="26"/>
        </w:rPr>
        <w:t>PGW</w:t>
      </w:r>
      <w:r w:rsidRPr="00770896">
        <w:rPr>
          <w:sz w:val="26"/>
          <w:szCs w:val="26"/>
        </w:rPr>
        <w:t xml:space="preserve"> is of co-equal weight, the Complainant has not satisfied </w:t>
      </w:r>
      <w:r w:rsidR="007403BF">
        <w:rPr>
          <w:sz w:val="26"/>
          <w:szCs w:val="26"/>
        </w:rPr>
        <w:t>the</w:t>
      </w:r>
      <w:r w:rsidRPr="00770896">
        <w:rPr>
          <w:sz w:val="26"/>
          <w:szCs w:val="26"/>
        </w:rPr>
        <w:t xml:space="preserve"> burden of proof.  The Complainant now has to provide some addit</w:t>
      </w:r>
      <w:r>
        <w:rPr>
          <w:sz w:val="26"/>
          <w:szCs w:val="26"/>
        </w:rPr>
        <w:t xml:space="preserve">ional evidence to rebut that of </w:t>
      </w:r>
      <w:r w:rsidR="00701994">
        <w:rPr>
          <w:sz w:val="26"/>
          <w:szCs w:val="26"/>
        </w:rPr>
        <w:t>PGW</w:t>
      </w:r>
      <w:r w:rsidRPr="00770896">
        <w:rPr>
          <w:sz w:val="26"/>
          <w:szCs w:val="26"/>
        </w:rPr>
        <w:t xml:space="preserve">. </w:t>
      </w:r>
      <w:r w:rsidRPr="00770896">
        <w:rPr>
          <w:iCs/>
          <w:sz w:val="26"/>
          <w:szCs w:val="26"/>
        </w:rPr>
        <w:t xml:space="preserve"> </w:t>
      </w:r>
      <w:r w:rsidRPr="00770896">
        <w:rPr>
          <w:i/>
          <w:iCs/>
          <w:sz w:val="26"/>
          <w:szCs w:val="26"/>
        </w:rPr>
        <w:t>Burleson v. Pa. PUC</w:t>
      </w:r>
      <w:r w:rsidRPr="00770896">
        <w:rPr>
          <w:iCs/>
          <w:sz w:val="26"/>
          <w:szCs w:val="26"/>
        </w:rPr>
        <w:t xml:space="preserve">, 443 A.2d 1373 (Pa. Cmwlth. 1982), </w:t>
      </w:r>
      <w:r w:rsidRPr="00770896">
        <w:rPr>
          <w:i/>
          <w:iCs/>
          <w:sz w:val="26"/>
          <w:szCs w:val="26"/>
        </w:rPr>
        <w:t>aff’d</w:t>
      </w:r>
      <w:r w:rsidRPr="00770896">
        <w:rPr>
          <w:iCs/>
          <w:sz w:val="26"/>
          <w:szCs w:val="26"/>
        </w:rPr>
        <w:t>, 501 Pa. 433, 461 A.2d 1234 (1983).</w:t>
      </w:r>
    </w:p>
    <w:p w:rsidR="00CE2E09" w:rsidRPr="00770896" w:rsidRDefault="00CE2E09" w:rsidP="00085E5A">
      <w:pPr>
        <w:widowControl/>
        <w:tabs>
          <w:tab w:val="left" w:pos="204"/>
        </w:tabs>
        <w:spacing w:line="360" w:lineRule="auto"/>
        <w:contextualSpacing/>
        <w:rPr>
          <w:sz w:val="26"/>
        </w:rPr>
      </w:pPr>
    </w:p>
    <w:p w:rsidR="00701994" w:rsidRDefault="00CE2E09" w:rsidP="00085E5A">
      <w:pPr>
        <w:widowControl/>
        <w:spacing w:line="360" w:lineRule="auto"/>
        <w:ind w:firstLine="1440"/>
        <w:contextualSpacing/>
        <w:rPr>
          <w:sz w:val="26"/>
          <w:szCs w:val="26"/>
        </w:rPr>
      </w:pPr>
      <w:r w:rsidRPr="00770896">
        <w:rPr>
          <w:sz w:val="26"/>
          <w:szCs w:val="26"/>
        </w:rPr>
        <w:t>While the burden of persuasion may shift back and forth during a proceeding, the burden of proof never shifts.  The burden of proof always remains on the party seeking affirmative relief from the Commission</w:t>
      </w:r>
      <w:r w:rsidRPr="00770896">
        <w:rPr>
          <w:i/>
          <w:sz w:val="26"/>
          <w:szCs w:val="26"/>
        </w:rPr>
        <w:t>.  Milkie v. Pa. PUC,</w:t>
      </w:r>
      <w:r w:rsidRPr="00770896">
        <w:rPr>
          <w:sz w:val="26"/>
          <w:szCs w:val="26"/>
        </w:rPr>
        <w:t xml:space="preserve"> 768 A.2d 1217 (Pa. Cmwlth. 2001).  </w:t>
      </w:r>
    </w:p>
    <w:p w:rsidR="00701994" w:rsidRDefault="00701994" w:rsidP="00085E5A">
      <w:pPr>
        <w:widowControl/>
        <w:spacing w:line="360" w:lineRule="auto"/>
        <w:contextualSpacing/>
        <w:rPr>
          <w:sz w:val="26"/>
          <w:szCs w:val="26"/>
        </w:rPr>
      </w:pPr>
    </w:p>
    <w:p w:rsidR="00CE2E09" w:rsidRDefault="00CE2E09" w:rsidP="00ED362B">
      <w:pPr>
        <w:pStyle w:val="NormalWeb"/>
        <w:keepNext/>
        <w:keepLines/>
        <w:spacing w:line="360" w:lineRule="auto"/>
        <w:contextualSpacing/>
        <w:rPr>
          <w:b/>
          <w:sz w:val="26"/>
          <w:szCs w:val="26"/>
        </w:rPr>
      </w:pPr>
      <w:r w:rsidRPr="00D365A7">
        <w:rPr>
          <w:b/>
          <w:sz w:val="26"/>
          <w:szCs w:val="26"/>
        </w:rPr>
        <w:t>ALJ’s Initial Decision</w:t>
      </w:r>
    </w:p>
    <w:p w:rsidR="00A84010" w:rsidRDefault="00A84010" w:rsidP="00ED362B">
      <w:pPr>
        <w:keepNext/>
        <w:keepLines/>
        <w:widowControl/>
        <w:tabs>
          <w:tab w:val="left" w:pos="720"/>
          <w:tab w:val="left" w:pos="1440"/>
        </w:tabs>
        <w:spacing w:line="360" w:lineRule="auto"/>
        <w:contextualSpacing/>
        <w:rPr>
          <w:b/>
          <w:sz w:val="26"/>
          <w:szCs w:val="26"/>
        </w:rPr>
      </w:pPr>
    </w:p>
    <w:p w:rsidR="00A84010" w:rsidRDefault="00A84010" w:rsidP="00085E5A">
      <w:pPr>
        <w:widowControl/>
        <w:tabs>
          <w:tab w:val="left" w:pos="720"/>
          <w:tab w:val="left" w:pos="1440"/>
        </w:tabs>
        <w:spacing w:line="360" w:lineRule="auto"/>
        <w:contextualSpacing/>
        <w:rPr>
          <w:sz w:val="26"/>
          <w:szCs w:val="26"/>
        </w:rPr>
      </w:pPr>
      <w:r>
        <w:rPr>
          <w:sz w:val="26"/>
          <w:szCs w:val="26"/>
        </w:rPr>
        <w:tab/>
      </w:r>
      <w:r>
        <w:rPr>
          <w:sz w:val="26"/>
          <w:szCs w:val="26"/>
        </w:rPr>
        <w:tab/>
      </w:r>
      <w:r w:rsidR="00171F88">
        <w:rPr>
          <w:sz w:val="26"/>
          <w:szCs w:val="26"/>
        </w:rPr>
        <w:t>ALJ Jones</w:t>
      </w:r>
      <w:r w:rsidR="000E152A">
        <w:rPr>
          <w:sz w:val="26"/>
          <w:szCs w:val="26"/>
        </w:rPr>
        <w:t xml:space="preserve"> made twenty-seven</w:t>
      </w:r>
      <w:r>
        <w:rPr>
          <w:sz w:val="26"/>
          <w:szCs w:val="26"/>
        </w:rPr>
        <w:t xml:space="preserve"> </w:t>
      </w:r>
      <w:r w:rsidRPr="00D365A7">
        <w:rPr>
          <w:sz w:val="26"/>
          <w:szCs w:val="26"/>
        </w:rPr>
        <w:t>Find</w:t>
      </w:r>
      <w:r w:rsidR="000E152A">
        <w:rPr>
          <w:sz w:val="26"/>
          <w:szCs w:val="26"/>
        </w:rPr>
        <w:t>ings of Fact and reached five</w:t>
      </w:r>
      <w:r>
        <w:rPr>
          <w:sz w:val="26"/>
          <w:szCs w:val="26"/>
        </w:rPr>
        <w:t xml:space="preserve"> </w:t>
      </w:r>
      <w:r w:rsidRPr="00D365A7">
        <w:rPr>
          <w:sz w:val="26"/>
          <w:szCs w:val="26"/>
        </w:rPr>
        <w:t xml:space="preserve">Conclusions of Law.  </w:t>
      </w:r>
      <w:r w:rsidR="000E152A">
        <w:rPr>
          <w:sz w:val="26"/>
          <w:szCs w:val="26"/>
        </w:rPr>
        <w:t>I.D. at 5-8, 19-20</w:t>
      </w:r>
      <w:r w:rsidR="00171F88">
        <w:rPr>
          <w:sz w:val="26"/>
          <w:szCs w:val="26"/>
        </w:rPr>
        <w:t xml:space="preserve">.  </w:t>
      </w:r>
      <w:r w:rsidRPr="00D365A7">
        <w:rPr>
          <w:sz w:val="26"/>
          <w:szCs w:val="26"/>
        </w:rPr>
        <w:t>The Findings of Fact and Conclusions of Law are incorporated herein by reference and are adopted without comment unless they are either expressly or by necessary implication rejected or modified by this Opinion and Order.</w:t>
      </w:r>
    </w:p>
    <w:p w:rsidR="00EE526B" w:rsidRDefault="00EE526B" w:rsidP="00085E5A">
      <w:pPr>
        <w:widowControl/>
        <w:tabs>
          <w:tab w:val="left" w:pos="720"/>
          <w:tab w:val="left" w:pos="1440"/>
        </w:tabs>
        <w:spacing w:line="360" w:lineRule="auto"/>
        <w:contextualSpacing/>
        <w:rPr>
          <w:b/>
          <w:sz w:val="26"/>
          <w:szCs w:val="26"/>
        </w:rPr>
      </w:pPr>
    </w:p>
    <w:p w:rsidR="000E152A" w:rsidRDefault="009F423D" w:rsidP="00085E5A">
      <w:pPr>
        <w:widowControl/>
        <w:tabs>
          <w:tab w:val="left" w:pos="720"/>
          <w:tab w:val="left" w:pos="1440"/>
        </w:tabs>
        <w:spacing w:line="360" w:lineRule="auto"/>
        <w:contextualSpacing/>
        <w:rPr>
          <w:sz w:val="26"/>
          <w:szCs w:val="26"/>
        </w:rPr>
      </w:pPr>
      <w:r>
        <w:rPr>
          <w:sz w:val="26"/>
          <w:szCs w:val="26"/>
        </w:rPr>
        <w:tab/>
      </w:r>
      <w:r>
        <w:rPr>
          <w:sz w:val="26"/>
          <w:szCs w:val="26"/>
        </w:rPr>
        <w:tab/>
      </w:r>
      <w:r w:rsidR="00CE2E09" w:rsidRPr="004408CD">
        <w:rPr>
          <w:sz w:val="26"/>
          <w:szCs w:val="26"/>
        </w:rPr>
        <w:t xml:space="preserve">In discussing this case, the ALJ </w:t>
      </w:r>
      <w:r w:rsidR="00EE526B">
        <w:rPr>
          <w:sz w:val="26"/>
          <w:szCs w:val="26"/>
        </w:rPr>
        <w:t>broke out her discussion in three parts:</w:t>
      </w:r>
      <w:r w:rsidR="007707E1">
        <w:rPr>
          <w:sz w:val="26"/>
          <w:szCs w:val="26"/>
        </w:rPr>
        <w:t xml:space="preserve"> (1)</w:t>
      </w:r>
      <w:r w:rsidR="00EE526B">
        <w:rPr>
          <w:sz w:val="26"/>
          <w:szCs w:val="26"/>
        </w:rPr>
        <w:t> </w:t>
      </w:r>
      <w:r w:rsidR="007707E1">
        <w:rPr>
          <w:sz w:val="26"/>
          <w:szCs w:val="26"/>
        </w:rPr>
        <w:t>the February 19, 2014 bill</w:t>
      </w:r>
      <w:r w:rsidR="00061705">
        <w:rPr>
          <w:sz w:val="26"/>
          <w:szCs w:val="26"/>
        </w:rPr>
        <w:t>;</w:t>
      </w:r>
      <w:r w:rsidR="007707E1">
        <w:rPr>
          <w:sz w:val="26"/>
          <w:szCs w:val="26"/>
        </w:rPr>
        <w:t xml:space="preserve"> (2) w</w:t>
      </w:r>
      <w:r w:rsidR="000E152A">
        <w:rPr>
          <w:sz w:val="26"/>
          <w:szCs w:val="26"/>
        </w:rPr>
        <w:t>hether PGW committed a violation</w:t>
      </w:r>
      <w:r w:rsidR="001F0E63">
        <w:rPr>
          <w:sz w:val="26"/>
          <w:szCs w:val="26"/>
        </w:rPr>
        <w:t xml:space="preserve"> by</w:t>
      </w:r>
      <w:r w:rsidR="000E152A">
        <w:rPr>
          <w:sz w:val="26"/>
          <w:szCs w:val="26"/>
        </w:rPr>
        <w:t xml:space="preserve"> not following its tariff</w:t>
      </w:r>
      <w:r w:rsidR="00061705">
        <w:rPr>
          <w:sz w:val="26"/>
          <w:szCs w:val="26"/>
        </w:rPr>
        <w:t>;</w:t>
      </w:r>
      <w:r w:rsidR="000E152A">
        <w:rPr>
          <w:sz w:val="26"/>
          <w:szCs w:val="26"/>
        </w:rPr>
        <w:t xml:space="preserve"> </w:t>
      </w:r>
      <w:r w:rsidR="00EE526B">
        <w:rPr>
          <w:sz w:val="26"/>
          <w:szCs w:val="26"/>
        </w:rPr>
        <w:t xml:space="preserve">and </w:t>
      </w:r>
      <w:r w:rsidR="000E152A">
        <w:rPr>
          <w:sz w:val="26"/>
          <w:szCs w:val="26"/>
        </w:rPr>
        <w:t xml:space="preserve">(3) the consequence of </w:t>
      </w:r>
      <w:r w:rsidR="00A4347E">
        <w:rPr>
          <w:sz w:val="26"/>
          <w:szCs w:val="26"/>
        </w:rPr>
        <w:t>PGW’s t</w:t>
      </w:r>
      <w:r w:rsidR="000E152A">
        <w:rPr>
          <w:sz w:val="26"/>
          <w:szCs w:val="26"/>
        </w:rPr>
        <w:t xml:space="preserve">ariff </w:t>
      </w:r>
      <w:r w:rsidR="00A4347E">
        <w:rPr>
          <w:sz w:val="26"/>
          <w:szCs w:val="26"/>
        </w:rPr>
        <w:t xml:space="preserve">that is </w:t>
      </w:r>
      <w:r w:rsidR="000E152A">
        <w:rPr>
          <w:sz w:val="26"/>
          <w:szCs w:val="26"/>
        </w:rPr>
        <w:t xml:space="preserve">inconsistent with </w:t>
      </w:r>
      <w:r w:rsidR="00A4347E">
        <w:rPr>
          <w:sz w:val="26"/>
          <w:szCs w:val="26"/>
        </w:rPr>
        <w:t xml:space="preserve">its </w:t>
      </w:r>
      <w:r w:rsidR="00ED2B57">
        <w:rPr>
          <w:sz w:val="26"/>
          <w:szCs w:val="26"/>
        </w:rPr>
        <w:t>billing format</w:t>
      </w:r>
      <w:r w:rsidR="000E152A">
        <w:rPr>
          <w:sz w:val="26"/>
          <w:szCs w:val="26"/>
        </w:rPr>
        <w:t>.  I.D. at 9-14.</w:t>
      </w:r>
    </w:p>
    <w:p w:rsidR="00EE526B" w:rsidRDefault="00EE526B" w:rsidP="00085E5A">
      <w:pPr>
        <w:widowControl/>
        <w:tabs>
          <w:tab w:val="left" w:pos="720"/>
          <w:tab w:val="left" w:pos="1440"/>
        </w:tabs>
        <w:spacing w:line="360" w:lineRule="auto"/>
        <w:contextualSpacing/>
        <w:rPr>
          <w:sz w:val="26"/>
          <w:szCs w:val="26"/>
        </w:rPr>
      </w:pPr>
    </w:p>
    <w:p w:rsidR="00C9623F" w:rsidRDefault="000E152A" w:rsidP="00085E5A">
      <w:pPr>
        <w:widowControl/>
        <w:spacing w:line="360" w:lineRule="auto"/>
        <w:ind w:firstLine="1440"/>
        <w:contextualSpacing/>
        <w:rPr>
          <w:sz w:val="24"/>
          <w:szCs w:val="24"/>
        </w:rPr>
      </w:pPr>
      <w:r w:rsidRPr="000E152A">
        <w:rPr>
          <w:sz w:val="26"/>
          <w:szCs w:val="26"/>
        </w:rPr>
        <w:lastRenderedPageBreak/>
        <w:t>Regarding the February 19, 2014 bill, the ALJ noted that PGW has a Commission-approved tarif</w:t>
      </w:r>
      <w:r w:rsidR="00EB47EA">
        <w:rPr>
          <w:sz w:val="26"/>
          <w:szCs w:val="26"/>
        </w:rPr>
        <w:t xml:space="preserve">f for the </w:t>
      </w:r>
      <w:r w:rsidR="00C56035">
        <w:rPr>
          <w:sz w:val="26"/>
          <w:szCs w:val="26"/>
        </w:rPr>
        <w:t>Distribution Charge</w:t>
      </w:r>
      <w:r w:rsidR="00806470">
        <w:rPr>
          <w:sz w:val="26"/>
          <w:szCs w:val="26"/>
        </w:rPr>
        <w:t xml:space="preserve"> and that when </w:t>
      </w:r>
      <w:r w:rsidR="00EB47EA">
        <w:rPr>
          <w:sz w:val="26"/>
          <w:szCs w:val="26"/>
        </w:rPr>
        <w:t>a c</w:t>
      </w:r>
      <w:r w:rsidR="00C9623F" w:rsidRPr="00C9623F">
        <w:rPr>
          <w:sz w:val="26"/>
          <w:szCs w:val="26"/>
        </w:rPr>
        <w:t xml:space="preserve">omplaint involves </w:t>
      </w:r>
      <w:r w:rsidR="000E7C8C">
        <w:rPr>
          <w:sz w:val="26"/>
          <w:szCs w:val="26"/>
        </w:rPr>
        <w:t xml:space="preserve">a charge </w:t>
      </w:r>
      <w:r w:rsidR="000A4C4F">
        <w:rPr>
          <w:sz w:val="26"/>
          <w:szCs w:val="26"/>
        </w:rPr>
        <w:t>i</w:t>
      </w:r>
      <w:r w:rsidR="000E7C8C">
        <w:rPr>
          <w:sz w:val="26"/>
          <w:szCs w:val="26"/>
        </w:rPr>
        <w:t xml:space="preserve">n </w:t>
      </w:r>
      <w:r w:rsidR="00C9623F" w:rsidRPr="00C9623F">
        <w:rPr>
          <w:sz w:val="26"/>
          <w:szCs w:val="26"/>
        </w:rPr>
        <w:t>an existing Commission-appr</w:t>
      </w:r>
      <w:r w:rsidR="008C6CFC">
        <w:rPr>
          <w:sz w:val="26"/>
          <w:szCs w:val="26"/>
        </w:rPr>
        <w:t xml:space="preserve">oved tariff, the burden falls </w:t>
      </w:r>
      <w:r w:rsidR="00EB47EA">
        <w:rPr>
          <w:sz w:val="26"/>
          <w:szCs w:val="26"/>
        </w:rPr>
        <w:t>on the complainant</w:t>
      </w:r>
      <w:r w:rsidR="00C9623F" w:rsidRPr="00C9623F">
        <w:rPr>
          <w:sz w:val="26"/>
          <w:szCs w:val="26"/>
        </w:rPr>
        <w:t xml:space="preserve"> to prove that the charge is no longer reasonable.</w:t>
      </w:r>
      <w:r w:rsidR="00C9623F">
        <w:rPr>
          <w:rStyle w:val="FootnoteReference"/>
          <w:sz w:val="26"/>
          <w:szCs w:val="26"/>
        </w:rPr>
        <w:footnoteReference w:id="6"/>
      </w:r>
      <w:r w:rsidR="00C9623F" w:rsidRPr="00C9623F">
        <w:rPr>
          <w:sz w:val="26"/>
          <w:szCs w:val="26"/>
        </w:rPr>
        <w:t xml:space="preserve">  The ALJ noted that the Commission-approved tariff is </w:t>
      </w:r>
      <w:r w:rsidR="00C9623F" w:rsidRPr="000A4C4F">
        <w:rPr>
          <w:i/>
          <w:sz w:val="26"/>
          <w:szCs w:val="26"/>
        </w:rPr>
        <w:t>prima facie</w:t>
      </w:r>
      <w:r w:rsidR="00C9623F" w:rsidRPr="00C9623F">
        <w:rPr>
          <w:sz w:val="26"/>
          <w:szCs w:val="26"/>
        </w:rPr>
        <w:t xml:space="preserve"> reasonable, is binding on the utility and the customer, and has the full force and effect of</w:t>
      </w:r>
      <w:r w:rsidR="008C6CFC">
        <w:rPr>
          <w:sz w:val="26"/>
          <w:szCs w:val="26"/>
        </w:rPr>
        <w:t xml:space="preserve"> </w:t>
      </w:r>
      <w:r w:rsidR="00C9623F" w:rsidRPr="00C9623F">
        <w:rPr>
          <w:sz w:val="26"/>
          <w:szCs w:val="26"/>
        </w:rPr>
        <w:t>law.  The ALJ</w:t>
      </w:r>
      <w:r w:rsidR="00061705">
        <w:rPr>
          <w:sz w:val="26"/>
          <w:szCs w:val="26"/>
        </w:rPr>
        <w:t>,</w:t>
      </w:r>
      <w:r w:rsidR="00C9623F" w:rsidRPr="00C9623F">
        <w:rPr>
          <w:sz w:val="26"/>
          <w:szCs w:val="26"/>
        </w:rPr>
        <w:t xml:space="preserve"> therefore, </w:t>
      </w:r>
      <w:r w:rsidR="000A4C4F">
        <w:rPr>
          <w:sz w:val="26"/>
          <w:szCs w:val="26"/>
        </w:rPr>
        <w:t xml:space="preserve">found </w:t>
      </w:r>
      <w:r w:rsidR="00C9623F" w:rsidRPr="00C9623F">
        <w:rPr>
          <w:sz w:val="26"/>
          <w:szCs w:val="26"/>
        </w:rPr>
        <w:t xml:space="preserve">that the burden of proof </w:t>
      </w:r>
      <w:r w:rsidR="008C6CFC">
        <w:rPr>
          <w:sz w:val="26"/>
          <w:szCs w:val="26"/>
        </w:rPr>
        <w:t xml:space="preserve">in the instant proceeding </w:t>
      </w:r>
      <w:r w:rsidR="00C9623F" w:rsidRPr="00C9623F">
        <w:rPr>
          <w:sz w:val="26"/>
          <w:szCs w:val="26"/>
        </w:rPr>
        <w:t xml:space="preserve">is on the Complainant to show that </w:t>
      </w:r>
      <w:r w:rsidR="002D71B4">
        <w:rPr>
          <w:sz w:val="26"/>
          <w:szCs w:val="26"/>
        </w:rPr>
        <w:t>PGW’s</w:t>
      </w:r>
      <w:r w:rsidR="00C9623F" w:rsidRPr="00C9623F">
        <w:rPr>
          <w:sz w:val="26"/>
          <w:szCs w:val="26"/>
        </w:rPr>
        <w:t xml:space="preserve"> application of </w:t>
      </w:r>
      <w:r w:rsidR="002D71B4">
        <w:rPr>
          <w:sz w:val="26"/>
          <w:szCs w:val="26"/>
        </w:rPr>
        <w:t xml:space="preserve">the existing </w:t>
      </w:r>
      <w:r w:rsidR="00C9623F" w:rsidRPr="00C9623F">
        <w:rPr>
          <w:sz w:val="26"/>
          <w:szCs w:val="26"/>
        </w:rPr>
        <w:t xml:space="preserve">tariff at </w:t>
      </w:r>
      <w:r w:rsidR="000E7C8C" w:rsidRPr="00C9623F">
        <w:rPr>
          <w:sz w:val="26"/>
          <w:szCs w:val="26"/>
        </w:rPr>
        <w:t>issue</w:t>
      </w:r>
      <w:r w:rsidR="00C9623F" w:rsidRPr="00C9623F">
        <w:rPr>
          <w:sz w:val="26"/>
          <w:szCs w:val="26"/>
        </w:rPr>
        <w:t xml:space="preserve"> is unreaso</w:t>
      </w:r>
      <w:r w:rsidR="002D71B4">
        <w:rPr>
          <w:sz w:val="26"/>
          <w:szCs w:val="26"/>
        </w:rPr>
        <w:t>nable</w:t>
      </w:r>
      <w:r w:rsidR="00C9623F">
        <w:rPr>
          <w:sz w:val="26"/>
          <w:szCs w:val="26"/>
        </w:rPr>
        <w:t xml:space="preserve">.  </w:t>
      </w:r>
      <w:r w:rsidR="00C9623F" w:rsidRPr="00C9623F">
        <w:rPr>
          <w:sz w:val="26"/>
          <w:szCs w:val="26"/>
        </w:rPr>
        <w:t>I.D. at 10.</w:t>
      </w:r>
      <w:r w:rsidR="00C9623F">
        <w:rPr>
          <w:sz w:val="24"/>
          <w:szCs w:val="24"/>
        </w:rPr>
        <w:t xml:space="preserve">  </w:t>
      </w:r>
    </w:p>
    <w:p w:rsidR="00B534D2" w:rsidRDefault="00B534D2" w:rsidP="00085E5A">
      <w:pPr>
        <w:widowControl/>
        <w:spacing w:line="360" w:lineRule="auto"/>
        <w:ind w:firstLine="1440"/>
        <w:contextualSpacing/>
        <w:rPr>
          <w:sz w:val="24"/>
          <w:szCs w:val="24"/>
        </w:rPr>
      </w:pPr>
    </w:p>
    <w:p w:rsidR="00B534D2" w:rsidRDefault="00B534D2" w:rsidP="00085E5A">
      <w:pPr>
        <w:widowControl/>
        <w:spacing w:line="360" w:lineRule="auto"/>
        <w:ind w:firstLine="1440"/>
        <w:contextualSpacing/>
        <w:rPr>
          <w:sz w:val="26"/>
          <w:szCs w:val="26"/>
        </w:rPr>
      </w:pPr>
      <w:r w:rsidRPr="00B534D2">
        <w:rPr>
          <w:sz w:val="26"/>
          <w:szCs w:val="26"/>
        </w:rPr>
        <w:t>The AL</w:t>
      </w:r>
      <w:r w:rsidR="00EB47EA">
        <w:rPr>
          <w:sz w:val="26"/>
          <w:szCs w:val="26"/>
        </w:rPr>
        <w:t xml:space="preserve">J </w:t>
      </w:r>
      <w:r w:rsidR="00FD6A7F">
        <w:rPr>
          <w:sz w:val="26"/>
          <w:szCs w:val="26"/>
        </w:rPr>
        <w:t xml:space="preserve">pointed out </w:t>
      </w:r>
      <w:r w:rsidRPr="00B534D2">
        <w:rPr>
          <w:sz w:val="26"/>
          <w:szCs w:val="26"/>
        </w:rPr>
        <w:t>that the Commission-approved tariff applicable to the Complaina</w:t>
      </w:r>
      <w:r>
        <w:rPr>
          <w:sz w:val="26"/>
          <w:szCs w:val="26"/>
        </w:rPr>
        <w:t>nt’s February 2014 bill states as follows:</w:t>
      </w:r>
    </w:p>
    <w:p w:rsidR="00EB47EA" w:rsidRPr="00B534D2" w:rsidRDefault="00EB47EA" w:rsidP="00085E5A">
      <w:pPr>
        <w:widowControl/>
        <w:spacing w:line="360" w:lineRule="auto"/>
        <w:ind w:firstLine="1440"/>
        <w:contextualSpacing/>
        <w:rPr>
          <w:sz w:val="26"/>
          <w:szCs w:val="26"/>
        </w:rPr>
      </w:pPr>
    </w:p>
    <w:p w:rsidR="00B534D2" w:rsidRPr="00B534D2" w:rsidRDefault="00B534D2" w:rsidP="00085E5A">
      <w:pPr>
        <w:widowControl/>
        <w:ind w:left="1440" w:right="1440"/>
        <w:contextualSpacing/>
        <w:rPr>
          <w:sz w:val="26"/>
          <w:szCs w:val="26"/>
        </w:rPr>
      </w:pPr>
      <w:r w:rsidRPr="00B534D2">
        <w:rPr>
          <w:sz w:val="26"/>
          <w:szCs w:val="26"/>
        </w:rPr>
        <w:t>Distribution charge (consisting of items (A) and (B) below):</w:t>
      </w:r>
    </w:p>
    <w:p w:rsidR="00B534D2" w:rsidRPr="00B534D2" w:rsidRDefault="00B534D2" w:rsidP="00085E5A">
      <w:pPr>
        <w:widowControl/>
        <w:ind w:left="1440" w:right="1440"/>
        <w:contextualSpacing/>
        <w:rPr>
          <w:sz w:val="26"/>
          <w:szCs w:val="26"/>
        </w:rPr>
      </w:pPr>
    </w:p>
    <w:p w:rsidR="00B534D2" w:rsidRPr="00B534D2" w:rsidRDefault="00B534D2" w:rsidP="00085E5A">
      <w:pPr>
        <w:widowControl/>
        <w:numPr>
          <w:ilvl w:val="0"/>
          <w:numId w:val="7"/>
        </w:numPr>
        <w:ind w:right="1440"/>
        <w:contextualSpacing/>
        <w:rPr>
          <w:sz w:val="26"/>
          <w:szCs w:val="26"/>
          <w:u w:val="single"/>
        </w:rPr>
      </w:pPr>
      <w:r w:rsidRPr="00B534D2">
        <w:rPr>
          <w:sz w:val="26"/>
          <w:szCs w:val="26"/>
        </w:rPr>
        <w:tab/>
      </w:r>
      <w:r w:rsidRPr="00B534D2">
        <w:rPr>
          <w:sz w:val="26"/>
          <w:szCs w:val="26"/>
          <w:u w:val="single"/>
        </w:rPr>
        <w:t>Delivery Charge:</w:t>
      </w:r>
    </w:p>
    <w:p w:rsidR="00B534D2" w:rsidRPr="00B534D2" w:rsidRDefault="00B534D2" w:rsidP="00085E5A">
      <w:pPr>
        <w:widowControl/>
        <w:ind w:left="1440" w:right="1440"/>
        <w:contextualSpacing/>
        <w:rPr>
          <w:sz w:val="26"/>
          <w:szCs w:val="26"/>
        </w:rPr>
      </w:pPr>
    </w:p>
    <w:p w:rsidR="00B534D2" w:rsidRPr="00B534D2" w:rsidRDefault="00B534D2" w:rsidP="00085E5A">
      <w:pPr>
        <w:widowControl/>
        <w:ind w:left="1440" w:right="1440"/>
        <w:contextualSpacing/>
        <w:rPr>
          <w:sz w:val="26"/>
          <w:szCs w:val="26"/>
        </w:rPr>
      </w:pPr>
      <w:r w:rsidRPr="00B534D2">
        <w:rPr>
          <w:sz w:val="26"/>
          <w:szCs w:val="26"/>
        </w:rPr>
        <w:t xml:space="preserve">$0.60067 </w:t>
      </w:r>
      <w:r w:rsidRPr="00B534D2">
        <w:rPr>
          <w:sz w:val="26"/>
          <w:szCs w:val="26"/>
        </w:rPr>
        <w:tab/>
        <w:t>per ccf for Residential</w:t>
      </w:r>
    </w:p>
    <w:p w:rsidR="00B534D2" w:rsidRPr="00B534D2" w:rsidRDefault="00B534D2" w:rsidP="00085E5A">
      <w:pPr>
        <w:widowControl/>
        <w:ind w:left="1440" w:right="1440"/>
        <w:contextualSpacing/>
        <w:rPr>
          <w:sz w:val="26"/>
          <w:szCs w:val="26"/>
        </w:rPr>
      </w:pPr>
      <w:r w:rsidRPr="00B534D2">
        <w:rPr>
          <w:sz w:val="26"/>
          <w:szCs w:val="26"/>
        </w:rPr>
        <w:t>$0.49441</w:t>
      </w:r>
      <w:r w:rsidRPr="00B534D2">
        <w:rPr>
          <w:sz w:val="26"/>
          <w:szCs w:val="26"/>
        </w:rPr>
        <w:tab/>
        <w:t>per ccf for Public Housing</w:t>
      </w:r>
    </w:p>
    <w:p w:rsidR="00B534D2" w:rsidRPr="00B534D2" w:rsidRDefault="00B534D2" w:rsidP="00813876">
      <w:pPr>
        <w:widowControl/>
        <w:ind w:left="2880" w:hanging="1440"/>
        <w:contextualSpacing/>
        <w:rPr>
          <w:sz w:val="26"/>
          <w:szCs w:val="26"/>
        </w:rPr>
      </w:pPr>
      <w:r w:rsidRPr="00B534D2">
        <w:rPr>
          <w:sz w:val="26"/>
          <w:szCs w:val="26"/>
        </w:rPr>
        <w:t>$0.45984</w:t>
      </w:r>
      <w:r w:rsidRPr="00B534D2">
        <w:rPr>
          <w:sz w:val="26"/>
          <w:szCs w:val="26"/>
        </w:rPr>
        <w:tab/>
        <w:t>per ccf for Commercial and Municipal Customers</w:t>
      </w:r>
    </w:p>
    <w:p w:rsidR="00B534D2" w:rsidRPr="00B534D2" w:rsidRDefault="00B534D2" w:rsidP="00085E5A">
      <w:pPr>
        <w:widowControl/>
        <w:ind w:left="1440" w:right="1440"/>
        <w:contextualSpacing/>
        <w:rPr>
          <w:sz w:val="26"/>
          <w:szCs w:val="26"/>
        </w:rPr>
      </w:pPr>
      <w:r w:rsidRPr="00B534D2">
        <w:rPr>
          <w:sz w:val="26"/>
          <w:szCs w:val="26"/>
        </w:rPr>
        <w:t>$0.45332</w:t>
      </w:r>
      <w:r w:rsidRPr="00B534D2">
        <w:rPr>
          <w:sz w:val="26"/>
          <w:szCs w:val="26"/>
        </w:rPr>
        <w:tab/>
        <w:t>per ccf for Industrial Customers</w:t>
      </w:r>
    </w:p>
    <w:p w:rsidR="00B534D2" w:rsidRPr="00B534D2" w:rsidRDefault="00B534D2" w:rsidP="00085E5A">
      <w:pPr>
        <w:widowControl/>
        <w:ind w:left="1440" w:right="1440"/>
        <w:contextualSpacing/>
        <w:rPr>
          <w:sz w:val="26"/>
          <w:szCs w:val="26"/>
          <w:u w:val="single"/>
        </w:rPr>
      </w:pPr>
    </w:p>
    <w:p w:rsidR="00B534D2" w:rsidRPr="00B534D2" w:rsidRDefault="00B534D2" w:rsidP="00085E5A">
      <w:pPr>
        <w:widowControl/>
        <w:numPr>
          <w:ilvl w:val="0"/>
          <w:numId w:val="7"/>
        </w:numPr>
        <w:ind w:right="1440"/>
        <w:contextualSpacing/>
        <w:rPr>
          <w:sz w:val="26"/>
          <w:szCs w:val="26"/>
          <w:u w:val="single"/>
        </w:rPr>
      </w:pPr>
      <w:r w:rsidRPr="00B534D2">
        <w:rPr>
          <w:sz w:val="26"/>
          <w:szCs w:val="26"/>
        </w:rPr>
        <w:tab/>
      </w:r>
      <w:r w:rsidRPr="00B534D2">
        <w:rPr>
          <w:sz w:val="26"/>
          <w:szCs w:val="26"/>
          <w:u w:val="single"/>
        </w:rPr>
        <w:t>Surcharges:</w:t>
      </w:r>
    </w:p>
    <w:p w:rsidR="00B534D2" w:rsidRPr="00B534D2" w:rsidRDefault="00B534D2" w:rsidP="00085E5A">
      <w:pPr>
        <w:widowControl/>
        <w:ind w:left="1440" w:right="1440"/>
        <w:contextualSpacing/>
        <w:rPr>
          <w:sz w:val="26"/>
          <w:szCs w:val="26"/>
        </w:rPr>
      </w:pPr>
    </w:p>
    <w:p w:rsidR="00B534D2" w:rsidRDefault="00B534D2" w:rsidP="00085E5A">
      <w:pPr>
        <w:widowControl/>
        <w:ind w:left="1440" w:right="1440"/>
        <w:contextualSpacing/>
        <w:rPr>
          <w:sz w:val="26"/>
          <w:szCs w:val="26"/>
        </w:rPr>
      </w:pPr>
      <w:r w:rsidRPr="00B534D2">
        <w:rPr>
          <w:sz w:val="26"/>
          <w:szCs w:val="26"/>
        </w:rPr>
        <w:t>Universal Service and Energy Conservation Surcharge</w:t>
      </w:r>
      <w:r w:rsidR="00EB47EA">
        <w:rPr>
          <w:sz w:val="26"/>
          <w:szCs w:val="26"/>
        </w:rPr>
        <w:t xml:space="preserve"> (USEC)</w:t>
      </w:r>
      <w:r w:rsidRPr="00B534D2">
        <w:rPr>
          <w:sz w:val="26"/>
          <w:szCs w:val="26"/>
        </w:rPr>
        <w:t>; Restructuring and Consumer Education Surcharge</w:t>
      </w:r>
      <w:r w:rsidR="00EB47EA">
        <w:rPr>
          <w:sz w:val="26"/>
          <w:szCs w:val="26"/>
        </w:rPr>
        <w:t xml:space="preserve"> (RCE)</w:t>
      </w:r>
      <w:r w:rsidRPr="00B534D2">
        <w:rPr>
          <w:sz w:val="26"/>
          <w:szCs w:val="26"/>
        </w:rPr>
        <w:t>; Efficiency Cost Recovery Surcharge</w:t>
      </w:r>
      <w:r w:rsidR="00EB47EA">
        <w:rPr>
          <w:sz w:val="26"/>
          <w:szCs w:val="26"/>
        </w:rPr>
        <w:t xml:space="preserve"> (ECR)</w:t>
      </w:r>
      <w:r w:rsidRPr="00B534D2">
        <w:rPr>
          <w:sz w:val="26"/>
          <w:szCs w:val="26"/>
        </w:rPr>
        <w:t>; Other Post Employment Benefit Surcharge</w:t>
      </w:r>
      <w:r w:rsidR="00EB47EA">
        <w:rPr>
          <w:sz w:val="26"/>
          <w:szCs w:val="26"/>
        </w:rPr>
        <w:t xml:space="preserve"> (OPEB)</w:t>
      </w:r>
      <w:r w:rsidR="00E9505D">
        <w:rPr>
          <w:sz w:val="26"/>
          <w:szCs w:val="26"/>
        </w:rPr>
        <w:t>; and DSIC</w:t>
      </w:r>
      <w:r w:rsidRPr="00B534D2">
        <w:rPr>
          <w:sz w:val="26"/>
          <w:szCs w:val="26"/>
        </w:rPr>
        <w:t>.</w:t>
      </w:r>
    </w:p>
    <w:p w:rsidR="00B534D2" w:rsidRPr="00B534D2" w:rsidRDefault="00B534D2" w:rsidP="000A4C4F">
      <w:pPr>
        <w:widowControl/>
        <w:spacing w:line="360" w:lineRule="auto"/>
        <w:ind w:left="1440" w:right="1440"/>
        <w:contextualSpacing/>
        <w:rPr>
          <w:sz w:val="26"/>
          <w:szCs w:val="26"/>
        </w:rPr>
      </w:pPr>
    </w:p>
    <w:p w:rsidR="00B534D2" w:rsidRDefault="00B534D2" w:rsidP="00085E5A">
      <w:pPr>
        <w:widowControl/>
        <w:spacing w:line="360" w:lineRule="auto"/>
        <w:contextualSpacing/>
        <w:rPr>
          <w:sz w:val="26"/>
          <w:szCs w:val="26"/>
        </w:rPr>
      </w:pPr>
      <w:r>
        <w:rPr>
          <w:sz w:val="26"/>
          <w:szCs w:val="26"/>
        </w:rPr>
        <w:t>I.D. at 10-11</w:t>
      </w:r>
      <w:r w:rsidR="00300C05">
        <w:rPr>
          <w:sz w:val="26"/>
          <w:szCs w:val="26"/>
        </w:rPr>
        <w:t xml:space="preserve">, </w:t>
      </w:r>
      <w:r>
        <w:rPr>
          <w:sz w:val="26"/>
          <w:szCs w:val="26"/>
        </w:rPr>
        <w:t xml:space="preserve">citing </w:t>
      </w:r>
      <w:r w:rsidRPr="00B534D2">
        <w:rPr>
          <w:sz w:val="26"/>
          <w:szCs w:val="26"/>
        </w:rPr>
        <w:t>PGW Supplement No. 65 to Gas Service Tariff – Pa. P.U.C. No. 2, F</w:t>
      </w:r>
      <w:r w:rsidR="00E9505D">
        <w:rPr>
          <w:sz w:val="26"/>
          <w:szCs w:val="26"/>
        </w:rPr>
        <w:t xml:space="preserve">ifty Sixth Revised Page No. 83 and </w:t>
      </w:r>
      <w:r w:rsidRPr="00B534D2">
        <w:rPr>
          <w:sz w:val="26"/>
          <w:szCs w:val="26"/>
        </w:rPr>
        <w:t>PGW Exh</w:t>
      </w:r>
      <w:r w:rsidR="001845F3">
        <w:rPr>
          <w:sz w:val="26"/>
          <w:szCs w:val="26"/>
        </w:rPr>
        <w:t>.</w:t>
      </w:r>
      <w:r w:rsidRPr="00B534D2">
        <w:rPr>
          <w:sz w:val="26"/>
          <w:szCs w:val="26"/>
        </w:rPr>
        <w:t xml:space="preserve"> 5 Revised (Part 4 of 6</w:t>
      </w:r>
      <w:r w:rsidR="00806470">
        <w:rPr>
          <w:sz w:val="26"/>
          <w:szCs w:val="26"/>
        </w:rPr>
        <w:t xml:space="preserve"> — </w:t>
      </w:r>
      <w:r w:rsidRPr="00B534D2">
        <w:rPr>
          <w:sz w:val="26"/>
          <w:szCs w:val="26"/>
        </w:rPr>
        <w:t xml:space="preserve">PGW Tariff).  The ALJ </w:t>
      </w:r>
      <w:r w:rsidR="0028663C">
        <w:rPr>
          <w:sz w:val="26"/>
          <w:szCs w:val="26"/>
        </w:rPr>
        <w:t>noted th</w:t>
      </w:r>
      <w:r w:rsidRPr="00B534D2">
        <w:rPr>
          <w:sz w:val="26"/>
          <w:szCs w:val="26"/>
        </w:rPr>
        <w:t xml:space="preserve">at the Complainant’s </w:t>
      </w:r>
      <w:r w:rsidR="00806470">
        <w:rPr>
          <w:sz w:val="26"/>
          <w:szCs w:val="26"/>
        </w:rPr>
        <w:t xml:space="preserve">total Distribution Charge </w:t>
      </w:r>
      <w:r w:rsidR="008C6CFC" w:rsidRPr="00B534D2">
        <w:rPr>
          <w:sz w:val="26"/>
          <w:szCs w:val="26"/>
        </w:rPr>
        <w:t xml:space="preserve">on </w:t>
      </w:r>
      <w:r w:rsidR="000A4C4F">
        <w:rPr>
          <w:sz w:val="26"/>
          <w:szCs w:val="26"/>
        </w:rPr>
        <w:t xml:space="preserve">her </w:t>
      </w:r>
      <w:r w:rsidR="008C6CFC" w:rsidRPr="00B534D2">
        <w:rPr>
          <w:sz w:val="26"/>
          <w:szCs w:val="26"/>
        </w:rPr>
        <w:t xml:space="preserve">February 19, 2014 </w:t>
      </w:r>
      <w:r w:rsidR="008C6CFC" w:rsidRPr="00B534D2">
        <w:rPr>
          <w:sz w:val="26"/>
          <w:szCs w:val="26"/>
        </w:rPr>
        <w:lastRenderedPageBreak/>
        <w:t xml:space="preserve">bill </w:t>
      </w:r>
      <w:r w:rsidR="00806470">
        <w:rPr>
          <w:sz w:val="26"/>
          <w:szCs w:val="26"/>
        </w:rPr>
        <w:t xml:space="preserve">for </w:t>
      </w:r>
      <w:r w:rsidRPr="00B534D2">
        <w:rPr>
          <w:sz w:val="26"/>
          <w:szCs w:val="26"/>
        </w:rPr>
        <w:t>148 ccf</w:t>
      </w:r>
      <w:r w:rsidR="00806470">
        <w:rPr>
          <w:sz w:val="26"/>
          <w:szCs w:val="26"/>
        </w:rPr>
        <w:t xml:space="preserve"> at a rate of $0.81381 </w:t>
      </w:r>
      <w:r w:rsidR="00C757B4">
        <w:rPr>
          <w:sz w:val="26"/>
          <w:szCs w:val="26"/>
        </w:rPr>
        <w:t>is</w:t>
      </w:r>
      <w:r w:rsidR="00806470">
        <w:rPr>
          <w:sz w:val="26"/>
          <w:szCs w:val="26"/>
        </w:rPr>
        <w:t xml:space="preserve"> $120.44</w:t>
      </w:r>
      <w:r w:rsidR="001845F3">
        <w:rPr>
          <w:sz w:val="26"/>
          <w:szCs w:val="26"/>
        </w:rPr>
        <w:t>,</w:t>
      </w:r>
      <w:r w:rsidR="00EB47EA">
        <w:rPr>
          <w:sz w:val="26"/>
          <w:szCs w:val="26"/>
        </w:rPr>
        <w:t xml:space="preserve"> </w:t>
      </w:r>
      <w:r w:rsidR="00C757B4">
        <w:rPr>
          <w:sz w:val="26"/>
          <w:szCs w:val="26"/>
        </w:rPr>
        <w:t xml:space="preserve">and as highlighted below, </w:t>
      </w:r>
      <w:r w:rsidR="00A02D25">
        <w:rPr>
          <w:sz w:val="26"/>
          <w:szCs w:val="26"/>
        </w:rPr>
        <w:t xml:space="preserve">is </w:t>
      </w:r>
      <w:r w:rsidR="0028663C">
        <w:rPr>
          <w:sz w:val="26"/>
          <w:szCs w:val="26"/>
        </w:rPr>
        <w:t>one of the five c</w:t>
      </w:r>
      <w:r w:rsidR="00A02D25">
        <w:rPr>
          <w:sz w:val="26"/>
          <w:szCs w:val="26"/>
        </w:rPr>
        <w:t>omponent</w:t>
      </w:r>
      <w:r w:rsidR="0028663C">
        <w:rPr>
          <w:sz w:val="26"/>
          <w:szCs w:val="26"/>
        </w:rPr>
        <w:t>s</w:t>
      </w:r>
      <w:r w:rsidR="00A02D25">
        <w:rPr>
          <w:sz w:val="26"/>
          <w:szCs w:val="26"/>
        </w:rPr>
        <w:t xml:space="preserve"> of the </w:t>
      </w:r>
      <w:r w:rsidR="00DC0D8D">
        <w:rPr>
          <w:sz w:val="26"/>
          <w:szCs w:val="26"/>
        </w:rPr>
        <w:t>Total D</w:t>
      </w:r>
      <w:r w:rsidR="00A02D25" w:rsidRPr="00B534D2">
        <w:rPr>
          <w:sz w:val="26"/>
          <w:szCs w:val="26"/>
        </w:rPr>
        <w:t xml:space="preserve">elivery </w:t>
      </w:r>
      <w:r w:rsidR="00DC0D8D">
        <w:rPr>
          <w:sz w:val="26"/>
          <w:szCs w:val="26"/>
        </w:rPr>
        <w:t>C</w:t>
      </w:r>
      <w:r w:rsidR="00A02D25" w:rsidRPr="00B534D2">
        <w:rPr>
          <w:sz w:val="26"/>
          <w:szCs w:val="26"/>
        </w:rPr>
        <w:t>harges</w:t>
      </w:r>
      <w:r w:rsidR="00A02D25">
        <w:rPr>
          <w:sz w:val="26"/>
          <w:szCs w:val="26"/>
        </w:rPr>
        <w:t xml:space="preserve"> listed on th</w:t>
      </w:r>
      <w:r w:rsidR="0028663C">
        <w:rPr>
          <w:sz w:val="26"/>
          <w:szCs w:val="26"/>
        </w:rPr>
        <w:t>e</w:t>
      </w:r>
      <w:r w:rsidR="00A02D25">
        <w:rPr>
          <w:sz w:val="26"/>
          <w:szCs w:val="26"/>
        </w:rPr>
        <w:t xml:space="preserve"> bill:</w:t>
      </w:r>
    </w:p>
    <w:p w:rsidR="00EB47EA" w:rsidRDefault="00EB47EA" w:rsidP="00085E5A">
      <w:pPr>
        <w:widowControl/>
        <w:spacing w:line="360" w:lineRule="auto"/>
        <w:contextualSpacing/>
        <w:rPr>
          <w:sz w:val="26"/>
          <w:szCs w:val="26"/>
        </w:rPr>
      </w:pPr>
    </w:p>
    <w:p w:rsidR="00B534D2" w:rsidRPr="00B534D2" w:rsidRDefault="00B534D2" w:rsidP="00085E5A">
      <w:pPr>
        <w:widowControl/>
        <w:ind w:left="720" w:right="1440" w:firstLine="450"/>
        <w:contextualSpacing/>
        <w:rPr>
          <w:sz w:val="26"/>
          <w:szCs w:val="26"/>
        </w:rPr>
      </w:pPr>
      <w:r w:rsidRPr="00B534D2">
        <w:rPr>
          <w:sz w:val="26"/>
          <w:szCs w:val="26"/>
        </w:rPr>
        <w:t>Customer charge</w:t>
      </w:r>
      <w:r w:rsidRPr="00B534D2">
        <w:rPr>
          <w:sz w:val="26"/>
          <w:szCs w:val="26"/>
        </w:rPr>
        <w:tab/>
      </w:r>
      <w:r w:rsidRPr="00B534D2">
        <w:rPr>
          <w:sz w:val="26"/>
          <w:szCs w:val="26"/>
        </w:rPr>
        <w:tab/>
      </w:r>
      <w:r w:rsidRPr="00B534D2">
        <w:rPr>
          <w:sz w:val="26"/>
          <w:szCs w:val="26"/>
        </w:rPr>
        <w:tab/>
      </w:r>
      <w:r w:rsidRPr="00B534D2">
        <w:rPr>
          <w:sz w:val="26"/>
          <w:szCs w:val="26"/>
        </w:rPr>
        <w:tab/>
      </w:r>
      <w:r w:rsidRPr="00B534D2">
        <w:rPr>
          <w:sz w:val="26"/>
          <w:szCs w:val="26"/>
        </w:rPr>
        <w:tab/>
        <w:t>$  12.00;</w:t>
      </w:r>
    </w:p>
    <w:p w:rsidR="00B534D2" w:rsidRPr="00B534D2" w:rsidRDefault="00B534D2" w:rsidP="00085E5A">
      <w:pPr>
        <w:widowControl/>
        <w:ind w:left="1440" w:right="1440" w:hanging="270"/>
        <w:contextualSpacing/>
        <w:rPr>
          <w:sz w:val="26"/>
          <w:szCs w:val="26"/>
        </w:rPr>
      </w:pPr>
      <w:r w:rsidRPr="00B534D2">
        <w:rPr>
          <w:b/>
          <w:sz w:val="26"/>
          <w:szCs w:val="26"/>
        </w:rPr>
        <w:t>Distribution charge 148 ccf at $0.81381</w:t>
      </w:r>
      <w:r w:rsidRPr="00B534D2">
        <w:rPr>
          <w:b/>
          <w:sz w:val="26"/>
          <w:szCs w:val="26"/>
        </w:rPr>
        <w:tab/>
      </w:r>
      <w:r w:rsidRPr="00B534D2">
        <w:rPr>
          <w:b/>
          <w:sz w:val="26"/>
          <w:szCs w:val="26"/>
        </w:rPr>
        <w:tab/>
        <w:t>$120.44</w:t>
      </w:r>
      <w:r w:rsidRPr="00B534D2">
        <w:rPr>
          <w:sz w:val="26"/>
          <w:szCs w:val="26"/>
        </w:rPr>
        <w:t>;</w:t>
      </w:r>
    </w:p>
    <w:p w:rsidR="00B534D2" w:rsidRPr="00B534D2" w:rsidRDefault="00B534D2" w:rsidP="00085E5A">
      <w:pPr>
        <w:widowControl/>
        <w:ind w:left="450" w:right="1440" w:firstLine="720"/>
        <w:contextualSpacing/>
        <w:rPr>
          <w:sz w:val="26"/>
          <w:szCs w:val="26"/>
        </w:rPr>
      </w:pPr>
      <w:r w:rsidRPr="00B534D2">
        <w:rPr>
          <w:sz w:val="26"/>
          <w:szCs w:val="26"/>
        </w:rPr>
        <w:t xml:space="preserve">Distribution System Improvement Charge </w:t>
      </w:r>
      <w:r w:rsidR="00EB47EA">
        <w:rPr>
          <w:sz w:val="26"/>
          <w:szCs w:val="26"/>
        </w:rPr>
        <w:t xml:space="preserve">at 4.34%  $  </w:t>
      </w:r>
      <w:r w:rsidRPr="00B534D2">
        <w:rPr>
          <w:sz w:val="26"/>
          <w:szCs w:val="26"/>
        </w:rPr>
        <w:t>5.75;</w:t>
      </w:r>
    </w:p>
    <w:p w:rsidR="00B534D2" w:rsidRPr="00B534D2" w:rsidRDefault="00B534D2" w:rsidP="00085E5A">
      <w:pPr>
        <w:widowControl/>
        <w:ind w:left="450" w:right="1440" w:firstLine="720"/>
        <w:contextualSpacing/>
        <w:rPr>
          <w:sz w:val="26"/>
          <w:szCs w:val="26"/>
        </w:rPr>
      </w:pPr>
      <w:r w:rsidRPr="00B534D2">
        <w:rPr>
          <w:sz w:val="26"/>
          <w:szCs w:val="26"/>
        </w:rPr>
        <w:t xml:space="preserve">Gas Cost Adjustment at -$0.00856 </w:t>
      </w:r>
      <w:r w:rsidRPr="00B534D2">
        <w:rPr>
          <w:sz w:val="26"/>
          <w:szCs w:val="26"/>
        </w:rPr>
        <w:tab/>
      </w:r>
      <w:r w:rsidRPr="00B534D2">
        <w:rPr>
          <w:sz w:val="26"/>
          <w:szCs w:val="26"/>
        </w:rPr>
        <w:tab/>
      </w:r>
      <w:r w:rsidRPr="00B534D2">
        <w:rPr>
          <w:sz w:val="26"/>
          <w:szCs w:val="26"/>
        </w:rPr>
        <w:tab/>
        <w:t>- $  1.27;</w:t>
      </w:r>
    </w:p>
    <w:p w:rsidR="00B534D2" w:rsidRPr="00B534D2" w:rsidRDefault="00B534D2" w:rsidP="00085E5A">
      <w:pPr>
        <w:widowControl/>
        <w:ind w:left="450" w:right="1440" w:firstLine="720"/>
        <w:contextualSpacing/>
        <w:rPr>
          <w:sz w:val="26"/>
          <w:szCs w:val="26"/>
          <w:u w:val="single"/>
        </w:rPr>
      </w:pPr>
      <w:r w:rsidRPr="00B534D2">
        <w:rPr>
          <w:sz w:val="26"/>
          <w:szCs w:val="26"/>
          <w:u w:val="single"/>
        </w:rPr>
        <w:t xml:space="preserve">Weather Normalization Adjustment </w:t>
      </w:r>
      <w:r w:rsidRPr="00B534D2">
        <w:rPr>
          <w:sz w:val="26"/>
          <w:szCs w:val="26"/>
          <w:u w:val="single"/>
        </w:rPr>
        <w:tab/>
        <w:t xml:space="preserve"> </w:t>
      </w:r>
      <w:r w:rsidRPr="00B534D2">
        <w:rPr>
          <w:sz w:val="26"/>
          <w:szCs w:val="26"/>
          <w:u w:val="single"/>
        </w:rPr>
        <w:tab/>
      </w:r>
      <w:r w:rsidRPr="00B534D2">
        <w:rPr>
          <w:sz w:val="26"/>
          <w:szCs w:val="26"/>
          <w:u w:val="single"/>
        </w:rPr>
        <w:tab/>
        <w:t>- $  9.84;</w:t>
      </w:r>
    </w:p>
    <w:p w:rsidR="00EB47EA" w:rsidRDefault="00B534D2" w:rsidP="00085E5A">
      <w:pPr>
        <w:widowControl/>
        <w:spacing w:line="360" w:lineRule="auto"/>
        <w:ind w:left="450" w:firstLine="720"/>
        <w:contextualSpacing/>
        <w:rPr>
          <w:sz w:val="26"/>
          <w:szCs w:val="26"/>
        </w:rPr>
      </w:pPr>
      <w:r w:rsidRPr="00B534D2">
        <w:rPr>
          <w:sz w:val="26"/>
          <w:szCs w:val="26"/>
        </w:rPr>
        <w:t>Total Delivery Charges</w:t>
      </w:r>
      <w:r w:rsidRPr="00B534D2">
        <w:rPr>
          <w:sz w:val="26"/>
          <w:szCs w:val="26"/>
        </w:rPr>
        <w:tab/>
      </w:r>
      <w:r w:rsidRPr="00B534D2">
        <w:rPr>
          <w:sz w:val="26"/>
          <w:szCs w:val="26"/>
        </w:rPr>
        <w:tab/>
      </w:r>
      <w:r w:rsidRPr="00B534D2">
        <w:rPr>
          <w:sz w:val="26"/>
          <w:szCs w:val="26"/>
        </w:rPr>
        <w:tab/>
      </w:r>
      <w:r w:rsidRPr="00B534D2">
        <w:rPr>
          <w:sz w:val="26"/>
          <w:szCs w:val="26"/>
        </w:rPr>
        <w:tab/>
        <w:t>$127.08</w:t>
      </w:r>
    </w:p>
    <w:p w:rsidR="005633A9" w:rsidRPr="00B534D2" w:rsidRDefault="005633A9" w:rsidP="00085E5A">
      <w:pPr>
        <w:widowControl/>
        <w:spacing w:line="360" w:lineRule="auto"/>
        <w:ind w:left="450" w:firstLine="720"/>
        <w:contextualSpacing/>
        <w:rPr>
          <w:sz w:val="26"/>
          <w:szCs w:val="26"/>
        </w:rPr>
      </w:pPr>
    </w:p>
    <w:p w:rsidR="00B534D2" w:rsidRDefault="00B534D2" w:rsidP="00085E5A">
      <w:pPr>
        <w:widowControl/>
        <w:spacing w:line="360" w:lineRule="auto"/>
        <w:contextualSpacing/>
        <w:rPr>
          <w:sz w:val="26"/>
          <w:szCs w:val="26"/>
        </w:rPr>
      </w:pPr>
      <w:r w:rsidRPr="00B534D2">
        <w:rPr>
          <w:sz w:val="26"/>
          <w:szCs w:val="26"/>
        </w:rPr>
        <w:t>I.D. at 10-11, citing Complainant Exh</w:t>
      </w:r>
      <w:r w:rsidR="001845F3">
        <w:rPr>
          <w:sz w:val="26"/>
          <w:szCs w:val="26"/>
        </w:rPr>
        <w:t>.</w:t>
      </w:r>
      <w:r w:rsidRPr="00B534D2">
        <w:rPr>
          <w:sz w:val="26"/>
          <w:szCs w:val="26"/>
        </w:rPr>
        <w:t xml:space="preserve"> 1 (emphasis </w:t>
      </w:r>
      <w:r w:rsidR="00FD6A7F">
        <w:rPr>
          <w:sz w:val="26"/>
          <w:szCs w:val="26"/>
        </w:rPr>
        <w:t>in original</w:t>
      </w:r>
      <w:r w:rsidRPr="00B534D2">
        <w:rPr>
          <w:sz w:val="26"/>
          <w:szCs w:val="26"/>
        </w:rPr>
        <w:t xml:space="preserve">).  </w:t>
      </w:r>
    </w:p>
    <w:p w:rsidR="0066056E" w:rsidRDefault="0066056E" w:rsidP="00085E5A">
      <w:pPr>
        <w:widowControl/>
        <w:spacing w:line="360" w:lineRule="auto"/>
        <w:contextualSpacing/>
        <w:rPr>
          <w:sz w:val="26"/>
          <w:szCs w:val="26"/>
        </w:rPr>
      </w:pPr>
    </w:p>
    <w:p w:rsidR="0066056E" w:rsidRPr="0066056E" w:rsidRDefault="0066056E" w:rsidP="00085E5A">
      <w:pPr>
        <w:widowControl/>
        <w:spacing w:line="360" w:lineRule="auto"/>
        <w:ind w:left="90" w:firstLine="720"/>
        <w:contextualSpacing/>
        <w:rPr>
          <w:sz w:val="26"/>
          <w:szCs w:val="26"/>
        </w:rPr>
      </w:pPr>
      <w:r>
        <w:rPr>
          <w:sz w:val="26"/>
          <w:szCs w:val="26"/>
        </w:rPr>
        <w:tab/>
      </w:r>
      <w:r w:rsidR="002D71B4">
        <w:rPr>
          <w:sz w:val="26"/>
          <w:szCs w:val="26"/>
        </w:rPr>
        <w:t>Nonetheless</w:t>
      </w:r>
      <w:r w:rsidRPr="0066056E">
        <w:rPr>
          <w:sz w:val="26"/>
          <w:szCs w:val="26"/>
        </w:rPr>
        <w:t>, the ALJ</w:t>
      </w:r>
      <w:r w:rsidR="006D1322">
        <w:rPr>
          <w:sz w:val="26"/>
          <w:szCs w:val="26"/>
        </w:rPr>
        <w:t xml:space="preserve"> </w:t>
      </w:r>
      <w:r w:rsidR="00122BA4">
        <w:rPr>
          <w:sz w:val="26"/>
          <w:szCs w:val="26"/>
        </w:rPr>
        <w:t>found</w:t>
      </w:r>
      <w:r w:rsidR="00122BA4" w:rsidRPr="0066056E">
        <w:rPr>
          <w:sz w:val="26"/>
          <w:szCs w:val="26"/>
        </w:rPr>
        <w:t xml:space="preserve"> </w:t>
      </w:r>
      <w:r w:rsidRPr="0066056E">
        <w:rPr>
          <w:sz w:val="26"/>
          <w:szCs w:val="26"/>
        </w:rPr>
        <w:t xml:space="preserve">that based on PGW’s tariff, the </w:t>
      </w:r>
      <w:r w:rsidR="00A02D25">
        <w:rPr>
          <w:sz w:val="26"/>
          <w:szCs w:val="26"/>
        </w:rPr>
        <w:t xml:space="preserve">appropriate </w:t>
      </w:r>
      <w:r w:rsidR="00790231">
        <w:rPr>
          <w:sz w:val="26"/>
          <w:szCs w:val="26"/>
        </w:rPr>
        <w:t>D</w:t>
      </w:r>
      <w:r w:rsidRPr="0066056E">
        <w:rPr>
          <w:sz w:val="26"/>
          <w:szCs w:val="26"/>
        </w:rPr>
        <w:t xml:space="preserve">istribution </w:t>
      </w:r>
      <w:r w:rsidR="00790231">
        <w:rPr>
          <w:sz w:val="26"/>
          <w:szCs w:val="26"/>
        </w:rPr>
        <w:t>C</w:t>
      </w:r>
      <w:r w:rsidRPr="0066056E">
        <w:rPr>
          <w:sz w:val="26"/>
          <w:szCs w:val="26"/>
        </w:rPr>
        <w:t xml:space="preserve">harge for the </w:t>
      </w:r>
      <w:r w:rsidR="00A02D25">
        <w:rPr>
          <w:sz w:val="26"/>
          <w:szCs w:val="26"/>
        </w:rPr>
        <w:t xml:space="preserve">usage listed on the </w:t>
      </w:r>
      <w:r w:rsidRPr="0066056E">
        <w:rPr>
          <w:sz w:val="26"/>
          <w:szCs w:val="26"/>
        </w:rPr>
        <w:t xml:space="preserve">February 19, 2014 bill should </w:t>
      </w:r>
      <w:r w:rsidR="001F0E63">
        <w:rPr>
          <w:sz w:val="26"/>
          <w:szCs w:val="26"/>
        </w:rPr>
        <w:t xml:space="preserve">have </w:t>
      </w:r>
      <w:r w:rsidRPr="0066056E">
        <w:rPr>
          <w:sz w:val="26"/>
          <w:szCs w:val="26"/>
        </w:rPr>
        <w:t>be</w:t>
      </w:r>
      <w:r w:rsidR="001F0E63">
        <w:rPr>
          <w:sz w:val="26"/>
          <w:szCs w:val="26"/>
        </w:rPr>
        <w:t>en</w:t>
      </w:r>
      <w:r w:rsidR="002D71B4">
        <w:rPr>
          <w:sz w:val="26"/>
          <w:szCs w:val="26"/>
        </w:rPr>
        <w:t xml:space="preserve"> </w:t>
      </w:r>
      <w:r w:rsidR="00A02D25" w:rsidRPr="00790231">
        <w:rPr>
          <w:sz w:val="26"/>
          <w:szCs w:val="26"/>
        </w:rPr>
        <w:t>$12</w:t>
      </w:r>
      <w:r w:rsidR="00790231" w:rsidRPr="00790231">
        <w:rPr>
          <w:sz w:val="26"/>
          <w:szCs w:val="26"/>
        </w:rPr>
        <w:t>6.19</w:t>
      </w:r>
      <w:r w:rsidR="00A02D25">
        <w:rPr>
          <w:sz w:val="26"/>
          <w:szCs w:val="26"/>
        </w:rPr>
        <w:t xml:space="preserve">, which she </w:t>
      </w:r>
      <w:r w:rsidR="002D71B4">
        <w:rPr>
          <w:sz w:val="26"/>
          <w:szCs w:val="26"/>
        </w:rPr>
        <w:t>calculated as follows</w:t>
      </w:r>
      <w:r w:rsidRPr="0066056E">
        <w:rPr>
          <w:sz w:val="26"/>
          <w:szCs w:val="26"/>
        </w:rPr>
        <w:t>:</w:t>
      </w:r>
    </w:p>
    <w:p w:rsidR="0066056E" w:rsidRDefault="0066056E" w:rsidP="00085E5A">
      <w:pPr>
        <w:widowControl/>
        <w:spacing w:line="360" w:lineRule="auto"/>
        <w:ind w:left="90" w:firstLine="720"/>
        <w:contextualSpacing/>
        <w:rPr>
          <w:sz w:val="26"/>
          <w:szCs w:val="26"/>
        </w:rPr>
      </w:pPr>
    </w:p>
    <w:p w:rsidR="00C757B4" w:rsidRDefault="005427BD" w:rsidP="005427BD">
      <w:pPr>
        <w:widowControl/>
        <w:numPr>
          <w:ilvl w:val="0"/>
          <w:numId w:val="9"/>
        </w:numPr>
        <w:ind w:left="1440"/>
        <w:rPr>
          <w:sz w:val="26"/>
          <w:szCs w:val="24"/>
        </w:rPr>
      </w:pPr>
      <w:r>
        <w:rPr>
          <w:sz w:val="26"/>
          <w:szCs w:val="24"/>
        </w:rPr>
        <w:t>D</w:t>
      </w:r>
      <w:r w:rsidR="00DC0D8D" w:rsidRPr="00252C91">
        <w:rPr>
          <w:sz w:val="26"/>
          <w:szCs w:val="24"/>
        </w:rPr>
        <w:t xml:space="preserve">elivery </w:t>
      </w:r>
      <w:r>
        <w:rPr>
          <w:sz w:val="26"/>
          <w:szCs w:val="24"/>
        </w:rPr>
        <w:t>C</w:t>
      </w:r>
      <w:r w:rsidR="00DC0D8D" w:rsidRPr="00252C91">
        <w:rPr>
          <w:sz w:val="26"/>
          <w:szCs w:val="24"/>
        </w:rPr>
        <w:t xml:space="preserve">harge (A) at 148 ccf x $0.60067 = </w:t>
      </w:r>
      <w:r w:rsidR="00DC0D8D" w:rsidRPr="00B63703">
        <w:rPr>
          <w:b/>
          <w:sz w:val="26"/>
          <w:szCs w:val="24"/>
        </w:rPr>
        <w:t>$88.90</w:t>
      </w:r>
      <w:r w:rsidR="00DC0D8D" w:rsidRPr="00252C91">
        <w:rPr>
          <w:sz w:val="26"/>
          <w:szCs w:val="24"/>
        </w:rPr>
        <w:t xml:space="preserve"> </w:t>
      </w:r>
    </w:p>
    <w:p w:rsidR="00C757B4" w:rsidRDefault="00C757B4" w:rsidP="005427BD">
      <w:pPr>
        <w:widowControl/>
        <w:ind w:left="1440"/>
        <w:rPr>
          <w:sz w:val="26"/>
          <w:szCs w:val="24"/>
        </w:rPr>
      </w:pPr>
    </w:p>
    <w:p w:rsidR="00B63703" w:rsidRDefault="005427BD" w:rsidP="005427BD">
      <w:pPr>
        <w:widowControl/>
        <w:ind w:left="1440"/>
        <w:rPr>
          <w:sz w:val="26"/>
          <w:szCs w:val="24"/>
        </w:rPr>
      </w:pPr>
      <w:r>
        <w:rPr>
          <w:sz w:val="26"/>
          <w:szCs w:val="24"/>
        </w:rPr>
        <w:tab/>
      </w:r>
      <w:r w:rsidR="00DC0D8D" w:rsidRPr="00252C91">
        <w:rPr>
          <w:sz w:val="26"/>
          <w:szCs w:val="24"/>
        </w:rPr>
        <w:t>plus (B), the following surcharges:</w:t>
      </w:r>
    </w:p>
    <w:p w:rsidR="00B63703" w:rsidRPr="00B63703" w:rsidRDefault="00B63703" w:rsidP="005427BD">
      <w:pPr>
        <w:widowControl/>
        <w:ind w:left="1440"/>
        <w:rPr>
          <w:sz w:val="26"/>
          <w:szCs w:val="24"/>
        </w:rPr>
      </w:pPr>
    </w:p>
    <w:p w:rsidR="005427BD" w:rsidRPr="005427BD" w:rsidRDefault="00DC0D8D" w:rsidP="005427BD">
      <w:pPr>
        <w:widowControl/>
        <w:numPr>
          <w:ilvl w:val="0"/>
          <w:numId w:val="9"/>
        </w:numPr>
        <w:ind w:left="1440"/>
        <w:rPr>
          <w:sz w:val="26"/>
          <w:szCs w:val="24"/>
        </w:rPr>
      </w:pPr>
      <w:r w:rsidRPr="00252C91">
        <w:rPr>
          <w:sz w:val="26"/>
          <w:szCs w:val="24"/>
        </w:rPr>
        <w:t xml:space="preserve">USEC at 148 ccf x $0.17028 = </w:t>
      </w:r>
      <w:r w:rsidRPr="00B63703">
        <w:rPr>
          <w:b/>
          <w:sz w:val="26"/>
          <w:szCs w:val="24"/>
        </w:rPr>
        <w:t>$25.20</w:t>
      </w:r>
    </w:p>
    <w:p w:rsidR="00DC0D8D" w:rsidRDefault="005427BD" w:rsidP="005427BD">
      <w:pPr>
        <w:widowControl/>
        <w:ind w:left="1440"/>
        <w:rPr>
          <w:sz w:val="26"/>
          <w:szCs w:val="24"/>
        </w:rPr>
      </w:pPr>
      <w:r>
        <w:rPr>
          <w:sz w:val="26"/>
          <w:szCs w:val="24"/>
        </w:rPr>
        <w:t>I.D. at 11</w:t>
      </w:r>
      <w:r w:rsidR="00300C05">
        <w:rPr>
          <w:sz w:val="26"/>
          <w:szCs w:val="24"/>
        </w:rPr>
        <w:t xml:space="preserve">, </w:t>
      </w:r>
      <w:r>
        <w:rPr>
          <w:sz w:val="26"/>
          <w:szCs w:val="24"/>
        </w:rPr>
        <w:t xml:space="preserve">citing </w:t>
      </w:r>
      <w:r w:rsidR="00DC0D8D" w:rsidRPr="00252C91">
        <w:rPr>
          <w:sz w:val="26"/>
          <w:szCs w:val="24"/>
        </w:rPr>
        <w:t>Tr. 86;</w:t>
      </w:r>
    </w:p>
    <w:p w:rsidR="005427BD" w:rsidRPr="00252C91" w:rsidRDefault="005427BD" w:rsidP="005427BD">
      <w:pPr>
        <w:widowControl/>
        <w:ind w:left="1440"/>
        <w:rPr>
          <w:sz w:val="26"/>
          <w:szCs w:val="24"/>
        </w:rPr>
      </w:pPr>
    </w:p>
    <w:p w:rsidR="005427BD" w:rsidRPr="005427BD" w:rsidRDefault="00DC0D8D" w:rsidP="005427BD">
      <w:pPr>
        <w:widowControl/>
        <w:numPr>
          <w:ilvl w:val="0"/>
          <w:numId w:val="9"/>
        </w:numPr>
        <w:ind w:left="1440"/>
        <w:rPr>
          <w:sz w:val="26"/>
          <w:szCs w:val="24"/>
        </w:rPr>
      </w:pPr>
      <w:r w:rsidRPr="00252C91">
        <w:rPr>
          <w:sz w:val="26"/>
          <w:szCs w:val="24"/>
        </w:rPr>
        <w:t xml:space="preserve">RCE at 148 ccf x $0.0 = </w:t>
      </w:r>
      <w:r w:rsidRPr="00B63703">
        <w:rPr>
          <w:b/>
          <w:sz w:val="26"/>
          <w:szCs w:val="24"/>
        </w:rPr>
        <w:t>$0.00</w:t>
      </w:r>
    </w:p>
    <w:p w:rsidR="00DC0D8D" w:rsidRDefault="005427BD" w:rsidP="005427BD">
      <w:pPr>
        <w:widowControl/>
        <w:ind w:left="1440"/>
        <w:rPr>
          <w:sz w:val="26"/>
          <w:szCs w:val="24"/>
        </w:rPr>
      </w:pPr>
      <w:r>
        <w:rPr>
          <w:sz w:val="26"/>
          <w:szCs w:val="24"/>
        </w:rPr>
        <w:t>I.D. at 11</w:t>
      </w:r>
      <w:r w:rsidR="00300C05">
        <w:rPr>
          <w:sz w:val="26"/>
          <w:szCs w:val="24"/>
        </w:rPr>
        <w:t xml:space="preserve">, </w:t>
      </w:r>
      <w:r>
        <w:rPr>
          <w:sz w:val="26"/>
          <w:szCs w:val="24"/>
        </w:rPr>
        <w:t xml:space="preserve">citing </w:t>
      </w:r>
      <w:r w:rsidR="00DC0D8D" w:rsidRPr="00252C91">
        <w:rPr>
          <w:sz w:val="26"/>
          <w:szCs w:val="24"/>
        </w:rPr>
        <w:t>Tr. 85-86</w:t>
      </w:r>
      <w:r>
        <w:rPr>
          <w:sz w:val="26"/>
          <w:szCs w:val="24"/>
        </w:rPr>
        <w:t>;</w:t>
      </w:r>
    </w:p>
    <w:p w:rsidR="005427BD" w:rsidRPr="00252C91" w:rsidRDefault="005427BD" w:rsidP="005427BD">
      <w:pPr>
        <w:widowControl/>
        <w:ind w:left="1440"/>
        <w:rPr>
          <w:sz w:val="26"/>
          <w:szCs w:val="24"/>
        </w:rPr>
      </w:pPr>
    </w:p>
    <w:p w:rsidR="005427BD" w:rsidRPr="005427BD" w:rsidRDefault="00DC0D8D" w:rsidP="005427BD">
      <w:pPr>
        <w:widowControl/>
        <w:numPr>
          <w:ilvl w:val="0"/>
          <w:numId w:val="9"/>
        </w:numPr>
        <w:ind w:left="1440"/>
        <w:rPr>
          <w:sz w:val="26"/>
          <w:szCs w:val="24"/>
        </w:rPr>
      </w:pPr>
      <w:r w:rsidRPr="00252C91">
        <w:rPr>
          <w:sz w:val="26"/>
          <w:szCs w:val="24"/>
        </w:rPr>
        <w:t xml:space="preserve">ECR at 148 ccf x $0.00804 = </w:t>
      </w:r>
      <w:r w:rsidRPr="00B63703">
        <w:rPr>
          <w:b/>
          <w:sz w:val="26"/>
          <w:szCs w:val="24"/>
        </w:rPr>
        <w:t>$1.19</w:t>
      </w:r>
    </w:p>
    <w:p w:rsidR="00DC0D8D" w:rsidRDefault="005427BD" w:rsidP="005427BD">
      <w:pPr>
        <w:widowControl/>
        <w:ind w:left="1440"/>
        <w:rPr>
          <w:sz w:val="26"/>
          <w:szCs w:val="24"/>
        </w:rPr>
      </w:pPr>
      <w:r>
        <w:rPr>
          <w:sz w:val="26"/>
          <w:szCs w:val="24"/>
        </w:rPr>
        <w:t>I.D. at 11</w:t>
      </w:r>
      <w:r w:rsidR="00300C05">
        <w:rPr>
          <w:sz w:val="26"/>
          <w:szCs w:val="24"/>
        </w:rPr>
        <w:t xml:space="preserve">, </w:t>
      </w:r>
      <w:r>
        <w:rPr>
          <w:sz w:val="26"/>
          <w:szCs w:val="24"/>
        </w:rPr>
        <w:t xml:space="preserve">citing </w:t>
      </w:r>
      <w:r w:rsidR="00DC0D8D" w:rsidRPr="00252C91">
        <w:rPr>
          <w:sz w:val="26"/>
          <w:szCs w:val="24"/>
        </w:rPr>
        <w:t>PGW Exhibit 5 Revised (Part 5 of 6)</w:t>
      </w:r>
      <w:r>
        <w:rPr>
          <w:sz w:val="26"/>
          <w:szCs w:val="24"/>
        </w:rPr>
        <w:t>;</w:t>
      </w:r>
    </w:p>
    <w:p w:rsidR="005427BD" w:rsidRPr="00252C91" w:rsidRDefault="005427BD" w:rsidP="005427BD">
      <w:pPr>
        <w:widowControl/>
        <w:ind w:left="1440"/>
        <w:rPr>
          <w:sz w:val="26"/>
          <w:szCs w:val="24"/>
        </w:rPr>
      </w:pPr>
    </w:p>
    <w:p w:rsidR="005427BD" w:rsidRPr="005427BD" w:rsidRDefault="00DC0D8D" w:rsidP="005427BD">
      <w:pPr>
        <w:widowControl/>
        <w:numPr>
          <w:ilvl w:val="0"/>
          <w:numId w:val="9"/>
        </w:numPr>
        <w:ind w:left="1440"/>
        <w:rPr>
          <w:sz w:val="26"/>
          <w:szCs w:val="24"/>
        </w:rPr>
      </w:pPr>
      <w:r w:rsidRPr="00252C91">
        <w:rPr>
          <w:sz w:val="26"/>
          <w:szCs w:val="24"/>
        </w:rPr>
        <w:t xml:space="preserve">OPEB at 148 ccf x $0.03482 = </w:t>
      </w:r>
      <w:r w:rsidRPr="00B63703">
        <w:rPr>
          <w:b/>
          <w:sz w:val="26"/>
          <w:szCs w:val="24"/>
        </w:rPr>
        <w:t>$5.15</w:t>
      </w:r>
    </w:p>
    <w:p w:rsidR="00DC0D8D" w:rsidRDefault="005427BD" w:rsidP="005427BD">
      <w:pPr>
        <w:widowControl/>
        <w:ind w:left="1440"/>
        <w:rPr>
          <w:sz w:val="26"/>
          <w:szCs w:val="24"/>
        </w:rPr>
      </w:pPr>
      <w:r>
        <w:rPr>
          <w:sz w:val="26"/>
          <w:szCs w:val="24"/>
        </w:rPr>
        <w:t>I.D. at 11</w:t>
      </w:r>
      <w:r w:rsidR="00300C05">
        <w:rPr>
          <w:sz w:val="26"/>
          <w:szCs w:val="24"/>
        </w:rPr>
        <w:t xml:space="preserve">, </w:t>
      </w:r>
      <w:r>
        <w:rPr>
          <w:sz w:val="26"/>
          <w:szCs w:val="24"/>
        </w:rPr>
        <w:t>citing</w:t>
      </w:r>
      <w:r w:rsidR="00DC0D8D" w:rsidRPr="00252C91">
        <w:rPr>
          <w:sz w:val="26"/>
          <w:szCs w:val="24"/>
        </w:rPr>
        <w:t xml:space="preserve"> PGW Exhibit 5 Revised (Part 2 of 6); and</w:t>
      </w:r>
    </w:p>
    <w:p w:rsidR="005427BD" w:rsidRPr="00252C91" w:rsidRDefault="005427BD" w:rsidP="005427BD">
      <w:pPr>
        <w:widowControl/>
        <w:ind w:left="1440"/>
        <w:rPr>
          <w:sz w:val="26"/>
          <w:szCs w:val="24"/>
        </w:rPr>
      </w:pPr>
    </w:p>
    <w:p w:rsidR="00DC0D8D" w:rsidRPr="00252C91" w:rsidRDefault="00DC0D8D" w:rsidP="005427BD">
      <w:pPr>
        <w:widowControl/>
        <w:numPr>
          <w:ilvl w:val="0"/>
          <w:numId w:val="9"/>
        </w:numPr>
        <w:ind w:left="1440"/>
        <w:rPr>
          <w:sz w:val="26"/>
          <w:szCs w:val="24"/>
        </w:rPr>
      </w:pPr>
      <w:r w:rsidRPr="00252C91">
        <w:rPr>
          <w:sz w:val="26"/>
          <w:szCs w:val="24"/>
        </w:rPr>
        <w:t>DSIC</w:t>
      </w:r>
      <w:r w:rsidR="005427BD">
        <w:rPr>
          <w:sz w:val="26"/>
          <w:szCs w:val="24"/>
        </w:rPr>
        <w:t xml:space="preserve"> a</w:t>
      </w:r>
      <w:r w:rsidRPr="00252C91">
        <w:rPr>
          <w:sz w:val="26"/>
          <w:szCs w:val="24"/>
        </w:rPr>
        <w:t xml:space="preserve">t ($120.44 x 0.0434) + ($12.00 x 0.0434) = $5.23 + 0.52 = </w:t>
      </w:r>
      <w:r w:rsidRPr="003631B6">
        <w:rPr>
          <w:b/>
          <w:sz w:val="26"/>
          <w:szCs w:val="24"/>
        </w:rPr>
        <w:t>$5.75</w:t>
      </w:r>
      <w:r w:rsidR="003631B6">
        <w:rPr>
          <w:sz w:val="26"/>
          <w:szCs w:val="24"/>
        </w:rPr>
        <w:t xml:space="preserve"> I.D. at 11</w:t>
      </w:r>
      <w:r w:rsidR="00300C05">
        <w:rPr>
          <w:sz w:val="26"/>
          <w:szCs w:val="24"/>
        </w:rPr>
        <w:t xml:space="preserve">, </w:t>
      </w:r>
      <w:r w:rsidR="003631B6">
        <w:rPr>
          <w:sz w:val="26"/>
          <w:szCs w:val="24"/>
        </w:rPr>
        <w:t xml:space="preserve">citing </w:t>
      </w:r>
      <w:r w:rsidRPr="00252C91">
        <w:rPr>
          <w:sz w:val="26"/>
          <w:szCs w:val="24"/>
        </w:rPr>
        <w:t>PGW Exhibit 5 Revised</w:t>
      </w:r>
      <w:r w:rsidR="00252C91" w:rsidRPr="00252C91">
        <w:rPr>
          <w:sz w:val="26"/>
          <w:szCs w:val="24"/>
        </w:rPr>
        <w:t xml:space="preserve"> (Part</w:t>
      </w:r>
      <w:r w:rsidR="005427BD">
        <w:rPr>
          <w:sz w:val="26"/>
          <w:szCs w:val="24"/>
        </w:rPr>
        <w:t> </w:t>
      </w:r>
      <w:r w:rsidR="00252C91" w:rsidRPr="00252C91">
        <w:rPr>
          <w:sz w:val="26"/>
          <w:szCs w:val="24"/>
        </w:rPr>
        <w:t>6 of 6).</w:t>
      </w:r>
    </w:p>
    <w:p w:rsidR="0066056E" w:rsidRDefault="0066056E" w:rsidP="00085E5A">
      <w:pPr>
        <w:pStyle w:val="ListParagraph"/>
        <w:widowControl/>
        <w:ind w:left="0"/>
        <w:rPr>
          <w:sz w:val="26"/>
          <w:szCs w:val="24"/>
        </w:rPr>
      </w:pPr>
    </w:p>
    <w:p w:rsidR="00790231" w:rsidRDefault="003631B6" w:rsidP="00790231">
      <w:pPr>
        <w:pStyle w:val="ListParagraph"/>
        <w:widowControl/>
        <w:ind w:left="1440" w:hanging="1440"/>
        <w:rPr>
          <w:sz w:val="26"/>
          <w:szCs w:val="24"/>
        </w:rPr>
      </w:pPr>
      <w:r>
        <w:rPr>
          <w:sz w:val="26"/>
          <w:szCs w:val="24"/>
        </w:rPr>
        <w:tab/>
        <w:t xml:space="preserve">Total </w:t>
      </w:r>
      <w:r w:rsidR="00790231">
        <w:rPr>
          <w:sz w:val="26"/>
          <w:szCs w:val="24"/>
        </w:rPr>
        <w:t>Distribution C</w:t>
      </w:r>
      <w:r>
        <w:rPr>
          <w:sz w:val="26"/>
          <w:szCs w:val="24"/>
        </w:rPr>
        <w:t xml:space="preserve">harge = </w:t>
      </w:r>
    </w:p>
    <w:p w:rsidR="00790231" w:rsidRPr="00790231" w:rsidRDefault="00790231" w:rsidP="00790231">
      <w:pPr>
        <w:pStyle w:val="ListParagraph"/>
        <w:widowControl/>
        <w:ind w:left="1440" w:hanging="1440"/>
        <w:rPr>
          <w:sz w:val="26"/>
          <w:szCs w:val="24"/>
        </w:rPr>
      </w:pPr>
      <w:r>
        <w:rPr>
          <w:sz w:val="26"/>
          <w:szCs w:val="24"/>
        </w:rPr>
        <w:tab/>
      </w:r>
      <w:r w:rsidR="003631B6">
        <w:rPr>
          <w:sz w:val="26"/>
          <w:szCs w:val="24"/>
        </w:rPr>
        <w:t>$88.90 + 25.20 + $0.00 + $1.19 + $5.15 + $5.75</w:t>
      </w:r>
      <w:r>
        <w:rPr>
          <w:sz w:val="26"/>
          <w:szCs w:val="24"/>
        </w:rPr>
        <w:t xml:space="preserve"> = </w:t>
      </w:r>
      <w:r w:rsidRPr="00790231">
        <w:rPr>
          <w:b/>
          <w:sz w:val="26"/>
          <w:szCs w:val="24"/>
        </w:rPr>
        <w:t>$126.19</w:t>
      </w:r>
    </w:p>
    <w:p w:rsidR="00644EFE" w:rsidRDefault="00790231" w:rsidP="00790231">
      <w:pPr>
        <w:widowControl/>
        <w:spacing w:line="360" w:lineRule="auto"/>
        <w:contextualSpacing/>
        <w:rPr>
          <w:sz w:val="26"/>
          <w:szCs w:val="26"/>
        </w:rPr>
      </w:pPr>
      <w:r>
        <w:rPr>
          <w:sz w:val="26"/>
          <w:szCs w:val="26"/>
        </w:rPr>
        <w:lastRenderedPageBreak/>
        <w:t xml:space="preserve">The </w:t>
      </w:r>
      <w:r w:rsidR="0066056E" w:rsidRPr="0066056E">
        <w:rPr>
          <w:sz w:val="26"/>
          <w:szCs w:val="26"/>
        </w:rPr>
        <w:t xml:space="preserve">ALJ further </w:t>
      </w:r>
      <w:r>
        <w:rPr>
          <w:sz w:val="26"/>
          <w:szCs w:val="26"/>
        </w:rPr>
        <w:t xml:space="preserve">found </w:t>
      </w:r>
      <w:r w:rsidR="0066056E" w:rsidRPr="0066056E">
        <w:rPr>
          <w:sz w:val="26"/>
          <w:szCs w:val="26"/>
        </w:rPr>
        <w:t xml:space="preserve">that </w:t>
      </w:r>
      <w:r w:rsidR="00B9480B">
        <w:rPr>
          <w:sz w:val="26"/>
          <w:szCs w:val="26"/>
        </w:rPr>
        <w:t xml:space="preserve">the </w:t>
      </w:r>
      <w:r w:rsidR="00621242">
        <w:rPr>
          <w:sz w:val="26"/>
          <w:szCs w:val="26"/>
        </w:rPr>
        <w:t xml:space="preserve">amount of the </w:t>
      </w:r>
      <w:r w:rsidR="00B9480B">
        <w:rPr>
          <w:sz w:val="26"/>
          <w:szCs w:val="26"/>
        </w:rPr>
        <w:t xml:space="preserve">Distribution Charge </w:t>
      </w:r>
      <w:r w:rsidR="0066056E" w:rsidRPr="00644EFE">
        <w:rPr>
          <w:b/>
          <w:i/>
          <w:sz w:val="26"/>
          <w:szCs w:val="26"/>
        </w:rPr>
        <w:t>without the DSIC</w:t>
      </w:r>
      <w:r w:rsidR="0066056E" w:rsidRPr="0066056E">
        <w:rPr>
          <w:sz w:val="26"/>
          <w:szCs w:val="26"/>
        </w:rPr>
        <w:t xml:space="preserve"> </w:t>
      </w:r>
      <w:r w:rsidR="006D1322">
        <w:rPr>
          <w:sz w:val="26"/>
          <w:szCs w:val="26"/>
        </w:rPr>
        <w:t>w</w:t>
      </w:r>
      <w:r w:rsidR="00B9480B">
        <w:rPr>
          <w:sz w:val="26"/>
          <w:szCs w:val="26"/>
        </w:rPr>
        <w:t>ould be</w:t>
      </w:r>
      <w:r w:rsidR="0066056E" w:rsidRPr="0066056E">
        <w:rPr>
          <w:sz w:val="26"/>
          <w:szCs w:val="26"/>
        </w:rPr>
        <w:t xml:space="preserve"> </w:t>
      </w:r>
      <w:r w:rsidRPr="00644EFE">
        <w:rPr>
          <w:b/>
          <w:sz w:val="26"/>
          <w:szCs w:val="26"/>
        </w:rPr>
        <w:t>$120.44</w:t>
      </w:r>
      <w:r w:rsidR="00B9480B">
        <w:rPr>
          <w:sz w:val="26"/>
          <w:szCs w:val="26"/>
        </w:rPr>
        <w:t>, and</w:t>
      </w:r>
      <w:r w:rsidR="008A5EB4">
        <w:rPr>
          <w:sz w:val="26"/>
          <w:szCs w:val="26"/>
        </w:rPr>
        <w:t>, as noted,</w:t>
      </w:r>
      <w:r w:rsidR="00B9480B">
        <w:rPr>
          <w:sz w:val="26"/>
          <w:szCs w:val="26"/>
        </w:rPr>
        <w:t xml:space="preserve"> that this is the </w:t>
      </w:r>
      <w:r w:rsidR="008A5EB4">
        <w:rPr>
          <w:sz w:val="26"/>
          <w:szCs w:val="26"/>
        </w:rPr>
        <w:t xml:space="preserve">amount of the </w:t>
      </w:r>
      <w:r w:rsidR="00B9480B">
        <w:rPr>
          <w:sz w:val="26"/>
          <w:szCs w:val="26"/>
        </w:rPr>
        <w:t xml:space="preserve">Distribution Charge that was included on the Complainant’s </w:t>
      </w:r>
      <w:r w:rsidR="00B9480B" w:rsidRPr="00094AD6">
        <w:rPr>
          <w:sz w:val="26"/>
          <w:szCs w:val="26"/>
        </w:rPr>
        <w:t>February</w:t>
      </w:r>
      <w:r w:rsidR="00B9480B">
        <w:rPr>
          <w:sz w:val="26"/>
          <w:szCs w:val="26"/>
        </w:rPr>
        <w:t> </w:t>
      </w:r>
      <w:r w:rsidR="00B9480B" w:rsidRPr="00094AD6">
        <w:rPr>
          <w:sz w:val="26"/>
          <w:szCs w:val="26"/>
        </w:rPr>
        <w:t>19, 2014 bill</w:t>
      </w:r>
      <w:r w:rsidR="00B9480B">
        <w:rPr>
          <w:sz w:val="26"/>
          <w:szCs w:val="26"/>
        </w:rPr>
        <w:t>.</w:t>
      </w:r>
      <w:r w:rsidR="0066056E" w:rsidRPr="00094AD6">
        <w:rPr>
          <w:sz w:val="26"/>
          <w:szCs w:val="26"/>
        </w:rPr>
        <w:t xml:space="preserve">  I.D. at 11.  </w:t>
      </w:r>
      <w:r w:rsidR="00B9480B">
        <w:rPr>
          <w:sz w:val="26"/>
          <w:szCs w:val="26"/>
        </w:rPr>
        <w:t xml:space="preserve">As such, the ALJ concluded that the </w:t>
      </w:r>
      <w:r w:rsidR="002D71B4" w:rsidRPr="00094AD6">
        <w:rPr>
          <w:sz w:val="26"/>
          <w:szCs w:val="26"/>
        </w:rPr>
        <w:t xml:space="preserve">$120.44 </w:t>
      </w:r>
      <w:r w:rsidR="006729EA">
        <w:rPr>
          <w:sz w:val="26"/>
          <w:szCs w:val="26"/>
        </w:rPr>
        <w:t xml:space="preserve">Distribution Charge </w:t>
      </w:r>
      <w:r w:rsidR="000E7C8C">
        <w:rPr>
          <w:sz w:val="26"/>
          <w:szCs w:val="26"/>
        </w:rPr>
        <w:t xml:space="preserve">reflected on the </w:t>
      </w:r>
      <w:r w:rsidR="000E7C8C" w:rsidRPr="00094AD6">
        <w:rPr>
          <w:sz w:val="26"/>
          <w:szCs w:val="26"/>
        </w:rPr>
        <w:t xml:space="preserve">February 19, 2014 bill </w:t>
      </w:r>
      <w:r w:rsidR="002D71B4" w:rsidRPr="00094AD6">
        <w:rPr>
          <w:sz w:val="26"/>
          <w:szCs w:val="26"/>
        </w:rPr>
        <w:t>does not include the DSIC as part of</w:t>
      </w:r>
      <w:r w:rsidR="000E7C8C">
        <w:rPr>
          <w:sz w:val="26"/>
          <w:szCs w:val="26"/>
        </w:rPr>
        <w:t xml:space="preserve"> the </w:t>
      </w:r>
      <w:r w:rsidR="006729EA">
        <w:rPr>
          <w:sz w:val="26"/>
          <w:szCs w:val="26"/>
        </w:rPr>
        <w:t>Distribution C</w:t>
      </w:r>
      <w:r w:rsidR="000E7C8C">
        <w:rPr>
          <w:sz w:val="26"/>
          <w:szCs w:val="26"/>
        </w:rPr>
        <w:t>harge</w:t>
      </w:r>
      <w:r w:rsidR="008A5EB4">
        <w:rPr>
          <w:sz w:val="26"/>
          <w:szCs w:val="26"/>
        </w:rPr>
        <w:t xml:space="preserve">; rather, </w:t>
      </w:r>
      <w:r w:rsidR="002D71B4" w:rsidRPr="00094AD6">
        <w:rPr>
          <w:sz w:val="26"/>
          <w:szCs w:val="26"/>
        </w:rPr>
        <w:t xml:space="preserve">the DSIC is billed </w:t>
      </w:r>
      <w:r w:rsidR="00644EFE">
        <w:rPr>
          <w:sz w:val="26"/>
          <w:szCs w:val="26"/>
        </w:rPr>
        <w:t xml:space="preserve">as a separate line item </w:t>
      </w:r>
      <w:r w:rsidR="006729EA">
        <w:rPr>
          <w:sz w:val="26"/>
          <w:szCs w:val="26"/>
        </w:rPr>
        <w:t xml:space="preserve">in the amount of </w:t>
      </w:r>
      <w:r w:rsidR="006729EA" w:rsidRPr="00094AD6">
        <w:rPr>
          <w:sz w:val="26"/>
          <w:szCs w:val="26"/>
        </w:rPr>
        <w:t>$5.75</w:t>
      </w:r>
      <w:r w:rsidR="006729EA">
        <w:rPr>
          <w:sz w:val="26"/>
          <w:szCs w:val="26"/>
        </w:rPr>
        <w:t xml:space="preserve"> </w:t>
      </w:r>
      <w:r w:rsidR="00644EFE">
        <w:rPr>
          <w:sz w:val="26"/>
          <w:szCs w:val="26"/>
        </w:rPr>
        <w:t>on the bill</w:t>
      </w:r>
      <w:r w:rsidR="002D71B4" w:rsidRPr="00094AD6">
        <w:rPr>
          <w:sz w:val="26"/>
          <w:szCs w:val="26"/>
        </w:rPr>
        <w:t>.</w:t>
      </w:r>
      <w:r w:rsidR="00644EFE">
        <w:rPr>
          <w:sz w:val="26"/>
          <w:szCs w:val="26"/>
        </w:rPr>
        <w:t xml:space="preserve">  The ALJ pointed out that the Complainant’s </w:t>
      </w:r>
      <w:r w:rsidR="006729EA">
        <w:rPr>
          <w:sz w:val="26"/>
          <w:szCs w:val="26"/>
        </w:rPr>
        <w:t xml:space="preserve">primary dispute about her bill </w:t>
      </w:r>
      <w:r w:rsidR="00644EFE">
        <w:rPr>
          <w:sz w:val="26"/>
          <w:szCs w:val="26"/>
        </w:rPr>
        <w:t>centered on the Distribution Charge but not the DSIC.</w:t>
      </w:r>
      <w:r w:rsidR="006729EA">
        <w:rPr>
          <w:sz w:val="26"/>
          <w:szCs w:val="26"/>
        </w:rPr>
        <w:t xml:space="preserve">  </w:t>
      </w:r>
      <w:r w:rsidR="006729EA" w:rsidRPr="006729EA">
        <w:rPr>
          <w:i/>
          <w:sz w:val="26"/>
          <w:szCs w:val="26"/>
        </w:rPr>
        <w:t>Id.</w:t>
      </w:r>
    </w:p>
    <w:p w:rsidR="006D7E38" w:rsidRDefault="006D7E38" w:rsidP="00790231">
      <w:pPr>
        <w:widowControl/>
        <w:spacing w:line="360" w:lineRule="auto"/>
        <w:contextualSpacing/>
        <w:rPr>
          <w:sz w:val="26"/>
          <w:szCs w:val="26"/>
        </w:rPr>
      </w:pPr>
    </w:p>
    <w:p w:rsidR="00B81C04" w:rsidRDefault="00125056" w:rsidP="00085E5A">
      <w:pPr>
        <w:widowControl/>
        <w:spacing w:line="360" w:lineRule="auto"/>
        <w:ind w:firstLine="1440"/>
        <w:contextualSpacing/>
        <w:rPr>
          <w:sz w:val="26"/>
          <w:szCs w:val="26"/>
        </w:rPr>
      </w:pPr>
      <w:r w:rsidRPr="00193E64">
        <w:rPr>
          <w:sz w:val="26"/>
          <w:szCs w:val="26"/>
        </w:rPr>
        <w:t>Hence</w:t>
      </w:r>
      <w:r w:rsidR="006D1322" w:rsidRPr="00193E64">
        <w:rPr>
          <w:sz w:val="26"/>
          <w:szCs w:val="26"/>
        </w:rPr>
        <w:t xml:space="preserve">, the ALJ </w:t>
      </w:r>
      <w:r w:rsidR="00621242">
        <w:rPr>
          <w:sz w:val="26"/>
          <w:szCs w:val="26"/>
        </w:rPr>
        <w:t xml:space="preserve">determined </w:t>
      </w:r>
      <w:r w:rsidR="006D1322" w:rsidRPr="00193E64">
        <w:rPr>
          <w:sz w:val="26"/>
          <w:szCs w:val="26"/>
        </w:rPr>
        <w:t xml:space="preserve">that </w:t>
      </w:r>
      <w:r w:rsidR="001F0E63">
        <w:rPr>
          <w:sz w:val="26"/>
          <w:szCs w:val="26"/>
        </w:rPr>
        <w:t>although</w:t>
      </w:r>
      <w:r w:rsidR="006D1322" w:rsidRPr="00193E64">
        <w:rPr>
          <w:sz w:val="26"/>
          <w:szCs w:val="26"/>
        </w:rPr>
        <w:t xml:space="preserve"> the Complainant </w:t>
      </w:r>
      <w:r w:rsidR="00A4509C">
        <w:rPr>
          <w:sz w:val="26"/>
          <w:szCs w:val="26"/>
        </w:rPr>
        <w:t>was</w:t>
      </w:r>
      <w:r w:rsidR="00A4509C" w:rsidRPr="00193E64">
        <w:rPr>
          <w:sz w:val="26"/>
          <w:szCs w:val="26"/>
        </w:rPr>
        <w:t xml:space="preserve"> </w:t>
      </w:r>
      <w:r w:rsidR="006D1322" w:rsidRPr="00193E64">
        <w:rPr>
          <w:sz w:val="26"/>
          <w:szCs w:val="26"/>
        </w:rPr>
        <w:t>correct in her a</w:t>
      </w:r>
      <w:r w:rsidRPr="00193E64">
        <w:rPr>
          <w:sz w:val="26"/>
          <w:szCs w:val="26"/>
        </w:rPr>
        <w:t>ssertion</w:t>
      </w:r>
      <w:r w:rsidR="006D1322" w:rsidRPr="00193E64">
        <w:rPr>
          <w:sz w:val="26"/>
          <w:szCs w:val="26"/>
        </w:rPr>
        <w:t xml:space="preserve"> that the </w:t>
      </w:r>
      <w:r w:rsidR="00C56035">
        <w:rPr>
          <w:sz w:val="26"/>
          <w:szCs w:val="26"/>
        </w:rPr>
        <w:t>Distribution Charge</w:t>
      </w:r>
      <w:r w:rsidR="006D1322" w:rsidRPr="00193E64">
        <w:rPr>
          <w:sz w:val="26"/>
          <w:szCs w:val="26"/>
        </w:rPr>
        <w:t xml:space="preserve"> </w:t>
      </w:r>
      <w:r w:rsidR="00620380">
        <w:rPr>
          <w:sz w:val="26"/>
          <w:szCs w:val="26"/>
        </w:rPr>
        <w:t>o</w:t>
      </w:r>
      <w:r w:rsidR="00997FFB">
        <w:rPr>
          <w:sz w:val="26"/>
          <w:szCs w:val="26"/>
        </w:rPr>
        <w:t xml:space="preserve">n </w:t>
      </w:r>
      <w:r w:rsidR="00C56035">
        <w:rPr>
          <w:sz w:val="26"/>
          <w:szCs w:val="26"/>
        </w:rPr>
        <w:t xml:space="preserve">the </w:t>
      </w:r>
      <w:r w:rsidR="00997FFB">
        <w:rPr>
          <w:sz w:val="26"/>
          <w:szCs w:val="26"/>
        </w:rPr>
        <w:t xml:space="preserve">February 19, 2014 bill </w:t>
      </w:r>
      <w:r w:rsidR="006D1322" w:rsidRPr="00193E64">
        <w:rPr>
          <w:sz w:val="26"/>
          <w:szCs w:val="26"/>
        </w:rPr>
        <w:t xml:space="preserve">is not consistent with </w:t>
      </w:r>
      <w:r w:rsidRPr="00193E64">
        <w:rPr>
          <w:sz w:val="26"/>
          <w:szCs w:val="26"/>
        </w:rPr>
        <w:t>PGW’s</w:t>
      </w:r>
      <w:r w:rsidR="006D1322" w:rsidRPr="00193E64">
        <w:rPr>
          <w:sz w:val="26"/>
          <w:szCs w:val="26"/>
        </w:rPr>
        <w:t xml:space="preserve"> tariff, </w:t>
      </w:r>
      <w:r w:rsidR="00621242">
        <w:rPr>
          <w:sz w:val="26"/>
          <w:szCs w:val="26"/>
        </w:rPr>
        <w:t xml:space="preserve">the Complainant’s </w:t>
      </w:r>
      <w:r w:rsidRPr="00193E64">
        <w:rPr>
          <w:sz w:val="26"/>
          <w:szCs w:val="26"/>
        </w:rPr>
        <w:t xml:space="preserve">averment </w:t>
      </w:r>
      <w:r w:rsidR="006D1322" w:rsidRPr="00193E64">
        <w:rPr>
          <w:sz w:val="26"/>
          <w:szCs w:val="26"/>
        </w:rPr>
        <w:t xml:space="preserve">that PGW overcharged her for the </w:t>
      </w:r>
      <w:r w:rsidR="00C56035">
        <w:rPr>
          <w:sz w:val="26"/>
          <w:szCs w:val="26"/>
        </w:rPr>
        <w:t>D</w:t>
      </w:r>
      <w:r w:rsidR="006D1322" w:rsidRPr="00193E64">
        <w:rPr>
          <w:sz w:val="26"/>
          <w:szCs w:val="26"/>
        </w:rPr>
        <w:t xml:space="preserve">istribution </w:t>
      </w:r>
      <w:r w:rsidR="00C56035">
        <w:rPr>
          <w:sz w:val="26"/>
          <w:szCs w:val="26"/>
        </w:rPr>
        <w:t>C</w:t>
      </w:r>
      <w:r w:rsidR="006D1322" w:rsidRPr="00193E64">
        <w:rPr>
          <w:sz w:val="26"/>
          <w:szCs w:val="26"/>
        </w:rPr>
        <w:t>harge</w:t>
      </w:r>
      <w:r w:rsidR="00621242">
        <w:rPr>
          <w:sz w:val="26"/>
          <w:szCs w:val="26"/>
        </w:rPr>
        <w:t xml:space="preserve"> was</w:t>
      </w:r>
      <w:r w:rsidR="00621242" w:rsidRPr="00193E64">
        <w:rPr>
          <w:sz w:val="26"/>
          <w:szCs w:val="26"/>
        </w:rPr>
        <w:t xml:space="preserve"> incorrect</w:t>
      </w:r>
      <w:r w:rsidR="006D1322" w:rsidRPr="00193E64">
        <w:rPr>
          <w:sz w:val="26"/>
          <w:szCs w:val="26"/>
        </w:rPr>
        <w:t xml:space="preserve">.  </w:t>
      </w:r>
      <w:r w:rsidR="00A4509C">
        <w:rPr>
          <w:sz w:val="26"/>
          <w:szCs w:val="26"/>
        </w:rPr>
        <w:t>The ALJ pointed out that</w:t>
      </w:r>
      <w:r w:rsidRPr="00193E64">
        <w:rPr>
          <w:sz w:val="26"/>
          <w:szCs w:val="26"/>
        </w:rPr>
        <w:t xml:space="preserve"> </w:t>
      </w:r>
      <w:r w:rsidR="000E7C8C">
        <w:rPr>
          <w:sz w:val="26"/>
          <w:szCs w:val="26"/>
        </w:rPr>
        <w:t xml:space="preserve">the </w:t>
      </w:r>
      <w:r w:rsidR="00C56035">
        <w:rPr>
          <w:sz w:val="26"/>
          <w:szCs w:val="26"/>
        </w:rPr>
        <w:t>Distribution Charge</w:t>
      </w:r>
      <w:r w:rsidR="000E7C8C">
        <w:rPr>
          <w:sz w:val="26"/>
          <w:szCs w:val="26"/>
        </w:rPr>
        <w:t xml:space="preserve"> </w:t>
      </w:r>
      <w:r w:rsidR="004D09BB">
        <w:rPr>
          <w:sz w:val="26"/>
          <w:szCs w:val="26"/>
        </w:rPr>
        <w:t xml:space="preserve">of </w:t>
      </w:r>
      <w:r w:rsidR="00621242">
        <w:rPr>
          <w:sz w:val="26"/>
          <w:szCs w:val="26"/>
        </w:rPr>
        <w:t xml:space="preserve">$120.44 </w:t>
      </w:r>
      <w:r w:rsidR="000E7C8C">
        <w:rPr>
          <w:sz w:val="26"/>
          <w:szCs w:val="26"/>
        </w:rPr>
        <w:t xml:space="preserve">on the February 19, 2014 bill </w:t>
      </w:r>
      <w:r w:rsidR="008A5EB4">
        <w:rPr>
          <w:sz w:val="26"/>
          <w:szCs w:val="26"/>
        </w:rPr>
        <w:t xml:space="preserve">actually </w:t>
      </w:r>
      <w:r w:rsidR="000E7C8C">
        <w:rPr>
          <w:sz w:val="26"/>
          <w:szCs w:val="26"/>
        </w:rPr>
        <w:t xml:space="preserve">was less than </w:t>
      </w:r>
      <w:r w:rsidR="00621242">
        <w:rPr>
          <w:sz w:val="26"/>
          <w:szCs w:val="26"/>
        </w:rPr>
        <w:t>the $126.19 amount tha</w:t>
      </w:r>
      <w:r w:rsidR="004D09BB">
        <w:rPr>
          <w:sz w:val="26"/>
          <w:szCs w:val="26"/>
        </w:rPr>
        <w:t>t</w:t>
      </w:r>
      <w:r w:rsidR="00621242">
        <w:rPr>
          <w:sz w:val="26"/>
          <w:szCs w:val="26"/>
        </w:rPr>
        <w:t xml:space="preserve"> </w:t>
      </w:r>
      <w:r w:rsidR="000E7C8C">
        <w:rPr>
          <w:sz w:val="26"/>
          <w:szCs w:val="26"/>
        </w:rPr>
        <w:t>it would have been if PGW’s calculation w</w:t>
      </w:r>
      <w:r w:rsidR="00621242">
        <w:rPr>
          <w:sz w:val="26"/>
          <w:szCs w:val="26"/>
        </w:rPr>
        <w:t>as</w:t>
      </w:r>
      <w:r w:rsidR="000E7C8C">
        <w:rPr>
          <w:sz w:val="26"/>
          <w:szCs w:val="26"/>
        </w:rPr>
        <w:t xml:space="preserve"> consistent with </w:t>
      </w:r>
      <w:r w:rsidR="000E7C8C" w:rsidRPr="00193E64">
        <w:rPr>
          <w:sz w:val="26"/>
          <w:szCs w:val="26"/>
        </w:rPr>
        <w:t>its</w:t>
      </w:r>
      <w:r w:rsidRPr="00193E64">
        <w:rPr>
          <w:sz w:val="26"/>
          <w:szCs w:val="26"/>
        </w:rPr>
        <w:t xml:space="preserve"> </w:t>
      </w:r>
      <w:r w:rsidR="000E7C8C">
        <w:rPr>
          <w:sz w:val="26"/>
          <w:szCs w:val="26"/>
        </w:rPr>
        <w:t xml:space="preserve">Commission-approved </w:t>
      </w:r>
      <w:r w:rsidRPr="00193E64">
        <w:rPr>
          <w:sz w:val="26"/>
          <w:szCs w:val="26"/>
        </w:rPr>
        <w:t>tariff.</w:t>
      </w:r>
      <w:r w:rsidR="00193E64" w:rsidRPr="00193E64">
        <w:rPr>
          <w:sz w:val="26"/>
          <w:szCs w:val="26"/>
        </w:rPr>
        <w:t xml:space="preserve">  </w:t>
      </w:r>
      <w:r w:rsidR="004D09BB" w:rsidRPr="006E0F13">
        <w:rPr>
          <w:sz w:val="26"/>
          <w:szCs w:val="26"/>
        </w:rPr>
        <w:t xml:space="preserve">According to the ALJ, the </w:t>
      </w:r>
      <w:r w:rsidR="004D09BB">
        <w:rPr>
          <w:sz w:val="26"/>
          <w:szCs w:val="26"/>
        </w:rPr>
        <w:t xml:space="preserve">presentation of the </w:t>
      </w:r>
      <w:r w:rsidR="004D09BB" w:rsidRPr="006E0F13">
        <w:rPr>
          <w:sz w:val="26"/>
          <w:szCs w:val="26"/>
        </w:rPr>
        <w:t xml:space="preserve">total amount for the </w:t>
      </w:r>
      <w:r w:rsidR="00C56035">
        <w:rPr>
          <w:sz w:val="26"/>
          <w:szCs w:val="26"/>
        </w:rPr>
        <w:t>Distribution Charge</w:t>
      </w:r>
      <w:r w:rsidR="004D09BB" w:rsidRPr="006E0F13">
        <w:rPr>
          <w:sz w:val="26"/>
          <w:szCs w:val="26"/>
        </w:rPr>
        <w:t xml:space="preserve"> on the Feb</w:t>
      </w:r>
      <w:r w:rsidR="006D7E38">
        <w:rPr>
          <w:sz w:val="26"/>
          <w:szCs w:val="26"/>
        </w:rPr>
        <w:t xml:space="preserve">ruary 19, 2014 bill should have </w:t>
      </w:r>
      <w:r w:rsidR="004D09BB" w:rsidRPr="006E0F13">
        <w:rPr>
          <w:sz w:val="26"/>
          <w:szCs w:val="26"/>
        </w:rPr>
        <w:t xml:space="preserve">included the </w:t>
      </w:r>
      <w:r w:rsidR="00C56035">
        <w:rPr>
          <w:sz w:val="26"/>
          <w:szCs w:val="26"/>
        </w:rPr>
        <w:t>Distribution Charge</w:t>
      </w:r>
      <w:r w:rsidR="004D09BB" w:rsidRPr="006E0F13">
        <w:rPr>
          <w:sz w:val="26"/>
          <w:szCs w:val="26"/>
        </w:rPr>
        <w:t xml:space="preserve"> </w:t>
      </w:r>
      <w:r w:rsidR="006D7E38">
        <w:rPr>
          <w:sz w:val="26"/>
          <w:szCs w:val="26"/>
        </w:rPr>
        <w:t>($12</w:t>
      </w:r>
      <w:r w:rsidR="009D1CD7">
        <w:rPr>
          <w:sz w:val="26"/>
          <w:szCs w:val="26"/>
        </w:rPr>
        <w:t>0</w:t>
      </w:r>
      <w:r w:rsidR="006D7E38">
        <w:rPr>
          <w:sz w:val="26"/>
          <w:szCs w:val="26"/>
        </w:rPr>
        <w:t>.</w:t>
      </w:r>
      <w:r w:rsidR="009D1CD7">
        <w:rPr>
          <w:sz w:val="26"/>
          <w:szCs w:val="26"/>
        </w:rPr>
        <w:t>44</w:t>
      </w:r>
      <w:r w:rsidR="006D7E38">
        <w:rPr>
          <w:sz w:val="26"/>
          <w:szCs w:val="26"/>
        </w:rPr>
        <w:t xml:space="preserve">) </w:t>
      </w:r>
      <w:r w:rsidR="004D09BB" w:rsidRPr="006E0F13">
        <w:rPr>
          <w:sz w:val="26"/>
          <w:szCs w:val="26"/>
        </w:rPr>
        <w:t>and the DSIC ($5.75</w:t>
      </w:r>
      <w:r w:rsidR="006D7E38">
        <w:rPr>
          <w:sz w:val="26"/>
          <w:szCs w:val="26"/>
        </w:rPr>
        <w:t xml:space="preserve">) for a total of </w:t>
      </w:r>
      <w:r w:rsidR="004D09BB" w:rsidRPr="006E0F13">
        <w:rPr>
          <w:sz w:val="26"/>
          <w:szCs w:val="26"/>
        </w:rPr>
        <w:t>$126.19</w:t>
      </w:r>
      <w:r w:rsidR="006D7E38">
        <w:rPr>
          <w:sz w:val="26"/>
          <w:szCs w:val="26"/>
        </w:rPr>
        <w:t>,</w:t>
      </w:r>
      <w:r w:rsidR="004D09BB" w:rsidRPr="006E0F13">
        <w:rPr>
          <w:sz w:val="26"/>
          <w:szCs w:val="26"/>
        </w:rPr>
        <w:t xml:space="preserve"> instead of $120.44 </w:t>
      </w:r>
      <w:r w:rsidR="004D09BB">
        <w:rPr>
          <w:sz w:val="26"/>
          <w:szCs w:val="26"/>
        </w:rPr>
        <w:t xml:space="preserve">for the </w:t>
      </w:r>
      <w:r w:rsidR="00C56035">
        <w:rPr>
          <w:sz w:val="26"/>
          <w:szCs w:val="26"/>
        </w:rPr>
        <w:t>Distribution Charge</w:t>
      </w:r>
      <w:r w:rsidR="004D09BB" w:rsidRPr="006E0F13">
        <w:rPr>
          <w:sz w:val="26"/>
          <w:szCs w:val="26"/>
        </w:rPr>
        <w:t xml:space="preserve"> </w:t>
      </w:r>
      <w:r w:rsidR="006D7E38">
        <w:rPr>
          <w:sz w:val="26"/>
          <w:szCs w:val="26"/>
        </w:rPr>
        <w:t xml:space="preserve">that is </w:t>
      </w:r>
      <w:r w:rsidR="004D09BB">
        <w:rPr>
          <w:sz w:val="26"/>
          <w:szCs w:val="26"/>
        </w:rPr>
        <w:t xml:space="preserve">reflected </w:t>
      </w:r>
      <w:r w:rsidR="004D09BB" w:rsidRPr="006E0F13">
        <w:rPr>
          <w:sz w:val="26"/>
          <w:szCs w:val="26"/>
        </w:rPr>
        <w:t>on the February 19, 2014 bill</w:t>
      </w:r>
      <w:r w:rsidR="004D09BB">
        <w:rPr>
          <w:sz w:val="26"/>
          <w:szCs w:val="26"/>
        </w:rPr>
        <w:t xml:space="preserve">.  </w:t>
      </w:r>
      <w:r w:rsidR="004D09BB" w:rsidRPr="004D09BB">
        <w:rPr>
          <w:i/>
          <w:sz w:val="26"/>
          <w:szCs w:val="26"/>
        </w:rPr>
        <w:t>Id.</w:t>
      </w:r>
      <w:r w:rsidR="004D09BB">
        <w:rPr>
          <w:sz w:val="26"/>
          <w:szCs w:val="26"/>
        </w:rPr>
        <w:t xml:space="preserve">  </w:t>
      </w:r>
      <w:r w:rsidR="00193E64" w:rsidRPr="00193E64">
        <w:rPr>
          <w:sz w:val="26"/>
          <w:szCs w:val="26"/>
        </w:rPr>
        <w:t xml:space="preserve">The ALJ </w:t>
      </w:r>
      <w:r w:rsidR="00A4509C">
        <w:rPr>
          <w:sz w:val="26"/>
          <w:szCs w:val="26"/>
        </w:rPr>
        <w:t>found that although</w:t>
      </w:r>
      <w:r w:rsidR="00193E64" w:rsidRPr="00193E64">
        <w:rPr>
          <w:sz w:val="26"/>
          <w:szCs w:val="26"/>
        </w:rPr>
        <w:t xml:space="preserve"> PGW’s tariff </w:t>
      </w:r>
      <w:r w:rsidR="00D95A9A">
        <w:rPr>
          <w:sz w:val="26"/>
          <w:szCs w:val="26"/>
        </w:rPr>
        <w:t>permits</w:t>
      </w:r>
      <w:r w:rsidR="00193E64" w:rsidRPr="00193E64">
        <w:rPr>
          <w:sz w:val="26"/>
          <w:szCs w:val="26"/>
        </w:rPr>
        <w:t xml:space="preserve"> the </w:t>
      </w:r>
      <w:r w:rsidR="001F0E63">
        <w:rPr>
          <w:sz w:val="26"/>
          <w:szCs w:val="26"/>
        </w:rPr>
        <w:t xml:space="preserve">inclusion of the DSIC surcharge in the </w:t>
      </w:r>
      <w:r w:rsidR="00193E64" w:rsidRPr="00193E64">
        <w:rPr>
          <w:sz w:val="26"/>
          <w:szCs w:val="26"/>
        </w:rPr>
        <w:t>calc</w:t>
      </w:r>
      <w:r w:rsidR="00B46B0C">
        <w:rPr>
          <w:sz w:val="26"/>
          <w:szCs w:val="26"/>
        </w:rPr>
        <w:t>ulation of</w:t>
      </w:r>
      <w:r w:rsidR="00193E64" w:rsidRPr="00193E64">
        <w:rPr>
          <w:sz w:val="26"/>
          <w:szCs w:val="26"/>
        </w:rPr>
        <w:t xml:space="preserve"> the </w:t>
      </w:r>
      <w:r w:rsidR="00621242">
        <w:rPr>
          <w:sz w:val="26"/>
          <w:szCs w:val="26"/>
        </w:rPr>
        <w:t>D</w:t>
      </w:r>
      <w:r w:rsidR="00193E64" w:rsidRPr="00193E64">
        <w:rPr>
          <w:sz w:val="26"/>
          <w:szCs w:val="26"/>
        </w:rPr>
        <w:t xml:space="preserve">istribution </w:t>
      </w:r>
      <w:r w:rsidR="00621242">
        <w:rPr>
          <w:sz w:val="26"/>
          <w:szCs w:val="26"/>
        </w:rPr>
        <w:t>C</w:t>
      </w:r>
      <w:r w:rsidR="00193E64" w:rsidRPr="00193E64">
        <w:rPr>
          <w:sz w:val="26"/>
          <w:szCs w:val="26"/>
        </w:rPr>
        <w:t>harge</w:t>
      </w:r>
      <w:r w:rsidR="00A4509C">
        <w:rPr>
          <w:sz w:val="26"/>
          <w:szCs w:val="26"/>
        </w:rPr>
        <w:t>,</w:t>
      </w:r>
      <w:r w:rsidR="00193E64" w:rsidRPr="00193E64">
        <w:rPr>
          <w:sz w:val="26"/>
          <w:szCs w:val="26"/>
        </w:rPr>
        <w:t xml:space="preserve"> PGW </w:t>
      </w:r>
      <w:r w:rsidR="00B46B0C">
        <w:rPr>
          <w:sz w:val="26"/>
          <w:szCs w:val="26"/>
        </w:rPr>
        <w:t xml:space="preserve">charged the Complainant $120.44 by </w:t>
      </w:r>
      <w:r w:rsidR="00620380">
        <w:rPr>
          <w:sz w:val="26"/>
          <w:szCs w:val="26"/>
        </w:rPr>
        <w:t>excluding</w:t>
      </w:r>
      <w:r w:rsidR="00B46B0C">
        <w:rPr>
          <w:sz w:val="26"/>
          <w:szCs w:val="26"/>
        </w:rPr>
        <w:t xml:space="preserve"> the </w:t>
      </w:r>
      <w:r w:rsidR="00193E64" w:rsidRPr="00193E64">
        <w:rPr>
          <w:sz w:val="26"/>
          <w:szCs w:val="26"/>
        </w:rPr>
        <w:t>DSIC</w:t>
      </w:r>
      <w:r w:rsidR="006E0F13">
        <w:rPr>
          <w:sz w:val="26"/>
          <w:szCs w:val="26"/>
        </w:rPr>
        <w:t xml:space="preserve"> </w:t>
      </w:r>
      <w:r w:rsidR="00B46B0C">
        <w:rPr>
          <w:sz w:val="26"/>
          <w:szCs w:val="26"/>
        </w:rPr>
        <w:t xml:space="preserve">surcharge in the </w:t>
      </w:r>
      <w:r w:rsidR="00621242">
        <w:rPr>
          <w:sz w:val="26"/>
          <w:szCs w:val="26"/>
        </w:rPr>
        <w:t>D</w:t>
      </w:r>
      <w:r w:rsidR="00B46B0C">
        <w:rPr>
          <w:sz w:val="26"/>
          <w:szCs w:val="26"/>
        </w:rPr>
        <w:t xml:space="preserve">istribution </w:t>
      </w:r>
      <w:r w:rsidR="00621242">
        <w:rPr>
          <w:sz w:val="26"/>
          <w:szCs w:val="26"/>
        </w:rPr>
        <w:t>C</w:t>
      </w:r>
      <w:r w:rsidR="00B46B0C">
        <w:rPr>
          <w:sz w:val="26"/>
          <w:szCs w:val="26"/>
        </w:rPr>
        <w:t xml:space="preserve">harge calculation and </w:t>
      </w:r>
      <w:r w:rsidR="000E7C8C">
        <w:rPr>
          <w:sz w:val="26"/>
          <w:szCs w:val="26"/>
        </w:rPr>
        <w:t xml:space="preserve">presented </w:t>
      </w:r>
      <w:r w:rsidR="00B46B0C">
        <w:rPr>
          <w:sz w:val="26"/>
          <w:szCs w:val="26"/>
        </w:rPr>
        <w:t xml:space="preserve">the DSIC </w:t>
      </w:r>
      <w:r w:rsidR="006E0F13">
        <w:rPr>
          <w:sz w:val="26"/>
          <w:szCs w:val="26"/>
        </w:rPr>
        <w:t>as a separate line item</w:t>
      </w:r>
      <w:r w:rsidR="00193E64" w:rsidRPr="00193E64">
        <w:rPr>
          <w:sz w:val="26"/>
          <w:szCs w:val="26"/>
        </w:rPr>
        <w:t xml:space="preserve"> </w:t>
      </w:r>
      <w:r w:rsidR="000C0B2C">
        <w:rPr>
          <w:sz w:val="26"/>
          <w:szCs w:val="26"/>
        </w:rPr>
        <w:t>in the amount of $5.75 o</w:t>
      </w:r>
      <w:r w:rsidR="00193E64" w:rsidRPr="00193E64">
        <w:rPr>
          <w:sz w:val="26"/>
          <w:szCs w:val="26"/>
        </w:rPr>
        <w:t>n the February 19, 2014 bill.</w:t>
      </w:r>
      <w:r w:rsidR="006E0F13">
        <w:rPr>
          <w:sz w:val="26"/>
          <w:szCs w:val="26"/>
        </w:rPr>
        <w:t xml:space="preserve">  </w:t>
      </w:r>
      <w:r w:rsidR="00997FFB">
        <w:rPr>
          <w:sz w:val="26"/>
          <w:szCs w:val="26"/>
        </w:rPr>
        <w:t xml:space="preserve">The ALJ </w:t>
      </w:r>
      <w:r w:rsidR="00A4509C">
        <w:rPr>
          <w:sz w:val="26"/>
          <w:szCs w:val="26"/>
        </w:rPr>
        <w:t xml:space="preserve">ruled </w:t>
      </w:r>
      <w:r w:rsidR="00997FFB">
        <w:rPr>
          <w:sz w:val="26"/>
          <w:szCs w:val="26"/>
        </w:rPr>
        <w:t xml:space="preserve">that although </w:t>
      </w:r>
      <w:r w:rsidR="006E0F13">
        <w:rPr>
          <w:sz w:val="26"/>
          <w:szCs w:val="26"/>
        </w:rPr>
        <w:t xml:space="preserve">ultimately, </w:t>
      </w:r>
      <w:r w:rsidR="00997FFB">
        <w:rPr>
          <w:sz w:val="26"/>
          <w:szCs w:val="26"/>
        </w:rPr>
        <w:t xml:space="preserve">the </w:t>
      </w:r>
      <w:r w:rsidR="006E0F13">
        <w:rPr>
          <w:sz w:val="26"/>
          <w:szCs w:val="26"/>
        </w:rPr>
        <w:t>combination of</w:t>
      </w:r>
      <w:r w:rsidR="00997FFB">
        <w:rPr>
          <w:sz w:val="26"/>
          <w:szCs w:val="26"/>
        </w:rPr>
        <w:t xml:space="preserve"> the </w:t>
      </w:r>
      <w:r w:rsidR="00C56035">
        <w:rPr>
          <w:sz w:val="26"/>
          <w:szCs w:val="26"/>
        </w:rPr>
        <w:t>Distribution Charge</w:t>
      </w:r>
      <w:r w:rsidR="00997FFB">
        <w:rPr>
          <w:sz w:val="26"/>
          <w:szCs w:val="26"/>
        </w:rPr>
        <w:t xml:space="preserve"> and the </w:t>
      </w:r>
      <w:r w:rsidR="006E0F13">
        <w:rPr>
          <w:sz w:val="26"/>
          <w:szCs w:val="26"/>
        </w:rPr>
        <w:t xml:space="preserve">DSIC </w:t>
      </w:r>
      <w:r w:rsidR="00620380">
        <w:rPr>
          <w:sz w:val="26"/>
          <w:szCs w:val="26"/>
        </w:rPr>
        <w:t>yields the same amount</w:t>
      </w:r>
      <w:r w:rsidR="004D09BB">
        <w:rPr>
          <w:sz w:val="26"/>
          <w:szCs w:val="26"/>
        </w:rPr>
        <w:t xml:space="preserve"> (</w:t>
      </w:r>
      <w:r w:rsidR="004D09BB" w:rsidRPr="004D09BB">
        <w:rPr>
          <w:i/>
          <w:sz w:val="26"/>
          <w:szCs w:val="26"/>
        </w:rPr>
        <w:t>i.e.</w:t>
      </w:r>
      <w:r w:rsidR="004D09BB">
        <w:rPr>
          <w:sz w:val="26"/>
          <w:szCs w:val="26"/>
        </w:rPr>
        <w:t xml:space="preserve">, </w:t>
      </w:r>
      <w:r w:rsidR="00ED4606">
        <w:rPr>
          <w:sz w:val="26"/>
          <w:szCs w:val="26"/>
        </w:rPr>
        <w:t>$126.19</w:t>
      </w:r>
      <w:r w:rsidR="004D09BB">
        <w:rPr>
          <w:sz w:val="26"/>
          <w:szCs w:val="26"/>
        </w:rPr>
        <w:t>)</w:t>
      </w:r>
      <w:r w:rsidR="00ED4606">
        <w:rPr>
          <w:sz w:val="26"/>
          <w:szCs w:val="26"/>
        </w:rPr>
        <w:t xml:space="preserve"> </w:t>
      </w:r>
      <w:r w:rsidR="00997FFB">
        <w:rPr>
          <w:sz w:val="26"/>
          <w:szCs w:val="26"/>
        </w:rPr>
        <w:t>in PGW</w:t>
      </w:r>
      <w:r w:rsidR="006E0F13">
        <w:rPr>
          <w:sz w:val="26"/>
          <w:szCs w:val="26"/>
        </w:rPr>
        <w:t xml:space="preserve">’s tariff and the February 19, 2014 bill, PGW’s representation of the </w:t>
      </w:r>
      <w:r w:rsidR="00C56035">
        <w:rPr>
          <w:sz w:val="26"/>
          <w:szCs w:val="26"/>
        </w:rPr>
        <w:t>Distribution Charge</w:t>
      </w:r>
      <w:r w:rsidR="006E0F13">
        <w:rPr>
          <w:sz w:val="26"/>
          <w:szCs w:val="26"/>
        </w:rPr>
        <w:t xml:space="preserve"> on the February 19, 2014 bill is not consistent with what is reflected</w:t>
      </w:r>
      <w:r w:rsidR="00997FFB">
        <w:rPr>
          <w:sz w:val="26"/>
          <w:szCs w:val="26"/>
        </w:rPr>
        <w:t xml:space="preserve"> </w:t>
      </w:r>
      <w:r w:rsidR="006E0F13">
        <w:rPr>
          <w:sz w:val="26"/>
          <w:szCs w:val="26"/>
        </w:rPr>
        <w:t>in its</w:t>
      </w:r>
      <w:r w:rsidR="00193E64" w:rsidRPr="00193E64">
        <w:rPr>
          <w:sz w:val="26"/>
          <w:szCs w:val="26"/>
        </w:rPr>
        <w:t xml:space="preserve"> Commission-approved tariff.  </w:t>
      </w:r>
      <w:r w:rsidR="00ED4606">
        <w:rPr>
          <w:sz w:val="26"/>
          <w:szCs w:val="26"/>
        </w:rPr>
        <w:t>I.D.</w:t>
      </w:r>
      <w:r w:rsidR="00620380">
        <w:rPr>
          <w:sz w:val="26"/>
          <w:szCs w:val="26"/>
        </w:rPr>
        <w:t xml:space="preserve"> at 11-12.</w:t>
      </w:r>
    </w:p>
    <w:p w:rsidR="00B81C04" w:rsidRDefault="00B81C04" w:rsidP="00085E5A">
      <w:pPr>
        <w:widowControl/>
        <w:spacing w:line="360" w:lineRule="auto"/>
        <w:ind w:firstLine="1440"/>
        <w:contextualSpacing/>
        <w:rPr>
          <w:sz w:val="26"/>
          <w:szCs w:val="26"/>
        </w:rPr>
      </w:pPr>
    </w:p>
    <w:p w:rsidR="00193E64" w:rsidRDefault="00B81C04" w:rsidP="00085E5A">
      <w:pPr>
        <w:widowControl/>
        <w:spacing w:line="360" w:lineRule="auto"/>
        <w:ind w:firstLine="1440"/>
        <w:contextualSpacing/>
        <w:rPr>
          <w:sz w:val="26"/>
          <w:szCs w:val="26"/>
        </w:rPr>
      </w:pPr>
      <w:r>
        <w:rPr>
          <w:sz w:val="26"/>
          <w:szCs w:val="26"/>
        </w:rPr>
        <w:lastRenderedPageBreak/>
        <w:t>Additionally, t</w:t>
      </w:r>
      <w:r w:rsidR="00D33E6C">
        <w:rPr>
          <w:sz w:val="26"/>
          <w:szCs w:val="26"/>
        </w:rPr>
        <w:t xml:space="preserve">he ALJ noted that the </w:t>
      </w:r>
      <w:r w:rsidR="00620380">
        <w:rPr>
          <w:sz w:val="26"/>
          <w:szCs w:val="26"/>
        </w:rPr>
        <w:t>difference</w:t>
      </w:r>
      <w:r w:rsidR="00D33E6C">
        <w:rPr>
          <w:sz w:val="26"/>
          <w:szCs w:val="26"/>
        </w:rPr>
        <w:t xml:space="preserve"> in the presentation of the </w:t>
      </w:r>
      <w:r w:rsidR="00C56035">
        <w:rPr>
          <w:sz w:val="26"/>
          <w:szCs w:val="26"/>
        </w:rPr>
        <w:t>Distribution Charge</w:t>
      </w:r>
      <w:r w:rsidR="00D33E6C">
        <w:rPr>
          <w:sz w:val="26"/>
          <w:szCs w:val="26"/>
        </w:rPr>
        <w:t xml:space="preserve"> in PGW’s tariff and o</w:t>
      </w:r>
      <w:r w:rsidR="000E7C8C">
        <w:rPr>
          <w:sz w:val="26"/>
          <w:szCs w:val="26"/>
        </w:rPr>
        <w:t>n the February 19, 2014 bill has to do with</w:t>
      </w:r>
      <w:r w:rsidR="00620380">
        <w:rPr>
          <w:sz w:val="26"/>
          <w:szCs w:val="26"/>
        </w:rPr>
        <w:t xml:space="preserve"> how </w:t>
      </w:r>
      <w:r w:rsidR="00D33E6C">
        <w:rPr>
          <w:sz w:val="26"/>
          <w:szCs w:val="26"/>
        </w:rPr>
        <w:t>PGW calculate</w:t>
      </w:r>
      <w:r w:rsidR="006D7E38">
        <w:rPr>
          <w:sz w:val="26"/>
          <w:szCs w:val="26"/>
        </w:rPr>
        <w:t>s</w:t>
      </w:r>
      <w:r w:rsidR="00D33E6C">
        <w:rPr>
          <w:sz w:val="26"/>
          <w:szCs w:val="26"/>
        </w:rPr>
        <w:t xml:space="preserve"> </w:t>
      </w:r>
      <w:r w:rsidR="00B66A1B">
        <w:rPr>
          <w:sz w:val="26"/>
          <w:szCs w:val="26"/>
        </w:rPr>
        <w:t>its</w:t>
      </w:r>
      <w:r w:rsidR="00D33E6C">
        <w:rPr>
          <w:sz w:val="26"/>
          <w:szCs w:val="26"/>
        </w:rPr>
        <w:t xml:space="preserve"> DSIC.</w:t>
      </w:r>
      <w:r w:rsidR="00D33E6C">
        <w:rPr>
          <w:rStyle w:val="FootnoteReference"/>
          <w:sz w:val="26"/>
          <w:szCs w:val="26"/>
        </w:rPr>
        <w:footnoteReference w:id="7"/>
      </w:r>
      <w:r w:rsidR="00D33E6C">
        <w:rPr>
          <w:sz w:val="26"/>
          <w:szCs w:val="26"/>
        </w:rPr>
        <w:t xml:space="preserve">  </w:t>
      </w:r>
      <w:r>
        <w:rPr>
          <w:sz w:val="26"/>
          <w:szCs w:val="26"/>
        </w:rPr>
        <w:t xml:space="preserve">The ALJ explained that </w:t>
      </w:r>
      <w:r w:rsidR="00A4509C">
        <w:rPr>
          <w:sz w:val="26"/>
          <w:szCs w:val="26"/>
        </w:rPr>
        <w:t xml:space="preserve">although </w:t>
      </w:r>
      <w:r>
        <w:rPr>
          <w:sz w:val="26"/>
          <w:szCs w:val="26"/>
        </w:rPr>
        <w:t>PGW’s tariff requires the DSIC to be included in the calculation of t</w:t>
      </w:r>
      <w:r w:rsidR="00BD1206">
        <w:rPr>
          <w:sz w:val="26"/>
          <w:szCs w:val="26"/>
        </w:rPr>
        <w:t xml:space="preserve">he </w:t>
      </w:r>
      <w:r w:rsidR="00C56035">
        <w:rPr>
          <w:sz w:val="26"/>
          <w:szCs w:val="26"/>
        </w:rPr>
        <w:t>Distribution Charge</w:t>
      </w:r>
      <w:r w:rsidR="00BD1206">
        <w:rPr>
          <w:sz w:val="26"/>
          <w:szCs w:val="26"/>
        </w:rPr>
        <w:t>, the Feb</w:t>
      </w:r>
      <w:r>
        <w:rPr>
          <w:sz w:val="26"/>
          <w:szCs w:val="26"/>
        </w:rPr>
        <w:t xml:space="preserve">ruary 19, 2014 bill </w:t>
      </w:r>
      <w:r w:rsidR="00B46B0C">
        <w:rPr>
          <w:sz w:val="26"/>
          <w:szCs w:val="26"/>
        </w:rPr>
        <w:t xml:space="preserve">did not include the DSIC but </w:t>
      </w:r>
      <w:r w:rsidR="00A4509C">
        <w:rPr>
          <w:sz w:val="26"/>
          <w:szCs w:val="26"/>
        </w:rPr>
        <w:t xml:space="preserve">instead </w:t>
      </w:r>
      <w:r w:rsidR="00081672">
        <w:rPr>
          <w:sz w:val="26"/>
          <w:szCs w:val="26"/>
        </w:rPr>
        <w:t>presents</w:t>
      </w:r>
      <w:r>
        <w:rPr>
          <w:sz w:val="26"/>
          <w:szCs w:val="26"/>
        </w:rPr>
        <w:t xml:space="preserve"> </w:t>
      </w:r>
      <w:r w:rsidR="00B46B0C">
        <w:rPr>
          <w:sz w:val="26"/>
          <w:szCs w:val="26"/>
        </w:rPr>
        <w:t>it</w:t>
      </w:r>
      <w:r>
        <w:rPr>
          <w:sz w:val="26"/>
          <w:szCs w:val="26"/>
        </w:rPr>
        <w:t xml:space="preserve"> as a separate line item charge</w:t>
      </w:r>
      <w:r w:rsidR="00BD1206">
        <w:rPr>
          <w:sz w:val="26"/>
          <w:szCs w:val="26"/>
        </w:rPr>
        <w:t xml:space="preserve">.  </w:t>
      </w:r>
      <w:r w:rsidR="00A4509C">
        <w:rPr>
          <w:sz w:val="26"/>
          <w:szCs w:val="26"/>
        </w:rPr>
        <w:t>The ALJ explained that this</w:t>
      </w:r>
      <w:r>
        <w:rPr>
          <w:sz w:val="26"/>
          <w:szCs w:val="26"/>
        </w:rPr>
        <w:t xml:space="preserve"> is why the </w:t>
      </w:r>
      <w:r w:rsidR="00C56035">
        <w:rPr>
          <w:sz w:val="26"/>
          <w:szCs w:val="26"/>
        </w:rPr>
        <w:t>Distribution Charge</w:t>
      </w:r>
      <w:r>
        <w:rPr>
          <w:sz w:val="26"/>
          <w:szCs w:val="26"/>
        </w:rPr>
        <w:t xml:space="preserve"> on the February 19, 2014 bill </w:t>
      </w:r>
      <w:r w:rsidR="00620380">
        <w:rPr>
          <w:sz w:val="26"/>
          <w:szCs w:val="26"/>
        </w:rPr>
        <w:t>is</w:t>
      </w:r>
      <w:r>
        <w:rPr>
          <w:sz w:val="26"/>
          <w:szCs w:val="26"/>
        </w:rPr>
        <w:t xml:space="preserve"> less than what </w:t>
      </w:r>
      <w:r w:rsidR="00676BE4">
        <w:rPr>
          <w:sz w:val="26"/>
          <w:szCs w:val="26"/>
        </w:rPr>
        <w:t xml:space="preserve">PGW’s </w:t>
      </w:r>
      <w:r>
        <w:rPr>
          <w:sz w:val="26"/>
          <w:szCs w:val="26"/>
        </w:rPr>
        <w:t>tariff stipulates.</w:t>
      </w:r>
      <w:r>
        <w:rPr>
          <w:rStyle w:val="FootnoteReference"/>
          <w:sz w:val="26"/>
          <w:szCs w:val="26"/>
        </w:rPr>
        <w:footnoteReference w:id="8"/>
      </w:r>
      <w:r>
        <w:rPr>
          <w:sz w:val="26"/>
          <w:szCs w:val="26"/>
        </w:rPr>
        <w:t xml:space="preserve">  </w:t>
      </w:r>
      <w:r w:rsidR="00193E64" w:rsidRPr="00193E64">
        <w:rPr>
          <w:i/>
          <w:sz w:val="26"/>
          <w:szCs w:val="26"/>
        </w:rPr>
        <w:t>Id.</w:t>
      </w:r>
      <w:r w:rsidR="001564E8">
        <w:rPr>
          <w:sz w:val="26"/>
          <w:szCs w:val="26"/>
        </w:rPr>
        <w:t xml:space="preserve"> at 12, citing Complainant Exh. 1.</w:t>
      </w:r>
    </w:p>
    <w:p w:rsidR="001F7A7F" w:rsidRDefault="001F7A7F" w:rsidP="00085E5A">
      <w:pPr>
        <w:widowControl/>
        <w:spacing w:line="360" w:lineRule="auto"/>
        <w:ind w:firstLine="1440"/>
        <w:contextualSpacing/>
        <w:rPr>
          <w:sz w:val="26"/>
          <w:szCs w:val="26"/>
        </w:rPr>
      </w:pPr>
    </w:p>
    <w:p w:rsidR="001F7A7F" w:rsidRPr="00D33E6C" w:rsidRDefault="001F7A7F" w:rsidP="00085E5A">
      <w:pPr>
        <w:widowControl/>
        <w:spacing w:line="360" w:lineRule="auto"/>
        <w:ind w:firstLine="1440"/>
        <w:contextualSpacing/>
        <w:rPr>
          <w:sz w:val="26"/>
          <w:szCs w:val="26"/>
        </w:rPr>
      </w:pPr>
      <w:r>
        <w:rPr>
          <w:sz w:val="26"/>
          <w:szCs w:val="26"/>
        </w:rPr>
        <w:t xml:space="preserve">The ALJ </w:t>
      </w:r>
      <w:r w:rsidR="007108DE">
        <w:rPr>
          <w:sz w:val="26"/>
          <w:szCs w:val="26"/>
        </w:rPr>
        <w:t>emphasized</w:t>
      </w:r>
      <w:r>
        <w:rPr>
          <w:sz w:val="26"/>
          <w:szCs w:val="26"/>
        </w:rPr>
        <w:t xml:space="preserve"> that PGW’s presentation of the DSIC surcharge as a separate line item from the </w:t>
      </w:r>
      <w:r w:rsidR="00C56035">
        <w:rPr>
          <w:sz w:val="26"/>
          <w:szCs w:val="26"/>
        </w:rPr>
        <w:t>Distribution Charge</w:t>
      </w:r>
      <w:r>
        <w:rPr>
          <w:sz w:val="26"/>
          <w:szCs w:val="26"/>
        </w:rPr>
        <w:t xml:space="preserve"> calculation on the February 19, 2014 bill is inconsistent with its Commission-approved tariff which requires</w:t>
      </w:r>
      <w:r w:rsidR="00944E0C">
        <w:rPr>
          <w:sz w:val="26"/>
          <w:szCs w:val="26"/>
        </w:rPr>
        <w:t xml:space="preserve"> the </w:t>
      </w:r>
      <w:r>
        <w:rPr>
          <w:sz w:val="26"/>
          <w:szCs w:val="26"/>
        </w:rPr>
        <w:t>DSIC surcharge</w:t>
      </w:r>
      <w:r w:rsidR="00944E0C">
        <w:rPr>
          <w:sz w:val="26"/>
          <w:szCs w:val="26"/>
        </w:rPr>
        <w:t xml:space="preserve"> to be included in the calculation of the </w:t>
      </w:r>
      <w:r w:rsidR="00C56035">
        <w:rPr>
          <w:sz w:val="26"/>
          <w:szCs w:val="26"/>
        </w:rPr>
        <w:t>Distribution Charge</w:t>
      </w:r>
      <w:r>
        <w:rPr>
          <w:sz w:val="26"/>
          <w:szCs w:val="26"/>
        </w:rPr>
        <w:t xml:space="preserve">.  In addition, the ALJ </w:t>
      </w:r>
      <w:r w:rsidR="00081672">
        <w:rPr>
          <w:sz w:val="26"/>
          <w:szCs w:val="26"/>
        </w:rPr>
        <w:t>posited</w:t>
      </w:r>
      <w:r>
        <w:rPr>
          <w:sz w:val="26"/>
          <w:szCs w:val="26"/>
        </w:rPr>
        <w:t xml:space="preserve"> that</w:t>
      </w:r>
      <w:r w:rsidR="00944E0C">
        <w:rPr>
          <w:sz w:val="26"/>
          <w:szCs w:val="26"/>
        </w:rPr>
        <w:t xml:space="preserve"> the Complainant </w:t>
      </w:r>
      <w:r>
        <w:rPr>
          <w:sz w:val="26"/>
          <w:szCs w:val="26"/>
        </w:rPr>
        <w:t xml:space="preserve">failed to prove that she was overbilled for the </w:t>
      </w:r>
      <w:r w:rsidR="00C56035">
        <w:rPr>
          <w:sz w:val="26"/>
          <w:szCs w:val="26"/>
        </w:rPr>
        <w:t>Distribution Charge</w:t>
      </w:r>
      <w:r>
        <w:rPr>
          <w:sz w:val="26"/>
          <w:szCs w:val="26"/>
        </w:rPr>
        <w:t>.</w:t>
      </w:r>
      <w:r w:rsidR="00264053">
        <w:rPr>
          <w:sz w:val="26"/>
          <w:szCs w:val="26"/>
        </w:rPr>
        <w:t xml:space="preserve">  </w:t>
      </w:r>
      <w:r w:rsidR="00A4509C">
        <w:rPr>
          <w:sz w:val="26"/>
          <w:szCs w:val="26"/>
        </w:rPr>
        <w:t>Specifically, t</w:t>
      </w:r>
      <w:r w:rsidR="00944E0C">
        <w:rPr>
          <w:sz w:val="26"/>
          <w:szCs w:val="26"/>
        </w:rPr>
        <w:t xml:space="preserve">he </w:t>
      </w:r>
      <w:r w:rsidR="00264053">
        <w:rPr>
          <w:sz w:val="26"/>
          <w:szCs w:val="26"/>
        </w:rPr>
        <w:t>ALJ</w:t>
      </w:r>
      <w:r>
        <w:rPr>
          <w:sz w:val="26"/>
          <w:szCs w:val="26"/>
        </w:rPr>
        <w:t xml:space="preserve"> noted</w:t>
      </w:r>
      <w:r w:rsidR="00507321">
        <w:rPr>
          <w:sz w:val="26"/>
          <w:szCs w:val="26"/>
        </w:rPr>
        <w:t xml:space="preserve">, as discussed </w:t>
      </w:r>
      <w:r w:rsidR="00507321">
        <w:rPr>
          <w:i/>
          <w:sz w:val="26"/>
          <w:szCs w:val="26"/>
        </w:rPr>
        <w:t>supra</w:t>
      </w:r>
      <w:r w:rsidR="00507321" w:rsidRPr="00507321">
        <w:rPr>
          <w:sz w:val="26"/>
          <w:szCs w:val="26"/>
        </w:rPr>
        <w:t>,</w:t>
      </w:r>
      <w:r>
        <w:rPr>
          <w:sz w:val="26"/>
          <w:szCs w:val="26"/>
        </w:rPr>
        <w:t xml:space="preserve"> that the </w:t>
      </w:r>
      <w:r w:rsidR="00C56035">
        <w:rPr>
          <w:sz w:val="26"/>
          <w:szCs w:val="26"/>
        </w:rPr>
        <w:t>Distribution Charge</w:t>
      </w:r>
      <w:r w:rsidR="00264053">
        <w:rPr>
          <w:sz w:val="26"/>
          <w:szCs w:val="26"/>
        </w:rPr>
        <w:t xml:space="preserve"> on the</w:t>
      </w:r>
      <w:r w:rsidR="00944E0C">
        <w:rPr>
          <w:sz w:val="26"/>
          <w:szCs w:val="26"/>
        </w:rPr>
        <w:t xml:space="preserve"> February 19, 2014 bill is less than what she should have been billed per PGW’s </w:t>
      </w:r>
      <w:r w:rsidR="00264053">
        <w:rPr>
          <w:sz w:val="26"/>
          <w:szCs w:val="26"/>
        </w:rPr>
        <w:t xml:space="preserve">Commission-approved </w:t>
      </w:r>
      <w:r w:rsidR="00944E0C">
        <w:rPr>
          <w:sz w:val="26"/>
          <w:szCs w:val="26"/>
        </w:rPr>
        <w:t>tariff.  The</w:t>
      </w:r>
      <w:r w:rsidR="007108DE">
        <w:rPr>
          <w:sz w:val="26"/>
          <w:szCs w:val="26"/>
        </w:rPr>
        <w:t>r</w:t>
      </w:r>
      <w:r w:rsidR="006746A6">
        <w:rPr>
          <w:sz w:val="26"/>
          <w:szCs w:val="26"/>
        </w:rPr>
        <w:t>efore, the ALJ concluded</w:t>
      </w:r>
      <w:r w:rsidR="00507321">
        <w:rPr>
          <w:sz w:val="26"/>
          <w:szCs w:val="26"/>
        </w:rPr>
        <w:t>: (1)</w:t>
      </w:r>
      <w:r w:rsidR="006746A6">
        <w:rPr>
          <w:sz w:val="26"/>
          <w:szCs w:val="26"/>
        </w:rPr>
        <w:t xml:space="preserve"> that </w:t>
      </w:r>
      <w:r w:rsidR="007108DE">
        <w:rPr>
          <w:sz w:val="26"/>
          <w:szCs w:val="26"/>
        </w:rPr>
        <w:t xml:space="preserve">the Complainant failed to meet her burden of proving that PGW overbilled her for the </w:t>
      </w:r>
      <w:r w:rsidR="00C56035">
        <w:rPr>
          <w:sz w:val="26"/>
          <w:szCs w:val="26"/>
        </w:rPr>
        <w:t>Distribution Charge</w:t>
      </w:r>
      <w:r w:rsidR="006746A6">
        <w:rPr>
          <w:sz w:val="26"/>
          <w:szCs w:val="26"/>
        </w:rPr>
        <w:t xml:space="preserve"> on the February 19, 2014</w:t>
      </w:r>
      <w:r w:rsidR="00264053">
        <w:rPr>
          <w:sz w:val="26"/>
          <w:szCs w:val="26"/>
        </w:rPr>
        <w:t xml:space="preserve"> bill</w:t>
      </w:r>
      <w:r w:rsidR="00507321">
        <w:rPr>
          <w:sz w:val="26"/>
          <w:szCs w:val="26"/>
        </w:rPr>
        <w:t xml:space="preserve"> ; and (2) </w:t>
      </w:r>
      <w:r w:rsidR="007108DE">
        <w:rPr>
          <w:sz w:val="26"/>
          <w:szCs w:val="26"/>
        </w:rPr>
        <w:t xml:space="preserve">that PGW’s calculation of the </w:t>
      </w:r>
      <w:r w:rsidR="00C56035">
        <w:rPr>
          <w:sz w:val="26"/>
          <w:szCs w:val="26"/>
        </w:rPr>
        <w:t>Distribution Charge</w:t>
      </w:r>
      <w:r w:rsidR="007108DE">
        <w:rPr>
          <w:sz w:val="26"/>
          <w:szCs w:val="26"/>
        </w:rPr>
        <w:t xml:space="preserve"> is inconsistent with i</w:t>
      </w:r>
      <w:r w:rsidR="00081672">
        <w:rPr>
          <w:sz w:val="26"/>
          <w:szCs w:val="26"/>
        </w:rPr>
        <w:t>ts Commission-approved tariff.  I.D. a</w:t>
      </w:r>
      <w:r w:rsidR="007108DE">
        <w:rPr>
          <w:sz w:val="26"/>
          <w:szCs w:val="26"/>
        </w:rPr>
        <w:t>t 12.</w:t>
      </w:r>
    </w:p>
    <w:p w:rsidR="00193E64" w:rsidRPr="00193E64" w:rsidRDefault="00193E64" w:rsidP="00085E5A">
      <w:pPr>
        <w:pStyle w:val="FootnoteText"/>
        <w:widowControl/>
        <w:spacing w:line="360" w:lineRule="auto"/>
        <w:contextualSpacing/>
        <w:rPr>
          <w:sz w:val="26"/>
          <w:szCs w:val="26"/>
        </w:rPr>
      </w:pPr>
    </w:p>
    <w:p w:rsidR="00145B1F" w:rsidRDefault="00A4509C" w:rsidP="00085E5A">
      <w:pPr>
        <w:widowControl/>
        <w:spacing w:line="360" w:lineRule="auto"/>
        <w:ind w:firstLine="1440"/>
        <w:contextualSpacing/>
        <w:rPr>
          <w:sz w:val="26"/>
          <w:szCs w:val="26"/>
        </w:rPr>
      </w:pPr>
      <w:r>
        <w:rPr>
          <w:sz w:val="26"/>
          <w:szCs w:val="26"/>
        </w:rPr>
        <w:t>In determining</w:t>
      </w:r>
      <w:r w:rsidRPr="009F1E43">
        <w:rPr>
          <w:sz w:val="26"/>
          <w:szCs w:val="26"/>
        </w:rPr>
        <w:t xml:space="preserve"> </w:t>
      </w:r>
      <w:r w:rsidR="007108DE" w:rsidRPr="009F1E43">
        <w:rPr>
          <w:sz w:val="26"/>
          <w:szCs w:val="26"/>
        </w:rPr>
        <w:t xml:space="preserve">whether PGW committed a violation </w:t>
      </w:r>
      <w:r w:rsidR="00081672">
        <w:rPr>
          <w:sz w:val="26"/>
          <w:szCs w:val="26"/>
        </w:rPr>
        <w:t>by</w:t>
      </w:r>
      <w:r w:rsidR="007108DE" w:rsidRPr="009F1E43">
        <w:rPr>
          <w:sz w:val="26"/>
          <w:szCs w:val="26"/>
        </w:rPr>
        <w:t xml:space="preserve"> not following its tariff, the ALJ </w:t>
      </w:r>
      <w:r w:rsidR="00F71E5B">
        <w:rPr>
          <w:sz w:val="26"/>
          <w:szCs w:val="26"/>
        </w:rPr>
        <w:t xml:space="preserve">pointed out </w:t>
      </w:r>
      <w:r w:rsidR="007108DE" w:rsidRPr="009F1E43">
        <w:rPr>
          <w:sz w:val="26"/>
          <w:szCs w:val="26"/>
        </w:rPr>
        <w:t xml:space="preserve">that PGW acknowledged that </w:t>
      </w:r>
      <w:r w:rsidR="00507321">
        <w:rPr>
          <w:sz w:val="26"/>
          <w:szCs w:val="26"/>
        </w:rPr>
        <w:t>PGW’s</w:t>
      </w:r>
      <w:r w:rsidR="007108DE" w:rsidRPr="009F1E43">
        <w:rPr>
          <w:sz w:val="26"/>
          <w:szCs w:val="26"/>
        </w:rPr>
        <w:t xml:space="preserve"> </w:t>
      </w:r>
      <w:r w:rsidR="00ED2B57">
        <w:rPr>
          <w:sz w:val="26"/>
          <w:szCs w:val="26"/>
        </w:rPr>
        <w:t>billing format</w:t>
      </w:r>
      <w:r w:rsidR="007108DE" w:rsidRPr="009F1E43">
        <w:rPr>
          <w:sz w:val="26"/>
          <w:szCs w:val="26"/>
        </w:rPr>
        <w:t xml:space="preserve"> deviates from the presentation of the categories of charges in that the </w:t>
      </w:r>
      <w:r w:rsidR="00300C05">
        <w:rPr>
          <w:sz w:val="26"/>
          <w:szCs w:val="26"/>
        </w:rPr>
        <w:t>D</w:t>
      </w:r>
      <w:r w:rsidR="007108DE" w:rsidRPr="009F1E43">
        <w:rPr>
          <w:sz w:val="26"/>
          <w:szCs w:val="26"/>
        </w:rPr>
        <w:t xml:space="preserve">istribution </w:t>
      </w:r>
      <w:r w:rsidR="00300C05">
        <w:rPr>
          <w:sz w:val="26"/>
          <w:szCs w:val="26"/>
        </w:rPr>
        <w:t>C</w:t>
      </w:r>
      <w:r w:rsidR="007108DE" w:rsidRPr="009F1E43">
        <w:rPr>
          <w:sz w:val="26"/>
          <w:szCs w:val="26"/>
        </w:rPr>
        <w:t xml:space="preserve">harge is comprised of the </w:t>
      </w:r>
      <w:r w:rsidR="00300C05">
        <w:rPr>
          <w:sz w:val="26"/>
          <w:szCs w:val="26"/>
        </w:rPr>
        <w:t>D</w:t>
      </w:r>
      <w:r w:rsidR="007108DE" w:rsidRPr="009F1E43">
        <w:rPr>
          <w:sz w:val="26"/>
          <w:szCs w:val="26"/>
        </w:rPr>
        <w:t xml:space="preserve">elivery </w:t>
      </w:r>
      <w:r w:rsidR="00300C05">
        <w:rPr>
          <w:sz w:val="26"/>
          <w:szCs w:val="26"/>
        </w:rPr>
        <w:t>C</w:t>
      </w:r>
      <w:r w:rsidR="007108DE" w:rsidRPr="009F1E43">
        <w:rPr>
          <w:sz w:val="26"/>
          <w:szCs w:val="26"/>
        </w:rPr>
        <w:t>harge and the various authorized surcharges</w:t>
      </w:r>
      <w:r w:rsidR="00300C05">
        <w:rPr>
          <w:sz w:val="26"/>
          <w:szCs w:val="26"/>
        </w:rPr>
        <w:t>.  I.D.</w:t>
      </w:r>
      <w:r w:rsidR="007108DE" w:rsidRPr="009F1E43">
        <w:rPr>
          <w:sz w:val="26"/>
          <w:szCs w:val="26"/>
        </w:rPr>
        <w:t xml:space="preserve"> at</w:t>
      </w:r>
      <w:r w:rsidR="00507321">
        <w:rPr>
          <w:sz w:val="26"/>
          <w:szCs w:val="26"/>
        </w:rPr>
        <w:t> </w:t>
      </w:r>
      <w:r w:rsidR="007108DE" w:rsidRPr="009F1E43">
        <w:rPr>
          <w:sz w:val="26"/>
          <w:szCs w:val="26"/>
        </w:rPr>
        <w:t xml:space="preserve"> 12</w:t>
      </w:r>
      <w:r w:rsidR="00145B1F" w:rsidRPr="009F1E43">
        <w:rPr>
          <w:sz w:val="26"/>
          <w:szCs w:val="26"/>
        </w:rPr>
        <w:t>-13</w:t>
      </w:r>
      <w:r w:rsidR="00300C05">
        <w:rPr>
          <w:sz w:val="26"/>
          <w:szCs w:val="26"/>
        </w:rPr>
        <w:t xml:space="preserve">, </w:t>
      </w:r>
      <w:r w:rsidR="00300C05">
        <w:rPr>
          <w:sz w:val="26"/>
          <w:szCs w:val="26"/>
        </w:rPr>
        <w:lastRenderedPageBreak/>
        <w:t>citing PGW M.B. at 3</w:t>
      </w:r>
      <w:r w:rsidR="007108DE" w:rsidRPr="009F1E43">
        <w:rPr>
          <w:sz w:val="26"/>
          <w:szCs w:val="26"/>
        </w:rPr>
        <w:t>.</w:t>
      </w:r>
      <w:r w:rsidR="00145B1F" w:rsidRPr="009F1E43">
        <w:rPr>
          <w:sz w:val="26"/>
          <w:szCs w:val="26"/>
        </w:rPr>
        <w:t xml:space="preserve">  According to </w:t>
      </w:r>
      <w:r w:rsidR="00081672">
        <w:rPr>
          <w:sz w:val="26"/>
          <w:szCs w:val="26"/>
        </w:rPr>
        <w:t xml:space="preserve">the ALJ, PGW contended that its billing </w:t>
      </w:r>
      <w:r w:rsidR="00145B1F" w:rsidRPr="009F1E43">
        <w:rPr>
          <w:sz w:val="26"/>
          <w:szCs w:val="26"/>
        </w:rPr>
        <w:t>forma</w:t>
      </w:r>
      <w:r w:rsidR="00081672">
        <w:rPr>
          <w:sz w:val="26"/>
          <w:szCs w:val="26"/>
        </w:rPr>
        <w:t xml:space="preserve">t is in compliance with the Commission’s plain language requirement pursuant to </w:t>
      </w:r>
      <w:r w:rsidR="00145B1F" w:rsidRPr="009F1E43">
        <w:rPr>
          <w:sz w:val="26"/>
          <w:szCs w:val="26"/>
        </w:rPr>
        <w:t>52 Pa. Code §</w:t>
      </w:r>
      <w:r w:rsidR="00932E80">
        <w:rPr>
          <w:sz w:val="26"/>
          <w:szCs w:val="26"/>
        </w:rPr>
        <w:t> </w:t>
      </w:r>
      <w:r w:rsidR="00145B1F" w:rsidRPr="009F1E43">
        <w:rPr>
          <w:sz w:val="26"/>
          <w:szCs w:val="26"/>
        </w:rPr>
        <w:t>69.251.  The A</w:t>
      </w:r>
      <w:r w:rsidR="00264053">
        <w:rPr>
          <w:sz w:val="26"/>
          <w:szCs w:val="26"/>
        </w:rPr>
        <w:t>LJ</w:t>
      </w:r>
      <w:r w:rsidR="00081672">
        <w:rPr>
          <w:sz w:val="26"/>
          <w:szCs w:val="26"/>
        </w:rPr>
        <w:t xml:space="preserve"> noted</w:t>
      </w:r>
      <w:r w:rsidR="00264053">
        <w:rPr>
          <w:sz w:val="26"/>
          <w:szCs w:val="26"/>
        </w:rPr>
        <w:t xml:space="preserve"> that PGW cited to </w:t>
      </w:r>
      <w:r w:rsidR="00081672" w:rsidRPr="009F1E43">
        <w:rPr>
          <w:sz w:val="26"/>
          <w:szCs w:val="26"/>
        </w:rPr>
        <w:t>52 Pa.</w:t>
      </w:r>
      <w:r w:rsidR="00081672">
        <w:rPr>
          <w:sz w:val="26"/>
          <w:szCs w:val="26"/>
        </w:rPr>
        <w:t xml:space="preserve"> </w:t>
      </w:r>
      <w:r w:rsidR="00081672" w:rsidRPr="009F1E43">
        <w:rPr>
          <w:sz w:val="26"/>
          <w:szCs w:val="26"/>
        </w:rPr>
        <w:t>Code § 69.251</w:t>
      </w:r>
      <w:r w:rsidR="00081672">
        <w:rPr>
          <w:sz w:val="26"/>
          <w:szCs w:val="26"/>
        </w:rPr>
        <w:t xml:space="preserve"> </w:t>
      </w:r>
      <w:r w:rsidR="00145B1F" w:rsidRPr="009F1E43">
        <w:rPr>
          <w:sz w:val="26"/>
          <w:szCs w:val="26"/>
        </w:rPr>
        <w:t xml:space="preserve">as providing guidance to its billing format, </w:t>
      </w:r>
      <w:r w:rsidR="00264053">
        <w:rPr>
          <w:sz w:val="26"/>
          <w:szCs w:val="26"/>
        </w:rPr>
        <w:t>stating</w:t>
      </w:r>
      <w:r w:rsidR="00B24AEB">
        <w:rPr>
          <w:sz w:val="26"/>
          <w:szCs w:val="26"/>
        </w:rPr>
        <w:t xml:space="preserve"> </w:t>
      </w:r>
      <w:r w:rsidR="00ED4606">
        <w:rPr>
          <w:sz w:val="26"/>
          <w:szCs w:val="26"/>
        </w:rPr>
        <w:t>that plain language should reflect</w:t>
      </w:r>
      <w:r w:rsidR="00264053">
        <w:rPr>
          <w:sz w:val="26"/>
          <w:szCs w:val="26"/>
        </w:rPr>
        <w:t xml:space="preserve"> </w:t>
      </w:r>
      <w:r w:rsidR="00145B1F" w:rsidRPr="009F1E43">
        <w:rPr>
          <w:sz w:val="26"/>
          <w:szCs w:val="26"/>
        </w:rPr>
        <w:t>“commonly unde</w:t>
      </w:r>
      <w:r w:rsidR="00BD1206">
        <w:rPr>
          <w:sz w:val="26"/>
          <w:szCs w:val="26"/>
        </w:rPr>
        <w:t>rstood words, clear section head</w:t>
      </w:r>
      <w:r w:rsidR="00145B1F" w:rsidRPr="009F1E43">
        <w:rPr>
          <w:sz w:val="26"/>
          <w:szCs w:val="26"/>
        </w:rPr>
        <w:t xml:space="preserve">ings which accurately describe the information that follows and the avoidance of the use of technical, legal or utility terms not commonly understood.”  </w:t>
      </w:r>
      <w:r w:rsidR="00300C05">
        <w:rPr>
          <w:sz w:val="26"/>
          <w:szCs w:val="26"/>
        </w:rPr>
        <w:t>I.D.</w:t>
      </w:r>
      <w:r w:rsidR="009F1E43" w:rsidRPr="009F1E43">
        <w:rPr>
          <w:sz w:val="26"/>
          <w:szCs w:val="26"/>
        </w:rPr>
        <w:t xml:space="preserve"> at 13, citing </w:t>
      </w:r>
      <w:r w:rsidR="00145B1F" w:rsidRPr="009F1E43">
        <w:rPr>
          <w:sz w:val="26"/>
          <w:szCs w:val="26"/>
        </w:rPr>
        <w:t>PGW M.B. at 4, citing 52 Pa.</w:t>
      </w:r>
      <w:r w:rsidR="00095980">
        <w:rPr>
          <w:sz w:val="26"/>
          <w:szCs w:val="26"/>
        </w:rPr>
        <w:t xml:space="preserve"> </w:t>
      </w:r>
      <w:r w:rsidR="00145B1F" w:rsidRPr="009F1E43">
        <w:rPr>
          <w:sz w:val="26"/>
          <w:szCs w:val="26"/>
        </w:rPr>
        <w:t>Code § 69.251.</w:t>
      </w:r>
    </w:p>
    <w:p w:rsidR="00264053" w:rsidRPr="009F1E43" w:rsidRDefault="00264053" w:rsidP="00085E5A">
      <w:pPr>
        <w:widowControl/>
        <w:spacing w:line="360" w:lineRule="auto"/>
        <w:ind w:firstLine="1440"/>
        <w:contextualSpacing/>
        <w:rPr>
          <w:sz w:val="26"/>
          <w:szCs w:val="26"/>
        </w:rPr>
      </w:pPr>
    </w:p>
    <w:p w:rsidR="00C27791" w:rsidRDefault="001D5E37" w:rsidP="00085E5A">
      <w:pPr>
        <w:widowControl/>
        <w:spacing w:line="360" w:lineRule="auto"/>
        <w:ind w:firstLine="1440"/>
        <w:contextualSpacing/>
        <w:rPr>
          <w:sz w:val="26"/>
          <w:szCs w:val="26"/>
        </w:rPr>
      </w:pPr>
      <w:r>
        <w:rPr>
          <w:sz w:val="26"/>
          <w:szCs w:val="26"/>
        </w:rPr>
        <w:t>The ALJ next addressed PGW’s contention that</w:t>
      </w:r>
      <w:r w:rsidR="009F1E43" w:rsidRPr="009F1E43">
        <w:rPr>
          <w:sz w:val="26"/>
          <w:szCs w:val="26"/>
        </w:rPr>
        <w:t xml:space="preserve"> it did not violate any section of the Code, a Commission Order or its own tariff with the presentation of its billing format.  </w:t>
      </w:r>
      <w:r w:rsidR="00264053">
        <w:rPr>
          <w:sz w:val="26"/>
          <w:szCs w:val="26"/>
        </w:rPr>
        <w:t>According to the ALJ,</w:t>
      </w:r>
      <w:r w:rsidR="009F1E43" w:rsidRPr="009F1E43">
        <w:rPr>
          <w:sz w:val="26"/>
          <w:szCs w:val="26"/>
        </w:rPr>
        <w:t xml:space="preserve"> PGW argued that the billing format at issue was included in the settlement of the Company’s </w:t>
      </w:r>
      <w:r w:rsidR="00ED4606">
        <w:rPr>
          <w:sz w:val="26"/>
          <w:szCs w:val="26"/>
        </w:rPr>
        <w:t>r</w:t>
      </w:r>
      <w:r w:rsidR="009F1E43" w:rsidRPr="009F1E43">
        <w:rPr>
          <w:sz w:val="26"/>
          <w:szCs w:val="26"/>
        </w:rPr>
        <w:t xml:space="preserve">estructuring at </w:t>
      </w:r>
      <w:r w:rsidR="009F1E43" w:rsidRPr="009F1E43">
        <w:rPr>
          <w:i/>
          <w:sz w:val="26"/>
          <w:szCs w:val="26"/>
        </w:rPr>
        <w:t xml:space="preserve">Pa. </w:t>
      </w:r>
      <w:r w:rsidR="00ED4606">
        <w:rPr>
          <w:i/>
          <w:sz w:val="26"/>
          <w:szCs w:val="26"/>
        </w:rPr>
        <w:t>PUC</w:t>
      </w:r>
      <w:r w:rsidR="009F1E43" w:rsidRPr="009F1E43">
        <w:rPr>
          <w:i/>
          <w:sz w:val="26"/>
          <w:szCs w:val="26"/>
        </w:rPr>
        <w:t xml:space="preserve"> v. Philadelphia Gas Works,</w:t>
      </w:r>
      <w:r w:rsidR="009F1E43" w:rsidRPr="009F1E43">
        <w:rPr>
          <w:sz w:val="26"/>
          <w:szCs w:val="26"/>
        </w:rPr>
        <w:t xml:space="preserve"> Docket No. R-2012-2333993 (Order entered June 20, 2013) (</w:t>
      </w:r>
      <w:r w:rsidR="009F1E43" w:rsidRPr="009F1E43">
        <w:rPr>
          <w:i/>
          <w:sz w:val="26"/>
          <w:szCs w:val="26"/>
        </w:rPr>
        <w:t>June Opinion and Order</w:t>
      </w:r>
      <w:r w:rsidR="00264053">
        <w:rPr>
          <w:sz w:val="26"/>
          <w:szCs w:val="26"/>
        </w:rPr>
        <w:t xml:space="preserve">).  The ALJ also highlighted </w:t>
      </w:r>
      <w:r w:rsidR="00264053" w:rsidRPr="009F1E43">
        <w:rPr>
          <w:sz w:val="26"/>
          <w:szCs w:val="26"/>
        </w:rPr>
        <w:t>PGW</w:t>
      </w:r>
      <w:r w:rsidR="00ED4606">
        <w:rPr>
          <w:sz w:val="26"/>
          <w:szCs w:val="26"/>
        </w:rPr>
        <w:t>’</w:t>
      </w:r>
      <w:r w:rsidR="00264053" w:rsidRPr="009F1E43">
        <w:rPr>
          <w:sz w:val="26"/>
          <w:szCs w:val="26"/>
        </w:rPr>
        <w:t>s</w:t>
      </w:r>
      <w:r w:rsidR="00264053">
        <w:rPr>
          <w:sz w:val="26"/>
          <w:szCs w:val="26"/>
        </w:rPr>
        <w:t xml:space="preserve"> contention that </w:t>
      </w:r>
      <w:r w:rsidR="009F1E43" w:rsidRPr="009F1E43">
        <w:rPr>
          <w:sz w:val="26"/>
          <w:szCs w:val="26"/>
        </w:rPr>
        <w:t xml:space="preserve">while the Commission amended elements of the settlement in the </w:t>
      </w:r>
      <w:r w:rsidR="009F1E43" w:rsidRPr="009F1E43">
        <w:rPr>
          <w:i/>
          <w:sz w:val="26"/>
          <w:szCs w:val="26"/>
        </w:rPr>
        <w:t>June Opinion and Order</w:t>
      </w:r>
      <w:r w:rsidR="009F1E43" w:rsidRPr="009F1E43">
        <w:rPr>
          <w:sz w:val="26"/>
          <w:szCs w:val="26"/>
        </w:rPr>
        <w:t>, the Commission did not disapprove the billing format</w:t>
      </w:r>
      <w:r w:rsidR="00264053">
        <w:rPr>
          <w:sz w:val="26"/>
          <w:szCs w:val="26"/>
        </w:rPr>
        <w:t xml:space="preserve"> in the settlement</w:t>
      </w:r>
      <w:r w:rsidR="009F1E43" w:rsidRPr="009F1E43">
        <w:rPr>
          <w:sz w:val="26"/>
          <w:szCs w:val="26"/>
        </w:rPr>
        <w:t xml:space="preserve">.  </w:t>
      </w:r>
      <w:r w:rsidR="00264053" w:rsidRPr="00264053">
        <w:rPr>
          <w:sz w:val="26"/>
          <w:szCs w:val="26"/>
        </w:rPr>
        <w:t>I.D.</w:t>
      </w:r>
      <w:r w:rsidR="00B24AEB">
        <w:rPr>
          <w:sz w:val="26"/>
          <w:szCs w:val="26"/>
        </w:rPr>
        <w:t xml:space="preserve"> at 13</w:t>
      </w:r>
      <w:r w:rsidR="009F1E43" w:rsidRPr="009F1E43">
        <w:rPr>
          <w:sz w:val="26"/>
          <w:szCs w:val="26"/>
        </w:rPr>
        <w:t>.</w:t>
      </w:r>
      <w:r w:rsidR="00BD1206">
        <w:rPr>
          <w:sz w:val="26"/>
          <w:szCs w:val="26"/>
        </w:rPr>
        <w:t xml:space="preserve">  </w:t>
      </w:r>
      <w:r w:rsidR="00D165D2">
        <w:rPr>
          <w:sz w:val="26"/>
          <w:szCs w:val="26"/>
        </w:rPr>
        <w:t>The ALJ</w:t>
      </w:r>
      <w:r w:rsidR="009F1E43" w:rsidRPr="00C27791">
        <w:rPr>
          <w:sz w:val="26"/>
          <w:szCs w:val="26"/>
        </w:rPr>
        <w:t xml:space="preserve"> noted that </w:t>
      </w:r>
      <w:r w:rsidR="00D165D2">
        <w:rPr>
          <w:sz w:val="26"/>
          <w:szCs w:val="26"/>
        </w:rPr>
        <w:t>although the Commission did not reject</w:t>
      </w:r>
      <w:r w:rsidR="00D165D2" w:rsidRPr="00C27791">
        <w:rPr>
          <w:sz w:val="26"/>
          <w:szCs w:val="26"/>
        </w:rPr>
        <w:t xml:space="preserve"> </w:t>
      </w:r>
      <w:r w:rsidR="003B651E">
        <w:rPr>
          <w:sz w:val="26"/>
          <w:szCs w:val="26"/>
        </w:rPr>
        <w:t>PGW’s billing format</w:t>
      </w:r>
      <w:r w:rsidR="009F1E43" w:rsidRPr="00C27791">
        <w:rPr>
          <w:sz w:val="26"/>
          <w:szCs w:val="26"/>
        </w:rPr>
        <w:t xml:space="preserve"> in the </w:t>
      </w:r>
      <w:r w:rsidR="009F1E43" w:rsidRPr="00C27791">
        <w:rPr>
          <w:i/>
          <w:sz w:val="26"/>
          <w:szCs w:val="26"/>
        </w:rPr>
        <w:t>June Opinion and Order</w:t>
      </w:r>
      <w:r w:rsidR="009F1E43" w:rsidRPr="00C27791">
        <w:rPr>
          <w:sz w:val="26"/>
          <w:szCs w:val="26"/>
        </w:rPr>
        <w:t>, PGW</w:t>
      </w:r>
      <w:r w:rsidR="008902A8">
        <w:rPr>
          <w:sz w:val="26"/>
          <w:szCs w:val="26"/>
        </w:rPr>
        <w:t xml:space="preserve">’s </w:t>
      </w:r>
      <w:r w:rsidR="009F1E43" w:rsidRPr="00C27791">
        <w:rPr>
          <w:sz w:val="26"/>
          <w:szCs w:val="26"/>
        </w:rPr>
        <w:t xml:space="preserve">Commission-approved tariff </w:t>
      </w:r>
      <w:r w:rsidR="008902A8">
        <w:rPr>
          <w:sz w:val="26"/>
          <w:szCs w:val="26"/>
        </w:rPr>
        <w:t xml:space="preserve">contains the approved </w:t>
      </w:r>
      <w:r w:rsidR="008902A8" w:rsidRPr="00C27791">
        <w:rPr>
          <w:sz w:val="26"/>
          <w:szCs w:val="26"/>
        </w:rPr>
        <w:t>rates</w:t>
      </w:r>
      <w:r w:rsidR="008902A8">
        <w:rPr>
          <w:sz w:val="26"/>
          <w:szCs w:val="26"/>
        </w:rPr>
        <w:t xml:space="preserve"> and </w:t>
      </w:r>
      <w:r w:rsidR="008902A8" w:rsidRPr="00C27791">
        <w:rPr>
          <w:sz w:val="26"/>
          <w:szCs w:val="26"/>
        </w:rPr>
        <w:t xml:space="preserve">elements of the </w:t>
      </w:r>
      <w:r w:rsidR="008902A8">
        <w:rPr>
          <w:sz w:val="26"/>
          <w:szCs w:val="26"/>
        </w:rPr>
        <w:t>Distribution Charge and the Commission-approved billing format</w:t>
      </w:r>
      <w:r w:rsidR="009F1E43" w:rsidRPr="00C27791">
        <w:rPr>
          <w:sz w:val="26"/>
          <w:szCs w:val="26"/>
        </w:rPr>
        <w:t>.</w:t>
      </w:r>
      <w:r w:rsidR="009F1E43" w:rsidRPr="00C27791">
        <w:rPr>
          <w:rStyle w:val="FootnoteReference"/>
          <w:sz w:val="26"/>
          <w:szCs w:val="26"/>
        </w:rPr>
        <w:footnoteReference w:id="9"/>
      </w:r>
      <w:r w:rsidR="009F1E43" w:rsidRPr="00C27791">
        <w:rPr>
          <w:sz w:val="26"/>
          <w:szCs w:val="26"/>
        </w:rPr>
        <w:t xml:space="preserve">  The </w:t>
      </w:r>
      <w:r w:rsidR="00C27791" w:rsidRPr="00C27791">
        <w:rPr>
          <w:sz w:val="26"/>
          <w:szCs w:val="26"/>
        </w:rPr>
        <w:t xml:space="preserve">ALJ </w:t>
      </w:r>
      <w:r w:rsidR="00D165D2">
        <w:rPr>
          <w:sz w:val="26"/>
          <w:szCs w:val="26"/>
        </w:rPr>
        <w:t>found</w:t>
      </w:r>
      <w:r w:rsidR="00D165D2" w:rsidRPr="00C27791">
        <w:rPr>
          <w:sz w:val="26"/>
          <w:szCs w:val="26"/>
        </w:rPr>
        <w:t xml:space="preserve"> </w:t>
      </w:r>
      <w:r w:rsidR="00C27791" w:rsidRPr="00C27791">
        <w:rPr>
          <w:sz w:val="26"/>
          <w:szCs w:val="26"/>
        </w:rPr>
        <w:t>that PGW’s bill</w:t>
      </w:r>
      <w:r w:rsidR="00264053">
        <w:rPr>
          <w:sz w:val="26"/>
          <w:szCs w:val="26"/>
        </w:rPr>
        <w:t>ing</w:t>
      </w:r>
      <w:r w:rsidR="00C27791" w:rsidRPr="00C27791">
        <w:rPr>
          <w:sz w:val="26"/>
          <w:szCs w:val="26"/>
        </w:rPr>
        <w:t xml:space="preserve"> format</w:t>
      </w:r>
      <w:r w:rsidR="009F1E43" w:rsidRPr="00C27791">
        <w:rPr>
          <w:sz w:val="26"/>
          <w:szCs w:val="26"/>
        </w:rPr>
        <w:t xml:space="preserve"> should</w:t>
      </w:r>
      <w:r w:rsidR="00A96C33">
        <w:rPr>
          <w:sz w:val="26"/>
          <w:szCs w:val="26"/>
        </w:rPr>
        <w:t>,</w:t>
      </w:r>
      <w:r w:rsidR="009F1E43" w:rsidRPr="00C27791">
        <w:rPr>
          <w:sz w:val="26"/>
          <w:szCs w:val="26"/>
        </w:rPr>
        <w:t xml:space="preserve"> </w:t>
      </w:r>
      <w:r w:rsidR="00C27791" w:rsidRPr="00C27791">
        <w:rPr>
          <w:sz w:val="26"/>
          <w:szCs w:val="26"/>
        </w:rPr>
        <w:t>therefore</w:t>
      </w:r>
      <w:r w:rsidR="00A96C33">
        <w:rPr>
          <w:sz w:val="26"/>
          <w:szCs w:val="26"/>
        </w:rPr>
        <w:t>,</w:t>
      </w:r>
      <w:r w:rsidR="00C27791" w:rsidRPr="00C27791">
        <w:rPr>
          <w:sz w:val="26"/>
          <w:szCs w:val="26"/>
        </w:rPr>
        <w:t xml:space="preserve"> </w:t>
      </w:r>
      <w:r w:rsidR="009F1E43" w:rsidRPr="00C27791">
        <w:rPr>
          <w:sz w:val="26"/>
          <w:szCs w:val="26"/>
        </w:rPr>
        <w:t>correspond with the most recent</w:t>
      </w:r>
      <w:r w:rsidR="00A96C33">
        <w:rPr>
          <w:sz w:val="26"/>
          <w:szCs w:val="26"/>
        </w:rPr>
        <w:t>,</w:t>
      </w:r>
      <w:r w:rsidR="009F1E43" w:rsidRPr="00C27791">
        <w:rPr>
          <w:sz w:val="26"/>
          <w:szCs w:val="26"/>
        </w:rPr>
        <w:t xml:space="preserve"> Commission-approved tariff.  </w:t>
      </w:r>
      <w:r w:rsidR="00A96C33">
        <w:rPr>
          <w:sz w:val="26"/>
          <w:szCs w:val="26"/>
        </w:rPr>
        <w:t>More s</w:t>
      </w:r>
      <w:r w:rsidR="00C27791" w:rsidRPr="00C27791">
        <w:rPr>
          <w:sz w:val="26"/>
          <w:szCs w:val="26"/>
        </w:rPr>
        <w:t xml:space="preserve">pecifically, the ALJ noted that in the instant proceeding, PGW’s tariff </w:t>
      </w:r>
      <w:r w:rsidR="009F1E43" w:rsidRPr="00C27791">
        <w:rPr>
          <w:sz w:val="26"/>
          <w:szCs w:val="26"/>
        </w:rPr>
        <w:t xml:space="preserve">presents the DSIC as part of the </w:t>
      </w:r>
      <w:r w:rsidR="00C56035">
        <w:rPr>
          <w:sz w:val="26"/>
          <w:szCs w:val="26"/>
        </w:rPr>
        <w:t>Distribution Charge</w:t>
      </w:r>
      <w:r w:rsidR="009F1E43" w:rsidRPr="00C27791">
        <w:rPr>
          <w:sz w:val="26"/>
          <w:szCs w:val="26"/>
        </w:rPr>
        <w:t xml:space="preserve"> and not separate or distinct from the </w:t>
      </w:r>
      <w:r w:rsidR="00C56035">
        <w:rPr>
          <w:sz w:val="26"/>
          <w:szCs w:val="26"/>
        </w:rPr>
        <w:t>Distribution Charge</w:t>
      </w:r>
      <w:r w:rsidR="009F1E43" w:rsidRPr="00C27791">
        <w:rPr>
          <w:sz w:val="26"/>
          <w:szCs w:val="26"/>
        </w:rPr>
        <w:t xml:space="preserve">.  The </w:t>
      </w:r>
      <w:r w:rsidR="00C27791" w:rsidRPr="00C27791">
        <w:rPr>
          <w:sz w:val="26"/>
          <w:szCs w:val="26"/>
        </w:rPr>
        <w:t xml:space="preserve">ALJ </w:t>
      </w:r>
      <w:r w:rsidR="002934F7">
        <w:rPr>
          <w:sz w:val="26"/>
          <w:szCs w:val="26"/>
        </w:rPr>
        <w:t xml:space="preserve">averred that </w:t>
      </w:r>
      <w:r w:rsidR="00043968">
        <w:rPr>
          <w:sz w:val="26"/>
          <w:szCs w:val="26"/>
        </w:rPr>
        <w:t xml:space="preserve">she understands </w:t>
      </w:r>
      <w:r w:rsidR="00C27791" w:rsidRPr="00C27791">
        <w:rPr>
          <w:sz w:val="26"/>
          <w:szCs w:val="26"/>
        </w:rPr>
        <w:t xml:space="preserve">PGW’s </w:t>
      </w:r>
      <w:r w:rsidR="009F1E43" w:rsidRPr="00C27791">
        <w:rPr>
          <w:sz w:val="26"/>
          <w:szCs w:val="26"/>
        </w:rPr>
        <w:t xml:space="preserve">explanation </w:t>
      </w:r>
      <w:r w:rsidR="00C27791" w:rsidRPr="00C27791">
        <w:rPr>
          <w:sz w:val="26"/>
          <w:szCs w:val="26"/>
        </w:rPr>
        <w:t>of its</w:t>
      </w:r>
      <w:r w:rsidR="009F1E43" w:rsidRPr="00C27791">
        <w:rPr>
          <w:sz w:val="26"/>
          <w:szCs w:val="26"/>
        </w:rPr>
        <w:t xml:space="preserve"> </w:t>
      </w:r>
      <w:r w:rsidR="00ED2B57">
        <w:rPr>
          <w:sz w:val="26"/>
          <w:szCs w:val="26"/>
        </w:rPr>
        <w:t>billing format</w:t>
      </w:r>
      <w:r w:rsidR="00C27791" w:rsidRPr="00C27791">
        <w:rPr>
          <w:sz w:val="26"/>
          <w:szCs w:val="26"/>
        </w:rPr>
        <w:t xml:space="preserve"> </w:t>
      </w:r>
      <w:r w:rsidR="002934F7">
        <w:rPr>
          <w:sz w:val="26"/>
          <w:szCs w:val="26"/>
        </w:rPr>
        <w:t xml:space="preserve">and </w:t>
      </w:r>
      <w:r w:rsidR="009F1E43" w:rsidRPr="00C27791">
        <w:rPr>
          <w:sz w:val="26"/>
          <w:szCs w:val="26"/>
        </w:rPr>
        <w:t xml:space="preserve">why it </w:t>
      </w:r>
      <w:r w:rsidR="00043968">
        <w:rPr>
          <w:sz w:val="26"/>
          <w:szCs w:val="26"/>
        </w:rPr>
        <w:t>is not c</w:t>
      </w:r>
      <w:r w:rsidR="009F1E43" w:rsidRPr="00C27791">
        <w:rPr>
          <w:sz w:val="26"/>
          <w:szCs w:val="26"/>
        </w:rPr>
        <w:t>onsistent with the tariff</w:t>
      </w:r>
      <w:r w:rsidR="002934F7">
        <w:rPr>
          <w:sz w:val="26"/>
          <w:szCs w:val="26"/>
        </w:rPr>
        <w:t xml:space="preserve">.  </w:t>
      </w:r>
      <w:r w:rsidR="00AD5FB2">
        <w:rPr>
          <w:sz w:val="26"/>
          <w:szCs w:val="26"/>
        </w:rPr>
        <w:t xml:space="preserve">Nevertheless, she ruled that PGW’s billing format violates Section 1301 of the Code, Pa. C.S. § 1301 which requires that </w:t>
      </w:r>
      <w:r w:rsidR="00AD5FB2" w:rsidRPr="00AD5FB2">
        <w:rPr>
          <w:sz w:val="26"/>
          <w:szCs w:val="26"/>
        </w:rPr>
        <w:t>“</w:t>
      </w:r>
      <w:r w:rsidR="00AD5FB2">
        <w:rPr>
          <w:sz w:val="26"/>
          <w:szCs w:val="26"/>
        </w:rPr>
        <w:t>[e]</w:t>
      </w:r>
      <w:r w:rsidR="00AD5FB2" w:rsidRPr="00AD5FB2">
        <w:rPr>
          <w:sz w:val="26"/>
          <w:szCs w:val="26"/>
        </w:rPr>
        <w:t xml:space="preserve">very rate made, demanded, or received by any public </w:t>
      </w:r>
      <w:r w:rsidR="00AD5FB2" w:rsidRPr="00AD5FB2">
        <w:rPr>
          <w:sz w:val="26"/>
          <w:szCs w:val="26"/>
        </w:rPr>
        <w:lastRenderedPageBreak/>
        <w:t xml:space="preserve">utility,…shall be just and reasonable, </w:t>
      </w:r>
      <w:r w:rsidR="00AD5FB2" w:rsidRPr="00AD5FB2">
        <w:rPr>
          <w:b/>
          <w:sz w:val="26"/>
          <w:szCs w:val="26"/>
        </w:rPr>
        <w:t xml:space="preserve">and in conformity with regulations or orders of the commission.” </w:t>
      </w:r>
      <w:r w:rsidR="00AD5FB2">
        <w:rPr>
          <w:b/>
          <w:sz w:val="26"/>
          <w:szCs w:val="26"/>
        </w:rPr>
        <w:t xml:space="preserve"> </w:t>
      </w:r>
      <w:r w:rsidR="00AD5FB2">
        <w:rPr>
          <w:sz w:val="26"/>
          <w:szCs w:val="26"/>
        </w:rPr>
        <w:t xml:space="preserve">(Emphasis added).  </w:t>
      </w:r>
      <w:r w:rsidR="00B204ED" w:rsidRPr="00264053">
        <w:rPr>
          <w:sz w:val="26"/>
          <w:szCs w:val="26"/>
        </w:rPr>
        <w:t>I.D.</w:t>
      </w:r>
      <w:r w:rsidR="00C27791" w:rsidRPr="009F1E43">
        <w:rPr>
          <w:sz w:val="26"/>
          <w:szCs w:val="26"/>
        </w:rPr>
        <w:t xml:space="preserve"> at </w:t>
      </w:r>
      <w:r w:rsidR="00C27791">
        <w:rPr>
          <w:sz w:val="26"/>
          <w:szCs w:val="26"/>
        </w:rPr>
        <w:t>14.</w:t>
      </w:r>
      <w:r w:rsidR="00AD5FB2">
        <w:rPr>
          <w:sz w:val="26"/>
          <w:szCs w:val="26"/>
        </w:rPr>
        <w:t xml:space="preserve">  Thus, </w:t>
      </w:r>
      <w:r w:rsidR="00BD1206">
        <w:rPr>
          <w:sz w:val="26"/>
          <w:szCs w:val="26"/>
        </w:rPr>
        <w:t>t</w:t>
      </w:r>
      <w:r w:rsidR="006D525F" w:rsidRPr="006D525F">
        <w:rPr>
          <w:sz w:val="26"/>
          <w:szCs w:val="26"/>
        </w:rPr>
        <w:t xml:space="preserve">he ALJ </w:t>
      </w:r>
      <w:r w:rsidR="00D165D2">
        <w:rPr>
          <w:sz w:val="26"/>
          <w:szCs w:val="26"/>
        </w:rPr>
        <w:t xml:space="preserve">found </w:t>
      </w:r>
      <w:r w:rsidR="003B651E">
        <w:rPr>
          <w:sz w:val="26"/>
          <w:szCs w:val="26"/>
        </w:rPr>
        <w:t xml:space="preserve">that </w:t>
      </w:r>
      <w:r w:rsidR="006D525F" w:rsidRPr="006D525F">
        <w:rPr>
          <w:sz w:val="26"/>
          <w:szCs w:val="26"/>
        </w:rPr>
        <w:t>PGW</w:t>
      </w:r>
      <w:r w:rsidR="003B651E">
        <w:rPr>
          <w:sz w:val="26"/>
          <w:szCs w:val="26"/>
        </w:rPr>
        <w:t>’s</w:t>
      </w:r>
      <w:r w:rsidR="006D525F" w:rsidRPr="006D525F">
        <w:rPr>
          <w:sz w:val="26"/>
          <w:szCs w:val="26"/>
        </w:rPr>
        <w:t xml:space="preserve"> </w:t>
      </w:r>
      <w:r w:rsidR="003B651E">
        <w:rPr>
          <w:sz w:val="26"/>
          <w:szCs w:val="26"/>
        </w:rPr>
        <w:t>deviation</w:t>
      </w:r>
      <w:r w:rsidR="006D525F" w:rsidRPr="006D525F">
        <w:rPr>
          <w:sz w:val="26"/>
          <w:szCs w:val="26"/>
        </w:rPr>
        <w:t xml:space="preserve"> from its </w:t>
      </w:r>
      <w:r w:rsidR="003B651E">
        <w:rPr>
          <w:sz w:val="26"/>
          <w:szCs w:val="26"/>
        </w:rPr>
        <w:t xml:space="preserve">Commission-approved tariff </w:t>
      </w:r>
      <w:r w:rsidR="00D165D2">
        <w:rPr>
          <w:sz w:val="26"/>
          <w:szCs w:val="26"/>
        </w:rPr>
        <w:t xml:space="preserve">indicates </w:t>
      </w:r>
      <w:r w:rsidR="00C27791" w:rsidRPr="006D525F">
        <w:rPr>
          <w:sz w:val="26"/>
          <w:szCs w:val="26"/>
        </w:rPr>
        <w:t xml:space="preserve">it is </w:t>
      </w:r>
      <w:r w:rsidR="006D525F">
        <w:rPr>
          <w:sz w:val="26"/>
          <w:szCs w:val="26"/>
        </w:rPr>
        <w:t>no longer</w:t>
      </w:r>
      <w:r w:rsidR="00C27791" w:rsidRPr="006D525F">
        <w:rPr>
          <w:sz w:val="26"/>
          <w:szCs w:val="26"/>
        </w:rPr>
        <w:t xml:space="preserve"> in </w:t>
      </w:r>
      <w:r w:rsidR="003B651E">
        <w:rPr>
          <w:sz w:val="26"/>
          <w:szCs w:val="26"/>
        </w:rPr>
        <w:t>conformity with the Commission O</w:t>
      </w:r>
      <w:r w:rsidR="00C27791" w:rsidRPr="006D525F">
        <w:rPr>
          <w:sz w:val="26"/>
          <w:szCs w:val="26"/>
        </w:rPr>
        <w:t xml:space="preserve">rder that approved the tariff.  </w:t>
      </w:r>
      <w:r w:rsidR="00AD5FB2">
        <w:rPr>
          <w:sz w:val="26"/>
          <w:szCs w:val="26"/>
        </w:rPr>
        <w:t xml:space="preserve">The ALJ also determined </w:t>
      </w:r>
      <w:r w:rsidR="003B651E">
        <w:rPr>
          <w:sz w:val="26"/>
          <w:szCs w:val="26"/>
        </w:rPr>
        <w:t xml:space="preserve">that </w:t>
      </w:r>
      <w:r w:rsidR="006D525F" w:rsidRPr="006D525F">
        <w:rPr>
          <w:sz w:val="26"/>
          <w:szCs w:val="26"/>
        </w:rPr>
        <w:t>the consequence</w:t>
      </w:r>
      <w:r w:rsidR="00B204ED">
        <w:rPr>
          <w:sz w:val="26"/>
          <w:szCs w:val="26"/>
        </w:rPr>
        <w:t xml:space="preserve"> of PGW’s</w:t>
      </w:r>
      <w:r w:rsidR="00C27791" w:rsidRPr="006D525F">
        <w:rPr>
          <w:sz w:val="26"/>
          <w:szCs w:val="26"/>
        </w:rPr>
        <w:t xml:space="preserve"> deviation </w:t>
      </w:r>
      <w:r w:rsidR="00B204ED">
        <w:rPr>
          <w:sz w:val="26"/>
          <w:szCs w:val="26"/>
        </w:rPr>
        <w:t xml:space="preserve">from its Commission-approved tariff in its billing format </w:t>
      </w:r>
      <w:r w:rsidR="00C27791" w:rsidRPr="006D525F">
        <w:rPr>
          <w:sz w:val="26"/>
          <w:szCs w:val="26"/>
        </w:rPr>
        <w:t xml:space="preserve">may result in a civil penalty.  </w:t>
      </w:r>
      <w:r w:rsidR="006D525F" w:rsidRPr="006D525F">
        <w:rPr>
          <w:i/>
          <w:sz w:val="26"/>
          <w:szCs w:val="26"/>
        </w:rPr>
        <w:t>Id.</w:t>
      </w:r>
    </w:p>
    <w:p w:rsidR="004F63F1" w:rsidRDefault="004F63F1" w:rsidP="00085E5A">
      <w:pPr>
        <w:widowControl/>
        <w:spacing w:line="360" w:lineRule="auto"/>
        <w:ind w:firstLine="1440"/>
        <w:contextualSpacing/>
        <w:rPr>
          <w:sz w:val="26"/>
          <w:szCs w:val="26"/>
        </w:rPr>
      </w:pPr>
    </w:p>
    <w:p w:rsidR="00B80D14" w:rsidRDefault="00B204ED" w:rsidP="00085E5A">
      <w:pPr>
        <w:pStyle w:val="FootnoteText"/>
        <w:widowControl/>
        <w:spacing w:line="360" w:lineRule="auto"/>
        <w:ind w:left="86" w:firstLine="1354"/>
        <w:contextualSpacing/>
        <w:rPr>
          <w:sz w:val="26"/>
          <w:szCs w:val="26"/>
        </w:rPr>
      </w:pPr>
      <w:r>
        <w:rPr>
          <w:sz w:val="26"/>
          <w:szCs w:val="26"/>
        </w:rPr>
        <w:t>With regard to</w:t>
      </w:r>
      <w:r w:rsidR="004F63F1" w:rsidRPr="004F63F1">
        <w:rPr>
          <w:sz w:val="26"/>
          <w:szCs w:val="26"/>
        </w:rPr>
        <w:t xml:space="preserve"> the consequence of </w:t>
      </w:r>
      <w:r w:rsidR="00B80D14">
        <w:rPr>
          <w:sz w:val="26"/>
          <w:szCs w:val="26"/>
        </w:rPr>
        <w:t xml:space="preserve">the inconsistency between </w:t>
      </w:r>
      <w:r w:rsidR="004F63F1" w:rsidRPr="004F63F1">
        <w:rPr>
          <w:sz w:val="26"/>
          <w:szCs w:val="26"/>
        </w:rPr>
        <w:t>PGW’s bill</w:t>
      </w:r>
      <w:r>
        <w:rPr>
          <w:sz w:val="26"/>
          <w:szCs w:val="26"/>
        </w:rPr>
        <w:t>ing</w:t>
      </w:r>
      <w:r w:rsidR="00B80D14">
        <w:rPr>
          <w:sz w:val="26"/>
          <w:szCs w:val="26"/>
        </w:rPr>
        <w:t xml:space="preserve"> format and </w:t>
      </w:r>
      <w:r w:rsidR="004F63F1" w:rsidRPr="004F63F1">
        <w:rPr>
          <w:sz w:val="26"/>
          <w:szCs w:val="26"/>
        </w:rPr>
        <w:t xml:space="preserve">its Commission-approved tariff, the ALJ </w:t>
      </w:r>
      <w:r>
        <w:rPr>
          <w:sz w:val="26"/>
          <w:szCs w:val="26"/>
        </w:rPr>
        <w:t>noted</w:t>
      </w:r>
      <w:r w:rsidR="004F63F1" w:rsidRPr="004F63F1">
        <w:rPr>
          <w:sz w:val="26"/>
          <w:szCs w:val="26"/>
        </w:rPr>
        <w:t xml:space="preserve"> PGW</w:t>
      </w:r>
      <w:r>
        <w:rPr>
          <w:sz w:val="26"/>
          <w:szCs w:val="26"/>
        </w:rPr>
        <w:t>’s contention</w:t>
      </w:r>
      <w:r w:rsidR="004F63F1" w:rsidRPr="004F63F1">
        <w:rPr>
          <w:sz w:val="26"/>
          <w:szCs w:val="26"/>
        </w:rPr>
        <w:t xml:space="preserve"> that the Commission should not assess a civil penalty if it is perceived that</w:t>
      </w:r>
      <w:r>
        <w:rPr>
          <w:sz w:val="26"/>
          <w:szCs w:val="26"/>
        </w:rPr>
        <w:t xml:space="preserve"> PGW </w:t>
      </w:r>
      <w:r w:rsidR="004F63F1" w:rsidRPr="004F63F1">
        <w:rPr>
          <w:sz w:val="26"/>
          <w:szCs w:val="26"/>
        </w:rPr>
        <w:t>committed a violation to a Commission-approved tariff through the billing format on the Complainant’s February 19, 2014 bill.</w:t>
      </w:r>
      <w:r>
        <w:rPr>
          <w:sz w:val="26"/>
          <w:szCs w:val="26"/>
        </w:rPr>
        <w:t xml:space="preserve">  </w:t>
      </w:r>
      <w:r w:rsidR="00300C05">
        <w:rPr>
          <w:sz w:val="26"/>
          <w:szCs w:val="26"/>
        </w:rPr>
        <w:t xml:space="preserve">I.D. </w:t>
      </w:r>
      <w:r w:rsidRPr="006D525F">
        <w:rPr>
          <w:sz w:val="26"/>
          <w:szCs w:val="26"/>
        </w:rPr>
        <w:t>at 14</w:t>
      </w:r>
      <w:r w:rsidR="00300C05">
        <w:rPr>
          <w:sz w:val="26"/>
          <w:szCs w:val="26"/>
        </w:rPr>
        <w:t xml:space="preserve">, </w:t>
      </w:r>
      <w:r>
        <w:rPr>
          <w:sz w:val="26"/>
          <w:szCs w:val="26"/>
        </w:rPr>
        <w:t xml:space="preserve">citing </w:t>
      </w:r>
      <w:r w:rsidRPr="006D525F">
        <w:rPr>
          <w:sz w:val="26"/>
          <w:szCs w:val="26"/>
        </w:rPr>
        <w:t>66 Pa.</w:t>
      </w:r>
      <w:r>
        <w:rPr>
          <w:sz w:val="26"/>
          <w:szCs w:val="26"/>
        </w:rPr>
        <w:t xml:space="preserve"> C.S. § 33</w:t>
      </w:r>
      <w:r w:rsidRPr="006D525F">
        <w:rPr>
          <w:sz w:val="26"/>
          <w:szCs w:val="26"/>
        </w:rPr>
        <w:t>01</w:t>
      </w:r>
      <w:r>
        <w:rPr>
          <w:sz w:val="26"/>
          <w:szCs w:val="26"/>
        </w:rPr>
        <w:t xml:space="preserve">(a).  </w:t>
      </w:r>
      <w:r w:rsidR="00AC1DC9">
        <w:rPr>
          <w:sz w:val="26"/>
          <w:szCs w:val="26"/>
        </w:rPr>
        <w:t>The ALJ stated that c</w:t>
      </w:r>
      <w:r>
        <w:rPr>
          <w:sz w:val="26"/>
          <w:szCs w:val="26"/>
        </w:rPr>
        <w:t xml:space="preserve">onsistent with </w:t>
      </w:r>
      <w:r w:rsidRPr="006D525F">
        <w:rPr>
          <w:sz w:val="26"/>
          <w:szCs w:val="26"/>
        </w:rPr>
        <w:t>66 Pa.</w:t>
      </w:r>
      <w:r>
        <w:rPr>
          <w:sz w:val="26"/>
          <w:szCs w:val="26"/>
        </w:rPr>
        <w:t xml:space="preserve"> C.S. § 33</w:t>
      </w:r>
      <w:r w:rsidRPr="006D525F">
        <w:rPr>
          <w:sz w:val="26"/>
          <w:szCs w:val="26"/>
        </w:rPr>
        <w:t>01</w:t>
      </w:r>
      <w:r>
        <w:rPr>
          <w:sz w:val="26"/>
          <w:szCs w:val="26"/>
        </w:rPr>
        <w:t>(a), if the violation involves “negligence,” the presumption is that the penalty will range from $0 to $500 per day.</w:t>
      </w:r>
      <w:r>
        <w:rPr>
          <w:rStyle w:val="FootnoteReference"/>
          <w:sz w:val="26"/>
          <w:szCs w:val="26"/>
        </w:rPr>
        <w:footnoteReference w:id="10"/>
      </w:r>
      <w:r>
        <w:rPr>
          <w:sz w:val="26"/>
          <w:szCs w:val="26"/>
        </w:rPr>
        <w:t xml:space="preserve">  </w:t>
      </w:r>
      <w:r w:rsidR="00AD5FB2">
        <w:rPr>
          <w:sz w:val="26"/>
          <w:szCs w:val="26"/>
        </w:rPr>
        <w:t xml:space="preserve">The ALJ abided by the </w:t>
      </w:r>
      <w:r w:rsidR="00BF28CB">
        <w:rPr>
          <w:sz w:val="26"/>
          <w:szCs w:val="26"/>
        </w:rPr>
        <w:t>Commission’s polic</w:t>
      </w:r>
      <w:r w:rsidR="000E563C">
        <w:rPr>
          <w:sz w:val="26"/>
          <w:szCs w:val="26"/>
        </w:rPr>
        <w:t xml:space="preserve">y statement at 52 Pa. Code § </w:t>
      </w:r>
      <w:r w:rsidR="000E563C" w:rsidRPr="00B80D14">
        <w:rPr>
          <w:sz w:val="26"/>
          <w:szCs w:val="26"/>
        </w:rPr>
        <w:t>69.1201</w:t>
      </w:r>
      <w:r w:rsidR="000E563C">
        <w:rPr>
          <w:sz w:val="26"/>
          <w:szCs w:val="26"/>
        </w:rPr>
        <w:t>,</w:t>
      </w:r>
      <w:r w:rsidR="00AD5FB2">
        <w:rPr>
          <w:sz w:val="26"/>
          <w:szCs w:val="26"/>
        </w:rPr>
        <w:t xml:space="preserve"> in reaching a determination of whether a civil penalty should be assessed against PGW and if so, the amount of the civil penalty</w:t>
      </w:r>
      <w:r w:rsidR="00F55A62">
        <w:rPr>
          <w:sz w:val="26"/>
          <w:szCs w:val="26"/>
        </w:rPr>
        <w:t>.</w:t>
      </w:r>
      <w:r w:rsidR="00B80D14">
        <w:rPr>
          <w:rStyle w:val="FootnoteReference"/>
          <w:sz w:val="26"/>
          <w:szCs w:val="26"/>
        </w:rPr>
        <w:footnoteReference w:id="11"/>
      </w:r>
      <w:r w:rsidR="00B80D14">
        <w:rPr>
          <w:sz w:val="26"/>
          <w:szCs w:val="26"/>
        </w:rPr>
        <w:t xml:space="preserve">  </w:t>
      </w:r>
      <w:r w:rsidR="00BC40E9">
        <w:rPr>
          <w:sz w:val="26"/>
          <w:szCs w:val="26"/>
        </w:rPr>
        <w:t>I.D. at 15.</w:t>
      </w:r>
    </w:p>
    <w:p w:rsidR="00B80D14" w:rsidRDefault="00B80D14" w:rsidP="00085E5A">
      <w:pPr>
        <w:pStyle w:val="FootnoteText"/>
        <w:widowControl/>
        <w:spacing w:line="360" w:lineRule="auto"/>
        <w:ind w:left="86" w:firstLine="1354"/>
        <w:contextualSpacing/>
        <w:rPr>
          <w:sz w:val="26"/>
          <w:szCs w:val="26"/>
        </w:rPr>
      </w:pPr>
    </w:p>
    <w:p w:rsidR="00AC1DC9" w:rsidRDefault="00F55A62" w:rsidP="00085E5A">
      <w:pPr>
        <w:pStyle w:val="FootnoteText"/>
        <w:widowControl/>
        <w:spacing w:line="360" w:lineRule="auto"/>
        <w:ind w:left="86" w:firstLine="1354"/>
        <w:contextualSpacing/>
        <w:rPr>
          <w:sz w:val="26"/>
          <w:szCs w:val="26"/>
        </w:rPr>
      </w:pPr>
      <w:r>
        <w:rPr>
          <w:sz w:val="26"/>
          <w:szCs w:val="26"/>
        </w:rPr>
        <w:t>A</w:t>
      </w:r>
      <w:r w:rsidR="00951E1F">
        <w:rPr>
          <w:sz w:val="26"/>
          <w:szCs w:val="26"/>
        </w:rPr>
        <w:t>fter a</w:t>
      </w:r>
      <w:r w:rsidR="00957FFA">
        <w:rPr>
          <w:sz w:val="26"/>
          <w:szCs w:val="26"/>
        </w:rPr>
        <w:t xml:space="preserve"> careful examin</w:t>
      </w:r>
      <w:r w:rsidR="00951E1F">
        <w:rPr>
          <w:sz w:val="26"/>
          <w:szCs w:val="26"/>
        </w:rPr>
        <w:t xml:space="preserve">ation of </w:t>
      </w:r>
      <w:r w:rsidR="00BC40E9">
        <w:rPr>
          <w:sz w:val="26"/>
          <w:szCs w:val="26"/>
        </w:rPr>
        <w:t xml:space="preserve">all </w:t>
      </w:r>
      <w:r w:rsidR="00957FFA">
        <w:rPr>
          <w:sz w:val="26"/>
          <w:szCs w:val="26"/>
        </w:rPr>
        <w:t xml:space="preserve">the factors and standards </w:t>
      </w:r>
      <w:r>
        <w:rPr>
          <w:sz w:val="26"/>
          <w:szCs w:val="26"/>
        </w:rPr>
        <w:t xml:space="preserve">contained in the Policy Statement, </w:t>
      </w:r>
      <w:r w:rsidR="00957FFA">
        <w:rPr>
          <w:sz w:val="26"/>
          <w:szCs w:val="26"/>
        </w:rPr>
        <w:t xml:space="preserve">the ALJ </w:t>
      </w:r>
      <w:r w:rsidR="00D20849">
        <w:rPr>
          <w:sz w:val="26"/>
          <w:szCs w:val="26"/>
        </w:rPr>
        <w:t>found that PGW was not</w:t>
      </w:r>
      <w:r w:rsidR="00957FFA">
        <w:rPr>
          <w:sz w:val="26"/>
          <w:szCs w:val="26"/>
        </w:rPr>
        <w:t xml:space="preserve"> in contempt of any of the factors and standards.  The ALJ </w:t>
      </w:r>
      <w:r w:rsidR="00951E1F">
        <w:rPr>
          <w:sz w:val="26"/>
          <w:szCs w:val="26"/>
        </w:rPr>
        <w:t xml:space="preserve">further </w:t>
      </w:r>
      <w:r w:rsidR="00957FFA">
        <w:rPr>
          <w:sz w:val="26"/>
          <w:szCs w:val="26"/>
        </w:rPr>
        <w:t xml:space="preserve">surmised that </w:t>
      </w:r>
      <w:r w:rsidR="00D20849">
        <w:rPr>
          <w:sz w:val="26"/>
          <w:szCs w:val="26"/>
        </w:rPr>
        <w:t>although</w:t>
      </w:r>
      <w:r w:rsidR="00957FFA">
        <w:rPr>
          <w:sz w:val="26"/>
          <w:szCs w:val="26"/>
        </w:rPr>
        <w:t xml:space="preserve"> PGW is culpable of inconsistency between </w:t>
      </w:r>
      <w:r w:rsidR="00BC40E9">
        <w:rPr>
          <w:sz w:val="26"/>
          <w:szCs w:val="26"/>
        </w:rPr>
        <w:t xml:space="preserve">its tariff and its billing format, the inconsistency was not intentional and did not result in danger or injury to the Complainant.  The ALJ further noted that PGW was </w:t>
      </w:r>
      <w:r w:rsidR="00D20849">
        <w:rPr>
          <w:sz w:val="26"/>
          <w:szCs w:val="26"/>
        </w:rPr>
        <w:t xml:space="preserve">merely </w:t>
      </w:r>
      <w:r w:rsidR="00BC40E9">
        <w:rPr>
          <w:sz w:val="26"/>
          <w:szCs w:val="26"/>
        </w:rPr>
        <w:t xml:space="preserve">attempting to comply with the Commission’s plain language policy when it implemented the billing format.  Therefore, the ALJ concluded that PGW’s actions in </w:t>
      </w:r>
      <w:r w:rsidR="00BC40E9">
        <w:rPr>
          <w:sz w:val="26"/>
          <w:szCs w:val="26"/>
        </w:rPr>
        <w:lastRenderedPageBreak/>
        <w:t xml:space="preserve">the instant proceeding did not rise to the level of levying a civil penalty.  </w:t>
      </w:r>
      <w:r w:rsidR="00BC40E9" w:rsidRPr="00BC40E9">
        <w:rPr>
          <w:i/>
          <w:sz w:val="26"/>
          <w:szCs w:val="26"/>
        </w:rPr>
        <w:t>Id.</w:t>
      </w:r>
      <w:r w:rsidR="00BC40E9">
        <w:rPr>
          <w:sz w:val="26"/>
          <w:szCs w:val="26"/>
        </w:rPr>
        <w:t xml:space="preserve"> at 15-19, citing </w:t>
      </w:r>
      <w:r w:rsidR="00BC40E9" w:rsidRPr="00B80D14">
        <w:rPr>
          <w:sz w:val="26"/>
          <w:szCs w:val="26"/>
        </w:rPr>
        <w:t>52 Pa.</w:t>
      </w:r>
      <w:r w:rsidR="00BC40E9">
        <w:rPr>
          <w:sz w:val="26"/>
          <w:szCs w:val="26"/>
        </w:rPr>
        <w:t xml:space="preserve"> </w:t>
      </w:r>
      <w:r w:rsidR="00BC40E9" w:rsidRPr="00B80D14">
        <w:rPr>
          <w:sz w:val="26"/>
          <w:szCs w:val="26"/>
        </w:rPr>
        <w:t>Code § 69.1201(a)</w:t>
      </w:r>
      <w:r w:rsidR="00BC40E9">
        <w:rPr>
          <w:sz w:val="26"/>
          <w:szCs w:val="26"/>
        </w:rPr>
        <w:t xml:space="preserve"> and </w:t>
      </w:r>
      <w:r w:rsidR="00BC40E9" w:rsidRPr="00B80D14">
        <w:rPr>
          <w:sz w:val="26"/>
          <w:szCs w:val="26"/>
        </w:rPr>
        <w:t>52 Pa.</w:t>
      </w:r>
      <w:r w:rsidR="00BC40E9">
        <w:rPr>
          <w:sz w:val="26"/>
          <w:szCs w:val="26"/>
        </w:rPr>
        <w:t xml:space="preserve"> Code § 69.1201(c</w:t>
      </w:r>
      <w:r w:rsidR="00BC40E9" w:rsidRPr="00B80D14">
        <w:rPr>
          <w:sz w:val="26"/>
          <w:szCs w:val="26"/>
        </w:rPr>
        <w:t>)</w:t>
      </w:r>
      <w:r w:rsidR="00BC40E9">
        <w:rPr>
          <w:sz w:val="26"/>
          <w:szCs w:val="26"/>
        </w:rPr>
        <w:t xml:space="preserve">.  </w:t>
      </w:r>
    </w:p>
    <w:p w:rsidR="00BC40E9" w:rsidRDefault="00BC40E9" w:rsidP="00085E5A">
      <w:pPr>
        <w:pStyle w:val="FootnoteText"/>
        <w:widowControl/>
        <w:spacing w:line="360" w:lineRule="auto"/>
        <w:ind w:left="86" w:firstLine="1354"/>
        <w:contextualSpacing/>
        <w:rPr>
          <w:sz w:val="26"/>
          <w:szCs w:val="26"/>
        </w:rPr>
      </w:pPr>
    </w:p>
    <w:p w:rsidR="00D20849" w:rsidRDefault="00CE2E09" w:rsidP="00085E5A">
      <w:pPr>
        <w:pStyle w:val="FootnoteText"/>
        <w:widowControl/>
        <w:spacing w:line="360" w:lineRule="auto"/>
        <w:ind w:left="86" w:firstLine="1354"/>
        <w:contextualSpacing/>
        <w:rPr>
          <w:rFonts w:eastAsia="Calibri"/>
          <w:sz w:val="26"/>
          <w:szCs w:val="26"/>
        </w:rPr>
      </w:pPr>
      <w:r w:rsidRPr="00E91230">
        <w:rPr>
          <w:rFonts w:eastAsia="Calibri"/>
          <w:sz w:val="26"/>
          <w:szCs w:val="26"/>
        </w:rPr>
        <w:t xml:space="preserve">Consistent with all of the above findings, </w:t>
      </w:r>
      <w:r w:rsidR="00DD68E2">
        <w:rPr>
          <w:rFonts w:eastAsia="Calibri"/>
          <w:sz w:val="26"/>
          <w:szCs w:val="26"/>
        </w:rPr>
        <w:t>the ALJ dismissed the Complaint but</w:t>
      </w:r>
      <w:r w:rsidR="00951E1F">
        <w:rPr>
          <w:rFonts w:eastAsia="Calibri"/>
          <w:sz w:val="26"/>
          <w:szCs w:val="26"/>
        </w:rPr>
        <w:t xml:space="preserve"> </w:t>
      </w:r>
      <w:r w:rsidR="00951E1F">
        <w:rPr>
          <w:sz w:val="26"/>
          <w:szCs w:val="26"/>
        </w:rPr>
        <w:t xml:space="preserve">directed PGW to amend its billing format to comply with its Commission-approved tariff while </w:t>
      </w:r>
      <w:r w:rsidR="00D20849">
        <w:rPr>
          <w:sz w:val="26"/>
          <w:szCs w:val="26"/>
        </w:rPr>
        <w:t>continuing to comply</w:t>
      </w:r>
      <w:r w:rsidR="00951E1F">
        <w:rPr>
          <w:sz w:val="26"/>
          <w:szCs w:val="26"/>
        </w:rPr>
        <w:t xml:space="preserve"> with the Commission’s plain language policy.  The ALJ further cautioned PGW that any similar future violations revealed in litigated proceedings may be deemed detrimental to the Company.  I.D. at 19.</w:t>
      </w:r>
    </w:p>
    <w:p w:rsidR="00D20849" w:rsidRPr="00E91230" w:rsidRDefault="00D20849" w:rsidP="00085E5A">
      <w:pPr>
        <w:pStyle w:val="Style"/>
        <w:widowControl/>
        <w:spacing w:line="360" w:lineRule="auto"/>
        <w:ind w:firstLine="1440"/>
        <w:contextualSpacing/>
        <w:rPr>
          <w:rFonts w:eastAsia="Calibri"/>
          <w:sz w:val="26"/>
          <w:szCs w:val="26"/>
        </w:rPr>
      </w:pPr>
    </w:p>
    <w:p w:rsidR="00CE2E09" w:rsidRPr="00770896" w:rsidRDefault="00CE2E09" w:rsidP="00ED362B">
      <w:pPr>
        <w:keepNext/>
        <w:keepLines/>
        <w:widowControl/>
        <w:spacing w:line="360" w:lineRule="auto"/>
        <w:contextualSpacing/>
        <w:rPr>
          <w:b/>
          <w:sz w:val="26"/>
          <w:szCs w:val="26"/>
        </w:rPr>
      </w:pPr>
      <w:r w:rsidRPr="00770896">
        <w:rPr>
          <w:b/>
          <w:sz w:val="26"/>
          <w:szCs w:val="26"/>
        </w:rPr>
        <w:t>Exceptions</w:t>
      </w:r>
    </w:p>
    <w:p w:rsidR="00CE2E09" w:rsidRPr="00770896" w:rsidRDefault="00CE2E09" w:rsidP="00ED362B">
      <w:pPr>
        <w:keepNext/>
        <w:keepLines/>
        <w:widowControl/>
        <w:spacing w:line="360" w:lineRule="auto"/>
        <w:contextualSpacing/>
        <w:rPr>
          <w:b/>
          <w:sz w:val="26"/>
          <w:szCs w:val="26"/>
        </w:rPr>
      </w:pPr>
    </w:p>
    <w:p w:rsidR="00CE2E09" w:rsidRPr="00770896" w:rsidRDefault="00CE2E09" w:rsidP="00085E5A">
      <w:pPr>
        <w:widowControl/>
        <w:spacing w:line="360" w:lineRule="auto"/>
        <w:ind w:firstLine="1440"/>
        <w:contextualSpacing/>
        <w:rPr>
          <w:sz w:val="26"/>
          <w:szCs w:val="26"/>
        </w:rPr>
      </w:pPr>
      <w:r w:rsidRPr="00770896">
        <w:rPr>
          <w:sz w:val="26"/>
          <w:szCs w:val="26"/>
        </w:rPr>
        <w:t>We note at the outset that the Exceptions of the Complainant are not in strict compliance with Section 5.533(b) of our Rules of Administrative Practice and Procedure, 52 Pa. Code § 5.533(b), which provides that:</w:t>
      </w:r>
    </w:p>
    <w:p w:rsidR="00CE2E09" w:rsidRPr="00770896" w:rsidRDefault="00CE2E09" w:rsidP="00085E5A">
      <w:pPr>
        <w:widowControl/>
        <w:spacing w:line="360" w:lineRule="auto"/>
        <w:ind w:firstLine="1440"/>
        <w:contextualSpacing/>
        <w:rPr>
          <w:sz w:val="26"/>
          <w:szCs w:val="26"/>
        </w:rPr>
      </w:pPr>
    </w:p>
    <w:p w:rsidR="00CE2E09" w:rsidRPr="00770896" w:rsidRDefault="00CE2E09" w:rsidP="00085E5A">
      <w:pPr>
        <w:widowControl/>
        <w:ind w:left="1440" w:right="1440"/>
        <w:contextualSpacing/>
        <w:rPr>
          <w:sz w:val="26"/>
          <w:szCs w:val="26"/>
        </w:rPr>
      </w:pPr>
      <w:r w:rsidRPr="00770896">
        <w:rPr>
          <w:sz w:val="26"/>
          <w:szCs w:val="26"/>
        </w:rPr>
        <w:t xml:space="preserve">(b) </w:t>
      </w:r>
      <w:r w:rsidR="00747B17">
        <w:rPr>
          <w:sz w:val="26"/>
          <w:szCs w:val="26"/>
        </w:rPr>
        <w:t>Each</w:t>
      </w:r>
      <w:r w:rsidRPr="00770896">
        <w:rPr>
          <w:sz w:val="26"/>
          <w:szCs w:val="26"/>
        </w:rPr>
        <w:t xml:space="preserve"> exception </w:t>
      </w:r>
      <w:r w:rsidR="00F95AC9">
        <w:rPr>
          <w:sz w:val="26"/>
          <w:szCs w:val="26"/>
        </w:rPr>
        <w:t xml:space="preserve">must be numbered </w:t>
      </w:r>
      <w:r w:rsidR="00450768">
        <w:rPr>
          <w:sz w:val="26"/>
          <w:szCs w:val="26"/>
        </w:rPr>
        <w:t xml:space="preserve">and </w:t>
      </w:r>
      <w:r w:rsidR="00450768" w:rsidRPr="00770896">
        <w:rPr>
          <w:sz w:val="26"/>
          <w:szCs w:val="26"/>
        </w:rPr>
        <w:t>identify</w:t>
      </w:r>
      <w:r w:rsidRPr="00770896">
        <w:rPr>
          <w:sz w:val="26"/>
          <w:szCs w:val="26"/>
        </w:rPr>
        <w:t xml:space="preserve"> the finding of fact or conclusion of law to which exception is taken and cite relevant pages of the decision. </w:t>
      </w:r>
      <w:r w:rsidR="00F95AC9">
        <w:rPr>
          <w:sz w:val="26"/>
          <w:szCs w:val="26"/>
        </w:rPr>
        <w:t xml:space="preserve"> </w:t>
      </w:r>
      <w:r w:rsidRPr="00770896">
        <w:rPr>
          <w:sz w:val="26"/>
          <w:szCs w:val="26"/>
        </w:rPr>
        <w:t>Supporting reasons for the exception</w:t>
      </w:r>
      <w:r w:rsidR="00F95AC9">
        <w:rPr>
          <w:sz w:val="26"/>
          <w:szCs w:val="26"/>
        </w:rPr>
        <w:t>s</w:t>
      </w:r>
      <w:r w:rsidRPr="00770896">
        <w:rPr>
          <w:sz w:val="26"/>
          <w:szCs w:val="26"/>
        </w:rPr>
        <w:t xml:space="preserve"> shall follow </w:t>
      </w:r>
      <w:r w:rsidR="00F95AC9">
        <w:rPr>
          <w:sz w:val="26"/>
          <w:szCs w:val="26"/>
        </w:rPr>
        <w:t>each</w:t>
      </w:r>
      <w:r w:rsidRPr="00770896">
        <w:rPr>
          <w:sz w:val="26"/>
          <w:szCs w:val="26"/>
        </w:rPr>
        <w:t xml:space="preserve"> specific exception.</w:t>
      </w:r>
    </w:p>
    <w:p w:rsidR="00CE2E09" w:rsidRPr="00770896" w:rsidRDefault="00CE2E09" w:rsidP="00085E5A">
      <w:pPr>
        <w:widowControl/>
        <w:spacing w:line="360" w:lineRule="auto"/>
        <w:ind w:left="1440" w:right="1440"/>
        <w:contextualSpacing/>
        <w:rPr>
          <w:sz w:val="26"/>
          <w:szCs w:val="26"/>
        </w:rPr>
      </w:pPr>
    </w:p>
    <w:p w:rsidR="00CE2E09" w:rsidRDefault="00CE2E09" w:rsidP="00085E5A">
      <w:pPr>
        <w:widowControl/>
        <w:spacing w:line="360" w:lineRule="auto"/>
        <w:contextualSpacing/>
        <w:rPr>
          <w:sz w:val="26"/>
          <w:szCs w:val="26"/>
        </w:rPr>
      </w:pPr>
      <w:r w:rsidRPr="002C537A">
        <w:rPr>
          <w:sz w:val="26"/>
          <w:szCs w:val="26"/>
        </w:rPr>
        <w:t xml:space="preserve">Nevertheless, particularly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p w:rsidR="00F95AC9" w:rsidRDefault="00F95AC9" w:rsidP="00085E5A">
      <w:pPr>
        <w:widowControl/>
        <w:spacing w:line="360" w:lineRule="auto"/>
        <w:contextualSpacing/>
        <w:rPr>
          <w:sz w:val="26"/>
          <w:szCs w:val="26"/>
        </w:rPr>
      </w:pPr>
    </w:p>
    <w:p w:rsidR="00CE2E09" w:rsidRDefault="00CE2E09" w:rsidP="00085E5A">
      <w:pPr>
        <w:widowControl/>
        <w:spacing w:line="360" w:lineRule="auto"/>
        <w:ind w:firstLine="1440"/>
        <w:contextualSpacing/>
        <w:rPr>
          <w:sz w:val="26"/>
          <w:szCs w:val="26"/>
        </w:rPr>
      </w:pPr>
      <w:r w:rsidRPr="00770896">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w:t>
      </w:r>
      <w:r w:rsidR="00BF28CB">
        <w:rPr>
          <w:sz w:val="26"/>
          <w:szCs w:val="26"/>
        </w:rPr>
        <w:t>Commw</w:t>
      </w:r>
      <w:r w:rsidRPr="00770896">
        <w:rPr>
          <w:sz w:val="26"/>
          <w:szCs w:val="26"/>
        </w:rPr>
        <w:t xml:space="preserve">.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xml:space="preserve">, 485 A.2d 1217 (Pa. </w:t>
      </w:r>
      <w:r w:rsidR="00BF28CB">
        <w:rPr>
          <w:sz w:val="26"/>
          <w:szCs w:val="26"/>
        </w:rPr>
        <w:t>Commw</w:t>
      </w:r>
      <w:r w:rsidRPr="00770896">
        <w:rPr>
          <w:sz w:val="26"/>
          <w:szCs w:val="26"/>
        </w:rPr>
        <w:t>. 1984).</w:t>
      </w:r>
    </w:p>
    <w:p w:rsidR="00CE2E09" w:rsidRDefault="00CE2E09" w:rsidP="00085E5A">
      <w:pPr>
        <w:widowControl/>
        <w:spacing w:line="360" w:lineRule="auto"/>
        <w:ind w:firstLine="1440"/>
        <w:contextualSpacing/>
        <w:rPr>
          <w:sz w:val="26"/>
          <w:szCs w:val="26"/>
        </w:rPr>
      </w:pPr>
    </w:p>
    <w:p w:rsidR="007219F0" w:rsidRPr="002F6881" w:rsidRDefault="007219F0" w:rsidP="00085E5A">
      <w:pPr>
        <w:widowControl/>
        <w:spacing w:line="360" w:lineRule="auto"/>
        <w:ind w:firstLine="1440"/>
        <w:contextualSpacing/>
        <w:rPr>
          <w:sz w:val="26"/>
          <w:szCs w:val="26"/>
        </w:rPr>
      </w:pPr>
      <w:r w:rsidRPr="002F6881">
        <w:rPr>
          <w:sz w:val="26"/>
          <w:szCs w:val="26"/>
        </w:rPr>
        <w:t xml:space="preserve">In its Exceptions, PGW </w:t>
      </w:r>
      <w:r w:rsidR="00D20849">
        <w:rPr>
          <w:sz w:val="26"/>
          <w:szCs w:val="26"/>
        </w:rPr>
        <w:t>takes issue</w:t>
      </w:r>
      <w:r w:rsidR="00D20849" w:rsidRPr="002F6881">
        <w:rPr>
          <w:sz w:val="26"/>
          <w:szCs w:val="26"/>
        </w:rPr>
        <w:t xml:space="preserve"> </w:t>
      </w:r>
      <w:r w:rsidRPr="002F6881">
        <w:rPr>
          <w:sz w:val="26"/>
          <w:szCs w:val="26"/>
        </w:rPr>
        <w:t>with the ALJ’</w:t>
      </w:r>
      <w:r w:rsidR="0010137C">
        <w:rPr>
          <w:sz w:val="26"/>
          <w:szCs w:val="26"/>
        </w:rPr>
        <w:t>s ruling that its bill</w:t>
      </w:r>
      <w:r w:rsidR="00ED2B57">
        <w:rPr>
          <w:sz w:val="26"/>
          <w:szCs w:val="26"/>
        </w:rPr>
        <w:t>ing</w:t>
      </w:r>
      <w:r w:rsidR="0010137C">
        <w:rPr>
          <w:sz w:val="26"/>
          <w:szCs w:val="26"/>
        </w:rPr>
        <w:t xml:space="preserve"> </w:t>
      </w:r>
      <w:r w:rsidRPr="002F6881">
        <w:rPr>
          <w:sz w:val="26"/>
          <w:szCs w:val="26"/>
        </w:rPr>
        <w:t>format violates Section 1301 of the Code</w:t>
      </w:r>
      <w:r w:rsidR="003B651E">
        <w:rPr>
          <w:sz w:val="26"/>
          <w:szCs w:val="26"/>
        </w:rPr>
        <w:t xml:space="preserve">, </w:t>
      </w:r>
      <w:r w:rsidR="003B651E" w:rsidRPr="002F6881">
        <w:rPr>
          <w:sz w:val="26"/>
          <w:szCs w:val="26"/>
        </w:rPr>
        <w:t>66 Pa.</w:t>
      </w:r>
      <w:r w:rsidR="003B651E">
        <w:rPr>
          <w:sz w:val="26"/>
          <w:szCs w:val="26"/>
        </w:rPr>
        <w:t xml:space="preserve"> C.S. § 1301,</w:t>
      </w:r>
      <w:r w:rsidRPr="002F6881">
        <w:rPr>
          <w:sz w:val="26"/>
          <w:szCs w:val="26"/>
        </w:rPr>
        <w:t xml:space="preserve"> because it is not in confo</w:t>
      </w:r>
      <w:r w:rsidR="003B651E">
        <w:rPr>
          <w:sz w:val="26"/>
          <w:szCs w:val="26"/>
        </w:rPr>
        <w:t>rmity with the Commission O</w:t>
      </w:r>
      <w:r w:rsidRPr="002F6881">
        <w:rPr>
          <w:sz w:val="26"/>
          <w:szCs w:val="26"/>
        </w:rPr>
        <w:t>rder that approved the tariff.</w:t>
      </w:r>
      <w:r w:rsidR="002F6881">
        <w:rPr>
          <w:sz w:val="26"/>
          <w:szCs w:val="26"/>
        </w:rPr>
        <w:t xml:space="preserve">  Exc. at 2</w:t>
      </w:r>
      <w:r w:rsidRPr="002F6881">
        <w:rPr>
          <w:sz w:val="26"/>
          <w:szCs w:val="26"/>
        </w:rPr>
        <w:t>.</w:t>
      </w:r>
      <w:r w:rsidR="005E3AAF">
        <w:rPr>
          <w:rStyle w:val="FootnoteReference"/>
          <w:sz w:val="26"/>
          <w:szCs w:val="26"/>
        </w:rPr>
        <w:footnoteReference w:id="12"/>
      </w:r>
      <w:r w:rsidRPr="002F6881">
        <w:rPr>
          <w:sz w:val="26"/>
          <w:szCs w:val="26"/>
        </w:rPr>
        <w:t xml:space="preserve">  According to PGW,</w:t>
      </w:r>
      <w:r w:rsidR="002F6881" w:rsidRPr="002F6881">
        <w:rPr>
          <w:sz w:val="26"/>
          <w:szCs w:val="26"/>
        </w:rPr>
        <w:t xml:space="preserve"> </w:t>
      </w:r>
      <w:r w:rsidRPr="002F6881">
        <w:rPr>
          <w:sz w:val="26"/>
          <w:szCs w:val="26"/>
        </w:rPr>
        <w:t xml:space="preserve">the </w:t>
      </w:r>
      <w:r w:rsidR="00A546EC" w:rsidRPr="002F6881">
        <w:rPr>
          <w:sz w:val="26"/>
          <w:szCs w:val="26"/>
        </w:rPr>
        <w:t xml:space="preserve">ALJ’s </w:t>
      </w:r>
      <w:r w:rsidR="0010137C">
        <w:rPr>
          <w:sz w:val="26"/>
          <w:szCs w:val="26"/>
        </w:rPr>
        <w:t>ruling</w:t>
      </w:r>
      <w:r w:rsidR="002F6881" w:rsidRPr="002F6881">
        <w:rPr>
          <w:sz w:val="26"/>
          <w:szCs w:val="26"/>
        </w:rPr>
        <w:t xml:space="preserve"> </w:t>
      </w:r>
      <w:r w:rsidR="00A546EC">
        <w:rPr>
          <w:sz w:val="26"/>
          <w:szCs w:val="26"/>
        </w:rPr>
        <w:t xml:space="preserve">is faulty because it </w:t>
      </w:r>
      <w:r w:rsidR="0010137C">
        <w:rPr>
          <w:sz w:val="26"/>
          <w:szCs w:val="26"/>
        </w:rPr>
        <w:t>is</w:t>
      </w:r>
      <w:r w:rsidR="002F6881" w:rsidRPr="002F6881">
        <w:rPr>
          <w:sz w:val="26"/>
          <w:szCs w:val="26"/>
        </w:rPr>
        <w:t xml:space="preserve"> based</w:t>
      </w:r>
      <w:r w:rsidRPr="002F6881">
        <w:rPr>
          <w:sz w:val="26"/>
          <w:szCs w:val="26"/>
        </w:rPr>
        <w:t xml:space="preserve"> on the </w:t>
      </w:r>
      <w:r w:rsidR="00275970">
        <w:rPr>
          <w:sz w:val="26"/>
          <w:szCs w:val="26"/>
        </w:rPr>
        <w:t xml:space="preserve">simple </w:t>
      </w:r>
      <w:r w:rsidRPr="002F6881">
        <w:rPr>
          <w:sz w:val="26"/>
          <w:szCs w:val="26"/>
        </w:rPr>
        <w:t>fact that PGW’s tariff does not “conform” with Commission</w:t>
      </w:r>
      <w:r w:rsidR="0010137C">
        <w:rPr>
          <w:sz w:val="26"/>
          <w:szCs w:val="26"/>
        </w:rPr>
        <w:t xml:space="preserve"> Regulations or Order</w:t>
      </w:r>
      <w:r w:rsidRPr="002F6881">
        <w:rPr>
          <w:sz w:val="26"/>
          <w:szCs w:val="26"/>
        </w:rPr>
        <w:t xml:space="preserve"> pursuant to </w:t>
      </w:r>
      <w:r w:rsidR="002F6881" w:rsidRPr="002F6881">
        <w:rPr>
          <w:sz w:val="26"/>
          <w:szCs w:val="26"/>
        </w:rPr>
        <w:t>Section 1301 of the Code</w:t>
      </w:r>
      <w:r w:rsidR="003B651E">
        <w:rPr>
          <w:sz w:val="26"/>
          <w:szCs w:val="26"/>
        </w:rPr>
        <w:t xml:space="preserve">, </w:t>
      </w:r>
      <w:r w:rsidR="003B651E" w:rsidRPr="002F6881">
        <w:rPr>
          <w:sz w:val="26"/>
          <w:szCs w:val="26"/>
        </w:rPr>
        <w:t>66 Pa.</w:t>
      </w:r>
      <w:r w:rsidR="003B651E">
        <w:rPr>
          <w:sz w:val="26"/>
          <w:szCs w:val="26"/>
        </w:rPr>
        <w:t xml:space="preserve"> C.S. § 1301</w:t>
      </w:r>
      <w:r w:rsidR="00775EC4">
        <w:rPr>
          <w:sz w:val="26"/>
          <w:szCs w:val="26"/>
        </w:rPr>
        <w:t>,</w:t>
      </w:r>
      <w:r w:rsidR="002F6881" w:rsidRPr="002F6881">
        <w:rPr>
          <w:sz w:val="26"/>
          <w:szCs w:val="26"/>
        </w:rPr>
        <w:t xml:space="preserve"> which states</w:t>
      </w:r>
      <w:r w:rsidR="00775EC4">
        <w:rPr>
          <w:sz w:val="26"/>
          <w:szCs w:val="26"/>
        </w:rPr>
        <w:t xml:space="preserve"> that</w:t>
      </w:r>
      <w:r w:rsidR="002F6881" w:rsidRPr="002F6881">
        <w:rPr>
          <w:sz w:val="26"/>
          <w:szCs w:val="26"/>
        </w:rPr>
        <w:t xml:space="preserve"> “</w:t>
      </w:r>
      <w:r w:rsidR="00BF28CB">
        <w:rPr>
          <w:sz w:val="26"/>
          <w:szCs w:val="26"/>
        </w:rPr>
        <w:t>[e]</w:t>
      </w:r>
      <w:r w:rsidR="002F6881" w:rsidRPr="002F6881">
        <w:rPr>
          <w:sz w:val="26"/>
          <w:szCs w:val="26"/>
        </w:rPr>
        <w:t xml:space="preserve">very rate made, demanded, or received by any public utility…shall be just and reasonable, </w:t>
      </w:r>
      <w:r w:rsidR="002F6881" w:rsidRPr="002F6881">
        <w:rPr>
          <w:b/>
          <w:sz w:val="26"/>
          <w:szCs w:val="26"/>
        </w:rPr>
        <w:t xml:space="preserve">and in conformity with regulations or orders of the commission.” </w:t>
      </w:r>
      <w:r w:rsidR="002F6881" w:rsidRPr="002F6881">
        <w:rPr>
          <w:i/>
          <w:sz w:val="26"/>
          <w:szCs w:val="26"/>
        </w:rPr>
        <w:t>Id.</w:t>
      </w:r>
      <w:r w:rsidR="002F6881">
        <w:rPr>
          <w:sz w:val="26"/>
          <w:szCs w:val="26"/>
        </w:rPr>
        <w:t xml:space="preserve"> </w:t>
      </w:r>
      <w:r w:rsidR="007F5504">
        <w:rPr>
          <w:sz w:val="26"/>
          <w:szCs w:val="26"/>
        </w:rPr>
        <w:t>(</w:t>
      </w:r>
      <w:r w:rsidR="00775EC4">
        <w:rPr>
          <w:sz w:val="26"/>
          <w:szCs w:val="26"/>
        </w:rPr>
        <w:t xml:space="preserve">citing </w:t>
      </w:r>
      <w:r w:rsidR="00775EC4" w:rsidRPr="002F6881">
        <w:rPr>
          <w:sz w:val="26"/>
          <w:szCs w:val="26"/>
        </w:rPr>
        <w:t>66 Pa.</w:t>
      </w:r>
      <w:r w:rsidR="00775EC4">
        <w:rPr>
          <w:sz w:val="26"/>
          <w:szCs w:val="26"/>
        </w:rPr>
        <w:t xml:space="preserve"> C.S. §</w:t>
      </w:r>
      <w:r w:rsidR="00D20849">
        <w:rPr>
          <w:sz w:val="26"/>
          <w:szCs w:val="26"/>
        </w:rPr>
        <w:t> </w:t>
      </w:r>
      <w:r w:rsidR="00775EC4">
        <w:rPr>
          <w:sz w:val="26"/>
          <w:szCs w:val="26"/>
        </w:rPr>
        <w:t>1301</w:t>
      </w:r>
      <w:r w:rsidR="007F5504">
        <w:rPr>
          <w:sz w:val="26"/>
          <w:szCs w:val="26"/>
        </w:rPr>
        <w:t>, emphasis in original)</w:t>
      </w:r>
      <w:r w:rsidR="00775EC4" w:rsidRPr="002F6881">
        <w:rPr>
          <w:sz w:val="26"/>
          <w:szCs w:val="26"/>
        </w:rPr>
        <w:t>.</w:t>
      </w:r>
      <w:r w:rsidR="00775EC4">
        <w:rPr>
          <w:sz w:val="26"/>
          <w:szCs w:val="26"/>
        </w:rPr>
        <w:t xml:space="preserve">  </w:t>
      </w:r>
      <w:r w:rsidR="002F6881">
        <w:rPr>
          <w:sz w:val="26"/>
          <w:szCs w:val="26"/>
        </w:rPr>
        <w:t xml:space="preserve">PGW </w:t>
      </w:r>
      <w:r w:rsidR="00BD6898">
        <w:rPr>
          <w:sz w:val="26"/>
          <w:szCs w:val="26"/>
        </w:rPr>
        <w:t>submits</w:t>
      </w:r>
      <w:r w:rsidR="00D20849">
        <w:rPr>
          <w:sz w:val="26"/>
          <w:szCs w:val="26"/>
        </w:rPr>
        <w:t xml:space="preserve"> </w:t>
      </w:r>
      <w:r w:rsidR="002F6881">
        <w:rPr>
          <w:sz w:val="26"/>
          <w:szCs w:val="26"/>
        </w:rPr>
        <w:t>that its bill</w:t>
      </w:r>
      <w:r w:rsidR="00ED2B57">
        <w:rPr>
          <w:sz w:val="26"/>
          <w:szCs w:val="26"/>
        </w:rPr>
        <w:t>ing</w:t>
      </w:r>
      <w:r w:rsidR="002F6881">
        <w:rPr>
          <w:sz w:val="26"/>
          <w:szCs w:val="26"/>
        </w:rPr>
        <w:t xml:space="preserve"> format</w:t>
      </w:r>
      <w:r w:rsidR="008D3A61">
        <w:rPr>
          <w:sz w:val="26"/>
          <w:szCs w:val="26"/>
        </w:rPr>
        <w:t xml:space="preserve"> </w:t>
      </w:r>
      <w:r w:rsidR="002F6881">
        <w:rPr>
          <w:sz w:val="26"/>
          <w:szCs w:val="26"/>
        </w:rPr>
        <w:t>complies with its tariff and all applicable Statutes and Commission Regulations governing the form, substance and presentation of the bill and provides inf</w:t>
      </w:r>
      <w:r w:rsidR="008D3A61">
        <w:rPr>
          <w:sz w:val="26"/>
          <w:szCs w:val="26"/>
        </w:rPr>
        <w:t>ormation to ratepayers in plain language</w:t>
      </w:r>
      <w:r w:rsidR="002F6881">
        <w:rPr>
          <w:sz w:val="26"/>
          <w:szCs w:val="26"/>
        </w:rPr>
        <w:t>.  PGW explains that th</w:t>
      </w:r>
      <w:r w:rsidR="0010137C">
        <w:rPr>
          <w:sz w:val="26"/>
          <w:szCs w:val="26"/>
        </w:rPr>
        <w:t>e difference between its bill</w:t>
      </w:r>
      <w:r w:rsidR="00ED2B57">
        <w:rPr>
          <w:sz w:val="26"/>
          <w:szCs w:val="26"/>
        </w:rPr>
        <w:t>ing</w:t>
      </w:r>
      <w:r w:rsidR="0010137C">
        <w:rPr>
          <w:sz w:val="26"/>
          <w:szCs w:val="26"/>
        </w:rPr>
        <w:t xml:space="preserve"> format and the Commission O</w:t>
      </w:r>
      <w:r w:rsidR="002F6881">
        <w:rPr>
          <w:sz w:val="26"/>
          <w:szCs w:val="26"/>
        </w:rPr>
        <w:t xml:space="preserve">rder that approved the tariff </w:t>
      </w:r>
      <w:r w:rsidR="00ED2B57">
        <w:rPr>
          <w:sz w:val="26"/>
          <w:szCs w:val="26"/>
        </w:rPr>
        <w:t xml:space="preserve">in question </w:t>
      </w:r>
      <w:r w:rsidR="002F6881">
        <w:rPr>
          <w:sz w:val="26"/>
          <w:szCs w:val="26"/>
        </w:rPr>
        <w:t>is merely one of presentation of the categories of charges</w:t>
      </w:r>
      <w:r w:rsidR="00775EC4">
        <w:rPr>
          <w:sz w:val="26"/>
          <w:szCs w:val="26"/>
        </w:rPr>
        <w:t xml:space="preserve">.  PGW asserts </w:t>
      </w:r>
      <w:r w:rsidR="0010137C">
        <w:rPr>
          <w:sz w:val="26"/>
          <w:szCs w:val="26"/>
        </w:rPr>
        <w:t>that the bill</w:t>
      </w:r>
      <w:r w:rsidR="00ED2B57">
        <w:rPr>
          <w:sz w:val="26"/>
          <w:szCs w:val="26"/>
        </w:rPr>
        <w:t>ing</w:t>
      </w:r>
      <w:r w:rsidR="0010137C">
        <w:rPr>
          <w:sz w:val="26"/>
          <w:szCs w:val="26"/>
        </w:rPr>
        <w:t xml:space="preserve"> format </w:t>
      </w:r>
      <w:r w:rsidR="00775EC4">
        <w:rPr>
          <w:sz w:val="26"/>
          <w:szCs w:val="26"/>
        </w:rPr>
        <w:t xml:space="preserve">in the February 19, 2014 bill </w:t>
      </w:r>
      <w:r w:rsidR="0010137C">
        <w:rPr>
          <w:sz w:val="26"/>
          <w:szCs w:val="26"/>
        </w:rPr>
        <w:t>presents the charges in a way that</w:t>
      </w:r>
      <w:r w:rsidR="002F6881">
        <w:rPr>
          <w:sz w:val="26"/>
          <w:szCs w:val="26"/>
        </w:rPr>
        <w:t xml:space="preserve"> more clearly explain</w:t>
      </w:r>
      <w:r w:rsidR="0010137C">
        <w:rPr>
          <w:sz w:val="26"/>
          <w:szCs w:val="26"/>
        </w:rPr>
        <w:t>s</w:t>
      </w:r>
      <w:r w:rsidR="002F6881">
        <w:rPr>
          <w:sz w:val="26"/>
          <w:szCs w:val="26"/>
        </w:rPr>
        <w:t xml:space="preserve"> t</w:t>
      </w:r>
      <w:r w:rsidR="008D3A61">
        <w:rPr>
          <w:sz w:val="26"/>
          <w:szCs w:val="26"/>
        </w:rPr>
        <w:t>he components of the bill</w:t>
      </w:r>
      <w:r w:rsidR="007F5504">
        <w:rPr>
          <w:sz w:val="26"/>
          <w:szCs w:val="26"/>
        </w:rPr>
        <w:t xml:space="preserve">.  Accordingly, PGW </w:t>
      </w:r>
      <w:r w:rsidR="005C0710">
        <w:rPr>
          <w:sz w:val="26"/>
          <w:szCs w:val="26"/>
        </w:rPr>
        <w:t>asserts</w:t>
      </w:r>
      <w:r w:rsidR="007F5504">
        <w:rPr>
          <w:sz w:val="26"/>
          <w:szCs w:val="26"/>
        </w:rPr>
        <w:t xml:space="preserve"> that the ALJ erred</w:t>
      </w:r>
      <w:r w:rsidR="00A546EC">
        <w:rPr>
          <w:sz w:val="26"/>
          <w:szCs w:val="26"/>
        </w:rPr>
        <w:t xml:space="preserve"> in </w:t>
      </w:r>
      <w:r w:rsidR="00275970">
        <w:rPr>
          <w:sz w:val="26"/>
          <w:szCs w:val="26"/>
        </w:rPr>
        <w:t>concluding</w:t>
      </w:r>
      <w:r w:rsidR="00A546EC">
        <w:rPr>
          <w:sz w:val="26"/>
          <w:szCs w:val="26"/>
        </w:rPr>
        <w:t xml:space="preserve"> that PGW’s effort</w:t>
      </w:r>
      <w:r w:rsidR="008D3A61">
        <w:rPr>
          <w:sz w:val="26"/>
          <w:szCs w:val="26"/>
        </w:rPr>
        <w:t xml:space="preserve"> to educate its ratepayers </w:t>
      </w:r>
      <w:r w:rsidR="00A546EC">
        <w:rPr>
          <w:sz w:val="26"/>
          <w:szCs w:val="26"/>
        </w:rPr>
        <w:t>through the bill</w:t>
      </w:r>
      <w:r w:rsidR="00ED2B57">
        <w:rPr>
          <w:sz w:val="26"/>
          <w:szCs w:val="26"/>
        </w:rPr>
        <w:t>ing</w:t>
      </w:r>
      <w:r w:rsidR="00A546EC">
        <w:rPr>
          <w:sz w:val="26"/>
          <w:szCs w:val="26"/>
        </w:rPr>
        <w:t xml:space="preserve"> format by presenting </w:t>
      </w:r>
      <w:r w:rsidR="008D3A61">
        <w:rPr>
          <w:sz w:val="26"/>
          <w:szCs w:val="26"/>
        </w:rPr>
        <w:t>information in plain language</w:t>
      </w:r>
      <w:r w:rsidR="00A546EC">
        <w:rPr>
          <w:sz w:val="26"/>
          <w:szCs w:val="26"/>
        </w:rPr>
        <w:t xml:space="preserve"> is a violation</w:t>
      </w:r>
      <w:r w:rsidR="008D3A61">
        <w:rPr>
          <w:sz w:val="26"/>
          <w:szCs w:val="26"/>
        </w:rPr>
        <w:t xml:space="preserve">.  </w:t>
      </w:r>
      <w:r w:rsidR="008D3A61" w:rsidRPr="002F6881">
        <w:rPr>
          <w:i/>
          <w:sz w:val="26"/>
          <w:szCs w:val="26"/>
        </w:rPr>
        <w:t>Id.</w:t>
      </w:r>
      <w:r w:rsidR="008D3A61">
        <w:rPr>
          <w:sz w:val="26"/>
          <w:szCs w:val="26"/>
        </w:rPr>
        <w:t xml:space="preserve"> at 2-3.</w:t>
      </w:r>
    </w:p>
    <w:p w:rsidR="007219F0" w:rsidRDefault="007219F0" w:rsidP="00085E5A">
      <w:pPr>
        <w:widowControl/>
        <w:spacing w:line="360" w:lineRule="auto"/>
        <w:ind w:firstLine="1440"/>
        <w:contextualSpacing/>
        <w:rPr>
          <w:sz w:val="26"/>
          <w:szCs w:val="26"/>
        </w:rPr>
      </w:pPr>
    </w:p>
    <w:p w:rsidR="001332E5" w:rsidRPr="009128D1" w:rsidRDefault="001332E5" w:rsidP="00085E5A">
      <w:pPr>
        <w:widowControl/>
        <w:spacing w:line="360" w:lineRule="auto"/>
        <w:ind w:firstLine="1440"/>
        <w:contextualSpacing/>
        <w:rPr>
          <w:sz w:val="26"/>
          <w:szCs w:val="26"/>
        </w:rPr>
      </w:pPr>
      <w:r>
        <w:rPr>
          <w:sz w:val="26"/>
          <w:szCs w:val="26"/>
        </w:rPr>
        <w:t xml:space="preserve">PGW </w:t>
      </w:r>
      <w:r w:rsidR="007F5504">
        <w:rPr>
          <w:sz w:val="26"/>
          <w:szCs w:val="26"/>
        </w:rPr>
        <w:t xml:space="preserve">further </w:t>
      </w:r>
      <w:r>
        <w:rPr>
          <w:sz w:val="26"/>
          <w:szCs w:val="26"/>
        </w:rPr>
        <w:t xml:space="preserve">avers that its </w:t>
      </w:r>
      <w:r w:rsidR="00ED2B57">
        <w:rPr>
          <w:sz w:val="26"/>
          <w:szCs w:val="26"/>
        </w:rPr>
        <w:t>billing format</w:t>
      </w:r>
      <w:r w:rsidR="00A546EC">
        <w:rPr>
          <w:sz w:val="26"/>
          <w:szCs w:val="26"/>
        </w:rPr>
        <w:t xml:space="preserve"> </w:t>
      </w:r>
      <w:r>
        <w:rPr>
          <w:sz w:val="26"/>
          <w:szCs w:val="26"/>
        </w:rPr>
        <w:t xml:space="preserve">is presented in </w:t>
      </w:r>
      <w:r w:rsidR="00A546EC">
        <w:rPr>
          <w:sz w:val="26"/>
          <w:szCs w:val="26"/>
        </w:rPr>
        <w:t xml:space="preserve">such </w:t>
      </w:r>
      <w:r>
        <w:rPr>
          <w:sz w:val="26"/>
          <w:szCs w:val="26"/>
        </w:rPr>
        <w:t>a way that it clarifies the distinction between the supply and d</w:t>
      </w:r>
      <w:r w:rsidR="00275970">
        <w:rPr>
          <w:sz w:val="26"/>
          <w:szCs w:val="26"/>
        </w:rPr>
        <w:t>istribution functions of the Company</w:t>
      </w:r>
      <w:r w:rsidR="006746A6">
        <w:rPr>
          <w:sz w:val="26"/>
          <w:szCs w:val="26"/>
        </w:rPr>
        <w:t xml:space="preserve"> and clearly depicts PGW as a natural gas distribution company</w:t>
      </w:r>
      <w:r w:rsidR="00775EC4">
        <w:rPr>
          <w:sz w:val="26"/>
          <w:szCs w:val="26"/>
        </w:rPr>
        <w:t xml:space="preserve">.  </w:t>
      </w:r>
      <w:r>
        <w:rPr>
          <w:sz w:val="26"/>
          <w:szCs w:val="26"/>
        </w:rPr>
        <w:t xml:space="preserve">PGW </w:t>
      </w:r>
      <w:r w:rsidR="007F5504">
        <w:rPr>
          <w:sz w:val="26"/>
          <w:szCs w:val="26"/>
        </w:rPr>
        <w:t xml:space="preserve">points out </w:t>
      </w:r>
      <w:r>
        <w:rPr>
          <w:sz w:val="26"/>
          <w:szCs w:val="26"/>
        </w:rPr>
        <w:t xml:space="preserve">that even the ALJ acknowledged that the amount it billed the customer </w:t>
      </w:r>
      <w:r w:rsidR="00ED2B57">
        <w:rPr>
          <w:sz w:val="26"/>
          <w:szCs w:val="26"/>
        </w:rPr>
        <w:t xml:space="preserve">on the February 19, 2014 bill </w:t>
      </w:r>
      <w:r>
        <w:rPr>
          <w:sz w:val="26"/>
          <w:szCs w:val="26"/>
        </w:rPr>
        <w:t xml:space="preserve">complies </w:t>
      </w:r>
      <w:r w:rsidR="00A41360">
        <w:rPr>
          <w:sz w:val="26"/>
          <w:szCs w:val="26"/>
        </w:rPr>
        <w:t xml:space="preserve">with </w:t>
      </w:r>
      <w:r w:rsidR="00775EC4">
        <w:rPr>
          <w:sz w:val="26"/>
          <w:szCs w:val="26"/>
        </w:rPr>
        <w:t xml:space="preserve">its </w:t>
      </w:r>
      <w:r w:rsidR="00A41360">
        <w:rPr>
          <w:sz w:val="26"/>
          <w:szCs w:val="26"/>
        </w:rPr>
        <w:t xml:space="preserve">tariff.  </w:t>
      </w:r>
      <w:r w:rsidR="007F5504">
        <w:rPr>
          <w:sz w:val="26"/>
          <w:szCs w:val="26"/>
        </w:rPr>
        <w:t>Therefore, PGW contends</w:t>
      </w:r>
      <w:r w:rsidR="00A41360">
        <w:rPr>
          <w:sz w:val="26"/>
          <w:szCs w:val="26"/>
        </w:rPr>
        <w:t xml:space="preserve"> that the fact that it changed the pr</w:t>
      </w:r>
      <w:r w:rsidR="00A546EC">
        <w:rPr>
          <w:sz w:val="26"/>
          <w:szCs w:val="26"/>
        </w:rPr>
        <w:t xml:space="preserve">esentation of its bill from the “lock step” order of charges in its tariff does not make </w:t>
      </w:r>
      <w:r w:rsidR="005D1B5D">
        <w:rPr>
          <w:sz w:val="26"/>
          <w:szCs w:val="26"/>
        </w:rPr>
        <w:lastRenderedPageBreak/>
        <w:t xml:space="preserve">the </w:t>
      </w:r>
      <w:r w:rsidR="00ED2B57">
        <w:rPr>
          <w:sz w:val="26"/>
          <w:szCs w:val="26"/>
        </w:rPr>
        <w:t>billing format</w:t>
      </w:r>
      <w:r w:rsidR="00A546EC">
        <w:rPr>
          <w:sz w:val="26"/>
          <w:szCs w:val="26"/>
        </w:rPr>
        <w:t xml:space="preserve"> a violation.  </w:t>
      </w:r>
      <w:r w:rsidR="00A546EC" w:rsidRPr="009128D1">
        <w:rPr>
          <w:sz w:val="26"/>
          <w:szCs w:val="26"/>
        </w:rPr>
        <w:t xml:space="preserve">Specifically, PGW </w:t>
      </w:r>
      <w:r w:rsidR="007F5504">
        <w:rPr>
          <w:sz w:val="26"/>
          <w:szCs w:val="26"/>
        </w:rPr>
        <w:t>posits</w:t>
      </w:r>
      <w:r w:rsidR="00A546EC" w:rsidRPr="009128D1">
        <w:rPr>
          <w:sz w:val="26"/>
          <w:szCs w:val="26"/>
        </w:rPr>
        <w:t xml:space="preserve"> that changing the order of presentation of the rate components </w:t>
      </w:r>
      <w:r w:rsidR="005D1B5D" w:rsidRPr="009128D1">
        <w:rPr>
          <w:sz w:val="26"/>
          <w:szCs w:val="26"/>
        </w:rPr>
        <w:t xml:space="preserve">in its </w:t>
      </w:r>
      <w:r w:rsidR="00ED2B57" w:rsidRPr="009128D1">
        <w:rPr>
          <w:sz w:val="26"/>
          <w:szCs w:val="26"/>
        </w:rPr>
        <w:t>billing format</w:t>
      </w:r>
      <w:r w:rsidR="00A546EC" w:rsidRPr="009128D1">
        <w:rPr>
          <w:sz w:val="26"/>
          <w:szCs w:val="26"/>
        </w:rPr>
        <w:t xml:space="preserve"> </w:t>
      </w:r>
      <w:r w:rsidR="00694E60" w:rsidRPr="009128D1">
        <w:rPr>
          <w:sz w:val="26"/>
          <w:szCs w:val="26"/>
        </w:rPr>
        <w:t>does not amount to a violation of Section 1301</w:t>
      </w:r>
      <w:r w:rsidR="00775EC4" w:rsidRPr="009128D1">
        <w:rPr>
          <w:sz w:val="26"/>
          <w:szCs w:val="26"/>
        </w:rPr>
        <w:t xml:space="preserve"> </w:t>
      </w:r>
      <w:r w:rsidR="007F5504">
        <w:rPr>
          <w:sz w:val="26"/>
          <w:szCs w:val="26"/>
        </w:rPr>
        <w:t xml:space="preserve">because Section 1301 </w:t>
      </w:r>
      <w:r w:rsidR="00694E60" w:rsidRPr="009128D1">
        <w:rPr>
          <w:sz w:val="26"/>
          <w:szCs w:val="26"/>
        </w:rPr>
        <w:t>does not mandate that the</w:t>
      </w:r>
      <w:r w:rsidR="005D1B5D" w:rsidRPr="009128D1">
        <w:rPr>
          <w:sz w:val="26"/>
          <w:szCs w:val="26"/>
        </w:rPr>
        <w:t xml:space="preserve"> presentation of </w:t>
      </w:r>
      <w:r w:rsidR="00694E60" w:rsidRPr="009128D1">
        <w:rPr>
          <w:sz w:val="26"/>
          <w:szCs w:val="26"/>
        </w:rPr>
        <w:t>rates</w:t>
      </w:r>
      <w:r w:rsidR="005D1B5D" w:rsidRPr="009128D1">
        <w:rPr>
          <w:sz w:val="26"/>
          <w:szCs w:val="26"/>
        </w:rPr>
        <w:t xml:space="preserve"> on </w:t>
      </w:r>
      <w:r w:rsidR="00275970" w:rsidRPr="009128D1">
        <w:rPr>
          <w:sz w:val="26"/>
          <w:szCs w:val="26"/>
        </w:rPr>
        <w:t>a</w:t>
      </w:r>
      <w:r w:rsidR="005D1B5D" w:rsidRPr="009128D1">
        <w:rPr>
          <w:sz w:val="26"/>
          <w:szCs w:val="26"/>
        </w:rPr>
        <w:t xml:space="preserve"> bill be</w:t>
      </w:r>
      <w:r w:rsidR="00694E60" w:rsidRPr="009128D1">
        <w:rPr>
          <w:sz w:val="26"/>
          <w:szCs w:val="26"/>
        </w:rPr>
        <w:t xml:space="preserve"> </w:t>
      </w:r>
      <w:r w:rsidR="00275970" w:rsidRPr="009128D1">
        <w:rPr>
          <w:sz w:val="26"/>
          <w:szCs w:val="26"/>
        </w:rPr>
        <w:t>as precise</w:t>
      </w:r>
      <w:r w:rsidR="0095511D">
        <w:rPr>
          <w:sz w:val="26"/>
          <w:szCs w:val="26"/>
        </w:rPr>
        <w:t xml:space="preserve"> as they appear i</w:t>
      </w:r>
      <w:r w:rsidR="00694E60" w:rsidRPr="009128D1">
        <w:rPr>
          <w:sz w:val="26"/>
          <w:szCs w:val="26"/>
        </w:rPr>
        <w:t xml:space="preserve">n the tariff.  </w:t>
      </w:r>
      <w:r w:rsidR="007F5504">
        <w:rPr>
          <w:sz w:val="26"/>
          <w:szCs w:val="26"/>
        </w:rPr>
        <w:t>On the contrary, PGW submits that</w:t>
      </w:r>
      <w:r w:rsidR="00275970" w:rsidRPr="009128D1">
        <w:rPr>
          <w:sz w:val="26"/>
          <w:szCs w:val="26"/>
        </w:rPr>
        <w:t xml:space="preserve"> </w:t>
      </w:r>
      <w:r w:rsidR="00BF28CB">
        <w:rPr>
          <w:sz w:val="26"/>
          <w:szCs w:val="26"/>
        </w:rPr>
        <w:t>Section</w:t>
      </w:r>
      <w:r w:rsidR="00694E60" w:rsidRPr="009128D1">
        <w:rPr>
          <w:sz w:val="26"/>
          <w:szCs w:val="26"/>
        </w:rPr>
        <w:t xml:space="preserve"> 1301 demands that the rates must conform to </w:t>
      </w:r>
      <w:r w:rsidR="00775EC4" w:rsidRPr="009128D1">
        <w:rPr>
          <w:sz w:val="26"/>
          <w:szCs w:val="26"/>
        </w:rPr>
        <w:t>Commission Regulations or Order</w:t>
      </w:r>
      <w:r w:rsidR="009128D1" w:rsidRPr="009128D1">
        <w:rPr>
          <w:sz w:val="26"/>
          <w:szCs w:val="26"/>
        </w:rPr>
        <w:t xml:space="preserve">s.  PGW </w:t>
      </w:r>
      <w:r w:rsidR="007F5504">
        <w:rPr>
          <w:sz w:val="26"/>
          <w:szCs w:val="26"/>
        </w:rPr>
        <w:t>maintains</w:t>
      </w:r>
      <w:r w:rsidR="007F5504" w:rsidRPr="009128D1">
        <w:rPr>
          <w:sz w:val="26"/>
          <w:szCs w:val="26"/>
        </w:rPr>
        <w:t xml:space="preserve"> </w:t>
      </w:r>
      <w:r w:rsidR="009128D1" w:rsidRPr="009128D1">
        <w:rPr>
          <w:sz w:val="26"/>
          <w:szCs w:val="26"/>
        </w:rPr>
        <w:t>that</w:t>
      </w:r>
      <w:r w:rsidR="00775EC4" w:rsidRPr="009128D1">
        <w:rPr>
          <w:sz w:val="26"/>
          <w:szCs w:val="26"/>
        </w:rPr>
        <w:t xml:space="preserve"> in </w:t>
      </w:r>
      <w:r w:rsidR="007F5504">
        <w:rPr>
          <w:sz w:val="26"/>
          <w:szCs w:val="26"/>
        </w:rPr>
        <w:t>the matter before us</w:t>
      </w:r>
      <w:r w:rsidR="00775EC4" w:rsidRPr="009128D1">
        <w:rPr>
          <w:sz w:val="26"/>
          <w:szCs w:val="26"/>
        </w:rPr>
        <w:t>, the rates on the February 19, 2014 bill are in conformity with the rates on its Commission-approved tariff</w:t>
      </w:r>
      <w:r w:rsidR="00694E60" w:rsidRPr="009128D1">
        <w:rPr>
          <w:sz w:val="26"/>
          <w:szCs w:val="26"/>
        </w:rPr>
        <w:t xml:space="preserve">.  </w:t>
      </w:r>
      <w:r w:rsidR="00694E60" w:rsidRPr="009128D1">
        <w:rPr>
          <w:i/>
          <w:sz w:val="26"/>
          <w:szCs w:val="26"/>
        </w:rPr>
        <w:t>Id.</w:t>
      </w:r>
      <w:r w:rsidR="00694E60" w:rsidRPr="009128D1">
        <w:rPr>
          <w:sz w:val="26"/>
          <w:szCs w:val="26"/>
        </w:rPr>
        <w:t xml:space="preserve"> at 3.</w:t>
      </w:r>
    </w:p>
    <w:p w:rsidR="00694E60" w:rsidRDefault="00694E60" w:rsidP="00085E5A">
      <w:pPr>
        <w:widowControl/>
        <w:spacing w:line="360" w:lineRule="auto"/>
        <w:ind w:firstLine="1440"/>
        <w:contextualSpacing/>
        <w:rPr>
          <w:sz w:val="26"/>
          <w:szCs w:val="26"/>
        </w:rPr>
      </w:pPr>
    </w:p>
    <w:p w:rsidR="00694E60" w:rsidRDefault="00694E60" w:rsidP="00085E5A">
      <w:pPr>
        <w:widowControl/>
        <w:spacing w:line="360" w:lineRule="auto"/>
        <w:ind w:firstLine="1440"/>
        <w:contextualSpacing/>
        <w:rPr>
          <w:sz w:val="26"/>
          <w:szCs w:val="26"/>
        </w:rPr>
      </w:pPr>
      <w:r>
        <w:rPr>
          <w:sz w:val="26"/>
          <w:szCs w:val="26"/>
        </w:rPr>
        <w:t xml:space="preserve">Additionally, PGW avers that pursuant to </w:t>
      </w:r>
      <w:r w:rsidR="00BF28CB">
        <w:rPr>
          <w:sz w:val="26"/>
          <w:szCs w:val="26"/>
        </w:rPr>
        <w:t xml:space="preserve">its tariff and </w:t>
      </w:r>
      <w:r w:rsidR="007F5504">
        <w:rPr>
          <w:sz w:val="26"/>
          <w:szCs w:val="26"/>
        </w:rPr>
        <w:t xml:space="preserve">our </w:t>
      </w:r>
      <w:r w:rsidR="00E13A67">
        <w:rPr>
          <w:sz w:val="26"/>
          <w:szCs w:val="26"/>
        </w:rPr>
        <w:t>R</w:t>
      </w:r>
      <w:r w:rsidR="007F5504">
        <w:rPr>
          <w:sz w:val="26"/>
          <w:szCs w:val="26"/>
        </w:rPr>
        <w:t xml:space="preserve">egulations at </w:t>
      </w:r>
      <w:r w:rsidRPr="000D3742">
        <w:rPr>
          <w:sz w:val="26"/>
          <w:szCs w:val="26"/>
        </w:rPr>
        <w:t>52 Pa.</w:t>
      </w:r>
      <w:r>
        <w:rPr>
          <w:sz w:val="26"/>
          <w:szCs w:val="26"/>
        </w:rPr>
        <w:t xml:space="preserve"> Code §§</w:t>
      </w:r>
      <w:r w:rsidR="007F5504">
        <w:rPr>
          <w:sz w:val="26"/>
          <w:szCs w:val="26"/>
        </w:rPr>
        <w:t> </w:t>
      </w:r>
      <w:r>
        <w:rPr>
          <w:sz w:val="26"/>
          <w:szCs w:val="26"/>
        </w:rPr>
        <w:t xml:space="preserve"> 56.15 and 62.74, PGW’s </w:t>
      </w:r>
      <w:r w:rsidR="00ED2B57">
        <w:rPr>
          <w:sz w:val="26"/>
          <w:szCs w:val="26"/>
        </w:rPr>
        <w:t>billing format</w:t>
      </w:r>
      <w:r>
        <w:rPr>
          <w:sz w:val="26"/>
          <w:szCs w:val="26"/>
        </w:rPr>
        <w:t xml:space="preserve"> contains all the required elements and categories of charges.</w:t>
      </w:r>
      <w:r w:rsidR="00B35CB5">
        <w:rPr>
          <w:sz w:val="26"/>
          <w:szCs w:val="26"/>
        </w:rPr>
        <w:t xml:space="preserve">  PGW asserts that its </w:t>
      </w:r>
      <w:r w:rsidR="00ED2B57">
        <w:rPr>
          <w:sz w:val="26"/>
          <w:szCs w:val="26"/>
        </w:rPr>
        <w:t>billing format</w:t>
      </w:r>
      <w:r w:rsidR="00B35CB5">
        <w:rPr>
          <w:sz w:val="26"/>
          <w:szCs w:val="26"/>
        </w:rPr>
        <w:t xml:space="preserve"> </w:t>
      </w:r>
      <w:r w:rsidR="007B72F3">
        <w:rPr>
          <w:sz w:val="26"/>
          <w:szCs w:val="26"/>
        </w:rPr>
        <w:t>makes provision</w:t>
      </w:r>
      <w:r w:rsidR="00B35CB5">
        <w:rPr>
          <w:sz w:val="26"/>
          <w:szCs w:val="26"/>
        </w:rPr>
        <w:t xml:space="preserve"> for charges </w:t>
      </w:r>
      <w:r w:rsidR="007F5504">
        <w:rPr>
          <w:sz w:val="26"/>
          <w:szCs w:val="26"/>
        </w:rPr>
        <w:t>including the</w:t>
      </w:r>
      <w:r w:rsidR="007B72F3">
        <w:rPr>
          <w:sz w:val="26"/>
          <w:szCs w:val="26"/>
        </w:rPr>
        <w:t xml:space="preserve"> </w:t>
      </w:r>
      <w:r w:rsidR="0095511D">
        <w:rPr>
          <w:sz w:val="26"/>
          <w:szCs w:val="26"/>
        </w:rPr>
        <w:t>C</w:t>
      </w:r>
      <w:r w:rsidR="007B72F3">
        <w:rPr>
          <w:sz w:val="26"/>
          <w:szCs w:val="26"/>
        </w:rPr>
        <w:t xml:space="preserve">ustomer </w:t>
      </w:r>
      <w:r w:rsidR="0095511D">
        <w:rPr>
          <w:sz w:val="26"/>
          <w:szCs w:val="26"/>
        </w:rPr>
        <w:t>C</w:t>
      </w:r>
      <w:r w:rsidR="007B72F3">
        <w:rPr>
          <w:sz w:val="26"/>
          <w:szCs w:val="26"/>
        </w:rPr>
        <w:t xml:space="preserve">harge, </w:t>
      </w:r>
      <w:r w:rsidR="0095511D">
        <w:rPr>
          <w:sz w:val="26"/>
          <w:szCs w:val="26"/>
        </w:rPr>
        <w:t>Gas A</w:t>
      </w:r>
      <w:r w:rsidR="007B72F3">
        <w:rPr>
          <w:sz w:val="26"/>
          <w:szCs w:val="26"/>
        </w:rPr>
        <w:t xml:space="preserve">djustment </w:t>
      </w:r>
      <w:r w:rsidR="0095511D">
        <w:rPr>
          <w:sz w:val="26"/>
          <w:szCs w:val="26"/>
        </w:rPr>
        <w:t>C</w:t>
      </w:r>
      <w:r w:rsidR="007B72F3">
        <w:rPr>
          <w:sz w:val="26"/>
          <w:szCs w:val="26"/>
        </w:rPr>
        <w:t xml:space="preserve">harge, </w:t>
      </w:r>
      <w:r w:rsidR="0095511D">
        <w:rPr>
          <w:sz w:val="26"/>
          <w:szCs w:val="26"/>
        </w:rPr>
        <w:t>C</w:t>
      </w:r>
      <w:r w:rsidR="009128D1">
        <w:rPr>
          <w:sz w:val="26"/>
          <w:szCs w:val="26"/>
        </w:rPr>
        <w:t xml:space="preserve">ommodity </w:t>
      </w:r>
      <w:r w:rsidR="0095511D">
        <w:rPr>
          <w:sz w:val="26"/>
          <w:szCs w:val="26"/>
        </w:rPr>
        <w:t>C</w:t>
      </w:r>
      <w:r w:rsidR="009128D1">
        <w:rPr>
          <w:sz w:val="26"/>
          <w:szCs w:val="26"/>
        </w:rPr>
        <w:t xml:space="preserve">harge, and </w:t>
      </w:r>
      <w:r w:rsidR="00C56035">
        <w:rPr>
          <w:sz w:val="26"/>
          <w:szCs w:val="26"/>
        </w:rPr>
        <w:t>Distribution Charge</w:t>
      </w:r>
      <w:r w:rsidR="00B35CB5">
        <w:rPr>
          <w:sz w:val="26"/>
          <w:szCs w:val="26"/>
        </w:rPr>
        <w:t xml:space="preserve">, </w:t>
      </w:r>
      <w:r w:rsidR="007F5504">
        <w:rPr>
          <w:sz w:val="26"/>
          <w:szCs w:val="26"/>
        </w:rPr>
        <w:t>in addition to</w:t>
      </w:r>
      <w:r w:rsidR="00B35CB5">
        <w:rPr>
          <w:sz w:val="26"/>
          <w:szCs w:val="26"/>
        </w:rPr>
        <w:t xml:space="preserve"> other requisite customer and measurement information.</w:t>
      </w:r>
      <w:r w:rsidR="009C303D">
        <w:rPr>
          <w:sz w:val="26"/>
          <w:szCs w:val="26"/>
        </w:rPr>
        <w:t xml:space="preserve">  PGW </w:t>
      </w:r>
      <w:r w:rsidR="007F5504">
        <w:rPr>
          <w:sz w:val="26"/>
          <w:szCs w:val="26"/>
        </w:rPr>
        <w:t xml:space="preserve">submits that </w:t>
      </w:r>
      <w:r w:rsidR="009C303D">
        <w:rPr>
          <w:sz w:val="26"/>
          <w:szCs w:val="26"/>
        </w:rPr>
        <w:t>the questi</w:t>
      </w:r>
      <w:r w:rsidR="007B72F3">
        <w:rPr>
          <w:sz w:val="26"/>
          <w:szCs w:val="26"/>
        </w:rPr>
        <w:t xml:space="preserve">on of conformity in the </w:t>
      </w:r>
      <w:r w:rsidR="00ED2B57">
        <w:rPr>
          <w:sz w:val="26"/>
          <w:szCs w:val="26"/>
        </w:rPr>
        <w:t>billing format</w:t>
      </w:r>
      <w:r w:rsidR="009C303D">
        <w:rPr>
          <w:sz w:val="26"/>
          <w:szCs w:val="26"/>
        </w:rPr>
        <w:t xml:space="preserve"> and the tariff arises only with the order of presentation of materials.  </w:t>
      </w:r>
      <w:r w:rsidR="00E13A67">
        <w:rPr>
          <w:sz w:val="26"/>
          <w:szCs w:val="26"/>
        </w:rPr>
        <w:t xml:space="preserve">In this regard, PGW claims that its billing format differs only in that </w:t>
      </w:r>
      <w:r w:rsidR="009C303D">
        <w:rPr>
          <w:sz w:val="26"/>
          <w:szCs w:val="26"/>
        </w:rPr>
        <w:t>it separates the presentation of charges between charges as</w:t>
      </w:r>
      <w:r w:rsidR="007B72F3">
        <w:rPr>
          <w:sz w:val="26"/>
          <w:szCs w:val="26"/>
        </w:rPr>
        <w:t xml:space="preserve">sociated with </w:t>
      </w:r>
      <w:r w:rsidR="009128D1">
        <w:rPr>
          <w:sz w:val="26"/>
          <w:szCs w:val="26"/>
        </w:rPr>
        <w:t>the purchase of “</w:t>
      </w:r>
      <w:r w:rsidR="007B72F3">
        <w:rPr>
          <w:sz w:val="26"/>
          <w:szCs w:val="26"/>
        </w:rPr>
        <w:t>s</w:t>
      </w:r>
      <w:r w:rsidR="009C303D">
        <w:rPr>
          <w:sz w:val="26"/>
          <w:szCs w:val="26"/>
        </w:rPr>
        <w:t xml:space="preserve">upply of gas” as a commodity </w:t>
      </w:r>
      <w:r w:rsidR="007B72F3">
        <w:rPr>
          <w:sz w:val="26"/>
          <w:szCs w:val="26"/>
        </w:rPr>
        <w:t>and those associated with the “d</w:t>
      </w:r>
      <w:r w:rsidR="009C303D">
        <w:rPr>
          <w:sz w:val="26"/>
          <w:szCs w:val="26"/>
        </w:rPr>
        <w:t>elivery of gas</w:t>
      </w:r>
      <w:r w:rsidR="007B72F3">
        <w:rPr>
          <w:sz w:val="26"/>
          <w:szCs w:val="26"/>
        </w:rPr>
        <w:t>,</w:t>
      </w:r>
      <w:r w:rsidR="009C303D">
        <w:rPr>
          <w:sz w:val="26"/>
          <w:szCs w:val="26"/>
        </w:rPr>
        <w:t xml:space="preserve">” which is </w:t>
      </w:r>
      <w:r w:rsidR="007B72F3">
        <w:rPr>
          <w:sz w:val="26"/>
          <w:szCs w:val="26"/>
        </w:rPr>
        <w:t>its</w:t>
      </w:r>
      <w:r w:rsidR="009C303D">
        <w:rPr>
          <w:sz w:val="26"/>
          <w:szCs w:val="26"/>
        </w:rPr>
        <w:t xml:space="preserve"> distribution functio</w:t>
      </w:r>
      <w:r w:rsidR="007B72F3">
        <w:rPr>
          <w:sz w:val="26"/>
          <w:szCs w:val="26"/>
        </w:rPr>
        <w:t xml:space="preserve">n.  PGW asserts that its </w:t>
      </w:r>
      <w:r w:rsidR="00ED2B57">
        <w:rPr>
          <w:sz w:val="26"/>
          <w:szCs w:val="26"/>
        </w:rPr>
        <w:t>billing format</w:t>
      </w:r>
      <w:r w:rsidR="009C303D">
        <w:rPr>
          <w:sz w:val="26"/>
          <w:szCs w:val="26"/>
        </w:rPr>
        <w:t xml:space="preserve"> merely groups </w:t>
      </w:r>
      <w:r w:rsidR="001C195A">
        <w:rPr>
          <w:sz w:val="26"/>
          <w:szCs w:val="26"/>
        </w:rPr>
        <w:t>toge</w:t>
      </w:r>
      <w:r w:rsidR="00ED2B57">
        <w:rPr>
          <w:sz w:val="26"/>
          <w:szCs w:val="26"/>
        </w:rPr>
        <w:t xml:space="preserve">ther various components of the </w:t>
      </w:r>
      <w:r w:rsidR="00C56035">
        <w:rPr>
          <w:sz w:val="26"/>
          <w:szCs w:val="26"/>
        </w:rPr>
        <w:t>Distribution Charge</w:t>
      </w:r>
      <w:r w:rsidR="00ED2B57">
        <w:rPr>
          <w:sz w:val="26"/>
          <w:szCs w:val="26"/>
        </w:rPr>
        <w:t xml:space="preserve"> s</w:t>
      </w:r>
      <w:r w:rsidR="001C195A">
        <w:rPr>
          <w:sz w:val="26"/>
          <w:szCs w:val="26"/>
        </w:rPr>
        <w:t>urcharges of th</w:t>
      </w:r>
      <w:r w:rsidR="00ED2B57">
        <w:rPr>
          <w:sz w:val="26"/>
          <w:szCs w:val="26"/>
        </w:rPr>
        <w:t>e tariff and presents them as “delivery c</w:t>
      </w:r>
      <w:r w:rsidR="001C195A">
        <w:rPr>
          <w:sz w:val="26"/>
          <w:szCs w:val="26"/>
        </w:rPr>
        <w:t xml:space="preserve">harges” in a way that preserves the basic separation of the supply and the distribution functions.  </w:t>
      </w:r>
      <w:r w:rsidR="009C303D" w:rsidRPr="00694E60">
        <w:rPr>
          <w:i/>
          <w:sz w:val="26"/>
          <w:szCs w:val="26"/>
        </w:rPr>
        <w:t>Id.</w:t>
      </w:r>
      <w:r w:rsidR="009C303D">
        <w:rPr>
          <w:sz w:val="26"/>
          <w:szCs w:val="26"/>
        </w:rPr>
        <w:t xml:space="preserve"> at 3</w:t>
      </w:r>
      <w:r w:rsidR="001C195A">
        <w:rPr>
          <w:sz w:val="26"/>
          <w:szCs w:val="26"/>
        </w:rPr>
        <w:t>-4</w:t>
      </w:r>
      <w:r w:rsidR="009C303D">
        <w:rPr>
          <w:sz w:val="26"/>
          <w:szCs w:val="26"/>
        </w:rPr>
        <w:t>.</w:t>
      </w:r>
    </w:p>
    <w:p w:rsidR="007B72F3" w:rsidRDefault="007B72F3" w:rsidP="00085E5A">
      <w:pPr>
        <w:widowControl/>
        <w:spacing w:line="360" w:lineRule="auto"/>
        <w:ind w:firstLine="1440"/>
        <w:contextualSpacing/>
        <w:rPr>
          <w:sz w:val="26"/>
          <w:szCs w:val="26"/>
        </w:rPr>
      </w:pPr>
    </w:p>
    <w:p w:rsidR="00000D44" w:rsidRDefault="00000D44" w:rsidP="00085E5A">
      <w:pPr>
        <w:widowControl/>
        <w:spacing w:line="360" w:lineRule="auto"/>
        <w:ind w:firstLine="1440"/>
        <w:contextualSpacing/>
        <w:rPr>
          <w:sz w:val="26"/>
          <w:szCs w:val="26"/>
        </w:rPr>
      </w:pPr>
      <w:r>
        <w:rPr>
          <w:sz w:val="26"/>
          <w:szCs w:val="26"/>
        </w:rPr>
        <w:t xml:space="preserve">PGW avers that its </w:t>
      </w:r>
      <w:r w:rsidR="00ED2B57">
        <w:rPr>
          <w:sz w:val="26"/>
          <w:szCs w:val="26"/>
        </w:rPr>
        <w:t>billing format</w:t>
      </w:r>
      <w:r>
        <w:rPr>
          <w:sz w:val="26"/>
          <w:szCs w:val="26"/>
        </w:rPr>
        <w:t xml:space="preserve"> adopted the </w:t>
      </w:r>
      <w:r w:rsidR="006B3FBF">
        <w:rPr>
          <w:sz w:val="26"/>
          <w:szCs w:val="26"/>
        </w:rPr>
        <w:t>G</w:t>
      </w:r>
      <w:r>
        <w:rPr>
          <w:sz w:val="26"/>
          <w:szCs w:val="26"/>
        </w:rPr>
        <w:t xml:space="preserve">uidelines </w:t>
      </w:r>
      <w:r w:rsidR="006B3FBF">
        <w:rPr>
          <w:sz w:val="26"/>
          <w:szCs w:val="26"/>
        </w:rPr>
        <w:t>in</w:t>
      </w:r>
      <w:r>
        <w:rPr>
          <w:sz w:val="26"/>
          <w:szCs w:val="26"/>
        </w:rPr>
        <w:t xml:space="preserve"> </w:t>
      </w:r>
      <w:r w:rsidR="006B3FBF">
        <w:rPr>
          <w:sz w:val="26"/>
          <w:szCs w:val="26"/>
        </w:rPr>
        <w:t xml:space="preserve">our </w:t>
      </w:r>
      <w:r>
        <w:rPr>
          <w:sz w:val="26"/>
          <w:szCs w:val="26"/>
        </w:rPr>
        <w:t xml:space="preserve">Regulations </w:t>
      </w:r>
      <w:r w:rsidR="006B3FBF">
        <w:rPr>
          <w:sz w:val="26"/>
          <w:szCs w:val="26"/>
        </w:rPr>
        <w:t xml:space="preserve">at Section 69.251, </w:t>
      </w:r>
      <w:r w:rsidRPr="000D3742">
        <w:rPr>
          <w:sz w:val="26"/>
          <w:szCs w:val="26"/>
        </w:rPr>
        <w:t>52 Pa.</w:t>
      </w:r>
      <w:r w:rsidR="007B72F3">
        <w:rPr>
          <w:sz w:val="26"/>
          <w:szCs w:val="26"/>
        </w:rPr>
        <w:t xml:space="preserve"> Code § 69.251, also known as the </w:t>
      </w:r>
      <w:r>
        <w:rPr>
          <w:sz w:val="26"/>
          <w:szCs w:val="26"/>
        </w:rPr>
        <w:t xml:space="preserve">Plain </w:t>
      </w:r>
      <w:r w:rsidR="00A47047">
        <w:rPr>
          <w:sz w:val="26"/>
          <w:szCs w:val="26"/>
        </w:rPr>
        <w:t>Language Policy Statement</w:t>
      </w:r>
      <w:r>
        <w:rPr>
          <w:sz w:val="26"/>
          <w:szCs w:val="26"/>
        </w:rPr>
        <w:t xml:space="preserve">, which </w:t>
      </w:r>
      <w:r w:rsidR="006B3FBF">
        <w:rPr>
          <w:sz w:val="26"/>
          <w:szCs w:val="26"/>
        </w:rPr>
        <w:t xml:space="preserve">provide </w:t>
      </w:r>
      <w:r>
        <w:rPr>
          <w:sz w:val="26"/>
          <w:szCs w:val="26"/>
        </w:rPr>
        <w:t xml:space="preserve">public utilities </w:t>
      </w:r>
      <w:r w:rsidR="006B3FBF">
        <w:rPr>
          <w:sz w:val="26"/>
          <w:szCs w:val="26"/>
        </w:rPr>
        <w:t>with suggested G</w:t>
      </w:r>
      <w:r>
        <w:rPr>
          <w:sz w:val="26"/>
          <w:szCs w:val="26"/>
        </w:rPr>
        <w:t>uidelines for written material provided to residential customers.  Specifically, PGW highlight</w:t>
      </w:r>
      <w:r w:rsidR="00E13A67">
        <w:rPr>
          <w:sz w:val="26"/>
          <w:szCs w:val="26"/>
        </w:rPr>
        <w:t>s</w:t>
      </w:r>
      <w:r w:rsidR="00E700DE">
        <w:rPr>
          <w:sz w:val="26"/>
          <w:szCs w:val="26"/>
        </w:rPr>
        <w:t xml:space="preserve"> </w:t>
      </w:r>
      <w:r w:rsidR="007B72F3">
        <w:rPr>
          <w:sz w:val="26"/>
          <w:szCs w:val="26"/>
        </w:rPr>
        <w:t xml:space="preserve">the </w:t>
      </w:r>
      <w:r w:rsidR="006B3FBF">
        <w:rPr>
          <w:sz w:val="26"/>
          <w:szCs w:val="26"/>
        </w:rPr>
        <w:t>G</w:t>
      </w:r>
      <w:r>
        <w:rPr>
          <w:sz w:val="26"/>
          <w:szCs w:val="26"/>
        </w:rPr>
        <w:t xml:space="preserve">uidelines </w:t>
      </w:r>
      <w:r w:rsidR="00E700DE">
        <w:rPr>
          <w:sz w:val="26"/>
          <w:szCs w:val="26"/>
        </w:rPr>
        <w:t xml:space="preserve">in </w:t>
      </w:r>
      <w:r w:rsidR="006B3FBF">
        <w:rPr>
          <w:sz w:val="26"/>
          <w:szCs w:val="26"/>
        </w:rPr>
        <w:t xml:space="preserve">Section </w:t>
      </w:r>
      <w:r w:rsidR="009128D1">
        <w:rPr>
          <w:sz w:val="26"/>
          <w:szCs w:val="26"/>
        </w:rPr>
        <w:t>69.251 that include</w:t>
      </w:r>
      <w:r w:rsidR="00E700DE">
        <w:rPr>
          <w:sz w:val="26"/>
          <w:szCs w:val="26"/>
        </w:rPr>
        <w:t xml:space="preserve"> </w:t>
      </w:r>
      <w:r>
        <w:rPr>
          <w:sz w:val="26"/>
          <w:szCs w:val="26"/>
        </w:rPr>
        <w:t>the use of “commonly understood words, clear section headings which accurately describe the information that follows</w:t>
      </w:r>
      <w:r w:rsidR="009D1CD7">
        <w:rPr>
          <w:sz w:val="26"/>
          <w:szCs w:val="26"/>
        </w:rPr>
        <w:t>,</w:t>
      </w:r>
      <w:r>
        <w:rPr>
          <w:sz w:val="26"/>
          <w:szCs w:val="26"/>
        </w:rPr>
        <w:t xml:space="preserve"> and the avoidance of the use of technical, legal or utility terms not commonly understood.</w:t>
      </w:r>
      <w:r w:rsidR="00ED2B57">
        <w:rPr>
          <w:sz w:val="26"/>
          <w:szCs w:val="26"/>
        </w:rPr>
        <w:t>”</w:t>
      </w:r>
      <w:r>
        <w:rPr>
          <w:sz w:val="26"/>
          <w:szCs w:val="26"/>
        </w:rPr>
        <w:t xml:space="preserve">  </w:t>
      </w:r>
      <w:r w:rsidR="009A7816">
        <w:rPr>
          <w:sz w:val="26"/>
          <w:szCs w:val="26"/>
        </w:rPr>
        <w:t xml:space="preserve">PGW argues that its </w:t>
      </w:r>
      <w:r w:rsidR="009A7816">
        <w:rPr>
          <w:sz w:val="26"/>
          <w:szCs w:val="26"/>
        </w:rPr>
        <w:lastRenderedPageBreak/>
        <w:t>use of the p</w:t>
      </w:r>
      <w:r w:rsidR="009D1CD7">
        <w:rPr>
          <w:sz w:val="26"/>
          <w:szCs w:val="26"/>
        </w:rPr>
        <w:t>lainly understood headings of “S</w:t>
      </w:r>
      <w:r w:rsidR="00ED2B57">
        <w:rPr>
          <w:sz w:val="26"/>
          <w:szCs w:val="26"/>
        </w:rPr>
        <w:t xml:space="preserve">upply </w:t>
      </w:r>
      <w:r w:rsidR="009D1CD7">
        <w:rPr>
          <w:sz w:val="26"/>
          <w:szCs w:val="26"/>
        </w:rPr>
        <w:t>C</w:t>
      </w:r>
      <w:r w:rsidR="00ED2B57">
        <w:rPr>
          <w:sz w:val="26"/>
          <w:szCs w:val="26"/>
        </w:rPr>
        <w:t>harges” and “</w:t>
      </w:r>
      <w:r w:rsidR="009D1CD7">
        <w:rPr>
          <w:sz w:val="26"/>
          <w:szCs w:val="26"/>
        </w:rPr>
        <w:t>D</w:t>
      </w:r>
      <w:r w:rsidR="00ED2B57">
        <w:rPr>
          <w:sz w:val="26"/>
          <w:szCs w:val="26"/>
        </w:rPr>
        <w:t xml:space="preserve">elivery </w:t>
      </w:r>
      <w:r w:rsidR="009D1CD7">
        <w:rPr>
          <w:sz w:val="26"/>
          <w:szCs w:val="26"/>
        </w:rPr>
        <w:t>C</w:t>
      </w:r>
      <w:r w:rsidR="009A7816">
        <w:rPr>
          <w:sz w:val="26"/>
          <w:szCs w:val="26"/>
        </w:rPr>
        <w:t xml:space="preserve">harges” in its </w:t>
      </w:r>
      <w:r w:rsidR="00ED2B57">
        <w:rPr>
          <w:sz w:val="26"/>
          <w:szCs w:val="26"/>
        </w:rPr>
        <w:t>billing format</w:t>
      </w:r>
      <w:r w:rsidR="009A7816">
        <w:rPr>
          <w:sz w:val="26"/>
          <w:szCs w:val="26"/>
        </w:rPr>
        <w:t xml:space="preserve"> </w:t>
      </w:r>
      <w:r w:rsidR="00550FD1">
        <w:rPr>
          <w:sz w:val="26"/>
          <w:szCs w:val="26"/>
        </w:rPr>
        <w:t xml:space="preserve">serves the Commission’s stated policy interests in providing residential customers with plain language materials.  </w:t>
      </w:r>
      <w:r w:rsidRPr="00000D44">
        <w:rPr>
          <w:i/>
          <w:sz w:val="26"/>
          <w:szCs w:val="26"/>
        </w:rPr>
        <w:t>Id.</w:t>
      </w:r>
      <w:r>
        <w:rPr>
          <w:sz w:val="26"/>
          <w:szCs w:val="26"/>
        </w:rPr>
        <w:t xml:space="preserve"> at 4-5, citing 52</w:t>
      </w:r>
      <w:r w:rsidRPr="000D3742">
        <w:rPr>
          <w:sz w:val="26"/>
          <w:szCs w:val="26"/>
        </w:rPr>
        <w:t xml:space="preserve"> Pa.</w:t>
      </w:r>
      <w:r>
        <w:rPr>
          <w:sz w:val="26"/>
          <w:szCs w:val="26"/>
        </w:rPr>
        <w:t xml:space="preserve"> Code § 69.251.</w:t>
      </w:r>
    </w:p>
    <w:p w:rsidR="009A7816" w:rsidRDefault="009A7816" w:rsidP="00085E5A">
      <w:pPr>
        <w:widowControl/>
        <w:spacing w:line="360" w:lineRule="auto"/>
        <w:ind w:firstLine="1440"/>
        <w:contextualSpacing/>
        <w:rPr>
          <w:sz w:val="26"/>
          <w:szCs w:val="26"/>
        </w:rPr>
      </w:pPr>
    </w:p>
    <w:p w:rsidR="009A7816" w:rsidRDefault="009A7816" w:rsidP="00085E5A">
      <w:pPr>
        <w:widowControl/>
        <w:spacing w:line="360" w:lineRule="auto"/>
        <w:ind w:firstLine="1440"/>
        <w:contextualSpacing/>
        <w:rPr>
          <w:sz w:val="26"/>
          <w:szCs w:val="26"/>
        </w:rPr>
      </w:pPr>
      <w:r>
        <w:rPr>
          <w:sz w:val="26"/>
          <w:szCs w:val="26"/>
        </w:rPr>
        <w:t xml:space="preserve">PGW </w:t>
      </w:r>
      <w:r w:rsidR="00E13A67">
        <w:rPr>
          <w:sz w:val="26"/>
          <w:szCs w:val="26"/>
        </w:rPr>
        <w:t xml:space="preserve">restates </w:t>
      </w:r>
      <w:r>
        <w:rPr>
          <w:sz w:val="26"/>
          <w:szCs w:val="26"/>
        </w:rPr>
        <w:t xml:space="preserve">that its </w:t>
      </w:r>
      <w:r w:rsidR="00ED2B57">
        <w:rPr>
          <w:sz w:val="26"/>
          <w:szCs w:val="26"/>
        </w:rPr>
        <w:t>billing format</w:t>
      </w:r>
      <w:r w:rsidR="00BF28CB">
        <w:rPr>
          <w:sz w:val="26"/>
          <w:szCs w:val="26"/>
        </w:rPr>
        <w:t>,</w:t>
      </w:r>
      <w:r>
        <w:rPr>
          <w:sz w:val="26"/>
          <w:szCs w:val="26"/>
        </w:rPr>
        <w:t xml:space="preserve"> which divides all charges between the two basic utility fun</w:t>
      </w:r>
      <w:r w:rsidR="009D1CD7">
        <w:rPr>
          <w:sz w:val="26"/>
          <w:szCs w:val="26"/>
        </w:rPr>
        <w:t>ctions (s</w:t>
      </w:r>
      <w:r>
        <w:rPr>
          <w:sz w:val="26"/>
          <w:szCs w:val="26"/>
        </w:rPr>
        <w:t>upply and distribution)</w:t>
      </w:r>
      <w:r w:rsidR="00BF28CB">
        <w:rPr>
          <w:sz w:val="26"/>
          <w:szCs w:val="26"/>
        </w:rPr>
        <w:t>,</w:t>
      </w:r>
      <w:r>
        <w:rPr>
          <w:sz w:val="26"/>
          <w:szCs w:val="26"/>
        </w:rPr>
        <w:t xml:space="preserve"> helps to educate customers on this bas</w:t>
      </w:r>
      <w:r w:rsidR="007B72F3">
        <w:rPr>
          <w:sz w:val="26"/>
          <w:szCs w:val="26"/>
        </w:rPr>
        <w:t>ic distinction and supports the modern utility trend</w:t>
      </w:r>
      <w:r>
        <w:rPr>
          <w:sz w:val="26"/>
          <w:szCs w:val="26"/>
        </w:rPr>
        <w:t xml:space="preserve"> of the unbundling of utility service.  PGW further </w:t>
      </w:r>
      <w:r w:rsidR="00550FD1">
        <w:rPr>
          <w:sz w:val="26"/>
          <w:szCs w:val="26"/>
        </w:rPr>
        <w:t>asserts</w:t>
      </w:r>
      <w:r>
        <w:rPr>
          <w:sz w:val="26"/>
          <w:szCs w:val="26"/>
        </w:rPr>
        <w:t xml:space="preserve"> that as customers begin </w:t>
      </w:r>
      <w:r w:rsidR="00E13A67">
        <w:rPr>
          <w:sz w:val="26"/>
          <w:szCs w:val="26"/>
        </w:rPr>
        <w:t>to view their</w:t>
      </w:r>
      <w:r>
        <w:rPr>
          <w:sz w:val="26"/>
          <w:szCs w:val="26"/>
        </w:rPr>
        <w:t xml:space="preserve"> bill</w:t>
      </w:r>
      <w:r w:rsidR="00E13A67">
        <w:rPr>
          <w:sz w:val="26"/>
          <w:szCs w:val="26"/>
        </w:rPr>
        <w:t>s</w:t>
      </w:r>
      <w:r>
        <w:rPr>
          <w:sz w:val="26"/>
          <w:szCs w:val="26"/>
        </w:rPr>
        <w:t xml:space="preserve"> in terms of the supply and distribution functions of utility service, they will be more apt to participate in </w:t>
      </w:r>
      <w:r w:rsidR="007B72F3">
        <w:rPr>
          <w:sz w:val="26"/>
          <w:szCs w:val="26"/>
        </w:rPr>
        <w:t>PGW’s “</w:t>
      </w:r>
      <w:r>
        <w:rPr>
          <w:sz w:val="26"/>
          <w:szCs w:val="26"/>
        </w:rPr>
        <w:t>Natural Gas Choice</w:t>
      </w:r>
      <w:r w:rsidR="007B72F3">
        <w:rPr>
          <w:sz w:val="26"/>
          <w:szCs w:val="26"/>
        </w:rPr>
        <w:t>”</w:t>
      </w:r>
      <w:r>
        <w:rPr>
          <w:sz w:val="26"/>
          <w:szCs w:val="26"/>
        </w:rPr>
        <w:t xml:space="preserve"> as </w:t>
      </w:r>
      <w:r w:rsidR="00E13A67">
        <w:rPr>
          <w:sz w:val="26"/>
          <w:szCs w:val="26"/>
        </w:rPr>
        <w:t xml:space="preserve">this </w:t>
      </w:r>
      <w:r>
        <w:rPr>
          <w:sz w:val="26"/>
          <w:szCs w:val="26"/>
        </w:rPr>
        <w:t xml:space="preserve">becomes available in </w:t>
      </w:r>
      <w:r w:rsidR="00ED2B57">
        <w:rPr>
          <w:sz w:val="26"/>
          <w:szCs w:val="26"/>
        </w:rPr>
        <w:t>its</w:t>
      </w:r>
      <w:r>
        <w:rPr>
          <w:sz w:val="26"/>
          <w:szCs w:val="26"/>
        </w:rPr>
        <w:t xml:space="preserve"> service territory.  </w:t>
      </w:r>
      <w:r w:rsidR="00550FD1">
        <w:rPr>
          <w:sz w:val="26"/>
          <w:szCs w:val="26"/>
        </w:rPr>
        <w:t xml:space="preserve">PGW </w:t>
      </w:r>
      <w:r w:rsidR="000E563C">
        <w:rPr>
          <w:sz w:val="26"/>
          <w:szCs w:val="26"/>
        </w:rPr>
        <w:t>asserts</w:t>
      </w:r>
      <w:r w:rsidR="00E13A67">
        <w:rPr>
          <w:sz w:val="26"/>
          <w:szCs w:val="26"/>
        </w:rPr>
        <w:t xml:space="preserve"> </w:t>
      </w:r>
      <w:r w:rsidR="00550FD1">
        <w:rPr>
          <w:sz w:val="26"/>
          <w:szCs w:val="26"/>
        </w:rPr>
        <w:t xml:space="preserve">that </w:t>
      </w:r>
      <w:r w:rsidR="007B72F3">
        <w:rPr>
          <w:sz w:val="26"/>
          <w:szCs w:val="26"/>
        </w:rPr>
        <w:t xml:space="preserve">it is </w:t>
      </w:r>
      <w:r w:rsidR="009128D1">
        <w:rPr>
          <w:sz w:val="26"/>
          <w:szCs w:val="26"/>
        </w:rPr>
        <w:t xml:space="preserve">in </w:t>
      </w:r>
      <w:r w:rsidR="007B72F3">
        <w:rPr>
          <w:sz w:val="26"/>
          <w:szCs w:val="26"/>
        </w:rPr>
        <w:t>compliance with</w:t>
      </w:r>
      <w:r w:rsidR="00550FD1">
        <w:rPr>
          <w:sz w:val="26"/>
          <w:szCs w:val="26"/>
        </w:rPr>
        <w:t xml:space="preserve"> the regulatory goal of educating its customers through its </w:t>
      </w:r>
      <w:r w:rsidR="00ED2B57">
        <w:rPr>
          <w:sz w:val="26"/>
          <w:szCs w:val="26"/>
        </w:rPr>
        <w:t>billing format</w:t>
      </w:r>
      <w:r w:rsidR="00550FD1">
        <w:rPr>
          <w:sz w:val="26"/>
          <w:szCs w:val="26"/>
        </w:rPr>
        <w:t xml:space="preserve">.  </w:t>
      </w:r>
      <w:r w:rsidR="00ED2B57" w:rsidRPr="00ED2B57">
        <w:rPr>
          <w:sz w:val="26"/>
          <w:szCs w:val="26"/>
        </w:rPr>
        <w:t>I.D.</w:t>
      </w:r>
      <w:r w:rsidR="00550FD1">
        <w:rPr>
          <w:sz w:val="26"/>
          <w:szCs w:val="26"/>
        </w:rPr>
        <w:t xml:space="preserve"> at 5.</w:t>
      </w:r>
    </w:p>
    <w:p w:rsidR="00550FD1" w:rsidRDefault="00550FD1" w:rsidP="00085E5A">
      <w:pPr>
        <w:widowControl/>
        <w:spacing w:line="360" w:lineRule="auto"/>
        <w:ind w:firstLine="1440"/>
        <w:contextualSpacing/>
        <w:rPr>
          <w:sz w:val="26"/>
          <w:szCs w:val="26"/>
        </w:rPr>
      </w:pPr>
    </w:p>
    <w:p w:rsidR="00550FD1" w:rsidRDefault="00550FD1" w:rsidP="00085E5A">
      <w:pPr>
        <w:widowControl/>
        <w:spacing w:line="360" w:lineRule="auto"/>
        <w:ind w:firstLine="1440"/>
        <w:contextualSpacing/>
        <w:rPr>
          <w:sz w:val="26"/>
          <w:szCs w:val="26"/>
        </w:rPr>
      </w:pPr>
      <w:r>
        <w:rPr>
          <w:sz w:val="26"/>
          <w:szCs w:val="26"/>
        </w:rPr>
        <w:t xml:space="preserve">PGW also </w:t>
      </w:r>
      <w:r w:rsidR="00E13A67">
        <w:rPr>
          <w:sz w:val="26"/>
          <w:szCs w:val="26"/>
        </w:rPr>
        <w:t>excepts to</w:t>
      </w:r>
      <w:r>
        <w:rPr>
          <w:sz w:val="26"/>
          <w:szCs w:val="26"/>
        </w:rPr>
        <w:t xml:space="preserve"> the ALJ’s </w:t>
      </w:r>
      <w:r w:rsidR="00E13A67">
        <w:rPr>
          <w:sz w:val="26"/>
          <w:szCs w:val="26"/>
        </w:rPr>
        <w:t xml:space="preserve">direction </w:t>
      </w:r>
      <w:r>
        <w:rPr>
          <w:sz w:val="26"/>
          <w:szCs w:val="26"/>
        </w:rPr>
        <w:t xml:space="preserve">that the Company amend its </w:t>
      </w:r>
      <w:r w:rsidR="00ED2B57">
        <w:rPr>
          <w:sz w:val="26"/>
          <w:szCs w:val="26"/>
        </w:rPr>
        <w:t>billing format</w:t>
      </w:r>
      <w:r w:rsidR="000335B5">
        <w:rPr>
          <w:sz w:val="26"/>
          <w:szCs w:val="26"/>
        </w:rPr>
        <w:t xml:space="preserve"> to conform to </w:t>
      </w:r>
      <w:r w:rsidR="007B72F3">
        <w:rPr>
          <w:sz w:val="26"/>
          <w:szCs w:val="26"/>
        </w:rPr>
        <w:t>the Company’s tariff</w:t>
      </w:r>
      <w:r>
        <w:rPr>
          <w:sz w:val="26"/>
          <w:szCs w:val="26"/>
        </w:rPr>
        <w:t>.  According to PGW, this suggestion connotes that its tariff does not lend itself to customer education</w:t>
      </w:r>
      <w:r w:rsidR="007B72F3">
        <w:rPr>
          <w:sz w:val="26"/>
          <w:szCs w:val="26"/>
        </w:rPr>
        <w:t xml:space="preserve">.  PGW avers that </w:t>
      </w:r>
      <w:r w:rsidR="00E13A67">
        <w:rPr>
          <w:sz w:val="26"/>
          <w:szCs w:val="26"/>
        </w:rPr>
        <w:t>requiring</w:t>
      </w:r>
      <w:r w:rsidR="000335B5">
        <w:rPr>
          <w:sz w:val="26"/>
          <w:szCs w:val="26"/>
        </w:rPr>
        <w:t xml:space="preserve"> that</w:t>
      </w:r>
      <w:r w:rsidR="00A47047">
        <w:rPr>
          <w:sz w:val="26"/>
          <w:szCs w:val="26"/>
        </w:rPr>
        <w:t xml:space="preserve"> its</w:t>
      </w:r>
      <w:r w:rsidR="000335B5">
        <w:rPr>
          <w:sz w:val="26"/>
          <w:szCs w:val="26"/>
        </w:rPr>
        <w:t xml:space="preserve"> </w:t>
      </w:r>
      <w:r w:rsidR="00ED2B57">
        <w:rPr>
          <w:sz w:val="26"/>
          <w:szCs w:val="26"/>
        </w:rPr>
        <w:t>billing format</w:t>
      </w:r>
      <w:r w:rsidR="000335B5">
        <w:rPr>
          <w:sz w:val="26"/>
          <w:szCs w:val="26"/>
        </w:rPr>
        <w:t xml:space="preserve"> be “lock step” with its current Commission-approved tariff </w:t>
      </w:r>
      <w:r w:rsidR="00E13A67">
        <w:rPr>
          <w:sz w:val="26"/>
          <w:szCs w:val="26"/>
        </w:rPr>
        <w:t>would result in sacrificing the</w:t>
      </w:r>
      <w:r w:rsidR="000335B5">
        <w:rPr>
          <w:sz w:val="26"/>
          <w:szCs w:val="26"/>
        </w:rPr>
        <w:t xml:space="preserve"> understanding </w:t>
      </w:r>
      <w:r w:rsidR="00E13A67">
        <w:rPr>
          <w:sz w:val="26"/>
          <w:szCs w:val="26"/>
        </w:rPr>
        <w:t xml:space="preserve">of </w:t>
      </w:r>
      <w:r w:rsidR="000335B5">
        <w:rPr>
          <w:sz w:val="26"/>
          <w:szCs w:val="26"/>
        </w:rPr>
        <w:t xml:space="preserve">the substance of the charges in </w:t>
      </w:r>
      <w:r w:rsidR="00A47047">
        <w:rPr>
          <w:sz w:val="26"/>
          <w:szCs w:val="26"/>
        </w:rPr>
        <w:t xml:space="preserve">the bill in </w:t>
      </w:r>
      <w:r w:rsidR="000335B5">
        <w:rPr>
          <w:sz w:val="26"/>
          <w:szCs w:val="26"/>
        </w:rPr>
        <w:t xml:space="preserve">order to conform </w:t>
      </w:r>
      <w:r w:rsidR="00A47047">
        <w:rPr>
          <w:sz w:val="26"/>
          <w:szCs w:val="26"/>
        </w:rPr>
        <w:t xml:space="preserve">to the form the charges are presented in its tariff. </w:t>
      </w:r>
      <w:r w:rsidR="000335B5">
        <w:rPr>
          <w:sz w:val="26"/>
          <w:szCs w:val="26"/>
        </w:rPr>
        <w:t xml:space="preserve"> </w:t>
      </w:r>
      <w:r w:rsidR="00A47047">
        <w:rPr>
          <w:sz w:val="26"/>
          <w:szCs w:val="26"/>
        </w:rPr>
        <w:t xml:space="preserve">PGW </w:t>
      </w:r>
      <w:r w:rsidR="00E13A67">
        <w:rPr>
          <w:sz w:val="26"/>
          <w:szCs w:val="26"/>
        </w:rPr>
        <w:t xml:space="preserve">opines that </w:t>
      </w:r>
      <w:r w:rsidR="00A47047">
        <w:rPr>
          <w:sz w:val="26"/>
          <w:szCs w:val="26"/>
        </w:rPr>
        <w:t>this line of reasoning is “form over substance</w:t>
      </w:r>
      <w:r w:rsidR="00BF28CB">
        <w:rPr>
          <w:sz w:val="26"/>
          <w:szCs w:val="26"/>
        </w:rPr>
        <w:t>,</w:t>
      </w:r>
      <w:r w:rsidR="00A47047">
        <w:rPr>
          <w:sz w:val="26"/>
          <w:szCs w:val="26"/>
        </w:rPr>
        <w:t xml:space="preserve">” which defeats the Commission’s intended purpose </w:t>
      </w:r>
      <w:r w:rsidR="007B72F3">
        <w:rPr>
          <w:sz w:val="26"/>
          <w:szCs w:val="26"/>
        </w:rPr>
        <w:t>in</w:t>
      </w:r>
      <w:r w:rsidR="00B311D4">
        <w:rPr>
          <w:sz w:val="26"/>
          <w:szCs w:val="26"/>
        </w:rPr>
        <w:t xml:space="preserve"> the </w:t>
      </w:r>
      <w:r w:rsidR="00A47047">
        <w:rPr>
          <w:sz w:val="26"/>
          <w:szCs w:val="26"/>
        </w:rPr>
        <w:t xml:space="preserve">Plain Language Policy Statement.  </w:t>
      </w:r>
      <w:r w:rsidR="00A47047" w:rsidRPr="00000D44">
        <w:rPr>
          <w:i/>
          <w:sz w:val="26"/>
          <w:szCs w:val="26"/>
        </w:rPr>
        <w:t>Id.</w:t>
      </w:r>
      <w:r w:rsidR="00DE7750">
        <w:rPr>
          <w:sz w:val="26"/>
          <w:szCs w:val="26"/>
        </w:rPr>
        <w:t xml:space="preserve"> </w:t>
      </w:r>
    </w:p>
    <w:p w:rsidR="009128D1" w:rsidRPr="00DE7750" w:rsidRDefault="009128D1" w:rsidP="00085E5A">
      <w:pPr>
        <w:widowControl/>
        <w:spacing w:line="360" w:lineRule="auto"/>
        <w:ind w:firstLine="1440"/>
        <w:contextualSpacing/>
        <w:rPr>
          <w:sz w:val="26"/>
          <w:szCs w:val="26"/>
        </w:rPr>
      </w:pPr>
    </w:p>
    <w:p w:rsidR="00F747B9" w:rsidRDefault="00E13A67" w:rsidP="00F747B9">
      <w:pPr>
        <w:widowControl/>
        <w:spacing w:line="360" w:lineRule="auto"/>
        <w:ind w:firstLine="1440"/>
        <w:contextualSpacing/>
        <w:rPr>
          <w:sz w:val="26"/>
          <w:szCs w:val="26"/>
        </w:rPr>
      </w:pPr>
      <w:r>
        <w:rPr>
          <w:sz w:val="26"/>
          <w:szCs w:val="26"/>
        </w:rPr>
        <w:t>Finally</w:t>
      </w:r>
      <w:r w:rsidR="00192155">
        <w:rPr>
          <w:sz w:val="26"/>
          <w:szCs w:val="26"/>
        </w:rPr>
        <w:t xml:space="preserve">, </w:t>
      </w:r>
      <w:r w:rsidR="00A73836">
        <w:rPr>
          <w:sz w:val="26"/>
          <w:szCs w:val="26"/>
        </w:rPr>
        <w:t xml:space="preserve">PGW avers that its </w:t>
      </w:r>
      <w:r w:rsidR="00ED2B57">
        <w:rPr>
          <w:sz w:val="26"/>
          <w:szCs w:val="26"/>
        </w:rPr>
        <w:t>billing format</w:t>
      </w:r>
      <w:r w:rsidR="00A73836">
        <w:rPr>
          <w:sz w:val="26"/>
          <w:szCs w:val="26"/>
        </w:rPr>
        <w:t xml:space="preserve"> was part of the materials that were included in </w:t>
      </w:r>
      <w:r w:rsidR="00DE7750">
        <w:rPr>
          <w:sz w:val="26"/>
          <w:szCs w:val="26"/>
        </w:rPr>
        <w:t>its</w:t>
      </w:r>
      <w:r w:rsidR="00A73836">
        <w:rPr>
          <w:sz w:val="26"/>
          <w:szCs w:val="26"/>
        </w:rPr>
        <w:t xml:space="preserve"> Restructuring Settlement at </w:t>
      </w:r>
      <w:r w:rsidR="00282312">
        <w:rPr>
          <w:sz w:val="26"/>
          <w:szCs w:val="26"/>
        </w:rPr>
        <w:t xml:space="preserve">Docket No. </w:t>
      </w:r>
      <w:r w:rsidR="00A73836">
        <w:rPr>
          <w:sz w:val="26"/>
          <w:szCs w:val="26"/>
        </w:rPr>
        <w:t xml:space="preserve">R-2012-2333993.  </w:t>
      </w:r>
      <w:r>
        <w:rPr>
          <w:sz w:val="26"/>
          <w:szCs w:val="26"/>
        </w:rPr>
        <w:t xml:space="preserve">PGW points out that </w:t>
      </w:r>
      <w:r w:rsidR="00A73836">
        <w:rPr>
          <w:sz w:val="26"/>
          <w:szCs w:val="26"/>
        </w:rPr>
        <w:t xml:space="preserve">although the Commission amended the elements of that settlement, it did not comment or disapprove the PGW </w:t>
      </w:r>
      <w:r w:rsidR="00ED2B57">
        <w:rPr>
          <w:sz w:val="26"/>
          <w:szCs w:val="26"/>
        </w:rPr>
        <w:t>billing format</w:t>
      </w:r>
      <w:r w:rsidR="00A73836">
        <w:rPr>
          <w:sz w:val="26"/>
          <w:szCs w:val="26"/>
        </w:rPr>
        <w:t xml:space="preserve">.  </w:t>
      </w:r>
      <w:r w:rsidR="00F747B9" w:rsidRPr="00000D44">
        <w:rPr>
          <w:i/>
          <w:sz w:val="26"/>
          <w:szCs w:val="26"/>
        </w:rPr>
        <w:t>Id.</w:t>
      </w:r>
      <w:r w:rsidR="00F747B9">
        <w:rPr>
          <w:sz w:val="26"/>
          <w:szCs w:val="26"/>
        </w:rPr>
        <w:t xml:space="preserve"> </w:t>
      </w:r>
    </w:p>
    <w:p w:rsidR="00CE2E09" w:rsidRPr="00D365A7" w:rsidRDefault="00CE2E09" w:rsidP="009D1CD7">
      <w:pPr>
        <w:keepNext/>
        <w:keepLines/>
        <w:widowControl/>
        <w:spacing w:line="360" w:lineRule="auto"/>
        <w:contextualSpacing/>
        <w:rPr>
          <w:b/>
          <w:sz w:val="26"/>
          <w:szCs w:val="26"/>
        </w:rPr>
      </w:pPr>
      <w:r w:rsidRPr="00D365A7">
        <w:rPr>
          <w:b/>
          <w:sz w:val="26"/>
          <w:szCs w:val="26"/>
        </w:rPr>
        <w:lastRenderedPageBreak/>
        <w:t>Disposition</w:t>
      </w:r>
    </w:p>
    <w:p w:rsidR="00CE2E09" w:rsidRDefault="00CE2E09" w:rsidP="009D1CD7">
      <w:pPr>
        <w:keepNext/>
        <w:keepLines/>
        <w:widowControl/>
        <w:spacing w:line="360" w:lineRule="auto"/>
        <w:contextualSpacing/>
        <w:rPr>
          <w:sz w:val="26"/>
          <w:szCs w:val="26"/>
        </w:rPr>
      </w:pPr>
    </w:p>
    <w:p w:rsidR="003012E7" w:rsidRDefault="00CE2E09" w:rsidP="00085E5A">
      <w:pPr>
        <w:widowControl/>
        <w:spacing w:line="360" w:lineRule="auto"/>
        <w:ind w:firstLine="1440"/>
        <w:contextualSpacing/>
        <w:rPr>
          <w:sz w:val="26"/>
          <w:szCs w:val="26"/>
        </w:rPr>
      </w:pPr>
      <w:r w:rsidRPr="00D365A7">
        <w:rPr>
          <w:sz w:val="26"/>
          <w:szCs w:val="26"/>
        </w:rPr>
        <w:t xml:space="preserve">Upon consideration of the </w:t>
      </w:r>
      <w:r w:rsidR="001012C7" w:rsidRPr="00D365A7">
        <w:rPr>
          <w:sz w:val="26"/>
          <w:szCs w:val="26"/>
        </w:rPr>
        <w:t>record in</w:t>
      </w:r>
      <w:r w:rsidRPr="00D365A7">
        <w:rPr>
          <w:sz w:val="26"/>
          <w:szCs w:val="26"/>
        </w:rPr>
        <w:t xml:space="preserve"> this proceeding, we </w:t>
      </w:r>
      <w:r w:rsidR="00E13A67">
        <w:rPr>
          <w:sz w:val="26"/>
          <w:szCs w:val="26"/>
        </w:rPr>
        <w:t>shall grant</w:t>
      </w:r>
      <w:r w:rsidR="00A73836">
        <w:rPr>
          <w:sz w:val="26"/>
          <w:szCs w:val="26"/>
        </w:rPr>
        <w:t xml:space="preserve"> PGW’s </w:t>
      </w:r>
      <w:r w:rsidR="00A73836" w:rsidRPr="00D365A7">
        <w:rPr>
          <w:sz w:val="26"/>
          <w:szCs w:val="26"/>
        </w:rPr>
        <w:t>Exceptions</w:t>
      </w:r>
      <w:r w:rsidRPr="00D365A7">
        <w:rPr>
          <w:sz w:val="26"/>
          <w:szCs w:val="26"/>
        </w:rPr>
        <w:t xml:space="preserve"> and </w:t>
      </w:r>
      <w:r w:rsidR="00A73836">
        <w:rPr>
          <w:sz w:val="26"/>
          <w:szCs w:val="26"/>
        </w:rPr>
        <w:t>modify</w:t>
      </w:r>
      <w:r w:rsidRPr="00D365A7">
        <w:rPr>
          <w:sz w:val="26"/>
          <w:szCs w:val="26"/>
        </w:rPr>
        <w:t xml:space="preserve"> the ALJ’s Initial Decision</w:t>
      </w:r>
      <w:r w:rsidR="00E13A67">
        <w:rPr>
          <w:sz w:val="26"/>
          <w:szCs w:val="26"/>
        </w:rPr>
        <w:t xml:space="preserve"> consistent with the following discussion</w:t>
      </w:r>
      <w:r w:rsidR="00085E5A">
        <w:rPr>
          <w:sz w:val="26"/>
          <w:szCs w:val="26"/>
        </w:rPr>
        <w:t xml:space="preserve">.  </w:t>
      </w:r>
      <w:r w:rsidR="007774C6">
        <w:rPr>
          <w:sz w:val="26"/>
          <w:szCs w:val="26"/>
        </w:rPr>
        <w:t>Based on our</w:t>
      </w:r>
      <w:r w:rsidR="0055230F">
        <w:rPr>
          <w:sz w:val="26"/>
          <w:szCs w:val="26"/>
        </w:rPr>
        <w:t xml:space="preserve"> review of the evidence</w:t>
      </w:r>
      <w:r w:rsidR="006B3FBF">
        <w:rPr>
          <w:sz w:val="26"/>
          <w:szCs w:val="26"/>
        </w:rPr>
        <w:t xml:space="preserve"> i</w:t>
      </w:r>
      <w:r w:rsidR="003012E7">
        <w:rPr>
          <w:sz w:val="26"/>
          <w:szCs w:val="26"/>
        </w:rPr>
        <w:t>n the record</w:t>
      </w:r>
      <w:r w:rsidR="0055230F">
        <w:rPr>
          <w:sz w:val="26"/>
          <w:szCs w:val="26"/>
        </w:rPr>
        <w:t>, w</w:t>
      </w:r>
      <w:r w:rsidR="00B9153C">
        <w:rPr>
          <w:sz w:val="26"/>
          <w:szCs w:val="26"/>
        </w:rPr>
        <w:t xml:space="preserve">e </w:t>
      </w:r>
      <w:r w:rsidR="005C0710">
        <w:rPr>
          <w:sz w:val="26"/>
          <w:szCs w:val="26"/>
        </w:rPr>
        <w:t xml:space="preserve">concur with the ALJ’s decision to dismiss the Complaint.  The record supports the ALJ’s findings that the Complainant failed to meet her burden of proving that she was overbilled for the </w:t>
      </w:r>
      <w:r w:rsidR="00C56035">
        <w:rPr>
          <w:sz w:val="26"/>
          <w:szCs w:val="26"/>
        </w:rPr>
        <w:t>Distribution Charge</w:t>
      </w:r>
      <w:r w:rsidR="005C0710">
        <w:rPr>
          <w:sz w:val="26"/>
          <w:szCs w:val="26"/>
        </w:rPr>
        <w:t xml:space="preserve"> on her February 19, 2014 bill.  At the same time, however, we </w:t>
      </w:r>
      <w:r w:rsidR="003012E7">
        <w:rPr>
          <w:sz w:val="26"/>
          <w:szCs w:val="26"/>
        </w:rPr>
        <w:t xml:space="preserve">disagree with the ALJ’s ruling that PGW’s </w:t>
      </w:r>
      <w:r w:rsidR="005A689B">
        <w:rPr>
          <w:sz w:val="26"/>
          <w:szCs w:val="26"/>
        </w:rPr>
        <w:t>failure to include</w:t>
      </w:r>
      <w:r w:rsidR="003012E7">
        <w:rPr>
          <w:sz w:val="26"/>
          <w:szCs w:val="26"/>
        </w:rPr>
        <w:t xml:space="preserve"> the DSIC surcharge in the calculation of the </w:t>
      </w:r>
      <w:r w:rsidR="00C56035">
        <w:rPr>
          <w:sz w:val="26"/>
          <w:szCs w:val="26"/>
        </w:rPr>
        <w:t>Distribution Charge</w:t>
      </w:r>
      <w:r w:rsidR="007447E7">
        <w:rPr>
          <w:sz w:val="26"/>
          <w:szCs w:val="26"/>
        </w:rPr>
        <w:t xml:space="preserve"> o</w:t>
      </w:r>
      <w:r w:rsidR="003012E7">
        <w:rPr>
          <w:sz w:val="26"/>
          <w:szCs w:val="26"/>
        </w:rPr>
        <w:t xml:space="preserve">n </w:t>
      </w:r>
      <w:r w:rsidR="005C0710">
        <w:rPr>
          <w:sz w:val="26"/>
          <w:szCs w:val="26"/>
        </w:rPr>
        <w:t>this</w:t>
      </w:r>
      <w:r w:rsidR="003012E7">
        <w:rPr>
          <w:sz w:val="26"/>
          <w:szCs w:val="26"/>
        </w:rPr>
        <w:t xml:space="preserve"> bill results in an action</w:t>
      </w:r>
      <w:r w:rsidR="000510F8">
        <w:rPr>
          <w:sz w:val="26"/>
          <w:szCs w:val="26"/>
        </w:rPr>
        <w:t xml:space="preserve"> that is</w:t>
      </w:r>
      <w:r w:rsidR="003012E7">
        <w:rPr>
          <w:sz w:val="26"/>
          <w:szCs w:val="26"/>
        </w:rPr>
        <w:t xml:space="preserve"> inconsistent with its</w:t>
      </w:r>
      <w:r w:rsidR="009D1CD7">
        <w:rPr>
          <w:sz w:val="26"/>
          <w:szCs w:val="26"/>
        </w:rPr>
        <w:t xml:space="preserve"> Commission-approved tariff </w:t>
      </w:r>
      <w:r w:rsidR="000510F8">
        <w:rPr>
          <w:sz w:val="26"/>
          <w:szCs w:val="26"/>
        </w:rPr>
        <w:t xml:space="preserve">and </w:t>
      </w:r>
      <w:r w:rsidR="009D1CD7">
        <w:rPr>
          <w:sz w:val="26"/>
          <w:szCs w:val="26"/>
        </w:rPr>
        <w:t xml:space="preserve">in violation of </w:t>
      </w:r>
      <w:r w:rsidR="003012E7" w:rsidRPr="002F6881">
        <w:rPr>
          <w:sz w:val="26"/>
          <w:szCs w:val="26"/>
        </w:rPr>
        <w:t>Section 1301 of the Code</w:t>
      </w:r>
      <w:r w:rsidR="003012E7">
        <w:rPr>
          <w:sz w:val="26"/>
          <w:szCs w:val="26"/>
        </w:rPr>
        <w:t xml:space="preserve">, </w:t>
      </w:r>
      <w:r w:rsidR="003012E7" w:rsidRPr="002F6881">
        <w:rPr>
          <w:sz w:val="26"/>
          <w:szCs w:val="26"/>
        </w:rPr>
        <w:t>66 Pa.</w:t>
      </w:r>
      <w:r w:rsidR="003012E7">
        <w:rPr>
          <w:sz w:val="26"/>
          <w:szCs w:val="26"/>
        </w:rPr>
        <w:t xml:space="preserve"> C.S. § 1301</w:t>
      </w:r>
      <w:r w:rsidR="003012E7" w:rsidRPr="002F6881">
        <w:rPr>
          <w:sz w:val="26"/>
          <w:szCs w:val="26"/>
        </w:rPr>
        <w:t>.</w:t>
      </w:r>
      <w:r w:rsidR="009128D1">
        <w:rPr>
          <w:sz w:val="26"/>
          <w:szCs w:val="26"/>
        </w:rPr>
        <w:t xml:space="preserve">  </w:t>
      </w:r>
      <w:r w:rsidR="00B03798">
        <w:rPr>
          <w:sz w:val="26"/>
          <w:szCs w:val="26"/>
        </w:rPr>
        <w:t xml:space="preserve">The record </w:t>
      </w:r>
      <w:r w:rsidR="007447E7">
        <w:rPr>
          <w:sz w:val="26"/>
          <w:szCs w:val="26"/>
        </w:rPr>
        <w:t>in this proceeding</w:t>
      </w:r>
      <w:r w:rsidR="005A689B">
        <w:rPr>
          <w:sz w:val="26"/>
          <w:szCs w:val="26"/>
        </w:rPr>
        <w:t xml:space="preserve"> reveals</w:t>
      </w:r>
      <w:r w:rsidR="00B03798">
        <w:rPr>
          <w:sz w:val="26"/>
          <w:szCs w:val="26"/>
        </w:rPr>
        <w:t xml:space="preserve"> that PGW’s calculation of the DSIC</w:t>
      </w:r>
      <w:r w:rsidR="009128D1">
        <w:rPr>
          <w:sz w:val="26"/>
          <w:szCs w:val="26"/>
        </w:rPr>
        <w:t xml:space="preserve"> </w:t>
      </w:r>
      <w:r w:rsidR="00596067">
        <w:rPr>
          <w:sz w:val="26"/>
          <w:szCs w:val="26"/>
        </w:rPr>
        <w:t xml:space="preserve">and </w:t>
      </w:r>
      <w:r w:rsidR="009128D1">
        <w:rPr>
          <w:sz w:val="26"/>
          <w:szCs w:val="26"/>
        </w:rPr>
        <w:t xml:space="preserve">its </w:t>
      </w:r>
      <w:r w:rsidR="00B03798">
        <w:rPr>
          <w:sz w:val="26"/>
          <w:szCs w:val="26"/>
        </w:rPr>
        <w:t xml:space="preserve">presentation of the DSIC as a separate line item </w:t>
      </w:r>
      <w:r w:rsidR="00E971A1">
        <w:rPr>
          <w:sz w:val="26"/>
          <w:szCs w:val="26"/>
        </w:rPr>
        <w:t>o</w:t>
      </w:r>
      <w:r w:rsidR="00B03798">
        <w:rPr>
          <w:sz w:val="26"/>
          <w:szCs w:val="26"/>
        </w:rPr>
        <w:t xml:space="preserve">n the February 19, 2014 </w:t>
      </w:r>
      <w:r w:rsidR="009128D1">
        <w:rPr>
          <w:sz w:val="26"/>
          <w:szCs w:val="26"/>
        </w:rPr>
        <w:t>bill</w:t>
      </w:r>
      <w:r w:rsidR="00B03798">
        <w:rPr>
          <w:sz w:val="26"/>
          <w:szCs w:val="26"/>
        </w:rPr>
        <w:t xml:space="preserve"> </w:t>
      </w:r>
      <w:r w:rsidR="000510F8">
        <w:rPr>
          <w:sz w:val="26"/>
          <w:szCs w:val="26"/>
        </w:rPr>
        <w:t xml:space="preserve">was in compliance </w:t>
      </w:r>
      <w:r w:rsidR="003012E7">
        <w:rPr>
          <w:sz w:val="26"/>
          <w:szCs w:val="26"/>
        </w:rPr>
        <w:t xml:space="preserve">with its tariff in effect </w:t>
      </w:r>
      <w:r w:rsidR="00B03798">
        <w:rPr>
          <w:sz w:val="26"/>
          <w:szCs w:val="26"/>
        </w:rPr>
        <w:t xml:space="preserve">at the </w:t>
      </w:r>
      <w:r w:rsidR="00DE7750">
        <w:rPr>
          <w:sz w:val="26"/>
          <w:szCs w:val="26"/>
        </w:rPr>
        <w:t>time of the billing</w:t>
      </w:r>
      <w:r w:rsidR="00ED0452">
        <w:rPr>
          <w:sz w:val="26"/>
          <w:szCs w:val="26"/>
        </w:rPr>
        <w:t xml:space="preserve"> and </w:t>
      </w:r>
      <w:r w:rsidR="009128D1">
        <w:rPr>
          <w:sz w:val="26"/>
          <w:szCs w:val="26"/>
        </w:rPr>
        <w:t xml:space="preserve">also </w:t>
      </w:r>
      <w:r w:rsidR="000510F8">
        <w:rPr>
          <w:sz w:val="26"/>
          <w:szCs w:val="26"/>
        </w:rPr>
        <w:t xml:space="preserve">in compliance </w:t>
      </w:r>
      <w:r w:rsidR="009128D1">
        <w:rPr>
          <w:sz w:val="26"/>
          <w:szCs w:val="26"/>
        </w:rPr>
        <w:t xml:space="preserve">with </w:t>
      </w:r>
      <w:r w:rsidR="000510F8">
        <w:rPr>
          <w:sz w:val="26"/>
          <w:szCs w:val="26"/>
        </w:rPr>
        <w:t>our</w:t>
      </w:r>
      <w:r w:rsidR="00ED0452">
        <w:rPr>
          <w:sz w:val="26"/>
          <w:szCs w:val="26"/>
        </w:rPr>
        <w:t xml:space="preserve"> Order </w:t>
      </w:r>
      <w:r w:rsidR="00B24AEB">
        <w:rPr>
          <w:sz w:val="26"/>
          <w:szCs w:val="26"/>
        </w:rPr>
        <w:t xml:space="preserve">entered on May 9, 2013, </w:t>
      </w:r>
      <w:r w:rsidR="000510F8">
        <w:rPr>
          <w:sz w:val="26"/>
          <w:szCs w:val="26"/>
        </w:rPr>
        <w:t xml:space="preserve">at </w:t>
      </w:r>
      <w:r w:rsidR="00487941">
        <w:rPr>
          <w:sz w:val="26"/>
          <w:szCs w:val="26"/>
        </w:rPr>
        <w:t>Docket No. P-2012-2337737</w:t>
      </w:r>
      <w:r w:rsidR="00B24AEB">
        <w:rPr>
          <w:sz w:val="26"/>
          <w:szCs w:val="26"/>
        </w:rPr>
        <w:t xml:space="preserve"> </w:t>
      </w:r>
      <w:r w:rsidR="00ED0452">
        <w:rPr>
          <w:sz w:val="26"/>
          <w:szCs w:val="26"/>
        </w:rPr>
        <w:t>(</w:t>
      </w:r>
      <w:r w:rsidR="00ED0452" w:rsidRPr="007447E7">
        <w:rPr>
          <w:i/>
          <w:sz w:val="26"/>
          <w:szCs w:val="26"/>
        </w:rPr>
        <w:t>May 2013 Order</w:t>
      </w:r>
      <w:r w:rsidR="00ED0452">
        <w:rPr>
          <w:sz w:val="26"/>
          <w:szCs w:val="26"/>
        </w:rPr>
        <w:t>)</w:t>
      </w:r>
      <w:r w:rsidR="00596067">
        <w:rPr>
          <w:sz w:val="26"/>
          <w:szCs w:val="26"/>
        </w:rPr>
        <w:t xml:space="preserve"> approving the DSIC</w:t>
      </w:r>
      <w:r w:rsidR="00B03798">
        <w:rPr>
          <w:sz w:val="26"/>
          <w:szCs w:val="26"/>
        </w:rPr>
        <w:t>.</w:t>
      </w:r>
      <w:r w:rsidR="00594CEF">
        <w:rPr>
          <w:rStyle w:val="FootnoteReference"/>
          <w:sz w:val="26"/>
          <w:szCs w:val="26"/>
        </w:rPr>
        <w:footnoteReference w:id="13"/>
      </w:r>
      <w:r w:rsidR="00ED0452">
        <w:rPr>
          <w:sz w:val="26"/>
          <w:szCs w:val="26"/>
        </w:rPr>
        <w:t xml:space="preserve"> </w:t>
      </w:r>
      <w:r w:rsidR="007447E7">
        <w:rPr>
          <w:sz w:val="26"/>
          <w:szCs w:val="26"/>
        </w:rPr>
        <w:t xml:space="preserve"> </w:t>
      </w:r>
      <w:r w:rsidR="00D500D9">
        <w:rPr>
          <w:sz w:val="26"/>
          <w:szCs w:val="26"/>
        </w:rPr>
        <w:t xml:space="preserve">Moreover, </w:t>
      </w:r>
      <w:r w:rsidR="0026524D" w:rsidRPr="00B24AEB">
        <w:rPr>
          <w:sz w:val="26"/>
          <w:szCs w:val="26"/>
        </w:rPr>
        <w:t>PGW Supplement No. 70</w:t>
      </w:r>
      <w:r w:rsidR="00E971A1">
        <w:rPr>
          <w:sz w:val="26"/>
          <w:szCs w:val="26"/>
        </w:rPr>
        <w:t xml:space="preserve"> </w:t>
      </w:r>
      <w:r w:rsidR="00F278F7">
        <w:rPr>
          <w:sz w:val="26"/>
          <w:szCs w:val="26"/>
        </w:rPr>
        <w:t>clearly states</w:t>
      </w:r>
      <w:r w:rsidR="00E971A1">
        <w:rPr>
          <w:sz w:val="26"/>
          <w:szCs w:val="26"/>
        </w:rPr>
        <w:t xml:space="preserve"> that </w:t>
      </w:r>
      <w:r w:rsidR="00D500D9">
        <w:rPr>
          <w:sz w:val="26"/>
          <w:szCs w:val="26"/>
        </w:rPr>
        <w:t xml:space="preserve">in addition to the net charges in the tariff, </w:t>
      </w:r>
      <w:r w:rsidR="00E971A1">
        <w:rPr>
          <w:sz w:val="26"/>
          <w:szCs w:val="26"/>
        </w:rPr>
        <w:t xml:space="preserve">a DSIC surcharge of 4.34 percent will apply consistent with the </w:t>
      </w:r>
      <w:r w:rsidR="007447E7" w:rsidRPr="007447E7">
        <w:rPr>
          <w:i/>
          <w:sz w:val="26"/>
          <w:szCs w:val="26"/>
        </w:rPr>
        <w:t>May 2013 Order</w:t>
      </w:r>
      <w:r w:rsidR="007447E7">
        <w:rPr>
          <w:sz w:val="26"/>
          <w:szCs w:val="26"/>
        </w:rPr>
        <w:t>.</w:t>
      </w:r>
    </w:p>
    <w:p w:rsidR="00F747B9" w:rsidRDefault="00F747B9" w:rsidP="00085E5A">
      <w:pPr>
        <w:widowControl/>
        <w:spacing w:line="360" w:lineRule="auto"/>
        <w:ind w:firstLine="1440"/>
        <w:contextualSpacing/>
        <w:rPr>
          <w:sz w:val="26"/>
          <w:szCs w:val="26"/>
        </w:rPr>
      </w:pPr>
    </w:p>
    <w:p w:rsidR="00594CEF" w:rsidRDefault="00D500D9" w:rsidP="00BF726B">
      <w:pPr>
        <w:widowControl/>
        <w:spacing w:line="360" w:lineRule="auto"/>
        <w:ind w:firstLine="1440"/>
        <w:rPr>
          <w:sz w:val="26"/>
          <w:szCs w:val="26"/>
        </w:rPr>
      </w:pPr>
      <w:r>
        <w:rPr>
          <w:sz w:val="26"/>
          <w:szCs w:val="26"/>
        </w:rPr>
        <w:t>Additionally, i</w:t>
      </w:r>
      <w:r w:rsidR="007447E7">
        <w:rPr>
          <w:sz w:val="26"/>
          <w:szCs w:val="26"/>
        </w:rPr>
        <w:t>n</w:t>
      </w:r>
      <w:r w:rsidR="00F85C67">
        <w:rPr>
          <w:sz w:val="26"/>
          <w:szCs w:val="26"/>
        </w:rPr>
        <w:t xml:space="preserve"> </w:t>
      </w:r>
      <w:r w:rsidR="005C0710">
        <w:rPr>
          <w:sz w:val="26"/>
          <w:szCs w:val="26"/>
        </w:rPr>
        <w:t xml:space="preserve">our </w:t>
      </w:r>
      <w:r w:rsidR="007447E7" w:rsidRPr="007447E7">
        <w:rPr>
          <w:i/>
          <w:sz w:val="26"/>
          <w:szCs w:val="26"/>
        </w:rPr>
        <w:t>May 2013 Order</w:t>
      </w:r>
      <w:r w:rsidR="003C6AF7">
        <w:rPr>
          <w:sz w:val="26"/>
          <w:szCs w:val="26"/>
        </w:rPr>
        <w:t xml:space="preserve">, </w:t>
      </w:r>
      <w:r w:rsidR="00F85C67">
        <w:rPr>
          <w:sz w:val="26"/>
          <w:szCs w:val="26"/>
        </w:rPr>
        <w:t>we addresse</w:t>
      </w:r>
      <w:r w:rsidR="00BD1206">
        <w:rPr>
          <w:sz w:val="26"/>
          <w:szCs w:val="26"/>
        </w:rPr>
        <w:t xml:space="preserve">d the positions of the parties </w:t>
      </w:r>
      <w:r w:rsidR="004B56C3">
        <w:rPr>
          <w:sz w:val="26"/>
          <w:szCs w:val="26"/>
        </w:rPr>
        <w:t xml:space="preserve">that </w:t>
      </w:r>
      <w:r w:rsidR="00F85C67">
        <w:rPr>
          <w:sz w:val="26"/>
          <w:szCs w:val="26"/>
        </w:rPr>
        <w:t>advocated the</w:t>
      </w:r>
      <w:r w:rsidR="00BF726B">
        <w:rPr>
          <w:sz w:val="26"/>
          <w:szCs w:val="26"/>
        </w:rPr>
        <w:t xml:space="preserve"> </w:t>
      </w:r>
      <w:r w:rsidR="003C6AF7">
        <w:rPr>
          <w:color w:val="000000"/>
          <w:sz w:val="26"/>
          <w:szCs w:val="26"/>
        </w:rPr>
        <w:t xml:space="preserve">consumer protection afforded through the reflection of the DSIC surcharge as a separate line-item percentage on bills, </w:t>
      </w:r>
      <w:r w:rsidR="00F85C67">
        <w:rPr>
          <w:color w:val="000000"/>
          <w:sz w:val="26"/>
          <w:szCs w:val="26"/>
        </w:rPr>
        <w:t xml:space="preserve">versus the position of PGW, </w:t>
      </w:r>
      <w:r w:rsidR="004B56C3">
        <w:rPr>
          <w:color w:val="000000"/>
          <w:sz w:val="26"/>
          <w:szCs w:val="26"/>
        </w:rPr>
        <w:t xml:space="preserve">which </w:t>
      </w:r>
      <w:r w:rsidR="00F85C67">
        <w:rPr>
          <w:color w:val="000000"/>
          <w:sz w:val="26"/>
          <w:szCs w:val="26"/>
        </w:rPr>
        <w:t>proposed that it be permitted to apply and roll the DSIC</w:t>
      </w:r>
      <w:r w:rsidR="00BD1206">
        <w:rPr>
          <w:color w:val="000000"/>
          <w:sz w:val="26"/>
          <w:szCs w:val="26"/>
        </w:rPr>
        <w:t xml:space="preserve"> </w:t>
      </w:r>
      <w:r w:rsidR="00F747B9">
        <w:rPr>
          <w:color w:val="000000"/>
          <w:sz w:val="26"/>
          <w:szCs w:val="26"/>
        </w:rPr>
        <w:t xml:space="preserve">into </w:t>
      </w:r>
      <w:r w:rsidR="003C6AF7">
        <w:rPr>
          <w:color w:val="000000"/>
          <w:sz w:val="26"/>
          <w:szCs w:val="26"/>
        </w:rPr>
        <w:t>each distribution element o</w:t>
      </w:r>
      <w:r w:rsidR="00BF726B">
        <w:rPr>
          <w:color w:val="000000"/>
          <w:sz w:val="26"/>
          <w:szCs w:val="26"/>
        </w:rPr>
        <w:t>n</w:t>
      </w:r>
      <w:r w:rsidR="003C6AF7">
        <w:rPr>
          <w:color w:val="000000"/>
          <w:sz w:val="26"/>
          <w:szCs w:val="26"/>
        </w:rPr>
        <w:t xml:space="preserve"> the bill</w:t>
      </w:r>
      <w:r w:rsidR="00BD1206">
        <w:rPr>
          <w:color w:val="000000"/>
          <w:sz w:val="26"/>
          <w:szCs w:val="26"/>
        </w:rPr>
        <w:t>.</w:t>
      </w:r>
      <w:r w:rsidR="00F85C67">
        <w:rPr>
          <w:color w:val="000000"/>
          <w:sz w:val="26"/>
          <w:szCs w:val="26"/>
        </w:rPr>
        <w:t xml:space="preserve">  In addressing these positions, we noted</w:t>
      </w:r>
      <w:r w:rsidR="003C6AF7">
        <w:rPr>
          <w:color w:val="000000"/>
          <w:sz w:val="26"/>
          <w:szCs w:val="26"/>
        </w:rPr>
        <w:t xml:space="preserve"> </w:t>
      </w:r>
      <w:r w:rsidR="001477A0">
        <w:rPr>
          <w:sz w:val="26"/>
          <w:szCs w:val="26"/>
        </w:rPr>
        <w:t>PGW</w:t>
      </w:r>
      <w:r w:rsidR="00F85C67">
        <w:rPr>
          <w:sz w:val="26"/>
          <w:szCs w:val="26"/>
        </w:rPr>
        <w:t>’s allegation that it would be unable to immed</w:t>
      </w:r>
      <w:r w:rsidR="00BD1206">
        <w:rPr>
          <w:sz w:val="26"/>
          <w:szCs w:val="26"/>
        </w:rPr>
        <w:t>iately comply with the directive</w:t>
      </w:r>
      <w:r w:rsidR="00F85C67">
        <w:rPr>
          <w:sz w:val="26"/>
          <w:szCs w:val="26"/>
        </w:rPr>
        <w:t xml:space="preserve"> that it apply the DSIC as a separate line item on the bill</w:t>
      </w:r>
      <w:r w:rsidR="000E7C8C">
        <w:rPr>
          <w:sz w:val="26"/>
          <w:szCs w:val="26"/>
        </w:rPr>
        <w:t xml:space="preserve"> </w:t>
      </w:r>
      <w:r w:rsidR="00BF726B">
        <w:rPr>
          <w:sz w:val="26"/>
          <w:szCs w:val="26"/>
        </w:rPr>
        <w:t xml:space="preserve">because of the cost and the amount of time </w:t>
      </w:r>
      <w:r w:rsidR="00D71A9B">
        <w:rPr>
          <w:sz w:val="26"/>
          <w:szCs w:val="26"/>
        </w:rPr>
        <w:t xml:space="preserve">it would take to </w:t>
      </w:r>
      <w:r w:rsidR="00D71A9B">
        <w:rPr>
          <w:sz w:val="26"/>
          <w:szCs w:val="26"/>
        </w:rPr>
        <w:lastRenderedPageBreak/>
        <w:t xml:space="preserve">overhaul its billing system </w:t>
      </w:r>
      <w:r w:rsidR="00007F16">
        <w:rPr>
          <w:sz w:val="26"/>
          <w:szCs w:val="26"/>
        </w:rPr>
        <w:t>to be in compliance</w:t>
      </w:r>
      <w:r w:rsidR="004B56C3">
        <w:rPr>
          <w:sz w:val="26"/>
          <w:szCs w:val="26"/>
        </w:rPr>
        <w:t xml:space="preserve">, which </w:t>
      </w:r>
      <w:r w:rsidR="00487941">
        <w:rPr>
          <w:sz w:val="26"/>
          <w:szCs w:val="26"/>
        </w:rPr>
        <w:t xml:space="preserve">PGW </w:t>
      </w:r>
      <w:r w:rsidR="00D71A9B">
        <w:rPr>
          <w:sz w:val="26"/>
          <w:szCs w:val="26"/>
        </w:rPr>
        <w:t xml:space="preserve">indicated would </w:t>
      </w:r>
      <w:r w:rsidR="001C2AEB">
        <w:rPr>
          <w:sz w:val="26"/>
          <w:szCs w:val="26"/>
        </w:rPr>
        <w:t>take between</w:t>
      </w:r>
      <w:r w:rsidR="00D71A9B">
        <w:rPr>
          <w:sz w:val="26"/>
          <w:szCs w:val="26"/>
        </w:rPr>
        <w:t xml:space="preserve"> twelve </w:t>
      </w:r>
      <w:r w:rsidR="00D95A9A">
        <w:rPr>
          <w:sz w:val="26"/>
          <w:szCs w:val="26"/>
        </w:rPr>
        <w:t xml:space="preserve">and </w:t>
      </w:r>
      <w:r w:rsidR="00D71A9B">
        <w:rPr>
          <w:sz w:val="26"/>
          <w:szCs w:val="26"/>
        </w:rPr>
        <w:t xml:space="preserve">eighteen months.  </w:t>
      </w:r>
      <w:r w:rsidR="00D71A9B" w:rsidRPr="007447E7">
        <w:rPr>
          <w:i/>
          <w:sz w:val="26"/>
          <w:szCs w:val="26"/>
        </w:rPr>
        <w:t>May 2013 Order</w:t>
      </w:r>
      <w:r w:rsidR="00D71A9B">
        <w:rPr>
          <w:sz w:val="26"/>
          <w:szCs w:val="26"/>
        </w:rPr>
        <w:t xml:space="preserve"> at 7</w:t>
      </w:r>
      <w:r>
        <w:rPr>
          <w:sz w:val="26"/>
          <w:szCs w:val="26"/>
        </w:rPr>
        <w:t>-8</w:t>
      </w:r>
      <w:r w:rsidR="00D71A9B">
        <w:rPr>
          <w:sz w:val="26"/>
          <w:szCs w:val="26"/>
        </w:rPr>
        <w:t>.</w:t>
      </w:r>
    </w:p>
    <w:p w:rsidR="00594CEF" w:rsidRDefault="00594CEF" w:rsidP="00085E5A">
      <w:pPr>
        <w:widowControl/>
        <w:spacing w:line="360" w:lineRule="auto"/>
        <w:ind w:firstLine="1440"/>
        <w:contextualSpacing/>
        <w:rPr>
          <w:sz w:val="26"/>
          <w:szCs w:val="26"/>
        </w:rPr>
      </w:pPr>
    </w:p>
    <w:p w:rsidR="007447E7" w:rsidRDefault="000510F8" w:rsidP="00085E5A">
      <w:pPr>
        <w:widowControl/>
        <w:spacing w:line="360" w:lineRule="auto"/>
        <w:ind w:firstLine="1440"/>
        <w:contextualSpacing/>
        <w:rPr>
          <w:sz w:val="26"/>
          <w:szCs w:val="26"/>
        </w:rPr>
      </w:pPr>
      <w:r>
        <w:rPr>
          <w:sz w:val="26"/>
          <w:szCs w:val="26"/>
        </w:rPr>
        <w:t>W</w:t>
      </w:r>
      <w:r w:rsidR="00BF726B">
        <w:rPr>
          <w:sz w:val="26"/>
          <w:szCs w:val="26"/>
        </w:rPr>
        <w:t>e also noted in</w:t>
      </w:r>
      <w:r w:rsidR="00BD1206">
        <w:rPr>
          <w:sz w:val="26"/>
          <w:szCs w:val="26"/>
        </w:rPr>
        <w:t xml:space="preserve"> our</w:t>
      </w:r>
      <w:r w:rsidR="00BF726B">
        <w:rPr>
          <w:sz w:val="26"/>
          <w:szCs w:val="26"/>
        </w:rPr>
        <w:t xml:space="preserve"> </w:t>
      </w:r>
      <w:r w:rsidR="00BF726B">
        <w:rPr>
          <w:i/>
          <w:sz w:val="26"/>
          <w:szCs w:val="26"/>
        </w:rPr>
        <w:t xml:space="preserve">May 2013 </w:t>
      </w:r>
      <w:r w:rsidR="00BD1206">
        <w:rPr>
          <w:i/>
          <w:sz w:val="26"/>
          <w:szCs w:val="26"/>
        </w:rPr>
        <w:t>Order</w:t>
      </w:r>
      <w:r w:rsidR="00007F16">
        <w:rPr>
          <w:sz w:val="26"/>
          <w:szCs w:val="26"/>
        </w:rPr>
        <w:t xml:space="preserve"> </w:t>
      </w:r>
      <w:r w:rsidR="00BF726B">
        <w:rPr>
          <w:sz w:val="26"/>
          <w:szCs w:val="26"/>
        </w:rPr>
        <w:t>that</w:t>
      </w:r>
      <w:r w:rsidR="004B56C3">
        <w:rPr>
          <w:sz w:val="26"/>
          <w:szCs w:val="26"/>
        </w:rPr>
        <w:t>,</w:t>
      </w:r>
      <w:r w:rsidR="00BF726B">
        <w:rPr>
          <w:sz w:val="26"/>
          <w:szCs w:val="26"/>
        </w:rPr>
        <w:t xml:space="preserve"> in response to </w:t>
      </w:r>
      <w:r w:rsidR="00EE00AE">
        <w:rPr>
          <w:sz w:val="26"/>
          <w:szCs w:val="26"/>
        </w:rPr>
        <w:t>PGW’s assertions</w:t>
      </w:r>
      <w:r w:rsidR="00BF726B">
        <w:rPr>
          <w:sz w:val="26"/>
          <w:szCs w:val="26"/>
        </w:rPr>
        <w:t xml:space="preserve">, </w:t>
      </w:r>
      <w:r w:rsidR="00007F16">
        <w:rPr>
          <w:sz w:val="26"/>
          <w:szCs w:val="26"/>
        </w:rPr>
        <w:t xml:space="preserve">the Office of Consumer Advocate and the Philadelphia Industrial </w:t>
      </w:r>
      <w:r>
        <w:rPr>
          <w:sz w:val="26"/>
          <w:szCs w:val="26"/>
        </w:rPr>
        <w:t>and Commercial Gas Users Group</w:t>
      </w:r>
      <w:r w:rsidR="00007F16">
        <w:rPr>
          <w:sz w:val="26"/>
          <w:szCs w:val="26"/>
        </w:rPr>
        <w:t xml:space="preserve"> argued in favor of reflecting the DSIC sur</w:t>
      </w:r>
      <w:r w:rsidR="005A689B">
        <w:rPr>
          <w:sz w:val="26"/>
          <w:szCs w:val="26"/>
        </w:rPr>
        <w:t xml:space="preserve">charge as a separate line </w:t>
      </w:r>
      <w:r w:rsidR="00487941">
        <w:rPr>
          <w:sz w:val="26"/>
          <w:szCs w:val="26"/>
        </w:rPr>
        <w:t>item o</w:t>
      </w:r>
      <w:r w:rsidR="00007F16">
        <w:rPr>
          <w:sz w:val="26"/>
          <w:szCs w:val="26"/>
        </w:rPr>
        <w:t>n</w:t>
      </w:r>
      <w:r w:rsidR="00594CEF">
        <w:rPr>
          <w:sz w:val="26"/>
          <w:szCs w:val="26"/>
        </w:rPr>
        <w:t xml:space="preserve"> PGW’s</w:t>
      </w:r>
      <w:r w:rsidR="00007F16">
        <w:rPr>
          <w:sz w:val="26"/>
          <w:szCs w:val="26"/>
        </w:rPr>
        <w:t xml:space="preserve"> bill</w:t>
      </w:r>
      <w:r w:rsidR="00594CEF">
        <w:rPr>
          <w:sz w:val="26"/>
          <w:szCs w:val="26"/>
        </w:rPr>
        <w:t>,</w:t>
      </w:r>
      <w:r w:rsidR="00007F16">
        <w:rPr>
          <w:sz w:val="26"/>
          <w:szCs w:val="26"/>
        </w:rPr>
        <w:t xml:space="preserve"> as it provides a clear connection between the DSIC rate and the statutory five percent bill limitation.  </w:t>
      </w:r>
      <w:r w:rsidR="00007F16" w:rsidRPr="007447E7">
        <w:rPr>
          <w:i/>
          <w:sz w:val="26"/>
          <w:szCs w:val="26"/>
        </w:rPr>
        <w:t>May 2013 Order</w:t>
      </w:r>
      <w:r w:rsidR="00007F16">
        <w:rPr>
          <w:sz w:val="26"/>
          <w:szCs w:val="26"/>
        </w:rPr>
        <w:t xml:space="preserve"> at </w:t>
      </w:r>
      <w:r w:rsidR="00711002">
        <w:rPr>
          <w:sz w:val="26"/>
          <w:szCs w:val="26"/>
        </w:rPr>
        <w:t>7</w:t>
      </w:r>
      <w:r w:rsidR="00007F16">
        <w:rPr>
          <w:sz w:val="26"/>
          <w:szCs w:val="26"/>
        </w:rPr>
        <w:t>.</w:t>
      </w:r>
      <w:r w:rsidR="0061227A">
        <w:rPr>
          <w:sz w:val="26"/>
          <w:szCs w:val="26"/>
        </w:rPr>
        <w:t xml:space="preserve">  </w:t>
      </w:r>
      <w:r w:rsidR="00BF726B">
        <w:rPr>
          <w:sz w:val="26"/>
          <w:szCs w:val="26"/>
        </w:rPr>
        <w:t>In consideration of the above</w:t>
      </w:r>
      <w:r w:rsidR="0061227A">
        <w:rPr>
          <w:sz w:val="26"/>
          <w:szCs w:val="26"/>
        </w:rPr>
        <w:t xml:space="preserve">, the </w:t>
      </w:r>
      <w:r>
        <w:rPr>
          <w:sz w:val="26"/>
          <w:szCs w:val="26"/>
        </w:rPr>
        <w:t>we</w:t>
      </w:r>
      <w:r w:rsidR="0061227A">
        <w:rPr>
          <w:sz w:val="26"/>
          <w:szCs w:val="26"/>
        </w:rPr>
        <w:t xml:space="preserve"> </w:t>
      </w:r>
      <w:r>
        <w:rPr>
          <w:sz w:val="26"/>
          <w:szCs w:val="26"/>
        </w:rPr>
        <w:t xml:space="preserve">permitted </w:t>
      </w:r>
      <w:r w:rsidR="0061227A">
        <w:rPr>
          <w:sz w:val="26"/>
          <w:szCs w:val="26"/>
        </w:rPr>
        <w:t xml:space="preserve">PGW a </w:t>
      </w:r>
      <w:r w:rsidR="00ED6083">
        <w:rPr>
          <w:sz w:val="26"/>
          <w:szCs w:val="26"/>
        </w:rPr>
        <w:t xml:space="preserve">temporary waiver from </w:t>
      </w:r>
      <w:r w:rsidR="007D2D5C">
        <w:rPr>
          <w:sz w:val="26"/>
          <w:szCs w:val="26"/>
        </w:rPr>
        <w:t xml:space="preserve">immediately </w:t>
      </w:r>
      <w:r w:rsidR="00ED6083">
        <w:rPr>
          <w:sz w:val="26"/>
          <w:szCs w:val="26"/>
        </w:rPr>
        <w:t xml:space="preserve">complying with the requirement </w:t>
      </w:r>
      <w:r w:rsidR="0061227A">
        <w:rPr>
          <w:sz w:val="26"/>
          <w:szCs w:val="26"/>
        </w:rPr>
        <w:t>in order t</w:t>
      </w:r>
      <w:r w:rsidR="001C2AEB">
        <w:rPr>
          <w:sz w:val="26"/>
          <w:szCs w:val="26"/>
        </w:rPr>
        <w:t xml:space="preserve">o accommodate the challenges </w:t>
      </w:r>
      <w:r w:rsidR="005A689B">
        <w:rPr>
          <w:sz w:val="26"/>
          <w:szCs w:val="26"/>
        </w:rPr>
        <w:t xml:space="preserve">associated with the overhaul of PGW’s </w:t>
      </w:r>
      <w:r w:rsidR="0061227A">
        <w:rPr>
          <w:sz w:val="26"/>
          <w:szCs w:val="26"/>
        </w:rPr>
        <w:t xml:space="preserve">billing system.  </w:t>
      </w:r>
      <w:r w:rsidR="00BF726B">
        <w:rPr>
          <w:sz w:val="26"/>
          <w:szCs w:val="26"/>
        </w:rPr>
        <w:t>Nonetheless</w:t>
      </w:r>
      <w:r w:rsidR="0061227A">
        <w:rPr>
          <w:sz w:val="26"/>
          <w:szCs w:val="26"/>
        </w:rPr>
        <w:t xml:space="preserve">, </w:t>
      </w:r>
      <w:r>
        <w:rPr>
          <w:sz w:val="26"/>
          <w:szCs w:val="26"/>
        </w:rPr>
        <w:t>we</w:t>
      </w:r>
      <w:r w:rsidR="0061227A">
        <w:rPr>
          <w:sz w:val="26"/>
          <w:szCs w:val="26"/>
        </w:rPr>
        <w:t xml:space="preserve"> urged PGW to take reasonable steps to comply with the application of the DSIC surcharge as a separate line item on its bill within eighteen months of the date of</w:t>
      </w:r>
      <w:r w:rsidR="005A689B">
        <w:rPr>
          <w:sz w:val="26"/>
          <w:szCs w:val="26"/>
        </w:rPr>
        <w:t xml:space="preserve"> entry of</w:t>
      </w:r>
      <w:r w:rsidR="0061227A">
        <w:rPr>
          <w:sz w:val="26"/>
          <w:szCs w:val="26"/>
        </w:rPr>
        <w:t xml:space="preserve"> the </w:t>
      </w:r>
      <w:r w:rsidR="0061227A" w:rsidRPr="007447E7">
        <w:rPr>
          <w:i/>
          <w:sz w:val="26"/>
          <w:szCs w:val="26"/>
        </w:rPr>
        <w:t>May 2013 Order</w:t>
      </w:r>
      <w:r w:rsidR="00ED0452">
        <w:rPr>
          <w:sz w:val="26"/>
          <w:szCs w:val="26"/>
        </w:rPr>
        <w:t xml:space="preserve">.  </w:t>
      </w:r>
      <w:r w:rsidR="00ED0452" w:rsidRPr="007447E7">
        <w:rPr>
          <w:i/>
          <w:sz w:val="26"/>
          <w:szCs w:val="26"/>
        </w:rPr>
        <w:t>May 2013 Order</w:t>
      </w:r>
      <w:r w:rsidR="00ED0452">
        <w:rPr>
          <w:sz w:val="26"/>
          <w:szCs w:val="26"/>
        </w:rPr>
        <w:t xml:space="preserve"> at 8.</w:t>
      </w:r>
    </w:p>
    <w:p w:rsidR="00487941" w:rsidRDefault="00487941" w:rsidP="00085E5A">
      <w:pPr>
        <w:widowControl/>
        <w:spacing w:line="360" w:lineRule="auto"/>
        <w:ind w:firstLine="1440"/>
        <w:contextualSpacing/>
        <w:rPr>
          <w:sz w:val="26"/>
          <w:szCs w:val="26"/>
        </w:rPr>
      </w:pPr>
    </w:p>
    <w:p w:rsidR="003012E7" w:rsidRDefault="00F278F7" w:rsidP="00085E5A">
      <w:pPr>
        <w:widowControl/>
        <w:spacing w:line="360" w:lineRule="auto"/>
        <w:ind w:firstLine="1440"/>
        <w:contextualSpacing/>
        <w:rPr>
          <w:sz w:val="26"/>
          <w:szCs w:val="26"/>
        </w:rPr>
      </w:pPr>
      <w:r>
        <w:rPr>
          <w:sz w:val="26"/>
          <w:szCs w:val="26"/>
        </w:rPr>
        <w:t xml:space="preserve">Consequently, we find that PGW’s presentation of the DSIC surcharge as a separate line item </w:t>
      </w:r>
      <w:r w:rsidR="00031201">
        <w:rPr>
          <w:sz w:val="26"/>
          <w:szCs w:val="26"/>
        </w:rPr>
        <w:t xml:space="preserve">as opposed to including it in the calculation of the </w:t>
      </w:r>
      <w:r w:rsidR="00C56035">
        <w:rPr>
          <w:sz w:val="26"/>
          <w:szCs w:val="26"/>
        </w:rPr>
        <w:t>Distribution Charge</w:t>
      </w:r>
      <w:r w:rsidR="00031201">
        <w:rPr>
          <w:sz w:val="26"/>
          <w:szCs w:val="26"/>
        </w:rPr>
        <w:t xml:space="preserve"> </w:t>
      </w:r>
      <w:r>
        <w:rPr>
          <w:sz w:val="26"/>
          <w:szCs w:val="26"/>
        </w:rPr>
        <w:t xml:space="preserve">on the February 19, 2014 bill </w:t>
      </w:r>
      <w:r w:rsidR="007D2D5C">
        <w:rPr>
          <w:sz w:val="26"/>
          <w:szCs w:val="26"/>
        </w:rPr>
        <w:t>is in compliance</w:t>
      </w:r>
      <w:r>
        <w:rPr>
          <w:sz w:val="26"/>
          <w:szCs w:val="26"/>
        </w:rPr>
        <w:t xml:space="preserve"> with </w:t>
      </w:r>
      <w:r w:rsidR="000510F8">
        <w:rPr>
          <w:sz w:val="26"/>
          <w:szCs w:val="26"/>
        </w:rPr>
        <w:t xml:space="preserve">our </w:t>
      </w:r>
      <w:r w:rsidR="00C90880">
        <w:rPr>
          <w:sz w:val="26"/>
          <w:szCs w:val="26"/>
        </w:rPr>
        <w:t>requirement</w:t>
      </w:r>
      <w:r w:rsidR="007D2D5C">
        <w:rPr>
          <w:sz w:val="26"/>
          <w:szCs w:val="26"/>
        </w:rPr>
        <w:t>s</w:t>
      </w:r>
      <w:r w:rsidR="0078348A">
        <w:rPr>
          <w:sz w:val="26"/>
          <w:szCs w:val="26"/>
        </w:rPr>
        <w:t xml:space="preserve"> i</w:t>
      </w:r>
      <w:r w:rsidR="00C90880">
        <w:rPr>
          <w:sz w:val="26"/>
          <w:szCs w:val="26"/>
        </w:rPr>
        <w:t xml:space="preserve">n the </w:t>
      </w:r>
      <w:r w:rsidR="00C90880" w:rsidRPr="007447E7">
        <w:rPr>
          <w:i/>
          <w:sz w:val="26"/>
          <w:szCs w:val="26"/>
        </w:rPr>
        <w:t>May 2013 Order</w:t>
      </w:r>
      <w:r w:rsidR="00031201">
        <w:rPr>
          <w:sz w:val="26"/>
          <w:szCs w:val="26"/>
        </w:rPr>
        <w:t xml:space="preserve">. </w:t>
      </w:r>
      <w:r w:rsidR="00C90880">
        <w:rPr>
          <w:sz w:val="26"/>
          <w:szCs w:val="26"/>
        </w:rPr>
        <w:t xml:space="preserve"> Additionally,</w:t>
      </w:r>
      <w:r w:rsidR="00DD4C47">
        <w:rPr>
          <w:sz w:val="26"/>
          <w:szCs w:val="26"/>
        </w:rPr>
        <w:t xml:space="preserve"> we find that</w:t>
      </w:r>
      <w:r w:rsidR="00C90880">
        <w:rPr>
          <w:sz w:val="26"/>
          <w:szCs w:val="26"/>
        </w:rPr>
        <w:t xml:space="preserve"> PGW is in compliance </w:t>
      </w:r>
      <w:r w:rsidR="00DD4C47">
        <w:rPr>
          <w:sz w:val="26"/>
          <w:szCs w:val="26"/>
        </w:rPr>
        <w:t>with</w:t>
      </w:r>
      <w:r w:rsidR="00C90880">
        <w:rPr>
          <w:sz w:val="26"/>
          <w:szCs w:val="26"/>
        </w:rPr>
        <w:t xml:space="preserve"> </w:t>
      </w:r>
      <w:r>
        <w:rPr>
          <w:sz w:val="26"/>
          <w:szCs w:val="26"/>
        </w:rPr>
        <w:t>its Commission-approved</w:t>
      </w:r>
      <w:r w:rsidR="00C90880">
        <w:rPr>
          <w:sz w:val="26"/>
          <w:szCs w:val="26"/>
        </w:rPr>
        <w:t xml:space="preserve"> tariff </w:t>
      </w:r>
      <w:r w:rsidR="00BD1206">
        <w:rPr>
          <w:sz w:val="26"/>
          <w:szCs w:val="26"/>
        </w:rPr>
        <w:t>with an</w:t>
      </w:r>
      <w:r w:rsidR="00DD4C47">
        <w:rPr>
          <w:sz w:val="26"/>
          <w:szCs w:val="26"/>
        </w:rPr>
        <w:t xml:space="preserve"> effective date of </w:t>
      </w:r>
      <w:r w:rsidR="00C90880">
        <w:rPr>
          <w:sz w:val="26"/>
          <w:szCs w:val="26"/>
        </w:rPr>
        <w:t xml:space="preserve">January 1, 2014, which clearly states that a charge of 4.34 percent will apply consistent with the </w:t>
      </w:r>
      <w:r w:rsidR="00C90880" w:rsidRPr="007447E7">
        <w:rPr>
          <w:i/>
          <w:sz w:val="26"/>
          <w:szCs w:val="26"/>
        </w:rPr>
        <w:t>May 2013 Order</w:t>
      </w:r>
      <w:r w:rsidR="00DD4C47">
        <w:rPr>
          <w:sz w:val="26"/>
          <w:szCs w:val="26"/>
        </w:rPr>
        <w:t xml:space="preserve"> approving the DSIC</w:t>
      </w:r>
      <w:r w:rsidR="00C90880">
        <w:rPr>
          <w:sz w:val="26"/>
          <w:szCs w:val="26"/>
        </w:rPr>
        <w:t>.</w:t>
      </w:r>
      <w:r>
        <w:rPr>
          <w:sz w:val="26"/>
          <w:szCs w:val="26"/>
        </w:rPr>
        <w:t xml:space="preserve">  </w:t>
      </w:r>
    </w:p>
    <w:p w:rsidR="0078348A" w:rsidRDefault="0078348A" w:rsidP="00085E5A">
      <w:pPr>
        <w:widowControl/>
        <w:spacing w:line="360" w:lineRule="auto"/>
        <w:ind w:firstLine="1440"/>
        <w:contextualSpacing/>
        <w:rPr>
          <w:rFonts w:eastAsia="MS Mincho"/>
          <w:bCs/>
          <w:sz w:val="26"/>
        </w:rPr>
      </w:pPr>
    </w:p>
    <w:p w:rsidR="00F841E0" w:rsidRDefault="005C0710" w:rsidP="00085E5A">
      <w:pPr>
        <w:widowControl/>
        <w:spacing w:line="360" w:lineRule="auto"/>
        <w:ind w:firstLine="1440"/>
        <w:contextualSpacing/>
        <w:rPr>
          <w:sz w:val="26"/>
          <w:szCs w:val="26"/>
        </w:rPr>
      </w:pPr>
      <w:r>
        <w:rPr>
          <w:sz w:val="26"/>
          <w:szCs w:val="26"/>
        </w:rPr>
        <w:t>Based on the forgoing, the Exceptions of PGW are granted.</w:t>
      </w:r>
    </w:p>
    <w:p w:rsidR="001012C7" w:rsidRDefault="001012C7" w:rsidP="00085E5A">
      <w:pPr>
        <w:widowControl/>
        <w:spacing w:line="360" w:lineRule="auto"/>
        <w:contextualSpacing/>
        <w:rPr>
          <w:rFonts w:ascii="Times New (W1)" w:hAnsi="Times New (W1)"/>
          <w:sz w:val="26"/>
          <w:szCs w:val="26"/>
        </w:rPr>
      </w:pPr>
    </w:p>
    <w:p w:rsidR="00CE2E09" w:rsidRPr="00D365A7" w:rsidRDefault="00CE2E09" w:rsidP="00085E5A">
      <w:pPr>
        <w:keepNext/>
        <w:widowControl/>
        <w:spacing w:line="360" w:lineRule="auto"/>
        <w:contextualSpacing/>
        <w:jc w:val="center"/>
        <w:rPr>
          <w:b/>
          <w:sz w:val="26"/>
          <w:szCs w:val="26"/>
        </w:rPr>
      </w:pPr>
      <w:r w:rsidRPr="00D365A7">
        <w:rPr>
          <w:b/>
          <w:sz w:val="26"/>
          <w:szCs w:val="26"/>
        </w:rPr>
        <w:t>Conclusion</w:t>
      </w:r>
    </w:p>
    <w:p w:rsidR="00CE2E09" w:rsidRPr="00D365A7" w:rsidRDefault="00CE2E09" w:rsidP="00085E5A">
      <w:pPr>
        <w:keepNext/>
        <w:widowControl/>
        <w:ind w:firstLine="1440"/>
        <w:contextualSpacing/>
        <w:rPr>
          <w:sz w:val="26"/>
          <w:szCs w:val="26"/>
        </w:rPr>
      </w:pPr>
    </w:p>
    <w:p w:rsidR="00CE2E09" w:rsidRDefault="00CE2E09" w:rsidP="00085E5A">
      <w:pPr>
        <w:widowControl/>
        <w:spacing w:line="360" w:lineRule="auto"/>
        <w:ind w:firstLine="1440"/>
        <w:contextualSpacing/>
        <w:rPr>
          <w:b/>
          <w:sz w:val="26"/>
          <w:szCs w:val="26"/>
        </w:rPr>
      </w:pPr>
      <w:r w:rsidRPr="009F1350">
        <w:rPr>
          <w:sz w:val="26"/>
          <w:szCs w:val="26"/>
        </w:rPr>
        <w:t xml:space="preserve">Based on </w:t>
      </w:r>
      <w:r>
        <w:rPr>
          <w:sz w:val="26"/>
          <w:szCs w:val="26"/>
        </w:rPr>
        <w:t>our review of the Exceptions, the Initial Decision, and the record in this proceeding</w:t>
      </w:r>
      <w:r w:rsidRPr="009F1350">
        <w:rPr>
          <w:sz w:val="26"/>
          <w:szCs w:val="26"/>
        </w:rPr>
        <w:t xml:space="preserve">, we shall </w:t>
      </w:r>
      <w:r w:rsidR="009112E8">
        <w:rPr>
          <w:sz w:val="26"/>
          <w:szCs w:val="26"/>
        </w:rPr>
        <w:t xml:space="preserve">grant </w:t>
      </w:r>
      <w:r w:rsidRPr="009F1350">
        <w:rPr>
          <w:sz w:val="26"/>
          <w:szCs w:val="26"/>
        </w:rPr>
        <w:t xml:space="preserve">the Exceptions </w:t>
      </w:r>
      <w:r w:rsidR="0080639C">
        <w:rPr>
          <w:sz w:val="26"/>
          <w:szCs w:val="26"/>
        </w:rPr>
        <w:t xml:space="preserve">of </w:t>
      </w:r>
      <w:r w:rsidR="00594CEF">
        <w:rPr>
          <w:sz w:val="26"/>
        </w:rPr>
        <w:t>Philadelphia Gas Works</w:t>
      </w:r>
      <w:r>
        <w:rPr>
          <w:sz w:val="26"/>
          <w:szCs w:val="26"/>
        </w:rPr>
        <w:t>,</w:t>
      </w:r>
      <w:r w:rsidRPr="009F1350">
        <w:rPr>
          <w:sz w:val="26"/>
          <w:szCs w:val="26"/>
        </w:rPr>
        <w:t xml:space="preserve"> and </w:t>
      </w:r>
      <w:r w:rsidR="00594CEF">
        <w:rPr>
          <w:sz w:val="26"/>
          <w:szCs w:val="26"/>
        </w:rPr>
        <w:t xml:space="preserve">modify </w:t>
      </w:r>
      <w:r>
        <w:rPr>
          <w:sz w:val="26"/>
          <w:szCs w:val="26"/>
        </w:rPr>
        <w:t>the</w:t>
      </w:r>
      <w:r w:rsidRPr="009F1350">
        <w:rPr>
          <w:sz w:val="26"/>
          <w:szCs w:val="26"/>
        </w:rPr>
        <w:t xml:space="preserve"> </w:t>
      </w:r>
      <w:r>
        <w:rPr>
          <w:sz w:val="26"/>
          <w:szCs w:val="26"/>
        </w:rPr>
        <w:t>ALJ’s</w:t>
      </w:r>
      <w:r w:rsidRPr="009F1350">
        <w:rPr>
          <w:sz w:val="26"/>
          <w:szCs w:val="26"/>
        </w:rPr>
        <w:t xml:space="preserve"> Initial Decision; </w:t>
      </w:r>
      <w:r w:rsidRPr="009F1350">
        <w:rPr>
          <w:b/>
          <w:sz w:val="26"/>
          <w:szCs w:val="26"/>
        </w:rPr>
        <w:t>THEREFORE,</w:t>
      </w:r>
    </w:p>
    <w:p w:rsidR="00CE2E09" w:rsidRPr="009F1350" w:rsidRDefault="00CE2E09" w:rsidP="00085E5A">
      <w:pPr>
        <w:widowControl/>
        <w:spacing w:line="360" w:lineRule="auto"/>
        <w:ind w:firstLine="1440"/>
        <w:contextualSpacing/>
        <w:rPr>
          <w:b/>
          <w:sz w:val="26"/>
          <w:szCs w:val="26"/>
        </w:rPr>
      </w:pPr>
    </w:p>
    <w:p w:rsidR="00CE2E09" w:rsidRPr="00D365A7" w:rsidRDefault="00CE2E09" w:rsidP="00085E5A">
      <w:pPr>
        <w:keepNext/>
        <w:widowControl/>
        <w:ind w:firstLine="1440"/>
        <w:contextualSpacing/>
        <w:rPr>
          <w:b/>
          <w:sz w:val="26"/>
          <w:szCs w:val="26"/>
        </w:rPr>
      </w:pPr>
      <w:r w:rsidRPr="00D365A7">
        <w:rPr>
          <w:b/>
          <w:sz w:val="26"/>
          <w:szCs w:val="26"/>
        </w:rPr>
        <w:lastRenderedPageBreak/>
        <w:t>IT IS ORDERED:</w:t>
      </w:r>
    </w:p>
    <w:p w:rsidR="00CE2E09" w:rsidRPr="00B50BFA" w:rsidRDefault="00CE2E09" w:rsidP="00003C1D">
      <w:pPr>
        <w:pStyle w:val="ListParagraph"/>
        <w:widowControl/>
        <w:spacing w:line="360" w:lineRule="auto"/>
        <w:ind w:left="1440"/>
        <w:rPr>
          <w:sz w:val="26"/>
          <w:szCs w:val="26"/>
        </w:rPr>
      </w:pPr>
    </w:p>
    <w:p w:rsidR="00CE2E09" w:rsidRDefault="00CE2E09" w:rsidP="00B524AA">
      <w:pPr>
        <w:widowControl/>
        <w:numPr>
          <w:ilvl w:val="0"/>
          <w:numId w:val="1"/>
        </w:numPr>
        <w:tabs>
          <w:tab w:val="clear" w:pos="2160"/>
          <w:tab w:val="num" w:pos="0"/>
        </w:tabs>
        <w:spacing w:line="360" w:lineRule="auto"/>
        <w:ind w:left="0" w:firstLine="1440"/>
        <w:contextualSpacing/>
        <w:rPr>
          <w:sz w:val="26"/>
          <w:szCs w:val="26"/>
        </w:rPr>
      </w:pPr>
      <w:r w:rsidRPr="000C398A">
        <w:rPr>
          <w:sz w:val="26"/>
          <w:szCs w:val="26"/>
        </w:rPr>
        <w:t>That the</w:t>
      </w:r>
      <w:r w:rsidR="0080639C">
        <w:rPr>
          <w:sz w:val="26"/>
          <w:szCs w:val="26"/>
        </w:rPr>
        <w:t xml:space="preserve"> Exceptions of </w:t>
      </w:r>
      <w:r w:rsidR="0065154F">
        <w:rPr>
          <w:sz w:val="26"/>
        </w:rPr>
        <w:t>Philadelphia Gas Works</w:t>
      </w:r>
      <w:r w:rsidR="0065154F">
        <w:rPr>
          <w:sz w:val="26"/>
          <w:szCs w:val="26"/>
        </w:rPr>
        <w:t xml:space="preserve"> </w:t>
      </w:r>
      <w:r w:rsidR="0065154F">
        <w:rPr>
          <w:sz w:val="26"/>
        </w:rPr>
        <w:t>filed on August 5</w:t>
      </w:r>
      <w:r w:rsidR="0065154F" w:rsidRPr="00D365A7">
        <w:rPr>
          <w:sz w:val="26"/>
        </w:rPr>
        <w:t>,</w:t>
      </w:r>
      <w:r w:rsidR="0065154F">
        <w:rPr>
          <w:sz w:val="26"/>
        </w:rPr>
        <w:t xml:space="preserve"> 2015</w:t>
      </w:r>
      <w:r w:rsidRPr="000C398A">
        <w:rPr>
          <w:sz w:val="26"/>
          <w:szCs w:val="26"/>
        </w:rPr>
        <w:t>, to the Initial Decision of Administ</w:t>
      </w:r>
      <w:r w:rsidR="007556B5">
        <w:rPr>
          <w:sz w:val="26"/>
          <w:szCs w:val="26"/>
        </w:rPr>
        <w:t xml:space="preserve">rative Law Judge </w:t>
      </w:r>
      <w:r w:rsidR="0065154F">
        <w:rPr>
          <w:sz w:val="26"/>
          <w:szCs w:val="26"/>
        </w:rPr>
        <w:t>Angela T. Jones</w:t>
      </w:r>
      <w:r w:rsidR="000510F8">
        <w:rPr>
          <w:sz w:val="26"/>
          <w:szCs w:val="26"/>
        </w:rPr>
        <w:t>,</w:t>
      </w:r>
      <w:r w:rsidR="000510F8" w:rsidRPr="000510F8">
        <w:rPr>
          <w:sz w:val="26"/>
          <w:szCs w:val="26"/>
        </w:rPr>
        <w:t xml:space="preserve"> </w:t>
      </w:r>
      <w:r w:rsidR="000510F8" w:rsidRPr="00594CEF">
        <w:rPr>
          <w:sz w:val="26"/>
          <w:szCs w:val="26"/>
        </w:rPr>
        <w:t xml:space="preserve">issued </w:t>
      </w:r>
      <w:r w:rsidR="000510F8" w:rsidRPr="00594CEF">
        <w:rPr>
          <w:sz w:val="26"/>
        </w:rPr>
        <w:t>July 16, 2015</w:t>
      </w:r>
      <w:r w:rsidR="000510F8" w:rsidRPr="00594CEF">
        <w:rPr>
          <w:sz w:val="26"/>
          <w:szCs w:val="26"/>
        </w:rPr>
        <w:t xml:space="preserve">, </w:t>
      </w:r>
      <w:r w:rsidR="0065154F">
        <w:rPr>
          <w:sz w:val="26"/>
          <w:szCs w:val="26"/>
        </w:rPr>
        <w:t>are granted</w:t>
      </w:r>
      <w:r w:rsidRPr="000C398A">
        <w:rPr>
          <w:sz w:val="26"/>
          <w:szCs w:val="26"/>
        </w:rPr>
        <w:t>, consistent with this Opinion and Order.</w:t>
      </w:r>
    </w:p>
    <w:p w:rsidR="00594CEF" w:rsidRDefault="00594CEF" w:rsidP="00B524AA">
      <w:pPr>
        <w:widowControl/>
        <w:spacing w:line="360" w:lineRule="auto"/>
        <w:ind w:left="1440"/>
        <w:contextualSpacing/>
        <w:rPr>
          <w:sz w:val="26"/>
          <w:szCs w:val="26"/>
        </w:rPr>
      </w:pPr>
    </w:p>
    <w:p w:rsidR="00CE2E09" w:rsidRDefault="00CE2E09" w:rsidP="00B524AA">
      <w:pPr>
        <w:widowControl/>
        <w:numPr>
          <w:ilvl w:val="0"/>
          <w:numId w:val="1"/>
        </w:numPr>
        <w:tabs>
          <w:tab w:val="clear" w:pos="2160"/>
          <w:tab w:val="num" w:pos="0"/>
        </w:tabs>
        <w:spacing w:line="360" w:lineRule="auto"/>
        <w:ind w:left="0" w:firstLine="1440"/>
        <w:contextualSpacing/>
        <w:rPr>
          <w:sz w:val="26"/>
          <w:szCs w:val="26"/>
        </w:rPr>
      </w:pPr>
      <w:r w:rsidRPr="00594CEF">
        <w:rPr>
          <w:sz w:val="26"/>
          <w:szCs w:val="26"/>
        </w:rPr>
        <w:t>That the Initial Decision of Administra</w:t>
      </w:r>
      <w:r w:rsidR="0080639C" w:rsidRPr="00594CEF">
        <w:rPr>
          <w:sz w:val="26"/>
          <w:szCs w:val="26"/>
        </w:rPr>
        <w:t>ti</w:t>
      </w:r>
      <w:r w:rsidR="0065154F" w:rsidRPr="00594CEF">
        <w:rPr>
          <w:sz w:val="26"/>
          <w:szCs w:val="26"/>
        </w:rPr>
        <w:t>ve Law Judge Angela</w:t>
      </w:r>
      <w:r w:rsidR="000510F8">
        <w:rPr>
          <w:sz w:val="26"/>
          <w:szCs w:val="26"/>
        </w:rPr>
        <w:t> </w:t>
      </w:r>
      <w:r w:rsidR="0065154F" w:rsidRPr="00594CEF">
        <w:rPr>
          <w:sz w:val="26"/>
          <w:szCs w:val="26"/>
        </w:rPr>
        <w:t>T.</w:t>
      </w:r>
      <w:r w:rsidR="000510F8">
        <w:rPr>
          <w:sz w:val="26"/>
          <w:szCs w:val="26"/>
        </w:rPr>
        <w:t> </w:t>
      </w:r>
      <w:r w:rsidR="0065154F" w:rsidRPr="00594CEF">
        <w:rPr>
          <w:sz w:val="26"/>
          <w:szCs w:val="26"/>
        </w:rPr>
        <w:t>Jones</w:t>
      </w:r>
      <w:r w:rsidRPr="00594CEF">
        <w:rPr>
          <w:sz w:val="26"/>
          <w:szCs w:val="26"/>
        </w:rPr>
        <w:t xml:space="preserve">, issued </w:t>
      </w:r>
      <w:r w:rsidR="0065154F" w:rsidRPr="00594CEF">
        <w:rPr>
          <w:sz w:val="26"/>
        </w:rPr>
        <w:t>July 16, 2015</w:t>
      </w:r>
      <w:r w:rsidR="0065154F" w:rsidRPr="00594CEF">
        <w:rPr>
          <w:sz w:val="26"/>
          <w:szCs w:val="26"/>
        </w:rPr>
        <w:t>, is modified</w:t>
      </w:r>
      <w:r w:rsidRPr="00594CEF">
        <w:rPr>
          <w:sz w:val="26"/>
          <w:szCs w:val="26"/>
        </w:rPr>
        <w:t>, consistent with this Opinion and Order.</w:t>
      </w:r>
    </w:p>
    <w:p w:rsidR="009112E8" w:rsidRDefault="009112E8" w:rsidP="00B524AA">
      <w:pPr>
        <w:widowControl/>
        <w:spacing w:line="360" w:lineRule="auto"/>
        <w:ind w:left="1440"/>
        <w:contextualSpacing/>
        <w:rPr>
          <w:sz w:val="26"/>
          <w:szCs w:val="26"/>
        </w:rPr>
      </w:pPr>
    </w:p>
    <w:p w:rsidR="00594CEF" w:rsidRPr="0078348A" w:rsidRDefault="00594CEF" w:rsidP="00085E5A">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w:t>
      </w:r>
      <w:r w:rsidR="007D2D5C">
        <w:rPr>
          <w:sz w:val="26"/>
        </w:rPr>
        <w:t>Philadelphia Gas Works’ billing format is consistent with its Commission-approved tariff.</w:t>
      </w:r>
    </w:p>
    <w:p w:rsidR="0078348A" w:rsidRPr="0078348A" w:rsidRDefault="0078348A" w:rsidP="00085E5A">
      <w:pPr>
        <w:widowControl/>
        <w:spacing w:line="360" w:lineRule="auto"/>
        <w:ind w:left="1440"/>
        <w:contextualSpacing/>
        <w:rPr>
          <w:sz w:val="26"/>
          <w:szCs w:val="26"/>
        </w:rPr>
      </w:pPr>
    </w:p>
    <w:p w:rsidR="0078348A" w:rsidRPr="007D2D5C" w:rsidRDefault="0078348A" w:rsidP="00085E5A">
      <w:pPr>
        <w:widowControl/>
        <w:numPr>
          <w:ilvl w:val="0"/>
          <w:numId w:val="1"/>
        </w:numPr>
        <w:tabs>
          <w:tab w:val="clear" w:pos="2160"/>
          <w:tab w:val="num" w:pos="0"/>
        </w:tabs>
        <w:spacing w:line="360" w:lineRule="auto"/>
        <w:ind w:left="0" w:firstLine="1440"/>
        <w:contextualSpacing/>
        <w:rPr>
          <w:sz w:val="26"/>
          <w:szCs w:val="26"/>
        </w:rPr>
      </w:pPr>
      <w:r>
        <w:rPr>
          <w:sz w:val="26"/>
        </w:rPr>
        <w:t xml:space="preserve">That Philadelphia Gas Works is not in violation of </w:t>
      </w:r>
      <w:r w:rsidRPr="002F6881">
        <w:rPr>
          <w:sz w:val="26"/>
          <w:szCs w:val="26"/>
        </w:rPr>
        <w:t xml:space="preserve">Section 1301 of the </w:t>
      </w:r>
      <w:r w:rsidR="00B524AA">
        <w:rPr>
          <w:sz w:val="26"/>
          <w:szCs w:val="26"/>
        </w:rPr>
        <w:t xml:space="preserve">Pennsylvania Public Utility </w:t>
      </w:r>
      <w:r w:rsidRPr="002F6881">
        <w:rPr>
          <w:sz w:val="26"/>
          <w:szCs w:val="26"/>
        </w:rPr>
        <w:t>Code</w:t>
      </w:r>
      <w:r>
        <w:rPr>
          <w:sz w:val="26"/>
          <w:szCs w:val="26"/>
        </w:rPr>
        <w:t>,</w:t>
      </w:r>
      <w:r w:rsidRPr="002F6881">
        <w:rPr>
          <w:sz w:val="26"/>
          <w:szCs w:val="26"/>
        </w:rPr>
        <w:t xml:space="preserve"> </w:t>
      </w:r>
      <w:r w:rsidRPr="006D525F">
        <w:rPr>
          <w:sz w:val="26"/>
          <w:szCs w:val="26"/>
        </w:rPr>
        <w:t>66 Pa.</w:t>
      </w:r>
      <w:r>
        <w:rPr>
          <w:sz w:val="26"/>
          <w:szCs w:val="26"/>
        </w:rPr>
        <w:t xml:space="preserve"> </w:t>
      </w:r>
      <w:r w:rsidRPr="006D525F">
        <w:rPr>
          <w:sz w:val="26"/>
          <w:szCs w:val="26"/>
        </w:rPr>
        <w:t>C.S. § 1301</w:t>
      </w:r>
      <w:r>
        <w:rPr>
          <w:sz w:val="26"/>
          <w:szCs w:val="26"/>
        </w:rPr>
        <w:t>.</w:t>
      </w:r>
    </w:p>
    <w:p w:rsidR="007D2D5C" w:rsidRDefault="007D2D5C" w:rsidP="00085E5A">
      <w:pPr>
        <w:pStyle w:val="ListParagraph"/>
        <w:widowControl/>
        <w:rPr>
          <w:sz w:val="26"/>
          <w:szCs w:val="26"/>
        </w:rPr>
      </w:pPr>
    </w:p>
    <w:p w:rsidR="00CE2E09" w:rsidRDefault="00CE2E09" w:rsidP="00003C1D">
      <w:pPr>
        <w:pStyle w:val="ListParagraph"/>
        <w:widowControl/>
        <w:numPr>
          <w:ilvl w:val="0"/>
          <w:numId w:val="1"/>
        </w:numPr>
        <w:spacing w:line="360" w:lineRule="auto"/>
        <w:ind w:left="0" w:firstLine="1440"/>
        <w:rPr>
          <w:sz w:val="26"/>
          <w:szCs w:val="26"/>
        </w:rPr>
      </w:pPr>
      <w:r w:rsidRPr="004B59A8">
        <w:rPr>
          <w:sz w:val="26"/>
          <w:szCs w:val="26"/>
        </w:rPr>
        <w:t xml:space="preserve">That the Formal Complaint filed by </w:t>
      </w:r>
      <w:r w:rsidR="0065154F">
        <w:rPr>
          <w:sz w:val="26"/>
          <w:szCs w:val="26"/>
        </w:rPr>
        <w:t xml:space="preserve">Sandra </w:t>
      </w:r>
      <w:r w:rsidR="002013DB">
        <w:rPr>
          <w:sz w:val="26"/>
          <w:szCs w:val="26"/>
        </w:rPr>
        <w:t xml:space="preserve">C. </w:t>
      </w:r>
      <w:r w:rsidR="0065154F">
        <w:rPr>
          <w:sz w:val="26"/>
          <w:szCs w:val="26"/>
        </w:rPr>
        <w:t>Laws on May 16</w:t>
      </w:r>
      <w:r w:rsidR="007A0298">
        <w:rPr>
          <w:sz w:val="26"/>
          <w:szCs w:val="26"/>
        </w:rPr>
        <w:t xml:space="preserve">, 2014, against </w:t>
      </w:r>
      <w:r w:rsidR="000453AF">
        <w:rPr>
          <w:sz w:val="26"/>
          <w:szCs w:val="26"/>
        </w:rPr>
        <w:t>Philadelphia</w:t>
      </w:r>
      <w:r w:rsidR="0080639C">
        <w:rPr>
          <w:sz w:val="26"/>
          <w:szCs w:val="26"/>
        </w:rPr>
        <w:t xml:space="preserve"> Gas Work</w:t>
      </w:r>
      <w:r w:rsidR="00FF63A5">
        <w:rPr>
          <w:sz w:val="26"/>
          <w:szCs w:val="26"/>
        </w:rPr>
        <w:t>s</w:t>
      </w:r>
      <w:r w:rsidR="0080639C">
        <w:rPr>
          <w:sz w:val="26"/>
          <w:szCs w:val="26"/>
        </w:rPr>
        <w:t xml:space="preserve"> </w:t>
      </w:r>
      <w:r w:rsidRPr="004B59A8">
        <w:rPr>
          <w:sz w:val="26"/>
          <w:szCs w:val="26"/>
        </w:rPr>
        <w:t>is dismissed in its entirety, consistent with this Opinion and Order.</w:t>
      </w:r>
    </w:p>
    <w:p w:rsidR="0078348A" w:rsidRPr="0078348A" w:rsidRDefault="0078348A" w:rsidP="00085E5A">
      <w:pPr>
        <w:pStyle w:val="ListParagraph"/>
        <w:widowControl/>
        <w:rPr>
          <w:sz w:val="26"/>
          <w:szCs w:val="26"/>
        </w:rPr>
      </w:pPr>
    </w:p>
    <w:p w:rsidR="00CE2E09" w:rsidRPr="00D365A7" w:rsidRDefault="00CE2E09" w:rsidP="00003C1D">
      <w:pPr>
        <w:pStyle w:val="ListParagraph"/>
        <w:keepNext/>
        <w:keepLines/>
        <w:widowControl/>
        <w:numPr>
          <w:ilvl w:val="0"/>
          <w:numId w:val="1"/>
        </w:numPr>
        <w:spacing w:line="360" w:lineRule="auto"/>
        <w:ind w:left="0" w:firstLine="1440"/>
        <w:rPr>
          <w:sz w:val="26"/>
          <w:szCs w:val="26"/>
        </w:rPr>
      </w:pPr>
      <w:r>
        <w:rPr>
          <w:sz w:val="26"/>
          <w:szCs w:val="26"/>
        </w:rPr>
        <w:t>T</w:t>
      </w:r>
      <w:r w:rsidRPr="00D365A7">
        <w:rPr>
          <w:sz w:val="26"/>
          <w:szCs w:val="26"/>
        </w:rPr>
        <w:t>hat</w:t>
      </w:r>
      <w:r>
        <w:rPr>
          <w:sz w:val="26"/>
          <w:szCs w:val="26"/>
        </w:rPr>
        <w:t xml:space="preserve"> the proceeding at th</w:t>
      </w:r>
      <w:r w:rsidR="000453AF">
        <w:rPr>
          <w:sz w:val="26"/>
          <w:szCs w:val="26"/>
        </w:rPr>
        <w:t>i</w:t>
      </w:r>
      <w:r>
        <w:rPr>
          <w:sz w:val="26"/>
          <w:szCs w:val="26"/>
        </w:rPr>
        <w:t xml:space="preserve">s docket </w:t>
      </w:r>
      <w:r w:rsidRPr="00D365A7">
        <w:rPr>
          <w:sz w:val="26"/>
          <w:szCs w:val="26"/>
        </w:rPr>
        <w:t>be marked closed.</w:t>
      </w:r>
    </w:p>
    <w:p w:rsidR="00CE2E09" w:rsidRPr="00D365A7" w:rsidRDefault="00CE2E09" w:rsidP="00085E5A">
      <w:pPr>
        <w:keepNext/>
        <w:keepLines/>
        <w:widowControl/>
        <w:contextualSpacing/>
        <w:rPr>
          <w:sz w:val="26"/>
          <w:szCs w:val="26"/>
        </w:rPr>
      </w:pPr>
    </w:p>
    <w:p w:rsidR="00CE2E09" w:rsidRPr="00D365A7" w:rsidRDefault="00E86986" w:rsidP="00085E5A">
      <w:pPr>
        <w:keepNext/>
        <w:keepLines/>
        <w:widowControl/>
        <w:tabs>
          <w:tab w:val="left" w:pos="-720"/>
        </w:tabs>
        <w:ind w:firstLine="5040"/>
        <w:contextualSpacing/>
        <w:rPr>
          <w:sz w:val="26"/>
          <w:szCs w:val="26"/>
        </w:rPr>
      </w:pPr>
      <w:r>
        <w:rPr>
          <w:noProof/>
        </w:rPr>
        <w:drawing>
          <wp:anchor distT="0" distB="0" distL="114300" distR="114300" simplePos="0" relativeHeight="251659264" behindDoc="1" locked="0" layoutInCell="1" allowOverlap="1" wp14:anchorId="14BA79F0" wp14:editId="50E4AFC6">
            <wp:simplePos x="0" y="0"/>
            <wp:positionH relativeFrom="column">
              <wp:posOffset>3162935</wp:posOffset>
            </wp:positionH>
            <wp:positionV relativeFrom="paragraph">
              <wp:posOffset>95250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E2E09" w:rsidRPr="00D365A7">
        <w:rPr>
          <w:b/>
          <w:sz w:val="26"/>
          <w:szCs w:val="26"/>
        </w:rPr>
        <w:t>BY THE COMMISSION,</w:t>
      </w:r>
    </w:p>
    <w:p w:rsidR="00CE2E09" w:rsidRDefault="00CE2E09" w:rsidP="00085E5A">
      <w:pPr>
        <w:keepNext/>
        <w:keepLines/>
        <w:widowControl/>
        <w:tabs>
          <w:tab w:val="left" w:pos="-720"/>
        </w:tabs>
        <w:contextualSpacing/>
        <w:rPr>
          <w:sz w:val="26"/>
          <w:szCs w:val="26"/>
        </w:rPr>
      </w:pPr>
    </w:p>
    <w:p w:rsidR="008603C0" w:rsidRPr="00D365A7" w:rsidRDefault="008603C0" w:rsidP="00085E5A">
      <w:pPr>
        <w:keepNext/>
        <w:keepLines/>
        <w:widowControl/>
        <w:tabs>
          <w:tab w:val="left" w:pos="-720"/>
        </w:tabs>
        <w:contextualSpacing/>
        <w:rPr>
          <w:sz w:val="26"/>
          <w:szCs w:val="26"/>
        </w:rPr>
      </w:pPr>
    </w:p>
    <w:p w:rsidR="00CE2E09" w:rsidRPr="00D365A7" w:rsidRDefault="00CE2E09" w:rsidP="00085E5A">
      <w:pPr>
        <w:keepNext/>
        <w:keepLines/>
        <w:widowControl/>
        <w:tabs>
          <w:tab w:val="left" w:pos="-720"/>
        </w:tabs>
        <w:contextualSpacing/>
        <w:rPr>
          <w:sz w:val="26"/>
          <w:szCs w:val="26"/>
        </w:rPr>
      </w:pPr>
    </w:p>
    <w:p w:rsidR="00CE2E09" w:rsidRPr="00D365A7" w:rsidRDefault="00CE2E09" w:rsidP="00085E5A">
      <w:pPr>
        <w:keepNext/>
        <w:keepLines/>
        <w:widowControl/>
        <w:tabs>
          <w:tab w:val="left" w:pos="-720"/>
        </w:tabs>
        <w:ind w:firstLine="5040"/>
        <w:contextualSpacing/>
        <w:rPr>
          <w:b/>
          <w:sz w:val="26"/>
          <w:szCs w:val="26"/>
        </w:rPr>
      </w:pPr>
      <w:r w:rsidRPr="00D365A7">
        <w:rPr>
          <w:sz w:val="26"/>
          <w:szCs w:val="26"/>
        </w:rPr>
        <w:t>Rosemary Chiavetta</w:t>
      </w:r>
    </w:p>
    <w:p w:rsidR="00CE2E09" w:rsidRPr="00D365A7" w:rsidRDefault="00CE2E09" w:rsidP="00085E5A">
      <w:pPr>
        <w:keepNext/>
        <w:keepLines/>
        <w:widowControl/>
        <w:tabs>
          <w:tab w:val="left" w:pos="-720"/>
        </w:tabs>
        <w:ind w:firstLine="5040"/>
        <w:contextualSpacing/>
        <w:rPr>
          <w:sz w:val="26"/>
          <w:szCs w:val="26"/>
        </w:rPr>
      </w:pPr>
      <w:r w:rsidRPr="00D365A7">
        <w:rPr>
          <w:sz w:val="26"/>
          <w:szCs w:val="26"/>
        </w:rPr>
        <w:t>Secretary</w:t>
      </w:r>
    </w:p>
    <w:p w:rsidR="00CE2E09" w:rsidRPr="00D365A7" w:rsidRDefault="00CE2E09" w:rsidP="00085E5A">
      <w:pPr>
        <w:keepNext/>
        <w:keepLines/>
        <w:widowControl/>
        <w:tabs>
          <w:tab w:val="left" w:pos="-720"/>
        </w:tabs>
        <w:contextualSpacing/>
        <w:rPr>
          <w:sz w:val="26"/>
          <w:szCs w:val="26"/>
        </w:rPr>
      </w:pPr>
    </w:p>
    <w:p w:rsidR="00CE2E09" w:rsidRDefault="00CE2E09" w:rsidP="00085E5A">
      <w:pPr>
        <w:keepNext/>
        <w:keepLines/>
        <w:widowControl/>
        <w:tabs>
          <w:tab w:val="left" w:pos="-720"/>
        </w:tabs>
        <w:contextualSpacing/>
        <w:rPr>
          <w:sz w:val="26"/>
          <w:szCs w:val="26"/>
        </w:rPr>
      </w:pPr>
      <w:r w:rsidRPr="00D365A7">
        <w:rPr>
          <w:sz w:val="26"/>
          <w:szCs w:val="26"/>
        </w:rPr>
        <w:t>(SEAL)</w:t>
      </w:r>
    </w:p>
    <w:p w:rsidR="008603C0" w:rsidRPr="00D365A7" w:rsidRDefault="008603C0" w:rsidP="00085E5A">
      <w:pPr>
        <w:keepNext/>
        <w:keepLines/>
        <w:widowControl/>
        <w:tabs>
          <w:tab w:val="left" w:pos="-720"/>
        </w:tabs>
        <w:contextualSpacing/>
        <w:rPr>
          <w:sz w:val="26"/>
          <w:szCs w:val="26"/>
        </w:rPr>
      </w:pPr>
    </w:p>
    <w:p w:rsidR="00CE2E09" w:rsidRPr="00D365A7" w:rsidRDefault="00CE2E09" w:rsidP="00085E5A">
      <w:pPr>
        <w:keepNext/>
        <w:keepLines/>
        <w:widowControl/>
        <w:tabs>
          <w:tab w:val="left" w:pos="-720"/>
        </w:tabs>
        <w:contextualSpacing/>
        <w:rPr>
          <w:sz w:val="26"/>
          <w:szCs w:val="26"/>
        </w:rPr>
      </w:pPr>
      <w:r w:rsidRPr="00D365A7">
        <w:rPr>
          <w:sz w:val="26"/>
          <w:szCs w:val="26"/>
        </w:rPr>
        <w:t xml:space="preserve">ORDER ADOPTED: </w:t>
      </w:r>
      <w:r w:rsidR="00526F8D">
        <w:rPr>
          <w:sz w:val="26"/>
          <w:szCs w:val="26"/>
        </w:rPr>
        <w:t>November 19</w:t>
      </w:r>
      <w:r>
        <w:rPr>
          <w:sz w:val="26"/>
          <w:szCs w:val="26"/>
        </w:rPr>
        <w:t>, 2015</w:t>
      </w:r>
    </w:p>
    <w:p w:rsidR="008603C0" w:rsidRDefault="008603C0" w:rsidP="00085E5A">
      <w:pPr>
        <w:keepNext/>
        <w:keepLines/>
        <w:widowControl/>
        <w:tabs>
          <w:tab w:val="left" w:pos="-720"/>
        </w:tabs>
        <w:contextualSpacing/>
        <w:rPr>
          <w:sz w:val="26"/>
          <w:szCs w:val="26"/>
        </w:rPr>
      </w:pPr>
    </w:p>
    <w:p w:rsidR="00CE2E09" w:rsidRDefault="00CE2E09" w:rsidP="00085E5A">
      <w:pPr>
        <w:keepNext/>
        <w:keepLines/>
        <w:widowControl/>
        <w:tabs>
          <w:tab w:val="left" w:pos="-720"/>
        </w:tabs>
        <w:contextualSpacing/>
        <w:rPr>
          <w:sz w:val="26"/>
          <w:szCs w:val="26"/>
        </w:rPr>
      </w:pPr>
      <w:r w:rsidRPr="00D365A7">
        <w:rPr>
          <w:sz w:val="26"/>
          <w:szCs w:val="26"/>
        </w:rPr>
        <w:t xml:space="preserve">ORDER ENTERED:  </w:t>
      </w:r>
      <w:r w:rsidR="00E86986">
        <w:rPr>
          <w:sz w:val="26"/>
          <w:szCs w:val="26"/>
        </w:rPr>
        <w:t>November 19, 2015</w:t>
      </w:r>
      <w:bookmarkStart w:id="2" w:name="_GoBack"/>
      <w:bookmarkEnd w:id="2"/>
    </w:p>
    <w:sectPr w:rsidR="00CE2E09"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323" w:rsidRDefault="009F2323" w:rsidP="00F7174B">
      <w:r>
        <w:separator/>
      </w:r>
    </w:p>
  </w:endnote>
  <w:endnote w:type="continuationSeparator" w:id="0">
    <w:p w:rsidR="009F2323" w:rsidRDefault="009F2323"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5C0710" w:rsidRPr="009F1A08" w:rsidRDefault="005C071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E86986">
          <w:rPr>
            <w:noProof/>
            <w:sz w:val="26"/>
            <w:szCs w:val="26"/>
          </w:rPr>
          <w:t>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323" w:rsidRDefault="009F2323" w:rsidP="00F7174B">
      <w:r>
        <w:separator/>
      </w:r>
    </w:p>
  </w:footnote>
  <w:footnote w:type="continuationSeparator" w:id="0">
    <w:p w:rsidR="009F2323" w:rsidRDefault="009F2323" w:rsidP="00F7174B">
      <w:r>
        <w:continuationSeparator/>
      </w:r>
    </w:p>
  </w:footnote>
  <w:footnote w:id="1">
    <w:p w:rsidR="00006577" w:rsidRPr="00F50376" w:rsidRDefault="00006577" w:rsidP="00006577">
      <w:pPr>
        <w:pStyle w:val="FootnoteText"/>
        <w:keepNext/>
        <w:keepLines/>
        <w:ind w:firstLine="720"/>
        <w:contextualSpacing/>
        <w:rPr>
          <w:sz w:val="26"/>
          <w:szCs w:val="26"/>
        </w:rPr>
      </w:pPr>
      <w:r w:rsidRPr="00F50376">
        <w:rPr>
          <w:rStyle w:val="FootnoteReference"/>
          <w:sz w:val="26"/>
          <w:szCs w:val="26"/>
        </w:rPr>
        <w:footnoteRef/>
      </w:r>
      <w:r w:rsidRPr="00F50376">
        <w:rPr>
          <w:sz w:val="26"/>
          <w:szCs w:val="26"/>
        </w:rPr>
        <w:tab/>
        <w:t>Th</w:t>
      </w:r>
      <w:r>
        <w:rPr>
          <w:sz w:val="26"/>
          <w:szCs w:val="26"/>
        </w:rPr>
        <w:t>e</w:t>
      </w:r>
      <w:r w:rsidRPr="00F50376">
        <w:rPr>
          <w:sz w:val="26"/>
          <w:szCs w:val="26"/>
        </w:rPr>
        <w:t xml:space="preserve"> Complaint is a timely appeal of a Bureau of Consumer Services (BCS) informal de</w:t>
      </w:r>
      <w:r>
        <w:rPr>
          <w:sz w:val="26"/>
          <w:szCs w:val="26"/>
        </w:rPr>
        <w:t xml:space="preserve">cision at BCS Case No. 3202783, dated </w:t>
      </w:r>
      <w:r w:rsidRPr="00F50376">
        <w:rPr>
          <w:sz w:val="26"/>
          <w:szCs w:val="26"/>
        </w:rPr>
        <w:t>April 16</w:t>
      </w:r>
      <w:r>
        <w:rPr>
          <w:sz w:val="26"/>
          <w:szCs w:val="26"/>
        </w:rPr>
        <w:t>, 2014.  The BCS informal decision concluded that the bill was correct as rendered.</w:t>
      </w:r>
    </w:p>
  </w:footnote>
  <w:footnote w:id="2">
    <w:p w:rsidR="00006577" w:rsidRPr="00F50376" w:rsidRDefault="00006577" w:rsidP="00006577">
      <w:pPr>
        <w:pStyle w:val="FootnoteText"/>
        <w:keepLines/>
        <w:ind w:firstLine="720"/>
        <w:contextualSpacing/>
        <w:rPr>
          <w:sz w:val="26"/>
          <w:szCs w:val="26"/>
        </w:rPr>
      </w:pPr>
      <w:r w:rsidRPr="00F50376">
        <w:rPr>
          <w:rStyle w:val="FootnoteReference"/>
          <w:sz w:val="26"/>
          <w:szCs w:val="26"/>
        </w:rPr>
        <w:footnoteRef/>
      </w:r>
      <w:r w:rsidRPr="00F50376">
        <w:rPr>
          <w:sz w:val="26"/>
          <w:szCs w:val="26"/>
        </w:rPr>
        <w:t xml:space="preserve"> </w:t>
      </w:r>
      <w:r w:rsidRPr="00F50376">
        <w:rPr>
          <w:sz w:val="26"/>
          <w:szCs w:val="26"/>
        </w:rPr>
        <w:tab/>
        <w:t>The Complainant later corre</w:t>
      </w:r>
      <w:r>
        <w:rPr>
          <w:sz w:val="26"/>
          <w:szCs w:val="26"/>
        </w:rPr>
        <w:t>cted the 150 percent to 141 percent. Tr. at 17.</w:t>
      </w:r>
    </w:p>
  </w:footnote>
  <w:footnote w:id="3">
    <w:p w:rsidR="005C0710" w:rsidRPr="00F50376" w:rsidRDefault="005C0710" w:rsidP="00085E5A">
      <w:pPr>
        <w:pStyle w:val="FootnoteText"/>
        <w:keepLines/>
        <w:ind w:firstLine="720"/>
        <w:contextualSpacing/>
        <w:rPr>
          <w:sz w:val="26"/>
          <w:szCs w:val="26"/>
        </w:rPr>
      </w:pPr>
      <w:r w:rsidRPr="00F50376">
        <w:rPr>
          <w:rStyle w:val="FootnoteReference"/>
          <w:sz w:val="26"/>
          <w:szCs w:val="26"/>
        </w:rPr>
        <w:footnoteRef/>
      </w:r>
      <w:r w:rsidRPr="00F50376">
        <w:rPr>
          <w:sz w:val="26"/>
          <w:szCs w:val="26"/>
        </w:rPr>
        <w:t xml:space="preserve"> </w:t>
      </w:r>
      <w:r>
        <w:rPr>
          <w:sz w:val="26"/>
          <w:szCs w:val="26"/>
        </w:rPr>
        <w:tab/>
        <w:t xml:space="preserve">The Complainant’s five percent limit/cap reference applies to the cap/limit for the Distribution System Improvement Charge (DSIC), pursuant to </w:t>
      </w:r>
      <w:r w:rsidRPr="006D525F">
        <w:rPr>
          <w:sz w:val="26"/>
          <w:szCs w:val="26"/>
        </w:rPr>
        <w:t>66 Pa.</w:t>
      </w:r>
      <w:r>
        <w:rPr>
          <w:sz w:val="26"/>
          <w:szCs w:val="26"/>
        </w:rPr>
        <w:t xml:space="preserve"> C.S. §</w:t>
      </w:r>
      <w:r w:rsidR="00006577">
        <w:rPr>
          <w:sz w:val="26"/>
          <w:szCs w:val="26"/>
        </w:rPr>
        <w:t> </w:t>
      </w:r>
      <w:r>
        <w:rPr>
          <w:sz w:val="26"/>
          <w:szCs w:val="26"/>
        </w:rPr>
        <w:t xml:space="preserve">1358(a)(1).  Complaint at 3, citing </w:t>
      </w:r>
      <w:r w:rsidRPr="006D525F">
        <w:rPr>
          <w:sz w:val="26"/>
          <w:szCs w:val="26"/>
        </w:rPr>
        <w:t>66 Pa.</w:t>
      </w:r>
      <w:r>
        <w:rPr>
          <w:sz w:val="26"/>
          <w:szCs w:val="26"/>
        </w:rPr>
        <w:t xml:space="preserve"> C.S. § 1358(a)(1).  </w:t>
      </w:r>
      <w:r w:rsidR="00006577">
        <w:rPr>
          <w:sz w:val="26"/>
          <w:szCs w:val="26"/>
        </w:rPr>
        <w:t xml:space="preserve">We note that the </w:t>
      </w:r>
      <w:r>
        <w:rPr>
          <w:sz w:val="26"/>
          <w:szCs w:val="26"/>
        </w:rPr>
        <w:t xml:space="preserve">DSIC charge is different from the </w:t>
      </w:r>
      <w:r w:rsidR="00C56035">
        <w:rPr>
          <w:sz w:val="26"/>
          <w:szCs w:val="26"/>
        </w:rPr>
        <w:t>Distribution Charge</w:t>
      </w:r>
      <w:r>
        <w:rPr>
          <w:sz w:val="26"/>
          <w:szCs w:val="26"/>
        </w:rPr>
        <w:t>.</w:t>
      </w:r>
    </w:p>
  </w:footnote>
  <w:footnote w:id="4">
    <w:p w:rsidR="00CE4DFE" w:rsidRDefault="00CE4DFE" w:rsidP="00CE4DFE">
      <w:pPr>
        <w:keepLines/>
        <w:tabs>
          <w:tab w:val="left" w:pos="-1440"/>
          <w:tab w:val="left" w:pos="-720"/>
        </w:tabs>
        <w:suppressAutoHyphens/>
        <w:contextualSpacing/>
      </w:pPr>
      <w:r>
        <w:tab/>
      </w:r>
      <w:r w:rsidRPr="000D3742">
        <w:rPr>
          <w:rStyle w:val="FootnoteReference"/>
          <w:sz w:val="26"/>
          <w:szCs w:val="26"/>
        </w:rPr>
        <w:footnoteRef/>
      </w:r>
      <w:r w:rsidRPr="000D3742">
        <w:rPr>
          <w:sz w:val="26"/>
          <w:szCs w:val="26"/>
        </w:rPr>
        <w:tab/>
      </w:r>
      <w:r>
        <w:rPr>
          <w:sz w:val="26"/>
          <w:szCs w:val="26"/>
        </w:rPr>
        <w:t xml:space="preserve">PGW Exhibit </w:t>
      </w:r>
      <w:r w:rsidRPr="000D3742">
        <w:rPr>
          <w:sz w:val="26"/>
          <w:szCs w:val="26"/>
        </w:rPr>
        <w:t xml:space="preserve">5 </w:t>
      </w:r>
      <w:r>
        <w:rPr>
          <w:sz w:val="26"/>
          <w:szCs w:val="26"/>
        </w:rPr>
        <w:t>contained</w:t>
      </w:r>
      <w:r w:rsidRPr="000D3742">
        <w:rPr>
          <w:sz w:val="26"/>
          <w:szCs w:val="26"/>
        </w:rPr>
        <w:t xml:space="preserve"> supporting tariffs </w:t>
      </w:r>
      <w:r>
        <w:rPr>
          <w:sz w:val="26"/>
          <w:szCs w:val="26"/>
        </w:rPr>
        <w:t>reflecting the</w:t>
      </w:r>
      <w:r w:rsidRPr="000D3742">
        <w:rPr>
          <w:sz w:val="26"/>
          <w:szCs w:val="26"/>
        </w:rPr>
        <w:t xml:space="preserve"> components of the </w:t>
      </w:r>
      <w:r w:rsidR="00C56035">
        <w:rPr>
          <w:sz w:val="26"/>
          <w:szCs w:val="26"/>
        </w:rPr>
        <w:t>Distribution Charge</w:t>
      </w:r>
      <w:r w:rsidRPr="000D3742">
        <w:rPr>
          <w:sz w:val="26"/>
          <w:szCs w:val="26"/>
        </w:rPr>
        <w:t xml:space="preserve">.  </w:t>
      </w:r>
      <w:r>
        <w:rPr>
          <w:sz w:val="26"/>
          <w:szCs w:val="26"/>
        </w:rPr>
        <w:t>However, t</w:t>
      </w:r>
      <w:r w:rsidRPr="000D3742">
        <w:rPr>
          <w:sz w:val="26"/>
          <w:szCs w:val="26"/>
        </w:rPr>
        <w:t>he</w:t>
      </w:r>
      <w:r>
        <w:rPr>
          <w:sz w:val="26"/>
          <w:szCs w:val="26"/>
        </w:rPr>
        <w:t xml:space="preserve"> effective dates on the</w:t>
      </w:r>
      <w:r w:rsidRPr="000D3742">
        <w:rPr>
          <w:sz w:val="26"/>
          <w:szCs w:val="26"/>
        </w:rPr>
        <w:t xml:space="preserve"> tariffs</w:t>
      </w:r>
      <w:r>
        <w:rPr>
          <w:sz w:val="26"/>
          <w:szCs w:val="26"/>
        </w:rPr>
        <w:t xml:space="preserve"> differed from those reflected on </w:t>
      </w:r>
      <w:r w:rsidRPr="000D3742">
        <w:rPr>
          <w:sz w:val="26"/>
          <w:szCs w:val="26"/>
        </w:rPr>
        <w:t xml:space="preserve">the </w:t>
      </w:r>
      <w:r>
        <w:rPr>
          <w:sz w:val="26"/>
          <w:szCs w:val="26"/>
        </w:rPr>
        <w:t>Complainant’s bill dated February 19, 2014 (February 19, 2014 bill) and which was being disputed by the Complainant.</w:t>
      </w:r>
      <w:r w:rsidRPr="000D3742">
        <w:rPr>
          <w:sz w:val="26"/>
          <w:szCs w:val="26"/>
        </w:rPr>
        <w:t xml:space="preserve">  </w:t>
      </w:r>
      <w:r>
        <w:rPr>
          <w:sz w:val="26"/>
          <w:szCs w:val="26"/>
        </w:rPr>
        <w:t>PGW, therefore,</w:t>
      </w:r>
      <w:r w:rsidRPr="000D3742">
        <w:rPr>
          <w:sz w:val="26"/>
          <w:szCs w:val="26"/>
        </w:rPr>
        <w:t xml:space="preserve"> requested that</w:t>
      </w:r>
      <w:r>
        <w:rPr>
          <w:sz w:val="26"/>
          <w:szCs w:val="26"/>
        </w:rPr>
        <w:t xml:space="preserve"> the Company</w:t>
      </w:r>
      <w:r w:rsidRPr="000D3742">
        <w:rPr>
          <w:sz w:val="26"/>
          <w:szCs w:val="26"/>
        </w:rPr>
        <w:t xml:space="preserve"> be permitted to file a late-filed exhibit </w:t>
      </w:r>
      <w:r>
        <w:rPr>
          <w:sz w:val="26"/>
          <w:szCs w:val="26"/>
        </w:rPr>
        <w:t>with the appropriate tariff with the correct effective dates</w:t>
      </w:r>
      <w:r w:rsidRPr="000D3742">
        <w:rPr>
          <w:sz w:val="26"/>
          <w:szCs w:val="26"/>
        </w:rPr>
        <w:t>.</w:t>
      </w:r>
      <w:r>
        <w:rPr>
          <w:sz w:val="26"/>
          <w:szCs w:val="26"/>
        </w:rPr>
        <w:t xml:space="preserve">  I.D. at 4.</w:t>
      </w:r>
    </w:p>
  </w:footnote>
  <w:footnote w:id="5">
    <w:p w:rsidR="00085E5A" w:rsidRPr="00BD1206" w:rsidRDefault="00085E5A" w:rsidP="00085E5A">
      <w:pPr>
        <w:pStyle w:val="FootnoteText"/>
        <w:keepLines/>
        <w:ind w:firstLine="720"/>
        <w:contextualSpacing/>
        <w:rPr>
          <w:sz w:val="26"/>
          <w:szCs w:val="26"/>
        </w:rPr>
      </w:pPr>
      <w:r w:rsidRPr="00BD1206">
        <w:rPr>
          <w:rStyle w:val="FootnoteReference"/>
          <w:sz w:val="26"/>
          <w:szCs w:val="26"/>
        </w:rPr>
        <w:footnoteRef/>
      </w:r>
      <w:r w:rsidRPr="00BD1206">
        <w:rPr>
          <w:sz w:val="26"/>
          <w:szCs w:val="26"/>
        </w:rPr>
        <w:t xml:space="preserve"> </w:t>
      </w:r>
      <w:r w:rsidRPr="00BD1206">
        <w:rPr>
          <w:sz w:val="26"/>
          <w:szCs w:val="26"/>
        </w:rPr>
        <w:tab/>
        <w:t>The su</w:t>
      </w:r>
      <w:r w:rsidR="00BD1206">
        <w:rPr>
          <w:sz w:val="26"/>
          <w:szCs w:val="26"/>
        </w:rPr>
        <w:t>pply or commodity charge on the</w:t>
      </w:r>
      <w:r w:rsidRPr="00BD1206">
        <w:rPr>
          <w:sz w:val="26"/>
          <w:szCs w:val="26"/>
        </w:rPr>
        <w:t xml:space="preserve"> February 19, 2014 bill is $85.92, while the </w:t>
      </w:r>
      <w:r w:rsidR="00C56035">
        <w:rPr>
          <w:sz w:val="26"/>
          <w:szCs w:val="26"/>
        </w:rPr>
        <w:t>Distribution Charge</w:t>
      </w:r>
      <w:r w:rsidRPr="00BD1206">
        <w:rPr>
          <w:sz w:val="26"/>
          <w:szCs w:val="26"/>
        </w:rPr>
        <w:t xml:space="preserve"> for the Complainant’s gas usage of 148 ccf at $0.81381 is $120.44.  Complainant Exh</w:t>
      </w:r>
      <w:r w:rsidR="00061705">
        <w:rPr>
          <w:sz w:val="26"/>
          <w:szCs w:val="26"/>
        </w:rPr>
        <w:t>.</w:t>
      </w:r>
      <w:r w:rsidRPr="00BD1206">
        <w:rPr>
          <w:sz w:val="26"/>
          <w:szCs w:val="26"/>
        </w:rPr>
        <w:t xml:space="preserve"> 1. </w:t>
      </w:r>
    </w:p>
  </w:footnote>
  <w:footnote w:id="6">
    <w:p w:rsidR="005C0710" w:rsidRPr="00C9623F" w:rsidRDefault="005C0710" w:rsidP="00085E5A">
      <w:pPr>
        <w:pStyle w:val="FootnoteText"/>
        <w:keepLines/>
        <w:ind w:firstLine="720"/>
        <w:contextualSpacing/>
        <w:rPr>
          <w:sz w:val="26"/>
          <w:szCs w:val="26"/>
        </w:rPr>
      </w:pPr>
      <w:r w:rsidRPr="00C9623F">
        <w:rPr>
          <w:rStyle w:val="FootnoteReference"/>
          <w:sz w:val="26"/>
          <w:szCs w:val="26"/>
        </w:rPr>
        <w:footnoteRef/>
      </w:r>
      <w:r w:rsidRPr="00C9623F">
        <w:rPr>
          <w:sz w:val="26"/>
          <w:szCs w:val="26"/>
        </w:rPr>
        <w:t xml:space="preserve"> </w:t>
      </w:r>
      <w:r w:rsidRPr="00C9623F">
        <w:rPr>
          <w:sz w:val="26"/>
          <w:szCs w:val="26"/>
        </w:rPr>
        <w:tab/>
      </w:r>
      <w:r w:rsidRPr="00C9623F">
        <w:rPr>
          <w:i/>
          <w:sz w:val="26"/>
          <w:szCs w:val="26"/>
        </w:rPr>
        <w:t>See</w:t>
      </w:r>
      <w:r w:rsidRPr="00C9623F">
        <w:rPr>
          <w:sz w:val="26"/>
          <w:szCs w:val="26"/>
        </w:rPr>
        <w:t xml:space="preserve"> </w:t>
      </w:r>
      <w:r w:rsidRPr="00C9623F">
        <w:rPr>
          <w:i/>
          <w:sz w:val="26"/>
          <w:szCs w:val="26"/>
        </w:rPr>
        <w:t xml:space="preserve">Brockway Glass Co. v. Pa. </w:t>
      </w:r>
      <w:r w:rsidR="00061705">
        <w:rPr>
          <w:i/>
          <w:sz w:val="26"/>
          <w:szCs w:val="26"/>
        </w:rPr>
        <w:t>PUC</w:t>
      </w:r>
      <w:r w:rsidRPr="00C9623F">
        <w:rPr>
          <w:sz w:val="26"/>
          <w:szCs w:val="26"/>
        </w:rPr>
        <w:t>, 437 A.2d 1067, 63 Pa.Commw. 238 (1981).</w:t>
      </w:r>
      <w:r w:rsidR="008A5CDB">
        <w:rPr>
          <w:sz w:val="26"/>
          <w:szCs w:val="26"/>
        </w:rPr>
        <w:t xml:space="preserve">  I.D. at 9-10.</w:t>
      </w:r>
    </w:p>
  </w:footnote>
  <w:footnote w:id="7">
    <w:p w:rsidR="005C0710" w:rsidRPr="00D33E6C" w:rsidRDefault="005C0710" w:rsidP="00085E5A">
      <w:pPr>
        <w:pStyle w:val="FootnoteText"/>
        <w:keepLines/>
        <w:ind w:firstLine="720"/>
        <w:contextualSpacing/>
        <w:rPr>
          <w:sz w:val="26"/>
          <w:szCs w:val="26"/>
        </w:rPr>
      </w:pPr>
      <w:r w:rsidRPr="00D33E6C">
        <w:rPr>
          <w:rStyle w:val="FootnoteReference"/>
          <w:sz w:val="26"/>
          <w:szCs w:val="26"/>
        </w:rPr>
        <w:footnoteRef/>
      </w:r>
      <w:r w:rsidRPr="00D33E6C">
        <w:rPr>
          <w:sz w:val="26"/>
          <w:szCs w:val="26"/>
        </w:rPr>
        <w:tab/>
        <w:t xml:space="preserve">PGW calculated the DSIC as </w:t>
      </w:r>
      <w:r w:rsidR="00507321">
        <w:rPr>
          <w:sz w:val="26"/>
          <w:szCs w:val="26"/>
        </w:rPr>
        <w:t xml:space="preserve">follows: DSIC = </w:t>
      </w:r>
      <w:r w:rsidRPr="00D33E6C">
        <w:rPr>
          <w:sz w:val="26"/>
          <w:szCs w:val="26"/>
        </w:rPr>
        <w:t xml:space="preserve">4.34% x $120.44 (the </w:t>
      </w:r>
      <w:r w:rsidR="00C56035">
        <w:rPr>
          <w:sz w:val="26"/>
          <w:szCs w:val="26"/>
        </w:rPr>
        <w:t>Distribution Charge</w:t>
      </w:r>
      <w:r w:rsidRPr="00D33E6C">
        <w:rPr>
          <w:sz w:val="26"/>
          <w:szCs w:val="26"/>
        </w:rPr>
        <w:t xml:space="preserve"> without the DSIC) + 4.34% x $12.00 (customer charge) = $5.23 + $0.52 = $5.75</w:t>
      </w:r>
      <w:r>
        <w:rPr>
          <w:sz w:val="26"/>
          <w:szCs w:val="26"/>
        </w:rPr>
        <w:t xml:space="preserve">  I.D. at</w:t>
      </w:r>
      <w:r w:rsidR="00507321">
        <w:rPr>
          <w:sz w:val="26"/>
          <w:szCs w:val="26"/>
        </w:rPr>
        <w:t> </w:t>
      </w:r>
      <w:r>
        <w:rPr>
          <w:sz w:val="26"/>
          <w:szCs w:val="26"/>
        </w:rPr>
        <w:t>12.</w:t>
      </w:r>
    </w:p>
  </w:footnote>
  <w:footnote w:id="8">
    <w:p w:rsidR="005C0710" w:rsidRPr="00B81C04" w:rsidRDefault="005C0710" w:rsidP="00085E5A">
      <w:pPr>
        <w:pStyle w:val="FootnoteText"/>
        <w:keepLines/>
        <w:ind w:firstLine="720"/>
        <w:contextualSpacing/>
        <w:rPr>
          <w:sz w:val="26"/>
          <w:szCs w:val="26"/>
        </w:rPr>
      </w:pPr>
      <w:r w:rsidRPr="00B81C04">
        <w:rPr>
          <w:rStyle w:val="FootnoteReference"/>
          <w:sz w:val="26"/>
          <w:szCs w:val="26"/>
        </w:rPr>
        <w:footnoteRef/>
      </w:r>
      <w:r w:rsidRPr="00B81C04">
        <w:rPr>
          <w:sz w:val="26"/>
          <w:szCs w:val="26"/>
        </w:rPr>
        <w:tab/>
        <w:t xml:space="preserve">The </w:t>
      </w:r>
      <w:r w:rsidR="00C56035">
        <w:rPr>
          <w:sz w:val="26"/>
          <w:szCs w:val="26"/>
        </w:rPr>
        <w:t>Distribution Charge</w:t>
      </w:r>
      <w:r w:rsidRPr="00B81C04">
        <w:rPr>
          <w:sz w:val="26"/>
          <w:szCs w:val="26"/>
        </w:rPr>
        <w:t xml:space="preserve"> on the February 19, 2014 bill is $120.44 as opposed to </w:t>
      </w:r>
      <w:r>
        <w:rPr>
          <w:sz w:val="26"/>
          <w:szCs w:val="26"/>
        </w:rPr>
        <w:t xml:space="preserve">the </w:t>
      </w:r>
      <w:r w:rsidRPr="00B81C04">
        <w:rPr>
          <w:sz w:val="26"/>
          <w:szCs w:val="26"/>
        </w:rPr>
        <w:t xml:space="preserve">$126.19 stipulated on PGW’s tariff.  The difference </w:t>
      </w:r>
      <w:r>
        <w:rPr>
          <w:sz w:val="26"/>
          <w:szCs w:val="26"/>
        </w:rPr>
        <w:t xml:space="preserve">between the two charges </w:t>
      </w:r>
      <w:r w:rsidRPr="00B81C04">
        <w:rPr>
          <w:sz w:val="26"/>
          <w:szCs w:val="26"/>
        </w:rPr>
        <w:t xml:space="preserve">is $5.75, which is shown as a separate line item </w:t>
      </w:r>
      <w:r>
        <w:rPr>
          <w:sz w:val="26"/>
          <w:szCs w:val="26"/>
        </w:rPr>
        <w:t xml:space="preserve">for DSIC charge </w:t>
      </w:r>
      <w:r w:rsidRPr="00B81C04">
        <w:rPr>
          <w:sz w:val="26"/>
          <w:szCs w:val="26"/>
        </w:rPr>
        <w:t>on the February</w:t>
      </w:r>
      <w:r w:rsidR="00C56035">
        <w:rPr>
          <w:sz w:val="26"/>
          <w:szCs w:val="26"/>
        </w:rPr>
        <w:t> </w:t>
      </w:r>
      <w:r w:rsidRPr="00B81C04">
        <w:rPr>
          <w:sz w:val="26"/>
          <w:szCs w:val="26"/>
        </w:rPr>
        <w:t xml:space="preserve">19, 2014 bill. </w:t>
      </w:r>
    </w:p>
  </w:footnote>
  <w:footnote w:id="9">
    <w:p w:rsidR="005C0710" w:rsidRPr="006D525F" w:rsidRDefault="005C0710" w:rsidP="00085E5A">
      <w:pPr>
        <w:pStyle w:val="FootnoteText"/>
        <w:keepLines/>
        <w:ind w:firstLine="720"/>
        <w:contextualSpacing/>
        <w:rPr>
          <w:sz w:val="26"/>
          <w:szCs w:val="26"/>
        </w:rPr>
      </w:pPr>
      <w:r w:rsidRPr="006D525F">
        <w:rPr>
          <w:rStyle w:val="FootnoteReference"/>
          <w:sz w:val="26"/>
          <w:szCs w:val="26"/>
        </w:rPr>
        <w:footnoteRef/>
      </w:r>
      <w:r w:rsidRPr="006D525F">
        <w:rPr>
          <w:sz w:val="26"/>
          <w:szCs w:val="26"/>
        </w:rPr>
        <w:tab/>
        <w:t xml:space="preserve">The ALJ </w:t>
      </w:r>
      <w:r w:rsidR="008902A8">
        <w:rPr>
          <w:sz w:val="26"/>
          <w:szCs w:val="26"/>
        </w:rPr>
        <w:t xml:space="preserve">noted </w:t>
      </w:r>
      <w:r w:rsidRPr="006D525F">
        <w:rPr>
          <w:sz w:val="26"/>
          <w:szCs w:val="26"/>
        </w:rPr>
        <w:t xml:space="preserve">that the elements of the </w:t>
      </w:r>
      <w:r w:rsidR="00C56035">
        <w:rPr>
          <w:sz w:val="26"/>
          <w:szCs w:val="26"/>
        </w:rPr>
        <w:t>Distribution Charge</w:t>
      </w:r>
      <w:r w:rsidRPr="006D525F">
        <w:rPr>
          <w:sz w:val="26"/>
          <w:szCs w:val="26"/>
        </w:rPr>
        <w:t xml:space="preserve"> were approved in September, October, </w:t>
      </w:r>
      <w:r w:rsidR="00ED4606">
        <w:rPr>
          <w:sz w:val="26"/>
          <w:szCs w:val="26"/>
        </w:rPr>
        <w:t xml:space="preserve">and </w:t>
      </w:r>
      <w:r w:rsidRPr="006D525F">
        <w:rPr>
          <w:sz w:val="26"/>
          <w:szCs w:val="26"/>
        </w:rPr>
        <w:t>December 2013</w:t>
      </w:r>
      <w:r w:rsidR="00ED4606">
        <w:rPr>
          <w:sz w:val="26"/>
          <w:szCs w:val="26"/>
        </w:rPr>
        <w:t>,</w:t>
      </w:r>
      <w:r w:rsidRPr="006D525F">
        <w:rPr>
          <w:sz w:val="26"/>
          <w:szCs w:val="26"/>
        </w:rPr>
        <w:t xml:space="preserve"> and January 2014, </w:t>
      </w:r>
      <w:r w:rsidR="008902A8">
        <w:rPr>
          <w:sz w:val="26"/>
          <w:szCs w:val="26"/>
        </w:rPr>
        <w:t xml:space="preserve">rather than by the </w:t>
      </w:r>
      <w:r w:rsidRPr="006D525F">
        <w:rPr>
          <w:i/>
          <w:sz w:val="26"/>
          <w:szCs w:val="26"/>
        </w:rPr>
        <w:t>June Opinion and Order</w:t>
      </w:r>
      <w:r w:rsidRPr="006D525F">
        <w:rPr>
          <w:sz w:val="26"/>
          <w:szCs w:val="26"/>
        </w:rPr>
        <w:t>.</w:t>
      </w:r>
      <w:r>
        <w:rPr>
          <w:sz w:val="26"/>
          <w:szCs w:val="26"/>
        </w:rPr>
        <w:t xml:space="preserve">  I.D. at 13.</w:t>
      </w:r>
    </w:p>
  </w:footnote>
  <w:footnote w:id="10">
    <w:p w:rsidR="005C0710" w:rsidRPr="00AC1DC9" w:rsidRDefault="005C0710" w:rsidP="00085E5A">
      <w:pPr>
        <w:pStyle w:val="FootnoteText"/>
        <w:keepLines/>
        <w:ind w:firstLine="720"/>
        <w:contextualSpacing/>
        <w:rPr>
          <w:sz w:val="26"/>
          <w:szCs w:val="26"/>
        </w:rPr>
      </w:pPr>
      <w:r w:rsidRPr="00AC1DC9">
        <w:rPr>
          <w:rStyle w:val="FootnoteReference"/>
          <w:sz w:val="26"/>
          <w:szCs w:val="26"/>
        </w:rPr>
        <w:footnoteRef/>
      </w:r>
      <w:r w:rsidRPr="00AC1DC9">
        <w:rPr>
          <w:sz w:val="26"/>
          <w:szCs w:val="26"/>
        </w:rPr>
        <w:t xml:space="preserve"> </w:t>
      </w:r>
      <w:r w:rsidRPr="00AC1DC9">
        <w:rPr>
          <w:sz w:val="26"/>
          <w:szCs w:val="26"/>
        </w:rPr>
        <w:tab/>
      </w:r>
      <w:r w:rsidRPr="00AC1DC9">
        <w:rPr>
          <w:i/>
          <w:sz w:val="26"/>
          <w:szCs w:val="26"/>
        </w:rPr>
        <w:t>See</w:t>
      </w:r>
      <w:r w:rsidRPr="00AC1DC9">
        <w:rPr>
          <w:sz w:val="26"/>
          <w:szCs w:val="26"/>
        </w:rPr>
        <w:t xml:space="preserve"> </w:t>
      </w:r>
      <w:r w:rsidRPr="00AC1DC9">
        <w:rPr>
          <w:i/>
          <w:sz w:val="26"/>
          <w:szCs w:val="26"/>
        </w:rPr>
        <w:t>Ronald A. Meder v. Peoples Natural Gas Co.,</w:t>
      </w:r>
      <w:r w:rsidRPr="00AC1DC9">
        <w:rPr>
          <w:sz w:val="26"/>
          <w:szCs w:val="26"/>
        </w:rPr>
        <w:t xml:space="preserve"> Docket No. F-01620640 (Order entered August 21, 2006), 2006 WL 2472127 (Pa. P.U.C.) </w:t>
      </w:r>
      <w:r w:rsidRPr="00AC1DC9">
        <w:rPr>
          <w:i/>
          <w:sz w:val="26"/>
          <w:szCs w:val="26"/>
        </w:rPr>
        <w:t>and Joseph A. Rosi v. Bell Atlantic-Pennsylvania, Inc.,</w:t>
      </w:r>
      <w:r w:rsidRPr="00AC1DC9">
        <w:rPr>
          <w:sz w:val="26"/>
          <w:szCs w:val="26"/>
        </w:rPr>
        <w:t xml:space="preserve"> Docket No. C-00992409 (Order entered March 16, 2000)</w:t>
      </w:r>
      <w:r>
        <w:rPr>
          <w:sz w:val="26"/>
          <w:szCs w:val="26"/>
        </w:rPr>
        <w:t xml:space="preserve">, 2000 WL 1407936 (Pa. P.U.C.).  I.D. at 15.  </w:t>
      </w:r>
    </w:p>
  </w:footnote>
  <w:footnote w:id="11">
    <w:p w:rsidR="005C0710" w:rsidRPr="00B80D14" w:rsidRDefault="005C0710" w:rsidP="00085E5A">
      <w:pPr>
        <w:pStyle w:val="FootnoteText"/>
        <w:keepLines/>
        <w:ind w:firstLine="720"/>
        <w:contextualSpacing/>
        <w:rPr>
          <w:sz w:val="26"/>
          <w:szCs w:val="26"/>
        </w:rPr>
      </w:pPr>
      <w:r w:rsidRPr="00B80D14">
        <w:rPr>
          <w:rStyle w:val="FootnoteReference"/>
          <w:sz w:val="26"/>
          <w:szCs w:val="26"/>
        </w:rPr>
        <w:footnoteRef/>
      </w:r>
      <w:r w:rsidRPr="00B80D14">
        <w:rPr>
          <w:sz w:val="26"/>
          <w:szCs w:val="26"/>
        </w:rPr>
        <w:t xml:space="preserve"> </w:t>
      </w:r>
      <w:r w:rsidRPr="00B80D14">
        <w:rPr>
          <w:sz w:val="26"/>
          <w:szCs w:val="26"/>
        </w:rPr>
        <w:tab/>
        <w:t>52 Pa.</w:t>
      </w:r>
      <w:r>
        <w:rPr>
          <w:sz w:val="26"/>
          <w:szCs w:val="26"/>
        </w:rPr>
        <w:t xml:space="preserve"> </w:t>
      </w:r>
      <w:r w:rsidRPr="00B80D14">
        <w:rPr>
          <w:sz w:val="26"/>
          <w:szCs w:val="26"/>
        </w:rPr>
        <w:t>Code § 69.1201(a)</w:t>
      </w:r>
      <w:r>
        <w:rPr>
          <w:sz w:val="26"/>
          <w:szCs w:val="26"/>
        </w:rPr>
        <w:t xml:space="preserve"> and </w:t>
      </w:r>
      <w:r w:rsidRPr="00B80D14">
        <w:rPr>
          <w:sz w:val="26"/>
          <w:szCs w:val="26"/>
        </w:rPr>
        <w:t>52 Pa.</w:t>
      </w:r>
      <w:r>
        <w:rPr>
          <w:sz w:val="26"/>
          <w:szCs w:val="26"/>
        </w:rPr>
        <w:t xml:space="preserve"> Code § 69.1201(c</w:t>
      </w:r>
      <w:r w:rsidRPr="00B80D14">
        <w:rPr>
          <w:sz w:val="26"/>
          <w:szCs w:val="26"/>
        </w:rPr>
        <w:t>)</w:t>
      </w:r>
      <w:r>
        <w:rPr>
          <w:sz w:val="26"/>
          <w:szCs w:val="26"/>
        </w:rPr>
        <w:t>.  I.D. at 15-16.</w:t>
      </w:r>
    </w:p>
  </w:footnote>
  <w:footnote w:id="12">
    <w:p w:rsidR="005E3AAF" w:rsidRPr="00FF62FE" w:rsidRDefault="005E3AAF" w:rsidP="005E3AAF">
      <w:pPr>
        <w:pStyle w:val="FootnoteText"/>
        <w:ind w:firstLine="720"/>
        <w:rPr>
          <w:sz w:val="26"/>
          <w:szCs w:val="26"/>
        </w:rPr>
      </w:pPr>
      <w:r w:rsidRPr="00FF62FE">
        <w:rPr>
          <w:rStyle w:val="FootnoteReference"/>
          <w:sz w:val="26"/>
          <w:szCs w:val="26"/>
        </w:rPr>
        <w:footnoteRef/>
      </w:r>
      <w:r w:rsidRPr="00FF62FE">
        <w:rPr>
          <w:sz w:val="26"/>
          <w:szCs w:val="26"/>
        </w:rPr>
        <w:t xml:space="preserve"> </w:t>
      </w:r>
      <w:r w:rsidRPr="00FF62FE">
        <w:rPr>
          <w:sz w:val="26"/>
          <w:szCs w:val="26"/>
        </w:rPr>
        <w:tab/>
        <w:t xml:space="preserve">We note that the page numbers on PGW’s Exceptions </w:t>
      </w:r>
      <w:r w:rsidR="00FF62FE" w:rsidRPr="00FF62FE">
        <w:rPr>
          <w:sz w:val="26"/>
          <w:szCs w:val="26"/>
        </w:rPr>
        <w:t>starting from page 3</w:t>
      </w:r>
      <w:r w:rsidRPr="00FF62FE">
        <w:rPr>
          <w:sz w:val="26"/>
          <w:szCs w:val="26"/>
        </w:rPr>
        <w:t xml:space="preserve"> are inaccurate (page 2</w:t>
      </w:r>
      <w:r w:rsidR="00FF62FE" w:rsidRPr="00FF62FE">
        <w:rPr>
          <w:sz w:val="26"/>
          <w:szCs w:val="26"/>
        </w:rPr>
        <w:t xml:space="preserve"> and 3 are both numbered page 2).  Hence, PGW’s Exceptions on page 2</w:t>
      </w:r>
      <w:r w:rsidRPr="00FF62FE">
        <w:rPr>
          <w:sz w:val="26"/>
          <w:szCs w:val="26"/>
        </w:rPr>
        <w:t xml:space="preserve"> should have been numbered page 3, and page 3 should have been page 4, and so forth).  However, we have decid</w:t>
      </w:r>
      <w:r w:rsidR="00FF62FE" w:rsidRPr="00FF62FE">
        <w:rPr>
          <w:sz w:val="26"/>
          <w:szCs w:val="26"/>
        </w:rPr>
        <w:t>ed to cite the page numbers</w:t>
      </w:r>
      <w:r w:rsidRPr="00FF62FE">
        <w:rPr>
          <w:sz w:val="26"/>
          <w:szCs w:val="26"/>
        </w:rPr>
        <w:t xml:space="preserve"> </w:t>
      </w:r>
      <w:r w:rsidR="00FF62FE" w:rsidRPr="00FF62FE">
        <w:rPr>
          <w:sz w:val="26"/>
          <w:szCs w:val="26"/>
        </w:rPr>
        <w:t>as reflected in the Exceptions to avoid any potential confusion.</w:t>
      </w:r>
    </w:p>
  </w:footnote>
  <w:footnote w:id="13">
    <w:p w:rsidR="005C0710" w:rsidRPr="00934119" w:rsidRDefault="005C0710" w:rsidP="00085E5A">
      <w:pPr>
        <w:pStyle w:val="FootnoteText"/>
        <w:keepLines/>
        <w:ind w:firstLine="720"/>
        <w:contextualSpacing/>
        <w:rPr>
          <w:sz w:val="26"/>
          <w:szCs w:val="26"/>
        </w:rPr>
      </w:pPr>
      <w:r w:rsidRPr="00934119">
        <w:rPr>
          <w:rStyle w:val="FootnoteReference"/>
          <w:sz w:val="26"/>
          <w:szCs w:val="26"/>
        </w:rPr>
        <w:footnoteRef/>
      </w:r>
      <w:r w:rsidRPr="00934119">
        <w:rPr>
          <w:sz w:val="26"/>
          <w:szCs w:val="26"/>
        </w:rPr>
        <w:t xml:space="preserve"> </w:t>
      </w:r>
      <w:r w:rsidRPr="00934119">
        <w:rPr>
          <w:sz w:val="26"/>
          <w:szCs w:val="26"/>
        </w:rPr>
        <w:tab/>
      </w:r>
      <w:r w:rsidRPr="00D500D9">
        <w:rPr>
          <w:i/>
          <w:sz w:val="26"/>
          <w:szCs w:val="26"/>
        </w:rPr>
        <w:t>See,</w:t>
      </w:r>
      <w:r>
        <w:rPr>
          <w:sz w:val="26"/>
          <w:szCs w:val="26"/>
        </w:rPr>
        <w:t xml:space="preserve"> </w:t>
      </w:r>
      <w:r w:rsidRPr="00934119">
        <w:rPr>
          <w:sz w:val="26"/>
          <w:szCs w:val="26"/>
        </w:rPr>
        <w:t xml:space="preserve">Supplement No. 70 to </w:t>
      </w:r>
      <w:r>
        <w:rPr>
          <w:sz w:val="26"/>
          <w:szCs w:val="26"/>
        </w:rPr>
        <w:t xml:space="preserve">PGW’s </w:t>
      </w:r>
      <w:r w:rsidRPr="00934119">
        <w:rPr>
          <w:sz w:val="26"/>
          <w:szCs w:val="26"/>
        </w:rPr>
        <w:t>Gas Service Tariff – Pa. P</w:t>
      </w:r>
      <w:r>
        <w:rPr>
          <w:sz w:val="26"/>
          <w:szCs w:val="26"/>
        </w:rPr>
        <w:t>.U.C. No. 2, effective January 1, 2014, at 151</w:t>
      </w:r>
      <w:r w:rsidRPr="00934119">
        <w:rPr>
          <w:sz w:val="26"/>
          <w:szCs w:val="26"/>
        </w:rPr>
        <w:t xml:space="preserve">, </w:t>
      </w:r>
      <w:r w:rsidRPr="00E971A1">
        <w:rPr>
          <w:i/>
          <w:sz w:val="26"/>
          <w:szCs w:val="26"/>
        </w:rPr>
        <w:t>(PGW Supplement No. 70)</w:t>
      </w:r>
      <w:r>
        <w:rPr>
          <w:sz w:val="26"/>
          <w:szCs w:val="26"/>
        </w:rPr>
        <w:t xml:space="preserve">, </w:t>
      </w:r>
      <w:r w:rsidRPr="00934119">
        <w:rPr>
          <w:sz w:val="26"/>
          <w:szCs w:val="26"/>
        </w:rPr>
        <w:t>PGW Exhibit 5 Revis</w:t>
      </w:r>
      <w:r>
        <w:rPr>
          <w:sz w:val="26"/>
          <w:szCs w:val="26"/>
        </w:rPr>
        <w:t xml:space="preserve">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F7E5F"/>
    <w:multiLevelType w:val="hybridMultilevel"/>
    <w:tmpl w:val="6C6A8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E375F5D"/>
    <w:multiLevelType w:val="hybridMultilevel"/>
    <w:tmpl w:val="025E3AE0"/>
    <w:lvl w:ilvl="0" w:tplc="198425AE">
      <w:start w:val="1"/>
      <w:numFmt w:val="decimal"/>
      <w:lvlText w:val="(%1)"/>
      <w:lvlJc w:val="left"/>
      <w:pPr>
        <w:ind w:left="1710" w:hanging="360"/>
      </w:pPr>
      <w:rPr>
        <w:i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7">
    <w:nsid w:val="7A527FC2"/>
    <w:multiLevelType w:val="hybridMultilevel"/>
    <w:tmpl w:val="C980C198"/>
    <w:lvl w:ilvl="0" w:tplc="32F69646">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4"/>
    <w:rsid w:val="00000D47"/>
    <w:rsid w:val="0000153D"/>
    <w:rsid w:val="00001FC8"/>
    <w:rsid w:val="000029F2"/>
    <w:rsid w:val="00003C1D"/>
    <w:rsid w:val="00004097"/>
    <w:rsid w:val="00004822"/>
    <w:rsid w:val="00004D03"/>
    <w:rsid w:val="00005318"/>
    <w:rsid w:val="00006577"/>
    <w:rsid w:val="000065FB"/>
    <w:rsid w:val="00006685"/>
    <w:rsid w:val="00006A65"/>
    <w:rsid w:val="00006AB6"/>
    <w:rsid w:val="00006F35"/>
    <w:rsid w:val="00006FEE"/>
    <w:rsid w:val="0000721A"/>
    <w:rsid w:val="00007630"/>
    <w:rsid w:val="00007813"/>
    <w:rsid w:val="00007AF7"/>
    <w:rsid w:val="00007ECA"/>
    <w:rsid w:val="00007F16"/>
    <w:rsid w:val="00012162"/>
    <w:rsid w:val="00013358"/>
    <w:rsid w:val="00014E95"/>
    <w:rsid w:val="000166CB"/>
    <w:rsid w:val="00016D57"/>
    <w:rsid w:val="00017852"/>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B81"/>
    <w:rsid w:val="00030F6D"/>
    <w:rsid w:val="00031201"/>
    <w:rsid w:val="00033512"/>
    <w:rsid w:val="000335B5"/>
    <w:rsid w:val="000338FE"/>
    <w:rsid w:val="00033D2F"/>
    <w:rsid w:val="0003481E"/>
    <w:rsid w:val="00034C94"/>
    <w:rsid w:val="00034FAE"/>
    <w:rsid w:val="000359E1"/>
    <w:rsid w:val="00035A3B"/>
    <w:rsid w:val="00037341"/>
    <w:rsid w:val="00037FC0"/>
    <w:rsid w:val="00040A8E"/>
    <w:rsid w:val="00040AEA"/>
    <w:rsid w:val="00043968"/>
    <w:rsid w:val="000441C7"/>
    <w:rsid w:val="00044CDF"/>
    <w:rsid w:val="00045363"/>
    <w:rsid w:val="000453AF"/>
    <w:rsid w:val="00045800"/>
    <w:rsid w:val="00045AE7"/>
    <w:rsid w:val="0004710C"/>
    <w:rsid w:val="00047874"/>
    <w:rsid w:val="00047F4A"/>
    <w:rsid w:val="000510F8"/>
    <w:rsid w:val="0005113F"/>
    <w:rsid w:val="000523D1"/>
    <w:rsid w:val="00052B8F"/>
    <w:rsid w:val="0005346D"/>
    <w:rsid w:val="000536BC"/>
    <w:rsid w:val="00054612"/>
    <w:rsid w:val="0005572E"/>
    <w:rsid w:val="00055CAD"/>
    <w:rsid w:val="00056286"/>
    <w:rsid w:val="000577B6"/>
    <w:rsid w:val="00057F7A"/>
    <w:rsid w:val="00060ADE"/>
    <w:rsid w:val="000612FD"/>
    <w:rsid w:val="00061705"/>
    <w:rsid w:val="00062001"/>
    <w:rsid w:val="000623C6"/>
    <w:rsid w:val="00062B37"/>
    <w:rsid w:val="0006356A"/>
    <w:rsid w:val="00063B60"/>
    <w:rsid w:val="000642AA"/>
    <w:rsid w:val="000649EC"/>
    <w:rsid w:val="00065D0D"/>
    <w:rsid w:val="00066261"/>
    <w:rsid w:val="00066960"/>
    <w:rsid w:val="00066EE5"/>
    <w:rsid w:val="0006709B"/>
    <w:rsid w:val="00067260"/>
    <w:rsid w:val="000715E8"/>
    <w:rsid w:val="0007209F"/>
    <w:rsid w:val="00072808"/>
    <w:rsid w:val="00072B4E"/>
    <w:rsid w:val="00072C4A"/>
    <w:rsid w:val="0007521D"/>
    <w:rsid w:val="000753F6"/>
    <w:rsid w:val="00076F35"/>
    <w:rsid w:val="00081416"/>
    <w:rsid w:val="00081672"/>
    <w:rsid w:val="00083125"/>
    <w:rsid w:val="000833F3"/>
    <w:rsid w:val="0008379F"/>
    <w:rsid w:val="00084573"/>
    <w:rsid w:val="00084891"/>
    <w:rsid w:val="0008490E"/>
    <w:rsid w:val="00084AF9"/>
    <w:rsid w:val="00085513"/>
    <w:rsid w:val="00085B98"/>
    <w:rsid w:val="00085E5A"/>
    <w:rsid w:val="00085E78"/>
    <w:rsid w:val="00086143"/>
    <w:rsid w:val="00087299"/>
    <w:rsid w:val="000878C9"/>
    <w:rsid w:val="000918D4"/>
    <w:rsid w:val="00093164"/>
    <w:rsid w:val="00094851"/>
    <w:rsid w:val="00094AD6"/>
    <w:rsid w:val="00095980"/>
    <w:rsid w:val="0009612D"/>
    <w:rsid w:val="00096F08"/>
    <w:rsid w:val="00097504"/>
    <w:rsid w:val="000A013F"/>
    <w:rsid w:val="000A04E4"/>
    <w:rsid w:val="000A06E0"/>
    <w:rsid w:val="000A1358"/>
    <w:rsid w:val="000A35C0"/>
    <w:rsid w:val="000A365D"/>
    <w:rsid w:val="000A443E"/>
    <w:rsid w:val="000A4C4F"/>
    <w:rsid w:val="000A76C2"/>
    <w:rsid w:val="000B216D"/>
    <w:rsid w:val="000B2755"/>
    <w:rsid w:val="000B27BD"/>
    <w:rsid w:val="000B363C"/>
    <w:rsid w:val="000B38B3"/>
    <w:rsid w:val="000B41CC"/>
    <w:rsid w:val="000B4EAE"/>
    <w:rsid w:val="000B5206"/>
    <w:rsid w:val="000B5238"/>
    <w:rsid w:val="000B607A"/>
    <w:rsid w:val="000B6B15"/>
    <w:rsid w:val="000B72CF"/>
    <w:rsid w:val="000B7419"/>
    <w:rsid w:val="000C07BC"/>
    <w:rsid w:val="000C083D"/>
    <w:rsid w:val="000C0B2C"/>
    <w:rsid w:val="000C0DC3"/>
    <w:rsid w:val="000C1A75"/>
    <w:rsid w:val="000C2AE3"/>
    <w:rsid w:val="000C31E4"/>
    <w:rsid w:val="000C398A"/>
    <w:rsid w:val="000C55FE"/>
    <w:rsid w:val="000C5927"/>
    <w:rsid w:val="000C67F5"/>
    <w:rsid w:val="000C709A"/>
    <w:rsid w:val="000C7255"/>
    <w:rsid w:val="000C7D21"/>
    <w:rsid w:val="000D008C"/>
    <w:rsid w:val="000D01E0"/>
    <w:rsid w:val="000D02FE"/>
    <w:rsid w:val="000D0A77"/>
    <w:rsid w:val="000D0BA5"/>
    <w:rsid w:val="000D2612"/>
    <w:rsid w:val="000D29C8"/>
    <w:rsid w:val="000D3742"/>
    <w:rsid w:val="000D3B0E"/>
    <w:rsid w:val="000D3CAA"/>
    <w:rsid w:val="000D3E1C"/>
    <w:rsid w:val="000D4A7B"/>
    <w:rsid w:val="000D4B93"/>
    <w:rsid w:val="000D5306"/>
    <w:rsid w:val="000D65F2"/>
    <w:rsid w:val="000D6CC9"/>
    <w:rsid w:val="000D6E1E"/>
    <w:rsid w:val="000E0295"/>
    <w:rsid w:val="000E0395"/>
    <w:rsid w:val="000E152A"/>
    <w:rsid w:val="000E2AF5"/>
    <w:rsid w:val="000E563C"/>
    <w:rsid w:val="000E5778"/>
    <w:rsid w:val="000E6DC6"/>
    <w:rsid w:val="000E75FD"/>
    <w:rsid w:val="000E7B10"/>
    <w:rsid w:val="000E7C8C"/>
    <w:rsid w:val="000F179E"/>
    <w:rsid w:val="000F1DC2"/>
    <w:rsid w:val="000F255C"/>
    <w:rsid w:val="000F27FE"/>
    <w:rsid w:val="000F2DE3"/>
    <w:rsid w:val="000F4307"/>
    <w:rsid w:val="000F4A97"/>
    <w:rsid w:val="000F55F7"/>
    <w:rsid w:val="000F7B08"/>
    <w:rsid w:val="001006A8"/>
    <w:rsid w:val="00100A7C"/>
    <w:rsid w:val="00100F06"/>
    <w:rsid w:val="001012C7"/>
    <w:rsid w:val="0010137C"/>
    <w:rsid w:val="00101387"/>
    <w:rsid w:val="0010147F"/>
    <w:rsid w:val="0010158F"/>
    <w:rsid w:val="001017F6"/>
    <w:rsid w:val="00101F51"/>
    <w:rsid w:val="00101F7F"/>
    <w:rsid w:val="001026CA"/>
    <w:rsid w:val="00102E71"/>
    <w:rsid w:val="00103218"/>
    <w:rsid w:val="00103242"/>
    <w:rsid w:val="001035AF"/>
    <w:rsid w:val="00103797"/>
    <w:rsid w:val="00103ACC"/>
    <w:rsid w:val="0010425F"/>
    <w:rsid w:val="00104D61"/>
    <w:rsid w:val="00104D9B"/>
    <w:rsid w:val="00105C8E"/>
    <w:rsid w:val="001062CD"/>
    <w:rsid w:val="00106312"/>
    <w:rsid w:val="001072E3"/>
    <w:rsid w:val="00107388"/>
    <w:rsid w:val="001106DA"/>
    <w:rsid w:val="001129F3"/>
    <w:rsid w:val="00112E9E"/>
    <w:rsid w:val="00112FDA"/>
    <w:rsid w:val="001138D3"/>
    <w:rsid w:val="00114656"/>
    <w:rsid w:val="0011565D"/>
    <w:rsid w:val="00115B4A"/>
    <w:rsid w:val="00115EF5"/>
    <w:rsid w:val="0011757D"/>
    <w:rsid w:val="00117A05"/>
    <w:rsid w:val="00117CB2"/>
    <w:rsid w:val="00120B39"/>
    <w:rsid w:val="00120B8F"/>
    <w:rsid w:val="00120C0D"/>
    <w:rsid w:val="00120CC2"/>
    <w:rsid w:val="00120D10"/>
    <w:rsid w:val="00121167"/>
    <w:rsid w:val="00122BA4"/>
    <w:rsid w:val="0012370F"/>
    <w:rsid w:val="001238E5"/>
    <w:rsid w:val="001239CD"/>
    <w:rsid w:val="00123A2E"/>
    <w:rsid w:val="00124071"/>
    <w:rsid w:val="00124ED6"/>
    <w:rsid w:val="00125056"/>
    <w:rsid w:val="001253FB"/>
    <w:rsid w:val="00125EB4"/>
    <w:rsid w:val="001266DB"/>
    <w:rsid w:val="001267D4"/>
    <w:rsid w:val="0012696F"/>
    <w:rsid w:val="00126D31"/>
    <w:rsid w:val="00127062"/>
    <w:rsid w:val="001303B4"/>
    <w:rsid w:val="0013269E"/>
    <w:rsid w:val="001332E5"/>
    <w:rsid w:val="00134395"/>
    <w:rsid w:val="00135972"/>
    <w:rsid w:val="001360FC"/>
    <w:rsid w:val="001400A9"/>
    <w:rsid w:val="0014096A"/>
    <w:rsid w:val="001414CD"/>
    <w:rsid w:val="00141A63"/>
    <w:rsid w:val="00142CF7"/>
    <w:rsid w:val="00142E02"/>
    <w:rsid w:val="001447A0"/>
    <w:rsid w:val="0014497F"/>
    <w:rsid w:val="00144F43"/>
    <w:rsid w:val="00145197"/>
    <w:rsid w:val="00145B1F"/>
    <w:rsid w:val="00146DDD"/>
    <w:rsid w:val="00146E58"/>
    <w:rsid w:val="00147145"/>
    <w:rsid w:val="001476D4"/>
    <w:rsid w:val="001477A0"/>
    <w:rsid w:val="00150096"/>
    <w:rsid w:val="001508E4"/>
    <w:rsid w:val="001515A8"/>
    <w:rsid w:val="001526C2"/>
    <w:rsid w:val="00152DFB"/>
    <w:rsid w:val="0015380A"/>
    <w:rsid w:val="00153A46"/>
    <w:rsid w:val="00153AA8"/>
    <w:rsid w:val="001542D1"/>
    <w:rsid w:val="00154CB6"/>
    <w:rsid w:val="00156329"/>
    <w:rsid w:val="001564E8"/>
    <w:rsid w:val="001568FD"/>
    <w:rsid w:val="001629AF"/>
    <w:rsid w:val="00162F21"/>
    <w:rsid w:val="00163D79"/>
    <w:rsid w:val="001645C9"/>
    <w:rsid w:val="00164D32"/>
    <w:rsid w:val="00164DA4"/>
    <w:rsid w:val="00166298"/>
    <w:rsid w:val="001663C8"/>
    <w:rsid w:val="00167CF6"/>
    <w:rsid w:val="00171F3E"/>
    <w:rsid w:val="00171F88"/>
    <w:rsid w:val="0017211B"/>
    <w:rsid w:val="001728FC"/>
    <w:rsid w:val="00172A96"/>
    <w:rsid w:val="00172AB2"/>
    <w:rsid w:val="00174A09"/>
    <w:rsid w:val="00174D3D"/>
    <w:rsid w:val="00174E3F"/>
    <w:rsid w:val="001754D7"/>
    <w:rsid w:val="0017563E"/>
    <w:rsid w:val="00175FA8"/>
    <w:rsid w:val="0017682B"/>
    <w:rsid w:val="00177F78"/>
    <w:rsid w:val="00181222"/>
    <w:rsid w:val="00181696"/>
    <w:rsid w:val="00181B19"/>
    <w:rsid w:val="00182478"/>
    <w:rsid w:val="00182607"/>
    <w:rsid w:val="0018274A"/>
    <w:rsid w:val="001831AC"/>
    <w:rsid w:val="001845F3"/>
    <w:rsid w:val="0018480F"/>
    <w:rsid w:val="0018583E"/>
    <w:rsid w:val="00185B0D"/>
    <w:rsid w:val="00186A97"/>
    <w:rsid w:val="00187930"/>
    <w:rsid w:val="00190992"/>
    <w:rsid w:val="00191763"/>
    <w:rsid w:val="00191CD5"/>
    <w:rsid w:val="00191F65"/>
    <w:rsid w:val="00192155"/>
    <w:rsid w:val="00193757"/>
    <w:rsid w:val="00193E64"/>
    <w:rsid w:val="001946AC"/>
    <w:rsid w:val="00194940"/>
    <w:rsid w:val="00194E02"/>
    <w:rsid w:val="0019530E"/>
    <w:rsid w:val="00195C58"/>
    <w:rsid w:val="00195D34"/>
    <w:rsid w:val="00195F2E"/>
    <w:rsid w:val="00195F83"/>
    <w:rsid w:val="00196538"/>
    <w:rsid w:val="00196CCA"/>
    <w:rsid w:val="001A0219"/>
    <w:rsid w:val="001A16F3"/>
    <w:rsid w:val="001A280F"/>
    <w:rsid w:val="001A4982"/>
    <w:rsid w:val="001A4A8A"/>
    <w:rsid w:val="001A61B5"/>
    <w:rsid w:val="001A6A04"/>
    <w:rsid w:val="001B0C7B"/>
    <w:rsid w:val="001B1151"/>
    <w:rsid w:val="001B1DB4"/>
    <w:rsid w:val="001B2603"/>
    <w:rsid w:val="001B5865"/>
    <w:rsid w:val="001B59F0"/>
    <w:rsid w:val="001C0809"/>
    <w:rsid w:val="001C0ACD"/>
    <w:rsid w:val="001C1183"/>
    <w:rsid w:val="001C195A"/>
    <w:rsid w:val="001C1F06"/>
    <w:rsid w:val="001C2AEB"/>
    <w:rsid w:val="001C4978"/>
    <w:rsid w:val="001C5E5D"/>
    <w:rsid w:val="001C7AAE"/>
    <w:rsid w:val="001D0ED2"/>
    <w:rsid w:val="001D1D6B"/>
    <w:rsid w:val="001D25F3"/>
    <w:rsid w:val="001D3548"/>
    <w:rsid w:val="001D3751"/>
    <w:rsid w:val="001D38E9"/>
    <w:rsid w:val="001D3B01"/>
    <w:rsid w:val="001D4BB5"/>
    <w:rsid w:val="001D537B"/>
    <w:rsid w:val="001D5E37"/>
    <w:rsid w:val="001D6778"/>
    <w:rsid w:val="001D69F4"/>
    <w:rsid w:val="001E0A39"/>
    <w:rsid w:val="001E0B61"/>
    <w:rsid w:val="001E1276"/>
    <w:rsid w:val="001E1FD6"/>
    <w:rsid w:val="001E2949"/>
    <w:rsid w:val="001E44A3"/>
    <w:rsid w:val="001E5286"/>
    <w:rsid w:val="001E60EE"/>
    <w:rsid w:val="001E6734"/>
    <w:rsid w:val="001E6885"/>
    <w:rsid w:val="001F0509"/>
    <w:rsid w:val="001F0E63"/>
    <w:rsid w:val="001F12C4"/>
    <w:rsid w:val="001F22FA"/>
    <w:rsid w:val="001F285E"/>
    <w:rsid w:val="001F2D64"/>
    <w:rsid w:val="001F3812"/>
    <w:rsid w:val="001F3F2F"/>
    <w:rsid w:val="001F43D6"/>
    <w:rsid w:val="001F4BCA"/>
    <w:rsid w:val="001F67C2"/>
    <w:rsid w:val="001F7A7F"/>
    <w:rsid w:val="0020016F"/>
    <w:rsid w:val="00200AE5"/>
    <w:rsid w:val="0020136C"/>
    <w:rsid w:val="002013DB"/>
    <w:rsid w:val="00201748"/>
    <w:rsid w:val="00202524"/>
    <w:rsid w:val="0020271B"/>
    <w:rsid w:val="00202A4F"/>
    <w:rsid w:val="00202B57"/>
    <w:rsid w:val="00203F94"/>
    <w:rsid w:val="00205122"/>
    <w:rsid w:val="0020580B"/>
    <w:rsid w:val="0020644D"/>
    <w:rsid w:val="00206592"/>
    <w:rsid w:val="00207A51"/>
    <w:rsid w:val="00210736"/>
    <w:rsid w:val="00210F81"/>
    <w:rsid w:val="00211622"/>
    <w:rsid w:val="00211BB7"/>
    <w:rsid w:val="002127D0"/>
    <w:rsid w:val="00212BA2"/>
    <w:rsid w:val="00213266"/>
    <w:rsid w:val="00213C5D"/>
    <w:rsid w:val="00214A5C"/>
    <w:rsid w:val="00214B3E"/>
    <w:rsid w:val="00214E5F"/>
    <w:rsid w:val="00215C08"/>
    <w:rsid w:val="0021693E"/>
    <w:rsid w:val="0021698B"/>
    <w:rsid w:val="00216A86"/>
    <w:rsid w:val="0022004A"/>
    <w:rsid w:val="0022075D"/>
    <w:rsid w:val="00221533"/>
    <w:rsid w:val="00221BF0"/>
    <w:rsid w:val="00221F1A"/>
    <w:rsid w:val="002224A0"/>
    <w:rsid w:val="00223CCB"/>
    <w:rsid w:val="00223CD5"/>
    <w:rsid w:val="00223F5F"/>
    <w:rsid w:val="002265E2"/>
    <w:rsid w:val="0022698E"/>
    <w:rsid w:val="002276B4"/>
    <w:rsid w:val="00227912"/>
    <w:rsid w:val="002305D8"/>
    <w:rsid w:val="002311C3"/>
    <w:rsid w:val="002311EE"/>
    <w:rsid w:val="00231FCD"/>
    <w:rsid w:val="00233488"/>
    <w:rsid w:val="00233A1F"/>
    <w:rsid w:val="00233C05"/>
    <w:rsid w:val="002341BF"/>
    <w:rsid w:val="00235670"/>
    <w:rsid w:val="002370F5"/>
    <w:rsid w:val="002372B8"/>
    <w:rsid w:val="00237E48"/>
    <w:rsid w:val="0024007E"/>
    <w:rsid w:val="0024088A"/>
    <w:rsid w:val="00240ACA"/>
    <w:rsid w:val="00240D7B"/>
    <w:rsid w:val="00241299"/>
    <w:rsid w:val="002418C7"/>
    <w:rsid w:val="00242B89"/>
    <w:rsid w:val="00242D76"/>
    <w:rsid w:val="0024399A"/>
    <w:rsid w:val="00244EBA"/>
    <w:rsid w:val="00246C59"/>
    <w:rsid w:val="00250A1F"/>
    <w:rsid w:val="0025157C"/>
    <w:rsid w:val="00251918"/>
    <w:rsid w:val="00252C91"/>
    <w:rsid w:val="002537EF"/>
    <w:rsid w:val="00254995"/>
    <w:rsid w:val="00255462"/>
    <w:rsid w:val="00256233"/>
    <w:rsid w:val="0025655C"/>
    <w:rsid w:val="00256BA9"/>
    <w:rsid w:val="00257D32"/>
    <w:rsid w:val="00260957"/>
    <w:rsid w:val="00262D9F"/>
    <w:rsid w:val="00264053"/>
    <w:rsid w:val="002643F9"/>
    <w:rsid w:val="00264646"/>
    <w:rsid w:val="0026468B"/>
    <w:rsid w:val="0026524D"/>
    <w:rsid w:val="002663C7"/>
    <w:rsid w:val="00266D46"/>
    <w:rsid w:val="00267188"/>
    <w:rsid w:val="00267B63"/>
    <w:rsid w:val="00270455"/>
    <w:rsid w:val="00270DFB"/>
    <w:rsid w:val="00271BBD"/>
    <w:rsid w:val="0027215A"/>
    <w:rsid w:val="0027232D"/>
    <w:rsid w:val="00272BD5"/>
    <w:rsid w:val="00274D0F"/>
    <w:rsid w:val="00275037"/>
    <w:rsid w:val="00275970"/>
    <w:rsid w:val="002773BA"/>
    <w:rsid w:val="00277500"/>
    <w:rsid w:val="00277BF4"/>
    <w:rsid w:val="0028125E"/>
    <w:rsid w:val="002814D2"/>
    <w:rsid w:val="002818FA"/>
    <w:rsid w:val="00281A5F"/>
    <w:rsid w:val="00282312"/>
    <w:rsid w:val="00283539"/>
    <w:rsid w:val="00285073"/>
    <w:rsid w:val="002859FB"/>
    <w:rsid w:val="00285A8E"/>
    <w:rsid w:val="0028663C"/>
    <w:rsid w:val="0028701F"/>
    <w:rsid w:val="00287681"/>
    <w:rsid w:val="00287EF7"/>
    <w:rsid w:val="00291F2F"/>
    <w:rsid w:val="00291F68"/>
    <w:rsid w:val="0029235E"/>
    <w:rsid w:val="002934F7"/>
    <w:rsid w:val="00293E65"/>
    <w:rsid w:val="00294BD5"/>
    <w:rsid w:val="00295B44"/>
    <w:rsid w:val="0029672A"/>
    <w:rsid w:val="00296998"/>
    <w:rsid w:val="00297B94"/>
    <w:rsid w:val="002A060A"/>
    <w:rsid w:val="002A2BEB"/>
    <w:rsid w:val="002A4450"/>
    <w:rsid w:val="002A4485"/>
    <w:rsid w:val="002A555B"/>
    <w:rsid w:val="002A60F1"/>
    <w:rsid w:val="002A6750"/>
    <w:rsid w:val="002B11AA"/>
    <w:rsid w:val="002B2296"/>
    <w:rsid w:val="002B28A9"/>
    <w:rsid w:val="002B2BD7"/>
    <w:rsid w:val="002B3040"/>
    <w:rsid w:val="002B333B"/>
    <w:rsid w:val="002B4407"/>
    <w:rsid w:val="002B4E21"/>
    <w:rsid w:val="002B5411"/>
    <w:rsid w:val="002B67B7"/>
    <w:rsid w:val="002B75A1"/>
    <w:rsid w:val="002C0429"/>
    <w:rsid w:val="002C16BE"/>
    <w:rsid w:val="002C19E4"/>
    <w:rsid w:val="002C1CCB"/>
    <w:rsid w:val="002C257A"/>
    <w:rsid w:val="002C3676"/>
    <w:rsid w:val="002C3C98"/>
    <w:rsid w:val="002C4049"/>
    <w:rsid w:val="002C4494"/>
    <w:rsid w:val="002C6CC4"/>
    <w:rsid w:val="002C7166"/>
    <w:rsid w:val="002C7582"/>
    <w:rsid w:val="002D03EC"/>
    <w:rsid w:val="002D0B97"/>
    <w:rsid w:val="002D13C4"/>
    <w:rsid w:val="002D142A"/>
    <w:rsid w:val="002D1791"/>
    <w:rsid w:val="002D275E"/>
    <w:rsid w:val="002D2A1D"/>
    <w:rsid w:val="002D2B52"/>
    <w:rsid w:val="002D30D6"/>
    <w:rsid w:val="002D313F"/>
    <w:rsid w:val="002D4B6E"/>
    <w:rsid w:val="002D4C3C"/>
    <w:rsid w:val="002D5320"/>
    <w:rsid w:val="002D6357"/>
    <w:rsid w:val="002D68D2"/>
    <w:rsid w:val="002D71B4"/>
    <w:rsid w:val="002D71CD"/>
    <w:rsid w:val="002D7584"/>
    <w:rsid w:val="002D7925"/>
    <w:rsid w:val="002D7A10"/>
    <w:rsid w:val="002E01A0"/>
    <w:rsid w:val="002E039A"/>
    <w:rsid w:val="002E0A68"/>
    <w:rsid w:val="002E0FA9"/>
    <w:rsid w:val="002E10BB"/>
    <w:rsid w:val="002E2BE4"/>
    <w:rsid w:val="002E3026"/>
    <w:rsid w:val="002E3598"/>
    <w:rsid w:val="002E3F06"/>
    <w:rsid w:val="002E48BF"/>
    <w:rsid w:val="002E4A4B"/>
    <w:rsid w:val="002E4F56"/>
    <w:rsid w:val="002E506E"/>
    <w:rsid w:val="002E5839"/>
    <w:rsid w:val="002E64EB"/>
    <w:rsid w:val="002E6FFA"/>
    <w:rsid w:val="002E7798"/>
    <w:rsid w:val="002E7BAB"/>
    <w:rsid w:val="002E7F8F"/>
    <w:rsid w:val="002F0C5B"/>
    <w:rsid w:val="002F112F"/>
    <w:rsid w:val="002F1A77"/>
    <w:rsid w:val="002F24F7"/>
    <w:rsid w:val="002F3F04"/>
    <w:rsid w:val="002F41BA"/>
    <w:rsid w:val="002F5637"/>
    <w:rsid w:val="002F662D"/>
    <w:rsid w:val="002F6881"/>
    <w:rsid w:val="002F7249"/>
    <w:rsid w:val="002F750E"/>
    <w:rsid w:val="00300AD2"/>
    <w:rsid w:val="00300C05"/>
    <w:rsid w:val="00300C2E"/>
    <w:rsid w:val="003012E7"/>
    <w:rsid w:val="003018AA"/>
    <w:rsid w:val="00302D56"/>
    <w:rsid w:val="00303197"/>
    <w:rsid w:val="00303B99"/>
    <w:rsid w:val="00305057"/>
    <w:rsid w:val="0030714F"/>
    <w:rsid w:val="003073E2"/>
    <w:rsid w:val="00307DDF"/>
    <w:rsid w:val="003103D6"/>
    <w:rsid w:val="00310F51"/>
    <w:rsid w:val="00311378"/>
    <w:rsid w:val="003134B2"/>
    <w:rsid w:val="00313706"/>
    <w:rsid w:val="003141F1"/>
    <w:rsid w:val="0031463E"/>
    <w:rsid w:val="00314A43"/>
    <w:rsid w:val="00315102"/>
    <w:rsid w:val="0031578C"/>
    <w:rsid w:val="003159E5"/>
    <w:rsid w:val="00315A0E"/>
    <w:rsid w:val="003169F2"/>
    <w:rsid w:val="00320FE4"/>
    <w:rsid w:val="00322040"/>
    <w:rsid w:val="003228F9"/>
    <w:rsid w:val="003229AB"/>
    <w:rsid w:val="00323EAB"/>
    <w:rsid w:val="003240B8"/>
    <w:rsid w:val="003247AF"/>
    <w:rsid w:val="00324AE2"/>
    <w:rsid w:val="00325422"/>
    <w:rsid w:val="003258AF"/>
    <w:rsid w:val="00325A3F"/>
    <w:rsid w:val="003268C2"/>
    <w:rsid w:val="00326BC5"/>
    <w:rsid w:val="00331EB6"/>
    <w:rsid w:val="00331FCC"/>
    <w:rsid w:val="00333FDA"/>
    <w:rsid w:val="003340DE"/>
    <w:rsid w:val="00334887"/>
    <w:rsid w:val="003359B5"/>
    <w:rsid w:val="00336277"/>
    <w:rsid w:val="0033657E"/>
    <w:rsid w:val="00340612"/>
    <w:rsid w:val="00340D19"/>
    <w:rsid w:val="00341840"/>
    <w:rsid w:val="00342334"/>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38B"/>
    <w:rsid w:val="003533B5"/>
    <w:rsid w:val="00353CE3"/>
    <w:rsid w:val="0035408E"/>
    <w:rsid w:val="003542D3"/>
    <w:rsid w:val="003553F8"/>
    <w:rsid w:val="00355A2F"/>
    <w:rsid w:val="00356024"/>
    <w:rsid w:val="0035728C"/>
    <w:rsid w:val="00357548"/>
    <w:rsid w:val="00357853"/>
    <w:rsid w:val="0036063F"/>
    <w:rsid w:val="00361DD8"/>
    <w:rsid w:val="00361F8D"/>
    <w:rsid w:val="003622CA"/>
    <w:rsid w:val="003629F0"/>
    <w:rsid w:val="00363030"/>
    <w:rsid w:val="003631B6"/>
    <w:rsid w:val="0036354E"/>
    <w:rsid w:val="00364206"/>
    <w:rsid w:val="0036462C"/>
    <w:rsid w:val="00364A42"/>
    <w:rsid w:val="00364B67"/>
    <w:rsid w:val="00364CC8"/>
    <w:rsid w:val="003653A1"/>
    <w:rsid w:val="003674CA"/>
    <w:rsid w:val="003708B3"/>
    <w:rsid w:val="00370962"/>
    <w:rsid w:val="00371DCB"/>
    <w:rsid w:val="00371EE8"/>
    <w:rsid w:val="0037352F"/>
    <w:rsid w:val="00373AB4"/>
    <w:rsid w:val="00374099"/>
    <w:rsid w:val="003743C4"/>
    <w:rsid w:val="00374AE8"/>
    <w:rsid w:val="003755FB"/>
    <w:rsid w:val="0037577C"/>
    <w:rsid w:val="00375F81"/>
    <w:rsid w:val="00377862"/>
    <w:rsid w:val="00377A3A"/>
    <w:rsid w:val="00380241"/>
    <w:rsid w:val="0038188D"/>
    <w:rsid w:val="00382138"/>
    <w:rsid w:val="00382EFA"/>
    <w:rsid w:val="00383580"/>
    <w:rsid w:val="003841E8"/>
    <w:rsid w:val="0038430C"/>
    <w:rsid w:val="00384AEA"/>
    <w:rsid w:val="00385502"/>
    <w:rsid w:val="00385526"/>
    <w:rsid w:val="003857E9"/>
    <w:rsid w:val="00385844"/>
    <w:rsid w:val="003863E7"/>
    <w:rsid w:val="003866CA"/>
    <w:rsid w:val="00387E7D"/>
    <w:rsid w:val="003904F7"/>
    <w:rsid w:val="0039070E"/>
    <w:rsid w:val="0039085E"/>
    <w:rsid w:val="00391A43"/>
    <w:rsid w:val="00391CAA"/>
    <w:rsid w:val="003933D9"/>
    <w:rsid w:val="00396541"/>
    <w:rsid w:val="00396636"/>
    <w:rsid w:val="003A0A0B"/>
    <w:rsid w:val="003A1A55"/>
    <w:rsid w:val="003A281C"/>
    <w:rsid w:val="003A31BD"/>
    <w:rsid w:val="003A3356"/>
    <w:rsid w:val="003A3C44"/>
    <w:rsid w:val="003A4DC8"/>
    <w:rsid w:val="003A50DA"/>
    <w:rsid w:val="003A534F"/>
    <w:rsid w:val="003A5623"/>
    <w:rsid w:val="003A64D0"/>
    <w:rsid w:val="003A661F"/>
    <w:rsid w:val="003A74D3"/>
    <w:rsid w:val="003A7E3A"/>
    <w:rsid w:val="003B0611"/>
    <w:rsid w:val="003B0D66"/>
    <w:rsid w:val="003B0D72"/>
    <w:rsid w:val="003B22FA"/>
    <w:rsid w:val="003B26B5"/>
    <w:rsid w:val="003B2CB6"/>
    <w:rsid w:val="003B2E21"/>
    <w:rsid w:val="003B30D8"/>
    <w:rsid w:val="003B3617"/>
    <w:rsid w:val="003B38FD"/>
    <w:rsid w:val="003B42D9"/>
    <w:rsid w:val="003B6445"/>
    <w:rsid w:val="003B64BE"/>
    <w:rsid w:val="003B651E"/>
    <w:rsid w:val="003B7849"/>
    <w:rsid w:val="003C01ED"/>
    <w:rsid w:val="003C06D8"/>
    <w:rsid w:val="003C2620"/>
    <w:rsid w:val="003C29DA"/>
    <w:rsid w:val="003C3140"/>
    <w:rsid w:val="003C3E02"/>
    <w:rsid w:val="003C3FE8"/>
    <w:rsid w:val="003C5150"/>
    <w:rsid w:val="003C6AF7"/>
    <w:rsid w:val="003C73F9"/>
    <w:rsid w:val="003C7940"/>
    <w:rsid w:val="003D1E9A"/>
    <w:rsid w:val="003D2152"/>
    <w:rsid w:val="003D330B"/>
    <w:rsid w:val="003D3FE9"/>
    <w:rsid w:val="003D5F07"/>
    <w:rsid w:val="003D69C7"/>
    <w:rsid w:val="003D6AB5"/>
    <w:rsid w:val="003D75DC"/>
    <w:rsid w:val="003E02E7"/>
    <w:rsid w:val="003E071C"/>
    <w:rsid w:val="003E253D"/>
    <w:rsid w:val="003E34AB"/>
    <w:rsid w:val="003E3FF5"/>
    <w:rsid w:val="003E4557"/>
    <w:rsid w:val="003E4B34"/>
    <w:rsid w:val="003E5354"/>
    <w:rsid w:val="003E5C36"/>
    <w:rsid w:val="003E71A4"/>
    <w:rsid w:val="003F1789"/>
    <w:rsid w:val="003F2A4C"/>
    <w:rsid w:val="003F2A52"/>
    <w:rsid w:val="003F2DF5"/>
    <w:rsid w:val="003F3C69"/>
    <w:rsid w:val="003F51F4"/>
    <w:rsid w:val="003F52C6"/>
    <w:rsid w:val="003F558E"/>
    <w:rsid w:val="003F577C"/>
    <w:rsid w:val="003F6692"/>
    <w:rsid w:val="003F683A"/>
    <w:rsid w:val="003F7285"/>
    <w:rsid w:val="003F7B70"/>
    <w:rsid w:val="00400801"/>
    <w:rsid w:val="0040281C"/>
    <w:rsid w:val="00403D6E"/>
    <w:rsid w:val="00405083"/>
    <w:rsid w:val="00405C4E"/>
    <w:rsid w:val="004064EA"/>
    <w:rsid w:val="00406897"/>
    <w:rsid w:val="00407AC0"/>
    <w:rsid w:val="0041061C"/>
    <w:rsid w:val="00411814"/>
    <w:rsid w:val="00412E30"/>
    <w:rsid w:val="00413B67"/>
    <w:rsid w:val="00413BEB"/>
    <w:rsid w:val="00413FA9"/>
    <w:rsid w:val="00414907"/>
    <w:rsid w:val="00415341"/>
    <w:rsid w:val="00415B78"/>
    <w:rsid w:val="004166BD"/>
    <w:rsid w:val="004169A6"/>
    <w:rsid w:val="00416B4E"/>
    <w:rsid w:val="00416B58"/>
    <w:rsid w:val="004170AF"/>
    <w:rsid w:val="00420672"/>
    <w:rsid w:val="0042093E"/>
    <w:rsid w:val="004216B9"/>
    <w:rsid w:val="004222F5"/>
    <w:rsid w:val="00422C55"/>
    <w:rsid w:val="00423004"/>
    <w:rsid w:val="00425698"/>
    <w:rsid w:val="00425ED2"/>
    <w:rsid w:val="00426C68"/>
    <w:rsid w:val="00427789"/>
    <w:rsid w:val="00427BEA"/>
    <w:rsid w:val="00430F45"/>
    <w:rsid w:val="0043157D"/>
    <w:rsid w:val="00431C4F"/>
    <w:rsid w:val="00432AF2"/>
    <w:rsid w:val="00432BB7"/>
    <w:rsid w:val="004331E9"/>
    <w:rsid w:val="00433E8D"/>
    <w:rsid w:val="00434A60"/>
    <w:rsid w:val="00434E88"/>
    <w:rsid w:val="00434FAD"/>
    <w:rsid w:val="0043541B"/>
    <w:rsid w:val="0043592C"/>
    <w:rsid w:val="00436217"/>
    <w:rsid w:val="00436C2B"/>
    <w:rsid w:val="0044061D"/>
    <w:rsid w:val="004408CD"/>
    <w:rsid w:val="00440BEA"/>
    <w:rsid w:val="004411B9"/>
    <w:rsid w:val="00441207"/>
    <w:rsid w:val="00441462"/>
    <w:rsid w:val="0044189B"/>
    <w:rsid w:val="004422CA"/>
    <w:rsid w:val="00442CDF"/>
    <w:rsid w:val="00443807"/>
    <w:rsid w:val="004449AC"/>
    <w:rsid w:val="0044511F"/>
    <w:rsid w:val="004462F7"/>
    <w:rsid w:val="00450768"/>
    <w:rsid w:val="004516D0"/>
    <w:rsid w:val="00454F06"/>
    <w:rsid w:val="0045650D"/>
    <w:rsid w:val="00457E8A"/>
    <w:rsid w:val="0046019D"/>
    <w:rsid w:val="004626A5"/>
    <w:rsid w:val="0046361F"/>
    <w:rsid w:val="00464536"/>
    <w:rsid w:val="0046514E"/>
    <w:rsid w:val="00465716"/>
    <w:rsid w:val="0046623C"/>
    <w:rsid w:val="004672EE"/>
    <w:rsid w:val="00467739"/>
    <w:rsid w:val="00470391"/>
    <w:rsid w:val="00470472"/>
    <w:rsid w:val="00470D0C"/>
    <w:rsid w:val="00471AAB"/>
    <w:rsid w:val="00471EAB"/>
    <w:rsid w:val="004722BA"/>
    <w:rsid w:val="00474E22"/>
    <w:rsid w:val="00475D86"/>
    <w:rsid w:val="0047608F"/>
    <w:rsid w:val="004762EF"/>
    <w:rsid w:val="00476554"/>
    <w:rsid w:val="004765F6"/>
    <w:rsid w:val="00476E70"/>
    <w:rsid w:val="004770D4"/>
    <w:rsid w:val="0047739F"/>
    <w:rsid w:val="004813D4"/>
    <w:rsid w:val="00482DB7"/>
    <w:rsid w:val="00483108"/>
    <w:rsid w:val="0048456B"/>
    <w:rsid w:val="00485279"/>
    <w:rsid w:val="004861C3"/>
    <w:rsid w:val="00487941"/>
    <w:rsid w:val="00487FD3"/>
    <w:rsid w:val="004912CE"/>
    <w:rsid w:val="00491D91"/>
    <w:rsid w:val="00492DCE"/>
    <w:rsid w:val="0049580C"/>
    <w:rsid w:val="00496874"/>
    <w:rsid w:val="0049768F"/>
    <w:rsid w:val="00497F2A"/>
    <w:rsid w:val="004A04E5"/>
    <w:rsid w:val="004A04EE"/>
    <w:rsid w:val="004A0768"/>
    <w:rsid w:val="004A13AE"/>
    <w:rsid w:val="004A1495"/>
    <w:rsid w:val="004A17BE"/>
    <w:rsid w:val="004A1C0F"/>
    <w:rsid w:val="004A2089"/>
    <w:rsid w:val="004A2165"/>
    <w:rsid w:val="004A22AF"/>
    <w:rsid w:val="004A3E61"/>
    <w:rsid w:val="004A4993"/>
    <w:rsid w:val="004A5084"/>
    <w:rsid w:val="004A5D07"/>
    <w:rsid w:val="004A5F74"/>
    <w:rsid w:val="004A7071"/>
    <w:rsid w:val="004B0043"/>
    <w:rsid w:val="004B04C8"/>
    <w:rsid w:val="004B1052"/>
    <w:rsid w:val="004B356E"/>
    <w:rsid w:val="004B35AF"/>
    <w:rsid w:val="004B56C3"/>
    <w:rsid w:val="004B59A8"/>
    <w:rsid w:val="004B604A"/>
    <w:rsid w:val="004B6A8C"/>
    <w:rsid w:val="004B6B14"/>
    <w:rsid w:val="004B72B9"/>
    <w:rsid w:val="004C01B7"/>
    <w:rsid w:val="004C07BB"/>
    <w:rsid w:val="004C324B"/>
    <w:rsid w:val="004C3390"/>
    <w:rsid w:val="004C3AD9"/>
    <w:rsid w:val="004C3DFC"/>
    <w:rsid w:val="004C4E4F"/>
    <w:rsid w:val="004C57CC"/>
    <w:rsid w:val="004C68A0"/>
    <w:rsid w:val="004C748A"/>
    <w:rsid w:val="004D0897"/>
    <w:rsid w:val="004D09BB"/>
    <w:rsid w:val="004D0AF9"/>
    <w:rsid w:val="004D1201"/>
    <w:rsid w:val="004D1D7C"/>
    <w:rsid w:val="004D227B"/>
    <w:rsid w:val="004D2D46"/>
    <w:rsid w:val="004D3155"/>
    <w:rsid w:val="004D3E98"/>
    <w:rsid w:val="004D5EDC"/>
    <w:rsid w:val="004D61A6"/>
    <w:rsid w:val="004D78E9"/>
    <w:rsid w:val="004E1BB9"/>
    <w:rsid w:val="004E31FF"/>
    <w:rsid w:val="004E32F2"/>
    <w:rsid w:val="004E47EC"/>
    <w:rsid w:val="004E514F"/>
    <w:rsid w:val="004E638F"/>
    <w:rsid w:val="004E6E06"/>
    <w:rsid w:val="004E737F"/>
    <w:rsid w:val="004E7D5B"/>
    <w:rsid w:val="004F0378"/>
    <w:rsid w:val="004F03DE"/>
    <w:rsid w:val="004F1674"/>
    <w:rsid w:val="004F22DA"/>
    <w:rsid w:val="004F2512"/>
    <w:rsid w:val="004F2B86"/>
    <w:rsid w:val="004F315D"/>
    <w:rsid w:val="004F40B5"/>
    <w:rsid w:val="004F428B"/>
    <w:rsid w:val="004F547D"/>
    <w:rsid w:val="004F63F1"/>
    <w:rsid w:val="00500E33"/>
    <w:rsid w:val="00502165"/>
    <w:rsid w:val="005026D6"/>
    <w:rsid w:val="00503888"/>
    <w:rsid w:val="00503BED"/>
    <w:rsid w:val="00504834"/>
    <w:rsid w:val="00504C7A"/>
    <w:rsid w:val="00504F3E"/>
    <w:rsid w:val="00505AEE"/>
    <w:rsid w:val="00505FDF"/>
    <w:rsid w:val="0050632E"/>
    <w:rsid w:val="00506FAE"/>
    <w:rsid w:val="005071C3"/>
    <w:rsid w:val="00507321"/>
    <w:rsid w:val="0050752D"/>
    <w:rsid w:val="0051132E"/>
    <w:rsid w:val="00511EF3"/>
    <w:rsid w:val="00512540"/>
    <w:rsid w:val="00512613"/>
    <w:rsid w:val="00513441"/>
    <w:rsid w:val="0051380C"/>
    <w:rsid w:val="00513C84"/>
    <w:rsid w:val="00514507"/>
    <w:rsid w:val="005148C2"/>
    <w:rsid w:val="005153F5"/>
    <w:rsid w:val="0051664E"/>
    <w:rsid w:val="0051670B"/>
    <w:rsid w:val="005169EC"/>
    <w:rsid w:val="00516E98"/>
    <w:rsid w:val="00521350"/>
    <w:rsid w:val="00523398"/>
    <w:rsid w:val="00525849"/>
    <w:rsid w:val="005269E6"/>
    <w:rsid w:val="00526F8D"/>
    <w:rsid w:val="00527E13"/>
    <w:rsid w:val="00530BFA"/>
    <w:rsid w:val="00530EE7"/>
    <w:rsid w:val="0053112A"/>
    <w:rsid w:val="00531849"/>
    <w:rsid w:val="00532271"/>
    <w:rsid w:val="005351B9"/>
    <w:rsid w:val="00536011"/>
    <w:rsid w:val="00536757"/>
    <w:rsid w:val="005369AC"/>
    <w:rsid w:val="00537F9D"/>
    <w:rsid w:val="00540006"/>
    <w:rsid w:val="005427BD"/>
    <w:rsid w:val="00543903"/>
    <w:rsid w:val="00543C89"/>
    <w:rsid w:val="0054498C"/>
    <w:rsid w:val="00544FD6"/>
    <w:rsid w:val="00545A45"/>
    <w:rsid w:val="00545CD4"/>
    <w:rsid w:val="00545DB1"/>
    <w:rsid w:val="0054659E"/>
    <w:rsid w:val="005465B4"/>
    <w:rsid w:val="005466AD"/>
    <w:rsid w:val="00547606"/>
    <w:rsid w:val="005500C7"/>
    <w:rsid w:val="00550B79"/>
    <w:rsid w:val="00550FD1"/>
    <w:rsid w:val="0055150B"/>
    <w:rsid w:val="005519A7"/>
    <w:rsid w:val="0055230F"/>
    <w:rsid w:val="0055315B"/>
    <w:rsid w:val="005532F9"/>
    <w:rsid w:val="0055440B"/>
    <w:rsid w:val="0055604A"/>
    <w:rsid w:val="0055708D"/>
    <w:rsid w:val="00557A18"/>
    <w:rsid w:val="00557A3A"/>
    <w:rsid w:val="005608D8"/>
    <w:rsid w:val="00560BD7"/>
    <w:rsid w:val="00561C90"/>
    <w:rsid w:val="00561CA6"/>
    <w:rsid w:val="00562087"/>
    <w:rsid w:val="005624BD"/>
    <w:rsid w:val="00562E45"/>
    <w:rsid w:val="00562F0D"/>
    <w:rsid w:val="005633A9"/>
    <w:rsid w:val="00563A02"/>
    <w:rsid w:val="00564265"/>
    <w:rsid w:val="00564565"/>
    <w:rsid w:val="005647BE"/>
    <w:rsid w:val="00564A12"/>
    <w:rsid w:val="00564C70"/>
    <w:rsid w:val="00565F74"/>
    <w:rsid w:val="00565FD3"/>
    <w:rsid w:val="0056603A"/>
    <w:rsid w:val="00566299"/>
    <w:rsid w:val="00566B47"/>
    <w:rsid w:val="00567488"/>
    <w:rsid w:val="00567984"/>
    <w:rsid w:val="00570724"/>
    <w:rsid w:val="005707D2"/>
    <w:rsid w:val="00571B4B"/>
    <w:rsid w:val="005722F6"/>
    <w:rsid w:val="005725F6"/>
    <w:rsid w:val="005749CC"/>
    <w:rsid w:val="00574DB8"/>
    <w:rsid w:val="00576197"/>
    <w:rsid w:val="00576737"/>
    <w:rsid w:val="005772AA"/>
    <w:rsid w:val="005802AF"/>
    <w:rsid w:val="00581B06"/>
    <w:rsid w:val="005829DD"/>
    <w:rsid w:val="00583C85"/>
    <w:rsid w:val="00586817"/>
    <w:rsid w:val="00586D92"/>
    <w:rsid w:val="00586FB7"/>
    <w:rsid w:val="00587507"/>
    <w:rsid w:val="00587939"/>
    <w:rsid w:val="00591466"/>
    <w:rsid w:val="005922FA"/>
    <w:rsid w:val="00593755"/>
    <w:rsid w:val="00593A99"/>
    <w:rsid w:val="0059458B"/>
    <w:rsid w:val="00594CEF"/>
    <w:rsid w:val="00595D46"/>
    <w:rsid w:val="00596067"/>
    <w:rsid w:val="00596A0B"/>
    <w:rsid w:val="00596E05"/>
    <w:rsid w:val="00596F85"/>
    <w:rsid w:val="005970FA"/>
    <w:rsid w:val="005A0176"/>
    <w:rsid w:val="005A088E"/>
    <w:rsid w:val="005A139C"/>
    <w:rsid w:val="005A2298"/>
    <w:rsid w:val="005A28C1"/>
    <w:rsid w:val="005A3309"/>
    <w:rsid w:val="005A689B"/>
    <w:rsid w:val="005A72FC"/>
    <w:rsid w:val="005B0079"/>
    <w:rsid w:val="005B0388"/>
    <w:rsid w:val="005B109A"/>
    <w:rsid w:val="005B197F"/>
    <w:rsid w:val="005B1C8B"/>
    <w:rsid w:val="005B28C5"/>
    <w:rsid w:val="005B2F1E"/>
    <w:rsid w:val="005B36E8"/>
    <w:rsid w:val="005B4219"/>
    <w:rsid w:val="005B5606"/>
    <w:rsid w:val="005B5D1F"/>
    <w:rsid w:val="005B6E15"/>
    <w:rsid w:val="005B7A67"/>
    <w:rsid w:val="005C0710"/>
    <w:rsid w:val="005C07F7"/>
    <w:rsid w:val="005C0E58"/>
    <w:rsid w:val="005C10E3"/>
    <w:rsid w:val="005C2FD5"/>
    <w:rsid w:val="005C31EB"/>
    <w:rsid w:val="005C399D"/>
    <w:rsid w:val="005C3F5A"/>
    <w:rsid w:val="005C4EFD"/>
    <w:rsid w:val="005C5378"/>
    <w:rsid w:val="005C7D13"/>
    <w:rsid w:val="005C7F30"/>
    <w:rsid w:val="005D08D2"/>
    <w:rsid w:val="005D10FF"/>
    <w:rsid w:val="005D14E0"/>
    <w:rsid w:val="005D1B5D"/>
    <w:rsid w:val="005D2AB9"/>
    <w:rsid w:val="005D30B3"/>
    <w:rsid w:val="005D34E2"/>
    <w:rsid w:val="005D4178"/>
    <w:rsid w:val="005D496E"/>
    <w:rsid w:val="005D4B0B"/>
    <w:rsid w:val="005D4CDC"/>
    <w:rsid w:val="005D56DA"/>
    <w:rsid w:val="005D7C20"/>
    <w:rsid w:val="005E022F"/>
    <w:rsid w:val="005E0C1B"/>
    <w:rsid w:val="005E0C94"/>
    <w:rsid w:val="005E0DCB"/>
    <w:rsid w:val="005E19AF"/>
    <w:rsid w:val="005E2EDE"/>
    <w:rsid w:val="005E3AAF"/>
    <w:rsid w:val="005E47FB"/>
    <w:rsid w:val="005E49A6"/>
    <w:rsid w:val="005E5108"/>
    <w:rsid w:val="005E5B52"/>
    <w:rsid w:val="005E5FF8"/>
    <w:rsid w:val="005E6960"/>
    <w:rsid w:val="005E6AD2"/>
    <w:rsid w:val="005E6B97"/>
    <w:rsid w:val="005E6E51"/>
    <w:rsid w:val="005E7D93"/>
    <w:rsid w:val="005E7EB8"/>
    <w:rsid w:val="005F184F"/>
    <w:rsid w:val="005F18D6"/>
    <w:rsid w:val="005F2BA8"/>
    <w:rsid w:val="005F313B"/>
    <w:rsid w:val="005F3582"/>
    <w:rsid w:val="005F3FFE"/>
    <w:rsid w:val="005F4434"/>
    <w:rsid w:val="005F50DF"/>
    <w:rsid w:val="005F59F5"/>
    <w:rsid w:val="005F5E97"/>
    <w:rsid w:val="00600D34"/>
    <w:rsid w:val="00601089"/>
    <w:rsid w:val="00601DC7"/>
    <w:rsid w:val="0060248B"/>
    <w:rsid w:val="00602C1D"/>
    <w:rsid w:val="00603024"/>
    <w:rsid w:val="00603928"/>
    <w:rsid w:val="0060421E"/>
    <w:rsid w:val="00605F3F"/>
    <w:rsid w:val="00607374"/>
    <w:rsid w:val="006075A4"/>
    <w:rsid w:val="00607F85"/>
    <w:rsid w:val="006102C2"/>
    <w:rsid w:val="0061079B"/>
    <w:rsid w:val="00610B05"/>
    <w:rsid w:val="00611041"/>
    <w:rsid w:val="00611196"/>
    <w:rsid w:val="006116E3"/>
    <w:rsid w:val="00611AFF"/>
    <w:rsid w:val="0061227A"/>
    <w:rsid w:val="00613A81"/>
    <w:rsid w:val="0061460B"/>
    <w:rsid w:val="00614C2C"/>
    <w:rsid w:val="00614E10"/>
    <w:rsid w:val="00615EF4"/>
    <w:rsid w:val="00616FF1"/>
    <w:rsid w:val="0061747B"/>
    <w:rsid w:val="00617B95"/>
    <w:rsid w:val="00620380"/>
    <w:rsid w:val="00620B76"/>
    <w:rsid w:val="00621242"/>
    <w:rsid w:val="00622A43"/>
    <w:rsid w:val="0062402E"/>
    <w:rsid w:val="00624400"/>
    <w:rsid w:val="00624E51"/>
    <w:rsid w:val="00625ACD"/>
    <w:rsid w:val="00626162"/>
    <w:rsid w:val="0062669B"/>
    <w:rsid w:val="00627A9E"/>
    <w:rsid w:val="00630927"/>
    <w:rsid w:val="00630C2A"/>
    <w:rsid w:val="00631911"/>
    <w:rsid w:val="00631D5D"/>
    <w:rsid w:val="00631FEE"/>
    <w:rsid w:val="0063439E"/>
    <w:rsid w:val="006343F9"/>
    <w:rsid w:val="00634719"/>
    <w:rsid w:val="00634C5F"/>
    <w:rsid w:val="00635923"/>
    <w:rsid w:val="00635B87"/>
    <w:rsid w:val="00636AC8"/>
    <w:rsid w:val="00636B09"/>
    <w:rsid w:val="00637A1D"/>
    <w:rsid w:val="00640C34"/>
    <w:rsid w:val="0064106B"/>
    <w:rsid w:val="0064134E"/>
    <w:rsid w:val="00644EFE"/>
    <w:rsid w:val="0064586F"/>
    <w:rsid w:val="00647E2D"/>
    <w:rsid w:val="006503E8"/>
    <w:rsid w:val="00650570"/>
    <w:rsid w:val="0065104F"/>
    <w:rsid w:val="0065154F"/>
    <w:rsid w:val="00652143"/>
    <w:rsid w:val="00652747"/>
    <w:rsid w:val="00653A6C"/>
    <w:rsid w:val="00654A4A"/>
    <w:rsid w:val="0065545A"/>
    <w:rsid w:val="0066056E"/>
    <w:rsid w:val="00661C9D"/>
    <w:rsid w:val="00662A6B"/>
    <w:rsid w:val="00664A6C"/>
    <w:rsid w:val="00664DAC"/>
    <w:rsid w:val="00664EB0"/>
    <w:rsid w:val="00666184"/>
    <w:rsid w:val="006661CF"/>
    <w:rsid w:val="006668F8"/>
    <w:rsid w:val="00667FDE"/>
    <w:rsid w:val="00667FE2"/>
    <w:rsid w:val="00670BFD"/>
    <w:rsid w:val="00670DC6"/>
    <w:rsid w:val="00671E4C"/>
    <w:rsid w:val="0067299B"/>
    <w:rsid w:val="006729EA"/>
    <w:rsid w:val="00672D00"/>
    <w:rsid w:val="00674295"/>
    <w:rsid w:val="006743AB"/>
    <w:rsid w:val="006746A6"/>
    <w:rsid w:val="00674D90"/>
    <w:rsid w:val="00676500"/>
    <w:rsid w:val="00676BE4"/>
    <w:rsid w:val="006770DB"/>
    <w:rsid w:val="00677350"/>
    <w:rsid w:val="00680771"/>
    <w:rsid w:val="00680F4B"/>
    <w:rsid w:val="0068139E"/>
    <w:rsid w:val="006818A8"/>
    <w:rsid w:val="00681A51"/>
    <w:rsid w:val="00682424"/>
    <w:rsid w:val="00682469"/>
    <w:rsid w:val="0068337B"/>
    <w:rsid w:val="00683D97"/>
    <w:rsid w:val="00684FCA"/>
    <w:rsid w:val="00685B44"/>
    <w:rsid w:val="00685E4A"/>
    <w:rsid w:val="00686B5C"/>
    <w:rsid w:val="00686F01"/>
    <w:rsid w:val="006871F0"/>
    <w:rsid w:val="006872D9"/>
    <w:rsid w:val="00691BFE"/>
    <w:rsid w:val="0069232B"/>
    <w:rsid w:val="00692850"/>
    <w:rsid w:val="0069347D"/>
    <w:rsid w:val="0069418C"/>
    <w:rsid w:val="00694E60"/>
    <w:rsid w:val="00694FE9"/>
    <w:rsid w:val="0069620F"/>
    <w:rsid w:val="00696997"/>
    <w:rsid w:val="006A02D6"/>
    <w:rsid w:val="006A1FE8"/>
    <w:rsid w:val="006A22B6"/>
    <w:rsid w:val="006A37FF"/>
    <w:rsid w:val="006A4295"/>
    <w:rsid w:val="006A6375"/>
    <w:rsid w:val="006A684C"/>
    <w:rsid w:val="006A6D0E"/>
    <w:rsid w:val="006A758C"/>
    <w:rsid w:val="006B1D18"/>
    <w:rsid w:val="006B2718"/>
    <w:rsid w:val="006B3FBF"/>
    <w:rsid w:val="006B4493"/>
    <w:rsid w:val="006B72FB"/>
    <w:rsid w:val="006B7933"/>
    <w:rsid w:val="006C0744"/>
    <w:rsid w:val="006C0C51"/>
    <w:rsid w:val="006C0F46"/>
    <w:rsid w:val="006C1271"/>
    <w:rsid w:val="006C1EE9"/>
    <w:rsid w:val="006C1EEC"/>
    <w:rsid w:val="006C352C"/>
    <w:rsid w:val="006C3C12"/>
    <w:rsid w:val="006C3FEA"/>
    <w:rsid w:val="006C5B8E"/>
    <w:rsid w:val="006C65E9"/>
    <w:rsid w:val="006C69E7"/>
    <w:rsid w:val="006D10AE"/>
    <w:rsid w:val="006D1322"/>
    <w:rsid w:val="006D1E54"/>
    <w:rsid w:val="006D24DC"/>
    <w:rsid w:val="006D29F2"/>
    <w:rsid w:val="006D3AFE"/>
    <w:rsid w:val="006D4CAB"/>
    <w:rsid w:val="006D525F"/>
    <w:rsid w:val="006D6983"/>
    <w:rsid w:val="006D6F85"/>
    <w:rsid w:val="006D71F9"/>
    <w:rsid w:val="006D7CA2"/>
    <w:rsid w:val="006D7E38"/>
    <w:rsid w:val="006E025F"/>
    <w:rsid w:val="006E065B"/>
    <w:rsid w:val="006E09D3"/>
    <w:rsid w:val="006E0F13"/>
    <w:rsid w:val="006E1692"/>
    <w:rsid w:val="006E1E6C"/>
    <w:rsid w:val="006E203B"/>
    <w:rsid w:val="006E20CB"/>
    <w:rsid w:val="006E5505"/>
    <w:rsid w:val="006E5D24"/>
    <w:rsid w:val="006E6BBE"/>
    <w:rsid w:val="006E71BB"/>
    <w:rsid w:val="006E73C1"/>
    <w:rsid w:val="006F027C"/>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70023A"/>
    <w:rsid w:val="007004C3"/>
    <w:rsid w:val="00700817"/>
    <w:rsid w:val="00701994"/>
    <w:rsid w:val="00702493"/>
    <w:rsid w:val="007034D1"/>
    <w:rsid w:val="0070417A"/>
    <w:rsid w:val="0070676F"/>
    <w:rsid w:val="00706A77"/>
    <w:rsid w:val="00707EC3"/>
    <w:rsid w:val="0071035D"/>
    <w:rsid w:val="007108DE"/>
    <w:rsid w:val="007109EA"/>
    <w:rsid w:val="00710D4D"/>
    <w:rsid w:val="00711002"/>
    <w:rsid w:val="007122F9"/>
    <w:rsid w:val="00712F45"/>
    <w:rsid w:val="0071339B"/>
    <w:rsid w:val="00714652"/>
    <w:rsid w:val="00714A8A"/>
    <w:rsid w:val="00714F3B"/>
    <w:rsid w:val="007166F7"/>
    <w:rsid w:val="00716AEF"/>
    <w:rsid w:val="00716B51"/>
    <w:rsid w:val="00716C74"/>
    <w:rsid w:val="00717076"/>
    <w:rsid w:val="00717296"/>
    <w:rsid w:val="007172CB"/>
    <w:rsid w:val="00721591"/>
    <w:rsid w:val="007219F0"/>
    <w:rsid w:val="00722E4E"/>
    <w:rsid w:val="007253B2"/>
    <w:rsid w:val="007253FF"/>
    <w:rsid w:val="00727370"/>
    <w:rsid w:val="007320A9"/>
    <w:rsid w:val="007326A9"/>
    <w:rsid w:val="00732A29"/>
    <w:rsid w:val="007339F8"/>
    <w:rsid w:val="00735D9E"/>
    <w:rsid w:val="007374D3"/>
    <w:rsid w:val="00737A4E"/>
    <w:rsid w:val="007403BF"/>
    <w:rsid w:val="00740561"/>
    <w:rsid w:val="007405F1"/>
    <w:rsid w:val="0074109C"/>
    <w:rsid w:val="0074124E"/>
    <w:rsid w:val="00742335"/>
    <w:rsid w:val="00742842"/>
    <w:rsid w:val="007447E7"/>
    <w:rsid w:val="0074492D"/>
    <w:rsid w:val="00745E99"/>
    <w:rsid w:val="0074620D"/>
    <w:rsid w:val="00746D93"/>
    <w:rsid w:val="00747B17"/>
    <w:rsid w:val="00751216"/>
    <w:rsid w:val="007516A1"/>
    <w:rsid w:val="00753376"/>
    <w:rsid w:val="00753909"/>
    <w:rsid w:val="007543B0"/>
    <w:rsid w:val="007556B5"/>
    <w:rsid w:val="007568A9"/>
    <w:rsid w:val="00756DEC"/>
    <w:rsid w:val="00761514"/>
    <w:rsid w:val="00761CF7"/>
    <w:rsid w:val="0076267A"/>
    <w:rsid w:val="00763C22"/>
    <w:rsid w:val="00763CE7"/>
    <w:rsid w:val="007640F7"/>
    <w:rsid w:val="00764885"/>
    <w:rsid w:val="007661BD"/>
    <w:rsid w:val="00767793"/>
    <w:rsid w:val="00770127"/>
    <w:rsid w:val="007707E1"/>
    <w:rsid w:val="0077168C"/>
    <w:rsid w:val="00771830"/>
    <w:rsid w:val="0077187D"/>
    <w:rsid w:val="00772177"/>
    <w:rsid w:val="0077265F"/>
    <w:rsid w:val="00772B76"/>
    <w:rsid w:val="00774B7C"/>
    <w:rsid w:val="0077576E"/>
    <w:rsid w:val="00775C65"/>
    <w:rsid w:val="00775EC4"/>
    <w:rsid w:val="0077639A"/>
    <w:rsid w:val="007774C6"/>
    <w:rsid w:val="007800AF"/>
    <w:rsid w:val="0078100C"/>
    <w:rsid w:val="0078157F"/>
    <w:rsid w:val="0078185E"/>
    <w:rsid w:val="00782799"/>
    <w:rsid w:val="0078348A"/>
    <w:rsid w:val="00783D3B"/>
    <w:rsid w:val="0078470C"/>
    <w:rsid w:val="00784FFE"/>
    <w:rsid w:val="00786F48"/>
    <w:rsid w:val="0078772C"/>
    <w:rsid w:val="00787866"/>
    <w:rsid w:val="007878E4"/>
    <w:rsid w:val="00790231"/>
    <w:rsid w:val="0079090E"/>
    <w:rsid w:val="00792289"/>
    <w:rsid w:val="00792396"/>
    <w:rsid w:val="0079267C"/>
    <w:rsid w:val="0079419B"/>
    <w:rsid w:val="0079552B"/>
    <w:rsid w:val="00795E1B"/>
    <w:rsid w:val="007963BD"/>
    <w:rsid w:val="00796FED"/>
    <w:rsid w:val="007A0169"/>
    <w:rsid w:val="007A0298"/>
    <w:rsid w:val="007A0505"/>
    <w:rsid w:val="007A1190"/>
    <w:rsid w:val="007A1B38"/>
    <w:rsid w:val="007A1D1F"/>
    <w:rsid w:val="007A2779"/>
    <w:rsid w:val="007A4783"/>
    <w:rsid w:val="007A5191"/>
    <w:rsid w:val="007A647F"/>
    <w:rsid w:val="007A6772"/>
    <w:rsid w:val="007A6ED6"/>
    <w:rsid w:val="007B032F"/>
    <w:rsid w:val="007B0500"/>
    <w:rsid w:val="007B111B"/>
    <w:rsid w:val="007B1441"/>
    <w:rsid w:val="007B25E8"/>
    <w:rsid w:val="007B25FE"/>
    <w:rsid w:val="007B28E4"/>
    <w:rsid w:val="007B374F"/>
    <w:rsid w:val="007B3AE8"/>
    <w:rsid w:val="007B4418"/>
    <w:rsid w:val="007B5BFA"/>
    <w:rsid w:val="007B5DAC"/>
    <w:rsid w:val="007B5F62"/>
    <w:rsid w:val="007B625E"/>
    <w:rsid w:val="007B66B3"/>
    <w:rsid w:val="007B7077"/>
    <w:rsid w:val="007B72F3"/>
    <w:rsid w:val="007B73FD"/>
    <w:rsid w:val="007C1042"/>
    <w:rsid w:val="007C20B1"/>
    <w:rsid w:val="007C3003"/>
    <w:rsid w:val="007C5403"/>
    <w:rsid w:val="007C5923"/>
    <w:rsid w:val="007C69BD"/>
    <w:rsid w:val="007C6B60"/>
    <w:rsid w:val="007C6F85"/>
    <w:rsid w:val="007C7871"/>
    <w:rsid w:val="007C7B99"/>
    <w:rsid w:val="007C7D88"/>
    <w:rsid w:val="007D16CC"/>
    <w:rsid w:val="007D1FDF"/>
    <w:rsid w:val="007D23B3"/>
    <w:rsid w:val="007D2D5C"/>
    <w:rsid w:val="007D3AA0"/>
    <w:rsid w:val="007D3B71"/>
    <w:rsid w:val="007D3FE2"/>
    <w:rsid w:val="007D4359"/>
    <w:rsid w:val="007D4DB2"/>
    <w:rsid w:val="007D4EC2"/>
    <w:rsid w:val="007D5690"/>
    <w:rsid w:val="007D5CE8"/>
    <w:rsid w:val="007D69FA"/>
    <w:rsid w:val="007D6B25"/>
    <w:rsid w:val="007D75E9"/>
    <w:rsid w:val="007D7CC9"/>
    <w:rsid w:val="007E1600"/>
    <w:rsid w:val="007E2AAF"/>
    <w:rsid w:val="007E4641"/>
    <w:rsid w:val="007E76A1"/>
    <w:rsid w:val="007F02C3"/>
    <w:rsid w:val="007F03E8"/>
    <w:rsid w:val="007F0CE1"/>
    <w:rsid w:val="007F1ABA"/>
    <w:rsid w:val="007F2A03"/>
    <w:rsid w:val="007F3616"/>
    <w:rsid w:val="007F4847"/>
    <w:rsid w:val="007F4D92"/>
    <w:rsid w:val="007F5504"/>
    <w:rsid w:val="007F7358"/>
    <w:rsid w:val="007F766C"/>
    <w:rsid w:val="007F77B2"/>
    <w:rsid w:val="007F7883"/>
    <w:rsid w:val="008001AC"/>
    <w:rsid w:val="00800499"/>
    <w:rsid w:val="008014B3"/>
    <w:rsid w:val="008029DB"/>
    <w:rsid w:val="00802CA3"/>
    <w:rsid w:val="008039D6"/>
    <w:rsid w:val="0080639C"/>
    <w:rsid w:val="00806470"/>
    <w:rsid w:val="00806AFE"/>
    <w:rsid w:val="008072D7"/>
    <w:rsid w:val="00810603"/>
    <w:rsid w:val="00811145"/>
    <w:rsid w:val="00811263"/>
    <w:rsid w:val="00811883"/>
    <w:rsid w:val="00812B83"/>
    <w:rsid w:val="00812C2D"/>
    <w:rsid w:val="00812EE2"/>
    <w:rsid w:val="00813813"/>
    <w:rsid w:val="00813876"/>
    <w:rsid w:val="00813C03"/>
    <w:rsid w:val="00813E13"/>
    <w:rsid w:val="00814283"/>
    <w:rsid w:val="00816A5E"/>
    <w:rsid w:val="00816C67"/>
    <w:rsid w:val="00816E29"/>
    <w:rsid w:val="00817B30"/>
    <w:rsid w:val="00820209"/>
    <w:rsid w:val="00820F35"/>
    <w:rsid w:val="00820FEC"/>
    <w:rsid w:val="00821F27"/>
    <w:rsid w:val="0082393D"/>
    <w:rsid w:val="008239D1"/>
    <w:rsid w:val="008239D9"/>
    <w:rsid w:val="00823DE0"/>
    <w:rsid w:val="00824BFC"/>
    <w:rsid w:val="00824FAC"/>
    <w:rsid w:val="00830821"/>
    <w:rsid w:val="00831BC7"/>
    <w:rsid w:val="00832177"/>
    <w:rsid w:val="0083324D"/>
    <w:rsid w:val="008350A0"/>
    <w:rsid w:val="0083551E"/>
    <w:rsid w:val="00835642"/>
    <w:rsid w:val="00840600"/>
    <w:rsid w:val="00840EEC"/>
    <w:rsid w:val="00841733"/>
    <w:rsid w:val="00842484"/>
    <w:rsid w:val="00843447"/>
    <w:rsid w:val="00844764"/>
    <w:rsid w:val="00844A1A"/>
    <w:rsid w:val="00844D38"/>
    <w:rsid w:val="00844D85"/>
    <w:rsid w:val="008450D6"/>
    <w:rsid w:val="0084563E"/>
    <w:rsid w:val="00845935"/>
    <w:rsid w:val="00845D6B"/>
    <w:rsid w:val="00850E71"/>
    <w:rsid w:val="00851B6E"/>
    <w:rsid w:val="008524BE"/>
    <w:rsid w:val="0085269A"/>
    <w:rsid w:val="0085306F"/>
    <w:rsid w:val="00853243"/>
    <w:rsid w:val="008537C9"/>
    <w:rsid w:val="00853BC2"/>
    <w:rsid w:val="00853C7E"/>
    <w:rsid w:val="00854278"/>
    <w:rsid w:val="00854AC0"/>
    <w:rsid w:val="00855E31"/>
    <w:rsid w:val="00856063"/>
    <w:rsid w:val="008566B2"/>
    <w:rsid w:val="00857172"/>
    <w:rsid w:val="008603C0"/>
    <w:rsid w:val="00860DE4"/>
    <w:rsid w:val="0086236A"/>
    <w:rsid w:val="0086312D"/>
    <w:rsid w:val="0086569A"/>
    <w:rsid w:val="0086581C"/>
    <w:rsid w:val="00866FC8"/>
    <w:rsid w:val="00867A36"/>
    <w:rsid w:val="00867C3F"/>
    <w:rsid w:val="00870002"/>
    <w:rsid w:val="008702A8"/>
    <w:rsid w:val="0087035A"/>
    <w:rsid w:val="00870517"/>
    <w:rsid w:val="00870FD4"/>
    <w:rsid w:val="00871A61"/>
    <w:rsid w:val="008726DF"/>
    <w:rsid w:val="00872B3E"/>
    <w:rsid w:val="0087347D"/>
    <w:rsid w:val="00873CA1"/>
    <w:rsid w:val="00876F90"/>
    <w:rsid w:val="00877B0B"/>
    <w:rsid w:val="00880121"/>
    <w:rsid w:val="00881F6E"/>
    <w:rsid w:val="00882DAD"/>
    <w:rsid w:val="008843F5"/>
    <w:rsid w:val="00884F32"/>
    <w:rsid w:val="00885263"/>
    <w:rsid w:val="00885C9C"/>
    <w:rsid w:val="008868A8"/>
    <w:rsid w:val="00886EAF"/>
    <w:rsid w:val="00887EE1"/>
    <w:rsid w:val="008902A8"/>
    <w:rsid w:val="008902F2"/>
    <w:rsid w:val="00890D93"/>
    <w:rsid w:val="00892DA5"/>
    <w:rsid w:val="00892FA4"/>
    <w:rsid w:val="00893022"/>
    <w:rsid w:val="00893AAE"/>
    <w:rsid w:val="00893C9B"/>
    <w:rsid w:val="008949B1"/>
    <w:rsid w:val="00895391"/>
    <w:rsid w:val="00895ADC"/>
    <w:rsid w:val="00895D15"/>
    <w:rsid w:val="0089664B"/>
    <w:rsid w:val="00896DA2"/>
    <w:rsid w:val="00896E2B"/>
    <w:rsid w:val="0089713E"/>
    <w:rsid w:val="008972AA"/>
    <w:rsid w:val="00897829"/>
    <w:rsid w:val="008A0E47"/>
    <w:rsid w:val="008A10F3"/>
    <w:rsid w:val="008A11AC"/>
    <w:rsid w:val="008A162B"/>
    <w:rsid w:val="008A1995"/>
    <w:rsid w:val="008A28FA"/>
    <w:rsid w:val="008A306A"/>
    <w:rsid w:val="008A4D60"/>
    <w:rsid w:val="008A53EE"/>
    <w:rsid w:val="008A5C0F"/>
    <w:rsid w:val="008A5CDB"/>
    <w:rsid w:val="008A5EB4"/>
    <w:rsid w:val="008A67B2"/>
    <w:rsid w:val="008A6E3C"/>
    <w:rsid w:val="008A714C"/>
    <w:rsid w:val="008B012A"/>
    <w:rsid w:val="008B1596"/>
    <w:rsid w:val="008B1A8F"/>
    <w:rsid w:val="008B1B37"/>
    <w:rsid w:val="008B1B88"/>
    <w:rsid w:val="008B28D0"/>
    <w:rsid w:val="008B4062"/>
    <w:rsid w:val="008B5977"/>
    <w:rsid w:val="008B61CA"/>
    <w:rsid w:val="008B74D8"/>
    <w:rsid w:val="008B7998"/>
    <w:rsid w:val="008B7A43"/>
    <w:rsid w:val="008B7C3A"/>
    <w:rsid w:val="008C09C4"/>
    <w:rsid w:val="008C14EA"/>
    <w:rsid w:val="008C1598"/>
    <w:rsid w:val="008C1F44"/>
    <w:rsid w:val="008C646F"/>
    <w:rsid w:val="008C6CFC"/>
    <w:rsid w:val="008C71F0"/>
    <w:rsid w:val="008C7864"/>
    <w:rsid w:val="008C7AF2"/>
    <w:rsid w:val="008D1072"/>
    <w:rsid w:val="008D15B6"/>
    <w:rsid w:val="008D1BE5"/>
    <w:rsid w:val="008D2AC2"/>
    <w:rsid w:val="008D3A61"/>
    <w:rsid w:val="008D48FF"/>
    <w:rsid w:val="008D50EA"/>
    <w:rsid w:val="008D61A7"/>
    <w:rsid w:val="008E0007"/>
    <w:rsid w:val="008E0374"/>
    <w:rsid w:val="008E04F9"/>
    <w:rsid w:val="008E0871"/>
    <w:rsid w:val="008E1426"/>
    <w:rsid w:val="008E16B0"/>
    <w:rsid w:val="008E1AA7"/>
    <w:rsid w:val="008E3E4B"/>
    <w:rsid w:val="008E43A6"/>
    <w:rsid w:val="008E4923"/>
    <w:rsid w:val="008E4EF9"/>
    <w:rsid w:val="008E55DA"/>
    <w:rsid w:val="008E578A"/>
    <w:rsid w:val="008E62F5"/>
    <w:rsid w:val="008E6DFC"/>
    <w:rsid w:val="008E74C9"/>
    <w:rsid w:val="008E7710"/>
    <w:rsid w:val="008E7771"/>
    <w:rsid w:val="008F2795"/>
    <w:rsid w:val="008F4212"/>
    <w:rsid w:val="008F485A"/>
    <w:rsid w:val="008F7A79"/>
    <w:rsid w:val="008F7DB1"/>
    <w:rsid w:val="009007CD"/>
    <w:rsid w:val="00900D4D"/>
    <w:rsid w:val="009012FC"/>
    <w:rsid w:val="00901D76"/>
    <w:rsid w:val="00902D59"/>
    <w:rsid w:val="0090380F"/>
    <w:rsid w:val="0090393B"/>
    <w:rsid w:val="00903F34"/>
    <w:rsid w:val="009043CE"/>
    <w:rsid w:val="009056DA"/>
    <w:rsid w:val="00905C0A"/>
    <w:rsid w:val="00906028"/>
    <w:rsid w:val="00906B32"/>
    <w:rsid w:val="009112E8"/>
    <w:rsid w:val="009122F8"/>
    <w:rsid w:val="009124CB"/>
    <w:rsid w:val="00912568"/>
    <w:rsid w:val="009128D1"/>
    <w:rsid w:val="00912915"/>
    <w:rsid w:val="00913870"/>
    <w:rsid w:val="00913A0B"/>
    <w:rsid w:val="009154B5"/>
    <w:rsid w:val="00915520"/>
    <w:rsid w:val="009155DC"/>
    <w:rsid w:val="009155F7"/>
    <w:rsid w:val="00917477"/>
    <w:rsid w:val="00917AA0"/>
    <w:rsid w:val="00917E22"/>
    <w:rsid w:val="0092075A"/>
    <w:rsid w:val="00921131"/>
    <w:rsid w:val="009217AB"/>
    <w:rsid w:val="009238F7"/>
    <w:rsid w:val="00923C63"/>
    <w:rsid w:val="00924605"/>
    <w:rsid w:val="009247F5"/>
    <w:rsid w:val="00924966"/>
    <w:rsid w:val="00925717"/>
    <w:rsid w:val="00926AB2"/>
    <w:rsid w:val="00926FBD"/>
    <w:rsid w:val="00927C5C"/>
    <w:rsid w:val="00927CEF"/>
    <w:rsid w:val="009315B0"/>
    <w:rsid w:val="00931CB5"/>
    <w:rsid w:val="00931F26"/>
    <w:rsid w:val="00932B80"/>
    <w:rsid w:val="00932E80"/>
    <w:rsid w:val="00932FF5"/>
    <w:rsid w:val="0093409F"/>
    <w:rsid w:val="00934119"/>
    <w:rsid w:val="009356BA"/>
    <w:rsid w:val="009373D3"/>
    <w:rsid w:val="00937995"/>
    <w:rsid w:val="009407FE"/>
    <w:rsid w:val="0094111C"/>
    <w:rsid w:val="00941E3E"/>
    <w:rsid w:val="00942436"/>
    <w:rsid w:val="00943263"/>
    <w:rsid w:val="00944E0C"/>
    <w:rsid w:val="00945F18"/>
    <w:rsid w:val="009479D1"/>
    <w:rsid w:val="00951719"/>
    <w:rsid w:val="00951E1F"/>
    <w:rsid w:val="009535DE"/>
    <w:rsid w:val="0095361B"/>
    <w:rsid w:val="00953D70"/>
    <w:rsid w:val="00953EE0"/>
    <w:rsid w:val="00954A61"/>
    <w:rsid w:val="00954E70"/>
    <w:rsid w:val="0095511D"/>
    <w:rsid w:val="009561CA"/>
    <w:rsid w:val="00956F14"/>
    <w:rsid w:val="00957603"/>
    <w:rsid w:val="009579A2"/>
    <w:rsid w:val="00957A1D"/>
    <w:rsid w:val="00957BC0"/>
    <w:rsid w:val="00957F62"/>
    <w:rsid w:val="00957FFA"/>
    <w:rsid w:val="00960369"/>
    <w:rsid w:val="009607A2"/>
    <w:rsid w:val="00961671"/>
    <w:rsid w:val="00961AC1"/>
    <w:rsid w:val="0096487B"/>
    <w:rsid w:val="00965CD1"/>
    <w:rsid w:val="009701E4"/>
    <w:rsid w:val="00970460"/>
    <w:rsid w:val="00971B48"/>
    <w:rsid w:val="00972AA3"/>
    <w:rsid w:val="00972ECE"/>
    <w:rsid w:val="009734B3"/>
    <w:rsid w:val="00974E79"/>
    <w:rsid w:val="009757D1"/>
    <w:rsid w:val="00975EB9"/>
    <w:rsid w:val="0097646A"/>
    <w:rsid w:val="00980754"/>
    <w:rsid w:val="00980975"/>
    <w:rsid w:val="00981535"/>
    <w:rsid w:val="009825C8"/>
    <w:rsid w:val="00983531"/>
    <w:rsid w:val="0098409F"/>
    <w:rsid w:val="00984A55"/>
    <w:rsid w:val="00984DC9"/>
    <w:rsid w:val="0098521C"/>
    <w:rsid w:val="00985537"/>
    <w:rsid w:val="00985C01"/>
    <w:rsid w:val="009868AC"/>
    <w:rsid w:val="009873E2"/>
    <w:rsid w:val="009903BA"/>
    <w:rsid w:val="009911B1"/>
    <w:rsid w:val="00991698"/>
    <w:rsid w:val="009917E7"/>
    <w:rsid w:val="00991AE2"/>
    <w:rsid w:val="00991C17"/>
    <w:rsid w:val="00992D1E"/>
    <w:rsid w:val="00992D66"/>
    <w:rsid w:val="00994D1A"/>
    <w:rsid w:val="00996074"/>
    <w:rsid w:val="00997EB2"/>
    <w:rsid w:val="00997FFB"/>
    <w:rsid w:val="009A036C"/>
    <w:rsid w:val="009A06F5"/>
    <w:rsid w:val="009A0788"/>
    <w:rsid w:val="009A0ABC"/>
    <w:rsid w:val="009A0E92"/>
    <w:rsid w:val="009A17EC"/>
    <w:rsid w:val="009A25D3"/>
    <w:rsid w:val="009A4E89"/>
    <w:rsid w:val="009A5F65"/>
    <w:rsid w:val="009A6F3B"/>
    <w:rsid w:val="009A7816"/>
    <w:rsid w:val="009B0054"/>
    <w:rsid w:val="009B03DF"/>
    <w:rsid w:val="009B1766"/>
    <w:rsid w:val="009B208D"/>
    <w:rsid w:val="009B2A33"/>
    <w:rsid w:val="009B3192"/>
    <w:rsid w:val="009B38A6"/>
    <w:rsid w:val="009B6AF0"/>
    <w:rsid w:val="009B6F99"/>
    <w:rsid w:val="009C09F3"/>
    <w:rsid w:val="009C0CEE"/>
    <w:rsid w:val="009C128C"/>
    <w:rsid w:val="009C1FC8"/>
    <w:rsid w:val="009C292D"/>
    <w:rsid w:val="009C303D"/>
    <w:rsid w:val="009C3747"/>
    <w:rsid w:val="009C4C87"/>
    <w:rsid w:val="009C54AD"/>
    <w:rsid w:val="009C56F0"/>
    <w:rsid w:val="009C5F0C"/>
    <w:rsid w:val="009C67C0"/>
    <w:rsid w:val="009C6C4B"/>
    <w:rsid w:val="009C6EB0"/>
    <w:rsid w:val="009D1035"/>
    <w:rsid w:val="009D13D0"/>
    <w:rsid w:val="009D1B09"/>
    <w:rsid w:val="009D1CD7"/>
    <w:rsid w:val="009D1E5D"/>
    <w:rsid w:val="009D2068"/>
    <w:rsid w:val="009D3D3E"/>
    <w:rsid w:val="009D5B60"/>
    <w:rsid w:val="009D7D33"/>
    <w:rsid w:val="009E01FC"/>
    <w:rsid w:val="009E0355"/>
    <w:rsid w:val="009E1999"/>
    <w:rsid w:val="009E237C"/>
    <w:rsid w:val="009E324D"/>
    <w:rsid w:val="009E4DD4"/>
    <w:rsid w:val="009E4E3F"/>
    <w:rsid w:val="009E5B49"/>
    <w:rsid w:val="009E698B"/>
    <w:rsid w:val="009E6ADB"/>
    <w:rsid w:val="009E7446"/>
    <w:rsid w:val="009E7C2F"/>
    <w:rsid w:val="009F0BB6"/>
    <w:rsid w:val="009F0BED"/>
    <w:rsid w:val="009F0FBE"/>
    <w:rsid w:val="009F1547"/>
    <w:rsid w:val="009F1A08"/>
    <w:rsid w:val="009F1E43"/>
    <w:rsid w:val="009F2323"/>
    <w:rsid w:val="009F423D"/>
    <w:rsid w:val="009F47E8"/>
    <w:rsid w:val="009F4ABA"/>
    <w:rsid w:val="009F55FF"/>
    <w:rsid w:val="009F67A9"/>
    <w:rsid w:val="009F71BE"/>
    <w:rsid w:val="009F7706"/>
    <w:rsid w:val="00A00317"/>
    <w:rsid w:val="00A02D14"/>
    <w:rsid w:val="00A02D25"/>
    <w:rsid w:val="00A02E64"/>
    <w:rsid w:val="00A04664"/>
    <w:rsid w:val="00A04DEE"/>
    <w:rsid w:val="00A0598C"/>
    <w:rsid w:val="00A066AE"/>
    <w:rsid w:val="00A10DD9"/>
    <w:rsid w:val="00A113E0"/>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4993"/>
    <w:rsid w:val="00A258FB"/>
    <w:rsid w:val="00A2605D"/>
    <w:rsid w:val="00A27DEE"/>
    <w:rsid w:val="00A30A39"/>
    <w:rsid w:val="00A31B93"/>
    <w:rsid w:val="00A32C52"/>
    <w:rsid w:val="00A32EB7"/>
    <w:rsid w:val="00A34C4D"/>
    <w:rsid w:val="00A34E06"/>
    <w:rsid w:val="00A34FFC"/>
    <w:rsid w:val="00A35D32"/>
    <w:rsid w:val="00A375EF"/>
    <w:rsid w:val="00A376BB"/>
    <w:rsid w:val="00A41360"/>
    <w:rsid w:val="00A42061"/>
    <w:rsid w:val="00A42360"/>
    <w:rsid w:val="00A430ED"/>
    <w:rsid w:val="00A4342E"/>
    <w:rsid w:val="00A4347E"/>
    <w:rsid w:val="00A4509C"/>
    <w:rsid w:val="00A455A4"/>
    <w:rsid w:val="00A4578E"/>
    <w:rsid w:val="00A45FA3"/>
    <w:rsid w:val="00A465C1"/>
    <w:rsid w:val="00A47047"/>
    <w:rsid w:val="00A47A4D"/>
    <w:rsid w:val="00A47EAC"/>
    <w:rsid w:val="00A508FB"/>
    <w:rsid w:val="00A517B6"/>
    <w:rsid w:val="00A52333"/>
    <w:rsid w:val="00A528C2"/>
    <w:rsid w:val="00A53BEB"/>
    <w:rsid w:val="00A53E55"/>
    <w:rsid w:val="00A5433A"/>
    <w:rsid w:val="00A546EC"/>
    <w:rsid w:val="00A54AFD"/>
    <w:rsid w:val="00A54E69"/>
    <w:rsid w:val="00A57043"/>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3836"/>
    <w:rsid w:val="00A74088"/>
    <w:rsid w:val="00A74901"/>
    <w:rsid w:val="00A749E9"/>
    <w:rsid w:val="00A75031"/>
    <w:rsid w:val="00A75733"/>
    <w:rsid w:val="00A76308"/>
    <w:rsid w:val="00A76B39"/>
    <w:rsid w:val="00A776C7"/>
    <w:rsid w:val="00A7796D"/>
    <w:rsid w:val="00A77C08"/>
    <w:rsid w:val="00A80ACB"/>
    <w:rsid w:val="00A80E39"/>
    <w:rsid w:val="00A81058"/>
    <w:rsid w:val="00A81527"/>
    <w:rsid w:val="00A82058"/>
    <w:rsid w:val="00A84010"/>
    <w:rsid w:val="00A84AE7"/>
    <w:rsid w:val="00A84BA9"/>
    <w:rsid w:val="00A84E8D"/>
    <w:rsid w:val="00A85146"/>
    <w:rsid w:val="00A86576"/>
    <w:rsid w:val="00A8668D"/>
    <w:rsid w:val="00A869B0"/>
    <w:rsid w:val="00A86C04"/>
    <w:rsid w:val="00A90420"/>
    <w:rsid w:val="00A91051"/>
    <w:rsid w:val="00A910CB"/>
    <w:rsid w:val="00A91DC1"/>
    <w:rsid w:val="00A9289F"/>
    <w:rsid w:val="00A929FD"/>
    <w:rsid w:val="00A92C1D"/>
    <w:rsid w:val="00A93633"/>
    <w:rsid w:val="00A95617"/>
    <w:rsid w:val="00A96603"/>
    <w:rsid w:val="00A96C33"/>
    <w:rsid w:val="00A9774D"/>
    <w:rsid w:val="00AA0C77"/>
    <w:rsid w:val="00AA1D27"/>
    <w:rsid w:val="00AA204C"/>
    <w:rsid w:val="00AA2D57"/>
    <w:rsid w:val="00AA3941"/>
    <w:rsid w:val="00AA538E"/>
    <w:rsid w:val="00AA56D0"/>
    <w:rsid w:val="00AA588E"/>
    <w:rsid w:val="00AA610F"/>
    <w:rsid w:val="00AA7118"/>
    <w:rsid w:val="00AA722B"/>
    <w:rsid w:val="00AB0C9F"/>
    <w:rsid w:val="00AB0F63"/>
    <w:rsid w:val="00AB143A"/>
    <w:rsid w:val="00AB155C"/>
    <w:rsid w:val="00AB26BF"/>
    <w:rsid w:val="00AB3B46"/>
    <w:rsid w:val="00AB529F"/>
    <w:rsid w:val="00AB68F9"/>
    <w:rsid w:val="00AB717A"/>
    <w:rsid w:val="00AB7274"/>
    <w:rsid w:val="00AB7355"/>
    <w:rsid w:val="00AB7E96"/>
    <w:rsid w:val="00AC003B"/>
    <w:rsid w:val="00AC003C"/>
    <w:rsid w:val="00AC0103"/>
    <w:rsid w:val="00AC011A"/>
    <w:rsid w:val="00AC1404"/>
    <w:rsid w:val="00AC1DC9"/>
    <w:rsid w:val="00AC31EA"/>
    <w:rsid w:val="00AC3BBA"/>
    <w:rsid w:val="00AC4881"/>
    <w:rsid w:val="00AC4998"/>
    <w:rsid w:val="00AC6497"/>
    <w:rsid w:val="00AC7650"/>
    <w:rsid w:val="00AD039F"/>
    <w:rsid w:val="00AD0F88"/>
    <w:rsid w:val="00AD24E1"/>
    <w:rsid w:val="00AD3902"/>
    <w:rsid w:val="00AD3A93"/>
    <w:rsid w:val="00AD3C07"/>
    <w:rsid w:val="00AD57F8"/>
    <w:rsid w:val="00AD5833"/>
    <w:rsid w:val="00AD5B73"/>
    <w:rsid w:val="00AD5FB2"/>
    <w:rsid w:val="00AD6010"/>
    <w:rsid w:val="00AE09A7"/>
    <w:rsid w:val="00AE33FF"/>
    <w:rsid w:val="00AE498D"/>
    <w:rsid w:val="00AE4B14"/>
    <w:rsid w:val="00AE4F6D"/>
    <w:rsid w:val="00AE5E94"/>
    <w:rsid w:val="00AE6659"/>
    <w:rsid w:val="00AE72FF"/>
    <w:rsid w:val="00AE741F"/>
    <w:rsid w:val="00AF026B"/>
    <w:rsid w:val="00AF02BF"/>
    <w:rsid w:val="00AF06D5"/>
    <w:rsid w:val="00AF09DD"/>
    <w:rsid w:val="00AF246B"/>
    <w:rsid w:val="00AF26B5"/>
    <w:rsid w:val="00AF2DFD"/>
    <w:rsid w:val="00AF31C3"/>
    <w:rsid w:val="00AF5B2F"/>
    <w:rsid w:val="00AF6446"/>
    <w:rsid w:val="00AF712A"/>
    <w:rsid w:val="00AF7DB4"/>
    <w:rsid w:val="00B00105"/>
    <w:rsid w:val="00B00C02"/>
    <w:rsid w:val="00B01A94"/>
    <w:rsid w:val="00B02655"/>
    <w:rsid w:val="00B03798"/>
    <w:rsid w:val="00B05102"/>
    <w:rsid w:val="00B055AE"/>
    <w:rsid w:val="00B05B8E"/>
    <w:rsid w:val="00B06130"/>
    <w:rsid w:val="00B079F9"/>
    <w:rsid w:val="00B07FED"/>
    <w:rsid w:val="00B10263"/>
    <w:rsid w:val="00B10376"/>
    <w:rsid w:val="00B10D36"/>
    <w:rsid w:val="00B11C26"/>
    <w:rsid w:val="00B11DEE"/>
    <w:rsid w:val="00B12661"/>
    <w:rsid w:val="00B12DFC"/>
    <w:rsid w:val="00B1348E"/>
    <w:rsid w:val="00B142AA"/>
    <w:rsid w:val="00B14BD1"/>
    <w:rsid w:val="00B14BDB"/>
    <w:rsid w:val="00B15F5A"/>
    <w:rsid w:val="00B16A34"/>
    <w:rsid w:val="00B2042B"/>
    <w:rsid w:val="00B204ED"/>
    <w:rsid w:val="00B2096B"/>
    <w:rsid w:val="00B213F2"/>
    <w:rsid w:val="00B217D6"/>
    <w:rsid w:val="00B2264A"/>
    <w:rsid w:val="00B2469E"/>
    <w:rsid w:val="00B24AEB"/>
    <w:rsid w:val="00B24FAF"/>
    <w:rsid w:val="00B25453"/>
    <w:rsid w:val="00B25677"/>
    <w:rsid w:val="00B25E56"/>
    <w:rsid w:val="00B25ED6"/>
    <w:rsid w:val="00B26109"/>
    <w:rsid w:val="00B26DE7"/>
    <w:rsid w:val="00B3057E"/>
    <w:rsid w:val="00B3064D"/>
    <w:rsid w:val="00B311D4"/>
    <w:rsid w:val="00B31B9C"/>
    <w:rsid w:val="00B333F2"/>
    <w:rsid w:val="00B33653"/>
    <w:rsid w:val="00B34D6C"/>
    <w:rsid w:val="00B35559"/>
    <w:rsid w:val="00B3559C"/>
    <w:rsid w:val="00B357B9"/>
    <w:rsid w:val="00B35CB5"/>
    <w:rsid w:val="00B3725B"/>
    <w:rsid w:val="00B402F4"/>
    <w:rsid w:val="00B4118A"/>
    <w:rsid w:val="00B4186F"/>
    <w:rsid w:val="00B4696B"/>
    <w:rsid w:val="00B46B0C"/>
    <w:rsid w:val="00B47CC6"/>
    <w:rsid w:val="00B505B6"/>
    <w:rsid w:val="00B505C9"/>
    <w:rsid w:val="00B50BFA"/>
    <w:rsid w:val="00B524AA"/>
    <w:rsid w:val="00B534D2"/>
    <w:rsid w:val="00B5384F"/>
    <w:rsid w:val="00B54421"/>
    <w:rsid w:val="00B552E3"/>
    <w:rsid w:val="00B5544F"/>
    <w:rsid w:val="00B55E5D"/>
    <w:rsid w:val="00B56826"/>
    <w:rsid w:val="00B56FF7"/>
    <w:rsid w:val="00B570F4"/>
    <w:rsid w:val="00B577A8"/>
    <w:rsid w:val="00B577EA"/>
    <w:rsid w:val="00B577FF"/>
    <w:rsid w:val="00B60314"/>
    <w:rsid w:val="00B60A36"/>
    <w:rsid w:val="00B61155"/>
    <w:rsid w:val="00B61A6D"/>
    <w:rsid w:val="00B61A97"/>
    <w:rsid w:val="00B6285D"/>
    <w:rsid w:val="00B63703"/>
    <w:rsid w:val="00B65540"/>
    <w:rsid w:val="00B66867"/>
    <w:rsid w:val="00B66994"/>
    <w:rsid w:val="00B66A1B"/>
    <w:rsid w:val="00B66EF5"/>
    <w:rsid w:val="00B676A4"/>
    <w:rsid w:val="00B67D62"/>
    <w:rsid w:val="00B704A7"/>
    <w:rsid w:val="00B70757"/>
    <w:rsid w:val="00B7079D"/>
    <w:rsid w:val="00B707FE"/>
    <w:rsid w:val="00B71A1E"/>
    <w:rsid w:val="00B71AFB"/>
    <w:rsid w:val="00B71EFC"/>
    <w:rsid w:val="00B71F3A"/>
    <w:rsid w:val="00B73C97"/>
    <w:rsid w:val="00B74895"/>
    <w:rsid w:val="00B74A83"/>
    <w:rsid w:val="00B7619A"/>
    <w:rsid w:val="00B76340"/>
    <w:rsid w:val="00B76A88"/>
    <w:rsid w:val="00B80C43"/>
    <w:rsid w:val="00B80D14"/>
    <w:rsid w:val="00B80DF0"/>
    <w:rsid w:val="00B815B2"/>
    <w:rsid w:val="00B81816"/>
    <w:rsid w:val="00B81C04"/>
    <w:rsid w:val="00B821F8"/>
    <w:rsid w:val="00B8264D"/>
    <w:rsid w:val="00B836F5"/>
    <w:rsid w:val="00B85B4E"/>
    <w:rsid w:val="00B85E48"/>
    <w:rsid w:val="00B8608E"/>
    <w:rsid w:val="00B868E2"/>
    <w:rsid w:val="00B87B6D"/>
    <w:rsid w:val="00B87CAD"/>
    <w:rsid w:val="00B87E7C"/>
    <w:rsid w:val="00B87EAE"/>
    <w:rsid w:val="00B905F8"/>
    <w:rsid w:val="00B91530"/>
    <w:rsid w:val="00B9153C"/>
    <w:rsid w:val="00B92D7C"/>
    <w:rsid w:val="00B9355C"/>
    <w:rsid w:val="00B94786"/>
    <w:rsid w:val="00B9480B"/>
    <w:rsid w:val="00B94866"/>
    <w:rsid w:val="00B9551C"/>
    <w:rsid w:val="00B95FA7"/>
    <w:rsid w:val="00B9607E"/>
    <w:rsid w:val="00BA0AC0"/>
    <w:rsid w:val="00BA0D64"/>
    <w:rsid w:val="00BA202C"/>
    <w:rsid w:val="00BA297C"/>
    <w:rsid w:val="00BA2B9C"/>
    <w:rsid w:val="00BA4324"/>
    <w:rsid w:val="00BA44ED"/>
    <w:rsid w:val="00BA44F9"/>
    <w:rsid w:val="00BA5663"/>
    <w:rsid w:val="00BA649A"/>
    <w:rsid w:val="00BA67FD"/>
    <w:rsid w:val="00BA68A6"/>
    <w:rsid w:val="00BA700E"/>
    <w:rsid w:val="00BA7631"/>
    <w:rsid w:val="00BA7678"/>
    <w:rsid w:val="00BA7715"/>
    <w:rsid w:val="00BA774F"/>
    <w:rsid w:val="00BA78B6"/>
    <w:rsid w:val="00BA7944"/>
    <w:rsid w:val="00BA79B5"/>
    <w:rsid w:val="00BA7DE9"/>
    <w:rsid w:val="00BB0EEE"/>
    <w:rsid w:val="00BB0FE5"/>
    <w:rsid w:val="00BB1369"/>
    <w:rsid w:val="00BB19A9"/>
    <w:rsid w:val="00BB20BA"/>
    <w:rsid w:val="00BB26AD"/>
    <w:rsid w:val="00BB3D25"/>
    <w:rsid w:val="00BB683B"/>
    <w:rsid w:val="00BB6D2B"/>
    <w:rsid w:val="00BB79BD"/>
    <w:rsid w:val="00BC0422"/>
    <w:rsid w:val="00BC10E6"/>
    <w:rsid w:val="00BC3516"/>
    <w:rsid w:val="00BC40E9"/>
    <w:rsid w:val="00BC55A3"/>
    <w:rsid w:val="00BC5A72"/>
    <w:rsid w:val="00BC666B"/>
    <w:rsid w:val="00BC7208"/>
    <w:rsid w:val="00BD0B48"/>
    <w:rsid w:val="00BD1206"/>
    <w:rsid w:val="00BD1E24"/>
    <w:rsid w:val="00BD2A0A"/>
    <w:rsid w:val="00BD2ACA"/>
    <w:rsid w:val="00BD3653"/>
    <w:rsid w:val="00BD462E"/>
    <w:rsid w:val="00BD476A"/>
    <w:rsid w:val="00BD4A0D"/>
    <w:rsid w:val="00BD4CE7"/>
    <w:rsid w:val="00BD5935"/>
    <w:rsid w:val="00BD5D0F"/>
    <w:rsid w:val="00BD6898"/>
    <w:rsid w:val="00BD75BA"/>
    <w:rsid w:val="00BD761A"/>
    <w:rsid w:val="00BD77EB"/>
    <w:rsid w:val="00BD7C68"/>
    <w:rsid w:val="00BE08AA"/>
    <w:rsid w:val="00BE0CC9"/>
    <w:rsid w:val="00BE15B2"/>
    <w:rsid w:val="00BE1CBC"/>
    <w:rsid w:val="00BE1F49"/>
    <w:rsid w:val="00BE29DC"/>
    <w:rsid w:val="00BE2C58"/>
    <w:rsid w:val="00BE2D2A"/>
    <w:rsid w:val="00BE5393"/>
    <w:rsid w:val="00BE5435"/>
    <w:rsid w:val="00BE5C7D"/>
    <w:rsid w:val="00BE6BD1"/>
    <w:rsid w:val="00BF0AD0"/>
    <w:rsid w:val="00BF1EA0"/>
    <w:rsid w:val="00BF28CB"/>
    <w:rsid w:val="00BF4BED"/>
    <w:rsid w:val="00BF5DA3"/>
    <w:rsid w:val="00BF5DF9"/>
    <w:rsid w:val="00BF68F0"/>
    <w:rsid w:val="00BF697A"/>
    <w:rsid w:val="00BF6A0A"/>
    <w:rsid w:val="00BF6ADB"/>
    <w:rsid w:val="00BF6D5A"/>
    <w:rsid w:val="00BF726B"/>
    <w:rsid w:val="00BF74B5"/>
    <w:rsid w:val="00C00DFE"/>
    <w:rsid w:val="00C0223F"/>
    <w:rsid w:val="00C02B35"/>
    <w:rsid w:val="00C03776"/>
    <w:rsid w:val="00C03E66"/>
    <w:rsid w:val="00C04B9F"/>
    <w:rsid w:val="00C074D9"/>
    <w:rsid w:val="00C0753E"/>
    <w:rsid w:val="00C07B20"/>
    <w:rsid w:val="00C10A86"/>
    <w:rsid w:val="00C10B36"/>
    <w:rsid w:val="00C1164F"/>
    <w:rsid w:val="00C12078"/>
    <w:rsid w:val="00C135B8"/>
    <w:rsid w:val="00C13821"/>
    <w:rsid w:val="00C13A14"/>
    <w:rsid w:val="00C14051"/>
    <w:rsid w:val="00C15F73"/>
    <w:rsid w:val="00C17323"/>
    <w:rsid w:val="00C2037B"/>
    <w:rsid w:val="00C22FF7"/>
    <w:rsid w:val="00C23487"/>
    <w:rsid w:val="00C23DC9"/>
    <w:rsid w:val="00C25F93"/>
    <w:rsid w:val="00C26391"/>
    <w:rsid w:val="00C27791"/>
    <w:rsid w:val="00C27A2F"/>
    <w:rsid w:val="00C27F75"/>
    <w:rsid w:val="00C27F76"/>
    <w:rsid w:val="00C30DA4"/>
    <w:rsid w:val="00C314AB"/>
    <w:rsid w:val="00C33D7F"/>
    <w:rsid w:val="00C3421E"/>
    <w:rsid w:val="00C36F56"/>
    <w:rsid w:val="00C3711F"/>
    <w:rsid w:val="00C3788C"/>
    <w:rsid w:val="00C37AD6"/>
    <w:rsid w:val="00C427CE"/>
    <w:rsid w:val="00C429B0"/>
    <w:rsid w:val="00C42E1E"/>
    <w:rsid w:val="00C4337B"/>
    <w:rsid w:val="00C44719"/>
    <w:rsid w:val="00C44A9B"/>
    <w:rsid w:val="00C4690E"/>
    <w:rsid w:val="00C46B34"/>
    <w:rsid w:val="00C46EDD"/>
    <w:rsid w:val="00C47486"/>
    <w:rsid w:val="00C47F43"/>
    <w:rsid w:val="00C50108"/>
    <w:rsid w:val="00C51610"/>
    <w:rsid w:val="00C51E37"/>
    <w:rsid w:val="00C51F33"/>
    <w:rsid w:val="00C51F6A"/>
    <w:rsid w:val="00C5211B"/>
    <w:rsid w:val="00C534EE"/>
    <w:rsid w:val="00C56035"/>
    <w:rsid w:val="00C560BC"/>
    <w:rsid w:val="00C57857"/>
    <w:rsid w:val="00C57D74"/>
    <w:rsid w:val="00C60128"/>
    <w:rsid w:val="00C60ED4"/>
    <w:rsid w:val="00C60EE6"/>
    <w:rsid w:val="00C61FDC"/>
    <w:rsid w:val="00C63F97"/>
    <w:rsid w:val="00C6572C"/>
    <w:rsid w:val="00C65A7E"/>
    <w:rsid w:val="00C65EEC"/>
    <w:rsid w:val="00C6669C"/>
    <w:rsid w:val="00C672C4"/>
    <w:rsid w:val="00C674CB"/>
    <w:rsid w:val="00C67AC4"/>
    <w:rsid w:val="00C708F7"/>
    <w:rsid w:val="00C70CFF"/>
    <w:rsid w:val="00C71973"/>
    <w:rsid w:val="00C71A6A"/>
    <w:rsid w:val="00C72EB9"/>
    <w:rsid w:val="00C74092"/>
    <w:rsid w:val="00C75655"/>
    <w:rsid w:val="00C757B4"/>
    <w:rsid w:val="00C75D4E"/>
    <w:rsid w:val="00C761FB"/>
    <w:rsid w:val="00C7672B"/>
    <w:rsid w:val="00C7691A"/>
    <w:rsid w:val="00C76AF3"/>
    <w:rsid w:val="00C76C36"/>
    <w:rsid w:val="00C77A1F"/>
    <w:rsid w:val="00C804C7"/>
    <w:rsid w:val="00C804D1"/>
    <w:rsid w:val="00C80CA5"/>
    <w:rsid w:val="00C818DD"/>
    <w:rsid w:val="00C819B7"/>
    <w:rsid w:val="00C81C8D"/>
    <w:rsid w:val="00C81DE1"/>
    <w:rsid w:val="00C8255A"/>
    <w:rsid w:val="00C82FC8"/>
    <w:rsid w:val="00C837C3"/>
    <w:rsid w:val="00C84497"/>
    <w:rsid w:val="00C868F6"/>
    <w:rsid w:val="00C86953"/>
    <w:rsid w:val="00C90880"/>
    <w:rsid w:val="00C90BF2"/>
    <w:rsid w:val="00C9137C"/>
    <w:rsid w:val="00C91644"/>
    <w:rsid w:val="00C930D3"/>
    <w:rsid w:val="00C9443A"/>
    <w:rsid w:val="00C9623F"/>
    <w:rsid w:val="00C9663B"/>
    <w:rsid w:val="00CA10FF"/>
    <w:rsid w:val="00CA1356"/>
    <w:rsid w:val="00CA269E"/>
    <w:rsid w:val="00CA2E99"/>
    <w:rsid w:val="00CA35C7"/>
    <w:rsid w:val="00CA3669"/>
    <w:rsid w:val="00CA43A5"/>
    <w:rsid w:val="00CA4960"/>
    <w:rsid w:val="00CA5FDE"/>
    <w:rsid w:val="00CA63F0"/>
    <w:rsid w:val="00CA67AD"/>
    <w:rsid w:val="00CA7C0B"/>
    <w:rsid w:val="00CA7F1D"/>
    <w:rsid w:val="00CB0B31"/>
    <w:rsid w:val="00CB0C1D"/>
    <w:rsid w:val="00CB0C94"/>
    <w:rsid w:val="00CB16D4"/>
    <w:rsid w:val="00CB18EB"/>
    <w:rsid w:val="00CB18FC"/>
    <w:rsid w:val="00CB2039"/>
    <w:rsid w:val="00CB21D2"/>
    <w:rsid w:val="00CB2301"/>
    <w:rsid w:val="00CB244C"/>
    <w:rsid w:val="00CB50CC"/>
    <w:rsid w:val="00CB56AB"/>
    <w:rsid w:val="00CB65BF"/>
    <w:rsid w:val="00CB6E2B"/>
    <w:rsid w:val="00CB6FF7"/>
    <w:rsid w:val="00CB7302"/>
    <w:rsid w:val="00CB792D"/>
    <w:rsid w:val="00CC010F"/>
    <w:rsid w:val="00CC1E9F"/>
    <w:rsid w:val="00CC475A"/>
    <w:rsid w:val="00CC505E"/>
    <w:rsid w:val="00CC5896"/>
    <w:rsid w:val="00CC6F89"/>
    <w:rsid w:val="00CD045F"/>
    <w:rsid w:val="00CD12FE"/>
    <w:rsid w:val="00CD2B54"/>
    <w:rsid w:val="00CD4158"/>
    <w:rsid w:val="00CD50AF"/>
    <w:rsid w:val="00CD5A0D"/>
    <w:rsid w:val="00CD6514"/>
    <w:rsid w:val="00CD665A"/>
    <w:rsid w:val="00CE0C35"/>
    <w:rsid w:val="00CE17C2"/>
    <w:rsid w:val="00CE2E09"/>
    <w:rsid w:val="00CE3810"/>
    <w:rsid w:val="00CE3A1B"/>
    <w:rsid w:val="00CE4DFE"/>
    <w:rsid w:val="00CE4EA8"/>
    <w:rsid w:val="00CE52B4"/>
    <w:rsid w:val="00CE5903"/>
    <w:rsid w:val="00CE59BB"/>
    <w:rsid w:val="00CE5DCD"/>
    <w:rsid w:val="00CE6946"/>
    <w:rsid w:val="00CE6E0B"/>
    <w:rsid w:val="00CE701C"/>
    <w:rsid w:val="00CE7599"/>
    <w:rsid w:val="00CF2095"/>
    <w:rsid w:val="00CF245A"/>
    <w:rsid w:val="00CF414A"/>
    <w:rsid w:val="00CF47E1"/>
    <w:rsid w:val="00CF4892"/>
    <w:rsid w:val="00CF4FF0"/>
    <w:rsid w:val="00CF57B0"/>
    <w:rsid w:val="00CF5B47"/>
    <w:rsid w:val="00CF607B"/>
    <w:rsid w:val="00CF685E"/>
    <w:rsid w:val="00CF6869"/>
    <w:rsid w:val="00D0042E"/>
    <w:rsid w:val="00D013CF"/>
    <w:rsid w:val="00D02B7D"/>
    <w:rsid w:val="00D038FC"/>
    <w:rsid w:val="00D04FDD"/>
    <w:rsid w:val="00D078B7"/>
    <w:rsid w:val="00D079B4"/>
    <w:rsid w:val="00D1003F"/>
    <w:rsid w:val="00D104F9"/>
    <w:rsid w:val="00D11F02"/>
    <w:rsid w:val="00D12DD6"/>
    <w:rsid w:val="00D13005"/>
    <w:rsid w:val="00D14323"/>
    <w:rsid w:val="00D157F0"/>
    <w:rsid w:val="00D1581D"/>
    <w:rsid w:val="00D15D9F"/>
    <w:rsid w:val="00D16008"/>
    <w:rsid w:val="00D165D2"/>
    <w:rsid w:val="00D166D4"/>
    <w:rsid w:val="00D20849"/>
    <w:rsid w:val="00D2099C"/>
    <w:rsid w:val="00D209C9"/>
    <w:rsid w:val="00D20A1F"/>
    <w:rsid w:val="00D20D57"/>
    <w:rsid w:val="00D22631"/>
    <w:rsid w:val="00D23DD3"/>
    <w:rsid w:val="00D241FB"/>
    <w:rsid w:val="00D25369"/>
    <w:rsid w:val="00D263ED"/>
    <w:rsid w:val="00D2656C"/>
    <w:rsid w:val="00D26D24"/>
    <w:rsid w:val="00D30254"/>
    <w:rsid w:val="00D324D4"/>
    <w:rsid w:val="00D32931"/>
    <w:rsid w:val="00D33768"/>
    <w:rsid w:val="00D33D87"/>
    <w:rsid w:val="00D33E6C"/>
    <w:rsid w:val="00D34960"/>
    <w:rsid w:val="00D349A8"/>
    <w:rsid w:val="00D34C7A"/>
    <w:rsid w:val="00D34F4A"/>
    <w:rsid w:val="00D35077"/>
    <w:rsid w:val="00D35A6E"/>
    <w:rsid w:val="00D365A7"/>
    <w:rsid w:val="00D40756"/>
    <w:rsid w:val="00D408A8"/>
    <w:rsid w:val="00D40A8C"/>
    <w:rsid w:val="00D40B27"/>
    <w:rsid w:val="00D40B57"/>
    <w:rsid w:val="00D41458"/>
    <w:rsid w:val="00D415D6"/>
    <w:rsid w:val="00D41844"/>
    <w:rsid w:val="00D41A9C"/>
    <w:rsid w:val="00D42AF2"/>
    <w:rsid w:val="00D43A67"/>
    <w:rsid w:val="00D43DC1"/>
    <w:rsid w:val="00D44A7C"/>
    <w:rsid w:val="00D45204"/>
    <w:rsid w:val="00D45DD3"/>
    <w:rsid w:val="00D4647A"/>
    <w:rsid w:val="00D46DAE"/>
    <w:rsid w:val="00D473D2"/>
    <w:rsid w:val="00D47B0C"/>
    <w:rsid w:val="00D500D9"/>
    <w:rsid w:val="00D50721"/>
    <w:rsid w:val="00D51346"/>
    <w:rsid w:val="00D51C8F"/>
    <w:rsid w:val="00D5204B"/>
    <w:rsid w:val="00D525BB"/>
    <w:rsid w:val="00D528B0"/>
    <w:rsid w:val="00D53034"/>
    <w:rsid w:val="00D53460"/>
    <w:rsid w:val="00D54B2B"/>
    <w:rsid w:val="00D54C10"/>
    <w:rsid w:val="00D55191"/>
    <w:rsid w:val="00D55240"/>
    <w:rsid w:val="00D55CD0"/>
    <w:rsid w:val="00D57275"/>
    <w:rsid w:val="00D57544"/>
    <w:rsid w:val="00D57973"/>
    <w:rsid w:val="00D60704"/>
    <w:rsid w:val="00D60CE2"/>
    <w:rsid w:val="00D612EC"/>
    <w:rsid w:val="00D6153E"/>
    <w:rsid w:val="00D61893"/>
    <w:rsid w:val="00D61A4B"/>
    <w:rsid w:val="00D61B65"/>
    <w:rsid w:val="00D623C4"/>
    <w:rsid w:val="00D62708"/>
    <w:rsid w:val="00D62932"/>
    <w:rsid w:val="00D62CE8"/>
    <w:rsid w:val="00D669D3"/>
    <w:rsid w:val="00D67FD8"/>
    <w:rsid w:val="00D70501"/>
    <w:rsid w:val="00D7065C"/>
    <w:rsid w:val="00D71A9B"/>
    <w:rsid w:val="00D71B8C"/>
    <w:rsid w:val="00D722DF"/>
    <w:rsid w:val="00D72A2E"/>
    <w:rsid w:val="00D741FF"/>
    <w:rsid w:val="00D75669"/>
    <w:rsid w:val="00D769B9"/>
    <w:rsid w:val="00D77699"/>
    <w:rsid w:val="00D807D4"/>
    <w:rsid w:val="00D81C1D"/>
    <w:rsid w:val="00D8223C"/>
    <w:rsid w:val="00D83F48"/>
    <w:rsid w:val="00D84675"/>
    <w:rsid w:val="00D8526A"/>
    <w:rsid w:val="00D8595F"/>
    <w:rsid w:val="00D86252"/>
    <w:rsid w:val="00D86EF5"/>
    <w:rsid w:val="00D87CC5"/>
    <w:rsid w:val="00D9029E"/>
    <w:rsid w:val="00D917F3"/>
    <w:rsid w:val="00D92201"/>
    <w:rsid w:val="00D9393B"/>
    <w:rsid w:val="00D95091"/>
    <w:rsid w:val="00D95A9A"/>
    <w:rsid w:val="00D95CB0"/>
    <w:rsid w:val="00D9636F"/>
    <w:rsid w:val="00D96D38"/>
    <w:rsid w:val="00D973B2"/>
    <w:rsid w:val="00D9761F"/>
    <w:rsid w:val="00D97BAA"/>
    <w:rsid w:val="00DA0435"/>
    <w:rsid w:val="00DA0773"/>
    <w:rsid w:val="00DA1902"/>
    <w:rsid w:val="00DA2866"/>
    <w:rsid w:val="00DA3AF3"/>
    <w:rsid w:val="00DA46BF"/>
    <w:rsid w:val="00DA495A"/>
    <w:rsid w:val="00DA4C31"/>
    <w:rsid w:val="00DA544F"/>
    <w:rsid w:val="00DA5455"/>
    <w:rsid w:val="00DA57F0"/>
    <w:rsid w:val="00DA5C2B"/>
    <w:rsid w:val="00DA648B"/>
    <w:rsid w:val="00DA6C17"/>
    <w:rsid w:val="00DA6F07"/>
    <w:rsid w:val="00DB0797"/>
    <w:rsid w:val="00DB0B66"/>
    <w:rsid w:val="00DB1369"/>
    <w:rsid w:val="00DB169E"/>
    <w:rsid w:val="00DB3E83"/>
    <w:rsid w:val="00DB4160"/>
    <w:rsid w:val="00DB422A"/>
    <w:rsid w:val="00DB4655"/>
    <w:rsid w:val="00DB4754"/>
    <w:rsid w:val="00DB5541"/>
    <w:rsid w:val="00DB5DF2"/>
    <w:rsid w:val="00DB5EFB"/>
    <w:rsid w:val="00DB6EF1"/>
    <w:rsid w:val="00DB6F95"/>
    <w:rsid w:val="00DB71D6"/>
    <w:rsid w:val="00DB7732"/>
    <w:rsid w:val="00DC0893"/>
    <w:rsid w:val="00DC0D8D"/>
    <w:rsid w:val="00DC1494"/>
    <w:rsid w:val="00DC19BB"/>
    <w:rsid w:val="00DC2172"/>
    <w:rsid w:val="00DC38AF"/>
    <w:rsid w:val="00DC3A4B"/>
    <w:rsid w:val="00DC4D3A"/>
    <w:rsid w:val="00DC5574"/>
    <w:rsid w:val="00DC616D"/>
    <w:rsid w:val="00DC6404"/>
    <w:rsid w:val="00DC6690"/>
    <w:rsid w:val="00DC72B1"/>
    <w:rsid w:val="00DC7B30"/>
    <w:rsid w:val="00DD113B"/>
    <w:rsid w:val="00DD1CA7"/>
    <w:rsid w:val="00DD215C"/>
    <w:rsid w:val="00DD2CC2"/>
    <w:rsid w:val="00DD3D8D"/>
    <w:rsid w:val="00DD4237"/>
    <w:rsid w:val="00DD4818"/>
    <w:rsid w:val="00DD48EF"/>
    <w:rsid w:val="00DD4C47"/>
    <w:rsid w:val="00DD54E7"/>
    <w:rsid w:val="00DD57B3"/>
    <w:rsid w:val="00DD5848"/>
    <w:rsid w:val="00DD5D3F"/>
    <w:rsid w:val="00DD613D"/>
    <w:rsid w:val="00DD64C5"/>
    <w:rsid w:val="00DD68E2"/>
    <w:rsid w:val="00DD701A"/>
    <w:rsid w:val="00DD72E1"/>
    <w:rsid w:val="00DD7ABC"/>
    <w:rsid w:val="00DD7FDF"/>
    <w:rsid w:val="00DE0758"/>
    <w:rsid w:val="00DE0776"/>
    <w:rsid w:val="00DE0B09"/>
    <w:rsid w:val="00DE1703"/>
    <w:rsid w:val="00DE25AC"/>
    <w:rsid w:val="00DE2760"/>
    <w:rsid w:val="00DE31F4"/>
    <w:rsid w:val="00DE55DE"/>
    <w:rsid w:val="00DE5995"/>
    <w:rsid w:val="00DE6744"/>
    <w:rsid w:val="00DE7750"/>
    <w:rsid w:val="00DF03CC"/>
    <w:rsid w:val="00DF049A"/>
    <w:rsid w:val="00DF0EA3"/>
    <w:rsid w:val="00DF212C"/>
    <w:rsid w:val="00DF2791"/>
    <w:rsid w:val="00DF27D4"/>
    <w:rsid w:val="00DF3174"/>
    <w:rsid w:val="00DF568D"/>
    <w:rsid w:val="00DF67D2"/>
    <w:rsid w:val="00DF7069"/>
    <w:rsid w:val="00E0055D"/>
    <w:rsid w:val="00E00C1D"/>
    <w:rsid w:val="00E00CCB"/>
    <w:rsid w:val="00E02689"/>
    <w:rsid w:val="00E03206"/>
    <w:rsid w:val="00E0324B"/>
    <w:rsid w:val="00E03BB4"/>
    <w:rsid w:val="00E04064"/>
    <w:rsid w:val="00E042C7"/>
    <w:rsid w:val="00E04F6D"/>
    <w:rsid w:val="00E057F8"/>
    <w:rsid w:val="00E0781A"/>
    <w:rsid w:val="00E1053A"/>
    <w:rsid w:val="00E10B7B"/>
    <w:rsid w:val="00E1127F"/>
    <w:rsid w:val="00E11475"/>
    <w:rsid w:val="00E116C5"/>
    <w:rsid w:val="00E12A46"/>
    <w:rsid w:val="00E13A67"/>
    <w:rsid w:val="00E13E04"/>
    <w:rsid w:val="00E1419D"/>
    <w:rsid w:val="00E149C5"/>
    <w:rsid w:val="00E15C62"/>
    <w:rsid w:val="00E165FA"/>
    <w:rsid w:val="00E167D3"/>
    <w:rsid w:val="00E16D63"/>
    <w:rsid w:val="00E175A7"/>
    <w:rsid w:val="00E20168"/>
    <w:rsid w:val="00E20740"/>
    <w:rsid w:val="00E20E92"/>
    <w:rsid w:val="00E221C1"/>
    <w:rsid w:val="00E22C75"/>
    <w:rsid w:val="00E245DA"/>
    <w:rsid w:val="00E24645"/>
    <w:rsid w:val="00E24817"/>
    <w:rsid w:val="00E24A2B"/>
    <w:rsid w:val="00E25257"/>
    <w:rsid w:val="00E25496"/>
    <w:rsid w:val="00E260C5"/>
    <w:rsid w:val="00E27177"/>
    <w:rsid w:val="00E274B5"/>
    <w:rsid w:val="00E30D61"/>
    <w:rsid w:val="00E30F1B"/>
    <w:rsid w:val="00E31609"/>
    <w:rsid w:val="00E31BCB"/>
    <w:rsid w:val="00E32963"/>
    <w:rsid w:val="00E32C81"/>
    <w:rsid w:val="00E337BC"/>
    <w:rsid w:val="00E350CD"/>
    <w:rsid w:val="00E372A9"/>
    <w:rsid w:val="00E4001B"/>
    <w:rsid w:val="00E43094"/>
    <w:rsid w:val="00E43E14"/>
    <w:rsid w:val="00E4448C"/>
    <w:rsid w:val="00E45A4C"/>
    <w:rsid w:val="00E46123"/>
    <w:rsid w:val="00E461C0"/>
    <w:rsid w:val="00E47262"/>
    <w:rsid w:val="00E50B9E"/>
    <w:rsid w:val="00E50E3D"/>
    <w:rsid w:val="00E50F64"/>
    <w:rsid w:val="00E51E10"/>
    <w:rsid w:val="00E51FDE"/>
    <w:rsid w:val="00E52475"/>
    <w:rsid w:val="00E534B2"/>
    <w:rsid w:val="00E53759"/>
    <w:rsid w:val="00E53A12"/>
    <w:rsid w:val="00E55479"/>
    <w:rsid w:val="00E5553E"/>
    <w:rsid w:val="00E5659E"/>
    <w:rsid w:val="00E567DA"/>
    <w:rsid w:val="00E568DA"/>
    <w:rsid w:val="00E56B66"/>
    <w:rsid w:val="00E579AF"/>
    <w:rsid w:val="00E57CF3"/>
    <w:rsid w:val="00E57D30"/>
    <w:rsid w:val="00E60545"/>
    <w:rsid w:val="00E6066A"/>
    <w:rsid w:val="00E609AD"/>
    <w:rsid w:val="00E622CC"/>
    <w:rsid w:val="00E62523"/>
    <w:rsid w:val="00E639E9"/>
    <w:rsid w:val="00E63D14"/>
    <w:rsid w:val="00E64563"/>
    <w:rsid w:val="00E6468A"/>
    <w:rsid w:val="00E64F7F"/>
    <w:rsid w:val="00E65A5A"/>
    <w:rsid w:val="00E65CE2"/>
    <w:rsid w:val="00E6643E"/>
    <w:rsid w:val="00E700DE"/>
    <w:rsid w:val="00E705B7"/>
    <w:rsid w:val="00E7086E"/>
    <w:rsid w:val="00E70ECC"/>
    <w:rsid w:val="00E71839"/>
    <w:rsid w:val="00E71A89"/>
    <w:rsid w:val="00E71DE5"/>
    <w:rsid w:val="00E71FC7"/>
    <w:rsid w:val="00E724E0"/>
    <w:rsid w:val="00E72CAB"/>
    <w:rsid w:val="00E73D0F"/>
    <w:rsid w:val="00E76187"/>
    <w:rsid w:val="00E7694D"/>
    <w:rsid w:val="00E770B5"/>
    <w:rsid w:val="00E77197"/>
    <w:rsid w:val="00E77A3E"/>
    <w:rsid w:val="00E8187B"/>
    <w:rsid w:val="00E81B1A"/>
    <w:rsid w:val="00E81DD4"/>
    <w:rsid w:val="00E84FB3"/>
    <w:rsid w:val="00E8523F"/>
    <w:rsid w:val="00E854DD"/>
    <w:rsid w:val="00E86986"/>
    <w:rsid w:val="00E86A3E"/>
    <w:rsid w:val="00E87037"/>
    <w:rsid w:val="00E9026A"/>
    <w:rsid w:val="00E91230"/>
    <w:rsid w:val="00E923C6"/>
    <w:rsid w:val="00E940E0"/>
    <w:rsid w:val="00E9505D"/>
    <w:rsid w:val="00E964CA"/>
    <w:rsid w:val="00E96D70"/>
    <w:rsid w:val="00E96E05"/>
    <w:rsid w:val="00E971A1"/>
    <w:rsid w:val="00E9767C"/>
    <w:rsid w:val="00E97BD6"/>
    <w:rsid w:val="00E97E67"/>
    <w:rsid w:val="00EA0F03"/>
    <w:rsid w:val="00EA1EF9"/>
    <w:rsid w:val="00EA25C1"/>
    <w:rsid w:val="00EA2BC8"/>
    <w:rsid w:val="00EA2CA0"/>
    <w:rsid w:val="00EA2D03"/>
    <w:rsid w:val="00EA3031"/>
    <w:rsid w:val="00EA3C3F"/>
    <w:rsid w:val="00EA416A"/>
    <w:rsid w:val="00EA575C"/>
    <w:rsid w:val="00EA60B4"/>
    <w:rsid w:val="00EA6F81"/>
    <w:rsid w:val="00EA7237"/>
    <w:rsid w:val="00EB0468"/>
    <w:rsid w:val="00EB055B"/>
    <w:rsid w:val="00EB0A51"/>
    <w:rsid w:val="00EB0DC2"/>
    <w:rsid w:val="00EB112A"/>
    <w:rsid w:val="00EB1504"/>
    <w:rsid w:val="00EB2C07"/>
    <w:rsid w:val="00EB2FE6"/>
    <w:rsid w:val="00EB47AB"/>
    <w:rsid w:val="00EB47EA"/>
    <w:rsid w:val="00EB57D6"/>
    <w:rsid w:val="00EB58DD"/>
    <w:rsid w:val="00EB6050"/>
    <w:rsid w:val="00EB67F6"/>
    <w:rsid w:val="00EB7727"/>
    <w:rsid w:val="00EB7AFB"/>
    <w:rsid w:val="00EB7C86"/>
    <w:rsid w:val="00EC103A"/>
    <w:rsid w:val="00EC1212"/>
    <w:rsid w:val="00EC1D3D"/>
    <w:rsid w:val="00EC270B"/>
    <w:rsid w:val="00EC2922"/>
    <w:rsid w:val="00EC3151"/>
    <w:rsid w:val="00EC3331"/>
    <w:rsid w:val="00EC34C9"/>
    <w:rsid w:val="00EC518F"/>
    <w:rsid w:val="00EC5B5B"/>
    <w:rsid w:val="00EC677E"/>
    <w:rsid w:val="00EC7071"/>
    <w:rsid w:val="00EC7E67"/>
    <w:rsid w:val="00ED0452"/>
    <w:rsid w:val="00ED0903"/>
    <w:rsid w:val="00ED0DF3"/>
    <w:rsid w:val="00ED1F5D"/>
    <w:rsid w:val="00ED2B57"/>
    <w:rsid w:val="00ED3143"/>
    <w:rsid w:val="00ED362B"/>
    <w:rsid w:val="00ED3E97"/>
    <w:rsid w:val="00ED3F10"/>
    <w:rsid w:val="00ED4606"/>
    <w:rsid w:val="00ED4CE6"/>
    <w:rsid w:val="00ED5466"/>
    <w:rsid w:val="00ED5536"/>
    <w:rsid w:val="00ED56CF"/>
    <w:rsid w:val="00ED5B5C"/>
    <w:rsid w:val="00ED6083"/>
    <w:rsid w:val="00ED6B5A"/>
    <w:rsid w:val="00ED70BD"/>
    <w:rsid w:val="00ED7934"/>
    <w:rsid w:val="00EE00AE"/>
    <w:rsid w:val="00EE0B3E"/>
    <w:rsid w:val="00EE1208"/>
    <w:rsid w:val="00EE1FD6"/>
    <w:rsid w:val="00EE37BB"/>
    <w:rsid w:val="00EE37C3"/>
    <w:rsid w:val="00EE4952"/>
    <w:rsid w:val="00EE526B"/>
    <w:rsid w:val="00EE6A61"/>
    <w:rsid w:val="00EF063D"/>
    <w:rsid w:val="00EF1830"/>
    <w:rsid w:val="00EF2EA9"/>
    <w:rsid w:val="00EF37CF"/>
    <w:rsid w:val="00EF3F1B"/>
    <w:rsid w:val="00EF4058"/>
    <w:rsid w:val="00EF4099"/>
    <w:rsid w:val="00EF4DA7"/>
    <w:rsid w:val="00EF4F82"/>
    <w:rsid w:val="00EF59CA"/>
    <w:rsid w:val="00EF6BDC"/>
    <w:rsid w:val="00F0190F"/>
    <w:rsid w:val="00F01C4C"/>
    <w:rsid w:val="00F02786"/>
    <w:rsid w:val="00F0434F"/>
    <w:rsid w:val="00F05566"/>
    <w:rsid w:val="00F058A3"/>
    <w:rsid w:val="00F05D0A"/>
    <w:rsid w:val="00F0670F"/>
    <w:rsid w:val="00F068E9"/>
    <w:rsid w:val="00F0692E"/>
    <w:rsid w:val="00F06A1F"/>
    <w:rsid w:val="00F0722A"/>
    <w:rsid w:val="00F07FA6"/>
    <w:rsid w:val="00F10838"/>
    <w:rsid w:val="00F11BB3"/>
    <w:rsid w:val="00F12E1B"/>
    <w:rsid w:val="00F13036"/>
    <w:rsid w:val="00F14DC1"/>
    <w:rsid w:val="00F15C3C"/>
    <w:rsid w:val="00F1661C"/>
    <w:rsid w:val="00F16EB0"/>
    <w:rsid w:val="00F209BB"/>
    <w:rsid w:val="00F2127D"/>
    <w:rsid w:val="00F212E5"/>
    <w:rsid w:val="00F215C6"/>
    <w:rsid w:val="00F215DE"/>
    <w:rsid w:val="00F21D1A"/>
    <w:rsid w:val="00F22865"/>
    <w:rsid w:val="00F2411E"/>
    <w:rsid w:val="00F244C9"/>
    <w:rsid w:val="00F24BF5"/>
    <w:rsid w:val="00F24D75"/>
    <w:rsid w:val="00F24F4E"/>
    <w:rsid w:val="00F261E3"/>
    <w:rsid w:val="00F278F7"/>
    <w:rsid w:val="00F30EB3"/>
    <w:rsid w:val="00F31995"/>
    <w:rsid w:val="00F32E80"/>
    <w:rsid w:val="00F33948"/>
    <w:rsid w:val="00F34B2F"/>
    <w:rsid w:val="00F34F33"/>
    <w:rsid w:val="00F35472"/>
    <w:rsid w:val="00F366D8"/>
    <w:rsid w:val="00F36D1F"/>
    <w:rsid w:val="00F3769E"/>
    <w:rsid w:val="00F379BA"/>
    <w:rsid w:val="00F40F06"/>
    <w:rsid w:val="00F41172"/>
    <w:rsid w:val="00F42669"/>
    <w:rsid w:val="00F4374F"/>
    <w:rsid w:val="00F44B97"/>
    <w:rsid w:val="00F46A6E"/>
    <w:rsid w:val="00F47128"/>
    <w:rsid w:val="00F4749B"/>
    <w:rsid w:val="00F50376"/>
    <w:rsid w:val="00F514FB"/>
    <w:rsid w:val="00F523E8"/>
    <w:rsid w:val="00F52B73"/>
    <w:rsid w:val="00F52C8E"/>
    <w:rsid w:val="00F54F4B"/>
    <w:rsid w:val="00F55062"/>
    <w:rsid w:val="00F55A62"/>
    <w:rsid w:val="00F55B9C"/>
    <w:rsid w:val="00F56A79"/>
    <w:rsid w:val="00F56CE9"/>
    <w:rsid w:val="00F57DCA"/>
    <w:rsid w:val="00F60793"/>
    <w:rsid w:val="00F61151"/>
    <w:rsid w:val="00F63723"/>
    <w:rsid w:val="00F64E44"/>
    <w:rsid w:val="00F64ECE"/>
    <w:rsid w:val="00F67B6E"/>
    <w:rsid w:val="00F7174B"/>
    <w:rsid w:val="00F71E5B"/>
    <w:rsid w:val="00F72583"/>
    <w:rsid w:val="00F72A85"/>
    <w:rsid w:val="00F73B0B"/>
    <w:rsid w:val="00F747B9"/>
    <w:rsid w:val="00F77765"/>
    <w:rsid w:val="00F77907"/>
    <w:rsid w:val="00F77EC3"/>
    <w:rsid w:val="00F8049C"/>
    <w:rsid w:val="00F816B4"/>
    <w:rsid w:val="00F823C6"/>
    <w:rsid w:val="00F83E63"/>
    <w:rsid w:val="00F841E0"/>
    <w:rsid w:val="00F842C0"/>
    <w:rsid w:val="00F84E26"/>
    <w:rsid w:val="00F84FE8"/>
    <w:rsid w:val="00F853B8"/>
    <w:rsid w:val="00F85C67"/>
    <w:rsid w:val="00F85E98"/>
    <w:rsid w:val="00F8729F"/>
    <w:rsid w:val="00F90F30"/>
    <w:rsid w:val="00F9172E"/>
    <w:rsid w:val="00F91762"/>
    <w:rsid w:val="00F91943"/>
    <w:rsid w:val="00F92808"/>
    <w:rsid w:val="00F92924"/>
    <w:rsid w:val="00F9310B"/>
    <w:rsid w:val="00F9342E"/>
    <w:rsid w:val="00F9388B"/>
    <w:rsid w:val="00F9390A"/>
    <w:rsid w:val="00F945ED"/>
    <w:rsid w:val="00F951A5"/>
    <w:rsid w:val="00F95989"/>
    <w:rsid w:val="00F95AC9"/>
    <w:rsid w:val="00F963F4"/>
    <w:rsid w:val="00F97843"/>
    <w:rsid w:val="00FA00C9"/>
    <w:rsid w:val="00FA0EEA"/>
    <w:rsid w:val="00FA320A"/>
    <w:rsid w:val="00FA49A5"/>
    <w:rsid w:val="00FA4E75"/>
    <w:rsid w:val="00FA5C88"/>
    <w:rsid w:val="00FA6372"/>
    <w:rsid w:val="00FA6845"/>
    <w:rsid w:val="00FA72D9"/>
    <w:rsid w:val="00FA7C8B"/>
    <w:rsid w:val="00FB0249"/>
    <w:rsid w:val="00FB1051"/>
    <w:rsid w:val="00FB1263"/>
    <w:rsid w:val="00FB17E3"/>
    <w:rsid w:val="00FB3343"/>
    <w:rsid w:val="00FB3CE5"/>
    <w:rsid w:val="00FB6425"/>
    <w:rsid w:val="00FB793A"/>
    <w:rsid w:val="00FC0B12"/>
    <w:rsid w:val="00FC0E31"/>
    <w:rsid w:val="00FC1056"/>
    <w:rsid w:val="00FC2DFD"/>
    <w:rsid w:val="00FC5915"/>
    <w:rsid w:val="00FC5A51"/>
    <w:rsid w:val="00FC5D6D"/>
    <w:rsid w:val="00FC6451"/>
    <w:rsid w:val="00FC6961"/>
    <w:rsid w:val="00FC718B"/>
    <w:rsid w:val="00FC74FE"/>
    <w:rsid w:val="00FD02B5"/>
    <w:rsid w:val="00FD07DD"/>
    <w:rsid w:val="00FD2233"/>
    <w:rsid w:val="00FD6657"/>
    <w:rsid w:val="00FD6A7F"/>
    <w:rsid w:val="00FD7187"/>
    <w:rsid w:val="00FD7B20"/>
    <w:rsid w:val="00FE015F"/>
    <w:rsid w:val="00FE0276"/>
    <w:rsid w:val="00FE3498"/>
    <w:rsid w:val="00FE5873"/>
    <w:rsid w:val="00FE61B0"/>
    <w:rsid w:val="00FE6527"/>
    <w:rsid w:val="00FE6ADE"/>
    <w:rsid w:val="00FE7387"/>
    <w:rsid w:val="00FE76E3"/>
    <w:rsid w:val="00FF0584"/>
    <w:rsid w:val="00FF1A54"/>
    <w:rsid w:val="00FF55DD"/>
    <w:rsid w:val="00FF62FE"/>
    <w:rsid w:val="00FF63A5"/>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 w:type="character" w:styleId="FollowedHyperlink">
    <w:name w:val="FollowedHyperlink"/>
    <w:basedOn w:val="DefaultParagraphFont"/>
    <w:uiPriority w:val="99"/>
    <w:semiHidden/>
    <w:unhideWhenUsed/>
    <w:rsid w:val="00D47B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
    <w:basedOn w:val="Normal"/>
    <w:link w:val="FootnoteTextChar"/>
    <w:uiPriority w:val="99"/>
    <w:unhideWhenUsed/>
    <w:qFormat/>
    <w:rsid w:val="00F7174B"/>
  </w:style>
  <w:style w:type="character" w:customStyle="1" w:styleId="FootnoteTextChar">
    <w:name w:val="Footnote Text Char"/>
    <w:aliases w:val="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 w:type="character" w:styleId="FollowedHyperlink">
    <w:name w:val="FollowedHyperlink"/>
    <w:basedOn w:val="DefaultParagraphFont"/>
    <w:uiPriority w:val="99"/>
    <w:semiHidden/>
    <w:unhideWhenUsed/>
    <w:rsid w:val="00D47B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0400">
      <w:bodyDiv w:val="1"/>
      <w:marLeft w:val="0"/>
      <w:marRight w:val="0"/>
      <w:marTop w:val="0"/>
      <w:marBottom w:val="0"/>
      <w:divBdr>
        <w:top w:val="none" w:sz="0" w:space="0" w:color="auto"/>
        <w:left w:val="none" w:sz="0" w:space="0" w:color="auto"/>
        <w:bottom w:val="none" w:sz="0" w:space="0" w:color="auto"/>
        <w:right w:val="none" w:sz="0" w:space="0" w:color="auto"/>
      </w:divBdr>
    </w:div>
    <w:div w:id="136650528">
      <w:bodyDiv w:val="1"/>
      <w:marLeft w:val="0"/>
      <w:marRight w:val="0"/>
      <w:marTop w:val="0"/>
      <w:marBottom w:val="0"/>
      <w:divBdr>
        <w:top w:val="none" w:sz="0" w:space="0" w:color="auto"/>
        <w:left w:val="none" w:sz="0" w:space="0" w:color="auto"/>
        <w:bottom w:val="none" w:sz="0" w:space="0" w:color="auto"/>
        <w:right w:val="none" w:sz="0" w:space="0" w:color="auto"/>
      </w:divBdr>
    </w:div>
    <w:div w:id="285545926">
      <w:bodyDiv w:val="1"/>
      <w:marLeft w:val="0"/>
      <w:marRight w:val="0"/>
      <w:marTop w:val="0"/>
      <w:marBottom w:val="0"/>
      <w:divBdr>
        <w:top w:val="none" w:sz="0" w:space="0" w:color="auto"/>
        <w:left w:val="none" w:sz="0" w:space="0" w:color="auto"/>
        <w:bottom w:val="none" w:sz="0" w:space="0" w:color="auto"/>
        <w:right w:val="none" w:sz="0" w:space="0" w:color="auto"/>
      </w:divBdr>
    </w:div>
    <w:div w:id="401758664">
      <w:bodyDiv w:val="1"/>
      <w:marLeft w:val="0"/>
      <w:marRight w:val="0"/>
      <w:marTop w:val="0"/>
      <w:marBottom w:val="0"/>
      <w:divBdr>
        <w:top w:val="none" w:sz="0" w:space="0" w:color="auto"/>
        <w:left w:val="none" w:sz="0" w:space="0" w:color="auto"/>
        <w:bottom w:val="none" w:sz="0" w:space="0" w:color="auto"/>
        <w:right w:val="none" w:sz="0" w:space="0" w:color="auto"/>
      </w:divBdr>
    </w:div>
    <w:div w:id="519203584">
      <w:bodyDiv w:val="1"/>
      <w:marLeft w:val="0"/>
      <w:marRight w:val="0"/>
      <w:marTop w:val="0"/>
      <w:marBottom w:val="0"/>
      <w:divBdr>
        <w:top w:val="none" w:sz="0" w:space="0" w:color="auto"/>
        <w:left w:val="none" w:sz="0" w:space="0" w:color="auto"/>
        <w:bottom w:val="none" w:sz="0" w:space="0" w:color="auto"/>
        <w:right w:val="none" w:sz="0" w:space="0" w:color="auto"/>
      </w:divBdr>
    </w:div>
    <w:div w:id="584149063">
      <w:bodyDiv w:val="1"/>
      <w:marLeft w:val="0"/>
      <w:marRight w:val="0"/>
      <w:marTop w:val="0"/>
      <w:marBottom w:val="0"/>
      <w:divBdr>
        <w:top w:val="none" w:sz="0" w:space="0" w:color="auto"/>
        <w:left w:val="none" w:sz="0" w:space="0" w:color="auto"/>
        <w:bottom w:val="none" w:sz="0" w:space="0" w:color="auto"/>
        <w:right w:val="none" w:sz="0" w:space="0" w:color="auto"/>
      </w:divBdr>
    </w:div>
    <w:div w:id="584801348">
      <w:bodyDiv w:val="1"/>
      <w:marLeft w:val="0"/>
      <w:marRight w:val="0"/>
      <w:marTop w:val="0"/>
      <w:marBottom w:val="0"/>
      <w:divBdr>
        <w:top w:val="none" w:sz="0" w:space="0" w:color="auto"/>
        <w:left w:val="none" w:sz="0" w:space="0" w:color="auto"/>
        <w:bottom w:val="none" w:sz="0" w:space="0" w:color="auto"/>
        <w:right w:val="none" w:sz="0" w:space="0" w:color="auto"/>
      </w:divBdr>
    </w:div>
    <w:div w:id="679427013">
      <w:bodyDiv w:val="1"/>
      <w:marLeft w:val="0"/>
      <w:marRight w:val="0"/>
      <w:marTop w:val="0"/>
      <w:marBottom w:val="0"/>
      <w:divBdr>
        <w:top w:val="none" w:sz="0" w:space="0" w:color="auto"/>
        <w:left w:val="none" w:sz="0" w:space="0" w:color="auto"/>
        <w:bottom w:val="none" w:sz="0" w:space="0" w:color="auto"/>
        <w:right w:val="none" w:sz="0" w:space="0" w:color="auto"/>
      </w:divBdr>
    </w:div>
    <w:div w:id="839077531">
      <w:bodyDiv w:val="1"/>
      <w:marLeft w:val="0"/>
      <w:marRight w:val="0"/>
      <w:marTop w:val="0"/>
      <w:marBottom w:val="0"/>
      <w:divBdr>
        <w:top w:val="none" w:sz="0" w:space="0" w:color="auto"/>
        <w:left w:val="none" w:sz="0" w:space="0" w:color="auto"/>
        <w:bottom w:val="none" w:sz="0" w:space="0" w:color="auto"/>
        <w:right w:val="none" w:sz="0" w:space="0" w:color="auto"/>
      </w:divBdr>
    </w:div>
    <w:div w:id="861044141">
      <w:bodyDiv w:val="1"/>
      <w:marLeft w:val="0"/>
      <w:marRight w:val="0"/>
      <w:marTop w:val="0"/>
      <w:marBottom w:val="0"/>
      <w:divBdr>
        <w:top w:val="none" w:sz="0" w:space="0" w:color="auto"/>
        <w:left w:val="none" w:sz="0" w:space="0" w:color="auto"/>
        <w:bottom w:val="none" w:sz="0" w:space="0" w:color="auto"/>
        <w:right w:val="none" w:sz="0" w:space="0" w:color="auto"/>
      </w:divBdr>
    </w:div>
    <w:div w:id="889458903">
      <w:bodyDiv w:val="1"/>
      <w:marLeft w:val="0"/>
      <w:marRight w:val="0"/>
      <w:marTop w:val="0"/>
      <w:marBottom w:val="0"/>
      <w:divBdr>
        <w:top w:val="none" w:sz="0" w:space="0" w:color="auto"/>
        <w:left w:val="none" w:sz="0" w:space="0" w:color="auto"/>
        <w:bottom w:val="none" w:sz="0" w:space="0" w:color="auto"/>
        <w:right w:val="none" w:sz="0" w:space="0" w:color="auto"/>
      </w:divBdr>
    </w:div>
    <w:div w:id="1171065470">
      <w:bodyDiv w:val="1"/>
      <w:marLeft w:val="0"/>
      <w:marRight w:val="0"/>
      <w:marTop w:val="0"/>
      <w:marBottom w:val="0"/>
      <w:divBdr>
        <w:top w:val="none" w:sz="0" w:space="0" w:color="auto"/>
        <w:left w:val="none" w:sz="0" w:space="0" w:color="auto"/>
        <w:bottom w:val="none" w:sz="0" w:space="0" w:color="auto"/>
        <w:right w:val="none" w:sz="0" w:space="0" w:color="auto"/>
      </w:divBdr>
    </w:div>
    <w:div w:id="1187521846">
      <w:bodyDiv w:val="1"/>
      <w:marLeft w:val="0"/>
      <w:marRight w:val="0"/>
      <w:marTop w:val="0"/>
      <w:marBottom w:val="0"/>
      <w:divBdr>
        <w:top w:val="none" w:sz="0" w:space="0" w:color="auto"/>
        <w:left w:val="none" w:sz="0" w:space="0" w:color="auto"/>
        <w:bottom w:val="none" w:sz="0" w:space="0" w:color="auto"/>
        <w:right w:val="none" w:sz="0" w:space="0" w:color="auto"/>
      </w:divBdr>
    </w:div>
    <w:div w:id="1535382618">
      <w:bodyDiv w:val="1"/>
      <w:marLeft w:val="0"/>
      <w:marRight w:val="0"/>
      <w:marTop w:val="0"/>
      <w:marBottom w:val="0"/>
      <w:divBdr>
        <w:top w:val="none" w:sz="0" w:space="0" w:color="auto"/>
        <w:left w:val="none" w:sz="0" w:space="0" w:color="auto"/>
        <w:bottom w:val="none" w:sz="0" w:space="0" w:color="auto"/>
        <w:right w:val="none" w:sz="0" w:space="0" w:color="auto"/>
      </w:divBdr>
    </w:div>
    <w:div w:id="1663580998">
      <w:bodyDiv w:val="1"/>
      <w:marLeft w:val="0"/>
      <w:marRight w:val="0"/>
      <w:marTop w:val="0"/>
      <w:marBottom w:val="0"/>
      <w:divBdr>
        <w:top w:val="none" w:sz="0" w:space="0" w:color="auto"/>
        <w:left w:val="none" w:sz="0" w:space="0" w:color="auto"/>
        <w:bottom w:val="none" w:sz="0" w:space="0" w:color="auto"/>
        <w:right w:val="none" w:sz="0" w:space="0" w:color="auto"/>
      </w:divBdr>
    </w:div>
    <w:div w:id="1852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5F19-0702-41F6-88DE-C8474870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4764</Words>
  <Characters>27156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4</cp:revision>
  <cp:lastPrinted>2015-11-05T20:19:00Z</cp:lastPrinted>
  <dcterms:created xsi:type="dcterms:W3CDTF">2015-11-05T22:41:00Z</dcterms:created>
  <dcterms:modified xsi:type="dcterms:W3CDTF">2015-11-19T13:10:00Z</dcterms:modified>
</cp:coreProperties>
</file>