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70" w:rsidRPr="002C61BD" w:rsidRDefault="007E0B70" w:rsidP="007E0B70">
      <w:pPr>
        <w:pStyle w:val="Heading8"/>
        <w:ind w:left="270"/>
        <w:jc w:val="center"/>
        <w:rPr>
          <w:rFonts w:ascii="Arial" w:hAnsi="Arial" w:cs="Arial"/>
          <w:sz w:val="32"/>
          <w:szCs w:val="32"/>
        </w:rPr>
      </w:pPr>
    </w:p>
    <w:p w:rsidR="00C26FE9" w:rsidRPr="002C61BD" w:rsidRDefault="00C26FE9" w:rsidP="007E0B70">
      <w:pPr>
        <w:pStyle w:val="Title"/>
        <w:rPr>
          <w:rFonts w:ascii="Arial" w:hAnsi="Arial" w:cs="Arial"/>
          <w:sz w:val="36"/>
          <w:szCs w:val="36"/>
          <w:u w:val="none"/>
        </w:rPr>
      </w:pPr>
    </w:p>
    <w:p w:rsidR="00C26FE9" w:rsidRPr="002C61BD" w:rsidRDefault="00C26FE9" w:rsidP="007E0B70">
      <w:pPr>
        <w:pStyle w:val="Title"/>
        <w:rPr>
          <w:rFonts w:ascii="Arial" w:hAnsi="Arial" w:cs="Arial"/>
          <w:sz w:val="36"/>
          <w:szCs w:val="36"/>
          <w:u w:val="none"/>
        </w:rPr>
      </w:pPr>
    </w:p>
    <w:p w:rsidR="00C26FE9" w:rsidRPr="002C61BD" w:rsidRDefault="00C26FE9" w:rsidP="007E0B70">
      <w:pPr>
        <w:pStyle w:val="Title"/>
        <w:rPr>
          <w:rFonts w:ascii="Arial" w:hAnsi="Arial" w:cs="Arial"/>
          <w:sz w:val="36"/>
          <w:szCs w:val="36"/>
          <w:u w:val="none"/>
        </w:rPr>
      </w:pPr>
    </w:p>
    <w:p w:rsidR="00C26FE9" w:rsidRPr="002C61BD" w:rsidRDefault="00C26FE9" w:rsidP="007E0B70">
      <w:pPr>
        <w:pStyle w:val="Title"/>
        <w:rPr>
          <w:rFonts w:ascii="Arial" w:hAnsi="Arial" w:cs="Arial"/>
          <w:sz w:val="36"/>
          <w:szCs w:val="36"/>
          <w:u w:val="none"/>
        </w:rPr>
      </w:pPr>
    </w:p>
    <w:p w:rsidR="001167C2" w:rsidRDefault="001167C2" w:rsidP="00015B05">
      <w:pPr>
        <w:pStyle w:val="Heading1"/>
        <w:rPr>
          <w:rFonts w:ascii="Arial" w:hAnsi="Arial" w:cs="Arial"/>
          <w:sz w:val="36"/>
          <w:szCs w:val="36"/>
          <w:u w:val="none"/>
        </w:rPr>
      </w:pPr>
    </w:p>
    <w:p w:rsidR="001167C2" w:rsidRDefault="001167C2" w:rsidP="00015B05">
      <w:pPr>
        <w:pStyle w:val="Heading1"/>
        <w:rPr>
          <w:rFonts w:ascii="Arial" w:hAnsi="Arial" w:cs="Arial"/>
          <w:sz w:val="36"/>
          <w:szCs w:val="36"/>
          <w:u w:val="none"/>
        </w:rPr>
      </w:pPr>
    </w:p>
    <w:p w:rsidR="00015B05" w:rsidRPr="00015B05" w:rsidRDefault="00015B05" w:rsidP="00015B05">
      <w:pPr>
        <w:pStyle w:val="Heading1"/>
        <w:rPr>
          <w:rFonts w:ascii="Arial" w:hAnsi="Arial" w:cs="Arial"/>
          <w:sz w:val="36"/>
          <w:szCs w:val="36"/>
          <w:u w:val="none"/>
        </w:rPr>
      </w:pPr>
      <w:r w:rsidRPr="00015B05">
        <w:rPr>
          <w:rFonts w:ascii="Arial" w:hAnsi="Arial" w:cs="Arial"/>
          <w:sz w:val="36"/>
          <w:szCs w:val="36"/>
          <w:u w:val="none"/>
        </w:rPr>
        <w:t>PECO ENERGY COMPANY</w:t>
      </w:r>
    </w:p>
    <w:p w:rsidR="007E0B70" w:rsidRPr="002C61BD" w:rsidRDefault="007E0B70" w:rsidP="007E0B70">
      <w:pPr>
        <w:pStyle w:val="Heading8"/>
        <w:jc w:val="center"/>
        <w:rPr>
          <w:rFonts w:ascii="Arial" w:hAnsi="Arial" w:cs="Arial"/>
          <w:sz w:val="24"/>
          <w:szCs w:val="24"/>
        </w:rPr>
      </w:pPr>
    </w:p>
    <w:p w:rsidR="007E0B70" w:rsidRPr="002C61BD" w:rsidRDefault="007E0B70" w:rsidP="007E0B70">
      <w:pPr>
        <w:pStyle w:val="BodyText2"/>
        <w:rPr>
          <w:rFonts w:ascii="Arial" w:hAnsi="Arial" w:cs="Arial"/>
          <w:sz w:val="24"/>
          <w:szCs w:val="24"/>
        </w:rPr>
      </w:pPr>
    </w:p>
    <w:p w:rsidR="007E0B70" w:rsidRPr="002C61BD" w:rsidRDefault="007E0B70" w:rsidP="007E0B70">
      <w:pPr>
        <w:pStyle w:val="BodyText2"/>
        <w:rPr>
          <w:rFonts w:ascii="Arial" w:hAnsi="Arial" w:cs="Arial"/>
          <w:sz w:val="24"/>
          <w:szCs w:val="24"/>
        </w:rPr>
      </w:pPr>
    </w:p>
    <w:p w:rsidR="007E0B70" w:rsidRPr="002C61BD" w:rsidRDefault="007E0B70" w:rsidP="007E0B70">
      <w:pPr>
        <w:pStyle w:val="BodyText2"/>
        <w:rPr>
          <w:rFonts w:ascii="Arial" w:hAnsi="Arial" w:cs="Arial"/>
          <w:sz w:val="24"/>
          <w:szCs w:val="24"/>
        </w:rPr>
      </w:pPr>
    </w:p>
    <w:p w:rsidR="007E0B70" w:rsidRPr="002C61BD" w:rsidRDefault="007E0B70" w:rsidP="007E0B70">
      <w:pPr>
        <w:pStyle w:val="BodyText2"/>
        <w:rPr>
          <w:rFonts w:ascii="Arial" w:hAnsi="Arial" w:cs="Arial"/>
          <w:sz w:val="24"/>
          <w:szCs w:val="24"/>
        </w:rPr>
      </w:pPr>
    </w:p>
    <w:p w:rsidR="007E0B70" w:rsidRPr="002C61BD" w:rsidRDefault="007E0B70" w:rsidP="007E0B70">
      <w:pPr>
        <w:pStyle w:val="BodyText2"/>
        <w:rPr>
          <w:rFonts w:ascii="Arial" w:hAnsi="Arial" w:cs="Arial"/>
          <w:sz w:val="24"/>
          <w:szCs w:val="24"/>
        </w:rPr>
      </w:pPr>
    </w:p>
    <w:p w:rsidR="007E0B70" w:rsidRDefault="007E0B70" w:rsidP="007E0B70">
      <w:pPr>
        <w:pStyle w:val="BodyText2"/>
        <w:tabs>
          <w:tab w:val="clear" w:pos="4680"/>
        </w:tabs>
        <w:rPr>
          <w:rFonts w:ascii="Arial" w:hAnsi="Arial" w:cs="Arial"/>
          <w:sz w:val="28"/>
          <w:szCs w:val="24"/>
        </w:rPr>
      </w:pPr>
    </w:p>
    <w:p w:rsidR="00C428B6" w:rsidRPr="002C61BD" w:rsidRDefault="00C428B6" w:rsidP="007E0B70">
      <w:pPr>
        <w:pStyle w:val="BodyText2"/>
        <w:tabs>
          <w:tab w:val="clear" w:pos="4680"/>
        </w:tabs>
        <w:rPr>
          <w:rFonts w:ascii="Arial" w:hAnsi="Arial" w:cs="Arial"/>
          <w:sz w:val="28"/>
          <w:szCs w:val="24"/>
        </w:rPr>
      </w:pPr>
    </w:p>
    <w:p w:rsidR="002249EB" w:rsidRDefault="002249EB" w:rsidP="007E0B70">
      <w:pPr>
        <w:suppressAutoHyphens/>
        <w:jc w:val="center"/>
        <w:rPr>
          <w:rFonts w:ascii="Arial" w:hAnsi="Arial" w:cs="Arial"/>
          <w:b/>
          <w:sz w:val="28"/>
          <w:szCs w:val="28"/>
        </w:rPr>
      </w:pPr>
    </w:p>
    <w:p w:rsidR="001167C2" w:rsidRDefault="007E0B70" w:rsidP="007E0B70">
      <w:pPr>
        <w:suppressAutoHyphens/>
        <w:jc w:val="center"/>
        <w:rPr>
          <w:rFonts w:ascii="Arial" w:hAnsi="Arial" w:cs="Arial"/>
          <w:b/>
          <w:sz w:val="28"/>
          <w:szCs w:val="28"/>
        </w:rPr>
      </w:pPr>
      <w:r w:rsidRPr="00F51E91">
        <w:rPr>
          <w:rFonts w:ascii="Arial" w:hAnsi="Arial" w:cs="Arial"/>
          <w:b/>
          <w:sz w:val="28"/>
          <w:szCs w:val="28"/>
        </w:rPr>
        <w:t>A REPORT ON</w:t>
      </w:r>
      <w:r w:rsidR="007E0A17" w:rsidRPr="00F51E91">
        <w:rPr>
          <w:rFonts w:ascii="Arial" w:hAnsi="Arial" w:cs="Arial"/>
          <w:b/>
          <w:sz w:val="28"/>
          <w:szCs w:val="28"/>
        </w:rPr>
        <w:t xml:space="preserve"> THE </w:t>
      </w:r>
      <w:r w:rsidR="001167C2">
        <w:rPr>
          <w:rFonts w:ascii="Arial" w:hAnsi="Arial" w:cs="Arial"/>
          <w:b/>
          <w:sz w:val="28"/>
          <w:szCs w:val="28"/>
        </w:rPr>
        <w:t xml:space="preserve">STATEMENTS OF </w:t>
      </w:r>
    </w:p>
    <w:p w:rsidR="001167C2" w:rsidRDefault="001167C2" w:rsidP="007E0B70">
      <w:pPr>
        <w:suppressAutoHyphens/>
        <w:jc w:val="center"/>
        <w:rPr>
          <w:rFonts w:ascii="Arial" w:hAnsi="Arial" w:cs="Arial"/>
          <w:b/>
          <w:sz w:val="28"/>
          <w:szCs w:val="28"/>
        </w:rPr>
      </w:pPr>
    </w:p>
    <w:p w:rsidR="007E0B70" w:rsidRDefault="004D2644" w:rsidP="007E0B70">
      <w:pPr>
        <w:suppressAutoHyphens/>
        <w:jc w:val="center"/>
        <w:rPr>
          <w:rFonts w:ascii="Arial" w:hAnsi="Arial" w:cs="Arial"/>
          <w:b/>
          <w:sz w:val="28"/>
          <w:szCs w:val="28"/>
        </w:rPr>
      </w:pPr>
      <w:r w:rsidRPr="00F51E91">
        <w:rPr>
          <w:rFonts w:ascii="Arial" w:hAnsi="Arial" w:cs="Arial"/>
          <w:b/>
          <w:sz w:val="28"/>
          <w:szCs w:val="28"/>
        </w:rPr>
        <w:t>ENERGY EFFICIENCY AND CONSERVATION</w:t>
      </w:r>
      <w:r w:rsidR="00C54169" w:rsidRPr="00F51E91">
        <w:rPr>
          <w:rFonts w:ascii="Arial" w:hAnsi="Arial" w:cs="Arial"/>
          <w:b/>
          <w:sz w:val="28"/>
          <w:szCs w:val="28"/>
        </w:rPr>
        <w:t xml:space="preserve"> </w:t>
      </w:r>
      <w:r w:rsidR="005233E2" w:rsidRPr="00F51E91">
        <w:rPr>
          <w:rFonts w:ascii="Arial" w:hAnsi="Arial" w:cs="Arial"/>
          <w:b/>
          <w:sz w:val="28"/>
          <w:szCs w:val="28"/>
        </w:rPr>
        <w:t xml:space="preserve">PROGRAM </w:t>
      </w:r>
      <w:r w:rsidR="001167C2">
        <w:rPr>
          <w:rFonts w:ascii="Arial" w:hAnsi="Arial" w:cs="Arial"/>
          <w:b/>
          <w:sz w:val="28"/>
          <w:szCs w:val="28"/>
        </w:rPr>
        <w:t xml:space="preserve">COSTS </w:t>
      </w:r>
    </w:p>
    <w:p w:rsidR="001167C2" w:rsidRDefault="001167C2" w:rsidP="007E0B70">
      <w:pPr>
        <w:suppressAutoHyphens/>
        <w:jc w:val="center"/>
        <w:rPr>
          <w:rFonts w:ascii="Arial" w:hAnsi="Arial" w:cs="Arial"/>
          <w:b/>
          <w:sz w:val="28"/>
          <w:szCs w:val="28"/>
        </w:rPr>
      </w:pPr>
    </w:p>
    <w:p w:rsidR="001167C2" w:rsidRPr="00546BB7" w:rsidRDefault="001167C2" w:rsidP="007E0B70">
      <w:pPr>
        <w:suppressAutoHyphens/>
        <w:jc w:val="center"/>
        <w:rPr>
          <w:rFonts w:ascii="Arial" w:hAnsi="Arial" w:cs="Arial"/>
          <w:b/>
          <w:sz w:val="28"/>
          <w:szCs w:val="28"/>
        </w:rPr>
      </w:pPr>
      <w:r>
        <w:rPr>
          <w:rFonts w:ascii="Arial" w:hAnsi="Arial" w:cs="Arial"/>
          <w:b/>
          <w:sz w:val="28"/>
          <w:szCs w:val="28"/>
        </w:rPr>
        <w:t>PHASE I</w:t>
      </w:r>
    </w:p>
    <w:p w:rsidR="007E0B70" w:rsidRPr="00F51E91" w:rsidRDefault="007E0B70" w:rsidP="007E0B70">
      <w:pPr>
        <w:suppressAutoHyphens/>
        <w:jc w:val="center"/>
        <w:rPr>
          <w:rFonts w:ascii="Arial" w:hAnsi="Arial" w:cs="Arial"/>
          <w:sz w:val="28"/>
          <w:szCs w:val="28"/>
        </w:rPr>
      </w:pPr>
    </w:p>
    <w:p w:rsidR="00546BB7" w:rsidRDefault="007E0B70" w:rsidP="00D74869">
      <w:pPr>
        <w:suppressAutoHyphens/>
        <w:spacing w:line="480" w:lineRule="auto"/>
        <w:jc w:val="center"/>
        <w:rPr>
          <w:rFonts w:ascii="Arial" w:hAnsi="Arial" w:cs="Arial"/>
          <w:b/>
          <w:sz w:val="28"/>
          <w:szCs w:val="28"/>
        </w:rPr>
      </w:pPr>
      <w:r w:rsidRPr="00F51E91">
        <w:rPr>
          <w:rFonts w:ascii="Arial" w:hAnsi="Arial" w:cs="Arial"/>
          <w:b/>
          <w:sz w:val="28"/>
          <w:szCs w:val="28"/>
        </w:rPr>
        <w:t xml:space="preserve">FOR THE </w:t>
      </w:r>
      <w:r w:rsidR="00AB24D8" w:rsidRPr="00F51E91">
        <w:rPr>
          <w:rFonts w:ascii="Arial" w:hAnsi="Arial" w:cs="Arial"/>
          <w:b/>
          <w:sz w:val="28"/>
          <w:szCs w:val="28"/>
        </w:rPr>
        <w:t>PERIOD</w:t>
      </w:r>
      <w:r w:rsidR="001928CD">
        <w:rPr>
          <w:rFonts w:ascii="Arial" w:hAnsi="Arial" w:cs="Arial"/>
          <w:b/>
          <w:sz w:val="28"/>
          <w:szCs w:val="28"/>
        </w:rPr>
        <w:t xml:space="preserve"> JANUARY 1, 2010 THROUGH</w:t>
      </w:r>
      <w:r w:rsidR="002249EB">
        <w:rPr>
          <w:rFonts w:ascii="Arial" w:hAnsi="Arial" w:cs="Arial"/>
          <w:b/>
          <w:sz w:val="28"/>
          <w:szCs w:val="28"/>
        </w:rPr>
        <w:t xml:space="preserve"> MAY 31, 2013</w:t>
      </w:r>
      <w:r w:rsidR="007E0A17" w:rsidRPr="00F51E91">
        <w:rPr>
          <w:rFonts w:ascii="Arial" w:hAnsi="Arial" w:cs="Arial"/>
          <w:b/>
          <w:sz w:val="28"/>
          <w:szCs w:val="28"/>
        </w:rPr>
        <w:t xml:space="preserve"> </w:t>
      </w:r>
    </w:p>
    <w:p w:rsidR="00546BB7" w:rsidRDefault="002249EB" w:rsidP="00D74869">
      <w:pPr>
        <w:suppressAutoHyphens/>
        <w:spacing w:line="480" w:lineRule="auto"/>
        <w:jc w:val="center"/>
        <w:rPr>
          <w:rFonts w:ascii="Arial" w:hAnsi="Arial" w:cs="Arial"/>
          <w:b/>
          <w:sz w:val="28"/>
          <w:szCs w:val="28"/>
        </w:rPr>
      </w:pPr>
      <w:r>
        <w:rPr>
          <w:rFonts w:ascii="Arial" w:hAnsi="Arial" w:cs="Arial"/>
          <w:b/>
          <w:sz w:val="28"/>
          <w:szCs w:val="28"/>
        </w:rPr>
        <w:t xml:space="preserve">AND THE </w:t>
      </w:r>
      <w:r w:rsidR="00525F3A">
        <w:rPr>
          <w:rFonts w:ascii="Arial" w:hAnsi="Arial" w:cs="Arial"/>
          <w:b/>
          <w:sz w:val="28"/>
          <w:szCs w:val="28"/>
        </w:rPr>
        <w:t xml:space="preserve">RECONCILIATION </w:t>
      </w:r>
      <w:r>
        <w:rPr>
          <w:rFonts w:ascii="Arial" w:hAnsi="Arial" w:cs="Arial"/>
          <w:b/>
          <w:sz w:val="28"/>
          <w:szCs w:val="28"/>
        </w:rPr>
        <w:t>TRUE-UP PERIOD OF</w:t>
      </w:r>
      <w:r w:rsidR="008D5451" w:rsidRPr="00F51E91">
        <w:rPr>
          <w:rFonts w:ascii="Arial" w:hAnsi="Arial" w:cs="Arial"/>
          <w:b/>
          <w:sz w:val="28"/>
          <w:szCs w:val="28"/>
        </w:rPr>
        <w:t xml:space="preserve"> </w:t>
      </w:r>
    </w:p>
    <w:p w:rsidR="00546BB7" w:rsidRDefault="001928CD" w:rsidP="00D74869">
      <w:pPr>
        <w:suppressAutoHyphens/>
        <w:spacing w:line="480" w:lineRule="auto"/>
        <w:jc w:val="center"/>
        <w:rPr>
          <w:rFonts w:ascii="Arial" w:hAnsi="Arial" w:cs="Arial"/>
          <w:b/>
          <w:sz w:val="28"/>
          <w:szCs w:val="28"/>
        </w:rPr>
      </w:pPr>
      <w:r>
        <w:rPr>
          <w:rFonts w:ascii="Arial" w:hAnsi="Arial" w:cs="Arial"/>
          <w:b/>
          <w:sz w:val="28"/>
          <w:szCs w:val="28"/>
        </w:rPr>
        <w:t>JUNE 1, 2013 THROUGH</w:t>
      </w:r>
      <w:r w:rsidR="002249EB">
        <w:rPr>
          <w:rFonts w:ascii="Arial" w:hAnsi="Arial" w:cs="Arial"/>
          <w:b/>
          <w:sz w:val="28"/>
          <w:szCs w:val="28"/>
        </w:rPr>
        <w:t xml:space="preserve"> MAY 31, 2014</w:t>
      </w:r>
      <w:r w:rsidR="008D5451" w:rsidRPr="00F51E91">
        <w:rPr>
          <w:rFonts w:ascii="Arial" w:hAnsi="Arial" w:cs="Arial"/>
          <w:b/>
          <w:sz w:val="28"/>
          <w:szCs w:val="28"/>
        </w:rPr>
        <w:t xml:space="preserve"> </w:t>
      </w:r>
    </w:p>
    <w:p w:rsidR="007E0B70" w:rsidRDefault="007E0B70" w:rsidP="007E0B70">
      <w:pPr>
        <w:tabs>
          <w:tab w:val="center" w:pos="4680"/>
        </w:tabs>
        <w:suppressAutoHyphens/>
        <w:jc w:val="center"/>
        <w:rPr>
          <w:rFonts w:ascii="Arial" w:hAnsi="Arial" w:cs="Arial"/>
          <w:b/>
          <w:sz w:val="28"/>
          <w:szCs w:val="28"/>
        </w:rPr>
      </w:pPr>
    </w:p>
    <w:p w:rsidR="00075206" w:rsidRDefault="00075206" w:rsidP="007E0B70">
      <w:pPr>
        <w:tabs>
          <w:tab w:val="center" w:pos="4680"/>
        </w:tabs>
        <w:suppressAutoHyphens/>
        <w:jc w:val="center"/>
        <w:rPr>
          <w:rFonts w:ascii="Arial" w:hAnsi="Arial" w:cs="Arial"/>
          <w:b/>
          <w:sz w:val="28"/>
          <w:szCs w:val="28"/>
        </w:rPr>
      </w:pPr>
    </w:p>
    <w:p w:rsidR="00075206" w:rsidRPr="002C61BD" w:rsidRDefault="00075206" w:rsidP="007E0B70">
      <w:pPr>
        <w:tabs>
          <w:tab w:val="center" w:pos="4680"/>
        </w:tabs>
        <w:suppressAutoHyphens/>
        <w:jc w:val="center"/>
        <w:rPr>
          <w:rFonts w:ascii="Arial" w:hAnsi="Arial" w:cs="Arial"/>
          <w:b/>
          <w:sz w:val="28"/>
          <w:szCs w:val="28"/>
        </w:rPr>
      </w:pPr>
    </w:p>
    <w:p w:rsidR="00C26FE9" w:rsidRPr="002C61BD" w:rsidRDefault="00C26FE9" w:rsidP="007E0B70">
      <w:pPr>
        <w:tabs>
          <w:tab w:val="center" w:pos="4680"/>
        </w:tabs>
        <w:suppressAutoHyphens/>
        <w:jc w:val="center"/>
        <w:rPr>
          <w:rFonts w:ascii="Arial" w:hAnsi="Arial" w:cs="Arial"/>
          <w:b/>
          <w:sz w:val="28"/>
          <w:szCs w:val="28"/>
        </w:rPr>
      </w:pPr>
    </w:p>
    <w:p w:rsidR="007E0B70" w:rsidRPr="002C61BD" w:rsidRDefault="007E0B70" w:rsidP="007E0B70">
      <w:pPr>
        <w:tabs>
          <w:tab w:val="center" w:pos="4680"/>
        </w:tabs>
        <w:suppressAutoHyphens/>
        <w:jc w:val="center"/>
        <w:rPr>
          <w:rFonts w:ascii="Arial" w:hAnsi="Arial" w:cs="Arial"/>
          <w:b/>
          <w:sz w:val="28"/>
          <w:szCs w:val="28"/>
        </w:rPr>
      </w:pPr>
    </w:p>
    <w:p w:rsidR="007E0B70" w:rsidRPr="002C61BD" w:rsidRDefault="007E0B70" w:rsidP="007E0B70">
      <w:pPr>
        <w:tabs>
          <w:tab w:val="center" w:pos="4680"/>
        </w:tabs>
        <w:suppressAutoHyphens/>
        <w:jc w:val="center"/>
        <w:outlineLvl w:val="0"/>
        <w:rPr>
          <w:rFonts w:ascii="Arial" w:hAnsi="Arial" w:cs="Arial"/>
          <w:b/>
          <w:sz w:val="28"/>
          <w:szCs w:val="28"/>
        </w:rPr>
      </w:pPr>
      <w:r w:rsidRPr="002C61BD">
        <w:rPr>
          <w:rFonts w:ascii="Arial" w:hAnsi="Arial" w:cs="Arial"/>
          <w:b/>
          <w:sz w:val="28"/>
          <w:szCs w:val="28"/>
        </w:rPr>
        <w:t>Prepared By The</w:t>
      </w:r>
    </w:p>
    <w:p w:rsidR="007E0B70" w:rsidRPr="002C61BD" w:rsidRDefault="007E0B70" w:rsidP="007E0B70">
      <w:pPr>
        <w:tabs>
          <w:tab w:val="center" w:pos="4680"/>
        </w:tabs>
        <w:suppressAutoHyphens/>
        <w:jc w:val="center"/>
        <w:outlineLvl w:val="0"/>
        <w:rPr>
          <w:rFonts w:ascii="Arial" w:hAnsi="Arial" w:cs="Arial"/>
          <w:b/>
          <w:sz w:val="28"/>
          <w:szCs w:val="28"/>
        </w:rPr>
      </w:pPr>
      <w:r w:rsidRPr="002C61BD">
        <w:rPr>
          <w:rFonts w:ascii="Arial" w:hAnsi="Arial" w:cs="Arial"/>
          <w:b/>
          <w:sz w:val="28"/>
          <w:szCs w:val="28"/>
        </w:rPr>
        <w:t>Pennsylvania Public Utility Commission</w:t>
      </w:r>
    </w:p>
    <w:p w:rsidR="007E0B70" w:rsidRPr="002C61BD" w:rsidRDefault="007E0B70" w:rsidP="007E0B70">
      <w:pPr>
        <w:tabs>
          <w:tab w:val="center" w:pos="4680"/>
        </w:tabs>
        <w:suppressAutoHyphens/>
        <w:rPr>
          <w:rFonts w:ascii="Arial" w:hAnsi="Arial" w:cs="Arial"/>
          <w:b/>
          <w:sz w:val="28"/>
          <w:szCs w:val="28"/>
        </w:rPr>
      </w:pPr>
      <w:r w:rsidRPr="002C61BD">
        <w:rPr>
          <w:rFonts w:ascii="Arial" w:hAnsi="Arial" w:cs="Arial"/>
          <w:b/>
          <w:sz w:val="28"/>
          <w:szCs w:val="28"/>
        </w:rPr>
        <w:tab/>
        <w:t>Bureau Of Audits</w:t>
      </w:r>
    </w:p>
    <w:p w:rsidR="007E0B70" w:rsidRDefault="007E0B70" w:rsidP="007E0B70">
      <w:pPr>
        <w:tabs>
          <w:tab w:val="center" w:pos="4680"/>
        </w:tabs>
        <w:suppressAutoHyphens/>
        <w:rPr>
          <w:rFonts w:ascii="Arial" w:hAnsi="Arial" w:cs="Arial"/>
          <w:b/>
          <w:sz w:val="28"/>
          <w:szCs w:val="28"/>
        </w:rPr>
      </w:pPr>
      <w:r w:rsidRPr="002C61BD">
        <w:rPr>
          <w:rFonts w:ascii="Arial" w:hAnsi="Arial" w:cs="Arial"/>
          <w:b/>
          <w:sz w:val="28"/>
          <w:szCs w:val="28"/>
        </w:rPr>
        <w:tab/>
      </w:r>
      <w:r w:rsidR="00771E67" w:rsidRPr="002C61BD">
        <w:rPr>
          <w:rFonts w:ascii="Arial" w:hAnsi="Arial" w:cs="Arial"/>
          <w:b/>
          <w:sz w:val="28"/>
          <w:szCs w:val="28"/>
        </w:rPr>
        <w:t>Report Date:</w:t>
      </w:r>
      <w:r w:rsidR="00882341">
        <w:rPr>
          <w:rFonts w:ascii="Arial" w:hAnsi="Arial" w:cs="Arial"/>
          <w:b/>
          <w:sz w:val="28"/>
          <w:szCs w:val="28"/>
        </w:rPr>
        <w:t xml:space="preserve">  October </w:t>
      </w:r>
      <w:r w:rsidR="00785F49">
        <w:rPr>
          <w:rFonts w:ascii="Arial" w:hAnsi="Arial" w:cs="Arial"/>
          <w:b/>
          <w:sz w:val="28"/>
          <w:szCs w:val="28"/>
        </w:rPr>
        <w:t>30</w:t>
      </w:r>
      <w:r w:rsidR="00882341">
        <w:rPr>
          <w:rFonts w:ascii="Arial" w:hAnsi="Arial" w:cs="Arial"/>
          <w:b/>
          <w:sz w:val="28"/>
          <w:szCs w:val="28"/>
        </w:rPr>
        <w:t>, 2015</w:t>
      </w:r>
    </w:p>
    <w:p w:rsidR="00B92D69" w:rsidRPr="002C61BD" w:rsidRDefault="00B92D69" w:rsidP="007E0B70">
      <w:pPr>
        <w:tabs>
          <w:tab w:val="center" w:pos="4680"/>
        </w:tabs>
        <w:suppressAutoHyphens/>
        <w:rPr>
          <w:rFonts w:ascii="Arial" w:hAnsi="Arial" w:cs="Arial"/>
          <w:b/>
          <w:sz w:val="28"/>
          <w:szCs w:val="28"/>
        </w:rPr>
      </w:pPr>
    </w:p>
    <w:p w:rsidR="00CB7699" w:rsidRPr="002C61BD" w:rsidRDefault="007E0B70" w:rsidP="007E0B70">
      <w:pPr>
        <w:tabs>
          <w:tab w:val="center" w:pos="4680"/>
        </w:tabs>
        <w:suppressAutoHyphens/>
        <w:rPr>
          <w:rFonts w:ascii="Arial" w:hAnsi="Arial" w:cs="Arial"/>
          <w:b/>
          <w:sz w:val="28"/>
          <w:szCs w:val="28"/>
        </w:rPr>
        <w:sectPr w:rsidR="00CB7699" w:rsidRPr="002C61BD" w:rsidSect="0099113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432" w:right="1440" w:bottom="1440" w:left="1440" w:header="720" w:footer="720" w:gutter="0"/>
          <w:pgNumType w:start="3"/>
          <w:cols w:space="720"/>
          <w:noEndnote/>
          <w:docGrid w:linePitch="326"/>
        </w:sectPr>
      </w:pPr>
      <w:r w:rsidRPr="002C61BD">
        <w:rPr>
          <w:rFonts w:ascii="Arial" w:hAnsi="Arial" w:cs="Arial"/>
          <w:b/>
          <w:sz w:val="28"/>
          <w:szCs w:val="28"/>
        </w:rPr>
        <w:tab/>
        <w:t>Docket</w:t>
      </w:r>
      <w:r w:rsidR="000329D2">
        <w:rPr>
          <w:rFonts w:ascii="Arial" w:hAnsi="Arial" w:cs="Arial"/>
          <w:b/>
          <w:sz w:val="28"/>
          <w:szCs w:val="28"/>
        </w:rPr>
        <w:t xml:space="preserve"> No.</w:t>
      </w:r>
      <w:bookmarkStart w:id="0" w:name="_GoBack"/>
      <w:bookmarkEnd w:id="0"/>
      <w:r w:rsidRPr="002C61BD">
        <w:rPr>
          <w:rFonts w:ascii="Arial" w:hAnsi="Arial" w:cs="Arial"/>
          <w:b/>
          <w:sz w:val="28"/>
          <w:szCs w:val="28"/>
        </w:rPr>
        <w:t xml:space="preserve"> D-201</w:t>
      </w:r>
      <w:r w:rsidR="00015B05">
        <w:rPr>
          <w:rFonts w:ascii="Arial" w:hAnsi="Arial" w:cs="Arial"/>
          <w:b/>
          <w:sz w:val="28"/>
          <w:szCs w:val="28"/>
        </w:rPr>
        <w:t>4</w:t>
      </w:r>
      <w:r w:rsidR="00C54169" w:rsidRPr="002C61BD">
        <w:rPr>
          <w:rFonts w:ascii="Arial" w:hAnsi="Arial" w:cs="Arial"/>
          <w:b/>
          <w:sz w:val="28"/>
          <w:szCs w:val="28"/>
        </w:rPr>
        <w:t>-</w:t>
      </w:r>
      <w:r w:rsidR="00015B05" w:rsidRPr="00015B05">
        <w:rPr>
          <w:rFonts w:ascii="Calibri" w:hAnsi="Calibri"/>
          <w:sz w:val="27"/>
          <w:szCs w:val="27"/>
        </w:rPr>
        <w:t xml:space="preserve"> </w:t>
      </w:r>
      <w:r w:rsidR="00015B05" w:rsidRPr="00015B05">
        <w:rPr>
          <w:rFonts w:ascii="Arial" w:hAnsi="Arial" w:cs="Arial"/>
          <w:b/>
          <w:sz w:val="28"/>
          <w:szCs w:val="28"/>
        </w:rPr>
        <w:t>2438031</w:t>
      </w:r>
      <w:r w:rsidRPr="002C61BD">
        <w:rPr>
          <w:rFonts w:ascii="Arial" w:hAnsi="Arial" w:cs="Arial"/>
          <w:b/>
          <w:sz w:val="28"/>
          <w:szCs w:val="28"/>
        </w:rPr>
        <w:t xml:space="preserve"> </w:t>
      </w:r>
    </w:p>
    <w:p w:rsidR="007E0B70" w:rsidRPr="002C61BD" w:rsidRDefault="00F51E91" w:rsidP="001D2717">
      <w:pPr>
        <w:overflowPunct/>
        <w:autoSpaceDE/>
        <w:autoSpaceDN/>
        <w:adjustRightInd/>
        <w:jc w:val="center"/>
        <w:textAlignment w:val="auto"/>
        <w:rPr>
          <w:rFonts w:ascii="Arial" w:hAnsi="Arial" w:cs="Arial"/>
          <w:b/>
          <w:sz w:val="26"/>
          <w:szCs w:val="24"/>
        </w:rPr>
      </w:pPr>
      <w:r>
        <w:rPr>
          <w:rFonts w:ascii="Arial" w:hAnsi="Arial" w:cs="Arial"/>
          <w:b/>
          <w:sz w:val="26"/>
          <w:szCs w:val="24"/>
        </w:rPr>
        <w:lastRenderedPageBreak/>
        <w:t>PECO ENERGY COMPANY</w:t>
      </w:r>
    </w:p>
    <w:p w:rsidR="007E0B70" w:rsidRPr="002C61BD" w:rsidRDefault="007E0B70" w:rsidP="007E0B70">
      <w:pPr>
        <w:tabs>
          <w:tab w:val="left" w:pos="180"/>
          <w:tab w:val="left" w:pos="270"/>
        </w:tabs>
        <w:suppressAutoHyphens/>
        <w:rPr>
          <w:rFonts w:ascii="Arial" w:hAnsi="Arial" w:cs="Arial"/>
          <w:szCs w:val="24"/>
        </w:rPr>
      </w:pPr>
    </w:p>
    <w:p w:rsidR="007E0B70" w:rsidRPr="004A75C3" w:rsidRDefault="00F51E91" w:rsidP="007E0B70">
      <w:pPr>
        <w:jc w:val="center"/>
        <w:rPr>
          <w:rFonts w:ascii="Arial" w:hAnsi="Arial" w:cs="Arial"/>
          <w:b/>
          <w:sz w:val="26"/>
          <w:szCs w:val="26"/>
        </w:rPr>
      </w:pPr>
      <w:r w:rsidRPr="004A75C3">
        <w:rPr>
          <w:rFonts w:ascii="Arial" w:hAnsi="Arial" w:cs="Arial"/>
          <w:b/>
          <w:sz w:val="26"/>
          <w:szCs w:val="26"/>
        </w:rPr>
        <w:t xml:space="preserve">Table of </w:t>
      </w:r>
      <w:r w:rsidR="007E0B70" w:rsidRPr="004A75C3">
        <w:rPr>
          <w:rFonts w:ascii="Arial" w:hAnsi="Arial" w:cs="Arial"/>
          <w:b/>
          <w:sz w:val="26"/>
          <w:szCs w:val="26"/>
        </w:rPr>
        <w:t>Contents</w:t>
      </w:r>
    </w:p>
    <w:p w:rsidR="007E0B70" w:rsidRPr="002C61BD" w:rsidRDefault="007E0B70" w:rsidP="007E0B70">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7E0B70" w:rsidRPr="002C61BD" w:rsidTr="00C5320E">
        <w:tc>
          <w:tcPr>
            <w:tcW w:w="8478" w:type="dxa"/>
          </w:tcPr>
          <w:p w:rsidR="007E0B70" w:rsidRPr="002C61BD" w:rsidRDefault="007E0B70" w:rsidP="00C5320E">
            <w:pPr>
              <w:tabs>
                <w:tab w:val="left" w:pos="-720"/>
                <w:tab w:val="left" w:pos="180"/>
                <w:tab w:val="left" w:pos="270"/>
              </w:tabs>
              <w:suppressAutoHyphens/>
              <w:rPr>
                <w:rFonts w:ascii="Arial" w:hAnsi="Arial" w:cs="Arial"/>
                <w:b/>
                <w:szCs w:val="24"/>
                <w:u w:val="single"/>
              </w:rPr>
            </w:pPr>
          </w:p>
        </w:tc>
        <w:tc>
          <w:tcPr>
            <w:tcW w:w="1098" w:type="dxa"/>
          </w:tcPr>
          <w:p w:rsidR="007E0B70" w:rsidRPr="002C61BD" w:rsidRDefault="007E0B70" w:rsidP="00C5320E">
            <w:pPr>
              <w:pStyle w:val="EndnoteText"/>
              <w:tabs>
                <w:tab w:val="left" w:pos="-720"/>
                <w:tab w:val="left" w:pos="180"/>
                <w:tab w:val="left" w:pos="270"/>
              </w:tabs>
              <w:suppressAutoHyphens/>
              <w:jc w:val="center"/>
              <w:rPr>
                <w:rFonts w:ascii="Arial" w:hAnsi="Arial" w:cs="Arial"/>
                <w:b/>
                <w:szCs w:val="24"/>
                <w:u w:val="single"/>
              </w:rPr>
            </w:pPr>
            <w:r w:rsidRPr="002C61BD">
              <w:rPr>
                <w:rFonts w:ascii="Arial" w:hAnsi="Arial" w:cs="Arial"/>
                <w:b/>
                <w:szCs w:val="24"/>
                <w:u w:val="single"/>
              </w:rPr>
              <w:t>Page</w:t>
            </w:r>
          </w:p>
        </w:tc>
      </w:tr>
      <w:tr w:rsidR="007E0B70" w:rsidRPr="002C61BD" w:rsidTr="00C5320E">
        <w:trPr>
          <w:trHeight w:hRule="exact" w:val="216"/>
        </w:trPr>
        <w:tc>
          <w:tcPr>
            <w:tcW w:w="8478" w:type="dxa"/>
          </w:tcPr>
          <w:p w:rsidR="007E0B70" w:rsidRPr="002C61BD" w:rsidRDefault="007E0B70" w:rsidP="00C5320E">
            <w:pPr>
              <w:tabs>
                <w:tab w:val="left" w:pos="-720"/>
                <w:tab w:val="left" w:pos="180"/>
                <w:tab w:val="left" w:pos="270"/>
              </w:tabs>
              <w:suppressAutoHyphens/>
              <w:rPr>
                <w:rFonts w:ascii="Arial" w:hAnsi="Arial" w:cs="Arial"/>
                <w:b/>
                <w:szCs w:val="24"/>
                <w:u w:val="single"/>
              </w:rPr>
            </w:pPr>
          </w:p>
        </w:tc>
        <w:tc>
          <w:tcPr>
            <w:tcW w:w="1098" w:type="dxa"/>
          </w:tcPr>
          <w:p w:rsidR="007E0B70" w:rsidRPr="002C61BD" w:rsidRDefault="007E0B70" w:rsidP="00C5320E">
            <w:pPr>
              <w:pStyle w:val="EndnoteText"/>
              <w:tabs>
                <w:tab w:val="left" w:pos="-720"/>
                <w:tab w:val="left" w:pos="180"/>
                <w:tab w:val="left" w:pos="270"/>
              </w:tabs>
              <w:suppressAutoHyphens/>
              <w:jc w:val="center"/>
              <w:rPr>
                <w:rFonts w:ascii="Arial" w:hAnsi="Arial" w:cs="Arial"/>
                <w:b/>
                <w:szCs w:val="24"/>
                <w:u w:val="single"/>
              </w:rPr>
            </w:pPr>
          </w:p>
        </w:tc>
      </w:tr>
      <w:tr w:rsidR="007E0B70" w:rsidRPr="006D1B53" w:rsidTr="00C5320E">
        <w:tc>
          <w:tcPr>
            <w:tcW w:w="8478" w:type="dxa"/>
          </w:tcPr>
          <w:p w:rsidR="007E0B70" w:rsidRPr="006D1B53" w:rsidRDefault="007E0B70" w:rsidP="00C5320E">
            <w:pPr>
              <w:tabs>
                <w:tab w:val="left" w:pos="-720"/>
                <w:tab w:val="left" w:pos="180"/>
                <w:tab w:val="left" w:pos="270"/>
              </w:tabs>
              <w:suppressAutoHyphens/>
              <w:rPr>
                <w:rFonts w:ascii="Arial" w:hAnsi="Arial" w:cs="Arial"/>
                <w:b/>
                <w:szCs w:val="24"/>
              </w:rPr>
            </w:pPr>
            <w:r w:rsidRPr="006D1B53">
              <w:rPr>
                <w:rFonts w:ascii="Arial" w:hAnsi="Arial" w:cs="Arial"/>
                <w:b/>
                <w:szCs w:val="24"/>
              </w:rPr>
              <w:t xml:space="preserve">FINANCIAL REVIEW </w:t>
            </w:r>
          </w:p>
        </w:tc>
        <w:tc>
          <w:tcPr>
            <w:tcW w:w="1098" w:type="dxa"/>
          </w:tcPr>
          <w:p w:rsidR="007E0B70" w:rsidRPr="006D1B53" w:rsidRDefault="007E0B70" w:rsidP="00C5320E">
            <w:pPr>
              <w:pStyle w:val="EndnoteText"/>
              <w:tabs>
                <w:tab w:val="right" w:pos="562"/>
              </w:tabs>
              <w:suppressAutoHyphens/>
              <w:rPr>
                <w:rFonts w:ascii="Arial" w:hAnsi="Arial" w:cs="Arial"/>
                <w:szCs w:val="24"/>
              </w:rPr>
            </w:pPr>
          </w:p>
        </w:tc>
      </w:tr>
      <w:tr w:rsidR="007E0B70" w:rsidRPr="002C61BD" w:rsidTr="00C5320E">
        <w:tc>
          <w:tcPr>
            <w:tcW w:w="8478" w:type="dxa"/>
          </w:tcPr>
          <w:p w:rsidR="007E0B70" w:rsidRPr="002C61BD" w:rsidRDefault="007E0B70" w:rsidP="00C5320E">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Pr>
          <w:p w:rsidR="007E0B70" w:rsidRPr="002C61BD" w:rsidRDefault="007E0B70" w:rsidP="00C5320E">
            <w:pPr>
              <w:pStyle w:val="EndnoteText"/>
              <w:tabs>
                <w:tab w:val="right" w:pos="562"/>
              </w:tabs>
              <w:suppressAutoHyphens/>
              <w:rPr>
                <w:rFonts w:ascii="Arial" w:hAnsi="Arial" w:cs="Arial"/>
                <w:szCs w:val="24"/>
              </w:rPr>
            </w:pPr>
          </w:p>
        </w:tc>
      </w:tr>
      <w:tr w:rsidR="007E0B70" w:rsidRPr="002C61BD" w:rsidTr="00C5320E">
        <w:tc>
          <w:tcPr>
            <w:tcW w:w="8478" w:type="dxa"/>
          </w:tcPr>
          <w:p w:rsidR="007E0B70" w:rsidRPr="006D1B53" w:rsidRDefault="007E0B70" w:rsidP="00C5320E">
            <w:pPr>
              <w:pStyle w:val="EndnoteText"/>
              <w:tabs>
                <w:tab w:val="left" w:pos="-720"/>
                <w:tab w:val="left" w:pos="360"/>
                <w:tab w:val="left" w:pos="540"/>
                <w:tab w:val="left" w:pos="810"/>
                <w:tab w:val="left" w:pos="9180"/>
              </w:tabs>
              <w:suppressAutoHyphens/>
              <w:rPr>
                <w:rFonts w:ascii="Arial" w:hAnsi="Arial" w:cs="Arial"/>
                <w:szCs w:val="24"/>
              </w:rPr>
            </w:pPr>
            <w:r w:rsidRPr="006D1B53">
              <w:rPr>
                <w:rFonts w:ascii="Arial" w:hAnsi="Arial" w:cs="Arial"/>
                <w:szCs w:val="24"/>
              </w:rPr>
              <w:tab/>
              <w:t>Independent Auditor's Report</w:t>
            </w:r>
          </w:p>
        </w:tc>
        <w:tc>
          <w:tcPr>
            <w:tcW w:w="1098" w:type="dxa"/>
          </w:tcPr>
          <w:p w:rsidR="007E0B70" w:rsidRPr="006D1B53" w:rsidRDefault="007E0B70" w:rsidP="00C5320E">
            <w:pPr>
              <w:pStyle w:val="EndnoteText"/>
              <w:tabs>
                <w:tab w:val="right" w:pos="562"/>
              </w:tabs>
              <w:suppressAutoHyphens/>
              <w:jc w:val="center"/>
              <w:rPr>
                <w:rFonts w:ascii="Arial" w:hAnsi="Arial" w:cs="Arial"/>
                <w:szCs w:val="24"/>
              </w:rPr>
            </w:pPr>
            <w:r w:rsidRPr="006D1B53">
              <w:rPr>
                <w:rFonts w:ascii="Arial" w:hAnsi="Arial" w:cs="Arial"/>
                <w:szCs w:val="24"/>
              </w:rPr>
              <w:t>1</w:t>
            </w:r>
          </w:p>
        </w:tc>
      </w:tr>
      <w:tr w:rsidR="007E0B70" w:rsidRPr="002C61BD" w:rsidTr="00C5320E">
        <w:tc>
          <w:tcPr>
            <w:tcW w:w="8478" w:type="dxa"/>
          </w:tcPr>
          <w:p w:rsidR="007E0B70" w:rsidRPr="006D1B53" w:rsidRDefault="007E0B70" w:rsidP="00C5320E">
            <w:pPr>
              <w:pStyle w:val="EndnoteText"/>
              <w:tabs>
                <w:tab w:val="left" w:pos="9180"/>
              </w:tabs>
              <w:suppressAutoHyphens/>
              <w:ind w:left="360"/>
              <w:rPr>
                <w:rFonts w:ascii="Arial" w:hAnsi="Arial" w:cs="Arial"/>
                <w:szCs w:val="24"/>
              </w:rPr>
            </w:pPr>
          </w:p>
        </w:tc>
        <w:tc>
          <w:tcPr>
            <w:tcW w:w="1098" w:type="dxa"/>
          </w:tcPr>
          <w:p w:rsidR="007E0B70" w:rsidRPr="006D1B53" w:rsidRDefault="007E0B70" w:rsidP="00C5320E">
            <w:pPr>
              <w:tabs>
                <w:tab w:val="right" w:pos="562"/>
              </w:tabs>
              <w:suppressAutoHyphens/>
              <w:rPr>
                <w:rFonts w:ascii="Arial" w:hAnsi="Arial" w:cs="Arial"/>
                <w:szCs w:val="24"/>
              </w:rPr>
            </w:pPr>
          </w:p>
        </w:tc>
      </w:tr>
      <w:tr w:rsidR="00075206" w:rsidRPr="002C61BD" w:rsidTr="00C5320E">
        <w:tc>
          <w:tcPr>
            <w:tcW w:w="8478" w:type="dxa"/>
          </w:tcPr>
          <w:p w:rsidR="00075206" w:rsidRPr="006D1B53" w:rsidRDefault="008D4518" w:rsidP="003133E3">
            <w:pPr>
              <w:pStyle w:val="EndnoteText"/>
              <w:tabs>
                <w:tab w:val="left" w:pos="9180"/>
              </w:tabs>
              <w:suppressAutoHyphens/>
              <w:ind w:left="360"/>
              <w:rPr>
                <w:rFonts w:ascii="Arial" w:hAnsi="Arial" w:cs="Arial"/>
                <w:szCs w:val="24"/>
              </w:rPr>
            </w:pPr>
            <w:r w:rsidRPr="006D1B53">
              <w:rPr>
                <w:rFonts w:ascii="Arial" w:hAnsi="Arial" w:cs="Arial"/>
                <w:szCs w:val="24"/>
              </w:rPr>
              <w:t xml:space="preserve">Condensed </w:t>
            </w:r>
            <w:r w:rsidR="00075206" w:rsidRPr="006D1B53">
              <w:rPr>
                <w:rFonts w:ascii="Arial" w:hAnsi="Arial" w:cs="Arial"/>
                <w:szCs w:val="24"/>
              </w:rPr>
              <w:t>Statement of Energy Efficiency and Conservation</w:t>
            </w:r>
            <w:r w:rsidRPr="006D1B53">
              <w:rPr>
                <w:rFonts w:ascii="Arial" w:hAnsi="Arial" w:cs="Arial"/>
                <w:szCs w:val="24"/>
              </w:rPr>
              <w:t xml:space="preserve"> Program</w:t>
            </w:r>
            <w:r w:rsidR="0085078A">
              <w:rPr>
                <w:rFonts w:ascii="Arial" w:hAnsi="Arial" w:cs="Arial"/>
                <w:szCs w:val="24"/>
              </w:rPr>
              <w:t xml:space="preserve"> Costs</w:t>
            </w:r>
            <w:r w:rsidR="00075206" w:rsidRPr="006D1B53">
              <w:rPr>
                <w:rFonts w:ascii="Arial" w:hAnsi="Arial" w:cs="Arial"/>
                <w:szCs w:val="24"/>
              </w:rPr>
              <w:t xml:space="preserve"> </w:t>
            </w:r>
            <w:r w:rsidR="008E45BC">
              <w:rPr>
                <w:rFonts w:ascii="Arial" w:hAnsi="Arial" w:cs="Arial"/>
                <w:szCs w:val="24"/>
              </w:rPr>
              <w:t xml:space="preserve">Phase </w:t>
            </w:r>
            <w:r w:rsidR="003133E3">
              <w:rPr>
                <w:rFonts w:ascii="Arial" w:hAnsi="Arial" w:cs="Arial"/>
                <w:szCs w:val="24"/>
              </w:rPr>
              <w:t>I</w:t>
            </w:r>
            <w:r w:rsidR="008E45BC">
              <w:rPr>
                <w:rFonts w:ascii="Arial" w:hAnsi="Arial" w:cs="Arial"/>
                <w:szCs w:val="24"/>
              </w:rPr>
              <w:t xml:space="preserve"> </w:t>
            </w:r>
            <w:r w:rsidR="00075206" w:rsidRPr="006D1B53">
              <w:rPr>
                <w:rFonts w:ascii="Arial" w:hAnsi="Arial" w:cs="Arial"/>
                <w:szCs w:val="24"/>
              </w:rPr>
              <w:t xml:space="preserve">(EEPC) Over/(Under) Collections </w:t>
            </w:r>
            <w:r w:rsidR="0085078A" w:rsidRPr="004472AF">
              <w:rPr>
                <w:rFonts w:ascii="Arial" w:hAnsi="Arial" w:cs="Arial"/>
                <w:szCs w:val="24"/>
              </w:rPr>
              <w:t xml:space="preserve">(Section 1307(e)) </w:t>
            </w:r>
            <w:r w:rsidR="00075206" w:rsidRPr="006D1B53">
              <w:rPr>
                <w:rFonts w:ascii="Arial" w:hAnsi="Arial" w:cs="Arial"/>
                <w:szCs w:val="24"/>
              </w:rPr>
              <w:t xml:space="preserve">For The </w:t>
            </w:r>
            <w:r w:rsidR="00AB24D8">
              <w:rPr>
                <w:rFonts w:ascii="Arial" w:hAnsi="Arial" w:cs="Arial"/>
                <w:szCs w:val="24"/>
              </w:rPr>
              <w:t>Period</w:t>
            </w:r>
            <w:r w:rsidR="00075206" w:rsidRPr="006D1B53">
              <w:rPr>
                <w:rFonts w:ascii="Arial" w:hAnsi="Arial" w:cs="Arial"/>
                <w:szCs w:val="24"/>
              </w:rPr>
              <w:t xml:space="preserve"> </w:t>
            </w:r>
            <w:r w:rsidR="0085078A">
              <w:rPr>
                <w:rFonts w:ascii="Arial" w:hAnsi="Arial" w:cs="Arial"/>
                <w:szCs w:val="24"/>
              </w:rPr>
              <w:t>January 1, 2010 Through</w:t>
            </w:r>
            <w:r w:rsidR="008E45BC">
              <w:rPr>
                <w:rFonts w:ascii="Arial" w:hAnsi="Arial" w:cs="Arial"/>
                <w:szCs w:val="24"/>
              </w:rPr>
              <w:t xml:space="preserve"> May 31, 2013</w:t>
            </w:r>
          </w:p>
        </w:tc>
        <w:tc>
          <w:tcPr>
            <w:tcW w:w="1098" w:type="dxa"/>
          </w:tcPr>
          <w:p w:rsidR="00075206" w:rsidRPr="006D1B53" w:rsidRDefault="00075206" w:rsidP="00C54169">
            <w:pPr>
              <w:tabs>
                <w:tab w:val="right" w:pos="562"/>
              </w:tabs>
              <w:suppressAutoHyphens/>
              <w:jc w:val="center"/>
              <w:rPr>
                <w:rFonts w:ascii="Arial" w:hAnsi="Arial" w:cs="Arial"/>
                <w:szCs w:val="24"/>
              </w:rPr>
            </w:pPr>
          </w:p>
          <w:p w:rsidR="00075206" w:rsidRPr="006D1B53" w:rsidRDefault="00075206" w:rsidP="00C54169">
            <w:pPr>
              <w:tabs>
                <w:tab w:val="right" w:pos="562"/>
              </w:tabs>
              <w:suppressAutoHyphens/>
              <w:jc w:val="center"/>
              <w:rPr>
                <w:rFonts w:ascii="Arial" w:hAnsi="Arial" w:cs="Arial"/>
                <w:szCs w:val="24"/>
              </w:rPr>
            </w:pPr>
          </w:p>
          <w:p w:rsidR="00075206" w:rsidRPr="006D1B53" w:rsidRDefault="00CB393D" w:rsidP="00C54169">
            <w:pPr>
              <w:tabs>
                <w:tab w:val="right" w:pos="562"/>
              </w:tabs>
              <w:suppressAutoHyphens/>
              <w:jc w:val="center"/>
              <w:rPr>
                <w:rFonts w:ascii="Arial" w:hAnsi="Arial" w:cs="Arial"/>
                <w:szCs w:val="24"/>
              </w:rPr>
            </w:pPr>
            <w:r>
              <w:rPr>
                <w:rFonts w:ascii="Arial" w:hAnsi="Arial" w:cs="Arial"/>
                <w:szCs w:val="24"/>
              </w:rPr>
              <w:t>3</w:t>
            </w:r>
          </w:p>
        </w:tc>
      </w:tr>
      <w:tr w:rsidR="00075206" w:rsidRPr="002C61BD" w:rsidTr="00C5320E">
        <w:tc>
          <w:tcPr>
            <w:tcW w:w="8478" w:type="dxa"/>
          </w:tcPr>
          <w:p w:rsidR="00075206" w:rsidRPr="006D1B53" w:rsidRDefault="00075206">
            <w:pPr>
              <w:pStyle w:val="EndnoteText"/>
              <w:tabs>
                <w:tab w:val="left" w:pos="9180"/>
              </w:tabs>
              <w:suppressAutoHyphens/>
              <w:ind w:left="360"/>
              <w:rPr>
                <w:rFonts w:ascii="Arial" w:hAnsi="Arial" w:cs="Arial"/>
                <w:szCs w:val="24"/>
              </w:rPr>
            </w:pPr>
          </w:p>
        </w:tc>
        <w:tc>
          <w:tcPr>
            <w:tcW w:w="1098" w:type="dxa"/>
          </w:tcPr>
          <w:p w:rsidR="00075206" w:rsidRPr="006D1B53" w:rsidRDefault="00075206" w:rsidP="00C54169">
            <w:pPr>
              <w:tabs>
                <w:tab w:val="right" w:pos="562"/>
              </w:tabs>
              <w:suppressAutoHyphens/>
              <w:jc w:val="center"/>
              <w:rPr>
                <w:rFonts w:ascii="Arial" w:hAnsi="Arial" w:cs="Arial"/>
                <w:szCs w:val="24"/>
              </w:rPr>
            </w:pPr>
          </w:p>
        </w:tc>
      </w:tr>
      <w:tr w:rsidR="00075206" w:rsidRPr="002C61BD" w:rsidTr="00C5320E">
        <w:tc>
          <w:tcPr>
            <w:tcW w:w="8478" w:type="dxa"/>
          </w:tcPr>
          <w:p w:rsidR="00075206" w:rsidRPr="006D1B53" w:rsidRDefault="008D4518" w:rsidP="003133E3">
            <w:pPr>
              <w:pStyle w:val="EndnoteText"/>
              <w:tabs>
                <w:tab w:val="left" w:pos="9180"/>
              </w:tabs>
              <w:suppressAutoHyphens/>
              <w:ind w:left="360"/>
              <w:rPr>
                <w:rFonts w:ascii="Arial" w:hAnsi="Arial" w:cs="Arial"/>
                <w:szCs w:val="24"/>
              </w:rPr>
            </w:pPr>
            <w:r w:rsidRPr="006D1B53">
              <w:rPr>
                <w:rFonts w:ascii="Arial" w:hAnsi="Arial" w:cs="Arial"/>
                <w:szCs w:val="24"/>
              </w:rPr>
              <w:t xml:space="preserve">Condensed </w:t>
            </w:r>
            <w:r w:rsidR="00075206" w:rsidRPr="006D1B53">
              <w:rPr>
                <w:rFonts w:ascii="Arial" w:hAnsi="Arial" w:cs="Arial"/>
                <w:szCs w:val="24"/>
              </w:rPr>
              <w:t xml:space="preserve">Statement of Energy Efficiency and Conservation </w:t>
            </w:r>
            <w:r w:rsidR="009B6C6B" w:rsidRPr="006D1B53">
              <w:rPr>
                <w:rFonts w:ascii="Arial" w:hAnsi="Arial" w:cs="Arial"/>
                <w:szCs w:val="24"/>
              </w:rPr>
              <w:t xml:space="preserve">Program </w:t>
            </w:r>
            <w:r w:rsidR="003557C5">
              <w:rPr>
                <w:rFonts w:ascii="Arial" w:hAnsi="Arial" w:cs="Arial"/>
                <w:szCs w:val="24"/>
              </w:rPr>
              <w:t>Costs</w:t>
            </w:r>
            <w:r w:rsidR="00075206" w:rsidRPr="006D1B53">
              <w:rPr>
                <w:rFonts w:ascii="Arial" w:hAnsi="Arial" w:cs="Arial"/>
                <w:szCs w:val="24"/>
              </w:rPr>
              <w:t xml:space="preserve"> </w:t>
            </w:r>
            <w:r w:rsidR="008E45BC">
              <w:rPr>
                <w:rFonts w:ascii="Arial" w:hAnsi="Arial" w:cs="Arial"/>
                <w:szCs w:val="24"/>
              </w:rPr>
              <w:t xml:space="preserve">Phase </w:t>
            </w:r>
            <w:r w:rsidR="003133E3">
              <w:rPr>
                <w:rFonts w:ascii="Arial" w:hAnsi="Arial" w:cs="Arial"/>
                <w:szCs w:val="24"/>
              </w:rPr>
              <w:t>I</w:t>
            </w:r>
            <w:r w:rsidR="008E45BC">
              <w:rPr>
                <w:rFonts w:ascii="Arial" w:hAnsi="Arial" w:cs="Arial"/>
                <w:szCs w:val="24"/>
              </w:rPr>
              <w:t xml:space="preserve"> </w:t>
            </w:r>
            <w:r w:rsidR="00075206" w:rsidRPr="006D1B53">
              <w:rPr>
                <w:rFonts w:ascii="Arial" w:hAnsi="Arial" w:cs="Arial"/>
                <w:szCs w:val="24"/>
              </w:rPr>
              <w:t xml:space="preserve">(EEPC) Over/(Under) Collections </w:t>
            </w:r>
            <w:r w:rsidR="003557C5" w:rsidRPr="004472AF">
              <w:rPr>
                <w:rFonts w:ascii="Arial" w:hAnsi="Arial" w:cs="Arial"/>
                <w:szCs w:val="24"/>
              </w:rPr>
              <w:t xml:space="preserve">(Section 1307(e)) </w:t>
            </w:r>
            <w:r w:rsidR="00075206" w:rsidRPr="006D1B53">
              <w:rPr>
                <w:rFonts w:ascii="Arial" w:hAnsi="Arial" w:cs="Arial"/>
                <w:szCs w:val="24"/>
              </w:rPr>
              <w:t xml:space="preserve">For The </w:t>
            </w:r>
            <w:r w:rsidR="00DE149A">
              <w:rPr>
                <w:rFonts w:ascii="Arial" w:hAnsi="Arial" w:cs="Arial"/>
                <w:szCs w:val="24"/>
              </w:rPr>
              <w:t xml:space="preserve">Reconciliation </w:t>
            </w:r>
            <w:r w:rsidR="00710724">
              <w:rPr>
                <w:rFonts w:ascii="Arial" w:hAnsi="Arial" w:cs="Arial"/>
                <w:szCs w:val="24"/>
              </w:rPr>
              <w:t>T</w:t>
            </w:r>
            <w:r w:rsidR="008E45BC">
              <w:rPr>
                <w:rFonts w:ascii="Arial" w:hAnsi="Arial" w:cs="Arial"/>
                <w:szCs w:val="24"/>
              </w:rPr>
              <w:t>rue-up</w:t>
            </w:r>
            <w:r w:rsidR="00AB24D8">
              <w:rPr>
                <w:rFonts w:ascii="Arial" w:hAnsi="Arial" w:cs="Arial"/>
                <w:szCs w:val="24"/>
              </w:rPr>
              <w:t xml:space="preserve"> Period</w:t>
            </w:r>
            <w:r w:rsidR="00075206" w:rsidRPr="006D1B53">
              <w:rPr>
                <w:rFonts w:ascii="Arial" w:hAnsi="Arial" w:cs="Arial"/>
                <w:szCs w:val="24"/>
              </w:rPr>
              <w:t xml:space="preserve"> </w:t>
            </w:r>
            <w:r w:rsidR="003557C5">
              <w:rPr>
                <w:rFonts w:ascii="Arial" w:hAnsi="Arial" w:cs="Arial"/>
                <w:szCs w:val="24"/>
              </w:rPr>
              <w:t>June 1, 2013 Through</w:t>
            </w:r>
            <w:r w:rsidR="008E45BC">
              <w:rPr>
                <w:rFonts w:ascii="Arial" w:hAnsi="Arial" w:cs="Arial"/>
                <w:szCs w:val="24"/>
              </w:rPr>
              <w:t xml:space="preserve"> May 31, 2014</w:t>
            </w:r>
          </w:p>
        </w:tc>
        <w:tc>
          <w:tcPr>
            <w:tcW w:w="1098" w:type="dxa"/>
          </w:tcPr>
          <w:p w:rsidR="00075206" w:rsidRPr="006D1B53" w:rsidRDefault="00075206" w:rsidP="00C54169">
            <w:pPr>
              <w:tabs>
                <w:tab w:val="right" w:pos="562"/>
              </w:tabs>
              <w:suppressAutoHyphens/>
              <w:jc w:val="center"/>
              <w:rPr>
                <w:rFonts w:ascii="Arial" w:hAnsi="Arial" w:cs="Arial"/>
                <w:szCs w:val="24"/>
              </w:rPr>
            </w:pPr>
          </w:p>
          <w:p w:rsidR="00075206" w:rsidRPr="006D1B53" w:rsidRDefault="00075206" w:rsidP="00C54169">
            <w:pPr>
              <w:tabs>
                <w:tab w:val="right" w:pos="562"/>
              </w:tabs>
              <w:suppressAutoHyphens/>
              <w:jc w:val="center"/>
              <w:rPr>
                <w:rFonts w:ascii="Arial" w:hAnsi="Arial" w:cs="Arial"/>
                <w:szCs w:val="24"/>
              </w:rPr>
            </w:pPr>
          </w:p>
          <w:p w:rsidR="00075206" w:rsidRPr="006D1B53" w:rsidRDefault="00CB393D" w:rsidP="00C54169">
            <w:pPr>
              <w:tabs>
                <w:tab w:val="right" w:pos="562"/>
              </w:tabs>
              <w:suppressAutoHyphens/>
              <w:jc w:val="center"/>
              <w:rPr>
                <w:rFonts w:ascii="Arial" w:hAnsi="Arial" w:cs="Arial"/>
                <w:szCs w:val="24"/>
              </w:rPr>
            </w:pPr>
            <w:r>
              <w:rPr>
                <w:rFonts w:ascii="Arial" w:hAnsi="Arial" w:cs="Arial"/>
                <w:szCs w:val="24"/>
              </w:rPr>
              <w:t>4</w:t>
            </w:r>
          </w:p>
        </w:tc>
      </w:tr>
      <w:tr w:rsidR="00075206" w:rsidRPr="002C61BD" w:rsidTr="00C5320E">
        <w:tc>
          <w:tcPr>
            <w:tcW w:w="8478" w:type="dxa"/>
          </w:tcPr>
          <w:p w:rsidR="00075206" w:rsidRPr="006D1B53" w:rsidRDefault="00075206">
            <w:pPr>
              <w:pStyle w:val="EndnoteText"/>
              <w:tabs>
                <w:tab w:val="left" w:pos="9180"/>
              </w:tabs>
              <w:suppressAutoHyphens/>
              <w:ind w:left="360"/>
              <w:rPr>
                <w:rFonts w:ascii="Arial" w:hAnsi="Arial" w:cs="Arial"/>
                <w:szCs w:val="24"/>
              </w:rPr>
            </w:pPr>
          </w:p>
        </w:tc>
        <w:tc>
          <w:tcPr>
            <w:tcW w:w="1098" w:type="dxa"/>
          </w:tcPr>
          <w:p w:rsidR="00075206" w:rsidRPr="006D1B53" w:rsidRDefault="00075206" w:rsidP="00C54169">
            <w:pPr>
              <w:tabs>
                <w:tab w:val="right" w:pos="562"/>
              </w:tabs>
              <w:suppressAutoHyphens/>
              <w:jc w:val="center"/>
              <w:rPr>
                <w:rFonts w:ascii="Arial" w:hAnsi="Arial" w:cs="Arial"/>
                <w:szCs w:val="24"/>
              </w:rPr>
            </w:pPr>
          </w:p>
        </w:tc>
      </w:tr>
      <w:tr w:rsidR="003D0F37" w:rsidRPr="002C61BD" w:rsidTr="003D0F37">
        <w:trPr>
          <w:trHeight w:val="252"/>
        </w:trPr>
        <w:tc>
          <w:tcPr>
            <w:tcW w:w="8478" w:type="dxa"/>
          </w:tcPr>
          <w:p w:rsidR="003D0F37" w:rsidRPr="006D1B53" w:rsidRDefault="003D0F37" w:rsidP="003D0F37">
            <w:pPr>
              <w:tabs>
                <w:tab w:val="left" w:pos="390"/>
                <w:tab w:val="left" w:pos="9180"/>
              </w:tabs>
              <w:suppressAutoHyphens/>
              <w:ind w:left="360"/>
              <w:rPr>
                <w:rFonts w:ascii="Arial" w:hAnsi="Arial" w:cs="Arial"/>
                <w:szCs w:val="24"/>
              </w:rPr>
            </w:pPr>
            <w:r w:rsidRPr="006D1B53">
              <w:rPr>
                <w:rFonts w:ascii="Arial" w:hAnsi="Arial" w:cs="Arial"/>
                <w:szCs w:val="24"/>
              </w:rPr>
              <w:t>Notes To The Financial Statement</w:t>
            </w:r>
            <w:r w:rsidR="00686AD1">
              <w:rPr>
                <w:rFonts w:ascii="Arial" w:hAnsi="Arial" w:cs="Arial"/>
                <w:szCs w:val="24"/>
              </w:rPr>
              <w:t>s</w:t>
            </w:r>
          </w:p>
        </w:tc>
        <w:tc>
          <w:tcPr>
            <w:tcW w:w="1098" w:type="dxa"/>
          </w:tcPr>
          <w:p w:rsidR="003D0F37" w:rsidRPr="006D1B53" w:rsidRDefault="00CB393D" w:rsidP="003D0F37">
            <w:pPr>
              <w:tabs>
                <w:tab w:val="right" w:pos="562"/>
              </w:tabs>
              <w:suppressAutoHyphens/>
              <w:jc w:val="center"/>
              <w:rPr>
                <w:rFonts w:ascii="Arial" w:hAnsi="Arial" w:cs="Arial"/>
                <w:szCs w:val="24"/>
              </w:rPr>
            </w:pPr>
            <w:r>
              <w:rPr>
                <w:rFonts w:ascii="Arial" w:hAnsi="Arial" w:cs="Arial"/>
                <w:szCs w:val="24"/>
              </w:rPr>
              <w:t>5</w:t>
            </w:r>
          </w:p>
        </w:tc>
      </w:tr>
      <w:tr w:rsidR="003D0F37" w:rsidRPr="006D1B53" w:rsidTr="003D0F37">
        <w:tc>
          <w:tcPr>
            <w:tcW w:w="8478" w:type="dxa"/>
          </w:tcPr>
          <w:p w:rsidR="003D0F37" w:rsidRPr="006D1B53" w:rsidRDefault="003D0F37" w:rsidP="003D0F37">
            <w:pPr>
              <w:tabs>
                <w:tab w:val="left" w:pos="-2880"/>
                <w:tab w:val="left" w:pos="-720"/>
                <w:tab w:val="left" w:pos="1440"/>
                <w:tab w:val="left" w:pos="9180"/>
              </w:tabs>
              <w:suppressAutoHyphens/>
              <w:rPr>
                <w:rFonts w:ascii="Arial" w:hAnsi="Arial" w:cs="Arial"/>
                <w:b/>
                <w:szCs w:val="24"/>
              </w:rPr>
            </w:pPr>
          </w:p>
          <w:p w:rsidR="003D0F37" w:rsidRPr="006D1B53" w:rsidRDefault="00C8745C" w:rsidP="003D0F37">
            <w:pPr>
              <w:tabs>
                <w:tab w:val="left" w:pos="-2880"/>
                <w:tab w:val="left" w:pos="-720"/>
                <w:tab w:val="left" w:pos="1440"/>
                <w:tab w:val="left" w:pos="9180"/>
              </w:tabs>
              <w:suppressAutoHyphens/>
              <w:rPr>
                <w:rFonts w:ascii="Arial" w:hAnsi="Arial" w:cs="Arial"/>
                <w:szCs w:val="24"/>
              </w:rPr>
            </w:pPr>
            <w:r w:rsidRPr="006D1B53">
              <w:rPr>
                <w:rFonts w:ascii="Arial" w:hAnsi="Arial" w:cs="Arial"/>
                <w:b/>
                <w:szCs w:val="24"/>
              </w:rPr>
              <w:t xml:space="preserve">BACKGROUND AND </w:t>
            </w:r>
            <w:r w:rsidR="003D0F37" w:rsidRPr="006D1B53">
              <w:rPr>
                <w:rFonts w:ascii="Arial" w:hAnsi="Arial" w:cs="Arial"/>
                <w:b/>
                <w:szCs w:val="24"/>
              </w:rPr>
              <w:t>OPERATIONAL REVIEW</w:t>
            </w:r>
          </w:p>
        </w:tc>
        <w:tc>
          <w:tcPr>
            <w:tcW w:w="1098" w:type="dxa"/>
          </w:tcPr>
          <w:p w:rsidR="003D0F37" w:rsidRPr="006D1B53" w:rsidRDefault="003D0F37" w:rsidP="003D0F37">
            <w:pPr>
              <w:tabs>
                <w:tab w:val="right" w:pos="562"/>
              </w:tabs>
              <w:suppressAutoHyphens/>
              <w:jc w:val="center"/>
              <w:rPr>
                <w:rFonts w:ascii="Arial" w:hAnsi="Arial" w:cs="Arial"/>
                <w:szCs w:val="24"/>
              </w:rPr>
            </w:pPr>
          </w:p>
        </w:tc>
      </w:tr>
      <w:tr w:rsidR="003D0F37" w:rsidRPr="002C61BD" w:rsidTr="003D0F37">
        <w:tc>
          <w:tcPr>
            <w:tcW w:w="8478" w:type="dxa"/>
          </w:tcPr>
          <w:p w:rsidR="003D0F37" w:rsidRPr="002C61BD" w:rsidRDefault="003D0F37" w:rsidP="003D0F37">
            <w:pPr>
              <w:tabs>
                <w:tab w:val="left" w:pos="-720"/>
                <w:tab w:val="left" w:pos="360"/>
                <w:tab w:val="left" w:pos="1440"/>
                <w:tab w:val="left" w:pos="9180"/>
              </w:tabs>
              <w:suppressAutoHyphens/>
              <w:rPr>
                <w:rFonts w:ascii="Arial" w:hAnsi="Arial" w:cs="Arial"/>
                <w:b/>
                <w:szCs w:val="24"/>
                <w:u w:val="single"/>
              </w:rPr>
            </w:pPr>
          </w:p>
        </w:tc>
        <w:tc>
          <w:tcPr>
            <w:tcW w:w="1098" w:type="dxa"/>
          </w:tcPr>
          <w:p w:rsidR="003D0F37" w:rsidRPr="002C61BD" w:rsidRDefault="003D0F37" w:rsidP="003D0F37">
            <w:pPr>
              <w:tabs>
                <w:tab w:val="right" w:pos="562"/>
              </w:tabs>
              <w:suppressAutoHyphens/>
              <w:rPr>
                <w:rFonts w:ascii="Arial" w:hAnsi="Arial" w:cs="Arial"/>
                <w:szCs w:val="24"/>
              </w:rPr>
            </w:pPr>
          </w:p>
        </w:tc>
      </w:tr>
      <w:tr w:rsidR="003D0F37" w:rsidRPr="002C61BD" w:rsidTr="003D0F37">
        <w:trPr>
          <w:trHeight w:val="306"/>
        </w:trPr>
        <w:tc>
          <w:tcPr>
            <w:tcW w:w="8478" w:type="dxa"/>
          </w:tcPr>
          <w:p w:rsidR="003D0F37" w:rsidRPr="002C61BD" w:rsidRDefault="003D0F37" w:rsidP="003D0F37">
            <w:pPr>
              <w:tabs>
                <w:tab w:val="left" w:pos="-720"/>
                <w:tab w:val="left" w:pos="360"/>
                <w:tab w:val="left" w:pos="1440"/>
                <w:tab w:val="left" w:pos="9180"/>
              </w:tabs>
              <w:suppressAutoHyphens/>
              <w:rPr>
                <w:rFonts w:ascii="Arial" w:hAnsi="Arial" w:cs="Arial"/>
                <w:szCs w:val="24"/>
              </w:rPr>
            </w:pPr>
            <w:r w:rsidRPr="002C61BD">
              <w:rPr>
                <w:rFonts w:ascii="Arial" w:hAnsi="Arial" w:cs="Arial"/>
                <w:szCs w:val="24"/>
              </w:rPr>
              <w:t xml:space="preserve">     Background</w:t>
            </w:r>
          </w:p>
        </w:tc>
        <w:tc>
          <w:tcPr>
            <w:tcW w:w="1098" w:type="dxa"/>
          </w:tcPr>
          <w:p w:rsidR="003D0F37" w:rsidRPr="002C61BD" w:rsidRDefault="00DA634E" w:rsidP="003D0F37">
            <w:pPr>
              <w:tabs>
                <w:tab w:val="right" w:pos="562"/>
              </w:tabs>
              <w:suppressAutoHyphens/>
              <w:jc w:val="center"/>
              <w:rPr>
                <w:rFonts w:ascii="Arial" w:hAnsi="Arial" w:cs="Arial"/>
                <w:szCs w:val="24"/>
              </w:rPr>
            </w:pPr>
            <w:r>
              <w:rPr>
                <w:rFonts w:ascii="Arial" w:hAnsi="Arial" w:cs="Arial"/>
                <w:szCs w:val="24"/>
              </w:rPr>
              <w:t>7</w:t>
            </w:r>
          </w:p>
        </w:tc>
      </w:tr>
      <w:tr w:rsidR="003D0F37" w:rsidRPr="002C61BD" w:rsidTr="003D0F37">
        <w:trPr>
          <w:trHeight w:val="261"/>
        </w:trPr>
        <w:tc>
          <w:tcPr>
            <w:tcW w:w="8478" w:type="dxa"/>
          </w:tcPr>
          <w:p w:rsidR="003D0F37" w:rsidRPr="002C61BD" w:rsidRDefault="003D0F37" w:rsidP="003D0F37">
            <w:pPr>
              <w:tabs>
                <w:tab w:val="left" w:pos="-720"/>
                <w:tab w:val="left" w:pos="360"/>
                <w:tab w:val="left" w:pos="1440"/>
                <w:tab w:val="left" w:pos="9180"/>
              </w:tabs>
              <w:suppressAutoHyphens/>
              <w:rPr>
                <w:rFonts w:ascii="Arial" w:hAnsi="Arial" w:cs="Arial"/>
                <w:szCs w:val="24"/>
              </w:rPr>
            </w:pPr>
          </w:p>
        </w:tc>
        <w:tc>
          <w:tcPr>
            <w:tcW w:w="1098" w:type="dxa"/>
          </w:tcPr>
          <w:p w:rsidR="003D0F37" w:rsidRPr="002C61BD" w:rsidRDefault="003D0F37" w:rsidP="003D0F37">
            <w:pPr>
              <w:tabs>
                <w:tab w:val="right" w:pos="562"/>
              </w:tabs>
              <w:suppressAutoHyphens/>
              <w:jc w:val="center"/>
              <w:rPr>
                <w:rFonts w:ascii="Arial" w:hAnsi="Arial" w:cs="Arial"/>
                <w:szCs w:val="24"/>
              </w:rPr>
            </w:pPr>
          </w:p>
        </w:tc>
      </w:tr>
      <w:tr w:rsidR="003D0F37" w:rsidRPr="002C61BD" w:rsidTr="003D0F37">
        <w:tc>
          <w:tcPr>
            <w:tcW w:w="8478" w:type="dxa"/>
          </w:tcPr>
          <w:p w:rsidR="003D0F37" w:rsidRPr="002C61BD" w:rsidRDefault="003D0F37" w:rsidP="003557C5">
            <w:pPr>
              <w:tabs>
                <w:tab w:val="left" w:pos="-720"/>
                <w:tab w:val="left" w:pos="360"/>
                <w:tab w:val="left" w:pos="1440"/>
                <w:tab w:val="left" w:pos="9180"/>
              </w:tabs>
              <w:suppressAutoHyphens/>
              <w:ind w:left="360"/>
              <w:rPr>
                <w:rFonts w:ascii="Arial" w:hAnsi="Arial" w:cs="Arial"/>
                <w:szCs w:val="24"/>
              </w:rPr>
            </w:pPr>
            <w:r w:rsidRPr="002C61BD">
              <w:rPr>
                <w:rFonts w:ascii="Arial" w:hAnsi="Arial" w:cs="Arial"/>
                <w:szCs w:val="24"/>
              </w:rPr>
              <w:t>Current</w:t>
            </w:r>
            <w:r w:rsidR="00012316">
              <w:rPr>
                <w:rFonts w:ascii="Arial" w:hAnsi="Arial" w:cs="Arial"/>
                <w:szCs w:val="24"/>
              </w:rPr>
              <w:t xml:space="preserve"> Period</w:t>
            </w:r>
            <w:r w:rsidRPr="002C61BD">
              <w:rPr>
                <w:rFonts w:ascii="Arial" w:hAnsi="Arial" w:cs="Arial"/>
                <w:szCs w:val="24"/>
              </w:rPr>
              <w:t xml:space="preserve"> Audit Finding</w:t>
            </w:r>
            <w:r w:rsidR="00AB63D4">
              <w:rPr>
                <w:rFonts w:ascii="Arial" w:hAnsi="Arial" w:cs="Arial"/>
                <w:szCs w:val="24"/>
              </w:rPr>
              <w:t xml:space="preserve"> and Observation</w:t>
            </w:r>
          </w:p>
        </w:tc>
        <w:tc>
          <w:tcPr>
            <w:tcW w:w="1098" w:type="dxa"/>
          </w:tcPr>
          <w:p w:rsidR="003D0F37" w:rsidRPr="002C61BD" w:rsidRDefault="003D0F37" w:rsidP="003D0F37">
            <w:pPr>
              <w:tabs>
                <w:tab w:val="right" w:pos="562"/>
              </w:tabs>
              <w:suppressAutoHyphens/>
              <w:jc w:val="center"/>
              <w:rPr>
                <w:rFonts w:ascii="Arial" w:hAnsi="Arial" w:cs="Arial"/>
                <w:szCs w:val="24"/>
              </w:rPr>
            </w:pPr>
          </w:p>
        </w:tc>
      </w:tr>
      <w:tr w:rsidR="003D0F37" w:rsidRPr="002C61BD" w:rsidTr="003D0F37">
        <w:tc>
          <w:tcPr>
            <w:tcW w:w="8478" w:type="dxa"/>
          </w:tcPr>
          <w:p w:rsidR="003D0F37" w:rsidRPr="002C61BD" w:rsidRDefault="003D0F37" w:rsidP="003D0F37">
            <w:pPr>
              <w:tabs>
                <w:tab w:val="left" w:pos="-720"/>
                <w:tab w:val="left" w:pos="360"/>
                <w:tab w:val="left" w:pos="1440"/>
                <w:tab w:val="left" w:pos="9180"/>
              </w:tabs>
              <w:suppressAutoHyphens/>
              <w:rPr>
                <w:rFonts w:ascii="Arial" w:hAnsi="Arial" w:cs="Arial"/>
                <w:b/>
                <w:szCs w:val="24"/>
                <w:u w:val="single"/>
              </w:rPr>
            </w:pPr>
          </w:p>
          <w:p w:rsidR="008E6F4D" w:rsidRPr="002C61BD" w:rsidRDefault="003D0F37" w:rsidP="0000261E">
            <w:pPr>
              <w:tabs>
                <w:tab w:val="left" w:pos="-720"/>
                <w:tab w:val="left" w:pos="1440"/>
                <w:tab w:val="left" w:pos="1980"/>
                <w:tab w:val="left" w:pos="9180"/>
              </w:tabs>
              <w:suppressAutoHyphens/>
              <w:ind w:left="1980" w:hanging="1080"/>
              <w:rPr>
                <w:rFonts w:ascii="Arial" w:hAnsi="Arial" w:cs="Arial"/>
                <w:b/>
                <w:szCs w:val="24"/>
                <w:u w:val="single"/>
              </w:rPr>
            </w:pPr>
            <w:r w:rsidRPr="008C3AC2">
              <w:rPr>
                <w:rFonts w:ascii="Arial" w:hAnsi="Arial" w:cs="Arial"/>
                <w:b/>
                <w:szCs w:val="24"/>
              </w:rPr>
              <w:t>Finding –</w:t>
            </w:r>
            <w:r w:rsidR="00BF39C4" w:rsidRPr="008C3AC2">
              <w:rPr>
                <w:rFonts w:ascii="Arial" w:hAnsi="Arial" w:cs="Arial"/>
                <w:b/>
                <w:szCs w:val="24"/>
              </w:rPr>
              <w:t xml:space="preserve"> </w:t>
            </w:r>
            <w:r w:rsidR="00F04EEB">
              <w:rPr>
                <w:rFonts w:ascii="Arial" w:hAnsi="Arial" w:cs="Arial"/>
                <w:b/>
                <w:szCs w:val="24"/>
              </w:rPr>
              <w:t xml:space="preserve">The </w:t>
            </w:r>
            <w:r w:rsidR="00503EE1">
              <w:rPr>
                <w:rFonts w:ascii="Arial" w:hAnsi="Arial" w:cs="Arial"/>
                <w:b/>
                <w:szCs w:val="24"/>
              </w:rPr>
              <w:t xml:space="preserve">Energy Efficiency </w:t>
            </w:r>
            <w:r w:rsidR="00DC1875">
              <w:rPr>
                <w:rFonts w:ascii="Arial" w:hAnsi="Arial" w:cs="Arial"/>
                <w:b/>
                <w:szCs w:val="24"/>
              </w:rPr>
              <w:t>A</w:t>
            </w:r>
            <w:r w:rsidR="0000261E">
              <w:rPr>
                <w:rFonts w:ascii="Arial" w:hAnsi="Arial" w:cs="Arial"/>
                <w:b/>
                <w:szCs w:val="24"/>
              </w:rPr>
              <w:t>nd Conservation Program Re</w:t>
            </w:r>
            <w:r w:rsidR="00503EE1">
              <w:rPr>
                <w:rFonts w:ascii="Arial" w:hAnsi="Arial" w:cs="Arial"/>
                <w:b/>
                <w:szCs w:val="24"/>
              </w:rPr>
              <w:t xml:space="preserve">venues </w:t>
            </w:r>
            <w:r w:rsidR="00DC1875">
              <w:rPr>
                <w:rFonts w:ascii="Arial" w:hAnsi="Arial" w:cs="Arial"/>
                <w:b/>
                <w:szCs w:val="24"/>
              </w:rPr>
              <w:t>F</w:t>
            </w:r>
            <w:r w:rsidR="00503EE1">
              <w:rPr>
                <w:rFonts w:ascii="Arial" w:hAnsi="Arial" w:cs="Arial"/>
                <w:b/>
                <w:szCs w:val="24"/>
              </w:rPr>
              <w:t xml:space="preserve">or </w:t>
            </w:r>
            <w:r w:rsidR="00DC1875">
              <w:rPr>
                <w:rFonts w:ascii="Arial" w:hAnsi="Arial" w:cs="Arial"/>
                <w:b/>
                <w:szCs w:val="24"/>
              </w:rPr>
              <w:t>T</w:t>
            </w:r>
            <w:r w:rsidR="00503EE1">
              <w:rPr>
                <w:rFonts w:ascii="Arial" w:hAnsi="Arial" w:cs="Arial"/>
                <w:b/>
                <w:szCs w:val="24"/>
              </w:rPr>
              <w:t xml:space="preserve">he Commercial </w:t>
            </w:r>
            <w:r w:rsidR="00DC1875">
              <w:rPr>
                <w:rFonts w:ascii="Arial" w:hAnsi="Arial" w:cs="Arial"/>
                <w:b/>
                <w:szCs w:val="24"/>
              </w:rPr>
              <w:t>C</w:t>
            </w:r>
            <w:r w:rsidR="00503EE1">
              <w:rPr>
                <w:rFonts w:ascii="Arial" w:hAnsi="Arial" w:cs="Arial"/>
                <w:b/>
                <w:szCs w:val="24"/>
              </w:rPr>
              <w:t xml:space="preserve">ustomer </w:t>
            </w:r>
            <w:r w:rsidR="00DC1875">
              <w:rPr>
                <w:rFonts w:ascii="Arial" w:hAnsi="Arial" w:cs="Arial"/>
                <w:b/>
                <w:szCs w:val="24"/>
              </w:rPr>
              <w:t>Class W</w:t>
            </w:r>
            <w:r w:rsidR="00503EE1">
              <w:rPr>
                <w:rFonts w:ascii="Arial" w:hAnsi="Arial" w:cs="Arial"/>
                <w:b/>
                <w:szCs w:val="24"/>
              </w:rPr>
              <w:t xml:space="preserve">ere </w:t>
            </w:r>
            <w:r w:rsidR="00DC1875">
              <w:rPr>
                <w:rFonts w:ascii="Arial" w:hAnsi="Arial" w:cs="Arial"/>
                <w:b/>
                <w:szCs w:val="24"/>
              </w:rPr>
              <w:t>I</w:t>
            </w:r>
            <w:r w:rsidR="00503EE1">
              <w:rPr>
                <w:rFonts w:ascii="Arial" w:hAnsi="Arial" w:cs="Arial"/>
                <w:b/>
                <w:szCs w:val="24"/>
              </w:rPr>
              <w:t xml:space="preserve">naccurately </w:t>
            </w:r>
            <w:r w:rsidR="00DC1875">
              <w:rPr>
                <w:rFonts w:ascii="Arial" w:hAnsi="Arial" w:cs="Arial"/>
                <w:b/>
                <w:szCs w:val="24"/>
              </w:rPr>
              <w:t>R</w:t>
            </w:r>
            <w:r w:rsidR="00503EE1">
              <w:rPr>
                <w:rFonts w:ascii="Arial" w:hAnsi="Arial" w:cs="Arial"/>
                <w:b/>
                <w:szCs w:val="24"/>
              </w:rPr>
              <w:t>eported</w:t>
            </w:r>
            <w:r w:rsidR="00D739B9">
              <w:rPr>
                <w:rFonts w:ascii="Arial" w:hAnsi="Arial" w:cs="Arial"/>
                <w:b/>
                <w:sz w:val="26"/>
                <w:szCs w:val="24"/>
              </w:rPr>
              <w:t>.</w:t>
            </w:r>
          </w:p>
        </w:tc>
        <w:tc>
          <w:tcPr>
            <w:tcW w:w="1098" w:type="dxa"/>
          </w:tcPr>
          <w:p w:rsidR="00012316" w:rsidRDefault="00012316" w:rsidP="003D0F37">
            <w:pPr>
              <w:tabs>
                <w:tab w:val="right" w:pos="562"/>
              </w:tabs>
              <w:suppressAutoHyphens/>
              <w:jc w:val="center"/>
              <w:rPr>
                <w:rFonts w:ascii="Arial" w:hAnsi="Arial" w:cs="Arial"/>
                <w:szCs w:val="24"/>
              </w:rPr>
            </w:pPr>
          </w:p>
          <w:p w:rsidR="00012316" w:rsidRDefault="00012316" w:rsidP="003D0F37">
            <w:pPr>
              <w:tabs>
                <w:tab w:val="right" w:pos="562"/>
              </w:tabs>
              <w:suppressAutoHyphens/>
              <w:jc w:val="center"/>
              <w:rPr>
                <w:rFonts w:ascii="Arial" w:hAnsi="Arial" w:cs="Arial"/>
                <w:szCs w:val="24"/>
              </w:rPr>
            </w:pPr>
          </w:p>
          <w:p w:rsidR="00012316" w:rsidRDefault="00012316" w:rsidP="003D0F37">
            <w:pPr>
              <w:tabs>
                <w:tab w:val="right" w:pos="562"/>
              </w:tabs>
              <w:suppressAutoHyphens/>
              <w:jc w:val="center"/>
              <w:rPr>
                <w:rFonts w:ascii="Arial" w:hAnsi="Arial" w:cs="Arial"/>
                <w:szCs w:val="24"/>
              </w:rPr>
            </w:pPr>
          </w:p>
          <w:p w:rsidR="003D0F37" w:rsidRDefault="00DA634E" w:rsidP="003D0F37">
            <w:pPr>
              <w:tabs>
                <w:tab w:val="right" w:pos="562"/>
              </w:tabs>
              <w:suppressAutoHyphens/>
              <w:jc w:val="center"/>
              <w:rPr>
                <w:rFonts w:ascii="Arial" w:hAnsi="Arial" w:cs="Arial"/>
                <w:szCs w:val="24"/>
              </w:rPr>
            </w:pPr>
            <w:r>
              <w:rPr>
                <w:rFonts w:ascii="Arial" w:hAnsi="Arial" w:cs="Arial"/>
                <w:szCs w:val="24"/>
              </w:rPr>
              <w:t>8</w:t>
            </w:r>
          </w:p>
          <w:p w:rsidR="00D739B9" w:rsidRPr="002C61BD" w:rsidRDefault="00D739B9" w:rsidP="003D0F37">
            <w:pPr>
              <w:tabs>
                <w:tab w:val="right" w:pos="562"/>
              </w:tabs>
              <w:suppressAutoHyphens/>
              <w:jc w:val="center"/>
              <w:rPr>
                <w:rFonts w:ascii="Arial" w:hAnsi="Arial" w:cs="Arial"/>
                <w:szCs w:val="24"/>
              </w:rPr>
            </w:pPr>
          </w:p>
        </w:tc>
      </w:tr>
      <w:tr w:rsidR="003D0F37" w:rsidRPr="006D1B53" w:rsidTr="003D0F37">
        <w:tc>
          <w:tcPr>
            <w:tcW w:w="8478" w:type="dxa"/>
          </w:tcPr>
          <w:p w:rsidR="00AB63D4" w:rsidRPr="00152E73" w:rsidRDefault="00AB63D4" w:rsidP="00DC1875">
            <w:pPr>
              <w:tabs>
                <w:tab w:val="left" w:pos="1980"/>
              </w:tabs>
              <w:overflowPunct/>
              <w:autoSpaceDE/>
              <w:autoSpaceDN/>
              <w:adjustRightInd/>
              <w:ind w:left="2610" w:hanging="1710"/>
              <w:textAlignment w:val="auto"/>
              <w:rPr>
                <w:rFonts w:ascii="Arial" w:hAnsi="Arial" w:cs="Arial"/>
                <w:b/>
                <w:szCs w:val="24"/>
                <w:u w:val="single"/>
              </w:rPr>
            </w:pPr>
            <w:r w:rsidRPr="00152E73">
              <w:rPr>
                <w:rFonts w:ascii="Arial" w:hAnsi="Arial" w:cs="Arial"/>
                <w:b/>
                <w:szCs w:val="24"/>
              </w:rPr>
              <w:t xml:space="preserve">Observation – PECO </w:t>
            </w:r>
            <w:r w:rsidR="00DC1875">
              <w:rPr>
                <w:rFonts w:ascii="Arial" w:hAnsi="Arial" w:cs="Arial"/>
                <w:b/>
                <w:szCs w:val="24"/>
              </w:rPr>
              <w:t>D</w:t>
            </w:r>
            <w:r w:rsidRPr="00152E73">
              <w:rPr>
                <w:rFonts w:ascii="Arial" w:hAnsi="Arial" w:cs="Arial"/>
                <w:b/>
                <w:szCs w:val="24"/>
              </w:rPr>
              <w:t xml:space="preserve">id </w:t>
            </w:r>
            <w:r w:rsidR="00DC1875">
              <w:rPr>
                <w:rFonts w:ascii="Arial" w:hAnsi="Arial" w:cs="Arial"/>
                <w:b/>
                <w:szCs w:val="24"/>
              </w:rPr>
              <w:t>N</w:t>
            </w:r>
            <w:r w:rsidRPr="00152E73">
              <w:rPr>
                <w:rFonts w:ascii="Arial" w:hAnsi="Arial" w:cs="Arial"/>
                <w:b/>
                <w:szCs w:val="24"/>
              </w:rPr>
              <w:t xml:space="preserve">ot </w:t>
            </w:r>
            <w:r w:rsidR="00DC1875">
              <w:rPr>
                <w:rFonts w:ascii="Arial" w:hAnsi="Arial" w:cs="Arial"/>
                <w:b/>
                <w:szCs w:val="24"/>
              </w:rPr>
              <w:t>P</w:t>
            </w:r>
            <w:r w:rsidRPr="00152E73">
              <w:rPr>
                <w:rFonts w:ascii="Arial" w:hAnsi="Arial" w:cs="Arial"/>
                <w:b/>
                <w:szCs w:val="24"/>
              </w:rPr>
              <w:t xml:space="preserve">roperly </w:t>
            </w:r>
            <w:r w:rsidR="00DC1875">
              <w:rPr>
                <w:rFonts w:ascii="Arial" w:hAnsi="Arial" w:cs="Arial"/>
                <w:b/>
                <w:szCs w:val="24"/>
              </w:rPr>
              <w:t>A</w:t>
            </w:r>
            <w:r w:rsidRPr="00152E73">
              <w:rPr>
                <w:rFonts w:ascii="Arial" w:hAnsi="Arial" w:cs="Arial"/>
                <w:b/>
                <w:szCs w:val="24"/>
              </w:rPr>
              <w:t xml:space="preserve">ccount </w:t>
            </w:r>
            <w:r w:rsidR="00DC1875">
              <w:rPr>
                <w:rFonts w:ascii="Arial" w:hAnsi="Arial" w:cs="Arial"/>
                <w:b/>
                <w:szCs w:val="24"/>
              </w:rPr>
              <w:t>F</w:t>
            </w:r>
            <w:r w:rsidRPr="00152E73">
              <w:rPr>
                <w:rFonts w:ascii="Arial" w:hAnsi="Arial" w:cs="Arial"/>
                <w:b/>
                <w:szCs w:val="24"/>
              </w:rPr>
              <w:t xml:space="preserve">or </w:t>
            </w:r>
            <w:r w:rsidR="00DC1875">
              <w:rPr>
                <w:rFonts w:ascii="Arial" w:hAnsi="Arial" w:cs="Arial"/>
                <w:b/>
                <w:szCs w:val="24"/>
              </w:rPr>
              <w:t>The C</w:t>
            </w:r>
            <w:r>
              <w:rPr>
                <w:rFonts w:ascii="Arial" w:hAnsi="Arial" w:cs="Arial"/>
                <w:b/>
                <w:szCs w:val="24"/>
              </w:rPr>
              <w:t xml:space="preserve">redits </w:t>
            </w:r>
            <w:r w:rsidR="00DC1875">
              <w:rPr>
                <w:rFonts w:ascii="Arial" w:hAnsi="Arial" w:cs="Arial"/>
                <w:b/>
                <w:szCs w:val="24"/>
              </w:rPr>
              <w:t>I</w:t>
            </w:r>
            <w:r>
              <w:rPr>
                <w:rFonts w:ascii="Arial" w:hAnsi="Arial" w:cs="Arial"/>
                <w:b/>
                <w:szCs w:val="24"/>
              </w:rPr>
              <w:t xml:space="preserve">ssued </w:t>
            </w:r>
            <w:r w:rsidR="00DC1875">
              <w:rPr>
                <w:rFonts w:ascii="Arial" w:hAnsi="Arial" w:cs="Arial"/>
                <w:b/>
                <w:szCs w:val="24"/>
              </w:rPr>
              <w:t>B</w:t>
            </w:r>
            <w:r>
              <w:rPr>
                <w:rFonts w:ascii="Arial" w:hAnsi="Arial" w:cs="Arial"/>
                <w:b/>
                <w:szCs w:val="24"/>
              </w:rPr>
              <w:t xml:space="preserve">y </w:t>
            </w:r>
            <w:r w:rsidR="009709E9">
              <w:rPr>
                <w:rFonts w:ascii="Arial" w:hAnsi="Arial" w:cs="Arial"/>
                <w:b/>
                <w:szCs w:val="24"/>
              </w:rPr>
              <w:t xml:space="preserve">The </w:t>
            </w:r>
            <w:r>
              <w:rPr>
                <w:rFonts w:ascii="Arial" w:hAnsi="Arial" w:cs="Arial"/>
                <w:b/>
                <w:szCs w:val="24"/>
              </w:rPr>
              <w:t>PJM</w:t>
            </w:r>
            <w:r w:rsidR="009709E9">
              <w:rPr>
                <w:rFonts w:ascii="Arial" w:hAnsi="Arial" w:cs="Arial"/>
                <w:b/>
                <w:szCs w:val="24"/>
              </w:rPr>
              <w:t xml:space="preserve"> Interconnection</w:t>
            </w:r>
            <w:r w:rsidR="00053E78">
              <w:rPr>
                <w:rFonts w:ascii="Arial" w:hAnsi="Arial" w:cs="Arial"/>
                <w:b/>
                <w:szCs w:val="24"/>
              </w:rPr>
              <w:t>, LLC</w:t>
            </w:r>
            <w:r>
              <w:rPr>
                <w:rFonts w:ascii="Arial" w:hAnsi="Arial" w:cs="Arial"/>
                <w:b/>
                <w:szCs w:val="24"/>
              </w:rPr>
              <w:t>.</w:t>
            </w:r>
          </w:p>
          <w:p w:rsidR="003D0F37" w:rsidRPr="006D1B53" w:rsidRDefault="003D0F37" w:rsidP="003D0F37">
            <w:pPr>
              <w:tabs>
                <w:tab w:val="left" w:pos="-720"/>
                <w:tab w:val="left" w:pos="360"/>
                <w:tab w:val="left" w:pos="1440"/>
                <w:tab w:val="left" w:pos="9180"/>
              </w:tabs>
              <w:suppressAutoHyphens/>
              <w:rPr>
                <w:rFonts w:ascii="Arial" w:hAnsi="Arial" w:cs="Arial"/>
                <w:b/>
                <w:szCs w:val="24"/>
              </w:rPr>
            </w:pPr>
          </w:p>
        </w:tc>
        <w:tc>
          <w:tcPr>
            <w:tcW w:w="1098" w:type="dxa"/>
          </w:tcPr>
          <w:p w:rsidR="00AF6307" w:rsidRDefault="00AF6307">
            <w:pPr>
              <w:tabs>
                <w:tab w:val="right" w:pos="562"/>
              </w:tabs>
              <w:suppressAutoHyphens/>
              <w:jc w:val="center"/>
              <w:rPr>
                <w:rFonts w:ascii="Arial" w:hAnsi="Arial" w:cs="Arial"/>
                <w:szCs w:val="24"/>
              </w:rPr>
            </w:pPr>
          </w:p>
          <w:p w:rsidR="003D0F37" w:rsidRPr="006D1B53" w:rsidRDefault="00DA634E">
            <w:pPr>
              <w:tabs>
                <w:tab w:val="right" w:pos="562"/>
              </w:tabs>
              <w:suppressAutoHyphens/>
              <w:jc w:val="center"/>
              <w:rPr>
                <w:rFonts w:ascii="Arial" w:hAnsi="Arial" w:cs="Arial"/>
                <w:szCs w:val="24"/>
              </w:rPr>
            </w:pPr>
            <w:r>
              <w:rPr>
                <w:rFonts w:ascii="Arial" w:hAnsi="Arial" w:cs="Arial"/>
                <w:szCs w:val="24"/>
              </w:rPr>
              <w:t>9</w:t>
            </w:r>
          </w:p>
        </w:tc>
      </w:tr>
      <w:tr w:rsidR="00D739B9" w:rsidRPr="002C61BD" w:rsidTr="00343C2B">
        <w:trPr>
          <w:trHeight w:val="74"/>
        </w:trPr>
        <w:tc>
          <w:tcPr>
            <w:tcW w:w="8478" w:type="dxa"/>
          </w:tcPr>
          <w:p w:rsidR="00D739B9" w:rsidRPr="00D739B9" w:rsidRDefault="00F51E91" w:rsidP="002F03DE">
            <w:pPr>
              <w:tabs>
                <w:tab w:val="left" w:pos="-2880"/>
                <w:tab w:val="left" w:pos="-720"/>
                <w:tab w:val="left" w:pos="1440"/>
                <w:tab w:val="left" w:pos="9180"/>
              </w:tabs>
              <w:suppressAutoHyphens/>
              <w:rPr>
                <w:rFonts w:ascii="Arial" w:hAnsi="Arial" w:cs="Arial"/>
                <w:b/>
                <w:szCs w:val="24"/>
              </w:rPr>
            </w:pPr>
            <w:r>
              <w:rPr>
                <w:rFonts w:ascii="Arial" w:hAnsi="Arial" w:cs="Arial"/>
                <w:b/>
                <w:szCs w:val="24"/>
              </w:rPr>
              <w:t>ACKNOWLEDGEMENTS</w:t>
            </w:r>
          </w:p>
        </w:tc>
        <w:tc>
          <w:tcPr>
            <w:tcW w:w="1098" w:type="dxa"/>
          </w:tcPr>
          <w:p w:rsidR="00D739B9" w:rsidRPr="002C61BD" w:rsidRDefault="00DA634E" w:rsidP="00D739B9">
            <w:pPr>
              <w:tabs>
                <w:tab w:val="right" w:pos="562"/>
              </w:tabs>
              <w:suppressAutoHyphens/>
              <w:jc w:val="center"/>
              <w:rPr>
                <w:rFonts w:ascii="Arial" w:hAnsi="Arial" w:cs="Arial"/>
                <w:szCs w:val="24"/>
              </w:rPr>
            </w:pPr>
            <w:r>
              <w:rPr>
                <w:rFonts w:ascii="Arial" w:hAnsi="Arial" w:cs="Arial"/>
                <w:szCs w:val="24"/>
              </w:rPr>
              <w:t>10</w:t>
            </w:r>
          </w:p>
        </w:tc>
      </w:tr>
      <w:tr w:rsidR="00D739B9" w:rsidRPr="00D739B9" w:rsidTr="00C5320E">
        <w:tc>
          <w:tcPr>
            <w:tcW w:w="8478" w:type="dxa"/>
          </w:tcPr>
          <w:p w:rsidR="00D739B9" w:rsidRPr="00D739B9" w:rsidRDefault="00D739B9" w:rsidP="00D739B9">
            <w:pPr>
              <w:tabs>
                <w:tab w:val="left" w:pos="-2880"/>
                <w:tab w:val="left" w:pos="-720"/>
                <w:tab w:val="left" w:pos="1440"/>
                <w:tab w:val="left" w:pos="9180"/>
              </w:tabs>
              <w:suppressAutoHyphens/>
              <w:rPr>
                <w:rFonts w:ascii="Arial" w:hAnsi="Arial" w:cs="Arial"/>
                <w:b/>
                <w:szCs w:val="24"/>
              </w:rPr>
            </w:pPr>
          </w:p>
        </w:tc>
        <w:tc>
          <w:tcPr>
            <w:tcW w:w="1098" w:type="dxa"/>
          </w:tcPr>
          <w:p w:rsidR="00D739B9" w:rsidRPr="00D739B9" w:rsidRDefault="00D739B9" w:rsidP="00D739B9">
            <w:pPr>
              <w:tabs>
                <w:tab w:val="left" w:pos="-2880"/>
                <w:tab w:val="left" w:pos="-720"/>
                <w:tab w:val="left" w:pos="1440"/>
                <w:tab w:val="left" w:pos="9180"/>
              </w:tabs>
              <w:suppressAutoHyphens/>
              <w:rPr>
                <w:rFonts w:ascii="Arial" w:hAnsi="Arial" w:cs="Arial"/>
                <w:b/>
                <w:szCs w:val="24"/>
              </w:rPr>
            </w:pPr>
          </w:p>
        </w:tc>
      </w:tr>
      <w:tr w:rsidR="00D739B9" w:rsidRPr="002C61BD" w:rsidTr="00C5320E">
        <w:tc>
          <w:tcPr>
            <w:tcW w:w="8478" w:type="dxa"/>
          </w:tcPr>
          <w:p w:rsidR="00D739B9" w:rsidRPr="002C61BD" w:rsidRDefault="00D739B9" w:rsidP="004D2644">
            <w:pPr>
              <w:pStyle w:val="EndnoteText"/>
              <w:tabs>
                <w:tab w:val="left" w:pos="9180"/>
              </w:tabs>
              <w:suppressAutoHyphens/>
              <w:ind w:left="360"/>
              <w:rPr>
                <w:rFonts w:ascii="Arial" w:hAnsi="Arial" w:cs="Arial"/>
                <w:szCs w:val="24"/>
              </w:rPr>
            </w:pPr>
          </w:p>
        </w:tc>
        <w:tc>
          <w:tcPr>
            <w:tcW w:w="1098" w:type="dxa"/>
          </w:tcPr>
          <w:p w:rsidR="00D739B9" w:rsidRPr="002C61BD" w:rsidRDefault="00D739B9" w:rsidP="00F04506">
            <w:pPr>
              <w:tabs>
                <w:tab w:val="right" w:pos="562"/>
              </w:tabs>
              <w:suppressAutoHyphens/>
              <w:jc w:val="center"/>
              <w:rPr>
                <w:rFonts w:ascii="Arial" w:hAnsi="Arial" w:cs="Arial"/>
                <w:szCs w:val="24"/>
              </w:rPr>
            </w:pPr>
          </w:p>
        </w:tc>
      </w:tr>
      <w:tr w:rsidR="00D739B9" w:rsidRPr="002C61BD" w:rsidTr="00C5320E">
        <w:trPr>
          <w:trHeight w:val="252"/>
        </w:trPr>
        <w:tc>
          <w:tcPr>
            <w:tcW w:w="8478" w:type="dxa"/>
          </w:tcPr>
          <w:p w:rsidR="00D739B9" w:rsidRPr="002C61BD" w:rsidRDefault="00D739B9" w:rsidP="00C5320E">
            <w:pPr>
              <w:tabs>
                <w:tab w:val="left" w:pos="390"/>
                <w:tab w:val="left" w:pos="9180"/>
              </w:tabs>
              <w:suppressAutoHyphens/>
              <w:ind w:left="360"/>
              <w:rPr>
                <w:rFonts w:ascii="Arial" w:hAnsi="Arial" w:cs="Arial"/>
                <w:szCs w:val="24"/>
              </w:rPr>
            </w:pPr>
          </w:p>
        </w:tc>
        <w:tc>
          <w:tcPr>
            <w:tcW w:w="1098" w:type="dxa"/>
          </w:tcPr>
          <w:p w:rsidR="00D739B9" w:rsidRPr="002C61BD" w:rsidRDefault="00D739B9" w:rsidP="00C5320E">
            <w:pPr>
              <w:tabs>
                <w:tab w:val="right" w:pos="562"/>
              </w:tabs>
              <w:suppressAutoHyphens/>
              <w:jc w:val="center"/>
              <w:rPr>
                <w:rFonts w:ascii="Arial" w:hAnsi="Arial" w:cs="Arial"/>
                <w:szCs w:val="24"/>
              </w:rPr>
            </w:pPr>
          </w:p>
        </w:tc>
      </w:tr>
      <w:tr w:rsidR="00D739B9" w:rsidRPr="002C61BD" w:rsidTr="00C5320E">
        <w:tc>
          <w:tcPr>
            <w:tcW w:w="8478" w:type="dxa"/>
          </w:tcPr>
          <w:p w:rsidR="00D739B9" w:rsidRPr="002C61BD" w:rsidRDefault="00D739B9" w:rsidP="00C5320E">
            <w:pPr>
              <w:tabs>
                <w:tab w:val="left" w:pos="-2880"/>
                <w:tab w:val="left" w:pos="-720"/>
                <w:tab w:val="left" w:pos="1440"/>
                <w:tab w:val="left" w:pos="9180"/>
              </w:tabs>
              <w:suppressAutoHyphens/>
              <w:rPr>
                <w:rFonts w:ascii="Arial" w:hAnsi="Arial" w:cs="Arial"/>
                <w:szCs w:val="24"/>
              </w:rPr>
            </w:pPr>
          </w:p>
        </w:tc>
        <w:tc>
          <w:tcPr>
            <w:tcW w:w="1098" w:type="dxa"/>
          </w:tcPr>
          <w:p w:rsidR="00D739B9" w:rsidRPr="002C61BD" w:rsidRDefault="00D739B9" w:rsidP="00C5320E">
            <w:pPr>
              <w:tabs>
                <w:tab w:val="right" w:pos="562"/>
              </w:tabs>
              <w:suppressAutoHyphens/>
              <w:jc w:val="center"/>
              <w:rPr>
                <w:rFonts w:ascii="Arial" w:hAnsi="Arial" w:cs="Arial"/>
                <w:szCs w:val="24"/>
              </w:rPr>
            </w:pPr>
          </w:p>
        </w:tc>
      </w:tr>
      <w:tr w:rsidR="00D739B9" w:rsidRPr="002C61BD" w:rsidTr="00C5320E">
        <w:tc>
          <w:tcPr>
            <w:tcW w:w="8478" w:type="dxa"/>
          </w:tcPr>
          <w:p w:rsidR="00D739B9" w:rsidRPr="002C61BD" w:rsidRDefault="00D739B9" w:rsidP="00C5320E">
            <w:pPr>
              <w:tabs>
                <w:tab w:val="left" w:pos="-720"/>
                <w:tab w:val="left" w:pos="360"/>
                <w:tab w:val="left" w:pos="1440"/>
                <w:tab w:val="left" w:pos="9180"/>
              </w:tabs>
              <w:suppressAutoHyphens/>
              <w:rPr>
                <w:rFonts w:ascii="Arial" w:hAnsi="Arial" w:cs="Arial"/>
                <w:b/>
                <w:szCs w:val="24"/>
                <w:u w:val="single"/>
              </w:rPr>
            </w:pPr>
          </w:p>
        </w:tc>
        <w:tc>
          <w:tcPr>
            <w:tcW w:w="1098" w:type="dxa"/>
          </w:tcPr>
          <w:p w:rsidR="00D739B9" w:rsidRPr="002C61BD" w:rsidRDefault="00D739B9" w:rsidP="00C5320E">
            <w:pPr>
              <w:tabs>
                <w:tab w:val="right" w:pos="562"/>
              </w:tabs>
              <w:suppressAutoHyphens/>
              <w:rPr>
                <w:rFonts w:ascii="Arial" w:hAnsi="Arial" w:cs="Arial"/>
                <w:szCs w:val="24"/>
              </w:rPr>
            </w:pPr>
          </w:p>
        </w:tc>
      </w:tr>
      <w:tr w:rsidR="00D739B9" w:rsidRPr="002C61BD" w:rsidTr="00343C2B">
        <w:trPr>
          <w:trHeight w:val="87"/>
        </w:trPr>
        <w:tc>
          <w:tcPr>
            <w:tcW w:w="8478" w:type="dxa"/>
          </w:tcPr>
          <w:p w:rsidR="00D739B9" w:rsidRPr="002C61BD" w:rsidRDefault="00D739B9" w:rsidP="00C5320E">
            <w:pPr>
              <w:tabs>
                <w:tab w:val="left" w:pos="-720"/>
                <w:tab w:val="left" w:pos="360"/>
                <w:tab w:val="left" w:pos="1440"/>
                <w:tab w:val="left" w:pos="9180"/>
              </w:tabs>
              <w:suppressAutoHyphens/>
              <w:rPr>
                <w:rFonts w:ascii="Arial" w:hAnsi="Arial" w:cs="Arial"/>
                <w:szCs w:val="24"/>
              </w:rPr>
            </w:pPr>
          </w:p>
        </w:tc>
        <w:tc>
          <w:tcPr>
            <w:tcW w:w="1098" w:type="dxa"/>
          </w:tcPr>
          <w:p w:rsidR="00D739B9" w:rsidRPr="002C61BD" w:rsidRDefault="00D739B9" w:rsidP="00C5320E">
            <w:pPr>
              <w:tabs>
                <w:tab w:val="right" w:pos="562"/>
              </w:tabs>
              <w:suppressAutoHyphens/>
              <w:jc w:val="center"/>
              <w:rPr>
                <w:rFonts w:ascii="Arial" w:hAnsi="Arial" w:cs="Arial"/>
                <w:szCs w:val="24"/>
              </w:rPr>
            </w:pPr>
          </w:p>
        </w:tc>
      </w:tr>
      <w:tr w:rsidR="00D739B9" w:rsidRPr="002C61BD" w:rsidTr="00607D58">
        <w:trPr>
          <w:trHeight w:val="261"/>
        </w:trPr>
        <w:tc>
          <w:tcPr>
            <w:tcW w:w="8478" w:type="dxa"/>
          </w:tcPr>
          <w:p w:rsidR="00D739B9" w:rsidRPr="002C61BD" w:rsidRDefault="00D739B9" w:rsidP="00C5320E">
            <w:pPr>
              <w:tabs>
                <w:tab w:val="left" w:pos="-720"/>
                <w:tab w:val="left" w:pos="360"/>
                <w:tab w:val="left" w:pos="1440"/>
                <w:tab w:val="left" w:pos="9180"/>
              </w:tabs>
              <w:suppressAutoHyphens/>
              <w:rPr>
                <w:rFonts w:ascii="Arial" w:hAnsi="Arial" w:cs="Arial"/>
                <w:szCs w:val="24"/>
              </w:rPr>
            </w:pPr>
          </w:p>
        </w:tc>
        <w:tc>
          <w:tcPr>
            <w:tcW w:w="1098" w:type="dxa"/>
          </w:tcPr>
          <w:p w:rsidR="00D739B9" w:rsidRPr="002C61BD" w:rsidRDefault="00D739B9" w:rsidP="00C5320E">
            <w:pPr>
              <w:tabs>
                <w:tab w:val="right" w:pos="562"/>
              </w:tabs>
              <w:suppressAutoHyphens/>
              <w:jc w:val="center"/>
              <w:rPr>
                <w:rFonts w:ascii="Arial" w:hAnsi="Arial" w:cs="Arial"/>
                <w:szCs w:val="24"/>
              </w:rPr>
            </w:pPr>
          </w:p>
        </w:tc>
      </w:tr>
      <w:tr w:rsidR="00D739B9" w:rsidRPr="002C61BD" w:rsidTr="00C5320E">
        <w:tc>
          <w:tcPr>
            <w:tcW w:w="8478" w:type="dxa"/>
          </w:tcPr>
          <w:p w:rsidR="00D739B9" w:rsidRPr="002C61BD" w:rsidRDefault="00D739B9" w:rsidP="00DA7513">
            <w:pPr>
              <w:tabs>
                <w:tab w:val="left" w:pos="-720"/>
                <w:tab w:val="left" w:pos="360"/>
                <w:tab w:val="left" w:pos="1440"/>
                <w:tab w:val="left" w:pos="9180"/>
              </w:tabs>
              <w:suppressAutoHyphens/>
              <w:ind w:left="360"/>
              <w:rPr>
                <w:rFonts w:ascii="Arial" w:hAnsi="Arial" w:cs="Arial"/>
                <w:szCs w:val="24"/>
              </w:rPr>
            </w:pPr>
          </w:p>
        </w:tc>
        <w:tc>
          <w:tcPr>
            <w:tcW w:w="1098" w:type="dxa"/>
          </w:tcPr>
          <w:p w:rsidR="00D739B9" w:rsidRPr="002C61BD" w:rsidRDefault="00D739B9" w:rsidP="001D2717">
            <w:pPr>
              <w:tabs>
                <w:tab w:val="right" w:pos="562"/>
              </w:tabs>
              <w:suppressAutoHyphens/>
              <w:jc w:val="center"/>
              <w:rPr>
                <w:rFonts w:ascii="Arial" w:hAnsi="Arial" w:cs="Arial"/>
                <w:szCs w:val="24"/>
              </w:rPr>
            </w:pPr>
          </w:p>
        </w:tc>
      </w:tr>
      <w:tr w:rsidR="00D739B9" w:rsidRPr="002C61BD" w:rsidTr="00C5320E">
        <w:tc>
          <w:tcPr>
            <w:tcW w:w="8478" w:type="dxa"/>
          </w:tcPr>
          <w:p w:rsidR="00D739B9" w:rsidRPr="002C61BD" w:rsidRDefault="00D739B9" w:rsidP="00C5320E">
            <w:pPr>
              <w:tabs>
                <w:tab w:val="left" w:pos="-720"/>
                <w:tab w:val="left" w:pos="360"/>
                <w:tab w:val="left" w:pos="1440"/>
                <w:tab w:val="left" w:pos="9180"/>
              </w:tabs>
              <w:suppressAutoHyphens/>
              <w:rPr>
                <w:rFonts w:ascii="Arial" w:hAnsi="Arial" w:cs="Arial"/>
                <w:b/>
                <w:szCs w:val="24"/>
                <w:u w:val="single"/>
              </w:rPr>
            </w:pPr>
          </w:p>
        </w:tc>
        <w:tc>
          <w:tcPr>
            <w:tcW w:w="1098" w:type="dxa"/>
          </w:tcPr>
          <w:p w:rsidR="00D739B9" w:rsidRPr="002C61BD" w:rsidRDefault="00D739B9" w:rsidP="001D2717">
            <w:pPr>
              <w:tabs>
                <w:tab w:val="right" w:pos="562"/>
              </w:tabs>
              <w:suppressAutoHyphens/>
              <w:jc w:val="center"/>
              <w:rPr>
                <w:rFonts w:ascii="Arial" w:hAnsi="Arial" w:cs="Arial"/>
                <w:szCs w:val="24"/>
              </w:rPr>
            </w:pPr>
          </w:p>
        </w:tc>
      </w:tr>
    </w:tbl>
    <w:p w:rsidR="007E0B70" w:rsidRDefault="007E0B70" w:rsidP="007E0B70">
      <w:pPr>
        <w:pStyle w:val="Heading4"/>
        <w:tabs>
          <w:tab w:val="clear" w:pos="4680"/>
        </w:tabs>
        <w:rPr>
          <w:rFonts w:ascii="Arial" w:hAnsi="Arial" w:cs="Arial"/>
          <w:sz w:val="36"/>
          <w:szCs w:val="24"/>
          <w:u w:val="none"/>
        </w:rPr>
      </w:pPr>
    </w:p>
    <w:p w:rsidR="00DF7BE0" w:rsidRPr="00DF7BE0" w:rsidRDefault="00DF7BE0" w:rsidP="00DF7BE0"/>
    <w:p w:rsidR="007B11B6" w:rsidRDefault="007B11B6" w:rsidP="00343C2B"/>
    <w:p w:rsidR="007B11B6" w:rsidRDefault="007B11B6" w:rsidP="00343C2B"/>
    <w:p w:rsidR="007B11B6" w:rsidRDefault="007B11B6" w:rsidP="00343C2B"/>
    <w:p w:rsidR="007B11B6" w:rsidRDefault="007B11B6" w:rsidP="00343C2B"/>
    <w:p w:rsidR="007B11B6" w:rsidRPr="00343C2B" w:rsidRDefault="007B11B6" w:rsidP="00343C2B"/>
    <w:p w:rsidR="007E0B70" w:rsidRDefault="007E0B70" w:rsidP="007E0B70">
      <w:pPr>
        <w:pStyle w:val="Heading4"/>
        <w:tabs>
          <w:tab w:val="clear" w:pos="4680"/>
        </w:tabs>
        <w:rPr>
          <w:rFonts w:ascii="Arial" w:hAnsi="Arial" w:cs="Arial"/>
          <w:sz w:val="36"/>
          <w:szCs w:val="24"/>
          <w:u w:val="none"/>
        </w:rPr>
      </w:pPr>
    </w:p>
    <w:p w:rsidR="007B0F67" w:rsidRDefault="007B0F67" w:rsidP="00343C2B"/>
    <w:p w:rsidR="007B0F67" w:rsidRPr="00343C2B" w:rsidRDefault="007B0F67" w:rsidP="00343C2B">
      <w:pPr>
        <w:rPr>
          <w:rFonts w:ascii="Arial" w:hAnsi="Arial" w:cs="Arial"/>
        </w:rPr>
      </w:pPr>
    </w:p>
    <w:p w:rsidR="007E0B70" w:rsidRPr="002C61BD" w:rsidRDefault="007E0B70" w:rsidP="007E0B70">
      <w:pPr>
        <w:pStyle w:val="Heading4"/>
        <w:tabs>
          <w:tab w:val="clear" w:pos="4680"/>
        </w:tabs>
        <w:rPr>
          <w:rFonts w:ascii="Arial" w:hAnsi="Arial" w:cs="Arial"/>
          <w:sz w:val="36"/>
          <w:szCs w:val="24"/>
          <w:u w:val="none"/>
        </w:rPr>
      </w:pPr>
    </w:p>
    <w:p w:rsidR="007E0B70" w:rsidRPr="002C61BD" w:rsidRDefault="007E0B70" w:rsidP="007E0B70">
      <w:pPr>
        <w:pStyle w:val="Heading4"/>
        <w:tabs>
          <w:tab w:val="clear" w:pos="4680"/>
        </w:tabs>
        <w:rPr>
          <w:rFonts w:ascii="Arial" w:hAnsi="Arial" w:cs="Arial"/>
          <w:sz w:val="36"/>
          <w:szCs w:val="24"/>
          <w:u w:val="none"/>
        </w:rPr>
      </w:pPr>
    </w:p>
    <w:p w:rsidR="007E0B70" w:rsidRDefault="007E0B70" w:rsidP="007E0B70">
      <w:pPr>
        <w:pStyle w:val="Heading4"/>
        <w:tabs>
          <w:tab w:val="clear" w:pos="4680"/>
        </w:tabs>
        <w:rPr>
          <w:rFonts w:ascii="Arial" w:hAnsi="Arial" w:cs="Arial"/>
          <w:sz w:val="36"/>
          <w:szCs w:val="24"/>
          <w:u w:val="none"/>
        </w:rPr>
      </w:pPr>
    </w:p>
    <w:p w:rsidR="000D0A79" w:rsidRPr="000D0A79" w:rsidRDefault="000D0A79" w:rsidP="000D0A79"/>
    <w:p w:rsidR="007E0B70" w:rsidRPr="002C61BD" w:rsidRDefault="007E0B70" w:rsidP="007E0B70">
      <w:pPr>
        <w:pStyle w:val="Heading4"/>
        <w:tabs>
          <w:tab w:val="clear" w:pos="4680"/>
        </w:tabs>
        <w:rPr>
          <w:rFonts w:ascii="Arial" w:hAnsi="Arial" w:cs="Arial"/>
          <w:sz w:val="36"/>
          <w:szCs w:val="24"/>
          <w:u w:val="none"/>
        </w:rPr>
      </w:pPr>
    </w:p>
    <w:p w:rsidR="00D933D4" w:rsidRDefault="00D933D4" w:rsidP="007E0B70">
      <w:pPr>
        <w:pStyle w:val="Heading4"/>
        <w:tabs>
          <w:tab w:val="clear" w:pos="4680"/>
        </w:tabs>
        <w:rPr>
          <w:rFonts w:ascii="Arial" w:hAnsi="Arial" w:cs="Arial"/>
          <w:sz w:val="36"/>
          <w:szCs w:val="24"/>
          <w:u w:val="none"/>
        </w:rPr>
      </w:pPr>
    </w:p>
    <w:p w:rsidR="00D933D4" w:rsidRDefault="00D933D4" w:rsidP="007E0B70">
      <w:pPr>
        <w:pStyle w:val="Heading4"/>
        <w:tabs>
          <w:tab w:val="clear" w:pos="4680"/>
        </w:tabs>
        <w:rPr>
          <w:rFonts w:ascii="Arial" w:hAnsi="Arial" w:cs="Arial"/>
          <w:sz w:val="36"/>
          <w:szCs w:val="24"/>
          <w:u w:val="none"/>
        </w:rPr>
      </w:pPr>
    </w:p>
    <w:p w:rsidR="007E0B70" w:rsidRPr="002C61BD" w:rsidRDefault="007E0B70" w:rsidP="007E0B70">
      <w:pPr>
        <w:pStyle w:val="Heading4"/>
        <w:tabs>
          <w:tab w:val="clear" w:pos="4680"/>
        </w:tabs>
        <w:rPr>
          <w:rFonts w:ascii="Arial" w:hAnsi="Arial" w:cs="Arial"/>
          <w:sz w:val="36"/>
          <w:szCs w:val="24"/>
          <w:u w:val="none"/>
        </w:rPr>
      </w:pPr>
      <w:r w:rsidRPr="002C61BD">
        <w:rPr>
          <w:rFonts w:ascii="Arial" w:hAnsi="Arial" w:cs="Arial"/>
          <w:sz w:val="36"/>
          <w:szCs w:val="24"/>
          <w:u w:val="none"/>
        </w:rPr>
        <w:t>FINANCIAL REVIEW</w:t>
      </w:r>
    </w:p>
    <w:p w:rsidR="007E0B70" w:rsidRPr="002C61BD" w:rsidRDefault="007E0B70" w:rsidP="007E0B70">
      <w:pPr>
        <w:overflowPunct/>
        <w:autoSpaceDE/>
        <w:autoSpaceDN/>
        <w:adjustRightInd/>
        <w:textAlignment w:val="auto"/>
        <w:rPr>
          <w:rFonts w:ascii="Arial" w:hAnsi="Arial" w:cs="Arial"/>
          <w:szCs w:val="24"/>
        </w:rPr>
        <w:sectPr w:rsidR="007E0B70" w:rsidRPr="002C61BD" w:rsidSect="006A7F6E">
          <w:endnotePr>
            <w:numFmt w:val="decimal"/>
          </w:endnotePr>
          <w:pgSz w:w="12240" w:h="15840" w:code="1"/>
          <w:pgMar w:top="1440" w:right="1440" w:bottom="1440" w:left="1440" w:header="720" w:footer="720" w:gutter="0"/>
          <w:pgNumType w:start="3"/>
          <w:cols w:space="720"/>
          <w:noEndnote/>
          <w:docGrid w:linePitch="326"/>
        </w:sectPr>
      </w:pPr>
    </w:p>
    <w:tbl>
      <w:tblPr>
        <w:tblW w:w="10890" w:type="dxa"/>
        <w:tblInd w:w="-702" w:type="dxa"/>
        <w:tblLayout w:type="fixed"/>
        <w:tblLook w:val="0000" w:firstRow="0" w:lastRow="0" w:firstColumn="0" w:lastColumn="0" w:noHBand="0" w:noVBand="0"/>
      </w:tblPr>
      <w:tblGrid>
        <w:gridCol w:w="1363"/>
        <w:gridCol w:w="8075"/>
        <w:gridCol w:w="1452"/>
      </w:tblGrid>
      <w:tr w:rsidR="007E0B70" w:rsidRPr="002C61BD" w:rsidTr="00C5320E">
        <w:trPr>
          <w:trHeight w:val="990"/>
        </w:trPr>
        <w:tc>
          <w:tcPr>
            <w:tcW w:w="1363" w:type="dxa"/>
          </w:tcPr>
          <w:p w:rsidR="007E0B70" w:rsidRPr="002C61BD" w:rsidRDefault="007E0B70" w:rsidP="00C5320E">
            <w:pPr>
              <w:rPr>
                <w:rFonts w:ascii="Arial" w:hAnsi="Arial" w:cs="Arial"/>
                <w:szCs w:val="24"/>
              </w:rPr>
            </w:pPr>
            <w:r w:rsidRPr="002C61BD">
              <w:rPr>
                <w:rFonts w:ascii="Arial" w:hAnsi="Arial" w:cs="Arial"/>
                <w:noProof/>
                <w:spacing w:val="-2"/>
                <w:szCs w:val="24"/>
              </w:rPr>
              <w:lastRenderedPageBreak/>
              <w:drawing>
                <wp:inline distT="0" distB="0" distL="0" distR="0" wp14:anchorId="4E83B5E6" wp14:editId="2DE6220E">
                  <wp:extent cx="723265" cy="723265"/>
                  <wp:effectExtent l="19050" t="0" r="63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5" cstate="print"/>
                          <a:srcRect/>
                          <a:stretch>
                            <a:fillRect/>
                          </a:stretch>
                        </pic:blipFill>
                        <pic:spPr bwMode="auto">
                          <a:xfrm>
                            <a:off x="0" y="0"/>
                            <a:ext cx="723265" cy="723265"/>
                          </a:xfrm>
                          <a:prstGeom prst="rect">
                            <a:avLst/>
                          </a:prstGeom>
                          <a:noFill/>
                          <a:ln w="9525">
                            <a:noFill/>
                            <a:miter lim="800000"/>
                            <a:headEnd/>
                            <a:tailEnd/>
                          </a:ln>
                        </pic:spPr>
                      </pic:pic>
                    </a:graphicData>
                  </a:graphic>
                </wp:inline>
              </w:drawing>
            </w:r>
          </w:p>
        </w:tc>
        <w:tc>
          <w:tcPr>
            <w:tcW w:w="8075" w:type="dxa"/>
          </w:tcPr>
          <w:p w:rsidR="007E0B70" w:rsidRPr="002C61BD" w:rsidRDefault="007E0B70" w:rsidP="00C5320E">
            <w:pPr>
              <w:suppressAutoHyphens/>
              <w:spacing w:line="204" w:lineRule="auto"/>
              <w:jc w:val="center"/>
              <w:rPr>
                <w:rFonts w:ascii="Arial" w:hAnsi="Arial" w:cs="Arial"/>
                <w:color w:val="000080"/>
                <w:spacing w:val="-3"/>
                <w:szCs w:val="24"/>
              </w:rPr>
            </w:pPr>
          </w:p>
          <w:p w:rsidR="007E0B70" w:rsidRPr="002C61BD" w:rsidRDefault="007E0B70" w:rsidP="00C5320E">
            <w:pPr>
              <w:suppressAutoHyphens/>
              <w:spacing w:line="204" w:lineRule="auto"/>
              <w:jc w:val="center"/>
              <w:rPr>
                <w:rFonts w:ascii="Arial" w:hAnsi="Arial" w:cs="Arial"/>
                <w:color w:val="000080"/>
                <w:spacing w:val="-3"/>
                <w:szCs w:val="24"/>
              </w:rPr>
            </w:pPr>
            <w:r w:rsidRPr="002C61BD">
              <w:rPr>
                <w:rFonts w:ascii="Arial" w:hAnsi="Arial" w:cs="Arial"/>
                <w:color w:val="000080"/>
                <w:spacing w:val="-3"/>
                <w:szCs w:val="24"/>
              </w:rPr>
              <w:t>COMMONWEALTH OF PENNSYLVANIA</w:t>
            </w:r>
          </w:p>
          <w:p w:rsidR="007E0B70" w:rsidRPr="002C61BD" w:rsidRDefault="007E0B70" w:rsidP="00C5320E">
            <w:pPr>
              <w:suppressAutoHyphens/>
              <w:spacing w:line="204" w:lineRule="auto"/>
              <w:jc w:val="center"/>
              <w:rPr>
                <w:rFonts w:ascii="Arial" w:hAnsi="Arial" w:cs="Arial"/>
                <w:color w:val="000080"/>
                <w:spacing w:val="-3"/>
                <w:szCs w:val="24"/>
              </w:rPr>
            </w:pPr>
            <w:r w:rsidRPr="002C61BD">
              <w:rPr>
                <w:rFonts w:ascii="Arial" w:hAnsi="Arial" w:cs="Arial"/>
                <w:color w:val="000080"/>
                <w:spacing w:val="-3"/>
                <w:szCs w:val="24"/>
              </w:rPr>
              <w:t>PENNSYLVANIA PUBLIC UTILITY COMMISSION</w:t>
            </w:r>
          </w:p>
          <w:p w:rsidR="007E0B70" w:rsidRPr="002C61BD" w:rsidRDefault="007E0B70" w:rsidP="00C5320E">
            <w:pPr>
              <w:jc w:val="center"/>
              <w:rPr>
                <w:rFonts w:ascii="Arial" w:hAnsi="Arial" w:cs="Arial"/>
                <w:szCs w:val="24"/>
              </w:rPr>
            </w:pPr>
            <w:r w:rsidRPr="002C61BD">
              <w:rPr>
                <w:rFonts w:ascii="Arial" w:hAnsi="Arial" w:cs="Arial"/>
                <w:color w:val="000080"/>
                <w:spacing w:val="-3"/>
                <w:szCs w:val="24"/>
              </w:rPr>
              <w:t>P.O. BOX 3265, HARRISBURG, PA 17105-3265</w:t>
            </w:r>
          </w:p>
        </w:tc>
        <w:tc>
          <w:tcPr>
            <w:tcW w:w="1452" w:type="dxa"/>
          </w:tcPr>
          <w:p w:rsidR="007E0B70" w:rsidRPr="002C61BD" w:rsidRDefault="007E0B70" w:rsidP="00C5320E">
            <w:pPr>
              <w:rPr>
                <w:rFonts w:ascii="Arial" w:hAnsi="Arial" w:cs="Arial"/>
                <w:sz w:val="18"/>
                <w:szCs w:val="24"/>
              </w:rPr>
            </w:pPr>
          </w:p>
          <w:p w:rsidR="007E0B70" w:rsidRPr="002C61BD" w:rsidRDefault="007E0B70" w:rsidP="00C5320E">
            <w:pPr>
              <w:rPr>
                <w:rFonts w:ascii="Arial" w:hAnsi="Arial" w:cs="Arial"/>
                <w:sz w:val="12"/>
                <w:szCs w:val="24"/>
              </w:rPr>
            </w:pPr>
          </w:p>
          <w:p w:rsidR="007E0B70" w:rsidRPr="002C61BD" w:rsidRDefault="007E0B70" w:rsidP="00C5320E">
            <w:pPr>
              <w:rPr>
                <w:rFonts w:ascii="Arial" w:hAnsi="Arial" w:cs="Arial"/>
                <w:sz w:val="12"/>
                <w:szCs w:val="24"/>
              </w:rPr>
            </w:pPr>
          </w:p>
          <w:p w:rsidR="007E0B70" w:rsidRPr="002C61BD" w:rsidRDefault="007E0B70" w:rsidP="00C5320E">
            <w:pPr>
              <w:rPr>
                <w:rFonts w:ascii="Arial" w:hAnsi="Arial" w:cs="Arial"/>
                <w:sz w:val="12"/>
                <w:szCs w:val="24"/>
              </w:rPr>
            </w:pPr>
          </w:p>
          <w:p w:rsidR="007E0B70" w:rsidRPr="002C61BD" w:rsidRDefault="007E0B70" w:rsidP="00C5320E">
            <w:pPr>
              <w:rPr>
                <w:rFonts w:ascii="Arial" w:hAnsi="Arial" w:cs="Arial"/>
                <w:sz w:val="12"/>
                <w:szCs w:val="24"/>
              </w:rPr>
            </w:pPr>
          </w:p>
          <w:p w:rsidR="007E0B70" w:rsidRPr="002C61BD" w:rsidRDefault="007E0B70" w:rsidP="00C5320E">
            <w:pPr>
              <w:rPr>
                <w:rFonts w:ascii="Arial" w:hAnsi="Arial" w:cs="Arial"/>
                <w:szCs w:val="24"/>
              </w:rPr>
            </w:pPr>
            <w:r w:rsidRPr="002C61BD">
              <w:rPr>
                <w:rFonts w:ascii="Arial" w:hAnsi="Arial" w:cs="Arial"/>
                <w:sz w:val="12"/>
                <w:szCs w:val="24"/>
              </w:rPr>
              <w:t>IN REPLY PLEASE REFER TO OUR FILE</w:t>
            </w:r>
          </w:p>
        </w:tc>
      </w:tr>
    </w:tbl>
    <w:p w:rsidR="00F16976" w:rsidRDefault="00F16976" w:rsidP="004F00DD">
      <w:pPr>
        <w:tabs>
          <w:tab w:val="center" w:pos="4680"/>
          <w:tab w:val="left" w:pos="8820"/>
        </w:tabs>
        <w:overflowPunct/>
        <w:autoSpaceDE/>
        <w:autoSpaceDN/>
        <w:adjustRightInd/>
        <w:jc w:val="center"/>
        <w:textAlignment w:val="auto"/>
        <w:outlineLvl w:val="0"/>
        <w:rPr>
          <w:rFonts w:ascii="Arial" w:hAnsi="Arial" w:cs="Arial"/>
          <w:b/>
          <w:sz w:val="28"/>
          <w:szCs w:val="28"/>
          <w:highlight w:val="yellow"/>
        </w:rPr>
      </w:pPr>
    </w:p>
    <w:p w:rsidR="004F00DD" w:rsidRPr="00F16976" w:rsidRDefault="004F00DD" w:rsidP="004F00DD">
      <w:pPr>
        <w:tabs>
          <w:tab w:val="center" w:pos="4680"/>
          <w:tab w:val="left" w:pos="8820"/>
        </w:tabs>
        <w:overflowPunct/>
        <w:autoSpaceDE/>
        <w:autoSpaceDN/>
        <w:adjustRightInd/>
        <w:jc w:val="center"/>
        <w:textAlignment w:val="auto"/>
        <w:outlineLvl w:val="0"/>
        <w:rPr>
          <w:rFonts w:ascii="Arial" w:hAnsi="Arial" w:cs="Arial"/>
          <w:b/>
          <w:sz w:val="26"/>
          <w:szCs w:val="26"/>
        </w:rPr>
      </w:pPr>
      <w:r w:rsidRPr="00F16976">
        <w:rPr>
          <w:rFonts w:ascii="Arial" w:hAnsi="Arial" w:cs="Arial"/>
          <w:b/>
          <w:sz w:val="26"/>
          <w:szCs w:val="26"/>
        </w:rPr>
        <w:t>INDEPENDENT AUDITOR'S REPORT</w:t>
      </w:r>
    </w:p>
    <w:p w:rsidR="004F00DD" w:rsidRPr="004F00DD" w:rsidRDefault="004F00DD" w:rsidP="004F00DD">
      <w:pPr>
        <w:tabs>
          <w:tab w:val="left" w:pos="-720"/>
          <w:tab w:val="left" w:pos="8820"/>
        </w:tabs>
        <w:overflowPunct/>
        <w:autoSpaceDE/>
        <w:autoSpaceDN/>
        <w:adjustRightInd/>
        <w:textAlignment w:val="auto"/>
        <w:rPr>
          <w:rFonts w:ascii="Arial" w:hAnsi="Arial" w:cs="Arial"/>
          <w:sz w:val="26"/>
          <w:szCs w:val="26"/>
        </w:rPr>
      </w:pPr>
    </w:p>
    <w:p w:rsidR="004F00DD" w:rsidRPr="004F00DD" w:rsidRDefault="004F00DD" w:rsidP="004F00DD">
      <w:pPr>
        <w:tabs>
          <w:tab w:val="center" w:pos="4680"/>
          <w:tab w:val="left" w:pos="8820"/>
        </w:tabs>
        <w:overflowPunct/>
        <w:autoSpaceDE/>
        <w:autoSpaceDN/>
        <w:adjustRightInd/>
        <w:jc w:val="center"/>
        <w:textAlignment w:val="auto"/>
        <w:outlineLvl w:val="0"/>
        <w:rPr>
          <w:rFonts w:ascii="Arial" w:hAnsi="Arial" w:cs="Arial"/>
          <w:sz w:val="26"/>
          <w:szCs w:val="26"/>
        </w:rPr>
      </w:pPr>
      <w:r w:rsidRPr="004F00DD">
        <w:rPr>
          <w:rFonts w:ascii="Arial" w:hAnsi="Arial" w:cs="Arial"/>
          <w:b/>
          <w:sz w:val="26"/>
          <w:szCs w:val="26"/>
        </w:rPr>
        <w:t>To The Pennsylvania Public Utility Commission</w:t>
      </w:r>
    </w:p>
    <w:p w:rsidR="004F00DD" w:rsidRPr="004F00DD" w:rsidRDefault="004F00DD" w:rsidP="004F00DD">
      <w:pPr>
        <w:tabs>
          <w:tab w:val="left" w:pos="-720"/>
          <w:tab w:val="left" w:pos="8820"/>
        </w:tabs>
        <w:overflowPunct/>
        <w:autoSpaceDE/>
        <w:autoSpaceDN/>
        <w:adjustRightInd/>
        <w:textAlignment w:val="auto"/>
        <w:rPr>
          <w:rFonts w:ascii="Arial" w:hAnsi="Arial" w:cs="Arial"/>
          <w:sz w:val="26"/>
          <w:szCs w:val="26"/>
        </w:rPr>
      </w:pPr>
    </w:p>
    <w:p w:rsidR="004F00DD" w:rsidRPr="004F00DD" w:rsidRDefault="004F00DD" w:rsidP="004F00DD">
      <w:pPr>
        <w:overflowPunct/>
        <w:autoSpaceDE/>
        <w:autoSpaceDN/>
        <w:adjustRightInd/>
        <w:textAlignment w:val="auto"/>
        <w:rPr>
          <w:rFonts w:ascii="Arial" w:hAnsi="Arial" w:cs="Arial"/>
          <w:b/>
          <w:bCs/>
          <w:szCs w:val="24"/>
        </w:rPr>
      </w:pPr>
      <w:r w:rsidRPr="004F00DD">
        <w:rPr>
          <w:rFonts w:ascii="Arial" w:hAnsi="Arial" w:cs="Arial"/>
          <w:b/>
          <w:bCs/>
          <w:szCs w:val="24"/>
        </w:rPr>
        <w:t>Report on the Financial Statements</w:t>
      </w:r>
    </w:p>
    <w:p w:rsidR="004F00DD" w:rsidRPr="004F00DD" w:rsidRDefault="004F00DD" w:rsidP="004F00DD">
      <w:pPr>
        <w:overflowPunct/>
        <w:autoSpaceDE/>
        <w:autoSpaceDN/>
        <w:adjustRightInd/>
        <w:textAlignment w:val="auto"/>
        <w:rPr>
          <w:rFonts w:ascii="Arial" w:hAnsi="Arial" w:cs="Arial"/>
          <w:b/>
          <w:bCs/>
          <w:szCs w:val="24"/>
        </w:rPr>
      </w:pPr>
    </w:p>
    <w:p w:rsidR="004F00DD" w:rsidRPr="004F00DD" w:rsidRDefault="004F00DD" w:rsidP="004F00DD">
      <w:pPr>
        <w:tabs>
          <w:tab w:val="left" w:pos="720"/>
        </w:tabs>
        <w:overflowPunct/>
        <w:autoSpaceDE/>
        <w:autoSpaceDN/>
        <w:adjustRightInd/>
        <w:textAlignment w:val="auto"/>
        <w:rPr>
          <w:rFonts w:ascii="Arial" w:hAnsi="Arial" w:cs="Arial"/>
          <w:szCs w:val="24"/>
        </w:rPr>
      </w:pPr>
      <w:r w:rsidRPr="004F00DD">
        <w:rPr>
          <w:rFonts w:ascii="CG Times" w:hAnsi="CG Times"/>
          <w:szCs w:val="24"/>
        </w:rPr>
        <w:tab/>
      </w:r>
      <w:r w:rsidRPr="00F16976">
        <w:rPr>
          <w:rFonts w:ascii="Arial" w:hAnsi="Arial" w:cs="Arial"/>
          <w:szCs w:val="24"/>
        </w:rPr>
        <w:t xml:space="preserve">We have audited </w:t>
      </w:r>
      <w:r w:rsidR="00CA571D" w:rsidRPr="00F16976">
        <w:rPr>
          <w:rFonts w:ascii="Arial" w:hAnsi="Arial" w:cs="Arial"/>
          <w:szCs w:val="24"/>
        </w:rPr>
        <w:t>PECO Energy</w:t>
      </w:r>
      <w:r w:rsidR="00F16976" w:rsidRPr="00F16976">
        <w:rPr>
          <w:rFonts w:ascii="Arial" w:hAnsi="Arial" w:cs="Arial"/>
          <w:szCs w:val="24"/>
        </w:rPr>
        <w:t xml:space="preserve"> Company’s</w:t>
      </w:r>
      <w:r w:rsidRPr="00F16976">
        <w:rPr>
          <w:rFonts w:ascii="Arial" w:hAnsi="Arial" w:cs="Arial"/>
          <w:szCs w:val="24"/>
        </w:rPr>
        <w:t xml:space="preserve"> Statements of </w:t>
      </w:r>
      <w:r w:rsidR="00CA571D" w:rsidRPr="00F16976">
        <w:rPr>
          <w:rFonts w:ascii="Arial" w:hAnsi="Arial" w:cs="Arial"/>
          <w:szCs w:val="24"/>
        </w:rPr>
        <w:t xml:space="preserve">Energy Efficiency and Conservation </w:t>
      </w:r>
      <w:r w:rsidR="00ED0732" w:rsidRPr="00F16976">
        <w:rPr>
          <w:rFonts w:ascii="Arial" w:hAnsi="Arial" w:cs="Arial"/>
          <w:szCs w:val="24"/>
        </w:rPr>
        <w:t xml:space="preserve">Program </w:t>
      </w:r>
      <w:r w:rsidR="00F16976" w:rsidRPr="00F16976">
        <w:rPr>
          <w:rFonts w:ascii="Arial" w:hAnsi="Arial" w:cs="Arial"/>
          <w:szCs w:val="24"/>
        </w:rPr>
        <w:t>C</w:t>
      </w:r>
      <w:r w:rsidR="00B044E8">
        <w:rPr>
          <w:rFonts w:ascii="Arial" w:hAnsi="Arial" w:cs="Arial"/>
          <w:szCs w:val="24"/>
        </w:rPr>
        <w:t>osts</w:t>
      </w:r>
      <w:r w:rsidR="009E3DAB">
        <w:rPr>
          <w:rFonts w:ascii="Arial" w:hAnsi="Arial" w:cs="Arial"/>
          <w:szCs w:val="24"/>
        </w:rPr>
        <w:t xml:space="preserve"> Phase </w:t>
      </w:r>
      <w:r w:rsidR="00744671">
        <w:rPr>
          <w:rFonts w:ascii="Arial" w:hAnsi="Arial" w:cs="Arial"/>
          <w:szCs w:val="24"/>
        </w:rPr>
        <w:t>I</w:t>
      </w:r>
      <w:r w:rsidRPr="00F16976">
        <w:rPr>
          <w:rFonts w:ascii="Arial" w:hAnsi="Arial" w:cs="Arial"/>
          <w:szCs w:val="24"/>
        </w:rPr>
        <w:t xml:space="preserve"> Over/Under Collections (Section 1307(</w:t>
      </w:r>
      <w:r w:rsidR="00CA571D" w:rsidRPr="00F16976">
        <w:rPr>
          <w:rFonts w:ascii="Arial" w:hAnsi="Arial" w:cs="Arial"/>
          <w:szCs w:val="24"/>
        </w:rPr>
        <w:t>e</w:t>
      </w:r>
      <w:r w:rsidRPr="00F16976">
        <w:rPr>
          <w:rFonts w:ascii="Arial" w:hAnsi="Arial" w:cs="Arial"/>
          <w:szCs w:val="24"/>
        </w:rPr>
        <w:t xml:space="preserve">)) for the </w:t>
      </w:r>
      <w:r w:rsidR="00F16976" w:rsidRPr="00F16976">
        <w:rPr>
          <w:rFonts w:ascii="Arial" w:hAnsi="Arial" w:cs="Arial"/>
          <w:szCs w:val="24"/>
        </w:rPr>
        <w:t>period</w:t>
      </w:r>
      <w:r w:rsidR="00B044E8">
        <w:rPr>
          <w:rFonts w:ascii="Arial" w:hAnsi="Arial" w:cs="Arial"/>
          <w:szCs w:val="24"/>
        </w:rPr>
        <w:t xml:space="preserve"> January 1, 2010 through</w:t>
      </w:r>
      <w:r w:rsidR="009E3DAB">
        <w:rPr>
          <w:rFonts w:ascii="Arial" w:hAnsi="Arial" w:cs="Arial"/>
          <w:szCs w:val="24"/>
        </w:rPr>
        <w:t xml:space="preserve"> </w:t>
      </w:r>
      <w:r w:rsidR="00F16976" w:rsidRPr="00F16976">
        <w:rPr>
          <w:rFonts w:ascii="Arial" w:hAnsi="Arial" w:cs="Arial"/>
          <w:szCs w:val="24"/>
        </w:rPr>
        <w:t>May 31, 2013 and the</w:t>
      </w:r>
      <w:r w:rsidR="009E3DAB">
        <w:rPr>
          <w:rFonts w:ascii="Arial" w:hAnsi="Arial" w:cs="Arial"/>
          <w:szCs w:val="24"/>
        </w:rPr>
        <w:t xml:space="preserve"> </w:t>
      </w:r>
      <w:r w:rsidR="00DE149A">
        <w:rPr>
          <w:rFonts w:ascii="Arial" w:hAnsi="Arial" w:cs="Arial"/>
          <w:szCs w:val="24"/>
        </w:rPr>
        <w:t xml:space="preserve">Reconciliation </w:t>
      </w:r>
      <w:r w:rsidR="006C4D00">
        <w:rPr>
          <w:rFonts w:ascii="Arial" w:hAnsi="Arial" w:cs="Arial"/>
          <w:szCs w:val="24"/>
        </w:rPr>
        <w:t>T</w:t>
      </w:r>
      <w:r w:rsidR="009E3DAB">
        <w:rPr>
          <w:rFonts w:ascii="Arial" w:hAnsi="Arial" w:cs="Arial"/>
          <w:szCs w:val="24"/>
        </w:rPr>
        <w:t>rue-up</w:t>
      </w:r>
      <w:r w:rsidR="00F16976" w:rsidRPr="00F16976">
        <w:rPr>
          <w:rFonts w:ascii="Arial" w:hAnsi="Arial" w:cs="Arial"/>
          <w:szCs w:val="24"/>
        </w:rPr>
        <w:t xml:space="preserve"> </w:t>
      </w:r>
      <w:r w:rsidRPr="00F16976">
        <w:rPr>
          <w:rFonts w:ascii="Arial" w:hAnsi="Arial" w:cs="Arial"/>
          <w:szCs w:val="24"/>
        </w:rPr>
        <w:t xml:space="preserve">period </w:t>
      </w:r>
      <w:r w:rsidR="009E3DAB">
        <w:rPr>
          <w:rFonts w:ascii="Arial" w:hAnsi="Arial" w:cs="Arial"/>
          <w:szCs w:val="24"/>
        </w:rPr>
        <w:t>June 1, 2013 thr</w:t>
      </w:r>
      <w:r w:rsidR="00B044E8">
        <w:rPr>
          <w:rFonts w:ascii="Arial" w:hAnsi="Arial" w:cs="Arial"/>
          <w:szCs w:val="24"/>
        </w:rPr>
        <w:t>ough</w:t>
      </w:r>
      <w:r w:rsidRPr="00F16976">
        <w:rPr>
          <w:rFonts w:ascii="Arial" w:hAnsi="Arial" w:cs="Arial"/>
          <w:szCs w:val="24"/>
        </w:rPr>
        <w:t xml:space="preserve"> </w:t>
      </w:r>
      <w:r w:rsidR="00CA571D" w:rsidRPr="00F16976">
        <w:rPr>
          <w:rFonts w:ascii="Arial" w:hAnsi="Arial" w:cs="Arial"/>
          <w:szCs w:val="24"/>
        </w:rPr>
        <w:t>May</w:t>
      </w:r>
      <w:r w:rsidRPr="00F16976">
        <w:rPr>
          <w:rFonts w:ascii="Arial" w:hAnsi="Arial" w:cs="Arial"/>
          <w:szCs w:val="24"/>
        </w:rPr>
        <w:t xml:space="preserve"> 31, 201</w:t>
      </w:r>
      <w:r w:rsidR="009E3DAB">
        <w:rPr>
          <w:rFonts w:ascii="Arial" w:hAnsi="Arial" w:cs="Arial"/>
          <w:szCs w:val="24"/>
        </w:rPr>
        <w:t>4</w:t>
      </w:r>
      <w:r w:rsidR="00CA571D" w:rsidRPr="00F16976">
        <w:rPr>
          <w:rFonts w:ascii="Arial" w:hAnsi="Arial" w:cs="Arial"/>
          <w:szCs w:val="24"/>
        </w:rPr>
        <w:t>.</w:t>
      </w:r>
    </w:p>
    <w:p w:rsidR="004F00DD" w:rsidRPr="004F00DD" w:rsidRDefault="004F00DD" w:rsidP="004F00DD">
      <w:pPr>
        <w:overflowPunct/>
        <w:autoSpaceDE/>
        <w:autoSpaceDN/>
        <w:adjustRightInd/>
        <w:textAlignment w:val="auto"/>
        <w:rPr>
          <w:rFonts w:ascii="Arial" w:hAnsi="Arial" w:cs="Arial"/>
          <w:i/>
          <w:szCs w:val="24"/>
        </w:rPr>
      </w:pPr>
    </w:p>
    <w:p w:rsidR="004F00DD" w:rsidRPr="004F00DD" w:rsidRDefault="004F00DD" w:rsidP="004F00DD">
      <w:pPr>
        <w:overflowPunct/>
        <w:autoSpaceDE/>
        <w:autoSpaceDN/>
        <w:adjustRightInd/>
        <w:textAlignment w:val="auto"/>
        <w:rPr>
          <w:rFonts w:ascii="Arial" w:hAnsi="Arial" w:cs="Arial"/>
          <w:szCs w:val="24"/>
        </w:rPr>
      </w:pPr>
      <w:r w:rsidRPr="004F00DD">
        <w:rPr>
          <w:rFonts w:ascii="Arial" w:hAnsi="Arial" w:cs="Arial"/>
          <w:b/>
          <w:bCs/>
          <w:iCs/>
          <w:szCs w:val="24"/>
        </w:rPr>
        <w:t>Management’s Responsibility for the Financial Statements</w:t>
      </w:r>
    </w:p>
    <w:p w:rsidR="004F00DD" w:rsidRPr="004F00DD" w:rsidRDefault="004F00DD" w:rsidP="004F00DD">
      <w:pPr>
        <w:overflowPunct/>
        <w:autoSpaceDE/>
        <w:autoSpaceDN/>
        <w:adjustRightInd/>
        <w:textAlignment w:val="auto"/>
        <w:rPr>
          <w:rFonts w:ascii="Arial" w:hAnsi="Arial" w:cs="Arial"/>
          <w:i/>
          <w:szCs w:val="24"/>
        </w:rPr>
      </w:pPr>
    </w:p>
    <w:p w:rsidR="004F00DD" w:rsidRPr="004F00DD" w:rsidRDefault="004F00DD" w:rsidP="004F00DD">
      <w:pPr>
        <w:overflowPunct/>
        <w:autoSpaceDE/>
        <w:autoSpaceDN/>
        <w:adjustRightInd/>
        <w:ind w:firstLine="720"/>
        <w:textAlignment w:val="auto"/>
        <w:rPr>
          <w:rFonts w:ascii="Arial" w:hAnsi="Arial" w:cs="Arial"/>
          <w:szCs w:val="24"/>
        </w:rPr>
      </w:pPr>
      <w:r w:rsidRPr="004F00DD">
        <w:rPr>
          <w:rFonts w:ascii="Arial" w:hAnsi="Arial" w:cs="Arial"/>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4F00DD" w:rsidRPr="004F00DD" w:rsidRDefault="004F00DD" w:rsidP="004F00DD">
      <w:pPr>
        <w:overflowPunct/>
        <w:autoSpaceDE/>
        <w:autoSpaceDN/>
        <w:adjustRightInd/>
        <w:textAlignment w:val="auto"/>
        <w:rPr>
          <w:rFonts w:ascii="Arial" w:hAnsi="Arial" w:cs="Arial"/>
          <w:i/>
          <w:szCs w:val="24"/>
        </w:rPr>
      </w:pPr>
    </w:p>
    <w:p w:rsidR="004F00DD" w:rsidRPr="004F00DD" w:rsidRDefault="004F00DD" w:rsidP="004F00DD">
      <w:pPr>
        <w:overflowPunct/>
        <w:autoSpaceDE/>
        <w:autoSpaceDN/>
        <w:adjustRightInd/>
        <w:textAlignment w:val="auto"/>
        <w:rPr>
          <w:rFonts w:ascii="Arial" w:hAnsi="Arial" w:cs="Arial"/>
          <w:b/>
          <w:bCs/>
          <w:iCs/>
          <w:szCs w:val="24"/>
        </w:rPr>
      </w:pPr>
      <w:r w:rsidRPr="004F00DD">
        <w:rPr>
          <w:rFonts w:ascii="Arial" w:hAnsi="Arial" w:cs="Arial"/>
          <w:b/>
          <w:bCs/>
          <w:iCs/>
          <w:szCs w:val="24"/>
        </w:rPr>
        <w:t>Auditor’s Responsibility</w:t>
      </w:r>
    </w:p>
    <w:p w:rsidR="004F00DD" w:rsidRPr="004F00DD" w:rsidRDefault="004F00DD" w:rsidP="004F00DD">
      <w:pPr>
        <w:overflowPunct/>
        <w:autoSpaceDE/>
        <w:autoSpaceDN/>
        <w:adjustRightInd/>
        <w:textAlignment w:val="auto"/>
        <w:rPr>
          <w:rFonts w:ascii="Arial" w:hAnsi="Arial" w:cs="Arial"/>
          <w:szCs w:val="24"/>
        </w:rPr>
      </w:pPr>
    </w:p>
    <w:p w:rsidR="004F00DD" w:rsidRPr="004F00DD" w:rsidRDefault="004F00DD" w:rsidP="00404797">
      <w:pPr>
        <w:overflowPunct/>
        <w:autoSpaceDE/>
        <w:autoSpaceDN/>
        <w:adjustRightInd/>
        <w:ind w:firstLine="720"/>
        <w:textAlignment w:val="auto"/>
        <w:rPr>
          <w:rFonts w:ascii="Arial" w:hAnsi="Arial" w:cs="Arial"/>
          <w:b/>
          <w:bCs/>
          <w:iCs/>
          <w:szCs w:val="24"/>
        </w:rPr>
      </w:pPr>
      <w:r w:rsidRPr="004F00DD">
        <w:rPr>
          <w:rFonts w:ascii="Arial" w:hAnsi="Arial" w:cs="Arial"/>
          <w:szCs w:val="24"/>
        </w:rPr>
        <w:t xml:space="preserve">Our responsibility is to express an opinion on these statements based on our audit.  We conducted our audit in accordance with auditing standards generally accepted in the United States of America.  Those 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w:t>
      </w:r>
      <w:r w:rsidR="00404797" w:rsidRPr="00A377AC">
        <w:rPr>
          <w:rFonts w:ascii="Arial" w:hAnsi="Arial" w:cs="Arial"/>
          <w:szCs w:val="24"/>
        </w:rPr>
        <w:t>but not for the purpose of expressing an opinion on the effectiveness of the entity’s internal control.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rsidR="00FD1303" w:rsidRDefault="00FD1303">
      <w:pPr>
        <w:overflowPunct/>
        <w:autoSpaceDE/>
        <w:autoSpaceDN/>
        <w:adjustRightInd/>
        <w:spacing w:after="200" w:line="276" w:lineRule="auto"/>
        <w:textAlignment w:val="auto"/>
        <w:rPr>
          <w:rFonts w:ascii="Arial" w:hAnsi="Arial" w:cs="Arial"/>
          <w:b/>
          <w:bCs/>
          <w:iCs/>
          <w:szCs w:val="24"/>
        </w:rPr>
        <w:sectPr w:rsidR="00FD1303" w:rsidSect="00A67CC5">
          <w:headerReference w:type="even" r:id="rId16"/>
          <w:headerReference w:type="default" r:id="rId17"/>
          <w:footerReference w:type="default" r:id="rId18"/>
          <w:headerReference w:type="first" r:id="rId19"/>
          <w:endnotePr>
            <w:numFmt w:val="decimal"/>
          </w:endnotePr>
          <w:pgSz w:w="12240" w:h="15840" w:code="1"/>
          <w:pgMar w:top="1440" w:right="1440" w:bottom="1440" w:left="1440" w:header="0" w:footer="720" w:gutter="0"/>
          <w:pgNumType w:start="2"/>
          <w:cols w:space="720"/>
          <w:noEndnote/>
          <w:docGrid w:linePitch="326"/>
        </w:sectPr>
      </w:pPr>
    </w:p>
    <w:p w:rsidR="004F00DD" w:rsidRPr="004F00DD" w:rsidRDefault="004F00DD" w:rsidP="004F00DD">
      <w:pPr>
        <w:overflowPunct/>
        <w:autoSpaceDE/>
        <w:autoSpaceDN/>
        <w:adjustRightInd/>
        <w:textAlignment w:val="auto"/>
        <w:rPr>
          <w:rFonts w:ascii="Arial" w:hAnsi="Arial" w:cs="Arial"/>
          <w:szCs w:val="24"/>
        </w:rPr>
      </w:pPr>
      <w:r w:rsidRPr="004F00DD">
        <w:rPr>
          <w:rFonts w:ascii="Arial" w:hAnsi="Arial" w:cs="Arial"/>
          <w:b/>
          <w:bCs/>
          <w:iCs/>
          <w:szCs w:val="24"/>
        </w:rPr>
        <w:lastRenderedPageBreak/>
        <w:t>Opinion</w:t>
      </w:r>
    </w:p>
    <w:p w:rsidR="004F00DD" w:rsidRPr="004F00DD" w:rsidRDefault="004F00DD" w:rsidP="004F00DD">
      <w:pPr>
        <w:overflowPunct/>
        <w:autoSpaceDE/>
        <w:autoSpaceDN/>
        <w:adjustRightInd/>
        <w:textAlignment w:val="auto"/>
        <w:rPr>
          <w:rFonts w:ascii="Arial" w:hAnsi="Arial" w:cs="Arial"/>
          <w:szCs w:val="24"/>
        </w:rPr>
      </w:pPr>
    </w:p>
    <w:p w:rsidR="004F00DD" w:rsidRPr="004F00DD" w:rsidRDefault="00764FA4" w:rsidP="00CA571D">
      <w:pPr>
        <w:tabs>
          <w:tab w:val="left" w:pos="720"/>
        </w:tabs>
        <w:overflowPunct/>
        <w:autoSpaceDE/>
        <w:autoSpaceDN/>
        <w:adjustRightInd/>
        <w:textAlignment w:val="auto"/>
        <w:rPr>
          <w:rFonts w:ascii="Arial" w:hAnsi="Arial" w:cs="Arial"/>
          <w:szCs w:val="24"/>
        </w:rPr>
      </w:pPr>
      <w:r>
        <w:rPr>
          <w:rFonts w:ascii="Arial" w:hAnsi="Arial" w:cs="Arial"/>
          <w:szCs w:val="24"/>
        </w:rPr>
        <w:tab/>
      </w:r>
      <w:r w:rsidR="004F00DD" w:rsidRPr="004F00DD">
        <w:rPr>
          <w:rFonts w:ascii="Arial" w:hAnsi="Arial" w:cs="Arial"/>
          <w:szCs w:val="24"/>
        </w:rPr>
        <w:t xml:space="preserve">In our opinion, the information set forth in the accompanying condensed Statements of </w:t>
      </w:r>
      <w:r w:rsidR="00CA571D">
        <w:rPr>
          <w:rFonts w:ascii="Arial" w:hAnsi="Arial" w:cs="Arial"/>
          <w:szCs w:val="24"/>
        </w:rPr>
        <w:t xml:space="preserve">Energy Efficiency and Conservation </w:t>
      </w:r>
      <w:r w:rsidR="009E3DAB">
        <w:rPr>
          <w:rFonts w:ascii="Arial" w:hAnsi="Arial" w:cs="Arial"/>
          <w:szCs w:val="24"/>
        </w:rPr>
        <w:t xml:space="preserve">Program </w:t>
      </w:r>
      <w:r w:rsidR="00B94ACC" w:rsidRPr="00B94ACC">
        <w:rPr>
          <w:rFonts w:ascii="Arial" w:hAnsi="Arial" w:cs="Arial"/>
          <w:szCs w:val="24"/>
        </w:rPr>
        <w:t>C</w:t>
      </w:r>
      <w:r>
        <w:rPr>
          <w:rFonts w:ascii="Arial" w:hAnsi="Arial" w:cs="Arial"/>
          <w:szCs w:val="24"/>
        </w:rPr>
        <w:t>osts</w:t>
      </w:r>
      <w:r w:rsidR="009E3DAB">
        <w:rPr>
          <w:rFonts w:ascii="Arial" w:hAnsi="Arial" w:cs="Arial"/>
          <w:szCs w:val="24"/>
        </w:rPr>
        <w:t xml:space="preserve"> Phase </w:t>
      </w:r>
      <w:r w:rsidR="00E041CE">
        <w:rPr>
          <w:rFonts w:ascii="Arial" w:hAnsi="Arial" w:cs="Arial"/>
          <w:szCs w:val="24"/>
        </w:rPr>
        <w:t>I</w:t>
      </w:r>
      <w:r w:rsidR="00CA571D" w:rsidRPr="004F00DD">
        <w:rPr>
          <w:rFonts w:ascii="Arial" w:hAnsi="Arial" w:cs="Arial"/>
          <w:szCs w:val="24"/>
        </w:rPr>
        <w:t xml:space="preserve"> </w:t>
      </w:r>
      <w:r w:rsidR="004F00DD" w:rsidRPr="004F00DD">
        <w:rPr>
          <w:rFonts w:ascii="Arial" w:hAnsi="Arial" w:cs="Arial"/>
          <w:szCs w:val="24"/>
        </w:rPr>
        <w:t xml:space="preserve">Over/Under Collections for the </w:t>
      </w:r>
      <w:r w:rsidR="00B94ACC" w:rsidRPr="00F16976">
        <w:rPr>
          <w:rFonts w:ascii="Arial" w:hAnsi="Arial" w:cs="Arial"/>
          <w:szCs w:val="24"/>
        </w:rPr>
        <w:t>period</w:t>
      </w:r>
      <w:r w:rsidR="00512CFA">
        <w:rPr>
          <w:rFonts w:ascii="Arial" w:hAnsi="Arial" w:cs="Arial"/>
          <w:szCs w:val="24"/>
        </w:rPr>
        <w:t xml:space="preserve"> January 1, 2010 through</w:t>
      </w:r>
      <w:r w:rsidR="00B94ACC" w:rsidRPr="00F16976">
        <w:rPr>
          <w:rFonts w:ascii="Arial" w:hAnsi="Arial" w:cs="Arial"/>
          <w:szCs w:val="24"/>
        </w:rPr>
        <w:t xml:space="preserve"> May 31, 201</w:t>
      </w:r>
      <w:r w:rsidR="009E3DAB">
        <w:rPr>
          <w:rFonts w:ascii="Arial" w:hAnsi="Arial" w:cs="Arial"/>
          <w:szCs w:val="24"/>
        </w:rPr>
        <w:t>3</w:t>
      </w:r>
      <w:r w:rsidR="00B94ACC" w:rsidRPr="00F16976">
        <w:rPr>
          <w:rFonts w:ascii="Arial" w:hAnsi="Arial" w:cs="Arial"/>
          <w:szCs w:val="24"/>
        </w:rPr>
        <w:t xml:space="preserve"> and the </w:t>
      </w:r>
      <w:r w:rsidR="00DE149A">
        <w:rPr>
          <w:rFonts w:ascii="Arial" w:hAnsi="Arial" w:cs="Arial"/>
          <w:szCs w:val="24"/>
        </w:rPr>
        <w:t xml:space="preserve">Reconciliation </w:t>
      </w:r>
      <w:r w:rsidR="00060385">
        <w:rPr>
          <w:rFonts w:ascii="Arial" w:hAnsi="Arial" w:cs="Arial"/>
          <w:szCs w:val="24"/>
        </w:rPr>
        <w:t>T</w:t>
      </w:r>
      <w:r w:rsidR="009E3DAB">
        <w:rPr>
          <w:rFonts w:ascii="Arial" w:hAnsi="Arial" w:cs="Arial"/>
          <w:szCs w:val="24"/>
        </w:rPr>
        <w:t>rue-up</w:t>
      </w:r>
      <w:r w:rsidR="00B94ACC" w:rsidRPr="00F16976">
        <w:rPr>
          <w:rFonts w:ascii="Arial" w:hAnsi="Arial" w:cs="Arial"/>
          <w:szCs w:val="24"/>
        </w:rPr>
        <w:t xml:space="preserve"> period </w:t>
      </w:r>
      <w:r w:rsidR="009E3DAB">
        <w:rPr>
          <w:rFonts w:ascii="Arial" w:hAnsi="Arial" w:cs="Arial"/>
          <w:szCs w:val="24"/>
        </w:rPr>
        <w:t>June 1, 2013 thr</w:t>
      </w:r>
      <w:r w:rsidR="00512CFA">
        <w:rPr>
          <w:rFonts w:ascii="Arial" w:hAnsi="Arial" w:cs="Arial"/>
          <w:szCs w:val="24"/>
        </w:rPr>
        <w:t>ough</w:t>
      </w:r>
      <w:r w:rsidR="00B94ACC" w:rsidRPr="00F16976">
        <w:rPr>
          <w:rFonts w:ascii="Arial" w:hAnsi="Arial" w:cs="Arial"/>
          <w:szCs w:val="24"/>
        </w:rPr>
        <w:t xml:space="preserve"> May 31, 201</w:t>
      </w:r>
      <w:r w:rsidR="009E3DAB">
        <w:rPr>
          <w:rFonts w:ascii="Arial" w:hAnsi="Arial" w:cs="Arial"/>
          <w:szCs w:val="24"/>
        </w:rPr>
        <w:t xml:space="preserve">4 </w:t>
      </w:r>
      <w:r w:rsidR="004F00DD" w:rsidRPr="004F00DD">
        <w:rPr>
          <w:rFonts w:ascii="Arial" w:hAnsi="Arial" w:cs="Arial"/>
          <w:szCs w:val="24"/>
        </w:rPr>
        <w:t xml:space="preserve">of </w:t>
      </w:r>
      <w:r w:rsidR="00CA571D" w:rsidRPr="00B94ACC">
        <w:rPr>
          <w:rFonts w:ascii="Arial" w:hAnsi="Arial" w:cs="Arial"/>
          <w:szCs w:val="24"/>
        </w:rPr>
        <w:t>PECO Energy</w:t>
      </w:r>
      <w:r w:rsidR="00B94ACC">
        <w:rPr>
          <w:rFonts w:ascii="Arial" w:hAnsi="Arial" w:cs="Arial"/>
          <w:szCs w:val="24"/>
        </w:rPr>
        <w:t xml:space="preserve"> Company</w:t>
      </w:r>
      <w:r w:rsidR="004F00DD" w:rsidRPr="004F00DD">
        <w:rPr>
          <w:rFonts w:ascii="Arial" w:hAnsi="Arial" w:cs="Arial"/>
          <w:szCs w:val="24"/>
        </w:rPr>
        <w:t xml:space="preserve"> present fairly, in all material respects, in relation to the audited financial statements from which </w:t>
      </w:r>
      <w:r w:rsidR="00512CFA">
        <w:rPr>
          <w:rFonts w:ascii="Arial" w:hAnsi="Arial" w:cs="Arial"/>
          <w:szCs w:val="24"/>
        </w:rPr>
        <w:t>they</w:t>
      </w:r>
      <w:r w:rsidR="004F00DD" w:rsidRPr="004F00DD">
        <w:rPr>
          <w:rFonts w:ascii="Arial" w:hAnsi="Arial" w:cs="Arial"/>
          <w:szCs w:val="24"/>
        </w:rPr>
        <w:t xml:space="preserve"> </w:t>
      </w:r>
      <w:r w:rsidR="00512CFA">
        <w:rPr>
          <w:rFonts w:ascii="Arial" w:hAnsi="Arial" w:cs="Arial"/>
          <w:szCs w:val="24"/>
        </w:rPr>
        <w:t>were</w:t>
      </w:r>
      <w:r w:rsidR="004F00DD" w:rsidRPr="004F00DD">
        <w:rPr>
          <w:rFonts w:ascii="Arial" w:hAnsi="Arial" w:cs="Arial"/>
          <w:szCs w:val="24"/>
        </w:rPr>
        <w:t xml:space="preserve"> derived.</w:t>
      </w:r>
    </w:p>
    <w:p w:rsidR="004F00DD" w:rsidRPr="004F00DD" w:rsidRDefault="004F00DD" w:rsidP="004F00DD">
      <w:pPr>
        <w:overflowPunct/>
        <w:autoSpaceDE/>
        <w:autoSpaceDN/>
        <w:adjustRightInd/>
        <w:textAlignment w:val="auto"/>
        <w:rPr>
          <w:rFonts w:ascii="Times New Roman" w:hAnsi="Times New Roman"/>
          <w:szCs w:val="24"/>
        </w:rPr>
      </w:pPr>
    </w:p>
    <w:p w:rsidR="004F00DD" w:rsidRPr="004F00DD" w:rsidRDefault="004F00DD" w:rsidP="004F00DD">
      <w:pPr>
        <w:overflowPunct/>
        <w:autoSpaceDE/>
        <w:autoSpaceDN/>
        <w:adjustRightInd/>
        <w:textAlignment w:val="auto"/>
        <w:rPr>
          <w:rFonts w:ascii="Arial" w:hAnsi="Arial" w:cs="Arial"/>
          <w:szCs w:val="24"/>
        </w:rPr>
      </w:pPr>
    </w:p>
    <w:p w:rsidR="004F00DD" w:rsidRPr="004F00DD" w:rsidRDefault="004F00DD" w:rsidP="004F00DD">
      <w:pPr>
        <w:overflowPunct/>
        <w:autoSpaceDE/>
        <w:autoSpaceDN/>
        <w:adjustRightInd/>
        <w:textAlignment w:val="auto"/>
        <w:rPr>
          <w:rFonts w:ascii="Arial" w:hAnsi="Arial" w:cs="Arial"/>
          <w:szCs w:val="24"/>
        </w:rPr>
      </w:pPr>
      <w:r w:rsidRPr="004F00DD">
        <w:rPr>
          <w:rFonts w:ascii="Arial" w:hAnsi="Arial" w:cs="Arial"/>
          <w:b/>
          <w:bCs/>
          <w:szCs w:val="24"/>
        </w:rPr>
        <w:t>Report on Other Legal and Regulatory Requirements</w:t>
      </w:r>
    </w:p>
    <w:p w:rsidR="004F00DD" w:rsidRPr="004F00DD" w:rsidRDefault="004F00DD" w:rsidP="004F00DD">
      <w:pPr>
        <w:overflowPunct/>
        <w:autoSpaceDE/>
        <w:autoSpaceDN/>
        <w:adjustRightInd/>
        <w:textAlignment w:val="auto"/>
        <w:rPr>
          <w:rFonts w:ascii="Arial" w:hAnsi="Arial" w:cs="Arial"/>
          <w:szCs w:val="24"/>
        </w:rPr>
      </w:pPr>
    </w:p>
    <w:p w:rsidR="004F00DD" w:rsidRPr="004F00DD" w:rsidRDefault="004F00DD" w:rsidP="004F00DD">
      <w:pPr>
        <w:overflowPunct/>
        <w:autoSpaceDE/>
        <w:autoSpaceDN/>
        <w:adjustRightInd/>
        <w:textAlignment w:val="auto"/>
        <w:rPr>
          <w:rFonts w:ascii="Arial" w:hAnsi="Arial" w:cs="Arial"/>
          <w:szCs w:val="24"/>
        </w:rPr>
      </w:pPr>
      <w:r w:rsidRPr="004F00DD">
        <w:rPr>
          <w:rFonts w:ascii="Arial" w:hAnsi="Arial" w:cs="Arial"/>
          <w:szCs w:val="24"/>
        </w:rPr>
        <w:tab/>
        <w:t>The accompanying statements were prepared for the purpose of complying with the rules and regulations of the Pennsylvania Public Utility Commission and are not intended to be a complete presentation of the Company’s revenues and expenses.</w:t>
      </w:r>
    </w:p>
    <w:p w:rsidR="004F00DD" w:rsidRPr="004F00DD" w:rsidRDefault="004F00DD" w:rsidP="004F00DD">
      <w:pPr>
        <w:overflowPunct/>
        <w:autoSpaceDE/>
        <w:autoSpaceDN/>
        <w:adjustRightInd/>
        <w:textAlignment w:val="auto"/>
        <w:rPr>
          <w:rFonts w:ascii="Arial" w:hAnsi="Arial" w:cs="Arial"/>
          <w:szCs w:val="24"/>
        </w:rPr>
      </w:pPr>
    </w:p>
    <w:p w:rsidR="004F00DD" w:rsidRPr="004F00DD" w:rsidRDefault="004F00DD" w:rsidP="004F00DD">
      <w:pPr>
        <w:overflowPunct/>
        <w:autoSpaceDE/>
        <w:autoSpaceDN/>
        <w:adjustRightInd/>
        <w:textAlignment w:val="auto"/>
        <w:rPr>
          <w:rFonts w:ascii="Arial" w:hAnsi="Arial" w:cs="Arial"/>
          <w:szCs w:val="24"/>
        </w:rPr>
      </w:pPr>
    </w:p>
    <w:p w:rsidR="004F00DD" w:rsidRPr="004F00DD" w:rsidRDefault="004F00DD" w:rsidP="004F00DD">
      <w:pPr>
        <w:overflowPunct/>
        <w:autoSpaceDE/>
        <w:autoSpaceDN/>
        <w:adjustRightInd/>
        <w:textAlignment w:val="auto"/>
        <w:rPr>
          <w:rFonts w:ascii="Arial" w:hAnsi="Arial" w:cs="Arial"/>
          <w:szCs w:val="24"/>
        </w:rPr>
      </w:pPr>
    </w:p>
    <w:p w:rsidR="00422D29" w:rsidRDefault="004F00DD" w:rsidP="004F00DD">
      <w:pPr>
        <w:tabs>
          <w:tab w:val="left" w:pos="5400"/>
        </w:tabs>
        <w:overflowPunct/>
        <w:autoSpaceDE/>
        <w:autoSpaceDN/>
        <w:adjustRightInd/>
        <w:textAlignment w:val="auto"/>
        <w:rPr>
          <w:rFonts w:ascii="CG Times" w:hAnsi="CG Times"/>
          <w:szCs w:val="24"/>
        </w:rPr>
      </w:pPr>
      <w:r w:rsidRPr="004F00DD">
        <w:rPr>
          <w:rFonts w:ascii="CG Times" w:hAnsi="CG Times"/>
          <w:szCs w:val="24"/>
        </w:rPr>
        <w:tab/>
      </w:r>
    </w:p>
    <w:p w:rsidR="00422D29" w:rsidRDefault="00422D29" w:rsidP="004F00DD">
      <w:pPr>
        <w:tabs>
          <w:tab w:val="left" w:pos="5400"/>
        </w:tabs>
        <w:overflowPunct/>
        <w:autoSpaceDE/>
        <w:autoSpaceDN/>
        <w:adjustRightInd/>
        <w:textAlignment w:val="auto"/>
        <w:rPr>
          <w:rFonts w:ascii="CG Times" w:hAnsi="CG Times"/>
          <w:szCs w:val="24"/>
        </w:rPr>
      </w:pPr>
    </w:p>
    <w:p w:rsidR="004F00DD" w:rsidRPr="004F00DD" w:rsidRDefault="00422D29" w:rsidP="004F00DD">
      <w:pPr>
        <w:tabs>
          <w:tab w:val="left" w:pos="5400"/>
        </w:tabs>
        <w:overflowPunct/>
        <w:autoSpaceDE/>
        <w:autoSpaceDN/>
        <w:adjustRightInd/>
        <w:textAlignment w:val="auto"/>
        <w:rPr>
          <w:rFonts w:ascii="Arial" w:hAnsi="Arial" w:cs="Arial"/>
          <w:szCs w:val="24"/>
        </w:rPr>
      </w:pPr>
      <w:r>
        <w:rPr>
          <w:rFonts w:ascii="CG Times" w:hAnsi="CG Times"/>
          <w:szCs w:val="24"/>
        </w:rPr>
        <w:tab/>
      </w:r>
      <w:r w:rsidR="004F00DD" w:rsidRPr="004F00DD">
        <w:rPr>
          <w:rFonts w:ascii="Arial" w:hAnsi="Arial" w:cs="Arial"/>
          <w:szCs w:val="24"/>
        </w:rPr>
        <w:t>Dennis P. Hosler, CPA</w:t>
      </w:r>
    </w:p>
    <w:p w:rsidR="004F00DD" w:rsidRPr="004F00DD" w:rsidRDefault="004F00DD" w:rsidP="004F00DD">
      <w:pPr>
        <w:tabs>
          <w:tab w:val="left" w:pos="5400"/>
        </w:tabs>
        <w:overflowPunct/>
        <w:autoSpaceDE/>
        <w:autoSpaceDN/>
        <w:adjustRightInd/>
        <w:textAlignment w:val="auto"/>
        <w:rPr>
          <w:rFonts w:ascii="Arial" w:hAnsi="Arial" w:cs="Arial"/>
          <w:szCs w:val="24"/>
        </w:rPr>
      </w:pPr>
      <w:r w:rsidRPr="004F00DD">
        <w:rPr>
          <w:rFonts w:ascii="Arial" w:hAnsi="Arial" w:cs="Arial"/>
          <w:szCs w:val="24"/>
        </w:rPr>
        <w:tab/>
        <w:t>Director</w:t>
      </w:r>
    </w:p>
    <w:p w:rsidR="004F00DD" w:rsidRPr="004F00DD" w:rsidRDefault="004F00DD" w:rsidP="004F00DD">
      <w:pPr>
        <w:tabs>
          <w:tab w:val="left" w:pos="5400"/>
        </w:tabs>
        <w:overflowPunct/>
        <w:autoSpaceDE/>
        <w:autoSpaceDN/>
        <w:adjustRightInd/>
        <w:textAlignment w:val="auto"/>
        <w:rPr>
          <w:rFonts w:ascii="Arial" w:hAnsi="Arial" w:cs="Arial"/>
          <w:szCs w:val="24"/>
        </w:rPr>
      </w:pPr>
      <w:r w:rsidRPr="004F00DD">
        <w:rPr>
          <w:rFonts w:ascii="Arial" w:hAnsi="Arial" w:cs="Arial"/>
          <w:szCs w:val="24"/>
        </w:rPr>
        <w:tab/>
        <w:t>Bureau of Audits</w:t>
      </w:r>
    </w:p>
    <w:p w:rsidR="004F00DD" w:rsidRPr="004F00DD" w:rsidRDefault="004F00DD" w:rsidP="004F00DD">
      <w:pPr>
        <w:tabs>
          <w:tab w:val="left" w:pos="5400"/>
        </w:tabs>
        <w:overflowPunct/>
        <w:autoSpaceDE/>
        <w:autoSpaceDN/>
        <w:adjustRightInd/>
        <w:textAlignment w:val="auto"/>
        <w:rPr>
          <w:rFonts w:ascii="Arial" w:hAnsi="Arial" w:cs="Arial"/>
          <w:szCs w:val="24"/>
        </w:rPr>
      </w:pPr>
      <w:r w:rsidRPr="004F00DD">
        <w:rPr>
          <w:rFonts w:ascii="Arial" w:hAnsi="Arial" w:cs="Arial"/>
          <w:szCs w:val="24"/>
        </w:rPr>
        <w:tab/>
        <w:t>Harrisburg, PA</w:t>
      </w:r>
    </w:p>
    <w:p w:rsidR="004F00DD" w:rsidRPr="00B46EED" w:rsidRDefault="004F00DD" w:rsidP="004F00DD">
      <w:pPr>
        <w:tabs>
          <w:tab w:val="left" w:pos="5400"/>
        </w:tabs>
        <w:overflowPunct/>
        <w:autoSpaceDE/>
        <w:autoSpaceDN/>
        <w:adjustRightInd/>
        <w:textAlignment w:val="auto"/>
        <w:rPr>
          <w:rFonts w:ascii="Arial" w:hAnsi="Arial" w:cs="Arial"/>
          <w:szCs w:val="24"/>
        </w:rPr>
      </w:pPr>
      <w:r w:rsidRPr="004F00DD">
        <w:rPr>
          <w:rFonts w:ascii="Arial" w:hAnsi="Arial" w:cs="Arial"/>
          <w:szCs w:val="24"/>
        </w:rPr>
        <w:tab/>
      </w:r>
      <w:r w:rsidR="00B46EED">
        <w:rPr>
          <w:rFonts w:ascii="Arial" w:hAnsi="Arial" w:cs="Arial"/>
          <w:szCs w:val="24"/>
        </w:rPr>
        <w:t>October 30, 2015</w:t>
      </w:r>
    </w:p>
    <w:p w:rsidR="002A5207" w:rsidRPr="002C61BD" w:rsidRDefault="002A5207" w:rsidP="006034E3">
      <w:pPr>
        <w:tabs>
          <w:tab w:val="center" w:pos="4680"/>
        </w:tabs>
        <w:suppressAutoHyphens/>
        <w:rPr>
          <w:rFonts w:ascii="Arial" w:hAnsi="Arial" w:cs="Arial"/>
          <w:szCs w:val="24"/>
        </w:rPr>
        <w:sectPr w:rsidR="002A5207" w:rsidRPr="002C61BD" w:rsidSect="00FD1303">
          <w:headerReference w:type="even" r:id="rId20"/>
          <w:headerReference w:type="default" r:id="rId21"/>
          <w:footerReference w:type="default" r:id="rId22"/>
          <w:headerReference w:type="first" r:id="rId23"/>
          <w:endnotePr>
            <w:numFmt w:val="decimal"/>
          </w:endnotePr>
          <w:pgSz w:w="12240" w:h="15840" w:code="1"/>
          <w:pgMar w:top="1440" w:right="1440" w:bottom="1440" w:left="1440" w:header="0" w:footer="720" w:gutter="0"/>
          <w:pgNumType w:fmt="numberInDash" w:start="2"/>
          <w:cols w:space="720"/>
          <w:noEndnote/>
          <w:docGrid w:linePitch="326"/>
        </w:sectPr>
      </w:pPr>
    </w:p>
    <w:tbl>
      <w:tblPr>
        <w:tblW w:w="8730" w:type="dxa"/>
        <w:jc w:val="center"/>
        <w:tblInd w:w="-202" w:type="dxa"/>
        <w:tblLook w:val="0000" w:firstRow="0" w:lastRow="0" w:firstColumn="0" w:lastColumn="0" w:noHBand="0" w:noVBand="0"/>
      </w:tblPr>
      <w:tblGrid>
        <w:gridCol w:w="8730"/>
      </w:tblGrid>
      <w:tr w:rsidR="006034E3" w:rsidRPr="002C61BD" w:rsidTr="009D0E10">
        <w:trPr>
          <w:trHeight w:val="277"/>
          <w:jc w:val="center"/>
        </w:trPr>
        <w:tc>
          <w:tcPr>
            <w:tcW w:w="8730" w:type="dxa"/>
            <w:tcBorders>
              <w:top w:val="nil"/>
              <w:left w:val="nil"/>
              <w:bottom w:val="nil"/>
              <w:right w:val="nil"/>
            </w:tcBorders>
            <w:shd w:val="clear" w:color="auto" w:fill="auto"/>
            <w:noWrap/>
            <w:vAlign w:val="bottom"/>
          </w:tcPr>
          <w:p w:rsidR="006034E3" w:rsidRPr="001D0DB6" w:rsidRDefault="00CE7FE7" w:rsidP="009D0E10">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lastRenderedPageBreak/>
              <w:t>PECO ENERGY</w:t>
            </w:r>
            <w:r w:rsidR="006034E3" w:rsidRPr="001D0DB6">
              <w:rPr>
                <w:rFonts w:ascii="Arial" w:hAnsi="Arial" w:cs="Arial"/>
                <w:b/>
                <w:sz w:val="26"/>
                <w:szCs w:val="26"/>
              </w:rPr>
              <w:t xml:space="preserve"> COMPANY</w:t>
            </w:r>
          </w:p>
        </w:tc>
      </w:tr>
      <w:tr w:rsidR="006034E3" w:rsidRPr="002C61BD" w:rsidTr="009D0E10">
        <w:trPr>
          <w:trHeight w:val="277"/>
          <w:jc w:val="center"/>
        </w:trPr>
        <w:tc>
          <w:tcPr>
            <w:tcW w:w="8730" w:type="dxa"/>
            <w:tcBorders>
              <w:top w:val="nil"/>
              <w:left w:val="nil"/>
              <w:bottom w:val="nil"/>
              <w:right w:val="nil"/>
            </w:tcBorders>
            <w:shd w:val="clear" w:color="auto" w:fill="auto"/>
            <w:noWrap/>
            <w:vAlign w:val="bottom"/>
          </w:tcPr>
          <w:p w:rsidR="006034E3" w:rsidRPr="001D0DB6" w:rsidRDefault="006034E3" w:rsidP="009D0E10">
            <w:pPr>
              <w:overflowPunct/>
              <w:autoSpaceDE/>
              <w:autoSpaceDN/>
              <w:adjustRightInd/>
              <w:jc w:val="center"/>
              <w:textAlignment w:val="auto"/>
              <w:rPr>
                <w:rFonts w:ascii="Arial" w:hAnsi="Arial" w:cs="Arial"/>
                <w:b/>
                <w:sz w:val="26"/>
                <w:szCs w:val="26"/>
              </w:rPr>
            </w:pPr>
          </w:p>
          <w:p w:rsidR="001D0DB6" w:rsidRDefault="00EE5E76" w:rsidP="009D0E10">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 xml:space="preserve">Condensed </w:t>
            </w:r>
            <w:r w:rsidR="006D1B53" w:rsidRPr="001D0DB6">
              <w:rPr>
                <w:rFonts w:ascii="Arial" w:hAnsi="Arial" w:cs="Arial"/>
                <w:b/>
                <w:sz w:val="26"/>
                <w:szCs w:val="26"/>
              </w:rPr>
              <w:t>(Note 1)</w:t>
            </w:r>
            <w:r w:rsidR="001D0DB6">
              <w:rPr>
                <w:rFonts w:ascii="Arial" w:hAnsi="Arial" w:cs="Arial"/>
                <w:b/>
                <w:sz w:val="26"/>
                <w:szCs w:val="26"/>
              </w:rPr>
              <w:t xml:space="preserve"> </w:t>
            </w:r>
          </w:p>
          <w:p w:rsidR="006034E3" w:rsidRPr="001D0DB6" w:rsidRDefault="003C4157" w:rsidP="001A06BB">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 xml:space="preserve">Statement Of </w:t>
            </w:r>
            <w:r w:rsidR="006034E3" w:rsidRPr="001D0DB6">
              <w:rPr>
                <w:rFonts w:ascii="Arial" w:hAnsi="Arial" w:cs="Arial"/>
                <w:b/>
                <w:sz w:val="26"/>
                <w:szCs w:val="26"/>
              </w:rPr>
              <w:t xml:space="preserve">Energy Efficiency </w:t>
            </w:r>
            <w:r w:rsidR="00766FC8">
              <w:rPr>
                <w:rFonts w:ascii="Arial" w:hAnsi="Arial" w:cs="Arial"/>
                <w:b/>
                <w:sz w:val="26"/>
                <w:szCs w:val="26"/>
              </w:rPr>
              <w:t>A</w:t>
            </w:r>
            <w:r w:rsidR="006034E3" w:rsidRPr="001D0DB6">
              <w:rPr>
                <w:rFonts w:ascii="Arial" w:hAnsi="Arial" w:cs="Arial"/>
                <w:b/>
                <w:sz w:val="26"/>
                <w:szCs w:val="26"/>
              </w:rPr>
              <w:t xml:space="preserve">nd Conservation </w:t>
            </w:r>
            <w:r w:rsidR="00CE7FE7" w:rsidRPr="001D0DB6">
              <w:rPr>
                <w:rFonts w:ascii="Arial" w:hAnsi="Arial" w:cs="Arial"/>
                <w:b/>
                <w:sz w:val="26"/>
                <w:szCs w:val="26"/>
              </w:rPr>
              <w:t xml:space="preserve">Program </w:t>
            </w:r>
            <w:r w:rsidR="00F21BEB">
              <w:rPr>
                <w:rFonts w:ascii="Arial" w:hAnsi="Arial" w:cs="Arial"/>
                <w:b/>
                <w:sz w:val="26"/>
                <w:szCs w:val="26"/>
              </w:rPr>
              <w:t>Costs</w:t>
            </w:r>
            <w:r w:rsidR="006034E3" w:rsidRPr="001D0DB6">
              <w:rPr>
                <w:rFonts w:ascii="Arial" w:hAnsi="Arial" w:cs="Arial"/>
                <w:b/>
                <w:sz w:val="26"/>
                <w:szCs w:val="26"/>
              </w:rPr>
              <w:t xml:space="preserve"> </w:t>
            </w:r>
            <w:r w:rsidR="00D20CBA">
              <w:rPr>
                <w:rFonts w:ascii="Arial" w:hAnsi="Arial" w:cs="Arial"/>
                <w:b/>
                <w:sz w:val="26"/>
                <w:szCs w:val="26"/>
              </w:rPr>
              <w:t xml:space="preserve">Phase </w:t>
            </w:r>
            <w:r w:rsidR="001A06BB">
              <w:rPr>
                <w:rFonts w:ascii="Arial" w:hAnsi="Arial" w:cs="Arial"/>
                <w:b/>
                <w:sz w:val="26"/>
                <w:szCs w:val="26"/>
              </w:rPr>
              <w:t>I</w:t>
            </w:r>
            <w:r w:rsidR="00D20CBA">
              <w:rPr>
                <w:rFonts w:ascii="Arial" w:hAnsi="Arial" w:cs="Arial"/>
                <w:b/>
                <w:sz w:val="26"/>
                <w:szCs w:val="26"/>
              </w:rPr>
              <w:t xml:space="preserve"> </w:t>
            </w:r>
            <w:r w:rsidR="00776A05" w:rsidRPr="001D0DB6">
              <w:rPr>
                <w:rFonts w:ascii="Arial" w:hAnsi="Arial" w:cs="Arial"/>
                <w:b/>
                <w:sz w:val="26"/>
                <w:szCs w:val="26"/>
              </w:rPr>
              <w:t>(EE</w:t>
            </w:r>
            <w:r w:rsidR="00CE7FE7" w:rsidRPr="001D0DB6">
              <w:rPr>
                <w:rFonts w:ascii="Arial" w:hAnsi="Arial" w:cs="Arial"/>
                <w:b/>
                <w:sz w:val="26"/>
                <w:szCs w:val="26"/>
              </w:rPr>
              <w:t>P</w:t>
            </w:r>
            <w:r w:rsidR="00776A05" w:rsidRPr="001D0DB6">
              <w:rPr>
                <w:rFonts w:ascii="Arial" w:hAnsi="Arial" w:cs="Arial"/>
                <w:b/>
                <w:sz w:val="26"/>
                <w:szCs w:val="26"/>
              </w:rPr>
              <w:t xml:space="preserve">C) </w:t>
            </w:r>
            <w:r w:rsidR="006034E3" w:rsidRPr="001D0DB6">
              <w:rPr>
                <w:rFonts w:ascii="Arial" w:hAnsi="Arial" w:cs="Arial"/>
                <w:b/>
                <w:sz w:val="26"/>
                <w:szCs w:val="26"/>
              </w:rPr>
              <w:t>Over/(Under) Collections</w:t>
            </w:r>
            <w:r w:rsidR="00776A05" w:rsidRPr="001D0DB6">
              <w:rPr>
                <w:rFonts w:ascii="Arial" w:hAnsi="Arial" w:cs="Arial"/>
                <w:b/>
                <w:sz w:val="26"/>
                <w:szCs w:val="26"/>
              </w:rPr>
              <w:t xml:space="preserve"> </w:t>
            </w:r>
            <w:r w:rsidR="00F21BEB" w:rsidRPr="001C56AF">
              <w:rPr>
                <w:rFonts w:ascii="Arial" w:hAnsi="Arial" w:cs="Arial"/>
                <w:b/>
                <w:sz w:val="26"/>
                <w:szCs w:val="26"/>
              </w:rPr>
              <w:t>(Section 1307(e))</w:t>
            </w:r>
          </w:p>
        </w:tc>
      </w:tr>
      <w:tr w:rsidR="006034E3" w:rsidRPr="002C61BD" w:rsidTr="00D44194">
        <w:trPr>
          <w:trHeight w:val="288"/>
          <w:jc w:val="center"/>
        </w:trPr>
        <w:tc>
          <w:tcPr>
            <w:tcW w:w="8730" w:type="dxa"/>
            <w:tcBorders>
              <w:top w:val="nil"/>
              <w:left w:val="nil"/>
              <w:bottom w:val="nil"/>
              <w:right w:val="nil"/>
            </w:tcBorders>
            <w:shd w:val="clear" w:color="auto" w:fill="auto"/>
            <w:noWrap/>
            <w:vAlign w:val="bottom"/>
          </w:tcPr>
          <w:p w:rsidR="006034E3" w:rsidRPr="001D0DB6" w:rsidRDefault="00912C39" w:rsidP="002B3D79">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 xml:space="preserve">For The </w:t>
            </w:r>
            <w:r w:rsidR="00E035AE" w:rsidRPr="001D0DB6">
              <w:rPr>
                <w:rFonts w:ascii="Arial" w:hAnsi="Arial" w:cs="Arial"/>
                <w:b/>
                <w:sz w:val="26"/>
                <w:szCs w:val="26"/>
              </w:rPr>
              <w:t>Period</w:t>
            </w:r>
            <w:r w:rsidRPr="001D0DB6">
              <w:rPr>
                <w:rFonts w:ascii="Arial" w:hAnsi="Arial" w:cs="Arial"/>
                <w:b/>
                <w:sz w:val="26"/>
                <w:szCs w:val="26"/>
              </w:rPr>
              <w:t xml:space="preserve"> </w:t>
            </w:r>
            <w:r w:rsidR="00F21BEB">
              <w:rPr>
                <w:rFonts w:ascii="Arial" w:hAnsi="Arial" w:cs="Arial"/>
                <w:b/>
                <w:sz w:val="26"/>
                <w:szCs w:val="26"/>
              </w:rPr>
              <w:t xml:space="preserve">January 1, 2010 </w:t>
            </w:r>
            <w:r w:rsidR="002B3D79">
              <w:rPr>
                <w:rFonts w:ascii="Arial" w:hAnsi="Arial" w:cs="Arial"/>
                <w:b/>
                <w:sz w:val="26"/>
                <w:szCs w:val="26"/>
              </w:rPr>
              <w:t>T</w:t>
            </w:r>
            <w:r w:rsidR="00F21BEB">
              <w:rPr>
                <w:rFonts w:ascii="Arial" w:hAnsi="Arial" w:cs="Arial"/>
                <w:b/>
                <w:sz w:val="26"/>
                <w:szCs w:val="26"/>
              </w:rPr>
              <w:t>hrough</w:t>
            </w:r>
            <w:r w:rsidRPr="001D0DB6">
              <w:rPr>
                <w:rFonts w:ascii="Arial" w:hAnsi="Arial" w:cs="Arial"/>
                <w:b/>
                <w:sz w:val="26"/>
                <w:szCs w:val="26"/>
              </w:rPr>
              <w:t xml:space="preserve"> May 31, 201</w:t>
            </w:r>
            <w:r w:rsidR="00D20CBA">
              <w:rPr>
                <w:rFonts w:ascii="Arial" w:hAnsi="Arial" w:cs="Arial"/>
                <w:b/>
                <w:sz w:val="26"/>
                <w:szCs w:val="26"/>
              </w:rPr>
              <w:t>3</w:t>
            </w:r>
            <w:r w:rsidR="00546BB7">
              <w:rPr>
                <w:rFonts w:ascii="Arial" w:hAnsi="Arial" w:cs="Arial"/>
                <w:b/>
                <w:sz w:val="26"/>
                <w:szCs w:val="26"/>
              </w:rPr>
              <w:t>*</w:t>
            </w:r>
          </w:p>
        </w:tc>
      </w:tr>
    </w:tbl>
    <w:p w:rsidR="006034E3" w:rsidRPr="002C61BD" w:rsidRDefault="006034E3" w:rsidP="006034E3">
      <w:pPr>
        <w:rPr>
          <w:rFonts w:ascii="Arial" w:hAnsi="Arial" w:cs="Arial"/>
          <w:sz w:val="16"/>
          <w:szCs w:val="16"/>
        </w:rPr>
      </w:pPr>
    </w:p>
    <w:p w:rsidR="004C7C79" w:rsidRPr="002C61BD" w:rsidRDefault="004C7C79" w:rsidP="00DF7BE0">
      <w:pPr>
        <w:jc w:val="center"/>
        <w:rPr>
          <w:rFonts w:ascii="Arial" w:hAnsi="Arial" w:cs="Arial"/>
          <w:sz w:val="16"/>
          <w:szCs w:val="16"/>
        </w:rPr>
      </w:pPr>
    </w:p>
    <w:tbl>
      <w:tblPr>
        <w:tblW w:w="8847" w:type="dxa"/>
        <w:jc w:val="center"/>
        <w:tblLayout w:type="fixed"/>
        <w:tblLook w:val="0000" w:firstRow="0" w:lastRow="0" w:firstColumn="0" w:lastColumn="0" w:noHBand="0" w:noVBand="0"/>
      </w:tblPr>
      <w:tblGrid>
        <w:gridCol w:w="2138"/>
        <w:gridCol w:w="2455"/>
        <w:gridCol w:w="2274"/>
        <w:gridCol w:w="1980"/>
      </w:tblGrid>
      <w:tr w:rsidR="004F21DE" w:rsidRPr="00895078" w:rsidTr="0058470E">
        <w:trPr>
          <w:jc w:val="center"/>
        </w:trPr>
        <w:tc>
          <w:tcPr>
            <w:tcW w:w="2138" w:type="dxa"/>
            <w:tcBorders>
              <w:top w:val="nil"/>
              <w:left w:val="nil"/>
              <w:right w:val="nil"/>
            </w:tcBorders>
            <w:shd w:val="clear" w:color="auto" w:fill="auto"/>
            <w:noWrap/>
            <w:vAlign w:val="bottom"/>
          </w:tcPr>
          <w:p w:rsidR="004F21DE" w:rsidRDefault="004F21DE" w:rsidP="00EE5E76">
            <w:pPr>
              <w:rPr>
                <w:rFonts w:ascii="Arial" w:hAnsi="Arial" w:cs="Arial"/>
                <w:szCs w:val="24"/>
              </w:rPr>
            </w:pPr>
          </w:p>
          <w:p w:rsidR="004F21DE" w:rsidRDefault="004F21DE" w:rsidP="00EE5E76">
            <w:pPr>
              <w:rPr>
                <w:rFonts w:ascii="Arial" w:hAnsi="Arial" w:cs="Arial"/>
                <w:szCs w:val="24"/>
              </w:rPr>
            </w:pPr>
          </w:p>
          <w:p w:rsidR="004F21DE" w:rsidRPr="00693748" w:rsidRDefault="004F21DE" w:rsidP="00E305AD">
            <w:pPr>
              <w:rPr>
                <w:rFonts w:ascii="Arial" w:hAnsi="Arial" w:cs="Arial"/>
                <w:szCs w:val="24"/>
                <w:u w:val="single"/>
              </w:rPr>
            </w:pPr>
            <w:r w:rsidRPr="00693748">
              <w:rPr>
                <w:rFonts w:ascii="Arial" w:hAnsi="Arial" w:cs="Arial"/>
                <w:b/>
                <w:szCs w:val="24"/>
                <w:u w:val="single"/>
              </w:rPr>
              <w:t>Customer Class</w:t>
            </w:r>
          </w:p>
        </w:tc>
        <w:tc>
          <w:tcPr>
            <w:tcW w:w="2455" w:type="dxa"/>
            <w:tcBorders>
              <w:top w:val="nil"/>
              <w:left w:val="nil"/>
              <w:right w:val="nil"/>
            </w:tcBorders>
            <w:shd w:val="clear" w:color="auto" w:fill="auto"/>
            <w:noWrap/>
            <w:vAlign w:val="bottom"/>
          </w:tcPr>
          <w:p w:rsidR="004F21DE" w:rsidRPr="00895078" w:rsidRDefault="004F21DE" w:rsidP="00E305AD">
            <w:pPr>
              <w:jc w:val="center"/>
              <w:rPr>
                <w:rFonts w:ascii="Arial" w:hAnsi="Arial" w:cs="Arial"/>
                <w:szCs w:val="24"/>
              </w:rPr>
            </w:pPr>
            <w:r w:rsidRPr="004F21DE">
              <w:rPr>
                <w:rFonts w:ascii="Arial" w:hAnsi="Arial" w:cs="Arial"/>
                <w:b/>
                <w:szCs w:val="24"/>
              </w:rPr>
              <w:t xml:space="preserve">EEPC </w:t>
            </w:r>
            <w:r w:rsidR="00693748">
              <w:rPr>
                <w:rFonts w:ascii="Arial" w:hAnsi="Arial" w:cs="Arial"/>
                <w:b/>
                <w:szCs w:val="24"/>
              </w:rPr>
              <w:t xml:space="preserve">      </w:t>
            </w:r>
            <w:r w:rsidRPr="00693748">
              <w:rPr>
                <w:rFonts w:ascii="Arial" w:hAnsi="Arial" w:cs="Arial"/>
                <w:b/>
                <w:szCs w:val="24"/>
                <w:u w:val="single"/>
              </w:rPr>
              <w:t>Revenues</w:t>
            </w:r>
            <w:r w:rsidRPr="004F21DE">
              <w:rPr>
                <w:rFonts w:ascii="Arial" w:hAnsi="Arial" w:cs="Arial"/>
                <w:b/>
                <w:szCs w:val="24"/>
              </w:rPr>
              <w:t xml:space="preserve"> </w:t>
            </w:r>
          </w:p>
        </w:tc>
        <w:tc>
          <w:tcPr>
            <w:tcW w:w="2274" w:type="dxa"/>
            <w:tcBorders>
              <w:top w:val="nil"/>
              <w:left w:val="nil"/>
              <w:right w:val="nil"/>
            </w:tcBorders>
            <w:vAlign w:val="bottom"/>
          </w:tcPr>
          <w:p w:rsidR="007F5C8C" w:rsidRDefault="004F21DE" w:rsidP="007F5C8C">
            <w:pPr>
              <w:ind w:firstLine="6"/>
              <w:jc w:val="center"/>
              <w:rPr>
                <w:rFonts w:ascii="Arial" w:hAnsi="Arial" w:cs="Arial"/>
                <w:b/>
                <w:szCs w:val="24"/>
              </w:rPr>
            </w:pPr>
            <w:r w:rsidRPr="004F21DE">
              <w:rPr>
                <w:rFonts w:ascii="Arial" w:hAnsi="Arial" w:cs="Arial"/>
                <w:b/>
                <w:szCs w:val="24"/>
              </w:rPr>
              <w:t>EEPC</w:t>
            </w:r>
          </w:p>
          <w:p w:rsidR="004F21DE" w:rsidRPr="00693748" w:rsidRDefault="004F21DE" w:rsidP="00A42758">
            <w:pPr>
              <w:ind w:firstLine="6"/>
              <w:jc w:val="center"/>
              <w:rPr>
                <w:rFonts w:ascii="Arial" w:hAnsi="Arial" w:cs="Arial"/>
                <w:szCs w:val="24"/>
                <w:u w:val="single"/>
              </w:rPr>
            </w:pPr>
            <w:r w:rsidRPr="00EF66F2">
              <w:rPr>
                <w:rFonts w:ascii="Arial" w:hAnsi="Arial" w:cs="Arial"/>
                <w:b/>
                <w:szCs w:val="24"/>
              </w:rPr>
              <w:t xml:space="preserve"> </w:t>
            </w:r>
            <w:r w:rsidR="0017493F">
              <w:rPr>
                <w:rFonts w:ascii="Arial" w:hAnsi="Arial" w:cs="Arial"/>
                <w:b/>
                <w:szCs w:val="24"/>
                <w:u w:val="single"/>
              </w:rPr>
              <w:t>Expen</w:t>
            </w:r>
            <w:r w:rsidR="00A42758">
              <w:rPr>
                <w:rFonts w:ascii="Arial" w:hAnsi="Arial" w:cs="Arial"/>
                <w:b/>
                <w:szCs w:val="24"/>
                <w:u w:val="single"/>
              </w:rPr>
              <w:t>s</w:t>
            </w:r>
            <w:r w:rsidR="0017493F">
              <w:rPr>
                <w:rFonts w:ascii="Arial" w:hAnsi="Arial" w:cs="Arial"/>
                <w:b/>
                <w:szCs w:val="24"/>
                <w:u w:val="single"/>
              </w:rPr>
              <w:t>es</w:t>
            </w:r>
          </w:p>
        </w:tc>
        <w:tc>
          <w:tcPr>
            <w:tcW w:w="1980" w:type="dxa"/>
            <w:tcBorders>
              <w:top w:val="nil"/>
              <w:left w:val="nil"/>
              <w:right w:val="nil"/>
            </w:tcBorders>
            <w:vAlign w:val="bottom"/>
          </w:tcPr>
          <w:p w:rsidR="004F21DE" w:rsidRPr="00895078" w:rsidRDefault="004F21DE" w:rsidP="009D0E10">
            <w:pPr>
              <w:jc w:val="center"/>
              <w:rPr>
                <w:rFonts w:ascii="Arial" w:hAnsi="Arial" w:cs="Arial"/>
                <w:szCs w:val="24"/>
              </w:rPr>
            </w:pPr>
          </w:p>
          <w:p w:rsidR="004F21DE" w:rsidRPr="00895078" w:rsidRDefault="004F21DE" w:rsidP="00E305AD">
            <w:pPr>
              <w:jc w:val="center"/>
              <w:rPr>
                <w:rFonts w:ascii="Arial" w:hAnsi="Arial" w:cs="Arial"/>
                <w:szCs w:val="24"/>
              </w:rPr>
            </w:pPr>
            <w:r w:rsidRPr="006B67BF">
              <w:rPr>
                <w:rFonts w:ascii="Arial" w:hAnsi="Arial" w:cs="Arial"/>
                <w:b/>
                <w:szCs w:val="24"/>
              </w:rPr>
              <w:t xml:space="preserve">Over/(Under) </w:t>
            </w:r>
            <w:r w:rsidRPr="00693748">
              <w:rPr>
                <w:rFonts w:ascii="Arial" w:hAnsi="Arial" w:cs="Arial"/>
                <w:b/>
                <w:szCs w:val="24"/>
                <w:u w:val="single"/>
              </w:rPr>
              <w:t>Collections</w:t>
            </w:r>
          </w:p>
        </w:tc>
      </w:tr>
      <w:tr w:rsidR="00E305AD" w:rsidRPr="002C61BD" w:rsidTr="0058470E">
        <w:trPr>
          <w:trHeight w:val="255"/>
          <w:jc w:val="center"/>
        </w:trPr>
        <w:tc>
          <w:tcPr>
            <w:tcW w:w="2138" w:type="dxa"/>
            <w:tcBorders>
              <w:left w:val="nil"/>
              <w:bottom w:val="nil"/>
              <w:right w:val="nil"/>
            </w:tcBorders>
            <w:shd w:val="clear" w:color="auto" w:fill="auto"/>
            <w:noWrap/>
            <w:vAlign w:val="bottom"/>
          </w:tcPr>
          <w:p w:rsidR="00E305AD" w:rsidRPr="002C61BD" w:rsidRDefault="00E305AD" w:rsidP="009D0E10">
            <w:pPr>
              <w:jc w:val="center"/>
              <w:rPr>
                <w:rFonts w:ascii="Arial" w:hAnsi="Arial" w:cs="Arial"/>
                <w:szCs w:val="24"/>
              </w:rPr>
            </w:pPr>
          </w:p>
        </w:tc>
        <w:tc>
          <w:tcPr>
            <w:tcW w:w="2455" w:type="dxa"/>
            <w:tcBorders>
              <w:left w:val="nil"/>
              <w:bottom w:val="nil"/>
              <w:right w:val="nil"/>
            </w:tcBorders>
            <w:shd w:val="clear" w:color="auto" w:fill="auto"/>
            <w:noWrap/>
            <w:vAlign w:val="bottom"/>
          </w:tcPr>
          <w:p w:rsidR="00E305AD" w:rsidRPr="002C61BD" w:rsidRDefault="00E305AD" w:rsidP="00D13C6A">
            <w:pPr>
              <w:jc w:val="center"/>
              <w:rPr>
                <w:rFonts w:ascii="Arial" w:hAnsi="Arial" w:cs="Arial"/>
                <w:szCs w:val="24"/>
              </w:rPr>
            </w:pPr>
            <w:r>
              <w:rPr>
                <w:rFonts w:ascii="Arial" w:hAnsi="Arial" w:cs="Arial"/>
                <w:szCs w:val="24"/>
              </w:rPr>
              <w:t>(1)</w:t>
            </w:r>
          </w:p>
        </w:tc>
        <w:tc>
          <w:tcPr>
            <w:tcW w:w="2274" w:type="dxa"/>
            <w:tcBorders>
              <w:left w:val="nil"/>
              <w:bottom w:val="nil"/>
              <w:right w:val="nil"/>
            </w:tcBorders>
            <w:vAlign w:val="bottom"/>
          </w:tcPr>
          <w:p w:rsidR="00E305AD" w:rsidRPr="002C61BD" w:rsidRDefault="00E305AD" w:rsidP="00D13C6A">
            <w:pPr>
              <w:jc w:val="center"/>
              <w:rPr>
                <w:rFonts w:ascii="Arial" w:hAnsi="Arial" w:cs="Arial"/>
                <w:szCs w:val="24"/>
              </w:rPr>
            </w:pPr>
            <w:r>
              <w:rPr>
                <w:rFonts w:ascii="Arial" w:hAnsi="Arial" w:cs="Arial"/>
                <w:szCs w:val="24"/>
              </w:rPr>
              <w:t>(2)</w:t>
            </w:r>
          </w:p>
        </w:tc>
        <w:tc>
          <w:tcPr>
            <w:tcW w:w="1980" w:type="dxa"/>
            <w:tcBorders>
              <w:left w:val="nil"/>
              <w:bottom w:val="nil"/>
              <w:right w:val="nil"/>
            </w:tcBorders>
            <w:vAlign w:val="bottom"/>
          </w:tcPr>
          <w:p w:rsidR="00E305AD" w:rsidRDefault="00E305AD" w:rsidP="00D13C6A">
            <w:pPr>
              <w:jc w:val="center"/>
              <w:rPr>
                <w:rFonts w:ascii="Arial" w:hAnsi="Arial" w:cs="Arial"/>
                <w:szCs w:val="24"/>
              </w:rPr>
            </w:pPr>
            <w:r>
              <w:rPr>
                <w:rFonts w:ascii="Arial" w:hAnsi="Arial" w:cs="Arial"/>
                <w:szCs w:val="24"/>
              </w:rPr>
              <w:t>(3)=(1)-(2)</w:t>
            </w:r>
          </w:p>
        </w:tc>
      </w:tr>
      <w:tr w:rsidR="004F21DE" w:rsidRPr="002C61BD" w:rsidTr="0058470E">
        <w:trPr>
          <w:trHeight w:val="255"/>
          <w:jc w:val="center"/>
        </w:trPr>
        <w:tc>
          <w:tcPr>
            <w:tcW w:w="2138" w:type="dxa"/>
            <w:tcBorders>
              <w:left w:val="nil"/>
              <w:bottom w:val="nil"/>
              <w:right w:val="nil"/>
            </w:tcBorders>
            <w:shd w:val="clear" w:color="auto" w:fill="auto"/>
            <w:noWrap/>
            <w:vAlign w:val="bottom"/>
          </w:tcPr>
          <w:p w:rsidR="004F21DE" w:rsidRPr="002C61BD" w:rsidRDefault="004F21DE" w:rsidP="009D0E10">
            <w:pPr>
              <w:jc w:val="center"/>
              <w:rPr>
                <w:rFonts w:ascii="Arial" w:hAnsi="Arial" w:cs="Arial"/>
                <w:szCs w:val="24"/>
              </w:rPr>
            </w:pPr>
          </w:p>
        </w:tc>
        <w:tc>
          <w:tcPr>
            <w:tcW w:w="2455" w:type="dxa"/>
            <w:tcBorders>
              <w:left w:val="nil"/>
              <w:bottom w:val="nil"/>
              <w:right w:val="nil"/>
            </w:tcBorders>
            <w:shd w:val="clear" w:color="auto" w:fill="auto"/>
            <w:noWrap/>
            <w:vAlign w:val="bottom"/>
          </w:tcPr>
          <w:p w:rsidR="004F21DE" w:rsidRPr="002C61BD" w:rsidRDefault="004F21DE" w:rsidP="00D2141E">
            <w:pPr>
              <w:jc w:val="center"/>
              <w:rPr>
                <w:rFonts w:ascii="Arial" w:hAnsi="Arial" w:cs="Arial"/>
                <w:szCs w:val="24"/>
              </w:rPr>
            </w:pPr>
            <w:r w:rsidRPr="002C61BD">
              <w:rPr>
                <w:rFonts w:ascii="Arial" w:hAnsi="Arial" w:cs="Arial"/>
                <w:szCs w:val="24"/>
              </w:rPr>
              <w:t xml:space="preserve">(Note </w:t>
            </w:r>
            <w:r w:rsidR="00D2141E">
              <w:rPr>
                <w:rFonts w:ascii="Arial" w:hAnsi="Arial" w:cs="Arial"/>
                <w:szCs w:val="24"/>
              </w:rPr>
              <w:t>2</w:t>
            </w:r>
            <w:r w:rsidRPr="002C61BD">
              <w:rPr>
                <w:rFonts w:ascii="Arial" w:hAnsi="Arial" w:cs="Arial"/>
                <w:szCs w:val="24"/>
              </w:rPr>
              <w:t>)</w:t>
            </w:r>
          </w:p>
        </w:tc>
        <w:tc>
          <w:tcPr>
            <w:tcW w:w="2274" w:type="dxa"/>
            <w:tcBorders>
              <w:left w:val="nil"/>
              <w:bottom w:val="nil"/>
              <w:right w:val="nil"/>
            </w:tcBorders>
            <w:vAlign w:val="bottom"/>
          </w:tcPr>
          <w:p w:rsidR="004F21DE" w:rsidRPr="002C61BD" w:rsidRDefault="004F21DE" w:rsidP="00D2141E">
            <w:pPr>
              <w:jc w:val="center"/>
              <w:rPr>
                <w:rFonts w:ascii="Arial" w:hAnsi="Arial" w:cs="Arial"/>
                <w:szCs w:val="24"/>
              </w:rPr>
            </w:pPr>
            <w:r w:rsidRPr="002C61BD">
              <w:rPr>
                <w:rFonts w:ascii="Arial" w:hAnsi="Arial" w:cs="Arial"/>
                <w:szCs w:val="24"/>
              </w:rPr>
              <w:t xml:space="preserve">(Note </w:t>
            </w:r>
            <w:r w:rsidR="00D2141E">
              <w:rPr>
                <w:rFonts w:ascii="Arial" w:hAnsi="Arial" w:cs="Arial"/>
                <w:szCs w:val="24"/>
              </w:rPr>
              <w:t>3</w:t>
            </w:r>
            <w:r w:rsidRPr="002C61BD">
              <w:rPr>
                <w:rFonts w:ascii="Arial" w:hAnsi="Arial" w:cs="Arial"/>
                <w:szCs w:val="24"/>
              </w:rPr>
              <w:t>)</w:t>
            </w:r>
          </w:p>
        </w:tc>
        <w:tc>
          <w:tcPr>
            <w:tcW w:w="1980" w:type="dxa"/>
            <w:tcBorders>
              <w:left w:val="nil"/>
              <w:bottom w:val="nil"/>
              <w:right w:val="nil"/>
            </w:tcBorders>
            <w:vAlign w:val="bottom"/>
          </w:tcPr>
          <w:p w:rsidR="004F21DE" w:rsidRPr="002C61BD" w:rsidRDefault="004F21DE" w:rsidP="00D2141E">
            <w:pPr>
              <w:jc w:val="center"/>
              <w:rPr>
                <w:rFonts w:ascii="Arial" w:hAnsi="Arial" w:cs="Arial"/>
                <w:szCs w:val="24"/>
              </w:rPr>
            </w:pPr>
            <w:r>
              <w:rPr>
                <w:rFonts w:ascii="Arial" w:hAnsi="Arial" w:cs="Arial"/>
                <w:szCs w:val="24"/>
              </w:rPr>
              <w:t>(</w:t>
            </w:r>
            <w:r w:rsidRPr="002C61BD">
              <w:rPr>
                <w:rFonts w:ascii="Arial" w:hAnsi="Arial" w:cs="Arial"/>
                <w:szCs w:val="24"/>
              </w:rPr>
              <w:t xml:space="preserve">Note </w:t>
            </w:r>
            <w:r w:rsidR="00D2141E">
              <w:rPr>
                <w:rFonts w:ascii="Arial" w:hAnsi="Arial" w:cs="Arial"/>
                <w:szCs w:val="24"/>
              </w:rPr>
              <w:t>4</w:t>
            </w:r>
            <w:r>
              <w:rPr>
                <w:rFonts w:ascii="Arial" w:hAnsi="Arial" w:cs="Arial"/>
                <w:szCs w:val="24"/>
              </w:rPr>
              <w:t>)</w:t>
            </w:r>
          </w:p>
        </w:tc>
      </w:tr>
      <w:tr w:rsidR="004F21DE" w:rsidRPr="002C61BD" w:rsidTr="0058470E">
        <w:trPr>
          <w:trHeight w:val="144"/>
          <w:jc w:val="center"/>
        </w:trPr>
        <w:tc>
          <w:tcPr>
            <w:tcW w:w="2138" w:type="dxa"/>
            <w:tcBorders>
              <w:top w:val="nil"/>
              <w:left w:val="nil"/>
              <w:bottom w:val="nil"/>
              <w:right w:val="nil"/>
            </w:tcBorders>
            <w:shd w:val="clear" w:color="auto" w:fill="auto"/>
            <w:noWrap/>
            <w:vAlign w:val="bottom"/>
          </w:tcPr>
          <w:p w:rsidR="004F21DE" w:rsidRPr="002C61BD" w:rsidRDefault="004F21DE" w:rsidP="009D0E10">
            <w:pPr>
              <w:rPr>
                <w:rFonts w:ascii="Arial" w:hAnsi="Arial" w:cs="Arial"/>
                <w:szCs w:val="24"/>
              </w:rPr>
            </w:pPr>
          </w:p>
        </w:tc>
        <w:tc>
          <w:tcPr>
            <w:tcW w:w="2455" w:type="dxa"/>
            <w:tcBorders>
              <w:top w:val="nil"/>
              <w:left w:val="nil"/>
              <w:bottom w:val="nil"/>
              <w:right w:val="nil"/>
            </w:tcBorders>
            <w:shd w:val="clear" w:color="auto" w:fill="auto"/>
            <w:noWrap/>
            <w:vAlign w:val="bottom"/>
          </w:tcPr>
          <w:p w:rsidR="004F21DE" w:rsidRPr="002C61BD" w:rsidRDefault="004F21DE" w:rsidP="001A778A">
            <w:pPr>
              <w:jc w:val="center"/>
              <w:rPr>
                <w:rFonts w:ascii="Arial" w:hAnsi="Arial" w:cs="Arial"/>
                <w:szCs w:val="24"/>
              </w:rPr>
            </w:pPr>
          </w:p>
        </w:tc>
        <w:tc>
          <w:tcPr>
            <w:tcW w:w="2274" w:type="dxa"/>
            <w:tcBorders>
              <w:top w:val="nil"/>
              <w:left w:val="nil"/>
              <w:bottom w:val="nil"/>
              <w:right w:val="nil"/>
            </w:tcBorders>
            <w:vAlign w:val="bottom"/>
          </w:tcPr>
          <w:p w:rsidR="004F21DE" w:rsidRPr="002C61BD" w:rsidRDefault="004F21DE" w:rsidP="001A778A">
            <w:pPr>
              <w:jc w:val="center"/>
              <w:rPr>
                <w:rFonts w:ascii="Arial" w:hAnsi="Arial" w:cs="Arial"/>
                <w:szCs w:val="24"/>
              </w:rPr>
            </w:pPr>
          </w:p>
        </w:tc>
        <w:tc>
          <w:tcPr>
            <w:tcW w:w="1980" w:type="dxa"/>
            <w:tcBorders>
              <w:top w:val="nil"/>
              <w:left w:val="nil"/>
              <w:bottom w:val="nil"/>
              <w:right w:val="nil"/>
            </w:tcBorders>
          </w:tcPr>
          <w:p w:rsidR="004F21DE" w:rsidRPr="002C61BD" w:rsidRDefault="004F21DE" w:rsidP="00DF7BE0">
            <w:pPr>
              <w:jc w:val="center"/>
              <w:rPr>
                <w:rFonts w:ascii="Arial" w:hAnsi="Arial" w:cs="Arial"/>
                <w:szCs w:val="24"/>
              </w:rPr>
            </w:pPr>
          </w:p>
        </w:tc>
      </w:tr>
      <w:tr w:rsidR="004F21DE" w:rsidRPr="002C61BD" w:rsidTr="0058470E">
        <w:trPr>
          <w:trHeight w:val="288"/>
          <w:jc w:val="center"/>
        </w:trPr>
        <w:tc>
          <w:tcPr>
            <w:tcW w:w="2138" w:type="dxa"/>
            <w:tcBorders>
              <w:top w:val="nil"/>
              <w:left w:val="nil"/>
              <w:bottom w:val="nil"/>
              <w:right w:val="nil"/>
            </w:tcBorders>
            <w:shd w:val="clear" w:color="auto" w:fill="auto"/>
            <w:noWrap/>
            <w:vAlign w:val="bottom"/>
          </w:tcPr>
          <w:p w:rsidR="004F21DE" w:rsidRPr="00BB35D7" w:rsidRDefault="004F21DE" w:rsidP="004F21DE">
            <w:pPr>
              <w:rPr>
                <w:rFonts w:ascii="Arial" w:hAnsi="Arial" w:cs="Arial"/>
                <w:szCs w:val="24"/>
              </w:rPr>
            </w:pPr>
            <w:r w:rsidRPr="00BB35D7">
              <w:rPr>
                <w:rFonts w:ascii="Arial" w:hAnsi="Arial" w:cs="Arial"/>
                <w:szCs w:val="24"/>
              </w:rPr>
              <w:t>Residential</w:t>
            </w:r>
          </w:p>
        </w:tc>
        <w:tc>
          <w:tcPr>
            <w:tcW w:w="2455" w:type="dxa"/>
            <w:tcBorders>
              <w:top w:val="nil"/>
              <w:left w:val="nil"/>
              <w:bottom w:val="nil"/>
              <w:right w:val="nil"/>
            </w:tcBorders>
            <w:shd w:val="clear" w:color="auto" w:fill="auto"/>
            <w:noWrap/>
            <w:vAlign w:val="bottom"/>
          </w:tcPr>
          <w:p w:rsidR="004F21DE" w:rsidRPr="00BB35D7" w:rsidRDefault="00BB35D7" w:rsidP="00D20CBA">
            <w:pPr>
              <w:rPr>
                <w:rFonts w:ascii="Arial" w:hAnsi="Arial" w:cs="Arial"/>
                <w:szCs w:val="24"/>
              </w:rPr>
            </w:pPr>
            <w:r w:rsidRPr="00BB35D7">
              <w:rPr>
                <w:rFonts w:ascii="Arial" w:hAnsi="Arial" w:cs="Arial"/>
                <w:szCs w:val="24"/>
              </w:rPr>
              <w:t xml:space="preserve">     </w:t>
            </w:r>
            <w:r w:rsidR="004F21DE" w:rsidRPr="00BB35D7">
              <w:rPr>
                <w:rFonts w:ascii="Arial" w:hAnsi="Arial" w:cs="Arial"/>
                <w:szCs w:val="24"/>
              </w:rPr>
              <w:t>$</w:t>
            </w:r>
            <w:r w:rsidRPr="00BB35D7">
              <w:rPr>
                <w:rFonts w:ascii="Arial" w:hAnsi="Arial" w:cs="Arial"/>
                <w:szCs w:val="24"/>
              </w:rPr>
              <w:t xml:space="preserve"> </w:t>
            </w:r>
            <w:r w:rsidR="00D20CBA">
              <w:rPr>
                <w:rFonts w:ascii="Arial" w:hAnsi="Arial" w:cs="Arial"/>
                <w:szCs w:val="24"/>
              </w:rPr>
              <w:t>141,389,031</w:t>
            </w:r>
          </w:p>
        </w:tc>
        <w:tc>
          <w:tcPr>
            <w:tcW w:w="2274" w:type="dxa"/>
            <w:tcBorders>
              <w:top w:val="nil"/>
              <w:left w:val="nil"/>
              <w:bottom w:val="nil"/>
              <w:right w:val="nil"/>
            </w:tcBorders>
            <w:vAlign w:val="bottom"/>
          </w:tcPr>
          <w:p w:rsidR="004F21DE" w:rsidRPr="00BB35D7" w:rsidRDefault="004F21DE" w:rsidP="00D20CBA">
            <w:pPr>
              <w:jc w:val="center"/>
              <w:rPr>
                <w:rFonts w:ascii="Arial" w:hAnsi="Arial" w:cs="Arial"/>
                <w:szCs w:val="24"/>
              </w:rPr>
            </w:pPr>
            <w:r w:rsidRPr="00BB35D7">
              <w:rPr>
                <w:rFonts w:ascii="Arial" w:hAnsi="Arial" w:cs="Arial"/>
                <w:szCs w:val="24"/>
              </w:rPr>
              <w:t>$</w:t>
            </w:r>
            <w:r w:rsidR="00BB35D7" w:rsidRPr="00BB35D7">
              <w:rPr>
                <w:rFonts w:ascii="Arial" w:hAnsi="Arial" w:cs="Arial"/>
                <w:szCs w:val="24"/>
              </w:rPr>
              <w:t xml:space="preserve"> </w:t>
            </w:r>
            <w:r w:rsidR="00D20CBA">
              <w:rPr>
                <w:rFonts w:ascii="Arial" w:hAnsi="Arial" w:cs="Arial"/>
                <w:szCs w:val="24"/>
              </w:rPr>
              <w:t>129,824,995</w:t>
            </w:r>
          </w:p>
        </w:tc>
        <w:tc>
          <w:tcPr>
            <w:tcW w:w="1980" w:type="dxa"/>
            <w:tcBorders>
              <w:top w:val="nil"/>
              <w:left w:val="nil"/>
              <w:bottom w:val="nil"/>
              <w:right w:val="nil"/>
            </w:tcBorders>
            <w:vAlign w:val="bottom"/>
          </w:tcPr>
          <w:p w:rsidR="004F21DE" w:rsidRPr="002C61BD" w:rsidRDefault="004F21DE" w:rsidP="00D20CBA">
            <w:pPr>
              <w:jc w:val="center"/>
              <w:rPr>
                <w:rFonts w:ascii="Arial" w:hAnsi="Arial" w:cs="Arial"/>
                <w:szCs w:val="24"/>
              </w:rPr>
            </w:pPr>
            <w:r w:rsidRPr="00BB35D7">
              <w:rPr>
                <w:rFonts w:ascii="Arial" w:hAnsi="Arial" w:cs="Arial"/>
                <w:szCs w:val="24"/>
              </w:rPr>
              <w:t xml:space="preserve"> </w:t>
            </w:r>
            <w:r w:rsidR="00BB35D7" w:rsidRPr="00BB35D7">
              <w:rPr>
                <w:rFonts w:ascii="Arial" w:hAnsi="Arial" w:cs="Arial"/>
                <w:szCs w:val="24"/>
              </w:rPr>
              <w:t>$</w:t>
            </w:r>
            <w:r w:rsidR="00D20CBA">
              <w:rPr>
                <w:rFonts w:ascii="Arial" w:hAnsi="Arial" w:cs="Arial"/>
                <w:szCs w:val="24"/>
              </w:rPr>
              <w:t xml:space="preserve"> </w:t>
            </w:r>
            <w:r w:rsidR="0058470E">
              <w:rPr>
                <w:rFonts w:ascii="Arial" w:hAnsi="Arial" w:cs="Arial"/>
                <w:szCs w:val="24"/>
              </w:rPr>
              <w:t xml:space="preserve"> </w:t>
            </w:r>
            <w:r w:rsidR="00D20CBA">
              <w:rPr>
                <w:rFonts w:ascii="Arial" w:hAnsi="Arial" w:cs="Arial"/>
                <w:szCs w:val="24"/>
              </w:rPr>
              <w:t>11,564,036</w:t>
            </w:r>
          </w:p>
        </w:tc>
      </w:tr>
      <w:tr w:rsidR="004F21DE" w:rsidRPr="002C61BD" w:rsidTr="0058470E">
        <w:trPr>
          <w:trHeight w:val="288"/>
          <w:jc w:val="center"/>
        </w:trPr>
        <w:tc>
          <w:tcPr>
            <w:tcW w:w="2138" w:type="dxa"/>
            <w:tcBorders>
              <w:top w:val="nil"/>
              <w:left w:val="nil"/>
              <w:bottom w:val="nil"/>
              <w:right w:val="nil"/>
            </w:tcBorders>
            <w:shd w:val="clear" w:color="auto" w:fill="auto"/>
            <w:noWrap/>
            <w:vAlign w:val="bottom"/>
          </w:tcPr>
          <w:p w:rsidR="004F21DE" w:rsidRPr="002C61BD" w:rsidRDefault="004F21DE" w:rsidP="004F21DE">
            <w:pPr>
              <w:rPr>
                <w:rFonts w:ascii="Arial" w:hAnsi="Arial" w:cs="Arial"/>
                <w:szCs w:val="24"/>
              </w:rPr>
            </w:pPr>
          </w:p>
        </w:tc>
        <w:tc>
          <w:tcPr>
            <w:tcW w:w="2455" w:type="dxa"/>
            <w:tcBorders>
              <w:top w:val="nil"/>
              <w:left w:val="nil"/>
              <w:bottom w:val="nil"/>
              <w:right w:val="nil"/>
            </w:tcBorders>
            <w:shd w:val="clear" w:color="auto" w:fill="auto"/>
            <w:noWrap/>
            <w:vAlign w:val="bottom"/>
          </w:tcPr>
          <w:p w:rsidR="004F21DE" w:rsidRDefault="004F21DE" w:rsidP="001A778A">
            <w:pPr>
              <w:jc w:val="center"/>
              <w:rPr>
                <w:rFonts w:ascii="Arial" w:hAnsi="Arial" w:cs="Arial"/>
                <w:szCs w:val="24"/>
              </w:rPr>
            </w:pPr>
          </w:p>
        </w:tc>
        <w:tc>
          <w:tcPr>
            <w:tcW w:w="2274" w:type="dxa"/>
            <w:tcBorders>
              <w:top w:val="nil"/>
              <w:left w:val="nil"/>
              <w:bottom w:val="nil"/>
              <w:right w:val="nil"/>
            </w:tcBorders>
            <w:vAlign w:val="bottom"/>
          </w:tcPr>
          <w:p w:rsidR="004F21DE" w:rsidRDefault="004F21DE" w:rsidP="001A778A">
            <w:pPr>
              <w:jc w:val="center"/>
              <w:rPr>
                <w:rFonts w:ascii="Arial" w:hAnsi="Arial" w:cs="Arial"/>
                <w:szCs w:val="24"/>
              </w:rPr>
            </w:pPr>
          </w:p>
        </w:tc>
        <w:tc>
          <w:tcPr>
            <w:tcW w:w="1980" w:type="dxa"/>
            <w:tcBorders>
              <w:top w:val="nil"/>
              <w:left w:val="nil"/>
              <w:bottom w:val="nil"/>
              <w:right w:val="nil"/>
            </w:tcBorders>
            <w:vAlign w:val="bottom"/>
          </w:tcPr>
          <w:p w:rsidR="004F21DE" w:rsidRDefault="004F21DE" w:rsidP="006B67BF">
            <w:pPr>
              <w:jc w:val="center"/>
              <w:rPr>
                <w:rFonts w:ascii="Arial" w:hAnsi="Arial" w:cs="Arial"/>
                <w:szCs w:val="24"/>
              </w:rPr>
            </w:pPr>
          </w:p>
        </w:tc>
      </w:tr>
      <w:tr w:rsidR="004F21DE" w:rsidRPr="002C61BD" w:rsidTr="0058470E">
        <w:trPr>
          <w:trHeight w:val="288"/>
          <w:jc w:val="center"/>
        </w:trPr>
        <w:tc>
          <w:tcPr>
            <w:tcW w:w="2138" w:type="dxa"/>
            <w:tcBorders>
              <w:top w:val="nil"/>
              <w:left w:val="nil"/>
              <w:bottom w:val="nil"/>
              <w:right w:val="nil"/>
            </w:tcBorders>
            <w:shd w:val="clear" w:color="auto" w:fill="auto"/>
            <w:noWrap/>
            <w:vAlign w:val="bottom"/>
          </w:tcPr>
          <w:p w:rsidR="004F21DE" w:rsidRPr="002C61BD" w:rsidRDefault="004F21DE" w:rsidP="009D0E10">
            <w:pPr>
              <w:rPr>
                <w:rFonts w:ascii="Arial" w:hAnsi="Arial" w:cs="Arial"/>
                <w:szCs w:val="24"/>
              </w:rPr>
            </w:pPr>
            <w:r w:rsidRPr="002C61BD">
              <w:rPr>
                <w:rFonts w:ascii="Arial" w:hAnsi="Arial" w:cs="Arial"/>
                <w:szCs w:val="24"/>
              </w:rPr>
              <w:t>Commercial</w:t>
            </w:r>
          </w:p>
        </w:tc>
        <w:tc>
          <w:tcPr>
            <w:tcW w:w="2455" w:type="dxa"/>
            <w:tcBorders>
              <w:top w:val="nil"/>
              <w:left w:val="nil"/>
              <w:bottom w:val="nil"/>
              <w:right w:val="nil"/>
            </w:tcBorders>
            <w:shd w:val="clear" w:color="auto" w:fill="auto"/>
            <w:noWrap/>
            <w:vAlign w:val="bottom"/>
          </w:tcPr>
          <w:p w:rsidR="004F21DE" w:rsidRPr="002C61BD" w:rsidRDefault="004F21DE" w:rsidP="00D20CBA">
            <w:pPr>
              <w:jc w:val="center"/>
              <w:rPr>
                <w:rFonts w:ascii="Arial" w:hAnsi="Arial" w:cs="Arial"/>
                <w:szCs w:val="24"/>
              </w:rPr>
            </w:pPr>
            <w:r>
              <w:rPr>
                <w:rFonts w:ascii="Arial" w:hAnsi="Arial" w:cs="Arial"/>
                <w:szCs w:val="24"/>
              </w:rPr>
              <w:t xml:space="preserve">    </w:t>
            </w:r>
            <w:r w:rsidR="00BB35D7">
              <w:rPr>
                <w:rFonts w:ascii="Arial" w:hAnsi="Arial" w:cs="Arial"/>
                <w:szCs w:val="24"/>
              </w:rPr>
              <w:t xml:space="preserve"> </w:t>
            </w:r>
            <w:r w:rsidR="00D20CBA">
              <w:rPr>
                <w:rFonts w:ascii="Arial" w:hAnsi="Arial" w:cs="Arial"/>
                <w:szCs w:val="24"/>
              </w:rPr>
              <w:t>69,305,941</w:t>
            </w:r>
          </w:p>
        </w:tc>
        <w:tc>
          <w:tcPr>
            <w:tcW w:w="2274" w:type="dxa"/>
            <w:tcBorders>
              <w:top w:val="nil"/>
              <w:left w:val="nil"/>
              <w:bottom w:val="nil"/>
              <w:right w:val="nil"/>
            </w:tcBorders>
            <w:vAlign w:val="bottom"/>
          </w:tcPr>
          <w:p w:rsidR="004F21DE" w:rsidRPr="002C61BD" w:rsidRDefault="00BB35D7" w:rsidP="00D20CBA">
            <w:pPr>
              <w:ind w:right="-253"/>
              <w:jc w:val="center"/>
              <w:rPr>
                <w:rFonts w:ascii="Arial" w:hAnsi="Arial" w:cs="Arial"/>
                <w:szCs w:val="24"/>
              </w:rPr>
            </w:pPr>
            <w:r>
              <w:rPr>
                <w:rFonts w:ascii="Arial" w:hAnsi="Arial" w:cs="Arial"/>
                <w:szCs w:val="24"/>
              </w:rPr>
              <w:t xml:space="preserve"> </w:t>
            </w:r>
            <w:r w:rsidR="00D20CBA">
              <w:rPr>
                <w:rFonts w:ascii="Arial" w:hAnsi="Arial" w:cs="Arial"/>
                <w:szCs w:val="24"/>
              </w:rPr>
              <w:t>32,362,329</w:t>
            </w:r>
          </w:p>
        </w:tc>
        <w:tc>
          <w:tcPr>
            <w:tcW w:w="1980" w:type="dxa"/>
            <w:tcBorders>
              <w:top w:val="nil"/>
              <w:left w:val="nil"/>
              <w:bottom w:val="nil"/>
              <w:right w:val="nil"/>
            </w:tcBorders>
            <w:vAlign w:val="bottom"/>
          </w:tcPr>
          <w:p w:rsidR="004F21DE" w:rsidRPr="002C61BD" w:rsidRDefault="004F21DE" w:rsidP="00415A83">
            <w:pPr>
              <w:ind w:right="-113"/>
              <w:jc w:val="center"/>
              <w:rPr>
                <w:rFonts w:ascii="Arial" w:hAnsi="Arial" w:cs="Arial"/>
                <w:szCs w:val="24"/>
              </w:rPr>
            </w:pPr>
            <w:r>
              <w:rPr>
                <w:rFonts w:ascii="Arial" w:hAnsi="Arial" w:cs="Arial"/>
                <w:szCs w:val="24"/>
              </w:rPr>
              <w:t xml:space="preserve">   </w:t>
            </w:r>
            <w:r w:rsidR="00415A83">
              <w:rPr>
                <w:rFonts w:ascii="Arial" w:hAnsi="Arial" w:cs="Arial"/>
                <w:szCs w:val="24"/>
              </w:rPr>
              <w:t>36,943,612</w:t>
            </w:r>
          </w:p>
        </w:tc>
      </w:tr>
      <w:tr w:rsidR="004F21DE" w:rsidRPr="002C61BD" w:rsidTr="0058470E">
        <w:trPr>
          <w:trHeight w:val="288"/>
          <w:jc w:val="center"/>
        </w:trPr>
        <w:tc>
          <w:tcPr>
            <w:tcW w:w="2138" w:type="dxa"/>
            <w:tcBorders>
              <w:top w:val="nil"/>
              <w:left w:val="nil"/>
              <w:bottom w:val="nil"/>
              <w:right w:val="nil"/>
            </w:tcBorders>
            <w:shd w:val="clear" w:color="auto" w:fill="auto"/>
            <w:noWrap/>
            <w:vAlign w:val="bottom"/>
          </w:tcPr>
          <w:p w:rsidR="004F21DE" w:rsidRPr="002C61BD" w:rsidRDefault="004F21DE" w:rsidP="009D0E10">
            <w:pPr>
              <w:rPr>
                <w:rFonts w:ascii="Arial" w:hAnsi="Arial" w:cs="Arial"/>
                <w:szCs w:val="24"/>
              </w:rPr>
            </w:pPr>
          </w:p>
        </w:tc>
        <w:tc>
          <w:tcPr>
            <w:tcW w:w="2455" w:type="dxa"/>
            <w:tcBorders>
              <w:top w:val="nil"/>
              <w:left w:val="nil"/>
              <w:bottom w:val="nil"/>
              <w:right w:val="nil"/>
            </w:tcBorders>
            <w:shd w:val="clear" w:color="auto" w:fill="auto"/>
            <w:noWrap/>
            <w:vAlign w:val="bottom"/>
          </w:tcPr>
          <w:p w:rsidR="004F21DE" w:rsidRPr="002C61BD" w:rsidRDefault="004F21DE" w:rsidP="001A778A">
            <w:pPr>
              <w:jc w:val="center"/>
              <w:rPr>
                <w:rFonts w:ascii="Arial" w:hAnsi="Arial" w:cs="Arial"/>
                <w:szCs w:val="24"/>
              </w:rPr>
            </w:pPr>
          </w:p>
        </w:tc>
        <w:tc>
          <w:tcPr>
            <w:tcW w:w="2274" w:type="dxa"/>
            <w:tcBorders>
              <w:top w:val="nil"/>
              <w:left w:val="nil"/>
              <w:bottom w:val="nil"/>
              <w:right w:val="nil"/>
            </w:tcBorders>
            <w:vAlign w:val="bottom"/>
          </w:tcPr>
          <w:p w:rsidR="004F21DE" w:rsidRPr="002C61BD" w:rsidRDefault="004F21DE" w:rsidP="001A778A">
            <w:pPr>
              <w:jc w:val="center"/>
              <w:rPr>
                <w:rFonts w:ascii="Arial" w:hAnsi="Arial" w:cs="Arial"/>
                <w:szCs w:val="24"/>
              </w:rPr>
            </w:pPr>
          </w:p>
        </w:tc>
        <w:tc>
          <w:tcPr>
            <w:tcW w:w="1980" w:type="dxa"/>
            <w:tcBorders>
              <w:top w:val="nil"/>
              <w:left w:val="nil"/>
              <w:bottom w:val="nil"/>
              <w:right w:val="nil"/>
            </w:tcBorders>
            <w:vAlign w:val="bottom"/>
          </w:tcPr>
          <w:p w:rsidR="004F21DE" w:rsidRPr="002C61BD" w:rsidRDefault="004F21DE" w:rsidP="00DF7BE0">
            <w:pPr>
              <w:jc w:val="center"/>
              <w:rPr>
                <w:rFonts w:ascii="Arial" w:hAnsi="Arial" w:cs="Arial"/>
                <w:szCs w:val="24"/>
              </w:rPr>
            </w:pPr>
          </w:p>
        </w:tc>
      </w:tr>
      <w:tr w:rsidR="004F21DE" w:rsidRPr="002C61BD" w:rsidTr="0058470E">
        <w:trPr>
          <w:trHeight w:val="288"/>
          <w:jc w:val="center"/>
        </w:trPr>
        <w:tc>
          <w:tcPr>
            <w:tcW w:w="2138" w:type="dxa"/>
            <w:tcBorders>
              <w:top w:val="nil"/>
              <w:left w:val="nil"/>
              <w:bottom w:val="nil"/>
              <w:right w:val="nil"/>
            </w:tcBorders>
            <w:shd w:val="clear" w:color="auto" w:fill="auto"/>
            <w:noWrap/>
            <w:vAlign w:val="bottom"/>
          </w:tcPr>
          <w:p w:rsidR="004F21DE" w:rsidRPr="002C61BD" w:rsidRDefault="004F21DE" w:rsidP="009D0E10">
            <w:pPr>
              <w:rPr>
                <w:rFonts w:ascii="Arial" w:hAnsi="Arial" w:cs="Arial"/>
                <w:szCs w:val="24"/>
              </w:rPr>
            </w:pPr>
            <w:r w:rsidRPr="002C61BD">
              <w:rPr>
                <w:rFonts w:ascii="Arial" w:hAnsi="Arial" w:cs="Arial"/>
                <w:szCs w:val="24"/>
              </w:rPr>
              <w:t>Industrial</w:t>
            </w:r>
          </w:p>
        </w:tc>
        <w:tc>
          <w:tcPr>
            <w:tcW w:w="2455" w:type="dxa"/>
            <w:tcBorders>
              <w:top w:val="nil"/>
              <w:left w:val="nil"/>
              <w:bottom w:val="nil"/>
              <w:right w:val="nil"/>
            </w:tcBorders>
            <w:shd w:val="clear" w:color="auto" w:fill="auto"/>
            <w:noWrap/>
            <w:vAlign w:val="bottom"/>
          </w:tcPr>
          <w:p w:rsidR="004F21DE" w:rsidRPr="002C61BD" w:rsidRDefault="004F21DE" w:rsidP="00C50097">
            <w:pPr>
              <w:jc w:val="center"/>
              <w:rPr>
                <w:rFonts w:ascii="Arial" w:hAnsi="Arial" w:cs="Arial"/>
                <w:szCs w:val="24"/>
              </w:rPr>
            </w:pPr>
            <w:r>
              <w:rPr>
                <w:rFonts w:ascii="Arial" w:hAnsi="Arial" w:cs="Arial"/>
                <w:szCs w:val="24"/>
              </w:rPr>
              <w:t xml:space="preserve">    </w:t>
            </w:r>
            <w:r w:rsidR="00BB35D7">
              <w:rPr>
                <w:rFonts w:ascii="Arial" w:hAnsi="Arial" w:cs="Arial"/>
                <w:szCs w:val="24"/>
              </w:rPr>
              <w:t xml:space="preserve"> </w:t>
            </w:r>
            <w:r w:rsidR="00C50097">
              <w:rPr>
                <w:rFonts w:ascii="Arial" w:hAnsi="Arial" w:cs="Arial"/>
                <w:szCs w:val="24"/>
              </w:rPr>
              <w:t>91,011,470</w:t>
            </w:r>
          </w:p>
        </w:tc>
        <w:tc>
          <w:tcPr>
            <w:tcW w:w="2274" w:type="dxa"/>
            <w:tcBorders>
              <w:top w:val="nil"/>
              <w:left w:val="nil"/>
              <w:bottom w:val="nil"/>
              <w:right w:val="nil"/>
            </w:tcBorders>
            <w:vAlign w:val="bottom"/>
          </w:tcPr>
          <w:p w:rsidR="004F21DE" w:rsidRPr="002C61BD" w:rsidRDefault="004F21DE" w:rsidP="00C50097">
            <w:pPr>
              <w:jc w:val="center"/>
              <w:rPr>
                <w:rFonts w:ascii="Arial" w:hAnsi="Arial" w:cs="Arial"/>
                <w:szCs w:val="24"/>
              </w:rPr>
            </w:pPr>
            <w:r>
              <w:rPr>
                <w:rFonts w:ascii="Arial" w:hAnsi="Arial" w:cs="Arial"/>
                <w:szCs w:val="24"/>
              </w:rPr>
              <w:t xml:space="preserve">   </w:t>
            </w:r>
            <w:r w:rsidR="00BB35D7">
              <w:rPr>
                <w:rFonts w:ascii="Arial" w:hAnsi="Arial" w:cs="Arial"/>
                <w:szCs w:val="24"/>
              </w:rPr>
              <w:t xml:space="preserve"> </w:t>
            </w:r>
            <w:r w:rsidR="00C50097">
              <w:rPr>
                <w:rFonts w:ascii="Arial" w:hAnsi="Arial" w:cs="Arial"/>
                <w:szCs w:val="24"/>
              </w:rPr>
              <w:t>60,237,768</w:t>
            </w:r>
          </w:p>
        </w:tc>
        <w:tc>
          <w:tcPr>
            <w:tcW w:w="1980" w:type="dxa"/>
            <w:tcBorders>
              <w:top w:val="nil"/>
              <w:left w:val="nil"/>
              <w:bottom w:val="nil"/>
              <w:right w:val="nil"/>
            </w:tcBorders>
            <w:vAlign w:val="bottom"/>
          </w:tcPr>
          <w:p w:rsidR="004F21DE" w:rsidRPr="002C61BD" w:rsidRDefault="004F21DE" w:rsidP="00C50097">
            <w:pPr>
              <w:jc w:val="center"/>
              <w:rPr>
                <w:rFonts w:ascii="Arial" w:hAnsi="Arial" w:cs="Arial"/>
                <w:szCs w:val="24"/>
              </w:rPr>
            </w:pPr>
            <w:r>
              <w:rPr>
                <w:rFonts w:ascii="Arial" w:hAnsi="Arial" w:cs="Arial"/>
                <w:szCs w:val="24"/>
              </w:rPr>
              <w:t xml:space="preserve">   </w:t>
            </w:r>
            <w:r w:rsidR="00BB35D7">
              <w:rPr>
                <w:rFonts w:ascii="Arial" w:hAnsi="Arial" w:cs="Arial"/>
                <w:szCs w:val="24"/>
              </w:rPr>
              <w:t xml:space="preserve"> </w:t>
            </w:r>
            <w:r w:rsidR="00C50097">
              <w:rPr>
                <w:rFonts w:ascii="Arial" w:hAnsi="Arial" w:cs="Arial"/>
                <w:szCs w:val="24"/>
              </w:rPr>
              <w:t>30,773,702</w:t>
            </w:r>
          </w:p>
        </w:tc>
      </w:tr>
      <w:tr w:rsidR="004F21DE" w:rsidRPr="002C61BD" w:rsidTr="0058470E">
        <w:trPr>
          <w:trHeight w:val="288"/>
          <w:jc w:val="center"/>
        </w:trPr>
        <w:tc>
          <w:tcPr>
            <w:tcW w:w="2138" w:type="dxa"/>
            <w:tcBorders>
              <w:top w:val="nil"/>
              <w:left w:val="nil"/>
              <w:bottom w:val="nil"/>
              <w:right w:val="nil"/>
            </w:tcBorders>
            <w:shd w:val="clear" w:color="auto" w:fill="auto"/>
            <w:noWrap/>
            <w:vAlign w:val="bottom"/>
          </w:tcPr>
          <w:p w:rsidR="004F21DE" w:rsidRPr="002C61BD" w:rsidRDefault="004F21DE" w:rsidP="009D0E10">
            <w:pPr>
              <w:rPr>
                <w:rFonts w:ascii="Arial" w:hAnsi="Arial" w:cs="Arial"/>
                <w:szCs w:val="24"/>
              </w:rPr>
            </w:pPr>
          </w:p>
        </w:tc>
        <w:tc>
          <w:tcPr>
            <w:tcW w:w="2455" w:type="dxa"/>
            <w:tcBorders>
              <w:top w:val="nil"/>
              <w:left w:val="nil"/>
              <w:bottom w:val="nil"/>
              <w:right w:val="nil"/>
            </w:tcBorders>
            <w:shd w:val="clear" w:color="auto" w:fill="auto"/>
            <w:noWrap/>
            <w:vAlign w:val="bottom"/>
          </w:tcPr>
          <w:p w:rsidR="004F21DE" w:rsidRPr="002C61BD" w:rsidRDefault="004F21DE" w:rsidP="001A778A">
            <w:pPr>
              <w:jc w:val="center"/>
              <w:rPr>
                <w:rFonts w:ascii="Arial" w:hAnsi="Arial" w:cs="Arial"/>
                <w:szCs w:val="24"/>
              </w:rPr>
            </w:pPr>
          </w:p>
        </w:tc>
        <w:tc>
          <w:tcPr>
            <w:tcW w:w="2274" w:type="dxa"/>
            <w:tcBorders>
              <w:top w:val="nil"/>
              <w:left w:val="nil"/>
              <w:bottom w:val="nil"/>
              <w:right w:val="nil"/>
            </w:tcBorders>
            <w:vAlign w:val="bottom"/>
          </w:tcPr>
          <w:p w:rsidR="004F21DE" w:rsidRPr="002C61BD" w:rsidRDefault="004F21DE" w:rsidP="001A778A">
            <w:pPr>
              <w:jc w:val="center"/>
              <w:rPr>
                <w:rFonts w:ascii="Arial" w:hAnsi="Arial" w:cs="Arial"/>
                <w:szCs w:val="24"/>
              </w:rPr>
            </w:pPr>
          </w:p>
        </w:tc>
        <w:tc>
          <w:tcPr>
            <w:tcW w:w="1980" w:type="dxa"/>
            <w:tcBorders>
              <w:top w:val="nil"/>
              <w:left w:val="nil"/>
              <w:bottom w:val="nil"/>
              <w:right w:val="nil"/>
            </w:tcBorders>
            <w:vAlign w:val="bottom"/>
          </w:tcPr>
          <w:p w:rsidR="004F21DE" w:rsidRPr="002C61BD" w:rsidRDefault="004F21DE" w:rsidP="00DF7BE0">
            <w:pPr>
              <w:jc w:val="center"/>
              <w:rPr>
                <w:rFonts w:ascii="Arial" w:hAnsi="Arial" w:cs="Arial"/>
                <w:szCs w:val="24"/>
              </w:rPr>
            </w:pPr>
          </w:p>
        </w:tc>
      </w:tr>
      <w:tr w:rsidR="004F21DE" w:rsidRPr="002C61BD" w:rsidTr="0058470E">
        <w:trPr>
          <w:trHeight w:val="288"/>
          <w:jc w:val="center"/>
        </w:trPr>
        <w:tc>
          <w:tcPr>
            <w:tcW w:w="2138" w:type="dxa"/>
            <w:tcBorders>
              <w:top w:val="nil"/>
              <w:left w:val="nil"/>
              <w:bottom w:val="nil"/>
              <w:right w:val="nil"/>
            </w:tcBorders>
            <w:shd w:val="clear" w:color="auto" w:fill="auto"/>
            <w:noWrap/>
            <w:vAlign w:val="bottom"/>
          </w:tcPr>
          <w:p w:rsidR="004F21DE" w:rsidRDefault="004F21DE" w:rsidP="009D0E10">
            <w:pPr>
              <w:rPr>
                <w:rFonts w:ascii="Arial" w:hAnsi="Arial" w:cs="Arial"/>
                <w:szCs w:val="24"/>
              </w:rPr>
            </w:pPr>
            <w:r w:rsidRPr="002C61BD">
              <w:rPr>
                <w:rFonts w:ascii="Arial" w:hAnsi="Arial" w:cs="Arial"/>
                <w:szCs w:val="24"/>
              </w:rPr>
              <w:t>Street Lighting</w:t>
            </w:r>
          </w:p>
          <w:p w:rsidR="004F21DE" w:rsidRPr="002C61BD" w:rsidRDefault="004F21DE" w:rsidP="009D0E10">
            <w:pPr>
              <w:rPr>
                <w:rFonts w:ascii="Arial" w:hAnsi="Arial" w:cs="Arial"/>
                <w:szCs w:val="24"/>
              </w:rPr>
            </w:pPr>
          </w:p>
        </w:tc>
        <w:tc>
          <w:tcPr>
            <w:tcW w:w="2455" w:type="dxa"/>
            <w:tcBorders>
              <w:top w:val="nil"/>
              <w:left w:val="nil"/>
              <w:bottom w:val="nil"/>
              <w:right w:val="nil"/>
            </w:tcBorders>
            <w:shd w:val="clear" w:color="auto" w:fill="auto"/>
            <w:noWrap/>
            <w:vAlign w:val="bottom"/>
          </w:tcPr>
          <w:p w:rsidR="004F21DE" w:rsidRPr="00BB35D7" w:rsidRDefault="004F21DE" w:rsidP="00BB35D7">
            <w:pPr>
              <w:jc w:val="center"/>
              <w:rPr>
                <w:rFonts w:ascii="Arial" w:hAnsi="Arial" w:cs="Arial"/>
                <w:szCs w:val="24"/>
                <w:u w:val="single"/>
              </w:rPr>
            </w:pPr>
            <w:r w:rsidRPr="00BB35D7">
              <w:rPr>
                <w:rFonts w:ascii="Arial" w:hAnsi="Arial" w:cs="Arial"/>
                <w:szCs w:val="24"/>
                <w:u w:val="single"/>
              </w:rPr>
              <w:t xml:space="preserve">      </w:t>
            </w:r>
            <w:r w:rsidR="00BB35D7">
              <w:rPr>
                <w:rFonts w:ascii="Arial" w:hAnsi="Arial" w:cs="Arial"/>
                <w:szCs w:val="24"/>
                <w:u w:val="single"/>
              </w:rPr>
              <w:t xml:space="preserve"> </w:t>
            </w:r>
            <w:r w:rsidR="00C50097">
              <w:rPr>
                <w:rFonts w:ascii="Arial" w:hAnsi="Arial" w:cs="Arial"/>
                <w:szCs w:val="24"/>
                <w:u w:val="single"/>
              </w:rPr>
              <w:t>5,39</w:t>
            </w:r>
            <w:r w:rsidR="00B723BB">
              <w:rPr>
                <w:rFonts w:ascii="Arial" w:hAnsi="Arial" w:cs="Arial"/>
                <w:szCs w:val="24"/>
                <w:u w:val="single"/>
              </w:rPr>
              <w:t>5</w:t>
            </w:r>
            <w:r w:rsidR="00C50097">
              <w:rPr>
                <w:rFonts w:ascii="Arial" w:hAnsi="Arial" w:cs="Arial"/>
                <w:szCs w:val="24"/>
                <w:u w:val="single"/>
              </w:rPr>
              <w:t>,236</w:t>
            </w:r>
          </w:p>
          <w:p w:rsidR="004F21DE" w:rsidRPr="002C61BD" w:rsidRDefault="004F21DE" w:rsidP="001A778A">
            <w:pPr>
              <w:jc w:val="center"/>
              <w:rPr>
                <w:rFonts w:ascii="Arial" w:hAnsi="Arial" w:cs="Arial"/>
                <w:szCs w:val="24"/>
              </w:rPr>
            </w:pPr>
          </w:p>
        </w:tc>
        <w:tc>
          <w:tcPr>
            <w:tcW w:w="2274" w:type="dxa"/>
            <w:tcBorders>
              <w:top w:val="nil"/>
              <w:left w:val="nil"/>
              <w:bottom w:val="nil"/>
              <w:right w:val="nil"/>
            </w:tcBorders>
            <w:vAlign w:val="bottom"/>
          </w:tcPr>
          <w:p w:rsidR="004F21DE" w:rsidRPr="00BB35D7" w:rsidRDefault="004F21DE" w:rsidP="0058470E">
            <w:pPr>
              <w:ind w:right="265"/>
              <w:jc w:val="center"/>
              <w:rPr>
                <w:rFonts w:ascii="Arial" w:hAnsi="Arial" w:cs="Arial"/>
                <w:szCs w:val="24"/>
                <w:u w:val="single"/>
              </w:rPr>
            </w:pPr>
            <w:r w:rsidRPr="0058470E">
              <w:rPr>
                <w:rFonts w:ascii="Arial" w:hAnsi="Arial" w:cs="Arial"/>
                <w:szCs w:val="24"/>
              </w:rPr>
              <w:t xml:space="preserve">  </w:t>
            </w:r>
            <w:r w:rsidR="0058470E" w:rsidRPr="0058470E">
              <w:rPr>
                <w:rFonts w:ascii="Arial" w:hAnsi="Arial" w:cs="Arial"/>
                <w:szCs w:val="24"/>
              </w:rPr>
              <w:t xml:space="preserve"> </w:t>
            </w:r>
            <w:r w:rsidRPr="00BB35D7">
              <w:rPr>
                <w:rFonts w:ascii="Arial" w:hAnsi="Arial" w:cs="Arial"/>
                <w:szCs w:val="24"/>
                <w:u w:val="single"/>
              </w:rPr>
              <w:t xml:space="preserve">  </w:t>
            </w:r>
            <w:r w:rsidR="00BB35D7">
              <w:rPr>
                <w:rFonts w:ascii="Arial" w:hAnsi="Arial" w:cs="Arial"/>
                <w:szCs w:val="24"/>
                <w:u w:val="single"/>
              </w:rPr>
              <w:t xml:space="preserve"> </w:t>
            </w:r>
            <w:r w:rsidR="0058470E">
              <w:rPr>
                <w:rFonts w:ascii="Arial" w:hAnsi="Arial" w:cs="Arial"/>
                <w:szCs w:val="24"/>
                <w:u w:val="single"/>
              </w:rPr>
              <w:t xml:space="preserve">    </w:t>
            </w:r>
            <w:r w:rsidR="00C50097">
              <w:rPr>
                <w:rFonts w:ascii="Arial" w:hAnsi="Arial" w:cs="Arial"/>
                <w:szCs w:val="24"/>
                <w:u w:val="single"/>
              </w:rPr>
              <w:t>4,011,224</w:t>
            </w:r>
          </w:p>
          <w:p w:rsidR="004F21DE" w:rsidRPr="002C61BD" w:rsidRDefault="004F21DE" w:rsidP="001A778A">
            <w:pPr>
              <w:ind w:right="-73"/>
              <w:jc w:val="center"/>
              <w:rPr>
                <w:rFonts w:ascii="Arial" w:hAnsi="Arial" w:cs="Arial"/>
                <w:szCs w:val="24"/>
              </w:rPr>
            </w:pPr>
          </w:p>
        </w:tc>
        <w:tc>
          <w:tcPr>
            <w:tcW w:w="1980" w:type="dxa"/>
            <w:tcBorders>
              <w:top w:val="nil"/>
              <w:left w:val="nil"/>
              <w:bottom w:val="nil"/>
              <w:right w:val="nil"/>
            </w:tcBorders>
            <w:vAlign w:val="bottom"/>
          </w:tcPr>
          <w:p w:rsidR="004F21DE" w:rsidRPr="00BB35D7" w:rsidRDefault="00C50097" w:rsidP="00DF7BE0">
            <w:pPr>
              <w:jc w:val="center"/>
              <w:rPr>
                <w:rFonts w:ascii="Arial" w:hAnsi="Arial" w:cs="Arial"/>
                <w:szCs w:val="24"/>
                <w:u w:val="single"/>
              </w:rPr>
            </w:pPr>
            <w:r>
              <w:rPr>
                <w:rFonts w:ascii="Arial" w:hAnsi="Arial" w:cs="Arial"/>
                <w:szCs w:val="24"/>
                <w:u w:val="single"/>
              </w:rPr>
              <w:t xml:space="preserve">     1,38</w:t>
            </w:r>
            <w:r w:rsidR="00B723BB">
              <w:rPr>
                <w:rFonts w:ascii="Arial" w:hAnsi="Arial" w:cs="Arial"/>
                <w:szCs w:val="24"/>
                <w:u w:val="single"/>
              </w:rPr>
              <w:t>4</w:t>
            </w:r>
            <w:r>
              <w:rPr>
                <w:rFonts w:ascii="Arial" w:hAnsi="Arial" w:cs="Arial"/>
                <w:szCs w:val="24"/>
                <w:u w:val="single"/>
              </w:rPr>
              <w:t>,012</w:t>
            </w:r>
          </w:p>
          <w:p w:rsidR="004F21DE" w:rsidRPr="002C61BD" w:rsidRDefault="004F21DE" w:rsidP="00DF7BE0">
            <w:pPr>
              <w:jc w:val="center"/>
              <w:rPr>
                <w:rFonts w:ascii="Arial" w:hAnsi="Arial" w:cs="Arial"/>
                <w:szCs w:val="24"/>
              </w:rPr>
            </w:pPr>
          </w:p>
        </w:tc>
      </w:tr>
      <w:tr w:rsidR="004F21DE" w:rsidRPr="002C61BD" w:rsidTr="0058470E">
        <w:trPr>
          <w:trHeight w:val="288"/>
          <w:jc w:val="center"/>
        </w:trPr>
        <w:tc>
          <w:tcPr>
            <w:tcW w:w="2138" w:type="dxa"/>
            <w:tcBorders>
              <w:top w:val="nil"/>
              <w:left w:val="nil"/>
              <w:bottom w:val="nil"/>
              <w:right w:val="nil"/>
            </w:tcBorders>
            <w:shd w:val="clear" w:color="auto" w:fill="auto"/>
            <w:noWrap/>
            <w:vAlign w:val="bottom"/>
          </w:tcPr>
          <w:p w:rsidR="004F21DE" w:rsidRPr="002C61BD" w:rsidRDefault="002A40DA" w:rsidP="009D0E10">
            <w:pPr>
              <w:rPr>
                <w:rFonts w:ascii="Arial" w:hAnsi="Arial" w:cs="Arial"/>
                <w:szCs w:val="24"/>
              </w:rPr>
            </w:pPr>
            <w:r>
              <w:rPr>
                <w:rFonts w:ascii="Arial" w:hAnsi="Arial" w:cs="Arial"/>
                <w:szCs w:val="24"/>
              </w:rPr>
              <w:t xml:space="preserve">     </w:t>
            </w:r>
            <w:r w:rsidR="004F21DE" w:rsidRPr="002C61BD">
              <w:rPr>
                <w:rFonts w:ascii="Arial" w:hAnsi="Arial" w:cs="Arial"/>
                <w:szCs w:val="24"/>
              </w:rPr>
              <w:t>Totals</w:t>
            </w:r>
          </w:p>
        </w:tc>
        <w:tc>
          <w:tcPr>
            <w:tcW w:w="2455" w:type="dxa"/>
            <w:tcBorders>
              <w:top w:val="nil"/>
              <w:left w:val="nil"/>
              <w:bottom w:val="nil"/>
              <w:right w:val="nil"/>
            </w:tcBorders>
            <w:shd w:val="clear" w:color="auto" w:fill="auto"/>
            <w:noWrap/>
            <w:vAlign w:val="bottom"/>
          </w:tcPr>
          <w:p w:rsidR="004F21DE" w:rsidRPr="00BB35D7" w:rsidRDefault="004F21DE" w:rsidP="00B723BB">
            <w:pPr>
              <w:jc w:val="center"/>
              <w:rPr>
                <w:rFonts w:ascii="Arial" w:hAnsi="Arial" w:cs="Arial"/>
                <w:szCs w:val="24"/>
                <w:u w:val="double"/>
              </w:rPr>
            </w:pPr>
            <w:r w:rsidRPr="00BB35D7">
              <w:rPr>
                <w:rFonts w:ascii="Arial" w:hAnsi="Arial" w:cs="Arial"/>
                <w:szCs w:val="24"/>
                <w:u w:val="double"/>
              </w:rPr>
              <w:t xml:space="preserve">$ </w:t>
            </w:r>
            <w:r w:rsidR="006014F0">
              <w:rPr>
                <w:rFonts w:ascii="Arial" w:hAnsi="Arial" w:cs="Arial"/>
                <w:szCs w:val="24"/>
                <w:u w:val="double"/>
              </w:rPr>
              <w:t>307,10</w:t>
            </w:r>
            <w:r w:rsidR="00B723BB">
              <w:rPr>
                <w:rFonts w:ascii="Arial" w:hAnsi="Arial" w:cs="Arial"/>
                <w:szCs w:val="24"/>
                <w:u w:val="double"/>
              </w:rPr>
              <w:t>1</w:t>
            </w:r>
            <w:r w:rsidR="006014F0">
              <w:rPr>
                <w:rFonts w:ascii="Arial" w:hAnsi="Arial" w:cs="Arial"/>
                <w:szCs w:val="24"/>
                <w:u w:val="double"/>
              </w:rPr>
              <w:t>,678</w:t>
            </w:r>
          </w:p>
        </w:tc>
        <w:tc>
          <w:tcPr>
            <w:tcW w:w="2274" w:type="dxa"/>
            <w:tcBorders>
              <w:top w:val="nil"/>
              <w:left w:val="nil"/>
              <w:bottom w:val="nil"/>
              <w:right w:val="nil"/>
            </w:tcBorders>
            <w:vAlign w:val="bottom"/>
          </w:tcPr>
          <w:p w:rsidR="004F21DE" w:rsidRPr="00BB35D7" w:rsidRDefault="004F21DE" w:rsidP="006014F0">
            <w:pPr>
              <w:jc w:val="center"/>
              <w:rPr>
                <w:rFonts w:ascii="Arial" w:hAnsi="Arial" w:cs="Arial"/>
                <w:szCs w:val="24"/>
                <w:u w:val="double"/>
              </w:rPr>
            </w:pPr>
            <w:r w:rsidRPr="00BB35D7">
              <w:rPr>
                <w:rFonts w:ascii="Arial" w:hAnsi="Arial" w:cs="Arial"/>
                <w:szCs w:val="24"/>
                <w:u w:val="double"/>
              </w:rPr>
              <w:t xml:space="preserve">$ </w:t>
            </w:r>
            <w:r w:rsidR="006014F0">
              <w:rPr>
                <w:rFonts w:ascii="Arial" w:hAnsi="Arial" w:cs="Arial"/>
                <w:szCs w:val="24"/>
                <w:u w:val="double"/>
              </w:rPr>
              <w:t>226,436,316</w:t>
            </w:r>
          </w:p>
        </w:tc>
        <w:tc>
          <w:tcPr>
            <w:tcW w:w="1980" w:type="dxa"/>
            <w:tcBorders>
              <w:top w:val="nil"/>
              <w:left w:val="nil"/>
              <w:bottom w:val="nil"/>
              <w:right w:val="nil"/>
            </w:tcBorders>
            <w:vAlign w:val="bottom"/>
          </w:tcPr>
          <w:p w:rsidR="004F21DE" w:rsidRPr="00BB35D7" w:rsidRDefault="004F21DE" w:rsidP="0058470E">
            <w:pPr>
              <w:jc w:val="center"/>
              <w:rPr>
                <w:rFonts w:ascii="Arial" w:hAnsi="Arial" w:cs="Arial"/>
                <w:szCs w:val="24"/>
                <w:u w:val="double"/>
              </w:rPr>
            </w:pPr>
            <w:r w:rsidRPr="00BB35D7">
              <w:rPr>
                <w:rFonts w:ascii="Arial" w:hAnsi="Arial" w:cs="Arial"/>
                <w:szCs w:val="24"/>
              </w:rPr>
              <w:t xml:space="preserve"> </w:t>
            </w:r>
            <w:r w:rsidR="00BB35D7">
              <w:rPr>
                <w:rFonts w:ascii="Arial" w:hAnsi="Arial" w:cs="Arial"/>
                <w:szCs w:val="24"/>
                <w:u w:val="double"/>
              </w:rPr>
              <w:t xml:space="preserve">$ </w:t>
            </w:r>
            <w:r w:rsidR="0058470E">
              <w:rPr>
                <w:rFonts w:ascii="Arial" w:hAnsi="Arial" w:cs="Arial"/>
                <w:szCs w:val="24"/>
                <w:u w:val="double"/>
              </w:rPr>
              <w:t xml:space="preserve"> </w:t>
            </w:r>
            <w:r w:rsidR="00B723BB">
              <w:rPr>
                <w:rFonts w:ascii="Arial" w:hAnsi="Arial" w:cs="Arial"/>
                <w:szCs w:val="24"/>
                <w:u w:val="double"/>
              </w:rPr>
              <w:t>80,665,362</w:t>
            </w:r>
          </w:p>
        </w:tc>
      </w:tr>
      <w:tr w:rsidR="004F21DE" w:rsidRPr="002C61BD" w:rsidTr="0058470E">
        <w:trPr>
          <w:trHeight w:val="288"/>
          <w:jc w:val="center"/>
        </w:trPr>
        <w:tc>
          <w:tcPr>
            <w:tcW w:w="2138" w:type="dxa"/>
            <w:tcBorders>
              <w:top w:val="nil"/>
              <w:left w:val="nil"/>
              <w:bottom w:val="nil"/>
              <w:right w:val="nil"/>
            </w:tcBorders>
            <w:shd w:val="clear" w:color="auto" w:fill="auto"/>
            <w:vAlign w:val="bottom"/>
          </w:tcPr>
          <w:p w:rsidR="004F21DE" w:rsidRPr="002C61BD" w:rsidRDefault="004F21DE" w:rsidP="009D0E10">
            <w:pPr>
              <w:rPr>
                <w:rFonts w:ascii="Arial" w:hAnsi="Arial" w:cs="Arial"/>
                <w:szCs w:val="24"/>
              </w:rPr>
            </w:pPr>
          </w:p>
        </w:tc>
        <w:tc>
          <w:tcPr>
            <w:tcW w:w="2455" w:type="dxa"/>
            <w:tcBorders>
              <w:left w:val="nil"/>
              <w:right w:val="nil"/>
            </w:tcBorders>
            <w:shd w:val="clear" w:color="auto" w:fill="auto"/>
            <w:noWrap/>
            <w:vAlign w:val="bottom"/>
          </w:tcPr>
          <w:p w:rsidR="004F21DE" w:rsidRPr="00DF7BE0" w:rsidRDefault="004F21DE" w:rsidP="00DF7BE0">
            <w:pPr>
              <w:jc w:val="center"/>
              <w:rPr>
                <w:rFonts w:ascii="Arial" w:hAnsi="Arial" w:cs="Arial"/>
                <w:szCs w:val="24"/>
                <w:u w:val="double"/>
              </w:rPr>
            </w:pPr>
          </w:p>
        </w:tc>
        <w:tc>
          <w:tcPr>
            <w:tcW w:w="2274" w:type="dxa"/>
            <w:tcBorders>
              <w:left w:val="nil"/>
              <w:right w:val="nil"/>
            </w:tcBorders>
          </w:tcPr>
          <w:p w:rsidR="004F21DE" w:rsidRPr="004714C1" w:rsidRDefault="004F21DE" w:rsidP="00DF7BE0">
            <w:pPr>
              <w:jc w:val="center"/>
              <w:rPr>
                <w:rFonts w:ascii="Arial" w:hAnsi="Arial" w:cs="Arial"/>
                <w:szCs w:val="24"/>
                <w:highlight w:val="yellow"/>
                <w:u w:val="double"/>
              </w:rPr>
            </w:pPr>
          </w:p>
        </w:tc>
        <w:tc>
          <w:tcPr>
            <w:tcW w:w="1980" w:type="dxa"/>
            <w:tcBorders>
              <w:left w:val="nil"/>
              <w:right w:val="nil"/>
            </w:tcBorders>
            <w:vAlign w:val="bottom"/>
          </w:tcPr>
          <w:p w:rsidR="004F21DE" w:rsidRPr="004714C1" w:rsidRDefault="004F21DE" w:rsidP="00DF7BE0">
            <w:pPr>
              <w:jc w:val="center"/>
              <w:rPr>
                <w:rFonts w:ascii="Arial" w:hAnsi="Arial" w:cs="Arial"/>
                <w:szCs w:val="24"/>
                <w:highlight w:val="yellow"/>
                <w:u w:val="double"/>
              </w:rPr>
            </w:pPr>
          </w:p>
        </w:tc>
      </w:tr>
      <w:tr w:rsidR="004F21DE" w:rsidRPr="002C61BD" w:rsidTr="0058470E">
        <w:trPr>
          <w:trHeight w:val="288"/>
          <w:jc w:val="center"/>
        </w:trPr>
        <w:tc>
          <w:tcPr>
            <w:tcW w:w="2138" w:type="dxa"/>
            <w:tcBorders>
              <w:top w:val="nil"/>
              <w:left w:val="nil"/>
              <w:bottom w:val="nil"/>
              <w:right w:val="nil"/>
            </w:tcBorders>
            <w:shd w:val="clear" w:color="auto" w:fill="auto"/>
            <w:noWrap/>
            <w:vAlign w:val="bottom"/>
          </w:tcPr>
          <w:p w:rsidR="004F21DE" w:rsidRPr="002C61BD" w:rsidRDefault="004F21DE" w:rsidP="009D0E10">
            <w:pPr>
              <w:rPr>
                <w:rFonts w:ascii="Arial" w:hAnsi="Arial" w:cs="Arial"/>
                <w:sz w:val="18"/>
                <w:szCs w:val="18"/>
              </w:rPr>
            </w:pPr>
          </w:p>
        </w:tc>
        <w:tc>
          <w:tcPr>
            <w:tcW w:w="2455" w:type="dxa"/>
            <w:tcBorders>
              <w:left w:val="nil"/>
              <w:right w:val="nil"/>
            </w:tcBorders>
            <w:shd w:val="clear" w:color="auto" w:fill="auto"/>
            <w:noWrap/>
            <w:vAlign w:val="bottom"/>
          </w:tcPr>
          <w:p w:rsidR="004F21DE" w:rsidRPr="002C61BD" w:rsidRDefault="004F21DE" w:rsidP="009D0E10">
            <w:pPr>
              <w:rPr>
                <w:rFonts w:ascii="Arial" w:hAnsi="Arial" w:cs="Arial"/>
                <w:sz w:val="18"/>
                <w:szCs w:val="18"/>
              </w:rPr>
            </w:pPr>
          </w:p>
        </w:tc>
        <w:tc>
          <w:tcPr>
            <w:tcW w:w="2274" w:type="dxa"/>
            <w:tcBorders>
              <w:left w:val="nil"/>
              <w:right w:val="nil"/>
            </w:tcBorders>
          </w:tcPr>
          <w:p w:rsidR="004F21DE" w:rsidRPr="002C61BD" w:rsidRDefault="004F21DE" w:rsidP="009D0E10">
            <w:pPr>
              <w:jc w:val="center"/>
              <w:rPr>
                <w:rFonts w:ascii="Arial" w:hAnsi="Arial" w:cs="Arial"/>
                <w:bCs/>
                <w:sz w:val="18"/>
                <w:szCs w:val="18"/>
              </w:rPr>
            </w:pPr>
          </w:p>
        </w:tc>
        <w:tc>
          <w:tcPr>
            <w:tcW w:w="1980" w:type="dxa"/>
            <w:tcBorders>
              <w:left w:val="nil"/>
              <w:right w:val="nil"/>
            </w:tcBorders>
          </w:tcPr>
          <w:p w:rsidR="004F21DE" w:rsidRPr="002C61BD" w:rsidRDefault="004F21DE" w:rsidP="009D0E10">
            <w:pPr>
              <w:tabs>
                <w:tab w:val="decimal" w:pos="1727"/>
              </w:tabs>
              <w:rPr>
                <w:rFonts w:ascii="Arial" w:hAnsi="Arial" w:cs="Arial"/>
                <w:sz w:val="18"/>
                <w:szCs w:val="18"/>
              </w:rPr>
            </w:pPr>
          </w:p>
        </w:tc>
      </w:tr>
    </w:tbl>
    <w:p w:rsidR="006034E3" w:rsidRPr="002C61BD" w:rsidRDefault="006034E3" w:rsidP="00BB35D7">
      <w:pPr>
        <w:tabs>
          <w:tab w:val="center" w:pos="4680"/>
        </w:tabs>
        <w:suppressAutoHyphens/>
        <w:rPr>
          <w:rFonts w:ascii="Arial" w:hAnsi="Arial" w:cs="Arial"/>
          <w:sz w:val="22"/>
          <w:szCs w:val="22"/>
        </w:rPr>
      </w:pPr>
    </w:p>
    <w:p w:rsidR="006034E3" w:rsidRPr="002C61BD" w:rsidRDefault="006034E3" w:rsidP="006034E3">
      <w:pPr>
        <w:tabs>
          <w:tab w:val="center" w:pos="4680"/>
        </w:tabs>
        <w:suppressAutoHyphens/>
        <w:rPr>
          <w:rFonts w:ascii="Arial" w:hAnsi="Arial" w:cs="Arial"/>
          <w:szCs w:val="24"/>
        </w:rPr>
      </w:pPr>
    </w:p>
    <w:p w:rsidR="002A5207" w:rsidRPr="002C61BD" w:rsidRDefault="002A5207" w:rsidP="006034E3">
      <w:pPr>
        <w:tabs>
          <w:tab w:val="center" w:pos="4680"/>
        </w:tabs>
        <w:suppressAutoHyphens/>
        <w:rPr>
          <w:rFonts w:ascii="Arial" w:hAnsi="Arial" w:cs="Arial"/>
          <w:szCs w:val="24"/>
        </w:rPr>
      </w:pPr>
    </w:p>
    <w:p w:rsidR="00DE100D" w:rsidRDefault="00DE100D" w:rsidP="006034E3">
      <w:pPr>
        <w:tabs>
          <w:tab w:val="center" w:pos="4680"/>
        </w:tabs>
        <w:suppressAutoHyphens/>
        <w:rPr>
          <w:rFonts w:ascii="Arial" w:hAnsi="Arial" w:cs="Arial"/>
          <w:szCs w:val="24"/>
        </w:rPr>
      </w:pPr>
    </w:p>
    <w:p w:rsidR="002A5207" w:rsidRDefault="002A5207" w:rsidP="00061E21">
      <w:pPr>
        <w:tabs>
          <w:tab w:val="center" w:pos="4680"/>
        </w:tabs>
        <w:suppressAutoHyphens/>
        <w:ind w:left="270"/>
        <w:rPr>
          <w:rFonts w:ascii="Arial" w:hAnsi="Arial" w:cs="Arial"/>
          <w:szCs w:val="24"/>
        </w:rPr>
      </w:pPr>
      <w:r w:rsidRPr="002C61BD">
        <w:rPr>
          <w:rFonts w:ascii="Arial" w:hAnsi="Arial" w:cs="Arial"/>
          <w:szCs w:val="24"/>
        </w:rPr>
        <w:t xml:space="preserve">* </w:t>
      </w:r>
      <w:r w:rsidR="00AB2F09">
        <w:rPr>
          <w:rFonts w:ascii="Arial" w:hAnsi="Arial" w:cs="Arial"/>
          <w:szCs w:val="24"/>
        </w:rPr>
        <w:t xml:space="preserve">- </w:t>
      </w:r>
      <w:r w:rsidR="00776A05">
        <w:rPr>
          <w:rFonts w:ascii="Arial" w:hAnsi="Arial" w:cs="Arial"/>
          <w:szCs w:val="24"/>
        </w:rPr>
        <w:t>A</w:t>
      </w:r>
      <w:r w:rsidRPr="002C61BD">
        <w:rPr>
          <w:rFonts w:ascii="Arial" w:hAnsi="Arial" w:cs="Arial"/>
          <w:szCs w:val="24"/>
        </w:rPr>
        <w:t xml:space="preserve">s </w:t>
      </w:r>
      <w:r w:rsidR="002A097E">
        <w:rPr>
          <w:rFonts w:ascii="Arial" w:hAnsi="Arial" w:cs="Arial"/>
          <w:szCs w:val="24"/>
        </w:rPr>
        <w:t>reported to</w:t>
      </w:r>
      <w:r w:rsidR="00776A05">
        <w:rPr>
          <w:rFonts w:ascii="Arial" w:hAnsi="Arial" w:cs="Arial"/>
          <w:szCs w:val="24"/>
        </w:rPr>
        <w:t xml:space="preserve"> the Commission </w:t>
      </w:r>
      <w:r w:rsidRPr="002C61BD">
        <w:rPr>
          <w:rFonts w:ascii="Arial" w:hAnsi="Arial" w:cs="Arial"/>
          <w:szCs w:val="24"/>
        </w:rPr>
        <w:t xml:space="preserve">at Docket No. </w:t>
      </w:r>
      <w:proofErr w:type="gramStart"/>
      <w:r w:rsidRPr="00DE100D">
        <w:rPr>
          <w:rFonts w:ascii="Arial" w:hAnsi="Arial" w:cs="Arial"/>
          <w:szCs w:val="24"/>
        </w:rPr>
        <w:t>M-201</w:t>
      </w:r>
      <w:r w:rsidR="00D13C6A">
        <w:rPr>
          <w:rFonts w:ascii="Arial" w:hAnsi="Arial" w:cs="Arial"/>
          <w:szCs w:val="24"/>
        </w:rPr>
        <w:t>3</w:t>
      </w:r>
      <w:r w:rsidRPr="00DE100D">
        <w:rPr>
          <w:rFonts w:ascii="Arial" w:hAnsi="Arial" w:cs="Arial"/>
          <w:szCs w:val="24"/>
        </w:rPr>
        <w:t>-</w:t>
      </w:r>
      <w:r w:rsidR="00DE100D">
        <w:rPr>
          <w:rFonts w:ascii="Arial" w:hAnsi="Arial" w:cs="Arial"/>
          <w:szCs w:val="24"/>
        </w:rPr>
        <w:t>2</w:t>
      </w:r>
      <w:r w:rsidR="00D13C6A">
        <w:rPr>
          <w:rFonts w:ascii="Arial" w:hAnsi="Arial" w:cs="Arial"/>
          <w:szCs w:val="24"/>
        </w:rPr>
        <w:t>372785</w:t>
      </w:r>
      <w:r w:rsidR="003D0F37">
        <w:rPr>
          <w:rFonts w:ascii="Arial" w:hAnsi="Arial" w:cs="Arial"/>
          <w:szCs w:val="24"/>
        </w:rPr>
        <w:t>.</w:t>
      </w:r>
      <w:proofErr w:type="gramEnd"/>
    </w:p>
    <w:p w:rsidR="00CB7699" w:rsidRPr="002C61BD" w:rsidRDefault="00CB7699" w:rsidP="00061E21">
      <w:pPr>
        <w:tabs>
          <w:tab w:val="center" w:pos="4680"/>
        </w:tabs>
        <w:suppressAutoHyphens/>
        <w:ind w:left="270"/>
        <w:rPr>
          <w:rFonts w:ascii="Arial" w:hAnsi="Arial" w:cs="Arial"/>
          <w:szCs w:val="24"/>
        </w:rPr>
      </w:pPr>
    </w:p>
    <w:p w:rsidR="00012316" w:rsidRDefault="00012316" w:rsidP="00061E21">
      <w:pPr>
        <w:tabs>
          <w:tab w:val="center" w:pos="4680"/>
        </w:tabs>
        <w:suppressAutoHyphens/>
        <w:ind w:left="270"/>
        <w:rPr>
          <w:rFonts w:ascii="Arial" w:hAnsi="Arial" w:cs="Arial"/>
          <w:szCs w:val="24"/>
        </w:rPr>
      </w:pPr>
      <w:r w:rsidRPr="002C61BD">
        <w:rPr>
          <w:rFonts w:ascii="Arial" w:hAnsi="Arial" w:cs="Arial"/>
          <w:szCs w:val="24"/>
        </w:rPr>
        <w:t>Notes to the Financial Statement</w:t>
      </w:r>
      <w:r w:rsidR="00B76449">
        <w:rPr>
          <w:rFonts w:ascii="Arial" w:hAnsi="Arial" w:cs="Arial"/>
          <w:szCs w:val="24"/>
        </w:rPr>
        <w:t>s</w:t>
      </w:r>
      <w:r w:rsidRPr="002C61BD">
        <w:rPr>
          <w:rFonts w:ascii="Arial" w:hAnsi="Arial" w:cs="Arial"/>
          <w:szCs w:val="24"/>
        </w:rPr>
        <w:t xml:space="preserve"> are an integral part of this report.</w:t>
      </w:r>
    </w:p>
    <w:p w:rsidR="00AC6959" w:rsidRDefault="00AC6959" w:rsidP="00012316">
      <w:pPr>
        <w:tabs>
          <w:tab w:val="center" w:pos="4680"/>
        </w:tabs>
        <w:suppressAutoHyphens/>
        <w:rPr>
          <w:rFonts w:ascii="Arial" w:hAnsi="Arial" w:cs="Arial"/>
          <w:szCs w:val="24"/>
        </w:rPr>
      </w:pPr>
    </w:p>
    <w:p w:rsidR="008A4310" w:rsidRDefault="008A4310" w:rsidP="008A4310">
      <w:r>
        <w:br w:type="page"/>
      </w:r>
    </w:p>
    <w:p w:rsidR="00CB7699" w:rsidRPr="002C61BD" w:rsidRDefault="00CB7699" w:rsidP="006034E3">
      <w:pPr>
        <w:tabs>
          <w:tab w:val="center" w:pos="4680"/>
        </w:tabs>
        <w:suppressAutoHyphens/>
        <w:rPr>
          <w:rFonts w:ascii="Arial" w:hAnsi="Arial" w:cs="Arial"/>
          <w:szCs w:val="24"/>
        </w:rPr>
        <w:sectPr w:rsidR="00CB7699" w:rsidRPr="002C61BD" w:rsidSect="00FD1303">
          <w:headerReference w:type="even" r:id="rId24"/>
          <w:headerReference w:type="default" r:id="rId25"/>
          <w:headerReference w:type="first" r:id="rId26"/>
          <w:endnotePr>
            <w:numFmt w:val="decimal"/>
          </w:endnotePr>
          <w:pgSz w:w="12240" w:h="15840" w:code="1"/>
          <w:pgMar w:top="1440" w:right="1440" w:bottom="1440" w:left="1440" w:header="0" w:footer="720" w:gutter="0"/>
          <w:pgNumType w:fmt="numberInDash" w:start="3"/>
          <w:cols w:space="720"/>
          <w:noEndnote/>
          <w:docGrid w:linePitch="326"/>
        </w:sectPr>
      </w:pPr>
    </w:p>
    <w:tbl>
      <w:tblPr>
        <w:tblW w:w="8730" w:type="dxa"/>
        <w:jc w:val="center"/>
        <w:tblInd w:w="-202" w:type="dxa"/>
        <w:tblLook w:val="0000" w:firstRow="0" w:lastRow="0" w:firstColumn="0" w:lastColumn="0" w:noHBand="0" w:noVBand="0"/>
      </w:tblPr>
      <w:tblGrid>
        <w:gridCol w:w="8730"/>
      </w:tblGrid>
      <w:tr w:rsidR="003819CF" w:rsidRPr="002C61BD" w:rsidTr="001551F7">
        <w:trPr>
          <w:trHeight w:val="277"/>
          <w:jc w:val="center"/>
        </w:trPr>
        <w:tc>
          <w:tcPr>
            <w:tcW w:w="8730" w:type="dxa"/>
            <w:tcBorders>
              <w:top w:val="nil"/>
              <w:left w:val="nil"/>
              <w:bottom w:val="nil"/>
              <w:right w:val="nil"/>
            </w:tcBorders>
            <w:shd w:val="clear" w:color="auto" w:fill="auto"/>
            <w:noWrap/>
            <w:vAlign w:val="bottom"/>
          </w:tcPr>
          <w:p w:rsidR="003819CF" w:rsidRPr="001D0DB6" w:rsidRDefault="00CE7FE7" w:rsidP="001551F7">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lastRenderedPageBreak/>
              <w:t>PECO ENERGY COMPANY</w:t>
            </w:r>
          </w:p>
        </w:tc>
      </w:tr>
      <w:tr w:rsidR="00233FB3" w:rsidRPr="001D0DB6" w:rsidTr="00233FB3">
        <w:trPr>
          <w:trHeight w:val="277"/>
          <w:jc w:val="center"/>
        </w:trPr>
        <w:tc>
          <w:tcPr>
            <w:tcW w:w="8730" w:type="dxa"/>
            <w:tcBorders>
              <w:top w:val="nil"/>
              <w:left w:val="nil"/>
              <w:bottom w:val="nil"/>
              <w:right w:val="nil"/>
            </w:tcBorders>
            <w:shd w:val="clear" w:color="auto" w:fill="auto"/>
            <w:noWrap/>
            <w:vAlign w:val="bottom"/>
          </w:tcPr>
          <w:p w:rsidR="00233FB3" w:rsidRPr="001D0DB6" w:rsidRDefault="00233FB3" w:rsidP="00233FB3">
            <w:pPr>
              <w:overflowPunct/>
              <w:autoSpaceDE/>
              <w:autoSpaceDN/>
              <w:adjustRightInd/>
              <w:jc w:val="center"/>
              <w:textAlignment w:val="auto"/>
              <w:rPr>
                <w:rFonts w:ascii="Arial" w:hAnsi="Arial" w:cs="Arial"/>
                <w:b/>
                <w:sz w:val="26"/>
                <w:szCs w:val="26"/>
              </w:rPr>
            </w:pPr>
          </w:p>
          <w:p w:rsidR="001D0DB6" w:rsidRDefault="00233FB3" w:rsidP="00233FB3">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Condensed (Note 1)</w:t>
            </w:r>
            <w:r w:rsidR="001D0DB6">
              <w:rPr>
                <w:rFonts w:ascii="Arial" w:hAnsi="Arial" w:cs="Arial"/>
                <w:b/>
                <w:sz w:val="26"/>
                <w:szCs w:val="26"/>
              </w:rPr>
              <w:t xml:space="preserve"> </w:t>
            </w:r>
          </w:p>
          <w:p w:rsidR="00233FB3" w:rsidRPr="001D0DB6" w:rsidRDefault="00233FB3" w:rsidP="00CA5106">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Statement Of Energy Efficiency and Conservation Program C</w:t>
            </w:r>
            <w:r w:rsidR="00DF33A7">
              <w:rPr>
                <w:rFonts w:ascii="Arial" w:hAnsi="Arial" w:cs="Arial"/>
                <w:b/>
                <w:sz w:val="26"/>
                <w:szCs w:val="26"/>
              </w:rPr>
              <w:t>osts</w:t>
            </w:r>
            <w:r w:rsidRPr="001D0DB6">
              <w:rPr>
                <w:rFonts w:ascii="Arial" w:hAnsi="Arial" w:cs="Arial"/>
                <w:b/>
                <w:sz w:val="26"/>
                <w:szCs w:val="26"/>
              </w:rPr>
              <w:t xml:space="preserve"> </w:t>
            </w:r>
            <w:r w:rsidR="00D20CBA">
              <w:rPr>
                <w:rFonts w:ascii="Arial" w:hAnsi="Arial" w:cs="Arial"/>
                <w:b/>
                <w:sz w:val="26"/>
                <w:szCs w:val="26"/>
              </w:rPr>
              <w:t xml:space="preserve">Phase </w:t>
            </w:r>
            <w:r w:rsidR="00CA5106">
              <w:rPr>
                <w:rFonts w:ascii="Arial" w:hAnsi="Arial" w:cs="Arial"/>
                <w:b/>
                <w:sz w:val="26"/>
                <w:szCs w:val="26"/>
              </w:rPr>
              <w:t>I</w:t>
            </w:r>
            <w:r w:rsidR="00D20CBA">
              <w:rPr>
                <w:rFonts w:ascii="Arial" w:hAnsi="Arial" w:cs="Arial"/>
                <w:b/>
                <w:sz w:val="26"/>
                <w:szCs w:val="26"/>
              </w:rPr>
              <w:t xml:space="preserve"> </w:t>
            </w:r>
            <w:r w:rsidRPr="001D0DB6">
              <w:rPr>
                <w:rFonts w:ascii="Arial" w:hAnsi="Arial" w:cs="Arial"/>
                <w:b/>
                <w:sz w:val="26"/>
                <w:szCs w:val="26"/>
              </w:rPr>
              <w:t>(EEPC)</w:t>
            </w:r>
            <w:r w:rsidR="001D0DB6">
              <w:rPr>
                <w:rFonts w:ascii="Arial" w:hAnsi="Arial" w:cs="Arial"/>
                <w:b/>
                <w:sz w:val="26"/>
                <w:szCs w:val="26"/>
              </w:rPr>
              <w:t xml:space="preserve"> </w:t>
            </w:r>
            <w:r w:rsidRPr="001D0DB6">
              <w:rPr>
                <w:rFonts w:ascii="Arial" w:hAnsi="Arial" w:cs="Arial"/>
                <w:b/>
                <w:sz w:val="26"/>
                <w:szCs w:val="26"/>
              </w:rPr>
              <w:t xml:space="preserve">Over/(Under) Collections </w:t>
            </w:r>
            <w:r w:rsidR="00DF33A7" w:rsidRPr="001C56AF">
              <w:rPr>
                <w:rFonts w:ascii="Arial" w:hAnsi="Arial" w:cs="Arial"/>
                <w:b/>
                <w:sz w:val="26"/>
                <w:szCs w:val="26"/>
              </w:rPr>
              <w:t>(Section 1307(e))</w:t>
            </w:r>
          </w:p>
        </w:tc>
      </w:tr>
      <w:tr w:rsidR="00233FB3" w:rsidRPr="001D0DB6" w:rsidTr="00233FB3">
        <w:trPr>
          <w:trHeight w:val="277"/>
          <w:jc w:val="center"/>
        </w:trPr>
        <w:tc>
          <w:tcPr>
            <w:tcW w:w="8730" w:type="dxa"/>
            <w:tcBorders>
              <w:top w:val="nil"/>
              <w:left w:val="nil"/>
              <w:bottom w:val="nil"/>
              <w:right w:val="nil"/>
            </w:tcBorders>
            <w:shd w:val="clear" w:color="auto" w:fill="auto"/>
            <w:noWrap/>
            <w:vAlign w:val="bottom"/>
          </w:tcPr>
          <w:p w:rsidR="00D13C6A" w:rsidRDefault="00233FB3" w:rsidP="00D20CBA">
            <w:pPr>
              <w:overflowPunct/>
              <w:autoSpaceDE/>
              <w:autoSpaceDN/>
              <w:adjustRightInd/>
              <w:jc w:val="center"/>
              <w:textAlignment w:val="auto"/>
              <w:rPr>
                <w:rFonts w:ascii="Arial" w:hAnsi="Arial" w:cs="Arial"/>
                <w:b/>
                <w:sz w:val="26"/>
                <w:szCs w:val="26"/>
              </w:rPr>
            </w:pPr>
            <w:r w:rsidRPr="001D0DB6">
              <w:rPr>
                <w:rFonts w:ascii="Arial" w:hAnsi="Arial" w:cs="Arial"/>
                <w:b/>
                <w:sz w:val="26"/>
                <w:szCs w:val="26"/>
              </w:rPr>
              <w:t xml:space="preserve">For The </w:t>
            </w:r>
            <w:r w:rsidR="00B24CA7">
              <w:rPr>
                <w:rFonts w:ascii="Arial" w:hAnsi="Arial" w:cs="Arial"/>
                <w:b/>
                <w:sz w:val="26"/>
                <w:szCs w:val="26"/>
              </w:rPr>
              <w:t xml:space="preserve">Reconciliation </w:t>
            </w:r>
            <w:r w:rsidR="00D26ACA" w:rsidRPr="001D0DB6">
              <w:rPr>
                <w:rFonts w:ascii="Arial" w:hAnsi="Arial" w:cs="Arial"/>
                <w:b/>
                <w:sz w:val="26"/>
                <w:szCs w:val="26"/>
              </w:rPr>
              <w:t>T</w:t>
            </w:r>
            <w:r w:rsidR="00D20CBA">
              <w:rPr>
                <w:rFonts w:ascii="Arial" w:hAnsi="Arial" w:cs="Arial"/>
                <w:b/>
                <w:sz w:val="26"/>
                <w:szCs w:val="26"/>
              </w:rPr>
              <w:t>rue-up</w:t>
            </w:r>
            <w:r w:rsidR="00E035AE" w:rsidRPr="001D0DB6">
              <w:rPr>
                <w:rFonts w:ascii="Arial" w:hAnsi="Arial" w:cs="Arial"/>
                <w:b/>
                <w:sz w:val="26"/>
                <w:szCs w:val="26"/>
              </w:rPr>
              <w:t xml:space="preserve"> Period</w:t>
            </w:r>
            <w:r w:rsidR="00D13C6A">
              <w:rPr>
                <w:rFonts w:ascii="Arial" w:hAnsi="Arial" w:cs="Arial"/>
                <w:b/>
                <w:sz w:val="26"/>
                <w:szCs w:val="26"/>
              </w:rPr>
              <w:t xml:space="preserve"> (Note </w:t>
            </w:r>
            <w:r w:rsidR="00D2141E">
              <w:rPr>
                <w:rFonts w:ascii="Arial" w:hAnsi="Arial" w:cs="Arial"/>
                <w:b/>
                <w:sz w:val="26"/>
                <w:szCs w:val="26"/>
              </w:rPr>
              <w:t>5</w:t>
            </w:r>
            <w:r w:rsidR="00D13C6A">
              <w:rPr>
                <w:rFonts w:ascii="Arial" w:hAnsi="Arial" w:cs="Arial"/>
                <w:b/>
                <w:sz w:val="26"/>
                <w:szCs w:val="26"/>
              </w:rPr>
              <w:t>)</w:t>
            </w:r>
            <w:r w:rsidRPr="001D0DB6">
              <w:rPr>
                <w:rFonts w:ascii="Arial" w:hAnsi="Arial" w:cs="Arial"/>
                <w:b/>
                <w:sz w:val="26"/>
                <w:szCs w:val="26"/>
              </w:rPr>
              <w:t xml:space="preserve"> </w:t>
            </w:r>
          </w:p>
          <w:p w:rsidR="00233FB3" w:rsidRPr="001D0DB6" w:rsidRDefault="00DF33A7" w:rsidP="00D20CBA">
            <w:pPr>
              <w:overflowPunct/>
              <w:autoSpaceDE/>
              <w:autoSpaceDN/>
              <w:adjustRightInd/>
              <w:jc w:val="center"/>
              <w:textAlignment w:val="auto"/>
              <w:rPr>
                <w:rFonts w:ascii="Arial" w:hAnsi="Arial" w:cs="Arial"/>
                <w:b/>
                <w:sz w:val="26"/>
                <w:szCs w:val="26"/>
              </w:rPr>
            </w:pPr>
            <w:r>
              <w:rPr>
                <w:rFonts w:ascii="Arial" w:hAnsi="Arial" w:cs="Arial"/>
                <w:b/>
                <w:sz w:val="26"/>
                <w:szCs w:val="26"/>
              </w:rPr>
              <w:t>June 1, 2013 Through</w:t>
            </w:r>
            <w:r w:rsidR="00233FB3" w:rsidRPr="001D0DB6">
              <w:rPr>
                <w:rFonts w:ascii="Arial" w:hAnsi="Arial" w:cs="Arial"/>
                <w:b/>
                <w:sz w:val="26"/>
                <w:szCs w:val="26"/>
              </w:rPr>
              <w:t xml:space="preserve"> May 31, 201</w:t>
            </w:r>
            <w:r w:rsidR="00D20CBA">
              <w:rPr>
                <w:rFonts w:ascii="Arial" w:hAnsi="Arial" w:cs="Arial"/>
                <w:b/>
                <w:sz w:val="26"/>
                <w:szCs w:val="26"/>
              </w:rPr>
              <w:t>4</w:t>
            </w:r>
            <w:r w:rsidR="00546BB7">
              <w:rPr>
                <w:rFonts w:ascii="Arial" w:hAnsi="Arial" w:cs="Arial"/>
                <w:b/>
                <w:sz w:val="26"/>
                <w:szCs w:val="26"/>
              </w:rPr>
              <w:t>*</w:t>
            </w:r>
          </w:p>
        </w:tc>
      </w:tr>
    </w:tbl>
    <w:p w:rsidR="00233FB3" w:rsidRPr="002C61BD" w:rsidRDefault="00233FB3" w:rsidP="00233FB3">
      <w:pPr>
        <w:rPr>
          <w:rFonts w:ascii="Arial" w:hAnsi="Arial" w:cs="Arial"/>
          <w:sz w:val="16"/>
          <w:szCs w:val="16"/>
        </w:rPr>
      </w:pPr>
    </w:p>
    <w:p w:rsidR="00233FB3" w:rsidRPr="002C61BD" w:rsidRDefault="00233FB3" w:rsidP="00233FB3">
      <w:pPr>
        <w:jc w:val="center"/>
        <w:rPr>
          <w:rFonts w:ascii="Arial" w:hAnsi="Arial" w:cs="Arial"/>
          <w:sz w:val="16"/>
          <w:szCs w:val="16"/>
        </w:rPr>
      </w:pPr>
    </w:p>
    <w:tbl>
      <w:tblPr>
        <w:tblW w:w="9478" w:type="dxa"/>
        <w:jc w:val="center"/>
        <w:tblInd w:w="-303" w:type="dxa"/>
        <w:tblLayout w:type="fixed"/>
        <w:tblLook w:val="0000" w:firstRow="0" w:lastRow="0" w:firstColumn="0" w:lastColumn="0" w:noHBand="0" w:noVBand="0"/>
      </w:tblPr>
      <w:tblGrid>
        <w:gridCol w:w="2669"/>
        <w:gridCol w:w="2400"/>
        <w:gridCol w:w="2412"/>
        <w:gridCol w:w="1997"/>
      </w:tblGrid>
      <w:tr w:rsidR="005E266C" w:rsidRPr="00895078" w:rsidTr="00CF161E">
        <w:trPr>
          <w:jc w:val="center"/>
        </w:trPr>
        <w:tc>
          <w:tcPr>
            <w:tcW w:w="2669" w:type="dxa"/>
            <w:tcBorders>
              <w:top w:val="nil"/>
              <w:left w:val="nil"/>
              <w:right w:val="nil"/>
            </w:tcBorders>
            <w:shd w:val="clear" w:color="auto" w:fill="auto"/>
            <w:noWrap/>
            <w:vAlign w:val="bottom"/>
          </w:tcPr>
          <w:p w:rsidR="005E266C" w:rsidRDefault="005E266C" w:rsidP="00233FB3">
            <w:pPr>
              <w:rPr>
                <w:rFonts w:ascii="Arial" w:hAnsi="Arial" w:cs="Arial"/>
                <w:szCs w:val="24"/>
              </w:rPr>
            </w:pPr>
          </w:p>
          <w:p w:rsidR="005E266C" w:rsidRDefault="005E266C" w:rsidP="00233FB3">
            <w:pPr>
              <w:rPr>
                <w:rFonts w:ascii="Arial" w:hAnsi="Arial" w:cs="Arial"/>
                <w:szCs w:val="24"/>
              </w:rPr>
            </w:pPr>
          </w:p>
          <w:p w:rsidR="005E266C" w:rsidRPr="0001219F" w:rsidRDefault="005E266C" w:rsidP="0001219F">
            <w:pPr>
              <w:rPr>
                <w:rFonts w:ascii="Arial" w:hAnsi="Arial" w:cs="Arial"/>
                <w:szCs w:val="24"/>
                <w:u w:val="single"/>
              </w:rPr>
            </w:pPr>
            <w:r w:rsidRPr="0001219F">
              <w:rPr>
                <w:rFonts w:ascii="Arial" w:hAnsi="Arial" w:cs="Arial"/>
                <w:b/>
                <w:szCs w:val="24"/>
                <w:u w:val="single"/>
              </w:rPr>
              <w:t>Customer Class</w:t>
            </w:r>
          </w:p>
        </w:tc>
        <w:tc>
          <w:tcPr>
            <w:tcW w:w="2400" w:type="dxa"/>
            <w:tcBorders>
              <w:top w:val="nil"/>
              <w:left w:val="nil"/>
              <w:right w:val="nil"/>
            </w:tcBorders>
            <w:shd w:val="clear" w:color="auto" w:fill="auto"/>
            <w:noWrap/>
            <w:vAlign w:val="bottom"/>
          </w:tcPr>
          <w:p w:rsidR="005E266C" w:rsidRPr="00E83205" w:rsidRDefault="0001219F" w:rsidP="0001219F">
            <w:pPr>
              <w:jc w:val="center"/>
              <w:rPr>
                <w:rFonts w:ascii="Arial" w:hAnsi="Arial" w:cs="Arial"/>
                <w:szCs w:val="24"/>
              </w:rPr>
            </w:pPr>
            <w:r>
              <w:rPr>
                <w:rFonts w:ascii="Arial" w:hAnsi="Arial" w:cs="Arial"/>
                <w:b/>
                <w:szCs w:val="24"/>
              </w:rPr>
              <w:t xml:space="preserve">EEPC        </w:t>
            </w:r>
            <w:r w:rsidRPr="0001219F">
              <w:rPr>
                <w:rFonts w:ascii="Arial" w:hAnsi="Arial" w:cs="Arial"/>
                <w:b/>
                <w:szCs w:val="24"/>
                <w:u w:val="single"/>
              </w:rPr>
              <w:t>Revenues</w:t>
            </w:r>
          </w:p>
        </w:tc>
        <w:tc>
          <w:tcPr>
            <w:tcW w:w="2412" w:type="dxa"/>
            <w:tcBorders>
              <w:top w:val="nil"/>
              <w:left w:val="nil"/>
              <w:right w:val="nil"/>
            </w:tcBorders>
            <w:vAlign w:val="bottom"/>
          </w:tcPr>
          <w:p w:rsidR="007F5C8C" w:rsidRDefault="005E266C" w:rsidP="001A778A">
            <w:pPr>
              <w:jc w:val="center"/>
              <w:rPr>
                <w:rFonts w:ascii="Arial" w:hAnsi="Arial" w:cs="Arial"/>
                <w:b/>
                <w:szCs w:val="24"/>
              </w:rPr>
            </w:pPr>
            <w:r w:rsidRPr="00E83205">
              <w:rPr>
                <w:rFonts w:ascii="Arial" w:hAnsi="Arial" w:cs="Arial"/>
                <w:b/>
                <w:szCs w:val="24"/>
              </w:rPr>
              <w:t>EEPC</w:t>
            </w:r>
          </w:p>
          <w:p w:rsidR="005E266C" w:rsidRPr="0001219F" w:rsidRDefault="005E266C" w:rsidP="0001219F">
            <w:pPr>
              <w:jc w:val="center"/>
              <w:rPr>
                <w:rFonts w:ascii="Arial" w:hAnsi="Arial" w:cs="Arial"/>
                <w:szCs w:val="24"/>
                <w:u w:val="single"/>
              </w:rPr>
            </w:pPr>
            <w:r w:rsidRPr="0001219F">
              <w:rPr>
                <w:rFonts w:ascii="Arial" w:hAnsi="Arial" w:cs="Arial"/>
                <w:b/>
                <w:szCs w:val="24"/>
                <w:u w:val="single"/>
              </w:rPr>
              <w:t>Expenses</w:t>
            </w:r>
          </w:p>
        </w:tc>
        <w:tc>
          <w:tcPr>
            <w:tcW w:w="1997" w:type="dxa"/>
            <w:tcBorders>
              <w:top w:val="nil"/>
              <w:left w:val="nil"/>
              <w:right w:val="nil"/>
            </w:tcBorders>
            <w:vAlign w:val="bottom"/>
          </w:tcPr>
          <w:p w:rsidR="005E266C" w:rsidRPr="00895078" w:rsidRDefault="005E266C" w:rsidP="00233FB3">
            <w:pPr>
              <w:jc w:val="center"/>
              <w:rPr>
                <w:rFonts w:ascii="Arial" w:hAnsi="Arial" w:cs="Arial"/>
                <w:szCs w:val="24"/>
              </w:rPr>
            </w:pPr>
          </w:p>
          <w:p w:rsidR="005E266C" w:rsidRPr="00895078" w:rsidRDefault="005E266C" w:rsidP="0001219F">
            <w:pPr>
              <w:jc w:val="center"/>
              <w:rPr>
                <w:rFonts w:ascii="Arial" w:hAnsi="Arial" w:cs="Arial"/>
                <w:szCs w:val="24"/>
              </w:rPr>
            </w:pPr>
            <w:r w:rsidRPr="006B67BF">
              <w:rPr>
                <w:rFonts w:ascii="Arial" w:hAnsi="Arial" w:cs="Arial"/>
                <w:b/>
                <w:szCs w:val="24"/>
              </w:rPr>
              <w:t xml:space="preserve">Over/(Under) </w:t>
            </w:r>
            <w:r w:rsidRPr="0001219F">
              <w:rPr>
                <w:rFonts w:ascii="Arial" w:hAnsi="Arial" w:cs="Arial"/>
                <w:b/>
                <w:szCs w:val="24"/>
                <w:u w:val="single"/>
              </w:rPr>
              <w:t>Collections</w:t>
            </w:r>
          </w:p>
        </w:tc>
      </w:tr>
      <w:tr w:rsidR="0001219F" w:rsidRPr="002C61BD" w:rsidTr="00CF161E">
        <w:trPr>
          <w:trHeight w:val="255"/>
          <w:jc w:val="center"/>
        </w:trPr>
        <w:tc>
          <w:tcPr>
            <w:tcW w:w="2669" w:type="dxa"/>
            <w:tcBorders>
              <w:left w:val="nil"/>
              <w:bottom w:val="nil"/>
              <w:right w:val="nil"/>
            </w:tcBorders>
            <w:shd w:val="clear" w:color="auto" w:fill="auto"/>
            <w:noWrap/>
            <w:vAlign w:val="bottom"/>
          </w:tcPr>
          <w:p w:rsidR="0001219F" w:rsidRPr="002C61BD" w:rsidRDefault="0001219F" w:rsidP="00233FB3">
            <w:pPr>
              <w:jc w:val="center"/>
              <w:rPr>
                <w:rFonts w:ascii="Arial" w:hAnsi="Arial" w:cs="Arial"/>
                <w:szCs w:val="24"/>
              </w:rPr>
            </w:pPr>
          </w:p>
        </w:tc>
        <w:tc>
          <w:tcPr>
            <w:tcW w:w="2400" w:type="dxa"/>
            <w:tcBorders>
              <w:left w:val="nil"/>
              <w:bottom w:val="nil"/>
              <w:right w:val="nil"/>
            </w:tcBorders>
            <w:shd w:val="clear" w:color="auto" w:fill="auto"/>
            <w:noWrap/>
            <w:vAlign w:val="bottom"/>
          </w:tcPr>
          <w:p w:rsidR="0001219F" w:rsidRPr="002C61BD" w:rsidRDefault="0001219F" w:rsidP="009172DB">
            <w:pPr>
              <w:jc w:val="center"/>
              <w:rPr>
                <w:rFonts w:ascii="Arial" w:hAnsi="Arial" w:cs="Arial"/>
                <w:szCs w:val="24"/>
              </w:rPr>
            </w:pPr>
            <w:r w:rsidRPr="00E83205">
              <w:rPr>
                <w:rFonts w:ascii="Arial" w:hAnsi="Arial" w:cs="Arial"/>
                <w:szCs w:val="24"/>
              </w:rPr>
              <w:t>(</w:t>
            </w:r>
            <w:r>
              <w:rPr>
                <w:rFonts w:ascii="Arial" w:hAnsi="Arial" w:cs="Arial"/>
                <w:szCs w:val="24"/>
              </w:rPr>
              <w:t>1</w:t>
            </w:r>
            <w:r w:rsidRPr="00E83205">
              <w:rPr>
                <w:rFonts w:ascii="Arial" w:hAnsi="Arial" w:cs="Arial"/>
                <w:szCs w:val="24"/>
              </w:rPr>
              <w:t>)</w:t>
            </w:r>
          </w:p>
        </w:tc>
        <w:tc>
          <w:tcPr>
            <w:tcW w:w="2412" w:type="dxa"/>
            <w:tcBorders>
              <w:left w:val="nil"/>
              <w:bottom w:val="nil"/>
              <w:right w:val="nil"/>
            </w:tcBorders>
            <w:vAlign w:val="bottom"/>
          </w:tcPr>
          <w:p w:rsidR="0001219F" w:rsidRPr="002C61BD" w:rsidRDefault="0001219F" w:rsidP="009172DB">
            <w:pPr>
              <w:jc w:val="center"/>
              <w:rPr>
                <w:rFonts w:ascii="Arial" w:hAnsi="Arial" w:cs="Arial"/>
                <w:szCs w:val="24"/>
              </w:rPr>
            </w:pPr>
            <w:r w:rsidRPr="00E83205">
              <w:rPr>
                <w:rFonts w:ascii="Arial" w:hAnsi="Arial" w:cs="Arial"/>
                <w:szCs w:val="24"/>
              </w:rPr>
              <w:t>(</w:t>
            </w:r>
            <w:r>
              <w:rPr>
                <w:rFonts w:ascii="Arial" w:hAnsi="Arial" w:cs="Arial"/>
                <w:szCs w:val="24"/>
              </w:rPr>
              <w:t>2</w:t>
            </w:r>
            <w:r w:rsidRPr="00E83205">
              <w:rPr>
                <w:rFonts w:ascii="Arial" w:hAnsi="Arial" w:cs="Arial"/>
                <w:szCs w:val="24"/>
              </w:rPr>
              <w:t>)</w:t>
            </w:r>
          </w:p>
        </w:tc>
        <w:tc>
          <w:tcPr>
            <w:tcW w:w="1997" w:type="dxa"/>
            <w:tcBorders>
              <w:left w:val="nil"/>
              <w:bottom w:val="nil"/>
              <w:right w:val="nil"/>
            </w:tcBorders>
            <w:vAlign w:val="bottom"/>
          </w:tcPr>
          <w:p w:rsidR="0001219F" w:rsidRDefault="0001219F" w:rsidP="009172DB">
            <w:pPr>
              <w:jc w:val="center"/>
              <w:rPr>
                <w:rFonts w:ascii="Arial" w:hAnsi="Arial" w:cs="Arial"/>
                <w:szCs w:val="24"/>
              </w:rPr>
            </w:pPr>
            <w:r>
              <w:rPr>
                <w:rFonts w:ascii="Arial" w:hAnsi="Arial" w:cs="Arial"/>
                <w:szCs w:val="24"/>
              </w:rPr>
              <w:t>(3)=(1)-(2)</w:t>
            </w:r>
          </w:p>
        </w:tc>
      </w:tr>
      <w:tr w:rsidR="005E266C" w:rsidRPr="002C61BD" w:rsidTr="00CF161E">
        <w:trPr>
          <w:trHeight w:val="255"/>
          <w:jc w:val="center"/>
        </w:trPr>
        <w:tc>
          <w:tcPr>
            <w:tcW w:w="2669" w:type="dxa"/>
            <w:tcBorders>
              <w:left w:val="nil"/>
              <w:bottom w:val="nil"/>
              <w:right w:val="nil"/>
            </w:tcBorders>
            <w:shd w:val="clear" w:color="auto" w:fill="auto"/>
            <w:noWrap/>
            <w:vAlign w:val="bottom"/>
          </w:tcPr>
          <w:p w:rsidR="005E266C" w:rsidRPr="002C61BD" w:rsidRDefault="005E266C" w:rsidP="00233FB3">
            <w:pPr>
              <w:jc w:val="center"/>
              <w:rPr>
                <w:rFonts w:ascii="Arial" w:hAnsi="Arial" w:cs="Arial"/>
                <w:szCs w:val="24"/>
              </w:rPr>
            </w:pPr>
          </w:p>
        </w:tc>
        <w:tc>
          <w:tcPr>
            <w:tcW w:w="2400" w:type="dxa"/>
            <w:tcBorders>
              <w:left w:val="nil"/>
              <w:bottom w:val="nil"/>
              <w:right w:val="nil"/>
            </w:tcBorders>
            <w:shd w:val="clear" w:color="auto" w:fill="auto"/>
            <w:noWrap/>
            <w:vAlign w:val="bottom"/>
          </w:tcPr>
          <w:p w:rsidR="005E266C" w:rsidRPr="002C61BD" w:rsidRDefault="005E266C" w:rsidP="009172DB">
            <w:pPr>
              <w:jc w:val="center"/>
              <w:rPr>
                <w:rFonts w:ascii="Arial" w:hAnsi="Arial" w:cs="Arial"/>
                <w:szCs w:val="24"/>
              </w:rPr>
            </w:pPr>
            <w:r w:rsidRPr="002C61BD">
              <w:rPr>
                <w:rFonts w:ascii="Arial" w:hAnsi="Arial" w:cs="Arial"/>
                <w:szCs w:val="24"/>
              </w:rPr>
              <w:t xml:space="preserve">(Note </w:t>
            </w:r>
            <w:r w:rsidR="009172DB">
              <w:rPr>
                <w:rFonts w:ascii="Arial" w:hAnsi="Arial" w:cs="Arial"/>
                <w:szCs w:val="24"/>
              </w:rPr>
              <w:t>2</w:t>
            </w:r>
            <w:r w:rsidRPr="002C61BD">
              <w:rPr>
                <w:rFonts w:ascii="Arial" w:hAnsi="Arial" w:cs="Arial"/>
                <w:szCs w:val="24"/>
              </w:rPr>
              <w:t>)</w:t>
            </w:r>
          </w:p>
        </w:tc>
        <w:tc>
          <w:tcPr>
            <w:tcW w:w="2412" w:type="dxa"/>
            <w:tcBorders>
              <w:left w:val="nil"/>
              <w:bottom w:val="nil"/>
              <w:right w:val="nil"/>
            </w:tcBorders>
            <w:vAlign w:val="bottom"/>
          </w:tcPr>
          <w:p w:rsidR="005E266C" w:rsidRPr="002C61BD" w:rsidRDefault="005E266C" w:rsidP="009172DB">
            <w:pPr>
              <w:jc w:val="center"/>
              <w:rPr>
                <w:rFonts w:ascii="Arial" w:hAnsi="Arial" w:cs="Arial"/>
                <w:szCs w:val="24"/>
              </w:rPr>
            </w:pPr>
            <w:r w:rsidRPr="002C61BD">
              <w:rPr>
                <w:rFonts w:ascii="Arial" w:hAnsi="Arial" w:cs="Arial"/>
                <w:szCs w:val="24"/>
              </w:rPr>
              <w:t xml:space="preserve">(Note </w:t>
            </w:r>
            <w:r w:rsidR="009172DB">
              <w:rPr>
                <w:rFonts w:ascii="Arial" w:hAnsi="Arial" w:cs="Arial"/>
                <w:szCs w:val="24"/>
              </w:rPr>
              <w:t>3</w:t>
            </w:r>
            <w:r w:rsidRPr="002C61BD">
              <w:rPr>
                <w:rFonts w:ascii="Arial" w:hAnsi="Arial" w:cs="Arial"/>
                <w:szCs w:val="24"/>
              </w:rPr>
              <w:t>)</w:t>
            </w:r>
          </w:p>
        </w:tc>
        <w:tc>
          <w:tcPr>
            <w:tcW w:w="1997" w:type="dxa"/>
            <w:tcBorders>
              <w:left w:val="nil"/>
              <w:bottom w:val="nil"/>
              <w:right w:val="nil"/>
            </w:tcBorders>
            <w:vAlign w:val="bottom"/>
          </w:tcPr>
          <w:p w:rsidR="005E266C" w:rsidRPr="002C61BD" w:rsidRDefault="005E266C" w:rsidP="009172DB">
            <w:pPr>
              <w:jc w:val="center"/>
              <w:rPr>
                <w:rFonts w:ascii="Arial" w:hAnsi="Arial" w:cs="Arial"/>
                <w:szCs w:val="24"/>
              </w:rPr>
            </w:pPr>
            <w:r>
              <w:rPr>
                <w:rFonts w:ascii="Arial" w:hAnsi="Arial" w:cs="Arial"/>
                <w:szCs w:val="24"/>
              </w:rPr>
              <w:t>(</w:t>
            </w:r>
            <w:r w:rsidRPr="002C61BD">
              <w:rPr>
                <w:rFonts w:ascii="Arial" w:hAnsi="Arial" w:cs="Arial"/>
                <w:szCs w:val="24"/>
              </w:rPr>
              <w:t xml:space="preserve">Note </w:t>
            </w:r>
            <w:r w:rsidR="009172DB">
              <w:rPr>
                <w:rFonts w:ascii="Arial" w:hAnsi="Arial" w:cs="Arial"/>
                <w:szCs w:val="24"/>
              </w:rPr>
              <w:t>4</w:t>
            </w:r>
            <w:r>
              <w:rPr>
                <w:rFonts w:ascii="Arial" w:hAnsi="Arial" w:cs="Arial"/>
                <w:szCs w:val="24"/>
              </w:rPr>
              <w:t>)</w:t>
            </w:r>
          </w:p>
        </w:tc>
      </w:tr>
      <w:tr w:rsidR="005E266C" w:rsidRPr="002C61BD" w:rsidTr="00CF161E">
        <w:trPr>
          <w:trHeight w:val="144"/>
          <w:jc w:val="center"/>
        </w:trPr>
        <w:tc>
          <w:tcPr>
            <w:tcW w:w="2669" w:type="dxa"/>
            <w:tcBorders>
              <w:top w:val="nil"/>
              <w:left w:val="nil"/>
              <w:bottom w:val="nil"/>
              <w:right w:val="nil"/>
            </w:tcBorders>
            <w:shd w:val="clear" w:color="auto" w:fill="auto"/>
            <w:noWrap/>
            <w:vAlign w:val="bottom"/>
          </w:tcPr>
          <w:p w:rsidR="005E266C" w:rsidRPr="002C61BD" w:rsidRDefault="005E266C" w:rsidP="00233FB3">
            <w:pPr>
              <w:rPr>
                <w:rFonts w:ascii="Arial" w:hAnsi="Arial" w:cs="Arial"/>
                <w:szCs w:val="24"/>
              </w:rPr>
            </w:pPr>
          </w:p>
        </w:tc>
        <w:tc>
          <w:tcPr>
            <w:tcW w:w="2400" w:type="dxa"/>
            <w:tcBorders>
              <w:top w:val="nil"/>
              <w:left w:val="nil"/>
              <w:bottom w:val="nil"/>
              <w:right w:val="nil"/>
            </w:tcBorders>
            <w:shd w:val="clear" w:color="auto" w:fill="auto"/>
            <w:noWrap/>
            <w:vAlign w:val="bottom"/>
          </w:tcPr>
          <w:p w:rsidR="005E266C" w:rsidRPr="002C61BD" w:rsidRDefault="005E266C" w:rsidP="001A778A">
            <w:pPr>
              <w:jc w:val="center"/>
              <w:rPr>
                <w:rFonts w:ascii="Arial" w:hAnsi="Arial" w:cs="Arial"/>
                <w:szCs w:val="24"/>
              </w:rPr>
            </w:pPr>
          </w:p>
        </w:tc>
        <w:tc>
          <w:tcPr>
            <w:tcW w:w="2412" w:type="dxa"/>
            <w:tcBorders>
              <w:top w:val="nil"/>
              <w:left w:val="nil"/>
              <w:bottom w:val="nil"/>
              <w:right w:val="nil"/>
            </w:tcBorders>
            <w:vAlign w:val="bottom"/>
          </w:tcPr>
          <w:p w:rsidR="005E266C" w:rsidRPr="002C61BD" w:rsidRDefault="005E266C" w:rsidP="001A778A">
            <w:pPr>
              <w:jc w:val="center"/>
              <w:rPr>
                <w:rFonts w:ascii="Arial" w:hAnsi="Arial" w:cs="Arial"/>
                <w:szCs w:val="24"/>
              </w:rPr>
            </w:pPr>
          </w:p>
        </w:tc>
        <w:tc>
          <w:tcPr>
            <w:tcW w:w="1997" w:type="dxa"/>
            <w:tcBorders>
              <w:top w:val="nil"/>
              <w:left w:val="nil"/>
              <w:bottom w:val="nil"/>
              <w:right w:val="nil"/>
            </w:tcBorders>
          </w:tcPr>
          <w:p w:rsidR="005E266C" w:rsidRPr="002C61BD" w:rsidRDefault="005E266C" w:rsidP="00233FB3">
            <w:pPr>
              <w:jc w:val="center"/>
              <w:rPr>
                <w:rFonts w:ascii="Arial" w:hAnsi="Arial" w:cs="Arial"/>
                <w:szCs w:val="24"/>
              </w:rPr>
            </w:pPr>
          </w:p>
        </w:tc>
      </w:tr>
      <w:tr w:rsidR="005E266C" w:rsidRPr="002C61BD" w:rsidTr="00CF161E">
        <w:trPr>
          <w:trHeight w:val="288"/>
          <w:jc w:val="center"/>
        </w:trPr>
        <w:tc>
          <w:tcPr>
            <w:tcW w:w="2669" w:type="dxa"/>
            <w:tcBorders>
              <w:top w:val="nil"/>
              <w:left w:val="nil"/>
              <w:bottom w:val="nil"/>
              <w:right w:val="nil"/>
            </w:tcBorders>
            <w:shd w:val="clear" w:color="auto" w:fill="auto"/>
            <w:noWrap/>
            <w:vAlign w:val="bottom"/>
          </w:tcPr>
          <w:p w:rsidR="005E266C" w:rsidRPr="00CF788E" w:rsidRDefault="005E266C" w:rsidP="00233FB3">
            <w:pPr>
              <w:rPr>
                <w:rFonts w:ascii="Arial" w:hAnsi="Arial" w:cs="Arial"/>
                <w:szCs w:val="24"/>
              </w:rPr>
            </w:pPr>
            <w:r w:rsidRPr="00CF788E">
              <w:rPr>
                <w:rFonts w:ascii="Arial" w:hAnsi="Arial" w:cs="Arial"/>
                <w:szCs w:val="24"/>
              </w:rPr>
              <w:t>Residential</w:t>
            </w:r>
          </w:p>
          <w:p w:rsidR="00AD327E" w:rsidRPr="00CF788E" w:rsidRDefault="00AD327E" w:rsidP="00233FB3">
            <w:pPr>
              <w:rPr>
                <w:rFonts w:ascii="Arial" w:hAnsi="Arial" w:cs="Arial"/>
                <w:szCs w:val="24"/>
              </w:rPr>
            </w:pPr>
          </w:p>
        </w:tc>
        <w:tc>
          <w:tcPr>
            <w:tcW w:w="2400" w:type="dxa"/>
            <w:tcBorders>
              <w:top w:val="nil"/>
              <w:left w:val="nil"/>
              <w:bottom w:val="nil"/>
              <w:right w:val="nil"/>
            </w:tcBorders>
            <w:shd w:val="clear" w:color="auto" w:fill="auto"/>
            <w:noWrap/>
          </w:tcPr>
          <w:p w:rsidR="00AD327E" w:rsidRPr="00CF788E" w:rsidRDefault="005E266C" w:rsidP="0055057A">
            <w:pPr>
              <w:ind w:right="312"/>
              <w:jc w:val="right"/>
              <w:rPr>
                <w:rFonts w:ascii="Arial" w:hAnsi="Arial" w:cs="Arial"/>
                <w:szCs w:val="24"/>
              </w:rPr>
            </w:pPr>
            <w:r w:rsidRPr="00CF788E">
              <w:rPr>
                <w:rFonts w:ascii="Arial" w:hAnsi="Arial" w:cs="Arial"/>
                <w:szCs w:val="24"/>
              </w:rPr>
              <w:t>$</w:t>
            </w:r>
            <w:r w:rsidR="00CF788E" w:rsidRPr="00CF788E">
              <w:rPr>
                <w:rFonts w:ascii="Arial" w:hAnsi="Arial" w:cs="Arial"/>
                <w:szCs w:val="24"/>
              </w:rPr>
              <w:t xml:space="preserve"> </w:t>
            </w:r>
            <w:r w:rsidR="000C7861">
              <w:rPr>
                <w:rFonts w:ascii="Arial" w:hAnsi="Arial" w:cs="Arial"/>
                <w:szCs w:val="24"/>
              </w:rPr>
              <w:t>(11,256,867)</w:t>
            </w:r>
            <w:r w:rsidR="0055057A">
              <w:rPr>
                <w:rFonts w:ascii="Arial" w:hAnsi="Arial" w:cs="Arial"/>
                <w:szCs w:val="24"/>
              </w:rPr>
              <w:t xml:space="preserve"> </w:t>
            </w:r>
          </w:p>
        </w:tc>
        <w:tc>
          <w:tcPr>
            <w:tcW w:w="2412" w:type="dxa"/>
            <w:tcBorders>
              <w:top w:val="nil"/>
              <w:left w:val="nil"/>
              <w:bottom w:val="nil"/>
              <w:right w:val="nil"/>
            </w:tcBorders>
          </w:tcPr>
          <w:p w:rsidR="00AD327E" w:rsidRPr="00CF788E" w:rsidRDefault="005E266C" w:rsidP="00655CD6">
            <w:pPr>
              <w:tabs>
                <w:tab w:val="left" w:pos="1449"/>
              </w:tabs>
              <w:jc w:val="center"/>
              <w:rPr>
                <w:rFonts w:ascii="Arial" w:hAnsi="Arial" w:cs="Arial"/>
                <w:szCs w:val="24"/>
              </w:rPr>
            </w:pPr>
            <w:r w:rsidRPr="00CF788E">
              <w:rPr>
                <w:rFonts w:ascii="Arial" w:hAnsi="Arial" w:cs="Arial"/>
                <w:szCs w:val="24"/>
              </w:rPr>
              <w:t>$</w:t>
            </w:r>
            <w:r w:rsidR="00CF788E" w:rsidRPr="00CF788E">
              <w:rPr>
                <w:rFonts w:ascii="Arial" w:hAnsi="Arial" w:cs="Arial"/>
                <w:szCs w:val="24"/>
              </w:rPr>
              <w:t xml:space="preserve"> </w:t>
            </w:r>
            <w:r w:rsidR="003A2E25">
              <w:rPr>
                <w:rFonts w:ascii="Arial" w:hAnsi="Arial" w:cs="Arial"/>
                <w:szCs w:val="24"/>
              </w:rPr>
              <w:t xml:space="preserve"> </w:t>
            </w:r>
            <w:r w:rsidR="001F738A">
              <w:rPr>
                <w:rFonts w:ascii="Arial" w:hAnsi="Arial" w:cs="Arial"/>
                <w:szCs w:val="24"/>
              </w:rPr>
              <w:t xml:space="preserve"> </w:t>
            </w:r>
            <w:r w:rsidR="00655CD6">
              <w:rPr>
                <w:rFonts w:ascii="Arial" w:hAnsi="Arial" w:cs="Arial"/>
                <w:szCs w:val="24"/>
              </w:rPr>
              <w:t xml:space="preserve"> </w:t>
            </w:r>
            <w:r w:rsidR="001F738A">
              <w:rPr>
                <w:rFonts w:ascii="Arial" w:hAnsi="Arial" w:cs="Arial"/>
                <w:szCs w:val="24"/>
              </w:rPr>
              <w:t xml:space="preserve"> </w:t>
            </w:r>
            <w:r w:rsidR="003A2E25">
              <w:rPr>
                <w:rFonts w:ascii="Arial" w:hAnsi="Arial" w:cs="Arial"/>
                <w:szCs w:val="24"/>
              </w:rPr>
              <w:t xml:space="preserve">  </w:t>
            </w:r>
            <w:r w:rsidR="004E12D6">
              <w:rPr>
                <w:rFonts w:ascii="Arial" w:hAnsi="Arial" w:cs="Arial"/>
                <w:szCs w:val="24"/>
              </w:rPr>
              <w:t>738,970</w:t>
            </w:r>
          </w:p>
        </w:tc>
        <w:tc>
          <w:tcPr>
            <w:tcW w:w="1997" w:type="dxa"/>
            <w:tcBorders>
              <w:top w:val="nil"/>
              <w:left w:val="nil"/>
              <w:bottom w:val="nil"/>
              <w:right w:val="nil"/>
            </w:tcBorders>
          </w:tcPr>
          <w:p w:rsidR="005E266C" w:rsidRDefault="004E12D6" w:rsidP="0055057A">
            <w:pPr>
              <w:ind w:right="41"/>
              <w:jc w:val="right"/>
              <w:rPr>
                <w:rFonts w:ascii="Arial" w:hAnsi="Arial" w:cs="Arial"/>
                <w:szCs w:val="24"/>
              </w:rPr>
            </w:pPr>
            <w:r>
              <w:rPr>
                <w:rFonts w:ascii="Arial" w:hAnsi="Arial" w:cs="Arial"/>
                <w:szCs w:val="24"/>
              </w:rPr>
              <w:t>$</w:t>
            </w:r>
            <w:r w:rsidR="0055057A">
              <w:rPr>
                <w:rFonts w:ascii="Arial" w:hAnsi="Arial" w:cs="Arial"/>
                <w:szCs w:val="24"/>
              </w:rPr>
              <w:t xml:space="preserve"> </w:t>
            </w:r>
            <w:r>
              <w:rPr>
                <w:rFonts w:ascii="Arial" w:hAnsi="Arial" w:cs="Arial"/>
                <w:szCs w:val="24"/>
              </w:rPr>
              <w:t>(11,995,838</w:t>
            </w:r>
            <w:r w:rsidR="009176F9">
              <w:rPr>
                <w:rFonts w:ascii="Arial" w:hAnsi="Arial" w:cs="Arial"/>
                <w:szCs w:val="24"/>
              </w:rPr>
              <w:t>)</w:t>
            </w:r>
          </w:p>
          <w:p w:rsidR="00AD327E" w:rsidRPr="002C61BD" w:rsidRDefault="00AD327E" w:rsidP="003A2E25">
            <w:pPr>
              <w:jc w:val="right"/>
              <w:rPr>
                <w:rFonts w:ascii="Arial" w:hAnsi="Arial" w:cs="Arial"/>
                <w:szCs w:val="24"/>
              </w:rPr>
            </w:pPr>
          </w:p>
        </w:tc>
      </w:tr>
      <w:tr w:rsidR="005E266C" w:rsidRPr="002C61BD" w:rsidTr="00CF161E">
        <w:trPr>
          <w:trHeight w:val="288"/>
          <w:jc w:val="center"/>
        </w:trPr>
        <w:tc>
          <w:tcPr>
            <w:tcW w:w="2669" w:type="dxa"/>
            <w:tcBorders>
              <w:top w:val="nil"/>
              <w:left w:val="nil"/>
              <w:bottom w:val="nil"/>
              <w:right w:val="nil"/>
            </w:tcBorders>
            <w:shd w:val="clear" w:color="auto" w:fill="auto"/>
            <w:noWrap/>
            <w:vAlign w:val="bottom"/>
          </w:tcPr>
          <w:p w:rsidR="005E266C" w:rsidRPr="002C61BD" w:rsidRDefault="005E266C" w:rsidP="00233FB3">
            <w:pPr>
              <w:rPr>
                <w:rFonts w:ascii="Arial" w:hAnsi="Arial" w:cs="Arial"/>
                <w:szCs w:val="24"/>
              </w:rPr>
            </w:pPr>
            <w:r w:rsidRPr="002C61BD">
              <w:rPr>
                <w:rFonts w:ascii="Arial" w:hAnsi="Arial" w:cs="Arial"/>
                <w:szCs w:val="24"/>
              </w:rPr>
              <w:t>Commercial</w:t>
            </w:r>
          </w:p>
        </w:tc>
        <w:tc>
          <w:tcPr>
            <w:tcW w:w="2400" w:type="dxa"/>
            <w:tcBorders>
              <w:top w:val="nil"/>
              <w:left w:val="nil"/>
              <w:bottom w:val="nil"/>
              <w:right w:val="nil"/>
            </w:tcBorders>
            <w:shd w:val="clear" w:color="auto" w:fill="auto"/>
            <w:noWrap/>
            <w:vAlign w:val="bottom"/>
          </w:tcPr>
          <w:p w:rsidR="005E266C" w:rsidRPr="002C61BD" w:rsidRDefault="005E266C" w:rsidP="0055057A">
            <w:pPr>
              <w:ind w:right="312"/>
              <w:jc w:val="right"/>
              <w:rPr>
                <w:rFonts w:ascii="Arial" w:hAnsi="Arial" w:cs="Arial"/>
                <w:szCs w:val="24"/>
              </w:rPr>
            </w:pPr>
            <w:r>
              <w:rPr>
                <w:rFonts w:ascii="Arial" w:hAnsi="Arial" w:cs="Arial"/>
                <w:szCs w:val="24"/>
              </w:rPr>
              <w:t xml:space="preserve">    </w:t>
            </w:r>
            <w:r w:rsidR="000C7861">
              <w:rPr>
                <w:rFonts w:ascii="Arial" w:hAnsi="Arial" w:cs="Arial"/>
                <w:szCs w:val="24"/>
              </w:rPr>
              <w:t>(35,368,688)</w:t>
            </w:r>
          </w:p>
        </w:tc>
        <w:tc>
          <w:tcPr>
            <w:tcW w:w="2412" w:type="dxa"/>
            <w:tcBorders>
              <w:top w:val="nil"/>
              <w:left w:val="nil"/>
              <w:bottom w:val="nil"/>
              <w:right w:val="nil"/>
            </w:tcBorders>
            <w:vAlign w:val="bottom"/>
          </w:tcPr>
          <w:p w:rsidR="005E266C" w:rsidRPr="002C61BD" w:rsidRDefault="001F738A" w:rsidP="004E12D6">
            <w:pPr>
              <w:ind w:right="-253"/>
              <w:jc w:val="center"/>
              <w:rPr>
                <w:rFonts w:ascii="Arial" w:hAnsi="Arial" w:cs="Arial"/>
                <w:szCs w:val="24"/>
              </w:rPr>
            </w:pPr>
            <w:r>
              <w:rPr>
                <w:rFonts w:ascii="Arial" w:hAnsi="Arial" w:cs="Arial"/>
                <w:szCs w:val="24"/>
              </w:rPr>
              <w:t xml:space="preserve"> </w:t>
            </w:r>
            <w:r w:rsidR="00AD327E">
              <w:rPr>
                <w:rFonts w:ascii="Arial" w:hAnsi="Arial" w:cs="Arial"/>
                <w:szCs w:val="24"/>
              </w:rPr>
              <w:t xml:space="preserve"> </w:t>
            </w:r>
            <w:r w:rsidR="004E12D6">
              <w:rPr>
                <w:rFonts w:ascii="Arial" w:hAnsi="Arial" w:cs="Arial"/>
                <w:szCs w:val="24"/>
              </w:rPr>
              <w:t>1,133,055</w:t>
            </w:r>
          </w:p>
        </w:tc>
        <w:tc>
          <w:tcPr>
            <w:tcW w:w="1997" w:type="dxa"/>
            <w:tcBorders>
              <w:top w:val="nil"/>
              <w:left w:val="nil"/>
              <w:bottom w:val="nil"/>
              <w:right w:val="nil"/>
            </w:tcBorders>
            <w:vAlign w:val="bottom"/>
          </w:tcPr>
          <w:p w:rsidR="005E266C" w:rsidRPr="002C61BD" w:rsidRDefault="005E266C" w:rsidP="004E12D6">
            <w:pPr>
              <w:ind w:right="-113"/>
              <w:jc w:val="center"/>
              <w:rPr>
                <w:rFonts w:ascii="Arial" w:hAnsi="Arial" w:cs="Arial"/>
                <w:szCs w:val="24"/>
              </w:rPr>
            </w:pPr>
            <w:r>
              <w:rPr>
                <w:rFonts w:ascii="Arial" w:hAnsi="Arial" w:cs="Arial"/>
                <w:szCs w:val="24"/>
              </w:rPr>
              <w:t xml:space="preserve"> </w:t>
            </w:r>
            <w:r w:rsidR="00AD327E">
              <w:rPr>
                <w:rFonts w:ascii="Arial" w:hAnsi="Arial" w:cs="Arial"/>
                <w:szCs w:val="24"/>
              </w:rPr>
              <w:t xml:space="preserve"> </w:t>
            </w:r>
            <w:r w:rsidR="00CF788E">
              <w:rPr>
                <w:rFonts w:ascii="Arial" w:hAnsi="Arial" w:cs="Arial"/>
                <w:szCs w:val="24"/>
              </w:rPr>
              <w:t xml:space="preserve"> </w:t>
            </w:r>
            <w:r w:rsidR="004E12D6">
              <w:rPr>
                <w:rFonts w:ascii="Arial" w:hAnsi="Arial" w:cs="Arial"/>
                <w:szCs w:val="24"/>
              </w:rPr>
              <w:t>(36,501,743)</w:t>
            </w:r>
          </w:p>
        </w:tc>
      </w:tr>
      <w:tr w:rsidR="005E266C" w:rsidRPr="002C61BD" w:rsidTr="00CF161E">
        <w:trPr>
          <w:trHeight w:val="288"/>
          <w:jc w:val="center"/>
        </w:trPr>
        <w:tc>
          <w:tcPr>
            <w:tcW w:w="2669" w:type="dxa"/>
            <w:tcBorders>
              <w:top w:val="nil"/>
              <w:left w:val="nil"/>
              <w:bottom w:val="nil"/>
              <w:right w:val="nil"/>
            </w:tcBorders>
            <w:shd w:val="clear" w:color="auto" w:fill="auto"/>
            <w:noWrap/>
            <w:vAlign w:val="bottom"/>
          </w:tcPr>
          <w:p w:rsidR="005E266C" w:rsidRPr="002C61BD" w:rsidRDefault="005E266C" w:rsidP="00233FB3">
            <w:pPr>
              <w:rPr>
                <w:rFonts w:ascii="Arial" w:hAnsi="Arial" w:cs="Arial"/>
                <w:szCs w:val="24"/>
              </w:rPr>
            </w:pPr>
          </w:p>
        </w:tc>
        <w:tc>
          <w:tcPr>
            <w:tcW w:w="2400" w:type="dxa"/>
            <w:tcBorders>
              <w:top w:val="nil"/>
              <w:left w:val="nil"/>
              <w:bottom w:val="nil"/>
              <w:right w:val="nil"/>
            </w:tcBorders>
            <w:shd w:val="clear" w:color="auto" w:fill="auto"/>
            <w:noWrap/>
            <w:vAlign w:val="bottom"/>
          </w:tcPr>
          <w:p w:rsidR="005E266C" w:rsidRPr="002C61BD" w:rsidRDefault="005E266C" w:rsidP="0055057A">
            <w:pPr>
              <w:jc w:val="right"/>
              <w:rPr>
                <w:rFonts w:ascii="Arial" w:hAnsi="Arial" w:cs="Arial"/>
                <w:szCs w:val="24"/>
              </w:rPr>
            </w:pPr>
          </w:p>
        </w:tc>
        <w:tc>
          <w:tcPr>
            <w:tcW w:w="2412" w:type="dxa"/>
            <w:tcBorders>
              <w:top w:val="nil"/>
              <w:left w:val="nil"/>
              <w:bottom w:val="nil"/>
              <w:right w:val="nil"/>
            </w:tcBorders>
            <w:vAlign w:val="bottom"/>
          </w:tcPr>
          <w:p w:rsidR="005E266C" w:rsidRPr="002C61BD" w:rsidRDefault="005E266C" w:rsidP="001A778A">
            <w:pPr>
              <w:jc w:val="center"/>
              <w:rPr>
                <w:rFonts w:ascii="Arial" w:hAnsi="Arial" w:cs="Arial"/>
                <w:szCs w:val="24"/>
              </w:rPr>
            </w:pPr>
          </w:p>
        </w:tc>
        <w:tc>
          <w:tcPr>
            <w:tcW w:w="1997" w:type="dxa"/>
            <w:tcBorders>
              <w:top w:val="nil"/>
              <w:left w:val="nil"/>
              <w:bottom w:val="nil"/>
              <w:right w:val="nil"/>
            </w:tcBorders>
            <w:vAlign w:val="bottom"/>
          </w:tcPr>
          <w:p w:rsidR="005E266C" w:rsidRPr="002C61BD" w:rsidRDefault="005E266C" w:rsidP="00233FB3">
            <w:pPr>
              <w:jc w:val="center"/>
              <w:rPr>
                <w:rFonts w:ascii="Arial" w:hAnsi="Arial" w:cs="Arial"/>
                <w:szCs w:val="24"/>
              </w:rPr>
            </w:pPr>
          </w:p>
        </w:tc>
      </w:tr>
      <w:tr w:rsidR="005E266C" w:rsidRPr="002C61BD" w:rsidTr="00CF161E">
        <w:trPr>
          <w:trHeight w:val="288"/>
          <w:jc w:val="center"/>
        </w:trPr>
        <w:tc>
          <w:tcPr>
            <w:tcW w:w="2669" w:type="dxa"/>
            <w:tcBorders>
              <w:top w:val="nil"/>
              <w:left w:val="nil"/>
              <w:bottom w:val="nil"/>
              <w:right w:val="nil"/>
            </w:tcBorders>
            <w:shd w:val="clear" w:color="auto" w:fill="auto"/>
            <w:noWrap/>
            <w:vAlign w:val="bottom"/>
          </w:tcPr>
          <w:p w:rsidR="005E266C" w:rsidRPr="002C61BD" w:rsidRDefault="005E266C" w:rsidP="00233FB3">
            <w:pPr>
              <w:rPr>
                <w:rFonts w:ascii="Arial" w:hAnsi="Arial" w:cs="Arial"/>
                <w:szCs w:val="24"/>
              </w:rPr>
            </w:pPr>
            <w:r w:rsidRPr="002C61BD">
              <w:rPr>
                <w:rFonts w:ascii="Arial" w:hAnsi="Arial" w:cs="Arial"/>
                <w:szCs w:val="24"/>
              </w:rPr>
              <w:t>Industrial</w:t>
            </w:r>
          </w:p>
        </w:tc>
        <w:tc>
          <w:tcPr>
            <w:tcW w:w="2400" w:type="dxa"/>
            <w:tcBorders>
              <w:top w:val="nil"/>
              <w:left w:val="nil"/>
              <w:bottom w:val="nil"/>
              <w:right w:val="nil"/>
            </w:tcBorders>
            <w:shd w:val="clear" w:color="auto" w:fill="auto"/>
            <w:noWrap/>
            <w:vAlign w:val="bottom"/>
          </w:tcPr>
          <w:p w:rsidR="005E266C" w:rsidRPr="002C61BD" w:rsidRDefault="005E266C" w:rsidP="0055057A">
            <w:pPr>
              <w:ind w:right="312"/>
              <w:jc w:val="right"/>
              <w:rPr>
                <w:rFonts w:ascii="Arial" w:hAnsi="Arial" w:cs="Arial"/>
                <w:szCs w:val="24"/>
              </w:rPr>
            </w:pPr>
            <w:r>
              <w:rPr>
                <w:rFonts w:ascii="Arial" w:hAnsi="Arial" w:cs="Arial"/>
                <w:szCs w:val="24"/>
              </w:rPr>
              <w:t xml:space="preserve">    </w:t>
            </w:r>
            <w:r w:rsidR="000C7861">
              <w:rPr>
                <w:rFonts w:ascii="Arial" w:hAnsi="Arial" w:cs="Arial"/>
                <w:szCs w:val="24"/>
              </w:rPr>
              <w:t>(31,949,915)</w:t>
            </w:r>
          </w:p>
        </w:tc>
        <w:tc>
          <w:tcPr>
            <w:tcW w:w="2412" w:type="dxa"/>
            <w:tcBorders>
              <w:top w:val="nil"/>
              <w:left w:val="nil"/>
              <w:bottom w:val="nil"/>
              <w:right w:val="nil"/>
            </w:tcBorders>
            <w:vAlign w:val="bottom"/>
          </w:tcPr>
          <w:p w:rsidR="005E266C" w:rsidRPr="002C61BD" w:rsidRDefault="001F738A" w:rsidP="00655CD6">
            <w:pPr>
              <w:tabs>
                <w:tab w:val="left" w:pos="729"/>
              </w:tabs>
              <w:jc w:val="center"/>
              <w:rPr>
                <w:rFonts w:ascii="Arial" w:hAnsi="Arial" w:cs="Arial"/>
                <w:szCs w:val="24"/>
              </w:rPr>
            </w:pPr>
            <w:r>
              <w:rPr>
                <w:rFonts w:ascii="Arial" w:hAnsi="Arial" w:cs="Arial"/>
                <w:szCs w:val="24"/>
              </w:rPr>
              <w:t xml:space="preserve"> </w:t>
            </w:r>
            <w:r w:rsidR="005E266C">
              <w:rPr>
                <w:rFonts w:ascii="Arial" w:hAnsi="Arial" w:cs="Arial"/>
                <w:szCs w:val="24"/>
              </w:rPr>
              <w:t xml:space="preserve">  </w:t>
            </w:r>
            <w:r w:rsidR="00655CD6">
              <w:rPr>
                <w:rFonts w:ascii="Arial" w:hAnsi="Arial" w:cs="Arial"/>
                <w:szCs w:val="24"/>
              </w:rPr>
              <w:t xml:space="preserve">  </w:t>
            </w:r>
            <w:r w:rsidR="005E266C">
              <w:rPr>
                <w:rFonts w:ascii="Arial" w:hAnsi="Arial" w:cs="Arial"/>
                <w:szCs w:val="24"/>
              </w:rPr>
              <w:t xml:space="preserve">  </w:t>
            </w:r>
            <w:r w:rsidR="00CF788E">
              <w:rPr>
                <w:rFonts w:ascii="Arial" w:hAnsi="Arial" w:cs="Arial"/>
                <w:szCs w:val="24"/>
              </w:rPr>
              <w:t xml:space="preserve"> </w:t>
            </w:r>
            <w:r w:rsidR="003A2E25">
              <w:rPr>
                <w:rFonts w:ascii="Arial" w:hAnsi="Arial" w:cs="Arial"/>
                <w:szCs w:val="24"/>
              </w:rPr>
              <w:t>(792,721)</w:t>
            </w:r>
          </w:p>
        </w:tc>
        <w:tc>
          <w:tcPr>
            <w:tcW w:w="1997" w:type="dxa"/>
            <w:tcBorders>
              <w:top w:val="nil"/>
              <w:left w:val="nil"/>
              <w:bottom w:val="nil"/>
              <w:right w:val="nil"/>
            </w:tcBorders>
            <w:vAlign w:val="bottom"/>
          </w:tcPr>
          <w:p w:rsidR="005E266C" w:rsidRPr="002C61BD" w:rsidRDefault="005E266C" w:rsidP="0055057A">
            <w:pPr>
              <w:ind w:right="41"/>
              <w:jc w:val="right"/>
              <w:rPr>
                <w:rFonts w:ascii="Arial" w:hAnsi="Arial" w:cs="Arial"/>
                <w:szCs w:val="24"/>
              </w:rPr>
            </w:pPr>
            <w:r>
              <w:rPr>
                <w:rFonts w:ascii="Arial" w:hAnsi="Arial" w:cs="Arial"/>
                <w:szCs w:val="24"/>
              </w:rPr>
              <w:t xml:space="preserve"> </w:t>
            </w:r>
            <w:r w:rsidR="004E12D6">
              <w:rPr>
                <w:rFonts w:ascii="Arial" w:hAnsi="Arial" w:cs="Arial"/>
                <w:szCs w:val="24"/>
              </w:rPr>
              <w:t xml:space="preserve"> (31,157,194</w:t>
            </w:r>
            <w:r w:rsidR="006D69A6">
              <w:rPr>
                <w:rFonts w:ascii="Arial" w:hAnsi="Arial" w:cs="Arial"/>
                <w:szCs w:val="24"/>
              </w:rPr>
              <w:t>)</w:t>
            </w:r>
          </w:p>
        </w:tc>
      </w:tr>
      <w:tr w:rsidR="00CF788E" w:rsidRPr="002C61BD" w:rsidTr="00CF161E">
        <w:trPr>
          <w:trHeight w:val="288"/>
          <w:jc w:val="center"/>
        </w:trPr>
        <w:tc>
          <w:tcPr>
            <w:tcW w:w="2669" w:type="dxa"/>
            <w:tcBorders>
              <w:top w:val="nil"/>
              <w:left w:val="nil"/>
              <w:bottom w:val="nil"/>
              <w:right w:val="nil"/>
            </w:tcBorders>
            <w:shd w:val="clear" w:color="auto" w:fill="auto"/>
            <w:noWrap/>
            <w:vAlign w:val="bottom"/>
          </w:tcPr>
          <w:p w:rsidR="00CF788E" w:rsidRPr="002C61BD" w:rsidRDefault="00CF788E" w:rsidP="00233FB3">
            <w:pPr>
              <w:rPr>
                <w:rFonts w:ascii="Arial" w:hAnsi="Arial" w:cs="Arial"/>
                <w:szCs w:val="24"/>
              </w:rPr>
            </w:pPr>
          </w:p>
        </w:tc>
        <w:tc>
          <w:tcPr>
            <w:tcW w:w="2400" w:type="dxa"/>
            <w:tcBorders>
              <w:top w:val="nil"/>
              <w:left w:val="nil"/>
              <w:bottom w:val="nil"/>
              <w:right w:val="nil"/>
            </w:tcBorders>
            <w:shd w:val="clear" w:color="auto" w:fill="auto"/>
            <w:noWrap/>
            <w:vAlign w:val="bottom"/>
          </w:tcPr>
          <w:p w:rsidR="00CF788E" w:rsidRDefault="00CF788E" w:rsidP="0055057A">
            <w:pPr>
              <w:jc w:val="right"/>
              <w:rPr>
                <w:rFonts w:ascii="Arial" w:hAnsi="Arial" w:cs="Arial"/>
                <w:szCs w:val="24"/>
              </w:rPr>
            </w:pPr>
          </w:p>
        </w:tc>
        <w:tc>
          <w:tcPr>
            <w:tcW w:w="2412" w:type="dxa"/>
            <w:tcBorders>
              <w:top w:val="nil"/>
              <w:left w:val="nil"/>
              <w:bottom w:val="nil"/>
              <w:right w:val="nil"/>
            </w:tcBorders>
            <w:vAlign w:val="bottom"/>
          </w:tcPr>
          <w:p w:rsidR="00CF788E" w:rsidRDefault="00CF788E" w:rsidP="001A778A">
            <w:pPr>
              <w:jc w:val="center"/>
              <w:rPr>
                <w:rFonts w:ascii="Arial" w:hAnsi="Arial" w:cs="Arial"/>
                <w:szCs w:val="24"/>
              </w:rPr>
            </w:pPr>
          </w:p>
        </w:tc>
        <w:tc>
          <w:tcPr>
            <w:tcW w:w="1997" w:type="dxa"/>
            <w:tcBorders>
              <w:top w:val="nil"/>
              <w:left w:val="nil"/>
              <w:bottom w:val="nil"/>
              <w:right w:val="nil"/>
            </w:tcBorders>
            <w:vAlign w:val="bottom"/>
          </w:tcPr>
          <w:p w:rsidR="00CF788E" w:rsidRDefault="00CF788E" w:rsidP="00233FB3">
            <w:pPr>
              <w:jc w:val="center"/>
              <w:rPr>
                <w:rFonts w:ascii="Arial" w:hAnsi="Arial" w:cs="Arial"/>
                <w:szCs w:val="24"/>
              </w:rPr>
            </w:pPr>
          </w:p>
        </w:tc>
      </w:tr>
      <w:tr w:rsidR="00CF788E" w:rsidRPr="002C61BD" w:rsidTr="00CF161E">
        <w:trPr>
          <w:trHeight w:val="288"/>
          <w:jc w:val="center"/>
        </w:trPr>
        <w:tc>
          <w:tcPr>
            <w:tcW w:w="2669" w:type="dxa"/>
            <w:tcBorders>
              <w:top w:val="nil"/>
              <w:left w:val="nil"/>
              <w:bottom w:val="nil"/>
              <w:right w:val="nil"/>
            </w:tcBorders>
            <w:shd w:val="clear" w:color="auto" w:fill="auto"/>
            <w:noWrap/>
            <w:vAlign w:val="bottom"/>
          </w:tcPr>
          <w:p w:rsidR="00CF788E" w:rsidRPr="002C61BD" w:rsidRDefault="00CF788E" w:rsidP="00CF788E">
            <w:pPr>
              <w:rPr>
                <w:rFonts w:ascii="Arial" w:hAnsi="Arial" w:cs="Arial"/>
                <w:szCs w:val="24"/>
              </w:rPr>
            </w:pPr>
            <w:r w:rsidRPr="002C61BD">
              <w:rPr>
                <w:rFonts w:ascii="Arial" w:hAnsi="Arial" w:cs="Arial"/>
                <w:szCs w:val="24"/>
              </w:rPr>
              <w:t>Street Lighting</w:t>
            </w:r>
          </w:p>
        </w:tc>
        <w:tc>
          <w:tcPr>
            <w:tcW w:w="2400" w:type="dxa"/>
            <w:tcBorders>
              <w:top w:val="nil"/>
              <w:left w:val="nil"/>
              <w:bottom w:val="nil"/>
              <w:right w:val="nil"/>
            </w:tcBorders>
            <w:shd w:val="clear" w:color="auto" w:fill="auto"/>
            <w:noWrap/>
            <w:vAlign w:val="bottom"/>
          </w:tcPr>
          <w:p w:rsidR="00CF788E" w:rsidRPr="00BB5A87" w:rsidRDefault="00CF788E" w:rsidP="0055057A">
            <w:pPr>
              <w:ind w:right="312"/>
              <w:jc w:val="right"/>
              <w:rPr>
                <w:rFonts w:ascii="Arial" w:hAnsi="Arial" w:cs="Arial"/>
                <w:szCs w:val="24"/>
                <w:u w:val="single"/>
              </w:rPr>
            </w:pPr>
            <w:r w:rsidRPr="00BB5A87">
              <w:rPr>
                <w:rFonts w:ascii="Arial" w:hAnsi="Arial" w:cs="Arial"/>
                <w:szCs w:val="24"/>
                <w:u w:val="single"/>
              </w:rPr>
              <w:t xml:space="preserve">     </w:t>
            </w:r>
            <w:r w:rsidR="000C7861">
              <w:rPr>
                <w:rFonts w:ascii="Arial" w:hAnsi="Arial" w:cs="Arial"/>
                <w:szCs w:val="24"/>
                <w:u w:val="single"/>
              </w:rPr>
              <w:t>(1,347,241)</w:t>
            </w:r>
          </w:p>
        </w:tc>
        <w:tc>
          <w:tcPr>
            <w:tcW w:w="2412" w:type="dxa"/>
            <w:tcBorders>
              <w:top w:val="nil"/>
              <w:left w:val="nil"/>
              <w:bottom w:val="nil"/>
              <w:right w:val="nil"/>
            </w:tcBorders>
            <w:vAlign w:val="bottom"/>
          </w:tcPr>
          <w:p w:rsidR="00CF788E" w:rsidRPr="00BB5A87" w:rsidRDefault="001F738A" w:rsidP="00E44DD7">
            <w:pPr>
              <w:ind w:right="384"/>
              <w:jc w:val="right"/>
              <w:rPr>
                <w:rFonts w:ascii="Arial" w:hAnsi="Arial" w:cs="Arial"/>
                <w:szCs w:val="24"/>
                <w:u w:val="single"/>
              </w:rPr>
            </w:pPr>
            <w:r>
              <w:rPr>
                <w:rFonts w:ascii="Arial" w:hAnsi="Arial" w:cs="Arial"/>
                <w:szCs w:val="24"/>
                <w:u w:val="single"/>
              </w:rPr>
              <w:t xml:space="preserve"> </w:t>
            </w:r>
            <w:r w:rsidR="00CF788E" w:rsidRPr="00BB5A87">
              <w:rPr>
                <w:rFonts w:ascii="Arial" w:hAnsi="Arial" w:cs="Arial"/>
                <w:szCs w:val="24"/>
                <w:u w:val="single"/>
              </w:rPr>
              <w:t xml:space="preserve">  </w:t>
            </w:r>
            <w:r>
              <w:rPr>
                <w:rFonts w:ascii="Arial" w:hAnsi="Arial" w:cs="Arial"/>
                <w:szCs w:val="24"/>
                <w:u w:val="single"/>
              </w:rPr>
              <w:t xml:space="preserve"> </w:t>
            </w:r>
            <w:r w:rsidR="00E44DD7">
              <w:rPr>
                <w:rFonts w:ascii="Arial" w:hAnsi="Arial" w:cs="Arial"/>
                <w:szCs w:val="24"/>
                <w:u w:val="single"/>
              </w:rPr>
              <w:t xml:space="preserve">  </w:t>
            </w:r>
            <w:r>
              <w:rPr>
                <w:rFonts w:ascii="Arial" w:hAnsi="Arial" w:cs="Arial"/>
                <w:szCs w:val="24"/>
                <w:u w:val="single"/>
              </w:rPr>
              <w:t xml:space="preserve"> </w:t>
            </w:r>
            <w:r w:rsidR="00CF788E" w:rsidRPr="00BB5A87">
              <w:rPr>
                <w:rFonts w:ascii="Arial" w:hAnsi="Arial" w:cs="Arial"/>
                <w:szCs w:val="24"/>
                <w:u w:val="single"/>
              </w:rPr>
              <w:t xml:space="preserve"> </w:t>
            </w:r>
            <w:r w:rsidR="00CF788E">
              <w:rPr>
                <w:rFonts w:ascii="Arial" w:hAnsi="Arial" w:cs="Arial"/>
                <w:szCs w:val="24"/>
                <w:u w:val="single"/>
              </w:rPr>
              <w:t xml:space="preserve">   </w:t>
            </w:r>
            <w:r w:rsidR="003A2E25">
              <w:rPr>
                <w:rFonts w:ascii="Arial" w:hAnsi="Arial" w:cs="Arial"/>
                <w:szCs w:val="24"/>
                <w:u w:val="single"/>
              </w:rPr>
              <w:t>23,230</w:t>
            </w:r>
          </w:p>
        </w:tc>
        <w:tc>
          <w:tcPr>
            <w:tcW w:w="1997" w:type="dxa"/>
            <w:tcBorders>
              <w:top w:val="nil"/>
              <w:left w:val="nil"/>
              <w:bottom w:val="nil"/>
              <w:right w:val="nil"/>
            </w:tcBorders>
            <w:vAlign w:val="bottom"/>
          </w:tcPr>
          <w:p w:rsidR="00CF788E" w:rsidRPr="00BB5A87" w:rsidRDefault="003A2E25" w:rsidP="0055057A">
            <w:pPr>
              <w:ind w:right="41"/>
              <w:jc w:val="right"/>
              <w:rPr>
                <w:rFonts w:ascii="Arial" w:hAnsi="Arial" w:cs="Arial"/>
                <w:szCs w:val="24"/>
                <w:u w:val="single"/>
              </w:rPr>
            </w:pPr>
            <w:r>
              <w:rPr>
                <w:rFonts w:ascii="Arial" w:hAnsi="Arial" w:cs="Arial"/>
                <w:szCs w:val="24"/>
                <w:u w:val="single"/>
              </w:rPr>
              <w:t>(</w:t>
            </w:r>
            <w:r w:rsidR="00CF788E" w:rsidRPr="00BB5A87">
              <w:rPr>
                <w:rFonts w:ascii="Arial" w:hAnsi="Arial" w:cs="Arial"/>
                <w:szCs w:val="24"/>
                <w:u w:val="single"/>
              </w:rPr>
              <w:t>1,3</w:t>
            </w:r>
            <w:r>
              <w:rPr>
                <w:rFonts w:ascii="Arial" w:hAnsi="Arial" w:cs="Arial"/>
                <w:szCs w:val="24"/>
                <w:u w:val="single"/>
              </w:rPr>
              <w:t>70,471)</w:t>
            </w:r>
          </w:p>
        </w:tc>
      </w:tr>
      <w:tr w:rsidR="00CF788E" w:rsidRPr="002C61BD" w:rsidTr="00CF161E">
        <w:trPr>
          <w:trHeight w:val="288"/>
          <w:jc w:val="center"/>
        </w:trPr>
        <w:tc>
          <w:tcPr>
            <w:tcW w:w="2669" w:type="dxa"/>
            <w:tcBorders>
              <w:top w:val="nil"/>
              <w:left w:val="nil"/>
              <w:bottom w:val="nil"/>
              <w:right w:val="nil"/>
            </w:tcBorders>
            <w:shd w:val="clear" w:color="auto" w:fill="auto"/>
            <w:noWrap/>
            <w:vAlign w:val="bottom"/>
          </w:tcPr>
          <w:p w:rsidR="00CF788E" w:rsidRPr="002C61BD" w:rsidRDefault="00CF788E" w:rsidP="00233FB3">
            <w:pPr>
              <w:rPr>
                <w:rFonts w:ascii="Arial" w:hAnsi="Arial" w:cs="Arial"/>
                <w:szCs w:val="24"/>
              </w:rPr>
            </w:pPr>
          </w:p>
        </w:tc>
        <w:tc>
          <w:tcPr>
            <w:tcW w:w="2400" w:type="dxa"/>
            <w:tcBorders>
              <w:top w:val="nil"/>
              <w:left w:val="nil"/>
              <w:right w:val="nil"/>
            </w:tcBorders>
            <w:shd w:val="clear" w:color="auto" w:fill="auto"/>
            <w:noWrap/>
            <w:vAlign w:val="bottom"/>
          </w:tcPr>
          <w:p w:rsidR="00CF788E" w:rsidRPr="002C61BD" w:rsidRDefault="00CF788E" w:rsidP="0055057A">
            <w:pPr>
              <w:jc w:val="right"/>
              <w:rPr>
                <w:rFonts w:ascii="Arial" w:hAnsi="Arial" w:cs="Arial"/>
                <w:szCs w:val="24"/>
              </w:rPr>
            </w:pPr>
          </w:p>
        </w:tc>
        <w:tc>
          <w:tcPr>
            <w:tcW w:w="2412" w:type="dxa"/>
            <w:tcBorders>
              <w:top w:val="nil"/>
              <w:left w:val="nil"/>
              <w:bottom w:val="nil"/>
              <w:right w:val="nil"/>
            </w:tcBorders>
            <w:vAlign w:val="bottom"/>
          </w:tcPr>
          <w:p w:rsidR="00CF788E" w:rsidRPr="002C61BD" w:rsidRDefault="00CF788E" w:rsidP="00CF788E">
            <w:pPr>
              <w:ind w:right="-73"/>
              <w:jc w:val="center"/>
              <w:rPr>
                <w:rFonts w:ascii="Arial" w:hAnsi="Arial" w:cs="Arial"/>
                <w:szCs w:val="24"/>
              </w:rPr>
            </w:pPr>
          </w:p>
        </w:tc>
        <w:tc>
          <w:tcPr>
            <w:tcW w:w="1997" w:type="dxa"/>
            <w:tcBorders>
              <w:top w:val="nil"/>
              <w:left w:val="nil"/>
              <w:bottom w:val="nil"/>
              <w:right w:val="nil"/>
            </w:tcBorders>
            <w:vAlign w:val="bottom"/>
          </w:tcPr>
          <w:p w:rsidR="00CF788E" w:rsidRPr="002C61BD" w:rsidRDefault="00CF788E" w:rsidP="00CF788E">
            <w:pPr>
              <w:ind w:right="-383"/>
              <w:jc w:val="center"/>
              <w:rPr>
                <w:rFonts w:ascii="Arial" w:hAnsi="Arial" w:cs="Arial"/>
                <w:szCs w:val="24"/>
              </w:rPr>
            </w:pPr>
          </w:p>
        </w:tc>
      </w:tr>
      <w:tr w:rsidR="00CF788E" w:rsidRPr="002C61BD" w:rsidTr="00CF161E">
        <w:trPr>
          <w:trHeight w:val="288"/>
          <w:jc w:val="center"/>
        </w:trPr>
        <w:tc>
          <w:tcPr>
            <w:tcW w:w="2669" w:type="dxa"/>
            <w:tcBorders>
              <w:top w:val="nil"/>
              <w:left w:val="nil"/>
              <w:bottom w:val="nil"/>
              <w:right w:val="nil"/>
            </w:tcBorders>
            <w:shd w:val="clear" w:color="auto" w:fill="auto"/>
            <w:noWrap/>
            <w:vAlign w:val="bottom"/>
          </w:tcPr>
          <w:p w:rsidR="00CF788E" w:rsidRPr="002C61BD" w:rsidRDefault="009176F9" w:rsidP="00E16A84">
            <w:pPr>
              <w:rPr>
                <w:rFonts w:ascii="Arial" w:hAnsi="Arial" w:cs="Arial"/>
                <w:szCs w:val="24"/>
              </w:rPr>
            </w:pPr>
            <w:r>
              <w:rPr>
                <w:rFonts w:ascii="Arial" w:hAnsi="Arial" w:cs="Arial"/>
                <w:szCs w:val="24"/>
              </w:rPr>
              <w:t xml:space="preserve"> </w:t>
            </w:r>
            <w:r w:rsidR="002A40DA">
              <w:rPr>
                <w:rFonts w:ascii="Arial" w:hAnsi="Arial" w:cs="Arial"/>
                <w:szCs w:val="24"/>
              </w:rPr>
              <w:t xml:space="preserve">  </w:t>
            </w:r>
            <w:r w:rsidR="00E16A84">
              <w:rPr>
                <w:rFonts w:ascii="Arial" w:hAnsi="Arial" w:cs="Arial"/>
                <w:szCs w:val="24"/>
              </w:rPr>
              <w:t xml:space="preserve">  </w:t>
            </w:r>
            <w:r>
              <w:rPr>
                <w:rFonts w:ascii="Arial" w:hAnsi="Arial" w:cs="Arial"/>
                <w:szCs w:val="24"/>
              </w:rPr>
              <w:t>Totals</w:t>
            </w:r>
          </w:p>
        </w:tc>
        <w:tc>
          <w:tcPr>
            <w:tcW w:w="2400" w:type="dxa"/>
            <w:tcBorders>
              <w:top w:val="nil"/>
              <w:left w:val="nil"/>
              <w:right w:val="nil"/>
            </w:tcBorders>
            <w:shd w:val="clear" w:color="auto" w:fill="auto"/>
            <w:noWrap/>
            <w:vAlign w:val="bottom"/>
          </w:tcPr>
          <w:p w:rsidR="00CF788E" w:rsidRPr="0065659A" w:rsidRDefault="00CF788E" w:rsidP="0055057A">
            <w:pPr>
              <w:ind w:right="312"/>
              <w:jc w:val="right"/>
              <w:rPr>
                <w:rFonts w:ascii="Arial" w:hAnsi="Arial" w:cs="Arial"/>
                <w:szCs w:val="24"/>
              </w:rPr>
            </w:pPr>
            <w:r w:rsidRPr="0065659A">
              <w:rPr>
                <w:rFonts w:ascii="Arial" w:hAnsi="Arial" w:cs="Arial"/>
                <w:szCs w:val="24"/>
              </w:rPr>
              <w:t xml:space="preserve">$ </w:t>
            </w:r>
            <w:r w:rsidR="009176F9" w:rsidRPr="0065659A">
              <w:rPr>
                <w:rFonts w:ascii="Arial" w:hAnsi="Arial" w:cs="Arial"/>
                <w:szCs w:val="24"/>
              </w:rPr>
              <w:t>(79,922,711)</w:t>
            </w:r>
          </w:p>
        </w:tc>
        <w:tc>
          <w:tcPr>
            <w:tcW w:w="2412" w:type="dxa"/>
            <w:tcBorders>
              <w:top w:val="nil"/>
              <w:left w:val="nil"/>
              <w:bottom w:val="nil"/>
              <w:right w:val="nil"/>
            </w:tcBorders>
            <w:vAlign w:val="bottom"/>
          </w:tcPr>
          <w:p w:rsidR="00CF788E" w:rsidRPr="0065659A" w:rsidRDefault="00CF788E" w:rsidP="009D410C">
            <w:pPr>
              <w:tabs>
                <w:tab w:val="left" w:pos="1812"/>
              </w:tabs>
              <w:jc w:val="center"/>
              <w:rPr>
                <w:rFonts w:ascii="Arial" w:hAnsi="Arial" w:cs="Arial"/>
                <w:szCs w:val="24"/>
              </w:rPr>
            </w:pPr>
            <w:r w:rsidRPr="0065659A">
              <w:rPr>
                <w:rFonts w:ascii="Arial" w:hAnsi="Arial" w:cs="Arial"/>
                <w:szCs w:val="24"/>
              </w:rPr>
              <w:t>$</w:t>
            </w:r>
            <w:r w:rsidR="001F738A" w:rsidRPr="0065659A">
              <w:rPr>
                <w:rFonts w:ascii="Arial" w:hAnsi="Arial" w:cs="Arial"/>
                <w:szCs w:val="24"/>
              </w:rPr>
              <w:t xml:space="preserve">    </w:t>
            </w:r>
            <w:r w:rsidR="009176F9" w:rsidRPr="0065659A">
              <w:rPr>
                <w:rFonts w:ascii="Arial" w:hAnsi="Arial" w:cs="Arial"/>
                <w:szCs w:val="24"/>
              </w:rPr>
              <w:t>1,102,534</w:t>
            </w:r>
          </w:p>
        </w:tc>
        <w:tc>
          <w:tcPr>
            <w:tcW w:w="1997" w:type="dxa"/>
            <w:tcBorders>
              <w:top w:val="nil"/>
              <w:left w:val="nil"/>
              <w:bottom w:val="nil"/>
              <w:right w:val="nil"/>
            </w:tcBorders>
            <w:vAlign w:val="bottom"/>
          </w:tcPr>
          <w:p w:rsidR="00CF788E" w:rsidRPr="0065659A" w:rsidRDefault="009176F9" w:rsidP="0055057A">
            <w:pPr>
              <w:ind w:right="41"/>
              <w:jc w:val="right"/>
              <w:rPr>
                <w:rFonts w:ascii="Arial" w:hAnsi="Arial" w:cs="Arial"/>
                <w:szCs w:val="24"/>
              </w:rPr>
            </w:pPr>
            <w:r w:rsidRPr="0065659A">
              <w:rPr>
                <w:rFonts w:ascii="Arial" w:hAnsi="Arial" w:cs="Arial"/>
                <w:szCs w:val="24"/>
              </w:rPr>
              <w:t>$</w:t>
            </w:r>
            <w:r w:rsidR="0055057A" w:rsidRPr="0065659A">
              <w:rPr>
                <w:rFonts w:ascii="Arial" w:hAnsi="Arial" w:cs="Arial"/>
                <w:szCs w:val="24"/>
              </w:rPr>
              <w:t xml:space="preserve"> </w:t>
            </w:r>
            <w:r w:rsidRPr="0065659A">
              <w:rPr>
                <w:rFonts w:ascii="Arial" w:hAnsi="Arial" w:cs="Arial"/>
                <w:szCs w:val="24"/>
              </w:rPr>
              <w:t>(81,025,246)</w:t>
            </w:r>
            <w:r w:rsidR="0055057A" w:rsidRPr="0065659A">
              <w:rPr>
                <w:rFonts w:ascii="Arial" w:hAnsi="Arial" w:cs="Arial"/>
                <w:szCs w:val="24"/>
              </w:rPr>
              <w:t xml:space="preserve"> </w:t>
            </w:r>
          </w:p>
        </w:tc>
      </w:tr>
      <w:tr w:rsidR="00CF788E" w:rsidRPr="002C61BD" w:rsidTr="00CF161E">
        <w:trPr>
          <w:trHeight w:val="288"/>
          <w:jc w:val="center"/>
        </w:trPr>
        <w:tc>
          <w:tcPr>
            <w:tcW w:w="2669" w:type="dxa"/>
            <w:tcBorders>
              <w:top w:val="nil"/>
              <w:left w:val="nil"/>
              <w:bottom w:val="nil"/>
              <w:right w:val="nil"/>
            </w:tcBorders>
            <w:shd w:val="clear" w:color="auto" w:fill="auto"/>
            <w:vAlign w:val="bottom"/>
          </w:tcPr>
          <w:p w:rsidR="00CF788E" w:rsidRPr="002C61BD" w:rsidRDefault="00CF788E" w:rsidP="00233FB3">
            <w:pPr>
              <w:rPr>
                <w:rFonts w:ascii="Arial" w:hAnsi="Arial" w:cs="Arial"/>
                <w:szCs w:val="24"/>
              </w:rPr>
            </w:pPr>
          </w:p>
        </w:tc>
        <w:tc>
          <w:tcPr>
            <w:tcW w:w="2400" w:type="dxa"/>
            <w:tcBorders>
              <w:left w:val="nil"/>
              <w:right w:val="nil"/>
            </w:tcBorders>
            <w:shd w:val="clear" w:color="auto" w:fill="auto"/>
            <w:noWrap/>
            <w:vAlign w:val="bottom"/>
          </w:tcPr>
          <w:p w:rsidR="00CF788E" w:rsidRPr="00DF7BE0" w:rsidRDefault="00CF788E" w:rsidP="0055057A">
            <w:pPr>
              <w:jc w:val="right"/>
              <w:rPr>
                <w:rFonts w:ascii="Arial" w:hAnsi="Arial" w:cs="Arial"/>
                <w:szCs w:val="24"/>
                <w:u w:val="double"/>
              </w:rPr>
            </w:pPr>
          </w:p>
        </w:tc>
        <w:tc>
          <w:tcPr>
            <w:tcW w:w="2412" w:type="dxa"/>
            <w:tcBorders>
              <w:left w:val="nil"/>
              <w:right w:val="nil"/>
            </w:tcBorders>
          </w:tcPr>
          <w:p w:rsidR="00CF788E" w:rsidRPr="004714C1" w:rsidRDefault="00CF788E" w:rsidP="00233FB3">
            <w:pPr>
              <w:jc w:val="center"/>
              <w:rPr>
                <w:rFonts w:ascii="Arial" w:hAnsi="Arial" w:cs="Arial"/>
                <w:szCs w:val="24"/>
                <w:highlight w:val="yellow"/>
                <w:u w:val="double"/>
              </w:rPr>
            </w:pPr>
          </w:p>
        </w:tc>
        <w:tc>
          <w:tcPr>
            <w:tcW w:w="1997" w:type="dxa"/>
            <w:tcBorders>
              <w:left w:val="nil"/>
              <w:right w:val="nil"/>
            </w:tcBorders>
            <w:vAlign w:val="bottom"/>
          </w:tcPr>
          <w:p w:rsidR="00CF788E" w:rsidRPr="004714C1" w:rsidRDefault="00CF788E" w:rsidP="00233FB3">
            <w:pPr>
              <w:jc w:val="center"/>
              <w:rPr>
                <w:rFonts w:ascii="Arial" w:hAnsi="Arial" w:cs="Arial"/>
                <w:szCs w:val="24"/>
                <w:highlight w:val="yellow"/>
                <w:u w:val="double"/>
              </w:rPr>
            </w:pPr>
          </w:p>
        </w:tc>
      </w:tr>
      <w:tr w:rsidR="009176F9" w:rsidRPr="002C61BD" w:rsidTr="00CF161E">
        <w:trPr>
          <w:trHeight w:val="288"/>
          <w:jc w:val="center"/>
        </w:trPr>
        <w:tc>
          <w:tcPr>
            <w:tcW w:w="2669" w:type="dxa"/>
            <w:tcBorders>
              <w:top w:val="nil"/>
              <w:left w:val="nil"/>
              <w:bottom w:val="nil"/>
              <w:right w:val="nil"/>
            </w:tcBorders>
            <w:shd w:val="clear" w:color="auto" w:fill="auto"/>
            <w:vAlign w:val="bottom"/>
          </w:tcPr>
          <w:p w:rsidR="009176F9" w:rsidRPr="002C61BD" w:rsidRDefault="006A4C6A" w:rsidP="00CF161E">
            <w:pPr>
              <w:ind w:left="365"/>
              <w:rPr>
                <w:rFonts w:ascii="Arial" w:hAnsi="Arial" w:cs="Arial"/>
                <w:szCs w:val="24"/>
              </w:rPr>
            </w:pPr>
            <w:r>
              <w:rPr>
                <w:rFonts w:ascii="Arial" w:hAnsi="Arial" w:cs="Arial"/>
                <w:szCs w:val="24"/>
              </w:rPr>
              <w:t xml:space="preserve">Phase I </w:t>
            </w:r>
            <w:r w:rsidR="006D69A6">
              <w:rPr>
                <w:rFonts w:ascii="Arial" w:hAnsi="Arial" w:cs="Arial"/>
                <w:szCs w:val="24"/>
              </w:rPr>
              <w:t>Balance a</w:t>
            </w:r>
            <w:r w:rsidR="00CF161E">
              <w:rPr>
                <w:rFonts w:ascii="Arial" w:hAnsi="Arial" w:cs="Arial"/>
                <w:szCs w:val="24"/>
              </w:rPr>
              <w:t>s of</w:t>
            </w:r>
            <w:r w:rsidR="006D69A6">
              <w:rPr>
                <w:rFonts w:ascii="Arial" w:hAnsi="Arial" w:cs="Arial"/>
                <w:szCs w:val="24"/>
              </w:rPr>
              <w:t xml:space="preserve"> May 31, 2013</w:t>
            </w:r>
            <w:r w:rsidR="00C87D39">
              <w:rPr>
                <w:rFonts w:ascii="Arial" w:hAnsi="Arial" w:cs="Arial"/>
                <w:szCs w:val="24"/>
              </w:rPr>
              <w:t>**</w:t>
            </w:r>
          </w:p>
        </w:tc>
        <w:tc>
          <w:tcPr>
            <w:tcW w:w="2400" w:type="dxa"/>
            <w:tcBorders>
              <w:left w:val="nil"/>
              <w:right w:val="nil"/>
            </w:tcBorders>
            <w:shd w:val="clear" w:color="auto" w:fill="auto"/>
            <w:noWrap/>
            <w:vAlign w:val="bottom"/>
          </w:tcPr>
          <w:p w:rsidR="009176F9" w:rsidRPr="0065659A" w:rsidRDefault="00DC123F" w:rsidP="004712A3">
            <w:pPr>
              <w:ind w:right="402"/>
              <w:jc w:val="right"/>
              <w:rPr>
                <w:rFonts w:ascii="Arial" w:hAnsi="Arial" w:cs="Arial"/>
                <w:szCs w:val="24"/>
                <w:u w:val="single"/>
              </w:rPr>
            </w:pPr>
            <w:r>
              <w:rPr>
                <w:rFonts w:ascii="Arial" w:hAnsi="Arial" w:cs="Arial"/>
                <w:szCs w:val="24"/>
                <w:u w:val="single"/>
              </w:rPr>
              <w:t xml:space="preserve">  </w:t>
            </w:r>
            <w:r w:rsidR="00CB4507" w:rsidRPr="0065659A">
              <w:rPr>
                <w:rFonts w:ascii="Arial" w:hAnsi="Arial" w:cs="Arial"/>
                <w:szCs w:val="24"/>
                <w:u w:val="single"/>
              </w:rPr>
              <w:t xml:space="preserve"> 307,101,678</w:t>
            </w:r>
          </w:p>
        </w:tc>
        <w:tc>
          <w:tcPr>
            <w:tcW w:w="2412" w:type="dxa"/>
            <w:tcBorders>
              <w:left w:val="nil"/>
              <w:right w:val="nil"/>
            </w:tcBorders>
          </w:tcPr>
          <w:p w:rsidR="006D69A6" w:rsidRDefault="006D69A6" w:rsidP="00233FB3">
            <w:pPr>
              <w:jc w:val="center"/>
              <w:rPr>
                <w:rFonts w:ascii="Arial" w:hAnsi="Arial" w:cs="Arial"/>
                <w:szCs w:val="24"/>
                <w:u w:val="double"/>
              </w:rPr>
            </w:pPr>
          </w:p>
          <w:p w:rsidR="009176F9" w:rsidRPr="0065659A" w:rsidRDefault="001F738A" w:rsidP="00EA6010">
            <w:pPr>
              <w:tabs>
                <w:tab w:val="left" w:pos="1822"/>
              </w:tabs>
              <w:ind w:right="204"/>
              <w:jc w:val="center"/>
              <w:rPr>
                <w:rFonts w:ascii="Arial" w:hAnsi="Arial" w:cs="Arial"/>
                <w:szCs w:val="24"/>
                <w:highlight w:val="yellow"/>
                <w:u w:val="single"/>
              </w:rPr>
            </w:pPr>
            <w:r w:rsidRPr="004712A3">
              <w:rPr>
                <w:rFonts w:ascii="Arial" w:hAnsi="Arial" w:cs="Arial"/>
                <w:szCs w:val="24"/>
              </w:rPr>
              <w:t xml:space="preserve"> </w:t>
            </w:r>
            <w:r w:rsidR="009D410C">
              <w:rPr>
                <w:rFonts w:ascii="Arial" w:hAnsi="Arial" w:cs="Arial"/>
                <w:szCs w:val="24"/>
              </w:rPr>
              <w:t xml:space="preserve"> </w:t>
            </w:r>
            <w:r w:rsidR="00DC123F" w:rsidRPr="00DC123F">
              <w:rPr>
                <w:rFonts w:ascii="Arial" w:hAnsi="Arial" w:cs="Arial"/>
                <w:szCs w:val="24"/>
                <w:u w:val="single"/>
              </w:rPr>
              <w:t xml:space="preserve">  </w:t>
            </w:r>
            <w:r w:rsidRPr="0065659A">
              <w:rPr>
                <w:rFonts w:ascii="Arial" w:hAnsi="Arial" w:cs="Arial"/>
                <w:szCs w:val="24"/>
                <w:u w:val="single"/>
              </w:rPr>
              <w:t xml:space="preserve"> </w:t>
            </w:r>
            <w:r w:rsidR="00CB4507" w:rsidRPr="0065659A">
              <w:rPr>
                <w:rFonts w:ascii="Arial" w:hAnsi="Arial" w:cs="Arial"/>
                <w:szCs w:val="24"/>
                <w:u w:val="single"/>
              </w:rPr>
              <w:t>226,436,316</w:t>
            </w:r>
            <w:r w:rsidR="009D410C" w:rsidRPr="0065659A">
              <w:rPr>
                <w:rFonts w:ascii="Arial" w:hAnsi="Arial" w:cs="Arial"/>
                <w:szCs w:val="24"/>
                <w:u w:val="single"/>
              </w:rPr>
              <w:t xml:space="preserve">   </w:t>
            </w:r>
          </w:p>
        </w:tc>
        <w:tc>
          <w:tcPr>
            <w:tcW w:w="1997" w:type="dxa"/>
            <w:tcBorders>
              <w:left w:val="nil"/>
              <w:right w:val="nil"/>
            </w:tcBorders>
            <w:vAlign w:val="bottom"/>
          </w:tcPr>
          <w:p w:rsidR="009176F9" w:rsidRPr="0065659A" w:rsidRDefault="00CB4507" w:rsidP="00DC123F">
            <w:pPr>
              <w:ind w:right="131"/>
              <w:jc w:val="right"/>
              <w:rPr>
                <w:rFonts w:ascii="Arial" w:hAnsi="Arial" w:cs="Arial"/>
                <w:szCs w:val="24"/>
                <w:highlight w:val="yellow"/>
                <w:u w:val="single"/>
              </w:rPr>
            </w:pPr>
            <w:r w:rsidRPr="004712A3">
              <w:rPr>
                <w:rFonts w:ascii="Arial" w:hAnsi="Arial" w:cs="Arial"/>
                <w:szCs w:val="24"/>
              </w:rPr>
              <w:t xml:space="preserve"> </w:t>
            </w:r>
            <w:r w:rsidR="0055057A" w:rsidRPr="00DC123F">
              <w:rPr>
                <w:rFonts w:ascii="Arial" w:hAnsi="Arial" w:cs="Arial"/>
                <w:szCs w:val="24"/>
                <w:u w:val="single"/>
              </w:rPr>
              <w:t xml:space="preserve"> </w:t>
            </w:r>
            <w:r w:rsidR="00DC123F" w:rsidRPr="00DC123F">
              <w:rPr>
                <w:rFonts w:ascii="Arial" w:hAnsi="Arial" w:cs="Arial"/>
                <w:szCs w:val="24"/>
                <w:u w:val="single"/>
              </w:rPr>
              <w:t xml:space="preserve"> </w:t>
            </w:r>
            <w:r w:rsidRPr="0065659A">
              <w:rPr>
                <w:rFonts w:ascii="Arial" w:hAnsi="Arial" w:cs="Arial"/>
                <w:szCs w:val="24"/>
                <w:u w:val="single"/>
              </w:rPr>
              <w:t xml:space="preserve"> </w:t>
            </w:r>
            <w:r w:rsidR="004712A3" w:rsidRPr="0065659A">
              <w:rPr>
                <w:rFonts w:ascii="Arial" w:hAnsi="Arial" w:cs="Arial"/>
                <w:szCs w:val="24"/>
                <w:u w:val="single"/>
              </w:rPr>
              <w:t xml:space="preserve"> </w:t>
            </w:r>
            <w:r w:rsidRPr="0065659A">
              <w:rPr>
                <w:rFonts w:ascii="Arial" w:hAnsi="Arial" w:cs="Arial"/>
                <w:szCs w:val="24"/>
                <w:u w:val="single"/>
              </w:rPr>
              <w:t>80,</w:t>
            </w:r>
            <w:r w:rsidR="0065659A" w:rsidRPr="0065659A">
              <w:rPr>
                <w:rFonts w:ascii="Arial" w:hAnsi="Arial" w:cs="Arial"/>
                <w:szCs w:val="24"/>
                <w:u w:val="single"/>
              </w:rPr>
              <w:t>665</w:t>
            </w:r>
            <w:r w:rsidRPr="0065659A">
              <w:rPr>
                <w:rFonts w:ascii="Arial" w:hAnsi="Arial" w:cs="Arial"/>
                <w:szCs w:val="24"/>
                <w:u w:val="single"/>
              </w:rPr>
              <w:t>,3</w:t>
            </w:r>
            <w:r w:rsidR="0065659A" w:rsidRPr="0065659A">
              <w:rPr>
                <w:rFonts w:ascii="Arial" w:hAnsi="Arial" w:cs="Arial"/>
                <w:szCs w:val="24"/>
                <w:u w:val="single"/>
              </w:rPr>
              <w:t>6</w:t>
            </w:r>
            <w:r w:rsidRPr="0065659A">
              <w:rPr>
                <w:rFonts w:ascii="Arial" w:hAnsi="Arial" w:cs="Arial"/>
                <w:szCs w:val="24"/>
                <w:u w:val="single"/>
              </w:rPr>
              <w:t>2</w:t>
            </w:r>
          </w:p>
        </w:tc>
      </w:tr>
      <w:tr w:rsidR="009176F9" w:rsidRPr="002C61BD" w:rsidTr="00CF161E">
        <w:trPr>
          <w:trHeight w:val="288"/>
          <w:jc w:val="center"/>
        </w:trPr>
        <w:tc>
          <w:tcPr>
            <w:tcW w:w="2669" w:type="dxa"/>
            <w:tcBorders>
              <w:top w:val="nil"/>
              <w:left w:val="nil"/>
              <w:bottom w:val="nil"/>
              <w:right w:val="nil"/>
            </w:tcBorders>
            <w:shd w:val="clear" w:color="auto" w:fill="auto"/>
            <w:vAlign w:val="bottom"/>
          </w:tcPr>
          <w:p w:rsidR="009176F9" w:rsidRPr="002C61BD" w:rsidRDefault="009176F9" w:rsidP="00233FB3">
            <w:pPr>
              <w:rPr>
                <w:rFonts w:ascii="Arial" w:hAnsi="Arial" w:cs="Arial"/>
                <w:szCs w:val="24"/>
              </w:rPr>
            </w:pPr>
          </w:p>
        </w:tc>
        <w:tc>
          <w:tcPr>
            <w:tcW w:w="2400" w:type="dxa"/>
            <w:tcBorders>
              <w:left w:val="nil"/>
              <w:right w:val="nil"/>
            </w:tcBorders>
            <w:shd w:val="clear" w:color="auto" w:fill="auto"/>
            <w:noWrap/>
            <w:vAlign w:val="bottom"/>
          </w:tcPr>
          <w:p w:rsidR="009176F9" w:rsidRPr="00DF7BE0" w:rsidRDefault="009176F9" w:rsidP="0055057A">
            <w:pPr>
              <w:jc w:val="right"/>
              <w:rPr>
                <w:rFonts w:ascii="Arial" w:hAnsi="Arial" w:cs="Arial"/>
                <w:szCs w:val="24"/>
                <w:u w:val="double"/>
              </w:rPr>
            </w:pPr>
          </w:p>
        </w:tc>
        <w:tc>
          <w:tcPr>
            <w:tcW w:w="2412" w:type="dxa"/>
            <w:tcBorders>
              <w:left w:val="nil"/>
              <w:right w:val="nil"/>
            </w:tcBorders>
          </w:tcPr>
          <w:p w:rsidR="009176F9" w:rsidRPr="004714C1" w:rsidRDefault="009176F9" w:rsidP="00233FB3">
            <w:pPr>
              <w:jc w:val="center"/>
              <w:rPr>
                <w:rFonts w:ascii="Arial" w:hAnsi="Arial" w:cs="Arial"/>
                <w:szCs w:val="24"/>
                <w:highlight w:val="yellow"/>
                <w:u w:val="double"/>
              </w:rPr>
            </w:pPr>
          </w:p>
        </w:tc>
        <w:tc>
          <w:tcPr>
            <w:tcW w:w="1997" w:type="dxa"/>
            <w:tcBorders>
              <w:left w:val="nil"/>
              <w:right w:val="nil"/>
            </w:tcBorders>
            <w:vAlign w:val="bottom"/>
          </w:tcPr>
          <w:p w:rsidR="009176F9" w:rsidRPr="004714C1" w:rsidRDefault="009176F9" w:rsidP="00233FB3">
            <w:pPr>
              <w:jc w:val="center"/>
              <w:rPr>
                <w:rFonts w:ascii="Arial" w:hAnsi="Arial" w:cs="Arial"/>
                <w:szCs w:val="24"/>
                <w:highlight w:val="yellow"/>
                <w:u w:val="double"/>
              </w:rPr>
            </w:pPr>
          </w:p>
        </w:tc>
      </w:tr>
      <w:tr w:rsidR="009176F9" w:rsidRPr="002C61BD" w:rsidTr="00CF161E">
        <w:trPr>
          <w:trHeight w:val="288"/>
          <w:jc w:val="center"/>
        </w:trPr>
        <w:tc>
          <w:tcPr>
            <w:tcW w:w="2669" w:type="dxa"/>
            <w:tcBorders>
              <w:top w:val="nil"/>
              <w:left w:val="nil"/>
              <w:bottom w:val="nil"/>
              <w:right w:val="nil"/>
            </w:tcBorders>
            <w:shd w:val="clear" w:color="auto" w:fill="auto"/>
            <w:vAlign w:val="bottom"/>
          </w:tcPr>
          <w:p w:rsidR="009176F9" w:rsidRPr="002C61BD" w:rsidRDefault="006A4C6A" w:rsidP="00CF161E">
            <w:pPr>
              <w:ind w:left="370" w:hanging="5"/>
              <w:rPr>
                <w:rFonts w:ascii="Arial" w:hAnsi="Arial" w:cs="Arial"/>
                <w:szCs w:val="24"/>
              </w:rPr>
            </w:pPr>
            <w:r>
              <w:rPr>
                <w:rFonts w:ascii="Arial" w:hAnsi="Arial" w:cs="Arial"/>
                <w:szCs w:val="24"/>
              </w:rPr>
              <w:t xml:space="preserve">Phase I </w:t>
            </w:r>
            <w:r w:rsidR="006D69A6">
              <w:rPr>
                <w:rFonts w:ascii="Arial" w:hAnsi="Arial" w:cs="Arial"/>
                <w:szCs w:val="24"/>
              </w:rPr>
              <w:t xml:space="preserve">Balance </w:t>
            </w:r>
            <w:r>
              <w:rPr>
                <w:rFonts w:ascii="Arial" w:hAnsi="Arial" w:cs="Arial"/>
                <w:szCs w:val="24"/>
              </w:rPr>
              <w:t xml:space="preserve"> </w:t>
            </w:r>
            <w:r w:rsidR="00CF161E">
              <w:rPr>
                <w:rFonts w:ascii="Arial" w:hAnsi="Arial" w:cs="Arial"/>
                <w:szCs w:val="24"/>
              </w:rPr>
              <w:t>as of</w:t>
            </w:r>
            <w:r w:rsidR="006D69A6">
              <w:rPr>
                <w:rFonts w:ascii="Arial" w:hAnsi="Arial" w:cs="Arial"/>
                <w:szCs w:val="24"/>
              </w:rPr>
              <w:t xml:space="preserve"> May 31, 2014</w:t>
            </w:r>
          </w:p>
        </w:tc>
        <w:tc>
          <w:tcPr>
            <w:tcW w:w="2400" w:type="dxa"/>
            <w:tcBorders>
              <w:left w:val="nil"/>
              <w:right w:val="nil"/>
            </w:tcBorders>
            <w:shd w:val="clear" w:color="auto" w:fill="auto"/>
            <w:noWrap/>
            <w:vAlign w:val="bottom"/>
          </w:tcPr>
          <w:p w:rsidR="009176F9" w:rsidRPr="0055057A" w:rsidRDefault="001F738A" w:rsidP="0055057A">
            <w:pPr>
              <w:ind w:right="402"/>
              <w:jc w:val="right"/>
              <w:rPr>
                <w:rFonts w:ascii="Arial" w:hAnsi="Arial" w:cs="Arial"/>
                <w:szCs w:val="24"/>
                <w:u w:val="double"/>
              </w:rPr>
            </w:pPr>
            <w:r w:rsidRPr="0055057A">
              <w:rPr>
                <w:rFonts w:ascii="Arial" w:hAnsi="Arial" w:cs="Arial"/>
                <w:szCs w:val="24"/>
                <w:u w:val="double"/>
              </w:rPr>
              <w:t xml:space="preserve">$ </w:t>
            </w:r>
            <w:r w:rsidR="00AC6959" w:rsidRPr="0055057A">
              <w:rPr>
                <w:rFonts w:ascii="Arial" w:hAnsi="Arial" w:cs="Arial"/>
                <w:szCs w:val="24"/>
                <w:u w:val="double"/>
              </w:rPr>
              <w:t>227,178,966</w:t>
            </w:r>
          </w:p>
        </w:tc>
        <w:tc>
          <w:tcPr>
            <w:tcW w:w="2412" w:type="dxa"/>
            <w:tcBorders>
              <w:left w:val="nil"/>
              <w:right w:val="nil"/>
            </w:tcBorders>
          </w:tcPr>
          <w:p w:rsidR="009D410C" w:rsidRDefault="009D410C" w:rsidP="009D410C">
            <w:pPr>
              <w:ind w:right="114"/>
              <w:jc w:val="center"/>
              <w:rPr>
                <w:rFonts w:ascii="Arial" w:hAnsi="Arial" w:cs="Arial"/>
                <w:szCs w:val="24"/>
                <w:u w:val="double"/>
              </w:rPr>
            </w:pPr>
            <w:r>
              <w:rPr>
                <w:rFonts w:ascii="Arial" w:hAnsi="Arial" w:cs="Arial"/>
                <w:szCs w:val="24"/>
                <w:u w:val="double"/>
              </w:rPr>
              <w:t xml:space="preserve"> </w:t>
            </w:r>
          </w:p>
          <w:p w:rsidR="009176F9" w:rsidRPr="004714C1" w:rsidRDefault="009D410C" w:rsidP="009D410C">
            <w:pPr>
              <w:ind w:right="114"/>
              <w:jc w:val="center"/>
              <w:rPr>
                <w:rFonts w:ascii="Arial" w:hAnsi="Arial" w:cs="Arial"/>
                <w:szCs w:val="24"/>
                <w:highlight w:val="yellow"/>
                <w:u w:val="double"/>
              </w:rPr>
            </w:pPr>
            <w:r w:rsidRPr="009D410C">
              <w:rPr>
                <w:rFonts w:ascii="Arial" w:hAnsi="Arial" w:cs="Arial"/>
                <w:szCs w:val="24"/>
              </w:rPr>
              <w:t xml:space="preserve"> </w:t>
            </w:r>
            <w:r w:rsidR="001F738A" w:rsidRPr="001F738A">
              <w:rPr>
                <w:rFonts w:ascii="Arial" w:hAnsi="Arial" w:cs="Arial"/>
                <w:szCs w:val="24"/>
                <w:u w:val="double"/>
              </w:rPr>
              <w:t xml:space="preserve">$ </w:t>
            </w:r>
            <w:r w:rsidR="00AC6959" w:rsidRPr="001F738A">
              <w:rPr>
                <w:rFonts w:ascii="Arial" w:hAnsi="Arial" w:cs="Arial"/>
                <w:szCs w:val="24"/>
                <w:u w:val="double"/>
              </w:rPr>
              <w:t>227,538,850</w:t>
            </w:r>
          </w:p>
        </w:tc>
        <w:tc>
          <w:tcPr>
            <w:tcW w:w="1997" w:type="dxa"/>
            <w:tcBorders>
              <w:left w:val="nil"/>
              <w:right w:val="nil"/>
            </w:tcBorders>
            <w:vAlign w:val="bottom"/>
          </w:tcPr>
          <w:p w:rsidR="009176F9" w:rsidRPr="004714C1" w:rsidRDefault="00AC6959" w:rsidP="004712A3">
            <w:pPr>
              <w:ind w:right="41"/>
              <w:jc w:val="right"/>
              <w:rPr>
                <w:rFonts w:ascii="Arial" w:hAnsi="Arial" w:cs="Arial"/>
                <w:szCs w:val="24"/>
                <w:highlight w:val="yellow"/>
                <w:u w:val="double"/>
              </w:rPr>
            </w:pPr>
            <w:r w:rsidRPr="001F738A">
              <w:rPr>
                <w:rFonts w:ascii="Arial" w:hAnsi="Arial" w:cs="Arial"/>
                <w:szCs w:val="24"/>
                <w:u w:val="double"/>
              </w:rPr>
              <w:t xml:space="preserve">$ </w:t>
            </w:r>
            <w:r w:rsidR="004712A3">
              <w:rPr>
                <w:rFonts w:ascii="Arial" w:hAnsi="Arial" w:cs="Arial"/>
                <w:szCs w:val="24"/>
                <w:u w:val="double"/>
              </w:rPr>
              <w:t xml:space="preserve">  </w:t>
            </w:r>
            <w:r w:rsidR="0055057A">
              <w:rPr>
                <w:rFonts w:ascii="Arial" w:hAnsi="Arial" w:cs="Arial"/>
                <w:szCs w:val="24"/>
                <w:u w:val="double"/>
              </w:rPr>
              <w:t xml:space="preserve"> </w:t>
            </w:r>
            <w:r w:rsidRPr="001F738A">
              <w:rPr>
                <w:rFonts w:ascii="Arial" w:hAnsi="Arial" w:cs="Arial"/>
                <w:szCs w:val="24"/>
                <w:u w:val="double"/>
              </w:rPr>
              <w:t xml:space="preserve">  (359,884)</w:t>
            </w:r>
          </w:p>
        </w:tc>
      </w:tr>
    </w:tbl>
    <w:p w:rsidR="00DE100D" w:rsidRDefault="00DE100D" w:rsidP="00CE7FE7">
      <w:pPr>
        <w:overflowPunct/>
        <w:autoSpaceDE/>
        <w:autoSpaceDN/>
        <w:adjustRightInd/>
        <w:jc w:val="center"/>
        <w:textAlignment w:val="auto"/>
        <w:rPr>
          <w:rFonts w:ascii="Arial" w:hAnsi="Arial" w:cs="Arial"/>
          <w:b/>
          <w:sz w:val="26"/>
          <w:szCs w:val="26"/>
        </w:rPr>
      </w:pPr>
    </w:p>
    <w:p w:rsidR="001F738A" w:rsidRDefault="001F738A" w:rsidP="009D410C">
      <w:pPr>
        <w:tabs>
          <w:tab w:val="left" w:pos="4410"/>
          <w:tab w:val="left" w:pos="4500"/>
          <w:tab w:val="left" w:pos="6930"/>
          <w:tab w:val="left" w:pos="7020"/>
        </w:tabs>
        <w:overflowPunct/>
        <w:autoSpaceDE/>
        <w:autoSpaceDN/>
        <w:adjustRightInd/>
        <w:ind w:right="180"/>
        <w:jc w:val="center"/>
        <w:textAlignment w:val="auto"/>
        <w:rPr>
          <w:rFonts w:ascii="Arial" w:hAnsi="Arial" w:cs="Arial"/>
          <w:b/>
          <w:sz w:val="26"/>
          <w:szCs w:val="26"/>
        </w:rPr>
      </w:pPr>
    </w:p>
    <w:p w:rsidR="001F738A" w:rsidRDefault="001F738A" w:rsidP="00CE7FE7">
      <w:pPr>
        <w:overflowPunct/>
        <w:autoSpaceDE/>
        <w:autoSpaceDN/>
        <w:adjustRightInd/>
        <w:jc w:val="center"/>
        <w:textAlignment w:val="auto"/>
        <w:rPr>
          <w:rFonts w:ascii="Arial" w:hAnsi="Arial" w:cs="Arial"/>
          <w:b/>
          <w:sz w:val="26"/>
          <w:szCs w:val="26"/>
        </w:rPr>
      </w:pPr>
    </w:p>
    <w:p w:rsidR="00DE100D" w:rsidRDefault="00DE100D" w:rsidP="00CE7FE7">
      <w:pPr>
        <w:overflowPunct/>
        <w:autoSpaceDE/>
        <w:autoSpaceDN/>
        <w:adjustRightInd/>
        <w:jc w:val="center"/>
        <w:textAlignment w:val="auto"/>
        <w:rPr>
          <w:rFonts w:ascii="Arial" w:hAnsi="Arial" w:cs="Arial"/>
          <w:b/>
          <w:sz w:val="26"/>
          <w:szCs w:val="26"/>
        </w:rPr>
      </w:pPr>
    </w:p>
    <w:p w:rsidR="00DE100D" w:rsidRDefault="00DE100D" w:rsidP="00DE100D">
      <w:pPr>
        <w:tabs>
          <w:tab w:val="center" w:pos="4680"/>
        </w:tabs>
        <w:suppressAutoHyphens/>
        <w:rPr>
          <w:rFonts w:ascii="Arial" w:hAnsi="Arial" w:cs="Arial"/>
          <w:szCs w:val="24"/>
        </w:rPr>
      </w:pPr>
      <w:r w:rsidRPr="002C61BD">
        <w:rPr>
          <w:rFonts w:ascii="Arial" w:hAnsi="Arial" w:cs="Arial"/>
          <w:szCs w:val="24"/>
        </w:rPr>
        <w:t xml:space="preserve">* </w:t>
      </w:r>
      <w:r w:rsidR="00BA7AB1">
        <w:rPr>
          <w:rFonts w:ascii="Arial" w:hAnsi="Arial" w:cs="Arial"/>
          <w:szCs w:val="24"/>
        </w:rPr>
        <w:t xml:space="preserve">- </w:t>
      </w:r>
      <w:r>
        <w:rPr>
          <w:rFonts w:ascii="Arial" w:hAnsi="Arial" w:cs="Arial"/>
          <w:szCs w:val="24"/>
        </w:rPr>
        <w:t>A</w:t>
      </w:r>
      <w:r w:rsidRPr="002C61BD">
        <w:rPr>
          <w:rFonts w:ascii="Arial" w:hAnsi="Arial" w:cs="Arial"/>
          <w:szCs w:val="24"/>
        </w:rPr>
        <w:t xml:space="preserve">s </w:t>
      </w:r>
      <w:r>
        <w:rPr>
          <w:rFonts w:ascii="Arial" w:hAnsi="Arial" w:cs="Arial"/>
          <w:szCs w:val="24"/>
        </w:rPr>
        <w:t xml:space="preserve">reported to the Commission </w:t>
      </w:r>
      <w:r w:rsidRPr="002C61BD">
        <w:rPr>
          <w:rFonts w:ascii="Arial" w:hAnsi="Arial" w:cs="Arial"/>
          <w:szCs w:val="24"/>
        </w:rPr>
        <w:t xml:space="preserve">at Docket No. </w:t>
      </w:r>
      <w:proofErr w:type="gramStart"/>
      <w:r w:rsidRPr="00DE100D">
        <w:rPr>
          <w:rFonts w:ascii="Arial" w:hAnsi="Arial" w:cs="Arial"/>
          <w:szCs w:val="24"/>
        </w:rPr>
        <w:t>M-201</w:t>
      </w:r>
      <w:r w:rsidR="00D13C6A">
        <w:rPr>
          <w:rFonts w:ascii="Arial" w:hAnsi="Arial" w:cs="Arial"/>
          <w:szCs w:val="24"/>
        </w:rPr>
        <w:t>4</w:t>
      </w:r>
      <w:r w:rsidRPr="00DE100D">
        <w:rPr>
          <w:rFonts w:ascii="Arial" w:hAnsi="Arial" w:cs="Arial"/>
          <w:szCs w:val="24"/>
        </w:rPr>
        <w:t>-</w:t>
      </w:r>
      <w:r>
        <w:rPr>
          <w:rFonts w:ascii="Arial" w:hAnsi="Arial" w:cs="Arial"/>
          <w:szCs w:val="24"/>
        </w:rPr>
        <w:t>2</w:t>
      </w:r>
      <w:r w:rsidR="00D13C6A">
        <w:rPr>
          <w:rFonts w:ascii="Arial" w:hAnsi="Arial" w:cs="Arial"/>
          <w:szCs w:val="24"/>
        </w:rPr>
        <w:t>427257</w:t>
      </w:r>
      <w:r>
        <w:rPr>
          <w:rFonts w:ascii="Arial" w:hAnsi="Arial" w:cs="Arial"/>
          <w:szCs w:val="24"/>
        </w:rPr>
        <w:t>.</w:t>
      </w:r>
      <w:proofErr w:type="gramEnd"/>
    </w:p>
    <w:p w:rsidR="009237F3" w:rsidRDefault="009237F3" w:rsidP="00DE100D">
      <w:pPr>
        <w:tabs>
          <w:tab w:val="center" w:pos="4680"/>
        </w:tabs>
        <w:suppressAutoHyphens/>
        <w:rPr>
          <w:rFonts w:ascii="Arial" w:hAnsi="Arial" w:cs="Arial"/>
          <w:szCs w:val="24"/>
        </w:rPr>
      </w:pPr>
    </w:p>
    <w:p w:rsidR="009237F3" w:rsidRDefault="009237F3" w:rsidP="00DE100D">
      <w:pPr>
        <w:tabs>
          <w:tab w:val="center" w:pos="4680"/>
        </w:tabs>
        <w:suppressAutoHyphens/>
        <w:rPr>
          <w:rFonts w:ascii="Arial" w:hAnsi="Arial" w:cs="Arial"/>
          <w:szCs w:val="24"/>
        </w:rPr>
      </w:pPr>
      <w:r>
        <w:rPr>
          <w:rFonts w:ascii="Arial" w:hAnsi="Arial" w:cs="Arial"/>
          <w:szCs w:val="24"/>
        </w:rPr>
        <w:t xml:space="preserve">** - Amounts are from the Statement </w:t>
      </w:r>
      <w:r w:rsidR="00F42EE6">
        <w:rPr>
          <w:rFonts w:ascii="Arial" w:hAnsi="Arial" w:cs="Arial"/>
          <w:szCs w:val="24"/>
        </w:rPr>
        <w:t>of EEPC from January 2010–May 2014 on page 3.</w:t>
      </w:r>
    </w:p>
    <w:p w:rsidR="00F42EE6" w:rsidRDefault="00F42EE6" w:rsidP="00353B72">
      <w:pPr>
        <w:tabs>
          <w:tab w:val="center" w:pos="4680"/>
        </w:tabs>
        <w:suppressAutoHyphens/>
        <w:rPr>
          <w:rFonts w:ascii="Arial" w:hAnsi="Arial" w:cs="Arial"/>
          <w:szCs w:val="24"/>
        </w:rPr>
      </w:pPr>
    </w:p>
    <w:p w:rsidR="00353B72" w:rsidRDefault="00353B72" w:rsidP="00353B72">
      <w:pPr>
        <w:tabs>
          <w:tab w:val="center" w:pos="4680"/>
        </w:tabs>
        <w:suppressAutoHyphens/>
        <w:rPr>
          <w:rFonts w:ascii="Arial" w:hAnsi="Arial" w:cs="Arial"/>
          <w:szCs w:val="24"/>
        </w:rPr>
      </w:pPr>
      <w:r>
        <w:rPr>
          <w:rFonts w:ascii="Arial" w:hAnsi="Arial" w:cs="Arial"/>
          <w:szCs w:val="24"/>
        </w:rPr>
        <w:t>Arithmetic differences are due to rounding.</w:t>
      </w:r>
    </w:p>
    <w:p w:rsidR="00353B72" w:rsidRDefault="00353B72" w:rsidP="00DE100D">
      <w:pPr>
        <w:tabs>
          <w:tab w:val="center" w:pos="4680"/>
        </w:tabs>
        <w:suppressAutoHyphens/>
        <w:rPr>
          <w:rFonts w:ascii="Arial" w:hAnsi="Arial" w:cs="Arial"/>
          <w:szCs w:val="24"/>
        </w:rPr>
      </w:pPr>
    </w:p>
    <w:p w:rsidR="00E26A3A" w:rsidRDefault="00DE100D" w:rsidP="00DE100D">
      <w:pPr>
        <w:tabs>
          <w:tab w:val="center" w:pos="4680"/>
        </w:tabs>
        <w:suppressAutoHyphens/>
        <w:rPr>
          <w:rFonts w:ascii="Arial" w:hAnsi="Arial" w:cs="Arial"/>
          <w:szCs w:val="24"/>
        </w:rPr>
      </w:pPr>
      <w:r w:rsidRPr="002C61BD">
        <w:rPr>
          <w:rFonts w:ascii="Arial" w:hAnsi="Arial" w:cs="Arial"/>
          <w:szCs w:val="24"/>
        </w:rPr>
        <w:t>Notes to the Financial Statement</w:t>
      </w:r>
      <w:r w:rsidR="00353B72">
        <w:rPr>
          <w:rFonts w:ascii="Arial" w:hAnsi="Arial" w:cs="Arial"/>
          <w:szCs w:val="24"/>
        </w:rPr>
        <w:t>s</w:t>
      </w:r>
      <w:r w:rsidRPr="002C61BD">
        <w:rPr>
          <w:rFonts w:ascii="Arial" w:hAnsi="Arial" w:cs="Arial"/>
          <w:szCs w:val="24"/>
        </w:rPr>
        <w:t xml:space="preserve"> are an integral part of this report.</w:t>
      </w:r>
    </w:p>
    <w:p w:rsidR="00AC6959" w:rsidRDefault="00AC6959" w:rsidP="00DE100D">
      <w:pPr>
        <w:tabs>
          <w:tab w:val="center" w:pos="4680"/>
        </w:tabs>
        <w:suppressAutoHyphens/>
        <w:rPr>
          <w:rFonts w:ascii="Arial" w:hAnsi="Arial" w:cs="Arial"/>
          <w:szCs w:val="24"/>
        </w:rPr>
      </w:pPr>
    </w:p>
    <w:p w:rsidR="00AC6959" w:rsidRDefault="00AC6959" w:rsidP="00DE100D">
      <w:pPr>
        <w:tabs>
          <w:tab w:val="center" w:pos="4680"/>
        </w:tabs>
        <w:suppressAutoHyphens/>
        <w:rPr>
          <w:rFonts w:ascii="Arial" w:hAnsi="Arial" w:cs="Arial"/>
          <w:szCs w:val="24"/>
        </w:rPr>
      </w:pPr>
    </w:p>
    <w:p w:rsidR="00FD1303" w:rsidRDefault="00FD1303">
      <w:pPr>
        <w:overflowPunct/>
        <w:autoSpaceDE/>
        <w:autoSpaceDN/>
        <w:adjustRightInd/>
        <w:spacing w:after="200" w:line="276" w:lineRule="auto"/>
        <w:textAlignment w:val="auto"/>
        <w:rPr>
          <w:rFonts w:ascii="Arial" w:hAnsi="Arial" w:cs="Arial"/>
          <w:b/>
          <w:sz w:val="26"/>
          <w:szCs w:val="26"/>
        </w:rPr>
      </w:pPr>
      <w:r>
        <w:rPr>
          <w:rFonts w:ascii="Arial" w:hAnsi="Arial" w:cs="Arial"/>
          <w:sz w:val="26"/>
          <w:szCs w:val="26"/>
        </w:rPr>
        <w:br w:type="page"/>
      </w:r>
    </w:p>
    <w:p w:rsidR="00233FB3" w:rsidRPr="001D0DB6" w:rsidRDefault="00233FB3" w:rsidP="005A4B5E">
      <w:pPr>
        <w:pStyle w:val="Heading1"/>
        <w:rPr>
          <w:rFonts w:ascii="Arial" w:hAnsi="Arial" w:cs="Arial"/>
          <w:sz w:val="26"/>
          <w:szCs w:val="26"/>
          <w:u w:val="none"/>
        </w:rPr>
      </w:pPr>
      <w:r w:rsidRPr="001D0DB6">
        <w:rPr>
          <w:rFonts w:ascii="Arial" w:hAnsi="Arial" w:cs="Arial"/>
          <w:sz w:val="26"/>
          <w:szCs w:val="26"/>
          <w:u w:val="none"/>
        </w:rPr>
        <w:lastRenderedPageBreak/>
        <w:t xml:space="preserve">PECO ENERGY COMPANY </w:t>
      </w:r>
    </w:p>
    <w:p w:rsidR="00233FB3" w:rsidRPr="001D0DB6" w:rsidRDefault="00233FB3" w:rsidP="005A4B5E">
      <w:pPr>
        <w:pStyle w:val="Heading1"/>
        <w:rPr>
          <w:rFonts w:ascii="Arial" w:hAnsi="Arial" w:cs="Arial"/>
          <w:sz w:val="26"/>
          <w:szCs w:val="26"/>
          <w:u w:val="none"/>
        </w:rPr>
      </w:pPr>
    </w:p>
    <w:p w:rsidR="007E0B70" w:rsidRPr="001D0DB6" w:rsidRDefault="007E0B70" w:rsidP="005A4B5E">
      <w:pPr>
        <w:pStyle w:val="Heading1"/>
        <w:rPr>
          <w:rFonts w:ascii="Arial" w:hAnsi="Arial" w:cs="Arial"/>
          <w:b w:val="0"/>
          <w:sz w:val="26"/>
          <w:szCs w:val="26"/>
          <w:u w:val="none"/>
        </w:rPr>
      </w:pPr>
      <w:r w:rsidRPr="00553451">
        <w:rPr>
          <w:rFonts w:ascii="Arial" w:hAnsi="Arial" w:cs="Arial"/>
          <w:sz w:val="26"/>
          <w:szCs w:val="26"/>
          <w:u w:val="none"/>
        </w:rPr>
        <w:t>Notes to the Financial Statement</w:t>
      </w:r>
      <w:r w:rsidR="00725150">
        <w:rPr>
          <w:rFonts w:ascii="Arial" w:hAnsi="Arial" w:cs="Arial"/>
          <w:sz w:val="26"/>
          <w:szCs w:val="26"/>
          <w:u w:val="none"/>
        </w:rPr>
        <w:t>s</w:t>
      </w:r>
    </w:p>
    <w:p w:rsidR="005A4B5E" w:rsidRDefault="005A4B5E" w:rsidP="005A4B5E">
      <w:pPr>
        <w:tabs>
          <w:tab w:val="left" w:pos="360"/>
        </w:tabs>
        <w:jc w:val="both"/>
        <w:rPr>
          <w:rFonts w:ascii="Arial" w:hAnsi="Arial" w:cs="Arial"/>
          <w:b/>
          <w:szCs w:val="24"/>
          <w:u w:val="single"/>
        </w:rPr>
      </w:pPr>
    </w:p>
    <w:p w:rsidR="002C63A7" w:rsidRPr="002C61BD" w:rsidRDefault="002C63A7" w:rsidP="005A4B5E">
      <w:pPr>
        <w:tabs>
          <w:tab w:val="left" w:pos="360"/>
        </w:tabs>
        <w:jc w:val="both"/>
        <w:rPr>
          <w:rFonts w:ascii="Arial" w:hAnsi="Arial" w:cs="Arial"/>
          <w:b/>
          <w:szCs w:val="24"/>
          <w:u w:val="single"/>
        </w:rPr>
      </w:pPr>
    </w:p>
    <w:p w:rsidR="003D0F37" w:rsidRPr="00725150" w:rsidRDefault="003D0F37" w:rsidP="003D0F37">
      <w:pPr>
        <w:rPr>
          <w:rFonts w:ascii="Arial" w:hAnsi="Arial" w:cs="Arial"/>
          <w:b/>
          <w:szCs w:val="24"/>
          <w:u w:val="single"/>
        </w:rPr>
      </w:pPr>
      <w:r w:rsidRPr="00725150">
        <w:rPr>
          <w:rFonts w:ascii="Arial" w:hAnsi="Arial" w:cs="Arial"/>
          <w:b/>
          <w:szCs w:val="24"/>
          <w:u w:val="single"/>
        </w:rPr>
        <w:t>1</w:t>
      </w:r>
      <w:r w:rsidR="00193032" w:rsidRPr="00725150">
        <w:rPr>
          <w:rFonts w:ascii="Arial" w:hAnsi="Arial" w:cs="Arial"/>
          <w:b/>
          <w:szCs w:val="24"/>
          <w:u w:val="single"/>
        </w:rPr>
        <w:t xml:space="preserve"> </w:t>
      </w:r>
      <w:r w:rsidRPr="00725150">
        <w:rPr>
          <w:rFonts w:ascii="Arial" w:hAnsi="Arial" w:cs="Arial"/>
          <w:b/>
          <w:szCs w:val="24"/>
          <w:u w:val="single"/>
        </w:rPr>
        <w:t xml:space="preserve">- </w:t>
      </w:r>
      <w:r w:rsidR="001E31CB" w:rsidRPr="00725150">
        <w:rPr>
          <w:rFonts w:ascii="Arial" w:hAnsi="Arial" w:cs="Arial"/>
          <w:b/>
          <w:szCs w:val="24"/>
          <w:u w:val="single"/>
        </w:rPr>
        <w:t>Condensed Statement</w:t>
      </w:r>
      <w:r w:rsidR="00AD5A4D" w:rsidRPr="00725150">
        <w:rPr>
          <w:rFonts w:ascii="Arial" w:hAnsi="Arial" w:cs="Arial"/>
          <w:b/>
          <w:szCs w:val="24"/>
          <w:u w:val="single"/>
        </w:rPr>
        <w:t>s</w:t>
      </w:r>
    </w:p>
    <w:p w:rsidR="003D0F37" w:rsidRPr="002C61BD" w:rsidRDefault="003D0F37" w:rsidP="003D0F37">
      <w:pPr>
        <w:rPr>
          <w:rFonts w:ascii="Arial" w:hAnsi="Arial" w:cs="Arial"/>
          <w:b/>
          <w:szCs w:val="24"/>
          <w:u w:val="single"/>
        </w:rPr>
      </w:pPr>
    </w:p>
    <w:p w:rsidR="003D0F37" w:rsidRDefault="002127E2" w:rsidP="003D0F37">
      <w:pPr>
        <w:ind w:left="360"/>
        <w:rPr>
          <w:rFonts w:ascii="Arial" w:hAnsi="Arial" w:cs="Arial"/>
          <w:szCs w:val="24"/>
        </w:rPr>
      </w:pPr>
      <w:r>
        <w:rPr>
          <w:rFonts w:ascii="Arial" w:hAnsi="Arial" w:cs="Arial"/>
          <w:szCs w:val="24"/>
        </w:rPr>
        <w:t>The Statement</w:t>
      </w:r>
      <w:r w:rsidR="00AD5A4D">
        <w:rPr>
          <w:rFonts w:ascii="Arial" w:hAnsi="Arial" w:cs="Arial"/>
          <w:szCs w:val="24"/>
        </w:rPr>
        <w:t>s</w:t>
      </w:r>
      <w:r>
        <w:rPr>
          <w:rFonts w:ascii="Arial" w:hAnsi="Arial" w:cs="Arial"/>
          <w:szCs w:val="24"/>
        </w:rPr>
        <w:t xml:space="preserve"> of Energy Efficiency and Conservation Program C</w:t>
      </w:r>
      <w:r w:rsidR="00B47330">
        <w:rPr>
          <w:rFonts w:ascii="Arial" w:hAnsi="Arial" w:cs="Arial"/>
          <w:szCs w:val="24"/>
        </w:rPr>
        <w:t>osts</w:t>
      </w:r>
      <w:r>
        <w:rPr>
          <w:rFonts w:ascii="Arial" w:hAnsi="Arial" w:cs="Arial"/>
          <w:szCs w:val="24"/>
        </w:rPr>
        <w:t xml:space="preserve"> </w:t>
      </w:r>
      <w:r w:rsidR="00B47330">
        <w:rPr>
          <w:rFonts w:ascii="Arial" w:hAnsi="Arial" w:cs="Arial"/>
          <w:szCs w:val="24"/>
        </w:rPr>
        <w:t xml:space="preserve">Phase I </w:t>
      </w:r>
      <w:r>
        <w:rPr>
          <w:rFonts w:ascii="Arial" w:hAnsi="Arial" w:cs="Arial"/>
          <w:szCs w:val="24"/>
        </w:rPr>
        <w:t>(EEPC) Over</w:t>
      </w:r>
      <w:proofErr w:type="gramStart"/>
      <w:r>
        <w:rPr>
          <w:rFonts w:ascii="Arial" w:hAnsi="Arial" w:cs="Arial"/>
          <w:szCs w:val="24"/>
        </w:rPr>
        <w:t>/(</w:t>
      </w:r>
      <w:proofErr w:type="gramEnd"/>
      <w:r>
        <w:rPr>
          <w:rFonts w:ascii="Arial" w:hAnsi="Arial" w:cs="Arial"/>
          <w:szCs w:val="24"/>
        </w:rPr>
        <w:t>Under) Collect</w:t>
      </w:r>
      <w:r w:rsidR="00B47330">
        <w:rPr>
          <w:rFonts w:ascii="Arial" w:hAnsi="Arial" w:cs="Arial"/>
          <w:szCs w:val="24"/>
        </w:rPr>
        <w:t>ions presented in this report are</w:t>
      </w:r>
      <w:r>
        <w:rPr>
          <w:rFonts w:ascii="Arial" w:hAnsi="Arial" w:cs="Arial"/>
          <w:szCs w:val="24"/>
        </w:rPr>
        <w:t xml:space="preserve"> condensed from the officially filed statement</w:t>
      </w:r>
      <w:r w:rsidR="00B47330">
        <w:rPr>
          <w:rFonts w:ascii="Arial" w:hAnsi="Arial" w:cs="Arial"/>
          <w:szCs w:val="24"/>
        </w:rPr>
        <w:t>s</w:t>
      </w:r>
      <w:r>
        <w:rPr>
          <w:rFonts w:ascii="Arial" w:hAnsi="Arial" w:cs="Arial"/>
          <w:szCs w:val="24"/>
        </w:rPr>
        <w:t xml:space="preserve"> for the purpose of clarity.  T</w:t>
      </w:r>
      <w:r w:rsidR="00591BEB">
        <w:rPr>
          <w:rFonts w:ascii="Arial" w:hAnsi="Arial" w:cs="Arial"/>
          <w:szCs w:val="24"/>
        </w:rPr>
        <w:t xml:space="preserve">he </w:t>
      </w:r>
      <w:r w:rsidR="00B47330">
        <w:rPr>
          <w:rFonts w:ascii="Arial" w:hAnsi="Arial" w:cs="Arial"/>
          <w:szCs w:val="24"/>
        </w:rPr>
        <w:t>a</w:t>
      </w:r>
      <w:r w:rsidR="00591BEB">
        <w:rPr>
          <w:rFonts w:ascii="Arial" w:hAnsi="Arial" w:cs="Arial"/>
          <w:szCs w:val="24"/>
        </w:rPr>
        <w:t>udit was conducted on PECO Energy Company’s (PECO or Company)</w:t>
      </w:r>
      <w:r>
        <w:rPr>
          <w:rFonts w:ascii="Arial" w:hAnsi="Arial" w:cs="Arial"/>
          <w:szCs w:val="24"/>
        </w:rPr>
        <w:t xml:space="preserve"> officially filed 1307(e) statement</w:t>
      </w:r>
      <w:r w:rsidR="00AD5A4D">
        <w:rPr>
          <w:rFonts w:ascii="Arial" w:hAnsi="Arial" w:cs="Arial"/>
          <w:szCs w:val="24"/>
        </w:rPr>
        <w:t>s</w:t>
      </w:r>
      <w:r>
        <w:rPr>
          <w:rFonts w:ascii="Arial" w:hAnsi="Arial" w:cs="Arial"/>
          <w:szCs w:val="24"/>
        </w:rPr>
        <w:t xml:space="preserve"> submitted to the </w:t>
      </w:r>
      <w:r w:rsidR="00591BEB">
        <w:rPr>
          <w:rFonts w:ascii="Arial" w:hAnsi="Arial" w:cs="Arial"/>
          <w:szCs w:val="24"/>
        </w:rPr>
        <w:t xml:space="preserve">Pennsylvania Public Utility </w:t>
      </w:r>
      <w:r>
        <w:rPr>
          <w:rFonts w:ascii="Arial" w:hAnsi="Arial" w:cs="Arial"/>
          <w:szCs w:val="24"/>
        </w:rPr>
        <w:t>Commission</w:t>
      </w:r>
      <w:r w:rsidR="00591BEB">
        <w:rPr>
          <w:rFonts w:ascii="Arial" w:hAnsi="Arial" w:cs="Arial"/>
          <w:szCs w:val="24"/>
        </w:rPr>
        <w:t xml:space="preserve"> (PUC or Commission</w:t>
      </w:r>
      <w:r w:rsidR="00B47330">
        <w:rPr>
          <w:rFonts w:ascii="Arial" w:hAnsi="Arial" w:cs="Arial"/>
          <w:szCs w:val="24"/>
        </w:rPr>
        <w:t>,</w:t>
      </w:r>
      <w:r w:rsidR="00591BEB">
        <w:rPr>
          <w:rFonts w:ascii="Arial" w:hAnsi="Arial" w:cs="Arial"/>
          <w:szCs w:val="24"/>
        </w:rPr>
        <w:t xml:space="preserve"> in accordance with section 1307(e)(1) of the Public Utility Code</w:t>
      </w:r>
      <w:r>
        <w:rPr>
          <w:rFonts w:ascii="Arial" w:hAnsi="Arial" w:cs="Arial"/>
          <w:szCs w:val="24"/>
        </w:rPr>
        <w:t xml:space="preserve"> on</w:t>
      </w:r>
      <w:r w:rsidR="00591BEB">
        <w:rPr>
          <w:rFonts w:ascii="Arial" w:hAnsi="Arial" w:cs="Arial"/>
          <w:szCs w:val="24"/>
        </w:rPr>
        <w:t xml:space="preserve"> Ju</w:t>
      </w:r>
      <w:r w:rsidR="00B47330">
        <w:rPr>
          <w:rFonts w:ascii="Arial" w:hAnsi="Arial" w:cs="Arial"/>
          <w:szCs w:val="24"/>
        </w:rPr>
        <w:t xml:space="preserve">ne </w:t>
      </w:r>
      <w:r w:rsidR="00591BEB">
        <w:rPr>
          <w:rFonts w:ascii="Arial" w:hAnsi="Arial" w:cs="Arial"/>
          <w:szCs w:val="24"/>
        </w:rPr>
        <w:t>1</w:t>
      </w:r>
      <w:r w:rsidR="00B47330">
        <w:rPr>
          <w:rFonts w:ascii="Arial" w:hAnsi="Arial" w:cs="Arial"/>
          <w:szCs w:val="24"/>
        </w:rPr>
        <w:t>8</w:t>
      </w:r>
      <w:r w:rsidR="00591BEB">
        <w:rPr>
          <w:rFonts w:ascii="Arial" w:hAnsi="Arial" w:cs="Arial"/>
          <w:szCs w:val="24"/>
        </w:rPr>
        <w:t>, 201</w:t>
      </w:r>
      <w:r w:rsidR="00B47330">
        <w:rPr>
          <w:rFonts w:ascii="Arial" w:hAnsi="Arial" w:cs="Arial"/>
          <w:szCs w:val="24"/>
        </w:rPr>
        <w:t>4</w:t>
      </w:r>
      <w:r w:rsidR="00591BEB">
        <w:rPr>
          <w:rFonts w:ascii="Arial" w:hAnsi="Arial" w:cs="Arial"/>
          <w:szCs w:val="24"/>
        </w:rPr>
        <w:t xml:space="preserve"> </w:t>
      </w:r>
      <w:r w:rsidR="00AE4C99">
        <w:rPr>
          <w:rFonts w:ascii="Arial" w:hAnsi="Arial" w:cs="Arial"/>
          <w:szCs w:val="24"/>
        </w:rPr>
        <w:t xml:space="preserve">and </w:t>
      </w:r>
      <w:r w:rsidR="00B47330">
        <w:rPr>
          <w:rFonts w:ascii="Arial" w:hAnsi="Arial" w:cs="Arial"/>
          <w:szCs w:val="24"/>
        </w:rPr>
        <w:t>July</w:t>
      </w:r>
      <w:r w:rsidR="00AE4C99" w:rsidRPr="00591BEB">
        <w:rPr>
          <w:rFonts w:ascii="Arial" w:hAnsi="Arial" w:cs="Arial"/>
          <w:szCs w:val="24"/>
        </w:rPr>
        <w:t xml:space="preserve"> 1, 201</w:t>
      </w:r>
      <w:r w:rsidR="00B47330">
        <w:rPr>
          <w:rFonts w:ascii="Arial" w:hAnsi="Arial" w:cs="Arial"/>
          <w:szCs w:val="24"/>
        </w:rPr>
        <w:t>3</w:t>
      </w:r>
      <w:r>
        <w:rPr>
          <w:rFonts w:ascii="Arial" w:hAnsi="Arial" w:cs="Arial"/>
          <w:szCs w:val="24"/>
        </w:rPr>
        <w:t xml:space="preserve"> and </w:t>
      </w:r>
      <w:r w:rsidR="00591BEB">
        <w:rPr>
          <w:rFonts w:ascii="Arial" w:hAnsi="Arial" w:cs="Arial"/>
          <w:szCs w:val="24"/>
        </w:rPr>
        <w:t>are</w:t>
      </w:r>
      <w:r>
        <w:rPr>
          <w:rFonts w:ascii="Arial" w:hAnsi="Arial" w:cs="Arial"/>
          <w:szCs w:val="24"/>
        </w:rPr>
        <w:t xml:space="preserve"> available at Docket No</w:t>
      </w:r>
      <w:r w:rsidR="00591BEB">
        <w:rPr>
          <w:rFonts w:ascii="Arial" w:hAnsi="Arial" w:cs="Arial"/>
          <w:szCs w:val="24"/>
        </w:rPr>
        <w:t>s</w:t>
      </w:r>
      <w:r>
        <w:rPr>
          <w:rFonts w:ascii="Arial" w:hAnsi="Arial" w:cs="Arial"/>
          <w:szCs w:val="24"/>
        </w:rPr>
        <w:t>.</w:t>
      </w:r>
      <w:r w:rsidR="00AE4C99">
        <w:rPr>
          <w:rFonts w:ascii="Arial" w:hAnsi="Arial" w:cs="Arial"/>
          <w:szCs w:val="24"/>
        </w:rPr>
        <w:t xml:space="preserve"> </w:t>
      </w:r>
      <w:proofErr w:type="gramStart"/>
      <w:r w:rsidR="00AE4C99" w:rsidRPr="00591BEB">
        <w:rPr>
          <w:rFonts w:ascii="Arial" w:hAnsi="Arial" w:cs="Arial"/>
          <w:szCs w:val="24"/>
        </w:rPr>
        <w:t>M-2014-</w:t>
      </w:r>
      <w:r w:rsidR="00AE4C99">
        <w:rPr>
          <w:rFonts w:ascii="Arial" w:hAnsi="Arial" w:cs="Arial"/>
          <w:szCs w:val="24"/>
        </w:rPr>
        <w:t>2</w:t>
      </w:r>
      <w:r w:rsidR="00AE4C99" w:rsidRPr="00591BEB">
        <w:rPr>
          <w:rFonts w:ascii="Arial" w:hAnsi="Arial" w:cs="Arial"/>
          <w:szCs w:val="24"/>
        </w:rPr>
        <w:t>427257</w:t>
      </w:r>
      <w:r w:rsidR="00D36792">
        <w:rPr>
          <w:rFonts w:ascii="Arial" w:hAnsi="Arial" w:cs="Arial"/>
          <w:szCs w:val="24"/>
        </w:rPr>
        <w:t xml:space="preserve"> and M</w:t>
      </w:r>
      <w:r w:rsidR="00D36792">
        <w:rPr>
          <w:rFonts w:ascii="Arial" w:hAnsi="Arial" w:cs="Arial"/>
          <w:szCs w:val="24"/>
        </w:rPr>
        <w:noBreakHyphen/>
        <w:t>2013</w:t>
      </w:r>
      <w:r w:rsidR="00D36792">
        <w:rPr>
          <w:rFonts w:ascii="Arial" w:hAnsi="Arial" w:cs="Arial"/>
          <w:szCs w:val="24"/>
        </w:rPr>
        <w:noBreakHyphen/>
        <w:t>2372785</w:t>
      </w:r>
      <w:r w:rsidR="00591BEB">
        <w:rPr>
          <w:rFonts w:ascii="Arial" w:hAnsi="Arial" w:cs="Arial"/>
          <w:szCs w:val="24"/>
        </w:rPr>
        <w:t>, respectively,</w:t>
      </w:r>
      <w:r>
        <w:rPr>
          <w:rFonts w:ascii="Arial" w:hAnsi="Arial" w:cs="Arial"/>
          <w:szCs w:val="24"/>
        </w:rPr>
        <w:t xml:space="preserve"> via </w:t>
      </w:r>
      <w:hyperlink r:id="rId27" w:history="1">
        <w:r w:rsidR="00A218C3" w:rsidRPr="00190962">
          <w:rPr>
            <w:rStyle w:val="Hyperlink"/>
            <w:rFonts w:ascii="Arial" w:hAnsi="Arial" w:cs="Arial"/>
            <w:szCs w:val="24"/>
          </w:rPr>
          <w:t>http://www.puc.pa.gov</w:t>
        </w:r>
      </w:hyperlink>
      <w:r>
        <w:rPr>
          <w:rFonts w:ascii="Arial" w:hAnsi="Arial" w:cs="Arial"/>
          <w:szCs w:val="24"/>
        </w:rPr>
        <w:t>.</w:t>
      </w:r>
      <w:proofErr w:type="gramEnd"/>
    </w:p>
    <w:p w:rsidR="005E0792" w:rsidRDefault="005E0792" w:rsidP="005A4B5E">
      <w:pPr>
        <w:tabs>
          <w:tab w:val="left" w:pos="360"/>
        </w:tabs>
        <w:jc w:val="both"/>
        <w:rPr>
          <w:rFonts w:ascii="Arial" w:hAnsi="Arial" w:cs="Arial"/>
          <w:b/>
          <w:szCs w:val="24"/>
          <w:u w:val="single"/>
        </w:rPr>
      </w:pPr>
    </w:p>
    <w:p w:rsidR="005A4B5E" w:rsidRPr="00725150" w:rsidRDefault="00ED59A1" w:rsidP="005A4B5E">
      <w:pPr>
        <w:tabs>
          <w:tab w:val="left" w:pos="360"/>
        </w:tabs>
        <w:jc w:val="both"/>
        <w:rPr>
          <w:rFonts w:ascii="Arial" w:hAnsi="Arial" w:cs="Arial"/>
          <w:b/>
          <w:szCs w:val="24"/>
          <w:u w:val="single"/>
        </w:rPr>
      </w:pPr>
      <w:r>
        <w:rPr>
          <w:rFonts w:ascii="Arial" w:hAnsi="Arial" w:cs="Arial"/>
          <w:b/>
          <w:szCs w:val="24"/>
          <w:u w:val="single"/>
        </w:rPr>
        <w:t>2</w:t>
      </w:r>
      <w:r w:rsidR="003D0F37" w:rsidRPr="00725150">
        <w:rPr>
          <w:rFonts w:ascii="Arial" w:hAnsi="Arial" w:cs="Arial"/>
          <w:b/>
          <w:szCs w:val="24"/>
          <w:u w:val="single"/>
        </w:rPr>
        <w:t xml:space="preserve"> </w:t>
      </w:r>
      <w:r w:rsidR="005A4B5E" w:rsidRPr="00725150">
        <w:rPr>
          <w:rFonts w:ascii="Arial" w:hAnsi="Arial" w:cs="Arial"/>
          <w:b/>
          <w:szCs w:val="24"/>
          <w:u w:val="single"/>
        </w:rPr>
        <w:t>-</w:t>
      </w:r>
      <w:r w:rsidR="005A4B5E" w:rsidRPr="00725150">
        <w:rPr>
          <w:rFonts w:ascii="Arial" w:hAnsi="Arial" w:cs="Arial"/>
          <w:b/>
          <w:szCs w:val="24"/>
          <w:u w:val="single"/>
        </w:rPr>
        <w:tab/>
      </w:r>
      <w:r w:rsidR="00D243EA" w:rsidRPr="00725150">
        <w:rPr>
          <w:rFonts w:ascii="Arial" w:hAnsi="Arial" w:cs="Arial"/>
          <w:b/>
          <w:szCs w:val="24"/>
          <w:u w:val="single"/>
        </w:rPr>
        <w:t>EEPC Revenues</w:t>
      </w:r>
    </w:p>
    <w:p w:rsidR="005A4B5E" w:rsidRPr="002C61BD" w:rsidRDefault="005A4B5E" w:rsidP="005A4B5E">
      <w:pPr>
        <w:tabs>
          <w:tab w:val="left" w:pos="360"/>
        </w:tabs>
        <w:jc w:val="both"/>
        <w:rPr>
          <w:rFonts w:ascii="Arial" w:hAnsi="Arial" w:cs="Arial"/>
          <w:b/>
          <w:szCs w:val="24"/>
          <w:u w:val="single"/>
        </w:rPr>
      </w:pPr>
    </w:p>
    <w:p w:rsidR="005A4B5E" w:rsidRDefault="005A4B5E" w:rsidP="005A4B5E">
      <w:pPr>
        <w:tabs>
          <w:tab w:val="left" w:pos="360"/>
        </w:tabs>
        <w:ind w:left="360"/>
        <w:rPr>
          <w:rFonts w:ascii="Arial" w:hAnsi="Arial" w:cs="Arial"/>
          <w:szCs w:val="24"/>
        </w:rPr>
      </w:pPr>
      <w:r w:rsidRPr="00D62C56">
        <w:rPr>
          <w:rFonts w:ascii="Arial" w:hAnsi="Arial" w:cs="Arial"/>
          <w:szCs w:val="24"/>
        </w:rPr>
        <w:t>EE</w:t>
      </w:r>
      <w:r w:rsidR="00DD0C42" w:rsidRPr="00D62C56">
        <w:rPr>
          <w:rFonts w:ascii="Arial" w:hAnsi="Arial" w:cs="Arial"/>
          <w:szCs w:val="24"/>
        </w:rPr>
        <w:t>P</w:t>
      </w:r>
      <w:r w:rsidR="004217BE" w:rsidRPr="00D62C56">
        <w:rPr>
          <w:rFonts w:ascii="Arial" w:hAnsi="Arial" w:cs="Arial"/>
          <w:szCs w:val="24"/>
        </w:rPr>
        <w:t>C</w:t>
      </w:r>
      <w:r w:rsidRPr="00D62C56">
        <w:rPr>
          <w:rFonts w:ascii="Arial" w:hAnsi="Arial" w:cs="Arial"/>
          <w:szCs w:val="24"/>
        </w:rPr>
        <w:t xml:space="preserve"> Revenues are </w:t>
      </w:r>
      <w:r w:rsidR="00BB1777" w:rsidRPr="00245FAA">
        <w:rPr>
          <w:rFonts w:ascii="Arial" w:hAnsi="Arial" w:cs="Arial"/>
          <w:szCs w:val="24"/>
        </w:rPr>
        <w:t xml:space="preserve">derived </w:t>
      </w:r>
      <w:r w:rsidR="00BB1777">
        <w:rPr>
          <w:rFonts w:ascii="Arial" w:hAnsi="Arial" w:cs="Arial"/>
          <w:szCs w:val="24"/>
        </w:rPr>
        <w:t xml:space="preserve">by multiplying the sales volumes billed during the month by the applicable EEPC rate.  </w:t>
      </w:r>
      <w:r w:rsidRPr="00D62C56">
        <w:rPr>
          <w:rFonts w:ascii="Arial" w:hAnsi="Arial" w:cs="Arial"/>
          <w:szCs w:val="24"/>
        </w:rPr>
        <w:t>The EE</w:t>
      </w:r>
      <w:r w:rsidR="00DD0C42" w:rsidRPr="00D62C56">
        <w:rPr>
          <w:rFonts w:ascii="Arial" w:hAnsi="Arial" w:cs="Arial"/>
          <w:szCs w:val="24"/>
        </w:rPr>
        <w:t>P</w:t>
      </w:r>
      <w:r w:rsidR="004217BE" w:rsidRPr="00D62C56">
        <w:rPr>
          <w:rFonts w:ascii="Arial" w:hAnsi="Arial" w:cs="Arial"/>
          <w:szCs w:val="24"/>
        </w:rPr>
        <w:t>C</w:t>
      </w:r>
      <w:r w:rsidRPr="00D62C56">
        <w:rPr>
          <w:rFonts w:ascii="Arial" w:hAnsi="Arial" w:cs="Arial"/>
          <w:szCs w:val="24"/>
        </w:rPr>
        <w:t xml:space="preserve"> applies to all Customers.</w:t>
      </w:r>
      <w:r w:rsidRPr="002C61BD">
        <w:rPr>
          <w:rFonts w:ascii="Arial" w:hAnsi="Arial" w:cs="Arial"/>
          <w:szCs w:val="24"/>
        </w:rPr>
        <w:t xml:space="preserve">  </w:t>
      </w:r>
    </w:p>
    <w:p w:rsidR="00BB1777" w:rsidRPr="002C61BD" w:rsidRDefault="00BB1777" w:rsidP="005A4B5E">
      <w:pPr>
        <w:tabs>
          <w:tab w:val="left" w:pos="360"/>
        </w:tabs>
        <w:ind w:left="360"/>
        <w:rPr>
          <w:rFonts w:ascii="Arial" w:hAnsi="Arial" w:cs="Arial"/>
          <w:szCs w:val="24"/>
        </w:rPr>
      </w:pPr>
    </w:p>
    <w:p w:rsidR="005A4B5E" w:rsidRPr="00725150" w:rsidRDefault="00ED59A1" w:rsidP="005A4B5E">
      <w:pPr>
        <w:pStyle w:val="EndnoteText"/>
        <w:tabs>
          <w:tab w:val="left" w:pos="360"/>
        </w:tabs>
        <w:suppressAutoHyphens/>
        <w:rPr>
          <w:rFonts w:ascii="Arial" w:hAnsi="Arial" w:cs="Arial"/>
          <w:b/>
          <w:szCs w:val="24"/>
          <w:u w:val="single"/>
        </w:rPr>
      </w:pPr>
      <w:r>
        <w:rPr>
          <w:rFonts w:ascii="Arial" w:hAnsi="Arial" w:cs="Arial"/>
          <w:b/>
          <w:szCs w:val="24"/>
          <w:u w:val="single"/>
        </w:rPr>
        <w:t>3</w:t>
      </w:r>
      <w:r w:rsidR="003D0F37" w:rsidRPr="00725150">
        <w:rPr>
          <w:rFonts w:ascii="Arial" w:hAnsi="Arial" w:cs="Arial"/>
          <w:b/>
          <w:szCs w:val="24"/>
          <w:u w:val="single"/>
        </w:rPr>
        <w:t xml:space="preserve"> </w:t>
      </w:r>
      <w:r w:rsidR="005A4B5E" w:rsidRPr="00725150">
        <w:rPr>
          <w:rFonts w:ascii="Arial" w:hAnsi="Arial" w:cs="Arial"/>
          <w:b/>
          <w:szCs w:val="24"/>
          <w:u w:val="single"/>
        </w:rPr>
        <w:t>-</w:t>
      </w:r>
      <w:r w:rsidR="005A4B5E" w:rsidRPr="00725150">
        <w:rPr>
          <w:rFonts w:ascii="Arial" w:hAnsi="Arial" w:cs="Arial"/>
          <w:b/>
          <w:szCs w:val="24"/>
          <w:u w:val="single"/>
        </w:rPr>
        <w:tab/>
      </w:r>
      <w:r w:rsidR="00D243EA" w:rsidRPr="00725150">
        <w:rPr>
          <w:rFonts w:ascii="Arial" w:hAnsi="Arial" w:cs="Arial"/>
          <w:b/>
          <w:szCs w:val="24"/>
          <w:u w:val="single"/>
        </w:rPr>
        <w:t>EEPC</w:t>
      </w:r>
      <w:r w:rsidR="005A4B5E" w:rsidRPr="00725150">
        <w:rPr>
          <w:rFonts w:ascii="Arial" w:hAnsi="Arial" w:cs="Arial"/>
          <w:b/>
          <w:szCs w:val="24"/>
          <w:u w:val="single"/>
        </w:rPr>
        <w:t xml:space="preserve"> </w:t>
      </w:r>
      <w:r w:rsidR="00A4515D" w:rsidRPr="00725150">
        <w:rPr>
          <w:rFonts w:ascii="Arial" w:hAnsi="Arial" w:cs="Arial"/>
          <w:b/>
          <w:szCs w:val="24"/>
          <w:u w:val="single"/>
        </w:rPr>
        <w:t>Expense</w:t>
      </w:r>
      <w:r>
        <w:rPr>
          <w:rFonts w:ascii="Arial" w:hAnsi="Arial" w:cs="Arial"/>
          <w:b/>
          <w:szCs w:val="24"/>
          <w:u w:val="single"/>
        </w:rPr>
        <w:t>s</w:t>
      </w:r>
      <w:r w:rsidR="005A4B5E" w:rsidRPr="00725150">
        <w:rPr>
          <w:rFonts w:ascii="Arial" w:hAnsi="Arial" w:cs="Arial"/>
          <w:b/>
          <w:szCs w:val="24"/>
          <w:u w:val="single"/>
        </w:rPr>
        <w:t xml:space="preserve"> </w:t>
      </w:r>
    </w:p>
    <w:p w:rsidR="005A4B5E" w:rsidRPr="002C61BD" w:rsidRDefault="005A4B5E" w:rsidP="005A4B5E">
      <w:pPr>
        <w:tabs>
          <w:tab w:val="left" w:pos="360"/>
        </w:tabs>
        <w:ind w:left="360"/>
        <w:rPr>
          <w:rFonts w:ascii="Arial" w:hAnsi="Arial" w:cs="Arial"/>
          <w:szCs w:val="24"/>
        </w:rPr>
      </w:pPr>
    </w:p>
    <w:p w:rsidR="005A4B5E" w:rsidRPr="002C61BD" w:rsidRDefault="004217BE" w:rsidP="005A4B5E">
      <w:pPr>
        <w:tabs>
          <w:tab w:val="left" w:pos="360"/>
        </w:tabs>
        <w:ind w:left="360"/>
        <w:rPr>
          <w:rFonts w:ascii="Arial" w:hAnsi="Arial" w:cs="Arial"/>
          <w:szCs w:val="24"/>
        </w:rPr>
      </w:pPr>
      <w:r w:rsidRPr="00B13816">
        <w:rPr>
          <w:rFonts w:ascii="Arial" w:hAnsi="Arial" w:cs="Arial"/>
          <w:szCs w:val="24"/>
        </w:rPr>
        <w:t>EE</w:t>
      </w:r>
      <w:r w:rsidR="00B13816" w:rsidRPr="00B13816">
        <w:rPr>
          <w:rFonts w:ascii="Arial" w:hAnsi="Arial" w:cs="Arial"/>
          <w:szCs w:val="24"/>
        </w:rPr>
        <w:t>P</w:t>
      </w:r>
      <w:r w:rsidRPr="00B13816">
        <w:rPr>
          <w:rFonts w:ascii="Arial" w:hAnsi="Arial" w:cs="Arial"/>
          <w:szCs w:val="24"/>
        </w:rPr>
        <w:t>C</w:t>
      </w:r>
      <w:r w:rsidR="005A4B5E" w:rsidRPr="00B13816">
        <w:rPr>
          <w:rFonts w:ascii="Arial" w:hAnsi="Arial" w:cs="Arial"/>
          <w:szCs w:val="24"/>
        </w:rPr>
        <w:t xml:space="preserve"> </w:t>
      </w:r>
      <w:r w:rsidR="0032744C">
        <w:rPr>
          <w:rFonts w:ascii="Arial" w:hAnsi="Arial" w:cs="Arial"/>
          <w:szCs w:val="24"/>
        </w:rPr>
        <w:t>Expenses</w:t>
      </w:r>
      <w:r w:rsidR="005A4B5E" w:rsidRPr="00B13816">
        <w:rPr>
          <w:rFonts w:ascii="Arial" w:hAnsi="Arial" w:cs="Arial"/>
          <w:szCs w:val="24"/>
        </w:rPr>
        <w:t xml:space="preserve"> are the </w:t>
      </w:r>
      <w:r w:rsidR="0032744C">
        <w:rPr>
          <w:rFonts w:ascii="Arial" w:hAnsi="Arial" w:cs="Arial"/>
          <w:szCs w:val="24"/>
        </w:rPr>
        <w:t>expenses</w:t>
      </w:r>
      <w:r w:rsidR="005A4B5E" w:rsidRPr="00B13816">
        <w:rPr>
          <w:rFonts w:ascii="Arial" w:hAnsi="Arial" w:cs="Arial"/>
          <w:szCs w:val="24"/>
        </w:rPr>
        <w:t xml:space="preserve"> incurred by the Company to meet the energy conservation targets established by the Pennsylvania General Assembly </w:t>
      </w:r>
      <w:r w:rsidR="0007396B">
        <w:rPr>
          <w:rFonts w:ascii="Arial" w:hAnsi="Arial" w:cs="Arial"/>
          <w:szCs w:val="24"/>
        </w:rPr>
        <w:t>in</w:t>
      </w:r>
      <w:r w:rsidR="00B10A8B">
        <w:rPr>
          <w:rFonts w:ascii="Arial" w:hAnsi="Arial" w:cs="Arial"/>
          <w:szCs w:val="24"/>
        </w:rPr>
        <w:t xml:space="preserve"> Act</w:t>
      </w:r>
      <w:r w:rsidR="00DE0BC3">
        <w:rPr>
          <w:rFonts w:ascii="Arial" w:hAnsi="Arial" w:cs="Arial"/>
          <w:szCs w:val="24"/>
        </w:rPr>
        <w:t xml:space="preserve"> 129 of 2008.</w:t>
      </w:r>
    </w:p>
    <w:p w:rsidR="005A4B5E" w:rsidRPr="002C61BD" w:rsidRDefault="005A4B5E" w:rsidP="005A4B5E">
      <w:pPr>
        <w:tabs>
          <w:tab w:val="center" w:pos="4680"/>
        </w:tabs>
        <w:suppressAutoHyphens/>
        <w:outlineLvl w:val="0"/>
        <w:rPr>
          <w:rFonts w:ascii="Arial" w:hAnsi="Arial" w:cs="Arial"/>
          <w:b/>
          <w:szCs w:val="24"/>
        </w:rPr>
      </w:pPr>
    </w:p>
    <w:p w:rsidR="005A4B5E" w:rsidRPr="00725150" w:rsidRDefault="00ED59A1" w:rsidP="005A4B5E">
      <w:pPr>
        <w:tabs>
          <w:tab w:val="left" w:pos="360"/>
        </w:tabs>
        <w:jc w:val="both"/>
        <w:rPr>
          <w:rFonts w:ascii="Arial" w:hAnsi="Arial" w:cs="Arial"/>
          <w:b/>
          <w:szCs w:val="24"/>
          <w:u w:val="single"/>
        </w:rPr>
      </w:pPr>
      <w:r>
        <w:rPr>
          <w:rFonts w:ascii="Arial" w:hAnsi="Arial" w:cs="Arial"/>
          <w:b/>
          <w:szCs w:val="24"/>
          <w:u w:val="single"/>
        </w:rPr>
        <w:t>4</w:t>
      </w:r>
      <w:r w:rsidR="003D0F37" w:rsidRPr="00725150">
        <w:rPr>
          <w:rFonts w:ascii="Arial" w:hAnsi="Arial" w:cs="Arial"/>
          <w:b/>
          <w:szCs w:val="24"/>
          <w:u w:val="single"/>
        </w:rPr>
        <w:t xml:space="preserve"> </w:t>
      </w:r>
      <w:r w:rsidR="005A4B5E" w:rsidRPr="00725150">
        <w:rPr>
          <w:rFonts w:ascii="Arial" w:hAnsi="Arial" w:cs="Arial"/>
          <w:b/>
          <w:szCs w:val="24"/>
          <w:u w:val="single"/>
        </w:rPr>
        <w:t>-</w:t>
      </w:r>
      <w:r w:rsidR="005A4B5E" w:rsidRPr="00725150">
        <w:rPr>
          <w:rFonts w:ascii="Arial" w:hAnsi="Arial" w:cs="Arial"/>
          <w:b/>
          <w:szCs w:val="24"/>
          <w:u w:val="single"/>
        </w:rPr>
        <w:tab/>
        <w:t>Over</w:t>
      </w:r>
      <w:proofErr w:type="gramStart"/>
      <w:r w:rsidR="005A4B5E" w:rsidRPr="00725150">
        <w:rPr>
          <w:rFonts w:ascii="Arial" w:hAnsi="Arial" w:cs="Arial"/>
          <w:b/>
          <w:szCs w:val="24"/>
          <w:u w:val="single"/>
        </w:rPr>
        <w:t>/(</w:t>
      </w:r>
      <w:proofErr w:type="gramEnd"/>
      <w:r w:rsidR="005A4B5E" w:rsidRPr="00725150">
        <w:rPr>
          <w:rFonts w:ascii="Arial" w:hAnsi="Arial" w:cs="Arial"/>
          <w:b/>
          <w:szCs w:val="24"/>
          <w:u w:val="single"/>
        </w:rPr>
        <w:t>Under) Collections</w:t>
      </w:r>
    </w:p>
    <w:p w:rsidR="005A4B5E" w:rsidRPr="002C61BD" w:rsidRDefault="005A4B5E" w:rsidP="005A4B5E">
      <w:pPr>
        <w:tabs>
          <w:tab w:val="left" w:pos="360"/>
        </w:tabs>
        <w:jc w:val="both"/>
        <w:rPr>
          <w:rFonts w:ascii="Arial" w:hAnsi="Arial" w:cs="Arial"/>
          <w:b/>
          <w:szCs w:val="24"/>
          <w:u w:val="single"/>
        </w:rPr>
      </w:pPr>
    </w:p>
    <w:p w:rsidR="005A4B5E" w:rsidRPr="00B13816" w:rsidRDefault="005A4B5E" w:rsidP="005A4B5E">
      <w:pPr>
        <w:pStyle w:val="EndnoteText"/>
        <w:tabs>
          <w:tab w:val="left" w:pos="-720"/>
        </w:tabs>
        <w:suppressAutoHyphens/>
        <w:ind w:left="360" w:hanging="720"/>
        <w:rPr>
          <w:rFonts w:ascii="Arial" w:hAnsi="Arial" w:cs="Arial"/>
          <w:szCs w:val="24"/>
        </w:rPr>
      </w:pPr>
      <w:r w:rsidRPr="002C61BD">
        <w:rPr>
          <w:rFonts w:ascii="Arial" w:hAnsi="Arial" w:cs="Arial"/>
          <w:szCs w:val="24"/>
        </w:rPr>
        <w:tab/>
      </w:r>
      <w:r w:rsidRPr="00B13816">
        <w:rPr>
          <w:rFonts w:ascii="Arial" w:hAnsi="Arial" w:cs="Arial"/>
          <w:szCs w:val="24"/>
        </w:rPr>
        <w:t>Over</w:t>
      </w:r>
      <w:proofErr w:type="gramStart"/>
      <w:r w:rsidRPr="00B13816">
        <w:rPr>
          <w:rFonts w:ascii="Arial" w:hAnsi="Arial" w:cs="Arial"/>
          <w:szCs w:val="24"/>
        </w:rPr>
        <w:t>/(</w:t>
      </w:r>
      <w:proofErr w:type="gramEnd"/>
      <w:r w:rsidRPr="00B13816">
        <w:rPr>
          <w:rFonts w:ascii="Arial" w:hAnsi="Arial" w:cs="Arial"/>
          <w:szCs w:val="24"/>
        </w:rPr>
        <w:t>Under) Collections are the differences between the EE</w:t>
      </w:r>
      <w:r w:rsidR="00B13816" w:rsidRPr="00B13816">
        <w:rPr>
          <w:rFonts w:ascii="Arial" w:hAnsi="Arial" w:cs="Arial"/>
          <w:szCs w:val="24"/>
        </w:rPr>
        <w:t>P</w:t>
      </w:r>
      <w:r w:rsidR="004217BE" w:rsidRPr="00B13816">
        <w:rPr>
          <w:rFonts w:ascii="Arial" w:hAnsi="Arial" w:cs="Arial"/>
          <w:szCs w:val="24"/>
        </w:rPr>
        <w:t>C</w:t>
      </w:r>
      <w:r w:rsidRPr="00B13816">
        <w:rPr>
          <w:rFonts w:ascii="Arial" w:hAnsi="Arial" w:cs="Arial"/>
          <w:szCs w:val="24"/>
        </w:rPr>
        <w:t xml:space="preserve"> Revenues </w:t>
      </w:r>
      <w:r w:rsidR="00626593">
        <w:rPr>
          <w:rFonts w:ascii="Arial" w:hAnsi="Arial" w:cs="Arial"/>
          <w:szCs w:val="24"/>
        </w:rPr>
        <w:t xml:space="preserve">and </w:t>
      </w:r>
      <w:r w:rsidR="004217BE" w:rsidRPr="00B13816">
        <w:rPr>
          <w:rFonts w:ascii="Arial" w:hAnsi="Arial" w:cs="Arial"/>
          <w:szCs w:val="24"/>
        </w:rPr>
        <w:t>EE</w:t>
      </w:r>
      <w:r w:rsidR="00B13816" w:rsidRPr="00B13816">
        <w:rPr>
          <w:rFonts w:ascii="Arial" w:hAnsi="Arial" w:cs="Arial"/>
          <w:szCs w:val="24"/>
        </w:rPr>
        <w:t>P</w:t>
      </w:r>
      <w:r w:rsidR="004217BE" w:rsidRPr="00B13816">
        <w:rPr>
          <w:rFonts w:ascii="Arial" w:hAnsi="Arial" w:cs="Arial"/>
          <w:szCs w:val="24"/>
        </w:rPr>
        <w:t>C</w:t>
      </w:r>
      <w:r w:rsidRPr="00B13816">
        <w:rPr>
          <w:rFonts w:ascii="Arial" w:hAnsi="Arial" w:cs="Arial"/>
          <w:szCs w:val="24"/>
        </w:rPr>
        <w:t xml:space="preserve"> </w:t>
      </w:r>
      <w:r w:rsidR="00626593">
        <w:rPr>
          <w:rFonts w:ascii="Arial" w:hAnsi="Arial" w:cs="Arial"/>
          <w:szCs w:val="24"/>
        </w:rPr>
        <w:t>Expenses</w:t>
      </w:r>
      <w:r w:rsidRPr="00B13816">
        <w:rPr>
          <w:rFonts w:ascii="Arial" w:hAnsi="Arial" w:cs="Arial"/>
          <w:szCs w:val="24"/>
        </w:rPr>
        <w:t>.  The resulting amount</w:t>
      </w:r>
      <w:r w:rsidR="00C7527C">
        <w:rPr>
          <w:rFonts w:ascii="Arial" w:hAnsi="Arial" w:cs="Arial"/>
          <w:szCs w:val="24"/>
        </w:rPr>
        <w:t>s</w:t>
      </w:r>
      <w:r w:rsidRPr="00B13816">
        <w:rPr>
          <w:rFonts w:ascii="Arial" w:hAnsi="Arial" w:cs="Arial"/>
          <w:szCs w:val="24"/>
        </w:rPr>
        <w:t xml:space="preserve"> represent the portion </w:t>
      </w:r>
      <w:r w:rsidR="00C7527C">
        <w:rPr>
          <w:rFonts w:ascii="Arial" w:hAnsi="Arial" w:cs="Arial"/>
          <w:szCs w:val="24"/>
        </w:rPr>
        <w:t xml:space="preserve">of EEPC Revenues </w:t>
      </w:r>
      <w:r w:rsidRPr="00B13816">
        <w:rPr>
          <w:rFonts w:ascii="Arial" w:hAnsi="Arial" w:cs="Arial"/>
          <w:szCs w:val="24"/>
        </w:rPr>
        <w:t>refund</w:t>
      </w:r>
      <w:r w:rsidR="00C7527C">
        <w:rPr>
          <w:rFonts w:ascii="Arial" w:hAnsi="Arial" w:cs="Arial"/>
          <w:szCs w:val="24"/>
        </w:rPr>
        <w:t xml:space="preserve">able to </w:t>
      </w:r>
      <w:r w:rsidRPr="00B13816">
        <w:rPr>
          <w:rFonts w:ascii="Arial" w:hAnsi="Arial" w:cs="Arial"/>
          <w:szCs w:val="24"/>
        </w:rPr>
        <w:t xml:space="preserve">or </w:t>
      </w:r>
      <w:r w:rsidR="00C7527C">
        <w:rPr>
          <w:rFonts w:ascii="Arial" w:hAnsi="Arial" w:cs="Arial"/>
          <w:szCs w:val="24"/>
        </w:rPr>
        <w:t xml:space="preserve">EEPC Expenses recoverable </w:t>
      </w:r>
      <w:r w:rsidRPr="00B13816">
        <w:rPr>
          <w:rFonts w:ascii="Arial" w:hAnsi="Arial" w:cs="Arial"/>
          <w:szCs w:val="24"/>
        </w:rPr>
        <w:t>from customers</w:t>
      </w:r>
      <w:r w:rsidR="00F86E61" w:rsidRPr="00B13816">
        <w:rPr>
          <w:rFonts w:ascii="Arial" w:hAnsi="Arial" w:cs="Arial"/>
          <w:szCs w:val="24"/>
        </w:rPr>
        <w:t xml:space="preserve"> </w:t>
      </w:r>
      <w:r w:rsidR="00C7527C">
        <w:rPr>
          <w:rFonts w:ascii="Arial" w:hAnsi="Arial" w:cs="Arial"/>
          <w:szCs w:val="24"/>
        </w:rPr>
        <w:t xml:space="preserve">through </w:t>
      </w:r>
      <w:r w:rsidR="00F86E61" w:rsidRPr="00B13816">
        <w:rPr>
          <w:rFonts w:ascii="Arial" w:hAnsi="Arial" w:cs="Arial"/>
          <w:szCs w:val="24"/>
        </w:rPr>
        <w:t>subsequent EE</w:t>
      </w:r>
      <w:r w:rsidR="00B13816" w:rsidRPr="00B13816">
        <w:rPr>
          <w:rFonts w:ascii="Arial" w:hAnsi="Arial" w:cs="Arial"/>
          <w:szCs w:val="24"/>
        </w:rPr>
        <w:t>P</w:t>
      </w:r>
      <w:r w:rsidR="00012316" w:rsidRPr="00B13816">
        <w:rPr>
          <w:rFonts w:ascii="Arial" w:hAnsi="Arial" w:cs="Arial"/>
          <w:szCs w:val="24"/>
        </w:rPr>
        <w:t>C</w:t>
      </w:r>
      <w:r w:rsidR="00C7527C">
        <w:rPr>
          <w:rFonts w:ascii="Arial" w:hAnsi="Arial" w:cs="Arial"/>
          <w:szCs w:val="24"/>
        </w:rPr>
        <w:t xml:space="preserve"> filings</w:t>
      </w:r>
      <w:r w:rsidRPr="00B13816">
        <w:rPr>
          <w:rFonts w:ascii="Arial" w:hAnsi="Arial" w:cs="Arial"/>
          <w:szCs w:val="24"/>
        </w:rPr>
        <w:t xml:space="preserve">.  </w:t>
      </w:r>
      <w:r w:rsidR="00691B92">
        <w:rPr>
          <w:rFonts w:ascii="Arial" w:hAnsi="Arial" w:cs="Arial"/>
          <w:szCs w:val="24"/>
        </w:rPr>
        <w:t>Interest is not applied to over or under collections.  D</w:t>
      </w:r>
      <w:r w:rsidRPr="00B13816">
        <w:rPr>
          <w:rFonts w:ascii="Arial" w:hAnsi="Arial" w:cs="Arial"/>
          <w:szCs w:val="24"/>
        </w:rPr>
        <w:t>ifferences arise for two primary reasons:</w:t>
      </w:r>
    </w:p>
    <w:p w:rsidR="005A4B5E" w:rsidRPr="00B13816" w:rsidRDefault="005A4B5E" w:rsidP="005A4B5E">
      <w:pPr>
        <w:pStyle w:val="EndnoteText"/>
        <w:tabs>
          <w:tab w:val="left" w:pos="-720"/>
        </w:tabs>
        <w:suppressAutoHyphens/>
        <w:ind w:left="360" w:hanging="720"/>
        <w:rPr>
          <w:rFonts w:ascii="Arial" w:hAnsi="Arial" w:cs="Arial"/>
          <w:szCs w:val="24"/>
        </w:rPr>
      </w:pPr>
    </w:p>
    <w:p w:rsidR="005A4B5E" w:rsidRPr="00B13816" w:rsidRDefault="005A4B5E" w:rsidP="005A4B5E">
      <w:pPr>
        <w:pStyle w:val="EndnoteText"/>
        <w:numPr>
          <w:ilvl w:val="0"/>
          <w:numId w:val="4"/>
        </w:numPr>
        <w:tabs>
          <w:tab w:val="left" w:pos="-720"/>
        </w:tabs>
        <w:suppressAutoHyphens/>
        <w:textAlignment w:val="auto"/>
        <w:rPr>
          <w:rFonts w:ascii="Arial" w:hAnsi="Arial" w:cs="Arial"/>
          <w:szCs w:val="24"/>
        </w:rPr>
      </w:pPr>
      <w:r w:rsidRPr="00B13816">
        <w:rPr>
          <w:rFonts w:ascii="Arial" w:hAnsi="Arial" w:cs="Arial"/>
          <w:szCs w:val="24"/>
        </w:rPr>
        <w:t>Variations between the actual month</w:t>
      </w:r>
      <w:r w:rsidR="00170A48">
        <w:rPr>
          <w:rFonts w:ascii="Arial" w:hAnsi="Arial" w:cs="Arial"/>
          <w:szCs w:val="24"/>
        </w:rPr>
        <w:t xml:space="preserve">ly volumes billed to customers </w:t>
      </w:r>
      <w:r w:rsidRPr="00B13816">
        <w:rPr>
          <w:rFonts w:ascii="Arial" w:hAnsi="Arial" w:cs="Arial"/>
          <w:szCs w:val="24"/>
        </w:rPr>
        <w:t>and the estimates used to determine the EE</w:t>
      </w:r>
      <w:r w:rsidR="00B13816" w:rsidRPr="00B13816">
        <w:rPr>
          <w:rFonts w:ascii="Arial" w:hAnsi="Arial" w:cs="Arial"/>
          <w:szCs w:val="24"/>
        </w:rPr>
        <w:t>P</w:t>
      </w:r>
      <w:r w:rsidR="004217BE" w:rsidRPr="00B13816">
        <w:rPr>
          <w:rFonts w:ascii="Arial" w:hAnsi="Arial" w:cs="Arial"/>
          <w:szCs w:val="24"/>
        </w:rPr>
        <w:t>C</w:t>
      </w:r>
      <w:r w:rsidRPr="00B13816">
        <w:rPr>
          <w:rFonts w:ascii="Arial" w:hAnsi="Arial" w:cs="Arial"/>
          <w:szCs w:val="24"/>
        </w:rPr>
        <w:t xml:space="preserve"> rates.</w:t>
      </w:r>
    </w:p>
    <w:p w:rsidR="005A4B5E" w:rsidRPr="00B13816" w:rsidRDefault="005A4B5E" w:rsidP="005A4B5E">
      <w:pPr>
        <w:rPr>
          <w:rFonts w:ascii="Arial" w:hAnsi="Arial" w:cs="Arial"/>
        </w:rPr>
      </w:pPr>
    </w:p>
    <w:p w:rsidR="00ED59A1" w:rsidRDefault="00FA5724" w:rsidP="00FA5724">
      <w:pPr>
        <w:pStyle w:val="ListParagraph"/>
        <w:numPr>
          <w:ilvl w:val="0"/>
          <w:numId w:val="4"/>
        </w:numPr>
        <w:rPr>
          <w:rFonts w:ascii="Arial" w:hAnsi="Arial" w:cs="Arial"/>
          <w:szCs w:val="24"/>
        </w:rPr>
      </w:pPr>
      <w:r w:rsidRPr="00B13816">
        <w:rPr>
          <w:rFonts w:ascii="Arial" w:hAnsi="Arial" w:cs="Arial"/>
          <w:szCs w:val="24"/>
        </w:rPr>
        <w:t>Variations between actual EE</w:t>
      </w:r>
      <w:r w:rsidR="00B13816" w:rsidRPr="00B13816">
        <w:rPr>
          <w:rFonts w:ascii="Arial" w:hAnsi="Arial" w:cs="Arial"/>
          <w:szCs w:val="24"/>
        </w:rPr>
        <w:t>P</w:t>
      </w:r>
      <w:r w:rsidR="004217BE" w:rsidRPr="00B13816">
        <w:rPr>
          <w:rFonts w:ascii="Arial" w:hAnsi="Arial" w:cs="Arial"/>
          <w:szCs w:val="24"/>
        </w:rPr>
        <w:t>C</w:t>
      </w:r>
      <w:r w:rsidRPr="00B13816">
        <w:rPr>
          <w:rFonts w:ascii="Arial" w:hAnsi="Arial" w:cs="Arial"/>
          <w:szCs w:val="24"/>
        </w:rPr>
        <w:t xml:space="preserve"> </w:t>
      </w:r>
      <w:r w:rsidR="0071142D">
        <w:rPr>
          <w:rFonts w:ascii="Arial" w:hAnsi="Arial" w:cs="Arial"/>
          <w:szCs w:val="24"/>
        </w:rPr>
        <w:t xml:space="preserve">Expenses incurred </w:t>
      </w:r>
      <w:r w:rsidRPr="00B13816">
        <w:rPr>
          <w:rFonts w:ascii="Arial" w:hAnsi="Arial" w:cs="Arial"/>
          <w:szCs w:val="24"/>
        </w:rPr>
        <w:t xml:space="preserve">and </w:t>
      </w:r>
      <w:r w:rsidR="0071142D">
        <w:rPr>
          <w:rFonts w:ascii="Arial" w:hAnsi="Arial" w:cs="Arial"/>
          <w:szCs w:val="24"/>
        </w:rPr>
        <w:t xml:space="preserve">the estimates used to determine the </w:t>
      </w:r>
      <w:r w:rsidRPr="00B13816">
        <w:rPr>
          <w:rFonts w:ascii="Arial" w:hAnsi="Arial" w:cs="Arial"/>
          <w:szCs w:val="24"/>
        </w:rPr>
        <w:t>EE</w:t>
      </w:r>
      <w:r w:rsidR="00B13816" w:rsidRPr="00B13816">
        <w:rPr>
          <w:rFonts w:ascii="Arial" w:hAnsi="Arial" w:cs="Arial"/>
          <w:szCs w:val="24"/>
        </w:rPr>
        <w:t>P</w:t>
      </w:r>
      <w:r w:rsidR="004217BE" w:rsidRPr="00B13816">
        <w:rPr>
          <w:rFonts w:ascii="Arial" w:hAnsi="Arial" w:cs="Arial"/>
          <w:szCs w:val="24"/>
        </w:rPr>
        <w:t>C</w:t>
      </w:r>
      <w:r w:rsidRPr="00B13816">
        <w:rPr>
          <w:rFonts w:ascii="Arial" w:hAnsi="Arial" w:cs="Arial"/>
          <w:szCs w:val="24"/>
        </w:rPr>
        <w:t xml:space="preserve"> </w:t>
      </w:r>
      <w:r w:rsidR="004217BE" w:rsidRPr="00B13816">
        <w:rPr>
          <w:rFonts w:ascii="Arial" w:hAnsi="Arial" w:cs="Arial"/>
          <w:szCs w:val="24"/>
        </w:rPr>
        <w:t>r</w:t>
      </w:r>
      <w:r w:rsidRPr="00B13816">
        <w:rPr>
          <w:rFonts w:ascii="Arial" w:hAnsi="Arial" w:cs="Arial"/>
          <w:szCs w:val="24"/>
        </w:rPr>
        <w:t>ate</w:t>
      </w:r>
      <w:r w:rsidR="00012316" w:rsidRPr="00B13816">
        <w:rPr>
          <w:rFonts w:ascii="Arial" w:hAnsi="Arial" w:cs="Arial"/>
          <w:szCs w:val="24"/>
        </w:rPr>
        <w:t>s</w:t>
      </w:r>
      <w:r w:rsidRPr="00B13816">
        <w:rPr>
          <w:rFonts w:ascii="Arial" w:hAnsi="Arial" w:cs="Arial"/>
          <w:szCs w:val="24"/>
        </w:rPr>
        <w:t>.</w:t>
      </w:r>
    </w:p>
    <w:p w:rsidR="00ED59A1" w:rsidRDefault="00ED59A1" w:rsidP="00ED59A1">
      <w:r>
        <w:br w:type="page"/>
      </w:r>
    </w:p>
    <w:p w:rsidR="00ED59A1" w:rsidRPr="001D0DB6" w:rsidRDefault="00ED59A1" w:rsidP="00ED59A1">
      <w:pPr>
        <w:pStyle w:val="Heading1"/>
        <w:rPr>
          <w:rFonts w:ascii="Arial" w:hAnsi="Arial" w:cs="Arial"/>
          <w:sz w:val="26"/>
          <w:szCs w:val="26"/>
          <w:u w:val="none"/>
        </w:rPr>
      </w:pPr>
      <w:r w:rsidRPr="001D0DB6">
        <w:rPr>
          <w:rFonts w:ascii="Arial" w:hAnsi="Arial" w:cs="Arial"/>
          <w:sz w:val="26"/>
          <w:szCs w:val="26"/>
          <w:u w:val="none"/>
        </w:rPr>
        <w:lastRenderedPageBreak/>
        <w:t xml:space="preserve">PECO ENERGY COMPANY </w:t>
      </w:r>
    </w:p>
    <w:p w:rsidR="00ED59A1" w:rsidRPr="001D0DB6" w:rsidRDefault="00ED59A1" w:rsidP="00ED59A1">
      <w:pPr>
        <w:pStyle w:val="Heading1"/>
        <w:rPr>
          <w:rFonts w:ascii="Arial" w:hAnsi="Arial" w:cs="Arial"/>
          <w:sz w:val="26"/>
          <w:szCs w:val="26"/>
          <w:u w:val="none"/>
        </w:rPr>
      </w:pPr>
    </w:p>
    <w:p w:rsidR="00ED59A1" w:rsidRPr="004A3C46" w:rsidRDefault="00ED59A1" w:rsidP="00ED59A1">
      <w:pPr>
        <w:pStyle w:val="Heading1"/>
        <w:rPr>
          <w:rFonts w:ascii="Arial" w:hAnsi="Arial" w:cs="Arial"/>
          <w:sz w:val="26"/>
          <w:szCs w:val="26"/>
          <w:u w:val="none"/>
        </w:rPr>
      </w:pPr>
      <w:r w:rsidRPr="00553451">
        <w:rPr>
          <w:rFonts w:ascii="Arial" w:hAnsi="Arial" w:cs="Arial"/>
          <w:sz w:val="26"/>
          <w:szCs w:val="26"/>
          <w:u w:val="none"/>
        </w:rPr>
        <w:t>Notes to the Financial Statement</w:t>
      </w:r>
      <w:r>
        <w:rPr>
          <w:rFonts w:ascii="Arial" w:hAnsi="Arial" w:cs="Arial"/>
          <w:sz w:val="26"/>
          <w:szCs w:val="26"/>
          <w:u w:val="none"/>
        </w:rPr>
        <w:t>s (continued)</w:t>
      </w:r>
    </w:p>
    <w:p w:rsidR="005A4B5E" w:rsidRPr="00B13816" w:rsidRDefault="005A4B5E" w:rsidP="00ED59A1">
      <w:pPr>
        <w:pStyle w:val="ListParagraph"/>
        <w:rPr>
          <w:rFonts w:ascii="Arial" w:hAnsi="Arial" w:cs="Arial"/>
          <w:szCs w:val="24"/>
        </w:rPr>
      </w:pPr>
    </w:p>
    <w:p w:rsidR="00CB7699" w:rsidRDefault="00CB7699" w:rsidP="005A4B5E">
      <w:pPr>
        <w:rPr>
          <w:rFonts w:ascii="Arial" w:hAnsi="Arial" w:cs="Arial"/>
          <w:b/>
          <w:szCs w:val="24"/>
          <w:u w:val="single"/>
        </w:rPr>
      </w:pPr>
    </w:p>
    <w:p w:rsidR="00ED59A1" w:rsidRPr="00725150" w:rsidRDefault="00ED59A1" w:rsidP="00ED59A1">
      <w:pPr>
        <w:tabs>
          <w:tab w:val="left" w:pos="360"/>
        </w:tabs>
        <w:jc w:val="both"/>
        <w:rPr>
          <w:rFonts w:ascii="Arial" w:hAnsi="Arial" w:cs="Arial"/>
          <w:b/>
          <w:szCs w:val="24"/>
          <w:u w:val="single"/>
        </w:rPr>
      </w:pPr>
      <w:r>
        <w:rPr>
          <w:rFonts w:ascii="Arial" w:hAnsi="Arial" w:cs="Arial"/>
          <w:b/>
          <w:szCs w:val="24"/>
          <w:u w:val="single"/>
        </w:rPr>
        <w:t>5</w:t>
      </w:r>
      <w:r w:rsidRPr="00725150">
        <w:rPr>
          <w:rFonts w:ascii="Arial" w:hAnsi="Arial" w:cs="Arial"/>
          <w:b/>
          <w:szCs w:val="24"/>
          <w:u w:val="single"/>
        </w:rPr>
        <w:t xml:space="preserve"> </w:t>
      </w:r>
      <w:r>
        <w:rPr>
          <w:rFonts w:ascii="Arial" w:hAnsi="Arial" w:cs="Arial"/>
          <w:b/>
          <w:szCs w:val="24"/>
          <w:u w:val="single"/>
        </w:rPr>
        <w:t>-</w:t>
      </w:r>
      <w:r w:rsidRPr="00725150">
        <w:rPr>
          <w:rFonts w:ascii="Arial" w:hAnsi="Arial" w:cs="Arial"/>
          <w:b/>
          <w:szCs w:val="24"/>
          <w:u w:val="single"/>
        </w:rPr>
        <w:tab/>
        <w:t>Reconciliation True-up Period</w:t>
      </w:r>
    </w:p>
    <w:p w:rsidR="008E23D1" w:rsidRDefault="008E23D1" w:rsidP="00B92CDA">
      <w:pPr>
        <w:ind w:firstLine="720"/>
        <w:rPr>
          <w:rFonts w:ascii="Arial" w:hAnsi="Arial" w:cs="Arial"/>
          <w:b/>
          <w:szCs w:val="24"/>
        </w:rPr>
      </w:pPr>
    </w:p>
    <w:p w:rsidR="00FF1C0F" w:rsidRDefault="00ED59A1" w:rsidP="008E23D1">
      <w:pPr>
        <w:rPr>
          <w:rFonts w:ascii="Arial" w:hAnsi="Arial" w:cs="Arial"/>
          <w:szCs w:val="24"/>
        </w:rPr>
      </w:pPr>
      <w:r w:rsidRPr="00525F3A">
        <w:rPr>
          <w:rFonts w:ascii="Arial" w:hAnsi="Arial" w:cs="Arial"/>
          <w:szCs w:val="24"/>
        </w:rPr>
        <w:t xml:space="preserve">In order to ensure full collection or refund of the </w:t>
      </w:r>
      <w:r>
        <w:rPr>
          <w:rFonts w:ascii="Arial" w:hAnsi="Arial" w:cs="Arial"/>
          <w:szCs w:val="24"/>
        </w:rPr>
        <w:t xml:space="preserve">remaining </w:t>
      </w:r>
      <w:r w:rsidR="00083F0B">
        <w:rPr>
          <w:rFonts w:ascii="Arial" w:hAnsi="Arial" w:cs="Arial"/>
          <w:szCs w:val="24"/>
        </w:rPr>
        <w:t xml:space="preserve">EEPC </w:t>
      </w:r>
      <w:r>
        <w:rPr>
          <w:rFonts w:ascii="Arial" w:hAnsi="Arial" w:cs="Arial"/>
          <w:szCs w:val="24"/>
        </w:rPr>
        <w:t xml:space="preserve">over/under </w:t>
      </w:r>
      <w:r w:rsidR="00DB4E15">
        <w:rPr>
          <w:rFonts w:ascii="Arial" w:hAnsi="Arial" w:cs="Arial"/>
          <w:szCs w:val="24"/>
        </w:rPr>
        <w:t xml:space="preserve">collection </w:t>
      </w:r>
      <w:r>
        <w:rPr>
          <w:rFonts w:ascii="Arial" w:hAnsi="Arial" w:cs="Arial"/>
          <w:szCs w:val="24"/>
        </w:rPr>
        <w:t xml:space="preserve">balance at May 31, 2013, </w:t>
      </w:r>
      <w:r w:rsidRPr="00DE149A">
        <w:rPr>
          <w:rFonts w:ascii="Arial" w:hAnsi="Arial" w:cs="Arial"/>
          <w:szCs w:val="24"/>
        </w:rPr>
        <w:t xml:space="preserve">the end of Phase </w:t>
      </w:r>
      <w:r w:rsidR="00BC0BF8">
        <w:rPr>
          <w:rFonts w:ascii="Arial" w:hAnsi="Arial" w:cs="Arial"/>
          <w:szCs w:val="24"/>
        </w:rPr>
        <w:t>I</w:t>
      </w:r>
      <w:r>
        <w:rPr>
          <w:rFonts w:ascii="Arial" w:hAnsi="Arial" w:cs="Arial"/>
          <w:i/>
          <w:szCs w:val="24"/>
        </w:rPr>
        <w:t xml:space="preserve">, </w:t>
      </w:r>
      <w:r w:rsidR="005823A2">
        <w:rPr>
          <w:rFonts w:ascii="Arial" w:hAnsi="Arial" w:cs="Arial"/>
          <w:szCs w:val="24"/>
        </w:rPr>
        <w:t xml:space="preserve">PECO’s </w:t>
      </w:r>
      <w:r w:rsidR="00C7649B">
        <w:rPr>
          <w:rFonts w:ascii="Arial" w:hAnsi="Arial" w:cs="Arial"/>
          <w:szCs w:val="24"/>
        </w:rPr>
        <w:t xml:space="preserve">EEPC </w:t>
      </w:r>
      <w:r w:rsidR="005823A2">
        <w:rPr>
          <w:rFonts w:ascii="Arial" w:hAnsi="Arial" w:cs="Arial"/>
          <w:szCs w:val="24"/>
        </w:rPr>
        <w:t xml:space="preserve">tariff provided for the </w:t>
      </w:r>
      <w:r w:rsidR="00DB4E15">
        <w:rPr>
          <w:rFonts w:ascii="Arial" w:hAnsi="Arial" w:cs="Arial"/>
          <w:szCs w:val="24"/>
        </w:rPr>
        <w:t xml:space="preserve">interim </w:t>
      </w:r>
      <w:r>
        <w:rPr>
          <w:rFonts w:ascii="Arial" w:hAnsi="Arial" w:cs="Arial"/>
          <w:szCs w:val="24"/>
        </w:rPr>
        <w:t>adjust</w:t>
      </w:r>
      <w:r w:rsidR="005823A2">
        <w:rPr>
          <w:rFonts w:ascii="Arial" w:hAnsi="Arial" w:cs="Arial"/>
          <w:szCs w:val="24"/>
        </w:rPr>
        <w:t>ment of</w:t>
      </w:r>
      <w:r>
        <w:rPr>
          <w:rFonts w:ascii="Arial" w:hAnsi="Arial" w:cs="Arial"/>
          <w:szCs w:val="24"/>
        </w:rPr>
        <w:t xml:space="preserve"> the EEPC rate</w:t>
      </w:r>
      <w:r w:rsidR="005823A2">
        <w:rPr>
          <w:rFonts w:ascii="Arial" w:hAnsi="Arial" w:cs="Arial"/>
          <w:szCs w:val="24"/>
        </w:rPr>
        <w:t>s</w:t>
      </w:r>
      <w:r>
        <w:rPr>
          <w:rFonts w:ascii="Arial" w:hAnsi="Arial" w:cs="Arial"/>
          <w:szCs w:val="24"/>
        </w:rPr>
        <w:t xml:space="preserve"> over the period extending from June 1, 2013 to December 31, 2013. </w:t>
      </w:r>
      <w:r w:rsidR="00B46C33">
        <w:rPr>
          <w:rFonts w:ascii="Arial" w:hAnsi="Arial" w:cs="Arial"/>
          <w:szCs w:val="24"/>
        </w:rPr>
        <w:t xml:space="preserve"> </w:t>
      </w:r>
      <w:r w:rsidR="00DB4E15">
        <w:rPr>
          <w:rFonts w:ascii="Arial" w:hAnsi="Arial" w:cs="Arial"/>
          <w:szCs w:val="24"/>
        </w:rPr>
        <w:t xml:space="preserve">If any over/under collection balance was expected to remain after </w:t>
      </w:r>
      <w:r>
        <w:rPr>
          <w:rFonts w:ascii="Arial" w:hAnsi="Arial" w:cs="Arial"/>
          <w:szCs w:val="24"/>
        </w:rPr>
        <w:t>December 31, 2013, the Company</w:t>
      </w:r>
      <w:r w:rsidR="00DB4E15">
        <w:rPr>
          <w:rFonts w:ascii="Arial" w:hAnsi="Arial" w:cs="Arial"/>
          <w:szCs w:val="24"/>
        </w:rPr>
        <w:t xml:space="preserve"> </w:t>
      </w:r>
      <w:r w:rsidR="00B9048F">
        <w:rPr>
          <w:rFonts w:ascii="Arial" w:hAnsi="Arial" w:cs="Arial"/>
          <w:szCs w:val="24"/>
        </w:rPr>
        <w:t>could</w:t>
      </w:r>
      <w:r w:rsidR="00DB4E15">
        <w:rPr>
          <w:rFonts w:ascii="Arial" w:hAnsi="Arial" w:cs="Arial"/>
          <w:szCs w:val="24"/>
        </w:rPr>
        <w:t xml:space="preserve"> propose additional rate adjustments to ensure that the balance was eliminated.</w:t>
      </w:r>
      <w:r>
        <w:rPr>
          <w:rFonts w:ascii="Arial" w:hAnsi="Arial" w:cs="Arial"/>
          <w:szCs w:val="24"/>
        </w:rPr>
        <w:t xml:space="preserve">  </w:t>
      </w:r>
    </w:p>
    <w:p w:rsidR="00C6494A" w:rsidRDefault="00C6494A" w:rsidP="00F971DD">
      <w:pPr>
        <w:tabs>
          <w:tab w:val="left" w:pos="360"/>
        </w:tabs>
        <w:ind w:left="360"/>
        <w:rPr>
          <w:rFonts w:ascii="Arial" w:hAnsi="Arial" w:cs="Arial"/>
          <w:szCs w:val="24"/>
        </w:rPr>
      </w:pPr>
    </w:p>
    <w:p w:rsidR="001273AE" w:rsidRDefault="00ED59A1" w:rsidP="001273AE">
      <w:pPr>
        <w:rPr>
          <w:rFonts w:ascii="Arial" w:hAnsi="Arial" w:cs="Arial"/>
          <w:szCs w:val="24"/>
        </w:rPr>
      </w:pPr>
      <w:r>
        <w:rPr>
          <w:rFonts w:ascii="Arial" w:hAnsi="Arial" w:cs="Arial"/>
          <w:szCs w:val="24"/>
        </w:rPr>
        <w:t xml:space="preserve">During the </w:t>
      </w:r>
      <w:r w:rsidR="00FF1C0F">
        <w:rPr>
          <w:rFonts w:ascii="Arial" w:hAnsi="Arial" w:cs="Arial"/>
          <w:szCs w:val="24"/>
        </w:rPr>
        <w:t>Reconciliation True-up Period, PECO</w:t>
      </w:r>
      <w:r>
        <w:rPr>
          <w:rFonts w:ascii="Arial" w:hAnsi="Arial" w:cs="Arial"/>
          <w:szCs w:val="24"/>
        </w:rPr>
        <w:t xml:space="preserve"> refunded the </w:t>
      </w:r>
      <w:r w:rsidR="00C6494A">
        <w:rPr>
          <w:rFonts w:ascii="Arial" w:hAnsi="Arial" w:cs="Arial"/>
          <w:szCs w:val="24"/>
        </w:rPr>
        <w:t>c</w:t>
      </w:r>
      <w:r>
        <w:rPr>
          <w:rFonts w:ascii="Arial" w:hAnsi="Arial" w:cs="Arial"/>
          <w:szCs w:val="24"/>
        </w:rPr>
        <w:t>ustomers</w:t>
      </w:r>
      <w:r w:rsidR="00C6494A">
        <w:rPr>
          <w:rFonts w:ascii="Arial" w:hAnsi="Arial" w:cs="Arial"/>
          <w:szCs w:val="24"/>
        </w:rPr>
        <w:t>’</w:t>
      </w:r>
      <w:r>
        <w:rPr>
          <w:rFonts w:ascii="Arial" w:hAnsi="Arial" w:cs="Arial"/>
          <w:szCs w:val="24"/>
        </w:rPr>
        <w:t xml:space="preserve"> monies that were over collected primarily due to actual lower costs incurred to achieve the Act 129 energy efficiency goals than the amounts budgeted. </w:t>
      </w:r>
      <w:r w:rsidR="008519A4">
        <w:rPr>
          <w:rFonts w:ascii="Arial" w:hAnsi="Arial" w:cs="Arial"/>
          <w:szCs w:val="24"/>
        </w:rPr>
        <w:t xml:space="preserve"> </w:t>
      </w:r>
      <w:r>
        <w:rPr>
          <w:rFonts w:ascii="Arial" w:hAnsi="Arial" w:cs="Arial"/>
          <w:szCs w:val="24"/>
        </w:rPr>
        <w:t xml:space="preserve">The small amount of costs reported as incurred by </w:t>
      </w:r>
      <w:r w:rsidR="00C6494A">
        <w:rPr>
          <w:rFonts w:ascii="Arial" w:hAnsi="Arial" w:cs="Arial"/>
          <w:szCs w:val="24"/>
        </w:rPr>
        <w:t xml:space="preserve">PECO </w:t>
      </w:r>
      <w:r w:rsidRPr="00DE149A">
        <w:rPr>
          <w:rFonts w:ascii="Arial" w:hAnsi="Arial" w:cs="Arial"/>
          <w:szCs w:val="24"/>
        </w:rPr>
        <w:t xml:space="preserve">in the </w:t>
      </w:r>
      <w:r w:rsidR="00C6494A">
        <w:rPr>
          <w:rFonts w:ascii="Arial" w:hAnsi="Arial" w:cs="Arial"/>
          <w:szCs w:val="24"/>
        </w:rPr>
        <w:t>R</w:t>
      </w:r>
      <w:r w:rsidRPr="00DE149A">
        <w:rPr>
          <w:rFonts w:ascii="Arial" w:hAnsi="Arial" w:cs="Arial"/>
          <w:szCs w:val="24"/>
        </w:rPr>
        <w:t xml:space="preserve">econciliation </w:t>
      </w:r>
      <w:r w:rsidR="00C6494A">
        <w:rPr>
          <w:rFonts w:ascii="Arial" w:hAnsi="Arial" w:cs="Arial"/>
          <w:szCs w:val="24"/>
        </w:rPr>
        <w:t>T</w:t>
      </w:r>
      <w:r w:rsidRPr="00DE149A">
        <w:rPr>
          <w:rFonts w:ascii="Arial" w:hAnsi="Arial" w:cs="Arial"/>
          <w:szCs w:val="24"/>
        </w:rPr>
        <w:t xml:space="preserve">rue-up </w:t>
      </w:r>
      <w:r w:rsidR="00C6494A">
        <w:rPr>
          <w:rFonts w:ascii="Arial" w:hAnsi="Arial" w:cs="Arial"/>
          <w:szCs w:val="24"/>
        </w:rPr>
        <w:t>P</w:t>
      </w:r>
      <w:r w:rsidRPr="00DE149A">
        <w:rPr>
          <w:rFonts w:ascii="Arial" w:hAnsi="Arial" w:cs="Arial"/>
          <w:szCs w:val="24"/>
        </w:rPr>
        <w:t>eriod</w:t>
      </w:r>
      <w:r>
        <w:rPr>
          <w:rFonts w:ascii="Arial" w:hAnsi="Arial" w:cs="Arial"/>
          <w:i/>
          <w:szCs w:val="24"/>
        </w:rPr>
        <w:t xml:space="preserve"> </w:t>
      </w:r>
      <w:r>
        <w:rPr>
          <w:rFonts w:ascii="Arial" w:hAnsi="Arial" w:cs="Arial"/>
          <w:szCs w:val="24"/>
        </w:rPr>
        <w:t>were expenses to finalize any measures installed and commercially operable on or before May 31, 2013</w:t>
      </w:r>
      <w:r w:rsidR="00097A32">
        <w:rPr>
          <w:rFonts w:ascii="Arial" w:hAnsi="Arial" w:cs="Arial"/>
          <w:szCs w:val="24"/>
        </w:rPr>
        <w:t>,</w:t>
      </w:r>
      <w:r>
        <w:rPr>
          <w:rFonts w:ascii="Arial" w:hAnsi="Arial" w:cs="Arial"/>
          <w:szCs w:val="24"/>
        </w:rPr>
        <w:t xml:space="preserve"> expenses to finalize any contracts</w:t>
      </w:r>
      <w:r w:rsidR="00097A32">
        <w:rPr>
          <w:rFonts w:ascii="Arial" w:hAnsi="Arial" w:cs="Arial"/>
          <w:szCs w:val="24"/>
        </w:rPr>
        <w:t>,</w:t>
      </w:r>
      <w:r>
        <w:rPr>
          <w:rFonts w:ascii="Arial" w:hAnsi="Arial" w:cs="Arial"/>
          <w:szCs w:val="24"/>
        </w:rPr>
        <w:t xml:space="preserve"> and other Phase </w:t>
      </w:r>
      <w:r w:rsidR="00995C17">
        <w:rPr>
          <w:rFonts w:ascii="Arial" w:hAnsi="Arial" w:cs="Arial"/>
          <w:szCs w:val="24"/>
        </w:rPr>
        <w:t>I</w:t>
      </w:r>
      <w:r>
        <w:rPr>
          <w:rFonts w:ascii="Arial" w:hAnsi="Arial" w:cs="Arial"/>
          <w:szCs w:val="24"/>
        </w:rPr>
        <w:t xml:space="preserve"> administrative obligations.</w:t>
      </w:r>
      <w:r w:rsidR="001273AE">
        <w:rPr>
          <w:rFonts w:ascii="Arial" w:hAnsi="Arial" w:cs="Arial"/>
          <w:szCs w:val="24"/>
        </w:rPr>
        <w:t xml:space="preserve">  </w:t>
      </w:r>
    </w:p>
    <w:p w:rsidR="001273AE" w:rsidRDefault="001273AE" w:rsidP="001273AE">
      <w:pPr>
        <w:rPr>
          <w:rFonts w:ascii="Arial" w:hAnsi="Arial" w:cs="Arial"/>
          <w:szCs w:val="24"/>
        </w:rPr>
      </w:pPr>
    </w:p>
    <w:p w:rsidR="001273AE" w:rsidRDefault="001273AE" w:rsidP="001273AE">
      <w:pPr>
        <w:rPr>
          <w:rFonts w:ascii="Arial" w:hAnsi="Arial" w:cs="Arial"/>
          <w:szCs w:val="24"/>
        </w:rPr>
      </w:pPr>
      <w:r>
        <w:rPr>
          <w:rFonts w:ascii="Arial" w:hAnsi="Arial" w:cs="Arial"/>
          <w:szCs w:val="24"/>
        </w:rPr>
        <w:t xml:space="preserve">The remaining under collection balance </w:t>
      </w:r>
      <w:r w:rsidR="00EC74C4">
        <w:rPr>
          <w:rFonts w:ascii="Arial" w:hAnsi="Arial" w:cs="Arial"/>
          <w:szCs w:val="24"/>
        </w:rPr>
        <w:t xml:space="preserve">as </w:t>
      </w:r>
      <w:r>
        <w:rPr>
          <w:rFonts w:ascii="Arial" w:hAnsi="Arial" w:cs="Arial"/>
          <w:szCs w:val="24"/>
        </w:rPr>
        <w:t xml:space="preserve">of </w:t>
      </w:r>
      <w:r w:rsidR="00EC74C4">
        <w:rPr>
          <w:rFonts w:ascii="Arial" w:hAnsi="Arial" w:cs="Arial"/>
          <w:szCs w:val="24"/>
        </w:rPr>
        <w:t xml:space="preserve">May 31, 2014, of </w:t>
      </w:r>
      <w:r>
        <w:rPr>
          <w:rFonts w:ascii="Arial" w:hAnsi="Arial" w:cs="Arial"/>
          <w:szCs w:val="24"/>
        </w:rPr>
        <w:t>$359,88</w:t>
      </w:r>
      <w:r w:rsidR="008B185C">
        <w:rPr>
          <w:rFonts w:ascii="Arial" w:hAnsi="Arial" w:cs="Arial"/>
          <w:szCs w:val="24"/>
        </w:rPr>
        <w:t>4</w:t>
      </w:r>
      <w:r w:rsidR="00EC74C4">
        <w:rPr>
          <w:rFonts w:ascii="Arial" w:hAnsi="Arial" w:cs="Arial"/>
          <w:szCs w:val="24"/>
        </w:rPr>
        <w:t>,</w:t>
      </w:r>
      <w:r>
        <w:rPr>
          <w:rFonts w:ascii="Arial" w:hAnsi="Arial" w:cs="Arial"/>
          <w:szCs w:val="24"/>
        </w:rPr>
        <w:t xml:space="preserve"> will be added to the EEPC Phase II E-Factor balance to be recouped </w:t>
      </w:r>
      <w:r w:rsidRPr="00D71D92">
        <w:rPr>
          <w:rFonts w:ascii="Arial" w:hAnsi="Arial" w:cs="Arial"/>
          <w:szCs w:val="24"/>
        </w:rPr>
        <w:t xml:space="preserve">during the period of June 1, 2016 through May 31, 2017. </w:t>
      </w:r>
      <w:r>
        <w:rPr>
          <w:rFonts w:ascii="Arial" w:hAnsi="Arial" w:cs="Arial"/>
          <w:szCs w:val="24"/>
        </w:rPr>
        <w:t xml:space="preserve"> It will be a separate line item of the E</w:t>
      </w:r>
      <w:r>
        <w:rPr>
          <w:rFonts w:ascii="Arial" w:hAnsi="Arial" w:cs="Arial"/>
          <w:szCs w:val="24"/>
        </w:rPr>
        <w:noBreakHyphen/>
        <w:t>Factor calculation to allow for the proper accounting of the Phase I revenues.</w:t>
      </w:r>
    </w:p>
    <w:p w:rsidR="00A94868" w:rsidRDefault="00A94868" w:rsidP="008E23D1">
      <w:pPr>
        <w:tabs>
          <w:tab w:val="left" w:pos="0"/>
        </w:tabs>
        <w:rPr>
          <w:rFonts w:ascii="Arial" w:hAnsi="Arial" w:cs="Arial"/>
          <w:szCs w:val="24"/>
        </w:rPr>
      </w:pPr>
    </w:p>
    <w:p w:rsidR="00A94868" w:rsidRDefault="00A94868" w:rsidP="00A94868"/>
    <w:p w:rsidR="00ED59A1" w:rsidRPr="00525F3A" w:rsidRDefault="00ED59A1" w:rsidP="00F971DD">
      <w:pPr>
        <w:tabs>
          <w:tab w:val="left" w:pos="360"/>
        </w:tabs>
        <w:ind w:left="360"/>
        <w:rPr>
          <w:rFonts w:ascii="Arial" w:hAnsi="Arial" w:cs="Arial"/>
          <w:szCs w:val="24"/>
        </w:rPr>
      </w:pPr>
    </w:p>
    <w:p w:rsidR="00160B87" w:rsidRDefault="00160B87" w:rsidP="005A4B5E">
      <w:pPr>
        <w:rPr>
          <w:rFonts w:ascii="Arial" w:hAnsi="Arial" w:cs="Arial"/>
          <w:b/>
          <w:szCs w:val="24"/>
          <w:u w:val="single"/>
        </w:rPr>
        <w:sectPr w:rsidR="00160B87" w:rsidSect="00FD1303">
          <w:headerReference w:type="even" r:id="rId28"/>
          <w:headerReference w:type="default" r:id="rId29"/>
          <w:footerReference w:type="default" r:id="rId30"/>
          <w:headerReference w:type="first" r:id="rId31"/>
          <w:endnotePr>
            <w:numFmt w:val="decimal"/>
          </w:endnotePr>
          <w:pgSz w:w="12240" w:h="15840" w:code="1"/>
          <w:pgMar w:top="1440" w:right="1440" w:bottom="1152" w:left="1440" w:header="0" w:footer="720" w:gutter="0"/>
          <w:pgNumType w:fmt="numberInDash" w:start="4"/>
          <w:cols w:space="720"/>
          <w:noEndnote/>
          <w:titlePg/>
        </w:sectPr>
      </w:pPr>
    </w:p>
    <w:p w:rsidR="00ED59A1" w:rsidRDefault="00ED59A1" w:rsidP="005A4B5E">
      <w:pPr>
        <w:rPr>
          <w:rFonts w:ascii="Arial" w:hAnsi="Arial" w:cs="Arial"/>
          <w:b/>
          <w:szCs w:val="24"/>
          <w:u w:val="singl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3E4581" w:rsidRPr="002C61BD" w:rsidRDefault="003E4581" w:rsidP="003E4581">
      <w:pPr>
        <w:pStyle w:val="Heading4"/>
        <w:tabs>
          <w:tab w:val="clear" w:pos="4680"/>
        </w:tabs>
        <w:rPr>
          <w:rFonts w:ascii="Arial" w:hAnsi="Arial" w:cs="Arial"/>
          <w:sz w:val="36"/>
          <w:szCs w:val="24"/>
          <w:u w:val="none"/>
        </w:rPr>
      </w:pPr>
    </w:p>
    <w:p w:rsidR="000D0A79" w:rsidRDefault="000D0A79" w:rsidP="003E4581">
      <w:pPr>
        <w:pStyle w:val="Heading4"/>
        <w:tabs>
          <w:tab w:val="clear" w:pos="4680"/>
        </w:tabs>
        <w:rPr>
          <w:rFonts w:ascii="Arial" w:hAnsi="Arial" w:cs="Arial"/>
          <w:sz w:val="36"/>
          <w:szCs w:val="36"/>
          <w:u w:val="none"/>
        </w:rPr>
      </w:pPr>
    </w:p>
    <w:p w:rsidR="003E4581" w:rsidRPr="008B66EC" w:rsidRDefault="00667FC8" w:rsidP="003E4581">
      <w:pPr>
        <w:pStyle w:val="Heading4"/>
        <w:tabs>
          <w:tab w:val="clear" w:pos="4680"/>
        </w:tabs>
        <w:rPr>
          <w:rFonts w:ascii="Arial" w:hAnsi="Arial" w:cs="Arial"/>
          <w:sz w:val="36"/>
          <w:szCs w:val="36"/>
          <w:u w:val="none"/>
        </w:rPr>
      </w:pPr>
      <w:r w:rsidRPr="007B11B6">
        <w:rPr>
          <w:rFonts w:ascii="Arial" w:hAnsi="Arial" w:cs="Arial"/>
          <w:sz w:val="36"/>
          <w:szCs w:val="36"/>
          <w:u w:val="none"/>
        </w:rPr>
        <w:t>BACKGROUND</w:t>
      </w:r>
    </w:p>
    <w:p w:rsidR="00667FC8" w:rsidRPr="00343C2B" w:rsidRDefault="00667FC8" w:rsidP="00343C2B">
      <w:pPr>
        <w:jc w:val="center"/>
        <w:rPr>
          <w:rFonts w:ascii="Arial" w:hAnsi="Arial" w:cs="Arial"/>
          <w:sz w:val="36"/>
          <w:szCs w:val="36"/>
        </w:rPr>
      </w:pPr>
    </w:p>
    <w:p w:rsidR="00667FC8" w:rsidRPr="00343C2B" w:rsidRDefault="00667FC8" w:rsidP="00343C2B">
      <w:pPr>
        <w:jc w:val="center"/>
        <w:rPr>
          <w:rFonts w:ascii="Arial" w:hAnsi="Arial" w:cs="Arial"/>
          <w:sz w:val="36"/>
          <w:szCs w:val="36"/>
        </w:rPr>
      </w:pPr>
      <w:r w:rsidRPr="00343C2B">
        <w:rPr>
          <w:rFonts w:ascii="Arial" w:hAnsi="Arial" w:cs="Arial"/>
          <w:b/>
          <w:sz w:val="36"/>
          <w:szCs w:val="36"/>
        </w:rPr>
        <w:t>AND</w:t>
      </w:r>
    </w:p>
    <w:p w:rsidR="00667FC8" w:rsidRPr="007B11B6" w:rsidRDefault="00667FC8" w:rsidP="00343C2B">
      <w:pPr>
        <w:jc w:val="center"/>
        <w:rPr>
          <w:rFonts w:ascii="Arial" w:hAnsi="Arial" w:cs="Arial"/>
          <w:sz w:val="36"/>
          <w:szCs w:val="36"/>
        </w:rPr>
      </w:pPr>
    </w:p>
    <w:p w:rsidR="00E532F3" w:rsidRPr="008B66EC" w:rsidRDefault="00E532F3" w:rsidP="00E532F3">
      <w:pPr>
        <w:pStyle w:val="Heading4"/>
        <w:tabs>
          <w:tab w:val="clear" w:pos="4680"/>
        </w:tabs>
        <w:rPr>
          <w:rFonts w:ascii="Arial" w:hAnsi="Arial" w:cs="Arial"/>
          <w:sz w:val="36"/>
          <w:szCs w:val="36"/>
          <w:u w:val="none"/>
        </w:rPr>
      </w:pPr>
      <w:r w:rsidRPr="008B66EC">
        <w:rPr>
          <w:rFonts w:ascii="Arial" w:hAnsi="Arial" w:cs="Arial"/>
          <w:sz w:val="36"/>
          <w:szCs w:val="36"/>
          <w:u w:val="none"/>
        </w:rPr>
        <w:t>OPERATIONAL REVIEW</w:t>
      </w:r>
    </w:p>
    <w:p w:rsidR="00CB7699" w:rsidRPr="00343C2B" w:rsidRDefault="00CB7699" w:rsidP="00CB7699">
      <w:pPr>
        <w:rPr>
          <w:rFonts w:ascii="Arial" w:hAnsi="Arial" w:cs="Arial"/>
          <w:b/>
          <w:sz w:val="36"/>
          <w:szCs w:val="36"/>
        </w:rPr>
      </w:pPr>
    </w:p>
    <w:p w:rsidR="00CB7699" w:rsidRPr="002C61BD" w:rsidRDefault="00CB7699" w:rsidP="00CB7699">
      <w:pPr>
        <w:rPr>
          <w:rFonts w:ascii="Arial" w:hAnsi="Arial" w:cs="Arial"/>
        </w:rPr>
        <w:sectPr w:rsidR="00CB7699" w:rsidRPr="002C61BD" w:rsidSect="00FD1303">
          <w:headerReference w:type="even" r:id="rId32"/>
          <w:headerReference w:type="default" r:id="rId33"/>
          <w:headerReference w:type="first" r:id="rId34"/>
          <w:footerReference w:type="first" r:id="rId35"/>
          <w:endnotePr>
            <w:numFmt w:val="decimal"/>
          </w:endnotePr>
          <w:pgSz w:w="12240" w:h="15840" w:code="1"/>
          <w:pgMar w:top="1440" w:right="1440" w:bottom="1152" w:left="1440" w:header="0" w:footer="720" w:gutter="0"/>
          <w:pgNumType w:fmt="numberInDash" w:start="4"/>
          <w:cols w:space="720"/>
          <w:noEndnote/>
          <w:titlePg/>
        </w:sectPr>
      </w:pPr>
    </w:p>
    <w:p w:rsidR="004F00DD" w:rsidRPr="001D0DB6" w:rsidRDefault="004F00DD" w:rsidP="004F00DD">
      <w:pPr>
        <w:keepNext/>
        <w:tabs>
          <w:tab w:val="left" w:pos="360"/>
        </w:tabs>
        <w:overflowPunct/>
        <w:autoSpaceDE/>
        <w:autoSpaceDN/>
        <w:adjustRightInd/>
        <w:jc w:val="center"/>
        <w:textAlignment w:val="auto"/>
        <w:outlineLvl w:val="5"/>
        <w:rPr>
          <w:rFonts w:ascii="Arial" w:hAnsi="Arial" w:cs="Arial"/>
          <w:b/>
          <w:sz w:val="26"/>
          <w:szCs w:val="26"/>
        </w:rPr>
      </w:pPr>
      <w:r w:rsidRPr="001D0DB6">
        <w:rPr>
          <w:rFonts w:ascii="Arial" w:hAnsi="Arial" w:cs="Arial"/>
          <w:b/>
          <w:sz w:val="26"/>
          <w:szCs w:val="26"/>
        </w:rPr>
        <w:lastRenderedPageBreak/>
        <w:t>PECO ENERGY COMPANY</w:t>
      </w:r>
    </w:p>
    <w:p w:rsidR="004F00DD" w:rsidRPr="001D0DB6" w:rsidRDefault="004F00DD" w:rsidP="004F00DD">
      <w:pPr>
        <w:tabs>
          <w:tab w:val="left" w:pos="360"/>
        </w:tabs>
        <w:overflowPunct/>
        <w:autoSpaceDE/>
        <w:autoSpaceDN/>
        <w:adjustRightInd/>
        <w:jc w:val="center"/>
        <w:textAlignment w:val="auto"/>
        <w:rPr>
          <w:rFonts w:ascii="Arial" w:hAnsi="Arial" w:cs="Arial"/>
          <w:b/>
          <w:sz w:val="26"/>
          <w:szCs w:val="26"/>
        </w:rPr>
      </w:pPr>
    </w:p>
    <w:p w:rsidR="004F00DD" w:rsidRPr="001D0DB6" w:rsidRDefault="004F00DD" w:rsidP="004F00DD">
      <w:pPr>
        <w:tabs>
          <w:tab w:val="left" w:pos="360"/>
        </w:tabs>
        <w:overflowPunct/>
        <w:autoSpaceDE/>
        <w:autoSpaceDN/>
        <w:adjustRightInd/>
        <w:jc w:val="center"/>
        <w:textAlignment w:val="auto"/>
        <w:rPr>
          <w:rFonts w:ascii="Arial" w:hAnsi="Arial" w:cs="Arial"/>
          <w:sz w:val="26"/>
          <w:szCs w:val="26"/>
        </w:rPr>
      </w:pPr>
      <w:r w:rsidRPr="00100692">
        <w:rPr>
          <w:rFonts w:ascii="Arial" w:hAnsi="Arial" w:cs="Arial"/>
          <w:b/>
          <w:sz w:val="26"/>
          <w:szCs w:val="26"/>
        </w:rPr>
        <w:t>Background</w:t>
      </w:r>
    </w:p>
    <w:p w:rsidR="004F00DD" w:rsidRDefault="004F00DD" w:rsidP="004F00DD">
      <w:pPr>
        <w:overflowPunct/>
        <w:autoSpaceDE/>
        <w:autoSpaceDN/>
        <w:adjustRightInd/>
        <w:spacing w:after="200" w:line="276" w:lineRule="auto"/>
        <w:ind w:firstLine="720"/>
        <w:textAlignment w:val="auto"/>
        <w:rPr>
          <w:rFonts w:ascii="Arial" w:hAnsi="Arial" w:cs="Arial"/>
          <w:szCs w:val="24"/>
        </w:rPr>
      </w:pPr>
    </w:p>
    <w:p w:rsidR="00491D72" w:rsidRDefault="00491D72" w:rsidP="00491D72">
      <w:pPr>
        <w:pStyle w:val="NoSpacing"/>
        <w:ind w:firstLine="720"/>
        <w:rPr>
          <w:rFonts w:ascii="Arial" w:hAnsi="Arial" w:cs="Arial"/>
          <w:sz w:val="24"/>
          <w:szCs w:val="24"/>
        </w:rPr>
      </w:pPr>
      <w:r>
        <w:rPr>
          <w:rFonts w:ascii="Arial" w:hAnsi="Arial" w:cs="Arial"/>
          <w:sz w:val="24"/>
          <w:szCs w:val="24"/>
        </w:rPr>
        <w:t>This background section was developed substantially from unaudited data and documentation made available by PECO and is presented solely for informational purposes.</w:t>
      </w:r>
    </w:p>
    <w:p w:rsidR="00491D72" w:rsidRDefault="00491D72" w:rsidP="00A849B7">
      <w:pPr>
        <w:ind w:firstLine="720"/>
        <w:rPr>
          <w:rFonts w:ascii="Arial" w:hAnsi="Arial" w:cs="Arial"/>
        </w:rPr>
      </w:pPr>
    </w:p>
    <w:p w:rsidR="00C24D82" w:rsidRPr="00C24D82" w:rsidRDefault="00066015" w:rsidP="00A849B7">
      <w:pPr>
        <w:ind w:firstLine="720"/>
        <w:rPr>
          <w:rFonts w:ascii="Times New Roman" w:hAnsi="Times New Roman"/>
          <w:sz w:val="15"/>
          <w:szCs w:val="15"/>
        </w:rPr>
      </w:pPr>
      <w:r>
        <w:rPr>
          <w:rFonts w:ascii="Arial" w:hAnsi="Arial" w:cs="Arial"/>
        </w:rPr>
        <w:t xml:space="preserve">PECO is a company principally engaged in providing transmission and distribution of electric and natural gas services to retail customers in southeastern Pennsylvania.  PECO’s operations as an electric distribution company and natural gas distribution company are subject to regulation by the Commission.  PECO is a wholly owned subsidiary of Exelon Corporation headquartered in Chicago, Illinois.  </w:t>
      </w:r>
      <w:r w:rsidR="00C24D82">
        <w:rPr>
          <w:rFonts w:ascii="Arial" w:hAnsi="Arial" w:cs="Arial"/>
          <w:color w:val="000000"/>
        </w:rPr>
        <w:t xml:space="preserve">According to PECO’s annual reports filed with the PUC, </w:t>
      </w:r>
      <w:r w:rsidR="00D575D9">
        <w:rPr>
          <w:rFonts w:ascii="Arial" w:hAnsi="Arial" w:cs="Arial"/>
          <w:color w:val="000000"/>
        </w:rPr>
        <w:t>for the years</w:t>
      </w:r>
      <w:r w:rsidR="00C24D82">
        <w:rPr>
          <w:rFonts w:ascii="Arial" w:hAnsi="Arial" w:cs="Arial"/>
          <w:color w:val="000000"/>
        </w:rPr>
        <w:t xml:space="preserve"> </w:t>
      </w:r>
      <w:r w:rsidRPr="00C24D82">
        <w:rPr>
          <w:rFonts w:ascii="Arial" w:hAnsi="Arial" w:cs="Arial"/>
        </w:rPr>
        <w:t>201</w:t>
      </w:r>
      <w:r w:rsidR="000740FE" w:rsidRPr="00C24D82">
        <w:rPr>
          <w:rFonts w:ascii="Arial" w:hAnsi="Arial" w:cs="Arial"/>
        </w:rPr>
        <w:t>3</w:t>
      </w:r>
      <w:r w:rsidRPr="00C24D82">
        <w:rPr>
          <w:rFonts w:ascii="Arial" w:hAnsi="Arial" w:cs="Arial"/>
        </w:rPr>
        <w:t>,</w:t>
      </w:r>
      <w:r w:rsidR="00C24D82" w:rsidRPr="00C24D82">
        <w:rPr>
          <w:rFonts w:ascii="Arial" w:hAnsi="Arial" w:cs="Arial"/>
        </w:rPr>
        <w:t xml:space="preserve"> 2012, and 2011, </w:t>
      </w:r>
      <w:r w:rsidRPr="00C24D82">
        <w:rPr>
          <w:rFonts w:ascii="Arial" w:hAnsi="Arial" w:cs="Arial"/>
        </w:rPr>
        <w:t>PECO’s total electric distribution revenues</w:t>
      </w:r>
      <w:r w:rsidR="00D575D9">
        <w:rPr>
          <w:rFonts w:ascii="Arial" w:hAnsi="Arial" w:cs="Arial"/>
        </w:rPr>
        <w:t>,</w:t>
      </w:r>
      <w:r w:rsidRPr="00C24D82">
        <w:rPr>
          <w:rFonts w:ascii="Arial" w:hAnsi="Arial" w:cs="Arial"/>
        </w:rPr>
        <w:t xml:space="preserve"> </w:t>
      </w:r>
      <w:r w:rsidR="00D575D9">
        <w:rPr>
          <w:rFonts w:ascii="Arial" w:hAnsi="Arial" w:cs="Arial"/>
        </w:rPr>
        <w:t xml:space="preserve">including default service sales, </w:t>
      </w:r>
      <w:r w:rsidRPr="00C24D82">
        <w:rPr>
          <w:rFonts w:ascii="Arial" w:hAnsi="Arial" w:cs="Arial"/>
        </w:rPr>
        <w:t>from customers were $</w:t>
      </w:r>
      <w:r w:rsidR="00C24D82" w:rsidRPr="00C24D82">
        <w:rPr>
          <w:rFonts w:ascii="Arial" w:hAnsi="Arial" w:cs="Arial"/>
        </w:rPr>
        <w:t>2</w:t>
      </w:r>
      <w:r w:rsidR="00D83C3C">
        <w:rPr>
          <w:rFonts w:ascii="Arial" w:hAnsi="Arial" w:cs="Arial"/>
        </w:rPr>
        <w:t>.3 billion,</w:t>
      </w:r>
      <w:r w:rsidR="00C24D82">
        <w:rPr>
          <w:rFonts w:ascii="Arial" w:hAnsi="Arial" w:cs="Arial"/>
        </w:rPr>
        <w:t xml:space="preserve"> </w:t>
      </w:r>
      <w:r w:rsidR="00546BB7">
        <w:rPr>
          <w:rFonts w:ascii="Arial" w:hAnsi="Arial" w:cs="Arial"/>
        </w:rPr>
        <w:t>$</w:t>
      </w:r>
      <w:r w:rsidR="00C24D82" w:rsidRPr="00C24D82">
        <w:rPr>
          <w:rFonts w:ascii="Arial" w:hAnsi="Arial" w:cs="Arial"/>
        </w:rPr>
        <w:t>2</w:t>
      </w:r>
      <w:r w:rsidR="00D83C3C">
        <w:rPr>
          <w:rFonts w:ascii="Arial" w:hAnsi="Arial" w:cs="Arial"/>
        </w:rPr>
        <w:t>.</w:t>
      </w:r>
      <w:r w:rsidR="00C24D82" w:rsidRPr="00C24D82">
        <w:rPr>
          <w:rFonts w:ascii="Arial" w:hAnsi="Arial" w:cs="Arial"/>
        </w:rPr>
        <w:t>4</w:t>
      </w:r>
      <w:r w:rsidR="00D83C3C">
        <w:rPr>
          <w:rFonts w:ascii="Arial" w:hAnsi="Arial" w:cs="Arial"/>
        </w:rPr>
        <w:t xml:space="preserve"> billion</w:t>
      </w:r>
      <w:r w:rsidR="00C24D82">
        <w:rPr>
          <w:rFonts w:ascii="Arial" w:hAnsi="Arial" w:cs="Arial"/>
        </w:rPr>
        <w:t xml:space="preserve">, and </w:t>
      </w:r>
      <w:r w:rsidR="00546BB7">
        <w:rPr>
          <w:rFonts w:ascii="Arial" w:hAnsi="Arial" w:cs="Arial"/>
        </w:rPr>
        <w:t>$</w:t>
      </w:r>
      <w:r w:rsidR="00C24D82">
        <w:rPr>
          <w:rFonts w:ascii="Arial" w:hAnsi="Arial" w:cs="Arial"/>
        </w:rPr>
        <w:t>2</w:t>
      </w:r>
      <w:r w:rsidR="00D83C3C">
        <w:rPr>
          <w:rFonts w:ascii="Arial" w:hAnsi="Arial" w:cs="Arial"/>
        </w:rPr>
        <w:t>.9 billion</w:t>
      </w:r>
      <w:r w:rsidR="00C24D82">
        <w:rPr>
          <w:rFonts w:ascii="Arial" w:hAnsi="Arial" w:cs="Arial"/>
        </w:rPr>
        <w:t xml:space="preserve"> respectively.</w:t>
      </w:r>
      <w:r w:rsidR="00C24D82" w:rsidRPr="00C24D82">
        <w:rPr>
          <w:rFonts w:ascii="Times New Roman" w:hAnsi="Times New Roman"/>
          <w:sz w:val="15"/>
          <w:szCs w:val="15"/>
        </w:rPr>
        <w:t xml:space="preserve"> </w:t>
      </w:r>
    </w:p>
    <w:p w:rsidR="00066015" w:rsidRDefault="00C24D82" w:rsidP="00066015">
      <w:pPr>
        <w:rPr>
          <w:rFonts w:ascii="Arial" w:hAnsi="Arial" w:cs="Arial"/>
        </w:rPr>
      </w:pPr>
      <w:r w:rsidRPr="00C24D82">
        <w:rPr>
          <w:rFonts w:ascii="Times New Roman" w:hAnsi="Times New Roman"/>
          <w:sz w:val="15"/>
          <w:szCs w:val="15"/>
        </w:rPr>
        <w:t xml:space="preserve"> </w:t>
      </w:r>
    </w:p>
    <w:p w:rsidR="00066015" w:rsidRDefault="00066015" w:rsidP="00066015">
      <w:pPr>
        <w:rPr>
          <w:rFonts w:ascii="Arial" w:hAnsi="Arial" w:cs="Arial"/>
        </w:rPr>
      </w:pPr>
      <w:r>
        <w:rPr>
          <w:rFonts w:ascii="Arial" w:hAnsi="Arial" w:cs="Arial"/>
        </w:rPr>
        <w:tab/>
      </w:r>
      <w:r w:rsidRPr="000E03E3">
        <w:rPr>
          <w:rFonts w:ascii="Arial" w:hAnsi="Arial" w:cs="Arial"/>
        </w:rPr>
        <w:t xml:space="preserve">PECO provides electric distribution service in an area of approximately 1,900 square miles with a population of approximately </w:t>
      </w:r>
      <w:r w:rsidRPr="000740FE">
        <w:rPr>
          <w:rFonts w:ascii="Arial" w:hAnsi="Arial" w:cs="Arial"/>
        </w:rPr>
        <w:t>3.9</w:t>
      </w:r>
      <w:r w:rsidR="007A570F" w:rsidRPr="000740FE">
        <w:rPr>
          <w:rFonts w:ascii="Arial" w:hAnsi="Arial" w:cs="Arial"/>
        </w:rPr>
        <w:t xml:space="preserve"> </w:t>
      </w:r>
      <w:r w:rsidRPr="000E03E3">
        <w:rPr>
          <w:rFonts w:ascii="Arial" w:hAnsi="Arial" w:cs="Arial"/>
        </w:rPr>
        <w:t xml:space="preserve">million, including </w:t>
      </w:r>
      <w:r w:rsidRPr="000740FE">
        <w:rPr>
          <w:rFonts w:ascii="Arial" w:hAnsi="Arial" w:cs="Arial"/>
        </w:rPr>
        <w:t>1.5</w:t>
      </w:r>
      <w:r w:rsidR="004A421C" w:rsidRPr="000740FE">
        <w:rPr>
          <w:rFonts w:ascii="Arial" w:hAnsi="Arial" w:cs="Arial"/>
        </w:rPr>
        <w:t xml:space="preserve"> </w:t>
      </w:r>
      <w:r w:rsidRPr="000E03E3">
        <w:rPr>
          <w:rFonts w:ascii="Arial" w:hAnsi="Arial" w:cs="Arial"/>
        </w:rPr>
        <w:t xml:space="preserve">million in the city of Philadelphia.  During </w:t>
      </w:r>
      <w:r w:rsidRPr="000740FE">
        <w:rPr>
          <w:rFonts w:ascii="Arial" w:hAnsi="Arial" w:cs="Arial"/>
        </w:rPr>
        <w:t>201</w:t>
      </w:r>
      <w:r w:rsidR="004253EB" w:rsidRPr="000740FE">
        <w:rPr>
          <w:rFonts w:ascii="Arial" w:hAnsi="Arial" w:cs="Arial"/>
        </w:rPr>
        <w:t>3</w:t>
      </w:r>
      <w:r w:rsidRPr="000E03E3">
        <w:rPr>
          <w:rFonts w:ascii="Arial" w:hAnsi="Arial" w:cs="Arial"/>
        </w:rPr>
        <w:t>, PECO delivered electricity to approximately 1,</w:t>
      </w:r>
      <w:r w:rsidR="004253EB" w:rsidRPr="000E03E3">
        <w:rPr>
          <w:rFonts w:ascii="Arial" w:hAnsi="Arial" w:cs="Arial"/>
        </w:rPr>
        <w:t>600,000</w:t>
      </w:r>
      <w:r w:rsidRPr="000E03E3">
        <w:rPr>
          <w:rFonts w:ascii="Arial" w:hAnsi="Arial" w:cs="Arial"/>
        </w:rPr>
        <w:t xml:space="preserve"> residential, commercial and industrial customers</w:t>
      </w:r>
    </w:p>
    <w:p w:rsidR="00F33713" w:rsidRDefault="00F33713" w:rsidP="00066015">
      <w:pPr>
        <w:rPr>
          <w:rFonts w:ascii="Arial" w:hAnsi="Arial" w:cs="Arial"/>
        </w:rPr>
      </w:pPr>
    </w:p>
    <w:p w:rsidR="00066015" w:rsidRDefault="00066015" w:rsidP="00066015">
      <w:pPr>
        <w:rPr>
          <w:rFonts w:ascii="Arial" w:hAnsi="Arial" w:cs="Arial"/>
        </w:rPr>
      </w:pPr>
      <w:r>
        <w:rPr>
          <w:rFonts w:ascii="Arial" w:hAnsi="Arial" w:cs="Arial"/>
        </w:rPr>
        <w:tab/>
      </w:r>
      <w:r w:rsidRPr="00DE4920">
        <w:rPr>
          <w:rFonts w:ascii="Arial" w:hAnsi="Arial" w:cs="Arial"/>
        </w:rPr>
        <w:t>PECO owns 1,0</w:t>
      </w:r>
      <w:r w:rsidR="00DE4920" w:rsidRPr="00DE4920">
        <w:rPr>
          <w:rFonts w:ascii="Arial" w:hAnsi="Arial" w:cs="Arial"/>
        </w:rPr>
        <w:t>92</w:t>
      </w:r>
      <w:r w:rsidRPr="00DE4920">
        <w:rPr>
          <w:rFonts w:ascii="Arial" w:hAnsi="Arial" w:cs="Arial"/>
        </w:rPr>
        <w:t xml:space="preserve"> miles of high voltage electric transmission lines within its service territory.  In addition, PECO has a 22.00% ownership of 127 miles of 500 kV lines located in Pennsylvania and a 42.55% ownership </w:t>
      </w:r>
      <w:r w:rsidR="00FC5F5C">
        <w:rPr>
          <w:rFonts w:ascii="Arial" w:hAnsi="Arial" w:cs="Arial"/>
        </w:rPr>
        <w:t xml:space="preserve">of </w:t>
      </w:r>
      <w:r w:rsidR="006E05F6" w:rsidRPr="00DE4920">
        <w:rPr>
          <w:rFonts w:ascii="Arial" w:hAnsi="Arial" w:cs="Arial"/>
        </w:rPr>
        <w:t xml:space="preserve">131 miles </w:t>
      </w:r>
      <w:r w:rsidRPr="00DE4920">
        <w:rPr>
          <w:rFonts w:ascii="Arial" w:hAnsi="Arial" w:cs="Arial"/>
        </w:rPr>
        <w:t xml:space="preserve">of 500 kV lines located in Delaware and New Jersey.  </w:t>
      </w:r>
      <w:r w:rsidRPr="001D5696">
        <w:rPr>
          <w:rFonts w:ascii="Arial" w:hAnsi="Arial" w:cs="Arial"/>
        </w:rPr>
        <w:t>PECO’s electric distribution system includes 12,</w:t>
      </w:r>
      <w:r w:rsidR="003C5607" w:rsidRPr="001D5696">
        <w:rPr>
          <w:rFonts w:ascii="Arial" w:hAnsi="Arial" w:cs="Arial"/>
        </w:rPr>
        <w:t>989</w:t>
      </w:r>
      <w:r w:rsidRPr="001D5696">
        <w:rPr>
          <w:rFonts w:ascii="Arial" w:hAnsi="Arial" w:cs="Arial"/>
        </w:rPr>
        <w:t xml:space="preserve"> circuit miles of overhead lines and </w:t>
      </w:r>
      <w:r w:rsidRPr="000740FE">
        <w:rPr>
          <w:rFonts w:ascii="Arial" w:hAnsi="Arial" w:cs="Arial"/>
        </w:rPr>
        <w:t>8,</w:t>
      </w:r>
      <w:r w:rsidR="003C5607" w:rsidRPr="000740FE">
        <w:rPr>
          <w:rFonts w:ascii="Arial" w:hAnsi="Arial" w:cs="Arial"/>
        </w:rPr>
        <w:t>915</w:t>
      </w:r>
      <w:r w:rsidRPr="000740FE">
        <w:rPr>
          <w:rFonts w:ascii="Arial" w:hAnsi="Arial" w:cs="Arial"/>
        </w:rPr>
        <w:t xml:space="preserve"> </w:t>
      </w:r>
      <w:r w:rsidRPr="001D5696">
        <w:rPr>
          <w:rFonts w:ascii="Arial" w:hAnsi="Arial" w:cs="Arial"/>
        </w:rPr>
        <w:t>circuit miles of underground lines</w:t>
      </w:r>
      <w:r w:rsidR="00BC3472">
        <w:rPr>
          <w:rFonts w:ascii="Arial" w:hAnsi="Arial" w:cs="Arial"/>
        </w:rPr>
        <w:t>.</w:t>
      </w:r>
    </w:p>
    <w:p w:rsidR="00066015" w:rsidRDefault="00066015" w:rsidP="00066015">
      <w:pPr>
        <w:tabs>
          <w:tab w:val="left" w:pos="-1440"/>
          <w:tab w:val="left" w:pos="-720"/>
        </w:tabs>
        <w:suppressAutoHyphens/>
        <w:rPr>
          <w:rFonts w:ascii="Arial" w:hAnsi="Arial" w:cs="Arial"/>
          <w:szCs w:val="24"/>
        </w:rPr>
      </w:pPr>
    </w:p>
    <w:p w:rsidR="00066015" w:rsidRDefault="00066015" w:rsidP="00994C1A">
      <w:pPr>
        <w:suppressAutoHyphens/>
        <w:rPr>
          <w:rFonts w:ascii="Arial" w:hAnsi="Arial"/>
          <w:szCs w:val="26"/>
        </w:rPr>
      </w:pPr>
      <w:r>
        <w:rPr>
          <w:rFonts w:ascii="Arial" w:hAnsi="Arial" w:cs="Arial"/>
          <w:szCs w:val="24"/>
        </w:rPr>
        <w:tab/>
      </w:r>
      <w:r w:rsidR="009930DB">
        <w:rPr>
          <w:rFonts w:ascii="Arial" w:hAnsi="Arial"/>
          <w:szCs w:val="26"/>
        </w:rPr>
        <w:t xml:space="preserve">On October 15, 2008, Act 129 became law and required the </w:t>
      </w:r>
      <w:r w:rsidR="00AB75B1">
        <w:rPr>
          <w:rFonts w:ascii="Arial" w:hAnsi="Arial"/>
          <w:szCs w:val="26"/>
        </w:rPr>
        <w:t>Commission</w:t>
      </w:r>
      <w:r w:rsidR="009930DB">
        <w:rPr>
          <w:rFonts w:ascii="Arial" w:hAnsi="Arial"/>
          <w:szCs w:val="26"/>
        </w:rPr>
        <w:t xml:space="preserve"> to develop an Energy Efficiency and Conservation Program applicable to electric distribution companies with at least 100,000 customers.  It permitted companies to implement a surcharge mechanism to recover the costs associated with implementing an Energy Efficiency and Conservation Program (EEPC) Plan.  </w:t>
      </w:r>
      <w:r w:rsidR="009930DB" w:rsidRPr="00DB2DF3">
        <w:rPr>
          <w:rFonts w:ascii="Arial" w:hAnsi="Arial"/>
          <w:szCs w:val="26"/>
        </w:rPr>
        <w:t xml:space="preserve">On October </w:t>
      </w:r>
      <w:r w:rsidR="00557CA2" w:rsidRPr="00DB2DF3">
        <w:rPr>
          <w:rFonts w:ascii="Arial" w:hAnsi="Arial"/>
          <w:szCs w:val="26"/>
        </w:rPr>
        <w:t>15</w:t>
      </w:r>
      <w:r w:rsidR="009930DB" w:rsidRPr="00DB2DF3">
        <w:rPr>
          <w:rFonts w:ascii="Arial" w:hAnsi="Arial"/>
          <w:szCs w:val="26"/>
        </w:rPr>
        <w:t xml:space="preserve">, 2009, </w:t>
      </w:r>
      <w:r w:rsidR="00557CA2" w:rsidRPr="00DB2DF3">
        <w:rPr>
          <w:rFonts w:ascii="Arial" w:hAnsi="Arial"/>
          <w:szCs w:val="26"/>
        </w:rPr>
        <w:t>PECO</w:t>
      </w:r>
      <w:r w:rsidR="009930DB" w:rsidRPr="00DB2DF3">
        <w:rPr>
          <w:rFonts w:ascii="Arial" w:hAnsi="Arial"/>
          <w:szCs w:val="26"/>
        </w:rPr>
        <w:t>’s EE</w:t>
      </w:r>
      <w:r w:rsidR="00557CA2" w:rsidRPr="00DB2DF3">
        <w:rPr>
          <w:rFonts w:ascii="Arial" w:hAnsi="Arial"/>
          <w:szCs w:val="26"/>
        </w:rPr>
        <w:t>P</w:t>
      </w:r>
      <w:r w:rsidR="009930DB" w:rsidRPr="00DB2DF3">
        <w:rPr>
          <w:rFonts w:ascii="Arial" w:hAnsi="Arial"/>
          <w:szCs w:val="26"/>
        </w:rPr>
        <w:t>C Plan, at Docket No. M</w:t>
      </w:r>
      <w:r w:rsidR="009930DB" w:rsidRPr="00DB2DF3">
        <w:rPr>
          <w:rFonts w:ascii="Arial" w:hAnsi="Arial"/>
          <w:szCs w:val="26"/>
        </w:rPr>
        <w:noBreakHyphen/>
        <w:t>2009</w:t>
      </w:r>
      <w:r w:rsidR="009930DB" w:rsidRPr="00DB2DF3">
        <w:rPr>
          <w:rFonts w:ascii="Arial" w:hAnsi="Arial"/>
          <w:szCs w:val="26"/>
        </w:rPr>
        <w:noBreakHyphen/>
      </w:r>
      <w:r w:rsidR="00842215" w:rsidRPr="00DB2DF3">
        <w:rPr>
          <w:rFonts w:ascii="Arial" w:hAnsi="Arial"/>
          <w:szCs w:val="26"/>
        </w:rPr>
        <w:t>2093215,</w:t>
      </w:r>
      <w:r w:rsidR="009930DB" w:rsidRPr="00DB2DF3">
        <w:rPr>
          <w:rFonts w:ascii="Arial" w:hAnsi="Arial"/>
          <w:szCs w:val="26"/>
        </w:rPr>
        <w:t xml:space="preserve"> was approved by the Commission.  </w:t>
      </w:r>
      <w:r w:rsidR="00842215" w:rsidRPr="00DB2DF3">
        <w:rPr>
          <w:rFonts w:ascii="Arial" w:hAnsi="Arial"/>
          <w:szCs w:val="26"/>
        </w:rPr>
        <w:t>PECO</w:t>
      </w:r>
      <w:r w:rsidR="00B95A25">
        <w:rPr>
          <w:rFonts w:ascii="Arial" w:hAnsi="Arial"/>
          <w:szCs w:val="26"/>
        </w:rPr>
        <w:t xml:space="preserve">’s </w:t>
      </w:r>
      <w:r w:rsidR="009930DB" w:rsidRPr="00DB2DF3">
        <w:rPr>
          <w:rFonts w:ascii="Arial" w:hAnsi="Arial"/>
          <w:szCs w:val="26"/>
        </w:rPr>
        <w:t>EE</w:t>
      </w:r>
      <w:r w:rsidR="00B95A25">
        <w:rPr>
          <w:rFonts w:ascii="Arial" w:hAnsi="Arial"/>
          <w:szCs w:val="26"/>
        </w:rPr>
        <w:t>PC</w:t>
      </w:r>
      <w:r w:rsidR="00842215" w:rsidRPr="00DB2DF3">
        <w:rPr>
          <w:rFonts w:ascii="Arial" w:hAnsi="Arial"/>
          <w:szCs w:val="26"/>
        </w:rPr>
        <w:t xml:space="preserve"> </w:t>
      </w:r>
      <w:r w:rsidR="00B95A25">
        <w:rPr>
          <w:rFonts w:ascii="Arial" w:hAnsi="Arial"/>
          <w:szCs w:val="26"/>
        </w:rPr>
        <w:t>tariff became effective January 1, 2010.</w:t>
      </w:r>
      <w:r w:rsidR="00842215" w:rsidRPr="00DB2DF3">
        <w:rPr>
          <w:rFonts w:ascii="Arial" w:hAnsi="Arial"/>
          <w:szCs w:val="26"/>
        </w:rPr>
        <w:t xml:space="preserve"> </w:t>
      </w:r>
      <w:r w:rsidR="00B95A25">
        <w:rPr>
          <w:rFonts w:ascii="Arial" w:hAnsi="Arial"/>
          <w:szCs w:val="26"/>
        </w:rPr>
        <w:t xml:space="preserve"> </w:t>
      </w:r>
      <w:r w:rsidR="00842215" w:rsidRPr="00DB2DF3">
        <w:rPr>
          <w:rFonts w:ascii="Arial" w:hAnsi="Arial"/>
          <w:szCs w:val="26"/>
        </w:rPr>
        <w:t>The EEPC</w:t>
      </w:r>
      <w:r w:rsidR="009930DB" w:rsidRPr="00DB2DF3">
        <w:rPr>
          <w:rFonts w:ascii="Arial" w:hAnsi="Arial"/>
          <w:szCs w:val="26"/>
        </w:rPr>
        <w:t xml:space="preserve"> is a </w:t>
      </w:r>
      <w:r w:rsidR="00AB6F5C">
        <w:rPr>
          <w:rFonts w:ascii="Arial" w:hAnsi="Arial"/>
          <w:szCs w:val="26"/>
        </w:rPr>
        <w:t>N</w:t>
      </w:r>
      <w:r w:rsidR="009930DB" w:rsidRPr="00DB2DF3">
        <w:rPr>
          <w:rFonts w:ascii="Arial" w:hAnsi="Arial"/>
          <w:szCs w:val="26"/>
        </w:rPr>
        <w:t>on-by</w:t>
      </w:r>
      <w:r w:rsidR="005F40A1" w:rsidRPr="00DB2DF3">
        <w:rPr>
          <w:rFonts w:ascii="Arial" w:hAnsi="Arial"/>
          <w:szCs w:val="26"/>
        </w:rPr>
        <w:t xml:space="preserve"> </w:t>
      </w:r>
      <w:r w:rsidR="009930DB" w:rsidRPr="00DB2DF3">
        <w:rPr>
          <w:rFonts w:ascii="Arial" w:hAnsi="Arial"/>
          <w:szCs w:val="26"/>
        </w:rPr>
        <w:t xml:space="preserve">passable surcharge applied to all customer bills.  </w:t>
      </w:r>
    </w:p>
    <w:p w:rsidR="00994C1A" w:rsidRDefault="00994C1A" w:rsidP="00994C1A">
      <w:pPr>
        <w:suppressAutoHyphens/>
        <w:rPr>
          <w:rFonts w:ascii="Arial" w:hAnsi="Arial" w:cs="Arial"/>
        </w:rPr>
      </w:pPr>
    </w:p>
    <w:p w:rsidR="00066015" w:rsidRDefault="00066015" w:rsidP="00242993">
      <w:pPr>
        <w:overflowPunct/>
        <w:textAlignment w:val="auto"/>
        <w:rPr>
          <w:rFonts w:ascii="Arial" w:hAnsi="Arial" w:cs="Arial"/>
        </w:rPr>
      </w:pPr>
      <w:r>
        <w:rPr>
          <w:rFonts w:ascii="Arial" w:hAnsi="Arial" w:cs="Arial"/>
        </w:rPr>
        <w:tab/>
      </w:r>
      <w:r w:rsidR="00242993" w:rsidRPr="00242993">
        <w:rPr>
          <w:rFonts w:ascii="Arial" w:hAnsi="Arial" w:cs="Arial"/>
        </w:rPr>
        <w:t xml:space="preserve">The </w:t>
      </w:r>
      <w:r w:rsidR="00242993">
        <w:rPr>
          <w:rFonts w:ascii="Arial" w:hAnsi="Arial" w:cs="Arial"/>
        </w:rPr>
        <w:t xml:space="preserve">EEPC </w:t>
      </w:r>
      <w:r w:rsidR="00A05329">
        <w:rPr>
          <w:rFonts w:ascii="Arial" w:hAnsi="Arial" w:cs="Arial"/>
        </w:rPr>
        <w:t>surcharge</w:t>
      </w:r>
      <w:r w:rsidR="00242993">
        <w:rPr>
          <w:rFonts w:ascii="Arial" w:hAnsi="Arial" w:cs="Arial"/>
        </w:rPr>
        <w:t xml:space="preserve"> allows PECO to recover costs associated with</w:t>
      </w:r>
      <w:r w:rsidR="00242993" w:rsidRPr="00242993">
        <w:rPr>
          <w:rFonts w:ascii="Arial" w:hAnsi="Arial" w:cs="Arial"/>
        </w:rPr>
        <w:t>:</w:t>
      </w:r>
      <w:r w:rsidR="00A81826">
        <w:rPr>
          <w:rFonts w:ascii="Arial" w:hAnsi="Arial" w:cs="Arial"/>
        </w:rPr>
        <w:t xml:space="preserve"> </w:t>
      </w:r>
      <w:r w:rsidR="00242993" w:rsidRPr="00242993">
        <w:rPr>
          <w:rFonts w:ascii="Arial" w:hAnsi="Arial" w:cs="Arial"/>
        </w:rPr>
        <w:t xml:space="preserve"> all expenditures of the individual programs</w:t>
      </w:r>
      <w:r w:rsidR="00A81826">
        <w:rPr>
          <w:rFonts w:ascii="Arial" w:hAnsi="Arial" w:cs="Arial"/>
        </w:rPr>
        <w:t>,</w:t>
      </w:r>
      <w:r w:rsidR="00242993" w:rsidRPr="00242993">
        <w:rPr>
          <w:rFonts w:ascii="Arial" w:hAnsi="Arial" w:cs="Arial"/>
        </w:rPr>
        <w:t xml:space="preserve"> such</w:t>
      </w:r>
      <w:r w:rsidR="00242993">
        <w:rPr>
          <w:rFonts w:ascii="Arial" w:hAnsi="Arial" w:cs="Arial"/>
        </w:rPr>
        <w:t xml:space="preserve"> </w:t>
      </w:r>
      <w:r w:rsidR="00242993" w:rsidRPr="00242993">
        <w:rPr>
          <w:rFonts w:ascii="Arial" w:hAnsi="Arial" w:cs="Arial"/>
        </w:rPr>
        <w:t>as materials, equipment, installation, custom programs, evaluation measurement/verification, educating customers about</w:t>
      </w:r>
      <w:r w:rsidR="00242993">
        <w:rPr>
          <w:rFonts w:ascii="Arial" w:hAnsi="Arial" w:cs="Arial"/>
        </w:rPr>
        <w:t xml:space="preserve"> </w:t>
      </w:r>
      <w:r w:rsidR="00242993" w:rsidRPr="00242993">
        <w:rPr>
          <w:rFonts w:ascii="Arial" w:hAnsi="Arial" w:cs="Arial"/>
        </w:rPr>
        <w:t>availability to the extent not included in Consumer Education cost, not recovered through any separate recovery mechanism,</w:t>
      </w:r>
      <w:r w:rsidR="00242993">
        <w:rPr>
          <w:rFonts w:ascii="Arial" w:hAnsi="Arial" w:cs="Arial"/>
        </w:rPr>
        <w:t xml:space="preserve"> </w:t>
      </w:r>
      <w:r w:rsidR="00242993" w:rsidRPr="00242993">
        <w:rPr>
          <w:rFonts w:ascii="Arial" w:hAnsi="Arial" w:cs="Arial"/>
        </w:rPr>
        <w:t xml:space="preserve">and any other cost associated with implementation of the programs. </w:t>
      </w:r>
      <w:r w:rsidR="00A81826">
        <w:rPr>
          <w:rFonts w:ascii="Arial" w:hAnsi="Arial" w:cs="Arial"/>
        </w:rPr>
        <w:t xml:space="preserve"> </w:t>
      </w:r>
      <w:r w:rsidR="00242993" w:rsidRPr="00242993">
        <w:rPr>
          <w:rFonts w:ascii="Arial" w:hAnsi="Arial" w:cs="Arial"/>
        </w:rPr>
        <w:t>Any direct load control benefits to the Company from the</w:t>
      </w:r>
      <w:r w:rsidR="00242993">
        <w:rPr>
          <w:rFonts w:ascii="Arial" w:hAnsi="Arial" w:cs="Arial"/>
        </w:rPr>
        <w:t xml:space="preserve"> </w:t>
      </w:r>
      <w:r w:rsidR="00242993" w:rsidRPr="00242993">
        <w:rPr>
          <w:rFonts w:ascii="Arial" w:hAnsi="Arial" w:cs="Arial"/>
        </w:rPr>
        <w:t xml:space="preserve">programs </w:t>
      </w:r>
      <w:r w:rsidR="008330CF">
        <w:rPr>
          <w:rFonts w:ascii="Arial" w:hAnsi="Arial" w:cs="Arial"/>
        </w:rPr>
        <w:t xml:space="preserve">are </w:t>
      </w:r>
      <w:r w:rsidR="00703845">
        <w:rPr>
          <w:rFonts w:ascii="Arial" w:hAnsi="Arial" w:cs="Arial"/>
        </w:rPr>
        <w:t>to</w:t>
      </w:r>
      <w:r w:rsidR="00242993" w:rsidRPr="00242993">
        <w:rPr>
          <w:rFonts w:ascii="Arial" w:hAnsi="Arial" w:cs="Arial"/>
        </w:rPr>
        <w:t xml:space="preserve"> be credited against the cost. </w:t>
      </w:r>
      <w:r w:rsidR="00D32075">
        <w:rPr>
          <w:rFonts w:ascii="Arial" w:hAnsi="Arial" w:cs="Arial"/>
        </w:rPr>
        <w:t xml:space="preserve"> </w:t>
      </w:r>
    </w:p>
    <w:p w:rsidR="00C25E83" w:rsidRDefault="00C25E83" w:rsidP="00AB4297">
      <w:pPr>
        <w:tabs>
          <w:tab w:val="center" w:pos="4680"/>
        </w:tabs>
        <w:suppressAutoHyphens/>
        <w:jc w:val="center"/>
        <w:rPr>
          <w:rFonts w:ascii="Arial" w:hAnsi="Arial" w:cs="Arial"/>
          <w:b/>
          <w:sz w:val="26"/>
          <w:szCs w:val="26"/>
        </w:rPr>
      </w:pPr>
    </w:p>
    <w:p w:rsidR="006F27B0" w:rsidRPr="001D0DB6" w:rsidRDefault="00F00643" w:rsidP="00AB4297">
      <w:pPr>
        <w:tabs>
          <w:tab w:val="center" w:pos="4680"/>
        </w:tabs>
        <w:suppressAutoHyphens/>
        <w:jc w:val="center"/>
        <w:rPr>
          <w:rFonts w:ascii="Arial" w:hAnsi="Arial" w:cs="Arial"/>
          <w:b/>
          <w:sz w:val="26"/>
          <w:szCs w:val="26"/>
        </w:rPr>
      </w:pPr>
      <w:r w:rsidRPr="00103666">
        <w:rPr>
          <w:rFonts w:ascii="Arial" w:hAnsi="Arial" w:cs="Arial"/>
          <w:b/>
          <w:sz w:val="26"/>
          <w:szCs w:val="26"/>
        </w:rPr>
        <w:lastRenderedPageBreak/>
        <w:t>PECO ENERGY COMPANY</w:t>
      </w:r>
    </w:p>
    <w:p w:rsidR="00F00643" w:rsidRPr="001D0DB6" w:rsidRDefault="00F00643" w:rsidP="00AB4297">
      <w:pPr>
        <w:tabs>
          <w:tab w:val="center" w:pos="4680"/>
        </w:tabs>
        <w:suppressAutoHyphens/>
        <w:jc w:val="center"/>
        <w:rPr>
          <w:rFonts w:ascii="Arial" w:hAnsi="Arial" w:cs="Arial"/>
          <w:b/>
          <w:sz w:val="26"/>
          <w:szCs w:val="26"/>
          <w:u w:val="single"/>
        </w:rPr>
      </w:pPr>
    </w:p>
    <w:p w:rsidR="006F27B0" w:rsidRPr="001D0DB6" w:rsidRDefault="006F27B0" w:rsidP="00AB4297">
      <w:pPr>
        <w:tabs>
          <w:tab w:val="center" w:pos="4680"/>
        </w:tabs>
        <w:suppressAutoHyphens/>
        <w:jc w:val="center"/>
        <w:rPr>
          <w:rFonts w:ascii="Arial" w:hAnsi="Arial" w:cs="Arial"/>
          <w:b/>
          <w:sz w:val="26"/>
          <w:szCs w:val="26"/>
        </w:rPr>
      </w:pPr>
      <w:r w:rsidRPr="001D0DB6">
        <w:rPr>
          <w:rFonts w:ascii="Arial" w:hAnsi="Arial" w:cs="Arial"/>
          <w:b/>
          <w:sz w:val="26"/>
          <w:szCs w:val="26"/>
        </w:rPr>
        <w:t xml:space="preserve">Current </w:t>
      </w:r>
      <w:r w:rsidR="008B1C27">
        <w:rPr>
          <w:rFonts w:ascii="Arial" w:hAnsi="Arial" w:cs="Arial"/>
          <w:b/>
          <w:sz w:val="26"/>
          <w:szCs w:val="26"/>
        </w:rPr>
        <w:t>Period</w:t>
      </w:r>
      <w:r w:rsidR="00012316" w:rsidRPr="001D0DB6">
        <w:rPr>
          <w:rFonts w:ascii="Arial" w:hAnsi="Arial" w:cs="Arial"/>
          <w:b/>
          <w:sz w:val="26"/>
          <w:szCs w:val="26"/>
        </w:rPr>
        <w:t xml:space="preserve"> </w:t>
      </w:r>
      <w:r w:rsidRPr="001D0DB6">
        <w:rPr>
          <w:rFonts w:ascii="Arial" w:hAnsi="Arial" w:cs="Arial"/>
          <w:b/>
          <w:sz w:val="26"/>
          <w:szCs w:val="26"/>
        </w:rPr>
        <w:t>Audit Finding</w:t>
      </w:r>
    </w:p>
    <w:p w:rsidR="006F27B0" w:rsidRPr="002C61BD" w:rsidRDefault="006F27B0" w:rsidP="00AB4297">
      <w:pPr>
        <w:tabs>
          <w:tab w:val="center" w:pos="4680"/>
        </w:tabs>
        <w:suppressAutoHyphens/>
        <w:jc w:val="center"/>
        <w:rPr>
          <w:rFonts w:ascii="Arial" w:hAnsi="Arial" w:cs="Arial"/>
          <w:b/>
          <w:sz w:val="26"/>
          <w:szCs w:val="24"/>
          <w:u w:val="single"/>
        </w:rPr>
      </w:pPr>
    </w:p>
    <w:p w:rsidR="00496A30" w:rsidRPr="002C61BD" w:rsidRDefault="00496A30" w:rsidP="006F27B0">
      <w:pPr>
        <w:tabs>
          <w:tab w:val="center" w:pos="4680"/>
        </w:tabs>
        <w:suppressAutoHyphens/>
        <w:rPr>
          <w:rFonts w:ascii="Arial" w:hAnsi="Arial" w:cs="Arial"/>
          <w:b/>
          <w:sz w:val="26"/>
          <w:szCs w:val="24"/>
          <w:u w:val="single"/>
        </w:rPr>
      </w:pPr>
    </w:p>
    <w:p w:rsidR="008E6F4D" w:rsidRPr="0097236F" w:rsidRDefault="006F27B0" w:rsidP="006B0873">
      <w:pPr>
        <w:tabs>
          <w:tab w:val="left" w:pos="-720"/>
          <w:tab w:val="left" w:pos="1440"/>
          <w:tab w:val="left" w:pos="9180"/>
        </w:tabs>
        <w:suppressAutoHyphens/>
        <w:ind w:left="1170" w:hanging="1170"/>
        <w:rPr>
          <w:rFonts w:ascii="Arial" w:hAnsi="Arial" w:cs="Arial"/>
          <w:b/>
          <w:szCs w:val="24"/>
          <w:u w:val="single"/>
        </w:rPr>
      </w:pPr>
      <w:r w:rsidRPr="0097236F">
        <w:rPr>
          <w:rFonts w:ascii="Arial" w:hAnsi="Arial" w:cs="Arial"/>
          <w:b/>
          <w:szCs w:val="24"/>
        </w:rPr>
        <w:t>Finding –</w:t>
      </w:r>
      <w:r w:rsidR="005A2E27" w:rsidRPr="0097236F">
        <w:rPr>
          <w:rFonts w:ascii="Arial" w:hAnsi="Arial" w:cs="Arial"/>
          <w:b/>
          <w:szCs w:val="24"/>
        </w:rPr>
        <w:t xml:space="preserve"> </w:t>
      </w:r>
      <w:r w:rsidR="00F04EEB">
        <w:rPr>
          <w:rFonts w:ascii="Arial" w:hAnsi="Arial" w:cs="Arial"/>
          <w:b/>
          <w:szCs w:val="24"/>
        </w:rPr>
        <w:t xml:space="preserve">The </w:t>
      </w:r>
      <w:r w:rsidR="0099113D" w:rsidRPr="0097236F">
        <w:rPr>
          <w:rFonts w:ascii="Arial" w:hAnsi="Arial" w:cs="Arial"/>
          <w:b/>
          <w:szCs w:val="24"/>
        </w:rPr>
        <w:t xml:space="preserve">Energy Efficiency </w:t>
      </w:r>
      <w:r w:rsidR="00F04EEB">
        <w:rPr>
          <w:rFonts w:ascii="Arial" w:hAnsi="Arial" w:cs="Arial"/>
          <w:b/>
          <w:szCs w:val="24"/>
        </w:rPr>
        <w:t>A</w:t>
      </w:r>
      <w:r w:rsidR="0099113D" w:rsidRPr="0097236F">
        <w:rPr>
          <w:rFonts w:ascii="Arial" w:hAnsi="Arial" w:cs="Arial"/>
          <w:b/>
          <w:szCs w:val="24"/>
        </w:rPr>
        <w:t xml:space="preserve">nd Conservation </w:t>
      </w:r>
      <w:r w:rsidR="005A2E27" w:rsidRPr="0097236F">
        <w:rPr>
          <w:rFonts w:ascii="Arial" w:hAnsi="Arial" w:cs="Arial"/>
          <w:b/>
          <w:szCs w:val="24"/>
        </w:rPr>
        <w:t xml:space="preserve">Program </w:t>
      </w:r>
      <w:r w:rsidR="00F04EEB">
        <w:rPr>
          <w:rFonts w:ascii="Arial" w:hAnsi="Arial" w:cs="Arial"/>
          <w:b/>
          <w:szCs w:val="24"/>
        </w:rPr>
        <w:t>R</w:t>
      </w:r>
      <w:r w:rsidR="005A2E27" w:rsidRPr="0097236F">
        <w:rPr>
          <w:rFonts w:ascii="Arial" w:hAnsi="Arial" w:cs="Arial"/>
          <w:b/>
          <w:szCs w:val="24"/>
        </w:rPr>
        <w:t xml:space="preserve">evenues </w:t>
      </w:r>
      <w:r w:rsidR="00DC2F81" w:rsidRPr="0097236F">
        <w:rPr>
          <w:rFonts w:ascii="Arial" w:hAnsi="Arial" w:cs="Arial"/>
          <w:b/>
          <w:szCs w:val="24"/>
        </w:rPr>
        <w:t xml:space="preserve">for the Commercial </w:t>
      </w:r>
      <w:r w:rsidR="00EA51BC">
        <w:rPr>
          <w:rFonts w:ascii="Arial" w:hAnsi="Arial" w:cs="Arial"/>
          <w:b/>
          <w:szCs w:val="24"/>
        </w:rPr>
        <w:t>C</w:t>
      </w:r>
      <w:r w:rsidR="00DC2F81" w:rsidRPr="0097236F">
        <w:rPr>
          <w:rFonts w:ascii="Arial" w:hAnsi="Arial" w:cs="Arial"/>
          <w:b/>
          <w:szCs w:val="24"/>
        </w:rPr>
        <w:t xml:space="preserve">ustomer </w:t>
      </w:r>
      <w:r w:rsidR="00EA51BC">
        <w:rPr>
          <w:rFonts w:ascii="Arial" w:hAnsi="Arial" w:cs="Arial"/>
          <w:b/>
          <w:szCs w:val="24"/>
        </w:rPr>
        <w:t>C</w:t>
      </w:r>
      <w:r w:rsidR="00DC2F81" w:rsidRPr="0097236F">
        <w:rPr>
          <w:rFonts w:ascii="Arial" w:hAnsi="Arial" w:cs="Arial"/>
          <w:b/>
          <w:szCs w:val="24"/>
        </w:rPr>
        <w:t xml:space="preserve">lass </w:t>
      </w:r>
      <w:r w:rsidR="00F04EEB">
        <w:rPr>
          <w:rFonts w:ascii="Arial" w:hAnsi="Arial" w:cs="Arial"/>
          <w:b/>
          <w:szCs w:val="24"/>
        </w:rPr>
        <w:t>W</w:t>
      </w:r>
      <w:r w:rsidR="005A2E27" w:rsidRPr="0097236F">
        <w:rPr>
          <w:rFonts w:ascii="Arial" w:hAnsi="Arial" w:cs="Arial"/>
          <w:b/>
          <w:szCs w:val="24"/>
        </w:rPr>
        <w:t xml:space="preserve">ere </w:t>
      </w:r>
      <w:r w:rsidR="00F04EEB">
        <w:rPr>
          <w:rFonts w:ascii="Arial" w:hAnsi="Arial" w:cs="Arial"/>
          <w:b/>
          <w:szCs w:val="24"/>
        </w:rPr>
        <w:t>I</w:t>
      </w:r>
      <w:r w:rsidR="005A2E27" w:rsidRPr="0097236F">
        <w:rPr>
          <w:rFonts w:ascii="Arial" w:hAnsi="Arial" w:cs="Arial"/>
          <w:b/>
          <w:szCs w:val="24"/>
        </w:rPr>
        <w:t>naccurately</w:t>
      </w:r>
      <w:r w:rsidR="00E6312A">
        <w:rPr>
          <w:rFonts w:ascii="Arial" w:hAnsi="Arial" w:cs="Arial"/>
          <w:b/>
          <w:szCs w:val="24"/>
        </w:rPr>
        <w:t xml:space="preserve"> </w:t>
      </w:r>
      <w:r w:rsidR="00F04EEB">
        <w:rPr>
          <w:rFonts w:ascii="Arial" w:hAnsi="Arial" w:cs="Arial"/>
          <w:b/>
          <w:szCs w:val="24"/>
        </w:rPr>
        <w:t>R</w:t>
      </w:r>
      <w:r w:rsidR="00E6312A">
        <w:rPr>
          <w:rFonts w:ascii="Arial" w:hAnsi="Arial" w:cs="Arial"/>
          <w:b/>
          <w:szCs w:val="24"/>
        </w:rPr>
        <w:t>eported.</w:t>
      </w:r>
    </w:p>
    <w:p w:rsidR="00810BD8" w:rsidRPr="002C61BD" w:rsidRDefault="00810BD8" w:rsidP="006F27B0">
      <w:pPr>
        <w:tabs>
          <w:tab w:val="center" w:pos="4680"/>
        </w:tabs>
        <w:suppressAutoHyphens/>
        <w:rPr>
          <w:rFonts w:ascii="Arial" w:hAnsi="Arial" w:cs="Arial"/>
          <w:b/>
          <w:sz w:val="26"/>
          <w:szCs w:val="24"/>
          <w:u w:val="single"/>
        </w:rPr>
      </w:pPr>
    </w:p>
    <w:p w:rsidR="008F31D3" w:rsidRDefault="00064F26" w:rsidP="00064F26">
      <w:pPr>
        <w:tabs>
          <w:tab w:val="left" w:pos="720"/>
          <w:tab w:val="left" w:pos="2340"/>
          <w:tab w:val="left" w:pos="2430"/>
        </w:tabs>
        <w:ind w:right="288"/>
        <w:rPr>
          <w:rFonts w:ascii="Arial" w:hAnsi="Arial" w:cs="Arial"/>
          <w:szCs w:val="26"/>
        </w:rPr>
      </w:pPr>
      <w:r>
        <w:rPr>
          <w:rFonts w:ascii="Arial" w:hAnsi="Arial" w:cs="Arial"/>
          <w:sz w:val="26"/>
          <w:szCs w:val="24"/>
        </w:rPr>
        <w:tab/>
      </w:r>
      <w:r w:rsidR="00977EA5">
        <w:rPr>
          <w:rFonts w:ascii="Arial" w:hAnsi="Arial" w:cs="Arial"/>
          <w:szCs w:val="26"/>
        </w:rPr>
        <w:t>PECO</w:t>
      </w:r>
      <w:r w:rsidR="00A95D4A" w:rsidRPr="00065DE7">
        <w:rPr>
          <w:rFonts w:ascii="Arial" w:hAnsi="Arial" w:cs="Arial"/>
          <w:szCs w:val="26"/>
        </w:rPr>
        <w:t xml:space="preserve"> </w:t>
      </w:r>
      <w:r w:rsidR="00F60391">
        <w:rPr>
          <w:rFonts w:ascii="Arial" w:hAnsi="Arial" w:cs="Arial"/>
          <w:szCs w:val="26"/>
        </w:rPr>
        <w:t>did not report all</w:t>
      </w:r>
      <w:r w:rsidR="00E6312A">
        <w:rPr>
          <w:rFonts w:ascii="Arial" w:hAnsi="Arial" w:cs="Arial"/>
          <w:szCs w:val="26"/>
        </w:rPr>
        <w:t xml:space="preserve"> of its</w:t>
      </w:r>
      <w:r w:rsidR="00A01366">
        <w:rPr>
          <w:rFonts w:ascii="Arial" w:hAnsi="Arial" w:cs="Arial"/>
          <w:szCs w:val="26"/>
        </w:rPr>
        <w:t xml:space="preserve"> intercompany sales revenue in the </w:t>
      </w:r>
      <w:r w:rsidR="00EA51BC" w:rsidRPr="00065DE7">
        <w:rPr>
          <w:rFonts w:ascii="Arial" w:hAnsi="Arial" w:cs="Arial"/>
          <w:szCs w:val="26"/>
        </w:rPr>
        <w:t xml:space="preserve">1307(e) </w:t>
      </w:r>
      <w:r w:rsidR="001F3D3D">
        <w:rPr>
          <w:rFonts w:ascii="Arial" w:hAnsi="Arial" w:cs="Arial"/>
          <w:szCs w:val="26"/>
        </w:rPr>
        <w:t>r</w:t>
      </w:r>
      <w:r w:rsidR="00EA51BC">
        <w:rPr>
          <w:rFonts w:ascii="Arial" w:hAnsi="Arial" w:cs="Arial"/>
          <w:szCs w:val="26"/>
        </w:rPr>
        <w:t xml:space="preserve">econciliation </w:t>
      </w:r>
      <w:r w:rsidR="001F3D3D">
        <w:rPr>
          <w:rFonts w:ascii="Arial" w:hAnsi="Arial" w:cs="Arial"/>
          <w:szCs w:val="26"/>
        </w:rPr>
        <w:t>s</w:t>
      </w:r>
      <w:r w:rsidR="00EA51BC" w:rsidRPr="00065DE7">
        <w:rPr>
          <w:rFonts w:ascii="Arial" w:hAnsi="Arial" w:cs="Arial"/>
          <w:szCs w:val="26"/>
        </w:rPr>
        <w:t>tatement</w:t>
      </w:r>
      <w:r w:rsidR="00E6312A">
        <w:rPr>
          <w:rFonts w:ascii="Arial" w:hAnsi="Arial" w:cs="Arial"/>
          <w:szCs w:val="26"/>
        </w:rPr>
        <w:t>s</w:t>
      </w:r>
      <w:r w:rsidR="001F3D3D">
        <w:rPr>
          <w:rFonts w:ascii="Arial" w:hAnsi="Arial" w:cs="Arial"/>
          <w:szCs w:val="26"/>
        </w:rPr>
        <w:t>.</w:t>
      </w:r>
      <w:r w:rsidR="00EA51BC">
        <w:rPr>
          <w:rFonts w:ascii="Arial" w:hAnsi="Arial" w:cs="Arial"/>
          <w:szCs w:val="26"/>
        </w:rPr>
        <w:t xml:space="preserve">  </w:t>
      </w:r>
      <w:r w:rsidR="00E6312A">
        <w:rPr>
          <w:rFonts w:ascii="Arial" w:hAnsi="Arial" w:cs="Arial"/>
          <w:szCs w:val="26"/>
        </w:rPr>
        <w:t xml:space="preserve">Intercompany sales revenues are </w:t>
      </w:r>
      <w:r w:rsidR="001F3D3D">
        <w:rPr>
          <w:rFonts w:ascii="Arial" w:hAnsi="Arial" w:cs="Arial"/>
          <w:szCs w:val="26"/>
        </w:rPr>
        <w:t>generated from</w:t>
      </w:r>
      <w:r w:rsidR="00E6312A">
        <w:rPr>
          <w:rFonts w:ascii="Arial" w:hAnsi="Arial" w:cs="Arial"/>
          <w:szCs w:val="26"/>
        </w:rPr>
        <w:t xml:space="preserve"> providing service to Exelon owned non-regulated generators.  </w:t>
      </w:r>
      <w:r w:rsidR="0018591C">
        <w:rPr>
          <w:rFonts w:ascii="Arial" w:hAnsi="Arial" w:cs="Arial"/>
          <w:szCs w:val="26"/>
        </w:rPr>
        <w:t>The</w:t>
      </w:r>
      <w:r w:rsidR="00A95D4A" w:rsidRPr="00065DE7">
        <w:rPr>
          <w:rFonts w:ascii="Arial" w:hAnsi="Arial" w:cs="Arial"/>
          <w:szCs w:val="26"/>
        </w:rPr>
        <w:t xml:space="preserve"> error</w:t>
      </w:r>
      <w:r w:rsidR="00A01366">
        <w:rPr>
          <w:rFonts w:ascii="Arial" w:hAnsi="Arial" w:cs="Arial"/>
          <w:szCs w:val="26"/>
        </w:rPr>
        <w:t xml:space="preserve"> </w:t>
      </w:r>
      <w:r w:rsidR="00E37D70">
        <w:rPr>
          <w:rFonts w:ascii="Arial" w:hAnsi="Arial" w:cs="Arial"/>
          <w:szCs w:val="26"/>
        </w:rPr>
        <w:t xml:space="preserve">occurred </w:t>
      </w:r>
      <w:r w:rsidR="001F3D3D">
        <w:rPr>
          <w:rFonts w:ascii="Arial" w:hAnsi="Arial" w:cs="Arial"/>
          <w:szCs w:val="26"/>
        </w:rPr>
        <w:t xml:space="preserve">due </w:t>
      </w:r>
      <w:r w:rsidR="00A213AC">
        <w:rPr>
          <w:rFonts w:ascii="Arial" w:hAnsi="Arial" w:cs="Arial"/>
          <w:szCs w:val="26"/>
        </w:rPr>
        <w:t xml:space="preserve">to </w:t>
      </w:r>
      <w:r w:rsidR="00C170B9">
        <w:rPr>
          <w:rFonts w:ascii="Arial" w:hAnsi="Arial" w:cs="Arial"/>
          <w:szCs w:val="26"/>
        </w:rPr>
        <w:t xml:space="preserve">the fact that </w:t>
      </w:r>
      <w:r w:rsidR="00A213AC">
        <w:rPr>
          <w:rFonts w:ascii="Arial" w:hAnsi="Arial" w:cs="Arial"/>
          <w:szCs w:val="26"/>
        </w:rPr>
        <w:t>o</w:t>
      </w:r>
      <w:r w:rsidR="00E37D70">
        <w:rPr>
          <w:rFonts w:ascii="Arial" w:hAnsi="Arial" w:cs="Arial"/>
          <w:szCs w:val="26"/>
        </w:rPr>
        <w:t xml:space="preserve">ne of the internal reports </w:t>
      </w:r>
      <w:r w:rsidR="00A213AC">
        <w:rPr>
          <w:rFonts w:ascii="Arial" w:hAnsi="Arial" w:cs="Arial"/>
          <w:szCs w:val="26"/>
        </w:rPr>
        <w:t xml:space="preserve">used to prepare the </w:t>
      </w:r>
      <w:r w:rsidR="00A213AC" w:rsidRPr="00065DE7">
        <w:rPr>
          <w:rFonts w:ascii="Arial" w:hAnsi="Arial" w:cs="Arial"/>
          <w:szCs w:val="26"/>
        </w:rPr>
        <w:t xml:space="preserve">1307(e) </w:t>
      </w:r>
      <w:r w:rsidR="00C170B9">
        <w:rPr>
          <w:rFonts w:ascii="Arial" w:hAnsi="Arial" w:cs="Arial"/>
          <w:szCs w:val="26"/>
        </w:rPr>
        <w:t xml:space="preserve">reconciliation statements </w:t>
      </w:r>
      <w:r w:rsidR="00E37D70">
        <w:rPr>
          <w:rFonts w:ascii="Arial" w:hAnsi="Arial" w:cs="Arial"/>
          <w:szCs w:val="26"/>
        </w:rPr>
        <w:t>did not contain the intercompany revenue</w:t>
      </w:r>
      <w:r w:rsidR="00954271">
        <w:rPr>
          <w:rFonts w:ascii="Arial" w:hAnsi="Arial" w:cs="Arial"/>
          <w:szCs w:val="26"/>
        </w:rPr>
        <w:t>s</w:t>
      </w:r>
      <w:r w:rsidR="00A01366">
        <w:rPr>
          <w:rFonts w:ascii="Arial" w:hAnsi="Arial" w:cs="Arial"/>
          <w:szCs w:val="26"/>
        </w:rPr>
        <w:t xml:space="preserve">.  </w:t>
      </w:r>
      <w:r w:rsidR="00EB18F7">
        <w:rPr>
          <w:rFonts w:ascii="Arial" w:hAnsi="Arial" w:cs="Arial"/>
          <w:szCs w:val="26"/>
        </w:rPr>
        <w:t>As a result of the omission</w:t>
      </w:r>
      <w:r w:rsidR="00954271">
        <w:rPr>
          <w:rFonts w:ascii="Arial" w:hAnsi="Arial" w:cs="Arial"/>
          <w:szCs w:val="26"/>
        </w:rPr>
        <w:t xml:space="preserve"> of intercompany revenues,</w:t>
      </w:r>
      <w:r w:rsidR="00EB18F7">
        <w:rPr>
          <w:rFonts w:ascii="Arial" w:hAnsi="Arial" w:cs="Arial"/>
          <w:szCs w:val="26"/>
        </w:rPr>
        <w:t xml:space="preserve"> PECO </w:t>
      </w:r>
      <w:r w:rsidR="008F31D3">
        <w:rPr>
          <w:rFonts w:ascii="Arial" w:hAnsi="Arial" w:cs="Arial"/>
          <w:szCs w:val="26"/>
        </w:rPr>
        <w:t>over collected $14,078</w:t>
      </w:r>
      <w:r w:rsidR="007D3989">
        <w:rPr>
          <w:rFonts w:ascii="Arial" w:hAnsi="Arial" w:cs="Arial"/>
          <w:szCs w:val="26"/>
        </w:rPr>
        <w:t xml:space="preserve"> from its Commercial Customers</w:t>
      </w:r>
      <w:r w:rsidR="008F31D3">
        <w:rPr>
          <w:rFonts w:ascii="Arial" w:hAnsi="Arial" w:cs="Arial"/>
          <w:szCs w:val="26"/>
        </w:rPr>
        <w:t>.</w:t>
      </w:r>
    </w:p>
    <w:p w:rsidR="00D53D77" w:rsidRPr="002C61BD" w:rsidRDefault="00D53D77" w:rsidP="008F31D3">
      <w:pPr>
        <w:tabs>
          <w:tab w:val="left" w:pos="720"/>
          <w:tab w:val="left" w:pos="5940"/>
        </w:tabs>
        <w:ind w:right="288"/>
        <w:rPr>
          <w:rFonts w:ascii="Arial" w:hAnsi="Arial" w:cs="Arial"/>
          <w:sz w:val="26"/>
          <w:szCs w:val="24"/>
        </w:rPr>
      </w:pPr>
    </w:p>
    <w:p w:rsidR="00D53D77" w:rsidRPr="00092997" w:rsidRDefault="00D53D77" w:rsidP="006F27B0">
      <w:pPr>
        <w:tabs>
          <w:tab w:val="center" w:pos="4680"/>
        </w:tabs>
        <w:suppressAutoHyphens/>
        <w:rPr>
          <w:rFonts w:ascii="Arial" w:hAnsi="Arial" w:cs="Arial"/>
          <w:b/>
          <w:sz w:val="26"/>
          <w:szCs w:val="24"/>
        </w:rPr>
      </w:pPr>
      <w:r w:rsidRPr="0097236F">
        <w:rPr>
          <w:rFonts w:ascii="Arial" w:hAnsi="Arial" w:cs="Arial"/>
          <w:b/>
          <w:szCs w:val="24"/>
        </w:rPr>
        <w:t>Recommendation</w:t>
      </w:r>
      <w:r w:rsidR="004D17F4">
        <w:rPr>
          <w:rFonts w:ascii="Arial" w:hAnsi="Arial" w:cs="Arial"/>
          <w:b/>
          <w:szCs w:val="24"/>
        </w:rPr>
        <w:t>s</w:t>
      </w:r>
      <w:r w:rsidRPr="00092997">
        <w:rPr>
          <w:rFonts w:ascii="Arial" w:hAnsi="Arial" w:cs="Arial"/>
          <w:b/>
          <w:sz w:val="26"/>
          <w:szCs w:val="24"/>
        </w:rPr>
        <w:t>:</w:t>
      </w:r>
    </w:p>
    <w:p w:rsidR="00E51D7F" w:rsidRPr="002C61BD" w:rsidRDefault="00E51D7F" w:rsidP="006F27B0">
      <w:pPr>
        <w:tabs>
          <w:tab w:val="center" w:pos="4680"/>
        </w:tabs>
        <w:suppressAutoHyphens/>
        <w:rPr>
          <w:rFonts w:ascii="Arial" w:hAnsi="Arial" w:cs="Arial"/>
          <w:b/>
          <w:sz w:val="26"/>
          <w:szCs w:val="24"/>
          <w:u w:val="single"/>
        </w:rPr>
      </w:pPr>
    </w:p>
    <w:p w:rsidR="00D05077" w:rsidRDefault="00565EFD" w:rsidP="001B5A48">
      <w:pPr>
        <w:tabs>
          <w:tab w:val="center" w:pos="4680"/>
        </w:tabs>
        <w:suppressAutoHyphens/>
        <w:ind w:firstLine="720"/>
        <w:rPr>
          <w:rFonts w:ascii="Arial" w:hAnsi="Arial" w:cs="Arial"/>
          <w:szCs w:val="26"/>
        </w:rPr>
      </w:pPr>
      <w:r>
        <w:rPr>
          <w:rFonts w:ascii="Arial" w:hAnsi="Arial" w:cs="Arial"/>
          <w:szCs w:val="26"/>
        </w:rPr>
        <w:t xml:space="preserve">The </w:t>
      </w:r>
      <w:r w:rsidR="007D3989">
        <w:rPr>
          <w:rFonts w:ascii="Arial" w:hAnsi="Arial" w:cs="Arial"/>
          <w:szCs w:val="26"/>
        </w:rPr>
        <w:t xml:space="preserve">Audit </w:t>
      </w:r>
      <w:r w:rsidR="00E37D70">
        <w:rPr>
          <w:rFonts w:ascii="Arial" w:hAnsi="Arial" w:cs="Arial"/>
          <w:szCs w:val="26"/>
        </w:rPr>
        <w:t>Staff</w:t>
      </w:r>
      <w:r w:rsidR="001B5A48" w:rsidRPr="00065DE7">
        <w:rPr>
          <w:rFonts w:ascii="Arial" w:hAnsi="Arial" w:cs="Arial"/>
          <w:szCs w:val="26"/>
        </w:rPr>
        <w:t xml:space="preserve"> recommend</w:t>
      </w:r>
      <w:r w:rsidR="00E37D70">
        <w:rPr>
          <w:rFonts w:ascii="Arial" w:hAnsi="Arial" w:cs="Arial"/>
          <w:szCs w:val="26"/>
        </w:rPr>
        <w:t>s</w:t>
      </w:r>
      <w:r w:rsidR="001B5A48" w:rsidRPr="00065DE7">
        <w:rPr>
          <w:rFonts w:ascii="Arial" w:hAnsi="Arial" w:cs="Arial"/>
          <w:szCs w:val="26"/>
        </w:rPr>
        <w:t xml:space="preserve"> that </w:t>
      </w:r>
      <w:r w:rsidR="00D054BC">
        <w:rPr>
          <w:rFonts w:ascii="Arial" w:hAnsi="Arial" w:cs="Arial"/>
          <w:szCs w:val="26"/>
        </w:rPr>
        <w:t>PECO</w:t>
      </w:r>
      <w:r w:rsidR="001B5A48" w:rsidRPr="00065DE7">
        <w:rPr>
          <w:rFonts w:ascii="Arial" w:hAnsi="Arial" w:cs="Arial"/>
          <w:szCs w:val="26"/>
        </w:rPr>
        <w:t xml:space="preserve"> </w:t>
      </w:r>
      <w:r w:rsidR="00E37D70">
        <w:rPr>
          <w:rFonts w:ascii="Arial" w:hAnsi="Arial" w:cs="Arial"/>
          <w:szCs w:val="26"/>
        </w:rPr>
        <w:t>institute a review process that insures that applicable revenues and costs are reported correctly.  We recommend that PECO prepares written procedures on which reports to use and how to prepare the 1307</w:t>
      </w:r>
      <w:r w:rsidR="00E37D70" w:rsidRPr="00065DE7">
        <w:rPr>
          <w:rFonts w:ascii="Arial" w:hAnsi="Arial" w:cs="Arial"/>
          <w:szCs w:val="26"/>
        </w:rPr>
        <w:t>(e)</w:t>
      </w:r>
      <w:r w:rsidR="00E37D70">
        <w:rPr>
          <w:rFonts w:ascii="Arial" w:hAnsi="Arial" w:cs="Arial"/>
          <w:szCs w:val="26"/>
        </w:rPr>
        <w:t xml:space="preserve"> reconciliation statement</w:t>
      </w:r>
      <w:r w:rsidR="001B5A48" w:rsidRPr="00065DE7">
        <w:rPr>
          <w:rFonts w:ascii="Arial" w:hAnsi="Arial" w:cs="Arial"/>
          <w:szCs w:val="26"/>
        </w:rPr>
        <w:t xml:space="preserve">. </w:t>
      </w:r>
      <w:r w:rsidR="007D3989">
        <w:rPr>
          <w:rFonts w:ascii="Arial" w:hAnsi="Arial" w:cs="Arial"/>
          <w:szCs w:val="26"/>
        </w:rPr>
        <w:t xml:space="preserve"> </w:t>
      </w:r>
      <w:r w:rsidR="00E37D70">
        <w:rPr>
          <w:rFonts w:ascii="Arial" w:hAnsi="Arial" w:cs="Arial"/>
          <w:szCs w:val="26"/>
        </w:rPr>
        <w:t>Further</w:t>
      </w:r>
      <w:r w:rsidR="005E738C">
        <w:rPr>
          <w:rFonts w:ascii="Arial" w:hAnsi="Arial" w:cs="Arial"/>
          <w:szCs w:val="26"/>
        </w:rPr>
        <w:t>more</w:t>
      </w:r>
      <w:r w:rsidR="007D3989">
        <w:rPr>
          <w:rFonts w:ascii="Arial" w:hAnsi="Arial" w:cs="Arial"/>
          <w:szCs w:val="26"/>
        </w:rPr>
        <w:t>,</w:t>
      </w:r>
      <w:r w:rsidR="00E37D70">
        <w:rPr>
          <w:rFonts w:ascii="Arial" w:hAnsi="Arial" w:cs="Arial"/>
          <w:szCs w:val="26"/>
        </w:rPr>
        <w:t xml:space="preserve"> we recommend that the</w:t>
      </w:r>
      <w:r w:rsidR="001B5A48" w:rsidRPr="00065DE7">
        <w:rPr>
          <w:rFonts w:ascii="Arial" w:hAnsi="Arial" w:cs="Arial"/>
          <w:szCs w:val="26"/>
        </w:rPr>
        <w:t xml:space="preserve"> Company re</w:t>
      </w:r>
      <w:r w:rsidR="00E37D70">
        <w:rPr>
          <w:rFonts w:ascii="Arial" w:hAnsi="Arial" w:cs="Arial"/>
          <w:szCs w:val="26"/>
        </w:rPr>
        <w:t>fund</w:t>
      </w:r>
      <w:r w:rsidR="004F5A51">
        <w:rPr>
          <w:rFonts w:ascii="Arial" w:hAnsi="Arial" w:cs="Arial"/>
          <w:szCs w:val="26"/>
        </w:rPr>
        <w:t xml:space="preserve"> $14,078</w:t>
      </w:r>
      <w:r w:rsidR="007D3989">
        <w:rPr>
          <w:rFonts w:ascii="Arial" w:hAnsi="Arial" w:cs="Arial"/>
          <w:szCs w:val="26"/>
        </w:rPr>
        <w:t xml:space="preserve"> to its Commercial Customers</w:t>
      </w:r>
      <w:r w:rsidR="004F5A51">
        <w:rPr>
          <w:rFonts w:ascii="Arial" w:hAnsi="Arial" w:cs="Arial"/>
          <w:szCs w:val="26"/>
        </w:rPr>
        <w:t xml:space="preserve"> by making an adjustment to the </w:t>
      </w:r>
      <w:r w:rsidR="007D3989">
        <w:rPr>
          <w:rFonts w:ascii="Arial" w:hAnsi="Arial" w:cs="Arial"/>
          <w:szCs w:val="26"/>
        </w:rPr>
        <w:t xml:space="preserve">Phase I E-Factor </w:t>
      </w:r>
      <w:r w:rsidR="004F5A51">
        <w:rPr>
          <w:rFonts w:ascii="Arial" w:hAnsi="Arial" w:cs="Arial"/>
          <w:szCs w:val="26"/>
        </w:rPr>
        <w:t xml:space="preserve">balance in </w:t>
      </w:r>
      <w:r w:rsidR="00B31883">
        <w:rPr>
          <w:rFonts w:ascii="Arial" w:hAnsi="Arial" w:cs="Arial"/>
          <w:szCs w:val="26"/>
        </w:rPr>
        <w:t>its</w:t>
      </w:r>
      <w:r w:rsidR="004F5A51">
        <w:rPr>
          <w:rFonts w:ascii="Arial" w:hAnsi="Arial" w:cs="Arial"/>
          <w:szCs w:val="26"/>
        </w:rPr>
        <w:t xml:space="preserve"> next </w:t>
      </w:r>
      <w:r w:rsidR="00B527CF">
        <w:rPr>
          <w:rFonts w:ascii="Arial" w:hAnsi="Arial" w:cs="Arial"/>
          <w:szCs w:val="26"/>
        </w:rPr>
        <w:t xml:space="preserve">EEPC </w:t>
      </w:r>
      <w:r w:rsidR="004F5A51">
        <w:rPr>
          <w:rFonts w:ascii="Arial" w:hAnsi="Arial" w:cs="Arial"/>
          <w:szCs w:val="26"/>
        </w:rPr>
        <w:t>rate filing</w:t>
      </w:r>
      <w:r w:rsidR="001B5A48" w:rsidRPr="00065DE7">
        <w:rPr>
          <w:rFonts w:ascii="Arial" w:hAnsi="Arial" w:cs="Arial"/>
          <w:szCs w:val="26"/>
        </w:rPr>
        <w:t>.</w:t>
      </w:r>
    </w:p>
    <w:p w:rsidR="001B5A48" w:rsidRPr="001B5A48" w:rsidRDefault="001B5A48" w:rsidP="006F27B0">
      <w:pPr>
        <w:tabs>
          <w:tab w:val="center" w:pos="4680"/>
        </w:tabs>
        <w:suppressAutoHyphens/>
        <w:rPr>
          <w:rFonts w:ascii="Arial" w:hAnsi="Arial" w:cs="Arial"/>
          <w:szCs w:val="26"/>
        </w:rPr>
      </w:pPr>
    </w:p>
    <w:p w:rsidR="00D05077" w:rsidRPr="0097236F" w:rsidRDefault="00D05077" w:rsidP="006F27B0">
      <w:pPr>
        <w:tabs>
          <w:tab w:val="center" w:pos="4680"/>
        </w:tabs>
        <w:suppressAutoHyphens/>
        <w:rPr>
          <w:rFonts w:ascii="Arial" w:hAnsi="Arial" w:cs="Arial"/>
          <w:b/>
          <w:szCs w:val="24"/>
        </w:rPr>
      </w:pPr>
      <w:r w:rsidRPr="0097236F">
        <w:rPr>
          <w:rFonts w:ascii="Arial" w:hAnsi="Arial" w:cs="Arial"/>
          <w:b/>
          <w:szCs w:val="24"/>
        </w:rPr>
        <w:t>Auditor Note:</w:t>
      </w:r>
    </w:p>
    <w:p w:rsidR="00D05077" w:rsidRPr="002C61BD" w:rsidRDefault="00D05077" w:rsidP="006F27B0">
      <w:pPr>
        <w:tabs>
          <w:tab w:val="center" w:pos="4680"/>
        </w:tabs>
        <w:suppressAutoHyphens/>
        <w:rPr>
          <w:rFonts w:ascii="Arial" w:hAnsi="Arial" w:cs="Arial"/>
          <w:b/>
          <w:sz w:val="26"/>
          <w:szCs w:val="24"/>
          <w:u w:val="single"/>
        </w:rPr>
      </w:pPr>
    </w:p>
    <w:p w:rsidR="001B5A48" w:rsidRPr="001B5A48" w:rsidRDefault="004E792F" w:rsidP="001B5A48">
      <w:pPr>
        <w:tabs>
          <w:tab w:val="center" w:pos="4680"/>
        </w:tabs>
        <w:suppressAutoHyphens/>
        <w:rPr>
          <w:rFonts w:ascii="Arial" w:hAnsi="Arial" w:cs="Arial"/>
          <w:szCs w:val="24"/>
        </w:rPr>
      </w:pPr>
      <w:r w:rsidRPr="001B5A48">
        <w:rPr>
          <w:rFonts w:ascii="Arial" w:hAnsi="Arial" w:cs="Arial"/>
          <w:szCs w:val="24"/>
        </w:rPr>
        <w:t xml:space="preserve">          </w:t>
      </w:r>
      <w:r w:rsidR="00D05077" w:rsidRPr="002C61BD">
        <w:rPr>
          <w:rFonts w:ascii="Arial" w:hAnsi="Arial" w:cs="Arial"/>
          <w:szCs w:val="24"/>
        </w:rPr>
        <w:t>The Company agrees with the recommendation</w:t>
      </w:r>
      <w:r w:rsidR="004D17F4">
        <w:rPr>
          <w:rFonts w:ascii="Arial" w:hAnsi="Arial" w:cs="Arial"/>
          <w:szCs w:val="24"/>
        </w:rPr>
        <w:t>s</w:t>
      </w:r>
      <w:r w:rsidR="00D05077" w:rsidRPr="002C61BD">
        <w:rPr>
          <w:rFonts w:ascii="Arial" w:hAnsi="Arial" w:cs="Arial"/>
          <w:szCs w:val="24"/>
        </w:rPr>
        <w:t>.</w:t>
      </w:r>
      <w:r w:rsidR="006A03A6">
        <w:rPr>
          <w:rFonts w:ascii="Arial" w:hAnsi="Arial" w:cs="Arial"/>
          <w:szCs w:val="24"/>
        </w:rPr>
        <w:t xml:space="preserve"> </w:t>
      </w:r>
      <w:r w:rsidR="00D05077" w:rsidRPr="002C61BD">
        <w:rPr>
          <w:rFonts w:ascii="Arial" w:hAnsi="Arial" w:cs="Arial"/>
          <w:szCs w:val="24"/>
        </w:rPr>
        <w:t xml:space="preserve"> </w:t>
      </w:r>
      <w:r w:rsidR="00021518">
        <w:rPr>
          <w:rFonts w:ascii="Arial" w:hAnsi="Arial" w:cs="Arial"/>
          <w:szCs w:val="24"/>
        </w:rPr>
        <w:t>PECO created a procedure</w:t>
      </w:r>
      <w:r w:rsidR="004D17F4">
        <w:rPr>
          <w:rFonts w:ascii="Arial" w:hAnsi="Arial" w:cs="Arial"/>
          <w:szCs w:val="24"/>
        </w:rPr>
        <w:t xml:space="preserve"> to</w:t>
      </w:r>
      <w:r w:rsidR="00DB42FB">
        <w:rPr>
          <w:rFonts w:ascii="Arial" w:hAnsi="Arial" w:cs="Arial"/>
          <w:szCs w:val="24"/>
        </w:rPr>
        <w:t xml:space="preserve"> only use information provided by Revenue Accounting</w:t>
      </w:r>
      <w:r w:rsidR="004D17F4">
        <w:rPr>
          <w:rFonts w:ascii="Arial" w:hAnsi="Arial" w:cs="Arial"/>
          <w:szCs w:val="24"/>
        </w:rPr>
        <w:t xml:space="preserve">, </w:t>
      </w:r>
      <w:r w:rsidR="00DB42FB">
        <w:rPr>
          <w:rFonts w:ascii="Arial" w:hAnsi="Arial" w:cs="Arial"/>
          <w:szCs w:val="24"/>
        </w:rPr>
        <w:t>which is derived through the Customer Information</w:t>
      </w:r>
      <w:r w:rsidR="004D17F4">
        <w:rPr>
          <w:rFonts w:ascii="Arial" w:hAnsi="Arial" w:cs="Arial"/>
          <w:szCs w:val="24"/>
        </w:rPr>
        <w:t xml:space="preserve"> Management System, when preparing the 1307(e) reconciliation statement.  PECO will refund $14,078 to its Commercial Customers in its next EEPC rate filing.</w:t>
      </w:r>
    </w:p>
    <w:p w:rsidR="006F27B0" w:rsidRPr="002C61BD" w:rsidRDefault="00E51D7F" w:rsidP="006F27B0">
      <w:pPr>
        <w:tabs>
          <w:tab w:val="center" w:pos="4680"/>
        </w:tabs>
        <w:suppressAutoHyphens/>
        <w:rPr>
          <w:rFonts w:ascii="Arial" w:hAnsi="Arial" w:cs="Arial"/>
          <w:b/>
          <w:sz w:val="26"/>
          <w:szCs w:val="24"/>
          <w:u w:val="single"/>
        </w:rPr>
      </w:pPr>
      <w:r w:rsidRPr="002C61BD">
        <w:rPr>
          <w:rFonts w:ascii="Arial" w:hAnsi="Arial" w:cs="Arial"/>
          <w:sz w:val="26"/>
          <w:szCs w:val="24"/>
        </w:rPr>
        <w:tab/>
      </w:r>
      <w:r w:rsidR="00D53D77" w:rsidRPr="002C61BD">
        <w:rPr>
          <w:rFonts w:ascii="Arial" w:hAnsi="Arial" w:cs="Arial"/>
          <w:sz w:val="26"/>
          <w:szCs w:val="24"/>
        </w:rPr>
        <w:tab/>
      </w:r>
    </w:p>
    <w:p w:rsidR="006F27B0" w:rsidRPr="002C61BD" w:rsidRDefault="006F27B0" w:rsidP="006F27B0">
      <w:pPr>
        <w:tabs>
          <w:tab w:val="center" w:pos="4680"/>
        </w:tabs>
        <w:suppressAutoHyphens/>
        <w:rPr>
          <w:rFonts w:ascii="Arial" w:hAnsi="Arial" w:cs="Arial"/>
          <w:sz w:val="26"/>
          <w:szCs w:val="24"/>
        </w:rPr>
      </w:pPr>
    </w:p>
    <w:p w:rsidR="00AB4297" w:rsidRPr="002C61BD" w:rsidRDefault="00AB4297" w:rsidP="00AB4297">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Cs w:val="24"/>
          <w:u w:val="single"/>
        </w:rPr>
      </w:pPr>
    </w:p>
    <w:p w:rsidR="00AB4297" w:rsidRPr="002C61BD" w:rsidRDefault="00AB4297" w:rsidP="00240629">
      <w:pPr>
        <w:rPr>
          <w:rFonts w:ascii="Arial" w:hAnsi="Arial" w:cs="Arial"/>
        </w:rPr>
      </w:pPr>
    </w:p>
    <w:p w:rsidR="00240629" w:rsidRPr="002C61BD" w:rsidRDefault="00240629" w:rsidP="00754773">
      <w:pPr>
        <w:tabs>
          <w:tab w:val="left" w:pos="-1440"/>
          <w:tab w:val="left" w:pos="-720"/>
        </w:tabs>
        <w:suppressAutoHyphens/>
        <w:rPr>
          <w:rFonts w:ascii="Arial" w:hAnsi="Arial" w:cs="Arial"/>
          <w:b/>
          <w:sz w:val="36"/>
          <w:szCs w:val="24"/>
          <w:u w:val="single"/>
        </w:rPr>
      </w:pPr>
    </w:p>
    <w:p w:rsidR="00240629" w:rsidRPr="002C61BD" w:rsidRDefault="00240629" w:rsidP="00240629">
      <w:pPr>
        <w:rPr>
          <w:rFonts w:ascii="Arial" w:hAnsi="Arial" w:cs="Arial"/>
        </w:rPr>
      </w:pPr>
      <w:r w:rsidRPr="002C61BD">
        <w:rPr>
          <w:rFonts w:ascii="Arial" w:hAnsi="Arial" w:cs="Arial"/>
        </w:rPr>
        <w:br w:type="page"/>
      </w:r>
    </w:p>
    <w:p w:rsidR="00152E73" w:rsidRPr="00152E73" w:rsidRDefault="00152E73" w:rsidP="00152E73">
      <w:pPr>
        <w:tabs>
          <w:tab w:val="center" w:pos="4680"/>
        </w:tabs>
        <w:suppressAutoHyphens/>
        <w:jc w:val="center"/>
        <w:rPr>
          <w:rFonts w:ascii="Arial" w:hAnsi="Arial" w:cs="Arial"/>
          <w:b/>
          <w:sz w:val="26"/>
          <w:szCs w:val="26"/>
        </w:rPr>
      </w:pPr>
      <w:r w:rsidRPr="00152E73">
        <w:rPr>
          <w:rFonts w:ascii="Arial" w:hAnsi="Arial" w:cs="Arial"/>
          <w:b/>
          <w:sz w:val="26"/>
          <w:szCs w:val="26"/>
        </w:rPr>
        <w:lastRenderedPageBreak/>
        <w:t>PECO ENERGY COMPANY</w:t>
      </w:r>
    </w:p>
    <w:p w:rsidR="00152E73" w:rsidRPr="00152E73" w:rsidRDefault="00152E73" w:rsidP="00152E73">
      <w:pPr>
        <w:tabs>
          <w:tab w:val="center" w:pos="4680"/>
        </w:tabs>
        <w:suppressAutoHyphens/>
        <w:overflowPunct/>
        <w:autoSpaceDE/>
        <w:autoSpaceDN/>
        <w:adjustRightInd/>
        <w:jc w:val="center"/>
        <w:textAlignment w:val="auto"/>
        <w:rPr>
          <w:rFonts w:ascii="Arial" w:hAnsi="Arial" w:cs="Arial"/>
          <w:b/>
          <w:sz w:val="26"/>
          <w:szCs w:val="26"/>
        </w:rPr>
      </w:pPr>
    </w:p>
    <w:p w:rsidR="00152E73" w:rsidRPr="00152E73" w:rsidRDefault="00152E73" w:rsidP="00152E73">
      <w:pPr>
        <w:tabs>
          <w:tab w:val="center" w:pos="4680"/>
        </w:tabs>
        <w:suppressAutoHyphens/>
        <w:overflowPunct/>
        <w:autoSpaceDE/>
        <w:autoSpaceDN/>
        <w:adjustRightInd/>
        <w:jc w:val="center"/>
        <w:textAlignment w:val="auto"/>
        <w:rPr>
          <w:rFonts w:ascii="Arial" w:hAnsi="Arial" w:cs="Arial"/>
          <w:b/>
          <w:sz w:val="26"/>
          <w:szCs w:val="26"/>
        </w:rPr>
      </w:pPr>
      <w:r w:rsidRPr="002F3DE3">
        <w:rPr>
          <w:rFonts w:ascii="Arial" w:hAnsi="Arial" w:cs="Arial"/>
          <w:b/>
          <w:sz w:val="26"/>
          <w:szCs w:val="26"/>
        </w:rPr>
        <w:t>Current Period Observation</w:t>
      </w:r>
    </w:p>
    <w:p w:rsidR="00152E73" w:rsidRPr="00152E73" w:rsidRDefault="00152E73" w:rsidP="00152E73">
      <w:pPr>
        <w:tabs>
          <w:tab w:val="center" w:pos="4680"/>
        </w:tabs>
        <w:suppressAutoHyphens/>
        <w:overflowPunct/>
        <w:autoSpaceDE/>
        <w:autoSpaceDN/>
        <w:adjustRightInd/>
        <w:jc w:val="center"/>
        <w:textAlignment w:val="auto"/>
        <w:rPr>
          <w:rFonts w:ascii="Arial" w:hAnsi="Arial" w:cs="Arial"/>
          <w:b/>
          <w:sz w:val="26"/>
          <w:szCs w:val="26"/>
        </w:rPr>
      </w:pPr>
    </w:p>
    <w:p w:rsidR="00152E73" w:rsidRPr="00152E73" w:rsidRDefault="00152E73" w:rsidP="00152E73">
      <w:pPr>
        <w:tabs>
          <w:tab w:val="center" w:pos="4680"/>
        </w:tabs>
        <w:suppressAutoHyphens/>
        <w:overflowPunct/>
        <w:autoSpaceDE/>
        <w:autoSpaceDN/>
        <w:adjustRightInd/>
        <w:jc w:val="center"/>
        <w:textAlignment w:val="auto"/>
        <w:rPr>
          <w:rFonts w:ascii="Arial" w:hAnsi="Arial" w:cs="Arial"/>
          <w:b/>
          <w:szCs w:val="24"/>
        </w:rPr>
      </w:pPr>
    </w:p>
    <w:p w:rsidR="00152E73" w:rsidRPr="00152E73" w:rsidRDefault="00152E73" w:rsidP="00152E73">
      <w:pPr>
        <w:tabs>
          <w:tab w:val="left" w:pos="1980"/>
        </w:tabs>
        <w:overflowPunct/>
        <w:autoSpaceDE/>
        <w:autoSpaceDN/>
        <w:adjustRightInd/>
        <w:ind w:left="1620" w:hanging="1620"/>
        <w:textAlignment w:val="auto"/>
        <w:rPr>
          <w:rFonts w:ascii="Arial" w:hAnsi="Arial" w:cs="Arial"/>
          <w:b/>
          <w:szCs w:val="24"/>
          <w:u w:val="single"/>
        </w:rPr>
      </w:pPr>
      <w:r w:rsidRPr="00152E73">
        <w:rPr>
          <w:rFonts w:ascii="Arial" w:hAnsi="Arial" w:cs="Arial"/>
          <w:b/>
          <w:szCs w:val="24"/>
        </w:rPr>
        <w:t xml:space="preserve">Observation – PECO </w:t>
      </w:r>
      <w:r w:rsidR="00903FE8">
        <w:rPr>
          <w:rFonts w:ascii="Arial" w:hAnsi="Arial" w:cs="Arial"/>
          <w:b/>
          <w:szCs w:val="24"/>
        </w:rPr>
        <w:t>D</w:t>
      </w:r>
      <w:r w:rsidRPr="00152E73">
        <w:rPr>
          <w:rFonts w:ascii="Arial" w:hAnsi="Arial" w:cs="Arial"/>
          <w:b/>
          <w:szCs w:val="24"/>
        </w:rPr>
        <w:t xml:space="preserve">id </w:t>
      </w:r>
      <w:r w:rsidR="00903FE8">
        <w:rPr>
          <w:rFonts w:ascii="Arial" w:hAnsi="Arial" w:cs="Arial"/>
          <w:b/>
          <w:szCs w:val="24"/>
        </w:rPr>
        <w:t>N</w:t>
      </w:r>
      <w:r w:rsidRPr="00152E73">
        <w:rPr>
          <w:rFonts w:ascii="Arial" w:hAnsi="Arial" w:cs="Arial"/>
          <w:b/>
          <w:szCs w:val="24"/>
        </w:rPr>
        <w:t xml:space="preserve">ot </w:t>
      </w:r>
      <w:r w:rsidR="00903FE8">
        <w:rPr>
          <w:rFonts w:ascii="Arial" w:hAnsi="Arial" w:cs="Arial"/>
          <w:b/>
          <w:szCs w:val="24"/>
        </w:rPr>
        <w:t>P</w:t>
      </w:r>
      <w:r w:rsidRPr="00152E73">
        <w:rPr>
          <w:rFonts w:ascii="Arial" w:hAnsi="Arial" w:cs="Arial"/>
          <w:b/>
          <w:szCs w:val="24"/>
        </w:rPr>
        <w:t xml:space="preserve">roperly </w:t>
      </w:r>
      <w:r w:rsidR="00903FE8">
        <w:rPr>
          <w:rFonts w:ascii="Arial" w:hAnsi="Arial" w:cs="Arial"/>
          <w:b/>
          <w:szCs w:val="24"/>
        </w:rPr>
        <w:t>A</w:t>
      </w:r>
      <w:r w:rsidRPr="00152E73">
        <w:rPr>
          <w:rFonts w:ascii="Arial" w:hAnsi="Arial" w:cs="Arial"/>
          <w:b/>
          <w:szCs w:val="24"/>
        </w:rPr>
        <w:t xml:space="preserve">ccount </w:t>
      </w:r>
      <w:r w:rsidR="00903FE8">
        <w:rPr>
          <w:rFonts w:ascii="Arial" w:hAnsi="Arial" w:cs="Arial"/>
          <w:b/>
          <w:szCs w:val="24"/>
        </w:rPr>
        <w:t>Fo</w:t>
      </w:r>
      <w:r w:rsidRPr="00152E73">
        <w:rPr>
          <w:rFonts w:ascii="Arial" w:hAnsi="Arial" w:cs="Arial"/>
          <w:b/>
          <w:szCs w:val="24"/>
        </w:rPr>
        <w:t xml:space="preserve">r </w:t>
      </w:r>
      <w:r w:rsidR="00903FE8">
        <w:rPr>
          <w:rFonts w:ascii="Arial" w:hAnsi="Arial" w:cs="Arial"/>
          <w:b/>
          <w:szCs w:val="24"/>
        </w:rPr>
        <w:t>T</w:t>
      </w:r>
      <w:r w:rsidR="006754E9">
        <w:rPr>
          <w:rFonts w:ascii="Arial" w:hAnsi="Arial" w:cs="Arial"/>
          <w:b/>
          <w:szCs w:val="24"/>
        </w:rPr>
        <w:t>he</w:t>
      </w:r>
      <w:r>
        <w:rPr>
          <w:rFonts w:ascii="Arial" w:hAnsi="Arial" w:cs="Arial"/>
          <w:b/>
          <w:szCs w:val="24"/>
        </w:rPr>
        <w:t xml:space="preserve"> </w:t>
      </w:r>
      <w:r w:rsidR="00903FE8">
        <w:rPr>
          <w:rFonts w:ascii="Arial" w:hAnsi="Arial" w:cs="Arial"/>
          <w:b/>
          <w:szCs w:val="24"/>
        </w:rPr>
        <w:t>C</w:t>
      </w:r>
      <w:r>
        <w:rPr>
          <w:rFonts w:ascii="Arial" w:hAnsi="Arial" w:cs="Arial"/>
          <w:b/>
          <w:szCs w:val="24"/>
        </w:rPr>
        <w:t>redits</w:t>
      </w:r>
      <w:r w:rsidR="00903FE8">
        <w:rPr>
          <w:rFonts w:ascii="Arial" w:hAnsi="Arial" w:cs="Arial"/>
          <w:b/>
          <w:szCs w:val="24"/>
        </w:rPr>
        <w:t xml:space="preserve"> I</w:t>
      </w:r>
      <w:r w:rsidR="00092997">
        <w:rPr>
          <w:rFonts w:ascii="Arial" w:hAnsi="Arial" w:cs="Arial"/>
          <w:b/>
          <w:szCs w:val="24"/>
        </w:rPr>
        <w:t>ssued</w:t>
      </w:r>
      <w:r w:rsidR="006754E9">
        <w:rPr>
          <w:rFonts w:ascii="Arial" w:hAnsi="Arial" w:cs="Arial"/>
          <w:b/>
          <w:szCs w:val="24"/>
        </w:rPr>
        <w:t xml:space="preserve"> </w:t>
      </w:r>
      <w:r w:rsidR="00903FE8">
        <w:rPr>
          <w:rFonts w:ascii="Arial" w:hAnsi="Arial" w:cs="Arial"/>
          <w:b/>
          <w:szCs w:val="24"/>
        </w:rPr>
        <w:t>B</w:t>
      </w:r>
      <w:r w:rsidR="006754E9">
        <w:rPr>
          <w:rFonts w:ascii="Arial" w:hAnsi="Arial" w:cs="Arial"/>
          <w:b/>
          <w:szCs w:val="24"/>
        </w:rPr>
        <w:t xml:space="preserve">y </w:t>
      </w:r>
      <w:r w:rsidR="00061D63">
        <w:rPr>
          <w:rFonts w:ascii="Arial" w:hAnsi="Arial" w:cs="Arial"/>
          <w:b/>
          <w:szCs w:val="24"/>
        </w:rPr>
        <w:t xml:space="preserve">the </w:t>
      </w:r>
      <w:r w:rsidR="006754E9">
        <w:rPr>
          <w:rFonts w:ascii="Arial" w:hAnsi="Arial" w:cs="Arial"/>
          <w:b/>
          <w:szCs w:val="24"/>
        </w:rPr>
        <w:t>PJM</w:t>
      </w:r>
      <w:r w:rsidR="00061D63">
        <w:rPr>
          <w:rFonts w:ascii="Arial" w:hAnsi="Arial" w:cs="Arial"/>
          <w:b/>
          <w:szCs w:val="24"/>
        </w:rPr>
        <w:t xml:space="preserve"> Interconnection</w:t>
      </w:r>
      <w:r w:rsidR="00053E78">
        <w:rPr>
          <w:rFonts w:ascii="Arial" w:hAnsi="Arial" w:cs="Arial"/>
          <w:b/>
          <w:szCs w:val="24"/>
        </w:rPr>
        <w:t>, LLC</w:t>
      </w:r>
      <w:r w:rsidR="00092997">
        <w:rPr>
          <w:rFonts w:ascii="Arial" w:hAnsi="Arial" w:cs="Arial"/>
          <w:b/>
          <w:szCs w:val="24"/>
        </w:rPr>
        <w:t>.</w:t>
      </w:r>
    </w:p>
    <w:p w:rsidR="00152E73" w:rsidRPr="00152E73" w:rsidRDefault="00152E73" w:rsidP="00152E73">
      <w:pPr>
        <w:tabs>
          <w:tab w:val="center" w:pos="4680"/>
        </w:tabs>
        <w:suppressAutoHyphens/>
        <w:overflowPunct/>
        <w:autoSpaceDE/>
        <w:autoSpaceDN/>
        <w:adjustRightInd/>
        <w:textAlignment w:val="auto"/>
        <w:rPr>
          <w:rFonts w:ascii="Arial" w:hAnsi="Arial" w:cs="Arial"/>
          <w:b/>
          <w:sz w:val="26"/>
          <w:szCs w:val="26"/>
          <w:u w:val="single"/>
        </w:rPr>
      </w:pPr>
    </w:p>
    <w:p w:rsidR="00650BEF" w:rsidRDefault="00132CC9" w:rsidP="00650BEF">
      <w:pPr>
        <w:ind w:firstLine="720"/>
        <w:rPr>
          <w:rFonts w:ascii="Arial" w:hAnsi="Arial" w:cs="Arial"/>
          <w:szCs w:val="24"/>
        </w:rPr>
      </w:pPr>
      <w:r>
        <w:rPr>
          <w:rFonts w:ascii="Arial" w:hAnsi="Arial" w:cs="Arial"/>
          <w:szCs w:val="24"/>
        </w:rPr>
        <w:t>W</w:t>
      </w:r>
      <w:r w:rsidR="00650BEF" w:rsidRPr="00D71D92">
        <w:rPr>
          <w:rFonts w:ascii="Arial" w:hAnsi="Arial" w:cs="Arial"/>
          <w:szCs w:val="24"/>
        </w:rPr>
        <w:t>hile reconciling its EEPC</w:t>
      </w:r>
      <w:r>
        <w:rPr>
          <w:rFonts w:ascii="Arial" w:hAnsi="Arial" w:cs="Arial"/>
          <w:szCs w:val="24"/>
        </w:rPr>
        <w:t xml:space="preserve"> Expenses, </w:t>
      </w:r>
      <w:r w:rsidRPr="00D71D92">
        <w:rPr>
          <w:rFonts w:ascii="Arial" w:hAnsi="Arial" w:cs="Arial"/>
          <w:szCs w:val="24"/>
        </w:rPr>
        <w:t>PECO</w:t>
      </w:r>
      <w:r>
        <w:rPr>
          <w:rFonts w:ascii="Arial" w:hAnsi="Arial" w:cs="Arial"/>
          <w:szCs w:val="24"/>
        </w:rPr>
        <w:t xml:space="preserve"> </w:t>
      </w:r>
      <w:r w:rsidRPr="00D71D92">
        <w:rPr>
          <w:rFonts w:ascii="Arial" w:hAnsi="Arial" w:cs="Arial"/>
          <w:szCs w:val="24"/>
        </w:rPr>
        <w:t>discovered</w:t>
      </w:r>
      <w:r w:rsidR="00FF5CAD">
        <w:rPr>
          <w:rFonts w:ascii="Arial" w:hAnsi="Arial" w:cs="Arial"/>
          <w:szCs w:val="24"/>
        </w:rPr>
        <w:t xml:space="preserve"> that </w:t>
      </w:r>
      <w:r w:rsidR="00650BEF">
        <w:rPr>
          <w:rFonts w:ascii="Arial" w:hAnsi="Arial" w:cs="Arial"/>
          <w:szCs w:val="24"/>
        </w:rPr>
        <w:t>Interruptible Load for Reliability (</w:t>
      </w:r>
      <w:r w:rsidR="00650BEF" w:rsidRPr="00D71D92">
        <w:rPr>
          <w:rFonts w:ascii="Arial" w:hAnsi="Arial" w:cs="Arial"/>
          <w:szCs w:val="24"/>
        </w:rPr>
        <w:t>ILR</w:t>
      </w:r>
      <w:r w:rsidR="00650BEF">
        <w:rPr>
          <w:rFonts w:ascii="Arial" w:hAnsi="Arial" w:cs="Arial"/>
          <w:szCs w:val="24"/>
        </w:rPr>
        <w:t>)</w:t>
      </w:r>
      <w:r w:rsidR="00650BEF" w:rsidRPr="00D71D92">
        <w:rPr>
          <w:rFonts w:ascii="Arial" w:hAnsi="Arial" w:cs="Arial"/>
          <w:szCs w:val="24"/>
        </w:rPr>
        <w:t xml:space="preserve"> credits received from PJM</w:t>
      </w:r>
      <w:r w:rsidR="00053E78">
        <w:rPr>
          <w:rFonts w:ascii="Arial" w:hAnsi="Arial" w:cs="Arial"/>
          <w:szCs w:val="24"/>
        </w:rPr>
        <w:t xml:space="preserve"> Interconnection, LLC</w:t>
      </w:r>
      <w:r w:rsidR="00A00F0C">
        <w:rPr>
          <w:rFonts w:ascii="Arial" w:hAnsi="Arial" w:cs="Arial"/>
          <w:szCs w:val="24"/>
        </w:rPr>
        <w:t xml:space="preserve"> for June 2011 through May 2012, </w:t>
      </w:r>
      <w:r w:rsidR="00650BEF" w:rsidRPr="00D71D92">
        <w:rPr>
          <w:rFonts w:ascii="Arial" w:hAnsi="Arial" w:cs="Arial"/>
          <w:szCs w:val="24"/>
        </w:rPr>
        <w:t xml:space="preserve">for registering the </w:t>
      </w:r>
      <w:r w:rsidR="00325B0F">
        <w:rPr>
          <w:rFonts w:ascii="Arial" w:hAnsi="Arial" w:cs="Arial"/>
          <w:szCs w:val="24"/>
        </w:rPr>
        <w:t>demand reduction capacity which results in savings</w:t>
      </w:r>
      <w:r w:rsidR="00650BEF" w:rsidRPr="00D71D92">
        <w:rPr>
          <w:rFonts w:ascii="Arial" w:hAnsi="Arial" w:cs="Arial"/>
          <w:szCs w:val="24"/>
        </w:rPr>
        <w:t xml:space="preserve"> related to the </w:t>
      </w:r>
      <w:r w:rsidR="00FF5CAD">
        <w:rPr>
          <w:rFonts w:ascii="Arial" w:hAnsi="Arial" w:cs="Arial"/>
          <w:szCs w:val="24"/>
        </w:rPr>
        <w:t>R</w:t>
      </w:r>
      <w:r w:rsidR="00650BEF" w:rsidRPr="00D71D92">
        <w:rPr>
          <w:rFonts w:ascii="Arial" w:hAnsi="Arial" w:cs="Arial"/>
          <w:szCs w:val="24"/>
        </w:rPr>
        <w:t xml:space="preserve">esidential </w:t>
      </w:r>
      <w:r w:rsidR="00650BEF">
        <w:rPr>
          <w:rFonts w:ascii="Arial" w:hAnsi="Arial" w:cs="Arial"/>
          <w:szCs w:val="24"/>
        </w:rPr>
        <w:t xml:space="preserve">Direct Load Control </w:t>
      </w:r>
      <w:r w:rsidR="00650BEF" w:rsidRPr="00D71D92">
        <w:rPr>
          <w:rFonts w:ascii="Arial" w:hAnsi="Arial" w:cs="Arial"/>
          <w:szCs w:val="24"/>
        </w:rPr>
        <w:t>program</w:t>
      </w:r>
      <w:r w:rsidR="00304C03">
        <w:rPr>
          <w:rFonts w:ascii="Arial" w:hAnsi="Arial" w:cs="Arial"/>
          <w:szCs w:val="24"/>
        </w:rPr>
        <w:t>,</w:t>
      </w:r>
      <w:r w:rsidR="00650BEF" w:rsidRPr="00D71D92">
        <w:rPr>
          <w:rFonts w:ascii="Arial" w:hAnsi="Arial" w:cs="Arial"/>
          <w:szCs w:val="24"/>
        </w:rPr>
        <w:t xml:space="preserve"> had been omitted </w:t>
      </w:r>
      <w:r w:rsidR="00FF5CAD">
        <w:rPr>
          <w:rFonts w:ascii="Arial" w:hAnsi="Arial" w:cs="Arial"/>
          <w:szCs w:val="24"/>
        </w:rPr>
        <w:t>from the</w:t>
      </w:r>
      <w:r w:rsidR="00304C03">
        <w:rPr>
          <w:rFonts w:ascii="Arial" w:hAnsi="Arial" w:cs="Arial"/>
          <w:szCs w:val="24"/>
        </w:rPr>
        <w:t xml:space="preserve"> EEPC reconciliation statement</w:t>
      </w:r>
      <w:r w:rsidR="00650BEF" w:rsidRPr="00D71D92">
        <w:rPr>
          <w:rFonts w:ascii="Arial" w:hAnsi="Arial" w:cs="Arial"/>
          <w:szCs w:val="24"/>
        </w:rPr>
        <w:t xml:space="preserve">s. </w:t>
      </w:r>
      <w:r w:rsidR="00304C03">
        <w:rPr>
          <w:rFonts w:ascii="Arial" w:hAnsi="Arial" w:cs="Arial"/>
          <w:szCs w:val="24"/>
        </w:rPr>
        <w:t xml:space="preserve"> As t</w:t>
      </w:r>
      <w:r w:rsidR="00650BEF" w:rsidRPr="00D71D92">
        <w:rPr>
          <w:rFonts w:ascii="Arial" w:hAnsi="Arial" w:cs="Arial"/>
          <w:szCs w:val="24"/>
        </w:rPr>
        <w:t xml:space="preserve">he </w:t>
      </w:r>
      <w:r w:rsidR="00304C03">
        <w:rPr>
          <w:rFonts w:ascii="Arial" w:hAnsi="Arial" w:cs="Arial"/>
          <w:szCs w:val="24"/>
        </w:rPr>
        <w:t xml:space="preserve">ILR </w:t>
      </w:r>
      <w:r w:rsidR="00650BEF" w:rsidRPr="00D71D92">
        <w:rPr>
          <w:rFonts w:ascii="Arial" w:hAnsi="Arial" w:cs="Arial"/>
          <w:szCs w:val="24"/>
        </w:rPr>
        <w:t xml:space="preserve">credits are used to offset </w:t>
      </w:r>
      <w:r w:rsidR="00860D37">
        <w:rPr>
          <w:rFonts w:ascii="Arial" w:hAnsi="Arial" w:cs="Arial"/>
          <w:szCs w:val="24"/>
        </w:rPr>
        <w:t>expenses</w:t>
      </w:r>
      <w:r w:rsidR="00304C03">
        <w:rPr>
          <w:rFonts w:ascii="Arial" w:hAnsi="Arial" w:cs="Arial"/>
          <w:szCs w:val="24"/>
        </w:rPr>
        <w:t>,</w:t>
      </w:r>
      <w:r w:rsidR="00650BEF" w:rsidRPr="00D71D92">
        <w:rPr>
          <w:rFonts w:ascii="Arial" w:hAnsi="Arial" w:cs="Arial"/>
          <w:szCs w:val="24"/>
        </w:rPr>
        <w:t xml:space="preserve"> this omission</w:t>
      </w:r>
      <w:r w:rsidR="00304C03">
        <w:rPr>
          <w:rFonts w:ascii="Arial" w:hAnsi="Arial" w:cs="Arial"/>
          <w:szCs w:val="24"/>
        </w:rPr>
        <w:t xml:space="preserve"> caused</w:t>
      </w:r>
      <w:r w:rsidR="00650BEF" w:rsidRPr="00D71D92">
        <w:rPr>
          <w:rFonts w:ascii="Arial" w:hAnsi="Arial" w:cs="Arial"/>
          <w:szCs w:val="24"/>
        </w:rPr>
        <w:t xml:space="preserve"> the </w:t>
      </w:r>
      <w:r w:rsidR="0084316D">
        <w:rPr>
          <w:rFonts w:ascii="Arial" w:hAnsi="Arial" w:cs="Arial"/>
          <w:szCs w:val="24"/>
        </w:rPr>
        <w:t>Residential EEPC Expenses to</w:t>
      </w:r>
      <w:r w:rsidR="00304C03">
        <w:rPr>
          <w:rFonts w:ascii="Arial" w:hAnsi="Arial" w:cs="Arial"/>
          <w:szCs w:val="24"/>
        </w:rPr>
        <w:t xml:space="preserve"> be</w:t>
      </w:r>
      <w:r w:rsidR="00650BEF" w:rsidRPr="00D71D92">
        <w:rPr>
          <w:rFonts w:ascii="Arial" w:hAnsi="Arial" w:cs="Arial"/>
          <w:szCs w:val="24"/>
        </w:rPr>
        <w:t xml:space="preserve"> </w:t>
      </w:r>
      <w:r w:rsidR="0084316D">
        <w:rPr>
          <w:rFonts w:ascii="Arial" w:hAnsi="Arial" w:cs="Arial"/>
          <w:szCs w:val="24"/>
        </w:rPr>
        <w:t>ove</w:t>
      </w:r>
      <w:r w:rsidR="00650BEF" w:rsidRPr="00D71D92">
        <w:rPr>
          <w:rFonts w:ascii="Arial" w:hAnsi="Arial" w:cs="Arial"/>
          <w:szCs w:val="24"/>
        </w:rPr>
        <w:t>rstated by $1.43 million.</w:t>
      </w:r>
    </w:p>
    <w:p w:rsidR="00650BEF" w:rsidRPr="00D71D92" w:rsidRDefault="00650BEF" w:rsidP="00650BEF">
      <w:pPr>
        <w:ind w:firstLine="720"/>
        <w:rPr>
          <w:rFonts w:ascii="Arial" w:hAnsi="Arial" w:cs="Arial"/>
          <w:szCs w:val="24"/>
        </w:rPr>
      </w:pPr>
    </w:p>
    <w:p w:rsidR="00650BEF" w:rsidRDefault="00B92CDA" w:rsidP="00650BEF">
      <w:pPr>
        <w:ind w:firstLine="720"/>
        <w:rPr>
          <w:rFonts w:ascii="Arial" w:hAnsi="Arial" w:cs="Arial"/>
          <w:szCs w:val="24"/>
        </w:rPr>
      </w:pPr>
      <w:r>
        <w:rPr>
          <w:rFonts w:ascii="Arial" w:hAnsi="Arial" w:cs="Arial"/>
          <w:szCs w:val="24"/>
        </w:rPr>
        <w:t xml:space="preserve">As stated in Note 5 of the Notes to the Financial Statements, </w:t>
      </w:r>
      <w:r w:rsidR="00650BEF" w:rsidRPr="00D71D92">
        <w:rPr>
          <w:rFonts w:ascii="Arial" w:hAnsi="Arial" w:cs="Arial"/>
          <w:szCs w:val="24"/>
        </w:rPr>
        <w:t xml:space="preserve">PECO plans to combine the Phase </w:t>
      </w:r>
      <w:r w:rsidR="002C63A7">
        <w:rPr>
          <w:rFonts w:ascii="Arial" w:hAnsi="Arial" w:cs="Arial"/>
          <w:szCs w:val="24"/>
        </w:rPr>
        <w:t xml:space="preserve">I </w:t>
      </w:r>
      <w:r>
        <w:rPr>
          <w:rFonts w:ascii="Arial" w:hAnsi="Arial" w:cs="Arial"/>
          <w:szCs w:val="24"/>
        </w:rPr>
        <w:t xml:space="preserve">over/under collection </w:t>
      </w:r>
      <w:r w:rsidR="002C63A7">
        <w:rPr>
          <w:rFonts w:ascii="Arial" w:hAnsi="Arial" w:cs="Arial"/>
          <w:szCs w:val="24"/>
        </w:rPr>
        <w:t>balance with the Phase II</w:t>
      </w:r>
      <w:r w:rsidR="00650BEF" w:rsidRPr="00D71D92">
        <w:rPr>
          <w:rFonts w:ascii="Arial" w:hAnsi="Arial" w:cs="Arial"/>
          <w:szCs w:val="24"/>
        </w:rPr>
        <w:t xml:space="preserve"> </w:t>
      </w:r>
      <w:r>
        <w:rPr>
          <w:rFonts w:ascii="Arial" w:hAnsi="Arial" w:cs="Arial"/>
          <w:szCs w:val="24"/>
        </w:rPr>
        <w:t xml:space="preserve">final over/under collection </w:t>
      </w:r>
      <w:r w:rsidR="00650BEF" w:rsidRPr="00D71D92">
        <w:rPr>
          <w:rFonts w:ascii="Arial" w:hAnsi="Arial" w:cs="Arial"/>
          <w:szCs w:val="24"/>
        </w:rPr>
        <w:t>balance for each customer class and refund or recoup the combined balances during the period of June 1, 2016 through May 31, 2017.</w:t>
      </w:r>
      <w:r w:rsidR="00776944">
        <w:rPr>
          <w:rFonts w:ascii="Arial" w:hAnsi="Arial" w:cs="Arial"/>
          <w:szCs w:val="24"/>
        </w:rPr>
        <w:t xml:space="preserve"> </w:t>
      </w:r>
      <w:r w:rsidR="00650BEF" w:rsidRPr="00D71D92">
        <w:rPr>
          <w:rFonts w:ascii="Arial" w:hAnsi="Arial" w:cs="Arial"/>
          <w:szCs w:val="24"/>
        </w:rPr>
        <w:t xml:space="preserve"> </w:t>
      </w:r>
      <w:proofErr w:type="gramStart"/>
      <w:r w:rsidR="005544FC">
        <w:rPr>
          <w:rFonts w:ascii="Arial" w:hAnsi="Arial" w:cs="Arial"/>
          <w:szCs w:val="24"/>
        </w:rPr>
        <w:t>In its June 23, 2015 Phase II 1307(e) reconciliation statement filing</w:t>
      </w:r>
      <w:r w:rsidR="00B93175">
        <w:rPr>
          <w:rFonts w:ascii="Arial" w:hAnsi="Arial" w:cs="Arial"/>
          <w:szCs w:val="24"/>
        </w:rPr>
        <w:t>,</w:t>
      </w:r>
      <w:r w:rsidR="005544FC">
        <w:rPr>
          <w:rFonts w:ascii="Arial" w:hAnsi="Arial" w:cs="Arial"/>
          <w:szCs w:val="24"/>
        </w:rPr>
        <w:t xml:space="preserve"> at Docket No.</w:t>
      </w:r>
      <w:proofErr w:type="gramEnd"/>
      <w:r w:rsidR="005544FC">
        <w:rPr>
          <w:rFonts w:ascii="Arial" w:hAnsi="Arial" w:cs="Arial"/>
          <w:szCs w:val="24"/>
        </w:rPr>
        <w:t xml:space="preserve"> M-2015-2489136, PECO made a separate line item adjustment to the reported </w:t>
      </w:r>
      <w:r w:rsidR="009F4EDB">
        <w:rPr>
          <w:rFonts w:ascii="Arial" w:hAnsi="Arial" w:cs="Arial"/>
          <w:szCs w:val="24"/>
        </w:rPr>
        <w:t xml:space="preserve">Residential </w:t>
      </w:r>
      <w:r w:rsidR="005544FC">
        <w:rPr>
          <w:rFonts w:ascii="Arial" w:hAnsi="Arial" w:cs="Arial"/>
          <w:szCs w:val="24"/>
        </w:rPr>
        <w:t xml:space="preserve">Phase I EEPC </w:t>
      </w:r>
      <w:r w:rsidR="009F4EDB">
        <w:rPr>
          <w:rFonts w:ascii="Arial" w:hAnsi="Arial" w:cs="Arial"/>
          <w:szCs w:val="24"/>
        </w:rPr>
        <w:t xml:space="preserve">under collection </w:t>
      </w:r>
      <w:r w:rsidR="00B93175">
        <w:rPr>
          <w:rFonts w:ascii="Arial" w:hAnsi="Arial" w:cs="Arial"/>
          <w:szCs w:val="24"/>
        </w:rPr>
        <w:t xml:space="preserve">balance, which will be combined with the Phase II </w:t>
      </w:r>
      <w:r w:rsidR="0058490C">
        <w:rPr>
          <w:rFonts w:ascii="Arial" w:hAnsi="Arial" w:cs="Arial"/>
          <w:szCs w:val="24"/>
        </w:rPr>
        <w:t>EEPC final over/</w:t>
      </w:r>
      <w:r w:rsidR="009F4EDB">
        <w:rPr>
          <w:rFonts w:ascii="Arial" w:hAnsi="Arial" w:cs="Arial"/>
          <w:szCs w:val="24"/>
        </w:rPr>
        <w:t xml:space="preserve">under collection </w:t>
      </w:r>
      <w:r w:rsidR="00B93175">
        <w:rPr>
          <w:rFonts w:ascii="Arial" w:hAnsi="Arial" w:cs="Arial"/>
          <w:szCs w:val="24"/>
        </w:rPr>
        <w:t>balance,</w:t>
      </w:r>
      <w:r w:rsidR="005544FC">
        <w:rPr>
          <w:rFonts w:ascii="Arial" w:hAnsi="Arial" w:cs="Arial"/>
          <w:szCs w:val="24"/>
        </w:rPr>
        <w:t xml:space="preserve"> to account for the </w:t>
      </w:r>
      <w:r w:rsidR="00B93175">
        <w:rPr>
          <w:rFonts w:ascii="Arial" w:hAnsi="Arial" w:cs="Arial"/>
          <w:szCs w:val="24"/>
        </w:rPr>
        <w:t xml:space="preserve">omitted </w:t>
      </w:r>
      <w:r w:rsidR="005544FC">
        <w:rPr>
          <w:rFonts w:ascii="Arial" w:hAnsi="Arial" w:cs="Arial"/>
          <w:szCs w:val="24"/>
        </w:rPr>
        <w:t>ILR credits.</w:t>
      </w:r>
    </w:p>
    <w:p w:rsidR="00375763" w:rsidRPr="00D71D92" w:rsidRDefault="00375763" w:rsidP="00650BEF">
      <w:pPr>
        <w:ind w:firstLine="720"/>
        <w:rPr>
          <w:rFonts w:ascii="Arial" w:hAnsi="Arial" w:cs="Arial"/>
          <w:szCs w:val="24"/>
        </w:rPr>
      </w:pPr>
    </w:p>
    <w:p w:rsidR="00901213" w:rsidRDefault="00D155A1" w:rsidP="00650BEF">
      <w:pPr>
        <w:ind w:firstLine="720"/>
        <w:rPr>
          <w:rFonts w:ascii="Arial" w:hAnsi="Arial" w:cs="Arial"/>
        </w:rPr>
      </w:pPr>
      <w:r>
        <w:rPr>
          <w:rFonts w:ascii="Arial" w:hAnsi="Arial" w:cs="Arial"/>
          <w:szCs w:val="24"/>
        </w:rPr>
        <w:t xml:space="preserve">The </w:t>
      </w:r>
      <w:r w:rsidR="00650BEF" w:rsidRPr="00D71D92">
        <w:rPr>
          <w:rFonts w:ascii="Arial" w:hAnsi="Arial" w:cs="Arial"/>
          <w:szCs w:val="24"/>
        </w:rPr>
        <w:t xml:space="preserve">Audit Bureau discussed the issue of the omitted credits with </w:t>
      </w:r>
      <w:r>
        <w:rPr>
          <w:rFonts w:ascii="Arial" w:hAnsi="Arial" w:cs="Arial"/>
          <w:szCs w:val="24"/>
        </w:rPr>
        <w:t>informed</w:t>
      </w:r>
      <w:r w:rsidR="00650BEF" w:rsidRPr="00D71D92">
        <w:rPr>
          <w:rFonts w:ascii="Arial" w:hAnsi="Arial" w:cs="Arial"/>
          <w:szCs w:val="24"/>
        </w:rPr>
        <w:t xml:space="preserve"> Company </w:t>
      </w:r>
      <w:r>
        <w:rPr>
          <w:rFonts w:ascii="Arial" w:hAnsi="Arial" w:cs="Arial"/>
          <w:szCs w:val="24"/>
        </w:rPr>
        <w:t>personnel.  We</w:t>
      </w:r>
      <w:r w:rsidR="00650BEF" w:rsidRPr="00D71D92">
        <w:rPr>
          <w:rFonts w:ascii="Arial" w:hAnsi="Arial" w:cs="Arial"/>
          <w:szCs w:val="24"/>
        </w:rPr>
        <w:t xml:space="preserve"> agree</w:t>
      </w:r>
      <w:r w:rsidR="005544FC">
        <w:rPr>
          <w:rFonts w:ascii="Arial" w:hAnsi="Arial" w:cs="Arial"/>
          <w:szCs w:val="24"/>
        </w:rPr>
        <w:t>d</w:t>
      </w:r>
      <w:r w:rsidR="00901213">
        <w:rPr>
          <w:rFonts w:ascii="Arial" w:hAnsi="Arial" w:cs="Arial"/>
          <w:szCs w:val="24"/>
        </w:rPr>
        <w:t xml:space="preserve"> with the Company’s approach to</w:t>
      </w:r>
      <w:r w:rsidR="00901213">
        <w:rPr>
          <w:rFonts w:ascii="Arial" w:hAnsi="Arial" w:cs="Arial"/>
        </w:rPr>
        <w:t xml:space="preserve"> make the correction as part of the E-Factor calculation of a subsequent EEPC rate filing.</w:t>
      </w:r>
    </w:p>
    <w:p w:rsidR="00901213" w:rsidRDefault="00901213" w:rsidP="00650BEF">
      <w:pPr>
        <w:ind w:firstLine="720"/>
        <w:rPr>
          <w:rFonts w:ascii="Arial" w:hAnsi="Arial" w:cs="Arial"/>
        </w:rPr>
      </w:pPr>
    </w:p>
    <w:p w:rsidR="00152E73" w:rsidRDefault="00152E73">
      <w:pPr>
        <w:overflowPunct/>
        <w:autoSpaceDE/>
        <w:autoSpaceDN/>
        <w:adjustRightInd/>
        <w:spacing w:after="200" w:line="276" w:lineRule="auto"/>
        <w:textAlignment w:val="auto"/>
        <w:rPr>
          <w:rFonts w:ascii="Arial" w:hAnsi="Arial" w:cs="Arial"/>
          <w:b/>
          <w:sz w:val="28"/>
          <w:szCs w:val="28"/>
        </w:rPr>
      </w:pPr>
    </w:p>
    <w:p w:rsidR="004B51AF" w:rsidRPr="00322581" w:rsidRDefault="00152E73" w:rsidP="00322581">
      <w:pPr>
        <w:overflowPunct/>
        <w:autoSpaceDE/>
        <w:autoSpaceDN/>
        <w:adjustRightInd/>
        <w:spacing w:after="200" w:line="276" w:lineRule="auto"/>
        <w:jc w:val="center"/>
        <w:textAlignment w:val="auto"/>
        <w:rPr>
          <w:rFonts w:ascii="Arial" w:hAnsi="Arial" w:cs="Arial"/>
          <w:b/>
          <w:sz w:val="26"/>
          <w:szCs w:val="26"/>
        </w:rPr>
      </w:pPr>
      <w:r>
        <w:rPr>
          <w:rFonts w:ascii="Arial" w:hAnsi="Arial" w:cs="Arial"/>
          <w:sz w:val="28"/>
          <w:szCs w:val="28"/>
        </w:rPr>
        <w:br w:type="page"/>
      </w:r>
      <w:r w:rsidR="00F00643" w:rsidRPr="00322581">
        <w:rPr>
          <w:rFonts w:ascii="Arial" w:hAnsi="Arial" w:cs="Arial"/>
          <w:b/>
          <w:sz w:val="26"/>
          <w:szCs w:val="26"/>
        </w:rPr>
        <w:lastRenderedPageBreak/>
        <w:t>PECO ENERGY COMPANY</w:t>
      </w:r>
    </w:p>
    <w:p w:rsidR="00BF7F33" w:rsidRPr="00F00643" w:rsidRDefault="00BF7F33" w:rsidP="00BF7F33">
      <w:pPr>
        <w:pStyle w:val="Heading1"/>
        <w:rPr>
          <w:rFonts w:ascii="Arial" w:hAnsi="Arial" w:cs="Arial"/>
          <w:sz w:val="26"/>
          <w:szCs w:val="24"/>
          <w:u w:val="none"/>
        </w:rPr>
      </w:pPr>
      <w:r w:rsidRPr="00F00643">
        <w:rPr>
          <w:rFonts w:ascii="Arial" w:hAnsi="Arial" w:cs="Arial"/>
          <w:sz w:val="26"/>
          <w:szCs w:val="24"/>
          <w:u w:val="none"/>
        </w:rPr>
        <w:t>A</w:t>
      </w:r>
      <w:r w:rsidR="00BA2DFF" w:rsidRPr="00F00643">
        <w:rPr>
          <w:rFonts w:ascii="Arial" w:hAnsi="Arial" w:cs="Arial"/>
          <w:sz w:val="26"/>
          <w:szCs w:val="24"/>
          <w:u w:val="none"/>
        </w:rPr>
        <w:t>cknowledgements</w:t>
      </w:r>
    </w:p>
    <w:p w:rsidR="00BF7F33" w:rsidRPr="002C61BD" w:rsidRDefault="00BF7F33" w:rsidP="00BF7F33">
      <w:pPr>
        <w:rPr>
          <w:rFonts w:ascii="Arial" w:hAnsi="Arial" w:cs="Arial"/>
          <w:b/>
          <w:szCs w:val="24"/>
          <w:u w:val="single"/>
        </w:rPr>
      </w:pPr>
    </w:p>
    <w:p w:rsidR="00BF7F33" w:rsidRPr="002C61BD" w:rsidRDefault="00BF7F33" w:rsidP="00BF7F33">
      <w:pPr>
        <w:rPr>
          <w:rFonts w:ascii="Arial" w:hAnsi="Arial" w:cs="Arial"/>
          <w:b/>
          <w:szCs w:val="24"/>
          <w:u w:val="single"/>
        </w:rPr>
      </w:pPr>
    </w:p>
    <w:p w:rsidR="00E26A3A" w:rsidRDefault="00BF7F33" w:rsidP="00E26A3A">
      <w:pPr>
        <w:rPr>
          <w:rFonts w:ascii="Arial" w:hAnsi="Arial" w:cs="Arial"/>
          <w:szCs w:val="24"/>
        </w:rPr>
      </w:pPr>
      <w:r w:rsidRPr="002C61BD">
        <w:rPr>
          <w:rFonts w:ascii="Arial" w:hAnsi="Arial" w:cs="Arial"/>
          <w:szCs w:val="24"/>
        </w:rPr>
        <w:tab/>
        <w:t xml:space="preserve">We wish to express our appreciation to the officers and staff of </w:t>
      </w:r>
      <w:r w:rsidR="00F00643">
        <w:rPr>
          <w:rFonts w:ascii="Arial" w:hAnsi="Arial" w:cs="Arial"/>
          <w:szCs w:val="24"/>
        </w:rPr>
        <w:t>PECO Energy Company</w:t>
      </w:r>
      <w:r w:rsidRPr="002C61BD">
        <w:rPr>
          <w:rFonts w:ascii="Arial" w:hAnsi="Arial" w:cs="Arial"/>
          <w:szCs w:val="24"/>
        </w:rPr>
        <w:t xml:space="preserve"> for the cooperation and assistance given to us during the course of our examination.  The audit was conducted by </w:t>
      </w:r>
      <w:r w:rsidR="00233FB3">
        <w:rPr>
          <w:rFonts w:ascii="Arial" w:hAnsi="Arial" w:cs="Arial"/>
          <w:szCs w:val="24"/>
        </w:rPr>
        <w:t>Katrina S. Johnson</w:t>
      </w:r>
      <w:r w:rsidR="00200481">
        <w:rPr>
          <w:rFonts w:ascii="Arial" w:hAnsi="Arial" w:cs="Arial"/>
          <w:szCs w:val="24"/>
        </w:rPr>
        <w:t>,</w:t>
      </w:r>
      <w:r w:rsidR="00BB0708" w:rsidRPr="002C61BD">
        <w:rPr>
          <w:rFonts w:ascii="Arial" w:hAnsi="Arial" w:cs="Arial"/>
          <w:szCs w:val="24"/>
        </w:rPr>
        <w:t xml:space="preserve"> </w:t>
      </w:r>
      <w:r w:rsidRPr="002C61BD">
        <w:rPr>
          <w:rFonts w:ascii="Arial" w:hAnsi="Arial" w:cs="Arial"/>
          <w:szCs w:val="24"/>
        </w:rPr>
        <w:t xml:space="preserve">assisted by </w:t>
      </w:r>
      <w:r w:rsidR="00233FB3">
        <w:rPr>
          <w:rFonts w:ascii="Arial" w:hAnsi="Arial" w:cs="Arial"/>
          <w:szCs w:val="24"/>
        </w:rPr>
        <w:t>Darrell Baxter</w:t>
      </w:r>
      <w:r w:rsidRPr="002C61BD">
        <w:rPr>
          <w:rFonts w:ascii="Arial" w:hAnsi="Arial" w:cs="Arial"/>
          <w:szCs w:val="24"/>
        </w:rPr>
        <w:t xml:space="preserve">. </w:t>
      </w:r>
    </w:p>
    <w:p w:rsidR="00E26A3A" w:rsidRDefault="00E26A3A" w:rsidP="00E26A3A"/>
    <w:p w:rsidR="00BF7F33" w:rsidRPr="002C61BD" w:rsidRDefault="00BF7F33" w:rsidP="00E26A3A">
      <w:pPr>
        <w:rPr>
          <w:rFonts w:ascii="Arial" w:hAnsi="Arial" w:cs="Arial"/>
          <w:szCs w:val="24"/>
        </w:rPr>
      </w:pPr>
    </w:p>
    <w:sectPr w:rsidR="00BF7F33" w:rsidRPr="002C61BD" w:rsidSect="00160B87">
      <w:headerReference w:type="even" r:id="rId36"/>
      <w:headerReference w:type="default" r:id="rId37"/>
      <w:footerReference w:type="default" r:id="rId38"/>
      <w:headerReference w:type="first" r:id="rId39"/>
      <w:endnotePr>
        <w:numFmt w:val="decimal"/>
      </w:endnotePr>
      <w:pgSz w:w="12240" w:h="15840" w:code="1"/>
      <w:pgMar w:top="1440" w:right="1440" w:bottom="1440" w:left="1440" w:header="0" w:footer="720" w:gutter="0"/>
      <w:pgNumType w:fmt="numberInDash" w:start="7"/>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E15" w:rsidRDefault="00651E15" w:rsidP="005E2A00">
      <w:r>
        <w:separator/>
      </w:r>
    </w:p>
  </w:endnote>
  <w:endnote w:type="continuationSeparator" w:id="0">
    <w:p w:rsidR="00651E15" w:rsidRDefault="00651E15" w:rsidP="005E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9F" w:rsidRDefault="004833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0F" w:rsidRDefault="00FF1C0F">
    <w:pPr>
      <w:pStyle w:val="Footer"/>
      <w:jc w:val="center"/>
    </w:pPr>
  </w:p>
  <w:p w:rsidR="00FF1C0F" w:rsidRDefault="00FF1C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913821"/>
      <w:docPartObj>
        <w:docPartGallery w:val="Page Numbers (Bottom of Page)"/>
        <w:docPartUnique/>
      </w:docPartObj>
    </w:sdtPr>
    <w:sdtEndPr>
      <w:rPr>
        <w:rFonts w:ascii="Arial" w:hAnsi="Arial" w:cs="Arial"/>
        <w:noProof/>
      </w:rPr>
    </w:sdtEndPr>
    <w:sdtContent>
      <w:p w:rsidR="00FF1C0F" w:rsidRPr="00FD1303" w:rsidRDefault="00FD1303" w:rsidP="00FD1303">
        <w:pPr>
          <w:pStyle w:val="Footer"/>
          <w:jc w:val="center"/>
          <w:rPr>
            <w:rFonts w:ascii="Arial" w:hAnsi="Arial" w:cs="Arial"/>
          </w:rPr>
        </w:pPr>
        <w:r w:rsidRPr="00FD1303">
          <w:rPr>
            <w:rFonts w:ascii="Arial" w:hAnsi="Arial" w:cs="Arial"/>
          </w:rPr>
          <w:fldChar w:fldCharType="begin"/>
        </w:r>
        <w:r w:rsidRPr="00FD1303">
          <w:rPr>
            <w:rFonts w:ascii="Arial" w:hAnsi="Arial" w:cs="Arial"/>
          </w:rPr>
          <w:instrText xml:space="preserve"> PAGE   \* MERGEFORMAT </w:instrText>
        </w:r>
        <w:r w:rsidRPr="00FD1303">
          <w:rPr>
            <w:rFonts w:ascii="Arial" w:hAnsi="Arial" w:cs="Arial"/>
          </w:rPr>
          <w:fldChar w:fldCharType="separate"/>
        </w:r>
        <w:r w:rsidR="000329D2">
          <w:rPr>
            <w:rFonts w:ascii="Arial" w:hAnsi="Arial" w:cs="Arial"/>
            <w:noProof/>
          </w:rPr>
          <w:t>- 4 -</w:t>
        </w:r>
        <w:r w:rsidRPr="00FD1303">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303" w:rsidRDefault="00FD1303">
    <w:pPr>
      <w:pStyle w:val="Footer"/>
      <w:jc w:val="center"/>
    </w:pPr>
  </w:p>
  <w:p w:rsidR="00FF1C0F" w:rsidRPr="00E46475" w:rsidRDefault="00FF1C0F" w:rsidP="00FD1303">
    <w:pPr>
      <w:pStyle w:val="Footer"/>
      <w:rPr>
        <w:rFonts w:ascii="Arial" w:hAnsi="Arial" w:cs="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14980"/>
      <w:docPartObj>
        <w:docPartGallery w:val="Page Numbers (Bottom of Page)"/>
        <w:docPartUnique/>
      </w:docPartObj>
    </w:sdtPr>
    <w:sdtEndPr>
      <w:rPr>
        <w:rFonts w:ascii="Arial" w:hAnsi="Arial" w:cs="Arial"/>
        <w:noProof/>
      </w:rPr>
    </w:sdtEndPr>
    <w:sdtContent>
      <w:p w:rsidR="00FD1303" w:rsidRPr="00E46475" w:rsidRDefault="00FD1303" w:rsidP="00FD1303">
        <w:pPr>
          <w:pStyle w:val="Footer"/>
          <w:jc w:val="center"/>
          <w:rPr>
            <w:rFonts w:ascii="Arial" w:hAnsi="Arial" w:cs="Arial"/>
          </w:rPr>
        </w:pPr>
        <w:r w:rsidRPr="00FD1303">
          <w:rPr>
            <w:rFonts w:ascii="Arial" w:hAnsi="Arial" w:cs="Arial"/>
          </w:rPr>
          <w:fldChar w:fldCharType="begin"/>
        </w:r>
        <w:r w:rsidRPr="00FD1303">
          <w:rPr>
            <w:rFonts w:ascii="Arial" w:hAnsi="Arial" w:cs="Arial"/>
          </w:rPr>
          <w:instrText xml:space="preserve"> PAGE   \* MERGEFORMAT </w:instrText>
        </w:r>
        <w:r w:rsidRPr="00FD1303">
          <w:rPr>
            <w:rFonts w:ascii="Arial" w:hAnsi="Arial" w:cs="Arial"/>
          </w:rPr>
          <w:fldChar w:fldCharType="separate"/>
        </w:r>
        <w:r w:rsidR="000329D2">
          <w:rPr>
            <w:rFonts w:ascii="Arial" w:hAnsi="Arial" w:cs="Arial"/>
            <w:noProof/>
          </w:rPr>
          <w:t>- 3 -</w:t>
        </w:r>
        <w:r w:rsidRPr="00FD1303">
          <w:rPr>
            <w:rFonts w:ascii="Arial" w:hAnsi="Arial" w:cs="Arial"/>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561324"/>
      <w:docPartObj>
        <w:docPartGallery w:val="Page Numbers (Bottom of Page)"/>
        <w:docPartUnique/>
      </w:docPartObj>
    </w:sdtPr>
    <w:sdtEndPr>
      <w:rPr>
        <w:rFonts w:ascii="Arial" w:hAnsi="Arial" w:cs="Arial"/>
        <w:noProof/>
      </w:rPr>
    </w:sdtEndPr>
    <w:sdtContent>
      <w:p w:rsidR="00FD1303" w:rsidRPr="00E46475" w:rsidRDefault="00160B87" w:rsidP="00160B87">
        <w:pPr>
          <w:pStyle w:val="Footer"/>
          <w:jc w:val="center"/>
          <w:rPr>
            <w:rFonts w:ascii="Arial" w:hAnsi="Arial" w:cs="Arial"/>
          </w:rPr>
        </w:pPr>
        <w:r w:rsidRPr="00160B87">
          <w:rPr>
            <w:rFonts w:ascii="Arial" w:hAnsi="Arial" w:cs="Arial"/>
          </w:rPr>
          <w:fldChar w:fldCharType="begin"/>
        </w:r>
        <w:r w:rsidRPr="00160B87">
          <w:rPr>
            <w:rFonts w:ascii="Arial" w:hAnsi="Arial" w:cs="Arial"/>
          </w:rPr>
          <w:instrText xml:space="preserve"> PAGE   \* MERGEFORMAT </w:instrText>
        </w:r>
        <w:r w:rsidRPr="00160B87">
          <w:rPr>
            <w:rFonts w:ascii="Arial" w:hAnsi="Arial" w:cs="Arial"/>
          </w:rPr>
          <w:fldChar w:fldCharType="separate"/>
        </w:r>
        <w:r w:rsidR="000329D2">
          <w:rPr>
            <w:rFonts w:ascii="Arial" w:hAnsi="Arial" w:cs="Arial"/>
            <w:noProof/>
          </w:rPr>
          <w:t>- 6 -</w:t>
        </w:r>
        <w:r w:rsidRPr="00160B87">
          <w:rPr>
            <w:rFonts w:ascii="Arial" w:hAnsi="Arial" w:cs="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87" w:rsidRPr="00FD1303" w:rsidRDefault="00160B87" w:rsidP="00FD1303">
    <w:pPr>
      <w:pStyle w:val="Footer"/>
      <w:jc w:val="center"/>
      <w:rPr>
        <w:rFonts w:ascii="Arial" w:hAnsi="Arial" w:cs="Arial"/>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690599"/>
      <w:docPartObj>
        <w:docPartGallery w:val="Page Numbers (Bottom of Page)"/>
        <w:docPartUnique/>
      </w:docPartObj>
    </w:sdtPr>
    <w:sdtEndPr>
      <w:rPr>
        <w:rFonts w:ascii="Arial" w:hAnsi="Arial" w:cs="Arial"/>
        <w:noProof/>
      </w:rPr>
    </w:sdtEndPr>
    <w:sdtContent>
      <w:p w:rsidR="00FF1C0F" w:rsidRPr="00E46475" w:rsidRDefault="00160B87" w:rsidP="00160B87">
        <w:pPr>
          <w:pStyle w:val="Footer"/>
          <w:jc w:val="center"/>
          <w:rPr>
            <w:rFonts w:ascii="Arial" w:hAnsi="Arial" w:cs="Arial"/>
          </w:rPr>
        </w:pPr>
        <w:r w:rsidRPr="00160B87">
          <w:rPr>
            <w:rFonts w:ascii="Arial" w:hAnsi="Arial" w:cs="Arial"/>
          </w:rPr>
          <w:fldChar w:fldCharType="begin"/>
        </w:r>
        <w:r w:rsidRPr="00160B87">
          <w:rPr>
            <w:rFonts w:ascii="Arial" w:hAnsi="Arial" w:cs="Arial"/>
          </w:rPr>
          <w:instrText xml:space="preserve"> PAGE   \* MERGEFORMAT </w:instrText>
        </w:r>
        <w:r w:rsidRPr="00160B87">
          <w:rPr>
            <w:rFonts w:ascii="Arial" w:hAnsi="Arial" w:cs="Arial"/>
          </w:rPr>
          <w:fldChar w:fldCharType="separate"/>
        </w:r>
        <w:r w:rsidR="000329D2">
          <w:rPr>
            <w:rFonts w:ascii="Arial" w:hAnsi="Arial" w:cs="Arial"/>
            <w:noProof/>
          </w:rPr>
          <w:t>- 10 -</w:t>
        </w:r>
        <w:r w:rsidRPr="00160B87">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E15" w:rsidRDefault="00651E15" w:rsidP="005E2A00">
      <w:r>
        <w:separator/>
      </w:r>
    </w:p>
  </w:footnote>
  <w:footnote w:type="continuationSeparator" w:id="0">
    <w:p w:rsidR="00651E15" w:rsidRDefault="00651E15" w:rsidP="005E2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9F" w:rsidRDefault="0048339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0F" w:rsidRDefault="00FF1C0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0F" w:rsidRDefault="00FF1C0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0F" w:rsidRDefault="00FF1C0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0F" w:rsidRDefault="00FF1C0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0F" w:rsidRDefault="00FF1C0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0F" w:rsidRDefault="00FF1C0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9F" w:rsidRDefault="0048339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9F" w:rsidRDefault="0048339F">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9F" w:rsidRDefault="0048339F">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9F" w:rsidRDefault="004833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9F" w:rsidRDefault="0048339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9F" w:rsidRDefault="0048339F">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9F" w:rsidRDefault="004833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9F" w:rsidRDefault="004833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0F" w:rsidRDefault="00FF1C0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0F" w:rsidRDefault="00FF1C0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C0F" w:rsidRDefault="00FF1C0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9F" w:rsidRDefault="0048339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9F" w:rsidRDefault="0048339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9F" w:rsidRDefault="004833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225C"/>
    <w:multiLevelType w:val="hybridMultilevel"/>
    <w:tmpl w:val="CF58117E"/>
    <w:lvl w:ilvl="0" w:tplc="7D5C8F16">
      <w:numFmt w:val="bullet"/>
      <w:lvlText w:val="-"/>
      <w:lvlJc w:val="left"/>
      <w:pPr>
        <w:ind w:left="1740" w:hanging="138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F7352"/>
    <w:multiLevelType w:val="hybridMultilevel"/>
    <w:tmpl w:val="9E28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FE0D5B"/>
    <w:multiLevelType w:val="hybridMultilevel"/>
    <w:tmpl w:val="71B22EF2"/>
    <w:lvl w:ilvl="0" w:tplc="4368596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70"/>
    <w:rsid w:val="00000B6D"/>
    <w:rsid w:val="0000261E"/>
    <w:rsid w:val="00003235"/>
    <w:rsid w:val="00007736"/>
    <w:rsid w:val="0001001D"/>
    <w:rsid w:val="0001219F"/>
    <w:rsid w:val="00012316"/>
    <w:rsid w:val="00012C2D"/>
    <w:rsid w:val="00015B05"/>
    <w:rsid w:val="00021518"/>
    <w:rsid w:val="0002575C"/>
    <w:rsid w:val="00026CE1"/>
    <w:rsid w:val="000329D2"/>
    <w:rsid w:val="0004387E"/>
    <w:rsid w:val="0004676D"/>
    <w:rsid w:val="00053E78"/>
    <w:rsid w:val="00054582"/>
    <w:rsid w:val="00057816"/>
    <w:rsid w:val="00060385"/>
    <w:rsid w:val="00061D63"/>
    <w:rsid w:val="00061E21"/>
    <w:rsid w:val="00062D0C"/>
    <w:rsid w:val="000637C2"/>
    <w:rsid w:val="00064F26"/>
    <w:rsid w:val="00066015"/>
    <w:rsid w:val="0007396B"/>
    <w:rsid w:val="000740FE"/>
    <w:rsid w:val="00074389"/>
    <w:rsid w:val="00075206"/>
    <w:rsid w:val="00083F0B"/>
    <w:rsid w:val="00092997"/>
    <w:rsid w:val="00097A32"/>
    <w:rsid w:val="000A0AE3"/>
    <w:rsid w:val="000A20A6"/>
    <w:rsid w:val="000B0C75"/>
    <w:rsid w:val="000B1D11"/>
    <w:rsid w:val="000C43E1"/>
    <w:rsid w:val="000C7861"/>
    <w:rsid w:val="000D06C0"/>
    <w:rsid w:val="000D0A79"/>
    <w:rsid w:val="000D624F"/>
    <w:rsid w:val="000E03E3"/>
    <w:rsid w:val="000E68F8"/>
    <w:rsid w:val="000F0FFD"/>
    <w:rsid w:val="000F1135"/>
    <w:rsid w:val="000F2030"/>
    <w:rsid w:val="00100692"/>
    <w:rsid w:val="00103666"/>
    <w:rsid w:val="00104B0A"/>
    <w:rsid w:val="00105756"/>
    <w:rsid w:val="0010716B"/>
    <w:rsid w:val="00110DBD"/>
    <w:rsid w:val="001167C2"/>
    <w:rsid w:val="001273AE"/>
    <w:rsid w:val="001322A7"/>
    <w:rsid w:val="00132CC9"/>
    <w:rsid w:val="001407BE"/>
    <w:rsid w:val="00145B13"/>
    <w:rsid w:val="00146496"/>
    <w:rsid w:val="001464F9"/>
    <w:rsid w:val="00150CC5"/>
    <w:rsid w:val="00151038"/>
    <w:rsid w:val="00152E73"/>
    <w:rsid w:val="001545D2"/>
    <w:rsid w:val="001551F7"/>
    <w:rsid w:val="00160B87"/>
    <w:rsid w:val="00170A48"/>
    <w:rsid w:val="00171CCE"/>
    <w:rsid w:val="001741FA"/>
    <w:rsid w:val="0017493F"/>
    <w:rsid w:val="00174DAB"/>
    <w:rsid w:val="00182192"/>
    <w:rsid w:val="001855B7"/>
    <w:rsid w:val="0018591C"/>
    <w:rsid w:val="00191C30"/>
    <w:rsid w:val="001928CD"/>
    <w:rsid w:val="00193032"/>
    <w:rsid w:val="001A06BB"/>
    <w:rsid w:val="001A381E"/>
    <w:rsid w:val="001A778A"/>
    <w:rsid w:val="001B0F02"/>
    <w:rsid w:val="001B5A48"/>
    <w:rsid w:val="001B739A"/>
    <w:rsid w:val="001C5FD1"/>
    <w:rsid w:val="001C7C74"/>
    <w:rsid w:val="001D0DB6"/>
    <w:rsid w:val="001D2717"/>
    <w:rsid w:val="001D49C1"/>
    <w:rsid w:val="001D55C8"/>
    <w:rsid w:val="001D5696"/>
    <w:rsid w:val="001E31CB"/>
    <w:rsid w:val="001E7532"/>
    <w:rsid w:val="001F0A2C"/>
    <w:rsid w:val="001F3D3D"/>
    <w:rsid w:val="001F54D1"/>
    <w:rsid w:val="001F738A"/>
    <w:rsid w:val="00200481"/>
    <w:rsid w:val="0020301A"/>
    <w:rsid w:val="002127E2"/>
    <w:rsid w:val="002249EB"/>
    <w:rsid w:val="00227718"/>
    <w:rsid w:val="00233FB3"/>
    <w:rsid w:val="00237535"/>
    <w:rsid w:val="00240629"/>
    <w:rsid w:val="00242993"/>
    <w:rsid w:val="00254C2B"/>
    <w:rsid w:val="00256974"/>
    <w:rsid w:val="002A097E"/>
    <w:rsid w:val="002A40DA"/>
    <w:rsid w:val="002A5207"/>
    <w:rsid w:val="002B3D79"/>
    <w:rsid w:val="002C61BD"/>
    <w:rsid w:val="002C63A7"/>
    <w:rsid w:val="002D3442"/>
    <w:rsid w:val="002D4581"/>
    <w:rsid w:val="002E447C"/>
    <w:rsid w:val="002F03DE"/>
    <w:rsid w:val="002F3332"/>
    <w:rsid w:val="002F3DE3"/>
    <w:rsid w:val="00304C03"/>
    <w:rsid w:val="0030587F"/>
    <w:rsid w:val="00306FB7"/>
    <w:rsid w:val="00307B6E"/>
    <w:rsid w:val="00312052"/>
    <w:rsid w:val="003133E3"/>
    <w:rsid w:val="00314E35"/>
    <w:rsid w:val="003221A3"/>
    <w:rsid w:val="00322581"/>
    <w:rsid w:val="00325B0F"/>
    <w:rsid w:val="0032744C"/>
    <w:rsid w:val="003346C5"/>
    <w:rsid w:val="00334DDB"/>
    <w:rsid w:val="0034172E"/>
    <w:rsid w:val="00343C2B"/>
    <w:rsid w:val="00344301"/>
    <w:rsid w:val="00344CDD"/>
    <w:rsid w:val="00353288"/>
    <w:rsid w:val="00353B72"/>
    <w:rsid w:val="003557C5"/>
    <w:rsid w:val="00362058"/>
    <w:rsid w:val="0036254A"/>
    <w:rsid w:val="00364C8F"/>
    <w:rsid w:val="00367032"/>
    <w:rsid w:val="003701D0"/>
    <w:rsid w:val="003745CC"/>
    <w:rsid w:val="00375763"/>
    <w:rsid w:val="00376564"/>
    <w:rsid w:val="003819CF"/>
    <w:rsid w:val="00392DF4"/>
    <w:rsid w:val="003944C3"/>
    <w:rsid w:val="00395C66"/>
    <w:rsid w:val="003A2E25"/>
    <w:rsid w:val="003A628A"/>
    <w:rsid w:val="003C0D72"/>
    <w:rsid w:val="003C4157"/>
    <w:rsid w:val="003C5607"/>
    <w:rsid w:val="003D0F37"/>
    <w:rsid w:val="003E4581"/>
    <w:rsid w:val="003E703F"/>
    <w:rsid w:val="003F0080"/>
    <w:rsid w:val="00404797"/>
    <w:rsid w:val="00415A83"/>
    <w:rsid w:val="004163D6"/>
    <w:rsid w:val="00417BA1"/>
    <w:rsid w:val="004217BE"/>
    <w:rsid w:val="004224AC"/>
    <w:rsid w:val="00422A49"/>
    <w:rsid w:val="00422D29"/>
    <w:rsid w:val="00423ED4"/>
    <w:rsid w:val="004253EB"/>
    <w:rsid w:val="004340F7"/>
    <w:rsid w:val="00441453"/>
    <w:rsid w:val="004418A1"/>
    <w:rsid w:val="0044214F"/>
    <w:rsid w:val="0044516E"/>
    <w:rsid w:val="004501B5"/>
    <w:rsid w:val="00454FA7"/>
    <w:rsid w:val="004712A3"/>
    <w:rsid w:val="004714C1"/>
    <w:rsid w:val="00471F61"/>
    <w:rsid w:val="00475578"/>
    <w:rsid w:val="004771EF"/>
    <w:rsid w:val="00477B56"/>
    <w:rsid w:val="00481887"/>
    <w:rsid w:val="0048339F"/>
    <w:rsid w:val="00483652"/>
    <w:rsid w:val="00491053"/>
    <w:rsid w:val="00491D72"/>
    <w:rsid w:val="00496A30"/>
    <w:rsid w:val="004A3C46"/>
    <w:rsid w:val="004A421C"/>
    <w:rsid w:val="004A75C3"/>
    <w:rsid w:val="004B51AF"/>
    <w:rsid w:val="004B6A58"/>
    <w:rsid w:val="004B73E9"/>
    <w:rsid w:val="004C0D1E"/>
    <w:rsid w:val="004C448E"/>
    <w:rsid w:val="004C7C79"/>
    <w:rsid w:val="004C7E1B"/>
    <w:rsid w:val="004D0639"/>
    <w:rsid w:val="004D17F4"/>
    <w:rsid w:val="004D2644"/>
    <w:rsid w:val="004D48FB"/>
    <w:rsid w:val="004E12D6"/>
    <w:rsid w:val="004E6772"/>
    <w:rsid w:val="004E792F"/>
    <w:rsid w:val="004E7F40"/>
    <w:rsid w:val="004F00DD"/>
    <w:rsid w:val="004F0E6E"/>
    <w:rsid w:val="004F21DE"/>
    <w:rsid w:val="004F2716"/>
    <w:rsid w:val="004F5A51"/>
    <w:rsid w:val="00500A04"/>
    <w:rsid w:val="00502CDA"/>
    <w:rsid w:val="00503EE1"/>
    <w:rsid w:val="00512CFA"/>
    <w:rsid w:val="00520D7F"/>
    <w:rsid w:val="0052293D"/>
    <w:rsid w:val="005233E2"/>
    <w:rsid w:val="00525F3A"/>
    <w:rsid w:val="00526C4A"/>
    <w:rsid w:val="00533ACB"/>
    <w:rsid w:val="0054019C"/>
    <w:rsid w:val="00542877"/>
    <w:rsid w:val="00543487"/>
    <w:rsid w:val="00544C85"/>
    <w:rsid w:val="00545B94"/>
    <w:rsid w:val="00546BB7"/>
    <w:rsid w:val="005476FA"/>
    <w:rsid w:val="0055057A"/>
    <w:rsid w:val="00553451"/>
    <w:rsid w:val="005544FC"/>
    <w:rsid w:val="0055464A"/>
    <w:rsid w:val="00557CA2"/>
    <w:rsid w:val="00565EFD"/>
    <w:rsid w:val="005678C1"/>
    <w:rsid w:val="00570935"/>
    <w:rsid w:val="00573C82"/>
    <w:rsid w:val="005743F8"/>
    <w:rsid w:val="005770F1"/>
    <w:rsid w:val="0057722E"/>
    <w:rsid w:val="005823A2"/>
    <w:rsid w:val="0058470E"/>
    <w:rsid w:val="0058490C"/>
    <w:rsid w:val="0059093A"/>
    <w:rsid w:val="00590DDE"/>
    <w:rsid w:val="00591BEB"/>
    <w:rsid w:val="0059425F"/>
    <w:rsid w:val="005A2E27"/>
    <w:rsid w:val="005A4B5E"/>
    <w:rsid w:val="005B56C7"/>
    <w:rsid w:val="005B7853"/>
    <w:rsid w:val="005B7F88"/>
    <w:rsid w:val="005C4D25"/>
    <w:rsid w:val="005D0D92"/>
    <w:rsid w:val="005D1D5E"/>
    <w:rsid w:val="005E0792"/>
    <w:rsid w:val="005E266C"/>
    <w:rsid w:val="005E2A00"/>
    <w:rsid w:val="005E2B48"/>
    <w:rsid w:val="005E3330"/>
    <w:rsid w:val="005E738C"/>
    <w:rsid w:val="005F40A1"/>
    <w:rsid w:val="005F5D78"/>
    <w:rsid w:val="0060042C"/>
    <w:rsid w:val="00600EC2"/>
    <w:rsid w:val="006014F0"/>
    <w:rsid w:val="006034E3"/>
    <w:rsid w:val="006038C1"/>
    <w:rsid w:val="00604EF8"/>
    <w:rsid w:val="0060640C"/>
    <w:rsid w:val="00606871"/>
    <w:rsid w:val="00607D58"/>
    <w:rsid w:val="006144E6"/>
    <w:rsid w:val="00621F07"/>
    <w:rsid w:val="006239A3"/>
    <w:rsid w:val="00626593"/>
    <w:rsid w:val="00635ED0"/>
    <w:rsid w:val="00637FB0"/>
    <w:rsid w:val="00644CAC"/>
    <w:rsid w:val="00650BEF"/>
    <w:rsid w:val="00651A2F"/>
    <w:rsid w:val="00651E15"/>
    <w:rsid w:val="00651E39"/>
    <w:rsid w:val="00655CD6"/>
    <w:rsid w:val="006563D7"/>
    <w:rsid w:val="0065659A"/>
    <w:rsid w:val="00657C6A"/>
    <w:rsid w:val="0066476D"/>
    <w:rsid w:val="00666150"/>
    <w:rsid w:val="00667FC8"/>
    <w:rsid w:val="00670CF5"/>
    <w:rsid w:val="006754E9"/>
    <w:rsid w:val="00675CD8"/>
    <w:rsid w:val="00680A3A"/>
    <w:rsid w:val="00686937"/>
    <w:rsid w:val="00686AD1"/>
    <w:rsid w:val="00687598"/>
    <w:rsid w:val="00691B92"/>
    <w:rsid w:val="00692167"/>
    <w:rsid w:val="00693748"/>
    <w:rsid w:val="006A03A6"/>
    <w:rsid w:val="006A0946"/>
    <w:rsid w:val="006A4C6A"/>
    <w:rsid w:val="006A7F6E"/>
    <w:rsid w:val="006B0873"/>
    <w:rsid w:val="006B258B"/>
    <w:rsid w:val="006B5BF1"/>
    <w:rsid w:val="006B67BF"/>
    <w:rsid w:val="006B7B5C"/>
    <w:rsid w:val="006C4830"/>
    <w:rsid w:val="006C4D00"/>
    <w:rsid w:val="006D1B53"/>
    <w:rsid w:val="006D55A0"/>
    <w:rsid w:val="006D5D5F"/>
    <w:rsid w:val="006D69A6"/>
    <w:rsid w:val="006E05F6"/>
    <w:rsid w:val="006F27B0"/>
    <w:rsid w:val="006F4196"/>
    <w:rsid w:val="00701043"/>
    <w:rsid w:val="0070351C"/>
    <w:rsid w:val="00703845"/>
    <w:rsid w:val="007053BF"/>
    <w:rsid w:val="00710724"/>
    <w:rsid w:val="0071142D"/>
    <w:rsid w:val="0071151E"/>
    <w:rsid w:val="0071347A"/>
    <w:rsid w:val="00713A90"/>
    <w:rsid w:val="00720F71"/>
    <w:rsid w:val="00721624"/>
    <w:rsid w:val="00725150"/>
    <w:rsid w:val="007309A5"/>
    <w:rsid w:val="00730D4A"/>
    <w:rsid w:val="00731E2C"/>
    <w:rsid w:val="007346A2"/>
    <w:rsid w:val="00737BD5"/>
    <w:rsid w:val="00741806"/>
    <w:rsid w:val="00744671"/>
    <w:rsid w:val="00746FDA"/>
    <w:rsid w:val="00747F9E"/>
    <w:rsid w:val="00753FEC"/>
    <w:rsid w:val="00754773"/>
    <w:rsid w:val="0076175D"/>
    <w:rsid w:val="00764FA4"/>
    <w:rsid w:val="00765C83"/>
    <w:rsid w:val="00766FC8"/>
    <w:rsid w:val="00771E67"/>
    <w:rsid w:val="00776944"/>
    <w:rsid w:val="00776A05"/>
    <w:rsid w:val="00782312"/>
    <w:rsid w:val="00785F49"/>
    <w:rsid w:val="00790C99"/>
    <w:rsid w:val="007A1D3C"/>
    <w:rsid w:val="007A2E01"/>
    <w:rsid w:val="007A397D"/>
    <w:rsid w:val="007A56D9"/>
    <w:rsid w:val="007A570F"/>
    <w:rsid w:val="007A68AF"/>
    <w:rsid w:val="007B0F67"/>
    <w:rsid w:val="007B11B6"/>
    <w:rsid w:val="007B39AF"/>
    <w:rsid w:val="007D37DF"/>
    <w:rsid w:val="007D3989"/>
    <w:rsid w:val="007D4251"/>
    <w:rsid w:val="007E0A17"/>
    <w:rsid w:val="007E0B70"/>
    <w:rsid w:val="007E5138"/>
    <w:rsid w:val="007F2FA1"/>
    <w:rsid w:val="007F5C8C"/>
    <w:rsid w:val="007F62BA"/>
    <w:rsid w:val="0080344A"/>
    <w:rsid w:val="00805C1C"/>
    <w:rsid w:val="00810987"/>
    <w:rsid w:val="00810BD8"/>
    <w:rsid w:val="0081455F"/>
    <w:rsid w:val="00815A53"/>
    <w:rsid w:val="00824BF7"/>
    <w:rsid w:val="00825C50"/>
    <w:rsid w:val="008309C1"/>
    <w:rsid w:val="008315DA"/>
    <w:rsid w:val="00832300"/>
    <w:rsid w:val="008330CF"/>
    <w:rsid w:val="00833D97"/>
    <w:rsid w:val="008374F3"/>
    <w:rsid w:val="00841E65"/>
    <w:rsid w:val="00842215"/>
    <w:rsid w:val="0084316D"/>
    <w:rsid w:val="00844282"/>
    <w:rsid w:val="0085078A"/>
    <w:rsid w:val="008519A4"/>
    <w:rsid w:val="00860D37"/>
    <w:rsid w:val="00862676"/>
    <w:rsid w:val="00864E82"/>
    <w:rsid w:val="0087384C"/>
    <w:rsid w:val="00875EEA"/>
    <w:rsid w:val="00882341"/>
    <w:rsid w:val="00886502"/>
    <w:rsid w:val="00895078"/>
    <w:rsid w:val="008A05E1"/>
    <w:rsid w:val="008A2A2B"/>
    <w:rsid w:val="008A4310"/>
    <w:rsid w:val="008A6A90"/>
    <w:rsid w:val="008B06D2"/>
    <w:rsid w:val="008B185C"/>
    <w:rsid w:val="008B1C27"/>
    <w:rsid w:val="008B5DDA"/>
    <w:rsid w:val="008B66EC"/>
    <w:rsid w:val="008B7119"/>
    <w:rsid w:val="008C002E"/>
    <w:rsid w:val="008C0562"/>
    <w:rsid w:val="008C3AC2"/>
    <w:rsid w:val="008C5FE1"/>
    <w:rsid w:val="008D356B"/>
    <w:rsid w:val="008D4518"/>
    <w:rsid w:val="008D5451"/>
    <w:rsid w:val="008E1185"/>
    <w:rsid w:val="008E23D1"/>
    <w:rsid w:val="008E45BC"/>
    <w:rsid w:val="008E6F4D"/>
    <w:rsid w:val="008E7F63"/>
    <w:rsid w:val="008F31D3"/>
    <w:rsid w:val="008F694E"/>
    <w:rsid w:val="008F7BE0"/>
    <w:rsid w:val="00901213"/>
    <w:rsid w:val="00903FE8"/>
    <w:rsid w:val="00906F05"/>
    <w:rsid w:val="00911E78"/>
    <w:rsid w:val="00912C39"/>
    <w:rsid w:val="00914CE6"/>
    <w:rsid w:val="009172DB"/>
    <w:rsid w:val="009176F9"/>
    <w:rsid w:val="00920C6F"/>
    <w:rsid w:val="009237F3"/>
    <w:rsid w:val="009240FB"/>
    <w:rsid w:val="009256DA"/>
    <w:rsid w:val="009350D1"/>
    <w:rsid w:val="009365FD"/>
    <w:rsid w:val="009372EF"/>
    <w:rsid w:val="00954271"/>
    <w:rsid w:val="00957C23"/>
    <w:rsid w:val="00962174"/>
    <w:rsid w:val="00965331"/>
    <w:rsid w:val="00965929"/>
    <w:rsid w:val="00965F80"/>
    <w:rsid w:val="00967346"/>
    <w:rsid w:val="009709E9"/>
    <w:rsid w:val="0097236F"/>
    <w:rsid w:val="00972C29"/>
    <w:rsid w:val="00973E65"/>
    <w:rsid w:val="00975A60"/>
    <w:rsid w:val="00977EA5"/>
    <w:rsid w:val="00980B74"/>
    <w:rsid w:val="00980F9F"/>
    <w:rsid w:val="00983221"/>
    <w:rsid w:val="0099113D"/>
    <w:rsid w:val="00991DAD"/>
    <w:rsid w:val="00992FE4"/>
    <w:rsid w:val="009930DB"/>
    <w:rsid w:val="00994AC7"/>
    <w:rsid w:val="00994C1A"/>
    <w:rsid w:val="00995C17"/>
    <w:rsid w:val="009A01D2"/>
    <w:rsid w:val="009A1178"/>
    <w:rsid w:val="009A73FB"/>
    <w:rsid w:val="009A741C"/>
    <w:rsid w:val="009B2223"/>
    <w:rsid w:val="009B25F5"/>
    <w:rsid w:val="009B6C6B"/>
    <w:rsid w:val="009C65F8"/>
    <w:rsid w:val="009C7B2F"/>
    <w:rsid w:val="009D0E10"/>
    <w:rsid w:val="009D1231"/>
    <w:rsid w:val="009D3F69"/>
    <w:rsid w:val="009D410C"/>
    <w:rsid w:val="009E2197"/>
    <w:rsid w:val="009E3DAB"/>
    <w:rsid w:val="009E4A32"/>
    <w:rsid w:val="009E69E3"/>
    <w:rsid w:val="009F1180"/>
    <w:rsid w:val="009F4EDB"/>
    <w:rsid w:val="009F79F3"/>
    <w:rsid w:val="009F7E82"/>
    <w:rsid w:val="00A002E2"/>
    <w:rsid w:val="00A00F0C"/>
    <w:rsid w:val="00A01366"/>
    <w:rsid w:val="00A05329"/>
    <w:rsid w:val="00A10018"/>
    <w:rsid w:val="00A11560"/>
    <w:rsid w:val="00A213AC"/>
    <w:rsid w:val="00A218C3"/>
    <w:rsid w:val="00A269DE"/>
    <w:rsid w:val="00A42758"/>
    <w:rsid w:val="00A4515D"/>
    <w:rsid w:val="00A45384"/>
    <w:rsid w:val="00A4722A"/>
    <w:rsid w:val="00A60325"/>
    <w:rsid w:val="00A67CC5"/>
    <w:rsid w:val="00A81826"/>
    <w:rsid w:val="00A819DB"/>
    <w:rsid w:val="00A831B9"/>
    <w:rsid w:val="00A849B7"/>
    <w:rsid w:val="00A94868"/>
    <w:rsid w:val="00A95D4A"/>
    <w:rsid w:val="00A96589"/>
    <w:rsid w:val="00AA1181"/>
    <w:rsid w:val="00AB1910"/>
    <w:rsid w:val="00AB22F3"/>
    <w:rsid w:val="00AB24D8"/>
    <w:rsid w:val="00AB2F09"/>
    <w:rsid w:val="00AB4297"/>
    <w:rsid w:val="00AB63D4"/>
    <w:rsid w:val="00AB6F5C"/>
    <w:rsid w:val="00AB75B1"/>
    <w:rsid w:val="00AC4BF6"/>
    <w:rsid w:val="00AC6959"/>
    <w:rsid w:val="00AD327E"/>
    <w:rsid w:val="00AD50EE"/>
    <w:rsid w:val="00AD5A4D"/>
    <w:rsid w:val="00AE4C99"/>
    <w:rsid w:val="00AF0532"/>
    <w:rsid w:val="00AF1F15"/>
    <w:rsid w:val="00AF39D1"/>
    <w:rsid w:val="00AF5835"/>
    <w:rsid w:val="00AF6170"/>
    <w:rsid w:val="00AF6307"/>
    <w:rsid w:val="00B0095F"/>
    <w:rsid w:val="00B00F8C"/>
    <w:rsid w:val="00B013DF"/>
    <w:rsid w:val="00B02C1A"/>
    <w:rsid w:val="00B044E8"/>
    <w:rsid w:val="00B067E3"/>
    <w:rsid w:val="00B10A8B"/>
    <w:rsid w:val="00B13816"/>
    <w:rsid w:val="00B16CD0"/>
    <w:rsid w:val="00B20D4A"/>
    <w:rsid w:val="00B24CA7"/>
    <w:rsid w:val="00B31883"/>
    <w:rsid w:val="00B36A4D"/>
    <w:rsid w:val="00B407C9"/>
    <w:rsid w:val="00B469F4"/>
    <w:rsid w:val="00B46C33"/>
    <w:rsid w:val="00B46EED"/>
    <w:rsid w:val="00B47330"/>
    <w:rsid w:val="00B50507"/>
    <w:rsid w:val="00B527CF"/>
    <w:rsid w:val="00B723BB"/>
    <w:rsid w:val="00B76449"/>
    <w:rsid w:val="00B9048F"/>
    <w:rsid w:val="00B92CDA"/>
    <w:rsid w:val="00B92D69"/>
    <w:rsid w:val="00B93175"/>
    <w:rsid w:val="00B94ACC"/>
    <w:rsid w:val="00B95A25"/>
    <w:rsid w:val="00BA2DFF"/>
    <w:rsid w:val="00BA7AB1"/>
    <w:rsid w:val="00BA7FBF"/>
    <w:rsid w:val="00BB0708"/>
    <w:rsid w:val="00BB1777"/>
    <w:rsid w:val="00BB2F02"/>
    <w:rsid w:val="00BB35D7"/>
    <w:rsid w:val="00BB5A87"/>
    <w:rsid w:val="00BC0157"/>
    <w:rsid w:val="00BC03B2"/>
    <w:rsid w:val="00BC0BF8"/>
    <w:rsid w:val="00BC3472"/>
    <w:rsid w:val="00BC5639"/>
    <w:rsid w:val="00BC6CAB"/>
    <w:rsid w:val="00BD2031"/>
    <w:rsid w:val="00BD470B"/>
    <w:rsid w:val="00BE24BD"/>
    <w:rsid w:val="00BE5009"/>
    <w:rsid w:val="00BE69B1"/>
    <w:rsid w:val="00BF1805"/>
    <w:rsid w:val="00BF1B64"/>
    <w:rsid w:val="00BF39C4"/>
    <w:rsid w:val="00BF7F33"/>
    <w:rsid w:val="00C03B5F"/>
    <w:rsid w:val="00C0738C"/>
    <w:rsid w:val="00C170B9"/>
    <w:rsid w:val="00C20715"/>
    <w:rsid w:val="00C24D82"/>
    <w:rsid w:val="00C25E83"/>
    <w:rsid w:val="00C26FE9"/>
    <w:rsid w:val="00C272E8"/>
    <w:rsid w:val="00C30BD6"/>
    <w:rsid w:val="00C325A1"/>
    <w:rsid w:val="00C428B6"/>
    <w:rsid w:val="00C42E04"/>
    <w:rsid w:val="00C50097"/>
    <w:rsid w:val="00C5320E"/>
    <w:rsid w:val="00C53765"/>
    <w:rsid w:val="00C54169"/>
    <w:rsid w:val="00C6494A"/>
    <w:rsid w:val="00C73A49"/>
    <w:rsid w:val="00C74A61"/>
    <w:rsid w:val="00C7527C"/>
    <w:rsid w:val="00C7649B"/>
    <w:rsid w:val="00C804B0"/>
    <w:rsid w:val="00C850E1"/>
    <w:rsid w:val="00C86E88"/>
    <w:rsid w:val="00C8745C"/>
    <w:rsid w:val="00C87D39"/>
    <w:rsid w:val="00CA0112"/>
    <w:rsid w:val="00CA0E39"/>
    <w:rsid w:val="00CA2626"/>
    <w:rsid w:val="00CA43D4"/>
    <w:rsid w:val="00CA5106"/>
    <w:rsid w:val="00CA571D"/>
    <w:rsid w:val="00CA670B"/>
    <w:rsid w:val="00CB393D"/>
    <w:rsid w:val="00CB4507"/>
    <w:rsid w:val="00CB7699"/>
    <w:rsid w:val="00CE031F"/>
    <w:rsid w:val="00CE311A"/>
    <w:rsid w:val="00CE6285"/>
    <w:rsid w:val="00CE7951"/>
    <w:rsid w:val="00CE7FE7"/>
    <w:rsid w:val="00CF1577"/>
    <w:rsid w:val="00CF161E"/>
    <w:rsid w:val="00CF2099"/>
    <w:rsid w:val="00CF6E5F"/>
    <w:rsid w:val="00CF788E"/>
    <w:rsid w:val="00D01F55"/>
    <w:rsid w:val="00D04B64"/>
    <w:rsid w:val="00D05077"/>
    <w:rsid w:val="00D05090"/>
    <w:rsid w:val="00D054BC"/>
    <w:rsid w:val="00D06294"/>
    <w:rsid w:val="00D10BD0"/>
    <w:rsid w:val="00D11AA7"/>
    <w:rsid w:val="00D13C6A"/>
    <w:rsid w:val="00D155A1"/>
    <w:rsid w:val="00D16586"/>
    <w:rsid w:val="00D20CBA"/>
    <w:rsid w:val="00D2141E"/>
    <w:rsid w:val="00D23CA5"/>
    <w:rsid w:val="00D243EA"/>
    <w:rsid w:val="00D26ACA"/>
    <w:rsid w:val="00D30A48"/>
    <w:rsid w:val="00D32075"/>
    <w:rsid w:val="00D36792"/>
    <w:rsid w:val="00D41F34"/>
    <w:rsid w:val="00D42102"/>
    <w:rsid w:val="00D44194"/>
    <w:rsid w:val="00D44A25"/>
    <w:rsid w:val="00D4755E"/>
    <w:rsid w:val="00D51858"/>
    <w:rsid w:val="00D53D77"/>
    <w:rsid w:val="00D542A8"/>
    <w:rsid w:val="00D549A7"/>
    <w:rsid w:val="00D575D9"/>
    <w:rsid w:val="00D629D1"/>
    <w:rsid w:val="00D62C56"/>
    <w:rsid w:val="00D7184E"/>
    <w:rsid w:val="00D72E7B"/>
    <w:rsid w:val="00D739B9"/>
    <w:rsid w:val="00D74869"/>
    <w:rsid w:val="00D83C3C"/>
    <w:rsid w:val="00D85B19"/>
    <w:rsid w:val="00D90F24"/>
    <w:rsid w:val="00D933D4"/>
    <w:rsid w:val="00D96FE1"/>
    <w:rsid w:val="00DA5521"/>
    <w:rsid w:val="00DA634E"/>
    <w:rsid w:val="00DA6445"/>
    <w:rsid w:val="00DA7513"/>
    <w:rsid w:val="00DB2DF3"/>
    <w:rsid w:val="00DB2EBE"/>
    <w:rsid w:val="00DB319D"/>
    <w:rsid w:val="00DB42FB"/>
    <w:rsid w:val="00DB48F0"/>
    <w:rsid w:val="00DB4E15"/>
    <w:rsid w:val="00DC123F"/>
    <w:rsid w:val="00DC1875"/>
    <w:rsid w:val="00DC2440"/>
    <w:rsid w:val="00DC2F81"/>
    <w:rsid w:val="00DC3CF8"/>
    <w:rsid w:val="00DC5C32"/>
    <w:rsid w:val="00DD0C42"/>
    <w:rsid w:val="00DE0BC3"/>
    <w:rsid w:val="00DE100D"/>
    <w:rsid w:val="00DE149A"/>
    <w:rsid w:val="00DE3A51"/>
    <w:rsid w:val="00DE4920"/>
    <w:rsid w:val="00DF2D99"/>
    <w:rsid w:val="00DF33A7"/>
    <w:rsid w:val="00DF4C98"/>
    <w:rsid w:val="00DF7BE0"/>
    <w:rsid w:val="00E01EB3"/>
    <w:rsid w:val="00E02152"/>
    <w:rsid w:val="00E035AE"/>
    <w:rsid w:val="00E041CE"/>
    <w:rsid w:val="00E16A84"/>
    <w:rsid w:val="00E17EC0"/>
    <w:rsid w:val="00E20709"/>
    <w:rsid w:val="00E2145A"/>
    <w:rsid w:val="00E2248D"/>
    <w:rsid w:val="00E224DB"/>
    <w:rsid w:val="00E25FAC"/>
    <w:rsid w:val="00E26A3A"/>
    <w:rsid w:val="00E305AD"/>
    <w:rsid w:val="00E36E15"/>
    <w:rsid w:val="00E37D70"/>
    <w:rsid w:val="00E40339"/>
    <w:rsid w:val="00E44DD7"/>
    <w:rsid w:val="00E46475"/>
    <w:rsid w:val="00E51D7F"/>
    <w:rsid w:val="00E51FEF"/>
    <w:rsid w:val="00E532F3"/>
    <w:rsid w:val="00E56159"/>
    <w:rsid w:val="00E62565"/>
    <w:rsid w:val="00E62B1A"/>
    <w:rsid w:val="00E6312A"/>
    <w:rsid w:val="00E63E64"/>
    <w:rsid w:val="00E67E81"/>
    <w:rsid w:val="00E83205"/>
    <w:rsid w:val="00E83CEC"/>
    <w:rsid w:val="00E84367"/>
    <w:rsid w:val="00E90333"/>
    <w:rsid w:val="00E95DFA"/>
    <w:rsid w:val="00EA0C86"/>
    <w:rsid w:val="00EA3B73"/>
    <w:rsid w:val="00EA51BC"/>
    <w:rsid w:val="00EA56DD"/>
    <w:rsid w:val="00EA6010"/>
    <w:rsid w:val="00EB18F7"/>
    <w:rsid w:val="00EB5774"/>
    <w:rsid w:val="00EB5F3C"/>
    <w:rsid w:val="00EC28DD"/>
    <w:rsid w:val="00EC74C4"/>
    <w:rsid w:val="00ED0732"/>
    <w:rsid w:val="00ED42F8"/>
    <w:rsid w:val="00ED59A1"/>
    <w:rsid w:val="00EE259F"/>
    <w:rsid w:val="00EE5E76"/>
    <w:rsid w:val="00EE6BA7"/>
    <w:rsid w:val="00EF260E"/>
    <w:rsid w:val="00EF53B4"/>
    <w:rsid w:val="00EF66F2"/>
    <w:rsid w:val="00EF7615"/>
    <w:rsid w:val="00EF7773"/>
    <w:rsid w:val="00F00643"/>
    <w:rsid w:val="00F0258F"/>
    <w:rsid w:val="00F04506"/>
    <w:rsid w:val="00F04EEB"/>
    <w:rsid w:val="00F12A7F"/>
    <w:rsid w:val="00F1464C"/>
    <w:rsid w:val="00F16976"/>
    <w:rsid w:val="00F21BEB"/>
    <w:rsid w:val="00F2273F"/>
    <w:rsid w:val="00F309E9"/>
    <w:rsid w:val="00F33713"/>
    <w:rsid w:val="00F36702"/>
    <w:rsid w:val="00F40355"/>
    <w:rsid w:val="00F4151D"/>
    <w:rsid w:val="00F42EE6"/>
    <w:rsid w:val="00F44333"/>
    <w:rsid w:val="00F4617C"/>
    <w:rsid w:val="00F46995"/>
    <w:rsid w:val="00F47217"/>
    <w:rsid w:val="00F51952"/>
    <w:rsid w:val="00F51E91"/>
    <w:rsid w:val="00F52420"/>
    <w:rsid w:val="00F60391"/>
    <w:rsid w:val="00F701A0"/>
    <w:rsid w:val="00F710BF"/>
    <w:rsid w:val="00F7784F"/>
    <w:rsid w:val="00F8542F"/>
    <w:rsid w:val="00F86E61"/>
    <w:rsid w:val="00F86ED6"/>
    <w:rsid w:val="00F911D3"/>
    <w:rsid w:val="00F9274E"/>
    <w:rsid w:val="00F9396B"/>
    <w:rsid w:val="00F93F28"/>
    <w:rsid w:val="00F971DD"/>
    <w:rsid w:val="00FA211E"/>
    <w:rsid w:val="00FA5724"/>
    <w:rsid w:val="00FA57CA"/>
    <w:rsid w:val="00FA5FEB"/>
    <w:rsid w:val="00FA622C"/>
    <w:rsid w:val="00FB045E"/>
    <w:rsid w:val="00FB4BF0"/>
    <w:rsid w:val="00FB719E"/>
    <w:rsid w:val="00FC5F5C"/>
    <w:rsid w:val="00FC742D"/>
    <w:rsid w:val="00FD1303"/>
    <w:rsid w:val="00FD275C"/>
    <w:rsid w:val="00FD4216"/>
    <w:rsid w:val="00FD584D"/>
    <w:rsid w:val="00FE2FE7"/>
    <w:rsid w:val="00FE3536"/>
    <w:rsid w:val="00FF1C0F"/>
    <w:rsid w:val="00FF41CC"/>
    <w:rsid w:val="00FF46D5"/>
    <w:rsid w:val="00FF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70"/>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rPr>
  </w:style>
  <w:style w:type="paragraph" w:styleId="Heading1">
    <w:name w:val="heading 1"/>
    <w:basedOn w:val="Normal"/>
    <w:next w:val="Normal"/>
    <w:link w:val="Heading1Char"/>
    <w:qFormat/>
    <w:rsid w:val="007E0B70"/>
    <w:pPr>
      <w:keepNext/>
      <w:tabs>
        <w:tab w:val="center" w:pos="4680"/>
      </w:tabs>
      <w:suppressAutoHyphens/>
      <w:jc w:val="center"/>
      <w:outlineLvl w:val="0"/>
    </w:pPr>
    <w:rPr>
      <w:b/>
      <w:u w:val="single"/>
    </w:rPr>
  </w:style>
  <w:style w:type="paragraph" w:styleId="Heading4">
    <w:name w:val="heading 4"/>
    <w:basedOn w:val="Normal"/>
    <w:next w:val="Normal"/>
    <w:link w:val="Heading4Char"/>
    <w:qFormat/>
    <w:rsid w:val="007E0B70"/>
    <w:pPr>
      <w:keepNext/>
      <w:tabs>
        <w:tab w:val="center" w:pos="4680"/>
      </w:tabs>
      <w:suppressAutoHyphens/>
      <w:jc w:val="center"/>
      <w:outlineLvl w:val="3"/>
    </w:pPr>
    <w:rPr>
      <w:b/>
      <w:sz w:val="32"/>
      <w:u w:val="single"/>
    </w:rPr>
  </w:style>
  <w:style w:type="paragraph" w:styleId="Heading6">
    <w:name w:val="heading 6"/>
    <w:basedOn w:val="Normal"/>
    <w:next w:val="Normal"/>
    <w:link w:val="Heading6Char"/>
    <w:uiPriority w:val="9"/>
    <w:semiHidden/>
    <w:unhideWhenUsed/>
    <w:qFormat/>
    <w:rsid w:val="004F00D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7E0B70"/>
    <w:pPr>
      <w:keepNext/>
      <w:suppressAutoHyphens/>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70"/>
    <w:rPr>
      <w:rFonts w:ascii="Book Antiqua" w:eastAsia="Times New Roman" w:hAnsi="Book Antiqua" w:cs="Times New Roman"/>
      <w:b/>
      <w:sz w:val="24"/>
      <w:szCs w:val="20"/>
      <w:u w:val="single"/>
    </w:rPr>
  </w:style>
  <w:style w:type="character" w:customStyle="1" w:styleId="Heading4Char">
    <w:name w:val="Heading 4 Char"/>
    <w:basedOn w:val="DefaultParagraphFont"/>
    <w:link w:val="Heading4"/>
    <w:rsid w:val="007E0B70"/>
    <w:rPr>
      <w:rFonts w:ascii="Book Antiqua" w:eastAsia="Times New Roman" w:hAnsi="Book Antiqua" w:cs="Times New Roman"/>
      <w:b/>
      <w:sz w:val="32"/>
      <w:szCs w:val="20"/>
      <w:u w:val="single"/>
    </w:rPr>
  </w:style>
  <w:style w:type="character" w:customStyle="1" w:styleId="Heading8Char">
    <w:name w:val="Heading 8 Char"/>
    <w:basedOn w:val="DefaultParagraphFont"/>
    <w:link w:val="Heading8"/>
    <w:rsid w:val="007E0B70"/>
    <w:rPr>
      <w:rFonts w:ascii="Book Antiqua" w:eastAsia="Times New Roman" w:hAnsi="Book Antiqua" w:cs="Times New Roman"/>
      <w:b/>
      <w:sz w:val="36"/>
      <w:szCs w:val="20"/>
    </w:rPr>
  </w:style>
  <w:style w:type="paragraph" w:styleId="BodyText2">
    <w:name w:val="Body Text 2"/>
    <w:basedOn w:val="Normal"/>
    <w:link w:val="BodyText2Char"/>
    <w:rsid w:val="007E0B70"/>
    <w:pPr>
      <w:tabs>
        <w:tab w:val="center" w:pos="4680"/>
      </w:tabs>
      <w:suppressAutoHyphens/>
      <w:jc w:val="center"/>
    </w:pPr>
    <w:rPr>
      <w:b/>
      <w:sz w:val="36"/>
    </w:rPr>
  </w:style>
  <w:style w:type="character" w:customStyle="1" w:styleId="BodyText2Char">
    <w:name w:val="Body Text 2 Char"/>
    <w:basedOn w:val="DefaultParagraphFont"/>
    <w:link w:val="BodyText2"/>
    <w:rsid w:val="007E0B70"/>
    <w:rPr>
      <w:rFonts w:ascii="Book Antiqua" w:eastAsia="Times New Roman" w:hAnsi="Book Antiqua" w:cs="Times New Roman"/>
      <w:b/>
      <w:sz w:val="36"/>
      <w:szCs w:val="20"/>
    </w:rPr>
  </w:style>
  <w:style w:type="paragraph" w:styleId="EndnoteText">
    <w:name w:val="endnote text"/>
    <w:basedOn w:val="Normal"/>
    <w:link w:val="EndnoteTextChar"/>
    <w:semiHidden/>
    <w:rsid w:val="007E0B70"/>
  </w:style>
  <w:style w:type="character" w:customStyle="1" w:styleId="EndnoteTextChar">
    <w:name w:val="Endnote Text Char"/>
    <w:basedOn w:val="DefaultParagraphFont"/>
    <w:link w:val="EndnoteText"/>
    <w:semiHidden/>
    <w:rsid w:val="007E0B70"/>
    <w:rPr>
      <w:rFonts w:ascii="Book Antiqua" w:eastAsia="Times New Roman" w:hAnsi="Book Antiqua" w:cs="Times New Roman"/>
      <w:sz w:val="24"/>
      <w:szCs w:val="20"/>
    </w:rPr>
  </w:style>
  <w:style w:type="paragraph" w:styleId="Footer">
    <w:name w:val="footer"/>
    <w:basedOn w:val="Normal"/>
    <w:link w:val="FooterChar"/>
    <w:uiPriority w:val="99"/>
    <w:rsid w:val="007E0B70"/>
    <w:pPr>
      <w:tabs>
        <w:tab w:val="center" w:pos="4320"/>
        <w:tab w:val="right" w:pos="8640"/>
      </w:tabs>
    </w:pPr>
  </w:style>
  <w:style w:type="character" w:customStyle="1" w:styleId="FooterChar">
    <w:name w:val="Footer Char"/>
    <w:basedOn w:val="DefaultParagraphFont"/>
    <w:link w:val="Footer"/>
    <w:uiPriority w:val="99"/>
    <w:rsid w:val="007E0B70"/>
    <w:rPr>
      <w:rFonts w:ascii="Book Antiqua" w:eastAsia="Times New Roman" w:hAnsi="Book Antiqua" w:cs="Times New Roman"/>
      <w:sz w:val="24"/>
      <w:szCs w:val="20"/>
    </w:rPr>
  </w:style>
  <w:style w:type="paragraph" w:styleId="Header">
    <w:name w:val="header"/>
    <w:basedOn w:val="Normal"/>
    <w:link w:val="HeaderChar"/>
    <w:rsid w:val="007E0B70"/>
    <w:pPr>
      <w:tabs>
        <w:tab w:val="center" w:pos="4320"/>
        <w:tab w:val="right" w:pos="8640"/>
      </w:tabs>
    </w:pPr>
  </w:style>
  <w:style w:type="character" w:customStyle="1" w:styleId="HeaderChar">
    <w:name w:val="Header Char"/>
    <w:basedOn w:val="DefaultParagraphFont"/>
    <w:link w:val="Header"/>
    <w:rsid w:val="007E0B70"/>
    <w:rPr>
      <w:rFonts w:ascii="Book Antiqua" w:eastAsia="Times New Roman" w:hAnsi="Book Antiqua" w:cs="Times New Roman"/>
      <w:sz w:val="24"/>
      <w:szCs w:val="20"/>
    </w:rPr>
  </w:style>
  <w:style w:type="paragraph" w:styleId="Title">
    <w:name w:val="Title"/>
    <w:basedOn w:val="Normal"/>
    <w:link w:val="TitleChar"/>
    <w:qFormat/>
    <w:rsid w:val="007E0B70"/>
    <w:pPr>
      <w:overflowPunct/>
      <w:autoSpaceDE/>
      <w:autoSpaceDN/>
      <w:adjustRightInd/>
      <w:jc w:val="center"/>
      <w:textAlignment w:val="auto"/>
    </w:pPr>
    <w:rPr>
      <w:rFonts w:ascii="Times New Roman" w:hAnsi="Times New Roman"/>
      <w:b/>
      <w:sz w:val="32"/>
      <w:u w:val="single"/>
    </w:rPr>
  </w:style>
  <w:style w:type="character" w:customStyle="1" w:styleId="TitleChar">
    <w:name w:val="Title Char"/>
    <w:basedOn w:val="DefaultParagraphFont"/>
    <w:link w:val="Title"/>
    <w:rsid w:val="007E0B70"/>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7E0B70"/>
    <w:rPr>
      <w:rFonts w:ascii="Tahoma" w:hAnsi="Tahoma" w:cs="Tahoma"/>
      <w:sz w:val="16"/>
      <w:szCs w:val="16"/>
    </w:rPr>
  </w:style>
  <w:style w:type="character" w:customStyle="1" w:styleId="BalloonTextChar">
    <w:name w:val="Balloon Text Char"/>
    <w:basedOn w:val="DefaultParagraphFont"/>
    <w:link w:val="BalloonText"/>
    <w:uiPriority w:val="99"/>
    <w:semiHidden/>
    <w:rsid w:val="007E0B70"/>
    <w:rPr>
      <w:rFonts w:ascii="Tahoma" w:eastAsia="Times New Roman" w:hAnsi="Tahoma" w:cs="Tahoma"/>
      <w:sz w:val="16"/>
      <w:szCs w:val="16"/>
    </w:rPr>
  </w:style>
  <w:style w:type="paragraph" w:styleId="ListParagraph">
    <w:name w:val="List Paragraph"/>
    <w:basedOn w:val="Normal"/>
    <w:uiPriority w:val="34"/>
    <w:qFormat/>
    <w:rsid w:val="007E0B70"/>
    <w:pPr>
      <w:ind w:left="720"/>
      <w:contextualSpacing/>
    </w:pPr>
  </w:style>
  <w:style w:type="character" w:styleId="PageNumber">
    <w:name w:val="page number"/>
    <w:basedOn w:val="DefaultParagraphFont"/>
    <w:rsid w:val="00C26FE9"/>
  </w:style>
  <w:style w:type="character" w:styleId="CommentReference">
    <w:name w:val="annotation reference"/>
    <w:basedOn w:val="DefaultParagraphFont"/>
    <w:uiPriority w:val="99"/>
    <w:unhideWhenUsed/>
    <w:rsid w:val="004F00DD"/>
    <w:rPr>
      <w:sz w:val="16"/>
      <w:szCs w:val="16"/>
    </w:rPr>
  </w:style>
  <w:style w:type="paragraph" w:customStyle="1" w:styleId="CommentText1">
    <w:name w:val="Comment Text1"/>
    <w:basedOn w:val="Normal"/>
    <w:next w:val="CommentText"/>
    <w:link w:val="CommentTextChar"/>
    <w:uiPriority w:val="99"/>
    <w:semiHidden/>
    <w:unhideWhenUsed/>
    <w:rsid w:val="004F00DD"/>
    <w:pPr>
      <w:overflowPunct/>
      <w:autoSpaceDE/>
      <w:autoSpaceDN/>
      <w:adjustRightInd/>
      <w:spacing w:after="200"/>
      <w:textAlignment w:val="auto"/>
    </w:pPr>
    <w:rPr>
      <w:rFonts w:ascii="Times New Roman" w:hAnsi="Times New Roman"/>
      <w:sz w:val="20"/>
    </w:rPr>
  </w:style>
  <w:style w:type="character" w:customStyle="1" w:styleId="CommentTextChar">
    <w:name w:val="Comment Text Char"/>
    <w:basedOn w:val="DefaultParagraphFont"/>
    <w:link w:val="CommentText1"/>
    <w:uiPriority w:val="99"/>
    <w:semiHidden/>
    <w:rsid w:val="004F00DD"/>
    <w:rPr>
      <w:rFonts w:ascii="Times New Roman" w:eastAsia="Times New Roman" w:hAnsi="Times New Roman" w:cs="Times New Roman"/>
      <w:sz w:val="20"/>
      <w:szCs w:val="20"/>
    </w:rPr>
  </w:style>
  <w:style w:type="paragraph" w:styleId="CommentText">
    <w:name w:val="annotation text"/>
    <w:basedOn w:val="Normal"/>
    <w:link w:val="CommentTextChar1"/>
    <w:uiPriority w:val="99"/>
    <w:semiHidden/>
    <w:unhideWhenUsed/>
    <w:rsid w:val="004F00DD"/>
    <w:rPr>
      <w:sz w:val="20"/>
    </w:rPr>
  </w:style>
  <w:style w:type="character" w:customStyle="1" w:styleId="CommentTextChar1">
    <w:name w:val="Comment Text Char1"/>
    <w:basedOn w:val="DefaultParagraphFont"/>
    <w:link w:val="CommentText"/>
    <w:uiPriority w:val="99"/>
    <w:semiHidden/>
    <w:rsid w:val="004F00DD"/>
    <w:rPr>
      <w:rFonts w:ascii="Book Antiqua" w:eastAsia="Times New Roman" w:hAnsi="Book Antiqua" w:cs="Times New Roman"/>
      <w:sz w:val="20"/>
      <w:szCs w:val="20"/>
    </w:rPr>
  </w:style>
  <w:style w:type="character" w:customStyle="1" w:styleId="Heading6Char">
    <w:name w:val="Heading 6 Char"/>
    <w:basedOn w:val="DefaultParagraphFont"/>
    <w:link w:val="Heading6"/>
    <w:uiPriority w:val="9"/>
    <w:semiHidden/>
    <w:rsid w:val="004F00DD"/>
    <w:rPr>
      <w:rFonts w:asciiTheme="majorHAnsi" w:eastAsiaTheme="majorEastAsia" w:hAnsiTheme="majorHAnsi" w:cstheme="majorBidi"/>
      <w:i/>
      <w:iCs/>
      <w:color w:val="243F60" w:themeColor="accent1" w:themeShade="7F"/>
      <w:sz w:val="24"/>
      <w:szCs w:val="20"/>
    </w:rPr>
  </w:style>
  <w:style w:type="character" w:styleId="Hyperlink">
    <w:name w:val="Hyperlink"/>
    <w:basedOn w:val="DefaultParagraphFont"/>
    <w:uiPriority w:val="99"/>
    <w:unhideWhenUsed/>
    <w:rsid w:val="00A218C3"/>
    <w:rPr>
      <w:color w:val="0000FF" w:themeColor="hyperlink"/>
      <w:u w:val="single"/>
    </w:rPr>
  </w:style>
  <w:style w:type="paragraph" w:styleId="NoSpacing">
    <w:name w:val="No Spacing"/>
    <w:uiPriority w:val="1"/>
    <w:qFormat/>
    <w:rsid w:val="00491D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B70"/>
    <w:pPr>
      <w:overflowPunct w:val="0"/>
      <w:autoSpaceDE w:val="0"/>
      <w:autoSpaceDN w:val="0"/>
      <w:adjustRightInd w:val="0"/>
      <w:spacing w:after="0" w:line="240" w:lineRule="auto"/>
      <w:textAlignment w:val="baseline"/>
    </w:pPr>
    <w:rPr>
      <w:rFonts w:ascii="Book Antiqua" w:eastAsia="Times New Roman" w:hAnsi="Book Antiqua" w:cs="Times New Roman"/>
      <w:sz w:val="24"/>
      <w:szCs w:val="20"/>
    </w:rPr>
  </w:style>
  <w:style w:type="paragraph" w:styleId="Heading1">
    <w:name w:val="heading 1"/>
    <w:basedOn w:val="Normal"/>
    <w:next w:val="Normal"/>
    <w:link w:val="Heading1Char"/>
    <w:qFormat/>
    <w:rsid w:val="007E0B70"/>
    <w:pPr>
      <w:keepNext/>
      <w:tabs>
        <w:tab w:val="center" w:pos="4680"/>
      </w:tabs>
      <w:suppressAutoHyphens/>
      <w:jc w:val="center"/>
      <w:outlineLvl w:val="0"/>
    </w:pPr>
    <w:rPr>
      <w:b/>
      <w:u w:val="single"/>
    </w:rPr>
  </w:style>
  <w:style w:type="paragraph" w:styleId="Heading4">
    <w:name w:val="heading 4"/>
    <w:basedOn w:val="Normal"/>
    <w:next w:val="Normal"/>
    <w:link w:val="Heading4Char"/>
    <w:qFormat/>
    <w:rsid w:val="007E0B70"/>
    <w:pPr>
      <w:keepNext/>
      <w:tabs>
        <w:tab w:val="center" w:pos="4680"/>
      </w:tabs>
      <w:suppressAutoHyphens/>
      <w:jc w:val="center"/>
      <w:outlineLvl w:val="3"/>
    </w:pPr>
    <w:rPr>
      <w:b/>
      <w:sz w:val="32"/>
      <w:u w:val="single"/>
    </w:rPr>
  </w:style>
  <w:style w:type="paragraph" w:styleId="Heading6">
    <w:name w:val="heading 6"/>
    <w:basedOn w:val="Normal"/>
    <w:next w:val="Normal"/>
    <w:link w:val="Heading6Char"/>
    <w:uiPriority w:val="9"/>
    <w:semiHidden/>
    <w:unhideWhenUsed/>
    <w:qFormat/>
    <w:rsid w:val="004F00D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7E0B70"/>
    <w:pPr>
      <w:keepNext/>
      <w:suppressAutoHyphens/>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B70"/>
    <w:rPr>
      <w:rFonts w:ascii="Book Antiqua" w:eastAsia="Times New Roman" w:hAnsi="Book Antiqua" w:cs="Times New Roman"/>
      <w:b/>
      <w:sz w:val="24"/>
      <w:szCs w:val="20"/>
      <w:u w:val="single"/>
    </w:rPr>
  </w:style>
  <w:style w:type="character" w:customStyle="1" w:styleId="Heading4Char">
    <w:name w:val="Heading 4 Char"/>
    <w:basedOn w:val="DefaultParagraphFont"/>
    <w:link w:val="Heading4"/>
    <w:rsid w:val="007E0B70"/>
    <w:rPr>
      <w:rFonts w:ascii="Book Antiqua" w:eastAsia="Times New Roman" w:hAnsi="Book Antiqua" w:cs="Times New Roman"/>
      <w:b/>
      <w:sz w:val="32"/>
      <w:szCs w:val="20"/>
      <w:u w:val="single"/>
    </w:rPr>
  </w:style>
  <w:style w:type="character" w:customStyle="1" w:styleId="Heading8Char">
    <w:name w:val="Heading 8 Char"/>
    <w:basedOn w:val="DefaultParagraphFont"/>
    <w:link w:val="Heading8"/>
    <w:rsid w:val="007E0B70"/>
    <w:rPr>
      <w:rFonts w:ascii="Book Antiqua" w:eastAsia="Times New Roman" w:hAnsi="Book Antiqua" w:cs="Times New Roman"/>
      <w:b/>
      <w:sz w:val="36"/>
      <w:szCs w:val="20"/>
    </w:rPr>
  </w:style>
  <w:style w:type="paragraph" w:styleId="BodyText2">
    <w:name w:val="Body Text 2"/>
    <w:basedOn w:val="Normal"/>
    <w:link w:val="BodyText2Char"/>
    <w:rsid w:val="007E0B70"/>
    <w:pPr>
      <w:tabs>
        <w:tab w:val="center" w:pos="4680"/>
      </w:tabs>
      <w:suppressAutoHyphens/>
      <w:jc w:val="center"/>
    </w:pPr>
    <w:rPr>
      <w:b/>
      <w:sz w:val="36"/>
    </w:rPr>
  </w:style>
  <w:style w:type="character" w:customStyle="1" w:styleId="BodyText2Char">
    <w:name w:val="Body Text 2 Char"/>
    <w:basedOn w:val="DefaultParagraphFont"/>
    <w:link w:val="BodyText2"/>
    <w:rsid w:val="007E0B70"/>
    <w:rPr>
      <w:rFonts w:ascii="Book Antiqua" w:eastAsia="Times New Roman" w:hAnsi="Book Antiqua" w:cs="Times New Roman"/>
      <w:b/>
      <w:sz w:val="36"/>
      <w:szCs w:val="20"/>
    </w:rPr>
  </w:style>
  <w:style w:type="paragraph" w:styleId="EndnoteText">
    <w:name w:val="endnote text"/>
    <w:basedOn w:val="Normal"/>
    <w:link w:val="EndnoteTextChar"/>
    <w:semiHidden/>
    <w:rsid w:val="007E0B70"/>
  </w:style>
  <w:style w:type="character" w:customStyle="1" w:styleId="EndnoteTextChar">
    <w:name w:val="Endnote Text Char"/>
    <w:basedOn w:val="DefaultParagraphFont"/>
    <w:link w:val="EndnoteText"/>
    <w:semiHidden/>
    <w:rsid w:val="007E0B70"/>
    <w:rPr>
      <w:rFonts w:ascii="Book Antiqua" w:eastAsia="Times New Roman" w:hAnsi="Book Antiqua" w:cs="Times New Roman"/>
      <w:sz w:val="24"/>
      <w:szCs w:val="20"/>
    </w:rPr>
  </w:style>
  <w:style w:type="paragraph" w:styleId="Footer">
    <w:name w:val="footer"/>
    <w:basedOn w:val="Normal"/>
    <w:link w:val="FooterChar"/>
    <w:uiPriority w:val="99"/>
    <w:rsid w:val="007E0B70"/>
    <w:pPr>
      <w:tabs>
        <w:tab w:val="center" w:pos="4320"/>
        <w:tab w:val="right" w:pos="8640"/>
      </w:tabs>
    </w:pPr>
  </w:style>
  <w:style w:type="character" w:customStyle="1" w:styleId="FooterChar">
    <w:name w:val="Footer Char"/>
    <w:basedOn w:val="DefaultParagraphFont"/>
    <w:link w:val="Footer"/>
    <w:uiPriority w:val="99"/>
    <w:rsid w:val="007E0B70"/>
    <w:rPr>
      <w:rFonts w:ascii="Book Antiqua" w:eastAsia="Times New Roman" w:hAnsi="Book Antiqua" w:cs="Times New Roman"/>
      <w:sz w:val="24"/>
      <w:szCs w:val="20"/>
    </w:rPr>
  </w:style>
  <w:style w:type="paragraph" w:styleId="Header">
    <w:name w:val="header"/>
    <w:basedOn w:val="Normal"/>
    <w:link w:val="HeaderChar"/>
    <w:rsid w:val="007E0B70"/>
    <w:pPr>
      <w:tabs>
        <w:tab w:val="center" w:pos="4320"/>
        <w:tab w:val="right" w:pos="8640"/>
      </w:tabs>
    </w:pPr>
  </w:style>
  <w:style w:type="character" w:customStyle="1" w:styleId="HeaderChar">
    <w:name w:val="Header Char"/>
    <w:basedOn w:val="DefaultParagraphFont"/>
    <w:link w:val="Header"/>
    <w:rsid w:val="007E0B70"/>
    <w:rPr>
      <w:rFonts w:ascii="Book Antiqua" w:eastAsia="Times New Roman" w:hAnsi="Book Antiqua" w:cs="Times New Roman"/>
      <w:sz w:val="24"/>
      <w:szCs w:val="20"/>
    </w:rPr>
  </w:style>
  <w:style w:type="paragraph" w:styleId="Title">
    <w:name w:val="Title"/>
    <w:basedOn w:val="Normal"/>
    <w:link w:val="TitleChar"/>
    <w:qFormat/>
    <w:rsid w:val="007E0B70"/>
    <w:pPr>
      <w:overflowPunct/>
      <w:autoSpaceDE/>
      <w:autoSpaceDN/>
      <w:adjustRightInd/>
      <w:jc w:val="center"/>
      <w:textAlignment w:val="auto"/>
    </w:pPr>
    <w:rPr>
      <w:rFonts w:ascii="Times New Roman" w:hAnsi="Times New Roman"/>
      <w:b/>
      <w:sz w:val="32"/>
      <w:u w:val="single"/>
    </w:rPr>
  </w:style>
  <w:style w:type="character" w:customStyle="1" w:styleId="TitleChar">
    <w:name w:val="Title Char"/>
    <w:basedOn w:val="DefaultParagraphFont"/>
    <w:link w:val="Title"/>
    <w:rsid w:val="007E0B70"/>
    <w:rPr>
      <w:rFonts w:ascii="Times New Roman" w:eastAsia="Times New Roman" w:hAnsi="Times New Roman" w:cs="Times New Roman"/>
      <w:b/>
      <w:sz w:val="32"/>
      <w:szCs w:val="20"/>
      <w:u w:val="single"/>
    </w:rPr>
  </w:style>
  <w:style w:type="paragraph" w:styleId="BalloonText">
    <w:name w:val="Balloon Text"/>
    <w:basedOn w:val="Normal"/>
    <w:link w:val="BalloonTextChar"/>
    <w:uiPriority w:val="99"/>
    <w:semiHidden/>
    <w:unhideWhenUsed/>
    <w:rsid w:val="007E0B70"/>
    <w:rPr>
      <w:rFonts w:ascii="Tahoma" w:hAnsi="Tahoma" w:cs="Tahoma"/>
      <w:sz w:val="16"/>
      <w:szCs w:val="16"/>
    </w:rPr>
  </w:style>
  <w:style w:type="character" w:customStyle="1" w:styleId="BalloonTextChar">
    <w:name w:val="Balloon Text Char"/>
    <w:basedOn w:val="DefaultParagraphFont"/>
    <w:link w:val="BalloonText"/>
    <w:uiPriority w:val="99"/>
    <w:semiHidden/>
    <w:rsid w:val="007E0B70"/>
    <w:rPr>
      <w:rFonts w:ascii="Tahoma" w:eastAsia="Times New Roman" w:hAnsi="Tahoma" w:cs="Tahoma"/>
      <w:sz w:val="16"/>
      <w:szCs w:val="16"/>
    </w:rPr>
  </w:style>
  <w:style w:type="paragraph" w:styleId="ListParagraph">
    <w:name w:val="List Paragraph"/>
    <w:basedOn w:val="Normal"/>
    <w:uiPriority w:val="34"/>
    <w:qFormat/>
    <w:rsid w:val="007E0B70"/>
    <w:pPr>
      <w:ind w:left="720"/>
      <w:contextualSpacing/>
    </w:pPr>
  </w:style>
  <w:style w:type="character" w:styleId="PageNumber">
    <w:name w:val="page number"/>
    <w:basedOn w:val="DefaultParagraphFont"/>
    <w:rsid w:val="00C26FE9"/>
  </w:style>
  <w:style w:type="character" w:styleId="CommentReference">
    <w:name w:val="annotation reference"/>
    <w:basedOn w:val="DefaultParagraphFont"/>
    <w:uiPriority w:val="99"/>
    <w:unhideWhenUsed/>
    <w:rsid w:val="004F00DD"/>
    <w:rPr>
      <w:sz w:val="16"/>
      <w:szCs w:val="16"/>
    </w:rPr>
  </w:style>
  <w:style w:type="paragraph" w:customStyle="1" w:styleId="CommentText1">
    <w:name w:val="Comment Text1"/>
    <w:basedOn w:val="Normal"/>
    <w:next w:val="CommentText"/>
    <w:link w:val="CommentTextChar"/>
    <w:uiPriority w:val="99"/>
    <w:semiHidden/>
    <w:unhideWhenUsed/>
    <w:rsid w:val="004F00DD"/>
    <w:pPr>
      <w:overflowPunct/>
      <w:autoSpaceDE/>
      <w:autoSpaceDN/>
      <w:adjustRightInd/>
      <w:spacing w:after="200"/>
      <w:textAlignment w:val="auto"/>
    </w:pPr>
    <w:rPr>
      <w:rFonts w:ascii="Times New Roman" w:hAnsi="Times New Roman"/>
      <w:sz w:val="20"/>
    </w:rPr>
  </w:style>
  <w:style w:type="character" w:customStyle="1" w:styleId="CommentTextChar">
    <w:name w:val="Comment Text Char"/>
    <w:basedOn w:val="DefaultParagraphFont"/>
    <w:link w:val="CommentText1"/>
    <w:uiPriority w:val="99"/>
    <w:semiHidden/>
    <w:rsid w:val="004F00DD"/>
    <w:rPr>
      <w:rFonts w:ascii="Times New Roman" w:eastAsia="Times New Roman" w:hAnsi="Times New Roman" w:cs="Times New Roman"/>
      <w:sz w:val="20"/>
      <w:szCs w:val="20"/>
    </w:rPr>
  </w:style>
  <w:style w:type="paragraph" w:styleId="CommentText">
    <w:name w:val="annotation text"/>
    <w:basedOn w:val="Normal"/>
    <w:link w:val="CommentTextChar1"/>
    <w:uiPriority w:val="99"/>
    <w:semiHidden/>
    <w:unhideWhenUsed/>
    <w:rsid w:val="004F00DD"/>
    <w:rPr>
      <w:sz w:val="20"/>
    </w:rPr>
  </w:style>
  <w:style w:type="character" w:customStyle="1" w:styleId="CommentTextChar1">
    <w:name w:val="Comment Text Char1"/>
    <w:basedOn w:val="DefaultParagraphFont"/>
    <w:link w:val="CommentText"/>
    <w:uiPriority w:val="99"/>
    <w:semiHidden/>
    <w:rsid w:val="004F00DD"/>
    <w:rPr>
      <w:rFonts w:ascii="Book Antiqua" w:eastAsia="Times New Roman" w:hAnsi="Book Antiqua" w:cs="Times New Roman"/>
      <w:sz w:val="20"/>
      <w:szCs w:val="20"/>
    </w:rPr>
  </w:style>
  <w:style w:type="character" w:customStyle="1" w:styleId="Heading6Char">
    <w:name w:val="Heading 6 Char"/>
    <w:basedOn w:val="DefaultParagraphFont"/>
    <w:link w:val="Heading6"/>
    <w:uiPriority w:val="9"/>
    <w:semiHidden/>
    <w:rsid w:val="004F00DD"/>
    <w:rPr>
      <w:rFonts w:asciiTheme="majorHAnsi" w:eastAsiaTheme="majorEastAsia" w:hAnsiTheme="majorHAnsi" w:cstheme="majorBidi"/>
      <w:i/>
      <w:iCs/>
      <w:color w:val="243F60" w:themeColor="accent1" w:themeShade="7F"/>
      <w:sz w:val="24"/>
      <w:szCs w:val="20"/>
    </w:rPr>
  </w:style>
  <w:style w:type="character" w:styleId="Hyperlink">
    <w:name w:val="Hyperlink"/>
    <w:basedOn w:val="DefaultParagraphFont"/>
    <w:uiPriority w:val="99"/>
    <w:unhideWhenUsed/>
    <w:rsid w:val="00A218C3"/>
    <w:rPr>
      <w:color w:val="0000FF" w:themeColor="hyperlink"/>
      <w:u w:val="single"/>
    </w:rPr>
  </w:style>
  <w:style w:type="paragraph" w:styleId="NoSpacing">
    <w:name w:val="No Spacing"/>
    <w:uiPriority w:val="1"/>
    <w:qFormat/>
    <w:rsid w:val="00491D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80218">
      <w:bodyDiv w:val="1"/>
      <w:marLeft w:val="0"/>
      <w:marRight w:val="0"/>
      <w:marTop w:val="0"/>
      <w:marBottom w:val="0"/>
      <w:divBdr>
        <w:top w:val="none" w:sz="0" w:space="0" w:color="auto"/>
        <w:left w:val="none" w:sz="0" w:space="0" w:color="auto"/>
        <w:bottom w:val="none" w:sz="0" w:space="0" w:color="auto"/>
        <w:right w:val="none" w:sz="0" w:space="0" w:color="auto"/>
      </w:divBdr>
    </w:div>
    <w:div w:id="411119781">
      <w:bodyDiv w:val="1"/>
      <w:marLeft w:val="0"/>
      <w:marRight w:val="0"/>
      <w:marTop w:val="0"/>
      <w:marBottom w:val="0"/>
      <w:divBdr>
        <w:top w:val="none" w:sz="0" w:space="0" w:color="auto"/>
        <w:left w:val="none" w:sz="0" w:space="0" w:color="auto"/>
        <w:bottom w:val="none" w:sz="0" w:space="0" w:color="auto"/>
        <w:right w:val="none" w:sz="0" w:space="0" w:color="auto"/>
      </w:divBdr>
    </w:div>
    <w:div w:id="482041392">
      <w:bodyDiv w:val="1"/>
      <w:marLeft w:val="0"/>
      <w:marRight w:val="0"/>
      <w:marTop w:val="0"/>
      <w:marBottom w:val="0"/>
      <w:divBdr>
        <w:top w:val="none" w:sz="0" w:space="0" w:color="auto"/>
        <w:left w:val="none" w:sz="0" w:space="0" w:color="auto"/>
        <w:bottom w:val="none" w:sz="0" w:space="0" w:color="auto"/>
        <w:right w:val="none" w:sz="0" w:space="0" w:color="auto"/>
      </w:divBdr>
    </w:div>
    <w:div w:id="800922763">
      <w:bodyDiv w:val="1"/>
      <w:marLeft w:val="0"/>
      <w:marRight w:val="0"/>
      <w:marTop w:val="0"/>
      <w:marBottom w:val="0"/>
      <w:divBdr>
        <w:top w:val="none" w:sz="0" w:space="0" w:color="auto"/>
        <w:left w:val="none" w:sz="0" w:space="0" w:color="auto"/>
        <w:bottom w:val="none" w:sz="0" w:space="0" w:color="auto"/>
        <w:right w:val="none" w:sz="0" w:space="0" w:color="auto"/>
      </w:divBdr>
    </w:div>
    <w:div w:id="1234504646">
      <w:bodyDiv w:val="1"/>
      <w:marLeft w:val="0"/>
      <w:marRight w:val="0"/>
      <w:marTop w:val="0"/>
      <w:marBottom w:val="0"/>
      <w:divBdr>
        <w:top w:val="none" w:sz="0" w:space="0" w:color="auto"/>
        <w:left w:val="none" w:sz="0" w:space="0" w:color="auto"/>
        <w:bottom w:val="none" w:sz="0" w:space="0" w:color="auto"/>
        <w:right w:val="none" w:sz="0" w:space="0" w:color="auto"/>
      </w:divBdr>
    </w:div>
    <w:div w:id="1312910025">
      <w:bodyDiv w:val="1"/>
      <w:marLeft w:val="0"/>
      <w:marRight w:val="0"/>
      <w:marTop w:val="0"/>
      <w:marBottom w:val="0"/>
      <w:divBdr>
        <w:top w:val="none" w:sz="0" w:space="0" w:color="auto"/>
        <w:left w:val="none" w:sz="0" w:space="0" w:color="auto"/>
        <w:bottom w:val="none" w:sz="0" w:space="0" w:color="auto"/>
        <w:right w:val="none" w:sz="0" w:space="0" w:color="auto"/>
      </w:divBdr>
    </w:div>
    <w:div w:id="1365671654">
      <w:bodyDiv w:val="1"/>
      <w:marLeft w:val="0"/>
      <w:marRight w:val="0"/>
      <w:marTop w:val="0"/>
      <w:marBottom w:val="0"/>
      <w:divBdr>
        <w:top w:val="none" w:sz="0" w:space="0" w:color="auto"/>
        <w:left w:val="none" w:sz="0" w:space="0" w:color="auto"/>
        <w:bottom w:val="none" w:sz="0" w:space="0" w:color="auto"/>
        <w:right w:val="none" w:sz="0" w:space="0" w:color="auto"/>
      </w:divBdr>
    </w:div>
    <w:div w:id="16919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yperlink" Target="http://www.puc.pa.gov" TargetMode="External"/><Relationship Id="rId30" Type="http://schemas.openxmlformats.org/officeDocument/2006/relationships/footer" Target="footer6.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31ED5-4170-4997-A281-6F616F50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14</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78</cp:revision>
  <cp:lastPrinted>2015-10-07T17:09:00Z</cp:lastPrinted>
  <dcterms:created xsi:type="dcterms:W3CDTF">2015-10-07T14:12:00Z</dcterms:created>
  <dcterms:modified xsi:type="dcterms:W3CDTF">2015-11-05T20:25:00Z</dcterms:modified>
</cp:coreProperties>
</file>