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97089D" w:rsidRDefault="00176DE0" w:rsidP="00176DE0">
      <w:pPr>
        <w:jc w:val="center"/>
        <w:rPr>
          <w:b/>
          <w:sz w:val="24"/>
          <w:szCs w:val="24"/>
        </w:rPr>
      </w:pPr>
      <w:r w:rsidRPr="0097089D">
        <w:rPr>
          <w:b/>
          <w:sz w:val="24"/>
          <w:szCs w:val="24"/>
        </w:rPr>
        <w:t>BEFORE THE</w:t>
      </w:r>
    </w:p>
    <w:p w:rsidR="00176DE0" w:rsidRPr="0097089D" w:rsidRDefault="00176DE0" w:rsidP="00176DE0">
      <w:pPr>
        <w:jc w:val="center"/>
        <w:rPr>
          <w:b/>
          <w:sz w:val="24"/>
          <w:szCs w:val="24"/>
        </w:rPr>
      </w:pPr>
      <w:r w:rsidRPr="0097089D">
        <w:rPr>
          <w:b/>
          <w:sz w:val="24"/>
          <w:szCs w:val="24"/>
        </w:rPr>
        <w:t>PENNSYLVANIA PUBLIC UTILITY COMMISSION</w:t>
      </w:r>
    </w:p>
    <w:p w:rsidR="00176DE0" w:rsidRDefault="00176DE0" w:rsidP="00176DE0">
      <w:pPr>
        <w:jc w:val="center"/>
        <w:rPr>
          <w:sz w:val="24"/>
          <w:szCs w:val="24"/>
        </w:rPr>
      </w:pPr>
    </w:p>
    <w:p w:rsidR="0097089D" w:rsidRPr="0097089D" w:rsidRDefault="0097089D" w:rsidP="00176DE0">
      <w:pPr>
        <w:jc w:val="center"/>
        <w:rPr>
          <w:sz w:val="24"/>
          <w:szCs w:val="24"/>
        </w:rPr>
      </w:pPr>
    </w:p>
    <w:p w:rsidR="00176DE0" w:rsidRPr="0097089D" w:rsidRDefault="00176DE0" w:rsidP="00176DE0">
      <w:pPr>
        <w:jc w:val="center"/>
        <w:rPr>
          <w:sz w:val="24"/>
          <w:szCs w:val="24"/>
        </w:rPr>
      </w:pPr>
    </w:p>
    <w:p w:rsidR="00AF4B54" w:rsidRPr="00AF4B54" w:rsidRDefault="00AF4B54" w:rsidP="00AF4B54">
      <w:pPr>
        <w:rPr>
          <w:sz w:val="24"/>
          <w:szCs w:val="24"/>
        </w:rPr>
      </w:pPr>
      <w:r w:rsidRPr="00AF4B54">
        <w:rPr>
          <w:sz w:val="24"/>
          <w:szCs w:val="24"/>
        </w:rPr>
        <w:t>Floyd Tillman</w:t>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fldChar w:fldCharType="begin"/>
      </w:r>
      <w:r w:rsidRPr="00AF4B54">
        <w:rPr>
          <w:sz w:val="24"/>
          <w:szCs w:val="24"/>
        </w:rPr>
        <w:instrText>fillin "Complainant's name" \d ""</w:instrText>
      </w:r>
      <w:r w:rsidRPr="00AF4B54">
        <w:rPr>
          <w:sz w:val="24"/>
          <w:szCs w:val="24"/>
        </w:rPr>
        <w:fldChar w:fldCharType="end"/>
      </w:r>
      <w:r w:rsidRPr="00AF4B54">
        <w:rPr>
          <w:sz w:val="24"/>
          <w:szCs w:val="24"/>
        </w:rPr>
        <w:t>:</w:t>
      </w:r>
    </w:p>
    <w:p w:rsidR="00AF4B54" w:rsidRPr="00AF4B54" w:rsidRDefault="00AF4B54" w:rsidP="00AF4B54">
      <w:pPr>
        <w:rPr>
          <w:sz w:val="24"/>
          <w:szCs w:val="24"/>
        </w:rPr>
      </w:pP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t>:</w:t>
      </w:r>
    </w:p>
    <w:p w:rsidR="00AF4B54" w:rsidRPr="00AF4B54" w:rsidRDefault="00AF4B54" w:rsidP="00AF4B54">
      <w:pPr>
        <w:rPr>
          <w:sz w:val="24"/>
          <w:szCs w:val="24"/>
        </w:rPr>
      </w:pPr>
      <w:r w:rsidRPr="00AF4B54">
        <w:rPr>
          <w:sz w:val="24"/>
          <w:szCs w:val="24"/>
        </w:rPr>
        <w:tab/>
        <w:t>v.</w:t>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t>:</w:t>
      </w:r>
      <w:r w:rsidRPr="00AF4B54">
        <w:rPr>
          <w:sz w:val="24"/>
          <w:szCs w:val="24"/>
        </w:rPr>
        <w:tab/>
      </w:r>
      <w:r w:rsidRPr="00AF4B54">
        <w:rPr>
          <w:sz w:val="24"/>
          <w:szCs w:val="24"/>
        </w:rPr>
        <w:tab/>
        <w:t>C-2014-2445229</w:t>
      </w:r>
    </w:p>
    <w:p w:rsidR="00AF4B54" w:rsidRPr="00AF4B54" w:rsidRDefault="00AF4B54" w:rsidP="00AF4B54">
      <w:pPr>
        <w:rPr>
          <w:sz w:val="24"/>
          <w:szCs w:val="24"/>
        </w:rPr>
      </w:pP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r>
      <w:r w:rsidRPr="00AF4B54">
        <w:rPr>
          <w:sz w:val="24"/>
          <w:szCs w:val="24"/>
        </w:rPr>
        <w:tab/>
        <w:t>:</w:t>
      </w:r>
    </w:p>
    <w:p w:rsidR="00AF4B54" w:rsidRPr="00AF4B54" w:rsidRDefault="00AF4B54" w:rsidP="00AF4B54">
      <w:pPr>
        <w:rPr>
          <w:sz w:val="24"/>
          <w:szCs w:val="24"/>
        </w:rPr>
      </w:pPr>
      <w:r w:rsidRPr="00AF4B54">
        <w:rPr>
          <w:sz w:val="24"/>
          <w:szCs w:val="24"/>
        </w:rPr>
        <w:t>Philadelphia Gas Works</w:t>
      </w:r>
      <w:r w:rsidRPr="00AF4B54">
        <w:rPr>
          <w:sz w:val="24"/>
          <w:szCs w:val="24"/>
        </w:rPr>
        <w:tab/>
      </w:r>
      <w:r w:rsidRPr="00AF4B54">
        <w:rPr>
          <w:sz w:val="24"/>
          <w:szCs w:val="24"/>
        </w:rPr>
        <w:tab/>
      </w:r>
      <w:r w:rsidRPr="00AF4B54">
        <w:rPr>
          <w:sz w:val="24"/>
          <w:szCs w:val="24"/>
        </w:rPr>
        <w:tab/>
      </w:r>
      <w:r w:rsidRPr="00AF4B54">
        <w:rPr>
          <w:sz w:val="24"/>
          <w:szCs w:val="24"/>
        </w:rPr>
        <w:tab/>
        <w:t>:</w:t>
      </w:r>
    </w:p>
    <w:p w:rsidR="00AF4B54" w:rsidRDefault="00AF4B54" w:rsidP="00FA785B">
      <w:pPr>
        <w:rPr>
          <w:sz w:val="24"/>
          <w:szCs w:val="24"/>
        </w:rPr>
      </w:pPr>
    </w:p>
    <w:p w:rsidR="00AF4B54" w:rsidRDefault="00AF4B54" w:rsidP="00FA785B">
      <w:pPr>
        <w:rPr>
          <w:sz w:val="24"/>
          <w:szCs w:val="24"/>
        </w:rPr>
      </w:pPr>
    </w:p>
    <w:p w:rsidR="00AF4B54" w:rsidRDefault="00AF4B54" w:rsidP="00FA785B">
      <w:pPr>
        <w:rPr>
          <w:sz w:val="24"/>
          <w:szCs w:val="24"/>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r w:rsidRPr="0097089D">
        <w:rPr>
          <w:b/>
          <w:spacing w:val="-3"/>
          <w:sz w:val="24"/>
          <w:szCs w:val="24"/>
          <w:u w:val="single"/>
        </w:rPr>
        <w:t>INITIAL DECISION</w:t>
      </w: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Before</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Dennis J. Buckley</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Administrative Law Judge</w:t>
      </w:r>
    </w:p>
    <w:p w:rsidR="002820A0" w:rsidRDefault="002820A0" w:rsidP="002820A0">
      <w:pPr>
        <w:tabs>
          <w:tab w:val="left" w:pos="-720"/>
          <w:tab w:val="left" w:pos="5040"/>
        </w:tabs>
        <w:suppressAutoHyphens/>
        <w:autoSpaceDE w:val="0"/>
        <w:autoSpaceDN w:val="0"/>
        <w:jc w:val="center"/>
        <w:rPr>
          <w:spacing w:val="-3"/>
          <w:sz w:val="24"/>
          <w:szCs w:val="24"/>
        </w:rPr>
      </w:pPr>
    </w:p>
    <w:p w:rsidR="00336CCE" w:rsidRPr="0097089D" w:rsidRDefault="00336CCE" w:rsidP="002820A0">
      <w:pPr>
        <w:tabs>
          <w:tab w:val="left" w:pos="-720"/>
          <w:tab w:val="left" w:pos="5040"/>
        </w:tabs>
        <w:suppressAutoHyphens/>
        <w:autoSpaceDE w:val="0"/>
        <w:autoSpaceDN w:val="0"/>
        <w:jc w:val="center"/>
        <w:rPr>
          <w:spacing w:val="-3"/>
          <w:sz w:val="24"/>
          <w:szCs w:val="24"/>
        </w:rPr>
      </w:pPr>
    </w:p>
    <w:p w:rsidR="00CB2F90" w:rsidRDefault="002F5AB2" w:rsidP="002F5AB2">
      <w:pPr>
        <w:spacing w:line="360" w:lineRule="auto"/>
        <w:rPr>
          <w:spacing w:val="-3"/>
          <w:sz w:val="24"/>
          <w:szCs w:val="24"/>
        </w:rPr>
      </w:pPr>
      <w:r>
        <w:rPr>
          <w:spacing w:val="-3"/>
          <w:sz w:val="24"/>
          <w:szCs w:val="24"/>
        </w:rPr>
        <w:tab/>
      </w:r>
      <w:r>
        <w:rPr>
          <w:spacing w:val="-3"/>
          <w:sz w:val="24"/>
          <w:szCs w:val="24"/>
        </w:rPr>
        <w:tab/>
        <w:t xml:space="preserve">This Initial Decision dismisses </w:t>
      </w:r>
      <w:r w:rsidR="00FA785B">
        <w:rPr>
          <w:spacing w:val="-3"/>
          <w:sz w:val="24"/>
          <w:szCs w:val="24"/>
        </w:rPr>
        <w:t xml:space="preserve">with prejudice </w:t>
      </w:r>
      <w:r>
        <w:rPr>
          <w:spacing w:val="-3"/>
          <w:sz w:val="24"/>
          <w:szCs w:val="24"/>
        </w:rPr>
        <w:t xml:space="preserve">a Complaint filed by </w:t>
      </w:r>
      <w:r w:rsidR="00AF4B54">
        <w:rPr>
          <w:spacing w:val="-3"/>
          <w:sz w:val="24"/>
          <w:szCs w:val="24"/>
        </w:rPr>
        <w:t>Floyd Tillman</w:t>
      </w:r>
      <w:r w:rsidRPr="002F5AB2">
        <w:rPr>
          <w:spacing w:val="-3"/>
          <w:sz w:val="24"/>
          <w:szCs w:val="24"/>
        </w:rPr>
        <w:t xml:space="preserve"> (Complainant) against </w:t>
      </w:r>
      <w:r w:rsidR="00AF4B54">
        <w:rPr>
          <w:spacing w:val="-3"/>
          <w:sz w:val="24"/>
          <w:szCs w:val="24"/>
        </w:rPr>
        <w:t>Philadelphia Gas Works</w:t>
      </w:r>
      <w:r w:rsidRPr="002F5AB2">
        <w:rPr>
          <w:spacing w:val="-3"/>
          <w:sz w:val="24"/>
          <w:szCs w:val="24"/>
        </w:rPr>
        <w:t xml:space="preserve"> (</w:t>
      </w:r>
      <w:r w:rsidR="00AF4B54">
        <w:rPr>
          <w:spacing w:val="-3"/>
          <w:sz w:val="24"/>
          <w:szCs w:val="24"/>
        </w:rPr>
        <w:t>PGW</w:t>
      </w:r>
      <w:r w:rsidRPr="002F5AB2">
        <w:rPr>
          <w:spacing w:val="-3"/>
          <w:sz w:val="24"/>
          <w:szCs w:val="24"/>
        </w:rPr>
        <w:t xml:space="preserve"> or Company)</w:t>
      </w:r>
      <w:r w:rsidR="00DC22DB">
        <w:rPr>
          <w:spacing w:val="-3"/>
          <w:sz w:val="24"/>
          <w:szCs w:val="24"/>
        </w:rPr>
        <w:t xml:space="preserve"> </w:t>
      </w:r>
      <w:r w:rsidR="00CB2F90">
        <w:rPr>
          <w:spacing w:val="-3"/>
          <w:sz w:val="24"/>
          <w:szCs w:val="24"/>
        </w:rPr>
        <w:t xml:space="preserve">on the basis of the doctrine of </w:t>
      </w:r>
      <w:r w:rsidR="00CB2F90" w:rsidRPr="00CB2F90">
        <w:rPr>
          <w:i/>
          <w:spacing w:val="-3"/>
          <w:sz w:val="24"/>
          <w:szCs w:val="24"/>
        </w:rPr>
        <w:t>res judicata</w:t>
      </w:r>
      <w:r w:rsidR="00CB2F90">
        <w:rPr>
          <w:spacing w:val="-3"/>
          <w:sz w:val="24"/>
          <w:szCs w:val="24"/>
        </w:rPr>
        <w:t>.</w:t>
      </w:r>
    </w:p>
    <w:p w:rsidR="002F5AB2" w:rsidRDefault="002F5AB2" w:rsidP="002820A0">
      <w:pPr>
        <w:rPr>
          <w:spacing w:val="-3"/>
          <w:sz w:val="24"/>
          <w:szCs w:val="24"/>
        </w:rPr>
      </w:pPr>
    </w:p>
    <w:p w:rsidR="002820A0" w:rsidRDefault="002820A0" w:rsidP="00336CCE">
      <w:pPr>
        <w:spacing w:line="360" w:lineRule="auto"/>
        <w:jc w:val="center"/>
        <w:rPr>
          <w:spacing w:val="-3"/>
          <w:sz w:val="24"/>
          <w:szCs w:val="24"/>
          <w:u w:val="single"/>
        </w:rPr>
      </w:pPr>
      <w:r w:rsidRPr="0097089D">
        <w:rPr>
          <w:spacing w:val="-3"/>
          <w:sz w:val="24"/>
          <w:szCs w:val="24"/>
          <w:u w:val="single"/>
        </w:rPr>
        <w:t>HISTORY OF THE PROCEEDING</w:t>
      </w:r>
    </w:p>
    <w:p w:rsidR="00FD79FC" w:rsidRPr="0097089D" w:rsidRDefault="00FD79FC" w:rsidP="00336CCE">
      <w:pPr>
        <w:spacing w:line="360" w:lineRule="auto"/>
        <w:jc w:val="center"/>
        <w:rPr>
          <w:b/>
          <w:sz w:val="24"/>
          <w:szCs w:val="24"/>
        </w:rPr>
      </w:pPr>
    </w:p>
    <w:p w:rsidR="00DB088D" w:rsidRDefault="002820A0" w:rsidP="002820A0">
      <w:pPr>
        <w:spacing w:line="360" w:lineRule="auto"/>
        <w:rPr>
          <w:sz w:val="24"/>
          <w:szCs w:val="24"/>
        </w:rPr>
      </w:pPr>
      <w:r w:rsidRPr="0097089D">
        <w:rPr>
          <w:sz w:val="24"/>
          <w:szCs w:val="24"/>
        </w:rPr>
        <w:tab/>
      </w:r>
      <w:r w:rsidRPr="0097089D">
        <w:rPr>
          <w:sz w:val="24"/>
          <w:szCs w:val="24"/>
        </w:rPr>
        <w:tab/>
        <w:t xml:space="preserve">This case originated as a Complaint filed on </w:t>
      </w:r>
      <w:r w:rsidR="00F0235F">
        <w:rPr>
          <w:sz w:val="24"/>
          <w:szCs w:val="24"/>
        </w:rPr>
        <w:t xml:space="preserve">September </w:t>
      </w:r>
      <w:r w:rsidR="00DB088D">
        <w:rPr>
          <w:sz w:val="24"/>
          <w:szCs w:val="24"/>
        </w:rPr>
        <w:t>26</w:t>
      </w:r>
      <w:r w:rsidR="00F0235F">
        <w:rPr>
          <w:sz w:val="24"/>
          <w:szCs w:val="24"/>
        </w:rPr>
        <w:t>, 2014</w:t>
      </w:r>
      <w:r w:rsidRPr="0097089D">
        <w:rPr>
          <w:sz w:val="24"/>
          <w:szCs w:val="24"/>
        </w:rPr>
        <w:t xml:space="preserve">, </w:t>
      </w:r>
      <w:r w:rsidR="00F0235F">
        <w:rPr>
          <w:sz w:val="24"/>
          <w:szCs w:val="24"/>
        </w:rPr>
        <w:t xml:space="preserve">by </w:t>
      </w:r>
      <w:r w:rsidRPr="0097089D">
        <w:rPr>
          <w:sz w:val="24"/>
          <w:szCs w:val="24"/>
        </w:rPr>
        <w:t xml:space="preserve">Complainant against </w:t>
      </w:r>
      <w:r w:rsidR="00DB088D">
        <w:rPr>
          <w:sz w:val="24"/>
          <w:szCs w:val="24"/>
        </w:rPr>
        <w:t>PGW</w:t>
      </w:r>
      <w:r w:rsidRPr="0097089D">
        <w:rPr>
          <w:sz w:val="24"/>
          <w:szCs w:val="24"/>
        </w:rPr>
        <w:t xml:space="preserve">.  The Complaint alleged </w:t>
      </w:r>
      <w:r w:rsidR="008B600B" w:rsidRPr="0097089D">
        <w:rPr>
          <w:sz w:val="24"/>
          <w:szCs w:val="24"/>
        </w:rPr>
        <w:t xml:space="preserve">that </w:t>
      </w:r>
      <w:r w:rsidR="00DB088D">
        <w:rPr>
          <w:sz w:val="24"/>
          <w:szCs w:val="24"/>
        </w:rPr>
        <w:t>PGW billed him improperly.</w:t>
      </w:r>
    </w:p>
    <w:p w:rsidR="00DB088D" w:rsidRDefault="00DB088D" w:rsidP="002820A0">
      <w:pPr>
        <w:spacing w:line="360" w:lineRule="auto"/>
        <w:rPr>
          <w:sz w:val="24"/>
          <w:szCs w:val="24"/>
        </w:rPr>
      </w:pPr>
    </w:p>
    <w:p w:rsidR="002820A0" w:rsidRPr="0097089D" w:rsidRDefault="002820A0" w:rsidP="002820A0">
      <w:pPr>
        <w:spacing w:line="360" w:lineRule="auto"/>
        <w:rPr>
          <w:sz w:val="24"/>
          <w:szCs w:val="24"/>
        </w:rPr>
      </w:pPr>
      <w:r w:rsidRPr="0097089D">
        <w:rPr>
          <w:sz w:val="24"/>
          <w:szCs w:val="24"/>
        </w:rPr>
        <w:tab/>
      </w:r>
      <w:r w:rsidRPr="0097089D">
        <w:rPr>
          <w:sz w:val="24"/>
          <w:szCs w:val="24"/>
        </w:rPr>
        <w:tab/>
        <w:t xml:space="preserve">On </w:t>
      </w:r>
      <w:r w:rsidR="00DB088D">
        <w:rPr>
          <w:sz w:val="24"/>
          <w:szCs w:val="24"/>
        </w:rPr>
        <w:t>September 30</w:t>
      </w:r>
      <w:r w:rsidR="00F0235F">
        <w:rPr>
          <w:sz w:val="24"/>
          <w:szCs w:val="24"/>
        </w:rPr>
        <w:t xml:space="preserve">, 2014, </w:t>
      </w:r>
      <w:r w:rsidRPr="0097089D">
        <w:rPr>
          <w:sz w:val="24"/>
          <w:szCs w:val="24"/>
        </w:rPr>
        <w:t xml:space="preserve">the Secretary of the Commission served the Complaint on </w:t>
      </w:r>
      <w:r w:rsidR="00DB088D">
        <w:rPr>
          <w:sz w:val="24"/>
          <w:szCs w:val="24"/>
        </w:rPr>
        <w:t>PGW</w:t>
      </w:r>
      <w:r w:rsidRPr="0097089D">
        <w:rPr>
          <w:sz w:val="24"/>
          <w:szCs w:val="24"/>
        </w:rPr>
        <w:t>.</w:t>
      </w:r>
    </w:p>
    <w:p w:rsidR="002820A0" w:rsidRPr="0097089D" w:rsidRDefault="002820A0" w:rsidP="002820A0">
      <w:pPr>
        <w:spacing w:line="360" w:lineRule="auto"/>
        <w:rPr>
          <w:sz w:val="24"/>
          <w:szCs w:val="24"/>
        </w:rPr>
      </w:pPr>
    </w:p>
    <w:p w:rsidR="002820A0" w:rsidRPr="0097089D" w:rsidRDefault="002820A0" w:rsidP="002820A0">
      <w:pPr>
        <w:spacing w:line="360" w:lineRule="auto"/>
        <w:rPr>
          <w:sz w:val="24"/>
          <w:szCs w:val="24"/>
        </w:rPr>
      </w:pPr>
      <w:r w:rsidRPr="0097089D">
        <w:rPr>
          <w:sz w:val="24"/>
          <w:szCs w:val="24"/>
        </w:rPr>
        <w:tab/>
      </w:r>
      <w:r w:rsidRPr="0097089D">
        <w:rPr>
          <w:sz w:val="24"/>
          <w:szCs w:val="24"/>
        </w:rPr>
        <w:tab/>
        <w:t xml:space="preserve">On </w:t>
      </w:r>
      <w:r w:rsidR="00F0235F">
        <w:rPr>
          <w:sz w:val="24"/>
          <w:szCs w:val="24"/>
        </w:rPr>
        <w:t xml:space="preserve">October </w:t>
      </w:r>
      <w:r w:rsidR="00DB088D">
        <w:rPr>
          <w:sz w:val="24"/>
          <w:szCs w:val="24"/>
        </w:rPr>
        <w:t>20</w:t>
      </w:r>
      <w:r w:rsidR="00F0235F">
        <w:rPr>
          <w:sz w:val="24"/>
          <w:szCs w:val="24"/>
        </w:rPr>
        <w:t>, 2014</w:t>
      </w:r>
      <w:r w:rsidRPr="0097089D">
        <w:rPr>
          <w:sz w:val="24"/>
          <w:szCs w:val="24"/>
        </w:rPr>
        <w:t xml:space="preserve">, </w:t>
      </w:r>
      <w:r w:rsidR="00DB088D">
        <w:rPr>
          <w:sz w:val="24"/>
          <w:szCs w:val="24"/>
        </w:rPr>
        <w:t>PGW</w:t>
      </w:r>
      <w:r w:rsidRPr="0097089D">
        <w:rPr>
          <w:sz w:val="24"/>
          <w:szCs w:val="24"/>
        </w:rPr>
        <w:t xml:space="preserve"> filed an Answer to the Complaint, denying the allegations set forth therein.</w:t>
      </w:r>
    </w:p>
    <w:p w:rsidR="00DB40E5" w:rsidRDefault="00DB40E5" w:rsidP="002820A0">
      <w:pPr>
        <w:spacing w:line="360" w:lineRule="auto"/>
        <w:rPr>
          <w:sz w:val="24"/>
          <w:szCs w:val="24"/>
        </w:rPr>
      </w:pPr>
    </w:p>
    <w:p w:rsidR="00921473" w:rsidRDefault="00DB40E5" w:rsidP="002820A0">
      <w:pPr>
        <w:spacing w:line="360" w:lineRule="auto"/>
        <w:rPr>
          <w:sz w:val="24"/>
          <w:szCs w:val="24"/>
        </w:rPr>
      </w:pPr>
      <w:r>
        <w:rPr>
          <w:sz w:val="24"/>
          <w:szCs w:val="24"/>
        </w:rPr>
        <w:tab/>
      </w:r>
      <w:r>
        <w:rPr>
          <w:sz w:val="24"/>
          <w:szCs w:val="24"/>
        </w:rPr>
        <w:tab/>
      </w:r>
      <w:r w:rsidR="00F0235F">
        <w:rPr>
          <w:sz w:val="24"/>
          <w:szCs w:val="24"/>
        </w:rPr>
        <w:t>O</w:t>
      </w:r>
      <w:r>
        <w:rPr>
          <w:sz w:val="24"/>
          <w:szCs w:val="24"/>
        </w:rPr>
        <w:t xml:space="preserve">n </w:t>
      </w:r>
      <w:r w:rsidR="00F0235F">
        <w:rPr>
          <w:sz w:val="24"/>
          <w:szCs w:val="24"/>
        </w:rPr>
        <w:t>December 4, 2014,</w:t>
      </w:r>
      <w:r>
        <w:rPr>
          <w:sz w:val="24"/>
          <w:szCs w:val="24"/>
        </w:rPr>
        <w:t xml:space="preserve"> a </w:t>
      </w:r>
      <w:r w:rsidR="00921473">
        <w:rPr>
          <w:sz w:val="24"/>
          <w:szCs w:val="24"/>
        </w:rPr>
        <w:t xml:space="preserve">hearing notice was issued setting </w:t>
      </w:r>
      <w:r w:rsidR="00F0235F">
        <w:rPr>
          <w:sz w:val="24"/>
          <w:szCs w:val="24"/>
        </w:rPr>
        <w:t xml:space="preserve">January </w:t>
      </w:r>
      <w:r w:rsidR="00DB088D">
        <w:rPr>
          <w:sz w:val="24"/>
          <w:szCs w:val="24"/>
        </w:rPr>
        <w:t>9</w:t>
      </w:r>
      <w:r w:rsidR="00F0235F">
        <w:rPr>
          <w:sz w:val="24"/>
          <w:szCs w:val="24"/>
        </w:rPr>
        <w:t>, 2015</w:t>
      </w:r>
      <w:r w:rsidR="00921473">
        <w:rPr>
          <w:sz w:val="24"/>
          <w:szCs w:val="24"/>
        </w:rPr>
        <w:t>, as the date for a</w:t>
      </w:r>
      <w:r w:rsidR="00F0235F">
        <w:rPr>
          <w:sz w:val="24"/>
          <w:szCs w:val="24"/>
        </w:rPr>
        <w:t xml:space="preserve">n evidentiary </w:t>
      </w:r>
      <w:r w:rsidR="00921473">
        <w:rPr>
          <w:sz w:val="24"/>
          <w:szCs w:val="24"/>
        </w:rPr>
        <w:t>hearing in this case.</w:t>
      </w:r>
    </w:p>
    <w:p w:rsidR="00F0235F" w:rsidRPr="00F0235F" w:rsidRDefault="00F0235F" w:rsidP="00F0235F">
      <w:pPr>
        <w:spacing w:line="360" w:lineRule="auto"/>
        <w:rPr>
          <w:sz w:val="24"/>
          <w:szCs w:val="24"/>
        </w:rPr>
      </w:pPr>
      <w:r>
        <w:rPr>
          <w:sz w:val="24"/>
          <w:szCs w:val="24"/>
        </w:rPr>
        <w:lastRenderedPageBreak/>
        <w:tab/>
      </w:r>
      <w:r>
        <w:rPr>
          <w:sz w:val="24"/>
          <w:szCs w:val="24"/>
        </w:rPr>
        <w:tab/>
      </w:r>
      <w:r w:rsidRPr="00F0235F">
        <w:rPr>
          <w:sz w:val="24"/>
          <w:szCs w:val="24"/>
        </w:rPr>
        <w:t>On December 1</w:t>
      </w:r>
      <w:r w:rsidR="00DB088D">
        <w:rPr>
          <w:sz w:val="24"/>
          <w:szCs w:val="24"/>
        </w:rPr>
        <w:t>7</w:t>
      </w:r>
      <w:r w:rsidRPr="00F0235F">
        <w:rPr>
          <w:sz w:val="24"/>
          <w:szCs w:val="24"/>
        </w:rPr>
        <w:t xml:space="preserve">, 2014, I issued a </w:t>
      </w:r>
      <w:r w:rsidR="001221B6">
        <w:rPr>
          <w:sz w:val="24"/>
          <w:szCs w:val="24"/>
        </w:rPr>
        <w:t>standard form Pre-H</w:t>
      </w:r>
      <w:r w:rsidRPr="00F0235F">
        <w:rPr>
          <w:sz w:val="24"/>
          <w:szCs w:val="24"/>
        </w:rPr>
        <w:t>earing Order which was served on both parties.  That Order clearly stated that failure to appear and to participate in the hearing could result in the entry of a default judgment.</w:t>
      </w:r>
    </w:p>
    <w:p w:rsidR="00F0235F" w:rsidRDefault="00F0235F" w:rsidP="002820A0">
      <w:pPr>
        <w:spacing w:line="360" w:lineRule="auto"/>
        <w:rPr>
          <w:sz w:val="24"/>
          <w:szCs w:val="24"/>
        </w:rPr>
      </w:pPr>
    </w:p>
    <w:p w:rsidR="008E4A13" w:rsidRDefault="008E4A13" w:rsidP="002820A0">
      <w:pPr>
        <w:spacing w:line="360" w:lineRule="auto"/>
        <w:rPr>
          <w:sz w:val="24"/>
          <w:szCs w:val="24"/>
        </w:rPr>
      </w:pPr>
      <w:r>
        <w:rPr>
          <w:sz w:val="24"/>
          <w:szCs w:val="24"/>
        </w:rPr>
        <w:tab/>
      </w:r>
      <w:r>
        <w:rPr>
          <w:sz w:val="24"/>
          <w:szCs w:val="24"/>
        </w:rPr>
        <w:tab/>
        <w:t xml:space="preserve">On </w:t>
      </w:r>
      <w:r w:rsidR="00F0235F">
        <w:rPr>
          <w:sz w:val="24"/>
          <w:szCs w:val="24"/>
        </w:rPr>
        <w:t xml:space="preserve">January </w:t>
      </w:r>
      <w:r w:rsidR="00DB088D">
        <w:rPr>
          <w:sz w:val="24"/>
          <w:szCs w:val="24"/>
        </w:rPr>
        <w:t>5</w:t>
      </w:r>
      <w:r w:rsidR="00F0235F">
        <w:rPr>
          <w:sz w:val="24"/>
          <w:szCs w:val="24"/>
        </w:rPr>
        <w:t>, 2015</w:t>
      </w:r>
      <w:r>
        <w:rPr>
          <w:sz w:val="24"/>
          <w:szCs w:val="24"/>
        </w:rPr>
        <w:t xml:space="preserve">, </w:t>
      </w:r>
      <w:r w:rsidRPr="008E4A13">
        <w:rPr>
          <w:sz w:val="24"/>
          <w:szCs w:val="24"/>
        </w:rPr>
        <w:t xml:space="preserve">counsel for </w:t>
      </w:r>
      <w:r w:rsidR="00DB088D">
        <w:rPr>
          <w:sz w:val="24"/>
          <w:szCs w:val="24"/>
        </w:rPr>
        <w:t>PGW</w:t>
      </w:r>
      <w:r w:rsidR="00F0235F">
        <w:rPr>
          <w:sz w:val="24"/>
          <w:szCs w:val="24"/>
        </w:rPr>
        <w:t xml:space="preserve"> </w:t>
      </w:r>
      <w:r w:rsidRPr="008E4A13">
        <w:rPr>
          <w:sz w:val="24"/>
          <w:szCs w:val="24"/>
        </w:rPr>
        <w:t>served proposed exhibits on myself and the Complainant in conformity with the instructions in the prehearing Order.</w:t>
      </w:r>
    </w:p>
    <w:p w:rsidR="00921473" w:rsidRDefault="00921473" w:rsidP="002820A0">
      <w:pPr>
        <w:spacing w:line="360" w:lineRule="auto"/>
        <w:rPr>
          <w:sz w:val="24"/>
          <w:szCs w:val="24"/>
        </w:rPr>
      </w:pPr>
    </w:p>
    <w:p w:rsidR="003C2FAC" w:rsidRDefault="00921473" w:rsidP="002820A0">
      <w:pPr>
        <w:spacing w:line="360" w:lineRule="auto"/>
        <w:rPr>
          <w:sz w:val="24"/>
          <w:szCs w:val="24"/>
        </w:rPr>
      </w:pPr>
      <w:r>
        <w:rPr>
          <w:sz w:val="24"/>
          <w:szCs w:val="24"/>
        </w:rPr>
        <w:tab/>
      </w:r>
      <w:r>
        <w:rPr>
          <w:sz w:val="24"/>
          <w:szCs w:val="24"/>
        </w:rPr>
        <w:tab/>
      </w:r>
      <w:r w:rsidR="002820A0" w:rsidRPr="0097089D">
        <w:rPr>
          <w:sz w:val="24"/>
          <w:szCs w:val="24"/>
        </w:rPr>
        <w:t xml:space="preserve">On </w:t>
      </w:r>
      <w:r w:rsidR="00C67696">
        <w:rPr>
          <w:sz w:val="24"/>
          <w:szCs w:val="24"/>
        </w:rPr>
        <w:t xml:space="preserve">January </w:t>
      </w:r>
      <w:r w:rsidR="00DB088D">
        <w:rPr>
          <w:sz w:val="24"/>
          <w:szCs w:val="24"/>
        </w:rPr>
        <w:t>9</w:t>
      </w:r>
      <w:r w:rsidR="00C67696">
        <w:rPr>
          <w:sz w:val="24"/>
          <w:szCs w:val="24"/>
        </w:rPr>
        <w:t>, 2015</w:t>
      </w:r>
      <w:r w:rsidR="00627A04" w:rsidRPr="0097089D">
        <w:rPr>
          <w:sz w:val="24"/>
          <w:szCs w:val="24"/>
        </w:rPr>
        <w:t xml:space="preserve">, </w:t>
      </w:r>
      <w:r w:rsidR="002820A0" w:rsidRPr="0097089D">
        <w:rPr>
          <w:sz w:val="24"/>
          <w:szCs w:val="24"/>
        </w:rPr>
        <w:t>a</w:t>
      </w:r>
      <w:r w:rsidR="00C67696">
        <w:rPr>
          <w:sz w:val="24"/>
          <w:szCs w:val="24"/>
        </w:rPr>
        <w:t xml:space="preserve"> </w:t>
      </w:r>
      <w:r w:rsidR="00DB088D">
        <w:rPr>
          <w:sz w:val="24"/>
          <w:szCs w:val="24"/>
        </w:rPr>
        <w:t xml:space="preserve">telephonic </w:t>
      </w:r>
      <w:r w:rsidR="00C67696">
        <w:rPr>
          <w:sz w:val="24"/>
          <w:szCs w:val="24"/>
        </w:rPr>
        <w:t xml:space="preserve">evidentiary </w:t>
      </w:r>
      <w:r w:rsidR="005541E9" w:rsidRPr="0097089D">
        <w:rPr>
          <w:sz w:val="24"/>
          <w:szCs w:val="24"/>
        </w:rPr>
        <w:t xml:space="preserve">hearing </w:t>
      </w:r>
      <w:r w:rsidR="002820A0" w:rsidRPr="0097089D">
        <w:rPr>
          <w:sz w:val="24"/>
          <w:szCs w:val="24"/>
        </w:rPr>
        <w:t>in th</w:t>
      </w:r>
      <w:r w:rsidR="005541E9" w:rsidRPr="0097089D">
        <w:rPr>
          <w:sz w:val="24"/>
          <w:szCs w:val="24"/>
        </w:rPr>
        <w:t>is case</w:t>
      </w:r>
      <w:r w:rsidR="002820A0" w:rsidRPr="0097089D">
        <w:rPr>
          <w:sz w:val="24"/>
          <w:szCs w:val="24"/>
        </w:rPr>
        <w:t xml:space="preserve"> convened</w:t>
      </w:r>
      <w:r w:rsidR="00C67696">
        <w:rPr>
          <w:sz w:val="24"/>
          <w:szCs w:val="24"/>
        </w:rPr>
        <w:t xml:space="preserve"> </w:t>
      </w:r>
      <w:r w:rsidR="00DB088D">
        <w:rPr>
          <w:sz w:val="24"/>
          <w:szCs w:val="24"/>
        </w:rPr>
        <w:t xml:space="preserve">originating from </w:t>
      </w:r>
      <w:r w:rsidR="00627A04" w:rsidRPr="0097089D">
        <w:rPr>
          <w:sz w:val="24"/>
          <w:szCs w:val="24"/>
        </w:rPr>
        <w:t>the Commission’s Office</w:t>
      </w:r>
      <w:r w:rsidR="002820A0" w:rsidRPr="0097089D">
        <w:rPr>
          <w:sz w:val="24"/>
          <w:szCs w:val="24"/>
        </w:rPr>
        <w:t xml:space="preserve"> at 400 North Street, Harrisburg, Pennsylvania.  Counsel for </w:t>
      </w:r>
      <w:r w:rsidR="00DB088D">
        <w:rPr>
          <w:sz w:val="24"/>
          <w:szCs w:val="24"/>
        </w:rPr>
        <w:t>PGW</w:t>
      </w:r>
      <w:r w:rsidR="00C67696">
        <w:rPr>
          <w:sz w:val="24"/>
          <w:szCs w:val="24"/>
        </w:rPr>
        <w:t xml:space="preserve">, </w:t>
      </w:r>
      <w:r w:rsidR="00DB088D">
        <w:rPr>
          <w:sz w:val="24"/>
          <w:szCs w:val="24"/>
        </w:rPr>
        <w:t>Laureto A. Farinas</w:t>
      </w:r>
      <w:r w:rsidR="001E2544" w:rsidRPr="0097089D">
        <w:rPr>
          <w:sz w:val="24"/>
          <w:szCs w:val="24"/>
        </w:rPr>
        <w:t xml:space="preserve">, </w:t>
      </w:r>
      <w:r w:rsidR="00DB088D">
        <w:rPr>
          <w:sz w:val="24"/>
          <w:szCs w:val="24"/>
        </w:rPr>
        <w:t xml:space="preserve">Esquire, </w:t>
      </w:r>
      <w:r w:rsidR="002820A0" w:rsidRPr="0097089D">
        <w:rPr>
          <w:sz w:val="24"/>
          <w:szCs w:val="24"/>
        </w:rPr>
        <w:t>was present</w:t>
      </w:r>
      <w:r w:rsidR="003C2FAC">
        <w:rPr>
          <w:sz w:val="24"/>
          <w:szCs w:val="24"/>
        </w:rPr>
        <w:t xml:space="preserve"> as was Complainant</w:t>
      </w:r>
      <w:r w:rsidR="00B535FB" w:rsidRPr="0097089D">
        <w:rPr>
          <w:sz w:val="24"/>
          <w:szCs w:val="24"/>
        </w:rPr>
        <w:t>.</w:t>
      </w:r>
      <w:r w:rsidR="003C2FAC">
        <w:rPr>
          <w:sz w:val="24"/>
          <w:szCs w:val="24"/>
        </w:rPr>
        <w:t xml:space="preserve">  Complainant asked for a continuance of the hearing in order to consult with his counsel and to pursue possible settlement of the case.</w:t>
      </w:r>
      <w:r w:rsidR="003C2FAC">
        <w:rPr>
          <w:rStyle w:val="FootnoteReference"/>
          <w:sz w:val="24"/>
          <w:szCs w:val="24"/>
        </w:rPr>
        <w:footnoteReference w:id="1"/>
      </w:r>
      <w:r w:rsidR="003C2FAC">
        <w:rPr>
          <w:sz w:val="24"/>
          <w:szCs w:val="24"/>
        </w:rPr>
        <w:t xml:space="preserve">  Mr. Farinas did not oppose the requested continuance.</w:t>
      </w:r>
    </w:p>
    <w:p w:rsidR="003C2FAC" w:rsidRDefault="003C2FAC" w:rsidP="002820A0">
      <w:pPr>
        <w:spacing w:line="360" w:lineRule="auto"/>
        <w:rPr>
          <w:sz w:val="24"/>
          <w:szCs w:val="24"/>
        </w:rPr>
      </w:pPr>
    </w:p>
    <w:p w:rsidR="003C2FAC" w:rsidRDefault="003C2FAC" w:rsidP="002820A0">
      <w:pPr>
        <w:spacing w:line="360" w:lineRule="auto"/>
        <w:rPr>
          <w:sz w:val="24"/>
          <w:szCs w:val="24"/>
        </w:rPr>
      </w:pPr>
      <w:r>
        <w:rPr>
          <w:sz w:val="24"/>
          <w:szCs w:val="24"/>
        </w:rPr>
        <w:tab/>
      </w:r>
      <w:r>
        <w:rPr>
          <w:sz w:val="24"/>
          <w:szCs w:val="24"/>
        </w:rPr>
        <w:tab/>
        <w:t>On April 3, 2015, a hearing notice was issued setting May 14, 2015, as the date for the continued hearing in this matter.</w:t>
      </w:r>
    </w:p>
    <w:p w:rsidR="003C2FAC" w:rsidRDefault="003C2FAC" w:rsidP="002820A0">
      <w:pPr>
        <w:spacing w:line="360" w:lineRule="auto"/>
        <w:rPr>
          <w:sz w:val="24"/>
          <w:szCs w:val="24"/>
        </w:rPr>
      </w:pPr>
    </w:p>
    <w:p w:rsidR="003C2FAC" w:rsidRDefault="003C2FAC" w:rsidP="002820A0">
      <w:pPr>
        <w:spacing w:line="360" w:lineRule="auto"/>
        <w:rPr>
          <w:sz w:val="24"/>
          <w:szCs w:val="24"/>
        </w:rPr>
      </w:pPr>
      <w:r>
        <w:rPr>
          <w:sz w:val="24"/>
          <w:szCs w:val="24"/>
        </w:rPr>
        <w:tab/>
      </w:r>
      <w:r>
        <w:rPr>
          <w:sz w:val="24"/>
          <w:szCs w:val="24"/>
        </w:rPr>
        <w:tab/>
        <w:t xml:space="preserve">On May 11, 2015, counsel for PGW served additional </w:t>
      </w:r>
      <w:r w:rsidRPr="003C2FAC">
        <w:rPr>
          <w:sz w:val="24"/>
          <w:szCs w:val="24"/>
        </w:rPr>
        <w:t>proposed exhibits on myself and the Complainant</w:t>
      </w:r>
      <w:r>
        <w:rPr>
          <w:sz w:val="24"/>
          <w:szCs w:val="24"/>
        </w:rPr>
        <w:t>.</w:t>
      </w:r>
    </w:p>
    <w:p w:rsidR="003C2FAC" w:rsidRDefault="003C2FAC" w:rsidP="002820A0">
      <w:pPr>
        <w:spacing w:line="360" w:lineRule="auto"/>
        <w:rPr>
          <w:sz w:val="24"/>
          <w:szCs w:val="24"/>
        </w:rPr>
      </w:pPr>
    </w:p>
    <w:p w:rsidR="003C2FAC" w:rsidRDefault="003C2FAC" w:rsidP="002820A0">
      <w:pPr>
        <w:spacing w:line="360" w:lineRule="auto"/>
        <w:rPr>
          <w:sz w:val="24"/>
          <w:szCs w:val="24"/>
        </w:rPr>
      </w:pPr>
      <w:r>
        <w:rPr>
          <w:sz w:val="24"/>
          <w:szCs w:val="24"/>
        </w:rPr>
        <w:tab/>
      </w:r>
      <w:r>
        <w:rPr>
          <w:sz w:val="24"/>
          <w:szCs w:val="24"/>
        </w:rPr>
        <w:tab/>
        <w:t xml:space="preserve">On May 14, 2015, </w:t>
      </w:r>
      <w:r w:rsidRPr="003C2FAC">
        <w:rPr>
          <w:sz w:val="24"/>
          <w:szCs w:val="24"/>
        </w:rPr>
        <w:t xml:space="preserve">a telephonic evidentiary hearing in this case convened originating from the Commission’s Office at 400 North Street, Harrisburg, Pennsylvania.  Counsel for PGW, Laureto A. Farinas, Esquire, was present as was Complainant.  </w:t>
      </w:r>
      <w:r>
        <w:rPr>
          <w:sz w:val="24"/>
          <w:szCs w:val="24"/>
        </w:rPr>
        <w:t xml:space="preserve">It </w:t>
      </w:r>
      <w:r w:rsidR="00CB2F90">
        <w:rPr>
          <w:sz w:val="24"/>
          <w:szCs w:val="24"/>
        </w:rPr>
        <w:t xml:space="preserve">was asserted by counsel </w:t>
      </w:r>
      <w:r>
        <w:rPr>
          <w:sz w:val="24"/>
          <w:szCs w:val="24"/>
        </w:rPr>
        <w:t xml:space="preserve">at hearing that the account for natural gas service in this matter is a business account, and that Complainant is </w:t>
      </w:r>
      <w:r w:rsidR="00DD179B">
        <w:rPr>
          <w:sz w:val="24"/>
          <w:szCs w:val="24"/>
        </w:rPr>
        <w:t xml:space="preserve">supposedly </w:t>
      </w:r>
      <w:r>
        <w:rPr>
          <w:sz w:val="24"/>
          <w:szCs w:val="24"/>
        </w:rPr>
        <w:t xml:space="preserve">a limited liability corporation.  Further complicating the matter was the fact that </w:t>
      </w:r>
      <w:r w:rsidR="00167ECA">
        <w:rPr>
          <w:sz w:val="24"/>
          <w:szCs w:val="24"/>
        </w:rPr>
        <w:t xml:space="preserve">the account </w:t>
      </w:r>
      <w:r w:rsidR="00DD179B">
        <w:rPr>
          <w:sz w:val="24"/>
          <w:szCs w:val="24"/>
        </w:rPr>
        <w:t>is</w:t>
      </w:r>
      <w:r w:rsidR="00167ECA">
        <w:rPr>
          <w:sz w:val="24"/>
          <w:szCs w:val="24"/>
        </w:rPr>
        <w:t xml:space="preserve"> in the name of Martha Tillman, and the </w:t>
      </w:r>
      <w:r w:rsidR="00CB2F90">
        <w:rPr>
          <w:sz w:val="24"/>
          <w:szCs w:val="24"/>
        </w:rPr>
        <w:t xml:space="preserve">same </w:t>
      </w:r>
      <w:r w:rsidR="00167ECA">
        <w:rPr>
          <w:sz w:val="24"/>
          <w:szCs w:val="24"/>
        </w:rPr>
        <w:t xml:space="preserve">bill in question had previously been the subject of adjudication in the case of </w:t>
      </w:r>
      <w:r w:rsidR="00167ECA" w:rsidRPr="00167ECA">
        <w:rPr>
          <w:i/>
          <w:sz w:val="24"/>
          <w:szCs w:val="24"/>
        </w:rPr>
        <w:t>Martha Tillman v. Philadelphia Gas Works</w:t>
      </w:r>
      <w:r w:rsidR="00167ECA">
        <w:rPr>
          <w:sz w:val="24"/>
          <w:szCs w:val="24"/>
        </w:rPr>
        <w:t xml:space="preserve">, Docket No. F-2009-2146728 (Final Order entered January 10, 2011).  The Final Order in that case dismissed the underlying Complaint with prejudice for non-prosecution.  Counsel for PGW thereupon moved for dismissal of the Complaint in this case on </w:t>
      </w:r>
      <w:r w:rsidR="00167ECA">
        <w:rPr>
          <w:sz w:val="24"/>
          <w:szCs w:val="24"/>
        </w:rPr>
        <w:lastRenderedPageBreak/>
        <w:t xml:space="preserve">two grounds: first, that the LLC </w:t>
      </w:r>
      <w:r w:rsidR="0007561E">
        <w:rPr>
          <w:rStyle w:val="FootnoteReference"/>
          <w:sz w:val="24"/>
          <w:szCs w:val="24"/>
        </w:rPr>
        <w:footnoteReference w:id="2"/>
      </w:r>
      <w:r w:rsidR="00F51C3D">
        <w:rPr>
          <w:sz w:val="24"/>
          <w:szCs w:val="24"/>
        </w:rPr>
        <w:t xml:space="preserve"> </w:t>
      </w:r>
      <w:r w:rsidR="00167ECA">
        <w:rPr>
          <w:sz w:val="24"/>
          <w:szCs w:val="24"/>
        </w:rPr>
        <w:t xml:space="preserve">was not represented by counsel; and secondly, that consideration of the case was barred </w:t>
      </w:r>
      <w:r w:rsidR="00B95E5F">
        <w:rPr>
          <w:sz w:val="24"/>
          <w:szCs w:val="24"/>
        </w:rPr>
        <w:t>in that the matter had been previously decided by the Commission.</w:t>
      </w:r>
      <w:r w:rsidR="00B95E5F">
        <w:rPr>
          <w:rStyle w:val="FootnoteReference"/>
          <w:sz w:val="24"/>
          <w:szCs w:val="24"/>
        </w:rPr>
        <w:footnoteReference w:id="3"/>
      </w:r>
      <w:r w:rsidR="00B95E5F">
        <w:rPr>
          <w:sz w:val="24"/>
          <w:szCs w:val="24"/>
        </w:rPr>
        <w:t xml:space="preserve">  Complainant asked to be allowed to get his attorney on the line, and </w:t>
      </w:r>
      <w:r w:rsidR="00CB2F90">
        <w:rPr>
          <w:sz w:val="24"/>
          <w:szCs w:val="24"/>
        </w:rPr>
        <w:t xml:space="preserve">cognizant of the Commission’s encouragement of flexibility in dealing with unrepresented complainants, </w:t>
      </w:r>
      <w:r w:rsidR="00B95E5F">
        <w:rPr>
          <w:sz w:val="24"/>
          <w:szCs w:val="24"/>
        </w:rPr>
        <w:t>I allowed this.  Diane Barr, Esquire, was connected to the hearing in progress on behalf of the Complainant.  Attorney Bar</w:t>
      </w:r>
      <w:r w:rsidR="00EB3A3C">
        <w:rPr>
          <w:sz w:val="24"/>
          <w:szCs w:val="24"/>
        </w:rPr>
        <w:t>r</w:t>
      </w:r>
      <w:r w:rsidR="00B95E5F">
        <w:rPr>
          <w:sz w:val="24"/>
          <w:szCs w:val="24"/>
        </w:rPr>
        <w:t xml:space="preserve"> </w:t>
      </w:r>
      <w:r w:rsidR="00CB2F90">
        <w:rPr>
          <w:sz w:val="24"/>
          <w:szCs w:val="24"/>
        </w:rPr>
        <w:t xml:space="preserve">stated that she </w:t>
      </w:r>
      <w:r w:rsidR="00B95E5F">
        <w:rPr>
          <w:sz w:val="24"/>
          <w:szCs w:val="24"/>
        </w:rPr>
        <w:t xml:space="preserve">had represented the LLC in a Chapter 13 proceeding which was dismissed.  Thus, counsel was not familiar with the present controversy and requested a continuance.  PGW opposed that request.  </w:t>
      </w:r>
      <w:r w:rsidR="00857D24">
        <w:rPr>
          <w:sz w:val="24"/>
          <w:szCs w:val="24"/>
        </w:rPr>
        <w:t xml:space="preserve">Counsel candidly stated that she had not been contacted by Complainant relative to representation in this case.  </w:t>
      </w:r>
      <w:r w:rsidR="00B95E5F">
        <w:rPr>
          <w:sz w:val="24"/>
          <w:szCs w:val="24"/>
        </w:rPr>
        <w:t xml:space="preserve">Having afforded Complainant an opportunity to </w:t>
      </w:r>
      <w:r w:rsidR="000C2278">
        <w:rPr>
          <w:sz w:val="24"/>
          <w:szCs w:val="24"/>
        </w:rPr>
        <w:t xml:space="preserve">be represented by counsel, and finding that Complainant had </w:t>
      </w:r>
      <w:r w:rsidR="000C2278" w:rsidRPr="000C2278">
        <w:rPr>
          <w:i/>
          <w:sz w:val="24"/>
          <w:szCs w:val="24"/>
        </w:rPr>
        <w:t>not</w:t>
      </w:r>
      <w:r w:rsidR="000C2278">
        <w:rPr>
          <w:sz w:val="24"/>
          <w:szCs w:val="24"/>
        </w:rPr>
        <w:t xml:space="preserve"> made use of the previous continuance to prepare with his counsel for the </w:t>
      </w:r>
      <w:proofErr w:type="gramStart"/>
      <w:r w:rsidR="000C2278">
        <w:rPr>
          <w:sz w:val="24"/>
          <w:szCs w:val="24"/>
        </w:rPr>
        <w:t>hearing</w:t>
      </w:r>
      <w:r w:rsidR="00CB2F90">
        <w:rPr>
          <w:sz w:val="24"/>
          <w:szCs w:val="24"/>
        </w:rPr>
        <w:t>,</w:t>
      </w:r>
      <w:proofErr w:type="gramEnd"/>
      <w:r w:rsidR="000C2278">
        <w:rPr>
          <w:sz w:val="24"/>
          <w:szCs w:val="24"/>
        </w:rPr>
        <w:t xml:space="preserve"> I declined to grant a further continuance and adjourned the hearing.</w:t>
      </w:r>
      <w:r w:rsidR="00CB2F90">
        <w:rPr>
          <w:rStyle w:val="FootnoteReference"/>
          <w:sz w:val="24"/>
          <w:szCs w:val="24"/>
        </w:rPr>
        <w:footnoteReference w:id="4"/>
      </w:r>
      <w:r w:rsidR="000C2278">
        <w:rPr>
          <w:sz w:val="24"/>
          <w:szCs w:val="24"/>
        </w:rPr>
        <w:t xml:space="preserve">  The record in this case </w:t>
      </w:r>
      <w:r w:rsidR="00CB2F90">
        <w:rPr>
          <w:sz w:val="24"/>
          <w:szCs w:val="24"/>
        </w:rPr>
        <w:t xml:space="preserve">consists of </w:t>
      </w:r>
      <w:r w:rsidR="000C2278">
        <w:rPr>
          <w:sz w:val="24"/>
          <w:szCs w:val="24"/>
        </w:rPr>
        <w:t>two hearing transcripts, that of January 9, 2015, and that of May 14, 2015, with seven and seventeen pages respectively.</w:t>
      </w:r>
    </w:p>
    <w:p w:rsidR="003C2FAC" w:rsidRDefault="003C2FAC" w:rsidP="002820A0">
      <w:pPr>
        <w:spacing w:line="360" w:lineRule="auto"/>
        <w:rPr>
          <w:sz w:val="24"/>
          <w:szCs w:val="24"/>
        </w:rPr>
      </w:pPr>
    </w:p>
    <w:p w:rsidR="00B535FB" w:rsidRDefault="00B535FB" w:rsidP="002820A0">
      <w:pPr>
        <w:spacing w:line="360" w:lineRule="auto"/>
        <w:rPr>
          <w:sz w:val="24"/>
          <w:szCs w:val="24"/>
        </w:rPr>
      </w:pPr>
      <w:r w:rsidRPr="0097089D">
        <w:rPr>
          <w:sz w:val="24"/>
          <w:szCs w:val="24"/>
        </w:rPr>
        <w:tab/>
      </w:r>
      <w:r w:rsidRPr="0097089D">
        <w:rPr>
          <w:sz w:val="24"/>
          <w:szCs w:val="24"/>
        </w:rPr>
        <w:tab/>
        <w:t>This case is now ready for decision.</w:t>
      </w:r>
    </w:p>
    <w:p w:rsidR="00421A56" w:rsidRDefault="00421A56" w:rsidP="002820A0">
      <w:pPr>
        <w:spacing w:line="360" w:lineRule="auto"/>
        <w:rPr>
          <w:sz w:val="24"/>
          <w:szCs w:val="24"/>
        </w:rPr>
      </w:pPr>
    </w:p>
    <w:p w:rsidR="00421A56" w:rsidRPr="00421A56" w:rsidRDefault="00421A56" w:rsidP="00421A56">
      <w:pPr>
        <w:spacing w:line="360" w:lineRule="auto"/>
        <w:jc w:val="center"/>
        <w:rPr>
          <w:sz w:val="24"/>
          <w:szCs w:val="24"/>
        </w:rPr>
      </w:pPr>
      <w:r>
        <w:rPr>
          <w:sz w:val="24"/>
          <w:szCs w:val="24"/>
          <w:u w:val="single"/>
        </w:rPr>
        <w:t>FINDINGS OF FACT</w:t>
      </w:r>
    </w:p>
    <w:p w:rsidR="005541E9" w:rsidRDefault="005541E9" w:rsidP="00336CCE">
      <w:pPr>
        <w:spacing w:line="360" w:lineRule="auto"/>
        <w:rPr>
          <w:sz w:val="24"/>
          <w:szCs w:val="24"/>
        </w:rPr>
      </w:pPr>
    </w:p>
    <w:p w:rsidR="00973DCA" w:rsidRDefault="00421A56" w:rsidP="00421A56">
      <w:pPr>
        <w:spacing w:line="360" w:lineRule="auto"/>
        <w:rPr>
          <w:sz w:val="24"/>
          <w:szCs w:val="24"/>
        </w:rPr>
      </w:pPr>
      <w:r>
        <w:rPr>
          <w:sz w:val="24"/>
          <w:szCs w:val="24"/>
        </w:rPr>
        <w:tab/>
      </w:r>
      <w:r>
        <w:rPr>
          <w:sz w:val="24"/>
          <w:szCs w:val="24"/>
        </w:rPr>
        <w:tab/>
        <w:t>1.</w:t>
      </w:r>
      <w:r>
        <w:rPr>
          <w:sz w:val="24"/>
          <w:szCs w:val="24"/>
        </w:rPr>
        <w:tab/>
      </w:r>
      <w:r w:rsidR="00973DCA">
        <w:rPr>
          <w:sz w:val="24"/>
          <w:szCs w:val="24"/>
        </w:rPr>
        <w:t>Floyd Tillman, the Complainant in this case, is</w:t>
      </w:r>
      <w:r w:rsidR="000957F6">
        <w:rPr>
          <w:sz w:val="24"/>
          <w:szCs w:val="24"/>
        </w:rPr>
        <w:t xml:space="preserve"> the spouse of Martha Tillman and resides at 4946 North Broad Street, Philadelphia, Pennsylvania.  (Service Address)</w:t>
      </w:r>
    </w:p>
    <w:p w:rsidR="00973DCA" w:rsidRDefault="00973DCA" w:rsidP="00421A56">
      <w:pPr>
        <w:spacing w:line="360" w:lineRule="auto"/>
        <w:rPr>
          <w:sz w:val="24"/>
          <w:szCs w:val="24"/>
        </w:rPr>
      </w:pPr>
    </w:p>
    <w:p w:rsidR="00973DCA" w:rsidRDefault="00973DCA" w:rsidP="00421A56">
      <w:pPr>
        <w:spacing w:line="360" w:lineRule="auto"/>
        <w:rPr>
          <w:sz w:val="24"/>
          <w:szCs w:val="24"/>
        </w:rPr>
      </w:pPr>
      <w:r>
        <w:rPr>
          <w:sz w:val="24"/>
          <w:szCs w:val="24"/>
        </w:rPr>
        <w:tab/>
      </w:r>
      <w:r>
        <w:rPr>
          <w:sz w:val="24"/>
          <w:szCs w:val="24"/>
        </w:rPr>
        <w:tab/>
        <w:t>2.</w:t>
      </w:r>
      <w:r>
        <w:rPr>
          <w:sz w:val="24"/>
          <w:szCs w:val="24"/>
        </w:rPr>
        <w:tab/>
        <w:t>Floyd and Martha Tillman filed separate but identical Complaints alleging that they had been inco</w:t>
      </w:r>
      <w:r w:rsidR="000957F6">
        <w:rPr>
          <w:sz w:val="24"/>
          <w:szCs w:val="24"/>
        </w:rPr>
        <w:t>rrectly billed by Philadelphia G</w:t>
      </w:r>
      <w:r>
        <w:rPr>
          <w:sz w:val="24"/>
          <w:szCs w:val="24"/>
        </w:rPr>
        <w:t xml:space="preserve">as Works for natural gas service at </w:t>
      </w:r>
      <w:r w:rsidRPr="00973DCA">
        <w:rPr>
          <w:sz w:val="24"/>
          <w:szCs w:val="24"/>
        </w:rPr>
        <w:t xml:space="preserve">4946 North Broad Street, Philadelphia, Pennsylvania </w:t>
      </w:r>
      <w:r>
        <w:rPr>
          <w:sz w:val="24"/>
          <w:szCs w:val="24"/>
        </w:rPr>
        <w:t xml:space="preserve">in the amount of </w:t>
      </w:r>
      <w:r w:rsidRPr="00973DCA">
        <w:rPr>
          <w:sz w:val="24"/>
          <w:szCs w:val="24"/>
        </w:rPr>
        <w:t>$5,252.05</w:t>
      </w:r>
      <w:r>
        <w:rPr>
          <w:sz w:val="24"/>
          <w:szCs w:val="24"/>
        </w:rPr>
        <w:t>.</w:t>
      </w:r>
    </w:p>
    <w:p w:rsidR="00717280" w:rsidRDefault="00717280" w:rsidP="00421A56">
      <w:pPr>
        <w:spacing w:line="360" w:lineRule="auto"/>
        <w:rPr>
          <w:sz w:val="24"/>
          <w:szCs w:val="24"/>
        </w:rPr>
      </w:pPr>
    </w:p>
    <w:p w:rsidR="00421A56" w:rsidRDefault="00421A56" w:rsidP="00421A56">
      <w:pPr>
        <w:spacing w:line="360" w:lineRule="auto"/>
        <w:rPr>
          <w:sz w:val="24"/>
          <w:szCs w:val="24"/>
        </w:rPr>
      </w:pPr>
      <w:r>
        <w:rPr>
          <w:sz w:val="24"/>
          <w:szCs w:val="24"/>
        </w:rPr>
        <w:lastRenderedPageBreak/>
        <w:tab/>
      </w:r>
      <w:r>
        <w:rPr>
          <w:sz w:val="24"/>
          <w:szCs w:val="24"/>
        </w:rPr>
        <w:tab/>
      </w:r>
      <w:r w:rsidR="00973DCA">
        <w:rPr>
          <w:sz w:val="24"/>
          <w:szCs w:val="24"/>
        </w:rPr>
        <w:t>3</w:t>
      </w:r>
      <w:r>
        <w:rPr>
          <w:sz w:val="24"/>
          <w:szCs w:val="24"/>
        </w:rPr>
        <w:t>.</w:t>
      </w:r>
      <w:r>
        <w:rPr>
          <w:sz w:val="24"/>
          <w:szCs w:val="24"/>
        </w:rPr>
        <w:tab/>
      </w:r>
      <w:r w:rsidR="00973DCA">
        <w:rPr>
          <w:sz w:val="24"/>
          <w:szCs w:val="24"/>
        </w:rPr>
        <w:t xml:space="preserve">Philadelphia Gas Works </w:t>
      </w:r>
      <w:r>
        <w:rPr>
          <w:sz w:val="24"/>
          <w:szCs w:val="24"/>
        </w:rPr>
        <w:t xml:space="preserve">is a Commission jurisdictional provider of </w:t>
      </w:r>
      <w:r w:rsidR="00973DCA">
        <w:rPr>
          <w:sz w:val="24"/>
          <w:szCs w:val="24"/>
        </w:rPr>
        <w:t xml:space="preserve">natural gas </w:t>
      </w:r>
      <w:r>
        <w:rPr>
          <w:sz w:val="24"/>
          <w:szCs w:val="24"/>
        </w:rPr>
        <w:t>service.</w:t>
      </w:r>
    </w:p>
    <w:p w:rsidR="00D83042" w:rsidRDefault="00D83042" w:rsidP="00973DCA">
      <w:pPr>
        <w:spacing w:line="360" w:lineRule="auto"/>
        <w:rPr>
          <w:sz w:val="24"/>
          <w:szCs w:val="24"/>
        </w:rPr>
      </w:pPr>
      <w:r>
        <w:rPr>
          <w:sz w:val="24"/>
          <w:szCs w:val="24"/>
        </w:rPr>
        <w:tab/>
      </w:r>
      <w:r>
        <w:rPr>
          <w:sz w:val="24"/>
          <w:szCs w:val="24"/>
        </w:rPr>
        <w:tab/>
        <w:t>4.</w:t>
      </w:r>
      <w:r>
        <w:rPr>
          <w:sz w:val="24"/>
          <w:szCs w:val="24"/>
        </w:rPr>
        <w:tab/>
        <w:t xml:space="preserve">The formal Complaint of Martha Tillman at Docket No. </w:t>
      </w:r>
      <w:r w:rsidRPr="00D83042">
        <w:rPr>
          <w:sz w:val="24"/>
          <w:szCs w:val="24"/>
        </w:rPr>
        <w:t>F-2009-2146728 (Final Order entered January 10, 2011)</w:t>
      </w:r>
      <w:r>
        <w:rPr>
          <w:sz w:val="24"/>
          <w:szCs w:val="24"/>
        </w:rPr>
        <w:t>, was dismissed with prejudice by the Commission.</w:t>
      </w:r>
    </w:p>
    <w:p w:rsidR="00D83042" w:rsidRDefault="00D83042" w:rsidP="00973DCA">
      <w:pPr>
        <w:spacing w:line="360" w:lineRule="auto"/>
        <w:rPr>
          <w:sz w:val="24"/>
          <w:szCs w:val="24"/>
        </w:rPr>
      </w:pPr>
    </w:p>
    <w:p w:rsidR="00D80B40" w:rsidRDefault="00D83042" w:rsidP="00973DCA">
      <w:pPr>
        <w:spacing w:line="360" w:lineRule="auto"/>
        <w:rPr>
          <w:sz w:val="24"/>
          <w:szCs w:val="24"/>
        </w:rPr>
      </w:pPr>
      <w:r>
        <w:rPr>
          <w:sz w:val="24"/>
          <w:szCs w:val="24"/>
        </w:rPr>
        <w:tab/>
      </w:r>
      <w:r>
        <w:rPr>
          <w:sz w:val="24"/>
          <w:szCs w:val="24"/>
        </w:rPr>
        <w:tab/>
        <w:t>5.</w:t>
      </w:r>
      <w:r>
        <w:rPr>
          <w:sz w:val="24"/>
          <w:szCs w:val="24"/>
        </w:rPr>
        <w:tab/>
      </w:r>
      <w:r w:rsidRPr="00D83042">
        <w:rPr>
          <w:sz w:val="24"/>
          <w:szCs w:val="24"/>
        </w:rPr>
        <w:t xml:space="preserve">In both the case at Docket No. F-2009-2146728 and </w:t>
      </w:r>
      <w:r>
        <w:rPr>
          <w:sz w:val="24"/>
          <w:szCs w:val="24"/>
        </w:rPr>
        <w:t xml:space="preserve">in </w:t>
      </w:r>
      <w:r w:rsidRPr="00D83042">
        <w:rPr>
          <w:sz w:val="24"/>
          <w:szCs w:val="24"/>
        </w:rPr>
        <w:t>the present case, the issue is alleged incorrect billing, the cause of action is a formal complaint involving an identical amount of money, the parties are husband and wife residing at the same service address, and the Respondent is P</w:t>
      </w:r>
      <w:r>
        <w:rPr>
          <w:sz w:val="24"/>
          <w:szCs w:val="24"/>
        </w:rPr>
        <w:t xml:space="preserve">hiladelphia </w:t>
      </w:r>
      <w:r w:rsidRPr="00D83042">
        <w:rPr>
          <w:sz w:val="24"/>
          <w:szCs w:val="24"/>
        </w:rPr>
        <w:t>G</w:t>
      </w:r>
      <w:r>
        <w:rPr>
          <w:sz w:val="24"/>
          <w:szCs w:val="24"/>
        </w:rPr>
        <w:t xml:space="preserve">as </w:t>
      </w:r>
      <w:r w:rsidRPr="00D83042">
        <w:rPr>
          <w:sz w:val="24"/>
          <w:szCs w:val="24"/>
        </w:rPr>
        <w:t>W</w:t>
      </w:r>
      <w:r>
        <w:rPr>
          <w:sz w:val="24"/>
          <w:szCs w:val="24"/>
        </w:rPr>
        <w:t>orks</w:t>
      </w:r>
      <w:r w:rsidRPr="00D83042">
        <w:rPr>
          <w:sz w:val="24"/>
          <w:szCs w:val="24"/>
        </w:rPr>
        <w:t>.</w:t>
      </w:r>
    </w:p>
    <w:p w:rsidR="00421A56" w:rsidRPr="0097089D" w:rsidRDefault="00421A56" w:rsidP="00336CCE">
      <w:pPr>
        <w:spacing w:line="360" w:lineRule="auto"/>
        <w:rPr>
          <w:sz w:val="24"/>
          <w:szCs w:val="24"/>
        </w:rPr>
      </w:pPr>
    </w:p>
    <w:p w:rsidR="00336CCE" w:rsidRDefault="002820A0" w:rsidP="00336CCE">
      <w:pPr>
        <w:autoSpaceDE w:val="0"/>
        <w:autoSpaceDN w:val="0"/>
        <w:spacing w:line="360" w:lineRule="auto"/>
        <w:jc w:val="center"/>
        <w:rPr>
          <w:spacing w:val="-3"/>
          <w:sz w:val="24"/>
          <w:szCs w:val="24"/>
          <w:u w:val="single"/>
        </w:rPr>
      </w:pPr>
      <w:r w:rsidRPr="0097089D">
        <w:rPr>
          <w:spacing w:val="-3"/>
          <w:sz w:val="24"/>
          <w:szCs w:val="24"/>
          <w:u w:val="single"/>
        </w:rPr>
        <w:t>DISCUSSION</w:t>
      </w:r>
    </w:p>
    <w:p w:rsidR="00336CCE" w:rsidRDefault="00336CCE" w:rsidP="000C2278">
      <w:pPr>
        <w:autoSpaceDE w:val="0"/>
        <w:autoSpaceDN w:val="0"/>
        <w:spacing w:line="360" w:lineRule="auto"/>
        <w:rPr>
          <w:spacing w:val="-3"/>
          <w:sz w:val="24"/>
          <w:szCs w:val="24"/>
        </w:rPr>
      </w:pPr>
    </w:p>
    <w:p w:rsidR="00E416B6" w:rsidRDefault="002820A0" w:rsidP="000C2278">
      <w:pPr>
        <w:autoSpaceDE w:val="0"/>
        <w:autoSpaceDN w:val="0"/>
        <w:spacing w:line="360" w:lineRule="auto"/>
        <w:rPr>
          <w:i/>
          <w:iCs/>
          <w:spacing w:val="-3"/>
          <w:sz w:val="24"/>
          <w:szCs w:val="24"/>
        </w:rPr>
      </w:pPr>
      <w:r w:rsidRPr="0097089D">
        <w:rPr>
          <w:spacing w:val="-3"/>
          <w:sz w:val="24"/>
          <w:szCs w:val="24"/>
        </w:rPr>
        <w:tab/>
      </w:r>
      <w:r w:rsidRPr="0097089D">
        <w:rPr>
          <w:spacing w:val="-3"/>
          <w:sz w:val="24"/>
          <w:szCs w:val="24"/>
        </w:rPr>
        <w:tab/>
        <w:t xml:space="preserve">Administrative agencies, such as the Commission, are required to provide due process to the parties appearing before them.  </w:t>
      </w:r>
      <w:r w:rsidRPr="0097089D">
        <w:rPr>
          <w:i/>
          <w:spacing w:val="-3"/>
          <w:sz w:val="24"/>
          <w:szCs w:val="24"/>
        </w:rPr>
        <w:t>Schneider v. Pa</w:t>
      </w:r>
      <w:r w:rsidR="002B1966">
        <w:rPr>
          <w:i/>
          <w:spacing w:val="-3"/>
          <w:sz w:val="24"/>
          <w:szCs w:val="24"/>
        </w:rPr>
        <w:t xml:space="preserve"> </w:t>
      </w:r>
      <w:r w:rsidRPr="0097089D">
        <w:rPr>
          <w:i/>
          <w:spacing w:val="-3"/>
          <w:sz w:val="24"/>
          <w:szCs w:val="24"/>
        </w:rPr>
        <w:t>P</w:t>
      </w:r>
      <w:r w:rsidR="002B1966">
        <w:rPr>
          <w:i/>
          <w:spacing w:val="-3"/>
          <w:sz w:val="24"/>
          <w:szCs w:val="24"/>
        </w:rPr>
        <w:t>ub.</w:t>
      </w:r>
      <w:r w:rsidRPr="0097089D">
        <w:rPr>
          <w:i/>
          <w:spacing w:val="-3"/>
          <w:sz w:val="24"/>
          <w:szCs w:val="24"/>
        </w:rPr>
        <w:t>U</w:t>
      </w:r>
      <w:r w:rsidR="002B1966">
        <w:rPr>
          <w:i/>
          <w:spacing w:val="-3"/>
          <w:sz w:val="24"/>
          <w:szCs w:val="24"/>
        </w:rPr>
        <w:t xml:space="preserve">til. </w:t>
      </w:r>
      <w:r w:rsidRPr="0097089D">
        <w:rPr>
          <w:i/>
          <w:spacing w:val="-3"/>
          <w:sz w:val="24"/>
          <w:szCs w:val="24"/>
        </w:rPr>
        <w:t>C</w:t>
      </w:r>
      <w:r w:rsidR="002B1966">
        <w:rPr>
          <w:i/>
          <w:spacing w:val="-3"/>
          <w:sz w:val="24"/>
          <w:szCs w:val="24"/>
        </w:rPr>
        <w:t>omm’n.</w:t>
      </w:r>
      <w:r w:rsidR="006A7851">
        <w:rPr>
          <w:spacing w:val="-3"/>
          <w:sz w:val="24"/>
          <w:szCs w:val="24"/>
        </w:rPr>
        <w:t>, 479 A.2d 10 (Pa. Cmwlth. </w:t>
      </w:r>
      <w:r w:rsidRPr="0097089D">
        <w:rPr>
          <w:spacing w:val="-3"/>
          <w:sz w:val="24"/>
          <w:szCs w:val="24"/>
        </w:rPr>
        <w:t>1984).  This due process requirement is satisfied, however, when the parties are a</w:t>
      </w:r>
      <w:r w:rsidR="002B1966">
        <w:rPr>
          <w:spacing w:val="-3"/>
          <w:sz w:val="24"/>
          <w:szCs w:val="24"/>
        </w:rPr>
        <w:t>ff</w:t>
      </w:r>
      <w:r w:rsidRPr="0097089D">
        <w:rPr>
          <w:spacing w:val="-3"/>
          <w:sz w:val="24"/>
          <w:szCs w:val="24"/>
        </w:rPr>
        <w:t xml:space="preserve">orded notice and the opportunity to appear and be heard. </w:t>
      </w:r>
      <w:r w:rsidR="005A4F3F">
        <w:rPr>
          <w:spacing w:val="-3"/>
          <w:sz w:val="24"/>
          <w:szCs w:val="24"/>
        </w:rPr>
        <w:t xml:space="preserve"> </w:t>
      </w:r>
      <w:r w:rsidRPr="0097089D">
        <w:rPr>
          <w:i/>
          <w:iCs/>
          <w:spacing w:val="-3"/>
          <w:sz w:val="24"/>
          <w:szCs w:val="24"/>
        </w:rPr>
        <w:t>Id.</w:t>
      </w:r>
    </w:p>
    <w:p w:rsidR="00FD79FC" w:rsidRDefault="00FD79FC" w:rsidP="000C2278">
      <w:pPr>
        <w:autoSpaceDE w:val="0"/>
        <w:autoSpaceDN w:val="0"/>
        <w:spacing w:line="360" w:lineRule="auto"/>
        <w:rPr>
          <w:spacing w:val="-3"/>
          <w:sz w:val="24"/>
          <w:szCs w:val="24"/>
        </w:rPr>
      </w:pPr>
    </w:p>
    <w:p w:rsidR="00E416B6" w:rsidRPr="00E416B6" w:rsidRDefault="00E416B6" w:rsidP="00E416B6">
      <w:pPr>
        <w:autoSpaceDE w:val="0"/>
        <w:autoSpaceDN w:val="0"/>
        <w:spacing w:line="360" w:lineRule="auto"/>
        <w:rPr>
          <w:spacing w:val="-3"/>
          <w:sz w:val="24"/>
          <w:szCs w:val="24"/>
        </w:rPr>
      </w:pPr>
      <w:r>
        <w:rPr>
          <w:spacing w:val="-3"/>
          <w:sz w:val="24"/>
          <w:szCs w:val="24"/>
        </w:rPr>
        <w:tab/>
      </w:r>
      <w:r>
        <w:rPr>
          <w:spacing w:val="-3"/>
          <w:sz w:val="24"/>
          <w:szCs w:val="24"/>
        </w:rPr>
        <w:tab/>
      </w:r>
      <w:r w:rsidRPr="00E416B6">
        <w:rPr>
          <w:spacing w:val="-3"/>
          <w:sz w:val="24"/>
          <w:szCs w:val="24"/>
        </w:rPr>
        <w:t xml:space="preserve">The doctrine of </w:t>
      </w:r>
      <w:r>
        <w:rPr>
          <w:spacing w:val="-3"/>
          <w:sz w:val="24"/>
          <w:szCs w:val="24"/>
        </w:rPr>
        <w:t>“</w:t>
      </w:r>
      <w:r w:rsidR="00870F7D">
        <w:rPr>
          <w:spacing w:val="-3"/>
          <w:sz w:val="24"/>
          <w:szCs w:val="24"/>
        </w:rPr>
        <w:t xml:space="preserve"> . . . </w:t>
      </w:r>
      <w:r w:rsidRPr="00E416B6">
        <w:rPr>
          <w:i/>
          <w:spacing w:val="-3"/>
          <w:sz w:val="24"/>
          <w:szCs w:val="24"/>
        </w:rPr>
        <w:t>res judicata,</w:t>
      </w:r>
      <w:r w:rsidRPr="00E416B6">
        <w:rPr>
          <w:spacing w:val="-3"/>
          <w:sz w:val="24"/>
          <w:szCs w:val="24"/>
        </w:rPr>
        <w:t xml:space="preserve"> which is also known as claim preclusion, holds that a final judgment on the merits by a court of competent jurisdiction will bar any future action on the same cause of action between the parties and their privies.”  </w:t>
      </w:r>
      <w:r w:rsidRPr="00E416B6">
        <w:rPr>
          <w:i/>
          <w:spacing w:val="-3"/>
          <w:sz w:val="24"/>
          <w:szCs w:val="24"/>
        </w:rPr>
        <w:t>Hopewell Estates, Inc. v. Kent</w:t>
      </w:r>
      <w:r w:rsidRPr="00E416B6">
        <w:rPr>
          <w:spacing w:val="-3"/>
          <w:sz w:val="24"/>
          <w:szCs w:val="24"/>
        </w:rPr>
        <w:t xml:space="preserve">, 435 Pa. Superior Ct. 471. 476, 646 A.2d 1192 (1994).  This principle was explained by ALJ </w:t>
      </w:r>
      <w:r>
        <w:rPr>
          <w:spacing w:val="-3"/>
          <w:sz w:val="24"/>
          <w:szCs w:val="24"/>
        </w:rPr>
        <w:t xml:space="preserve">Wayne </w:t>
      </w:r>
      <w:r w:rsidRPr="00E416B6">
        <w:rPr>
          <w:spacing w:val="-3"/>
          <w:sz w:val="24"/>
          <w:szCs w:val="24"/>
        </w:rPr>
        <w:t xml:space="preserve">Weismandel </w:t>
      </w:r>
      <w:r w:rsidR="00CB2F90">
        <w:rPr>
          <w:spacing w:val="-3"/>
          <w:sz w:val="24"/>
          <w:szCs w:val="24"/>
        </w:rPr>
        <w:t xml:space="preserve">in the case </w:t>
      </w:r>
      <w:r w:rsidR="00CB2F90" w:rsidRPr="00CB2F90">
        <w:rPr>
          <w:i/>
          <w:spacing w:val="-3"/>
          <w:sz w:val="24"/>
          <w:szCs w:val="24"/>
        </w:rPr>
        <w:t>of Pa. Publ. Util. Comm’n Schuylkill Twp. v. Borough of Phoenixville</w:t>
      </w:r>
      <w:r w:rsidR="00CB2F90" w:rsidRPr="00CB2F90">
        <w:rPr>
          <w:spacing w:val="-3"/>
          <w:sz w:val="24"/>
          <w:szCs w:val="24"/>
        </w:rPr>
        <w:t xml:space="preserve">, 1993 Pa. PUC LEXIS 78 </w:t>
      </w:r>
      <w:r w:rsidRPr="00E416B6">
        <w:rPr>
          <w:spacing w:val="-3"/>
          <w:sz w:val="24"/>
          <w:szCs w:val="24"/>
        </w:rPr>
        <w:t>as follows:</w:t>
      </w:r>
    </w:p>
    <w:p w:rsidR="00E416B6" w:rsidRPr="00E416B6" w:rsidRDefault="00E416B6" w:rsidP="00E416B6">
      <w:pPr>
        <w:autoSpaceDE w:val="0"/>
        <w:autoSpaceDN w:val="0"/>
        <w:spacing w:line="360" w:lineRule="auto"/>
        <w:rPr>
          <w:spacing w:val="-3"/>
          <w:sz w:val="24"/>
          <w:szCs w:val="24"/>
        </w:rPr>
      </w:pPr>
    </w:p>
    <w:p w:rsidR="00E416B6" w:rsidRPr="00E416B6" w:rsidRDefault="00E416B6" w:rsidP="00E416B6">
      <w:pPr>
        <w:autoSpaceDE w:val="0"/>
        <w:autoSpaceDN w:val="0"/>
        <w:ind w:left="1440" w:right="720"/>
        <w:rPr>
          <w:spacing w:val="-3"/>
          <w:sz w:val="24"/>
          <w:szCs w:val="24"/>
        </w:rPr>
      </w:pPr>
      <w:r w:rsidRPr="00E416B6">
        <w:rPr>
          <w:spacing w:val="-3"/>
          <w:sz w:val="24"/>
          <w:szCs w:val="24"/>
        </w:rPr>
        <w:t xml:space="preserve">The terms </w:t>
      </w:r>
      <w:r w:rsidRPr="00870F7D">
        <w:rPr>
          <w:i/>
          <w:spacing w:val="-3"/>
          <w:sz w:val="24"/>
          <w:szCs w:val="24"/>
        </w:rPr>
        <w:t>res judicata</w:t>
      </w:r>
      <w:r w:rsidRPr="00E416B6">
        <w:rPr>
          <w:spacing w:val="-3"/>
          <w:sz w:val="24"/>
          <w:szCs w:val="24"/>
        </w:rPr>
        <w:t xml:space="preserve"> and collateral estoppel have been replaced in recent years in an effort to clarify the difference between the two (collateral estoppel was frequently called “broad </w:t>
      </w:r>
      <w:r w:rsidRPr="00870F7D">
        <w:rPr>
          <w:i/>
          <w:spacing w:val="-3"/>
          <w:sz w:val="24"/>
          <w:szCs w:val="24"/>
        </w:rPr>
        <w:t>res judicata</w:t>
      </w:r>
      <w:r w:rsidRPr="00E416B6">
        <w:rPr>
          <w:spacing w:val="-3"/>
          <w:sz w:val="24"/>
          <w:szCs w:val="24"/>
        </w:rPr>
        <w:t xml:space="preserve">” while </w:t>
      </w:r>
      <w:r w:rsidRPr="00870F7D">
        <w:rPr>
          <w:i/>
          <w:spacing w:val="-3"/>
          <w:sz w:val="24"/>
          <w:szCs w:val="24"/>
        </w:rPr>
        <w:t>res judicata</w:t>
      </w:r>
      <w:r w:rsidRPr="00E416B6">
        <w:rPr>
          <w:spacing w:val="-3"/>
          <w:sz w:val="24"/>
          <w:szCs w:val="24"/>
        </w:rPr>
        <w:t xml:space="preserve"> was described as “technical” or “strict </w:t>
      </w:r>
      <w:r w:rsidRPr="00870F7D">
        <w:rPr>
          <w:i/>
          <w:spacing w:val="-3"/>
          <w:sz w:val="24"/>
          <w:szCs w:val="24"/>
        </w:rPr>
        <w:t>res judicata</w:t>
      </w:r>
      <w:r w:rsidRPr="00E416B6">
        <w:rPr>
          <w:spacing w:val="-3"/>
          <w:sz w:val="24"/>
          <w:szCs w:val="24"/>
        </w:rPr>
        <w:t xml:space="preserve">” when distinguishing it from broad </w:t>
      </w:r>
      <w:r w:rsidRPr="00870F7D">
        <w:rPr>
          <w:i/>
          <w:spacing w:val="-3"/>
          <w:sz w:val="24"/>
          <w:szCs w:val="24"/>
        </w:rPr>
        <w:t>res judicata</w:t>
      </w:r>
      <w:r w:rsidRPr="00E416B6">
        <w:rPr>
          <w:spacing w:val="-3"/>
          <w:sz w:val="24"/>
          <w:szCs w:val="24"/>
        </w:rPr>
        <w:t>).  The current terms (adopted by the drafters of the Restatement (Second) of Judgments) are claim preclusion and issue preclusion.</w:t>
      </w:r>
    </w:p>
    <w:p w:rsidR="00E416B6" w:rsidRPr="00E416B6" w:rsidRDefault="00E416B6" w:rsidP="00E416B6">
      <w:pPr>
        <w:autoSpaceDE w:val="0"/>
        <w:autoSpaceDN w:val="0"/>
        <w:ind w:left="1440" w:right="720"/>
        <w:rPr>
          <w:spacing w:val="-3"/>
          <w:sz w:val="24"/>
          <w:szCs w:val="24"/>
        </w:rPr>
      </w:pPr>
    </w:p>
    <w:p w:rsidR="00E416B6" w:rsidRPr="00E416B6" w:rsidRDefault="00E416B6" w:rsidP="00E416B6">
      <w:pPr>
        <w:autoSpaceDE w:val="0"/>
        <w:autoSpaceDN w:val="0"/>
        <w:ind w:left="1440" w:right="720"/>
        <w:rPr>
          <w:spacing w:val="-3"/>
          <w:sz w:val="24"/>
          <w:szCs w:val="24"/>
        </w:rPr>
      </w:pPr>
      <w:r w:rsidRPr="00E416B6">
        <w:rPr>
          <w:spacing w:val="-3"/>
          <w:sz w:val="24"/>
          <w:szCs w:val="24"/>
        </w:rPr>
        <w:tab/>
      </w:r>
      <w:r w:rsidRPr="00E416B6">
        <w:rPr>
          <w:b/>
          <w:spacing w:val="-3"/>
          <w:sz w:val="24"/>
          <w:szCs w:val="24"/>
        </w:rPr>
        <w:t>Claim preclusion</w:t>
      </w:r>
      <w:r w:rsidRPr="00E416B6">
        <w:rPr>
          <w:spacing w:val="-3"/>
          <w:sz w:val="24"/>
          <w:szCs w:val="24"/>
        </w:rPr>
        <w:t xml:space="preserve">, formerly technical or strict </w:t>
      </w:r>
      <w:r w:rsidRPr="00870F7D">
        <w:rPr>
          <w:i/>
          <w:spacing w:val="-3"/>
          <w:sz w:val="24"/>
          <w:szCs w:val="24"/>
        </w:rPr>
        <w:t>res judicata</w:t>
      </w:r>
      <w:r w:rsidRPr="00E416B6">
        <w:rPr>
          <w:spacing w:val="-3"/>
          <w:sz w:val="24"/>
          <w:szCs w:val="24"/>
        </w:rPr>
        <w:t xml:space="preserve">, is the term used to describe the effects of merger and bar a prior judgment will </w:t>
      </w:r>
      <w:r w:rsidRPr="00E416B6">
        <w:rPr>
          <w:spacing w:val="-3"/>
          <w:sz w:val="24"/>
          <w:szCs w:val="24"/>
        </w:rPr>
        <w:lastRenderedPageBreak/>
        <w:t>have in a later action.  Matters which were actually litigated and also matters which should have been litigated in prior actions as part of the same cause of action will not be allowed to be re-litigated in a subsequent action.</w:t>
      </w:r>
    </w:p>
    <w:p w:rsidR="00E416B6" w:rsidRPr="00E416B6" w:rsidRDefault="00E416B6" w:rsidP="00E416B6">
      <w:pPr>
        <w:autoSpaceDE w:val="0"/>
        <w:autoSpaceDN w:val="0"/>
        <w:ind w:left="1440" w:right="720"/>
        <w:rPr>
          <w:spacing w:val="-3"/>
          <w:sz w:val="24"/>
          <w:szCs w:val="24"/>
        </w:rPr>
      </w:pPr>
      <w:r w:rsidRPr="00E416B6">
        <w:rPr>
          <w:spacing w:val="-3"/>
          <w:sz w:val="24"/>
          <w:szCs w:val="24"/>
        </w:rPr>
        <w:tab/>
      </w:r>
      <w:r w:rsidRPr="00E416B6">
        <w:rPr>
          <w:b/>
          <w:spacing w:val="-3"/>
          <w:sz w:val="24"/>
          <w:szCs w:val="24"/>
        </w:rPr>
        <w:t>Issue preclusion,</w:t>
      </w:r>
      <w:r w:rsidRPr="00E416B6">
        <w:rPr>
          <w:spacing w:val="-3"/>
          <w:sz w:val="24"/>
          <w:szCs w:val="24"/>
        </w:rPr>
        <w:t xml:space="preserve"> formerly collateral estoppel, prevents the re-litigation of an issue of fact or law which was actually litigated in a prior proceeding and was necessary to the original judgment.</w:t>
      </w:r>
    </w:p>
    <w:p w:rsidR="00E416B6" w:rsidRPr="00E416B6" w:rsidRDefault="00E416B6" w:rsidP="00E416B6">
      <w:pPr>
        <w:autoSpaceDE w:val="0"/>
        <w:autoSpaceDN w:val="0"/>
        <w:ind w:left="1440" w:right="720"/>
        <w:rPr>
          <w:spacing w:val="-3"/>
          <w:sz w:val="24"/>
          <w:szCs w:val="24"/>
        </w:rPr>
      </w:pPr>
    </w:p>
    <w:p w:rsidR="00E416B6" w:rsidRPr="00E416B6" w:rsidRDefault="00E416B6" w:rsidP="00E416B6">
      <w:pPr>
        <w:autoSpaceDE w:val="0"/>
        <w:autoSpaceDN w:val="0"/>
        <w:ind w:left="1440" w:right="720"/>
        <w:rPr>
          <w:spacing w:val="-3"/>
          <w:sz w:val="24"/>
          <w:szCs w:val="24"/>
        </w:rPr>
      </w:pPr>
      <w:r w:rsidRPr="00E416B6">
        <w:rPr>
          <w:spacing w:val="-3"/>
          <w:sz w:val="24"/>
          <w:szCs w:val="24"/>
        </w:rPr>
        <w:tab/>
        <w:t>Claim preclusion applies only when four conditions all exist:  (1) identity of the subject matter; (2) identity of the cause of action; (3) identity of the parties; and (4) identity of the quality or capacity (legal status) of the parties suing or being sued.</w:t>
      </w:r>
    </w:p>
    <w:p w:rsidR="00E416B6" w:rsidRPr="00E416B6" w:rsidRDefault="00E416B6" w:rsidP="00E416B6">
      <w:pPr>
        <w:autoSpaceDE w:val="0"/>
        <w:autoSpaceDN w:val="0"/>
        <w:ind w:left="1440" w:right="720"/>
        <w:rPr>
          <w:spacing w:val="-3"/>
          <w:sz w:val="24"/>
          <w:szCs w:val="24"/>
        </w:rPr>
      </w:pPr>
    </w:p>
    <w:p w:rsidR="00E416B6" w:rsidRPr="00E416B6" w:rsidRDefault="00E416B6" w:rsidP="00E416B6">
      <w:pPr>
        <w:autoSpaceDE w:val="0"/>
        <w:autoSpaceDN w:val="0"/>
        <w:ind w:left="1440" w:right="720"/>
        <w:rPr>
          <w:spacing w:val="-3"/>
          <w:sz w:val="24"/>
          <w:szCs w:val="24"/>
        </w:rPr>
      </w:pPr>
      <w:r w:rsidRPr="00E416B6">
        <w:rPr>
          <w:spacing w:val="-3"/>
          <w:sz w:val="24"/>
          <w:szCs w:val="24"/>
        </w:rPr>
        <w:tab/>
        <w:t>Issue preclusion does not require an identity of the parties, but does require: (1) the issue(s) decided by a prior final judgment is identical with the one(s) presented in the later action; (2) the issue(s) was actually litigated; (3) the party against whom issue preclusion is asserted was a party or in privy with a party to the prior litigation; and (4) the determination of the issue(s) was essential to the prior final judgment.</w:t>
      </w:r>
    </w:p>
    <w:p w:rsidR="00E416B6" w:rsidRPr="00E416B6" w:rsidRDefault="00E416B6" w:rsidP="00E416B6">
      <w:pPr>
        <w:autoSpaceDE w:val="0"/>
        <w:autoSpaceDN w:val="0"/>
        <w:spacing w:line="360" w:lineRule="auto"/>
        <w:rPr>
          <w:spacing w:val="-3"/>
          <w:sz w:val="24"/>
          <w:szCs w:val="24"/>
        </w:rPr>
      </w:pPr>
    </w:p>
    <w:p w:rsidR="00E416B6" w:rsidRPr="00E416B6" w:rsidRDefault="00B577D4" w:rsidP="00E416B6">
      <w:pPr>
        <w:autoSpaceDE w:val="0"/>
        <w:autoSpaceDN w:val="0"/>
        <w:spacing w:line="360" w:lineRule="auto"/>
        <w:rPr>
          <w:spacing w:val="-3"/>
          <w:sz w:val="24"/>
          <w:szCs w:val="24"/>
        </w:rPr>
      </w:pPr>
      <w:r>
        <w:rPr>
          <w:spacing w:val="-3"/>
          <w:sz w:val="24"/>
          <w:szCs w:val="24"/>
        </w:rPr>
        <w:tab/>
      </w:r>
      <w:r w:rsidR="00E416B6" w:rsidRPr="00E416B6">
        <w:rPr>
          <w:spacing w:val="-3"/>
          <w:sz w:val="24"/>
          <w:szCs w:val="24"/>
        </w:rPr>
        <w:tab/>
      </w:r>
      <w:r w:rsidR="00E8646E">
        <w:rPr>
          <w:spacing w:val="-3"/>
          <w:sz w:val="24"/>
          <w:szCs w:val="24"/>
        </w:rPr>
        <w:t>A t</w:t>
      </w:r>
      <w:r w:rsidR="00E416B6" w:rsidRPr="00E416B6">
        <w:rPr>
          <w:spacing w:val="-3"/>
          <w:sz w:val="24"/>
          <w:szCs w:val="24"/>
        </w:rPr>
        <w:t xml:space="preserve">horough discussion of both doctrines, under their old and new names respectively, may be found in </w:t>
      </w:r>
      <w:r w:rsidR="00E416B6" w:rsidRPr="00E416B6">
        <w:rPr>
          <w:i/>
          <w:spacing w:val="-3"/>
          <w:sz w:val="24"/>
          <w:szCs w:val="24"/>
        </w:rPr>
        <w:t xml:space="preserve">Safeguard Mutual Insurance Co. v. Williams, 463 Pa. 567, 345 A.2d 664 (1975) </w:t>
      </w:r>
      <w:r w:rsidR="00E416B6" w:rsidRPr="00E416B6">
        <w:rPr>
          <w:spacing w:val="-3"/>
          <w:sz w:val="24"/>
          <w:szCs w:val="24"/>
        </w:rPr>
        <w:t xml:space="preserve">and </w:t>
      </w:r>
      <w:r w:rsidR="00E416B6" w:rsidRPr="00E416B6">
        <w:rPr>
          <w:i/>
          <w:spacing w:val="-3"/>
          <w:sz w:val="24"/>
          <w:szCs w:val="24"/>
        </w:rPr>
        <w:t>Hebden v. W.C.A.B. (Bethenergy Mines, Inc.), 142 Pa. Commw. 176, 597 A.2d 182 (1991)(Allocatur granted in 604 A.2d 251). Pa. Publ. Util. Comm’n Schuylkill Twp. v. Borough of Phoenixville, 1993 Pa. PUC LEXIS 78</w:t>
      </w:r>
      <w:r w:rsidR="00E416B6" w:rsidRPr="00E416B6">
        <w:rPr>
          <w:spacing w:val="-3"/>
          <w:sz w:val="24"/>
          <w:szCs w:val="24"/>
        </w:rPr>
        <w:t>.</w:t>
      </w:r>
    </w:p>
    <w:p w:rsidR="00E416B6" w:rsidRPr="00E416B6" w:rsidRDefault="00E416B6" w:rsidP="00E416B6">
      <w:pPr>
        <w:autoSpaceDE w:val="0"/>
        <w:autoSpaceDN w:val="0"/>
        <w:spacing w:line="360" w:lineRule="auto"/>
        <w:rPr>
          <w:spacing w:val="-3"/>
          <w:sz w:val="24"/>
          <w:szCs w:val="24"/>
        </w:rPr>
      </w:pPr>
    </w:p>
    <w:p w:rsidR="00E416B6" w:rsidRPr="00E416B6" w:rsidRDefault="00E416B6" w:rsidP="00E416B6">
      <w:pPr>
        <w:autoSpaceDE w:val="0"/>
        <w:autoSpaceDN w:val="0"/>
        <w:spacing w:line="360" w:lineRule="auto"/>
        <w:rPr>
          <w:spacing w:val="-3"/>
          <w:sz w:val="24"/>
          <w:szCs w:val="24"/>
        </w:rPr>
      </w:pPr>
      <w:r w:rsidRPr="00E416B6">
        <w:rPr>
          <w:spacing w:val="-3"/>
          <w:sz w:val="24"/>
          <w:szCs w:val="24"/>
        </w:rPr>
        <w:tab/>
      </w:r>
      <w:r w:rsidRPr="00E416B6">
        <w:rPr>
          <w:spacing w:val="-3"/>
          <w:sz w:val="24"/>
          <w:szCs w:val="24"/>
        </w:rPr>
        <w:tab/>
        <w:t xml:space="preserve">ALJ </w:t>
      </w:r>
      <w:r w:rsidR="00E8646E">
        <w:rPr>
          <w:spacing w:val="-3"/>
          <w:sz w:val="24"/>
          <w:szCs w:val="24"/>
        </w:rPr>
        <w:t>John Corbett quoted</w:t>
      </w:r>
      <w:r w:rsidRPr="00E416B6">
        <w:rPr>
          <w:spacing w:val="-3"/>
          <w:sz w:val="24"/>
          <w:szCs w:val="24"/>
        </w:rPr>
        <w:t xml:space="preserve"> the Commission’s explanation of </w:t>
      </w:r>
      <w:r w:rsidRPr="00E8646E">
        <w:rPr>
          <w:i/>
          <w:spacing w:val="-3"/>
          <w:sz w:val="24"/>
          <w:szCs w:val="24"/>
        </w:rPr>
        <w:t>res judicata</w:t>
      </w:r>
      <w:r w:rsidRPr="00E416B6">
        <w:rPr>
          <w:spacing w:val="-3"/>
          <w:sz w:val="24"/>
          <w:szCs w:val="24"/>
        </w:rPr>
        <w:t xml:space="preserve"> and collateral estoppel in </w:t>
      </w:r>
      <w:r w:rsidRPr="00E416B6">
        <w:rPr>
          <w:i/>
          <w:spacing w:val="-3"/>
          <w:sz w:val="24"/>
          <w:szCs w:val="24"/>
        </w:rPr>
        <w:t xml:space="preserve">O’Toole v. Bell Telephone Company of Pennsylvania, Inc., </w:t>
      </w:r>
      <w:r w:rsidRPr="00E416B6">
        <w:rPr>
          <w:spacing w:val="-3"/>
          <w:sz w:val="24"/>
          <w:szCs w:val="24"/>
        </w:rPr>
        <w:t>77 Pa.P.U.C. 98, 104 (1992) as follows:</w:t>
      </w:r>
    </w:p>
    <w:p w:rsidR="00E416B6" w:rsidRPr="00E416B6" w:rsidRDefault="00E416B6" w:rsidP="00E416B6">
      <w:pPr>
        <w:autoSpaceDE w:val="0"/>
        <w:autoSpaceDN w:val="0"/>
        <w:spacing w:line="360" w:lineRule="auto"/>
        <w:rPr>
          <w:spacing w:val="-3"/>
          <w:sz w:val="24"/>
          <w:szCs w:val="24"/>
        </w:rPr>
      </w:pPr>
    </w:p>
    <w:p w:rsidR="00E416B6" w:rsidRPr="00E416B6" w:rsidRDefault="00E416B6" w:rsidP="00E8646E">
      <w:pPr>
        <w:autoSpaceDE w:val="0"/>
        <w:autoSpaceDN w:val="0"/>
        <w:ind w:left="1440" w:right="720"/>
        <w:rPr>
          <w:spacing w:val="-3"/>
          <w:sz w:val="24"/>
          <w:szCs w:val="24"/>
        </w:rPr>
      </w:pPr>
      <w:r w:rsidRPr="00E416B6">
        <w:rPr>
          <w:spacing w:val="-3"/>
          <w:sz w:val="24"/>
          <w:szCs w:val="24"/>
        </w:rPr>
        <w:tab/>
        <w:t xml:space="preserve">The doctrine of </w:t>
      </w:r>
      <w:r w:rsidRPr="00AC24C8">
        <w:rPr>
          <w:i/>
          <w:spacing w:val="-3"/>
          <w:sz w:val="24"/>
          <w:szCs w:val="24"/>
        </w:rPr>
        <w:t>res judicata</w:t>
      </w:r>
      <w:r w:rsidRPr="00E416B6">
        <w:rPr>
          <w:spacing w:val="-3"/>
          <w:sz w:val="24"/>
          <w:szCs w:val="24"/>
        </w:rPr>
        <w:t xml:space="preserve"> reflects the refusal of the law to tolerate the relitigation of a matter decided by a court of competent jurisdiction.  Final valid judgment on the merits by a court of competent jurisdiction bars any future suit between the same parties on the same cause of action.  For the doctrine to prevail, four conditions must be met:  (1) identity of issues, (2) identity of causes of action, (3) identity of persons and parties to the action, and (4) identity of the quality and capacity of the parties suing or sued.  </w:t>
      </w:r>
      <w:r w:rsidRPr="00E416B6">
        <w:rPr>
          <w:i/>
          <w:spacing w:val="-3"/>
          <w:sz w:val="24"/>
          <w:szCs w:val="24"/>
        </w:rPr>
        <w:t xml:space="preserve">Day v. Volkswagenwerk Aktienqesellschaft, </w:t>
      </w:r>
      <w:r w:rsidRPr="00E416B6">
        <w:rPr>
          <w:spacing w:val="-3"/>
          <w:sz w:val="24"/>
          <w:szCs w:val="24"/>
        </w:rPr>
        <w:t>318 Pa. Superior Ct. 225, 464 A.2d 1313, 1316, 1317 (1983).</w:t>
      </w:r>
    </w:p>
    <w:p w:rsidR="00E416B6" w:rsidRPr="00E416B6" w:rsidRDefault="00E416B6" w:rsidP="00E8646E">
      <w:pPr>
        <w:autoSpaceDE w:val="0"/>
        <w:autoSpaceDN w:val="0"/>
        <w:ind w:left="1440" w:right="720"/>
        <w:rPr>
          <w:spacing w:val="-3"/>
          <w:sz w:val="24"/>
          <w:szCs w:val="24"/>
        </w:rPr>
      </w:pPr>
    </w:p>
    <w:p w:rsidR="00E416B6" w:rsidRPr="00E416B6" w:rsidRDefault="00E416B6" w:rsidP="00E8646E">
      <w:pPr>
        <w:autoSpaceDE w:val="0"/>
        <w:autoSpaceDN w:val="0"/>
        <w:ind w:left="1440" w:right="720"/>
        <w:rPr>
          <w:i/>
          <w:spacing w:val="-3"/>
          <w:sz w:val="24"/>
          <w:szCs w:val="24"/>
        </w:rPr>
      </w:pPr>
      <w:r w:rsidRPr="00E416B6">
        <w:rPr>
          <w:spacing w:val="-3"/>
          <w:sz w:val="24"/>
          <w:szCs w:val="24"/>
        </w:rPr>
        <w:tab/>
        <w:t xml:space="preserve">Similar to the doctrine of </w:t>
      </w:r>
      <w:r w:rsidRPr="00AC24C8">
        <w:rPr>
          <w:i/>
          <w:spacing w:val="-3"/>
          <w:sz w:val="24"/>
          <w:szCs w:val="24"/>
        </w:rPr>
        <w:t>res judicata</w:t>
      </w:r>
      <w:r w:rsidRPr="00E416B6">
        <w:rPr>
          <w:spacing w:val="-3"/>
          <w:sz w:val="24"/>
          <w:szCs w:val="24"/>
        </w:rPr>
        <w:t xml:space="preserve"> is the doctrine of collateral estoppel; however, it is a broader concept.  Collateral estoppel operates to </w:t>
      </w:r>
      <w:r w:rsidRPr="00E416B6">
        <w:rPr>
          <w:spacing w:val="-3"/>
          <w:sz w:val="24"/>
          <w:szCs w:val="24"/>
        </w:rPr>
        <w:lastRenderedPageBreak/>
        <w:t xml:space="preserve">prevent a question of law or an issue of fact that has been once litigated and adjudicated finally in a court of competent jurisdiction from being relitigated in a subsequent suit.  The four requirements for a plea of collateral estoppel to prevail are: (1) the issues decided in the prior adjudication is identical with the one presented in the later action, (2) there was a final judgment on the merits, (3) the party against whom the plea is asserted was a party or in privy with a party to the prior adjudication, and (4) the party against whom the pleas is asserted had had a full and fair opportunity to litigate the issue in question in the prior action.  </w:t>
      </w:r>
      <w:r w:rsidRPr="00E416B6">
        <w:rPr>
          <w:i/>
          <w:spacing w:val="-3"/>
          <w:sz w:val="24"/>
          <w:szCs w:val="24"/>
        </w:rPr>
        <w:t xml:space="preserve">Day, 464 A.2d at 1318, 1319.  </w:t>
      </w:r>
      <w:r w:rsidRPr="00E416B6">
        <w:rPr>
          <w:spacing w:val="-3"/>
          <w:sz w:val="24"/>
          <w:szCs w:val="24"/>
        </w:rPr>
        <w:t xml:space="preserve">Collateral estoppel is a doctrine of issue preclusion that seeks to prevent the relitigation of a finally litigated issue in a subsequent proceeding between the same parties.  </w:t>
      </w:r>
      <w:r w:rsidRPr="00E416B6">
        <w:rPr>
          <w:i/>
          <w:spacing w:val="-3"/>
          <w:sz w:val="24"/>
          <w:szCs w:val="24"/>
        </w:rPr>
        <w:t xml:space="preserve">Baker v. Pa. Human Relations Comm., 75 Pa. Commonwealth Ct. 296, 307, 462 A.2d 881 (1983). Jordan v. The United Telephone Company of Pennsylvania, </w:t>
      </w:r>
      <w:r w:rsidRPr="00E416B6">
        <w:rPr>
          <w:spacing w:val="-3"/>
          <w:sz w:val="24"/>
          <w:szCs w:val="24"/>
        </w:rPr>
        <w:t>1995 Pa. PUC LEXIS 158, 22-24 (Initial Decision dated December 22, 1995).</w:t>
      </w:r>
    </w:p>
    <w:p w:rsidR="00E416B6" w:rsidRPr="00E416B6" w:rsidRDefault="00E416B6" w:rsidP="00E416B6">
      <w:pPr>
        <w:autoSpaceDE w:val="0"/>
        <w:autoSpaceDN w:val="0"/>
        <w:spacing w:line="360" w:lineRule="auto"/>
        <w:rPr>
          <w:spacing w:val="-3"/>
          <w:sz w:val="24"/>
          <w:szCs w:val="24"/>
        </w:rPr>
      </w:pPr>
    </w:p>
    <w:p w:rsidR="00E416B6" w:rsidRPr="00E416B6" w:rsidRDefault="00E8646E" w:rsidP="00E416B6">
      <w:pPr>
        <w:autoSpaceDE w:val="0"/>
        <w:autoSpaceDN w:val="0"/>
        <w:spacing w:line="360" w:lineRule="auto"/>
        <w:rPr>
          <w:spacing w:val="-3"/>
          <w:sz w:val="24"/>
          <w:szCs w:val="24"/>
        </w:rPr>
      </w:pPr>
      <w:r>
        <w:rPr>
          <w:spacing w:val="-3"/>
          <w:sz w:val="24"/>
          <w:szCs w:val="24"/>
        </w:rPr>
        <w:tab/>
      </w:r>
      <w:r>
        <w:rPr>
          <w:spacing w:val="-3"/>
          <w:sz w:val="24"/>
          <w:szCs w:val="24"/>
        </w:rPr>
        <w:tab/>
        <w:t xml:space="preserve">In addition to </w:t>
      </w:r>
      <w:r w:rsidR="00E416B6" w:rsidRPr="00E416B6">
        <w:rPr>
          <w:spacing w:val="-3"/>
          <w:sz w:val="24"/>
          <w:szCs w:val="24"/>
        </w:rPr>
        <w:t xml:space="preserve">the doctrines of </w:t>
      </w:r>
      <w:r w:rsidR="00E416B6" w:rsidRPr="00E8646E">
        <w:rPr>
          <w:i/>
          <w:spacing w:val="-3"/>
          <w:sz w:val="24"/>
          <w:szCs w:val="24"/>
        </w:rPr>
        <w:t>res judicata</w:t>
      </w:r>
      <w:r w:rsidR="00E416B6" w:rsidRPr="00E416B6">
        <w:rPr>
          <w:spacing w:val="-3"/>
          <w:sz w:val="24"/>
          <w:szCs w:val="24"/>
        </w:rPr>
        <w:t xml:space="preserve"> and collateral estoppel, a </w:t>
      </w:r>
      <w:r>
        <w:rPr>
          <w:spacing w:val="-3"/>
          <w:sz w:val="24"/>
          <w:szCs w:val="24"/>
        </w:rPr>
        <w:t>C</w:t>
      </w:r>
      <w:r w:rsidR="00E416B6" w:rsidRPr="00E416B6">
        <w:rPr>
          <w:spacing w:val="-3"/>
          <w:sz w:val="24"/>
          <w:szCs w:val="24"/>
        </w:rPr>
        <w:t>omplaint such as th</w:t>
      </w:r>
      <w:r>
        <w:rPr>
          <w:spacing w:val="-3"/>
          <w:sz w:val="24"/>
          <w:szCs w:val="24"/>
        </w:rPr>
        <w:t xml:space="preserve">at filed by Complainant in this case </w:t>
      </w:r>
      <w:r w:rsidR="00E416B6" w:rsidRPr="00E416B6">
        <w:rPr>
          <w:spacing w:val="-3"/>
          <w:sz w:val="24"/>
          <w:szCs w:val="24"/>
        </w:rPr>
        <w:t>may be barred by 66 Pa. C.S. § 316.  That section provides, in pertinent part, that:</w:t>
      </w:r>
    </w:p>
    <w:p w:rsidR="00E416B6" w:rsidRPr="00E416B6" w:rsidRDefault="00E416B6" w:rsidP="00E416B6">
      <w:pPr>
        <w:autoSpaceDE w:val="0"/>
        <w:autoSpaceDN w:val="0"/>
        <w:spacing w:line="360" w:lineRule="auto"/>
        <w:rPr>
          <w:spacing w:val="-3"/>
          <w:sz w:val="24"/>
          <w:szCs w:val="24"/>
        </w:rPr>
      </w:pPr>
    </w:p>
    <w:p w:rsidR="00E416B6" w:rsidRPr="00E416B6" w:rsidRDefault="00E416B6" w:rsidP="00E8646E">
      <w:pPr>
        <w:autoSpaceDE w:val="0"/>
        <w:autoSpaceDN w:val="0"/>
        <w:ind w:left="1440" w:right="720"/>
        <w:rPr>
          <w:spacing w:val="-3"/>
          <w:sz w:val="24"/>
          <w:szCs w:val="24"/>
        </w:rPr>
      </w:pPr>
      <w:r w:rsidRPr="00E416B6">
        <w:rPr>
          <w:spacing w:val="-3"/>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E416B6" w:rsidRPr="00E416B6" w:rsidRDefault="00E416B6" w:rsidP="00E416B6">
      <w:pPr>
        <w:autoSpaceDE w:val="0"/>
        <w:autoSpaceDN w:val="0"/>
        <w:spacing w:line="360" w:lineRule="auto"/>
        <w:rPr>
          <w:spacing w:val="-3"/>
          <w:sz w:val="24"/>
          <w:szCs w:val="24"/>
        </w:rPr>
      </w:pPr>
    </w:p>
    <w:p w:rsidR="00E416B6" w:rsidRPr="00E416B6" w:rsidRDefault="00E416B6" w:rsidP="00E416B6">
      <w:pPr>
        <w:autoSpaceDE w:val="0"/>
        <w:autoSpaceDN w:val="0"/>
        <w:spacing w:line="360" w:lineRule="auto"/>
        <w:rPr>
          <w:spacing w:val="-3"/>
          <w:sz w:val="24"/>
          <w:szCs w:val="24"/>
        </w:rPr>
      </w:pPr>
      <w:r w:rsidRPr="00E416B6">
        <w:rPr>
          <w:spacing w:val="-3"/>
          <w:sz w:val="24"/>
          <w:szCs w:val="24"/>
        </w:rPr>
        <w:tab/>
      </w:r>
      <w:r w:rsidR="00B577D4">
        <w:rPr>
          <w:spacing w:val="-3"/>
          <w:sz w:val="24"/>
          <w:szCs w:val="24"/>
        </w:rPr>
        <w:tab/>
      </w:r>
      <w:r w:rsidRPr="00E416B6">
        <w:rPr>
          <w:spacing w:val="-3"/>
          <w:sz w:val="24"/>
          <w:szCs w:val="24"/>
        </w:rPr>
        <w:t>This section of the Public Utility Code precludes a collateral attack upon a Commission order that has not been reversed upon appeal.</w:t>
      </w:r>
    </w:p>
    <w:p w:rsidR="00717280" w:rsidRDefault="00717280" w:rsidP="000C2278">
      <w:pPr>
        <w:autoSpaceDE w:val="0"/>
        <w:autoSpaceDN w:val="0"/>
        <w:spacing w:line="360" w:lineRule="auto"/>
        <w:rPr>
          <w:spacing w:val="-3"/>
          <w:sz w:val="24"/>
          <w:szCs w:val="24"/>
        </w:rPr>
      </w:pPr>
    </w:p>
    <w:p w:rsidR="00CC7E4D" w:rsidRDefault="002820A0" w:rsidP="000C2278">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r>
      <w:r w:rsidR="000C2278">
        <w:rPr>
          <w:spacing w:val="-3"/>
          <w:sz w:val="24"/>
          <w:szCs w:val="24"/>
        </w:rPr>
        <w:t xml:space="preserve">In this case, </w:t>
      </w:r>
      <w:r w:rsidR="00B577D4">
        <w:rPr>
          <w:spacing w:val="-3"/>
          <w:sz w:val="24"/>
          <w:szCs w:val="24"/>
        </w:rPr>
        <w:t>Floyd Tillman</w:t>
      </w:r>
      <w:r w:rsidR="00DD179B">
        <w:rPr>
          <w:spacing w:val="-3"/>
          <w:sz w:val="24"/>
          <w:szCs w:val="24"/>
        </w:rPr>
        <w:t xml:space="preserve"> </w:t>
      </w:r>
      <w:r w:rsidR="000C2278">
        <w:rPr>
          <w:spacing w:val="-3"/>
          <w:sz w:val="24"/>
          <w:szCs w:val="24"/>
        </w:rPr>
        <w:t>s</w:t>
      </w:r>
      <w:r w:rsidR="00E8646E">
        <w:rPr>
          <w:spacing w:val="-3"/>
          <w:sz w:val="24"/>
          <w:szCs w:val="24"/>
        </w:rPr>
        <w:t>eeks</w:t>
      </w:r>
      <w:r w:rsidR="000C2278">
        <w:rPr>
          <w:spacing w:val="-3"/>
          <w:sz w:val="24"/>
          <w:szCs w:val="24"/>
        </w:rPr>
        <w:t xml:space="preserve"> to re-litigate the same Complaint that had already been filed by </w:t>
      </w:r>
      <w:r w:rsidR="00E8646E">
        <w:rPr>
          <w:spacing w:val="-3"/>
          <w:sz w:val="24"/>
          <w:szCs w:val="24"/>
        </w:rPr>
        <w:t xml:space="preserve">his spouse, </w:t>
      </w:r>
      <w:r w:rsidR="00DD179B">
        <w:rPr>
          <w:spacing w:val="-3"/>
          <w:sz w:val="24"/>
          <w:szCs w:val="24"/>
        </w:rPr>
        <w:t>Martha Tillman</w:t>
      </w:r>
      <w:r w:rsidR="000C2278">
        <w:rPr>
          <w:spacing w:val="-3"/>
          <w:sz w:val="24"/>
          <w:szCs w:val="24"/>
        </w:rPr>
        <w:t xml:space="preserve">.  </w:t>
      </w:r>
      <w:r w:rsidR="0072527A">
        <w:rPr>
          <w:spacing w:val="-3"/>
          <w:sz w:val="24"/>
          <w:szCs w:val="24"/>
        </w:rPr>
        <w:t xml:space="preserve">According to the Commission’s records, </w:t>
      </w:r>
      <w:r w:rsidR="000C2278">
        <w:rPr>
          <w:spacing w:val="-3"/>
          <w:sz w:val="24"/>
          <w:szCs w:val="24"/>
        </w:rPr>
        <w:t>Martha Tillman claimed that she had been i</w:t>
      </w:r>
      <w:r w:rsidR="00870F7D">
        <w:rPr>
          <w:spacing w:val="-3"/>
          <w:sz w:val="24"/>
          <w:szCs w:val="24"/>
        </w:rPr>
        <w:t>ncorrectly</w:t>
      </w:r>
      <w:r w:rsidR="000C2278">
        <w:rPr>
          <w:spacing w:val="-3"/>
          <w:sz w:val="24"/>
          <w:szCs w:val="24"/>
        </w:rPr>
        <w:t xml:space="preserve"> billed for service at 4946 North Broad Street, Philadelphia, Pennsylvania</w:t>
      </w:r>
      <w:r w:rsidR="0072527A">
        <w:rPr>
          <w:spacing w:val="-3"/>
          <w:sz w:val="24"/>
          <w:szCs w:val="24"/>
        </w:rPr>
        <w:t xml:space="preserve">.  </w:t>
      </w:r>
      <w:r w:rsidR="00CC7E4D">
        <w:rPr>
          <w:spacing w:val="-3"/>
          <w:sz w:val="24"/>
          <w:szCs w:val="24"/>
        </w:rPr>
        <w:t xml:space="preserve">The Final Order in that case, </w:t>
      </w:r>
      <w:r w:rsidR="00CC7E4D" w:rsidRPr="00CC7E4D">
        <w:rPr>
          <w:i/>
          <w:spacing w:val="-3"/>
          <w:sz w:val="24"/>
          <w:szCs w:val="24"/>
        </w:rPr>
        <w:t>Martha Tillman v. Philadelphia Gas Works</w:t>
      </w:r>
      <w:r w:rsidR="00CC7E4D" w:rsidRPr="00CC7E4D">
        <w:rPr>
          <w:spacing w:val="-3"/>
          <w:sz w:val="24"/>
          <w:szCs w:val="24"/>
        </w:rPr>
        <w:t>, Docket No. F-2009-2146728 (Final Order entered January 10, 2011</w:t>
      </w:r>
      <w:r w:rsidR="00CC7E4D">
        <w:rPr>
          <w:spacing w:val="-3"/>
          <w:sz w:val="24"/>
          <w:szCs w:val="24"/>
        </w:rPr>
        <w:t>)</w:t>
      </w:r>
      <w:r w:rsidR="00CC7E4D" w:rsidRPr="00CC7E4D">
        <w:rPr>
          <w:spacing w:val="-3"/>
          <w:sz w:val="24"/>
          <w:szCs w:val="24"/>
        </w:rPr>
        <w:t xml:space="preserve"> dismissed the underlying Complaint </w:t>
      </w:r>
      <w:r w:rsidR="00CC7E4D" w:rsidRPr="00870F7D">
        <w:rPr>
          <w:i/>
          <w:spacing w:val="-3"/>
          <w:sz w:val="24"/>
          <w:szCs w:val="24"/>
        </w:rPr>
        <w:t>with prejudice</w:t>
      </w:r>
      <w:r w:rsidR="00CC7E4D" w:rsidRPr="00CC7E4D">
        <w:rPr>
          <w:spacing w:val="-3"/>
          <w:sz w:val="24"/>
          <w:szCs w:val="24"/>
        </w:rPr>
        <w:t xml:space="preserve"> for non-prosecution.</w:t>
      </w:r>
      <w:r w:rsidR="00870F7D">
        <w:rPr>
          <w:rStyle w:val="FootnoteReference"/>
          <w:spacing w:val="-3"/>
          <w:sz w:val="24"/>
          <w:szCs w:val="24"/>
        </w:rPr>
        <w:footnoteReference w:id="5"/>
      </w:r>
      <w:r w:rsidR="00CC7E4D" w:rsidRPr="00CC7E4D">
        <w:rPr>
          <w:spacing w:val="-3"/>
          <w:sz w:val="24"/>
          <w:szCs w:val="24"/>
        </w:rPr>
        <w:t xml:space="preserve">  </w:t>
      </w:r>
      <w:r w:rsidR="00CC7E4D">
        <w:rPr>
          <w:spacing w:val="-3"/>
          <w:sz w:val="24"/>
          <w:szCs w:val="24"/>
        </w:rPr>
        <w:t>The amount in controversy in both Complaints, $5,252.05</w:t>
      </w:r>
      <w:r w:rsidR="00B577D4">
        <w:rPr>
          <w:spacing w:val="-3"/>
          <w:sz w:val="24"/>
          <w:szCs w:val="24"/>
        </w:rPr>
        <w:t>,</w:t>
      </w:r>
      <w:r w:rsidR="00CC7E4D">
        <w:rPr>
          <w:spacing w:val="-3"/>
          <w:sz w:val="24"/>
          <w:szCs w:val="24"/>
        </w:rPr>
        <w:t xml:space="preserve"> is </w:t>
      </w:r>
      <w:r w:rsidR="00CC7E4D">
        <w:rPr>
          <w:spacing w:val="-3"/>
          <w:sz w:val="24"/>
          <w:szCs w:val="24"/>
        </w:rPr>
        <w:lastRenderedPageBreak/>
        <w:t>identical.</w:t>
      </w:r>
      <w:r w:rsidR="00DD179B">
        <w:rPr>
          <w:spacing w:val="-3"/>
          <w:sz w:val="24"/>
          <w:szCs w:val="24"/>
        </w:rPr>
        <w:t xml:space="preserve">  Floyd Tillman and Martha Tillman are husband and wife.  Tr. May 14, 2015, at 7.  </w:t>
      </w:r>
      <w:r w:rsidR="00DD179B" w:rsidRPr="00DD179B">
        <w:rPr>
          <w:spacing w:val="-3"/>
          <w:sz w:val="24"/>
          <w:szCs w:val="24"/>
        </w:rPr>
        <w:t>The service address for both Complainants is 4946 North Broad Street, Philadelphia, Pennsylvania.</w:t>
      </w:r>
      <w:r w:rsidR="009C0D98">
        <w:rPr>
          <w:rStyle w:val="FootnoteReference"/>
          <w:spacing w:val="-3"/>
          <w:sz w:val="24"/>
          <w:szCs w:val="24"/>
        </w:rPr>
        <w:footnoteReference w:id="6"/>
      </w:r>
    </w:p>
    <w:p w:rsidR="00DD179B" w:rsidRDefault="00DD179B" w:rsidP="000C2278">
      <w:pPr>
        <w:autoSpaceDE w:val="0"/>
        <w:autoSpaceDN w:val="0"/>
        <w:spacing w:line="360" w:lineRule="auto"/>
        <w:rPr>
          <w:spacing w:val="-3"/>
          <w:sz w:val="24"/>
          <w:szCs w:val="24"/>
        </w:rPr>
      </w:pPr>
    </w:p>
    <w:p w:rsidR="00DD179B" w:rsidRDefault="00DD179B" w:rsidP="000C2278">
      <w:pPr>
        <w:autoSpaceDE w:val="0"/>
        <w:autoSpaceDN w:val="0"/>
        <w:spacing w:line="360" w:lineRule="auto"/>
        <w:rPr>
          <w:spacing w:val="-3"/>
          <w:sz w:val="24"/>
          <w:szCs w:val="24"/>
        </w:rPr>
      </w:pPr>
      <w:r>
        <w:rPr>
          <w:spacing w:val="-3"/>
          <w:sz w:val="24"/>
          <w:szCs w:val="24"/>
        </w:rPr>
        <w:tab/>
      </w:r>
      <w:r>
        <w:rPr>
          <w:spacing w:val="-3"/>
          <w:sz w:val="24"/>
          <w:szCs w:val="24"/>
        </w:rPr>
        <w:tab/>
      </w:r>
      <w:r w:rsidRPr="00DD179B">
        <w:rPr>
          <w:spacing w:val="-3"/>
          <w:sz w:val="24"/>
          <w:szCs w:val="24"/>
        </w:rPr>
        <w:t xml:space="preserve">The doctrine of </w:t>
      </w:r>
      <w:r w:rsidRPr="00E416B6">
        <w:rPr>
          <w:i/>
          <w:spacing w:val="-3"/>
          <w:sz w:val="24"/>
          <w:szCs w:val="24"/>
        </w:rPr>
        <w:t>res judicata</w:t>
      </w:r>
      <w:r w:rsidRPr="00DD179B">
        <w:rPr>
          <w:spacing w:val="-3"/>
          <w:sz w:val="24"/>
          <w:szCs w:val="24"/>
        </w:rP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 identity of causes of action, (3) identity of persons and parties to the action, and (4) identity of the quality or capacity of the parties suing or sued.</w:t>
      </w:r>
      <w:r w:rsidR="00E416B6">
        <w:rPr>
          <w:spacing w:val="-3"/>
          <w:sz w:val="24"/>
          <w:szCs w:val="24"/>
        </w:rPr>
        <w:t xml:space="preserve"> </w:t>
      </w:r>
      <w:r w:rsidRPr="00DD179B">
        <w:rPr>
          <w:spacing w:val="-3"/>
          <w:sz w:val="24"/>
          <w:szCs w:val="24"/>
        </w:rPr>
        <w:t xml:space="preserve"> </w:t>
      </w:r>
      <w:r w:rsidRPr="00E416B6">
        <w:rPr>
          <w:i/>
          <w:spacing w:val="-3"/>
          <w:sz w:val="24"/>
          <w:szCs w:val="24"/>
        </w:rPr>
        <w:t>Day v. Volkswagenwerk Aktiengesellschaft</w:t>
      </w:r>
      <w:r w:rsidRPr="00DD179B">
        <w:rPr>
          <w:spacing w:val="-3"/>
          <w:sz w:val="24"/>
          <w:szCs w:val="24"/>
        </w:rPr>
        <w:t>, 318 Pa. Super. Ct. 225, 232, 464 A.2d 1313, 1316-17 (1983).</w:t>
      </w:r>
      <w:r w:rsidR="00E416B6">
        <w:rPr>
          <w:spacing w:val="-3"/>
          <w:sz w:val="24"/>
          <w:szCs w:val="24"/>
        </w:rPr>
        <w:t xml:space="preserve">  In both the case at Docket No. </w:t>
      </w:r>
      <w:r w:rsidR="00E416B6" w:rsidRPr="00E416B6">
        <w:rPr>
          <w:spacing w:val="-3"/>
          <w:sz w:val="24"/>
          <w:szCs w:val="24"/>
        </w:rPr>
        <w:t>F-2009-2146728</w:t>
      </w:r>
      <w:r w:rsidR="00E416B6">
        <w:rPr>
          <w:spacing w:val="-3"/>
          <w:sz w:val="24"/>
          <w:szCs w:val="24"/>
        </w:rPr>
        <w:t xml:space="preserve"> and the present case, the issue is alleged improper or incorrect billing, the cause of action is a formal complaint</w:t>
      </w:r>
      <w:r w:rsidR="00B577D4">
        <w:rPr>
          <w:spacing w:val="-3"/>
          <w:sz w:val="24"/>
          <w:szCs w:val="24"/>
        </w:rPr>
        <w:t xml:space="preserve"> involving an identical amount of money</w:t>
      </w:r>
      <w:r w:rsidR="00E416B6">
        <w:rPr>
          <w:spacing w:val="-3"/>
          <w:sz w:val="24"/>
          <w:szCs w:val="24"/>
        </w:rPr>
        <w:t xml:space="preserve">, the parties are husband and wife residing at the same service address, and the Respondent </w:t>
      </w:r>
      <w:r w:rsidR="00B577D4">
        <w:rPr>
          <w:spacing w:val="-3"/>
          <w:sz w:val="24"/>
          <w:szCs w:val="24"/>
        </w:rPr>
        <w:t xml:space="preserve">is </w:t>
      </w:r>
      <w:r w:rsidR="00E416B6">
        <w:rPr>
          <w:spacing w:val="-3"/>
          <w:sz w:val="24"/>
          <w:szCs w:val="24"/>
        </w:rPr>
        <w:t>PGW.</w:t>
      </w:r>
    </w:p>
    <w:p w:rsidR="00B577D4" w:rsidRDefault="00B577D4" w:rsidP="000C2278">
      <w:pPr>
        <w:autoSpaceDE w:val="0"/>
        <w:autoSpaceDN w:val="0"/>
        <w:spacing w:line="360" w:lineRule="auto"/>
        <w:rPr>
          <w:spacing w:val="-3"/>
          <w:sz w:val="24"/>
          <w:szCs w:val="24"/>
        </w:rPr>
      </w:pPr>
    </w:p>
    <w:p w:rsidR="00B577D4" w:rsidRPr="00B577D4" w:rsidRDefault="00B577D4" w:rsidP="000C2278">
      <w:pPr>
        <w:autoSpaceDE w:val="0"/>
        <w:autoSpaceDN w:val="0"/>
        <w:spacing w:line="360" w:lineRule="auto"/>
        <w:rPr>
          <w:spacing w:val="-3"/>
          <w:sz w:val="24"/>
          <w:szCs w:val="24"/>
        </w:rPr>
      </w:pPr>
      <w:r>
        <w:rPr>
          <w:spacing w:val="-3"/>
          <w:sz w:val="24"/>
          <w:szCs w:val="24"/>
        </w:rPr>
        <w:tab/>
      </w:r>
      <w:r>
        <w:rPr>
          <w:spacing w:val="-3"/>
          <w:sz w:val="24"/>
          <w:szCs w:val="24"/>
        </w:rPr>
        <w:tab/>
      </w:r>
      <w:r w:rsidRPr="00B577D4">
        <w:rPr>
          <w:spacing w:val="-3"/>
          <w:sz w:val="24"/>
          <w:szCs w:val="24"/>
        </w:rPr>
        <w:t xml:space="preserve">The doctrine of </w:t>
      </w:r>
      <w:r w:rsidRPr="00B577D4">
        <w:rPr>
          <w:i/>
          <w:spacing w:val="-3"/>
          <w:sz w:val="24"/>
          <w:szCs w:val="24"/>
        </w:rPr>
        <w:t>res judicata</w:t>
      </w:r>
      <w:r w:rsidRPr="00B577D4">
        <w:rPr>
          <w:spacing w:val="-3"/>
          <w:sz w:val="24"/>
          <w:szCs w:val="24"/>
        </w:rPr>
        <w:t xml:space="preserve"> reflects the refusal of the law to tolerate the relitigation of a matter decided by a co</w:t>
      </w:r>
      <w:r>
        <w:rPr>
          <w:spacing w:val="-3"/>
          <w:sz w:val="24"/>
          <w:szCs w:val="24"/>
        </w:rPr>
        <w:t xml:space="preserve">urt of competent jurisdiction, and as the Commission in </w:t>
      </w:r>
      <w:r>
        <w:rPr>
          <w:i/>
          <w:spacing w:val="-3"/>
          <w:sz w:val="24"/>
          <w:szCs w:val="24"/>
        </w:rPr>
        <w:t>Winston</w:t>
      </w:r>
      <w:r>
        <w:rPr>
          <w:spacing w:val="-3"/>
          <w:sz w:val="24"/>
          <w:szCs w:val="24"/>
        </w:rPr>
        <w:t xml:space="preserve"> clearly held a dismissal with prejudice as dispositive of a</w:t>
      </w:r>
      <w:r w:rsidRPr="00B577D4">
        <w:rPr>
          <w:spacing w:val="-3"/>
          <w:sz w:val="24"/>
          <w:szCs w:val="24"/>
        </w:rPr>
        <w:t xml:space="preserve"> claimant's rights to pursue any further remedy on a claim</w:t>
      </w:r>
      <w:r>
        <w:rPr>
          <w:spacing w:val="-3"/>
          <w:sz w:val="24"/>
          <w:szCs w:val="24"/>
        </w:rPr>
        <w:t>, this Complaint must be dismissed.</w:t>
      </w:r>
    </w:p>
    <w:p w:rsidR="00B577D4" w:rsidRDefault="00B577D4" w:rsidP="000C2278">
      <w:pPr>
        <w:autoSpaceDE w:val="0"/>
        <w:autoSpaceDN w:val="0"/>
        <w:spacing w:line="360" w:lineRule="auto"/>
        <w:rPr>
          <w:spacing w:val="-3"/>
          <w:sz w:val="24"/>
          <w:szCs w:val="24"/>
        </w:rPr>
      </w:pPr>
    </w:p>
    <w:p w:rsidR="00336CCE" w:rsidRDefault="002820A0" w:rsidP="00336CCE">
      <w:pPr>
        <w:autoSpaceDE w:val="0"/>
        <w:autoSpaceDN w:val="0"/>
        <w:spacing w:line="360" w:lineRule="auto"/>
        <w:jc w:val="center"/>
        <w:rPr>
          <w:spacing w:val="-3"/>
          <w:sz w:val="24"/>
          <w:szCs w:val="24"/>
          <w:u w:val="single"/>
        </w:rPr>
      </w:pPr>
      <w:r w:rsidRPr="0097089D">
        <w:rPr>
          <w:spacing w:val="-3"/>
          <w:sz w:val="24"/>
          <w:szCs w:val="24"/>
          <w:u w:val="single"/>
        </w:rPr>
        <w:t>CONCLUSIONS OF LAW</w:t>
      </w:r>
    </w:p>
    <w:p w:rsidR="00336CCE" w:rsidRDefault="00336CCE" w:rsidP="002820A0">
      <w:pPr>
        <w:autoSpaceDE w:val="0"/>
        <w:autoSpaceDN w:val="0"/>
        <w:spacing w:line="360" w:lineRule="auto"/>
        <w:rPr>
          <w:spacing w:val="-3"/>
          <w:sz w:val="24"/>
          <w:szCs w:val="24"/>
          <w:u w:val="single"/>
        </w:rPr>
      </w:pPr>
    </w:p>
    <w:p w:rsidR="00FD79FC"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t>The Commission has jurisdiction over the subject matter and the part</w:t>
      </w:r>
      <w:r w:rsidR="00FE28F2" w:rsidRPr="0097089D">
        <w:rPr>
          <w:spacing w:val="-3"/>
          <w:sz w:val="24"/>
          <w:szCs w:val="24"/>
        </w:rPr>
        <w:t>ies to this proceeding.  66 Pa.</w:t>
      </w:r>
      <w:r w:rsidRPr="0097089D">
        <w:rPr>
          <w:spacing w:val="-3"/>
          <w:sz w:val="24"/>
          <w:szCs w:val="24"/>
        </w:rPr>
        <w:t>C.S. § 701.</w:t>
      </w:r>
    </w:p>
    <w:p w:rsidR="00FD79FC" w:rsidRDefault="00FD79FC" w:rsidP="002820A0">
      <w:pPr>
        <w:autoSpaceDE w:val="0"/>
        <w:autoSpaceDN w:val="0"/>
        <w:spacing w:line="360" w:lineRule="auto"/>
        <w:rPr>
          <w:spacing w:val="-3"/>
          <w:sz w:val="24"/>
          <w:szCs w:val="24"/>
        </w:rPr>
      </w:pPr>
    </w:p>
    <w:p w:rsidR="00B577D4" w:rsidRDefault="002820A0" w:rsidP="00FD79FC">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The due process rights of Complainant have been fully protected in this proceeding.  </w:t>
      </w:r>
      <w:r w:rsidRPr="0097089D">
        <w:rPr>
          <w:i/>
          <w:spacing w:val="-3"/>
          <w:sz w:val="24"/>
          <w:szCs w:val="24"/>
        </w:rPr>
        <w:t>Sentner v. Bell Telephone Company of Pennsylvania</w:t>
      </w:r>
      <w:r w:rsidRPr="0097089D">
        <w:rPr>
          <w:spacing w:val="-3"/>
          <w:sz w:val="24"/>
          <w:szCs w:val="24"/>
        </w:rPr>
        <w:t>, Docket No. F-00161106 (Order entere</w:t>
      </w:r>
      <w:r w:rsidR="00313E9A">
        <w:rPr>
          <w:spacing w:val="-3"/>
          <w:sz w:val="24"/>
          <w:szCs w:val="24"/>
        </w:rPr>
        <w:t>d October 25, 1993); and 52 Pa.</w:t>
      </w:r>
      <w:r w:rsidRPr="0097089D">
        <w:rPr>
          <w:spacing w:val="-3"/>
          <w:sz w:val="24"/>
          <w:szCs w:val="24"/>
        </w:rPr>
        <w:t>Code § 5.245(a).</w:t>
      </w:r>
    </w:p>
    <w:p w:rsidR="00FD79FC" w:rsidRDefault="00FD79FC" w:rsidP="00FD79FC">
      <w:pPr>
        <w:autoSpaceDE w:val="0"/>
        <w:autoSpaceDN w:val="0"/>
        <w:spacing w:line="360" w:lineRule="auto"/>
        <w:rPr>
          <w:spacing w:val="-3"/>
          <w:sz w:val="24"/>
          <w:szCs w:val="24"/>
        </w:rPr>
      </w:pPr>
      <w:r>
        <w:rPr>
          <w:spacing w:val="-3"/>
          <w:sz w:val="24"/>
          <w:szCs w:val="24"/>
        </w:rPr>
        <w:br w:type="page"/>
      </w:r>
    </w:p>
    <w:p w:rsidR="00B577D4" w:rsidRPr="00B577D4" w:rsidRDefault="00B577D4" w:rsidP="00FD79FC">
      <w:pPr>
        <w:autoSpaceDE w:val="0"/>
        <w:autoSpaceDN w:val="0"/>
        <w:spacing w:line="360" w:lineRule="auto"/>
        <w:rPr>
          <w:spacing w:val="-3"/>
          <w:sz w:val="24"/>
          <w:szCs w:val="24"/>
        </w:rPr>
      </w:pPr>
      <w:r>
        <w:rPr>
          <w:spacing w:val="-3"/>
          <w:sz w:val="24"/>
          <w:szCs w:val="24"/>
        </w:rPr>
        <w:lastRenderedPageBreak/>
        <w:tab/>
      </w:r>
      <w:r>
        <w:rPr>
          <w:spacing w:val="-3"/>
          <w:sz w:val="24"/>
          <w:szCs w:val="24"/>
        </w:rPr>
        <w:tab/>
        <w:t>3</w:t>
      </w:r>
      <w:r w:rsidRPr="00B577D4">
        <w:rPr>
          <w:spacing w:val="-3"/>
          <w:sz w:val="24"/>
          <w:szCs w:val="24"/>
        </w:rPr>
        <w:t>.</w:t>
      </w:r>
      <w:r w:rsidRPr="00B577D4">
        <w:rPr>
          <w:spacing w:val="-3"/>
          <w:sz w:val="24"/>
          <w:szCs w:val="24"/>
        </w:rPr>
        <w:tab/>
        <w:t>The Commission has jurisdiction over the parties and the subject matter of this proceeding.  66 Pa.C.S. § 701.</w:t>
      </w:r>
    </w:p>
    <w:p w:rsidR="00B577D4" w:rsidRPr="00B577D4" w:rsidRDefault="00B577D4" w:rsidP="00B577D4">
      <w:pPr>
        <w:autoSpaceDE w:val="0"/>
        <w:autoSpaceDN w:val="0"/>
        <w:spacing w:line="360" w:lineRule="auto"/>
        <w:rPr>
          <w:spacing w:val="-3"/>
          <w:sz w:val="24"/>
          <w:szCs w:val="24"/>
        </w:rPr>
      </w:pPr>
    </w:p>
    <w:p w:rsidR="00FD79FC" w:rsidRDefault="00B577D4" w:rsidP="00B577D4">
      <w:pPr>
        <w:autoSpaceDE w:val="0"/>
        <w:autoSpaceDN w:val="0"/>
        <w:spacing w:line="360" w:lineRule="auto"/>
        <w:rPr>
          <w:spacing w:val="-3"/>
          <w:sz w:val="24"/>
          <w:szCs w:val="24"/>
        </w:rPr>
      </w:pPr>
      <w:r>
        <w:rPr>
          <w:spacing w:val="-3"/>
          <w:sz w:val="24"/>
          <w:szCs w:val="24"/>
        </w:rPr>
        <w:tab/>
      </w:r>
      <w:r>
        <w:rPr>
          <w:spacing w:val="-3"/>
          <w:sz w:val="24"/>
          <w:szCs w:val="24"/>
        </w:rPr>
        <w:tab/>
        <w:t>4</w:t>
      </w:r>
      <w:r w:rsidRPr="00B577D4">
        <w:rPr>
          <w:spacing w:val="-3"/>
          <w:sz w:val="24"/>
          <w:szCs w:val="24"/>
        </w:rPr>
        <w:t>.</w:t>
      </w:r>
      <w:r w:rsidRPr="00B577D4">
        <w:rPr>
          <w:spacing w:val="-3"/>
          <w:sz w:val="24"/>
          <w:szCs w:val="24"/>
        </w:rPr>
        <w:tab/>
      </w:r>
      <w:r>
        <w:rPr>
          <w:spacing w:val="-3"/>
          <w:sz w:val="24"/>
          <w:szCs w:val="24"/>
        </w:rPr>
        <w:t xml:space="preserve">The doctrine of </w:t>
      </w:r>
      <w:r w:rsidRPr="00B577D4">
        <w:rPr>
          <w:i/>
          <w:spacing w:val="-3"/>
          <w:sz w:val="24"/>
          <w:szCs w:val="24"/>
        </w:rPr>
        <w:t>res judicata</w:t>
      </w:r>
      <w:r>
        <w:rPr>
          <w:spacing w:val="-3"/>
          <w:sz w:val="24"/>
          <w:szCs w:val="24"/>
        </w:rPr>
        <w:t xml:space="preserve"> applies when a formal Complaint repeats and includes the same</w:t>
      </w:r>
      <w:r w:rsidRPr="00B577D4">
        <w:rPr>
          <w:spacing w:val="-3"/>
          <w:sz w:val="24"/>
          <w:szCs w:val="24"/>
        </w:rPr>
        <w:t xml:space="preserve"> issues, causes of action</w:t>
      </w:r>
      <w:r>
        <w:rPr>
          <w:spacing w:val="-3"/>
          <w:sz w:val="24"/>
          <w:szCs w:val="24"/>
        </w:rPr>
        <w:t>,</w:t>
      </w:r>
      <w:r w:rsidRPr="00B577D4">
        <w:rPr>
          <w:spacing w:val="-3"/>
          <w:sz w:val="24"/>
          <w:szCs w:val="24"/>
        </w:rPr>
        <w:t xml:space="preserve"> persons and parties </w:t>
      </w:r>
      <w:r>
        <w:rPr>
          <w:spacing w:val="-3"/>
          <w:sz w:val="24"/>
          <w:szCs w:val="24"/>
        </w:rPr>
        <w:t>to</w:t>
      </w:r>
      <w:r w:rsidRPr="00B577D4">
        <w:rPr>
          <w:spacing w:val="-3"/>
          <w:sz w:val="24"/>
          <w:szCs w:val="24"/>
        </w:rPr>
        <w:t xml:space="preserve"> action</w:t>
      </w:r>
      <w:r>
        <w:rPr>
          <w:spacing w:val="-3"/>
          <w:sz w:val="24"/>
          <w:szCs w:val="24"/>
        </w:rPr>
        <w:t xml:space="preserve">, </w:t>
      </w:r>
      <w:r w:rsidRPr="00B577D4">
        <w:rPr>
          <w:spacing w:val="-3"/>
          <w:sz w:val="24"/>
          <w:szCs w:val="24"/>
        </w:rPr>
        <w:t xml:space="preserve">and quality and capacity of the parties suing or being sued.  </w:t>
      </w:r>
      <w:r w:rsidRPr="0092547D">
        <w:rPr>
          <w:i/>
          <w:spacing w:val="-3"/>
          <w:sz w:val="24"/>
          <w:szCs w:val="24"/>
        </w:rPr>
        <w:t>Day v. Volkswagenwerk Aktienqesellschaft</w:t>
      </w:r>
      <w:r w:rsidRPr="00B577D4">
        <w:rPr>
          <w:spacing w:val="-3"/>
          <w:sz w:val="24"/>
          <w:szCs w:val="24"/>
        </w:rPr>
        <w:t>, 318 Pa. Superior Ct. 255, 474 A.2d 1313, 1316, 1317 (1983).</w:t>
      </w:r>
    </w:p>
    <w:p w:rsidR="00FD79FC" w:rsidRDefault="00FD79FC" w:rsidP="00B577D4">
      <w:pPr>
        <w:autoSpaceDE w:val="0"/>
        <w:autoSpaceDN w:val="0"/>
        <w:spacing w:line="360" w:lineRule="auto"/>
        <w:rPr>
          <w:spacing w:val="-3"/>
          <w:sz w:val="24"/>
          <w:szCs w:val="24"/>
        </w:rPr>
      </w:pPr>
    </w:p>
    <w:p w:rsidR="002820A0" w:rsidRPr="00FD79FC" w:rsidRDefault="002820A0" w:rsidP="00FD79FC">
      <w:pPr>
        <w:autoSpaceDE w:val="0"/>
        <w:autoSpaceDN w:val="0"/>
        <w:spacing w:line="360" w:lineRule="auto"/>
        <w:jc w:val="center"/>
        <w:rPr>
          <w:spacing w:val="-3"/>
          <w:sz w:val="24"/>
          <w:szCs w:val="24"/>
        </w:rPr>
      </w:pPr>
      <w:r w:rsidRPr="00FD79FC">
        <w:rPr>
          <w:spacing w:val="-3"/>
          <w:sz w:val="24"/>
          <w:szCs w:val="24"/>
          <w:u w:val="single"/>
        </w:rPr>
        <w:t>ORDER</w:t>
      </w:r>
    </w:p>
    <w:p w:rsidR="002820A0" w:rsidRDefault="002820A0" w:rsidP="002820A0">
      <w:pPr>
        <w:autoSpaceDE w:val="0"/>
        <w:autoSpaceDN w:val="0"/>
        <w:spacing w:line="360" w:lineRule="auto"/>
        <w:jc w:val="center"/>
        <w:rPr>
          <w:spacing w:val="-3"/>
          <w:sz w:val="24"/>
          <w:szCs w:val="24"/>
        </w:rPr>
      </w:pPr>
    </w:p>
    <w:p w:rsidR="00313E9A" w:rsidRPr="0097089D" w:rsidRDefault="00313E9A" w:rsidP="002820A0">
      <w:pPr>
        <w:autoSpaceDE w:val="0"/>
        <w:autoSpaceDN w:val="0"/>
        <w:spacing w:line="360" w:lineRule="auto"/>
        <w:jc w:val="center"/>
        <w:rPr>
          <w:spacing w:val="-3"/>
          <w:sz w:val="24"/>
          <w:szCs w:val="24"/>
        </w:rPr>
      </w:pPr>
    </w:p>
    <w:p w:rsidR="00FD79FC"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THEREFORE,</w:t>
      </w:r>
    </w:p>
    <w:p w:rsidR="00FD79FC" w:rsidRDefault="00FD79FC" w:rsidP="002820A0">
      <w:pPr>
        <w:tabs>
          <w:tab w:val="left" w:pos="0"/>
        </w:tabs>
        <w:suppressAutoHyphens/>
        <w:autoSpaceDE w:val="0"/>
        <w:autoSpaceDN w:val="0"/>
        <w:spacing w:line="360" w:lineRule="auto"/>
        <w:rPr>
          <w:spacing w:val="-3"/>
          <w:sz w:val="24"/>
          <w:szCs w:val="24"/>
        </w:rPr>
      </w:pPr>
    </w:p>
    <w:p w:rsidR="00FD79FC"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IT IS ORDERED:</w:t>
      </w:r>
    </w:p>
    <w:p w:rsidR="00FD79FC" w:rsidRDefault="00FD79FC" w:rsidP="002820A0">
      <w:pPr>
        <w:tabs>
          <w:tab w:val="left" w:pos="0"/>
        </w:tabs>
        <w:suppressAutoHyphens/>
        <w:autoSpaceDE w:val="0"/>
        <w:autoSpaceDN w:val="0"/>
        <w:spacing w:line="360" w:lineRule="auto"/>
        <w:rPr>
          <w:spacing w:val="-3"/>
          <w:sz w:val="24"/>
          <w:szCs w:val="24"/>
        </w:rPr>
      </w:pPr>
    </w:p>
    <w:p w:rsidR="002820A0" w:rsidRPr="0097089D"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t xml:space="preserve">That the Motion to Dismiss the Complaint of </w:t>
      </w:r>
      <w:r w:rsidR="0092547D">
        <w:rPr>
          <w:spacing w:val="-3"/>
          <w:sz w:val="24"/>
          <w:szCs w:val="24"/>
        </w:rPr>
        <w:t>Floyd Tillman</w:t>
      </w:r>
      <w:r w:rsidR="00175064" w:rsidRPr="0097089D">
        <w:rPr>
          <w:spacing w:val="-3"/>
          <w:sz w:val="24"/>
          <w:szCs w:val="24"/>
        </w:rPr>
        <w:t xml:space="preserve"> </w:t>
      </w:r>
      <w:r w:rsidRPr="0097089D">
        <w:rPr>
          <w:spacing w:val="-3"/>
          <w:sz w:val="24"/>
          <w:szCs w:val="24"/>
        </w:rPr>
        <w:t xml:space="preserve">raised by </w:t>
      </w:r>
      <w:r w:rsidR="0092547D">
        <w:rPr>
          <w:spacing w:val="-3"/>
          <w:sz w:val="24"/>
          <w:szCs w:val="24"/>
        </w:rPr>
        <w:t xml:space="preserve">Philadelphia Gas Works on the basis of the doctrine of </w:t>
      </w:r>
      <w:r w:rsidR="0092547D" w:rsidRPr="0092547D">
        <w:rPr>
          <w:i/>
          <w:spacing w:val="-3"/>
          <w:sz w:val="24"/>
          <w:szCs w:val="24"/>
        </w:rPr>
        <w:t>res judicata</w:t>
      </w:r>
      <w:r w:rsidR="0092547D">
        <w:rPr>
          <w:spacing w:val="-3"/>
          <w:sz w:val="24"/>
          <w:szCs w:val="24"/>
        </w:rPr>
        <w:t xml:space="preserve"> </w:t>
      </w:r>
      <w:r w:rsidRPr="0097089D">
        <w:rPr>
          <w:spacing w:val="-3"/>
          <w:sz w:val="24"/>
          <w:szCs w:val="24"/>
        </w:rPr>
        <w:t xml:space="preserve">at Docket No. </w:t>
      </w:r>
      <w:r w:rsidR="00627A04" w:rsidRPr="0097089D">
        <w:rPr>
          <w:spacing w:val="-3"/>
          <w:sz w:val="24"/>
          <w:szCs w:val="24"/>
        </w:rPr>
        <w:t>C</w:t>
      </w:r>
      <w:r w:rsidRPr="0097089D">
        <w:rPr>
          <w:spacing w:val="-3"/>
          <w:sz w:val="24"/>
          <w:szCs w:val="24"/>
        </w:rPr>
        <w:t>-201</w:t>
      </w:r>
      <w:r w:rsidR="0059410E">
        <w:rPr>
          <w:spacing w:val="-3"/>
          <w:sz w:val="24"/>
          <w:szCs w:val="24"/>
        </w:rPr>
        <w:t>4-</w:t>
      </w:r>
      <w:r w:rsidR="0034324C">
        <w:rPr>
          <w:spacing w:val="-3"/>
          <w:sz w:val="24"/>
          <w:szCs w:val="24"/>
        </w:rPr>
        <w:t>2445</w:t>
      </w:r>
      <w:r w:rsidR="0092547D">
        <w:rPr>
          <w:spacing w:val="-3"/>
          <w:sz w:val="24"/>
          <w:szCs w:val="24"/>
        </w:rPr>
        <w:t>229</w:t>
      </w:r>
      <w:r w:rsidR="0059410E">
        <w:rPr>
          <w:spacing w:val="-3"/>
          <w:sz w:val="24"/>
          <w:szCs w:val="24"/>
        </w:rPr>
        <w:t xml:space="preserve"> is h</w:t>
      </w:r>
      <w:r w:rsidRPr="0097089D">
        <w:rPr>
          <w:spacing w:val="-3"/>
          <w:sz w:val="24"/>
          <w:szCs w:val="24"/>
        </w:rPr>
        <w:t>ereby granted.</w:t>
      </w:r>
    </w:p>
    <w:p w:rsidR="002820A0" w:rsidRPr="0097089D" w:rsidRDefault="002820A0" w:rsidP="002820A0">
      <w:pPr>
        <w:tabs>
          <w:tab w:val="left" w:pos="0"/>
        </w:tabs>
        <w:suppressAutoHyphens/>
        <w:autoSpaceDE w:val="0"/>
        <w:autoSpaceDN w:val="0"/>
        <w:spacing w:line="360" w:lineRule="auto"/>
        <w:rPr>
          <w:spacing w:val="-3"/>
          <w:sz w:val="24"/>
          <w:szCs w:val="24"/>
        </w:rPr>
      </w:pPr>
    </w:p>
    <w:p w:rsidR="002820A0" w:rsidRPr="0097089D" w:rsidRDefault="002820A0" w:rsidP="002820A0">
      <w:pPr>
        <w:tabs>
          <w:tab w:val="left" w:pos="0"/>
        </w:tabs>
        <w:suppressAutoHyphens/>
        <w:autoSpaceDE w:val="0"/>
        <w:autoSpaceDN w:val="0"/>
        <w:spacing w:line="360" w:lineRule="auto"/>
        <w:rPr>
          <w:bCs/>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That the Complaint of </w:t>
      </w:r>
      <w:r w:rsidR="0092547D">
        <w:rPr>
          <w:spacing w:val="-3"/>
          <w:sz w:val="24"/>
          <w:szCs w:val="24"/>
        </w:rPr>
        <w:t xml:space="preserve">Floyd Tillman </w:t>
      </w:r>
      <w:r w:rsidRPr="0097089D">
        <w:rPr>
          <w:spacing w:val="-3"/>
          <w:sz w:val="24"/>
          <w:szCs w:val="24"/>
        </w:rPr>
        <w:t xml:space="preserve">against </w:t>
      </w:r>
      <w:r w:rsidR="0092547D">
        <w:rPr>
          <w:spacing w:val="-3"/>
          <w:sz w:val="24"/>
          <w:szCs w:val="24"/>
        </w:rPr>
        <w:t xml:space="preserve">Philadelphia Gas Works </w:t>
      </w:r>
      <w:r w:rsidR="00627A04" w:rsidRPr="0097089D">
        <w:rPr>
          <w:spacing w:val="-3"/>
          <w:sz w:val="24"/>
          <w:szCs w:val="24"/>
        </w:rPr>
        <w:t>at Docket No. C</w:t>
      </w:r>
      <w:r w:rsidR="00175064" w:rsidRPr="0097089D">
        <w:rPr>
          <w:spacing w:val="-3"/>
          <w:sz w:val="24"/>
          <w:szCs w:val="24"/>
        </w:rPr>
        <w:t>-201</w:t>
      </w:r>
      <w:r w:rsidR="0059410E">
        <w:rPr>
          <w:spacing w:val="-3"/>
          <w:sz w:val="24"/>
          <w:szCs w:val="24"/>
        </w:rPr>
        <w:t>4</w:t>
      </w:r>
      <w:r w:rsidR="00175064" w:rsidRPr="0097089D">
        <w:rPr>
          <w:spacing w:val="-3"/>
          <w:sz w:val="24"/>
          <w:szCs w:val="24"/>
        </w:rPr>
        <w:t>-</w:t>
      </w:r>
      <w:r w:rsidR="0059410E">
        <w:rPr>
          <w:spacing w:val="-3"/>
          <w:sz w:val="24"/>
          <w:szCs w:val="24"/>
        </w:rPr>
        <w:t>24</w:t>
      </w:r>
      <w:r w:rsidR="0034324C">
        <w:rPr>
          <w:spacing w:val="-3"/>
          <w:sz w:val="24"/>
          <w:szCs w:val="24"/>
        </w:rPr>
        <w:t>45</w:t>
      </w:r>
      <w:r w:rsidR="0092547D">
        <w:rPr>
          <w:spacing w:val="-3"/>
          <w:sz w:val="24"/>
          <w:szCs w:val="24"/>
        </w:rPr>
        <w:t>229</w:t>
      </w:r>
      <w:r w:rsidR="00175064" w:rsidRPr="0097089D">
        <w:rPr>
          <w:spacing w:val="-3"/>
          <w:sz w:val="24"/>
          <w:szCs w:val="24"/>
        </w:rPr>
        <w:t xml:space="preserve"> </w:t>
      </w:r>
      <w:r w:rsidRPr="0097089D">
        <w:rPr>
          <w:spacing w:val="-3"/>
          <w:sz w:val="24"/>
          <w:szCs w:val="24"/>
        </w:rPr>
        <w:t xml:space="preserve">is hereby </w:t>
      </w:r>
      <w:r w:rsidRPr="0097089D">
        <w:rPr>
          <w:bCs/>
          <w:spacing w:val="-3"/>
          <w:sz w:val="24"/>
          <w:szCs w:val="24"/>
        </w:rPr>
        <w:t>dismissed with prejudice.</w:t>
      </w:r>
    </w:p>
    <w:p w:rsidR="001E2544" w:rsidRDefault="001E2544" w:rsidP="002820A0">
      <w:pPr>
        <w:tabs>
          <w:tab w:val="left" w:pos="0"/>
        </w:tabs>
        <w:suppressAutoHyphens/>
        <w:autoSpaceDE w:val="0"/>
        <w:autoSpaceDN w:val="0"/>
        <w:spacing w:line="360" w:lineRule="auto"/>
        <w:rPr>
          <w:bCs/>
          <w:spacing w:val="-3"/>
          <w:sz w:val="24"/>
          <w:szCs w:val="24"/>
        </w:rPr>
      </w:pPr>
    </w:p>
    <w:p w:rsidR="001E2544" w:rsidRPr="0097089D" w:rsidRDefault="001E2544" w:rsidP="002820A0">
      <w:pPr>
        <w:tabs>
          <w:tab w:val="left" w:pos="0"/>
        </w:tabs>
        <w:suppressAutoHyphens/>
        <w:autoSpaceDE w:val="0"/>
        <w:autoSpaceDN w:val="0"/>
        <w:spacing w:line="360" w:lineRule="auto"/>
        <w:rPr>
          <w:bCs/>
          <w:spacing w:val="-3"/>
          <w:sz w:val="24"/>
          <w:szCs w:val="24"/>
        </w:rPr>
      </w:pPr>
      <w:r w:rsidRPr="0097089D">
        <w:rPr>
          <w:bCs/>
          <w:spacing w:val="-3"/>
          <w:sz w:val="24"/>
          <w:szCs w:val="24"/>
        </w:rPr>
        <w:tab/>
      </w:r>
      <w:r w:rsidRPr="0097089D">
        <w:rPr>
          <w:bCs/>
          <w:spacing w:val="-3"/>
          <w:sz w:val="24"/>
          <w:szCs w:val="24"/>
        </w:rPr>
        <w:tab/>
        <w:t>3.</w:t>
      </w:r>
      <w:r w:rsidRPr="0097089D">
        <w:rPr>
          <w:bCs/>
          <w:spacing w:val="-3"/>
          <w:sz w:val="24"/>
          <w:szCs w:val="24"/>
        </w:rPr>
        <w:tab/>
        <w:t xml:space="preserve">That the </w:t>
      </w:r>
      <w:r w:rsidR="00FF30AC">
        <w:rPr>
          <w:bCs/>
          <w:spacing w:val="-3"/>
          <w:sz w:val="24"/>
          <w:szCs w:val="24"/>
        </w:rPr>
        <w:t>docket</w:t>
      </w:r>
      <w:r w:rsidRPr="0097089D">
        <w:rPr>
          <w:bCs/>
          <w:spacing w:val="-3"/>
          <w:sz w:val="24"/>
          <w:szCs w:val="24"/>
        </w:rPr>
        <w:t xml:space="preserve"> in this case is closed.</w:t>
      </w:r>
    </w:p>
    <w:p w:rsidR="002820A0" w:rsidRPr="0097089D" w:rsidRDefault="002820A0" w:rsidP="002820A0">
      <w:pPr>
        <w:autoSpaceDE w:val="0"/>
        <w:autoSpaceDN w:val="0"/>
        <w:spacing w:line="360" w:lineRule="auto"/>
        <w:rPr>
          <w:sz w:val="24"/>
          <w:szCs w:val="24"/>
        </w:rPr>
      </w:pPr>
    </w:p>
    <w:p w:rsidR="002820A0" w:rsidRPr="0097089D" w:rsidRDefault="002820A0" w:rsidP="002820A0">
      <w:pPr>
        <w:autoSpaceDE w:val="0"/>
        <w:autoSpaceDN w:val="0"/>
        <w:spacing w:line="360" w:lineRule="auto"/>
        <w:rPr>
          <w:sz w:val="24"/>
          <w:szCs w:val="24"/>
        </w:rPr>
      </w:pPr>
    </w:p>
    <w:p w:rsidR="002820A0" w:rsidRPr="00FD79FC" w:rsidRDefault="002820A0" w:rsidP="002820A0">
      <w:pPr>
        <w:widowControl w:val="0"/>
        <w:autoSpaceDE w:val="0"/>
        <w:autoSpaceDN w:val="0"/>
        <w:rPr>
          <w:sz w:val="24"/>
          <w:szCs w:val="24"/>
          <w:u w:val="single"/>
        </w:rPr>
      </w:pPr>
      <w:r w:rsidRPr="0097089D">
        <w:rPr>
          <w:sz w:val="24"/>
          <w:szCs w:val="24"/>
        </w:rPr>
        <w:t xml:space="preserve">Date:  </w:t>
      </w:r>
      <w:r w:rsidR="001221B6">
        <w:rPr>
          <w:sz w:val="24"/>
          <w:szCs w:val="24"/>
          <w:u w:val="single"/>
        </w:rPr>
        <w:t>November 4</w:t>
      </w:r>
      <w:r w:rsidRPr="0097089D">
        <w:rPr>
          <w:sz w:val="24"/>
          <w:szCs w:val="24"/>
          <w:u w:val="single"/>
        </w:rPr>
        <w:t>,</w:t>
      </w:r>
      <w:r w:rsidR="00175064" w:rsidRPr="0097089D">
        <w:rPr>
          <w:sz w:val="24"/>
          <w:szCs w:val="24"/>
          <w:u w:val="single"/>
        </w:rPr>
        <w:t xml:space="preserve"> </w:t>
      </w:r>
      <w:r w:rsidRPr="0097089D">
        <w:rPr>
          <w:sz w:val="24"/>
          <w:szCs w:val="24"/>
          <w:u w:val="single"/>
        </w:rPr>
        <w:t>201</w:t>
      </w:r>
      <w:r w:rsidR="001C18FE">
        <w:rPr>
          <w:sz w:val="24"/>
          <w:szCs w:val="24"/>
          <w:u w:val="single"/>
        </w:rPr>
        <w:t>5</w:t>
      </w:r>
      <w:r w:rsidRPr="0097089D">
        <w:rPr>
          <w:sz w:val="24"/>
          <w:szCs w:val="24"/>
        </w:rPr>
        <w:tab/>
      </w:r>
      <w:r w:rsidR="001C18FE">
        <w:rPr>
          <w:sz w:val="24"/>
          <w:szCs w:val="24"/>
        </w:rPr>
        <w:tab/>
      </w:r>
      <w:bookmarkStart w:id="0" w:name="_GoBack"/>
      <w:bookmarkEnd w:id="0"/>
      <w:r w:rsidRPr="0097089D">
        <w:rPr>
          <w:sz w:val="24"/>
          <w:szCs w:val="24"/>
        </w:rPr>
        <w:tab/>
      </w:r>
      <w:r w:rsidRPr="0097089D">
        <w:rPr>
          <w:sz w:val="24"/>
          <w:szCs w:val="24"/>
        </w:rPr>
        <w:tab/>
      </w:r>
      <w:r w:rsidR="00FD79FC">
        <w:rPr>
          <w:sz w:val="24"/>
          <w:szCs w:val="24"/>
          <w:u w:val="single"/>
        </w:rPr>
        <w:tab/>
      </w:r>
      <w:r w:rsidR="00FD79FC">
        <w:rPr>
          <w:sz w:val="24"/>
          <w:szCs w:val="24"/>
          <w:u w:val="single"/>
        </w:rPr>
        <w:tab/>
        <w:t>/s/</w:t>
      </w:r>
      <w:r w:rsidR="00FD79FC">
        <w:rPr>
          <w:sz w:val="24"/>
          <w:szCs w:val="24"/>
          <w:u w:val="single"/>
        </w:rPr>
        <w:tab/>
      </w:r>
      <w:r w:rsidR="00FD79FC">
        <w:rPr>
          <w:sz w:val="24"/>
          <w:szCs w:val="24"/>
          <w:u w:val="single"/>
        </w:rPr>
        <w:tab/>
      </w:r>
      <w:r w:rsidR="00FD79FC">
        <w:rPr>
          <w:sz w:val="24"/>
          <w:szCs w:val="24"/>
          <w:u w:val="single"/>
        </w:rPr>
        <w:tab/>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Dennis J. Buckley</w:t>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Administrative Law Judge</w:t>
      </w:r>
    </w:p>
    <w:sectPr w:rsidR="002820A0" w:rsidRPr="0097089D" w:rsidSect="0097089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9C" w:rsidRDefault="00915E9C">
      <w:r>
        <w:separator/>
      </w:r>
    </w:p>
  </w:endnote>
  <w:endnote w:type="continuationSeparator" w:id="0">
    <w:p w:rsidR="00915E9C" w:rsidRDefault="0091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6A7851" w:rsidRDefault="00447316" w:rsidP="00ED3EC8">
    <w:pPr>
      <w:pStyle w:val="Footer"/>
      <w:framePr w:wrap="around" w:vAnchor="text" w:hAnchor="margin" w:xAlign="center" w:y="1"/>
      <w:rPr>
        <w:rStyle w:val="PageNumber"/>
        <w:sz w:val="20"/>
        <w:szCs w:val="20"/>
      </w:rPr>
    </w:pPr>
    <w:r w:rsidRPr="006A7851">
      <w:rPr>
        <w:rStyle w:val="PageNumber"/>
        <w:sz w:val="20"/>
        <w:szCs w:val="20"/>
      </w:rPr>
      <w:fldChar w:fldCharType="begin"/>
    </w:r>
    <w:r w:rsidR="00ED3EC8" w:rsidRPr="006A7851">
      <w:rPr>
        <w:rStyle w:val="PageNumber"/>
        <w:sz w:val="20"/>
        <w:szCs w:val="20"/>
      </w:rPr>
      <w:instrText xml:space="preserve">PAGE  </w:instrText>
    </w:r>
    <w:r w:rsidRPr="006A7851">
      <w:rPr>
        <w:rStyle w:val="PageNumber"/>
        <w:sz w:val="20"/>
        <w:szCs w:val="20"/>
      </w:rPr>
      <w:fldChar w:fldCharType="separate"/>
    </w:r>
    <w:r w:rsidR="00875F9F">
      <w:rPr>
        <w:rStyle w:val="PageNumber"/>
        <w:noProof/>
        <w:sz w:val="20"/>
        <w:szCs w:val="20"/>
      </w:rPr>
      <w:t>8</w:t>
    </w:r>
    <w:r w:rsidRPr="006A7851">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9C" w:rsidRDefault="00915E9C">
      <w:r>
        <w:separator/>
      </w:r>
    </w:p>
  </w:footnote>
  <w:footnote w:type="continuationSeparator" w:id="0">
    <w:p w:rsidR="00915E9C" w:rsidRDefault="00915E9C">
      <w:r>
        <w:continuationSeparator/>
      </w:r>
    </w:p>
  </w:footnote>
  <w:footnote w:id="1">
    <w:p w:rsidR="003C2FAC" w:rsidRDefault="003C2FAC">
      <w:pPr>
        <w:pStyle w:val="FootnoteText"/>
      </w:pPr>
      <w:r>
        <w:rPr>
          <w:rStyle w:val="FootnoteReference"/>
        </w:rPr>
        <w:footnoteRef/>
      </w:r>
      <w:r>
        <w:t xml:space="preserve"> </w:t>
      </w:r>
      <w:r>
        <w:tab/>
        <w:t>It turned out that the individual Complainant was conferring with was not an attorney but</w:t>
      </w:r>
      <w:r w:rsidR="0072527A">
        <w:t xml:space="preserve"> one Michael Brown,</w:t>
      </w:r>
      <w:r>
        <w:t xml:space="preserve"> a financial advisor from a firm called Northwest Counseling Service, Inc.  </w:t>
      </w:r>
    </w:p>
  </w:footnote>
  <w:footnote w:id="2">
    <w:p w:rsidR="0007561E" w:rsidRDefault="0007561E">
      <w:pPr>
        <w:pStyle w:val="FootnoteText"/>
      </w:pPr>
      <w:r>
        <w:rPr>
          <w:rStyle w:val="FootnoteReference"/>
        </w:rPr>
        <w:footnoteRef/>
      </w:r>
      <w:r>
        <w:t xml:space="preserve"> </w:t>
      </w:r>
      <w:r>
        <w:tab/>
        <w:t xml:space="preserve">Counsels referenced that Complainant also is part of an LLC, </w:t>
      </w:r>
      <w:r w:rsidR="00F51C3D">
        <w:t>however Mr. Tillman filed the complaint as an individual and not an LLC.</w:t>
      </w:r>
    </w:p>
    <w:p w:rsidR="00F51C3D" w:rsidRDefault="00F51C3D">
      <w:pPr>
        <w:pStyle w:val="FootnoteText"/>
      </w:pPr>
    </w:p>
  </w:footnote>
  <w:footnote w:id="3">
    <w:p w:rsidR="00B95E5F" w:rsidRDefault="00B95E5F">
      <w:pPr>
        <w:pStyle w:val="FootnoteText"/>
      </w:pPr>
      <w:r>
        <w:rPr>
          <w:rStyle w:val="FootnoteReference"/>
        </w:rPr>
        <w:footnoteRef/>
      </w:r>
      <w:r>
        <w:t xml:space="preserve"> </w:t>
      </w:r>
      <w:r>
        <w:tab/>
        <w:t xml:space="preserve">Though counsel did not expressly use the term, I infer that he was arguing for dismissal on the theory of </w:t>
      </w:r>
      <w:r w:rsidRPr="00B95E5F">
        <w:rPr>
          <w:i/>
        </w:rPr>
        <w:t>res judicata</w:t>
      </w:r>
      <w:r>
        <w:t>.</w:t>
      </w:r>
    </w:p>
    <w:p w:rsidR="00CB2F90" w:rsidRDefault="00CB2F90">
      <w:pPr>
        <w:pStyle w:val="FootnoteText"/>
      </w:pPr>
    </w:p>
  </w:footnote>
  <w:footnote w:id="4">
    <w:p w:rsidR="00CB2F90" w:rsidRDefault="00CB2F90">
      <w:pPr>
        <w:pStyle w:val="FootnoteText"/>
      </w:pPr>
      <w:r>
        <w:rPr>
          <w:rStyle w:val="FootnoteReference"/>
        </w:rPr>
        <w:footnoteRef/>
      </w:r>
      <w:r>
        <w:t xml:space="preserve"> </w:t>
      </w:r>
      <w:r>
        <w:tab/>
        <w:t xml:space="preserve">I note that although she was placed in a difficult position by her client, </w:t>
      </w:r>
      <w:r w:rsidR="000957F6">
        <w:t>A</w:t>
      </w:r>
      <w:r>
        <w:t>ttorney Barr was very professional under the circumstances.</w:t>
      </w:r>
    </w:p>
  </w:footnote>
  <w:footnote w:id="5">
    <w:p w:rsidR="00870F7D" w:rsidRDefault="00870F7D" w:rsidP="00870F7D">
      <w:pPr>
        <w:pStyle w:val="FootnoteText"/>
      </w:pPr>
      <w:r>
        <w:rPr>
          <w:rStyle w:val="FootnoteReference"/>
        </w:rPr>
        <w:footnoteRef/>
      </w:r>
      <w:r>
        <w:t xml:space="preserve">  </w:t>
      </w:r>
      <w:r>
        <w:tab/>
        <w:t xml:space="preserve">I specifically note that </w:t>
      </w:r>
      <w:r w:rsidR="00AC24C8">
        <w:t xml:space="preserve">Martha Tillman’s </w:t>
      </w:r>
      <w:r>
        <w:t>Complaint was dismissed with prejudice</w:t>
      </w:r>
      <w:r w:rsidR="00AC24C8">
        <w:t xml:space="preserve"> because in at least one case,</w:t>
      </w:r>
      <w:r w:rsidR="00AC24C8" w:rsidRPr="00AC24C8">
        <w:t xml:space="preserve"> </w:t>
      </w:r>
      <w:r w:rsidR="00AC24C8" w:rsidRPr="00AC24C8">
        <w:rPr>
          <w:i/>
        </w:rPr>
        <w:t>Roy Winston v. Philadelphia Gas Works</w:t>
      </w:r>
      <w:r w:rsidR="00AC24C8" w:rsidRPr="00AC24C8">
        <w:t>, Docket No. C-2010-2181504 (Final Order entered April 16, 2012)</w:t>
      </w:r>
      <w:r w:rsidR="00AC24C8">
        <w:t>,</w:t>
      </w:r>
      <w:r w:rsidR="00AC24C8" w:rsidRPr="00AC24C8">
        <w:t xml:space="preserve"> </w:t>
      </w:r>
      <w:r w:rsidR="00AC24C8">
        <w:t xml:space="preserve">the Commission viewed </w:t>
      </w:r>
      <w:r w:rsidR="00AC24C8" w:rsidRPr="00AC24C8">
        <w:t xml:space="preserve">dismissal with prejudice </w:t>
      </w:r>
      <w:r w:rsidR="00AC24C8">
        <w:t xml:space="preserve">as </w:t>
      </w:r>
      <w:r w:rsidR="00AC24C8" w:rsidRPr="00AC24C8">
        <w:t>dispos</w:t>
      </w:r>
      <w:r w:rsidR="00AC24C8">
        <w:t>ing</w:t>
      </w:r>
      <w:r w:rsidR="00AC24C8" w:rsidRPr="00AC24C8">
        <w:t xml:space="preserve"> of the claimant's rights to pursue any further remedy on </w:t>
      </w:r>
      <w:r w:rsidR="00AC24C8">
        <w:t>a</w:t>
      </w:r>
      <w:r w:rsidR="00AC24C8" w:rsidRPr="00AC24C8">
        <w:t xml:space="preserve"> claim, </w:t>
      </w:r>
      <w:r w:rsidR="00AC24C8">
        <w:t xml:space="preserve">being the equivalent of </w:t>
      </w:r>
      <w:r w:rsidR="00AC24C8" w:rsidRPr="00AC24C8">
        <w:t>an action on the merits of the case</w:t>
      </w:r>
      <w:r w:rsidR="00AC24C8">
        <w:t>, whereas the lack of dismissal with prejudice preserves the opportunity for a case to be heard on the merits.</w:t>
      </w:r>
      <w:r>
        <w:t xml:space="preserve">  See, </w:t>
      </w:r>
      <w:r w:rsidRPr="00870F7D">
        <w:rPr>
          <w:i/>
        </w:rPr>
        <w:t>Roy Winston</w:t>
      </w:r>
      <w:r w:rsidR="00AC24C8">
        <w:rPr>
          <w:i/>
        </w:rPr>
        <w:t xml:space="preserve"> </w:t>
      </w:r>
      <w:r w:rsidRPr="00870F7D">
        <w:rPr>
          <w:i/>
        </w:rPr>
        <w:t>v. Philadelphia Gas Works</w:t>
      </w:r>
      <w:r>
        <w:t xml:space="preserve">, Docket No. C-2010-2181504 (Final Order entered April 16, 2012). </w:t>
      </w:r>
    </w:p>
    <w:p w:rsidR="00B577D4" w:rsidRDefault="00B577D4" w:rsidP="00870F7D">
      <w:pPr>
        <w:pStyle w:val="FootnoteText"/>
      </w:pPr>
    </w:p>
  </w:footnote>
  <w:footnote w:id="6">
    <w:p w:rsidR="009C0D98" w:rsidRDefault="009C0D98">
      <w:pPr>
        <w:pStyle w:val="FootnoteText"/>
      </w:pPr>
      <w:r>
        <w:rPr>
          <w:rStyle w:val="FootnoteReference"/>
        </w:rPr>
        <w:footnoteRef/>
      </w:r>
      <w:r>
        <w:t xml:space="preserve"> </w:t>
      </w:r>
      <w:r>
        <w:tab/>
      </w:r>
      <w:r w:rsidRPr="009C0D98">
        <w:t>Attorney Barr’s statement that she represented Complainant in a Chapter 13 proceeding notwithstanding, I have searched the on-line records of the Corporation Bureau, Pennsylvania Department of State, in vain for any limited liability corporation in the name of either Floyd or Martha Tillman.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C99"/>
    <w:rsid w:val="00005558"/>
    <w:rsid w:val="000079FE"/>
    <w:rsid w:val="00011DD9"/>
    <w:rsid w:val="00012104"/>
    <w:rsid w:val="0001305A"/>
    <w:rsid w:val="00016E55"/>
    <w:rsid w:val="0002105C"/>
    <w:rsid w:val="00026731"/>
    <w:rsid w:val="00035BB8"/>
    <w:rsid w:val="000541C0"/>
    <w:rsid w:val="000576ED"/>
    <w:rsid w:val="000576F6"/>
    <w:rsid w:val="000605B6"/>
    <w:rsid w:val="00061278"/>
    <w:rsid w:val="00062037"/>
    <w:rsid w:val="000634EB"/>
    <w:rsid w:val="00063801"/>
    <w:rsid w:val="00067CBC"/>
    <w:rsid w:val="0007561E"/>
    <w:rsid w:val="000902E3"/>
    <w:rsid w:val="00092117"/>
    <w:rsid w:val="0009220F"/>
    <w:rsid w:val="00092B4E"/>
    <w:rsid w:val="00092E44"/>
    <w:rsid w:val="00093562"/>
    <w:rsid w:val="000957F6"/>
    <w:rsid w:val="0009662B"/>
    <w:rsid w:val="000A5086"/>
    <w:rsid w:val="000A770B"/>
    <w:rsid w:val="000B339A"/>
    <w:rsid w:val="000C2278"/>
    <w:rsid w:val="000C2A2B"/>
    <w:rsid w:val="000C34F3"/>
    <w:rsid w:val="000C6B6E"/>
    <w:rsid w:val="000C6EF0"/>
    <w:rsid w:val="000D29BA"/>
    <w:rsid w:val="000E7EF5"/>
    <w:rsid w:val="000F2E5F"/>
    <w:rsid w:val="001021FB"/>
    <w:rsid w:val="00102A77"/>
    <w:rsid w:val="0010420D"/>
    <w:rsid w:val="001077F1"/>
    <w:rsid w:val="001136A2"/>
    <w:rsid w:val="00115BB6"/>
    <w:rsid w:val="00116578"/>
    <w:rsid w:val="0012035F"/>
    <w:rsid w:val="00121291"/>
    <w:rsid w:val="001221B6"/>
    <w:rsid w:val="00124101"/>
    <w:rsid w:val="00124D49"/>
    <w:rsid w:val="001252EE"/>
    <w:rsid w:val="00133A65"/>
    <w:rsid w:val="0014105E"/>
    <w:rsid w:val="00143142"/>
    <w:rsid w:val="00155E87"/>
    <w:rsid w:val="00157E46"/>
    <w:rsid w:val="00162D2F"/>
    <w:rsid w:val="00167ECA"/>
    <w:rsid w:val="00172E8C"/>
    <w:rsid w:val="00174F7E"/>
    <w:rsid w:val="00175064"/>
    <w:rsid w:val="0017580D"/>
    <w:rsid w:val="00176DE0"/>
    <w:rsid w:val="00177E9B"/>
    <w:rsid w:val="00181AB1"/>
    <w:rsid w:val="001857EA"/>
    <w:rsid w:val="00191522"/>
    <w:rsid w:val="00192EB5"/>
    <w:rsid w:val="001966CB"/>
    <w:rsid w:val="001A103D"/>
    <w:rsid w:val="001A216A"/>
    <w:rsid w:val="001A2897"/>
    <w:rsid w:val="001A2A2C"/>
    <w:rsid w:val="001A3A8A"/>
    <w:rsid w:val="001B1B1D"/>
    <w:rsid w:val="001B3D6F"/>
    <w:rsid w:val="001C18FE"/>
    <w:rsid w:val="001C234A"/>
    <w:rsid w:val="001D18FE"/>
    <w:rsid w:val="001D1F1B"/>
    <w:rsid w:val="001E2544"/>
    <w:rsid w:val="001E2642"/>
    <w:rsid w:val="001E3C9A"/>
    <w:rsid w:val="001E5447"/>
    <w:rsid w:val="001E79A7"/>
    <w:rsid w:val="001F0835"/>
    <w:rsid w:val="001F74FC"/>
    <w:rsid w:val="002004A8"/>
    <w:rsid w:val="0021162B"/>
    <w:rsid w:val="002125E4"/>
    <w:rsid w:val="00215381"/>
    <w:rsid w:val="00216C32"/>
    <w:rsid w:val="00216F76"/>
    <w:rsid w:val="002203FA"/>
    <w:rsid w:val="00221A88"/>
    <w:rsid w:val="00232968"/>
    <w:rsid w:val="002337D7"/>
    <w:rsid w:val="00234DB8"/>
    <w:rsid w:val="002369B5"/>
    <w:rsid w:val="002451F7"/>
    <w:rsid w:val="00251E5A"/>
    <w:rsid w:val="00252DB6"/>
    <w:rsid w:val="002546D8"/>
    <w:rsid w:val="00260459"/>
    <w:rsid w:val="002608A7"/>
    <w:rsid w:val="0026705F"/>
    <w:rsid w:val="002704DD"/>
    <w:rsid w:val="0027768F"/>
    <w:rsid w:val="002820A0"/>
    <w:rsid w:val="002840E8"/>
    <w:rsid w:val="00284760"/>
    <w:rsid w:val="00287BC6"/>
    <w:rsid w:val="0029096F"/>
    <w:rsid w:val="0029353E"/>
    <w:rsid w:val="00297286"/>
    <w:rsid w:val="002A05C6"/>
    <w:rsid w:val="002A5F4D"/>
    <w:rsid w:val="002B1966"/>
    <w:rsid w:val="002B754D"/>
    <w:rsid w:val="002C1F80"/>
    <w:rsid w:val="002C4F02"/>
    <w:rsid w:val="002E7DDB"/>
    <w:rsid w:val="002F42FC"/>
    <w:rsid w:val="002F5AB2"/>
    <w:rsid w:val="00304AA1"/>
    <w:rsid w:val="00306C33"/>
    <w:rsid w:val="00313E9A"/>
    <w:rsid w:val="00321DB1"/>
    <w:rsid w:val="00323C44"/>
    <w:rsid w:val="00330A67"/>
    <w:rsid w:val="00334F62"/>
    <w:rsid w:val="003364EB"/>
    <w:rsid w:val="003366D5"/>
    <w:rsid w:val="00336CCE"/>
    <w:rsid w:val="0034324C"/>
    <w:rsid w:val="00344C34"/>
    <w:rsid w:val="00354574"/>
    <w:rsid w:val="00360F5F"/>
    <w:rsid w:val="00361198"/>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2FAC"/>
    <w:rsid w:val="003C47E8"/>
    <w:rsid w:val="003E2B14"/>
    <w:rsid w:val="003F01A7"/>
    <w:rsid w:val="003F70A9"/>
    <w:rsid w:val="004047B1"/>
    <w:rsid w:val="00406611"/>
    <w:rsid w:val="00407C2F"/>
    <w:rsid w:val="00411425"/>
    <w:rsid w:val="00412E46"/>
    <w:rsid w:val="00413BA5"/>
    <w:rsid w:val="00421A56"/>
    <w:rsid w:val="00426277"/>
    <w:rsid w:val="004262B3"/>
    <w:rsid w:val="00431130"/>
    <w:rsid w:val="00442254"/>
    <w:rsid w:val="00446B02"/>
    <w:rsid w:val="00447316"/>
    <w:rsid w:val="0045300F"/>
    <w:rsid w:val="00454158"/>
    <w:rsid w:val="00454723"/>
    <w:rsid w:val="00456657"/>
    <w:rsid w:val="00460140"/>
    <w:rsid w:val="0046238B"/>
    <w:rsid w:val="00486914"/>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426F2"/>
    <w:rsid w:val="005534BD"/>
    <w:rsid w:val="005541E9"/>
    <w:rsid w:val="00564A3A"/>
    <w:rsid w:val="005674EF"/>
    <w:rsid w:val="00570C2E"/>
    <w:rsid w:val="00575D4F"/>
    <w:rsid w:val="00575F27"/>
    <w:rsid w:val="0058036C"/>
    <w:rsid w:val="00585BD9"/>
    <w:rsid w:val="00585F33"/>
    <w:rsid w:val="0059410E"/>
    <w:rsid w:val="005A1839"/>
    <w:rsid w:val="005A3759"/>
    <w:rsid w:val="005A4F3F"/>
    <w:rsid w:val="005B68AC"/>
    <w:rsid w:val="005C373B"/>
    <w:rsid w:val="005C4AAA"/>
    <w:rsid w:val="005D1442"/>
    <w:rsid w:val="005F064D"/>
    <w:rsid w:val="005F5A21"/>
    <w:rsid w:val="00600458"/>
    <w:rsid w:val="00603824"/>
    <w:rsid w:val="00620850"/>
    <w:rsid w:val="00624D32"/>
    <w:rsid w:val="006273ED"/>
    <w:rsid w:val="00627A04"/>
    <w:rsid w:val="0064750C"/>
    <w:rsid w:val="006621E9"/>
    <w:rsid w:val="00664C73"/>
    <w:rsid w:val="006856E2"/>
    <w:rsid w:val="006903E0"/>
    <w:rsid w:val="00695397"/>
    <w:rsid w:val="0069562F"/>
    <w:rsid w:val="006A488D"/>
    <w:rsid w:val="006A7851"/>
    <w:rsid w:val="006B2FA8"/>
    <w:rsid w:val="006B3E08"/>
    <w:rsid w:val="006C4536"/>
    <w:rsid w:val="006C51E2"/>
    <w:rsid w:val="006C71BB"/>
    <w:rsid w:val="006D1276"/>
    <w:rsid w:val="006D45CB"/>
    <w:rsid w:val="006E670A"/>
    <w:rsid w:val="006E6833"/>
    <w:rsid w:val="006E7EC7"/>
    <w:rsid w:val="006F27FC"/>
    <w:rsid w:val="006F3153"/>
    <w:rsid w:val="006F4F6D"/>
    <w:rsid w:val="006F64E8"/>
    <w:rsid w:val="00705262"/>
    <w:rsid w:val="00705CA5"/>
    <w:rsid w:val="00716D0A"/>
    <w:rsid w:val="00717280"/>
    <w:rsid w:val="00721ECF"/>
    <w:rsid w:val="0072527A"/>
    <w:rsid w:val="00725BEA"/>
    <w:rsid w:val="007306D1"/>
    <w:rsid w:val="00732F45"/>
    <w:rsid w:val="00742CE1"/>
    <w:rsid w:val="0074372C"/>
    <w:rsid w:val="00744C7C"/>
    <w:rsid w:val="00747C4D"/>
    <w:rsid w:val="0075585E"/>
    <w:rsid w:val="00761717"/>
    <w:rsid w:val="00767FCA"/>
    <w:rsid w:val="00777F0B"/>
    <w:rsid w:val="0078470A"/>
    <w:rsid w:val="00786751"/>
    <w:rsid w:val="00787AF1"/>
    <w:rsid w:val="007B1039"/>
    <w:rsid w:val="007C2A5F"/>
    <w:rsid w:val="007D5B1C"/>
    <w:rsid w:val="007E0ADA"/>
    <w:rsid w:val="007E5866"/>
    <w:rsid w:val="00803A63"/>
    <w:rsid w:val="00804065"/>
    <w:rsid w:val="00835C5D"/>
    <w:rsid w:val="00840A53"/>
    <w:rsid w:val="008427B3"/>
    <w:rsid w:val="0085047D"/>
    <w:rsid w:val="008524EA"/>
    <w:rsid w:val="00857642"/>
    <w:rsid w:val="00857D24"/>
    <w:rsid w:val="00857F8E"/>
    <w:rsid w:val="0086268A"/>
    <w:rsid w:val="00864B15"/>
    <w:rsid w:val="00865C18"/>
    <w:rsid w:val="0086621E"/>
    <w:rsid w:val="00870F7D"/>
    <w:rsid w:val="00875F9F"/>
    <w:rsid w:val="00882CB8"/>
    <w:rsid w:val="00884650"/>
    <w:rsid w:val="00890848"/>
    <w:rsid w:val="00893901"/>
    <w:rsid w:val="008A41C8"/>
    <w:rsid w:val="008B19B1"/>
    <w:rsid w:val="008B2982"/>
    <w:rsid w:val="008B600B"/>
    <w:rsid w:val="008C03AD"/>
    <w:rsid w:val="008C1485"/>
    <w:rsid w:val="008C39C5"/>
    <w:rsid w:val="008C4FEA"/>
    <w:rsid w:val="008D2DBA"/>
    <w:rsid w:val="008D638B"/>
    <w:rsid w:val="008E19D7"/>
    <w:rsid w:val="008E4A13"/>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15E9C"/>
    <w:rsid w:val="00921473"/>
    <w:rsid w:val="00923349"/>
    <w:rsid w:val="0092547D"/>
    <w:rsid w:val="00926002"/>
    <w:rsid w:val="00930EBA"/>
    <w:rsid w:val="00935580"/>
    <w:rsid w:val="009412D9"/>
    <w:rsid w:val="00944730"/>
    <w:rsid w:val="009471B5"/>
    <w:rsid w:val="0094731C"/>
    <w:rsid w:val="00952928"/>
    <w:rsid w:val="00953CFD"/>
    <w:rsid w:val="009669E3"/>
    <w:rsid w:val="009671DB"/>
    <w:rsid w:val="0097089D"/>
    <w:rsid w:val="00972738"/>
    <w:rsid w:val="00973DCA"/>
    <w:rsid w:val="00980958"/>
    <w:rsid w:val="00987014"/>
    <w:rsid w:val="00990C56"/>
    <w:rsid w:val="00997443"/>
    <w:rsid w:val="009A68E7"/>
    <w:rsid w:val="009B66C0"/>
    <w:rsid w:val="009C0D98"/>
    <w:rsid w:val="009C24F9"/>
    <w:rsid w:val="009C6FFA"/>
    <w:rsid w:val="009D3AAC"/>
    <w:rsid w:val="009D5B63"/>
    <w:rsid w:val="009E0C0E"/>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91174"/>
    <w:rsid w:val="00AA0379"/>
    <w:rsid w:val="00AA1496"/>
    <w:rsid w:val="00AA3D06"/>
    <w:rsid w:val="00AA4646"/>
    <w:rsid w:val="00AA4899"/>
    <w:rsid w:val="00AA639F"/>
    <w:rsid w:val="00AC0D42"/>
    <w:rsid w:val="00AC24C8"/>
    <w:rsid w:val="00AC7DAD"/>
    <w:rsid w:val="00AD344D"/>
    <w:rsid w:val="00AD5E7B"/>
    <w:rsid w:val="00AE0D14"/>
    <w:rsid w:val="00AE7E8A"/>
    <w:rsid w:val="00AF32D8"/>
    <w:rsid w:val="00AF4B54"/>
    <w:rsid w:val="00AF4C64"/>
    <w:rsid w:val="00B01BE5"/>
    <w:rsid w:val="00B06DDF"/>
    <w:rsid w:val="00B079A5"/>
    <w:rsid w:val="00B134F4"/>
    <w:rsid w:val="00B16D92"/>
    <w:rsid w:val="00B20FAA"/>
    <w:rsid w:val="00B21FBA"/>
    <w:rsid w:val="00B2793E"/>
    <w:rsid w:val="00B35F6A"/>
    <w:rsid w:val="00B41B82"/>
    <w:rsid w:val="00B41F0B"/>
    <w:rsid w:val="00B42826"/>
    <w:rsid w:val="00B535FB"/>
    <w:rsid w:val="00B55869"/>
    <w:rsid w:val="00B567F1"/>
    <w:rsid w:val="00B569FA"/>
    <w:rsid w:val="00B571D3"/>
    <w:rsid w:val="00B577D4"/>
    <w:rsid w:val="00B63DDB"/>
    <w:rsid w:val="00B6680C"/>
    <w:rsid w:val="00B759EC"/>
    <w:rsid w:val="00B75F96"/>
    <w:rsid w:val="00B76C5A"/>
    <w:rsid w:val="00B779FE"/>
    <w:rsid w:val="00B824F8"/>
    <w:rsid w:val="00B86154"/>
    <w:rsid w:val="00B86F52"/>
    <w:rsid w:val="00B91893"/>
    <w:rsid w:val="00B926BD"/>
    <w:rsid w:val="00B95E5F"/>
    <w:rsid w:val="00B97C8E"/>
    <w:rsid w:val="00BA1610"/>
    <w:rsid w:val="00BB1D36"/>
    <w:rsid w:val="00BB5630"/>
    <w:rsid w:val="00BC684E"/>
    <w:rsid w:val="00BD00D9"/>
    <w:rsid w:val="00BE5D1C"/>
    <w:rsid w:val="00BE7640"/>
    <w:rsid w:val="00BF0242"/>
    <w:rsid w:val="00C00958"/>
    <w:rsid w:val="00C02723"/>
    <w:rsid w:val="00C02A91"/>
    <w:rsid w:val="00C04960"/>
    <w:rsid w:val="00C11391"/>
    <w:rsid w:val="00C138A5"/>
    <w:rsid w:val="00C211F9"/>
    <w:rsid w:val="00C25927"/>
    <w:rsid w:val="00C26064"/>
    <w:rsid w:val="00C27126"/>
    <w:rsid w:val="00C310B8"/>
    <w:rsid w:val="00C31DBD"/>
    <w:rsid w:val="00C3343C"/>
    <w:rsid w:val="00C36C29"/>
    <w:rsid w:val="00C619A3"/>
    <w:rsid w:val="00C65047"/>
    <w:rsid w:val="00C67696"/>
    <w:rsid w:val="00C833D6"/>
    <w:rsid w:val="00C90FD1"/>
    <w:rsid w:val="00C95318"/>
    <w:rsid w:val="00C95A99"/>
    <w:rsid w:val="00C96F6B"/>
    <w:rsid w:val="00CA27F9"/>
    <w:rsid w:val="00CA42D7"/>
    <w:rsid w:val="00CB1D88"/>
    <w:rsid w:val="00CB2F90"/>
    <w:rsid w:val="00CB72BC"/>
    <w:rsid w:val="00CC1659"/>
    <w:rsid w:val="00CC30C3"/>
    <w:rsid w:val="00CC7E4D"/>
    <w:rsid w:val="00CE047D"/>
    <w:rsid w:val="00CE7731"/>
    <w:rsid w:val="00CF6A79"/>
    <w:rsid w:val="00CF7CCE"/>
    <w:rsid w:val="00D02D5A"/>
    <w:rsid w:val="00D06F2D"/>
    <w:rsid w:val="00D10CB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0B40"/>
    <w:rsid w:val="00D83042"/>
    <w:rsid w:val="00DA0625"/>
    <w:rsid w:val="00DA671A"/>
    <w:rsid w:val="00DA7E6E"/>
    <w:rsid w:val="00DB07B8"/>
    <w:rsid w:val="00DB088D"/>
    <w:rsid w:val="00DB40E5"/>
    <w:rsid w:val="00DB4533"/>
    <w:rsid w:val="00DB4F49"/>
    <w:rsid w:val="00DC22DB"/>
    <w:rsid w:val="00DC4772"/>
    <w:rsid w:val="00DC6711"/>
    <w:rsid w:val="00DC67F2"/>
    <w:rsid w:val="00DD179B"/>
    <w:rsid w:val="00DD5F86"/>
    <w:rsid w:val="00DD6047"/>
    <w:rsid w:val="00DD771A"/>
    <w:rsid w:val="00DE2759"/>
    <w:rsid w:val="00DE4037"/>
    <w:rsid w:val="00DF63EB"/>
    <w:rsid w:val="00E04EFF"/>
    <w:rsid w:val="00E101A9"/>
    <w:rsid w:val="00E13468"/>
    <w:rsid w:val="00E257AB"/>
    <w:rsid w:val="00E3212A"/>
    <w:rsid w:val="00E333C7"/>
    <w:rsid w:val="00E41293"/>
    <w:rsid w:val="00E416B6"/>
    <w:rsid w:val="00E44479"/>
    <w:rsid w:val="00E475F0"/>
    <w:rsid w:val="00E47E14"/>
    <w:rsid w:val="00E50CA8"/>
    <w:rsid w:val="00E553E9"/>
    <w:rsid w:val="00E57C67"/>
    <w:rsid w:val="00E62177"/>
    <w:rsid w:val="00E63B44"/>
    <w:rsid w:val="00E6494D"/>
    <w:rsid w:val="00E703C3"/>
    <w:rsid w:val="00E80333"/>
    <w:rsid w:val="00E8107B"/>
    <w:rsid w:val="00E8646E"/>
    <w:rsid w:val="00E9310C"/>
    <w:rsid w:val="00E9501F"/>
    <w:rsid w:val="00E9676A"/>
    <w:rsid w:val="00EB3A3C"/>
    <w:rsid w:val="00EB7A35"/>
    <w:rsid w:val="00EC05B4"/>
    <w:rsid w:val="00EC074E"/>
    <w:rsid w:val="00EC33EA"/>
    <w:rsid w:val="00ED2F8A"/>
    <w:rsid w:val="00ED3EC8"/>
    <w:rsid w:val="00ED7543"/>
    <w:rsid w:val="00EE1EE5"/>
    <w:rsid w:val="00EF7235"/>
    <w:rsid w:val="00F0235F"/>
    <w:rsid w:val="00F04C8C"/>
    <w:rsid w:val="00F054DA"/>
    <w:rsid w:val="00F07BCF"/>
    <w:rsid w:val="00F16FAB"/>
    <w:rsid w:val="00F178B6"/>
    <w:rsid w:val="00F24E8C"/>
    <w:rsid w:val="00F275FE"/>
    <w:rsid w:val="00F31625"/>
    <w:rsid w:val="00F36E39"/>
    <w:rsid w:val="00F5046F"/>
    <w:rsid w:val="00F5088C"/>
    <w:rsid w:val="00F510AC"/>
    <w:rsid w:val="00F51C3D"/>
    <w:rsid w:val="00F561B9"/>
    <w:rsid w:val="00F62D04"/>
    <w:rsid w:val="00F70887"/>
    <w:rsid w:val="00F86EF9"/>
    <w:rsid w:val="00F86FB1"/>
    <w:rsid w:val="00F908E0"/>
    <w:rsid w:val="00F9335A"/>
    <w:rsid w:val="00F93E3A"/>
    <w:rsid w:val="00FA785B"/>
    <w:rsid w:val="00FA7CC2"/>
    <w:rsid w:val="00FB4C6F"/>
    <w:rsid w:val="00FB64A1"/>
    <w:rsid w:val="00FC110D"/>
    <w:rsid w:val="00FC3800"/>
    <w:rsid w:val="00FD36CA"/>
    <w:rsid w:val="00FD3B41"/>
    <w:rsid w:val="00FD6C73"/>
    <w:rsid w:val="00FD79FC"/>
    <w:rsid w:val="00FE28F2"/>
    <w:rsid w:val="00FE4C7C"/>
    <w:rsid w:val="00FE52C1"/>
    <w:rsid w:val="00FF0BE2"/>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FD7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FD7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180E-EE43-41C1-A7DD-7870A52D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debuckley</cp:lastModifiedBy>
  <cp:revision>3</cp:revision>
  <cp:lastPrinted>2015-11-04T19:22:00Z</cp:lastPrinted>
  <dcterms:created xsi:type="dcterms:W3CDTF">2015-11-17T20:16:00Z</dcterms:created>
  <dcterms:modified xsi:type="dcterms:W3CDTF">2015-11-17T20:16:00Z</dcterms:modified>
</cp:coreProperties>
</file>